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4876DE" w:rsidRPr="00C07884">
        <w:trPr>
          <w:trHeight w:hRule="exact" w:val="851"/>
        </w:trPr>
        <w:tc>
          <w:tcPr>
            <w:tcW w:w="1276" w:type="dxa"/>
            <w:tcBorders>
              <w:bottom w:val="single" w:sz="4" w:space="0" w:color="auto"/>
            </w:tcBorders>
            <w:vAlign w:val="bottom"/>
          </w:tcPr>
          <w:p w:rsidR="00890D9A" w:rsidRPr="007E74A5" w:rsidRDefault="00890D9A" w:rsidP="006B4FA1">
            <w:pPr>
              <w:spacing w:line="20" w:lineRule="exact"/>
              <w:rPr>
                <w:u w:val="single"/>
              </w:rPr>
            </w:pPr>
            <w:bookmarkStart w:id="0" w:name="_GoBack"/>
            <w:bookmarkEnd w:id="0"/>
          </w:p>
        </w:tc>
        <w:tc>
          <w:tcPr>
            <w:tcW w:w="1985" w:type="dxa"/>
            <w:tcBorders>
              <w:bottom w:val="single" w:sz="4" w:space="0" w:color="auto"/>
            </w:tcBorders>
            <w:vAlign w:val="bottom"/>
          </w:tcPr>
          <w:p w:rsidR="004876DE" w:rsidRPr="00C07884" w:rsidRDefault="004876DE" w:rsidP="004876DE">
            <w:pPr>
              <w:spacing w:after="80" w:line="300" w:lineRule="exact"/>
              <w:rPr>
                <w:b/>
                <w:sz w:val="24"/>
                <w:szCs w:val="24"/>
              </w:rPr>
            </w:pPr>
            <w:r w:rsidRPr="00C07884">
              <w:rPr>
                <w:sz w:val="28"/>
                <w:szCs w:val="28"/>
              </w:rPr>
              <w:t>United Nations</w:t>
            </w:r>
          </w:p>
        </w:tc>
        <w:tc>
          <w:tcPr>
            <w:tcW w:w="6378" w:type="dxa"/>
            <w:gridSpan w:val="2"/>
            <w:tcBorders>
              <w:bottom w:val="single" w:sz="4" w:space="0" w:color="auto"/>
            </w:tcBorders>
            <w:vAlign w:val="bottom"/>
          </w:tcPr>
          <w:p w:rsidR="004876DE" w:rsidRPr="00C07884" w:rsidRDefault="004876DE" w:rsidP="00F54A3E">
            <w:pPr>
              <w:jc w:val="right"/>
            </w:pPr>
            <w:r w:rsidRPr="00C07884">
              <w:rPr>
                <w:sz w:val="40"/>
              </w:rPr>
              <w:t>CAT</w:t>
            </w:r>
            <w:r w:rsidR="007A5D50" w:rsidRPr="00C07884">
              <w:t>/C/5</w:t>
            </w:r>
            <w:r w:rsidR="00F86222">
              <w:t>7</w:t>
            </w:r>
            <w:r w:rsidR="007A5D50" w:rsidRPr="00C07884">
              <w:t>/D/</w:t>
            </w:r>
            <w:r w:rsidR="00F86222">
              <w:t>5</w:t>
            </w:r>
            <w:r w:rsidR="0068143A">
              <w:t>29</w:t>
            </w:r>
            <w:r w:rsidR="007A5D50" w:rsidRPr="00C07884">
              <w:t>/201</w:t>
            </w:r>
            <w:r w:rsidR="0068143A">
              <w:t>2</w:t>
            </w:r>
            <w:r w:rsidR="00A362AF" w:rsidRPr="009B4376">
              <w:rPr>
                <w:rStyle w:val="FootnoteReference"/>
                <w:sz w:val="20"/>
                <w:vertAlign w:val="baseline"/>
              </w:rPr>
              <w:footnoteReference w:customMarkFollows="1" w:id="2"/>
              <w:t>*</w:t>
            </w:r>
          </w:p>
        </w:tc>
      </w:tr>
      <w:tr w:rsidR="004876DE" w:rsidRPr="00C07884">
        <w:trPr>
          <w:cantSplit/>
          <w:trHeight w:hRule="exact" w:val="2835"/>
        </w:trPr>
        <w:tc>
          <w:tcPr>
            <w:tcW w:w="1276" w:type="dxa"/>
            <w:tcBorders>
              <w:top w:val="single" w:sz="4" w:space="0" w:color="auto"/>
              <w:bottom w:val="single" w:sz="12" w:space="0" w:color="auto"/>
            </w:tcBorders>
          </w:tcPr>
          <w:p w:rsidR="004876DE" w:rsidRPr="00C07884" w:rsidRDefault="000F26A2" w:rsidP="004876DE">
            <w:pPr>
              <w:spacing w:before="120"/>
            </w:pPr>
            <w:r>
              <w:rPr>
                <w:noProof/>
                <w:lang w:val="en-US"/>
              </w:rPr>
              <w:drawing>
                <wp:inline distT="0" distB="0" distL="0" distR="0" wp14:anchorId="6369429F" wp14:editId="582DB96F">
                  <wp:extent cx="708660" cy="594360"/>
                  <wp:effectExtent l="0" t="0" r="0" b="0"/>
                  <wp:docPr id="3"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866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4876DE" w:rsidRDefault="004876DE" w:rsidP="004876DE">
            <w:pPr>
              <w:spacing w:before="120" w:line="380" w:lineRule="exact"/>
              <w:rPr>
                <w:b/>
                <w:sz w:val="34"/>
                <w:szCs w:val="40"/>
              </w:rPr>
            </w:pPr>
            <w:r w:rsidRPr="00C07884">
              <w:rPr>
                <w:b/>
                <w:sz w:val="34"/>
                <w:szCs w:val="40"/>
              </w:rPr>
              <w:t>Convention against Torture</w:t>
            </w:r>
            <w:r w:rsidRPr="00C07884">
              <w:rPr>
                <w:b/>
                <w:sz w:val="34"/>
                <w:szCs w:val="40"/>
              </w:rPr>
              <w:br/>
              <w:t>and Other Cruel, Inhuman</w:t>
            </w:r>
            <w:r w:rsidRPr="00C07884">
              <w:rPr>
                <w:b/>
                <w:sz w:val="34"/>
                <w:szCs w:val="40"/>
              </w:rPr>
              <w:br/>
              <w:t>or Degrading Treatment</w:t>
            </w:r>
            <w:r w:rsidRPr="00C07884">
              <w:rPr>
                <w:b/>
                <w:sz w:val="34"/>
                <w:szCs w:val="40"/>
              </w:rPr>
              <w:br/>
              <w:t>or Punishment</w:t>
            </w:r>
          </w:p>
          <w:p w:rsidR="00B529F8" w:rsidRPr="00304A52" w:rsidRDefault="00B529F8" w:rsidP="004876DE">
            <w:pPr>
              <w:spacing w:before="120" w:line="380" w:lineRule="exact"/>
              <w:rPr>
                <w:sz w:val="24"/>
                <w:szCs w:val="24"/>
              </w:rPr>
            </w:pPr>
          </w:p>
        </w:tc>
        <w:tc>
          <w:tcPr>
            <w:tcW w:w="2835" w:type="dxa"/>
            <w:tcBorders>
              <w:top w:val="single" w:sz="4" w:space="0" w:color="auto"/>
              <w:bottom w:val="single" w:sz="12" w:space="0" w:color="auto"/>
            </w:tcBorders>
          </w:tcPr>
          <w:p w:rsidR="004876DE" w:rsidRPr="00C07884" w:rsidRDefault="004876DE" w:rsidP="003E2A2C">
            <w:pPr>
              <w:spacing w:before="240" w:line="240" w:lineRule="exact"/>
            </w:pPr>
            <w:r w:rsidRPr="00C07884">
              <w:t xml:space="preserve">Distr.: </w:t>
            </w:r>
            <w:r w:rsidR="003E2A2C">
              <w:t>General</w:t>
            </w:r>
          </w:p>
          <w:p w:rsidR="004876DE" w:rsidRPr="00C07884" w:rsidRDefault="00B04E30" w:rsidP="00E8770E">
            <w:pPr>
              <w:spacing w:line="240" w:lineRule="exact"/>
            </w:pPr>
            <w:r>
              <w:t>10</w:t>
            </w:r>
            <w:r w:rsidR="003E2A2C">
              <w:t xml:space="preserve"> August</w:t>
            </w:r>
            <w:r w:rsidR="00703393">
              <w:t xml:space="preserve"> </w:t>
            </w:r>
            <w:r w:rsidR="007A5D50" w:rsidRPr="00C07884">
              <w:t>201</w:t>
            </w:r>
            <w:r w:rsidR="00F86222">
              <w:t>6</w:t>
            </w:r>
          </w:p>
          <w:p w:rsidR="004876DE" w:rsidRPr="00C07884" w:rsidRDefault="004876DE" w:rsidP="004876DE">
            <w:pPr>
              <w:spacing w:line="240" w:lineRule="exact"/>
            </w:pPr>
          </w:p>
          <w:p w:rsidR="004876DE" w:rsidRDefault="004876DE" w:rsidP="004876DE">
            <w:pPr>
              <w:spacing w:line="240" w:lineRule="exact"/>
            </w:pPr>
            <w:r w:rsidRPr="00C07884">
              <w:t>Original: English</w:t>
            </w:r>
          </w:p>
          <w:p w:rsidR="004876DE" w:rsidRPr="00C07884" w:rsidRDefault="004876DE" w:rsidP="004876DE">
            <w:pPr>
              <w:spacing w:line="240" w:lineRule="exact"/>
            </w:pPr>
          </w:p>
          <w:p w:rsidR="004876DE" w:rsidRPr="00C07884" w:rsidRDefault="004876DE" w:rsidP="004876DE">
            <w:pPr>
              <w:spacing w:line="240" w:lineRule="exact"/>
            </w:pPr>
          </w:p>
        </w:tc>
      </w:tr>
    </w:tbl>
    <w:p w:rsidR="00043169" w:rsidRPr="00043169" w:rsidRDefault="00043169" w:rsidP="00043169">
      <w:pPr>
        <w:spacing w:line="20" w:lineRule="exact"/>
        <w:rPr>
          <w:b/>
          <w:sz w:val="2"/>
          <w:szCs w:val="24"/>
        </w:rPr>
      </w:pPr>
    </w:p>
    <w:p w:rsidR="004876DE" w:rsidRPr="00C07884" w:rsidRDefault="004876DE" w:rsidP="004876DE">
      <w:pPr>
        <w:spacing w:before="120"/>
        <w:rPr>
          <w:b/>
          <w:sz w:val="24"/>
          <w:szCs w:val="24"/>
        </w:rPr>
      </w:pPr>
      <w:r w:rsidRPr="00C07884">
        <w:rPr>
          <w:b/>
          <w:sz w:val="24"/>
          <w:szCs w:val="24"/>
        </w:rPr>
        <w:t>Committee against Torture</w:t>
      </w:r>
    </w:p>
    <w:p w:rsidR="004359C3" w:rsidRPr="000F26A2" w:rsidRDefault="004876DE" w:rsidP="00304A52">
      <w:pPr>
        <w:pStyle w:val="HChG"/>
        <w:rPr>
          <w:szCs w:val="24"/>
        </w:rPr>
      </w:pPr>
      <w:r w:rsidRPr="00C07884">
        <w:tab/>
      </w:r>
      <w:r w:rsidRPr="00C07884">
        <w:tab/>
      </w:r>
      <w:r w:rsidR="004359C3" w:rsidRPr="000F26A2">
        <w:rPr>
          <w:szCs w:val="24"/>
        </w:rPr>
        <w:t>Decision adopted by the Committee</w:t>
      </w:r>
      <w:r w:rsidR="005E467D">
        <w:rPr>
          <w:szCs w:val="24"/>
        </w:rPr>
        <w:t xml:space="preserve"> under article 22 of the Convention, concerning communication No. 529/2012</w:t>
      </w:r>
      <w:r w:rsidR="00A362AF" w:rsidRPr="009B4376">
        <w:rPr>
          <w:rStyle w:val="FootnoteReference"/>
          <w:b w:val="0"/>
          <w:bCs/>
          <w:sz w:val="20"/>
          <w:vertAlign w:val="baseline"/>
        </w:rPr>
        <w:footnoteReference w:customMarkFollows="1" w:id="3"/>
        <w:t>**</w:t>
      </w:r>
      <w:r w:rsidR="00496649" w:rsidRPr="009B4376">
        <w:rPr>
          <w:b w:val="0"/>
          <w:bCs/>
          <w:position w:val="4"/>
          <w:sz w:val="20"/>
        </w:rPr>
        <w:t>,</w:t>
      </w:r>
      <w:r w:rsidR="00496649" w:rsidRPr="00304A52">
        <w:rPr>
          <w:b w:val="0"/>
          <w:bCs/>
          <w:sz w:val="20"/>
          <w:szCs w:val="24"/>
        </w:rPr>
        <w:t xml:space="preserve"> </w:t>
      </w:r>
      <w:r w:rsidR="00A362AF" w:rsidRPr="009B4376">
        <w:rPr>
          <w:rStyle w:val="FootnoteReference"/>
          <w:b w:val="0"/>
          <w:bCs/>
          <w:sz w:val="20"/>
          <w:szCs w:val="24"/>
          <w:vertAlign w:val="baseline"/>
        </w:rPr>
        <w:footnoteReference w:customMarkFollows="1" w:id="4"/>
        <w:t>***</w:t>
      </w:r>
      <w:r w:rsidR="00B04E30" w:rsidRPr="00A362AF">
        <w:rPr>
          <w:b w:val="0"/>
          <w:bCs/>
          <w:sz w:val="20"/>
          <w:szCs w:val="24"/>
        </w:rPr>
        <w:t xml:space="preserve"> </w:t>
      </w:r>
    </w:p>
    <w:p w:rsidR="00712926" w:rsidRPr="00C07884" w:rsidRDefault="004876DE" w:rsidP="00304A52">
      <w:pPr>
        <w:pStyle w:val="SingleTxtG"/>
        <w:ind w:left="4536" w:hanging="3402"/>
        <w:jc w:val="left"/>
        <w:rPr>
          <w:lang w:val="en-GB"/>
        </w:rPr>
      </w:pPr>
      <w:r w:rsidRPr="00C07884">
        <w:rPr>
          <w:i/>
          <w:lang w:val="en-GB"/>
        </w:rPr>
        <w:t>Submitted by:</w:t>
      </w:r>
      <w:r w:rsidRPr="00C07884">
        <w:rPr>
          <w:i/>
          <w:lang w:val="en-GB"/>
        </w:rPr>
        <w:tab/>
      </w:r>
      <w:r w:rsidR="00E3333E">
        <w:rPr>
          <w:lang w:val="en-GB"/>
        </w:rPr>
        <w:t>J.B</w:t>
      </w:r>
      <w:r w:rsidR="002C2092">
        <w:rPr>
          <w:lang w:val="en-GB"/>
        </w:rPr>
        <w:t>.</w:t>
      </w:r>
      <w:r w:rsidR="00CF6197" w:rsidRPr="00CF6197">
        <w:rPr>
          <w:lang w:val="en-GB"/>
        </w:rPr>
        <w:t xml:space="preserve"> </w:t>
      </w:r>
      <w:r w:rsidR="00712926" w:rsidRPr="00C07884">
        <w:rPr>
          <w:lang w:val="en-GB"/>
        </w:rPr>
        <w:t>(represented by counsel</w:t>
      </w:r>
      <w:r w:rsidR="00496649">
        <w:rPr>
          <w:lang w:val="en-GB"/>
        </w:rPr>
        <w:t>,</w:t>
      </w:r>
      <w:r w:rsidR="00B055A7">
        <w:rPr>
          <w:lang w:val="en-GB"/>
        </w:rPr>
        <w:t xml:space="preserve"> </w:t>
      </w:r>
      <w:r w:rsidR="00E3333E" w:rsidRPr="00E3333E">
        <w:rPr>
          <w:lang w:val="en-GB"/>
        </w:rPr>
        <w:t>Bashir Khan</w:t>
      </w:r>
      <w:r w:rsidR="00712926" w:rsidRPr="00C07884">
        <w:rPr>
          <w:lang w:val="en-GB"/>
        </w:rPr>
        <w:t>)</w:t>
      </w:r>
    </w:p>
    <w:p w:rsidR="004876DE" w:rsidRPr="00C07884" w:rsidRDefault="00243943" w:rsidP="00304A52">
      <w:pPr>
        <w:pStyle w:val="SingleTxtG"/>
        <w:ind w:left="4536" w:hanging="3402"/>
        <w:jc w:val="left"/>
        <w:rPr>
          <w:lang w:val="en-GB"/>
        </w:rPr>
      </w:pPr>
      <w:r w:rsidRPr="00C07884">
        <w:rPr>
          <w:i/>
          <w:lang w:val="en-GB"/>
        </w:rPr>
        <w:t>Alleged victim</w:t>
      </w:r>
      <w:r w:rsidR="004876DE" w:rsidRPr="00C07884">
        <w:rPr>
          <w:i/>
          <w:lang w:val="en-GB"/>
        </w:rPr>
        <w:t>:</w:t>
      </w:r>
      <w:r w:rsidR="004876DE" w:rsidRPr="00C07884">
        <w:rPr>
          <w:i/>
          <w:lang w:val="en-GB"/>
        </w:rPr>
        <w:tab/>
      </w:r>
      <w:r w:rsidR="004876DE" w:rsidRPr="00C07884">
        <w:rPr>
          <w:lang w:val="en-GB"/>
        </w:rPr>
        <w:t>The complainant</w:t>
      </w:r>
    </w:p>
    <w:p w:rsidR="004876DE" w:rsidRPr="00C07884" w:rsidRDefault="004876DE" w:rsidP="00304A52">
      <w:pPr>
        <w:pStyle w:val="SingleTxtG"/>
        <w:ind w:left="4536" w:hanging="3402"/>
        <w:jc w:val="left"/>
        <w:rPr>
          <w:lang w:val="en-GB"/>
        </w:rPr>
      </w:pPr>
      <w:r w:rsidRPr="00C07884">
        <w:rPr>
          <w:i/>
          <w:lang w:val="en-GB"/>
        </w:rPr>
        <w:t>State party:</w:t>
      </w:r>
      <w:r w:rsidRPr="00C07884">
        <w:rPr>
          <w:i/>
          <w:lang w:val="en-GB"/>
        </w:rPr>
        <w:tab/>
      </w:r>
      <w:r w:rsidR="00E3333E">
        <w:rPr>
          <w:lang w:val="en-GB"/>
        </w:rPr>
        <w:t>Canada</w:t>
      </w:r>
    </w:p>
    <w:p w:rsidR="004876DE" w:rsidRPr="00C07884" w:rsidRDefault="004876DE" w:rsidP="00304A52">
      <w:pPr>
        <w:pStyle w:val="SingleTxtG"/>
        <w:ind w:left="4536" w:hanging="3402"/>
        <w:jc w:val="left"/>
        <w:rPr>
          <w:lang w:val="en-GB"/>
        </w:rPr>
      </w:pPr>
      <w:r w:rsidRPr="00C07884">
        <w:rPr>
          <w:i/>
          <w:lang w:val="en-GB"/>
        </w:rPr>
        <w:t>Date of complaint:</w:t>
      </w:r>
      <w:r w:rsidRPr="00C07884">
        <w:rPr>
          <w:i/>
          <w:lang w:val="en-GB"/>
        </w:rPr>
        <w:tab/>
      </w:r>
      <w:r w:rsidR="00E3333E" w:rsidRPr="00E3333E">
        <w:rPr>
          <w:bCs/>
        </w:rPr>
        <w:t xml:space="preserve">16 November 2012 </w:t>
      </w:r>
      <w:r w:rsidRPr="00C07884">
        <w:rPr>
          <w:lang w:val="en-GB"/>
        </w:rPr>
        <w:t>(initial submission)</w:t>
      </w:r>
    </w:p>
    <w:p w:rsidR="004876DE" w:rsidRPr="00CF6197" w:rsidRDefault="004876DE" w:rsidP="00304A52">
      <w:pPr>
        <w:pStyle w:val="SingleTxtG"/>
        <w:ind w:left="4536" w:hanging="3402"/>
        <w:jc w:val="left"/>
        <w:rPr>
          <w:lang w:val="en-GB"/>
        </w:rPr>
      </w:pPr>
      <w:r w:rsidRPr="00C07884">
        <w:rPr>
          <w:i/>
          <w:lang w:val="en-GB"/>
        </w:rPr>
        <w:t>Date of present decision:</w:t>
      </w:r>
      <w:r w:rsidRPr="00C07884">
        <w:rPr>
          <w:i/>
          <w:lang w:val="en-GB"/>
        </w:rPr>
        <w:tab/>
      </w:r>
      <w:r w:rsidR="004359C3">
        <w:rPr>
          <w:lang w:val="en-GB"/>
        </w:rPr>
        <w:t xml:space="preserve">6 May </w:t>
      </w:r>
      <w:r w:rsidR="00CF6197">
        <w:rPr>
          <w:lang w:val="en-GB"/>
        </w:rPr>
        <w:t>201</w:t>
      </w:r>
      <w:r w:rsidR="00F86222">
        <w:rPr>
          <w:lang w:val="en-GB"/>
        </w:rPr>
        <w:t>6</w:t>
      </w:r>
    </w:p>
    <w:p w:rsidR="004876DE" w:rsidRPr="004F499F" w:rsidRDefault="004876DE" w:rsidP="00304A52">
      <w:pPr>
        <w:pStyle w:val="SingleTxtG"/>
        <w:ind w:left="4536" w:hanging="3402"/>
        <w:jc w:val="left"/>
        <w:rPr>
          <w:lang w:val="en-GB"/>
        </w:rPr>
      </w:pPr>
      <w:r w:rsidRPr="00C07884">
        <w:rPr>
          <w:i/>
          <w:iCs/>
          <w:lang w:val="en-GB"/>
        </w:rPr>
        <w:t>Subject matter:</w:t>
      </w:r>
      <w:r w:rsidRPr="00C07884">
        <w:rPr>
          <w:i/>
          <w:lang w:val="en-GB"/>
        </w:rPr>
        <w:tab/>
      </w:r>
      <w:r w:rsidR="004F499F">
        <w:rPr>
          <w:lang w:val="en-GB"/>
        </w:rPr>
        <w:t xml:space="preserve">Deportation to </w:t>
      </w:r>
      <w:r w:rsidR="00E3333E">
        <w:rPr>
          <w:lang w:val="en-GB"/>
        </w:rPr>
        <w:t>Pakistan</w:t>
      </w:r>
    </w:p>
    <w:p w:rsidR="00E3333E" w:rsidDel="00496649" w:rsidRDefault="004876DE" w:rsidP="00304A52">
      <w:pPr>
        <w:pStyle w:val="SingleTxtG"/>
        <w:ind w:left="4536" w:hanging="3402"/>
        <w:jc w:val="left"/>
        <w:rPr>
          <w:i/>
          <w:iCs/>
          <w:lang w:val="en-GB"/>
        </w:rPr>
      </w:pPr>
      <w:r w:rsidRPr="00C07884" w:rsidDel="00496649">
        <w:rPr>
          <w:i/>
          <w:iCs/>
          <w:lang w:val="en-GB"/>
        </w:rPr>
        <w:t>Substantive issue</w:t>
      </w:r>
      <w:r w:rsidR="00E9345C" w:rsidRPr="00C07884" w:rsidDel="00496649">
        <w:rPr>
          <w:i/>
          <w:iCs/>
          <w:lang w:val="en-GB"/>
        </w:rPr>
        <w:t>s</w:t>
      </w:r>
      <w:r w:rsidRPr="00C07884" w:rsidDel="00496649">
        <w:rPr>
          <w:i/>
          <w:iCs/>
          <w:lang w:val="en-GB"/>
        </w:rPr>
        <w:t>:</w:t>
      </w:r>
      <w:r w:rsidRPr="00C07884" w:rsidDel="00496649">
        <w:rPr>
          <w:i/>
          <w:iCs/>
          <w:lang w:val="en-GB"/>
        </w:rPr>
        <w:tab/>
      </w:r>
      <w:r w:rsidR="004F499F" w:rsidDel="00496649">
        <w:rPr>
          <w:iCs/>
          <w:lang w:val="en-GB"/>
        </w:rPr>
        <w:t>Non-refoulement</w:t>
      </w:r>
      <w:r w:rsidR="00E3333E" w:rsidRPr="00E3333E" w:rsidDel="00496649">
        <w:rPr>
          <w:i/>
          <w:iCs/>
          <w:lang w:val="en-GB"/>
        </w:rPr>
        <w:t xml:space="preserve"> </w:t>
      </w:r>
    </w:p>
    <w:p w:rsidR="00A51329" w:rsidRDefault="00E3333E" w:rsidP="00304A52">
      <w:pPr>
        <w:pStyle w:val="SingleTxtG"/>
        <w:ind w:left="4536" w:hanging="3402"/>
        <w:jc w:val="left"/>
        <w:rPr>
          <w:lang w:val="en-GB"/>
        </w:rPr>
      </w:pPr>
      <w:r>
        <w:rPr>
          <w:i/>
          <w:iCs/>
          <w:lang w:val="en-GB"/>
        </w:rPr>
        <w:t>P</w:t>
      </w:r>
      <w:r w:rsidRPr="00C07884">
        <w:rPr>
          <w:i/>
          <w:iCs/>
          <w:lang w:val="en-GB"/>
        </w:rPr>
        <w:t>rocedural issues</w:t>
      </w:r>
      <w:r w:rsidRPr="00C07884">
        <w:rPr>
          <w:i/>
          <w:lang w:val="en-GB"/>
        </w:rPr>
        <w:t>:</w:t>
      </w:r>
      <w:r w:rsidR="00D75AAB">
        <w:rPr>
          <w:lang w:val="en-GB"/>
        </w:rPr>
        <w:tab/>
        <w:t>Admissibility</w:t>
      </w:r>
      <w:r w:rsidR="00496649">
        <w:rPr>
          <w:lang w:val="en-GB"/>
        </w:rPr>
        <w:t xml:space="preserve"> –</w:t>
      </w:r>
      <w:r w:rsidR="00D75AAB">
        <w:rPr>
          <w:lang w:val="en-GB"/>
        </w:rPr>
        <w:t xml:space="preserve"> exhaustion of domestic remedies</w:t>
      </w:r>
    </w:p>
    <w:p w:rsidR="004876DE" w:rsidRDefault="004876DE" w:rsidP="00304A52">
      <w:pPr>
        <w:pStyle w:val="SingleTxtG"/>
        <w:ind w:left="4536" w:hanging="3402"/>
        <w:jc w:val="left"/>
        <w:rPr>
          <w:iCs/>
          <w:lang w:val="en-GB"/>
        </w:rPr>
      </w:pPr>
      <w:r w:rsidRPr="00C07884">
        <w:rPr>
          <w:i/>
          <w:iCs/>
          <w:lang w:val="en-GB"/>
        </w:rPr>
        <w:t>Article</w:t>
      </w:r>
      <w:r w:rsidR="00E9345C" w:rsidRPr="00C07884">
        <w:rPr>
          <w:i/>
          <w:iCs/>
          <w:lang w:val="en-GB"/>
        </w:rPr>
        <w:t>s</w:t>
      </w:r>
      <w:r w:rsidRPr="00C07884">
        <w:rPr>
          <w:i/>
          <w:iCs/>
          <w:lang w:val="en-GB"/>
        </w:rPr>
        <w:t xml:space="preserve"> of the Convention</w:t>
      </w:r>
      <w:r w:rsidRPr="00C07884">
        <w:rPr>
          <w:i/>
          <w:lang w:val="en-GB"/>
        </w:rPr>
        <w:t>:</w:t>
      </w:r>
      <w:r w:rsidRPr="00C07884">
        <w:rPr>
          <w:i/>
          <w:iCs/>
          <w:lang w:val="en-GB"/>
        </w:rPr>
        <w:tab/>
      </w:r>
      <w:r w:rsidR="00E47195">
        <w:rPr>
          <w:iCs/>
          <w:lang w:val="en-GB"/>
        </w:rPr>
        <w:t>3</w:t>
      </w:r>
      <w:r w:rsidR="00496649">
        <w:rPr>
          <w:iCs/>
          <w:lang w:val="en-GB"/>
        </w:rPr>
        <w:t xml:space="preserve"> and</w:t>
      </w:r>
      <w:r w:rsidR="002C2092">
        <w:rPr>
          <w:iCs/>
          <w:lang w:val="en-GB"/>
        </w:rPr>
        <w:t xml:space="preserve"> 22</w:t>
      </w:r>
    </w:p>
    <w:p w:rsidR="00496649" w:rsidRPr="00E47195" w:rsidRDefault="00496649" w:rsidP="00496649">
      <w:pPr>
        <w:pStyle w:val="SingleTxtG"/>
        <w:ind w:left="4536" w:hanging="3402"/>
        <w:rPr>
          <w:lang w:val="en-GB"/>
        </w:rPr>
      </w:pPr>
    </w:p>
    <w:p w:rsidR="00E3333E" w:rsidRPr="00D20DA8" w:rsidRDefault="00E3333E" w:rsidP="002421C4">
      <w:pPr>
        <w:pStyle w:val="SingleTxtG"/>
      </w:pPr>
      <w:r w:rsidRPr="00E3333E">
        <w:t>1.1</w:t>
      </w:r>
      <w:r w:rsidRPr="00E3333E">
        <w:tab/>
        <w:t>The complainant is J</w:t>
      </w:r>
      <w:r w:rsidR="005E64F1" w:rsidRPr="005E64F1">
        <w:t>.</w:t>
      </w:r>
      <w:r w:rsidRPr="00E3333E">
        <w:t>B</w:t>
      </w:r>
      <w:r w:rsidR="005E64F1" w:rsidRPr="00D20DA8">
        <w:t xml:space="preserve">., </w:t>
      </w:r>
      <w:r w:rsidR="00496649">
        <w:rPr>
          <w:lang w:val="en-US"/>
        </w:rPr>
        <w:t xml:space="preserve">a </w:t>
      </w:r>
      <w:r w:rsidR="005E64F1" w:rsidRPr="00D20DA8">
        <w:t>national</w:t>
      </w:r>
      <w:r w:rsidRPr="00E3333E">
        <w:t xml:space="preserve"> of Pakistan, bo</w:t>
      </w:r>
      <w:r w:rsidR="003327D5">
        <w:t>rn on 1 January 1963. She claim</w:t>
      </w:r>
      <w:r w:rsidR="003327D5" w:rsidRPr="003327D5">
        <w:t>ed</w:t>
      </w:r>
      <w:r w:rsidRPr="00E3333E">
        <w:t xml:space="preserve"> that her deportation to Pakistan would constitute a violation</w:t>
      </w:r>
      <w:r w:rsidR="002421C4">
        <w:rPr>
          <w:lang w:val="en-US"/>
        </w:rPr>
        <w:t xml:space="preserve"> by Canada</w:t>
      </w:r>
      <w:r w:rsidRPr="00E3333E">
        <w:t xml:space="preserve"> of her rights guaranteed by the Convention. The complainant d</w:t>
      </w:r>
      <w:r w:rsidR="002421C4">
        <w:rPr>
          <w:lang w:val="en-US"/>
        </w:rPr>
        <w:t>oes</w:t>
      </w:r>
      <w:r w:rsidR="003327D5" w:rsidRPr="003327D5">
        <w:t xml:space="preserve"> </w:t>
      </w:r>
      <w:r w:rsidRPr="00E3333E">
        <w:t>not explicitly indicate any article of the Convention, but the facts</w:t>
      </w:r>
      <w:r w:rsidR="002421C4">
        <w:rPr>
          <w:lang w:val="en-US"/>
        </w:rPr>
        <w:t>,</w:t>
      </w:r>
      <w:r w:rsidRPr="00E3333E">
        <w:t xml:space="preserve"> as presented</w:t>
      </w:r>
      <w:r w:rsidR="002421C4">
        <w:rPr>
          <w:lang w:val="en-US"/>
        </w:rPr>
        <w:t>,</w:t>
      </w:r>
      <w:r w:rsidRPr="00E3333E">
        <w:t xml:space="preserve"> raise issues under article 3 of the Convention. </w:t>
      </w:r>
      <w:r w:rsidRPr="00D20DA8">
        <w:t>The complainant is represented by counsel, Bashir Khan.</w:t>
      </w:r>
    </w:p>
    <w:p w:rsidR="00E3333E" w:rsidRPr="00AA4282" w:rsidRDefault="00E3333E" w:rsidP="00FA703A">
      <w:pPr>
        <w:pStyle w:val="SingleTxtG"/>
      </w:pPr>
      <w:r w:rsidRPr="004C07A2">
        <w:rPr>
          <w:bCs/>
        </w:rPr>
        <w:t>1.2</w:t>
      </w:r>
      <w:r w:rsidRPr="004C07A2">
        <w:rPr>
          <w:bCs/>
        </w:rPr>
        <w:tab/>
      </w:r>
      <w:r w:rsidRPr="00AA4282">
        <w:t>On 2</w:t>
      </w:r>
      <w:r w:rsidR="00D20DA8" w:rsidRPr="00D20DA8">
        <w:rPr>
          <w:lang w:val="en-GB"/>
        </w:rPr>
        <w:t>2</w:t>
      </w:r>
      <w:r w:rsidRPr="00B055A7">
        <w:rPr>
          <w:lang w:val="en-GB"/>
        </w:rPr>
        <w:t xml:space="preserve"> </w:t>
      </w:r>
      <w:r w:rsidR="00D20DA8">
        <w:rPr>
          <w:lang w:val="en-GB"/>
        </w:rPr>
        <w:t>November</w:t>
      </w:r>
      <w:r w:rsidRPr="00AA4282">
        <w:t xml:space="preserve"> 201</w:t>
      </w:r>
      <w:r w:rsidR="0039713E" w:rsidRPr="0039713E">
        <w:rPr>
          <w:lang w:val="en-GB"/>
        </w:rPr>
        <w:t>2</w:t>
      </w:r>
      <w:r w:rsidRPr="00AA4282">
        <w:t>, in appli</w:t>
      </w:r>
      <w:r>
        <w:t>cation of rule 114</w:t>
      </w:r>
      <w:r w:rsidR="00FA703A">
        <w:rPr>
          <w:lang w:val="en-US"/>
        </w:rPr>
        <w:t xml:space="preserve"> (</w:t>
      </w:r>
      <w:r>
        <w:t>1</w:t>
      </w:r>
      <w:r w:rsidR="00FA703A">
        <w:rPr>
          <w:lang w:val="en-US"/>
        </w:rPr>
        <w:t>)</w:t>
      </w:r>
      <w:r w:rsidRPr="00AA4282">
        <w:t xml:space="preserve"> of its </w:t>
      </w:r>
      <w:r>
        <w:t>rules of procedure</w:t>
      </w:r>
      <w:r w:rsidRPr="00AA4282">
        <w:t xml:space="preserve">, the Committee requested the State party not to </w:t>
      </w:r>
      <w:r>
        <w:rPr>
          <w:lang w:val="en-GB"/>
        </w:rPr>
        <w:t>deport</w:t>
      </w:r>
      <w:r w:rsidRPr="00AA4282">
        <w:t xml:space="preserve"> the complainant to </w:t>
      </w:r>
      <w:r w:rsidR="00D20DA8" w:rsidRPr="00D20DA8">
        <w:rPr>
          <w:lang w:val="en-GB"/>
        </w:rPr>
        <w:t>Pakistan</w:t>
      </w:r>
      <w:r w:rsidRPr="00AA4282">
        <w:t xml:space="preserve"> while </w:t>
      </w:r>
      <w:r w:rsidR="00FA703A">
        <w:rPr>
          <w:lang w:val="en-US"/>
        </w:rPr>
        <w:t>her complaint</w:t>
      </w:r>
      <w:r w:rsidRPr="00AA4282">
        <w:t xml:space="preserve"> </w:t>
      </w:r>
      <w:r>
        <w:t>wa</w:t>
      </w:r>
      <w:r w:rsidRPr="00AA4282">
        <w:t>s being considered by the Committee.</w:t>
      </w:r>
    </w:p>
    <w:p w:rsidR="00E3333E" w:rsidRDefault="00E3333E" w:rsidP="00FA703A">
      <w:pPr>
        <w:pStyle w:val="SingleTxtG"/>
        <w:rPr>
          <w:bCs/>
        </w:rPr>
      </w:pPr>
      <w:r w:rsidRPr="00D20DA8">
        <w:rPr>
          <w:bCs/>
        </w:rPr>
        <w:t>1.3</w:t>
      </w:r>
      <w:r w:rsidRPr="00D20DA8">
        <w:rPr>
          <w:bCs/>
        </w:rPr>
        <w:tab/>
      </w:r>
      <w:r w:rsidR="00D20DA8" w:rsidRPr="00D20DA8">
        <w:rPr>
          <w:bCs/>
        </w:rPr>
        <w:t xml:space="preserve">On 16 September 2014, the Committee decided to </w:t>
      </w:r>
      <w:r w:rsidR="00D20DA8">
        <w:rPr>
          <w:bCs/>
        </w:rPr>
        <w:t xml:space="preserve">lift </w:t>
      </w:r>
      <w:r w:rsidR="00FA703A">
        <w:rPr>
          <w:bCs/>
          <w:lang w:val="en-US"/>
        </w:rPr>
        <w:t>the</w:t>
      </w:r>
      <w:r w:rsidR="00D20DA8">
        <w:rPr>
          <w:bCs/>
        </w:rPr>
        <w:t xml:space="preserve"> interim measures in</w:t>
      </w:r>
      <w:r w:rsidR="00FA703A">
        <w:rPr>
          <w:bCs/>
          <w:lang w:val="en-US"/>
        </w:rPr>
        <w:t xml:space="preserve"> the</w:t>
      </w:r>
      <w:r w:rsidR="00D20DA8">
        <w:rPr>
          <w:bCs/>
        </w:rPr>
        <w:t xml:space="preserve"> light of information received </w:t>
      </w:r>
      <w:r w:rsidR="00C43F1F">
        <w:rPr>
          <w:bCs/>
        </w:rPr>
        <w:t>from</w:t>
      </w:r>
      <w:r w:rsidR="00D20DA8">
        <w:rPr>
          <w:bCs/>
        </w:rPr>
        <w:t xml:space="preserve"> the parties.</w:t>
      </w:r>
      <w:r w:rsidR="00DB79DB">
        <w:rPr>
          <w:bCs/>
        </w:rPr>
        <w:t xml:space="preserve"> On </w:t>
      </w:r>
      <w:r w:rsidR="00DE07EC">
        <w:rPr>
          <w:bCs/>
        </w:rPr>
        <w:t>the same date</w:t>
      </w:r>
      <w:r w:rsidR="00DB79DB">
        <w:rPr>
          <w:bCs/>
        </w:rPr>
        <w:t xml:space="preserve"> the complainant was deported to Pakistan.</w:t>
      </w:r>
    </w:p>
    <w:p w:rsidR="00D20DA8" w:rsidRPr="004C07A2" w:rsidRDefault="00B04E30" w:rsidP="00304A52">
      <w:pPr>
        <w:pStyle w:val="H23G"/>
      </w:pPr>
      <w:r>
        <w:lastRenderedPageBreak/>
        <w:tab/>
      </w:r>
      <w:r>
        <w:tab/>
      </w:r>
      <w:r w:rsidR="00D20DA8" w:rsidRPr="004C07A2">
        <w:t>Fact</w:t>
      </w:r>
      <w:r w:rsidR="00D75AAB">
        <w:t>ual background</w:t>
      </w:r>
    </w:p>
    <w:p w:rsidR="00D20DA8" w:rsidRPr="0039713E" w:rsidRDefault="00E3333E" w:rsidP="00FA703A">
      <w:pPr>
        <w:pStyle w:val="SingleTxtG"/>
      </w:pPr>
      <w:r w:rsidRPr="00E3333E">
        <w:t>2.1</w:t>
      </w:r>
      <w:r w:rsidRPr="00E3333E">
        <w:tab/>
        <w:t xml:space="preserve">The </w:t>
      </w:r>
      <w:r w:rsidR="003327D5" w:rsidRPr="003327D5">
        <w:t xml:space="preserve">complainant </w:t>
      </w:r>
      <w:r w:rsidRPr="00E3333E">
        <w:t>allege</w:t>
      </w:r>
      <w:r w:rsidR="003327D5" w:rsidRPr="003327D5">
        <w:t>d</w:t>
      </w:r>
      <w:r w:rsidRPr="00E3333E">
        <w:t xml:space="preserve"> that if deported to Pakistan, she </w:t>
      </w:r>
      <w:r w:rsidR="003327D5" w:rsidRPr="003327D5">
        <w:t xml:space="preserve">would </w:t>
      </w:r>
      <w:r w:rsidRPr="00E3333E">
        <w:t>be at risk of torture or execution by her ex-husband</w:t>
      </w:r>
      <w:r w:rsidR="00FA703A">
        <w:rPr>
          <w:lang w:val="en-US"/>
        </w:rPr>
        <w:t>,</w:t>
      </w:r>
      <w:r w:rsidR="00D86CE8" w:rsidRPr="00D86CE8">
        <w:t xml:space="preserve"> B.</w:t>
      </w:r>
      <w:r w:rsidR="00D86CE8">
        <w:t>A.</w:t>
      </w:r>
      <w:r w:rsidR="0039713E" w:rsidRPr="0039713E">
        <w:t>, his</w:t>
      </w:r>
      <w:r w:rsidRPr="00E3333E">
        <w:t xml:space="preserve"> family or the national </w:t>
      </w:r>
      <w:r w:rsidR="00043463" w:rsidRPr="00043463">
        <w:t>author</w:t>
      </w:r>
      <w:r w:rsidR="002932FB">
        <w:t>ities</w:t>
      </w:r>
      <w:r w:rsidR="009F0E4B">
        <w:t xml:space="preserve"> because she </w:t>
      </w:r>
      <w:r w:rsidR="00FA703A">
        <w:rPr>
          <w:lang w:val="en-US"/>
        </w:rPr>
        <w:t>had been</w:t>
      </w:r>
      <w:r w:rsidRPr="00E3333E">
        <w:t xml:space="preserve"> accused of committing adultery. </w:t>
      </w:r>
    </w:p>
    <w:p w:rsidR="00E3333E" w:rsidRPr="0039713E" w:rsidRDefault="00E3333E">
      <w:pPr>
        <w:pStyle w:val="SingleTxtG"/>
      </w:pPr>
      <w:r w:rsidRPr="00E3333E">
        <w:t>2.2</w:t>
      </w:r>
      <w:r w:rsidRPr="00E3333E">
        <w:tab/>
        <w:t>The complainant maintain</w:t>
      </w:r>
      <w:r w:rsidR="003327D5" w:rsidRPr="003327D5">
        <w:t>ed</w:t>
      </w:r>
      <w:r w:rsidRPr="00E3333E">
        <w:t xml:space="preserve"> that she </w:t>
      </w:r>
      <w:r w:rsidR="00E05175">
        <w:rPr>
          <w:lang w:val="en-US"/>
        </w:rPr>
        <w:t>had been</w:t>
      </w:r>
      <w:r w:rsidRPr="00E3333E">
        <w:t xml:space="preserve"> abused and harassed by her ex-husband’s family</w:t>
      </w:r>
      <w:r w:rsidR="0039713E" w:rsidRPr="0039713E">
        <w:t xml:space="preserve">, </w:t>
      </w:r>
      <w:r w:rsidRPr="00E3333E">
        <w:t>in particular</w:t>
      </w:r>
      <w:r w:rsidR="0039713E" w:rsidRPr="0039713E">
        <w:t xml:space="preserve"> by</w:t>
      </w:r>
      <w:r w:rsidRPr="00E3333E">
        <w:t xml:space="preserve"> </w:t>
      </w:r>
      <w:r w:rsidR="0074684C" w:rsidRPr="0074684C">
        <w:t>a relative</w:t>
      </w:r>
      <w:r w:rsidR="00FA703A">
        <w:rPr>
          <w:lang w:val="en-US"/>
        </w:rPr>
        <w:t>,</w:t>
      </w:r>
      <w:r w:rsidR="0074684C" w:rsidRPr="0074684C">
        <w:t xml:space="preserve"> B.</w:t>
      </w:r>
      <w:r w:rsidR="0039713E" w:rsidRPr="0039713E">
        <w:t xml:space="preserve">, following </w:t>
      </w:r>
      <w:r w:rsidR="0039713E">
        <w:t xml:space="preserve">a </w:t>
      </w:r>
      <w:r w:rsidR="0039713E" w:rsidRPr="00E3333E">
        <w:t xml:space="preserve">land ownership </w:t>
      </w:r>
      <w:r w:rsidRPr="00E3333E">
        <w:t>conflict</w:t>
      </w:r>
      <w:r w:rsidR="00FA703A">
        <w:rPr>
          <w:lang w:val="en-US"/>
        </w:rPr>
        <w:t xml:space="preserve"> that</w:t>
      </w:r>
      <w:r w:rsidR="0039713E" w:rsidRPr="0039713E">
        <w:t xml:space="preserve"> started</w:t>
      </w:r>
      <w:r w:rsidRPr="00E3333E">
        <w:t xml:space="preserve"> in </w:t>
      </w:r>
      <w:r w:rsidR="0039713E" w:rsidRPr="0039713E">
        <w:t xml:space="preserve">the </w:t>
      </w:r>
      <w:r w:rsidRPr="00E3333E">
        <w:t xml:space="preserve">1990s and still continues. </w:t>
      </w:r>
    </w:p>
    <w:p w:rsidR="002932FB" w:rsidRPr="0033034D" w:rsidRDefault="00E3333E" w:rsidP="002C54F8">
      <w:pPr>
        <w:pStyle w:val="SingleTxtG"/>
        <w:rPr>
          <w:lang w:val="en-CA"/>
        </w:rPr>
      </w:pPr>
      <w:r w:rsidRPr="0033034D">
        <w:t>2.3</w:t>
      </w:r>
      <w:r w:rsidR="0039713E" w:rsidRPr="0033034D">
        <w:tab/>
      </w:r>
      <w:r w:rsidR="00D86CE8" w:rsidRPr="0033034D">
        <w:rPr>
          <w:lang w:val="en-GB"/>
        </w:rPr>
        <w:t>The complainant and her th</w:t>
      </w:r>
      <w:r w:rsidR="00FA703A">
        <w:rPr>
          <w:lang w:val="en-GB"/>
        </w:rPr>
        <w:t>e</w:t>
      </w:r>
      <w:r w:rsidR="00D86CE8" w:rsidRPr="0033034D">
        <w:rPr>
          <w:lang w:val="en-GB"/>
        </w:rPr>
        <w:t xml:space="preserve">n husband </w:t>
      </w:r>
      <w:r w:rsidR="00FA703A">
        <w:rPr>
          <w:lang w:val="en-GB"/>
        </w:rPr>
        <w:t xml:space="preserve">had </w:t>
      </w:r>
      <w:r w:rsidR="00D86CE8" w:rsidRPr="0033034D">
        <w:rPr>
          <w:lang w:val="en-GB"/>
        </w:rPr>
        <w:t>bought land from B. but the latter refused to hand the land over after receiving the money. The complainant and her husband filed a law suit and a</w:t>
      </w:r>
      <w:r w:rsidR="002932FB" w:rsidRPr="0033034D">
        <w:rPr>
          <w:lang w:val="en-CA"/>
        </w:rPr>
        <w:t xml:space="preserve"> court decided in the</w:t>
      </w:r>
      <w:r w:rsidR="00D86CE8" w:rsidRPr="0033034D">
        <w:rPr>
          <w:lang w:val="en-CA"/>
        </w:rPr>
        <w:t>ir favour</w:t>
      </w:r>
      <w:r w:rsidR="002932FB" w:rsidRPr="0033034D">
        <w:rPr>
          <w:lang w:val="en-CA"/>
        </w:rPr>
        <w:t xml:space="preserve"> on 27 July 1992</w:t>
      </w:r>
      <w:r w:rsidR="00D86CE8" w:rsidRPr="0033034D">
        <w:rPr>
          <w:lang w:val="en-CA"/>
        </w:rPr>
        <w:t xml:space="preserve">. </w:t>
      </w:r>
      <w:r w:rsidR="002932FB" w:rsidRPr="0033034D">
        <w:rPr>
          <w:lang w:val="en-CA"/>
        </w:rPr>
        <w:t xml:space="preserve">After the court decision, </w:t>
      </w:r>
      <w:r w:rsidR="00D86CE8" w:rsidRPr="0033034D">
        <w:rPr>
          <w:lang w:val="en-CA"/>
        </w:rPr>
        <w:t>B.</w:t>
      </w:r>
      <w:r w:rsidR="002932FB" w:rsidRPr="0033034D">
        <w:rPr>
          <w:lang w:val="en-CA"/>
        </w:rPr>
        <w:t xml:space="preserve"> and his sons beat </w:t>
      </w:r>
      <w:r w:rsidR="00D86CE8" w:rsidRPr="0033034D">
        <w:rPr>
          <w:lang w:val="en-CA"/>
        </w:rPr>
        <w:t>B.A.</w:t>
      </w:r>
      <w:r w:rsidR="002932FB" w:rsidRPr="0033034D">
        <w:rPr>
          <w:lang w:val="en-CA"/>
        </w:rPr>
        <w:t xml:space="preserve"> with sticks. </w:t>
      </w:r>
      <w:r w:rsidR="00D86CE8" w:rsidRPr="0033034D">
        <w:rPr>
          <w:lang w:val="en-CA"/>
        </w:rPr>
        <w:t>On an unspecified date</w:t>
      </w:r>
      <w:r w:rsidR="002C54F8">
        <w:rPr>
          <w:lang w:val="en-CA"/>
        </w:rPr>
        <w:t>,</w:t>
      </w:r>
      <w:r w:rsidR="00D86CE8" w:rsidRPr="0033034D">
        <w:rPr>
          <w:lang w:val="en-CA"/>
        </w:rPr>
        <w:t xml:space="preserve"> B.</w:t>
      </w:r>
      <w:r w:rsidR="002932FB" w:rsidRPr="0033034D">
        <w:rPr>
          <w:lang w:val="en-CA"/>
        </w:rPr>
        <w:t xml:space="preserve"> set fire to the local document registry office, destroying the files </w:t>
      </w:r>
      <w:r w:rsidR="002C54F8">
        <w:rPr>
          <w:lang w:val="en-CA"/>
        </w:rPr>
        <w:t xml:space="preserve">that </w:t>
      </w:r>
      <w:r w:rsidR="002932FB" w:rsidRPr="0033034D">
        <w:rPr>
          <w:lang w:val="en-CA"/>
        </w:rPr>
        <w:t>contain</w:t>
      </w:r>
      <w:r w:rsidR="002C54F8">
        <w:rPr>
          <w:lang w:val="en-CA"/>
        </w:rPr>
        <w:t>ed</w:t>
      </w:r>
      <w:r w:rsidR="002932FB" w:rsidRPr="0033034D">
        <w:rPr>
          <w:lang w:val="en-CA"/>
        </w:rPr>
        <w:t xml:space="preserve"> the court decree and the relevant land documents. </w:t>
      </w:r>
      <w:r w:rsidR="00D86CE8" w:rsidRPr="0033034D">
        <w:rPr>
          <w:lang w:val="en-CA"/>
        </w:rPr>
        <w:t>B. and his sons “</w:t>
      </w:r>
      <w:r w:rsidR="002932FB" w:rsidRPr="0033034D">
        <w:rPr>
          <w:lang w:val="en-CA"/>
        </w:rPr>
        <w:t>teased, assaulted, harassed and physically abused</w:t>
      </w:r>
      <w:r w:rsidR="00D86CE8" w:rsidRPr="0033034D">
        <w:rPr>
          <w:lang w:val="en-CA"/>
        </w:rPr>
        <w:t>” the complainant. Her husband was working in Saudi Arabia and she was raising their children alone.</w:t>
      </w:r>
      <w:r w:rsidR="002932FB" w:rsidRPr="0033034D">
        <w:rPr>
          <w:lang w:val="en-CA"/>
        </w:rPr>
        <w:t xml:space="preserve"> In </w:t>
      </w:r>
      <w:r w:rsidR="00D86CE8" w:rsidRPr="0033034D">
        <w:rPr>
          <w:lang w:val="en-CA"/>
        </w:rPr>
        <w:t>his</w:t>
      </w:r>
      <w:r w:rsidR="002932FB" w:rsidRPr="0033034D">
        <w:rPr>
          <w:lang w:val="en-CA"/>
        </w:rPr>
        <w:t xml:space="preserve"> absence,</w:t>
      </w:r>
      <w:r w:rsidR="00D86CE8" w:rsidRPr="0033034D">
        <w:rPr>
          <w:lang w:val="en-CA"/>
        </w:rPr>
        <w:t xml:space="preserve"> t</w:t>
      </w:r>
      <w:r w:rsidR="002932FB" w:rsidRPr="0033034D">
        <w:rPr>
          <w:lang w:val="en-CA"/>
        </w:rPr>
        <w:t xml:space="preserve">he </w:t>
      </w:r>
      <w:r w:rsidR="00D86CE8" w:rsidRPr="0033034D">
        <w:rPr>
          <w:lang w:val="en-CA"/>
        </w:rPr>
        <w:t xml:space="preserve">complainant </w:t>
      </w:r>
      <w:r w:rsidR="002932FB" w:rsidRPr="0033034D">
        <w:rPr>
          <w:lang w:val="en-CA"/>
        </w:rPr>
        <w:t>filed reports</w:t>
      </w:r>
      <w:r w:rsidR="002C54F8">
        <w:rPr>
          <w:lang w:val="en-CA"/>
        </w:rPr>
        <w:t xml:space="preserve"> with the police</w:t>
      </w:r>
      <w:r w:rsidR="00D86CE8" w:rsidRPr="0033034D">
        <w:rPr>
          <w:lang w:val="en-CA"/>
        </w:rPr>
        <w:t xml:space="preserve">, </w:t>
      </w:r>
      <w:r w:rsidR="002C54F8">
        <w:rPr>
          <w:lang w:val="en-CA"/>
        </w:rPr>
        <w:t>which</w:t>
      </w:r>
      <w:r w:rsidR="00D86CE8" w:rsidRPr="0033034D">
        <w:rPr>
          <w:lang w:val="en-CA"/>
        </w:rPr>
        <w:t xml:space="preserve"> took no action</w:t>
      </w:r>
      <w:r w:rsidR="002932FB" w:rsidRPr="0033034D">
        <w:rPr>
          <w:lang w:val="en-CA"/>
        </w:rPr>
        <w:t>.</w:t>
      </w:r>
      <w:r w:rsidR="00D86CE8" w:rsidRPr="0033034D">
        <w:rPr>
          <w:lang w:val="en-CA"/>
        </w:rPr>
        <w:t xml:space="preserve"> </w:t>
      </w:r>
      <w:r w:rsidR="002932FB" w:rsidRPr="0033034D">
        <w:rPr>
          <w:lang w:val="en-CA"/>
        </w:rPr>
        <w:t>On 17 May 1997, the complainant and her servant were set upon by a group of people</w:t>
      </w:r>
      <w:r w:rsidR="002C54F8">
        <w:rPr>
          <w:lang w:val="en-CA"/>
        </w:rPr>
        <w:t>,</w:t>
      </w:r>
      <w:r w:rsidR="002932FB" w:rsidRPr="0033034D">
        <w:rPr>
          <w:lang w:val="en-CA"/>
        </w:rPr>
        <w:t xml:space="preserve"> including </w:t>
      </w:r>
      <w:r w:rsidR="00D86CE8" w:rsidRPr="0033034D">
        <w:rPr>
          <w:lang w:val="en-CA"/>
        </w:rPr>
        <w:t>B.</w:t>
      </w:r>
      <w:r w:rsidR="002932FB" w:rsidRPr="0033034D">
        <w:rPr>
          <w:lang w:val="en-CA"/>
        </w:rPr>
        <w:t xml:space="preserve"> One of them hit the servant on the head with a brick. The complainant complained to the police. On the evening of 31 March 1999, the complainant was at home with her children</w:t>
      </w:r>
      <w:r w:rsidR="002C54F8">
        <w:rPr>
          <w:lang w:val="en-CA"/>
        </w:rPr>
        <w:t xml:space="preserve"> when a</w:t>
      </w:r>
      <w:r w:rsidR="002932FB" w:rsidRPr="0033034D">
        <w:rPr>
          <w:lang w:val="en-CA"/>
        </w:rPr>
        <w:t xml:space="preserve"> group of men and women broke into the house, beat the complainant and her 15 year old daughter</w:t>
      </w:r>
      <w:r w:rsidR="002C54F8">
        <w:rPr>
          <w:lang w:val="en-CA"/>
        </w:rPr>
        <w:t>,</w:t>
      </w:r>
      <w:r w:rsidR="002932FB" w:rsidRPr="0033034D">
        <w:rPr>
          <w:lang w:val="en-CA"/>
        </w:rPr>
        <w:t xml:space="preserve"> F</w:t>
      </w:r>
      <w:r w:rsidR="00D86CE8" w:rsidRPr="0033034D">
        <w:rPr>
          <w:lang w:val="en-CA"/>
        </w:rPr>
        <w:t>.</w:t>
      </w:r>
      <w:r w:rsidR="002C54F8">
        <w:rPr>
          <w:lang w:val="en-CA"/>
        </w:rPr>
        <w:t>,</w:t>
      </w:r>
      <w:r w:rsidR="002932FB" w:rsidRPr="0033034D">
        <w:rPr>
          <w:lang w:val="en-CA"/>
        </w:rPr>
        <w:t xml:space="preserve"> with sticks and threw bricks and stones inside the house. Neighbours rescued the complainant and her children; the complainant </w:t>
      </w:r>
      <w:r w:rsidR="00D86CE8" w:rsidRPr="0033034D">
        <w:rPr>
          <w:lang w:val="en-CA"/>
        </w:rPr>
        <w:t xml:space="preserve">and her daughter were injured. </w:t>
      </w:r>
      <w:r w:rsidR="002932FB" w:rsidRPr="0033034D">
        <w:rPr>
          <w:lang w:val="en-CA"/>
        </w:rPr>
        <w:t>On 14 December 1999, several of B</w:t>
      </w:r>
      <w:r w:rsidR="00D86CE8" w:rsidRPr="0033034D">
        <w:rPr>
          <w:lang w:val="en-CA"/>
        </w:rPr>
        <w:t>.’</w:t>
      </w:r>
      <w:r w:rsidR="002932FB" w:rsidRPr="0033034D">
        <w:rPr>
          <w:lang w:val="en-CA"/>
        </w:rPr>
        <w:t xml:space="preserve">s sons assaulted the complainant with iron rods. </w:t>
      </w:r>
      <w:r w:rsidR="002C54F8">
        <w:rPr>
          <w:lang w:val="en-CA"/>
        </w:rPr>
        <w:t>Some</w:t>
      </w:r>
      <w:r w:rsidR="002932FB" w:rsidRPr="0033034D">
        <w:rPr>
          <w:lang w:val="en-CA"/>
        </w:rPr>
        <w:t xml:space="preserve"> village residents intervened and called the police</w:t>
      </w:r>
      <w:r w:rsidR="002C54F8">
        <w:rPr>
          <w:lang w:val="en-CA"/>
        </w:rPr>
        <w:t xml:space="preserve"> and</w:t>
      </w:r>
      <w:r w:rsidR="002932FB" w:rsidRPr="0033034D">
        <w:rPr>
          <w:lang w:val="en-CA"/>
        </w:rPr>
        <w:t xml:space="preserve"> the complainant was taken to hospital. A complaint was filed with the police</w:t>
      </w:r>
      <w:r w:rsidR="00D86CE8" w:rsidRPr="0033034D">
        <w:rPr>
          <w:lang w:val="en-CA"/>
        </w:rPr>
        <w:t>. The complainant’s husband re</w:t>
      </w:r>
      <w:r w:rsidR="002932FB" w:rsidRPr="0033034D">
        <w:rPr>
          <w:lang w:val="en-CA"/>
        </w:rPr>
        <w:t>turned to Pakistan in September 2001</w:t>
      </w:r>
      <w:r w:rsidR="00D86CE8" w:rsidRPr="0033034D">
        <w:rPr>
          <w:lang w:val="en-CA"/>
        </w:rPr>
        <w:t xml:space="preserve"> and </w:t>
      </w:r>
      <w:r w:rsidR="002C54F8">
        <w:rPr>
          <w:lang w:val="en-CA"/>
        </w:rPr>
        <w:t>accompanied her</w:t>
      </w:r>
      <w:r w:rsidR="00D86CE8" w:rsidRPr="0033034D">
        <w:rPr>
          <w:lang w:val="en-CA"/>
        </w:rPr>
        <w:t xml:space="preserve"> to the police station to file a complaint</w:t>
      </w:r>
      <w:r w:rsidR="00C43F1F">
        <w:rPr>
          <w:lang w:val="en-CA"/>
        </w:rPr>
        <w:t xml:space="preserve"> regarding the attacks against her by B. and his sons</w:t>
      </w:r>
      <w:r w:rsidR="00D86CE8" w:rsidRPr="0033034D">
        <w:rPr>
          <w:lang w:val="en-CA"/>
        </w:rPr>
        <w:t xml:space="preserve">, </w:t>
      </w:r>
      <w:r w:rsidR="002932FB" w:rsidRPr="0033034D">
        <w:rPr>
          <w:lang w:val="en-CA"/>
        </w:rPr>
        <w:t xml:space="preserve">but the police refused. </w:t>
      </w:r>
      <w:r w:rsidR="00D86CE8" w:rsidRPr="0033034D">
        <w:rPr>
          <w:lang w:val="en-CA"/>
        </w:rPr>
        <w:t xml:space="preserve">On the way </w:t>
      </w:r>
      <w:r w:rsidR="002C54F8">
        <w:rPr>
          <w:lang w:val="en-CA"/>
        </w:rPr>
        <w:t>home,</w:t>
      </w:r>
      <w:r w:rsidR="00D86CE8" w:rsidRPr="0033034D">
        <w:rPr>
          <w:lang w:val="en-CA"/>
        </w:rPr>
        <w:t xml:space="preserve"> they were </w:t>
      </w:r>
      <w:r w:rsidR="002932FB" w:rsidRPr="0033034D">
        <w:rPr>
          <w:lang w:val="en-CA"/>
        </w:rPr>
        <w:t xml:space="preserve">approached by </w:t>
      </w:r>
      <w:r w:rsidR="00D86CE8" w:rsidRPr="0033034D">
        <w:rPr>
          <w:lang w:val="en-CA"/>
        </w:rPr>
        <w:t>B.</w:t>
      </w:r>
      <w:r w:rsidR="002932FB" w:rsidRPr="0033034D">
        <w:rPr>
          <w:lang w:val="en-CA"/>
        </w:rPr>
        <w:t xml:space="preserve"> and his sons, who demanded to marry their daughters and be given </w:t>
      </w:r>
      <w:r w:rsidR="002C54F8">
        <w:rPr>
          <w:lang w:val="en-CA"/>
        </w:rPr>
        <w:t xml:space="preserve">the </w:t>
      </w:r>
      <w:r w:rsidR="002932FB" w:rsidRPr="0033034D">
        <w:rPr>
          <w:lang w:val="en-CA"/>
        </w:rPr>
        <w:t xml:space="preserve">land as dowry. </w:t>
      </w:r>
      <w:r w:rsidR="00D86CE8" w:rsidRPr="0033034D">
        <w:rPr>
          <w:lang w:val="en-CA"/>
        </w:rPr>
        <w:t>B.A.</w:t>
      </w:r>
      <w:r w:rsidR="002932FB" w:rsidRPr="0033034D">
        <w:rPr>
          <w:lang w:val="en-CA"/>
        </w:rPr>
        <w:t xml:space="preserve"> refused</w:t>
      </w:r>
      <w:r w:rsidR="002C54F8">
        <w:rPr>
          <w:lang w:val="en-CA"/>
        </w:rPr>
        <w:t>;</w:t>
      </w:r>
      <w:r w:rsidR="002932FB" w:rsidRPr="0033034D">
        <w:rPr>
          <w:lang w:val="en-CA"/>
        </w:rPr>
        <w:t xml:space="preserve"> B</w:t>
      </w:r>
      <w:r w:rsidR="00D86CE8" w:rsidRPr="0033034D">
        <w:rPr>
          <w:lang w:val="en-CA"/>
        </w:rPr>
        <w:t>.</w:t>
      </w:r>
      <w:r w:rsidR="002932FB" w:rsidRPr="0033034D">
        <w:rPr>
          <w:lang w:val="en-CA"/>
        </w:rPr>
        <w:t xml:space="preserve"> and two of his sons shot </w:t>
      </w:r>
      <w:r w:rsidR="00D86CE8" w:rsidRPr="0033034D">
        <w:rPr>
          <w:lang w:val="en-CA"/>
        </w:rPr>
        <w:t xml:space="preserve">B.A. He was taken to </w:t>
      </w:r>
      <w:r w:rsidR="002932FB" w:rsidRPr="0033034D">
        <w:rPr>
          <w:lang w:val="en-CA"/>
        </w:rPr>
        <w:t>hospital and complained to the police. The police f</w:t>
      </w:r>
      <w:r w:rsidR="00D86CE8" w:rsidRPr="0033034D">
        <w:rPr>
          <w:lang w:val="en-CA"/>
        </w:rPr>
        <w:t xml:space="preserve">iled a </w:t>
      </w:r>
      <w:r w:rsidR="002C54F8">
        <w:rPr>
          <w:lang w:val="en-CA"/>
        </w:rPr>
        <w:t>f</w:t>
      </w:r>
      <w:r w:rsidR="00D86CE8" w:rsidRPr="0033034D">
        <w:rPr>
          <w:lang w:val="en-CA"/>
        </w:rPr>
        <w:t xml:space="preserve">irst </w:t>
      </w:r>
      <w:r w:rsidR="002C54F8">
        <w:rPr>
          <w:lang w:val="en-CA"/>
        </w:rPr>
        <w:t>i</w:t>
      </w:r>
      <w:r w:rsidR="00D86CE8" w:rsidRPr="0033034D">
        <w:rPr>
          <w:lang w:val="en-CA"/>
        </w:rPr>
        <w:t xml:space="preserve">nformation </w:t>
      </w:r>
      <w:r w:rsidR="002C54F8">
        <w:rPr>
          <w:lang w:val="en-CA"/>
        </w:rPr>
        <w:t>r</w:t>
      </w:r>
      <w:r w:rsidR="00D86CE8" w:rsidRPr="0033034D">
        <w:rPr>
          <w:lang w:val="en-CA"/>
        </w:rPr>
        <w:t>eport</w:t>
      </w:r>
      <w:r w:rsidR="002932FB" w:rsidRPr="0033034D">
        <w:rPr>
          <w:lang w:val="en-CA"/>
        </w:rPr>
        <w:t>.</w:t>
      </w:r>
    </w:p>
    <w:p w:rsidR="00E3333E" w:rsidRPr="0039713E" w:rsidRDefault="00D86CE8">
      <w:pPr>
        <w:pStyle w:val="SingleTxtG"/>
        <w:rPr>
          <w:bCs/>
        </w:rPr>
      </w:pPr>
      <w:r w:rsidRPr="0033034D">
        <w:rPr>
          <w:lang w:val="en-CA"/>
        </w:rPr>
        <w:t>2.4</w:t>
      </w:r>
      <w:r w:rsidRPr="0033034D">
        <w:rPr>
          <w:lang w:val="en-CA"/>
        </w:rPr>
        <w:tab/>
      </w:r>
      <w:r w:rsidR="002932FB" w:rsidRPr="0033034D">
        <w:rPr>
          <w:lang w:val="en-CA"/>
        </w:rPr>
        <w:t xml:space="preserve">The complainant’s </w:t>
      </w:r>
      <w:r w:rsidR="0033034D">
        <w:rPr>
          <w:lang w:val="en-CA"/>
        </w:rPr>
        <w:t>husband again</w:t>
      </w:r>
      <w:r w:rsidR="002C54F8">
        <w:rPr>
          <w:lang w:val="en-CA"/>
        </w:rPr>
        <w:t xml:space="preserve"> left</w:t>
      </w:r>
      <w:r w:rsidR="0033034D">
        <w:rPr>
          <w:lang w:val="en-CA"/>
        </w:rPr>
        <w:t xml:space="preserve"> to work in Saudi Arabia. She </w:t>
      </w:r>
      <w:r w:rsidR="0033034D" w:rsidRPr="0033034D">
        <w:rPr>
          <w:lang w:val="en-CA"/>
        </w:rPr>
        <w:t xml:space="preserve">tried to </w:t>
      </w:r>
      <w:r w:rsidR="002C54F8">
        <w:rPr>
          <w:lang w:val="en-CA"/>
        </w:rPr>
        <w:t>obtain</w:t>
      </w:r>
      <w:r w:rsidR="002932FB" w:rsidRPr="0033034D">
        <w:rPr>
          <w:lang w:val="en-CA"/>
        </w:rPr>
        <w:t xml:space="preserve"> clarification of the status of the land that w</w:t>
      </w:r>
      <w:r w:rsidR="00E05175">
        <w:rPr>
          <w:lang w:val="en-CA"/>
        </w:rPr>
        <w:t>as</w:t>
      </w:r>
      <w:r w:rsidR="002932FB" w:rsidRPr="0033034D">
        <w:rPr>
          <w:lang w:val="en-CA"/>
        </w:rPr>
        <w:t xml:space="preserve"> the subject of the original dispute with B. She was informed that securing ownership of the land would require </w:t>
      </w:r>
      <w:r w:rsidR="002C54F8">
        <w:rPr>
          <w:lang w:val="en-CA"/>
        </w:rPr>
        <w:t>that she</w:t>
      </w:r>
      <w:r w:rsidR="002932FB" w:rsidRPr="0033034D">
        <w:rPr>
          <w:lang w:val="en-CA"/>
        </w:rPr>
        <w:t xml:space="preserve"> return to court and obtain another judgment in her favour. </w:t>
      </w:r>
      <w:r w:rsidR="0033034D" w:rsidRPr="0033034D">
        <w:rPr>
          <w:lang w:val="en-CA"/>
        </w:rPr>
        <w:t>She filed a new law suit on</w:t>
      </w:r>
      <w:r w:rsidR="002932FB" w:rsidRPr="0033034D">
        <w:rPr>
          <w:lang w:val="en-CA"/>
        </w:rPr>
        <w:t xml:space="preserve"> </w:t>
      </w:r>
      <w:r w:rsidR="0033034D" w:rsidRPr="0033034D">
        <w:rPr>
          <w:lang w:val="en-CA"/>
        </w:rPr>
        <w:t xml:space="preserve">25 </w:t>
      </w:r>
      <w:r w:rsidR="002932FB" w:rsidRPr="0033034D">
        <w:rPr>
          <w:lang w:val="en-CA"/>
        </w:rPr>
        <w:t>May 2004</w:t>
      </w:r>
      <w:r w:rsidR="0033034D" w:rsidRPr="0033034D">
        <w:rPr>
          <w:lang w:val="en-CA"/>
        </w:rPr>
        <w:t>, which was resolved in her favo</w:t>
      </w:r>
      <w:r w:rsidR="002C54F8">
        <w:rPr>
          <w:lang w:val="en-CA"/>
        </w:rPr>
        <w:t>u</w:t>
      </w:r>
      <w:r w:rsidR="0033034D" w:rsidRPr="0033034D">
        <w:rPr>
          <w:lang w:val="en-CA"/>
        </w:rPr>
        <w:t>r o</w:t>
      </w:r>
      <w:r w:rsidR="002932FB" w:rsidRPr="0033034D">
        <w:rPr>
          <w:lang w:val="en-CA"/>
        </w:rPr>
        <w:t xml:space="preserve">n </w:t>
      </w:r>
      <w:r w:rsidR="0033034D" w:rsidRPr="0033034D">
        <w:rPr>
          <w:lang w:val="en-CA"/>
        </w:rPr>
        <w:t xml:space="preserve">7 </w:t>
      </w:r>
      <w:r w:rsidR="002932FB" w:rsidRPr="0033034D">
        <w:rPr>
          <w:lang w:val="en-CA"/>
        </w:rPr>
        <w:t>September</w:t>
      </w:r>
      <w:r w:rsidR="0033034D" w:rsidRPr="0033034D">
        <w:rPr>
          <w:lang w:val="en-CA"/>
        </w:rPr>
        <w:t xml:space="preserve"> </w:t>
      </w:r>
      <w:r w:rsidR="002932FB" w:rsidRPr="0033034D">
        <w:rPr>
          <w:lang w:val="en-CA"/>
        </w:rPr>
        <w:t>2005</w:t>
      </w:r>
      <w:r w:rsidR="0033034D" w:rsidRPr="0033034D">
        <w:rPr>
          <w:lang w:val="en-CA"/>
        </w:rPr>
        <w:t xml:space="preserve">. </w:t>
      </w:r>
      <w:r w:rsidR="002932FB" w:rsidRPr="0033034D">
        <w:rPr>
          <w:lang w:val="en-CA"/>
        </w:rPr>
        <w:t>Sometime in 2006, a grou</w:t>
      </w:r>
      <w:r w:rsidR="0033034D" w:rsidRPr="0033034D">
        <w:rPr>
          <w:lang w:val="en-CA"/>
        </w:rPr>
        <w:t xml:space="preserve">p of people broke into </w:t>
      </w:r>
      <w:r w:rsidR="00E05175">
        <w:rPr>
          <w:lang w:val="en-CA"/>
        </w:rPr>
        <w:t>the complainant’s</w:t>
      </w:r>
      <w:r w:rsidR="0033034D" w:rsidRPr="0033034D">
        <w:rPr>
          <w:lang w:val="en-CA"/>
        </w:rPr>
        <w:t xml:space="preserve"> home, intending </w:t>
      </w:r>
      <w:r w:rsidR="002932FB" w:rsidRPr="0033034D">
        <w:rPr>
          <w:lang w:val="en-CA"/>
        </w:rPr>
        <w:t xml:space="preserve">to force the </w:t>
      </w:r>
      <w:r w:rsidR="00730EEB" w:rsidRPr="00304A52">
        <w:rPr>
          <w:i/>
          <w:iCs/>
          <w:lang w:val="en-CA"/>
        </w:rPr>
        <w:t>n</w:t>
      </w:r>
      <w:r w:rsidR="002932FB" w:rsidRPr="00304A52">
        <w:rPr>
          <w:i/>
          <w:iCs/>
          <w:lang w:val="en-CA"/>
        </w:rPr>
        <w:t>ikah</w:t>
      </w:r>
      <w:r w:rsidR="002932FB" w:rsidRPr="0033034D">
        <w:rPr>
          <w:lang w:val="en-CA"/>
        </w:rPr>
        <w:t xml:space="preserve"> (Islamic marriage contract)</w:t>
      </w:r>
      <w:r w:rsidR="0033034D" w:rsidRPr="0033034D">
        <w:rPr>
          <w:lang w:val="en-CA"/>
        </w:rPr>
        <w:t xml:space="preserve"> </w:t>
      </w:r>
      <w:r w:rsidR="002932FB" w:rsidRPr="0033034D">
        <w:rPr>
          <w:lang w:val="en-CA"/>
        </w:rPr>
        <w:t xml:space="preserve">on her daughters. When they realized </w:t>
      </w:r>
      <w:r w:rsidR="00E05175">
        <w:rPr>
          <w:lang w:val="en-CA"/>
        </w:rPr>
        <w:t xml:space="preserve">that </w:t>
      </w:r>
      <w:r w:rsidR="002932FB" w:rsidRPr="0033034D">
        <w:rPr>
          <w:lang w:val="en-CA"/>
        </w:rPr>
        <w:t xml:space="preserve">the daughters were not present, they dragged her by her hair and tore her clothes. </w:t>
      </w:r>
      <w:r w:rsidR="0033034D" w:rsidRPr="0033034D">
        <w:rPr>
          <w:lang w:val="en-CA"/>
        </w:rPr>
        <w:t xml:space="preserve">She was taken to the police and false </w:t>
      </w:r>
      <w:r w:rsidR="00730EEB" w:rsidRPr="0033034D">
        <w:rPr>
          <w:lang w:val="en-CA"/>
        </w:rPr>
        <w:t>accus</w:t>
      </w:r>
      <w:r w:rsidR="00730EEB">
        <w:rPr>
          <w:lang w:val="en-CA"/>
        </w:rPr>
        <w:t xml:space="preserve">ations </w:t>
      </w:r>
      <w:r w:rsidR="00730EEB" w:rsidRPr="0033034D">
        <w:rPr>
          <w:lang w:val="en-CA"/>
        </w:rPr>
        <w:t>of adultery and prostitution</w:t>
      </w:r>
      <w:r w:rsidR="0033034D" w:rsidRPr="0033034D">
        <w:rPr>
          <w:lang w:val="en-CA"/>
        </w:rPr>
        <w:t xml:space="preserve"> were filed against he</w:t>
      </w:r>
      <w:r w:rsidR="00E05175">
        <w:rPr>
          <w:lang w:val="en-CA"/>
        </w:rPr>
        <w:t>r</w:t>
      </w:r>
      <w:r w:rsidR="0033034D" w:rsidRPr="0033034D">
        <w:rPr>
          <w:lang w:val="en-CA"/>
        </w:rPr>
        <w:t xml:space="preserve">. </w:t>
      </w:r>
      <w:r w:rsidR="002932FB" w:rsidRPr="0033034D">
        <w:rPr>
          <w:lang w:val="en-CA"/>
        </w:rPr>
        <w:t>The complainant</w:t>
      </w:r>
      <w:r w:rsidR="0033034D" w:rsidRPr="0033034D">
        <w:rPr>
          <w:lang w:val="en-CA"/>
        </w:rPr>
        <w:t xml:space="preserve"> submitted</w:t>
      </w:r>
      <w:r w:rsidR="002932FB" w:rsidRPr="0033034D">
        <w:rPr>
          <w:lang w:val="en-CA"/>
        </w:rPr>
        <w:t xml:space="preserve"> that</w:t>
      </w:r>
      <w:r w:rsidR="00730EEB">
        <w:rPr>
          <w:lang w:val="en-CA"/>
        </w:rPr>
        <w:t xml:space="preserve"> while</w:t>
      </w:r>
      <w:r w:rsidR="002932FB" w:rsidRPr="0033034D">
        <w:rPr>
          <w:lang w:val="en-CA"/>
        </w:rPr>
        <w:t xml:space="preserve"> in police custody</w:t>
      </w:r>
      <w:r w:rsidR="00730EEB">
        <w:rPr>
          <w:lang w:val="en-CA"/>
        </w:rPr>
        <w:t>,</w:t>
      </w:r>
      <w:r w:rsidR="002932FB" w:rsidRPr="0033034D">
        <w:rPr>
          <w:lang w:val="en-CA"/>
        </w:rPr>
        <w:t xml:space="preserve"> she was </w:t>
      </w:r>
      <w:r w:rsidR="0033034D" w:rsidRPr="0033034D">
        <w:rPr>
          <w:lang w:val="en-CA"/>
        </w:rPr>
        <w:t xml:space="preserve">harassed, molested and tortured; </w:t>
      </w:r>
      <w:r w:rsidR="002932FB" w:rsidRPr="0033034D">
        <w:rPr>
          <w:lang w:val="en-CA"/>
        </w:rPr>
        <w:t>B</w:t>
      </w:r>
      <w:r w:rsidR="0033034D" w:rsidRPr="0033034D">
        <w:rPr>
          <w:lang w:val="en-CA"/>
        </w:rPr>
        <w:t>.</w:t>
      </w:r>
      <w:r w:rsidR="002932FB" w:rsidRPr="0033034D">
        <w:rPr>
          <w:lang w:val="en-CA"/>
        </w:rPr>
        <w:t xml:space="preserve"> and his sons were present </w:t>
      </w:r>
      <w:r w:rsidR="0033034D" w:rsidRPr="0033034D">
        <w:rPr>
          <w:lang w:val="en-CA"/>
        </w:rPr>
        <w:t>while she was in police custody;</w:t>
      </w:r>
      <w:r w:rsidR="002932FB" w:rsidRPr="0033034D">
        <w:rPr>
          <w:lang w:val="en-CA"/>
        </w:rPr>
        <w:t xml:space="preserve"> they repeatedly demanded to marry her daughters</w:t>
      </w:r>
      <w:r w:rsidR="0033034D" w:rsidRPr="0033034D">
        <w:rPr>
          <w:lang w:val="en-CA"/>
        </w:rPr>
        <w:t xml:space="preserve"> and threatened </w:t>
      </w:r>
      <w:r w:rsidR="002932FB" w:rsidRPr="0033034D">
        <w:rPr>
          <w:lang w:val="en-CA"/>
        </w:rPr>
        <w:t>to kidnap her daughters and kill her, her husband and their sons, in order to gain ownership of the land.</w:t>
      </w:r>
      <w:r w:rsidR="0033034D" w:rsidRPr="0033034D">
        <w:rPr>
          <w:lang w:val="en-CA"/>
        </w:rPr>
        <w:t xml:space="preserve"> S</w:t>
      </w:r>
      <w:r w:rsidR="002932FB" w:rsidRPr="0033034D">
        <w:rPr>
          <w:lang w:val="en-CA"/>
        </w:rPr>
        <w:t>he spent two nights in police custody</w:t>
      </w:r>
      <w:r w:rsidR="00730EEB">
        <w:rPr>
          <w:lang w:val="en-CA"/>
        </w:rPr>
        <w:t xml:space="preserve"> and</w:t>
      </w:r>
      <w:r w:rsidR="002932FB" w:rsidRPr="0033034D">
        <w:rPr>
          <w:lang w:val="en-CA"/>
        </w:rPr>
        <w:t xml:space="preserve"> </w:t>
      </w:r>
      <w:r w:rsidR="00570923">
        <w:rPr>
          <w:lang w:val="en-CA"/>
        </w:rPr>
        <w:t xml:space="preserve">was </w:t>
      </w:r>
      <w:r w:rsidR="002932FB" w:rsidRPr="0033034D">
        <w:rPr>
          <w:lang w:val="en-CA"/>
        </w:rPr>
        <w:t xml:space="preserve">released when </w:t>
      </w:r>
      <w:r w:rsidR="00730EEB">
        <w:rPr>
          <w:lang w:val="en-CA"/>
        </w:rPr>
        <w:t xml:space="preserve">village </w:t>
      </w:r>
      <w:r w:rsidR="002932FB" w:rsidRPr="0033034D">
        <w:rPr>
          <w:lang w:val="en-CA"/>
        </w:rPr>
        <w:t>elders</w:t>
      </w:r>
      <w:r w:rsidR="00730EEB">
        <w:rPr>
          <w:lang w:val="en-CA"/>
        </w:rPr>
        <w:t xml:space="preserve"> </w:t>
      </w:r>
      <w:r w:rsidR="002932FB" w:rsidRPr="0033034D">
        <w:rPr>
          <w:lang w:val="en-CA"/>
        </w:rPr>
        <w:t>intervened and promised B</w:t>
      </w:r>
      <w:r w:rsidR="0033034D" w:rsidRPr="0033034D">
        <w:rPr>
          <w:lang w:val="en-CA"/>
        </w:rPr>
        <w:t>. that</w:t>
      </w:r>
      <w:r w:rsidR="002932FB" w:rsidRPr="0033034D">
        <w:rPr>
          <w:lang w:val="en-CA"/>
        </w:rPr>
        <w:t xml:space="preserve"> his sons could marry the complainant’s daughters.</w:t>
      </w:r>
      <w:r w:rsidR="0033034D" w:rsidRPr="0033034D">
        <w:rPr>
          <w:lang w:val="en-CA"/>
        </w:rPr>
        <w:t xml:space="preserve"> </w:t>
      </w:r>
    </w:p>
    <w:p w:rsidR="00E3333E" w:rsidRPr="0039713E" w:rsidRDefault="0039713E" w:rsidP="00A362AF">
      <w:pPr>
        <w:pStyle w:val="SingleTxtG"/>
      </w:pPr>
      <w:r>
        <w:t>2.</w:t>
      </w:r>
      <w:r w:rsidR="00A362AF">
        <w:rPr>
          <w:lang w:val="en-US"/>
        </w:rPr>
        <w:t>5</w:t>
      </w:r>
      <w:r w:rsidRPr="0039713E">
        <w:tab/>
      </w:r>
      <w:r w:rsidR="00E3333E" w:rsidRPr="00E3333E">
        <w:t>Fearing for her well</w:t>
      </w:r>
      <w:r w:rsidR="00730EEB">
        <w:rPr>
          <w:lang w:val="en-US"/>
        </w:rPr>
        <w:t>-</w:t>
      </w:r>
      <w:r w:rsidR="00E3333E" w:rsidRPr="00E3333E">
        <w:t>being, the complainant fled Pakistan</w:t>
      </w:r>
      <w:r w:rsidR="00C43F1F" w:rsidRPr="00D961DB">
        <w:t xml:space="preserve"> alone</w:t>
      </w:r>
      <w:r w:rsidR="00CE6EF3">
        <w:rPr>
          <w:lang w:val="en-US"/>
        </w:rPr>
        <w:t>. She</w:t>
      </w:r>
      <w:r w:rsidR="00E3333E" w:rsidRPr="00E3333E">
        <w:t xml:space="preserve"> arrived in Canada on </w:t>
      </w:r>
      <w:r w:rsidR="00A74A54" w:rsidRPr="00A74A54">
        <w:t>11</w:t>
      </w:r>
      <w:r w:rsidR="00E3333E" w:rsidRPr="00E3333E">
        <w:t xml:space="preserve"> January 2007</w:t>
      </w:r>
      <w:r w:rsidR="003327D5" w:rsidRPr="003327D5">
        <w:t xml:space="preserve"> and filed a refugee claim</w:t>
      </w:r>
      <w:r w:rsidR="00CE6EF3">
        <w:rPr>
          <w:lang w:val="en-US"/>
        </w:rPr>
        <w:t xml:space="preserve"> with the </w:t>
      </w:r>
      <w:r w:rsidR="00E17E22">
        <w:rPr>
          <w:lang w:val="en-US"/>
        </w:rPr>
        <w:t>Canadian Refugee Board</w:t>
      </w:r>
      <w:r w:rsidR="00CE6EF3">
        <w:rPr>
          <w:lang w:val="en-US"/>
        </w:rPr>
        <w:t xml:space="preserve">, which </w:t>
      </w:r>
      <w:r w:rsidR="003327D5" w:rsidRPr="00E3333E">
        <w:t>was rejected on 15 January 2010. She could not afford a lawyer to appeal the decision.</w:t>
      </w:r>
    </w:p>
    <w:p w:rsidR="00E3333E" w:rsidRPr="00E3333E" w:rsidRDefault="00E3333E" w:rsidP="00A362AF">
      <w:pPr>
        <w:pStyle w:val="SingleTxtG"/>
      </w:pPr>
      <w:r w:rsidRPr="00E3333E">
        <w:t>2.</w:t>
      </w:r>
      <w:r w:rsidR="00A362AF">
        <w:rPr>
          <w:lang w:val="en-US"/>
        </w:rPr>
        <w:t>6</w:t>
      </w:r>
      <w:r w:rsidR="003327D5" w:rsidRPr="003327D5">
        <w:tab/>
      </w:r>
      <w:r w:rsidRPr="00E3333E">
        <w:t xml:space="preserve">On 9 February 2010, the complainant’s husband divorced her, </w:t>
      </w:r>
      <w:r w:rsidR="00CE6EF3">
        <w:rPr>
          <w:lang w:val="en-US"/>
        </w:rPr>
        <w:t>having</w:t>
      </w:r>
      <w:r w:rsidR="0033034D" w:rsidRPr="0033034D">
        <w:t xml:space="preserve"> </w:t>
      </w:r>
      <w:r w:rsidRPr="00E3333E">
        <w:t>believe</w:t>
      </w:r>
      <w:r w:rsidR="003327D5" w:rsidRPr="003327D5">
        <w:t>d</w:t>
      </w:r>
      <w:r w:rsidRPr="00E3333E">
        <w:t xml:space="preserve"> </w:t>
      </w:r>
      <w:r w:rsidR="0033034D" w:rsidRPr="0033034D">
        <w:t>B.</w:t>
      </w:r>
      <w:r w:rsidRPr="00E3333E">
        <w:t xml:space="preserve">’s </w:t>
      </w:r>
      <w:r w:rsidR="003327D5" w:rsidRPr="00E3333E">
        <w:t xml:space="preserve">adultery </w:t>
      </w:r>
      <w:r w:rsidRPr="00E3333E">
        <w:t xml:space="preserve">allegations. The </w:t>
      </w:r>
      <w:r w:rsidR="003327D5" w:rsidRPr="003327D5">
        <w:t>entire</w:t>
      </w:r>
      <w:r w:rsidRPr="00E3333E">
        <w:t xml:space="preserve"> village believe</w:t>
      </w:r>
      <w:r w:rsidR="003327D5" w:rsidRPr="003327D5">
        <w:t>d</w:t>
      </w:r>
      <w:r w:rsidRPr="00E3333E">
        <w:t xml:space="preserve"> that </w:t>
      </w:r>
      <w:r w:rsidR="009F0E4B" w:rsidRPr="003327D5">
        <w:t>t</w:t>
      </w:r>
      <w:r w:rsidR="009F0E4B" w:rsidRPr="00E3333E">
        <w:t>he</w:t>
      </w:r>
      <w:r w:rsidRPr="00E3333E">
        <w:t xml:space="preserve"> </w:t>
      </w:r>
      <w:r w:rsidR="003327D5" w:rsidRPr="003327D5">
        <w:t xml:space="preserve">complainant </w:t>
      </w:r>
      <w:r w:rsidRPr="00E3333E">
        <w:t xml:space="preserve">had committed </w:t>
      </w:r>
      <w:r w:rsidRPr="00E3333E">
        <w:lastRenderedPageBreak/>
        <w:t xml:space="preserve">adultery and a criminal case </w:t>
      </w:r>
      <w:r w:rsidR="00CE6EF3">
        <w:rPr>
          <w:lang w:val="en-US"/>
        </w:rPr>
        <w:t>wa</w:t>
      </w:r>
      <w:r w:rsidRPr="00E3333E">
        <w:t>s initiated against her.</w:t>
      </w:r>
      <w:r w:rsidR="003327D5" w:rsidRPr="003327D5">
        <w:t xml:space="preserve"> </w:t>
      </w:r>
      <w:r w:rsidR="003327D5" w:rsidRPr="00E3333E">
        <w:t xml:space="preserve">On 3 January 2011, the complainant’s ex-husband attacked </w:t>
      </w:r>
      <w:r w:rsidR="0033034D" w:rsidRPr="0033034D">
        <w:t>one of their</w:t>
      </w:r>
      <w:r w:rsidR="003327D5" w:rsidRPr="00E3333E">
        <w:t xml:space="preserve"> daughter</w:t>
      </w:r>
      <w:r w:rsidR="0033034D" w:rsidRPr="0033034D">
        <w:t>s</w:t>
      </w:r>
      <w:r w:rsidR="003327D5" w:rsidRPr="00E3333E">
        <w:t xml:space="preserve"> because she </w:t>
      </w:r>
      <w:r w:rsidR="00CE6EF3">
        <w:rPr>
          <w:lang w:val="en-US"/>
        </w:rPr>
        <w:t xml:space="preserve">had </w:t>
      </w:r>
      <w:r w:rsidR="003327D5" w:rsidRPr="003327D5">
        <w:t xml:space="preserve">refused to tell him where the </w:t>
      </w:r>
      <w:r w:rsidR="003327D5" w:rsidRPr="00E3333E">
        <w:t xml:space="preserve">complainant </w:t>
      </w:r>
      <w:r w:rsidR="00C43F1F" w:rsidRPr="003327D5">
        <w:t>was</w:t>
      </w:r>
      <w:r w:rsidR="00C43F1F" w:rsidRPr="00E3333E">
        <w:t xml:space="preserve"> </w:t>
      </w:r>
      <w:r w:rsidR="003327D5" w:rsidRPr="00E3333E">
        <w:t xml:space="preserve">and to call </w:t>
      </w:r>
      <w:r w:rsidR="00CE6EF3">
        <w:rPr>
          <w:lang w:val="en-US"/>
        </w:rPr>
        <w:t>the complainant to</w:t>
      </w:r>
      <w:r w:rsidR="003327D5" w:rsidRPr="00E3333E">
        <w:t xml:space="preserve"> urg</w:t>
      </w:r>
      <w:r w:rsidR="00CE6EF3">
        <w:rPr>
          <w:lang w:val="en-US"/>
        </w:rPr>
        <w:t>e</w:t>
      </w:r>
      <w:r w:rsidR="003327D5" w:rsidRPr="00E3333E">
        <w:t xml:space="preserve"> her </w:t>
      </w:r>
      <w:r w:rsidR="00CE6EF3">
        <w:rPr>
          <w:lang w:val="en-US"/>
        </w:rPr>
        <w:t xml:space="preserve">to </w:t>
      </w:r>
      <w:r w:rsidR="003327D5" w:rsidRPr="00E3333E">
        <w:t xml:space="preserve">return to Pakistan.   </w:t>
      </w:r>
    </w:p>
    <w:p w:rsidR="00E3333E" w:rsidRPr="00E3333E" w:rsidRDefault="00E3333E" w:rsidP="00A362AF">
      <w:pPr>
        <w:pStyle w:val="SingleTxtG"/>
      </w:pPr>
      <w:r w:rsidRPr="00E3333E">
        <w:t>2.</w:t>
      </w:r>
      <w:r w:rsidR="00A362AF">
        <w:rPr>
          <w:lang w:val="en-US"/>
        </w:rPr>
        <w:t>7</w:t>
      </w:r>
      <w:r w:rsidR="003327D5" w:rsidRPr="003327D5">
        <w:tab/>
      </w:r>
      <w:r w:rsidRPr="00E3333E">
        <w:t>On 6 April 2010, the complainant submitted a</w:t>
      </w:r>
      <w:r w:rsidR="003327D5" w:rsidRPr="003327D5">
        <w:t>n application for a</w:t>
      </w:r>
      <w:r w:rsidRPr="00E3333E">
        <w:t xml:space="preserve"> </w:t>
      </w:r>
      <w:r w:rsidR="00CE6EF3">
        <w:rPr>
          <w:lang w:val="en-US"/>
        </w:rPr>
        <w:t>p</w:t>
      </w:r>
      <w:r w:rsidRPr="00E3333E">
        <w:t>re</w:t>
      </w:r>
      <w:r w:rsidR="00CE6EF3">
        <w:rPr>
          <w:lang w:val="en-US"/>
        </w:rPr>
        <w:t>-r</w:t>
      </w:r>
      <w:r w:rsidRPr="00E3333E">
        <w:t xml:space="preserve">emoval </w:t>
      </w:r>
      <w:r w:rsidR="00CE6EF3">
        <w:rPr>
          <w:lang w:val="en-US"/>
        </w:rPr>
        <w:t>r</w:t>
      </w:r>
      <w:r w:rsidRPr="00E3333E">
        <w:t xml:space="preserve">isk </w:t>
      </w:r>
      <w:r w:rsidR="00CE6EF3">
        <w:rPr>
          <w:lang w:val="en-US"/>
        </w:rPr>
        <w:t>a</w:t>
      </w:r>
      <w:r w:rsidRPr="00E3333E">
        <w:t xml:space="preserve">ssessment </w:t>
      </w:r>
      <w:r w:rsidR="00CE6EF3">
        <w:rPr>
          <w:lang w:val="en-US"/>
        </w:rPr>
        <w:t>with the Canadian authorities,</w:t>
      </w:r>
      <w:r w:rsidRPr="00E3333E">
        <w:t xml:space="preserve"> </w:t>
      </w:r>
      <w:r w:rsidR="003327D5" w:rsidRPr="003327D5">
        <w:t>which</w:t>
      </w:r>
      <w:r w:rsidRPr="00E3333E">
        <w:t xml:space="preserve"> was rejected on 26 May 2011. On 26 July 2011, she appealed the </w:t>
      </w:r>
      <w:r w:rsidR="003327D5" w:rsidRPr="003327D5">
        <w:t>rejection</w:t>
      </w:r>
      <w:r w:rsidRPr="00E3333E">
        <w:t xml:space="preserve"> before the Federal Court of Canada</w:t>
      </w:r>
      <w:r w:rsidR="003327D5" w:rsidRPr="003327D5">
        <w:t>, which dismissed her appeal on</w:t>
      </w:r>
      <w:r w:rsidRPr="00E3333E">
        <w:t xml:space="preserve"> 21 October 2011</w:t>
      </w:r>
      <w:r w:rsidR="003327D5" w:rsidRPr="003327D5">
        <w:t>.</w:t>
      </w:r>
      <w:r w:rsidRPr="00E3333E">
        <w:t xml:space="preserve"> The complainant </w:t>
      </w:r>
      <w:r w:rsidR="003327D5" w:rsidRPr="003327D5">
        <w:t>submitted</w:t>
      </w:r>
      <w:r w:rsidRPr="00E3333E">
        <w:t xml:space="preserve"> that she </w:t>
      </w:r>
      <w:r w:rsidR="00CE6EF3">
        <w:rPr>
          <w:lang w:val="en-US"/>
        </w:rPr>
        <w:t xml:space="preserve">had </w:t>
      </w:r>
      <w:r w:rsidRPr="00E3333E">
        <w:t>exhaust</w:t>
      </w:r>
      <w:r w:rsidR="003327D5" w:rsidRPr="003327D5">
        <w:t xml:space="preserve">ed all available </w:t>
      </w:r>
      <w:r w:rsidRPr="00E3333E">
        <w:t xml:space="preserve">domestic remedies and that she </w:t>
      </w:r>
      <w:r w:rsidR="003327D5" w:rsidRPr="003327D5">
        <w:t>could</w:t>
      </w:r>
      <w:r w:rsidRPr="00E3333E">
        <w:t xml:space="preserve"> be deported </w:t>
      </w:r>
      <w:r w:rsidR="00CE6EF3">
        <w:rPr>
          <w:lang w:val="en-US"/>
        </w:rPr>
        <w:t xml:space="preserve">to Pakistan </w:t>
      </w:r>
      <w:r w:rsidR="003327D5" w:rsidRPr="003327D5">
        <w:t>at</w:t>
      </w:r>
      <w:r w:rsidRPr="00E3333E">
        <w:t xml:space="preserve"> any moment. </w:t>
      </w:r>
    </w:p>
    <w:p w:rsidR="00E3333E" w:rsidRPr="00D20DA8" w:rsidRDefault="00617727" w:rsidP="00617727">
      <w:pPr>
        <w:pStyle w:val="H23G"/>
      </w:pPr>
      <w:r>
        <w:tab/>
      </w:r>
      <w:r>
        <w:tab/>
      </w:r>
      <w:r w:rsidR="00E3333E" w:rsidRPr="00D20DA8">
        <w:t>The complaint</w:t>
      </w:r>
    </w:p>
    <w:p w:rsidR="004C07A2" w:rsidRPr="00EA13B1" w:rsidRDefault="00E3333E">
      <w:pPr>
        <w:pStyle w:val="SingleTxtG"/>
      </w:pPr>
      <w:r w:rsidRPr="00E3333E">
        <w:t>3.</w:t>
      </w:r>
      <w:r w:rsidRPr="00E3333E">
        <w:tab/>
        <w:t>The complainant s</w:t>
      </w:r>
      <w:r w:rsidR="003327D5" w:rsidRPr="003327D5">
        <w:t>ubmit</w:t>
      </w:r>
      <w:r w:rsidR="00C16F68">
        <w:rPr>
          <w:lang w:val="en-US"/>
        </w:rPr>
        <w:t>s</w:t>
      </w:r>
      <w:r w:rsidR="003327D5" w:rsidRPr="003327D5">
        <w:t xml:space="preserve"> </w:t>
      </w:r>
      <w:r w:rsidRPr="00E3333E">
        <w:t xml:space="preserve">that her </w:t>
      </w:r>
      <w:r w:rsidR="003327D5" w:rsidRPr="00E3333E">
        <w:t xml:space="preserve">Convention </w:t>
      </w:r>
      <w:r w:rsidRPr="00E3333E">
        <w:t xml:space="preserve">rights would be violated if </w:t>
      </w:r>
      <w:r w:rsidR="003327D5" w:rsidRPr="003327D5">
        <w:t>she</w:t>
      </w:r>
      <w:r w:rsidR="00C16F68">
        <w:rPr>
          <w:lang w:val="en-US"/>
        </w:rPr>
        <w:t xml:space="preserve"> were to be</w:t>
      </w:r>
      <w:r w:rsidR="003327D5" w:rsidRPr="003327D5">
        <w:t xml:space="preserve"> </w:t>
      </w:r>
      <w:r w:rsidR="00C16F68">
        <w:rPr>
          <w:lang w:val="en-US"/>
        </w:rPr>
        <w:t>deported</w:t>
      </w:r>
      <w:r w:rsidRPr="00E3333E">
        <w:t xml:space="preserve"> to Pakistan. She claim</w:t>
      </w:r>
      <w:r w:rsidR="00C16F68">
        <w:rPr>
          <w:lang w:val="en-US"/>
        </w:rPr>
        <w:t>s</w:t>
      </w:r>
      <w:r w:rsidRPr="00E3333E">
        <w:t xml:space="preserve"> that, if returned, she </w:t>
      </w:r>
      <w:r w:rsidR="002A4545">
        <w:t>w</w:t>
      </w:r>
      <w:r w:rsidR="00C43F1F" w:rsidRPr="00D961DB">
        <w:t>ould</w:t>
      </w:r>
      <w:r w:rsidR="002A4545">
        <w:t xml:space="preserve"> be</w:t>
      </w:r>
      <w:r w:rsidR="002A4545" w:rsidRPr="002A4545">
        <w:t xml:space="preserve"> at a serious risk of imprisonment</w:t>
      </w:r>
      <w:r w:rsidR="002A4545">
        <w:t>, torture, honour killing or disappearance</w:t>
      </w:r>
      <w:r w:rsidRPr="00E3333E">
        <w:t xml:space="preserve">. </w:t>
      </w:r>
      <w:r w:rsidR="003327D5" w:rsidRPr="003327D5">
        <w:t>T</w:t>
      </w:r>
      <w:r w:rsidRPr="00E3333E">
        <w:t xml:space="preserve">he complainant </w:t>
      </w:r>
      <w:r w:rsidR="00C16F68">
        <w:rPr>
          <w:lang w:val="en-US"/>
        </w:rPr>
        <w:t>also</w:t>
      </w:r>
      <w:r w:rsidR="003327D5" w:rsidRPr="003327D5">
        <w:t xml:space="preserve"> </w:t>
      </w:r>
      <w:r w:rsidR="003327D5" w:rsidRPr="00E3333E">
        <w:t>submi</w:t>
      </w:r>
      <w:r w:rsidR="003327D5" w:rsidRPr="003327D5">
        <w:t>t</w:t>
      </w:r>
      <w:r w:rsidR="00C16F68">
        <w:rPr>
          <w:lang w:val="en-US"/>
        </w:rPr>
        <w:t>s</w:t>
      </w:r>
      <w:r w:rsidR="003327D5" w:rsidRPr="003327D5">
        <w:t xml:space="preserve"> </w:t>
      </w:r>
      <w:r w:rsidRPr="00E3333E">
        <w:t>that there is a consistent pattern of human rights violations and honour killing in Pakistan and that the situation of women in Pakistan should be taken into account before deciding on her deportation.</w:t>
      </w:r>
    </w:p>
    <w:p w:rsidR="007A1B5B" w:rsidRPr="00C07884" w:rsidRDefault="00617727" w:rsidP="00617727">
      <w:pPr>
        <w:pStyle w:val="H23G"/>
      </w:pPr>
      <w:r>
        <w:tab/>
      </w:r>
      <w:r>
        <w:tab/>
      </w:r>
      <w:r w:rsidR="004876DE" w:rsidRPr="00C07884">
        <w:t xml:space="preserve">State party’s observations on </w:t>
      </w:r>
      <w:r w:rsidR="002848E1">
        <w:t>the</w:t>
      </w:r>
      <w:r w:rsidR="00F8456D" w:rsidRPr="00C07884">
        <w:t xml:space="preserve"> </w:t>
      </w:r>
      <w:r w:rsidR="00D20DA8">
        <w:t xml:space="preserve">admissibility and </w:t>
      </w:r>
      <w:r w:rsidR="00F8456D" w:rsidRPr="00C07884">
        <w:t>merits</w:t>
      </w:r>
    </w:p>
    <w:p w:rsidR="00BB41AC" w:rsidRPr="00BB41AC" w:rsidRDefault="00904885" w:rsidP="00E05175">
      <w:pPr>
        <w:pStyle w:val="SingleTxtG"/>
        <w:rPr>
          <w:lang w:val="en-CA"/>
        </w:rPr>
      </w:pPr>
      <w:r>
        <w:t>4.1</w:t>
      </w:r>
      <w:r>
        <w:tab/>
      </w:r>
      <w:bookmarkStart w:id="1" w:name="_Toc391279811"/>
      <w:r w:rsidR="00BB41AC">
        <w:rPr>
          <w:lang w:val="en-US"/>
        </w:rPr>
        <w:t xml:space="preserve">On 28 May 2013, the State party </w:t>
      </w:r>
      <w:r w:rsidR="003327D5">
        <w:rPr>
          <w:lang w:val="en-US"/>
        </w:rPr>
        <w:t>re</w:t>
      </w:r>
      <w:r w:rsidR="00C16F68">
        <w:rPr>
          <w:lang w:val="en-US"/>
        </w:rPr>
        <w:t>ferred to</w:t>
      </w:r>
      <w:r w:rsidR="003327D5">
        <w:rPr>
          <w:lang w:val="en-US"/>
        </w:rPr>
        <w:t xml:space="preserve"> the complainant’s claims </w:t>
      </w:r>
      <w:r w:rsidR="00BB41AC" w:rsidRPr="00BB41AC">
        <w:rPr>
          <w:lang w:val="en-CA"/>
        </w:rPr>
        <w:t xml:space="preserve">that if removed, she would be at risk of being tortured </w:t>
      </w:r>
      <w:r w:rsidR="00C16F68">
        <w:rPr>
          <w:lang w:val="en-CA"/>
        </w:rPr>
        <w:t>—</w:t>
      </w:r>
      <w:r w:rsidR="00BB41AC" w:rsidRPr="00BB41AC">
        <w:rPr>
          <w:lang w:val="en-CA"/>
        </w:rPr>
        <w:t xml:space="preserve"> either by State </w:t>
      </w:r>
      <w:r w:rsidR="00043463">
        <w:rPr>
          <w:lang w:val="en-CA"/>
        </w:rPr>
        <w:t>author</w:t>
      </w:r>
      <w:r w:rsidR="00BB41AC" w:rsidRPr="00BB41AC">
        <w:rPr>
          <w:lang w:val="en-CA"/>
        </w:rPr>
        <w:t>ities or by private citizens in Pakistan with the acquiescence of the State</w:t>
      </w:r>
      <w:r w:rsidR="003327D5">
        <w:rPr>
          <w:lang w:val="en-CA"/>
        </w:rPr>
        <w:t>. The State party note</w:t>
      </w:r>
      <w:r w:rsidR="00447B2B">
        <w:rPr>
          <w:lang w:val="en-CA"/>
        </w:rPr>
        <w:t>s</w:t>
      </w:r>
      <w:r w:rsidR="003327D5">
        <w:rPr>
          <w:lang w:val="en-CA"/>
        </w:rPr>
        <w:t xml:space="preserve"> that </w:t>
      </w:r>
      <w:r w:rsidR="00C16F68">
        <w:rPr>
          <w:lang w:val="en-CA"/>
        </w:rPr>
        <w:t>t</w:t>
      </w:r>
      <w:r w:rsidR="003327D5">
        <w:rPr>
          <w:lang w:val="en-CA"/>
        </w:rPr>
        <w:t>he</w:t>
      </w:r>
      <w:r w:rsidR="00C16F68">
        <w:rPr>
          <w:lang w:val="en-CA"/>
        </w:rPr>
        <w:t xml:space="preserve"> complainant</w:t>
      </w:r>
      <w:r w:rsidR="00BB41AC" w:rsidRPr="00BB41AC">
        <w:rPr>
          <w:lang w:val="en-CA"/>
        </w:rPr>
        <w:t xml:space="preserve"> also mention</w:t>
      </w:r>
      <w:r w:rsidR="003327D5">
        <w:rPr>
          <w:lang w:val="en-CA"/>
        </w:rPr>
        <w:t>ed</w:t>
      </w:r>
      <w:r w:rsidR="00BB41AC" w:rsidRPr="00BB41AC">
        <w:rPr>
          <w:lang w:val="en-CA"/>
        </w:rPr>
        <w:t xml:space="preserve"> a risk of disappearance in her communication</w:t>
      </w:r>
      <w:r w:rsidR="0074684C">
        <w:rPr>
          <w:lang w:val="en-CA"/>
        </w:rPr>
        <w:t xml:space="preserve"> a</w:t>
      </w:r>
      <w:r w:rsidR="003327D5">
        <w:rPr>
          <w:lang w:val="en-CA"/>
        </w:rPr>
        <w:t>nd submit</w:t>
      </w:r>
      <w:r w:rsidR="00447B2B">
        <w:rPr>
          <w:lang w:val="en-CA"/>
        </w:rPr>
        <w:t>s</w:t>
      </w:r>
      <w:r w:rsidR="003327D5">
        <w:rPr>
          <w:lang w:val="en-CA"/>
        </w:rPr>
        <w:t xml:space="preserve"> that it </w:t>
      </w:r>
      <w:r w:rsidR="00BB41AC" w:rsidRPr="00BB41AC">
        <w:rPr>
          <w:lang w:val="en-CA"/>
        </w:rPr>
        <w:t>w</w:t>
      </w:r>
      <w:r w:rsidR="00C16F68">
        <w:rPr>
          <w:lang w:val="en-CA"/>
        </w:rPr>
        <w:t>ould</w:t>
      </w:r>
      <w:r w:rsidR="00BB41AC" w:rsidRPr="00BB41AC">
        <w:rPr>
          <w:lang w:val="en-CA"/>
        </w:rPr>
        <w:t xml:space="preserve"> discuss the alleged risk of disappearance only insofar as torture </w:t>
      </w:r>
      <w:r w:rsidR="00C16F68">
        <w:rPr>
          <w:lang w:val="en-CA"/>
        </w:rPr>
        <w:t>may be</w:t>
      </w:r>
      <w:r w:rsidR="00BB41AC" w:rsidRPr="00BB41AC">
        <w:rPr>
          <w:lang w:val="en-CA"/>
        </w:rPr>
        <w:t xml:space="preserve"> a component aspect of this form of serious harm.</w:t>
      </w:r>
      <w:r w:rsidR="003327D5">
        <w:rPr>
          <w:lang w:val="en-CA"/>
        </w:rPr>
        <w:t xml:space="preserve"> </w:t>
      </w:r>
      <w:r w:rsidR="00BB41AC" w:rsidRPr="00BB41AC">
        <w:rPr>
          <w:lang w:val="en-CA"/>
        </w:rPr>
        <w:t xml:space="preserve">The </w:t>
      </w:r>
      <w:r w:rsidR="003327D5">
        <w:rPr>
          <w:lang w:val="en-CA"/>
        </w:rPr>
        <w:t>State party also submit</w:t>
      </w:r>
      <w:r w:rsidR="00447B2B">
        <w:rPr>
          <w:lang w:val="en-CA"/>
        </w:rPr>
        <w:t>s</w:t>
      </w:r>
      <w:r w:rsidR="003327D5">
        <w:rPr>
          <w:lang w:val="en-CA"/>
        </w:rPr>
        <w:t xml:space="preserve"> that the other risks mentioned by the complainant </w:t>
      </w:r>
      <w:r w:rsidR="00C16F68">
        <w:rPr>
          <w:lang w:val="en-CA"/>
        </w:rPr>
        <w:t>—</w:t>
      </w:r>
      <w:r w:rsidR="003327D5">
        <w:rPr>
          <w:lang w:val="en-CA"/>
        </w:rPr>
        <w:t xml:space="preserve"> </w:t>
      </w:r>
      <w:r w:rsidR="00BB41AC" w:rsidRPr="00BB41AC">
        <w:rPr>
          <w:lang w:val="en-CA"/>
        </w:rPr>
        <w:t xml:space="preserve">to </w:t>
      </w:r>
      <w:r w:rsidR="00C16F68">
        <w:rPr>
          <w:lang w:val="en-CA"/>
        </w:rPr>
        <w:t xml:space="preserve">her </w:t>
      </w:r>
      <w:r w:rsidR="00BB41AC" w:rsidRPr="00BB41AC">
        <w:rPr>
          <w:lang w:val="en-CA"/>
        </w:rPr>
        <w:t>life</w:t>
      </w:r>
      <w:r w:rsidR="00C16F68">
        <w:rPr>
          <w:lang w:val="en-CA"/>
        </w:rPr>
        <w:t>,</w:t>
      </w:r>
      <w:r w:rsidR="00BB41AC" w:rsidRPr="00BB41AC">
        <w:rPr>
          <w:lang w:val="en-CA"/>
        </w:rPr>
        <w:t xml:space="preserve"> arrest, detention and/or imprisonment</w:t>
      </w:r>
      <w:r w:rsidR="00C43F1F">
        <w:rPr>
          <w:lang w:val="en-CA"/>
        </w:rPr>
        <w:t xml:space="preserve"> </w:t>
      </w:r>
      <w:r w:rsidR="00C16F68">
        <w:rPr>
          <w:lang w:val="en-CA"/>
        </w:rPr>
        <w:t xml:space="preserve">— </w:t>
      </w:r>
      <w:r w:rsidR="00BB41AC" w:rsidRPr="00BB41AC">
        <w:rPr>
          <w:lang w:val="en-CA"/>
        </w:rPr>
        <w:t>d</w:t>
      </w:r>
      <w:r w:rsidR="00C43F1F">
        <w:rPr>
          <w:lang w:val="en-CA"/>
        </w:rPr>
        <w:t xml:space="preserve">id </w:t>
      </w:r>
      <w:r w:rsidR="00BB41AC" w:rsidRPr="00BB41AC">
        <w:rPr>
          <w:lang w:val="en-CA"/>
        </w:rPr>
        <w:t xml:space="preserve">not fall within the competence of the Committee under </w:t>
      </w:r>
      <w:r w:rsidR="00213EEA">
        <w:rPr>
          <w:lang w:val="en-CA"/>
        </w:rPr>
        <w:t>a</w:t>
      </w:r>
      <w:r w:rsidR="00BB41AC" w:rsidRPr="00BB41AC">
        <w:rPr>
          <w:lang w:val="en-CA"/>
        </w:rPr>
        <w:t xml:space="preserve">rticle 3 of the </w:t>
      </w:r>
      <w:r w:rsidR="00BB41AC" w:rsidRPr="00213EEA">
        <w:rPr>
          <w:lang w:val="en-CA"/>
        </w:rPr>
        <w:t>Convention.</w:t>
      </w:r>
      <w:r w:rsidR="00BB41AC" w:rsidRPr="00BB41AC">
        <w:rPr>
          <w:lang w:val="en-CA"/>
        </w:rPr>
        <w:t xml:space="preserve"> </w:t>
      </w:r>
      <w:r w:rsidR="00213EEA" w:rsidRPr="00BB41AC">
        <w:rPr>
          <w:lang w:val="en-CA"/>
        </w:rPr>
        <w:t xml:space="preserve">The </w:t>
      </w:r>
      <w:r w:rsidR="00213EEA">
        <w:rPr>
          <w:lang w:val="en-CA"/>
        </w:rPr>
        <w:t>complainant</w:t>
      </w:r>
      <w:r w:rsidR="00213EEA" w:rsidRPr="00BB41AC">
        <w:rPr>
          <w:lang w:val="en-CA"/>
        </w:rPr>
        <w:t xml:space="preserve"> claim</w:t>
      </w:r>
      <w:r w:rsidR="00213EEA">
        <w:rPr>
          <w:lang w:val="en-CA"/>
        </w:rPr>
        <w:t xml:space="preserve">ed that the </w:t>
      </w:r>
      <w:r w:rsidR="00213EEA" w:rsidRPr="00BB41AC">
        <w:rPr>
          <w:lang w:val="en-CA"/>
        </w:rPr>
        <w:t>risk</w:t>
      </w:r>
      <w:r w:rsidR="00C16F68">
        <w:rPr>
          <w:lang w:val="en-CA"/>
        </w:rPr>
        <w:t xml:space="preserve"> of torture</w:t>
      </w:r>
      <w:r w:rsidR="00213EEA" w:rsidRPr="00BB41AC">
        <w:rPr>
          <w:lang w:val="en-CA"/>
        </w:rPr>
        <w:t xml:space="preserve"> arises from a false accusation of adultery made in 2006 by her husband’s uncle. She claim</w:t>
      </w:r>
      <w:r w:rsidR="00213EEA">
        <w:rPr>
          <w:lang w:val="en-CA"/>
        </w:rPr>
        <w:t>ed</w:t>
      </w:r>
      <w:r w:rsidR="00213EEA" w:rsidRPr="00BB41AC">
        <w:rPr>
          <w:lang w:val="en-CA"/>
        </w:rPr>
        <w:t xml:space="preserve"> that</w:t>
      </w:r>
      <w:r w:rsidR="00E05175">
        <w:rPr>
          <w:lang w:val="en-CA"/>
        </w:rPr>
        <w:t>,</w:t>
      </w:r>
      <w:r w:rsidR="00213EEA" w:rsidRPr="00BB41AC">
        <w:rPr>
          <w:lang w:val="en-CA"/>
        </w:rPr>
        <w:t xml:space="preserve"> if she return</w:t>
      </w:r>
      <w:r w:rsidR="00C16F68">
        <w:rPr>
          <w:lang w:val="en-CA"/>
        </w:rPr>
        <w:t>ed</w:t>
      </w:r>
      <w:r w:rsidR="00213EEA" w:rsidRPr="00BB41AC">
        <w:rPr>
          <w:lang w:val="en-CA"/>
        </w:rPr>
        <w:t xml:space="preserve"> to Pakistan</w:t>
      </w:r>
      <w:r w:rsidR="00E05175">
        <w:rPr>
          <w:lang w:val="en-CA"/>
        </w:rPr>
        <w:t>,</w:t>
      </w:r>
      <w:r w:rsidR="00213EEA" w:rsidRPr="00BB41AC">
        <w:rPr>
          <w:lang w:val="en-CA"/>
        </w:rPr>
        <w:t xml:space="preserve"> she w</w:t>
      </w:r>
      <w:r w:rsidR="00C16F68">
        <w:rPr>
          <w:lang w:val="en-CA"/>
        </w:rPr>
        <w:t>ould</w:t>
      </w:r>
      <w:r w:rsidR="00213EEA" w:rsidRPr="00BB41AC">
        <w:rPr>
          <w:lang w:val="en-CA"/>
        </w:rPr>
        <w:t xml:space="preserve"> be sought by the police in relation to this accusation and she w</w:t>
      </w:r>
      <w:r w:rsidR="00C16F68">
        <w:rPr>
          <w:lang w:val="en-CA"/>
        </w:rPr>
        <w:t>ould</w:t>
      </w:r>
      <w:r w:rsidR="00213EEA" w:rsidRPr="00BB41AC">
        <w:rPr>
          <w:lang w:val="en-CA"/>
        </w:rPr>
        <w:t xml:space="preserve"> also face potential risks of harm from her ex-husband, her sons, her ex-husband’s uncle and other private individuals.</w:t>
      </w:r>
    </w:p>
    <w:p w:rsidR="00BB41AC" w:rsidRPr="00BB41AC" w:rsidRDefault="00213EEA">
      <w:pPr>
        <w:pStyle w:val="SingleTxtG"/>
        <w:rPr>
          <w:lang w:val="en-CA"/>
        </w:rPr>
      </w:pPr>
      <w:r>
        <w:rPr>
          <w:lang w:val="en-CA"/>
        </w:rPr>
        <w:t>4.2</w:t>
      </w:r>
      <w:r>
        <w:rPr>
          <w:lang w:val="en-CA"/>
        </w:rPr>
        <w:tab/>
      </w:r>
      <w:r w:rsidR="00BB41AC" w:rsidRPr="00BB41AC">
        <w:rPr>
          <w:lang w:val="en-CA"/>
        </w:rPr>
        <w:t xml:space="preserve">The </w:t>
      </w:r>
      <w:r>
        <w:rPr>
          <w:lang w:val="en-CA"/>
        </w:rPr>
        <w:t>State party submit</w:t>
      </w:r>
      <w:r w:rsidR="00447B2B">
        <w:rPr>
          <w:lang w:val="en-CA"/>
        </w:rPr>
        <w:t>s</w:t>
      </w:r>
      <w:r>
        <w:rPr>
          <w:lang w:val="en-CA"/>
        </w:rPr>
        <w:t xml:space="preserve"> that its</w:t>
      </w:r>
      <w:r w:rsidR="00BB41AC" w:rsidRPr="00BB41AC">
        <w:rPr>
          <w:lang w:val="en-CA"/>
        </w:rPr>
        <w:t xml:space="preserve"> </w:t>
      </w:r>
      <w:r w:rsidR="00E17E22">
        <w:rPr>
          <w:lang w:val="en-CA"/>
        </w:rPr>
        <w:t xml:space="preserve">refugee status </w:t>
      </w:r>
      <w:r w:rsidR="00BB41AC" w:rsidRPr="00BB41AC">
        <w:rPr>
          <w:lang w:val="en-CA"/>
        </w:rPr>
        <w:t>decision</w:t>
      </w:r>
      <w:r w:rsidR="004E7040">
        <w:rPr>
          <w:lang w:val="en-CA"/>
        </w:rPr>
        <w:t xml:space="preserve"> </w:t>
      </w:r>
      <w:r w:rsidR="00BB41AC" w:rsidRPr="00BB41AC">
        <w:rPr>
          <w:lang w:val="en-CA"/>
        </w:rPr>
        <w:t>makers</w:t>
      </w:r>
      <w:r w:rsidR="00E17E22">
        <w:rPr>
          <w:lang w:val="en-CA"/>
        </w:rPr>
        <w:t xml:space="preserve"> had determined that the complainant would</w:t>
      </w:r>
      <w:r w:rsidR="00BB41AC" w:rsidRPr="00BB41AC">
        <w:rPr>
          <w:lang w:val="en-CA"/>
        </w:rPr>
        <w:t xml:space="preserve"> not be at </w:t>
      </w:r>
      <w:r w:rsidR="00E17E22">
        <w:rPr>
          <w:lang w:val="en-CA"/>
        </w:rPr>
        <w:t xml:space="preserve">a </w:t>
      </w:r>
      <w:r w:rsidR="00BB41AC" w:rsidRPr="00BB41AC">
        <w:rPr>
          <w:lang w:val="en-CA"/>
        </w:rPr>
        <w:t xml:space="preserve">real risk of torture upon return to Pakistan. </w:t>
      </w:r>
      <w:r>
        <w:rPr>
          <w:lang w:val="en-CA"/>
        </w:rPr>
        <w:t xml:space="preserve">It </w:t>
      </w:r>
      <w:r w:rsidR="00447B2B">
        <w:rPr>
          <w:lang w:val="en-CA"/>
        </w:rPr>
        <w:t>considers</w:t>
      </w:r>
      <w:r w:rsidR="00BB41AC" w:rsidRPr="00BB41AC">
        <w:rPr>
          <w:lang w:val="en-CA"/>
        </w:rPr>
        <w:t xml:space="preserve"> </w:t>
      </w:r>
      <w:r>
        <w:rPr>
          <w:lang w:val="en-CA"/>
        </w:rPr>
        <w:t>the</w:t>
      </w:r>
      <w:r w:rsidR="00BB41AC" w:rsidRPr="00BB41AC">
        <w:rPr>
          <w:lang w:val="en-CA"/>
        </w:rPr>
        <w:t xml:space="preserve"> communication inadmissible for three reasons</w:t>
      </w:r>
      <w:r>
        <w:rPr>
          <w:lang w:val="en-CA"/>
        </w:rPr>
        <w:t xml:space="preserve">: </w:t>
      </w:r>
      <w:r w:rsidR="00E17E22">
        <w:rPr>
          <w:lang w:val="en-CA"/>
        </w:rPr>
        <w:t xml:space="preserve">(a) </w:t>
      </w:r>
      <w:r>
        <w:rPr>
          <w:lang w:val="en-CA"/>
        </w:rPr>
        <w:t xml:space="preserve">the complainant </w:t>
      </w:r>
      <w:r w:rsidR="00447B2B">
        <w:rPr>
          <w:lang w:val="en-CA"/>
        </w:rPr>
        <w:t>did</w:t>
      </w:r>
      <w:r>
        <w:rPr>
          <w:lang w:val="en-CA"/>
        </w:rPr>
        <w:t xml:space="preserve"> </w:t>
      </w:r>
      <w:r w:rsidR="00BB41AC" w:rsidRPr="00BB41AC">
        <w:rPr>
          <w:lang w:val="en-CA"/>
        </w:rPr>
        <w:t xml:space="preserve">not exhaust </w:t>
      </w:r>
      <w:r w:rsidR="00E17E22">
        <w:rPr>
          <w:lang w:val="en-CA"/>
        </w:rPr>
        <w:t xml:space="preserve">all </w:t>
      </w:r>
      <w:r w:rsidR="00BB41AC" w:rsidRPr="00BB41AC">
        <w:rPr>
          <w:lang w:val="en-CA"/>
        </w:rPr>
        <w:t>available domestic remedies, thus</w:t>
      </w:r>
      <w:r w:rsidR="00E17E22">
        <w:rPr>
          <w:lang w:val="en-CA"/>
        </w:rPr>
        <w:t xml:space="preserve"> her communication </w:t>
      </w:r>
      <w:r w:rsidR="00447B2B">
        <w:rPr>
          <w:lang w:val="en-CA"/>
        </w:rPr>
        <w:t>is</w:t>
      </w:r>
      <w:r w:rsidR="00BB41AC" w:rsidRPr="00BB41AC">
        <w:rPr>
          <w:lang w:val="en-CA"/>
        </w:rPr>
        <w:t xml:space="preserve"> inadmissible </w:t>
      </w:r>
      <w:r w:rsidR="00E17E22">
        <w:rPr>
          <w:lang w:val="en-CA"/>
        </w:rPr>
        <w:t>under</w:t>
      </w:r>
      <w:r w:rsidR="00BB41AC" w:rsidRPr="00BB41AC">
        <w:rPr>
          <w:lang w:val="en-CA"/>
        </w:rPr>
        <w:t xml:space="preserve"> </w:t>
      </w:r>
      <w:r>
        <w:rPr>
          <w:lang w:val="en-CA"/>
        </w:rPr>
        <w:t>a</w:t>
      </w:r>
      <w:r w:rsidR="00BB41AC" w:rsidRPr="00BB41AC">
        <w:rPr>
          <w:lang w:val="en-CA"/>
        </w:rPr>
        <w:t>rticle 22</w:t>
      </w:r>
      <w:r w:rsidR="00E17E22">
        <w:rPr>
          <w:lang w:val="en-CA"/>
        </w:rPr>
        <w:t xml:space="preserve"> </w:t>
      </w:r>
      <w:r w:rsidR="00BB41AC" w:rsidRPr="00BB41AC">
        <w:rPr>
          <w:lang w:val="en-CA"/>
        </w:rPr>
        <w:t>(5)</w:t>
      </w:r>
      <w:r w:rsidR="00E17E22">
        <w:rPr>
          <w:lang w:val="en-CA"/>
        </w:rPr>
        <w:t xml:space="preserve"> </w:t>
      </w:r>
      <w:r w:rsidR="00BB41AC" w:rsidRPr="00BB41AC">
        <w:rPr>
          <w:lang w:val="en-CA"/>
        </w:rPr>
        <w:t xml:space="preserve">(b) of the </w:t>
      </w:r>
      <w:r w:rsidR="00BB41AC" w:rsidRPr="00213EEA">
        <w:rPr>
          <w:lang w:val="en-CA"/>
        </w:rPr>
        <w:t>Convention</w:t>
      </w:r>
      <w:r>
        <w:rPr>
          <w:lang w:val="en-CA"/>
        </w:rPr>
        <w:t xml:space="preserve">; </w:t>
      </w:r>
      <w:r w:rsidR="00E17E22">
        <w:rPr>
          <w:lang w:val="en-CA"/>
        </w:rPr>
        <w:t>(b) s</w:t>
      </w:r>
      <w:r>
        <w:rPr>
          <w:lang w:val="en-CA"/>
        </w:rPr>
        <w:t xml:space="preserve">he </w:t>
      </w:r>
      <w:r w:rsidR="00447B2B">
        <w:rPr>
          <w:lang w:val="en-CA"/>
        </w:rPr>
        <w:t>did</w:t>
      </w:r>
      <w:r w:rsidR="00BB41AC" w:rsidRPr="00BB41AC">
        <w:rPr>
          <w:lang w:val="en-CA"/>
        </w:rPr>
        <w:t xml:space="preserve"> not substantiat</w:t>
      </w:r>
      <w:r w:rsidR="00447B2B">
        <w:rPr>
          <w:lang w:val="en-CA"/>
        </w:rPr>
        <w:t>e</w:t>
      </w:r>
      <w:r w:rsidR="00BB41AC" w:rsidRPr="00BB41AC">
        <w:rPr>
          <w:lang w:val="en-CA"/>
        </w:rPr>
        <w:t xml:space="preserve">, even on a </w:t>
      </w:r>
      <w:r w:rsidR="00BB41AC" w:rsidRPr="00304A52">
        <w:rPr>
          <w:iCs/>
          <w:lang w:val="en-CA"/>
        </w:rPr>
        <w:t>prima facie</w:t>
      </w:r>
      <w:r w:rsidR="00BB41AC" w:rsidRPr="00BB41AC">
        <w:rPr>
          <w:lang w:val="en-CA"/>
        </w:rPr>
        <w:t xml:space="preserve"> basis, her allegation that she face</w:t>
      </w:r>
      <w:r w:rsidR="00E17E22">
        <w:rPr>
          <w:lang w:val="en-CA"/>
        </w:rPr>
        <w:t>d</w:t>
      </w:r>
      <w:r w:rsidR="00BB41AC" w:rsidRPr="00BB41AC">
        <w:rPr>
          <w:lang w:val="en-CA"/>
        </w:rPr>
        <w:t xml:space="preserve"> a real and personal risk of torture upon return to Pakistan</w:t>
      </w:r>
      <w:r w:rsidR="00E17E22">
        <w:rPr>
          <w:lang w:val="en-CA"/>
        </w:rPr>
        <w:t>,</w:t>
      </w:r>
      <w:r>
        <w:rPr>
          <w:lang w:val="en-CA"/>
        </w:rPr>
        <w:t xml:space="preserve"> therefore the communication is</w:t>
      </w:r>
      <w:r w:rsidR="00BB41AC" w:rsidRPr="00BB41AC">
        <w:rPr>
          <w:lang w:val="en-CA"/>
        </w:rPr>
        <w:t xml:space="preserve"> inadmissible as an abuse of the right of submission </w:t>
      </w:r>
      <w:r w:rsidR="00E17E22">
        <w:rPr>
          <w:lang w:val="en-CA"/>
        </w:rPr>
        <w:t>under</w:t>
      </w:r>
      <w:r w:rsidR="00BB41AC" w:rsidRPr="00BB41AC">
        <w:rPr>
          <w:lang w:val="en-CA"/>
        </w:rPr>
        <w:t xml:space="preserve"> </w:t>
      </w:r>
      <w:r>
        <w:rPr>
          <w:lang w:val="en-CA"/>
        </w:rPr>
        <w:t>a</w:t>
      </w:r>
      <w:r w:rsidR="00BB41AC" w:rsidRPr="00BB41AC">
        <w:rPr>
          <w:lang w:val="en-CA"/>
        </w:rPr>
        <w:t>rticle 22</w:t>
      </w:r>
      <w:r w:rsidR="00E17E22">
        <w:rPr>
          <w:lang w:val="en-CA"/>
        </w:rPr>
        <w:t xml:space="preserve"> </w:t>
      </w:r>
      <w:r w:rsidR="00BB41AC" w:rsidRPr="00BB41AC">
        <w:rPr>
          <w:lang w:val="en-CA"/>
        </w:rPr>
        <w:t>(2</w:t>
      </w:r>
      <w:r w:rsidR="003202CC">
        <w:rPr>
          <w:lang w:val="en-CA"/>
        </w:rPr>
        <w:t>)</w:t>
      </w:r>
      <w:r w:rsidR="00D75AAB">
        <w:rPr>
          <w:lang w:val="en-CA"/>
        </w:rPr>
        <w:t>;</w:t>
      </w:r>
      <w:r w:rsidR="00E17E22">
        <w:rPr>
          <w:lang w:val="en-CA"/>
        </w:rPr>
        <w:t xml:space="preserve"> and (c)</w:t>
      </w:r>
      <w:r w:rsidR="00BB41AC" w:rsidRPr="00BB41AC">
        <w:rPr>
          <w:lang w:val="en-CA"/>
        </w:rPr>
        <w:t xml:space="preserve"> </w:t>
      </w:r>
      <w:r w:rsidR="00E17E22">
        <w:rPr>
          <w:lang w:val="en-CA"/>
        </w:rPr>
        <w:t>her</w:t>
      </w:r>
      <w:r w:rsidR="00BB41AC" w:rsidRPr="00BB41AC">
        <w:rPr>
          <w:lang w:val="en-CA"/>
        </w:rPr>
        <w:t xml:space="preserve"> remaining allegations are incompatible with the provisions of </w:t>
      </w:r>
      <w:r w:rsidR="00BB41AC" w:rsidRPr="00213EEA">
        <w:rPr>
          <w:lang w:val="en-CA"/>
        </w:rPr>
        <w:t xml:space="preserve">the Convention, </w:t>
      </w:r>
      <w:r w:rsidR="00BB41AC" w:rsidRPr="00BB41AC">
        <w:rPr>
          <w:lang w:val="en-CA"/>
        </w:rPr>
        <w:t xml:space="preserve">therefore </w:t>
      </w:r>
      <w:r w:rsidR="00E17E22">
        <w:rPr>
          <w:lang w:val="en-CA"/>
        </w:rPr>
        <w:t xml:space="preserve">the communication </w:t>
      </w:r>
      <w:r w:rsidR="00447B2B">
        <w:rPr>
          <w:lang w:val="en-CA"/>
        </w:rPr>
        <w:t>i</w:t>
      </w:r>
      <w:r w:rsidR="00E17E22">
        <w:rPr>
          <w:lang w:val="en-CA"/>
        </w:rPr>
        <w:t xml:space="preserve">s </w:t>
      </w:r>
      <w:r w:rsidR="00BB41AC" w:rsidRPr="00BB41AC">
        <w:rPr>
          <w:lang w:val="en-CA"/>
        </w:rPr>
        <w:t xml:space="preserve">inadmissible </w:t>
      </w:r>
      <w:r w:rsidR="00E17E22">
        <w:rPr>
          <w:lang w:val="en-CA"/>
        </w:rPr>
        <w:t>under</w:t>
      </w:r>
      <w:r w:rsidR="00BB41AC" w:rsidRPr="00BB41AC">
        <w:rPr>
          <w:lang w:val="en-CA"/>
        </w:rPr>
        <w:t xml:space="preserve"> </w:t>
      </w:r>
      <w:r>
        <w:rPr>
          <w:lang w:val="en-CA"/>
        </w:rPr>
        <w:t>a</w:t>
      </w:r>
      <w:r w:rsidR="00BB41AC" w:rsidRPr="00BB41AC">
        <w:rPr>
          <w:lang w:val="en-CA"/>
        </w:rPr>
        <w:t>rticle 22</w:t>
      </w:r>
      <w:r w:rsidR="00E17E22">
        <w:rPr>
          <w:lang w:val="en-CA"/>
        </w:rPr>
        <w:t xml:space="preserve"> </w:t>
      </w:r>
      <w:r w:rsidR="00BB41AC" w:rsidRPr="00BB41AC">
        <w:rPr>
          <w:lang w:val="en-CA"/>
        </w:rPr>
        <w:t xml:space="preserve">(2). </w:t>
      </w:r>
    </w:p>
    <w:p w:rsidR="00BB41AC" w:rsidRPr="00BB41AC" w:rsidRDefault="00213EEA">
      <w:pPr>
        <w:pStyle w:val="SingleTxtG"/>
        <w:rPr>
          <w:lang w:val="en-CA"/>
        </w:rPr>
      </w:pPr>
      <w:r>
        <w:rPr>
          <w:lang w:val="en-CA"/>
        </w:rPr>
        <w:t>4.3</w:t>
      </w:r>
      <w:r>
        <w:rPr>
          <w:lang w:val="en-CA"/>
        </w:rPr>
        <w:tab/>
      </w:r>
      <w:r w:rsidR="001E3CD3">
        <w:rPr>
          <w:lang w:val="en-CA"/>
        </w:rPr>
        <w:t>However</w:t>
      </w:r>
      <w:r w:rsidR="00BB41AC" w:rsidRPr="00BB41AC">
        <w:rPr>
          <w:lang w:val="en-CA"/>
        </w:rPr>
        <w:t>, should th</w:t>
      </w:r>
      <w:r>
        <w:rPr>
          <w:lang w:val="en-CA"/>
        </w:rPr>
        <w:t>e</w:t>
      </w:r>
      <w:r w:rsidR="00BB41AC" w:rsidRPr="00BB41AC">
        <w:rPr>
          <w:lang w:val="en-CA"/>
        </w:rPr>
        <w:t xml:space="preserve"> </w:t>
      </w:r>
      <w:r w:rsidR="00E17E22">
        <w:rPr>
          <w:lang w:val="en-CA"/>
        </w:rPr>
        <w:t xml:space="preserve">Committee declare the </w:t>
      </w:r>
      <w:r w:rsidR="00BB41AC" w:rsidRPr="00BB41AC">
        <w:rPr>
          <w:lang w:val="en-CA"/>
        </w:rPr>
        <w:t xml:space="preserve">communication admissible, </w:t>
      </w:r>
      <w:r>
        <w:rPr>
          <w:lang w:val="en-CA"/>
        </w:rPr>
        <w:t xml:space="preserve">the State party </w:t>
      </w:r>
      <w:r w:rsidR="00BB41AC" w:rsidRPr="00BB41AC">
        <w:rPr>
          <w:lang w:val="en-CA"/>
        </w:rPr>
        <w:t>submit</w:t>
      </w:r>
      <w:r w:rsidR="00447B2B">
        <w:rPr>
          <w:lang w:val="en-CA"/>
        </w:rPr>
        <w:t>s</w:t>
      </w:r>
      <w:r w:rsidR="00E17E22">
        <w:rPr>
          <w:lang w:val="en-CA"/>
        </w:rPr>
        <w:t xml:space="preserve"> that</w:t>
      </w:r>
      <w:r w:rsidR="00BB41AC" w:rsidRPr="00BB41AC">
        <w:rPr>
          <w:lang w:val="en-CA"/>
        </w:rPr>
        <w:t xml:space="preserve">, on the basis of the same considerations, the complaint </w:t>
      </w:r>
      <w:r w:rsidR="00447B2B">
        <w:rPr>
          <w:lang w:val="en-CA"/>
        </w:rPr>
        <w:t>i</w:t>
      </w:r>
      <w:r w:rsidR="00BB41AC" w:rsidRPr="00BB41AC">
        <w:rPr>
          <w:lang w:val="en-CA"/>
        </w:rPr>
        <w:t>s entirely without merit.</w:t>
      </w:r>
    </w:p>
    <w:p w:rsidR="000F3CD2" w:rsidRDefault="00213EEA">
      <w:pPr>
        <w:pStyle w:val="SingleTxtG"/>
        <w:rPr>
          <w:lang w:val="en-CA"/>
        </w:rPr>
      </w:pPr>
      <w:r>
        <w:rPr>
          <w:lang w:val="en-CA"/>
        </w:rPr>
        <w:t>4.4</w:t>
      </w:r>
      <w:r>
        <w:rPr>
          <w:lang w:val="en-CA"/>
        </w:rPr>
        <w:tab/>
        <w:t>The State party maintain</w:t>
      </w:r>
      <w:r w:rsidR="00447B2B">
        <w:rPr>
          <w:lang w:val="en-CA"/>
        </w:rPr>
        <w:t>s</w:t>
      </w:r>
      <w:r>
        <w:rPr>
          <w:lang w:val="en-CA"/>
        </w:rPr>
        <w:t xml:space="preserve"> that t</w:t>
      </w:r>
      <w:r w:rsidR="00BB41AC" w:rsidRPr="00BB41AC">
        <w:rPr>
          <w:lang w:val="en-CA"/>
        </w:rPr>
        <w:t>he</w:t>
      </w:r>
      <w:r>
        <w:rPr>
          <w:lang w:val="en-CA"/>
        </w:rPr>
        <w:t xml:space="preserve"> complainant </w:t>
      </w:r>
      <w:r w:rsidR="00447B2B">
        <w:rPr>
          <w:lang w:val="en-CA"/>
        </w:rPr>
        <w:t>did</w:t>
      </w:r>
      <w:r w:rsidR="00BB41AC" w:rsidRPr="00BB41AC">
        <w:rPr>
          <w:lang w:val="en-CA"/>
        </w:rPr>
        <w:t xml:space="preserve"> not exhaust two available domestic remedies</w:t>
      </w:r>
      <w:r>
        <w:rPr>
          <w:lang w:val="en-CA"/>
        </w:rPr>
        <w:t xml:space="preserve">: </w:t>
      </w:r>
      <w:r w:rsidR="00E17E22">
        <w:rPr>
          <w:lang w:val="en-CA"/>
        </w:rPr>
        <w:t xml:space="preserve">(a) </w:t>
      </w:r>
      <w:r>
        <w:rPr>
          <w:lang w:val="en-CA"/>
        </w:rPr>
        <w:t>she</w:t>
      </w:r>
      <w:r w:rsidR="00BB41AC" w:rsidRPr="00BB41AC">
        <w:rPr>
          <w:lang w:val="en-CA"/>
        </w:rPr>
        <w:t xml:space="preserve"> did not apply for leave to seek judicial review </w:t>
      </w:r>
      <w:r>
        <w:rPr>
          <w:lang w:val="en-CA"/>
        </w:rPr>
        <w:t xml:space="preserve">of the </w:t>
      </w:r>
      <w:r w:rsidR="00E17E22">
        <w:rPr>
          <w:lang w:val="en-CA"/>
        </w:rPr>
        <w:t xml:space="preserve">decision of the </w:t>
      </w:r>
      <w:r>
        <w:rPr>
          <w:lang w:val="en-CA"/>
        </w:rPr>
        <w:t>R</w:t>
      </w:r>
      <w:r w:rsidR="00E17E22">
        <w:rPr>
          <w:lang w:val="en-CA"/>
        </w:rPr>
        <w:t xml:space="preserve">efugee </w:t>
      </w:r>
      <w:r>
        <w:rPr>
          <w:lang w:val="en-CA"/>
        </w:rPr>
        <w:t>P</w:t>
      </w:r>
      <w:r w:rsidR="00E17E22">
        <w:rPr>
          <w:lang w:val="en-CA"/>
        </w:rPr>
        <w:t xml:space="preserve">rotection </w:t>
      </w:r>
      <w:r>
        <w:rPr>
          <w:lang w:val="en-CA"/>
        </w:rPr>
        <w:t>D</w:t>
      </w:r>
      <w:r w:rsidR="00E17E22">
        <w:rPr>
          <w:lang w:val="en-CA"/>
        </w:rPr>
        <w:t>ivision</w:t>
      </w:r>
      <w:r>
        <w:rPr>
          <w:lang w:val="en-CA"/>
        </w:rPr>
        <w:t xml:space="preserve"> </w:t>
      </w:r>
      <w:r w:rsidR="00A859C1">
        <w:rPr>
          <w:lang w:val="en-CA"/>
        </w:rPr>
        <w:t>nor did</w:t>
      </w:r>
      <w:r>
        <w:rPr>
          <w:lang w:val="en-CA"/>
        </w:rPr>
        <w:t xml:space="preserve"> she </w:t>
      </w:r>
      <w:r w:rsidR="00BB41AC" w:rsidRPr="00BB41AC">
        <w:rPr>
          <w:lang w:val="en-CA"/>
        </w:rPr>
        <w:t xml:space="preserve">provide </w:t>
      </w:r>
      <w:r w:rsidR="00A859C1">
        <w:rPr>
          <w:lang w:val="en-CA"/>
        </w:rPr>
        <w:t>any</w:t>
      </w:r>
      <w:r w:rsidR="00BB41AC" w:rsidRPr="00BB41AC">
        <w:rPr>
          <w:lang w:val="en-CA"/>
        </w:rPr>
        <w:t xml:space="preserve"> evidence that</w:t>
      </w:r>
      <w:r w:rsidR="00A859C1">
        <w:rPr>
          <w:lang w:val="en-CA"/>
        </w:rPr>
        <w:t xml:space="preserve"> she could not afford legal representation in order to avail herself of</w:t>
      </w:r>
      <w:r w:rsidR="00BB41AC" w:rsidRPr="00BB41AC">
        <w:rPr>
          <w:lang w:val="en-CA"/>
        </w:rPr>
        <w:t xml:space="preserve"> this remedy</w:t>
      </w:r>
      <w:r>
        <w:rPr>
          <w:lang w:val="en-CA"/>
        </w:rPr>
        <w:t xml:space="preserve">; </w:t>
      </w:r>
      <w:r w:rsidR="00A859C1">
        <w:rPr>
          <w:lang w:val="en-CA"/>
        </w:rPr>
        <w:t xml:space="preserve">and (b) </w:t>
      </w:r>
      <w:r>
        <w:rPr>
          <w:lang w:val="en-CA"/>
        </w:rPr>
        <w:t xml:space="preserve">she </w:t>
      </w:r>
      <w:r w:rsidR="00BB41AC" w:rsidRPr="00BB41AC">
        <w:rPr>
          <w:lang w:val="en-CA"/>
        </w:rPr>
        <w:t>did not apply for permanent residence on the basis of humanitarian and compassionate grounds</w:t>
      </w:r>
      <w:r w:rsidR="00A859C1">
        <w:rPr>
          <w:lang w:val="en-CA"/>
        </w:rPr>
        <w:t xml:space="preserve">, nor did </w:t>
      </w:r>
      <w:r>
        <w:rPr>
          <w:lang w:val="en-CA"/>
        </w:rPr>
        <w:t>she</w:t>
      </w:r>
      <w:r w:rsidR="00BB41AC" w:rsidRPr="00BB41AC">
        <w:rPr>
          <w:lang w:val="en-CA"/>
        </w:rPr>
        <w:t xml:space="preserve"> explain why she </w:t>
      </w:r>
      <w:r w:rsidR="00A859C1">
        <w:rPr>
          <w:lang w:val="en-CA"/>
        </w:rPr>
        <w:t>did</w:t>
      </w:r>
      <w:r w:rsidR="00BB41AC" w:rsidRPr="00BB41AC">
        <w:rPr>
          <w:lang w:val="en-CA"/>
        </w:rPr>
        <w:t xml:space="preserve"> not pursue this remedy</w:t>
      </w:r>
      <w:r>
        <w:rPr>
          <w:lang w:val="en-CA"/>
        </w:rPr>
        <w:t>.</w:t>
      </w:r>
      <w:r w:rsidR="00E5248B">
        <w:rPr>
          <w:lang w:val="en-CA"/>
        </w:rPr>
        <w:t xml:space="preserve"> </w:t>
      </w:r>
    </w:p>
    <w:p w:rsidR="000F3CD2" w:rsidRPr="00BB41AC" w:rsidRDefault="000F3CD2">
      <w:pPr>
        <w:pStyle w:val="SingleTxtG"/>
        <w:rPr>
          <w:lang w:val="en-CA"/>
        </w:rPr>
      </w:pPr>
      <w:r>
        <w:rPr>
          <w:lang w:val="en-CA"/>
        </w:rPr>
        <w:lastRenderedPageBreak/>
        <w:t xml:space="preserve">4.5 </w:t>
      </w:r>
      <w:r>
        <w:rPr>
          <w:lang w:val="en-CA"/>
        </w:rPr>
        <w:tab/>
      </w:r>
      <w:r w:rsidRPr="00447B2B">
        <w:rPr>
          <w:lang w:val="en-CA"/>
        </w:rPr>
        <w:t>The State party</w:t>
      </w:r>
      <w:r>
        <w:rPr>
          <w:lang w:val="en-CA"/>
        </w:rPr>
        <w:t xml:space="preserve"> submit</w:t>
      </w:r>
      <w:r w:rsidR="003B0E01">
        <w:rPr>
          <w:lang w:val="en-CA"/>
        </w:rPr>
        <w:t>s</w:t>
      </w:r>
      <w:r>
        <w:rPr>
          <w:lang w:val="en-CA"/>
        </w:rPr>
        <w:t xml:space="preserve"> that after </w:t>
      </w:r>
      <w:r w:rsidR="00A859C1">
        <w:rPr>
          <w:lang w:val="en-CA"/>
        </w:rPr>
        <w:t xml:space="preserve">the complainant </w:t>
      </w:r>
      <w:r w:rsidR="00447B2B">
        <w:rPr>
          <w:lang w:val="en-CA"/>
        </w:rPr>
        <w:t xml:space="preserve">had </w:t>
      </w:r>
      <w:r w:rsidRPr="00BB41AC">
        <w:rPr>
          <w:lang w:val="en-CA"/>
        </w:rPr>
        <w:t>receiv</w:t>
      </w:r>
      <w:r w:rsidR="00A859C1">
        <w:rPr>
          <w:lang w:val="en-CA"/>
        </w:rPr>
        <w:t>ed</w:t>
      </w:r>
      <w:r w:rsidRPr="00BB41AC">
        <w:rPr>
          <w:lang w:val="en-CA"/>
        </w:rPr>
        <w:t xml:space="preserve"> the negative </w:t>
      </w:r>
      <w:r w:rsidR="00A859C1">
        <w:rPr>
          <w:lang w:val="en-CA"/>
        </w:rPr>
        <w:t xml:space="preserve">decision from the </w:t>
      </w:r>
      <w:r w:rsidRPr="00BB41AC">
        <w:rPr>
          <w:lang w:val="en-CA"/>
        </w:rPr>
        <w:t>R</w:t>
      </w:r>
      <w:r w:rsidR="00A859C1">
        <w:rPr>
          <w:lang w:val="en-CA"/>
        </w:rPr>
        <w:t xml:space="preserve">efugee </w:t>
      </w:r>
      <w:r w:rsidRPr="00BB41AC">
        <w:rPr>
          <w:lang w:val="en-CA"/>
        </w:rPr>
        <w:t>P</w:t>
      </w:r>
      <w:r w:rsidR="00A859C1">
        <w:rPr>
          <w:lang w:val="en-CA"/>
        </w:rPr>
        <w:t xml:space="preserve">rotection </w:t>
      </w:r>
      <w:r w:rsidRPr="00BB41AC">
        <w:rPr>
          <w:lang w:val="en-CA"/>
        </w:rPr>
        <w:t>D</w:t>
      </w:r>
      <w:r w:rsidR="00A859C1">
        <w:rPr>
          <w:lang w:val="en-CA"/>
        </w:rPr>
        <w:t>ivision</w:t>
      </w:r>
      <w:r w:rsidRPr="00BB41AC">
        <w:rPr>
          <w:lang w:val="en-CA"/>
        </w:rPr>
        <w:t xml:space="preserve">, </w:t>
      </w:r>
      <w:r w:rsidR="00A859C1">
        <w:rPr>
          <w:lang w:val="en-CA"/>
        </w:rPr>
        <w:t>s</w:t>
      </w:r>
      <w:r w:rsidRPr="00BB41AC">
        <w:rPr>
          <w:lang w:val="en-CA"/>
        </w:rPr>
        <w:t>he could have applied to the Federal Court for leave to seek judicial review of that decision</w:t>
      </w:r>
      <w:r>
        <w:rPr>
          <w:lang w:val="en-CA"/>
        </w:rPr>
        <w:t>, but she did not</w:t>
      </w:r>
      <w:r w:rsidRPr="00BB41AC">
        <w:rPr>
          <w:lang w:val="en-CA"/>
        </w:rPr>
        <w:t xml:space="preserve">. A successful application for judicial review would result in the flawed decision being set aside and the applicant’s claim being </w:t>
      </w:r>
      <w:r w:rsidR="00A859C1">
        <w:rPr>
          <w:lang w:val="en-CA"/>
        </w:rPr>
        <w:t>resubmitted</w:t>
      </w:r>
      <w:r w:rsidRPr="00BB41AC">
        <w:rPr>
          <w:lang w:val="en-CA"/>
        </w:rPr>
        <w:t xml:space="preserve"> to the R</w:t>
      </w:r>
      <w:r w:rsidR="00A859C1">
        <w:rPr>
          <w:lang w:val="en-CA"/>
        </w:rPr>
        <w:t xml:space="preserve">efugee </w:t>
      </w:r>
      <w:r w:rsidRPr="00BB41AC">
        <w:rPr>
          <w:lang w:val="en-CA"/>
        </w:rPr>
        <w:t>P</w:t>
      </w:r>
      <w:r w:rsidR="00A859C1">
        <w:rPr>
          <w:lang w:val="en-CA"/>
        </w:rPr>
        <w:t xml:space="preserve">rotection </w:t>
      </w:r>
      <w:r w:rsidRPr="00BB41AC">
        <w:rPr>
          <w:lang w:val="en-CA"/>
        </w:rPr>
        <w:t>D</w:t>
      </w:r>
      <w:r w:rsidR="00A859C1">
        <w:rPr>
          <w:lang w:val="en-CA"/>
        </w:rPr>
        <w:t>ivision</w:t>
      </w:r>
      <w:r w:rsidRPr="00BB41AC">
        <w:rPr>
          <w:lang w:val="en-CA"/>
        </w:rPr>
        <w:t xml:space="preserve"> for a fresh determination by a different decision</w:t>
      </w:r>
      <w:r w:rsidR="004E7040">
        <w:rPr>
          <w:lang w:val="en-CA"/>
        </w:rPr>
        <w:t xml:space="preserve"> </w:t>
      </w:r>
      <w:r w:rsidRPr="00BB41AC">
        <w:rPr>
          <w:lang w:val="en-CA"/>
        </w:rPr>
        <w:t>maker. Judicial review has consistently been recognized by th</w:t>
      </w:r>
      <w:r w:rsidR="00A859C1">
        <w:rPr>
          <w:lang w:val="en-CA"/>
        </w:rPr>
        <w:t>e</w:t>
      </w:r>
      <w:r w:rsidRPr="00BB41AC">
        <w:rPr>
          <w:lang w:val="en-CA"/>
        </w:rPr>
        <w:t xml:space="preserve"> Committee as a procedure that must be exhausted for the purposes of admissibility</w:t>
      </w:r>
      <w:r w:rsidR="00A859C1">
        <w:rPr>
          <w:lang w:val="en-CA"/>
        </w:rPr>
        <w:t xml:space="preserve"> of a communication</w:t>
      </w:r>
      <w:r w:rsidRPr="00BB41AC">
        <w:rPr>
          <w:lang w:val="en-CA"/>
        </w:rPr>
        <w:t>.</w:t>
      </w:r>
      <w:r w:rsidR="00617727">
        <w:rPr>
          <w:rStyle w:val="FootnoteReference"/>
          <w:lang w:val="en-CA"/>
        </w:rPr>
        <w:footnoteReference w:id="5"/>
      </w:r>
      <w:r>
        <w:rPr>
          <w:lang w:val="en-CA"/>
        </w:rPr>
        <w:t xml:space="preserve"> </w:t>
      </w:r>
      <w:r w:rsidRPr="003B0E01">
        <w:rPr>
          <w:lang w:val="en-CA"/>
        </w:rPr>
        <w:t xml:space="preserve">The </w:t>
      </w:r>
      <w:r w:rsidRPr="00BB41AC">
        <w:rPr>
          <w:lang w:val="en-CA"/>
        </w:rPr>
        <w:t>decision</w:t>
      </w:r>
      <w:r w:rsidR="003B0E01">
        <w:rPr>
          <w:lang w:val="en-CA"/>
        </w:rPr>
        <w:t xml:space="preserve"> of the Refugee Protection Division</w:t>
      </w:r>
      <w:r w:rsidRPr="00BB41AC">
        <w:rPr>
          <w:lang w:val="en-CA"/>
        </w:rPr>
        <w:t xml:space="preserve"> is a critical step in the </w:t>
      </w:r>
      <w:r>
        <w:rPr>
          <w:lang w:val="en-CA"/>
        </w:rPr>
        <w:t>State party’s</w:t>
      </w:r>
      <w:r w:rsidRPr="00BB41AC">
        <w:rPr>
          <w:lang w:val="en-CA"/>
        </w:rPr>
        <w:t xml:space="preserve"> system for assessing </w:t>
      </w:r>
      <w:r w:rsidR="003B0E01">
        <w:rPr>
          <w:lang w:val="en-CA"/>
        </w:rPr>
        <w:t>a claimant</w:t>
      </w:r>
      <w:r w:rsidRPr="00BB41AC">
        <w:rPr>
          <w:lang w:val="en-CA"/>
        </w:rPr>
        <w:t>’</w:t>
      </w:r>
      <w:r w:rsidR="003B0E01">
        <w:rPr>
          <w:lang w:val="en-CA"/>
        </w:rPr>
        <w:t>s</w:t>
      </w:r>
      <w:r w:rsidRPr="00BB41AC">
        <w:rPr>
          <w:lang w:val="en-CA"/>
        </w:rPr>
        <w:t xml:space="preserve"> allegations of risk upon return to their country of origin</w:t>
      </w:r>
      <w:r w:rsidR="003B0E01">
        <w:rPr>
          <w:lang w:val="en-CA"/>
        </w:rPr>
        <w:t>. B</w:t>
      </w:r>
      <w:r w:rsidRPr="00BB41AC">
        <w:rPr>
          <w:lang w:val="en-CA"/>
        </w:rPr>
        <w:t xml:space="preserve">y not seeking </w:t>
      </w:r>
      <w:r w:rsidR="003B0E01">
        <w:rPr>
          <w:lang w:val="en-CA"/>
        </w:rPr>
        <w:t xml:space="preserve">a </w:t>
      </w:r>
      <w:r w:rsidRPr="00BB41AC">
        <w:rPr>
          <w:lang w:val="en-CA"/>
        </w:rPr>
        <w:t xml:space="preserve">judicial review of that decision, the </w:t>
      </w:r>
      <w:r>
        <w:rPr>
          <w:lang w:val="en-CA"/>
        </w:rPr>
        <w:t>complainant</w:t>
      </w:r>
      <w:r w:rsidRPr="00BB41AC">
        <w:rPr>
          <w:lang w:val="en-CA"/>
        </w:rPr>
        <w:t xml:space="preserve"> did not provide </w:t>
      </w:r>
      <w:r w:rsidR="003B0E01">
        <w:rPr>
          <w:lang w:val="en-CA"/>
        </w:rPr>
        <w:t>the</w:t>
      </w:r>
      <w:r w:rsidRPr="00BB41AC">
        <w:rPr>
          <w:lang w:val="en-CA"/>
        </w:rPr>
        <w:t xml:space="preserve"> decision</w:t>
      </w:r>
      <w:r w:rsidR="004E7040">
        <w:rPr>
          <w:lang w:val="en-CA"/>
        </w:rPr>
        <w:t xml:space="preserve"> </w:t>
      </w:r>
      <w:r w:rsidRPr="00BB41AC">
        <w:rPr>
          <w:lang w:val="en-CA"/>
        </w:rPr>
        <w:t>makers with the opportunity to review and correct any errors that may have been made</w:t>
      </w:r>
      <w:r w:rsidR="003B0E01">
        <w:rPr>
          <w:lang w:val="en-CA"/>
        </w:rPr>
        <w:t xml:space="preserve"> in the initial assessment</w:t>
      </w:r>
      <w:r w:rsidRPr="00BB41AC">
        <w:rPr>
          <w:lang w:val="en-CA"/>
        </w:rPr>
        <w:t xml:space="preserve">. </w:t>
      </w:r>
      <w:r>
        <w:rPr>
          <w:lang w:val="en-CA"/>
        </w:rPr>
        <w:t>T</w:t>
      </w:r>
      <w:r w:rsidRPr="00BB41AC">
        <w:rPr>
          <w:lang w:val="en-CA"/>
        </w:rPr>
        <w:t xml:space="preserve">he </w:t>
      </w:r>
      <w:r>
        <w:rPr>
          <w:lang w:val="en-CA"/>
        </w:rPr>
        <w:t>complainant</w:t>
      </w:r>
      <w:r w:rsidRPr="00BB41AC">
        <w:rPr>
          <w:lang w:val="en-CA"/>
        </w:rPr>
        <w:t xml:space="preserve"> state</w:t>
      </w:r>
      <w:r w:rsidR="003B0E01">
        <w:rPr>
          <w:lang w:val="en-CA"/>
        </w:rPr>
        <w:t>d</w:t>
      </w:r>
      <w:r w:rsidRPr="00BB41AC">
        <w:rPr>
          <w:lang w:val="en-CA"/>
        </w:rPr>
        <w:t xml:space="preserve"> that she did not exhaust this domestic remedy because </w:t>
      </w:r>
      <w:r>
        <w:rPr>
          <w:lang w:val="en-CA"/>
        </w:rPr>
        <w:t xml:space="preserve">she </w:t>
      </w:r>
      <w:r w:rsidRPr="00BB41AC">
        <w:rPr>
          <w:lang w:val="en-CA"/>
        </w:rPr>
        <w:t>could not afford a lawyer</w:t>
      </w:r>
      <w:r>
        <w:rPr>
          <w:lang w:val="en-CA"/>
        </w:rPr>
        <w:t>. The State party maintain</w:t>
      </w:r>
      <w:r w:rsidR="003B0E01">
        <w:rPr>
          <w:lang w:val="en-CA"/>
        </w:rPr>
        <w:t>s</w:t>
      </w:r>
      <w:r w:rsidRPr="00BB41AC">
        <w:rPr>
          <w:lang w:val="en-CA"/>
        </w:rPr>
        <w:t xml:space="preserve"> that the </w:t>
      </w:r>
      <w:r>
        <w:rPr>
          <w:lang w:val="en-CA"/>
        </w:rPr>
        <w:t>complainant</w:t>
      </w:r>
      <w:r w:rsidRPr="00BB41AC">
        <w:rPr>
          <w:lang w:val="en-CA"/>
        </w:rPr>
        <w:t xml:space="preserve"> </w:t>
      </w:r>
      <w:r w:rsidR="00D75AAB">
        <w:rPr>
          <w:lang w:val="en-CA"/>
        </w:rPr>
        <w:t>failed to prove</w:t>
      </w:r>
      <w:r w:rsidRPr="00BB41AC">
        <w:rPr>
          <w:lang w:val="en-CA"/>
        </w:rPr>
        <w:t xml:space="preserve"> that this remedy was factually unavailable. </w:t>
      </w:r>
      <w:r w:rsidR="00D75AAB">
        <w:rPr>
          <w:lang w:val="en-CA"/>
        </w:rPr>
        <w:t>C</w:t>
      </w:r>
      <w:r>
        <w:rPr>
          <w:lang w:val="en-CA"/>
        </w:rPr>
        <w:t>omplainant</w:t>
      </w:r>
      <w:r w:rsidRPr="00BB41AC">
        <w:rPr>
          <w:lang w:val="en-CA"/>
        </w:rPr>
        <w:t>s are required to provide case-specific evidence to substantiate that financial considerations prevented them from pursuing a particular remedy.</w:t>
      </w:r>
      <w:r w:rsidR="00617727">
        <w:rPr>
          <w:rStyle w:val="FootnoteReference"/>
          <w:lang w:val="en-CA"/>
        </w:rPr>
        <w:footnoteReference w:id="6"/>
      </w:r>
      <w:r w:rsidRPr="00BB41AC">
        <w:rPr>
          <w:lang w:val="en-CA"/>
        </w:rPr>
        <w:t xml:space="preserve"> In </w:t>
      </w:r>
      <w:r w:rsidR="00C43F1F">
        <w:rPr>
          <w:lang w:val="en-CA"/>
        </w:rPr>
        <w:t>her</w:t>
      </w:r>
      <w:r w:rsidRPr="00BB41AC">
        <w:rPr>
          <w:lang w:val="en-CA"/>
        </w:rPr>
        <w:t xml:space="preserve"> communication, the </w:t>
      </w:r>
      <w:r>
        <w:rPr>
          <w:lang w:val="en-CA"/>
        </w:rPr>
        <w:t>complainant</w:t>
      </w:r>
      <w:r w:rsidRPr="00BB41AC">
        <w:rPr>
          <w:lang w:val="en-CA"/>
        </w:rPr>
        <w:t xml:space="preserve"> provided no evidence to substantiate her assertion that she could not afford a lawyer. Such evidence is particularly important in the current communication where the factual record is inconsistent with the notion that the </w:t>
      </w:r>
      <w:r>
        <w:rPr>
          <w:lang w:val="en-CA"/>
        </w:rPr>
        <w:t>complainant</w:t>
      </w:r>
      <w:r w:rsidRPr="00BB41AC">
        <w:rPr>
          <w:lang w:val="en-CA"/>
        </w:rPr>
        <w:t xml:space="preserve"> was unable to find legal counsel. The </w:t>
      </w:r>
      <w:r>
        <w:rPr>
          <w:lang w:val="en-CA"/>
        </w:rPr>
        <w:t>complainant</w:t>
      </w:r>
      <w:r w:rsidRPr="00BB41AC">
        <w:rPr>
          <w:lang w:val="en-CA"/>
        </w:rPr>
        <w:t xml:space="preserve"> was represented by the same legal counsel for her R</w:t>
      </w:r>
      <w:r w:rsidR="003B0E01">
        <w:rPr>
          <w:lang w:val="en-CA"/>
        </w:rPr>
        <w:t xml:space="preserve">efugee </w:t>
      </w:r>
      <w:r w:rsidRPr="00BB41AC">
        <w:rPr>
          <w:lang w:val="en-CA"/>
        </w:rPr>
        <w:t>P</w:t>
      </w:r>
      <w:r w:rsidR="003B0E01">
        <w:rPr>
          <w:lang w:val="en-CA"/>
        </w:rPr>
        <w:t xml:space="preserve">rotection </w:t>
      </w:r>
      <w:r w:rsidRPr="00BB41AC">
        <w:rPr>
          <w:lang w:val="en-CA"/>
        </w:rPr>
        <w:t>D</w:t>
      </w:r>
      <w:r w:rsidR="003B0E01">
        <w:rPr>
          <w:lang w:val="en-CA"/>
        </w:rPr>
        <w:t>ivision</w:t>
      </w:r>
      <w:r w:rsidRPr="00BB41AC">
        <w:rPr>
          <w:lang w:val="en-CA"/>
        </w:rPr>
        <w:t xml:space="preserve"> hearing, her </w:t>
      </w:r>
      <w:r w:rsidR="003B0E01">
        <w:rPr>
          <w:lang w:val="en-US"/>
        </w:rPr>
        <w:t>p</w:t>
      </w:r>
      <w:r w:rsidR="003B0E01" w:rsidRPr="00E3333E">
        <w:t>re</w:t>
      </w:r>
      <w:r w:rsidR="003B0E01">
        <w:rPr>
          <w:lang w:val="en-US"/>
        </w:rPr>
        <w:t>-r</w:t>
      </w:r>
      <w:r w:rsidR="003B0E01" w:rsidRPr="00E3333E">
        <w:t xml:space="preserve">emoval </w:t>
      </w:r>
      <w:r w:rsidR="003B0E01">
        <w:rPr>
          <w:lang w:val="en-US"/>
        </w:rPr>
        <w:t>r</w:t>
      </w:r>
      <w:r w:rsidR="003B0E01" w:rsidRPr="00E3333E">
        <w:t xml:space="preserve">isk </w:t>
      </w:r>
      <w:r w:rsidR="003B0E01">
        <w:rPr>
          <w:lang w:val="en-US"/>
        </w:rPr>
        <w:t>a</w:t>
      </w:r>
      <w:r w:rsidR="003B0E01" w:rsidRPr="00E3333E">
        <w:t>ssessment</w:t>
      </w:r>
      <w:r w:rsidRPr="00BB41AC">
        <w:rPr>
          <w:lang w:val="en-CA"/>
        </w:rPr>
        <w:t xml:space="preserve"> application, and her application to the Federal Court for leave to seek judicial review of the </w:t>
      </w:r>
      <w:r w:rsidR="003B0E01">
        <w:rPr>
          <w:lang w:val="en-US"/>
        </w:rPr>
        <w:t>p</w:t>
      </w:r>
      <w:r w:rsidR="003B0E01" w:rsidRPr="00E3333E">
        <w:t>re</w:t>
      </w:r>
      <w:r w:rsidR="003B0E01">
        <w:rPr>
          <w:lang w:val="en-US"/>
        </w:rPr>
        <w:t>-r</w:t>
      </w:r>
      <w:r w:rsidR="003B0E01" w:rsidRPr="00E3333E">
        <w:t xml:space="preserve">emoval </w:t>
      </w:r>
      <w:r w:rsidR="003B0E01">
        <w:rPr>
          <w:lang w:val="en-US"/>
        </w:rPr>
        <w:t>r</w:t>
      </w:r>
      <w:r w:rsidR="003B0E01" w:rsidRPr="00E3333E">
        <w:t xml:space="preserve">isk </w:t>
      </w:r>
      <w:r w:rsidR="003B0E01">
        <w:rPr>
          <w:lang w:val="en-US"/>
        </w:rPr>
        <w:t>a</w:t>
      </w:r>
      <w:r w:rsidR="003B0E01" w:rsidRPr="00E3333E">
        <w:t>ssessment</w:t>
      </w:r>
      <w:r w:rsidRPr="00BB41AC">
        <w:rPr>
          <w:lang w:val="en-CA"/>
        </w:rPr>
        <w:t xml:space="preserve"> decision. </w:t>
      </w:r>
      <w:r w:rsidR="003B0E01">
        <w:rPr>
          <w:lang w:val="en-CA"/>
        </w:rPr>
        <w:t xml:space="preserve">She even </w:t>
      </w:r>
      <w:r w:rsidR="003B0E01" w:rsidRPr="00BB41AC">
        <w:rPr>
          <w:lang w:val="en-CA"/>
        </w:rPr>
        <w:t>had the assistance of an immigration consultant</w:t>
      </w:r>
      <w:r w:rsidRPr="00BB41AC">
        <w:rPr>
          <w:lang w:val="en-CA"/>
        </w:rPr>
        <w:t xml:space="preserve"> </w:t>
      </w:r>
      <w:r w:rsidR="001E3CD3">
        <w:rPr>
          <w:lang w:val="en-CA"/>
        </w:rPr>
        <w:t>to</w:t>
      </w:r>
      <w:r w:rsidRPr="00BB41AC">
        <w:rPr>
          <w:lang w:val="en-CA"/>
        </w:rPr>
        <w:t xml:space="preserve"> prepar</w:t>
      </w:r>
      <w:r w:rsidR="001E3CD3">
        <w:rPr>
          <w:lang w:val="en-CA"/>
        </w:rPr>
        <w:t>e</w:t>
      </w:r>
      <w:r w:rsidRPr="00BB41AC">
        <w:rPr>
          <w:lang w:val="en-CA"/>
        </w:rPr>
        <w:t xml:space="preserve"> her init</w:t>
      </w:r>
      <w:r w:rsidR="00570923">
        <w:rPr>
          <w:lang w:val="en-CA"/>
        </w:rPr>
        <w:t xml:space="preserve">ial </w:t>
      </w:r>
      <w:r w:rsidR="003B0E01">
        <w:rPr>
          <w:lang w:val="en-CA"/>
        </w:rPr>
        <w:t>p</w:t>
      </w:r>
      <w:r w:rsidR="003202CC" w:rsidRPr="00BB41AC">
        <w:rPr>
          <w:lang w:val="en-CA"/>
        </w:rPr>
        <w:t xml:space="preserve">ersonal </w:t>
      </w:r>
      <w:r w:rsidR="003B0E01">
        <w:rPr>
          <w:lang w:val="en-CA"/>
        </w:rPr>
        <w:t>i</w:t>
      </w:r>
      <w:r w:rsidR="003202CC" w:rsidRPr="00BB41AC">
        <w:rPr>
          <w:lang w:val="en-CA"/>
        </w:rPr>
        <w:t xml:space="preserve">nformation </w:t>
      </w:r>
      <w:r w:rsidR="003B0E01">
        <w:rPr>
          <w:lang w:val="en-CA"/>
        </w:rPr>
        <w:t>f</w:t>
      </w:r>
      <w:r w:rsidR="003202CC" w:rsidRPr="00BB41AC">
        <w:rPr>
          <w:lang w:val="en-CA"/>
        </w:rPr>
        <w:t xml:space="preserve">orm </w:t>
      </w:r>
      <w:r w:rsidR="00570923">
        <w:rPr>
          <w:lang w:val="en-CA"/>
        </w:rPr>
        <w:t>and personal narrative</w:t>
      </w:r>
      <w:r w:rsidRPr="00BB41AC">
        <w:rPr>
          <w:lang w:val="en-CA"/>
        </w:rPr>
        <w:t xml:space="preserve">. In </w:t>
      </w:r>
      <w:r w:rsidR="003B0E01">
        <w:rPr>
          <w:lang w:val="en-CA"/>
        </w:rPr>
        <w:t xml:space="preserve">the </w:t>
      </w:r>
      <w:r w:rsidRPr="00BB41AC">
        <w:rPr>
          <w:lang w:val="en-CA"/>
        </w:rPr>
        <w:t xml:space="preserve">light of the </w:t>
      </w:r>
      <w:r>
        <w:rPr>
          <w:lang w:val="en-CA"/>
        </w:rPr>
        <w:t>complainant</w:t>
      </w:r>
      <w:r w:rsidRPr="00BB41AC">
        <w:rPr>
          <w:lang w:val="en-CA"/>
        </w:rPr>
        <w:t>’s apparent ability to secure qualified representation</w:t>
      </w:r>
      <w:r w:rsidR="003B0E01">
        <w:rPr>
          <w:lang w:val="en-CA"/>
        </w:rPr>
        <w:t xml:space="preserve"> for</w:t>
      </w:r>
      <w:r w:rsidR="003B0E01" w:rsidRPr="00BB41AC">
        <w:rPr>
          <w:lang w:val="en-CA"/>
        </w:rPr>
        <w:t xml:space="preserve"> all other domestic proceedings</w:t>
      </w:r>
      <w:r w:rsidRPr="00BB41AC">
        <w:rPr>
          <w:lang w:val="en-CA"/>
        </w:rPr>
        <w:t xml:space="preserve">, </w:t>
      </w:r>
      <w:r w:rsidR="003B0E01">
        <w:rPr>
          <w:lang w:val="en-CA"/>
        </w:rPr>
        <w:t>s</w:t>
      </w:r>
      <w:r w:rsidRPr="00BB41AC">
        <w:rPr>
          <w:lang w:val="en-CA"/>
        </w:rPr>
        <w:t xml:space="preserve">he has a clear evidentiary burden to substantiate that she </w:t>
      </w:r>
      <w:r w:rsidR="003B0E01">
        <w:rPr>
          <w:lang w:val="en-CA"/>
        </w:rPr>
        <w:t>was unable to</w:t>
      </w:r>
      <w:r w:rsidRPr="00BB41AC">
        <w:rPr>
          <w:lang w:val="en-CA"/>
        </w:rPr>
        <w:t xml:space="preserve"> find a lawyer for th</w:t>
      </w:r>
      <w:r w:rsidR="003B0E01">
        <w:rPr>
          <w:lang w:val="en-CA"/>
        </w:rPr>
        <w:t>at</w:t>
      </w:r>
      <w:r w:rsidRPr="00BB41AC">
        <w:rPr>
          <w:lang w:val="en-CA"/>
        </w:rPr>
        <w:t xml:space="preserve"> one stage </w:t>
      </w:r>
      <w:r w:rsidR="003B0E01">
        <w:rPr>
          <w:lang w:val="en-CA"/>
        </w:rPr>
        <w:t>of</w:t>
      </w:r>
      <w:r w:rsidRPr="00BB41AC">
        <w:rPr>
          <w:lang w:val="en-CA"/>
        </w:rPr>
        <w:t xml:space="preserve"> the process. Furthermore, </w:t>
      </w:r>
      <w:r>
        <w:rPr>
          <w:lang w:val="en-CA"/>
        </w:rPr>
        <w:t>the</w:t>
      </w:r>
      <w:r w:rsidRPr="00BB41AC">
        <w:rPr>
          <w:lang w:val="en-CA"/>
        </w:rPr>
        <w:t xml:space="preserve"> </w:t>
      </w:r>
      <w:r>
        <w:rPr>
          <w:lang w:val="en-CA"/>
        </w:rPr>
        <w:t>complainant</w:t>
      </w:r>
      <w:r w:rsidRPr="00BB41AC">
        <w:rPr>
          <w:lang w:val="en-CA"/>
        </w:rPr>
        <w:t xml:space="preserve"> did not need to be represented by a lawyer to pursue th</w:t>
      </w:r>
      <w:r w:rsidR="003B0E01">
        <w:rPr>
          <w:lang w:val="en-CA"/>
        </w:rPr>
        <w:t>at</w:t>
      </w:r>
      <w:r w:rsidRPr="00BB41AC">
        <w:rPr>
          <w:lang w:val="en-CA"/>
        </w:rPr>
        <w:t xml:space="preserve"> remedy. The </w:t>
      </w:r>
      <w:r w:rsidRPr="00304A52">
        <w:rPr>
          <w:iCs/>
          <w:lang w:val="en-CA"/>
        </w:rPr>
        <w:t>Federal Courts Rules</w:t>
      </w:r>
      <w:r w:rsidRPr="00BB41AC">
        <w:rPr>
          <w:lang w:val="en-CA"/>
        </w:rPr>
        <w:t xml:space="preserve"> permit applicants such as the </w:t>
      </w:r>
      <w:r>
        <w:rPr>
          <w:lang w:val="en-CA"/>
        </w:rPr>
        <w:t>complainant</w:t>
      </w:r>
      <w:r w:rsidRPr="00BB41AC">
        <w:rPr>
          <w:lang w:val="en-CA"/>
        </w:rPr>
        <w:t xml:space="preserve"> to represent themselves.</w:t>
      </w:r>
      <w:r w:rsidR="00617727">
        <w:rPr>
          <w:rStyle w:val="FootnoteReference"/>
          <w:lang w:val="en-CA"/>
        </w:rPr>
        <w:footnoteReference w:id="7"/>
      </w:r>
      <w:r w:rsidRPr="00BB41AC">
        <w:rPr>
          <w:lang w:val="en-CA"/>
        </w:rPr>
        <w:t xml:space="preserve"> </w:t>
      </w:r>
      <w:r>
        <w:rPr>
          <w:lang w:val="en-CA"/>
        </w:rPr>
        <w:t xml:space="preserve">The State party </w:t>
      </w:r>
      <w:r w:rsidRPr="00BB41AC">
        <w:rPr>
          <w:lang w:val="en-CA"/>
        </w:rPr>
        <w:t xml:space="preserve">notes that it costs </w:t>
      </w:r>
      <w:r w:rsidR="003B0E01">
        <w:rPr>
          <w:lang w:val="en-CA"/>
        </w:rPr>
        <w:t xml:space="preserve">Can$ </w:t>
      </w:r>
      <w:r w:rsidR="00DE07EC">
        <w:rPr>
          <w:lang w:val="en-CA"/>
        </w:rPr>
        <w:t>50</w:t>
      </w:r>
      <w:r w:rsidRPr="00BB41AC">
        <w:rPr>
          <w:lang w:val="en-CA"/>
        </w:rPr>
        <w:t xml:space="preserve"> to file a leave application of this nature </w:t>
      </w:r>
      <w:r w:rsidR="00D60EEC">
        <w:rPr>
          <w:lang w:val="en-CA"/>
        </w:rPr>
        <w:t>before</w:t>
      </w:r>
      <w:r w:rsidRPr="00BB41AC">
        <w:rPr>
          <w:lang w:val="en-CA"/>
        </w:rPr>
        <w:t xml:space="preserve"> the Federal Court.</w:t>
      </w:r>
    </w:p>
    <w:p w:rsidR="00BB41AC" w:rsidRPr="00BB41AC" w:rsidRDefault="000F3CD2">
      <w:pPr>
        <w:pStyle w:val="SingleTxtG"/>
        <w:rPr>
          <w:lang w:val="en-CA"/>
        </w:rPr>
      </w:pPr>
      <w:r>
        <w:rPr>
          <w:lang w:val="en-CA"/>
        </w:rPr>
        <w:t>4.6</w:t>
      </w:r>
      <w:r>
        <w:rPr>
          <w:lang w:val="en-CA"/>
        </w:rPr>
        <w:tab/>
      </w:r>
      <w:r w:rsidR="00213EEA">
        <w:rPr>
          <w:lang w:val="en-CA"/>
        </w:rPr>
        <w:t>The State party also maintain</w:t>
      </w:r>
      <w:r w:rsidR="00D60EEC">
        <w:rPr>
          <w:lang w:val="en-CA"/>
        </w:rPr>
        <w:t>s</w:t>
      </w:r>
      <w:r w:rsidR="00213EEA">
        <w:rPr>
          <w:lang w:val="en-CA"/>
        </w:rPr>
        <w:t xml:space="preserve"> that the complainant</w:t>
      </w:r>
      <w:r w:rsidR="00BB41AC" w:rsidRPr="00BB41AC">
        <w:rPr>
          <w:lang w:val="en-CA"/>
        </w:rPr>
        <w:t xml:space="preserve"> </w:t>
      </w:r>
      <w:r w:rsidR="00D60EEC">
        <w:rPr>
          <w:lang w:val="en-CA"/>
        </w:rPr>
        <w:t>did</w:t>
      </w:r>
      <w:r w:rsidR="00BB41AC" w:rsidRPr="00BB41AC">
        <w:rPr>
          <w:lang w:val="en-CA"/>
        </w:rPr>
        <w:t xml:space="preserve"> not provide sufficient evidence to substantiate any incidents of torture</w:t>
      </w:r>
      <w:r w:rsidR="00D60EEC">
        <w:rPr>
          <w:lang w:val="en-CA"/>
        </w:rPr>
        <w:t xml:space="preserve"> suffered </w:t>
      </w:r>
      <w:r w:rsidR="00BB41AC" w:rsidRPr="00BB41AC">
        <w:rPr>
          <w:lang w:val="en-CA"/>
        </w:rPr>
        <w:t xml:space="preserve">before she left Pakistan </w:t>
      </w:r>
      <w:r w:rsidR="00D60EEC">
        <w:rPr>
          <w:lang w:val="en-CA"/>
        </w:rPr>
        <w:t>—</w:t>
      </w:r>
      <w:r w:rsidR="00BB41AC" w:rsidRPr="00BB41AC">
        <w:rPr>
          <w:lang w:val="en-CA"/>
        </w:rPr>
        <w:t xml:space="preserve"> either </w:t>
      </w:r>
      <w:r w:rsidR="00D60EEC">
        <w:rPr>
          <w:lang w:val="en-CA"/>
        </w:rPr>
        <w:t>at the hands of</w:t>
      </w:r>
      <w:r w:rsidR="00BB41AC" w:rsidRPr="00BB41AC">
        <w:rPr>
          <w:lang w:val="en-CA"/>
        </w:rPr>
        <w:t xml:space="preserve"> State </w:t>
      </w:r>
      <w:r w:rsidR="00043463">
        <w:rPr>
          <w:lang w:val="en-CA"/>
        </w:rPr>
        <w:t>author</w:t>
      </w:r>
      <w:r w:rsidR="00BB41AC" w:rsidRPr="00BB41AC">
        <w:rPr>
          <w:lang w:val="en-CA"/>
        </w:rPr>
        <w:t>ities or private individuals with the acquiescence of the State</w:t>
      </w:r>
      <w:r w:rsidR="00D60EEC">
        <w:rPr>
          <w:lang w:val="en-CA"/>
        </w:rPr>
        <w:t>. S</w:t>
      </w:r>
      <w:r w:rsidR="00213EEA">
        <w:rPr>
          <w:lang w:val="en-CA"/>
        </w:rPr>
        <w:t>he</w:t>
      </w:r>
      <w:r w:rsidR="00BB41AC" w:rsidRPr="00BB41AC">
        <w:rPr>
          <w:lang w:val="en-CA"/>
        </w:rPr>
        <w:t xml:space="preserve"> </w:t>
      </w:r>
      <w:r w:rsidR="00D60EEC">
        <w:rPr>
          <w:lang w:val="en-CA"/>
        </w:rPr>
        <w:t>did</w:t>
      </w:r>
      <w:r w:rsidR="00BB41AC" w:rsidRPr="00BB41AC">
        <w:rPr>
          <w:lang w:val="en-CA"/>
        </w:rPr>
        <w:t xml:space="preserve"> not substantiate that </w:t>
      </w:r>
      <w:r w:rsidR="00213EEA">
        <w:rPr>
          <w:lang w:val="en-CA"/>
        </w:rPr>
        <w:t>a</w:t>
      </w:r>
      <w:r w:rsidR="00BB41AC" w:rsidRPr="00BB41AC">
        <w:rPr>
          <w:lang w:val="en-CA"/>
        </w:rPr>
        <w:t xml:space="preserve"> local dispute between family members, centred around an allegation of adultery over six years</w:t>
      </w:r>
      <w:r w:rsidR="00D60EEC">
        <w:rPr>
          <w:lang w:val="en-CA"/>
        </w:rPr>
        <w:t xml:space="preserve"> ago</w:t>
      </w:r>
      <w:r w:rsidR="00BB41AC" w:rsidRPr="00BB41AC">
        <w:rPr>
          <w:lang w:val="en-CA"/>
        </w:rPr>
        <w:t xml:space="preserve">, could give rise to such a risk of harm that </w:t>
      </w:r>
      <w:r w:rsidR="00D60EEC">
        <w:rPr>
          <w:lang w:val="en-CA"/>
        </w:rPr>
        <w:t xml:space="preserve">would cause </w:t>
      </w:r>
      <w:r w:rsidR="00BB41AC" w:rsidRPr="00BB41AC">
        <w:rPr>
          <w:lang w:val="en-CA"/>
        </w:rPr>
        <w:t>her return to anywhere in Pa</w:t>
      </w:r>
      <w:r w:rsidR="00213EEA">
        <w:rPr>
          <w:lang w:val="en-CA"/>
        </w:rPr>
        <w:t>kistan</w:t>
      </w:r>
      <w:r w:rsidR="00D60EEC">
        <w:rPr>
          <w:lang w:val="en-CA"/>
        </w:rPr>
        <w:t xml:space="preserve"> in 2013</w:t>
      </w:r>
      <w:r w:rsidR="00213EEA">
        <w:rPr>
          <w:lang w:val="en-CA"/>
        </w:rPr>
        <w:t xml:space="preserve"> </w:t>
      </w:r>
      <w:r w:rsidR="00D60EEC">
        <w:rPr>
          <w:lang w:val="en-CA"/>
        </w:rPr>
        <w:t>to</w:t>
      </w:r>
      <w:r w:rsidR="00213EEA">
        <w:rPr>
          <w:lang w:val="en-CA"/>
        </w:rPr>
        <w:t xml:space="preserve"> be a violation of a</w:t>
      </w:r>
      <w:r w:rsidR="00BB41AC" w:rsidRPr="00BB41AC">
        <w:rPr>
          <w:lang w:val="en-CA"/>
        </w:rPr>
        <w:t>rticle 3</w:t>
      </w:r>
      <w:r w:rsidR="00D60EEC">
        <w:rPr>
          <w:lang w:val="en-CA"/>
        </w:rPr>
        <w:t xml:space="preserve"> of the Convention</w:t>
      </w:r>
      <w:r w:rsidR="00BB41AC" w:rsidRPr="00BB41AC">
        <w:rPr>
          <w:lang w:val="en-CA"/>
        </w:rPr>
        <w:t xml:space="preserve">. </w:t>
      </w:r>
      <w:r w:rsidR="00213EEA">
        <w:rPr>
          <w:lang w:val="en-CA"/>
        </w:rPr>
        <w:t>The State party further maintain</w:t>
      </w:r>
      <w:r w:rsidR="00D60EEC">
        <w:rPr>
          <w:lang w:val="en-CA"/>
        </w:rPr>
        <w:t>s</w:t>
      </w:r>
      <w:r w:rsidR="00213EEA">
        <w:rPr>
          <w:lang w:val="en-CA"/>
        </w:rPr>
        <w:t xml:space="preserve"> that the complainant </w:t>
      </w:r>
      <w:r w:rsidR="00D60EEC">
        <w:rPr>
          <w:lang w:val="en-CA"/>
        </w:rPr>
        <w:t>did</w:t>
      </w:r>
      <w:r w:rsidR="00213EEA">
        <w:rPr>
          <w:lang w:val="en-CA"/>
        </w:rPr>
        <w:t xml:space="preserve"> not provide</w:t>
      </w:r>
      <w:r w:rsidR="00BB41AC" w:rsidRPr="00BB41AC">
        <w:rPr>
          <w:lang w:val="en-CA"/>
        </w:rPr>
        <w:t xml:space="preserve"> </w:t>
      </w:r>
      <w:r w:rsidR="00BB41AC" w:rsidRPr="00BB41AC">
        <w:rPr>
          <w:lang w:val="en-CA"/>
        </w:rPr>
        <w:lastRenderedPageBreak/>
        <w:t xml:space="preserve">evidence to indicate that </w:t>
      </w:r>
      <w:r w:rsidR="00D60EEC" w:rsidRPr="00BB41AC">
        <w:rPr>
          <w:lang w:val="en-CA"/>
        </w:rPr>
        <w:t xml:space="preserve">she would be sought by </w:t>
      </w:r>
      <w:r w:rsidR="00D60EEC">
        <w:rPr>
          <w:lang w:val="en-CA"/>
        </w:rPr>
        <w:t xml:space="preserve">either </w:t>
      </w:r>
      <w:r w:rsidR="00D60EEC" w:rsidRPr="00BB41AC">
        <w:rPr>
          <w:lang w:val="en-CA"/>
        </w:rPr>
        <w:t>the police or private individuals seeking to harm her</w:t>
      </w:r>
      <w:r w:rsidR="00D60EEC">
        <w:rPr>
          <w:lang w:val="en-CA"/>
        </w:rPr>
        <w:t xml:space="preserve"> </w:t>
      </w:r>
      <w:r w:rsidR="00BB41AC" w:rsidRPr="00BB41AC">
        <w:rPr>
          <w:lang w:val="en-CA"/>
        </w:rPr>
        <w:t xml:space="preserve">if </w:t>
      </w:r>
      <w:r w:rsidR="00FB7AFD">
        <w:rPr>
          <w:lang w:val="en-CA"/>
        </w:rPr>
        <w:t>she</w:t>
      </w:r>
      <w:r w:rsidR="00BB41AC" w:rsidRPr="00BB41AC">
        <w:rPr>
          <w:lang w:val="en-CA"/>
        </w:rPr>
        <w:t xml:space="preserve"> returned to an area of Pakistan outside of her home region.</w:t>
      </w:r>
    </w:p>
    <w:p w:rsidR="00BB41AC" w:rsidRPr="00BB41AC" w:rsidRDefault="00FB7AFD">
      <w:pPr>
        <w:pStyle w:val="SingleTxtG"/>
        <w:rPr>
          <w:lang w:val="en-CA"/>
        </w:rPr>
      </w:pPr>
      <w:r>
        <w:rPr>
          <w:lang w:val="en-CA"/>
        </w:rPr>
        <w:t>4.</w:t>
      </w:r>
      <w:r w:rsidR="00DE07EC">
        <w:rPr>
          <w:lang w:val="en-CA"/>
        </w:rPr>
        <w:t>7</w:t>
      </w:r>
      <w:r>
        <w:rPr>
          <w:lang w:val="en-CA"/>
        </w:rPr>
        <w:tab/>
        <w:t>T</w:t>
      </w:r>
      <w:r w:rsidR="00BB41AC" w:rsidRPr="00BB41AC">
        <w:rPr>
          <w:lang w:val="en-CA"/>
        </w:rPr>
        <w:t xml:space="preserve">he </w:t>
      </w:r>
      <w:r>
        <w:rPr>
          <w:lang w:val="en-CA"/>
        </w:rPr>
        <w:t>complainant</w:t>
      </w:r>
      <w:r w:rsidR="00BB41AC" w:rsidRPr="00BB41AC">
        <w:rPr>
          <w:lang w:val="en-CA"/>
        </w:rPr>
        <w:t xml:space="preserve"> ha</w:t>
      </w:r>
      <w:r>
        <w:rPr>
          <w:lang w:val="en-CA"/>
        </w:rPr>
        <w:t>d</w:t>
      </w:r>
      <w:r w:rsidR="00BB41AC" w:rsidRPr="00BB41AC">
        <w:rPr>
          <w:lang w:val="en-CA"/>
        </w:rPr>
        <w:t xml:space="preserve"> also alleged that she face</w:t>
      </w:r>
      <w:r w:rsidR="00D60EEC">
        <w:rPr>
          <w:lang w:val="en-CA"/>
        </w:rPr>
        <w:t>d</w:t>
      </w:r>
      <w:r w:rsidR="00BB41AC" w:rsidRPr="00BB41AC">
        <w:rPr>
          <w:lang w:val="en-CA"/>
        </w:rPr>
        <w:t xml:space="preserve"> </w:t>
      </w:r>
      <w:r w:rsidR="00D60EEC">
        <w:rPr>
          <w:lang w:val="en-CA"/>
        </w:rPr>
        <w:t>the</w:t>
      </w:r>
      <w:r w:rsidR="00BB41AC" w:rsidRPr="00BB41AC">
        <w:rPr>
          <w:lang w:val="en-CA"/>
        </w:rPr>
        <w:t xml:space="preserve"> risk of arrest, detention and imprisonment</w:t>
      </w:r>
      <w:r w:rsidR="00D60EEC">
        <w:rPr>
          <w:lang w:val="en-CA"/>
        </w:rPr>
        <w:t xml:space="preserve"> by </w:t>
      </w:r>
      <w:r w:rsidR="00D60EEC" w:rsidRPr="00BB41AC">
        <w:rPr>
          <w:lang w:val="en-CA"/>
        </w:rPr>
        <w:t>State actors in Pakistan</w:t>
      </w:r>
      <w:r w:rsidR="00BB41AC" w:rsidRPr="00BB41AC">
        <w:rPr>
          <w:lang w:val="en-CA"/>
        </w:rPr>
        <w:t xml:space="preserve"> and that she face</w:t>
      </w:r>
      <w:r w:rsidR="00B0006D">
        <w:rPr>
          <w:lang w:val="en-CA"/>
        </w:rPr>
        <w:t>d</w:t>
      </w:r>
      <w:r w:rsidR="00BB41AC" w:rsidRPr="00BB41AC">
        <w:rPr>
          <w:lang w:val="en-CA"/>
        </w:rPr>
        <w:t xml:space="preserve"> a risk to </w:t>
      </w:r>
      <w:r w:rsidR="00B0006D">
        <w:rPr>
          <w:lang w:val="en-CA"/>
        </w:rPr>
        <w:t xml:space="preserve">her </w:t>
      </w:r>
      <w:r w:rsidR="00BB41AC" w:rsidRPr="00BB41AC">
        <w:rPr>
          <w:lang w:val="en-CA"/>
        </w:rPr>
        <w:t>life</w:t>
      </w:r>
      <w:r w:rsidR="00B0006D">
        <w:rPr>
          <w:lang w:val="en-CA"/>
        </w:rPr>
        <w:t xml:space="preserve"> by</w:t>
      </w:r>
      <w:r w:rsidR="00D60EEC" w:rsidRPr="00BB41AC">
        <w:rPr>
          <w:lang w:val="en-CA"/>
        </w:rPr>
        <w:t xml:space="preserve"> private citizens in Pakistan</w:t>
      </w:r>
      <w:r w:rsidR="00BB41AC" w:rsidRPr="00BB41AC">
        <w:rPr>
          <w:lang w:val="en-CA"/>
        </w:rPr>
        <w:t xml:space="preserve">. </w:t>
      </w:r>
      <w:r>
        <w:rPr>
          <w:lang w:val="en-CA"/>
        </w:rPr>
        <w:t>The State party maintain</w:t>
      </w:r>
      <w:r w:rsidR="00B0006D">
        <w:rPr>
          <w:lang w:val="en-CA"/>
        </w:rPr>
        <w:t>s</w:t>
      </w:r>
      <w:r>
        <w:rPr>
          <w:lang w:val="en-CA"/>
        </w:rPr>
        <w:t xml:space="preserve"> that t</w:t>
      </w:r>
      <w:r w:rsidR="00BB41AC" w:rsidRPr="00BB41AC">
        <w:rPr>
          <w:lang w:val="en-CA"/>
        </w:rPr>
        <w:t xml:space="preserve">hese allegations </w:t>
      </w:r>
      <w:r>
        <w:rPr>
          <w:lang w:val="en-CA"/>
        </w:rPr>
        <w:t>are</w:t>
      </w:r>
      <w:r w:rsidR="00BB41AC" w:rsidRPr="00BB41AC">
        <w:rPr>
          <w:lang w:val="en-CA"/>
        </w:rPr>
        <w:t xml:space="preserve"> inadmissible because they are incompatible with </w:t>
      </w:r>
      <w:r>
        <w:rPr>
          <w:lang w:val="en-CA"/>
        </w:rPr>
        <w:t xml:space="preserve">article 3 </w:t>
      </w:r>
      <w:r w:rsidRPr="00FB7AFD">
        <w:rPr>
          <w:lang w:val="en-CA"/>
        </w:rPr>
        <w:t>of</w:t>
      </w:r>
      <w:r w:rsidR="00BB41AC" w:rsidRPr="00FB7AFD">
        <w:rPr>
          <w:lang w:val="en-CA"/>
        </w:rPr>
        <w:t xml:space="preserve"> the Convention.</w:t>
      </w:r>
    </w:p>
    <w:p w:rsidR="00BB41AC" w:rsidRPr="00BB41AC" w:rsidRDefault="00FB7AFD">
      <w:pPr>
        <w:pStyle w:val="SingleTxtG"/>
        <w:rPr>
          <w:lang w:val="en-CA"/>
        </w:rPr>
      </w:pPr>
      <w:r>
        <w:rPr>
          <w:lang w:val="en-CA"/>
        </w:rPr>
        <w:t>4.</w:t>
      </w:r>
      <w:r w:rsidR="00DE07EC">
        <w:rPr>
          <w:lang w:val="en-CA"/>
        </w:rPr>
        <w:t>8</w:t>
      </w:r>
      <w:r>
        <w:rPr>
          <w:lang w:val="en-CA"/>
        </w:rPr>
        <w:tab/>
      </w:r>
      <w:r w:rsidR="00BB41AC" w:rsidRPr="00BB41AC">
        <w:rPr>
          <w:lang w:val="en-CA"/>
        </w:rPr>
        <w:t xml:space="preserve">The </w:t>
      </w:r>
      <w:r>
        <w:rPr>
          <w:lang w:val="en-CA"/>
        </w:rPr>
        <w:t>State party submit</w:t>
      </w:r>
      <w:r w:rsidR="00B0006D">
        <w:rPr>
          <w:lang w:val="en-CA"/>
        </w:rPr>
        <w:t>s</w:t>
      </w:r>
      <w:r>
        <w:rPr>
          <w:lang w:val="en-CA"/>
        </w:rPr>
        <w:t xml:space="preserve"> that the complainant c</w:t>
      </w:r>
      <w:r w:rsidR="00B0006D">
        <w:rPr>
          <w:lang w:val="en-CA"/>
        </w:rPr>
        <w:t>o</w:t>
      </w:r>
      <w:r>
        <w:rPr>
          <w:lang w:val="en-CA"/>
        </w:rPr>
        <w:t>me</w:t>
      </w:r>
      <w:r w:rsidR="00B0006D">
        <w:rPr>
          <w:lang w:val="en-CA"/>
        </w:rPr>
        <w:t>s</w:t>
      </w:r>
      <w:r>
        <w:rPr>
          <w:lang w:val="en-CA"/>
        </w:rPr>
        <w:t xml:space="preserve"> from </w:t>
      </w:r>
      <w:r w:rsidR="00BB41AC" w:rsidRPr="00BB41AC">
        <w:rPr>
          <w:lang w:val="en-CA"/>
        </w:rPr>
        <w:t xml:space="preserve">a rural region of Lahore District </w:t>
      </w:r>
      <w:r w:rsidR="00B0006D">
        <w:rPr>
          <w:lang w:val="en-CA"/>
        </w:rPr>
        <w:t>in</w:t>
      </w:r>
      <w:r w:rsidR="00BB41AC" w:rsidRPr="00BB41AC">
        <w:rPr>
          <w:lang w:val="en-CA"/>
        </w:rPr>
        <w:t xml:space="preserve"> the Punjab province </w:t>
      </w:r>
      <w:r w:rsidR="00B0006D">
        <w:rPr>
          <w:lang w:val="en-CA"/>
        </w:rPr>
        <w:t>of</w:t>
      </w:r>
      <w:r w:rsidR="00BB41AC" w:rsidRPr="00BB41AC">
        <w:rPr>
          <w:lang w:val="en-CA"/>
        </w:rPr>
        <w:t xml:space="preserve"> Pakistan</w:t>
      </w:r>
      <w:r>
        <w:rPr>
          <w:lang w:val="en-CA"/>
        </w:rPr>
        <w:t>; she</w:t>
      </w:r>
      <w:r w:rsidR="00BB41AC" w:rsidRPr="00BB41AC">
        <w:rPr>
          <w:lang w:val="en-CA"/>
        </w:rPr>
        <w:t xml:space="preserve"> married B</w:t>
      </w:r>
      <w:r>
        <w:rPr>
          <w:lang w:val="en-CA"/>
        </w:rPr>
        <w:t>.</w:t>
      </w:r>
      <w:r w:rsidR="00BB41AC" w:rsidRPr="00BB41AC">
        <w:rPr>
          <w:lang w:val="en-CA"/>
        </w:rPr>
        <w:t>A</w:t>
      </w:r>
      <w:r>
        <w:rPr>
          <w:lang w:val="en-CA"/>
        </w:rPr>
        <w:t>.</w:t>
      </w:r>
      <w:r w:rsidR="00BB41AC" w:rsidRPr="00BB41AC">
        <w:rPr>
          <w:lang w:val="en-CA"/>
        </w:rPr>
        <w:t xml:space="preserve"> in March 1977 and between 1978 and 1994 they had three daughters and three sons. </w:t>
      </w:r>
      <w:r>
        <w:rPr>
          <w:lang w:val="en-CA"/>
        </w:rPr>
        <w:t>She</w:t>
      </w:r>
      <w:r w:rsidR="00BB41AC" w:rsidRPr="00BB41AC">
        <w:rPr>
          <w:lang w:val="en-CA"/>
        </w:rPr>
        <w:t xml:space="preserve"> was issued a visitor’s visa for Canada on 28 August 2006 at Islamabad</w:t>
      </w:r>
      <w:r>
        <w:rPr>
          <w:lang w:val="en-CA"/>
        </w:rPr>
        <w:t xml:space="preserve"> and arrived</w:t>
      </w:r>
      <w:r w:rsidR="00B0006D">
        <w:rPr>
          <w:lang w:val="en-CA"/>
        </w:rPr>
        <w:t xml:space="preserve"> in Canada</w:t>
      </w:r>
      <w:r w:rsidR="00BB41AC" w:rsidRPr="00BB41AC">
        <w:rPr>
          <w:lang w:val="en-CA"/>
        </w:rPr>
        <w:t>, without her husband or other family members, on 11 January 2007. Five days later</w:t>
      </w:r>
      <w:r w:rsidR="00B0006D">
        <w:rPr>
          <w:lang w:val="en-CA"/>
        </w:rPr>
        <w:t>,</w:t>
      </w:r>
      <w:r w:rsidR="00BB41AC" w:rsidRPr="00BB41AC">
        <w:rPr>
          <w:lang w:val="en-CA"/>
        </w:rPr>
        <w:t xml:space="preserve"> </w:t>
      </w:r>
      <w:r>
        <w:rPr>
          <w:lang w:val="en-CA"/>
        </w:rPr>
        <w:t>she</w:t>
      </w:r>
      <w:r w:rsidR="00BB41AC" w:rsidRPr="00BB41AC">
        <w:rPr>
          <w:lang w:val="en-CA"/>
        </w:rPr>
        <w:t xml:space="preserve"> </w:t>
      </w:r>
      <w:r w:rsidR="00B0006D">
        <w:rPr>
          <w:lang w:val="en-CA"/>
        </w:rPr>
        <w:t>applied for</w:t>
      </w:r>
      <w:r w:rsidR="00BB41AC" w:rsidRPr="00BB41AC">
        <w:rPr>
          <w:lang w:val="en-CA"/>
        </w:rPr>
        <w:t xml:space="preserve"> protection as a refugee under </w:t>
      </w:r>
      <w:r w:rsidR="00570923">
        <w:rPr>
          <w:lang w:val="en-CA"/>
        </w:rPr>
        <w:t>the</w:t>
      </w:r>
      <w:r w:rsidR="00BB41AC" w:rsidRPr="00BB41AC">
        <w:rPr>
          <w:lang w:val="en-CA"/>
        </w:rPr>
        <w:t xml:space="preserve"> </w:t>
      </w:r>
      <w:r w:rsidR="00BB41AC" w:rsidRPr="00304A52">
        <w:rPr>
          <w:iCs/>
          <w:lang w:val="en-CA"/>
        </w:rPr>
        <w:t>Immigration and Refugee Protection Act</w:t>
      </w:r>
      <w:r w:rsidR="00BB41AC" w:rsidRPr="00BB41AC">
        <w:rPr>
          <w:lang w:val="en-CA"/>
        </w:rPr>
        <w:t>,</w:t>
      </w:r>
      <w:r w:rsidR="00B0006D">
        <w:rPr>
          <w:lang w:val="en-CA"/>
        </w:rPr>
        <w:t xml:space="preserve"> </w:t>
      </w:r>
      <w:r w:rsidR="00BB41AC" w:rsidRPr="00BB41AC">
        <w:rPr>
          <w:lang w:val="en-CA"/>
        </w:rPr>
        <w:t xml:space="preserve">alleging </w:t>
      </w:r>
      <w:r w:rsidR="00B0006D">
        <w:rPr>
          <w:lang w:val="en-CA"/>
        </w:rPr>
        <w:t>“</w:t>
      </w:r>
      <w:r w:rsidR="00BB41AC" w:rsidRPr="00BB41AC">
        <w:rPr>
          <w:lang w:val="en-CA"/>
        </w:rPr>
        <w:t>a well-founded fear of persecution based on race</w:t>
      </w:r>
      <w:r w:rsidR="00B0006D">
        <w:rPr>
          <w:lang w:val="en-CA"/>
        </w:rPr>
        <w:t>”</w:t>
      </w:r>
      <w:r w:rsidR="00BB41AC" w:rsidRPr="00BB41AC">
        <w:rPr>
          <w:lang w:val="en-CA"/>
        </w:rPr>
        <w:t xml:space="preserve">. She also claimed protection as a “person in need of protection” under the </w:t>
      </w:r>
      <w:r w:rsidR="00B0006D">
        <w:rPr>
          <w:lang w:val="en-CA"/>
        </w:rPr>
        <w:t>Act</w:t>
      </w:r>
      <w:r w:rsidR="00BB41AC" w:rsidRPr="00BB41AC">
        <w:rPr>
          <w:lang w:val="en-CA"/>
        </w:rPr>
        <w:t xml:space="preserve">, alleging that if returned to Pakistan she would face a danger of torture, a risk to </w:t>
      </w:r>
      <w:r w:rsidR="000D388D">
        <w:rPr>
          <w:lang w:val="en-CA"/>
        </w:rPr>
        <w:t xml:space="preserve">her </w:t>
      </w:r>
      <w:r w:rsidR="00BB41AC" w:rsidRPr="00BB41AC">
        <w:rPr>
          <w:lang w:val="en-CA"/>
        </w:rPr>
        <w:t>life and</w:t>
      </w:r>
      <w:r w:rsidR="000D388D">
        <w:rPr>
          <w:lang w:val="en-CA"/>
        </w:rPr>
        <w:t>/</w:t>
      </w:r>
      <w:r w:rsidR="00BB41AC" w:rsidRPr="00BB41AC">
        <w:rPr>
          <w:lang w:val="en-CA"/>
        </w:rPr>
        <w:t>or a risk of cruel and unusual treatment or punishment.</w:t>
      </w:r>
      <w:r>
        <w:rPr>
          <w:lang w:val="en-CA"/>
        </w:rPr>
        <w:t xml:space="preserve"> Ac</w:t>
      </w:r>
      <w:r w:rsidR="00BB41AC" w:rsidRPr="00BB41AC">
        <w:rPr>
          <w:lang w:val="en-CA"/>
        </w:rPr>
        <w:t xml:space="preserve">cording to the materials submitted by the </w:t>
      </w:r>
      <w:r>
        <w:rPr>
          <w:lang w:val="en-CA"/>
        </w:rPr>
        <w:t>complainant</w:t>
      </w:r>
      <w:r w:rsidR="000D388D">
        <w:rPr>
          <w:lang w:val="en-CA"/>
        </w:rPr>
        <w:t>,</w:t>
      </w:r>
      <w:r>
        <w:rPr>
          <w:lang w:val="en-CA"/>
        </w:rPr>
        <w:t xml:space="preserve"> B.A. divorced her in 2010</w:t>
      </w:r>
      <w:r w:rsidR="000D388D">
        <w:rPr>
          <w:lang w:val="en-CA"/>
        </w:rPr>
        <w:t xml:space="preserve"> and</w:t>
      </w:r>
      <w:r>
        <w:rPr>
          <w:lang w:val="en-CA"/>
        </w:rPr>
        <w:t xml:space="preserve"> he and their children </w:t>
      </w:r>
      <w:r w:rsidR="00BB41AC" w:rsidRPr="00BB41AC">
        <w:rPr>
          <w:lang w:val="en-CA"/>
        </w:rPr>
        <w:t>continue to reside in Pakistan.</w:t>
      </w:r>
      <w:r w:rsidR="00E5248B">
        <w:rPr>
          <w:lang w:val="en-CA"/>
        </w:rPr>
        <w:t xml:space="preserve"> </w:t>
      </w:r>
      <w:r>
        <w:rPr>
          <w:lang w:val="en-CA"/>
        </w:rPr>
        <w:t xml:space="preserve">In the </w:t>
      </w:r>
      <w:r w:rsidR="000D388D">
        <w:rPr>
          <w:lang w:val="en-CA"/>
        </w:rPr>
        <w:t>personal information form</w:t>
      </w:r>
      <w:r w:rsidR="003202CC">
        <w:rPr>
          <w:lang w:val="en-CA"/>
        </w:rPr>
        <w:t xml:space="preserve"> </w:t>
      </w:r>
      <w:r w:rsidR="00136D54">
        <w:rPr>
          <w:lang w:val="en-CA"/>
        </w:rPr>
        <w:t xml:space="preserve">that she </w:t>
      </w:r>
      <w:r>
        <w:rPr>
          <w:lang w:val="en-CA"/>
        </w:rPr>
        <w:t xml:space="preserve">submitted </w:t>
      </w:r>
      <w:r w:rsidR="00BB41AC" w:rsidRPr="00BB41AC">
        <w:rPr>
          <w:lang w:val="en-CA"/>
        </w:rPr>
        <w:t>to the Immigration and Refugee Board</w:t>
      </w:r>
      <w:r w:rsidR="00136D54">
        <w:rPr>
          <w:lang w:val="en-CA"/>
        </w:rPr>
        <w:t xml:space="preserve"> of Canada</w:t>
      </w:r>
      <w:r>
        <w:rPr>
          <w:lang w:val="en-CA"/>
        </w:rPr>
        <w:t>, the complainant</w:t>
      </w:r>
      <w:r w:rsidR="00BB41AC" w:rsidRPr="00BB41AC">
        <w:rPr>
          <w:lang w:val="en-CA"/>
        </w:rPr>
        <w:t xml:space="preserve"> </w:t>
      </w:r>
      <w:r w:rsidR="00136D54">
        <w:rPr>
          <w:lang w:val="en-CA"/>
        </w:rPr>
        <w:t>gave</w:t>
      </w:r>
      <w:r w:rsidR="00BB41AC" w:rsidRPr="00BB41AC">
        <w:rPr>
          <w:lang w:val="en-CA"/>
        </w:rPr>
        <w:t xml:space="preserve"> her account of an escalating land dispute with her husband’s uncle and </w:t>
      </w:r>
      <w:r w:rsidR="00136D54">
        <w:rPr>
          <w:lang w:val="en-CA"/>
        </w:rPr>
        <w:t>his</w:t>
      </w:r>
      <w:r w:rsidR="00BB41AC" w:rsidRPr="00BB41AC">
        <w:rPr>
          <w:lang w:val="en-CA"/>
        </w:rPr>
        <w:t xml:space="preserve"> sons. Th</w:t>
      </w:r>
      <w:r w:rsidR="00136D54">
        <w:rPr>
          <w:lang w:val="en-CA"/>
        </w:rPr>
        <w:t>e</w:t>
      </w:r>
      <w:r w:rsidR="00BB41AC" w:rsidRPr="00BB41AC">
        <w:rPr>
          <w:lang w:val="en-CA"/>
        </w:rPr>
        <w:t xml:space="preserve"> dispute</w:t>
      </w:r>
      <w:r w:rsidR="00530EA7">
        <w:rPr>
          <w:lang w:val="en-CA"/>
        </w:rPr>
        <w:t>,</w:t>
      </w:r>
      <w:r w:rsidR="00BB41AC" w:rsidRPr="00BB41AC">
        <w:rPr>
          <w:lang w:val="en-CA"/>
        </w:rPr>
        <w:t xml:space="preserve"> which alleged</w:t>
      </w:r>
      <w:r w:rsidR="00136D54">
        <w:rPr>
          <w:lang w:val="en-CA"/>
        </w:rPr>
        <w:t>ly</w:t>
      </w:r>
      <w:r w:rsidR="00BB41AC" w:rsidRPr="00BB41AC">
        <w:rPr>
          <w:lang w:val="en-CA"/>
        </w:rPr>
        <w:t xml:space="preserve"> occurred over at least 15 years</w:t>
      </w:r>
      <w:r w:rsidR="00136D54">
        <w:rPr>
          <w:lang w:val="en-CA"/>
        </w:rPr>
        <w:t xml:space="preserve">, </w:t>
      </w:r>
      <w:r w:rsidR="00BB41AC" w:rsidRPr="00BB41AC">
        <w:rPr>
          <w:lang w:val="en-CA"/>
        </w:rPr>
        <w:t xml:space="preserve">led to legal action initiated by the </w:t>
      </w:r>
      <w:r>
        <w:rPr>
          <w:lang w:val="en-CA"/>
        </w:rPr>
        <w:t>complainant</w:t>
      </w:r>
      <w:r w:rsidR="00BB41AC" w:rsidRPr="00BB41AC">
        <w:rPr>
          <w:lang w:val="en-CA"/>
        </w:rPr>
        <w:t xml:space="preserve"> and to acts of harassment and physical violence against </w:t>
      </w:r>
      <w:r>
        <w:rPr>
          <w:lang w:val="en-CA"/>
        </w:rPr>
        <w:t>her</w:t>
      </w:r>
      <w:r w:rsidR="00BB41AC" w:rsidRPr="00BB41AC">
        <w:rPr>
          <w:lang w:val="en-CA"/>
        </w:rPr>
        <w:t xml:space="preserve">. The dispute culminated in a false accusation </w:t>
      </w:r>
      <w:r w:rsidR="00136D54">
        <w:rPr>
          <w:lang w:val="en-CA"/>
        </w:rPr>
        <w:t>of</w:t>
      </w:r>
      <w:r w:rsidR="00BB41AC" w:rsidRPr="00BB41AC">
        <w:rPr>
          <w:lang w:val="en-CA"/>
        </w:rPr>
        <w:t xml:space="preserve"> adultery</w:t>
      </w:r>
      <w:r>
        <w:rPr>
          <w:lang w:val="en-CA"/>
        </w:rPr>
        <w:t xml:space="preserve"> and</w:t>
      </w:r>
      <w:r w:rsidR="00BB41AC" w:rsidRPr="00BB41AC">
        <w:rPr>
          <w:lang w:val="en-CA"/>
        </w:rPr>
        <w:t xml:space="preserve"> ultimately led her to leave Pakistan. The </w:t>
      </w:r>
      <w:r>
        <w:rPr>
          <w:lang w:val="en-CA"/>
        </w:rPr>
        <w:t xml:space="preserve">State party notes that the </w:t>
      </w:r>
      <w:r w:rsidR="00BB41AC" w:rsidRPr="00BB41AC">
        <w:rPr>
          <w:lang w:val="en-CA"/>
        </w:rPr>
        <w:t xml:space="preserve">narrative does not include many key dates. </w:t>
      </w:r>
    </w:p>
    <w:p w:rsidR="00BB41AC" w:rsidRPr="00A75E3D" w:rsidRDefault="00A75E3D">
      <w:pPr>
        <w:pStyle w:val="SingleTxtG"/>
        <w:rPr>
          <w:lang w:val="en-CA"/>
        </w:rPr>
      </w:pPr>
      <w:r>
        <w:rPr>
          <w:lang w:val="en-CA"/>
        </w:rPr>
        <w:t>4.</w:t>
      </w:r>
      <w:r w:rsidR="00DE07EC">
        <w:rPr>
          <w:lang w:val="en-CA"/>
        </w:rPr>
        <w:t>9</w:t>
      </w:r>
      <w:r>
        <w:rPr>
          <w:lang w:val="en-CA"/>
        </w:rPr>
        <w:tab/>
      </w:r>
      <w:r w:rsidR="00BB41AC" w:rsidRPr="00BB41AC">
        <w:rPr>
          <w:lang w:val="en-CA"/>
        </w:rPr>
        <w:t xml:space="preserve">The </w:t>
      </w:r>
      <w:r w:rsidR="00043463">
        <w:rPr>
          <w:lang w:val="en-CA"/>
        </w:rPr>
        <w:t>complainant</w:t>
      </w:r>
      <w:r w:rsidR="00BB41AC" w:rsidRPr="00BB41AC">
        <w:rPr>
          <w:lang w:val="en-CA"/>
        </w:rPr>
        <w:t>’s claim for protection under the I</w:t>
      </w:r>
      <w:r w:rsidR="00136D54">
        <w:rPr>
          <w:lang w:val="en-CA"/>
        </w:rPr>
        <w:t xml:space="preserve">mmigration and </w:t>
      </w:r>
      <w:r w:rsidR="00BB41AC" w:rsidRPr="00BB41AC">
        <w:rPr>
          <w:lang w:val="en-CA"/>
        </w:rPr>
        <w:t>R</w:t>
      </w:r>
      <w:r w:rsidR="00136D54">
        <w:rPr>
          <w:lang w:val="en-CA"/>
        </w:rPr>
        <w:t xml:space="preserve">efugee </w:t>
      </w:r>
      <w:r w:rsidR="00BB41AC" w:rsidRPr="00BB41AC">
        <w:rPr>
          <w:lang w:val="en-CA"/>
        </w:rPr>
        <w:t>P</w:t>
      </w:r>
      <w:r w:rsidR="00136D54">
        <w:rPr>
          <w:lang w:val="en-CA"/>
        </w:rPr>
        <w:t xml:space="preserve">rotection </w:t>
      </w:r>
      <w:r w:rsidR="00BB41AC" w:rsidRPr="00BB41AC">
        <w:rPr>
          <w:lang w:val="en-CA"/>
        </w:rPr>
        <w:t>A</w:t>
      </w:r>
      <w:r w:rsidR="00136D54">
        <w:rPr>
          <w:lang w:val="en-CA"/>
        </w:rPr>
        <w:t>ct</w:t>
      </w:r>
      <w:r w:rsidR="00BB41AC" w:rsidRPr="00BB41AC">
        <w:rPr>
          <w:lang w:val="en-CA"/>
        </w:rPr>
        <w:t xml:space="preserve"> was heard by the Refugee Protection Division of the Immigration and Refugee Board on 24 November 2009. The </w:t>
      </w:r>
      <w:r w:rsidR="00136D54">
        <w:rPr>
          <w:lang w:val="en-CA"/>
        </w:rPr>
        <w:t>Division</w:t>
      </w:r>
      <w:r w:rsidR="00BB41AC" w:rsidRPr="00BB41AC">
        <w:rPr>
          <w:lang w:val="en-CA"/>
        </w:rPr>
        <w:t xml:space="preserve"> is an independent, quasi-judicial, speciali</w:t>
      </w:r>
      <w:r w:rsidR="00136D54">
        <w:rPr>
          <w:lang w:val="en-CA"/>
        </w:rPr>
        <w:t>z</w:t>
      </w:r>
      <w:r w:rsidR="00BB41AC" w:rsidRPr="00BB41AC">
        <w:rPr>
          <w:lang w:val="en-CA"/>
        </w:rPr>
        <w:t>ed tribunal that considers applications by non-nationals seeking protection, based on a fear of persecution, torture or other serious violations of their human rights if they were to be removed to their countr</w:t>
      </w:r>
      <w:r w:rsidR="00136D54">
        <w:rPr>
          <w:lang w:val="en-CA"/>
        </w:rPr>
        <w:t>ies</w:t>
      </w:r>
      <w:r w:rsidR="00BB41AC" w:rsidRPr="00BB41AC">
        <w:rPr>
          <w:lang w:val="en-CA"/>
        </w:rPr>
        <w:t xml:space="preserve"> of origin. The </w:t>
      </w:r>
      <w:r w:rsidR="00136D54">
        <w:rPr>
          <w:lang w:val="en-CA"/>
        </w:rPr>
        <w:t>Division</w:t>
      </w:r>
      <w:r w:rsidR="00BB41AC" w:rsidRPr="00BB41AC">
        <w:rPr>
          <w:lang w:val="en-CA"/>
        </w:rPr>
        <w:t xml:space="preserve"> </w:t>
      </w:r>
      <w:r w:rsidR="00136D54">
        <w:rPr>
          <w:lang w:val="en-CA"/>
        </w:rPr>
        <w:t xml:space="preserve">not only </w:t>
      </w:r>
      <w:r w:rsidR="00BB41AC" w:rsidRPr="00BB41AC">
        <w:rPr>
          <w:lang w:val="en-CA"/>
        </w:rPr>
        <w:t xml:space="preserve">determines whether a </w:t>
      </w:r>
      <w:r w:rsidR="00136D54">
        <w:rPr>
          <w:lang w:val="en-CA"/>
        </w:rPr>
        <w:t>claimant</w:t>
      </w:r>
      <w:r w:rsidR="00BB41AC" w:rsidRPr="00BB41AC">
        <w:rPr>
          <w:lang w:val="en-CA"/>
        </w:rPr>
        <w:t xml:space="preserve"> is a “Convention refugee”</w:t>
      </w:r>
      <w:r w:rsidR="00360728">
        <w:rPr>
          <w:rStyle w:val="FootnoteReference"/>
          <w:lang w:val="en-CA"/>
        </w:rPr>
        <w:footnoteReference w:id="8"/>
      </w:r>
      <w:r w:rsidR="00BB41AC" w:rsidRPr="00BB41AC">
        <w:rPr>
          <w:lang w:val="en-CA"/>
        </w:rPr>
        <w:t xml:space="preserve"> within the meaning of the </w:t>
      </w:r>
      <w:r w:rsidR="00BB41AC" w:rsidRPr="00304A52">
        <w:rPr>
          <w:iCs/>
          <w:lang w:val="en-CA"/>
        </w:rPr>
        <w:t xml:space="preserve">Convention </w:t>
      </w:r>
      <w:r w:rsidR="00136D54">
        <w:rPr>
          <w:iCs/>
          <w:lang w:val="en-CA"/>
        </w:rPr>
        <w:t>r</w:t>
      </w:r>
      <w:r w:rsidR="00BB41AC" w:rsidRPr="00304A52">
        <w:rPr>
          <w:iCs/>
          <w:lang w:val="en-CA"/>
        </w:rPr>
        <w:t>elating to the Status of Refugees</w:t>
      </w:r>
      <w:r w:rsidR="00BB41AC" w:rsidRPr="00BB41AC">
        <w:rPr>
          <w:lang w:val="en-CA"/>
        </w:rPr>
        <w:t>, but also whether the claimant is a “person in need of protection”</w:t>
      </w:r>
      <w:r w:rsidR="00360728">
        <w:rPr>
          <w:rStyle w:val="FootnoteReference"/>
          <w:lang w:val="en-CA"/>
        </w:rPr>
        <w:footnoteReference w:id="9"/>
      </w:r>
      <w:r w:rsidR="00BB41AC" w:rsidRPr="00BB41AC">
        <w:rPr>
          <w:lang w:val="en-CA"/>
        </w:rPr>
        <w:t xml:space="preserve"> for </w:t>
      </w:r>
      <w:r w:rsidR="00BB41AC" w:rsidRPr="00BB41AC">
        <w:rPr>
          <w:lang w:val="en-CA"/>
        </w:rPr>
        <w:lastRenderedPageBreak/>
        <w:t>the purpose of section 97 of the I</w:t>
      </w:r>
      <w:r w:rsidR="00136D54">
        <w:rPr>
          <w:lang w:val="en-CA"/>
        </w:rPr>
        <w:t>mmigration and Refugee Protection Act</w:t>
      </w:r>
      <w:r w:rsidR="00BB41AC" w:rsidRPr="00BB41AC">
        <w:rPr>
          <w:lang w:val="en-CA"/>
        </w:rPr>
        <w:t>. Section 97 mandates the protec</w:t>
      </w:r>
      <w:r w:rsidR="00570923">
        <w:rPr>
          <w:lang w:val="en-CA"/>
        </w:rPr>
        <w:t>tion of persons who, on removal</w:t>
      </w:r>
      <w:r w:rsidR="00CA4093">
        <w:rPr>
          <w:lang w:val="en-CA"/>
        </w:rPr>
        <w:t xml:space="preserve"> to their countries of origin, would</w:t>
      </w:r>
      <w:r w:rsidR="00BB41AC" w:rsidRPr="00BB41AC">
        <w:rPr>
          <w:lang w:val="en-CA"/>
        </w:rPr>
        <w:t xml:space="preserve"> face a risk to their life, a risk of cruel and unusual treatment or punishment or a real risk of torture within the meaning of </w:t>
      </w:r>
      <w:r>
        <w:rPr>
          <w:lang w:val="en-CA"/>
        </w:rPr>
        <w:t>a</w:t>
      </w:r>
      <w:r w:rsidR="00BB41AC" w:rsidRPr="00BB41AC">
        <w:rPr>
          <w:lang w:val="en-CA"/>
        </w:rPr>
        <w:t xml:space="preserve">rticle 1 of the </w:t>
      </w:r>
      <w:r w:rsidR="00BB41AC" w:rsidRPr="00A75E3D">
        <w:rPr>
          <w:lang w:val="en-CA"/>
        </w:rPr>
        <w:t>Convention against Torture.</w:t>
      </w:r>
      <w:r w:rsidR="00BB41AC" w:rsidRPr="00BB41AC">
        <w:rPr>
          <w:lang w:val="en-CA"/>
        </w:rPr>
        <w:t xml:space="preserve"> Generally speaking, a “</w:t>
      </w:r>
      <w:r w:rsidR="00E24158">
        <w:rPr>
          <w:lang w:val="en-CA"/>
        </w:rPr>
        <w:t xml:space="preserve">protected </w:t>
      </w:r>
      <w:r w:rsidR="00BB41AC" w:rsidRPr="00BB41AC">
        <w:rPr>
          <w:lang w:val="en-CA"/>
        </w:rPr>
        <w:t xml:space="preserve">person” has </w:t>
      </w:r>
      <w:r w:rsidR="00E24158">
        <w:rPr>
          <w:lang w:val="en-CA"/>
        </w:rPr>
        <w:t>the</w:t>
      </w:r>
      <w:r w:rsidR="00BB41AC" w:rsidRPr="00BB41AC">
        <w:rPr>
          <w:lang w:val="en-CA"/>
        </w:rPr>
        <w:t xml:space="preserve"> statutory right</w:t>
      </w:r>
      <w:r w:rsidR="00E24158">
        <w:rPr>
          <w:lang w:val="en-CA"/>
        </w:rPr>
        <w:t>,</w:t>
      </w:r>
      <w:r w:rsidR="00BB41AC" w:rsidRPr="00BB41AC">
        <w:rPr>
          <w:lang w:val="en-CA"/>
        </w:rPr>
        <w:t xml:space="preserve"> under section 115 of the </w:t>
      </w:r>
      <w:r w:rsidR="00E24158">
        <w:rPr>
          <w:lang w:val="en-CA"/>
        </w:rPr>
        <w:t>Act,</w:t>
      </w:r>
      <w:r w:rsidR="00BB41AC" w:rsidRPr="00BB41AC">
        <w:rPr>
          <w:lang w:val="en-CA"/>
        </w:rPr>
        <w:t xml:space="preserve"> not to be removed</w:t>
      </w:r>
      <w:r w:rsidR="00E24158">
        <w:rPr>
          <w:lang w:val="en-CA"/>
        </w:rPr>
        <w:t xml:space="preserve"> from Canada</w:t>
      </w:r>
      <w:r w:rsidR="00BB41AC" w:rsidRPr="00BB41AC">
        <w:rPr>
          <w:lang w:val="en-CA"/>
        </w:rPr>
        <w:t xml:space="preserve">. This statutory principle of </w:t>
      </w:r>
      <w:r w:rsidR="00BB41AC" w:rsidRPr="00304A52">
        <w:rPr>
          <w:iCs/>
          <w:lang w:val="en-CA"/>
        </w:rPr>
        <w:t>non-refoulement</w:t>
      </w:r>
      <w:r w:rsidR="00BB41AC" w:rsidRPr="00BB41AC">
        <w:rPr>
          <w:lang w:val="en-CA"/>
        </w:rPr>
        <w:t xml:space="preserve"> is in addition to the protection of life, liberty and security of all persons in </w:t>
      </w:r>
      <w:r w:rsidR="00570923">
        <w:rPr>
          <w:lang w:val="en-CA"/>
        </w:rPr>
        <w:t>the State party</w:t>
      </w:r>
      <w:r w:rsidR="00BB41AC" w:rsidRPr="00BB41AC">
        <w:rPr>
          <w:lang w:val="en-CA"/>
        </w:rPr>
        <w:t xml:space="preserve"> that is guaranteed by </w:t>
      </w:r>
      <w:r w:rsidR="00BB41AC" w:rsidRPr="00A75E3D">
        <w:rPr>
          <w:lang w:val="en-CA"/>
        </w:rPr>
        <w:t>the Canadian Charter of Rights and Freedoms.</w:t>
      </w:r>
    </w:p>
    <w:p w:rsidR="00BB41AC" w:rsidRPr="00BB41AC" w:rsidRDefault="00A75E3D">
      <w:pPr>
        <w:pStyle w:val="SingleTxtG"/>
        <w:rPr>
          <w:lang w:val="en-CA"/>
        </w:rPr>
      </w:pPr>
      <w:r>
        <w:rPr>
          <w:lang w:val="en-CA"/>
        </w:rPr>
        <w:t>4.</w:t>
      </w:r>
      <w:r w:rsidR="000F3CD2">
        <w:rPr>
          <w:lang w:val="en-CA"/>
        </w:rPr>
        <w:t>1</w:t>
      </w:r>
      <w:r w:rsidR="00DE07EC">
        <w:rPr>
          <w:lang w:val="en-CA"/>
        </w:rPr>
        <w:t>0</w:t>
      </w:r>
      <w:r>
        <w:rPr>
          <w:lang w:val="en-CA"/>
        </w:rPr>
        <w:tab/>
      </w:r>
      <w:r w:rsidR="00BB41AC" w:rsidRPr="00BB41AC">
        <w:rPr>
          <w:lang w:val="en-CA"/>
        </w:rPr>
        <w:t>The R</w:t>
      </w:r>
      <w:r w:rsidR="00E24158">
        <w:rPr>
          <w:lang w:val="en-CA"/>
        </w:rPr>
        <w:t xml:space="preserve">efugee </w:t>
      </w:r>
      <w:r w:rsidR="00BB41AC" w:rsidRPr="00BB41AC">
        <w:rPr>
          <w:lang w:val="en-CA"/>
        </w:rPr>
        <w:t>P</w:t>
      </w:r>
      <w:r w:rsidR="00E24158">
        <w:rPr>
          <w:lang w:val="en-CA"/>
        </w:rPr>
        <w:t xml:space="preserve">rotection </w:t>
      </w:r>
      <w:r w:rsidR="00BB41AC" w:rsidRPr="00BB41AC">
        <w:rPr>
          <w:lang w:val="en-CA"/>
        </w:rPr>
        <w:t>D</w:t>
      </w:r>
      <w:r w:rsidR="00E24158">
        <w:rPr>
          <w:lang w:val="en-CA"/>
        </w:rPr>
        <w:t>ivision</w:t>
      </w:r>
      <w:r w:rsidR="00BB41AC" w:rsidRPr="00BB41AC">
        <w:rPr>
          <w:lang w:val="en-CA"/>
        </w:rPr>
        <w:t xml:space="preserve"> conducts an oral hearing that is usually </w:t>
      </w:r>
      <w:r w:rsidR="00E24158">
        <w:rPr>
          <w:lang w:val="en-CA"/>
        </w:rPr>
        <w:t xml:space="preserve">held </w:t>
      </w:r>
      <w:r w:rsidR="00BB41AC" w:rsidRPr="00BB41AC">
        <w:rPr>
          <w:lang w:val="en-CA"/>
        </w:rPr>
        <w:t xml:space="preserve">privately in an informal and non-adversarial manner. Officials from the United Nations High Commissioner for Refugees may observe the proceedings. Individuals seeking protection as a Convention refugee or a person in need of protection </w:t>
      </w:r>
      <w:r w:rsidR="00E24158">
        <w:rPr>
          <w:lang w:val="en-CA"/>
        </w:rPr>
        <w:t xml:space="preserve">are </w:t>
      </w:r>
      <w:r w:rsidR="00BB41AC" w:rsidRPr="00BB41AC">
        <w:rPr>
          <w:lang w:val="en-CA"/>
        </w:rPr>
        <w:t xml:space="preserve">usually assisted by legal counsel </w:t>
      </w:r>
      <w:r w:rsidR="00E24158">
        <w:rPr>
          <w:lang w:val="en-CA"/>
        </w:rPr>
        <w:t>and</w:t>
      </w:r>
      <w:r w:rsidR="00BB41AC" w:rsidRPr="00BB41AC">
        <w:rPr>
          <w:lang w:val="en-CA"/>
        </w:rPr>
        <w:t xml:space="preserve"> an interpreter and are provided </w:t>
      </w:r>
      <w:r w:rsidR="00E24158">
        <w:rPr>
          <w:lang w:val="en-CA"/>
        </w:rPr>
        <w:t xml:space="preserve">with </w:t>
      </w:r>
      <w:r w:rsidR="00BB41AC" w:rsidRPr="00BB41AC">
        <w:rPr>
          <w:lang w:val="en-CA"/>
        </w:rPr>
        <w:t xml:space="preserve">every opportunity to establish, through oral testimony and supporting documentary evidence, that </w:t>
      </w:r>
      <w:r w:rsidR="00E24158">
        <w:rPr>
          <w:lang w:val="en-CA"/>
        </w:rPr>
        <w:t>he or she is</w:t>
      </w:r>
      <w:r w:rsidR="00BB41AC" w:rsidRPr="00BB41AC">
        <w:rPr>
          <w:lang w:val="en-CA"/>
        </w:rPr>
        <w:t xml:space="preserve"> a Convention refugee or a person in need of protection. </w:t>
      </w:r>
      <w:r w:rsidR="00E24158">
        <w:rPr>
          <w:lang w:val="en-CA"/>
        </w:rPr>
        <w:t>The officers of the Division</w:t>
      </w:r>
      <w:r w:rsidR="00BB41AC" w:rsidRPr="00BB41AC">
        <w:rPr>
          <w:lang w:val="en-CA"/>
        </w:rPr>
        <w:t xml:space="preserve"> receive comprehensive, ongoing training on the Refugee Convention and other aspects of </w:t>
      </w:r>
      <w:r w:rsidR="00570923">
        <w:rPr>
          <w:lang w:val="en-CA"/>
        </w:rPr>
        <w:t>the State party</w:t>
      </w:r>
      <w:r w:rsidR="00BB41AC" w:rsidRPr="00BB41AC">
        <w:rPr>
          <w:lang w:val="en-CA"/>
        </w:rPr>
        <w:t xml:space="preserve">’s international legal obligations. </w:t>
      </w:r>
      <w:r w:rsidR="004B7BF5">
        <w:rPr>
          <w:lang w:val="en-CA"/>
        </w:rPr>
        <w:t>They</w:t>
      </w:r>
      <w:r w:rsidR="00BB41AC" w:rsidRPr="00BB41AC">
        <w:rPr>
          <w:lang w:val="en-CA"/>
        </w:rPr>
        <w:t xml:space="preserve"> are well-informed and develop expertise in</w:t>
      </w:r>
      <w:r w:rsidR="001E3CD3">
        <w:rPr>
          <w:lang w:val="en-CA"/>
        </w:rPr>
        <w:t xml:space="preserve"> relation to</w:t>
      </w:r>
      <w:r w:rsidR="00BB41AC" w:rsidRPr="00BB41AC">
        <w:rPr>
          <w:lang w:val="en-CA"/>
        </w:rPr>
        <w:t xml:space="preserve"> conditions and events in countries of alleged persecution or other human rights violations</w:t>
      </w:r>
      <w:r w:rsidR="004B7BF5">
        <w:rPr>
          <w:lang w:val="en-CA"/>
        </w:rPr>
        <w:t xml:space="preserve"> and</w:t>
      </w:r>
      <w:r w:rsidR="00BB41AC" w:rsidRPr="00BB41AC">
        <w:rPr>
          <w:lang w:val="en-CA"/>
        </w:rPr>
        <w:t xml:space="preserve"> have access to the Immigration and Refugee Board’s internationally</w:t>
      </w:r>
      <w:r w:rsidR="004B7BF5">
        <w:rPr>
          <w:lang w:val="en-CA"/>
        </w:rPr>
        <w:t xml:space="preserve"> </w:t>
      </w:r>
      <w:r w:rsidR="00BB41AC" w:rsidRPr="00BB41AC">
        <w:rPr>
          <w:lang w:val="en-CA"/>
        </w:rPr>
        <w:t>recognized research program</w:t>
      </w:r>
      <w:r w:rsidR="004B7BF5">
        <w:rPr>
          <w:lang w:val="en-CA"/>
        </w:rPr>
        <w:t>me</w:t>
      </w:r>
      <w:r w:rsidR="00BB41AC" w:rsidRPr="00BB41AC">
        <w:rPr>
          <w:lang w:val="en-CA"/>
        </w:rPr>
        <w:t xml:space="preserve">. A Refugee Protection Officer assists the </w:t>
      </w:r>
      <w:r w:rsidR="004B7BF5">
        <w:rPr>
          <w:lang w:val="en-CA"/>
        </w:rPr>
        <w:t>officers of the Division</w:t>
      </w:r>
      <w:r w:rsidR="00BB41AC" w:rsidRPr="00BB41AC">
        <w:rPr>
          <w:lang w:val="en-CA"/>
        </w:rPr>
        <w:t xml:space="preserve"> by ensuring that they have all the relevant documentation.</w:t>
      </w:r>
      <w:r>
        <w:rPr>
          <w:lang w:val="en-CA"/>
        </w:rPr>
        <w:t xml:space="preserve"> </w:t>
      </w:r>
      <w:r w:rsidR="00BB41AC" w:rsidRPr="00BB41AC">
        <w:rPr>
          <w:lang w:val="en-CA"/>
        </w:rPr>
        <w:t xml:space="preserve">The </w:t>
      </w:r>
      <w:r w:rsidR="004B7BF5">
        <w:rPr>
          <w:lang w:val="en-CA"/>
        </w:rPr>
        <w:t>Division</w:t>
      </w:r>
      <w:r w:rsidR="00BB41AC" w:rsidRPr="00BB41AC">
        <w:rPr>
          <w:lang w:val="en-CA"/>
        </w:rPr>
        <w:t xml:space="preserve"> </w:t>
      </w:r>
      <w:r w:rsidR="004B7BF5">
        <w:rPr>
          <w:lang w:val="en-CA"/>
        </w:rPr>
        <w:t>draws</w:t>
      </w:r>
      <w:r w:rsidR="00BB41AC" w:rsidRPr="00BB41AC">
        <w:rPr>
          <w:lang w:val="en-CA"/>
        </w:rPr>
        <w:t xml:space="preserve"> its conclusions based on the evidence adduced during the oral hearing and all available relevant documentation provided to it. </w:t>
      </w:r>
      <w:r w:rsidR="004B7BF5">
        <w:rPr>
          <w:lang w:val="en-CA"/>
        </w:rPr>
        <w:t>A</w:t>
      </w:r>
      <w:r w:rsidR="00BB41AC" w:rsidRPr="00BB41AC">
        <w:rPr>
          <w:lang w:val="en-CA"/>
        </w:rPr>
        <w:t xml:space="preserve">ll of its decisions </w:t>
      </w:r>
      <w:r w:rsidR="004B7BF5">
        <w:rPr>
          <w:lang w:val="en-CA"/>
        </w:rPr>
        <w:t xml:space="preserve">are communicated </w:t>
      </w:r>
      <w:r w:rsidR="00BB41AC" w:rsidRPr="00BB41AC">
        <w:rPr>
          <w:lang w:val="en-CA"/>
        </w:rPr>
        <w:t>in writing and</w:t>
      </w:r>
      <w:r w:rsidR="001E3CD3">
        <w:rPr>
          <w:lang w:val="en-CA"/>
        </w:rPr>
        <w:t xml:space="preserve"> the</w:t>
      </w:r>
      <w:r w:rsidR="00BB41AC" w:rsidRPr="00BB41AC">
        <w:rPr>
          <w:lang w:val="en-CA"/>
        </w:rPr>
        <w:t xml:space="preserve"> reasons for negative decisions</w:t>
      </w:r>
      <w:r w:rsidR="004B7BF5">
        <w:rPr>
          <w:lang w:val="en-CA"/>
        </w:rPr>
        <w:t xml:space="preserve"> are also provided in writing</w:t>
      </w:r>
      <w:r w:rsidR="00BB41AC" w:rsidRPr="00BB41AC">
        <w:rPr>
          <w:lang w:val="en-CA"/>
        </w:rPr>
        <w:t xml:space="preserve">. </w:t>
      </w:r>
    </w:p>
    <w:p w:rsidR="00BB41AC" w:rsidRPr="00BB41AC" w:rsidRDefault="00A75E3D">
      <w:pPr>
        <w:pStyle w:val="SingleTxtG"/>
        <w:rPr>
          <w:lang w:val="en-CA"/>
        </w:rPr>
      </w:pPr>
      <w:r>
        <w:rPr>
          <w:lang w:val="en-CA"/>
        </w:rPr>
        <w:t>4.</w:t>
      </w:r>
      <w:r w:rsidR="000F3CD2">
        <w:rPr>
          <w:lang w:val="en-CA"/>
        </w:rPr>
        <w:t>1</w:t>
      </w:r>
      <w:r w:rsidR="00DE07EC">
        <w:rPr>
          <w:lang w:val="en-CA"/>
        </w:rPr>
        <w:t>1</w:t>
      </w:r>
      <w:r>
        <w:rPr>
          <w:lang w:val="en-CA"/>
        </w:rPr>
        <w:tab/>
      </w:r>
      <w:r w:rsidR="00BB41AC" w:rsidRPr="00BB41AC">
        <w:rPr>
          <w:lang w:val="en-CA"/>
        </w:rPr>
        <w:t xml:space="preserve">The </w:t>
      </w:r>
      <w:r>
        <w:rPr>
          <w:lang w:val="en-CA"/>
        </w:rPr>
        <w:t>complainant</w:t>
      </w:r>
      <w:r w:rsidR="00BB41AC" w:rsidRPr="00BB41AC">
        <w:rPr>
          <w:lang w:val="en-CA"/>
        </w:rPr>
        <w:t xml:space="preserve"> was represented by legal counsel at the R</w:t>
      </w:r>
      <w:r w:rsidR="004B7BF5">
        <w:rPr>
          <w:lang w:val="en-CA"/>
        </w:rPr>
        <w:t xml:space="preserve">efugee </w:t>
      </w:r>
      <w:r w:rsidR="00BB41AC" w:rsidRPr="00BB41AC">
        <w:rPr>
          <w:lang w:val="en-CA"/>
        </w:rPr>
        <w:t>P</w:t>
      </w:r>
      <w:r w:rsidR="004B7BF5">
        <w:rPr>
          <w:lang w:val="en-CA"/>
        </w:rPr>
        <w:t xml:space="preserve">rotection </w:t>
      </w:r>
      <w:r w:rsidR="00BB41AC" w:rsidRPr="00BB41AC">
        <w:rPr>
          <w:lang w:val="en-CA"/>
        </w:rPr>
        <w:t>D</w:t>
      </w:r>
      <w:r w:rsidR="004B7BF5">
        <w:rPr>
          <w:lang w:val="en-CA"/>
        </w:rPr>
        <w:t>ivision</w:t>
      </w:r>
      <w:r w:rsidR="00BB41AC" w:rsidRPr="00BB41AC">
        <w:rPr>
          <w:lang w:val="en-CA"/>
        </w:rPr>
        <w:t xml:space="preserve"> hearing. </w:t>
      </w:r>
      <w:r w:rsidR="007F4EDE">
        <w:rPr>
          <w:lang w:val="en-CA"/>
        </w:rPr>
        <w:t>S</w:t>
      </w:r>
      <w:r w:rsidR="00BB41AC" w:rsidRPr="00BB41AC">
        <w:rPr>
          <w:lang w:val="en-CA"/>
        </w:rPr>
        <w:t xml:space="preserve">he provided </w:t>
      </w:r>
      <w:r w:rsidR="007F4EDE">
        <w:rPr>
          <w:lang w:val="en-CA"/>
        </w:rPr>
        <w:t xml:space="preserve">an </w:t>
      </w:r>
      <w:r w:rsidR="00BB41AC" w:rsidRPr="00BB41AC">
        <w:rPr>
          <w:lang w:val="en-CA"/>
        </w:rPr>
        <w:t xml:space="preserve">oral testimony and had the opportunity to explain any ambiguities or inconsistencies and </w:t>
      </w:r>
      <w:r w:rsidR="007F4EDE">
        <w:rPr>
          <w:lang w:val="en-CA"/>
        </w:rPr>
        <w:t xml:space="preserve">to </w:t>
      </w:r>
      <w:r w:rsidR="00BB41AC" w:rsidRPr="00BB41AC">
        <w:rPr>
          <w:lang w:val="en-CA"/>
        </w:rPr>
        <w:t>respond to questions that the Board may have had with regard to her claims. In support of her claim</w:t>
      </w:r>
      <w:r w:rsidR="007F4EDE">
        <w:rPr>
          <w:lang w:val="en-CA"/>
        </w:rPr>
        <w:t>, she</w:t>
      </w:r>
      <w:r w:rsidR="00BB41AC" w:rsidRPr="00BB41AC">
        <w:rPr>
          <w:lang w:val="en-CA"/>
        </w:rPr>
        <w:t xml:space="preserve"> </w:t>
      </w:r>
      <w:r w:rsidR="007F4EDE">
        <w:rPr>
          <w:lang w:val="en-CA"/>
        </w:rPr>
        <w:t>submitted</w:t>
      </w:r>
      <w:r w:rsidR="00BB41AC" w:rsidRPr="00BB41AC">
        <w:rPr>
          <w:lang w:val="en-CA"/>
        </w:rPr>
        <w:t xml:space="preserve"> an extensive package of written documentation</w:t>
      </w:r>
      <w:r w:rsidR="00043463">
        <w:rPr>
          <w:lang w:val="en-CA"/>
        </w:rPr>
        <w:t xml:space="preserve">, including </w:t>
      </w:r>
      <w:r w:rsidR="007F4EDE">
        <w:rPr>
          <w:lang w:val="en-CA"/>
        </w:rPr>
        <w:t>c</w:t>
      </w:r>
      <w:r w:rsidR="00BB41AC" w:rsidRPr="00BB41AC">
        <w:rPr>
          <w:lang w:val="en-CA"/>
        </w:rPr>
        <w:t xml:space="preserve">ourt documents relating to the land dispute between the </w:t>
      </w:r>
      <w:r w:rsidR="00043463">
        <w:rPr>
          <w:lang w:val="en-CA"/>
        </w:rPr>
        <w:t>complainant</w:t>
      </w:r>
      <w:r w:rsidR="00BB41AC" w:rsidRPr="00BB41AC">
        <w:rPr>
          <w:lang w:val="en-CA"/>
        </w:rPr>
        <w:t xml:space="preserve"> and </w:t>
      </w:r>
      <w:r w:rsidR="007F4EDE">
        <w:rPr>
          <w:lang w:val="en-CA"/>
        </w:rPr>
        <w:t>her husband</w:t>
      </w:r>
      <w:r w:rsidR="001E3CD3">
        <w:rPr>
          <w:lang w:val="en-CA"/>
        </w:rPr>
        <w:t>’</w:t>
      </w:r>
      <w:r w:rsidR="007F4EDE">
        <w:rPr>
          <w:lang w:val="en-CA"/>
        </w:rPr>
        <w:t xml:space="preserve">s relative, </w:t>
      </w:r>
      <w:r w:rsidR="00EB7894">
        <w:rPr>
          <w:lang w:val="en-CA"/>
        </w:rPr>
        <w:t>B.</w:t>
      </w:r>
      <w:r w:rsidR="00BB41AC" w:rsidRPr="00BB41AC">
        <w:rPr>
          <w:lang w:val="en-CA"/>
        </w:rPr>
        <w:t>;</w:t>
      </w:r>
      <w:r w:rsidR="00043463">
        <w:rPr>
          <w:lang w:val="en-CA"/>
        </w:rPr>
        <w:t xml:space="preserve"> </w:t>
      </w:r>
      <w:r w:rsidR="00570923">
        <w:rPr>
          <w:lang w:val="en-CA"/>
        </w:rPr>
        <w:t>t</w:t>
      </w:r>
      <w:r w:rsidR="00BB41AC" w:rsidRPr="00BB41AC">
        <w:rPr>
          <w:lang w:val="en-CA"/>
        </w:rPr>
        <w:t xml:space="preserve">wo </w:t>
      </w:r>
      <w:r w:rsidR="007F4EDE">
        <w:rPr>
          <w:lang w:val="en-CA"/>
        </w:rPr>
        <w:t>first information reports</w:t>
      </w:r>
      <w:r w:rsidR="00BB41AC" w:rsidRPr="00BB41AC">
        <w:rPr>
          <w:lang w:val="en-CA"/>
        </w:rPr>
        <w:t xml:space="preserve"> filed </w:t>
      </w:r>
      <w:r w:rsidR="007F4EDE">
        <w:rPr>
          <w:lang w:val="en-CA"/>
        </w:rPr>
        <w:t xml:space="preserve">by or on behalf of her </w:t>
      </w:r>
      <w:r w:rsidR="00BB41AC" w:rsidRPr="00BB41AC">
        <w:rPr>
          <w:lang w:val="en-CA"/>
        </w:rPr>
        <w:t>and</w:t>
      </w:r>
      <w:r w:rsidR="00043463">
        <w:rPr>
          <w:lang w:val="en-CA"/>
        </w:rPr>
        <w:t>/</w:t>
      </w:r>
      <w:r w:rsidR="00BB41AC" w:rsidRPr="00BB41AC">
        <w:rPr>
          <w:lang w:val="en-CA"/>
        </w:rPr>
        <w:t>or her husband</w:t>
      </w:r>
      <w:r w:rsidR="007F4EDE">
        <w:rPr>
          <w:lang w:val="en-CA"/>
        </w:rPr>
        <w:t xml:space="preserve"> with the police in Pakistan</w:t>
      </w:r>
      <w:r w:rsidR="00BB41AC" w:rsidRPr="00BB41AC">
        <w:rPr>
          <w:lang w:val="en-CA"/>
        </w:rPr>
        <w:t xml:space="preserve"> after alleged assaults by </w:t>
      </w:r>
      <w:r w:rsidR="00EB7894">
        <w:rPr>
          <w:lang w:val="en-CA"/>
        </w:rPr>
        <w:t>B.</w:t>
      </w:r>
      <w:r w:rsidR="00BB41AC" w:rsidRPr="00BB41AC">
        <w:rPr>
          <w:lang w:val="en-CA"/>
        </w:rPr>
        <w:t xml:space="preserve"> (dated 14 December 1999 and 25 September 2001);</w:t>
      </w:r>
      <w:r w:rsidR="00EB7894">
        <w:rPr>
          <w:lang w:val="en-CA"/>
        </w:rPr>
        <w:t xml:space="preserve"> </w:t>
      </w:r>
      <w:r w:rsidR="00570923">
        <w:rPr>
          <w:lang w:val="en-CA"/>
        </w:rPr>
        <w:t>o</w:t>
      </w:r>
      <w:r w:rsidR="00BB41AC" w:rsidRPr="00BB41AC">
        <w:rPr>
          <w:lang w:val="en-CA"/>
        </w:rPr>
        <w:t xml:space="preserve">ne </w:t>
      </w:r>
      <w:r w:rsidR="007F4EDE">
        <w:rPr>
          <w:lang w:val="en-CA"/>
        </w:rPr>
        <w:t>first information report</w:t>
      </w:r>
      <w:r w:rsidR="00BB41AC" w:rsidRPr="00BB41AC">
        <w:rPr>
          <w:lang w:val="en-CA"/>
        </w:rPr>
        <w:t xml:space="preserve"> filed </w:t>
      </w:r>
      <w:r w:rsidR="007F4EDE">
        <w:rPr>
          <w:lang w:val="en-CA"/>
        </w:rPr>
        <w:t xml:space="preserve">by or </w:t>
      </w:r>
      <w:r w:rsidR="00BB41AC" w:rsidRPr="00BB41AC">
        <w:rPr>
          <w:lang w:val="en-CA"/>
        </w:rPr>
        <w:t xml:space="preserve">on behalf of </w:t>
      </w:r>
      <w:r w:rsidR="00EB7894">
        <w:rPr>
          <w:lang w:val="en-CA"/>
        </w:rPr>
        <w:t>B.</w:t>
      </w:r>
      <w:r w:rsidR="00BB41AC" w:rsidRPr="00BB41AC">
        <w:rPr>
          <w:lang w:val="en-CA"/>
        </w:rPr>
        <w:t xml:space="preserve">, accusing the </w:t>
      </w:r>
      <w:r w:rsidR="00043463">
        <w:rPr>
          <w:lang w:val="en-CA"/>
        </w:rPr>
        <w:t>complainant</w:t>
      </w:r>
      <w:r w:rsidR="00BB41AC" w:rsidRPr="00BB41AC">
        <w:rPr>
          <w:lang w:val="en-CA"/>
        </w:rPr>
        <w:t xml:space="preserve"> of adultery (</w:t>
      </w:r>
      <w:r w:rsidR="007F4EDE">
        <w:rPr>
          <w:lang w:val="en-CA"/>
        </w:rPr>
        <w:t xml:space="preserve">dated </w:t>
      </w:r>
      <w:r w:rsidR="00BB41AC" w:rsidRPr="00BB41AC">
        <w:rPr>
          <w:lang w:val="en-CA"/>
        </w:rPr>
        <w:t>25 November 2006);</w:t>
      </w:r>
      <w:r w:rsidR="00EB7894">
        <w:rPr>
          <w:lang w:val="en-CA"/>
        </w:rPr>
        <w:t xml:space="preserve"> </w:t>
      </w:r>
      <w:r w:rsidR="00570923">
        <w:rPr>
          <w:lang w:val="en-CA"/>
        </w:rPr>
        <w:t>t</w:t>
      </w:r>
      <w:r w:rsidR="00BB41AC" w:rsidRPr="00BB41AC">
        <w:rPr>
          <w:lang w:val="en-CA"/>
        </w:rPr>
        <w:t xml:space="preserve">wo hospital reports, one for the </w:t>
      </w:r>
      <w:r w:rsidR="00043463">
        <w:rPr>
          <w:lang w:val="en-CA"/>
        </w:rPr>
        <w:t>complainant</w:t>
      </w:r>
      <w:r w:rsidR="00BB41AC" w:rsidRPr="00BB41AC">
        <w:rPr>
          <w:lang w:val="en-CA"/>
        </w:rPr>
        <w:t xml:space="preserve"> (dated 30 October 2002) and the other for her husband (dated 25 September 2001); and</w:t>
      </w:r>
      <w:r w:rsidR="00EB7894">
        <w:rPr>
          <w:lang w:val="en-CA"/>
        </w:rPr>
        <w:t xml:space="preserve"> a</w:t>
      </w:r>
      <w:r w:rsidR="00BB41AC" w:rsidRPr="00BB41AC">
        <w:rPr>
          <w:lang w:val="en-CA"/>
        </w:rPr>
        <w:t xml:space="preserve"> package of general documentary information on the situation of women and the phenomenon of honour killing in Pakistan.</w:t>
      </w:r>
    </w:p>
    <w:p w:rsidR="00EB7894" w:rsidRDefault="000F3CD2">
      <w:pPr>
        <w:pStyle w:val="SingleTxtG"/>
        <w:rPr>
          <w:lang w:val="en-CA"/>
        </w:rPr>
      </w:pPr>
      <w:r>
        <w:rPr>
          <w:lang w:val="en-CA"/>
        </w:rPr>
        <w:t>4.1</w:t>
      </w:r>
      <w:r w:rsidR="00DE07EC">
        <w:rPr>
          <w:lang w:val="en-CA"/>
        </w:rPr>
        <w:t>2</w:t>
      </w:r>
      <w:r w:rsidR="00EB7894">
        <w:rPr>
          <w:lang w:val="en-CA"/>
        </w:rPr>
        <w:tab/>
      </w:r>
      <w:r w:rsidR="00BB41AC" w:rsidRPr="00BB41AC">
        <w:rPr>
          <w:lang w:val="en-CA"/>
        </w:rPr>
        <w:t>By decision rendered orally on the day of the hearing (24 November 2009), the R</w:t>
      </w:r>
      <w:r w:rsidR="007F4EDE">
        <w:rPr>
          <w:lang w:val="en-CA"/>
        </w:rPr>
        <w:t xml:space="preserve">efugee </w:t>
      </w:r>
      <w:r w:rsidR="00BB41AC" w:rsidRPr="00BB41AC">
        <w:rPr>
          <w:lang w:val="en-CA"/>
        </w:rPr>
        <w:t>P</w:t>
      </w:r>
      <w:r w:rsidR="007F4EDE">
        <w:rPr>
          <w:lang w:val="en-CA"/>
        </w:rPr>
        <w:t xml:space="preserve">rotection </w:t>
      </w:r>
      <w:r w:rsidR="00BB41AC" w:rsidRPr="00BB41AC">
        <w:rPr>
          <w:lang w:val="en-CA"/>
        </w:rPr>
        <w:t>D</w:t>
      </w:r>
      <w:r w:rsidR="007F4EDE">
        <w:rPr>
          <w:lang w:val="en-CA"/>
        </w:rPr>
        <w:t>ivision</w:t>
      </w:r>
      <w:r w:rsidR="00BB41AC" w:rsidRPr="00BB41AC">
        <w:rPr>
          <w:lang w:val="en-CA"/>
        </w:rPr>
        <w:t xml:space="preserve"> determined that the </w:t>
      </w:r>
      <w:r w:rsidR="00043463">
        <w:rPr>
          <w:lang w:val="en-CA"/>
        </w:rPr>
        <w:t>complainant</w:t>
      </w:r>
      <w:r w:rsidR="00BB41AC" w:rsidRPr="00BB41AC">
        <w:rPr>
          <w:lang w:val="en-CA"/>
        </w:rPr>
        <w:t xml:space="preserve"> was not a Convention refugee within the meaning of section 96 of the I</w:t>
      </w:r>
      <w:r w:rsidR="007F4EDE">
        <w:rPr>
          <w:lang w:val="en-CA"/>
        </w:rPr>
        <w:t xml:space="preserve">mmigration and </w:t>
      </w:r>
      <w:r w:rsidR="00BB41AC" w:rsidRPr="00BB41AC">
        <w:rPr>
          <w:lang w:val="en-CA"/>
        </w:rPr>
        <w:t>R</w:t>
      </w:r>
      <w:r w:rsidR="007F4EDE">
        <w:rPr>
          <w:lang w:val="en-CA"/>
        </w:rPr>
        <w:t xml:space="preserve">efugee </w:t>
      </w:r>
      <w:r w:rsidR="00BB41AC" w:rsidRPr="00BB41AC">
        <w:rPr>
          <w:lang w:val="en-CA"/>
        </w:rPr>
        <w:t>P</w:t>
      </w:r>
      <w:r w:rsidR="007F4EDE">
        <w:rPr>
          <w:lang w:val="en-CA"/>
        </w:rPr>
        <w:t xml:space="preserve">rotection </w:t>
      </w:r>
      <w:r w:rsidR="00BB41AC" w:rsidRPr="00BB41AC">
        <w:rPr>
          <w:lang w:val="en-CA"/>
        </w:rPr>
        <w:t>A</w:t>
      </w:r>
      <w:r w:rsidR="007F4EDE">
        <w:rPr>
          <w:lang w:val="en-CA"/>
        </w:rPr>
        <w:t>ct</w:t>
      </w:r>
      <w:r w:rsidR="00BB41AC" w:rsidRPr="00BB41AC">
        <w:rPr>
          <w:lang w:val="en-CA"/>
        </w:rPr>
        <w:t xml:space="preserve"> and </w:t>
      </w:r>
      <w:r w:rsidR="00EB7894">
        <w:rPr>
          <w:lang w:val="en-CA"/>
        </w:rPr>
        <w:t>a</w:t>
      </w:r>
      <w:r w:rsidR="00BB41AC" w:rsidRPr="00BB41AC">
        <w:rPr>
          <w:lang w:val="en-CA"/>
        </w:rPr>
        <w:t>rticle 1 of the Refugee Convention</w:t>
      </w:r>
      <w:r w:rsidR="00BB41AC" w:rsidRPr="00BB41AC">
        <w:rPr>
          <w:i/>
          <w:lang w:val="en-CA"/>
        </w:rPr>
        <w:t>.</w:t>
      </w:r>
      <w:r w:rsidR="00015733">
        <w:rPr>
          <w:iCs/>
          <w:lang w:val="en-CA"/>
        </w:rPr>
        <w:t xml:space="preserve"> It</w:t>
      </w:r>
      <w:r w:rsidR="00BB41AC" w:rsidRPr="00BB41AC">
        <w:rPr>
          <w:lang w:val="en-CA"/>
        </w:rPr>
        <w:t xml:space="preserve"> also determined that the </w:t>
      </w:r>
      <w:r w:rsidR="00043463">
        <w:rPr>
          <w:lang w:val="en-CA"/>
        </w:rPr>
        <w:t>complainant</w:t>
      </w:r>
      <w:r w:rsidR="00BB41AC" w:rsidRPr="00BB41AC">
        <w:rPr>
          <w:lang w:val="en-CA"/>
        </w:rPr>
        <w:t xml:space="preserve"> was not a person in need of protection within the meaning of section 97 of the </w:t>
      </w:r>
      <w:r w:rsidR="00015733">
        <w:rPr>
          <w:lang w:val="en-CA"/>
        </w:rPr>
        <w:t>Act, that is</w:t>
      </w:r>
      <w:r w:rsidR="00BB41AC" w:rsidRPr="00BB41AC">
        <w:rPr>
          <w:lang w:val="en-CA"/>
        </w:rPr>
        <w:t xml:space="preserve">, </w:t>
      </w:r>
      <w:r w:rsidR="00BB41AC" w:rsidRPr="00304A52">
        <w:rPr>
          <w:iCs/>
          <w:lang w:val="en-CA"/>
        </w:rPr>
        <w:t>inter alia</w:t>
      </w:r>
      <w:r w:rsidR="00BB41AC" w:rsidRPr="00BB41AC">
        <w:rPr>
          <w:lang w:val="en-CA"/>
        </w:rPr>
        <w:t xml:space="preserve">, that she was not a person whose removal to </w:t>
      </w:r>
      <w:r w:rsidR="00015733">
        <w:rPr>
          <w:lang w:val="en-CA"/>
        </w:rPr>
        <w:t>her</w:t>
      </w:r>
      <w:r w:rsidR="00BB41AC" w:rsidRPr="00BB41AC">
        <w:rPr>
          <w:lang w:val="en-CA"/>
        </w:rPr>
        <w:t xml:space="preserve"> country of nationality would subject </w:t>
      </w:r>
      <w:r w:rsidR="00015733">
        <w:rPr>
          <w:lang w:val="en-CA"/>
        </w:rPr>
        <w:t>her</w:t>
      </w:r>
      <w:r w:rsidR="00BB41AC" w:rsidRPr="00BB41AC">
        <w:rPr>
          <w:lang w:val="en-CA"/>
        </w:rPr>
        <w:t xml:space="preserve"> personally to </w:t>
      </w:r>
      <w:r w:rsidR="00015733">
        <w:rPr>
          <w:lang w:val="en-CA"/>
        </w:rPr>
        <w:t>“</w:t>
      </w:r>
      <w:r w:rsidR="00BB41AC" w:rsidRPr="00BB41AC">
        <w:rPr>
          <w:lang w:val="en-CA"/>
        </w:rPr>
        <w:t xml:space="preserve">a danger, believed on substantial grounds to exist, of torture within the meaning of </w:t>
      </w:r>
      <w:r w:rsidR="00EB7894">
        <w:rPr>
          <w:lang w:val="en-CA"/>
        </w:rPr>
        <w:t>a</w:t>
      </w:r>
      <w:r w:rsidR="00BB41AC" w:rsidRPr="00BB41AC">
        <w:rPr>
          <w:lang w:val="en-CA"/>
        </w:rPr>
        <w:t xml:space="preserve">rticle 1 of the Convention </w:t>
      </w:r>
      <w:r w:rsidR="006B0EB2">
        <w:rPr>
          <w:lang w:val="en-CA"/>
        </w:rPr>
        <w:t>a</w:t>
      </w:r>
      <w:r w:rsidR="00BB41AC" w:rsidRPr="00BB41AC">
        <w:rPr>
          <w:lang w:val="en-CA"/>
        </w:rPr>
        <w:t>gainst Torture”.</w:t>
      </w:r>
      <w:r w:rsidR="0096293B">
        <w:rPr>
          <w:rStyle w:val="FootnoteReference"/>
          <w:lang w:val="en-CA"/>
        </w:rPr>
        <w:footnoteReference w:id="10"/>
      </w:r>
      <w:r w:rsidR="00BB41AC" w:rsidRPr="00BB41AC">
        <w:rPr>
          <w:lang w:val="en-CA"/>
        </w:rPr>
        <w:t xml:space="preserve"> The R</w:t>
      </w:r>
      <w:r w:rsidR="00015733">
        <w:rPr>
          <w:lang w:val="en-CA"/>
        </w:rPr>
        <w:t xml:space="preserve">efugee </w:t>
      </w:r>
      <w:r w:rsidR="00BB41AC" w:rsidRPr="00BB41AC">
        <w:rPr>
          <w:lang w:val="en-CA"/>
        </w:rPr>
        <w:t>P</w:t>
      </w:r>
      <w:r w:rsidR="00015733">
        <w:rPr>
          <w:lang w:val="en-CA"/>
        </w:rPr>
        <w:t xml:space="preserve">rotection </w:t>
      </w:r>
      <w:r w:rsidR="00BB41AC" w:rsidRPr="00BB41AC">
        <w:rPr>
          <w:lang w:val="en-CA"/>
        </w:rPr>
        <w:t>D</w:t>
      </w:r>
      <w:r w:rsidR="00015733">
        <w:rPr>
          <w:lang w:val="en-CA"/>
        </w:rPr>
        <w:t xml:space="preserve">ivision issued its </w:t>
      </w:r>
      <w:r w:rsidR="00BB41AC" w:rsidRPr="00BB41AC">
        <w:rPr>
          <w:lang w:val="en-CA"/>
        </w:rPr>
        <w:t xml:space="preserve">written decision </w:t>
      </w:r>
      <w:r w:rsidR="006B0EB2">
        <w:rPr>
          <w:lang w:val="en-CA"/>
        </w:rPr>
        <w:t xml:space="preserve">on </w:t>
      </w:r>
      <w:r w:rsidR="00BB41AC" w:rsidRPr="00BB41AC">
        <w:rPr>
          <w:lang w:val="en-CA"/>
        </w:rPr>
        <w:t xml:space="preserve">15 </w:t>
      </w:r>
      <w:r w:rsidR="00EB7894">
        <w:rPr>
          <w:lang w:val="en-CA"/>
        </w:rPr>
        <w:t xml:space="preserve">January 2010. </w:t>
      </w:r>
      <w:r w:rsidR="00015733">
        <w:rPr>
          <w:lang w:val="en-CA"/>
        </w:rPr>
        <w:t xml:space="preserve">It </w:t>
      </w:r>
      <w:r w:rsidR="00BB41AC" w:rsidRPr="00BB41AC">
        <w:rPr>
          <w:lang w:val="en-CA"/>
        </w:rPr>
        <w:t xml:space="preserve">identified three separate risks that the </w:t>
      </w:r>
      <w:r w:rsidR="00043463">
        <w:rPr>
          <w:lang w:val="en-CA"/>
        </w:rPr>
        <w:t>complainant</w:t>
      </w:r>
      <w:r w:rsidR="00BB41AC" w:rsidRPr="00BB41AC">
        <w:rPr>
          <w:lang w:val="en-CA"/>
        </w:rPr>
        <w:t xml:space="preserve"> had claimed she would face upon return to Pakistan</w:t>
      </w:r>
      <w:r w:rsidR="00015733">
        <w:rPr>
          <w:lang w:val="en-CA"/>
        </w:rPr>
        <w:t>: (a)</w:t>
      </w:r>
      <w:r w:rsidR="00BB41AC" w:rsidRPr="00BB41AC">
        <w:rPr>
          <w:lang w:val="en-CA"/>
        </w:rPr>
        <w:t xml:space="preserve"> a risk from the police as a result of </w:t>
      </w:r>
      <w:r w:rsidR="00BB41AC" w:rsidRPr="00BB41AC">
        <w:rPr>
          <w:lang w:val="en-CA"/>
        </w:rPr>
        <w:lastRenderedPageBreak/>
        <w:t xml:space="preserve">the adultery allegations made by </w:t>
      </w:r>
      <w:r w:rsidR="00EB7894">
        <w:rPr>
          <w:lang w:val="en-CA"/>
        </w:rPr>
        <w:t>B</w:t>
      </w:r>
      <w:r w:rsidR="00BB41AC" w:rsidRPr="00BB41AC">
        <w:rPr>
          <w:lang w:val="en-CA"/>
        </w:rPr>
        <w:t>.</w:t>
      </w:r>
      <w:r w:rsidR="00015733">
        <w:rPr>
          <w:lang w:val="en-CA"/>
        </w:rPr>
        <w:t>; (b)</w:t>
      </w:r>
      <w:r w:rsidR="00BB41AC" w:rsidRPr="00BB41AC">
        <w:rPr>
          <w:lang w:val="en-CA"/>
        </w:rPr>
        <w:t xml:space="preserve"> a risk of persecution from the residents of her village as a result of the adultery allegations</w:t>
      </w:r>
      <w:r w:rsidR="00015733">
        <w:rPr>
          <w:lang w:val="en-CA"/>
        </w:rPr>
        <w:t xml:space="preserve">; and (c) </w:t>
      </w:r>
      <w:r w:rsidR="00BB41AC" w:rsidRPr="00BB41AC">
        <w:rPr>
          <w:lang w:val="en-CA"/>
        </w:rPr>
        <w:t>a risk to her life</w:t>
      </w:r>
      <w:r w:rsidR="00015733">
        <w:rPr>
          <w:lang w:val="en-CA"/>
        </w:rPr>
        <w:t xml:space="preserve"> from B</w:t>
      </w:r>
      <w:r w:rsidR="00BB41AC" w:rsidRPr="00BB41AC">
        <w:rPr>
          <w:lang w:val="en-CA"/>
        </w:rPr>
        <w:t>.</w:t>
      </w:r>
      <w:r w:rsidR="00EB7894">
        <w:rPr>
          <w:lang w:val="en-CA"/>
        </w:rPr>
        <w:t xml:space="preserve"> </w:t>
      </w:r>
    </w:p>
    <w:p w:rsidR="00BB41AC" w:rsidRPr="00BB41AC" w:rsidRDefault="000F3CD2">
      <w:pPr>
        <w:pStyle w:val="SingleTxtG"/>
        <w:rPr>
          <w:lang w:val="en-CA"/>
        </w:rPr>
      </w:pPr>
      <w:r>
        <w:rPr>
          <w:lang w:val="en-CA"/>
        </w:rPr>
        <w:t>4.1</w:t>
      </w:r>
      <w:r w:rsidR="00DE07EC">
        <w:rPr>
          <w:lang w:val="en-CA"/>
        </w:rPr>
        <w:t>3</w:t>
      </w:r>
      <w:r w:rsidR="00EB7894">
        <w:rPr>
          <w:lang w:val="en-CA"/>
        </w:rPr>
        <w:tab/>
      </w:r>
      <w:r w:rsidR="00BB41AC" w:rsidRPr="00BB41AC">
        <w:rPr>
          <w:lang w:val="en-CA"/>
        </w:rPr>
        <w:t>The R</w:t>
      </w:r>
      <w:r w:rsidR="00015733">
        <w:rPr>
          <w:lang w:val="en-CA"/>
        </w:rPr>
        <w:t xml:space="preserve">efugee </w:t>
      </w:r>
      <w:r w:rsidR="00BB41AC" w:rsidRPr="00BB41AC">
        <w:rPr>
          <w:lang w:val="en-CA"/>
        </w:rPr>
        <w:t>P</w:t>
      </w:r>
      <w:r w:rsidR="00015733">
        <w:rPr>
          <w:lang w:val="en-CA"/>
        </w:rPr>
        <w:t xml:space="preserve">rotection </w:t>
      </w:r>
      <w:r w:rsidR="00BB41AC" w:rsidRPr="00BB41AC">
        <w:rPr>
          <w:lang w:val="en-CA"/>
        </w:rPr>
        <w:t>D</w:t>
      </w:r>
      <w:r w:rsidR="00015733">
        <w:rPr>
          <w:lang w:val="en-CA"/>
        </w:rPr>
        <w:t>ivision</w:t>
      </w:r>
      <w:r w:rsidR="00BB41AC" w:rsidRPr="00BB41AC">
        <w:rPr>
          <w:lang w:val="en-CA"/>
        </w:rPr>
        <w:t xml:space="preserve"> concluded that the </w:t>
      </w:r>
      <w:r w:rsidR="00043463">
        <w:rPr>
          <w:lang w:val="en-CA"/>
        </w:rPr>
        <w:t>complainant</w:t>
      </w:r>
      <w:r w:rsidR="00BB41AC" w:rsidRPr="00BB41AC">
        <w:rPr>
          <w:lang w:val="en-CA"/>
        </w:rPr>
        <w:t xml:space="preserve"> had been a credible witness</w:t>
      </w:r>
      <w:r w:rsidR="00015733">
        <w:rPr>
          <w:lang w:val="en-CA"/>
        </w:rPr>
        <w:t xml:space="preserve"> in relation to</w:t>
      </w:r>
      <w:r w:rsidR="00015733" w:rsidRPr="00BB41AC">
        <w:rPr>
          <w:lang w:val="en-CA"/>
        </w:rPr>
        <w:t xml:space="preserve"> the facts of her account</w:t>
      </w:r>
      <w:r w:rsidR="00EB7894">
        <w:rPr>
          <w:lang w:val="en-CA"/>
        </w:rPr>
        <w:t xml:space="preserve">. </w:t>
      </w:r>
      <w:r w:rsidR="00BB41AC" w:rsidRPr="00BB41AC">
        <w:rPr>
          <w:lang w:val="en-CA"/>
        </w:rPr>
        <w:t xml:space="preserve">However, </w:t>
      </w:r>
      <w:r w:rsidR="00015733">
        <w:rPr>
          <w:lang w:val="en-CA"/>
        </w:rPr>
        <w:t>it</w:t>
      </w:r>
      <w:r w:rsidR="00BB41AC" w:rsidRPr="00BB41AC">
        <w:rPr>
          <w:lang w:val="en-CA"/>
        </w:rPr>
        <w:t xml:space="preserve"> concluded that </w:t>
      </w:r>
      <w:r w:rsidR="00015733">
        <w:rPr>
          <w:lang w:val="en-CA"/>
        </w:rPr>
        <w:t>her</w:t>
      </w:r>
      <w:r w:rsidR="00BB41AC" w:rsidRPr="00BB41AC">
        <w:rPr>
          <w:lang w:val="en-CA"/>
        </w:rPr>
        <w:t xml:space="preserve"> specific claims of </w:t>
      </w:r>
      <w:r w:rsidR="00015733">
        <w:rPr>
          <w:lang w:val="en-CA"/>
        </w:rPr>
        <w:t xml:space="preserve">the </w:t>
      </w:r>
      <w:r w:rsidR="00BB41AC" w:rsidRPr="00BB41AC">
        <w:rPr>
          <w:lang w:val="en-CA"/>
        </w:rPr>
        <w:t>risk</w:t>
      </w:r>
      <w:r w:rsidR="00015733">
        <w:rPr>
          <w:lang w:val="en-CA"/>
        </w:rPr>
        <w:t xml:space="preserve"> she would face</w:t>
      </w:r>
      <w:r w:rsidR="00BB41AC" w:rsidRPr="00BB41AC">
        <w:rPr>
          <w:lang w:val="en-CA"/>
        </w:rPr>
        <w:t xml:space="preserve"> were not supported by the evidence provided and that</w:t>
      </w:r>
      <w:r w:rsidR="00015733">
        <w:rPr>
          <w:lang w:val="en-CA"/>
        </w:rPr>
        <w:t>,</w:t>
      </w:r>
      <w:r w:rsidR="00BB41AC" w:rsidRPr="00BB41AC">
        <w:rPr>
          <w:lang w:val="en-CA"/>
        </w:rPr>
        <w:t xml:space="preserve"> ultimately</w:t>
      </w:r>
      <w:r w:rsidR="00015733">
        <w:rPr>
          <w:lang w:val="en-CA"/>
        </w:rPr>
        <w:t>,</w:t>
      </w:r>
      <w:r w:rsidR="00BB41AC" w:rsidRPr="00BB41AC">
        <w:rPr>
          <w:lang w:val="en-CA"/>
        </w:rPr>
        <w:t xml:space="preserve"> </w:t>
      </w:r>
      <w:r w:rsidR="00015733">
        <w:rPr>
          <w:lang w:val="en-CA"/>
        </w:rPr>
        <w:t>s</w:t>
      </w:r>
      <w:r w:rsidR="00BB41AC" w:rsidRPr="00BB41AC">
        <w:rPr>
          <w:lang w:val="en-CA"/>
        </w:rPr>
        <w:t xml:space="preserve">he had a clear internal flight </w:t>
      </w:r>
      <w:r w:rsidR="008B03D9">
        <w:rPr>
          <w:lang w:val="en-CA"/>
        </w:rPr>
        <w:t xml:space="preserve">or relocation </w:t>
      </w:r>
      <w:r w:rsidR="00BB41AC" w:rsidRPr="00BB41AC">
        <w:rPr>
          <w:lang w:val="en-CA"/>
        </w:rPr>
        <w:t>alternative in Pakistan. First</w:t>
      </w:r>
      <w:r w:rsidR="00015733">
        <w:rPr>
          <w:lang w:val="en-CA"/>
        </w:rPr>
        <w:t xml:space="preserve"> of all</w:t>
      </w:r>
      <w:r w:rsidR="00BB41AC" w:rsidRPr="00BB41AC">
        <w:rPr>
          <w:lang w:val="en-CA"/>
        </w:rPr>
        <w:t>, the D</w:t>
      </w:r>
      <w:r w:rsidR="00015733">
        <w:rPr>
          <w:lang w:val="en-CA"/>
        </w:rPr>
        <w:t>ivision</w:t>
      </w:r>
      <w:r w:rsidR="00BB41AC" w:rsidRPr="00BB41AC">
        <w:rPr>
          <w:lang w:val="en-CA"/>
        </w:rPr>
        <w:t xml:space="preserve"> concluded that there was not sufficient credible evidence that the police would seek out the </w:t>
      </w:r>
      <w:r w:rsidR="00043463">
        <w:rPr>
          <w:lang w:val="en-CA"/>
        </w:rPr>
        <w:t>complainant</w:t>
      </w:r>
      <w:r w:rsidR="00BB41AC" w:rsidRPr="00BB41AC">
        <w:rPr>
          <w:lang w:val="en-CA"/>
        </w:rPr>
        <w:t xml:space="preserve"> if she returned to Pakistan</w:t>
      </w:r>
      <w:r w:rsidR="00EB7894">
        <w:rPr>
          <w:lang w:val="en-CA"/>
        </w:rPr>
        <w:t xml:space="preserve">, because she had been released after </w:t>
      </w:r>
      <w:r w:rsidR="00015733">
        <w:rPr>
          <w:lang w:val="en-CA"/>
        </w:rPr>
        <w:t xml:space="preserve">only </w:t>
      </w:r>
      <w:r w:rsidR="00EB7894">
        <w:rPr>
          <w:lang w:val="en-CA"/>
        </w:rPr>
        <w:t>two days in custody and</w:t>
      </w:r>
      <w:r w:rsidR="00BB41AC" w:rsidRPr="00BB41AC">
        <w:rPr>
          <w:lang w:val="en-CA"/>
        </w:rPr>
        <w:t xml:space="preserve"> </w:t>
      </w:r>
      <w:r w:rsidR="00015733">
        <w:rPr>
          <w:lang w:val="en-CA"/>
        </w:rPr>
        <w:t xml:space="preserve">had </w:t>
      </w:r>
      <w:r w:rsidR="00BB41AC" w:rsidRPr="00BB41AC">
        <w:rPr>
          <w:lang w:val="en-CA"/>
        </w:rPr>
        <w:t xml:space="preserve">testified that the matter </w:t>
      </w:r>
      <w:r w:rsidR="008B03D9">
        <w:rPr>
          <w:lang w:val="en-CA"/>
        </w:rPr>
        <w:t xml:space="preserve">had </w:t>
      </w:r>
      <w:r w:rsidR="00BB41AC" w:rsidRPr="00BB41AC">
        <w:rPr>
          <w:lang w:val="en-CA"/>
        </w:rPr>
        <w:t xml:space="preserve">never reached </w:t>
      </w:r>
      <w:r w:rsidR="008B03D9">
        <w:rPr>
          <w:lang w:val="en-CA"/>
        </w:rPr>
        <w:t xml:space="preserve">the </w:t>
      </w:r>
      <w:r w:rsidR="00BB41AC" w:rsidRPr="00BB41AC">
        <w:rPr>
          <w:lang w:val="en-CA"/>
        </w:rPr>
        <w:t xml:space="preserve">courts because </w:t>
      </w:r>
      <w:r w:rsidR="00EB7894">
        <w:rPr>
          <w:lang w:val="en-CA"/>
        </w:rPr>
        <w:t>a local</w:t>
      </w:r>
      <w:r w:rsidR="00BB41AC" w:rsidRPr="00BB41AC">
        <w:rPr>
          <w:lang w:val="en-CA"/>
        </w:rPr>
        <w:t xml:space="preserve"> politician </w:t>
      </w:r>
      <w:r w:rsidR="008B03D9">
        <w:rPr>
          <w:lang w:val="en-CA"/>
        </w:rPr>
        <w:t xml:space="preserve">had come to get </w:t>
      </w:r>
      <w:r w:rsidR="00BB41AC" w:rsidRPr="00BB41AC">
        <w:rPr>
          <w:lang w:val="en-CA"/>
        </w:rPr>
        <w:t xml:space="preserve">her out of the police station. Furthermore, </w:t>
      </w:r>
      <w:r w:rsidR="008B03D9">
        <w:rPr>
          <w:lang w:val="en-CA"/>
        </w:rPr>
        <w:t>s</w:t>
      </w:r>
      <w:r w:rsidR="00BB41AC" w:rsidRPr="00BB41AC">
        <w:rPr>
          <w:lang w:val="en-CA"/>
        </w:rPr>
        <w:t xml:space="preserve">he </w:t>
      </w:r>
      <w:r w:rsidR="006B0EB2">
        <w:rPr>
          <w:lang w:val="en-CA"/>
        </w:rPr>
        <w:t>was</w:t>
      </w:r>
      <w:r w:rsidR="00BB41AC" w:rsidRPr="00BB41AC">
        <w:rPr>
          <w:lang w:val="en-CA"/>
        </w:rPr>
        <w:t xml:space="preserve"> able to leave Pakistan legally and </w:t>
      </w:r>
      <w:r w:rsidR="006B0EB2">
        <w:rPr>
          <w:lang w:val="en-CA"/>
        </w:rPr>
        <w:t>using</w:t>
      </w:r>
      <w:r w:rsidR="00BB41AC" w:rsidRPr="00BB41AC">
        <w:rPr>
          <w:lang w:val="en-CA"/>
        </w:rPr>
        <w:t xml:space="preserve"> her own passport</w:t>
      </w:r>
      <w:r w:rsidR="006B0EB2">
        <w:rPr>
          <w:lang w:val="en-CA"/>
        </w:rPr>
        <w:t>,</w:t>
      </w:r>
      <w:r w:rsidR="00BB41AC" w:rsidRPr="00BB41AC">
        <w:rPr>
          <w:lang w:val="en-CA"/>
        </w:rPr>
        <w:t xml:space="preserve"> without any difficulties.</w:t>
      </w:r>
      <w:r w:rsidR="00EB7894">
        <w:rPr>
          <w:lang w:val="en-CA"/>
        </w:rPr>
        <w:t xml:space="preserve"> </w:t>
      </w:r>
      <w:r w:rsidR="00BB41AC" w:rsidRPr="00BB41AC">
        <w:rPr>
          <w:lang w:val="en-CA"/>
        </w:rPr>
        <w:t>Second</w:t>
      </w:r>
      <w:r w:rsidR="008B03D9">
        <w:rPr>
          <w:lang w:val="en-CA"/>
        </w:rPr>
        <w:t>ly</w:t>
      </w:r>
      <w:r w:rsidR="00BB41AC" w:rsidRPr="00BB41AC">
        <w:rPr>
          <w:lang w:val="en-CA"/>
        </w:rPr>
        <w:t xml:space="preserve">, the </w:t>
      </w:r>
      <w:r w:rsidR="008B03D9">
        <w:rPr>
          <w:lang w:val="en-CA"/>
        </w:rPr>
        <w:t>Division</w:t>
      </w:r>
      <w:r w:rsidR="00BB41AC" w:rsidRPr="00BB41AC">
        <w:rPr>
          <w:lang w:val="en-CA"/>
        </w:rPr>
        <w:t xml:space="preserve"> concluded that the </w:t>
      </w:r>
      <w:r w:rsidR="00043463">
        <w:rPr>
          <w:lang w:val="en-CA"/>
        </w:rPr>
        <w:t>complainant</w:t>
      </w:r>
      <w:r w:rsidR="00BB41AC" w:rsidRPr="00BB41AC">
        <w:rPr>
          <w:lang w:val="en-CA"/>
        </w:rPr>
        <w:t xml:space="preserve"> had not provided sufficient credible evidence that she would face persecution from </w:t>
      </w:r>
      <w:r w:rsidR="008B03D9">
        <w:rPr>
          <w:lang w:val="en-CA"/>
        </w:rPr>
        <w:t>the</w:t>
      </w:r>
      <w:r w:rsidR="00BB41AC" w:rsidRPr="00BB41AC">
        <w:rPr>
          <w:lang w:val="en-CA"/>
        </w:rPr>
        <w:t xml:space="preserve"> residents of her village</w:t>
      </w:r>
      <w:r w:rsidR="008B03D9">
        <w:rPr>
          <w:lang w:val="en-CA"/>
        </w:rPr>
        <w:t xml:space="preserve"> if returned</w:t>
      </w:r>
      <w:r w:rsidR="00BB41AC" w:rsidRPr="00BB41AC">
        <w:rPr>
          <w:lang w:val="en-CA"/>
        </w:rPr>
        <w:t xml:space="preserve">. </w:t>
      </w:r>
      <w:r w:rsidR="008B03D9">
        <w:rPr>
          <w:lang w:val="en-CA"/>
        </w:rPr>
        <w:t>Her</w:t>
      </w:r>
      <w:r w:rsidR="00BB41AC" w:rsidRPr="00BB41AC">
        <w:rPr>
          <w:lang w:val="en-CA"/>
        </w:rPr>
        <w:t xml:space="preserve"> personal narrative and testimony consistently indicated that </w:t>
      </w:r>
      <w:r w:rsidR="008B03D9">
        <w:rPr>
          <w:lang w:val="en-CA"/>
        </w:rPr>
        <w:t>her</w:t>
      </w:r>
      <w:r w:rsidR="00BB41AC" w:rsidRPr="00BB41AC">
        <w:rPr>
          <w:lang w:val="en-CA"/>
        </w:rPr>
        <w:t xml:space="preserve"> husband</w:t>
      </w:r>
      <w:r w:rsidR="008B03D9">
        <w:rPr>
          <w:lang w:val="en-CA"/>
        </w:rPr>
        <w:t xml:space="preserve"> and</w:t>
      </w:r>
      <w:r w:rsidR="00BB41AC" w:rsidRPr="00BB41AC">
        <w:rPr>
          <w:lang w:val="en-CA"/>
        </w:rPr>
        <w:t xml:space="preserve"> her family</w:t>
      </w:r>
      <w:r w:rsidR="008B03D9">
        <w:rPr>
          <w:lang w:val="en-CA"/>
        </w:rPr>
        <w:t xml:space="preserve"> </w:t>
      </w:r>
      <w:r w:rsidR="00BB41AC" w:rsidRPr="00BB41AC">
        <w:rPr>
          <w:lang w:val="en-CA"/>
        </w:rPr>
        <w:t>and the rest of the vi</w:t>
      </w:r>
      <w:r w:rsidR="00EB7894">
        <w:rPr>
          <w:lang w:val="en-CA"/>
        </w:rPr>
        <w:t xml:space="preserve">llage </w:t>
      </w:r>
      <w:r w:rsidR="008B03D9">
        <w:rPr>
          <w:lang w:val="en-CA"/>
        </w:rPr>
        <w:t xml:space="preserve">had </w:t>
      </w:r>
      <w:r w:rsidR="00EB7894">
        <w:rPr>
          <w:lang w:val="en-CA"/>
        </w:rPr>
        <w:t xml:space="preserve">supported her and not </w:t>
      </w:r>
      <w:r w:rsidR="00BB41AC" w:rsidRPr="00BB41AC">
        <w:rPr>
          <w:lang w:val="en-CA"/>
        </w:rPr>
        <w:t>B</w:t>
      </w:r>
      <w:r w:rsidR="00EB7894">
        <w:rPr>
          <w:lang w:val="en-CA"/>
        </w:rPr>
        <w:t>.</w:t>
      </w:r>
      <w:r w:rsidR="008B03D9">
        <w:rPr>
          <w:lang w:val="en-CA"/>
        </w:rPr>
        <w:t>,</w:t>
      </w:r>
      <w:r w:rsidR="00BB41AC" w:rsidRPr="00BB41AC">
        <w:rPr>
          <w:lang w:val="en-CA"/>
        </w:rPr>
        <w:t xml:space="preserve"> after the allegations of adultery were made. Third</w:t>
      </w:r>
      <w:r w:rsidR="008B03D9">
        <w:rPr>
          <w:lang w:val="en-CA"/>
        </w:rPr>
        <w:t>ly</w:t>
      </w:r>
      <w:r w:rsidR="00BB41AC" w:rsidRPr="00BB41AC">
        <w:rPr>
          <w:lang w:val="en-CA"/>
        </w:rPr>
        <w:t>, and taking into account the conclusions on the points above, the D</w:t>
      </w:r>
      <w:r w:rsidR="008B03D9">
        <w:rPr>
          <w:lang w:val="en-CA"/>
        </w:rPr>
        <w:t>ivision</w:t>
      </w:r>
      <w:r w:rsidR="00BB41AC" w:rsidRPr="00BB41AC">
        <w:rPr>
          <w:lang w:val="en-CA"/>
        </w:rPr>
        <w:t xml:space="preserve"> concluded that there was not sufficient credible evidence that </w:t>
      </w:r>
      <w:r w:rsidR="00EB7894">
        <w:rPr>
          <w:lang w:val="en-CA"/>
        </w:rPr>
        <w:t>B.</w:t>
      </w:r>
      <w:r w:rsidR="00BB41AC" w:rsidRPr="00BB41AC">
        <w:rPr>
          <w:lang w:val="en-CA"/>
        </w:rPr>
        <w:t xml:space="preserve"> would be able to harm the </w:t>
      </w:r>
      <w:r w:rsidR="00043463">
        <w:rPr>
          <w:lang w:val="en-CA"/>
        </w:rPr>
        <w:t>complainant</w:t>
      </w:r>
      <w:r w:rsidR="00BB41AC" w:rsidRPr="00BB41AC">
        <w:rPr>
          <w:lang w:val="en-CA"/>
        </w:rPr>
        <w:t xml:space="preserve"> if she returned to Pakistan. The legal action concerning </w:t>
      </w:r>
      <w:r w:rsidR="008B03D9">
        <w:rPr>
          <w:lang w:val="en-CA"/>
        </w:rPr>
        <w:t xml:space="preserve">the </w:t>
      </w:r>
      <w:r w:rsidR="00BB41AC" w:rsidRPr="00BB41AC">
        <w:rPr>
          <w:lang w:val="en-CA"/>
        </w:rPr>
        <w:t xml:space="preserve">land had </w:t>
      </w:r>
      <w:r w:rsidR="008B03D9">
        <w:rPr>
          <w:lang w:val="en-CA"/>
        </w:rPr>
        <w:t xml:space="preserve">already </w:t>
      </w:r>
      <w:r w:rsidR="00BB41AC" w:rsidRPr="00BB41AC">
        <w:rPr>
          <w:lang w:val="en-CA"/>
        </w:rPr>
        <w:t xml:space="preserve">been decided in the </w:t>
      </w:r>
      <w:r w:rsidR="00043463">
        <w:rPr>
          <w:lang w:val="en-CA"/>
        </w:rPr>
        <w:t>complainant</w:t>
      </w:r>
      <w:r w:rsidR="00BB41AC" w:rsidRPr="00BB41AC">
        <w:rPr>
          <w:lang w:val="en-CA"/>
        </w:rPr>
        <w:t xml:space="preserve">’s favour and there was no evidence to indicate that the </w:t>
      </w:r>
      <w:r w:rsidR="007069F2">
        <w:rPr>
          <w:lang w:val="en-CA"/>
        </w:rPr>
        <w:t>accusation</w:t>
      </w:r>
      <w:r w:rsidR="007069F2" w:rsidRPr="00BB41AC">
        <w:rPr>
          <w:lang w:val="en-CA"/>
        </w:rPr>
        <w:t xml:space="preserve"> </w:t>
      </w:r>
      <w:r w:rsidR="00BB41AC" w:rsidRPr="00BB41AC">
        <w:rPr>
          <w:lang w:val="en-CA"/>
        </w:rPr>
        <w:t>of adultery would proceed</w:t>
      </w:r>
      <w:r w:rsidR="007069F2">
        <w:rPr>
          <w:lang w:val="en-CA"/>
        </w:rPr>
        <w:t xml:space="preserve"> further</w:t>
      </w:r>
      <w:r w:rsidR="00BB41AC" w:rsidRPr="00BB41AC">
        <w:rPr>
          <w:lang w:val="en-CA"/>
        </w:rPr>
        <w:t>. Ultimately, the D</w:t>
      </w:r>
      <w:r w:rsidR="008B03D9">
        <w:rPr>
          <w:lang w:val="en-CA"/>
        </w:rPr>
        <w:t>ivision</w:t>
      </w:r>
      <w:r w:rsidR="00BB41AC" w:rsidRPr="00BB41AC">
        <w:rPr>
          <w:lang w:val="en-CA"/>
        </w:rPr>
        <w:t xml:space="preserve"> concluded that </w:t>
      </w:r>
      <w:r w:rsidR="008B03D9" w:rsidRPr="00BB41AC">
        <w:rPr>
          <w:lang w:val="en-CA"/>
        </w:rPr>
        <w:t xml:space="preserve">if the </w:t>
      </w:r>
      <w:r w:rsidR="008B03D9">
        <w:rPr>
          <w:lang w:val="en-CA"/>
        </w:rPr>
        <w:t>complainant</w:t>
      </w:r>
      <w:r w:rsidR="008B03D9" w:rsidRPr="00BB41AC">
        <w:rPr>
          <w:lang w:val="en-CA"/>
        </w:rPr>
        <w:t xml:space="preserve"> returned to Pakistan, </w:t>
      </w:r>
      <w:r w:rsidR="00BB41AC" w:rsidRPr="00BB41AC">
        <w:rPr>
          <w:lang w:val="en-CA"/>
        </w:rPr>
        <w:t xml:space="preserve">she would have an internal flight </w:t>
      </w:r>
      <w:r w:rsidR="008B03D9">
        <w:rPr>
          <w:lang w:val="en-CA"/>
        </w:rPr>
        <w:t xml:space="preserve">or relocation </w:t>
      </w:r>
      <w:r w:rsidR="00BB41AC" w:rsidRPr="00BB41AC">
        <w:rPr>
          <w:lang w:val="en-CA"/>
        </w:rPr>
        <w:t xml:space="preserve">alternative with respect to any risk posed by </w:t>
      </w:r>
      <w:r w:rsidR="00EB7894">
        <w:rPr>
          <w:lang w:val="en-CA"/>
        </w:rPr>
        <w:t>B</w:t>
      </w:r>
      <w:r w:rsidR="00BB41AC" w:rsidRPr="00BB41AC">
        <w:rPr>
          <w:lang w:val="en-CA"/>
        </w:rPr>
        <w:t xml:space="preserve">. </w:t>
      </w:r>
      <w:r w:rsidR="00BB41AC" w:rsidRPr="00881AFC">
        <w:rPr>
          <w:lang w:val="en-CA"/>
        </w:rPr>
        <w:t>The</w:t>
      </w:r>
      <w:r w:rsidR="00BB41AC" w:rsidRPr="00BB41AC">
        <w:rPr>
          <w:lang w:val="en-CA"/>
        </w:rPr>
        <w:t xml:space="preserve"> </w:t>
      </w:r>
      <w:r w:rsidR="00043463">
        <w:rPr>
          <w:lang w:val="en-CA"/>
        </w:rPr>
        <w:t>complainant</w:t>
      </w:r>
      <w:r w:rsidR="00BB41AC" w:rsidRPr="00BB41AC">
        <w:rPr>
          <w:lang w:val="en-CA"/>
        </w:rPr>
        <w:t xml:space="preserve"> </w:t>
      </w:r>
      <w:r w:rsidR="00447B2B">
        <w:rPr>
          <w:lang w:val="en-CA"/>
        </w:rPr>
        <w:t xml:space="preserve">did not </w:t>
      </w:r>
      <w:r w:rsidR="00BB41AC" w:rsidRPr="00BB41AC">
        <w:rPr>
          <w:lang w:val="en-CA"/>
        </w:rPr>
        <w:t xml:space="preserve">provide sufficient credible evidence that </w:t>
      </w:r>
      <w:r w:rsidR="00EB7894">
        <w:rPr>
          <w:lang w:val="en-CA"/>
        </w:rPr>
        <w:t>B.</w:t>
      </w:r>
      <w:r w:rsidR="00BB41AC" w:rsidRPr="00BB41AC">
        <w:rPr>
          <w:lang w:val="en-CA"/>
        </w:rPr>
        <w:t xml:space="preserve"> would be able to learn of </w:t>
      </w:r>
      <w:r w:rsidR="00EB7894">
        <w:rPr>
          <w:lang w:val="en-CA"/>
        </w:rPr>
        <w:t>her</w:t>
      </w:r>
      <w:r w:rsidR="00BB41AC" w:rsidRPr="00BB41AC">
        <w:rPr>
          <w:lang w:val="en-CA"/>
        </w:rPr>
        <w:t xml:space="preserve"> return if she relocated to a major urban centre, or that </w:t>
      </w:r>
      <w:r w:rsidR="00EB7894">
        <w:rPr>
          <w:lang w:val="en-CA"/>
        </w:rPr>
        <w:t>B.</w:t>
      </w:r>
      <w:r w:rsidR="00BB41AC" w:rsidRPr="00BB41AC">
        <w:rPr>
          <w:lang w:val="en-CA"/>
        </w:rPr>
        <w:t xml:space="preserve"> would be able to persuade </w:t>
      </w:r>
      <w:r w:rsidR="00447B2B">
        <w:rPr>
          <w:lang w:val="en-CA"/>
        </w:rPr>
        <w:t>the S</w:t>
      </w:r>
      <w:r w:rsidR="00BB41AC" w:rsidRPr="00BB41AC">
        <w:rPr>
          <w:lang w:val="en-CA"/>
        </w:rPr>
        <w:t xml:space="preserve">tate </w:t>
      </w:r>
      <w:r w:rsidR="00EB7894">
        <w:rPr>
          <w:lang w:val="en-CA"/>
        </w:rPr>
        <w:t>author</w:t>
      </w:r>
      <w:r w:rsidR="00BB41AC" w:rsidRPr="00BB41AC">
        <w:rPr>
          <w:lang w:val="en-CA"/>
        </w:rPr>
        <w:t xml:space="preserve">ities to seek </w:t>
      </w:r>
      <w:r w:rsidR="00447B2B">
        <w:rPr>
          <w:lang w:val="en-CA"/>
        </w:rPr>
        <w:t xml:space="preserve">her </w:t>
      </w:r>
      <w:r w:rsidR="00BB41AC" w:rsidRPr="00BB41AC">
        <w:rPr>
          <w:lang w:val="en-CA"/>
        </w:rPr>
        <w:t xml:space="preserve">out. </w:t>
      </w:r>
      <w:r w:rsidR="00820EFD">
        <w:rPr>
          <w:lang w:val="en-CA"/>
        </w:rPr>
        <w:t xml:space="preserve">Furthermore, even if </w:t>
      </w:r>
      <w:r w:rsidR="00BB41AC" w:rsidRPr="00BB41AC">
        <w:rPr>
          <w:lang w:val="en-CA"/>
        </w:rPr>
        <w:t>B</w:t>
      </w:r>
      <w:r w:rsidR="00820EFD">
        <w:rPr>
          <w:lang w:val="en-CA"/>
        </w:rPr>
        <w:t>.</w:t>
      </w:r>
      <w:r w:rsidR="00BB41AC" w:rsidRPr="00BB41AC">
        <w:rPr>
          <w:lang w:val="en-CA"/>
        </w:rPr>
        <w:t xml:space="preserve"> learned of her loca</w:t>
      </w:r>
      <w:r w:rsidR="00820EFD">
        <w:rPr>
          <w:lang w:val="en-CA"/>
        </w:rPr>
        <w:t>tion</w:t>
      </w:r>
      <w:r w:rsidR="00447B2B">
        <w:rPr>
          <w:lang w:val="en-CA"/>
        </w:rPr>
        <w:t>,</w:t>
      </w:r>
      <w:r w:rsidR="00820EFD">
        <w:rPr>
          <w:lang w:val="en-CA"/>
        </w:rPr>
        <w:t xml:space="preserve"> it was not clear that he </w:t>
      </w:r>
      <w:r w:rsidR="00BB41AC" w:rsidRPr="00BB41AC">
        <w:rPr>
          <w:lang w:val="en-CA"/>
        </w:rPr>
        <w:t xml:space="preserve">would seek her out because </w:t>
      </w:r>
      <w:r w:rsidR="00820EFD">
        <w:rPr>
          <w:lang w:val="en-CA"/>
        </w:rPr>
        <w:t>her</w:t>
      </w:r>
      <w:r w:rsidR="00BB41AC" w:rsidRPr="00BB41AC">
        <w:rPr>
          <w:lang w:val="en-CA"/>
        </w:rPr>
        <w:t xml:space="preserve"> daughters live in a place </w:t>
      </w:r>
      <w:r w:rsidR="00447B2B">
        <w:rPr>
          <w:lang w:val="en-CA"/>
        </w:rPr>
        <w:t xml:space="preserve">that is </w:t>
      </w:r>
      <w:r w:rsidR="00BB41AC" w:rsidRPr="00BB41AC">
        <w:rPr>
          <w:lang w:val="en-CA"/>
        </w:rPr>
        <w:t xml:space="preserve">known to </w:t>
      </w:r>
      <w:r w:rsidR="00820EFD">
        <w:rPr>
          <w:lang w:val="en-CA"/>
        </w:rPr>
        <w:t>B.</w:t>
      </w:r>
      <w:r w:rsidR="00447B2B">
        <w:rPr>
          <w:lang w:val="en-CA"/>
        </w:rPr>
        <w:t xml:space="preserve"> and he has</w:t>
      </w:r>
      <w:r w:rsidR="00BB41AC" w:rsidRPr="00BB41AC">
        <w:rPr>
          <w:lang w:val="en-CA"/>
        </w:rPr>
        <w:t xml:space="preserve"> not harmed</w:t>
      </w:r>
      <w:r w:rsidR="00447B2B">
        <w:rPr>
          <w:lang w:val="en-CA"/>
        </w:rPr>
        <w:t xml:space="preserve"> them</w:t>
      </w:r>
      <w:r w:rsidR="00BB41AC" w:rsidRPr="00BB41AC">
        <w:rPr>
          <w:lang w:val="en-CA"/>
        </w:rPr>
        <w:t>. The D</w:t>
      </w:r>
      <w:r w:rsidR="00447B2B">
        <w:rPr>
          <w:lang w:val="en-CA"/>
        </w:rPr>
        <w:t>ivision</w:t>
      </w:r>
      <w:r w:rsidR="00BB41AC" w:rsidRPr="00BB41AC">
        <w:rPr>
          <w:lang w:val="en-CA"/>
        </w:rPr>
        <w:t xml:space="preserve"> took into account </w:t>
      </w:r>
      <w:r w:rsidR="00447B2B">
        <w:rPr>
          <w:lang w:val="en-CA"/>
        </w:rPr>
        <w:t>all</w:t>
      </w:r>
      <w:r w:rsidR="00BB41AC" w:rsidRPr="00BB41AC">
        <w:rPr>
          <w:lang w:val="en-CA"/>
        </w:rPr>
        <w:t xml:space="preserve"> serious problems</w:t>
      </w:r>
      <w:r w:rsidR="00447B2B">
        <w:rPr>
          <w:lang w:val="en-CA"/>
        </w:rPr>
        <w:t>,</w:t>
      </w:r>
      <w:r w:rsidR="00BB41AC" w:rsidRPr="00BB41AC">
        <w:rPr>
          <w:lang w:val="en-CA"/>
        </w:rPr>
        <w:t xml:space="preserve"> including societal discrimination faced by women in Pakistan</w:t>
      </w:r>
      <w:r w:rsidR="00447B2B">
        <w:rPr>
          <w:lang w:val="en-CA"/>
        </w:rPr>
        <w:t xml:space="preserve"> in general</w:t>
      </w:r>
      <w:r w:rsidR="00BB41AC" w:rsidRPr="00BB41AC">
        <w:rPr>
          <w:lang w:val="en-CA"/>
        </w:rPr>
        <w:t xml:space="preserve">, but concluded that the </w:t>
      </w:r>
      <w:r w:rsidR="00043463">
        <w:rPr>
          <w:lang w:val="en-CA"/>
        </w:rPr>
        <w:t>complainant</w:t>
      </w:r>
      <w:r w:rsidR="00BB41AC" w:rsidRPr="00BB41AC">
        <w:rPr>
          <w:lang w:val="en-CA"/>
        </w:rPr>
        <w:t xml:space="preserve"> would not face undue hardship if she availed herself of an internal flight </w:t>
      </w:r>
      <w:r w:rsidR="00447B2B">
        <w:rPr>
          <w:lang w:val="en-CA"/>
        </w:rPr>
        <w:t xml:space="preserve">or relocation </w:t>
      </w:r>
      <w:r w:rsidR="00BB41AC" w:rsidRPr="00BB41AC">
        <w:rPr>
          <w:lang w:val="en-CA"/>
        </w:rPr>
        <w:t xml:space="preserve">alternative. </w:t>
      </w:r>
    </w:p>
    <w:p w:rsidR="00820EFD" w:rsidRDefault="000F3CD2">
      <w:pPr>
        <w:pStyle w:val="SingleTxtG"/>
        <w:rPr>
          <w:lang w:val="en-CA"/>
        </w:rPr>
      </w:pPr>
      <w:r>
        <w:rPr>
          <w:lang w:val="en-CA"/>
        </w:rPr>
        <w:t>4.1</w:t>
      </w:r>
      <w:r w:rsidR="00DE07EC">
        <w:rPr>
          <w:lang w:val="en-CA"/>
        </w:rPr>
        <w:t>4</w:t>
      </w:r>
      <w:r w:rsidR="00820EFD">
        <w:rPr>
          <w:lang w:val="en-CA"/>
        </w:rPr>
        <w:tab/>
      </w:r>
      <w:r w:rsidR="00BB41AC" w:rsidRPr="00BB41AC">
        <w:rPr>
          <w:lang w:val="en-CA"/>
        </w:rPr>
        <w:t>Judicial review of a R</w:t>
      </w:r>
      <w:r w:rsidR="00447B2B">
        <w:rPr>
          <w:lang w:val="en-CA"/>
        </w:rPr>
        <w:t xml:space="preserve">efugee </w:t>
      </w:r>
      <w:r w:rsidR="00BB41AC" w:rsidRPr="00BB41AC">
        <w:rPr>
          <w:lang w:val="en-CA"/>
        </w:rPr>
        <w:t>P</w:t>
      </w:r>
      <w:r w:rsidR="00447B2B">
        <w:rPr>
          <w:lang w:val="en-CA"/>
        </w:rPr>
        <w:t xml:space="preserve">rotection </w:t>
      </w:r>
      <w:r w:rsidR="00BB41AC" w:rsidRPr="00BB41AC">
        <w:rPr>
          <w:lang w:val="en-CA"/>
        </w:rPr>
        <w:t>D</w:t>
      </w:r>
      <w:r w:rsidR="00447B2B">
        <w:rPr>
          <w:lang w:val="en-CA"/>
        </w:rPr>
        <w:t>ivision</w:t>
      </w:r>
      <w:r w:rsidR="00BB41AC" w:rsidRPr="00BB41AC">
        <w:rPr>
          <w:lang w:val="en-CA"/>
        </w:rPr>
        <w:t xml:space="preserve"> decision is available with leave from the Federal Court. The Federal Court’s test for granting leave to apply for judicial review of </w:t>
      </w:r>
      <w:r w:rsidR="00447B2B">
        <w:rPr>
          <w:lang w:val="en-CA"/>
        </w:rPr>
        <w:t>such</w:t>
      </w:r>
      <w:r w:rsidR="00BB41AC" w:rsidRPr="00BB41AC">
        <w:rPr>
          <w:lang w:val="en-CA"/>
        </w:rPr>
        <w:t xml:space="preserve"> decisions is </w:t>
      </w:r>
      <w:r w:rsidR="00447B2B">
        <w:rPr>
          <w:lang w:val="en-CA"/>
        </w:rPr>
        <w:t>the</w:t>
      </w:r>
      <w:r w:rsidR="00BB41AC" w:rsidRPr="00BB41AC">
        <w:rPr>
          <w:lang w:val="en-CA"/>
        </w:rPr>
        <w:t xml:space="preserve"> </w:t>
      </w:r>
      <w:r w:rsidR="00447B2B">
        <w:rPr>
          <w:lang w:val="en-CA"/>
        </w:rPr>
        <w:t>applicant</w:t>
      </w:r>
      <w:r w:rsidR="00C540FA">
        <w:rPr>
          <w:lang w:val="en-CA"/>
        </w:rPr>
        <w:t>’s</w:t>
      </w:r>
      <w:r w:rsidR="00447B2B">
        <w:rPr>
          <w:lang w:val="en-CA"/>
        </w:rPr>
        <w:t xml:space="preserve"> demonstration</w:t>
      </w:r>
      <w:r w:rsidR="00BB41AC" w:rsidRPr="00BB41AC">
        <w:rPr>
          <w:lang w:val="en-CA"/>
        </w:rPr>
        <w:t xml:space="preserve"> that there is a fairly arguable case or a serious question to be determined. The Federal Court hears and decides legal disputes arising in the </w:t>
      </w:r>
      <w:r w:rsidR="00820EFD">
        <w:rPr>
          <w:lang w:val="en-CA"/>
        </w:rPr>
        <w:t>federal domain</w:t>
      </w:r>
      <w:r w:rsidR="00BB41AC" w:rsidRPr="00BB41AC">
        <w:rPr>
          <w:lang w:val="en-CA"/>
        </w:rPr>
        <w:t>, including challenges to the decisions of federal tribunals like the R</w:t>
      </w:r>
      <w:r w:rsidR="00C540FA">
        <w:rPr>
          <w:lang w:val="en-CA"/>
        </w:rPr>
        <w:t xml:space="preserve">efugee </w:t>
      </w:r>
      <w:r w:rsidR="00BB41AC" w:rsidRPr="00BB41AC">
        <w:rPr>
          <w:lang w:val="en-CA"/>
        </w:rPr>
        <w:t>P</w:t>
      </w:r>
      <w:r w:rsidR="00C540FA">
        <w:rPr>
          <w:lang w:val="en-CA"/>
        </w:rPr>
        <w:t xml:space="preserve">rotection </w:t>
      </w:r>
      <w:r w:rsidR="00BB41AC" w:rsidRPr="00BB41AC">
        <w:rPr>
          <w:lang w:val="en-CA"/>
        </w:rPr>
        <w:t>D</w:t>
      </w:r>
      <w:r w:rsidR="00C540FA">
        <w:rPr>
          <w:lang w:val="en-CA"/>
        </w:rPr>
        <w:t>ivision</w:t>
      </w:r>
      <w:r w:rsidR="00BB41AC" w:rsidRPr="00BB41AC">
        <w:rPr>
          <w:lang w:val="en-CA"/>
        </w:rPr>
        <w:t xml:space="preserve">. The </w:t>
      </w:r>
      <w:r w:rsidR="00043463">
        <w:rPr>
          <w:lang w:val="en-CA"/>
        </w:rPr>
        <w:t>complainant</w:t>
      </w:r>
      <w:r w:rsidR="00BB41AC" w:rsidRPr="00BB41AC">
        <w:rPr>
          <w:lang w:val="en-CA"/>
        </w:rPr>
        <w:t xml:space="preserve"> did not apply to the Federal Court for leave to seek judicial review of the </w:t>
      </w:r>
      <w:r w:rsidR="00C540FA">
        <w:rPr>
          <w:lang w:val="en-CA"/>
        </w:rPr>
        <w:t>Division’s</w:t>
      </w:r>
      <w:r w:rsidR="00BB41AC" w:rsidRPr="00BB41AC">
        <w:rPr>
          <w:lang w:val="en-CA"/>
        </w:rPr>
        <w:t xml:space="preserve"> decision. </w:t>
      </w:r>
    </w:p>
    <w:p w:rsidR="00820EFD" w:rsidRDefault="00820EFD">
      <w:pPr>
        <w:pStyle w:val="SingleTxtG"/>
        <w:rPr>
          <w:lang w:val="en-CA"/>
        </w:rPr>
      </w:pPr>
      <w:r>
        <w:rPr>
          <w:lang w:val="en-CA"/>
        </w:rPr>
        <w:t>4.1</w:t>
      </w:r>
      <w:r w:rsidR="00DE07EC">
        <w:rPr>
          <w:lang w:val="en-CA"/>
        </w:rPr>
        <w:t>5</w:t>
      </w:r>
      <w:r>
        <w:rPr>
          <w:lang w:val="en-CA"/>
        </w:rPr>
        <w:tab/>
      </w:r>
      <w:r w:rsidR="00BB41AC" w:rsidRPr="00BB41AC">
        <w:rPr>
          <w:lang w:val="en-CA"/>
        </w:rPr>
        <w:t xml:space="preserve">The </w:t>
      </w:r>
      <w:r w:rsidR="00043463">
        <w:rPr>
          <w:lang w:val="en-CA"/>
        </w:rPr>
        <w:t>complainant</w:t>
      </w:r>
      <w:r w:rsidR="00BB41AC" w:rsidRPr="00BB41AC">
        <w:rPr>
          <w:lang w:val="en-CA"/>
        </w:rPr>
        <w:t xml:space="preserve"> also did not apply for permanent residence on the basis of humanitarian and compassionate grounds.</w:t>
      </w:r>
      <w:r>
        <w:rPr>
          <w:lang w:val="en-CA"/>
        </w:rPr>
        <w:t xml:space="preserve"> </w:t>
      </w:r>
      <w:r w:rsidR="00BB41AC" w:rsidRPr="00BB41AC">
        <w:rPr>
          <w:lang w:val="en-CA"/>
        </w:rPr>
        <w:t>When an applicatio</w:t>
      </w:r>
      <w:r>
        <w:rPr>
          <w:lang w:val="en-CA"/>
        </w:rPr>
        <w:t>n</w:t>
      </w:r>
      <w:r w:rsidR="00C540FA">
        <w:rPr>
          <w:lang w:val="en-CA"/>
        </w:rPr>
        <w:t xml:space="preserve"> on humanitarian and compassionate grounds</w:t>
      </w:r>
      <w:r>
        <w:rPr>
          <w:lang w:val="en-CA"/>
        </w:rPr>
        <w:t xml:space="preserve"> is made by a foreign national</w:t>
      </w:r>
      <w:r w:rsidR="00BB41AC" w:rsidRPr="00BB41AC">
        <w:rPr>
          <w:lang w:val="en-CA"/>
        </w:rPr>
        <w:t xml:space="preserve">, it must be considered by the Minister of Citizenship and Immigration or his </w:t>
      </w:r>
      <w:r w:rsidR="00C540FA">
        <w:rPr>
          <w:lang w:val="en-CA"/>
        </w:rPr>
        <w:t>representative</w:t>
      </w:r>
      <w:r w:rsidR="00BB41AC" w:rsidRPr="00BB41AC">
        <w:rPr>
          <w:lang w:val="en-CA"/>
        </w:rPr>
        <w:t xml:space="preserve">. The assessment of </w:t>
      </w:r>
      <w:r w:rsidR="00C540FA">
        <w:rPr>
          <w:lang w:val="en-CA"/>
        </w:rPr>
        <w:t>such an</w:t>
      </w:r>
      <w:r w:rsidR="00BB41AC" w:rsidRPr="00BB41AC">
        <w:rPr>
          <w:lang w:val="en-CA"/>
        </w:rPr>
        <w:t xml:space="preserve"> application consists of a broad, discretionary review by the decision</w:t>
      </w:r>
      <w:r w:rsidR="004E7040">
        <w:rPr>
          <w:lang w:val="en-CA"/>
        </w:rPr>
        <w:t xml:space="preserve"> </w:t>
      </w:r>
      <w:r w:rsidR="00BB41AC" w:rsidRPr="00BB41AC">
        <w:rPr>
          <w:lang w:val="en-CA"/>
        </w:rPr>
        <w:t xml:space="preserve">maker to determine whether </w:t>
      </w:r>
      <w:r w:rsidR="00C540FA">
        <w:rPr>
          <w:lang w:val="en-CA"/>
        </w:rPr>
        <w:t>the</w:t>
      </w:r>
      <w:r w:rsidR="00BB41AC" w:rsidRPr="00BB41AC">
        <w:rPr>
          <w:lang w:val="en-CA"/>
        </w:rPr>
        <w:t xml:space="preserve"> person should be granted permanent residenc</w:t>
      </w:r>
      <w:r w:rsidR="00CF3A7E">
        <w:rPr>
          <w:lang w:val="en-CA"/>
        </w:rPr>
        <w:t>e</w:t>
      </w:r>
      <w:r w:rsidR="00BB41AC" w:rsidRPr="00BB41AC">
        <w:rPr>
          <w:lang w:val="en-CA"/>
        </w:rPr>
        <w:t xml:space="preserve"> for humanitarian and compassionate reasons. The test is whether the applicant would suffer unusual and undeserved or disproportionate hardship if he or she had to apply for a permanent resident visa from outside of Canada. The decision</w:t>
      </w:r>
      <w:r w:rsidR="004E7040">
        <w:rPr>
          <w:lang w:val="en-CA"/>
        </w:rPr>
        <w:t xml:space="preserve"> </w:t>
      </w:r>
      <w:r w:rsidR="00BB41AC" w:rsidRPr="00BB41AC">
        <w:rPr>
          <w:lang w:val="en-CA"/>
        </w:rPr>
        <w:t xml:space="preserve">maker considers and weighs all the relevant evidence and information, including the applicant’s written submissions. Some examples of hardship that </w:t>
      </w:r>
      <w:r w:rsidR="00C540FA">
        <w:rPr>
          <w:lang w:val="en-CA"/>
        </w:rPr>
        <w:t>may</w:t>
      </w:r>
      <w:r w:rsidR="00BB41AC" w:rsidRPr="00BB41AC">
        <w:rPr>
          <w:lang w:val="en-CA"/>
        </w:rPr>
        <w:t xml:space="preserve"> be considered in an</w:t>
      </w:r>
      <w:r w:rsidR="00C540FA">
        <w:rPr>
          <w:lang w:val="en-CA"/>
        </w:rPr>
        <w:t xml:space="preserve"> </w:t>
      </w:r>
      <w:r w:rsidR="00BB41AC" w:rsidRPr="00BB41AC">
        <w:rPr>
          <w:lang w:val="en-CA"/>
        </w:rPr>
        <w:t xml:space="preserve">application </w:t>
      </w:r>
      <w:r w:rsidR="00C540FA">
        <w:rPr>
          <w:lang w:val="en-CA"/>
        </w:rPr>
        <w:t xml:space="preserve">on humanitarian and compassionate grounds </w:t>
      </w:r>
      <w:r w:rsidR="00BB41AC" w:rsidRPr="00BB41AC">
        <w:rPr>
          <w:lang w:val="en-CA"/>
        </w:rPr>
        <w:t xml:space="preserve">include lack of critical medical or health care; discrimination </w:t>
      </w:r>
      <w:r w:rsidR="00C540FA">
        <w:rPr>
          <w:lang w:val="en-CA"/>
        </w:rPr>
        <w:t>that</w:t>
      </w:r>
      <w:r w:rsidR="00BB41AC" w:rsidRPr="00BB41AC">
        <w:rPr>
          <w:lang w:val="en-CA"/>
        </w:rPr>
        <w:t xml:space="preserve"> does not amount to persecution; and adverse country conditions that </w:t>
      </w:r>
      <w:r w:rsidR="00C540FA">
        <w:rPr>
          <w:lang w:val="en-CA"/>
        </w:rPr>
        <w:t xml:space="preserve">may </w:t>
      </w:r>
      <w:r w:rsidR="00BB41AC" w:rsidRPr="00BB41AC">
        <w:rPr>
          <w:lang w:val="en-CA"/>
        </w:rPr>
        <w:t xml:space="preserve">have a direct, negative impact on the applicant. </w:t>
      </w:r>
      <w:r w:rsidRPr="00BB41AC">
        <w:rPr>
          <w:lang w:val="en-CA"/>
        </w:rPr>
        <w:t>In her communication to th</w:t>
      </w:r>
      <w:r>
        <w:rPr>
          <w:lang w:val="en-CA"/>
        </w:rPr>
        <w:t>e</w:t>
      </w:r>
      <w:r w:rsidRPr="00BB41AC">
        <w:rPr>
          <w:lang w:val="en-CA"/>
        </w:rPr>
        <w:t xml:space="preserve"> Committee, the </w:t>
      </w:r>
      <w:r>
        <w:rPr>
          <w:lang w:val="en-CA"/>
        </w:rPr>
        <w:t>complainant</w:t>
      </w:r>
      <w:r w:rsidRPr="00BB41AC">
        <w:rPr>
          <w:lang w:val="en-CA"/>
        </w:rPr>
        <w:t xml:space="preserve"> did not explain why she ha</w:t>
      </w:r>
      <w:r w:rsidR="00C540FA">
        <w:rPr>
          <w:lang w:val="en-CA"/>
        </w:rPr>
        <w:t>d</w:t>
      </w:r>
      <w:r w:rsidRPr="00BB41AC">
        <w:rPr>
          <w:lang w:val="en-CA"/>
        </w:rPr>
        <w:t xml:space="preserve"> not submit</w:t>
      </w:r>
      <w:r w:rsidR="00C540FA">
        <w:rPr>
          <w:lang w:val="en-CA"/>
        </w:rPr>
        <w:t>ted</w:t>
      </w:r>
      <w:r w:rsidRPr="00BB41AC">
        <w:rPr>
          <w:lang w:val="en-CA"/>
        </w:rPr>
        <w:t xml:space="preserve"> an application</w:t>
      </w:r>
      <w:r w:rsidR="00C540FA">
        <w:rPr>
          <w:lang w:val="en-CA"/>
        </w:rPr>
        <w:t xml:space="preserve"> </w:t>
      </w:r>
      <w:r w:rsidR="006B0EB2">
        <w:rPr>
          <w:lang w:val="en-CA"/>
        </w:rPr>
        <w:t xml:space="preserve">for residence </w:t>
      </w:r>
      <w:r w:rsidR="00C540FA">
        <w:rPr>
          <w:lang w:val="en-CA"/>
        </w:rPr>
        <w:t>on humanitarian and compassionate grounds to the Canadian authorities</w:t>
      </w:r>
      <w:r w:rsidRPr="00BB41AC">
        <w:rPr>
          <w:lang w:val="en-CA"/>
        </w:rPr>
        <w:t xml:space="preserve">. </w:t>
      </w:r>
    </w:p>
    <w:p w:rsidR="00820EFD" w:rsidRDefault="00820EFD">
      <w:pPr>
        <w:pStyle w:val="SingleTxtG"/>
        <w:rPr>
          <w:lang w:val="en-CA"/>
        </w:rPr>
      </w:pPr>
      <w:r>
        <w:rPr>
          <w:lang w:val="en-CA"/>
        </w:rPr>
        <w:lastRenderedPageBreak/>
        <w:t>4.1</w:t>
      </w:r>
      <w:r w:rsidR="00DE07EC">
        <w:rPr>
          <w:lang w:val="en-CA"/>
        </w:rPr>
        <w:t>6</w:t>
      </w:r>
      <w:r>
        <w:rPr>
          <w:lang w:val="en-CA"/>
        </w:rPr>
        <w:tab/>
      </w:r>
      <w:r w:rsidR="00BB41AC" w:rsidRPr="00BB41AC">
        <w:rPr>
          <w:lang w:val="en-CA"/>
        </w:rPr>
        <w:t xml:space="preserve">On 6 April 2010, the </w:t>
      </w:r>
      <w:r w:rsidR="00043463">
        <w:rPr>
          <w:lang w:val="en-CA"/>
        </w:rPr>
        <w:t>complainant</w:t>
      </w:r>
      <w:r w:rsidR="00BB41AC" w:rsidRPr="00BB41AC">
        <w:rPr>
          <w:lang w:val="en-CA"/>
        </w:rPr>
        <w:t xml:space="preserve"> applied for a </w:t>
      </w:r>
      <w:r w:rsidR="00C540FA">
        <w:rPr>
          <w:lang w:val="en-CA"/>
        </w:rPr>
        <w:t>p</w:t>
      </w:r>
      <w:r w:rsidR="00BB41AC" w:rsidRPr="00BB41AC">
        <w:rPr>
          <w:lang w:val="en-CA"/>
        </w:rPr>
        <w:t xml:space="preserve">re-removal </w:t>
      </w:r>
      <w:r w:rsidR="00C540FA">
        <w:rPr>
          <w:lang w:val="en-CA"/>
        </w:rPr>
        <w:t>r</w:t>
      </w:r>
      <w:r w:rsidR="00BB41AC" w:rsidRPr="00BB41AC">
        <w:rPr>
          <w:lang w:val="en-CA"/>
        </w:rPr>
        <w:t xml:space="preserve">isk </w:t>
      </w:r>
      <w:r w:rsidR="00C540FA">
        <w:rPr>
          <w:lang w:val="en-CA"/>
        </w:rPr>
        <w:t>a</w:t>
      </w:r>
      <w:r w:rsidR="00BB41AC" w:rsidRPr="00BB41AC">
        <w:rPr>
          <w:lang w:val="en-CA"/>
        </w:rPr>
        <w:t xml:space="preserve">ssessment, as provided </w:t>
      </w:r>
      <w:r w:rsidR="00C540FA">
        <w:rPr>
          <w:lang w:val="en-CA"/>
        </w:rPr>
        <w:t xml:space="preserve">for </w:t>
      </w:r>
      <w:r w:rsidR="00BB41AC" w:rsidRPr="00BB41AC">
        <w:rPr>
          <w:lang w:val="en-CA"/>
        </w:rPr>
        <w:t>under the I</w:t>
      </w:r>
      <w:r w:rsidR="00C540FA">
        <w:rPr>
          <w:lang w:val="en-CA"/>
        </w:rPr>
        <w:t>mmigration and Refugee Protection Act</w:t>
      </w:r>
      <w:r w:rsidR="00BB41AC" w:rsidRPr="00BB41AC">
        <w:rPr>
          <w:lang w:val="en-CA"/>
        </w:rPr>
        <w:t xml:space="preserve">. </w:t>
      </w:r>
      <w:r w:rsidR="00C540FA">
        <w:rPr>
          <w:lang w:val="en-CA"/>
        </w:rPr>
        <w:t>S</w:t>
      </w:r>
      <w:r w:rsidR="00BB41AC" w:rsidRPr="00BB41AC">
        <w:rPr>
          <w:lang w:val="en-CA"/>
        </w:rPr>
        <w:t xml:space="preserve">he was represented by the same legal counsel who </w:t>
      </w:r>
      <w:r w:rsidR="00C540FA">
        <w:rPr>
          <w:lang w:val="en-CA"/>
        </w:rPr>
        <w:t xml:space="preserve">had </w:t>
      </w:r>
      <w:r w:rsidR="00BB41AC" w:rsidRPr="00BB41AC">
        <w:rPr>
          <w:lang w:val="en-CA"/>
        </w:rPr>
        <w:t xml:space="preserve">represented her during most of the </w:t>
      </w:r>
      <w:r w:rsidR="00C540FA">
        <w:rPr>
          <w:lang w:val="en-CA"/>
        </w:rPr>
        <w:t>refugee</w:t>
      </w:r>
      <w:r w:rsidR="00BB41AC" w:rsidRPr="00BB41AC">
        <w:rPr>
          <w:lang w:val="en-CA"/>
        </w:rPr>
        <w:t xml:space="preserve"> proceedings, including the R</w:t>
      </w:r>
      <w:r w:rsidR="00C540FA">
        <w:rPr>
          <w:lang w:val="en-CA"/>
        </w:rPr>
        <w:t xml:space="preserve">efugee </w:t>
      </w:r>
      <w:r w:rsidR="00BB41AC" w:rsidRPr="00BB41AC">
        <w:rPr>
          <w:lang w:val="en-CA"/>
        </w:rPr>
        <w:t>P</w:t>
      </w:r>
      <w:r w:rsidR="00C540FA">
        <w:rPr>
          <w:lang w:val="en-CA"/>
        </w:rPr>
        <w:t xml:space="preserve">rotection </w:t>
      </w:r>
      <w:r w:rsidR="00BB41AC" w:rsidRPr="00BB41AC">
        <w:rPr>
          <w:lang w:val="en-CA"/>
        </w:rPr>
        <w:t>D</w:t>
      </w:r>
      <w:r w:rsidR="00C540FA">
        <w:rPr>
          <w:lang w:val="en-CA"/>
        </w:rPr>
        <w:t>ivision</w:t>
      </w:r>
      <w:r w:rsidR="00BB41AC" w:rsidRPr="00BB41AC">
        <w:rPr>
          <w:lang w:val="en-CA"/>
        </w:rPr>
        <w:t xml:space="preserve"> hearing.</w:t>
      </w:r>
      <w:r>
        <w:rPr>
          <w:lang w:val="en-CA"/>
        </w:rPr>
        <w:t xml:space="preserve"> </w:t>
      </w:r>
    </w:p>
    <w:p w:rsidR="00BB41AC" w:rsidRPr="0045180F" w:rsidRDefault="00820EFD">
      <w:pPr>
        <w:pStyle w:val="SingleTxtG"/>
        <w:rPr>
          <w:lang w:val="en-CA"/>
        </w:rPr>
      </w:pPr>
      <w:r>
        <w:rPr>
          <w:lang w:val="en-CA"/>
        </w:rPr>
        <w:t>4.1</w:t>
      </w:r>
      <w:r w:rsidR="00DE07EC">
        <w:rPr>
          <w:lang w:val="en-CA"/>
        </w:rPr>
        <w:t>7</w:t>
      </w:r>
      <w:r>
        <w:rPr>
          <w:lang w:val="en-CA"/>
        </w:rPr>
        <w:tab/>
      </w:r>
      <w:r w:rsidR="00BB41AC" w:rsidRPr="00BB41AC">
        <w:rPr>
          <w:lang w:val="en-CA"/>
        </w:rPr>
        <w:t xml:space="preserve">A foreign national who is awaiting removal and who alleges </w:t>
      </w:r>
      <w:r w:rsidR="00C540FA">
        <w:rPr>
          <w:lang w:val="en-CA"/>
        </w:rPr>
        <w:t xml:space="preserve">a </w:t>
      </w:r>
      <w:r w:rsidR="00BB41AC" w:rsidRPr="00BB41AC">
        <w:rPr>
          <w:lang w:val="en-CA"/>
        </w:rPr>
        <w:t>risk of harm in his or her country</w:t>
      </w:r>
      <w:r w:rsidR="00C540FA">
        <w:rPr>
          <w:lang w:val="en-CA"/>
        </w:rPr>
        <w:t xml:space="preserve"> of origin</w:t>
      </w:r>
      <w:r w:rsidR="00BB41AC" w:rsidRPr="00BB41AC">
        <w:rPr>
          <w:lang w:val="en-CA"/>
        </w:rPr>
        <w:t xml:space="preserve"> may apply for protection prior to removal. An applicant </w:t>
      </w:r>
      <w:r w:rsidR="004D0087">
        <w:rPr>
          <w:lang w:val="en-CA"/>
        </w:rPr>
        <w:t xml:space="preserve">who is eligible for a pre-removal </w:t>
      </w:r>
      <w:r w:rsidR="003D1A03">
        <w:rPr>
          <w:lang w:val="en-CA"/>
        </w:rPr>
        <w:t xml:space="preserve">risk </w:t>
      </w:r>
      <w:r w:rsidR="004D0087">
        <w:rPr>
          <w:lang w:val="en-CA"/>
        </w:rPr>
        <w:t>assessment</w:t>
      </w:r>
      <w:r w:rsidR="00BB41AC" w:rsidRPr="00BB41AC">
        <w:rPr>
          <w:lang w:val="en-CA"/>
        </w:rPr>
        <w:t xml:space="preserve"> will not be removed prior to </w:t>
      </w:r>
      <w:r w:rsidR="004D0087">
        <w:rPr>
          <w:lang w:val="en-CA"/>
        </w:rPr>
        <w:t xml:space="preserve">the conduct of the </w:t>
      </w:r>
      <w:r w:rsidR="00BB41AC" w:rsidRPr="00BB41AC">
        <w:rPr>
          <w:lang w:val="en-CA"/>
        </w:rPr>
        <w:t>risk assessment. As i</w:t>
      </w:r>
      <w:r w:rsidR="004D0087">
        <w:rPr>
          <w:lang w:val="en-CA"/>
        </w:rPr>
        <w:t>n</w:t>
      </w:r>
      <w:r w:rsidR="00BB41AC" w:rsidRPr="00BB41AC">
        <w:rPr>
          <w:lang w:val="en-CA"/>
        </w:rPr>
        <w:t xml:space="preserve"> the case </w:t>
      </w:r>
      <w:r w:rsidR="004D0087">
        <w:rPr>
          <w:lang w:val="en-CA"/>
        </w:rPr>
        <w:t>of</w:t>
      </w:r>
      <w:r w:rsidR="00BB41AC" w:rsidRPr="00BB41AC">
        <w:rPr>
          <w:lang w:val="en-CA"/>
        </w:rPr>
        <w:t xml:space="preserve"> a determination of risk by the R</w:t>
      </w:r>
      <w:r w:rsidR="004D0087">
        <w:rPr>
          <w:lang w:val="en-CA"/>
        </w:rPr>
        <w:t xml:space="preserve">efugee </w:t>
      </w:r>
      <w:r w:rsidR="00BB41AC" w:rsidRPr="00BB41AC">
        <w:rPr>
          <w:lang w:val="en-CA"/>
        </w:rPr>
        <w:t>P</w:t>
      </w:r>
      <w:r w:rsidR="004D0087">
        <w:rPr>
          <w:lang w:val="en-CA"/>
        </w:rPr>
        <w:t xml:space="preserve">rotection </w:t>
      </w:r>
      <w:r w:rsidR="00BB41AC" w:rsidRPr="00BB41AC">
        <w:rPr>
          <w:lang w:val="en-CA"/>
        </w:rPr>
        <w:t>D</w:t>
      </w:r>
      <w:r w:rsidR="004D0087">
        <w:rPr>
          <w:lang w:val="en-CA"/>
        </w:rPr>
        <w:t>ivision</w:t>
      </w:r>
      <w:r w:rsidR="00BB41AC" w:rsidRPr="00BB41AC">
        <w:rPr>
          <w:lang w:val="en-CA"/>
        </w:rPr>
        <w:t xml:space="preserve">, the </w:t>
      </w:r>
      <w:r w:rsidR="004D0087">
        <w:rPr>
          <w:lang w:val="en-CA"/>
        </w:rPr>
        <w:t xml:space="preserve">pre-removal </w:t>
      </w:r>
      <w:r w:rsidR="003D1A03">
        <w:rPr>
          <w:lang w:val="en-CA"/>
        </w:rPr>
        <w:t xml:space="preserve">risk </w:t>
      </w:r>
      <w:r w:rsidR="004D0087">
        <w:rPr>
          <w:lang w:val="en-CA"/>
        </w:rPr>
        <w:t xml:space="preserve">assessment </w:t>
      </w:r>
      <w:r w:rsidR="00BB41AC" w:rsidRPr="00BB41AC">
        <w:rPr>
          <w:lang w:val="en-CA"/>
        </w:rPr>
        <w:t xml:space="preserve">mechanism is founded on </w:t>
      </w:r>
      <w:r>
        <w:rPr>
          <w:lang w:val="en-CA"/>
        </w:rPr>
        <w:t>the State party’s</w:t>
      </w:r>
      <w:r w:rsidR="00BB41AC" w:rsidRPr="00BB41AC">
        <w:rPr>
          <w:lang w:val="en-CA"/>
        </w:rPr>
        <w:t xml:space="preserve"> domestic and international commitments </w:t>
      </w:r>
      <w:r w:rsidR="004D0087">
        <w:rPr>
          <w:lang w:val="en-CA"/>
        </w:rPr>
        <w:t>regarding</w:t>
      </w:r>
      <w:r w:rsidR="00BB41AC" w:rsidRPr="00BB41AC">
        <w:rPr>
          <w:lang w:val="en-CA"/>
        </w:rPr>
        <w:t xml:space="preserve"> the principle of </w:t>
      </w:r>
      <w:r w:rsidR="00BB41AC" w:rsidRPr="00304A52">
        <w:rPr>
          <w:iCs/>
          <w:lang w:val="en-CA"/>
        </w:rPr>
        <w:t>non-refoulement</w:t>
      </w:r>
      <w:r w:rsidR="00BB41AC" w:rsidRPr="00BB41AC">
        <w:rPr>
          <w:lang w:val="en-CA"/>
        </w:rPr>
        <w:t xml:space="preserve">, in accordance with which a person should not be removed to a country where </w:t>
      </w:r>
      <w:r w:rsidR="004D0087">
        <w:rPr>
          <w:lang w:val="en-CA"/>
        </w:rPr>
        <w:t>he or she</w:t>
      </w:r>
      <w:r w:rsidR="00BB41AC" w:rsidRPr="00BB41AC">
        <w:rPr>
          <w:lang w:val="en-CA"/>
        </w:rPr>
        <w:t xml:space="preserve"> would be at risk of persecution, torture, risk to life or risk of cruel and unusual treatment or punishment.</w:t>
      </w:r>
      <w:r>
        <w:rPr>
          <w:vertAlign w:val="superscript"/>
          <w:lang w:val="en-CA"/>
        </w:rPr>
        <w:t xml:space="preserve"> </w:t>
      </w:r>
      <w:r w:rsidR="00BB41AC" w:rsidRPr="00BB41AC">
        <w:rPr>
          <w:lang w:val="en-CA"/>
        </w:rPr>
        <w:t xml:space="preserve">For persons who have already </w:t>
      </w:r>
      <w:r w:rsidR="004D0087">
        <w:rPr>
          <w:lang w:val="en-CA"/>
        </w:rPr>
        <w:t>received</w:t>
      </w:r>
      <w:r w:rsidR="00BB41AC" w:rsidRPr="00BB41AC">
        <w:rPr>
          <w:lang w:val="en-CA"/>
        </w:rPr>
        <w:t xml:space="preserve"> a decision</w:t>
      </w:r>
      <w:r w:rsidR="004D0087">
        <w:rPr>
          <w:lang w:val="en-CA"/>
        </w:rPr>
        <w:t xml:space="preserve"> by the Division</w:t>
      </w:r>
      <w:r w:rsidR="00BB41AC" w:rsidRPr="00BB41AC">
        <w:rPr>
          <w:lang w:val="en-CA"/>
        </w:rPr>
        <w:t xml:space="preserve">, a </w:t>
      </w:r>
      <w:r w:rsidR="004D0087">
        <w:rPr>
          <w:lang w:val="en-CA"/>
        </w:rPr>
        <w:t xml:space="preserve">pre-removal </w:t>
      </w:r>
      <w:r w:rsidR="003D1A03">
        <w:rPr>
          <w:lang w:val="en-CA"/>
        </w:rPr>
        <w:t xml:space="preserve">risk </w:t>
      </w:r>
      <w:r w:rsidR="004D0087">
        <w:rPr>
          <w:lang w:val="en-CA"/>
        </w:rPr>
        <w:t>assessment</w:t>
      </w:r>
      <w:r w:rsidR="00BB41AC" w:rsidRPr="00BB41AC">
        <w:rPr>
          <w:lang w:val="en-CA"/>
        </w:rPr>
        <w:t xml:space="preserve"> is largely based on new facts or evidence demonstrating that the person is now at risk of persecution, torture, risk to life or risk of cruel or unusual treatment or punishment. Its purpose is to assess whether there have been any new developments since the </w:t>
      </w:r>
      <w:r w:rsidR="004D0087">
        <w:rPr>
          <w:lang w:val="en-CA"/>
        </w:rPr>
        <w:t xml:space="preserve">Division’s </w:t>
      </w:r>
      <w:r w:rsidR="00BB41AC" w:rsidRPr="00BB41AC">
        <w:rPr>
          <w:lang w:val="en-CA"/>
        </w:rPr>
        <w:t>determination that could affect or change the risk assessment. For this reason, section 113</w:t>
      </w:r>
      <w:r w:rsidR="004D0087">
        <w:rPr>
          <w:lang w:val="en-CA"/>
        </w:rPr>
        <w:t xml:space="preserve"> </w:t>
      </w:r>
      <w:r w:rsidR="00BB41AC" w:rsidRPr="00BB41AC">
        <w:rPr>
          <w:lang w:val="en-CA"/>
        </w:rPr>
        <w:t xml:space="preserve">(a) of </w:t>
      </w:r>
      <w:r w:rsidR="004D0087">
        <w:rPr>
          <w:lang w:val="en-CA"/>
        </w:rPr>
        <w:t xml:space="preserve">the </w:t>
      </w:r>
      <w:r w:rsidR="00BB41AC" w:rsidRPr="00BB41AC">
        <w:rPr>
          <w:lang w:val="en-CA"/>
        </w:rPr>
        <w:t>I</w:t>
      </w:r>
      <w:r w:rsidR="004D0087">
        <w:rPr>
          <w:lang w:val="en-CA"/>
        </w:rPr>
        <w:t xml:space="preserve">mmigration and </w:t>
      </w:r>
      <w:r w:rsidR="00BB41AC" w:rsidRPr="00BB41AC">
        <w:rPr>
          <w:lang w:val="en-CA"/>
        </w:rPr>
        <w:t>R</w:t>
      </w:r>
      <w:r w:rsidR="004D0087">
        <w:rPr>
          <w:lang w:val="en-CA"/>
        </w:rPr>
        <w:t xml:space="preserve">efugee </w:t>
      </w:r>
      <w:r w:rsidR="00BB41AC" w:rsidRPr="00BB41AC">
        <w:rPr>
          <w:lang w:val="en-CA"/>
        </w:rPr>
        <w:t>P</w:t>
      </w:r>
      <w:r w:rsidR="004D0087">
        <w:rPr>
          <w:lang w:val="en-CA"/>
        </w:rPr>
        <w:t xml:space="preserve">rotection </w:t>
      </w:r>
      <w:r w:rsidR="00BB41AC" w:rsidRPr="00BB41AC">
        <w:rPr>
          <w:lang w:val="en-CA"/>
        </w:rPr>
        <w:t>A</w:t>
      </w:r>
      <w:r w:rsidR="004D0087">
        <w:rPr>
          <w:lang w:val="en-CA"/>
        </w:rPr>
        <w:t>ct</w:t>
      </w:r>
      <w:r w:rsidR="00BB41AC" w:rsidRPr="00BB41AC">
        <w:rPr>
          <w:lang w:val="en-CA"/>
        </w:rPr>
        <w:t xml:space="preserve"> establishes that evidence submitted for the purpose of a </w:t>
      </w:r>
      <w:r w:rsidR="004D0087">
        <w:rPr>
          <w:lang w:val="en-CA"/>
        </w:rPr>
        <w:t xml:space="preserve">pre-removal </w:t>
      </w:r>
      <w:r w:rsidR="003D1A03">
        <w:rPr>
          <w:lang w:val="en-CA"/>
        </w:rPr>
        <w:t>risk</w:t>
      </w:r>
      <w:r w:rsidR="004D0087">
        <w:rPr>
          <w:lang w:val="en-CA"/>
        </w:rPr>
        <w:t xml:space="preserve"> assessment</w:t>
      </w:r>
      <w:r w:rsidR="00BB41AC" w:rsidRPr="00BB41AC">
        <w:rPr>
          <w:lang w:val="en-CA"/>
        </w:rPr>
        <w:t xml:space="preserve"> must be “new evidence that arose after the rejection [by the </w:t>
      </w:r>
      <w:r w:rsidR="003D1A03">
        <w:rPr>
          <w:lang w:val="en-CA"/>
        </w:rPr>
        <w:t>Division</w:t>
      </w:r>
      <w:r w:rsidR="00BB41AC" w:rsidRPr="00BB41AC">
        <w:rPr>
          <w:lang w:val="en-CA"/>
        </w:rPr>
        <w:t xml:space="preserve">] or was not reasonably available, or that the applicant could not reasonably have been expected in the circumstances to have </w:t>
      </w:r>
      <w:r w:rsidR="00BB41AC" w:rsidRPr="0045180F">
        <w:rPr>
          <w:lang w:val="en-CA"/>
        </w:rPr>
        <w:t>presented, at the time of the rejection”</w:t>
      </w:r>
      <w:r w:rsidR="006B0EB2">
        <w:rPr>
          <w:lang w:val="en-CA"/>
        </w:rPr>
        <w:t>.</w:t>
      </w:r>
    </w:p>
    <w:p w:rsidR="00BB41AC" w:rsidRPr="00304A52" w:rsidRDefault="009A03FF" w:rsidP="003D1A03">
      <w:pPr>
        <w:pStyle w:val="SingleTxtG"/>
        <w:rPr>
          <w:lang w:val="en-CA"/>
        </w:rPr>
      </w:pPr>
      <w:r>
        <w:rPr>
          <w:lang w:val="en-CA"/>
        </w:rPr>
        <w:t>4.1</w:t>
      </w:r>
      <w:r w:rsidR="00DE07EC">
        <w:rPr>
          <w:lang w:val="en-CA"/>
        </w:rPr>
        <w:t>8</w:t>
      </w:r>
      <w:r w:rsidR="00820EFD" w:rsidRPr="0045180F">
        <w:rPr>
          <w:lang w:val="en-CA"/>
        </w:rPr>
        <w:tab/>
      </w:r>
      <w:r w:rsidR="003D1A03">
        <w:rPr>
          <w:lang w:val="en-CA"/>
        </w:rPr>
        <w:t>A</w:t>
      </w:r>
      <w:r w:rsidR="00BB41AC" w:rsidRPr="0045180F">
        <w:rPr>
          <w:lang w:val="en-CA"/>
        </w:rPr>
        <w:t>pplications</w:t>
      </w:r>
      <w:r w:rsidR="003D1A03">
        <w:rPr>
          <w:lang w:val="en-CA"/>
        </w:rPr>
        <w:t xml:space="preserve"> for pre-removal risk assessment</w:t>
      </w:r>
      <w:r w:rsidR="00BB41AC" w:rsidRPr="0045180F">
        <w:rPr>
          <w:lang w:val="en-CA"/>
        </w:rPr>
        <w:t xml:space="preserve"> are considered</w:t>
      </w:r>
      <w:r w:rsidR="00BB41AC" w:rsidRPr="00BB41AC">
        <w:rPr>
          <w:lang w:val="en-CA"/>
        </w:rPr>
        <w:t xml:space="preserve"> by </w:t>
      </w:r>
      <w:r w:rsidR="003D1A03">
        <w:rPr>
          <w:lang w:val="en-CA"/>
        </w:rPr>
        <w:t>o</w:t>
      </w:r>
      <w:r w:rsidR="00BB41AC" w:rsidRPr="00BB41AC">
        <w:rPr>
          <w:lang w:val="en-CA"/>
        </w:rPr>
        <w:t>fficers</w:t>
      </w:r>
      <w:r w:rsidR="003D1A03">
        <w:rPr>
          <w:lang w:val="en-CA"/>
        </w:rPr>
        <w:t xml:space="preserve"> who</w:t>
      </w:r>
      <w:r w:rsidR="00BB41AC" w:rsidRPr="00BB41AC">
        <w:rPr>
          <w:lang w:val="en-CA"/>
        </w:rPr>
        <w:t xml:space="preserve"> are specifically trained to assess risk</w:t>
      </w:r>
      <w:r w:rsidR="003D1A03">
        <w:rPr>
          <w:lang w:val="en-CA"/>
        </w:rPr>
        <w:t xml:space="preserve"> and </w:t>
      </w:r>
      <w:r w:rsidR="00BB41AC" w:rsidRPr="00BB41AC">
        <w:rPr>
          <w:lang w:val="en-CA"/>
        </w:rPr>
        <w:t xml:space="preserve">to </w:t>
      </w:r>
      <w:r w:rsidR="003D1A03">
        <w:rPr>
          <w:lang w:val="en-CA"/>
        </w:rPr>
        <w:t xml:space="preserve">take into </w:t>
      </w:r>
      <w:r w:rsidR="00BB41AC" w:rsidRPr="00BB41AC">
        <w:rPr>
          <w:lang w:val="en-CA"/>
        </w:rPr>
        <w:t>consider</w:t>
      </w:r>
      <w:r w:rsidR="003D1A03">
        <w:rPr>
          <w:lang w:val="en-CA"/>
        </w:rPr>
        <w:t>ation</w:t>
      </w:r>
      <w:r w:rsidR="00BB41AC" w:rsidRPr="00BB41AC">
        <w:rPr>
          <w:lang w:val="en-CA"/>
        </w:rPr>
        <w:t xml:space="preserve"> the </w:t>
      </w:r>
      <w:r w:rsidR="00BB41AC" w:rsidRPr="00304A52">
        <w:rPr>
          <w:iCs/>
          <w:lang w:val="en-CA"/>
        </w:rPr>
        <w:t>Canadian Charter of Rights and Freedoms</w:t>
      </w:r>
      <w:r w:rsidR="00BB41AC" w:rsidRPr="00BB41AC">
        <w:rPr>
          <w:lang w:val="en-CA"/>
        </w:rPr>
        <w:t xml:space="preserve"> and international human rights obligations relating to refugee and other protection. </w:t>
      </w:r>
      <w:r w:rsidR="003D1A03">
        <w:rPr>
          <w:lang w:val="en-CA"/>
        </w:rPr>
        <w:t>T</w:t>
      </w:r>
      <w:r w:rsidR="00BB41AC" w:rsidRPr="00BB41AC">
        <w:rPr>
          <w:lang w:val="en-CA"/>
        </w:rPr>
        <w:t xml:space="preserve">he </w:t>
      </w:r>
      <w:r w:rsidR="003D1A03">
        <w:rPr>
          <w:lang w:val="en-CA"/>
        </w:rPr>
        <w:t>o</w:t>
      </w:r>
      <w:r w:rsidR="00BB41AC" w:rsidRPr="00BB41AC">
        <w:rPr>
          <w:lang w:val="en-CA"/>
        </w:rPr>
        <w:t>fficers</w:t>
      </w:r>
      <w:r w:rsidR="003D1A03">
        <w:rPr>
          <w:lang w:val="en-CA"/>
        </w:rPr>
        <w:t xml:space="preserve"> would have also</w:t>
      </w:r>
      <w:r w:rsidR="00BB41AC" w:rsidRPr="00BB41AC">
        <w:rPr>
          <w:lang w:val="en-CA"/>
        </w:rPr>
        <w:t xml:space="preserve"> receive</w:t>
      </w:r>
      <w:r w:rsidR="003D1A03">
        <w:rPr>
          <w:lang w:val="en-CA"/>
        </w:rPr>
        <w:t>d</w:t>
      </w:r>
      <w:r w:rsidR="00BB41AC" w:rsidRPr="00BB41AC">
        <w:rPr>
          <w:lang w:val="en-CA"/>
        </w:rPr>
        <w:t xml:space="preserve"> training on administrative law and jurisprudence. They keep up</w:t>
      </w:r>
      <w:r w:rsidR="003D1A03">
        <w:rPr>
          <w:lang w:val="en-CA"/>
        </w:rPr>
        <w:t xml:space="preserve"> </w:t>
      </w:r>
      <w:r w:rsidR="00BB41AC" w:rsidRPr="00BB41AC">
        <w:rPr>
          <w:lang w:val="en-CA"/>
        </w:rPr>
        <w:t>to</w:t>
      </w:r>
      <w:r w:rsidR="003D1A03">
        <w:rPr>
          <w:lang w:val="en-CA"/>
        </w:rPr>
        <w:t xml:space="preserve"> </w:t>
      </w:r>
      <w:r w:rsidR="00BB41AC" w:rsidRPr="00BB41AC">
        <w:rPr>
          <w:lang w:val="en-CA"/>
        </w:rPr>
        <w:t xml:space="preserve">date with new developments in these areas and have access to the most recent and </w:t>
      </w:r>
      <w:r w:rsidR="00820EFD">
        <w:rPr>
          <w:lang w:val="en-CA"/>
        </w:rPr>
        <w:t>author</w:t>
      </w:r>
      <w:r w:rsidR="00BB41AC" w:rsidRPr="00BB41AC">
        <w:rPr>
          <w:lang w:val="en-CA"/>
        </w:rPr>
        <w:t xml:space="preserve">itative information on human rights developments around the world. </w:t>
      </w:r>
    </w:p>
    <w:p w:rsidR="00BB41AC" w:rsidRPr="00BB41AC" w:rsidRDefault="009A03FF">
      <w:pPr>
        <w:pStyle w:val="SingleTxtG"/>
        <w:rPr>
          <w:lang w:val="en-CA"/>
        </w:rPr>
      </w:pPr>
      <w:r>
        <w:rPr>
          <w:lang w:val="en-CA"/>
        </w:rPr>
        <w:t>4.</w:t>
      </w:r>
      <w:r w:rsidR="00DE07EC">
        <w:rPr>
          <w:lang w:val="en-CA"/>
        </w:rPr>
        <w:t>19</w:t>
      </w:r>
      <w:r w:rsidR="0045180F">
        <w:rPr>
          <w:lang w:val="en-CA"/>
        </w:rPr>
        <w:tab/>
      </w:r>
      <w:r w:rsidR="003D1A03">
        <w:rPr>
          <w:lang w:val="en-CA"/>
        </w:rPr>
        <w:t>In</w:t>
      </w:r>
      <w:r w:rsidR="00BB41AC" w:rsidRPr="00BB41AC">
        <w:rPr>
          <w:lang w:val="en-CA"/>
        </w:rPr>
        <w:t xml:space="preserve"> her </w:t>
      </w:r>
      <w:r w:rsidR="003D1A03">
        <w:rPr>
          <w:lang w:val="en-CA"/>
        </w:rPr>
        <w:t xml:space="preserve">pre-removal risk assessment </w:t>
      </w:r>
      <w:r w:rsidR="00BB41AC" w:rsidRPr="00BB41AC">
        <w:rPr>
          <w:lang w:val="en-CA"/>
        </w:rPr>
        <w:t xml:space="preserve">application, the </w:t>
      </w:r>
      <w:r w:rsidR="00043463">
        <w:rPr>
          <w:lang w:val="en-CA"/>
        </w:rPr>
        <w:t>complainant</w:t>
      </w:r>
      <w:r w:rsidR="00BB41AC" w:rsidRPr="00BB41AC">
        <w:rPr>
          <w:lang w:val="en-CA"/>
        </w:rPr>
        <w:t xml:space="preserve"> submitted the same </w:t>
      </w:r>
      <w:r w:rsidR="0045180F">
        <w:rPr>
          <w:lang w:val="en-CA"/>
        </w:rPr>
        <w:t>claims</w:t>
      </w:r>
      <w:r w:rsidR="00BB41AC" w:rsidRPr="00BB41AC">
        <w:rPr>
          <w:lang w:val="en-CA"/>
        </w:rPr>
        <w:t xml:space="preserve"> </w:t>
      </w:r>
      <w:r w:rsidR="003D1A03">
        <w:rPr>
          <w:lang w:val="en-CA"/>
        </w:rPr>
        <w:t xml:space="preserve">that she had </w:t>
      </w:r>
      <w:r w:rsidR="00BB41AC" w:rsidRPr="00BB41AC">
        <w:rPr>
          <w:lang w:val="en-CA"/>
        </w:rPr>
        <w:t>submitted in support of her initial protection</w:t>
      </w:r>
      <w:r w:rsidR="00842C5C">
        <w:rPr>
          <w:lang w:val="en-CA"/>
        </w:rPr>
        <w:t xml:space="preserve"> claim</w:t>
      </w:r>
      <w:r w:rsidR="00BB41AC" w:rsidRPr="00BB41AC">
        <w:rPr>
          <w:lang w:val="en-CA"/>
        </w:rPr>
        <w:t>. The only new evidence submitted were legal documents from Pakistan relating to her divorce from</w:t>
      </w:r>
      <w:r w:rsidR="0045180F">
        <w:rPr>
          <w:lang w:val="en-CA"/>
        </w:rPr>
        <w:t xml:space="preserve"> B.A.</w:t>
      </w:r>
      <w:r w:rsidR="00BB41AC" w:rsidRPr="00BB41AC">
        <w:rPr>
          <w:lang w:val="en-CA"/>
        </w:rPr>
        <w:t>, including the certificate of divorce effective 2 February 2010.</w:t>
      </w:r>
      <w:r w:rsidR="0045180F">
        <w:rPr>
          <w:lang w:val="en-CA"/>
        </w:rPr>
        <w:t xml:space="preserve"> </w:t>
      </w:r>
      <w:r w:rsidR="00BB41AC" w:rsidRPr="00BB41AC">
        <w:rPr>
          <w:lang w:val="en-CA"/>
        </w:rPr>
        <w:t xml:space="preserve">On 26 May 2011 the </w:t>
      </w:r>
      <w:r w:rsidR="00043463">
        <w:rPr>
          <w:lang w:val="en-CA"/>
        </w:rPr>
        <w:t>complainant</w:t>
      </w:r>
      <w:r w:rsidR="00BB41AC" w:rsidRPr="00BB41AC">
        <w:rPr>
          <w:lang w:val="en-CA"/>
        </w:rPr>
        <w:t xml:space="preserve">’s </w:t>
      </w:r>
      <w:r w:rsidR="00842C5C">
        <w:rPr>
          <w:lang w:val="en-CA"/>
        </w:rPr>
        <w:t>pre-removal risk assessment</w:t>
      </w:r>
      <w:r w:rsidR="00BB41AC" w:rsidRPr="00BB41AC">
        <w:rPr>
          <w:lang w:val="en-CA"/>
        </w:rPr>
        <w:t xml:space="preserve"> application was rejected. The </w:t>
      </w:r>
      <w:r w:rsidR="00842C5C">
        <w:rPr>
          <w:lang w:val="en-CA"/>
        </w:rPr>
        <w:t>o</w:t>
      </w:r>
      <w:r w:rsidR="00BB41AC" w:rsidRPr="00BB41AC">
        <w:rPr>
          <w:lang w:val="en-CA"/>
        </w:rPr>
        <w:t xml:space="preserve">fficer </w:t>
      </w:r>
      <w:r w:rsidR="00842C5C">
        <w:rPr>
          <w:lang w:val="en-CA"/>
        </w:rPr>
        <w:t xml:space="preserve">had </w:t>
      </w:r>
      <w:r w:rsidR="0045180F">
        <w:rPr>
          <w:lang w:val="en-CA"/>
        </w:rPr>
        <w:t xml:space="preserve">reassessed the three risks identified by the </w:t>
      </w:r>
      <w:r w:rsidR="00BB41AC" w:rsidRPr="00BB41AC">
        <w:rPr>
          <w:lang w:val="en-CA"/>
        </w:rPr>
        <w:t>R</w:t>
      </w:r>
      <w:r w:rsidR="00842C5C">
        <w:rPr>
          <w:lang w:val="en-CA"/>
        </w:rPr>
        <w:t xml:space="preserve">efugee </w:t>
      </w:r>
      <w:r w:rsidR="00BB41AC" w:rsidRPr="00BB41AC">
        <w:rPr>
          <w:lang w:val="en-CA"/>
        </w:rPr>
        <w:t>P</w:t>
      </w:r>
      <w:r w:rsidR="00842C5C">
        <w:rPr>
          <w:lang w:val="en-CA"/>
        </w:rPr>
        <w:t xml:space="preserve">rotection </w:t>
      </w:r>
      <w:r w:rsidR="00BB41AC" w:rsidRPr="00BB41AC">
        <w:rPr>
          <w:lang w:val="en-CA"/>
        </w:rPr>
        <w:t>D</w:t>
      </w:r>
      <w:r w:rsidR="00842C5C">
        <w:rPr>
          <w:lang w:val="en-CA"/>
        </w:rPr>
        <w:t>ivision</w:t>
      </w:r>
      <w:r w:rsidR="0045180F">
        <w:rPr>
          <w:lang w:val="en-CA"/>
        </w:rPr>
        <w:t xml:space="preserve"> (see para</w:t>
      </w:r>
      <w:r w:rsidR="00842C5C">
        <w:rPr>
          <w:lang w:val="en-CA"/>
        </w:rPr>
        <w:t>.</w:t>
      </w:r>
      <w:r w:rsidR="0045180F">
        <w:rPr>
          <w:lang w:val="en-CA"/>
        </w:rPr>
        <w:t xml:space="preserve"> 4.1</w:t>
      </w:r>
      <w:r w:rsidR="00842C5C">
        <w:rPr>
          <w:lang w:val="en-CA"/>
        </w:rPr>
        <w:t>2 above</w:t>
      </w:r>
      <w:r w:rsidR="00BB41AC" w:rsidRPr="00BB41AC">
        <w:rPr>
          <w:lang w:val="en-CA"/>
        </w:rPr>
        <w:t xml:space="preserve">) in </w:t>
      </w:r>
      <w:r w:rsidR="00842C5C">
        <w:rPr>
          <w:lang w:val="en-CA"/>
        </w:rPr>
        <w:t xml:space="preserve">the </w:t>
      </w:r>
      <w:r w:rsidR="00BB41AC" w:rsidRPr="00BB41AC">
        <w:rPr>
          <w:lang w:val="en-CA"/>
        </w:rPr>
        <w:t xml:space="preserve">light of the new evidence submitted by the </w:t>
      </w:r>
      <w:r w:rsidR="00043463">
        <w:rPr>
          <w:lang w:val="en-CA"/>
        </w:rPr>
        <w:t>complainant</w:t>
      </w:r>
      <w:r w:rsidR="00BB41AC" w:rsidRPr="00BB41AC">
        <w:rPr>
          <w:lang w:val="en-CA"/>
        </w:rPr>
        <w:t xml:space="preserve"> and evidence relating to general country conditions in Pakistan. </w:t>
      </w:r>
      <w:r w:rsidR="0045180F">
        <w:rPr>
          <w:lang w:val="en-CA"/>
        </w:rPr>
        <w:t xml:space="preserve">He </w:t>
      </w:r>
      <w:r w:rsidR="00BB41AC" w:rsidRPr="00BB41AC">
        <w:rPr>
          <w:lang w:val="en-CA"/>
        </w:rPr>
        <w:t xml:space="preserve">concluded that the </w:t>
      </w:r>
      <w:r w:rsidR="00043463">
        <w:rPr>
          <w:lang w:val="en-CA"/>
        </w:rPr>
        <w:t>complainant</w:t>
      </w:r>
      <w:r w:rsidR="00BB41AC" w:rsidRPr="00BB41AC">
        <w:rPr>
          <w:lang w:val="en-CA"/>
        </w:rPr>
        <w:t xml:space="preserve"> had clearly not submitted </w:t>
      </w:r>
      <w:r w:rsidR="00842C5C">
        <w:rPr>
          <w:lang w:val="en-CA"/>
        </w:rPr>
        <w:t>adequate</w:t>
      </w:r>
      <w:r w:rsidR="00BB41AC" w:rsidRPr="00BB41AC">
        <w:rPr>
          <w:lang w:val="en-CA"/>
        </w:rPr>
        <w:t xml:space="preserve"> new evidence, as defined in section 113</w:t>
      </w:r>
      <w:r w:rsidR="00842C5C">
        <w:rPr>
          <w:lang w:val="en-CA"/>
        </w:rPr>
        <w:t xml:space="preserve"> </w:t>
      </w:r>
      <w:r w:rsidR="00BB41AC" w:rsidRPr="00BB41AC">
        <w:rPr>
          <w:lang w:val="en-CA"/>
        </w:rPr>
        <w:t xml:space="preserve">(a) of </w:t>
      </w:r>
      <w:r w:rsidR="00842C5C">
        <w:rPr>
          <w:lang w:val="en-CA"/>
        </w:rPr>
        <w:t xml:space="preserve">the </w:t>
      </w:r>
      <w:r w:rsidR="00BB41AC" w:rsidRPr="00BB41AC">
        <w:rPr>
          <w:lang w:val="en-CA"/>
        </w:rPr>
        <w:t>I</w:t>
      </w:r>
      <w:r w:rsidR="00842C5C">
        <w:rPr>
          <w:lang w:val="en-CA"/>
        </w:rPr>
        <w:t xml:space="preserve">mmigration and </w:t>
      </w:r>
      <w:r w:rsidR="00BB41AC" w:rsidRPr="00BB41AC">
        <w:rPr>
          <w:lang w:val="en-CA"/>
        </w:rPr>
        <w:t>R</w:t>
      </w:r>
      <w:r w:rsidR="00842C5C">
        <w:rPr>
          <w:lang w:val="en-CA"/>
        </w:rPr>
        <w:t xml:space="preserve">efugee </w:t>
      </w:r>
      <w:r w:rsidR="00BB41AC" w:rsidRPr="00BB41AC">
        <w:rPr>
          <w:lang w:val="en-CA"/>
        </w:rPr>
        <w:t>P</w:t>
      </w:r>
      <w:r w:rsidR="00842C5C">
        <w:rPr>
          <w:lang w:val="en-CA"/>
        </w:rPr>
        <w:t xml:space="preserve">rotection </w:t>
      </w:r>
      <w:r w:rsidR="00BB41AC" w:rsidRPr="00BB41AC">
        <w:rPr>
          <w:lang w:val="en-CA"/>
        </w:rPr>
        <w:t>A</w:t>
      </w:r>
      <w:r w:rsidR="00842C5C">
        <w:rPr>
          <w:lang w:val="en-CA"/>
        </w:rPr>
        <w:t>ct</w:t>
      </w:r>
      <w:r w:rsidR="00BB41AC" w:rsidRPr="00BB41AC">
        <w:rPr>
          <w:lang w:val="en-CA"/>
        </w:rPr>
        <w:t xml:space="preserve">, </w:t>
      </w:r>
      <w:r w:rsidR="0045180F">
        <w:rPr>
          <w:lang w:val="en-CA"/>
        </w:rPr>
        <w:t xml:space="preserve">that she </w:t>
      </w:r>
      <w:r w:rsidR="00BB41AC" w:rsidRPr="00BB41AC">
        <w:rPr>
          <w:lang w:val="en-CA"/>
        </w:rPr>
        <w:t xml:space="preserve">would be likely to face a risk of torture, risk to </w:t>
      </w:r>
      <w:r w:rsidR="00842C5C">
        <w:rPr>
          <w:lang w:val="en-CA"/>
        </w:rPr>
        <w:t xml:space="preserve">her </w:t>
      </w:r>
      <w:r w:rsidR="00BB41AC" w:rsidRPr="00BB41AC">
        <w:rPr>
          <w:lang w:val="en-CA"/>
        </w:rPr>
        <w:t>life or risk of cruel and unusual treat</w:t>
      </w:r>
      <w:r w:rsidR="0045180F">
        <w:rPr>
          <w:lang w:val="en-CA"/>
        </w:rPr>
        <w:t>ment or punishment in Pakistan.</w:t>
      </w:r>
      <w:r w:rsidR="00BB41AC" w:rsidRPr="00BB41AC">
        <w:rPr>
          <w:lang w:val="en-CA"/>
        </w:rPr>
        <w:t xml:space="preserve"> The </w:t>
      </w:r>
      <w:r w:rsidR="00842C5C">
        <w:rPr>
          <w:lang w:val="en-CA"/>
        </w:rPr>
        <w:t>o</w:t>
      </w:r>
      <w:r w:rsidR="00BB41AC" w:rsidRPr="00BB41AC">
        <w:rPr>
          <w:lang w:val="en-CA"/>
        </w:rPr>
        <w:t xml:space="preserve">fficer </w:t>
      </w:r>
      <w:r w:rsidR="0045180F">
        <w:rPr>
          <w:lang w:val="en-CA"/>
        </w:rPr>
        <w:t xml:space="preserve">also </w:t>
      </w:r>
      <w:r w:rsidR="00BB41AC" w:rsidRPr="00BB41AC">
        <w:rPr>
          <w:lang w:val="en-CA"/>
        </w:rPr>
        <w:t xml:space="preserve">concluded that </w:t>
      </w:r>
      <w:r w:rsidR="0045180F">
        <w:rPr>
          <w:lang w:val="en-CA"/>
        </w:rPr>
        <w:t>the</w:t>
      </w:r>
      <w:r w:rsidR="00BB41AC" w:rsidRPr="00BB41AC">
        <w:rPr>
          <w:lang w:val="en-CA"/>
        </w:rPr>
        <w:t xml:space="preserve"> documentary evidence support</w:t>
      </w:r>
      <w:r w:rsidR="00842C5C">
        <w:rPr>
          <w:lang w:val="en-CA"/>
        </w:rPr>
        <w:t>ed the</w:t>
      </w:r>
      <w:r w:rsidR="00BB41AC" w:rsidRPr="00BB41AC">
        <w:rPr>
          <w:lang w:val="en-CA"/>
        </w:rPr>
        <w:t xml:space="preserve"> finding that, despite its acknowledged human rights problems, country conditions in Pakistan</w:t>
      </w:r>
      <w:r w:rsidR="00842C5C">
        <w:rPr>
          <w:lang w:val="en-CA"/>
        </w:rPr>
        <w:t xml:space="preserve"> we</w:t>
      </w:r>
      <w:r w:rsidR="00BB41AC" w:rsidRPr="00BB41AC">
        <w:rPr>
          <w:lang w:val="en-CA"/>
        </w:rPr>
        <w:t>re relatively stable and show</w:t>
      </w:r>
      <w:r w:rsidR="00842C5C">
        <w:rPr>
          <w:lang w:val="en-CA"/>
        </w:rPr>
        <w:t>ed</w:t>
      </w:r>
      <w:r w:rsidR="00BB41AC" w:rsidRPr="00BB41AC">
        <w:rPr>
          <w:lang w:val="en-CA"/>
        </w:rPr>
        <w:t xml:space="preserve"> minor improvement on some fronts. </w:t>
      </w:r>
      <w:r w:rsidR="0045180F">
        <w:rPr>
          <w:lang w:val="en-CA"/>
        </w:rPr>
        <w:t xml:space="preserve">The </w:t>
      </w:r>
      <w:r w:rsidR="00842C5C">
        <w:rPr>
          <w:lang w:val="en-CA"/>
        </w:rPr>
        <w:t>pre-removal risk assessmen</w:t>
      </w:r>
      <w:r w:rsidR="002F00F9">
        <w:rPr>
          <w:lang w:val="en-CA"/>
        </w:rPr>
        <w:t>t</w:t>
      </w:r>
      <w:r w:rsidR="00BB41AC" w:rsidRPr="00BB41AC">
        <w:rPr>
          <w:lang w:val="en-CA"/>
        </w:rPr>
        <w:t xml:space="preserve"> decision was delivered to the </w:t>
      </w:r>
      <w:r w:rsidR="00043463">
        <w:rPr>
          <w:lang w:val="en-CA"/>
        </w:rPr>
        <w:t>complainant</w:t>
      </w:r>
      <w:r w:rsidR="00BB41AC" w:rsidRPr="00BB41AC">
        <w:rPr>
          <w:lang w:val="en-CA"/>
        </w:rPr>
        <w:t xml:space="preserve"> on 21 June 2011.</w:t>
      </w:r>
    </w:p>
    <w:p w:rsidR="000101BF" w:rsidRDefault="009A03FF">
      <w:pPr>
        <w:pStyle w:val="SingleTxtG"/>
        <w:rPr>
          <w:lang w:val="en-CA"/>
        </w:rPr>
      </w:pPr>
      <w:r>
        <w:rPr>
          <w:lang w:val="en-CA"/>
        </w:rPr>
        <w:t>4.2</w:t>
      </w:r>
      <w:r w:rsidR="00DE07EC">
        <w:rPr>
          <w:lang w:val="en-CA"/>
        </w:rPr>
        <w:t>0</w:t>
      </w:r>
      <w:r w:rsidR="0045180F">
        <w:rPr>
          <w:lang w:val="en-CA"/>
        </w:rPr>
        <w:tab/>
      </w:r>
      <w:r w:rsidR="00842C5C">
        <w:rPr>
          <w:lang w:val="en-CA"/>
        </w:rPr>
        <w:t>W</w:t>
      </w:r>
      <w:r w:rsidR="00842C5C" w:rsidRPr="00BB41AC">
        <w:rPr>
          <w:lang w:val="en-CA"/>
        </w:rPr>
        <w:t>ith the assistance of legal counsel</w:t>
      </w:r>
      <w:r w:rsidR="00842C5C">
        <w:rPr>
          <w:lang w:val="en-CA"/>
        </w:rPr>
        <w:t>, t</w:t>
      </w:r>
      <w:r w:rsidR="00BB41AC" w:rsidRPr="00BB41AC">
        <w:rPr>
          <w:lang w:val="en-CA"/>
        </w:rPr>
        <w:t xml:space="preserve">he </w:t>
      </w:r>
      <w:r w:rsidR="00043463">
        <w:rPr>
          <w:lang w:val="en-CA"/>
        </w:rPr>
        <w:t>complainant</w:t>
      </w:r>
      <w:r w:rsidR="00BB41AC" w:rsidRPr="00BB41AC">
        <w:rPr>
          <w:lang w:val="en-CA"/>
        </w:rPr>
        <w:t xml:space="preserve"> applied to the Federal Court for leave to commence judicial review of the negative </w:t>
      </w:r>
      <w:r w:rsidR="00842C5C">
        <w:rPr>
          <w:lang w:val="en-CA"/>
        </w:rPr>
        <w:t>pre-removal risk assessment</w:t>
      </w:r>
      <w:r w:rsidR="00BB41AC" w:rsidRPr="00BB41AC">
        <w:rPr>
          <w:lang w:val="en-CA"/>
        </w:rPr>
        <w:t xml:space="preserve"> decision. The materials submitted to the Court </w:t>
      </w:r>
      <w:r w:rsidR="00842C5C">
        <w:rPr>
          <w:lang w:val="en-CA"/>
        </w:rPr>
        <w:t>by</w:t>
      </w:r>
      <w:r w:rsidR="00BB41AC" w:rsidRPr="00BB41AC">
        <w:rPr>
          <w:lang w:val="en-CA"/>
        </w:rPr>
        <w:t xml:space="preserve"> the </w:t>
      </w:r>
      <w:r w:rsidR="00043463">
        <w:rPr>
          <w:lang w:val="en-CA"/>
        </w:rPr>
        <w:t>complainant</w:t>
      </w:r>
      <w:r w:rsidR="00BB41AC" w:rsidRPr="00BB41AC">
        <w:rPr>
          <w:lang w:val="en-CA"/>
        </w:rPr>
        <w:t xml:space="preserve">’s legal counsel included a memorandum of legal argument and an affidavit by the </w:t>
      </w:r>
      <w:r w:rsidR="00043463">
        <w:rPr>
          <w:lang w:val="en-CA"/>
        </w:rPr>
        <w:t>complainant</w:t>
      </w:r>
      <w:r w:rsidR="00BB41AC" w:rsidRPr="00BB41AC">
        <w:rPr>
          <w:lang w:val="en-CA"/>
        </w:rPr>
        <w:t>.</w:t>
      </w:r>
      <w:r w:rsidR="0045180F">
        <w:rPr>
          <w:lang w:val="en-CA"/>
        </w:rPr>
        <w:t xml:space="preserve"> </w:t>
      </w:r>
      <w:r w:rsidR="00BB41AC" w:rsidRPr="00BB41AC">
        <w:rPr>
          <w:lang w:val="en-CA"/>
        </w:rPr>
        <w:t xml:space="preserve">The </w:t>
      </w:r>
      <w:r w:rsidR="00043463">
        <w:rPr>
          <w:lang w:val="en-CA"/>
        </w:rPr>
        <w:t>complainant</w:t>
      </w:r>
      <w:r w:rsidR="00BB41AC" w:rsidRPr="00BB41AC">
        <w:rPr>
          <w:lang w:val="en-CA"/>
        </w:rPr>
        <w:t xml:space="preserve">’s application was dismissed </w:t>
      </w:r>
      <w:r w:rsidR="00C833B8">
        <w:rPr>
          <w:lang w:val="en-CA"/>
        </w:rPr>
        <w:t xml:space="preserve">by court order </w:t>
      </w:r>
      <w:r w:rsidR="00BB41AC" w:rsidRPr="00BB41AC">
        <w:rPr>
          <w:lang w:val="en-CA"/>
        </w:rPr>
        <w:t xml:space="preserve">on 21 October 2011, </w:t>
      </w:r>
      <w:r w:rsidR="00C833B8">
        <w:rPr>
          <w:lang w:val="en-CA"/>
        </w:rPr>
        <w:t>without any reasons</w:t>
      </w:r>
      <w:r w:rsidR="0045180F">
        <w:rPr>
          <w:lang w:val="en-CA"/>
        </w:rPr>
        <w:t xml:space="preserve">. </w:t>
      </w:r>
      <w:r w:rsidR="00BB41AC" w:rsidRPr="00BB41AC">
        <w:rPr>
          <w:lang w:val="en-CA"/>
        </w:rPr>
        <w:t xml:space="preserve">Although the court did not provide reasons, </w:t>
      </w:r>
      <w:r w:rsidR="0045180F">
        <w:rPr>
          <w:lang w:val="en-CA"/>
        </w:rPr>
        <w:t>the State party o</w:t>
      </w:r>
      <w:r w:rsidR="00BB41AC" w:rsidRPr="00BB41AC">
        <w:rPr>
          <w:lang w:val="en-CA"/>
        </w:rPr>
        <w:t>bserve</w:t>
      </w:r>
      <w:r w:rsidR="0045180F">
        <w:rPr>
          <w:lang w:val="en-CA"/>
        </w:rPr>
        <w:t>d</w:t>
      </w:r>
      <w:r w:rsidR="00BB41AC" w:rsidRPr="00BB41AC">
        <w:rPr>
          <w:lang w:val="en-CA"/>
        </w:rPr>
        <w:t xml:space="preserve"> that the materials </w:t>
      </w:r>
      <w:r w:rsidR="00C833B8">
        <w:rPr>
          <w:lang w:val="en-CA"/>
        </w:rPr>
        <w:t xml:space="preserve">that </w:t>
      </w:r>
      <w:r w:rsidR="00C833B8">
        <w:rPr>
          <w:lang w:val="en-CA"/>
        </w:rPr>
        <w:lastRenderedPageBreak/>
        <w:t xml:space="preserve">were </w:t>
      </w:r>
      <w:r w:rsidR="00BB41AC" w:rsidRPr="00BB41AC">
        <w:rPr>
          <w:lang w:val="en-CA"/>
        </w:rPr>
        <w:t>submitted to the Court did not call into question the fundamental reason for the decision</w:t>
      </w:r>
      <w:r w:rsidR="00C833B8">
        <w:rPr>
          <w:lang w:val="en-CA"/>
        </w:rPr>
        <w:t xml:space="preserve"> taken by the pre-removal risk assessment officer</w:t>
      </w:r>
      <w:r w:rsidR="00DD59C7">
        <w:rPr>
          <w:lang w:val="en-CA"/>
        </w:rPr>
        <w:t xml:space="preserve">. </w:t>
      </w:r>
      <w:r w:rsidR="000101BF">
        <w:rPr>
          <w:lang w:val="en-CA"/>
        </w:rPr>
        <w:t xml:space="preserve"> </w:t>
      </w:r>
    </w:p>
    <w:p w:rsidR="00BB41AC" w:rsidRPr="00BB41AC" w:rsidRDefault="009A03FF">
      <w:pPr>
        <w:pStyle w:val="SingleTxtG"/>
        <w:rPr>
          <w:lang w:val="en-CA"/>
        </w:rPr>
      </w:pPr>
      <w:r>
        <w:rPr>
          <w:lang w:val="en-CA"/>
        </w:rPr>
        <w:t>4.2</w:t>
      </w:r>
      <w:r w:rsidR="00DE07EC">
        <w:rPr>
          <w:lang w:val="en-CA"/>
        </w:rPr>
        <w:t>1</w:t>
      </w:r>
      <w:r w:rsidR="00DD59C7">
        <w:rPr>
          <w:lang w:val="en-CA"/>
        </w:rPr>
        <w:tab/>
      </w:r>
      <w:r w:rsidR="00BB41AC" w:rsidRPr="00BB41AC">
        <w:rPr>
          <w:lang w:val="en-CA"/>
        </w:rPr>
        <w:t xml:space="preserve">On 12 October 2012, Canada Border Services Agency sent the </w:t>
      </w:r>
      <w:r w:rsidR="00043463">
        <w:rPr>
          <w:lang w:val="en-CA"/>
        </w:rPr>
        <w:t>complainant</w:t>
      </w:r>
      <w:r w:rsidR="00BB41AC" w:rsidRPr="00BB41AC">
        <w:rPr>
          <w:lang w:val="en-CA"/>
        </w:rPr>
        <w:t xml:space="preserve"> </w:t>
      </w:r>
      <w:r w:rsidR="00241E23">
        <w:rPr>
          <w:lang w:val="en-CA"/>
        </w:rPr>
        <w:t xml:space="preserve">a </w:t>
      </w:r>
      <w:r w:rsidR="00BB41AC" w:rsidRPr="00BB41AC">
        <w:rPr>
          <w:lang w:val="en-CA"/>
        </w:rPr>
        <w:t>written notice</w:t>
      </w:r>
      <w:r w:rsidR="00241E23">
        <w:rPr>
          <w:lang w:val="en-CA"/>
        </w:rPr>
        <w:t xml:space="preserve"> </w:t>
      </w:r>
      <w:r w:rsidR="00BB41AC" w:rsidRPr="00BB41AC">
        <w:rPr>
          <w:lang w:val="en-CA"/>
        </w:rPr>
        <w:t xml:space="preserve">to </w:t>
      </w:r>
      <w:r w:rsidR="00241E23">
        <w:rPr>
          <w:lang w:val="en-CA"/>
        </w:rPr>
        <w:t xml:space="preserve">present herself to </w:t>
      </w:r>
      <w:r w:rsidR="00BB41AC" w:rsidRPr="00BB41AC">
        <w:rPr>
          <w:lang w:val="en-CA"/>
        </w:rPr>
        <w:t>the local office for a pre-removal interview on 25 October 2012.</w:t>
      </w:r>
      <w:r w:rsidR="00DD59C7">
        <w:rPr>
          <w:lang w:val="en-CA"/>
        </w:rPr>
        <w:t xml:space="preserve"> </w:t>
      </w:r>
      <w:r w:rsidR="00BB41AC" w:rsidRPr="00BB41AC">
        <w:rPr>
          <w:lang w:val="en-CA"/>
        </w:rPr>
        <w:t xml:space="preserve">The </w:t>
      </w:r>
      <w:r w:rsidR="00043463">
        <w:rPr>
          <w:lang w:val="en-CA"/>
        </w:rPr>
        <w:t>complainant</w:t>
      </w:r>
      <w:r w:rsidR="00BB41AC" w:rsidRPr="00BB41AC">
        <w:rPr>
          <w:lang w:val="en-CA"/>
        </w:rPr>
        <w:t xml:space="preserve"> did not </w:t>
      </w:r>
      <w:r w:rsidR="00241E23">
        <w:rPr>
          <w:lang w:val="en-CA"/>
        </w:rPr>
        <w:t xml:space="preserve">present herself for </w:t>
      </w:r>
      <w:r w:rsidR="00BB41AC" w:rsidRPr="00BB41AC">
        <w:rPr>
          <w:lang w:val="en-CA"/>
        </w:rPr>
        <w:t xml:space="preserve">the interview. The </w:t>
      </w:r>
      <w:r w:rsidR="00241E23">
        <w:rPr>
          <w:lang w:val="en-CA"/>
        </w:rPr>
        <w:t>Agency</w:t>
      </w:r>
      <w:r w:rsidR="00BB41AC" w:rsidRPr="00BB41AC">
        <w:rPr>
          <w:lang w:val="en-CA"/>
        </w:rPr>
        <w:t xml:space="preserve"> called the </w:t>
      </w:r>
      <w:r w:rsidR="00043463">
        <w:rPr>
          <w:lang w:val="en-CA"/>
        </w:rPr>
        <w:t>complainant</w:t>
      </w:r>
      <w:r w:rsidR="00BB41AC" w:rsidRPr="00BB41AC">
        <w:rPr>
          <w:lang w:val="en-CA"/>
        </w:rPr>
        <w:t xml:space="preserve"> at her last known </w:t>
      </w:r>
      <w:r w:rsidR="00241E23">
        <w:rPr>
          <w:lang w:val="en-CA"/>
        </w:rPr>
        <w:t>tele</w:t>
      </w:r>
      <w:r w:rsidR="00BB41AC" w:rsidRPr="00BB41AC">
        <w:rPr>
          <w:lang w:val="en-CA"/>
        </w:rPr>
        <w:t xml:space="preserve">phone number and left a message. That day, </w:t>
      </w:r>
      <w:r w:rsidR="00241E23">
        <w:rPr>
          <w:lang w:val="en-CA"/>
        </w:rPr>
        <w:t xml:space="preserve">the Agency </w:t>
      </w:r>
      <w:r w:rsidR="00BB41AC" w:rsidRPr="00BB41AC">
        <w:rPr>
          <w:lang w:val="en-CA"/>
        </w:rPr>
        <w:t xml:space="preserve">also sent </w:t>
      </w:r>
      <w:r w:rsidR="00241E23">
        <w:rPr>
          <w:lang w:val="en-CA"/>
        </w:rPr>
        <w:t>her</w:t>
      </w:r>
      <w:r w:rsidR="00BB41AC" w:rsidRPr="00BB41AC">
        <w:rPr>
          <w:lang w:val="en-CA"/>
        </w:rPr>
        <w:t xml:space="preserve"> </w:t>
      </w:r>
      <w:r w:rsidR="00241E23">
        <w:rPr>
          <w:lang w:val="en-CA"/>
        </w:rPr>
        <w:t xml:space="preserve">a </w:t>
      </w:r>
      <w:r w:rsidR="00BB41AC" w:rsidRPr="00BB41AC">
        <w:rPr>
          <w:lang w:val="en-CA"/>
        </w:rPr>
        <w:t xml:space="preserve">written notice </w:t>
      </w:r>
      <w:r w:rsidR="00241E23">
        <w:rPr>
          <w:lang w:val="en-CA"/>
        </w:rPr>
        <w:t xml:space="preserve">to present herself for </w:t>
      </w:r>
      <w:r w:rsidR="00BB41AC" w:rsidRPr="00BB41AC">
        <w:rPr>
          <w:lang w:val="en-CA"/>
        </w:rPr>
        <w:t xml:space="preserve">a second interview </w:t>
      </w:r>
      <w:r w:rsidR="00241E23">
        <w:rPr>
          <w:lang w:val="en-CA"/>
        </w:rPr>
        <w:t>on</w:t>
      </w:r>
      <w:r w:rsidR="00BB41AC" w:rsidRPr="00BB41AC">
        <w:rPr>
          <w:lang w:val="en-CA"/>
        </w:rPr>
        <w:t xml:space="preserve"> 6 November 2012 and faxed a copy of th</w:t>
      </w:r>
      <w:r w:rsidR="00241E23">
        <w:rPr>
          <w:lang w:val="en-CA"/>
        </w:rPr>
        <w:t>e</w:t>
      </w:r>
      <w:r w:rsidR="00BB41AC" w:rsidRPr="00BB41AC">
        <w:rPr>
          <w:lang w:val="en-CA"/>
        </w:rPr>
        <w:t xml:space="preserve"> notice to the lawyer who had represented </w:t>
      </w:r>
      <w:r w:rsidR="00241E23">
        <w:rPr>
          <w:lang w:val="en-CA"/>
        </w:rPr>
        <w:t>her</w:t>
      </w:r>
      <w:r w:rsidR="00BB41AC" w:rsidRPr="00BB41AC">
        <w:rPr>
          <w:lang w:val="en-CA"/>
        </w:rPr>
        <w:t xml:space="preserve"> in the proceedings thus far. Th</w:t>
      </w:r>
      <w:r w:rsidR="00241E23">
        <w:rPr>
          <w:lang w:val="en-CA"/>
        </w:rPr>
        <w:t>e</w:t>
      </w:r>
      <w:r w:rsidR="00BB41AC" w:rsidRPr="00BB41AC">
        <w:rPr>
          <w:lang w:val="en-CA"/>
        </w:rPr>
        <w:t xml:space="preserve"> lawyer responded that she was no longer representing the </w:t>
      </w:r>
      <w:r w:rsidR="00043463">
        <w:rPr>
          <w:lang w:val="en-CA"/>
        </w:rPr>
        <w:t>complainant</w:t>
      </w:r>
      <w:r w:rsidR="00BB41AC" w:rsidRPr="00BB41AC">
        <w:rPr>
          <w:lang w:val="en-CA"/>
        </w:rPr>
        <w:t>.</w:t>
      </w:r>
      <w:r w:rsidR="00DD59C7">
        <w:rPr>
          <w:lang w:val="en-CA"/>
        </w:rPr>
        <w:t xml:space="preserve"> </w:t>
      </w:r>
      <w:r w:rsidR="00BB41AC" w:rsidRPr="00BB41AC">
        <w:rPr>
          <w:lang w:val="en-CA"/>
        </w:rPr>
        <w:t xml:space="preserve">The </w:t>
      </w:r>
      <w:r w:rsidR="00043463">
        <w:rPr>
          <w:lang w:val="en-CA"/>
        </w:rPr>
        <w:t>complainant</w:t>
      </w:r>
      <w:r w:rsidR="00BB41AC" w:rsidRPr="00BB41AC">
        <w:rPr>
          <w:lang w:val="en-CA"/>
        </w:rPr>
        <w:t xml:space="preserve"> did not </w:t>
      </w:r>
      <w:r w:rsidR="00241E23">
        <w:rPr>
          <w:lang w:val="en-CA"/>
        </w:rPr>
        <w:t>present herself for</w:t>
      </w:r>
      <w:r w:rsidR="00BB41AC" w:rsidRPr="00BB41AC">
        <w:rPr>
          <w:lang w:val="en-CA"/>
        </w:rPr>
        <w:t xml:space="preserve"> the second interview scheduled by the A</w:t>
      </w:r>
      <w:r w:rsidR="002F00F9">
        <w:rPr>
          <w:lang w:val="en-CA"/>
        </w:rPr>
        <w:t>gency</w:t>
      </w:r>
      <w:r w:rsidR="00BB41AC" w:rsidRPr="00BB41AC">
        <w:rPr>
          <w:lang w:val="en-CA"/>
        </w:rPr>
        <w:t>. The A</w:t>
      </w:r>
      <w:r w:rsidR="00241E23">
        <w:rPr>
          <w:lang w:val="en-CA"/>
        </w:rPr>
        <w:t>gency</w:t>
      </w:r>
      <w:r w:rsidR="00BB41AC" w:rsidRPr="00BB41AC">
        <w:rPr>
          <w:lang w:val="en-CA"/>
        </w:rPr>
        <w:t xml:space="preserve"> concluded that the </w:t>
      </w:r>
      <w:r w:rsidR="00043463">
        <w:rPr>
          <w:lang w:val="en-CA"/>
        </w:rPr>
        <w:t>complainant</w:t>
      </w:r>
      <w:r w:rsidR="00BB41AC" w:rsidRPr="00BB41AC">
        <w:rPr>
          <w:lang w:val="en-CA"/>
        </w:rPr>
        <w:t xml:space="preserve"> was non-compliant and </w:t>
      </w:r>
      <w:r w:rsidR="00241E23">
        <w:rPr>
          <w:lang w:val="en-CA"/>
        </w:rPr>
        <w:t>was</w:t>
      </w:r>
      <w:r w:rsidR="00BB41AC" w:rsidRPr="00BB41AC">
        <w:rPr>
          <w:lang w:val="en-CA"/>
        </w:rPr>
        <w:t xml:space="preserve"> avoiding their attempts to initiate contact in order to thwart her removal. A warrant was issued on 8 November 2012 for the </w:t>
      </w:r>
      <w:r w:rsidR="00043463">
        <w:rPr>
          <w:lang w:val="en-CA"/>
        </w:rPr>
        <w:t>complainant</w:t>
      </w:r>
      <w:r w:rsidR="00BB41AC" w:rsidRPr="00BB41AC">
        <w:rPr>
          <w:lang w:val="en-CA"/>
        </w:rPr>
        <w:t xml:space="preserve">’s removal. </w:t>
      </w:r>
      <w:r w:rsidR="00DD59C7">
        <w:rPr>
          <w:lang w:val="en-CA"/>
        </w:rPr>
        <w:t xml:space="preserve">Following the Committee’s interim measures request of 22 November 2012, the State party </w:t>
      </w:r>
      <w:r w:rsidR="00BB41AC" w:rsidRPr="00BB41AC">
        <w:rPr>
          <w:lang w:val="en-CA"/>
        </w:rPr>
        <w:t xml:space="preserve">temporarily refrained from removing the </w:t>
      </w:r>
      <w:r w:rsidR="00043463">
        <w:rPr>
          <w:lang w:val="en-CA"/>
        </w:rPr>
        <w:t>complainant</w:t>
      </w:r>
      <w:r w:rsidR="00BB41AC" w:rsidRPr="00BB41AC">
        <w:rPr>
          <w:lang w:val="en-CA"/>
        </w:rPr>
        <w:t>.</w:t>
      </w:r>
    </w:p>
    <w:p w:rsidR="00145ABB" w:rsidRDefault="009A03FF" w:rsidP="00304A52">
      <w:pPr>
        <w:pStyle w:val="SingleTxtG"/>
        <w:rPr>
          <w:color w:val="000000"/>
          <w:lang w:eastAsia="en-GB"/>
        </w:rPr>
      </w:pPr>
      <w:r>
        <w:rPr>
          <w:lang w:val="en-CA"/>
        </w:rPr>
        <w:t>4.2</w:t>
      </w:r>
      <w:r w:rsidR="00DE07EC">
        <w:rPr>
          <w:lang w:val="en-CA"/>
        </w:rPr>
        <w:t>2</w:t>
      </w:r>
      <w:r w:rsidR="00DD59C7" w:rsidRPr="00DD59C7">
        <w:rPr>
          <w:lang w:val="en-CA"/>
        </w:rPr>
        <w:tab/>
      </w:r>
      <w:r w:rsidR="00145ABB" w:rsidRPr="00CF28B7">
        <w:rPr>
          <w:color w:val="000000"/>
          <w:lang w:eastAsia="en-GB"/>
        </w:rPr>
        <w:t>The State party</w:t>
      </w:r>
      <w:r w:rsidR="00145ABB">
        <w:rPr>
          <w:color w:val="000000"/>
          <w:lang w:eastAsia="en-GB"/>
        </w:rPr>
        <w:t xml:space="preserve"> maintain</w:t>
      </w:r>
      <w:r w:rsidR="004E7040">
        <w:rPr>
          <w:color w:val="000000"/>
          <w:lang w:eastAsia="en-GB"/>
        </w:rPr>
        <w:t>s</w:t>
      </w:r>
      <w:r w:rsidR="00145ABB">
        <w:rPr>
          <w:color w:val="000000"/>
          <w:lang w:eastAsia="en-GB"/>
        </w:rPr>
        <w:t xml:space="preserve"> that the communication is also inadmissible because the complainant failed to substantiate, even on a </w:t>
      </w:r>
      <w:r w:rsidR="00145ABB" w:rsidRPr="00304A52">
        <w:rPr>
          <w:color w:val="000000"/>
          <w:lang w:eastAsia="en-GB"/>
        </w:rPr>
        <w:t>prima facie</w:t>
      </w:r>
      <w:r w:rsidR="00145ABB">
        <w:rPr>
          <w:color w:val="000000"/>
          <w:lang w:eastAsia="en-GB"/>
        </w:rPr>
        <w:t xml:space="preserve"> basis, the allegation that she </w:t>
      </w:r>
      <w:r w:rsidR="00CF28B7">
        <w:rPr>
          <w:color w:val="000000"/>
          <w:lang w:eastAsia="en-GB"/>
        </w:rPr>
        <w:t xml:space="preserve">would </w:t>
      </w:r>
      <w:r w:rsidR="00145ABB">
        <w:rPr>
          <w:color w:val="000000"/>
          <w:lang w:eastAsia="en-GB"/>
        </w:rPr>
        <w:t xml:space="preserve">face a real risk of torture in Pakistan </w:t>
      </w:r>
      <w:r w:rsidR="004E7040">
        <w:rPr>
          <w:color w:val="000000"/>
          <w:lang w:eastAsia="en-GB"/>
        </w:rPr>
        <w:t xml:space="preserve">to the extent </w:t>
      </w:r>
      <w:r w:rsidR="00145ABB">
        <w:rPr>
          <w:color w:val="000000"/>
          <w:lang w:eastAsia="en-GB"/>
        </w:rPr>
        <w:t xml:space="preserve">that her removal would be a violation of article 3 of the Convention. The State party notes that </w:t>
      </w:r>
      <w:r w:rsidR="004E7040">
        <w:rPr>
          <w:color w:val="000000"/>
          <w:lang w:eastAsia="en-GB"/>
        </w:rPr>
        <w:t xml:space="preserve">the </w:t>
      </w:r>
      <w:r w:rsidR="00145ABB">
        <w:rPr>
          <w:color w:val="000000"/>
          <w:lang w:eastAsia="en-GB"/>
        </w:rPr>
        <w:t xml:space="preserve">complainant’s communication does not explicitly identify any provision under the Convention that would be infringed by her removal to Pakistan. </w:t>
      </w:r>
      <w:r w:rsidR="004E7040">
        <w:rPr>
          <w:color w:val="000000"/>
          <w:lang w:eastAsia="en-GB"/>
        </w:rPr>
        <w:t>Rather,</w:t>
      </w:r>
      <w:r w:rsidR="00145ABB">
        <w:rPr>
          <w:color w:val="000000"/>
          <w:lang w:eastAsia="en-GB"/>
        </w:rPr>
        <w:t xml:space="preserve"> she has alleged that upon her return to Pakistan, the accusations of adultery made against her by B. and his sons would lead to a number of different risks</w:t>
      </w:r>
      <w:r w:rsidR="004E7040">
        <w:rPr>
          <w:color w:val="000000"/>
          <w:lang w:eastAsia="en-GB"/>
        </w:rPr>
        <w:t xml:space="preserve">, including a risk of torture, disappearance, arrest and imprisonment by </w:t>
      </w:r>
      <w:r w:rsidR="00145ABB">
        <w:rPr>
          <w:color w:val="000000"/>
          <w:lang w:eastAsia="en-GB"/>
        </w:rPr>
        <w:t xml:space="preserve">Pakistani </w:t>
      </w:r>
      <w:r w:rsidR="004E7040">
        <w:rPr>
          <w:color w:val="000000"/>
          <w:lang w:eastAsia="en-GB"/>
        </w:rPr>
        <w:t>S</w:t>
      </w:r>
      <w:r w:rsidR="00145ABB">
        <w:rPr>
          <w:color w:val="000000"/>
          <w:lang w:eastAsia="en-GB"/>
        </w:rPr>
        <w:t>tate actors</w:t>
      </w:r>
      <w:r w:rsidR="004E7040">
        <w:rPr>
          <w:color w:val="000000"/>
          <w:lang w:eastAsia="en-GB"/>
        </w:rPr>
        <w:t xml:space="preserve"> and a risk of death by honour killing and/or torture with police acquiescence by</w:t>
      </w:r>
      <w:r w:rsidR="00145ABB">
        <w:rPr>
          <w:color w:val="000000"/>
          <w:lang w:eastAsia="en-GB"/>
        </w:rPr>
        <w:t xml:space="preserve"> private individuals</w:t>
      </w:r>
      <w:r w:rsidR="004E7040">
        <w:rPr>
          <w:color w:val="000000"/>
          <w:lang w:eastAsia="en-GB"/>
        </w:rPr>
        <w:t>, such as</w:t>
      </w:r>
      <w:r w:rsidR="00145ABB">
        <w:rPr>
          <w:color w:val="000000"/>
          <w:lang w:eastAsia="en-GB"/>
        </w:rPr>
        <w:t xml:space="preserve"> her ex-husband, her sons, B. and his sons.</w:t>
      </w:r>
    </w:p>
    <w:p w:rsidR="00BB41AC" w:rsidRPr="00BB41AC" w:rsidRDefault="00145ABB">
      <w:pPr>
        <w:pStyle w:val="SingleTxtG"/>
        <w:rPr>
          <w:lang w:val="en-CA"/>
        </w:rPr>
      </w:pPr>
      <w:r>
        <w:rPr>
          <w:color w:val="000000"/>
          <w:lang w:eastAsia="en-GB"/>
        </w:rPr>
        <w:t>4.23</w:t>
      </w:r>
      <w:r>
        <w:rPr>
          <w:color w:val="000000"/>
          <w:lang w:eastAsia="en-GB"/>
        </w:rPr>
        <w:tab/>
        <w:t xml:space="preserve">The State party maintains that incidents of past torture are not, in and of themselves, evidence that can substantiate a future risk of torture and that in any event the complainant </w:t>
      </w:r>
      <w:r w:rsidR="004E7040">
        <w:rPr>
          <w:color w:val="000000"/>
          <w:lang w:val="en-US" w:eastAsia="en-GB"/>
        </w:rPr>
        <w:t>did</w:t>
      </w:r>
      <w:r>
        <w:rPr>
          <w:color w:val="000000"/>
          <w:lang w:eastAsia="en-GB"/>
        </w:rPr>
        <w:t xml:space="preserve"> not substantiate that she </w:t>
      </w:r>
      <w:r w:rsidR="00CF28B7">
        <w:rPr>
          <w:color w:val="000000"/>
          <w:lang w:val="en-US" w:eastAsia="en-GB"/>
        </w:rPr>
        <w:t>had been</w:t>
      </w:r>
      <w:r>
        <w:rPr>
          <w:color w:val="000000"/>
          <w:lang w:eastAsia="en-GB"/>
        </w:rPr>
        <w:t xml:space="preserve"> a victim of torture</w:t>
      </w:r>
      <w:r w:rsidR="004E7040">
        <w:rPr>
          <w:color w:val="000000"/>
          <w:lang w:val="en-US" w:eastAsia="en-GB"/>
        </w:rPr>
        <w:t xml:space="preserve"> in the past</w:t>
      </w:r>
      <w:r w:rsidR="00750018" w:rsidRPr="00043169">
        <w:rPr>
          <w:color w:val="000000"/>
          <w:lang w:val="en-US" w:eastAsia="en-GB"/>
        </w:rPr>
        <w:t>.</w:t>
      </w:r>
      <w:r>
        <w:rPr>
          <w:rStyle w:val="FootnoteReference"/>
          <w:lang w:val="en-CA"/>
        </w:rPr>
        <w:footnoteReference w:id="11"/>
      </w:r>
      <w:r w:rsidR="00750018" w:rsidRPr="00043169">
        <w:rPr>
          <w:color w:val="000000"/>
          <w:lang w:val="en-US" w:eastAsia="en-GB"/>
        </w:rPr>
        <w:t xml:space="preserve"> </w:t>
      </w:r>
      <w:r>
        <w:rPr>
          <w:color w:val="000000"/>
          <w:lang w:eastAsia="en-GB"/>
        </w:rPr>
        <w:t xml:space="preserve">She </w:t>
      </w:r>
      <w:r w:rsidR="004E7040">
        <w:rPr>
          <w:color w:val="000000"/>
          <w:lang w:val="en-US" w:eastAsia="en-GB"/>
        </w:rPr>
        <w:t>did</w:t>
      </w:r>
      <w:r>
        <w:rPr>
          <w:color w:val="000000"/>
          <w:lang w:eastAsia="en-GB"/>
        </w:rPr>
        <w:t xml:space="preserve"> not provide sufficient evidence to substantiate her core factual allegation that she </w:t>
      </w:r>
      <w:r w:rsidR="0089133A">
        <w:rPr>
          <w:color w:val="000000"/>
          <w:lang w:val="en-US" w:eastAsia="en-GB"/>
        </w:rPr>
        <w:t>had been</w:t>
      </w:r>
      <w:r>
        <w:rPr>
          <w:color w:val="000000"/>
          <w:lang w:eastAsia="en-GB"/>
        </w:rPr>
        <w:t xml:space="preserve"> tortured</w:t>
      </w:r>
      <w:r w:rsidR="00CF28B7">
        <w:rPr>
          <w:color w:val="000000"/>
          <w:lang w:val="en-US" w:eastAsia="en-GB"/>
        </w:rPr>
        <w:t xml:space="preserve"> in 2006</w:t>
      </w:r>
      <w:r>
        <w:rPr>
          <w:color w:val="000000"/>
          <w:lang w:eastAsia="en-GB"/>
        </w:rPr>
        <w:t xml:space="preserve"> while in police detention on </w:t>
      </w:r>
      <w:r w:rsidR="007069F2">
        <w:rPr>
          <w:color w:val="000000"/>
          <w:lang w:val="en-US" w:eastAsia="en-GB"/>
        </w:rPr>
        <w:t xml:space="preserve">a </w:t>
      </w:r>
      <w:r>
        <w:rPr>
          <w:color w:val="000000"/>
          <w:lang w:eastAsia="en-GB"/>
        </w:rPr>
        <w:t xml:space="preserve">false </w:t>
      </w:r>
      <w:r w:rsidR="007069F2">
        <w:rPr>
          <w:color w:val="000000"/>
          <w:lang w:val="en-US" w:eastAsia="en-GB"/>
        </w:rPr>
        <w:t>accusation</w:t>
      </w:r>
      <w:r w:rsidR="007069F2">
        <w:rPr>
          <w:color w:val="000000"/>
          <w:lang w:eastAsia="en-GB"/>
        </w:rPr>
        <w:t xml:space="preserve"> </w:t>
      </w:r>
      <w:r>
        <w:rPr>
          <w:color w:val="000000"/>
          <w:lang w:eastAsia="en-GB"/>
        </w:rPr>
        <w:t xml:space="preserve">of adultery. The complainant’s allegations with respect to this incident before </w:t>
      </w:r>
      <w:r w:rsidR="004E7040">
        <w:rPr>
          <w:color w:val="000000"/>
          <w:lang w:val="en-US" w:eastAsia="en-GB"/>
        </w:rPr>
        <w:t xml:space="preserve">the State party’s </w:t>
      </w:r>
      <w:r>
        <w:rPr>
          <w:color w:val="000000"/>
          <w:lang w:eastAsia="en-GB"/>
        </w:rPr>
        <w:t>decision</w:t>
      </w:r>
      <w:r w:rsidR="004E7040">
        <w:rPr>
          <w:color w:val="000000"/>
          <w:lang w:val="en-US" w:eastAsia="en-GB"/>
        </w:rPr>
        <w:t xml:space="preserve"> </w:t>
      </w:r>
      <w:r>
        <w:rPr>
          <w:color w:val="000000"/>
          <w:lang w:eastAsia="en-GB"/>
        </w:rPr>
        <w:t>makers were inconsistent and often vague. In her initial narrative</w:t>
      </w:r>
      <w:r w:rsidR="004E7040">
        <w:rPr>
          <w:color w:val="000000"/>
          <w:lang w:val="en-US" w:eastAsia="en-GB"/>
        </w:rPr>
        <w:t>, she</w:t>
      </w:r>
      <w:r>
        <w:rPr>
          <w:color w:val="000000"/>
          <w:lang w:eastAsia="en-GB"/>
        </w:rPr>
        <w:t xml:space="preserve"> indicated that she </w:t>
      </w:r>
      <w:r w:rsidR="00B01EFC">
        <w:rPr>
          <w:color w:val="000000"/>
          <w:lang w:val="en-US" w:eastAsia="en-GB"/>
        </w:rPr>
        <w:t>had been</w:t>
      </w:r>
      <w:r>
        <w:rPr>
          <w:color w:val="000000"/>
          <w:lang w:eastAsia="en-GB"/>
        </w:rPr>
        <w:t xml:space="preserve"> detained by the police from 26</w:t>
      </w:r>
      <w:r w:rsidR="004E7040">
        <w:rPr>
          <w:color w:val="000000"/>
          <w:lang w:val="en-US" w:eastAsia="en-GB"/>
        </w:rPr>
        <w:t xml:space="preserve"> to </w:t>
      </w:r>
      <w:r>
        <w:rPr>
          <w:color w:val="000000"/>
          <w:lang w:eastAsia="en-GB"/>
        </w:rPr>
        <w:t>27 November 2006. In subsequent submissions to decision</w:t>
      </w:r>
      <w:r w:rsidR="004E7040">
        <w:rPr>
          <w:color w:val="000000"/>
          <w:lang w:val="en-US" w:eastAsia="en-GB"/>
        </w:rPr>
        <w:t xml:space="preserve"> </w:t>
      </w:r>
      <w:r>
        <w:rPr>
          <w:color w:val="000000"/>
          <w:lang w:eastAsia="en-GB"/>
        </w:rPr>
        <w:t>makers, she alleged that th</w:t>
      </w:r>
      <w:r w:rsidR="00B01EFC">
        <w:rPr>
          <w:color w:val="000000"/>
          <w:lang w:val="en-US" w:eastAsia="en-GB"/>
        </w:rPr>
        <w:t>e</w:t>
      </w:r>
      <w:r>
        <w:rPr>
          <w:color w:val="000000"/>
          <w:lang w:eastAsia="en-GB"/>
        </w:rPr>
        <w:t xml:space="preserve"> detention occurred in the summer of 2006. </w:t>
      </w:r>
      <w:r w:rsidR="00B01EFC">
        <w:rPr>
          <w:color w:val="000000"/>
          <w:lang w:val="en-US" w:eastAsia="en-GB"/>
        </w:rPr>
        <w:t>I</w:t>
      </w:r>
      <w:r>
        <w:rPr>
          <w:color w:val="000000"/>
          <w:lang w:eastAsia="en-GB"/>
        </w:rPr>
        <w:t>n some instances</w:t>
      </w:r>
      <w:r w:rsidR="00B01EFC">
        <w:rPr>
          <w:color w:val="000000"/>
          <w:lang w:val="en-US" w:eastAsia="en-GB"/>
        </w:rPr>
        <w:t xml:space="preserve">, she </w:t>
      </w:r>
      <w:r>
        <w:rPr>
          <w:color w:val="000000"/>
          <w:lang w:eastAsia="en-GB"/>
        </w:rPr>
        <w:t>said that she was detained for two nights. Although she claims that she was in police detention, the complainant’s account suggests that her alleged mistreatment while in custody was committed by B. and his sons.</w:t>
      </w:r>
      <w:r w:rsidR="00BB41AC" w:rsidRPr="00BB41AC">
        <w:rPr>
          <w:lang w:val="en-CA"/>
        </w:rPr>
        <w:t xml:space="preserve"> </w:t>
      </w:r>
    </w:p>
    <w:p w:rsidR="00BB41AC" w:rsidRPr="00BB41AC" w:rsidRDefault="009F1292">
      <w:pPr>
        <w:pStyle w:val="SingleTxtG"/>
        <w:rPr>
          <w:lang w:val="en-CA"/>
        </w:rPr>
      </w:pPr>
      <w:r>
        <w:rPr>
          <w:lang w:val="en-CA"/>
        </w:rPr>
        <w:t>4.</w:t>
      </w:r>
      <w:r w:rsidR="0071239A">
        <w:rPr>
          <w:lang w:val="en-CA"/>
        </w:rPr>
        <w:t>2</w:t>
      </w:r>
      <w:r w:rsidR="006811EC">
        <w:rPr>
          <w:lang w:val="en-CA"/>
        </w:rPr>
        <w:t>4</w:t>
      </w:r>
      <w:r>
        <w:rPr>
          <w:lang w:val="en-CA"/>
        </w:rPr>
        <w:tab/>
        <w:t>T</w:t>
      </w:r>
      <w:r w:rsidR="00BB41AC" w:rsidRPr="00BB41AC">
        <w:rPr>
          <w:lang w:val="en-CA"/>
        </w:rPr>
        <w:t xml:space="preserve">he only evidence submitted by the </w:t>
      </w:r>
      <w:r w:rsidR="00043463">
        <w:rPr>
          <w:lang w:val="en-CA"/>
        </w:rPr>
        <w:t>complainant</w:t>
      </w:r>
      <w:r w:rsidR="00BB41AC" w:rsidRPr="00BB41AC">
        <w:rPr>
          <w:lang w:val="en-CA"/>
        </w:rPr>
        <w:t xml:space="preserve"> in relation to th</w:t>
      </w:r>
      <w:r w:rsidR="00B01EFC">
        <w:rPr>
          <w:lang w:val="en-CA"/>
        </w:rPr>
        <w:t>e</w:t>
      </w:r>
      <w:r w:rsidR="00BB41AC" w:rsidRPr="00BB41AC">
        <w:rPr>
          <w:lang w:val="en-CA"/>
        </w:rPr>
        <w:t xml:space="preserve"> allegation of past torture is a </w:t>
      </w:r>
      <w:r w:rsidR="00B01EFC">
        <w:rPr>
          <w:lang w:val="en-CA"/>
        </w:rPr>
        <w:t>first information report</w:t>
      </w:r>
      <w:r w:rsidR="00BB41AC" w:rsidRPr="00BB41AC">
        <w:rPr>
          <w:lang w:val="en-CA"/>
        </w:rPr>
        <w:t xml:space="preserve"> filed </w:t>
      </w:r>
      <w:r w:rsidR="00B01EFC">
        <w:rPr>
          <w:lang w:val="en-CA"/>
        </w:rPr>
        <w:t>with</w:t>
      </w:r>
      <w:r w:rsidR="00BB41AC" w:rsidRPr="00BB41AC">
        <w:rPr>
          <w:lang w:val="en-CA"/>
        </w:rPr>
        <w:t xml:space="preserve"> the Pakistani police on 25 November 2006 in response to </w:t>
      </w:r>
      <w:r>
        <w:rPr>
          <w:lang w:val="en-CA"/>
        </w:rPr>
        <w:t>B.</w:t>
      </w:r>
      <w:r w:rsidR="00BB41AC" w:rsidRPr="00BB41AC">
        <w:rPr>
          <w:lang w:val="en-CA"/>
        </w:rPr>
        <w:t xml:space="preserve">’s accusation of adultery. The </w:t>
      </w:r>
      <w:r w:rsidR="00B01EFC">
        <w:rPr>
          <w:lang w:val="en-CA"/>
        </w:rPr>
        <w:t>report</w:t>
      </w:r>
      <w:r w:rsidR="00BB41AC" w:rsidRPr="00BB41AC">
        <w:rPr>
          <w:lang w:val="en-CA"/>
        </w:rPr>
        <w:t xml:space="preserve"> supports the </w:t>
      </w:r>
      <w:r w:rsidR="00043463">
        <w:rPr>
          <w:lang w:val="en-CA"/>
        </w:rPr>
        <w:t>complainant</w:t>
      </w:r>
      <w:r w:rsidR="00BB41AC" w:rsidRPr="00BB41AC">
        <w:rPr>
          <w:lang w:val="en-CA"/>
        </w:rPr>
        <w:t xml:space="preserve">’s allegation that </w:t>
      </w:r>
      <w:r>
        <w:rPr>
          <w:lang w:val="en-CA"/>
        </w:rPr>
        <w:t>B.</w:t>
      </w:r>
      <w:r w:rsidR="00BB41AC" w:rsidRPr="00BB41AC">
        <w:rPr>
          <w:lang w:val="en-CA"/>
        </w:rPr>
        <w:t xml:space="preserve"> filed an official </w:t>
      </w:r>
      <w:r w:rsidR="00B01EFC">
        <w:rPr>
          <w:lang w:val="en-CA"/>
        </w:rPr>
        <w:t>accusation</w:t>
      </w:r>
      <w:r w:rsidR="00BB41AC" w:rsidRPr="00BB41AC">
        <w:rPr>
          <w:lang w:val="en-CA"/>
        </w:rPr>
        <w:t xml:space="preserve">, but the </w:t>
      </w:r>
      <w:r w:rsidR="00B01EFC">
        <w:rPr>
          <w:lang w:val="en-CA"/>
        </w:rPr>
        <w:t>report</w:t>
      </w:r>
      <w:r w:rsidR="00BB41AC" w:rsidRPr="00BB41AC">
        <w:rPr>
          <w:lang w:val="en-CA"/>
        </w:rPr>
        <w:t xml:space="preserve"> </w:t>
      </w:r>
      <w:r w:rsidR="00B01EFC">
        <w:rPr>
          <w:lang w:val="en-CA"/>
        </w:rPr>
        <w:t xml:space="preserve">does not </w:t>
      </w:r>
      <w:r w:rsidR="00BB41AC" w:rsidRPr="00BB41AC">
        <w:rPr>
          <w:lang w:val="en-CA"/>
        </w:rPr>
        <w:t xml:space="preserve">support the </w:t>
      </w:r>
      <w:r w:rsidR="00043463">
        <w:rPr>
          <w:lang w:val="en-CA"/>
        </w:rPr>
        <w:t>complainant</w:t>
      </w:r>
      <w:r w:rsidR="00BB41AC" w:rsidRPr="00BB41AC">
        <w:rPr>
          <w:lang w:val="en-CA"/>
        </w:rPr>
        <w:t xml:space="preserve">’s allegation that she was detained in relation to </w:t>
      </w:r>
      <w:r w:rsidR="00BB41AC" w:rsidRPr="00B01EFC">
        <w:rPr>
          <w:lang w:val="en-CA"/>
        </w:rPr>
        <w:t xml:space="preserve">that accusation. The </w:t>
      </w:r>
      <w:r w:rsidR="00043463" w:rsidRPr="00304A52">
        <w:rPr>
          <w:lang w:val="en-CA"/>
        </w:rPr>
        <w:t>complainant</w:t>
      </w:r>
      <w:r w:rsidR="00BB41AC" w:rsidRPr="00304A52">
        <w:rPr>
          <w:lang w:val="en-CA"/>
        </w:rPr>
        <w:t xml:space="preserve"> has </w:t>
      </w:r>
      <w:r w:rsidR="00B01EFC">
        <w:rPr>
          <w:lang w:val="en-CA"/>
        </w:rPr>
        <w:t xml:space="preserve">not </w:t>
      </w:r>
      <w:r w:rsidR="00BB41AC" w:rsidRPr="00304A52">
        <w:rPr>
          <w:lang w:val="en-CA"/>
        </w:rPr>
        <w:t xml:space="preserve">provided </w:t>
      </w:r>
      <w:r w:rsidR="00B01EFC">
        <w:rPr>
          <w:lang w:val="en-CA"/>
        </w:rPr>
        <w:t>any</w:t>
      </w:r>
      <w:r w:rsidR="00BB41AC" w:rsidRPr="00304A52">
        <w:rPr>
          <w:lang w:val="en-CA"/>
        </w:rPr>
        <w:t xml:space="preserve"> additional evidence to substantiate the</w:t>
      </w:r>
      <w:r w:rsidR="00BB41AC" w:rsidRPr="00BB41AC">
        <w:rPr>
          <w:lang w:val="en-CA"/>
        </w:rPr>
        <w:t xml:space="preserve"> allegation that she was detained by the Pakistani police</w:t>
      </w:r>
      <w:r>
        <w:rPr>
          <w:lang w:val="en-CA"/>
        </w:rPr>
        <w:t>; s</w:t>
      </w:r>
      <w:r w:rsidR="00BB41AC" w:rsidRPr="00BB41AC">
        <w:rPr>
          <w:lang w:val="en-CA"/>
        </w:rPr>
        <w:t xml:space="preserve">he has not provided copies of any police records indicating that she </w:t>
      </w:r>
      <w:r w:rsidR="00B01EFC">
        <w:rPr>
          <w:lang w:val="en-CA"/>
        </w:rPr>
        <w:t>had</w:t>
      </w:r>
      <w:r w:rsidR="00BB41AC" w:rsidRPr="00BB41AC">
        <w:rPr>
          <w:lang w:val="en-CA"/>
        </w:rPr>
        <w:t xml:space="preserve"> ever been detained</w:t>
      </w:r>
      <w:r>
        <w:rPr>
          <w:lang w:val="en-CA"/>
        </w:rPr>
        <w:t xml:space="preserve">; </w:t>
      </w:r>
      <w:r w:rsidR="00B01EFC">
        <w:rPr>
          <w:lang w:val="en-CA"/>
        </w:rPr>
        <w:t xml:space="preserve">nor has </w:t>
      </w:r>
      <w:r>
        <w:rPr>
          <w:lang w:val="en-CA"/>
        </w:rPr>
        <w:t>s</w:t>
      </w:r>
      <w:r w:rsidR="00BB41AC" w:rsidRPr="00BB41AC">
        <w:rPr>
          <w:lang w:val="en-CA"/>
        </w:rPr>
        <w:t>he submitted any affidavits from family members or village residents attest</w:t>
      </w:r>
      <w:r w:rsidR="00B01EFC">
        <w:rPr>
          <w:lang w:val="en-CA"/>
        </w:rPr>
        <w:t>ing</w:t>
      </w:r>
      <w:r w:rsidR="00BB41AC" w:rsidRPr="00BB41AC">
        <w:rPr>
          <w:lang w:val="en-CA"/>
        </w:rPr>
        <w:t xml:space="preserve"> to her alleged detention. The </w:t>
      </w:r>
      <w:r w:rsidR="00043463">
        <w:rPr>
          <w:lang w:val="en-CA"/>
        </w:rPr>
        <w:t>complainant</w:t>
      </w:r>
      <w:r w:rsidR="00BB41AC" w:rsidRPr="00BB41AC">
        <w:rPr>
          <w:lang w:val="en-CA"/>
        </w:rPr>
        <w:t xml:space="preserve"> </w:t>
      </w:r>
      <w:r w:rsidR="00B01EFC">
        <w:rPr>
          <w:lang w:val="en-CA"/>
        </w:rPr>
        <w:t>stated</w:t>
      </w:r>
      <w:r w:rsidR="00BB41AC" w:rsidRPr="00BB41AC">
        <w:rPr>
          <w:lang w:val="en-CA"/>
        </w:rPr>
        <w:t xml:space="preserve"> </w:t>
      </w:r>
      <w:r w:rsidR="00B01EFC">
        <w:rPr>
          <w:lang w:val="en-CA"/>
        </w:rPr>
        <w:t xml:space="preserve">during the </w:t>
      </w:r>
      <w:r w:rsidR="00BB41AC" w:rsidRPr="00BB41AC">
        <w:rPr>
          <w:lang w:val="en-CA"/>
        </w:rPr>
        <w:t>R</w:t>
      </w:r>
      <w:r w:rsidR="00B01EFC">
        <w:rPr>
          <w:lang w:val="en-CA"/>
        </w:rPr>
        <w:t xml:space="preserve">efugee </w:t>
      </w:r>
      <w:r w:rsidR="00BB41AC" w:rsidRPr="00BB41AC">
        <w:rPr>
          <w:lang w:val="en-CA"/>
        </w:rPr>
        <w:t>P</w:t>
      </w:r>
      <w:r w:rsidR="00B01EFC">
        <w:rPr>
          <w:lang w:val="en-CA"/>
        </w:rPr>
        <w:t xml:space="preserve">rotection </w:t>
      </w:r>
      <w:r w:rsidR="00BB41AC" w:rsidRPr="00BB41AC">
        <w:rPr>
          <w:lang w:val="en-CA"/>
        </w:rPr>
        <w:t>D</w:t>
      </w:r>
      <w:r w:rsidR="00B01EFC">
        <w:rPr>
          <w:lang w:val="en-CA"/>
        </w:rPr>
        <w:t>ivision</w:t>
      </w:r>
      <w:r w:rsidR="00BB41AC" w:rsidRPr="00BB41AC">
        <w:rPr>
          <w:lang w:val="en-CA"/>
        </w:rPr>
        <w:t xml:space="preserve"> hearing that a prominent local politician </w:t>
      </w:r>
      <w:r w:rsidR="00B01EFC">
        <w:rPr>
          <w:lang w:val="en-CA"/>
        </w:rPr>
        <w:t xml:space="preserve">had </w:t>
      </w:r>
      <w:r w:rsidR="00BB41AC" w:rsidRPr="00BB41AC">
        <w:rPr>
          <w:lang w:val="en-CA"/>
        </w:rPr>
        <w:t xml:space="preserve">secured her bail, but she </w:t>
      </w:r>
      <w:r w:rsidR="00B01EFC">
        <w:rPr>
          <w:lang w:val="en-CA"/>
        </w:rPr>
        <w:lastRenderedPageBreak/>
        <w:t>did not</w:t>
      </w:r>
      <w:r w:rsidR="00BB41AC" w:rsidRPr="00BB41AC">
        <w:rPr>
          <w:lang w:val="en-CA"/>
        </w:rPr>
        <w:t xml:space="preserve"> provide</w:t>
      </w:r>
      <w:r w:rsidR="00B01EFC">
        <w:rPr>
          <w:lang w:val="en-CA"/>
        </w:rPr>
        <w:t xml:space="preserve"> and</w:t>
      </w:r>
      <w:r w:rsidR="00BB41AC" w:rsidRPr="00BB41AC">
        <w:rPr>
          <w:lang w:val="en-CA"/>
        </w:rPr>
        <w:t xml:space="preserve"> documentation relating to </w:t>
      </w:r>
      <w:r w:rsidR="00B01EFC">
        <w:rPr>
          <w:lang w:val="en-CA"/>
        </w:rPr>
        <w:t>her</w:t>
      </w:r>
      <w:r w:rsidR="00BB41AC" w:rsidRPr="00BB41AC">
        <w:rPr>
          <w:lang w:val="en-CA"/>
        </w:rPr>
        <w:t xml:space="preserve"> release, no</w:t>
      </w:r>
      <w:r w:rsidR="00B01EFC">
        <w:rPr>
          <w:lang w:val="en-CA"/>
        </w:rPr>
        <w:t>r an</w:t>
      </w:r>
      <w:r w:rsidR="00BB41AC" w:rsidRPr="00BB41AC">
        <w:rPr>
          <w:lang w:val="en-CA"/>
        </w:rPr>
        <w:t xml:space="preserve"> affidavit from the politician. </w:t>
      </w:r>
    </w:p>
    <w:p w:rsidR="00BB41AC" w:rsidRPr="00BB41AC" w:rsidRDefault="009F1292">
      <w:pPr>
        <w:pStyle w:val="SingleTxtG"/>
        <w:rPr>
          <w:lang w:val="en-CA"/>
        </w:rPr>
      </w:pPr>
      <w:r>
        <w:rPr>
          <w:lang w:val="en-CA"/>
        </w:rPr>
        <w:t>4.</w:t>
      </w:r>
      <w:r w:rsidR="0071239A">
        <w:rPr>
          <w:lang w:val="en-CA"/>
        </w:rPr>
        <w:t>2</w:t>
      </w:r>
      <w:r w:rsidR="006811EC">
        <w:rPr>
          <w:lang w:val="en-CA"/>
        </w:rPr>
        <w:t>5</w:t>
      </w:r>
      <w:r>
        <w:rPr>
          <w:lang w:val="en-CA"/>
        </w:rPr>
        <w:tab/>
        <w:t xml:space="preserve">The </w:t>
      </w:r>
      <w:r w:rsidR="00F75C84">
        <w:rPr>
          <w:lang w:val="en-CA"/>
        </w:rPr>
        <w:t xml:space="preserve">State party </w:t>
      </w:r>
      <w:r w:rsidR="00BB41AC" w:rsidRPr="00BB41AC">
        <w:rPr>
          <w:lang w:val="en-CA"/>
        </w:rPr>
        <w:t xml:space="preserve">observes that the </w:t>
      </w:r>
      <w:r w:rsidR="00043463">
        <w:rPr>
          <w:lang w:val="en-CA"/>
        </w:rPr>
        <w:t>complainant</w:t>
      </w:r>
      <w:r w:rsidR="00BB41AC" w:rsidRPr="00BB41AC">
        <w:rPr>
          <w:lang w:val="en-CA"/>
        </w:rPr>
        <w:t xml:space="preserve"> alleged that she </w:t>
      </w:r>
      <w:r w:rsidR="00B01EFC">
        <w:rPr>
          <w:lang w:val="en-CA"/>
        </w:rPr>
        <w:t xml:space="preserve">had </w:t>
      </w:r>
      <w:r w:rsidR="00BB41AC" w:rsidRPr="00BB41AC">
        <w:rPr>
          <w:lang w:val="en-CA"/>
        </w:rPr>
        <w:t>suffered significant mistreatment while in custody</w:t>
      </w:r>
      <w:r w:rsidR="00B01EFC">
        <w:rPr>
          <w:lang w:val="en-CA"/>
        </w:rPr>
        <w:t>,</w:t>
      </w:r>
      <w:r w:rsidR="00F75C84">
        <w:rPr>
          <w:lang w:val="en-CA"/>
        </w:rPr>
        <w:t xml:space="preserve"> but</w:t>
      </w:r>
      <w:r w:rsidR="00BB41AC" w:rsidRPr="00BB41AC">
        <w:rPr>
          <w:lang w:val="en-CA"/>
        </w:rPr>
        <w:t xml:space="preserve"> she </w:t>
      </w:r>
      <w:r w:rsidR="00B01EFC">
        <w:rPr>
          <w:lang w:val="en-CA"/>
        </w:rPr>
        <w:t>did</w:t>
      </w:r>
      <w:r w:rsidR="00BB41AC" w:rsidRPr="00BB41AC">
        <w:rPr>
          <w:lang w:val="en-CA"/>
        </w:rPr>
        <w:t xml:space="preserve"> not submit</w:t>
      </w:r>
      <w:r w:rsidR="00B01EFC">
        <w:rPr>
          <w:lang w:val="en-CA"/>
        </w:rPr>
        <w:t xml:space="preserve"> any</w:t>
      </w:r>
      <w:r w:rsidR="00BB41AC" w:rsidRPr="00BB41AC">
        <w:rPr>
          <w:lang w:val="en-CA"/>
        </w:rPr>
        <w:t xml:space="preserve"> medical records, affidavits or letters from any doctor or other medical staff</w:t>
      </w:r>
      <w:r w:rsidR="00F75C84">
        <w:rPr>
          <w:lang w:val="en-CA"/>
        </w:rPr>
        <w:t xml:space="preserve"> to </w:t>
      </w:r>
      <w:r w:rsidR="00BB41AC" w:rsidRPr="00BB41AC">
        <w:rPr>
          <w:lang w:val="en-CA"/>
        </w:rPr>
        <w:t xml:space="preserve">attest to her alleged injuries. Although the </w:t>
      </w:r>
      <w:r w:rsidR="00043463">
        <w:rPr>
          <w:lang w:val="en-CA"/>
        </w:rPr>
        <w:t>complainant</w:t>
      </w:r>
      <w:r w:rsidR="00BB41AC" w:rsidRPr="00BB41AC">
        <w:rPr>
          <w:lang w:val="en-CA"/>
        </w:rPr>
        <w:t xml:space="preserve"> alleges that the experience continues to cause her emotional upset, she has not submitted documents of any kind from doctors or other health</w:t>
      </w:r>
      <w:r w:rsidR="00CF28B7">
        <w:rPr>
          <w:lang w:val="en-CA"/>
        </w:rPr>
        <w:t>-</w:t>
      </w:r>
      <w:r w:rsidR="00BB41AC" w:rsidRPr="00BB41AC">
        <w:rPr>
          <w:lang w:val="en-CA"/>
        </w:rPr>
        <w:t xml:space="preserve">care providers in </w:t>
      </w:r>
      <w:r w:rsidR="00570923">
        <w:rPr>
          <w:lang w:val="en-CA"/>
        </w:rPr>
        <w:t>the State party</w:t>
      </w:r>
      <w:r w:rsidR="00BB41AC" w:rsidRPr="00BB41AC">
        <w:rPr>
          <w:lang w:val="en-CA"/>
        </w:rPr>
        <w:t xml:space="preserve"> to attest to any </w:t>
      </w:r>
      <w:r w:rsidR="00CD43D0">
        <w:rPr>
          <w:lang w:val="en-CA"/>
        </w:rPr>
        <w:t>ongo</w:t>
      </w:r>
      <w:r w:rsidR="00BB41AC" w:rsidRPr="00BB41AC">
        <w:rPr>
          <w:lang w:val="en-CA"/>
        </w:rPr>
        <w:t xml:space="preserve">ing physical or psychological harm. </w:t>
      </w:r>
      <w:r w:rsidR="00F75C84">
        <w:rPr>
          <w:lang w:val="en-CA"/>
        </w:rPr>
        <w:t>T</w:t>
      </w:r>
      <w:r w:rsidR="00BB41AC" w:rsidRPr="00BB41AC">
        <w:rPr>
          <w:lang w:val="en-CA"/>
        </w:rPr>
        <w:t xml:space="preserve">herefore </w:t>
      </w:r>
      <w:r w:rsidR="00B01EFC">
        <w:rPr>
          <w:lang w:val="en-CA"/>
        </w:rPr>
        <w:t>the</w:t>
      </w:r>
      <w:r w:rsidR="00BB41AC" w:rsidRPr="00BB41AC">
        <w:rPr>
          <w:lang w:val="en-CA"/>
        </w:rPr>
        <w:t xml:space="preserve"> core factual allegation of relevance to her claim in respect of </w:t>
      </w:r>
      <w:r w:rsidR="00F75C84">
        <w:rPr>
          <w:lang w:val="en-CA"/>
        </w:rPr>
        <w:t>a</w:t>
      </w:r>
      <w:r w:rsidR="00BB41AC" w:rsidRPr="00BB41AC">
        <w:rPr>
          <w:lang w:val="en-CA"/>
        </w:rPr>
        <w:t xml:space="preserve">rticle 3 of </w:t>
      </w:r>
      <w:r w:rsidR="00BB41AC" w:rsidRPr="00F75C84">
        <w:rPr>
          <w:lang w:val="en-CA"/>
        </w:rPr>
        <w:t>the Convention is entirely</w:t>
      </w:r>
      <w:r w:rsidR="00BB41AC" w:rsidRPr="00BB41AC">
        <w:rPr>
          <w:lang w:val="en-CA"/>
        </w:rPr>
        <w:t xml:space="preserve"> </w:t>
      </w:r>
      <w:r w:rsidR="00B01EFC">
        <w:rPr>
          <w:lang w:val="en-CA"/>
        </w:rPr>
        <w:t>un</w:t>
      </w:r>
      <w:r w:rsidR="00BB41AC" w:rsidRPr="00BB41AC">
        <w:rPr>
          <w:lang w:val="en-CA"/>
        </w:rPr>
        <w:t xml:space="preserve">substantiated. </w:t>
      </w:r>
    </w:p>
    <w:p w:rsidR="006811EC" w:rsidRDefault="00F75C84">
      <w:pPr>
        <w:pStyle w:val="SingleTxtG"/>
        <w:rPr>
          <w:lang w:val="en-CA"/>
        </w:rPr>
      </w:pPr>
      <w:r>
        <w:rPr>
          <w:lang w:val="en-CA"/>
        </w:rPr>
        <w:t>4.</w:t>
      </w:r>
      <w:r w:rsidR="0071239A">
        <w:rPr>
          <w:lang w:val="en-CA"/>
        </w:rPr>
        <w:t>2</w:t>
      </w:r>
      <w:r w:rsidR="006811EC">
        <w:rPr>
          <w:lang w:val="en-CA"/>
        </w:rPr>
        <w:t>6</w:t>
      </w:r>
      <w:r>
        <w:rPr>
          <w:lang w:val="en-CA"/>
        </w:rPr>
        <w:tab/>
        <w:t>T</w:t>
      </w:r>
      <w:r w:rsidR="00BB41AC" w:rsidRPr="00BB41AC">
        <w:rPr>
          <w:lang w:val="en-CA"/>
        </w:rPr>
        <w:t xml:space="preserve">he </w:t>
      </w:r>
      <w:r w:rsidR="00043463">
        <w:rPr>
          <w:lang w:val="en-CA"/>
        </w:rPr>
        <w:t>complainant</w:t>
      </w:r>
      <w:r w:rsidR="00BB41AC" w:rsidRPr="00BB41AC">
        <w:rPr>
          <w:lang w:val="en-CA"/>
        </w:rPr>
        <w:t xml:space="preserve"> ha</w:t>
      </w:r>
      <w:r w:rsidR="00D17ED6">
        <w:rPr>
          <w:lang w:val="en-CA"/>
        </w:rPr>
        <w:t>d</w:t>
      </w:r>
      <w:r w:rsidR="00BB41AC" w:rsidRPr="00BB41AC">
        <w:rPr>
          <w:lang w:val="en-CA"/>
        </w:rPr>
        <w:t xml:space="preserve"> submitted two </w:t>
      </w:r>
      <w:r w:rsidR="00545C48">
        <w:rPr>
          <w:lang w:val="en-CA"/>
        </w:rPr>
        <w:t>first information reports</w:t>
      </w:r>
      <w:r w:rsidR="00BB41AC" w:rsidRPr="00BB41AC">
        <w:rPr>
          <w:lang w:val="en-CA"/>
        </w:rPr>
        <w:t xml:space="preserve"> filed </w:t>
      </w:r>
      <w:r w:rsidR="00545C48">
        <w:rPr>
          <w:lang w:val="en-CA"/>
        </w:rPr>
        <w:t>with</w:t>
      </w:r>
      <w:r w:rsidR="00BB41AC" w:rsidRPr="00BB41AC">
        <w:rPr>
          <w:lang w:val="en-CA"/>
        </w:rPr>
        <w:t xml:space="preserve"> the Pakistani police</w:t>
      </w:r>
      <w:r w:rsidR="00545C48">
        <w:rPr>
          <w:lang w:val="en-CA"/>
        </w:rPr>
        <w:t xml:space="preserve"> — </w:t>
      </w:r>
      <w:r w:rsidR="00BB41AC" w:rsidRPr="00BB41AC">
        <w:rPr>
          <w:lang w:val="en-CA"/>
        </w:rPr>
        <w:t>the first with respect to her allegation that she was assaulted on 14 December 1999, and the second with respect to her allegation that her then husband</w:t>
      </w:r>
      <w:r w:rsidR="00545C48">
        <w:rPr>
          <w:lang w:val="en-CA"/>
        </w:rPr>
        <w:t>,</w:t>
      </w:r>
      <w:r w:rsidR="00BB41AC" w:rsidRPr="00BB41AC">
        <w:rPr>
          <w:lang w:val="en-CA"/>
        </w:rPr>
        <w:t xml:space="preserve"> </w:t>
      </w:r>
      <w:r w:rsidR="00570923">
        <w:rPr>
          <w:lang w:val="en-CA"/>
        </w:rPr>
        <w:t>B.A.</w:t>
      </w:r>
      <w:r w:rsidR="00545C48">
        <w:rPr>
          <w:lang w:val="en-CA"/>
        </w:rPr>
        <w:t>,</w:t>
      </w:r>
      <w:r w:rsidR="00BB41AC" w:rsidRPr="00BB41AC">
        <w:rPr>
          <w:lang w:val="en-CA"/>
        </w:rPr>
        <w:t xml:space="preserve"> was shot by B</w:t>
      </w:r>
      <w:r w:rsidR="00D17ED6">
        <w:rPr>
          <w:lang w:val="en-CA"/>
        </w:rPr>
        <w:t>.</w:t>
      </w:r>
      <w:r w:rsidR="00BB41AC" w:rsidRPr="00BB41AC">
        <w:rPr>
          <w:lang w:val="en-CA"/>
        </w:rPr>
        <w:t xml:space="preserve"> and his sons on 25 September 2001</w:t>
      </w:r>
      <w:r w:rsidR="00545C48">
        <w:rPr>
          <w:lang w:val="en-CA"/>
        </w:rPr>
        <w:t xml:space="preserve"> —</w:t>
      </w:r>
      <w:r w:rsidR="00D17ED6">
        <w:rPr>
          <w:lang w:val="en-CA"/>
        </w:rPr>
        <w:t>,</w:t>
      </w:r>
      <w:r w:rsidR="00BB41AC" w:rsidRPr="00BB41AC">
        <w:rPr>
          <w:lang w:val="en-CA"/>
        </w:rPr>
        <w:t xml:space="preserve"> a hospital report for </w:t>
      </w:r>
      <w:r w:rsidR="00D17ED6">
        <w:rPr>
          <w:lang w:val="en-CA"/>
        </w:rPr>
        <w:t>B.A.</w:t>
      </w:r>
      <w:r w:rsidR="00BB41AC" w:rsidRPr="00BB41AC">
        <w:rPr>
          <w:lang w:val="en-CA"/>
        </w:rPr>
        <w:t xml:space="preserve"> dated 25 September 2001</w:t>
      </w:r>
      <w:r w:rsidR="00D17ED6">
        <w:rPr>
          <w:lang w:val="en-CA"/>
        </w:rPr>
        <w:t xml:space="preserve"> and</w:t>
      </w:r>
      <w:r w:rsidR="00BB41AC" w:rsidRPr="00BB41AC">
        <w:rPr>
          <w:lang w:val="en-CA"/>
        </w:rPr>
        <w:t xml:space="preserve"> a hospital report for herself, dated 30 October 2002. </w:t>
      </w:r>
      <w:r w:rsidR="00D17ED6">
        <w:rPr>
          <w:lang w:val="en-CA"/>
        </w:rPr>
        <w:t>T</w:t>
      </w:r>
      <w:r w:rsidR="00BB41AC" w:rsidRPr="00BB41AC">
        <w:rPr>
          <w:lang w:val="en-CA"/>
        </w:rPr>
        <w:t xml:space="preserve">he date of this latter report does not correspond to any violent incident alleged by the </w:t>
      </w:r>
      <w:r w:rsidR="00043463">
        <w:rPr>
          <w:lang w:val="en-CA"/>
        </w:rPr>
        <w:t>complainant</w:t>
      </w:r>
      <w:r w:rsidR="00BB41AC" w:rsidRPr="00BB41AC">
        <w:rPr>
          <w:lang w:val="en-CA"/>
        </w:rPr>
        <w:t xml:space="preserve"> and</w:t>
      </w:r>
      <w:r w:rsidR="00D17ED6">
        <w:rPr>
          <w:lang w:val="en-CA"/>
        </w:rPr>
        <w:t xml:space="preserve"> she</w:t>
      </w:r>
      <w:r w:rsidR="00BB41AC" w:rsidRPr="00BB41AC">
        <w:rPr>
          <w:lang w:val="en-CA"/>
        </w:rPr>
        <w:t xml:space="preserve"> </w:t>
      </w:r>
      <w:r w:rsidR="00CF28B7">
        <w:rPr>
          <w:lang w:val="en-CA"/>
        </w:rPr>
        <w:t>di</w:t>
      </w:r>
      <w:r w:rsidR="00D17ED6">
        <w:rPr>
          <w:lang w:val="en-CA"/>
        </w:rPr>
        <w:t>d</w:t>
      </w:r>
      <w:r w:rsidR="00BB41AC" w:rsidRPr="00BB41AC">
        <w:rPr>
          <w:lang w:val="en-CA"/>
        </w:rPr>
        <w:t xml:space="preserve"> not explained </w:t>
      </w:r>
      <w:r w:rsidR="00545C48">
        <w:rPr>
          <w:lang w:val="en-CA"/>
        </w:rPr>
        <w:t>its</w:t>
      </w:r>
      <w:r w:rsidR="00BB41AC" w:rsidRPr="00BB41AC">
        <w:rPr>
          <w:lang w:val="en-CA"/>
        </w:rPr>
        <w:t xml:space="preserve"> relevance</w:t>
      </w:r>
      <w:r w:rsidR="00D17ED6">
        <w:rPr>
          <w:lang w:val="en-CA"/>
        </w:rPr>
        <w:t xml:space="preserve"> </w:t>
      </w:r>
      <w:r w:rsidR="00BB41AC" w:rsidRPr="00BB41AC">
        <w:rPr>
          <w:lang w:val="en-CA"/>
        </w:rPr>
        <w:t>to the communication.</w:t>
      </w:r>
      <w:r w:rsidR="00D17ED6">
        <w:rPr>
          <w:lang w:val="en-CA"/>
        </w:rPr>
        <w:t xml:space="preserve"> </w:t>
      </w:r>
      <w:r w:rsidR="00BB41AC" w:rsidRPr="00BB41AC">
        <w:rPr>
          <w:lang w:val="en-CA"/>
        </w:rPr>
        <w:t xml:space="preserve">The </w:t>
      </w:r>
      <w:r w:rsidR="00043463">
        <w:rPr>
          <w:lang w:val="en-CA"/>
        </w:rPr>
        <w:t>complainant</w:t>
      </w:r>
      <w:r w:rsidR="00BB41AC" w:rsidRPr="00BB41AC">
        <w:rPr>
          <w:lang w:val="en-CA"/>
        </w:rPr>
        <w:t xml:space="preserve"> did not provide </w:t>
      </w:r>
      <w:r w:rsidR="009D56EB">
        <w:rPr>
          <w:lang w:val="en-CA"/>
        </w:rPr>
        <w:t>the</w:t>
      </w:r>
      <w:r w:rsidR="00BB41AC" w:rsidRPr="00BB41AC">
        <w:rPr>
          <w:lang w:val="en-CA"/>
        </w:rPr>
        <w:t xml:space="preserve"> </w:t>
      </w:r>
      <w:r w:rsidR="00545C48">
        <w:rPr>
          <w:lang w:val="en-CA"/>
        </w:rPr>
        <w:t xml:space="preserve">State party’s </w:t>
      </w:r>
      <w:r w:rsidR="00BB41AC" w:rsidRPr="00BB41AC">
        <w:rPr>
          <w:lang w:val="en-CA"/>
        </w:rPr>
        <w:t>decision</w:t>
      </w:r>
      <w:r w:rsidR="004E7040">
        <w:rPr>
          <w:lang w:val="en-CA"/>
        </w:rPr>
        <w:t xml:space="preserve"> </w:t>
      </w:r>
      <w:r w:rsidR="00BB41AC" w:rsidRPr="00BB41AC">
        <w:rPr>
          <w:lang w:val="en-CA"/>
        </w:rPr>
        <w:t>makers with any evidence of either State actions or State acquiescence</w:t>
      </w:r>
      <w:r w:rsidR="00530EA7">
        <w:rPr>
          <w:lang w:val="en-CA"/>
        </w:rPr>
        <w:t xml:space="preserve"> that</w:t>
      </w:r>
      <w:r w:rsidR="00BB41AC" w:rsidRPr="00BB41AC">
        <w:rPr>
          <w:lang w:val="en-CA"/>
        </w:rPr>
        <w:t xml:space="preserve"> caus</w:t>
      </w:r>
      <w:r w:rsidR="00545C48">
        <w:rPr>
          <w:lang w:val="en-CA"/>
        </w:rPr>
        <w:t>ed</w:t>
      </w:r>
      <w:r w:rsidR="00BB41AC" w:rsidRPr="00BB41AC">
        <w:rPr>
          <w:lang w:val="en-CA"/>
        </w:rPr>
        <w:t xml:space="preserve"> or contribut</w:t>
      </w:r>
      <w:r w:rsidR="00545C48">
        <w:rPr>
          <w:lang w:val="en-CA"/>
        </w:rPr>
        <w:t>ed</w:t>
      </w:r>
      <w:r w:rsidR="00BB41AC" w:rsidRPr="00BB41AC">
        <w:rPr>
          <w:lang w:val="en-CA"/>
        </w:rPr>
        <w:t xml:space="preserve"> to “severe pain or suffering, whether physical or mental”</w:t>
      </w:r>
      <w:r w:rsidR="00545C48">
        <w:rPr>
          <w:lang w:val="en-CA"/>
        </w:rPr>
        <w:t>,</w:t>
      </w:r>
      <w:r w:rsidR="00BB41AC" w:rsidRPr="00BB41AC">
        <w:rPr>
          <w:lang w:val="en-CA"/>
        </w:rPr>
        <w:t xml:space="preserve"> consistent with the definition of torture </w:t>
      </w:r>
      <w:r w:rsidR="00BB41AC" w:rsidRPr="00C91236">
        <w:rPr>
          <w:lang w:val="en-CA"/>
        </w:rPr>
        <w:t xml:space="preserve">under </w:t>
      </w:r>
      <w:r w:rsidR="009D56EB" w:rsidRPr="00C91236">
        <w:rPr>
          <w:lang w:val="en-CA"/>
        </w:rPr>
        <w:t>a</w:t>
      </w:r>
      <w:r w:rsidR="00BB41AC" w:rsidRPr="00C91236">
        <w:rPr>
          <w:lang w:val="en-CA"/>
        </w:rPr>
        <w:t xml:space="preserve">rticle 1 of the Convention. </w:t>
      </w:r>
    </w:p>
    <w:p w:rsidR="00BB41AC" w:rsidRPr="00BB41AC" w:rsidRDefault="00C91236">
      <w:pPr>
        <w:pStyle w:val="SingleTxtG"/>
        <w:rPr>
          <w:lang w:val="en-CA"/>
        </w:rPr>
      </w:pPr>
      <w:r>
        <w:rPr>
          <w:lang w:val="en-CA"/>
        </w:rPr>
        <w:t>4.</w:t>
      </w:r>
      <w:r w:rsidR="0071239A">
        <w:rPr>
          <w:lang w:val="en-CA"/>
        </w:rPr>
        <w:t>2</w:t>
      </w:r>
      <w:r w:rsidR="006811EC">
        <w:rPr>
          <w:lang w:val="en-CA"/>
        </w:rPr>
        <w:t>7</w:t>
      </w:r>
      <w:r>
        <w:rPr>
          <w:lang w:val="en-CA"/>
        </w:rPr>
        <w:tab/>
      </w:r>
      <w:r w:rsidR="00270761">
        <w:rPr>
          <w:lang w:val="en-CA"/>
        </w:rPr>
        <w:t>T</w:t>
      </w:r>
      <w:r>
        <w:rPr>
          <w:lang w:val="en-CA"/>
        </w:rPr>
        <w:t xml:space="preserve">he State party </w:t>
      </w:r>
      <w:r w:rsidR="00BB41AC" w:rsidRPr="00BB41AC">
        <w:rPr>
          <w:lang w:val="en-CA"/>
        </w:rPr>
        <w:t>submi</w:t>
      </w:r>
      <w:r>
        <w:rPr>
          <w:lang w:val="en-CA"/>
        </w:rPr>
        <w:t>t</w:t>
      </w:r>
      <w:r w:rsidR="00545C48">
        <w:rPr>
          <w:lang w:val="en-CA"/>
        </w:rPr>
        <w:t>s</w:t>
      </w:r>
      <w:r w:rsidR="00BB41AC" w:rsidRPr="00BB41AC">
        <w:rPr>
          <w:lang w:val="en-CA"/>
        </w:rPr>
        <w:t xml:space="preserve"> that</w:t>
      </w:r>
      <w:r w:rsidR="00545C48">
        <w:rPr>
          <w:lang w:val="en-CA"/>
        </w:rPr>
        <w:t>, although</w:t>
      </w:r>
      <w:r w:rsidR="00283010">
        <w:rPr>
          <w:lang w:val="en-CA"/>
        </w:rPr>
        <w:t xml:space="preserve"> </w:t>
      </w:r>
      <w:r w:rsidR="00BB41AC" w:rsidRPr="00BB41AC">
        <w:rPr>
          <w:lang w:val="en-CA"/>
        </w:rPr>
        <w:t xml:space="preserve">the </w:t>
      </w:r>
      <w:r w:rsidR="00043463">
        <w:rPr>
          <w:lang w:val="en-CA"/>
        </w:rPr>
        <w:t>complainant</w:t>
      </w:r>
      <w:r w:rsidR="00BB41AC" w:rsidRPr="00BB41AC">
        <w:rPr>
          <w:lang w:val="en-CA"/>
        </w:rPr>
        <w:t xml:space="preserve"> allege</w:t>
      </w:r>
      <w:r>
        <w:rPr>
          <w:lang w:val="en-CA"/>
        </w:rPr>
        <w:t>d</w:t>
      </w:r>
      <w:r w:rsidR="00BB41AC" w:rsidRPr="00BB41AC">
        <w:rPr>
          <w:lang w:val="en-CA"/>
        </w:rPr>
        <w:t xml:space="preserve"> that she face</w:t>
      </w:r>
      <w:r w:rsidR="00545C48">
        <w:rPr>
          <w:lang w:val="en-CA"/>
        </w:rPr>
        <w:t>d</w:t>
      </w:r>
      <w:r w:rsidR="00BB41AC" w:rsidRPr="00BB41AC">
        <w:rPr>
          <w:lang w:val="en-CA"/>
        </w:rPr>
        <w:t xml:space="preserve"> a future risk of torture upon return because of the false accusation of adultery made by B</w:t>
      </w:r>
      <w:r>
        <w:rPr>
          <w:lang w:val="en-CA"/>
        </w:rPr>
        <w:t>.</w:t>
      </w:r>
      <w:r w:rsidR="00BB41AC" w:rsidRPr="00BB41AC">
        <w:rPr>
          <w:lang w:val="en-CA"/>
        </w:rPr>
        <w:t xml:space="preserve">, she </w:t>
      </w:r>
      <w:r w:rsidR="00545C48">
        <w:rPr>
          <w:lang w:val="en-CA"/>
        </w:rPr>
        <w:t>did not</w:t>
      </w:r>
      <w:r w:rsidR="00BB41AC" w:rsidRPr="00BB41AC">
        <w:rPr>
          <w:lang w:val="en-CA"/>
        </w:rPr>
        <w:t xml:space="preserve"> provide</w:t>
      </w:r>
      <w:r w:rsidR="00545C48">
        <w:rPr>
          <w:lang w:val="en-CA"/>
        </w:rPr>
        <w:t xml:space="preserve"> any</w:t>
      </w:r>
      <w:r w:rsidR="00BB41AC" w:rsidRPr="00BB41AC">
        <w:rPr>
          <w:lang w:val="en-CA"/>
        </w:rPr>
        <w:t xml:space="preserve"> evidence to demonstrate that the police or other State </w:t>
      </w:r>
      <w:r>
        <w:rPr>
          <w:lang w:val="en-CA"/>
        </w:rPr>
        <w:t>author</w:t>
      </w:r>
      <w:r w:rsidR="00BB41AC" w:rsidRPr="00BB41AC">
        <w:rPr>
          <w:lang w:val="en-CA"/>
        </w:rPr>
        <w:t>ities in Pakistan ha</w:t>
      </w:r>
      <w:r w:rsidR="00545C48">
        <w:rPr>
          <w:lang w:val="en-CA"/>
        </w:rPr>
        <w:t>d</w:t>
      </w:r>
      <w:r w:rsidR="00BB41AC" w:rsidRPr="00BB41AC">
        <w:rPr>
          <w:lang w:val="en-CA"/>
        </w:rPr>
        <w:t xml:space="preserve"> any interest in responding to B</w:t>
      </w:r>
      <w:r>
        <w:rPr>
          <w:lang w:val="en-CA"/>
        </w:rPr>
        <w:t>.</w:t>
      </w:r>
      <w:r w:rsidR="00BB41AC" w:rsidRPr="00BB41AC">
        <w:rPr>
          <w:lang w:val="en-CA"/>
        </w:rPr>
        <w:t>’s accusation of adultery</w:t>
      </w:r>
      <w:r>
        <w:rPr>
          <w:lang w:val="en-CA"/>
        </w:rPr>
        <w:t>. The</w:t>
      </w:r>
      <w:r w:rsidR="00BB41AC" w:rsidRPr="00BB41AC">
        <w:rPr>
          <w:lang w:val="en-CA"/>
        </w:rPr>
        <w:t xml:space="preserve"> accusation</w:t>
      </w:r>
      <w:r>
        <w:rPr>
          <w:lang w:val="en-CA"/>
        </w:rPr>
        <w:t xml:space="preserve"> w</w:t>
      </w:r>
      <w:r w:rsidR="00C43F1F">
        <w:rPr>
          <w:lang w:val="en-CA"/>
        </w:rPr>
        <w:t>as</w:t>
      </w:r>
      <w:r>
        <w:rPr>
          <w:lang w:val="en-CA"/>
        </w:rPr>
        <w:t xml:space="preserve"> made</w:t>
      </w:r>
      <w:r w:rsidR="00BB41AC" w:rsidRPr="00BB41AC">
        <w:rPr>
          <w:lang w:val="en-CA"/>
        </w:rPr>
        <w:t xml:space="preserve"> in November 2006, </w:t>
      </w:r>
      <w:r w:rsidR="00545C48">
        <w:rPr>
          <w:lang w:val="en-CA"/>
        </w:rPr>
        <w:t xml:space="preserve">that is </w:t>
      </w:r>
      <w:r w:rsidR="00BB41AC" w:rsidRPr="00BB41AC">
        <w:rPr>
          <w:lang w:val="en-CA"/>
        </w:rPr>
        <w:t>over six years ago</w:t>
      </w:r>
      <w:r>
        <w:rPr>
          <w:lang w:val="en-CA"/>
        </w:rPr>
        <w:t>; t</w:t>
      </w:r>
      <w:r w:rsidR="00BB41AC" w:rsidRPr="00BB41AC">
        <w:rPr>
          <w:lang w:val="en-CA"/>
        </w:rPr>
        <w:t xml:space="preserve">he </w:t>
      </w:r>
      <w:r w:rsidR="00043463">
        <w:rPr>
          <w:lang w:val="en-CA"/>
        </w:rPr>
        <w:t>complainant</w:t>
      </w:r>
      <w:r w:rsidR="00BB41AC" w:rsidRPr="00BB41AC">
        <w:rPr>
          <w:lang w:val="en-CA"/>
        </w:rPr>
        <w:t xml:space="preserve"> never alleged that the police</w:t>
      </w:r>
      <w:r w:rsidR="003B7D49">
        <w:rPr>
          <w:lang w:val="en-CA"/>
        </w:rPr>
        <w:t xml:space="preserve"> had</w:t>
      </w:r>
      <w:r w:rsidR="00BB41AC" w:rsidRPr="00BB41AC">
        <w:rPr>
          <w:lang w:val="en-CA"/>
        </w:rPr>
        <w:t xml:space="preserve"> initiated an investigation or brought formal charges</w:t>
      </w:r>
      <w:r>
        <w:rPr>
          <w:lang w:val="en-CA"/>
        </w:rPr>
        <w:t xml:space="preserve"> or</w:t>
      </w:r>
      <w:r w:rsidR="00BB41AC" w:rsidRPr="00BB41AC">
        <w:rPr>
          <w:lang w:val="en-CA"/>
        </w:rPr>
        <w:t xml:space="preserve"> ever took any action after </w:t>
      </w:r>
      <w:r w:rsidR="003B7D49">
        <w:rPr>
          <w:lang w:val="en-CA"/>
        </w:rPr>
        <w:t xml:space="preserve">she had </w:t>
      </w:r>
      <w:r w:rsidR="00BB41AC" w:rsidRPr="00BB41AC">
        <w:rPr>
          <w:lang w:val="en-CA"/>
        </w:rPr>
        <w:t>fil</w:t>
      </w:r>
      <w:r w:rsidR="003B7D49">
        <w:rPr>
          <w:lang w:val="en-CA"/>
        </w:rPr>
        <w:t>ed</w:t>
      </w:r>
      <w:r w:rsidR="00BB41AC" w:rsidRPr="00BB41AC">
        <w:rPr>
          <w:lang w:val="en-CA"/>
        </w:rPr>
        <w:t xml:space="preserve"> the initial </w:t>
      </w:r>
      <w:r w:rsidR="003B7D49">
        <w:rPr>
          <w:lang w:val="en-CA"/>
        </w:rPr>
        <w:t>report concerning</w:t>
      </w:r>
      <w:r w:rsidR="00BB41AC" w:rsidRPr="00BB41AC">
        <w:rPr>
          <w:lang w:val="en-CA"/>
        </w:rPr>
        <w:t xml:space="preserve"> B</w:t>
      </w:r>
      <w:r>
        <w:rPr>
          <w:lang w:val="en-CA"/>
        </w:rPr>
        <w:t>.</w:t>
      </w:r>
      <w:r w:rsidR="00BB41AC" w:rsidRPr="00BB41AC">
        <w:rPr>
          <w:lang w:val="en-CA"/>
        </w:rPr>
        <w:t xml:space="preserve">’s accusation. </w:t>
      </w:r>
      <w:r>
        <w:rPr>
          <w:lang w:val="en-CA"/>
        </w:rPr>
        <w:t>T</w:t>
      </w:r>
      <w:r w:rsidR="00BB41AC" w:rsidRPr="00BB41AC">
        <w:rPr>
          <w:lang w:val="en-CA"/>
        </w:rPr>
        <w:t xml:space="preserve">he </w:t>
      </w:r>
      <w:r w:rsidR="00043463">
        <w:rPr>
          <w:lang w:val="en-CA"/>
        </w:rPr>
        <w:t>complainant</w:t>
      </w:r>
      <w:r w:rsidR="00BB41AC" w:rsidRPr="00BB41AC">
        <w:rPr>
          <w:lang w:val="en-CA"/>
        </w:rPr>
        <w:t xml:space="preserve"> testified at </w:t>
      </w:r>
      <w:r w:rsidR="003B7D49">
        <w:rPr>
          <w:lang w:val="en-CA"/>
        </w:rPr>
        <w:t>the</w:t>
      </w:r>
      <w:r w:rsidR="00BB41AC" w:rsidRPr="00BB41AC">
        <w:rPr>
          <w:lang w:val="en-CA"/>
        </w:rPr>
        <w:t xml:space="preserve"> R</w:t>
      </w:r>
      <w:r w:rsidR="003B7D49">
        <w:rPr>
          <w:lang w:val="en-CA"/>
        </w:rPr>
        <w:t xml:space="preserve">efugee </w:t>
      </w:r>
      <w:r w:rsidR="00BB41AC" w:rsidRPr="00BB41AC">
        <w:rPr>
          <w:lang w:val="en-CA"/>
        </w:rPr>
        <w:t>P</w:t>
      </w:r>
      <w:r w:rsidR="003B7D49">
        <w:rPr>
          <w:lang w:val="en-CA"/>
        </w:rPr>
        <w:t xml:space="preserve">rotection </w:t>
      </w:r>
      <w:r w:rsidR="00BB41AC" w:rsidRPr="00BB41AC">
        <w:rPr>
          <w:lang w:val="en-CA"/>
        </w:rPr>
        <w:t>D</w:t>
      </w:r>
      <w:r w:rsidR="003B7D49">
        <w:rPr>
          <w:lang w:val="en-CA"/>
        </w:rPr>
        <w:t>ivision</w:t>
      </w:r>
      <w:r w:rsidR="00BB41AC" w:rsidRPr="00BB41AC">
        <w:rPr>
          <w:lang w:val="en-CA"/>
        </w:rPr>
        <w:t xml:space="preserve"> hearing that she le</w:t>
      </w:r>
      <w:r w:rsidR="003B7D49">
        <w:rPr>
          <w:lang w:val="en-CA"/>
        </w:rPr>
        <w:t>ft</w:t>
      </w:r>
      <w:r w:rsidR="00BB41AC" w:rsidRPr="00BB41AC">
        <w:rPr>
          <w:lang w:val="en-CA"/>
        </w:rPr>
        <w:t xml:space="preserve"> Pakistan </w:t>
      </w:r>
      <w:r w:rsidR="00CF28B7" w:rsidRPr="00BB41AC">
        <w:rPr>
          <w:lang w:val="en-CA"/>
        </w:rPr>
        <w:t>in January 2007</w:t>
      </w:r>
      <w:r w:rsidR="00CF28B7">
        <w:rPr>
          <w:lang w:val="en-CA"/>
        </w:rPr>
        <w:t xml:space="preserve"> </w:t>
      </w:r>
      <w:r w:rsidR="00BB41AC" w:rsidRPr="00BB41AC">
        <w:rPr>
          <w:lang w:val="en-CA"/>
        </w:rPr>
        <w:t>using her own passport</w:t>
      </w:r>
      <w:r w:rsidR="003B7D49">
        <w:rPr>
          <w:lang w:val="en-CA"/>
        </w:rPr>
        <w:t>, which</w:t>
      </w:r>
      <w:r w:rsidR="00BB41AC" w:rsidRPr="00BB41AC">
        <w:rPr>
          <w:lang w:val="en-CA"/>
        </w:rPr>
        <w:t xml:space="preserve"> is consistent with the notion that </w:t>
      </w:r>
      <w:r>
        <w:rPr>
          <w:lang w:val="en-CA"/>
        </w:rPr>
        <w:t>B.</w:t>
      </w:r>
      <w:r w:rsidR="00BB41AC" w:rsidRPr="00BB41AC">
        <w:rPr>
          <w:lang w:val="en-CA"/>
        </w:rPr>
        <w:t>’s accusation was not being pursued at that time.</w:t>
      </w:r>
    </w:p>
    <w:p w:rsidR="002E4DEB" w:rsidRDefault="00C91236">
      <w:pPr>
        <w:pStyle w:val="SingleTxtG"/>
        <w:rPr>
          <w:lang w:val="en-CA"/>
        </w:rPr>
      </w:pPr>
      <w:r>
        <w:rPr>
          <w:lang w:val="en-CA"/>
        </w:rPr>
        <w:t>4.</w:t>
      </w:r>
      <w:r w:rsidR="006811EC">
        <w:rPr>
          <w:lang w:val="en-CA"/>
        </w:rPr>
        <w:t>28</w:t>
      </w:r>
      <w:r>
        <w:rPr>
          <w:lang w:val="en-CA"/>
        </w:rPr>
        <w:tab/>
      </w:r>
      <w:r w:rsidR="0071239A">
        <w:rPr>
          <w:lang w:val="en-CA"/>
        </w:rPr>
        <w:t xml:space="preserve">The State party </w:t>
      </w:r>
      <w:r w:rsidR="00BB41AC" w:rsidRPr="00BB41AC">
        <w:rPr>
          <w:lang w:val="en-CA"/>
        </w:rPr>
        <w:t>note</w:t>
      </w:r>
      <w:r w:rsidR="00270761">
        <w:rPr>
          <w:lang w:val="en-CA"/>
        </w:rPr>
        <w:t>s</w:t>
      </w:r>
      <w:r w:rsidR="00BB41AC" w:rsidRPr="00BB41AC">
        <w:rPr>
          <w:lang w:val="en-CA"/>
        </w:rPr>
        <w:t xml:space="preserve"> that a risk of arrest does not</w:t>
      </w:r>
      <w:r w:rsidR="00270761">
        <w:rPr>
          <w:lang w:val="en-CA"/>
        </w:rPr>
        <w:t>,</w:t>
      </w:r>
      <w:r w:rsidR="00BB41AC" w:rsidRPr="00BB41AC">
        <w:rPr>
          <w:lang w:val="en-CA"/>
        </w:rPr>
        <w:t xml:space="preserve"> in itself</w:t>
      </w:r>
      <w:r w:rsidR="00270761">
        <w:rPr>
          <w:lang w:val="en-CA"/>
        </w:rPr>
        <w:t>,</w:t>
      </w:r>
      <w:r w:rsidR="00BB41AC" w:rsidRPr="00BB41AC">
        <w:rPr>
          <w:lang w:val="en-CA"/>
        </w:rPr>
        <w:t xml:space="preserve"> establish </w:t>
      </w:r>
      <w:r w:rsidR="00270761">
        <w:rPr>
          <w:lang w:val="en-CA"/>
        </w:rPr>
        <w:t xml:space="preserve">that returning the complainant would be </w:t>
      </w:r>
      <w:r w:rsidR="00BB41AC" w:rsidRPr="00BB41AC">
        <w:rPr>
          <w:lang w:val="en-CA"/>
        </w:rPr>
        <w:t xml:space="preserve">a violation of the </w:t>
      </w:r>
      <w:r w:rsidR="00BB41AC" w:rsidRPr="0071239A">
        <w:rPr>
          <w:lang w:val="en-CA"/>
        </w:rPr>
        <w:t>Convention.</w:t>
      </w:r>
      <w:r w:rsidR="00C2541A">
        <w:rPr>
          <w:rStyle w:val="FootnoteReference"/>
          <w:lang w:val="en-CA"/>
        </w:rPr>
        <w:footnoteReference w:id="12"/>
      </w:r>
      <w:r w:rsidR="00BB41AC" w:rsidRPr="00BB41AC">
        <w:rPr>
          <w:lang w:val="en-CA"/>
        </w:rPr>
        <w:t xml:space="preserve"> The </w:t>
      </w:r>
      <w:r w:rsidR="00043463">
        <w:rPr>
          <w:lang w:val="en-CA"/>
        </w:rPr>
        <w:t>complainant</w:t>
      </w:r>
      <w:r w:rsidR="00BB41AC" w:rsidRPr="00BB41AC">
        <w:rPr>
          <w:lang w:val="en-CA"/>
        </w:rPr>
        <w:t xml:space="preserve">’s assertions that she is of continued interest to the local police and that she </w:t>
      </w:r>
      <w:r w:rsidR="003202CC">
        <w:rPr>
          <w:lang w:val="en-CA"/>
        </w:rPr>
        <w:t xml:space="preserve">is </w:t>
      </w:r>
      <w:r w:rsidR="00BB41AC" w:rsidRPr="00BB41AC">
        <w:rPr>
          <w:lang w:val="en-CA"/>
        </w:rPr>
        <w:t xml:space="preserve">at risk of arrest and imprisonment </w:t>
      </w:r>
      <w:r w:rsidR="00270761">
        <w:rPr>
          <w:lang w:val="en-CA"/>
        </w:rPr>
        <w:t>in Pakistan</w:t>
      </w:r>
      <w:r w:rsidR="00BB41AC" w:rsidRPr="00BB41AC">
        <w:rPr>
          <w:lang w:val="en-CA"/>
        </w:rPr>
        <w:t xml:space="preserve"> would not</w:t>
      </w:r>
      <w:r w:rsidR="00270761">
        <w:rPr>
          <w:lang w:val="en-CA"/>
        </w:rPr>
        <w:t>,</w:t>
      </w:r>
      <w:r w:rsidR="00BB41AC" w:rsidRPr="00BB41AC">
        <w:rPr>
          <w:lang w:val="en-CA"/>
        </w:rPr>
        <w:t xml:space="preserve"> in and of themselves</w:t>
      </w:r>
      <w:r w:rsidR="00270761">
        <w:rPr>
          <w:lang w:val="en-CA"/>
        </w:rPr>
        <w:t>,</w:t>
      </w:r>
      <w:r w:rsidR="00BB41AC" w:rsidRPr="00BB41AC">
        <w:rPr>
          <w:lang w:val="en-CA"/>
        </w:rPr>
        <w:t xml:space="preserve"> suppo</w:t>
      </w:r>
      <w:r w:rsidR="002E4DEB">
        <w:rPr>
          <w:lang w:val="en-CA"/>
        </w:rPr>
        <w:t>rt a finding of a violation of a</w:t>
      </w:r>
      <w:r w:rsidR="00BB41AC" w:rsidRPr="00BB41AC">
        <w:rPr>
          <w:lang w:val="en-CA"/>
        </w:rPr>
        <w:t>rticle 3</w:t>
      </w:r>
      <w:r w:rsidR="00270761">
        <w:rPr>
          <w:lang w:val="en-CA"/>
        </w:rPr>
        <w:t xml:space="preserve"> if the complainant were returned to Pakistan</w:t>
      </w:r>
      <w:r w:rsidR="00BB41AC" w:rsidRPr="00BB41AC">
        <w:rPr>
          <w:lang w:val="en-CA"/>
        </w:rPr>
        <w:t xml:space="preserve"> </w:t>
      </w:r>
      <w:r w:rsidR="00270761">
        <w:rPr>
          <w:lang w:val="en-CA"/>
        </w:rPr>
        <w:t>—</w:t>
      </w:r>
      <w:r w:rsidR="00BB41AC" w:rsidRPr="00BB41AC">
        <w:rPr>
          <w:lang w:val="en-CA"/>
        </w:rPr>
        <w:t xml:space="preserve"> even if such assertions were supported by documentary evidence. </w:t>
      </w:r>
    </w:p>
    <w:p w:rsidR="00BB41AC" w:rsidRPr="00BB41AC" w:rsidRDefault="002E4DEB" w:rsidP="00A362AF">
      <w:pPr>
        <w:pStyle w:val="SingleTxtG"/>
        <w:rPr>
          <w:lang w:val="en-CA"/>
        </w:rPr>
      </w:pPr>
      <w:r>
        <w:rPr>
          <w:lang w:val="en-CA"/>
        </w:rPr>
        <w:t>4.</w:t>
      </w:r>
      <w:r w:rsidR="006811EC">
        <w:rPr>
          <w:lang w:val="en-CA"/>
        </w:rPr>
        <w:t>29</w:t>
      </w:r>
      <w:r>
        <w:rPr>
          <w:lang w:val="en-CA"/>
        </w:rPr>
        <w:tab/>
        <w:t xml:space="preserve">The State party </w:t>
      </w:r>
      <w:r w:rsidR="00BB41AC" w:rsidRPr="00BB41AC">
        <w:rPr>
          <w:lang w:val="en-CA"/>
        </w:rPr>
        <w:t>also submit</w:t>
      </w:r>
      <w:r w:rsidR="00270761">
        <w:rPr>
          <w:lang w:val="en-CA"/>
        </w:rPr>
        <w:t>s</w:t>
      </w:r>
      <w:r>
        <w:rPr>
          <w:lang w:val="en-CA"/>
        </w:rPr>
        <w:t xml:space="preserve"> t</w:t>
      </w:r>
      <w:r w:rsidR="00BB41AC" w:rsidRPr="00BB41AC">
        <w:rPr>
          <w:lang w:val="en-CA"/>
        </w:rPr>
        <w:t xml:space="preserve">hat the </w:t>
      </w:r>
      <w:r w:rsidR="00043463">
        <w:rPr>
          <w:lang w:val="en-CA"/>
        </w:rPr>
        <w:t>complainant</w:t>
      </w:r>
      <w:r w:rsidR="00BB41AC" w:rsidRPr="00BB41AC">
        <w:rPr>
          <w:lang w:val="en-CA"/>
        </w:rPr>
        <w:t xml:space="preserve"> </w:t>
      </w:r>
      <w:r w:rsidR="00270761">
        <w:rPr>
          <w:lang w:val="en-CA"/>
        </w:rPr>
        <w:t>did</w:t>
      </w:r>
      <w:r w:rsidR="00BB41AC" w:rsidRPr="00BB41AC">
        <w:rPr>
          <w:lang w:val="en-CA"/>
        </w:rPr>
        <w:t xml:space="preserve"> not substantiate her allegation that she face</w:t>
      </w:r>
      <w:r w:rsidR="00270761">
        <w:rPr>
          <w:lang w:val="en-CA"/>
        </w:rPr>
        <w:t>d</w:t>
      </w:r>
      <w:r w:rsidR="00BB41AC" w:rsidRPr="00BB41AC">
        <w:rPr>
          <w:lang w:val="en-CA"/>
        </w:rPr>
        <w:t xml:space="preserve"> a real risk of torture from private individuals</w:t>
      </w:r>
      <w:r w:rsidR="00CF28B7">
        <w:rPr>
          <w:lang w:val="en-CA"/>
        </w:rPr>
        <w:t>,</w:t>
      </w:r>
      <w:r w:rsidR="00BB41AC" w:rsidRPr="00BB41AC">
        <w:rPr>
          <w:lang w:val="en-CA"/>
        </w:rPr>
        <w:t xml:space="preserve"> such as </w:t>
      </w:r>
      <w:r w:rsidR="00270761">
        <w:rPr>
          <w:lang w:val="en-CA"/>
        </w:rPr>
        <w:t xml:space="preserve">her ex-husband, </w:t>
      </w:r>
      <w:r>
        <w:rPr>
          <w:lang w:val="en-CA"/>
        </w:rPr>
        <w:t>B.A</w:t>
      </w:r>
      <w:r w:rsidR="00270761">
        <w:rPr>
          <w:lang w:val="en-CA"/>
        </w:rPr>
        <w:t>.,</w:t>
      </w:r>
      <w:r>
        <w:rPr>
          <w:lang w:val="en-CA"/>
        </w:rPr>
        <w:t xml:space="preserve"> or B.</w:t>
      </w:r>
      <w:r w:rsidR="00BB41AC" w:rsidRPr="00BB41AC">
        <w:rPr>
          <w:lang w:val="en-CA"/>
        </w:rPr>
        <w:t xml:space="preserve"> and his sons</w:t>
      </w:r>
      <w:r w:rsidR="00270761">
        <w:rPr>
          <w:lang w:val="en-CA"/>
        </w:rPr>
        <w:t>,</w:t>
      </w:r>
      <w:r w:rsidR="00BB41AC" w:rsidRPr="00BB41AC">
        <w:rPr>
          <w:lang w:val="en-CA"/>
        </w:rPr>
        <w:t xml:space="preserve"> with the acquiescence of State </w:t>
      </w:r>
      <w:r>
        <w:rPr>
          <w:lang w:val="en-CA"/>
        </w:rPr>
        <w:t>authorities</w:t>
      </w:r>
      <w:r w:rsidR="00BB41AC" w:rsidRPr="00BB41AC">
        <w:rPr>
          <w:lang w:val="en-CA"/>
        </w:rPr>
        <w:t xml:space="preserve">. With respect to the risk allegedly presented by </w:t>
      </w:r>
      <w:r>
        <w:rPr>
          <w:lang w:val="en-CA"/>
        </w:rPr>
        <w:t>B.A.</w:t>
      </w:r>
      <w:r w:rsidR="00BB41AC" w:rsidRPr="00BB41AC">
        <w:rPr>
          <w:lang w:val="en-CA"/>
        </w:rPr>
        <w:t xml:space="preserve">, the </w:t>
      </w:r>
      <w:r w:rsidR="00043463">
        <w:rPr>
          <w:lang w:val="en-CA"/>
        </w:rPr>
        <w:t>complainant</w:t>
      </w:r>
      <w:r w:rsidR="00BB41AC" w:rsidRPr="00BB41AC">
        <w:rPr>
          <w:lang w:val="en-CA"/>
        </w:rPr>
        <w:t xml:space="preserve"> </w:t>
      </w:r>
      <w:r w:rsidR="00270761">
        <w:rPr>
          <w:lang w:val="en-CA"/>
        </w:rPr>
        <w:t>had</w:t>
      </w:r>
      <w:r w:rsidR="00BB41AC" w:rsidRPr="00BB41AC">
        <w:rPr>
          <w:lang w:val="en-CA"/>
        </w:rPr>
        <w:t xml:space="preserve"> alleged that</w:t>
      </w:r>
      <w:r w:rsidR="00270761">
        <w:rPr>
          <w:lang w:val="en-CA"/>
        </w:rPr>
        <w:t>,</w:t>
      </w:r>
      <w:r w:rsidR="00BB41AC" w:rsidRPr="00BB41AC">
        <w:rPr>
          <w:lang w:val="en-CA"/>
        </w:rPr>
        <w:t xml:space="preserve"> although her former husband initially defended her </w:t>
      </w:r>
      <w:r w:rsidR="00270761">
        <w:rPr>
          <w:lang w:val="en-CA"/>
        </w:rPr>
        <w:t>in relation to</w:t>
      </w:r>
      <w:r w:rsidR="00BB41AC" w:rsidRPr="00BB41AC">
        <w:rPr>
          <w:lang w:val="en-CA"/>
        </w:rPr>
        <w:t xml:space="preserve"> B</w:t>
      </w:r>
      <w:r>
        <w:rPr>
          <w:lang w:val="en-CA"/>
        </w:rPr>
        <w:t>.</w:t>
      </w:r>
      <w:r w:rsidR="00BB41AC" w:rsidRPr="00BB41AC">
        <w:rPr>
          <w:lang w:val="en-CA"/>
        </w:rPr>
        <w:t>’s false accusations, over time</w:t>
      </w:r>
      <w:r w:rsidR="00270761">
        <w:rPr>
          <w:lang w:val="en-CA"/>
        </w:rPr>
        <w:t>,</w:t>
      </w:r>
      <w:r w:rsidR="00BB41AC" w:rsidRPr="00BB41AC">
        <w:rPr>
          <w:lang w:val="en-CA"/>
        </w:rPr>
        <w:t xml:space="preserve"> </w:t>
      </w:r>
      <w:r>
        <w:rPr>
          <w:lang w:val="en-CA"/>
        </w:rPr>
        <w:t>B. had</w:t>
      </w:r>
      <w:r w:rsidR="00BB41AC" w:rsidRPr="00BB41AC">
        <w:rPr>
          <w:lang w:val="en-CA"/>
        </w:rPr>
        <w:t xml:space="preserve"> </w:t>
      </w:r>
      <w:r w:rsidR="00270761">
        <w:rPr>
          <w:lang w:val="en-CA"/>
        </w:rPr>
        <w:t xml:space="preserve">managed to </w:t>
      </w:r>
      <w:r w:rsidR="00BB41AC" w:rsidRPr="00A362AF">
        <w:rPr>
          <w:lang w:val="en-CA"/>
        </w:rPr>
        <w:t>convinc</w:t>
      </w:r>
      <w:r w:rsidR="00BB41AC" w:rsidRPr="007A594F">
        <w:rPr>
          <w:lang w:val="en-CA"/>
        </w:rPr>
        <w:t>e</w:t>
      </w:r>
      <w:r w:rsidR="00BB41AC" w:rsidRPr="00A362AF">
        <w:rPr>
          <w:lang w:val="en-CA"/>
        </w:rPr>
        <w:t xml:space="preserve"> </w:t>
      </w:r>
      <w:r w:rsidRPr="00A362AF">
        <w:rPr>
          <w:lang w:val="en-CA"/>
        </w:rPr>
        <w:t>him</w:t>
      </w:r>
      <w:r w:rsidR="00BB41AC" w:rsidRPr="00BB41AC">
        <w:rPr>
          <w:lang w:val="en-CA"/>
        </w:rPr>
        <w:t xml:space="preserve"> that </w:t>
      </w:r>
      <w:r w:rsidR="00270761">
        <w:rPr>
          <w:lang w:val="en-CA"/>
        </w:rPr>
        <w:t>s</w:t>
      </w:r>
      <w:r w:rsidR="00BB41AC" w:rsidRPr="00BB41AC">
        <w:rPr>
          <w:lang w:val="en-CA"/>
        </w:rPr>
        <w:t xml:space="preserve">he did indeed commit adultery. </w:t>
      </w:r>
      <w:r>
        <w:rPr>
          <w:lang w:val="en-CA"/>
        </w:rPr>
        <w:t>B.A.</w:t>
      </w:r>
      <w:r w:rsidR="00BB41AC" w:rsidRPr="00BB41AC">
        <w:rPr>
          <w:lang w:val="en-CA"/>
        </w:rPr>
        <w:t xml:space="preserve"> divorced the </w:t>
      </w:r>
      <w:r w:rsidR="00043463">
        <w:rPr>
          <w:lang w:val="en-CA"/>
        </w:rPr>
        <w:t>complainant</w:t>
      </w:r>
      <w:r w:rsidR="00BB41AC" w:rsidRPr="00BB41AC">
        <w:rPr>
          <w:lang w:val="en-CA"/>
        </w:rPr>
        <w:t xml:space="preserve"> in February 2010</w:t>
      </w:r>
      <w:r w:rsidR="00270761">
        <w:rPr>
          <w:lang w:val="en-CA"/>
        </w:rPr>
        <w:t>. T</w:t>
      </w:r>
      <w:r w:rsidR="00BB41AC" w:rsidRPr="00BB41AC">
        <w:rPr>
          <w:lang w:val="en-CA"/>
        </w:rPr>
        <w:t xml:space="preserve">he </w:t>
      </w:r>
      <w:r w:rsidR="00043463">
        <w:rPr>
          <w:lang w:val="en-CA"/>
        </w:rPr>
        <w:t>complainant</w:t>
      </w:r>
      <w:r w:rsidR="00BB41AC" w:rsidRPr="00BB41AC">
        <w:rPr>
          <w:lang w:val="en-CA"/>
        </w:rPr>
        <w:t xml:space="preserve"> allege</w:t>
      </w:r>
      <w:r w:rsidR="00270761">
        <w:rPr>
          <w:lang w:val="en-CA"/>
        </w:rPr>
        <w:t>d</w:t>
      </w:r>
      <w:r w:rsidR="00BB41AC" w:rsidRPr="00BB41AC">
        <w:rPr>
          <w:lang w:val="en-CA"/>
        </w:rPr>
        <w:t xml:space="preserve"> that</w:t>
      </w:r>
      <w:r w:rsidR="00270761">
        <w:rPr>
          <w:lang w:val="en-CA"/>
        </w:rPr>
        <w:t>,</w:t>
      </w:r>
      <w:r w:rsidR="00BB41AC" w:rsidRPr="00BB41AC">
        <w:rPr>
          <w:lang w:val="en-CA"/>
        </w:rPr>
        <w:t xml:space="preserve"> if she were to return to Pakistan, </w:t>
      </w:r>
      <w:r>
        <w:rPr>
          <w:lang w:val="en-CA"/>
        </w:rPr>
        <w:t xml:space="preserve">he </w:t>
      </w:r>
      <w:r w:rsidR="00BB41AC" w:rsidRPr="00BB41AC">
        <w:rPr>
          <w:lang w:val="en-CA"/>
        </w:rPr>
        <w:t xml:space="preserve">would seek to harm her, either by killing her or attempting to have the </w:t>
      </w:r>
      <w:r w:rsidR="00270761">
        <w:rPr>
          <w:lang w:val="en-CA"/>
        </w:rPr>
        <w:t>S</w:t>
      </w:r>
      <w:r w:rsidR="00BB41AC" w:rsidRPr="00BB41AC">
        <w:rPr>
          <w:lang w:val="en-CA"/>
        </w:rPr>
        <w:t xml:space="preserve">tate </w:t>
      </w:r>
      <w:r>
        <w:rPr>
          <w:lang w:val="en-CA"/>
        </w:rPr>
        <w:t>authori</w:t>
      </w:r>
      <w:r w:rsidR="00BB41AC" w:rsidRPr="00BB41AC">
        <w:rPr>
          <w:lang w:val="en-CA"/>
        </w:rPr>
        <w:t>ties punish her.</w:t>
      </w:r>
      <w:r>
        <w:rPr>
          <w:vertAlign w:val="superscript"/>
          <w:lang w:val="en-CA"/>
        </w:rPr>
        <w:t xml:space="preserve"> </w:t>
      </w:r>
      <w:r>
        <w:rPr>
          <w:lang w:val="en-CA"/>
        </w:rPr>
        <w:t>T</w:t>
      </w:r>
      <w:r w:rsidR="00BB41AC" w:rsidRPr="00BB41AC">
        <w:rPr>
          <w:lang w:val="en-CA"/>
        </w:rPr>
        <w:t xml:space="preserve">he </w:t>
      </w:r>
      <w:r w:rsidR="00043463">
        <w:rPr>
          <w:lang w:val="en-CA"/>
        </w:rPr>
        <w:t>complainant</w:t>
      </w:r>
      <w:r w:rsidR="00BB41AC" w:rsidRPr="00BB41AC">
        <w:rPr>
          <w:lang w:val="en-CA"/>
        </w:rPr>
        <w:t xml:space="preserve"> </w:t>
      </w:r>
      <w:r w:rsidR="00270761">
        <w:rPr>
          <w:lang w:val="en-CA"/>
        </w:rPr>
        <w:t>did</w:t>
      </w:r>
      <w:r w:rsidR="00BB41AC" w:rsidRPr="00BB41AC">
        <w:rPr>
          <w:lang w:val="en-CA"/>
        </w:rPr>
        <w:t xml:space="preserve"> not provide sufficient evidence to substantiate that </w:t>
      </w:r>
      <w:r>
        <w:rPr>
          <w:lang w:val="en-CA"/>
        </w:rPr>
        <w:t>B.A.</w:t>
      </w:r>
      <w:r w:rsidR="00BB41AC" w:rsidRPr="00BB41AC">
        <w:rPr>
          <w:lang w:val="en-CA"/>
        </w:rPr>
        <w:t xml:space="preserve"> currently poses a real risk of causing </w:t>
      </w:r>
      <w:r w:rsidR="00270761">
        <w:rPr>
          <w:lang w:val="en-CA"/>
        </w:rPr>
        <w:t>her</w:t>
      </w:r>
      <w:r w:rsidR="00BB41AC" w:rsidRPr="00BB41AC">
        <w:rPr>
          <w:lang w:val="en-CA"/>
        </w:rPr>
        <w:t xml:space="preserve"> severe mental or physical harm. The </w:t>
      </w:r>
      <w:r w:rsidR="00043463">
        <w:rPr>
          <w:lang w:val="en-CA"/>
        </w:rPr>
        <w:t>complainant</w:t>
      </w:r>
      <w:r w:rsidR="00BB41AC" w:rsidRPr="00BB41AC">
        <w:rPr>
          <w:lang w:val="en-CA"/>
        </w:rPr>
        <w:t xml:space="preserve"> </w:t>
      </w:r>
      <w:r w:rsidR="00BB41AC" w:rsidRPr="00BB41AC">
        <w:rPr>
          <w:lang w:val="en-CA"/>
        </w:rPr>
        <w:lastRenderedPageBreak/>
        <w:t xml:space="preserve">demonstrated </w:t>
      </w:r>
      <w:r w:rsidR="00270761">
        <w:rPr>
          <w:lang w:val="en-CA"/>
        </w:rPr>
        <w:t xml:space="preserve">that she was </w:t>
      </w:r>
      <w:r w:rsidR="00BB41AC" w:rsidRPr="00BB41AC">
        <w:rPr>
          <w:lang w:val="en-CA"/>
        </w:rPr>
        <w:t>divorce</w:t>
      </w:r>
      <w:r w:rsidR="00270761">
        <w:rPr>
          <w:lang w:val="en-CA"/>
        </w:rPr>
        <w:t>d</w:t>
      </w:r>
      <w:r w:rsidR="00BB41AC" w:rsidRPr="00BB41AC">
        <w:rPr>
          <w:lang w:val="en-CA"/>
        </w:rPr>
        <w:t xml:space="preserve"> from </w:t>
      </w:r>
      <w:r>
        <w:rPr>
          <w:lang w:val="en-CA"/>
        </w:rPr>
        <w:t>B.A.</w:t>
      </w:r>
      <w:r w:rsidR="00BB41AC" w:rsidRPr="00BB41AC">
        <w:rPr>
          <w:lang w:val="en-CA"/>
        </w:rPr>
        <w:t xml:space="preserve"> in February 2010 by submitting official documents from Pakistan</w:t>
      </w:r>
      <w:r>
        <w:rPr>
          <w:lang w:val="en-CA"/>
        </w:rPr>
        <w:t xml:space="preserve"> and</w:t>
      </w:r>
      <w:r w:rsidR="00BB41AC" w:rsidRPr="00BB41AC">
        <w:rPr>
          <w:lang w:val="en-CA"/>
        </w:rPr>
        <w:t xml:space="preserve"> a </w:t>
      </w:r>
      <w:r w:rsidR="00270761">
        <w:rPr>
          <w:lang w:val="en-CA"/>
        </w:rPr>
        <w:t xml:space="preserve">first information report </w:t>
      </w:r>
      <w:r w:rsidR="00BB41AC" w:rsidRPr="00BB41AC">
        <w:rPr>
          <w:lang w:val="en-CA"/>
        </w:rPr>
        <w:t xml:space="preserve">filed </w:t>
      </w:r>
      <w:r w:rsidR="00270761">
        <w:rPr>
          <w:lang w:val="en-CA"/>
        </w:rPr>
        <w:t>with</w:t>
      </w:r>
      <w:r w:rsidR="00BB41AC" w:rsidRPr="00BB41AC">
        <w:rPr>
          <w:lang w:val="en-CA"/>
        </w:rPr>
        <w:t xml:space="preserve"> the Pakistani police on 3 February 2011 by one of her daughters</w:t>
      </w:r>
      <w:r w:rsidR="008034E6">
        <w:rPr>
          <w:lang w:val="en-CA"/>
        </w:rPr>
        <w:t xml:space="preserve">, who complained </w:t>
      </w:r>
      <w:r w:rsidR="00BB41AC" w:rsidRPr="00BB41AC">
        <w:rPr>
          <w:lang w:val="en-CA"/>
        </w:rPr>
        <w:t xml:space="preserve">that </w:t>
      </w:r>
      <w:r>
        <w:rPr>
          <w:lang w:val="en-CA"/>
        </w:rPr>
        <w:t>B.A.</w:t>
      </w:r>
      <w:r w:rsidR="00BB41AC" w:rsidRPr="00BB41AC">
        <w:rPr>
          <w:lang w:val="en-CA"/>
        </w:rPr>
        <w:t xml:space="preserve"> and two of his sons</w:t>
      </w:r>
      <w:r w:rsidR="008034E6">
        <w:rPr>
          <w:lang w:val="en-CA"/>
        </w:rPr>
        <w:t xml:space="preserve"> had</w:t>
      </w:r>
      <w:r w:rsidR="00BB41AC" w:rsidRPr="00BB41AC">
        <w:rPr>
          <w:lang w:val="en-CA"/>
        </w:rPr>
        <w:t xml:space="preserve"> broke</w:t>
      </w:r>
      <w:r w:rsidR="008034E6">
        <w:rPr>
          <w:lang w:val="en-CA"/>
        </w:rPr>
        <w:t>n</w:t>
      </w:r>
      <w:r w:rsidR="00BB41AC" w:rsidRPr="00BB41AC">
        <w:rPr>
          <w:lang w:val="en-CA"/>
        </w:rPr>
        <w:t xml:space="preserve"> into </w:t>
      </w:r>
      <w:r w:rsidR="008034E6">
        <w:rPr>
          <w:lang w:val="en-CA"/>
        </w:rPr>
        <w:t>her</w:t>
      </w:r>
      <w:r w:rsidR="00BB41AC" w:rsidRPr="00BB41AC">
        <w:rPr>
          <w:lang w:val="en-CA"/>
        </w:rPr>
        <w:t xml:space="preserve"> home</w:t>
      </w:r>
      <w:r w:rsidR="008034E6">
        <w:rPr>
          <w:lang w:val="en-CA"/>
        </w:rPr>
        <w:t xml:space="preserve"> and</w:t>
      </w:r>
      <w:r>
        <w:rPr>
          <w:lang w:val="en-CA"/>
        </w:rPr>
        <w:t xml:space="preserve"> </w:t>
      </w:r>
      <w:r w:rsidR="00BB41AC" w:rsidRPr="00BB41AC">
        <w:rPr>
          <w:lang w:val="en-CA"/>
        </w:rPr>
        <w:t xml:space="preserve">demanded that </w:t>
      </w:r>
      <w:r>
        <w:rPr>
          <w:lang w:val="en-CA"/>
        </w:rPr>
        <w:t>she</w:t>
      </w:r>
      <w:r w:rsidR="00BB41AC" w:rsidRPr="00BB41AC">
        <w:rPr>
          <w:lang w:val="en-CA"/>
        </w:rPr>
        <w:t xml:space="preserve"> call the </w:t>
      </w:r>
      <w:r w:rsidR="00043463">
        <w:rPr>
          <w:lang w:val="en-CA"/>
        </w:rPr>
        <w:t>complainant</w:t>
      </w:r>
      <w:r w:rsidR="00BB41AC" w:rsidRPr="00BB41AC">
        <w:rPr>
          <w:lang w:val="en-CA"/>
        </w:rPr>
        <w:t xml:space="preserve"> to </w:t>
      </w:r>
      <w:r w:rsidR="004E60AD">
        <w:rPr>
          <w:lang w:val="en-CA"/>
        </w:rPr>
        <w:t>u</w:t>
      </w:r>
      <w:r w:rsidR="008034E6">
        <w:rPr>
          <w:lang w:val="en-CA"/>
        </w:rPr>
        <w:t>rge</w:t>
      </w:r>
      <w:r w:rsidR="00BB41AC" w:rsidRPr="00BB41AC">
        <w:rPr>
          <w:lang w:val="en-CA"/>
        </w:rPr>
        <w:t xml:space="preserve"> her to return to Pakistan</w:t>
      </w:r>
      <w:r>
        <w:rPr>
          <w:lang w:val="en-CA"/>
        </w:rPr>
        <w:t>. According to the daughter</w:t>
      </w:r>
      <w:r w:rsidR="008034E6">
        <w:rPr>
          <w:lang w:val="en-CA"/>
        </w:rPr>
        <w:t>,</w:t>
      </w:r>
      <w:r w:rsidR="00BB41AC" w:rsidRPr="00BB41AC">
        <w:rPr>
          <w:lang w:val="en-CA"/>
        </w:rPr>
        <w:t xml:space="preserve"> they </w:t>
      </w:r>
      <w:r>
        <w:rPr>
          <w:lang w:val="en-CA"/>
        </w:rPr>
        <w:t>wanted to</w:t>
      </w:r>
      <w:r w:rsidR="00BB41AC" w:rsidRPr="00BB41AC">
        <w:rPr>
          <w:lang w:val="en-CA"/>
        </w:rPr>
        <w:t xml:space="preserve"> kill</w:t>
      </w:r>
      <w:r>
        <w:rPr>
          <w:lang w:val="en-CA"/>
        </w:rPr>
        <w:t xml:space="preserve"> the complainant</w:t>
      </w:r>
      <w:r w:rsidR="00BB41AC" w:rsidRPr="00BB41AC">
        <w:rPr>
          <w:lang w:val="en-CA"/>
        </w:rPr>
        <w:t xml:space="preserve">. When </w:t>
      </w:r>
      <w:r>
        <w:rPr>
          <w:lang w:val="en-CA"/>
        </w:rPr>
        <w:t xml:space="preserve">the daughter </w:t>
      </w:r>
      <w:r w:rsidR="00BB41AC" w:rsidRPr="00BB41AC">
        <w:rPr>
          <w:lang w:val="en-CA"/>
        </w:rPr>
        <w:t xml:space="preserve">refused to call the </w:t>
      </w:r>
      <w:r w:rsidR="00043463">
        <w:rPr>
          <w:lang w:val="en-CA"/>
        </w:rPr>
        <w:t>complainant</w:t>
      </w:r>
      <w:r w:rsidR="00BB41AC" w:rsidRPr="00BB41AC">
        <w:rPr>
          <w:lang w:val="en-CA"/>
        </w:rPr>
        <w:t xml:space="preserve">, </w:t>
      </w:r>
      <w:r>
        <w:rPr>
          <w:lang w:val="en-CA"/>
        </w:rPr>
        <w:t>B.A.</w:t>
      </w:r>
      <w:r w:rsidR="00BB41AC" w:rsidRPr="00BB41AC">
        <w:rPr>
          <w:lang w:val="en-CA"/>
        </w:rPr>
        <w:t xml:space="preserve"> shot her in the foot. </w:t>
      </w:r>
      <w:r>
        <w:rPr>
          <w:lang w:val="en-CA"/>
        </w:rPr>
        <w:t>T</w:t>
      </w:r>
      <w:r w:rsidR="00BB41AC" w:rsidRPr="00BB41AC">
        <w:rPr>
          <w:lang w:val="en-CA"/>
        </w:rPr>
        <w:t xml:space="preserve">he </w:t>
      </w:r>
      <w:r w:rsidR="00043463">
        <w:rPr>
          <w:lang w:val="en-CA"/>
        </w:rPr>
        <w:t>complainant</w:t>
      </w:r>
      <w:r w:rsidR="00BB41AC" w:rsidRPr="00BB41AC">
        <w:rPr>
          <w:lang w:val="en-CA"/>
        </w:rPr>
        <w:t xml:space="preserve"> submitted affidavits from </w:t>
      </w:r>
      <w:r>
        <w:rPr>
          <w:lang w:val="en-CA"/>
        </w:rPr>
        <w:t>her daughter’s</w:t>
      </w:r>
      <w:r w:rsidR="00BB41AC" w:rsidRPr="00BB41AC">
        <w:rPr>
          <w:lang w:val="en-CA"/>
        </w:rPr>
        <w:t xml:space="preserve"> lawyer</w:t>
      </w:r>
      <w:r>
        <w:rPr>
          <w:lang w:val="en-CA"/>
        </w:rPr>
        <w:t>, indicating</w:t>
      </w:r>
      <w:r w:rsidR="00BB41AC" w:rsidRPr="00BB41AC">
        <w:rPr>
          <w:lang w:val="en-CA"/>
        </w:rPr>
        <w:t xml:space="preserve"> that </w:t>
      </w:r>
      <w:r>
        <w:rPr>
          <w:lang w:val="en-CA"/>
        </w:rPr>
        <w:t>the daughter</w:t>
      </w:r>
      <w:r w:rsidR="00BB41AC" w:rsidRPr="00BB41AC">
        <w:rPr>
          <w:lang w:val="en-CA"/>
        </w:rPr>
        <w:t xml:space="preserve">’s complaint </w:t>
      </w:r>
      <w:r w:rsidR="008034E6">
        <w:rPr>
          <w:lang w:val="en-CA"/>
        </w:rPr>
        <w:t>w</w:t>
      </w:r>
      <w:r w:rsidR="00BB41AC" w:rsidRPr="00BB41AC">
        <w:rPr>
          <w:lang w:val="en-CA"/>
        </w:rPr>
        <w:t>as be</w:t>
      </w:r>
      <w:r w:rsidR="008034E6">
        <w:rPr>
          <w:lang w:val="en-CA"/>
        </w:rPr>
        <w:t>ing</w:t>
      </w:r>
      <w:r w:rsidR="00BB41AC" w:rsidRPr="00BB41AC">
        <w:rPr>
          <w:lang w:val="en-CA"/>
        </w:rPr>
        <w:t xml:space="preserve"> pursued through court proceedings.</w:t>
      </w:r>
    </w:p>
    <w:p w:rsidR="006C6955" w:rsidRDefault="002E4DEB">
      <w:pPr>
        <w:pStyle w:val="SingleTxtG"/>
        <w:rPr>
          <w:lang w:val="en-CA"/>
        </w:rPr>
      </w:pPr>
      <w:r w:rsidRPr="00042886">
        <w:rPr>
          <w:lang w:val="en-CA"/>
        </w:rPr>
        <w:t>4.</w:t>
      </w:r>
      <w:r w:rsidR="00524467" w:rsidRPr="00042886">
        <w:rPr>
          <w:lang w:val="en-CA"/>
        </w:rPr>
        <w:t>3</w:t>
      </w:r>
      <w:r w:rsidR="006811EC" w:rsidRPr="00042886">
        <w:rPr>
          <w:lang w:val="en-CA"/>
        </w:rPr>
        <w:t>0</w:t>
      </w:r>
      <w:r w:rsidRPr="00042886">
        <w:rPr>
          <w:lang w:val="en-CA"/>
        </w:rPr>
        <w:tab/>
        <w:t>The State</w:t>
      </w:r>
      <w:r>
        <w:rPr>
          <w:lang w:val="en-CA"/>
        </w:rPr>
        <w:t xml:space="preserve"> party </w:t>
      </w:r>
      <w:r w:rsidR="00BB41AC" w:rsidRPr="00BB41AC">
        <w:rPr>
          <w:lang w:val="en-CA"/>
        </w:rPr>
        <w:t>submit</w:t>
      </w:r>
      <w:r w:rsidR="004E60AD">
        <w:rPr>
          <w:lang w:val="en-CA"/>
        </w:rPr>
        <w:t>s</w:t>
      </w:r>
      <w:r>
        <w:rPr>
          <w:lang w:val="en-CA"/>
        </w:rPr>
        <w:t xml:space="preserve"> </w:t>
      </w:r>
      <w:r w:rsidR="00BB41AC" w:rsidRPr="00BB41AC">
        <w:rPr>
          <w:lang w:val="en-CA"/>
        </w:rPr>
        <w:t>that thes</w:t>
      </w:r>
      <w:r>
        <w:rPr>
          <w:lang w:val="en-CA"/>
        </w:rPr>
        <w:t>e documents do not substantiate</w:t>
      </w:r>
      <w:r w:rsidR="00BB41AC" w:rsidRPr="00BB41AC">
        <w:rPr>
          <w:lang w:val="en-CA"/>
        </w:rPr>
        <w:t xml:space="preserve"> that</w:t>
      </w:r>
      <w:r w:rsidR="004E60AD">
        <w:rPr>
          <w:lang w:val="en-CA"/>
        </w:rPr>
        <w:t>,</w:t>
      </w:r>
      <w:r w:rsidR="00BB41AC" w:rsidRPr="00BB41AC">
        <w:rPr>
          <w:lang w:val="en-CA"/>
        </w:rPr>
        <w:t xml:space="preserve"> if returned to Pakistan in 2013, </w:t>
      </w:r>
      <w:r w:rsidR="004E60AD">
        <w:rPr>
          <w:lang w:val="en-CA"/>
        </w:rPr>
        <w:t>t</w:t>
      </w:r>
      <w:r w:rsidR="00BB41AC" w:rsidRPr="00BB41AC">
        <w:rPr>
          <w:lang w:val="en-CA"/>
        </w:rPr>
        <w:t>he</w:t>
      </w:r>
      <w:r w:rsidR="004E60AD">
        <w:rPr>
          <w:lang w:val="en-CA"/>
        </w:rPr>
        <w:t xml:space="preserve"> complainant would</w:t>
      </w:r>
      <w:r w:rsidR="00BB41AC" w:rsidRPr="00BB41AC">
        <w:rPr>
          <w:lang w:val="en-CA"/>
        </w:rPr>
        <w:t xml:space="preserve"> face a real</w:t>
      </w:r>
      <w:r w:rsidR="004E60AD">
        <w:rPr>
          <w:lang w:val="en-CA"/>
        </w:rPr>
        <w:t xml:space="preserve"> and personal</w:t>
      </w:r>
      <w:r w:rsidR="00BB41AC" w:rsidRPr="00BB41AC">
        <w:rPr>
          <w:lang w:val="en-CA"/>
        </w:rPr>
        <w:t xml:space="preserve"> risk of severe harm from </w:t>
      </w:r>
      <w:r>
        <w:rPr>
          <w:lang w:val="en-CA"/>
        </w:rPr>
        <w:t>B.A. T</w:t>
      </w:r>
      <w:r w:rsidR="00BB41AC" w:rsidRPr="00BB41AC">
        <w:rPr>
          <w:lang w:val="en-CA"/>
        </w:rPr>
        <w:t xml:space="preserve">he </w:t>
      </w:r>
      <w:r w:rsidR="00043463">
        <w:rPr>
          <w:lang w:val="en-CA"/>
        </w:rPr>
        <w:t>complainant</w:t>
      </w:r>
      <w:r w:rsidR="00BB41AC" w:rsidRPr="00BB41AC">
        <w:rPr>
          <w:lang w:val="en-CA"/>
        </w:rPr>
        <w:t xml:space="preserve">’s divorce </w:t>
      </w:r>
      <w:r>
        <w:rPr>
          <w:lang w:val="en-CA"/>
        </w:rPr>
        <w:t xml:space="preserve">was </w:t>
      </w:r>
      <w:r w:rsidR="004E60AD">
        <w:rPr>
          <w:lang w:val="en-CA"/>
        </w:rPr>
        <w:t xml:space="preserve">granted </w:t>
      </w:r>
      <w:r>
        <w:rPr>
          <w:lang w:val="en-CA"/>
        </w:rPr>
        <w:t>in 2010 and the</w:t>
      </w:r>
      <w:r w:rsidR="006C6955">
        <w:rPr>
          <w:lang w:val="en-CA"/>
        </w:rPr>
        <w:t xml:space="preserve"> assault o</w:t>
      </w:r>
      <w:r w:rsidR="004E60AD">
        <w:rPr>
          <w:lang w:val="en-CA"/>
        </w:rPr>
        <w:t>n</w:t>
      </w:r>
      <w:r w:rsidR="006C6955">
        <w:rPr>
          <w:lang w:val="en-CA"/>
        </w:rPr>
        <w:t xml:space="preserve"> her</w:t>
      </w:r>
      <w:r w:rsidR="00BB41AC" w:rsidRPr="00BB41AC">
        <w:rPr>
          <w:lang w:val="en-CA"/>
        </w:rPr>
        <w:t xml:space="preserve"> daughter occurred </w:t>
      </w:r>
      <w:r>
        <w:rPr>
          <w:lang w:val="en-CA"/>
        </w:rPr>
        <w:t>in 2011</w:t>
      </w:r>
      <w:r w:rsidR="00BB41AC" w:rsidRPr="00BB41AC">
        <w:rPr>
          <w:lang w:val="en-CA"/>
        </w:rPr>
        <w:t xml:space="preserve">. </w:t>
      </w:r>
      <w:r>
        <w:rPr>
          <w:lang w:val="en-CA"/>
        </w:rPr>
        <w:t>A</w:t>
      </w:r>
      <w:r w:rsidR="00BB41AC" w:rsidRPr="00BB41AC">
        <w:rPr>
          <w:lang w:val="en-CA"/>
        </w:rPr>
        <w:t xml:space="preserve">s of 16 April 2012, </w:t>
      </w:r>
      <w:r>
        <w:rPr>
          <w:lang w:val="en-CA"/>
        </w:rPr>
        <w:t>B.A.</w:t>
      </w:r>
      <w:r w:rsidR="00BB41AC" w:rsidRPr="00BB41AC">
        <w:rPr>
          <w:lang w:val="en-CA"/>
        </w:rPr>
        <w:t xml:space="preserve"> was facing legal action for a</w:t>
      </w:r>
      <w:r w:rsidR="004E60AD">
        <w:rPr>
          <w:lang w:val="en-CA"/>
        </w:rPr>
        <w:t>ssaulting</w:t>
      </w:r>
      <w:r>
        <w:rPr>
          <w:lang w:val="en-CA"/>
        </w:rPr>
        <w:t xml:space="preserve"> his daughter</w:t>
      </w:r>
      <w:r w:rsidR="00BB41AC" w:rsidRPr="00BB41AC">
        <w:rPr>
          <w:lang w:val="en-CA"/>
        </w:rPr>
        <w:t xml:space="preserve">, </w:t>
      </w:r>
      <w:r w:rsidR="004E60AD">
        <w:rPr>
          <w:lang w:val="en-CA"/>
        </w:rPr>
        <w:t>who</w:t>
      </w:r>
      <w:r w:rsidR="00BB41AC" w:rsidRPr="00BB41AC">
        <w:rPr>
          <w:lang w:val="en-CA"/>
        </w:rPr>
        <w:t xml:space="preserve"> was represented by legal counsel in </w:t>
      </w:r>
      <w:r w:rsidR="004E60AD">
        <w:rPr>
          <w:lang w:val="en-CA"/>
        </w:rPr>
        <w:t xml:space="preserve">the proceedings relating to </w:t>
      </w:r>
      <w:r w:rsidR="00BB41AC" w:rsidRPr="00BB41AC">
        <w:rPr>
          <w:lang w:val="en-CA"/>
        </w:rPr>
        <w:t>her complaint.</w:t>
      </w:r>
      <w:r w:rsidR="00D851B3">
        <w:rPr>
          <w:lang w:val="en-CA"/>
        </w:rPr>
        <w:t xml:space="preserve"> </w:t>
      </w:r>
    </w:p>
    <w:p w:rsidR="00FE1185" w:rsidRDefault="00D851B3">
      <w:pPr>
        <w:pStyle w:val="SingleTxtG"/>
        <w:rPr>
          <w:lang w:val="en-CA"/>
        </w:rPr>
      </w:pPr>
      <w:r w:rsidRPr="00FE1185">
        <w:rPr>
          <w:lang w:val="en-CA"/>
        </w:rPr>
        <w:t>4.</w:t>
      </w:r>
      <w:r w:rsidR="00524467">
        <w:rPr>
          <w:lang w:val="en-CA"/>
        </w:rPr>
        <w:t>3</w:t>
      </w:r>
      <w:r w:rsidR="006811EC">
        <w:rPr>
          <w:lang w:val="en-CA"/>
        </w:rPr>
        <w:t>1</w:t>
      </w:r>
      <w:r w:rsidRPr="00FE1185">
        <w:rPr>
          <w:lang w:val="en-CA"/>
        </w:rPr>
        <w:tab/>
      </w:r>
      <w:r w:rsidR="00BB41AC" w:rsidRPr="00FE1185">
        <w:rPr>
          <w:lang w:val="en-CA"/>
        </w:rPr>
        <w:t>With respect to B</w:t>
      </w:r>
      <w:r w:rsidRPr="00FE1185">
        <w:rPr>
          <w:lang w:val="en-CA"/>
        </w:rPr>
        <w:t>.</w:t>
      </w:r>
      <w:r w:rsidR="00BB41AC" w:rsidRPr="00FE1185">
        <w:rPr>
          <w:lang w:val="en-CA"/>
        </w:rPr>
        <w:t xml:space="preserve">, his sons and other </w:t>
      </w:r>
      <w:r w:rsidR="00CD43D0">
        <w:rPr>
          <w:lang w:val="en-CA"/>
        </w:rPr>
        <w:t>residents</w:t>
      </w:r>
      <w:r w:rsidR="00BB41AC" w:rsidRPr="00FE1185">
        <w:rPr>
          <w:lang w:val="en-CA"/>
        </w:rPr>
        <w:t xml:space="preserve"> of the village, the </w:t>
      </w:r>
      <w:r w:rsidR="00043463" w:rsidRPr="00FE1185">
        <w:rPr>
          <w:lang w:val="en-CA"/>
        </w:rPr>
        <w:t>complainant</w:t>
      </w:r>
      <w:r w:rsidR="00BB41AC" w:rsidRPr="00FE1185">
        <w:rPr>
          <w:lang w:val="en-CA"/>
        </w:rPr>
        <w:t xml:space="preserve"> </w:t>
      </w:r>
      <w:r w:rsidR="00CD43D0">
        <w:rPr>
          <w:lang w:val="en-CA"/>
        </w:rPr>
        <w:t>did not</w:t>
      </w:r>
      <w:r w:rsidR="00BB41AC" w:rsidRPr="00FE1185">
        <w:rPr>
          <w:lang w:val="en-CA"/>
        </w:rPr>
        <w:t xml:space="preserve"> submitted </w:t>
      </w:r>
      <w:r w:rsidR="00CD43D0">
        <w:rPr>
          <w:lang w:val="en-CA"/>
        </w:rPr>
        <w:t>any</w:t>
      </w:r>
      <w:r w:rsidR="00BB41AC" w:rsidRPr="00FE1185">
        <w:rPr>
          <w:lang w:val="en-CA"/>
        </w:rPr>
        <w:t xml:space="preserve"> evidence to indicate that they would pose a threat to</w:t>
      </w:r>
      <w:r w:rsidRPr="00FE1185">
        <w:rPr>
          <w:lang w:val="en-CA"/>
        </w:rPr>
        <w:t xml:space="preserve"> her </w:t>
      </w:r>
      <w:r w:rsidR="00BB41AC" w:rsidRPr="00FE1185">
        <w:rPr>
          <w:lang w:val="en-CA"/>
        </w:rPr>
        <w:t>upon her return to Pakistan.</w:t>
      </w:r>
      <w:r w:rsidR="00BB41AC" w:rsidRPr="00BB41AC">
        <w:rPr>
          <w:lang w:val="en-CA"/>
        </w:rPr>
        <w:t xml:space="preserve"> The underlying basis of </w:t>
      </w:r>
      <w:r w:rsidR="00CD43D0">
        <w:rPr>
          <w:lang w:val="en-CA"/>
        </w:rPr>
        <w:t>past</w:t>
      </w:r>
      <w:r w:rsidR="00BB41AC" w:rsidRPr="00BB41AC">
        <w:rPr>
          <w:lang w:val="en-CA"/>
        </w:rPr>
        <w:t xml:space="preserve"> violence by former family members</w:t>
      </w:r>
      <w:r w:rsidR="00CD43D0">
        <w:rPr>
          <w:lang w:val="en-CA"/>
        </w:rPr>
        <w:t>, as</w:t>
      </w:r>
      <w:r w:rsidR="00BB41AC" w:rsidRPr="00BB41AC">
        <w:rPr>
          <w:lang w:val="en-CA"/>
        </w:rPr>
        <w:t xml:space="preserve"> alleged by the </w:t>
      </w:r>
      <w:r w:rsidR="00043463">
        <w:rPr>
          <w:lang w:val="en-CA"/>
        </w:rPr>
        <w:t>complainant</w:t>
      </w:r>
      <w:r w:rsidR="00CD43D0">
        <w:rPr>
          <w:lang w:val="en-CA"/>
        </w:rPr>
        <w:t>, was</w:t>
      </w:r>
      <w:r w:rsidR="00BB41AC" w:rsidRPr="00BB41AC">
        <w:rPr>
          <w:lang w:val="en-CA"/>
        </w:rPr>
        <w:t xml:space="preserve"> a dispute over land ownership, yet the question of who</w:t>
      </w:r>
      <w:r w:rsidR="00FE1185">
        <w:rPr>
          <w:lang w:val="en-CA"/>
        </w:rPr>
        <w:t xml:space="preserve"> </w:t>
      </w:r>
      <w:r w:rsidR="00BB41AC" w:rsidRPr="00BB41AC">
        <w:rPr>
          <w:lang w:val="en-CA"/>
        </w:rPr>
        <w:t>now own</w:t>
      </w:r>
      <w:r w:rsidR="00CD43D0">
        <w:rPr>
          <w:lang w:val="en-CA"/>
        </w:rPr>
        <w:t>ed</w:t>
      </w:r>
      <w:r w:rsidR="00BB41AC" w:rsidRPr="00BB41AC">
        <w:rPr>
          <w:lang w:val="en-CA"/>
        </w:rPr>
        <w:t xml:space="preserve"> the land</w:t>
      </w:r>
      <w:r w:rsidR="00FE1185">
        <w:rPr>
          <w:lang w:val="en-CA"/>
        </w:rPr>
        <w:t>,</w:t>
      </w:r>
      <w:r w:rsidR="00BB41AC" w:rsidRPr="00BB41AC">
        <w:rPr>
          <w:lang w:val="en-CA"/>
        </w:rPr>
        <w:t xml:space="preserve"> particularly after </w:t>
      </w:r>
      <w:r w:rsidR="00CD43D0">
        <w:rPr>
          <w:lang w:val="en-CA"/>
        </w:rPr>
        <w:t xml:space="preserve">her </w:t>
      </w:r>
      <w:r w:rsidR="00BB41AC" w:rsidRPr="00BB41AC">
        <w:rPr>
          <w:lang w:val="en-CA"/>
        </w:rPr>
        <w:t>divorce</w:t>
      </w:r>
      <w:r w:rsidR="00FE1185">
        <w:rPr>
          <w:lang w:val="en-CA"/>
        </w:rPr>
        <w:t>,</w:t>
      </w:r>
      <w:r w:rsidR="00BB41AC" w:rsidRPr="00BB41AC">
        <w:rPr>
          <w:lang w:val="en-CA"/>
        </w:rPr>
        <w:t xml:space="preserve"> d</w:t>
      </w:r>
      <w:r w:rsidR="00CD43D0">
        <w:rPr>
          <w:lang w:val="en-CA"/>
        </w:rPr>
        <w:t>id</w:t>
      </w:r>
      <w:r w:rsidR="00BB41AC" w:rsidRPr="00BB41AC">
        <w:rPr>
          <w:lang w:val="en-CA"/>
        </w:rPr>
        <w:t xml:space="preserve"> not form a part of the </w:t>
      </w:r>
      <w:r w:rsidR="00043463">
        <w:rPr>
          <w:lang w:val="en-CA"/>
        </w:rPr>
        <w:t>complainant</w:t>
      </w:r>
      <w:r w:rsidR="00BB41AC" w:rsidRPr="00BB41AC">
        <w:rPr>
          <w:lang w:val="en-CA"/>
        </w:rPr>
        <w:t xml:space="preserve">’s allegations of future risk. It has been </w:t>
      </w:r>
      <w:r w:rsidR="00FE1185">
        <w:rPr>
          <w:lang w:val="en-CA"/>
        </w:rPr>
        <w:t xml:space="preserve">several years </w:t>
      </w:r>
      <w:r w:rsidR="00524467">
        <w:rPr>
          <w:lang w:val="en-CA"/>
        </w:rPr>
        <w:t>since</w:t>
      </w:r>
      <w:r w:rsidR="00BB41AC" w:rsidRPr="00BB41AC">
        <w:rPr>
          <w:lang w:val="en-CA"/>
        </w:rPr>
        <w:t xml:space="preserve"> B</w:t>
      </w:r>
      <w:r w:rsidR="00FE1185">
        <w:rPr>
          <w:lang w:val="en-CA"/>
        </w:rPr>
        <w:t>.</w:t>
      </w:r>
      <w:r w:rsidR="00BB41AC" w:rsidRPr="00BB41AC">
        <w:rPr>
          <w:lang w:val="en-CA"/>
        </w:rPr>
        <w:t xml:space="preserve"> accus</w:t>
      </w:r>
      <w:r w:rsidR="00CD43D0">
        <w:rPr>
          <w:lang w:val="en-CA"/>
        </w:rPr>
        <w:t>ed her</w:t>
      </w:r>
      <w:r w:rsidR="00BB41AC" w:rsidRPr="00BB41AC">
        <w:rPr>
          <w:lang w:val="en-CA"/>
        </w:rPr>
        <w:t xml:space="preserve"> of adultery and the </w:t>
      </w:r>
      <w:r w:rsidR="00043463">
        <w:rPr>
          <w:lang w:val="en-CA"/>
        </w:rPr>
        <w:t>complainant</w:t>
      </w:r>
      <w:r w:rsidR="00BB41AC" w:rsidRPr="00BB41AC">
        <w:rPr>
          <w:lang w:val="en-CA"/>
        </w:rPr>
        <w:t xml:space="preserve"> has </w:t>
      </w:r>
      <w:r w:rsidR="00CD43D0">
        <w:rPr>
          <w:lang w:val="en-CA"/>
        </w:rPr>
        <w:t xml:space="preserve">not </w:t>
      </w:r>
      <w:r w:rsidR="00BB41AC" w:rsidRPr="00BB41AC">
        <w:rPr>
          <w:lang w:val="en-CA"/>
        </w:rPr>
        <w:t>provided evidence that either B</w:t>
      </w:r>
      <w:r w:rsidR="00FE1185">
        <w:rPr>
          <w:lang w:val="en-CA"/>
        </w:rPr>
        <w:t>.</w:t>
      </w:r>
      <w:r w:rsidR="00BB41AC" w:rsidRPr="00BB41AC">
        <w:rPr>
          <w:lang w:val="en-CA"/>
        </w:rPr>
        <w:t xml:space="preserve"> or the Pakistani </w:t>
      </w:r>
      <w:r w:rsidR="00FE1185">
        <w:rPr>
          <w:lang w:val="en-CA"/>
        </w:rPr>
        <w:t>author</w:t>
      </w:r>
      <w:r w:rsidR="00BB41AC" w:rsidRPr="00BB41AC">
        <w:rPr>
          <w:lang w:val="en-CA"/>
        </w:rPr>
        <w:t>ities have pursued the accusations further. There is no evidence of a</w:t>
      </w:r>
      <w:r w:rsidR="00CD43D0">
        <w:rPr>
          <w:lang w:val="en-CA"/>
        </w:rPr>
        <w:t>n ongoing</w:t>
      </w:r>
      <w:r w:rsidR="00BB41AC" w:rsidRPr="00BB41AC">
        <w:rPr>
          <w:lang w:val="en-CA"/>
        </w:rPr>
        <w:t xml:space="preserve"> legal battle over the land </w:t>
      </w:r>
      <w:r w:rsidR="00CD43D0">
        <w:rPr>
          <w:lang w:val="en-CA"/>
        </w:rPr>
        <w:t>that</w:t>
      </w:r>
      <w:r w:rsidR="00BB41AC" w:rsidRPr="00BB41AC">
        <w:rPr>
          <w:lang w:val="en-CA"/>
        </w:rPr>
        <w:t xml:space="preserve"> would continue to place the </w:t>
      </w:r>
      <w:r w:rsidR="00043463">
        <w:rPr>
          <w:lang w:val="en-CA"/>
        </w:rPr>
        <w:t>complainant</w:t>
      </w:r>
      <w:r w:rsidR="00BB41AC" w:rsidRPr="00BB41AC">
        <w:rPr>
          <w:lang w:val="en-CA"/>
        </w:rPr>
        <w:t xml:space="preserve"> at risk</w:t>
      </w:r>
      <w:r w:rsidR="00CD43D0">
        <w:rPr>
          <w:lang w:val="en-CA"/>
        </w:rPr>
        <w:t xml:space="preserve"> of harm</w:t>
      </w:r>
      <w:r w:rsidR="00BB41AC" w:rsidRPr="00BB41AC">
        <w:rPr>
          <w:lang w:val="en-CA"/>
        </w:rPr>
        <w:t xml:space="preserve">. </w:t>
      </w:r>
    </w:p>
    <w:p w:rsidR="00BB41AC" w:rsidRPr="00BB41AC" w:rsidRDefault="00FE1185">
      <w:pPr>
        <w:pStyle w:val="SingleTxtG"/>
        <w:rPr>
          <w:lang w:val="en-CA"/>
        </w:rPr>
      </w:pPr>
      <w:r>
        <w:rPr>
          <w:lang w:val="en-CA"/>
        </w:rPr>
        <w:t>4.</w:t>
      </w:r>
      <w:r w:rsidR="00524467">
        <w:rPr>
          <w:lang w:val="en-CA"/>
        </w:rPr>
        <w:t>3</w:t>
      </w:r>
      <w:r w:rsidR="006811EC">
        <w:rPr>
          <w:lang w:val="en-CA"/>
        </w:rPr>
        <w:t>2</w:t>
      </w:r>
      <w:r>
        <w:rPr>
          <w:lang w:val="en-CA"/>
        </w:rPr>
        <w:tab/>
        <w:t>The State party</w:t>
      </w:r>
      <w:r w:rsidR="00BB41AC" w:rsidRPr="00FE1185">
        <w:rPr>
          <w:lang w:val="en-CA"/>
        </w:rPr>
        <w:t xml:space="preserve"> </w:t>
      </w:r>
      <w:r w:rsidR="00CD43D0">
        <w:rPr>
          <w:lang w:val="en-CA"/>
        </w:rPr>
        <w:t xml:space="preserve">contends that it </w:t>
      </w:r>
      <w:r w:rsidR="00BB41AC" w:rsidRPr="00FE1185">
        <w:rPr>
          <w:lang w:val="en-CA"/>
        </w:rPr>
        <w:t>would</w:t>
      </w:r>
      <w:r w:rsidR="00BB41AC" w:rsidRPr="00BB41AC">
        <w:rPr>
          <w:lang w:val="en-CA"/>
        </w:rPr>
        <w:t xml:space="preserve"> not be re</w:t>
      </w:r>
      <w:r w:rsidR="0000579C">
        <w:rPr>
          <w:lang w:val="en-CA"/>
        </w:rPr>
        <w:t>moving</w:t>
      </w:r>
      <w:r w:rsidR="00BB41AC" w:rsidRPr="00BB41AC">
        <w:rPr>
          <w:lang w:val="en-CA"/>
        </w:rPr>
        <w:t xml:space="preserve"> the </w:t>
      </w:r>
      <w:r w:rsidR="00043463">
        <w:rPr>
          <w:lang w:val="en-CA"/>
        </w:rPr>
        <w:t>complainant</w:t>
      </w:r>
      <w:r w:rsidR="00BB41AC" w:rsidRPr="00BB41AC">
        <w:rPr>
          <w:lang w:val="en-CA"/>
        </w:rPr>
        <w:t xml:space="preserve"> to Lahore </w:t>
      </w:r>
      <w:r w:rsidR="00CD43D0">
        <w:rPr>
          <w:lang w:val="en-CA"/>
        </w:rPr>
        <w:t>D</w:t>
      </w:r>
      <w:r w:rsidR="00BB41AC" w:rsidRPr="00BB41AC">
        <w:rPr>
          <w:lang w:val="en-CA"/>
        </w:rPr>
        <w:t>istrict</w:t>
      </w:r>
      <w:r w:rsidR="00CD43D0">
        <w:rPr>
          <w:lang w:val="en-CA"/>
        </w:rPr>
        <w:t xml:space="preserve"> specifically</w:t>
      </w:r>
      <w:r w:rsidR="00BB41AC" w:rsidRPr="00BB41AC">
        <w:rPr>
          <w:lang w:val="en-CA"/>
        </w:rPr>
        <w:t xml:space="preserve">, but to Pakistan, where </w:t>
      </w:r>
      <w:r w:rsidR="00CD43D0">
        <w:rPr>
          <w:lang w:val="en-CA"/>
        </w:rPr>
        <w:t>s</w:t>
      </w:r>
      <w:r w:rsidR="00BB41AC" w:rsidRPr="00BB41AC">
        <w:rPr>
          <w:lang w:val="en-CA"/>
        </w:rPr>
        <w:t xml:space="preserve">he </w:t>
      </w:r>
      <w:r w:rsidR="00CD43D0">
        <w:rPr>
          <w:lang w:val="en-CA"/>
        </w:rPr>
        <w:t xml:space="preserve">could </w:t>
      </w:r>
      <w:r w:rsidR="00BB41AC" w:rsidRPr="00BB41AC">
        <w:rPr>
          <w:lang w:val="en-CA"/>
        </w:rPr>
        <w:t>avail herself of an internal flight</w:t>
      </w:r>
      <w:r w:rsidR="0000579C">
        <w:rPr>
          <w:lang w:val="en-CA"/>
        </w:rPr>
        <w:t xml:space="preserve"> or</w:t>
      </w:r>
      <w:r w:rsidR="00BB41AC" w:rsidRPr="00BB41AC">
        <w:rPr>
          <w:lang w:val="en-CA"/>
        </w:rPr>
        <w:t xml:space="preserve"> </w:t>
      </w:r>
      <w:r w:rsidR="00CD43D0">
        <w:rPr>
          <w:lang w:val="en-CA"/>
        </w:rPr>
        <w:t xml:space="preserve">relocation </w:t>
      </w:r>
      <w:r w:rsidR="00BB41AC" w:rsidRPr="00BB41AC">
        <w:rPr>
          <w:lang w:val="en-CA"/>
        </w:rPr>
        <w:t xml:space="preserve">alternative. </w:t>
      </w:r>
      <w:r>
        <w:rPr>
          <w:lang w:val="en-CA"/>
        </w:rPr>
        <w:t>T</w:t>
      </w:r>
      <w:r w:rsidR="00BB41AC" w:rsidRPr="00BB41AC">
        <w:rPr>
          <w:lang w:val="en-CA"/>
        </w:rPr>
        <w:t xml:space="preserve">he </w:t>
      </w:r>
      <w:r w:rsidR="00043463">
        <w:rPr>
          <w:lang w:val="en-CA"/>
        </w:rPr>
        <w:t>complainant</w:t>
      </w:r>
      <w:r w:rsidR="00BB41AC" w:rsidRPr="00BB41AC">
        <w:rPr>
          <w:lang w:val="en-CA"/>
        </w:rPr>
        <w:t xml:space="preserve"> </w:t>
      </w:r>
      <w:r w:rsidR="00CD43D0">
        <w:rPr>
          <w:lang w:val="en-CA"/>
        </w:rPr>
        <w:t>did</w:t>
      </w:r>
      <w:r w:rsidR="00BB41AC" w:rsidRPr="00BB41AC">
        <w:rPr>
          <w:lang w:val="en-CA"/>
        </w:rPr>
        <w:t xml:space="preserve"> not provide evidence to substantiate the allegation that she would be unable to reside free of personal risk of torture in another part of Pakistan. </w:t>
      </w:r>
      <w:r>
        <w:rPr>
          <w:lang w:val="en-CA"/>
        </w:rPr>
        <w:t>The complainant would</w:t>
      </w:r>
      <w:r w:rsidR="00BB41AC" w:rsidRPr="00BB41AC">
        <w:rPr>
          <w:lang w:val="en-CA"/>
        </w:rPr>
        <w:t xml:space="preserve"> not be sought by Pakistani </w:t>
      </w:r>
      <w:r w:rsidR="00CD43D0">
        <w:rPr>
          <w:lang w:val="en-CA"/>
        </w:rPr>
        <w:t>S</w:t>
      </w:r>
      <w:r w:rsidR="00BB41AC" w:rsidRPr="00BB41AC">
        <w:rPr>
          <w:lang w:val="en-CA"/>
        </w:rPr>
        <w:t xml:space="preserve">tate </w:t>
      </w:r>
      <w:r>
        <w:rPr>
          <w:lang w:val="en-CA"/>
        </w:rPr>
        <w:t>authorities</w:t>
      </w:r>
      <w:r w:rsidR="00BB41AC" w:rsidRPr="00BB41AC">
        <w:rPr>
          <w:lang w:val="en-CA"/>
        </w:rPr>
        <w:t xml:space="preserve"> as a result of the accusation of adultery</w:t>
      </w:r>
      <w:r w:rsidR="00CD43D0">
        <w:rPr>
          <w:lang w:val="en-CA"/>
        </w:rPr>
        <w:t xml:space="preserve"> made in 2006</w:t>
      </w:r>
      <w:r w:rsidR="00BB41AC" w:rsidRPr="00BB41AC">
        <w:rPr>
          <w:lang w:val="en-CA"/>
        </w:rPr>
        <w:t>. Although local police in Lahore District</w:t>
      </w:r>
      <w:r w:rsidR="00CD43D0">
        <w:rPr>
          <w:lang w:val="en-CA"/>
        </w:rPr>
        <w:t>, where the complainant lived,</w:t>
      </w:r>
      <w:r w:rsidR="00BB41AC" w:rsidRPr="00BB41AC">
        <w:rPr>
          <w:lang w:val="en-CA"/>
        </w:rPr>
        <w:t xml:space="preserve"> </w:t>
      </w:r>
      <w:r w:rsidR="00CD43D0">
        <w:rPr>
          <w:lang w:val="en-CA"/>
        </w:rPr>
        <w:t>had a first information report on file</w:t>
      </w:r>
      <w:r w:rsidR="00BB41AC" w:rsidRPr="00BB41AC">
        <w:rPr>
          <w:lang w:val="en-CA"/>
        </w:rPr>
        <w:t xml:space="preserve"> concerning th</w:t>
      </w:r>
      <w:r w:rsidR="00CD43D0">
        <w:rPr>
          <w:lang w:val="en-CA"/>
        </w:rPr>
        <w:t>e</w:t>
      </w:r>
      <w:r w:rsidR="00BB41AC" w:rsidRPr="00BB41AC">
        <w:rPr>
          <w:lang w:val="en-CA"/>
        </w:rPr>
        <w:t xml:space="preserve"> accusation </w:t>
      </w:r>
      <w:r w:rsidR="00CD43D0">
        <w:rPr>
          <w:lang w:val="en-CA"/>
        </w:rPr>
        <w:t xml:space="preserve">made </w:t>
      </w:r>
      <w:r w:rsidR="00BB41AC" w:rsidRPr="00BB41AC">
        <w:rPr>
          <w:lang w:val="en-CA"/>
        </w:rPr>
        <w:t xml:space="preserve">in November 2006, there </w:t>
      </w:r>
      <w:r w:rsidR="00CD43D0">
        <w:rPr>
          <w:lang w:val="en-CA"/>
        </w:rPr>
        <w:t>wa</w:t>
      </w:r>
      <w:r w:rsidR="00BB41AC" w:rsidRPr="00BB41AC">
        <w:rPr>
          <w:lang w:val="en-CA"/>
        </w:rPr>
        <w:t>s no evidence that the local police ha</w:t>
      </w:r>
      <w:r w:rsidR="00CD43D0">
        <w:rPr>
          <w:lang w:val="en-CA"/>
        </w:rPr>
        <w:t>d</w:t>
      </w:r>
      <w:r w:rsidR="00BB41AC" w:rsidRPr="00BB41AC">
        <w:rPr>
          <w:lang w:val="en-CA"/>
        </w:rPr>
        <w:t xml:space="preserve"> taken any steps to follow</w:t>
      </w:r>
      <w:r w:rsidR="00CD43D0">
        <w:rPr>
          <w:lang w:val="en-CA"/>
        </w:rPr>
        <w:t xml:space="preserve"> </w:t>
      </w:r>
      <w:r w:rsidR="00BB41AC" w:rsidRPr="00BB41AC">
        <w:rPr>
          <w:lang w:val="en-CA"/>
        </w:rPr>
        <w:t>up</w:t>
      </w:r>
      <w:r w:rsidR="00CD43D0">
        <w:rPr>
          <w:lang w:val="en-CA"/>
        </w:rPr>
        <w:t xml:space="preserve"> the complaint</w:t>
      </w:r>
      <w:r w:rsidR="00BB41AC" w:rsidRPr="00BB41AC">
        <w:rPr>
          <w:lang w:val="en-CA"/>
        </w:rPr>
        <w:t xml:space="preserve">. Several months after the </w:t>
      </w:r>
      <w:r w:rsidR="00CD43D0">
        <w:rPr>
          <w:lang w:val="en-CA"/>
        </w:rPr>
        <w:t xml:space="preserve">report had been </w:t>
      </w:r>
      <w:r w:rsidR="00BB41AC" w:rsidRPr="00BB41AC">
        <w:rPr>
          <w:lang w:val="en-CA"/>
        </w:rPr>
        <w:t xml:space="preserve">filed, the </w:t>
      </w:r>
      <w:r w:rsidR="00043463">
        <w:rPr>
          <w:lang w:val="en-CA"/>
        </w:rPr>
        <w:t>complainant</w:t>
      </w:r>
      <w:r w:rsidR="00BB41AC" w:rsidRPr="00BB41AC">
        <w:rPr>
          <w:lang w:val="en-CA"/>
        </w:rPr>
        <w:t xml:space="preserve"> left Pakistan using her own passport. </w:t>
      </w:r>
      <w:r w:rsidR="00D00428">
        <w:rPr>
          <w:lang w:val="en-CA"/>
        </w:rPr>
        <w:t>Given the foregoing, t</w:t>
      </w:r>
      <w:r w:rsidR="00BB41AC" w:rsidRPr="00BB41AC">
        <w:rPr>
          <w:lang w:val="en-CA"/>
        </w:rPr>
        <w:t xml:space="preserve">here is no reason to believe that the </w:t>
      </w:r>
      <w:r w:rsidR="00043463">
        <w:rPr>
          <w:lang w:val="en-CA"/>
        </w:rPr>
        <w:t>complainant</w:t>
      </w:r>
      <w:r w:rsidR="00BB41AC" w:rsidRPr="00BB41AC">
        <w:rPr>
          <w:lang w:val="en-CA"/>
        </w:rPr>
        <w:t xml:space="preserve"> would be sought by </w:t>
      </w:r>
      <w:r w:rsidR="00CD43D0">
        <w:rPr>
          <w:lang w:val="en-CA"/>
        </w:rPr>
        <w:t>S</w:t>
      </w:r>
      <w:r w:rsidR="00BB41AC" w:rsidRPr="00BB41AC">
        <w:rPr>
          <w:lang w:val="en-CA"/>
        </w:rPr>
        <w:t xml:space="preserve">tate </w:t>
      </w:r>
      <w:r>
        <w:rPr>
          <w:lang w:val="en-CA"/>
        </w:rPr>
        <w:t>author</w:t>
      </w:r>
      <w:r w:rsidR="00BB41AC" w:rsidRPr="00BB41AC">
        <w:rPr>
          <w:lang w:val="en-CA"/>
        </w:rPr>
        <w:t>ities upon return</w:t>
      </w:r>
      <w:r w:rsidR="00D00428">
        <w:rPr>
          <w:lang w:val="en-CA"/>
        </w:rPr>
        <w:t xml:space="preserve"> to Pakistan</w:t>
      </w:r>
      <w:r w:rsidR="00BB41AC" w:rsidRPr="00BB41AC">
        <w:rPr>
          <w:lang w:val="en-CA"/>
        </w:rPr>
        <w:t>, particularly if she lived somewhere outside of Lahore District.</w:t>
      </w:r>
    </w:p>
    <w:p w:rsidR="00B76F63" w:rsidRDefault="00B76F63" w:rsidP="00D00428">
      <w:pPr>
        <w:pStyle w:val="SingleTxtG"/>
        <w:rPr>
          <w:lang w:val="en-CA"/>
        </w:rPr>
      </w:pPr>
      <w:r>
        <w:rPr>
          <w:lang w:val="en-CA"/>
        </w:rPr>
        <w:t>4.3</w:t>
      </w:r>
      <w:r w:rsidR="006811EC">
        <w:rPr>
          <w:lang w:val="en-CA"/>
        </w:rPr>
        <w:t>3</w:t>
      </w:r>
      <w:r>
        <w:rPr>
          <w:lang w:val="en-CA"/>
        </w:rPr>
        <w:tab/>
      </w:r>
      <w:r w:rsidR="00BB41AC" w:rsidRPr="00BB41AC">
        <w:rPr>
          <w:lang w:val="en-CA"/>
        </w:rPr>
        <w:t xml:space="preserve">In the event that the Committee </w:t>
      </w:r>
      <w:r w:rsidR="00D00428">
        <w:rPr>
          <w:lang w:val="en-CA"/>
        </w:rPr>
        <w:t>should deem</w:t>
      </w:r>
      <w:r w:rsidR="00BB41AC" w:rsidRPr="00BB41AC">
        <w:rPr>
          <w:lang w:val="en-CA"/>
        </w:rPr>
        <w:t xml:space="preserve"> it necessary to consider the general human rights situation in Pakistan, </w:t>
      </w:r>
      <w:r>
        <w:rPr>
          <w:lang w:val="en-CA"/>
        </w:rPr>
        <w:t>the State party maintain</w:t>
      </w:r>
      <w:r w:rsidR="00D00428">
        <w:rPr>
          <w:lang w:val="en-CA"/>
        </w:rPr>
        <w:t xml:space="preserve">s </w:t>
      </w:r>
      <w:r w:rsidR="00BB41AC" w:rsidRPr="00BB41AC">
        <w:rPr>
          <w:lang w:val="en-CA"/>
        </w:rPr>
        <w:t>that th</w:t>
      </w:r>
      <w:r w:rsidR="00D00428">
        <w:rPr>
          <w:lang w:val="en-CA"/>
        </w:rPr>
        <w:t>e</w:t>
      </w:r>
      <w:r w:rsidR="00BB41AC" w:rsidRPr="00BB41AC">
        <w:rPr>
          <w:lang w:val="en-CA"/>
        </w:rPr>
        <w:t xml:space="preserve"> situation does not establish that the </w:t>
      </w:r>
      <w:r w:rsidR="00043463">
        <w:rPr>
          <w:lang w:val="en-CA"/>
        </w:rPr>
        <w:t>complainant</w:t>
      </w:r>
      <w:r w:rsidR="00BB41AC" w:rsidRPr="00BB41AC">
        <w:rPr>
          <w:lang w:val="en-CA"/>
        </w:rPr>
        <w:t xml:space="preserve"> would face a real</w:t>
      </w:r>
      <w:r w:rsidR="00D00428">
        <w:rPr>
          <w:lang w:val="en-CA"/>
        </w:rPr>
        <w:t xml:space="preserve"> and</w:t>
      </w:r>
      <w:r w:rsidR="00BB41AC" w:rsidRPr="00BB41AC">
        <w:rPr>
          <w:lang w:val="en-CA"/>
        </w:rPr>
        <w:t xml:space="preserve"> personal risk of torture upon</w:t>
      </w:r>
      <w:r w:rsidR="00D22413">
        <w:rPr>
          <w:lang w:val="en-CA"/>
        </w:rPr>
        <w:t xml:space="preserve"> her return to Pakistan</w:t>
      </w:r>
      <w:r w:rsidR="00BB41AC" w:rsidRPr="00BB41AC">
        <w:rPr>
          <w:lang w:val="en-CA"/>
        </w:rPr>
        <w:t xml:space="preserve">. </w:t>
      </w:r>
      <w:r w:rsidR="00570923">
        <w:rPr>
          <w:lang w:val="en-CA"/>
        </w:rPr>
        <w:t>A</w:t>
      </w:r>
      <w:r w:rsidR="00BB41AC" w:rsidRPr="00BB41AC">
        <w:rPr>
          <w:lang w:val="en-CA"/>
        </w:rPr>
        <w:t xml:space="preserve"> number of reports on conditions in Pakistan </w:t>
      </w:r>
      <w:r w:rsidR="00D00428">
        <w:rPr>
          <w:lang w:val="en-CA"/>
        </w:rPr>
        <w:t>attest to</w:t>
      </w:r>
      <w:r w:rsidR="00BB41AC" w:rsidRPr="00BB41AC">
        <w:rPr>
          <w:lang w:val="en-CA"/>
        </w:rPr>
        <w:t xml:space="preserve"> the </w:t>
      </w:r>
      <w:r w:rsidR="00043463">
        <w:rPr>
          <w:lang w:val="en-CA"/>
        </w:rPr>
        <w:t>complainant</w:t>
      </w:r>
      <w:r w:rsidR="00BB41AC" w:rsidRPr="00BB41AC">
        <w:rPr>
          <w:lang w:val="en-CA"/>
        </w:rPr>
        <w:t>’s general submission that honour killings and other forms of violence against women continue to be a serious problem</w:t>
      </w:r>
      <w:r w:rsidR="00D00428">
        <w:rPr>
          <w:lang w:val="en-CA"/>
        </w:rPr>
        <w:t xml:space="preserve"> </w:t>
      </w:r>
      <w:r w:rsidR="00D00428" w:rsidRPr="00BB41AC">
        <w:rPr>
          <w:lang w:val="en-CA"/>
        </w:rPr>
        <w:t>in certain areas of Pakistan, especially rural areas</w:t>
      </w:r>
      <w:r w:rsidR="00BB41AC" w:rsidRPr="00BB41AC">
        <w:rPr>
          <w:lang w:val="en-CA"/>
        </w:rPr>
        <w:t>.</w:t>
      </w:r>
      <w:r w:rsidR="00C2541A">
        <w:rPr>
          <w:rStyle w:val="FootnoteReference"/>
          <w:lang w:val="en-CA"/>
        </w:rPr>
        <w:footnoteReference w:id="13"/>
      </w:r>
      <w:r w:rsidR="00BB41AC" w:rsidRPr="00BB41AC">
        <w:rPr>
          <w:lang w:val="en-CA"/>
        </w:rPr>
        <w:t xml:space="preserve"> However, with respect to women who are in a position </w:t>
      </w:r>
      <w:r w:rsidR="00D00428">
        <w:rPr>
          <w:lang w:val="en-CA"/>
        </w:rPr>
        <w:t>similar to the one</w:t>
      </w:r>
      <w:r w:rsidR="00BB41AC" w:rsidRPr="00BB41AC">
        <w:rPr>
          <w:lang w:val="en-CA"/>
        </w:rPr>
        <w:t xml:space="preserve"> the </w:t>
      </w:r>
      <w:r w:rsidR="00043463">
        <w:rPr>
          <w:lang w:val="en-CA"/>
        </w:rPr>
        <w:t>complainant</w:t>
      </w:r>
      <w:r w:rsidR="00BB41AC" w:rsidRPr="00BB41AC">
        <w:rPr>
          <w:lang w:val="en-CA"/>
        </w:rPr>
        <w:t xml:space="preserve"> </w:t>
      </w:r>
      <w:r w:rsidR="00BB41AC" w:rsidRPr="00BB41AC">
        <w:rPr>
          <w:lang w:val="en-CA"/>
        </w:rPr>
        <w:lastRenderedPageBreak/>
        <w:t xml:space="preserve">would be </w:t>
      </w:r>
      <w:r w:rsidR="00D00428">
        <w:rPr>
          <w:lang w:val="en-CA"/>
        </w:rPr>
        <w:t xml:space="preserve">in </w:t>
      </w:r>
      <w:r w:rsidR="00BB41AC" w:rsidRPr="00BB41AC">
        <w:rPr>
          <w:lang w:val="en-CA"/>
        </w:rPr>
        <w:t>upon her return to Pakistan, th</w:t>
      </w:r>
      <w:r w:rsidR="00D00428">
        <w:rPr>
          <w:lang w:val="en-CA"/>
        </w:rPr>
        <w:t>o</w:t>
      </w:r>
      <w:r w:rsidR="00BB41AC" w:rsidRPr="00BB41AC">
        <w:rPr>
          <w:lang w:val="en-CA"/>
        </w:rPr>
        <w:t xml:space="preserve">se reports do not support the notion that they face a real risk of </w:t>
      </w:r>
      <w:r w:rsidR="00BB41AC" w:rsidRPr="00B76F63">
        <w:rPr>
          <w:lang w:val="en-CA"/>
        </w:rPr>
        <w:t>torture</w:t>
      </w:r>
      <w:r>
        <w:rPr>
          <w:lang w:val="en-CA"/>
        </w:rPr>
        <w:t xml:space="preserve"> as defined by the Convention.</w:t>
      </w:r>
      <w:r w:rsidR="00BB41AC" w:rsidRPr="00BB41AC">
        <w:rPr>
          <w:lang w:val="en-CA"/>
        </w:rPr>
        <w:t xml:space="preserve"> </w:t>
      </w:r>
    </w:p>
    <w:p w:rsidR="00B8319F" w:rsidRDefault="00B76F63" w:rsidP="00304A52">
      <w:pPr>
        <w:pStyle w:val="SingleTxtG"/>
        <w:rPr>
          <w:lang w:val="en-CA"/>
        </w:rPr>
      </w:pPr>
      <w:r w:rsidRPr="00B8319F">
        <w:rPr>
          <w:lang w:val="en-CA"/>
        </w:rPr>
        <w:t>4.3</w:t>
      </w:r>
      <w:r w:rsidR="006811EC">
        <w:rPr>
          <w:lang w:val="en-CA"/>
        </w:rPr>
        <w:t>4</w:t>
      </w:r>
      <w:r w:rsidRPr="00B8319F">
        <w:rPr>
          <w:lang w:val="en-CA"/>
        </w:rPr>
        <w:tab/>
        <w:t>The State party note</w:t>
      </w:r>
      <w:r w:rsidR="00D00428">
        <w:rPr>
          <w:lang w:val="en-CA"/>
        </w:rPr>
        <w:t>s</w:t>
      </w:r>
      <w:r w:rsidRPr="00B8319F">
        <w:rPr>
          <w:lang w:val="en-CA"/>
        </w:rPr>
        <w:t xml:space="preserve"> that the</w:t>
      </w:r>
      <w:r w:rsidR="00BB41AC" w:rsidRPr="00B8319F">
        <w:rPr>
          <w:lang w:val="en-CA"/>
        </w:rPr>
        <w:t xml:space="preserve"> communication includes allegations of risks of harm in Pakistan </w:t>
      </w:r>
      <w:r w:rsidRPr="00B8319F">
        <w:rPr>
          <w:lang w:val="en-CA"/>
        </w:rPr>
        <w:t>which</w:t>
      </w:r>
      <w:r w:rsidR="00BB41AC" w:rsidRPr="00B8319F">
        <w:rPr>
          <w:lang w:val="en-CA"/>
        </w:rPr>
        <w:t xml:space="preserve"> are incompatible with </w:t>
      </w:r>
      <w:r w:rsidR="00B8319F" w:rsidRPr="00B8319F">
        <w:rPr>
          <w:lang w:val="en-CA"/>
        </w:rPr>
        <w:t>a</w:t>
      </w:r>
      <w:r w:rsidR="00BB41AC" w:rsidRPr="00B8319F">
        <w:rPr>
          <w:lang w:val="en-CA"/>
        </w:rPr>
        <w:t>rticle 3 of the Convention</w:t>
      </w:r>
      <w:r w:rsidR="00B8319F">
        <w:rPr>
          <w:lang w:val="en-CA"/>
        </w:rPr>
        <w:t>, namely</w:t>
      </w:r>
      <w:r w:rsidR="00BB41AC" w:rsidRPr="00BB41AC">
        <w:rPr>
          <w:lang w:val="en-CA"/>
        </w:rPr>
        <w:t xml:space="preserve"> </w:t>
      </w:r>
      <w:r w:rsidR="00D00428">
        <w:rPr>
          <w:lang w:val="en-CA"/>
        </w:rPr>
        <w:t xml:space="preserve">the </w:t>
      </w:r>
      <w:r w:rsidR="00BB41AC" w:rsidRPr="00BB41AC">
        <w:rPr>
          <w:lang w:val="en-CA"/>
        </w:rPr>
        <w:t xml:space="preserve">risk of arrest and imprisonment in relation to </w:t>
      </w:r>
      <w:r w:rsidR="00D00428">
        <w:rPr>
          <w:lang w:val="en-CA"/>
        </w:rPr>
        <w:t>the</w:t>
      </w:r>
      <w:r w:rsidR="00BB41AC" w:rsidRPr="00BB41AC">
        <w:rPr>
          <w:lang w:val="en-CA"/>
        </w:rPr>
        <w:t xml:space="preserve"> accusation of adultery and </w:t>
      </w:r>
      <w:r w:rsidR="00D00428">
        <w:rPr>
          <w:lang w:val="en-CA"/>
        </w:rPr>
        <w:t>the</w:t>
      </w:r>
      <w:r w:rsidR="00BB41AC" w:rsidRPr="00BB41AC">
        <w:rPr>
          <w:lang w:val="en-CA"/>
        </w:rPr>
        <w:t xml:space="preserve"> risk to </w:t>
      </w:r>
      <w:r w:rsidR="00D00428">
        <w:rPr>
          <w:lang w:val="en-CA"/>
        </w:rPr>
        <w:t xml:space="preserve">her </w:t>
      </w:r>
      <w:r w:rsidR="00BB41AC" w:rsidRPr="00BB41AC">
        <w:rPr>
          <w:lang w:val="en-CA"/>
        </w:rPr>
        <w:t xml:space="preserve">life (honour killing) </w:t>
      </w:r>
      <w:r w:rsidR="00D00428">
        <w:rPr>
          <w:lang w:val="en-CA"/>
        </w:rPr>
        <w:t>by</w:t>
      </w:r>
      <w:r w:rsidR="00BB41AC" w:rsidRPr="00BB41AC">
        <w:rPr>
          <w:lang w:val="en-CA"/>
        </w:rPr>
        <w:t xml:space="preserve"> private individuals. </w:t>
      </w:r>
      <w:r w:rsidR="00B8319F">
        <w:rPr>
          <w:lang w:val="en-CA"/>
        </w:rPr>
        <w:t>R</w:t>
      </w:r>
      <w:r w:rsidR="00BB41AC" w:rsidRPr="00BB41AC">
        <w:rPr>
          <w:lang w:val="en-CA"/>
        </w:rPr>
        <w:t>eturn</w:t>
      </w:r>
      <w:r w:rsidR="00D00428">
        <w:rPr>
          <w:lang w:val="en-CA"/>
        </w:rPr>
        <w:t>ing a person</w:t>
      </w:r>
      <w:r w:rsidR="00BB41AC" w:rsidRPr="00BB41AC">
        <w:rPr>
          <w:lang w:val="en-CA"/>
        </w:rPr>
        <w:t xml:space="preserve"> to a </w:t>
      </w:r>
      <w:r w:rsidR="00D00428">
        <w:rPr>
          <w:lang w:val="en-CA"/>
        </w:rPr>
        <w:t>S</w:t>
      </w:r>
      <w:r w:rsidR="00BB41AC" w:rsidRPr="00BB41AC">
        <w:rPr>
          <w:lang w:val="en-CA"/>
        </w:rPr>
        <w:t xml:space="preserve">tate where there </w:t>
      </w:r>
      <w:r w:rsidR="00B8319F">
        <w:rPr>
          <w:lang w:val="en-CA"/>
        </w:rPr>
        <w:t>are</w:t>
      </w:r>
      <w:r w:rsidR="00BB41AC" w:rsidRPr="00BB41AC">
        <w:rPr>
          <w:lang w:val="en-CA"/>
        </w:rPr>
        <w:t xml:space="preserve"> claim</w:t>
      </w:r>
      <w:r w:rsidR="00D00428">
        <w:rPr>
          <w:lang w:val="en-CA"/>
        </w:rPr>
        <w:t>s of</w:t>
      </w:r>
      <w:r w:rsidR="00BB41AC" w:rsidRPr="00BB41AC">
        <w:rPr>
          <w:lang w:val="en-CA"/>
        </w:rPr>
        <w:t xml:space="preserve"> risk of arrest</w:t>
      </w:r>
      <w:r w:rsidR="00B8319F">
        <w:rPr>
          <w:lang w:val="en-CA"/>
        </w:rPr>
        <w:t>, detention or imprisonment</w:t>
      </w:r>
      <w:r w:rsidR="00BB41AC" w:rsidRPr="00BB41AC">
        <w:rPr>
          <w:lang w:val="en-CA"/>
        </w:rPr>
        <w:t xml:space="preserve"> </w:t>
      </w:r>
      <w:r w:rsidR="00D00428">
        <w:rPr>
          <w:lang w:val="en-CA"/>
        </w:rPr>
        <w:t>does</w:t>
      </w:r>
      <w:r w:rsidR="00BB41AC" w:rsidRPr="00BB41AC">
        <w:rPr>
          <w:lang w:val="en-CA"/>
        </w:rPr>
        <w:t xml:space="preserve"> not, in and of itself, </w:t>
      </w:r>
      <w:r w:rsidR="00D00428">
        <w:rPr>
          <w:lang w:val="en-CA"/>
        </w:rPr>
        <w:t>mean that the person would face the risk of</w:t>
      </w:r>
      <w:r w:rsidR="00B8319F">
        <w:rPr>
          <w:lang w:val="en-CA"/>
        </w:rPr>
        <w:t xml:space="preserve"> torture as defined in a</w:t>
      </w:r>
      <w:r w:rsidR="00BB41AC" w:rsidRPr="00BB41AC">
        <w:rPr>
          <w:lang w:val="en-CA"/>
        </w:rPr>
        <w:t xml:space="preserve">rticle 1 of the </w:t>
      </w:r>
      <w:r w:rsidR="00BB41AC" w:rsidRPr="00B8319F">
        <w:rPr>
          <w:lang w:val="en-CA"/>
        </w:rPr>
        <w:t>Convention.</w:t>
      </w:r>
      <w:r w:rsidR="00BB41AC" w:rsidRPr="00BB41AC">
        <w:rPr>
          <w:i/>
          <w:lang w:val="en-CA"/>
        </w:rPr>
        <w:t xml:space="preserve"> </w:t>
      </w:r>
      <w:r w:rsidR="00BB41AC" w:rsidRPr="00BB41AC">
        <w:rPr>
          <w:lang w:val="en-CA"/>
        </w:rPr>
        <w:t xml:space="preserve">Even if the treatment </w:t>
      </w:r>
      <w:r w:rsidR="00D00428">
        <w:rPr>
          <w:lang w:val="en-CA"/>
        </w:rPr>
        <w:t xml:space="preserve">that </w:t>
      </w:r>
      <w:r w:rsidR="00BB41AC" w:rsidRPr="00BB41AC">
        <w:rPr>
          <w:lang w:val="en-CA"/>
        </w:rPr>
        <w:t xml:space="preserve">the </w:t>
      </w:r>
      <w:r w:rsidR="00043463">
        <w:rPr>
          <w:lang w:val="en-CA"/>
        </w:rPr>
        <w:t>complainant</w:t>
      </w:r>
      <w:r w:rsidR="00D00428">
        <w:rPr>
          <w:lang w:val="en-CA"/>
        </w:rPr>
        <w:t xml:space="preserve"> may be subjected to</w:t>
      </w:r>
      <w:r w:rsidR="00BB41AC" w:rsidRPr="00BB41AC">
        <w:rPr>
          <w:lang w:val="en-CA"/>
        </w:rPr>
        <w:t xml:space="preserve"> upon hypothetical arrest, detention or imprisonment could constitute cruel, inhuman or degrading treatment or punishment contrary to Pakistan’s obligations under </w:t>
      </w:r>
      <w:r w:rsidR="00B8319F">
        <w:rPr>
          <w:lang w:val="en-CA"/>
        </w:rPr>
        <w:t>a</w:t>
      </w:r>
      <w:r w:rsidR="00BB41AC" w:rsidRPr="00BB41AC">
        <w:rPr>
          <w:lang w:val="en-CA"/>
        </w:rPr>
        <w:t>rticle 16</w:t>
      </w:r>
      <w:r w:rsidR="00C3740F">
        <w:rPr>
          <w:lang w:val="en-CA"/>
        </w:rPr>
        <w:t xml:space="preserve"> of the Convention</w:t>
      </w:r>
      <w:r w:rsidR="00BB41AC" w:rsidRPr="00BB41AC">
        <w:rPr>
          <w:lang w:val="en-CA"/>
        </w:rPr>
        <w:t xml:space="preserve">, </w:t>
      </w:r>
      <w:r w:rsidR="00B8319F">
        <w:rPr>
          <w:lang w:val="en-CA"/>
        </w:rPr>
        <w:t>t</w:t>
      </w:r>
      <w:r w:rsidR="00BB41AC" w:rsidRPr="00BB41AC">
        <w:rPr>
          <w:lang w:val="en-CA"/>
        </w:rPr>
        <w:t xml:space="preserve">he obligation of </w:t>
      </w:r>
      <w:r w:rsidR="00BB41AC" w:rsidRPr="00304A52">
        <w:rPr>
          <w:iCs/>
          <w:lang w:val="en-CA"/>
        </w:rPr>
        <w:t>non-refoulement</w:t>
      </w:r>
      <w:r w:rsidR="00C3740F">
        <w:rPr>
          <w:lang w:val="en-CA"/>
        </w:rPr>
        <w:t xml:space="preserve"> under article 3</w:t>
      </w:r>
      <w:r w:rsidR="00BB41AC" w:rsidRPr="00BB41AC">
        <w:rPr>
          <w:lang w:val="en-CA"/>
        </w:rPr>
        <w:t xml:space="preserve"> applies only to a real risk of being subjected to </w:t>
      </w:r>
      <w:r w:rsidR="00BB41AC" w:rsidRPr="00B8319F">
        <w:rPr>
          <w:lang w:val="en-CA"/>
        </w:rPr>
        <w:t>torture</w:t>
      </w:r>
      <w:r w:rsidR="00BB41AC" w:rsidRPr="00BB41AC">
        <w:rPr>
          <w:lang w:val="en-CA"/>
        </w:rPr>
        <w:t xml:space="preserve">. </w:t>
      </w:r>
    </w:p>
    <w:bookmarkEnd w:id="1"/>
    <w:p w:rsidR="007565B6" w:rsidRPr="00304A52" w:rsidRDefault="0032747B" w:rsidP="00304A52">
      <w:pPr>
        <w:pStyle w:val="H23G"/>
      </w:pPr>
      <w:r>
        <w:tab/>
      </w:r>
      <w:r>
        <w:tab/>
      </w:r>
      <w:r w:rsidR="00D20DA8">
        <w:t>Complainant</w:t>
      </w:r>
      <w:r w:rsidR="007565B6" w:rsidRPr="007565B6">
        <w:t>’</w:t>
      </w:r>
      <w:r w:rsidR="00D20DA8">
        <w:t>s</w:t>
      </w:r>
      <w:r w:rsidR="007565B6" w:rsidRPr="007565B6">
        <w:t xml:space="preserve"> comments</w:t>
      </w:r>
    </w:p>
    <w:p w:rsidR="00EF353A" w:rsidRDefault="00D20DA8" w:rsidP="00AA0396">
      <w:pPr>
        <w:pStyle w:val="SingleTxtG"/>
      </w:pPr>
      <w:r>
        <w:t>5</w:t>
      </w:r>
      <w:r w:rsidR="007565B6">
        <w:t>.1</w:t>
      </w:r>
      <w:r w:rsidR="00F32D0E">
        <w:tab/>
      </w:r>
      <w:r w:rsidR="00036482">
        <w:t xml:space="preserve">On </w:t>
      </w:r>
      <w:r w:rsidR="00D47274">
        <w:t>18 August 2013</w:t>
      </w:r>
      <w:r w:rsidR="00036482">
        <w:t xml:space="preserve">, the complainant maintained that </w:t>
      </w:r>
      <w:r w:rsidR="006811EC">
        <w:t>a judicial review of the R</w:t>
      </w:r>
      <w:r w:rsidR="00C3740F">
        <w:rPr>
          <w:lang w:val="en-US"/>
        </w:rPr>
        <w:t xml:space="preserve">efugee </w:t>
      </w:r>
      <w:r w:rsidR="006811EC">
        <w:t>P</w:t>
      </w:r>
      <w:r w:rsidR="00C3740F">
        <w:rPr>
          <w:lang w:val="en-US"/>
        </w:rPr>
        <w:t xml:space="preserve">rotection </w:t>
      </w:r>
      <w:r w:rsidR="006811EC">
        <w:t>D</w:t>
      </w:r>
      <w:r w:rsidR="00C3740F">
        <w:rPr>
          <w:lang w:val="en-US"/>
        </w:rPr>
        <w:t>ivision</w:t>
      </w:r>
      <w:r w:rsidR="006811EC">
        <w:t xml:space="preserve"> decision wa</w:t>
      </w:r>
      <w:r w:rsidR="00036482">
        <w:t>s ineffective because applicants must first be granted leave to have a full judicial review hearing</w:t>
      </w:r>
      <w:r w:rsidR="00C3740F">
        <w:rPr>
          <w:lang w:val="en-US"/>
        </w:rPr>
        <w:t xml:space="preserve"> and</w:t>
      </w:r>
      <w:r w:rsidR="00036482">
        <w:t xml:space="preserve"> </w:t>
      </w:r>
      <w:r w:rsidR="00D47274">
        <w:t>80</w:t>
      </w:r>
      <w:r w:rsidR="00C3740F">
        <w:rPr>
          <w:lang w:val="en-US"/>
        </w:rPr>
        <w:t xml:space="preserve"> </w:t>
      </w:r>
      <w:r w:rsidR="00D47274">
        <w:t>to 85</w:t>
      </w:r>
      <w:r w:rsidR="00C3740F">
        <w:rPr>
          <w:lang w:val="en-US"/>
        </w:rPr>
        <w:t xml:space="preserve"> per cent</w:t>
      </w:r>
      <w:r w:rsidR="00D47274">
        <w:t xml:space="preserve"> of the requests for</w:t>
      </w:r>
      <w:r w:rsidR="00C3740F">
        <w:rPr>
          <w:lang w:val="en-US"/>
        </w:rPr>
        <w:t xml:space="preserve"> leave</w:t>
      </w:r>
      <w:r w:rsidR="00570923">
        <w:t xml:space="preserve"> to the Federal Court</w:t>
      </w:r>
      <w:r w:rsidR="00EF353A">
        <w:t xml:space="preserve"> </w:t>
      </w:r>
      <w:r w:rsidR="00C3740F">
        <w:rPr>
          <w:lang w:val="en-US"/>
        </w:rPr>
        <w:t>we</w:t>
      </w:r>
      <w:r w:rsidR="00EF353A">
        <w:t>re not granted</w:t>
      </w:r>
      <w:r w:rsidR="00D47274">
        <w:t xml:space="preserve"> a</w:t>
      </w:r>
      <w:r w:rsidR="00C3740F">
        <w:rPr>
          <w:lang w:val="en-US"/>
        </w:rPr>
        <w:t>s</w:t>
      </w:r>
      <w:r w:rsidR="00D47274">
        <w:t xml:space="preserve"> t</w:t>
      </w:r>
      <w:r w:rsidR="00EF353A">
        <w:t xml:space="preserve">he </w:t>
      </w:r>
      <w:r w:rsidR="00D47274">
        <w:t>c</w:t>
      </w:r>
      <w:r w:rsidR="00EF353A">
        <w:t xml:space="preserve">ases that go to the Federal Court </w:t>
      </w:r>
      <w:r w:rsidR="00C3740F">
        <w:rPr>
          <w:lang w:val="en-US"/>
        </w:rPr>
        <w:t>we</w:t>
      </w:r>
      <w:r w:rsidR="00EF353A">
        <w:t xml:space="preserve">re not effectively reviewed </w:t>
      </w:r>
      <w:r w:rsidR="00D47274">
        <w:t xml:space="preserve">or even heard by a </w:t>
      </w:r>
      <w:r w:rsidR="00C3740F">
        <w:rPr>
          <w:lang w:val="en-US"/>
        </w:rPr>
        <w:t>j</w:t>
      </w:r>
      <w:r w:rsidR="00D47274">
        <w:t xml:space="preserve">udge. She submitted </w:t>
      </w:r>
      <w:r w:rsidR="00EF353A" w:rsidRPr="002D6D09">
        <w:t xml:space="preserve">an academic article entitled “A </w:t>
      </w:r>
      <w:r w:rsidR="00C3740F">
        <w:rPr>
          <w:lang w:val="en-US"/>
        </w:rPr>
        <w:t>r</w:t>
      </w:r>
      <w:r w:rsidR="00EF353A" w:rsidRPr="002D6D09">
        <w:t xml:space="preserve">efugee from </w:t>
      </w:r>
      <w:r w:rsidR="00C3740F">
        <w:rPr>
          <w:lang w:val="en-US"/>
        </w:rPr>
        <w:t>j</w:t>
      </w:r>
      <w:r w:rsidR="00EF353A" w:rsidRPr="002D6D09">
        <w:t xml:space="preserve">ustice? Disparate </w:t>
      </w:r>
      <w:r w:rsidR="00C3740F">
        <w:rPr>
          <w:lang w:val="en-US"/>
        </w:rPr>
        <w:t>t</w:t>
      </w:r>
      <w:r w:rsidR="00EF353A" w:rsidRPr="002D6D09">
        <w:t>reatment in the</w:t>
      </w:r>
      <w:r w:rsidR="00EF353A">
        <w:t xml:space="preserve"> Federal Court of Canada</w:t>
      </w:r>
      <w:r w:rsidR="00EF353A" w:rsidRPr="002D6D09">
        <w:t>”</w:t>
      </w:r>
      <w:r w:rsidR="0032747B">
        <w:rPr>
          <w:rStyle w:val="FootnoteReference"/>
        </w:rPr>
        <w:footnoteReference w:id="14"/>
      </w:r>
      <w:r w:rsidR="00D47274">
        <w:t xml:space="preserve"> in support</w:t>
      </w:r>
      <w:r w:rsidR="007D1791">
        <w:t xml:space="preserve"> </w:t>
      </w:r>
      <w:r w:rsidR="00C3740F">
        <w:rPr>
          <w:lang w:val="en-US"/>
        </w:rPr>
        <w:t xml:space="preserve">of her argument </w:t>
      </w:r>
      <w:r w:rsidR="007D1791">
        <w:t>and</w:t>
      </w:r>
      <w:r w:rsidR="006811EC">
        <w:t xml:space="preserve"> referred to the Committee’s decision in </w:t>
      </w:r>
      <w:r w:rsidR="006811EC" w:rsidRPr="006811EC">
        <w:rPr>
          <w:i/>
        </w:rPr>
        <w:t>Nirmal Singh v. Canada</w:t>
      </w:r>
      <w:r w:rsidR="006811EC">
        <w:t>.</w:t>
      </w:r>
      <w:r w:rsidR="0032747B">
        <w:rPr>
          <w:rStyle w:val="FootnoteReference"/>
        </w:rPr>
        <w:footnoteReference w:id="15"/>
      </w:r>
    </w:p>
    <w:p w:rsidR="007D1791" w:rsidRDefault="007D1791">
      <w:pPr>
        <w:pStyle w:val="SingleTxtG"/>
      </w:pPr>
      <w:r>
        <w:t>5.2</w:t>
      </w:r>
      <w:r>
        <w:tab/>
        <w:t>The complainant submitted that application</w:t>
      </w:r>
      <w:r w:rsidR="00C3740F">
        <w:rPr>
          <w:lang w:val="en-US"/>
        </w:rPr>
        <w:t xml:space="preserve"> for permanent residence</w:t>
      </w:r>
      <w:r>
        <w:t xml:space="preserve"> on </w:t>
      </w:r>
      <w:r w:rsidR="00C3740F">
        <w:rPr>
          <w:lang w:val="en-US"/>
        </w:rPr>
        <w:t xml:space="preserve">humanitarian and compassionate </w:t>
      </w:r>
      <w:r>
        <w:t>ground</w:t>
      </w:r>
      <w:r w:rsidR="00C3740F">
        <w:rPr>
          <w:lang w:val="en-US"/>
        </w:rPr>
        <w:t>s</w:t>
      </w:r>
      <w:r>
        <w:t xml:space="preserve"> would not </w:t>
      </w:r>
      <w:r w:rsidR="0000579C">
        <w:rPr>
          <w:lang w:val="en-US"/>
        </w:rPr>
        <w:t xml:space="preserve">have </w:t>
      </w:r>
      <w:r>
        <w:t>be</w:t>
      </w:r>
      <w:r w:rsidR="0000579C">
        <w:rPr>
          <w:lang w:val="en-US"/>
        </w:rPr>
        <w:t>een</w:t>
      </w:r>
      <w:r>
        <w:t xml:space="preserve"> an effective remedy </w:t>
      </w:r>
      <w:r w:rsidR="00C3740F">
        <w:rPr>
          <w:lang w:val="en-US"/>
        </w:rPr>
        <w:t>in</w:t>
      </w:r>
      <w:r>
        <w:t xml:space="preserve"> her case and refer</w:t>
      </w:r>
      <w:r w:rsidR="00C3740F">
        <w:rPr>
          <w:lang w:val="en-US"/>
        </w:rPr>
        <w:t>red</w:t>
      </w:r>
      <w:r>
        <w:t xml:space="preserve"> to the Committee’s decisions in </w:t>
      </w:r>
      <w:r w:rsidRPr="007D1791">
        <w:rPr>
          <w:i/>
        </w:rPr>
        <w:t>Kalonzo v. Canada</w:t>
      </w:r>
      <w:r>
        <w:t xml:space="preserve"> and </w:t>
      </w:r>
      <w:r w:rsidRPr="007D1791">
        <w:rPr>
          <w:i/>
        </w:rPr>
        <w:t>T.I.</w:t>
      </w:r>
      <w:r>
        <w:rPr>
          <w:i/>
        </w:rPr>
        <w:t xml:space="preserve"> </w:t>
      </w:r>
      <w:r w:rsidRPr="007D1791">
        <w:rPr>
          <w:i/>
        </w:rPr>
        <w:t>v. Canada</w:t>
      </w:r>
      <w:r>
        <w:t>.</w:t>
      </w:r>
      <w:r w:rsidR="0032747B">
        <w:rPr>
          <w:rStyle w:val="FootnoteReference"/>
        </w:rPr>
        <w:footnoteReference w:id="16"/>
      </w:r>
      <w:r w:rsidR="0001391D">
        <w:t xml:space="preserve"> She also submit</w:t>
      </w:r>
      <w:r w:rsidR="00C3740F">
        <w:rPr>
          <w:lang w:val="en-US"/>
        </w:rPr>
        <w:t>ted</w:t>
      </w:r>
      <w:r w:rsidR="0001391D">
        <w:t xml:space="preserve"> that </w:t>
      </w:r>
      <w:r w:rsidR="00C3740F">
        <w:rPr>
          <w:lang w:val="en-US"/>
        </w:rPr>
        <w:t xml:space="preserve">she was </w:t>
      </w:r>
      <w:r w:rsidR="0001391D">
        <w:t>told</w:t>
      </w:r>
      <w:r w:rsidR="00C3740F">
        <w:rPr>
          <w:lang w:val="en-US"/>
        </w:rPr>
        <w:t xml:space="preserve"> by a lawyer</w:t>
      </w:r>
      <w:r w:rsidR="0001391D">
        <w:t xml:space="preserve"> that such applications </w:t>
      </w:r>
      <w:r w:rsidR="00C3740F">
        <w:rPr>
          <w:lang w:val="en-US"/>
        </w:rPr>
        <w:t xml:space="preserve">could </w:t>
      </w:r>
      <w:r w:rsidR="0001391D">
        <w:t>take up to 28 months to be decided</w:t>
      </w:r>
      <w:r w:rsidR="00C3740F">
        <w:rPr>
          <w:lang w:val="en-US"/>
        </w:rPr>
        <w:t xml:space="preserve"> and</w:t>
      </w:r>
      <w:r w:rsidR="0001391D">
        <w:t xml:space="preserve"> that she would be deported in the interim. </w:t>
      </w:r>
      <w:r w:rsidR="00AA0396">
        <w:rPr>
          <w:lang w:val="en-US"/>
        </w:rPr>
        <w:t>The complainant</w:t>
      </w:r>
      <w:r w:rsidR="0001391D">
        <w:t xml:space="preserve"> also submit</w:t>
      </w:r>
      <w:r w:rsidR="00AA0396">
        <w:rPr>
          <w:lang w:val="en-US"/>
        </w:rPr>
        <w:t>ted</w:t>
      </w:r>
      <w:r w:rsidR="0001391D">
        <w:t xml:space="preserve"> that she did not have money to pay the lawyer’s fees and the fee for such an application.</w:t>
      </w:r>
      <w:r w:rsidR="0001391D" w:rsidRPr="0001391D">
        <w:t xml:space="preserve"> </w:t>
      </w:r>
      <w:r w:rsidR="0001391D">
        <w:t xml:space="preserve">She </w:t>
      </w:r>
      <w:r w:rsidR="00AA0396">
        <w:rPr>
          <w:lang w:val="en-US"/>
        </w:rPr>
        <w:t>further</w:t>
      </w:r>
      <w:r w:rsidR="0001391D">
        <w:t xml:space="preserve"> submit</w:t>
      </w:r>
      <w:r w:rsidR="00AA0396">
        <w:rPr>
          <w:lang w:val="en-US"/>
        </w:rPr>
        <w:t>ted</w:t>
      </w:r>
      <w:r w:rsidR="0001391D">
        <w:t xml:space="preserve"> that a </w:t>
      </w:r>
      <w:r w:rsidR="00AA0396">
        <w:rPr>
          <w:lang w:val="en-US"/>
        </w:rPr>
        <w:t>s</w:t>
      </w:r>
      <w:r w:rsidR="0001391D">
        <w:t xml:space="preserve">tay of removal motion </w:t>
      </w:r>
      <w:r w:rsidR="00AA0396">
        <w:rPr>
          <w:lang w:val="en-US"/>
        </w:rPr>
        <w:t>wa</w:t>
      </w:r>
      <w:r w:rsidR="0001391D">
        <w:t xml:space="preserve">s not granted in the majority of cases and that the judiciary in Canada is </w:t>
      </w:r>
      <w:r w:rsidR="007069F2">
        <w:rPr>
          <w:lang w:val="en-US"/>
        </w:rPr>
        <w:t>not in</w:t>
      </w:r>
      <w:r w:rsidR="0001391D">
        <w:t>dependent.</w:t>
      </w:r>
    </w:p>
    <w:p w:rsidR="0001391D" w:rsidRDefault="0001391D" w:rsidP="00304A52">
      <w:pPr>
        <w:pStyle w:val="SingleTxtG"/>
      </w:pPr>
      <w:r>
        <w:t>5.3</w:t>
      </w:r>
      <w:r>
        <w:tab/>
      </w:r>
      <w:r w:rsidR="006562BF">
        <w:t>In her submission, t</w:t>
      </w:r>
      <w:r>
        <w:t>he complainant enclose</w:t>
      </w:r>
      <w:r w:rsidR="006562BF">
        <w:t>d</w:t>
      </w:r>
      <w:r>
        <w:t xml:space="preserve"> a </w:t>
      </w:r>
      <w:r w:rsidR="006562BF">
        <w:t>p</w:t>
      </w:r>
      <w:r>
        <w:t xml:space="preserve">olice report of </w:t>
      </w:r>
      <w:r w:rsidR="006562BF">
        <w:t xml:space="preserve">the </w:t>
      </w:r>
      <w:r w:rsidR="007069F2">
        <w:t>accusation</w:t>
      </w:r>
      <w:r>
        <w:t xml:space="preserve"> </w:t>
      </w:r>
      <w:r w:rsidR="006562BF">
        <w:t xml:space="preserve">of adultery </w:t>
      </w:r>
      <w:r>
        <w:t>against her and an arrest warrant issued by the Magistrates</w:t>
      </w:r>
      <w:r w:rsidR="006562BF">
        <w:t>’</w:t>
      </w:r>
      <w:r>
        <w:t xml:space="preserve"> Court in Pakistan</w:t>
      </w:r>
      <w:r w:rsidR="00C43F1F">
        <w:t xml:space="preserve">, which </w:t>
      </w:r>
      <w:r w:rsidR="006562BF">
        <w:t>she did</w:t>
      </w:r>
      <w:r w:rsidR="00C43F1F">
        <w:t xml:space="preserve"> not </w:t>
      </w:r>
      <w:r w:rsidR="006562BF">
        <w:t xml:space="preserve">submit </w:t>
      </w:r>
      <w:r w:rsidR="00C43F1F">
        <w:t>with her initial communication</w:t>
      </w:r>
      <w:r>
        <w:t>.</w:t>
      </w:r>
    </w:p>
    <w:p w:rsidR="00D20DA8" w:rsidRPr="00D20DA8" w:rsidRDefault="00B04E30" w:rsidP="00304A52">
      <w:pPr>
        <w:pStyle w:val="H23G"/>
      </w:pPr>
      <w:r>
        <w:tab/>
      </w:r>
      <w:r>
        <w:tab/>
      </w:r>
      <w:r w:rsidR="00D20DA8" w:rsidRPr="00D20DA8">
        <w:t>State party’s further observations</w:t>
      </w:r>
    </w:p>
    <w:p w:rsidR="00BB41AC" w:rsidRDefault="00D20DA8" w:rsidP="00304A52">
      <w:pPr>
        <w:pStyle w:val="SingleTxtG"/>
      </w:pPr>
      <w:r>
        <w:t>6.1</w:t>
      </w:r>
      <w:r w:rsidR="00EF6CA0">
        <w:tab/>
      </w:r>
      <w:r w:rsidR="00BB41AC">
        <w:t xml:space="preserve">On 6 November 2013, the </w:t>
      </w:r>
      <w:r w:rsidR="00DB79DB">
        <w:t xml:space="preserve">State party </w:t>
      </w:r>
      <w:r w:rsidR="00EF6CA0">
        <w:t>noted that th</w:t>
      </w:r>
      <w:r w:rsidR="00BB41AC">
        <w:t xml:space="preserve">e </w:t>
      </w:r>
      <w:r w:rsidR="00043463">
        <w:t>complainant</w:t>
      </w:r>
      <w:r w:rsidR="00BB41AC">
        <w:t xml:space="preserve">’s </w:t>
      </w:r>
      <w:r w:rsidR="00EF6CA0">
        <w:t xml:space="preserve">submission </w:t>
      </w:r>
      <w:r w:rsidR="00BB41AC">
        <w:t>contain</w:t>
      </w:r>
      <w:r w:rsidR="006562BF">
        <w:t>ed</w:t>
      </w:r>
      <w:r w:rsidR="00BB41AC">
        <w:t xml:space="preserve"> two additional </w:t>
      </w:r>
      <w:r w:rsidR="006562BF">
        <w:t xml:space="preserve">pieces of </w:t>
      </w:r>
      <w:r w:rsidR="00BB41AC">
        <w:t>evidence</w:t>
      </w:r>
      <w:r w:rsidR="00D0296C">
        <w:t xml:space="preserve"> </w:t>
      </w:r>
      <w:r w:rsidR="00BB41AC">
        <w:t xml:space="preserve">dating </w:t>
      </w:r>
      <w:r w:rsidR="00C43F1F">
        <w:t xml:space="preserve">from </w:t>
      </w:r>
      <w:r w:rsidR="00BB41AC">
        <w:t>2006</w:t>
      </w:r>
      <w:r w:rsidR="00EF6CA0">
        <w:t>:</w:t>
      </w:r>
      <w:r w:rsidR="00BB41AC">
        <w:t xml:space="preserve"> a copy of the police report regarding B</w:t>
      </w:r>
      <w:r w:rsidR="00EF6CA0">
        <w:t>.</w:t>
      </w:r>
      <w:r w:rsidR="00BB41AC">
        <w:t xml:space="preserve">’s </w:t>
      </w:r>
      <w:r w:rsidR="00D0296C">
        <w:t xml:space="preserve">first information report </w:t>
      </w:r>
      <w:r w:rsidR="00BB41AC">
        <w:t xml:space="preserve">to the police, alleging that the </w:t>
      </w:r>
      <w:r w:rsidR="00043463">
        <w:t>complainant</w:t>
      </w:r>
      <w:r w:rsidR="00BB41AC">
        <w:t xml:space="preserve"> and her</w:t>
      </w:r>
      <w:r w:rsidR="00EF6CA0">
        <w:t xml:space="preserve"> daughters “are bad characters” and indicating</w:t>
      </w:r>
      <w:r w:rsidR="00BB41AC">
        <w:t xml:space="preserve"> that the complaint was received</w:t>
      </w:r>
      <w:r w:rsidR="00D0296C">
        <w:t xml:space="preserve"> on</w:t>
      </w:r>
      <w:r w:rsidR="007D47B5">
        <w:t xml:space="preserve"> 16</w:t>
      </w:r>
      <w:r w:rsidR="007D47B5">
        <w:rPr>
          <w:lang w:val="fr-CH"/>
        </w:rPr>
        <w:t> </w:t>
      </w:r>
      <w:r w:rsidR="00BB41AC">
        <w:t>November 2006</w:t>
      </w:r>
      <w:r w:rsidR="00EF6CA0">
        <w:t xml:space="preserve">; and </w:t>
      </w:r>
      <w:r w:rsidR="00BB41AC">
        <w:t xml:space="preserve">a judicial arrest warrant against the </w:t>
      </w:r>
      <w:r w:rsidR="00043463">
        <w:t>complainant</w:t>
      </w:r>
      <w:r w:rsidR="00BB41AC">
        <w:t>, originating from a local court in Lahore District</w:t>
      </w:r>
      <w:r w:rsidR="00EF6CA0">
        <w:t>, indicating that it was issued</w:t>
      </w:r>
      <w:r w:rsidR="00BB41AC">
        <w:t xml:space="preserve"> in response to the </w:t>
      </w:r>
      <w:r w:rsidR="007D47B5">
        <w:t>16</w:t>
      </w:r>
      <w:r w:rsidR="007D47B5">
        <w:rPr>
          <w:lang w:val="fr-CH"/>
        </w:rPr>
        <w:t> </w:t>
      </w:r>
      <w:r w:rsidR="00EF6CA0">
        <w:t>November 2006 complaint.</w:t>
      </w:r>
      <w:r w:rsidR="00BB41AC">
        <w:t xml:space="preserve"> However, </w:t>
      </w:r>
      <w:r w:rsidR="00EF6CA0">
        <w:t xml:space="preserve">in </w:t>
      </w:r>
      <w:r w:rsidR="00BB41AC">
        <w:t xml:space="preserve">the English translation provided by the </w:t>
      </w:r>
      <w:r w:rsidR="00043463">
        <w:lastRenderedPageBreak/>
        <w:t>complainant</w:t>
      </w:r>
      <w:r w:rsidR="00D0296C">
        <w:t>,</w:t>
      </w:r>
      <w:r w:rsidR="00BB41AC">
        <w:t xml:space="preserve"> the date, seal and signature fields of th</w:t>
      </w:r>
      <w:r w:rsidR="00EF6CA0">
        <w:t>e</w:t>
      </w:r>
      <w:r w:rsidR="00BB41AC">
        <w:t xml:space="preserve"> document have all been left blank. The Urdu version does not appear to have a date of issuance or to be marked by a judicial stamp that would indicate that it was issued. </w:t>
      </w:r>
      <w:r w:rsidR="00EF6CA0">
        <w:t xml:space="preserve">The State party </w:t>
      </w:r>
      <w:r w:rsidR="00BB41AC">
        <w:t>submit</w:t>
      </w:r>
      <w:r w:rsidR="00EF6CA0">
        <w:t>ted</w:t>
      </w:r>
      <w:r w:rsidR="00BB41AC">
        <w:t xml:space="preserve"> that the importance of th</w:t>
      </w:r>
      <w:r w:rsidR="00EF6CA0">
        <w:t xml:space="preserve">e </w:t>
      </w:r>
      <w:r w:rsidR="00BB41AC">
        <w:t xml:space="preserve">second piece of evidence </w:t>
      </w:r>
      <w:r w:rsidR="0000579C">
        <w:t>is</w:t>
      </w:r>
      <w:r w:rsidR="00BB41AC">
        <w:t xml:space="preserve"> </w:t>
      </w:r>
      <w:r w:rsidR="00D0296C">
        <w:t>extremely</w:t>
      </w:r>
      <w:r w:rsidR="00BB41AC">
        <w:t xml:space="preserve"> limited.  </w:t>
      </w:r>
    </w:p>
    <w:p w:rsidR="00BB41AC" w:rsidRDefault="00EF6CA0">
      <w:pPr>
        <w:pStyle w:val="SingleTxtG"/>
      </w:pPr>
      <w:r>
        <w:t>6.2</w:t>
      </w:r>
      <w:r>
        <w:tab/>
      </w:r>
      <w:r w:rsidR="00633A41" w:rsidRPr="0089133A">
        <w:t>The State party</w:t>
      </w:r>
      <w:r w:rsidR="00633A41">
        <w:t xml:space="preserve"> maintained </w:t>
      </w:r>
      <w:r w:rsidR="00BB41AC">
        <w:t xml:space="preserve">that </w:t>
      </w:r>
      <w:r w:rsidR="00633A41">
        <w:t>the new evidence</w:t>
      </w:r>
      <w:r w:rsidR="00BB41AC">
        <w:t xml:space="preserve"> provided with the </w:t>
      </w:r>
      <w:r w:rsidR="00043463">
        <w:t>complainant</w:t>
      </w:r>
      <w:r w:rsidR="00BB41AC">
        <w:t xml:space="preserve">’s comments </w:t>
      </w:r>
      <w:r w:rsidR="00633A41">
        <w:t>d</w:t>
      </w:r>
      <w:r w:rsidR="0089133A">
        <w:rPr>
          <w:lang w:val="en-US"/>
        </w:rPr>
        <w:t>id</w:t>
      </w:r>
      <w:r w:rsidR="00633A41">
        <w:t xml:space="preserve"> not </w:t>
      </w:r>
      <w:r w:rsidR="00BB41AC">
        <w:t xml:space="preserve">support </w:t>
      </w:r>
      <w:r w:rsidR="0089133A">
        <w:rPr>
          <w:lang w:val="en-US"/>
        </w:rPr>
        <w:t>her</w:t>
      </w:r>
      <w:r w:rsidR="00BB41AC">
        <w:t xml:space="preserve"> contention that her removal to Pakistan </w:t>
      </w:r>
      <w:r w:rsidR="00633A41">
        <w:t>in 2013 would violate a</w:t>
      </w:r>
      <w:r w:rsidR="00BB41AC">
        <w:t>rticle 3 of th</w:t>
      </w:r>
      <w:r w:rsidR="00BB41AC" w:rsidRPr="009E0B34">
        <w:t>e</w:t>
      </w:r>
      <w:r w:rsidR="00BB41AC" w:rsidRPr="00D26379">
        <w:rPr>
          <w:i/>
        </w:rPr>
        <w:t xml:space="preserve"> </w:t>
      </w:r>
      <w:r w:rsidR="00BB41AC" w:rsidRPr="00D961DB">
        <w:t>Convention</w:t>
      </w:r>
      <w:r w:rsidR="00BB41AC" w:rsidRPr="00C43F1F">
        <w:t>.</w:t>
      </w:r>
      <w:r w:rsidR="00BB41AC">
        <w:t xml:space="preserve"> At best, the newly</w:t>
      </w:r>
      <w:r w:rsidR="0089133A">
        <w:rPr>
          <w:lang w:val="en-US"/>
        </w:rPr>
        <w:t xml:space="preserve"> </w:t>
      </w:r>
      <w:r w:rsidR="00BB41AC">
        <w:t xml:space="preserve">provided documents slightly </w:t>
      </w:r>
      <w:r w:rsidR="0089133A">
        <w:rPr>
          <w:lang w:val="en-US"/>
        </w:rPr>
        <w:t xml:space="preserve">enhanced </w:t>
      </w:r>
      <w:r w:rsidR="00BB41AC">
        <w:t xml:space="preserve">substantiation </w:t>
      </w:r>
      <w:r w:rsidR="0089133A">
        <w:rPr>
          <w:lang w:val="en-US"/>
        </w:rPr>
        <w:t>of her</w:t>
      </w:r>
      <w:r w:rsidR="00BB41AC">
        <w:t xml:space="preserve"> assertion that</w:t>
      </w:r>
      <w:r w:rsidR="0089133A">
        <w:rPr>
          <w:lang w:val="en-US"/>
        </w:rPr>
        <w:t>,</w:t>
      </w:r>
      <w:r w:rsidR="00BB41AC">
        <w:t xml:space="preserve"> in 2006, </w:t>
      </w:r>
      <w:r w:rsidR="00633A41">
        <w:t xml:space="preserve">B. </w:t>
      </w:r>
      <w:r w:rsidR="0089133A">
        <w:rPr>
          <w:lang w:val="en-US"/>
        </w:rPr>
        <w:t xml:space="preserve">had </w:t>
      </w:r>
      <w:r w:rsidR="00BB41AC">
        <w:t xml:space="preserve">sought to have the Pakistani </w:t>
      </w:r>
      <w:r w:rsidR="00633A41">
        <w:t>authorities pur</w:t>
      </w:r>
      <w:r w:rsidR="00BB41AC">
        <w:t xml:space="preserve">sue criminal charges against her in relation to </w:t>
      </w:r>
      <w:r w:rsidR="0089133A">
        <w:rPr>
          <w:lang w:val="en-US"/>
        </w:rPr>
        <w:t xml:space="preserve">his </w:t>
      </w:r>
      <w:r w:rsidR="00BB41AC">
        <w:t xml:space="preserve">accusation of adultery. The documents </w:t>
      </w:r>
      <w:r w:rsidR="0089133A">
        <w:rPr>
          <w:lang w:val="en-US"/>
        </w:rPr>
        <w:t xml:space="preserve">do not </w:t>
      </w:r>
      <w:r w:rsidR="00BB41AC">
        <w:t xml:space="preserve">provide substantiation </w:t>
      </w:r>
      <w:r w:rsidR="0089133A">
        <w:rPr>
          <w:lang w:val="en-US"/>
        </w:rPr>
        <w:t>as to</w:t>
      </w:r>
      <w:r w:rsidR="00BB41AC">
        <w:t xml:space="preserve"> </w:t>
      </w:r>
      <w:r w:rsidR="00633A41">
        <w:t>w</w:t>
      </w:r>
      <w:r w:rsidR="00BB41AC">
        <w:t xml:space="preserve">hether the </w:t>
      </w:r>
      <w:r w:rsidR="0089133A">
        <w:rPr>
          <w:lang w:val="en-US"/>
        </w:rPr>
        <w:t xml:space="preserve">Pakistani </w:t>
      </w:r>
      <w:r w:rsidR="00633A41">
        <w:t>authori</w:t>
      </w:r>
      <w:r w:rsidR="00BB41AC">
        <w:t xml:space="preserve">ties </w:t>
      </w:r>
      <w:r w:rsidR="0089133A">
        <w:rPr>
          <w:lang w:val="en-US"/>
        </w:rPr>
        <w:t>had taken</w:t>
      </w:r>
      <w:r w:rsidR="00BB41AC">
        <w:t xml:space="preserve"> any steps</w:t>
      </w:r>
      <w:r w:rsidR="0089133A">
        <w:rPr>
          <w:lang w:val="en-US"/>
        </w:rPr>
        <w:t>,</w:t>
      </w:r>
      <w:r w:rsidR="00BB41AC">
        <w:t xml:space="preserve"> beyond </w:t>
      </w:r>
      <w:r w:rsidR="0089133A">
        <w:rPr>
          <w:lang w:val="en-US"/>
        </w:rPr>
        <w:t xml:space="preserve">the </w:t>
      </w:r>
      <w:r w:rsidR="00BB41AC">
        <w:t>filing</w:t>
      </w:r>
      <w:r w:rsidR="0089133A">
        <w:rPr>
          <w:lang w:val="en-US"/>
        </w:rPr>
        <w:t xml:space="preserve"> of</w:t>
      </w:r>
      <w:r w:rsidR="00BB41AC">
        <w:t xml:space="preserve"> the </w:t>
      </w:r>
      <w:r w:rsidR="0089133A">
        <w:rPr>
          <w:lang w:val="en-US"/>
        </w:rPr>
        <w:t>first information report accusing her of adultery, in 2006</w:t>
      </w:r>
      <w:r w:rsidR="00633A41">
        <w:t>; w</w:t>
      </w:r>
      <w:r w:rsidR="00BB41AC">
        <w:t xml:space="preserve">hether the </w:t>
      </w:r>
      <w:r w:rsidR="00043463">
        <w:t>complainant</w:t>
      </w:r>
      <w:r w:rsidR="00BB41AC">
        <w:t xml:space="preserve"> </w:t>
      </w:r>
      <w:r w:rsidR="0089133A">
        <w:rPr>
          <w:lang w:val="en-US"/>
        </w:rPr>
        <w:t>had</w:t>
      </w:r>
      <w:r w:rsidR="00BB41AC">
        <w:t xml:space="preserve"> ever </w:t>
      </w:r>
      <w:r w:rsidR="0089133A">
        <w:rPr>
          <w:lang w:val="en-US"/>
        </w:rPr>
        <w:t xml:space="preserve">been </w:t>
      </w:r>
      <w:r w:rsidR="00BB41AC">
        <w:t xml:space="preserve">detained and mistreated by Pakistani </w:t>
      </w:r>
      <w:r w:rsidR="0089133A">
        <w:rPr>
          <w:lang w:val="en-US"/>
        </w:rPr>
        <w:t>S</w:t>
      </w:r>
      <w:r w:rsidR="00BB41AC">
        <w:t xml:space="preserve">tate </w:t>
      </w:r>
      <w:r w:rsidR="00633A41">
        <w:t>authoriti</w:t>
      </w:r>
      <w:r w:rsidR="00BB41AC">
        <w:t>es</w:t>
      </w:r>
      <w:r w:rsidR="00633A41">
        <w:t>; w</w:t>
      </w:r>
      <w:r w:rsidR="00BB41AC">
        <w:t xml:space="preserve">hether the </w:t>
      </w:r>
      <w:r w:rsidR="0089133A">
        <w:rPr>
          <w:lang w:val="en-US"/>
        </w:rPr>
        <w:t>first information report</w:t>
      </w:r>
      <w:r w:rsidR="00BB41AC">
        <w:t xml:space="preserve"> and/or its accompanying arrest warrant </w:t>
      </w:r>
      <w:r w:rsidR="0089133A">
        <w:rPr>
          <w:lang w:val="en-US"/>
        </w:rPr>
        <w:t xml:space="preserve">that she submitted in 2013 </w:t>
      </w:r>
      <w:r w:rsidR="00BB41AC">
        <w:t>are valid or enforceable documents</w:t>
      </w:r>
      <w:r w:rsidR="00633A41">
        <w:t>; w</w:t>
      </w:r>
      <w:r w:rsidR="00BB41AC">
        <w:t>hether</w:t>
      </w:r>
      <w:r w:rsidR="0089133A">
        <w:rPr>
          <w:lang w:val="en-US"/>
        </w:rPr>
        <w:t>,</w:t>
      </w:r>
      <w:r w:rsidR="00BB41AC">
        <w:t xml:space="preserve"> in 2013, the Pakistani </w:t>
      </w:r>
      <w:r w:rsidR="0089133A">
        <w:rPr>
          <w:lang w:val="en-US"/>
        </w:rPr>
        <w:t>S</w:t>
      </w:r>
      <w:r w:rsidR="00BB41AC">
        <w:t xml:space="preserve">tate </w:t>
      </w:r>
      <w:r w:rsidR="00633A41">
        <w:t>authorities</w:t>
      </w:r>
      <w:r w:rsidR="00BB41AC">
        <w:t xml:space="preserve"> ha</w:t>
      </w:r>
      <w:r w:rsidR="0089133A">
        <w:rPr>
          <w:lang w:val="en-US"/>
        </w:rPr>
        <w:t>d</w:t>
      </w:r>
      <w:r w:rsidR="00BB41AC">
        <w:t xml:space="preserve"> any interest in</w:t>
      </w:r>
      <w:r w:rsidR="00633A41">
        <w:t xml:space="preserve"> pursuing the allegation</w:t>
      </w:r>
      <w:r w:rsidR="0089133A">
        <w:rPr>
          <w:lang w:val="en-US"/>
        </w:rPr>
        <w:t xml:space="preserve"> made</w:t>
      </w:r>
      <w:r w:rsidR="00633A41">
        <w:t xml:space="preserve"> by </w:t>
      </w:r>
      <w:r w:rsidR="00BB41AC">
        <w:t>B</w:t>
      </w:r>
      <w:r w:rsidR="00633A41">
        <w:t>.</w:t>
      </w:r>
      <w:r w:rsidR="0089133A">
        <w:rPr>
          <w:lang w:val="en-US"/>
        </w:rPr>
        <w:t xml:space="preserve"> in 2006</w:t>
      </w:r>
      <w:r w:rsidR="00633A41">
        <w:t xml:space="preserve">; </w:t>
      </w:r>
      <w:r w:rsidR="0089133A">
        <w:rPr>
          <w:lang w:val="en-US"/>
        </w:rPr>
        <w:t xml:space="preserve">and </w:t>
      </w:r>
      <w:r w:rsidR="00633A41">
        <w:t>w</w:t>
      </w:r>
      <w:r w:rsidR="00BB41AC">
        <w:t>hether</w:t>
      </w:r>
      <w:r w:rsidR="0089133A">
        <w:rPr>
          <w:lang w:val="en-US"/>
        </w:rPr>
        <w:t>,</w:t>
      </w:r>
      <w:r w:rsidR="00BB41AC">
        <w:t xml:space="preserve"> in 2013, B</w:t>
      </w:r>
      <w:r w:rsidR="00633A41">
        <w:t>.</w:t>
      </w:r>
      <w:r w:rsidR="00BB41AC">
        <w:t xml:space="preserve"> or other private individuals ha</w:t>
      </w:r>
      <w:r w:rsidR="0089133A">
        <w:rPr>
          <w:lang w:val="en-US"/>
        </w:rPr>
        <w:t>d</w:t>
      </w:r>
      <w:r w:rsidR="00BB41AC">
        <w:t xml:space="preserve"> any interest in pursuing the allegation</w:t>
      </w:r>
      <w:r w:rsidR="00633A41">
        <w:t>s m</w:t>
      </w:r>
      <w:r w:rsidR="00BB41AC">
        <w:t>ade</w:t>
      </w:r>
      <w:r w:rsidR="00633A41">
        <w:t xml:space="preserve"> in </w:t>
      </w:r>
      <w:r w:rsidR="00BB41AC">
        <w:t>2006</w:t>
      </w:r>
      <w:r w:rsidR="00633A41">
        <w:t xml:space="preserve">. </w:t>
      </w:r>
      <w:r w:rsidR="00BB41AC">
        <w:t>The</w:t>
      </w:r>
      <w:r w:rsidR="00633A41">
        <w:t xml:space="preserve"> State party reiterate</w:t>
      </w:r>
      <w:r w:rsidR="0089133A">
        <w:rPr>
          <w:lang w:val="en-US"/>
        </w:rPr>
        <w:t>d</w:t>
      </w:r>
      <w:r w:rsidR="00633A41">
        <w:t xml:space="preserve"> that the </w:t>
      </w:r>
      <w:r w:rsidR="00043463">
        <w:t>complainant</w:t>
      </w:r>
      <w:r w:rsidR="00BB41AC" w:rsidRPr="005A3C7B">
        <w:t xml:space="preserve"> ha</w:t>
      </w:r>
      <w:r w:rsidR="0089133A">
        <w:rPr>
          <w:lang w:val="en-US"/>
        </w:rPr>
        <w:t>d</w:t>
      </w:r>
      <w:r w:rsidR="00BB41AC" w:rsidRPr="005A3C7B">
        <w:t xml:space="preserve"> not substantiated </w:t>
      </w:r>
      <w:r w:rsidR="0089133A">
        <w:rPr>
          <w:lang w:val="en-US"/>
        </w:rPr>
        <w:t>the</w:t>
      </w:r>
      <w:r w:rsidR="00BB41AC" w:rsidRPr="005A3C7B">
        <w:t xml:space="preserve"> core factual allegation that she </w:t>
      </w:r>
      <w:r w:rsidR="0089133A">
        <w:rPr>
          <w:lang w:val="en-US"/>
        </w:rPr>
        <w:t>had been</w:t>
      </w:r>
      <w:r w:rsidR="00BB41AC" w:rsidRPr="005A3C7B">
        <w:t xml:space="preserve"> tortured in Pakistan in 2006</w:t>
      </w:r>
      <w:r w:rsidR="00BB41AC">
        <w:t>, while being in police det</w:t>
      </w:r>
      <w:r w:rsidR="00633A41">
        <w:t xml:space="preserve">ention on </w:t>
      </w:r>
      <w:r w:rsidR="007069F2">
        <w:rPr>
          <w:lang w:val="en-US"/>
        </w:rPr>
        <w:t xml:space="preserve">a </w:t>
      </w:r>
      <w:r w:rsidR="00633A41">
        <w:t xml:space="preserve">false </w:t>
      </w:r>
      <w:r w:rsidR="007069F2">
        <w:rPr>
          <w:lang w:val="en-US"/>
        </w:rPr>
        <w:t>accusation</w:t>
      </w:r>
      <w:r w:rsidR="007069F2">
        <w:t xml:space="preserve"> </w:t>
      </w:r>
      <w:r w:rsidR="00633A41">
        <w:t>of adult</w:t>
      </w:r>
      <w:r w:rsidR="00BB41AC">
        <w:t>ery</w:t>
      </w:r>
      <w:r w:rsidR="00633A41">
        <w:t xml:space="preserve">. </w:t>
      </w:r>
      <w:r w:rsidR="00BB41AC">
        <w:t xml:space="preserve">Although the evidence submitted by the </w:t>
      </w:r>
      <w:r w:rsidR="00043463">
        <w:t>complainant</w:t>
      </w:r>
      <w:r w:rsidR="00BB41AC">
        <w:t xml:space="preserve"> supports the allegation that she was involved in a long-running and occasionally violent dispute with her former husband’s relatives, there is no evidence to substantiate that the police or any other State actors acquiesced in any of the violent acts allegedly committed by these private actors. There is also no evidence to suggest that any violence by these private actors </w:t>
      </w:r>
      <w:r w:rsidR="0089133A">
        <w:rPr>
          <w:lang w:val="en-US"/>
        </w:rPr>
        <w:t>escalated</w:t>
      </w:r>
      <w:r w:rsidR="00BB41AC">
        <w:t xml:space="preserve"> to such a level that it could be considered “torture”, as defined in </w:t>
      </w:r>
      <w:r w:rsidR="00A31C0E">
        <w:t>a</w:t>
      </w:r>
      <w:r w:rsidR="00BB41AC">
        <w:t xml:space="preserve">rticle 1 of the </w:t>
      </w:r>
      <w:r w:rsidR="00BB41AC" w:rsidRPr="00A31C0E">
        <w:t>Convention</w:t>
      </w:r>
      <w:r w:rsidR="00BB41AC">
        <w:t>.</w:t>
      </w:r>
    </w:p>
    <w:p w:rsidR="00036482" w:rsidRDefault="00A31C0E">
      <w:pPr>
        <w:pStyle w:val="SingleTxtG"/>
      </w:pPr>
      <w:r>
        <w:t>6.3</w:t>
      </w:r>
      <w:r>
        <w:tab/>
      </w:r>
      <w:r w:rsidR="00FA38CA">
        <w:t>The State party reiterated its previous submission regarding the substantiation of the claims</w:t>
      </w:r>
      <w:r w:rsidR="0031244D">
        <w:rPr>
          <w:lang w:val="en-US"/>
        </w:rPr>
        <w:t>. It</w:t>
      </w:r>
      <w:r w:rsidR="00FA38CA">
        <w:t xml:space="preserve"> </w:t>
      </w:r>
      <w:r w:rsidR="00BB41AC">
        <w:t>note</w:t>
      </w:r>
      <w:r w:rsidR="00FA38CA">
        <w:t>d</w:t>
      </w:r>
      <w:r w:rsidR="00BB41AC">
        <w:t xml:space="preserve"> that the </w:t>
      </w:r>
      <w:r w:rsidR="00043463">
        <w:t>complainant</w:t>
      </w:r>
      <w:r w:rsidR="00BB41AC">
        <w:t>’s additional comments d</w:t>
      </w:r>
      <w:r w:rsidR="0031244D">
        <w:rPr>
          <w:lang w:val="en-US"/>
        </w:rPr>
        <w:t>id</w:t>
      </w:r>
      <w:r w:rsidR="00BB41AC">
        <w:t xml:space="preserve"> not address the question of an internal flight </w:t>
      </w:r>
      <w:r w:rsidR="0031244D">
        <w:rPr>
          <w:lang w:val="en-US"/>
        </w:rPr>
        <w:t xml:space="preserve">or relocation </w:t>
      </w:r>
      <w:r w:rsidR="00BB41AC">
        <w:t>alternative</w:t>
      </w:r>
      <w:r w:rsidR="00FA38CA">
        <w:t xml:space="preserve"> and reiterated its arguments in that regard</w:t>
      </w:r>
      <w:r w:rsidR="00BB41AC">
        <w:t xml:space="preserve">. </w:t>
      </w:r>
    </w:p>
    <w:p w:rsidR="00BB41AC" w:rsidRPr="009A4817" w:rsidRDefault="00036482">
      <w:pPr>
        <w:pStyle w:val="SingleTxtG"/>
      </w:pPr>
      <w:r>
        <w:t>6.4</w:t>
      </w:r>
      <w:r>
        <w:tab/>
        <w:t>The State party also noted that</w:t>
      </w:r>
      <w:r w:rsidR="0031244D">
        <w:rPr>
          <w:lang w:val="en-US"/>
        </w:rPr>
        <w:t>,</w:t>
      </w:r>
      <w:r>
        <w:t xml:space="preserve"> w</w:t>
      </w:r>
      <w:r w:rsidR="00BB41AC">
        <w:t>ith respect to the remedial avenue of applying for leave to seek judicial review of the R</w:t>
      </w:r>
      <w:r w:rsidR="0031244D">
        <w:rPr>
          <w:lang w:val="en-US"/>
        </w:rPr>
        <w:t xml:space="preserve">efugee </w:t>
      </w:r>
      <w:r w:rsidR="00BB41AC">
        <w:t>P</w:t>
      </w:r>
      <w:r w:rsidR="0031244D">
        <w:rPr>
          <w:lang w:val="en-US"/>
        </w:rPr>
        <w:t xml:space="preserve">rotection </w:t>
      </w:r>
      <w:r w:rsidR="00BB41AC">
        <w:t>D</w:t>
      </w:r>
      <w:r w:rsidR="0031244D">
        <w:rPr>
          <w:lang w:val="en-US"/>
        </w:rPr>
        <w:t>ivision</w:t>
      </w:r>
      <w:r w:rsidR="00BB41AC">
        <w:t xml:space="preserve"> decision, the </w:t>
      </w:r>
      <w:r w:rsidR="00043463">
        <w:t>complainant</w:t>
      </w:r>
      <w:r w:rsidR="00BB41AC">
        <w:t xml:space="preserve"> </w:t>
      </w:r>
      <w:r w:rsidR="0031244D">
        <w:rPr>
          <w:lang w:val="en-US"/>
        </w:rPr>
        <w:t xml:space="preserve">did not </w:t>
      </w:r>
      <w:r w:rsidR="00BB41AC">
        <w:t>raise</w:t>
      </w:r>
      <w:r w:rsidR="0031244D">
        <w:rPr>
          <w:lang w:val="en-US"/>
        </w:rPr>
        <w:t xml:space="preserve"> any</w:t>
      </w:r>
      <w:r w:rsidR="00BB41AC">
        <w:t xml:space="preserve"> issues with the effectiveness of th</w:t>
      </w:r>
      <w:r w:rsidR="0031244D">
        <w:rPr>
          <w:lang w:val="en-US"/>
        </w:rPr>
        <w:t>e</w:t>
      </w:r>
      <w:r w:rsidR="00BB41AC">
        <w:t xml:space="preserve"> remedy in her initial communication to the Committee.</w:t>
      </w:r>
      <w:r>
        <w:t xml:space="preserve"> It maintained that </w:t>
      </w:r>
      <w:r w:rsidR="00BB41AC">
        <w:t xml:space="preserve">judicial review of </w:t>
      </w:r>
      <w:r w:rsidR="0031244D">
        <w:t>R</w:t>
      </w:r>
      <w:r w:rsidR="0031244D">
        <w:rPr>
          <w:lang w:val="en-US"/>
        </w:rPr>
        <w:t xml:space="preserve">efugee </w:t>
      </w:r>
      <w:r w:rsidR="0031244D">
        <w:t>P</w:t>
      </w:r>
      <w:r w:rsidR="0031244D">
        <w:rPr>
          <w:lang w:val="en-US"/>
        </w:rPr>
        <w:t xml:space="preserve">rotection </w:t>
      </w:r>
      <w:r w:rsidR="0031244D">
        <w:t>D</w:t>
      </w:r>
      <w:r w:rsidR="0031244D">
        <w:rPr>
          <w:lang w:val="en-US"/>
        </w:rPr>
        <w:t>ivision</w:t>
      </w:r>
      <w:r w:rsidR="00BB41AC">
        <w:t xml:space="preserve"> decisions in the Federal Court </w:t>
      </w:r>
      <w:r w:rsidR="0031244D">
        <w:rPr>
          <w:lang w:val="en-US"/>
        </w:rPr>
        <w:t>wa</w:t>
      </w:r>
      <w:r w:rsidR="00BB41AC">
        <w:t>s an effective remedy</w:t>
      </w:r>
      <w:r w:rsidR="0031244D">
        <w:rPr>
          <w:lang w:val="en-US"/>
        </w:rPr>
        <w:t xml:space="preserve"> and a</w:t>
      </w:r>
      <w:r w:rsidR="00BB41AC">
        <w:t xml:space="preserve"> key element of </w:t>
      </w:r>
      <w:r>
        <w:t xml:space="preserve">its system that </w:t>
      </w:r>
      <w:r w:rsidR="00BB41AC" w:rsidRPr="009A4817">
        <w:t xml:space="preserve">has </w:t>
      </w:r>
      <w:r w:rsidR="0031244D">
        <w:rPr>
          <w:lang w:val="en-US"/>
        </w:rPr>
        <w:t xml:space="preserve">been </w:t>
      </w:r>
      <w:r w:rsidR="00BB41AC" w:rsidRPr="009A4817">
        <w:t>consistently recognized by th</w:t>
      </w:r>
      <w:r w:rsidR="00C43F1F">
        <w:t>e</w:t>
      </w:r>
      <w:r w:rsidR="00BB41AC" w:rsidRPr="009A4817">
        <w:t xml:space="preserve"> Committee as a procedure that must be exhausted for the purposes of admissibility</w:t>
      </w:r>
      <w:r w:rsidR="0031244D">
        <w:rPr>
          <w:lang w:val="en-US"/>
        </w:rPr>
        <w:t xml:space="preserve"> of a communication</w:t>
      </w:r>
      <w:r w:rsidR="00BB41AC" w:rsidRPr="009A4817">
        <w:t>.</w:t>
      </w:r>
      <w:r w:rsidR="0027159D">
        <w:rPr>
          <w:rStyle w:val="FootnoteReference"/>
        </w:rPr>
        <w:footnoteReference w:id="17"/>
      </w:r>
      <w:r w:rsidR="00BB41AC" w:rsidRPr="009A4817">
        <w:t xml:space="preserve"> I</w:t>
      </w:r>
      <w:r w:rsidR="00570923">
        <w:t>t refer</w:t>
      </w:r>
      <w:r w:rsidR="0031244D">
        <w:rPr>
          <w:lang w:val="en-US"/>
        </w:rPr>
        <w:t>red</w:t>
      </w:r>
      <w:r w:rsidR="00570923">
        <w:t xml:space="preserve"> to</w:t>
      </w:r>
      <w:r w:rsidR="00BB41AC" w:rsidRPr="009A4817">
        <w:t xml:space="preserve"> several communications </w:t>
      </w:r>
      <w:r w:rsidR="0031244D">
        <w:rPr>
          <w:lang w:val="en-US"/>
        </w:rPr>
        <w:t>in which</w:t>
      </w:r>
      <w:r w:rsidR="00570923">
        <w:t xml:space="preserve"> </w:t>
      </w:r>
      <w:r w:rsidR="00C43F1F">
        <w:t xml:space="preserve">the </w:t>
      </w:r>
      <w:r w:rsidR="00BB41AC" w:rsidRPr="009A4817">
        <w:t>Committee ha</w:t>
      </w:r>
      <w:r w:rsidR="0031244D">
        <w:rPr>
          <w:lang w:val="en-US"/>
        </w:rPr>
        <w:t>d</w:t>
      </w:r>
      <w:r w:rsidR="00BB41AC" w:rsidRPr="009A4817">
        <w:t xml:space="preserve"> noted that applications for leave and judicial review </w:t>
      </w:r>
      <w:r w:rsidR="005E3B7C">
        <w:rPr>
          <w:lang w:val="en-US"/>
        </w:rPr>
        <w:t>we</w:t>
      </w:r>
      <w:r w:rsidR="00BB41AC" w:rsidRPr="009A4817">
        <w:t xml:space="preserve">re not mere formalities, but that the Federal Court may, in appropriate cases, look at the substance of a </w:t>
      </w:r>
      <w:r w:rsidR="00BB41AC" w:rsidRPr="00EF353A">
        <w:t>case.</w:t>
      </w:r>
      <w:r w:rsidR="0027159D">
        <w:rPr>
          <w:rStyle w:val="FootnoteReference"/>
        </w:rPr>
        <w:footnoteReference w:id="18"/>
      </w:r>
      <w:r w:rsidR="00BB41AC" w:rsidRPr="00EF353A">
        <w:t xml:space="preserve"> It </w:t>
      </w:r>
      <w:r w:rsidR="00EF353A" w:rsidRPr="00EF353A">
        <w:t xml:space="preserve">maintained </w:t>
      </w:r>
      <w:r w:rsidR="00BB41AC" w:rsidRPr="00EF353A">
        <w:t>that the</w:t>
      </w:r>
      <w:r w:rsidR="00BB41AC" w:rsidRPr="009A4817">
        <w:t xml:space="preserve"> current system of judicial review by the Federal Court </w:t>
      </w:r>
      <w:r w:rsidR="00BB41AC" w:rsidRPr="00EF353A">
        <w:t xml:space="preserve">does </w:t>
      </w:r>
      <w:r w:rsidR="00BB41AC" w:rsidRPr="009A4817">
        <w:t>provide for judicial review of the merits</w:t>
      </w:r>
      <w:r w:rsidR="005E3B7C">
        <w:rPr>
          <w:lang w:val="en-US"/>
        </w:rPr>
        <w:t xml:space="preserve"> of a case</w:t>
      </w:r>
      <w:r w:rsidR="00BB41AC" w:rsidRPr="009A4817">
        <w:t>, in the sense that it allows for review of both the l</w:t>
      </w:r>
      <w:r w:rsidR="005E3B7C">
        <w:rPr>
          <w:lang w:val="en-US"/>
        </w:rPr>
        <w:t xml:space="preserve">egal procedure </w:t>
      </w:r>
      <w:r w:rsidR="00BB41AC" w:rsidRPr="009A4817">
        <w:t>and the facts. The Federal Court reviews I</w:t>
      </w:r>
      <w:r w:rsidR="00FF68DF">
        <w:rPr>
          <w:lang w:val="en-US"/>
        </w:rPr>
        <w:t>mmigration and Refugee Board</w:t>
      </w:r>
      <w:r w:rsidR="00BB41AC" w:rsidRPr="009A4817">
        <w:t xml:space="preserve"> decisions for factual errors or errors involving both facts and law, generally </w:t>
      </w:r>
      <w:r w:rsidR="00FF68DF">
        <w:rPr>
          <w:lang w:val="en-US"/>
        </w:rPr>
        <w:t xml:space="preserve">based </w:t>
      </w:r>
      <w:r w:rsidR="00BB41AC" w:rsidRPr="009A4817">
        <w:t>on a reasonableness standard, in deference to the expertise</w:t>
      </w:r>
      <w:r w:rsidR="00FF68DF">
        <w:rPr>
          <w:lang w:val="en-US"/>
        </w:rPr>
        <w:t xml:space="preserve"> of the tribunal</w:t>
      </w:r>
      <w:r w:rsidR="00BB41AC" w:rsidRPr="009A4817">
        <w:t xml:space="preserve">. However, the Court may review, </w:t>
      </w:r>
      <w:r w:rsidR="00FF68DF">
        <w:rPr>
          <w:lang w:val="en-US"/>
        </w:rPr>
        <w:t xml:space="preserve">based </w:t>
      </w:r>
      <w:r w:rsidR="00BB41AC" w:rsidRPr="009A4817">
        <w:t>on a correctness standard, any aspect of the decision</w:t>
      </w:r>
      <w:r w:rsidR="00FF68DF">
        <w:rPr>
          <w:lang w:val="en-US"/>
        </w:rPr>
        <w:t xml:space="preserve"> of the </w:t>
      </w:r>
      <w:r w:rsidR="00FF68DF">
        <w:rPr>
          <w:lang w:val="en-US"/>
        </w:rPr>
        <w:lastRenderedPageBreak/>
        <w:t>tribunal</w:t>
      </w:r>
      <w:r w:rsidR="00BB41AC" w:rsidRPr="009A4817">
        <w:t xml:space="preserve"> that involves </w:t>
      </w:r>
      <w:r w:rsidR="00FF68DF">
        <w:rPr>
          <w:lang w:val="en-US"/>
        </w:rPr>
        <w:t>issues</w:t>
      </w:r>
      <w:r w:rsidR="00BB41AC" w:rsidRPr="009A4817">
        <w:t xml:space="preserve"> of law </w:t>
      </w:r>
      <w:r w:rsidR="00FF68DF">
        <w:rPr>
          <w:lang w:val="en-US"/>
        </w:rPr>
        <w:t xml:space="preserve">that are </w:t>
      </w:r>
      <w:r w:rsidR="00BB41AC" w:rsidRPr="009A4817">
        <w:t xml:space="preserve">of central importance to the legal system as a whole and outside the </w:t>
      </w:r>
      <w:r w:rsidR="00FF68DF">
        <w:rPr>
          <w:lang w:val="en-US"/>
        </w:rPr>
        <w:t>Board</w:t>
      </w:r>
      <w:r w:rsidR="00BB41AC" w:rsidRPr="009A4817">
        <w:t>’s expertise.</w:t>
      </w:r>
      <w:r w:rsidR="0027159D">
        <w:rPr>
          <w:rStyle w:val="FootnoteReference"/>
        </w:rPr>
        <w:footnoteReference w:id="19"/>
      </w:r>
      <w:r w:rsidR="00BB41AC" w:rsidRPr="009A4817">
        <w:t xml:space="preserve"> </w:t>
      </w:r>
    </w:p>
    <w:p w:rsidR="0073039C" w:rsidRDefault="00EF353A">
      <w:pPr>
        <w:pStyle w:val="SingleTxtG"/>
      </w:pPr>
      <w:r>
        <w:t>6.5</w:t>
      </w:r>
      <w:r>
        <w:tab/>
        <w:t>The State party specified that j</w:t>
      </w:r>
      <w:r w:rsidR="00BB41AC" w:rsidRPr="00CF2B0E">
        <w:t>udicial review of a R</w:t>
      </w:r>
      <w:r w:rsidR="00FF68DF">
        <w:rPr>
          <w:lang w:val="en-US"/>
        </w:rPr>
        <w:t xml:space="preserve">efugee </w:t>
      </w:r>
      <w:r w:rsidR="00BB41AC" w:rsidRPr="00CF2B0E">
        <w:t>P</w:t>
      </w:r>
      <w:r w:rsidR="00FF68DF">
        <w:rPr>
          <w:lang w:val="en-US"/>
        </w:rPr>
        <w:t xml:space="preserve">rotection </w:t>
      </w:r>
      <w:r w:rsidR="00BB41AC" w:rsidRPr="00CF2B0E">
        <w:t>D</w:t>
      </w:r>
      <w:r w:rsidR="00FF68DF">
        <w:rPr>
          <w:lang w:val="en-US"/>
        </w:rPr>
        <w:t>ivision</w:t>
      </w:r>
      <w:r w:rsidR="00BB41AC" w:rsidRPr="00CF2B0E">
        <w:t xml:space="preserve"> decision is available with leave fro</w:t>
      </w:r>
      <w:r w:rsidR="00BB41AC">
        <w:t xml:space="preserve">m the Federal Court. </w:t>
      </w:r>
      <w:r w:rsidR="00BB41AC" w:rsidRPr="00D81C44">
        <w:t xml:space="preserve">The Federal Court’s test for granting leave </w:t>
      </w:r>
      <w:r w:rsidR="00BB41AC">
        <w:t xml:space="preserve">to apply for </w:t>
      </w:r>
      <w:r w:rsidR="00BB41AC" w:rsidRPr="00D81C44">
        <w:t xml:space="preserve">judicial review of </w:t>
      </w:r>
      <w:r w:rsidR="0047210E">
        <w:rPr>
          <w:lang w:val="en-US"/>
        </w:rPr>
        <w:t>Division</w:t>
      </w:r>
      <w:r w:rsidR="0047210E" w:rsidRPr="00D81C44">
        <w:t xml:space="preserve"> </w:t>
      </w:r>
      <w:r w:rsidR="00BB41AC" w:rsidRPr="00D81C44">
        <w:t xml:space="preserve">decisions is </w:t>
      </w:r>
      <w:r w:rsidR="0047210E">
        <w:rPr>
          <w:lang w:val="en-US"/>
        </w:rPr>
        <w:t>whether</w:t>
      </w:r>
      <w:r w:rsidR="00BB41AC" w:rsidRPr="00D81C44">
        <w:t xml:space="preserve"> there is a “fairly arguable case” or a “serious question to be determined”.</w:t>
      </w:r>
      <w:r w:rsidR="0027159D">
        <w:rPr>
          <w:rStyle w:val="FootnoteReference"/>
        </w:rPr>
        <w:footnoteReference w:id="20"/>
      </w:r>
      <w:r w:rsidR="00BB41AC" w:rsidRPr="001A1B87">
        <w:t xml:space="preserve"> </w:t>
      </w:r>
      <w:r w:rsidR="00BB41AC">
        <w:t xml:space="preserve">Leave applications are thoroughly reviewed by a judge of the Federal Court on the basis of written submissions from the applicant and the </w:t>
      </w:r>
      <w:r w:rsidR="004958E1">
        <w:rPr>
          <w:lang w:val="en-US"/>
        </w:rPr>
        <w:t>G</w:t>
      </w:r>
      <w:r w:rsidR="00BB41AC">
        <w:t>overnment. Decisions are communicated to applicants through a signed judicial order, typically without reasons.</w:t>
      </w:r>
      <w:r>
        <w:t xml:space="preserve"> T</w:t>
      </w:r>
      <w:r w:rsidR="00BB41AC">
        <w:t xml:space="preserve">he fact that leave applications are often decided on the basis of written submissions does not mean that the review process is unfair. </w:t>
      </w:r>
      <w:r>
        <w:t>J</w:t>
      </w:r>
      <w:r w:rsidR="00BB41AC" w:rsidRPr="00700F00">
        <w:t>u</w:t>
      </w:r>
      <w:r w:rsidR="00BB41AC">
        <w:t>dges</w:t>
      </w:r>
      <w:r w:rsidR="00BB41AC" w:rsidRPr="00700F00">
        <w:t xml:space="preserve"> of the Federal Court consider each leave application on the basis of the </w:t>
      </w:r>
      <w:r w:rsidR="00BB41AC">
        <w:t xml:space="preserve">tribunal record and the </w:t>
      </w:r>
      <w:r w:rsidR="00BB41AC" w:rsidRPr="00700F00">
        <w:t>written submissions made by the parties</w:t>
      </w:r>
      <w:r w:rsidR="00BB41AC">
        <w:t xml:space="preserve">. </w:t>
      </w:r>
      <w:r w:rsidR="00BB41AC" w:rsidRPr="00700F00">
        <w:t xml:space="preserve">A hearing does not have to be an oral hearing </w:t>
      </w:r>
      <w:r w:rsidR="00BB41AC">
        <w:t xml:space="preserve">in order </w:t>
      </w:r>
      <w:r w:rsidR="00BB41AC" w:rsidRPr="00700F00">
        <w:t xml:space="preserve">to be fair and to comply with the rules of natural justice. If </w:t>
      </w:r>
      <w:r w:rsidR="00BB41AC">
        <w:t xml:space="preserve">the written submissions disclose a fairly arguable case for judicial review, </w:t>
      </w:r>
      <w:r w:rsidR="00BB41AC" w:rsidRPr="00700F00">
        <w:t>leave is granted</w:t>
      </w:r>
      <w:r w:rsidR="00BB41AC">
        <w:t xml:space="preserve"> and</w:t>
      </w:r>
      <w:r w:rsidR="00BB41AC" w:rsidRPr="00700F00">
        <w:t xml:space="preserve"> the case is assigned to a different justice for an oral hearing on the merits of the judicial review application.</w:t>
      </w:r>
      <w:r>
        <w:t xml:space="preserve"> T</w:t>
      </w:r>
      <w:r w:rsidR="00BB41AC">
        <w:t xml:space="preserve">he existence of the leave requirement in no way </w:t>
      </w:r>
      <w:r w:rsidR="00BB41AC" w:rsidRPr="001A1B87">
        <w:t>undermines</w:t>
      </w:r>
      <w:r w:rsidR="00BB41AC">
        <w:t xml:space="preserve"> the effectiveness of judicial review </w:t>
      </w:r>
      <w:r w:rsidR="00BB41AC" w:rsidRPr="001A1B87">
        <w:t>as a remedial avenue</w:t>
      </w:r>
      <w:r w:rsidR="00BB41AC">
        <w:t xml:space="preserve">. </w:t>
      </w:r>
    </w:p>
    <w:p w:rsidR="00BB41AC" w:rsidRDefault="0073039C">
      <w:pPr>
        <w:pStyle w:val="SingleTxtG"/>
      </w:pPr>
      <w:r>
        <w:t>6.6</w:t>
      </w:r>
      <w:r>
        <w:tab/>
      </w:r>
      <w:r w:rsidR="00EF353A">
        <w:rPr>
          <w:lang w:val="en-US"/>
        </w:rPr>
        <w:t xml:space="preserve">The State party </w:t>
      </w:r>
      <w:r w:rsidR="00BB41AC" w:rsidRPr="00700F00">
        <w:t>r</w:t>
      </w:r>
      <w:r w:rsidR="00EF353A">
        <w:t>efer</w:t>
      </w:r>
      <w:r w:rsidR="004958E1">
        <w:rPr>
          <w:lang w:val="en-US"/>
        </w:rPr>
        <w:t>red</w:t>
      </w:r>
      <w:r w:rsidR="00EF353A">
        <w:t xml:space="preserve"> </w:t>
      </w:r>
      <w:r w:rsidR="00BB41AC" w:rsidRPr="00700F00">
        <w:t>to the statistics compiled by the Federal Court</w:t>
      </w:r>
      <w:r>
        <w:t xml:space="preserve"> </w:t>
      </w:r>
      <w:r w:rsidR="00BB41AC">
        <w:t>for the 2012 calendar year</w:t>
      </w:r>
      <w:r w:rsidR="00D54FB2">
        <w:rPr>
          <w:rStyle w:val="FootnoteReference"/>
        </w:rPr>
        <w:footnoteReference w:id="21"/>
      </w:r>
      <w:r w:rsidR="00E15D15">
        <w:rPr>
          <w:lang w:val="en-US"/>
        </w:rPr>
        <w:t xml:space="preserve"> —</w:t>
      </w:r>
      <w:r>
        <w:t xml:space="preserve"> o</w:t>
      </w:r>
      <w:r w:rsidR="00BB41AC" w:rsidRPr="00700F00">
        <w:t xml:space="preserve">ut of </w:t>
      </w:r>
      <w:r w:rsidR="00BB41AC">
        <w:t>6</w:t>
      </w:r>
      <w:r w:rsidR="00E15D15">
        <w:rPr>
          <w:lang w:val="en-US"/>
        </w:rPr>
        <w:t>,</w:t>
      </w:r>
      <w:r w:rsidR="00BB41AC">
        <w:t>396</w:t>
      </w:r>
      <w:r w:rsidR="00BB41AC" w:rsidRPr="00700F00">
        <w:t xml:space="preserve"> applications for leave to appeal refugee</w:t>
      </w:r>
      <w:r w:rsidR="004958E1">
        <w:rPr>
          <w:lang w:val="en-US"/>
        </w:rPr>
        <w:t xml:space="preserve"> decisions</w:t>
      </w:r>
      <w:r w:rsidR="00BB41AC">
        <w:t xml:space="preserve"> that were </w:t>
      </w:r>
      <w:r w:rsidR="004958E1">
        <w:rPr>
          <w:lang w:val="en-US"/>
        </w:rPr>
        <w:t>handed down</w:t>
      </w:r>
      <w:r w:rsidR="00BB41AC">
        <w:t xml:space="preserve"> in that period, 911 were granted</w:t>
      </w:r>
      <w:r>
        <w:t xml:space="preserve">, which constituted </w:t>
      </w:r>
      <w:r w:rsidR="004958E1">
        <w:rPr>
          <w:lang w:val="en-US"/>
        </w:rPr>
        <w:t xml:space="preserve">a </w:t>
      </w:r>
      <w:r w:rsidR="00BB41AC">
        <w:t xml:space="preserve">grant rate </w:t>
      </w:r>
      <w:r>
        <w:t>of</w:t>
      </w:r>
      <w:r w:rsidR="00BB41AC" w:rsidRPr="00700F00">
        <w:t xml:space="preserve"> 14</w:t>
      </w:r>
      <w:r w:rsidR="00BB41AC">
        <w:t>.2</w:t>
      </w:r>
      <w:r w:rsidR="004958E1">
        <w:rPr>
          <w:lang w:val="en-US"/>
        </w:rPr>
        <w:t xml:space="preserve"> per cent</w:t>
      </w:r>
      <w:r w:rsidR="00BB41AC" w:rsidRPr="00700F00">
        <w:t xml:space="preserve">. These statistics are not indicative of a lack of vigilance by the Federal Court but rather of a focus of its resources to the decisions that satisfy </w:t>
      </w:r>
      <w:r w:rsidR="00BB41AC">
        <w:t xml:space="preserve">the established test for leave. </w:t>
      </w:r>
      <w:r w:rsidR="00BB41AC" w:rsidRPr="00700F00">
        <w:t>This triage of cases is made necessary by the high volume of leav</w:t>
      </w:r>
      <w:r w:rsidR="00BB41AC">
        <w:t>e applications filed each year.</w:t>
      </w:r>
      <w:r w:rsidR="00BB41AC" w:rsidRPr="00700F00">
        <w:t xml:space="preserve"> </w:t>
      </w:r>
      <w:r w:rsidR="00EF353A">
        <w:t>T</w:t>
      </w:r>
      <w:r w:rsidR="00BB41AC" w:rsidRPr="00700F00">
        <w:t xml:space="preserve">he acceptance rate for leave applications is </w:t>
      </w:r>
      <w:r w:rsidR="00BB41AC" w:rsidRPr="00EF353A">
        <w:t>not u</w:t>
      </w:r>
      <w:r w:rsidR="00BB41AC">
        <w:t xml:space="preserve">nduly </w:t>
      </w:r>
      <w:r w:rsidR="00BB41AC" w:rsidRPr="00700F00">
        <w:t>low</w:t>
      </w:r>
      <w:r w:rsidR="00BB41AC">
        <w:t>,</w:t>
      </w:r>
      <w:r w:rsidR="00BB41AC" w:rsidRPr="00700F00">
        <w:t xml:space="preserve"> given the quality of the decision-making at first instance within the Canadian system.</w:t>
      </w:r>
    </w:p>
    <w:p w:rsidR="00BB41AC" w:rsidRDefault="0073039C">
      <w:pPr>
        <w:pStyle w:val="SingleTxtG"/>
      </w:pPr>
      <w:r>
        <w:t>6.7</w:t>
      </w:r>
      <w:r>
        <w:tab/>
        <w:t>The State party r</w:t>
      </w:r>
      <w:r w:rsidR="00BB41AC" w:rsidRPr="002D6D09">
        <w:t>eiterate</w:t>
      </w:r>
      <w:r w:rsidR="004958E1">
        <w:rPr>
          <w:lang w:val="en-US"/>
        </w:rPr>
        <w:t>d</w:t>
      </w:r>
      <w:r w:rsidR="00BB41AC" w:rsidRPr="002D6D09">
        <w:t xml:space="preserve"> that it </w:t>
      </w:r>
      <w:r w:rsidR="004958E1">
        <w:rPr>
          <w:lang w:val="en-US"/>
        </w:rPr>
        <w:t>wa</w:t>
      </w:r>
      <w:r w:rsidR="00BB41AC" w:rsidRPr="002D6D09">
        <w:t xml:space="preserve">s not the role of the Committee to consider </w:t>
      </w:r>
      <w:r>
        <w:t xml:space="preserve">its </w:t>
      </w:r>
      <w:r w:rsidR="00BB41AC" w:rsidRPr="002D6D09">
        <w:t xml:space="preserve">immigration and refugee protection system, including </w:t>
      </w:r>
      <w:r w:rsidR="004958E1">
        <w:rPr>
          <w:lang w:val="en-US"/>
        </w:rPr>
        <w:t xml:space="preserve">the </w:t>
      </w:r>
      <w:r w:rsidR="00BB41AC" w:rsidRPr="002D6D09">
        <w:t>Federal Court review, in the abstract</w:t>
      </w:r>
      <w:r>
        <w:t xml:space="preserve">, but </w:t>
      </w:r>
      <w:r w:rsidR="00BB41AC" w:rsidRPr="002D6D09">
        <w:t>to consider only whether th</w:t>
      </w:r>
      <w:r w:rsidR="004958E1">
        <w:rPr>
          <w:lang w:val="en-US"/>
        </w:rPr>
        <w:t>e</w:t>
      </w:r>
      <w:r w:rsidR="00BB41AC" w:rsidRPr="002D6D09">
        <w:t xml:space="preserve"> system has</w:t>
      </w:r>
      <w:r w:rsidR="004958E1">
        <w:rPr>
          <w:lang w:val="en-US"/>
        </w:rPr>
        <w:t>,</w:t>
      </w:r>
      <w:r w:rsidR="00BB41AC" w:rsidRPr="002D6D09">
        <w:t xml:space="preserve"> in some specific way</w:t>
      </w:r>
      <w:r w:rsidR="004958E1">
        <w:rPr>
          <w:lang w:val="en-US"/>
        </w:rPr>
        <w:t>,</w:t>
      </w:r>
      <w:r w:rsidR="00BB41AC" w:rsidRPr="002D6D09">
        <w:t xml:space="preserve"> failed to protect the </w:t>
      </w:r>
      <w:r w:rsidR="00BB41AC" w:rsidRPr="0073039C">
        <w:t>Convention</w:t>
      </w:r>
      <w:r w:rsidR="00BB41AC" w:rsidRPr="00D36C0D">
        <w:rPr>
          <w:i/>
        </w:rPr>
        <w:t xml:space="preserve"> </w:t>
      </w:r>
      <w:r w:rsidR="00BB41AC" w:rsidRPr="002D6D09">
        <w:t xml:space="preserve">rights of the </w:t>
      </w:r>
      <w:r w:rsidR="00043463">
        <w:t>complainant</w:t>
      </w:r>
      <w:r w:rsidR="00BB41AC" w:rsidRPr="002D6D09">
        <w:t>.</w:t>
      </w:r>
      <w:r w:rsidR="00004C4A">
        <w:rPr>
          <w:rStyle w:val="FootnoteReference"/>
        </w:rPr>
        <w:footnoteReference w:id="22"/>
      </w:r>
      <w:r w:rsidR="00BB41AC">
        <w:t xml:space="preserve"> </w:t>
      </w:r>
      <w:r w:rsidR="004958E1">
        <w:rPr>
          <w:lang w:val="en-US"/>
        </w:rPr>
        <w:t>Insofar as</w:t>
      </w:r>
      <w:r w:rsidR="00BB41AC" w:rsidRPr="00043A56">
        <w:t xml:space="preserve"> any of the </w:t>
      </w:r>
      <w:r w:rsidR="00043463">
        <w:t>complainant</w:t>
      </w:r>
      <w:r w:rsidR="00BB41AC" w:rsidRPr="00043A56">
        <w:t xml:space="preserve">’s allegations about the deficiencies in the judicial review system may have had a direct bearing on the assessment of the </w:t>
      </w:r>
      <w:r w:rsidR="00043463">
        <w:t>complainant</w:t>
      </w:r>
      <w:r w:rsidR="00BB41AC" w:rsidRPr="00043A56">
        <w:t xml:space="preserve">’s claim for protection, which </w:t>
      </w:r>
      <w:r w:rsidR="004958E1">
        <w:rPr>
          <w:lang w:val="en-US"/>
        </w:rPr>
        <w:t xml:space="preserve">has been </w:t>
      </w:r>
      <w:r w:rsidR="00BB41AC" w:rsidRPr="00043A56">
        <w:t>denied, they could and should have been raised first before the Federal Court itself and, on appeal with leave, to the Supreme Court.</w:t>
      </w:r>
      <w:r w:rsidR="00BB41AC">
        <w:t xml:space="preserve"> The basic admissibility requirement of exhaustion of domestic remedies exists to ensure that the substance of any allegation submitted to the Committee is first raised before </w:t>
      </w:r>
      <w:r w:rsidR="004958E1">
        <w:rPr>
          <w:lang w:val="en-US"/>
        </w:rPr>
        <w:t xml:space="preserve">the </w:t>
      </w:r>
      <w:r w:rsidR="00BB41AC">
        <w:t xml:space="preserve">domestic courts. </w:t>
      </w:r>
      <w:r w:rsidR="00043463">
        <w:t>Complainant</w:t>
      </w:r>
      <w:r w:rsidR="00BB41AC">
        <w:t xml:space="preserve">s cannot raise issues for the </w:t>
      </w:r>
      <w:r>
        <w:t>f</w:t>
      </w:r>
      <w:r w:rsidR="00BB41AC">
        <w:t>irst time before the Committee; if they do so, such allegations are inadmissible.</w:t>
      </w:r>
      <w:r w:rsidR="00004C4A">
        <w:rPr>
          <w:rStyle w:val="FootnoteReference"/>
        </w:rPr>
        <w:footnoteReference w:id="23"/>
      </w:r>
      <w:r w:rsidR="00BB41AC">
        <w:t xml:space="preserve"> </w:t>
      </w:r>
    </w:p>
    <w:p w:rsidR="009575E5" w:rsidRDefault="0073039C">
      <w:pPr>
        <w:pStyle w:val="SingleTxtG"/>
      </w:pPr>
      <w:r w:rsidRPr="0073039C">
        <w:lastRenderedPageBreak/>
        <w:t>6.8</w:t>
      </w:r>
      <w:r w:rsidRPr="0073039C">
        <w:tab/>
      </w:r>
      <w:r w:rsidR="00DB79DB" w:rsidRPr="0073039C">
        <w:t xml:space="preserve">On 3 October 2014, the State party submitted that </w:t>
      </w:r>
      <w:r w:rsidR="009575E5">
        <w:t>o</w:t>
      </w:r>
      <w:r w:rsidR="00DB79DB">
        <w:t xml:space="preserve">n 10 September 2014, the </w:t>
      </w:r>
      <w:r w:rsidR="00043463">
        <w:t>complainant</w:t>
      </w:r>
      <w:r w:rsidR="00DB79DB">
        <w:t xml:space="preserve"> received written notice that her removal to Pakistan was scheduled for 16 September 2014. </w:t>
      </w:r>
      <w:r w:rsidR="00CA3AB2">
        <w:rPr>
          <w:lang w:val="en-US"/>
        </w:rPr>
        <w:t>Upon receipt of the removal order, t</w:t>
      </w:r>
      <w:r w:rsidR="009575E5">
        <w:t xml:space="preserve">he </w:t>
      </w:r>
      <w:r w:rsidR="00043463">
        <w:t>complainant</w:t>
      </w:r>
      <w:r w:rsidR="009575E5">
        <w:t xml:space="preserve"> </w:t>
      </w:r>
      <w:r w:rsidR="00DB79DB">
        <w:t>could have requested that her removal</w:t>
      </w:r>
      <w:r w:rsidR="00CA3AB2">
        <w:rPr>
          <w:lang w:val="en-US"/>
        </w:rPr>
        <w:t xml:space="preserve"> be deferred</w:t>
      </w:r>
      <w:r w:rsidR="009575E5">
        <w:t>, but she</w:t>
      </w:r>
      <w:r w:rsidR="00DB79DB">
        <w:rPr>
          <w:color w:val="000000"/>
        </w:rPr>
        <w:t xml:space="preserve"> did </w:t>
      </w:r>
      <w:r w:rsidR="00DB79DB" w:rsidRPr="000619D7">
        <w:rPr>
          <w:color w:val="000000"/>
        </w:rPr>
        <w:t>not</w:t>
      </w:r>
      <w:r w:rsidR="00DB79DB">
        <w:rPr>
          <w:color w:val="000000"/>
        </w:rPr>
        <w:t xml:space="preserve"> take any steps to pursue this available domestic remedy</w:t>
      </w:r>
      <w:r w:rsidR="00DB79DB" w:rsidRPr="005C2794">
        <w:rPr>
          <w:color w:val="000000"/>
        </w:rPr>
        <w:t>.</w:t>
      </w:r>
      <w:r w:rsidR="00DB79DB">
        <w:rPr>
          <w:color w:val="000000"/>
        </w:rPr>
        <w:t xml:space="preserve"> </w:t>
      </w:r>
      <w:r w:rsidR="00DB79DB" w:rsidRPr="00881AFC">
        <w:rPr>
          <w:color w:val="000000"/>
        </w:rPr>
        <w:t>Claimants who allege</w:t>
      </w:r>
      <w:r w:rsidR="00DB79DB" w:rsidRPr="005C2794">
        <w:rPr>
          <w:color w:val="000000"/>
        </w:rPr>
        <w:t xml:space="preserve"> new evidence of personal risk may request </w:t>
      </w:r>
      <w:r w:rsidR="00881AFC">
        <w:rPr>
          <w:color w:val="000000"/>
          <w:lang w:val="en-US"/>
        </w:rPr>
        <w:t xml:space="preserve">the enforcement officer to </w:t>
      </w:r>
      <w:r w:rsidR="00DB79DB" w:rsidRPr="005C2794">
        <w:rPr>
          <w:color w:val="000000"/>
        </w:rPr>
        <w:t>defer</w:t>
      </w:r>
      <w:r w:rsidR="00881AFC">
        <w:rPr>
          <w:color w:val="000000"/>
          <w:lang w:val="en-US"/>
        </w:rPr>
        <w:t xml:space="preserve"> their</w:t>
      </w:r>
      <w:r w:rsidR="00DB79DB" w:rsidRPr="005C2794">
        <w:rPr>
          <w:color w:val="000000"/>
        </w:rPr>
        <w:t xml:space="preserve"> removal. Although enforcement officers have limited discretion as to the timing of a removal, </w:t>
      </w:r>
      <w:r w:rsidR="00680840">
        <w:rPr>
          <w:color w:val="000000"/>
        </w:rPr>
        <w:t>the</w:t>
      </w:r>
      <w:r w:rsidR="00DB79DB" w:rsidRPr="005C2794">
        <w:rPr>
          <w:color w:val="000000"/>
        </w:rPr>
        <w:t xml:space="preserve"> Federal Court of Appeal has repeatedly held that </w:t>
      </w:r>
      <w:r w:rsidR="00DB79DB">
        <w:rPr>
          <w:color w:val="000000"/>
        </w:rPr>
        <w:t>an enforcement officer</w:t>
      </w:r>
      <w:r w:rsidR="00DB79DB" w:rsidRPr="005C2794">
        <w:rPr>
          <w:color w:val="000000"/>
        </w:rPr>
        <w:t xml:space="preserve"> </w:t>
      </w:r>
      <w:r w:rsidR="00DB79DB" w:rsidRPr="009575E5">
        <w:rPr>
          <w:color w:val="000000"/>
        </w:rPr>
        <w:t>must</w:t>
      </w:r>
      <w:r w:rsidR="00DB79DB" w:rsidRPr="005C2794">
        <w:rPr>
          <w:color w:val="000000"/>
        </w:rPr>
        <w:t xml:space="preserve"> defer removal if </w:t>
      </w:r>
      <w:r w:rsidR="00DB79DB">
        <w:rPr>
          <w:color w:val="000000"/>
        </w:rPr>
        <w:t xml:space="preserve">there is compelling evidence that </w:t>
      </w:r>
      <w:r w:rsidR="00DB79DB" w:rsidRPr="005C2794">
        <w:rPr>
          <w:color w:val="000000"/>
        </w:rPr>
        <w:t>the removal would expose the person to “a risk of death, extreme sanction or inhumane treatment”</w:t>
      </w:r>
      <w:r w:rsidR="00E15D15">
        <w:rPr>
          <w:color w:val="000000"/>
          <w:lang w:val="en-US"/>
        </w:rPr>
        <w:t>.</w:t>
      </w:r>
      <w:r w:rsidR="00004C4A">
        <w:rPr>
          <w:rStyle w:val="FootnoteReference"/>
          <w:color w:val="000000"/>
        </w:rPr>
        <w:footnoteReference w:id="24"/>
      </w:r>
      <w:r w:rsidR="00DB79DB" w:rsidRPr="00C30A04">
        <w:t xml:space="preserve"> </w:t>
      </w:r>
    </w:p>
    <w:p w:rsidR="00DB79DB" w:rsidRDefault="009575E5">
      <w:pPr>
        <w:pStyle w:val="SingleTxtG"/>
        <w:rPr>
          <w:shd w:val="clear" w:color="auto" w:fill="FFFFFF"/>
        </w:rPr>
      </w:pPr>
      <w:r>
        <w:t>6.9</w:t>
      </w:r>
      <w:r>
        <w:tab/>
      </w:r>
      <w:r w:rsidR="00DB79DB">
        <w:rPr>
          <w:shd w:val="clear" w:color="auto" w:fill="FFFFFF"/>
        </w:rPr>
        <w:t xml:space="preserve">On 15 September 2014, the </w:t>
      </w:r>
      <w:r w:rsidR="00043463">
        <w:rPr>
          <w:shd w:val="clear" w:color="auto" w:fill="FFFFFF"/>
        </w:rPr>
        <w:t>complainant</w:t>
      </w:r>
      <w:r w:rsidR="00DB79DB">
        <w:rPr>
          <w:shd w:val="clear" w:color="auto" w:fill="FFFFFF"/>
        </w:rPr>
        <w:t xml:space="preserve"> applied to the Federal Court for</w:t>
      </w:r>
      <w:r w:rsidR="00DB79DB" w:rsidRPr="00C30A04">
        <w:rPr>
          <w:shd w:val="clear" w:color="auto" w:fill="FFFFFF"/>
        </w:rPr>
        <w:t xml:space="preserve"> </w:t>
      </w:r>
      <w:r w:rsidR="00DB79DB">
        <w:rPr>
          <w:shd w:val="clear" w:color="auto" w:fill="FFFFFF"/>
        </w:rPr>
        <w:t xml:space="preserve">leave </w:t>
      </w:r>
      <w:r w:rsidR="00E15D15">
        <w:rPr>
          <w:shd w:val="clear" w:color="auto" w:fill="FFFFFF"/>
          <w:lang w:val="en-US"/>
        </w:rPr>
        <w:t>to apply for a</w:t>
      </w:r>
      <w:r w:rsidR="00881AFC">
        <w:rPr>
          <w:shd w:val="clear" w:color="auto" w:fill="FFFFFF"/>
          <w:lang w:val="en-US"/>
        </w:rPr>
        <w:t xml:space="preserve"> </w:t>
      </w:r>
      <w:r w:rsidR="00DB79DB">
        <w:rPr>
          <w:shd w:val="clear" w:color="auto" w:fill="FFFFFF"/>
        </w:rPr>
        <w:t xml:space="preserve">judicial review </w:t>
      </w:r>
      <w:r w:rsidR="00881AFC">
        <w:rPr>
          <w:shd w:val="clear" w:color="auto" w:fill="FFFFFF"/>
          <w:lang w:val="en-US"/>
        </w:rPr>
        <w:t xml:space="preserve">of </w:t>
      </w:r>
      <w:r w:rsidR="00DB79DB">
        <w:rPr>
          <w:shd w:val="clear" w:color="auto" w:fill="FFFFFF"/>
        </w:rPr>
        <w:t xml:space="preserve">the decision to enforce her removal order. The </w:t>
      </w:r>
      <w:r w:rsidR="00043463">
        <w:rPr>
          <w:shd w:val="clear" w:color="auto" w:fill="FFFFFF"/>
        </w:rPr>
        <w:t>complainant</w:t>
      </w:r>
      <w:r w:rsidR="00DB79DB">
        <w:rPr>
          <w:shd w:val="clear" w:color="auto" w:fill="FFFFFF"/>
        </w:rPr>
        <w:t xml:space="preserve"> also sought a judicial stay of her removal pending consideration of this application. </w:t>
      </w:r>
      <w:r w:rsidR="00DB79DB" w:rsidRPr="00C30A04">
        <w:rPr>
          <w:shd w:val="clear" w:color="auto" w:fill="FFFFFF"/>
        </w:rPr>
        <w:t xml:space="preserve">That afternoon, the Court heard arguments </w:t>
      </w:r>
      <w:r w:rsidR="00881AFC">
        <w:rPr>
          <w:shd w:val="clear" w:color="auto" w:fill="FFFFFF"/>
          <w:lang w:val="en-US"/>
        </w:rPr>
        <w:t xml:space="preserve">pertaining to </w:t>
      </w:r>
      <w:r w:rsidR="00DB79DB" w:rsidRPr="00C30A04">
        <w:rPr>
          <w:shd w:val="clear" w:color="auto" w:fill="FFFFFF"/>
        </w:rPr>
        <w:t xml:space="preserve">the stay </w:t>
      </w:r>
      <w:r w:rsidR="00881AFC">
        <w:rPr>
          <w:shd w:val="clear" w:color="auto" w:fill="FFFFFF"/>
          <w:lang w:val="en-US"/>
        </w:rPr>
        <w:t xml:space="preserve">of removal </w:t>
      </w:r>
      <w:r w:rsidR="00DB79DB" w:rsidRPr="00C30A04">
        <w:rPr>
          <w:shd w:val="clear" w:color="auto" w:fill="FFFFFF"/>
        </w:rPr>
        <w:t xml:space="preserve">application. The </w:t>
      </w:r>
      <w:r w:rsidR="00043463">
        <w:rPr>
          <w:shd w:val="clear" w:color="auto" w:fill="FFFFFF"/>
        </w:rPr>
        <w:t>complainant</w:t>
      </w:r>
      <w:r w:rsidR="00DB79DB" w:rsidRPr="00C30A04">
        <w:rPr>
          <w:shd w:val="clear" w:color="auto" w:fill="FFFFFF"/>
        </w:rPr>
        <w:t xml:space="preserve"> was represented by legal counsel at the hearing.</w:t>
      </w:r>
      <w:r>
        <w:rPr>
          <w:shd w:val="clear" w:color="auto" w:fill="FFFFFF"/>
        </w:rPr>
        <w:t xml:space="preserve"> </w:t>
      </w:r>
      <w:r w:rsidR="00DB79DB">
        <w:rPr>
          <w:shd w:val="clear" w:color="auto" w:fill="FFFFFF"/>
        </w:rPr>
        <w:t xml:space="preserve">The Court rejected the </w:t>
      </w:r>
      <w:r w:rsidR="00043463">
        <w:rPr>
          <w:shd w:val="clear" w:color="auto" w:fill="FFFFFF"/>
        </w:rPr>
        <w:t>complainant</w:t>
      </w:r>
      <w:r w:rsidR="00DB79DB">
        <w:rPr>
          <w:shd w:val="clear" w:color="auto" w:fill="FFFFFF"/>
        </w:rPr>
        <w:t>’s stay</w:t>
      </w:r>
      <w:r w:rsidR="00881AFC">
        <w:rPr>
          <w:shd w:val="clear" w:color="auto" w:fill="FFFFFF"/>
          <w:lang w:val="en-US"/>
        </w:rPr>
        <w:t xml:space="preserve"> of removal</w:t>
      </w:r>
      <w:r w:rsidR="00DB79DB">
        <w:rPr>
          <w:shd w:val="clear" w:color="auto" w:fill="FFFFFF"/>
        </w:rPr>
        <w:t xml:space="preserve"> application</w:t>
      </w:r>
      <w:r>
        <w:rPr>
          <w:shd w:val="clear" w:color="auto" w:fill="FFFFFF"/>
        </w:rPr>
        <w:t xml:space="preserve"> </w:t>
      </w:r>
      <w:r w:rsidR="00881AFC">
        <w:rPr>
          <w:shd w:val="clear" w:color="auto" w:fill="FFFFFF"/>
          <w:lang w:val="en-US"/>
        </w:rPr>
        <w:t>on the grounds</w:t>
      </w:r>
      <w:r w:rsidR="00DB79DB">
        <w:rPr>
          <w:shd w:val="clear" w:color="auto" w:fill="FFFFFF"/>
        </w:rPr>
        <w:t xml:space="preserve"> that </w:t>
      </w:r>
      <w:r>
        <w:rPr>
          <w:shd w:val="clear" w:color="auto" w:fill="FFFFFF"/>
        </w:rPr>
        <w:t>she</w:t>
      </w:r>
      <w:r w:rsidR="00DB79DB">
        <w:rPr>
          <w:shd w:val="clear" w:color="auto" w:fill="FFFFFF"/>
        </w:rPr>
        <w:t xml:space="preserve"> had not met the legal test for a stay of removal because she had not demonstrated that she w</w:t>
      </w:r>
      <w:r w:rsidR="00881AFC">
        <w:rPr>
          <w:shd w:val="clear" w:color="auto" w:fill="FFFFFF"/>
          <w:lang w:val="en-US"/>
        </w:rPr>
        <w:t>ould</w:t>
      </w:r>
      <w:r w:rsidR="00DB79DB">
        <w:rPr>
          <w:shd w:val="clear" w:color="auto" w:fill="FFFFFF"/>
        </w:rPr>
        <w:t xml:space="preserve"> suffer irreparable harm if removed to Pakistan. </w:t>
      </w:r>
      <w:r w:rsidR="00283010">
        <w:rPr>
          <w:shd w:val="clear" w:color="auto" w:fill="FFFFFF"/>
        </w:rPr>
        <w:t xml:space="preserve">The State party </w:t>
      </w:r>
      <w:r w:rsidR="00DB79DB">
        <w:rPr>
          <w:shd w:val="clear" w:color="auto" w:fill="FFFFFF"/>
        </w:rPr>
        <w:t xml:space="preserve">therefore enforced the removal order against the </w:t>
      </w:r>
      <w:r w:rsidR="00043463">
        <w:rPr>
          <w:shd w:val="clear" w:color="auto" w:fill="FFFFFF"/>
        </w:rPr>
        <w:t>complainant</w:t>
      </w:r>
      <w:r w:rsidR="00DB79DB">
        <w:rPr>
          <w:shd w:val="clear" w:color="auto" w:fill="FFFFFF"/>
        </w:rPr>
        <w:t xml:space="preserve"> on 16 September 2014. </w:t>
      </w:r>
    </w:p>
    <w:p w:rsidR="00D20DA8" w:rsidRPr="00DD4551" w:rsidRDefault="00004C4A" w:rsidP="00004C4A">
      <w:pPr>
        <w:pStyle w:val="H23G"/>
      </w:pPr>
      <w:r>
        <w:tab/>
      </w:r>
      <w:r>
        <w:tab/>
      </w:r>
      <w:r w:rsidR="00D20DA8" w:rsidRPr="00DD4551">
        <w:t>Complainant’s further comments</w:t>
      </w:r>
    </w:p>
    <w:p w:rsidR="00D20DA8" w:rsidRPr="00DD4551" w:rsidRDefault="00D20DA8">
      <w:pPr>
        <w:pStyle w:val="SingleTxtG"/>
      </w:pPr>
      <w:r w:rsidRPr="00DD4551">
        <w:t>7.1</w:t>
      </w:r>
      <w:r w:rsidRPr="00DD4551">
        <w:tab/>
      </w:r>
      <w:r w:rsidR="0001391D" w:rsidRPr="00DD4551">
        <w:t>On 1 October 2014, the complainant’s counsel submitted that she ha</w:t>
      </w:r>
      <w:r w:rsidR="00881AFC">
        <w:rPr>
          <w:lang w:val="en-US"/>
        </w:rPr>
        <w:t>d</w:t>
      </w:r>
      <w:r w:rsidR="0001391D" w:rsidRPr="00DD4551">
        <w:t xml:space="preserve"> been deported on 16 September 2014</w:t>
      </w:r>
      <w:r w:rsidR="00881AFC">
        <w:rPr>
          <w:lang w:val="en-US"/>
        </w:rPr>
        <w:t xml:space="preserve"> and </w:t>
      </w:r>
      <w:r w:rsidR="0001391D" w:rsidRPr="00DD4551">
        <w:t xml:space="preserve">that the Canadian media had reported that she had arrived </w:t>
      </w:r>
      <w:r w:rsidR="00881AFC">
        <w:rPr>
          <w:lang w:val="en-US"/>
        </w:rPr>
        <w:t>in</w:t>
      </w:r>
      <w:r w:rsidR="0001391D" w:rsidRPr="00DD4551">
        <w:t xml:space="preserve"> Pakistan and was in hiding. He </w:t>
      </w:r>
      <w:r w:rsidR="00881AFC">
        <w:rPr>
          <w:lang w:val="en-US"/>
        </w:rPr>
        <w:t xml:space="preserve">provided a </w:t>
      </w:r>
      <w:r w:rsidR="0001391D" w:rsidRPr="00DD4551">
        <w:t>summar</w:t>
      </w:r>
      <w:r w:rsidR="00881AFC">
        <w:rPr>
          <w:lang w:val="en-US"/>
        </w:rPr>
        <w:t>y</w:t>
      </w:r>
      <w:r w:rsidR="0001391D" w:rsidRPr="00DD4551">
        <w:t xml:space="preserve"> of the proceedings that took place on 15 September 2014 before the</w:t>
      </w:r>
      <w:r w:rsidR="003413FD" w:rsidRPr="00DD4551">
        <w:t xml:space="preserve"> Federal Court</w:t>
      </w:r>
      <w:r w:rsidR="00CF3A7E">
        <w:rPr>
          <w:lang w:val="en-US"/>
        </w:rPr>
        <w:t xml:space="preserve"> and </w:t>
      </w:r>
      <w:r w:rsidR="003413FD" w:rsidRPr="00DD4551">
        <w:t>reiterate</w:t>
      </w:r>
      <w:r w:rsidR="00CF3A7E">
        <w:rPr>
          <w:lang w:val="en-US"/>
        </w:rPr>
        <w:t>d</w:t>
      </w:r>
      <w:r w:rsidR="003413FD" w:rsidRPr="00DD4551">
        <w:t xml:space="preserve"> that</w:t>
      </w:r>
      <w:r w:rsidR="00CF3A7E">
        <w:rPr>
          <w:lang w:val="en-US"/>
        </w:rPr>
        <w:t>, according to</w:t>
      </w:r>
      <w:r w:rsidR="003413FD" w:rsidRPr="00DD4551">
        <w:t xml:space="preserve"> the Committee’s jurisprudence</w:t>
      </w:r>
      <w:r w:rsidR="00CF3A7E">
        <w:rPr>
          <w:lang w:val="en-US"/>
        </w:rPr>
        <w:t>,</w:t>
      </w:r>
      <w:r w:rsidR="003413FD" w:rsidRPr="00DD4551">
        <w:t xml:space="preserve"> judicial review of a negative </w:t>
      </w:r>
      <w:r w:rsidR="00CF3A7E">
        <w:rPr>
          <w:lang w:val="en-US"/>
        </w:rPr>
        <w:t>finding in a pre-removal risk assessment</w:t>
      </w:r>
      <w:r w:rsidR="003413FD" w:rsidRPr="00DD4551">
        <w:t xml:space="preserve"> and application for residence on </w:t>
      </w:r>
      <w:r w:rsidR="00CF3A7E">
        <w:rPr>
          <w:lang w:val="en-US"/>
        </w:rPr>
        <w:t>humanitarian and compassionate</w:t>
      </w:r>
      <w:r w:rsidR="003413FD" w:rsidRPr="00DD4551">
        <w:t xml:space="preserve"> grounds d</w:t>
      </w:r>
      <w:r w:rsidR="00CF3A7E">
        <w:rPr>
          <w:lang w:val="en-US"/>
        </w:rPr>
        <w:t>id</w:t>
      </w:r>
      <w:r w:rsidR="003413FD" w:rsidRPr="00DD4551">
        <w:t xml:space="preserve"> not constitute effective remedies.</w:t>
      </w:r>
    </w:p>
    <w:p w:rsidR="004876DE" w:rsidRPr="00DD4551" w:rsidRDefault="00004C4A" w:rsidP="00004C4A">
      <w:pPr>
        <w:pStyle w:val="H23G"/>
      </w:pPr>
      <w:r>
        <w:tab/>
      </w:r>
      <w:r>
        <w:tab/>
      </w:r>
      <w:r w:rsidR="004876DE" w:rsidRPr="00DD4551">
        <w:t>Issues and proceedings before the Committee</w:t>
      </w:r>
    </w:p>
    <w:p w:rsidR="004876DE" w:rsidRPr="00304A52" w:rsidRDefault="00B04E30" w:rsidP="00304A52">
      <w:pPr>
        <w:pStyle w:val="H4G"/>
      </w:pPr>
      <w:r>
        <w:tab/>
      </w:r>
      <w:r>
        <w:tab/>
      </w:r>
      <w:r w:rsidR="004876DE" w:rsidRPr="00DD4551">
        <w:t>Consideration of admissibility</w:t>
      </w:r>
    </w:p>
    <w:p w:rsidR="00286B36" w:rsidRPr="00DD4551" w:rsidRDefault="00286B36">
      <w:pPr>
        <w:pStyle w:val="SingleTxtG"/>
      </w:pPr>
      <w:r w:rsidRPr="00DD4551">
        <w:rPr>
          <w:lang w:val="en-GB"/>
        </w:rPr>
        <w:t>8.1</w:t>
      </w:r>
      <w:r w:rsidRPr="00DD4551">
        <w:rPr>
          <w:lang w:val="en-GB"/>
        </w:rPr>
        <w:tab/>
        <w:t xml:space="preserve">Before considering any complaint submitted in a communication, the Committee must decide whether it is admissible under article 22 of the Convention. The Committee has ascertained, as it is required to do under article 22 (5) (a) of the Convention, that the same matter has not been and is not being examined under another procedure of international investigation or settlement. </w:t>
      </w:r>
    </w:p>
    <w:p w:rsidR="00286B36" w:rsidRPr="00DD4551" w:rsidRDefault="00286B36">
      <w:pPr>
        <w:pStyle w:val="SingleTxtG"/>
        <w:rPr>
          <w:rFonts w:eastAsia="SimSun"/>
        </w:rPr>
      </w:pPr>
      <w:r w:rsidRPr="00DD4551">
        <w:rPr>
          <w:bCs/>
          <w:lang w:val="en-GB"/>
        </w:rPr>
        <w:t>8.2</w:t>
      </w:r>
      <w:r w:rsidRPr="00DD4551">
        <w:rPr>
          <w:bCs/>
          <w:lang w:val="en-GB"/>
        </w:rPr>
        <w:tab/>
      </w:r>
      <w:r w:rsidRPr="00DD4551">
        <w:rPr>
          <w:rFonts w:eastAsia="SimSun"/>
          <w:lang w:val="en-GB" w:eastAsia="zh-CN"/>
        </w:rPr>
        <w:t xml:space="preserve">In accordance with article 22 (5) (b) of the Convention, the Committee </w:t>
      </w:r>
      <w:r w:rsidR="0021746C">
        <w:rPr>
          <w:rFonts w:eastAsia="SimSun"/>
          <w:lang w:val="en-GB" w:eastAsia="zh-CN"/>
        </w:rPr>
        <w:t>shall</w:t>
      </w:r>
      <w:r w:rsidRPr="00DD4551">
        <w:rPr>
          <w:rFonts w:eastAsia="SimSun"/>
          <w:lang w:val="en-GB" w:eastAsia="zh-CN"/>
        </w:rPr>
        <w:t xml:space="preserve"> not consider any </w:t>
      </w:r>
      <w:r w:rsidR="0021746C">
        <w:rPr>
          <w:rFonts w:eastAsia="SimSun"/>
          <w:lang w:val="en-GB" w:eastAsia="zh-CN"/>
        </w:rPr>
        <w:t>communication</w:t>
      </w:r>
      <w:r w:rsidRPr="00DD4551">
        <w:rPr>
          <w:rFonts w:eastAsia="SimSun"/>
          <w:lang w:val="en-GB" w:eastAsia="zh-CN"/>
        </w:rPr>
        <w:t xml:space="preserve">, unless it has ascertained that the complainant has exhausted all available domestic remedies. This rule does not apply where it </w:t>
      </w:r>
      <w:r w:rsidR="0051580A">
        <w:rPr>
          <w:rFonts w:eastAsia="SimSun"/>
          <w:lang w:val="en-GB" w:eastAsia="zh-CN"/>
        </w:rPr>
        <w:t>is</w:t>
      </w:r>
      <w:r w:rsidRPr="00DD4551">
        <w:rPr>
          <w:rFonts w:eastAsia="SimSun"/>
          <w:lang w:val="en-GB" w:eastAsia="zh-CN"/>
        </w:rPr>
        <w:t xml:space="preserve"> established that the application of those remedies has been </w:t>
      </w:r>
      <w:r w:rsidR="0051580A">
        <w:rPr>
          <w:rFonts w:eastAsia="SimSun"/>
          <w:lang w:val="en-GB" w:eastAsia="zh-CN"/>
        </w:rPr>
        <w:t xml:space="preserve">or would be </w:t>
      </w:r>
      <w:r w:rsidRPr="00DD4551">
        <w:rPr>
          <w:rFonts w:eastAsia="SimSun"/>
          <w:lang w:val="en-GB" w:eastAsia="zh-CN"/>
        </w:rPr>
        <w:t xml:space="preserve">unreasonably prolonged or </w:t>
      </w:r>
      <w:r w:rsidR="0051580A">
        <w:rPr>
          <w:rFonts w:eastAsia="SimSun"/>
          <w:lang w:val="en-GB" w:eastAsia="zh-CN"/>
        </w:rPr>
        <w:t xml:space="preserve">would be </w:t>
      </w:r>
      <w:r w:rsidRPr="00DD4551">
        <w:rPr>
          <w:rFonts w:eastAsia="SimSun"/>
          <w:lang w:val="en-GB" w:eastAsia="zh-CN"/>
        </w:rPr>
        <w:t xml:space="preserve">unlikely, after a fair trial, to bring effective relief. </w:t>
      </w:r>
    </w:p>
    <w:p w:rsidR="00286B36" w:rsidRPr="00DD4551" w:rsidRDefault="00286B36" w:rsidP="00A362AF">
      <w:pPr>
        <w:pStyle w:val="SingleTxtG"/>
        <w:rPr>
          <w:rFonts w:eastAsia="SimSun"/>
          <w:lang w:eastAsia="zh-CN"/>
        </w:rPr>
      </w:pPr>
      <w:r w:rsidRPr="00DD4551">
        <w:rPr>
          <w:rFonts w:eastAsia="SimSun"/>
          <w:lang w:eastAsia="zh-CN"/>
        </w:rPr>
        <w:lastRenderedPageBreak/>
        <w:t>8.3</w:t>
      </w:r>
      <w:r w:rsidRPr="00DD4551">
        <w:rPr>
          <w:rFonts w:eastAsia="SimSun"/>
          <w:lang w:eastAsia="zh-CN"/>
        </w:rPr>
        <w:tab/>
        <w:t>The Committee note</w:t>
      </w:r>
      <w:r w:rsidR="0021746C">
        <w:rPr>
          <w:rFonts w:eastAsia="SimSun"/>
          <w:lang w:val="en-US" w:eastAsia="zh-CN"/>
        </w:rPr>
        <w:t>s</w:t>
      </w:r>
      <w:r w:rsidRPr="00DD4551">
        <w:rPr>
          <w:rFonts w:eastAsia="SimSun"/>
          <w:lang w:eastAsia="zh-CN"/>
        </w:rPr>
        <w:t xml:space="preserve"> the State party’s argument</w:t>
      </w:r>
      <w:r w:rsidR="0021746C">
        <w:rPr>
          <w:rFonts w:eastAsia="SimSun"/>
          <w:lang w:val="en-US" w:eastAsia="zh-CN"/>
        </w:rPr>
        <w:t xml:space="preserve"> that</w:t>
      </w:r>
      <w:r w:rsidRPr="00DD4551">
        <w:rPr>
          <w:rFonts w:eastAsia="SimSun"/>
          <w:lang w:eastAsia="zh-CN"/>
        </w:rPr>
        <w:t xml:space="preserve">, inter alia, the complaint should be declared inadmissible under article 22 (5) (b), of the Convention, as the complainant </w:t>
      </w:r>
      <w:r w:rsidRPr="00DD4551">
        <w:t xml:space="preserve">failed to </w:t>
      </w:r>
      <w:r w:rsidR="00ED18E7" w:rsidRPr="00DD4551">
        <w:t>apply</w:t>
      </w:r>
      <w:r w:rsidRPr="00DD4551">
        <w:t xml:space="preserve"> for leave to </w:t>
      </w:r>
      <w:r w:rsidR="0021746C">
        <w:rPr>
          <w:lang w:val="en-US"/>
        </w:rPr>
        <w:t>seek</w:t>
      </w:r>
      <w:r w:rsidRPr="00DD4551">
        <w:t xml:space="preserve"> judicial review of the </w:t>
      </w:r>
      <w:r w:rsidR="005C2654" w:rsidRPr="00DD4551">
        <w:t xml:space="preserve">15 January </w:t>
      </w:r>
      <w:r w:rsidRPr="00DD4551">
        <w:t>201</w:t>
      </w:r>
      <w:r w:rsidR="005C2654" w:rsidRPr="00DD4551">
        <w:t>0</w:t>
      </w:r>
      <w:r w:rsidRPr="00DD4551">
        <w:t xml:space="preserve"> decision of the Refugee Protection Division. </w:t>
      </w:r>
      <w:r w:rsidR="00D75AAB" w:rsidRPr="00DD4551">
        <w:t xml:space="preserve">The Committee notes the complainant’s submission that she </w:t>
      </w:r>
      <w:r w:rsidR="00D75AAB" w:rsidRPr="00DD4551">
        <w:rPr>
          <w:bCs/>
        </w:rPr>
        <w:t>could not afford a lawyer to appeal the decision.</w:t>
      </w:r>
      <w:r w:rsidR="00D75AAB" w:rsidRPr="00DD4551">
        <w:rPr>
          <w:rFonts w:ascii="Tms Rmn" w:eastAsia="SimSun" w:hAnsi="Tms Rmn" w:cs="Tms Rmn"/>
          <w:color w:val="000000"/>
          <w:lang w:eastAsia="zh-CN"/>
        </w:rPr>
        <w:t xml:space="preserve"> In this regard, the Committee </w:t>
      </w:r>
      <w:r w:rsidR="0024082E" w:rsidRPr="00DD4551">
        <w:rPr>
          <w:rFonts w:ascii="Tms Rmn" w:eastAsia="SimSun" w:hAnsi="Tms Rmn" w:cs="Tms Rmn"/>
          <w:color w:val="000000"/>
          <w:lang w:eastAsia="zh-CN"/>
        </w:rPr>
        <w:t>observes</w:t>
      </w:r>
      <w:r w:rsidR="00D75AAB" w:rsidRPr="00DD4551">
        <w:rPr>
          <w:rFonts w:ascii="Tms Rmn" w:eastAsia="SimSun" w:hAnsi="Tms Rmn" w:cs="Tms Rmn"/>
          <w:color w:val="000000"/>
          <w:lang w:eastAsia="zh-CN"/>
        </w:rPr>
        <w:t xml:space="preserve"> that the complainant </w:t>
      </w:r>
      <w:r w:rsidR="0021746C">
        <w:rPr>
          <w:rFonts w:ascii="Tms Rmn" w:eastAsia="SimSun" w:hAnsi="Tms Rmn" w:cs="Tms Rmn"/>
          <w:color w:val="000000"/>
          <w:lang w:val="en-US" w:eastAsia="zh-CN"/>
        </w:rPr>
        <w:t>did</w:t>
      </w:r>
      <w:r w:rsidR="00D75AAB" w:rsidRPr="00DD4551">
        <w:rPr>
          <w:rFonts w:ascii="Tms Rmn" w:eastAsia="SimSun" w:hAnsi="Tms Rmn" w:cs="Tms Rmn"/>
          <w:color w:val="000000"/>
          <w:lang w:eastAsia="zh-CN"/>
        </w:rPr>
        <w:t xml:space="preserve"> not provided any information </w:t>
      </w:r>
      <w:r w:rsidR="0021746C">
        <w:rPr>
          <w:rFonts w:ascii="Tms Rmn" w:eastAsia="SimSun" w:hAnsi="Tms Rmn" w:cs="Tms Rmn"/>
          <w:color w:val="000000"/>
          <w:lang w:val="en-US" w:eastAsia="zh-CN"/>
        </w:rPr>
        <w:t>about</w:t>
      </w:r>
      <w:r w:rsidR="00D75AAB" w:rsidRPr="00DD4551">
        <w:rPr>
          <w:rFonts w:ascii="Tms Rmn" w:eastAsia="SimSun" w:hAnsi="Tms Rmn" w:cs="Tms Rmn"/>
          <w:color w:val="000000"/>
          <w:lang w:eastAsia="zh-CN"/>
        </w:rPr>
        <w:t xml:space="preserve"> the cost of legal representation or court fees nor </w:t>
      </w:r>
      <w:r w:rsidR="0021746C">
        <w:rPr>
          <w:rFonts w:ascii="Tms Rmn" w:eastAsia="SimSun" w:hAnsi="Tms Rmn" w:cs="Tms Rmn"/>
          <w:color w:val="000000"/>
          <w:lang w:val="en-US" w:eastAsia="zh-CN"/>
        </w:rPr>
        <w:t>about</w:t>
      </w:r>
      <w:r w:rsidR="00D75AAB" w:rsidRPr="00DD4551">
        <w:rPr>
          <w:rFonts w:ascii="Tms Rmn" w:eastAsia="SimSun" w:hAnsi="Tms Rmn" w:cs="Tms Rmn"/>
          <w:color w:val="000000"/>
          <w:lang w:eastAsia="zh-CN"/>
        </w:rPr>
        <w:t xml:space="preserve"> the </w:t>
      </w:r>
      <w:r w:rsidR="0024082E" w:rsidRPr="00DD4551">
        <w:rPr>
          <w:rFonts w:ascii="Tms Rmn" w:eastAsia="SimSun" w:hAnsi="Tms Rmn" w:cs="Tms Rmn"/>
          <w:color w:val="000000"/>
          <w:lang w:eastAsia="zh-CN"/>
        </w:rPr>
        <w:t xml:space="preserve">possibilities or any efforts on her </w:t>
      </w:r>
      <w:r w:rsidR="00D75AAB" w:rsidRPr="00DD4551">
        <w:rPr>
          <w:rFonts w:ascii="Tms Rmn" w:eastAsia="SimSun" w:hAnsi="Tms Rmn" w:cs="Tms Rmn"/>
          <w:color w:val="000000"/>
          <w:lang w:eastAsia="zh-CN"/>
        </w:rPr>
        <w:t>part to obtain legal aid for the purpose of initiating proceedings before the Federal Court.</w:t>
      </w:r>
      <w:r w:rsidR="00004C4A">
        <w:rPr>
          <w:rStyle w:val="FootnoteReference"/>
          <w:rFonts w:eastAsia="SimSun" w:cs="Tms Rmn"/>
          <w:color w:val="000000"/>
          <w:lang w:eastAsia="zh-CN"/>
        </w:rPr>
        <w:footnoteReference w:id="25"/>
      </w:r>
      <w:r w:rsidR="00D75AAB" w:rsidRPr="00DD4551">
        <w:rPr>
          <w:rFonts w:ascii="Tms Rmn" w:eastAsia="SimSun" w:hAnsi="Tms Rmn" w:cs="Tms Rmn"/>
          <w:color w:val="000000"/>
          <w:lang w:eastAsia="zh-CN"/>
        </w:rPr>
        <w:t xml:space="preserve"> </w:t>
      </w:r>
      <w:r w:rsidR="0024082E" w:rsidRPr="00DD4551">
        <w:rPr>
          <w:rFonts w:ascii="Tms Rmn" w:eastAsia="SimSun" w:hAnsi="Tms Rmn" w:cs="Tms Rmn"/>
          <w:color w:val="000000"/>
          <w:lang w:eastAsia="zh-CN"/>
        </w:rPr>
        <w:t xml:space="preserve">The Committee also observes that she </w:t>
      </w:r>
      <w:r w:rsidR="0024082E" w:rsidRPr="00DD4551">
        <w:rPr>
          <w:lang w:val="en-CA"/>
        </w:rPr>
        <w:t>was represented by legal counsel for her R</w:t>
      </w:r>
      <w:r w:rsidR="0021746C">
        <w:rPr>
          <w:lang w:val="en-CA"/>
        </w:rPr>
        <w:t xml:space="preserve">efugee </w:t>
      </w:r>
      <w:r w:rsidR="0024082E" w:rsidRPr="00DD4551">
        <w:rPr>
          <w:lang w:val="en-CA"/>
        </w:rPr>
        <w:t>P</w:t>
      </w:r>
      <w:r w:rsidR="0021746C">
        <w:rPr>
          <w:lang w:val="en-CA"/>
        </w:rPr>
        <w:t xml:space="preserve">rotection </w:t>
      </w:r>
      <w:r w:rsidR="0024082E" w:rsidRPr="00DD4551">
        <w:rPr>
          <w:lang w:val="en-CA"/>
        </w:rPr>
        <w:t>D</w:t>
      </w:r>
      <w:r w:rsidR="0021746C">
        <w:rPr>
          <w:lang w:val="en-CA"/>
        </w:rPr>
        <w:t>ivision</w:t>
      </w:r>
      <w:r w:rsidR="0024082E" w:rsidRPr="00DD4551">
        <w:rPr>
          <w:lang w:val="en-CA"/>
        </w:rPr>
        <w:t xml:space="preserve"> hearing, her </w:t>
      </w:r>
      <w:r w:rsidR="0021746C">
        <w:rPr>
          <w:lang w:val="en-CA"/>
        </w:rPr>
        <w:t xml:space="preserve">pre-removal risk assessment </w:t>
      </w:r>
      <w:r w:rsidR="0024082E" w:rsidRPr="00DD4551">
        <w:rPr>
          <w:lang w:val="en-CA"/>
        </w:rPr>
        <w:t xml:space="preserve">application and her application to the Federal Court for leave to seek judicial review of the </w:t>
      </w:r>
      <w:r w:rsidR="0021746C">
        <w:rPr>
          <w:lang w:val="en-CA"/>
        </w:rPr>
        <w:t>negative pre-removal risk assessment</w:t>
      </w:r>
      <w:r w:rsidR="0024082E" w:rsidRPr="00DD4551">
        <w:rPr>
          <w:lang w:val="en-CA"/>
        </w:rPr>
        <w:t xml:space="preserve"> decision. </w:t>
      </w:r>
      <w:r w:rsidR="00DD4551" w:rsidRPr="00DD4551">
        <w:t xml:space="preserve">The Committee further notes that the complainant </w:t>
      </w:r>
      <w:r w:rsidR="00DD4551" w:rsidRPr="00DD4551">
        <w:rPr>
          <w:rFonts w:eastAsia="SimSun"/>
          <w:lang w:eastAsia="zh-CN"/>
        </w:rPr>
        <w:t>d</w:t>
      </w:r>
      <w:r w:rsidR="0021746C">
        <w:rPr>
          <w:rFonts w:eastAsia="SimSun"/>
          <w:lang w:val="en-US" w:eastAsia="zh-CN"/>
        </w:rPr>
        <w:t>id</w:t>
      </w:r>
      <w:r w:rsidR="00DD4551" w:rsidRPr="00DD4551">
        <w:rPr>
          <w:rFonts w:eastAsia="SimSun"/>
          <w:lang w:eastAsia="zh-CN"/>
        </w:rPr>
        <w:t xml:space="preserve"> challenge the effectiveness of the remedy of judicial review of the decision, by stating that 80 to 85 </w:t>
      </w:r>
      <w:r w:rsidR="0021746C">
        <w:rPr>
          <w:rFonts w:eastAsia="SimSun"/>
          <w:lang w:val="en-US" w:eastAsia="zh-CN"/>
        </w:rPr>
        <w:t xml:space="preserve">per cent </w:t>
      </w:r>
      <w:r w:rsidR="00DD4551" w:rsidRPr="00DD4551">
        <w:rPr>
          <w:rFonts w:eastAsia="SimSun"/>
          <w:lang w:eastAsia="zh-CN"/>
        </w:rPr>
        <w:t xml:space="preserve">of such applications </w:t>
      </w:r>
      <w:r w:rsidR="0021746C">
        <w:rPr>
          <w:rFonts w:eastAsia="SimSun"/>
          <w:lang w:val="en-US" w:eastAsia="zh-CN"/>
        </w:rPr>
        <w:t>we</w:t>
      </w:r>
      <w:r w:rsidR="00DD4551" w:rsidRPr="00DD4551">
        <w:rPr>
          <w:rFonts w:eastAsia="SimSun"/>
          <w:lang w:eastAsia="zh-CN"/>
        </w:rPr>
        <w:t>re rejected, but i</w:t>
      </w:r>
      <w:r w:rsidR="00DD4551" w:rsidRPr="00DD4551">
        <w:rPr>
          <w:color w:val="000000"/>
        </w:rPr>
        <w:t xml:space="preserve">t notes that the complainant </w:t>
      </w:r>
      <w:r w:rsidR="0021746C">
        <w:rPr>
          <w:color w:val="000000"/>
          <w:lang w:val="en-US"/>
        </w:rPr>
        <w:t>did</w:t>
      </w:r>
      <w:r w:rsidR="00DD4551" w:rsidRPr="00DD4551">
        <w:rPr>
          <w:color w:val="000000"/>
        </w:rPr>
        <w:t xml:space="preserve"> not address the State party’s arguments about the effectiveness or availability of the above </w:t>
      </w:r>
      <w:r w:rsidR="0021746C">
        <w:rPr>
          <w:color w:val="000000"/>
          <w:lang w:val="en-US"/>
        </w:rPr>
        <w:t>remedy</w:t>
      </w:r>
      <w:r w:rsidR="00DD4551" w:rsidRPr="00DD4551">
        <w:rPr>
          <w:color w:val="000000"/>
        </w:rPr>
        <w:t xml:space="preserve"> </w:t>
      </w:r>
      <w:r w:rsidR="0021746C">
        <w:rPr>
          <w:color w:val="000000"/>
          <w:lang w:val="en-US"/>
        </w:rPr>
        <w:t xml:space="preserve">nor did </w:t>
      </w:r>
      <w:r w:rsidR="00DD4551" w:rsidRPr="00DD4551">
        <w:rPr>
          <w:color w:val="000000"/>
        </w:rPr>
        <w:t>she furnis</w:t>
      </w:r>
      <w:r w:rsidR="00DD4551" w:rsidRPr="007A594F">
        <w:rPr>
          <w:color w:val="000000"/>
        </w:rPr>
        <w:t>h</w:t>
      </w:r>
      <w:r w:rsidR="00DD4551" w:rsidRPr="00DD4551">
        <w:rPr>
          <w:color w:val="000000"/>
        </w:rPr>
        <w:t xml:space="preserve"> </w:t>
      </w:r>
      <w:r w:rsidR="0021746C">
        <w:rPr>
          <w:color w:val="000000"/>
          <w:lang w:val="en-US"/>
        </w:rPr>
        <w:t>any</w:t>
      </w:r>
      <w:r w:rsidR="00DD4551" w:rsidRPr="00DD4551">
        <w:rPr>
          <w:color w:val="000000"/>
        </w:rPr>
        <w:t xml:space="preserve"> evidence that it would be unreasonably prolonged or unlikely to bring effective relief in her particular case. In </w:t>
      </w:r>
      <w:r w:rsidR="0021746C">
        <w:rPr>
          <w:color w:val="000000"/>
          <w:lang w:val="en-US"/>
        </w:rPr>
        <w:t xml:space="preserve">the </w:t>
      </w:r>
      <w:r w:rsidR="00DD4551" w:rsidRPr="00DD4551">
        <w:rPr>
          <w:color w:val="000000"/>
        </w:rPr>
        <w:t>light of this information, the Committee is satisfied with the arguments of the State party that, in this particular case, there was a</w:t>
      </w:r>
      <w:r w:rsidR="0021746C">
        <w:rPr>
          <w:color w:val="000000"/>
          <w:lang w:val="en-US"/>
        </w:rPr>
        <w:t>n</w:t>
      </w:r>
      <w:r w:rsidR="00DD4551" w:rsidRPr="00DD4551">
        <w:rPr>
          <w:color w:val="000000"/>
        </w:rPr>
        <w:t xml:space="preserve"> available and effective</w:t>
      </w:r>
      <w:r w:rsidR="0021746C">
        <w:rPr>
          <w:color w:val="000000"/>
          <w:lang w:val="en-US"/>
        </w:rPr>
        <w:t xml:space="preserve"> remedy that</w:t>
      </w:r>
      <w:r w:rsidR="00DD4551" w:rsidRPr="00DD4551">
        <w:rPr>
          <w:color w:val="000000"/>
        </w:rPr>
        <w:t xml:space="preserve"> the complainant has not exhausted.</w:t>
      </w:r>
      <w:r w:rsidRPr="00DD4551">
        <w:rPr>
          <w:rFonts w:eastAsia="SimSun"/>
          <w:lang w:eastAsia="zh-CN"/>
        </w:rPr>
        <w:t xml:space="preserve"> In the present case, the Committee consider</w:t>
      </w:r>
      <w:r w:rsidR="005E1853">
        <w:rPr>
          <w:rFonts w:eastAsia="SimSun"/>
          <w:lang w:eastAsia="zh-CN"/>
        </w:rPr>
        <w:t>s</w:t>
      </w:r>
      <w:r w:rsidRPr="00DD4551">
        <w:rPr>
          <w:rFonts w:eastAsia="SimSun"/>
          <w:lang w:eastAsia="zh-CN"/>
        </w:rPr>
        <w:t xml:space="preserve"> that </w:t>
      </w:r>
      <w:r w:rsidR="0021746C">
        <w:rPr>
          <w:rFonts w:eastAsia="SimSun"/>
          <w:lang w:val="en-US" w:eastAsia="zh-CN"/>
        </w:rPr>
        <w:t xml:space="preserve">an </w:t>
      </w:r>
      <w:r w:rsidRPr="00DD4551">
        <w:rPr>
          <w:rFonts w:eastAsia="SimSun"/>
          <w:lang w:eastAsia="zh-CN"/>
        </w:rPr>
        <w:t>application for leave to apply for a judicial review of the decision would have been an effective remedy in the complainant’s case.</w:t>
      </w:r>
      <w:r w:rsidR="004B50A7">
        <w:rPr>
          <w:rStyle w:val="FootnoteReference"/>
          <w:rFonts w:eastAsia="SimSun"/>
          <w:lang w:eastAsia="zh-CN"/>
        </w:rPr>
        <w:footnoteReference w:id="26"/>
      </w:r>
    </w:p>
    <w:p w:rsidR="00286B36" w:rsidRPr="00DD4551" w:rsidRDefault="00286B36" w:rsidP="004B50A7">
      <w:pPr>
        <w:pStyle w:val="SingleTxtG"/>
        <w:rPr>
          <w:rFonts w:eastAsia="SimSun"/>
        </w:rPr>
      </w:pPr>
      <w:r w:rsidRPr="00DD4551">
        <w:rPr>
          <w:rFonts w:eastAsia="SimSun"/>
          <w:lang w:val="en-GB" w:eastAsia="zh-CN"/>
        </w:rPr>
        <w:t>8.4</w:t>
      </w:r>
      <w:r w:rsidRPr="00DD4551">
        <w:rPr>
          <w:rFonts w:eastAsia="SimSun"/>
          <w:lang w:val="en-GB" w:eastAsia="zh-CN"/>
        </w:rPr>
        <w:tab/>
        <w:t>The Committee is therefore of the view that</w:t>
      </w:r>
      <w:r w:rsidR="00155C58">
        <w:rPr>
          <w:rFonts w:eastAsia="SimSun"/>
          <w:lang w:val="en-GB" w:eastAsia="zh-CN"/>
        </w:rPr>
        <w:t>, in this case,</w:t>
      </w:r>
      <w:r w:rsidRPr="00DD4551">
        <w:rPr>
          <w:rFonts w:eastAsia="SimSun"/>
          <w:lang w:val="en-GB" w:eastAsia="zh-CN"/>
        </w:rPr>
        <w:t xml:space="preserve"> </w:t>
      </w:r>
      <w:r w:rsidR="00155C58">
        <w:rPr>
          <w:rFonts w:eastAsia="SimSun"/>
          <w:lang w:val="en-GB" w:eastAsia="zh-CN"/>
        </w:rPr>
        <w:t xml:space="preserve">all </w:t>
      </w:r>
      <w:r w:rsidRPr="00DD4551">
        <w:rPr>
          <w:rFonts w:eastAsia="SimSun"/>
          <w:lang w:val="en-GB" w:eastAsia="zh-CN"/>
        </w:rPr>
        <w:t>domestic remedies have not been exhausted in accordance with article 22 (5) (b) of the Convention.</w:t>
      </w:r>
    </w:p>
    <w:p w:rsidR="00286B36" w:rsidRPr="00DD4551" w:rsidRDefault="00286B36" w:rsidP="00286B36">
      <w:pPr>
        <w:pStyle w:val="SingleTxtG"/>
        <w:rPr>
          <w:rFonts w:eastAsia="SimSun"/>
        </w:rPr>
      </w:pPr>
      <w:r w:rsidRPr="00DD4551">
        <w:rPr>
          <w:rFonts w:eastAsia="SimSun"/>
          <w:lang w:val="en-GB" w:eastAsia="zh-CN"/>
        </w:rPr>
        <w:t>9.</w:t>
      </w:r>
      <w:r w:rsidRPr="00DD4551">
        <w:rPr>
          <w:rFonts w:eastAsia="SimSun"/>
          <w:lang w:val="en-GB" w:eastAsia="zh-CN"/>
        </w:rPr>
        <w:tab/>
        <w:t>Accordingly, the Committee decides:</w:t>
      </w:r>
    </w:p>
    <w:p w:rsidR="00286B36" w:rsidRPr="00DD4551" w:rsidRDefault="00286B36" w:rsidP="00286B36">
      <w:pPr>
        <w:pStyle w:val="SingleTxtG"/>
        <w:rPr>
          <w:rFonts w:eastAsia="SimSun"/>
        </w:rPr>
      </w:pPr>
      <w:r w:rsidRPr="00DD4551">
        <w:rPr>
          <w:rFonts w:eastAsia="SimSun"/>
          <w:lang w:val="en-GB" w:eastAsia="zh-CN"/>
        </w:rPr>
        <w:tab/>
        <w:t>(a)</w:t>
      </w:r>
      <w:r w:rsidRPr="00DD4551">
        <w:rPr>
          <w:rFonts w:eastAsia="SimSun"/>
          <w:lang w:val="en-GB" w:eastAsia="zh-CN"/>
        </w:rPr>
        <w:tab/>
        <w:t>That the communication is inadmissible</w:t>
      </w:r>
      <w:r w:rsidR="005E1853">
        <w:rPr>
          <w:rFonts w:eastAsia="SimSun"/>
          <w:lang w:val="en-GB" w:eastAsia="zh-CN"/>
        </w:rPr>
        <w:t xml:space="preserve"> under article </w:t>
      </w:r>
      <w:r w:rsidR="005E1853" w:rsidRPr="00DD4551">
        <w:rPr>
          <w:rFonts w:eastAsia="SimSun"/>
          <w:lang w:val="en-GB" w:eastAsia="zh-CN"/>
        </w:rPr>
        <w:t>22 (5) (b)</w:t>
      </w:r>
      <w:r w:rsidR="005E1853">
        <w:rPr>
          <w:rFonts w:eastAsia="SimSun"/>
          <w:lang w:val="en-GB" w:eastAsia="zh-CN"/>
        </w:rPr>
        <w:t xml:space="preserve"> of the Convention</w:t>
      </w:r>
      <w:r w:rsidRPr="00DD4551">
        <w:rPr>
          <w:rFonts w:eastAsia="SimSun"/>
          <w:lang w:val="en-GB" w:eastAsia="zh-CN"/>
        </w:rPr>
        <w:t>;</w:t>
      </w:r>
    </w:p>
    <w:p w:rsidR="00286B36" w:rsidRPr="005662FF" w:rsidRDefault="00286B36">
      <w:pPr>
        <w:pStyle w:val="SingleTxtG"/>
      </w:pPr>
      <w:r w:rsidRPr="00DD4551">
        <w:rPr>
          <w:rFonts w:eastAsia="SimSun"/>
          <w:lang w:val="en-GB" w:eastAsia="zh-CN"/>
        </w:rPr>
        <w:tab/>
        <w:t>(b)</w:t>
      </w:r>
      <w:r w:rsidRPr="00DD4551">
        <w:rPr>
          <w:rFonts w:eastAsia="SimSun"/>
          <w:lang w:val="en-GB" w:eastAsia="zh-CN"/>
        </w:rPr>
        <w:tab/>
        <w:t>That th</w:t>
      </w:r>
      <w:r w:rsidR="00155C58">
        <w:rPr>
          <w:rFonts w:eastAsia="SimSun"/>
          <w:lang w:val="en-GB" w:eastAsia="zh-CN"/>
        </w:rPr>
        <w:t>e present</w:t>
      </w:r>
      <w:r w:rsidRPr="00DD4551">
        <w:rPr>
          <w:rFonts w:eastAsia="SimSun"/>
          <w:lang w:val="en-GB" w:eastAsia="zh-CN"/>
        </w:rPr>
        <w:t xml:space="preserve"> decision shall be communicated to the </w:t>
      </w:r>
      <w:r w:rsidR="00155C58">
        <w:rPr>
          <w:rFonts w:eastAsia="SimSun"/>
          <w:lang w:val="en-GB" w:eastAsia="zh-CN"/>
        </w:rPr>
        <w:t xml:space="preserve">complainant and to the </w:t>
      </w:r>
      <w:r w:rsidRPr="00DD4551">
        <w:rPr>
          <w:rFonts w:eastAsia="SimSun"/>
          <w:lang w:val="en-GB" w:eastAsia="zh-CN"/>
        </w:rPr>
        <w:t>State party.</w:t>
      </w:r>
    </w:p>
    <w:p w:rsidR="00286B36" w:rsidRPr="005662FF" w:rsidRDefault="00286B36" w:rsidP="00286B36">
      <w:pPr>
        <w:pStyle w:val="SingleTxtG"/>
        <w:spacing w:before="240" w:after="0"/>
        <w:jc w:val="center"/>
        <w:rPr>
          <w:u w:val="single"/>
          <w:lang w:val="en-GB"/>
        </w:rPr>
      </w:pPr>
      <w:r w:rsidRPr="005662FF">
        <w:rPr>
          <w:u w:val="single"/>
          <w:lang w:val="en-GB"/>
        </w:rPr>
        <w:tab/>
      </w:r>
      <w:r w:rsidRPr="005662FF">
        <w:rPr>
          <w:u w:val="single"/>
          <w:lang w:val="en-GB"/>
        </w:rPr>
        <w:tab/>
      </w:r>
      <w:r w:rsidRPr="005662FF">
        <w:rPr>
          <w:u w:val="single"/>
          <w:lang w:val="en-GB"/>
        </w:rPr>
        <w:tab/>
      </w:r>
    </w:p>
    <w:sectPr w:rsidR="00286B36" w:rsidRPr="005662FF" w:rsidSect="00530EA7">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E08" w:rsidRDefault="00326E08"/>
  </w:endnote>
  <w:endnote w:type="continuationSeparator" w:id="0">
    <w:p w:rsidR="00326E08" w:rsidRDefault="00326E08"/>
  </w:endnote>
  <w:endnote w:type="continuationNotice" w:id="1">
    <w:p w:rsidR="00326E08" w:rsidRDefault="00326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39T30Lfz">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E5A" w:rsidRPr="00116B35" w:rsidRDefault="00721E5A" w:rsidP="004876DE">
    <w:pPr>
      <w:pStyle w:val="Footer"/>
      <w:tabs>
        <w:tab w:val="right" w:pos="9638"/>
      </w:tabs>
    </w:pPr>
    <w:r w:rsidRPr="00116B35">
      <w:rPr>
        <w:b/>
        <w:sz w:val="18"/>
      </w:rPr>
      <w:fldChar w:fldCharType="begin"/>
    </w:r>
    <w:r w:rsidRPr="00116B35">
      <w:rPr>
        <w:b/>
        <w:sz w:val="18"/>
      </w:rPr>
      <w:instrText xml:space="preserve"> </w:instrText>
    </w:r>
    <w:r>
      <w:rPr>
        <w:b/>
        <w:sz w:val="18"/>
      </w:rPr>
      <w:instrText>PAGE</w:instrText>
    </w:r>
    <w:r w:rsidRPr="00116B35">
      <w:rPr>
        <w:b/>
        <w:sz w:val="18"/>
      </w:rPr>
      <w:instrText xml:space="preserve">  \* MERGEFORMAT </w:instrText>
    </w:r>
    <w:r w:rsidRPr="00116B35">
      <w:rPr>
        <w:b/>
        <w:sz w:val="18"/>
      </w:rPr>
      <w:fldChar w:fldCharType="separate"/>
    </w:r>
    <w:r w:rsidR="00A12A9B">
      <w:rPr>
        <w:b/>
        <w:noProof/>
        <w:sz w:val="18"/>
      </w:rPr>
      <w:t>2</w:t>
    </w:r>
    <w:r w:rsidRPr="00116B3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E5A" w:rsidRPr="00116B35" w:rsidRDefault="00721E5A" w:rsidP="004876DE">
    <w:pPr>
      <w:pStyle w:val="Footer"/>
      <w:tabs>
        <w:tab w:val="right" w:pos="9638"/>
      </w:tabs>
      <w:rPr>
        <w:b/>
        <w:sz w:val="18"/>
      </w:rPr>
    </w:pPr>
    <w:r>
      <w:tab/>
    </w:r>
    <w:r w:rsidRPr="00116B35">
      <w:rPr>
        <w:b/>
        <w:sz w:val="18"/>
      </w:rPr>
      <w:fldChar w:fldCharType="begin"/>
    </w:r>
    <w:r w:rsidRPr="00116B35">
      <w:rPr>
        <w:b/>
        <w:sz w:val="18"/>
      </w:rPr>
      <w:instrText xml:space="preserve"> </w:instrText>
    </w:r>
    <w:r>
      <w:rPr>
        <w:b/>
        <w:sz w:val="18"/>
      </w:rPr>
      <w:instrText>PAGE</w:instrText>
    </w:r>
    <w:r w:rsidRPr="00116B35">
      <w:rPr>
        <w:b/>
        <w:sz w:val="18"/>
      </w:rPr>
      <w:instrText xml:space="preserve">  \* MERGEFORMAT </w:instrText>
    </w:r>
    <w:r w:rsidRPr="00116B35">
      <w:rPr>
        <w:b/>
        <w:sz w:val="18"/>
      </w:rPr>
      <w:fldChar w:fldCharType="separate"/>
    </w:r>
    <w:r w:rsidR="00A12A9B">
      <w:rPr>
        <w:b/>
        <w:noProof/>
        <w:sz w:val="18"/>
      </w:rPr>
      <w:t>3</w:t>
    </w:r>
    <w:r w:rsidRPr="00116B3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E5A" w:rsidRDefault="001E1DAC" w:rsidP="0046131A">
    <w:pPr>
      <w:pStyle w:val="Footer"/>
    </w:pPr>
    <w:r>
      <w:rPr>
        <w:rFonts w:ascii="C39T30Lfz" w:hAnsi="C39T30Lfz"/>
        <w:noProof/>
        <w:sz w:val="56"/>
        <w:lang w:val="en-US"/>
      </w:rPr>
      <w:drawing>
        <wp:anchor distT="0" distB="0" distL="114300" distR="114300" simplePos="0" relativeHeight="251662336" behindDoc="0" locked="0" layoutInCell="1" allowOverlap="1" wp14:anchorId="78947C1C" wp14:editId="736A366E">
          <wp:simplePos x="0" y="0"/>
          <wp:positionH relativeFrom="column">
            <wp:posOffset>5448935</wp:posOffset>
          </wp:positionH>
          <wp:positionV relativeFrom="paragraph">
            <wp:posOffset>27940</wp:posOffset>
          </wp:positionV>
          <wp:extent cx="638175" cy="638175"/>
          <wp:effectExtent l="0" t="0" r="9525" b="9525"/>
          <wp:wrapNone/>
          <wp:docPr id="2" name="Picture 1" descr="http://undocs.org/m2/QRCode.ashx?DS=CAT/C/57/D/529/201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AT/C/57/D/529/2012&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1DAC" w:rsidRPr="001E1DAC" w:rsidRDefault="001E1DAC" w:rsidP="001E1DAC">
    <w:pPr>
      <w:pStyle w:val="Footer"/>
      <w:ind w:right="1134"/>
      <w:rPr>
        <w:sz w:val="20"/>
      </w:rPr>
    </w:pPr>
    <w:r w:rsidRPr="001E1DAC">
      <w:rPr>
        <w:sz w:val="20"/>
      </w:rPr>
      <w:t>GE.16-13828(E)</w:t>
    </w:r>
  </w:p>
  <w:p w:rsidR="001E1DAC" w:rsidRPr="001E1DAC" w:rsidRDefault="001E1DAC" w:rsidP="001E1DAC">
    <w:pPr>
      <w:pStyle w:val="Footer"/>
      <w:ind w:right="1134"/>
      <w:rPr>
        <w:rFonts w:ascii="C39T30Lfz" w:hAnsi="C39T30Lfz"/>
        <w:sz w:val="56"/>
      </w:rPr>
    </w:pPr>
    <w:r w:rsidRPr="00DA43F5">
      <w:rPr>
        <w:rFonts w:ascii="C39T30Lfz" w:hAnsi="C39T30Lfz"/>
        <w:noProof/>
        <w:sz w:val="56"/>
        <w:u w:val="single"/>
        <w:lang w:val="en-US"/>
      </w:rPr>
      <w:drawing>
        <wp:anchor distT="0" distB="0" distL="114300" distR="114300" simplePos="0" relativeHeight="251661312" behindDoc="0" locked="0" layoutInCell="1" allowOverlap="1" wp14:anchorId="115BA75F" wp14:editId="0430A987">
          <wp:simplePos x="0" y="0"/>
          <wp:positionH relativeFrom="margin">
            <wp:posOffset>4375150</wp:posOffset>
          </wp:positionH>
          <wp:positionV relativeFrom="margin">
            <wp:posOffset>8243570</wp:posOffset>
          </wp:positionV>
          <wp:extent cx="974725" cy="26733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E08" w:rsidRPr="000B175B" w:rsidRDefault="00326E08" w:rsidP="004876DE">
      <w:pPr>
        <w:tabs>
          <w:tab w:val="right" w:pos="2155"/>
        </w:tabs>
        <w:spacing w:after="80"/>
        <w:ind w:left="680"/>
        <w:rPr>
          <w:u w:val="single"/>
        </w:rPr>
      </w:pPr>
      <w:r>
        <w:rPr>
          <w:u w:val="single"/>
        </w:rPr>
        <w:tab/>
      </w:r>
    </w:p>
  </w:footnote>
  <w:footnote w:type="continuationSeparator" w:id="0">
    <w:p w:rsidR="00326E08" w:rsidRPr="00FC68B7" w:rsidRDefault="00326E08" w:rsidP="004876DE">
      <w:pPr>
        <w:tabs>
          <w:tab w:val="left" w:pos="2155"/>
        </w:tabs>
        <w:spacing w:after="80"/>
        <w:ind w:left="680"/>
        <w:rPr>
          <w:u w:val="single"/>
        </w:rPr>
      </w:pPr>
      <w:r>
        <w:rPr>
          <w:u w:val="single"/>
        </w:rPr>
        <w:tab/>
      </w:r>
    </w:p>
  </w:footnote>
  <w:footnote w:type="continuationNotice" w:id="1">
    <w:p w:rsidR="00326E08" w:rsidRDefault="00326E08"/>
  </w:footnote>
  <w:footnote w:id="2">
    <w:p w:rsidR="00721E5A" w:rsidRPr="009B4376" w:rsidRDefault="00721E5A">
      <w:pPr>
        <w:pStyle w:val="FootnoteText"/>
        <w:rPr>
          <w:lang w:val="en-US"/>
        </w:rPr>
      </w:pPr>
      <w:r>
        <w:rPr>
          <w:rStyle w:val="FootnoteReference"/>
        </w:rPr>
        <w:tab/>
      </w:r>
      <w:r w:rsidRPr="009B4376">
        <w:rPr>
          <w:rStyle w:val="FootnoteReference"/>
          <w:sz w:val="20"/>
          <w:vertAlign w:val="baseline"/>
        </w:rPr>
        <w:t>*</w:t>
      </w:r>
      <w:r>
        <w:rPr>
          <w:rStyle w:val="FootnoteReference"/>
          <w:sz w:val="20"/>
          <w:vertAlign w:val="baseline"/>
        </w:rPr>
        <w:tab/>
      </w:r>
      <w:r>
        <w:t>Reissued for technical reasons on 7 December 2016.</w:t>
      </w:r>
    </w:p>
  </w:footnote>
  <w:footnote w:id="3">
    <w:p w:rsidR="00721E5A" w:rsidRPr="00A362AF" w:rsidRDefault="00721E5A" w:rsidP="00A362AF">
      <w:pPr>
        <w:pStyle w:val="FootnoteText"/>
        <w:rPr>
          <w:lang w:val="en-US"/>
        </w:rPr>
      </w:pPr>
      <w:r>
        <w:rPr>
          <w:rStyle w:val="FootnoteReference"/>
        </w:rPr>
        <w:tab/>
      </w:r>
      <w:r w:rsidRPr="009B4376">
        <w:rPr>
          <w:rStyle w:val="FootnoteReference"/>
          <w:sz w:val="20"/>
          <w:vertAlign w:val="baseline"/>
        </w:rPr>
        <w:t>**</w:t>
      </w:r>
      <w:r w:rsidRPr="009B4376">
        <w:rPr>
          <w:sz w:val="20"/>
        </w:rPr>
        <w:t xml:space="preserve"> </w:t>
      </w:r>
      <w:r>
        <w:rPr>
          <w:sz w:val="20"/>
        </w:rPr>
        <w:tab/>
      </w:r>
      <w:r w:rsidRPr="00304A52">
        <w:rPr>
          <w:lang w:val="x-none"/>
        </w:rPr>
        <w:t>Adopted by the Committee at its fifty-seventh session (18 April-13 May 2016)</w:t>
      </w:r>
    </w:p>
  </w:footnote>
  <w:footnote w:id="4">
    <w:p w:rsidR="00721E5A" w:rsidRPr="00304A52" w:rsidRDefault="00721E5A" w:rsidP="00A362AF">
      <w:pPr>
        <w:pStyle w:val="FootnoteText"/>
        <w:rPr>
          <w:lang w:val="en-US"/>
        </w:rPr>
      </w:pPr>
      <w:r>
        <w:tab/>
      </w:r>
      <w:r w:rsidRPr="009B4376">
        <w:rPr>
          <w:rStyle w:val="FootnoteReference"/>
          <w:sz w:val="20"/>
          <w:vertAlign w:val="baseline"/>
        </w:rPr>
        <w:t>***</w:t>
      </w:r>
      <w:r w:rsidRPr="009B4376">
        <w:rPr>
          <w:sz w:val="20"/>
        </w:rPr>
        <w:t xml:space="preserve"> </w:t>
      </w:r>
      <w:r>
        <w:rPr>
          <w:rStyle w:val="FootnoteReference"/>
        </w:rPr>
        <w:tab/>
      </w:r>
      <w:r>
        <w:rPr>
          <w:lang w:val="en-US"/>
        </w:rPr>
        <w:t xml:space="preserve">The following members of the Committee participated in the examination of the present communication: </w:t>
      </w:r>
      <w:r w:rsidRPr="00496649">
        <w:rPr>
          <w:lang w:val="en-US"/>
        </w:rPr>
        <w:t>Essadia Belmir, Alessio Bruni, Felice Gaer, Abdelwahab Hani,</w:t>
      </w:r>
      <w:r>
        <w:rPr>
          <w:lang w:val="en-US"/>
        </w:rPr>
        <w:t xml:space="preserve"> </w:t>
      </w:r>
      <w:r w:rsidRPr="00496649">
        <w:rPr>
          <w:lang w:val="en-US"/>
        </w:rPr>
        <w:t xml:space="preserve">Jens Modvig, </w:t>
      </w:r>
      <w:r w:rsidRPr="00A362AF">
        <w:rPr>
          <w:lang w:val="en-US"/>
        </w:rPr>
        <w:t>Sapana </w:t>
      </w:r>
      <w:r>
        <w:rPr>
          <w:sz w:val="20"/>
          <w:vertAlign w:val="superscript"/>
          <w:lang w:val="en-US"/>
        </w:rPr>
        <w:tab/>
      </w:r>
      <w:r w:rsidRPr="00496649">
        <w:rPr>
          <w:lang w:val="en-US"/>
        </w:rPr>
        <w:t xml:space="preserve">Pradhan-Malla, Ana Racu, </w:t>
      </w:r>
      <w:r w:rsidRPr="00304A52">
        <w:rPr>
          <w:lang w:val="en-US"/>
        </w:rPr>
        <w:t xml:space="preserve">Claude Heller Rouassant, </w:t>
      </w:r>
      <w:r w:rsidRPr="00496649">
        <w:rPr>
          <w:lang w:val="en-US"/>
        </w:rPr>
        <w:t>Sébastien Touzé and Kening Zhang.</w:t>
      </w:r>
    </w:p>
  </w:footnote>
  <w:footnote w:id="5">
    <w:p w:rsidR="00721E5A" w:rsidRPr="00304A52" w:rsidRDefault="00721E5A" w:rsidP="00304A52">
      <w:pPr>
        <w:pStyle w:val="FootnoteText"/>
        <w:widowControl w:val="0"/>
        <w:tabs>
          <w:tab w:val="clear" w:pos="1021"/>
          <w:tab w:val="right" w:pos="1020"/>
        </w:tabs>
        <w:rPr>
          <w:lang w:val="en-US"/>
        </w:rPr>
      </w:pPr>
      <w:r>
        <w:tab/>
      </w:r>
      <w:r>
        <w:rPr>
          <w:rStyle w:val="FootnoteReference"/>
        </w:rPr>
        <w:footnoteRef/>
      </w:r>
      <w:r>
        <w:tab/>
      </w:r>
      <w:r w:rsidRPr="000101BF">
        <w:rPr>
          <w:szCs w:val="18"/>
        </w:rPr>
        <w:t xml:space="preserve">See </w:t>
      </w:r>
      <w:r>
        <w:rPr>
          <w:szCs w:val="18"/>
          <w:lang w:val="en-US"/>
        </w:rPr>
        <w:t>for example</w:t>
      </w:r>
      <w:r w:rsidRPr="000101BF">
        <w:rPr>
          <w:szCs w:val="18"/>
        </w:rPr>
        <w:t xml:space="preserve"> </w:t>
      </w:r>
      <w:r>
        <w:rPr>
          <w:szCs w:val="18"/>
        </w:rPr>
        <w:t xml:space="preserve">communications </w:t>
      </w:r>
      <w:r w:rsidRPr="000101BF">
        <w:rPr>
          <w:szCs w:val="18"/>
        </w:rPr>
        <w:t>No. 307/2006</w:t>
      </w:r>
      <w:r>
        <w:rPr>
          <w:szCs w:val="18"/>
        </w:rPr>
        <w:t>,</w:t>
      </w:r>
      <w:r w:rsidRPr="000101BF">
        <w:rPr>
          <w:szCs w:val="18"/>
        </w:rPr>
        <w:t xml:space="preserve"> </w:t>
      </w:r>
      <w:r w:rsidRPr="004E54D7">
        <w:rPr>
          <w:i/>
          <w:szCs w:val="18"/>
        </w:rPr>
        <w:t>E.</w:t>
      </w:r>
      <w:r w:rsidRPr="000101BF">
        <w:rPr>
          <w:i/>
          <w:szCs w:val="18"/>
        </w:rPr>
        <w:t>Y</w:t>
      </w:r>
      <w:r>
        <w:rPr>
          <w:i/>
          <w:szCs w:val="18"/>
        </w:rPr>
        <w:t>.</w:t>
      </w:r>
      <w:r w:rsidRPr="000101BF">
        <w:rPr>
          <w:i/>
          <w:szCs w:val="18"/>
        </w:rPr>
        <w:t xml:space="preserve"> v. Canada,</w:t>
      </w:r>
      <w:r w:rsidRPr="000101BF">
        <w:rPr>
          <w:szCs w:val="18"/>
        </w:rPr>
        <w:t xml:space="preserve"> </w:t>
      </w:r>
      <w:r>
        <w:rPr>
          <w:szCs w:val="18"/>
          <w:lang w:val="en-US"/>
        </w:rPr>
        <w:t xml:space="preserve">decision adopted on 4 November 2009, </w:t>
      </w:r>
      <w:r w:rsidRPr="000101BF">
        <w:rPr>
          <w:szCs w:val="18"/>
        </w:rPr>
        <w:t xml:space="preserve">paras. </w:t>
      </w:r>
      <w:r w:rsidRPr="00DE07EC">
        <w:rPr>
          <w:szCs w:val="18"/>
          <w:lang w:val="it-IT"/>
        </w:rPr>
        <w:t xml:space="preserve">9.3-9.4; No. 304/2006, </w:t>
      </w:r>
      <w:r w:rsidRPr="00DE07EC">
        <w:rPr>
          <w:i/>
          <w:szCs w:val="18"/>
          <w:lang w:val="it-IT"/>
        </w:rPr>
        <w:t>L.Z.B. v. Canada,</w:t>
      </w:r>
      <w:r w:rsidRPr="00DE07EC">
        <w:rPr>
          <w:szCs w:val="18"/>
          <w:lang w:val="it-IT"/>
        </w:rPr>
        <w:t xml:space="preserve"> </w:t>
      </w:r>
      <w:r>
        <w:rPr>
          <w:szCs w:val="18"/>
          <w:lang w:val="it-IT"/>
        </w:rPr>
        <w:t xml:space="preserve">decision adopted on 8 November 2007, </w:t>
      </w:r>
      <w:r w:rsidRPr="00DE07EC">
        <w:rPr>
          <w:szCs w:val="18"/>
          <w:lang w:val="it-IT"/>
        </w:rPr>
        <w:t>para</w:t>
      </w:r>
      <w:r>
        <w:rPr>
          <w:szCs w:val="18"/>
          <w:lang w:val="it-IT"/>
        </w:rPr>
        <w:t>. </w:t>
      </w:r>
      <w:r w:rsidRPr="00DE07EC">
        <w:rPr>
          <w:szCs w:val="18"/>
          <w:lang w:val="it-IT"/>
        </w:rPr>
        <w:t xml:space="preserve">6.6; No. 273/2005, </w:t>
      </w:r>
      <w:r w:rsidRPr="00304A52">
        <w:rPr>
          <w:i/>
          <w:iCs/>
          <w:szCs w:val="18"/>
          <w:lang w:val="it-IT"/>
        </w:rPr>
        <w:t>Aung</w:t>
      </w:r>
      <w:r w:rsidRPr="00DE07EC">
        <w:rPr>
          <w:i/>
          <w:szCs w:val="18"/>
          <w:lang w:val="it-IT"/>
        </w:rPr>
        <w:t xml:space="preserve"> v. Canada</w:t>
      </w:r>
      <w:r w:rsidRPr="00DE07EC">
        <w:rPr>
          <w:szCs w:val="18"/>
          <w:lang w:val="it-IT"/>
        </w:rPr>
        <w:t>,</w:t>
      </w:r>
      <w:r>
        <w:rPr>
          <w:szCs w:val="18"/>
          <w:lang w:val="it-IT"/>
        </w:rPr>
        <w:t xml:space="preserve"> decision adopted on 15 May 2006,</w:t>
      </w:r>
      <w:r w:rsidRPr="00DE07EC">
        <w:rPr>
          <w:szCs w:val="18"/>
          <w:lang w:val="it-IT"/>
        </w:rPr>
        <w:t xml:space="preserve"> para. 6.3; No. 66/1997, </w:t>
      </w:r>
      <w:r w:rsidRPr="00DE07EC">
        <w:rPr>
          <w:i/>
          <w:szCs w:val="18"/>
          <w:lang w:val="it-IT"/>
        </w:rPr>
        <w:t xml:space="preserve">P.S.S. v. Canada, </w:t>
      </w:r>
      <w:r>
        <w:rPr>
          <w:iCs/>
          <w:szCs w:val="18"/>
          <w:lang w:val="it-IT"/>
        </w:rPr>
        <w:t xml:space="preserve">decision adopted on 13 November 1998, </w:t>
      </w:r>
      <w:r w:rsidRPr="00DE07EC">
        <w:rPr>
          <w:szCs w:val="18"/>
          <w:lang w:val="it-IT"/>
        </w:rPr>
        <w:t xml:space="preserve">para. 6.2; No. 86/1997, </w:t>
      </w:r>
      <w:r w:rsidRPr="00DE07EC">
        <w:rPr>
          <w:i/>
          <w:szCs w:val="18"/>
          <w:lang w:val="it-IT"/>
        </w:rPr>
        <w:t>P.S. v. Canada,</w:t>
      </w:r>
      <w:r w:rsidRPr="00DE07EC">
        <w:rPr>
          <w:szCs w:val="18"/>
          <w:lang w:val="it-IT"/>
        </w:rPr>
        <w:t xml:space="preserve"> </w:t>
      </w:r>
      <w:r>
        <w:rPr>
          <w:szCs w:val="18"/>
          <w:lang w:val="it-IT"/>
        </w:rPr>
        <w:t xml:space="preserve">decision adopted on 18 November 1999, </w:t>
      </w:r>
      <w:r w:rsidRPr="00DE07EC">
        <w:rPr>
          <w:szCs w:val="18"/>
          <w:lang w:val="it-IT"/>
        </w:rPr>
        <w:t xml:space="preserve">para. 6.2; </w:t>
      </w:r>
      <w:r>
        <w:rPr>
          <w:szCs w:val="18"/>
          <w:lang w:val="it-IT"/>
        </w:rPr>
        <w:t xml:space="preserve">No. </w:t>
      </w:r>
      <w:r w:rsidRPr="00DE07EC">
        <w:rPr>
          <w:szCs w:val="18"/>
          <w:lang w:val="it-IT"/>
        </w:rPr>
        <w:t xml:space="preserve">42/1996, </w:t>
      </w:r>
      <w:r w:rsidRPr="00DE07EC">
        <w:rPr>
          <w:i/>
          <w:szCs w:val="18"/>
          <w:lang w:val="it-IT"/>
        </w:rPr>
        <w:t>R.K. v. Canada</w:t>
      </w:r>
      <w:r w:rsidRPr="00DE07EC">
        <w:rPr>
          <w:szCs w:val="18"/>
          <w:lang w:val="it-IT"/>
        </w:rPr>
        <w:t xml:space="preserve">, </w:t>
      </w:r>
      <w:r>
        <w:rPr>
          <w:szCs w:val="18"/>
          <w:lang w:val="it-IT"/>
        </w:rPr>
        <w:t xml:space="preserve">decision adopted on 20 November 1997, </w:t>
      </w:r>
      <w:r w:rsidRPr="00DE07EC">
        <w:rPr>
          <w:szCs w:val="18"/>
          <w:lang w:val="it-IT"/>
        </w:rPr>
        <w:t xml:space="preserve">para. 7.2; No. 95/1997, </w:t>
      </w:r>
      <w:r w:rsidRPr="00DE07EC">
        <w:rPr>
          <w:i/>
          <w:szCs w:val="18"/>
          <w:lang w:val="it-IT"/>
        </w:rPr>
        <w:t xml:space="preserve">L.O. v. Canada, </w:t>
      </w:r>
      <w:r>
        <w:rPr>
          <w:iCs/>
          <w:szCs w:val="18"/>
          <w:lang w:val="it-IT"/>
        </w:rPr>
        <w:t xml:space="preserve">decision adopted on 19 May 2000, </w:t>
      </w:r>
      <w:r>
        <w:rPr>
          <w:szCs w:val="18"/>
          <w:lang w:val="it-IT"/>
        </w:rPr>
        <w:t>para. </w:t>
      </w:r>
      <w:r w:rsidRPr="00DE07EC">
        <w:rPr>
          <w:szCs w:val="18"/>
          <w:lang w:val="it-IT"/>
        </w:rPr>
        <w:t xml:space="preserve">6.5; No. 22/1995, </w:t>
      </w:r>
      <w:r w:rsidRPr="00DE07EC">
        <w:rPr>
          <w:i/>
          <w:szCs w:val="18"/>
          <w:lang w:val="it-IT"/>
        </w:rPr>
        <w:t>M.A. v. Canada,</w:t>
      </w:r>
      <w:r w:rsidRPr="00DE07EC">
        <w:rPr>
          <w:szCs w:val="18"/>
          <w:lang w:val="it-IT"/>
        </w:rPr>
        <w:t xml:space="preserve"> </w:t>
      </w:r>
      <w:r>
        <w:rPr>
          <w:szCs w:val="18"/>
          <w:lang w:val="it-IT"/>
        </w:rPr>
        <w:t xml:space="preserve">decision adopted on 3 May 1995, </w:t>
      </w:r>
      <w:r w:rsidRPr="00DE07EC">
        <w:rPr>
          <w:szCs w:val="18"/>
          <w:lang w:val="it-IT"/>
        </w:rPr>
        <w:t xml:space="preserve">para. 3; 183/2001, </w:t>
      </w:r>
      <w:r>
        <w:rPr>
          <w:i/>
          <w:szCs w:val="18"/>
          <w:lang w:val="it-IT"/>
        </w:rPr>
        <w:t>B.S.S. v. </w:t>
      </w:r>
      <w:r w:rsidRPr="00DE07EC">
        <w:rPr>
          <w:i/>
          <w:szCs w:val="18"/>
          <w:lang w:val="it-IT"/>
        </w:rPr>
        <w:t>Canada,</w:t>
      </w:r>
      <w:r w:rsidRPr="00DE07EC">
        <w:rPr>
          <w:szCs w:val="18"/>
          <w:lang w:val="it-IT"/>
        </w:rPr>
        <w:t xml:space="preserve"> </w:t>
      </w:r>
      <w:r>
        <w:rPr>
          <w:szCs w:val="18"/>
          <w:lang w:val="it-IT"/>
        </w:rPr>
        <w:t xml:space="preserve">decision adopted on 12 May 2004, </w:t>
      </w:r>
      <w:r w:rsidRPr="00DE07EC">
        <w:rPr>
          <w:szCs w:val="18"/>
          <w:lang w:val="it-IT"/>
        </w:rPr>
        <w:t xml:space="preserve">para. </w:t>
      </w:r>
      <w:r w:rsidRPr="000101BF">
        <w:rPr>
          <w:szCs w:val="18"/>
        </w:rPr>
        <w:t>11.6.</w:t>
      </w:r>
      <w:r>
        <w:t xml:space="preserve"> </w:t>
      </w:r>
    </w:p>
  </w:footnote>
  <w:footnote w:id="6">
    <w:p w:rsidR="00721E5A" w:rsidRPr="00043169" w:rsidRDefault="00721E5A" w:rsidP="00304A52">
      <w:pPr>
        <w:pStyle w:val="FootnoteText"/>
        <w:widowControl w:val="0"/>
        <w:tabs>
          <w:tab w:val="clear" w:pos="1021"/>
          <w:tab w:val="right" w:pos="1020"/>
        </w:tabs>
        <w:rPr>
          <w:lang w:val="en-US"/>
        </w:rPr>
      </w:pPr>
      <w:r>
        <w:tab/>
      </w:r>
      <w:r>
        <w:rPr>
          <w:rStyle w:val="FootnoteReference"/>
        </w:rPr>
        <w:footnoteRef/>
      </w:r>
      <w:r>
        <w:tab/>
      </w:r>
      <w:r>
        <w:rPr>
          <w:lang w:val="en-US"/>
        </w:rPr>
        <w:t>See c</w:t>
      </w:r>
      <w:r w:rsidRPr="000101BF">
        <w:rPr>
          <w:szCs w:val="18"/>
        </w:rPr>
        <w:t>ommunication</w:t>
      </w:r>
      <w:r>
        <w:rPr>
          <w:szCs w:val="18"/>
        </w:rPr>
        <w:t>s</w:t>
      </w:r>
      <w:r w:rsidRPr="000101BF">
        <w:rPr>
          <w:szCs w:val="18"/>
        </w:rPr>
        <w:t xml:space="preserve"> No. 24/1995</w:t>
      </w:r>
      <w:r>
        <w:rPr>
          <w:szCs w:val="18"/>
        </w:rPr>
        <w:t xml:space="preserve">, </w:t>
      </w:r>
      <w:r w:rsidRPr="000101BF">
        <w:rPr>
          <w:i/>
          <w:szCs w:val="18"/>
        </w:rPr>
        <w:t>A.E. v. Switzerland</w:t>
      </w:r>
      <w:r w:rsidRPr="000101BF">
        <w:rPr>
          <w:szCs w:val="18"/>
        </w:rPr>
        <w:t xml:space="preserve">, </w:t>
      </w:r>
      <w:r>
        <w:rPr>
          <w:szCs w:val="18"/>
          <w:lang w:val="en-US"/>
        </w:rPr>
        <w:t xml:space="preserve">decision adopted on 2 May 1995, </w:t>
      </w:r>
      <w:r w:rsidRPr="000101BF">
        <w:rPr>
          <w:szCs w:val="18"/>
        </w:rPr>
        <w:t>para. 4</w:t>
      </w:r>
      <w:r w:rsidRPr="0051580A">
        <w:rPr>
          <w:szCs w:val="18"/>
          <w:lang w:val="en-US"/>
        </w:rPr>
        <w:t>;</w:t>
      </w:r>
      <w:r w:rsidRPr="000101BF">
        <w:rPr>
          <w:szCs w:val="18"/>
        </w:rPr>
        <w:t xml:space="preserve"> No.</w:t>
      </w:r>
      <w:r>
        <w:rPr>
          <w:szCs w:val="18"/>
        </w:rPr>
        <w:t> </w:t>
      </w:r>
      <w:r w:rsidRPr="000101BF">
        <w:rPr>
          <w:szCs w:val="18"/>
        </w:rPr>
        <w:t>121/1998</w:t>
      </w:r>
      <w:r>
        <w:rPr>
          <w:szCs w:val="18"/>
        </w:rPr>
        <w:t xml:space="preserve">, </w:t>
      </w:r>
      <w:r w:rsidRPr="000101BF">
        <w:rPr>
          <w:i/>
          <w:szCs w:val="18"/>
        </w:rPr>
        <w:t>S.H. v. Norway</w:t>
      </w:r>
      <w:r w:rsidRPr="000101BF">
        <w:rPr>
          <w:szCs w:val="18"/>
        </w:rPr>
        <w:t xml:space="preserve">, </w:t>
      </w:r>
      <w:r>
        <w:rPr>
          <w:szCs w:val="18"/>
          <w:lang w:val="en-US"/>
        </w:rPr>
        <w:t xml:space="preserve">decision adopted on 19 November 1999, </w:t>
      </w:r>
      <w:r w:rsidRPr="000101BF">
        <w:rPr>
          <w:szCs w:val="18"/>
        </w:rPr>
        <w:t>para. 7.3; No. 127/1999</w:t>
      </w:r>
      <w:r>
        <w:rPr>
          <w:szCs w:val="18"/>
        </w:rPr>
        <w:t xml:space="preserve">, </w:t>
      </w:r>
      <w:r>
        <w:rPr>
          <w:i/>
          <w:szCs w:val="18"/>
        </w:rPr>
        <w:t>Z.T. </w:t>
      </w:r>
      <w:r w:rsidRPr="000101BF">
        <w:rPr>
          <w:i/>
          <w:szCs w:val="18"/>
        </w:rPr>
        <w:t>v. Norway</w:t>
      </w:r>
      <w:r w:rsidRPr="000101BF">
        <w:rPr>
          <w:szCs w:val="18"/>
        </w:rPr>
        <w:t xml:space="preserve">, </w:t>
      </w:r>
      <w:r>
        <w:rPr>
          <w:szCs w:val="18"/>
          <w:lang w:val="en-US"/>
        </w:rPr>
        <w:t xml:space="preserve">decision adopted on 19 November 1999, </w:t>
      </w:r>
      <w:r w:rsidRPr="000101BF">
        <w:rPr>
          <w:szCs w:val="18"/>
        </w:rPr>
        <w:t>para. 7.3; No. 284/2006</w:t>
      </w:r>
      <w:r>
        <w:rPr>
          <w:szCs w:val="18"/>
        </w:rPr>
        <w:t xml:space="preserve">, </w:t>
      </w:r>
      <w:r w:rsidRPr="000101BF">
        <w:rPr>
          <w:i/>
          <w:szCs w:val="18"/>
        </w:rPr>
        <w:t>R.S.A.N. v. Canada</w:t>
      </w:r>
      <w:r w:rsidRPr="000101BF">
        <w:rPr>
          <w:szCs w:val="18"/>
        </w:rPr>
        <w:t xml:space="preserve">, </w:t>
      </w:r>
      <w:r>
        <w:rPr>
          <w:szCs w:val="18"/>
          <w:lang w:val="en-US"/>
        </w:rPr>
        <w:t xml:space="preserve">decision adopted on 17 November 2006, </w:t>
      </w:r>
      <w:r w:rsidRPr="000101BF">
        <w:rPr>
          <w:szCs w:val="18"/>
        </w:rPr>
        <w:t>para. 6.4.</w:t>
      </w:r>
      <w:r>
        <w:t xml:space="preserve"> </w:t>
      </w:r>
    </w:p>
  </w:footnote>
  <w:footnote w:id="7">
    <w:p w:rsidR="00721E5A" w:rsidRPr="00043169" w:rsidRDefault="00721E5A" w:rsidP="00304A52">
      <w:pPr>
        <w:pStyle w:val="FootnoteText"/>
        <w:widowControl w:val="0"/>
        <w:tabs>
          <w:tab w:val="clear" w:pos="1021"/>
          <w:tab w:val="right" w:pos="1020"/>
        </w:tabs>
        <w:rPr>
          <w:lang w:val="en-US"/>
        </w:rPr>
      </w:pPr>
      <w:r>
        <w:tab/>
      </w:r>
      <w:r>
        <w:rPr>
          <w:rStyle w:val="FootnoteReference"/>
        </w:rPr>
        <w:footnoteRef/>
      </w:r>
      <w:r>
        <w:tab/>
      </w:r>
      <w:r>
        <w:rPr>
          <w:lang w:val="en-US"/>
        </w:rPr>
        <w:t xml:space="preserve">See Canada, </w:t>
      </w:r>
      <w:r w:rsidRPr="00304A52">
        <w:rPr>
          <w:i/>
          <w:iCs/>
          <w:lang w:val="en-US"/>
        </w:rPr>
        <w:t>Federal Court Rules</w:t>
      </w:r>
      <w:r>
        <w:rPr>
          <w:lang w:val="en-US"/>
        </w:rPr>
        <w:t xml:space="preserve"> (</w:t>
      </w:r>
      <w:r w:rsidRPr="000101BF">
        <w:rPr>
          <w:szCs w:val="18"/>
        </w:rPr>
        <w:t>SOR/98-106</w:t>
      </w:r>
      <w:r>
        <w:rPr>
          <w:szCs w:val="18"/>
          <w:lang w:val="en-US"/>
        </w:rPr>
        <w:t>)</w:t>
      </w:r>
      <w:r w:rsidRPr="000101BF">
        <w:rPr>
          <w:szCs w:val="18"/>
        </w:rPr>
        <w:t xml:space="preserve">, </w:t>
      </w:r>
      <w:r>
        <w:rPr>
          <w:szCs w:val="18"/>
          <w:lang w:val="en-US"/>
        </w:rPr>
        <w:t>r</w:t>
      </w:r>
      <w:r w:rsidRPr="000101BF">
        <w:rPr>
          <w:szCs w:val="18"/>
        </w:rPr>
        <w:t>ule 119</w:t>
      </w:r>
      <w:r>
        <w:rPr>
          <w:szCs w:val="18"/>
          <w:lang w:val="en-US"/>
        </w:rPr>
        <w:t xml:space="preserve">. Available at </w:t>
      </w:r>
      <w:r w:rsidRPr="000101BF">
        <w:rPr>
          <w:szCs w:val="18"/>
        </w:rPr>
        <w:t>http://laws-lois.</w:t>
      </w:r>
      <w:r>
        <w:rPr>
          <w:szCs w:val="18"/>
          <w:lang w:val="en-US"/>
        </w:rPr>
        <w:br/>
      </w:r>
      <w:r w:rsidRPr="000101BF">
        <w:rPr>
          <w:szCs w:val="18"/>
        </w:rPr>
        <w:t>justice.gc.ca/eng/regulations/SOR-98-106/FullText.html.</w:t>
      </w:r>
      <w:r>
        <w:t xml:space="preserve"> </w:t>
      </w:r>
    </w:p>
  </w:footnote>
  <w:footnote w:id="8">
    <w:p w:rsidR="00721E5A" w:rsidRDefault="00721E5A" w:rsidP="00304A52">
      <w:pPr>
        <w:pStyle w:val="FootnoteText"/>
        <w:widowControl w:val="0"/>
        <w:tabs>
          <w:tab w:val="clear" w:pos="1021"/>
          <w:tab w:val="right" w:pos="1020"/>
        </w:tabs>
      </w:pPr>
      <w:r>
        <w:tab/>
      </w:r>
      <w:r>
        <w:rPr>
          <w:rStyle w:val="FootnoteReference"/>
        </w:rPr>
        <w:footnoteRef/>
      </w:r>
      <w:r>
        <w:tab/>
      </w:r>
      <w:r>
        <w:rPr>
          <w:lang w:val="en-US"/>
        </w:rPr>
        <w:t>See s</w:t>
      </w:r>
      <w:r>
        <w:t xml:space="preserve">ection 96 of </w:t>
      </w:r>
      <w:r>
        <w:rPr>
          <w:lang w:val="en-US"/>
        </w:rPr>
        <w:t xml:space="preserve">the </w:t>
      </w:r>
      <w:r>
        <w:t>I</w:t>
      </w:r>
      <w:r>
        <w:rPr>
          <w:lang w:val="en-US"/>
        </w:rPr>
        <w:t xml:space="preserve">mmigration and </w:t>
      </w:r>
      <w:r>
        <w:t>R</w:t>
      </w:r>
      <w:r>
        <w:rPr>
          <w:lang w:val="en-US"/>
        </w:rPr>
        <w:t xml:space="preserve">efugee </w:t>
      </w:r>
      <w:r>
        <w:t>P</w:t>
      </w:r>
      <w:r>
        <w:rPr>
          <w:lang w:val="en-US"/>
        </w:rPr>
        <w:t xml:space="preserve">rotection </w:t>
      </w:r>
      <w:r>
        <w:t>A</w:t>
      </w:r>
      <w:r>
        <w:rPr>
          <w:lang w:val="en-US"/>
        </w:rPr>
        <w:t>ct of Canada</w:t>
      </w:r>
      <w:r>
        <w:t>:</w:t>
      </w:r>
    </w:p>
    <w:p w:rsidR="00721E5A" w:rsidRPr="004861B7" w:rsidRDefault="00721E5A" w:rsidP="00304A52">
      <w:pPr>
        <w:pStyle w:val="FootnoteText"/>
        <w:widowControl w:val="0"/>
        <w:tabs>
          <w:tab w:val="clear" w:pos="1021"/>
          <w:tab w:val="right" w:pos="1020"/>
        </w:tabs>
      </w:pPr>
      <w:r w:rsidRPr="004861B7">
        <w:tab/>
      </w:r>
      <w:r w:rsidRPr="004861B7">
        <w:tab/>
      </w:r>
      <w:r>
        <w:t xml:space="preserve">“A Convention refugee is a person who, by reason of a well-founded fear of persecution for reasons of race, religion, nationality, membership in a particular social group or political opinion, </w:t>
      </w:r>
      <w:r>
        <w:rPr>
          <w:lang w:val="en-US"/>
        </w:rPr>
        <w:br/>
        <w:t xml:space="preserve">(a) </w:t>
      </w:r>
      <w:r>
        <w:t>is outside each of their countries of nationality and is unable or, by reason of that fear, unwilling to avail themself of the protection of each of those countries;</w:t>
      </w:r>
      <w:r>
        <w:rPr>
          <w:lang w:val="en-US"/>
        </w:rPr>
        <w:t xml:space="preserve"> </w:t>
      </w:r>
      <w:r>
        <w:t>or</w:t>
      </w:r>
      <w:r>
        <w:rPr>
          <w:lang w:val="en-US"/>
        </w:rPr>
        <w:br/>
        <w:t xml:space="preserve">(b) </w:t>
      </w:r>
      <w:r>
        <w:t>not having a country of nationality, is outside the country of their former habitual residence and is unable or, by reason of that fear, unwilling to return to that country.</w:t>
      </w:r>
      <w:r>
        <w:rPr>
          <w:lang w:val="en-US"/>
        </w:rPr>
        <w:t>”</w:t>
      </w:r>
      <w:r>
        <w:t xml:space="preserve"> </w:t>
      </w:r>
    </w:p>
  </w:footnote>
  <w:footnote w:id="9">
    <w:p w:rsidR="00721E5A" w:rsidRDefault="00721E5A" w:rsidP="00304A52">
      <w:pPr>
        <w:pStyle w:val="FootnoteText"/>
        <w:widowControl w:val="0"/>
        <w:tabs>
          <w:tab w:val="clear" w:pos="1021"/>
          <w:tab w:val="right" w:pos="1020"/>
        </w:tabs>
      </w:pPr>
      <w:r>
        <w:tab/>
      </w:r>
      <w:r>
        <w:rPr>
          <w:rStyle w:val="FootnoteReference"/>
        </w:rPr>
        <w:footnoteRef/>
      </w:r>
      <w:r>
        <w:tab/>
      </w:r>
      <w:r>
        <w:rPr>
          <w:lang w:val="en-US"/>
        </w:rPr>
        <w:t>See s</w:t>
      </w:r>
      <w:r>
        <w:t xml:space="preserve">ection 97 </w:t>
      </w:r>
      <w:r>
        <w:rPr>
          <w:lang w:val="en-US"/>
        </w:rPr>
        <w:t xml:space="preserve">(1) </w:t>
      </w:r>
      <w:r>
        <w:t xml:space="preserve">of </w:t>
      </w:r>
      <w:r>
        <w:rPr>
          <w:lang w:val="en-US"/>
        </w:rPr>
        <w:t xml:space="preserve">the </w:t>
      </w:r>
      <w:r>
        <w:t>I</w:t>
      </w:r>
      <w:r>
        <w:rPr>
          <w:lang w:val="en-US"/>
        </w:rPr>
        <w:t xml:space="preserve">mmigration and </w:t>
      </w:r>
      <w:r>
        <w:t>R</w:t>
      </w:r>
      <w:r>
        <w:rPr>
          <w:lang w:val="en-US"/>
        </w:rPr>
        <w:t xml:space="preserve">efugee </w:t>
      </w:r>
      <w:r>
        <w:t>P</w:t>
      </w:r>
      <w:r>
        <w:rPr>
          <w:lang w:val="en-US"/>
        </w:rPr>
        <w:t xml:space="preserve">rotection </w:t>
      </w:r>
      <w:r>
        <w:t>A</w:t>
      </w:r>
      <w:r>
        <w:rPr>
          <w:lang w:val="en-US"/>
        </w:rPr>
        <w:t>ct of Canada</w:t>
      </w:r>
      <w:r>
        <w:t>:</w:t>
      </w:r>
    </w:p>
    <w:p w:rsidR="00721E5A" w:rsidRPr="00304A52" w:rsidRDefault="00721E5A" w:rsidP="00304A52">
      <w:pPr>
        <w:pStyle w:val="FootnoteText"/>
        <w:widowControl w:val="0"/>
        <w:tabs>
          <w:tab w:val="clear" w:pos="1021"/>
          <w:tab w:val="left" w:pos="-1560"/>
          <w:tab w:val="right" w:pos="1020"/>
        </w:tabs>
        <w:rPr>
          <w:lang w:val="en-US"/>
        </w:rPr>
      </w:pPr>
      <w:r w:rsidRPr="004861B7">
        <w:tab/>
      </w:r>
      <w:r w:rsidRPr="004861B7">
        <w:tab/>
      </w:r>
      <w:r>
        <w:t>“A person in need of protection is a person in Canada whose removal to their country or countries of nationality or, if they do not have a country of nationality, their country of former habitual residence, would subject them personally</w:t>
      </w:r>
      <w:r>
        <w:rPr>
          <w:lang w:val="en-US"/>
        </w:rPr>
        <w:br/>
        <w:t xml:space="preserve">(a) </w:t>
      </w:r>
      <w:r>
        <w:t>to a danger, believed on substantial grounds to exist, of torture within the meaning of Article 1 of the Convention Against Torture; or</w:t>
      </w:r>
      <w:r>
        <w:rPr>
          <w:lang w:val="en-US"/>
        </w:rPr>
        <w:br/>
        <w:t xml:space="preserve">(b) </w:t>
      </w:r>
      <w:r>
        <w:t xml:space="preserve">to a risk to their life or to a risk of cruel and unusual treatment or punishment if </w:t>
      </w:r>
      <w:r>
        <w:rPr>
          <w:lang w:val="en-US"/>
        </w:rPr>
        <w:br/>
        <w:t xml:space="preserve">(i) </w:t>
      </w:r>
      <w:r>
        <w:t>the person is unable or, because of that risk, unwilling to avail themsel</w:t>
      </w:r>
      <w:r>
        <w:rPr>
          <w:lang w:val="en-US"/>
        </w:rPr>
        <w:t>f</w:t>
      </w:r>
      <w:r>
        <w:t xml:space="preserve"> of the protection of that country, </w:t>
      </w:r>
      <w:r>
        <w:rPr>
          <w:lang w:val="en-US"/>
        </w:rPr>
        <w:br/>
        <w:t xml:space="preserve">(ii) </w:t>
      </w:r>
      <w:r>
        <w:t xml:space="preserve">the risk would be faced by the person in every part of that country and is not faced generally by other individuals in or from that country, </w:t>
      </w:r>
      <w:r>
        <w:rPr>
          <w:lang w:val="en-US"/>
        </w:rPr>
        <w:br/>
        <w:t xml:space="preserve">(iii) </w:t>
      </w:r>
      <w:r>
        <w:t>the risk is not inherent or incidental to lawful sanctions, unless imposed in disregard of accepted international standards, and</w:t>
      </w:r>
      <w:r>
        <w:rPr>
          <w:lang w:val="en-US"/>
        </w:rPr>
        <w:br/>
        <w:t>(iv)</w:t>
      </w:r>
      <w:r>
        <w:t xml:space="preserve"> the risk is not caused by the inability of that country to provide adequate health or medical care.</w:t>
      </w:r>
      <w:r>
        <w:rPr>
          <w:lang w:val="en-US"/>
        </w:rPr>
        <w:t>”</w:t>
      </w:r>
    </w:p>
  </w:footnote>
  <w:footnote w:id="10">
    <w:p w:rsidR="00721E5A" w:rsidRPr="00304A52" w:rsidRDefault="00721E5A" w:rsidP="00304A52">
      <w:pPr>
        <w:pStyle w:val="FootnoteText"/>
        <w:widowControl w:val="0"/>
        <w:tabs>
          <w:tab w:val="clear" w:pos="1021"/>
          <w:tab w:val="right" w:pos="1020"/>
        </w:tabs>
        <w:rPr>
          <w:lang w:val="en-US"/>
        </w:rPr>
      </w:pPr>
      <w:r>
        <w:tab/>
      </w:r>
      <w:r>
        <w:rPr>
          <w:rStyle w:val="FootnoteReference"/>
        </w:rPr>
        <w:footnoteRef/>
      </w:r>
      <w:r>
        <w:tab/>
      </w:r>
      <w:r w:rsidRPr="000101BF">
        <w:rPr>
          <w:szCs w:val="18"/>
        </w:rPr>
        <w:t xml:space="preserve">See </w:t>
      </w:r>
      <w:r>
        <w:rPr>
          <w:szCs w:val="18"/>
          <w:lang w:val="en-US"/>
        </w:rPr>
        <w:t xml:space="preserve">Canada, </w:t>
      </w:r>
      <w:r w:rsidRPr="000101BF">
        <w:rPr>
          <w:szCs w:val="18"/>
        </w:rPr>
        <w:t>I</w:t>
      </w:r>
      <w:r>
        <w:rPr>
          <w:szCs w:val="18"/>
          <w:lang w:val="en-US"/>
        </w:rPr>
        <w:t xml:space="preserve">mmigration and </w:t>
      </w:r>
      <w:r w:rsidRPr="000101BF">
        <w:rPr>
          <w:szCs w:val="18"/>
        </w:rPr>
        <w:t>R</w:t>
      </w:r>
      <w:r>
        <w:rPr>
          <w:szCs w:val="18"/>
          <w:lang w:val="en-US"/>
        </w:rPr>
        <w:t xml:space="preserve">efugee </w:t>
      </w:r>
      <w:r w:rsidRPr="000101BF">
        <w:rPr>
          <w:szCs w:val="18"/>
        </w:rPr>
        <w:t>P</w:t>
      </w:r>
      <w:r>
        <w:rPr>
          <w:szCs w:val="18"/>
          <w:lang w:val="en-US"/>
        </w:rPr>
        <w:t xml:space="preserve">rotection </w:t>
      </w:r>
      <w:r w:rsidRPr="000101BF">
        <w:rPr>
          <w:szCs w:val="18"/>
        </w:rPr>
        <w:t>A</w:t>
      </w:r>
      <w:r>
        <w:rPr>
          <w:szCs w:val="18"/>
          <w:lang w:val="en-US"/>
        </w:rPr>
        <w:t>ct</w:t>
      </w:r>
      <w:r w:rsidRPr="000101BF">
        <w:rPr>
          <w:szCs w:val="18"/>
        </w:rPr>
        <w:t>, s</w:t>
      </w:r>
      <w:r>
        <w:rPr>
          <w:szCs w:val="18"/>
          <w:lang w:val="en-US"/>
        </w:rPr>
        <w:t>ect.</w:t>
      </w:r>
      <w:r w:rsidRPr="000101BF">
        <w:rPr>
          <w:szCs w:val="18"/>
        </w:rPr>
        <w:t xml:space="preserve"> 97</w:t>
      </w:r>
      <w:r w:rsidRPr="00042886">
        <w:rPr>
          <w:szCs w:val="18"/>
          <w:lang w:val="en-US"/>
        </w:rPr>
        <w:t xml:space="preserve"> </w:t>
      </w:r>
      <w:r w:rsidRPr="000101BF">
        <w:rPr>
          <w:szCs w:val="18"/>
        </w:rPr>
        <w:t>(1)</w:t>
      </w:r>
      <w:r w:rsidRPr="00042886">
        <w:rPr>
          <w:szCs w:val="18"/>
          <w:lang w:val="en-US"/>
        </w:rPr>
        <w:t xml:space="preserve"> </w:t>
      </w:r>
      <w:r w:rsidRPr="000101BF">
        <w:rPr>
          <w:szCs w:val="18"/>
        </w:rPr>
        <w:t>(a).</w:t>
      </w:r>
      <w:r>
        <w:t xml:space="preserve"> </w:t>
      </w:r>
    </w:p>
  </w:footnote>
  <w:footnote w:id="11">
    <w:p w:rsidR="00721E5A" w:rsidRPr="00304A52" w:rsidRDefault="00721E5A" w:rsidP="00304A52">
      <w:pPr>
        <w:pStyle w:val="FootnoteText"/>
        <w:widowControl w:val="0"/>
        <w:tabs>
          <w:tab w:val="clear" w:pos="1021"/>
          <w:tab w:val="right" w:pos="1020"/>
        </w:tabs>
        <w:rPr>
          <w:lang w:val="en-US"/>
        </w:rPr>
      </w:pPr>
      <w:r>
        <w:tab/>
      </w:r>
      <w:r>
        <w:rPr>
          <w:rStyle w:val="FootnoteReference"/>
        </w:rPr>
        <w:footnoteRef/>
      </w:r>
      <w:r>
        <w:tab/>
      </w:r>
      <w:r>
        <w:rPr>
          <w:lang w:val="en-US"/>
        </w:rPr>
        <w:t>See c</w:t>
      </w:r>
      <w:r w:rsidRPr="000101BF">
        <w:rPr>
          <w:iCs/>
          <w:szCs w:val="18"/>
        </w:rPr>
        <w:t>ommunication</w:t>
      </w:r>
      <w:r>
        <w:rPr>
          <w:iCs/>
          <w:szCs w:val="18"/>
        </w:rPr>
        <w:t>s</w:t>
      </w:r>
      <w:r w:rsidRPr="000101BF">
        <w:rPr>
          <w:iCs/>
          <w:szCs w:val="18"/>
        </w:rPr>
        <w:t xml:space="preserve"> No.</w:t>
      </w:r>
      <w:r>
        <w:rPr>
          <w:iCs/>
          <w:szCs w:val="18"/>
        </w:rPr>
        <w:t> </w:t>
      </w:r>
      <w:r w:rsidRPr="000101BF">
        <w:rPr>
          <w:iCs/>
          <w:szCs w:val="18"/>
        </w:rPr>
        <w:t>182/2001</w:t>
      </w:r>
      <w:r>
        <w:rPr>
          <w:iCs/>
          <w:szCs w:val="18"/>
        </w:rPr>
        <w:t xml:space="preserve">, </w:t>
      </w:r>
      <w:r w:rsidRPr="000101BF">
        <w:rPr>
          <w:i/>
          <w:iCs/>
          <w:szCs w:val="18"/>
        </w:rPr>
        <w:t>A.I. v. Switzerland</w:t>
      </w:r>
      <w:r w:rsidRPr="000101BF">
        <w:rPr>
          <w:iCs/>
          <w:szCs w:val="18"/>
        </w:rPr>
        <w:t xml:space="preserve">, </w:t>
      </w:r>
      <w:r>
        <w:rPr>
          <w:iCs/>
          <w:szCs w:val="18"/>
          <w:lang w:val="en-US"/>
        </w:rPr>
        <w:t xml:space="preserve">decision adopted on 12 May 2004, </w:t>
      </w:r>
      <w:r w:rsidRPr="000101BF">
        <w:rPr>
          <w:iCs/>
          <w:szCs w:val="18"/>
        </w:rPr>
        <w:t xml:space="preserve">para. 6.5; </w:t>
      </w:r>
      <w:r w:rsidRPr="00FE06E3">
        <w:rPr>
          <w:iCs/>
          <w:szCs w:val="18"/>
          <w:lang w:val="en-US"/>
        </w:rPr>
        <w:t xml:space="preserve">and </w:t>
      </w:r>
      <w:r w:rsidRPr="000101BF">
        <w:rPr>
          <w:szCs w:val="18"/>
        </w:rPr>
        <w:t>No.</w:t>
      </w:r>
      <w:r>
        <w:rPr>
          <w:szCs w:val="18"/>
        </w:rPr>
        <w:t> </w:t>
      </w:r>
      <w:r w:rsidRPr="000101BF">
        <w:rPr>
          <w:szCs w:val="18"/>
        </w:rPr>
        <w:t>245/2004</w:t>
      </w:r>
      <w:r>
        <w:rPr>
          <w:szCs w:val="18"/>
        </w:rPr>
        <w:t>,</w:t>
      </w:r>
      <w:r w:rsidRPr="000101BF">
        <w:rPr>
          <w:szCs w:val="18"/>
        </w:rPr>
        <w:t xml:space="preserve"> </w:t>
      </w:r>
      <w:r w:rsidRPr="000101BF">
        <w:rPr>
          <w:i/>
          <w:szCs w:val="18"/>
        </w:rPr>
        <w:t>S.S.S. v. Canada</w:t>
      </w:r>
      <w:r w:rsidRPr="000101BF">
        <w:rPr>
          <w:szCs w:val="18"/>
        </w:rPr>
        <w:t xml:space="preserve">, </w:t>
      </w:r>
      <w:r>
        <w:rPr>
          <w:szCs w:val="18"/>
          <w:lang w:val="en-US"/>
        </w:rPr>
        <w:t xml:space="preserve">decision adopted on 16 November 2005, </w:t>
      </w:r>
      <w:r w:rsidRPr="000101BF">
        <w:rPr>
          <w:szCs w:val="18"/>
        </w:rPr>
        <w:t>para. 8.4.</w:t>
      </w:r>
      <w:r>
        <w:t xml:space="preserve"> </w:t>
      </w:r>
    </w:p>
  </w:footnote>
  <w:footnote w:id="12">
    <w:p w:rsidR="00721E5A" w:rsidRPr="00304A52" w:rsidRDefault="00721E5A" w:rsidP="00304A52">
      <w:pPr>
        <w:pStyle w:val="FootnoteText"/>
        <w:widowControl w:val="0"/>
        <w:tabs>
          <w:tab w:val="clear" w:pos="1021"/>
          <w:tab w:val="right" w:pos="1020"/>
        </w:tabs>
        <w:rPr>
          <w:lang w:val="en-US"/>
        </w:rPr>
      </w:pPr>
      <w:r>
        <w:tab/>
      </w:r>
      <w:r>
        <w:rPr>
          <w:rStyle w:val="FootnoteReference"/>
        </w:rPr>
        <w:footnoteRef/>
      </w:r>
      <w:r>
        <w:tab/>
      </w:r>
      <w:r>
        <w:rPr>
          <w:lang w:val="en-US"/>
        </w:rPr>
        <w:t>See c</w:t>
      </w:r>
      <w:r w:rsidRPr="000101BF">
        <w:rPr>
          <w:szCs w:val="18"/>
        </w:rPr>
        <w:t>ommunication</w:t>
      </w:r>
      <w:r>
        <w:rPr>
          <w:szCs w:val="18"/>
        </w:rPr>
        <w:t>s No. </w:t>
      </w:r>
      <w:r w:rsidRPr="000101BF">
        <w:rPr>
          <w:szCs w:val="18"/>
        </w:rPr>
        <w:t>355/2008</w:t>
      </w:r>
      <w:r>
        <w:rPr>
          <w:szCs w:val="18"/>
        </w:rPr>
        <w:t>,</w:t>
      </w:r>
      <w:r w:rsidRPr="000101BF">
        <w:rPr>
          <w:szCs w:val="18"/>
        </w:rPr>
        <w:t xml:space="preserve"> </w:t>
      </w:r>
      <w:r w:rsidRPr="000101BF">
        <w:rPr>
          <w:i/>
          <w:szCs w:val="18"/>
        </w:rPr>
        <w:t>C.M. v. Switzerland</w:t>
      </w:r>
      <w:r w:rsidRPr="000101BF">
        <w:rPr>
          <w:szCs w:val="18"/>
        </w:rPr>
        <w:t xml:space="preserve">, </w:t>
      </w:r>
      <w:r>
        <w:rPr>
          <w:szCs w:val="18"/>
          <w:lang w:val="en-US"/>
        </w:rPr>
        <w:t xml:space="preserve">decision adopted on 14 May 2008, </w:t>
      </w:r>
      <w:r w:rsidRPr="000101BF">
        <w:rPr>
          <w:szCs w:val="18"/>
        </w:rPr>
        <w:t>para</w:t>
      </w:r>
      <w:r>
        <w:rPr>
          <w:szCs w:val="18"/>
        </w:rPr>
        <w:t>. </w:t>
      </w:r>
      <w:r w:rsidRPr="006143D1">
        <w:rPr>
          <w:szCs w:val="18"/>
        </w:rPr>
        <w:t>10.9; No.</w:t>
      </w:r>
      <w:r>
        <w:rPr>
          <w:szCs w:val="18"/>
        </w:rPr>
        <w:t> </w:t>
      </w:r>
      <w:r w:rsidRPr="006143D1">
        <w:rPr>
          <w:szCs w:val="18"/>
        </w:rPr>
        <w:t xml:space="preserve">57/1996, </w:t>
      </w:r>
      <w:r w:rsidRPr="006143D1">
        <w:rPr>
          <w:i/>
          <w:szCs w:val="18"/>
        </w:rPr>
        <w:t>P.Q.L. v. Canada</w:t>
      </w:r>
      <w:r w:rsidRPr="006143D1">
        <w:rPr>
          <w:szCs w:val="18"/>
        </w:rPr>
        <w:t xml:space="preserve">, </w:t>
      </w:r>
      <w:r>
        <w:rPr>
          <w:szCs w:val="18"/>
          <w:lang w:val="en-US"/>
        </w:rPr>
        <w:t xml:space="preserve">decision adopted on 17 November 1997, </w:t>
      </w:r>
      <w:r w:rsidRPr="006143D1">
        <w:rPr>
          <w:szCs w:val="18"/>
        </w:rPr>
        <w:t>para</w:t>
      </w:r>
      <w:r>
        <w:rPr>
          <w:szCs w:val="18"/>
        </w:rPr>
        <w:t>.</w:t>
      </w:r>
      <w:r w:rsidRPr="006143D1">
        <w:rPr>
          <w:szCs w:val="18"/>
        </w:rPr>
        <w:t xml:space="preserve"> </w:t>
      </w:r>
      <w:r w:rsidRPr="000101BF">
        <w:rPr>
          <w:szCs w:val="18"/>
        </w:rPr>
        <w:t xml:space="preserve">10.5; </w:t>
      </w:r>
      <w:r>
        <w:rPr>
          <w:szCs w:val="18"/>
          <w:lang w:val="en-US"/>
        </w:rPr>
        <w:t>and </w:t>
      </w:r>
      <w:r w:rsidRPr="000101BF">
        <w:rPr>
          <w:szCs w:val="18"/>
        </w:rPr>
        <w:t>No.</w:t>
      </w:r>
      <w:r>
        <w:rPr>
          <w:szCs w:val="18"/>
        </w:rPr>
        <w:t> </w:t>
      </w:r>
      <w:r w:rsidRPr="000101BF">
        <w:rPr>
          <w:szCs w:val="18"/>
        </w:rPr>
        <w:t>65/1997</w:t>
      </w:r>
      <w:r>
        <w:rPr>
          <w:szCs w:val="18"/>
        </w:rPr>
        <w:t xml:space="preserve">, </w:t>
      </w:r>
      <w:r w:rsidRPr="000101BF">
        <w:rPr>
          <w:i/>
          <w:szCs w:val="18"/>
        </w:rPr>
        <w:t>I.A.O. v. Sweden</w:t>
      </w:r>
      <w:r w:rsidRPr="000101BF">
        <w:rPr>
          <w:szCs w:val="18"/>
        </w:rPr>
        <w:t xml:space="preserve">, </w:t>
      </w:r>
      <w:r>
        <w:rPr>
          <w:szCs w:val="18"/>
          <w:lang w:val="en-US"/>
        </w:rPr>
        <w:t xml:space="preserve">decision adopted on 6 May 1998, </w:t>
      </w:r>
      <w:r w:rsidRPr="000101BF">
        <w:rPr>
          <w:szCs w:val="18"/>
        </w:rPr>
        <w:t>para</w:t>
      </w:r>
      <w:r>
        <w:rPr>
          <w:szCs w:val="18"/>
        </w:rPr>
        <w:t>.</w:t>
      </w:r>
      <w:r w:rsidRPr="000101BF">
        <w:rPr>
          <w:szCs w:val="18"/>
        </w:rPr>
        <w:t xml:space="preserve"> 14.5.</w:t>
      </w:r>
      <w:r>
        <w:t xml:space="preserve"> </w:t>
      </w:r>
    </w:p>
  </w:footnote>
  <w:footnote w:id="13">
    <w:p w:rsidR="00721E5A" w:rsidRPr="004861B7" w:rsidRDefault="00721E5A" w:rsidP="00304A52">
      <w:pPr>
        <w:pStyle w:val="FootnoteText"/>
        <w:widowControl w:val="0"/>
        <w:tabs>
          <w:tab w:val="clear" w:pos="1021"/>
          <w:tab w:val="right" w:pos="1020"/>
        </w:tabs>
      </w:pPr>
      <w:r>
        <w:tab/>
      </w:r>
      <w:r>
        <w:rPr>
          <w:rStyle w:val="FootnoteReference"/>
        </w:rPr>
        <w:footnoteRef/>
      </w:r>
      <w:r>
        <w:tab/>
      </w:r>
      <w:r>
        <w:rPr>
          <w:lang w:val="en-US"/>
        </w:rPr>
        <w:t xml:space="preserve">See </w:t>
      </w:r>
      <w:r w:rsidRPr="000101BF">
        <w:rPr>
          <w:szCs w:val="18"/>
        </w:rPr>
        <w:t xml:space="preserve">Amnesty International, </w:t>
      </w:r>
      <w:r w:rsidRPr="00304A52">
        <w:rPr>
          <w:i/>
          <w:iCs/>
          <w:szCs w:val="18"/>
          <w:lang w:val="en-US"/>
        </w:rPr>
        <w:t>Amnesty International</w:t>
      </w:r>
      <w:r>
        <w:rPr>
          <w:szCs w:val="18"/>
          <w:lang w:val="en-US"/>
        </w:rPr>
        <w:t xml:space="preserve"> </w:t>
      </w:r>
      <w:r w:rsidRPr="000101BF">
        <w:rPr>
          <w:i/>
          <w:szCs w:val="18"/>
        </w:rPr>
        <w:t>Annual Report 2012</w:t>
      </w:r>
      <w:r>
        <w:rPr>
          <w:i/>
          <w:szCs w:val="18"/>
          <w:lang w:val="en-US"/>
        </w:rPr>
        <w:t xml:space="preserve"> </w:t>
      </w:r>
      <w:r w:rsidRPr="00414F1F">
        <w:rPr>
          <w:szCs w:val="18"/>
        </w:rPr>
        <w:t>(Pakistan</w:t>
      </w:r>
      <w:r w:rsidRPr="00304A52">
        <w:rPr>
          <w:szCs w:val="18"/>
          <w:lang w:val="en-US"/>
        </w:rPr>
        <w:t>)</w:t>
      </w:r>
      <w:r>
        <w:rPr>
          <w:szCs w:val="18"/>
          <w:lang w:val="en-US"/>
        </w:rPr>
        <w:t>, 24 May 2012</w:t>
      </w:r>
      <w:r w:rsidRPr="000101BF">
        <w:rPr>
          <w:szCs w:val="18"/>
        </w:rPr>
        <w:t>,</w:t>
      </w:r>
      <w:r>
        <w:rPr>
          <w:szCs w:val="18"/>
          <w:lang w:val="en-US"/>
        </w:rPr>
        <w:t xml:space="preserve"> available at</w:t>
      </w:r>
      <w:r w:rsidRPr="000101BF">
        <w:rPr>
          <w:szCs w:val="18"/>
        </w:rPr>
        <w:t xml:space="preserve"> www.amnesty.org/en/region/pakistan/report-2012; U</w:t>
      </w:r>
      <w:r>
        <w:rPr>
          <w:szCs w:val="18"/>
          <w:lang w:val="en-US"/>
        </w:rPr>
        <w:t xml:space="preserve">nited </w:t>
      </w:r>
      <w:r w:rsidRPr="000101BF">
        <w:rPr>
          <w:szCs w:val="18"/>
        </w:rPr>
        <w:t>S</w:t>
      </w:r>
      <w:r>
        <w:rPr>
          <w:szCs w:val="18"/>
          <w:lang w:val="en-US"/>
        </w:rPr>
        <w:t>tates of America,</w:t>
      </w:r>
      <w:r w:rsidRPr="000101BF">
        <w:rPr>
          <w:szCs w:val="18"/>
        </w:rPr>
        <w:t xml:space="preserve"> Department of State, </w:t>
      </w:r>
      <w:r w:rsidRPr="000101BF">
        <w:rPr>
          <w:i/>
          <w:szCs w:val="18"/>
        </w:rPr>
        <w:t>Country Reports on Human Rights Practices for 2012</w:t>
      </w:r>
      <w:r w:rsidRPr="00304A52">
        <w:rPr>
          <w:i/>
          <w:szCs w:val="18"/>
        </w:rPr>
        <w:t xml:space="preserve"> </w:t>
      </w:r>
      <w:r w:rsidRPr="00414F1F">
        <w:rPr>
          <w:szCs w:val="18"/>
        </w:rPr>
        <w:t>(Pakistan)</w:t>
      </w:r>
      <w:r w:rsidRPr="000101BF">
        <w:rPr>
          <w:szCs w:val="18"/>
        </w:rPr>
        <w:t xml:space="preserve">, </w:t>
      </w:r>
      <w:r>
        <w:rPr>
          <w:szCs w:val="18"/>
          <w:lang w:val="en-US"/>
        </w:rPr>
        <w:t xml:space="preserve">available at </w:t>
      </w:r>
      <w:r w:rsidRPr="000101BF">
        <w:rPr>
          <w:szCs w:val="18"/>
        </w:rPr>
        <w:t xml:space="preserve">www.state.gov/documents/organization/204621.pdf; Human Rights Watch, </w:t>
      </w:r>
      <w:r w:rsidRPr="000101BF">
        <w:rPr>
          <w:i/>
          <w:szCs w:val="18"/>
        </w:rPr>
        <w:t xml:space="preserve">World Report 2013 </w:t>
      </w:r>
      <w:r w:rsidRPr="000101BF">
        <w:rPr>
          <w:szCs w:val="18"/>
        </w:rPr>
        <w:t xml:space="preserve">(Pakistan), </w:t>
      </w:r>
      <w:r>
        <w:rPr>
          <w:szCs w:val="18"/>
          <w:lang w:val="en-US"/>
        </w:rPr>
        <w:t xml:space="preserve">available at </w:t>
      </w:r>
      <w:r w:rsidRPr="000101BF">
        <w:rPr>
          <w:szCs w:val="18"/>
        </w:rPr>
        <w:t xml:space="preserve">www.hrw.org/world-report/2013/country-chapters/pakistan; </w:t>
      </w:r>
      <w:r>
        <w:rPr>
          <w:szCs w:val="18"/>
          <w:lang w:val="en-US"/>
        </w:rPr>
        <w:t xml:space="preserve">and </w:t>
      </w:r>
      <w:r>
        <w:rPr>
          <w:szCs w:val="18"/>
        </w:rPr>
        <w:t>Maliha Zia </w:t>
      </w:r>
      <w:r w:rsidRPr="000101BF">
        <w:rPr>
          <w:szCs w:val="18"/>
        </w:rPr>
        <w:t xml:space="preserve">Lari, </w:t>
      </w:r>
      <w:r w:rsidRPr="000101BF">
        <w:rPr>
          <w:i/>
          <w:szCs w:val="18"/>
        </w:rPr>
        <w:t>A Pilot Study on: ‘Honour Killings’ in Pakistan and Compliance of Law</w:t>
      </w:r>
      <w:r w:rsidRPr="000101BF">
        <w:rPr>
          <w:szCs w:val="18"/>
        </w:rPr>
        <w:t xml:space="preserve"> (Islamabad</w:t>
      </w:r>
      <w:r>
        <w:rPr>
          <w:szCs w:val="18"/>
          <w:lang w:val="en-US"/>
        </w:rPr>
        <w:t>,</w:t>
      </w:r>
      <w:r w:rsidRPr="000101BF">
        <w:rPr>
          <w:szCs w:val="18"/>
        </w:rPr>
        <w:t xml:space="preserve"> Aurat Foundation, November 2011), </w:t>
      </w:r>
      <w:r>
        <w:rPr>
          <w:szCs w:val="18"/>
          <w:lang w:val="en-US"/>
        </w:rPr>
        <w:t xml:space="preserve">available at </w:t>
      </w:r>
      <w:r w:rsidRPr="000101BF">
        <w:rPr>
          <w:szCs w:val="18"/>
        </w:rPr>
        <w:t>www.af.org.pk/pub_files/1366345831.pdf.</w:t>
      </w:r>
      <w:r>
        <w:rPr>
          <w:szCs w:val="18"/>
        </w:rPr>
        <w:t xml:space="preserve"> </w:t>
      </w:r>
    </w:p>
  </w:footnote>
  <w:footnote w:id="14">
    <w:p w:rsidR="00721E5A" w:rsidRPr="004861B7" w:rsidRDefault="00721E5A" w:rsidP="00304A52">
      <w:pPr>
        <w:pStyle w:val="FootnoteText"/>
        <w:widowControl w:val="0"/>
        <w:tabs>
          <w:tab w:val="clear" w:pos="1021"/>
          <w:tab w:val="right" w:pos="1020"/>
        </w:tabs>
      </w:pPr>
      <w:r>
        <w:tab/>
      </w:r>
      <w:r>
        <w:rPr>
          <w:rStyle w:val="FootnoteReference"/>
        </w:rPr>
        <w:footnoteRef/>
      </w:r>
      <w:r>
        <w:tab/>
      </w:r>
      <w:r>
        <w:rPr>
          <w:lang w:val="en-US"/>
        </w:rPr>
        <w:t xml:space="preserve">See </w:t>
      </w:r>
      <w:r w:rsidRPr="000101BF">
        <w:rPr>
          <w:szCs w:val="18"/>
        </w:rPr>
        <w:t>J</w:t>
      </w:r>
      <w:r>
        <w:rPr>
          <w:szCs w:val="18"/>
          <w:lang w:val="en-US"/>
        </w:rPr>
        <w:t xml:space="preserve">. </w:t>
      </w:r>
      <w:r w:rsidRPr="000101BF">
        <w:rPr>
          <w:szCs w:val="18"/>
        </w:rPr>
        <w:t>B. Gould</w:t>
      </w:r>
      <w:r>
        <w:rPr>
          <w:szCs w:val="18"/>
          <w:lang w:val="en-US"/>
        </w:rPr>
        <w:t>, C. Sheppard and J. Wheeldon</w:t>
      </w:r>
      <w:r w:rsidRPr="000101BF">
        <w:rPr>
          <w:szCs w:val="18"/>
        </w:rPr>
        <w:t xml:space="preserve">, “A </w:t>
      </w:r>
      <w:r>
        <w:rPr>
          <w:szCs w:val="18"/>
          <w:lang w:val="en-US"/>
        </w:rPr>
        <w:t>r</w:t>
      </w:r>
      <w:r w:rsidRPr="000101BF">
        <w:rPr>
          <w:szCs w:val="18"/>
        </w:rPr>
        <w:t xml:space="preserve">efugee from </w:t>
      </w:r>
      <w:r>
        <w:rPr>
          <w:szCs w:val="18"/>
          <w:lang w:val="en-US"/>
        </w:rPr>
        <w:t>j</w:t>
      </w:r>
      <w:r w:rsidRPr="000101BF">
        <w:rPr>
          <w:szCs w:val="18"/>
        </w:rPr>
        <w:t xml:space="preserve">ustice? Disparate </w:t>
      </w:r>
      <w:r>
        <w:rPr>
          <w:szCs w:val="18"/>
          <w:lang w:val="en-US"/>
        </w:rPr>
        <w:t>t</w:t>
      </w:r>
      <w:r w:rsidRPr="000101BF">
        <w:rPr>
          <w:szCs w:val="18"/>
        </w:rPr>
        <w:t>reatment in the Federal Court of Canada”</w:t>
      </w:r>
      <w:r>
        <w:rPr>
          <w:szCs w:val="18"/>
          <w:lang w:val="en-US"/>
        </w:rPr>
        <w:t>,</w:t>
      </w:r>
      <w:r w:rsidRPr="000101BF">
        <w:rPr>
          <w:szCs w:val="18"/>
        </w:rPr>
        <w:t xml:space="preserve"> </w:t>
      </w:r>
      <w:r w:rsidRPr="00304A52">
        <w:rPr>
          <w:i/>
          <w:iCs/>
          <w:szCs w:val="18"/>
        </w:rPr>
        <w:t>Law &amp; Policy</w:t>
      </w:r>
      <w:r>
        <w:rPr>
          <w:szCs w:val="18"/>
          <w:lang w:val="en-US"/>
        </w:rPr>
        <w:t>, vol. 32, No. 4 (October 2010), p.</w:t>
      </w:r>
      <w:r w:rsidRPr="000101BF">
        <w:rPr>
          <w:szCs w:val="18"/>
        </w:rPr>
        <w:t xml:space="preserve"> 454. </w:t>
      </w:r>
      <w:r>
        <w:rPr>
          <w:szCs w:val="18"/>
          <w:lang w:val="en-US"/>
        </w:rPr>
        <w:t xml:space="preserve">Available from </w:t>
      </w:r>
      <w:r w:rsidRPr="006062E0">
        <w:rPr>
          <w:szCs w:val="18"/>
          <w:lang w:val="en-US"/>
        </w:rPr>
        <w:t>www.researchgate.net/publication/227642031_A_Refugee_from_Justice_Disparate_Treatment_in_the_Federal_Court_of_Canada</w:t>
      </w:r>
      <w:r w:rsidRPr="000101BF">
        <w:rPr>
          <w:szCs w:val="18"/>
        </w:rPr>
        <w:t>.</w:t>
      </w:r>
      <w:r>
        <w:rPr>
          <w:szCs w:val="18"/>
        </w:rPr>
        <w:t xml:space="preserve"> </w:t>
      </w:r>
    </w:p>
  </w:footnote>
  <w:footnote w:id="15">
    <w:p w:rsidR="00721E5A" w:rsidRPr="004861B7" w:rsidRDefault="00721E5A" w:rsidP="00304A52">
      <w:pPr>
        <w:pStyle w:val="FootnoteText"/>
        <w:widowControl w:val="0"/>
        <w:tabs>
          <w:tab w:val="clear" w:pos="1021"/>
          <w:tab w:val="right" w:pos="1020"/>
        </w:tabs>
      </w:pPr>
      <w:r>
        <w:tab/>
      </w:r>
      <w:r>
        <w:rPr>
          <w:rStyle w:val="FootnoteReference"/>
        </w:rPr>
        <w:footnoteRef/>
      </w:r>
      <w:r>
        <w:tab/>
      </w:r>
      <w:r w:rsidRPr="00EB3CA9">
        <w:t xml:space="preserve">Communication No 319/2007, </w:t>
      </w:r>
      <w:r w:rsidRPr="00304A52">
        <w:rPr>
          <w:i/>
          <w:iCs/>
        </w:rPr>
        <w:t>Singh v. Canada</w:t>
      </w:r>
      <w:r>
        <w:t xml:space="preserve">, </w:t>
      </w:r>
      <w:r w:rsidRPr="00EB3CA9">
        <w:t xml:space="preserve">decision </w:t>
      </w:r>
      <w:r>
        <w:t xml:space="preserve">adopted on </w:t>
      </w:r>
      <w:r w:rsidRPr="006811EC">
        <w:rPr>
          <w:lang w:val="en"/>
        </w:rPr>
        <w:t>30 May 2011</w:t>
      </w:r>
      <w:r w:rsidRPr="00EB3CA9">
        <w:t>.</w:t>
      </w:r>
      <w:r>
        <w:t xml:space="preserve"> </w:t>
      </w:r>
    </w:p>
  </w:footnote>
  <w:footnote w:id="16">
    <w:p w:rsidR="00721E5A" w:rsidRPr="004861B7" w:rsidRDefault="00721E5A" w:rsidP="007D47B5">
      <w:pPr>
        <w:pStyle w:val="FootnoteText"/>
        <w:widowControl w:val="0"/>
        <w:tabs>
          <w:tab w:val="clear" w:pos="1021"/>
          <w:tab w:val="right" w:pos="1020"/>
        </w:tabs>
      </w:pPr>
      <w:r>
        <w:tab/>
      </w:r>
      <w:r>
        <w:rPr>
          <w:rStyle w:val="FootnoteReference"/>
        </w:rPr>
        <w:footnoteRef/>
      </w:r>
      <w:r>
        <w:tab/>
      </w:r>
      <w:r w:rsidRPr="007D1791">
        <w:t xml:space="preserve">Communications No 343/2008, </w:t>
      </w:r>
      <w:r w:rsidRPr="00304A52">
        <w:rPr>
          <w:i/>
          <w:iCs/>
        </w:rPr>
        <w:t>Kalonzo v. Canada</w:t>
      </w:r>
      <w:r>
        <w:t xml:space="preserve">, </w:t>
      </w:r>
      <w:r w:rsidRPr="007D1791">
        <w:t xml:space="preserve">decision </w:t>
      </w:r>
      <w:r>
        <w:t xml:space="preserve">adopted on </w:t>
      </w:r>
      <w:r w:rsidRPr="007D1791">
        <w:rPr>
          <w:lang w:val="en"/>
        </w:rPr>
        <w:t>18 May 2012</w:t>
      </w:r>
      <w:r>
        <w:rPr>
          <w:lang w:val="en"/>
        </w:rPr>
        <w:t xml:space="preserve">; </w:t>
      </w:r>
      <w:r w:rsidRPr="007D1791">
        <w:t xml:space="preserve">and </w:t>
      </w:r>
      <w:r>
        <w:t xml:space="preserve">No. 333/2007, </w:t>
      </w:r>
      <w:r w:rsidRPr="00304A52">
        <w:rPr>
          <w:i/>
          <w:iCs/>
        </w:rPr>
        <w:t>T.I. v. Canada</w:t>
      </w:r>
      <w:r>
        <w:t xml:space="preserve">, decision adopted on </w:t>
      </w:r>
      <w:r w:rsidRPr="00C260AC">
        <w:rPr>
          <w:lang w:val="en"/>
        </w:rPr>
        <w:t>15 Nov</w:t>
      </w:r>
      <w:r>
        <w:rPr>
          <w:lang w:val="en"/>
        </w:rPr>
        <w:t>ember</w:t>
      </w:r>
      <w:r w:rsidRPr="00C260AC">
        <w:rPr>
          <w:lang w:val="en"/>
        </w:rPr>
        <w:t xml:space="preserve"> 2010</w:t>
      </w:r>
      <w:r>
        <w:rPr>
          <w:lang w:val="en"/>
        </w:rPr>
        <w:t>.</w:t>
      </w:r>
      <w:r>
        <w:t xml:space="preserve"> </w:t>
      </w:r>
    </w:p>
  </w:footnote>
  <w:footnote w:id="17">
    <w:p w:rsidR="00721E5A" w:rsidRPr="004861B7" w:rsidRDefault="00721E5A" w:rsidP="00304A52">
      <w:pPr>
        <w:pStyle w:val="FootnoteText"/>
        <w:widowControl w:val="0"/>
        <w:tabs>
          <w:tab w:val="clear" w:pos="1021"/>
          <w:tab w:val="right" w:pos="1020"/>
        </w:tabs>
        <w:rPr>
          <w:lang w:val="it-IT"/>
        </w:rPr>
      </w:pPr>
      <w:r>
        <w:tab/>
      </w:r>
      <w:r>
        <w:rPr>
          <w:rStyle w:val="FootnoteReference"/>
        </w:rPr>
        <w:footnoteRef/>
      </w:r>
      <w:r>
        <w:tab/>
      </w:r>
      <w:r w:rsidRPr="000101BF">
        <w:rPr>
          <w:szCs w:val="18"/>
        </w:rPr>
        <w:t xml:space="preserve">See </w:t>
      </w:r>
      <w:r>
        <w:rPr>
          <w:szCs w:val="18"/>
          <w:lang w:val="en-US"/>
        </w:rPr>
        <w:t>for example</w:t>
      </w:r>
      <w:r w:rsidRPr="000101BF">
        <w:rPr>
          <w:szCs w:val="18"/>
        </w:rPr>
        <w:t xml:space="preserve"> </w:t>
      </w:r>
      <w:r>
        <w:rPr>
          <w:szCs w:val="18"/>
        </w:rPr>
        <w:t>c</w:t>
      </w:r>
      <w:r w:rsidRPr="000101BF">
        <w:rPr>
          <w:szCs w:val="18"/>
        </w:rPr>
        <w:t>ommunication</w:t>
      </w:r>
      <w:r>
        <w:rPr>
          <w:szCs w:val="18"/>
        </w:rPr>
        <w:t>s</w:t>
      </w:r>
      <w:r w:rsidRPr="000101BF">
        <w:rPr>
          <w:i/>
          <w:szCs w:val="18"/>
        </w:rPr>
        <w:t xml:space="preserve"> </w:t>
      </w:r>
      <w:r w:rsidRPr="000101BF">
        <w:rPr>
          <w:szCs w:val="18"/>
        </w:rPr>
        <w:t>No. 307/2006</w:t>
      </w:r>
      <w:r>
        <w:rPr>
          <w:szCs w:val="18"/>
        </w:rPr>
        <w:t>,</w:t>
      </w:r>
      <w:r w:rsidRPr="000101BF">
        <w:rPr>
          <w:szCs w:val="18"/>
        </w:rPr>
        <w:t xml:space="preserve"> </w:t>
      </w:r>
      <w:r>
        <w:rPr>
          <w:i/>
          <w:szCs w:val="18"/>
          <w:lang w:val="en-US"/>
        </w:rPr>
        <w:t>E.Y.</w:t>
      </w:r>
      <w:r w:rsidRPr="000101BF">
        <w:rPr>
          <w:i/>
          <w:szCs w:val="18"/>
        </w:rPr>
        <w:t xml:space="preserve"> v. Canada, </w:t>
      </w:r>
      <w:r w:rsidRPr="00304A52">
        <w:rPr>
          <w:iCs/>
          <w:szCs w:val="18"/>
          <w:lang w:val="en-US"/>
        </w:rPr>
        <w:t>decision adopted on 4 November 2009,</w:t>
      </w:r>
      <w:r>
        <w:rPr>
          <w:i/>
          <w:szCs w:val="18"/>
          <w:lang w:val="en-US"/>
        </w:rPr>
        <w:t xml:space="preserve"> </w:t>
      </w:r>
      <w:r w:rsidRPr="000101BF">
        <w:rPr>
          <w:szCs w:val="18"/>
        </w:rPr>
        <w:t xml:space="preserve">paras. </w:t>
      </w:r>
      <w:r w:rsidRPr="00036482">
        <w:rPr>
          <w:szCs w:val="18"/>
          <w:lang w:val="it-IT"/>
        </w:rPr>
        <w:t xml:space="preserve">9.3-9.4; </w:t>
      </w:r>
      <w:r w:rsidRPr="00036482">
        <w:rPr>
          <w:i/>
          <w:szCs w:val="18"/>
          <w:lang w:val="it-IT"/>
        </w:rPr>
        <w:t>L.Z.B.</w:t>
      </w:r>
      <w:r>
        <w:rPr>
          <w:i/>
          <w:szCs w:val="18"/>
          <w:lang w:val="it-IT"/>
        </w:rPr>
        <w:t xml:space="preserve"> </w:t>
      </w:r>
      <w:r w:rsidRPr="00036482">
        <w:rPr>
          <w:i/>
          <w:szCs w:val="18"/>
          <w:lang w:val="it-IT"/>
        </w:rPr>
        <w:t>v. Canada,</w:t>
      </w:r>
      <w:r w:rsidRPr="00036482">
        <w:rPr>
          <w:szCs w:val="18"/>
          <w:lang w:val="it-IT"/>
        </w:rPr>
        <w:t xml:space="preserve"> para</w:t>
      </w:r>
      <w:r>
        <w:rPr>
          <w:szCs w:val="18"/>
          <w:lang w:val="it-IT"/>
        </w:rPr>
        <w:t>.</w:t>
      </w:r>
      <w:r w:rsidRPr="00036482">
        <w:rPr>
          <w:szCs w:val="18"/>
          <w:lang w:val="it-IT"/>
        </w:rPr>
        <w:t xml:space="preserve"> 6.6; </w:t>
      </w:r>
      <w:r w:rsidRPr="00036482">
        <w:rPr>
          <w:i/>
          <w:szCs w:val="18"/>
          <w:lang w:val="it-IT"/>
        </w:rPr>
        <w:t xml:space="preserve">P.S.S. v. Canada, </w:t>
      </w:r>
      <w:r w:rsidRPr="00036482">
        <w:rPr>
          <w:szCs w:val="18"/>
          <w:lang w:val="it-IT"/>
        </w:rPr>
        <w:t xml:space="preserve">para. 6.2; </w:t>
      </w:r>
      <w:r w:rsidRPr="00036482">
        <w:rPr>
          <w:i/>
          <w:szCs w:val="18"/>
          <w:lang w:val="it-IT"/>
        </w:rPr>
        <w:t xml:space="preserve">P.S. v. Canada, </w:t>
      </w:r>
      <w:r w:rsidRPr="00036482">
        <w:rPr>
          <w:szCs w:val="18"/>
          <w:lang w:val="it-IT"/>
        </w:rPr>
        <w:t>para.</w:t>
      </w:r>
      <w:r>
        <w:rPr>
          <w:szCs w:val="18"/>
          <w:lang w:val="it-IT"/>
        </w:rPr>
        <w:t> </w:t>
      </w:r>
      <w:r w:rsidRPr="00036482">
        <w:rPr>
          <w:szCs w:val="18"/>
          <w:lang w:val="it-IT"/>
        </w:rPr>
        <w:t xml:space="preserve">6.2; </w:t>
      </w:r>
      <w:r w:rsidRPr="00036482">
        <w:rPr>
          <w:i/>
          <w:szCs w:val="18"/>
          <w:lang w:val="it-IT"/>
        </w:rPr>
        <w:t>R.K. v. Canada</w:t>
      </w:r>
      <w:r w:rsidRPr="00036482">
        <w:rPr>
          <w:szCs w:val="18"/>
          <w:lang w:val="it-IT"/>
        </w:rPr>
        <w:t xml:space="preserve">, para. 7.2; </w:t>
      </w:r>
      <w:r w:rsidRPr="00036482">
        <w:rPr>
          <w:i/>
          <w:szCs w:val="18"/>
          <w:lang w:val="it-IT"/>
        </w:rPr>
        <w:t>L.O. v. Canada</w:t>
      </w:r>
      <w:r w:rsidRPr="00304A52">
        <w:rPr>
          <w:iCs/>
          <w:szCs w:val="18"/>
          <w:lang w:val="it-IT"/>
        </w:rPr>
        <w:t>,</w:t>
      </w:r>
      <w:r w:rsidRPr="00036482">
        <w:rPr>
          <w:i/>
          <w:szCs w:val="18"/>
          <w:lang w:val="it-IT"/>
        </w:rPr>
        <w:t xml:space="preserve"> </w:t>
      </w:r>
      <w:r w:rsidRPr="00036482">
        <w:rPr>
          <w:szCs w:val="18"/>
          <w:lang w:val="it-IT"/>
        </w:rPr>
        <w:t xml:space="preserve">para. 6.5; </w:t>
      </w:r>
      <w:r w:rsidRPr="00036482">
        <w:rPr>
          <w:i/>
          <w:szCs w:val="18"/>
          <w:lang w:val="it-IT"/>
        </w:rPr>
        <w:t xml:space="preserve">M.A. v. Canada, </w:t>
      </w:r>
      <w:r w:rsidRPr="00036482">
        <w:rPr>
          <w:szCs w:val="18"/>
          <w:lang w:val="it-IT"/>
        </w:rPr>
        <w:t xml:space="preserve">para. 3; </w:t>
      </w:r>
      <w:r w:rsidRPr="00036482">
        <w:rPr>
          <w:i/>
          <w:szCs w:val="18"/>
          <w:lang w:val="it-IT"/>
        </w:rPr>
        <w:t>B.S.S. v.</w:t>
      </w:r>
      <w:r>
        <w:rPr>
          <w:i/>
          <w:szCs w:val="18"/>
          <w:lang w:val="it-IT"/>
        </w:rPr>
        <w:t> </w:t>
      </w:r>
      <w:r w:rsidRPr="00036482">
        <w:rPr>
          <w:i/>
          <w:szCs w:val="18"/>
          <w:lang w:val="it-IT"/>
        </w:rPr>
        <w:t>Canada</w:t>
      </w:r>
      <w:r w:rsidRPr="00304A52">
        <w:rPr>
          <w:iCs/>
          <w:szCs w:val="18"/>
          <w:lang w:val="it-IT"/>
        </w:rPr>
        <w:t xml:space="preserve">, </w:t>
      </w:r>
      <w:r w:rsidRPr="00036482">
        <w:rPr>
          <w:szCs w:val="18"/>
          <w:lang w:val="it-IT"/>
        </w:rPr>
        <w:t>para. 11.6;</w:t>
      </w:r>
      <w:r>
        <w:rPr>
          <w:szCs w:val="18"/>
          <w:lang w:val="it-IT"/>
        </w:rPr>
        <w:t xml:space="preserve"> and</w:t>
      </w:r>
      <w:r w:rsidRPr="00036482">
        <w:rPr>
          <w:szCs w:val="18"/>
          <w:lang w:val="it-IT"/>
        </w:rPr>
        <w:t xml:space="preserve"> </w:t>
      </w:r>
      <w:r w:rsidRPr="00304A52">
        <w:rPr>
          <w:i/>
          <w:iCs/>
          <w:szCs w:val="18"/>
          <w:lang w:val="it-IT"/>
        </w:rPr>
        <w:t>Aung</w:t>
      </w:r>
      <w:r w:rsidRPr="00036482">
        <w:rPr>
          <w:i/>
          <w:szCs w:val="18"/>
          <w:lang w:val="it-IT"/>
        </w:rPr>
        <w:t>. v. Canada</w:t>
      </w:r>
      <w:r w:rsidRPr="00036482">
        <w:rPr>
          <w:szCs w:val="18"/>
          <w:lang w:val="it-IT"/>
        </w:rPr>
        <w:t>,</w:t>
      </w:r>
      <w:r>
        <w:rPr>
          <w:szCs w:val="18"/>
          <w:lang w:val="it-IT"/>
        </w:rPr>
        <w:t xml:space="preserve"> </w:t>
      </w:r>
      <w:r w:rsidRPr="00036482">
        <w:rPr>
          <w:szCs w:val="18"/>
          <w:lang w:val="it-IT"/>
        </w:rPr>
        <w:t xml:space="preserve">para. </w:t>
      </w:r>
      <w:r w:rsidRPr="000101BF">
        <w:rPr>
          <w:szCs w:val="18"/>
        </w:rPr>
        <w:t>6.3.</w:t>
      </w:r>
      <w:r>
        <w:rPr>
          <w:szCs w:val="18"/>
        </w:rPr>
        <w:t xml:space="preserve"> </w:t>
      </w:r>
    </w:p>
  </w:footnote>
  <w:footnote w:id="18">
    <w:p w:rsidR="00721E5A" w:rsidRPr="004861B7" w:rsidRDefault="00721E5A" w:rsidP="00304A52">
      <w:pPr>
        <w:pStyle w:val="FootnoteText"/>
        <w:widowControl w:val="0"/>
        <w:tabs>
          <w:tab w:val="clear" w:pos="1021"/>
          <w:tab w:val="right" w:pos="1020"/>
        </w:tabs>
      </w:pPr>
      <w:r>
        <w:tab/>
      </w:r>
      <w:r>
        <w:rPr>
          <w:rStyle w:val="FootnoteReference"/>
        </w:rPr>
        <w:footnoteRef/>
      </w:r>
      <w:r>
        <w:tab/>
      </w:r>
      <w:r w:rsidRPr="00304A52">
        <w:rPr>
          <w:lang w:val="es-ES"/>
        </w:rPr>
        <w:t xml:space="preserve">See </w:t>
      </w:r>
      <w:r w:rsidRPr="00036482">
        <w:rPr>
          <w:i/>
          <w:szCs w:val="18"/>
          <w:lang w:val="it-IT"/>
        </w:rPr>
        <w:t>A</w:t>
      </w:r>
      <w:r>
        <w:rPr>
          <w:i/>
          <w:szCs w:val="18"/>
          <w:lang w:val="it-IT"/>
        </w:rPr>
        <w:t>ung</w:t>
      </w:r>
      <w:r w:rsidRPr="00036482">
        <w:rPr>
          <w:i/>
          <w:szCs w:val="18"/>
          <w:lang w:val="it-IT"/>
        </w:rPr>
        <w:t>. v. Canada</w:t>
      </w:r>
      <w:r w:rsidRPr="00036482">
        <w:rPr>
          <w:szCs w:val="18"/>
          <w:lang w:val="it-IT"/>
        </w:rPr>
        <w:t xml:space="preserve">, para. 6.3; </w:t>
      </w:r>
      <w:r>
        <w:rPr>
          <w:szCs w:val="18"/>
          <w:lang w:val="it-IT"/>
        </w:rPr>
        <w:t>and</w:t>
      </w:r>
      <w:r w:rsidRPr="00036482">
        <w:rPr>
          <w:szCs w:val="18"/>
          <w:lang w:val="it-IT"/>
        </w:rPr>
        <w:t xml:space="preserve"> </w:t>
      </w:r>
      <w:r w:rsidRPr="00036482">
        <w:rPr>
          <w:i/>
          <w:szCs w:val="18"/>
          <w:lang w:val="it-IT"/>
        </w:rPr>
        <w:t>L.Z.B. v. Canada</w:t>
      </w:r>
      <w:r w:rsidRPr="00036482">
        <w:rPr>
          <w:szCs w:val="18"/>
          <w:lang w:val="it-IT"/>
        </w:rPr>
        <w:t xml:space="preserve">, para. </w:t>
      </w:r>
      <w:r w:rsidRPr="000101BF">
        <w:rPr>
          <w:szCs w:val="18"/>
        </w:rPr>
        <w:t>6.6.</w:t>
      </w:r>
      <w:r>
        <w:t xml:space="preserve"> </w:t>
      </w:r>
    </w:p>
  </w:footnote>
  <w:footnote w:id="19">
    <w:p w:rsidR="00721E5A" w:rsidRPr="004861B7" w:rsidRDefault="00721E5A" w:rsidP="00304A52">
      <w:pPr>
        <w:pStyle w:val="FootnoteText"/>
        <w:widowControl w:val="0"/>
        <w:tabs>
          <w:tab w:val="clear" w:pos="1021"/>
          <w:tab w:val="right" w:pos="1020"/>
        </w:tabs>
      </w:pPr>
      <w:r>
        <w:tab/>
      </w:r>
      <w:r>
        <w:rPr>
          <w:rStyle w:val="FootnoteReference"/>
        </w:rPr>
        <w:footnoteRef/>
      </w:r>
      <w:r>
        <w:tab/>
      </w:r>
      <w:r w:rsidRPr="000101BF">
        <w:rPr>
          <w:szCs w:val="18"/>
        </w:rPr>
        <w:t xml:space="preserve">The </w:t>
      </w:r>
      <w:r>
        <w:rPr>
          <w:szCs w:val="18"/>
          <w:lang w:val="en-US"/>
        </w:rPr>
        <w:t xml:space="preserve">jurisprudence of the </w:t>
      </w:r>
      <w:r w:rsidRPr="000101BF">
        <w:rPr>
          <w:szCs w:val="18"/>
        </w:rPr>
        <w:t xml:space="preserve">Supreme Court of Canada on this point </w:t>
      </w:r>
      <w:r>
        <w:rPr>
          <w:szCs w:val="18"/>
          <w:lang w:val="en-US"/>
        </w:rPr>
        <w:t xml:space="preserve">provided </w:t>
      </w:r>
      <w:r w:rsidRPr="000101BF">
        <w:rPr>
          <w:szCs w:val="18"/>
        </w:rPr>
        <w:t>guid</w:t>
      </w:r>
      <w:r>
        <w:rPr>
          <w:szCs w:val="18"/>
          <w:lang w:val="en-US"/>
        </w:rPr>
        <w:t>ance for</w:t>
      </w:r>
      <w:r w:rsidRPr="000101BF">
        <w:rPr>
          <w:szCs w:val="18"/>
        </w:rPr>
        <w:t xml:space="preserve"> judicial review by all Canadian courts</w:t>
      </w:r>
      <w:r>
        <w:rPr>
          <w:szCs w:val="18"/>
          <w:lang w:val="en-US"/>
        </w:rPr>
        <w:t>. See its</w:t>
      </w:r>
      <w:r w:rsidRPr="000101BF">
        <w:rPr>
          <w:szCs w:val="18"/>
        </w:rPr>
        <w:t xml:space="preserve"> expla</w:t>
      </w:r>
      <w:r>
        <w:rPr>
          <w:szCs w:val="18"/>
          <w:lang w:val="en-US"/>
        </w:rPr>
        <w:t xml:space="preserve">nation of </w:t>
      </w:r>
      <w:r w:rsidRPr="000101BF">
        <w:rPr>
          <w:szCs w:val="18"/>
        </w:rPr>
        <w:t xml:space="preserve">“reasonableness” and “correctness” standards of review in </w:t>
      </w:r>
      <w:r w:rsidRPr="000101BF">
        <w:rPr>
          <w:i/>
          <w:szCs w:val="18"/>
        </w:rPr>
        <w:t>Dunsmuir v. New Brunswick</w:t>
      </w:r>
      <w:r w:rsidRPr="000101BF">
        <w:rPr>
          <w:szCs w:val="18"/>
        </w:rPr>
        <w:t>, 2008 SCC 9</w:t>
      </w:r>
      <w:r>
        <w:rPr>
          <w:szCs w:val="18"/>
          <w:lang w:val="en-US"/>
        </w:rPr>
        <w:t>,</w:t>
      </w:r>
      <w:r w:rsidRPr="000101BF">
        <w:rPr>
          <w:szCs w:val="18"/>
        </w:rPr>
        <w:t xml:space="preserve"> para. 49</w:t>
      </w:r>
      <w:r>
        <w:rPr>
          <w:szCs w:val="18"/>
          <w:lang w:val="en-US"/>
        </w:rPr>
        <w:t xml:space="preserve">, available at </w:t>
      </w:r>
      <w:r w:rsidRPr="00994710">
        <w:rPr>
          <w:szCs w:val="18"/>
          <w:lang w:val="en-US"/>
        </w:rPr>
        <w:t>www.canlii.org/en/ca/scc/doc/2008/2008scc9/2008scc9.html</w:t>
      </w:r>
      <w:r>
        <w:rPr>
          <w:szCs w:val="18"/>
          <w:lang w:val="en-US"/>
        </w:rPr>
        <w:t>.</w:t>
      </w:r>
      <w:r w:rsidRPr="000101BF">
        <w:rPr>
          <w:szCs w:val="18"/>
        </w:rPr>
        <w:t>.</w:t>
      </w:r>
      <w:r>
        <w:t xml:space="preserve"> </w:t>
      </w:r>
    </w:p>
  </w:footnote>
  <w:footnote w:id="20">
    <w:p w:rsidR="00721E5A" w:rsidRPr="004861B7" w:rsidRDefault="00721E5A" w:rsidP="00304A52">
      <w:pPr>
        <w:pStyle w:val="FootnoteText"/>
        <w:widowControl w:val="0"/>
        <w:tabs>
          <w:tab w:val="clear" w:pos="1021"/>
          <w:tab w:val="right" w:pos="1020"/>
        </w:tabs>
      </w:pPr>
      <w:r>
        <w:tab/>
      </w:r>
      <w:r>
        <w:rPr>
          <w:rStyle w:val="FootnoteReference"/>
        </w:rPr>
        <w:footnoteRef/>
      </w:r>
      <w:r>
        <w:tab/>
      </w:r>
      <w:r>
        <w:rPr>
          <w:lang w:val="en-US"/>
        </w:rPr>
        <w:t xml:space="preserve">See </w:t>
      </w:r>
      <w:r w:rsidRPr="000101BF">
        <w:rPr>
          <w:i/>
          <w:szCs w:val="18"/>
        </w:rPr>
        <w:t>Bains v. Minister of Employment and Immigration</w:t>
      </w:r>
      <w:r w:rsidRPr="000101BF">
        <w:rPr>
          <w:szCs w:val="18"/>
        </w:rPr>
        <w:t xml:space="preserve"> (1990), 109 N.R. 239 (Fed. C.A.);</w:t>
      </w:r>
      <w:r>
        <w:rPr>
          <w:szCs w:val="18"/>
          <w:lang w:val="en-US"/>
        </w:rPr>
        <w:t xml:space="preserve"> and</w:t>
      </w:r>
      <w:r w:rsidRPr="000101BF">
        <w:rPr>
          <w:szCs w:val="18"/>
        </w:rPr>
        <w:t xml:space="preserve"> </w:t>
      </w:r>
      <w:r w:rsidRPr="000101BF">
        <w:rPr>
          <w:i/>
          <w:szCs w:val="18"/>
        </w:rPr>
        <w:t>Wu v.</w:t>
      </w:r>
      <w:r>
        <w:rPr>
          <w:i/>
          <w:szCs w:val="18"/>
        </w:rPr>
        <w:t> </w:t>
      </w:r>
      <w:r w:rsidRPr="000101BF">
        <w:rPr>
          <w:i/>
          <w:szCs w:val="18"/>
        </w:rPr>
        <w:t xml:space="preserve">Minister of Employment and Immigration, </w:t>
      </w:r>
      <w:r w:rsidRPr="000101BF">
        <w:rPr>
          <w:szCs w:val="18"/>
        </w:rPr>
        <w:t>[1989] 2 F.C. 175 (T.D.).</w:t>
      </w:r>
      <w:r>
        <w:t xml:space="preserve"> </w:t>
      </w:r>
    </w:p>
  </w:footnote>
  <w:footnote w:id="21">
    <w:p w:rsidR="00721E5A" w:rsidRPr="004861B7" w:rsidRDefault="00721E5A" w:rsidP="00304A52">
      <w:pPr>
        <w:pStyle w:val="FootnoteText"/>
        <w:widowControl w:val="0"/>
        <w:tabs>
          <w:tab w:val="clear" w:pos="1021"/>
          <w:tab w:val="right" w:pos="1020"/>
        </w:tabs>
      </w:pPr>
      <w:r>
        <w:tab/>
      </w:r>
      <w:r>
        <w:rPr>
          <w:rStyle w:val="FootnoteReference"/>
        </w:rPr>
        <w:footnoteRef/>
      </w:r>
      <w:r>
        <w:tab/>
      </w:r>
      <w:r w:rsidRPr="000101BF">
        <w:rPr>
          <w:szCs w:val="18"/>
        </w:rPr>
        <w:t>See Federal Court</w:t>
      </w:r>
      <w:r>
        <w:rPr>
          <w:szCs w:val="18"/>
          <w:lang w:val="en-US"/>
        </w:rPr>
        <w:t xml:space="preserve"> of Canada</w:t>
      </w:r>
      <w:r w:rsidRPr="000101BF">
        <w:rPr>
          <w:szCs w:val="18"/>
        </w:rPr>
        <w:t>,</w:t>
      </w:r>
      <w:r>
        <w:rPr>
          <w:szCs w:val="18"/>
          <w:lang w:val="en-US"/>
        </w:rPr>
        <w:t xml:space="preserve"> “</w:t>
      </w:r>
      <w:r w:rsidRPr="000101BF">
        <w:rPr>
          <w:szCs w:val="18"/>
        </w:rPr>
        <w:t>Statistics</w:t>
      </w:r>
      <w:r>
        <w:rPr>
          <w:szCs w:val="18"/>
          <w:lang w:val="en-US"/>
        </w:rPr>
        <w:t>”,</w:t>
      </w:r>
      <w:r w:rsidRPr="000101BF">
        <w:rPr>
          <w:szCs w:val="18"/>
        </w:rPr>
        <w:t xml:space="preserve"> Archived Content, Activity Summary</w:t>
      </w:r>
      <w:r>
        <w:rPr>
          <w:szCs w:val="18"/>
          <w:lang w:val="en-US"/>
        </w:rPr>
        <w:t xml:space="preserve"> –</w:t>
      </w:r>
      <w:r w:rsidRPr="000101BF">
        <w:rPr>
          <w:szCs w:val="18"/>
        </w:rPr>
        <w:t xml:space="preserve"> January 1 to December 31, 2012, </w:t>
      </w:r>
      <w:r>
        <w:rPr>
          <w:szCs w:val="18"/>
          <w:lang w:val="en-US"/>
        </w:rPr>
        <w:t xml:space="preserve">available at </w:t>
      </w:r>
      <w:r w:rsidRPr="003604C3">
        <w:rPr>
          <w:szCs w:val="18"/>
        </w:rPr>
        <w:t>http://cas-cdc-www02.cas-satj.gc.ca/portal/page/portal/fc_cf_en/</w:t>
      </w:r>
      <w:r>
        <w:rPr>
          <w:szCs w:val="18"/>
          <w:lang w:val="en-US"/>
        </w:rPr>
        <w:br/>
      </w:r>
      <w:r w:rsidRPr="003604C3">
        <w:rPr>
          <w:szCs w:val="18"/>
        </w:rPr>
        <w:t>Statistics/Statistics_dec12</w:t>
      </w:r>
      <w:r>
        <w:rPr>
          <w:szCs w:val="18"/>
          <w:lang w:val="en-US"/>
        </w:rPr>
        <w:t>.</w:t>
      </w:r>
      <w:r w:rsidRPr="000101BF">
        <w:rPr>
          <w:szCs w:val="18"/>
        </w:rPr>
        <w:t>.</w:t>
      </w:r>
      <w:r>
        <w:t xml:space="preserve"> </w:t>
      </w:r>
    </w:p>
  </w:footnote>
  <w:footnote w:id="22">
    <w:p w:rsidR="00721E5A" w:rsidRPr="004861B7" w:rsidRDefault="00721E5A" w:rsidP="00304A52">
      <w:pPr>
        <w:pStyle w:val="FootnoteText"/>
        <w:widowControl w:val="0"/>
        <w:tabs>
          <w:tab w:val="clear" w:pos="1021"/>
          <w:tab w:val="right" w:pos="1020"/>
        </w:tabs>
      </w:pPr>
      <w:r>
        <w:tab/>
      </w:r>
      <w:r>
        <w:rPr>
          <w:rStyle w:val="FootnoteReference"/>
        </w:rPr>
        <w:footnoteRef/>
      </w:r>
      <w:r>
        <w:tab/>
      </w:r>
      <w:r w:rsidRPr="000101BF">
        <w:rPr>
          <w:szCs w:val="18"/>
        </w:rPr>
        <w:t xml:space="preserve">See </w:t>
      </w:r>
      <w:r>
        <w:rPr>
          <w:szCs w:val="18"/>
          <w:lang w:val="en-US"/>
        </w:rPr>
        <w:t>for example</w:t>
      </w:r>
      <w:r w:rsidRPr="000101BF">
        <w:rPr>
          <w:szCs w:val="18"/>
        </w:rPr>
        <w:t xml:space="preserve"> </w:t>
      </w:r>
      <w:r>
        <w:rPr>
          <w:szCs w:val="18"/>
        </w:rPr>
        <w:t>c</w:t>
      </w:r>
      <w:r w:rsidRPr="000101BF">
        <w:rPr>
          <w:szCs w:val="18"/>
        </w:rPr>
        <w:t>ommunication No. 15/1994</w:t>
      </w:r>
      <w:r>
        <w:rPr>
          <w:szCs w:val="18"/>
        </w:rPr>
        <w:t>,</w:t>
      </w:r>
      <w:r w:rsidRPr="000101BF">
        <w:rPr>
          <w:szCs w:val="18"/>
        </w:rPr>
        <w:t xml:space="preserve"> </w:t>
      </w:r>
      <w:r w:rsidRPr="000101BF">
        <w:rPr>
          <w:i/>
          <w:szCs w:val="18"/>
        </w:rPr>
        <w:t>Khan v. Canada</w:t>
      </w:r>
      <w:r w:rsidRPr="000101BF">
        <w:rPr>
          <w:szCs w:val="18"/>
        </w:rPr>
        <w:t xml:space="preserve">, </w:t>
      </w:r>
      <w:r>
        <w:rPr>
          <w:szCs w:val="18"/>
          <w:lang w:val="en-US"/>
        </w:rPr>
        <w:t xml:space="preserve">decision adopted on 15 November 1994, </w:t>
      </w:r>
      <w:r w:rsidRPr="000101BF">
        <w:rPr>
          <w:szCs w:val="18"/>
        </w:rPr>
        <w:t>para. 12.1</w:t>
      </w:r>
      <w:r>
        <w:rPr>
          <w:szCs w:val="18"/>
        </w:rPr>
        <w:t xml:space="preserve">. </w:t>
      </w:r>
    </w:p>
  </w:footnote>
  <w:footnote w:id="23">
    <w:p w:rsidR="00721E5A" w:rsidRPr="004861B7" w:rsidRDefault="00721E5A" w:rsidP="00304A52">
      <w:pPr>
        <w:pStyle w:val="FootnoteText"/>
        <w:widowControl w:val="0"/>
        <w:tabs>
          <w:tab w:val="clear" w:pos="1021"/>
          <w:tab w:val="right" w:pos="1020"/>
        </w:tabs>
      </w:pPr>
      <w:r>
        <w:tab/>
      </w:r>
      <w:r>
        <w:rPr>
          <w:rStyle w:val="FootnoteReference"/>
        </w:rPr>
        <w:footnoteRef/>
      </w:r>
      <w:r>
        <w:tab/>
      </w:r>
      <w:r w:rsidRPr="000101BF">
        <w:rPr>
          <w:szCs w:val="18"/>
        </w:rPr>
        <w:t>See H</w:t>
      </w:r>
      <w:r>
        <w:rPr>
          <w:szCs w:val="18"/>
        </w:rPr>
        <w:t>uman Rights Committee, c</w:t>
      </w:r>
      <w:r w:rsidRPr="000101BF">
        <w:rPr>
          <w:szCs w:val="18"/>
        </w:rPr>
        <w:t>ommunication No. 1494/2006</w:t>
      </w:r>
      <w:r>
        <w:rPr>
          <w:szCs w:val="18"/>
        </w:rPr>
        <w:t>,</w:t>
      </w:r>
      <w:r w:rsidRPr="000101BF">
        <w:rPr>
          <w:i/>
          <w:szCs w:val="18"/>
        </w:rPr>
        <w:t xml:space="preserve"> Chadzjian v. Netherlands,</w:t>
      </w:r>
      <w:r w:rsidRPr="000101BF">
        <w:rPr>
          <w:szCs w:val="18"/>
        </w:rPr>
        <w:t xml:space="preserve"> </w:t>
      </w:r>
      <w:r>
        <w:rPr>
          <w:szCs w:val="18"/>
          <w:lang w:val="en-US"/>
        </w:rPr>
        <w:t xml:space="preserve">decision adopted on 22 July 2008, </w:t>
      </w:r>
      <w:r w:rsidRPr="000101BF">
        <w:rPr>
          <w:szCs w:val="18"/>
        </w:rPr>
        <w:t>para. 8.3</w:t>
      </w:r>
      <w:r>
        <w:rPr>
          <w:szCs w:val="18"/>
        </w:rPr>
        <w:t>.</w:t>
      </w:r>
      <w:r>
        <w:t xml:space="preserve"> </w:t>
      </w:r>
    </w:p>
  </w:footnote>
  <w:footnote w:id="24">
    <w:p w:rsidR="00721E5A" w:rsidRPr="004861B7" w:rsidRDefault="00721E5A" w:rsidP="00304A52">
      <w:pPr>
        <w:pStyle w:val="FootnoteText"/>
        <w:widowControl w:val="0"/>
        <w:tabs>
          <w:tab w:val="clear" w:pos="1021"/>
          <w:tab w:val="right" w:pos="1020"/>
        </w:tabs>
      </w:pPr>
      <w:r>
        <w:tab/>
      </w:r>
      <w:r>
        <w:rPr>
          <w:rStyle w:val="FootnoteReference"/>
        </w:rPr>
        <w:footnoteRef/>
      </w:r>
      <w:r>
        <w:tab/>
      </w:r>
      <w:r w:rsidRPr="000101BF">
        <w:rPr>
          <w:szCs w:val="18"/>
        </w:rPr>
        <w:t xml:space="preserve">See </w:t>
      </w:r>
      <w:r w:rsidRPr="000101BF">
        <w:rPr>
          <w:i/>
          <w:szCs w:val="18"/>
        </w:rPr>
        <w:t>Canada (Public Safety and Emergency Preparedness) v. Shpati</w:t>
      </w:r>
      <w:r w:rsidRPr="000101BF">
        <w:rPr>
          <w:szCs w:val="18"/>
        </w:rPr>
        <w:t>, 2011 FCA 286</w:t>
      </w:r>
      <w:r>
        <w:rPr>
          <w:szCs w:val="18"/>
          <w:lang w:val="en-US"/>
        </w:rPr>
        <w:t>,</w:t>
      </w:r>
      <w:r w:rsidRPr="000101BF">
        <w:rPr>
          <w:szCs w:val="18"/>
        </w:rPr>
        <w:t xml:space="preserve"> paras. 41-45</w:t>
      </w:r>
      <w:r>
        <w:rPr>
          <w:szCs w:val="18"/>
          <w:lang w:val="en-US"/>
        </w:rPr>
        <w:t xml:space="preserve"> and</w:t>
      </w:r>
      <w:r>
        <w:rPr>
          <w:szCs w:val="18"/>
        </w:rPr>
        <w:t> </w:t>
      </w:r>
      <w:r w:rsidRPr="000101BF">
        <w:rPr>
          <w:szCs w:val="18"/>
        </w:rPr>
        <w:t xml:space="preserve">52, </w:t>
      </w:r>
      <w:r>
        <w:rPr>
          <w:szCs w:val="18"/>
          <w:lang w:val="en-US"/>
        </w:rPr>
        <w:t xml:space="preserve">available at </w:t>
      </w:r>
      <w:hyperlink r:id="rId1" w:history="1">
        <w:r w:rsidRPr="00C04DE6">
          <w:rPr>
            <w:rStyle w:val="Hyperlink"/>
            <w:szCs w:val="18"/>
          </w:rPr>
          <w:t>www.canlii.org/en/ca/fca/doc/2011/2011fca286/2011fca286.html</w:t>
        </w:r>
      </w:hyperlink>
      <w:r w:rsidRPr="000101BF">
        <w:rPr>
          <w:szCs w:val="18"/>
        </w:rPr>
        <w:t>;</w:t>
      </w:r>
      <w:r>
        <w:rPr>
          <w:szCs w:val="18"/>
          <w:lang w:val="en-US"/>
        </w:rPr>
        <w:t xml:space="preserve"> and</w:t>
      </w:r>
      <w:r w:rsidRPr="000101BF">
        <w:rPr>
          <w:szCs w:val="18"/>
        </w:rPr>
        <w:t xml:space="preserve"> </w:t>
      </w:r>
      <w:r w:rsidRPr="000101BF">
        <w:rPr>
          <w:i/>
          <w:szCs w:val="18"/>
        </w:rPr>
        <w:t>Baron v. Canada (Minister of Public Safety and Emergency Preparedness)</w:t>
      </w:r>
      <w:r w:rsidRPr="000101BF">
        <w:rPr>
          <w:szCs w:val="18"/>
        </w:rPr>
        <w:t>, 2009 FCA 81</w:t>
      </w:r>
      <w:r>
        <w:rPr>
          <w:szCs w:val="18"/>
          <w:lang w:val="en-US"/>
        </w:rPr>
        <w:t>,</w:t>
      </w:r>
      <w:r w:rsidRPr="000101BF">
        <w:rPr>
          <w:szCs w:val="18"/>
        </w:rPr>
        <w:t xml:space="preserve"> para. 51, </w:t>
      </w:r>
      <w:r>
        <w:rPr>
          <w:szCs w:val="18"/>
          <w:lang w:val="en-US"/>
        </w:rPr>
        <w:t xml:space="preserve">available at </w:t>
      </w:r>
      <w:hyperlink r:id="rId2" w:history="1">
        <w:r w:rsidRPr="00C04DE6">
          <w:rPr>
            <w:rStyle w:val="Hyperlink"/>
            <w:szCs w:val="18"/>
          </w:rPr>
          <w:t>www.canlii.org/en/ca/fca/doc/2009/2009fca81/2009fca81.html</w:t>
        </w:r>
      </w:hyperlink>
      <w:r w:rsidRPr="000101BF">
        <w:rPr>
          <w:szCs w:val="18"/>
        </w:rPr>
        <w:t>.</w:t>
      </w:r>
      <w:r>
        <w:rPr>
          <w:szCs w:val="18"/>
          <w:lang w:val="en-US"/>
        </w:rPr>
        <w:t xml:space="preserve"> </w:t>
      </w:r>
      <w:r w:rsidRPr="000101BF">
        <w:rPr>
          <w:color w:val="000000"/>
          <w:szCs w:val="18"/>
          <w:shd w:val="clear" w:color="auto" w:fill="FFFFFF"/>
        </w:rPr>
        <w:t>Aside from these circumstances, “other personal exigencies have been held to warrant a deferral because removal at that time would not be reasonably practicable”</w:t>
      </w:r>
      <w:r>
        <w:rPr>
          <w:color w:val="000000"/>
          <w:szCs w:val="18"/>
          <w:shd w:val="clear" w:color="auto" w:fill="FFFFFF"/>
          <w:lang w:val="en-US"/>
        </w:rPr>
        <w:t xml:space="preserve"> in</w:t>
      </w:r>
      <w:r w:rsidRPr="000101BF">
        <w:rPr>
          <w:color w:val="000000"/>
          <w:szCs w:val="18"/>
          <w:shd w:val="clear" w:color="auto" w:fill="FFFFFF"/>
        </w:rPr>
        <w:t xml:space="preserve"> </w:t>
      </w:r>
      <w:r w:rsidRPr="000101BF">
        <w:rPr>
          <w:i/>
          <w:szCs w:val="18"/>
        </w:rPr>
        <w:t>Canada (Public Safety and Emergency Preparedness) v. Shpati</w:t>
      </w:r>
      <w:r w:rsidRPr="00304A52">
        <w:rPr>
          <w:iCs/>
          <w:szCs w:val="18"/>
          <w:lang w:val="en-US"/>
        </w:rPr>
        <w:t xml:space="preserve">, </w:t>
      </w:r>
      <w:r w:rsidRPr="000101BF">
        <w:rPr>
          <w:szCs w:val="18"/>
        </w:rPr>
        <w:t>para. 44.</w:t>
      </w:r>
      <w:r>
        <w:t xml:space="preserve"> </w:t>
      </w:r>
    </w:p>
  </w:footnote>
  <w:footnote w:id="25">
    <w:p w:rsidR="00721E5A" w:rsidRPr="004861B7" w:rsidRDefault="00721E5A" w:rsidP="00304A52">
      <w:pPr>
        <w:pStyle w:val="FootnoteText"/>
        <w:widowControl w:val="0"/>
        <w:tabs>
          <w:tab w:val="clear" w:pos="1021"/>
          <w:tab w:val="right" w:pos="1020"/>
        </w:tabs>
      </w:pPr>
      <w:r>
        <w:tab/>
      </w:r>
      <w:r>
        <w:rPr>
          <w:rStyle w:val="FootnoteReference"/>
        </w:rPr>
        <w:footnoteRef/>
      </w:r>
      <w:r>
        <w:tab/>
      </w:r>
      <w:r w:rsidRPr="0024082E">
        <w:t xml:space="preserve">See </w:t>
      </w:r>
      <w:r>
        <w:rPr>
          <w:lang w:val="en-US"/>
        </w:rPr>
        <w:t>for example,</w:t>
      </w:r>
      <w:r w:rsidRPr="0024082E">
        <w:t xml:space="preserve"> </w:t>
      </w:r>
      <w:r w:rsidRPr="000101BF">
        <w:rPr>
          <w:i/>
          <w:szCs w:val="18"/>
        </w:rPr>
        <w:t>R.S.A.N. v. Canada</w:t>
      </w:r>
      <w:r>
        <w:rPr>
          <w:szCs w:val="18"/>
        </w:rPr>
        <w:t>, para. 6.4.</w:t>
      </w:r>
      <w:r>
        <w:t xml:space="preserve"> </w:t>
      </w:r>
    </w:p>
  </w:footnote>
  <w:footnote w:id="26">
    <w:p w:rsidR="00721E5A" w:rsidRPr="004861B7" w:rsidRDefault="00721E5A" w:rsidP="00304A52">
      <w:pPr>
        <w:pStyle w:val="FootnoteText"/>
        <w:widowControl w:val="0"/>
        <w:tabs>
          <w:tab w:val="clear" w:pos="1021"/>
          <w:tab w:val="right" w:pos="1020"/>
        </w:tabs>
      </w:pPr>
      <w:r>
        <w:tab/>
      </w:r>
      <w:r>
        <w:rPr>
          <w:rStyle w:val="FootnoteReference"/>
        </w:rPr>
        <w:footnoteRef/>
      </w:r>
      <w:r>
        <w:tab/>
      </w:r>
      <w:r w:rsidRPr="00E25746">
        <w:rPr>
          <w:szCs w:val="18"/>
        </w:rPr>
        <w:t xml:space="preserve">See </w:t>
      </w:r>
      <w:r>
        <w:rPr>
          <w:szCs w:val="18"/>
        </w:rPr>
        <w:t xml:space="preserve">for example, </w:t>
      </w:r>
      <w:r w:rsidRPr="00DD4551">
        <w:rPr>
          <w:i/>
          <w:szCs w:val="18"/>
        </w:rPr>
        <w:t>A</w:t>
      </w:r>
      <w:r>
        <w:rPr>
          <w:i/>
          <w:szCs w:val="18"/>
        </w:rPr>
        <w:t>ung</w:t>
      </w:r>
      <w:r w:rsidRPr="00DD4551">
        <w:rPr>
          <w:i/>
          <w:szCs w:val="18"/>
        </w:rPr>
        <w:t>. v. Canada</w:t>
      </w:r>
      <w:r w:rsidRPr="00DD4551">
        <w:rPr>
          <w:szCs w:val="18"/>
        </w:rPr>
        <w:t xml:space="preserve">, </w:t>
      </w:r>
      <w:r>
        <w:rPr>
          <w:szCs w:val="18"/>
        </w:rPr>
        <w:t>para. 6.3; and communication No. 604/2014</w:t>
      </w:r>
      <w:r w:rsidRPr="00ED18E7">
        <w:rPr>
          <w:i/>
          <w:szCs w:val="18"/>
        </w:rPr>
        <w:t>, Z.H. v. Canada</w:t>
      </w:r>
      <w:r>
        <w:rPr>
          <w:szCs w:val="18"/>
        </w:rPr>
        <w:t xml:space="preserve">, </w:t>
      </w:r>
      <w:r w:rsidRPr="00E25746">
        <w:rPr>
          <w:szCs w:val="18"/>
        </w:rPr>
        <w:t xml:space="preserve">decision </w:t>
      </w:r>
      <w:r>
        <w:rPr>
          <w:szCs w:val="18"/>
        </w:rPr>
        <w:t>adopted</w:t>
      </w:r>
      <w:r w:rsidRPr="00E25746">
        <w:rPr>
          <w:szCs w:val="18"/>
        </w:rPr>
        <w:t xml:space="preserve"> </w:t>
      </w:r>
      <w:r>
        <w:rPr>
          <w:szCs w:val="18"/>
        </w:rPr>
        <w:t>on 20 November 2015, para. 7.3</w:t>
      </w:r>
      <w:r w:rsidRPr="00E25746">
        <w:rPr>
          <w:szCs w:val="18"/>
        </w:rPr>
        <w:t>.</w:t>
      </w:r>
      <w:r>
        <w:rPr>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E5A" w:rsidRPr="00116B35" w:rsidRDefault="00721E5A">
    <w:pPr>
      <w:pStyle w:val="Header"/>
    </w:pPr>
    <w:r>
      <w:t>CAT/C/57/D/529/2012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E5A" w:rsidRPr="00116B35" w:rsidRDefault="00721E5A" w:rsidP="004876DE">
    <w:pPr>
      <w:pStyle w:val="Header"/>
      <w:jc w:val="right"/>
    </w:pPr>
    <w:r>
      <w:t>CAT/C/57/D/529/2012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806919"/>
    <w:multiLevelType w:val="hybridMultilevel"/>
    <w:tmpl w:val="CE3C60EA"/>
    <w:lvl w:ilvl="0" w:tplc="10090001">
      <w:start w:val="1"/>
      <w:numFmt w:val="bullet"/>
      <w:lvlText w:val=""/>
      <w:lvlJc w:val="left"/>
      <w:pPr>
        <w:ind w:left="720" w:hanging="360"/>
      </w:pPr>
      <w:rPr>
        <w:rFonts w:ascii="Symbol" w:hAnsi="Symbol"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AB377A"/>
    <w:multiLevelType w:val="hybridMultilevel"/>
    <w:tmpl w:val="06CE5E9C"/>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4E2E0478"/>
    <w:multiLevelType w:val="singleLevel"/>
    <w:tmpl w:val="5A9A2EF2"/>
    <w:lvl w:ilvl="0">
      <w:start w:val="2"/>
      <w:numFmt w:val="decimal"/>
      <w:pStyle w:val="Paragraphnumbered"/>
      <w:lvlText w:val="%1."/>
      <w:legacy w:legacy="1" w:legacySpace="0" w:legacyIndent="567"/>
      <w:lvlJc w:val="left"/>
      <w:pPr>
        <w:ind w:left="567" w:hanging="567"/>
      </w:pPr>
    </w:lvl>
  </w:abstractNum>
  <w:abstractNum w:abstractNumId="4" w15:restartNumberingAfterBreak="0">
    <w:nsid w:val="52B81A61"/>
    <w:multiLevelType w:val="hybridMultilevel"/>
    <w:tmpl w:val="F7926326"/>
    <w:lvl w:ilvl="0" w:tplc="0AB6232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1DD17E6"/>
    <w:multiLevelType w:val="hybridMultilevel"/>
    <w:tmpl w:val="6B0C0EEE"/>
    <w:lvl w:ilvl="0" w:tplc="08090001">
      <w:start w:val="1"/>
      <w:numFmt w:val="bullet"/>
      <w:lvlText w:val=""/>
      <w:lvlJc w:val="left"/>
      <w:pPr>
        <w:ind w:left="-414" w:hanging="360"/>
      </w:pPr>
      <w:rPr>
        <w:rFonts w:ascii="Symbol" w:hAnsi="Symbol" w:hint="default"/>
      </w:rPr>
    </w:lvl>
    <w:lvl w:ilvl="1" w:tplc="10090001">
      <w:start w:val="1"/>
      <w:numFmt w:val="bullet"/>
      <w:lvlText w:val=""/>
      <w:lvlJc w:val="left"/>
      <w:pPr>
        <w:ind w:left="306" w:hanging="360"/>
      </w:pPr>
      <w:rPr>
        <w:rFonts w:ascii="Symbol" w:hAnsi="Symbol" w:hint="default"/>
      </w:rPr>
    </w:lvl>
    <w:lvl w:ilvl="2" w:tplc="1009001B" w:tentative="1">
      <w:start w:val="1"/>
      <w:numFmt w:val="lowerRoman"/>
      <w:lvlText w:val="%3."/>
      <w:lvlJc w:val="right"/>
      <w:pPr>
        <w:ind w:left="1026" w:hanging="180"/>
      </w:pPr>
    </w:lvl>
    <w:lvl w:ilvl="3" w:tplc="1009000F" w:tentative="1">
      <w:start w:val="1"/>
      <w:numFmt w:val="decimal"/>
      <w:lvlText w:val="%4."/>
      <w:lvlJc w:val="left"/>
      <w:pPr>
        <w:ind w:left="1746" w:hanging="360"/>
      </w:pPr>
    </w:lvl>
    <w:lvl w:ilvl="4" w:tplc="10090019" w:tentative="1">
      <w:start w:val="1"/>
      <w:numFmt w:val="lowerLetter"/>
      <w:lvlText w:val="%5."/>
      <w:lvlJc w:val="left"/>
      <w:pPr>
        <w:ind w:left="2466" w:hanging="360"/>
      </w:pPr>
    </w:lvl>
    <w:lvl w:ilvl="5" w:tplc="1009001B" w:tentative="1">
      <w:start w:val="1"/>
      <w:numFmt w:val="lowerRoman"/>
      <w:lvlText w:val="%6."/>
      <w:lvlJc w:val="right"/>
      <w:pPr>
        <w:ind w:left="3186" w:hanging="180"/>
      </w:pPr>
    </w:lvl>
    <w:lvl w:ilvl="6" w:tplc="1009000F" w:tentative="1">
      <w:start w:val="1"/>
      <w:numFmt w:val="decimal"/>
      <w:lvlText w:val="%7."/>
      <w:lvlJc w:val="left"/>
      <w:pPr>
        <w:ind w:left="3906" w:hanging="360"/>
      </w:pPr>
    </w:lvl>
    <w:lvl w:ilvl="7" w:tplc="10090019" w:tentative="1">
      <w:start w:val="1"/>
      <w:numFmt w:val="lowerLetter"/>
      <w:lvlText w:val="%8."/>
      <w:lvlJc w:val="left"/>
      <w:pPr>
        <w:ind w:left="4626" w:hanging="360"/>
      </w:pPr>
    </w:lvl>
    <w:lvl w:ilvl="8" w:tplc="1009001B" w:tentative="1">
      <w:start w:val="1"/>
      <w:numFmt w:val="lowerRoman"/>
      <w:lvlText w:val="%9."/>
      <w:lvlJc w:val="right"/>
      <w:pPr>
        <w:ind w:left="5346" w:hanging="180"/>
      </w:p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460FDB"/>
    <w:multiLevelType w:val="hybridMultilevel"/>
    <w:tmpl w:val="E6C46B94"/>
    <w:lvl w:ilvl="0" w:tplc="850A3BD0">
      <w:start w:val="1"/>
      <w:numFmt w:val="upperLetter"/>
      <w:pStyle w:val="Kurusamy2"/>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640534E"/>
    <w:multiLevelType w:val="hybridMultilevel"/>
    <w:tmpl w:val="5852B03A"/>
    <w:lvl w:ilvl="0" w:tplc="AB14964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7"/>
  </w:num>
  <w:num w:numId="5">
    <w:abstractNumId w:val="1"/>
  </w:num>
  <w:num w:numId="6">
    <w:abstractNumId w:val="8"/>
  </w:num>
  <w:num w:numId="7">
    <w:abstractNumId w:val="5"/>
  </w:num>
  <w:num w:numId="8">
    <w:abstractNumId w:val="4"/>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es-ES_tradnl" w:vendorID="64" w:dllVersion="131078" w:nlCheck="1" w:checkStyle="1"/>
  <w:activeWritingStyle w:appName="MSWord" w:lang="de-DE"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0B2"/>
    <w:rsid w:val="00004C4A"/>
    <w:rsid w:val="0000579C"/>
    <w:rsid w:val="00006231"/>
    <w:rsid w:val="000101BF"/>
    <w:rsid w:val="0001238B"/>
    <w:rsid w:val="00012AA2"/>
    <w:rsid w:val="00012FF8"/>
    <w:rsid w:val="0001391D"/>
    <w:rsid w:val="00015733"/>
    <w:rsid w:val="000159CA"/>
    <w:rsid w:val="00016A42"/>
    <w:rsid w:val="00021F09"/>
    <w:rsid w:val="00022BBE"/>
    <w:rsid w:val="00025234"/>
    <w:rsid w:val="00026ABA"/>
    <w:rsid w:val="00030EF4"/>
    <w:rsid w:val="000330BE"/>
    <w:rsid w:val="00036482"/>
    <w:rsid w:val="00042886"/>
    <w:rsid w:val="00043169"/>
    <w:rsid w:val="00043463"/>
    <w:rsid w:val="000440FB"/>
    <w:rsid w:val="00044A46"/>
    <w:rsid w:val="0004561D"/>
    <w:rsid w:val="000506A9"/>
    <w:rsid w:val="00051479"/>
    <w:rsid w:val="00053629"/>
    <w:rsid w:val="00053B1D"/>
    <w:rsid w:val="000547E8"/>
    <w:rsid w:val="00055198"/>
    <w:rsid w:val="00057316"/>
    <w:rsid w:val="000617F0"/>
    <w:rsid w:val="0006658F"/>
    <w:rsid w:val="00066D48"/>
    <w:rsid w:val="00070DA2"/>
    <w:rsid w:val="00072973"/>
    <w:rsid w:val="00076DE6"/>
    <w:rsid w:val="00081A19"/>
    <w:rsid w:val="0008234B"/>
    <w:rsid w:val="00082F02"/>
    <w:rsid w:val="0008372E"/>
    <w:rsid w:val="000870D2"/>
    <w:rsid w:val="000923A7"/>
    <w:rsid w:val="00095BB2"/>
    <w:rsid w:val="0009769D"/>
    <w:rsid w:val="000A0EE6"/>
    <w:rsid w:val="000A50BE"/>
    <w:rsid w:val="000A5443"/>
    <w:rsid w:val="000B09B3"/>
    <w:rsid w:val="000B3580"/>
    <w:rsid w:val="000B4D51"/>
    <w:rsid w:val="000B584F"/>
    <w:rsid w:val="000B7A13"/>
    <w:rsid w:val="000C10D9"/>
    <w:rsid w:val="000C123A"/>
    <w:rsid w:val="000C12E7"/>
    <w:rsid w:val="000C1F92"/>
    <w:rsid w:val="000C4C55"/>
    <w:rsid w:val="000C4EB8"/>
    <w:rsid w:val="000D2BE3"/>
    <w:rsid w:val="000D388D"/>
    <w:rsid w:val="000D7749"/>
    <w:rsid w:val="000D7BBF"/>
    <w:rsid w:val="000D7C60"/>
    <w:rsid w:val="000D7F10"/>
    <w:rsid w:val="000E29BF"/>
    <w:rsid w:val="000E2BC4"/>
    <w:rsid w:val="000E3E83"/>
    <w:rsid w:val="000E6472"/>
    <w:rsid w:val="000F1A06"/>
    <w:rsid w:val="000F26A2"/>
    <w:rsid w:val="000F3CD2"/>
    <w:rsid w:val="000F50D2"/>
    <w:rsid w:val="000F730F"/>
    <w:rsid w:val="00101E12"/>
    <w:rsid w:val="00101F59"/>
    <w:rsid w:val="00103BA5"/>
    <w:rsid w:val="00104BB4"/>
    <w:rsid w:val="00105CDB"/>
    <w:rsid w:val="001064AA"/>
    <w:rsid w:val="00106D73"/>
    <w:rsid w:val="001078B7"/>
    <w:rsid w:val="00110701"/>
    <w:rsid w:val="00110E68"/>
    <w:rsid w:val="00117924"/>
    <w:rsid w:val="001200A4"/>
    <w:rsid w:val="00121896"/>
    <w:rsid w:val="00122860"/>
    <w:rsid w:val="0012341C"/>
    <w:rsid w:val="00124A98"/>
    <w:rsid w:val="00126BF5"/>
    <w:rsid w:val="00127405"/>
    <w:rsid w:val="0013226D"/>
    <w:rsid w:val="00133372"/>
    <w:rsid w:val="0013557C"/>
    <w:rsid w:val="0013619D"/>
    <w:rsid w:val="00136D54"/>
    <w:rsid w:val="00140051"/>
    <w:rsid w:val="001420BA"/>
    <w:rsid w:val="00145ABB"/>
    <w:rsid w:val="00146CF9"/>
    <w:rsid w:val="00152662"/>
    <w:rsid w:val="00152CDE"/>
    <w:rsid w:val="00153D74"/>
    <w:rsid w:val="001549D6"/>
    <w:rsid w:val="001555BF"/>
    <w:rsid w:val="00155992"/>
    <w:rsid w:val="00155C58"/>
    <w:rsid w:val="001563FF"/>
    <w:rsid w:val="00161F02"/>
    <w:rsid w:val="00162D11"/>
    <w:rsid w:val="00163614"/>
    <w:rsid w:val="00164E86"/>
    <w:rsid w:val="00165AB6"/>
    <w:rsid w:val="0016602D"/>
    <w:rsid w:val="00167C2A"/>
    <w:rsid w:val="001704A9"/>
    <w:rsid w:val="00175B8A"/>
    <w:rsid w:val="00182368"/>
    <w:rsid w:val="00182694"/>
    <w:rsid w:val="00182708"/>
    <w:rsid w:val="001846DE"/>
    <w:rsid w:val="00184731"/>
    <w:rsid w:val="00185070"/>
    <w:rsid w:val="00190BD3"/>
    <w:rsid w:val="0019198F"/>
    <w:rsid w:val="001919B7"/>
    <w:rsid w:val="001946CA"/>
    <w:rsid w:val="0019563D"/>
    <w:rsid w:val="001961BD"/>
    <w:rsid w:val="001A0DD8"/>
    <w:rsid w:val="001B1D2E"/>
    <w:rsid w:val="001B389D"/>
    <w:rsid w:val="001B3BA6"/>
    <w:rsid w:val="001B5613"/>
    <w:rsid w:val="001C0562"/>
    <w:rsid w:val="001C2411"/>
    <w:rsid w:val="001C31D7"/>
    <w:rsid w:val="001C4515"/>
    <w:rsid w:val="001C6D1C"/>
    <w:rsid w:val="001C6E6F"/>
    <w:rsid w:val="001E1DAC"/>
    <w:rsid w:val="001E2959"/>
    <w:rsid w:val="001E3CD3"/>
    <w:rsid w:val="001E5567"/>
    <w:rsid w:val="001E6C7A"/>
    <w:rsid w:val="001E6F98"/>
    <w:rsid w:val="001F1302"/>
    <w:rsid w:val="001F15B9"/>
    <w:rsid w:val="002010BA"/>
    <w:rsid w:val="00204D5C"/>
    <w:rsid w:val="00205CC5"/>
    <w:rsid w:val="0020639B"/>
    <w:rsid w:val="00206A95"/>
    <w:rsid w:val="0021273F"/>
    <w:rsid w:val="00213EEA"/>
    <w:rsid w:val="00213F80"/>
    <w:rsid w:val="0021746C"/>
    <w:rsid w:val="002232A3"/>
    <w:rsid w:val="002271F4"/>
    <w:rsid w:val="00227B87"/>
    <w:rsid w:val="00231742"/>
    <w:rsid w:val="00231744"/>
    <w:rsid w:val="002333F7"/>
    <w:rsid w:val="002349A7"/>
    <w:rsid w:val="002369D4"/>
    <w:rsid w:val="00240781"/>
    <w:rsid w:val="0024082E"/>
    <w:rsid w:val="00241BD0"/>
    <w:rsid w:val="00241E23"/>
    <w:rsid w:val="002421C4"/>
    <w:rsid w:val="00243943"/>
    <w:rsid w:val="00245EA8"/>
    <w:rsid w:val="00247EC6"/>
    <w:rsid w:val="00250998"/>
    <w:rsid w:val="00250ED8"/>
    <w:rsid w:val="002522CC"/>
    <w:rsid w:val="00252C9C"/>
    <w:rsid w:val="00262F26"/>
    <w:rsid w:val="00266256"/>
    <w:rsid w:val="002664BE"/>
    <w:rsid w:val="00270761"/>
    <w:rsid w:val="0027159D"/>
    <w:rsid w:val="00281330"/>
    <w:rsid w:val="002827C5"/>
    <w:rsid w:val="00283010"/>
    <w:rsid w:val="0028326A"/>
    <w:rsid w:val="002848E1"/>
    <w:rsid w:val="00286B36"/>
    <w:rsid w:val="002932FB"/>
    <w:rsid w:val="00293752"/>
    <w:rsid w:val="00293DD3"/>
    <w:rsid w:val="00296342"/>
    <w:rsid w:val="00297787"/>
    <w:rsid w:val="002A1560"/>
    <w:rsid w:val="002A3474"/>
    <w:rsid w:val="002A3823"/>
    <w:rsid w:val="002A4545"/>
    <w:rsid w:val="002A7175"/>
    <w:rsid w:val="002B12B0"/>
    <w:rsid w:val="002B1CDC"/>
    <w:rsid w:val="002B2F38"/>
    <w:rsid w:val="002B359C"/>
    <w:rsid w:val="002B4667"/>
    <w:rsid w:val="002B533E"/>
    <w:rsid w:val="002B5476"/>
    <w:rsid w:val="002C0A4E"/>
    <w:rsid w:val="002C0F75"/>
    <w:rsid w:val="002C1D2C"/>
    <w:rsid w:val="002C2092"/>
    <w:rsid w:val="002C4A21"/>
    <w:rsid w:val="002C54F8"/>
    <w:rsid w:val="002C6477"/>
    <w:rsid w:val="002D0F08"/>
    <w:rsid w:val="002D3F3F"/>
    <w:rsid w:val="002D7B91"/>
    <w:rsid w:val="002E14B1"/>
    <w:rsid w:val="002E3A06"/>
    <w:rsid w:val="002E4502"/>
    <w:rsid w:val="002E49D6"/>
    <w:rsid w:val="002E4DEB"/>
    <w:rsid w:val="002E77F6"/>
    <w:rsid w:val="002E79DE"/>
    <w:rsid w:val="002F00F9"/>
    <w:rsid w:val="002F1306"/>
    <w:rsid w:val="002F2D68"/>
    <w:rsid w:val="002F3151"/>
    <w:rsid w:val="00302956"/>
    <w:rsid w:val="00304A52"/>
    <w:rsid w:val="00305B61"/>
    <w:rsid w:val="00306456"/>
    <w:rsid w:val="003075D0"/>
    <w:rsid w:val="0031244D"/>
    <w:rsid w:val="00312662"/>
    <w:rsid w:val="00312BDD"/>
    <w:rsid w:val="00312C64"/>
    <w:rsid w:val="00313D73"/>
    <w:rsid w:val="00313F3F"/>
    <w:rsid w:val="00314FE7"/>
    <w:rsid w:val="00317B2C"/>
    <w:rsid w:val="003202CC"/>
    <w:rsid w:val="00321426"/>
    <w:rsid w:val="0032543C"/>
    <w:rsid w:val="00326922"/>
    <w:rsid w:val="00326E08"/>
    <w:rsid w:val="003273AE"/>
    <w:rsid w:val="0032747B"/>
    <w:rsid w:val="0033034D"/>
    <w:rsid w:val="00332523"/>
    <w:rsid w:val="003327D5"/>
    <w:rsid w:val="00333F31"/>
    <w:rsid w:val="0033529C"/>
    <w:rsid w:val="00337D1B"/>
    <w:rsid w:val="00340937"/>
    <w:rsid w:val="003413FD"/>
    <w:rsid w:val="00343657"/>
    <w:rsid w:val="0034760C"/>
    <w:rsid w:val="00350F9C"/>
    <w:rsid w:val="003527BE"/>
    <w:rsid w:val="00353130"/>
    <w:rsid w:val="00355858"/>
    <w:rsid w:val="00355AC1"/>
    <w:rsid w:val="00356045"/>
    <w:rsid w:val="003604C3"/>
    <w:rsid w:val="00360728"/>
    <w:rsid w:val="003627B6"/>
    <w:rsid w:val="00366DA8"/>
    <w:rsid w:val="00372E7C"/>
    <w:rsid w:val="003743F9"/>
    <w:rsid w:val="00374433"/>
    <w:rsid w:val="00375469"/>
    <w:rsid w:val="00377992"/>
    <w:rsid w:val="00380BE5"/>
    <w:rsid w:val="00380F33"/>
    <w:rsid w:val="00381DFA"/>
    <w:rsid w:val="003831E5"/>
    <w:rsid w:val="00384102"/>
    <w:rsid w:val="00384C87"/>
    <w:rsid w:val="00387764"/>
    <w:rsid w:val="00392C24"/>
    <w:rsid w:val="00396B0C"/>
    <w:rsid w:val="0039713E"/>
    <w:rsid w:val="0039729C"/>
    <w:rsid w:val="003A2191"/>
    <w:rsid w:val="003A2DF0"/>
    <w:rsid w:val="003A424D"/>
    <w:rsid w:val="003A7217"/>
    <w:rsid w:val="003A7609"/>
    <w:rsid w:val="003A7E96"/>
    <w:rsid w:val="003B01C7"/>
    <w:rsid w:val="003B062F"/>
    <w:rsid w:val="003B0E01"/>
    <w:rsid w:val="003B6C1A"/>
    <w:rsid w:val="003B7D49"/>
    <w:rsid w:val="003C4ADA"/>
    <w:rsid w:val="003C6E23"/>
    <w:rsid w:val="003C6F30"/>
    <w:rsid w:val="003C7F1D"/>
    <w:rsid w:val="003D1A03"/>
    <w:rsid w:val="003D59E6"/>
    <w:rsid w:val="003D5A7E"/>
    <w:rsid w:val="003D6133"/>
    <w:rsid w:val="003D6638"/>
    <w:rsid w:val="003D6AC5"/>
    <w:rsid w:val="003E02CD"/>
    <w:rsid w:val="003E1B79"/>
    <w:rsid w:val="003E2486"/>
    <w:rsid w:val="003E2A2C"/>
    <w:rsid w:val="003E4373"/>
    <w:rsid w:val="003E4E10"/>
    <w:rsid w:val="003E50D7"/>
    <w:rsid w:val="003E6E47"/>
    <w:rsid w:val="003F2069"/>
    <w:rsid w:val="003F59B7"/>
    <w:rsid w:val="003F7EF6"/>
    <w:rsid w:val="00400B3B"/>
    <w:rsid w:val="0040270C"/>
    <w:rsid w:val="00404F3A"/>
    <w:rsid w:val="00405504"/>
    <w:rsid w:val="004065DF"/>
    <w:rsid w:val="00410324"/>
    <w:rsid w:val="00414F1F"/>
    <w:rsid w:val="00415145"/>
    <w:rsid w:val="0041605F"/>
    <w:rsid w:val="00420853"/>
    <w:rsid w:val="00422A68"/>
    <w:rsid w:val="004310B2"/>
    <w:rsid w:val="00431968"/>
    <w:rsid w:val="0043272D"/>
    <w:rsid w:val="00432D27"/>
    <w:rsid w:val="00435847"/>
    <w:rsid w:val="004359C3"/>
    <w:rsid w:val="00435A57"/>
    <w:rsid w:val="00436424"/>
    <w:rsid w:val="00436AFB"/>
    <w:rsid w:val="0044350E"/>
    <w:rsid w:val="00444D71"/>
    <w:rsid w:val="00445118"/>
    <w:rsid w:val="004451A1"/>
    <w:rsid w:val="0044561F"/>
    <w:rsid w:val="00447B2B"/>
    <w:rsid w:val="0045180F"/>
    <w:rsid w:val="0045185A"/>
    <w:rsid w:val="004528E2"/>
    <w:rsid w:val="00455AE8"/>
    <w:rsid w:val="00456658"/>
    <w:rsid w:val="004571F6"/>
    <w:rsid w:val="0046131A"/>
    <w:rsid w:val="004621C6"/>
    <w:rsid w:val="00462621"/>
    <w:rsid w:val="004708EA"/>
    <w:rsid w:val="0047210E"/>
    <w:rsid w:val="00474513"/>
    <w:rsid w:val="00476218"/>
    <w:rsid w:val="004861B7"/>
    <w:rsid w:val="004876DE"/>
    <w:rsid w:val="004879C9"/>
    <w:rsid w:val="00490652"/>
    <w:rsid w:val="00491416"/>
    <w:rsid w:val="004916D8"/>
    <w:rsid w:val="00491D4F"/>
    <w:rsid w:val="0049357A"/>
    <w:rsid w:val="00494147"/>
    <w:rsid w:val="004958E1"/>
    <w:rsid w:val="00496649"/>
    <w:rsid w:val="00497A78"/>
    <w:rsid w:val="004A068B"/>
    <w:rsid w:val="004A3668"/>
    <w:rsid w:val="004A6004"/>
    <w:rsid w:val="004A777C"/>
    <w:rsid w:val="004B0FA2"/>
    <w:rsid w:val="004B50A7"/>
    <w:rsid w:val="004B57A2"/>
    <w:rsid w:val="004B6094"/>
    <w:rsid w:val="004B7BF5"/>
    <w:rsid w:val="004C07A2"/>
    <w:rsid w:val="004C56AF"/>
    <w:rsid w:val="004C6228"/>
    <w:rsid w:val="004C68A5"/>
    <w:rsid w:val="004C7FEB"/>
    <w:rsid w:val="004D0087"/>
    <w:rsid w:val="004D0991"/>
    <w:rsid w:val="004D2430"/>
    <w:rsid w:val="004D7C67"/>
    <w:rsid w:val="004E0886"/>
    <w:rsid w:val="004E2C2F"/>
    <w:rsid w:val="004E38B8"/>
    <w:rsid w:val="004E3BE1"/>
    <w:rsid w:val="004E405C"/>
    <w:rsid w:val="004E54D7"/>
    <w:rsid w:val="004E5A05"/>
    <w:rsid w:val="004E60AD"/>
    <w:rsid w:val="004E7040"/>
    <w:rsid w:val="004F087D"/>
    <w:rsid w:val="004F0B91"/>
    <w:rsid w:val="004F33B9"/>
    <w:rsid w:val="004F3673"/>
    <w:rsid w:val="004F499F"/>
    <w:rsid w:val="004F4E9D"/>
    <w:rsid w:val="00501F7C"/>
    <w:rsid w:val="0050337B"/>
    <w:rsid w:val="00503F29"/>
    <w:rsid w:val="00505616"/>
    <w:rsid w:val="00505794"/>
    <w:rsid w:val="0050693B"/>
    <w:rsid w:val="0051033F"/>
    <w:rsid w:val="005105CC"/>
    <w:rsid w:val="00510C47"/>
    <w:rsid w:val="005118CE"/>
    <w:rsid w:val="0051580A"/>
    <w:rsid w:val="0052006C"/>
    <w:rsid w:val="00520C1B"/>
    <w:rsid w:val="0052205A"/>
    <w:rsid w:val="00522200"/>
    <w:rsid w:val="005222ED"/>
    <w:rsid w:val="00524467"/>
    <w:rsid w:val="00525AF9"/>
    <w:rsid w:val="00530EA7"/>
    <w:rsid w:val="00532835"/>
    <w:rsid w:val="00532A35"/>
    <w:rsid w:val="00532A4D"/>
    <w:rsid w:val="005344BC"/>
    <w:rsid w:val="0053509A"/>
    <w:rsid w:val="00535C68"/>
    <w:rsid w:val="005379F7"/>
    <w:rsid w:val="00543722"/>
    <w:rsid w:val="005445CB"/>
    <w:rsid w:val="00544E30"/>
    <w:rsid w:val="00545C48"/>
    <w:rsid w:val="00545D17"/>
    <w:rsid w:val="0055175E"/>
    <w:rsid w:val="005525B5"/>
    <w:rsid w:val="0055307A"/>
    <w:rsid w:val="0055412A"/>
    <w:rsid w:val="005573E8"/>
    <w:rsid w:val="00557BEE"/>
    <w:rsid w:val="00562882"/>
    <w:rsid w:val="005669B6"/>
    <w:rsid w:val="00567985"/>
    <w:rsid w:val="00570923"/>
    <w:rsid w:val="0057318D"/>
    <w:rsid w:val="005742BB"/>
    <w:rsid w:val="00576177"/>
    <w:rsid w:val="005779AE"/>
    <w:rsid w:val="00577BF3"/>
    <w:rsid w:val="00582D72"/>
    <w:rsid w:val="00583DAE"/>
    <w:rsid w:val="005846C6"/>
    <w:rsid w:val="00587B71"/>
    <w:rsid w:val="00590F08"/>
    <w:rsid w:val="0059686E"/>
    <w:rsid w:val="005A3C66"/>
    <w:rsid w:val="005A41F3"/>
    <w:rsid w:val="005A6300"/>
    <w:rsid w:val="005A6783"/>
    <w:rsid w:val="005A6E87"/>
    <w:rsid w:val="005B2DCE"/>
    <w:rsid w:val="005B415D"/>
    <w:rsid w:val="005B465C"/>
    <w:rsid w:val="005B49CF"/>
    <w:rsid w:val="005B4CBE"/>
    <w:rsid w:val="005C02F0"/>
    <w:rsid w:val="005C2172"/>
    <w:rsid w:val="005C2654"/>
    <w:rsid w:val="005C4A4F"/>
    <w:rsid w:val="005C6AE6"/>
    <w:rsid w:val="005D1302"/>
    <w:rsid w:val="005D24D1"/>
    <w:rsid w:val="005D2F38"/>
    <w:rsid w:val="005D3322"/>
    <w:rsid w:val="005D53C4"/>
    <w:rsid w:val="005D5A2D"/>
    <w:rsid w:val="005D6813"/>
    <w:rsid w:val="005E0F23"/>
    <w:rsid w:val="005E1853"/>
    <w:rsid w:val="005E2984"/>
    <w:rsid w:val="005E2FB1"/>
    <w:rsid w:val="005E3B7C"/>
    <w:rsid w:val="005E467D"/>
    <w:rsid w:val="005E64F1"/>
    <w:rsid w:val="005E763E"/>
    <w:rsid w:val="005F0760"/>
    <w:rsid w:val="005F0CDF"/>
    <w:rsid w:val="005F3C2B"/>
    <w:rsid w:val="00601144"/>
    <w:rsid w:val="00606111"/>
    <w:rsid w:val="006062E0"/>
    <w:rsid w:val="006067CC"/>
    <w:rsid w:val="00607636"/>
    <w:rsid w:val="00611C2C"/>
    <w:rsid w:val="00613FD4"/>
    <w:rsid w:val="006143D1"/>
    <w:rsid w:val="00617727"/>
    <w:rsid w:val="00621A61"/>
    <w:rsid w:val="006230ED"/>
    <w:rsid w:val="0062360B"/>
    <w:rsid w:val="0062479A"/>
    <w:rsid w:val="00625000"/>
    <w:rsid w:val="006265A2"/>
    <w:rsid w:val="00627C22"/>
    <w:rsid w:val="006328BE"/>
    <w:rsid w:val="00632C74"/>
    <w:rsid w:val="00633889"/>
    <w:rsid w:val="00633A41"/>
    <w:rsid w:val="0063683E"/>
    <w:rsid w:val="006402F6"/>
    <w:rsid w:val="00640B72"/>
    <w:rsid w:val="00650C5C"/>
    <w:rsid w:val="00650FF2"/>
    <w:rsid w:val="00652361"/>
    <w:rsid w:val="006536F6"/>
    <w:rsid w:val="0065411B"/>
    <w:rsid w:val="00655015"/>
    <w:rsid w:val="0065504D"/>
    <w:rsid w:val="00655C76"/>
    <w:rsid w:val="006562BF"/>
    <w:rsid w:val="00660538"/>
    <w:rsid w:val="0066206D"/>
    <w:rsid w:val="006732F7"/>
    <w:rsid w:val="00675694"/>
    <w:rsid w:val="00680840"/>
    <w:rsid w:val="0068085A"/>
    <w:rsid w:val="006811EC"/>
    <w:rsid w:val="0068143A"/>
    <w:rsid w:val="00691489"/>
    <w:rsid w:val="00692E6E"/>
    <w:rsid w:val="00695377"/>
    <w:rsid w:val="006966D5"/>
    <w:rsid w:val="006A4ED2"/>
    <w:rsid w:val="006A5234"/>
    <w:rsid w:val="006A5765"/>
    <w:rsid w:val="006A6A65"/>
    <w:rsid w:val="006A7730"/>
    <w:rsid w:val="006B087A"/>
    <w:rsid w:val="006B0EB2"/>
    <w:rsid w:val="006B0FB8"/>
    <w:rsid w:val="006B1BB1"/>
    <w:rsid w:val="006B2AA2"/>
    <w:rsid w:val="006B2C3B"/>
    <w:rsid w:val="006B4FA1"/>
    <w:rsid w:val="006B52DA"/>
    <w:rsid w:val="006B78D4"/>
    <w:rsid w:val="006C2FF9"/>
    <w:rsid w:val="006C34B4"/>
    <w:rsid w:val="006C4F53"/>
    <w:rsid w:val="006C6955"/>
    <w:rsid w:val="006D01B6"/>
    <w:rsid w:val="006D165A"/>
    <w:rsid w:val="006D329F"/>
    <w:rsid w:val="006D4E3C"/>
    <w:rsid w:val="006D6861"/>
    <w:rsid w:val="006D6E98"/>
    <w:rsid w:val="006E3839"/>
    <w:rsid w:val="006E3A45"/>
    <w:rsid w:val="006F15FE"/>
    <w:rsid w:val="006F230E"/>
    <w:rsid w:val="006F3C4A"/>
    <w:rsid w:val="006F45D4"/>
    <w:rsid w:val="007010A5"/>
    <w:rsid w:val="00703393"/>
    <w:rsid w:val="00705F10"/>
    <w:rsid w:val="007069F2"/>
    <w:rsid w:val="00706B96"/>
    <w:rsid w:val="00706EE7"/>
    <w:rsid w:val="00707A71"/>
    <w:rsid w:val="00710B1D"/>
    <w:rsid w:val="0071239A"/>
    <w:rsid w:val="00712926"/>
    <w:rsid w:val="00713901"/>
    <w:rsid w:val="00714C14"/>
    <w:rsid w:val="007150D6"/>
    <w:rsid w:val="00715132"/>
    <w:rsid w:val="007153C6"/>
    <w:rsid w:val="0071718B"/>
    <w:rsid w:val="0072061C"/>
    <w:rsid w:val="00720F47"/>
    <w:rsid w:val="00721E5A"/>
    <w:rsid w:val="0073039C"/>
    <w:rsid w:val="00730EEB"/>
    <w:rsid w:val="00731DF6"/>
    <w:rsid w:val="00732ACF"/>
    <w:rsid w:val="00733E69"/>
    <w:rsid w:val="0073753C"/>
    <w:rsid w:val="0074182E"/>
    <w:rsid w:val="0074684C"/>
    <w:rsid w:val="00746890"/>
    <w:rsid w:val="00750018"/>
    <w:rsid w:val="00750ABA"/>
    <w:rsid w:val="00753C18"/>
    <w:rsid w:val="00754A6A"/>
    <w:rsid w:val="007565B6"/>
    <w:rsid w:val="00761067"/>
    <w:rsid w:val="007662FC"/>
    <w:rsid w:val="00770227"/>
    <w:rsid w:val="00771A57"/>
    <w:rsid w:val="00771F56"/>
    <w:rsid w:val="007749C6"/>
    <w:rsid w:val="00774B9A"/>
    <w:rsid w:val="00774FD2"/>
    <w:rsid w:val="00780050"/>
    <w:rsid w:val="00780AE4"/>
    <w:rsid w:val="00782E70"/>
    <w:rsid w:val="007863A8"/>
    <w:rsid w:val="007873A0"/>
    <w:rsid w:val="007916C0"/>
    <w:rsid w:val="0079493B"/>
    <w:rsid w:val="00794BA6"/>
    <w:rsid w:val="0079607F"/>
    <w:rsid w:val="00797444"/>
    <w:rsid w:val="007A1AA3"/>
    <w:rsid w:val="007A1B5B"/>
    <w:rsid w:val="007A2195"/>
    <w:rsid w:val="007A3AAD"/>
    <w:rsid w:val="007A4D05"/>
    <w:rsid w:val="007A594F"/>
    <w:rsid w:val="007A5D50"/>
    <w:rsid w:val="007A681F"/>
    <w:rsid w:val="007A6FB3"/>
    <w:rsid w:val="007B0756"/>
    <w:rsid w:val="007B0E41"/>
    <w:rsid w:val="007B13A9"/>
    <w:rsid w:val="007B5093"/>
    <w:rsid w:val="007C333F"/>
    <w:rsid w:val="007C4A8D"/>
    <w:rsid w:val="007C6E22"/>
    <w:rsid w:val="007C736A"/>
    <w:rsid w:val="007D0633"/>
    <w:rsid w:val="007D1788"/>
    <w:rsid w:val="007D1791"/>
    <w:rsid w:val="007D47B5"/>
    <w:rsid w:val="007E14C8"/>
    <w:rsid w:val="007E3006"/>
    <w:rsid w:val="007E690D"/>
    <w:rsid w:val="007E74A5"/>
    <w:rsid w:val="007F065D"/>
    <w:rsid w:val="007F09C5"/>
    <w:rsid w:val="007F31B0"/>
    <w:rsid w:val="007F3F53"/>
    <w:rsid w:val="007F4178"/>
    <w:rsid w:val="007F4425"/>
    <w:rsid w:val="007F4EDE"/>
    <w:rsid w:val="008011C1"/>
    <w:rsid w:val="008034E6"/>
    <w:rsid w:val="0080487E"/>
    <w:rsid w:val="00806543"/>
    <w:rsid w:val="00806908"/>
    <w:rsid w:val="008156CE"/>
    <w:rsid w:val="00816917"/>
    <w:rsid w:val="00817490"/>
    <w:rsid w:val="00820EFD"/>
    <w:rsid w:val="0082352A"/>
    <w:rsid w:val="00826C7D"/>
    <w:rsid w:val="00832361"/>
    <w:rsid w:val="00834280"/>
    <w:rsid w:val="008375F9"/>
    <w:rsid w:val="00837F2C"/>
    <w:rsid w:val="00840352"/>
    <w:rsid w:val="00842C5C"/>
    <w:rsid w:val="00847D43"/>
    <w:rsid w:val="0085195F"/>
    <w:rsid w:val="00853BFA"/>
    <w:rsid w:val="00854D18"/>
    <w:rsid w:val="00857CBB"/>
    <w:rsid w:val="008659BC"/>
    <w:rsid w:val="0087178D"/>
    <w:rsid w:val="00872847"/>
    <w:rsid w:val="00872C0E"/>
    <w:rsid w:val="008733C4"/>
    <w:rsid w:val="00873F97"/>
    <w:rsid w:val="00875209"/>
    <w:rsid w:val="00881AFC"/>
    <w:rsid w:val="008821CE"/>
    <w:rsid w:val="0088231B"/>
    <w:rsid w:val="00884892"/>
    <w:rsid w:val="00884F29"/>
    <w:rsid w:val="00890D9A"/>
    <w:rsid w:val="0089133A"/>
    <w:rsid w:val="00891A91"/>
    <w:rsid w:val="00892CC4"/>
    <w:rsid w:val="008936AF"/>
    <w:rsid w:val="00893ED8"/>
    <w:rsid w:val="008A12BD"/>
    <w:rsid w:val="008A292F"/>
    <w:rsid w:val="008A506F"/>
    <w:rsid w:val="008A5CBA"/>
    <w:rsid w:val="008A62A0"/>
    <w:rsid w:val="008A6477"/>
    <w:rsid w:val="008A65CE"/>
    <w:rsid w:val="008A7F7E"/>
    <w:rsid w:val="008B03D9"/>
    <w:rsid w:val="008B0D58"/>
    <w:rsid w:val="008B0FA1"/>
    <w:rsid w:val="008B19B3"/>
    <w:rsid w:val="008B2925"/>
    <w:rsid w:val="008B638A"/>
    <w:rsid w:val="008B7220"/>
    <w:rsid w:val="008C0386"/>
    <w:rsid w:val="008C1349"/>
    <w:rsid w:val="008C14E9"/>
    <w:rsid w:val="008C16E5"/>
    <w:rsid w:val="008C3629"/>
    <w:rsid w:val="008C44E8"/>
    <w:rsid w:val="008C4D14"/>
    <w:rsid w:val="008C5EDB"/>
    <w:rsid w:val="008C6F76"/>
    <w:rsid w:val="008C709F"/>
    <w:rsid w:val="008D1FEA"/>
    <w:rsid w:val="008D4C7B"/>
    <w:rsid w:val="008D65E0"/>
    <w:rsid w:val="008D6FCD"/>
    <w:rsid w:val="008E226E"/>
    <w:rsid w:val="008E24FD"/>
    <w:rsid w:val="008E312D"/>
    <w:rsid w:val="008E5F0F"/>
    <w:rsid w:val="008E7BA2"/>
    <w:rsid w:val="008F320B"/>
    <w:rsid w:val="008F452A"/>
    <w:rsid w:val="008F6B80"/>
    <w:rsid w:val="008F7BD0"/>
    <w:rsid w:val="00901599"/>
    <w:rsid w:val="00901C11"/>
    <w:rsid w:val="00902E20"/>
    <w:rsid w:val="00904885"/>
    <w:rsid w:val="00905610"/>
    <w:rsid w:val="00905F83"/>
    <w:rsid w:val="009177D9"/>
    <w:rsid w:val="00920C21"/>
    <w:rsid w:val="009214A0"/>
    <w:rsid w:val="0092163E"/>
    <w:rsid w:val="00926616"/>
    <w:rsid w:val="009301F4"/>
    <w:rsid w:val="00945B83"/>
    <w:rsid w:val="009460E6"/>
    <w:rsid w:val="00946E31"/>
    <w:rsid w:val="009476DF"/>
    <w:rsid w:val="00947F46"/>
    <w:rsid w:val="0095303B"/>
    <w:rsid w:val="00954AB4"/>
    <w:rsid w:val="00954C16"/>
    <w:rsid w:val="00954F6D"/>
    <w:rsid w:val="00956893"/>
    <w:rsid w:val="009575E5"/>
    <w:rsid w:val="0096293B"/>
    <w:rsid w:val="00962F7C"/>
    <w:rsid w:val="009644A5"/>
    <w:rsid w:val="0096698B"/>
    <w:rsid w:val="00967849"/>
    <w:rsid w:val="00970945"/>
    <w:rsid w:val="00971804"/>
    <w:rsid w:val="00973118"/>
    <w:rsid w:val="00973AA4"/>
    <w:rsid w:val="00975614"/>
    <w:rsid w:val="00975980"/>
    <w:rsid w:val="0097746D"/>
    <w:rsid w:val="00980DF1"/>
    <w:rsid w:val="00981898"/>
    <w:rsid w:val="009833A5"/>
    <w:rsid w:val="00984771"/>
    <w:rsid w:val="0099194F"/>
    <w:rsid w:val="00991D64"/>
    <w:rsid w:val="00993B5E"/>
    <w:rsid w:val="009942C0"/>
    <w:rsid w:val="00994710"/>
    <w:rsid w:val="009947A2"/>
    <w:rsid w:val="00995030"/>
    <w:rsid w:val="009A03FF"/>
    <w:rsid w:val="009A0592"/>
    <w:rsid w:val="009A0774"/>
    <w:rsid w:val="009A7A05"/>
    <w:rsid w:val="009B1D65"/>
    <w:rsid w:val="009B2030"/>
    <w:rsid w:val="009B394A"/>
    <w:rsid w:val="009B4376"/>
    <w:rsid w:val="009B559C"/>
    <w:rsid w:val="009C039A"/>
    <w:rsid w:val="009C39B2"/>
    <w:rsid w:val="009C4E67"/>
    <w:rsid w:val="009D465B"/>
    <w:rsid w:val="009D5107"/>
    <w:rsid w:val="009D56EB"/>
    <w:rsid w:val="009D6A68"/>
    <w:rsid w:val="009D7832"/>
    <w:rsid w:val="009E06DC"/>
    <w:rsid w:val="009E7102"/>
    <w:rsid w:val="009F0E4B"/>
    <w:rsid w:val="009F1292"/>
    <w:rsid w:val="009F1463"/>
    <w:rsid w:val="009F180D"/>
    <w:rsid w:val="009F3AD4"/>
    <w:rsid w:val="009F6C1B"/>
    <w:rsid w:val="009F7218"/>
    <w:rsid w:val="00A006B5"/>
    <w:rsid w:val="00A01736"/>
    <w:rsid w:val="00A052AB"/>
    <w:rsid w:val="00A07BB7"/>
    <w:rsid w:val="00A07F18"/>
    <w:rsid w:val="00A1279B"/>
    <w:rsid w:val="00A12A9B"/>
    <w:rsid w:val="00A13375"/>
    <w:rsid w:val="00A1394A"/>
    <w:rsid w:val="00A141AD"/>
    <w:rsid w:val="00A14B8B"/>
    <w:rsid w:val="00A15BBB"/>
    <w:rsid w:val="00A209ED"/>
    <w:rsid w:val="00A215E8"/>
    <w:rsid w:val="00A242F4"/>
    <w:rsid w:val="00A25F7B"/>
    <w:rsid w:val="00A31C0E"/>
    <w:rsid w:val="00A32E72"/>
    <w:rsid w:val="00A33252"/>
    <w:rsid w:val="00A362AF"/>
    <w:rsid w:val="00A40A78"/>
    <w:rsid w:val="00A429ED"/>
    <w:rsid w:val="00A42BE3"/>
    <w:rsid w:val="00A439D4"/>
    <w:rsid w:val="00A4426E"/>
    <w:rsid w:val="00A456F8"/>
    <w:rsid w:val="00A50ECD"/>
    <w:rsid w:val="00A51329"/>
    <w:rsid w:val="00A53818"/>
    <w:rsid w:val="00A54E99"/>
    <w:rsid w:val="00A565AB"/>
    <w:rsid w:val="00A60AA0"/>
    <w:rsid w:val="00A62AEC"/>
    <w:rsid w:val="00A643FB"/>
    <w:rsid w:val="00A651DA"/>
    <w:rsid w:val="00A6586B"/>
    <w:rsid w:val="00A66227"/>
    <w:rsid w:val="00A70D2D"/>
    <w:rsid w:val="00A73CC7"/>
    <w:rsid w:val="00A7414B"/>
    <w:rsid w:val="00A74A54"/>
    <w:rsid w:val="00A75E3D"/>
    <w:rsid w:val="00A773E7"/>
    <w:rsid w:val="00A773E8"/>
    <w:rsid w:val="00A77F24"/>
    <w:rsid w:val="00A80065"/>
    <w:rsid w:val="00A824C6"/>
    <w:rsid w:val="00A82A58"/>
    <w:rsid w:val="00A84280"/>
    <w:rsid w:val="00A859C1"/>
    <w:rsid w:val="00A86B5D"/>
    <w:rsid w:val="00A87341"/>
    <w:rsid w:val="00A8759C"/>
    <w:rsid w:val="00A91A7D"/>
    <w:rsid w:val="00A91BDF"/>
    <w:rsid w:val="00A91FC2"/>
    <w:rsid w:val="00A97231"/>
    <w:rsid w:val="00AA0068"/>
    <w:rsid w:val="00AA031B"/>
    <w:rsid w:val="00AA0396"/>
    <w:rsid w:val="00AA4305"/>
    <w:rsid w:val="00AA6DDC"/>
    <w:rsid w:val="00AB07D0"/>
    <w:rsid w:val="00AB2817"/>
    <w:rsid w:val="00AB340F"/>
    <w:rsid w:val="00AB500F"/>
    <w:rsid w:val="00AB5B96"/>
    <w:rsid w:val="00AC0568"/>
    <w:rsid w:val="00AC0CAD"/>
    <w:rsid w:val="00AC40CD"/>
    <w:rsid w:val="00AC4D63"/>
    <w:rsid w:val="00AC5A4F"/>
    <w:rsid w:val="00AD051D"/>
    <w:rsid w:val="00AD630B"/>
    <w:rsid w:val="00AD788D"/>
    <w:rsid w:val="00AE01D4"/>
    <w:rsid w:val="00AE3E48"/>
    <w:rsid w:val="00AE53D9"/>
    <w:rsid w:val="00AE554D"/>
    <w:rsid w:val="00AE5A5E"/>
    <w:rsid w:val="00AE6BCB"/>
    <w:rsid w:val="00AE7905"/>
    <w:rsid w:val="00AF26E4"/>
    <w:rsid w:val="00AF2B28"/>
    <w:rsid w:val="00AF3B0C"/>
    <w:rsid w:val="00AF4525"/>
    <w:rsid w:val="00B0006D"/>
    <w:rsid w:val="00B00D2F"/>
    <w:rsid w:val="00B01298"/>
    <w:rsid w:val="00B01EFC"/>
    <w:rsid w:val="00B0267D"/>
    <w:rsid w:val="00B04E30"/>
    <w:rsid w:val="00B055A7"/>
    <w:rsid w:val="00B106FD"/>
    <w:rsid w:val="00B112D3"/>
    <w:rsid w:val="00B13B09"/>
    <w:rsid w:val="00B14932"/>
    <w:rsid w:val="00B16528"/>
    <w:rsid w:val="00B21D80"/>
    <w:rsid w:val="00B373DA"/>
    <w:rsid w:val="00B40496"/>
    <w:rsid w:val="00B41EC5"/>
    <w:rsid w:val="00B46667"/>
    <w:rsid w:val="00B47541"/>
    <w:rsid w:val="00B52981"/>
    <w:rsid w:val="00B529F8"/>
    <w:rsid w:val="00B531F0"/>
    <w:rsid w:val="00B53C36"/>
    <w:rsid w:val="00B570F4"/>
    <w:rsid w:val="00B57207"/>
    <w:rsid w:val="00B5785D"/>
    <w:rsid w:val="00B61451"/>
    <w:rsid w:val="00B65E48"/>
    <w:rsid w:val="00B6618B"/>
    <w:rsid w:val="00B66535"/>
    <w:rsid w:val="00B7443A"/>
    <w:rsid w:val="00B76CDF"/>
    <w:rsid w:val="00B76F15"/>
    <w:rsid w:val="00B76F63"/>
    <w:rsid w:val="00B7767F"/>
    <w:rsid w:val="00B80468"/>
    <w:rsid w:val="00B82CA8"/>
    <w:rsid w:val="00B8319F"/>
    <w:rsid w:val="00B840CB"/>
    <w:rsid w:val="00B85DE6"/>
    <w:rsid w:val="00B902DC"/>
    <w:rsid w:val="00B929D3"/>
    <w:rsid w:val="00B93CC7"/>
    <w:rsid w:val="00B93F00"/>
    <w:rsid w:val="00B94D01"/>
    <w:rsid w:val="00B9531C"/>
    <w:rsid w:val="00B97E9B"/>
    <w:rsid w:val="00BA146A"/>
    <w:rsid w:val="00BA302B"/>
    <w:rsid w:val="00BA3102"/>
    <w:rsid w:val="00BB41AC"/>
    <w:rsid w:val="00BB560C"/>
    <w:rsid w:val="00BB5D0E"/>
    <w:rsid w:val="00BC164E"/>
    <w:rsid w:val="00BC1E6E"/>
    <w:rsid w:val="00BD1EBC"/>
    <w:rsid w:val="00BD2810"/>
    <w:rsid w:val="00BD3984"/>
    <w:rsid w:val="00BD3A88"/>
    <w:rsid w:val="00BD7132"/>
    <w:rsid w:val="00BE15E1"/>
    <w:rsid w:val="00BE38BD"/>
    <w:rsid w:val="00BE5C0C"/>
    <w:rsid w:val="00BF0C58"/>
    <w:rsid w:val="00BF17CF"/>
    <w:rsid w:val="00BF4A2A"/>
    <w:rsid w:val="00BF5D49"/>
    <w:rsid w:val="00BF64CF"/>
    <w:rsid w:val="00BF6D74"/>
    <w:rsid w:val="00C014DD"/>
    <w:rsid w:val="00C07884"/>
    <w:rsid w:val="00C10701"/>
    <w:rsid w:val="00C12002"/>
    <w:rsid w:val="00C150FB"/>
    <w:rsid w:val="00C1534B"/>
    <w:rsid w:val="00C1567E"/>
    <w:rsid w:val="00C1636F"/>
    <w:rsid w:val="00C16F68"/>
    <w:rsid w:val="00C21EF7"/>
    <w:rsid w:val="00C2541A"/>
    <w:rsid w:val="00C260AC"/>
    <w:rsid w:val="00C32089"/>
    <w:rsid w:val="00C3290D"/>
    <w:rsid w:val="00C33159"/>
    <w:rsid w:val="00C34686"/>
    <w:rsid w:val="00C3740F"/>
    <w:rsid w:val="00C40215"/>
    <w:rsid w:val="00C428C8"/>
    <w:rsid w:val="00C42D1E"/>
    <w:rsid w:val="00C43372"/>
    <w:rsid w:val="00C43F1F"/>
    <w:rsid w:val="00C4775F"/>
    <w:rsid w:val="00C50849"/>
    <w:rsid w:val="00C5156B"/>
    <w:rsid w:val="00C53285"/>
    <w:rsid w:val="00C540FA"/>
    <w:rsid w:val="00C61F13"/>
    <w:rsid w:val="00C64381"/>
    <w:rsid w:val="00C6659F"/>
    <w:rsid w:val="00C67C89"/>
    <w:rsid w:val="00C72535"/>
    <w:rsid w:val="00C75484"/>
    <w:rsid w:val="00C76E27"/>
    <w:rsid w:val="00C82C50"/>
    <w:rsid w:val="00C833B8"/>
    <w:rsid w:val="00C85278"/>
    <w:rsid w:val="00C875B8"/>
    <w:rsid w:val="00C91236"/>
    <w:rsid w:val="00C91D7B"/>
    <w:rsid w:val="00C92FB3"/>
    <w:rsid w:val="00C9419C"/>
    <w:rsid w:val="00C967B2"/>
    <w:rsid w:val="00C97355"/>
    <w:rsid w:val="00CA3AB2"/>
    <w:rsid w:val="00CA3E09"/>
    <w:rsid w:val="00CA4093"/>
    <w:rsid w:val="00CA413B"/>
    <w:rsid w:val="00CB0B9A"/>
    <w:rsid w:val="00CB0E8D"/>
    <w:rsid w:val="00CB1DD8"/>
    <w:rsid w:val="00CB21A5"/>
    <w:rsid w:val="00CB3449"/>
    <w:rsid w:val="00CB4AFF"/>
    <w:rsid w:val="00CB4C5B"/>
    <w:rsid w:val="00CC023E"/>
    <w:rsid w:val="00CC33C7"/>
    <w:rsid w:val="00CC5405"/>
    <w:rsid w:val="00CD43D0"/>
    <w:rsid w:val="00CD6E84"/>
    <w:rsid w:val="00CE3865"/>
    <w:rsid w:val="00CE630E"/>
    <w:rsid w:val="00CE6EF3"/>
    <w:rsid w:val="00CF0BE4"/>
    <w:rsid w:val="00CF28B7"/>
    <w:rsid w:val="00CF3A7E"/>
    <w:rsid w:val="00CF492B"/>
    <w:rsid w:val="00CF51C1"/>
    <w:rsid w:val="00CF6197"/>
    <w:rsid w:val="00CF6B69"/>
    <w:rsid w:val="00CF6F32"/>
    <w:rsid w:val="00CF765A"/>
    <w:rsid w:val="00D00428"/>
    <w:rsid w:val="00D0296C"/>
    <w:rsid w:val="00D0443C"/>
    <w:rsid w:val="00D0559B"/>
    <w:rsid w:val="00D0646E"/>
    <w:rsid w:val="00D11573"/>
    <w:rsid w:val="00D11652"/>
    <w:rsid w:val="00D12BA7"/>
    <w:rsid w:val="00D1577F"/>
    <w:rsid w:val="00D158E8"/>
    <w:rsid w:val="00D15ECF"/>
    <w:rsid w:val="00D17ED6"/>
    <w:rsid w:val="00D2009B"/>
    <w:rsid w:val="00D20DA8"/>
    <w:rsid w:val="00D22413"/>
    <w:rsid w:val="00D2285B"/>
    <w:rsid w:val="00D22DAF"/>
    <w:rsid w:val="00D23A49"/>
    <w:rsid w:val="00D313FE"/>
    <w:rsid w:val="00D346CD"/>
    <w:rsid w:val="00D35B7B"/>
    <w:rsid w:val="00D421CA"/>
    <w:rsid w:val="00D47274"/>
    <w:rsid w:val="00D50569"/>
    <w:rsid w:val="00D522F5"/>
    <w:rsid w:val="00D5397C"/>
    <w:rsid w:val="00D54C67"/>
    <w:rsid w:val="00D54FB2"/>
    <w:rsid w:val="00D5661B"/>
    <w:rsid w:val="00D57BB0"/>
    <w:rsid w:val="00D60112"/>
    <w:rsid w:val="00D60EEC"/>
    <w:rsid w:val="00D6227C"/>
    <w:rsid w:val="00D629A8"/>
    <w:rsid w:val="00D6565D"/>
    <w:rsid w:val="00D679DF"/>
    <w:rsid w:val="00D73DEE"/>
    <w:rsid w:val="00D74138"/>
    <w:rsid w:val="00D75AAB"/>
    <w:rsid w:val="00D779C8"/>
    <w:rsid w:val="00D80537"/>
    <w:rsid w:val="00D807AA"/>
    <w:rsid w:val="00D81158"/>
    <w:rsid w:val="00D8135D"/>
    <w:rsid w:val="00D831C8"/>
    <w:rsid w:val="00D851B3"/>
    <w:rsid w:val="00D86CE8"/>
    <w:rsid w:val="00D87295"/>
    <w:rsid w:val="00D90656"/>
    <w:rsid w:val="00D92346"/>
    <w:rsid w:val="00D9263B"/>
    <w:rsid w:val="00D942CB"/>
    <w:rsid w:val="00D94331"/>
    <w:rsid w:val="00D95268"/>
    <w:rsid w:val="00D961DB"/>
    <w:rsid w:val="00DA17BA"/>
    <w:rsid w:val="00DA58D4"/>
    <w:rsid w:val="00DA62D3"/>
    <w:rsid w:val="00DB1A69"/>
    <w:rsid w:val="00DB5524"/>
    <w:rsid w:val="00DB5ABC"/>
    <w:rsid w:val="00DB6D56"/>
    <w:rsid w:val="00DB79DB"/>
    <w:rsid w:val="00DC277D"/>
    <w:rsid w:val="00DC4217"/>
    <w:rsid w:val="00DC5C8A"/>
    <w:rsid w:val="00DC6C69"/>
    <w:rsid w:val="00DD1350"/>
    <w:rsid w:val="00DD2D77"/>
    <w:rsid w:val="00DD37C8"/>
    <w:rsid w:val="00DD4551"/>
    <w:rsid w:val="00DD50E8"/>
    <w:rsid w:val="00DD59C7"/>
    <w:rsid w:val="00DD6677"/>
    <w:rsid w:val="00DD6E7F"/>
    <w:rsid w:val="00DE07EC"/>
    <w:rsid w:val="00DE296B"/>
    <w:rsid w:val="00DE3BA7"/>
    <w:rsid w:val="00DE523B"/>
    <w:rsid w:val="00DE7F30"/>
    <w:rsid w:val="00DF0E4C"/>
    <w:rsid w:val="00DF18AE"/>
    <w:rsid w:val="00DF3E8D"/>
    <w:rsid w:val="00DF4D7E"/>
    <w:rsid w:val="00DF6FE8"/>
    <w:rsid w:val="00E00D62"/>
    <w:rsid w:val="00E00EB7"/>
    <w:rsid w:val="00E03623"/>
    <w:rsid w:val="00E05175"/>
    <w:rsid w:val="00E07D89"/>
    <w:rsid w:val="00E121C9"/>
    <w:rsid w:val="00E12B80"/>
    <w:rsid w:val="00E13394"/>
    <w:rsid w:val="00E14CD6"/>
    <w:rsid w:val="00E15D15"/>
    <w:rsid w:val="00E1760F"/>
    <w:rsid w:val="00E17947"/>
    <w:rsid w:val="00E17B97"/>
    <w:rsid w:val="00E17E22"/>
    <w:rsid w:val="00E20348"/>
    <w:rsid w:val="00E24158"/>
    <w:rsid w:val="00E2493B"/>
    <w:rsid w:val="00E24D70"/>
    <w:rsid w:val="00E25746"/>
    <w:rsid w:val="00E25FFD"/>
    <w:rsid w:val="00E312AC"/>
    <w:rsid w:val="00E3333E"/>
    <w:rsid w:val="00E423F9"/>
    <w:rsid w:val="00E42B9E"/>
    <w:rsid w:val="00E43705"/>
    <w:rsid w:val="00E44CB6"/>
    <w:rsid w:val="00E45194"/>
    <w:rsid w:val="00E45797"/>
    <w:rsid w:val="00E47195"/>
    <w:rsid w:val="00E47B60"/>
    <w:rsid w:val="00E506B7"/>
    <w:rsid w:val="00E5248B"/>
    <w:rsid w:val="00E53F8B"/>
    <w:rsid w:val="00E540F3"/>
    <w:rsid w:val="00E645CF"/>
    <w:rsid w:val="00E6795D"/>
    <w:rsid w:val="00E704EB"/>
    <w:rsid w:val="00E70FDE"/>
    <w:rsid w:val="00E7362D"/>
    <w:rsid w:val="00E73A6F"/>
    <w:rsid w:val="00E75444"/>
    <w:rsid w:val="00E8137E"/>
    <w:rsid w:val="00E8448A"/>
    <w:rsid w:val="00E84585"/>
    <w:rsid w:val="00E86F11"/>
    <w:rsid w:val="00E8770E"/>
    <w:rsid w:val="00E8786C"/>
    <w:rsid w:val="00E90191"/>
    <w:rsid w:val="00E9345C"/>
    <w:rsid w:val="00E957F7"/>
    <w:rsid w:val="00E95D98"/>
    <w:rsid w:val="00E96706"/>
    <w:rsid w:val="00E970FD"/>
    <w:rsid w:val="00E97F44"/>
    <w:rsid w:val="00EA0A9A"/>
    <w:rsid w:val="00EA13B1"/>
    <w:rsid w:val="00EA23D3"/>
    <w:rsid w:val="00EA3E54"/>
    <w:rsid w:val="00EA5C67"/>
    <w:rsid w:val="00EA6129"/>
    <w:rsid w:val="00EA7A17"/>
    <w:rsid w:val="00EB1478"/>
    <w:rsid w:val="00EB1AB1"/>
    <w:rsid w:val="00EB3CA9"/>
    <w:rsid w:val="00EB4121"/>
    <w:rsid w:val="00EB671F"/>
    <w:rsid w:val="00EB7894"/>
    <w:rsid w:val="00EC02B7"/>
    <w:rsid w:val="00EC0390"/>
    <w:rsid w:val="00EC0915"/>
    <w:rsid w:val="00EC176F"/>
    <w:rsid w:val="00EC27D4"/>
    <w:rsid w:val="00EC2DFA"/>
    <w:rsid w:val="00ED0C3F"/>
    <w:rsid w:val="00ED18E7"/>
    <w:rsid w:val="00ED3798"/>
    <w:rsid w:val="00ED37F0"/>
    <w:rsid w:val="00ED3A14"/>
    <w:rsid w:val="00ED678E"/>
    <w:rsid w:val="00ED7569"/>
    <w:rsid w:val="00ED7DB1"/>
    <w:rsid w:val="00EE2091"/>
    <w:rsid w:val="00EE39B7"/>
    <w:rsid w:val="00EF3450"/>
    <w:rsid w:val="00EF353A"/>
    <w:rsid w:val="00EF6691"/>
    <w:rsid w:val="00EF6CA0"/>
    <w:rsid w:val="00F029DF"/>
    <w:rsid w:val="00F02B75"/>
    <w:rsid w:val="00F035EB"/>
    <w:rsid w:val="00F046A7"/>
    <w:rsid w:val="00F1350C"/>
    <w:rsid w:val="00F14731"/>
    <w:rsid w:val="00F15875"/>
    <w:rsid w:val="00F16390"/>
    <w:rsid w:val="00F17F69"/>
    <w:rsid w:val="00F20AD6"/>
    <w:rsid w:val="00F26D15"/>
    <w:rsid w:val="00F271F5"/>
    <w:rsid w:val="00F27821"/>
    <w:rsid w:val="00F27C8F"/>
    <w:rsid w:val="00F27E27"/>
    <w:rsid w:val="00F27F58"/>
    <w:rsid w:val="00F3295B"/>
    <w:rsid w:val="00F32CA0"/>
    <w:rsid w:val="00F32D0E"/>
    <w:rsid w:val="00F36122"/>
    <w:rsid w:val="00F37840"/>
    <w:rsid w:val="00F445C7"/>
    <w:rsid w:val="00F455A2"/>
    <w:rsid w:val="00F50BF1"/>
    <w:rsid w:val="00F52A89"/>
    <w:rsid w:val="00F5310E"/>
    <w:rsid w:val="00F543F3"/>
    <w:rsid w:val="00F54A3E"/>
    <w:rsid w:val="00F65B0D"/>
    <w:rsid w:val="00F6666F"/>
    <w:rsid w:val="00F71104"/>
    <w:rsid w:val="00F74218"/>
    <w:rsid w:val="00F75C84"/>
    <w:rsid w:val="00F77518"/>
    <w:rsid w:val="00F82E0D"/>
    <w:rsid w:val="00F832CE"/>
    <w:rsid w:val="00F83B50"/>
    <w:rsid w:val="00F8456D"/>
    <w:rsid w:val="00F858A6"/>
    <w:rsid w:val="00F86222"/>
    <w:rsid w:val="00F902C1"/>
    <w:rsid w:val="00F91D3D"/>
    <w:rsid w:val="00F92879"/>
    <w:rsid w:val="00F93CDE"/>
    <w:rsid w:val="00F93DBD"/>
    <w:rsid w:val="00F94BC9"/>
    <w:rsid w:val="00F95490"/>
    <w:rsid w:val="00F95573"/>
    <w:rsid w:val="00FA38CA"/>
    <w:rsid w:val="00FA4942"/>
    <w:rsid w:val="00FA4AEA"/>
    <w:rsid w:val="00FA4F05"/>
    <w:rsid w:val="00FA55EB"/>
    <w:rsid w:val="00FA6E13"/>
    <w:rsid w:val="00FA703A"/>
    <w:rsid w:val="00FA7AD0"/>
    <w:rsid w:val="00FB1D93"/>
    <w:rsid w:val="00FB411E"/>
    <w:rsid w:val="00FB5491"/>
    <w:rsid w:val="00FB6576"/>
    <w:rsid w:val="00FB7AFD"/>
    <w:rsid w:val="00FC1585"/>
    <w:rsid w:val="00FC3A98"/>
    <w:rsid w:val="00FC5228"/>
    <w:rsid w:val="00FC652A"/>
    <w:rsid w:val="00FC6D68"/>
    <w:rsid w:val="00FD2B7E"/>
    <w:rsid w:val="00FD34F2"/>
    <w:rsid w:val="00FD5DBA"/>
    <w:rsid w:val="00FE06E3"/>
    <w:rsid w:val="00FE1185"/>
    <w:rsid w:val="00FE15C3"/>
    <w:rsid w:val="00FE56C7"/>
    <w:rsid w:val="00FF616E"/>
    <w:rsid w:val="00FF62F2"/>
    <w:rsid w:val="00FF68DF"/>
    <w:rsid w:val="00FF6A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D9D347-9A50-4EF2-9B6C-2A1E0C1D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eastAsia="en-US"/>
    </w:rPr>
  </w:style>
  <w:style w:type="paragraph" w:styleId="Heading1">
    <w:name w:val="heading 1"/>
    <w:aliases w:val="Table_G"/>
    <w:basedOn w:val="SingleTxtG"/>
    <w:next w:val="SingleTxtG"/>
    <w:link w:val="Heading1Char"/>
    <w:qFormat/>
    <w:rsid w:val="00416EAF"/>
    <w:pPr>
      <w:spacing w:after="0" w:line="240" w:lineRule="auto"/>
      <w:ind w:right="0"/>
      <w:jc w:val="left"/>
      <w:outlineLvl w:val="0"/>
    </w:pPr>
  </w:style>
  <w:style w:type="paragraph" w:styleId="Heading2">
    <w:name w:val="heading 2"/>
    <w:basedOn w:val="Normal"/>
    <w:next w:val="Normal"/>
    <w:link w:val="Heading2Char"/>
    <w:uiPriority w:val="1"/>
    <w:qFormat/>
    <w:rsid w:val="00416EAF"/>
    <w:pPr>
      <w:spacing w:line="240" w:lineRule="auto"/>
      <w:outlineLvl w:val="1"/>
    </w:pPr>
  </w:style>
  <w:style w:type="paragraph" w:styleId="Heading3">
    <w:name w:val="heading 3"/>
    <w:basedOn w:val="Normal"/>
    <w:next w:val="Normal"/>
    <w:link w:val="Heading3Char"/>
    <w:uiPriority w:val="9"/>
    <w:qFormat/>
    <w:rsid w:val="00416EAF"/>
    <w:pPr>
      <w:spacing w:line="240" w:lineRule="auto"/>
      <w:outlineLvl w:val="2"/>
    </w:pPr>
  </w:style>
  <w:style w:type="paragraph" w:styleId="Heading4">
    <w:name w:val="heading 4"/>
    <w:basedOn w:val="Normal"/>
    <w:next w:val="Normal"/>
    <w:link w:val="Heading4Char"/>
    <w:uiPriority w:val="9"/>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416EAF"/>
    <w:pPr>
      <w:spacing w:after="120"/>
      <w:ind w:left="1134" w:right="1134"/>
      <w:jc w:val="both"/>
    </w:pPr>
    <w:rPr>
      <w:lang w:val="x-none"/>
    </w:r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416EAF"/>
    <w:pPr>
      <w:pBdr>
        <w:bottom w:val="single" w:sz="4" w:space="4" w:color="auto"/>
      </w:pBdr>
      <w:spacing w:line="240" w:lineRule="auto"/>
    </w:pPr>
    <w:rPr>
      <w:b/>
      <w:sz w:val="18"/>
    </w:rPr>
  </w:style>
  <w:style w:type="table" w:styleId="TableGrid">
    <w:name w:val="Table Grid"/>
    <w:basedOn w:val="TableNormal"/>
    <w:uiPriority w:val="59"/>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416EAF"/>
    <w:rPr>
      <w:color w:val="auto"/>
      <w:u w:val="none"/>
    </w:rPr>
  </w:style>
  <w:style w:type="character" w:styleId="FollowedHyperlink">
    <w:name w:val="FollowedHyperlink"/>
    <w:uiPriority w:val="99"/>
    <w:semiHidden/>
    <w:rsid w:val="00416EAF"/>
    <w:rPr>
      <w:color w:val="auto"/>
      <w:u w:val="none"/>
    </w:rPr>
  </w:style>
  <w:style w:type="paragraph" w:styleId="FootnoteText">
    <w:name w:val="footnote text"/>
    <w:aliases w:val="5_G"/>
    <w:basedOn w:val="Normal"/>
    <w:link w:val="FootnoteTextChar"/>
    <w:qFormat/>
    <w:rsid w:val="00B04E30"/>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link w:val="EndnoteTextChar"/>
    <w:uiPriority w:val="99"/>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uiPriority w:val="99"/>
    <w:rsid w:val="00416EAF"/>
    <w:rPr>
      <w:rFonts w:ascii="Times New Roman" w:hAnsi="Times New Roman"/>
      <w:sz w:val="18"/>
      <w:vertAlign w:val="superscript"/>
    </w:rPr>
  </w:style>
  <w:style w:type="character" w:styleId="FootnoteReference">
    <w:name w:val="footnote reference"/>
    <w:aliases w:val="4_G"/>
    <w:qFormat/>
    <w:rsid w:val="00B04E30"/>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link w:val="FooterChar"/>
    <w:uiPriority w:val="99"/>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SingleTxtGChar">
    <w:name w:val="_ Single Txt_G Char"/>
    <w:link w:val="SingleTxtG"/>
    <w:locked/>
    <w:rsid w:val="004442AB"/>
    <w:rPr>
      <w:lang w:eastAsia="en-US"/>
    </w:rPr>
  </w:style>
  <w:style w:type="paragraph" w:styleId="NormalWeb">
    <w:name w:val="Normal (Web)"/>
    <w:basedOn w:val="Normal"/>
    <w:uiPriority w:val="99"/>
    <w:unhideWhenUsed/>
    <w:rsid w:val="005C0940"/>
    <w:pPr>
      <w:suppressAutoHyphens w:val="0"/>
      <w:spacing w:before="100" w:beforeAutospacing="1" w:after="100" w:afterAutospacing="1" w:line="240" w:lineRule="auto"/>
    </w:pPr>
    <w:rPr>
      <w:sz w:val="24"/>
      <w:szCs w:val="24"/>
      <w:lang w:eastAsia="en-GB"/>
    </w:rPr>
  </w:style>
  <w:style w:type="character" w:styleId="CommentReference">
    <w:name w:val="annotation reference"/>
    <w:uiPriority w:val="99"/>
    <w:semiHidden/>
    <w:rsid w:val="00DB06DD"/>
    <w:rPr>
      <w:sz w:val="16"/>
      <w:szCs w:val="16"/>
    </w:rPr>
  </w:style>
  <w:style w:type="paragraph" w:styleId="CommentText">
    <w:name w:val="annotation text"/>
    <w:basedOn w:val="Normal"/>
    <w:link w:val="CommentTextChar"/>
    <w:uiPriority w:val="99"/>
    <w:rsid w:val="00DB06DD"/>
  </w:style>
  <w:style w:type="paragraph" w:styleId="CommentSubject">
    <w:name w:val="annotation subject"/>
    <w:basedOn w:val="CommentText"/>
    <w:next w:val="CommentText"/>
    <w:link w:val="CommentSubjectChar"/>
    <w:uiPriority w:val="99"/>
    <w:semiHidden/>
    <w:rsid w:val="00DB06DD"/>
    <w:rPr>
      <w:b/>
      <w:bCs/>
    </w:rPr>
  </w:style>
  <w:style w:type="paragraph" w:styleId="BalloonText">
    <w:name w:val="Balloon Text"/>
    <w:basedOn w:val="Normal"/>
    <w:link w:val="BalloonTextChar"/>
    <w:uiPriority w:val="99"/>
    <w:semiHidden/>
    <w:rsid w:val="00DB06DD"/>
    <w:rPr>
      <w:rFonts w:ascii="Tahoma" w:hAnsi="Tahoma" w:cs="Tahoma"/>
      <w:sz w:val="16"/>
      <w:szCs w:val="16"/>
    </w:rPr>
  </w:style>
  <w:style w:type="character" w:customStyle="1" w:styleId="categorydata3">
    <w:name w:val="category_data3"/>
    <w:rsid w:val="00000FDF"/>
    <w:rPr>
      <w:rFonts w:ascii="Arial" w:hAnsi="Arial" w:cs="Arial" w:hint="default"/>
      <w:b/>
      <w:bCs/>
      <w:caps w:val="0"/>
      <w:color w:val="666666"/>
      <w:spacing w:val="10"/>
      <w:sz w:val="11"/>
      <w:szCs w:val="11"/>
    </w:rPr>
  </w:style>
  <w:style w:type="paragraph" w:customStyle="1" w:styleId="Default">
    <w:name w:val="Default"/>
    <w:rsid w:val="008461AC"/>
    <w:pPr>
      <w:autoSpaceDE w:val="0"/>
      <w:autoSpaceDN w:val="0"/>
      <w:adjustRightInd w:val="0"/>
    </w:pPr>
    <w:rPr>
      <w:color w:val="000000"/>
      <w:sz w:val="24"/>
      <w:szCs w:val="24"/>
    </w:rPr>
  </w:style>
  <w:style w:type="character" w:customStyle="1" w:styleId="FootnoteTextChar">
    <w:name w:val="Footnote Text Char"/>
    <w:aliases w:val="5_G Char"/>
    <w:link w:val="FootnoteText"/>
    <w:locked/>
    <w:rsid w:val="008461AC"/>
    <w:rPr>
      <w:rFonts w:eastAsia="SimSun"/>
      <w:sz w:val="18"/>
      <w:lang w:eastAsia="zh-CN"/>
    </w:rPr>
  </w:style>
  <w:style w:type="paragraph" w:styleId="ListParagraph">
    <w:name w:val="List Paragraph"/>
    <w:basedOn w:val="Normal"/>
    <w:uiPriority w:val="34"/>
    <w:qFormat/>
    <w:rsid w:val="00110701"/>
    <w:pPr>
      <w:ind w:left="720"/>
    </w:pPr>
  </w:style>
  <w:style w:type="character" w:customStyle="1" w:styleId="Heading1Char">
    <w:name w:val="Heading 1 Char"/>
    <w:aliases w:val="Table_G Char"/>
    <w:link w:val="Heading1"/>
    <w:rsid w:val="00DA58D4"/>
    <w:rPr>
      <w:lang w:val="x-none" w:eastAsia="en-US"/>
    </w:rPr>
  </w:style>
  <w:style w:type="character" w:customStyle="1" w:styleId="Heading2Char">
    <w:name w:val="Heading 2 Char"/>
    <w:link w:val="Heading2"/>
    <w:uiPriority w:val="1"/>
    <w:rsid w:val="00DA58D4"/>
    <w:rPr>
      <w:lang w:eastAsia="en-US"/>
    </w:rPr>
  </w:style>
  <w:style w:type="character" w:customStyle="1" w:styleId="Heading3Char">
    <w:name w:val="Heading 3 Char"/>
    <w:link w:val="Heading3"/>
    <w:uiPriority w:val="9"/>
    <w:rsid w:val="00DA58D4"/>
    <w:rPr>
      <w:lang w:eastAsia="en-US"/>
    </w:rPr>
  </w:style>
  <w:style w:type="character" w:customStyle="1" w:styleId="Heading4Char">
    <w:name w:val="Heading 4 Char"/>
    <w:link w:val="Heading4"/>
    <w:uiPriority w:val="9"/>
    <w:rsid w:val="00DA58D4"/>
    <w:rPr>
      <w:lang w:eastAsia="en-US"/>
    </w:rPr>
  </w:style>
  <w:style w:type="character" w:customStyle="1" w:styleId="FooterChar">
    <w:name w:val="Footer Char"/>
    <w:aliases w:val="3_G Char"/>
    <w:link w:val="Footer"/>
    <w:uiPriority w:val="99"/>
    <w:rsid w:val="00DA58D4"/>
    <w:rPr>
      <w:sz w:val="16"/>
      <w:lang w:eastAsia="en-US"/>
    </w:rPr>
  </w:style>
  <w:style w:type="paragraph" w:customStyle="1" w:styleId="Paragraphnumbered">
    <w:name w:val="Paragraph (numbered)"/>
    <w:basedOn w:val="Normal"/>
    <w:uiPriority w:val="99"/>
    <w:rsid w:val="00DA58D4"/>
    <w:pPr>
      <w:numPr>
        <w:numId w:val="3"/>
      </w:numPr>
      <w:suppressAutoHyphens w:val="0"/>
      <w:spacing w:before="240" w:line="240" w:lineRule="auto"/>
    </w:pPr>
    <w:rPr>
      <w:sz w:val="24"/>
      <w:lang w:val="en-AU" w:eastAsia="en-AU"/>
    </w:rPr>
  </w:style>
  <w:style w:type="character" w:customStyle="1" w:styleId="EndnoteTextChar">
    <w:name w:val="Endnote Text Char"/>
    <w:aliases w:val="2_G Char"/>
    <w:link w:val="EndnoteText"/>
    <w:uiPriority w:val="99"/>
    <w:rsid w:val="00DA58D4"/>
    <w:rPr>
      <w:sz w:val="18"/>
      <w:lang w:val="x-none" w:eastAsia="en-US"/>
    </w:rPr>
  </w:style>
  <w:style w:type="character" w:customStyle="1" w:styleId="CommentTextChar">
    <w:name w:val="Comment Text Char"/>
    <w:link w:val="CommentText"/>
    <w:uiPriority w:val="99"/>
    <w:rsid w:val="00DA58D4"/>
    <w:rPr>
      <w:lang w:eastAsia="en-US"/>
    </w:rPr>
  </w:style>
  <w:style w:type="character" w:customStyle="1" w:styleId="CommentSubjectChar">
    <w:name w:val="Comment Subject Char"/>
    <w:link w:val="CommentSubject"/>
    <w:uiPriority w:val="99"/>
    <w:semiHidden/>
    <w:rsid w:val="00DA58D4"/>
    <w:rPr>
      <w:b/>
      <w:bCs/>
      <w:lang w:eastAsia="en-US"/>
    </w:rPr>
  </w:style>
  <w:style w:type="paragraph" w:styleId="Revision">
    <w:name w:val="Revision"/>
    <w:hidden/>
    <w:uiPriority w:val="99"/>
    <w:semiHidden/>
    <w:rsid w:val="00DA58D4"/>
    <w:rPr>
      <w:rFonts w:ascii="Calibri" w:eastAsia="Calibri" w:hAnsi="Calibri"/>
      <w:sz w:val="22"/>
      <w:szCs w:val="22"/>
      <w:lang w:val="en-AU" w:eastAsia="en-US"/>
    </w:rPr>
  </w:style>
  <w:style w:type="character" w:customStyle="1" w:styleId="BalloonTextChar">
    <w:name w:val="Balloon Text Char"/>
    <w:link w:val="BalloonText"/>
    <w:uiPriority w:val="99"/>
    <w:semiHidden/>
    <w:rsid w:val="00DA58D4"/>
    <w:rPr>
      <w:rFonts w:ascii="Tahoma" w:hAnsi="Tahoma" w:cs="Tahoma"/>
      <w:sz w:val="16"/>
      <w:szCs w:val="16"/>
      <w:lang w:eastAsia="en-US"/>
    </w:rPr>
  </w:style>
  <w:style w:type="character" w:customStyle="1" w:styleId="HeaderChar">
    <w:name w:val="Header Char"/>
    <w:aliases w:val="6_G Char"/>
    <w:link w:val="Header"/>
    <w:uiPriority w:val="99"/>
    <w:rsid w:val="00DA58D4"/>
    <w:rPr>
      <w:b/>
      <w:sz w:val="18"/>
      <w:lang w:eastAsia="en-US"/>
    </w:rPr>
  </w:style>
  <w:style w:type="paragraph" w:styleId="BodyText">
    <w:name w:val="Body Text"/>
    <w:basedOn w:val="Normal"/>
    <w:link w:val="BodyTextChar"/>
    <w:uiPriority w:val="1"/>
    <w:qFormat/>
    <w:rsid w:val="000617F0"/>
    <w:pPr>
      <w:widowControl w:val="0"/>
      <w:suppressAutoHyphens w:val="0"/>
      <w:spacing w:line="240" w:lineRule="auto"/>
      <w:ind w:left="100"/>
    </w:pPr>
    <w:rPr>
      <w:rFonts w:ascii="Calibri" w:eastAsia="Calibri" w:hAnsi="Calibri"/>
      <w:sz w:val="24"/>
      <w:szCs w:val="24"/>
      <w:lang w:val="en-US"/>
    </w:rPr>
  </w:style>
  <w:style w:type="character" w:customStyle="1" w:styleId="BodyTextChar">
    <w:name w:val="Body Text Char"/>
    <w:link w:val="BodyText"/>
    <w:uiPriority w:val="1"/>
    <w:rsid w:val="000617F0"/>
    <w:rPr>
      <w:rFonts w:ascii="Calibri" w:eastAsia="Calibri" w:hAnsi="Calibri"/>
      <w:sz w:val="24"/>
      <w:szCs w:val="24"/>
      <w:lang w:val="en-US" w:eastAsia="en-US"/>
    </w:rPr>
  </w:style>
  <w:style w:type="paragraph" w:customStyle="1" w:styleId="TableParagraph">
    <w:name w:val="Table Paragraph"/>
    <w:basedOn w:val="Normal"/>
    <w:uiPriority w:val="1"/>
    <w:qFormat/>
    <w:rsid w:val="000617F0"/>
    <w:pPr>
      <w:widowControl w:val="0"/>
      <w:suppressAutoHyphens w:val="0"/>
      <w:spacing w:line="240" w:lineRule="auto"/>
    </w:pPr>
    <w:rPr>
      <w:rFonts w:ascii="Calibri" w:eastAsia="Calibri" w:hAnsi="Calibri"/>
      <w:sz w:val="22"/>
      <w:szCs w:val="22"/>
      <w:lang w:val="en-US"/>
    </w:rPr>
  </w:style>
  <w:style w:type="paragraph" w:customStyle="1" w:styleId="doubledouble">
    <w:name w:val="double double"/>
    <w:basedOn w:val="Normal"/>
    <w:rsid w:val="00884892"/>
    <w:pPr>
      <w:suppressAutoHyphens w:val="0"/>
      <w:spacing w:after="240" w:line="240" w:lineRule="auto"/>
      <w:ind w:left="2160" w:right="2160"/>
      <w:jc w:val="both"/>
    </w:pPr>
    <w:rPr>
      <w:sz w:val="24"/>
      <w:lang w:val="en-US"/>
    </w:rPr>
  </w:style>
  <w:style w:type="paragraph" w:styleId="List2">
    <w:name w:val="List 2"/>
    <w:basedOn w:val="Normal"/>
    <w:rsid w:val="00884892"/>
    <w:pPr>
      <w:suppressAutoHyphens w:val="0"/>
      <w:spacing w:line="240" w:lineRule="auto"/>
      <w:ind w:left="566" w:hanging="283"/>
      <w:contextualSpacing/>
    </w:pPr>
    <w:rPr>
      <w:sz w:val="24"/>
      <w:szCs w:val="24"/>
      <w:lang w:val="en-CA" w:eastAsia="en-CA"/>
    </w:rPr>
  </w:style>
  <w:style w:type="character" w:styleId="Strong">
    <w:name w:val="Strong"/>
    <w:uiPriority w:val="22"/>
    <w:qFormat/>
    <w:rsid w:val="004708EA"/>
    <w:rPr>
      <w:b/>
      <w:bCs/>
    </w:rPr>
  </w:style>
  <w:style w:type="paragraph" w:customStyle="1" w:styleId="Kurusamy2">
    <w:name w:val="Kurusamy 2"/>
    <w:basedOn w:val="Normal"/>
    <w:qFormat/>
    <w:rsid w:val="00A07BB7"/>
    <w:pPr>
      <w:numPr>
        <w:numId w:val="4"/>
      </w:numPr>
      <w:suppressAutoHyphens w:val="0"/>
      <w:spacing w:after="240" w:line="240" w:lineRule="auto"/>
      <w:jc w:val="both"/>
    </w:pPr>
    <w:rPr>
      <w:i/>
      <w:color w:val="000000"/>
      <w:sz w:val="24"/>
      <w:szCs w:val="24"/>
      <w:lang w:val="en-US"/>
    </w:rPr>
  </w:style>
  <w:style w:type="paragraph" w:styleId="NoSpacing">
    <w:name w:val="No Spacing"/>
    <w:uiPriority w:val="1"/>
    <w:qFormat/>
    <w:rsid w:val="00072973"/>
    <w:pPr>
      <w:suppressAutoHyphens/>
    </w:pPr>
    <w:rPr>
      <w:lang w:eastAsia="en-US"/>
    </w:rPr>
  </w:style>
  <w:style w:type="paragraph" w:styleId="TOCHeading">
    <w:name w:val="TOC Heading"/>
    <w:basedOn w:val="Heading1"/>
    <w:next w:val="Normal"/>
    <w:uiPriority w:val="39"/>
    <w:semiHidden/>
    <w:unhideWhenUsed/>
    <w:qFormat/>
    <w:rsid w:val="00BB41AC"/>
    <w:pPr>
      <w:keepNext/>
      <w:keepLines/>
      <w:suppressAutoHyphens w:val="0"/>
      <w:spacing w:before="480" w:line="276" w:lineRule="auto"/>
      <w:ind w:left="0"/>
      <w:outlineLvl w:val="9"/>
    </w:pPr>
    <w:rPr>
      <w:rFonts w:ascii="Cambria" w:hAnsi="Cambria"/>
      <w:b/>
      <w:bCs/>
      <w:color w:val="365F91"/>
      <w:sz w:val="28"/>
      <w:szCs w:val="28"/>
      <w:lang w:val="en-US"/>
    </w:rPr>
  </w:style>
  <w:style w:type="paragraph" w:styleId="TOC1">
    <w:name w:val="toc 1"/>
    <w:basedOn w:val="Normal"/>
    <w:next w:val="Normal"/>
    <w:autoRedefine/>
    <w:uiPriority w:val="39"/>
    <w:unhideWhenUsed/>
    <w:rsid w:val="00BB41AC"/>
    <w:pPr>
      <w:tabs>
        <w:tab w:val="left" w:pos="851"/>
        <w:tab w:val="right" w:leader="dot" w:pos="9350"/>
      </w:tabs>
      <w:suppressAutoHyphens w:val="0"/>
      <w:spacing w:after="100" w:line="240" w:lineRule="auto"/>
      <w:ind w:left="851" w:hanging="851"/>
    </w:pPr>
    <w:rPr>
      <w:sz w:val="24"/>
      <w:szCs w:val="24"/>
      <w:lang w:val="en-CA" w:eastAsia="en-CA"/>
    </w:rPr>
  </w:style>
  <w:style w:type="paragraph" w:styleId="TOC2">
    <w:name w:val="toc 2"/>
    <w:basedOn w:val="Normal"/>
    <w:next w:val="Normal"/>
    <w:autoRedefine/>
    <w:uiPriority w:val="39"/>
    <w:unhideWhenUsed/>
    <w:rsid w:val="00BB41AC"/>
    <w:pPr>
      <w:tabs>
        <w:tab w:val="left" w:pos="880"/>
        <w:tab w:val="right" w:leader="dot" w:pos="9356"/>
      </w:tabs>
      <w:suppressAutoHyphens w:val="0"/>
      <w:spacing w:after="100" w:line="240" w:lineRule="auto"/>
      <w:ind w:left="851" w:right="288" w:hanging="611"/>
    </w:pPr>
    <w:rPr>
      <w:b/>
      <w:noProof/>
      <w:sz w:val="24"/>
      <w:szCs w:val="24"/>
      <w:lang w:val="en-CA" w:eastAsia="en-CA"/>
    </w:rPr>
  </w:style>
  <w:style w:type="paragraph" w:styleId="TOC3">
    <w:name w:val="toc 3"/>
    <w:basedOn w:val="Normal"/>
    <w:next w:val="Normal"/>
    <w:autoRedefine/>
    <w:uiPriority w:val="39"/>
    <w:unhideWhenUsed/>
    <w:rsid w:val="00BB41AC"/>
    <w:pPr>
      <w:tabs>
        <w:tab w:val="left" w:pos="1418"/>
        <w:tab w:val="right" w:leader="dot" w:pos="9356"/>
      </w:tabs>
      <w:suppressAutoHyphens w:val="0"/>
      <w:spacing w:after="100" w:line="240" w:lineRule="auto"/>
      <w:ind w:left="1418" w:right="288" w:hanging="567"/>
    </w:pPr>
    <w:rPr>
      <w:sz w:val="24"/>
      <w:szCs w:val="24"/>
      <w:lang w:val="en-CA" w:eastAsia="en-CA"/>
    </w:rPr>
  </w:style>
  <w:style w:type="character" w:customStyle="1" w:styleId="s6b621b36">
    <w:name w:val="s6b621b36"/>
    <w:rsid w:val="00BB4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49269">
      <w:bodyDiv w:val="1"/>
      <w:marLeft w:val="0"/>
      <w:marRight w:val="0"/>
      <w:marTop w:val="0"/>
      <w:marBottom w:val="0"/>
      <w:divBdr>
        <w:top w:val="none" w:sz="0" w:space="0" w:color="auto"/>
        <w:left w:val="none" w:sz="0" w:space="0" w:color="auto"/>
        <w:bottom w:val="none" w:sz="0" w:space="0" w:color="auto"/>
        <w:right w:val="none" w:sz="0" w:space="0" w:color="auto"/>
      </w:divBdr>
    </w:div>
    <w:div w:id="184252159">
      <w:bodyDiv w:val="1"/>
      <w:marLeft w:val="0"/>
      <w:marRight w:val="0"/>
      <w:marTop w:val="0"/>
      <w:marBottom w:val="0"/>
      <w:divBdr>
        <w:top w:val="none" w:sz="0" w:space="0" w:color="auto"/>
        <w:left w:val="none" w:sz="0" w:space="0" w:color="auto"/>
        <w:bottom w:val="none" w:sz="0" w:space="0" w:color="auto"/>
        <w:right w:val="none" w:sz="0" w:space="0" w:color="auto"/>
      </w:divBdr>
    </w:div>
    <w:div w:id="188688777">
      <w:bodyDiv w:val="1"/>
      <w:marLeft w:val="0"/>
      <w:marRight w:val="0"/>
      <w:marTop w:val="0"/>
      <w:marBottom w:val="0"/>
      <w:divBdr>
        <w:top w:val="none" w:sz="0" w:space="0" w:color="auto"/>
        <w:left w:val="none" w:sz="0" w:space="0" w:color="auto"/>
        <w:bottom w:val="none" w:sz="0" w:space="0" w:color="auto"/>
        <w:right w:val="none" w:sz="0" w:space="0" w:color="auto"/>
      </w:divBdr>
    </w:div>
    <w:div w:id="320544193">
      <w:bodyDiv w:val="1"/>
      <w:marLeft w:val="0"/>
      <w:marRight w:val="0"/>
      <w:marTop w:val="0"/>
      <w:marBottom w:val="0"/>
      <w:divBdr>
        <w:top w:val="none" w:sz="0" w:space="0" w:color="auto"/>
        <w:left w:val="none" w:sz="0" w:space="0" w:color="auto"/>
        <w:bottom w:val="none" w:sz="0" w:space="0" w:color="auto"/>
        <w:right w:val="none" w:sz="0" w:space="0" w:color="auto"/>
      </w:divBdr>
    </w:div>
    <w:div w:id="391469730">
      <w:bodyDiv w:val="1"/>
      <w:marLeft w:val="0"/>
      <w:marRight w:val="0"/>
      <w:marTop w:val="0"/>
      <w:marBottom w:val="0"/>
      <w:divBdr>
        <w:top w:val="none" w:sz="0" w:space="0" w:color="auto"/>
        <w:left w:val="none" w:sz="0" w:space="0" w:color="auto"/>
        <w:bottom w:val="none" w:sz="0" w:space="0" w:color="auto"/>
        <w:right w:val="none" w:sz="0" w:space="0" w:color="auto"/>
      </w:divBdr>
    </w:div>
    <w:div w:id="547374533">
      <w:bodyDiv w:val="1"/>
      <w:marLeft w:val="0"/>
      <w:marRight w:val="0"/>
      <w:marTop w:val="0"/>
      <w:marBottom w:val="0"/>
      <w:divBdr>
        <w:top w:val="none" w:sz="0" w:space="0" w:color="auto"/>
        <w:left w:val="none" w:sz="0" w:space="0" w:color="auto"/>
        <w:bottom w:val="none" w:sz="0" w:space="0" w:color="auto"/>
        <w:right w:val="none" w:sz="0" w:space="0" w:color="auto"/>
      </w:divBdr>
    </w:div>
    <w:div w:id="571812393">
      <w:bodyDiv w:val="1"/>
      <w:marLeft w:val="0"/>
      <w:marRight w:val="0"/>
      <w:marTop w:val="0"/>
      <w:marBottom w:val="0"/>
      <w:divBdr>
        <w:top w:val="none" w:sz="0" w:space="0" w:color="auto"/>
        <w:left w:val="none" w:sz="0" w:space="0" w:color="auto"/>
        <w:bottom w:val="none" w:sz="0" w:space="0" w:color="auto"/>
        <w:right w:val="none" w:sz="0" w:space="0" w:color="auto"/>
      </w:divBdr>
    </w:div>
    <w:div w:id="601425210">
      <w:bodyDiv w:val="1"/>
      <w:marLeft w:val="0"/>
      <w:marRight w:val="0"/>
      <w:marTop w:val="0"/>
      <w:marBottom w:val="0"/>
      <w:divBdr>
        <w:top w:val="none" w:sz="0" w:space="0" w:color="auto"/>
        <w:left w:val="none" w:sz="0" w:space="0" w:color="auto"/>
        <w:bottom w:val="none" w:sz="0" w:space="0" w:color="auto"/>
        <w:right w:val="none" w:sz="0" w:space="0" w:color="auto"/>
      </w:divBdr>
    </w:div>
    <w:div w:id="660278076">
      <w:bodyDiv w:val="1"/>
      <w:marLeft w:val="0"/>
      <w:marRight w:val="0"/>
      <w:marTop w:val="0"/>
      <w:marBottom w:val="0"/>
      <w:divBdr>
        <w:top w:val="none" w:sz="0" w:space="0" w:color="auto"/>
        <w:left w:val="none" w:sz="0" w:space="0" w:color="auto"/>
        <w:bottom w:val="none" w:sz="0" w:space="0" w:color="auto"/>
        <w:right w:val="none" w:sz="0" w:space="0" w:color="auto"/>
      </w:divBdr>
    </w:div>
    <w:div w:id="662392125">
      <w:bodyDiv w:val="1"/>
      <w:marLeft w:val="0"/>
      <w:marRight w:val="0"/>
      <w:marTop w:val="0"/>
      <w:marBottom w:val="0"/>
      <w:divBdr>
        <w:top w:val="none" w:sz="0" w:space="0" w:color="auto"/>
        <w:left w:val="none" w:sz="0" w:space="0" w:color="auto"/>
        <w:bottom w:val="none" w:sz="0" w:space="0" w:color="auto"/>
        <w:right w:val="none" w:sz="0" w:space="0" w:color="auto"/>
      </w:divBdr>
    </w:div>
    <w:div w:id="699010656">
      <w:bodyDiv w:val="1"/>
      <w:marLeft w:val="0"/>
      <w:marRight w:val="0"/>
      <w:marTop w:val="0"/>
      <w:marBottom w:val="0"/>
      <w:divBdr>
        <w:top w:val="none" w:sz="0" w:space="0" w:color="auto"/>
        <w:left w:val="none" w:sz="0" w:space="0" w:color="auto"/>
        <w:bottom w:val="none" w:sz="0" w:space="0" w:color="auto"/>
        <w:right w:val="none" w:sz="0" w:space="0" w:color="auto"/>
      </w:divBdr>
      <w:divsChild>
        <w:div w:id="741485005">
          <w:marLeft w:val="0"/>
          <w:marRight w:val="0"/>
          <w:marTop w:val="0"/>
          <w:marBottom w:val="0"/>
          <w:divBdr>
            <w:top w:val="none" w:sz="0" w:space="0" w:color="auto"/>
            <w:left w:val="none" w:sz="0" w:space="0" w:color="auto"/>
            <w:bottom w:val="none" w:sz="0" w:space="0" w:color="auto"/>
            <w:right w:val="none" w:sz="0" w:space="0" w:color="auto"/>
          </w:divBdr>
          <w:divsChild>
            <w:div w:id="621427290">
              <w:marLeft w:val="0"/>
              <w:marRight w:val="0"/>
              <w:marTop w:val="0"/>
              <w:marBottom w:val="0"/>
              <w:divBdr>
                <w:top w:val="none" w:sz="0" w:space="0" w:color="auto"/>
                <w:left w:val="none" w:sz="0" w:space="0" w:color="auto"/>
                <w:bottom w:val="none" w:sz="0" w:space="0" w:color="auto"/>
                <w:right w:val="none" w:sz="0" w:space="0" w:color="auto"/>
              </w:divBdr>
              <w:divsChild>
                <w:div w:id="1616131560">
                  <w:marLeft w:val="0"/>
                  <w:marRight w:val="0"/>
                  <w:marTop w:val="0"/>
                  <w:marBottom w:val="0"/>
                  <w:divBdr>
                    <w:top w:val="none" w:sz="0" w:space="0" w:color="auto"/>
                    <w:left w:val="none" w:sz="0" w:space="0" w:color="auto"/>
                    <w:bottom w:val="none" w:sz="0" w:space="0" w:color="auto"/>
                    <w:right w:val="none" w:sz="0" w:space="0" w:color="auto"/>
                  </w:divBdr>
                  <w:divsChild>
                    <w:div w:id="620768335">
                      <w:marLeft w:val="0"/>
                      <w:marRight w:val="0"/>
                      <w:marTop w:val="0"/>
                      <w:marBottom w:val="0"/>
                      <w:divBdr>
                        <w:top w:val="none" w:sz="0" w:space="0" w:color="auto"/>
                        <w:left w:val="none" w:sz="0" w:space="0" w:color="auto"/>
                        <w:bottom w:val="none" w:sz="0" w:space="0" w:color="auto"/>
                        <w:right w:val="none" w:sz="0" w:space="0" w:color="auto"/>
                      </w:divBdr>
                      <w:divsChild>
                        <w:div w:id="178354369">
                          <w:marLeft w:val="0"/>
                          <w:marRight w:val="0"/>
                          <w:marTop w:val="0"/>
                          <w:marBottom w:val="0"/>
                          <w:divBdr>
                            <w:top w:val="none" w:sz="0" w:space="0" w:color="auto"/>
                            <w:left w:val="none" w:sz="0" w:space="0" w:color="auto"/>
                            <w:bottom w:val="none" w:sz="0" w:space="0" w:color="auto"/>
                            <w:right w:val="none" w:sz="0" w:space="0" w:color="auto"/>
                          </w:divBdr>
                          <w:divsChild>
                            <w:div w:id="6517655">
                              <w:marLeft w:val="0"/>
                              <w:marRight w:val="0"/>
                              <w:marTop w:val="0"/>
                              <w:marBottom w:val="0"/>
                              <w:divBdr>
                                <w:top w:val="none" w:sz="0" w:space="0" w:color="auto"/>
                                <w:left w:val="none" w:sz="0" w:space="0" w:color="auto"/>
                                <w:bottom w:val="none" w:sz="0" w:space="0" w:color="auto"/>
                                <w:right w:val="none" w:sz="0" w:space="0" w:color="auto"/>
                              </w:divBdr>
                              <w:divsChild>
                                <w:div w:id="1664891661">
                                  <w:marLeft w:val="0"/>
                                  <w:marRight w:val="-100"/>
                                  <w:marTop w:val="0"/>
                                  <w:marBottom w:val="0"/>
                                  <w:divBdr>
                                    <w:top w:val="none" w:sz="0" w:space="0" w:color="auto"/>
                                    <w:left w:val="none" w:sz="0" w:space="0" w:color="auto"/>
                                    <w:bottom w:val="none" w:sz="0" w:space="0" w:color="auto"/>
                                    <w:right w:val="none" w:sz="0" w:space="0" w:color="auto"/>
                                  </w:divBdr>
                                  <w:divsChild>
                                    <w:div w:id="135341311">
                                      <w:marLeft w:val="0"/>
                                      <w:marRight w:val="0"/>
                                      <w:marTop w:val="0"/>
                                      <w:marBottom w:val="0"/>
                                      <w:divBdr>
                                        <w:top w:val="none" w:sz="0" w:space="0" w:color="auto"/>
                                        <w:left w:val="none" w:sz="0" w:space="0" w:color="auto"/>
                                        <w:bottom w:val="none" w:sz="0" w:space="0" w:color="auto"/>
                                        <w:right w:val="none" w:sz="0" w:space="0" w:color="auto"/>
                                      </w:divBdr>
                                      <w:divsChild>
                                        <w:div w:id="1284919355">
                                          <w:marLeft w:val="0"/>
                                          <w:marRight w:val="0"/>
                                          <w:marTop w:val="0"/>
                                          <w:marBottom w:val="0"/>
                                          <w:divBdr>
                                            <w:top w:val="none" w:sz="0" w:space="0" w:color="auto"/>
                                            <w:left w:val="none" w:sz="0" w:space="0" w:color="auto"/>
                                            <w:bottom w:val="none" w:sz="0" w:space="0" w:color="auto"/>
                                            <w:right w:val="none" w:sz="0" w:space="0" w:color="auto"/>
                                          </w:divBdr>
                                        </w:div>
                                        <w:div w:id="1926498864">
                                          <w:marLeft w:val="0"/>
                                          <w:marRight w:val="0"/>
                                          <w:marTop w:val="0"/>
                                          <w:marBottom w:val="0"/>
                                          <w:divBdr>
                                            <w:top w:val="none" w:sz="0" w:space="0" w:color="auto"/>
                                            <w:left w:val="none" w:sz="0" w:space="0" w:color="auto"/>
                                            <w:bottom w:val="none" w:sz="0" w:space="0" w:color="auto"/>
                                            <w:right w:val="none" w:sz="0" w:space="0" w:color="auto"/>
                                          </w:divBdr>
                                          <w:divsChild>
                                            <w:div w:id="1303190583">
                                              <w:marLeft w:val="0"/>
                                              <w:marRight w:val="0"/>
                                              <w:marTop w:val="0"/>
                                              <w:marBottom w:val="0"/>
                                              <w:divBdr>
                                                <w:top w:val="none" w:sz="0" w:space="0" w:color="auto"/>
                                                <w:left w:val="none" w:sz="0" w:space="0" w:color="auto"/>
                                                <w:bottom w:val="none" w:sz="0" w:space="0" w:color="auto"/>
                                                <w:right w:val="none" w:sz="0" w:space="0" w:color="auto"/>
                                              </w:divBdr>
                                              <w:divsChild>
                                                <w:div w:id="4743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1287376">
      <w:bodyDiv w:val="1"/>
      <w:marLeft w:val="0"/>
      <w:marRight w:val="0"/>
      <w:marTop w:val="0"/>
      <w:marBottom w:val="0"/>
      <w:divBdr>
        <w:top w:val="none" w:sz="0" w:space="0" w:color="auto"/>
        <w:left w:val="none" w:sz="0" w:space="0" w:color="auto"/>
        <w:bottom w:val="none" w:sz="0" w:space="0" w:color="auto"/>
        <w:right w:val="none" w:sz="0" w:space="0" w:color="auto"/>
      </w:divBdr>
    </w:div>
    <w:div w:id="896625668">
      <w:bodyDiv w:val="1"/>
      <w:marLeft w:val="0"/>
      <w:marRight w:val="0"/>
      <w:marTop w:val="0"/>
      <w:marBottom w:val="0"/>
      <w:divBdr>
        <w:top w:val="none" w:sz="0" w:space="0" w:color="auto"/>
        <w:left w:val="none" w:sz="0" w:space="0" w:color="auto"/>
        <w:bottom w:val="none" w:sz="0" w:space="0" w:color="auto"/>
        <w:right w:val="none" w:sz="0" w:space="0" w:color="auto"/>
      </w:divBdr>
      <w:divsChild>
        <w:div w:id="872614577">
          <w:marLeft w:val="0"/>
          <w:marRight w:val="0"/>
          <w:marTop w:val="0"/>
          <w:marBottom w:val="0"/>
          <w:divBdr>
            <w:top w:val="none" w:sz="0" w:space="0" w:color="auto"/>
            <w:left w:val="none" w:sz="0" w:space="0" w:color="auto"/>
            <w:bottom w:val="none" w:sz="0" w:space="0" w:color="auto"/>
            <w:right w:val="none" w:sz="0" w:space="0" w:color="auto"/>
          </w:divBdr>
          <w:divsChild>
            <w:div w:id="1268194567">
              <w:marLeft w:val="0"/>
              <w:marRight w:val="0"/>
              <w:marTop w:val="0"/>
              <w:marBottom w:val="0"/>
              <w:divBdr>
                <w:top w:val="none" w:sz="0" w:space="0" w:color="auto"/>
                <w:left w:val="none" w:sz="0" w:space="0" w:color="auto"/>
                <w:bottom w:val="none" w:sz="0" w:space="0" w:color="auto"/>
                <w:right w:val="none" w:sz="0" w:space="0" w:color="auto"/>
              </w:divBdr>
              <w:divsChild>
                <w:div w:id="1147669834">
                  <w:marLeft w:val="0"/>
                  <w:marRight w:val="0"/>
                  <w:marTop w:val="0"/>
                  <w:marBottom w:val="0"/>
                  <w:divBdr>
                    <w:top w:val="none" w:sz="0" w:space="0" w:color="auto"/>
                    <w:left w:val="none" w:sz="0" w:space="0" w:color="auto"/>
                    <w:bottom w:val="none" w:sz="0" w:space="0" w:color="auto"/>
                    <w:right w:val="none" w:sz="0" w:space="0" w:color="auto"/>
                  </w:divBdr>
                  <w:divsChild>
                    <w:div w:id="312032379">
                      <w:marLeft w:val="0"/>
                      <w:marRight w:val="0"/>
                      <w:marTop w:val="0"/>
                      <w:marBottom w:val="0"/>
                      <w:divBdr>
                        <w:top w:val="none" w:sz="0" w:space="0" w:color="auto"/>
                        <w:left w:val="none" w:sz="0" w:space="0" w:color="auto"/>
                        <w:bottom w:val="none" w:sz="0" w:space="0" w:color="auto"/>
                        <w:right w:val="none" w:sz="0" w:space="0" w:color="auto"/>
                      </w:divBdr>
                      <w:divsChild>
                        <w:div w:id="872771816">
                          <w:marLeft w:val="0"/>
                          <w:marRight w:val="0"/>
                          <w:marTop w:val="0"/>
                          <w:marBottom w:val="0"/>
                          <w:divBdr>
                            <w:top w:val="none" w:sz="0" w:space="0" w:color="auto"/>
                            <w:left w:val="none" w:sz="0" w:space="0" w:color="auto"/>
                            <w:bottom w:val="none" w:sz="0" w:space="0" w:color="auto"/>
                            <w:right w:val="none" w:sz="0" w:space="0" w:color="auto"/>
                          </w:divBdr>
                          <w:divsChild>
                            <w:div w:id="1895433414">
                              <w:marLeft w:val="0"/>
                              <w:marRight w:val="0"/>
                              <w:marTop w:val="0"/>
                              <w:marBottom w:val="0"/>
                              <w:divBdr>
                                <w:top w:val="none" w:sz="0" w:space="0" w:color="auto"/>
                                <w:left w:val="none" w:sz="0" w:space="0" w:color="auto"/>
                                <w:bottom w:val="none" w:sz="0" w:space="0" w:color="auto"/>
                                <w:right w:val="none" w:sz="0" w:space="0" w:color="auto"/>
                              </w:divBdr>
                              <w:divsChild>
                                <w:div w:id="1299147914">
                                  <w:marLeft w:val="0"/>
                                  <w:marRight w:val="0"/>
                                  <w:marTop w:val="0"/>
                                  <w:marBottom w:val="0"/>
                                  <w:divBdr>
                                    <w:top w:val="none" w:sz="0" w:space="0" w:color="auto"/>
                                    <w:left w:val="none" w:sz="0" w:space="0" w:color="auto"/>
                                    <w:bottom w:val="none" w:sz="0" w:space="0" w:color="auto"/>
                                    <w:right w:val="none" w:sz="0" w:space="0" w:color="auto"/>
                                  </w:divBdr>
                                  <w:divsChild>
                                    <w:div w:id="289557428">
                                      <w:marLeft w:val="0"/>
                                      <w:marRight w:val="60"/>
                                      <w:marTop w:val="0"/>
                                      <w:marBottom w:val="0"/>
                                      <w:divBdr>
                                        <w:top w:val="none" w:sz="0" w:space="0" w:color="auto"/>
                                        <w:left w:val="none" w:sz="0" w:space="0" w:color="auto"/>
                                        <w:bottom w:val="none" w:sz="0" w:space="0" w:color="auto"/>
                                        <w:right w:val="none" w:sz="0" w:space="0" w:color="auto"/>
                                      </w:divBdr>
                                      <w:divsChild>
                                        <w:div w:id="286203701">
                                          <w:marLeft w:val="0"/>
                                          <w:marRight w:val="0"/>
                                          <w:marTop w:val="0"/>
                                          <w:marBottom w:val="0"/>
                                          <w:divBdr>
                                            <w:top w:val="none" w:sz="0" w:space="0" w:color="auto"/>
                                            <w:left w:val="none" w:sz="0" w:space="0" w:color="auto"/>
                                            <w:bottom w:val="none" w:sz="0" w:space="0" w:color="auto"/>
                                            <w:right w:val="none" w:sz="0" w:space="0" w:color="auto"/>
                                          </w:divBdr>
                                        </w:div>
                                        <w:div w:id="1181357520">
                                          <w:marLeft w:val="0"/>
                                          <w:marRight w:val="0"/>
                                          <w:marTop w:val="0"/>
                                          <w:marBottom w:val="0"/>
                                          <w:divBdr>
                                            <w:top w:val="single" w:sz="6" w:space="12" w:color="999999"/>
                                            <w:left w:val="single" w:sz="6" w:space="12" w:color="999999"/>
                                            <w:bottom w:val="single" w:sz="6" w:space="12" w:color="999999"/>
                                            <w:right w:val="single" w:sz="6" w:space="12" w:color="999999"/>
                                          </w:divBdr>
                                          <w:divsChild>
                                            <w:div w:id="1120228256">
                                              <w:marLeft w:val="0"/>
                                              <w:marRight w:val="0"/>
                                              <w:marTop w:val="0"/>
                                              <w:marBottom w:val="0"/>
                                              <w:divBdr>
                                                <w:top w:val="none" w:sz="0" w:space="0" w:color="auto"/>
                                                <w:left w:val="none" w:sz="0" w:space="0" w:color="auto"/>
                                                <w:bottom w:val="none" w:sz="0" w:space="0" w:color="auto"/>
                                                <w:right w:val="none" w:sz="0" w:space="0" w:color="auto"/>
                                              </w:divBdr>
                                            </w:div>
                                          </w:divsChild>
                                        </w:div>
                                        <w:div w:id="1912692383">
                                          <w:marLeft w:val="0"/>
                                          <w:marRight w:val="0"/>
                                          <w:marTop w:val="0"/>
                                          <w:marBottom w:val="0"/>
                                          <w:divBdr>
                                            <w:top w:val="none" w:sz="0" w:space="0" w:color="auto"/>
                                            <w:left w:val="none" w:sz="0" w:space="0" w:color="auto"/>
                                            <w:bottom w:val="none" w:sz="0" w:space="0" w:color="auto"/>
                                            <w:right w:val="none" w:sz="0" w:space="0" w:color="auto"/>
                                          </w:divBdr>
                                          <w:divsChild>
                                            <w:div w:id="182072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27797">
                                  <w:marLeft w:val="0"/>
                                  <w:marRight w:val="0"/>
                                  <w:marTop w:val="0"/>
                                  <w:marBottom w:val="0"/>
                                  <w:divBdr>
                                    <w:top w:val="none" w:sz="0" w:space="0" w:color="auto"/>
                                    <w:left w:val="none" w:sz="0" w:space="0" w:color="auto"/>
                                    <w:bottom w:val="none" w:sz="0" w:space="0" w:color="auto"/>
                                    <w:right w:val="none" w:sz="0" w:space="0" w:color="auto"/>
                                  </w:divBdr>
                                  <w:divsChild>
                                    <w:div w:id="579944575">
                                      <w:marLeft w:val="60"/>
                                      <w:marRight w:val="0"/>
                                      <w:marTop w:val="0"/>
                                      <w:marBottom w:val="0"/>
                                      <w:divBdr>
                                        <w:top w:val="none" w:sz="0" w:space="0" w:color="auto"/>
                                        <w:left w:val="none" w:sz="0" w:space="0" w:color="auto"/>
                                        <w:bottom w:val="none" w:sz="0" w:space="0" w:color="auto"/>
                                        <w:right w:val="none" w:sz="0" w:space="0" w:color="auto"/>
                                      </w:divBdr>
                                      <w:divsChild>
                                        <w:div w:id="266281170">
                                          <w:marLeft w:val="0"/>
                                          <w:marRight w:val="0"/>
                                          <w:marTop w:val="0"/>
                                          <w:marBottom w:val="0"/>
                                          <w:divBdr>
                                            <w:top w:val="none" w:sz="0" w:space="0" w:color="auto"/>
                                            <w:left w:val="none" w:sz="0" w:space="0" w:color="auto"/>
                                            <w:bottom w:val="none" w:sz="0" w:space="0" w:color="auto"/>
                                            <w:right w:val="none" w:sz="0" w:space="0" w:color="auto"/>
                                          </w:divBdr>
                                          <w:divsChild>
                                            <w:div w:id="942029718">
                                              <w:marLeft w:val="0"/>
                                              <w:marRight w:val="0"/>
                                              <w:marTop w:val="0"/>
                                              <w:marBottom w:val="120"/>
                                              <w:divBdr>
                                                <w:top w:val="single" w:sz="6" w:space="0" w:color="F5F5F5"/>
                                                <w:left w:val="single" w:sz="6" w:space="0" w:color="F5F5F5"/>
                                                <w:bottom w:val="single" w:sz="6" w:space="0" w:color="F5F5F5"/>
                                                <w:right w:val="single" w:sz="6" w:space="0" w:color="F5F5F5"/>
                                              </w:divBdr>
                                              <w:divsChild>
                                                <w:div w:id="1691176456">
                                                  <w:marLeft w:val="0"/>
                                                  <w:marRight w:val="0"/>
                                                  <w:marTop w:val="0"/>
                                                  <w:marBottom w:val="0"/>
                                                  <w:divBdr>
                                                    <w:top w:val="none" w:sz="0" w:space="0" w:color="auto"/>
                                                    <w:left w:val="none" w:sz="0" w:space="0" w:color="auto"/>
                                                    <w:bottom w:val="none" w:sz="0" w:space="0" w:color="auto"/>
                                                    <w:right w:val="none" w:sz="0" w:space="0" w:color="auto"/>
                                                  </w:divBdr>
                                                  <w:divsChild>
                                                    <w:div w:id="41308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519809">
      <w:bodyDiv w:val="1"/>
      <w:marLeft w:val="0"/>
      <w:marRight w:val="0"/>
      <w:marTop w:val="0"/>
      <w:marBottom w:val="0"/>
      <w:divBdr>
        <w:top w:val="none" w:sz="0" w:space="0" w:color="auto"/>
        <w:left w:val="none" w:sz="0" w:space="0" w:color="auto"/>
        <w:bottom w:val="none" w:sz="0" w:space="0" w:color="auto"/>
        <w:right w:val="none" w:sz="0" w:space="0" w:color="auto"/>
      </w:divBdr>
    </w:div>
    <w:div w:id="1057434240">
      <w:bodyDiv w:val="1"/>
      <w:marLeft w:val="0"/>
      <w:marRight w:val="0"/>
      <w:marTop w:val="0"/>
      <w:marBottom w:val="0"/>
      <w:divBdr>
        <w:top w:val="none" w:sz="0" w:space="0" w:color="auto"/>
        <w:left w:val="none" w:sz="0" w:space="0" w:color="auto"/>
        <w:bottom w:val="none" w:sz="0" w:space="0" w:color="auto"/>
        <w:right w:val="none" w:sz="0" w:space="0" w:color="auto"/>
      </w:divBdr>
    </w:div>
    <w:div w:id="1075325315">
      <w:bodyDiv w:val="1"/>
      <w:marLeft w:val="0"/>
      <w:marRight w:val="0"/>
      <w:marTop w:val="0"/>
      <w:marBottom w:val="0"/>
      <w:divBdr>
        <w:top w:val="none" w:sz="0" w:space="0" w:color="auto"/>
        <w:left w:val="none" w:sz="0" w:space="0" w:color="auto"/>
        <w:bottom w:val="none" w:sz="0" w:space="0" w:color="auto"/>
        <w:right w:val="none" w:sz="0" w:space="0" w:color="auto"/>
      </w:divBdr>
    </w:div>
    <w:div w:id="1096825978">
      <w:bodyDiv w:val="1"/>
      <w:marLeft w:val="0"/>
      <w:marRight w:val="0"/>
      <w:marTop w:val="0"/>
      <w:marBottom w:val="0"/>
      <w:divBdr>
        <w:top w:val="none" w:sz="0" w:space="0" w:color="auto"/>
        <w:left w:val="none" w:sz="0" w:space="0" w:color="auto"/>
        <w:bottom w:val="none" w:sz="0" w:space="0" w:color="auto"/>
        <w:right w:val="none" w:sz="0" w:space="0" w:color="auto"/>
      </w:divBdr>
    </w:div>
    <w:div w:id="1115951874">
      <w:bodyDiv w:val="1"/>
      <w:marLeft w:val="0"/>
      <w:marRight w:val="0"/>
      <w:marTop w:val="0"/>
      <w:marBottom w:val="0"/>
      <w:divBdr>
        <w:top w:val="none" w:sz="0" w:space="0" w:color="auto"/>
        <w:left w:val="none" w:sz="0" w:space="0" w:color="auto"/>
        <w:bottom w:val="none" w:sz="0" w:space="0" w:color="auto"/>
        <w:right w:val="none" w:sz="0" w:space="0" w:color="auto"/>
      </w:divBdr>
    </w:div>
    <w:div w:id="1152402580">
      <w:bodyDiv w:val="1"/>
      <w:marLeft w:val="0"/>
      <w:marRight w:val="0"/>
      <w:marTop w:val="0"/>
      <w:marBottom w:val="0"/>
      <w:divBdr>
        <w:top w:val="none" w:sz="0" w:space="0" w:color="auto"/>
        <w:left w:val="none" w:sz="0" w:space="0" w:color="auto"/>
        <w:bottom w:val="none" w:sz="0" w:space="0" w:color="auto"/>
        <w:right w:val="none" w:sz="0" w:space="0" w:color="auto"/>
      </w:divBdr>
      <w:divsChild>
        <w:div w:id="1821536911">
          <w:marLeft w:val="0"/>
          <w:marRight w:val="0"/>
          <w:marTop w:val="0"/>
          <w:marBottom w:val="0"/>
          <w:divBdr>
            <w:top w:val="none" w:sz="0" w:space="0" w:color="auto"/>
            <w:left w:val="none" w:sz="0" w:space="0" w:color="auto"/>
            <w:bottom w:val="none" w:sz="0" w:space="0" w:color="auto"/>
            <w:right w:val="none" w:sz="0" w:space="0" w:color="auto"/>
          </w:divBdr>
          <w:divsChild>
            <w:div w:id="876821766">
              <w:marLeft w:val="0"/>
              <w:marRight w:val="0"/>
              <w:marTop w:val="0"/>
              <w:marBottom w:val="0"/>
              <w:divBdr>
                <w:top w:val="none" w:sz="0" w:space="0" w:color="auto"/>
                <w:left w:val="none" w:sz="0" w:space="0" w:color="auto"/>
                <w:bottom w:val="none" w:sz="0" w:space="0" w:color="auto"/>
                <w:right w:val="none" w:sz="0" w:space="0" w:color="auto"/>
              </w:divBdr>
              <w:divsChild>
                <w:div w:id="21394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61132">
      <w:bodyDiv w:val="1"/>
      <w:marLeft w:val="0"/>
      <w:marRight w:val="0"/>
      <w:marTop w:val="0"/>
      <w:marBottom w:val="0"/>
      <w:divBdr>
        <w:top w:val="none" w:sz="0" w:space="0" w:color="auto"/>
        <w:left w:val="none" w:sz="0" w:space="0" w:color="auto"/>
        <w:bottom w:val="none" w:sz="0" w:space="0" w:color="auto"/>
        <w:right w:val="none" w:sz="0" w:space="0" w:color="auto"/>
      </w:divBdr>
    </w:div>
    <w:div w:id="1281645314">
      <w:bodyDiv w:val="1"/>
      <w:marLeft w:val="0"/>
      <w:marRight w:val="0"/>
      <w:marTop w:val="0"/>
      <w:marBottom w:val="0"/>
      <w:divBdr>
        <w:top w:val="none" w:sz="0" w:space="0" w:color="auto"/>
        <w:left w:val="none" w:sz="0" w:space="0" w:color="auto"/>
        <w:bottom w:val="none" w:sz="0" w:space="0" w:color="auto"/>
        <w:right w:val="none" w:sz="0" w:space="0" w:color="auto"/>
      </w:divBdr>
    </w:div>
    <w:div w:id="1398430753">
      <w:bodyDiv w:val="1"/>
      <w:marLeft w:val="0"/>
      <w:marRight w:val="0"/>
      <w:marTop w:val="0"/>
      <w:marBottom w:val="0"/>
      <w:divBdr>
        <w:top w:val="none" w:sz="0" w:space="0" w:color="auto"/>
        <w:left w:val="none" w:sz="0" w:space="0" w:color="auto"/>
        <w:bottom w:val="none" w:sz="0" w:space="0" w:color="auto"/>
        <w:right w:val="none" w:sz="0" w:space="0" w:color="auto"/>
      </w:divBdr>
      <w:divsChild>
        <w:div w:id="357001045">
          <w:marLeft w:val="0"/>
          <w:marRight w:val="0"/>
          <w:marTop w:val="0"/>
          <w:marBottom w:val="0"/>
          <w:divBdr>
            <w:top w:val="none" w:sz="0" w:space="0" w:color="auto"/>
            <w:left w:val="none" w:sz="0" w:space="0" w:color="auto"/>
            <w:bottom w:val="none" w:sz="0" w:space="0" w:color="auto"/>
            <w:right w:val="none" w:sz="0" w:space="0" w:color="auto"/>
          </w:divBdr>
          <w:divsChild>
            <w:div w:id="1880240218">
              <w:marLeft w:val="0"/>
              <w:marRight w:val="0"/>
              <w:marTop w:val="0"/>
              <w:marBottom w:val="0"/>
              <w:divBdr>
                <w:top w:val="none" w:sz="0" w:space="0" w:color="auto"/>
                <w:left w:val="none" w:sz="0" w:space="0" w:color="auto"/>
                <w:bottom w:val="none" w:sz="0" w:space="0" w:color="auto"/>
                <w:right w:val="none" w:sz="0" w:space="0" w:color="auto"/>
              </w:divBdr>
              <w:divsChild>
                <w:div w:id="1405565132">
                  <w:marLeft w:val="0"/>
                  <w:marRight w:val="0"/>
                  <w:marTop w:val="0"/>
                  <w:marBottom w:val="0"/>
                  <w:divBdr>
                    <w:top w:val="none" w:sz="0" w:space="0" w:color="auto"/>
                    <w:left w:val="none" w:sz="0" w:space="0" w:color="auto"/>
                    <w:bottom w:val="none" w:sz="0" w:space="0" w:color="auto"/>
                    <w:right w:val="none" w:sz="0" w:space="0" w:color="auto"/>
                  </w:divBdr>
                  <w:divsChild>
                    <w:div w:id="655453587">
                      <w:marLeft w:val="0"/>
                      <w:marRight w:val="0"/>
                      <w:marTop w:val="0"/>
                      <w:marBottom w:val="0"/>
                      <w:divBdr>
                        <w:top w:val="none" w:sz="0" w:space="0" w:color="auto"/>
                        <w:left w:val="none" w:sz="0" w:space="0" w:color="auto"/>
                        <w:bottom w:val="none" w:sz="0" w:space="0" w:color="auto"/>
                        <w:right w:val="none" w:sz="0" w:space="0" w:color="auto"/>
                      </w:divBdr>
                      <w:divsChild>
                        <w:div w:id="138236612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674298">
      <w:bodyDiv w:val="1"/>
      <w:marLeft w:val="0"/>
      <w:marRight w:val="0"/>
      <w:marTop w:val="0"/>
      <w:marBottom w:val="0"/>
      <w:divBdr>
        <w:top w:val="none" w:sz="0" w:space="0" w:color="auto"/>
        <w:left w:val="none" w:sz="0" w:space="0" w:color="auto"/>
        <w:bottom w:val="none" w:sz="0" w:space="0" w:color="auto"/>
        <w:right w:val="none" w:sz="0" w:space="0" w:color="auto"/>
      </w:divBdr>
    </w:div>
    <w:div w:id="1471823119">
      <w:bodyDiv w:val="1"/>
      <w:marLeft w:val="0"/>
      <w:marRight w:val="0"/>
      <w:marTop w:val="0"/>
      <w:marBottom w:val="0"/>
      <w:divBdr>
        <w:top w:val="none" w:sz="0" w:space="0" w:color="auto"/>
        <w:left w:val="none" w:sz="0" w:space="0" w:color="auto"/>
        <w:bottom w:val="none" w:sz="0" w:space="0" w:color="auto"/>
        <w:right w:val="none" w:sz="0" w:space="0" w:color="auto"/>
      </w:divBdr>
    </w:div>
    <w:div w:id="1620605586">
      <w:bodyDiv w:val="1"/>
      <w:marLeft w:val="0"/>
      <w:marRight w:val="0"/>
      <w:marTop w:val="0"/>
      <w:marBottom w:val="0"/>
      <w:divBdr>
        <w:top w:val="none" w:sz="0" w:space="0" w:color="auto"/>
        <w:left w:val="none" w:sz="0" w:space="0" w:color="auto"/>
        <w:bottom w:val="none" w:sz="0" w:space="0" w:color="auto"/>
        <w:right w:val="none" w:sz="0" w:space="0" w:color="auto"/>
      </w:divBdr>
    </w:div>
    <w:div w:id="1688097258">
      <w:bodyDiv w:val="1"/>
      <w:marLeft w:val="0"/>
      <w:marRight w:val="0"/>
      <w:marTop w:val="0"/>
      <w:marBottom w:val="0"/>
      <w:divBdr>
        <w:top w:val="none" w:sz="0" w:space="0" w:color="auto"/>
        <w:left w:val="none" w:sz="0" w:space="0" w:color="auto"/>
        <w:bottom w:val="none" w:sz="0" w:space="0" w:color="auto"/>
        <w:right w:val="none" w:sz="0" w:space="0" w:color="auto"/>
      </w:divBdr>
    </w:div>
    <w:div w:id="1706831137">
      <w:bodyDiv w:val="1"/>
      <w:marLeft w:val="0"/>
      <w:marRight w:val="0"/>
      <w:marTop w:val="0"/>
      <w:marBottom w:val="0"/>
      <w:divBdr>
        <w:top w:val="none" w:sz="0" w:space="0" w:color="auto"/>
        <w:left w:val="none" w:sz="0" w:space="0" w:color="auto"/>
        <w:bottom w:val="none" w:sz="0" w:space="0" w:color="auto"/>
        <w:right w:val="none" w:sz="0" w:space="0" w:color="auto"/>
      </w:divBdr>
    </w:div>
    <w:div w:id="1775243478">
      <w:bodyDiv w:val="1"/>
      <w:marLeft w:val="0"/>
      <w:marRight w:val="0"/>
      <w:marTop w:val="0"/>
      <w:marBottom w:val="0"/>
      <w:divBdr>
        <w:top w:val="none" w:sz="0" w:space="0" w:color="auto"/>
        <w:left w:val="none" w:sz="0" w:space="0" w:color="auto"/>
        <w:bottom w:val="none" w:sz="0" w:space="0" w:color="auto"/>
        <w:right w:val="none" w:sz="0" w:space="0" w:color="auto"/>
      </w:divBdr>
    </w:div>
    <w:div w:id="1931767912">
      <w:bodyDiv w:val="1"/>
      <w:marLeft w:val="0"/>
      <w:marRight w:val="0"/>
      <w:marTop w:val="0"/>
      <w:marBottom w:val="0"/>
      <w:divBdr>
        <w:top w:val="none" w:sz="0" w:space="0" w:color="auto"/>
        <w:left w:val="none" w:sz="0" w:space="0" w:color="auto"/>
        <w:bottom w:val="none" w:sz="0" w:space="0" w:color="auto"/>
        <w:right w:val="none" w:sz="0" w:space="0" w:color="auto"/>
      </w:divBdr>
    </w:div>
    <w:div w:id="2002654009">
      <w:bodyDiv w:val="1"/>
      <w:marLeft w:val="0"/>
      <w:marRight w:val="0"/>
      <w:marTop w:val="0"/>
      <w:marBottom w:val="0"/>
      <w:divBdr>
        <w:top w:val="none" w:sz="0" w:space="0" w:color="auto"/>
        <w:left w:val="none" w:sz="0" w:space="0" w:color="auto"/>
        <w:bottom w:val="none" w:sz="0" w:space="0" w:color="auto"/>
        <w:right w:val="none" w:sz="0" w:space="0" w:color="auto"/>
      </w:divBdr>
      <w:divsChild>
        <w:div w:id="1392536313">
          <w:marLeft w:val="0"/>
          <w:marRight w:val="0"/>
          <w:marTop w:val="0"/>
          <w:marBottom w:val="0"/>
          <w:divBdr>
            <w:top w:val="none" w:sz="0" w:space="0" w:color="auto"/>
            <w:left w:val="none" w:sz="0" w:space="0" w:color="auto"/>
            <w:bottom w:val="none" w:sz="0" w:space="0" w:color="auto"/>
            <w:right w:val="none" w:sz="0" w:space="0" w:color="auto"/>
          </w:divBdr>
          <w:divsChild>
            <w:div w:id="1063724660">
              <w:marLeft w:val="0"/>
              <w:marRight w:val="0"/>
              <w:marTop w:val="0"/>
              <w:marBottom w:val="0"/>
              <w:divBdr>
                <w:top w:val="none" w:sz="0" w:space="0" w:color="auto"/>
                <w:left w:val="none" w:sz="0" w:space="0" w:color="auto"/>
                <w:bottom w:val="none" w:sz="0" w:space="0" w:color="auto"/>
                <w:right w:val="none" w:sz="0" w:space="0" w:color="auto"/>
              </w:divBdr>
              <w:divsChild>
                <w:div w:id="967129674">
                  <w:marLeft w:val="0"/>
                  <w:marRight w:val="0"/>
                  <w:marTop w:val="0"/>
                  <w:marBottom w:val="0"/>
                  <w:divBdr>
                    <w:top w:val="none" w:sz="0" w:space="0" w:color="auto"/>
                    <w:left w:val="none" w:sz="0" w:space="0" w:color="auto"/>
                    <w:bottom w:val="none" w:sz="0" w:space="0" w:color="auto"/>
                    <w:right w:val="none" w:sz="0" w:space="0" w:color="auto"/>
                  </w:divBdr>
                  <w:divsChild>
                    <w:div w:id="45957920">
                      <w:marLeft w:val="0"/>
                      <w:marRight w:val="0"/>
                      <w:marTop w:val="0"/>
                      <w:marBottom w:val="0"/>
                      <w:divBdr>
                        <w:top w:val="single" w:sz="24" w:space="0" w:color="003366"/>
                        <w:left w:val="none" w:sz="0" w:space="0" w:color="auto"/>
                        <w:bottom w:val="none" w:sz="0" w:space="0" w:color="auto"/>
                        <w:right w:val="none" w:sz="0" w:space="0" w:color="auto"/>
                      </w:divBdr>
                      <w:divsChild>
                        <w:div w:id="3280200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2973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2" Type="http://schemas.openxmlformats.org/officeDocument/2006/relationships/hyperlink" Target="http://www.canlii.org/en/ca/fca/doc/2009/2009fca81/2009fca81.html" TargetMode="External"/><Relationship Id="rId1" Type="http://schemas.openxmlformats.org/officeDocument/2006/relationships/hyperlink" Target="http://www.canlii.org/en/ca/fca/doc/2011/2011fca286/2011fca28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92CB3-BF26-4DCA-B92C-9B99A4D1B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8191</Words>
  <Characters>46695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1613828</vt:lpstr>
    </vt:vector>
  </TitlesOfParts>
  <Company>CSD</Company>
  <LinksUpToDate>false</LinksUpToDate>
  <CharactersWithSpaces>54777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1613828</dc:title>
  <dc:subject>CAT/C/57/D/529/2012</dc:subject>
  <dc:creator>default</dc:creator>
  <cp:keywords/>
  <dc:description/>
  <cp:lastModifiedBy>Sarah Willig</cp:lastModifiedBy>
  <cp:revision>2</cp:revision>
  <cp:lastPrinted>2016-03-14T14:40:00Z</cp:lastPrinted>
  <dcterms:created xsi:type="dcterms:W3CDTF">2017-04-10T17:47:00Z</dcterms:created>
  <dcterms:modified xsi:type="dcterms:W3CDTF">2017-04-10T17:47:00Z</dcterms:modified>
</cp:coreProperties>
</file>