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5662FF" w14:paraId="20FD9B5F" w14:textId="77777777">
        <w:trPr>
          <w:trHeight w:hRule="exact" w:val="851"/>
        </w:trPr>
        <w:tc>
          <w:tcPr>
            <w:tcW w:w="1276" w:type="dxa"/>
            <w:tcBorders>
              <w:bottom w:val="single" w:sz="4" w:space="0" w:color="auto"/>
            </w:tcBorders>
            <w:vAlign w:val="bottom"/>
          </w:tcPr>
          <w:p w14:paraId="681EB311" w14:textId="77777777" w:rsidR="00890D9A" w:rsidRPr="005662FF" w:rsidRDefault="00890D9A" w:rsidP="006B4FA1">
            <w:pPr>
              <w:spacing w:line="20" w:lineRule="exact"/>
              <w:rPr>
                <w:u w:val="single"/>
              </w:rPr>
            </w:pPr>
            <w:bookmarkStart w:id="0" w:name="_GoBack"/>
            <w:bookmarkEnd w:id="0"/>
          </w:p>
        </w:tc>
        <w:tc>
          <w:tcPr>
            <w:tcW w:w="1985" w:type="dxa"/>
            <w:tcBorders>
              <w:bottom w:val="single" w:sz="4" w:space="0" w:color="auto"/>
            </w:tcBorders>
            <w:vAlign w:val="bottom"/>
          </w:tcPr>
          <w:p w14:paraId="7CC891E0" w14:textId="77777777" w:rsidR="004876DE" w:rsidRPr="005662FF" w:rsidRDefault="004876DE" w:rsidP="004876DE">
            <w:pPr>
              <w:spacing w:after="80" w:line="300" w:lineRule="exact"/>
              <w:rPr>
                <w:b/>
                <w:sz w:val="24"/>
                <w:szCs w:val="24"/>
              </w:rPr>
            </w:pPr>
            <w:r w:rsidRPr="005662FF">
              <w:rPr>
                <w:sz w:val="28"/>
                <w:szCs w:val="28"/>
              </w:rPr>
              <w:t>United Nations</w:t>
            </w:r>
          </w:p>
        </w:tc>
        <w:tc>
          <w:tcPr>
            <w:tcW w:w="6378" w:type="dxa"/>
            <w:gridSpan w:val="2"/>
            <w:tcBorders>
              <w:bottom w:val="single" w:sz="4" w:space="0" w:color="auto"/>
            </w:tcBorders>
            <w:vAlign w:val="bottom"/>
          </w:tcPr>
          <w:p w14:paraId="3591447F" w14:textId="77777777" w:rsidR="004876DE" w:rsidRPr="005662FF" w:rsidRDefault="004876DE" w:rsidP="002C7D87">
            <w:pPr>
              <w:jc w:val="right"/>
            </w:pPr>
            <w:r w:rsidRPr="005662FF">
              <w:rPr>
                <w:sz w:val="40"/>
              </w:rPr>
              <w:t>CAT</w:t>
            </w:r>
            <w:r w:rsidR="007A5D50" w:rsidRPr="005662FF">
              <w:t>/C/5</w:t>
            </w:r>
            <w:r w:rsidR="005D1302" w:rsidRPr="005662FF">
              <w:t>6</w:t>
            </w:r>
            <w:r w:rsidR="007A5D50" w:rsidRPr="005662FF">
              <w:t>/D/</w:t>
            </w:r>
            <w:r w:rsidR="00CF6197" w:rsidRPr="005662FF">
              <w:t>604</w:t>
            </w:r>
            <w:r w:rsidR="007A5D50" w:rsidRPr="005662FF">
              <w:t>/201</w:t>
            </w:r>
            <w:r w:rsidR="00CF6197" w:rsidRPr="005662FF">
              <w:t>4</w:t>
            </w:r>
          </w:p>
        </w:tc>
      </w:tr>
      <w:tr w:rsidR="004876DE" w:rsidRPr="005662FF" w14:paraId="62E604B0" w14:textId="77777777">
        <w:trPr>
          <w:cantSplit/>
          <w:trHeight w:hRule="exact" w:val="2835"/>
        </w:trPr>
        <w:tc>
          <w:tcPr>
            <w:tcW w:w="1276" w:type="dxa"/>
            <w:tcBorders>
              <w:top w:val="single" w:sz="4" w:space="0" w:color="auto"/>
              <w:bottom w:val="single" w:sz="12" w:space="0" w:color="auto"/>
            </w:tcBorders>
          </w:tcPr>
          <w:p w14:paraId="3C3E602E" w14:textId="77777777" w:rsidR="004876DE" w:rsidRPr="005662FF" w:rsidRDefault="009F1651" w:rsidP="004876DE">
            <w:pPr>
              <w:spacing w:before="120"/>
            </w:pPr>
            <w:r w:rsidRPr="00EC65FE">
              <w:rPr>
                <w:noProof/>
                <w:lang w:val="en-US"/>
              </w:rPr>
              <w:drawing>
                <wp:inline distT="0" distB="0" distL="0" distR="0" wp14:anchorId="152EC46A" wp14:editId="3E31CC3B">
                  <wp:extent cx="712470" cy="589280"/>
                  <wp:effectExtent l="0" t="0" r="0" b="127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FFCA84A" w14:textId="77777777" w:rsidR="004876DE" w:rsidRPr="0022269B" w:rsidRDefault="004876DE" w:rsidP="00EC65FE">
            <w:pPr>
              <w:spacing w:before="120" w:line="380" w:lineRule="exact"/>
              <w:rPr>
                <w:sz w:val="24"/>
                <w:szCs w:val="24"/>
              </w:rPr>
            </w:pPr>
            <w:r w:rsidRPr="005662FF">
              <w:rPr>
                <w:b/>
                <w:sz w:val="34"/>
                <w:szCs w:val="40"/>
              </w:rPr>
              <w:t>Convention against Torture</w:t>
            </w:r>
            <w:r w:rsidRPr="005662FF">
              <w:rPr>
                <w:b/>
                <w:sz w:val="34"/>
                <w:szCs w:val="40"/>
              </w:rPr>
              <w:br/>
              <w:t>and Other Cruel, Inhuman</w:t>
            </w:r>
            <w:r w:rsidRPr="005662FF">
              <w:rPr>
                <w:b/>
                <w:sz w:val="34"/>
                <w:szCs w:val="40"/>
              </w:rPr>
              <w:br/>
              <w:t>or Degrading Treatment</w:t>
            </w:r>
            <w:r w:rsidRPr="005662FF">
              <w:rPr>
                <w:b/>
                <w:sz w:val="34"/>
                <w:szCs w:val="40"/>
              </w:rPr>
              <w:br/>
              <w:t>or Punishment</w:t>
            </w:r>
            <w:r w:rsidR="00EC65FE">
              <w:rPr>
                <w:b/>
                <w:sz w:val="34"/>
                <w:szCs w:val="40"/>
              </w:rPr>
              <w:t xml:space="preserve"> </w:t>
            </w:r>
          </w:p>
        </w:tc>
        <w:tc>
          <w:tcPr>
            <w:tcW w:w="2835" w:type="dxa"/>
            <w:tcBorders>
              <w:top w:val="single" w:sz="4" w:space="0" w:color="auto"/>
              <w:bottom w:val="single" w:sz="12" w:space="0" w:color="auto"/>
            </w:tcBorders>
          </w:tcPr>
          <w:p w14:paraId="5AD10815" w14:textId="77777777" w:rsidR="004876DE" w:rsidRPr="005662FF" w:rsidRDefault="004876DE" w:rsidP="004876DE">
            <w:pPr>
              <w:spacing w:before="240" w:line="240" w:lineRule="exact"/>
            </w:pPr>
            <w:r w:rsidRPr="005662FF">
              <w:t xml:space="preserve">Distr.: </w:t>
            </w:r>
            <w:r w:rsidR="002C7D87" w:rsidRPr="005662FF">
              <w:t>General</w:t>
            </w:r>
          </w:p>
          <w:p w14:paraId="202FE85F" w14:textId="77777777" w:rsidR="004876DE" w:rsidRPr="005662FF" w:rsidRDefault="00F33F15" w:rsidP="00F33F15">
            <w:pPr>
              <w:spacing w:line="240" w:lineRule="exact"/>
            </w:pPr>
            <w:r>
              <w:t>1</w:t>
            </w:r>
            <w:r w:rsidR="00724BEC">
              <w:t>7</w:t>
            </w:r>
            <w:r>
              <w:t xml:space="preserve"> February 2016</w:t>
            </w:r>
          </w:p>
          <w:p w14:paraId="68F236B6" w14:textId="77777777" w:rsidR="004876DE" w:rsidRPr="005662FF" w:rsidRDefault="004876DE" w:rsidP="004876DE">
            <w:pPr>
              <w:spacing w:line="240" w:lineRule="exact"/>
            </w:pPr>
          </w:p>
          <w:p w14:paraId="2F29D8C8" w14:textId="77777777" w:rsidR="004876DE" w:rsidRPr="005662FF" w:rsidRDefault="004876DE" w:rsidP="004876DE">
            <w:pPr>
              <w:spacing w:line="240" w:lineRule="exact"/>
            </w:pPr>
            <w:r w:rsidRPr="005662FF">
              <w:t>Original: English</w:t>
            </w:r>
          </w:p>
          <w:p w14:paraId="736E4360" w14:textId="77777777" w:rsidR="00D346CD" w:rsidRPr="005662FF" w:rsidRDefault="00D346CD" w:rsidP="004876DE">
            <w:pPr>
              <w:spacing w:line="240" w:lineRule="exact"/>
            </w:pPr>
          </w:p>
          <w:p w14:paraId="681BA818" w14:textId="77777777" w:rsidR="004876DE" w:rsidRPr="005662FF" w:rsidRDefault="004876DE" w:rsidP="004876DE">
            <w:pPr>
              <w:spacing w:line="240" w:lineRule="exact"/>
            </w:pPr>
          </w:p>
          <w:p w14:paraId="080C820E" w14:textId="77777777" w:rsidR="004876DE" w:rsidRPr="005662FF" w:rsidRDefault="004876DE" w:rsidP="004876DE">
            <w:pPr>
              <w:spacing w:line="240" w:lineRule="exact"/>
            </w:pPr>
          </w:p>
        </w:tc>
      </w:tr>
    </w:tbl>
    <w:p w14:paraId="2D4EB738" w14:textId="77777777" w:rsidR="00583B6D" w:rsidRPr="00583B6D" w:rsidRDefault="00583B6D" w:rsidP="00583B6D">
      <w:pPr>
        <w:spacing w:line="20" w:lineRule="exact"/>
        <w:rPr>
          <w:b/>
          <w:sz w:val="2"/>
          <w:szCs w:val="24"/>
        </w:rPr>
      </w:pPr>
      <w:r>
        <w:rPr>
          <w:rStyle w:val="CommentReference"/>
        </w:rPr>
        <w:commentReference w:id="1"/>
      </w:r>
    </w:p>
    <w:p w14:paraId="3FD7ACAC" w14:textId="77777777" w:rsidR="004876DE" w:rsidRPr="005662FF" w:rsidRDefault="004876DE" w:rsidP="004876DE">
      <w:pPr>
        <w:spacing w:before="120"/>
        <w:rPr>
          <w:b/>
          <w:sz w:val="24"/>
          <w:szCs w:val="24"/>
        </w:rPr>
      </w:pPr>
      <w:r w:rsidRPr="005662FF">
        <w:rPr>
          <w:b/>
          <w:sz w:val="24"/>
          <w:szCs w:val="24"/>
        </w:rPr>
        <w:t>Committee against Torture</w:t>
      </w:r>
    </w:p>
    <w:p w14:paraId="50080758" w14:textId="77777777" w:rsidR="004876DE" w:rsidRPr="005662FF" w:rsidRDefault="004876DE">
      <w:pPr>
        <w:pStyle w:val="HChG"/>
      </w:pPr>
      <w:r w:rsidRPr="005662FF">
        <w:tab/>
      </w:r>
      <w:r w:rsidRPr="005662FF">
        <w:tab/>
        <w:t xml:space="preserve">Communication No. </w:t>
      </w:r>
      <w:r w:rsidR="00CF6197" w:rsidRPr="005662FF">
        <w:t>604</w:t>
      </w:r>
      <w:r w:rsidR="00243943" w:rsidRPr="005662FF">
        <w:t>/201</w:t>
      </w:r>
      <w:r w:rsidR="00CF6197" w:rsidRPr="005662FF">
        <w:t>4</w:t>
      </w:r>
      <w:r w:rsidRPr="005662FF">
        <w:rPr>
          <w:vertAlign w:val="superscript"/>
        </w:rPr>
        <w:t xml:space="preserve"> </w:t>
      </w:r>
    </w:p>
    <w:p w14:paraId="5F0E9209" w14:textId="77777777" w:rsidR="004876DE" w:rsidRPr="0022269B" w:rsidRDefault="004876DE" w:rsidP="00F33F15">
      <w:pPr>
        <w:pStyle w:val="H1G"/>
        <w:rPr>
          <w:szCs w:val="24"/>
        </w:rPr>
      </w:pPr>
      <w:r w:rsidRPr="005662FF">
        <w:tab/>
      </w:r>
      <w:r w:rsidRPr="005662FF">
        <w:tab/>
      </w:r>
      <w:r w:rsidR="001E3CC9" w:rsidRPr="005662FF">
        <w:rPr>
          <w:szCs w:val="24"/>
        </w:rPr>
        <w:t>Decision adopted by the Committee at its fifty-sixth session</w:t>
      </w:r>
      <w:r w:rsidR="00F33F15">
        <w:rPr>
          <w:szCs w:val="24"/>
        </w:rPr>
        <w:br/>
      </w:r>
      <w:r w:rsidR="001E3CC9" w:rsidRPr="005662FF">
        <w:rPr>
          <w:szCs w:val="24"/>
        </w:rPr>
        <w:t>(9</w:t>
      </w:r>
      <w:r w:rsidR="00F33F15">
        <w:rPr>
          <w:szCs w:val="24"/>
        </w:rPr>
        <w:t xml:space="preserve"> </w:t>
      </w:r>
      <w:r w:rsidR="001E3CC9" w:rsidRPr="005662FF">
        <w:rPr>
          <w:szCs w:val="24"/>
        </w:rPr>
        <w:t>November-9 December 2015)</w:t>
      </w:r>
    </w:p>
    <w:p w14:paraId="4D053FA8" w14:textId="77777777" w:rsidR="00712926" w:rsidRPr="005662FF" w:rsidRDefault="004876DE" w:rsidP="0022269B">
      <w:pPr>
        <w:pStyle w:val="SingleTxtG"/>
        <w:ind w:left="4536" w:hanging="3402"/>
        <w:jc w:val="left"/>
        <w:rPr>
          <w:lang w:val="en-GB"/>
        </w:rPr>
      </w:pPr>
      <w:r w:rsidRPr="005662FF">
        <w:rPr>
          <w:i/>
          <w:lang w:val="en-GB"/>
        </w:rPr>
        <w:t>Submitted by:</w:t>
      </w:r>
      <w:r w:rsidRPr="005662FF">
        <w:rPr>
          <w:i/>
          <w:lang w:val="en-GB"/>
        </w:rPr>
        <w:tab/>
      </w:r>
      <w:r w:rsidR="001C2E77">
        <w:rPr>
          <w:lang w:val="en-GB"/>
        </w:rPr>
        <w:t>Z.</w:t>
      </w:r>
      <w:r w:rsidR="00CF6197" w:rsidRPr="005662FF">
        <w:rPr>
          <w:lang w:val="en-GB"/>
        </w:rPr>
        <w:t>H</w:t>
      </w:r>
      <w:r w:rsidR="002C2092" w:rsidRPr="005662FF">
        <w:rPr>
          <w:lang w:val="en-GB"/>
        </w:rPr>
        <w:t>.</w:t>
      </w:r>
      <w:r w:rsidR="00CF6197" w:rsidRPr="005662FF">
        <w:rPr>
          <w:lang w:val="en-GB"/>
        </w:rPr>
        <w:t xml:space="preserve"> </w:t>
      </w:r>
      <w:r w:rsidR="00712926" w:rsidRPr="005662FF">
        <w:rPr>
          <w:lang w:val="en-GB"/>
        </w:rPr>
        <w:t xml:space="preserve">(represented by counsel </w:t>
      </w:r>
      <w:r w:rsidR="004C07A2" w:rsidRPr="0022269B">
        <w:rPr>
          <w:bCs/>
          <w:lang w:val="en-GB"/>
        </w:rPr>
        <w:t>Rajwinder Singh Bhambi</w:t>
      </w:r>
      <w:r w:rsidR="00712926" w:rsidRPr="005662FF">
        <w:rPr>
          <w:lang w:val="en-GB"/>
        </w:rPr>
        <w:t>)</w:t>
      </w:r>
    </w:p>
    <w:p w14:paraId="5D67E872" w14:textId="77777777" w:rsidR="004876DE" w:rsidRPr="005662FF" w:rsidRDefault="00243943" w:rsidP="0022269B">
      <w:pPr>
        <w:pStyle w:val="SingleTxtG"/>
        <w:ind w:left="4536" w:hanging="3402"/>
        <w:jc w:val="left"/>
        <w:rPr>
          <w:lang w:val="en-GB"/>
        </w:rPr>
      </w:pPr>
      <w:r w:rsidRPr="005662FF">
        <w:rPr>
          <w:i/>
          <w:lang w:val="en-GB"/>
        </w:rPr>
        <w:t>Alleged victim</w:t>
      </w:r>
      <w:r w:rsidR="004876DE" w:rsidRPr="005662FF">
        <w:rPr>
          <w:i/>
          <w:lang w:val="en-GB"/>
        </w:rPr>
        <w:t>:</w:t>
      </w:r>
      <w:r w:rsidR="004876DE" w:rsidRPr="005662FF">
        <w:rPr>
          <w:i/>
          <w:lang w:val="en-GB"/>
        </w:rPr>
        <w:tab/>
      </w:r>
      <w:r w:rsidR="004876DE" w:rsidRPr="005662FF">
        <w:rPr>
          <w:lang w:val="en-GB"/>
        </w:rPr>
        <w:t>The complainant</w:t>
      </w:r>
    </w:p>
    <w:p w14:paraId="764D4423" w14:textId="77777777" w:rsidR="004876DE" w:rsidRPr="005662FF" w:rsidRDefault="004876DE" w:rsidP="0022269B">
      <w:pPr>
        <w:pStyle w:val="SingleTxtG"/>
        <w:ind w:left="4536" w:hanging="3402"/>
        <w:jc w:val="left"/>
        <w:rPr>
          <w:lang w:val="en-GB"/>
        </w:rPr>
      </w:pPr>
      <w:r w:rsidRPr="005662FF">
        <w:rPr>
          <w:i/>
          <w:lang w:val="en-GB"/>
        </w:rPr>
        <w:t>State party:</w:t>
      </w:r>
      <w:r w:rsidRPr="005662FF">
        <w:rPr>
          <w:i/>
          <w:lang w:val="en-GB"/>
        </w:rPr>
        <w:tab/>
      </w:r>
      <w:r w:rsidR="00E47195" w:rsidRPr="005662FF">
        <w:rPr>
          <w:lang w:val="en-GB"/>
        </w:rPr>
        <w:t>Canada</w:t>
      </w:r>
    </w:p>
    <w:p w14:paraId="0D3BF40B" w14:textId="77777777" w:rsidR="004876DE" w:rsidRPr="005662FF" w:rsidRDefault="004876DE" w:rsidP="0022269B">
      <w:pPr>
        <w:pStyle w:val="SingleTxtG"/>
        <w:ind w:left="4536" w:hanging="3402"/>
        <w:jc w:val="left"/>
        <w:rPr>
          <w:lang w:val="en-GB"/>
        </w:rPr>
      </w:pPr>
      <w:r w:rsidRPr="005662FF">
        <w:rPr>
          <w:i/>
          <w:lang w:val="en-GB"/>
        </w:rPr>
        <w:t>Date of complaint:</w:t>
      </w:r>
      <w:r w:rsidRPr="005662FF">
        <w:rPr>
          <w:i/>
          <w:lang w:val="en-GB"/>
        </w:rPr>
        <w:tab/>
      </w:r>
      <w:r w:rsidR="00CF6197" w:rsidRPr="005662FF">
        <w:rPr>
          <w:lang w:val="en-GB"/>
        </w:rPr>
        <w:t>18 May 2014</w:t>
      </w:r>
      <w:r w:rsidR="00055198" w:rsidRPr="005662FF">
        <w:rPr>
          <w:lang w:val="en-GB"/>
        </w:rPr>
        <w:t xml:space="preserve"> </w:t>
      </w:r>
      <w:r w:rsidRPr="005662FF">
        <w:rPr>
          <w:lang w:val="en-GB"/>
        </w:rPr>
        <w:t>(initial submission)</w:t>
      </w:r>
    </w:p>
    <w:p w14:paraId="500E1141" w14:textId="77777777" w:rsidR="004876DE" w:rsidRPr="005662FF" w:rsidRDefault="004876DE" w:rsidP="0022269B">
      <w:pPr>
        <w:pStyle w:val="SingleTxtG"/>
        <w:ind w:left="4536" w:hanging="3402"/>
        <w:jc w:val="left"/>
        <w:rPr>
          <w:lang w:val="en-GB"/>
        </w:rPr>
      </w:pPr>
      <w:r w:rsidRPr="005662FF">
        <w:rPr>
          <w:i/>
          <w:lang w:val="en-GB"/>
        </w:rPr>
        <w:t>Date of present decision:</w:t>
      </w:r>
      <w:r w:rsidRPr="005662FF">
        <w:rPr>
          <w:i/>
          <w:lang w:val="en-GB"/>
        </w:rPr>
        <w:tab/>
      </w:r>
      <w:r w:rsidR="002C7D87" w:rsidRPr="005662FF">
        <w:rPr>
          <w:lang w:val="en-GB"/>
        </w:rPr>
        <w:t xml:space="preserve">20 November </w:t>
      </w:r>
      <w:r w:rsidR="00CF6197" w:rsidRPr="005662FF">
        <w:rPr>
          <w:lang w:val="en-GB"/>
        </w:rPr>
        <w:t>2015</w:t>
      </w:r>
    </w:p>
    <w:p w14:paraId="46B8BA7D" w14:textId="77777777" w:rsidR="004876DE" w:rsidRPr="005662FF" w:rsidRDefault="004876DE" w:rsidP="0022269B">
      <w:pPr>
        <w:pStyle w:val="SingleTxtG"/>
        <w:ind w:left="4536" w:hanging="3402"/>
        <w:jc w:val="left"/>
        <w:rPr>
          <w:lang w:val="en-GB"/>
        </w:rPr>
      </w:pPr>
      <w:r w:rsidRPr="005662FF">
        <w:rPr>
          <w:i/>
          <w:iCs/>
          <w:lang w:val="en-GB"/>
        </w:rPr>
        <w:t>Subject matter:</w:t>
      </w:r>
      <w:r w:rsidRPr="005662FF">
        <w:rPr>
          <w:i/>
          <w:lang w:val="en-GB"/>
        </w:rPr>
        <w:tab/>
      </w:r>
      <w:r w:rsidR="004F499F" w:rsidRPr="005662FF">
        <w:rPr>
          <w:lang w:val="en-GB"/>
        </w:rPr>
        <w:t xml:space="preserve">Deportation to </w:t>
      </w:r>
      <w:r w:rsidR="00CF6197" w:rsidRPr="005662FF">
        <w:rPr>
          <w:lang w:val="en-GB"/>
        </w:rPr>
        <w:t>Pakistan</w:t>
      </w:r>
    </w:p>
    <w:p w14:paraId="37D71903" w14:textId="77777777" w:rsidR="004876DE" w:rsidRPr="005662FF" w:rsidRDefault="004876DE" w:rsidP="0022269B">
      <w:pPr>
        <w:pStyle w:val="SingleTxtG"/>
        <w:ind w:left="4536" w:hanging="3402"/>
        <w:jc w:val="left"/>
        <w:rPr>
          <w:lang w:val="en-GB"/>
        </w:rPr>
      </w:pPr>
      <w:r w:rsidRPr="005662FF">
        <w:rPr>
          <w:i/>
          <w:iCs/>
          <w:lang w:val="en-GB"/>
        </w:rPr>
        <w:t>Procedural issue</w:t>
      </w:r>
      <w:r w:rsidR="00E9345C" w:rsidRPr="005662FF">
        <w:rPr>
          <w:i/>
          <w:iCs/>
          <w:lang w:val="en-GB"/>
        </w:rPr>
        <w:t>s</w:t>
      </w:r>
      <w:r w:rsidRPr="005662FF">
        <w:rPr>
          <w:i/>
          <w:lang w:val="en-GB"/>
        </w:rPr>
        <w:t>:</w:t>
      </w:r>
      <w:r w:rsidRPr="005662FF">
        <w:rPr>
          <w:i/>
          <w:iCs/>
          <w:lang w:val="en-GB"/>
        </w:rPr>
        <w:tab/>
      </w:r>
      <w:r w:rsidR="002C2092" w:rsidRPr="005662FF">
        <w:rPr>
          <w:iCs/>
          <w:lang w:val="en-GB"/>
        </w:rPr>
        <w:t>Non-exhaustion</w:t>
      </w:r>
      <w:r w:rsidR="00F33F15">
        <w:rPr>
          <w:iCs/>
          <w:lang w:val="en-GB"/>
        </w:rPr>
        <w:t xml:space="preserve"> of domestic remedies</w:t>
      </w:r>
      <w:r w:rsidR="002C2092" w:rsidRPr="005662FF">
        <w:rPr>
          <w:iCs/>
          <w:lang w:val="en-GB"/>
        </w:rPr>
        <w:t>; incompatible with Convention</w:t>
      </w:r>
    </w:p>
    <w:p w14:paraId="51E76C7E" w14:textId="77777777" w:rsidR="00A51329" w:rsidRPr="005662FF" w:rsidRDefault="004876DE" w:rsidP="0022269B">
      <w:pPr>
        <w:pStyle w:val="SingleTxtG"/>
        <w:ind w:left="4536" w:hanging="3402"/>
        <w:jc w:val="left"/>
        <w:rPr>
          <w:iCs/>
          <w:lang w:val="en-GB"/>
        </w:rPr>
      </w:pPr>
      <w:r w:rsidRPr="005662FF">
        <w:rPr>
          <w:i/>
          <w:iCs/>
          <w:lang w:val="en-GB"/>
        </w:rPr>
        <w:t>Substantive issue</w:t>
      </w:r>
      <w:r w:rsidR="00E9345C" w:rsidRPr="005662FF">
        <w:rPr>
          <w:i/>
          <w:iCs/>
          <w:lang w:val="en-GB"/>
        </w:rPr>
        <w:t>s</w:t>
      </w:r>
      <w:r w:rsidRPr="005662FF">
        <w:rPr>
          <w:i/>
          <w:iCs/>
          <w:lang w:val="en-GB"/>
        </w:rPr>
        <w:t>:</w:t>
      </w:r>
      <w:r w:rsidRPr="005662FF">
        <w:rPr>
          <w:i/>
          <w:iCs/>
          <w:lang w:val="en-GB"/>
        </w:rPr>
        <w:tab/>
      </w:r>
      <w:r w:rsidR="004F499F" w:rsidRPr="005662FF">
        <w:rPr>
          <w:iCs/>
          <w:lang w:val="en-GB"/>
        </w:rPr>
        <w:t>Non-refoulement</w:t>
      </w:r>
    </w:p>
    <w:p w14:paraId="363A06E6" w14:textId="77777777" w:rsidR="004876DE" w:rsidRPr="005662FF" w:rsidRDefault="004876DE" w:rsidP="0022269B">
      <w:pPr>
        <w:pStyle w:val="SingleTxtG"/>
        <w:ind w:left="4536" w:hanging="3402"/>
        <w:jc w:val="left"/>
        <w:rPr>
          <w:lang w:val="en-GB"/>
        </w:rPr>
      </w:pPr>
      <w:r w:rsidRPr="005662FF">
        <w:rPr>
          <w:i/>
          <w:iCs/>
          <w:lang w:val="en-GB"/>
        </w:rPr>
        <w:t>Article</w:t>
      </w:r>
      <w:r w:rsidR="00E9345C" w:rsidRPr="005662FF">
        <w:rPr>
          <w:i/>
          <w:iCs/>
          <w:lang w:val="en-GB"/>
        </w:rPr>
        <w:t>s</w:t>
      </w:r>
      <w:r w:rsidRPr="005662FF">
        <w:rPr>
          <w:i/>
          <w:iCs/>
          <w:lang w:val="en-GB"/>
        </w:rPr>
        <w:t xml:space="preserve"> of the Convention</w:t>
      </w:r>
      <w:r w:rsidRPr="005662FF">
        <w:rPr>
          <w:i/>
          <w:lang w:val="en-GB"/>
        </w:rPr>
        <w:t>:</w:t>
      </w:r>
      <w:r w:rsidRPr="005662FF">
        <w:rPr>
          <w:i/>
          <w:iCs/>
          <w:lang w:val="en-GB"/>
        </w:rPr>
        <w:tab/>
      </w:r>
      <w:r w:rsidR="00F445C7" w:rsidRPr="005662FF">
        <w:rPr>
          <w:iCs/>
          <w:lang w:val="en-GB"/>
        </w:rPr>
        <w:t xml:space="preserve">1, </w:t>
      </w:r>
      <w:r w:rsidR="00E47195" w:rsidRPr="005662FF">
        <w:rPr>
          <w:iCs/>
          <w:lang w:val="en-GB"/>
        </w:rPr>
        <w:t>3</w:t>
      </w:r>
      <w:r w:rsidR="00F33F15">
        <w:rPr>
          <w:iCs/>
          <w:lang w:val="en-GB"/>
        </w:rPr>
        <w:t xml:space="preserve"> and</w:t>
      </w:r>
      <w:r w:rsidR="002C2092" w:rsidRPr="005662FF">
        <w:rPr>
          <w:iCs/>
          <w:lang w:val="en-GB"/>
        </w:rPr>
        <w:t xml:space="preserve"> 22</w:t>
      </w:r>
    </w:p>
    <w:p w14:paraId="6B277952" w14:textId="77777777" w:rsidR="00D0559B" w:rsidRPr="005662FF" w:rsidRDefault="004876DE" w:rsidP="00EA0A9A">
      <w:pPr>
        <w:pStyle w:val="HChG"/>
        <w:spacing w:before="0" w:after="0"/>
      </w:pPr>
      <w:r w:rsidRPr="005662FF">
        <w:br w:type="page"/>
      </w:r>
      <w:r w:rsidR="00D0559B" w:rsidRPr="005662FF">
        <w:lastRenderedPageBreak/>
        <w:t>Annex</w:t>
      </w:r>
    </w:p>
    <w:p w14:paraId="646641D6" w14:textId="77777777" w:rsidR="004876DE" w:rsidRPr="005662FF" w:rsidRDefault="004876DE" w:rsidP="001322F2">
      <w:pPr>
        <w:pStyle w:val="HChG"/>
        <w:ind w:firstLine="0"/>
      </w:pPr>
      <w:r w:rsidRPr="005662FF">
        <w:t>Decision of the Committee against Torture under article 22 of the Convention against Torture and Other Cruel, Inhuman or Degrading T</w:t>
      </w:r>
      <w:r w:rsidR="003743F9" w:rsidRPr="005662FF">
        <w:t>reatment or Punishment (fifty</w:t>
      </w:r>
      <w:r w:rsidR="001322F2">
        <w:t>-</w:t>
      </w:r>
      <w:r w:rsidR="001E3CC9" w:rsidRPr="005662FF">
        <w:t>sixth</w:t>
      </w:r>
      <w:r w:rsidR="009A0910" w:rsidRPr="005662FF">
        <w:t xml:space="preserve"> session</w:t>
      </w:r>
      <w:r w:rsidRPr="005662FF">
        <w:t>)</w:t>
      </w:r>
    </w:p>
    <w:p w14:paraId="41F8A31B" w14:textId="77777777" w:rsidR="004876DE" w:rsidRPr="005662FF" w:rsidRDefault="004876DE" w:rsidP="004876DE">
      <w:pPr>
        <w:pStyle w:val="SingleTxtG"/>
        <w:rPr>
          <w:lang w:val="en-GB"/>
        </w:rPr>
      </w:pPr>
      <w:r w:rsidRPr="005662FF">
        <w:rPr>
          <w:lang w:val="en-GB"/>
        </w:rPr>
        <w:t>concerning</w:t>
      </w:r>
    </w:p>
    <w:p w14:paraId="7A962004" w14:textId="77777777" w:rsidR="00097589" w:rsidRPr="005662FF" w:rsidRDefault="004876DE" w:rsidP="00097589">
      <w:pPr>
        <w:pStyle w:val="H1G"/>
      </w:pPr>
      <w:r w:rsidRPr="005662FF">
        <w:tab/>
      </w:r>
      <w:r w:rsidRPr="005662FF">
        <w:tab/>
        <w:t xml:space="preserve">Communication No. </w:t>
      </w:r>
      <w:r w:rsidR="004C07A2" w:rsidRPr="005662FF">
        <w:t>604</w:t>
      </w:r>
      <w:r w:rsidR="00243943" w:rsidRPr="005662FF">
        <w:t>/201</w:t>
      </w:r>
      <w:r w:rsidR="004C07A2" w:rsidRPr="005662FF">
        <w:t>4</w:t>
      </w:r>
      <w:r w:rsidR="00097589" w:rsidRPr="0022269B">
        <w:rPr>
          <w:rStyle w:val="FootnoteReference"/>
          <w:b w:val="0"/>
          <w:bCs/>
          <w:sz w:val="20"/>
          <w:vertAlign w:val="baseline"/>
        </w:rPr>
        <w:footnoteReference w:customMarkFollows="1" w:id="2"/>
        <w:t>*</w:t>
      </w:r>
      <w:r w:rsidR="00097589" w:rsidRPr="0022269B">
        <w:t xml:space="preserve"> </w:t>
      </w:r>
    </w:p>
    <w:p w14:paraId="6C573828" w14:textId="77777777" w:rsidR="004C07A2" w:rsidRPr="005662FF" w:rsidRDefault="004C07A2" w:rsidP="0022269B">
      <w:pPr>
        <w:pStyle w:val="SingleTxtG"/>
        <w:ind w:left="4536" w:hanging="3402"/>
        <w:jc w:val="left"/>
        <w:rPr>
          <w:lang w:val="en-GB"/>
        </w:rPr>
      </w:pPr>
      <w:r w:rsidRPr="005662FF">
        <w:rPr>
          <w:i/>
          <w:lang w:val="en-GB"/>
        </w:rPr>
        <w:t>Submitted by:</w:t>
      </w:r>
      <w:r w:rsidRPr="005662FF">
        <w:rPr>
          <w:i/>
          <w:lang w:val="en-GB"/>
        </w:rPr>
        <w:tab/>
      </w:r>
      <w:r w:rsidR="001C2E77">
        <w:rPr>
          <w:lang w:val="en-GB"/>
        </w:rPr>
        <w:t>Z.</w:t>
      </w:r>
      <w:r w:rsidRPr="005662FF">
        <w:rPr>
          <w:lang w:val="en-GB"/>
        </w:rPr>
        <w:t>H</w:t>
      </w:r>
      <w:r w:rsidR="002C2092" w:rsidRPr="005662FF">
        <w:rPr>
          <w:lang w:val="en-GB"/>
        </w:rPr>
        <w:t>.</w:t>
      </w:r>
      <w:r w:rsidRPr="005662FF">
        <w:rPr>
          <w:lang w:val="en-GB"/>
        </w:rPr>
        <w:t xml:space="preserve"> (represented by counsel </w:t>
      </w:r>
      <w:r w:rsidRPr="0022269B">
        <w:rPr>
          <w:bCs/>
          <w:lang w:val="en-GB"/>
        </w:rPr>
        <w:t>Rajwinder Singh Bhambi</w:t>
      </w:r>
      <w:r w:rsidRPr="005662FF">
        <w:rPr>
          <w:lang w:val="en-GB"/>
        </w:rPr>
        <w:t>)</w:t>
      </w:r>
    </w:p>
    <w:p w14:paraId="6912365D" w14:textId="77777777" w:rsidR="004C07A2" w:rsidRPr="005662FF" w:rsidRDefault="004C07A2" w:rsidP="0022269B">
      <w:pPr>
        <w:pStyle w:val="SingleTxtG"/>
        <w:ind w:left="4536" w:hanging="3402"/>
        <w:jc w:val="left"/>
        <w:rPr>
          <w:lang w:val="en-GB"/>
        </w:rPr>
      </w:pPr>
      <w:r w:rsidRPr="005662FF">
        <w:rPr>
          <w:i/>
          <w:lang w:val="en-GB"/>
        </w:rPr>
        <w:t>Alleged victim:</w:t>
      </w:r>
      <w:r w:rsidRPr="005662FF">
        <w:rPr>
          <w:i/>
          <w:lang w:val="en-GB"/>
        </w:rPr>
        <w:tab/>
      </w:r>
      <w:r w:rsidRPr="005662FF">
        <w:rPr>
          <w:lang w:val="en-GB"/>
        </w:rPr>
        <w:t>The complainant</w:t>
      </w:r>
    </w:p>
    <w:p w14:paraId="7ABC73E9" w14:textId="77777777" w:rsidR="004C07A2" w:rsidRPr="005662FF" w:rsidRDefault="004C07A2" w:rsidP="0022269B">
      <w:pPr>
        <w:pStyle w:val="SingleTxtG"/>
        <w:ind w:left="4536" w:hanging="3402"/>
        <w:jc w:val="left"/>
        <w:rPr>
          <w:lang w:val="en-GB"/>
        </w:rPr>
      </w:pPr>
      <w:r w:rsidRPr="005662FF">
        <w:rPr>
          <w:i/>
          <w:lang w:val="en-GB"/>
        </w:rPr>
        <w:t>State party:</w:t>
      </w:r>
      <w:r w:rsidRPr="005662FF">
        <w:rPr>
          <w:i/>
          <w:lang w:val="en-GB"/>
        </w:rPr>
        <w:tab/>
      </w:r>
      <w:r w:rsidRPr="005662FF">
        <w:rPr>
          <w:lang w:val="en-GB"/>
        </w:rPr>
        <w:t>Canada</w:t>
      </w:r>
    </w:p>
    <w:p w14:paraId="2AB7A197" w14:textId="77777777" w:rsidR="004C07A2" w:rsidRPr="005662FF" w:rsidRDefault="004C07A2" w:rsidP="0022269B">
      <w:pPr>
        <w:pStyle w:val="SingleTxtG"/>
        <w:ind w:left="4536" w:hanging="3402"/>
        <w:jc w:val="left"/>
        <w:rPr>
          <w:lang w:val="en-GB"/>
        </w:rPr>
      </w:pPr>
      <w:r w:rsidRPr="005662FF">
        <w:rPr>
          <w:i/>
          <w:lang w:val="en-GB"/>
        </w:rPr>
        <w:t>Date of complaint:</w:t>
      </w:r>
      <w:r w:rsidRPr="005662FF">
        <w:rPr>
          <w:i/>
          <w:lang w:val="en-GB"/>
        </w:rPr>
        <w:tab/>
      </w:r>
      <w:r w:rsidRPr="005662FF">
        <w:rPr>
          <w:lang w:val="en-GB"/>
        </w:rPr>
        <w:t>18 May 2014 (initial submission)</w:t>
      </w:r>
    </w:p>
    <w:p w14:paraId="61BEDFB7" w14:textId="77777777" w:rsidR="004876DE" w:rsidRPr="005662FF" w:rsidRDefault="004876DE" w:rsidP="004876DE">
      <w:pPr>
        <w:pStyle w:val="SingleTxtG"/>
        <w:rPr>
          <w:lang w:val="en-GB"/>
        </w:rPr>
      </w:pPr>
      <w:r w:rsidRPr="005662FF">
        <w:rPr>
          <w:lang w:val="en-GB"/>
        </w:rPr>
        <w:tab/>
      </w:r>
      <w:r w:rsidRPr="005662FF">
        <w:rPr>
          <w:i/>
          <w:iCs/>
          <w:lang w:val="en-GB"/>
        </w:rPr>
        <w:t>The Committee against Torture</w:t>
      </w:r>
      <w:r w:rsidRPr="005662FF">
        <w:rPr>
          <w:lang w:val="en-GB"/>
        </w:rPr>
        <w:t>, established under article 17 of the Convention against Torture and Other Cruel, Inhuman or Degrading Treatment or Punishment,</w:t>
      </w:r>
    </w:p>
    <w:p w14:paraId="729962B8" w14:textId="77777777" w:rsidR="004876DE" w:rsidRPr="005662FF" w:rsidRDefault="004876DE" w:rsidP="004876DE">
      <w:pPr>
        <w:pStyle w:val="SingleTxtG"/>
        <w:rPr>
          <w:lang w:val="en-GB"/>
        </w:rPr>
      </w:pPr>
      <w:r w:rsidRPr="005662FF">
        <w:rPr>
          <w:lang w:val="en-GB"/>
        </w:rPr>
        <w:tab/>
      </w:r>
      <w:r w:rsidRPr="005662FF">
        <w:rPr>
          <w:i/>
          <w:iCs/>
          <w:lang w:val="en-GB"/>
        </w:rPr>
        <w:t>Meeting</w:t>
      </w:r>
      <w:r w:rsidRPr="005662FF">
        <w:rPr>
          <w:lang w:val="en-GB"/>
        </w:rPr>
        <w:t xml:space="preserve"> on </w:t>
      </w:r>
      <w:r w:rsidR="002C7D87" w:rsidRPr="005662FF">
        <w:rPr>
          <w:lang w:val="en-GB"/>
        </w:rPr>
        <w:t>20 November</w:t>
      </w:r>
      <w:r w:rsidRPr="005662FF">
        <w:rPr>
          <w:lang w:val="en-GB"/>
        </w:rPr>
        <w:t xml:space="preserve"> 201</w:t>
      </w:r>
      <w:r w:rsidR="00826C7D" w:rsidRPr="005662FF">
        <w:rPr>
          <w:lang w:val="en-GB"/>
        </w:rPr>
        <w:t>5</w:t>
      </w:r>
      <w:r w:rsidRPr="005662FF">
        <w:rPr>
          <w:lang w:val="en-GB"/>
        </w:rPr>
        <w:t>,</w:t>
      </w:r>
    </w:p>
    <w:p w14:paraId="016D14A0" w14:textId="77777777" w:rsidR="004876DE" w:rsidRPr="005662FF" w:rsidRDefault="004876DE" w:rsidP="00F33F15">
      <w:pPr>
        <w:pStyle w:val="SingleTxtG"/>
        <w:rPr>
          <w:lang w:val="en-GB"/>
        </w:rPr>
      </w:pPr>
      <w:r w:rsidRPr="005662FF">
        <w:rPr>
          <w:lang w:val="en-GB"/>
        </w:rPr>
        <w:tab/>
      </w:r>
      <w:r w:rsidRPr="005662FF">
        <w:rPr>
          <w:i/>
          <w:iCs/>
          <w:lang w:val="en-GB"/>
        </w:rPr>
        <w:t>Having concluded</w:t>
      </w:r>
      <w:r w:rsidRPr="005662FF">
        <w:rPr>
          <w:lang w:val="en-GB"/>
        </w:rPr>
        <w:t xml:space="preserve"> its consideration of complaint No. </w:t>
      </w:r>
      <w:r w:rsidR="004C07A2" w:rsidRPr="005662FF">
        <w:rPr>
          <w:lang w:val="en-GB"/>
        </w:rPr>
        <w:t>604</w:t>
      </w:r>
      <w:r w:rsidR="00243943" w:rsidRPr="005662FF">
        <w:rPr>
          <w:lang w:val="en-GB"/>
        </w:rPr>
        <w:t>/201</w:t>
      </w:r>
      <w:r w:rsidR="004C07A2" w:rsidRPr="005662FF">
        <w:rPr>
          <w:lang w:val="en-GB"/>
        </w:rPr>
        <w:t>4</w:t>
      </w:r>
      <w:r w:rsidRPr="005662FF">
        <w:rPr>
          <w:lang w:val="en-GB"/>
        </w:rPr>
        <w:t xml:space="preserve">, submitted to </w:t>
      </w:r>
      <w:r w:rsidR="00F33F15">
        <w:rPr>
          <w:lang w:val="en-GB"/>
        </w:rPr>
        <w:t>it</w:t>
      </w:r>
      <w:r w:rsidRPr="005662FF">
        <w:rPr>
          <w:lang w:val="en-GB"/>
        </w:rPr>
        <w:t xml:space="preserve"> </w:t>
      </w:r>
      <w:r w:rsidR="00B52981" w:rsidRPr="005662FF">
        <w:rPr>
          <w:lang w:val="en-GB"/>
        </w:rPr>
        <w:t>by</w:t>
      </w:r>
      <w:r w:rsidR="00544E30" w:rsidRPr="005662FF">
        <w:rPr>
          <w:lang w:val="en-GB"/>
        </w:rPr>
        <w:t xml:space="preserve"> </w:t>
      </w:r>
      <w:r w:rsidR="001C2E77">
        <w:rPr>
          <w:lang w:val="en-GB"/>
        </w:rPr>
        <w:t>Z.</w:t>
      </w:r>
      <w:r w:rsidR="004C07A2" w:rsidRPr="005662FF">
        <w:rPr>
          <w:lang w:val="en-GB"/>
        </w:rPr>
        <w:t>H</w:t>
      </w:r>
      <w:r w:rsidR="002C2092" w:rsidRPr="005662FF">
        <w:rPr>
          <w:lang w:val="en-GB"/>
        </w:rPr>
        <w:t>.</w:t>
      </w:r>
      <w:r w:rsidR="00016A42" w:rsidRPr="005662FF">
        <w:rPr>
          <w:lang w:val="en-GB"/>
        </w:rPr>
        <w:t xml:space="preserve"> </w:t>
      </w:r>
      <w:r w:rsidRPr="005662FF">
        <w:rPr>
          <w:lang w:val="en-GB"/>
        </w:rPr>
        <w:t>under article 22 of the Convention,</w:t>
      </w:r>
    </w:p>
    <w:p w14:paraId="50BCE144" w14:textId="77777777" w:rsidR="004876DE" w:rsidRPr="005662FF" w:rsidRDefault="004876DE" w:rsidP="00F33F15">
      <w:pPr>
        <w:pStyle w:val="SingleTxtG"/>
        <w:rPr>
          <w:lang w:val="en-GB"/>
        </w:rPr>
      </w:pPr>
      <w:r w:rsidRPr="005662FF">
        <w:rPr>
          <w:lang w:val="en-GB"/>
        </w:rPr>
        <w:tab/>
      </w:r>
      <w:r w:rsidRPr="005662FF">
        <w:rPr>
          <w:i/>
          <w:iCs/>
          <w:lang w:val="en-GB"/>
        </w:rPr>
        <w:t>Having taken into account</w:t>
      </w:r>
      <w:r w:rsidRPr="005662FF">
        <w:rPr>
          <w:lang w:val="en-GB"/>
        </w:rPr>
        <w:t xml:space="preserve"> all information made available to it by the complainant, h</w:t>
      </w:r>
      <w:r w:rsidR="00F33F15">
        <w:rPr>
          <w:lang w:val="en-GB"/>
        </w:rPr>
        <w:t>is</w:t>
      </w:r>
      <w:r w:rsidRPr="005662FF">
        <w:rPr>
          <w:lang w:val="en-GB"/>
        </w:rPr>
        <w:t xml:space="preserve"> counsel and the State party,</w:t>
      </w:r>
    </w:p>
    <w:p w14:paraId="791ACECF" w14:textId="77777777" w:rsidR="004876DE" w:rsidRPr="005662FF" w:rsidRDefault="004876DE" w:rsidP="004876DE">
      <w:pPr>
        <w:pStyle w:val="SingleTxtG"/>
        <w:rPr>
          <w:lang w:val="en-GB"/>
        </w:rPr>
      </w:pPr>
      <w:r w:rsidRPr="005662FF">
        <w:rPr>
          <w:lang w:val="en-GB"/>
        </w:rPr>
        <w:tab/>
      </w:r>
      <w:r w:rsidRPr="005662FF">
        <w:rPr>
          <w:i/>
          <w:iCs/>
          <w:lang w:val="en-GB"/>
        </w:rPr>
        <w:t xml:space="preserve">Adopts </w:t>
      </w:r>
      <w:r w:rsidRPr="005662FF">
        <w:rPr>
          <w:lang w:val="en-GB"/>
        </w:rPr>
        <w:t>the following:</w:t>
      </w:r>
    </w:p>
    <w:p w14:paraId="147CD017" w14:textId="77777777" w:rsidR="004876DE" w:rsidRPr="005662FF" w:rsidRDefault="004876DE" w:rsidP="009B75CE">
      <w:pPr>
        <w:pStyle w:val="H1G"/>
      </w:pPr>
      <w:r w:rsidRPr="005662FF">
        <w:tab/>
      </w:r>
      <w:r w:rsidRPr="005662FF">
        <w:tab/>
        <w:t xml:space="preserve">Decision under article 22 </w:t>
      </w:r>
      <w:r w:rsidR="009B75CE">
        <w:t>(</w:t>
      </w:r>
      <w:r w:rsidRPr="005662FF">
        <w:t>7</w:t>
      </w:r>
      <w:r w:rsidR="009B75CE">
        <w:t>)</w:t>
      </w:r>
      <w:r w:rsidRPr="005662FF">
        <w:t xml:space="preserve"> of the Convention</w:t>
      </w:r>
    </w:p>
    <w:p w14:paraId="1347C39F" w14:textId="77777777" w:rsidR="004C07A2" w:rsidRPr="005662FF" w:rsidRDefault="004C07A2" w:rsidP="0022269B">
      <w:pPr>
        <w:pStyle w:val="SingleTxtG"/>
      </w:pPr>
      <w:r w:rsidRPr="005662FF">
        <w:rPr>
          <w:lang w:val="en-GB"/>
        </w:rPr>
        <w:t>1.1</w:t>
      </w:r>
      <w:r w:rsidRPr="005662FF">
        <w:rPr>
          <w:lang w:val="en-GB"/>
        </w:rPr>
        <w:tab/>
        <w:t>The complainant</w:t>
      </w:r>
      <w:r w:rsidR="002C2092" w:rsidRPr="005662FF">
        <w:rPr>
          <w:lang w:val="en-GB"/>
        </w:rPr>
        <w:t xml:space="preserve"> is </w:t>
      </w:r>
      <w:r w:rsidR="001C2E77">
        <w:rPr>
          <w:lang w:val="en-GB"/>
        </w:rPr>
        <w:t>Z.</w:t>
      </w:r>
      <w:r w:rsidR="002C2092" w:rsidRPr="005662FF">
        <w:rPr>
          <w:lang w:val="en-GB"/>
        </w:rPr>
        <w:t>H.</w:t>
      </w:r>
      <w:r w:rsidRPr="005662FF">
        <w:rPr>
          <w:lang w:val="en-GB"/>
        </w:rPr>
        <w:t xml:space="preserve">, </w:t>
      </w:r>
      <w:r w:rsidR="00EC65FE">
        <w:rPr>
          <w:lang w:val="en-GB"/>
        </w:rPr>
        <w:t xml:space="preserve">a </w:t>
      </w:r>
      <w:r w:rsidRPr="005662FF">
        <w:rPr>
          <w:lang w:val="en-GB"/>
        </w:rPr>
        <w:t>national</w:t>
      </w:r>
      <w:r w:rsidR="009B75CE">
        <w:rPr>
          <w:lang w:val="en-GB"/>
        </w:rPr>
        <w:t xml:space="preserve"> of Pakistan</w:t>
      </w:r>
      <w:r w:rsidRPr="005662FF">
        <w:rPr>
          <w:lang w:val="en-GB"/>
        </w:rPr>
        <w:t xml:space="preserve">, born on 16 November 1986, </w:t>
      </w:r>
      <w:r w:rsidR="00F33F15">
        <w:rPr>
          <w:lang w:val="en-GB"/>
        </w:rPr>
        <w:t xml:space="preserve">who, </w:t>
      </w:r>
      <w:r w:rsidRPr="005662FF">
        <w:rPr>
          <w:lang w:val="en-GB"/>
        </w:rPr>
        <w:t>at the time of submission</w:t>
      </w:r>
      <w:r w:rsidR="00F33F15">
        <w:rPr>
          <w:lang w:val="en-GB"/>
        </w:rPr>
        <w:t xml:space="preserve"> of the communication was </w:t>
      </w:r>
      <w:r w:rsidRPr="005662FF">
        <w:rPr>
          <w:lang w:val="en-GB"/>
        </w:rPr>
        <w:t>residing in Canada and awaiting deportation to Pakistan</w:t>
      </w:r>
      <w:r w:rsidR="00F33F15">
        <w:rPr>
          <w:lang w:val="en-GB"/>
        </w:rPr>
        <w:t>,</w:t>
      </w:r>
      <w:r w:rsidRPr="005662FF">
        <w:rPr>
          <w:lang w:val="en-GB"/>
        </w:rPr>
        <w:t xml:space="preserve"> following the rejection of his application for asylum on 18 October 2013. The complainant claims that deportation to Pakistan </w:t>
      </w:r>
      <w:r w:rsidR="009B75CE">
        <w:rPr>
          <w:lang w:val="en-GB"/>
        </w:rPr>
        <w:t>would constitute a violation by Canada</w:t>
      </w:r>
      <w:r w:rsidRPr="005662FF">
        <w:rPr>
          <w:lang w:val="en-GB"/>
        </w:rPr>
        <w:t xml:space="preserve"> </w:t>
      </w:r>
      <w:r w:rsidR="009B75CE">
        <w:rPr>
          <w:lang w:val="en-GB"/>
        </w:rPr>
        <w:t>of</w:t>
      </w:r>
      <w:r w:rsidR="009B75CE" w:rsidRPr="005662FF">
        <w:rPr>
          <w:lang w:val="en-GB"/>
        </w:rPr>
        <w:t xml:space="preserve"> </w:t>
      </w:r>
      <w:r w:rsidRPr="005662FF">
        <w:rPr>
          <w:lang w:val="en-GB"/>
        </w:rPr>
        <w:t>articles 1 and 3 of the Convention. The complainant is represented by counsel.</w:t>
      </w:r>
    </w:p>
    <w:p w14:paraId="43286641" w14:textId="77777777" w:rsidR="00EA13B1" w:rsidRPr="0022269B" w:rsidRDefault="004C07A2">
      <w:pPr>
        <w:pStyle w:val="SingleTxtG"/>
        <w:rPr>
          <w:lang w:val="en-GB"/>
        </w:rPr>
      </w:pPr>
      <w:r w:rsidRPr="0022269B">
        <w:rPr>
          <w:bCs/>
          <w:lang w:val="en-GB"/>
        </w:rPr>
        <w:t>1.2</w:t>
      </w:r>
      <w:r w:rsidRPr="0022269B">
        <w:rPr>
          <w:bCs/>
          <w:lang w:val="en-GB"/>
        </w:rPr>
        <w:tab/>
      </w:r>
      <w:r w:rsidR="00EA13B1" w:rsidRPr="0022269B">
        <w:rPr>
          <w:lang w:val="en-GB"/>
        </w:rPr>
        <w:t>On 22 May 2014, in application of rule 114, paragraph 1</w:t>
      </w:r>
      <w:r w:rsidR="009B75CE">
        <w:rPr>
          <w:lang w:val="en-GB"/>
        </w:rPr>
        <w:t>,</w:t>
      </w:r>
      <w:r w:rsidR="00EA13B1" w:rsidRPr="0022269B">
        <w:rPr>
          <w:lang w:val="en-GB"/>
        </w:rPr>
        <w:t xml:space="preserve"> of its rules of procedure (CAT/C/3/Rev.</w:t>
      </w:r>
      <w:r w:rsidR="00AE5A5E" w:rsidRPr="005662FF">
        <w:rPr>
          <w:lang w:val="en-GB"/>
        </w:rPr>
        <w:t>6</w:t>
      </w:r>
      <w:r w:rsidR="00EA13B1" w:rsidRPr="0022269B">
        <w:rPr>
          <w:lang w:val="en-GB"/>
        </w:rPr>
        <w:t xml:space="preserve">), the Committee requested the State party not to </w:t>
      </w:r>
      <w:r w:rsidR="00724BEC">
        <w:rPr>
          <w:lang w:val="en-GB"/>
        </w:rPr>
        <w:t>remove</w:t>
      </w:r>
      <w:r w:rsidR="00724BEC" w:rsidRPr="0022269B">
        <w:rPr>
          <w:lang w:val="en-GB"/>
        </w:rPr>
        <w:t xml:space="preserve"> </w:t>
      </w:r>
      <w:r w:rsidR="00EA13B1" w:rsidRPr="0022269B">
        <w:rPr>
          <w:lang w:val="en-GB"/>
        </w:rPr>
        <w:t>the complainant to Pakistan while the communication was being considered by the Committee.</w:t>
      </w:r>
    </w:p>
    <w:p w14:paraId="7FE7ADFE" w14:textId="77777777" w:rsidR="004C07A2" w:rsidRPr="005662FF" w:rsidRDefault="005662FF" w:rsidP="0022269B">
      <w:pPr>
        <w:pStyle w:val="H23G"/>
      </w:pPr>
      <w:r w:rsidRPr="0022269B">
        <w:rPr>
          <w:bCs/>
        </w:rPr>
        <w:tab/>
      </w:r>
      <w:r w:rsidRPr="0022269B">
        <w:rPr>
          <w:bCs/>
        </w:rPr>
        <w:tab/>
      </w:r>
      <w:r w:rsidR="004C07A2" w:rsidRPr="005662FF">
        <w:t>Facts as presented by the complainant</w:t>
      </w:r>
    </w:p>
    <w:p w14:paraId="760AD611" w14:textId="77777777" w:rsidR="004C07A2" w:rsidRPr="005662FF" w:rsidRDefault="004C07A2" w:rsidP="0022269B">
      <w:pPr>
        <w:pStyle w:val="SingleTxtG"/>
      </w:pPr>
      <w:r w:rsidRPr="005662FF">
        <w:rPr>
          <w:lang w:val="en-GB"/>
        </w:rPr>
        <w:t>2.1</w:t>
      </w:r>
      <w:r w:rsidRPr="005662FF">
        <w:rPr>
          <w:lang w:val="en-GB"/>
        </w:rPr>
        <w:tab/>
        <w:t xml:space="preserve">The complainant belongs to the </w:t>
      </w:r>
      <w:r w:rsidRPr="00F33F15">
        <w:rPr>
          <w:lang w:val="en-GB"/>
        </w:rPr>
        <w:t>Fiqah Jaffria</w:t>
      </w:r>
      <w:r w:rsidRPr="005662FF">
        <w:rPr>
          <w:lang w:val="en-GB"/>
        </w:rPr>
        <w:t xml:space="preserve"> </w:t>
      </w:r>
      <w:r w:rsidR="00F33F15">
        <w:rPr>
          <w:lang w:val="en-GB"/>
        </w:rPr>
        <w:t xml:space="preserve">minority </w:t>
      </w:r>
      <w:r w:rsidRPr="005662FF">
        <w:rPr>
          <w:lang w:val="en-GB"/>
        </w:rPr>
        <w:t xml:space="preserve">of </w:t>
      </w:r>
      <w:r w:rsidR="0024494B">
        <w:rPr>
          <w:lang w:val="en-GB"/>
        </w:rPr>
        <w:t xml:space="preserve">the </w:t>
      </w:r>
      <w:r w:rsidRPr="005662FF">
        <w:rPr>
          <w:lang w:val="en-GB"/>
        </w:rPr>
        <w:t xml:space="preserve">Shia sect of Islam (Shiite religion). His father is the </w:t>
      </w:r>
      <w:r w:rsidR="00A92018">
        <w:rPr>
          <w:lang w:val="en-GB"/>
        </w:rPr>
        <w:t>P</w:t>
      </w:r>
      <w:r w:rsidRPr="005662FF">
        <w:rPr>
          <w:lang w:val="en-GB"/>
        </w:rPr>
        <w:t xml:space="preserve">resident of the </w:t>
      </w:r>
      <w:r w:rsidR="00543722" w:rsidRPr="005662FF">
        <w:rPr>
          <w:lang w:val="en-GB"/>
        </w:rPr>
        <w:t xml:space="preserve">Fiqah Jaffria </w:t>
      </w:r>
      <w:r w:rsidRPr="005662FF">
        <w:rPr>
          <w:lang w:val="en-GB"/>
        </w:rPr>
        <w:t>Shiite community in their village, which is located in a Sunni majority area. The complainant and his father have been organi</w:t>
      </w:r>
      <w:r w:rsidR="0024494B">
        <w:rPr>
          <w:lang w:val="en-GB"/>
        </w:rPr>
        <w:t>z</w:t>
      </w:r>
      <w:r w:rsidRPr="005662FF">
        <w:rPr>
          <w:lang w:val="en-GB"/>
        </w:rPr>
        <w:t>ing religious meetings</w:t>
      </w:r>
      <w:r w:rsidR="0024494B">
        <w:rPr>
          <w:lang w:val="en-GB"/>
        </w:rPr>
        <w:t xml:space="preserve"> at which</w:t>
      </w:r>
      <w:r w:rsidRPr="005662FF">
        <w:rPr>
          <w:lang w:val="en-GB"/>
        </w:rPr>
        <w:t xml:space="preserve"> they both preach. As a result, the complainant and </w:t>
      </w:r>
      <w:r w:rsidRPr="005662FF">
        <w:rPr>
          <w:lang w:val="en-GB"/>
        </w:rPr>
        <w:lastRenderedPageBreak/>
        <w:t xml:space="preserve">his family have been continuously targeted by Sunni extremists groups and have received </w:t>
      </w:r>
      <w:r w:rsidR="00543722" w:rsidRPr="005662FF">
        <w:rPr>
          <w:lang w:val="en-GB"/>
        </w:rPr>
        <w:t xml:space="preserve">numerous </w:t>
      </w:r>
      <w:r w:rsidRPr="005662FF">
        <w:rPr>
          <w:lang w:val="en-GB"/>
        </w:rPr>
        <w:t>threats to their life.</w:t>
      </w:r>
    </w:p>
    <w:p w14:paraId="18C3407E" w14:textId="77777777" w:rsidR="004C07A2" w:rsidRPr="005662FF" w:rsidRDefault="004C07A2" w:rsidP="0022269B">
      <w:pPr>
        <w:pStyle w:val="SingleTxtG"/>
      </w:pPr>
      <w:r w:rsidRPr="005662FF">
        <w:rPr>
          <w:lang w:val="en-GB"/>
        </w:rPr>
        <w:t>2.2</w:t>
      </w:r>
      <w:r w:rsidRPr="005662FF">
        <w:rPr>
          <w:lang w:val="en-GB"/>
        </w:rPr>
        <w:tab/>
        <w:t>On 5 January 2010, during a religious Shiite meeting organi</w:t>
      </w:r>
      <w:r w:rsidR="0024494B">
        <w:rPr>
          <w:lang w:val="en-GB"/>
        </w:rPr>
        <w:t>z</w:t>
      </w:r>
      <w:r w:rsidRPr="005662FF">
        <w:rPr>
          <w:lang w:val="en-GB"/>
        </w:rPr>
        <w:t>ed at the complainant’s house, Sunni terrorists</w:t>
      </w:r>
      <w:r w:rsidR="00A92018">
        <w:rPr>
          <w:lang w:val="en-GB"/>
        </w:rPr>
        <w:t>,</w:t>
      </w:r>
      <w:r w:rsidRPr="005662FF">
        <w:rPr>
          <w:lang w:val="en-GB"/>
        </w:rPr>
        <w:t xml:space="preserve"> or </w:t>
      </w:r>
      <w:r w:rsidR="0024494B">
        <w:rPr>
          <w:lang w:val="en-GB"/>
        </w:rPr>
        <w:t>L</w:t>
      </w:r>
      <w:r w:rsidRPr="005662FF">
        <w:rPr>
          <w:lang w:val="en-GB"/>
        </w:rPr>
        <w:t>ashkar-e-T</w:t>
      </w:r>
      <w:r w:rsidR="0024494B">
        <w:rPr>
          <w:lang w:val="en-GB"/>
        </w:rPr>
        <w:t>ai</w:t>
      </w:r>
      <w:r w:rsidRPr="005662FF">
        <w:rPr>
          <w:lang w:val="en-GB"/>
        </w:rPr>
        <w:t>ba</w:t>
      </w:r>
      <w:r w:rsidR="00A92018">
        <w:rPr>
          <w:lang w:val="en-GB"/>
        </w:rPr>
        <w:t>,</w:t>
      </w:r>
      <w:r w:rsidRPr="005662FF">
        <w:rPr>
          <w:lang w:val="en-GB"/>
        </w:rPr>
        <w:t xml:space="preserve"> opened fire </w:t>
      </w:r>
      <w:r w:rsidR="00A92018">
        <w:rPr>
          <w:lang w:val="en-GB"/>
        </w:rPr>
        <w:t>on</w:t>
      </w:r>
      <w:r w:rsidRPr="005662FF">
        <w:rPr>
          <w:lang w:val="en-GB"/>
        </w:rPr>
        <w:t xml:space="preserve"> the people gathered. The complainant was threatened and beaten</w:t>
      </w:r>
      <w:r w:rsidR="0024494B">
        <w:rPr>
          <w:lang w:val="en-GB"/>
        </w:rPr>
        <w:t>,</w:t>
      </w:r>
      <w:r w:rsidRPr="005662FF">
        <w:rPr>
          <w:lang w:val="en-GB"/>
        </w:rPr>
        <w:t xml:space="preserve"> and his cousin was killed during this attack. </w:t>
      </w:r>
      <w:r w:rsidR="008B19B3" w:rsidRPr="0022269B">
        <w:rPr>
          <w:lang w:val="en-GB"/>
        </w:rPr>
        <w:t xml:space="preserve">The complainant alleges that he </w:t>
      </w:r>
      <w:r w:rsidR="00A92018">
        <w:rPr>
          <w:lang w:val="en-GB"/>
        </w:rPr>
        <w:t>was</w:t>
      </w:r>
      <w:r w:rsidR="008B19B3" w:rsidRPr="0022269B">
        <w:rPr>
          <w:lang w:val="en-GB"/>
        </w:rPr>
        <w:t xml:space="preserve"> hospitalized and treated for the following injuries: (</w:t>
      </w:r>
      <w:r w:rsidR="000C0EFA">
        <w:rPr>
          <w:lang w:val="en-GB"/>
        </w:rPr>
        <w:t>a</w:t>
      </w:r>
      <w:r w:rsidR="008B19B3" w:rsidRPr="0022269B">
        <w:rPr>
          <w:lang w:val="en-GB"/>
        </w:rPr>
        <w:t xml:space="preserve">) injuries </w:t>
      </w:r>
      <w:r w:rsidR="001D0214">
        <w:rPr>
          <w:lang w:val="en-GB"/>
        </w:rPr>
        <w:t xml:space="preserve">to </w:t>
      </w:r>
      <w:r w:rsidR="008B19B3" w:rsidRPr="0022269B">
        <w:rPr>
          <w:lang w:val="en-GB"/>
        </w:rPr>
        <w:t>and fracture o</w:t>
      </w:r>
      <w:r w:rsidR="000C0EFA">
        <w:rPr>
          <w:lang w:val="en-GB"/>
        </w:rPr>
        <w:t>f</w:t>
      </w:r>
      <w:r w:rsidR="008B19B3" w:rsidRPr="0022269B">
        <w:rPr>
          <w:lang w:val="en-GB"/>
        </w:rPr>
        <w:t xml:space="preserve"> the right elbow; (</w:t>
      </w:r>
      <w:r w:rsidR="000C0EFA">
        <w:rPr>
          <w:lang w:val="en-GB"/>
        </w:rPr>
        <w:t>b</w:t>
      </w:r>
      <w:r w:rsidR="008B19B3" w:rsidRPr="0022269B">
        <w:rPr>
          <w:lang w:val="en-GB"/>
        </w:rPr>
        <w:t xml:space="preserve">) injuries </w:t>
      </w:r>
      <w:r w:rsidR="000C0EFA">
        <w:rPr>
          <w:lang w:val="en-GB"/>
        </w:rPr>
        <w:t>to</w:t>
      </w:r>
      <w:r w:rsidR="008B19B3" w:rsidRPr="0022269B">
        <w:rPr>
          <w:lang w:val="en-GB"/>
        </w:rPr>
        <w:t xml:space="preserve"> the right side of the face; (</w:t>
      </w:r>
      <w:r w:rsidR="000C0EFA">
        <w:rPr>
          <w:lang w:val="en-GB"/>
        </w:rPr>
        <w:t>c</w:t>
      </w:r>
      <w:r w:rsidR="008B19B3" w:rsidRPr="0022269B">
        <w:rPr>
          <w:lang w:val="en-GB"/>
        </w:rPr>
        <w:t xml:space="preserve">) injuries </w:t>
      </w:r>
      <w:r w:rsidR="000C0EFA">
        <w:rPr>
          <w:lang w:val="en-GB"/>
        </w:rPr>
        <w:t>to</w:t>
      </w:r>
      <w:r w:rsidR="008B19B3" w:rsidRPr="0022269B">
        <w:rPr>
          <w:lang w:val="en-GB"/>
        </w:rPr>
        <w:t xml:space="preserve"> the back side of his head; (</w:t>
      </w:r>
      <w:r w:rsidR="000C0EFA">
        <w:rPr>
          <w:lang w:val="en-GB"/>
        </w:rPr>
        <w:t>d</w:t>
      </w:r>
      <w:r w:rsidR="008B19B3" w:rsidRPr="0022269B">
        <w:rPr>
          <w:lang w:val="en-GB"/>
        </w:rPr>
        <w:t>)</w:t>
      </w:r>
      <w:r w:rsidR="00E72A78">
        <w:rPr>
          <w:lang w:val="en-GB"/>
        </w:rPr>
        <w:t xml:space="preserve"> a</w:t>
      </w:r>
      <w:r w:rsidR="008B19B3" w:rsidRPr="0022269B">
        <w:rPr>
          <w:lang w:val="en-GB"/>
        </w:rPr>
        <w:t xml:space="preserve"> burn</w:t>
      </w:r>
      <w:r w:rsidR="000C0EFA">
        <w:rPr>
          <w:lang w:val="en-GB"/>
        </w:rPr>
        <w:t xml:space="preserve"> to</w:t>
      </w:r>
      <w:r w:rsidR="008B19B3" w:rsidRPr="0022269B">
        <w:rPr>
          <w:lang w:val="en-GB"/>
        </w:rPr>
        <w:t xml:space="preserve"> the left arm and hand; and (</w:t>
      </w:r>
      <w:r w:rsidR="000C0EFA">
        <w:rPr>
          <w:lang w:val="en-GB"/>
        </w:rPr>
        <w:t>e</w:t>
      </w:r>
      <w:r w:rsidR="008B19B3" w:rsidRPr="0022269B">
        <w:rPr>
          <w:lang w:val="en-GB"/>
        </w:rPr>
        <w:t xml:space="preserve">) other injuries </w:t>
      </w:r>
      <w:r w:rsidR="000C0EFA">
        <w:rPr>
          <w:lang w:val="en-GB"/>
        </w:rPr>
        <w:t>to</w:t>
      </w:r>
      <w:r w:rsidR="008B19B3" w:rsidRPr="0022269B">
        <w:rPr>
          <w:lang w:val="en-GB"/>
        </w:rPr>
        <w:t xml:space="preserve"> his body. </w:t>
      </w:r>
      <w:r w:rsidRPr="005662FF">
        <w:rPr>
          <w:lang w:val="en-GB"/>
        </w:rPr>
        <w:t>The incident was reported to the police, but no action was taken. On 12 February 2010, the Sunni terrorist organi</w:t>
      </w:r>
      <w:r w:rsidR="000C0EFA">
        <w:rPr>
          <w:lang w:val="en-GB"/>
        </w:rPr>
        <w:t>z</w:t>
      </w:r>
      <w:r w:rsidRPr="005662FF">
        <w:rPr>
          <w:lang w:val="en-GB"/>
        </w:rPr>
        <w:t xml:space="preserve">ation Lashkar-e-Taiba issued a </w:t>
      </w:r>
      <w:r w:rsidR="000C0EFA">
        <w:rPr>
          <w:lang w:val="en-GB"/>
        </w:rPr>
        <w:t>f</w:t>
      </w:r>
      <w:r w:rsidRPr="005662FF">
        <w:rPr>
          <w:lang w:val="en-GB"/>
        </w:rPr>
        <w:t xml:space="preserve">atwa (death decree) against the complainant’s family, as members of the Shia sect of Islam, for blaspheming the prophet of Islam. </w:t>
      </w:r>
      <w:r w:rsidR="00F832CE" w:rsidRPr="0022269B">
        <w:rPr>
          <w:lang w:val="en-GB"/>
        </w:rPr>
        <w:t xml:space="preserve">The complainant alleges that blaspheming the </w:t>
      </w:r>
      <w:r w:rsidR="000C0EFA">
        <w:rPr>
          <w:lang w:val="en-GB"/>
        </w:rPr>
        <w:t>p</w:t>
      </w:r>
      <w:r w:rsidR="00F832CE" w:rsidRPr="0022269B">
        <w:rPr>
          <w:lang w:val="en-GB"/>
        </w:rPr>
        <w:t>rophet of Islam is an offence punishable by death under sections 259 B and 259 C of the Penal Code</w:t>
      </w:r>
      <w:r w:rsidR="00A92018">
        <w:rPr>
          <w:lang w:val="en-GB"/>
        </w:rPr>
        <w:t>. He</w:t>
      </w:r>
      <w:r w:rsidR="00F832CE" w:rsidRPr="0022269B">
        <w:rPr>
          <w:lang w:val="en-GB"/>
        </w:rPr>
        <w:t xml:space="preserve"> submits that most Sunni clerics support killings of “infidels” such as himself and reiterates that Sunni extremists will kill him for that offence.</w:t>
      </w:r>
    </w:p>
    <w:p w14:paraId="158DCE0F" w14:textId="77777777" w:rsidR="004C07A2" w:rsidRPr="005662FF" w:rsidRDefault="004C07A2" w:rsidP="0022269B">
      <w:pPr>
        <w:pStyle w:val="SingleTxtG"/>
      </w:pPr>
      <w:r w:rsidRPr="005662FF">
        <w:rPr>
          <w:lang w:val="en-GB"/>
        </w:rPr>
        <w:t>2.3</w:t>
      </w:r>
      <w:r w:rsidRPr="005662FF">
        <w:rPr>
          <w:lang w:val="en-GB"/>
        </w:rPr>
        <w:tab/>
        <w:t xml:space="preserve">In May 2010, the complainant left Pakistan </w:t>
      </w:r>
      <w:r w:rsidR="000C0EFA">
        <w:rPr>
          <w:lang w:val="en-GB"/>
        </w:rPr>
        <w:t>for</w:t>
      </w:r>
      <w:r w:rsidRPr="005662FF">
        <w:rPr>
          <w:lang w:val="en-GB"/>
        </w:rPr>
        <w:t xml:space="preserve"> England</w:t>
      </w:r>
      <w:r w:rsidR="000C0EFA">
        <w:rPr>
          <w:lang w:val="en-GB"/>
        </w:rPr>
        <w:t>,</w:t>
      </w:r>
      <w:r w:rsidRPr="005662FF">
        <w:rPr>
          <w:lang w:val="en-GB"/>
        </w:rPr>
        <w:t xml:space="preserve"> fear</w:t>
      </w:r>
      <w:r w:rsidR="000C0EFA">
        <w:rPr>
          <w:lang w:val="en-GB"/>
        </w:rPr>
        <w:t>ing</w:t>
      </w:r>
      <w:r w:rsidRPr="005662FF">
        <w:rPr>
          <w:lang w:val="en-GB"/>
        </w:rPr>
        <w:t xml:space="preserve"> for his life. He did not file an application to seek refugee status, </w:t>
      </w:r>
      <w:r w:rsidR="00AE5A5E" w:rsidRPr="005662FF">
        <w:rPr>
          <w:lang w:val="en-GB"/>
        </w:rPr>
        <w:t>because</w:t>
      </w:r>
      <w:r w:rsidRPr="005662FF">
        <w:rPr>
          <w:lang w:val="en-GB"/>
        </w:rPr>
        <w:t xml:space="preserve"> he was </w:t>
      </w:r>
      <w:r w:rsidR="00AE5A5E" w:rsidRPr="005662FF">
        <w:rPr>
          <w:lang w:val="en-GB"/>
        </w:rPr>
        <w:t>informed</w:t>
      </w:r>
      <w:r w:rsidRPr="005662FF">
        <w:rPr>
          <w:lang w:val="en-GB"/>
        </w:rPr>
        <w:t xml:space="preserve"> by persons in his community that he could not seek such protection due</w:t>
      </w:r>
      <w:r w:rsidR="00A92018">
        <w:rPr>
          <w:lang w:val="en-GB"/>
        </w:rPr>
        <w:t xml:space="preserve"> to</w:t>
      </w:r>
      <w:r w:rsidRPr="005662FF">
        <w:rPr>
          <w:lang w:val="en-GB"/>
        </w:rPr>
        <w:t xml:space="preserve"> his status</w:t>
      </w:r>
      <w:r w:rsidR="000C0EFA">
        <w:rPr>
          <w:lang w:val="en-GB"/>
        </w:rPr>
        <w:t xml:space="preserve"> as a visitor</w:t>
      </w:r>
      <w:r w:rsidRPr="005662FF">
        <w:rPr>
          <w:lang w:val="en-GB"/>
        </w:rPr>
        <w:t>. He remained in England illegally and returned to Pakistan on 20 July 2012, hoping that the situation had improved. However, on 26 July 2012, the complainant’s home was attacked again</w:t>
      </w:r>
      <w:r w:rsidR="00AE5A5E" w:rsidRPr="005662FF">
        <w:rPr>
          <w:lang w:val="en-GB"/>
        </w:rPr>
        <w:t xml:space="preserve"> </w:t>
      </w:r>
      <w:r w:rsidRPr="005662FF">
        <w:rPr>
          <w:lang w:val="en-GB"/>
        </w:rPr>
        <w:t>by Sunni extremists and terrorist groups. The complainant alleges that the attack occurred as soon as the groups became aware of his return from England. The complainant was not present during the attack and members of his family were not injured. The incident was reported to the police, but no prosecution or investigation took place.</w:t>
      </w:r>
    </w:p>
    <w:p w14:paraId="7C26D655" w14:textId="77777777" w:rsidR="004C07A2" w:rsidRPr="005662FF" w:rsidRDefault="004C07A2" w:rsidP="0022269B">
      <w:pPr>
        <w:pStyle w:val="SingleTxtG"/>
      </w:pPr>
      <w:r w:rsidRPr="005662FF">
        <w:rPr>
          <w:lang w:val="en-GB"/>
        </w:rPr>
        <w:t>2.4</w:t>
      </w:r>
      <w:r w:rsidRPr="005662FF">
        <w:rPr>
          <w:lang w:val="en-GB"/>
        </w:rPr>
        <w:tab/>
      </w:r>
      <w:r w:rsidR="0099194F" w:rsidRPr="005662FF">
        <w:rPr>
          <w:lang w:val="en-GB"/>
        </w:rPr>
        <w:t>Following the above incident</w:t>
      </w:r>
      <w:r w:rsidRPr="005662FF">
        <w:rPr>
          <w:lang w:val="en-GB"/>
        </w:rPr>
        <w:t>, the complainant’s father arranged his travel back to England, where the complainant returned on 28 July 2012</w:t>
      </w:r>
      <w:r w:rsidR="000C0EFA">
        <w:rPr>
          <w:lang w:val="en-GB"/>
        </w:rPr>
        <w:t>,</w:t>
      </w:r>
      <w:r w:rsidRPr="005662FF">
        <w:rPr>
          <w:lang w:val="en-GB"/>
        </w:rPr>
        <w:t xml:space="preserve"> and where he remained until his arrival in Canada, in March 2013. The complainant </w:t>
      </w:r>
      <w:r w:rsidR="00AE5A5E" w:rsidRPr="005662FF">
        <w:rPr>
          <w:lang w:val="en-GB"/>
        </w:rPr>
        <w:t>submits</w:t>
      </w:r>
      <w:r w:rsidRPr="005662FF">
        <w:rPr>
          <w:lang w:val="en-GB"/>
        </w:rPr>
        <w:t xml:space="preserve"> that he did not file any claim for refugee protection during his second stay in England because he had been misguided by persons from </w:t>
      </w:r>
      <w:r w:rsidR="00B0267D" w:rsidRPr="005662FF">
        <w:rPr>
          <w:lang w:val="en-GB"/>
        </w:rPr>
        <w:t xml:space="preserve">his </w:t>
      </w:r>
      <w:r w:rsidRPr="005662FF">
        <w:rPr>
          <w:lang w:val="en-GB"/>
        </w:rPr>
        <w:t xml:space="preserve">community, who told him that his claim would not succeed in England, that he would be sent back to Pakistan and that only Canada gives a </w:t>
      </w:r>
      <w:r w:rsidR="00AD5507">
        <w:rPr>
          <w:lang w:val="en-GB"/>
        </w:rPr>
        <w:t>“</w:t>
      </w:r>
      <w:r w:rsidRPr="005662FF">
        <w:rPr>
          <w:lang w:val="en-GB"/>
        </w:rPr>
        <w:t>fair opportunity</w:t>
      </w:r>
      <w:r w:rsidR="00AD5507">
        <w:rPr>
          <w:lang w:val="en-GB"/>
        </w:rPr>
        <w:t>”</w:t>
      </w:r>
      <w:r w:rsidRPr="005662FF">
        <w:rPr>
          <w:lang w:val="en-GB"/>
        </w:rPr>
        <w:t xml:space="preserve"> to refugee claimants.</w:t>
      </w:r>
    </w:p>
    <w:p w14:paraId="78F9869E" w14:textId="77777777" w:rsidR="004C07A2" w:rsidRPr="005662FF" w:rsidRDefault="004C07A2" w:rsidP="0022269B">
      <w:pPr>
        <w:pStyle w:val="SingleTxtG"/>
      </w:pPr>
      <w:r w:rsidRPr="005662FF">
        <w:rPr>
          <w:lang w:val="en-GB"/>
        </w:rPr>
        <w:t>2.5</w:t>
      </w:r>
      <w:r w:rsidRPr="005662FF">
        <w:rPr>
          <w:lang w:val="en-GB"/>
        </w:rPr>
        <w:tab/>
        <w:t>The complainant arrived in Canada on 4 March 2013</w:t>
      </w:r>
      <w:r w:rsidR="00AE5A5E" w:rsidRPr="005662FF">
        <w:rPr>
          <w:lang w:val="en-GB"/>
        </w:rPr>
        <w:t>. On the same day he</w:t>
      </w:r>
      <w:r w:rsidRPr="005662FF">
        <w:rPr>
          <w:lang w:val="en-GB"/>
        </w:rPr>
        <w:t xml:space="preserve"> sought </w:t>
      </w:r>
      <w:r w:rsidR="005662FF">
        <w:rPr>
          <w:lang w:val="en-GB"/>
        </w:rPr>
        <w:t>“</w:t>
      </w:r>
      <w:r w:rsidRPr="005662FF">
        <w:rPr>
          <w:lang w:val="en-GB"/>
        </w:rPr>
        <w:t>refugee protection</w:t>
      </w:r>
      <w:r w:rsidR="005662FF">
        <w:rPr>
          <w:lang w:val="en-GB"/>
        </w:rPr>
        <w:t>”</w:t>
      </w:r>
      <w:r w:rsidRPr="005662FF">
        <w:rPr>
          <w:lang w:val="en-GB"/>
        </w:rPr>
        <w:t xml:space="preserve"> (asylum) at the </w:t>
      </w:r>
      <w:r w:rsidR="00A92018">
        <w:rPr>
          <w:lang w:val="en-GB"/>
        </w:rPr>
        <w:t xml:space="preserve">international </w:t>
      </w:r>
      <w:r w:rsidRPr="005662FF">
        <w:rPr>
          <w:lang w:val="en-GB"/>
        </w:rPr>
        <w:t>airport</w:t>
      </w:r>
      <w:r w:rsidR="00A92018">
        <w:rPr>
          <w:lang w:val="en-GB"/>
        </w:rPr>
        <w:t xml:space="preserve"> in Montreal</w:t>
      </w:r>
      <w:r w:rsidRPr="005662FF">
        <w:rPr>
          <w:lang w:val="en-GB"/>
        </w:rPr>
        <w:t xml:space="preserve">. The Refugee Protection Division rejected his application </w:t>
      </w:r>
      <w:r w:rsidR="00A92018">
        <w:rPr>
          <w:lang w:val="en-GB"/>
        </w:rPr>
        <w:t>in</w:t>
      </w:r>
      <w:r w:rsidRPr="005662FF">
        <w:rPr>
          <w:lang w:val="en-GB"/>
        </w:rPr>
        <w:t xml:space="preserve"> </w:t>
      </w:r>
      <w:r w:rsidR="000C0EFA">
        <w:rPr>
          <w:lang w:val="en-GB"/>
        </w:rPr>
        <w:t xml:space="preserve">a </w:t>
      </w:r>
      <w:r w:rsidRPr="005662FF">
        <w:rPr>
          <w:lang w:val="en-GB"/>
        </w:rPr>
        <w:t xml:space="preserve">decision dated 21 June 2013. The complainant appealed the aforementioned decision before the Refugee Appeal Division, which upheld the decision on 18 October 2013. Thereafter, he applied to the Federal Court of Canada for leave to seek judicial review of the decision issued by the Appeal Division. His request was dismissed on 14 February 2014. The complainant </w:t>
      </w:r>
      <w:r w:rsidR="00AE5A5E" w:rsidRPr="005662FF">
        <w:rPr>
          <w:lang w:val="en-GB"/>
        </w:rPr>
        <w:t>submitted</w:t>
      </w:r>
      <w:r w:rsidRPr="005662FF">
        <w:rPr>
          <w:lang w:val="en-GB"/>
        </w:rPr>
        <w:t xml:space="preserve"> that no other remedy </w:t>
      </w:r>
      <w:r w:rsidR="00AE5A5E" w:rsidRPr="005662FF">
        <w:rPr>
          <w:lang w:val="en-GB"/>
        </w:rPr>
        <w:t xml:space="preserve">was </w:t>
      </w:r>
      <w:r w:rsidRPr="005662FF">
        <w:rPr>
          <w:lang w:val="en-GB"/>
        </w:rPr>
        <w:t>availa</w:t>
      </w:r>
      <w:r w:rsidR="00AE5A5E" w:rsidRPr="005662FF">
        <w:rPr>
          <w:lang w:val="en-GB"/>
        </w:rPr>
        <w:t xml:space="preserve">ble to him in the State party, as application for a </w:t>
      </w:r>
      <w:r w:rsidRPr="005662FF">
        <w:rPr>
          <w:lang w:val="en-GB"/>
        </w:rPr>
        <w:t>“</w:t>
      </w:r>
      <w:r w:rsidR="00722210">
        <w:rPr>
          <w:lang w:val="en-GB"/>
        </w:rPr>
        <w:t>p</w:t>
      </w:r>
      <w:r w:rsidRPr="005662FF">
        <w:rPr>
          <w:lang w:val="en-GB"/>
        </w:rPr>
        <w:t>re</w:t>
      </w:r>
      <w:r w:rsidR="00A92018">
        <w:rPr>
          <w:lang w:val="en-GB"/>
        </w:rPr>
        <w:t>-</w:t>
      </w:r>
      <w:r w:rsidR="00722210">
        <w:rPr>
          <w:lang w:val="en-GB"/>
        </w:rPr>
        <w:t>r</w:t>
      </w:r>
      <w:r w:rsidRPr="005662FF">
        <w:rPr>
          <w:lang w:val="en-GB"/>
        </w:rPr>
        <w:t xml:space="preserve">emoval </w:t>
      </w:r>
      <w:r w:rsidR="00722210">
        <w:rPr>
          <w:lang w:val="en-GB"/>
        </w:rPr>
        <w:t>r</w:t>
      </w:r>
      <w:r w:rsidRPr="005662FF">
        <w:rPr>
          <w:lang w:val="en-GB"/>
        </w:rPr>
        <w:t xml:space="preserve">isk </w:t>
      </w:r>
      <w:r w:rsidR="00722210">
        <w:rPr>
          <w:lang w:val="en-GB"/>
        </w:rPr>
        <w:t>a</w:t>
      </w:r>
      <w:r w:rsidRPr="005662FF">
        <w:rPr>
          <w:lang w:val="en-GB"/>
        </w:rPr>
        <w:t xml:space="preserve">ssessment” </w:t>
      </w:r>
      <w:r w:rsidR="00AE5A5E" w:rsidRPr="005662FF">
        <w:rPr>
          <w:lang w:val="en-GB"/>
        </w:rPr>
        <w:t xml:space="preserve">may only be filed </w:t>
      </w:r>
      <w:r w:rsidRPr="005662FF">
        <w:rPr>
          <w:lang w:val="en-GB"/>
        </w:rPr>
        <w:t>one</w:t>
      </w:r>
      <w:r w:rsidR="00AE5A5E" w:rsidRPr="005662FF">
        <w:rPr>
          <w:lang w:val="en-GB"/>
        </w:rPr>
        <w:t xml:space="preserve"> </w:t>
      </w:r>
      <w:r w:rsidRPr="005662FF">
        <w:rPr>
          <w:lang w:val="en-GB"/>
        </w:rPr>
        <w:t>year</w:t>
      </w:r>
      <w:r w:rsidR="00AE5A5E" w:rsidRPr="005662FF">
        <w:rPr>
          <w:lang w:val="en-GB"/>
        </w:rPr>
        <w:t xml:space="preserve"> after</w:t>
      </w:r>
      <w:r w:rsidRPr="005662FF">
        <w:rPr>
          <w:lang w:val="en-GB"/>
        </w:rPr>
        <w:t xml:space="preserve"> the refusal of his refugee application. </w:t>
      </w:r>
      <w:r w:rsidR="00A13375" w:rsidRPr="005662FF">
        <w:rPr>
          <w:lang w:val="en-GB"/>
        </w:rPr>
        <w:t xml:space="preserve">The complainant claims that he has exhausted </w:t>
      </w:r>
      <w:r w:rsidR="00A92018">
        <w:rPr>
          <w:lang w:val="en-GB"/>
        </w:rPr>
        <w:t xml:space="preserve">all </w:t>
      </w:r>
      <w:r w:rsidR="00A13375" w:rsidRPr="005662FF">
        <w:rPr>
          <w:lang w:val="en-GB"/>
        </w:rPr>
        <w:t xml:space="preserve">domestic remedies in Canada </w:t>
      </w:r>
      <w:r w:rsidR="00A92018">
        <w:rPr>
          <w:lang w:val="en-GB"/>
        </w:rPr>
        <w:t>after the</w:t>
      </w:r>
      <w:r w:rsidR="00A13375" w:rsidRPr="005662FF">
        <w:rPr>
          <w:lang w:val="en-GB"/>
        </w:rPr>
        <w:t xml:space="preserve"> decision </w:t>
      </w:r>
      <w:r w:rsidR="00A92018">
        <w:rPr>
          <w:lang w:val="en-GB"/>
        </w:rPr>
        <w:t>of</w:t>
      </w:r>
      <w:r w:rsidR="00A13375" w:rsidRPr="005662FF">
        <w:rPr>
          <w:lang w:val="en-GB"/>
        </w:rPr>
        <w:t xml:space="preserve"> the Refugee Appeal Division on 18 October 2013 and considers that the Appeal Division relied on erroneous findings, without giving proper weight to the evidence before it.</w:t>
      </w:r>
    </w:p>
    <w:p w14:paraId="17AE5276" w14:textId="77777777" w:rsidR="004C07A2" w:rsidRPr="005662FF" w:rsidRDefault="005662FF" w:rsidP="0022269B">
      <w:pPr>
        <w:pStyle w:val="H23G"/>
      </w:pPr>
      <w:r w:rsidRPr="005662FF">
        <w:rPr>
          <w:bCs/>
        </w:rPr>
        <w:tab/>
      </w:r>
      <w:r w:rsidRPr="005662FF">
        <w:rPr>
          <w:bCs/>
        </w:rPr>
        <w:tab/>
      </w:r>
      <w:r w:rsidR="004C07A2" w:rsidRPr="005662FF">
        <w:t>The complaint</w:t>
      </w:r>
    </w:p>
    <w:p w14:paraId="159E4479" w14:textId="77777777" w:rsidR="004C07A2" w:rsidRPr="005662FF" w:rsidRDefault="004C07A2" w:rsidP="0022269B">
      <w:pPr>
        <w:pStyle w:val="SingleTxtG"/>
      </w:pPr>
      <w:r w:rsidRPr="005662FF">
        <w:rPr>
          <w:lang w:val="en-GB"/>
        </w:rPr>
        <w:t>3.1</w:t>
      </w:r>
      <w:r w:rsidRPr="005662FF">
        <w:rPr>
          <w:lang w:val="en-GB"/>
        </w:rPr>
        <w:tab/>
        <w:t xml:space="preserve">The complainant submits </w:t>
      </w:r>
      <w:r w:rsidR="00B0267D" w:rsidRPr="005662FF">
        <w:rPr>
          <w:lang w:val="en-GB"/>
        </w:rPr>
        <w:t xml:space="preserve">that </w:t>
      </w:r>
      <w:r w:rsidR="00A13375" w:rsidRPr="005662FF">
        <w:rPr>
          <w:lang w:val="en-GB"/>
        </w:rPr>
        <w:t>his</w:t>
      </w:r>
      <w:r w:rsidRPr="005662FF">
        <w:rPr>
          <w:lang w:val="en-GB"/>
        </w:rPr>
        <w:t xml:space="preserve"> forcibl</w:t>
      </w:r>
      <w:r w:rsidR="00A13375" w:rsidRPr="005662FF">
        <w:rPr>
          <w:lang w:val="en-GB"/>
        </w:rPr>
        <w:t>e</w:t>
      </w:r>
      <w:r w:rsidRPr="005662FF">
        <w:rPr>
          <w:lang w:val="en-GB"/>
        </w:rPr>
        <w:t xml:space="preserve"> return to Pakistan</w:t>
      </w:r>
      <w:r w:rsidR="00A13375" w:rsidRPr="005662FF">
        <w:rPr>
          <w:lang w:val="en-GB"/>
        </w:rPr>
        <w:t xml:space="preserve"> by the State party</w:t>
      </w:r>
      <w:r w:rsidRPr="005662FF">
        <w:rPr>
          <w:lang w:val="en-GB"/>
        </w:rPr>
        <w:t xml:space="preserve"> would </w:t>
      </w:r>
      <w:r w:rsidR="00A13375" w:rsidRPr="005662FF">
        <w:rPr>
          <w:lang w:val="en-GB"/>
        </w:rPr>
        <w:t xml:space="preserve">expose him to </w:t>
      </w:r>
      <w:r w:rsidR="00722210">
        <w:rPr>
          <w:lang w:val="en-GB"/>
        </w:rPr>
        <w:t xml:space="preserve">the </w:t>
      </w:r>
      <w:r w:rsidR="00A13375" w:rsidRPr="005662FF">
        <w:rPr>
          <w:lang w:val="en-GB"/>
        </w:rPr>
        <w:t xml:space="preserve">danger of torture as defined in article 1 of the Convention and be contrary to </w:t>
      </w:r>
      <w:r w:rsidRPr="005662FF">
        <w:rPr>
          <w:lang w:val="en-GB"/>
        </w:rPr>
        <w:t xml:space="preserve">article 3 of the Convention. </w:t>
      </w:r>
      <w:r w:rsidR="00A13375" w:rsidRPr="005662FF">
        <w:rPr>
          <w:lang w:val="en-GB"/>
        </w:rPr>
        <w:t>To this end, he attaches to his complaint an affidavit signed by his parents</w:t>
      </w:r>
      <w:r w:rsidR="00A92018">
        <w:rPr>
          <w:lang w:val="en-GB"/>
        </w:rPr>
        <w:t>,</w:t>
      </w:r>
      <w:r w:rsidR="00A13375" w:rsidRPr="005662FF">
        <w:rPr>
          <w:lang w:val="en-GB"/>
        </w:rPr>
        <w:t xml:space="preserve"> in which they explain that they sometimes need to live in different places in Pakistan to escape the Sunni groups which are still trying to locate their son. The </w:t>
      </w:r>
      <w:r w:rsidR="00A13375" w:rsidRPr="005662FF">
        <w:rPr>
          <w:lang w:val="en-GB"/>
        </w:rPr>
        <w:lastRenderedPageBreak/>
        <w:t>complainant also asserts that he has continuously been receiving information from his family in Pakistan</w:t>
      </w:r>
      <w:r w:rsidR="00B304F2">
        <w:rPr>
          <w:lang w:val="en-GB"/>
        </w:rPr>
        <w:t>,</w:t>
      </w:r>
      <w:r w:rsidR="00A13375" w:rsidRPr="005662FF">
        <w:rPr>
          <w:lang w:val="en-GB"/>
        </w:rPr>
        <w:t xml:space="preserve"> by way of affidavits</w:t>
      </w:r>
      <w:r w:rsidR="00B304F2">
        <w:rPr>
          <w:lang w:val="en-GB"/>
        </w:rPr>
        <w:t>,</w:t>
      </w:r>
      <w:r w:rsidR="00A13375" w:rsidRPr="005662FF">
        <w:rPr>
          <w:lang w:val="en-GB"/>
        </w:rPr>
        <w:t xml:space="preserve"> advising him not to return, as Sunni extremist groups are still targeting and threatening his family and searching for him.</w:t>
      </w:r>
    </w:p>
    <w:p w14:paraId="73B593FF" w14:textId="77777777" w:rsidR="0099194F" w:rsidRPr="005662FF" w:rsidRDefault="004C07A2" w:rsidP="0022269B">
      <w:pPr>
        <w:pStyle w:val="SingleTxtG"/>
      </w:pPr>
      <w:r w:rsidRPr="005662FF">
        <w:rPr>
          <w:lang w:val="en-GB"/>
        </w:rPr>
        <w:t>3.</w:t>
      </w:r>
      <w:r w:rsidR="00A13375" w:rsidRPr="005662FF">
        <w:rPr>
          <w:lang w:val="en-GB"/>
        </w:rPr>
        <w:t>2</w:t>
      </w:r>
      <w:r w:rsidRPr="005662FF">
        <w:rPr>
          <w:lang w:val="en-GB"/>
        </w:rPr>
        <w:tab/>
      </w:r>
      <w:r w:rsidR="0099194F" w:rsidRPr="005662FF">
        <w:rPr>
          <w:lang w:val="en-GB"/>
        </w:rPr>
        <w:t xml:space="preserve">Regarding the general human rights situation in Pakistan, the complainant submits that </w:t>
      </w:r>
      <w:r w:rsidR="002B1CDC" w:rsidRPr="005662FF">
        <w:rPr>
          <w:lang w:val="en-GB"/>
        </w:rPr>
        <w:t xml:space="preserve">the feud between Shia and Sunni and sectarian violence cost thousands of lives every year; that religious minorities are being killed, converted and tortured by </w:t>
      </w:r>
      <w:r w:rsidR="00722210">
        <w:rPr>
          <w:lang w:val="en-GB"/>
        </w:rPr>
        <w:t xml:space="preserve">the </w:t>
      </w:r>
      <w:r w:rsidR="002B1CDC" w:rsidRPr="005662FF">
        <w:rPr>
          <w:lang w:val="en-GB"/>
        </w:rPr>
        <w:t xml:space="preserve">“hardliner Sunni </w:t>
      </w:r>
      <w:r w:rsidR="00722210">
        <w:rPr>
          <w:lang w:val="en-GB"/>
        </w:rPr>
        <w:t>s</w:t>
      </w:r>
      <w:r w:rsidR="002B1CDC" w:rsidRPr="005662FF">
        <w:rPr>
          <w:lang w:val="en-GB"/>
        </w:rPr>
        <w:t>ect of Islam”; that 80</w:t>
      </w:r>
      <w:r w:rsidR="00722210">
        <w:rPr>
          <w:lang w:val="en-GB"/>
        </w:rPr>
        <w:t xml:space="preserve"> per cent</w:t>
      </w:r>
      <w:r w:rsidR="002B1CDC" w:rsidRPr="005662FF">
        <w:rPr>
          <w:lang w:val="en-GB"/>
        </w:rPr>
        <w:t xml:space="preserve"> of the population are followers of the Sunni sect; that every year</w:t>
      </w:r>
      <w:r w:rsidR="00A92018">
        <w:rPr>
          <w:lang w:val="en-GB"/>
        </w:rPr>
        <w:t>,</w:t>
      </w:r>
      <w:r w:rsidR="002B1CDC" w:rsidRPr="005662FF">
        <w:rPr>
          <w:lang w:val="en-GB"/>
        </w:rPr>
        <w:t xml:space="preserve"> hundreds of Shia and their mosques are targeted by suicide bombers and gunmen </w:t>
      </w:r>
      <w:r w:rsidR="00722210">
        <w:rPr>
          <w:lang w:val="en-GB"/>
        </w:rPr>
        <w:t>from</w:t>
      </w:r>
      <w:r w:rsidR="002B1CDC" w:rsidRPr="005662FF">
        <w:rPr>
          <w:lang w:val="en-GB"/>
        </w:rPr>
        <w:t xml:space="preserve"> “radical Islamic terrorist organi</w:t>
      </w:r>
      <w:r w:rsidR="00722210">
        <w:rPr>
          <w:lang w:val="en-GB"/>
        </w:rPr>
        <w:t>z</w:t>
      </w:r>
      <w:r w:rsidR="002B1CDC" w:rsidRPr="005662FF">
        <w:rPr>
          <w:lang w:val="en-GB"/>
        </w:rPr>
        <w:t>ation</w:t>
      </w:r>
      <w:r w:rsidR="00722210">
        <w:rPr>
          <w:lang w:val="en-GB"/>
        </w:rPr>
        <w:t>s</w:t>
      </w:r>
      <w:r w:rsidR="002B1CDC" w:rsidRPr="005662FF">
        <w:rPr>
          <w:lang w:val="en-GB"/>
        </w:rPr>
        <w:t xml:space="preserve"> of the Sunni”; that</w:t>
      </w:r>
      <w:r w:rsidR="00722210">
        <w:rPr>
          <w:lang w:val="en-GB"/>
        </w:rPr>
        <w:t xml:space="preserve"> the</w:t>
      </w:r>
      <w:r w:rsidR="002B1CDC" w:rsidRPr="005662FF">
        <w:rPr>
          <w:lang w:val="en-GB"/>
        </w:rPr>
        <w:t xml:space="preserve"> basic religious freedoms and human rights of religious minorities are violated</w:t>
      </w:r>
      <w:r w:rsidR="00722210">
        <w:rPr>
          <w:lang w:val="en-GB"/>
        </w:rPr>
        <w:t>;</w:t>
      </w:r>
      <w:r w:rsidR="002B1CDC" w:rsidRPr="005662FF">
        <w:rPr>
          <w:lang w:val="en-GB"/>
        </w:rPr>
        <w:t xml:space="preserve"> and that the </w:t>
      </w:r>
      <w:r w:rsidR="00722210">
        <w:rPr>
          <w:lang w:val="en-GB"/>
        </w:rPr>
        <w:t>G</w:t>
      </w:r>
      <w:r w:rsidR="002B1CDC" w:rsidRPr="005662FF">
        <w:rPr>
          <w:lang w:val="en-GB"/>
        </w:rPr>
        <w:t>overnment fails to protect them.</w:t>
      </w:r>
    </w:p>
    <w:p w14:paraId="17FB86C4" w14:textId="77777777" w:rsidR="004C07A2" w:rsidRPr="005662FF" w:rsidRDefault="0099194F" w:rsidP="0022269B">
      <w:pPr>
        <w:pStyle w:val="SingleTxtG"/>
      </w:pPr>
      <w:r w:rsidRPr="005662FF">
        <w:rPr>
          <w:lang w:val="en-GB"/>
        </w:rPr>
        <w:t>3.3</w:t>
      </w:r>
      <w:r w:rsidRPr="005662FF">
        <w:rPr>
          <w:lang w:val="en-GB"/>
        </w:rPr>
        <w:tab/>
      </w:r>
      <w:r w:rsidR="004C07A2" w:rsidRPr="005662FF">
        <w:rPr>
          <w:lang w:val="en-GB"/>
        </w:rPr>
        <w:t xml:space="preserve">The complainant further submits that </w:t>
      </w:r>
      <w:r w:rsidR="00722210">
        <w:rPr>
          <w:lang w:val="en-GB"/>
        </w:rPr>
        <w:t xml:space="preserve">those denied refugee status and </w:t>
      </w:r>
      <w:r w:rsidR="004C07A2" w:rsidRPr="005662FF">
        <w:rPr>
          <w:lang w:val="en-GB"/>
        </w:rPr>
        <w:t xml:space="preserve">returned </w:t>
      </w:r>
      <w:r w:rsidR="00722210">
        <w:rPr>
          <w:lang w:val="en-GB"/>
        </w:rPr>
        <w:t>to</w:t>
      </w:r>
      <w:r w:rsidR="004C07A2" w:rsidRPr="005662FF">
        <w:rPr>
          <w:lang w:val="en-GB"/>
        </w:rPr>
        <w:t xml:space="preserve"> Pakistan may be potential targets of the Pakistani </w:t>
      </w:r>
      <w:r w:rsidR="00C014DD" w:rsidRPr="005662FF">
        <w:rPr>
          <w:lang w:val="en-GB"/>
        </w:rPr>
        <w:t>author</w:t>
      </w:r>
      <w:r w:rsidR="00F52A89" w:rsidRPr="005662FF">
        <w:rPr>
          <w:lang w:val="en-GB"/>
        </w:rPr>
        <w:t>ities</w:t>
      </w:r>
      <w:r w:rsidR="004C07A2" w:rsidRPr="005662FF">
        <w:rPr>
          <w:lang w:val="en-GB"/>
        </w:rPr>
        <w:t>, in particular torture and arbitrary detention.</w:t>
      </w:r>
      <w:r w:rsidR="00703393" w:rsidRPr="005662FF">
        <w:rPr>
          <w:rStyle w:val="FootnoteReference"/>
          <w:bCs/>
          <w:lang w:val="en-GB"/>
        </w:rPr>
        <w:footnoteReference w:id="3"/>
      </w:r>
    </w:p>
    <w:p w14:paraId="276DBAB0" w14:textId="77777777" w:rsidR="007A1B5B" w:rsidRPr="005662FF" w:rsidRDefault="005662FF" w:rsidP="0022269B">
      <w:pPr>
        <w:pStyle w:val="H23G"/>
      </w:pPr>
      <w:r w:rsidRPr="005662FF">
        <w:rPr>
          <w:bCs/>
        </w:rPr>
        <w:tab/>
      </w:r>
      <w:r w:rsidRPr="005662FF">
        <w:rPr>
          <w:bCs/>
        </w:rPr>
        <w:tab/>
      </w:r>
      <w:r w:rsidR="004876DE" w:rsidRPr="005662FF">
        <w:t xml:space="preserve">State party’s observations on </w:t>
      </w:r>
      <w:r w:rsidR="002848E1" w:rsidRPr="005662FF">
        <w:t>the</w:t>
      </w:r>
      <w:r w:rsidR="00F8456D" w:rsidRPr="005662FF">
        <w:t xml:space="preserve"> merits</w:t>
      </w:r>
    </w:p>
    <w:p w14:paraId="379FAF3B" w14:textId="77777777" w:rsidR="008156CE" w:rsidRPr="0022269B" w:rsidRDefault="00904885" w:rsidP="00722210">
      <w:pPr>
        <w:pStyle w:val="SingleTxtG"/>
        <w:rPr>
          <w:lang w:val="en-GB"/>
        </w:rPr>
      </w:pPr>
      <w:r w:rsidRPr="0022269B">
        <w:rPr>
          <w:lang w:val="en-GB"/>
        </w:rPr>
        <w:t>4.1</w:t>
      </w:r>
      <w:r w:rsidRPr="0022269B">
        <w:rPr>
          <w:lang w:val="en-GB"/>
        </w:rPr>
        <w:tab/>
      </w:r>
      <w:r w:rsidR="008156CE" w:rsidRPr="0022269B">
        <w:rPr>
          <w:lang w:val="en-GB"/>
        </w:rPr>
        <w:t xml:space="preserve">On 21 January 2014, the State party submits that </w:t>
      </w:r>
      <w:r w:rsidR="00C014DD" w:rsidRPr="0022269B">
        <w:rPr>
          <w:lang w:val="en-GB"/>
        </w:rPr>
        <w:t>the</w:t>
      </w:r>
      <w:r w:rsidR="008156CE" w:rsidRPr="0022269B">
        <w:rPr>
          <w:lang w:val="en-GB"/>
        </w:rPr>
        <w:t xml:space="preserve"> communication is inadmissible</w:t>
      </w:r>
      <w:r w:rsidR="00C014DD" w:rsidRPr="0022269B">
        <w:rPr>
          <w:lang w:val="en-GB"/>
        </w:rPr>
        <w:t xml:space="preserve"> in accordance with article 22</w:t>
      </w:r>
      <w:r w:rsidR="00722210">
        <w:rPr>
          <w:lang w:val="en-GB"/>
        </w:rPr>
        <w:t xml:space="preserve"> (</w:t>
      </w:r>
      <w:r w:rsidR="00C014DD" w:rsidRPr="0022269B">
        <w:rPr>
          <w:lang w:val="en-GB"/>
        </w:rPr>
        <w:t>2</w:t>
      </w:r>
      <w:r w:rsidR="00722210">
        <w:rPr>
          <w:lang w:val="en-GB"/>
        </w:rPr>
        <w:t>)</w:t>
      </w:r>
      <w:r w:rsidR="00C014DD" w:rsidRPr="0022269B">
        <w:rPr>
          <w:lang w:val="en-GB"/>
        </w:rPr>
        <w:t xml:space="preserve"> and </w:t>
      </w:r>
      <w:r w:rsidR="00722210">
        <w:rPr>
          <w:lang w:val="en-GB"/>
        </w:rPr>
        <w:t>(</w:t>
      </w:r>
      <w:r w:rsidR="00C014DD" w:rsidRPr="0022269B">
        <w:rPr>
          <w:lang w:val="en-GB"/>
        </w:rPr>
        <w:t>5</w:t>
      </w:r>
      <w:r w:rsidR="00722210">
        <w:rPr>
          <w:lang w:val="en-GB"/>
        </w:rPr>
        <w:t>)</w:t>
      </w:r>
      <w:r w:rsidR="00C014DD" w:rsidRPr="0022269B">
        <w:rPr>
          <w:lang w:val="en-GB"/>
        </w:rPr>
        <w:t>(b) of the Convention and rules 113</w:t>
      </w:r>
      <w:r w:rsidR="00722210">
        <w:rPr>
          <w:lang w:val="en-GB"/>
        </w:rPr>
        <w:t xml:space="preserve"> </w:t>
      </w:r>
      <w:r w:rsidR="00C014DD" w:rsidRPr="0022269B">
        <w:rPr>
          <w:lang w:val="en-GB"/>
        </w:rPr>
        <w:t>(b), 113</w:t>
      </w:r>
      <w:r w:rsidR="00722210">
        <w:rPr>
          <w:lang w:val="en-GB"/>
        </w:rPr>
        <w:t xml:space="preserve"> </w:t>
      </w:r>
      <w:r w:rsidR="00C014DD" w:rsidRPr="0022269B">
        <w:rPr>
          <w:lang w:val="en-GB"/>
        </w:rPr>
        <w:t>(c) and 113</w:t>
      </w:r>
      <w:r w:rsidR="00722210">
        <w:rPr>
          <w:lang w:val="en-GB"/>
        </w:rPr>
        <w:t xml:space="preserve"> </w:t>
      </w:r>
      <w:r w:rsidR="00C014DD" w:rsidRPr="0022269B">
        <w:rPr>
          <w:lang w:val="en-GB"/>
        </w:rPr>
        <w:t xml:space="preserve">(e) of the Committee’s </w:t>
      </w:r>
      <w:r w:rsidR="00722210">
        <w:rPr>
          <w:lang w:val="en-GB"/>
        </w:rPr>
        <w:t>r</w:t>
      </w:r>
      <w:r w:rsidR="00C014DD" w:rsidRPr="0022269B">
        <w:rPr>
          <w:lang w:val="en-GB"/>
        </w:rPr>
        <w:t>ules of procedure because:</w:t>
      </w:r>
      <w:r w:rsidR="008156CE" w:rsidRPr="0022269B">
        <w:rPr>
          <w:lang w:val="en-GB"/>
        </w:rPr>
        <w:t xml:space="preserve"> the </w:t>
      </w:r>
      <w:r w:rsidR="00C014DD" w:rsidRPr="0022269B">
        <w:rPr>
          <w:lang w:val="en-GB"/>
        </w:rPr>
        <w:t>complainant</w:t>
      </w:r>
      <w:r w:rsidR="008156CE" w:rsidRPr="0022269B">
        <w:rPr>
          <w:lang w:val="en-GB"/>
        </w:rPr>
        <w:t xml:space="preserve"> has failed to exhaust all available domestic remedies that might allow him, or might have allowed him, to remain in Canada</w:t>
      </w:r>
      <w:r w:rsidR="00C014DD" w:rsidRPr="0022269B">
        <w:rPr>
          <w:lang w:val="en-GB"/>
        </w:rPr>
        <w:t>;</w:t>
      </w:r>
      <w:r w:rsidR="008156CE" w:rsidRPr="0022269B">
        <w:rPr>
          <w:lang w:val="en-GB"/>
        </w:rPr>
        <w:t xml:space="preserve"> the communication falls outside the scope of </w:t>
      </w:r>
      <w:r w:rsidR="00C014DD" w:rsidRPr="0022269B">
        <w:rPr>
          <w:lang w:val="en-GB"/>
        </w:rPr>
        <w:t>a</w:t>
      </w:r>
      <w:r w:rsidR="008156CE" w:rsidRPr="0022269B">
        <w:rPr>
          <w:lang w:val="en-GB"/>
        </w:rPr>
        <w:t xml:space="preserve">rticle 3 of the </w:t>
      </w:r>
      <w:r w:rsidR="008156CE" w:rsidRPr="0022269B">
        <w:rPr>
          <w:iCs/>
          <w:lang w:val="en-GB"/>
        </w:rPr>
        <w:t>Convention</w:t>
      </w:r>
      <w:r w:rsidR="008156CE" w:rsidRPr="0022269B">
        <w:rPr>
          <w:lang w:val="en-GB"/>
        </w:rPr>
        <w:t xml:space="preserve"> since the </w:t>
      </w:r>
      <w:r w:rsidR="00C014DD" w:rsidRPr="0022269B">
        <w:rPr>
          <w:lang w:val="en-GB"/>
        </w:rPr>
        <w:t>complainant</w:t>
      </w:r>
      <w:r w:rsidR="008156CE" w:rsidRPr="0022269B">
        <w:rPr>
          <w:lang w:val="en-GB"/>
        </w:rPr>
        <w:t xml:space="preserve">’s alleged agents of persecution are non-State entities, and there is no evidence that the </w:t>
      </w:r>
      <w:r w:rsidR="0032188B">
        <w:rPr>
          <w:lang w:val="en-GB"/>
        </w:rPr>
        <w:t>G</w:t>
      </w:r>
      <w:r w:rsidR="008156CE" w:rsidRPr="0022269B">
        <w:rPr>
          <w:lang w:val="en-GB"/>
        </w:rPr>
        <w:t xml:space="preserve">overnment of Pakistan is or was in any way involved with or acquiescent in threats allegedly made against the </w:t>
      </w:r>
      <w:r w:rsidR="00C014DD" w:rsidRPr="0022269B">
        <w:rPr>
          <w:lang w:val="en-GB"/>
        </w:rPr>
        <w:t>complainant</w:t>
      </w:r>
      <w:r w:rsidR="008156CE" w:rsidRPr="0022269B">
        <w:rPr>
          <w:lang w:val="en-GB"/>
        </w:rPr>
        <w:t xml:space="preserve"> by the non-State groups</w:t>
      </w:r>
      <w:r w:rsidR="00C014DD" w:rsidRPr="0022269B">
        <w:rPr>
          <w:lang w:val="en-GB"/>
        </w:rPr>
        <w:t>; and he</w:t>
      </w:r>
      <w:r w:rsidR="008156CE" w:rsidRPr="0022269B">
        <w:rPr>
          <w:lang w:val="en-GB"/>
        </w:rPr>
        <w:t xml:space="preserve"> has failed to substantiate, on even a </w:t>
      </w:r>
      <w:r w:rsidR="008156CE" w:rsidRPr="0022269B">
        <w:rPr>
          <w:iCs/>
          <w:lang w:val="en-GB"/>
        </w:rPr>
        <w:t>prima facie</w:t>
      </w:r>
      <w:r w:rsidR="008156CE" w:rsidRPr="0022269B">
        <w:rPr>
          <w:lang w:val="en-GB"/>
        </w:rPr>
        <w:t xml:space="preserve"> basis, that he faces a real and personal risk of torture in Pakistan. </w:t>
      </w:r>
    </w:p>
    <w:p w14:paraId="0412343E" w14:textId="77777777" w:rsidR="00C014DD" w:rsidRPr="0022269B" w:rsidRDefault="00C014DD" w:rsidP="0022269B">
      <w:pPr>
        <w:pStyle w:val="SingleTxtG"/>
        <w:rPr>
          <w:lang w:val="en-GB"/>
        </w:rPr>
      </w:pPr>
      <w:r w:rsidRPr="0022269B">
        <w:rPr>
          <w:lang w:val="en-GB"/>
        </w:rPr>
        <w:t>4.2</w:t>
      </w:r>
      <w:r w:rsidRPr="0022269B">
        <w:rPr>
          <w:lang w:val="en-GB"/>
        </w:rPr>
        <w:tab/>
        <w:t>Should the</w:t>
      </w:r>
      <w:r w:rsidR="008156CE" w:rsidRPr="0022269B">
        <w:rPr>
          <w:lang w:val="en-GB"/>
        </w:rPr>
        <w:t xml:space="preserve"> communication be declared admissible, </w:t>
      </w:r>
      <w:r w:rsidRPr="0022269B">
        <w:rPr>
          <w:lang w:val="en-GB"/>
        </w:rPr>
        <w:t>the State party</w:t>
      </w:r>
      <w:r w:rsidR="008156CE" w:rsidRPr="0022269B">
        <w:rPr>
          <w:lang w:val="en-GB"/>
        </w:rPr>
        <w:t xml:space="preserve"> submits, on the basis of the same considerations, that the communication is wholly without merit. Although the situation of Shia Muslims in Pakistan is problematic, the </w:t>
      </w:r>
      <w:r w:rsidRPr="0022269B">
        <w:rPr>
          <w:lang w:val="en-GB"/>
        </w:rPr>
        <w:t>complainant</w:t>
      </w:r>
      <w:r w:rsidR="008156CE" w:rsidRPr="0022269B">
        <w:rPr>
          <w:lang w:val="en-GB"/>
        </w:rPr>
        <w:t xml:space="preserve"> has failed to demonstrate that he would face a personal risk of torture should he be returned there. </w:t>
      </w:r>
    </w:p>
    <w:p w14:paraId="496ADEC7" w14:textId="77777777" w:rsidR="00AE01D4" w:rsidRPr="005662FF" w:rsidRDefault="00C014DD" w:rsidP="0022269B">
      <w:pPr>
        <w:pStyle w:val="SingleTxtG"/>
        <w:rPr>
          <w:lang w:val="en-GB"/>
        </w:rPr>
      </w:pPr>
      <w:r w:rsidRPr="0022269B">
        <w:rPr>
          <w:lang w:val="en-GB"/>
        </w:rPr>
        <w:t>4.3</w:t>
      </w:r>
      <w:r w:rsidRPr="0022269B">
        <w:rPr>
          <w:lang w:val="en-GB"/>
        </w:rPr>
        <w:tab/>
        <w:t>The State party restates the complainant’s claims and notes that the complainant</w:t>
      </w:r>
      <w:r w:rsidR="00AE01D4" w:rsidRPr="005662FF">
        <w:rPr>
          <w:lang w:val="en-GB"/>
        </w:rPr>
        <w:t xml:space="preserve"> has provided with his communication evidence that has not been reviewed by Canadian decision-makers</w:t>
      </w:r>
      <w:r w:rsidRPr="005662FF">
        <w:rPr>
          <w:lang w:val="en-GB"/>
        </w:rPr>
        <w:t xml:space="preserve">, such as </w:t>
      </w:r>
      <w:r w:rsidR="00AE01D4" w:rsidRPr="005662FF">
        <w:rPr>
          <w:lang w:val="en-GB"/>
        </w:rPr>
        <w:t>affidavits from his parents and a community leader that post-date the domestic decisions</w:t>
      </w:r>
      <w:r w:rsidRPr="005662FF">
        <w:rPr>
          <w:lang w:val="en-GB"/>
        </w:rPr>
        <w:t xml:space="preserve">, stating </w:t>
      </w:r>
      <w:r w:rsidR="00AE01D4" w:rsidRPr="005662FF">
        <w:rPr>
          <w:lang w:val="en-GB"/>
        </w:rPr>
        <w:t>that he</w:t>
      </w:r>
      <w:r w:rsidRPr="005662FF">
        <w:rPr>
          <w:lang w:val="en-GB"/>
        </w:rPr>
        <w:t xml:space="preserve"> had been</w:t>
      </w:r>
      <w:r w:rsidR="00AE01D4" w:rsidRPr="005662FF">
        <w:rPr>
          <w:lang w:val="en-GB"/>
        </w:rPr>
        <w:t xml:space="preserve"> tortured in his village in the past by Sunni extremists and that the Sunni hardliners continue to search for him and his family in their village in order to kill them. The affidavits also state that the </w:t>
      </w:r>
      <w:r w:rsidRPr="005662FF">
        <w:rPr>
          <w:lang w:val="en-GB"/>
        </w:rPr>
        <w:t>complainant</w:t>
      </w:r>
      <w:r w:rsidR="00AE01D4" w:rsidRPr="005662FF">
        <w:rPr>
          <w:lang w:val="en-GB"/>
        </w:rPr>
        <w:t xml:space="preserve">’s parents are forced to live in hiding. The </w:t>
      </w:r>
      <w:r w:rsidRPr="005662FF">
        <w:rPr>
          <w:lang w:val="en-GB"/>
        </w:rPr>
        <w:t>complainant</w:t>
      </w:r>
      <w:r w:rsidR="00AE01D4" w:rsidRPr="005662FF">
        <w:rPr>
          <w:lang w:val="en-GB"/>
        </w:rPr>
        <w:t xml:space="preserve"> has also provided documents </w:t>
      </w:r>
      <w:r w:rsidR="0032188B" w:rsidRPr="005662FF">
        <w:rPr>
          <w:lang w:val="en-GB"/>
        </w:rPr>
        <w:t>in Urdu</w:t>
      </w:r>
      <w:r w:rsidR="005B449C">
        <w:rPr>
          <w:lang w:val="en-GB"/>
        </w:rPr>
        <w:t>,</w:t>
      </w:r>
      <w:r w:rsidR="0032188B" w:rsidRPr="005662FF">
        <w:rPr>
          <w:lang w:val="en-GB"/>
        </w:rPr>
        <w:t xml:space="preserve"> </w:t>
      </w:r>
      <w:r w:rsidR="00AE01D4" w:rsidRPr="005662FF">
        <w:rPr>
          <w:lang w:val="en-GB"/>
        </w:rPr>
        <w:t xml:space="preserve">described as two police reports and an invitation confirming a Shia meeting at the </w:t>
      </w:r>
      <w:r w:rsidRPr="005662FF">
        <w:rPr>
          <w:lang w:val="en-GB"/>
        </w:rPr>
        <w:t>complainant</w:t>
      </w:r>
      <w:r w:rsidR="00AE01D4" w:rsidRPr="005662FF">
        <w:rPr>
          <w:lang w:val="en-GB"/>
        </w:rPr>
        <w:t>’s home in Pakistan.</w:t>
      </w:r>
    </w:p>
    <w:p w14:paraId="23F1513C" w14:textId="77777777" w:rsidR="00AE01D4" w:rsidRPr="005662FF" w:rsidRDefault="00C014DD" w:rsidP="005B449C">
      <w:pPr>
        <w:pStyle w:val="SingleTxtG"/>
        <w:ind w:left="1155"/>
        <w:rPr>
          <w:lang w:val="en-GB"/>
        </w:rPr>
      </w:pPr>
      <w:bookmarkStart w:id="4" w:name="_Toc405274677"/>
      <w:bookmarkStart w:id="5" w:name="_Toc405275206"/>
      <w:bookmarkStart w:id="6" w:name="_Toc405276013"/>
      <w:bookmarkStart w:id="7" w:name="_Toc405276155"/>
      <w:bookmarkStart w:id="8" w:name="_Toc405360871"/>
      <w:bookmarkEnd w:id="4"/>
      <w:bookmarkEnd w:id="5"/>
      <w:bookmarkEnd w:id="6"/>
      <w:bookmarkEnd w:id="7"/>
      <w:bookmarkEnd w:id="8"/>
      <w:r w:rsidRPr="0022269B">
        <w:rPr>
          <w:lang w:val="en-GB"/>
        </w:rPr>
        <w:t>4.4</w:t>
      </w:r>
      <w:r w:rsidRPr="0022269B">
        <w:rPr>
          <w:lang w:val="en-GB"/>
        </w:rPr>
        <w:tab/>
      </w:r>
      <w:r w:rsidR="00AE01D4" w:rsidRPr="0022269B">
        <w:rPr>
          <w:lang w:val="en-GB"/>
        </w:rPr>
        <w:t xml:space="preserve">The </w:t>
      </w:r>
      <w:r w:rsidRPr="0022269B">
        <w:rPr>
          <w:lang w:val="en-GB"/>
        </w:rPr>
        <w:t>State party submits that the complainant</w:t>
      </w:r>
      <w:r w:rsidR="00AE01D4" w:rsidRPr="0022269B">
        <w:rPr>
          <w:lang w:val="en-GB"/>
        </w:rPr>
        <w:t xml:space="preserve"> </w:t>
      </w:r>
      <w:r w:rsidRPr="0022269B">
        <w:rPr>
          <w:lang w:val="en-GB"/>
        </w:rPr>
        <w:t xml:space="preserve">attempted to </w:t>
      </w:r>
      <w:r w:rsidR="00AE01D4" w:rsidRPr="0022269B">
        <w:rPr>
          <w:lang w:val="en-GB"/>
        </w:rPr>
        <w:t xml:space="preserve">enter </w:t>
      </w:r>
      <w:r w:rsidRPr="0022269B">
        <w:rPr>
          <w:lang w:val="en-GB"/>
        </w:rPr>
        <w:t xml:space="preserve">its territory </w:t>
      </w:r>
      <w:r w:rsidR="00AE01D4" w:rsidRPr="0022269B">
        <w:rPr>
          <w:lang w:val="en-GB"/>
        </w:rPr>
        <w:t xml:space="preserve">on </w:t>
      </w:r>
      <w:r w:rsidRPr="0022269B">
        <w:rPr>
          <w:lang w:val="en-GB"/>
        </w:rPr>
        <w:t xml:space="preserve">4 </w:t>
      </w:r>
      <w:r w:rsidR="00AE01D4" w:rsidRPr="0022269B">
        <w:rPr>
          <w:lang w:val="en-GB"/>
        </w:rPr>
        <w:t>March 2013 with a British passport</w:t>
      </w:r>
      <w:r w:rsidR="005B449C">
        <w:rPr>
          <w:lang w:val="en-GB"/>
        </w:rPr>
        <w:t xml:space="preserve"> and</w:t>
      </w:r>
      <w:r w:rsidR="00AE01D4" w:rsidRPr="0022269B">
        <w:rPr>
          <w:lang w:val="en-GB"/>
        </w:rPr>
        <w:t xml:space="preserve"> under a false identity</w:t>
      </w:r>
      <w:r w:rsidR="00B6618B" w:rsidRPr="0022269B">
        <w:rPr>
          <w:lang w:val="en-GB"/>
        </w:rPr>
        <w:t xml:space="preserve">, claiming </w:t>
      </w:r>
      <w:r w:rsidR="00AE01D4" w:rsidRPr="0022269B">
        <w:rPr>
          <w:lang w:val="en-GB"/>
        </w:rPr>
        <w:t>that he was coming for holidays. It was only after several questions were posed by an immigration officer that he revealed his Pakistani identity and claimed refugee protection.</w:t>
      </w:r>
      <w:r w:rsidR="0032188B">
        <w:rPr>
          <w:lang w:val="en-GB"/>
        </w:rPr>
        <w:t xml:space="preserve"> </w:t>
      </w:r>
      <w:r w:rsidR="00AE01D4" w:rsidRPr="0022269B">
        <w:rPr>
          <w:lang w:val="en-GB"/>
        </w:rPr>
        <w:t>W</w:t>
      </w:r>
      <w:r w:rsidR="004E3BE1" w:rsidRPr="0022269B">
        <w:rPr>
          <w:lang w:val="en-GB"/>
        </w:rPr>
        <w:t xml:space="preserve">hen </w:t>
      </w:r>
      <w:r w:rsidR="00AE01D4" w:rsidRPr="0022269B">
        <w:rPr>
          <w:lang w:val="en-GB"/>
        </w:rPr>
        <w:t>interviewed by the immigration officer</w:t>
      </w:r>
      <w:r w:rsidR="0032188B">
        <w:rPr>
          <w:lang w:val="en-GB"/>
        </w:rPr>
        <w:t>,</w:t>
      </w:r>
      <w:r w:rsidR="00AE01D4" w:rsidRPr="0022269B">
        <w:rPr>
          <w:lang w:val="en-GB"/>
        </w:rPr>
        <w:t xml:space="preserve"> the </w:t>
      </w:r>
      <w:r w:rsidRPr="0022269B">
        <w:rPr>
          <w:lang w:val="en-GB"/>
        </w:rPr>
        <w:t>complainant</w:t>
      </w:r>
      <w:r w:rsidR="00AE01D4" w:rsidRPr="0022269B">
        <w:rPr>
          <w:lang w:val="en-GB"/>
        </w:rPr>
        <w:t xml:space="preserve"> stated that his fear of returning to his country was based on problems with his family. He did not claim that he faced threats in Pakistan by </w:t>
      </w:r>
      <w:r w:rsidR="00AE01D4" w:rsidRPr="0022269B">
        <w:rPr>
          <w:lang w:val="en-GB"/>
        </w:rPr>
        <w:lastRenderedPageBreak/>
        <w:t>reason of his religion, although he later asserted this as the primary basis for his refugee protection claim in his Basis of Claim form.</w:t>
      </w:r>
      <w:r w:rsidR="00B6618B" w:rsidRPr="0022269B">
        <w:rPr>
          <w:lang w:val="en-GB"/>
        </w:rPr>
        <w:t xml:space="preserve"> </w:t>
      </w:r>
      <w:r w:rsidR="00AE01D4" w:rsidRPr="0022269B">
        <w:rPr>
          <w:lang w:val="en-GB"/>
        </w:rPr>
        <w:t xml:space="preserve">In </w:t>
      </w:r>
      <w:r w:rsidR="00E47D47">
        <w:rPr>
          <w:lang w:val="en-GB"/>
        </w:rPr>
        <w:t>that</w:t>
      </w:r>
      <w:r w:rsidR="00E47D47" w:rsidRPr="0022269B">
        <w:rPr>
          <w:lang w:val="en-GB"/>
        </w:rPr>
        <w:t xml:space="preserve"> </w:t>
      </w:r>
      <w:r w:rsidR="00AE01D4" w:rsidRPr="0022269B">
        <w:rPr>
          <w:lang w:val="en-GB"/>
        </w:rPr>
        <w:t>form</w:t>
      </w:r>
      <w:r w:rsidR="00B6618B" w:rsidRPr="0022269B">
        <w:rPr>
          <w:lang w:val="en-GB"/>
        </w:rPr>
        <w:t>,</w:t>
      </w:r>
      <w:r w:rsidR="00AE01D4" w:rsidRPr="0022269B">
        <w:rPr>
          <w:lang w:val="en-GB"/>
        </w:rPr>
        <w:t xml:space="preserve"> dated </w:t>
      </w:r>
      <w:r w:rsidR="00B6618B" w:rsidRPr="0022269B">
        <w:rPr>
          <w:lang w:val="en-GB"/>
        </w:rPr>
        <w:t xml:space="preserve">9 </w:t>
      </w:r>
      <w:r w:rsidR="00AE01D4" w:rsidRPr="0022269B">
        <w:rPr>
          <w:lang w:val="en-GB"/>
        </w:rPr>
        <w:t xml:space="preserve">March 2013, the </w:t>
      </w:r>
      <w:r w:rsidRPr="0022269B">
        <w:rPr>
          <w:lang w:val="en-GB"/>
        </w:rPr>
        <w:t>complainant</w:t>
      </w:r>
      <w:r w:rsidR="00AE01D4" w:rsidRPr="0022269B">
        <w:rPr>
          <w:lang w:val="en-GB"/>
        </w:rPr>
        <w:t xml:space="preserve"> asserted that he was claiming refugee protection because he and his family </w:t>
      </w:r>
      <w:r w:rsidR="009A18ED">
        <w:rPr>
          <w:lang w:val="en-GB"/>
        </w:rPr>
        <w:t>—</w:t>
      </w:r>
      <w:r w:rsidR="00AE01D4" w:rsidRPr="0022269B">
        <w:rPr>
          <w:lang w:val="en-GB"/>
        </w:rPr>
        <w:t xml:space="preserve"> prominent members of the Shia community in his town </w:t>
      </w:r>
      <w:r w:rsidR="009A18ED">
        <w:rPr>
          <w:lang w:val="en-GB"/>
        </w:rPr>
        <w:t>—</w:t>
      </w:r>
      <w:r w:rsidR="00AE01D4" w:rsidRPr="0022269B">
        <w:rPr>
          <w:lang w:val="en-GB"/>
        </w:rPr>
        <w:t xml:space="preserve"> were threatened by the “Pakistan Taliban and Lashkar-e-Taiba and the community of suni people” in Pakistan. He claimed that he had been beaten and tortured by the Lashkar-e-Taiba in January 2010 and that his cousin had been killed during that incident. He also stated that he would be killed and tortured by the Lashkar-e-Taiba and Pakistan Taliban should he return to Pakistan</w:t>
      </w:r>
      <w:r w:rsidR="00B6618B" w:rsidRPr="0022269B">
        <w:rPr>
          <w:lang w:val="en-GB"/>
        </w:rPr>
        <w:t>; that</w:t>
      </w:r>
      <w:r w:rsidR="00AE01D4" w:rsidRPr="005662FF">
        <w:rPr>
          <w:lang w:val="en-GB"/>
        </w:rPr>
        <w:t xml:space="preserve"> the police had refused to write a report following the incident in January 2010, and that although he had moved to another part of his country (Karachi)</w:t>
      </w:r>
      <w:r w:rsidR="00E47D47">
        <w:rPr>
          <w:lang w:val="en-GB"/>
        </w:rPr>
        <w:t>,</w:t>
      </w:r>
      <w:r w:rsidR="00AE01D4" w:rsidRPr="005662FF">
        <w:rPr>
          <w:lang w:val="en-GB"/>
        </w:rPr>
        <w:t xml:space="preserve"> there were problems there as well</w:t>
      </w:r>
      <w:r w:rsidR="00E47D47">
        <w:rPr>
          <w:lang w:val="en-GB"/>
        </w:rPr>
        <w:t>,</w:t>
      </w:r>
      <w:r w:rsidR="00AE01D4" w:rsidRPr="005662FF">
        <w:rPr>
          <w:lang w:val="en-GB"/>
        </w:rPr>
        <w:t xml:space="preserve"> so he </w:t>
      </w:r>
      <w:r w:rsidR="00E47D47">
        <w:rPr>
          <w:lang w:val="en-GB"/>
        </w:rPr>
        <w:t xml:space="preserve">had </w:t>
      </w:r>
      <w:r w:rsidR="00AE01D4" w:rsidRPr="005662FF">
        <w:rPr>
          <w:lang w:val="en-GB"/>
        </w:rPr>
        <w:t xml:space="preserve">returned to his city. </w:t>
      </w:r>
      <w:r w:rsidR="00A13375" w:rsidRPr="005662FF">
        <w:rPr>
          <w:lang w:val="en-GB"/>
        </w:rPr>
        <w:t>On 6 May 2013, t</w:t>
      </w:r>
      <w:r w:rsidR="00AE01D4" w:rsidRPr="0022269B">
        <w:rPr>
          <w:lang w:val="en-GB"/>
        </w:rPr>
        <w:t xml:space="preserve">he </w:t>
      </w:r>
      <w:r w:rsidRPr="0022269B">
        <w:rPr>
          <w:lang w:val="en-GB"/>
        </w:rPr>
        <w:t>complainant</w:t>
      </w:r>
      <w:r w:rsidR="00AE01D4" w:rsidRPr="0022269B">
        <w:rPr>
          <w:lang w:val="en-GB"/>
        </w:rPr>
        <w:t xml:space="preserve"> add</w:t>
      </w:r>
      <w:r w:rsidR="00A13375" w:rsidRPr="0022269B">
        <w:rPr>
          <w:lang w:val="en-GB"/>
        </w:rPr>
        <w:t>ed</w:t>
      </w:r>
      <w:r w:rsidR="00AE01D4" w:rsidRPr="0022269B">
        <w:rPr>
          <w:lang w:val="en-GB"/>
        </w:rPr>
        <w:t xml:space="preserve"> that his family had been attacked at home on </w:t>
      </w:r>
      <w:r w:rsidR="00A13375" w:rsidRPr="0022269B">
        <w:rPr>
          <w:lang w:val="en-GB"/>
        </w:rPr>
        <w:t xml:space="preserve">26 </w:t>
      </w:r>
      <w:r w:rsidR="00AE01D4" w:rsidRPr="0022269B">
        <w:rPr>
          <w:lang w:val="en-GB"/>
        </w:rPr>
        <w:t xml:space="preserve">July 2012, six days after he had returned to Pakistan from England and that he had therefore returned to England on </w:t>
      </w:r>
      <w:r w:rsidR="00A13375" w:rsidRPr="0022269B">
        <w:rPr>
          <w:lang w:val="en-GB"/>
        </w:rPr>
        <w:t xml:space="preserve">28 </w:t>
      </w:r>
      <w:r w:rsidR="00AE01D4" w:rsidRPr="0022269B">
        <w:rPr>
          <w:lang w:val="en-GB"/>
        </w:rPr>
        <w:t>July 2012.</w:t>
      </w:r>
    </w:p>
    <w:p w14:paraId="7BC63592" w14:textId="77777777" w:rsidR="00AE01D4" w:rsidRPr="0022269B" w:rsidRDefault="00A13375" w:rsidP="0022269B">
      <w:pPr>
        <w:pStyle w:val="SingleTxtG"/>
      </w:pPr>
      <w:r w:rsidRPr="0022269B">
        <w:rPr>
          <w:lang w:val="en-GB"/>
        </w:rPr>
        <w:t>4.5</w:t>
      </w:r>
      <w:r w:rsidRPr="0022269B">
        <w:rPr>
          <w:lang w:val="en-GB"/>
        </w:rPr>
        <w:tab/>
      </w:r>
      <w:r w:rsidR="00AE01D4" w:rsidRPr="0022269B">
        <w:rPr>
          <w:lang w:val="en-GB"/>
        </w:rPr>
        <w:t xml:space="preserve">The </w:t>
      </w:r>
      <w:r w:rsidR="00C014DD" w:rsidRPr="0022269B">
        <w:rPr>
          <w:lang w:val="en-GB"/>
        </w:rPr>
        <w:t>complainant</w:t>
      </w:r>
      <w:r w:rsidR="00AE01D4" w:rsidRPr="0022269B">
        <w:rPr>
          <w:lang w:val="en-GB"/>
        </w:rPr>
        <w:t xml:space="preserve">’s claim for protection was heard by the Refugee Protection Division of the Immigration and Refugee Board  on </w:t>
      </w:r>
      <w:r w:rsidRPr="0022269B">
        <w:rPr>
          <w:lang w:val="en-GB"/>
        </w:rPr>
        <w:t xml:space="preserve">6 </w:t>
      </w:r>
      <w:r w:rsidR="00AE01D4" w:rsidRPr="0022269B">
        <w:rPr>
          <w:lang w:val="en-GB"/>
        </w:rPr>
        <w:t xml:space="preserve">May 2013. At the hearing, the </w:t>
      </w:r>
      <w:r w:rsidR="00C014DD" w:rsidRPr="0022269B">
        <w:rPr>
          <w:lang w:val="en-GB"/>
        </w:rPr>
        <w:t>complainant</w:t>
      </w:r>
      <w:r w:rsidR="00AE01D4" w:rsidRPr="0022269B">
        <w:rPr>
          <w:lang w:val="en-GB"/>
        </w:rPr>
        <w:t xml:space="preserve"> was represented by counsel and had the right to adduce evidence and make submissions.</w:t>
      </w:r>
      <w:r w:rsidRPr="0022269B">
        <w:rPr>
          <w:lang w:val="en-GB"/>
        </w:rPr>
        <w:t xml:space="preserve"> </w:t>
      </w:r>
      <w:r w:rsidR="00AE01D4" w:rsidRPr="0022269B">
        <w:rPr>
          <w:lang w:val="en-GB"/>
        </w:rPr>
        <w:t xml:space="preserve">The </w:t>
      </w:r>
      <w:r w:rsidR="00E47D47" w:rsidRPr="001E1CDD">
        <w:rPr>
          <w:lang w:val="en-GB"/>
        </w:rPr>
        <w:t>Division</w:t>
      </w:r>
      <w:r w:rsidR="00E47D47">
        <w:rPr>
          <w:lang w:val="en-GB"/>
        </w:rPr>
        <w:t xml:space="preserve"> </w:t>
      </w:r>
      <w:r w:rsidR="00AE01D4" w:rsidRPr="0022269B">
        <w:rPr>
          <w:lang w:val="en-GB"/>
        </w:rPr>
        <w:t xml:space="preserve">is an independent, quasi-judicial, specialized tribunal that considers applications by foreign nationals seeking the protection of </w:t>
      </w:r>
      <w:r w:rsidRPr="0022269B">
        <w:rPr>
          <w:lang w:val="en-GB"/>
        </w:rPr>
        <w:t>t</w:t>
      </w:r>
      <w:r w:rsidR="00C014DD" w:rsidRPr="0022269B">
        <w:rPr>
          <w:lang w:val="en-GB"/>
        </w:rPr>
        <w:t>he State party</w:t>
      </w:r>
      <w:r w:rsidR="00AE01D4" w:rsidRPr="0022269B">
        <w:rPr>
          <w:lang w:val="en-GB"/>
        </w:rPr>
        <w:t xml:space="preserve"> based on a fear of persecution, torture or other serious violations of their human rights if they were to be removed to their country of origin.</w:t>
      </w:r>
      <w:r w:rsidRPr="0022269B">
        <w:rPr>
          <w:lang w:val="en-GB"/>
        </w:rPr>
        <w:t xml:space="preserve"> </w:t>
      </w:r>
      <w:r w:rsidR="00AE01D4" w:rsidRPr="0022269B">
        <w:rPr>
          <w:lang w:val="en-GB"/>
        </w:rPr>
        <w:t xml:space="preserve">The </w:t>
      </w:r>
      <w:r w:rsidR="00E47D47" w:rsidRPr="001E1CDD">
        <w:rPr>
          <w:lang w:val="en-GB"/>
        </w:rPr>
        <w:t>Division</w:t>
      </w:r>
      <w:r w:rsidR="00E47D47" w:rsidRPr="00E47D47" w:rsidDel="00E47D47">
        <w:rPr>
          <w:lang w:val="en-GB"/>
        </w:rPr>
        <w:t xml:space="preserve"> </w:t>
      </w:r>
      <w:r w:rsidR="00AE01D4" w:rsidRPr="0022269B">
        <w:rPr>
          <w:lang w:val="en-GB"/>
        </w:rPr>
        <w:t xml:space="preserve">determines not only whether a person is a refugee within the meaning of the </w:t>
      </w:r>
      <w:r w:rsidR="00AE01D4" w:rsidRPr="0022269B">
        <w:rPr>
          <w:iCs/>
          <w:lang w:val="en-GB"/>
        </w:rPr>
        <w:t>Convention Relating to the Status of Refugees</w:t>
      </w:r>
      <w:r w:rsidR="00AE01D4" w:rsidRPr="0022269B">
        <w:rPr>
          <w:i/>
          <w:lang w:val="en-GB"/>
        </w:rPr>
        <w:t>,</w:t>
      </w:r>
      <w:r w:rsidR="00AE01D4" w:rsidRPr="0022269B">
        <w:rPr>
          <w:lang w:val="en-GB"/>
        </w:rPr>
        <w:t xml:space="preserve"> but also whether the claimant is a “person in need of protection”</w:t>
      </w:r>
      <w:r w:rsidR="00AE01D4" w:rsidRPr="0022269B">
        <w:rPr>
          <w:vertAlign w:val="superscript"/>
          <w:lang w:val="en-GB"/>
        </w:rPr>
        <w:t xml:space="preserve"> </w:t>
      </w:r>
      <w:r w:rsidR="00AE01D4" w:rsidRPr="0022269B">
        <w:rPr>
          <w:lang w:val="en-GB"/>
        </w:rPr>
        <w:t xml:space="preserve">under section 97 of </w:t>
      </w:r>
      <w:r w:rsidR="00BF17CF" w:rsidRPr="0022269B">
        <w:rPr>
          <w:lang w:val="en-GB"/>
        </w:rPr>
        <w:t>the</w:t>
      </w:r>
      <w:r w:rsidR="00AE01D4" w:rsidRPr="0022269B">
        <w:rPr>
          <w:lang w:val="en-GB"/>
        </w:rPr>
        <w:t xml:space="preserve"> </w:t>
      </w:r>
      <w:r w:rsidR="00AE01D4" w:rsidRPr="0022269B">
        <w:rPr>
          <w:iCs/>
          <w:lang w:val="en-GB"/>
        </w:rPr>
        <w:t>Immigration and Refugee Protection Act</w:t>
      </w:r>
      <w:r w:rsidR="00AE01D4" w:rsidRPr="0022269B">
        <w:rPr>
          <w:lang w:val="en-GB"/>
        </w:rPr>
        <w:t xml:space="preserve">. Section 97 mandates the protection of persons facing a real risk of torture within the meaning of </w:t>
      </w:r>
      <w:r w:rsidRPr="0022269B">
        <w:rPr>
          <w:lang w:val="en-GB"/>
        </w:rPr>
        <w:t>a</w:t>
      </w:r>
      <w:r w:rsidR="00AE01D4" w:rsidRPr="0022269B">
        <w:rPr>
          <w:lang w:val="en-GB"/>
        </w:rPr>
        <w:t xml:space="preserve">rticle 1 of the Convention against Torture on removal from </w:t>
      </w:r>
      <w:r w:rsidRPr="0022269B">
        <w:rPr>
          <w:lang w:val="en-GB"/>
        </w:rPr>
        <w:t>t</w:t>
      </w:r>
      <w:r w:rsidR="00C014DD" w:rsidRPr="0022269B">
        <w:rPr>
          <w:lang w:val="en-GB"/>
        </w:rPr>
        <w:t>he State party</w:t>
      </w:r>
      <w:r w:rsidR="00AE01D4" w:rsidRPr="0022269B">
        <w:rPr>
          <w:lang w:val="en-GB"/>
        </w:rPr>
        <w:t xml:space="preserve">. Generally speaking, a person who is determined to be a “person in need of protection” has a statutory right under section 115 of the </w:t>
      </w:r>
      <w:r w:rsidR="002A58BF" w:rsidRPr="00724BEC">
        <w:rPr>
          <w:lang w:val="en-GB"/>
        </w:rPr>
        <w:t>Immigration and Refugee Protection Act</w:t>
      </w:r>
      <w:r w:rsidR="002A58BF" w:rsidRPr="002A58BF" w:rsidDel="002A58BF">
        <w:rPr>
          <w:lang w:val="en-GB"/>
        </w:rPr>
        <w:t xml:space="preserve"> </w:t>
      </w:r>
      <w:r w:rsidR="00AE01D4" w:rsidRPr="0022269B">
        <w:rPr>
          <w:lang w:val="en-GB"/>
        </w:rPr>
        <w:t>not to be removed. This statutory principle of non-refoulement is in addition to the rights guaranteed by the Canadian Charter of Rights and Freedoms.</w:t>
      </w:r>
    </w:p>
    <w:p w14:paraId="7E022CE1" w14:textId="77777777" w:rsidR="00AE01D4" w:rsidRPr="0022269B" w:rsidRDefault="00BF17CF" w:rsidP="0022269B">
      <w:pPr>
        <w:pStyle w:val="SingleTxtG"/>
      </w:pPr>
      <w:r w:rsidRPr="0022269B">
        <w:rPr>
          <w:lang w:val="en-GB"/>
        </w:rPr>
        <w:t>4.6</w:t>
      </w:r>
      <w:r w:rsidRPr="0022269B">
        <w:rPr>
          <w:lang w:val="en-GB"/>
        </w:rPr>
        <w:tab/>
      </w:r>
      <w:r w:rsidR="00AE01D4" w:rsidRPr="0022269B">
        <w:rPr>
          <w:lang w:val="en-GB"/>
        </w:rPr>
        <w:t xml:space="preserve">The </w:t>
      </w:r>
      <w:r w:rsidR="00E47D47" w:rsidRPr="001E1CDD">
        <w:rPr>
          <w:lang w:val="en-GB"/>
        </w:rPr>
        <w:t>Refugee Protection Division</w:t>
      </w:r>
      <w:r w:rsidR="00E47D47" w:rsidRPr="00E47D47" w:rsidDel="00E47D47">
        <w:rPr>
          <w:lang w:val="en-GB"/>
        </w:rPr>
        <w:t xml:space="preserve"> </w:t>
      </w:r>
      <w:r w:rsidR="00AE01D4" w:rsidRPr="0022269B">
        <w:rPr>
          <w:lang w:val="en-GB"/>
        </w:rPr>
        <w:t>conducts an oral hearing that is usually held privately and is conducted in an informal and non-adversarial manner. Officials from the United Nations High Commissioner for Refugees may observe</w:t>
      </w:r>
      <w:r w:rsidR="00AE01D4" w:rsidRPr="0022269B">
        <w:rPr>
          <w:i/>
          <w:lang w:val="en-GB"/>
        </w:rPr>
        <w:t xml:space="preserve"> </w:t>
      </w:r>
      <w:r w:rsidR="00AE01D4" w:rsidRPr="0022269B">
        <w:rPr>
          <w:lang w:val="en-GB"/>
        </w:rPr>
        <w:t>the proceedings. Individuals seeking protection</w:t>
      </w:r>
      <w:r w:rsidR="00AE01D4" w:rsidRPr="0022269B">
        <w:rPr>
          <w:i/>
          <w:lang w:val="en-GB"/>
        </w:rPr>
        <w:t xml:space="preserve"> </w:t>
      </w:r>
      <w:r w:rsidR="00AE01D4" w:rsidRPr="0022269B">
        <w:rPr>
          <w:lang w:val="en-GB"/>
        </w:rPr>
        <w:t xml:space="preserve">as a </w:t>
      </w:r>
      <w:r w:rsidRPr="0022269B">
        <w:rPr>
          <w:lang w:val="en-GB"/>
        </w:rPr>
        <w:t>ref</w:t>
      </w:r>
      <w:r w:rsidR="00AE01D4" w:rsidRPr="0022269B">
        <w:rPr>
          <w:lang w:val="en-GB"/>
        </w:rPr>
        <w:t xml:space="preserve">ugee or a protected person are </w:t>
      </w:r>
      <w:r w:rsidR="00C91054" w:rsidRPr="003505E5">
        <w:rPr>
          <w:lang w:val="en-GB"/>
        </w:rPr>
        <w:t xml:space="preserve">usually </w:t>
      </w:r>
      <w:r w:rsidR="00AE01D4" w:rsidRPr="0022269B">
        <w:rPr>
          <w:lang w:val="en-GB"/>
        </w:rPr>
        <w:t>assisted by legal counsel as well as an interpreter and are provided every opportunity to establish, through oral testimony and supporting documentary evidence, that they are a refugee or a person in need of protection.</w:t>
      </w:r>
      <w:r w:rsidRPr="0022269B">
        <w:rPr>
          <w:lang w:val="en-GB"/>
        </w:rPr>
        <w:t xml:space="preserve"> </w:t>
      </w:r>
      <w:r w:rsidR="00E47D47">
        <w:rPr>
          <w:lang w:val="en-GB"/>
        </w:rPr>
        <w:t>Division</w:t>
      </w:r>
      <w:r w:rsidR="00E47D47" w:rsidRPr="0022269B">
        <w:rPr>
          <w:lang w:val="en-GB"/>
        </w:rPr>
        <w:t xml:space="preserve"> </w:t>
      </w:r>
      <w:r w:rsidR="00AE01D4" w:rsidRPr="0022269B">
        <w:rPr>
          <w:lang w:val="en-GB"/>
        </w:rPr>
        <w:t xml:space="preserve">members receive comprehensive, ongoing training in the </w:t>
      </w:r>
      <w:r w:rsidR="0085398C" w:rsidRPr="0085398C">
        <w:rPr>
          <w:iCs/>
          <w:lang w:val="en-GB"/>
        </w:rPr>
        <w:t>Convention relating to the Status of Refugees</w:t>
      </w:r>
      <w:r w:rsidR="00724BEC">
        <w:rPr>
          <w:iCs/>
          <w:lang w:val="en-GB"/>
        </w:rPr>
        <w:t xml:space="preserve"> </w:t>
      </w:r>
      <w:r w:rsidR="00AE01D4" w:rsidRPr="0022269B">
        <w:rPr>
          <w:lang w:val="en-GB"/>
        </w:rPr>
        <w:t xml:space="preserve">and other aspects of </w:t>
      </w:r>
      <w:r w:rsidRPr="0022269B">
        <w:rPr>
          <w:lang w:val="en-GB"/>
        </w:rPr>
        <w:t>t</w:t>
      </w:r>
      <w:r w:rsidR="00C014DD" w:rsidRPr="0022269B">
        <w:rPr>
          <w:lang w:val="en-GB"/>
        </w:rPr>
        <w:t>he State party</w:t>
      </w:r>
      <w:r w:rsidR="00AE01D4" w:rsidRPr="0022269B">
        <w:rPr>
          <w:lang w:val="en-GB"/>
        </w:rPr>
        <w:t xml:space="preserve">’s international legal obligations, including the obligation to protect against removal to torture or other equally serious violations of human rights. </w:t>
      </w:r>
      <w:r w:rsidR="00E47D47">
        <w:rPr>
          <w:lang w:val="en-GB"/>
        </w:rPr>
        <w:t>Division</w:t>
      </w:r>
      <w:r w:rsidR="00E47D47" w:rsidRPr="0022269B">
        <w:rPr>
          <w:lang w:val="en-GB"/>
        </w:rPr>
        <w:t xml:space="preserve"> </w:t>
      </w:r>
      <w:r w:rsidR="00AE01D4" w:rsidRPr="0022269B">
        <w:rPr>
          <w:lang w:val="en-GB"/>
        </w:rPr>
        <w:t xml:space="preserve">members are well-informed and develop expertise in </w:t>
      </w:r>
      <w:r w:rsidR="001E1DCE">
        <w:rPr>
          <w:lang w:val="en-GB"/>
        </w:rPr>
        <w:t xml:space="preserve">the </w:t>
      </w:r>
      <w:r w:rsidR="00AE01D4" w:rsidRPr="0022269B">
        <w:rPr>
          <w:lang w:val="en-GB"/>
        </w:rPr>
        <w:t xml:space="preserve">conditions and events in countries of alleged persecution or other human rights violations. The </w:t>
      </w:r>
      <w:r w:rsidR="00E47D47">
        <w:rPr>
          <w:lang w:val="en-GB"/>
        </w:rPr>
        <w:t>Division</w:t>
      </w:r>
      <w:r w:rsidR="00E47D47" w:rsidRPr="0022269B">
        <w:rPr>
          <w:lang w:val="en-GB"/>
        </w:rPr>
        <w:t xml:space="preserve"> </w:t>
      </w:r>
      <w:r w:rsidR="00AE01D4" w:rsidRPr="0022269B">
        <w:rPr>
          <w:lang w:val="en-GB"/>
        </w:rPr>
        <w:t xml:space="preserve">comes to its conclusions based on the evidence adduced during the oral hearing and all available relevant documentation provided to it. It communicates all of its decisions in writing. The </w:t>
      </w:r>
      <w:r w:rsidR="00E47D47">
        <w:rPr>
          <w:lang w:val="en-GB"/>
        </w:rPr>
        <w:t>Division</w:t>
      </w:r>
      <w:r w:rsidR="00E47D47" w:rsidRPr="0022269B">
        <w:rPr>
          <w:lang w:val="en-GB"/>
        </w:rPr>
        <w:t xml:space="preserve"> </w:t>
      </w:r>
      <w:r w:rsidR="00AE01D4" w:rsidRPr="0022269B">
        <w:rPr>
          <w:lang w:val="en-GB"/>
        </w:rPr>
        <w:t xml:space="preserve">provides written reasons for all negative decisions and for positive decisions if the Minister was not present when the </w:t>
      </w:r>
      <w:r w:rsidR="00E47D47">
        <w:rPr>
          <w:lang w:val="en-GB"/>
        </w:rPr>
        <w:t>Division</w:t>
      </w:r>
      <w:r w:rsidR="00E47D47" w:rsidRPr="0022269B">
        <w:rPr>
          <w:lang w:val="en-GB"/>
        </w:rPr>
        <w:t xml:space="preserve"> </w:t>
      </w:r>
      <w:r w:rsidR="00AE01D4" w:rsidRPr="0022269B">
        <w:rPr>
          <w:lang w:val="en-GB"/>
        </w:rPr>
        <w:t>rendered an oral decision</w:t>
      </w:r>
      <w:r w:rsidR="00B149E0">
        <w:rPr>
          <w:lang w:val="en-GB"/>
        </w:rPr>
        <w:t>,</w:t>
      </w:r>
      <w:r w:rsidR="00AE01D4" w:rsidRPr="0022269B">
        <w:rPr>
          <w:lang w:val="en-GB"/>
        </w:rPr>
        <w:t xml:space="preserve"> </w:t>
      </w:r>
      <w:r w:rsidR="00B149E0">
        <w:rPr>
          <w:lang w:val="en-GB"/>
        </w:rPr>
        <w:t>as well as</w:t>
      </w:r>
      <w:r w:rsidR="00B149E0" w:rsidRPr="0022269B">
        <w:rPr>
          <w:lang w:val="en-GB"/>
        </w:rPr>
        <w:t xml:space="preserve"> </w:t>
      </w:r>
      <w:r w:rsidR="00AE01D4" w:rsidRPr="0022269B">
        <w:rPr>
          <w:lang w:val="en-GB"/>
        </w:rPr>
        <w:t>reasons allowing a claim for refugee protection. In practice, written reasons are provided for almost all decisions.</w:t>
      </w:r>
    </w:p>
    <w:p w14:paraId="3480A3E8" w14:textId="77777777" w:rsidR="00AE01D4" w:rsidRPr="0022269B" w:rsidRDefault="00BF17CF" w:rsidP="0022269B">
      <w:pPr>
        <w:pStyle w:val="SingleTxtG"/>
      </w:pPr>
      <w:r w:rsidRPr="0022269B">
        <w:rPr>
          <w:lang w:val="en-GB"/>
        </w:rPr>
        <w:t>4.7</w:t>
      </w:r>
      <w:r w:rsidRPr="0022269B">
        <w:rPr>
          <w:lang w:val="en-GB"/>
        </w:rPr>
        <w:tab/>
      </w:r>
      <w:r w:rsidR="00AE01D4" w:rsidRPr="0022269B">
        <w:rPr>
          <w:lang w:val="en-GB"/>
        </w:rPr>
        <w:t xml:space="preserve">The </w:t>
      </w:r>
      <w:r w:rsidR="00C014DD" w:rsidRPr="0022269B">
        <w:rPr>
          <w:lang w:val="en-GB"/>
        </w:rPr>
        <w:t>complainant</w:t>
      </w:r>
      <w:r w:rsidR="00AE01D4" w:rsidRPr="0022269B">
        <w:rPr>
          <w:lang w:val="en-GB"/>
        </w:rPr>
        <w:t xml:space="preserve"> provided documentary evidence and oral testimony to the </w:t>
      </w:r>
      <w:r w:rsidR="00E47D47" w:rsidRPr="001E1CDD">
        <w:rPr>
          <w:lang w:val="en-GB"/>
        </w:rPr>
        <w:t>Refugee Protection Division</w:t>
      </w:r>
      <w:r w:rsidR="00E47D47" w:rsidRPr="00E47D47" w:rsidDel="00E47D47">
        <w:rPr>
          <w:lang w:val="en-GB"/>
        </w:rPr>
        <w:t xml:space="preserve"> </w:t>
      </w:r>
      <w:r w:rsidR="00AE01D4" w:rsidRPr="0022269B">
        <w:rPr>
          <w:lang w:val="en-GB"/>
        </w:rPr>
        <w:t xml:space="preserve">and had the opportunity to explain any ambiguities or inconsistencies and to respond to any questions that the </w:t>
      </w:r>
      <w:r w:rsidR="00E47D47">
        <w:rPr>
          <w:lang w:val="en-GB"/>
        </w:rPr>
        <w:t>Division</w:t>
      </w:r>
      <w:r w:rsidR="00E47D47" w:rsidRPr="0022269B">
        <w:rPr>
          <w:lang w:val="en-GB"/>
        </w:rPr>
        <w:t xml:space="preserve"> </w:t>
      </w:r>
      <w:r w:rsidR="00AE01D4" w:rsidRPr="0022269B">
        <w:rPr>
          <w:lang w:val="en-GB"/>
        </w:rPr>
        <w:t xml:space="preserve">had with regard to his claim. By </w:t>
      </w:r>
      <w:r w:rsidR="00B149E0">
        <w:rPr>
          <w:lang w:val="en-GB"/>
        </w:rPr>
        <w:t xml:space="preserve">its </w:t>
      </w:r>
      <w:r w:rsidR="00AE01D4" w:rsidRPr="0022269B">
        <w:rPr>
          <w:lang w:val="en-GB"/>
        </w:rPr>
        <w:t xml:space="preserve">decision dated </w:t>
      </w:r>
      <w:r w:rsidRPr="0022269B">
        <w:rPr>
          <w:lang w:val="en-GB"/>
        </w:rPr>
        <w:t xml:space="preserve">21 </w:t>
      </w:r>
      <w:r w:rsidR="00AE01D4" w:rsidRPr="0022269B">
        <w:rPr>
          <w:lang w:val="en-GB"/>
        </w:rPr>
        <w:t xml:space="preserve">June 2013, the </w:t>
      </w:r>
      <w:r w:rsidR="00E47D47">
        <w:rPr>
          <w:lang w:val="en-GB"/>
        </w:rPr>
        <w:t>Division</w:t>
      </w:r>
      <w:r w:rsidR="00E47D47" w:rsidRPr="0022269B">
        <w:rPr>
          <w:lang w:val="en-GB"/>
        </w:rPr>
        <w:t xml:space="preserve"> </w:t>
      </w:r>
      <w:r w:rsidR="00AE01D4" w:rsidRPr="0022269B">
        <w:rPr>
          <w:lang w:val="en-GB"/>
        </w:rPr>
        <w:t xml:space="preserve">determined that the </w:t>
      </w:r>
      <w:r w:rsidR="00C014DD" w:rsidRPr="0022269B">
        <w:rPr>
          <w:lang w:val="en-GB"/>
        </w:rPr>
        <w:t>complainant</w:t>
      </w:r>
      <w:r w:rsidR="00AE01D4" w:rsidRPr="0022269B">
        <w:rPr>
          <w:lang w:val="en-GB"/>
        </w:rPr>
        <w:t xml:space="preserve"> was not a refugee or</w:t>
      </w:r>
      <w:r w:rsidRPr="0022269B">
        <w:rPr>
          <w:lang w:val="en-GB"/>
        </w:rPr>
        <w:t xml:space="preserve"> a person in need of protection and, accordingly,</w:t>
      </w:r>
      <w:r w:rsidR="00AE01D4" w:rsidRPr="0022269B">
        <w:rPr>
          <w:lang w:val="en-GB"/>
        </w:rPr>
        <w:t xml:space="preserve"> that he was not a person whose removal to his country of nationality would subject him personally “to a danger, believed </w:t>
      </w:r>
      <w:r w:rsidR="00AE01D4" w:rsidRPr="0022269B">
        <w:rPr>
          <w:lang w:val="en-GB"/>
        </w:rPr>
        <w:lastRenderedPageBreak/>
        <w:t xml:space="preserve">on substantial grounds to exist, of torture within the meaning of </w:t>
      </w:r>
      <w:r w:rsidR="00B149E0">
        <w:rPr>
          <w:lang w:val="en-GB"/>
        </w:rPr>
        <w:t>a</w:t>
      </w:r>
      <w:r w:rsidR="00AE01D4" w:rsidRPr="0022269B">
        <w:rPr>
          <w:lang w:val="en-GB"/>
        </w:rPr>
        <w:t>rticle 1 of the Convention Against Torture”</w:t>
      </w:r>
      <w:r w:rsidR="00B304F2">
        <w:rPr>
          <w:lang w:val="en-GB"/>
        </w:rPr>
        <w:t>.</w:t>
      </w:r>
      <w:r w:rsidR="00703393" w:rsidRPr="0022269B">
        <w:rPr>
          <w:rStyle w:val="FootnoteReference"/>
          <w:lang w:val="en-GB"/>
        </w:rPr>
        <w:footnoteReference w:id="4"/>
      </w:r>
    </w:p>
    <w:p w14:paraId="461CD1F9" w14:textId="77777777" w:rsidR="00AE01D4" w:rsidRPr="0022269B" w:rsidRDefault="00905F83" w:rsidP="0022269B">
      <w:pPr>
        <w:pStyle w:val="SingleTxtG"/>
      </w:pPr>
      <w:r w:rsidRPr="0022269B">
        <w:rPr>
          <w:lang w:val="en-GB"/>
        </w:rPr>
        <w:t>4.8</w:t>
      </w:r>
      <w:r w:rsidRPr="0022269B">
        <w:rPr>
          <w:lang w:val="en-GB"/>
        </w:rPr>
        <w:tab/>
      </w:r>
      <w:r w:rsidR="00AE01D4" w:rsidRPr="0022269B">
        <w:rPr>
          <w:lang w:val="en-GB"/>
        </w:rPr>
        <w:t xml:space="preserve">The </w:t>
      </w:r>
      <w:r w:rsidR="00E47D47" w:rsidRPr="001E1CDD">
        <w:rPr>
          <w:lang w:val="en-GB"/>
        </w:rPr>
        <w:t>Refugee Protection Division</w:t>
      </w:r>
      <w:r w:rsidR="00E47D47" w:rsidRPr="00E47D47" w:rsidDel="00E47D47">
        <w:rPr>
          <w:lang w:val="en-GB"/>
        </w:rPr>
        <w:t xml:space="preserve"> </w:t>
      </w:r>
      <w:r w:rsidR="00AE01D4" w:rsidRPr="0022269B">
        <w:rPr>
          <w:lang w:val="en-GB"/>
        </w:rPr>
        <w:t xml:space="preserve">determined that the </w:t>
      </w:r>
      <w:r w:rsidR="00C014DD" w:rsidRPr="0022269B">
        <w:rPr>
          <w:lang w:val="en-GB"/>
        </w:rPr>
        <w:t>complainant</w:t>
      </w:r>
      <w:r w:rsidR="00AE01D4" w:rsidRPr="0022269B">
        <w:rPr>
          <w:lang w:val="en-GB"/>
        </w:rPr>
        <w:t xml:space="preserve"> was not credible</w:t>
      </w:r>
      <w:r w:rsidRPr="0022269B">
        <w:rPr>
          <w:lang w:val="en-GB"/>
        </w:rPr>
        <w:t>, since</w:t>
      </w:r>
      <w:r w:rsidR="00AE01D4" w:rsidRPr="0022269B">
        <w:rPr>
          <w:lang w:val="en-GB"/>
        </w:rPr>
        <w:t xml:space="preserve"> there were a number of inconsistencies, omissions and contradictions in </w:t>
      </w:r>
      <w:r w:rsidRPr="0022269B">
        <w:rPr>
          <w:lang w:val="en-GB"/>
        </w:rPr>
        <w:t>his</w:t>
      </w:r>
      <w:r w:rsidR="00AE01D4" w:rsidRPr="0022269B">
        <w:rPr>
          <w:lang w:val="en-GB"/>
        </w:rPr>
        <w:t xml:space="preserve"> evidence regarding key elements of his claim</w:t>
      </w:r>
      <w:r w:rsidRPr="0022269B">
        <w:rPr>
          <w:lang w:val="en-GB"/>
        </w:rPr>
        <w:t xml:space="preserve">, </w:t>
      </w:r>
      <w:r w:rsidR="00AE01D4" w:rsidRPr="0022269B">
        <w:rPr>
          <w:lang w:val="en-GB"/>
        </w:rPr>
        <w:t>includ</w:t>
      </w:r>
      <w:r w:rsidRPr="0022269B">
        <w:rPr>
          <w:lang w:val="en-GB"/>
        </w:rPr>
        <w:t>ing</w:t>
      </w:r>
      <w:r w:rsidR="00AE01D4" w:rsidRPr="0022269B">
        <w:rPr>
          <w:lang w:val="en-GB"/>
        </w:rPr>
        <w:t>:</w:t>
      </w:r>
      <w:r w:rsidRPr="0022269B">
        <w:rPr>
          <w:lang w:val="en-GB"/>
        </w:rPr>
        <w:t xml:space="preserve"> </w:t>
      </w:r>
      <w:r w:rsidR="00AE01D4" w:rsidRPr="0022269B">
        <w:rPr>
          <w:lang w:val="en-GB"/>
        </w:rPr>
        <w:t xml:space="preserve">inconsistencies and omissions in relation to the </w:t>
      </w:r>
      <w:r w:rsidR="00C014DD" w:rsidRPr="0022269B">
        <w:rPr>
          <w:lang w:val="en-GB"/>
        </w:rPr>
        <w:t>complainant</w:t>
      </w:r>
      <w:r w:rsidR="00AE01D4" w:rsidRPr="0022269B">
        <w:rPr>
          <w:lang w:val="en-GB"/>
        </w:rPr>
        <w:t xml:space="preserve">’s past addresses, in particular in relation to where the </w:t>
      </w:r>
      <w:r w:rsidR="00C014DD" w:rsidRPr="0022269B">
        <w:rPr>
          <w:lang w:val="en-GB"/>
        </w:rPr>
        <w:t>complainant</w:t>
      </w:r>
      <w:r w:rsidR="00AE01D4" w:rsidRPr="0022269B">
        <w:rPr>
          <w:lang w:val="en-GB"/>
        </w:rPr>
        <w:t xml:space="preserve"> was living in January 2010, the date of his alleged attack and the dates when he was living in his village</w:t>
      </w:r>
      <w:r w:rsidRPr="0022269B">
        <w:rPr>
          <w:lang w:val="en-GB"/>
        </w:rPr>
        <w:t>, as well as</w:t>
      </w:r>
      <w:r w:rsidR="00AE01D4" w:rsidRPr="0022269B">
        <w:rPr>
          <w:lang w:val="en-GB"/>
        </w:rPr>
        <w:t xml:space="preserve"> in relation to the </w:t>
      </w:r>
      <w:r w:rsidR="00C014DD" w:rsidRPr="0022269B">
        <w:rPr>
          <w:lang w:val="en-GB"/>
        </w:rPr>
        <w:t>complainant</w:t>
      </w:r>
      <w:r w:rsidR="00AE01D4" w:rsidRPr="0022269B">
        <w:rPr>
          <w:lang w:val="en-GB"/>
        </w:rPr>
        <w:t>’s movements within Pakistan close</w:t>
      </w:r>
      <w:r w:rsidRPr="0022269B">
        <w:rPr>
          <w:lang w:val="en-GB"/>
        </w:rPr>
        <w:t xml:space="preserve">ly following the alleged attack; </w:t>
      </w:r>
      <w:r w:rsidR="00AE01D4" w:rsidRPr="0022269B">
        <w:rPr>
          <w:lang w:val="en-GB"/>
        </w:rPr>
        <w:t xml:space="preserve">inconsistencies and omissions in relation to the identity of the groups the </w:t>
      </w:r>
      <w:r w:rsidR="00C014DD" w:rsidRPr="0022269B">
        <w:rPr>
          <w:lang w:val="en-GB"/>
        </w:rPr>
        <w:t>complainant</w:t>
      </w:r>
      <w:r w:rsidR="00AE01D4" w:rsidRPr="0022269B">
        <w:rPr>
          <w:lang w:val="en-GB"/>
        </w:rPr>
        <w:t xml:space="preserve"> allegedly feared in Pakistan and the organizations that alleged</w:t>
      </w:r>
      <w:r w:rsidRPr="0022269B">
        <w:rPr>
          <w:lang w:val="en-GB"/>
        </w:rPr>
        <w:t xml:space="preserve">ly attacked him in January 2010; </w:t>
      </w:r>
      <w:r w:rsidR="00B149E0">
        <w:rPr>
          <w:lang w:val="en-GB"/>
        </w:rPr>
        <w:t xml:space="preserve">and </w:t>
      </w:r>
      <w:r w:rsidR="00AE01D4" w:rsidRPr="0022269B">
        <w:rPr>
          <w:lang w:val="en-GB"/>
        </w:rPr>
        <w:t xml:space="preserve">inconsistencies and omissions in relation to the </w:t>
      </w:r>
      <w:r w:rsidR="00C014DD" w:rsidRPr="0022269B">
        <w:rPr>
          <w:lang w:val="en-GB"/>
        </w:rPr>
        <w:t>complainant</w:t>
      </w:r>
      <w:r w:rsidR="00AE01D4" w:rsidRPr="0022269B">
        <w:rPr>
          <w:lang w:val="en-GB"/>
        </w:rPr>
        <w:t>’s allegations about threats specifically directed against him in his village after hi</w:t>
      </w:r>
      <w:r w:rsidRPr="0022269B">
        <w:rPr>
          <w:lang w:val="en-GB"/>
        </w:rPr>
        <w:t xml:space="preserve">s final departure from Pakistan. </w:t>
      </w:r>
      <w:r w:rsidR="00AE01D4" w:rsidRPr="0022269B">
        <w:rPr>
          <w:lang w:val="en-GB"/>
        </w:rPr>
        <w:t xml:space="preserve">The </w:t>
      </w:r>
      <w:r w:rsidR="00C014DD" w:rsidRPr="0022269B">
        <w:rPr>
          <w:lang w:val="en-GB"/>
        </w:rPr>
        <w:t>complainant</w:t>
      </w:r>
      <w:r w:rsidR="00AE01D4" w:rsidRPr="0022269B">
        <w:rPr>
          <w:lang w:val="en-GB"/>
        </w:rPr>
        <w:t xml:space="preserve"> was not able to explain these inconsistencies and omissions to the </w:t>
      </w:r>
      <w:r w:rsidR="00E47D47">
        <w:rPr>
          <w:lang w:val="en-GB"/>
        </w:rPr>
        <w:t>Division</w:t>
      </w:r>
      <w:r w:rsidR="00E47D47" w:rsidRPr="0022269B">
        <w:rPr>
          <w:lang w:val="en-GB"/>
        </w:rPr>
        <w:t xml:space="preserve">’s </w:t>
      </w:r>
      <w:r w:rsidR="00AE01D4" w:rsidRPr="0022269B">
        <w:rPr>
          <w:lang w:val="en-GB"/>
        </w:rPr>
        <w:t xml:space="preserve">satisfaction, and the </w:t>
      </w:r>
      <w:r w:rsidR="00E47D47">
        <w:rPr>
          <w:lang w:val="en-GB"/>
        </w:rPr>
        <w:t>Division</w:t>
      </w:r>
      <w:r w:rsidR="00E47D47" w:rsidRPr="0022269B">
        <w:rPr>
          <w:lang w:val="en-GB"/>
        </w:rPr>
        <w:t xml:space="preserve"> </w:t>
      </w:r>
      <w:r w:rsidR="00AE01D4" w:rsidRPr="0022269B">
        <w:rPr>
          <w:lang w:val="en-GB"/>
        </w:rPr>
        <w:t>found that his attempted explanations sometimes resulted in additional contradictions.</w:t>
      </w:r>
    </w:p>
    <w:p w14:paraId="5AB01D5D" w14:textId="77777777" w:rsidR="00AE01D4" w:rsidRPr="0022269B" w:rsidRDefault="00905F83" w:rsidP="0022269B">
      <w:pPr>
        <w:pStyle w:val="SingleTxtG"/>
      </w:pPr>
      <w:r w:rsidRPr="0022269B">
        <w:rPr>
          <w:lang w:val="en-GB"/>
        </w:rPr>
        <w:t>4.9</w:t>
      </w:r>
      <w:r w:rsidRPr="0022269B">
        <w:rPr>
          <w:lang w:val="en-GB"/>
        </w:rPr>
        <w:tab/>
      </w:r>
      <w:r w:rsidR="00AE01D4" w:rsidRPr="0022269B">
        <w:rPr>
          <w:lang w:val="en-GB"/>
        </w:rPr>
        <w:t xml:space="preserve">The </w:t>
      </w:r>
      <w:r w:rsidR="00E47D47" w:rsidRPr="001E1CDD">
        <w:rPr>
          <w:lang w:val="en-GB"/>
        </w:rPr>
        <w:t>Refugee Protection Division</w:t>
      </w:r>
      <w:r w:rsidR="00E47D47" w:rsidRPr="00E47D47" w:rsidDel="00E47D47">
        <w:rPr>
          <w:lang w:val="en-GB"/>
        </w:rPr>
        <w:t xml:space="preserve"> </w:t>
      </w:r>
      <w:r w:rsidR="00AE01D4" w:rsidRPr="0022269B">
        <w:rPr>
          <w:lang w:val="en-GB"/>
        </w:rPr>
        <w:t xml:space="preserve">also found that the </w:t>
      </w:r>
      <w:r w:rsidR="00C014DD" w:rsidRPr="0022269B">
        <w:rPr>
          <w:lang w:val="en-GB"/>
        </w:rPr>
        <w:t>complainant</w:t>
      </w:r>
      <w:r w:rsidR="00AE01D4" w:rsidRPr="0022269B">
        <w:rPr>
          <w:lang w:val="en-GB"/>
        </w:rPr>
        <w:t>’s past behaviour was not consistent with that of someone who feared persecution in his country. In particular:</w:t>
      </w:r>
      <w:r w:rsidRPr="0022269B">
        <w:rPr>
          <w:lang w:val="en-GB"/>
        </w:rPr>
        <w:t xml:space="preserve"> </w:t>
      </w:r>
      <w:r w:rsidR="00AE01D4" w:rsidRPr="0022269B">
        <w:rPr>
          <w:lang w:val="en-GB"/>
        </w:rPr>
        <w:t xml:space="preserve">the </w:t>
      </w:r>
      <w:r w:rsidR="00C014DD" w:rsidRPr="0022269B">
        <w:rPr>
          <w:lang w:val="en-GB"/>
        </w:rPr>
        <w:t>complainant</w:t>
      </w:r>
      <w:r w:rsidR="00AE01D4" w:rsidRPr="0022269B">
        <w:rPr>
          <w:lang w:val="en-GB"/>
        </w:rPr>
        <w:t xml:space="preserve"> spent approximately three years in the United Kingdom</w:t>
      </w:r>
      <w:r w:rsidR="00B149E0">
        <w:rPr>
          <w:lang w:val="en-GB"/>
        </w:rPr>
        <w:t xml:space="preserve"> of Great Britain and Northern Ireland</w:t>
      </w:r>
      <w:r w:rsidR="00AE01D4" w:rsidRPr="0022269B">
        <w:rPr>
          <w:lang w:val="en-GB"/>
        </w:rPr>
        <w:t>, between May 2010 and March 2013, without claiming asylum there</w:t>
      </w:r>
      <w:r w:rsidRPr="0022269B">
        <w:rPr>
          <w:lang w:val="en-GB"/>
        </w:rPr>
        <w:t>; h</w:t>
      </w:r>
      <w:r w:rsidR="00AE01D4" w:rsidRPr="0022269B">
        <w:rPr>
          <w:lang w:val="en-GB"/>
        </w:rPr>
        <w:t>e travelled to Spain in Februa</w:t>
      </w:r>
      <w:r w:rsidRPr="0022269B">
        <w:rPr>
          <w:lang w:val="en-GB"/>
        </w:rPr>
        <w:t>ry 2013 without claiming asylum;</w:t>
      </w:r>
      <w:r w:rsidR="00AE01D4" w:rsidRPr="0022269B">
        <w:rPr>
          <w:lang w:val="en-GB"/>
        </w:rPr>
        <w:t xml:space="preserve"> the </w:t>
      </w:r>
      <w:r w:rsidR="00C014DD" w:rsidRPr="0022269B">
        <w:rPr>
          <w:lang w:val="en-GB"/>
        </w:rPr>
        <w:t>complainant</w:t>
      </w:r>
      <w:r w:rsidR="00AE01D4" w:rsidRPr="0022269B">
        <w:rPr>
          <w:lang w:val="en-GB"/>
        </w:rPr>
        <w:t xml:space="preserve"> delayed leaving Pakistan even though he had possessed a passport since March 2007 and had allegedly already received death threats before the alleged attack in January 2010</w:t>
      </w:r>
      <w:r w:rsidRPr="0022269B">
        <w:rPr>
          <w:lang w:val="en-GB"/>
        </w:rPr>
        <w:t>; he</w:t>
      </w:r>
      <w:r w:rsidR="00AE01D4" w:rsidRPr="0022269B">
        <w:rPr>
          <w:lang w:val="en-GB"/>
        </w:rPr>
        <w:t xml:space="preserve"> did not leave Pakistan for the first time until May 2010, when he </w:t>
      </w:r>
      <w:r w:rsidRPr="0022269B">
        <w:rPr>
          <w:lang w:val="en-GB"/>
        </w:rPr>
        <w:t>travelled to the United Kingdom; he</w:t>
      </w:r>
      <w:r w:rsidR="00AE01D4" w:rsidRPr="0022269B">
        <w:rPr>
          <w:lang w:val="en-GB"/>
        </w:rPr>
        <w:t xml:space="preserve"> returned to Pakistan from the United Kingdom in July 2012, despite stating that he had</w:t>
      </w:r>
      <w:r w:rsidRPr="0022269B">
        <w:rPr>
          <w:lang w:val="en-GB"/>
        </w:rPr>
        <w:t xml:space="preserve"> left Pakistan to save his life; </w:t>
      </w:r>
      <w:r w:rsidR="00AE01D4" w:rsidRPr="0022269B">
        <w:rPr>
          <w:lang w:val="en-GB"/>
        </w:rPr>
        <w:t xml:space="preserve">he delayed </w:t>
      </w:r>
      <w:r w:rsidR="00890FB1">
        <w:rPr>
          <w:lang w:val="en-GB"/>
        </w:rPr>
        <w:t>leaving</w:t>
      </w:r>
      <w:r w:rsidR="00AE01D4" w:rsidRPr="0022269B">
        <w:rPr>
          <w:lang w:val="en-GB"/>
        </w:rPr>
        <w:t xml:space="preserve"> the United Kingdom </w:t>
      </w:r>
      <w:r w:rsidR="00890FB1">
        <w:rPr>
          <w:lang w:val="en-GB"/>
        </w:rPr>
        <w:t>for</w:t>
      </w:r>
      <w:r w:rsidR="00890FB1" w:rsidRPr="0022269B">
        <w:rPr>
          <w:lang w:val="en-GB"/>
        </w:rPr>
        <w:t xml:space="preserve"> </w:t>
      </w:r>
      <w:r w:rsidRPr="0022269B">
        <w:rPr>
          <w:lang w:val="en-GB"/>
        </w:rPr>
        <w:t>Canada</w:t>
      </w:r>
      <w:r w:rsidR="00AE01D4" w:rsidRPr="0022269B">
        <w:rPr>
          <w:lang w:val="en-GB"/>
        </w:rPr>
        <w:t xml:space="preserve"> to seek refugee protection until March 2013, even though according to his testimony he had believed since late 2010 or early 2011 that he could not cla</w:t>
      </w:r>
      <w:r w:rsidRPr="0022269B">
        <w:rPr>
          <w:lang w:val="en-GB"/>
        </w:rPr>
        <w:t>im asylum in the United Kingdom; he</w:t>
      </w:r>
      <w:r w:rsidR="00AE01D4" w:rsidRPr="0022269B">
        <w:rPr>
          <w:lang w:val="en-GB"/>
        </w:rPr>
        <w:t xml:space="preserve"> initially sought admission to</w:t>
      </w:r>
      <w:r w:rsidRPr="0022269B">
        <w:rPr>
          <w:lang w:val="en-GB"/>
        </w:rPr>
        <w:t xml:space="preserve"> </w:t>
      </w:r>
      <w:r w:rsidR="00890FB1">
        <w:rPr>
          <w:lang w:val="en-GB"/>
        </w:rPr>
        <w:t xml:space="preserve">Canada </w:t>
      </w:r>
      <w:r w:rsidR="00AE01D4" w:rsidRPr="0022269B">
        <w:rPr>
          <w:lang w:val="en-GB"/>
        </w:rPr>
        <w:t>for vacation purposes and only claimed refugee protection after being questioned by an immigration officer</w:t>
      </w:r>
      <w:r w:rsidRPr="0022269B">
        <w:rPr>
          <w:lang w:val="en-GB"/>
        </w:rPr>
        <w:t>;</w:t>
      </w:r>
      <w:r w:rsidR="00890FB1">
        <w:rPr>
          <w:lang w:val="en-GB"/>
        </w:rPr>
        <w:t xml:space="preserve"> and</w:t>
      </w:r>
      <w:r w:rsidRPr="0022269B">
        <w:rPr>
          <w:lang w:val="en-GB"/>
        </w:rPr>
        <w:t xml:space="preserve"> he initially stated that he had problems with his family in his country and only later stated </w:t>
      </w:r>
      <w:r w:rsidR="00AE01D4" w:rsidRPr="0022269B">
        <w:rPr>
          <w:lang w:val="en-GB"/>
        </w:rPr>
        <w:t>that he had been threatened in Pakistan by reason of his religion</w:t>
      </w:r>
      <w:r w:rsidRPr="0022269B">
        <w:rPr>
          <w:lang w:val="en-GB"/>
        </w:rPr>
        <w:t xml:space="preserve">. </w:t>
      </w:r>
      <w:r w:rsidR="00AE01D4" w:rsidRPr="0022269B">
        <w:rPr>
          <w:lang w:val="en-GB"/>
        </w:rPr>
        <w:t>In</w:t>
      </w:r>
      <w:r w:rsidR="00890FB1">
        <w:rPr>
          <w:lang w:val="en-GB"/>
        </w:rPr>
        <w:t xml:space="preserve"> the</w:t>
      </w:r>
      <w:r w:rsidR="00AE01D4" w:rsidRPr="0022269B">
        <w:rPr>
          <w:lang w:val="en-GB"/>
        </w:rPr>
        <w:t xml:space="preserve"> light of the contradictions, omissions and inconsistencies it found, the </w:t>
      </w:r>
      <w:r w:rsidR="00E47D47">
        <w:rPr>
          <w:lang w:val="en-GB"/>
        </w:rPr>
        <w:t>Division</w:t>
      </w:r>
      <w:r w:rsidR="00E47D47" w:rsidRPr="0022269B">
        <w:rPr>
          <w:lang w:val="en-GB"/>
        </w:rPr>
        <w:t xml:space="preserve"> </w:t>
      </w:r>
      <w:r w:rsidR="00AE01D4" w:rsidRPr="0022269B">
        <w:rPr>
          <w:lang w:val="en-GB"/>
        </w:rPr>
        <w:t xml:space="preserve">granted only limited probative value to the evidence submitted by the </w:t>
      </w:r>
      <w:r w:rsidR="00C014DD" w:rsidRPr="0022269B">
        <w:rPr>
          <w:lang w:val="en-GB"/>
        </w:rPr>
        <w:t>complainant</w:t>
      </w:r>
      <w:r w:rsidR="00AE01D4" w:rsidRPr="0022269B">
        <w:rPr>
          <w:lang w:val="en-GB"/>
        </w:rPr>
        <w:t xml:space="preserve">, including medical and death certificates allegedly relating to his cousin’s death in January 2010 and a medical certificate allegedly concerning injuries sustained by the </w:t>
      </w:r>
      <w:r w:rsidR="00C014DD" w:rsidRPr="0022269B">
        <w:rPr>
          <w:lang w:val="en-GB"/>
        </w:rPr>
        <w:t>complainant</w:t>
      </w:r>
      <w:r w:rsidR="00AE01D4" w:rsidRPr="0022269B">
        <w:rPr>
          <w:lang w:val="en-GB"/>
        </w:rPr>
        <w:t xml:space="preserve"> during the same attack.</w:t>
      </w:r>
    </w:p>
    <w:p w14:paraId="316365CF" w14:textId="77777777" w:rsidR="00AE01D4" w:rsidRPr="0022269B" w:rsidRDefault="00905F83" w:rsidP="0022269B">
      <w:pPr>
        <w:pStyle w:val="SingleTxtG"/>
      </w:pPr>
      <w:r w:rsidRPr="0022269B">
        <w:rPr>
          <w:lang w:val="en-GB"/>
        </w:rPr>
        <w:t>4.10</w:t>
      </w:r>
      <w:r w:rsidRPr="0022269B">
        <w:rPr>
          <w:lang w:val="en-GB"/>
        </w:rPr>
        <w:tab/>
      </w:r>
      <w:r w:rsidR="00AE01D4" w:rsidRPr="0022269B">
        <w:rPr>
          <w:lang w:val="en-GB"/>
        </w:rPr>
        <w:t xml:space="preserve">The </w:t>
      </w:r>
      <w:r w:rsidR="00C014DD" w:rsidRPr="0022269B">
        <w:rPr>
          <w:lang w:val="en-GB"/>
        </w:rPr>
        <w:t>complainant</w:t>
      </w:r>
      <w:r w:rsidR="00AE01D4" w:rsidRPr="0022269B">
        <w:rPr>
          <w:lang w:val="en-GB"/>
        </w:rPr>
        <w:t xml:space="preserve"> appealed the </w:t>
      </w:r>
      <w:r w:rsidR="00E47D47" w:rsidRPr="001E1CDD">
        <w:rPr>
          <w:lang w:val="en-GB"/>
        </w:rPr>
        <w:t>Refugee Protection Division</w:t>
      </w:r>
      <w:r w:rsidR="00AE01D4" w:rsidRPr="0022269B">
        <w:rPr>
          <w:lang w:val="en-GB"/>
        </w:rPr>
        <w:t xml:space="preserve">’s decision </w:t>
      </w:r>
      <w:r w:rsidR="00720E7E">
        <w:rPr>
          <w:lang w:val="en-GB"/>
        </w:rPr>
        <w:t>before</w:t>
      </w:r>
      <w:r w:rsidR="00720E7E" w:rsidRPr="0022269B">
        <w:rPr>
          <w:lang w:val="en-GB"/>
        </w:rPr>
        <w:t xml:space="preserve"> </w:t>
      </w:r>
      <w:r w:rsidR="00AE01D4" w:rsidRPr="0022269B">
        <w:rPr>
          <w:lang w:val="en-GB"/>
        </w:rPr>
        <w:t>the Refugee App</w:t>
      </w:r>
      <w:r w:rsidR="00126BF5" w:rsidRPr="0022269B">
        <w:rPr>
          <w:lang w:val="en-GB"/>
        </w:rPr>
        <w:t xml:space="preserve">eal Division of the </w:t>
      </w:r>
      <w:r w:rsidR="002A58BF" w:rsidRPr="001E1CDD">
        <w:rPr>
          <w:lang w:val="en-GB"/>
        </w:rPr>
        <w:t>Immigration and Refugee Board</w:t>
      </w:r>
      <w:r w:rsidR="00126BF5" w:rsidRPr="0022269B">
        <w:rPr>
          <w:lang w:val="en-GB"/>
        </w:rPr>
        <w:t xml:space="preserve">, which </w:t>
      </w:r>
      <w:r w:rsidR="00AE01D4" w:rsidRPr="0022269B">
        <w:rPr>
          <w:lang w:val="en-GB"/>
        </w:rPr>
        <w:t xml:space="preserve">became operational on </w:t>
      </w:r>
      <w:r w:rsidR="00126BF5" w:rsidRPr="0022269B">
        <w:rPr>
          <w:lang w:val="en-GB"/>
        </w:rPr>
        <w:t xml:space="preserve">15 </w:t>
      </w:r>
      <w:r w:rsidR="00AE01D4" w:rsidRPr="0022269B">
        <w:rPr>
          <w:lang w:val="en-GB"/>
        </w:rPr>
        <w:t xml:space="preserve">December 2012. </w:t>
      </w:r>
      <w:r w:rsidR="00126BF5" w:rsidRPr="0022269B">
        <w:rPr>
          <w:lang w:val="en-GB"/>
        </w:rPr>
        <w:t>The</w:t>
      </w:r>
      <w:r w:rsidR="00AE01D4" w:rsidRPr="0022269B">
        <w:rPr>
          <w:lang w:val="en-GB"/>
        </w:rPr>
        <w:t xml:space="preserve"> </w:t>
      </w:r>
      <w:r w:rsidR="00537478" w:rsidRPr="00464EAE">
        <w:rPr>
          <w:lang w:val="en-GB"/>
        </w:rPr>
        <w:t xml:space="preserve">Refugee Appeal Division </w:t>
      </w:r>
      <w:r w:rsidR="00AE01D4" w:rsidRPr="0022269B">
        <w:rPr>
          <w:lang w:val="en-GB"/>
        </w:rPr>
        <w:t>is a specialized tribunal with expertise in refugee issues</w:t>
      </w:r>
      <w:r w:rsidR="00720E7E">
        <w:rPr>
          <w:lang w:val="en-GB"/>
        </w:rPr>
        <w:t>. I</w:t>
      </w:r>
      <w:r w:rsidR="00126BF5" w:rsidRPr="0022269B">
        <w:rPr>
          <w:lang w:val="en-GB"/>
        </w:rPr>
        <w:t xml:space="preserve">t may </w:t>
      </w:r>
      <w:r w:rsidR="00AE01D4" w:rsidRPr="0022269B">
        <w:rPr>
          <w:lang w:val="en-GB"/>
        </w:rPr>
        <w:t xml:space="preserve">decide </w:t>
      </w:r>
      <w:r w:rsidR="00720E7E">
        <w:rPr>
          <w:lang w:val="en-GB"/>
        </w:rPr>
        <w:t xml:space="preserve">on </w:t>
      </w:r>
      <w:r w:rsidR="00AE01D4" w:rsidRPr="0022269B">
        <w:rPr>
          <w:lang w:val="en-GB"/>
        </w:rPr>
        <w:t xml:space="preserve">appeals </w:t>
      </w:r>
      <w:r w:rsidR="00720E7E">
        <w:rPr>
          <w:lang w:val="en-GB"/>
        </w:rPr>
        <w:t>of</w:t>
      </w:r>
      <w:r w:rsidR="00720E7E" w:rsidRPr="0022269B">
        <w:rPr>
          <w:lang w:val="en-GB"/>
        </w:rPr>
        <w:t xml:space="preserve"> </w:t>
      </w:r>
      <w:r w:rsidR="00AE01D4" w:rsidRPr="0022269B">
        <w:rPr>
          <w:lang w:val="en-GB"/>
        </w:rPr>
        <w:t xml:space="preserve">decisions </w:t>
      </w:r>
      <w:r w:rsidR="00720E7E">
        <w:rPr>
          <w:lang w:val="en-GB"/>
        </w:rPr>
        <w:t>by</w:t>
      </w:r>
      <w:r w:rsidR="00720E7E" w:rsidRPr="0022269B">
        <w:rPr>
          <w:lang w:val="en-GB"/>
        </w:rPr>
        <w:t xml:space="preserve"> </w:t>
      </w:r>
      <w:r w:rsidR="00AE01D4" w:rsidRPr="0022269B">
        <w:rPr>
          <w:lang w:val="en-GB"/>
        </w:rPr>
        <w:t xml:space="preserve">the </w:t>
      </w:r>
      <w:r w:rsidR="002A58BF" w:rsidRPr="001E1CDD">
        <w:rPr>
          <w:lang w:val="en-GB"/>
        </w:rPr>
        <w:t>Refugee Protection Division</w:t>
      </w:r>
      <w:r w:rsidR="002A58BF" w:rsidRPr="002A58BF" w:rsidDel="002A58BF">
        <w:rPr>
          <w:lang w:val="en-GB"/>
        </w:rPr>
        <w:t xml:space="preserve"> </w:t>
      </w:r>
      <w:r w:rsidR="00AE01D4" w:rsidRPr="0022269B">
        <w:rPr>
          <w:lang w:val="en-GB"/>
        </w:rPr>
        <w:t>to allow or reject a person’s claim for refugee protection.</w:t>
      </w:r>
      <w:r w:rsidR="00703393" w:rsidRPr="0022269B">
        <w:rPr>
          <w:rStyle w:val="FootnoteReference"/>
          <w:lang w:val="en-GB"/>
        </w:rPr>
        <w:footnoteReference w:id="5"/>
      </w:r>
      <w:r w:rsidR="00126BF5" w:rsidRPr="0022269B">
        <w:rPr>
          <w:lang w:val="en-GB"/>
        </w:rPr>
        <w:t xml:space="preserve"> </w:t>
      </w:r>
      <w:r w:rsidR="00AE01D4" w:rsidRPr="0022269B">
        <w:rPr>
          <w:lang w:val="en-GB"/>
        </w:rPr>
        <w:t xml:space="preserve">Subject to certain exceptions, the </w:t>
      </w:r>
      <w:r w:rsidR="00537478" w:rsidRPr="00464EAE">
        <w:rPr>
          <w:lang w:val="en-GB"/>
        </w:rPr>
        <w:t xml:space="preserve">Refugee Appeal Division </w:t>
      </w:r>
      <w:r w:rsidR="00AE01D4" w:rsidRPr="0022269B">
        <w:rPr>
          <w:lang w:val="en-GB"/>
        </w:rPr>
        <w:t xml:space="preserve">only considers evidence that was in front of the </w:t>
      </w:r>
      <w:r w:rsidR="002A58BF" w:rsidRPr="001E1CDD">
        <w:rPr>
          <w:lang w:val="en-GB"/>
        </w:rPr>
        <w:t>Refugee Protection Division</w:t>
      </w:r>
      <w:r w:rsidR="00AE01D4" w:rsidRPr="0022269B">
        <w:rPr>
          <w:lang w:val="en-GB"/>
        </w:rPr>
        <w:t xml:space="preserve">. A claimant may provide the </w:t>
      </w:r>
      <w:r w:rsidR="00537478" w:rsidRPr="00464EAE">
        <w:rPr>
          <w:lang w:val="en-GB"/>
        </w:rPr>
        <w:t xml:space="preserve">Refugee Appeal Division </w:t>
      </w:r>
      <w:r w:rsidR="00AE01D4" w:rsidRPr="0022269B">
        <w:rPr>
          <w:lang w:val="en-GB"/>
        </w:rPr>
        <w:t xml:space="preserve">with evidence that was not </w:t>
      </w:r>
      <w:r w:rsidR="00720E7E">
        <w:rPr>
          <w:lang w:val="en-GB"/>
        </w:rPr>
        <w:t>provided to</w:t>
      </w:r>
      <w:r w:rsidR="00720E7E" w:rsidRPr="0022269B">
        <w:rPr>
          <w:lang w:val="en-GB"/>
        </w:rPr>
        <w:t xml:space="preserve"> </w:t>
      </w:r>
      <w:r w:rsidR="00AE01D4" w:rsidRPr="0022269B">
        <w:rPr>
          <w:lang w:val="en-GB"/>
        </w:rPr>
        <w:t xml:space="preserve">the </w:t>
      </w:r>
      <w:r w:rsidR="002A58BF" w:rsidRPr="001E1CDD">
        <w:rPr>
          <w:lang w:val="en-GB"/>
        </w:rPr>
        <w:t>Refugee Protection Division</w:t>
      </w:r>
      <w:r w:rsidR="002A58BF" w:rsidRPr="002A58BF" w:rsidDel="002A58BF">
        <w:rPr>
          <w:lang w:val="en-GB"/>
        </w:rPr>
        <w:t xml:space="preserve"> </w:t>
      </w:r>
      <w:r w:rsidR="00AE01D4" w:rsidRPr="0022269B">
        <w:rPr>
          <w:lang w:val="en-GB"/>
        </w:rPr>
        <w:t>when the evidence arose after the claim was rejected,</w:t>
      </w:r>
      <w:r w:rsidR="00720E7E">
        <w:rPr>
          <w:lang w:val="en-GB"/>
        </w:rPr>
        <w:t xml:space="preserve"> the evidence</w:t>
      </w:r>
      <w:r w:rsidR="00AE01D4" w:rsidRPr="0022269B">
        <w:rPr>
          <w:lang w:val="en-GB"/>
        </w:rPr>
        <w:t xml:space="preserve"> was not reasonably available or </w:t>
      </w:r>
      <w:r w:rsidR="00720E7E">
        <w:rPr>
          <w:lang w:val="en-GB"/>
        </w:rPr>
        <w:t xml:space="preserve">the evidence </w:t>
      </w:r>
      <w:r w:rsidR="00AE01D4" w:rsidRPr="0022269B">
        <w:rPr>
          <w:lang w:val="en-GB"/>
        </w:rPr>
        <w:t xml:space="preserve">could not reasonably have been presented to the </w:t>
      </w:r>
      <w:r w:rsidR="00720E7E" w:rsidRPr="001E1CDD">
        <w:rPr>
          <w:lang w:val="en-GB"/>
        </w:rPr>
        <w:t>Refugee Protection Division</w:t>
      </w:r>
      <w:r w:rsidR="00720E7E" w:rsidRPr="002A58BF" w:rsidDel="002A58BF">
        <w:rPr>
          <w:lang w:val="en-GB"/>
        </w:rPr>
        <w:t xml:space="preserve"> </w:t>
      </w:r>
      <w:r w:rsidR="00AE01D4" w:rsidRPr="0022269B">
        <w:rPr>
          <w:lang w:val="en-GB"/>
        </w:rPr>
        <w:t>at the time of the hearing</w:t>
      </w:r>
      <w:r w:rsidR="002A58BF">
        <w:rPr>
          <w:lang w:val="en-GB"/>
        </w:rPr>
        <w:t xml:space="preserve"> before that Division</w:t>
      </w:r>
      <w:r w:rsidR="00AE01D4" w:rsidRPr="0022269B">
        <w:rPr>
          <w:lang w:val="en-GB"/>
        </w:rPr>
        <w:t>.</w:t>
      </w:r>
      <w:r w:rsidR="00703393" w:rsidRPr="0022269B">
        <w:rPr>
          <w:rStyle w:val="FootnoteReference"/>
          <w:lang w:val="en-GB"/>
        </w:rPr>
        <w:footnoteReference w:id="6"/>
      </w:r>
      <w:r w:rsidRPr="0022269B">
        <w:rPr>
          <w:lang w:val="en-GB"/>
        </w:rPr>
        <w:t xml:space="preserve"> </w:t>
      </w:r>
      <w:r w:rsidR="00AE01D4" w:rsidRPr="0022269B">
        <w:rPr>
          <w:lang w:val="en-GB"/>
        </w:rPr>
        <w:t xml:space="preserve">An appeal to the </w:t>
      </w:r>
      <w:r w:rsidR="00537478" w:rsidRPr="00464EAE">
        <w:rPr>
          <w:lang w:val="en-GB"/>
        </w:rPr>
        <w:t xml:space="preserve">Refugee Appeal Division </w:t>
      </w:r>
      <w:r w:rsidR="00AE01D4" w:rsidRPr="0022269B">
        <w:rPr>
          <w:lang w:val="en-GB"/>
        </w:rPr>
        <w:t xml:space="preserve">is </w:t>
      </w:r>
      <w:r w:rsidR="00AE01D4" w:rsidRPr="0022269B">
        <w:rPr>
          <w:lang w:val="en-GB"/>
        </w:rPr>
        <w:lastRenderedPageBreak/>
        <w:t xml:space="preserve">generally a paper process, based on the written submissions and the evidence provided by the parties. However, the </w:t>
      </w:r>
      <w:r w:rsidR="00537478" w:rsidRPr="00464EAE">
        <w:rPr>
          <w:lang w:val="en-GB"/>
        </w:rPr>
        <w:t xml:space="preserve">Refugee Appeal Division </w:t>
      </w:r>
      <w:r w:rsidR="00AE01D4" w:rsidRPr="0022269B">
        <w:rPr>
          <w:lang w:val="en-GB"/>
        </w:rPr>
        <w:t>may hold a hearing if it is necessary to address serious issues with respect to credibility.</w:t>
      </w:r>
      <w:r w:rsidR="00703393" w:rsidRPr="0022269B">
        <w:rPr>
          <w:rStyle w:val="FootnoteReference"/>
          <w:lang w:val="en-GB"/>
        </w:rPr>
        <w:footnoteReference w:id="7"/>
      </w:r>
      <w:r w:rsidR="00AE01D4" w:rsidRPr="0022269B">
        <w:rPr>
          <w:lang w:val="en-GB"/>
        </w:rPr>
        <w:t xml:space="preserve"> Appeals are normally considered by a single member of the </w:t>
      </w:r>
      <w:r w:rsidR="00537478" w:rsidRPr="00464EAE">
        <w:rPr>
          <w:lang w:val="en-GB"/>
        </w:rPr>
        <w:t>Refugee Appeal Division</w:t>
      </w:r>
      <w:r w:rsidR="00AE01D4" w:rsidRPr="0022269B">
        <w:rPr>
          <w:lang w:val="en-GB"/>
        </w:rPr>
        <w:t>. However, a panel of three members may be constituted in certain circumstances (</w:t>
      </w:r>
      <w:r w:rsidR="009B0AC3">
        <w:rPr>
          <w:lang w:val="en-GB"/>
        </w:rPr>
        <w:t>for instance</w:t>
      </w:r>
      <w:r w:rsidR="00AE01D4" w:rsidRPr="0022269B">
        <w:rPr>
          <w:lang w:val="en-GB"/>
        </w:rPr>
        <w:t>, whe</w:t>
      </w:r>
      <w:r w:rsidR="009B0AC3">
        <w:rPr>
          <w:lang w:val="en-GB"/>
        </w:rPr>
        <w:t>n</w:t>
      </w:r>
      <w:r w:rsidR="00AE01D4" w:rsidRPr="0022269B">
        <w:rPr>
          <w:lang w:val="en-GB"/>
        </w:rPr>
        <w:t xml:space="preserve"> an appeal raises unusually complex or emerging legal issues). In cases </w:t>
      </w:r>
      <w:r w:rsidR="009B0AC3">
        <w:rPr>
          <w:lang w:val="en-GB"/>
        </w:rPr>
        <w:t>in which</w:t>
      </w:r>
      <w:r w:rsidR="009B0AC3" w:rsidRPr="0022269B">
        <w:rPr>
          <w:lang w:val="en-GB"/>
        </w:rPr>
        <w:t xml:space="preserve"> </w:t>
      </w:r>
      <w:r w:rsidR="00AE01D4" w:rsidRPr="0022269B">
        <w:rPr>
          <w:lang w:val="en-GB"/>
        </w:rPr>
        <w:t xml:space="preserve">a panel of three members has been constituted, the </w:t>
      </w:r>
      <w:r w:rsidR="00537478" w:rsidRPr="00464EAE">
        <w:rPr>
          <w:lang w:val="en-GB"/>
        </w:rPr>
        <w:t xml:space="preserve">Refugee Appeal Division </w:t>
      </w:r>
      <w:r w:rsidR="00AE01D4" w:rsidRPr="0022269B">
        <w:rPr>
          <w:lang w:val="en-GB"/>
        </w:rPr>
        <w:t>may accept written submissions from a representative or agent of the United Nations High Commissioner for Refugees.</w:t>
      </w:r>
      <w:r w:rsidR="00D942CB" w:rsidRPr="0022269B">
        <w:rPr>
          <w:rStyle w:val="FootnoteReference"/>
          <w:lang w:val="en-GB"/>
        </w:rPr>
        <w:footnoteReference w:id="8"/>
      </w:r>
      <w:r w:rsidRPr="0022269B">
        <w:rPr>
          <w:lang w:val="en-GB"/>
        </w:rPr>
        <w:t xml:space="preserve"> </w:t>
      </w:r>
      <w:r w:rsidR="00AE01D4" w:rsidRPr="0022269B">
        <w:rPr>
          <w:lang w:val="en-GB"/>
        </w:rPr>
        <w:t xml:space="preserve">The </w:t>
      </w:r>
      <w:r w:rsidR="00537478" w:rsidRPr="00464EAE">
        <w:rPr>
          <w:lang w:val="en-GB"/>
        </w:rPr>
        <w:t xml:space="preserve">Refugee Appeal Division </w:t>
      </w:r>
      <w:r w:rsidR="00AE01D4" w:rsidRPr="0022269B">
        <w:rPr>
          <w:lang w:val="en-GB"/>
        </w:rPr>
        <w:t xml:space="preserve">may allow an appeal if it is satisfied that there is an error of law, error of fact or error of mixed fact and law in the decision of the </w:t>
      </w:r>
      <w:r w:rsidR="002A58BF" w:rsidRPr="001E1CDD">
        <w:rPr>
          <w:lang w:val="en-GB"/>
        </w:rPr>
        <w:t>Refugee Protection Division</w:t>
      </w:r>
      <w:r w:rsidR="00AE01D4" w:rsidRPr="0022269B">
        <w:rPr>
          <w:lang w:val="en-GB"/>
        </w:rPr>
        <w:t xml:space="preserve">. If the </w:t>
      </w:r>
      <w:r w:rsidR="00537478" w:rsidRPr="00464EAE">
        <w:rPr>
          <w:lang w:val="en-GB"/>
        </w:rPr>
        <w:t xml:space="preserve">Refugee Appeal Division </w:t>
      </w:r>
      <w:r w:rsidR="00AE01D4" w:rsidRPr="0022269B">
        <w:rPr>
          <w:lang w:val="en-GB"/>
        </w:rPr>
        <w:t xml:space="preserve">is satisfied that such an error was made, it may substitute its own determination for that of the </w:t>
      </w:r>
      <w:r w:rsidR="002A58BF" w:rsidRPr="001E1CDD">
        <w:rPr>
          <w:lang w:val="en-GB"/>
        </w:rPr>
        <w:t>Refugee Protection Division</w:t>
      </w:r>
      <w:r w:rsidR="002A58BF" w:rsidRPr="002A58BF" w:rsidDel="002A58BF">
        <w:rPr>
          <w:lang w:val="en-GB"/>
        </w:rPr>
        <w:t xml:space="preserve"> </w:t>
      </w:r>
      <w:r w:rsidR="00AE01D4" w:rsidRPr="0022269B">
        <w:rPr>
          <w:lang w:val="en-GB"/>
        </w:rPr>
        <w:t xml:space="preserve">or return the matter for redetermination by the </w:t>
      </w:r>
      <w:r w:rsidR="002A58BF" w:rsidRPr="001E1CDD">
        <w:rPr>
          <w:lang w:val="en-GB"/>
        </w:rPr>
        <w:t>Refugee Protection Division</w:t>
      </w:r>
      <w:r w:rsidR="00AE01D4" w:rsidRPr="0022269B">
        <w:rPr>
          <w:lang w:val="en-GB"/>
        </w:rPr>
        <w:t>.</w:t>
      </w:r>
      <w:r w:rsidR="00D942CB" w:rsidRPr="0022269B">
        <w:rPr>
          <w:rStyle w:val="FootnoteReference"/>
          <w:lang w:val="en-GB"/>
        </w:rPr>
        <w:footnoteReference w:id="9"/>
      </w:r>
    </w:p>
    <w:p w14:paraId="4D4574B0" w14:textId="77777777" w:rsidR="00AE01D4" w:rsidRPr="0022269B" w:rsidRDefault="00905F83" w:rsidP="0022269B">
      <w:pPr>
        <w:pStyle w:val="SingleTxtG"/>
      </w:pPr>
      <w:r w:rsidRPr="0022269B">
        <w:rPr>
          <w:lang w:val="en-GB"/>
        </w:rPr>
        <w:t>4.11</w:t>
      </w:r>
      <w:r w:rsidRPr="0022269B">
        <w:rPr>
          <w:lang w:val="en-GB"/>
        </w:rPr>
        <w:tab/>
      </w:r>
      <w:r w:rsidR="00505616" w:rsidRPr="0022269B">
        <w:rPr>
          <w:lang w:val="en-GB"/>
        </w:rPr>
        <w:t>T</w:t>
      </w:r>
      <w:r w:rsidR="00AE01D4" w:rsidRPr="0022269B">
        <w:rPr>
          <w:lang w:val="en-GB"/>
        </w:rPr>
        <w:t xml:space="preserve">he </w:t>
      </w:r>
      <w:r w:rsidR="00C014DD" w:rsidRPr="0022269B">
        <w:rPr>
          <w:lang w:val="en-GB"/>
        </w:rPr>
        <w:t>complainant</w:t>
      </w:r>
      <w:r w:rsidR="00AE01D4" w:rsidRPr="0022269B">
        <w:rPr>
          <w:lang w:val="en-GB"/>
        </w:rPr>
        <w:t xml:space="preserve"> challenged the </w:t>
      </w:r>
      <w:r w:rsidR="002A58BF" w:rsidRPr="001E1CDD">
        <w:rPr>
          <w:lang w:val="en-GB"/>
        </w:rPr>
        <w:t>Refugee Protection Division</w:t>
      </w:r>
      <w:r w:rsidR="00AE01D4" w:rsidRPr="0022269B">
        <w:rPr>
          <w:lang w:val="en-GB"/>
        </w:rPr>
        <w:t xml:space="preserve">’s decision on the basis that </w:t>
      </w:r>
      <w:r w:rsidR="008A7561">
        <w:rPr>
          <w:lang w:val="en-GB"/>
        </w:rPr>
        <w:t>it</w:t>
      </w:r>
      <w:r w:rsidR="002A58BF" w:rsidRPr="002A58BF" w:rsidDel="002A58BF">
        <w:rPr>
          <w:lang w:val="en-GB"/>
        </w:rPr>
        <w:t xml:space="preserve"> </w:t>
      </w:r>
      <w:r w:rsidR="00AE01D4" w:rsidRPr="0022269B">
        <w:rPr>
          <w:lang w:val="en-GB"/>
        </w:rPr>
        <w:t xml:space="preserve">had erred in its assessment of his credibility, in particular by failing to consider all of the evidence. The </w:t>
      </w:r>
      <w:r w:rsidR="00C014DD" w:rsidRPr="0022269B">
        <w:rPr>
          <w:lang w:val="en-GB"/>
        </w:rPr>
        <w:t>complainant</w:t>
      </w:r>
      <w:r w:rsidR="00AE01D4" w:rsidRPr="0022269B">
        <w:rPr>
          <w:lang w:val="en-GB"/>
        </w:rPr>
        <w:t xml:space="preserve"> did not submit any new evidence and did not request an oral hearing. </w:t>
      </w:r>
      <w:r w:rsidRPr="0022269B">
        <w:rPr>
          <w:lang w:val="en-GB"/>
        </w:rPr>
        <w:t>He</w:t>
      </w:r>
      <w:r w:rsidR="00AE01D4" w:rsidRPr="0022269B">
        <w:rPr>
          <w:lang w:val="en-GB"/>
        </w:rPr>
        <w:t xml:space="preserve"> was represented by counsel.</w:t>
      </w:r>
      <w:r w:rsidRPr="0022269B">
        <w:rPr>
          <w:lang w:val="en-GB"/>
        </w:rPr>
        <w:t xml:space="preserve"> On 18</w:t>
      </w:r>
      <w:r w:rsidR="00AE01D4" w:rsidRPr="0022269B">
        <w:rPr>
          <w:lang w:val="en-GB"/>
        </w:rPr>
        <w:t xml:space="preserve"> October 2013, a single-member panel of the </w:t>
      </w:r>
      <w:r w:rsidR="00537478" w:rsidRPr="00464EAE">
        <w:rPr>
          <w:lang w:val="en-GB"/>
        </w:rPr>
        <w:t xml:space="preserve">Refugee Appeal Division </w:t>
      </w:r>
      <w:r w:rsidR="00AE01D4" w:rsidRPr="0022269B">
        <w:rPr>
          <w:lang w:val="en-GB"/>
        </w:rPr>
        <w:t xml:space="preserve">dismissed the </w:t>
      </w:r>
      <w:r w:rsidR="00C014DD" w:rsidRPr="0022269B">
        <w:rPr>
          <w:lang w:val="en-GB"/>
        </w:rPr>
        <w:t>complainant</w:t>
      </w:r>
      <w:r w:rsidR="00AE01D4" w:rsidRPr="0022269B">
        <w:rPr>
          <w:lang w:val="en-GB"/>
        </w:rPr>
        <w:t xml:space="preserve">’s appeal and confirmed the determination of the </w:t>
      </w:r>
      <w:r w:rsidR="002A58BF" w:rsidRPr="001E1CDD">
        <w:rPr>
          <w:lang w:val="en-GB"/>
        </w:rPr>
        <w:t>Refugee Protection Division</w:t>
      </w:r>
      <w:r w:rsidR="002A58BF" w:rsidRPr="002A58BF" w:rsidDel="002A58BF">
        <w:rPr>
          <w:lang w:val="en-GB"/>
        </w:rPr>
        <w:t xml:space="preserve"> </w:t>
      </w:r>
      <w:r w:rsidR="00AE01D4" w:rsidRPr="0022269B">
        <w:rPr>
          <w:lang w:val="en-GB"/>
        </w:rPr>
        <w:t xml:space="preserve">that the </w:t>
      </w:r>
      <w:r w:rsidR="00C014DD" w:rsidRPr="0022269B">
        <w:rPr>
          <w:lang w:val="en-GB"/>
        </w:rPr>
        <w:t>complainant</w:t>
      </w:r>
      <w:r w:rsidR="00AE01D4" w:rsidRPr="0022269B">
        <w:rPr>
          <w:lang w:val="en-GB"/>
        </w:rPr>
        <w:t xml:space="preserve"> was not a refugee or person in need of protection. </w:t>
      </w:r>
      <w:r w:rsidRPr="0022269B">
        <w:rPr>
          <w:lang w:val="en-GB"/>
        </w:rPr>
        <w:t xml:space="preserve">The </w:t>
      </w:r>
      <w:r w:rsidR="00537478" w:rsidRPr="00464EAE">
        <w:rPr>
          <w:lang w:val="en-GB"/>
        </w:rPr>
        <w:t xml:space="preserve">Refugee Appeal Division </w:t>
      </w:r>
      <w:r w:rsidR="00AE01D4" w:rsidRPr="0022269B">
        <w:rPr>
          <w:lang w:val="en-GB"/>
        </w:rPr>
        <w:t xml:space="preserve">concluded that the </w:t>
      </w:r>
      <w:r w:rsidR="002A58BF" w:rsidRPr="001E1CDD">
        <w:rPr>
          <w:lang w:val="en-GB"/>
        </w:rPr>
        <w:t>Refugee Protection Division</w:t>
      </w:r>
      <w:r w:rsidR="002A58BF" w:rsidRPr="002A58BF" w:rsidDel="002A58BF">
        <w:rPr>
          <w:lang w:val="en-GB"/>
        </w:rPr>
        <w:t xml:space="preserve"> </w:t>
      </w:r>
      <w:r w:rsidR="00AE01D4" w:rsidRPr="0022269B">
        <w:rPr>
          <w:lang w:val="en-GB"/>
        </w:rPr>
        <w:t xml:space="preserve">did not make any errors in its assessment of the </w:t>
      </w:r>
      <w:r w:rsidR="00C014DD" w:rsidRPr="0022269B">
        <w:rPr>
          <w:lang w:val="en-GB"/>
        </w:rPr>
        <w:t>complainant</w:t>
      </w:r>
      <w:r w:rsidR="00AE01D4" w:rsidRPr="0022269B">
        <w:rPr>
          <w:lang w:val="en-GB"/>
        </w:rPr>
        <w:t xml:space="preserve">’s credibility and that it had considered the evidence before it. The </w:t>
      </w:r>
      <w:r w:rsidR="00537478" w:rsidRPr="00464EAE">
        <w:rPr>
          <w:lang w:val="en-GB"/>
        </w:rPr>
        <w:t xml:space="preserve">Refugee Appeal Division </w:t>
      </w:r>
      <w:r w:rsidR="00AE01D4" w:rsidRPr="0022269B">
        <w:rPr>
          <w:lang w:val="en-GB"/>
        </w:rPr>
        <w:t xml:space="preserve">noted that the </w:t>
      </w:r>
      <w:r w:rsidR="002A58BF" w:rsidRPr="001E1CDD">
        <w:rPr>
          <w:lang w:val="en-GB"/>
        </w:rPr>
        <w:t>Refugee Protection Division</w:t>
      </w:r>
      <w:r w:rsidR="002A58BF" w:rsidRPr="002A58BF" w:rsidDel="002A58BF">
        <w:rPr>
          <w:lang w:val="en-GB"/>
        </w:rPr>
        <w:t xml:space="preserve"> </w:t>
      </w:r>
      <w:r w:rsidR="00AE01D4" w:rsidRPr="0022269B">
        <w:rPr>
          <w:lang w:val="en-GB"/>
        </w:rPr>
        <w:t xml:space="preserve">considered not only the appellant’s allegations, but also the responses and explanations that he gave during the hearing, as well as various pieces of evidence on the record. The </w:t>
      </w:r>
      <w:r w:rsidR="00537478" w:rsidRPr="00464EAE">
        <w:rPr>
          <w:lang w:val="en-GB"/>
        </w:rPr>
        <w:t xml:space="preserve">Refugee Appeal Division </w:t>
      </w:r>
      <w:r w:rsidR="00AE01D4" w:rsidRPr="0022269B">
        <w:rPr>
          <w:lang w:val="en-GB"/>
        </w:rPr>
        <w:t xml:space="preserve">also determined that the </w:t>
      </w:r>
      <w:r w:rsidR="002A58BF" w:rsidRPr="001E1CDD">
        <w:rPr>
          <w:lang w:val="en-GB"/>
        </w:rPr>
        <w:t>Refugee Protection Division</w:t>
      </w:r>
      <w:r w:rsidR="00AE01D4" w:rsidRPr="0022269B">
        <w:rPr>
          <w:lang w:val="en-GB"/>
        </w:rPr>
        <w:t xml:space="preserve">’s decision was consistent with </w:t>
      </w:r>
      <w:r w:rsidRPr="0022269B">
        <w:rPr>
          <w:lang w:val="en-GB"/>
        </w:rPr>
        <w:t>author</w:t>
      </w:r>
      <w:r w:rsidR="00AE01D4" w:rsidRPr="0022269B">
        <w:rPr>
          <w:lang w:val="en-GB"/>
        </w:rPr>
        <w:t xml:space="preserve">itative Canadian case law related to adverse credibility findings, inferences that can be drawn from the failure to claim refugee protection at the earliest opportunity, and the rejection or granting of low probative value to evidence that merely reiterates a version of the facts that the </w:t>
      </w:r>
      <w:r w:rsidR="002A58BF" w:rsidRPr="001E1CDD">
        <w:rPr>
          <w:lang w:val="en-GB"/>
        </w:rPr>
        <w:t>Refugee Protection Division</w:t>
      </w:r>
      <w:r w:rsidR="002A58BF" w:rsidRPr="002A58BF" w:rsidDel="002A58BF">
        <w:rPr>
          <w:lang w:val="en-GB"/>
        </w:rPr>
        <w:t xml:space="preserve"> </w:t>
      </w:r>
      <w:r w:rsidR="00AE01D4" w:rsidRPr="0022269B">
        <w:rPr>
          <w:lang w:val="en-GB"/>
        </w:rPr>
        <w:t xml:space="preserve">considered to be not very credible. </w:t>
      </w:r>
    </w:p>
    <w:p w14:paraId="7C9A7081" w14:textId="77777777" w:rsidR="003B01C7" w:rsidRPr="0022269B" w:rsidRDefault="003B01C7" w:rsidP="0022269B">
      <w:pPr>
        <w:pStyle w:val="SingleTxtG"/>
      </w:pPr>
      <w:r w:rsidRPr="0022269B">
        <w:rPr>
          <w:lang w:val="en-GB"/>
        </w:rPr>
        <w:t>4.12</w:t>
      </w:r>
      <w:r w:rsidRPr="0022269B">
        <w:rPr>
          <w:lang w:val="en-GB"/>
        </w:rPr>
        <w:tab/>
      </w:r>
      <w:r w:rsidR="00AE01D4" w:rsidRPr="0022269B">
        <w:rPr>
          <w:lang w:val="en-GB"/>
        </w:rPr>
        <w:t xml:space="preserve">The </w:t>
      </w:r>
      <w:r w:rsidR="00C014DD" w:rsidRPr="0022269B">
        <w:rPr>
          <w:lang w:val="en-GB"/>
        </w:rPr>
        <w:t>complainant</w:t>
      </w:r>
      <w:r w:rsidR="00AE01D4" w:rsidRPr="0022269B">
        <w:rPr>
          <w:lang w:val="en-GB"/>
        </w:rPr>
        <w:t xml:space="preserve"> applied for leave to apply for judicial review of the </w:t>
      </w:r>
      <w:r w:rsidR="00537478" w:rsidRPr="00464EAE">
        <w:rPr>
          <w:lang w:val="en-GB"/>
        </w:rPr>
        <w:t>Refugee Appeal Division</w:t>
      </w:r>
      <w:r w:rsidR="00537478">
        <w:rPr>
          <w:lang w:val="en-GB"/>
        </w:rPr>
        <w:t>’s</w:t>
      </w:r>
      <w:r w:rsidR="00537478" w:rsidRPr="00464EAE">
        <w:rPr>
          <w:lang w:val="en-GB"/>
        </w:rPr>
        <w:t xml:space="preserve"> </w:t>
      </w:r>
      <w:r w:rsidR="00AE01D4" w:rsidRPr="0022269B">
        <w:rPr>
          <w:lang w:val="en-GB"/>
        </w:rPr>
        <w:t xml:space="preserve">decision on </w:t>
      </w:r>
      <w:r w:rsidRPr="0022269B">
        <w:rPr>
          <w:lang w:val="en-GB"/>
        </w:rPr>
        <w:t xml:space="preserve">5 </w:t>
      </w:r>
      <w:r w:rsidR="00AE01D4" w:rsidRPr="0022269B">
        <w:rPr>
          <w:lang w:val="en-GB"/>
        </w:rPr>
        <w:t xml:space="preserve">December 2013. The Federal Court denied leave on </w:t>
      </w:r>
      <w:r w:rsidRPr="0022269B">
        <w:rPr>
          <w:lang w:val="en-GB"/>
        </w:rPr>
        <w:t>13 February</w:t>
      </w:r>
      <w:r w:rsidR="00AE01D4" w:rsidRPr="0022269B">
        <w:rPr>
          <w:lang w:val="en-GB"/>
        </w:rPr>
        <w:t xml:space="preserve"> 2014, due to the </w:t>
      </w:r>
      <w:r w:rsidR="00C014DD" w:rsidRPr="0022269B">
        <w:rPr>
          <w:lang w:val="en-GB"/>
        </w:rPr>
        <w:t>complainant</w:t>
      </w:r>
      <w:r w:rsidR="00AE01D4" w:rsidRPr="0022269B">
        <w:rPr>
          <w:lang w:val="en-GB"/>
        </w:rPr>
        <w:t xml:space="preserve">’s failure to file the required materials. The </w:t>
      </w:r>
      <w:r w:rsidR="00C014DD" w:rsidRPr="0022269B">
        <w:rPr>
          <w:lang w:val="en-GB"/>
        </w:rPr>
        <w:t>complainant</w:t>
      </w:r>
      <w:r w:rsidR="00AE01D4" w:rsidRPr="0022269B">
        <w:rPr>
          <w:lang w:val="en-GB"/>
        </w:rPr>
        <w:t xml:space="preserve"> was represented by counsel for his Federal Court proceedings. </w:t>
      </w:r>
    </w:p>
    <w:p w14:paraId="4BDB0CA2" w14:textId="77777777" w:rsidR="00AE01D4" w:rsidRPr="0022269B" w:rsidRDefault="003B01C7" w:rsidP="0022269B">
      <w:pPr>
        <w:pStyle w:val="SingleTxtG"/>
      </w:pPr>
      <w:r w:rsidRPr="0022269B">
        <w:rPr>
          <w:lang w:val="en-GB"/>
        </w:rPr>
        <w:t>4.13</w:t>
      </w:r>
      <w:r w:rsidRPr="0022269B">
        <w:rPr>
          <w:lang w:val="en-GB"/>
        </w:rPr>
        <w:tab/>
        <w:t>The State party submits that</w:t>
      </w:r>
      <w:r w:rsidR="001B10F6">
        <w:rPr>
          <w:lang w:val="en-GB"/>
        </w:rPr>
        <w:t>,</w:t>
      </w:r>
      <w:r w:rsidRPr="0022269B">
        <w:rPr>
          <w:lang w:val="en-GB"/>
        </w:rPr>
        <w:t xml:space="preserve"> s</w:t>
      </w:r>
      <w:r w:rsidR="00AE01D4" w:rsidRPr="0022269B">
        <w:rPr>
          <w:lang w:val="en-GB"/>
        </w:rPr>
        <w:t>ince filing his communication with th</w:t>
      </w:r>
      <w:r w:rsidRPr="0022269B">
        <w:rPr>
          <w:lang w:val="en-GB"/>
        </w:rPr>
        <w:t>e</w:t>
      </w:r>
      <w:r w:rsidR="00AE01D4" w:rsidRPr="0022269B">
        <w:rPr>
          <w:lang w:val="en-GB"/>
        </w:rPr>
        <w:t xml:space="preserve"> Committee, the </w:t>
      </w:r>
      <w:r w:rsidR="00C014DD" w:rsidRPr="0022269B">
        <w:rPr>
          <w:lang w:val="en-GB"/>
        </w:rPr>
        <w:t>complainant</w:t>
      </w:r>
      <w:r w:rsidR="00AE01D4" w:rsidRPr="0022269B">
        <w:rPr>
          <w:lang w:val="en-GB"/>
        </w:rPr>
        <w:t xml:space="preserve"> </w:t>
      </w:r>
      <w:r w:rsidRPr="0022269B">
        <w:rPr>
          <w:lang w:val="en-GB"/>
        </w:rPr>
        <w:t>has beco</w:t>
      </w:r>
      <w:r w:rsidR="00AE01D4" w:rsidRPr="0022269B">
        <w:rPr>
          <w:lang w:val="en-GB"/>
        </w:rPr>
        <w:t>me eligible for a pre-removal risk assessment</w:t>
      </w:r>
      <w:r w:rsidR="008A7561">
        <w:rPr>
          <w:lang w:val="en-GB"/>
        </w:rPr>
        <w:t>,</w:t>
      </w:r>
      <w:r w:rsidR="00AE01D4" w:rsidRPr="0022269B">
        <w:rPr>
          <w:lang w:val="en-GB"/>
        </w:rPr>
        <w:t xml:space="preserve"> </w:t>
      </w:r>
      <w:r w:rsidRPr="0022269B">
        <w:rPr>
          <w:lang w:val="en-GB"/>
        </w:rPr>
        <w:t>that he ap</w:t>
      </w:r>
      <w:r w:rsidR="00AE01D4" w:rsidRPr="0022269B">
        <w:rPr>
          <w:lang w:val="en-GB"/>
        </w:rPr>
        <w:t xml:space="preserve">plied for </w:t>
      </w:r>
      <w:r w:rsidR="008A7561">
        <w:rPr>
          <w:lang w:val="en-GB"/>
        </w:rPr>
        <w:t xml:space="preserve">such an assessment </w:t>
      </w:r>
      <w:r w:rsidR="00AE01D4" w:rsidRPr="0022269B">
        <w:rPr>
          <w:lang w:val="en-GB"/>
        </w:rPr>
        <w:t xml:space="preserve">on </w:t>
      </w:r>
      <w:r w:rsidRPr="0022269B">
        <w:rPr>
          <w:lang w:val="en-GB"/>
        </w:rPr>
        <w:t xml:space="preserve">2 </w:t>
      </w:r>
      <w:r w:rsidR="00AE01D4" w:rsidRPr="0022269B">
        <w:rPr>
          <w:lang w:val="en-GB"/>
        </w:rPr>
        <w:t>December 2014</w:t>
      </w:r>
      <w:r w:rsidRPr="0022269B">
        <w:rPr>
          <w:lang w:val="en-GB"/>
        </w:rPr>
        <w:t xml:space="preserve"> and that h</w:t>
      </w:r>
      <w:r w:rsidR="00AE01D4" w:rsidRPr="0022269B">
        <w:rPr>
          <w:lang w:val="en-GB"/>
        </w:rPr>
        <w:t xml:space="preserve">e is subject to a legislative stay of removal pending the determination of his </w:t>
      </w:r>
      <w:r w:rsidR="008A7561">
        <w:rPr>
          <w:lang w:val="en-GB"/>
        </w:rPr>
        <w:t>assessment</w:t>
      </w:r>
      <w:r w:rsidR="00AE01D4" w:rsidRPr="0022269B">
        <w:rPr>
          <w:lang w:val="en-GB"/>
        </w:rPr>
        <w:t>.</w:t>
      </w:r>
      <w:r w:rsidRPr="0022269B">
        <w:rPr>
          <w:lang w:val="en-GB"/>
        </w:rPr>
        <w:t xml:space="preserve"> </w:t>
      </w:r>
      <w:r w:rsidR="008A7561">
        <w:rPr>
          <w:lang w:val="en-GB"/>
        </w:rPr>
        <w:t>P</w:t>
      </w:r>
      <w:r w:rsidR="008A7561" w:rsidRPr="00464EAE">
        <w:rPr>
          <w:lang w:val="en-GB"/>
        </w:rPr>
        <w:t>re-removal risk assessment</w:t>
      </w:r>
      <w:r w:rsidR="008A7561" w:rsidRPr="008A7561" w:rsidDel="008A7561">
        <w:rPr>
          <w:lang w:val="en-GB"/>
        </w:rPr>
        <w:t xml:space="preserve"> </w:t>
      </w:r>
      <w:r w:rsidR="00AE01D4" w:rsidRPr="0022269B">
        <w:rPr>
          <w:lang w:val="en-GB"/>
        </w:rPr>
        <w:t xml:space="preserve">applications are considered by officers who are specially trained to assess risk and, more particularly, to consider the Canadian Charter of Rights and Freedoms as well as international human rights obligations relating to refugee protection. In addition to their training on human rights, international instruments and international law, </w:t>
      </w:r>
      <w:r w:rsidR="001B10F6" w:rsidRPr="00464EAE">
        <w:rPr>
          <w:lang w:val="en-GB"/>
        </w:rPr>
        <w:t>pre-removal risk assessment</w:t>
      </w:r>
      <w:r w:rsidR="001B10F6" w:rsidRPr="001B10F6" w:rsidDel="001B10F6">
        <w:rPr>
          <w:lang w:val="en-GB"/>
        </w:rPr>
        <w:t xml:space="preserve"> </w:t>
      </w:r>
      <w:r w:rsidR="00AE01D4" w:rsidRPr="0022269B">
        <w:rPr>
          <w:lang w:val="en-GB"/>
        </w:rPr>
        <w:t xml:space="preserve">officers receive instruction on administrative law and jurisprudence. For persons like the </w:t>
      </w:r>
      <w:r w:rsidR="00C014DD" w:rsidRPr="0022269B">
        <w:rPr>
          <w:lang w:val="en-GB"/>
        </w:rPr>
        <w:t>complainant</w:t>
      </w:r>
      <w:r w:rsidR="001B10F6">
        <w:rPr>
          <w:lang w:val="en-GB"/>
        </w:rPr>
        <w:t>,</w:t>
      </w:r>
      <w:r w:rsidR="00AE01D4" w:rsidRPr="0022269B">
        <w:rPr>
          <w:lang w:val="en-GB"/>
        </w:rPr>
        <w:t xml:space="preserve"> who have already had their claim determined by the </w:t>
      </w:r>
      <w:r w:rsidR="002A58BF" w:rsidRPr="001E1CDD">
        <w:rPr>
          <w:lang w:val="en-GB"/>
        </w:rPr>
        <w:t>Immigration and Refugee Board</w:t>
      </w:r>
      <w:r w:rsidR="00AE01D4" w:rsidRPr="0022269B">
        <w:rPr>
          <w:lang w:val="en-GB"/>
        </w:rPr>
        <w:t xml:space="preserve">, a </w:t>
      </w:r>
      <w:r w:rsidR="001B10F6" w:rsidRPr="00464EAE">
        <w:rPr>
          <w:lang w:val="en-GB"/>
        </w:rPr>
        <w:t>pre-removal risk assessment</w:t>
      </w:r>
      <w:r w:rsidR="001B10F6" w:rsidRPr="001B10F6" w:rsidDel="001B10F6">
        <w:rPr>
          <w:lang w:val="en-GB"/>
        </w:rPr>
        <w:t xml:space="preserve"> </w:t>
      </w:r>
      <w:r w:rsidR="00AE01D4" w:rsidRPr="0022269B">
        <w:rPr>
          <w:lang w:val="en-GB"/>
        </w:rPr>
        <w:t xml:space="preserve">application is an evaluation largely based on new </w:t>
      </w:r>
      <w:r w:rsidR="00AE01D4" w:rsidRPr="0022269B">
        <w:rPr>
          <w:lang w:val="en-GB"/>
        </w:rPr>
        <w:lastRenderedPageBreak/>
        <w:t xml:space="preserve">facts or evidence that may demonstrate that the person is now at risk of persecution, torture, risk to life or risk of cruel or unusual treatment or punishment. Its purpose is to assess whether there have been any new developments since the final </w:t>
      </w:r>
      <w:r w:rsidR="002A58BF" w:rsidRPr="001E1CDD">
        <w:rPr>
          <w:lang w:val="en-GB"/>
        </w:rPr>
        <w:t>Immigration and Refugee Board</w:t>
      </w:r>
      <w:r w:rsidR="002A58BF" w:rsidRPr="002A58BF" w:rsidDel="002A58BF">
        <w:rPr>
          <w:lang w:val="en-GB"/>
        </w:rPr>
        <w:t xml:space="preserve"> </w:t>
      </w:r>
      <w:r w:rsidR="00AE01D4" w:rsidRPr="0022269B">
        <w:rPr>
          <w:lang w:val="en-GB"/>
        </w:rPr>
        <w:t>determination that could affect the risk assessment. For this reason, section 113</w:t>
      </w:r>
      <w:r w:rsidR="005B449C">
        <w:rPr>
          <w:lang w:val="en-GB"/>
        </w:rPr>
        <w:t xml:space="preserve"> </w:t>
      </w:r>
      <w:r w:rsidR="00AE01D4" w:rsidRPr="0022269B">
        <w:rPr>
          <w:lang w:val="en-GB"/>
        </w:rPr>
        <w:t xml:space="preserve">(a) of the </w:t>
      </w:r>
      <w:r w:rsidR="002A58BF" w:rsidRPr="001E1CDD">
        <w:rPr>
          <w:iCs/>
          <w:lang w:val="en-GB"/>
        </w:rPr>
        <w:t>Immigration and Refugee Protection Act</w:t>
      </w:r>
      <w:r w:rsidR="00AE01D4" w:rsidRPr="0022269B">
        <w:rPr>
          <w:lang w:val="en-GB"/>
        </w:rPr>
        <w:t xml:space="preserve"> provides that evidence submitted for the purpose of a </w:t>
      </w:r>
      <w:r w:rsidR="001B10F6" w:rsidRPr="00464EAE">
        <w:rPr>
          <w:lang w:val="en-GB"/>
        </w:rPr>
        <w:t>pre-removal risk assessment</w:t>
      </w:r>
      <w:r w:rsidR="001B10F6" w:rsidRPr="001B10F6" w:rsidDel="001B10F6">
        <w:rPr>
          <w:lang w:val="en-GB"/>
        </w:rPr>
        <w:t xml:space="preserve"> </w:t>
      </w:r>
      <w:r w:rsidR="00AE01D4" w:rsidRPr="0022269B">
        <w:rPr>
          <w:lang w:val="en-GB"/>
        </w:rPr>
        <w:t>must be “new evidence that arose after the rejection [of the claim to refugee protection] or was not reasonably available, or that the applicant could not reasonably have been expected in the circumstances to have presented, at the time of the rejection</w:t>
      </w:r>
      <w:r w:rsidR="001B10F6">
        <w:rPr>
          <w:lang w:val="en-GB"/>
        </w:rPr>
        <w:t>.</w:t>
      </w:r>
      <w:r w:rsidR="00AE01D4" w:rsidRPr="0022269B">
        <w:rPr>
          <w:lang w:val="en-GB"/>
        </w:rPr>
        <w:t>”</w:t>
      </w:r>
      <w:r w:rsidRPr="0022269B">
        <w:rPr>
          <w:lang w:val="en-GB"/>
        </w:rPr>
        <w:t xml:space="preserve"> </w:t>
      </w:r>
      <w:r w:rsidR="001B10F6">
        <w:rPr>
          <w:lang w:val="en-GB"/>
        </w:rPr>
        <w:t>P</w:t>
      </w:r>
      <w:r w:rsidR="001B10F6" w:rsidRPr="00464EAE">
        <w:rPr>
          <w:lang w:val="en-GB"/>
        </w:rPr>
        <w:t>re-removal risk assessment</w:t>
      </w:r>
      <w:r w:rsidR="001B10F6" w:rsidRPr="001B10F6" w:rsidDel="001B10F6">
        <w:rPr>
          <w:lang w:val="en-GB"/>
        </w:rPr>
        <w:t xml:space="preserve"> </w:t>
      </w:r>
      <w:r w:rsidR="00AE01D4" w:rsidRPr="0022269B">
        <w:rPr>
          <w:lang w:val="en-GB"/>
        </w:rPr>
        <w:t xml:space="preserve">decisions may be judicially reviewed by the Federal Court with leave. A judicial stay of removal pending the disposition of that application or the disposition of any application for judicial review of the decision may also be available. To grant a stay, the Court must be satisfied that there is a serious issue with the decision, there is a risk of irreparable harm to the person concerned, and that the balance of convenience </w:t>
      </w:r>
      <w:r w:rsidR="006B087A" w:rsidRPr="0022269B">
        <w:rPr>
          <w:lang w:val="en-GB"/>
        </w:rPr>
        <w:t>favo</w:t>
      </w:r>
      <w:r w:rsidR="001B10F6">
        <w:rPr>
          <w:lang w:val="en-GB"/>
        </w:rPr>
        <w:t>u</w:t>
      </w:r>
      <w:r w:rsidR="006B087A" w:rsidRPr="0022269B">
        <w:rPr>
          <w:lang w:val="en-GB"/>
        </w:rPr>
        <w:t>rs</w:t>
      </w:r>
      <w:r w:rsidR="00AE01D4" w:rsidRPr="0022269B">
        <w:rPr>
          <w:lang w:val="en-GB"/>
        </w:rPr>
        <w:t xml:space="preserve"> the applicant.</w:t>
      </w:r>
    </w:p>
    <w:p w14:paraId="2D8081CA" w14:textId="77777777" w:rsidR="00AE01D4" w:rsidRPr="0022269B" w:rsidRDefault="003B01C7" w:rsidP="0022269B">
      <w:pPr>
        <w:pStyle w:val="SingleTxtG"/>
      </w:pPr>
      <w:r w:rsidRPr="0022269B">
        <w:rPr>
          <w:lang w:val="en-GB"/>
        </w:rPr>
        <w:t>4.14</w:t>
      </w:r>
      <w:r w:rsidRPr="0022269B">
        <w:rPr>
          <w:lang w:val="en-GB"/>
        </w:rPr>
        <w:tab/>
      </w:r>
      <w:r w:rsidR="00AE01D4" w:rsidRPr="0022269B">
        <w:rPr>
          <w:lang w:val="en-GB"/>
        </w:rPr>
        <w:t xml:space="preserve">On </w:t>
      </w:r>
      <w:r w:rsidRPr="0022269B">
        <w:rPr>
          <w:lang w:val="en-GB"/>
        </w:rPr>
        <w:t xml:space="preserve">18 </w:t>
      </w:r>
      <w:r w:rsidR="00AE01D4" w:rsidRPr="0022269B">
        <w:rPr>
          <w:lang w:val="en-GB"/>
        </w:rPr>
        <w:t xml:space="preserve">October 2014, the </w:t>
      </w:r>
      <w:r w:rsidR="00C014DD" w:rsidRPr="0022269B">
        <w:rPr>
          <w:lang w:val="en-GB"/>
        </w:rPr>
        <w:t>complainant</w:t>
      </w:r>
      <w:r w:rsidR="00AE01D4" w:rsidRPr="0022269B">
        <w:rPr>
          <w:lang w:val="en-GB"/>
        </w:rPr>
        <w:t xml:space="preserve"> became eligible to apply for permanent residence in </w:t>
      </w:r>
      <w:r w:rsidRPr="0022269B">
        <w:rPr>
          <w:lang w:val="en-GB"/>
        </w:rPr>
        <w:t>t</w:t>
      </w:r>
      <w:r w:rsidR="00C014DD" w:rsidRPr="0022269B">
        <w:rPr>
          <w:lang w:val="en-GB"/>
        </w:rPr>
        <w:t>he State party</w:t>
      </w:r>
      <w:r w:rsidR="00AE01D4" w:rsidRPr="0022269B">
        <w:rPr>
          <w:lang w:val="en-GB"/>
        </w:rPr>
        <w:t xml:space="preserve"> on the basis of humanitarian and compassionate  considerations</w:t>
      </w:r>
      <w:r w:rsidRPr="0022269B">
        <w:rPr>
          <w:lang w:val="en-GB"/>
        </w:rPr>
        <w:t xml:space="preserve"> and he</w:t>
      </w:r>
      <w:r w:rsidR="00AE01D4" w:rsidRPr="0022269B">
        <w:rPr>
          <w:lang w:val="en-GB"/>
        </w:rPr>
        <w:t xml:space="preserve"> submitted </w:t>
      </w:r>
      <w:r w:rsidR="0016615C" w:rsidRPr="0016615C">
        <w:rPr>
          <w:lang w:val="en-GB"/>
        </w:rPr>
        <w:t>an</w:t>
      </w:r>
      <w:r w:rsidR="00AE01D4" w:rsidRPr="0022269B">
        <w:rPr>
          <w:lang w:val="en-GB"/>
        </w:rPr>
        <w:t xml:space="preserve"> application</w:t>
      </w:r>
      <w:r w:rsidR="001B10F6">
        <w:rPr>
          <w:lang w:val="en-GB"/>
        </w:rPr>
        <w:t xml:space="preserve"> on that basis</w:t>
      </w:r>
      <w:r w:rsidR="00AE01D4" w:rsidRPr="0022269B">
        <w:rPr>
          <w:lang w:val="en-GB"/>
        </w:rPr>
        <w:t xml:space="preserve"> on </w:t>
      </w:r>
      <w:r w:rsidRPr="0022269B">
        <w:rPr>
          <w:lang w:val="en-GB"/>
        </w:rPr>
        <w:t xml:space="preserve">17 </w:t>
      </w:r>
      <w:r w:rsidR="00AE01D4" w:rsidRPr="0022269B">
        <w:rPr>
          <w:lang w:val="en-GB"/>
        </w:rPr>
        <w:t xml:space="preserve">December 2014. </w:t>
      </w:r>
      <w:r w:rsidR="001B10F6">
        <w:rPr>
          <w:lang w:val="en-GB"/>
        </w:rPr>
        <w:t>Such</w:t>
      </w:r>
      <w:r w:rsidR="00AE01D4" w:rsidRPr="0022269B">
        <w:rPr>
          <w:lang w:val="en-GB"/>
        </w:rPr>
        <w:t xml:space="preserve"> application</w:t>
      </w:r>
      <w:r w:rsidRPr="0022269B">
        <w:rPr>
          <w:lang w:val="en-GB"/>
        </w:rPr>
        <w:t>s</w:t>
      </w:r>
      <w:r w:rsidR="00AE01D4" w:rsidRPr="0022269B">
        <w:rPr>
          <w:lang w:val="en-GB"/>
        </w:rPr>
        <w:t xml:space="preserve"> must be considered by the Minister of Citizenship and Immigration or his delegate. The assessment consists of a broad, discretionary review by the decision</w:t>
      </w:r>
      <w:r w:rsidR="0016615C">
        <w:rPr>
          <w:lang w:val="en-GB"/>
        </w:rPr>
        <w:t xml:space="preserve"> </w:t>
      </w:r>
      <w:r w:rsidR="00AE01D4" w:rsidRPr="0022269B">
        <w:rPr>
          <w:lang w:val="en-GB"/>
        </w:rPr>
        <w:t xml:space="preserve">maker to determine whether a person should be granted permanent residency for humanitarian and compassionate reasons. The test is whether the applicant would suffer unusual and undeserved or disproportionate hardship if he or she had to apply for a permanent resident visa from outside of </w:t>
      </w:r>
      <w:r w:rsidRPr="0022269B">
        <w:rPr>
          <w:lang w:val="en-GB"/>
        </w:rPr>
        <w:t>Canada</w:t>
      </w:r>
      <w:r w:rsidR="00AE01D4" w:rsidRPr="0022269B">
        <w:rPr>
          <w:lang w:val="en-GB"/>
        </w:rPr>
        <w:t>. The decision</w:t>
      </w:r>
      <w:r w:rsidR="0016615C">
        <w:rPr>
          <w:lang w:val="en-GB"/>
        </w:rPr>
        <w:t xml:space="preserve"> </w:t>
      </w:r>
      <w:r w:rsidR="00AE01D4" w:rsidRPr="0022269B">
        <w:rPr>
          <w:lang w:val="en-GB"/>
        </w:rPr>
        <w:t xml:space="preserve">maker considers and weighs all the relevant evidence and information, including the applicant’s written submissions. Following legislative changes to </w:t>
      </w:r>
      <w:r w:rsidRPr="0022269B">
        <w:rPr>
          <w:lang w:val="en-GB"/>
        </w:rPr>
        <w:t>t</w:t>
      </w:r>
      <w:r w:rsidR="00C014DD" w:rsidRPr="0022269B">
        <w:rPr>
          <w:lang w:val="en-GB"/>
        </w:rPr>
        <w:t>he State party</w:t>
      </w:r>
      <w:r w:rsidR="00AE01D4" w:rsidRPr="0022269B">
        <w:rPr>
          <w:lang w:val="en-GB"/>
        </w:rPr>
        <w:t xml:space="preserve">’s refugee system in 2010, applications </w:t>
      </w:r>
      <w:r w:rsidR="001B10F6">
        <w:rPr>
          <w:lang w:val="en-GB"/>
        </w:rPr>
        <w:t xml:space="preserve">on the basis of </w:t>
      </w:r>
      <w:r w:rsidR="001B10F6" w:rsidRPr="00464EAE">
        <w:rPr>
          <w:lang w:val="en-GB"/>
        </w:rPr>
        <w:t xml:space="preserve">humanitarian and compassionate </w:t>
      </w:r>
      <w:r w:rsidR="001B10F6">
        <w:rPr>
          <w:lang w:val="en-GB"/>
        </w:rPr>
        <w:t xml:space="preserve">considerations </w:t>
      </w:r>
      <w:r w:rsidR="00AE01D4" w:rsidRPr="0022269B">
        <w:rPr>
          <w:lang w:val="en-GB"/>
        </w:rPr>
        <w:t xml:space="preserve">are no longer based on the kinds of risks that are already assessed within the separate refugee determination or </w:t>
      </w:r>
      <w:r w:rsidR="001B10F6" w:rsidRPr="00464EAE">
        <w:rPr>
          <w:lang w:val="en-GB"/>
        </w:rPr>
        <w:t>pre-removal risk assessment</w:t>
      </w:r>
      <w:r w:rsidR="001B10F6" w:rsidRPr="001B10F6" w:rsidDel="001B10F6">
        <w:rPr>
          <w:lang w:val="en-GB"/>
        </w:rPr>
        <w:t xml:space="preserve"> </w:t>
      </w:r>
      <w:r w:rsidR="00AE01D4" w:rsidRPr="0022269B">
        <w:rPr>
          <w:lang w:val="en-GB"/>
        </w:rPr>
        <w:t>processes, such as risk to life or risk of torture. Nevertheless, facts underlying those risks may be relevant insofar as they are related to whether a claimant would directly and personally experience unusual and undeserved or disproportionate hardship in his or her country of origin. Examples of hardship may also include adverse country conditions that have a direct, negative impact on the applicant.</w:t>
      </w:r>
      <w:r w:rsidRPr="0022269B">
        <w:rPr>
          <w:lang w:val="en-GB"/>
        </w:rPr>
        <w:t xml:space="preserve"> </w:t>
      </w:r>
      <w:r w:rsidR="001B10F6">
        <w:rPr>
          <w:lang w:val="en-GB"/>
        </w:rPr>
        <w:t>D</w:t>
      </w:r>
      <w:r w:rsidR="00AE01D4" w:rsidRPr="0022269B">
        <w:rPr>
          <w:lang w:val="en-GB"/>
        </w:rPr>
        <w:t xml:space="preserve">ecisions </w:t>
      </w:r>
      <w:r w:rsidR="001B10F6">
        <w:rPr>
          <w:lang w:val="en-GB"/>
        </w:rPr>
        <w:t xml:space="preserve">made on the basis of </w:t>
      </w:r>
      <w:r w:rsidR="001B10F6" w:rsidRPr="00464EAE">
        <w:rPr>
          <w:lang w:val="en-GB"/>
        </w:rPr>
        <w:t xml:space="preserve">humanitarian and compassionate </w:t>
      </w:r>
      <w:r w:rsidR="001B10F6">
        <w:rPr>
          <w:lang w:val="en-GB"/>
        </w:rPr>
        <w:t xml:space="preserve">considerations </w:t>
      </w:r>
      <w:r w:rsidR="00AE01D4" w:rsidRPr="0022269B">
        <w:rPr>
          <w:lang w:val="en-GB"/>
        </w:rPr>
        <w:t>are also reviewable, with leave, on judicial review by the Federal Court.</w:t>
      </w:r>
    </w:p>
    <w:p w14:paraId="35FFDB2E" w14:textId="77777777" w:rsidR="003B01C7" w:rsidRPr="0022269B" w:rsidRDefault="003B01C7" w:rsidP="0022269B">
      <w:pPr>
        <w:pStyle w:val="SingleTxtG"/>
      </w:pPr>
      <w:r w:rsidRPr="0022269B">
        <w:rPr>
          <w:lang w:val="en-GB"/>
        </w:rPr>
        <w:t>4.15</w:t>
      </w:r>
      <w:r w:rsidRPr="0022269B">
        <w:rPr>
          <w:lang w:val="en-GB"/>
        </w:rPr>
        <w:tab/>
      </w:r>
      <w:r w:rsidR="00C014DD" w:rsidRPr="0022269B">
        <w:rPr>
          <w:lang w:val="en-GB"/>
        </w:rPr>
        <w:t>The State party</w:t>
      </w:r>
      <w:r w:rsidR="00AE01D4" w:rsidRPr="0022269B">
        <w:rPr>
          <w:lang w:val="en-GB"/>
        </w:rPr>
        <w:t xml:space="preserve"> submits that th</w:t>
      </w:r>
      <w:r w:rsidRPr="0022269B">
        <w:rPr>
          <w:lang w:val="en-GB"/>
        </w:rPr>
        <w:t xml:space="preserve">e </w:t>
      </w:r>
      <w:r w:rsidR="00AE01D4" w:rsidRPr="0022269B">
        <w:rPr>
          <w:lang w:val="en-GB"/>
        </w:rPr>
        <w:t xml:space="preserve">communication is inadmissible as a result of the </w:t>
      </w:r>
      <w:r w:rsidR="00C014DD" w:rsidRPr="0022269B">
        <w:rPr>
          <w:lang w:val="en-GB"/>
        </w:rPr>
        <w:t>complainant</w:t>
      </w:r>
      <w:r w:rsidR="00AE01D4" w:rsidRPr="0022269B">
        <w:rPr>
          <w:lang w:val="en-GB"/>
        </w:rPr>
        <w:t>’s failure to exhaust all available domestic remedies</w:t>
      </w:r>
      <w:r w:rsidRPr="0022269B">
        <w:rPr>
          <w:lang w:val="en-GB"/>
        </w:rPr>
        <w:t xml:space="preserve"> because: </w:t>
      </w:r>
      <w:r w:rsidR="00AE01D4" w:rsidRPr="0022269B">
        <w:rPr>
          <w:lang w:val="en-GB"/>
        </w:rPr>
        <w:t xml:space="preserve">he failed to pursue with due diligence his application for leave to apply for judicial review of the </w:t>
      </w:r>
      <w:r w:rsidR="00537478" w:rsidRPr="00464EAE">
        <w:rPr>
          <w:lang w:val="en-GB"/>
        </w:rPr>
        <w:t>Refugee Appeal Division</w:t>
      </w:r>
      <w:r w:rsidR="00537478">
        <w:rPr>
          <w:lang w:val="en-GB"/>
        </w:rPr>
        <w:t>’s</w:t>
      </w:r>
      <w:r w:rsidR="00537478" w:rsidRPr="00464EAE">
        <w:rPr>
          <w:lang w:val="en-GB"/>
        </w:rPr>
        <w:t xml:space="preserve"> </w:t>
      </w:r>
      <w:r w:rsidR="00AE01D4" w:rsidRPr="0022269B">
        <w:rPr>
          <w:lang w:val="en-GB"/>
        </w:rPr>
        <w:t>decision</w:t>
      </w:r>
      <w:r w:rsidRPr="0022269B">
        <w:rPr>
          <w:lang w:val="en-GB"/>
        </w:rPr>
        <w:t>;</w:t>
      </w:r>
      <w:r w:rsidR="00AE01D4" w:rsidRPr="0022269B">
        <w:rPr>
          <w:lang w:val="en-GB"/>
        </w:rPr>
        <w:t xml:space="preserve"> his application for a </w:t>
      </w:r>
      <w:r w:rsidR="001B10F6" w:rsidRPr="00464EAE">
        <w:rPr>
          <w:lang w:val="en-GB"/>
        </w:rPr>
        <w:t>pre-removal risk assessment</w:t>
      </w:r>
      <w:r w:rsidR="001B10F6" w:rsidRPr="001B10F6" w:rsidDel="001B10F6">
        <w:rPr>
          <w:lang w:val="en-GB"/>
        </w:rPr>
        <w:t xml:space="preserve"> </w:t>
      </w:r>
      <w:r w:rsidR="00AE01D4" w:rsidRPr="0022269B">
        <w:rPr>
          <w:lang w:val="en-GB"/>
        </w:rPr>
        <w:t>is pending</w:t>
      </w:r>
      <w:r w:rsidRPr="0022269B">
        <w:rPr>
          <w:lang w:val="en-GB"/>
        </w:rPr>
        <w:t xml:space="preserve">; his </w:t>
      </w:r>
      <w:r w:rsidR="00AE01D4" w:rsidRPr="0022269B">
        <w:rPr>
          <w:lang w:val="en-GB"/>
        </w:rPr>
        <w:t xml:space="preserve">application for permanent residence on the basis of </w:t>
      </w:r>
      <w:r w:rsidR="001B10F6" w:rsidRPr="00464EAE">
        <w:rPr>
          <w:lang w:val="en-GB"/>
        </w:rPr>
        <w:t xml:space="preserve">humanitarian and compassionate </w:t>
      </w:r>
      <w:r w:rsidR="00AE01D4" w:rsidRPr="0022269B">
        <w:rPr>
          <w:lang w:val="en-GB"/>
        </w:rPr>
        <w:t>considerations</w:t>
      </w:r>
      <w:r w:rsidRPr="0022269B">
        <w:rPr>
          <w:lang w:val="en-GB"/>
        </w:rPr>
        <w:t xml:space="preserve"> is pending;</w:t>
      </w:r>
      <w:r w:rsidR="0016615C">
        <w:rPr>
          <w:lang w:val="en-GB"/>
        </w:rPr>
        <w:t xml:space="preserve"> and</w:t>
      </w:r>
      <w:r w:rsidRPr="0022269B">
        <w:rPr>
          <w:lang w:val="en-GB"/>
        </w:rPr>
        <w:t xml:space="preserve"> he</w:t>
      </w:r>
      <w:r w:rsidR="00AE01D4" w:rsidRPr="0022269B">
        <w:rPr>
          <w:lang w:val="en-GB"/>
        </w:rPr>
        <w:t xml:space="preserve"> would be entitled to seek leave from the Federal Court to apply for </w:t>
      </w:r>
      <w:r w:rsidR="00557BE7">
        <w:rPr>
          <w:lang w:val="en-GB"/>
        </w:rPr>
        <w:t xml:space="preserve">a </w:t>
      </w:r>
      <w:r w:rsidR="00AE01D4" w:rsidRPr="0022269B">
        <w:rPr>
          <w:lang w:val="en-GB"/>
        </w:rPr>
        <w:t xml:space="preserve">judicial review of any negative </w:t>
      </w:r>
      <w:r w:rsidR="001B10F6">
        <w:rPr>
          <w:lang w:val="en-GB"/>
        </w:rPr>
        <w:t>assessment</w:t>
      </w:r>
      <w:r w:rsidR="001B10F6" w:rsidRPr="0022269B">
        <w:rPr>
          <w:lang w:val="en-GB"/>
        </w:rPr>
        <w:t xml:space="preserve"> </w:t>
      </w:r>
      <w:r w:rsidR="00AE01D4" w:rsidRPr="0022269B">
        <w:rPr>
          <w:lang w:val="en-GB"/>
        </w:rPr>
        <w:t>or decision</w:t>
      </w:r>
      <w:r w:rsidR="00557BE7">
        <w:rPr>
          <w:lang w:val="en-GB"/>
        </w:rPr>
        <w:t xml:space="preserve"> made on the basis of </w:t>
      </w:r>
      <w:r w:rsidR="00557BE7" w:rsidRPr="00464EAE">
        <w:rPr>
          <w:lang w:val="en-GB"/>
        </w:rPr>
        <w:t>humanitarian and compassionate</w:t>
      </w:r>
      <w:r w:rsidR="00557BE7">
        <w:rPr>
          <w:lang w:val="en-GB"/>
        </w:rPr>
        <w:t xml:space="preserve"> considerations</w:t>
      </w:r>
      <w:r w:rsidR="00AE01D4" w:rsidRPr="0022269B">
        <w:rPr>
          <w:lang w:val="en-GB"/>
        </w:rPr>
        <w:t>.</w:t>
      </w:r>
      <w:r w:rsidRPr="0022269B">
        <w:rPr>
          <w:lang w:val="en-GB"/>
        </w:rPr>
        <w:t xml:space="preserve"> The State party refers to the Committee’s jurisprudence that </w:t>
      </w:r>
      <w:r w:rsidR="00AE01D4" w:rsidRPr="0022269B">
        <w:rPr>
          <w:lang w:val="en-GB"/>
        </w:rPr>
        <w:t>a complaint may be inadmissible whe</w:t>
      </w:r>
      <w:r w:rsidR="0016615C">
        <w:rPr>
          <w:lang w:val="en-GB"/>
        </w:rPr>
        <w:t>n</w:t>
      </w:r>
      <w:r w:rsidR="00AE01D4" w:rsidRPr="0022269B">
        <w:rPr>
          <w:lang w:val="en-GB"/>
        </w:rPr>
        <w:t xml:space="preserve"> the complainant has not pursued domes</w:t>
      </w:r>
      <w:r w:rsidRPr="0022269B">
        <w:rPr>
          <w:lang w:val="en-GB"/>
        </w:rPr>
        <w:t>tic remedies with due diligence</w:t>
      </w:r>
      <w:r w:rsidR="005B415D" w:rsidRPr="0022269B">
        <w:rPr>
          <w:rStyle w:val="FootnoteReference"/>
          <w:lang w:val="en-GB"/>
        </w:rPr>
        <w:footnoteReference w:id="10"/>
      </w:r>
      <w:r w:rsidR="006B087A" w:rsidRPr="0022269B">
        <w:rPr>
          <w:lang w:val="en-GB"/>
        </w:rPr>
        <w:t xml:space="preserve"> </w:t>
      </w:r>
      <w:r w:rsidRPr="0022269B">
        <w:rPr>
          <w:lang w:val="en-GB"/>
        </w:rPr>
        <w:t>and</w:t>
      </w:r>
      <w:r w:rsidR="00AE01D4" w:rsidRPr="0022269B">
        <w:rPr>
          <w:lang w:val="en-GB"/>
        </w:rPr>
        <w:t xml:space="preserve"> that errors by legal representatives hired by a </w:t>
      </w:r>
      <w:r w:rsidR="00C014DD" w:rsidRPr="0022269B">
        <w:rPr>
          <w:lang w:val="en-GB"/>
        </w:rPr>
        <w:t>complainant</w:t>
      </w:r>
      <w:r w:rsidR="00AE01D4" w:rsidRPr="0022269B">
        <w:rPr>
          <w:lang w:val="en-GB"/>
        </w:rPr>
        <w:t xml:space="preserve"> are not attributable to the State and cannot by themselves constitute an excuse for non-exhaustion of domestic remedies.</w:t>
      </w:r>
      <w:r w:rsidR="00A6586B" w:rsidRPr="0022269B">
        <w:rPr>
          <w:rStyle w:val="FootnoteReference"/>
          <w:lang w:val="en-GB"/>
        </w:rPr>
        <w:footnoteReference w:id="11"/>
      </w:r>
      <w:r w:rsidRPr="0022269B">
        <w:rPr>
          <w:lang w:val="en-GB"/>
        </w:rPr>
        <w:t xml:space="preserve"> </w:t>
      </w:r>
    </w:p>
    <w:p w14:paraId="3388416A" w14:textId="77777777" w:rsidR="00E45194" w:rsidRPr="0022269B" w:rsidRDefault="003B01C7" w:rsidP="0022269B">
      <w:pPr>
        <w:pStyle w:val="SingleTxtG"/>
      </w:pPr>
      <w:r w:rsidRPr="0022269B">
        <w:rPr>
          <w:lang w:val="en-GB"/>
        </w:rPr>
        <w:lastRenderedPageBreak/>
        <w:t>4.16</w:t>
      </w:r>
      <w:r w:rsidRPr="0022269B">
        <w:rPr>
          <w:lang w:val="en-GB"/>
        </w:rPr>
        <w:tab/>
      </w:r>
      <w:r w:rsidR="00E45194" w:rsidRPr="0022269B">
        <w:rPr>
          <w:lang w:val="en-GB"/>
        </w:rPr>
        <w:t>The State party maintains that it is open to the complainant submit</w:t>
      </w:r>
      <w:r w:rsidR="000400C5">
        <w:rPr>
          <w:lang w:val="en-GB"/>
        </w:rPr>
        <w:t>ting</w:t>
      </w:r>
      <w:r w:rsidR="00E45194" w:rsidRPr="0022269B">
        <w:rPr>
          <w:lang w:val="en-GB"/>
        </w:rPr>
        <w:t xml:space="preserve"> new evidence for the purposes of his </w:t>
      </w:r>
      <w:r w:rsidR="001B10F6" w:rsidRPr="00464EAE">
        <w:rPr>
          <w:lang w:val="en-GB"/>
        </w:rPr>
        <w:t>pre-removal risk assessment</w:t>
      </w:r>
      <w:r w:rsidR="001B10F6" w:rsidRPr="001B10F6" w:rsidDel="001B10F6">
        <w:rPr>
          <w:lang w:val="en-GB"/>
        </w:rPr>
        <w:t xml:space="preserve"> </w:t>
      </w:r>
      <w:r w:rsidR="00E45194" w:rsidRPr="0022269B">
        <w:rPr>
          <w:lang w:val="en-GB"/>
        </w:rPr>
        <w:t>to support his claim that he is currently at risk of harm if returned to Pakistan, including by reason of being a failed refugee claimant</w:t>
      </w:r>
      <w:r w:rsidR="000400C5">
        <w:rPr>
          <w:lang w:val="en-GB"/>
        </w:rPr>
        <w:t xml:space="preserve">. It also maintains </w:t>
      </w:r>
      <w:r w:rsidR="00E45194" w:rsidRPr="0022269B">
        <w:rPr>
          <w:lang w:val="en-GB"/>
        </w:rPr>
        <w:t xml:space="preserve">that if the complainant were determined by a </w:t>
      </w:r>
      <w:r w:rsidR="001B10F6" w:rsidRPr="00464EAE">
        <w:rPr>
          <w:lang w:val="en-GB"/>
        </w:rPr>
        <w:t>pre-removal risk assessment</w:t>
      </w:r>
      <w:r w:rsidR="001B10F6" w:rsidRPr="001B10F6" w:rsidDel="001B10F6">
        <w:rPr>
          <w:lang w:val="en-GB"/>
        </w:rPr>
        <w:t xml:space="preserve"> </w:t>
      </w:r>
      <w:r w:rsidR="00E45194" w:rsidRPr="0022269B">
        <w:rPr>
          <w:lang w:val="en-GB"/>
        </w:rPr>
        <w:t xml:space="preserve">officer to be a person in need of protection, he would not be removed from the State party and would be eligible to apply for permanent resident status. The State party observes that beyond noting that his complaint was filed before he was eligible to receive a </w:t>
      </w:r>
      <w:r w:rsidR="001B10F6" w:rsidRPr="00464EAE">
        <w:rPr>
          <w:lang w:val="en-GB"/>
        </w:rPr>
        <w:t>pre-removal risk assessment</w:t>
      </w:r>
      <w:r w:rsidR="00E45194" w:rsidRPr="0022269B">
        <w:rPr>
          <w:lang w:val="en-GB"/>
        </w:rPr>
        <w:t xml:space="preserve">, the complainant has not made any submission to this Committee that the </w:t>
      </w:r>
      <w:r w:rsidR="001B10F6">
        <w:rPr>
          <w:lang w:val="en-GB"/>
        </w:rPr>
        <w:t>assessment</w:t>
      </w:r>
      <w:r w:rsidR="001B10F6" w:rsidRPr="0022269B">
        <w:rPr>
          <w:lang w:val="en-GB"/>
        </w:rPr>
        <w:t xml:space="preserve"> </w:t>
      </w:r>
      <w:r w:rsidR="00E45194" w:rsidRPr="0022269B">
        <w:rPr>
          <w:lang w:val="en-GB"/>
        </w:rPr>
        <w:t>process would not provide an effective remedy in his case.</w:t>
      </w:r>
    </w:p>
    <w:p w14:paraId="0D4240D9" w14:textId="77777777" w:rsidR="00AE01D4" w:rsidRPr="0022269B" w:rsidRDefault="00E45194" w:rsidP="0016615C">
      <w:pPr>
        <w:pStyle w:val="SingleTxtG"/>
        <w:ind w:left="1155"/>
      </w:pPr>
      <w:r w:rsidRPr="0022269B">
        <w:rPr>
          <w:lang w:val="en-GB"/>
        </w:rPr>
        <w:t>4.17</w:t>
      </w:r>
      <w:r w:rsidRPr="0022269B">
        <w:rPr>
          <w:lang w:val="en-GB"/>
        </w:rPr>
        <w:tab/>
      </w:r>
      <w:r w:rsidR="00C014DD" w:rsidRPr="0022269B">
        <w:rPr>
          <w:lang w:val="en-GB"/>
        </w:rPr>
        <w:t>The State party</w:t>
      </w:r>
      <w:r w:rsidR="00AE01D4" w:rsidRPr="0022269B">
        <w:rPr>
          <w:lang w:val="en-GB"/>
        </w:rPr>
        <w:t xml:space="preserve"> </w:t>
      </w:r>
      <w:r w:rsidRPr="0022269B">
        <w:rPr>
          <w:lang w:val="en-GB"/>
        </w:rPr>
        <w:t>further maintains</w:t>
      </w:r>
      <w:r w:rsidR="00AE01D4" w:rsidRPr="0022269B">
        <w:rPr>
          <w:lang w:val="en-GB"/>
        </w:rPr>
        <w:t xml:space="preserve"> that judicial review by the Federal Court does provide for judicial review of the merits. The Federal Court </w:t>
      </w:r>
      <w:r w:rsidR="0016615C">
        <w:rPr>
          <w:lang w:val="en-GB"/>
        </w:rPr>
        <w:t>that performs</w:t>
      </w:r>
      <w:r w:rsidR="0016615C" w:rsidRPr="0022269B">
        <w:rPr>
          <w:lang w:val="en-GB"/>
        </w:rPr>
        <w:t xml:space="preserve"> </w:t>
      </w:r>
      <w:r w:rsidR="00AE01D4" w:rsidRPr="0022269B">
        <w:rPr>
          <w:lang w:val="en-GB"/>
        </w:rPr>
        <w:t>judicial reviews</w:t>
      </w:r>
      <w:r w:rsidR="0016615C">
        <w:rPr>
          <w:lang w:val="en-GB"/>
        </w:rPr>
        <w:t xml:space="preserve"> does so by searching </w:t>
      </w:r>
      <w:r w:rsidR="00AE01D4" w:rsidRPr="0016615C">
        <w:rPr>
          <w:lang w:val="en-CA"/>
        </w:rPr>
        <w:t xml:space="preserve">for </w:t>
      </w:r>
      <w:r w:rsidR="00AE01D4" w:rsidRPr="0022269B">
        <w:rPr>
          <w:lang w:val="en-GB"/>
        </w:rPr>
        <w:t xml:space="preserve">factual errors, or errors involving both fact and law, generally on a reasonableness standard. If there is an error of law or an unreasonable finding of fact made in an administrative decision, such as a decision of the </w:t>
      </w:r>
      <w:r w:rsidR="002A58BF" w:rsidRPr="001E1CDD">
        <w:rPr>
          <w:lang w:val="en-GB"/>
        </w:rPr>
        <w:t>Immigration and Refugee Board</w:t>
      </w:r>
      <w:r w:rsidR="00AE01D4" w:rsidRPr="0022269B">
        <w:rPr>
          <w:lang w:val="en-GB"/>
        </w:rPr>
        <w:t xml:space="preserve"> or a </w:t>
      </w:r>
      <w:r w:rsidR="001B10F6" w:rsidRPr="00464EAE">
        <w:rPr>
          <w:lang w:val="en-GB"/>
        </w:rPr>
        <w:t>pre-removal risk assessment</w:t>
      </w:r>
      <w:r w:rsidR="001B10F6" w:rsidRPr="001B10F6" w:rsidDel="001B10F6">
        <w:rPr>
          <w:lang w:val="en-GB"/>
        </w:rPr>
        <w:t xml:space="preserve"> </w:t>
      </w:r>
      <w:r w:rsidR="00AE01D4" w:rsidRPr="0022269B">
        <w:rPr>
          <w:lang w:val="en-GB"/>
        </w:rPr>
        <w:t>officer, the Federal Court will grant leave to apply for judicial review and will set the decision aside and send the application back for redetermination by a different decision</w:t>
      </w:r>
      <w:r w:rsidR="0016615C">
        <w:rPr>
          <w:lang w:val="en-GB"/>
        </w:rPr>
        <w:t xml:space="preserve"> </w:t>
      </w:r>
      <w:r w:rsidR="00AE01D4" w:rsidRPr="0022269B">
        <w:rPr>
          <w:lang w:val="en-GB"/>
        </w:rPr>
        <w:t xml:space="preserve">maker. </w:t>
      </w:r>
    </w:p>
    <w:p w14:paraId="41BE874B" w14:textId="77777777" w:rsidR="00AE01D4" w:rsidRPr="0022269B" w:rsidRDefault="00E45194" w:rsidP="0022269B">
      <w:pPr>
        <w:pStyle w:val="SingleTxtG"/>
      </w:pPr>
      <w:r w:rsidRPr="0022269B">
        <w:rPr>
          <w:lang w:val="en-GB"/>
        </w:rPr>
        <w:t>4.18</w:t>
      </w:r>
      <w:r w:rsidRPr="0022269B">
        <w:rPr>
          <w:lang w:val="en-GB"/>
        </w:rPr>
        <w:tab/>
        <w:t>The State party also submits that an</w:t>
      </w:r>
      <w:r w:rsidR="00AE01D4" w:rsidRPr="0022269B">
        <w:rPr>
          <w:lang w:val="en-GB"/>
        </w:rPr>
        <w:t xml:space="preserve"> application </w:t>
      </w:r>
      <w:r w:rsidR="00557BE7">
        <w:rPr>
          <w:lang w:val="en-GB"/>
        </w:rPr>
        <w:t xml:space="preserve">on the basis of </w:t>
      </w:r>
      <w:r w:rsidR="00557BE7" w:rsidRPr="00464EAE">
        <w:rPr>
          <w:lang w:val="en-GB"/>
        </w:rPr>
        <w:t xml:space="preserve">humanitarian and compassionate </w:t>
      </w:r>
      <w:r w:rsidR="00557BE7">
        <w:rPr>
          <w:lang w:val="en-GB"/>
        </w:rPr>
        <w:t xml:space="preserve">considerations </w:t>
      </w:r>
      <w:r w:rsidR="00AE01D4" w:rsidRPr="0022269B">
        <w:rPr>
          <w:lang w:val="en-GB"/>
        </w:rPr>
        <w:t xml:space="preserve">is an effective domestic remedy available to those who have had their claim for protection denied, as successful applicants are allowed to remain in </w:t>
      </w:r>
      <w:r w:rsidRPr="0022269B">
        <w:rPr>
          <w:lang w:val="en-GB"/>
        </w:rPr>
        <w:t>t</w:t>
      </w:r>
      <w:r w:rsidR="00C014DD" w:rsidRPr="0022269B">
        <w:rPr>
          <w:lang w:val="en-GB"/>
        </w:rPr>
        <w:t>he State party</w:t>
      </w:r>
      <w:r w:rsidR="00AE01D4" w:rsidRPr="0022269B">
        <w:rPr>
          <w:lang w:val="en-GB"/>
        </w:rPr>
        <w:t>.</w:t>
      </w:r>
      <w:r w:rsidRPr="0022269B">
        <w:rPr>
          <w:lang w:val="en-GB"/>
        </w:rPr>
        <w:t xml:space="preserve"> </w:t>
      </w:r>
    </w:p>
    <w:p w14:paraId="45592682" w14:textId="77777777" w:rsidR="00AE01D4" w:rsidRPr="0022269B" w:rsidRDefault="00E45194" w:rsidP="0022269B">
      <w:pPr>
        <w:pStyle w:val="SingleTxtG"/>
      </w:pPr>
      <w:bookmarkStart w:id="9" w:name="_Toc405275213"/>
      <w:bookmarkStart w:id="10" w:name="_Toc405276025"/>
      <w:bookmarkStart w:id="11" w:name="_Toc405276168"/>
      <w:bookmarkStart w:id="12" w:name="_Toc405360885"/>
      <w:bookmarkStart w:id="13" w:name="_Toc405275214"/>
      <w:bookmarkStart w:id="14" w:name="_Toc405276026"/>
      <w:bookmarkStart w:id="15" w:name="_Toc405276169"/>
      <w:bookmarkStart w:id="16" w:name="_Toc405360886"/>
      <w:bookmarkStart w:id="17" w:name="_Toc405275215"/>
      <w:bookmarkStart w:id="18" w:name="_Toc405276027"/>
      <w:bookmarkStart w:id="19" w:name="_Toc405276170"/>
      <w:bookmarkStart w:id="20" w:name="_Toc405360887"/>
      <w:bookmarkStart w:id="21" w:name="_Toc405275216"/>
      <w:bookmarkStart w:id="22" w:name="_Toc405276028"/>
      <w:bookmarkStart w:id="23" w:name="_Toc405276171"/>
      <w:bookmarkStart w:id="24" w:name="_Toc405360888"/>
      <w:bookmarkStart w:id="25" w:name="_Toc405275217"/>
      <w:bookmarkStart w:id="26" w:name="_Toc405276029"/>
      <w:bookmarkStart w:id="27" w:name="_Toc405276172"/>
      <w:bookmarkStart w:id="28" w:name="_Toc405360889"/>
      <w:bookmarkStart w:id="29" w:name="_Toc405275218"/>
      <w:bookmarkStart w:id="30" w:name="_Toc405276030"/>
      <w:bookmarkStart w:id="31" w:name="_Toc405276173"/>
      <w:bookmarkStart w:id="32" w:name="_Toc405360890"/>
      <w:bookmarkStart w:id="33" w:name="_Toc405275219"/>
      <w:bookmarkStart w:id="34" w:name="_Toc405276031"/>
      <w:bookmarkStart w:id="35" w:name="_Toc405276174"/>
      <w:bookmarkStart w:id="36" w:name="_Toc405360891"/>
      <w:bookmarkStart w:id="37" w:name="_Toc405275220"/>
      <w:bookmarkStart w:id="38" w:name="_Toc405276032"/>
      <w:bookmarkStart w:id="39" w:name="_Toc405276175"/>
      <w:bookmarkStart w:id="40" w:name="_Toc405360892"/>
      <w:bookmarkStart w:id="41" w:name="_Toc405275221"/>
      <w:bookmarkStart w:id="42" w:name="_Toc405276033"/>
      <w:bookmarkStart w:id="43" w:name="_Toc405276176"/>
      <w:bookmarkStart w:id="44" w:name="_Toc405360893"/>
      <w:bookmarkStart w:id="45" w:name="_Toc405275222"/>
      <w:bookmarkStart w:id="46" w:name="_Toc405276034"/>
      <w:bookmarkStart w:id="47" w:name="_Toc405276177"/>
      <w:bookmarkStart w:id="48" w:name="_Toc40536089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22269B">
        <w:rPr>
          <w:lang w:val="en-GB"/>
        </w:rPr>
        <w:t>4.19</w:t>
      </w:r>
      <w:r w:rsidRPr="0022269B">
        <w:rPr>
          <w:lang w:val="en-GB"/>
        </w:rPr>
        <w:tab/>
        <w:t>Alternatively, the</w:t>
      </w:r>
      <w:r w:rsidR="00C014DD" w:rsidRPr="0022269B">
        <w:rPr>
          <w:lang w:val="en-GB"/>
        </w:rPr>
        <w:t xml:space="preserve"> State party</w:t>
      </w:r>
      <w:r w:rsidRPr="0022269B">
        <w:rPr>
          <w:lang w:val="en-GB"/>
        </w:rPr>
        <w:t xml:space="preserve"> submits that </w:t>
      </w:r>
      <w:r w:rsidR="00AE01D4" w:rsidRPr="0022269B">
        <w:rPr>
          <w:lang w:val="en-GB"/>
        </w:rPr>
        <w:t xml:space="preserve">the </w:t>
      </w:r>
      <w:r w:rsidR="00C014DD" w:rsidRPr="0022269B">
        <w:rPr>
          <w:lang w:val="en-GB"/>
        </w:rPr>
        <w:t>complainant</w:t>
      </w:r>
      <w:r w:rsidR="00AE01D4" w:rsidRPr="0022269B">
        <w:rPr>
          <w:lang w:val="en-GB"/>
        </w:rPr>
        <w:t>’s communication is inadmissible on the grounds of incompatibility with the provisions of the Convention.</w:t>
      </w:r>
      <w:r w:rsidRPr="0022269B">
        <w:rPr>
          <w:lang w:val="en-GB"/>
        </w:rPr>
        <w:t xml:space="preserve"> </w:t>
      </w:r>
      <w:r w:rsidR="00AE01D4" w:rsidRPr="0022269B">
        <w:rPr>
          <w:lang w:val="en-GB"/>
        </w:rPr>
        <w:t xml:space="preserve">As the Committee stated </w:t>
      </w:r>
      <w:r w:rsidR="003B5A56">
        <w:rPr>
          <w:lang w:val="en-GB"/>
        </w:rPr>
        <w:t>in</w:t>
      </w:r>
      <w:r w:rsidR="003B5A56" w:rsidRPr="0022269B">
        <w:rPr>
          <w:lang w:val="en-GB"/>
        </w:rPr>
        <w:t xml:space="preserve"> </w:t>
      </w:r>
      <w:r w:rsidR="00AE01D4" w:rsidRPr="0022269B">
        <w:rPr>
          <w:lang w:val="en-GB"/>
        </w:rPr>
        <w:t xml:space="preserve">its </w:t>
      </w:r>
      <w:r w:rsidR="003B5A56">
        <w:rPr>
          <w:lang w:val="en-GB"/>
        </w:rPr>
        <w:t>g</w:t>
      </w:r>
      <w:r w:rsidR="00AE01D4" w:rsidRPr="0022269B">
        <w:rPr>
          <w:lang w:val="en-GB"/>
        </w:rPr>
        <w:t xml:space="preserve">eneral </w:t>
      </w:r>
      <w:r w:rsidR="003B5A56">
        <w:rPr>
          <w:lang w:val="en-GB"/>
        </w:rPr>
        <w:t>c</w:t>
      </w:r>
      <w:r w:rsidR="00AE01D4" w:rsidRPr="0022269B">
        <w:rPr>
          <w:lang w:val="en-GB"/>
        </w:rPr>
        <w:t xml:space="preserve">omment </w:t>
      </w:r>
      <w:r w:rsidR="003B5A56">
        <w:rPr>
          <w:lang w:val="en-GB"/>
        </w:rPr>
        <w:t>n</w:t>
      </w:r>
      <w:r w:rsidR="00AE01D4" w:rsidRPr="0022269B">
        <w:rPr>
          <w:lang w:val="en-GB"/>
        </w:rPr>
        <w:t xml:space="preserve">o. 1, the obligation of </w:t>
      </w:r>
      <w:r w:rsidR="00AE01D4" w:rsidRPr="0022269B">
        <w:rPr>
          <w:iCs/>
          <w:lang w:val="en-GB"/>
        </w:rPr>
        <w:t>non-refoulement</w:t>
      </w:r>
      <w:r w:rsidR="00AE01D4" w:rsidRPr="0022269B">
        <w:rPr>
          <w:i/>
          <w:lang w:val="en-GB"/>
        </w:rPr>
        <w:t xml:space="preserve"> </w:t>
      </w:r>
      <w:r w:rsidR="00AE01D4" w:rsidRPr="0022269B">
        <w:rPr>
          <w:lang w:val="en-GB"/>
        </w:rPr>
        <w:t xml:space="preserve">in </w:t>
      </w:r>
      <w:r w:rsidR="003B5A56">
        <w:rPr>
          <w:lang w:val="en-GB"/>
        </w:rPr>
        <w:t>a</w:t>
      </w:r>
      <w:r w:rsidR="00AE01D4" w:rsidRPr="0022269B">
        <w:rPr>
          <w:lang w:val="en-GB"/>
        </w:rPr>
        <w:t xml:space="preserve">rticle 3 is confined in its application to cases where there are substantial grounds for believing that the </w:t>
      </w:r>
      <w:r w:rsidR="00C014DD" w:rsidRPr="0022269B">
        <w:rPr>
          <w:lang w:val="en-GB"/>
        </w:rPr>
        <w:t>complainant</w:t>
      </w:r>
      <w:r w:rsidR="00AE01D4" w:rsidRPr="0022269B">
        <w:rPr>
          <w:lang w:val="en-GB"/>
        </w:rPr>
        <w:t xml:space="preserve"> would be in danger of being subjected to torture as defined in article 1 of the Convention.</w:t>
      </w:r>
      <w:r w:rsidR="007F065D" w:rsidRPr="0022269B">
        <w:rPr>
          <w:rStyle w:val="FootnoteReference"/>
          <w:lang w:val="en-GB"/>
        </w:rPr>
        <w:footnoteReference w:id="12"/>
      </w:r>
      <w:r w:rsidR="00AE01D4" w:rsidRPr="0022269B">
        <w:rPr>
          <w:lang w:val="en-GB"/>
        </w:rPr>
        <w:t xml:space="preserve"> The </w:t>
      </w:r>
      <w:r w:rsidR="00C014DD" w:rsidRPr="0022269B">
        <w:rPr>
          <w:lang w:val="en-GB"/>
        </w:rPr>
        <w:t>complainant</w:t>
      </w:r>
      <w:r w:rsidR="00AE01D4" w:rsidRPr="0022269B">
        <w:rPr>
          <w:lang w:val="en-GB"/>
        </w:rPr>
        <w:t>’s allegations concern alleged threats from the Taliban</w:t>
      </w:r>
      <w:r w:rsidR="003B5A56" w:rsidRPr="003B5A56">
        <w:rPr>
          <w:lang w:val="en-GB"/>
        </w:rPr>
        <w:t xml:space="preserve"> </w:t>
      </w:r>
      <w:r w:rsidR="003B5A56">
        <w:rPr>
          <w:lang w:val="en-GB"/>
        </w:rPr>
        <w:t xml:space="preserve">in </w:t>
      </w:r>
      <w:r w:rsidR="003B5A56" w:rsidRPr="00876C51">
        <w:rPr>
          <w:lang w:val="en-GB"/>
        </w:rPr>
        <w:t>Pakistan</w:t>
      </w:r>
      <w:r w:rsidR="00AE01D4" w:rsidRPr="0022269B">
        <w:rPr>
          <w:lang w:val="en-GB"/>
        </w:rPr>
        <w:t>, Lashkar-e-Taiba, Lashkar-e-Jhangvi and “Sunni extremists generally”. All of these groups are non-</w:t>
      </w:r>
      <w:r w:rsidR="003B5A56">
        <w:rPr>
          <w:lang w:val="en-GB"/>
        </w:rPr>
        <w:t>State</w:t>
      </w:r>
      <w:r w:rsidR="003B5A56" w:rsidRPr="0022269B">
        <w:rPr>
          <w:lang w:val="en-GB"/>
        </w:rPr>
        <w:t xml:space="preserve"> </w:t>
      </w:r>
      <w:r w:rsidR="00AE01D4" w:rsidRPr="0022269B">
        <w:rPr>
          <w:lang w:val="en-GB"/>
        </w:rPr>
        <w:t xml:space="preserve">entities. The acts committed by these groups do not fall under the competence of the Committee. The </w:t>
      </w:r>
      <w:r w:rsidR="00C014DD" w:rsidRPr="0022269B">
        <w:rPr>
          <w:lang w:val="en-GB"/>
        </w:rPr>
        <w:t>complainant</w:t>
      </w:r>
      <w:r w:rsidR="00AE01D4" w:rsidRPr="0022269B">
        <w:rPr>
          <w:lang w:val="en-GB"/>
        </w:rPr>
        <w:t xml:space="preserve"> has produced no evidence and has not even alleged that the </w:t>
      </w:r>
      <w:r w:rsidR="003B5A56">
        <w:rPr>
          <w:lang w:val="en-GB"/>
        </w:rPr>
        <w:t>G</w:t>
      </w:r>
      <w:r w:rsidR="00AE01D4" w:rsidRPr="0022269B">
        <w:rPr>
          <w:lang w:val="en-GB"/>
        </w:rPr>
        <w:t>overnment of Pakistan is in any way involved with or acquiescent in the activities of these groups.</w:t>
      </w:r>
    </w:p>
    <w:p w14:paraId="0827100A" w14:textId="77777777" w:rsidR="00AE01D4" w:rsidRPr="0022269B" w:rsidRDefault="00E45194" w:rsidP="0022269B">
      <w:pPr>
        <w:pStyle w:val="SingleTxtG"/>
      </w:pPr>
      <w:r w:rsidRPr="0022269B">
        <w:rPr>
          <w:lang w:val="en-GB"/>
        </w:rPr>
        <w:t>4.20</w:t>
      </w:r>
      <w:r w:rsidRPr="0022269B">
        <w:rPr>
          <w:lang w:val="en-GB"/>
        </w:rPr>
        <w:tab/>
      </w:r>
      <w:r w:rsidR="00AE01D4" w:rsidRPr="0022269B">
        <w:rPr>
          <w:lang w:val="en-GB"/>
        </w:rPr>
        <w:t xml:space="preserve">The </w:t>
      </w:r>
      <w:r w:rsidR="00C014DD" w:rsidRPr="0022269B">
        <w:rPr>
          <w:lang w:val="en-GB"/>
        </w:rPr>
        <w:t>complainant</w:t>
      </w:r>
      <w:r w:rsidR="00AE01D4" w:rsidRPr="0022269B">
        <w:rPr>
          <w:lang w:val="en-GB"/>
        </w:rPr>
        <w:t xml:space="preserve"> does allege that the police failed to take action in response to two complaints made by him in 2010 and 2012, respectively. Objective country reports note that Pakistani police can be ineffective at addressing allegations of sectarian violence.</w:t>
      </w:r>
      <w:r w:rsidR="007F065D" w:rsidRPr="0022269B">
        <w:rPr>
          <w:rStyle w:val="FootnoteReference"/>
          <w:lang w:val="en-GB"/>
        </w:rPr>
        <w:footnoteReference w:id="13"/>
      </w:r>
      <w:r w:rsidR="00AE01D4" w:rsidRPr="0022269B">
        <w:rPr>
          <w:lang w:val="en-GB"/>
        </w:rPr>
        <w:t xml:space="preserve"> However, the </w:t>
      </w:r>
      <w:r w:rsidR="00C014DD" w:rsidRPr="0022269B">
        <w:rPr>
          <w:lang w:val="en-GB"/>
        </w:rPr>
        <w:t>complainant</w:t>
      </w:r>
      <w:r w:rsidR="00AE01D4" w:rsidRPr="0022269B">
        <w:rPr>
          <w:lang w:val="en-GB"/>
        </w:rPr>
        <w:t xml:space="preserve"> has not demonstrated that any failure by the police to act was tantamount to consent or acquiescence. Unlike in the case of </w:t>
      </w:r>
      <w:r w:rsidR="00AE01D4" w:rsidRPr="0022269B">
        <w:rPr>
          <w:i/>
          <w:lang w:val="en-GB"/>
        </w:rPr>
        <w:t xml:space="preserve">Dzemajl et al. v. </w:t>
      </w:r>
      <w:r w:rsidR="000400C5" w:rsidRPr="005E048D">
        <w:rPr>
          <w:i/>
          <w:lang w:val="en-GB"/>
        </w:rPr>
        <w:t>Yugoslavia</w:t>
      </w:r>
      <w:r w:rsidR="00AE01D4" w:rsidRPr="0022269B">
        <w:rPr>
          <w:lang w:val="en-GB"/>
        </w:rPr>
        <w:t>,</w:t>
      </w:r>
      <w:r w:rsidR="007F065D" w:rsidRPr="0022269B">
        <w:rPr>
          <w:rStyle w:val="FootnoteReference"/>
          <w:lang w:val="en-GB"/>
        </w:rPr>
        <w:footnoteReference w:id="14"/>
      </w:r>
      <w:r w:rsidR="00AE01D4" w:rsidRPr="0022269B">
        <w:rPr>
          <w:i/>
          <w:lang w:val="en-GB"/>
        </w:rPr>
        <w:t xml:space="preserve"> </w:t>
      </w:r>
      <w:r w:rsidR="00AE01D4" w:rsidRPr="0022269B">
        <w:rPr>
          <w:lang w:val="en-GB"/>
        </w:rPr>
        <w:t xml:space="preserve">there is no evidence, and the </w:t>
      </w:r>
      <w:r w:rsidR="00C014DD" w:rsidRPr="0022269B">
        <w:rPr>
          <w:lang w:val="en-GB"/>
        </w:rPr>
        <w:t>complainant</w:t>
      </w:r>
      <w:r w:rsidR="00AE01D4" w:rsidRPr="0022269B">
        <w:rPr>
          <w:lang w:val="en-GB"/>
        </w:rPr>
        <w:t xml:space="preserve"> does not allege, that the police were informed in advance of any specific threats faced by the </w:t>
      </w:r>
      <w:r w:rsidR="00C014DD" w:rsidRPr="0022269B">
        <w:rPr>
          <w:lang w:val="en-GB"/>
        </w:rPr>
        <w:t>complainant</w:t>
      </w:r>
      <w:r w:rsidR="00AE01D4" w:rsidRPr="0022269B">
        <w:rPr>
          <w:lang w:val="en-GB"/>
        </w:rPr>
        <w:t xml:space="preserve"> or that they were present at the time but failed to intervene.</w:t>
      </w:r>
      <w:r w:rsidR="00AE01D4" w:rsidRPr="0022269B">
        <w:rPr>
          <w:i/>
          <w:lang w:val="en-GB"/>
        </w:rPr>
        <w:t xml:space="preserve"> </w:t>
      </w:r>
      <w:r w:rsidR="00AE01D4" w:rsidRPr="0022269B">
        <w:rPr>
          <w:lang w:val="en-GB"/>
        </w:rPr>
        <w:t xml:space="preserve">Moreover, some recent country reports suggest that the </w:t>
      </w:r>
      <w:r w:rsidR="00C8536A">
        <w:rPr>
          <w:lang w:val="en-GB"/>
        </w:rPr>
        <w:lastRenderedPageBreak/>
        <w:t>G</w:t>
      </w:r>
      <w:r w:rsidR="00AE01D4" w:rsidRPr="0022269B">
        <w:rPr>
          <w:lang w:val="en-GB"/>
        </w:rPr>
        <w:t>overnment</w:t>
      </w:r>
      <w:r w:rsidR="00C8536A">
        <w:rPr>
          <w:lang w:val="en-GB"/>
        </w:rPr>
        <w:t xml:space="preserve"> of Pakistan</w:t>
      </w:r>
      <w:r w:rsidR="00AE01D4" w:rsidRPr="0022269B">
        <w:rPr>
          <w:lang w:val="en-GB"/>
        </w:rPr>
        <w:t xml:space="preserve"> is making efforts to prevent religiously</w:t>
      </w:r>
      <w:r w:rsidR="00C8536A">
        <w:rPr>
          <w:lang w:val="en-GB"/>
        </w:rPr>
        <w:t xml:space="preserve"> </w:t>
      </w:r>
      <w:r w:rsidR="00AE01D4" w:rsidRPr="0022269B">
        <w:rPr>
          <w:lang w:val="en-GB"/>
        </w:rPr>
        <w:t>motivated attacks from occurring.</w:t>
      </w:r>
      <w:r w:rsidR="007F065D" w:rsidRPr="0022269B">
        <w:rPr>
          <w:rStyle w:val="FootnoteReference"/>
          <w:lang w:val="en-GB"/>
        </w:rPr>
        <w:footnoteReference w:id="15"/>
      </w:r>
      <w:r w:rsidR="00AE01D4" w:rsidRPr="0022269B">
        <w:rPr>
          <w:lang w:val="en-GB"/>
        </w:rPr>
        <w:t xml:space="preserve"> </w:t>
      </w:r>
    </w:p>
    <w:p w14:paraId="5D9EF5B2" w14:textId="77777777" w:rsidR="00AE01D4" w:rsidRPr="0022269B" w:rsidRDefault="00B929D3" w:rsidP="0022269B">
      <w:pPr>
        <w:pStyle w:val="SingleTxtG"/>
      </w:pPr>
      <w:r w:rsidRPr="0022269B">
        <w:rPr>
          <w:lang w:val="en-GB"/>
        </w:rPr>
        <w:t>4.21</w:t>
      </w:r>
      <w:r w:rsidRPr="0022269B">
        <w:rPr>
          <w:lang w:val="en-GB"/>
        </w:rPr>
        <w:tab/>
      </w:r>
      <w:r w:rsidR="00AE01D4" w:rsidRPr="0022269B">
        <w:rPr>
          <w:lang w:val="en-GB"/>
        </w:rPr>
        <w:t xml:space="preserve">The </w:t>
      </w:r>
      <w:r w:rsidR="00C014DD" w:rsidRPr="0022269B">
        <w:rPr>
          <w:lang w:val="en-GB"/>
        </w:rPr>
        <w:t>complainant</w:t>
      </w:r>
      <w:r w:rsidR="00AE01D4" w:rsidRPr="0022269B">
        <w:rPr>
          <w:lang w:val="en-GB"/>
        </w:rPr>
        <w:t xml:space="preserve"> also alleges that he is accused of blaspheming the </w:t>
      </w:r>
      <w:r w:rsidR="00C8536A">
        <w:rPr>
          <w:lang w:val="en-GB"/>
        </w:rPr>
        <w:t>p</w:t>
      </w:r>
      <w:r w:rsidR="00AE01D4" w:rsidRPr="0022269B">
        <w:rPr>
          <w:lang w:val="en-GB"/>
        </w:rPr>
        <w:t>rophet of Islam, an offence punishable by death</w:t>
      </w:r>
      <w:r w:rsidR="00F832CE" w:rsidRPr="0022269B">
        <w:rPr>
          <w:lang w:val="en-GB"/>
        </w:rPr>
        <w:t xml:space="preserve"> (see para</w:t>
      </w:r>
      <w:r w:rsidR="00C8536A">
        <w:rPr>
          <w:lang w:val="en-GB"/>
        </w:rPr>
        <w:t>.</w:t>
      </w:r>
      <w:r w:rsidR="00F832CE" w:rsidRPr="0022269B">
        <w:rPr>
          <w:lang w:val="en-GB"/>
        </w:rPr>
        <w:t xml:space="preserve"> 2.</w:t>
      </w:r>
      <w:r w:rsidR="00BD7C70">
        <w:rPr>
          <w:lang w:val="en-GB"/>
        </w:rPr>
        <w:t>2</w:t>
      </w:r>
      <w:r w:rsidR="00F832CE" w:rsidRPr="0022269B">
        <w:rPr>
          <w:lang w:val="en-GB"/>
        </w:rPr>
        <w:t>)</w:t>
      </w:r>
      <w:r w:rsidR="00AE01D4" w:rsidRPr="0022269B">
        <w:rPr>
          <w:lang w:val="en-GB"/>
        </w:rPr>
        <w:t xml:space="preserve">. Although the Pakistan Penal Code does contain an offence of blasphemy, the </w:t>
      </w:r>
      <w:r w:rsidR="00C014DD" w:rsidRPr="0022269B">
        <w:rPr>
          <w:lang w:val="en-GB"/>
        </w:rPr>
        <w:t>complainant</w:t>
      </w:r>
      <w:r w:rsidR="00AE01D4" w:rsidRPr="0022269B">
        <w:rPr>
          <w:lang w:val="en-GB"/>
        </w:rPr>
        <w:t xml:space="preserve"> has provided no evidence, and has not alleged, that the accusations advanced by Sunni extremists have been pursued by government officials. The </w:t>
      </w:r>
      <w:r w:rsidR="00C014DD" w:rsidRPr="0022269B">
        <w:rPr>
          <w:lang w:val="en-GB"/>
        </w:rPr>
        <w:t>complainant</w:t>
      </w:r>
      <w:r w:rsidR="00AE01D4" w:rsidRPr="0022269B">
        <w:rPr>
          <w:lang w:val="en-GB"/>
        </w:rPr>
        <w:t xml:space="preserve"> has provided no evidence, and has not alleged, that there are criminal charges pending against him or that he is being investigated by </w:t>
      </w:r>
      <w:r w:rsidR="00232421">
        <w:rPr>
          <w:lang w:val="en-GB"/>
        </w:rPr>
        <w:t>s</w:t>
      </w:r>
      <w:r w:rsidR="00AE01D4" w:rsidRPr="0022269B">
        <w:rPr>
          <w:lang w:val="en-GB"/>
        </w:rPr>
        <w:t xml:space="preserve">tate officials. </w:t>
      </w:r>
    </w:p>
    <w:p w14:paraId="364491FE" w14:textId="77777777" w:rsidR="00AE01D4" w:rsidRPr="0022269B" w:rsidRDefault="00B929D3" w:rsidP="0022269B">
      <w:pPr>
        <w:pStyle w:val="SingleTxtG"/>
      </w:pPr>
      <w:r w:rsidRPr="0022269B">
        <w:rPr>
          <w:lang w:val="en-GB"/>
        </w:rPr>
        <w:t>4.22</w:t>
      </w:r>
      <w:r w:rsidRPr="0022269B">
        <w:rPr>
          <w:lang w:val="en-GB"/>
        </w:rPr>
        <w:tab/>
      </w:r>
      <w:r w:rsidR="00AE01D4" w:rsidRPr="0022269B">
        <w:rPr>
          <w:lang w:val="en-GB"/>
        </w:rPr>
        <w:t xml:space="preserve">The Committee has consistently viewed communications concerning non-government actors to be inadmissible as falling outside the scope of </w:t>
      </w:r>
      <w:r w:rsidR="006B1BB1" w:rsidRPr="0022269B">
        <w:rPr>
          <w:lang w:val="en-GB"/>
        </w:rPr>
        <w:t>a</w:t>
      </w:r>
      <w:r w:rsidR="00AE01D4" w:rsidRPr="0022269B">
        <w:rPr>
          <w:lang w:val="en-GB"/>
        </w:rPr>
        <w:t>rticle 3 of the Convention.</w:t>
      </w:r>
      <w:r w:rsidR="007F065D" w:rsidRPr="0022269B">
        <w:rPr>
          <w:rStyle w:val="FootnoteReference"/>
          <w:lang w:val="en-GB"/>
        </w:rPr>
        <w:footnoteReference w:id="16"/>
      </w:r>
      <w:r w:rsidR="00AE01D4" w:rsidRPr="0022269B">
        <w:rPr>
          <w:lang w:val="en-GB"/>
        </w:rPr>
        <w:t xml:space="preserve"> Accordingly, the </w:t>
      </w:r>
      <w:r w:rsidR="00C014DD" w:rsidRPr="0022269B">
        <w:rPr>
          <w:lang w:val="en-GB"/>
        </w:rPr>
        <w:t>complainant</w:t>
      </w:r>
      <w:r w:rsidR="00AE01D4" w:rsidRPr="0022269B">
        <w:rPr>
          <w:lang w:val="en-GB"/>
        </w:rPr>
        <w:t xml:space="preserve">’s communication likewise ought to be determined inadmissible pursuant to </w:t>
      </w:r>
      <w:r w:rsidR="006B1BB1" w:rsidRPr="0022269B">
        <w:rPr>
          <w:lang w:val="en-GB"/>
        </w:rPr>
        <w:t>a</w:t>
      </w:r>
      <w:r w:rsidR="00AE01D4" w:rsidRPr="0022269B">
        <w:rPr>
          <w:lang w:val="en-GB"/>
        </w:rPr>
        <w:t>rticle 22</w:t>
      </w:r>
      <w:r w:rsidR="00BD7C70">
        <w:rPr>
          <w:lang w:val="en-GB"/>
        </w:rPr>
        <w:t xml:space="preserve"> </w:t>
      </w:r>
      <w:r w:rsidR="00AE01D4" w:rsidRPr="0022269B">
        <w:rPr>
          <w:lang w:val="en-GB"/>
        </w:rPr>
        <w:t>(2) of the Convention</w:t>
      </w:r>
      <w:r w:rsidR="00AE01D4" w:rsidRPr="0022269B">
        <w:rPr>
          <w:i/>
          <w:lang w:val="en-GB"/>
        </w:rPr>
        <w:t>.</w:t>
      </w:r>
    </w:p>
    <w:p w14:paraId="7FA19F6D" w14:textId="77777777" w:rsidR="00AE01D4" w:rsidRPr="0022269B" w:rsidRDefault="00B929D3" w:rsidP="0022269B">
      <w:pPr>
        <w:pStyle w:val="SingleTxtG"/>
      </w:pPr>
      <w:bookmarkStart w:id="49" w:name="_Toc391279811"/>
      <w:r w:rsidRPr="0022269B">
        <w:rPr>
          <w:lang w:val="en-GB"/>
        </w:rPr>
        <w:t>4.23</w:t>
      </w:r>
      <w:r w:rsidRPr="0022269B">
        <w:rPr>
          <w:lang w:val="en-GB"/>
        </w:rPr>
        <w:tab/>
      </w:r>
      <w:r w:rsidR="00C014DD" w:rsidRPr="0022269B">
        <w:rPr>
          <w:lang w:val="en-GB"/>
        </w:rPr>
        <w:t>The State party</w:t>
      </w:r>
      <w:r w:rsidRPr="0022269B">
        <w:rPr>
          <w:lang w:val="en-GB"/>
        </w:rPr>
        <w:t xml:space="preserve"> also maintains that </w:t>
      </w:r>
      <w:r w:rsidR="00AE01D4" w:rsidRPr="0022269B">
        <w:rPr>
          <w:lang w:val="en-GB"/>
        </w:rPr>
        <w:t xml:space="preserve">the </w:t>
      </w:r>
      <w:r w:rsidR="00C014DD" w:rsidRPr="0022269B">
        <w:rPr>
          <w:lang w:val="en-GB"/>
        </w:rPr>
        <w:t>complainant</w:t>
      </w:r>
      <w:r w:rsidR="00AE01D4" w:rsidRPr="0022269B">
        <w:rPr>
          <w:lang w:val="en-GB"/>
        </w:rPr>
        <w:t xml:space="preserve"> has not sufficiently substantiated, for the purposes of admissibility, any of his allegations that he faces a real and personal risk of </w:t>
      </w:r>
      <w:r w:rsidR="00F832CE" w:rsidRPr="0022269B">
        <w:rPr>
          <w:lang w:val="en-GB"/>
        </w:rPr>
        <w:t xml:space="preserve">torture </w:t>
      </w:r>
      <w:r w:rsidR="00AE01D4" w:rsidRPr="0022269B">
        <w:rPr>
          <w:lang w:val="en-GB"/>
        </w:rPr>
        <w:t>in Pakistan</w:t>
      </w:r>
      <w:r w:rsidR="00F832CE" w:rsidRPr="0022269B">
        <w:rPr>
          <w:lang w:val="en-GB"/>
        </w:rPr>
        <w:t xml:space="preserve">, </w:t>
      </w:r>
      <w:r w:rsidR="00AE01D4" w:rsidRPr="0022269B">
        <w:rPr>
          <w:lang w:val="en-GB"/>
        </w:rPr>
        <w:t xml:space="preserve">such that his removal to Pakistan would be a violation of </w:t>
      </w:r>
      <w:r w:rsidRPr="0022269B">
        <w:rPr>
          <w:lang w:val="en-GB"/>
        </w:rPr>
        <w:t>a</w:t>
      </w:r>
      <w:r w:rsidR="00AE01D4" w:rsidRPr="0022269B">
        <w:rPr>
          <w:lang w:val="en-GB"/>
        </w:rPr>
        <w:t xml:space="preserve">rticle 3 of the Convention. Therefore, the </w:t>
      </w:r>
      <w:r w:rsidRPr="0022269B">
        <w:rPr>
          <w:lang w:val="en-GB"/>
        </w:rPr>
        <w:t xml:space="preserve">State party submits that the </w:t>
      </w:r>
      <w:r w:rsidR="00AE01D4" w:rsidRPr="0022269B">
        <w:rPr>
          <w:lang w:val="en-GB"/>
        </w:rPr>
        <w:t xml:space="preserve">communication is inadmissible on the basis that it is manifestly unfounded, in accordance with </w:t>
      </w:r>
      <w:r w:rsidR="00BD7C70">
        <w:rPr>
          <w:lang w:val="en-GB"/>
        </w:rPr>
        <w:t>r</w:t>
      </w:r>
      <w:r w:rsidR="00AE01D4" w:rsidRPr="0022269B">
        <w:rPr>
          <w:lang w:val="en-GB"/>
        </w:rPr>
        <w:t>ule 113</w:t>
      </w:r>
      <w:r w:rsidR="00BD7C70">
        <w:rPr>
          <w:lang w:val="en-GB"/>
        </w:rPr>
        <w:t xml:space="preserve"> </w:t>
      </w:r>
      <w:r w:rsidR="00AE01D4" w:rsidRPr="0022269B">
        <w:rPr>
          <w:lang w:val="en-GB"/>
        </w:rPr>
        <w:t xml:space="preserve">(b) of the Committee’s </w:t>
      </w:r>
      <w:r w:rsidR="00BD7C70">
        <w:rPr>
          <w:lang w:val="en-GB"/>
        </w:rPr>
        <w:t>r</w:t>
      </w:r>
      <w:r w:rsidR="00AE01D4" w:rsidRPr="0022269B">
        <w:rPr>
          <w:lang w:val="en-GB"/>
        </w:rPr>
        <w:t>ules</w:t>
      </w:r>
      <w:r w:rsidRPr="0022269B">
        <w:rPr>
          <w:lang w:val="en-GB"/>
        </w:rPr>
        <w:t xml:space="preserve"> of procedure</w:t>
      </w:r>
      <w:r w:rsidR="00AE01D4" w:rsidRPr="0022269B">
        <w:rPr>
          <w:lang w:val="en-GB"/>
        </w:rPr>
        <w:t>.</w:t>
      </w:r>
      <w:r w:rsidRPr="0022269B">
        <w:rPr>
          <w:lang w:val="en-GB"/>
        </w:rPr>
        <w:t xml:space="preserve"> It refers to the Committee’s g</w:t>
      </w:r>
      <w:r w:rsidR="00AE01D4" w:rsidRPr="0022269B">
        <w:rPr>
          <w:lang w:val="en-GB"/>
        </w:rPr>
        <w:t xml:space="preserve">eneral </w:t>
      </w:r>
      <w:r w:rsidRPr="0022269B">
        <w:rPr>
          <w:lang w:val="en-GB"/>
        </w:rPr>
        <w:t>c</w:t>
      </w:r>
      <w:r w:rsidR="00AE01D4" w:rsidRPr="0022269B">
        <w:rPr>
          <w:lang w:val="en-GB"/>
        </w:rPr>
        <w:t>omment No. 1</w:t>
      </w:r>
      <w:r w:rsidRPr="0022269B">
        <w:rPr>
          <w:lang w:val="en-GB"/>
        </w:rPr>
        <w:t xml:space="preserve">, </w:t>
      </w:r>
      <w:r w:rsidR="00BD7C70">
        <w:rPr>
          <w:lang w:val="en-GB"/>
        </w:rPr>
        <w:t>in which</w:t>
      </w:r>
      <w:r w:rsidR="00BD7C70" w:rsidRPr="0022269B">
        <w:rPr>
          <w:lang w:val="en-GB"/>
        </w:rPr>
        <w:t xml:space="preserve"> </w:t>
      </w:r>
      <w:r w:rsidRPr="0022269B">
        <w:rPr>
          <w:lang w:val="en-GB"/>
        </w:rPr>
        <w:t>it is stated t</w:t>
      </w:r>
      <w:r w:rsidR="00AE01D4" w:rsidRPr="0022269B">
        <w:rPr>
          <w:lang w:val="en-GB"/>
        </w:rPr>
        <w:t xml:space="preserve">hat it is the </w:t>
      </w:r>
      <w:r w:rsidR="00C014DD" w:rsidRPr="0022269B">
        <w:rPr>
          <w:lang w:val="en-GB"/>
        </w:rPr>
        <w:t>complainant</w:t>
      </w:r>
      <w:r w:rsidR="00AE01D4" w:rsidRPr="0022269B">
        <w:rPr>
          <w:lang w:val="en-GB"/>
        </w:rPr>
        <w:t xml:space="preserve">’s responsibility to establish a </w:t>
      </w:r>
      <w:r w:rsidR="00AE01D4" w:rsidRPr="0022269B">
        <w:rPr>
          <w:iCs/>
          <w:lang w:val="en-GB"/>
        </w:rPr>
        <w:t>prima facie</w:t>
      </w:r>
      <w:r w:rsidR="00AE01D4" w:rsidRPr="0022269B">
        <w:rPr>
          <w:lang w:val="en-GB"/>
        </w:rPr>
        <w:t xml:space="preserve"> case for the purpose of admissibility of his or her communication</w:t>
      </w:r>
      <w:r w:rsidR="007F065D" w:rsidRPr="0022269B">
        <w:rPr>
          <w:rStyle w:val="FootnoteReference"/>
          <w:lang w:val="en-GB"/>
        </w:rPr>
        <w:footnoteReference w:id="17"/>
      </w:r>
      <w:r w:rsidRPr="0022269B">
        <w:rPr>
          <w:lang w:val="en-GB"/>
        </w:rPr>
        <w:t xml:space="preserve"> and </w:t>
      </w:r>
      <w:r w:rsidR="00AE01D4" w:rsidRPr="0022269B">
        <w:rPr>
          <w:lang w:val="en-GB"/>
        </w:rPr>
        <w:t xml:space="preserve">submits that the Committee is only competent to consider communications that substantiate, on at least a </w:t>
      </w:r>
      <w:r w:rsidR="00AE01D4" w:rsidRPr="0022269B">
        <w:rPr>
          <w:iCs/>
          <w:lang w:val="en-GB"/>
        </w:rPr>
        <w:t>prima facie</w:t>
      </w:r>
      <w:r w:rsidR="00AE01D4" w:rsidRPr="0022269B">
        <w:rPr>
          <w:lang w:val="en-GB"/>
        </w:rPr>
        <w:t xml:space="preserve"> basis, violations of rights protected by the Convention.</w:t>
      </w:r>
      <w:r w:rsidR="007F065D" w:rsidRPr="0022269B">
        <w:rPr>
          <w:rStyle w:val="FootnoteReference"/>
          <w:lang w:val="en-GB"/>
        </w:rPr>
        <w:footnoteReference w:id="18"/>
      </w:r>
      <w:r w:rsidR="00AE01D4" w:rsidRPr="0022269B">
        <w:rPr>
          <w:vertAlign w:val="superscript"/>
          <w:lang w:val="en-GB"/>
        </w:rPr>
        <w:t xml:space="preserve"> </w:t>
      </w:r>
    </w:p>
    <w:p w14:paraId="766E16D9" w14:textId="77777777" w:rsidR="00AE01D4" w:rsidRPr="0022269B" w:rsidRDefault="00B929D3" w:rsidP="0022269B">
      <w:pPr>
        <w:pStyle w:val="SingleTxtG"/>
      </w:pPr>
      <w:r w:rsidRPr="0022269B">
        <w:rPr>
          <w:lang w:val="en-GB"/>
        </w:rPr>
        <w:t>4.24</w:t>
      </w:r>
      <w:r w:rsidRPr="0022269B">
        <w:rPr>
          <w:lang w:val="en-GB"/>
        </w:rPr>
        <w:tab/>
        <w:t xml:space="preserve">The State party submits that </w:t>
      </w:r>
      <w:r w:rsidR="008B19B3" w:rsidRPr="0022269B">
        <w:rPr>
          <w:lang w:val="en-GB"/>
        </w:rPr>
        <w:t>t</w:t>
      </w:r>
      <w:r w:rsidR="00AE01D4" w:rsidRPr="0022269B">
        <w:rPr>
          <w:lang w:val="en-GB"/>
        </w:rPr>
        <w:t xml:space="preserve">he Committee’s </w:t>
      </w:r>
      <w:r w:rsidR="008B19B3" w:rsidRPr="0022269B">
        <w:rPr>
          <w:lang w:val="en-GB"/>
        </w:rPr>
        <w:t>general comment No. 1</w:t>
      </w:r>
      <w:r w:rsidR="00F832CE" w:rsidRPr="0022269B">
        <w:rPr>
          <w:lang w:val="en-GB"/>
        </w:rPr>
        <w:t xml:space="preserve"> </w:t>
      </w:r>
      <w:r w:rsidR="00AE01D4" w:rsidRPr="0022269B">
        <w:rPr>
          <w:lang w:val="en-GB"/>
        </w:rPr>
        <w:t xml:space="preserve">places the burden upon the </w:t>
      </w:r>
      <w:r w:rsidR="00C014DD" w:rsidRPr="0022269B">
        <w:rPr>
          <w:lang w:val="en-GB"/>
        </w:rPr>
        <w:t>complainant</w:t>
      </w:r>
      <w:r w:rsidR="00AE01D4" w:rsidRPr="0022269B">
        <w:rPr>
          <w:lang w:val="en-GB"/>
        </w:rPr>
        <w:t xml:space="preserve"> to establish that he would personally be at risk. The grounds on which a claim is established must “go beyond mere theory or suspicion”</w:t>
      </w:r>
      <w:r w:rsidR="00C1327A">
        <w:rPr>
          <w:lang w:val="en-GB"/>
        </w:rPr>
        <w:t>.</w:t>
      </w:r>
      <w:r w:rsidR="007F065D" w:rsidRPr="0022269B">
        <w:rPr>
          <w:rStyle w:val="FootnoteReference"/>
          <w:lang w:val="en-GB"/>
        </w:rPr>
        <w:footnoteReference w:id="19"/>
      </w:r>
      <w:r w:rsidR="00AE01D4" w:rsidRPr="0022269B">
        <w:rPr>
          <w:lang w:val="en-GB"/>
        </w:rPr>
        <w:t xml:space="preserve"> The State </w:t>
      </w:r>
      <w:r w:rsidR="00AE01D4" w:rsidRPr="0022269B">
        <w:rPr>
          <w:lang w:val="en-GB"/>
        </w:rPr>
        <w:lastRenderedPageBreak/>
        <w:t xml:space="preserve">party submits that there are no substantial grounds for believing that the </w:t>
      </w:r>
      <w:r w:rsidR="00C014DD" w:rsidRPr="0022269B">
        <w:rPr>
          <w:lang w:val="en-GB"/>
        </w:rPr>
        <w:t>complainant</w:t>
      </w:r>
      <w:r w:rsidR="00AE01D4" w:rsidRPr="0022269B">
        <w:rPr>
          <w:lang w:val="en-GB"/>
        </w:rPr>
        <w:t xml:space="preserve"> would be in danger of being subject to torture upon return to Pakistan. </w:t>
      </w:r>
      <w:r w:rsidR="008B19B3" w:rsidRPr="0022269B">
        <w:rPr>
          <w:lang w:val="en-GB"/>
        </w:rPr>
        <w:t>T</w:t>
      </w:r>
      <w:r w:rsidR="00AE01D4" w:rsidRPr="0022269B">
        <w:rPr>
          <w:lang w:val="en-GB"/>
        </w:rPr>
        <w:t xml:space="preserve">he </w:t>
      </w:r>
      <w:r w:rsidR="00C014DD" w:rsidRPr="0022269B">
        <w:rPr>
          <w:lang w:val="en-GB"/>
        </w:rPr>
        <w:t>complainant</w:t>
      </w:r>
      <w:r w:rsidR="00AE01D4" w:rsidRPr="0022269B">
        <w:rPr>
          <w:lang w:val="en-GB"/>
        </w:rPr>
        <w:t>’s communication raises credibility issues</w:t>
      </w:r>
      <w:r w:rsidR="008B19B3" w:rsidRPr="0022269B">
        <w:rPr>
          <w:lang w:val="en-GB"/>
        </w:rPr>
        <w:t xml:space="preserve">; </w:t>
      </w:r>
      <w:r w:rsidR="00AE01D4" w:rsidRPr="0022269B">
        <w:rPr>
          <w:lang w:val="en-GB"/>
        </w:rPr>
        <w:t>there is no evidence of past torture within the meaning of the Convention</w:t>
      </w:r>
      <w:r w:rsidR="008B19B3" w:rsidRPr="0022269B">
        <w:rPr>
          <w:lang w:val="en-GB"/>
        </w:rPr>
        <w:t>;</w:t>
      </w:r>
      <w:r w:rsidR="00AE01D4" w:rsidRPr="0022269B">
        <w:rPr>
          <w:lang w:val="en-GB"/>
        </w:rPr>
        <w:t xml:space="preserve"> recent reports on country conditions in Pakistan suggest that, even if the </w:t>
      </w:r>
      <w:r w:rsidR="00C014DD" w:rsidRPr="0022269B">
        <w:rPr>
          <w:lang w:val="en-GB"/>
        </w:rPr>
        <w:t>complainant</w:t>
      </w:r>
      <w:r w:rsidR="00AE01D4" w:rsidRPr="0022269B">
        <w:rPr>
          <w:lang w:val="en-GB"/>
        </w:rPr>
        <w:t xml:space="preserve"> could be said to face a real risk of torture in his community, he may have an internal flight alternative which would allow him to live without risk of serious harm in other parts of Pakistan</w:t>
      </w:r>
      <w:r w:rsidR="008B19B3" w:rsidRPr="0022269B">
        <w:rPr>
          <w:lang w:val="en-GB"/>
        </w:rPr>
        <w:t>;</w:t>
      </w:r>
      <w:r w:rsidR="00BD7C70">
        <w:rPr>
          <w:lang w:val="en-GB"/>
        </w:rPr>
        <w:t xml:space="preserve"> </w:t>
      </w:r>
      <w:r w:rsidR="008B19B3" w:rsidRPr="0022269B">
        <w:rPr>
          <w:lang w:val="en-GB"/>
        </w:rPr>
        <w:t>and</w:t>
      </w:r>
      <w:r w:rsidR="00AE01D4" w:rsidRPr="0022269B">
        <w:rPr>
          <w:lang w:val="en-GB"/>
        </w:rPr>
        <w:t xml:space="preserve"> the </w:t>
      </w:r>
      <w:r w:rsidR="00C014DD" w:rsidRPr="0022269B">
        <w:rPr>
          <w:lang w:val="en-GB"/>
        </w:rPr>
        <w:t>complainant</w:t>
      </w:r>
      <w:r w:rsidR="00AE01D4" w:rsidRPr="0022269B">
        <w:rPr>
          <w:lang w:val="en-GB"/>
        </w:rPr>
        <w:t xml:space="preserve"> has not substantiated his allegation that he would be at risk upon return to Pakistan as a failed refugee claimant.</w:t>
      </w:r>
    </w:p>
    <w:p w14:paraId="786F8594" w14:textId="77777777" w:rsidR="008B19B3" w:rsidRPr="0022269B" w:rsidRDefault="008B19B3" w:rsidP="0022269B">
      <w:pPr>
        <w:pStyle w:val="SingleTxtG"/>
      </w:pPr>
      <w:bookmarkStart w:id="50" w:name="_Toc384812342"/>
      <w:bookmarkStart w:id="51" w:name="_Toc384812341"/>
      <w:r w:rsidRPr="0022269B">
        <w:rPr>
          <w:lang w:val="en-GB"/>
        </w:rPr>
        <w:t>4.25</w:t>
      </w:r>
      <w:r w:rsidRPr="0022269B">
        <w:rPr>
          <w:lang w:val="en-GB"/>
        </w:rPr>
        <w:tab/>
      </w:r>
      <w:r w:rsidR="00C014DD" w:rsidRPr="0022269B">
        <w:rPr>
          <w:lang w:val="en-GB"/>
        </w:rPr>
        <w:t>The State party</w:t>
      </w:r>
      <w:r w:rsidR="00AE01D4" w:rsidRPr="0022269B">
        <w:rPr>
          <w:lang w:val="en-GB"/>
        </w:rPr>
        <w:t xml:space="preserve"> is aware that the Committee does not expect complete accuracy from the </w:t>
      </w:r>
      <w:r w:rsidR="00C014DD" w:rsidRPr="0022269B">
        <w:rPr>
          <w:lang w:val="en-GB"/>
        </w:rPr>
        <w:t>complainant</w:t>
      </w:r>
      <w:r w:rsidR="00AE01D4" w:rsidRPr="0022269B">
        <w:rPr>
          <w:lang w:val="en-GB"/>
        </w:rPr>
        <w:t xml:space="preserve"> of a communication. All that is required is that the evidence may be considered “sufficiently substantiated and reliable”</w:t>
      </w:r>
      <w:r w:rsidR="00BD7C70">
        <w:rPr>
          <w:lang w:val="en-GB"/>
        </w:rPr>
        <w:t>.</w:t>
      </w:r>
      <w:r w:rsidR="00E96706" w:rsidRPr="0022269B">
        <w:rPr>
          <w:rStyle w:val="FootnoteReference"/>
          <w:lang w:val="en-GB"/>
        </w:rPr>
        <w:footnoteReference w:id="20"/>
      </w:r>
      <w:r w:rsidR="009A18ED">
        <w:rPr>
          <w:lang w:val="en-GB"/>
        </w:rPr>
        <w:t xml:space="preserve"> </w:t>
      </w:r>
      <w:r w:rsidR="00AE01D4" w:rsidRPr="0022269B">
        <w:rPr>
          <w:lang w:val="en-GB"/>
        </w:rPr>
        <w:t xml:space="preserve">Nevertheless, important inconsistencies in the </w:t>
      </w:r>
      <w:r w:rsidR="00C014DD" w:rsidRPr="0022269B">
        <w:rPr>
          <w:lang w:val="en-GB"/>
        </w:rPr>
        <w:t>complainant</w:t>
      </w:r>
      <w:r w:rsidR="00AE01D4" w:rsidRPr="0022269B">
        <w:rPr>
          <w:lang w:val="en-GB"/>
        </w:rPr>
        <w:t>’s case are “pertinent to the Committee’s deliberations as to whether the complainant would be in danger of being tortured upon return”</w:t>
      </w:r>
      <w:r w:rsidR="00BD7C70">
        <w:rPr>
          <w:lang w:val="en-GB"/>
        </w:rPr>
        <w:t>.</w:t>
      </w:r>
      <w:r w:rsidR="00E96706" w:rsidRPr="0022269B">
        <w:rPr>
          <w:rStyle w:val="FootnoteReference"/>
          <w:lang w:val="en-GB"/>
        </w:rPr>
        <w:footnoteReference w:id="21"/>
      </w:r>
      <w:r w:rsidR="00AE01D4" w:rsidRPr="0022269B">
        <w:rPr>
          <w:lang w:val="en-GB"/>
        </w:rPr>
        <w:t xml:space="preserve"> </w:t>
      </w:r>
      <w:r w:rsidR="00C014DD" w:rsidRPr="0022269B">
        <w:rPr>
          <w:lang w:val="en-GB"/>
        </w:rPr>
        <w:t>The State party</w:t>
      </w:r>
      <w:r w:rsidR="00AE01D4" w:rsidRPr="0022269B">
        <w:rPr>
          <w:lang w:val="en-GB"/>
        </w:rPr>
        <w:t xml:space="preserve"> recalls that </w:t>
      </w:r>
      <w:r w:rsidRPr="0022269B">
        <w:rPr>
          <w:lang w:val="en-GB"/>
        </w:rPr>
        <w:t>g</w:t>
      </w:r>
      <w:r w:rsidR="00AE01D4" w:rsidRPr="0022269B">
        <w:rPr>
          <w:lang w:val="en-GB"/>
        </w:rPr>
        <w:t xml:space="preserve">eneral </w:t>
      </w:r>
      <w:r w:rsidRPr="0022269B">
        <w:rPr>
          <w:lang w:val="en-GB"/>
        </w:rPr>
        <w:t>c</w:t>
      </w:r>
      <w:r w:rsidR="00AE01D4" w:rsidRPr="0022269B">
        <w:rPr>
          <w:lang w:val="en-GB"/>
        </w:rPr>
        <w:t xml:space="preserve">omment </w:t>
      </w:r>
      <w:r w:rsidR="00BD7C70">
        <w:rPr>
          <w:lang w:val="en-GB"/>
        </w:rPr>
        <w:t xml:space="preserve">No. </w:t>
      </w:r>
      <w:r w:rsidR="00AE01D4" w:rsidRPr="0022269B">
        <w:rPr>
          <w:lang w:val="en-GB"/>
        </w:rPr>
        <w:t xml:space="preserve">1 includes “evidence as to the credibility of the </w:t>
      </w:r>
      <w:r w:rsidR="00C014DD" w:rsidRPr="0022269B">
        <w:rPr>
          <w:lang w:val="en-GB"/>
        </w:rPr>
        <w:t>complainant</w:t>
      </w:r>
      <w:r w:rsidR="00AE01D4" w:rsidRPr="0022269B">
        <w:rPr>
          <w:lang w:val="en-GB"/>
        </w:rPr>
        <w:t>” and “any factual inconsistencies in the claim” as relevant considerations.</w:t>
      </w:r>
      <w:r w:rsidR="00E96706" w:rsidRPr="0022269B">
        <w:rPr>
          <w:rStyle w:val="FootnoteReference"/>
          <w:lang w:val="en-GB"/>
        </w:rPr>
        <w:footnoteReference w:id="22"/>
      </w:r>
      <w:r w:rsidRPr="0022269B">
        <w:rPr>
          <w:lang w:val="en-GB"/>
        </w:rPr>
        <w:t xml:space="preserve"> </w:t>
      </w:r>
      <w:r w:rsidR="00C014DD" w:rsidRPr="0022269B">
        <w:rPr>
          <w:lang w:val="en-GB"/>
        </w:rPr>
        <w:t>The State party</w:t>
      </w:r>
      <w:r w:rsidR="00AE01D4" w:rsidRPr="0022269B">
        <w:rPr>
          <w:lang w:val="en-GB"/>
        </w:rPr>
        <w:t xml:space="preserve"> submits that it is not the role of the Committee to weigh evidence or reassess findings of fact made by d</w:t>
      </w:r>
      <w:r w:rsidRPr="0022269B">
        <w:rPr>
          <w:lang w:val="en-GB"/>
        </w:rPr>
        <w:t>omestic courts or tribunals</w:t>
      </w:r>
      <w:r w:rsidR="00E96706" w:rsidRPr="0022269B">
        <w:rPr>
          <w:rStyle w:val="FootnoteReference"/>
          <w:lang w:val="en-GB"/>
        </w:rPr>
        <w:footnoteReference w:id="23"/>
      </w:r>
      <w:r w:rsidRPr="0022269B">
        <w:rPr>
          <w:lang w:val="en-GB"/>
        </w:rPr>
        <w:t xml:space="preserve"> and</w:t>
      </w:r>
      <w:r w:rsidR="00AE01D4" w:rsidRPr="0022269B">
        <w:rPr>
          <w:lang w:val="en-GB"/>
        </w:rPr>
        <w:t xml:space="preserve"> notes that the </w:t>
      </w:r>
      <w:r w:rsidR="00C014DD" w:rsidRPr="0022269B">
        <w:rPr>
          <w:lang w:val="en-GB"/>
        </w:rPr>
        <w:t>complainant</w:t>
      </w:r>
      <w:r w:rsidR="00AE01D4" w:rsidRPr="0022269B">
        <w:rPr>
          <w:lang w:val="en-GB"/>
        </w:rPr>
        <w:t xml:space="preserve">’s allegations in this communication have been considered by competent, impartial domestic tribunals and were determined not to support a finding of personal risk for him in Pakistan. </w:t>
      </w:r>
    </w:p>
    <w:p w14:paraId="69647D9E" w14:textId="77777777" w:rsidR="00AE01D4" w:rsidRPr="0022269B" w:rsidRDefault="008B19B3" w:rsidP="0022269B">
      <w:pPr>
        <w:pStyle w:val="SingleTxtG"/>
      </w:pPr>
      <w:r w:rsidRPr="0022269B">
        <w:rPr>
          <w:lang w:val="en-GB"/>
        </w:rPr>
        <w:t>4.26</w:t>
      </w:r>
      <w:r w:rsidRPr="0022269B">
        <w:rPr>
          <w:lang w:val="en-GB"/>
        </w:rPr>
        <w:tab/>
      </w:r>
      <w:r w:rsidR="00C014DD" w:rsidRPr="0022269B">
        <w:rPr>
          <w:lang w:val="en-GB"/>
        </w:rPr>
        <w:t>The State party</w:t>
      </w:r>
      <w:r w:rsidR="00AE01D4" w:rsidRPr="0022269B">
        <w:rPr>
          <w:lang w:val="en-GB"/>
        </w:rPr>
        <w:t xml:space="preserve"> </w:t>
      </w:r>
      <w:r w:rsidRPr="0022269B">
        <w:rPr>
          <w:lang w:val="en-GB"/>
        </w:rPr>
        <w:t xml:space="preserve">further </w:t>
      </w:r>
      <w:r w:rsidR="00AE01D4" w:rsidRPr="0022269B">
        <w:rPr>
          <w:lang w:val="en-GB"/>
        </w:rPr>
        <w:t>submits that it is not within the scope of review by the Committee to re-evaluate findings of credibility made by competent domestic tribunals</w:t>
      </w:r>
      <w:r w:rsidRPr="0022269B">
        <w:rPr>
          <w:lang w:val="en-GB"/>
        </w:rPr>
        <w:t xml:space="preserve"> and</w:t>
      </w:r>
      <w:r w:rsidR="00AE01D4" w:rsidRPr="0022269B">
        <w:rPr>
          <w:lang w:val="en-GB"/>
        </w:rPr>
        <w:t xml:space="preserve"> refers to the Committee’s </w:t>
      </w:r>
      <w:r w:rsidRPr="0022269B">
        <w:rPr>
          <w:lang w:val="en-GB"/>
        </w:rPr>
        <w:t>jurisprudence</w:t>
      </w:r>
      <w:r w:rsidR="00AE01D4" w:rsidRPr="0022269B">
        <w:rPr>
          <w:lang w:val="en-GB"/>
        </w:rPr>
        <w:t xml:space="preserve"> that it cannot review credibility findings “unless it is manifest that the evaluation was arbitrary or amounted to a denial of justice”.</w:t>
      </w:r>
      <w:r w:rsidR="00E96706" w:rsidRPr="0022269B">
        <w:rPr>
          <w:rStyle w:val="FootnoteReference"/>
          <w:lang w:val="en-GB"/>
        </w:rPr>
        <w:footnoteReference w:id="24"/>
      </w:r>
      <w:r w:rsidR="00AE01D4" w:rsidRPr="0022269B">
        <w:rPr>
          <w:lang w:val="en-GB"/>
        </w:rPr>
        <w:t xml:space="preserve"> The </w:t>
      </w:r>
      <w:r w:rsidR="00C014DD" w:rsidRPr="0022269B">
        <w:rPr>
          <w:lang w:val="en-GB"/>
        </w:rPr>
        <w:t>complainant</w:t>
      </w:r>
      <w:r w:rsidR="00AE01D4" w:rsidRPr="0022269B">
        <w:rPr>
          <w:lang w:val="en-GB"/>
        </w:rPr>
        <w:t xml:space="preserve"> has not identified or explained any specific examples of “arbitrariness” or “denials of justice”, and the decisions</w:t>
      </w:r>
      <w:r w:rsidR="002A58BF">
        <w:rPr>
          <w:lang w:val="en-GB"/>
        </w:rPr>
        <w:t xml:space="preserve"> of the </w:t>
      </w:r>
      <w:r w:rsidR="002A58BF" w:rsidRPr="001E1CDD">
        <w:rPr>
          <w:lang w:val="en-GB"/>
        </w:rPr>
        <w:t>Immigration and Refugee Board</w:t>
      </w:r>
      <w:r w:rsidR="00AE01D4" w:rsidRPr="0022269B">
        <w:rPr>
          <w:lang w:val="en-GB"/>
        </w:rPr>
        <w:t xml:space="preserve"> do not suffer from any such defects in this case. </w:t>
      </w:r>
      <w:r w:rsidRPr="0022269B">
        <w:rPr>
          <w:lang w:val="en-GB"/>
        </w:rPr>
        <w:t>T</w:t>
      </w:r>
      <w:r w:rsidR="00AE01D4" w:rsidRPr="0022269B">
        <w:rPr>
          <w:lang w:val="en-GB"/>
        </w:rPr>
        <w:t xml:space="preserve">horough assessments of </w:t>
      </w:r>
      <w:r w:rsidR="00BD7C70">
        <w:rPr>
          <w:lang w:val="en-GB"/>
        </w:rPr>
        <w:t xml:space="preserve">the </w:t>
      </w:r>
      <w:r w:rsidRPr="0022269B">
        <w:rPr>
          <w:lang w:val="en-GB"/>
        </w:rPr>
        <w:t xml:space="preserve">complainant’s </w:t>
      </w:r>
      <w:r w:rsidR="00AE01D4" w:rsidRPr="0022269B">
        <w:rPr>
          <w:lang w:val="en-GB"/>
        </w:rPr>
        <w:t>allegations of risk were conducted by the domestic decision</w:t>
      </w:r>
      <w:r w:rsidR="00BD7C70">
        <w:rPr>
          <w:lang w:val="en-GB"/>
        </w:rPr>
        <w:t xml:space="preserve"> </w:t>
      </w:r>
      <w:r w:rsidR="00AE01D4" w:rsidRPr="0022269B">
        <w:rPr>
          <w:lang w:val="en-GB"/>
        </w:rPr>
        <w:t>makers, and</w:t>
      </w:r>
      <w:r w:rsidR="00BD7C70">
        <w:rPr>
          <w:lang w:val="en-GB"/>
        </w:rPr>
        <w:t>,</w:t>
      </w:r>
      <w:r w:rsidR="00AE01D4" w:rsidRPr="0022269B">
        <w:rPr>
          <w:lang w:val="en-GB"/>
        </w:rPr>
        <w:t xml:space="preserve"> accordingly, considerable weight ought to be given by the Committee to the findings of fact made and the conclusions on the lack of credibility.</w:t>
      </w:r>
      <w:r w:rsidR="00E96706" w:rsidRPr="0022269B">
        <w:rPr>
          <w:rStyle w:val="FootnoteReference"/>
          <w:lang w:val="en-GB"/>
        </w:rPr>
        <w:footnoteReference w:id="25"/>
      </w:r>
    </w:p>
    <w:p w14:paraId="4F34042B" w14:textId="77777777" w:rsidR="00AE01D4" w:rsidRPr="0022269B" w:rsidRDefault="008B19B3" w:rsidP="0022269B">
      <w:pPr>
        <w:pStyle w:val="SingleTxtG"/>
      </w:pPr>
      <w:r w:rsidRPr="0022269B">
        <w:rPr>
          <w:lang w:val="en-GB"/>
        </w:rPr>
        <w:t>4.27</w:t>
      </w:r>
      <w:r w:rsidRPr="0022269B">
        <w:rPr>
          <w:lang w:val="en-GB"/>
        </w:rPr>
        <w:tab/>
      </w:r>
      <w:r w:rsidR="00C014DD" w:rsidRPr="0022269B">
        <w:rPr>
          <w:lang w:val="en-GB"/>
        </w:rPr>
        <w:t>The State party</w:t>
      </w:r>
      <w:r w:rsidR="00AE01D4" w:rsidRPr="0022269B">
        <w:rPr>
          <w:lang w:val="en-GB"/>
        </w:rPr>
        <w:t xml:space="preserve"> submits that the documentary evidence provided by the </w:t>
      </w:r>
      <w:r w:rsidR="00C014DD" w:rsidRPr="0022269B">
        <w:rPr>
          <w:lang w:val="en-GB"/>
        </w:rPr>
        <w:t>complainant</w:t>
      </w:r>
      <w:r w:rsidR="00AE01D4" w:rsidRPr="0022269B">
        <w:rPr>
          <w:lang w:val="en-GB"/>
        </w:rPr>
        <w:t xml:space="preserve"> does not support his allegations of past torture and is of limited probative value. </w:t>
      </w:r>
      <w:r w:rsidRPr="0022269B">
        <w:rPr>
          <w:lang w:val="en-GB"/>
        </w:rPr>
        <w:t>T</w:t>
      </w:r>
      <w:r w:rsidR="00C014DD" w:rsidRPr="0022269B">
        <w:rPr>
          <w:lang w:val="en-GB"/>
        </w:rPr>
        <w:t>he</w:t>
      </w:r>
      <w:r w:rsidR="00AE01D4" w:rsidRPr="0022269B">
        <w:rPr>
          <w:lang w:val="en-GB"/>
        </w:rPr>
        <w:t xml:space="preserve">re are inconsistencies between the descriptions of </w:t>
      </w:r>
      <w:r w:rsidR="001D0214">
        <w:rPr>
          <w:lang w:val="en-GB"/>
        </w:rPr>
        <w:t xml:space="preserve">the </w:t>
      </w:r>
      <w:r w:rsidR="00C014DD" w:rsidRPr="0022269B">
        <w:rPr>
          <w:lang w:val="en-GB"/>
        </w:rPr>
        <w:t>complainant</w:t>
      </w:r>
      <w:r w:rsidR="00AE01D4" w:rsidRPr="0022269B">
        <w:rPr>
          <w:lang w:val="en-GB"/>
        </w:rPr>
        <w:t xml:space="preserve">’s injuries contained in his complaint and the descriptions of the injuries in the medical records. </w:t>
      </w:r>
      <w:r w:rsidRPr="0022269B">
        <w:rPr>
          <w:lang w:val="en-GB"/>
        </w:rPr>
        <w:t>T</w:t>
      </w:r>
      <w:r w:rsidR="00AE01D4" w:rsidRPr="0022269B">
        <w:rPr>
          <w:lang w:val="en-GB"/>
        </w:rPr>
        <w:t xml:space="preserve">he </w:t>
      </w:r>
      <w:r w:rsidR="00C014DD" w:rsidRPr="0022269B">
        <w:rPr>
          <w:lang w:val="en-GB"/>
        </w:rPr>
        <w:t>complainant</w:t>
      </w:r>
      <w:r w:rsidR="00AE01D4" w:rsidRPr="0022269B">
        <w:rPr>
          <w:lang w:val="en-GB"/>
        </w:rPr>
        <w:t xml:space="preserve"> allege</w:t>
      </w:r>
      <w:r w:rsidRPr="0022269B">
        <w:rPr>
          <w:lang w:val="en-GB"/>
        </w:rPr>
        <w:t>d</w:t>
      </w:r>
      <w:r w:rsidR="00AE01D4" w:rsidRPr="0022269B">
        <w:rPr>
          <w:lang w:val="en-GB"/>
        </w:rPr>
        <w:t xml:space="preserve"> that on </w:t>
      </w:r>
      <w:r w:rsidRPr="0022269B">
        <w:rPr>
          <w:lang w:val="en-GB"/>
        </w:rPr>
        <w:t xml:space="preserve">5 </w:t>
      </w:r>
      <w:r w:rsidR="00AE01D4" w:rsidRPr="0022269B">
        <w:rPr>
          <w:lang w:val="en-GB"/>
        </w:rPr>
        <w:t>January 2010, Pakistani Sunni terrorists or Lashkar-e-Taiba opened heavy fire during a religious meeting at his house. He alleges that he had to be hospitalized and that he was treated for the following injuries: (</w:t>
      </w:r>
      <w:r w:rsidR="001D0214">
        <w:rPr>
          <w:lang w:val="en-GB"/>
        </w:rPr>
        <w:t>a</w:t>
      </w:r>
      <w:r w:rsidR="00AE01D4" w:rsidRPr="0022269B">
        <w:rPr>
          <w:lang w:val="en-GB"/>
        </w:rPr>
        <w:t xml:space="preserve">) injuries </w:t>
      </w:r>
      <w:r w:rsidR="001D0214">
        <w:rPr>
          <w:lang w:val="en-GB"/>
        </w:rPr>
        <w:t xml:space="preserve">to </w:t>
      </w:r>
      <w:r w:rsidR="00AE01D4" w:rsidRPr="0022269B">
        <w:rPr>
          <w:lang w:val="en-GB"/>
        </w:rPr>
        <w:t xml:space="preserve">and fracture </w:t>
      </w:r>
      <w:r w:rsidR="001D0214">
        <w:rPr>
          <w:lang w:val="en-GB"/>
        </w:rPr>
        <w:t>of</w:t>
      </w:r>
      <w:r w:rsidR="001D0214" w:rsidRPr="0022269B">
        <w:rPr>
          <w:lang w:val="en-GB"/>
        </w:rPr>
        <w:t xml:space="preserve"> </w:t>
      </w:r>
      <w:r w:rsidR="00AE01D4" w:rsidRPr="0022269B">
        <w:rPr>
          <w:lang w:val="en-GB"/>
        </w:rPr>
        <w:t>the right elbow; (</w:t>
      </w:r>
      <w:r w:rsidR="001D0214">
        <w:rPr>
          <w:lang w:val="en-GB"/>
        </w:rPr>
        <w:t>b</w:t>
      </w:r>
      <w:r w:rsidR="00AE01D4" w:rsidRPr="0022269B">
        <w:rPr>
          <w:lang w:val="en-GB"/>
        </w:rPr>
        <w:t xml:space="preserve">) injuries </w:t>
      </w:r>
      <w:r w:rsidR="001D0214">
        <w:rPr>
          <w:lang w:val="en-GB"/>
        </w:rPr>
        <w:t>to</w:t>
      </w:r>
      <w:r w:rsidR="00AE01D4" w:rsidRPr="0022269B">
        <w:rPr>
          <w:lang w:val="en-GB"/>
        </w:rPr>
        <w:t xml:space="preserve"> the right side of the face; (</w:t>
      </w:r>
      <w:r w:rsidR="001D0214">
        <w:rPr>
          <w:lang w:val="en-GB"/>
        </w:rPr>
        <w:t>c</w:t>
      </w:r>
      <w:r w:rsidR="00AE01D4" w:rsidRPr="0022269B">
        <w:rPr>
          <w:lang w:val="en-GB"/>
        </w:rPr>
        <w:t xml:space="preserve">) injuries </w:t>
      </w:r>
      <w:r w:rsidR="001D0214">
        <w:rPr>
          <w:lang w:val="en-GB"/>
        </w:rPr>
        <w:t>to</w:t>
      </w:r>
      <w:r w:rsidR="00AE01D4" w:rsidRPr="0022269B">
        <w:rPr>
          <w:lang w:val="en-GB"/>
        </w:rPr>
        <w:t xml:space="preserve"> the back side of his head; (</w:t>
      </w:r>
      <w:r w:rsidR="001D0214">
        <w:rPr>
          <w:lang w:val="en-GB"/>
        </w:rPr>
        <w:t>d</w:t>
      </w:r>
      <w:r w:rsidR="00AE01D4" w:rsidRPr="0022269B">
        <w:rPr>
          <w:lang w:val="en-GB"/>
        </w:rPr>
        <w:t xml:space="preserve">) </w:t>
      </w:r>
      <w:r w:rsidR="0085398C">
        <w:rPr>
          <w:lang w:val="en-GB"/>
        </w:rPr>
        <w:t xml:space="preserve">a </w:t>
      </w:r>
      <w:r w:rsidR="00AE01D4" w:rsidRPr="0022269B">
        <w:rPr>
          <w:lang w:val="en-GB"/>
        </w:rPr>
        <w:t xml:space="preserve">burn </w:t>
      </w:r>
      <w:r w:rsidR="001D0214">
        <w:rPr>
          <w:lang w:val="en-GB"/>
        </w:rPr>
        <w:t>to</w:t>
      </w:r>
      <w:r w:rsidR="00AE01D4" w:rsidRPr="0022269B">
        <w:rPr>
          <w:lang w:val="en-GB"/>
        </w:rPr>
        <w:t xml:space="preserve"> the left arm and hand; (</w:t>
      </w:r>
      <w:r w:rsidR="001D0214">
        <w:rPr>
          <w:lang w:val="en-GB"/>
        </w:rPr>
        <w:t>e</w:t>
      </w:r>
      <w:r w:rsidR="00AE01D4" w:rsidRPr="0022269B">
        <w:rPr>
          <w:lang w:val="en-GB"/>
        </w:rPr>
        <w:t xml:space="preserve">) </w:t>
      </w:r>
      <w:r w:rsidR="001D0214" w:rsidRPr="002D0987">
        <w:rPr>
          <w:lang w:val="en-GB"/>
        </w:rPr>
        <w:t xml:space="preserve">and </w:t>
      </w:r>
      <w:r w:rsidR="00AE01D4" w:rsidRPr="0022269B">
        <w:rPr>
          <w:lang w:val="en-GB"/>
        </w:rPr>
        <w:t xml:space="preserve">other injuries </w:t>
      </w:r>
      <w:r w:rsidR="001D0214">
        <w:rPr>
          <w:lang w:val="en-GB"/>
        </w:rPr>
        <w:t>to</w:t>
      </w:r>
      <w:r w:rsidR="001D0214" w:rsidRPr="0022269B">
        <w:rPr>
          <w:lang w:val="en-GB"/>
        </w:rPr>
        <w:t xml:space="preserve"> </w:t>
      </w:r>
      <w:r w:rsidR="00AE01D4" w:rsidRPr="0022269B">
        <w:rPr>
          <w:lang w:val="en-GB"/>
        </w:rPr>
        <w:t xml:space="preserve">his body. However, not all of these </w:t>
      </w:r>
      <w:r w:rsidR="00AE01D4" w:rsidRPr="0022269B">
        <w:rPr>
          <w:lang w:val="en-GB"/>
        </w:rPr>
        <w:lastRenderedPageBreak/>
        <w:t xml:space="preserve">injuries are documented in the medical certificate or record of medical treatment submitted by the </w:t>
      </w:r>
      <w:r w:rsidR="00C014DD" w:rsidRPr="0022269B">
        <w:rPr>
          <w:lang w:val="en-GB"/>
        </w:rPr>
        <w:t>complainant</w:t>
      </w:r>
      <w:r w:rsidR="00AE01D4" w:rsidRPr="0022269B">
        <w:rPr>
          <w:lang w:val="en-GB"/>
        </w:rPr>
        <w:t xml:space="preserve">. These indicate that he had a lacerated wound on the right elbow, on the right side of his face and on the back of his head as a result of an assault. </w:t>
      </w:r>
      <w:r w:rsidR="003A2191" w:rsidRPr="0022269B">
        <w:rPr>
          <w:lang w:val="en-GB"/>
        </w:rPr>
        <w:t xml:space="preserve">The State party submits that there is no evidence of past torture within the meaning of the </w:t>
      </w:r>
      <w:r w:rsidR="003A2191" w:rsidRPr="0022269B">
        <w:rPr>
          <w:iCs/>
          <w:lang w:val="en-GB"/>
        </w:rPr>
        <w:t>Convention</w:t>
      </w:r>
      <w:r w:rsidR="003A2191" w:rsidRPr="0022269B">
        <w:rPr>
          <w:lang w:val="en-GB"/>
        </w:rPr>
        <w:t>. The complainant has not provided any medical analysis as to how the injuries described in the medical reports would be consistent with torture</w:t>
      </w:r>
      <w:r w:rsidR="003A2191" w:rsidRPr="0022269B">
        <w:rPr>
          <w:i/>
          <w:lang w:val="en-GB"/>
        </w:rPr>
        <w:t>.</w:t>
      </w:r>
      <w:r w:rsidR="00AE01D4" w:rsidRPr="0022269B">
        <w:rPr>
          <w:lang w:val="en-GB"/>
        </w:rPr>
        <w:t xml:space="preserve"> </w:t>
      </w:r>
    </w:p>
    <w:p w14:paraId="1990C36F" w14:textId="77777777" w:rsidR="00AE01D4" w:rsidRPr="0022269B" w:rsidRDefault="008B19B3" w:rsidP="0022269B">
      <w:pPr>
        <w:pStyle w:val="SingleTxtG"/>
      </w:pPr>
      <w:r w:rsidRPr="0022269B">
        <w:rPr>
          <w:lang w:val="en-GB"/>
        </w:rPr>
        <w:t xml:space="preserve">4.28 </w:t>
      </w:r>
      <w:r w:rsidRPr="0022269B">
        <w:rPr>
          <w:lang w:val="en-GB"/>
        </w:rPr>
        <w:tab/>
        <w:t>T</w:t>
      </w:r>
      <w:r w:rsidR="00C014DD" w:rsidRPr="0022269B">
        <w:rPr>
          <w:lang w:val="en-GB"/>
        </w:rPr>
        <w:t>he State party</w:t>
      </w:r>
      <w:r w:rsidR="00AE01D4" w:rsidRPr="0022269B">
        <w:rPr>
          <w:lang w:val="en-GB"/>
        </w:rPr>
        <w:t xml:space="preserve"> </w:t>
      </w:r>
      <w:r w:rsidRPr="0022269B">
        <w:rPr>
          <w:lang w:val="en-GB"/>
        </w:rPr>
        <w:t>submits that</w:t>
      </w:r>
      <w:r w:rsidR="00AE01D4" w:rsidRPr="0022269B">
        <w:rPr>
          <w:lang w:val="en-GB"/>
        </w:rPr>
        <w:t xml:space="preserve">, even if the </w:t>
      </w:r>
      <w:r w:rsidR="00C014DD" w:rsidRPr="0022269B">
        <w:rPr>
          <w:lang w:val="en-GB"/>
        </w:rPr>
        <w:t>complainant</w:t>
      </w:r>
      <w:r w:rsidR="00AE01D4" w:rsidRPr="0022269B">
        <w:rPr>
          <w:lang w:val="en-GB"/>
        </w:rPr>
        <w:t xml:space="preserve"> is given the benefit of the doubt and it is accepted that he was tortured in January 2010, this factor alone does not support a conclusion that he would be tortured in the future. </w:t>
      </w:r>
      <w:r w:rsidR="00C014DD" w:rsidRPr="0022269B">
        <w:rPr>
          <w:lang w:val="en-GB"/>
        </w:rPr>
        <w:t>The State party</w:t>
      </w:r>
      <w:r w:rsidR="00AE01D4" w:rsidRPr="0022269B">
        <w:rPr>
          <w:lang w:val="en-GB"/>
        </w:rPr>
        <w:t xml:space="preserve"> refers to the Committee’s consistent views that previous experience of torture is but one consideration in determining whether a person faces a personal risk of torture upon return to his country of origin.</w:t>
      </w:r>
      <w:r w:rsidR="0013226D" w:rsidRPr="0022269B">
        <w:rPr>
          <w:rStyle w:val="FootnoteReference"/>
          <w:lang w:val="en-GB"/>
        </w:rPr>
        <w:footnoteReference w:id="26"/>
      </w:r>
      <w:r w:rsidR="00AE01D4" w:rsidRPr="0022269B">
        <w:rPr>
          <w:lang w:val="en-GB"/>
        </w:rPr>
        <w:t xml:space="preserve"> </w:t>
      </w:r>
    </w:p>
    <w:p w14:paraId="61A63CAF" w14:textId="77777777" w:rsidR="00AE01D4" w:rsidRPr="0022269B" w:rsidRDefault="003A2191" w:rsidP="0022269B">
      <w:pPr>
        <w:pStyle w:val="SingleTxtG"/>
      </w:pPr>
      <w:r w:rsidRPr="0022269B">
        <w:rPr>
          <w:lang w:val="en-GB"/>
        </w:rPr>
        <w:t>4.29</w:t>
      </w:r>
      <w:r w:rsidRPr="0022269B">
        <w:rPr>
          <w:lang w:val="en-GB"/>
        </w:rPr>
        <w:tab/>
      </w:r>
      <w:r w:rsidR="00AE01D4" w:rsidRPr="0022269B">
        <w:rPr>
          <w:lang w:val="en-GB"/>
        </w:rPr>
        <w:t xml:space="preserve">The </w:t>
      </w:r>
      <w:r w:rsidR="00C014DD" w:rsidRPr="0022269B">
        <w:rPr>
          <w:lang w:val="en-GB"/>
        </w:rPr>
        <w:t>complainant</w:t>
      </w:r>
      <w:r w:rsidR="00AE01D4" w:rsidRPr="0022269B">
        <w:rPr>
          <w:lang w:val="en-GB"/>
        </w:rPr>
        <w:t xml:space="preserve"> relies on the affidavit evidence he has presented to the Committee to support his claim that he continues to face threats from Sunni extremists in Pakistan. </w:t>
      </w:r>
      <w:r w:rsidRPr="0022269B">
        <w:rPr>
          <w:lang w:val="en-GB"/>
        </w:rPr>
        <w:t>T</w:t>
      </w:r>
      <w:r w:rsidR="00AE01D4" w:rsidRPr="0022269B">
        <w:rPr>
          <w:lang w:val="en-GB"/>
        </w:rPr>
        <w:t xml:space="preserve">he affidavits indicate that the </w:t>
      </w:r>
      <w:r w:rsidR="00C014DD" w:rsidRPr="0022269B">
        <w:rPr>
          <w:lang w:val="en-GB"/>
        </w:rPr>
        <w:t>complainant</w:t>
      </w:r>
      <w:r w:rsidR="00AE01D4" w:rsidRPr="0022269B">
        <w:rPr>
          <w:lang w:val="en-GB"/>
        </w:rPr>
        <w:t xml:space="preserve">’s parents have been informed by their neighbours that the Sunni extremists are still going to their community to ask about the family’s whereabouts, including the whereabouts of the </w:t>
      </w:r>
      <w:r w:rsidR="00C014DD" w:rsidRPr="0022269B">
        <w:rPr>
          <w:lang w:val="en-GB"/>
        </w:rPr>
        <w:t>complainant</w:t>
      </w:r>
      <w:r w:rsidR="00AE01D4" w:rsidRPr="0022269B">
        <w:rPr>
          <w:lang w:val="en-GB"/>
        </w:rPr>
        <w:t xml:space="preserve">, and that the Sunni extremists are still trying to locate the </w:t>
      </w:r>
      <w:r w:rsidR="00C014DD" w:rsidRPr="0022269B">
        <w:rPr>
          <w:lang w:val="en-GB"/>
        </w:rPr>
        <w:t>complainant</w:t>
      </w:r>
      <w:r w:rsidR="00AE01D4" w:rsidRPr="0022269B">
        <w:rPr>
          <w:lang w:val="en-GB"/>
        </w:rPr>
        <w:t xml:space="preserve"> and his family in their village in order to kill them. </w:t>
      </w:r>
      <w:r w:rsidRPr="0022269B">
        <w:rPr>
          <w:lang w:val="en-GB"/>
        </w:rPr>
        <w:t>The State party reiterates that its</w:t>
      </w:r>
      <w:r w:rsidR="00AE01D4" w:rsidRPr="0022269B">
        <w:rPr>
          <w:lang w:val="en-GB"/>
        </w:rPr>
        <w:t xml:space="preserve"> decision</w:t>
      </w:r>
      <w:r w:rsidR="001D0214">
        <w:rPr>
          <w:lang w:val="en-GB"/>
        </w:rPr>
        <w:t xml:space="preserve"> </w:t>
      </w:r>
      <w:r w:rsidR="00AE01D4" w:rsidRPr="0022269B">
        <w:rPr>
          <w:lang w:val="en-GB"/>
        </w:rPr>
        <w:t xml:space="preserve">makers have not yet been given an opportunity to review this evidence. </w:t>
      </w:r>
      <w:r w:rsidRPr="0022269B">
        <w:rPr>
          <w:lang w:val="en-GB"/>
        </w:rPr>
        <w:t>W</w:t>
      </w:r>
      <w:r w:rsidR="00AE01D4" w:rsidRPr="0022269B">
        <w:rPr>
          <w:lang w:val="en-GB"/>
        </w:rPr>
        <w:t xml:space="preserve">hile </w:t>
      </w:r>
      <w:r w:rsidR="001D0214">
        <w:rPr>
          <w:lang w:val="en-GB"/>
        </w:rPr>
        <w:t>t</w:t>
      </w:r>
      <w:r w:rsidR="00C014DD" w:rsidRPr="0022269B">
        <w:rPr>
          <w:lang w:val="en-GB"/>
        </w:rPr>
        <w:t>he State party</w:t>
      </w:r>
      <w:r w:rsidR="00AE01D4" w:rsidRPr="0022269B">
        <w:rPr>
          <w:lang w:val="en-GB"/>
        </w:rPr>
        <w:t xml:space="preserve"> does not seek to prejudge this evidence, </w:t>
      </w:r>
      <w:r w:rsidRPr="0022269B">
        <w:rPr>
          <w:lang w:val="en-GB"/>
        </w:rPr>
        <w:t>it</w:t>
      </w:r>
      <w:r w:rsidR="00AE01D4" w:rsidRPr="0022269B">
        <w:rPr>
          <w:lang w:val="en-GB"/>
        </w:rPr>
        <w:t xml:space="preserve"> observes that there is considerable overlap in the text of the two affidavits, which calls into question the reliability of this evidence. In addition, </w:t>
      </w:r>
      <w:r w:rsidRPr="0022269B">
        <w:rPr>
          <w:lang w:val="en-GB"/>
        </w:rPr>
        <w:t>it</w:t>
      </w:r>
      <w:r w:rsidR="00AE01D4" w:rsidRPr="0022269B">
        <w:rPr>
          <w:lang w:val="en-GB"/>
        </w:rPr>
        <w:t xml:space="preserve"> notes that the affidavits do not identify any future risk of torture that the </w:t>
      </w:r>
      <w:r w:rsidR="00C014DD" w:rsidRPr="0022269B">
        <w:rPr>
          <w:lang w:val="en-GB"/>
        </w:rPr>
        <w:t>complainant</w:t>
      </w:r>
      <w:r w:rsidR="00AE01D4" w:rsidRPr="0022269B">
        <w:rPr>
          <w:lang w:val="en-GB"/>
        </w:rPr>
        <w:t xml:space="preserve"> may personally face in other parts of Pakistan.</w:t>
      </w:r>
      <w:r w:rsidR="001D0214">
        <w:rPr>
          <w:lang w:val="en-GB"/>
        </w:rPr>
        <w:t xml:space="preserve"> </w:t>
      </w:r>
    </w:p>
    <w:p w14:paraId="4172EABA" w14:textId="77777777" w:rsidR="00AE01D4" w:rsidRPr="0022269B" w:rsidRDefault="003A2191">
      <w:pPr>
        <w:pStyle w:val="SingleTxtG"/>
      </w:pPr>
      <w:r w:rsidRPr="0022269B">
        <w:rPr>
          <w:lang w:val="en-GB"/>
        </w:rPr>
        <w:t>4.30</w:t>
      </w:r>
      <w:r w:rsidRPr="0022269B">
        <w:rPr>
          <w:lang w:val="en-GB"/>
        </w:rPr>
        <w:tab/>
      </w:r>
      <w:r w:rsidR="00C014DD" w:rsidRPr="0022269B">
        <w:rPr>
          <w:lang w:val="en-GB"/>
        </w:rPr>
        <w:t>The State party</w:t>
      </w:r>
      <w:r w:rsidR="00AE01D4" w:rsidRPr="0022269B">
        <w:rPr>
          <w:lang w:val="en-GB"/>
        </w:rPr>
        <w:t xml:space="preserve"> submits that no weight should be given to the documents provided by the </w:t>
      </w:r>
      <w:r w:rsidR="00C014DD" w:rsidRPr="0022269B">
        <w:rPr>
          <w:lang w:val="en-GB"/>
        </w:rPr>
        <w:t>complainant</w:t>
      </w:r>
      <w:r w:rsidR="00AE01D4" w:rsidRPr="0022269B">
        <w:rPr>
          <w:lang w:val="en-GB"/>
        </w:rPr>
        <w:t xml:space="preserve"> in the Urdu language. The </w:t>
      </w:r>
      <w:r w:rsidR="00C014DD" w:rsidRPr="0022269B">
        <w:rPr>
          <w:lang w:val="en-GB"/>
        </w:rPr>
        <w:t>complainant</w:t>
      </w:r>
      <w:r w:rsidR="00AE01D4" w:rsidRPr="0022269B">
        <w:rPr>
          <w:lang w:val="en-GB"/>
        </w:rPr>
        <w:t xml:space="preserve"> has failed to translate or indicate with any specificity the contents of these documents in a</w:t>
      </w:r>
      <w:r w:rsidR="00883A91">
        <w:rPr>
          <w:lang w:val="en-GB"/>
        </w:rPr>
        <w:t>n official</w:t>
      </w:r>
      <w:r w:rsidR="00AE01D4" w:rsidRPr="0022269B">
        <w:rPr>
          <w:lang w:val="en-GB"/>
        </w:rPr>
        <w:t xml:space="preserve"> language of the United Nations. </w:t>
      </w:r>
    </w:p>
    <w:p w14:paraId="70A3C3A6" w14:textId="77777777" w:rsidR="00AE01D4" w:rsidRPr="0022269B" w:rsidRDefault="003A2191" w:rsidP="0022269B">
      <w:pPr>
        <w:pStyle w:val="SingleTxtG"/>
      </w:pPr>
      <w:r w:rsidRPr="0022269B">
        <w:rPr>
          <w:lang w:val="en-GB"/>
        </w:rPr>
        <w:t>4.31</w:t>
      </w:r>
      <w:r w:rsidRPr="0022269B">
        <w:rPr>
          <w:lang w:val="en-GB"/>
        </w:rPr>
        <w:tab/>
        <w:t xml:space="preserve">The State party submits that since </w:t>
      </w:r>
      <w:bookmarkEnd w:id="50"/>
      <w:bookmarkEnd w:id="51"/>
      <w:r w:rsidRPr="0022269B">
        <w:rPr>
          <w:lang w:val="en-GB"/>
        </w:rPr>
        <w:t>the</w:t>
      </w:r>
      <w:r w:rsidR="00AE01D4" w:rsidRPr="0022269B">
        <w:rPr>
          <w:lang w:val="en-GB"/>
        </w:rPr>
        <w:t xml:space="preserve"> </w:t>
      </w:r>
      <w:r w:rsidR="00C014DD" w:rsidRPr="0022269B">
        <w:rPr>
          <w:lang w:val="en-GB"/>
        </w:rPr>
        <w:t>complainant</w:t>
      </w:r>
      <w:r w:rsidR="00AE01D4" w:rsidRPr="0022269B">
        <w:rPr>
          <w:lang w:val="en-GB"/>
        </w:rPr>
        <w:t xml:space="preserve"> has not established that he would be at personal risk if returned to Pakistan, it is unnecessary for the Committee to go on to consider the general human rights situation in Pakistan. In </w:t>
      </w:r>
      <w:r w:rsidR="00AE01D4" w:rsidRPr="0022269B">
        <w:rPr>
          <w:i/>
          <w:lang w:val="en-GB"/>
        </w:rPr>
        <w:t xml:space="preserve">V.N.I.M. v. </w:t>
      </w:r>
      <w:r w:rsidRPr="0022269B">
        <w:rPr>
          <w:i/>
          <w:lang w:val="en-GB"/>
        </w:rPr>
        <w:t>Canada</w:t>
      </w:r>
      <w:r w:rsidR="00AE01D4" w:rsidRPr="0022269B">
        <w:rPr>
          <w:lang w:val="en-GB"/>
        </w:rPr>
        <w:t>, the Committee considered that whe</w:t>
      </w:r>
      <w:r w:rsidR="00883A91">
        <w:rPr>
          <w:lang w:val="en-GB"/>
        </w:rPr>
        <w:t>n</w:t>
      </w:r>
      <w:r w:rsidR="00AE01D4" w:rsidRPr="0022269B">
        <w:rPr>
          <w:lang w:val="en-GB"/>
        </w:rPr>
        <w:t xml:space="preserve"> an </w:t>
      </w:r>
      <w:r w:rsidR="00C014DD" w:rsidRPr="0022269B">
        <w:rPr>
          <w:lang w:val="en-GB"/>
        </w:rPr>
        <w:t>complainant</w:t>
      </w:r>
      <w:r w:rsidR="00AE01D4" w:rsidRPr="0022269B">
        <w:rPr>
          <w:lang w:val="en-GB"/>
        </w:rPr>
        <w:t>’s allegations are neither credible nor corroborated by objective evidence, it is “not necessary to examine the general human rights situation” in the country of origin.</w:t>
      </w:r>
      <w:r w:rsidR="0013226D" w:rsidRPr="0022269B">
        <w:rPr>
          <w:rStyle w:val="FootnoteReference"/>
          <w:lang w:val="en-GB"/>
        </w:rPr>
        <w:footnoteReference w:id="27"/>
      </w:r>
      <w:r w:rsidR="00AE01D4" w:rsidRPr="0022269B">
        <w:rPr>
          <w:lang w:val="en-GB"/>
        </w:rPr>
        <w:t xml:space="preserve"> </w:t>
      </w:r>
      <w:r w:rsidR="00C014DD" w:rsidRPr="0022269B">
        <w:rPr>
          <w:lang w:val="en-GB"/>
        </w:rPr>
        <w:t>The State party</w:t>
      </w:r>
      <w:r w:rsidR="00AE01D4" w:rsidRPr="0022269B">
        <w:rPr>
          <w:lang w:val="en-GB"/>
        </w:rPr>
        <w:t xml:space="preserve"> submits that the analysis in </w:t>
      </w:r>
      <w:r w:rsidR="00AE01D4" w:rsidRPr="0022269B">
        <w:rPr>
          <w:i/>
          <w:lang w:val="en-GB"/>
        </w:rPr>
        <w:t>V.N.I.M.</w:t>
      </w:r>
      <w:r w:rsidR="00883A91">
        <w:rPr>
          <w:i/>
          <w:lang w:val="en-GB"/>
        </w:rPr>
        <w:t xml:space="preserve"> v. Canada</w:t>
      </w:r>
      <w:r w:rsidR="00AE01D4" w:rsidRPr="0022269B">
        <w:rPr>
          <w:lang w:val="en-GB"/>
        </w:rPr>
        <w:t xml:space="preserve"> applies in the present instance.</w:t>
      </w:r>
    </w:p>
    <w:p w14:paraId="5595AE97" w14:textId="77777777" w:rsidR="00AE01D4" w:rsidRPr="0022269B" w:rsidRDefault="003A2191" w:rsidP="0022269B">
      <w:pPr>
        <w:pStyle w:val="SingleTxtG"/>
      </w:pPr>
      <w:r w:rsidRPr="0022269B">
        <w:rPr>
          <w:lang w:val="en-GB"/>
        </w:rPr>
        <w:t>4.32</w:t>
      </w:r>
      <w:r w:rsidRPr="0022269B">
        <w:rPr>
          <w:lang w:val="en-GB"/>
        </w:rPr>
        <w:tab/>
      </w:r>
      <w:r w:rsidR="00AE01D4" w:rsidRPr="0022269B">
        <w:rPr>
          <w:lang w:val="en-GB"/>
        </w:rPr>
        <w:t xml:space="preserve">In the event that the Committee considers it necessary to consider the general human rights situation in Pakistan, </w:t>
      </w:r>
      <w:r w:rsidRPr="0022269B">
        <w:rPr>
          <w:lang w:val="en-GB"/>
        </w:rPr>
        <w:t>t</w:t>
      </w:r>
      <w:r w:rsidR="00C014DD" w:rsidRPr="0022269B">
        <w:rPr>
          <w:lang w:val="en-GB"/>
        </w:rPr>
        <w:t>he State party</w:t>
      </w:r>
      <w:r w:rsidR="00AE01D4" w:rsidRPr="0022269B">
        <w:rPr>
          <w:lang w:val="en-GB"/>
        </w:rPr>
        <w:t xml:space="preserve"> </w:t>
      </w:r>
      <w:r w:rsidRPr="0022269B">
        <w:rPr>
          <w:lang w:val="en-GB"/>
        </w:rPr>
        <w:t>submits</w:t>
      </w:r>
      <w:r w:rsidR="00AE01D4" w:rsidRPr="0022269B">
        <w:rPr>
          <w:lang w:val="en-GB"/>
        </w:rPr>
        <w:t xml:space="preserve"> that, even if the </w:t>
      </w:r>
      <w:r w:rsidR="00C014DD" w:rsidRPr="0022269B">
        <w:rPr>
          <w:lang w:val="en-GB"/>
        </w:rPr>
        <w:t>complainant</w:t>
      </w:r>
      <w:r w:rsidR="00AE01D4" w:rsidRPr="0022269B">
        <w:rPr>
          <w:lang w:val="en-GB"/>
        </w:rPr>
        <w:t xml:space="preserve"> could be said to face a real risk of torture in his community with the consent or acquiescence of </w:t>
      </w:r>
      <w:r w:rsidR="00232421">
        <w:rPr>
          <w:lang w:val="en-GB"/>
        </w:rPr>
        <w:t>s</w:t>
      </w:r>
      <w:r w:rsidR="00AE01D4" w:rsidRPr="0022269B">
        <w:rPr>
          <w:lang w:val="en-GB"/>
        </w:rPr>
        <w:t xml:space="preserve">tate officials, objective evidence concerning conditions in Pakistan suggests that the </w:t>
      </w:r>
      <w:r w:rsidR="00C014DD" w:rsidRPr="0022269B">
        <w:rPr>
          <w:lang w:val="en-GB"/>
        </w:rPr>
        <w:t>complainant</w:t>
      </w:r>
      <w:r w:rsidR="00AE01D4" w:rsidRPr="0022269B">
        <w:rPr>
          <w:lang w:val="en-GB"/>
        </w:rPr>
        <w:t xml:space="preserve"> may have an internal flight alternative that would allow him to live without risk of serious harm in other parts of Pakistan. </w:t>
      </w:r>
      <w:r w:rsidR="00C014DD" w:rsidRPr="0022269B">
        <w:rPr>
          <w:lang w:val="en-GB"/>
        </w:rPr>
        <w:t>The State party</w:t>
      </w:r>
      <w:r w:rsidR="00AE01D4" w:rsidRPr="0022269B">
        <w:rPr>
          <w:lang w:val="en-GB"/>
        </w:rPr>
        <w:t xml:space="preserve"> acknowledges that the situation in Pakistan for Shia Muslims is problematic.</w:t>
      </w:r>
      <w:r w:rsidR="00AE01D4" w:rsidRPr="0022269B">
        <w:rPr>
          <w:sz w:val="18"/>
          <w:szCs w:val="18"/>
          <w:vertAlign w:val="superscript"/>
          <w:lang w:val="en-GB"/>
        </w:rPr>
        <w:footnoteReference w:id="28"/>
      </w:r>
      <w:r w:rsidR="00AE01D4" w:rsidRPr="0022269B">
        <w:rPr>
          <w:sz w:val="18"/>
          <w:szCs w:val="18"/>
          <w:lang w:val="en-GB"/>
        </w:rPr>
        <w:t xml:space="preserve"> </w:t>
      </w:r>
      <w:r w:rsidR="00AE01D4" w:rsidRPr="0022269B">
        <w:rPr>
          <w:lang w:val="en-GB"/>
        </w:rPr>
        <w:t>However, the U</w:t>
      </w:r>
      <w:r w:rsidR="00232421">
        <w:rPr>
          <w:lang w:val="en-GB"/>
        </w:rPr>
        <w:t xml:space="preserve">nited </w:t>
      </w:r>
      <w:r w:rsidR="00AE01D4" w:rsidRPr="0022269B">
        <w:rPr>
          <w:lang w:val="en-GB"/>
        </w:rPr>
        <w:t>K</w:t>
      </w:r>
      <w:r w:rsidR="00232421">
        <w:rPr>
          <w:lang w:val="en-GB"/>
        </w:rPr>
        <w:t>ingdom</w:t>
      </w:r>
      <w:r w:rsidR="00AE01D4" w:rsidRPr="0022269B">
        <w:rPr>
          <w:lang w:val="en-GB"/>
        </w:rPr>
        <w:t xml:space="preserve"> </w:t>
      </w:r>
      <w:r w:rsidR="00AE01D4" w:rsidRPr="0022269B">
        <w:rPr>
          <w:lang w:val="en-GB"/>
        </w:rPr>
        <w:lastRenderedPageBreak/>
        <w:t>Home Office, in a report from 2014 on relig</w:t>
      </w:r>
      <w:r w:rsidRPr="0022269B">
        <w:rPr>
          <w:lang w:val="en-GB"/>
        </w:rPr>
        <w:t>ious freedom in Pakistan, notes that t</w:t>
      </w:r>
      <w:r w:rsidR="00AE01D4" w:rsidRPr="0022269B">
        <w:rPr>
          <w:lang w:val="en-GB"/>
        </w:rPr>
        <w:t>here are a significant number of Shia communities across Pakistan</w:t>
      </w:r>
      <w:r w:rsidR="001732F3">
        <w:rPr>
          <w:lang w:val="en-GB"/>
        </w:rPr>
        <w:t>,</w:t>
      </w:r>
      <w:r w:rsidR="00AE01D4" w:rsidRPr="0022269B">
        <w:rPr>
          <w:lang w:val="en-GB"/>
        </w:rPr>
        <w:t xml:space="preserve"> Shia mosques and places of worship are located in most major cities and towns</w:t>
      </w:r>
      <w:r w:rsidR="001732F3">
        <w:rPr>
          <w:lang w:val="en-GB"/>
        </w:rPr>
        <w:t>,</w:t>
      </w:r>
      <w:r w:rsidR="00AE01D4" w:rsidRPr="0022269B">
        <w:rPr>
          <w:lang w:val="en-GB"/>
        </w:rPr>
        <w:t xml:space="preserve"> </w:t>
      </w:r>
      <w:r w:rsidR="001732F3">
        <w:rPr>
          <w:lang w:val="en-GB"/>
        </w:rPr>
        <w:t xml:space="preserve">and </w:t>
      </w:r>
      <w:r w:rsidRPr="0022269B">
        <w:rPr>
          <w:lang w:val="en-GB"/>
        </w:rPr>
        <w:t>i</w:t>
      </w:r>
      <w:r w:rsidR="00AE01D4" w:rsidRPr="0022269B">
        <w:rPr>
          <w:lang w:val="en-GB"/>
        </w:rPr>
        <w:t>n most cases there are options for Shia Muslims to relocate to areas of relative safety in Pakistan.</w:t>
      </w:r>
      <w:r w:rsidR="00706EE7" w:rsidRPr="0022269B">
        <w:rPr>
          <w:rStyle w:val="FootnoteReference"/>
          <w:lang w:val="en-GB"/>
        </w:rPr>
        <w:footnoteReference w:id="29"/>
      </w:r>
      <w:r w:rsidRPr="0022269B">
        <w:rPr>
          <w:lang w:val="en-GB"/>
        </w:rPr>
        <w:t xml:space="preserve"> </w:t>
      </w:r>
      <w:r w:rsidR="00AE01D4" w:rsidRPr="0022269B">
        <w:rPr>
          <w:lang w:val="en-GB"/>
        </w:rPr>
        <w:t>The same report also states that “[t]he greatest threat for Shia</w:t>
      </w:r>
      <w:r w:rsidR="006C4975">
        <w:rPr>
          <w:lang w:val="en-GB"/>
        </w:rPr>
        <w:t xml:space="preserve"> Muslims</w:t>
      </w:r>
      <w:r w:rsidR="00AE01D4" w:rsidRPr="0022269B">
        <w:rPr>
          <w:lang w:val="en-GB"/>
        </w:rPr>
        <w:t xml:space="preserve"> in Pakistan is sectarian violence and targeting by militants, although the intensity and frequency may vary from region to region”</w:t>
      </w:r>
      <w:r w:rsidR="001732F3">
        <w:rPr>
          <w:lang w:val="en-GB"/>
        </w:rPr>
        <w:t>.</w:t>
      </w:r>
      <w:r w:rsidR="00706EE7" w:rsidRPr="0022269B">
        <w:rPr>
          <w:rStyle w:val="FootnoteReference"/>
          <w:lang w:val="en-GB"/>
        </w:rPr>
        <w:footnoteReference w:id="30"/>
      </w:r>
      <w:r w:rsidR="00AE01D4" w:rsidRPr="0022269B">
        <w:rPr>
          <w:lang w:val="en-GB"/>
        </w:rPr>
        <w:t xml:space="preserve"> The ability of </w:t>
      </w:r>
      <w:r w:rsidR="00232421">
        <w:rPr>
          <w:lang w:val="en-GB"/>
        </w:rPr>
        <w:t>s</w:t>
      </w:r>
      <w:r w:rsidR="00AE01D4" w:rsidRPr="0022269B">
        <w:rPr>
          <w:lang w:val="en-GB"/>
        </w:rPr>
        <w:t xml:space="preserve">tate </w:t>
      </w:r>
      <w:r w:rsidRPr="0022269B">
        <w:rPr>
          <w:lang w:val="en-GB"/>
        </w:rPr>
        <w:t>author</w:t>
      </w:r>
      <w:r w:rsidR="00AE01D4" w:rsidRPr="0022269B">
        <w:rPr>
          <w:lang w:val="en-GB"/>
        </w:rPr>
        <w:t>ities to protect religious minorities also varies from region to region. For instance, during the holy month of M</w:t>
      </w:r>
      <w:r w:rsidR="001732F3">
        <w:rPr>
          <w:lang w:val="en-GB"/>
        </w:rPr>
        <w:t>u</w:t>
      </w:r>
      <w:r w:rsidR="00AE01D4" w:rsidRPr="0022269B">
        <w:rPr>
          <w:lang w:val="en-GB"/>
        </w:rPr>
        <w:t>harram, in 2013, terrorist attacks on Shia processions in the major cities of Karachi and Lahore were thwarted by effective police action.</w:t>
      </w:r>
      <w:r w:rsidR="00706EE7" w:rsidRPr="0022269B">
        <w:rPr>
          <w:rStyle w:val="FootnoteReference"/>
          <w:lang w:val="en-GB"/>
        </w:rPr>
        <w:footnoteReference w:id="31"/>
      </w:r>
      <w:r w:rsidR="00AE01D4" w:rsidRPr="0022269B">
        <w:rPr>
          <w:lang w:val="en-GB"/>
        </w:rPr>
        <w:t xml:space="preserve"> </w:t>
      </w:r>
    </w:p>
    <w:p w14:paraId="6A57B749" w14:textId="77777777" w:rsidR="00AE01D4" w:rsidRPr="0022269B" w:rsidRDefault="003A2191" w:rsidP="0022269B">
      <w:pPr>
        <w:pStyle w:val="SingleTxtG"/>
      </w:pPr>
      <w:r w:rsidRPr="0022269B">
        <w:rPr>
          <w:lang w:val="en-GB"/>
        </w:rPr>
        <w:t>4.33</w:t>
      </w:r>
      <w:r w:rsidRPr="0022269B">
        <w:rPr>
          <w:lang w:val="en-GB"/>
        </w:rPr>
        <w:tab/>
      </w:r>
      <w:r w:rsidR="00C014DD" w:rsidRPr="0022269B">
        <w:rPr>
          <w:lang w:val="en-GB"/>
        </w:rPr>
        <w:t>The State party</w:t>
      </w:r>
      <w:r w:rsidR="00AE01D4" w:rsidRPr="0022269B">
        <w:rPr>
          <w:lang w:val="en-GB"/>
        </w:rPr>
        <w:t xml:space="preserve"> recalls the Committee’s consistent views affirming that persons who would be able to live free of risk in another part of their own country are not entitled to international protection</w:t>
      </w:r>
      <w:r w:rsidR="00AE01D4" w:rsidRPr="0022269B">
        <w:rPr>
          <w:i/>
          <w:lang w:val="en-GB"/>
        </w:rPr>
        <w:t>.</w:t>
      </w:r>
      <w:r w:rsidR="00706EE7" w:rsidRPr="0022269B">
        <w:rPr>
          <w:rStyle w:val="FootnoteReference"/>
          <w:i/>
          <w:lang w:val="en-GB"/>
        </w:rPr>
        <w:footnoteReference w:id="32"/>
      </w:r>
      <w:r w:rsidR="00AE01D4" w:rsidRPr="0022269B">
        <w:rPr>
          <w:lang w:val="en-GB"/>
        </w:rPr>
        <w:t xml:space="preserve"> The </w:t>
      </w:r>
      <w:r w:rsidR="00C014DD" w:rsidRPr="0022269B">
        <w:rPr>
          <w:lang w:val="en-GB"/>
        </w:rPr>
        <w:t>complainant</w:t>
      </w:r>
      <w:r w:rsidR="00AE01D4" w:rsidRPr="0022269B">
        <w:rPr>
          <w:lang w:val="en-GB"/>
        </w:rPr>
        <w:t xml:space="preserve"> has not provided sufficient objective evidence to substantiate that he would not be able to reside free of personal risk in another part of Pakistan. </w:t>
      </w:r>
      <w:r w:rsidR="00C014DD" w:rsidRPr="0022269B">
        <w:rPr>
          <w:lang w:val="en-GB"/>
        </w:rPr>
        <w:t>The State party</w:t>
      </w:r>
      <w:r w:rsidR="00AE01D4" w:rsidRPr="0022269B">
        <w:rPr>
          <w:lang w:val="en-GB"/>
        </w:rPr>
        <w:t xml:space="preserve"> also notes that the </w:t>
      </w:r>
      <w:r w:rsidR="00C014DD" w:rsidRPr="0022269B">
        <w:rPr>
          <w:lang w:val="en-GB"/>
        </w:rPr>
        <w:t>complainant</w:t>
      </w:r>
      <w:r w:rsidR="00AE01D4" w:rsidRPr="0022269B">
        <w:rPr>
          <w:lang w:val="en-GB"/>
        </w:rPr>
        <w:t xml:space="preserve"> has not provided documentary evidence that someone with his profile </w:t>
      </w:r>
      <w:r w:rsidR="005662FF">
        <w:rPr>
          <w:lang w:val="en-GB"/>
        </w:rPr>
        <w:t>—</w:t>
      </w:r>
      <w:r w:rsidR="00AE01D4" w:rsidRPr="0022269B">
        <w:rPr>
          <w:lang w:val="en-GB"/>
        </w:rPr>
        <w:t xml:space="preserve"> the son of a local Shia leader </w:t>
      </w:r>
      <w:r w:rsidR="005662FF">
        <w:rPr>
          <w:lang w:val="en-GB"/>
        </w:rPr>
        <w:t>—</w:t>
      </w:r>
      <w:r w:rsidR="00AE01D4" w:rsidRPr="0022269B">
        <w:rPr>
          <w:lang w:val="en-GB"/>
        </w:rPr>
        <w:t xml:space="preserve"> would be at particular risk of torture in Pakistan.</w:t>
      </w:r>
    </w:p>
    <w:p w14:paraId="421F62F5" w14:textId="77777777" w:rsidR="00AE01D4" w:rsidRPr="0022269B" w:rsidRDefault="003A2191" w:rsidP="0022269B">
      <w:pPr>
        <w:pStyle w:val="SingleTxtG"/>
      </w:pPr>
      <w:r w:rsidRPr="0022269B">
        <w:rPr>
          <w:lang w:val="en-GB"/>
        </w:rPr>
        <w:t>4.</w:t>
      </w:r>
      <w:r w:rsidR="00322CCF">
        <w:rPr>
          <w:lang w:val="en-GB"/>
        </w:rPr>
        <w:t>3</w:t>
      </w:r>
      <w:r w:rsidRPr="0022269B">
        <w:rPr>
          <w:lang w:val="en-GB"/>
        </w:rPr>
        <w:t>4</w:t>
      </w:r>
      <w:r w:rsidRPr="0022269B">
        <w:rPr>
          <w:lang w:val="en-GB"/>
        </w:rPr>
        <w:tab/>
      </w:r>
      <w:r w:rsidR="00AE01D4" w:rsidRPr="0022269B">
        <w:rPr>
          <w:lang w:val="en-GB"/>
        </w:rPr>
        <w:t xml:space="preserve">The </w:t>
      </w:r>
      <w:r w:rsidR="00C014DD" w:rsidRPr="0022269B">
        <w:rPr>
          <w:lang w:val="en-GB"/>
        </w:rPr>
        <w:t>complainant</w:t>
      </w:r>
      <w:r w:rsidR="00AE01D4" w:rsidRPr="0022269B">
        <w:rPr>
          <w:lang w:val="en-GB"/>
        </w:rPr>
        <w:t xml:space="preserve"> has not substantiated his allegation that he would be at risk of torture upon return to Pakistan as a failed refugee claimant. In support of this allegation, the </w:t>
      </w:r>
      <w:r w:rsidR="00C014DD" w:rsidRPr="0022269B">
        <w:rPr>
          <w:lang w:val="en-GB"/>
        </w:rPr>
        <w:t>complainant</w:t>
      </w:r>
      <w:r w:rsidR="00AE01D4" w:rsidRPr="0022269B">
        <w:rPr>
          <w:lang w:val="en-GB"/>
        </w:rPr>
        <w:t xml:space="preserve"> has provided in the body of his complaint an extract from a research document published by the </w:t>
      </w:r>
      <w:r w:rsidR="002A58BF" w:rsidRPr="001E1CDD">
        <w:rPr>
          <w:lang w:val="en-GB"/>
        </w:rPr>
        <w:t>Immigration and Refugee Board</w:t>
      </w:r>
      <w:r w:rsidR="002A58BF" w:rsidRPr="002A58BF" w:rsidDel="002A58BF">
        <w:rPr>
          <w:lang w:val="en-GB"/>
        </w:rPr>
        <w:t xml:space="preserve"> </w:t>
      </w:r>
      <w:r w:rsidR="00AE01D4" w:rsidRPr="0022269B">
        <w:rPr>
          <w:lang w:val="en-GB"/>
        </w:rPr>
        <w:t xml:space="preserve">dated </w:t>
      </w:r>
      <w:r w:rsidRPr="0022269B">
        <w:rPr>
          <w:lang w:val="en-GB"/>
        </w:rPr>
        <w:t>2 December</w:t>
      </w:r>
      <w:r w:rsidR="00AE01D4" w:rsidRPr="0022269B">
        <w:rPr>
          <w:lang w:val="en-GB"/>
        </w:rPr>
        <w:t xml:space="preserve"> 2008.</w:t>
      </w:r>
      <w:r w:rsidR="00706EE7" w:rsidRPr="0022269B">
        <w:rPr>
          <w:rStyle w:val="FootnoteReference"/>
          <w:lang w:val="en-GB"/>
        </w:rPr>
        <w:footnoteReference w:id="33"/>
      </w:r>
      <w:r w:rsidRPr="0022269B">
        <w:rPr>
          <w:lang w:val="en-GB"/>
        </w:rPr>
        <w:t xml:space="preserve"> </w:t>
      </w:r>
      <w:r w:rsidR="00AE01D4" w:rsidRPr="0022269B">
        <w:rPr>
          <w:lang w:val="en-GB"/>
        </w:rPr>
        <w:t>While the text in question describes incidents of detention prior to 2005, it does not, as a whole, suggest that failed refugee claimants are subjected to treatment in Pakistan amounting to torture.</w:t>
      </w:r>
      <w:r w:rsidR="00AE01D4" w:rsidRPr="0022269B">
        <w:rPr>
          <w:vertAlign w:val="superscript"/>
          <w:lang w:val="en-GB"/>
        </w:rPr>
        <w:t xml:space="preserve"> </w:t>
      </w:r>
      <w:r w:rsidR="00AE01D4" w:rsidRPr="0022269B">
        <w:rPr>
          <w:lang w:val="en-GB"/>
        </w:rPr>
        <w:t xml:space="preserve">Moreover, the </w:t>
      </w:r>
      <w:r w:rsidR="00C014DD" w:rsidRPr="0022269B">
        <w:rPr>
          <w:lang w:val="en-GB"/>
        </w:rPr>
        <w:t>complainant</w:t>
      </w:r>
      <w:r w:rsidR="00AE01D4" w:rsidRPr="0022269B">
        <w:rPr>
          <w:lang w:val="en-GB"/>
        </w:rPr>
        <w:t xml:space="preserve"> has omitted relevant portions of the research document, which notes that no reported cases of detentions or disappearances of failed refugee claimants were found after 2005 during the period covered by the report. In addition, the document states that the Human Rights Commission of Pakistan, an independent non-governmental organization that monitors the state of human rights in Pakistan, stated in correspondence dated </w:t>
      </w:r>
      <w:r w:rsidR="001732F3">
        <w:rPr>
          <w:lang w:val="en-GB"/>
        </w:rPr>
        <w:t xml:space="preserve">24 </w:t>
      </w:r>
      <w:r w:rsidR="00AE01D4" w:rsidRPr="0022269B">
        <w:rPr>
          <w:lang w:val="en-GB"/>
        </w:rPr>
        <w:t>May 2005 that failed refugee claimants “are not usually detained”</w:t>
      </w:r>
      <w:r w:rsidR="001732F3">
        <w:rPr>
          <w:lang w:val="en-GB"/>
        </w:rPr>
        <w:t>.</w:t>
      </w:r>
      <w:r w:rsidR="00706EE7" w:rsidRPr="0022269B">
        <w:rPr>
          <w:rStyle w:val="FootnoteReference"/>
          <w:lang w:val="en-GB"/>
        </w:rPr>
        <w:footnoteReference w:id="34"/>
      </w:r>
      <w:r w:rsidR="00AE01D4" w:rsidRPr="0022269B">
        <w:rPr>
          <w:lang w:val="en-GB"/>
        </w:rPr>
        <w:t xml:space="preserve"> The </w:t>
      </w:r>
      <w:r w:rsidR="00AE01D4" w:rsidRPr="0022269B">
        <w:rPr>
          <w:lang w:val="en-GB"/>
        </w:rPr>
        <w:lastRenderedPageBreak/>
        <w:t>c</w:t>
      </w:r>
      <w:r w:rsidR="00182368" w:rsidRPr="0022269B">
        <w:rPr>
          <w:lang w:val="en-GB"/>
        </w:rPr>
        <w:t>omplainant</w:t>
      </w:r>
      <w:r w:rsidR="00AE01D4" w:rsidRPr="0022269B">
        <w:rPr>
          <w:lang w:val="en-GB"/>
        </w:rPr>
        <w:t xml:space="preserve"> has thus not substantiated that he faces a real and personal risk of torture as a failed refugee claimant should he be returned to Pakistan.</w:t>
      </w:r>
    </w:p>
    <w:p w14:paraId="49241902" w14:textId="77777777" w:rsidR="00356045" w:rsidRPr="0022269B" w:rsidRDefault="005662FF" w:rsidP="0022269B">
      <w:pPr>
        <w:pStyle w:val="H23G"/>
      </w:pPr>
      <w:r>
        <w:tab/>
      </w:r>
      <w:r>
        <w:tab/>
      </w:r>
      <w:bookmarkEnd w:id="49"/>
      <w:r w:rsidR="00356045" w:rsidRPr="002B460D">
        <w:t>Complainant’s comments</w:t>
      </w:r>
    </w:p>
    <w:p w14:paraId="08E050ED" w14:textId="77777777" w:rsidR="00AE53D9" w:rsidRPr="0022269B" w:rsidRDefault="00356045" w:rsidP="00734132">
      <w:pPr>
        <w:suppressAutoHyphens w:val="0"/>
        <w:spacing w:line="240" w:lineRule="auto"/>
        <w:ind w:left="1134" w:right="1134"/>
        <w:jc w:val="both"/>
      </w:pPr>
      <w:r w:rsidRPr="002B460D">
        <w:rPr>
          <w:rStyle w:val="SingleTxtGChar"/>
        </w:rPr>
        <w:t>5.1</w:t>
      </w:r>
      <w:r w:rsidRPr="002B460D">
        <w:rPr>
          <w:rStyle w:val="SingleTxtGChar"/>
        </w:rPr>
        <w:tab/>
      </w:r>
      <w:r w:rsidR="00E86F11" w:rsidRPr="002B460D">
        <w:rPr>
          <w:rStyle w:val="SingleTxtGChar"/>
        </w:rPr>
        <w:t xml:space="preserve">On 16 February and 22 March 2015, the complainant reiterates that </w:t>
      </w:r>
      <w:r w:rsidR="00AE53D9" w:rsidRPr="002B460D">
        <w:rPr>
          <w:rStyle w:val="SingleTxtGChar"/>
        </w:rPr>
        <w:t xml:space="preserve">he </w:t>
      </w:r>
      <w:r w:rsidR="00E86F11" w:rsidRPr="0022269B">
        <w:t xml:space="preserve">is Shia Muslim </w:t>
      </w:r>
      <w:r w:rsidR="00AE53D9" w:rsidRPr="0022269B">
        <w:t>and belongs to a religious minority in</w:t>
      </w:r>
      <w:r w:rsidR="00E86F11" w:rsidRPr="0022269B">
        <w:t xml:space="preserve"> Pakistan. </w:t>
      </w:r>
      <w:r w:rsidR="001732F3" w:rsidRPr="0022269B">
        <w:t>H</w:t>
      </w:r>
      <w:r w:rsidR="00AE53D9" w:rsidRPr="0022269B">
        <w:t>e submits that</w:t>
      </w:r>
      <w:r w:rsidR="001732F3" w:rsidRPr="0022269B">
        <w:t>,</w:t>
      </w:r>
      <w:r w:rsidR="00AE53D9" w:rsidRPr="0022269B">
        <w:t xml:space="preserve"> </w:t>
      </w:r>
      <w:r w:rsidR="001732F3" w:rsidRPr="0022269B">
        <w:t xml:space="preserve">if removed to Pakistan, </w:t>
      </w:r>
      <w:r w:rsidR="00AE53D9" w:rsidRPr="0022269B">
        <w:t>he would be exposed to: s</w:t>
      </w:r>
      <w:r w:rsidR="00E86F11" w:rsidRPr="0022269B">
        <w:t xml:space="preserve">erious </w:t>
      </w:r>
      <w:r w:rsidR="00AE53D9" w:rsidRPr="0022269B">
        <w:t>r</w:t>
      </w:r>
      <w:r w:rsidR="00E86F11" w:rsidRPr="0022269B">
        <w:t xml:space="preserve">isk to </w:t>
      </w:r>
      <w:r w:rsidR="00F832CE" w:rsidRPr="0022269B">
        <w:t>his</w:t>
      </w:r>
      <w:r w:rsidR="00E86F11" w:rsidRPr="0022269B">
        <w:t xml:space="preserve"> life</w:t>
      </w:r>
      <w:r w:rsidR="00AE53D9" w:rsidRPr="0022269B">
        <w:t>; r</w:t>
      </w:r>
      <w:r w:rsidR="00E86F11" w:rsidRPr="0022269B">
        <w:t xml:space="preserve">isk of torture in accordance at the hands of Pakistan </w:t>
      </w:r>
      <w:r w:rsidR="00AE53D9" w:rsidRPr="0022269B">
        <w:t>s</w:t>
      </w:r>
      <w:r w:rsidR="00E86F11" w:rsidRPr="0022269B">
        <w:t xml:space="preserve">ecurity </w:t>
      </w:r>
      <w:r w:rsidR="00AE53D9" w:rsidRPr="0022269B">
        <w:t>and</w:t>
      </w:r>
      <w:r w:rsidR="00E86F11" w:rsidRPr="0022269B">
        <w:t xml:space="preserve"> intelligence agencies and Sunni </w:t>
      </w:r>
      <w:r w:rsidR="00AE53D9" w:rsidRPr="0022269B">
        <w:t>t</w:t>
      </w:r>
      <w:r w:rsidR="00E86F11" w:rsidRPr="0022269B">
        <w:t xml:space="preserve">errorist </w:t>
      </w:r>
      <w:r w:rsidR="00AE53D9" w:rsidRPr="0022269B">
        <w:t>o</w:t>
      </w:r>
      <w:r w:rsidR="00E86F11" w:rsidRPr="0022269B">
        <w:t>rganizations</w:t>
      </w:r>
      <w:r w:rsidR="00AE53D9" w:rsidRPr="0022269B">
        <w:t>; r</w:t>
      </w:r>
      <w:r w:rsidR="00E86F11" w:rsidRPr="0022269B">
        <w:t>isk of cruel and unusual treatment and punishment</w:t>
      </w:r>
      <w:r w:rsidR="00AE53D9" w:rsidRPr="0022269B">
        <w:t>; s</w:t>
      </w:r>
      <w:r w:rsidR="00E86F11" w:rsidRPr="0022269B">
        <w:t xml:space="preserve">erious </w:t>
      </w:r>
      <w:r w:rsidR="00AE53D9" w:rsidRPr="0022269B">
        <w:t>r</w:t>
      </w:r>
      <w:r w:rsidR="00E86F11" w:rsidRPr="0022269B">
        <w:t xml:space="preserve">isk </w:t>
      </w:r>
      <w:r w:rsidR="00AE53D9" w:rsidRPr="0022269B">
        <w:t>of</w:t>
      </w:r>
      <w:r w:rsidR="00E86F11" w:rsidRPr="0022269B">
        <w:t xml:space="preserve"> </w:t>
      </w:r>
      <w:r w:rsidR="00AE53D9" w:rsidRPr="0022269B">
        <w:t>a</w:t>
      </w:r>
      <w:r w:rsidR="00E86F11" w:rsidRPr="0022269B">
        <w:t>bduction, kidnapping or illegal detention at the hands of terrorist organizations.</w:t>
      </w:r>
      <w:r w:rsidR="00AE53D9" w:rsidRPr="0022269B">
        <w:t xml:space="preserve"> He reiterates </w:t>
      </w:r>
      <w:r w:rsidR="001732F3" w:rsidRPr="0022269B">
        <w:t xml:space="preserve">that </w:t>
      </w:r>
      <w:r w:rsidR="00AE53D9" w:rsidRPr="0022269B">
        <w:t>h</w:t>
      </w:r>
      <w:r w:rsidR="00E86F11" w:rsidRPr="0022269B">
        <w:t xml:space="preserve">e and his family </w:t>
      </w:r>
      <w:r w:rsidR="00AE53D9" w:rsidRPr="0022269B">
        <w:t xml:space="preserve">continue to </w:t>
      </w:r>
      <w:r w:rsidR="00E86F11" w:rsidRPr="0022269B">
        <w:t>receive threats from these terrorists. In the past he has been injured by th</w:t>
      </w:r>
      <w:r w:rsidR="001732F3" w:rsidRPr="0022269B">
        <w:t>o</w:t>
      </w:r>
      <w:r w:rsidR="00E86F11" w:rsidRPr="0022269B">
        <w:t>se terrorists</w:t>
      </w:r>
      <w:r w:rsidR="001732F3" w:rsidRPr="0022269B">
        <w:t>,</w:t>
      </w:r>
      <w:r w:rsidR="00E86F11" w:rsidRPr="0022269B">
        <w:t xml:space="preserve"> and his cousin has been killed by </w:t>
      </w:r>
      <w:r w:rsidR="00AE53D9" w:rsidRPr="0022269B">
        <w:t>S</w:t>
      </w:r>
      <w:r w:rsidR="00E86F11" w:rsidRPr="0022269B">
        <w:t>unni terrorists.</w:t>
      </w:r>
    </w:p>
    <w:p w14:paraId="208D367E" w14:textId="77777777" w:rsidR="00E86F11" w:rsidRPr="0022269B" w:rsidRDefault="00AE53D9" w:rsidP="0022269B">
      <w:pPr>
        <w:pStyle w:val="SingleTxtG"/>
        <w:rPr>
          <w:lang w:val="en-GB"/>
        </w:rPr>
      </w:pPr>
      <w:r w:rsidRPr="0022269B">
        <w:rPr>
          <w:lang w:val="en-GB"/>
        </w:rPr>
        <w:t>5.2</w:t>
      </w:r>
      <w:r w:rsidRPr="0022269B">
        <w:rPr>
          <w:lang w:val="en-GB"/>
        </w:rPr>
        <w:tab/>
      </w:r>
      <w:r w:rsidR="00E86F11" w:rsidRPr="0022269B">
        <w:rPr>
          <w:lang w:val="en-GB"/>
        </w:rPr>
        <w:t xml:space="preserve">The </w:t>
      </w:r>
      <w:r w:rsidRPr="0022269B">
        <w:rPr>
          <w:lang w:val="en-GB"/>
        </w:rPr>
        <w:t>S</w:t>
      </w:r>
      <w:r w:rsidR="00E86F11" w:rsidRPr="0022269B">
        <w:rPr>
          <w:lang w:val="en-GB"/>
        </w:rPr>
        <w:t xml:space="preserve">tate party </w:t>
      </w:r>
      <w:r w:rsidRPr="0022269B">
        <w:rPr>
          <w:lang w:val="en-GB"/>
        </w:rPr>
        <w:t>c</w:t>
      </w:r>
      <w:r w:rsidR="00E86F11" w:rsidRPr="0022269B">
        <w:rPr>
          <w:lang w:val="en-GB"/>
        </w:rPr>
        <w:t xml:space="preserve">laimed that he </w:t>
      </w:r>
      <w:r w:rsidRPr="0022269B">
        <w:rPr>
          <w:lang w:val="en-GB"/>
        </w:rPr>
        <w:t xml:space="preserve">was not under </w:t>
      </w:r>
      <w:r w:rsidR="00E86F11" w:rsidRPr="0022269B">
        <w:rPr>
          <w:lang w:val="en-GB"/>
        </w:rPr>
        <w:t xml:space="preserve">threat </w:t>
      </w:r>
      <w:r w:rsidRPr="0022269B">
        <w:rPr>
          <w:lang w:val="en-GB"/>
        </w:rPr>
        <w:t>by the</w:t>
      </w:r>
      <w:r w:rsidR="00E86F11" w:rsidRPr="0022269B">
        <w:rPr>
          <w:lang w:val="en-GB"/>
        </w:rPr>
        <w:t xml:space="preserve"> </w:t>
      </w:r>
      <w:r w:rsidR="001732F3" w:rsidRPr="0022269B">
        <w:rPr>
          <w:lang w:val="en-GB"/>
        </w:rPr>
        <w:t>G</w:t>
      </w:r>
      <w:r w:rsidR="00E86F11" w:rsidRPr="0022269B">
        <w:rPr>
          <w:lang w:val="en-GB"/>
        </w:rPr>
        <w:t>overnment of Pakistan or its officials</w:t>
      </w:r>
      <w:r w:rsidRPr="0022269B">
        <w:rPr>
          <w:lang w:val="en-GB"/>
        </w:rPr>
        <w:t>,</w:t>
      </w:r>
      <w:r w:rsidR="00E86F11" w:rsidRPr="0022269B">
        <w:rPr>
          <w:lang w:val="en-GB"/>
        </w:rPr>
        <w:t xml:space="preserve"> but </w:t>
      </w:r>
      <w:r w:rsidRPr="0022269B">
        <w:rPr>
          <w:lang w:val="en-GB"/>
        </w:rPr>
        <w:t xml:space="preserve">the complainant submits that the </w:t>
      </w:r>
      <w:r w:rsidR="002A5EF5" w:rsidRPr="0022269B">
        <w:rPr>
          <w:lang w:val="en-GB"/>
        </w:rPr>
        <w:t>G</w:t>
      </w:r>
      <w:r w:rsidR="00E86F11" w:rsidRPr="0022269B">
        <w:rPr>
          <w:lang w:val="en-GB"/>
        </w:rPr>
        <w:t xml:space="preserve">overnment of Pakistan </w:t>
      </w:r>
      <w:r w:rsidRPr="0022269B">
        <w:rPr>
          <w:lang w:val="en-GB"/>
        </w:rPr>
        <w:t xml:space="preserve">is </w:t>
      </w:r>
      <w:r w:rsidR="00E86F11" w:rsidRPr="0022269B">
        <w:rPr>
          <w:lang w:val="en-GB"/>
        </w:rPr>
        <w:t xml:space="preserve">also involved indirectly in the persecution and killing of minorities in Pakistan. When </w:t>
      </w:r>
      <w:r w:rsidRPr="0022269B">
        <w:rPr>
          <w:lang w:val="en-GB"/>
        </w:rPr>
        <w:t xml:space="preserve">he </w:t>
      </w:r>
      <w:r w:rsidR="00E86F11" w:rsidRPr="0022269B">
        <w:rPr>
          <w:lang w:val="en-GB"/>
        </w:rPr>
        <w:t>approached officials to seek justice</w:t>
      </w:r>
      <w:r w:rsidR="002A5EF5" w:rsidRPr="0022269B">
        <w:rPr>
          <w:lang w:val="en-GB"/>
        </w:rPr>
        <w:t>,</w:t>
      </w:r>
      <w:r w:rsidR="00E86F11" w:rsidRPr="0022269B">
        <w:rPr>
          <w:lang w:val="en-GB"/>
        </w:rPr>
        <w:t xml:space="preserve"> he </w:t>
      </w:r>
      <w:r w:rsidRPr="0022269B">
        <w:rPr>
          <w:lang w:val="en-GB"/>
        </w:rPr>
        <w:t>did not receive</w:t>
      </w:r>
      <w:r w:rsidR="00E86F11" w:rsidRPr="0022269B">
        <w:rPr>
          <w:lang w:val="en-GB"/>
        </w:rPr>
        <w:t xml:space="preserve"> help</w:t>
      </w:r>
      <w:r w:rsidRPr="0022269B">
        <w:rPr>
          <w:lang w:val="en-GB"/>
        </w:rPr>
        <w:t xml:space="preserve"> and</w:t>
      </w:r>
      <w:r w:rsidR="00E86F11" w:rsidRPr="0022269B">
        <w:rPr>
          <w:lang w:val="en-GB"/>
        </w:rPr>
        <w:t xml:space="preserve"> was forced to leave Pakistan. </w:t>
      </w:r>
      <w:r w:rsidR="002A5EF5" w:rsidRPr="0022269B">
        <w:rPr>
          <w:lang w:val="en-GB"/>
        </w:rPr>
        <w:t xml:space="preserve">The </w:t>
      </w:r>
      <w:r w:rsidR="00E86F11" w:rsidRPr="0022269B">
        <w:rPr>
          <w:lang w:val="en-GB"/>
        </w:rPr>
        <w:t xml:space="preserve">police </w:t>
      </w:r>
      <w:r w:rsidRPr="0022269B">
        <w:rPr>
          <w:lang w:val="en-GB"/>
        </w:rPr>
        <w:t xml:space="preserve">and </w:t>
      </w:r>
      <w:r w:rsidR="002A5EF5" w:rsidRPr="0022269B">
        <w:rPr>
          <w:lang w:val="en-GB"/>
        </w:rPr>
        <w:t>G</w:t>
      </w:r>
      <w:r w:rsidRPr="0022269B">
        <w:rPr>
          <w:lang w:val="en-GB"/>
        </w:rPr>
        <w:t xml:space="preserve">overnment </w:t>
      </w:r>
      <w:r w:rsidR="002A5EF5" w:rsidRPr="0022269B">
        <w:rPr>
          <w:lang w:val="en-GB"/>
        </w:rPr>
        <w:t xml:space="preserve">of Pakistan </w:t>
      </w:r>
      <w:r w:rsidRPr="0022269B">
        <w:rPr>
          <w:lang w:val="en-GB"/>
        </w:rPr>
        <w:t>are</w:t>
      </w:r>
      <w:r w:rsidR="00E86F11" w:rsidRPr="0022269B">
        <w:rPr>
          <w:lang w:val="en-GB"/>
        </w:rPr>
        <w:t xml:space="preserve"> reluctant to take any action against th</w:t>
      </w:r>
      <w:r w:rsidR="002A5EF5" w:rsidRPr="0022269B">
        <w:rPr>
          <w:lang w:val="en-GB"/>
        </w:rPr>
        <w:t>o</w:t>
      </w:r>
      <w:r w:rsidR="00E86F11" w:rsidRPr="0022269B">
        <w:rPr>
          <w:lang w:val="en-GB"/>
        </w:rPr>
        <w:t>se organizations</w:t>
      </w:r>
      <w:r w:rsidR="002A5EF5" w:rsidRPr="0022269B">
        <w:rPr>
          <w:lang w:val="en-GB"/>
        </w:rPr>
        <w:t>. I</w:t>
      </w:r>
      <w:r w:rsidR="00E86F11" w:rsidRPr="0022269B">
        <w:rPr>
          <w:lang w:val="en-GB"/>
        </w:rPr>
        <w:t>n fact</w:t>
      </w:r>
      <w:r w:rsidR="002A5EF5" w:rsidRPr="0022269B">
        <w:rPr>
          <w:lang w:val="en-GB"/>
        </w:rPr>
        <w:t>,</w:t>
      </w:r>
      <w:r w:rsidR="00E86F11" w:rsidRPr="0022269B">
        <w:rPr>
          <w:lang w:val="en-GB"/>
        </w:rPr>
        <w:t xml:space="preserve"> th</w:t>
      </w:r>
      <w:r w:rsidR="002A5EF5" w:rsidRPr="0022269B">
        <w:rPr>
          <w:lang w:val="en-GB"/>
        </w:rPr>
        <w:t>o</w:t>
      </w:r>
      <w:r w:rsidR="00E86F11" w:rsidRPr="0022269B">
        <w:rPr>
          <w:lang w:val="en-GB"/>
        </w:rPr>
        <w:t xml:space="preserve">se organizations are supported by </w:t>
      </w:r>
      <w:r w:rsidRPr="0022269B">
        <w:rPr>
          <w:lang w:val="en-GB"/>
        </w:rPr>
        <w:t>the Sunni</w:t>
      </w:r>
      <w:r w:rsidR="00E86F11" w:rsidRPr="0022269B">
        <w:rPr>
          <w:lang w:val="en-GB"/>
        </w:rPr>
        <w:t xml:space="preserve"> majority </w:t>
      </w:r>
      <w:r w:rsidR="002A5EF5" w:rsidRPr="0022269B">
        <w:rPr>
          <w:lang w:val="en-GB"/>
        </w:rPr>
        <w:t>G</w:t>
      </w:r>
      <w:r w:rsidR="00E86F11" w:rsidRPr="0022269B">
        <w:rPr>
          <w:lang w:val="en-GB"/>
        </w:rPr>
        <w:t>overnment through its intelligence agency.</w:t>
      </w:r>
    </w:p>
    <w:p w14:paraId="6470418F" w14:textId="77777777" w:rsidR="00E86F11" w:rsidRPr="0022269B" w:rsidRDefault="00D60112" w:rsidP="0022269B">
      <w:pPr>
        <w:pStyle w:val="SingleTxtG"/>
        <w:rPr>
          <w:lang w:val="en-GB"/>
        </w:rPr>
      </w:pPr>
      <w:r w:rsidRPr="0022269B">
        <w:rPr>
          <w:lang w:val="en-GB"/>
        </w:rPr>
        <w:t>5.3</w:t>
      </w:r>
      <w:r w:rsidRPr="0022269B">
        <w:rPr>
          <w:lang w:val="en-GB"/>
        </w:rPr>
        <w:tab/>
      </w:r>
      <w:r w:rsidR="00044A46" w:rsidRPr="0022269B">
        <w:rPr>
          <w:lang w:val="en-GB"/>
        </w:rPr>
        <w:t>He maintains that the</w:t>
      </w:r>
      <w:r w:rsidR="00E86F11" w:rsidRPr="0022269B">
        <w:rPr>
          <w:lang w:val="en-GB"/>
        </w:rPr>
        <w:t xml:space="preserve"> current situation of minorities in Pakistan is </w:t>
      </w:r>
      <w:r w:rsidRPr="0022269B">
        <w:rPr>
          <w:lang w:val="en-GB"/>
        </w:rPr>
        <w:t xml:space="preserve">the </w:t>
      </w:r>
      <w:r w:rsidR="00E86F11" w:rsidRPr="0022269B">
        <w:rPr>
          <w:lang w:val="en-GB"/>
        </w:rPr>
        <w:t xml:space="preserve">worst ever in the history </w:t>
      </w:r>
      <w:r w:rsidR="00734132" w:rsidRPr="0022269B">
        <w:rPr>
          <w:lang w:val="en-GB"/>
        </w:rPr>
        <w:t xml:space="preserve">of the country, </w:t>
      </w:r>
      <w:r w:rsidR="00E86F11" w:rsidRPr="0022269B">
        <w:rPr>
          <w:lang w:val="en-GB"/>
        </w:rPr>
        <w:t xml:space="preserve">as </w:t>
      </w:r>
      <w:r w:rsidRPr="0022269B">
        <w:rPr>
          <w:lang w:val="en-GB"/>
        </w:rPr>
        <w:t>Sunni</w:t>
      </w:r>
      <w:r w:rsidR="00E86F11" w:rsidRPr="0022269B">
        <w:rPr>
          <w:lang w:val="en-GB"/>
        </w:rPr>
        <w:t xml:space="preserve"> organizations are killing Shia</w:t>
      </w:r>
      <w:r w:rsidR="006C4975" w:rsidRPr="0022269B">
        <w:rPr>
          <w:lang w:val="en-GB"/>
        </w:rPr>
        <w:t xml:space="preserve"> Muslims</w:t>
      </w:r>
      <w:r w:rsidR="00E86F11" w:rsidRPr="0022269B">
        <w:rPr>
          <w:lang w:val="en-GB"/>
        </w:rPr>
        <w:t>, Christians or other minorities</w:t>
      </w:r>
      <w:r w:rsidR="00734132" w:rsidRPr="002B460D">
        <w:rPr>
          <w:lang w:val="en-GB"/>
        </w:rPr>
        <w:t xml:space="preserve"> on a daily basis</w:t>
      </w:r>
      <w:r w:rsidR="00926616" w:rsidRPr="0022269B">
        <w:rPr>
          <w:lang w:val="en-GB"/>
        </w:rPr>
        <w:t>. For example</w:t>
      </w:r>
      <w:r w:rsidR="00E86F11" w:rsidRPr="0022269B">
        <w:rPr>
          <w:lang w:val="en-GB"/>
        </w:rPr>
        <w:t>:</w:t>
      </w:r>
      <w:r w:rsidR="00926616" w:rsidRPr="0022269B">
        <w:rPr>
          <w:lang w:val="en-GB"/>
        </w:rPr>
        <w:t xml:space="preserve"> </w:t>
      </w:r>
      <w:r w:rsidR="00E86F11" w:rsidRPr="0022269B">
        <w:rPr>
          <w:lang w:val="en-GB"/>
        </w:rPr>
        <w:t>“From 8</w:t>
      </w:r>
      <w:r w:rsidR="00734132" w:rsidRPr="0022269B">
        <w:rPr>
          <w:lang w:val="en-GB"/>
        </w:rPr>
        <w:t xml:space="preserve"> to </w:t>
      </w:r>
      <w:r w:rsidR="00E86F11" w:rsidRPr="0022269B">
        <w:rPr>
          <w:lang w:val="en-GB"/>
        </w:rPr>
        <w:t>10</w:t>
      </w:r>
      <w:r w:rsidR="00734132" w:rsidRPr="002B460D">
        <w:rPr>
          <w:lang w:val="en-GB"/>
        </w:rPr>
        <w:t xml:space="preserve"> June</w:t>
      </w:r>
      <w:r w:rsidR="00E86F11" w:rsidRPr="0022269B">
        <w:rPr>
          <w:lang w:val="en-GB"/>
        </w:rPr>
        <w:t xml:space="preserve"> 2014, Tehrik-e-Taliban Pakistan gunmen laid siege to the Jinnah International Airport in Karac</w:t>
      </w:r>
      <w:r w:rsidR="00926616" w:rsidRPr="0022269B">
        <w:rPr>
          <w:lang w:val="en-GB"/>
        </w:rPr>
        <w:t>hi, causing deaths and injuries”; In December</w:t>
      </w:r>
      <w:r w:rsidR="00E86F11" w:rsidRPr="0022269B">
        <w:rPr>
          <w:lang w:val="en-GB"/>
        </w:rPr>
        <w:t xml:space="preserve"> 2014</w:t>
      </w:r>
      <w:r w:rsidR="00734132" w:rsidRPr="0022269B">
        <w:rPr>
          <w:lang w:val="en-GB"/>
        </w:rPr>
        <w:t>,</w:t>
      </w:r>
      <w:r w:rsidR="00E86F11" w:rsidRPr="0022269B">
        <w:rPr>
          <w:lang w:val="en-GB"/>
        </w:rPr>
        <w:t xml:space="preserve"> Pakistani Taliban killed more than 145 school children in</w:t>
      </w:r>
      <w:r w:rsidR="00734132" w:rsidRPr="0022269B">
        <w:rPr>
          <w:lang w:val="en-GB"/>
        </w:rPr>
        <w:t xml:space="preserve"> the</w:t>
      </w:r>
      <w:r w:rsidR="00E86F11" w:rsidRPr="0022269B">
        <w:rPr>
          <w:lang w:val="en-GB"/>
        </w:rPr>
        <w:t xml:space="preserve"> cantonment area of Peshawar</w:t>
      </w:r>
      <w:r w:rsidR="00734132" w:rsidRPr="0022269B">
        <w:rPr>
          <w:lang w:val="en-GB"/>
        </w:rPr>
        <w:t>. I</w:t>
      </w:r>
      <w:r w:rsidR="00E86F11" w:rsidRPr="0022269B">
        <w:rPr>
          <w:lang w:val="en-GB"/>
        </w:rPr>
        <w:t>n Jan</w:t>
      </w:r>
      <w:r w:rsidR="00926616" w:rsidRPr="0022269B">
        <w:rPr>
          <w:lang w:val="en-GB"/>
        </w:rPr>
        <w:t xml:space="preserve">uary </w:t>
      </w:r>
      <w:r w:rsidR="00E86F11" w:rsidRPr="0022269B">
        <w:rPr>
          <w:lang w:val="en-GB"/>
        </w:rPr>
        <w:t>2015</w:t>
      </w:r>
      <w:r w:rsidR="00734132" w:rsidRPr="0022269B">
        <w:rPr>
          <w:lang w:val="en-GB"/>
        </w:rPr>
        <w:t>,</w:t>
      </w:r>
      <w:r w:rsidR="00E86F11" w:rsidRPr="0022269B">
        <w:rPr>
          <w:lang w:val="en-GB"/>
        </w:rPr>
        <w:t xml:space="preserve"> Taliban </w:t>
      </w:r>
      <w:r w:rsidR="00734132" w:rsidRPr="0022269B">
        <w:rPr>
          <w:lang w:val="en-GB"/>
        </w:rPr>
        <w:t xml:space="preserve">bombed </w:t>
      </w:r>
      <w:r w:rsidR="00E86F11" w:rsidRPr="0022269B">
        <w:rPr>
          <w:lang w:val="en-GB"/>
        </w:rPr>
        <w:t>a Shia m</w:t>
      </w:r>
      <w:r w:rsidR="00926616" w:rsidRPr="0022269B">
        <w:rPr>
          <w:lang w:val="en-GB"/>
        </w:rPr>
        <w:t>osque and killed 40 Shia</w:t>
      </w:r>
      <w:r w:rsidR="00734132" w:rsidRPr="0022269B">
        <w:rPr>
          <w:lang w:val="en-GB"/>
        </w:rPr>
        <w:t xml:space="preserve"> Muslims, and</w:t>
      </w:r>
      <w:r w:rsidR="00926616" w:rsidRPr="0022269B">
        <w:rPr>
          <w:lang w:val="en-GB"/>
        </w:rPr>
        <w:t xml:space="preserve"> o</w:t>
      </w:r>
      <w:r w:rsidR="00E86F11" w:rsidRPr="0022269B">
        <w:rPr>
          <w:lang w:val="en-GB"/>
        </w:rPr>
        <w:t>n</w:t>
      </w:r>
      <w:r w:rsidR="00926616" w:rsidRPr="0022269B">
        <w:rPr>
          <w:lang w:val="en-GB"/>
        </w:rPr>
        <w:t xml:space="preserve"> 13</w:t>
      </w:r>
      <w:r w:rsidR="00E86F11" w:rsidRPr="0022269B">
        <w:rPr>
          <w:lang w:val="en-GB"/>
        </w:rPr>
        <w:t xml:space="preserve"> Feb</w:t>
      </w:r>
      <w:r w:rsidR="00926616" w:rsidRPr="0022269B">
        <w:rPr>
          <w:lang w:val="en-GB"/>
        </w:rPr>
        <w:t>ruary</w:t>
      </w:r>
      <w:r w:rsidR="00E86F11" w:rsidRPr="0022269B">
        <w:rPr>
          <w:lang w:val="en-GB"/>
        </w:rPr>
        <w:t xml:space="preserve"> 2015</w:t>
      </w:r>
      <w:r w:rsidR="00734132" w:rsidRPr="0022269B">
        <w:rPr>
          <w:lang w:val="en-GB"/>
        </w:rPr>
        <w:t>,</w:t>
      </w:r>
      <w:r w:rsidR="00E86F11" w:rsidRPr="0022269B">
        <w:rPr>
          <w:lang w:val="en-GB"/>
        </w:rPr>
        <w:t xml:space="preserve"> Taliban </w:t>
      </w:r>
      <w:r w:rsidR="00734132" w:rsidRPr="0022269B">
        <w:rPr>
          <w:lang w:val="en-GB"/>
        </w:rPr>
        <w:t xml:space="preserve">bombed a </w:t>
      </w:r>
      <w:r w:rsidR="00926616" w:rsidRPr="0022269B">
        <w:rPr>
          <w:lang w:val="en-GB"/>
        </w:rPr>
        <w:t>Shia</w:t>
      </w:r>
      <w:r w:rsidR="00E86F11" w:rsidRPr="0022269B">
        <w:rPr>
          <w:lang w:val="en-GB"/>
        </w:rPr>
        <w:t xml:space="preserve"> mosque</w:t>
      </w:r>
      <w:r w:rsidR="00926616" w:rsidRPr="0022269B">
        <w:rPr>
          <w:lang w:val="en-GB"/>
        </w:rPr>
        <w:t>,</w:t>
      </w:r>
      <w:r w:rsidR="00E86F11" w:rsidRPr="0022269B">
        <w:rPr>
          <w:lang w:val="en-GB"/>
        </w:rPr>
        <w:t xml:space="preserve"> kill</w:t>
      </w:r>
      <w:r w:rsidR="00734132" w:rsidRPr="0022269B">
        <w:rPr>
          <w:lang w:val="en-GB"/>
        </w:rPr>
        <w:t>ing</w:t>
      </w:r>
      <w:r w:rsidR="00E86F11" w:rsidRPr="0022269B">
        <w:rPr>
          <w:lang w:val="en-GB"/>
        </w:rPr>
        <w:t xml:space="preserve"> 20 </w:t>
      </w:r>
      <w:r w:rsidR="00926616" w:rsidRPr="0022269B">
        <w:rPr>
          <w:lang w:val="en-GB"/>
        </w:rPr>
        <w:t>Shia</w:t>
      </w:r>
      <w:r w:rsidR="00E86F11" w:rsidRPr="0022269B">
        <w:rPr>
          <w:lang w:val="en-GB"/>
        </w:rPr>
        <w:t xml:space="preserve"> </w:t>
      </w:r>
      <w:r w:rsidR="00734132" w:rsidRPr="0022269B">
        <w:rPr>
          <w:lang w:val="en-GB"/>
        </w:rPr>
        <w:t xml:space="preserve">Muslims </w:t>
      </w:r>
      <w:r w:rsidR="00E86F11" w:rsidRPr="0022269B">
        <w:rPr>
          <w:lang w:val="en-GB"/>
        </w:rPr>
        <w:t>and injur</w:t>
      </w:r>
      <w:r w:rsidR="00734132" w:rsidRPr="0022269B">
        <w:rPr>
          <w:lang w:val="en-GB"/>
        </w:rPr>
        <w:t>ing</w:t>
      </w:r>
      <w:r w:rsidR="00E86F11" w:rsidRPr="0022269B">
        <w:rPr>
          <w:lang w:val="en-GB"/>
        </w:rPr>
        <w:t xml:space="preserve"> dozens</w:t>
      </w:r>
      <w:r w:rsidR="00734132" w:rsidRPr="0022269B">
        <w:rPr>
          <w:lang w:val="en-GB"/>
        </w:rPr>
        <w:t xml:space="preserve"> more</w:t>
      </w:r>
      <w:r w:rsidR="00E86F11" w:rsidRPr="0022269B">
        <w:rPr>
          <w:lang w:val="en-GB"/>
        </w:rPr>
        <w:t>.</w:t>
      </w:r>
      <w:r w:rsidR="00926616" w:rsidRPr="0022269B">
        <w:rPr>
          <w:rStyle w:val="FootnoteReference"/>
          <w:lang w:val="en-GB"/>
        </w:rPr>
        <w:t xml:space="preserve"> </w:t>
      </w:r>
    </w:p>
    <w:p w14:paraId="418FF739" w14:textId="77777777" w:rsidR="00E86F11" w:rsidRPr="0022269B" w:rsidRDefault="00926616" w:rsidP="0022269B">
      <w:pPr>
        <w:pStyle w:val="SingleTxtG"/>
        <w:rPr>
          <w:lang w:val="en-GB"/>
        </w:rPr>
      </w:pPr>
      <w:r w:rsidRPr="0022269B">
        <w:rPr>
          <w:lang w:val="en-GB"/>
        </w:rPr>
        <w:t>5.4</w:t>
      </w:r>
      <w:r w:rsidRPr="0022269B">
        <w:rPr>
          <w:lang w:val="en-GB"/>
        </w:rPr>
        <w:tab/>
      </w:r>
      <w:r w:rsidR="00E86F11" w:rsidRPr="0022269B">
        <w:rPr>
          <w:lang w:val="en-GB"/>
        </w:rPr>
        <w:t xml:space="preserve">The </w:t>
      </w:r>
      <w:r w:rsidRPr="0022269B">
        <w:rPr>
          <w:lang w:val="en-GB"/>
        </w:rPr>
        <w:t xml:space="preserve">complainant submits that the </w:t>
      </w:r>
      <w:r w:rsidR="00E86F11" w:rsidRPr="0022269B">
        <w:rPr>
          <w:lang w:val="en-GB"/>
        </w:rPr>
        <w:t>security situation remains fragile and unpredictable. Terrorist attacks have occurred throughout Pakistan, causing many deaths and injuries. Heightened security measures are currently in place throughout the country. Checkpoints may be set up without warning.</w:t>
      </w:r>
      <w:r w:rsidR="002F2D68" w:rsidRPr="0022269B">
        <w:rPr>
          <w:lang w:val="en-GB"/>
        </w:rPr>
        <w:t xml:space="preserve"> </w:t>
      </w:r>
      <w:r w:rsidR="00734132" w:rsidRPr="0022269B">
        <w:rPr>
          <w:lang w:val="en-GB"/>
        </w:rPr>
        <w:t>Terrorist tactics include s</w:t>
      </w:r>
      <w:r w:rsidR="00E86F11" w:rsidRPr="0022269B">
        <w:rPr>
          <w:lang w:val="en-GB"/>
        </w:rPr>
        <w:t xml:space="preserve">uicide bombings, improvised explosive devices and political assassinations. Some attacks </w:t>
      </w:r>
      <w:r w:rsidR="00734132" w:rsidRPr="0022269B">
        <w:rPr>
          <w:lang w:val="en-GB"/>
        </w:rPr>
        <w:t xml:space="preserve">have </w:t>
      </w:r>
      <w:r w:rsidR="00E86F11" w:rsidRPr="0022269B">
        <w:rPr>
          <w:lang w:val="en-GB"/>
        </w:rPr>
        <w:t>involved detailed planning to maximi</w:t>
      </w:r>
      <w:r w:rsidR="002B460D">
        <w:rPr>
          <w:lang w:val="en-GB"/>
        </w:rPr>
        <w:t>z</w:t>
      </w:r>
      <w:r w:rsidR="00E86F11" w:rsidRPr="0022269B">
        <w:rPr>
          <w:lang w:val="en-GB"/>
        </w:rPr>
        <w:t xml:space="preserve">e casualties </w:t>
      </w:r>
      <w:r w:rsidR="00734132" w:rsidRPr="0022269B">
        <w:rPr>
          <w:lang w:val="en-GB"/>
        </w:rPr>
        <w:t>through</w:t>
      </w:r>
      <w:r w:rsidR="00E86F11" w:rsidRPr="0022269B">
        <w:rPr>
          <w:lang w:val="en-GB"/>
        </w:rPr>
        <w:t xml:space="preserve"> multiple and consecutive explosions. Extremism, ethnic divisions, sectarian strife, regional political disputes and the situation in Afghanistan are usually the reasons behind these attacks.</w:t>
      </w:r>
      <w:r w:rsidR="002F2D68" w:rsidRPr="0022269B">
        <w:rPr>
          <w:lang w:val="en-GB"/>
        </w:rPr>
        <w:t xml:space="preserve"> The complainant notes that</w:t>
      </w:r>
      <w:r w:rsidR="00734132" w:rsidRPr="0022269B">
        <w:rPr>
          <w:lang w:val="en-GB"/>
        </w:rPr>
        <w:t>,</w:t>
      </w:r>
      <w:r w:rsidR="002F2D68" w:rsidRPr="0022269B">
        <w:rPr>
          <w:lang w:val="en-GB"/>
        </w:rPr>
        <w:t xml:space="preserve"> on</w:t>
      </w:r>
      <w:r w:rsidR="00E86F11" w:rsidRPr="0022269B">
        <w:rPr>
          <w:lang w:val="en-GB"/>
        </w:rPr>
        <w:t xml:space="preserve"> </w:t>
      </w:r>
      <w:r w:rsidR="00734132" w:rsidRPr="0022269B">
        <w:rPr>
          <w:lang w:val="en-GB"/>
        </w:rPr>
        <w:t xml:space="preserve">the </w:t>
      </w:r>
      <w:r w:rsidR="00E86F11" w:rsidRPr="0022269B">
        <w:rPr>
          <w:lang w:val="en-GB"/>
        </w:rPr>
        <w:t>one hand</w:t>
      </w:r>
      <w:r w:rsidR="00734132" w:rsidRPr="0022269B">
        <w:rPr>
          <w:lang w:val="en-GB"/>
        </w:rPr>
        <w:t>,</w:t>
      </w:r>
      <w:r w:rsidR="00E86F11" w:rsidRPr="0022269B">
        <w:rPr>
          <w:lang w:val="en-GB"/>
        </w:rPr>
        <w:t xml:space="preserve"> Canada warned against travel to Pakistan</w:t>
      </w:r>
      <w:r w:rsidR="002F2D68" w:rsidRPr="0022269B">
        <w:rPr>
          <w:lang w:val="en-GB"/>
        </w:rPr>
        <w:t xml:space="preserve"> and</w:t>
      </w:r>
      <w:r w:rsidR="00734132" w:rsidRPr="0022269B">
        <w:rPr>
          <w:lang w:val="en-GB"/>
        </w:rPr>
        <w:t>,</w:t>
      </w:r>
      <w:r w:rsidR="00E86F11" w:rsidRPr="0022269B">
        <w:rPr>
          <w:lang w:val="en-GB"/>
        </w:rPr>
        <w:t xml:space="preserve"> on the other</w:t>
      </w:r>
      <w:r w:rsidR="00734132" w:rsidRPr="0022269B">
        <w:rPr>
          <w:lang w:val="en-GB"/>
        </w:rPr>
        <w:t>,</w:t>
      </w:r>
      <w:r w:rsidR="00E86F11" w:rsidRPr="0022269B">
        <w:rPr>
          <w:lang w:val="en-GB"/>
        </w:rPr>
        <w:t xml:space="preserve"> it is very keen to deport foreign nationals to Pakistan. </w:t>
      </w:r>
      <w:r w:rsidR="00734132" w:rsidRPr="0022269B">
        <w:rPr>
          <w:lang w:val="en-GB"/>
        </w:rPr>
        <w:t>This</w:t>
      </w:r>
      <w:r w:rsidR="00E86F11" w:rsidRPr="0022269B">
        <w:rPr>
          <w:lang w:val="en-GB"/>
        </w:rPr>
        <w:t xml:space="preserve"> indicates that Canada do</w:t>
      </w:r>
      <w:r w:rsidR="002F2D68" w:rsidRPr="0022269B">
        <w:rPr>
          <w:lang w:val="en-GB"/>
        </w:rPr>
        <w:t>es</w:t>
      </w:r>
      <w:r w:rsidR="00E86F11" w:rsidRPr="0022269B">
        <w:rPr>
          <w:lang w:val="en-GB"/>
        </w:rPr>
        <w:t xml:space="preserve"> not consider </w:t>
      </w:r>
      <w:r w:rsidR="002F2D68" w:rsidRPr="0022269B">
        <w:rPr>
          <w:lang w:val="en-GB"/>
        </w:rPr>
        <w:t>f</w:t>
      </w:r>
      <w:r w:rsidR="00E86F11" w:rsidRPr="0022269B">
        <w:rPr>
          <w:lang w:val="en-GB"/>
        </w:rPr>
        <w:t xml:space="preserve">oreign nationals </w:t>
      </w:r>
      <w:r w:rsidR="00734132" w:rsidRPr="0022269B">
        <w:rPr>
          <w:lang w:val="en-GB"/>
        </w:rPr>
        <w:t xml:space="preserve">to be </w:t>
      </w:r>
      <w:r w:rsidR="00E86F11" w:rsidRPr="0022269B">
        <w:rPr>
          <w:lang w:val="en-GB"/>
        </w:rPr>
        <w:t>equal to Canadians.</w:t>
      </w:r>
    </w:p>
    <w:p w14:paraId="4B0C0B3D" w14:textId="77777777" w:rsidR="00E86F11" w:rsidRPr="0022269B" w:rsidRDefault="003A7E96" w:rsidP="0022269B">
      <w:pPr>
        <w:pStyle w:val="SingleTxtG"/>
        <w:rPr>
          <w:b/>
          <w:bCs/>
        </w:rPr>
      </w:pPr>
      <w:r w:rsidRPr="0022269B">
        <w:t>5.5</w:t>
      </w:r>
      <w:r w:rsidRPr="0022269B">
        <w:tab/>
        <w:t xml:space="preserve">The complainant submits that </w:t>
      </w:r>
      <w:r w:rsidR="00E86F11" w:rsidRPr="0022269B">
        <w:t xml:space="preserve">there is clearly a substantial risk of torture for </w:t>
      </w:r>
      <w:r w:rsidRPr="0022269B">
        <w:t xml:space="preserve">him and that he </w:t>
      </w:r>
      <w:r w:rsidR="00E86F11" w:rsidRPr="0022269B">
        <w:t>ha</w:t>
      </w:r>
      <w:r w:rsidRPr="0022269B">
        <w:t>s</w:t>
      </w:r>
      <w:r w:rsidR="00E86F11" w:rsidRPr="0022269B">
        <w:t xml:space="preserve"> clear marks of torture on his body and </w:t>
      </w:r>
      <w:r w:rsidRPr="0022269B">
        <w:t>medical certificates</w:t>
      </w:r>
      <w:r w:rsidR="00E86F11" w:rsidRPr="0022269B">
        <w:t xml:space="preserve"> from Pakistan confirming the treatment received for the injuries sustained. </w:t>
      </w:r>
    </w:p>
    <w:p w14:paraId="28181295" w14:textId="77777777" w:rsidR="00E86F11" w:rsidRPr="0022269B" w:rsidRDefault="00A32E72" w:rsidP="0022269B">
      <w:pPr>
        <w:pStyle w:val="SingleTxtG"/>
      </w:pPr>
      <w:r w:rsidRPr="0022269B">
        <w:t>5.6</w:t>
      </w:r>
      <w:r w:rsidRPr="0022269B">
        <w:tab/>
        <w:t>The complainant submits that</w:t>
      </w:r>
      <w:r w:rsidR="00716074">
        <w:rPr>
          <w:lang w:val="en-US"/>
        </w:rPr>
        <w:t>,</w:t>
      </w:r>
      <w:r w:rsidRPr="0022269B">
        <w:t xml:space="preserve"> at the time of submission of his communication to the Committee</w:t>
      </w:r>
      <w:r w:rsidR="00716074">
        <w:rPr>
          <w:lang w:val="en-US"/>
        </w:rPr>
        <w:t>,</w:t>
      </w:r>
      <w:r w:rsidRPr="0022269B">
        <w:t xml:space="preserve"> the </w:t>
      </w:r>
      <w:r w:rsidR="001B10F6" w:rsidRPr="00464EAE">
        <w:rPr>
          <w:lang w:val="en-GB"/>
        </w:rPr>
        <w:t>pre-removal risk assessment</w:t>
      </w:r>
      <w:r w:rsidR="001B10F6" w:rsidRPr="001B10F6" w:rsidDel="001B10F6">
        <w:t xml:space="preserve"> </w:t>
      </w:r>
      <w:r w:rsidRPr="0022269B">
        <w:t xml:space="preserve">and the application for </w:t>
      </w:r>
      <w:r w:rsidR="00FC3A98" w:rsidRPr="0022269B">
        <w:t xml:space="preserve">residence on </w:t>
      </w:r>
      <w:r w:rsidR="00557BE7" w:rsidRPr="00464EAE">
        <w:rPr>
          <w:lang w:val="en-GB"/>
        </w:rPr>
        <w:t xml:space="preserve">humanitarian and compassionate </w:t>
      </w:r>
      <w:r w:rsidR="00FC3A98" w:rsidRPr="0022269B">
        <w:t>grounds</w:t>
      </w:r>
      <w:r w:rsidRPr="0022269B">
        <w:t xml:space="preserve"> were not available to him. He became eligible for</w:t>
      </w:r>
      <w:r w:rsidR="00E86F11" w:rsidRPr="0022269B">
        <w:t xml:space="preserve"> </w:t>
      </w:r>
      <w:r w:rsidR="00557BE7">
        <w:rPr>
          <w:lang w:val="en-US"/>
        </w:rPr>
        <w:t xml:space="preserve">a pre-removal risk </w:t>
      </w:r>
      <w:r w:rsidR="001B10F6">
        <w:rPr>
          <w:lang w:val="en-US"/>
        </w:rPr>
        <w:t>assessment</w:t>
      </w:r>
      <w:r w:rsidR="001B10F6" w:rsidRPr="0022269B">
        <w:t xml:space="preserve"> </w:t>
      </w:r>
      <w:r w:rsidR="00E86F11" w:rsidRPr="0022269B">
        <w:t>on 17</w:t>
      </w:r>
      <w:r w:rsidRPr="0022269B">
        <w:t xml:space="preserve"> November 2</w:t>
      </w:r>
      <w:r w:rsidR="00E86F11" w:rsidRPr="0022269B">
        <w:t>014</w:t>
      </w:r>
      <w:r w:rsidR="00716074">
        <w:rPr>
          <w:lang w:val="en-US"/>
        </w:rPr>
        <w:t>,</w:t>
      </w:r>
      <w:r w:rsidR="00E86F11" w:rsidRPr="0022269B">
        <w:t xml:space="preserve"> and he applied </w:t>
      </w:r>
      <w:r w:rsidRPr="0022269B">
        <w:t>o</w:t>
      </w:r>
      <w:r w:rsidR="00E86F11" w:rsidRPr="0022269B">
        <w:t>n 26</w:t>
      </w:r>
      <w:r w:rsidRPr="0022269B">
        <w:t xml:space="preserve"> November </w:t>
      </w:r>
      <w:r w:rsidR="00E86F11" w:rsidRPr="0022269B">
        <w:t xml:space="preserve">2014. </w:t>
      </w:r>
      <w:r w:rsidR="00FC3A98" w:rsidRPr="0022269B">
        <w:t xml:space="preserve">He applied for residence on </w:t>
      </w:r>
      <w:r w:rsidR="00557BE7" w:rsidRPr="00464EAE">
        <w:rPr>
          <w:lang w:val="en-GB"/>
        </w:rPr>
        <w:t xml:space="preserve">humanitarian and compassionate </w:t>
      </w:r>
      <w:r w:rsidR="00FC3A98" w:rsidRPr="0022269B">
        <w:t xml:space="preserve">grounds on 13 </w:t>
      </w:r>
      <w:r w:rsidR="00FC3A98" w:rsidRPr="0022269B">
        <w:lastRenderedPageBreak/>
        <w:t xml:space="preserve">December 2014. The application for residence on </w:t>
      </w:r>
      <w:r w:rsidR="00557BE7" w:rsidRPr="00464EAE">
        <w:rPr>
          <w:lang w:val="en-GB"/>
        </w:rPr>
        <w:t xml:space="preserve">humanitarian and compassionate </w:t>
      </w:r>
      <w:r w:rsidR="00FC3A98" w:rsidRPr="0022269B">
        <w:t>grounds does not result in</w:t>
      </w:r>
      <w:r w:rsidR="00716074">
        <w:rPr>
          <w:lang w:val="en-US"/>
        </w:rPr>
        <w:t xml:space="preserve"> a</w:t>
      </w:r>
      <w:r w:rsidR="00FC3A98" w:rsidRPr="0022269B">
        <w:t xml:space="preserve"> stay of removal unless it is approved in principle, which may take years of processing. </w:t>
      </w:r>
      <w:r w:rsidRPr="0022269B">
        <w:t>He further submits that “i</w:t>
      </w:r>
      <w:r w:rsidR="00E86F11" w:rsidRPr="0022269B">
        <w:t>t is absolutely unlikely that these applications will succeed</w:t>
      </w:r>
      <w:r w:rsidRPr="0022269B">
        <w:t>”, that the</w:t>
      </w:r>
      <w:r w:rsidR="00E86F11" w:rsidRPr="0022269B">
        <w:t xml:space="preserve"> decision of </w:t>
      </w:r>
      <w:r w:rsidR="001B10F6">
        <w:rPr>
          <w:lang w:val="en-US"/>
        </w:rPr>
        <w:t xml:space="preserve">the </w:t>
      </w:r>
      <w:r w:rsidR="001B10F6" w:rsidRPr="00464EAE">
        <w:rPr>
          <w:lang w:val="en-GB"/>
        </w:rPr>
        <w:t>pre-removal risk assessment</w:t>
      </w:r>
      <w:r w:rsidR="001B10F6" w:rsidRPr="001B10F6" w:rsidDel="001B10F6">
        <w:t xml:space="preserve"> </w:t>
      </w:r>
      <w:r w:rsidR="00E86F11" w:rsidRPr="0022269B">
        <w:t>is imminent</w:t>
      </w:r>
      <w:r w:rsidRPr="0022269B">
        <w:t>,</w:t>
      </w:r>
      <w:r w:rsidR="00E86F11" w:rsidRPr="0022269B">
        <w:t xml:space="preserve"> as it has a very short processing time and high rejection rate. </w:t>
      </w:r>
      <w:r w:rsidR="00FC3A98" w:rsidRPr="0022269B">
        <w:t xml:space="preserve">After the dismissal of the </w:t>
      </w:r>
      <w:r w:rsidR="001B10F6" w:rsidRPr="00464EAE">
        <w:rPr>
          <w:lang w:val="en-GB"/>
        </w:rPr>
        <w:t>pre-removal risk assessment</w:t>
      </w:r>
      <w:r w:rsidR="001B10F6" w:rsidRPr="001B10F6" w:rsidDel="001B10F6">
        <w:t xml:space="preserve"> </w:t>
      </w:r>
      <w:r w:rsidR="00FC3A98" w:rsidRPr="0022269B">
        <w:t>or the application</w:t>
      </w:r>
      <w:r w:rsidR="00557BE7">
        <w:rPr>
          <w:lang w:val="en-US"/>
        </w:rPr>
        <w:t xml:space="preserve"> on</w:t>
      </w:r>
      <w:r w:rsidR="00557BE7" w:rsidRPr="00557BE7">
        <w:rPr>
          <w:lang w:val="en-GB"/>
        </w:rPr>
        <w:t xml:space="preserve"> </w:t>
      </w:r>
      <w:r w:rsidR="00557BE7" w:rsidRPr="00464EAE">
        <w:rPr>
          <w:lang w:val="en-GB"/>
        </w:rPr>
        <w:t>humanitarian and compassionate</w:t>
      </w:r>
      <w:r w:rsidR="00557BE7">
        <w:rPr>
          <w:lang w:val="en-GB"/>
        </w:rPr>
        <w:t xml:space="preserve"> grounds</w:t>
      </w:r>
      <w:r w:rsidR="00FC3A98" w:rsidRPr="0022269B">
        <w:t>, t</w:t>
      </w:r>
      <w:r w:rsidR="00E86F11" w:rsidRPr="0022269B">
        <w:t xml:space="preserve">here is no other effective recourse available to stay his removal to Pakistan. </w:t>
      </w:r>
      <w:r w:rsidR="00044A46" w:rsidRPr="0022269B">
        <w:t xml:space="preserve">The complainant maintains that the leave for a judicial review of </w:t>
      </w:r>
      <w:r w:rsidR="00716074">
        <w:rPr>
          <w:lang w:val="en-US"/>
        </w:rPr>
        <w:t>any</w:t>
      </w:r>
      <w:r w:rsidR="00716074" w:rsidRPr="0022269B">
        <w:t xml:space="preserve"> </w:t>
      </w:r>
      <w:r w:rsidR="00044A46" w:rsidRPr="0022269B">
        <w:t xml:space="preserve">negative </w:t>
      </w:r>
      <w:r w:rsidR="001B10F6" w:rsidRPr="00464EAE">
        <w:rPr>
          <w:lang w:val="en-GB"/>
        </w:rPr>
        <w:t>pre-removal risk assessment</w:t>
      </w:r>
      <w:r w:rsidR="001B10F6" w:rsidRPr="001B10F6" w:rsidDel="001B10F6">
        <w:t xml:space="preserve"> </w:t>
      </w:r>
      <w:r w:rsidR="00044A46" w:rsidRPr="0022269B">
        <w:t xml:space="preserve">or refusal to grant residence on </w:t>
      </w:r>
      <w:r w:rsidR="00557BE7" w:rsidRPr="00464EAE">
        <w:rPr>
          <w:lang w:val="en-GB"/>
        </w:rPr>
        <w:t xml:space="preserve">humanitarian and compassionate </w:t>
      </w:r>
      <w:r w:rsidR="00044A46" w:rsidRPr="0022269B">
        <w:t>grounds is almost never granted. He maintains that he has exhausted all available effective remedies in the State party.</w:t>
      </w:r>
    </w:p>
    <w:p w14:paraId="3E8D956D" w14:textId="77777777" w:rsidR="00E86F11" w:rsidRPr="0022269B" w:rsidRDefault="002232A3" w:rsidP="0022269B">
      <w:pPr>
        <w:pStyle w:val="SingleTxtG"/>
      </w:pPr>
      <w:r w:rsidRPr="0022269B">
        <w:t>5.7</w:t>
      </w:r>
      <w:r w:rsidRPr="0022269B">
        <w:tab/>
        <w:t>The complainant reiterates that he has established</w:t>
      </w:r>
      <w:r w:rsidR="00E86F11" w:rsidRPr="0022269B">
        <w:t xml:space="preserve"> a strong prima facie case that he has been a victim of torture in the past and that he faces a substantial risk of torture</w:t>
      </w:r>
      <w:r w:rsidR="003831E5" w:rsidRPr="0022269B">
        <w:t>.</w:t>
      </w:r>
      <w:r w:rsidR="00E86F11" w:rsidRPr="0022269B">
        <w:t xml:space="preserve"> </w:t>
      </w:r>
      <w:r w:rsidR="003831E5" w:rsidRPr="0022269B">
        <w:t xml:space="preserve">He further submits that he provided </w:t>
      </w:r>
      <w:r w:rsidR="00716074" w:rsidRPr="0022269B">
        <w:t>up</w:t>
      </w:r>
      <w:r w:rsidR="00716074">
        <w:rPr>
          <w:lang w:val="en-US"/>
        </w:rPr>
        <w:t>-</w:t>
      </w:r>
      <w:r w:rsidR="003831E5" w:rsidRPr="0022269B">
        <w:t>to</w:t>
      </w:r>
      <w:r w:rsidR="00716074">
        <w:rPr>
          <w:lang w:val="en-US"/>
        </w:rPr>
        <w:t>-</w:t>
      </w:r>
      <w:r w:rsidR="003831E5" w:rsidRPr="0022269B">
        <w:t xml:space="preserve">date information on the human rights situation in </w:t>
      </w:r>
      <w:r w:rsidR="00E86F11" w:rsidRPr="0022269B">
        <w:t xml:space="preserve">Pakistan </w:t>
      </w:r>
      <w:r w:rsidR="003831E5" w:rsidRPr="0022269B">
        <w:t xml:space="preserve">and refers to the </w:t>
      </w:r>
      <w:r w:rsidR="00716074" w:rsidRPr="00F87A04">
        <w:t>International Religious Freedom Report for 2013</w:t>
      </w:r>
      <w:r w:rsidR="00716074">
        <w:rPr>
          <w:lang w:val="en-US"/>
        </w:rPr>
        <w:t xml:space="preserve"> of the </w:t>
      </w:r>
      <w:hyperlink r:id="rId11" w:tooltip="Bureau of Democracy, Human Rights and Labor" w:history="1">
        <w:r w:rsidR="00716074" w:rsidRPr="005662FF">
          <w:rPr>
            <w:rStyle w:val="Hyperlink"/>
            <w:bCs/>
            <w:lang w:val="en-GB"/>
          </w:rPr>
          <w:t>Bureau of Democracy, Human Rights and Labor</w:t>
        </w:r>
      </w:hyperlink>
      <w:r w:rsidR="00716074">
        <w:rPr>
          <w:rStyle w:val="Hyperlink"/>
          <w:bCs/>
          <w:lang w:val="en-GB"/>
        </w:rPr>
        <w:t xml:space="preserve"> of the</w:t>
      </w:r>
      <w:r w:rsidR="00716074">
        <w:rPr>
          <w:lang w:val="en-US"/>
        </w:rPr>
        <w:t xml:space="preserve"> </w:t>
      </w:r>
      <w:r w:rsidR="003831E5" w:rsidRPr="0022269B">
        <w:t>U</w:t>
      </w:r>
      <w:r w:rsidR="00716074">
        <w:rPr>
          <w:lang w:val="en-US"/>
        </w:rPr>
        <w:t xml:space="preserve">nited </w:t>
      </w:r>
      <w:r w:rsidR="003831E5" w:rsidRPr="0022269B">
        <w:t>S</w:t>
      </w:r>
      <w:r w:rsidR="00716074">
        <w:rPr>
          <w:lang w:val="en-US"/>
        </w:rPr>
        <w:t>tates</w:t>
      </w:r>
      <w:r w:rsidR="003831E5" w:rsidRPr="0022269B">
        <w:t xml:space="preserve"> Department of State, which states that s</w:t>
      </w:r>
      <w:r w:rsidR="00E86F11" w:rsidRPr="0022269B">
        <w:t>ectarian violence and discrimination against religious minorities continued</w:t>
      </w:r>
      <w:r w:rsidR="00254CF8">
        <w:rPr>
          <w:lang w:val="en-US"/>
        </w:rPr>
        <w:t>,</w:t>
      </w:r>
      <w:r w:rsidR="00640B72" w:rsidRPr="0022269B">
        <w:rPr>
          <w:rStyle w:val="FootnoteReference"/>
          <w:lang w:val="en-GB"/>
        </w:rPr>
        <w:footnoteReference w:id="35"/>
      </w:r>
      <w:r w:rsidR="003831E5" w:rsidRPr="0022269B">
        <w:t xml:space="preserve"> </w:t>
      </w:r>
      <w:r w:rsidR="00165AB6" w:rsidRPr="0022269B">
        <w:t>that</w:t>
      </w:r>
      <w:r w:rsidR="00E86F11" w:rsidRPr="0022269B">
        <w:t xml:space="preserve"> </w:t>
      </w:r>
      <w:r w:rsidR="00716074">
        <w:rPr>
          <w:lang w:val="en-US"/>
        </w:rPr>
        <w:t>the G</w:t>
      </w:r>
      <w:r w:rsidR="00E86F11" w:rsidRPr="0022269B">
        <w:t>overnment’s respect for and protection of the right to religious freedom remained poor</w:t>
      </w:r>
      <w:r w:rsidR="00716074">
        <w:rPr>
          <w:lang w:val="en-US"/>
        </w:rPr>
        <w:t>,</w:t>
      </w:r>
      <w:r w:rsidR="00165AB6" w:rsidRPr="0022269B">
        <w:t xml:space="preserve"> and</w:t>
      </w:r>
      <w:r w:rsidR="00254CF8">
        <w:rPr>
          <w:lang w:val="en-US"/>
        </w:rPr>
        <w:t xml:space="preserve"> that</w:t>
      </w:r>
      <w:r w:rsidR="00165AB6" w:rsidRPr="0022269B">
        <w:t xml:space="preserve"> t</w:t>
      </w:r>
      <w:r w:rsidR="00E86F11" w:rsidRPr="0022269B">
        <w:t xml:space="preserve">he </w:t>
      </w:r>
      <w:r w:rsidR="00716074">
        <w:rPr>
          <w:lang w:val="en-US"/>
        </w:rPr>
        <w:t>G</w:t>
      </w:r>
      <w:r w:rsidR="00E86F11" w:rsidRPr="0022269B">
        <w:t>overnment’s limited capacity and will to investigate or prosecute the perpetrators of attacks against religious minorities allowed a climate of impunity to persist.</w:t>
      </w:r>
      <w:r w:rsidR="00640B72" w:rsidRPr="0022269B">
        <w:rPr>
          <w:rStyle w:val="FootnoteReference"/>
          <w:lang w:val="en-GB"/>
        </w:rPr>
        <w:footnoteReference w:id="36"/>
      </w:r>
      <w:r w:rsidR="00E86F11" w:rsidRPr="0022269B">
        <w:t xml:space="preserve"> </w:t>
      </w:r>
      <w:r w:rsidR="00167C2A" w:rsidRPr="0022269B">
        <w:t xml:space="preserve">The complainant also refers to </w:t>
      </w:r>
      <w:r w:rsidR="008011C1" w:rsidRPr="0022269B">
        <w:t>documentation submitted previously to illustrate the human rights situation in Pakistan.</w:t>
      </w:r>
      <w:r w:rsidR="008011C1" w:rsidRPr="00EC65FE">
        <w:t xml:space="preserve"> He submits that </w:t>
      </w:r>
      <w:r w:rsidR="00E86F11" w:rsidRPr="0022269B">
        <w:t>the domestic tribunals in Canada ha</w:t>
      </w:r>
      <w:r w:rsidR="008011C1" w:rsidRPr="0022269B">
        <w:t xml:space="preserve">d </w:t>
      </w:r>
      <w:r w:rsidR="00E86F11" w:rsidRPr="0022269B">
        <w:t xml:space="preserve">recognized </w:t>
      </w:r>
      <w:r w:rsidR="008011C1" w:rsidRPr="0022269B">
        <w:t>“</w:t>
      </w:r>
      <w:r w:rsidR="00E86F11" w:rsidRPr="0022269B">
        <w:t>the type of abuse that is still taking place</w:t>
      </w:r>
      <w:r w:rsidR="008011C1" w:rsidRPr="0022269B">
        <w:t>”</w:t>
      </w:r>
      <w:r w:rsidR="00E86F11" w:rsidRPr="0022269B">
        <w:t xml:space="preserve"> and </w:t>
      </w:r>
      <w:r w:rsidR="008011C1" w:rsidRPr="0022269B">
        <w:t>refers to</w:t>
      </w:r>
      <w:r w:rsidR="00E86F11" w:rsidRPr="0022269B">
        <w:t xml:space="preserve"> </w:t>
      </w:r>
      <w:r w:rsidR="008011C1" w:rsidRPr="0022269B">
        <w:t>a</w:t>
      </w:r>
      <w:r w:rsidR="00E86F11" w:rsidRPr="0022269B">
        <w:t xml:space="preserve"> judgment of the Federal Court, </w:t>
      </w:r>
      <w:r w:rsidR="00E86F11" w:rsidRPr="0022269B">
        <w:rPr>
          <w:i/>
        </w:rPr>
        <w:t>Kaur v. Canada</w:t>
      </w:r>
      <w:r w:rsidR="005B0C5C">
        <w:rPr>
          <w:iCs/>
          <w:lang w:val="en-US"/>
        </w:rPr>
        <w:t xml:space="preserve"> </w:t>
      </w:r>
      <w:r w:rsidR="00E86F11" w:rsidRPr="0022269B">
        <w:rPr>
          <w:i/>
        </w:rPr>
        <w:t>(Minister of Citizenship and Immigration)</w:t>
      </w:r>
      <w:r w:rsidR="008011C1" w:rsidRPr="0022269B">
        <w:rPr>
          <w:iCs/>
        </w:rPr>
        <w:t>.</w:t>
      </w:r>
      <w:r w:rsidR="00E86F11" w:rsidRPr="0022269B">
        <w:rPr>
          <w:i/>
          <w:iCs/>
        </w:rPr>
        <w:t xml:space="preserve"> </w:t>
      </w:r>
    </w:p>
    <w:p w14:paraId="58AA5262" w14:textId="77777777" w:rsidR="00E86F11" w:rsidRPr="0022269B" w:rsidRDefault="008011C1" w:rsidP="0022269B">
      <w:pPr>
        <w:pStyle w:val="SingleTxtG"/>
      </w:pPr>
      <w:r w:rsidRPr="0022269B">
        <w:t>5.8</w:t>
      </w:r>
      <w:r w:rsidRPr="0022269B">
        <w:tab/>
        <w:t>With regard to the internal flight alternative the State party had suggested exists</w:t>
      </w:r>
      <w:r w:rsidR="00044A46" w:rsidRPr="0022269B">
        <w:t xml:space="preserve"> for the complainant, he submits that the </w:t>
      </w:r>
      <w:r w:rsidR="0038190A" w:rsidRPr="004124AB">
        <w:t xml:space="preserve">position </w:t>
      </w:r>
      <w:r w:rsidR="0038190A">
        <w:rPr>
          <w:lang w:val="en-US"/>
        </w:rPr>
        <w:t xml:space="preserve">of the </w:t>
      </w:r>
      <w:r w:rsidR="0038190A" w:rsidRPr="0038190A">
        <w:t xml:space="preserve">Office of the United Nations High Commissioner for Refugees </w:t>
      </w:r>
      <w:r w:rsidR="00044A46" w:rsidRPr="0022269B">
        <w:t xml:space="preserve">is </w:t>
      </w:r>
      <w:r w:rsidR="00E86F11" w:rsidRPr="0022269B">
        <w:t xml:space="preserve">that when the persecutors are agents of the </w:t>
      </w:r>
      <w:r w:rsidR="0038190A">
        <w:rPr>
          <w:lang w:val="en-US"/>
        </w:rPr>
        <w:t>S</w:t>
      </w:r>
      <w:r w:rsidR="00E86F11" w:rsidRPr="0022269B">
        <w:t xml:space="preserve">tate, </w:t>
      </w:r>
      <w:r w:rsidR="00044A46" w:rsidRPr="0022269B">
        <w:t xml:space="preserve">such </w:t>
      </w:r>
      <w:r w:rsidR="0038190A">
        <w:rPr>
          <w:lang w:val="en-US"/>
        </w:rPr>
        <w:t xml:space="preserve">an </w:t>
      </w:r>
      <w:r w:rsidR="00044A46" w:rsidRPr="0022269B">
        <w:t xml:space="preserve">alternative does not exist. He further submits that he is at risk from </w:t>
      </w:r>
      <w:r w:rsidR="00E86F11" w:rsidRPr="0022269B">
        <w:t xml:space="preserve">Sunni terrorists </w:t>
      </w:r>
      <w:r w:rsidR="00044A46" w:rsidRPr="0022269B">
        <w:t>who are</w:t>
      </w:r>
      <w:r w:rsidR="00E86F11" w:rsidRPr="0022269B">
        <w:t xml:space="preserve"> everywhere in Pakistan</w:t>
      </w:r>
      <w:r w:rsidR="00044A46" w:rsidRPr="0022269B">
        <w:t>,</w:t>
      </w:r>
      <w:r w:rsidR="00E86F11" w:rsidRPr="0022269B">
        <w:t xml:space="preserve"> hence the internal flight alternative is not a safe option for </w:t>
      </w:r>
      <w:r w:rsidR="00044A46" w:rsidRPr="0022269B">
        <w:t xml:space="preserve">him. He reiterates that the risk he is facing is personal. </w:t>
      </w:r>
    </w:p>
    <w:p w14:paraId="19276700" w14:textId="77777777" w:rsidR="00E86F11" w:rsidRPr="0022269B" w:rsidRDefault="00044A46" w:rsidP="0022269B">
      <w:pPr>
        <w:pStyle w:val="SingleTxtG"/>
        <w:rPr>
          <w:sz w:val="18"/>
          <w:szCs w:val="18"/>
        </w:rPr>
      </w:pPr>
      <w:r w:rsidRPr="0022269B">
        <w:t>5.9</w:t>
      </w:r>
      <w:r w:rsidRPr="0022269B">
        <w:tab/>
        <w:t>The complainant submits that despite being a party to the Convention and having made a declaration under article 22 of the Convention, the State party “</w:t>
      </w:r>
      <w:r w:rsidR="00E86F11" w:rsidRPr="0022269B">
        <w:t>has now opted</w:t>
      </w:r>
      <w:r w:rsidR="0038190A">
        <w:rPr>
          <w:lang w:val="en-US"/>
        </w:rPr>
        <w:t xml:space="preserve"> to adopt</w:t>
      </w:r>
      <w:r w:rsidR="00E86F11" w:rsidRPr="0022269B">
        <w:t xml:space="preserve"> a new process to deport the individuals to countries where they are at the risk of life or torture</w:t>
      </w:r>
      <w:r w:rsidRPr="0022269B">
        <w:t>”</w:t>
      </w:r>
      <w:r w:rsidR="003D5A7E" w:rsidRPr="0022269B">
        <w:t xml:space="preserve"> He</w:t>
      </w:r>
      <w:r w:rsidR="00CF6F32" w:rsidRPr="0022269B">
        <w:t xml:space="preserve"> </w:t>
      </w:r>
      <w:r w:rsidR="003D5A7E" w:rsidRPr="0022269B">
        <w:t>submits that t</w:t>
      </w:r>
      <w:r w:rsidR="00E86F11" w:rsidRPr="0022269B">
        <w:t>he recent</w:t>
      </w:r>
      <w:r w:rsidR="003D5A7E" w:rsidRPr="0022269B">
        <w:t xml:space="preserve"> </w:t>
      </w:r>
      <w:r w:rsidR="00E86F11" w:rsidRPr="0022269B">
        <w:t>stat</w:t>
      </w:r>
      <w:r w:rsidR="003D5A7E" w:rsidRPr="0022269B">
        <w:t>istics</w:t>
      </w:r>
      <w:r w:rsidR="00E86F11" w:rsidRPr="0022269B">
        <w:t xml:space="preserve"> of the </w:t>
      </w:r>
      <w:r w:rsidR="003D5A7E" w:rsidRPr="0022269B">
        <w:t xml:space="preserve">State party’s </w:t>
      </w:r>
      <w:r w:rsidR="00E86F11" w:rsidRPr="0022269B">
        <w:t xml:space="preserve">immigration </w:t>
      </w:r>
      <w:r w:rsidR="003D5A7E" w:rsidRPr="0022269B">
        <w:t>authorities</w:t>
      </w:r>
      <w:r w:rsidR="00E86F11" w:rsidRPr="0022269B">
        <w:t xml:space="preserve"> s</w:t>
      </w:r>
      <w:r w:rsidR="003D5A7E" w:rsidRPr="0022269B">
        <w:t xml:space="preserve">tate </w:t>
      </w:r>
      <w:r w:rsidR="00E86F11" w:rsidRPr="0022269B">
        <w:t xml:space="preserve">that only around 33 </w:t>
      </w:r>
      <w:r w:rsidR="0038190A">
        <w:rPr>
          <w:lang w:val="en-US"/>
        </w:rPr>
        <w:t>per cent</w:t>
      </w:r>
      <w:r w:rsidR="00E86F11" w:rsidRPr="0022269B">
        <w:t xml:space="preserve"> </w:t>
      </w:r>
      <w:r w:rsidR="003D5A7E" w:rsidRPr="0022269B">
        <w:t xml:space="preserve">of the </w:t>
      </w:r>
      <w:r w:rsidR="00E86F11" w:rsidRPr="0022269B">
        <w:t>claims for refugee protection in Canada are accepted</w:t>
      </w:r>
      <w:r w:rsidR="003D5A7E" w:rsidRPr="0022269B">
        <w:t>.</w:t>
      </w:r>
      <w:r w:rsidR="00640B72" w:rsidRPr="0022269B">
        <w:rPr>
          <w:rStyle w:val="FootnoteReference"/>
          <w:lang w:val="en-GB"/>
        </w:rPr>
        <w:footnoteReference w:id="37"/>
      </w:r>
      <w:r w:rsidR="003D5A7E" w:rsidRPr="0022269B">
        <w:rPr>
          <w:sz w:val="18"/>
          <w:szCs w:val="18"/>
        </w:rPr>
        <w:t xml:space="preserve"> </w:t>
      </w:r>
    </w:p>
    <w:p w14:paraId="17A725F9" w14:textId="77777777" w:rsidR="005379F7" w:rsidRPr="0022269B" w:rsidRDefault="005662FF" w:rsidP="0022269B">
      <w:pPr>
        <w:pStyle w:val="H23G"/>
        <w:rPr>
          <w:b w:val="0"/>
        </w:rPr>
      </w:pPr>
      <w:r>
        <w:rPr>
          <w:b w:val="0"/>
        </w:rPr>
        <w:tab/>
      </w:r>
      <w:r>
        <w:rPr>
          <w:b w:val="0"/>
        </w:rPr>
        <w:tab/>
      </w:r>
      <w:r w:rsidR="005379F7" w:rsidRPr="0022269B">
        <w:t>State party’s further observations</w:t>
      </w:r>
    </w:p>
    <w:p w14:paraId="02687310" w14:textId="77777777" w:rsidR="00621A61" w:rsidRPr="0022269B" w:rsidRDefault="005379F7" w:rsidP="0022269B">
      <w:pPr>
        <w:pStyle w:val="SingleTxtG"/>
      </w:pPr>
      <w:r w:rsidRPr="0022269B">
        <w:t>6.1</w:t>
      </w:r>
      <w:r w:rsidRPr="0022269B">
        <w:tab/>
        <w:t xml:space="preserve">On 19 June 2015, the State party requests </w:t>
      </w:r>
      <w:r w:rsidR="0038190A">
        <w:rPr>
          <w:lang w:val="en-US"/>
        </w:rPr>
        <w:t xml:space="preserve">the </w:t>
      </w:r>
      <w:r w:rsidRPr="0022269B">
        <w:t>withdraw</w:t>
      </w:r>
      <w:r w:rsidR="0038190A">
        <w:rPr>
          <w:lang w:val="en-US"/>
        </w:rPr>
        <w:t>al of</w:t>
      </w:r>
      <w:r w:rsidRPr="0022269B">
        <w:t xml:space="preserve"> the Committee’s interim measures request and reiterates its submissions regarding the admissibility and merits of the communication. </w:t>
      </w:r>
      <w:r w:rsidR="00621A61" w:rsidRPr="0022269B">
        <w:t>In addition</w:t>
      </w:r>
      <w:r w:rsidR="006C4975">
        <w:rPr>
          <w:lang w:val="en-US"/>
        </w:rPr>
        <w:t>,</w:t>
      </w:r>
      <w:r w:rsidR="00621A61" w:rsidRPr="0022269B">
        <w:t xml:space="preserve"> the State party objects to the complainant’s suggestion that its decision</w:t>
      </w:r>
      <w:r w:rsidR="006C4975">
        <w:rPr>
          <w:lang w:val="en-US"/>
        </w:rPr>
        <w:t xml:space="preserve"> </w:t>
      </w:r>
      <w:r w:rsidR="00621A61" w:rsidRPr="0022269B">
        <w:t xml:space="preserve">makers failed to take into account or arbitrarily rejected the evidence submitted in support of his claim for protection. The </w:t>
      </w:r>
      <w:r w:rsidR="002A58BF" w:rsidRPr="001E1CDD">
        <w:rPr>
          <w:lang w:val="en-GB"/>
        </w:rPr>
        <w:t>Refugee Protection Division</w:t>
      </w:r>
      <w:r w:rsidR="002A58BF" w:rsidRPr="002A58BF" w:rsidDel="002A58BF">
        <w:t xml:space="preserve"> </w:t>
      </w:r>
      <w:r w:rsidR="00621A61" w:rsidRPr="0022269B">
        <w:t xml:space="preserve">considered the evidence submitted, including medical evidence, but granted it only limited probative value </w:t>
      </w:r>
      <w:r w:rsidR="00621A61" w:rsidRPr="0022269B">
        <w:lastRenderedPageBreak/>
        <w:t xml:space="preserve">in light of the numerous contradictions, omissions and inconsistencies it found. On appeal, the </w:t>
      </w:r>
      <w:r w:rsidR="00537478" w:rsidRPr="00464EAE">
        <w:rPr>
          <w:lang w:val="en-GB"/>
        </w:rPr>
        <w:t xml:space="preserve">Refugee Appeal Division </w:t>
      </w:r>
      <w:r w:rsidR="00621A61" w:rsidRPr="0022269B">
        <w:t>carefully analy</w:t>
      </w:r>
      <w:r w:rsidR="00537478">
        <w:rPr>
          <w:lang w:val="en-US"/>
        </w:rPr>
        <w:t>s</w:t>
      </w:r>
      <w:r w:rsidR="00621A61" w:rsidRPr="0022269B">
        <w:t xml:space="preserve">ed the decision </w:t>
      </w:r>
      <w:r w:rsidR="006C4975">
        <w:rPr>
          <w:lang w:val="en-US"/>
        </w:rPr>
        <w:t xml:space="preserve">of the </w:t>
      </w:r>
      <w:r w:rsidR="006C4975" w:rsidRPr="001E1CDD">
        <w:rPr>
          <w:lang w:val="en-GB"/>
        </w:rPr>
        <w:t>Refugee Protection Division</w:t>
      </w:r>
      <w:r w:rsidR="003C00CB">
        <w:rPr>
          <w:lang w:val="en-GB"/>
        </w:rPr>
        <w:t xml:space="preserve"> </w:t>
      </w:r>
      <w:r w:rsidR="00621A61" w:rsidRPr="0022269B">
        <w:t>and concluded that th</w:t>
      </w:r>
      <w:r w:rsidR="006C4975">
        <w:rPr>
          <w:lang w:val="en-US"/>
        </w:rPr>
        <w:t>at</w:t>
      </w:r>
      <w:r w:rsidR="00621A61" w:rsidRPr="0022269B">
        <w:t xml:space="preserve"> </w:t>
      </w:r>
      <w:r w:rsidR="002A58BF" w:rsidRPr="001E1CDD">
        <w:rPr>
          <w:lang w:val="en-GB"/>
        </w:rPr>
        <w:t>Division</w:t>
      </w:r>
      <w:r w:rsidR="00621A61" w:rsidRPr="0022269B">
        <w:t xml:space="preserve"> did not make any errors in its assessment of the author’s credibility or its consideration of the evidence. The State party observes that the Federal Court decision in </w:t>
      </w:r>
      <w:r w:rsidR="00621A61" w:rsidRPr="0022269B">
        <w:rPr>
          <w:i/>
        </w:rPr>
        <w:t>Kaur v. Canada</w:t>
      </w:r>
      <w:r w:rsidR="00621A61" w:rsidRPr="0022269B">
        <w:rPr>
          <w:vertAlign w:val="superscript"/>
        </w:rPr>
        <w:footnoteReference w:id="38"/>
      </w:r>
      <w:r w:rsidR="00621A61" w:rsidRPr="0022269B">
        <w:t xml:space="preserve"> does not support</w:t>
      </w:r>
      <w:r w:rsidR="006C4975">
        <w:rPr>
          <w:lang w:val="en-US"/>
        </w:rPr>
        <w:t xml:space="preserve"> the assertion</w:t>
      </w:r>
      <w:r w:rsidR="00621A61" w:rsidRPr="0022269B">
        <w:t xml:space="preserve"> that the author faces a present risk at the hands of Sunni terrorist in Pakistan. The </w:t>
      </w:r>
      <w:r w:rsidR="00621A61" w:rsidRPr="0022269B">
        <w:rPr>
          <w:i/>
        </w:rPr>
        <w:t>Kaur</w:t>
      </w:r>
      <w:r w:rsidR="006C4975">
        <w:rPr>
          <w:i/>
          <w:lang w:val="en-US"/>
        </w:rPr>
        <w:t xml:space="preserve"> v. Canada</w:t>
      </w:r>
      <w:r w:rsidR="00621A61" w:rsidRPr="0022269B">
        <w:t xml:space="preserve"> decision concerns a Sikh wom</w:t>
      </w:r>
      <w:r w:rsidR="006C4975">
        <w:rPr>
          <w:lang w:val="en-US"/>
        </w:rPr>
        <w:t>a</w:t>
      </w:r>
      <w:r w:rsidR="00621A61" w:rsidRPr="0022269B">
        <w:t>n from the Punjab in India, and the perpetrators of violence were stated to be the police, not non-</w:t>
      </w:r>
      <w:r w:rsidR="006C4975">
        <w:rPr>
          <w:lang w:val="en-US"/>
        </w:rPr>
        <w:t>S</w:t>
      </w:r>
      <w:r w:rsidR="00621A61" w:rsidRPr="0022269B">
        <w:t xml:space="preserve">tate actors. </w:t>
      </w:r>
    </w:p>
    <w:p w14:paraId="7C12E9BA" w14:textId="77777777" w:rsidR="00621A61" w:rsidRPr="0022269B" w:rsidRDefault="00621A61" w:rsidP="0022269B">
      <w:pPr>
        <w:pStyle w:val="SingleTxtG"/>
      </w:pPr>
      <w:r w:rsidRPr="0022269B">
        <w:t>6.2</w:t>
      </w:r>
      <w:r w:rsidR="00A4212F" w:rsidRPr="0022269B">
        <w:rPr>
          <w:lang w:val="en-GB"/>
        </w:rPr>
        <w:tab/>
      </w:r>
      <w:r w:rsidRPr="0022269B">
        <w:t>With respect to the documentary evidence on sectarian violence in Pakistan submitted in support of his supplemental submission, the State party submits that the Committee should not base its views on evidence that has not yet been considered by available and effective domestic processes.</w:t>
      </w:r>
      <w:r w:rsidRPr="0022269B">
        <w:rPr>
          <w:vertAlign w:val="superscript"/>
        </w:rPr>
        <w:footnoteReference w:id="39"/>
      </w:r>
      <w:r w:rsidRPr="0022269B">
        <w:t xml:space="preserve"> In any event, it observes that a situation of generali</w:t>
      </w:r>
      <w:r w:rsidR="006C4975">
        <w:rPr>
          <w:lang w:val="en-US"/>
        </w:rPr>
        <w:t>z</w:t>
      </w:r>
      <w:r w:rsidRPr="0022269B">
        <w:t>ed risk of violence on account of religious beliefs does not support allegations of a personalized risk of torture and notes that most of the incidents of attacks against Shia</w:t>
      </w:r>
      <w:r w:rsidR="006C4975">
        <w:rPr>
          <w:lang w:val="en-US"/>
        </w:rPr>
        <w:t xml:space="preserve"> Muslims</w:t>
      </w:r>
      <w:r w:rsidRPr="0022269B">
        <w:t xml:space="preserve"> were reported to have occurred in Karachi. </w:t>
      </w:r>
    </w:p>
    <w:p w14:paraId="7C9D7842" w14:textId="77777777" w:rsidR="00621A61" w:rsidRPr="0022269B" w:rsidRDefault="00621A61" w:rsidP="0022269B">
      <w:pPr>
        <w:pStyle w:val="SingleTxtG"/>
      </w:pPr>
      <w:r w:rsidRPr="0022269B">
        <w:t>6.3</w:t>
      </w:r>
      <w:r w:rsidRPr="0022269B">
        <w:tab/>
        <w:t xml:space="preserve">The State party also maintains that it is not within the scope of review of the Committee to consider the Canadian system in general, but only to examine whether, in the circumstances giving rise to the complaint before it, Canada has complied with its obligations under the </w:t>
      </w:r>
      <w:r w:rsidRPr="0022269B">
        <w:rPr>
          <w:iCs/>
        </w:rPr>
        <w:t>Convention.</w:t>
      </w:r>
      <w:r w:rsidRPr="0022269B">
        <w:rPr>
          <w:vertAlign w:val="superscript"/>
        </w:rPr>
        <w:footnoteReference w:id="40"/>
      </w:r>
      <w:r w:rsidRPr="0022269B">
        <w:t xml:space="preserve"> In any event, the State party strongly objects to these allegations and considers it necessary to refute the main contentions made, which have no basis in fact or law. It observes that the supplemental submission fails to identify any alleged injustices in the </w:t>
      </w:r>
      <w:r w:rsidR="001B10F6" w:rsidRPr="00464EAE">
        <w:rPr>
          <w:lang w:val="en-GB"/>
        </w:rPr>
        <w:t>pre-removal risk assessment</w:t>
      </w:r>
      <w:r w:rsidR="001B10F6" w:rsidRPr="001B10F6" w:rsidDel="001B10F6">
        <w:t xml:space="preserve"> </w:t>
      </w:r>
      <w:r w:rsidRPr="0022269B">
        <w:t>process other than to suggest that any such application is unlikely to be fairly determined. It submits that this allegation is unsupported by any evidence and should not be accorded any weight by the Committee and that the allegations that the process</w:t>
      </w:r>
      <w:r w:rsidR="0016615C">
        <w:rPr>
          <w:lang w:val="en-US"/>
        </w:rPr>
        <w:t xml:space="preserve"> to request consideration on </w:t>
      </w:r>
      <w:r w:rsidR="0016615C" w:rsidRPr="00464EAE">
        <w:rPr>
          <w:lang w:val="en-GB"/>
        </w:rPr>
        <w:t>humanitarian and compassionate</w:t>
      </w:r>
      <w:r w:rsidR="0016615C">
        <w:rPr>
          <w:lang w:val="en-GB"/>
        </w:rPr>
        <w:t xml:space="preserve"> grounds</w:t>
      </w:r>
      <w:r w:rsidRPr="0022269B">
        <w:t xml:space="preserve"> is unfair and ineffective are without merit.</w:t>
      </w:r>
    </w:p>
    <w:p w14:paraId="401B7E47" w14:textId="77777777" w:rsidR="00621A61" w:rsidRPr="0022269B" w:rsidRDefault="00621A61" w:rsidP="0022269B">
      <w:pPr>
        <w:pStyle w:val="SingleTxtG"/>
      </w:pPr>
      <w:r w:rsidRPr="0022269B">
        <w:t xml:space="preserve">6.4 </w:t>
      </w:r>
      <w:r w:rsidR="00074E30" w:rsidRPr="0022269B">
        <w:tab/>
      </w:r>
      <w:r w:rsidRPr="0022269B">
        <w:t xml:space="preserve">The State party submits that claimants who are not yet eligible to apply for a </w:t>
      </w:r>
      <w:r w:rsidR="001B10F6" w:rsidRPr="00464EAE">
        <w:rPr>
          <w:lang w:val="en-GB"/>
        </w:rPr>
        <w:t>pre-removal risk assessment</w:t>
      </w:r>
      <w:r w:rsidRPr="0022269B">
        <w:t xml:space="preserve"> but who allege to have new and compelling personalized evidence of risk may request from an enforcement officer a deferral of removal. Enforcement officers have limited discretion under the </w:t>
      </w:r>
      <w:r w:rsidR="006C4975" w:rsidRPr="001E1CDD">
        <w:rPr>
          <w:iCs/>
          <w:lang w:val="en-GB"/>
        </w:rPr>
        <w:t>Immigration and Refugee Protection Act</w:t>
      </w:r>
      <w:r w:rsidR="006C4975">
        <w:rPr>
          <w:iCs/>
          <w:lang w:val="en-GB"/>
        </w:rPr>
        <w:t xml:space="preserve"> </w:t>
      </w:r>
      <w:r w:rsidRPr="0022269B">
        <w:t>as to the timing of a removal</w:t>
      </w:r>
      <w:r w:rsidR="006C4975">
        <w:rPr>
          <w:lang w:val="en-US"/>
        </w:rPr>
        <w:t>,</w:t>
      </w:r>
      <w:r w:rsidRPr="0022269B">
        <w:t xml:space="preserve"> since an enforceable removal order “must be enforced as soon as possible”</w:t>
      </w:r>
      <w:r w:rsidR="006C4975">
        <w:rPr>
          <w:lang w:val="en-US"/>
        </w:rPr>
        <w:t>.</w:t>
      </w:r>
      <w:r w:rsidRPr="0022269B">
        <w:rPr>
          <w:vertAlign w:val="superscript"/>
        </w:rPr>
        <w:footnoteReference w:id="41"/>
      </w:r>
      <w:r w:rsidRPr="0022269B">
        <w:rPr>
          <w:i/>
        </w:rPr>
        <w:t xml:space="preserve"> </w:t>
      </w:r>
      <w:r w:rsidRPr="0022269B">
        <w:t>However, the Federal Court of Appeal has repeatedly held that enforcement officers must defer removal if proceeding with the removal would expose the person to “a risk of death, extreme sanction or inhumane treatment”</w:t>
      </w:r>
      <w:r w:rsidR="006C4975">
        <w:rPr>
          <w:lang w:val="en-US"/>
        </w:rPr>
        <w:t>.</w:t>
      </w:r>
      <w:r w:rsidRPr="0022269B">
        <w:rPr>
          <w:vertAlign w:val="superscript"/>
        </w:rPr>
        <w:footnoteReference w:id="42"/>
      </w:r>
      <w:r w:rsidRPr="0022269B">
        <w:t xml:space="preserve"> If a deferral of removal is refused, that decision may be judicially reviewed by the Federal Court with leave. A judicial stay pending the outcome of an application for leave and for judicial review of a negative deferral decision may also be available.</w:t>
      </w:r>
    </w:p>
    <w:p w14:paraId="79C83ED5" w14:textId="77777777" w:rsidR="00E86F11" w:rsidRPr="00EC65FE" w:rsidRDefault="00621A61" w:rsidP="0022269B">
      <w:pPr>
        <w:pStyle w:val="SingleTxtG"/>
      </w:pPr>
      <w:r w:rsidRPr="0022269B">
        <w:lastRenderedPageBreak/>
        <w:t>6.5</w:t>
      </w:r>
      <w:r w:rsidRPr="0022269B">
        <w:tab/>
        <w:t>The State party further observes that claimants have additional domestic remedies available to them during the 12-month period</w:t>
      </w:r>
      <w:r w:rsidR="006C4975">
        <w:rPr>
          <w:lang w:val="en-US"/>
        </w:rPr>
        <w:t xml:space="preserve"> of ineligibility</w:t>
      </w:r>
      <w:r w:rsidRPr="0022269B">
        <w:t xml:space="preserve"> to apply for a </w:t>
      </w:r>
      <w:r w:rsidR="001B10F6" w:rsidRPr="00464EAE">
        <w:rPr>
          <w:lang w:val="en-GB"/>
        </w:rPr>
        <w:t>pre-removal risk assessment</w:t>
      </w:r>
      <w:r w:rsidR="001B10F6" w:rsidRPr="001B10F6" w:rsidDel="001B10F6">
        <w:t xml:space="preserve"> </w:t>
      </w:r>
      <w:r w:rsidRPr="0022269B">
        <w:t xml:space="preserve">or consideration on </w:t>
      </w:r>
      <w:r w:rsidR="0016615C" w:rsidRPr="00464EAE">
        <w:rPr>
          <w:lang w:val="en-GB"/>
        </w:rPr>
        <w:t>humanitarian and compassionate</w:t>
      </w:r>
      <w:r w:rsidRPr="0022269B">
        <w:t xml:space="preserve"> grounds. Where a claimant seeks leave to apply for</w:t>
      </w:r>
      <w:r w:rsidR="006C4975">
        <w:rPr>
          <w:lang w:val="en-US"/>
        </w:rPr>
        <w:t xml:space="preserve"> a</w:t>
      </w:r>
      <w:r w:rsidRPr="0022269B">
        <w:t xml:space="preserve"> judicial review of a </w:t>
      </w:r>
      <w:r w:rsidR="002A58BF" w:rsidRPr="00823FB4">
        <w:t>decision</w:t>
      </w:r>
      <w:r w:rsidR="002A58BF">
        <w:rPr>
          <w:lang w:val="en-US"/>
        </w:rPr>
        <w:t xml:space="preserve"> by the</w:t>
      </w:r>
      <w:r w:rsidR="002A58BF" w:rsidRPr="002A58BF">
        <w:t xml:space="preserve"> </w:t>
      </w:r>
      <w:r w:rsidR="002A58BF" w:rsidRPr="001E1CDD">
        <w:rPr>
          <w:lang w:val="en-GB"/>
        </w:rPr>
        <w:t>Refugee Protection Division</w:t>
      </w:r>
      <w:r w:rsidR="002A58BF" w:rsidRPr="002A58BF" w:rsidDel="002A58BF">
        <w:t xml:space="preserve"> </w:t>
      </w:r>
      <w:r w:rsidRPr="0022269B">
        <w:t xml:space="preserve">or </w:t>
      </w:r>
      <w:r w:rsidR="00537478" w:rsidRPr="00464EAE">
        <w:rPr>
          <w:lang w:val="en-GB"/>
        </w:rPr>
        <w:t xml:space="preserve">Refugee Appeal Division </w:t>
      </w:r>
      <w:r w:rsidRPr="0022269B">
        <w:t>, this recourse generally occurs during th</w:t>
      </w:r>
      <w:r w:rsidR="006C4975">
        <w:rPr>
          <w:lang w:val="en-US"/>
        </w:rPr>
        <w:t>at</w:t>
      </w:r>
      <w:r w:rsidRPr="0022269B">
        <w:t xml:space="preserve"> 12-month interval. Moreover, a stay of removal may be available pending the outcome of an application to the Federal Court for leave and for judicial review of a</w:t>
      </w:r>
      <w:r w:rsidR="002A58BF">
        <w:rPr>
          <w:lang w:val="en-US"/>
        </w:rPr>
        <w:t xml:space="preserve"> </w:t>
      </w:r>
      <w:r w:rsidRPr="0022269B">
        <w:t>decision</w:t>
      </w:r>
      <w:r w:rsidR="002A58BF">
        <w:rPr>
          <w:lang w:val="en-US"/>
        </w:rPr>
        <w:t xml:space="preserve"> </w:t>
      </w:r>
      <w:r w:rsidR="006C4975">
        <w:rPr>
          <w:lang w:val="en-US"/>
        </w:rPr>
        <w:t>of</w:t>
      </w:r>
      <w:r w:rsidR="002A58BF">
        <w:rPr>
          <w:lang w:val="en-US"/>
        </w:rPr>
        <w:t xml:space="preserve"> the </w:t>
      </w:r>
      <w:r w:rsidR="002A58BF" w:rsidRPr="001E1CDD">
        <w:rPr>
          <w:lang w:val="en-GB"/>
        </w:rPr>
        <w:t>Refugee Protection Division</w:t>
      </w:r>
      <w:r w:rsidRPr="0022269B">
        <w:t xml:space="preserve"> or of the </w:t>
      </w:r>
      <w:r w:rsidR="00537478" w:rsidRPr="00464EAE">
        <w:rPr>
          <w:lang w:val="en-GB"/>
        </w:rPr>
        <w:t>Refugee Appeal Division</w:t>
      </w:r>
      <w:r w:rsidRPr="0022269B">
        <w:t>. In addition, provision is made in section 112</w:t>
      </w:r>
      <w:r w:rsidR="006C4975">
        <w:rPr>
          <w:lang w:val="en-US"/>
        </w:rPr>
        <w:t xml:space="preserve"> </w:t>
      </w:r>
      <w:r w:rsidRPr="0022269B">
        <w:t xml:space="preserve">(2.1) of the </w:t>
      </w:r>
      <w:r w:rsidR="006C4975" w:rsidRPr="001E1CDD">
        <w:rPr>
          <w:iCs/>
          <w:lang w:val="en-GB"/>
        </w:rPr>
        <w:t>Immigration and Refugee Protection Act</w:t>
      </w:r>
      <w:r w:rsidR="006C4975">
        <w:rPr>
          <w:iCs/>
          <w:lang w:val="en-GB"/>
        </w:rPr>
        <w:t xml:space="preserve"> </w:t>
      </w:r>
      <w:r w:rsidRPr="0022269B">
        <w:t xml:space="preserve">for exemptions from the 12-month </w:t>
      </w:r>
      <w:r w:rsidR="001B10F6" w:rsidRPr="00464EAE">
        <w:rPr>
          <w:lang w:val="en-GB"/>
        </w:rPr>
        <w:t>pre-removal risk assessment</w:t>
      </w:r>
      <w:r w:rsidR="001B10F6" w:rsidRPr="001B10F6" w:rsidDel="001B10F6">
        <w:t xml:space="preserve"> </w:t>
      </w:r>
      <w:r w:rsidRPr="0022269B">
        <w:t xml:space="preserve">ineligibility period </w:t>
      </w:r>
      <w:r w:rsidR="006C4975">
        <w:rPr>
          <w:lang w:val="en-US"/>
        </w:rPr>
        <w:t>when</w:t>
      </w:r>
      <w:r w:rsidR="006C4975" w:rsidRPr="0022269B">
        <w:t xml:space="preserve"> </w:t>
      </w:r>
      <w:r w:rsidRPr="0022269B">
        <w:t xml:space="preserve">there has been a change in conditions in a claimant’s country of nationality that could put him or her at risk. The </w:t>
      </w:r>
      <w:r w:rsidR="006C4975">
        <w:rPr>
          <w:lang w:val="en-US"/>
        </w:rPr>
        <w:t xml:space="preserve">Act </w:t>
      </w:r>
      <w:r w:rsidRPr="0022269B">
        <w:t xml:space="preserve">also provides for exceptions to the 12-month ineligibility period for making an application based on medical </w:t>
      </w:r>
      <w:r w:rsidR="0016615C" w:rsidRPr="00464EAE">
        <w:rPr>
          <w:lang w:val="en-GB"/>
        </w:rPr>
        <w:t xml:space="preserve">humanitarian and compassionate </w:t>
      </w:r>
      <w:r w:rsidRPr="0022269B">
        <w:t>grounds or where removal may have an adverse effect on the best interests of a child.</w:t>
      </w:r>
    </w:p>
    <w:p w14:paraId="121F77CE" w14:textId="77777777" w:rsidR="004876DE" w:rsidRPr="005662FF" w:rsidRDefault="005662FF" w:rsidP="0022269B">
      <w:pPr>
        <w:pStyle w:val="H23G"/>
      </w:pPr>
      <w:r>
        <w:tab/>
      </w:r>
      <w:r>
        <w:tab/>
      </w:r>
      <w:r w:rsidR="004876DE" w:rsidRPr="005662FF">
        <w:t>Issues and proceedings before the Committee</w:t>
      </w:r>
    </w:p>
    <w:p w14:paraId="5C43C837" w14:textId="77777777" w:rsidR="004876DE" w:rsidRPr="005662FF" w:rsidRDefault="005662FF" w:rsidP="0022269B">
      <w:pPr>
        <w:pStyle w:val="H4G"/>
      </w:pPr>
      <w:r>
        <w:tab/>
      </w:r>
      <w:r>
        <w:tab/>
      </w:r>
      <w:r w:rsidR="004876DE" w:rsidRPr="005662FF">
        <w:t>Consideration of admissibility</w:t>
      </w:r>
    </w:p>
    <w:p w14:paraId="2F64D088" w14:textId="77777777" w:rsidR="00E73A6F" w:rsidRPr="0022269B" w:rsidRDefault="00621A61" w:rsidP="0022269B">
      <w:pPr>
        <w:pStyle w:val="SingleTxtG"/>
      </w:pPr>
      <w:r w:rsidRPr="00724BEC">
        <w:rPr>
          <w:lang w:val="en-GB"/>
        </w:rPr>
        <w:t>7</w:t>
      </w:r>
      <w:r w:rsidR="004876DE" w:rsidRPr="00724BEC">
        <w:rPr>
          <w:lang w:val="en-GB"/>
        </w:rPr>
        <w:t>.1</w:t>
      </w:r>
      <w:r w:rsidR="004876DE" w:rsidRPr="00724BEC">
        <w:rPr>
          <w:lang w:val="en-GB"/>
        </w:rPr>
        <w:tab/>
      </w:r>
      <w:r w:rsidR="00E73A6F" w:rsidRPr="0022269B">
        <w:rPr>
          <w:lang w:val="en-GB"/>
        </w:rPr>
        <w:t>Before considering any complaint submitted in a communication, the Committee must decide whether or not it is admissible under article 22 of the Convention. The Committee has ascertained, as it is required to do under article 22</w:t>
      </w:r>
      <w:r w:rsidR="003C00CB">
        <w:rPr>
          <w:lang w:val="en-GB"/>
        </w:rPr>
        <w:t xml:space="preserve"> (</w:t>
      </w:r>
      <w:r w:rsidR="00E73A6F" w:rsidRPr="0022269B">
        <w:rPr>
          <w:lang w:val="en-GB"/>
        </w:rPr>
        <w:t>5</w:t>
      </w:r>
      <w:r w:rsidR="003C00CB">
        <w:rPr>
          <w:lang w:val="en-GB"/>
        </w:rPr>
        <w:t>)</w:t>
      </w:r>
      <w:r w:rsidR="00E73A6F" w:rsidRPr="0022269B">
        <w:rPr>
          <w:lang w:val="en-GB"/>
        </w:rPr>
        <w:t xml:space="preserve"> (a) of the Convention, that the same matter has not been and is not being examined under another procedure of international investigation or settlement. </w:t>
      </w:r>
    </w:p>
    <w:p w14:paraId="49A0B01F" w14:textId="77777777" w:rsidR="00505616" w:rsidRPr="0022269B" w:rsidRDefault="00621A61" w:rsidP="003C00CB">
      <w:pPr>
        <w:pStyle w:val="SingleTxtG"/>
        <w:rPr>
          <w:rFonts w:eastAsia="SimSun"/>
        </w:rPr>
      </w:pPr>
      <w:r w:rsidRPr="005662FF">
        <w:rPr>
          <w:bCs/>
          <w:lang w:val="en-GB"/>
        </w:rPr>
        <w:t>7</w:t>
      </w:r>
      <w:r w:rsidR="00E73A6F" w:rsidRPr="0022269B">
        <w:rPr>
          <w:bCs/>
          <w:lang w:val="en-GB"/>
        </w:rPr>
        <w:t>.2</w:t>
      </w:r>
      <w:r w:rsidR="00E73A6F" w:rsidRPr="0022269B">
        <w:rPr>
          <w:bCs/>
          <w:lang w:val="en-GB"/>
        </w:rPr>
        <w:tab/>
      </w:r>
      <w:r w:rsidR="00505616" w:rsidRPr="0022269B">
        <w:rPr>
          <w:rFonts w:eastAsia="SimSun"/>
          <w:lang w:val="en-GB" w:eastAsia="zh-CN"/>
        </w:rPr>
        <w:t>In accordance with article 22</w:t>
      </w:r>
      <w:r w:rsidR="003C00CB">
        <w:rPr>
          <w:rFonts w:eastAsia="SimSun"/>
          <w:lang w:val="en-GB" w:eastAsia="zh-CN"/>
        </w:rPr>
        <w:t xml:space="preserve"> (</w:t>
      </w:r>
      <w:r w:rsidR="00505616" w:rsidRPr="0022269B">
        <w:rPr>
          <w:rFonts w:eastAsia="SimSun"/>
          <w:lang w:val="en-GB" w:eastAsia="zh-CN"/>
        </w:rPr>
        <w:t>5</w:t>
      </w:r>
      <w:r w:rsidR="003C00CB">
        <w:rPr>
          <w:rFonts w:eastAsia="SimSun"/>
          <w:lang w:val="en-GB" w:eastAsia="zh-CN"/>
        </w:rPr>
        <w:t>)</w:t>
      </w:r>
      <w:r w:rsidR="00505616" w:rsidRPr="0022269B">
        <w:rPr>
          <w:rFonts w:eastAsia="SimSun"/>
          <w:lang w:val="en-GB" w:eastAsia="zh-CN"/>
        </w:rPr>
        <w:t xml:space="preserve"> (b) of the Convention, the Committee does not consider any complaint, unless it has ascertained that the complainant has exhausted all available domestic remedies</w:t>
      </w:r>
      <w:r w:rsidR="006C4975">
        <w:rPr>
          <w:rFonts w:eastAsia="SimSun"/>
          <w:lang w:val="en-GB" w:eastAsia="zh-CN"/>
        </w:rPr>
        <w:t>. T</w:t>
      </w:r>
      <w:r w:rsidR="00505616" w:rsidRPr="0022269B">
        <w:rPr>
          <w:rFonts w:eastAsia="SimSun"/>
          <w:lang w:val="en-GB" w:eastAsia="zh-CN"/>
        </w:rPr>
        <w:t xml:space="preserve">his rule does not apply where it has been established that the application of those remedies has been unreasonably prolonged, or that it is unlikely, after a fair trial, to bring effective relief to the alleged victim. </w:t>
      </w:r>
    </w:p>
    <w:p w14:paraId="34917060" w14:textId="77777777" w:rsidR="007A3AAD" w:rsidRPr="0022269B" w:rsidRDefault="00621A61" w:rsidP="003C00CB">
      <w:pPr>
        <w:pStyle w:val="SingleTxtG"/>
        <w:rPr>
          <w:rFonts w:eastAsia="SimSun"/>
        </w:rPr>
      </w:pPr>
      <w:r w:rsidRPr="0022269B">
        <w:rPr>
          <w:rFonts w:eastAsia="SimSun"/>
          <w:lang w:val="en-GB" w:eastAsia="zh-CN"/>
        </w:rPr>
        <w:t>7</w:t>
      </w:r>
      <w:r w:rsidR="007A3AAD" w:rsidRPr="0022269B">
        <w:rPr>
          <w:rFonts w:eastAsia="SimSun"/>
          <w:lang w:val="en-GB" w:eastAsia="zh-CN"/>
        </w:rPr>
        <w:t>.3</w:t>
      </w:r>
      <w:r w:rsidR="007A3AAD" w:rsidRPr="0022269B">
        <w:rPr>
          <w:rFonts w:eastAsia="SimSun"/>
          <w:lang w:val="en-GB" w:eastAsia="zh-CN"/>
        </w:rPr>
        <w:tab/>
        <w:t>The Committee takes note of the State party’s argument</w:t>
      </w:r>
      <w:r w:rsidR="00E41813">
        <w:rPr>
          <w:rFonts w:eastAsia="SimSun"/>
          <w:lang w:val="en-GB" w:eastAsia="zh-CN"/>
        </w:rPr>
        <w:t>,</w:t>
      </w:r>
      <w:r w:rsidR="007A3AAD" w:rsidRPr="0022269B">
        <w:rPr>
          <w:rFonts w:eastAsia="SimSun"/>
          <w:lang w:val="en-GB" w:eastAsia="zh-CN"/>
        </w:rPr>
        <w:t xml:space="preserve"> inter alia</w:t>
      </w:r>
      <w:r w:rsidR="00E41813">
        <w:rPr>
          <w:rFonts w:eastAsia="SimSun"/>
          <w:lang w:val="en-GB" w:eastAsia="zh-CN"/>
        </w:rPr>
        <w:t>,</w:t>
      </w:r>
      <w:r w:rsidR="007A3AAD" w:rsidRPr="0022269B">
        <w:rPr>
          <w:rFonts w:eastAsia="SimSun"/>
          <w:lang w:val="en-GB" w:eastAsia="zh-CN"/>
        </w:rPr>
        <w:t xml:space="preserve"> that the complaint should be declared inadmissible under article 22</w:t>
      </w:r>
      <w:r w:rsidR="003C00CB">
        <w:rPr>
          <w:rFonts w:eastAsia="SimSun"/>
          <w:lang w:val="en-GB" w:eastAsia="zh-CN"/>
        </w:rPr>
        <w:t xml:space="preserve"> (</w:t>
      </w:r>
      <w:r w:rsidR="007A3AAD" w:rsidRPr="0022269B">
        <w:rPr>
          <w:rFonts w:eastAsia="SimSun"/>
          <w:lang w:val="en-GB" w:eastAsia="zh-CN"/>
        </w:rPr>
        <w:t>5</w:t>
      </w:r>
      <w:r w:rsidR="003C00CB">
        <w:rPr>
          <w:rFonts w:eastAsia="SimSun"/>
          <w:lang w:val="en-GB" w:eastAsia="zh-CN"/>
        </w:rPr>
        <w:t>)</w:t>
      </w:r>
      <w:r w:rsidR="007A3AAD" w:rsidRPr="0022269B">
        <w:rPr>
          <w:rFonts w:eastAsia="SimSun"/>
          <w:lang w:val="en-GB" w:eastAsia="zh-CN"/>
        </w:rPr>
        <w:t xml:space="preserve"> (b), of the Convention, as the complainant </w:t>
      </w:r>
      <w:r w:rsidR="007A3AAD" w:rsidRPr="0022269B">
        <w:rPr>
          <w:lang w:val="en-GB"/>
        </w:rPr>
        <w:t>failed to pursue with due diligence his application for leave to apply for</w:t>
      </w:r>
      <w:r w:rsidR="00E41813">
        <w:rPr>
          <w:lang w:val="en-GB"/>
        </w:rPr>
        <w:t xml:space="preserve"> a</w:t>
      </w:r>
      <w:r w:rsidR="007A3AAD" w:rsidRPr="0022269B">
        <w:rPr>
          <w:lang w:val="en-GB"/>
        </w:rPr>
        <w:t xml:space="preserve"> judicial review of the 18 October 2013 decision</w:t>
      </w:r>
      <w:r w:rsidR="00537478">
        <w:rPr>
          <w:lang w:val="en-GB"/>
        </w:rPr>
        <w:t xml:space="preserve"> by the </w:t>
      </w:r>
      <w:r w:rsidR="00537478" w:rsidRPr="00464EAE">
        <w:rPr>
          <w:lang w:val="en-GB"/>
        </w:rPr>
        <w:t>Refugee Appeal Division</w:t>
      </w:r>
      <w:r w:rsidR="007A3AAD" w:rsidRPr="0022269B">
        <w:rPr>
          <w:lang w:val="en-GB"/>
        </w:rPr>
        <w:t xml:space="preserve"> dismissing his appeal against the 21 June 2013 decisions of the </w:t>
      </w:r>
      <w:r w:rsidR="002A58BF" w:rsidRPr="001E1CDD">
        <w:rPr>
          <w:lang w:val="en-GB"/>
        </w:rPr>
        <w:t>Refugee Protection Division</w:t>
      </w:r>
      <w:r w:rsidR="007A3AAD" w:rsidRPr="0022269B">
        <w:rPr>
          <w:lang w:val="en-GB"/>
        </w:rPr>
        <w:t>. The Committee</w:t>
      </w:r>
      <w:r w:rsidR="007A3AAD" w:rsidRPr="0022269B">
        <w:rPr>
          <w:rFonts w:eastAsia="SimSun"/>
          <w:lang w:val="en-GB" w:eastAsia="zh-CN"/>
        </w:rPr>
        <w:t xml:space="preserve"> notes that the complainant had </w:t>
      </w:r>
      <w:r w:rsidR="007A3AAD" w:rsidRPr="0022269B">
        <w:rPr>
          <w:lang w:val="en-GB"/>
        </w:rPr>
        <w:t xml:space="preserve">applied for leave for </w:t>
      </w:r>
      <w:r w:rsidR="00E41813">
        <w:rPr>
          <w:lang w:val="en-GB"/>
        </w:rPr>
        <w:t xml:space="preserve">a </w:t>
      </w:r>
      <w:r w:rsidR="007A3AAD" w:rsidRPr="0022269B">
        <w:rPr>
          <w:lang w:val="en-GB"/>
        </w:rPr>
        <w:t xml:space="preserve">judicial review of the </w:t>
      </w:r>
      <w:r w:rsidR="00537478" w:rsidRPr="00464EAE">
        <w:rPr>
          <w:lang w:val="en-GB"/>
        </w:rPr>
        <w:t>Refugee Appeal Division</w:t>
      </w:r>
      <w:r w:rsidR="007A3AAD" w:rsidRPr="0022269B">
        <w:rPr>
          <w:lang w:val="en-GB"/>
        </w:rPr>
        <w:t xml:space="preserve">’s decision on 5 December 2013, but that it was denied because of the complainant’s failure to file the required materials. The Committee further notes that the complainant </w:t>
      </w:r>
      <w:r w:rsidR="007A3AAD" w:rsidRPr="0022269B">
        <w:rPr>
          <w:rFonts w:eastAsia="SimSun"/>
          <w:lang w:val="en-GB" w:eastAsia="zh-CN"/>
        </w:rPr>
        <w:t>does not challenge the effectiveness of the remedy of judicial review of the decision, nor does he provide an explanation as to why he did not file the required documents on time, although he had an opportunity to do so. The Committee further notes that the complainant has not argued that he was represented by a State-appointed lawyer at the relevant time</w:t>
      </w:r>
      <w:r w:rsidR="00307C79">
        <w:rPr>
          <w:rFonts w:eastAsia="SimSun"/>
          <w:lang w:val="en-GB" w:eastAsia="zh-CN"/>
        </w:rPr>
        <w:t>,</w:t>
      </w:r>
      <w:r w:rsidR="007A3AAD" w:rsidRPr="0022269B">
        <w:rPr>
          <w:rFonts w:eastAsia="SimSun"/>
          <w:lang w:val="en-GB" w:eastAsia="zh-CN"/>
        </w:rPr>
        <w:t xml:space="preserve"> recalls that errors made by a privately retained lawyer cannot normally be attributed to the State party</w:t>
      </w:r>
      <w:r w:rsidR="00C34686" w:rsidRPr="0022269B">
        <w:rPr>
          <w:rStyle w:val="FootnoteReference"/>
          <w:rFonts w:eastAsia="SimSun" w:cs="Tms Rmn"/>
          <w:lang w:val="en-GB" w:eastAsia="zh-CN"/>
        </w:rPr>
        <w:footnoteReference w:id="43"/>
      </w:r>
      <w:r w:rsidR="007A3AAD" w:rsidRPr="0022269B">
        <w:rPr>
          <w:rFonts w:eastAsia="SimSun"/>
          <w:lang w:val="en-GB" w:eastAsia="zh-CN"/>
        </w:rPr>
        <w:t xml:space="preserve"> and concludes that the complainant has failed to advance sufficient elements </w:t>
      </w:r>
      <w:r w:rsidR="00307C79">
        <w:rPr>
          <w:rFonts w:eastAsia="SimSun"/>
          <w:lang w:val="en-GB" w:eastAsia="zh-CN"/>
        </w:rPr>
        <w:t>to</w:t>
      </w:r>
      <w:r w:rsidR="007A3AAD" w:rsidRPr="0022269B">
        <w:rPr>
          <w:rFonts w:eastAsia="SimSun"/>
          <w:lang w:val="en-GB" w:eastAsia="zh-CN"/>
        </w:rPr>
        <w:t xml:space="preserve"> justify his failure to complete his application for </w:t>
      </w:r>
      <w:r w:rsidR="00307C79">
        <w:rPr>
          <w:rFonts w:eastAsia="SimSun"/>
          <w:lang w:val="en-GB" w:eastAsia="zh-CN"/>
        </w:rPr>
        <w:t xml:space="preserve">a </w:t>
      </w:r>
      <w:r w:rsidR="007A3AAD" w:rsidRPr="0022269B">
        <w:rPr>
          <w:rFonts w:eastAsia="SimSun"/>
          <w:lang w:val="en-GB" w:eastAsia="zh-CN"/>
        </w:rPr>
        <w:t xml:space="preserve">judicial review of </w:t>
      </w:r>
      <w:r w:rsidR="00537478">
        <w:rPr>
          <w:rFonts w:eastAsia="SimSun"/>
          <w:lang w:val="en-GB" w:eastAsia="zh-CN"/>
        </w:rPr>
        <w:t>the</w:t>
      </w:r>
      <w:r w:rsidR="00537478" w:rsidRPr="0022269B">
        <w:rPr>
          <w:rFonts w:eastAsia="SimSun"/>
          <w:lang w:val="en-GB" w:eastAsia="zh-CN"/>
        </w:rPr>
        <w:t xml:space="preserve"> </w:t>
      </w:r>
      <w:r w:rsidR="007A3AAD" w:rsidRPr="0022269B">
        <w:rPr>
          <w:rFonts w:eastAsia="SimSun"/>
          <w:lang w:val="en-GB" w:eastAsia="zh-CN"/>
        </w:rPr>
        <w:t>decision</w:t>
      </w:r>
      <w:r w:rsidR="00537478">
        <w:rPr>
          <w:rFonts w:eastAsia="SimSun"/>
          <w:lang w:val="en-GB" w:eastAsia="zh-CN"/>
        </w:rPr>
        <w:t xml:space="preserve"> by the </w:t>
      </w:r>
      <w:r w:rsidR="00537478" w:rsidRPr="00464EAE">
        <w:rPr>
          <w:lang w:val="en-GB"/>
        </w:rPr>
        <w:t>Refugee Appeal Division</w:t>
      </w:r>
      <w:r w:rsidR="00537478">
        <w:rPr>
          <w:lang w:val="en-GB"/>
        </w:rPr>
        <w:t xml:space="preserve"> in his case</w:t>
      </w:r>
      <w:r w:rsidR="007A3AAD" w:rsidRPr="0022269B">
        <w:rPr>
          <w:rFonts w:eastAsia="SimSun"/>
          <w:lang w:val="en-GB" w:eastAsia="zh-CN"/>
        </w:rPr>
        <w:t>.</w:t>
      </w:r>
      <w:r w:rsidR="00537478">
        <w:rPr>
          <w:rFonts w:eastAsia="SimSun"/>
          <w:lang w:val="en-GB" w:eastAsia="zh-CN"/>
        </w:rPr>
        <w:t xml:space="preserve"> </w:t>
      </w:r>
      <w:r w:rsidR="007A3AAD" w:rsidRPr="0022269B">
        <w:rPr>
          <w:rFonts w:eastAsia="SimSun"/>
          <w:lang w:val="en-GB" w:eastAsia="zh-CN"/>
        </w:rPr>
        <w:t>The Committee observes</w:t>
      </w:r>
      <w:r w:rsidR="00307C79">
        <w:rPr>
          <w:rFonts w:eastAsia="SimSun"/>
          <w:lang w:val="en-GB" w:eastAsia="zh-CN"/>
        </w:rPr>
        <w:t xml:space="preserve"> that</w:t>
      </w:r>
      <w:r w:rsidR="007A3AAD" w:rsidRPr="0022269B">
        <w:rPr>
          <w:rFonts w:eastAsia="SimSun"/>
          <w:lang w:val="en-GB" w:eastAsia="zh-CN"/>
        </w:rPr>
        <w:t xml:space="preserve"> the complainant failed to diligently exhaust the remedy with respect to th</w:t>
      </w:r>
      <w:r w:rsidR="00307C79">
        <w:rPr>
          <w:rFonts w:eastAsia="SimSun"/>
          <w:lang w:val="en-GB" w:eastAsia="zh-CN"/>
        </w:rPr>
        <w:t>at</w:t>
      </w:r>
      <w:r w:rsidR="007A3AAD" w:rsidRPr="0022269B">
        <w:rPr>
          <w:rFonts w:eastAsia="SimSun"/>
          <w:lang w:val="en-GB" w:eastAsia="zh-CN"/>
        </w:rPr>
        <w:t xml:space="preserve"> negative decision. In the present case, the Committee does not consider that application for leave to apply for </w:t>
      </w:r>
      <w:r w:rsidR="00307C79">
        <w:rPr>
          <w:rFonts w:eastAsia="SimSun"/>
          <w:lang w:val="en-GB" w:eastAsia="zh-CN"/>
        </w:rPr>
        <w:t xml:space="preserve">a </w:t>
      </w:r>
      <w:r w:rsidR="007A3AAD" w:rsidRPr="0022269B">
        <w:rPr>
          <w:rFonts w:eastAsia="SimSun"/>
          <w:lang w:val="en-GB" w:eastAsia="zh-CN"/>
        </w:rPr>
        <w:t xml:space="preserve">judicial review of </w:t>
      </w:r>
      <w:r w:rsidR="00537478">
        <w:rPr>
          <w:rFonts w:eastAsia="SimSun"/>
          <w:lang w:val="en-GB" w:eastAsia="zh-CN"/>
        </w:rPr>
        <w:t>the</w:t>
      </w:r>
      <w:r w:rsidR="00537478" w:rsidRPr="0022269B">
        <w:rPr>
          <w:rFonts w:eastAsia="SimSun"/>
          <w:lang w:val="en-GB" w:eastAsia="zh-CN"/>
        </w:rPr>
        <w:t xml:space="preserve"> </w:t>
      </w:r>
      <w:r w:rsidR="007A3AAD" w:rsidRPr="0022269B">
        <w:rPr>
          <w:rFonts w:eastAsia="SimSun"/>
          <w:lang w:val="en-GB" w:eastAsia="zh-CN"/>
        </w:rPr>
        <w:t xml:space="preserve">decision would have been an ineffective remedy in the </w:t>
      </w:r>
      <w:r w:rsidR="007A3AAD" w:rsidRPr="0022269B">
        <w:rPr>
          <w:rFonts w:eastAsia="SimSun"/>
          <w:lang w:val="en-GB" w:eastAsia="zh-CN"/>
        </w:rPr>
        <w:lastRenderedPageBreak/>
        <w:t>complainant’s case, in the absence of any particular circumstances adduced by him in support of such an assumption.</w:t>
      </w:r>
      <w:r w:rsidR="00C34686" w:rsidRPr="0022269B">
        <w:rPr>
          <w:rStyle w:val="FootnoteReference"/>
          <w:rFonts w:eastAsia="SimSun" w:cs="Tms Rmn"/>
          <w:lang w:val="en-GB" w:eastAsia="zh-CN"/>
        </w:rPr>
        <w:footnoteReference w:id="44"/>
      </w:r>
    </w:p>
    <w:p w14:paraId="4A90E7EB" w14:textId="77777777" w:rsidR="007A3AAD" w:rsidRPr="0022269B" w:rsidRDefault="00621A61" w:rsidP="003C00CB">
      <w:pPr>
        <w:pStyle w:val="SingleTxtG"/>
        <w:rPr>
          <w:rFonts w:eastAsia="SimSun"/>
        </w:rPr>
      </w:pPr>
      <w:r w:rsidRPr="0022269B">
        <w:rPr>
          <w:rFonts w:eastAsia="SimSun"/>
          <w:lang w:val="en-GB" w:eastAsia="zh-CN"/>
        </w:rPr>
        <w:t>7</w:t>
      </w:r>
      <w:r w:rsidR="007A3AAD" w:rsidRPr="0022269B">
        <w:rPr>
          <w:rFonts w:eastAsia="SimSun"/>
          <w:lang w:val="en-GB" w:eastAsia="zh-CN"/>
        </w:rPr>
        <w:t>.4</w:t>
      </w:r>
      <w:r w:rsidR="007A3AAD" w:rsidRPr="0022269B">
        <w:rPr>
          <w:rFonts w:eastAsia="SimSun"/>
          <w:lang w:val="en-GB" w:eastAsia="zh-CN"/>
        </w:rPr>
        <w:tab/>
        <w:t>The Committee is therefore of the view that domestic remedies have not been exhausted in accordance with article 22</w:t>
      </w:r>
      <w:r w:rsidR="003C00CB">
        <w:rPr>
          <w:rFonts w:eastAsia="SimSun"/>
          <w:lang w:val="en-GB" w:eastAsia="zh-CN"/>
        </w:rPr>
        <w:t xml:space="preserve"> (</w:t>
      </w:r>
      <w:r w:rsidR="007A3AAD" w:rsidRPr="0022269B">
        <w:rPr>
          <w:rFonts w:eastAsia="SimSun"/>
          <w:lang w:val="en-GB" w:eastAsia="zh-CN"/>
        </w:rPr>
        <w:t>5</w:t>
      </w:r>
      <w:r w:rsidR="003C00CB">
        <w:rPr>
          <w:rFonts w:eastAsia="SimSun"/>
          <w:lang w:val="en-GB" w:eastAsia="zh-CN"/>
        </w:rPr>
        <w:t>)</w:t>
      </w:r>
      <w:r w:rsidR="007A3AAD" w:rsidRPr="0022269B">
        <w:rPr>
          <w:rFonts w:eastAsia="SimSun"/>
          <w:lang w:val="en-GB" w:eastAsia="zh-CN"/>
        </w:rPr>
        <w:t xml:space="preserve"> (b), of the Convention.</w:t>
      </w:r>
    </w:p>
    <w:p w14:paraId="341E026E" w14:textId="77777777" w:rsidR="007A3AAD" w:rsidRPr="0022269B" w:rsidRDefault="00621A61">
      <w:pPr>
        <w:pStyle w:val="SingleTxtG"/>
        <w:rPr>
          <w:rFonts w:eastAsia="SimSun"/>
        </w:rPr>
      </w:pPr>
      <w:r w:rsidRPr="0022269B">
        <w:rPr>
          <w:rFonts w:eastAsia="SimSun"/>
          <w:lang w:val="en-GB" w:eastAsia="zh-CN"/>
        </w:rPr>
        <w:t>8</w:t>
      </w:r>
      <w:r w:rsidR="007A3AAD" w:rsidRPr="0022269B">
        <w:rPr>
          <w:rFonts w:eastAsia="SimSun"/>
          <w:lang w:val="en-GB" w:eastAsia="zh-CN"/>
        </w:rPr>
        <w:t>.</w:t>
      </w:r>
      <w:r w:rsidR="007A3AAD" w:rsidRPr="0022269B">
        <w:rPr>
          <w:rFonts w:eastAsia="SimSun"/>
          <w:lang w:val="en-GB" w:eastAsia="zh-CN"/>
        </w:rPr>
        <w:tab/>
        <w:t>Accordingly, the Committee decides:</w:t>
      </w:r>
    </w:p>
    <w:p w14:paraId="7E500A8D" w14:textId="77777777" w:rsidR="007A3AAD" w:rsidRPr="0022269B" w:rsidRDefault="007A3AAD">
      <w:pPr>
        <w:pStyle w:val="SingleTxtG"/>
        <w:rPr>
          <w:rFonts w:eastAsia="SimSun"/>
        </w:rPr>
      </w:pPr>
      <w:r w:rsidRPr="0022269B">
        <w:rPr>
          <w:rFonts w:eastAsia="SimSun"/>
          <w:lang w:val="en-GB" w:eastAsia="zh-CN"/>
        </w:rPr>
        <w:tab/>
        <w:t>(a)</w:t>
      </w:r>
      <w:r w:rsidRPr="0022269B">
        <w:rPr>
          <w:rFonts w:eastAsia="SimSun"/>
          <w:lang w:val="en-GB" w:eastAsia="zh-CN"/>
        </w:rPr>
        <w:tab/>
        <w:t>That the communication is inadmissible;</w:t>
      </w:r>
    </w:p>
    <w:p w14:paraId="5FB1C632" w14:textId="77777777" w:rsidR="007A3AAD" w:rsidRPr="005662FF" w:rsidRDefault="007A3AAD">
      <w:pPr>
        <w:pStyle w:val="SingleTxtG"/>
      </w:pPr>
      <w:r w:rsidRPr="0022269B">
        <w:rPr>
          <w:rFonts w:eastAsia="SimSun"/>
          <w:lang w:val="en-GB" w:eastAsia="zh-CN"/>
        </w:rPr>
        <w:tab/>
        <w:t>(b)</w:t>
      </w:r>
      <w:r w:rsidRPr="0022269B">
        <w:rPr>
          <w:rFonts w:eastAsia="SimSun"/>
          <w:lang w:val="en-GB" w:eastAsia="zh-CN"/>
        </w:rPr>
        <w:tab/>
        <w:t>That this decision shall be communicated to the State party and to the complainant.</w:t>
      </w:r>
    </w:p>
    <w:p w14:paraId="420D597C" w14:textId="77777777" w:rsidR="0065411B" w:rsidRPr="005662FF" w:rsidRDefault="003273AE" w:rsidP="003273AE">
      <w:pPr>
        <w:pStyle w:val="SingleTxtG"/>
        <w:spacing w:before="240" w:after="0"/>
        <w:jc w:val="center"/>
        <w:rPr>
          <w:u w:val="single"/>
          <w:lang w:val="en-GB"/>
        </w:rPr>
      </w:pPr>
      <w:r w:rsidRPr="005662FF">
        <w:rPr>
          <w:u w:val="single"/>
          <w:lang w:val="en-GB"/>
        </w:rPr>
        <w:tab/>
      </w:r>
      <w:r w:rsidRPr="005662FF">
        <w:rPr>
          <w:u w:val="single"/>
          <w:lang w:val="en-GB"/>
        </w:rPr>
        <w:tab/>
      </w:r>
      <w:r w:rsidRPr="005662FF">
        <w:rPr>
          <w:u w:val="single"/>
          <w:lang w:val="en-GB"/>
        </w:rPr>
        <w:tab/>
      </w:r>
    </w:p>
    <w:sectPr w:rsidR="0065411B" w:rsidRPr="005662FF" w:rsidSect="00583B6D">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6-02-17T13:32:00Z" w:initials="Start">
    <w:p w14:paraId="1774D657" w14:textId="77777777" w:rsidR="00583B6D" w:rsidRDefault="00583B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NO&gt;&gt;N1602819E&lt;&lt;ODS JOB NO&gt;&gt;</w:t>
      </w:r>
    </w:p>
    <w:p w14:paraId="784F9873" w14:textId="77777777" w:rsidR="00583B6D" w:rsidRDefault="00583B6D">
      <w:pPr>
        <w:pStyle w:val="CommentText"/>
      </w:pPr>
      <w:r>
        <w:t>&lt;&lt;ODS DOC SYMBOL1&gt;&gt;CAT/C/56/D/604/2014&lt;&lt;ODS DOC SYMBOL1&gt;&gt;</w:t>
      </w:r>
    </w:p>
    <w:p w14:paraId="2098739B" w14:textId="77777777" w:rsidR="00583B6D" w:rsidRDefault="00583B6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873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612A3" w14:textId="77777777" w:rsidR="00AB6EFC" w:rsidRDefault="00AB6EFC"/>
  </w:endnote>
  <w:endnote w:type="continuationSeparator" w:id="0">
    <w:p w14:paraId="056B191D" w14:textId="77777777" w:rsidR="00AB6EFC" w:rsidRDefault="00AB6EFC"/>
  </w:endnote>
  <w:endnote w:type="continuationNotice" w:id="1">
    <w:p w14:paraId="6EDD97EC" w14:textId="77777777" w:rsidR="00AB6EFC" w:rsidRDefault="00AB6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8D7D" w14:textId="77777777" w:rsidR="00E50635" w:rsidRPr="00116B35" w:rsidRDefault="00E50635"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D5720B">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8BC85" w14:textId="77777777" w:rsidR="00E50635" w:rsidRPr="00116B35" w:rsidRDefault="00E50635"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D5720B">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583B6D" w14:paraId="48313ECB" w14:textId="77777777" w:rsidTr="00583B6D">
      <w:tc>
        <w:tcPr>
          <w:tcW w:w="3758" w:type="dxa"/>
          <w:shd w:val="clear" w:color="auto" w:fill="auto"/>
        </w:tcPr>
        <w:p w14:paraId="4E40B4F6" w14:textId="77777777" w:rsidR="00583B6D" w:rsidRDefault="00583B6D" w:rsidP="00583B6D">
          <w:pPr>
            <w:pStyle w:val="Footer"/>
            <w:rPr>
              <w:sz w:val="20"/>
            </w:rPr>
          </w:pPr>
          <w:r>
            <w:rPr>
              <w:noProof/>
              <w:sz w:val="20"/>
              <w:lang w:val="en-US"/>
            </w:rPr>
            <w:drawing>
              <wp:anchor distT="0" distB="0" distL="114300" distR="114300" simplePos="0" relativeHeight="251658240" behindDoc="0" locked="0" layoutInCell="1" allowOverlap="1" wp14:anchorId="01F924B9" wp14:editId="4E0280AF">
                <wp:simplePos x="0" y="0"/>
                <wp:positionH relativeFrom="column">
                  <wp:posOffset>5605145</wp:posOffset>
                </wp:positionH>
                <wp:positionV relativeFrom="paragraph">
                  <wp:posOffset>-365760</wp:posOffset>
                </wp:positionV>
                <wp:extent cx="694690" cy="694690"/>
                <wp:effectExtent l="0" t="0" r="0" b="0"/>
                <wp:wrapNone/>
                <wp:docPr id="2" name="Picture 2" descr="http://undocs.org/m2/QRCode2.ashx?DS=CAT/C/56/D/604/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2.ashx?DS=CAT/C/56/D/604/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GE.16-02286(E)</w:t>
          </w:r>
        </w:p>
        <w:p w14:paraId="236B2CD1" w14:textId="77777777" w:rsidR="00583B6D" w:rsidRPr="00583B6D" w:rsidRDefault="00583B6D" w:rsidP="00583B6D">
          <w:pPr>
            <w:pStyle w:val="Footer"/>
            <w:rPr>
              <w:rFonts w:ascii="Barcode 3 of 9 by request" w:hAnsi="Barcode 3 of 9 by request"/>
              <w:sz w:val="24"/>
            </w:rPr>
          </w:pPr>
          <w:r>
            <w:rPr>
              <w:rFonts w:ascii="Barcode 3 of 9 by request" w:hAnsi="Barcode 3 of 9 by request"/>
              <w:sz w:val="24"/>
            </w:rPr>
            <w:t>*1602286*</w:t>
          </w:r>
        </w:p>
      </w:tc>
      <w:tc>
        <w:tcPr>
          <w:tcW w:w="4928" w:type="dxa"/>
          <w:shd w:val="clear" w:color="auto" w:fill="auto"/>
        </w:tcPr>
        <w:p w14:paraId="61A31388" w14:textId="77777777" w:rsidR="00583B6D" w:rsidRDefault="00583B6D" w:rsidP="00583B6D">
          <w:pPr>
            <w:pStyle w:val="Footer"/>
            <w:spacing w:line="240" w:lineRule="atLeast"/>
            <w:jc w:val="right"/>
            <w:rPr>
              <w:sz w:val="20"/>
            </w:rPr>
          </w:pPr>
          <w:r>
            <w:rPr>
              <w:noProof/>
              <w:sz w:val="20"/>
              <w:lang w:val="en-US"/>
            </w:rPr>
            <w:drawing>
              <wp:inline distT="0" distB="0" distL="0" distR="0" wp14:anchorId="510F8B3F" wp14:editId="5C5DE047">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2442CB4A" w14:textId="77777777" w:rsidR="00583B6D" w:rsidRPr="00583B6D" w:rsidRDefault="00583B6D" w:rsidP="00583B6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3E565" w14:textId="77777777" w:rsidR="00AB6EFC" w:rsidRPr="000B175B" w:rsidRDefault="00AB6EFC" w:rsidP="004876DE">
      <w:pPr>
        <w:tabs>
          <w:tab w:val="right" w:pos="2155"/>
        </w:tabs>
        <w:spacing w:after="80"/>
        <w:ind w:left="680"/>
        <w:rPr>
          <w:u w:val="single"/>
        </w:rPr>
      </w:pPr>
      <w:r>
        <w:rPr>
          <w:u w:val="single"/>
        </w:rPr>
        <w:tab/>
      </w:r>
    </w:p>
  </w:footnote>
  <w:footnote w:type="continuationSeparator" w:id="0">
    <w:p w14:paraId="32BB2CDB" w14:textId="77777777" w:rsidR="00AB6EFC" w:rsidRPr="00FC68B7" w:rsidRDefault="00AB6EFC" w:rsidP="004876DE">
      <w:pPr>
        <w:tabs>
          <w:tab w:val="left" w:pos="2155"/>
        </w:tabs>
        <w:spacing w:after="80"/>
        <w:ind w:left="680"/>
        <w:rPr>
          <w:u w:val="single"/>
        </w:rPr>
      </w:pPr>
      <w:r>
        <w:rPr>
          <w:u w:val="single"/>
        </w:rPr>
        <w:tab/>
      </w:r>
    </w:p>
  </w:footnote>
  <w:footnote w:type="continuationNotice" w:id="1">
    <w:p w14:paraId="1B869A38" w14:textId="77777777" w:rsidR="00AB6EFC" w:rsidRDefault="00AB6EFC"/>
  </w:footnote>
  <w:footnote w:id="2">
    <w:p w14:paraId="1871EF51" w14:textId="77777777" w:rsidR="00E50635" w:rsidRDefault="00E50635" w:rsidP="0022269B">
      <w:pPr>
        <w:pStyle w:val="FootnoteText"/>
        <w:ind w:left="1170" w:hanging="1170"/>
        <w:rPr>
          <w:lang w:val="en-GB"/>
        </w:rPr>
      </w:pPr>
      <w:r>
        <w:rPr>
          <w:rStyle w:val="FootnoteReference"/>
          <w:sz w:val="20"/>
        </w:rPr>
        <w:tab/>
      </w:r>
      <w:r w:rsidRPr="005662FF">
        <w:rPr>
          <w:rStyle w:val="FootnoteReference"/>
          <w:sz w:val="20"/>
          <w:vertAlign w:val="baseline"/>
        </w:rPr>
        <w:t>*</w:t>
      </w:r>
      <w:bookmarkStart w:id="2" w:name="OLE_LINK1"/>
      <w:bookmarkStart w:id="3" w:name="OLE_LINK2"/>
      <w:r w:rsidRPr="005662FF">
        <w:rPr>
          <w:rStyle w:val="FootnoteReference"/>
          <w:sz w:val="20"/>
          <w:vertAlign w:val="baseline"/>
        </w:rPr>
        <w:tab/>
      </w:r>
      <w:r>
        <w:t>The following members of the Committee participated in the examination of the present communication:</w:t>
      </w:r>
      <w:bookmarkEnd w:id="2"/>
      <w:bookmarkEnd w:id="3"/>
      <w:r>
        <w:t xml:space="preserve"> Alessio Bruni, Satyabhoosun Gupt Domah, Abdoulaye Gaye, Sapana Pradhan-Malla, </w:t>
      </w:r>
      <w:r>
        <w:rPr>
          <w:bCs/>
        </w:rPr>
        <w:t xml:space="preserve">Jens Modvig, George Tugushi and </w:t>
      </w:r>
      <w:r>
        <w:t>Kening Zhang.</w:t>
      </w:r>
    </w:p>
  </w:footnote>
  <w:footnote w:id="3">
    <w:p w14:paraId="65F6C300" w14:textId="77777777" w:rsidR="00E50635" w:rsidRPr="00621A61"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r>
      <w:r w:rsidRPr="00621A61">
        <w:rPr>
          <w:szCs w:val="18"/>
          <w:lang w:val="en-GB"/>
        </w:rPr>
        <w:t>The complainant refers to</w:t>
      </w:r>
      <w:r>
        <w:rPr>
          <w:szCs w:val="18"/>
          <w:lang w:val="en-GB"/>
        </w:rPr>
        <w:t xml:space="preserve"> the</w:t>
      </w:r>
      <w:r w:rsidRPr="00621A61">
        <w:rPr>
          <w:szCs w:val="18"/>
          <w:lang w:val="en-GB"/>
        </w:rPr>
        <w:t xml:space="preserve"> </w:t>
      </w:r>
      <w:r w:rsidRPr="00621A61">
        <w:rPr>
          <w:color w:val="000000"/>
          <w:szCs w:val="18"/>
          <w:lang w:val="en-CA"/>
        </w:rPr>
        <w:t xml:space="preserve">Immigration and Refugee Board of Canada </w:t>
      </w:r>
      <w:r w:rsidRPr="00621A61">
        <w:rPr>
          <w:bCs/>
          <w:color w:val="000000"/>
          <w:szCs w:val="18"/>
        </w:rPr>
        <w:t>Response to Information Request</w:t>
      </w:r>
      <w:r>
        <w:rPr>
          <w:color w:val="000000"/>
          <w:szCs w:val="18"/>
          <w:lang w:val="en-CA"/>
        </w:rPr>
        <w:t xml:space="preserve"> entitled</w:t>
      </w:r>
      <w:r w:rsidRPr="00621A61">
        <w:rPr>
          <w:color w:val="000000"/>
          <w:szCs w:val="18"/>
          <w:lang w:val="en-CA"/>
        </w:rPr>
        <w:t xml:space="preserve"> “</w:t>
      </w:r>
      <w:r w:rsidRPr="00621A61">
        <w:rPr>
          <w:color w:val="000000"/>
          <w:szCs w:val="18"/>
        </w:rPr>
        <w:t>Pakistan: Treatment of failed refugee claimants in Pakistan” (</w:t>
      </w:r>
      <w:r>
        <w:rPr>
          <w:color w:val="000000"/>
          <w:szCs w:val="18"/>
        </w:rPr>
        <w:t xml:space="preserve">2 </w:t>
      </w:r>
      <w:r w:rsidRPr="00621A61">
        <w:rPr>
          <w:color w:val="000000"/>
          <w:szCs w:val="18"/>
        </w:rPr>
        <w:t>December 2008)</w:t>
      </w:r>
      <w:r w:rsidRPr="00621A61">
        <w:rPr>
          <w:bCs/>
          <w:color w:val="000000"/>
          <w:szCs w:val="18"/>
        </w:rPr>
        <w:t>,</w:t>
      </w:r>
      <w:r w:rsidRPr="00621A61">
        <w:rPr>
          <w:color w:val="000000"/>
          <w:szCs w:val="18"/>
          <w:lang w:val="en-CA"/>
        </w:rPr>
        <w:t xml:space="preserve"> available at: </w:t>
      </w:r>
      <w:r w:rsidRPr="00621A61">
        <w:rPr>
          <w:color w:val="000000"/>
          <w:szCs w:val="18"/>
        </w:rPr>
        <w:t>www.justice.gov/sites/default/files/eoir/legacy/2014/03/04/PAK102974.E.pdf</w:t>
      </w:r>
      <w:r w:rsidRPr="00621A61">
        <w:rPr>
          <w:color w:val="000000"/>
          <w:szCs w:val="18"/>
          <w:lang w:val="en-CA"/>
        </w:rPr>
        <w:t>.</w:t>
      </w:r>
      <w:r w:rsidRPr="00621A61">
        <w:rPr>
          <w:szCs w:val="18"/>
        </w:rPr>
        <w:t xml:space="preserve"> </w:t>
      </w:r>
    </w:p>
  </w:footnote>
  <w:footnote w:id="4">
    <w:p w14:paraId="46A3C944" w14:textId="77777777" w:rsidR="00E50635" w:rsidRPr="00621A61"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Pr>
          <w:szCs w:val="18"/>
          <w:lang w:val="en-GB"/>
        </w:rPr>
        <w:tab/>
      </w:r>
      <w:r w:rsidRPr="00621A61">
        <w:rPr>
          <w:szCs w:val="18"/>
          <w:lang w:val="en-GB"/>
        </w:rPr>
        <w:t xml:space="preserve">See </w:t>
      </w:r>
      <w:r>
        <w:rPr>
          <w:szCs w:val="18"/>
          <w:lang w:val="en-GB"/>
        </w:rPr>
        <w:t xml:space="preserve">Canada, </w:t>
      </w:r>
      <w:r w:rsidRPr="00621A61">
        <w:rPr>
          <w:szCs w:val="18"/>
        </w:rPr>
        <w:t>Immigration and Refugee Protection Act</w:t>
      </w:r>
      <w:r>
        <w:rPr>
          <w:szCs w:val="18"/>
        </w:rPr>
        <w:t>,</w:t>
      </w:r>
      <w:r w:rsidRPr="00621A61">
        <w:rPr>
          <w:szCs w:val="18"/>
        </w:rPr>
        <w:t xml:space="preserve"> </w:t>
      </w:r>
      <w:r w:rsidRPr="00621A61">
        <w:rPr>
          <w:szCs w:val="18"/>
          <w:lang w:val="en-GB"/>
        </w:rPr>
        <w:t>section 97</w:t>
      </w:r>
      <w:r>
        <w:rPr>
          <w:szCs w:val="18"/>
          <w:lang w:val="en-GB"/>
        </w:rPr>
        <w:t>.</w:t>
      </w:r>
      <w:r w:rsidRPr="00621A61">
        <w:rPr>
          <w:szCs w:val="18"/>
        </w:rPr>
        <w:t xml:space="preserve"> </w:t>
      </w:r>
    </w:p>
  </w:footnote>
  <w:footnote w:id="5">
    <w:p w14:paraId="146D0F9F" w14:textId="77777777" w:rsidR="00E50635" w:rsidRPr="00621A61"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r>
      <w:r>
        <w:rPr>
          <w:szCs w:val="18"/>
        </w:rPr>
        <w:t>Ibid.</w:t>
      </w:r>
      <w:r w:rsidRPr="00621A61">
        <w:rPr>
          <w:szCs w:val="18"/>
        </w:rPr>
        <w:t>, s</w:t>
      </w:r>
      <w:r>
        <w:rPr>
          <w:szCs w:val="18"/>
        </w:rPr>
        <w:t>ection</w:t>
      </w:r>
      <w:r w:rsidRPr="00621A61">
        <w:rPr>
          <w:szCs w:val="18"/>
        </w:rPr>
        <w:t xml:space="preserve"> 110</w:t>
      </w:r>
      <w:r>
        <w:rPr>
          <w:szCs w:val="18"/>
        </w:rPr>
        <w:t xml:space="preserve"> </w:t>
      </w:r>
      <w:r w:rsidRPr="00621A61">
        <w:rPr>
          <w:szCs w:val="18"/>
        </w:rPr>
        <w:t xml:space="preserve">(2). </w:t>
      </w:r>
      <w:r w:rsidRPr="00621A61">
        <w:rPr>
          <w:color w:val="000000"/>
          <w:szCs w:val="18"/>
        </w:rPr>
        <w:t xml:space="preserve">No appeal is available </w:t>
      </w:r>
      <w:r>
        <w:rPr>
          <w:color w:val="000000"/>
          <w:szCs w:val="18"/>
        </w:rPr>
        <w:t>for</w:t>
      </w:r>
      <w:r w:rsidRPr="00621A61">
        <w:rPr>
          <w:color w:val="000000"/>
          <w:szCs w:val="18"/>
        </w:rPr>
        <w:t xml:space="preserve"> decisions</w:t>
      </w:r>
      <w:r>
        <w:rPr>
          <w:color w:val="000000"/>
          <w:szCs w:val="18"/>
        </w:rPr>
        <w:t xml:space="preserve"> by the </w:t>
      </w:r>
      <w:r w:rsidRPr="001E1CDD">
        <w:rPr>
          <w:lang w:val="en-GB"/>
        </w:rPr>
        <w:t>Refugee Protection Division</w:t>
      </w:r>
      <w:r w:rsidRPr="00621A61">
        <w:rPr>
          <w:color w:val="000000"/>
          <w:szCs w:val="18"/>
        </w:rPr>
        <w:t xml:space="preserve"> in a number of prescribed instances.</w:t>
      </w:r>
      <w:r w:rsidRPr="00621A61">
        <w:rPr>
          <w:szCs w:val="18"/>
        </w:rPr>
        <w:t xml:space="preserve"> </w:t>
      </w:r>
    </w:p>
  </w:footnote>
  <w:footnote w:id="6">
    <w:p w14:paraId="36FCF90A" w14:textId="77777777" w:rsidR="00E50635" w:rsidRPr="00621A61"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r>
      <w:r>
        <w:rPr>
          <w:szCs w:val="18"/>
        </w:rPr>
        <w:t>Ibid.</w:t>
      </w:r>
      <w:r w:rsidRPr="00621A61">
        <w:rPr>
          <w:szCs w:val="18"/>
        </w:rPr>
        <w:t>, s</w:t>
      </w:r>
      <w:r>
        <w:rPr>
          <w:szCs w:val="18"/>
        </w:rPr>
        <w:t>ection</w:t>
      </w:r>
      <w:r w:rsidRPr="00621A61">
        <w:rPr>
          <w:szCs w:val="18"/>
        </w:rPr>
        <w:t xml:space="preserve"> 110</w:t>
      </w:r>
      <w:r>
        <w:rPr>
          <w:szCs w:val="18"/>
        </w:rPr>
        <w:t xml:space="preserve"> </w:t>
      </w:r>
      <w:r w:rsidRPr="00621A61">
        <w:rPr>
          <w:szCs w:val="18"/>
        </w:rPr>
        <w:t xml:space="preserve">(4). </w:t>
      </w:r>
    </w:p>
  </w:footnote>
  <w:footnote w:id="7">
    <w:p w14:paraId="21EAC9E7" w14:textId="77777777" w:rsidR="00E50635" w:rsidRPr="00621A61"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r>
      <w:r>
        <w:rPr>
          <w:szCs w:val="18"/>
        </w:rPr>
        <w:t>Ibid.</w:t>
      </w:r>
      <w:r w:rsidRPr="00621A61">
        <w:rPr>
          <w:szCs w:val="18"/>
        </w:rPr>
        <w:t>, s</w:t>
      </w:r>
      <w:r>
        <w:rPr>
          <w:szCs w:val="18"/>
        </w:rPr>
        <w:t>ections</w:t>
      </w:r>
      <w:r w:rsidRPr="00621A61">
        <w:rPr>
          <w:szCs w:val="18"/>
        </w:rPr>
        <w:t xml:space="preserve"> 110</w:t>
      </w:r>
      <w:r>
        <w:rPr>
          <w:szCs w:val="18"/>
        </w:rPr>
        <w:t xml:space="preserve"> </w:t>
      </w:r>
      <w:r w:rsidRPr="00621A61">
        <w:rPr>
          <w:szCs w:val="18"/>
        </w:rPr>
        <w:t>(3)</w:t>
      </w:r>
      <w:r>
        <w:rPr>
          <w:szCs w:val="18"/>
        </w:rPr>
        <w:t xml:space="preserve"> and</w:t>
      </w:r>
      <w:r w:rsidRPr="00621A61">
        <w:rPr>
          <w:szCs w:val="18"/>
        </w:rPr>
        <w:t xml:space="preserve"> 110</w:t>
      </w:r>
      <w:r>
        <w:rPr>
          <w:szCs w:val="18"/>
        </w:rPr>
        <w:t xml:space="preserve"> </w:t>
      </w:r>
      <w:r w:rsidRPr="00621A61">
        <w:rPr>
          <w:szCs w:val="18"/>
        </w:rPr>
        <w:t xml:space="preserve">(6). </w:t>
      </w:r>
    </w:p>
  </w:footnote>
  <w:footnote w:id="8">
    <w:p w14:paraId="47507185" w14:textId="77777777" w:rsidR="00E50635" w:rsidRPr="00621A61"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r>
      <w:r>
        <w:rPr>
          <w:szCs w:val="18"/>
        </w:rPr>
        <w:t>Ibid.</w:t>
      </w:r>
      <w:r w:rsidRPr="00621A61">
        <w:rPr>
          <w:szCs w:val="18"/>
        </w:rPr>
        <w:t>, s</w:t>
      </w:r>
      <w:r>
        <w:rPr>
          <w:szCs w:val="18"/>
        </w:rPr>
        <w:t>ections</w:t>
      </w:r>
      <w:r w:rsidRPr="00621A61">
        <w:rPr>
          <w:szCs w:val="18"/>
        </w:rPr>
        <w:t xml:space="preserve"> 110</w:t>
      </w:r>
      <w:r>
        <w:rPr>
          <w:szCs w:val="18"/>
        </w:rPr>
        <w:t xml:space="preserve"> </w:t>
      </w:r>
      <w:r w:rsidRPr="00621A61">
        <w:rPr>
          <w:szCs w:val="18"/>
        </w:rPr>
        <w:t>(3)</w:t>
      </w:r>
      <w:r>
        <w:rPr>
          <w:szCs w:val="18"/>
        </w:rPr>
        <w:t xml:space="preserve"> and</w:t>
      </w:r>
      <w:r w:rsidRPr="00621A61">
        <w:rPr>
          <w:szCs w:val="18"/>
        </w:rPr>
        <w:t xml:space="preserve"> 163;</w:t>
      </w:r>
      <w:r>
        <w:rPr>
          <w:szCs w:val="18"/>
        </w:rPr>
        <w:t xml:space="preserve"> and</w:t>
      </w:r>
      <w:r w:rsidRPr="00621A61">
        <w:rPr>
          <w:szCs w:val="18"/>
        </w:rPr>
        <w:t xml:space="preserve"> Immigration and Refugee Board of Canada, </w:t>
      </w:r>
      <w:r>
        <w:rPr>
          <w:szCs w:val="18"/>
        </w:rPr>
        <w:t>“</w:t>
      </w:r>
      <w:r w:rsidRPr="00621A61">
        <w:rPr>
          <w:szCs w:val="18"/>
        </w:rPr>
        <w:t>Designation of Three-Member Panels</w:t>
      </w:r>
      <w:r>
        <w:rPr>
          <w:szCs w:val="18"/>
        </w:rPr>
        <w:t>”</w:t>
      </w:r>
      <w:r w:rsidRPr="00621A61">
        <w:rPr>
          <w:szCs w:val="18"/>
        </w:rPr>
        <w:t xml:space="preserve">, </w:t>
      </w:r>
      <w:r>
        <w:rPr>
          <w:szCs w:val="18"/>
        </w:rPr>
        <w:t>available at</w:t>
      </w:r>
      <w:r w:rsidRPr="00621A61">
        <w:rPr>
          <w:szCs w:val="18"/>
        </w:rPr>
        <w:t xml:space="preserve">: </w:t>
      </w:r>
      <w:hyperlink r:id="rId1" w:history="1">
        <w:r w:rsidRPr="00503B6C">
          <w:rPr>
            <w:rStyle w:val="Hyperlink"/>
            <w:szCs w:val="18"/>
          </w:rPr>
          <w:t>www.irb-cisr.gc.ca/Eng/BoaCom/references/pol/pol/Pages/</w:t>
        </w:r>
        <w:r w:rsidRPr="00503B6C">
          <w:rPr>
            <w:rStyle w:val="Hyperlink"/>
            <w:szCs w:val="18"/>
          </w:rPr>
          <w:br/>
          <w:t>PolRadSar3MemCom.aspx</w:t>
        </w:r>
      </w:hyperlink>
      <w:r w:rsidRPr="00621A61">
        <w:rPr>
          <w:szCs w:val="18"/>
        </w:rPr>
        <w:t>.</w:t>
      </w:r>
      <w:r>
        <w:rPr>
          <w:szCs w:val="18"/>
        </w:rPr>
        <w:t xml:space="preserve"> </w:t>
      </w:r>
    </w:p>
  </w:footnote>
  <w:footnote w:id="9">
    <w:p w14:paraId="741FC38B" w14:textId="77777777" w:rsidR="00E50635" w:rsidRPr="0022269B"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r>
      <w:r>
        <w:rPr>
          <w:szCs w:val="18"/>
        </w:rPr>
        <w:t xml:space="preserve">See Canada, </w:t>
      </w:r>
      <w:r w:rsidRPr="001E1CDD">
        <w:rPr>
          <w:iCs/>
          <w:lang w:val="en-GB"/>
        </w:rPr>
        <w:t>Immigration and Refugee Protection Act</w:t>
      </w:r>
      <w:r w:rsidRPr="00621A61">
        <w:rPr>
          <w:szCs w:val="18"/>
        </w:rPr>
        <w:t>, s</w:t>
      </w:r>
      <w:r>
        <w:rPr>
          <w:szCs w:val="18"/>
        </w:rPr>
        <w:t>ections</w:t>
      </w:r>
      <w:r w:rsidRPr="00621A61">
        <w:rPr>
          <w:szCs w:val="18"/>
        </w:rPr>
        <w:t xml:space="preserve"> 110</w:t>
      </w:r>
      <w:r>
        <w:rPr>
          <w:szCs w:val="18"/>
        </w:rPr>
        <w:t xml:space="preserve"> and</w:t>
      </w:r>
      <w:r w:rsidRPr="00621A61">
        <w:rPr>
          <w:szCs w:val="18"/>
        </w:rPr>
        <w:t xml:space="preserve"> 111.</w:t>
      </w:r>
      <w:r>
        <w:rPr>
          <w:szCs w:val="18"/>
        </w:rPr>
        <w:t xml:space="preserve"> </w:t>
      </w:r>
    </w:p>
  </w:footnote>
  <w:footnote w:id="10">
    <w:p w14:paraId="019DAF99" w14:textId="77777777" w:rsidR="00E50635" w:rsidRPr="0022269B"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r>
      <w:r>
        <w:rPr>
          <w:szCs w:val="18"/>
        </w:rPr>
        <w:t xml:space="preserve">See </w:t>
      </w:r>
      <w:r w:rsidRPr="0022269B">
        <w:rPr>
          <w:szCs w:val="18"/>
          <w:lang w:val="en-GB"/>
        </w:rPr>
        <w:t>c</w:t>
      </w:r>
      <w:r w:rsidRPr="00621A61">
        <w:rPr>
          <w:szCs w:val="18"/>
        </w:rPr>
        <w:t>ommunication No. 395/2009</w:t>
      </w:r>
      <w:r w:rsidRPr="0022269B">
        <w:rPr>
          <w:szCs w:val="18"/>
          <w:lang w:val="en-GB"/>
        </w:rPr>
        <w:t xml:space="preserve">, </w:t>
      </w:r>
      <w:r w:rsidRPr="00621A61">
        <w:rPr>
          <w:i/>
          <w:iCs/>
          <w:szCs w:val="18"/>
        </w:rPr>
        <w:t>H. E.-M. v. Canada</w:t>
      </w:r>
      <w:r w:rsidRPr="00621A61">
        <w:rPr>
          <w:szCs w:val="18"/>
        </w:rPr>
        <w:t xml:space="preserve">, </w:t>
      </w:r>
      <w:r w:rsidRPr="0022269B">
        <w:rPr>
          <w:szCs w:val="18"/>
        </w:rPr>
        <w:t>decision</w:t>
      </w:r>
      <w:r w:rsidRPr="0022269B">
        <w:rPr>
          <w:szCs w:val="18"/>
          <w:lang w:val="en-GB"/>
        </w:rPr>
        <w:t xml:space="preserve"> </w:t>
      </w:r>
      <w:r>
        <w:rPr>
          <w:szCs w:val="18"/>
          <w:lang w:val="en-GB"/>
        </w:rPr>
        <w:t>adopted</w:t>
      </w:r>
      <w:r w:rsidRPr="0022269B">
        <w:rPr>
          <w:szCs w:val="18"/>
          <w:lang w:val="en-GB"/>
        </w:rPr>
        <w:t xml:space="preserve"> 23 May 2011</w:t>
      </w:r>
      <w:r w:rsidRPr="00621A61">
        <w:rPr>
          <w:szCs w:val="18"/>
        </w:rPr>
        <w:t xml:space="preserve">, paras. 6.4-6.5. </w:t>
      </w:r>
    </w:p>
  </w:footnote>
  <w:footnote w:id="11">
    <w:p w14:paraId="19663D0D" w14:textId="77777777" w:rsidR="00E50635" w:rsidRPr="00621A61"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r>
      <w:r>
        <w:rPr>
          <w:szCs w:val="18"/>
        </w:rPr>
        <w:t>Ibid.</w:t>
      </w:r>
      <w:r w:rsidRPr="00621A61">
        <w:rPr>
          <w:szCs w:val="18"/>
        </w:rPr>
        <w:t>,</w:t>
      </w:r>
      <w:r w:rsidRPr="0022269B">
        <w:rPr>
          <w:szCs w:val="18"/>
          <w:lang w:val="en-GB"/>
        </w:rPr>
        <w:t xml:space="preserve"> </w:t>
      </w:r>
      <w:r w:rsidRPr="00621A61">
        <w:rPr>
          <w:szCs w:val="18"/>
        </w:rPr>
        <w:t>paras. 6.4-6.5</w:t>
      </w:r>
      <w:r>
        <w:rPr>
          <w:szCs w:val="18"/>
        </w:rPr>
        <w:t xml:space="preserve">. See also communications </w:t>
      </w:r>
      <w:r w:rsidRPr="00621A61">
        <w:rPr>
          <w:szCs w:val="18"/>
        </w:rPr>
        <w:t>No. 307/2006</w:t>
      </w:r>
      <w:r w:rsidRPr="0022269B">
        <w:rPr>
          <w:szCs w:val="18"/>
          <w:lang w:val="en-GB"/>
        </w:rPr>
        <w:t xml:space="preserve">, </w:t>
      </w:r>
      <w:r w:rsidRPr="00621A61">
        <w:rPr>
          <w:i/>
          <w:iCs/>
          <w:szCs w:val="18"/>
        </w:rPr>
        <w:t>Yassin v. Canada</w:t>
      </w:r>
      <w:r w:rsidRPr="00621A61">
        <w:rPr>
          <w:szCs w:val="18"/>
        </w:rPr>
        <w:t>,</w:t>
      </w:r>
      <w:r w:rsidRPr="0022269B">
        <w:rPr>
          <w:szCs w:val="18"/>
          <w:lang w:val="en-GB"/>
        </w:rPr>
        <w:t xml:space="preserve"> decision </w:t>
      </w:r>
      <w:r>
        <w:rPr>
          <w:szCs w:val="18"/>
          <w:lang w:val="en-GB"/>
        </w:rPr>
        <w:t>adopted</w:t>
      </w:r>
      <w:r w:rsidRPr="0022269B">
        <w:rPr>
          <w:szCs w:val="18"/>
          <w:lang w:val="en-GB"/>
        </w:rPr>
        <w:t xml:space="preserve"> 4 November 2009</w:t>
      </w:r>
      <w:r w:rsidRPr="00621A61">
        <w:rPr>
          <w:szCs w:val="18"/>
        </w:rPr>
        <w:t>,</w:t>
      </w:r>
      <w:r>
        <w:rPr>
          <w:szCs w:val="18"/>
        </w:rPr>
        <w:t xml:space="preserve"> </w:t>
      </w:r>
      <w:r w:rsidRPr="00621A61">
        <w:rPr>
          <w:szCs w:val="18"/>
        </w:rPr>
        <w:t>paras. 9.3-9.4;</w:t>
      </w:r>
      <w:r>
        <w:rPr>
          <w:szCs w:val="18"/>
        </w:rPr>
        <w:t xml:space="preserve"> and</w:t>
      </w:r>
      <w:r w:rsidRPr="00621A61">
        <w:rPr>
          <w:szCs w:val="18"/>
        </w:rPr>
        <w:t xml:space="preserve"> No. 284/2006</w:t>
      </w:r>
      <w:r w:rsidRPr="0022269B">
        <w:rPr>
          <w:szCs w:val="18"/>
          <w:lang w:val="en-GB"/>
        </w:rPr>
        <w:t xml:space="preserve">, </w:t>
      </w:r>
      <w:r w:rsidRPr="00621A61">
        <w:rPr>
          <w:i/>
          <w:iCs/>
          <w:szCs w:val="18"/>
        </w:rPr>
        <w:t>R.S.A.N. v. Canada</w:t>
      </w:r>
      <w:r w:rsidRPr="00621A61">
        <w:rPr>
          <w:szCs w:val="18"/>
        </w:rPr>
        <w:t xml:space="preserve">, </w:t>
      </w:r>
      <w:r w:rsidRPr="0022269B">
        <w:rPr>
          <w:szCs w:val="18"/>
          <w:lang w:val="en-GB"/>
        </w:rPr>
        <w:t xml:space="preserve">decision </w:t>
      </w:r>
      <w:r>
        <w:rPr>
          <w:szCs w:val="18"/>
          <w:lang w:val="en-GB"/>
        </w:rPr>
        <w:t>adopted</w:t>
      </w:r>
      <w:r w:rsidRPr="0022269B">
        <w:rPr>
          <w:szCs w:val="18"/>
          <w:lang w:val="en-GB"/>
        </w:rPr>
        <w:t xml:space="preserve"> </w:t>
      </w:r>
      <w:r>
        <w:rPr>
          <w:szCs w:val="18"/>
          <w:lang w:val="en-GB"/>
        </w:rPr>
        <w:t>17 November 2006,</w:t>
      </w:r>
      <w:r w:rsidRPr="00621A61">
        <w:rPr>
          <w:szCs w:val="18"/>
        </w:rPr>
        <w:t xml:space="preserve"> para. 6.4. </w:t>
      </w:r>
    </w:p>
  </w:footnote>
  <w:footnote w:id="12">
    <w:p w14:paraId="0240E59B" w14:textId="77777777" w:rsidR="00E50635" w:rsidRPr="00621A61"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r>
      <w:r>
        <w:rPr>
          <w:szCs w:val="18"/>
        </w:rPr>
        <w:t xml:space="preserve">See the </w:t>
      </w:r>
      <w:r w:rsidRPr="00621A61">
        <w:rPr>
          <w:szCs w:val="18"/>
        </w:rPr>
        <w:t>Committee</w:t>
      </w:r>
      <w:r>
        <w:rPr>
          <w:szCs w:val="18"/>
        </w:rPr>
        <w:t>’s</w:t>
      </w:r>
      <w:r w:rsidRPr="00621A61">
        <w:rPr>
          <w:szCs w:val="18"/>
        </w:rPr>
        <w:t xml:space="preserve"> </w:t>
      </w:r>
      <w:r>
        <w:rPr>
          <w:szCs w:val="18"/>
        </w:rPr>
        <w:t>g</w:t>
      </w:r>
      <w:r w:rsidRPr="0022269B">
        <w:rPr>
          <w:iCs/>
          <w:szCs w:val="18"/>
        </w:rPr>
        <w:t xml:space="preserve">eneral </w:t>
      </w:r>
      <w:r w:rsidRPr="0022269B">
        <w:rPr>
          <w:iCs/>
          <w:szCs w:val="18"/>
          <w:lang w:val="en-GB"/>
        </w:rPr>
        <w:t>c</w:t>
      </w:r>
      <w:r w:rsidRPr="0022269B">
        <w:rPr>
          <w:iCs/>
          <w:szCs w:val="18"/>
        </w:rPr>
        <w:t>omment No. 1</w:t>
      </w:r>
      <w:r>
        <w:rPr>
          <w:iCs/>
          <w:szCs w:val="18"/>
        </w:rPr>
        <w:t xml:space="preserve"> (1997) on the i</w:t>
      </w:r>
      <w:r w:rsidRPr="0022269B">
        <w:rPr>
          <w:iCs/>
          <w:szCs w:val="18"/>
        </w:rPr>
        <w:t xml:space="preserve">mplementation of </w:t>
      </w:r>
      <w:r>
        <w:rPr>
          <w:iCs/>
          <w:szCs w:val="18"/>
        </w:rPr>
        <w:t>a</w:t>
      </w:r>
      <w:r w:rsidRPr="0022269B">
        <w:rPr>
          <w:iCs/>
          <w:szCs w:val="18"/>
        </w:rPr>
        <w:t xml:space="preserve">rticle 3 of the Convention in the </w:t>
      </w:r>
      <w:r>
        <w:rPr>
          <w:iCs/>
          <w:szCs w:val="18"/>
        </w:rPr>
        <w:t>c</w:t>
      </w:r>
      <w:r w:rsidRPr="0022269B">
        <w:rPr>
          <w:iCs/>
          <w:szCs w:val="18"/>
        </w:rPr>
        <w:t xml:space="preserve">ontext of </w:t>
      </w:r>
      <w:r>
        <w:rPr>
          <w:iCs/>
          <w:szCs w:val="18"/>
        </w:rPr>
        <w:t>a</w:t>
      </w:r>
      <w:r w:rsidRPr="0022269B">
        <w:rPr>
          <w:iCs/>
          <w:szCs w:val="18"/>
        </w:rPr>
        <w:t>rticle 22</w:t>
      </w:r>
      <w:r>
        <w:rPr>
          <w:iCs/>
          <w:szCs w:val="18"/>
        </w:rPr>
        <w:t xml:space="preserve"> of the Convention</w:t>
      </w:r>
      <w:r>
        <w:rPr>
          <w:szCs w:val="18"/>
        </w:rPr>
        <w:t>, para. 1</w:t>
      </w:r>
      <w:r w:rsidRPr="00621A61">
        <w:rPr>
          <w:szCs w:val="18"/>
          <w:lang w:val="en-GB"/>
        </w:rPr>
        <w:t>.</w:t>
      </w:r>
      <w:r w:rsidRPr="00621A61">
        <w:rPr>
          <w:szCs w:val="18"/>
        </w:rPr>
        <w:t xml:space="preserve"> </w:t>
      </w:r>
    </w:p>
  </w:footnote>
  <w:footnote w:id="13">
    <w:p w14:paraId="0EB52E09" w14:textId="77777777" w:rsidR="00E50635" w:rsidRPr="0022269B" w:rsidRDefault="00E50635" w:rsidP="0022269B">
      <w:pPr>
        <w:pStyle w:val="FootnoteText"/>
        <w:widowControl w:val="0"/>
        <w:tabs>
          <w:tab w:val="clear" w:pos="1021"/>
          <w:tab w:val="right" w:pos="1020"/>
        </w:tabs>
        <w:rPr>
          <w:szCs w:val="18"/>
          <w:lang w:val="en-GB"/>
        </w:rPr>
      </w:pPr>
      <w:r w:rsidRPr="00621A61">
        <w:rPr>
          <w:szCs w:val="18"/>
        </w:rPr>
        <w:tab/>
      </w:r>
      <w:r w:rsidRPr="00621A61">
        <w:rPr>
          <w:rStyle w:val="FootnoteReference"/>
          <w:szCs w:val="18"/>
        </w:rPr>
        <w:footnoteRef/>
      </w:r>
      <w:r w:rsidRPr="00621A61">
        <w:rPr>
          <w:szCs w:val="18"/>
        </w:rPr>
        <w:tab/>
        <w:t>The United Kingdom Home Office also notes that “the effectiveness of the police varies greatly by district, ranging from reasonably good to ineffective”</w:t>
      </w:r>
      <w:r>
        <w:rPr>
          <w:szCs w:val="18"/>
        </w:rPr>
        <w:t>. See</w:t>
      </w:r>
      <w:r w:rsidRPr="00621A61">
        <w:rPr>
          <w:szCs w:val="18"/>
        </w:rPr>
        <w:t xml:space="preserve"> United Kingdom (Home Office), “Country Information and Guidance, Pakistan: Background Information, including actors of protection, and internal relocation” (October 2014)</w:t>
      </w:r>
      <w:r>
        <w:rPr>
          <w:szCs w:val="18"/>
        </w:rPr>
        <w:t>,</w:t>
      </w:r>
      <w:r w:rsidRPr="00621A61">
        <w:rPr>
          <w:szCs w:val="18"/>
        </w:rPr>
        <w:t xml:space="preserve"> para. </w:t>
      </w:r>
      <w:r w:rsidRPr="0022269B">
        <w:rPr>
          <w:szCs w:val="18"/>
          <w:lang w:val="en-GB"/>
        </w:rPr>
        <w:t xml:space="preserve">1.2.2, available at: </w:t>
      </w:r>
      <w:hyperlink r:id="rId2" w:history="1">
        <w:r w:rsidRPr="0022269B">
          <w:rPr>
            <w:rStyle w:val="Hyperlink"/>
            <w:szCs w:val="18"/>
            <w:lang w:val="en-GB"/>
          </w:rPr>
          <w:t>www.gov.uk/government/uploads/</w:t>
        </w:r>
        <w:r w:rsidRPr="0022269B">
          <w:rPr>
            <w:rStyle w:val="Hyperlink"/>
            <w:szCs w:val="18"/>
            <w:lang w:val="en-GB"/>
          </w:rPr>
          <w:br/>
          <w:t>system/uploads/attachment_data/file/361124/Pakistan_CIG_2014_10_06.pdf</w:t>
        </w:r>
      </w:hyperlink>
      <w:r w:rsidRPr="0022269B">
        <w:rPr>
          <w:szCs w:val="18"/>
          <w:lang w:val="en-GB"/>
        </w:rPr>
        <w:t>.</w:t>
      </w:r>
      <w:r w:rsidRPr="00621A61">
        <w:rPr>
          <w:szCs w:val="18"/>
        </w:rPr>
        <w:t xml:space="preserve"> </w:t>
      </w:r>
    </w:p>
  </w:footnote>
  <w:footnote w:id="14">
    <w:p w14:paraId="57B3CC60" w14:textId="77777777" w:rsidR="00E50635" w:rsidRPr="00E25746" w:rsidRDefault="00E50635" w:rsidP="0022269B">
      <w:pPr>
        <w:pStyle w:val="FootnoteText"/>
        <w:widowControl w:val="0"/>
        <w:tabs>
          <w:tab w:val="clear" w:pos="1021"/>
          <w:tab w:val="right" w:pos="1020"/>
        </w:tabs>
        <w:rPr>
          <w:szCs w:val="18"/>
          <w:lang w:val="en-GB"/>
        </w:rPr>
      </w:pPr>
      <w:r w:rsidRPr="00B93F00">
        <w:rPr>
          <w:szCs w:val="18"/>
        </w:rPr>
        <w:tab/>
      </w:r>
      <w:r w:rsidRPr="00B93F00">
        <w:rPr>
          <w:rStyle w:val="FootnoteReference"/>
          <w:szCs w:val="18"/>
        </w:rPr>
        <w:footnoteRef/>
      </w:r>
      <w:r w:rsidRPr="00152CDE">
        <w:rPr>
          <w:szCs w:val="18"/>
        </w:rPr>
        <w:tab/>
      </w:r>
      <w:r>
        <w:rPr>
          <w:szCs w:val="18"/>
        </w:rPr>
        <w:t>See c</w:t>
      </w:r>
      <w:r w:rsidRPr="0052006C">
        <w:rPr>
          <w:szCs w:val="18"/>
        </w:rPr>
        <w:t>ommunication No. 161/2000</w:t>
      </w:r>
      <w:r w:rsidRPr="0022269B">
        <w:rPr>
          <w:szCs w:val="18"/>
          <w:lang w:val="en-GB"/>
        </w:rPr>
        <w:t xml:space="preserve">, </w:t>
      </w:r>
      <w:r w:rsidRPr="0052006C">
        <w:rPr>
          <w:i/>
          <w:szCs w:val="18"/>
        </w:rPr>
        <w:t>Dzemajl et al. v</w:t>
      </w:r>
      <w:r w:rsidRPr="00E50635">
        <w:rPr>
          <w:i/>
          <w:szCs w:val="18"/>
        </w:rPr>
        <w:t>.</w:t>
      </w:r>
      <w:r w:rsidRPr="0022269B">
        <w:rPr>
          <w:i/>
          <w:szCs w:val="18"/>
        </w:rPr>
        <w:t xml:space="preserve"> </w:t>
      </w:r>
      <w:r w:rsidRPr="00E50635">
        <w:rPr>
          <w:i/>
          <w:szCs w:val="18"/>
        </w:rPr>
        <w:t>Yugoslavia</w:t>
      </w:r>
      <w:r w:rsidRPr="00E50635">
        <w:rPr>
          <w:szCs w:val="18"/>
        </w:rPr>
        <w:t>,</w:t>
      </w:r>
      <w:r w:rsidRPr="0052006C">
        <w:rPr>
          <w:szCs w:val="18"/>
        </w:rPr>
        <w:t xml:space="preserve"> </w:t>
      </w:r>
      <w:r w:rsidRPr="0022269B">
        <w:rPr>
          <w:szCs w:val="18"/>
          <w:lang w:val="en-GB"/>
        </w:rPr>
        <w:t xml:space="preserve">decision </w:t>
      </w:r>
      <w:r>
        <w:rPr>
          <w:szCs w:val="18"/>
          <w:lang w:val="en-GB"/>
        </w:rPr>
        <w:t>adopted</w:t>
      </w:r>
      <w:r w:rsidRPr="0022269B">
        <w:rPr>
          <w:szCs w:val="18"/>
          <w:lang w:val="en-GB"/>
        </w:rPr>
        <w:t xml:space="preserve"> 21 November 2002, </w:t>
      </w:r>
      <w:r w:rsidRPr="0052006C">
        <w:rPr>
          <w:szCs w:val="18"/>
        </w:rPr>
        <w:t>para</w:t>
      </w:r>
      <w:r>
        <w:rPr>
          <w:szCs w:val="18"/>
        </w:rPr>
        <w:t>.</w:t>
      </w:r>
      <w:r w:rsidRPr="0052006C">
        <w:rPr>
          <w:szCs w:val="18"/>
        </w:rPr>
        <w:t xml:space="preserve"> 9.2.</w:t>
      </w:r>
      <w:r w:rsidRPr="00E25746">
        <w:rPr>
          <w:szCs w:val="18"/>
        </w:rPr>
        <w:t xml:space="preserve"> </w:t>
      </w:r>
    </w:p>
  </w:footnote>
  <w:footnote w:id="15">
    <w:p w14:paraId="27B46172" w14:textId="77777777" w:rsidR="00E50635" w:rsidRPr="00E25746" w:rsidRDefault="00E50635" w:rsidP="0022269B">
      <w:pPr>
        <w:pStyle w:val="FootnoteText"/>
        <w:widowControl w:val="0"/>
        <w:tabs>
          <w:tab w:val="clear" w:pos="1021"/>
          <w:tab w:val="right" w:pos="1020"/>
        </w:tabs>
        <w:rPr>
          <w:szCs w:val="18"/>
          <w:lang w:val="en-GB"/>
        </w:rPr>
      </w:pPr>
      <w:r>
        <w:rPr>
          <w:szCs w:val="18"/>
        </w:rPr>
        <w:tab/>
      </w:r>
      <w:r w:rsidRPr="00E25746">
        <w:rPr>
          <w:rStyle w:val="FootnoteReference"/>
          <w:szCs w:val="18"/>
        </w:rPr>
        <w:footnoteRef/>
      </w:r>
      <w:r w:rsidRPr="00E25746">
        <w:rPr>
          <w:szCs w:val="18"/>
        </w:rPr>
        <w:tab/>
      </w:r>
      <w:r w:rsidRPr="00621A61">
        <w:rPr>
          <w:szCs w:val="18"/>
        </w:rPr>
        <w:t>The State party refers to United States (Department of State), “Pakistan 2013 International Religious Freedom Report” (2013)</w:t>
      </w:r>
      <w:r w:rsidRPr="00621A61">
        <w:rPr>
          <w:szCs w:val="18"/>
          <w:lang w:val="en-GB"/>
        </w:rPr>
        <w:t>, p.</w:t>
      </w:r>
      <w:r w:rsidRPr="00621A61">
        <w:rPr>
          <w:szCs w:val="18"/>
        </w:rPr>
        <w:t xml:space="preserve"> 6</w:t>
      </w:r>
      <w:r w:rsidRPr="00621A61">
        <w:rPr>
          <w:szCs w:val="18"/>
          <w:lang w:val="en-GB"/>
        </w:rPr>
        <w:t xml:space="preserve">, </w:t>
      </w:r>
      <w:r>
        <w:rPr>
          <w:szCs w:val="18"/>
          <w:lang w:val="en-GB"/>
        </w:rPr>
        <w:t>in which</w:t>
      </w:r>
      <w:r w:rsidRPr="00621A61">
        <w:rPr>
          <w:szCs w:val="18"/>
          <w:lang w:val="en-GB"/>
        </w:rPr>
        <w:t xml:space="preserve"> it is stated:</w:t>
      </w:r>
      <w:r w:rsidRPr="00621A61">
        <w:rPr>
          <w:szCs w:val="18"/>
        </w:rPr>
        <w:t xml:space="preserve"> “[t]he government bans the activities of, and membership in, several religiously oriented groups that it judges to be ‘extremist’ or ‘terrorist’</w:t>
      </w:r>
      <w:r>
        <w:rPr>
          <w:szCs w:val="18"/>
        </w:rPr>
        <w:t>”</w:t>
      </w:r>
      <w:r w:rsidRPr="00621A61">
        <w:rPr>
          <w:szCs w:val="18"/>
        </w:rPr>
        <w:t xml:space="preserve">. </w:t>
      </w:r>
      <w:r>
        <w:rPr>
          <w:szCs w:val="18"/>
        </w:rPr>
        <w:t>In t</w:t>
      </w:r>
      <w:r w:rsidRPr="00621A61">
        <w:rPr>
          <w:szCs w:val="18"/>
        </w:rPr>
        <w:t>he same report</w:t>
      </w:r>
      <w:r>
        <w:rPr>
          <w:szCs w:val="18"/>
        </w:rPr>
        <w:t xml:space="preserve"> </w:t>
      </w:r>
      <w:r w:rsidRPr="00621A61">
        <w:rPr>
          <w:szCs w:val="18"/>
        </w:rPr>
        <w:t>(p.14-15)</w:t>
      </w:r>
      <w:r>
        <w:rPr>
          <w:szCs w:val="18"/>
        </w:rPr>
        <w:t>, it is</w:t>
      </w:r>
      <w:r w:rsidRPr="00621A61">
        <w:rPr>
          <w:szCs w:val="18"/>
        </w:rPr>
        <w:t xml:space="preserve"> highlight</w:t>
      </w:r>
      <w:r>
        <w:rPr>
          <w:szCs w:val="18"/>
        </w:rPr>
        <w:t>ed</w:t>
      </w:r>
      <w:r w:rsidRPr="00621A61">
        <w:rPr>
          <w:szCs w:val="18"/>
        </w:rPr>
        <w:t xml:space="preserve"> that</w:t>
      </w:r>
      <w:r>
        <w:rPr>
          <w:szCs w:val="18"/>
        </w:rPr>
        <w:t>,</w:t>
      </w:r>
      <w:r w:rsidRPr="00621A61">
        <w:rPr>
          <w:szCs w:val="18"/>
        </w:rPr>
        <w:t xml:space="preserve">  in 2013, Pakistani authorities arrested several extremist leaders responsible for attacks on Shia communities, including leaders of Lashkar-e-Jhangvi</w:t>
      </w:r>
      <w:r>
        <w:rPr>
          <w:szCs w:val="18"/>
        </w:rPr>
        <w:t>;</w:t>
      </w:r>
      <w:r w:rsidRPr="00621A61">
        <w:rPr>
          <w:szCs w:val="18"/>
        </w:rPr>
        <w:t xml:space="preserve"> that in late 2013, Prime Minister Mam</w:t>
      </w:r>
      <w:r>
        <w:rPr>
          <w:szCs w:val="18"/>
        </w:rPr>
        <w:t>n</w:t>
      </w:r>
      <w:r w:rsidRPr="00621A61">
        <w:rPr>
          <w:szCs w:val="18"/>
        </w:rPr>
        <w:t>oon Hussain and Prime Minister Nawaz Sharif issued public statements condemning a major attack on Shia</w:t>
      </w:r>
      <w:r>
        <w:rPr>
          <w:szCs w:val="18"/>
        </w:rPr>
        <w:t xml:space="preserve"> Muslims</w:t>
      </w:r>
      <w:r w:rsidRPr="00621A61">
        <w:rPr>
          <w:szCs w:val="18"/>
        </w:rPr>
        <w:t xml:space="preserve"> in the Punjab</w:t>
      </w:r>
      <w:r>
        <w:rPr>
          <w:szCs w:val="18"/>
        </w:rPr>
        <w:t>;</w:t>
      </w:r>
      <w:r w:rsidRPr="00621A61">
        <w:rPr>
          <w:szCs w:val="18"/>
        </w:rPr>
        <w:t xml:space="preserve"> and that the Punjab Chief Minister has also created at least one judicial commission in response to sectarian attacks.</w:t>
      </w:r>
      <w:r w:rsidRPr="00E25746">
        <w:rPr>
          <w:szCs w:val="18"/>
        </w:rPr>
        <w:t xml:space="preserve"> </w:t>
      </w:r>
    </w:p>
  </w:footnote>
  <w:footnote w:id="16">
    <w:p w14:paraId="4E0B170C"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sidRPr="00621A61">
        <w:rPr>
          <w:szCs w:val="18"/>
          <w:lang w:val="en-CA"/>
        </w:rPr>
        <w:t xml:space="preserve">See </w:t>
      </w:r>
      <w:r>
        <w:rPr>
          <w:szCs w:val="18"/>
          <w:lang w:val="en-CA"/>
        </w:rPr>
        <w:t xml:space="preserve">communications </w:t>
      </w:r>
      <w:r w:rsidRPr="00621A61">
        <w:rPr>
          <w:szCs w:val="18"/>
          <w:lang w:val="en-CA"/>
        </w:rPr>
        <w:t>No. 49/1996</w:t>
      </w:r>
      <w:r>
        <w:rPr>
          <w:szCs w:val="18"/>
          <w:lang w:val="en-CA"/>
        </w:rPr>
        <w:t>,</w:t>
      </w:r>
      <w:r w:rsidRPr="00621A61">
        <w:rPr>
          <w:szCs w:val="18"/>
          <w:lang w:val="en-CA"/>
        </w:rPr>
        <w:t xml:space="preserve"> </w:t>
      </w:r>
      <w:r w:rsidRPr="00621A61">
        <w:rPr>
          <w:i/>
          <w:szCs w:val="18"/>
          <w:lang w:val="en-CA"/>
        </w:rPr>
        <w:t>S.V. v. Canada</w:t>
      </w:r>
      <w:r w:rsidRPr="00621A61">
        <w:rPr>
          <w:szCs w:val="18"/>
          <w:lang w:val="en-CA"/>
        </w:rPr>
        <w:t xml:space="preserve">, </w:t>
      </w:r>
      <w:r>
        <w:rPr>
          <w:szCs w:val="18"/>
          <w:lang w:val="en-CA"/>
        </w:rPr>
        <w:t xml:space="preserve">Views adopted 15 May 1996, </w:t>
      </w:r>
      <w:r w:rsidRPr="00621A61">
        <w:rPr>
          <w:szCs w:val="18"/>
          <w:lang w:val="en-CA"/>
        </w:rPr>
        <w:t xml:space="preserve">paras. 9.5, 9.8; </w:t>
      </w:r>
      <w:r>
        <w:rPr>
          <w:szCs w:val="18"/>
          <w:lang w:val="en-CA"/>
        </w:rPr>
        <w:t xml:space="preserve">No. 83/1997, </w:t>
      </w:r>
      <w:r w:rsidRPr="00621A61">
        <w:rPr>
          <w:i/>
          <w:szCs w:val="18"/>
          <w:lang w:val="en-CA"/>
        </w:rPr>
        <w:t xml:space="preserve">G.R.B. v. Sweden, </w:t>
      </w:r>
      <w:r>
        <w:rPr>
          <w:szCs w:val="18"/>
          <w:lang w:val="en-CA"/>
        </w:rPr>
        <w:t>Views adopted 2 June 1997,</w:t>
      </w:r>
      <w:r w:rsidRPr="00621A61">
        <w:rPr>
          <w:szCs w:val="18"/>
          <w:lang w:val="en-CA"/>
        </w:rPr>
        <w:t xml:space="preserve"> para. 6.5; Nos. 130/1999 and 131/1999</w:t>
      </w:r>
      <w:r>
        <w:rPr>
          <w:szCs w:val="18"/>
          <w:lang w:val="en-CA"/>
        </w:rPr>
        <w:t>,</w:t>
      </w:r>
      <w:r w:rsidRPr="00621A61">
        <w:rPr>
          <w:szCs w:val="18"/>
          <w:lang w:val="en-CA"/>
        </w:rPr>
        <w:t xml:space="preserve"> </w:t>
      </w:r>
      <w:r w:rsidRPr="00621A61">
        <w:rPr>
          <w:i/>
          <w:szCs w:val="18"/>
          <w:lang w:val="en-CA"/>
        </w:rPr>
        <w:t>V.X.N. and H.N. v. Sweden</w:t>
      </w:r>
      <w:r w:rsidRPr="00621A61">
        <w:rPr>
          <w:szCs w:val="18"/>
          <w:lang w:val="en-CA"/>
        </w:rPr>
        <w:t xml:space="preserve">, </w:t>
      </w:r>
      <w:r>
        <w:rPr>
          <w:szCs w:val="18"/>
          <w:lang w:val="en-CA"/>
        </w:rPr>
        <w:t>Views adopted 15 May 2000,</w:t>
      </w:r>
      <w:r w:rsidRPr="00621A61">
        <w:rPr>
          <w:szCs w:val="18"/>
          <w:lang w:val="en-CA"/>
        </w:rPr>
        <w:t xml:space="preserve"> para. 13.8; No. 138/1999</w:t>
      </w:r>
      <w:r>
        <w:rPr>
          <w:szCs w:val="18"/>
          <w:lang w:val="en-CA"/>
        </w:rPr>
        <w:t>,</w:t>
      </w:r>
      <w:r w:rsidRPr="00621A61">
        <w:rPr>
          <w:szCs w:val="18"/>
          <w:lang w:val="en-CA"/>
        </w:rPr>
        <w:t xml:space="preserve"> </w:t>
      </w:r>
      <w:r w:rsidRPr="00621A61">
        <w:rPr>
          <w:i/>
          <w:szCs w:val="18"/>
          <w:lang w:val="en-CA"/>
        </w:rPr>
        <w:t>M.P.S. v. Australia</w:t>
      </w:r>
      <w:r w:rsidRPr="0022269B">
        <w:rPr>
          <w:iCs/>
          <w:szCs w:val="18"/>
          <w:lang w:val="en-CA"/>
        </w:rPr>
        <w:t xml:space="preserve">, </w:t>
      </w:r>
      <w:r>
        <w:rPr>
          <w:szCs w:val="18"/>
          <w:lang w:val="en-CA"/>
        </w:rPr>
        <w:t>decision adopted 30 April 2002,</w:t>
      </w:r>
      <w:r w:rsidRPr="00621A61">
        <w:rPr>
          <w:szCs w:val="18"/>
          <w:lang w:val="en-CA"/>
        </w:rPr>
        <w:t xml:space="preserve"> para. 7.4; No. 218/2002, </w:t>
      </w:r>
      <w:r w:rsidRPr="00621A61">
        <w:rPr>
          <w:i/>
          <w:szCs w:val="18"/>
          <w:lang w:val="en-CA"/>
        </w:rPr>
        <w:t>Chorlango v. Sweden</w:t>
      </w:r>
      <w:r>
        <w:rPr>
          <w:szCs w:val="18"/>
          <w:lang w:val="en-CA"/>
        </w:rPr>
        <w:t xml:space="preserve">, decision adopted 22 November 2004, </w:t>
      </w:r>
      <w:r w:rsidRPr="00621A61">
        <w:rPr>
          <w:szCs w:val="18"/>
          <w:lang w:val="en-CA"/>
        </w:rPr>
        <w:t>para. 5.2; No. 326/2007</w:t>
      </w:r>
      <w:r>
        <w:rPr>
          <w:szCs w:val="18"/>
          <w:lang w:val="en-CA"/>
        </w:rPr>
        <w:t xml:space="preserve">, </w:t>
      </w:r>
      <w:r w:rsidRPr="00621A61">
        <w:rPr>
          <w:i/>
          <w:szCs w:val="18"/>
          <w:lang w:val="en-CA"/>
        </w:rPr>
        <w:t xml:space="preserve">M.F. v. Sweden, </w:t>
      </w:r>
      <w:r>
        <w:rPr>
          <w:szCs w:val="18"/>
          <w:lang w:val="en-CA"/>
        </w:rPr>
        <w:t>decision adopted 14 November 2008</w:t>
      </w:r>
      <w:r w:rsidRPr="00621A61">
        <w:rPr>
          <w:szCs w:val="18"/>
          <w:lang w:val="en-CA"/>
        </w:rPr>
        <w:t>, para.</w:t>
      </w:r>
      <w:r>
        <w:rPr>
          <w:szCs w:val="18"/>
          <w:lang w:val="en-CA"/>
        </w:rPr>
        <w:t> </w:t>
      </w:r>
      <w:r w:rsidRPr="00621A61">
        <w:rPr>
          <w:szCs w:val="18"/>
          <w:lang w:val="en-CA"/>
        </w:rPr>
        <w:t xml:space="preserve">7.5; </w:t>
      </w:r>
      <w:r>
        <w:rPr>
          <w:szCs w:val="18"/>
          <w:lang w:val="en-CA"/>
        </w:rPr>
        <w:t xml:space="preserve">and  </w:t>
      </w:r>
      <w:r w:rsidRPr="00621A61">
        <w:rPr>
          <w:szCs w:val="18"/>
          <w:lang w:val="en-CA"/>
        </w:rPr>
        <w:t>No. 373/2009</w:t>
      </w:r>
      <w:r>
        <w:rPr>
          <w:szCs w:val="18"/>
          <w:lang w:val="en-CA"/>
        </w:rPr>
        <w:t>,</w:t>
      </w:r>
      <w:r w:rsidRPr="00621A61">
        <w:rPr>
          <w:szCs w:val="18"/>
          <w:lang w:val="en-CA"/>
        </w:rPr>
        <w:t xml:space="preserve"> </w:t>
      </w:r>
      <w:r w:rsidRPr="00621A61">
        <w:rPr>
          <w:i/>
          <w:szCs w:val="18"/>
          <w:lang w:val="en-CA"/>
        </w:rPr>
        <w:t xml:space="preserve">Aytulun and Guclu v. Sweden, </w:t>
      </w:r>
      <w:r>
        <w:rPr>
          <w:szCs w:val="18"/>
          <w:lang w:val="en-CA"/>
        </w:rPr>
        <w:t>decision adopted 19 November 2010</w:t>
      </w:r>
      <w:r w:rsidRPr="00621A61">
        <w:rPr>
          <w:szCs w:val="18"/>
          <w:lang w:val="en-CA"/>
        </w:rPr>
        <w:t>, para. 6.5.</w:t>
      </w:r>
      <w:r w:rsidRPr="00E25746">
        <w:rPr>
          <w:szCs w:val="18"/>
        </w:rPr>
        <w:t xml:space="preserve"> </w:t>
      </w:r>
    </w:p>
  </w:footnote>
  <w:footnote w:id="17">
    <w:p w14:paraId="1A800FE3"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sidRPr="00621A61">
        <w:rPr>
          <w:szCs w:val="18"/>
        </w:rPr>
        <w:t xml:space="preserve">General </w:t>
      </w:r>
      <w:r w:rsidRPr="0022269B">
        <w:rPr>
          <w:szCs w:val="18"/>
          <w:lang w:val="en-GB"/>
        </w:rPr>
        <w:t>c</w:t>
      </w:r>
      <w:r w:rsidRPr="00621A61">
        <w:rPr>
          <w:szCs w:val="18"/>
        </w:rPr>
        <w:t>omment No. 1</w:t>
      </w:r>
      <w:r>
        <w:rPr>
          <w:szCs w:val="18"/>
        </w:rPr>
        <w:t>,</w:t>
      </w:r>
      <w:r w:rsidRPr="00621A61">
        <w:rPr>
          <w:i/>
          <w:szCs w:val="18"/>
        </w:rPr>
        <w:t xml:space="preserve"> </w:t>
      </w:r>
      <w:r w:rsidRPr="00621A61">
        <w:rPr>
          <w:szCs w:val="18"/>
        </w:rPr>
        <w:t xml:space="preserve"> para. 4. </w:t>
      </w:r>
    </w:p>
  </w:footnote>
  <w:footnote w:id="18">
    <w:p w14:paraId="3DEE39DA"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See c</w:t>
      </w:r>
      <w:r w:rsidRPr="00621A61">
        <w:rPr>
          <w:szCs w:val="18"/>
        </w:rPr>
        <w:t>ommunication</w:t>
      </w:r>
      <w:r w:rsidRPr="0022269B">
        <w:rPr>
          <w:szCs w:val="18"/>
          <w:lang w:val="en-GB"/>
        </w:rPr>
        <w:t>s</w:t>
      </w:r>
      <w:r w:rsidRPr="00621A61">
        <w:rPr>
          <w:szCs w:val="18"/>
        </w:rPr>
        <w:t xml:space="preserve"> No. 36/1995</w:t>
      </w:r>
      <w:r w:rsidRPr="0022269B">
        <w:rPr>
          <w:szCs w:val="18"/>
          <w:lang w:val="en-GB"/>
        </w:rPr>
        <w:t xml:space="preserve">, </w:t>
      </w:r>
      <w:r w:rsidRPr="00621A61">
        <w:rPr>
          <w:i/>
          <w:szCs w:val="18"/>
        </w:rPr>
        <w:t>X. v. The Netherlands</w:t>
      </w:r>
      <w:r w:rsidRPr="00621A61">
        <w:rPr>
          <w:szCs w:val="18"/>
        </w:rPr>
        <w:t xml:space="preserve">, </w:t>
      </w:r>
      <w:r w:rsidRPr="0022269B">
        <w:rPr>
          <w:szCs w:val="18"/>
          <w:lang w:val="en-GB"/>
        </w:rPr>
        <w:t>Views of 17 November 1995</w:t>
      </w:r>
      <w:r w:rsidRPr="00621A61">
        <w:rPr>
          <w:szCs w:val="18"/>
        </w:rPr>
        <w:t xml:space="preserve">; </w:t>
      </w:r>
      <w:r>
        <w:rPr>
          <w:szCs w:val="18"/>
        </w:rPr>
        <w:t xml:space="preserve">and </w:t>
      </w:r>
      <w:r w:rsidRPr="00621A61">
        <w:rPr>
          <w:szCs w:val="18"/>
        </w:rPr>
        <w:t>No. 18/1994</w:t>
      </w:r>
      <w:r w:rsidRPr="0022269B">
        <w:rPr>
          <w:szCs w:val="18"/>
          <w:lang w:val="en-GB"/>
        </w:rPr>
        <w:t xml:space="preserve">, </w:t>
      </w:r>
      <w:r w:rsidRPr="00621A61">
        <w:rPr>
          <w:i/>
          <w:szCs w:val="18"/>
        </w:rPr>
        <w:t>Y.</w:t>
      </w:r>
      <w:r>
        <w:rPr>
          <w:i/>
          <w:szCs w:val="18"/>
        </w:rPr>
        <w:t> </w:t>
      </w:r>
      <w:r w:rsidRPr="00621A61">
        <w:rPr>
          <w:i/>
          <w:szCs w:val="18"/>
        </w:rPr>
        <w:t>v. Switzerland</w:t>
      </w:r>
      <w:r w:rsidRPr="00621A61">
        <w:rPr>
          <w:szCs w:val="18"/>
        </w:rPr>
        <w:t xml:space="preserve">, </w:t>
      </w:r>
      <w:r w:rsidRPr="0022269B">
        <w:rPr>
          <w:szCs w:val="18"/>
          <w:lang w:val="en-GB"/>
        </w:rPr>
        <w:t xml:space="preserve">decision on admissibility </w:t>
      </w:r>
      <w:r>
        <w:rPr>
          <w:szCs w:val="18"/>
          <w:lang w:val="en-GB"/>
        </w:rPr>
        <w:t>adopted</w:t>
      </w:r>
      <w:r w:rsidRPr="0022269B">
        <w:rPr>
          <w:szCs w:val="18"/>
          <w:lang w:val="en-GB"/>
        </w:rPr>
        <w:t xml:space="preserve"> </w:t>
      </w:r>
      <w:r>
        <w:rPr>
          <w:szCs w:val="18"/>
          <w:lang w:val="en-GB"/>
        </w:rPr>
        <w:t>16 September 1994</w:t>
      </w:r>
      <w:r w:rsidRPr="00621A61">
        <w:rPr>
          <w:szCs w:val="18"/>
        </w:rPr>
        <w:t xml:space="preserve">. </w:t>
      </w:r>
    </w:p>
  </w:footnote>
  <w:footnote w:id="19">
    <w:p w14:paraId="772E377C"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See g</w:t>
      </w:r>
      <w:r w:rsidRPr="00621A61">
        <w:rPr>
          <w:szCs w:val="18"/>
        </w:rPr>
        <w:t xml:space="preserve">eneral </w:t>
      </w:r>
      <w:r w:rsidRPr="008538BE">
        <w:rPr>
          <w:szCs w:val="18"/>
          <w:lang w:val="en-GB"/>
        </w:rPr>
        <w:t>c</w:t>
      </w:r>
      <w:r w:rsidRPr="00621A61">
        <w:rPr>
          <w:szCs w:val="18"/>
        </w:rPr>
        <w:t>omment No. 1</w:t>
      </w:r>
      <w:r>
        <w:rPr>
          <w:szCs w:val="18"/>
        </w:rPr>
        <w:t>,</w:t>
      </w:r>
      <w:r w:rsidRPr="00621A61">
        <w:rPr>
          <w:szCs w:val="18"/>
        </w:rPr>
        <w:t xml:space="preserve"> para. 6. See also</w:t>
      </w:r>
      <w:r w:rsidRPr="0022269B">
        <w:rPr>
          <w:szCs w:val="18"/>
          <w:lang w:val="en-GB"/>
        </w:rPr>
        <w:t xml:space="preserve"> communications No.</w:t>
      </w:r>
      <w:r w:rsidRPr="00621A61">
        <w:rPr>
          <w:szCs w:val="18"/>
        </w:rPr>
        <w:t xml:space="preserve"> 326/2007</w:t>
      </w:r>
      <w:r w:rsidRPr="0022269B">
        <w:rPr>
          <w:szCs w:val="18"/>
          <w:lang w:val="en-GB"/>
        </w:rPr>
        <w:t xml:space="preserve">, </w:t>
      </w:r>
      <w:r w:rsidRPr="00621A61">
        <w:rPr>
          <w:i/>
          <w:szCs w:val="18"/>
        </w:rPr>
        <w:t>M.F. v. Sweden</w:t>
      </w:r>
      <w:r w:rsidRPr="00621A61">
        <w:rPr>
          <w:szCs w:val="18"/>
        </w:rPr>
        <w:t xml:space="preserve">, </w:t>
      </w:r>
      <w:r w:rsidRPr="0022269B">
        <w:rPr>
          <w:szCs w:val="18"/>
          <w:lang w:val="en-GB"/>
        </w:rPr>
        <w:t xml:space="preserve">decision </w:t>
      </w:r>
      <w:r>
        <w:rPr>
          <w:szCs w:val="18"/>
          <w:lang w:val="en-GB"/>
        </w:rPr>
        <w:t>adopted 14 November 2008</w:t>
      </w:r>
      <w:r w:rsidRPr="00621A61">
        <w:rPr>
          <w:szCs w:val="18"/>
        </w:rPr>
        <w:t>, para. 7.3; No. 301/2006</w:t>
      </w:r>
      <w:r w:rsidRPr="0022269B">
        <w:rPr>
          <w:szCs w:val="18"/>
          <w:lang w:val="en-GB"/>
        </w:rPr>
        <w:t xml:space="preserve">, </w:t>
      </w:r>
      <w:r w:rsidRPr="00621A61">
        <w:rPr>
          <w:i/>
          <w:szCs w:val="18"/>
        </w:rPr>
        <w:t>Z.K. v. Sweden</w:t>
      </w:r>
      <w:r w:rsidRPr="00621A61">
        <w:rPr>
          <w:szCs w:val="18"/>
        </w:rPr>
        <w:t xml:space="preserve">, </w:t>
      </w:r>
      <w:r w:rsidRPr="0022269B">
        <w:rPr>
          <w:szCs w:val="18"/>
          <w:lang w:val="en-GB"/>
        </w:rPr>
        <w:t xml:space="preserve">decision </w:t>
      </w:r>
      <w:r>
        <w:rPr>
          <w:szCs w:val="18"/>
          <w:lang w:val="en-GB"/>
        </w:rPr>
        <w:t>adopted</w:t>
      </w:r>
      <w:r w:rsidRPr="0022269B">
        <w:rPr>
          <w:szCs w:val="18"/>
          <w:lang w:val="en-GB"/>
        </w:rPr>
        <w:t xml:space="preserve"> 9 May 2008</w:t>
      </w:r>
      <w:r w:rsidRPr="00621A61">
        <w:rPr>
          <w:szCs w:val="18"/>
        </w:rPr>
        <w:t>, para. 8.3</w:t>
      </w:r>
      <w:r w:rsidRPr="00621A61">
        <w:rPr>
          <w:szCs w:val="18"/>
          <w:lang w:val="en-GB"/>
        </w:rPr>
        <w:t>,</w:t>
      </w:r>
      <w:r w:rsidRPr="00621A61">
        <w:rPr>
          <w:i/>
          <w:szCs w:val="18"/>
        </w:rPr>
        <w:t xml:space="preserve"> </w:t>
      </w:r>
      <w:r w:rsidRPr="00621A61">
        <w:rPr>
          <w:szCs w:val="18"/>
        </w:rPr>
        <w:t>No. 36/1995</w:t>
      </w:r>
      <w:r w:rsidRPr="0022269B">
        <w:rPr>
          <w:szCs w:val="18"/>
          <w:lang w:val="en-GB"/>
        </w:rPr>
        <w:t xml:space="preserve">, </w:t>
      </w:r>
      <w:r w:rsidRPr="00621A61">
        <w:rPr>
          <w:i/>
          <w:szCs w:val="18"/>
        </w:rPr>
        <w:t>X. v. The Netherlands,</w:t>
      </w:r>
      <w:r w:rsidRPr="00621A61">
        <w:rPr>
          <w:szCs w:val="18"/>
        </w:rPr>
        <w:t xml:space="preserve"> </w:t>
      </w:r>
      <w:r w:rsidRPr="006438C9">
        <w:rPr>
          <w:szCs w:val="18"/>
          <w:lang w:val="en-GB"/>
        </w:rPr>
        <w:t>Views of 17 November 1995</w:t>
      </w:r>
      <w:r w:rsidRPr="00621A61">
        <w:rPr>
          <w:szCs w:val="18"/>
        </w:rPr>
        <w:t>, para. 7.2; more recently see No. 258/2004</w:t>
      </w:r>
      <w:r w:rsidRPr="0022269B">
        <w:rPr>
          <w:szCs w:val="18"/>
          <w:lang w:val="en-GB"/>
        </w:rPr>
        <w:t xml:space="preserve">, </w:t>
      </w:r>
      <w:r w:rsidRPr="00621A61">
        <w:rPr>
          <w:i/>
          <w:szCs w:val="18"/>
        </w:rPr>
        <w:t xml:space="preserve">Dadar v. Canada, </w:t>
      </w:r>
      <w:r w:rsidRPr="0022269B">
        <w:rPr>
          <w:szCs w:val="18"/>
          <w:lang w:val="en-GB"/>
        </w:rPr>
        <w:t xml:space="preserve">decision </w:t>
      </w:r>
      <w:r>
        <w:rPr>
          <w:szCs w:val="18"/>
          <w:lang w:val="en-GB"/>
        </w:rPr>
        <w:t>adopted</w:t>
      </w:r>
      <w:r w:rsidRPr="0022269B">
        <w:rPr>
          <w:szCs w:val="18"/>
          <w:lang w:val="en-GB"/>
        </w:rPr>
        <w:t xml:space="preserve"> </w:t>
      </w:r>
      <w:r>
        <w:rPr>
          <w:szCs w:val="18"/>
          <w:lang w:val="en-GB"/>
        </w:rPr>
        <w:t>23 November 2005</w:t>
      </w:r>
      <w:r w:rsidRPr="00621A61">
        <w:rPr>
          <w:szCs w:val="18"/>
        </w:rPr>
        <w:t>, para. 8.3; No. 282/2005</w:t>
      </w:r>
      <w:r w:rsidRPr="0022269B">
        <w:rPr>
          <w:szCs w:val="18"/>
          <w:lang w:val="en-GB"/>
        </w:rPr>
        <w:t xml:space="preserve">, </w:t>
      </w:r>
      <w:r w:rsidRPr="00621A61">
        <w:rPr>
          <w:i/>
          <w:szCs w:val="18"/>
        </w:rPr>
        <w:t>S.P.A. v. Canada,</w:t>
      </w:r>
      <w:r w:rsidRPr="0022269B">
        <w:rPr>
          <w:i/>
          <w:szCs w:val="18"/>
          <w:lang w:val="en-GB"/>
        </w:rPr>
        <w:t xml:space="preserve"> </w:t>
      </w:r>
      <w:r w:rsidRPr="0022269B">
        <w:rPr>
          <w:szCs w:val="18"/>
          <w:lang w:val="en-GB"/>
        </w:rPr>
        <w:t xml:space="preserve">decision </w:t>
      </w:r>
      <w:r>
        <w:rPr>
          <w:szCs w:val="18"/>
          <w:lang w:val="en-GB"/>
        </w:rPr>
        <w:t>adopted</w:t>
      </w:r>
      <w:r w:rsidRPr="0022269B">
        <w:rPr>
          <w:szCs w:val="18"/>
          <w:lang w:val="en-GB"/>
        </w:rPr>
        <w:t xml:space="preserve"> 7 November 2006</w:t>
      </w:r>
      <w:r w:rsidRPr="00621A61">
        <w:rPr>
          <w:szCs w:val="18"/>
        </w:rPr>
        <w:t>, para. 7.1; No. 298/2006</w:t>
      </w:r>
      <w:r w:rsidRPr="0022269B">
        <w:rPr>
          <w:szCs w:val="18"/>
          <w:lang w:val="en-GB"/>
        </w:rPr>
        <w:t xml:space="preserve">, </w:t>
      </w:r>
      <w:r w:rsidRPr="00621A61">
        <w:rPr>
          <w:i/>
          <w:iCs/>
          <w:szCs w:val="18"/>
        </w:rPr>
        <w:t>C.A.R.M. v. Canada</w:t>
      </w:r>
      <w:r w:rsidRPr="00621A61">
        <w:rPr>
          <w:szCs w:val="18"/>
        </w:rPr>
        <w:t>,</w:t>
      </w:r>
      <w:r>
        <w:rPr>
          <w:szCs w:val="18"/>
        </w:rPr>
        <w:t xml:space="preserve"> </w:t>
      </w:r>
      <w:r w:rsidRPr="0022269B">
        <w:rPr>
          <w:szCs w:val="18"/>
          <w:lang w:val="en-GB"/>
        </w:rPr>
        <w:t xml:space="preserve">decision </w:t>
      </w:r>
      <w:r>
        <w:rPr>
          <w:szCs w:val="18"/>
          <w:lang w:val="en-GB"/>
        </w:rPr>
        <w:t>adopted</w:t>
      </w:r>
      <w:r w:rsidRPr="0022269B">
        <w:rPr>
          <w:szCs w:val="18"/>
          <w:lang w:val="en-GB"/>
        </w:rPr>
        <w:t xml:space="preserve"> </w:t>
      </w:r>
      <w:r>
        <w:rPr>
          <w:szCs w:val="18"/>
          <w:lang w:val="en-GB"/>
        </w:rPr>
        <w:t>18 May 2007</w:t>
      </w:r>
      <w:r w:rsidRPr="00621A61">
        <w:rPr>
          <w:szCs w:val="18"/>
        </w:rPr>
        <w:t>, para. 8.10;</w:t>
      </w:r>
      <w:r>
        <w:rPr>
          <w:szCs w:val="18"/>
        </w:rPr>
        <w:t xml:space="preserve"> and</w:t>
      </w:r>
      <w:r w:rsidRPr="00621A61">
        <w:rPr>
          <w:szCs w:val="18"/>
        </w:rPr>
        <w:t xml:space="preserve"> No. 333/2007</w:t>
      </w:r>
      <w:r w:rsidRPr="0022269B">
        <w:rPr>
          <w:szCs w:val="18"/>
          <w:lang w:val="en-GB"/>
        </w:rPr>
        <w:t xml:space="preserve">, </w:t>
      </w:r>
      <w:r w:rsidRPr="00621A61">
        <w:rPr>
          <w:i/>
          <w:szCs w:val="18"/>
        </w:rPr>
        <w:t>T.I. v. Canada</w:t>
      </w:r>
      <w:r w:rsidRPr="00621A61">
        <w:rPr>
          <w:szCs w:val="18"/>
        </w:rPr>
        <w:t>,</w:t>
      </w:r>
      <w:r w:rsidRPr="0022269B">
        <w:rPr>
          <w:szCs w:val="18"/>
          <w:lang w:val="en-GB"/>
        </w:rPr>
        <w:t xml:space="preserve"> decision </w:t>
      </w:r>
      <w:r>
        <w:rPr>
          <w:szCs w:val="18"/>
          <w:lang w:val="en-GB"/>
        </w:rPr>
        <w:t>adopted</w:t>
      </w:r>
      <w:r w:rsidRPr="0022269B">
        <w:rPr>
          <w:szCs w:val="18"/>
          <w:lang w:val="en-GB"/>
        </w:rPr>
        <w:t xml:space="preserve"> 15 November 2010</w:t>
      </w:r>
      <w:r w:rsidRPr="00621A61">
        <w:rPr>
          <w:szCs w:val="18"/>
        </w:rPr>
        <w:t>, para.</w:t>
      </w:r>
      <w:r>
        <w:rPr>
          <w:szCs w:val="18"/>
        </w:rPr>
        <w:t> </w:t>
      </w:r>
      <w:r w:rsidRPr="00621A61">
        <w:rPr>
          <w:szCs w:val="18"/>
        </w:rPr>
        <w:t xml:space="preserve">7.3. </w:t>
      </w:r>
    </w:p>
  </w:footnote>
  <w:footnote w:id="20">
    <w:p w14:paraId="43138157"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See c</w:t>
      </w:r>
      <w:r w:rsidRPr="00621A61">
        <w:rPr>
          <w:szCs w:val="18"/>
        </w:rPr>
        <w:t>ommunication No. 34/1995</w:t>
      </w:r>
      <w:r w:rsidRPr="0022269B">
        <w:rPr>
          <w:szCs w:val="18"/>
          <w:lang w:val="en-GB"/>
        </w:rPr>
        <w:t xml:space="preserve">, </w:t>
      </w:r>
      <w:r w:rsidRPr="00621A61">
        <w:rPr>
          <w:i/>
          <w:szCs w:val="18"/>
        </w:rPr>
        <w:t>Aemei v. Switzerland</w:t>
      </w:r>
      <w:r w:rsidRPr="00621A61">
        <w:rPr>
          <w:szCs w:val="18"/>
        </w:rPr>
        <w:t xml:space="preserve">, </w:t>
      </w:r>
      <w:r w:rsidRPr="0022269B">
        <w:rPr>
          <w:szCs w:val="18"/>
          <w:lang w:val="en-GB"/>
        </w:rPr>
        <w:t xml:space="preserve">decision on admissibility </w:t>
      </w:r>
      <w:r>
        <w:rPr>
          <w:szCs w:val="18"/>
          <w:lang w:val="en-GB"/>
        </w:rPr>
        <w:t>adopted</w:t>
      </w:r>
      <w:r w:rsidRPr="0022269B">
        <w:rPr>
          <w:szCs w:val="18"/>
          <w:lang w:val="en-GB"/>
        </w:rPr>
        <w:t xml:space="preserve"> 22 November 1995</w:t>
      </w:r>
      <w:r w:rsidRPr="00621A61">
        <w:rPr>
          <w:szCs w:val="18"/>
        </w:rPr>
        <w:t xml:space="preserve">, para. 9.6. </w:t>
      </w:r>
    </w:p>
  </w:footnote>
  <w:footnote w:id="21">
    <w:p w14:paraId="5E55B2A8"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See c</w:t>
      </w:r>
      <w:r w:rsidRPr="00621A61">
        <w:rPr>
          <w:szCs w:val="18"/>
        </w:rPr>
        <w:t>ommunication</w:t>
      </w:r>
      <w:r w:rsidRPr="0022269B">
        <w:rPr>
          <w:szCs w:val="18"/>
          <w:lang w:val="en-GB"/>
        </w:rPr>
        <w:t>s</w:t>
      </w:r>
      <w:r w:rsidRPr="00621A61">
        <w:rPr>
          <w:szCs w:val="18"/>
        </w:rPr>
        <w:t xml:space="preserve"> No.</w:t>
      </w:r>
      <w:r>
        <w:rPr>
          <w:szCs w:val="18"/>
        </w:rPr>
        <w:t xml:space="preserve"> </w:t>
      </w:r>
      <w:r w:rsidRPr="00621A61">
        <w:rPr>
          <w:szCs w:val="18"/>
        </w:rPr>
        <w:t>148/1999</w:t>
      </w:r>
      <w:r w:rsidRPr="0022269B">
        <w:rPr>
          <w:szCs w:val="18"/>
          <w:lang w:val="en-GB"/>
        </w:rPr>
        <w:t xml:space="preserve">, </w:t>
      </w:r>
      <w:r w:rsidRPr="00621A61">
        <w:rPr>
          <w:i/>
          <w:iCs/>
          <w:szCs w:val="18"/>
        </w:rPr>
        <w:t xml:space="preserve">A.K. v. Australia, </w:t>
      </w:r>
      <w:r w:rsidRPr="0022269B">
        <w:rPr>
          <w:iCs/>
          <w:szCs w:val="18"/>
          <w:lang w:val="en-GB"/>
        </w:rPr>
        <w:t xml:space="preserve">decision </w:t>
      </w:r>
      <w:r>
        <w:rPr>
          <w:iCs/>
          <w:szCs w:val="18"/>
          <w:lang w:val="en-GB"/>
        </w:rPr>
        <w:t>adopted</w:t>
      </w:r>
      <w:r w:rsidRPr="0022269B">
        <w:rPr>
          <w:iCs/>
          <w:szCs w:val="18"/>
          <w:lang w:val="en-GB"/>
        </w:rPr>
        <w:t xml:space="preserve"> 5 May</w:t>
      </w:r>
      <w:r>
        <w:rPr>
          <w:iCs/>
          <w:szCs w:val="18"/>
          <w:lang w:val="en-GB"/>
        </w:rPr>
        <w:t xml:space="preserve"> 2004</w:t>
      </w:r>
      <w:r w:rsidRPr="00621A61">
        <w:rPr>
          <w:i/>
          <w:iCs/>
          <w:szCs w:val="18"/>
        </w:rPr>
        <w:t xml:space="preserve"> </w:t>
      </w:r>
      <w:r w:rsidRPr="00621A61">
        <w:rPr>
          <w:szCs w:val="18"/>
        </w:rPr>
        <w:t>, para. 6.2;</w:t>
      </w:r>
      <w:r>
        <w:rPr>
          <w:szCs w:val="18"/>
        </w:rPr>
        <w:t xml:space="preserve"> and</w:t>
      </w:r>
      <w:r w:rsidRPr="00621A61">
        <w:rPr>
          <w:szCs w:val="18"/>
        </w:rPr>
        <w:t xml:space="preserve"> No.</w:t>
      </w:r>
      <w:r>
        <w:rPr>
          <w:szCs w:val="18"/>
        </w:rPr>
        <w:t> </w:t>
      </w:r>
      <w:r w:rsidRPr="00621A61">
        <w:rPr>
          <w:szCs w:val="18"/>
        </w:rPr>
        <w:t>106/1998</w:t>
      </w:r>
      <w:r w:rsidRPr="0022269B">
        <w:rPr>
          <w:szCs w:val="18"/>
          <w:lang w:val="en-GB"/>
        </w:rPr>
        <w:t xml:space="preserve">, </w:t>
      </w:r>
      <w:r w:rsidRPr="00621A61">
        <w:rPr>
          <w:i/>
          <w:iCs/>
          <w:szCs w:val="18"/>
        </w:rPr>
        <w:t>N</w:t>
      </w:r>
      <w:r w:rsidRPr="00621A61">
        <w:rPr>
          <w:i/>
          <w:szCs w:val="18"/>
        </w:rPr>
        <w:t>.P. v. Australia</w:t>
      </w:r>
      <w:r w:rsidRPr="00621A61">
        <w:rPr>
          <w:szCs w:val="18"/>
        </w:rPr>
        <w:t xml:space="preserve">, </w:t>
      </w:r>
      <w:r w:rsidRPr="0022269B">
        <w:rPr>
          <w:szCs w:val="18"/>
          <w:lang w:val="en-GB"/>
        </w:rPr>
        <w:t>Views of 6 May 1999</w:t>
      </w:r>
      <w:r w:rsidRPr="00621A61">
        <w:rPr>
          <w:szCs w:val="18"/>
        </w:rPr>
        <w:t xml:space="preserve">, para. 6.6. </w:t>
      </w:r>
    </w:p>
  </w:footnote>
  <w:footnote w:id="22">
    <w:p w14:paraId="18B3BEE2"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See g</w:t>
      </w:r>
      <w:r w:rsidRPr="00621A61">
        <w:rPr>
          <w:szCs w:val="18"/>
        </w:rPr>
        <w:t xml:space="preserve">eneral </w:t>
      </w:r>
      <w:r w:rsidRPr="008538BE">
        <w:rPr>
          <w:szCs w:val="18"/>
          <w:lang w:val="en-GB"/>
        </w:rPr>
        <w:t>c</w:t>
      </w:r>
      <w:r w:rsidRPr="00621A61">
        <w:rPr>
          <w:szCs w:val="18"/>
        </w:rPr>
        <w:t>omment No. 1</w:t>
      </w:r>
      <w:r>
        <w:rPr>
          <w:szCs w:val="18"/>
        </w:rPr>
        <w:t>,</w:t>
      </w:r>
      <w:r w:rsidRPr="00621A61">
        <w:rPr>
          <w:szCs w:val="18"/>
        </w:rPr>
        <w:t xml:space="preserve"> para. 8. </w:t>
      </w:r>
    </w:p>
  </w:footnote>
  <w:footnote w:id="23">
    <w:p w14:paraId="42AEB480"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See c</w:t>
      </w:r>
      <w:r w:rsidRPr="00621A61">
        <w:rPr>
          <w:szCs w:val="18"/>
        </w:rPr>
        <w:t>ommunication</w:t>
      </w:r>
      <w:r w:rsidRPr="0022269B">
        <w:rPr>
          <w:szCs w:val="18"/>
          <w:lang w:val="en-GB"/>
        </w:rPr>
        <w:t>s</w:t>
      </w:r>
      <w:r w:rsidRPr="00621A61">
        <w:rPr>
          <w:szCs w:val="18"/>
        </w:rPr>
        <w:t xml:space="preserve"> No. 148/1999</w:t>
      </w:r>
      <w:r w:rsidRPr="0022269B">
        <w:rPr>
          <w:szCs w:val="18"/>
          <w:lang w:val="en-GB"/>
        </w:rPr>
        <w:t xml:space="preserve">, </w:t>
      </w:r>
      <w:r w:rsidRPr="00621A61">
        <w:rPr>
          <w:i/>
          <w:iCs/>
          <w:szCs w:val="18"/>
        </w:rPr>
        <w:t xml:space="preserve">A.K. v. Australia, </w:t>
      </w:r>
      <w:r w:rsidRPr="006438C9">
        <w:rPr>
          <w:iCs/>
          <w:szCs w:val="18"/>
          <w:lang w:val="en-GB"/>
        </w:rPr>
        <w:t xml:space="preserve">decision </w:t>
      </w:r>
      <w:r>
        <w:rPr>
          <w:iCs/>
          <w:szCs w:val="18"/>
          <w:lang w:val="en-GB"/>
        </w:rPr>
        <w:t>adopted</w:t>
      </w:r>
      <w:r w:rsidRPr="006438C9">
        <w:rPr>
          <w:iCs/>
          <w:szCs w:val="18"/>
          <w:lang w:val="en-GB"/>
        </w:rPr>
        <w:t xml:space="preserve"> 5 May</w:t>
      </w:r>
      <w:r>
        <w:rPr>
          <w:iCs/>
          <w:szCs w:val="18"/>
          <w:lang w:val="en-GB"/>
        </w:rPr>
        <w:t xml:space="preserve"> 2004</w:t>
      </w:r>
      <w:r w:rsidRPr="00621A61">
        <w:rPr>
          <w:szCs w:val="18"/>
        </w:rPr>
        <w:t xml:space="preserve">, para. 6.4; </w:t>
      </w:r>
      <w:r>
        <w:rPr>
          <w:szCs w:val="18"/>
        </w:rPr>
        <w:t xml:space="preserve">and </w:t>
      </w:r>
      <w:r w:rsidRPr="00621A61">
        <w:rPr>
          <w:szCs w:val="18"/>
        </w:rPr>
        <w:t>No.</w:t>
      </w:r>
      <w:r>
        <w:rPr>
          <w:szCs w:val="18"/>
        </w:rPr>
        <w:t> </w:t>
      </w:r>
      <w:r w:rsidRPr="00621A61">
        <w:rPr>
          <w:szCs w:val="18"/>
        </w:rPr>
        <w:t>215/1986</w:t>
      </w:r>
      <w:r w:rsidRPr="0022269B">
        <w:rPr>
          <w:szCs w:val="18"/>
          <w:lang w:val="en-GB"/>
        </w:rPr>
        <w:t>,</w:t>
      </w:r>
      <w:r w:rsidRPr="00621A61">
        <w:rPr>
          <w:szCs w:val="18"/>
        </w:rPr>
        <w:t xml:space="preserve"> </w:t>
      </w:r>
      <w:r w:rsidRPr="00621A61">
        <w:rPr>
          <w:i/>
          <w:szCs w:val="18"/>
        </w:rPr>
        <w:t>G.A. van Meurs v. the Netherlands</w:t>
      </w:r>
      <w:r w:rsidRPr="00621A61">
        <w:rPr>
          <w:szCs w:val="18"/>
        </w:rPr>
        <w:t>,</w:t>
      </w:r>
      <w:r w:rsidRPr="0022269B">
        <w:rPr>
          <w:szCs w:val="18"/>
          <w:lang w:val="en-GB"/>
        </w:rPr>
        <w:t xml:space="preserve"> Views of 13 </w:t>
      </w:r>
      <w:r>
        <w:rPr>
          <w:szCs w:val="18"/>
          <w:lang w:val="en-GB"/>
        </w:rPr>
        <w:t>J</w:t>
      </w:r>
      <w:r w:rsidRPr="0022269B">
        <w:rPr>
          <w:szCs w:val="18"/>
          <w:lang w:val="en-GB"/>
        </w:rPr>
        <w:t>uly 1990</w:t>
      </w:r>
      <w:r w:rsidRPr="00621A61">
        <w:rPr>
          <w:szCs w:val="18"/>
        </w:rPr>
        <w:t>, para. 7.1</w:t>
      </w:r>
      <w:r w:rsidRPr="0022269B">
        <w:rPr>
          <w:szCs w:val="18"/>
          <w:lang w:val="en-GB"/>
        </w:rPr>
        <w:t>.</w:t>
      </w:r>
      <w:r>
        <w:rPr>
          <w:szCs w:val="18"/>
          <w:lang w:val="en-GB"/>
        </w:rPr>
        <w:t xml:space="preserve"> </w:t>
      </w:r>
    </w:p>
  </w:footnote>
  <w:footnote w:id="24">
    <w:p w14:paraId="434F6885"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sidRPr="00621A61">
        <w:rPr>
          <w:szCs w:val="18"/>
        </w:rPr>
        <w:t>See</w:t>
      </w:r>
      <w:r>
        <w:rPr>
          <w:szCs w:val="18"/>
        </w:rPr>
        <w:t>,</w:t>
      </w:r>
      <w:r w:rsidRPr="00621A61">
        <w:rPr>
          <w:szCs w:val="18"/>
        </w:rPr>
        <w:t xml:space="preserve"> for example</w:t>
      </w:r>
      <w:r>
        <w:rPr>
          <w:szCs w:val="18"/>
        </w:rPr>
        <w:t>,</w:t>
      </w:r>
      <w:r w:rsidRPr="00621A61">
        <w:rPr>
          <w:szCs w:val="18"/>
        </w:rPr>
        <w:t xml:space="preserve"> the decisions in </w:t>
      </w:r>
      <w:r w:rsidRPr="0022269B">
        <w:rPr>
          <w:szCs w:val="18"/>
          <w:lang w:val="en-GB"/>
        </w:rPr>
        <w:t xml:space="preserve">communications </w:t>
      </w:r>
      <w:r w:rsidRPr="00621A61">
        <w:rPr>
          <w:szCs w:val="18"/>
        </w:rPr>
        <w:t>No. 148/1999</w:t>
      </w:r>
      <w:r w:rsidRPr="0022269B">
        <w:rPr>
          <w:szCs w:val="18"/>
          <w:lang w:val="en-GB"/>
        </w:rPr>
        <w:t xml:space="preserve">, </w:t>
      </w:r>
      <w:r w:rsidRPr="00621A61">
        <w:rPr>
          <w:i/>
          <w:iCs/>
          <w:szCs w:val="18"/>
        </w:rPr>
        <w:t>A.K. v. Australia</w:t>
      </w:r>
      <w:r w:rsidRPr="00621A61">
        <w:rPr>
          <w:szCs w:val="18"/>
        </w:rPr>
        <w:t xml:space="preserve">, para. 6.4; </w:t>
      </w:r>
      <w:r>
        <w:rPr>
          <w:szCs w:val="18"/>
        </w:rPr>
        <w:t xml:space="preserve">and </w:t>
      </w:r>
      <w:r w:rsidRPr="00621A61">
        <w:rPr>
          <w:szCs w:val="18"/>
        </w:rPr>
        <w:t>No.</w:t>
      </w:r>
      <w:r>
        <w:rPr>
          <w:szCs w:val="18"/>
        </w:rPr>
        <w:t> </w:t>
      </w:r>
      <w:r w:rsidRPr="00621A61">
        <w:rPr>
          <w:szCs w:val="18"/>
        </w:rPr>
        <w:t>135/1999</w:t>
      </w:r>
      <w:r w:rsidRPr="0022269B">
        <w:rPr>
          <w:szCs w:val="18"/>
          <w:lang w:val="en-GB"/>
        </w:rPr>
        <w:t xml:space="preserve">, </w:t>
      </w:r>
      <w:r w:rsidRPr="00621A61">
        <w:rPr>
          <w:i/>
          <w:iCs/>
          <w:szCs w:val="18"/>
        </w:rPr>
        <w:t>S.G. v. The Netherlands</w:t>
      </w:r>
      <w:r w:rsidRPr="00621A61">
        <w:rPr>
          <w:szCs w:val="18"/>
        </w:rPr>
        <w:t>, para.</w:t>
      </w:r>
      <w:r>
        <w:rPr>
          <w:szCs w:val="18"/>
        </w:rPr>
        <w:t xml:space="preserve"> </w:t>
      </w:r>
      <w:r w:rsidRPr="00621A61">
        <w:rPr>
          <w:szCs w:val="18"/>
        </w:rPr>
        <w:t xml:space="preserve">6.6. </w:t>
      </w:r>
    </w:p>
  </w:footnote>
  <w:footnote w:id="25">
    <w:p w14:paraId="58697DDF"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See c</w:t>
      </w:r>
      <w:r w:rsidRPr="00621A61">
        <w:rPr>
          <w:szCs w:val="18"/>
        </w:rPr>
        <w:t>ommunication No. 370/2009</w:t>
      </w:r>
      <w:r w:rsidRPr="0022269B">
        <w:rPr>
          <w:szCs w:val="18"/>
          <w:lang w:val="en-GB"/>
        </w:rPr>
        <w:t xml:space="preserve">, </w:t>
      </w:r>
      <w:r w:rsidRPr="00621A61">
        <w:rPr>
          <w:i/>
          <w:szCs w:val="18"/>
        </w:rPr>
        <w:t>E.L. v. Canada</w:t>
      </w:r>
      <w:r w:rsidRPr="00621A61">
        <w:rPr>
          <w:szCs w:val="18"/>
        </w:rPr>
        <w:t>,</w:t>
      </w:r>
      <w:r w:rsidRPr="0022269B">
        <w:rPr>
          <w:szCs w:val="18"/>
          <w:lang w:val="en-GB"/>
        </w:rPr>
        <w:t xml:space="preserve"> decision </w:t>
      </w:r>
      <w:r>
        <w:rPr>
          <w:szCs w:val="18"/>
          <w:lang w:val="en-GB"/>
        </w:rPr>
        <w:t>adopted</w:t>
      </w:r>
      <w:r w:rsidRPr="0022269B">
        <w:rPr>
          <w:szCs w:val="18"/>
          <w:lang w:val="en-GB"/>
        </w:rPr>
        <w:t xml:space="preserve"> 21 May 2012</w:t>
      </w:r>
      <w:r w:rsidRPr="00621A61">
        <w:rPr>
          <w:szCs w:val="18"/>
        </w:rPr>
        <w:t>, para. 8.7.</w:t>
      </w:r>
      <w:r>
        <w:rPr>
          <w:szCs w:val="18"/>
        </w:rPr>
        <w:t xml:space="preserve"> </w:t>
      </w:r>
    </w:p>
  </w:footnote>
  <w:footnote w:id="26">
    <w:p w14:paraId="620EBFC2"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sidRPr="00621A61">
        <w:rPr>
          <w:szCs w:val="18"/>
          <w:lang w:val="en-CA"/>
        </w:rPr>
        <w:t>See</w:t>
      </w:r>
      <w:r>
        <w:rPr>
          <w:szCs w:val="18"/>
          <w:lang w:val="en-CA"/>
        </w:rPr>
        <w:t>, for example,</w:t>
      </w:r>
      <w:r w:rsidRPr="00621A61">
        <w:rPr>
          <w:szCs w:val="18"/>
          <w:lang w:val="en-CA"/>
        </w:rPr>
        <w:t xml:space="preserve"> </w:t>
      </w:r>
      <w:r>
        <w:rPr>
          <w:szCs w:val="18"/>
          <w:lang w:val="en-CA"/>
        </w:rPr>
        <w:t>c</w:t>
      </w:r>
      <w:r w:rsidRPr="00621A61">
        <w:rPr>
          <w:szCs w:val="18"/>
          <w:lang w:val="en-CA"/>
        </w:rPr>
        <w:t>ommunication</w:t>
      </w:r>
      <w:r>
        <w:rPr>
          <w:szCs w:val="18"/>
          <w:lang w:val="en-CA"/>
        </w:rPr>
        <w:t>s</w:t>
      </w:r>
      <w:r w:rsidRPr="00621A61">
        <w:rPr>
          <w:szCs w:val="18"/>
          <w:lang w:val="en-CA"/>
        </w:rPr>
        <w:t xml:space="preserve"> No. 235/2003</w:t>
      </w:r>
      <w:r>
        <w:rPr>
          <w:szCs w:val="18"/>
          <w:lang w:val="en-CA"/>
        </w:rPr>
        <w:t xml:space="preserve">, </w:t>
      </w:r>
      <w:r w:rsidRPr="00621A61">
        <w:rPr>
          <w:i/>
          <w:szCs w:val="18"/>
          <w:lang w:val="en-CA"/>
        </w:rPr>
        <w:t>M.S.H. v. Sweden</w:t>
      </w:r>
      <w:r w:rsidRPr="00621A61">
        <w:rPr>
          <w:szCs w:val="18"/>
          <w:lang w:val="en-CA"/>
        </w:rPr>
        <w:t xml:space="preserve">, </w:t>
      </w:r>
      <w:r>
        <w:rPr>
          <w:szCs w:val="18"/>
          <w:lang w:val="en-CA"/>
        </w:rPr>
        <w:t xml:space="preserve">decision adopted 14 November 2005; and </w:t>
      </w:r>
      <w:r w:rsidRPr="00621A61">
        <w:rPr>
          <w:szCs w:val="18"/>
          <w:lang w:val="en-CA"/>
        </w:rPr>
        <w:t>No.</w:t>
      </w:r>
      <w:r>
        <w:rPr>
          <w:szCs w:val="18"/>
          <w:lang w:val="en-CA"/>
        </w:rPr>
        <w:t> </w:t>
      </w:r>
      <w:r w:rsidRPr="00621A61">
        <w:rPr>
          <w:szCs w:val="18"/>
          <w:lang w:val="en-CA"/>
        </w:rPr>
        <w:t>338/2008</w:t>
      </w:r>
      <w:r>
        <w:rPr>
          <w:szCs w:val="18"/>
          <w:lang w:val="en-CA"/>
        </w:rPr>
        <w:t xml:space="preserve">, </w:t>
      </w:r>
      <w:r w:rsidRPr="00621A61">
        <w:rPr>
          <w:i/>
          <w:szCs w:val="18"/>
          <w:lang w:val="en-CA"/>
        </w:rPr>
        <w:t>Mondal v. Sweden,</w:t>
      </w:r>
      <w:r w:rsidRPr="00621A61">
        <w:rPr>
          <w:szCs w:val="18"/>
          <w:lang w:val="en-CA"/>
        </w:rPr>
        <w:t xml:space="preserve"> </w:t>
      </w:r>
      <w:r>
        <w:rPr>
          <w:szCs w:val="18"/>
          <w:lang w:val="en-CA"/>
        </w:rPr>
        <w:t>decision adopted 23 May 2011</w:t>
      </w:r>
      <w:r w:rsidRPr="00621A61">
        <w:rPr>
          <w:szCs w:val="18"/>
          <w:lang w:val="en-CA"/>
        </w:rPr>
        <w:t>.</w:t>
      </w:r>
      <w:r w:rsidRPr="00E25746">
        <w:rPr>
          <w:szCs w:val="18"/>
        </w:rPr>
        <w:t xml:space="preserve"> </w:t>
      </w:r>
    </w:p>
  </w:footnote>
  <w:footnote w:id="27">
    <w:p w14:paraId="6ADF56F5"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lang w:val="en-GB"/>
        </w:rPr>
        <w:t>See c</w:t>
      </w:r>
      <w:r w:rsidRPr="00621A61">
        <w:rPr>
          <w:szCs w:val="18"/>
          <w:lang w:val="en-CA"/>
        </w:rPr>
        <w:t>ommunication No. 119/1998</w:t>
      </w:r>
      <w:r>
        <w:rPr>
          <w:szCs w:val="18"/>
          <w:lang w:val="en-CA"/>
        </w:rPr>
        <w:t xml:space="preserve">, </w:t>
      </w:r>
      <w:r w:rsidRPr="00621A61">
        <w:rPr>
          <w:i/>
          <w:szCs w:val="18"/>
          <w:lang w:val="en-CA"/>
        </w:rPr>
        <w:t>V.N.I.M. v. Canada</w:t>
      </w:r>
      <w:r w:rsidRPr="00621A61">
        <w:rPr>
          <w:szCs w:val="18"/>
          <w:lang w:val="en-CA"/>
        </w:rPr>
        <w:t>,</w:t>
      </w:r>
      <w:r>
        <w:rPr>
          <w:szCs w:val="18"/>
          <w:lang w:val="en-CA"/>
        </w:rPr>
        <w:t xml:space="preserve"> decision adopted </w:t>
      </w:r>
      <w:r>
        <w:t>12 November 2002</w:t>
      </w:r>
      <w:r w:rsidRPr="0022269B">
        <w:rPr>
          <w:lang w:val="en-GB"/>
        </w:rPr>
        <w:t>,</w:t>
      </w:r>
      <w:r w:rsidRPr="00621A61">
        <w:rPr>
          <w:szCs w:val="18"/>
          <w:lang w:val="en-CA"/>
        </w:rPr>
        <w:t xml:space="preserve"> paras. 8.4-8.5.</w:t>
      </w:r>
      <w:r w:rsidRPr="00E25746">
        <w:rPr>
          <w:szCs w:val="18"/>
        </w:rPr>
        <w:t xml:space="preserve"> </w:t>
      </w:r>
    </w:p>
  </w:footnote>
  <w:footnote w:id="28">
    <w:p w14:paraId="1517DAE9" w14:textId="77777777" w:rsidR="00E50635" w:rsidRPr="00621A61" w:rsidRDefault="00E50635" w:rsidP="0022269B">
      <w:pPr>
        <w:pStyle w:val="FootnoteText"/>
        <w:widowControl w:val="0"/>
        <w:rPr>
          <w:szCs w:val="18"/>
        </w:rPr>
      </w:pPr>
      <w:r w:rsidRPr="00621A61">
        <w:rPr>
          <w:szCs w:val="18"/>
        </w:rPr>
        <w:tab/>
      </w:r>
      <w:r w:rsidRPr="00B93F00">
        <w:rPr>
          <w:rStyle w:val="FootnoteReference"/>
          <w:szCs w:val="18"/>
        </w:rPr>
        <w:footnoteRef/>
      </w:r>
      <w:r w:rsidRPr="00B93F00">
        <w:rPr>
          <w:szCs w:val="18"/>
        </w:rPr>
        <w:tab/>
        <w:t xml:space="preserve">The State party acknowledges the Human Rights Committee’s relatively recent final views in </w:t>
      </w:r>
      <w:r>
        <w:rPr>
          <w:szCs w:val="18"/>
        </w:rPr>
        <w:t>c</w:t>
      </w:r>
      <w:r w:rsidRPr="0052006C">
        <w:rPr>
          <w:szCs w:val="18"/>
        </w:rPr>
        <w:t>omm</w:t>
      </w:r>
      <w:r w:rsidRPr="00621A61">
        <w:rPr>
          <w:szCs w:val="18"/>
        </w:rPr>
        <w:t>unication No. 1898/2009</w:t>
      </w:r>
      <w:r>
        <w:rPr>
          <w:szCs w:val="18"/>
        </w:rPr>
        <w:t>,</w:t>
      </w:r>
      <w:r w:rsidRPr="00621A61">
        <w:rPr>
          <w:szCs w:val="18"/>
        </w:rPr>
        <w:t xml:space="preserve"> </w:t>
      </w:r>
      <w:r w:rsidRPr="00B93F00">
        <w:rPr>
          <w:i/>
          <w:iCs/>
          <w:szCs w:val="18"/>
        </w:rPr>
        <w:t>Choudhary v. Canada</w:t>
      </w:r>
      <w:r w:rsidRPr="00152CDE">
        <w:rPr>
          <w:iCs/>
          <w:szCs w:val="18"/>
        </w:rPr>
        <w:t>,</w:t>
      </w:r>
      <w:r w:rsidRPr="0052006C">
        <w:rPr>
          <w:i/>
          <w:iCs/>
          <w:szCs w:val="18"/>
        </w:rPr>
        <w:t xml:space="preserve"> </w:t>
      </w:r>
      <w:r>
        <w:rPr>
          <w:szCs w:val="18"/>
        </w:rPr>
        <w:t>Views adopted 31 August 2009</w:t>
      </w:r>
      <w:r w:rsidRPr="00621A61">
        <w:rPr>
          <w:szCs w:val="18"/>
        </w:rPr>
        <w:t xml:space="preserve">. It does not dispute the general view that Shia Muslims face some level of persecution in Pakistan, a Sunni majority country. However, </w:t>
      </w:r>
      <w:r w:rsidRPr="00621A61">
        <w:rPr>
          <w:i/>
          <w:iCs/>
          <w:szCs w:val="18"/>
        </w:rPr>
        <w:t>Choudhary</w:t>
      </w:r>
      <w:r>
        <w:rPr>
          <w:i/>
          <w:iCs/>
          <w:szCs w:val="18"/>
        </w:rPr>
        <w:t xml:space="preserve"> v. Canada</w:t>
      </w:r>
      <w:r w:rsidRPr="00621A61">
        <w:rPr>
          <w:szCs w:val="18"/>
        </w:rPr>
        <w:t xml:space="preserve"> is distinguishable from th</w:t>
      </w:r>
      <w:r>
        <w:rPr>
          <w:szCs w:val="18"/>
        </w:rPr>
        <w:t>e present</w:t>
      </w:r>
      <w:r w:rsidRPr="00621A61">
        <w:rPr>
          <w:szCs w:val="18"/>
        </w:rPr>
        <w:t xml:space="preserve"> communication on several grounds: in </w:t>
      </w:r>
      <w:r w:rsidRPr="00621A61">
        <w:rPr>
          <w:i/>
          <w:iCs/>
          <w:szCs w:val="18"/>
        </w:rPr>
        <w:t>Choudhary</w:t>
      </w:r>
      <w:r>
        <w:rPr>
          <w:i/>
          <w:iCs/>
          <w:szCs w:val="18"/>
        </w:rPr>
        <w:t xml:space="preserve"> v. Canada</w:t>
      </w:r>
      <w:r w:rsidRPr="00621A61">
        <w:rPr>
          <w:szCs w:val="18"/>
        </w:rPr>
        <w:t xml:space="preserve">, the author had provided proof of </w:t>
      </w:r>
      <w:r>
        <w:rPr>
          <w:szCs w:val="18"/>
        </w:rPr>
        <w:t>S</w:t>
      </w:r>
      <w:r w:rsidRPr="00621A61">
        <w:rPr>
          <w:szCs w:val="18"/>
        </w:rPr>
        <w:t xml:space="preserve">tate involvement in the persecution, namely proof that criminal blasphemy charges had been laid against him; in contrast, the complainant in the present case has provided no evidence of </w:t>
      </w:r>
      <w:r>
        <w:rPr>
          <w:szCs w:val="18"/>
        </w:rPr>
        <w:t>S</w:t>
      </w:r>
      <w:r w:rsidRPr="00621A61">
        <w:rPr>
          <w:szCs w:val="18"/>
        </w:rPr>
        <w:t xml:space="preserve">tate acquiescence. Secondly, the Human Rights Committee considered violations of articles 6 and 7 of the </w:t>
      </w:r>
      <w:r w:rsidRPr="0022269B">
        <w:rPr>
          <w:iCs/>
          <w:szCs w:val="18"/>
        </w:rPr>
        <w:t>International Covenant on Civil and Political Rights</w:t>
      </w:r>
      <w:r w:rsidRPr="00621A61">
        <w:rPr>
          <w:szCs w:val="18"/>
        </w:rPr>
        <w:t xml:space="preserve">, the right to life and the right to be free from torture or cruel, inhuman or degrading treatment or punishment. Articles 6 and 7 are much broader than the </w:t>
      </w:r>
      <w:r w:rsidRPr="0022269B">
        <w:rPr>
          <w:szCs w:val="18"/>
        </w:rPr>
        <w:t>non-refoulement</w:t>
      </w:r>
      <w:r w:rsidRPr="00C1327A">
        <w:rPr>
          <w:szCs w:val="18"/>
        </w:rPr>
        <w:t xml:space="preserve"> obligation contained in article 3 of the </w:t>
      </w:r>
      <w:r w:rsidRPr="0022269B">
        <w:rPr>
          <w:szCs w:val="18"/>
        </w:rPr>
        <w:t>Convention</w:t>
      </w:r>
      <w:r w:rsidRPr="00C1327A">
        <w:rPr>
          <w:szCs w:val="18"/>
        </w:rPr>
        <w:t>, w</w:t>
      </w:r>
      <w:r w:rsidRPr="00621A61">
        <w:rPr>
          <w:szCs w:val="18"/>
        </w:rPr>
        <w:t>hich is restricted to torture, not other forms of persecution.</w:t>
      </w:r>
      <w:r>
        <w:rPr>
          <w:szCs w:val="18"/>
        </w:rPr>
        <w:t xml:space="preserve"> </w:t>
      </w:r>
    </w:p>
  </w:footnote>
  <w:footnote w:id="29">
    <w:p w14:paraId="4F35D152"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 xml:space="preserve">See </w:t>
      </w:r>
      <w:r w:rsidRPr="00621A61">
        <w:rPr>
          <w:szCs w:val="18"/>
        </w:rPr>
        <w:t>United Kingdom (Home Office), “Country Information and Guidance: Pakistan: Religious Freedom” (2014)</w:t>
      </w:r>
      <w:r>
        <w:rPr>
          <w:szCs w:val="18"/>
        </w:rPr>
        <w:t>,</w:t>
      </w:r>
      <w:r w:rsidRPr="00621A61">
        <w:rPr>
          <w:szCs w:val="18"/>
        </w:rPr>
        <w:t xml:space="preserve"> para.</w:t>
      </w:r>
      <w:r>
        <w:rPr>
          <w:szCs w:val="18"/>
        </w:rPr>
        <w:t xml:space="preserve"> </w:t>
      </w:r>
      <w:r w:rsidRPr="00621A61">
        <w:rPr>
          <w:szCs w:val="18"/>
        </w:rPr>
        <w:t xml:space="preserve">1.3.37, </w:t>
      </w:r>
      <w:r>
        <w:rPr>
          <w:szCs w:val="18"/>
        </w:rPr>
        <w:t>available at</w:t>
      </w:r>
      <w:r w:rsidRPr="00621A61">
        <w:rPr>
          <w:szCs w:val="18"/>
        </w:rPr>
        <w:t xml:space="preserve">: </w:t>
      </w:r>
      <w:hyperlink r:id="rId3" w:history="1">
        <w:r w:rsidRPr="00621A61">
          <w:rPr>
            <w:rStyle w:val="Hyperlink"/>
            <w:szCs w:val="18"/>
          </w:rPr>
          <w:t>www.gov.uk/government/uploads/system/uploads/attachment_data/file/331640/Pakistan_CIG.Religious_freedom.2014.07.16.v1.0.pdf</w:t>
        </w:r>
      </w:hyperlink>
      <w:r w:rsidRPr="00621A61">
        <w:rPr>
          <w:szCs w:val="18"/>
        </w:rPr>
        <w:t>. However, see also United States (Commission on Religious Freedom), 2014 Annual Report</w:t>
      </w:r>
      <w:r>
        <w:rPr>
          <w:szCs w:val="18"/>
        </w:rPr>
        <w:t>,</w:t>
      </w:r>
      <w:r w:rsidRPr="00621A61">
        <w:rPr>
          <w:szCs w:val="18"/>
        </w:rPr>
        <w:t xml:space="preserve"> </w:t>
      </w:r>
      <w:r>
        <w:rPr>
          <w:szCs w:val="18"/>
        </w:rPr>
        <w:t xml:space="preserve">pps. </w:t>
      </w:r>
      <w:r w:rsidRPr="00621A61">
        <w:rPr>
          <w:szCs w:val="18"/>
        </w:rPr>
        <w:t xml:space="preserve">75-77, </w:t>
      </w:r>
      <w:r>
        <w:rPr>
          <w:szCs w:val="18"/>
        </w:rPr>
        <w:t>available at</w:t>
      </w:r>
      <w:r w:rsidRPr="00621A61">
        <w:rPr>
          <w:szCs w:val="18"/>
        </w:rPr>
        <w:t xml:space="preserve">: </w:t>
      </w:r>
      <w:hyperlink r:id="rId4" w:history="1">
        <w:r w:rsidRPr="00621A61">
          <w:rPr>
            <w:rStyle w:val="Hyperlink"/>
            <w:szCs w:val="18"/>
          </w:rPr>
          <w:t>www.uscirf.gov/reports-briefs/annual-report/2014-annual-report</w:t>
        </w:r>
      </w:hyperlink>
      <w:r w:rsidRPr="00621A61">
        <w:rPr>
          <w:szCs w:val="18"/>
        </w:rPr>
        <w:t xml:space="preserve">. </w:t>
      </w:r>
    </w:p>
  </w:footnote>
  <w:footnote w:id="30">
    <w:p w14:paraId="5EAC04DD"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 xml:space="preserve">See </w:t>
      </w:r>
      <w:r w:rsidRPr="00621A61">
        <w:rPr>
          <w:szCs w:val="18"/>
        </w:rPr>
        <w:t>U</w:t>
      </w:r>
      <w:r>
        <w:rPr>
          <w:szCs w:val="18"/>
        </w:rPr>
        <w:t xml:space="preserve">nited </w:t>
      </w:r>
      <w:r w:rsidRPr="00621A61">
        <w:rPr>
          <w:szCs w:val="18"/>
        </w:rPr>
        <w:t>K</w:t>
      </w:r>
      <w:r>
        <w:rPr>
          <w:szCs w:val="18"/>
        </w:rPr>
        <w:t>ingdom</w:t>
      </w:r>
      <w:r w:rsidRPr="00621A61">
        <w:rPr>
          <w:szCs w:val="18"/>
        </w:rPr>
        <w:t xml:space="preserve"> Home Office</w:t>
      </w:r>
      <w:r>
        <w:rPr>
          <w:szCs w:val="18"/>
        </w:rPr>
        <w:t>, “</w:t>
      </w:r>
      <w:r w:rsidRPr="00621A61">
        <w:rPr>
          <w:szCs w:val="18"/>
        </w:rPr>
        <w:t>Country Information and Guidance: Pakistan: Religious Freedom</w:t>
      </w:r>
      <w:r>
        <w:rPr>
          <w:szCs w:val="18"/>
        </w:rPr>
        <w:t>”,</w:t>
      </w:r>
      <w:r w:rsidRPr="00621A61">
        <w:rPr>
          <w:szCs w:val="18"/>
        </w:rPr>
        <w:t xml:space="preserve"> para. 1.3.33. </w:t>
      </w:r>
    </w:p>
  </w:footnote>
  <w:footnote w:id="31">
    <w:p w14:paraId="08437678"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Ibid.,</w:t>
      </w:r>
      <w:r w:rsidRPr="00621A61">
        <w:rPr>
          <w:szCs w:val="18"/>
        </w:rPr>
        <w:t xml:space="preserve"> paras. 2.5.9, 1.3.35. </w:t>
      </w:r>
    </w:p>
  </w:footnote>
  <w:footnote w:id="32">
    <w:p w14:paraId="1F248774"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lang w:val="en-GB"/>
        </w:rPr>
        <w:t>See c</w:t>
      </w:r>
      <w:r w:rsidRPr="0022269B">
        <w:rPr>
          <w:szCs w:val="18"/>
          <w:lang w:val="en-GB"/>
        </w:rPr>
        <w:t xml:space="preserve">ommunications </w:t>
      </w:r>
      <w:r w:rsidRPr="00621A61">
        <w:rPr>
          <w:szCs w:val="18"/>
        </w:rPr>
        <w:t>No. 183/2001</w:t>
      </w:r>
      <w:r w:rsidRPr="0022269B">
        <w:rPr>
          <w:szCs w:val="18"/>
          <w:lang w:val="en-GB"/>
        </w:rPr>
        <w:t xml:space="preserve">, </w:t>
      </w:r>
      <w:r w:rsidRPr="00621A61">
        <w:rPr>
          <w:i/>
          <w:szCs w:val="18"/>
        </w:rPr>
        <w:t>B.S.S. v. Canada</w:t>
      </w:r>
      <w:r w:rsidRPr="00621A61">
        <w:rPr>
          <w:szCs w:val="18"/>
        </w:rPr>
        <w:t>,</w:t>
      </w:r>
      <w:r w:rsidRPr="0022269B">
        <w:rPr>
          <w:szCs w:val="18"/>
          <w:lang w:val="en-GB"/>
        </w:rPr>
        <w:t xml:space="preserve"> decision </w:t>
      </w:r>
      <w:r>
        <w:rPr>
          <w:szCs w:val="18"/>
          <w:lang w:val="en-GB"/>
        </w:rPr>
        <w:t>adopted</w:t>
      </w:r>
      <w:r w:rsidRPr="0022269B">
        <w:rPr>
          <w:szCs w:val="18"/>
          <w:lang w:val="en-GB"/>
        </w:rPr>
        <w:t xml:space="preserve"> </w:t>
      </w:r>
      <w:r>
        <w:rPr>
          <w:lang w:val="en"/>
        </w:rPr>
        <w:t>12 May 2004,</w:t>
      </w:r>
      <w:r w:rsidRPr="00621A61">
        <w:rPr>
          <w:szCs w:val="18"/>
        </w:rPr>
        <w:t xml:space="preserve"> para. 11.5;</w:t>
      </w:r>
      <w:r>
        <w:rPr>
          <w:szCs w:val="18"/>
        </w:rPr>
        <w:t xml:space="preserve"> and</w:t>
      </w:r>
      <w:r w:rsidRPr="00621A61">
        <w:rPr>
          <w:szCs w:val="18"/>
        </w:rPr>
        <w:t xml:space="preserve"> No.</w:t>
      </w:r>
      <w:r>
        <w:rPr>
          <w:szCs w:val="18"/>
        </w:rPr>
        <w:t> </w:t>
      </w:r>
      <w:r w:rsidRPr="00621A61">
        <w:rPr>
          <w:szCs w:val="18"/>
        </w:rPr>
        <w:t>245/2005</w:t>
      </w:r>
      <w:r w:rsidRPr="0022269B">
        <w:rPr>
          <w:szCs w:val="18"/>
          <w:lang w:val="en-GB"/>
        </w:rPr>
        <w:t xml:space="preserve">, </w:t>
      </w:r>
      <w:r w:rsidRPr="00621A61">
        <w:rPr>
          <w:i/>
          <w:iCs/>
          <w:szCs w:val="18"/>
        </w:rPr>
        <w:t>S.S.S. v. Canada</w:t>
      </w:r>
      <w:r w:rsidRPr="00621A61">
        <w:rPr>
          <w:szCs w:val="18"/>
        </w:rPr>
        <w:t xml:space="preserve">, </w:t>
      </w:r>
      <w:r w:rsidRPr="0022269B">
        <w:rPr>
          <w:szCs w:val="18"/>
          <w:lang w:val="en-GB"/>
        </w:rPr>
        <w:t xml:space="preserve">decision </w:t>
      </w:r>
      <w:r>
        <w:rPr>
          <w:szCs w:val="18"/>
          <w:lang w:val="en-GB"/>
        </w:rPr>
        <w:t>adopted</w:t>
      </w:r>
      <w:r w:rsidRPr="0022269B">
        <w:rPr>
          <w:szCs w:val="18"/>
          <w:lang w:val="en-GB"/>
        </w:rPr>
        <w:t xml:space="preserve"> </w:t>
      </w:r>
      <w:r w:rsidRPr="008538BE">
        <w:rPr>
          <w:szCs w:val="18"/>
          <w:lang w:val="en"/>
        </w:rPr>
        <w:t>16 Nov 2005</w:t>
      </w:r>
      <w:r>
        <w:rPr>
          <w:szCs w:val="18"/>
          <w:lang w:val="en"/>
        </w:rPr>
        <w:t xml:space="preserve">, </w:t>
      </w:r>
      <w:r w:rsidRPr="00621A61">
        <w:rPr>
          <w:szCs w:val="18"/>
        </w:rPr>
        <w:t xml:space="preserve">para. 8.5. </w:t>
      </w:r>
    </w:p>
  </w:footnote>
  <w:footnote w:id="33">
    <w:p w14:paraId="576D26E9"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sidRPr="00621A61">
        <w:rPr>
          <w:color w:val="000000"/>
          <w:szCs w:val="18"/>
          <w:lang w:val="en-CA"/>
        </w:rPr>
        <w:t>Immigration and Refugee Board of Canada (Research Directorate), “</w:t>
      </w:r>
      <w:r w:rsidRPr="00621A61">
        <w:rPr>
          <w:color w:val="000000"/>
          <w:szCs w:val="18"/>
        </w:rPr>
        <w:t>Pakistan: Treatment of failed refugee claimants in Pakistan” (</w:t>
      </w:r>
      <w:r>
        <w:rPr>
          <w:color w:val="000000"/>
          <w:szCs w:val="18"/>
        </w:rPr>
        <w:t xml:space="preserve">2 </w:t>
      </w:r>
      <w:r w:rsidRPr="00621A61">
        <w:rPr>
          <w:color w:val="000000"/>
          <w:szCs w:val="18"/>
        </w:rPr>
        <w:t>December 2008).</w:t>
      </w:r>
      <w:r w:rsidRPr="00E25746">
        <w:rPr>
          <w:szCs w:val="18"/>
        </w:rPr>
        <w:t xml:space="preserve"> </w:t>
      </w:r>
    </w:p>
  </w:footnote>
  <w:footnote w:id="34">
    <w:p w14:paraId="117A9436"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sidRPr="0085398C">
        <w:rPr>
          <w:lang w:val="en-GB"/>
        </w:rPr>
        <w:t>Immigration and Refugee Board</w:t>
      </w:r>
      <w:r w:rsidRPr="0085398C">
        <w:rPr>
          <w:bCs/>
          <w:color w:val="333333"/>
          <w:szCs w:val="18"/>
        </w:rPr>
        <w:t xml:space="preserve"> of Canada Response to Information Request</w:t>
      </w:r>
      <w:r w:rsidRPr="0085398C">
        <w:rPr>
          <w:szCs w:val="18"/>
        </w:rPr>
        <w:t>.</w:t>
      </w:r>
      <w:r w:rsidRPr="00621A61">
        <w:rPr>
          <w:szCs w:val="18"/>
        </w:rPr>
        <w:t xml:space="preserve"> The Human Rights Commission of Pakistan describes itself as an independent non-government</w:t>
      </w:r>
      <w:r>
        <w:rPr>
          <w:szCs w:val="18"/>
        </w:rPr>
        <w:t>al</w:t>
      </w:r>
      <w:r w:rsidRPr="00621A61">
        <w:rPr>
          <w:szCs w:val="18"/>
        </w:rPr>
        <w:t xml:space="preserve"> organization. See Human Rights Commission of Pakistan, “Mission &amp; Vision”</w:t>
      </w:r>
      <w:r>
        <w:rPr>
          <w:szCs w:val="18"/>
        </w:rPr>
        <w:t xml:space="preserve"> </w:t>
      </w:r>
      <w:r w:rsidRPr="00621A61">
        <w:rPr>
          <w:szCs w:val="18"/>
        </w:rPr>
        <w:t xml:space="preserve">(2015), </w:t>
      </w:r>
      <w:r>
        <w:rPr>
          <w:szCs w:val="18"/>
        </w:rPr>
        <w:t>available at</w:t>
      </w:r>
      <w:r w:rsidRPr="00621A61">
        <w:rPr>
          <w:szCs w:val="18"/>
        </w:rPr>
        <w:t xml:space="preserve">: </w:t>
      </w:r>
      <w:hyperlink r:id="rId5" w:history="1">
        <w:r w:rsidRPr="00621A61">
          <w:rPr>
            <w:rStyle w:val="Hyperlink"/>
            <w:szCs w:val="18"/>
          </w:rPr>
          <w:t>http://hrcp-web.org/hrcpweb/about-hrcp/mission-vision/</w:t>
        </w:r>
      </w:hyperlink>
      <w:r w:rsidRPr="00621A61">
        <w:rPr>
          <w:szCs w:val="18"/>
        </w:rPr>
        <w:t xml:space="preserve">. </w:t>
      </w:r>
    </w:p>
  </w:footnote>
  <w:footnote w:id="35">
    <w:p w14:paraId="26948DBF"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Pr>
          <w:szCs w:val="18"/>
        </w:rPr>
        <w:t xml:space="preserve">See </w:t>
      </w:r>
      <w:r w:rsidRPr="00621A61">
        <w:rPr>
          <w:szCs w:val="18"/>
        </w:rPr>
        <w:t xml:space="preserve">United States (Department of State), </w:t>
      </w:r>
      <w:r>
        <w:rPr>
          <w:szCs w:val="18"/>
        </w:rPr>
        <w:t>“</w:t>
      </w:r>
      <w:r w:rsidRPr="00E25746">
        <w:rPr>
          <w:szCs w:val="18"/>
          <w:lang w:val="en-GB"/>
        </w:rPr>
        <w:t>Pakistan 2013 International Religious Freedom Report</w:t>
      </w:r>
      <w:r>
        <w:rPr>
          <w:szCs w:val="18"/>
          <w:lang w:val="en-GB"/>
        </w:rPr>
        <w:t>”</w:t>
      </w:r>
      <w:r w:rsidRPr="00E25746">
        <w:rPr>
          <w:szCs w:val="18"/>
          <w:lang w:val="en-GB"/>
        </w:rPr>
        <w:t>, at page 17, available at</w:t>
      </w:r>
      <w:r>
        <w:rPr>
          <w:szCs w:val="18"/>
          <w:lang w:val="en-GB"/>
        </w:rPr>
        <w:t>:</w:t>
      </w:r>
      <w:r w:rsidRPr="00E25746">
        <w:rPr>
          <w:szCs w:val="18"/>
          <w:lang w:val="en-GB"/>
        </w:rPr>
        <w:t xml:space="preserve"> </w:t>
      </w:r>
      <w:hyperlink r:id="rId6" w:history="1">
        <w:r w:rsidRPr="00E25746">
          <w:rPr>
            <w:rStyle w:val="Hyperlink"/>
            <w:szCs w:val="18"/>
            <w:lang w:val="en-GB"/>
          </w:rPr>
          <w:t>www.state.gov/documents/organization/222551.pdf</w:t>
        </w:r>
      </w:hyperlink>
      <w:r w:rsidRPr="00E25746">
        <w:rPr>
          <w:szCs w:val="18"/>
          <w:lang w:val="en-GB"/>
        </w:rPr>
        <w:t>.</w:t>
      </w:r>
      <w:r w:rsidRPr="00E25746">
        <w:rPr>
          <w:szCs w:val="18"/>
        </w:rPr>
        <w:t xml:space="preserve"> </w:t>
      </w:r>
    </w:p>
  </w:footnote>
  <w:footnote w:id="36">
    <w:p w14:paraId="2C0E9FB8" w14:textId="77777777" w:rsidR="00E50635" w:rsidRPr="00E25746" w:rsidRDefault="00E50635" w:rsidP="0022269B">
      <w:pPr>
        <w:pStyle w:val="FootnoteText"/>
        <w:widowControl w:val="0"/>
        <w:tabs>
          <w:tab w:val="clear" w:pos="1021"/>
          <w:tab w:val="right" w:pos="1020"/>
        </w:tabs>
        <w:rPr>
          <w:szCs w:val="18"/>
          <w:lang w:val="en-GB"/>
        </w:rPr>
      </w:pPr>
      <w:r w:rsidRPr="00E25746">
        <w:rPr>
          <w:szCs w:val="18"/>
        </w:rPr>
        <w:tab/>
      </w:r>
      <w:r w:rsidRPr="00E25746">
        <w:rPr>
          <w:rStyle w:val="FootnoteReference"/>
          <w:szCs w:val="18"/>
        </w:rPr>
        <w:footnoteRef/>
      </w:r>
      <w:r w:rsidRPr="00E25746">
        <w:rPr>
          <w:szCs w:val="18"/>
        </w:rPr>
        <w:tab/>
      </w:r>
      <w:r w:rsidRPr="008538BE">
        <w:rPr>
          <w:szCs w:val="18"/>
          <w:lang w:val="en-GB"/>
        </w:rPr>
        <w:t>Ibid.</w:t>
      </w:r>
      <w:r w:rsidRPr="00E25746">
        <w:rPr>
          <w:szCs w:val="18"/>
          <w:lang w:val="en-GB"/>
        </w:rPr>
        <w:t>p</w:t>
      </w:r>
      <w:r>
        <w:rPr>
          <w:szCs w:val="18"/>
          <w:lang w:val="en-GB"/>
        </w:rPr>
        <w:t>.</w:t>
      </w:r>
      <w:r w:rsidRPr="00E25746">
        <w:rPr>
          <w:szCs w:val="18"/>
          <w:lang w:val="en-GB"/>
        </w:rPr>
        <w:t xml:space="preserve"> 1.</w:t>
      </w:r>
      <w:r w:rsidRPr="00E25746">
        <w:rPr>
          <w:szCs w:val="18"/>
        </w:rPr>
        <w:t xml:space="preserve"> </w:t>
      </w:r>
    </w:p>
  </w:footnote>
  <w:footnote w:id="37">
    <w:p w14:paraId="48122CAF" w14:textId="77777777" w:rsidR="00E50635" w:rsidRPr="00E25746" w:rsidRDefault="00E50635" w:rsidP="0022269B">
      <w:pPr>
        <w:pStyle w:val="FootnoteText"/>
        <w:widowControl w:val="0"/>
        <w:tabs>
          <w:tab w:val="clear" w:pos="1021"/>
          <w:tab w:val="right" w:pos="1020"/>
        </w:tabs>
        <w:rPr>
          <w:szCs w:val="18"/>
          <w:lang w:val="en-GB"/>
        </w:rPr>
      </w:pPr>
      <w:r w:rsidRPr="002B460D">
        <w:rPr>
          <w:rStyle w:val="FootnoteReference"/>
          <w:szCs w:val="18"/>
        </w:rPr>
        <w:footnoteRef/>
      </w:r>
      <w:r w:rsidRPr="00E25746">
        <w:rPr>
          <w:szCs w:val="18"/>
        </w:rPr>
        <w:tab/>
      </w:r>
      <w:r>
        <w:rPr>
          <w:szCs w:val="18"/>
        </w:rPr>
        <w:tab/>
        <w:t>The complainant</w:t>
      </w:r>
      <w:r w:rsidRPr="00621A61">
        <w:rPr>
          <w:szCs w:val="18"/>
          <w:lang w:val="en-CA"/>
        </w:rPr>
        <w:t xml:space="preserve"> refers to Committee’s 2012 concluding observations </w:t>
      </w:r>
      <w:r>
        <w:rPr>
          <w:szCs w:val="18"/>
          <w:lang w:val="en-CA"/>
        </w:rPr>
        <w:t>(</w:t>
      </w:r>
      <w:r w:rsidRPr="00E25746">
        <w:rPr>
          <w:szCs w:val="18"/>
          <w:lang w:val="en-GB"/>
        </w:rPr>
        <w:t>CAT/C/CAN/CO/6</w:t>
      </w:r>
      <w:r>
        <w:rPr>
          <w:szCs w:val="18"/>
          <w:lang w:val="en-GB"/>
        </w:rPr>
        <w:t>)</w:t>
      </w:r>
      <w:r w:rsidRPr="00E25746">
        <w:rPr>
          <w:szCs w:val="18"/>
          <w:lang w:val="en-GB"/>
        </w:rPr>
        <w:t xml:space="preserve"> </w:t>
      </w:r>
      <w:r w:rsidRPr="00621A61">
        <w:rPr>
          <w:szCs w:val="18"/>
          <w:lang w:val="en-CA"/>
        </w:rPr>
        <w:t xml:space="preserve">and to the Amnesty International </w:t>
      </w:r>
      <w:r>
        <w:rPr>
          <w:szCs w:val="18"/>
          <w:lang w:val="en-CA"/>
        </w:rPr>
        <w:t>n</w:t>
      </w:r>
      <w:r w:rsidRPr="00621A61">
        <w:rPr>
          <w:szCs w:val="18"/>
          <w:lang w:val="en-CA"/>
        </w:rPr>
        <w:t xml:space="preserve">ews </w:t>
      </w:r>
      <w:r>
        <w:rPr>
          <w:szCs w:val="18"/>
          <w:lang w:val="en-CA"/>
        </w:rPr>
        <w:t>r</w:t>
      </w:r>
      <w:r w:rsidRPr="00621A61">
        <w:rPr>
          <w:szCs w:val="18"/>
          <w:lang w:val="en-CA"/>
        </w:rPr>
        <w:t xml:space="preserve">elease of 5 </w:t>
      </w:r>
      <w:r w:rsidRPr="00621A61">
        <w:rPr>
          <w:szCs w:val="18"/>
          <w:lang w:val="en"/>
        </w:rPr>
        <w:t>June 2012,</w:t>
      </w:r>
      <w:r>
        <w:rPr>
          <w:szCs w:val="18"/>
          <w:lang w:val="en"/>
        </w:rPr>
        <w:t xml:space="preserve"> entitled</w:t>
      </w:r>
      <w:r w:rsidRPr="00621A61">
        <w:rPr>
          <w:szCs w:val="18"/>
          <w:lang w:val="en"/>
        </w:rPr>
        <w:t xml:space="preserve"> </w:t>
      </w:r>
      <w:r>
        <w:rPr>
          <w:szCs w:val="18"/>
          <w:lang w:val="en"/>
        </w:rPr>
        <w:t>“</w:t>
      </w:r>
      <w:r w:rsidRPr="00621A61">
        <w:rPr>
          <w:bCs/>
          <w:szCs w:val="18"/>
          <w:lang w:val="en"/>
        </w:rPr>
        <w:t>Canada Must Move Immediately to Implement UN Committee against Torture Recommendations</w:t>
      </w:r>
      <w:r>
        <w:rPr>
          <w:bCs/>
          <w:szCs w:val="18"/>
          <w:lang w:val="en"/>
        </w:rPr>
        <w:t>”</w:t>
      </w:r>
      <w:r w:rsidRPr="00621A61">
        <w:rPr>
          <w:bCs/>
          <w:szCs w:val="18"/>
          <w:lang w:val="en"/>
        </w:rPr>
        <w:t>.</w:t>
      </w:r>
      <w:r>
        <w:rPr>
          <w:szCs w:val="18"/>
          <w:lang w:val="en-CA"/>
        </w:rPr>
        <w:t xml:space="preserve"> </w:t>
      </w:r>
    </w:p>
  </w:footnote>
  <w:footnote w:id="38">
    <w:p w14:paraId="7C49236A" w14:textId="77777777" w:rsidR="00E50635" w:rsidRPr="00E25746" w:rsidRDefault="00E50635" w:rsidP="0022269B">
      <w:pPr>
        <w:pStyle w:val="FootnoteText"/>
        <w:widowControl w:val="0"/>
        <w:rPr>
          <w:szCs w:val="18"/>
        </w:rPr>
      </w:pPr>
      <w:r>
        <w:rPr>
          <w:szCs w:val="18"/>
        </w:rPr>
        <w:tab/>
      </w:r>
      <w:r w:rsidRPr="00E25746">
        <w:rPr>
          <w:rStyle w:val="FootnoteReference"/>
          <w:szCs w:val="18"/>
        </w:rPr>
        <w:footnoteRef/>
      </w:r>
      <w:r>
        <w:rPr>
          <w:szCs w:val="18"/>
        </w:rPr>
        <w:tab/>
      </w:r>
      <w:r w:rsidRPr="00E25746">
        <w:rPr>
          <w:i/>
          <w:szCs w:val="18"/>
        </w:rPr>
        <w:t>Kaur v. Canada</w:t>
      </w:r>
      <w:r>
        <w:rPr>
          <w:i/>
          <w:szCs w:val="18"/>
        </w:rPr>
        <w:t xml:space="preserve"> </w:t>
      </w:r>
      <w:r w:rsidRPr="00E25746">
        <w:rPr>
          <w:i/>
          <w:szCs w:val="18"/>
        </w:rPr>
        <w:t>(Minister of Citizenship and Immigration)</w:t>
      </w:r>
      <w:r w:rsidRPr="00E25746">
        <w:rPr>
          <w:szCs w:val="18"/>
        </w:rPr>
        <w:t>, 2005 FC 1491</w:t>
      </w:r>
      <w:r>
        <w:rPr>
          <w:szCs w:val="18"/>
        </w:rPr>
        <w:t>,</w:t>
      </w:r>
      <w:r w:rsidRPr="00E25746">
        <w:rPr>
          <w:szCs w:val="18"/>
        </w:rPr>
        <w:t xml:space="preserve"> paras. 2</w:t>
      </w:r>
      <w:r>
        <w:rPr>
          <w:szCs w:val="18"/>
        </w:rPr>
        <w:t xml:space="preserve"> and</w:t>
      </w:r>
      <w:r w:rsidRPr="00E25746">
        <w:rPr>
          <w:szCs w:val="18"/>
        </w:rPr>
        <w:t xml:space="preserve"> 32, </w:t>
      </w:r>
      <w:r>
        <w:rPr>
          <w:szCs w:val="18"/>
        </w:rPr>
        <w:t>available at</w:t>
      </w:r>
      <w:r w:rsidRPr="00E25746">
        <w:rPr>
          <w:szCs w:val="18"/>
        </w:rPr>
        <w:t xml:space="preserve">: </w:t>
      </w:r>
      <w:hyperlink r:id="rId7" w:history="1">
        <w:r w:rsidRPr="00E25746">
          <w:rPr>
            <w:rStyle w:val="Hyperlink"/>
            <w:szCs w:val="18"/>
          </w:rPr>
          <w:t>http://canlii.ca/t/1m0m6</w:t>
        </w:r>
      </w:hyperlink>
      <w:r w:rsidRPr="00E25746">
        <w:rPr>
          <w:szCs w:val="18"/>
        </w:rPr>
        <w:t xml:space="preserve">. </w:t>
      </w:r>
    </w:p>
  </w:footnote>
  <w:footnote w:id="39">
    <w:p w14:paraId="1CE0A4A7" w14:textId="77777777" w:rsidR="00E50635" w:rsidRPr="00E25746" w:rsidRDefault="00E50635" w:rsidP="0022269B">
      <w:pPr>
        <w:pStyle w:val="FootnoteText"/>
        <w:widowControl w:val="0"/>
        <w:rPr>
          <w:szCs w:val="18"/>
        </w:rPr>
      </w:pPr>
      <w:r>
        <w:rPr>
          <w:szCs w:val="18"/>
        </w:rPr>
        <w:tab/>
      </w:r>
      <w:r w:rsidRPr="00E25746">
        <w:rPr>
          <w:rStyle w:val="FootnoteReference"/>
          <w:szCs w:val="18"/>
        </w:rPr>
        <w:footnoteRef/>
      </w:r>
      <w:r>
        <w:rPr>
          <w:szCs w:val="18"/>
        </w:rPr>
        <w:tab/>
      </w:r>
      <w:r w:rsidRPr="00E25746">
        <w:rPr>
          <w:szCs w:val="18"/>
        </w:rPr>
        <w:t xml:space="preserve">See </w:t>
      </w:r>
      <w:r>
        <w:rPr>
          <w:szCs w:val="18"/>
        </w:rPr>
        <w:t>co</w:t>
      </w:r>
      <w:r w:rsidRPr="00E25746">
        <w:rPr>
          <w:szCs w:val="18"/>
        </w:rPr>
        <w:t>mmunication</w:t>
      </w:r>
      <w:r>
        <w:rPr>
          <w:szCs w:val="18"/>
        </w:rPr>
        <w:t>s</w:t>
      </w:r>
      <w:r w:rsidRPr="00E25746">
        <w:rPr>
          <w:szCs w:val="18"/>
        </w:rPr>
        <w:t xml:space="preserve"> No. 35/1995</w:t>
      </w:r>
      <w:r w:rsidRPr="0022269B">
        <w:rPr>
          <w:szCs w:val="18"/>
          <w:lang w:val="en-GB"/>
        </w:rPr>
        <w:t xml:space="preserve">, </w:t>
      </w:r>
      <w:r w:rsidRPr="00E25746">
        <w:rPr>
          <w:i/>
          <w:szCs w:val="18"/>
        </w:rPr>
        <w:t>K.K.H. v. Canada</w:t>
      </w:r>
      <w:r w:rsidRPr="009F1651">
        <w:rPr>
          <w:szCs w:val="18"/>
          <w:lang w:val="en-GB"/>
        </w:rPr>
        <w:t>,</w:t>
      </w:r>
      <w:r>
        <w:rPr>
          <w:szCs w:val="18"/>
          <w:lang w:val="en-GB"/>
        </w:rPr>
        <w:t xml:space="preserve"> </w:t>
      </w:r>
      <w:r w:rsidRPr="0022269B">
        <w:rPr>
          <w:szCs w:val="18"/>
          <w:lang w:val="en-GB"/>
        </w:rPr>
        <w:t>decision o</w:t>
      </w:r>
      <w:r>
        <w:rPr>
          <w:szCs w:val="18"/>
          <w:lang w:val="en-GB"/>
        </w:rPr>
        <w:t>n</w:t>
      </w:r>
      <w:r w:rsidRPr="0022269B">
        <w:rPr>
          <w:szCs w:val="18"/>
          <w:lang w:val="en-GB"/>
        </w:rPr>
        <w:t xml:space="preserve"> admissibility </w:t>
      </w:r>
      <w:r>
        <w:rPr>
          <w:szCs w:val="18"/>
          <w:lang w:val="en-GB"/>
        </w:rPr>
        <w:t>adopted</w:t>
      </w:r>
      <w:r w:rsidRPr="0022269B">
        <w:rPr>
          <w:szCs w:val="18"/>
          <w:lang w:val="en-GB"/>
        </w:rPr>
        <w:t xml:space="preserve"> </w:t>
      </w:r>
      <w:r w:rsidRPr="008538BE">
        <w:rPr>
          <w:szCs w:val="18"/>
          <w:lang w:val="en-GB"/>
        </w:rPr>
        <w:t>22 November 1995</w:t>
      </w:r>
      <w:r>
        <w:rPr>
          <w:szCs w:val="18"/>
          <w:lang w:val="en-GB"/>
        </w:rPr>
        <w:t>,</w:t>
      </w:r>
      <w:r w:rsidRPr="00E25746">
        <w:rPr>
          <w:szCs w:val="18"/>
        </w:rPr>
        <w:t xml:space="preserve"> para. 5</w:t>
      </w:r>
      <w:r>
        <w:rPr>
          <w:szCs w:val="18"/>
        </w:rPr>
        <w:t>; and</w:t>
      </w:r>
      <w:r w:rsidRPr="00E25746">
        <w:rPr>
          <w:szCs w:val="18"/>
        </w:rPr>
        <w:t xml:space="preserve"> No. 30/1995</w:t>
      </w:r>
      <w:r w:rsidRPr="0022269B">
        <w:rPr>
          <w:szCs w:val="18"/>
          <w:lang w:val="en-GB"/>
        </w:rPr>
        <w:t xml:space="preserve">, </w:t>
      </w:r>
      <w:r w:rsidRPr="00E25746">
        <w:rPr>
          <w:i/>
          <w:szCs w:val="18"/>
        </w:rPr>
        <w:t>P.M.P.K. v. Sweden</w:t>
      </w:r>
      <w:r w:rsidRPr="0022269B">
        <w:rPr>
          <w:szCs w:val="18"/>
          <w:lang w:val="en-GB"/>
        </w:rPr>
        <w:t>, decision o</w:t>
      </w:r>
      <w:r>
        <w:rPr>
          <w:szCs w:val="18"/>
          <w:lang w:val="en-GB"/>
        </w:rPr>
        <w:t>n</w:t>
      </w:r>
      <w:r w:rsidRPr="0022269B">
        <w:rPr>
          <w:szCs w:val="18"/>
          <w:lang w:val="en-GB"/>
        </w:rPr>
        <w:t xml:space="preserve"> admissibility </w:t>
      </w:r>
      <w:r>
        <w:rPr>
          <w:szCs w:val="18"/>
          <w:lang w:val="en-GB"/>
        </w:rPr>
        <w:t>adopted</w:t>
      </w:r>
      <w:r w:rsidRPr="0022269B">
        <w:rPr>
          <w:szCs w:val="18"/>
          <w:lang w:val="en-GB"/>
        </w:rPr>
        <w:t xml:space="preserve"> </w:t>
      </w:r>
      <w:r w:rsidRPr="008538BE">
        <w:rPr>
          <w:szCs w:val="18"/>
          <w:lang w:val="en"/>
        </w:rPr>
        <w:t>20</w:t>
      </w:r>
      <w:r>
        <w:rPr>
          <w:szCs w:val="18"/>
          <w:lang w:val="en"/>
        </w:rPr>
        <w:t> </w:t>
      </w:r>
      <w:r w:rsidRPr="008538BE">
        <w:rPr>
          <w:szCs w:val="18"/>
          <w:lang w:val="en"/>
        </w:rPr>
        <w:t>November 1995</w:t>
      </w:r>
      <w:r>
        <w:rPr>
          <w:szCs w:val="18"/>
          <w:lang w:val="en"/>
        </w:rPr>
        <w:t xml:space="preserve">, </w:t>
      </w:r>
      <w:r w:rsidRPr="00E25746">
        <w:rPr>
          <w:szCs w:val="18"/>
        </w:rPr>
        <w:t>para. 7.</w:t>
      </w:r>
    </w:p>
  </w:footnote>
  <w:footnote w:id="40">
    <w:p w14:paraId="711959FB" w14:textId="77777777" w:rsidR="00E50635" w:rsidRPr="00E25746" w:rsidRDefault="00E50635" w:rsidP="0022269B">
      <w:pPr>
        <w:pStyle w:val="FootnoteText"/>
        <w:widowControl w:val="0"/>
        <w:rPr>
          <w:szCs w:val="18"/>
        </w:rPr>
      </w:pPr>
      <w:r>
        <w:rPr>
          <w:szCs w:val="18"/>
        </w:rPr>
        <w:tab/>
      </w:r>
      <w:r w:rsidRPr="00E25746">
        <w:rPr>
          <w:rStyle w:val="FootnoteReference"/>
          <w:szCs w:val="18"/>
        </w:rPr>
        <w:footnoteRef/>
      </w:r>
      <w:r>
        <w:rPr>
          <w:szCs w:val="18"/>
        </w:rPr>
        <w:tab/>
      </w:r>
      <w:r w:rsidRPr="00E25746">
        <w:rPr>
          <w:szCs w:val="18"/>
        </w:rPr>
        <w:t xml:space="preserve">The State party refers to the comments of the Committee in </w:t>
      </w:r>
      <w:r w:rsidRPr="00B83769">
        <w:rPr>
          <w:szCs w:val="18"/>
          <w:lang w:val="en-GB"/>
        </w:rPr>
        <w:t>c</w:t>
      </w:r>
      <w:r w:rsidRPr="00E25746">
        <w:rPr>
          <w:szCs w:val="18"/>
        </w:rPr>
        <w:t>ommunication No. 15/1994</w:t>
      </w:r>
      <w:r w:rsidRPr="0022269B">
        <w:rPr>
          <w:szCs w:val="18"/>
          <w:lang w:val="en-GB"/>
        </w:rPr>
        <w:t>,</w:t>
      </w:r>
      <w:r w:rsidRPr="00E25746">
        <w:rPr>
          <w:szCs w:val="18"/>
        </w:rPr>
        <w:t xml:space="preserve"> </w:t>
      </w:r>
      <w:r w:rsidRPr="00E25746">
        <w:rPr>
          <w:i/>
          <w:iCs/>
          <w:szCs w:val="18"/>
        </w:rPr>
        <w:t>Khan v. Canada</w:t>
      </w:r>
      <w:r w:rsidRPr="00E25746">
        <w:rPr>
          <w:szCs w:val="18"/>
        </w:rPr>
        <w:t xml:space="preserve">, </w:t>
      </w:r>
      <w:r w:rsidRPr="0022269B">
        <w:rPr>
          <w:szCs w:val="18"/>
          <w:lang w:val="en-GB"/>
        </w:rPr>
        <w:t xml:space="preserve">Views of </w:t>
      </w:r>
      <w:r>
        <w:t>15 November 1994</w:t>
      </w:r>
      <w:r w:rsidRPr="0022269B">
        <w:rPr>
          <w:lang w:val="en-GB"/>
        </w:rPr>
        <w:t>,</w:t>
      </w:r>
      <w:r>
        <w:rPr>
          <w:lang w:val="en-GB"/>
        </w:rPr>
        <w:t xml:space="preserve"> </w:t>
      </w:r>
      <w:r w:rsidRPr="00E25746">
        <w:rPr>
          <w:szCs w:val="18"/>
        </w:rPr>
        <w:t>para. 12.1.</w:t>
      </w:r>
    </w:p>
  </w:footnote>
  <w:footnote w:id="41">
    <w:p w14:paraId="749DDEAD" w14:textId="77777777" w:rsidR="00E50635" w:rsidRPr="00E25746" w:rsidRDefault="00E50635" w:rsidP="0022269B">
      <w:pPr>
        <w:pStyle w:val="FootnoteText"/>
        <w:widowControl w:val="0"/>
        <w:rPr>
          <w:szCs w:val="18"/>
        </w:rPr>
      </w:pPr>
      <w:r>
        <w:rPr>
          <w:szCs w:val="18"/>
        </w:rPr>
        <w:tab/>
      </w:r>
      <w:r w:rsidRPr="00E25746">
        <w:rPr>
          <w:rStyle w:val="FootnoteReference"/>
          <w:szCs w:val="18"/>
        </w:rPr>
        <w:footnoteRef/>
      </w:r>
      <w:r>
        <w:rPr>
          <w:szCs w:val="18"/>
        </w:rPr>
        <w:tab/>
        <w:t xml:space="preserve">Canada, </w:t>
      </w:r>
      <w:r w:rsidRPr="001E1CDD">
        <w:rPr>
          <w:iCs/>
          <w:lang w:val="en-GB"/>
        </w:rPr>
        <w:t>Immigration and Refugee Protection Act</w:t>
      </w:r>
      <w:r w:rsidRPr="00E25746">
        <w:rPr>
          <w:szCs w:val="18"/>
        </w:rPr>
        <w:t>, s</w:t>
      </w:r>
      <w:r>
        <w:rPr>
          <w:szCs w:val="18"/>
        </w:rPr>
        <w:t>ection</w:t>
      </w:r>
      <w:r w:rsidRPr="00E25746">
        <w:rPr>
          <w:szCs w:val="18"/>
        </w:rPr>
        <w:t xml:space="preserve"> 48</w:t>
      </w:r>
      <w:r>
        <w:rPr>
          <w:szCs w:val="18"/>
        </w:rPr>
        <w:t xml:space="preserve"> </w:t>
      </w:r>
      <w:r w:rsidRPr="00E25746">
        <w:rPr>
          <w:szCs w:val="18"/>
        </w:rPr>
        <w:t>(2). The full text of s</w:t>
      </w:r>
      <w:r>
        <w:rPr>
          <w:szCs w:val="18"/>
        </w:rPr>
        <w:t>ection</w:t>
      </w:r>
      <w:r w:rsidRPr="00E25746">
        <w:rPr>
          <w:szCs w:val="18"/>
        </w:rPr>
        <w:t xml:space="preserve"> 48 is available at: </w:t>
      </w:r>
      <w:hyperlink r:id="rId8" w:history="1">
        <w:r w:rsidRPr="00E25746">
          <w:rPr>
            <w:rStyle w:val="Hyperlink"/>
            <w:szCs w:val="18"/>
          </w:rPr>
          <w:t>http://laws-lois.justice.gc.ca/eng/acts/I-2.5/FullText.html</w:t>
        </w:r>
      </w:hyperlink>
      <w:r w:rsidRPr="00E25746">
        <w:rPr>
          <w:szCs w:val="18"/>
        </w:rPr>
        <w:t>.</w:t>
      </w:r>
    </w:p>
  </w:footnote>
  <w:footnote w:id="42">
    <w:p w14:paraId="677493A6" w14:textId="77777777" w:rsidR="00E50635" w:rsidRPr="00E25746" w:rsidRDefault="00E50635" w:rsidP="0022269B">
      <w:pPr>
        <w:pStyle w:val="FootnoteText"/>
        <w:widowControl w:val="0"/>
        <w:rPr>
          <w:szCs w:val="18"/>
        </w:rPr>
      </w:pPr>
      <w:r>
        <w:rPr>
          <w:szCs w:val="18"/>
        </w:rPr>
        <w:tab/>
      </w:r>
      <w:r w:rsidRPr="00E25746">
        <w:rPr>
          <w:rStyle w:val="FootnoteReference"/>
          <w:rFonts w:eastAsia="Calibri"/>
          <w:szCs w:val="18"/>
        </w:rPr>
        <w:footnoteRef/>
      </w:r>
      <w:r>
        <w:rPr>
          <w:szCs w:val="18"/>
        </w:rPr>
        <w:tab/>
      </w:r>
      <w:r w:rsidRPr="00E25746">
        <w:rPr>
          <w:szCs w:val="18"/>
        </w:rPr>
        <w:t xml:space="preserve">See </w:t>
      </w:r>
      <w:hyperlink r:id="rId9" w:history="1">
        <w:r w:rsidRPr="00E25746">
          <w:rPr>
            <w:i/>
            <w:szCs w:val="18"/>
          </w:rPr>
          <w:t>Canada (Public Safety and Emergency Preparedness) v. Shpati</w:t>
        </w:r>
        <w:r w:rsidRPr="00E25746">
          <w:rPr>
            <w:szCs w:val="18"/>
          </w:rPr>
          <w:t>, 2011 FCA 286</w:t>
        </w:r>
      </w:hyperlink>
      <w:r>
        <w:rPr>
          <w:szCs w:val="18"/>
        </w:rPr>
        <w:t>,</w:t>
      </w:r>
      <w:r w:rsidRPr="00E25746">
        <w:rPr>
          <w:szCs w:val="18"/>
        </w:rPr>
        <w:t xml:space="preserve"> paras. 41-45, 52, </w:t>
      </w:r>
      <w:r>
        <w:rPr>
          <w:szCs w:val="18"/>
        </w:rPr>
        <w:t>available at</w:t>
      </w:r>
      <w:r w:rsidRPr="00E25746">
        <w:rPr>
          <w:szCs w:val="18"/>
        </w:rPr>
        <w:t xml:space="preserve">: </w:t>
      </w:r>
      <w:hyperlink r:id="rId10" w:history="1">
        <w:r w:rsidRPr="00E25746">
          <w:rPr>
            <w:rStyle w:val="Hyperlink"/>
            <w:szCs w:val="18"/>
          </w:rPr>
          <w:t>http://canlii.ca/t/fnkq2</w:t>
        </w:r>
      </w:hyperlink>
      <w:r w:rsidRPr="00E25746">
        <w:rPr>
          <w:szCs w:val="18"/>
        </w:rPr>
        <w:t xml:space="preserve">; </w:t>
      </w:r>
      <w:r>
        <w:rPr>
          <w:szCs w:val="18"/>
        </w:rPr>
        <w:t xml:space="preserve">and </w:t>
      </w:r>
      <w:hyperlink r:id="rId11" w:history="1">
        <w:r w:rsidRPr="00E25746">
          <w:rPr>
            <w:i/>
            <w:szCs w:val="18"/>
          </w:rPr>
          <w:t>Baron v. Canada (Minister of Public Safety and Emergency Preparedness)</w:t>
        </w:r>
        <w:r w:rsidRPr="00E25746">
          <w:rPr>
            <w:szCs w:val="18"/>
          </w:rPr>
          <w:t>, 2009 FCA 81</w:t>
        </w:r>
        <w:r>
          <w:rPr>
            <w:szCs w:val="18"/>
          </w:rPr>
          <w:t>,</w:t>
        </w:r>
        <w:r w:rsidRPr="00E25746">
          <w:rPr>
            <w:szCs w:val="18"/>
          </w:rPr>
          <w:t xml:space="preserve"> </w:t>
        </w:r>
      </w:hyperlink>
      <w:r w:rsidRPr="00E25746">
        <w:rPr>
          <w:szCs w:val="18"/>
        </w:rPr>
        <w:t xml:space="preserve">para. 51, </w:t>
      </w:r>
      <w:r>
        <w:rPr>
          <w:szCs w:val="18"/>
        </w:rPr>
        <w:t>available at</w:t>
      </w:r>
      <w:r w:rsidRPr="00E25746">
        <w:rPr>
          <w:szCs w:val="18"/>
        </w:rPr>
        <w:t xml:space="preserve">: </w:t>
      </w:r>
      <w:hyperlink r:id="rId12" w:history="1">
        <w:r w:rsidRPr="00E25746">
          <w:rPr>
            <w:rStyle w:val="Hyperlink"/>
            <w:szCs w:val="18"/>
          </w:rPr>
          <w:t>http://canlii.ca/t/22rzn</w:t>
        </w:r>
      </w:hyperlink>
      <w:r w:rsidRPr="00E25746">
        <w:rPr>
          <w:szCs w:val="18"/>
        </w:rPr>
        <w:t xml:space="preserve">. </w:t>
      </w:r>
    </w:p>
  </w:footnote>
  <w:footnote w:id="43">
    <w:p w14:paraId="7E512A6E" w14:textId="77777777" w:rsidR="00E50635" w:rsidRPr="00E25746" w:rsidRDefault="00E50635" w:rsidP="0022269B">
      <w:pPr>
        <w:pStyle w:val="FootnoteText"/>
        <w:widowControl w:val="0"/>
        <w:tabs>
          <w:tab w:val="clear" w:pos="1021"/>
          <w:tab w:val="right" w:pos="1020"/>
        </w:tabs>
        <w:rPr>
          <w:szCs w:val="18"/>
          <w:lang w:val="en-GB"/>
        </w:rPr>
      </w:pPr>
      <w:r>
        <w:rPr>
          <w:szCs w:val="18"/>
        </w:rPr>
        <w:tab/>
      </w:r>
      <w:r w:rsidRPr="00B93F00">
        <w:rPr>
          <w:rStyle w:val="FootnoteReference"/>
          <w:szCs w:val="18"/>
        </w:rPr>
        <w:footnoteRef/>
      </w:r>
      <w:r w:rsidRPr="00152CDE">
        <w:rPr>
          <w:szCs w:val="18"/>
        </w:rPr>
        <w:tab/>
      </w:r>
      <w:r w:rsidRPr="0022269B">
        <w:rPr>
          <w:szCs w:val="18"/>
        </w:rPr>
        <w:t xml:space="preserve">See communications No. 284/2006, </w:t>
      </w:r>
      <w:r w:rsidRPr="0022269B">
        <w:rPr>
          <w:i/>
          <w:iCs/>
          <w:szCs w:val="18"/>
        </w:rPr>
        <w:t>R.S.A.N. v. Canada</w:t>
      </w:r>
      <w:r w:rsidRPr="0022269B">
        <w:rPr>
          <w:szCs w:val="18"/>
        </w:rPr>
        <w:t xml:space="preserve">, decision on inadmissibility adopted </w:t>
      </w:r>
      <w:r w:rsidRPr="00E25746">
        <w:rPr>
          <w:szCs w:val="18"/>
        </w:rPr>
        <w:t>17 November 2006</w:t>
      </w:r>
      <w:r w:rsidRPr="00E25746">
        <w:rPr>
          <w:szCs w:val="18"/>
          <w:lang w:val="en-GB"/>
        </w:rPr>
        <w:t xml:space="preserve">, </w:t>
      </w:r>
      <w:r w:rsidRPr="0022269B">
        <w:rPr>
          <w:szCs w:val="18"/>
        </w:rPr>
        <w:t xml:space="preserve">para. 6.4; and </w:t>
      </w:r>
      <w:r w:rsidRPr="00E25746">
        <w:rPr>
          <w:szCs w:val="18"/>
          <w:lang w:val="en-GB"/>
        </w:rPr>
        <w:t>No.</w:t>
      </w:r>
      <w:r>
        <w:rPr>
          <w:szCs w:val="18"/>
          <w:lang w:val="en-GB"/>
        </w:rPr>
        <w:t xml:space="preserve"> </w:t>
      </w:r>
      <w:r w:rsidRPr="00E25746">
        <w:rPr>
          <w:szCs w:val="18"/>
          <w:lang w:val="en-GB"/>
        </w:rPr>
        <w:t xml:space="preserve">307/2006, </w:t>
      </w:r>
      <w:r w:rsidRPr="00E25746">
        <w:rPr>
          <w:i/>
          <w:szCs w:val="18"/>
          <w:lang w:val="en-GB"/>
        </w:rPr>
        <w:t>E.Y. v. Canada</w:t>
      </w:r>
      <w:r w:rsidRPr="00E25746">
        <w:rPr>
          <w:szCs w:val="18"/>
          <w:lang w:val="en-GB"/>
        </w:rPr>
        <w:t>, decision o</w:t>
      </w:r>
      <w:r>
        <w:rPr>
          <w:szCs w:val="18"/>
          <w:lang w:val="en-GB"/>
        </w:rPr>
        <w:t>n</w:t>
      </w:r>
      <w:r w:rsidRPr="00E25746">
        <w:rPr>
          <w:szCs w:val="18"/>
          <w:lang w:val="en-GB"/>
        </w:rPr>
        <w:t xml:space="preserve"> </w:t>
      </w:r>
      <w:r>
        <w:rPr>
          <w:szCs w:val="18"/>
          <w:lang w:val="en-GB"/>
        </w:rPr>
        <w:t>in</w:t>
      </w:r>
      <w:r w:rsidRPr="00E25746">
        <w:rPr>
          <w:szCs w:val="18"/>
          <w:lang w:val="en-GB"/>
        </w:rPr>
        <w:t xml:space="preserve">admissibility </w:t>
      </w:r>
      <w:r>
        <w:rPr>
          <w:szCs w:val="18"/>
          <w:lang w:val="en-GB"/>
        </w:rPr>
        <w:t>adopted</w:t>
      </w:r>
      <w:r w:rsidRPr="00E25746">
        <w:rPr>
          <w:szCs w:val="18"/>
          <w:lang w:val="en-GB"/>
        </w:rPr>
        <w:t xml:space="preserve"> 4 November 2009, para</w:t>
      </w:r>
      <w:r>
        <w:rPr>
          <w:szCs w:val="18"/>
          <w:lang w:val="en-GB"/>
        </w:rPr>
        <w:t>.</w:t>
      </w:r>
      <w:r w:rsidRPr="00E25746">
        <w:rPr>
          <w:szCs w:val="18"/>
          <w:lang w:val="en-GB"/>
        </w:rPr>
        <w:t xml:space="preserve"> 9.4</w:t>
      </w:r>
      <w:r w:rsidRPr="0022269B">
        <w:rPr>
          <w:szCs w:val="18"/>
        </w:rPr>
        <w:t>.</w:t>
      </w:r>
      <w:r w:rsidRPr="00E25746">
        <w:rPr>
          <w:szCs w:val="18"/>
        </w:rPr>
        <w:t xml:space="preserve"> </w:t>
      </w:r>
    </w:p>
  </w:footnote>
  <w:footnote w:id="44">
    <w:p w14:paraId="0AD5CA15" w14:textId="77777777" w:rsidR="00E50635" w:rsidRPr="00E25746" w:rsidRDefault="00E50635" w:rsidP="0022269B">
      <w:pPr>
        <w:pStyle w:val="FootnoteText"/>
        <w:widowControl w:val="0"/>
        <w:tabs>
          <w:tab w:val="clear" w:pos="1021"/>
          <w:tab w:val="right" w:pos="1020"/>
        </w:tabs>
        <w:rPr>
          <w:szCs w:val="18"/>
          <w:lang w:val="en-GB"/>
        </w:rPr>
      </w:pPr>
      <w:r>
        <w:rPr>
          <w:szCs w:val="18"/>
        </w:rPr>
        <w:tab/>
      </w:r>
      <w:r w:rsidRPr="00E25746">
        <w:rPr>
          <w:rStyle w:val="FootnoteReference"/>
          <w:szCs w:val="18"/>
        </w:rPr>
        <w:footnoteRef/>
      </w:r>
      <w:r w:rsidRPr="00E25746">
        <w:rPr>
          <w:szCs w:val="18"/>
        </w:rPr>
        <w:tab/>
      </w:r>
      <w:r w:rsidRPr="00E25746">
        <w:rPr>
          <w:szCs w:val="18"/>
          <w:lang w:val="en-GB"/>
        </w:rPr>
        <w:t>See communication No.</w:t>
      </w:r>
      <w:r>
        <w:rPr>
          <w:szCs w:val="18"/>
          <w:lang w:val="en-GB"/>
        </w:rPr>
        <w:t xml:space="preserve"> </w:t>
      </w:r>
      <w:r w:rsidRPr="00E25746">
        <w:rPr>
          <w:szCs w:val="18"/>
          <w:lang w:val="en-GB"/>
        </w:rPr>
        <w:t xml:space="preserve">307/2006, </w:t>
      </w:r>
      <w:r w:rsidRPr="00E25746">
        <w:rPr>
          <w:i/>
          <w:szCs w:val="18"/>
          <w:lang w:val="en-GB"/>
        </w:rPr>
        <w:t>E.Y. v. Canada</w:t>
      </w:r>
      <w:r w:rsidRPr="00E25746">
        <w:rPr>
          <w:szCs w:val="18"/>
          <w:lang w:val="en-GB"/>
        </w:rPr>
        <w:t>, decision o</w:t>
      </w:r>
      <w:r>
        <w:rPr>
          <w:szCs w:val="18"/>
          <w:lang w:val="en-GB"/>
        </w:rPr>
        <w:t>f</w:t>
      </w:r>
      <w:r w:rsidRPr="00E25746">
        <w:rPr>
          <w:szCs w:val="18"/>
          <w:lang w:val="en-GB"/>
        </w:rPr>
        <w:t xml:space="preserve"> </w:t>
      </w:r>
      <w:r>
        <w:rPr>
          <w:szCs w:val="18"/>
          <w:lang w:val="en-GB"/>
        </w:rPr>
        <w:t>in</w:t>
      </w:r>
      <w:r w:rsidRPr="00E25746">
        <w:rPr>
          <w:szCs w:val="18"/>
          <w:lang w:val="en-GB"/>
        </w:rPr>
        <w:t xml:space="preserve">admissibility </w:t>
      </w:r>
      <w:r>
        <w:rPr>
          <w:szCs w:val="18"/>
          <w:lang w:val="en-GB"/>
        </w:rPr>
        <w:t>adopted</w:t>
      </w:r>
      <w:r w:rsidRPr="00E25746">
        <w:rPr>
          <w:szCs w:val="18"/>
          <w:lang w:val="en-GB"/>
        </w:rPr>
        <w:t xml:space="preserve"> 4 November 2009, para</w:t>
      </w:r>
      <w:r>
        <w:rPr>
          <w:szCs w:val="18"/>
          <w:lang w:val="en-GB"/>
        </w:rPr>
        <w:t>.</w:t>
      </w:r>
      <w:r w:rsidRPr="00E25746">
        <w:rPr>
          <w:szCs w:val="18"/>
          <w:lang w:val="en-GB"/>
        </w:rPr>
        <w:t xml:space="preserve"> 9.3.</w:t>
      </w:r>
      <w:r w:rsidRPr="00E25746">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CDB17" w14:textId="77777777" w:rsidR="00E50635" w:rsidRPr="00116B35" w:rsidRDefault="00E50635">
    <w:pPr>
      <w:pStyle w:val="Header"/>
    </w:pPr>
    <w:r>
      <w:t>CAT/C/56/D/604/2014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5B431" w14:textId="77777777" w:rsidR="00E50635" w:rsidRPr="00116B35" w:rsidRDefault="00E50635" w:rsidP="004876DE">
    <w:pPr>
      <w:pStyle w:val="Header"/>
      <w:jc w:val="right"/>
    </w:pPr>
    <w:r>
      <w:t>CAT/C/56/D/604/2014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B3"/>
    <w:multiLevelType w:val="hybridMultilevel"/>
    <w:tmpl w:val="E026B234"/>
    <w:lvl w:ilvl="0" w:tplc="0809000F">
      <w:start w:val="1"/>
      <w:numFmt w:val="decimal"/>
      <w:lvlText w:val="%1."/>
      <w:lvlJc w:val="left"/>
      <w:pPr>
        <w:ind w:left="720" w:hanging="360"/>
      </w:pPr>
    </w:lvl>
    <w:lvl w:ilvl="1" w:tplc="26B67568">
      <w:start w:val="1"/>
      <w:numFmt w:val="lowerRoman"/>
      <w:lvlText w:val="%2)"/>
      <w:lvlJc w:val="left"/>
      <w:pPr>
        <w:ind w:left="1800" w:hanging="720"/>
      </w:pPr>
      <w:rPr>
        <w:rFonts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1257A"/>
    <w:multiLevelType w:val="hybridMultilevel"/>
    <w:tmpl w:val="E5D6D59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 w15:restartNumberingAfterBreak="0">
    <w:nsid w:val="2162616A"/>
    <w:multiLevelType w:val="hybridMultilevel"/>
    <w:tmpl w:val="BAF4DD4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3856720"/>
    <w:multiLevelType w:val="hybridMultilevel"/>
    <w:tmpl w:val="14DEE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873055"/>
    <w:multiLevelType w:val="multilevel"/>
    <w:tmpl w:val="952AFE6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475EE"/>
    <w:multiLevelType w:val="hybridMultilevel"/>
    <w:tmpl w:val="9F249C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6BF50FF"/>
    <w:multiLevelType w:val="hybridMultilevel"/>
    <w:tmpl w:val="1396A454"/>
    <w:lvl w:ilvl="0" w:tplc="F1225446">
      <w:start w:val="1"/>
      <w:numFmt w:val="decimal"/>
      <w:lvlText w:val="%1."/>
      <w:lvlJc w:val="left"/>
      <w:pPr>
        <w:ind w:left="1110" w:hanging="360"/>
      </w:pPr>
    </w:lvl>
    <w:lvl w:ilvl="1" w:tplc="10090019">
      <w:start w:val="1"/>
      <w:numFmt w:val="lowerLetter"/>
      <w:lvlText w:val="%2."/>
      <w:lvlJc w:val="left"/>
      <w:pPr>
        <w:ind w:left="1830" w:hanging="360"/>
      </w:pPr>
    </w:lvl>
    <w:lvl w:ilvl="2" w:tplc="1009001B">
      <w:start w:val="1"/>
      <w:numFmt w:val="lowerRoman"/>
      <w:lvlText w:val="%3."/>
      <w:lvlJc w:val="right"/>
      <w:pPr>
        <w:ind w:left="2550" w:hanging="180"/>
      </w:pPr>
    </w:lvl>
    <w:lvl w:ilvl="3" w:tplc="1009000F">
      <w:start w:val="1"/>
      <w:numFmt w:val="decimal"/>
      <w:lvlText w:val="%4."/>
      <w:lvlJc w:val="left"/>
      <w:pPr>
        <w:ind w:left="3270" w:hanging="360"/>
      </w:pPr>
    </w:lvl>
    <w:lvl w:ilvl="4" w:tplc="10090019">
      <w:start w:val="1"/>
      <w:numFmt w:val="lowerLetter"/>
      <w:lvlText w:val="%5."/>
      <w:lvlJc w:val="left"/>
      <w:pPr>
        <w:ind w:left="3990" w:hanging="360"/>
      </w:pPr>
    </w:lvl>
    <w:lvl w:ilvl="5" w:tplc="1009001B">
      <w:start w:val="1"/>
      <w:numFmt w:val="lowerRoman"/>
      <w:lvlText w:val="%6."/>
      <w:lvlJc w:val="right"/>
      <w:pPr>
        <w:ind w:left="4710" w:hanging="180"/>
      </w:pPr>
    </w:lvl>
    <w:lvl w:ilvl="6" w:tplc="1009000F">
      <w:start w:val="1"/>
      <w:numFmt w:val="decimal"/>
      <w:lvlText w:val="%7."/>
      <w:lvlJc w:val="left"/>
      <w:pPr>
        <w:ind w:left="5430" w:hanging="360"/>
      </w:pPr>
    </w:lvl>
    <w:lvl w:ilvl="7" w:tplc="10090019">
      <w:start w:val="1"/>
      <w:numFmt w:val="lowerLetter"/>
      <w:lvlText w:val="%8."/>
      <w:lvlJc w:val="left"/>
      <w:pPr>
        <w:ind w:left="6150" w:hanging="360"/>
      </w:pPr>
    </w:lvl>
    <w:lvl w:ilvl="8" w:tplc="1009001B">
      <w:start w:val="1"/>
      <w:numFmt w:val="lowerRoman"/>
      <w:lvlText w:val="%9."/>
      <w:lvlJc w:val="right"/>
      <w:pPr>
        <w:ind w:left="6870" w:hanging="180"/>
      </w:pPr>
    </w:lvl>
  </w:abstractNum>
  <w:abstractNum w:abstractNumId="8"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380561"/>
    <w:multiLevelType w:val="hybridMultilevel"/>
    <w:tmpl w:val="7416F10C"/>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3460FDB"/>
    <w:multiLevelType w:val="hybridMultilevel"/>
    <w:tmpl w:val="E6C46B94"/>
    <w:lvl w:ilvl="0" w:tplc="850A3BD0">
      <w:start w:val="1"/>
      <w:numFmt w:val="upperLetter"/>
      <w:pStyle w:val="Kurusamy2"/>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D30346"/>
    <w:multiLevelType w:val="hybridMultilevel"/>
    <w:tmpl w:val="69FEADE8"/>
    <w:lvl w:ilvl="0" w:tplc="10090001">
      <w:start w:val="1"/>
      <w:numFmt w:val="bullet"/>
      <w:lvlText w:val=""/>
      <w:lvlJc w:val="left"/>
      <w:pPr>
        <w:ind w:left="1875" w:hanging="360"/>
      </w:pPr>
      <w:rPr>
        <w:rFonts w:ascii="Symbol" w:hAnsi="Symbol" w:hint="default"/>
      </w:rPr>
    </w:lvl>
    <w:lvl w:ilvl="1" w:tplc="10090003" w:tentative="1">
      <w:start w:val="1"/>
      <w:numFmt w:val="bullet"/>
      <w:lvlText w:val="o"/>
      <w:lvlJc w:val="left"/>
      <w:pPr>
        <w:ind w:left="2595" w:hanging="360"/>
      </w:pPr>
      <w:rPr>
        <w:rFonts w:ascii="Courier New" w:hAnsi="Courier New" w:cs="Courier New" w:hint="default"/>
      </w:rPr>
    </w:lvl>
    <w:lvl w:ilvl="2" w:tplc="10090005" w:tentative="1">
      <w:start w:val="1"/>
      <w:numFmt w:val="bullet"/>
      <w:lvlText w:val=""/>
      <w:lvlJc w:val="left"/>
      <w:pPr>
        <w:ind w:left="3315" w:hanging="360"/>
      </w:pPr>
      <w:rPr>
        <w:rFonts w:ascii="Wingdings" w:hAnsi="Wingdings" w:hint="default"/>
      </w:rPr>
    </w:lvl>
    <w:lvl w:ilvl="3" w:tplc="10090001" w:tentative="1">
      <w:start w:val="1"/>
      <w:numFmt w:val="bullet"/>
      <w:lvlText w:val=""/>
      <w:lvlJc w:val="left"/>
      <w:pPr>
        <w:ind w:left="4035" w:hanging="360"/>
      </w:pPr>
      <w:rPr>
        <w:rFonts w:ascii="Symbol" w:hAnsi="Symbol" w:hint="default"/>
      </w:rPr>
    </w:lvl>
    <w:lvl w:ilvl="4" w:tplc="10090003" w:tentative="1">
      <w:start w:val="1"/>
      <w:numFmt w:val="bullet"/>
      <w:lvlText w:val="o"/>
      <w:lvlJc w:val="left"/>
      <w:pPr>
        <w:ind w:left="4755" w:hanging="360"/>
      </w:pPr>
      <w:rPr>
        <w:rFonts w:ascii="Courier New" w:hAnsi="Courier New" w:cs="Courier New" w:hint="default"/>
      </w:rPr>
    </w:lvl>
    <w:lvl w:ilvl="5" w:tplc="10090005" w:tentative="1">
      <w:start w:val="1"/>
      <w:numFmt w:val="bullet"/>
      <w:lvlText w:val=""/>
      <w:lvlJc w:val="left"/>
      <w:pPr>
        <w:ind w:left="5475" w:hanging="360"/>
      </w:pPr>
      <w:rPr>
        <w:rFonts w:ascii="Wingdings" w:hAnsi="Wingdings" w:hint="default"/>
      </w:rPr>
    </w:lvl>
    <w:lvl w:ilvl="6" w:tplc="10090001" w:tentative="1">
      <w:start w:val="1"/>
      <w:numFmt w:val="bullet"/>
      <w:lvlText w:val=""/>
      <w:lvlJc w:val="left"/>
      <w:pPr>
        <w:ind w:left="6195" w:hanging="360"/>
      </w:pPr>
      <w:rPr>
        <w:rFonts w:ascii="Symbol" w:hAnsi="Symbol" w:hint="default"/>
      </w:rPr>
    </w:lvl>
    <w:lvl w:ilvl="7" w:tplc="10090003" w:tentative="1">
      <w:start w:val="1"/>
      <w:numFmt w:val="bullet"/>
      <w:lvlText w:val="o"/>
      <w:lvlJc w:val="left"/>
      <w:pPr>
        <w:ind w:left="6915" w:hanging="360"/>
      </w:pPr>
      <w:rPr>
        <w:rFonts w:ascii="Courier New" w:hAnsi="Courier New" w:cs="Courier New" w:hint="default"/>
      </w:rPr>
    </w:lvl>
    <w:lvl w:ilvl="8" w:tplc="10090005" w:tentative="1">
      <w:start w:val="1"/>
      <w:numFmt w:val="bullet"/>
      <w:lvlText w:val=""/>
      <w:lvlJc w:val="left"/>
      <w:pPr>
        <w:ind w:left="7635" w:hanging="360"/>
      </w:pPr>
      <w:rPr>
        <w:rFonts w:ascii="Wingdings" w:hAnsi="Wingdings" w:hint="default"/>
      </w:rPr>
    </w:lvl>
  </w:abstractNum>
  <w:num w:numId="1">
    <w:abstractNumId w:val="0"/>
  </w:num>
  <w:num w:numId="2">
    <w:abstractNumId w:val="9"/>
  </w:num>
  <w:num w:numId="3">
    <w:abstractNumId w:val="8"/>
  </w:num>
  <w:num w:numId="4">
    <w:abstractNumId w:val="11"/>
  </w:num>
  <w:num w:numId="5">
    <w:abstractNumId w:val="12"/>
  </w:num>
  <w:num w:numId="6">
    <w:abstractNumId w:val="3"/>
  </w:num>
  <w:num w:numId="7">
    <w:abstractNumId w:val="2"/>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0"/>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s-ES_tradnl" w:vendorID="64" w:dllVersion="131078" w:nlCheck="1" w:checkStyle="1"/>
  <w:activeWritingStyle w:appName="MSWord" w:lang="de-D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4A3B"/>
    <w:rsid w:val="00006231"/>
    <w:rsid w:val="0001238B"/>
    <w:rsid w:val="00012AA2"/>
    <w:rsid w:val="00012FF8"/>
    <w:rsid w:val="00016A42"/>
    <w:rsid w:val="00025234"/>
    <w:rsid w:val="00026ABA"/>
    <w:rsid w:val="00030EF4"/>
    <w:rsid w:val="000330BE"/>
    <w:rsid w:val="000400C5"/>
    <w:rsid w:val="000440FB"/>
    <w:rsid w:val="00044A46"/>
    <w:rsid w:val="0004561D"/>
    <w:rsid w:val="000506A9"/>
    <w:rsid w:val="00051479"/>
    <w:rsid w:val="00053629"/>
    <w:rsid w:val="00053B1D"/>
    <w:rsid w:val="000547E8"/>
    <w:rsid w:val="00055198"/>
    <w:rsid w:val="00057316"/>
    <w:rsid w:val="000617F0"/>
    <w:rsid w:val="0006658F"/>
    <w:rsid w:val="00070DA2"/>
    <w:rsid w:val="00072973"/>
    <w:rsid w:val="00074E30"/>
    <w:rsid w:val="00076DE6"/>
    <w:rsid w:val="00081A19"/>
    <w:rsid w:val="00081C82"/>
    <w:rsid w:val="0008234B"/>
    <w:rsid w:val="00082F02"/>
    <w:rsid w:val="0008372E"/>
    <w:rsid w:val="000870D2"/>
    <w:rsid w:val="000923A7"/>
    <w:rsid w:val="00096B42"/>
    <w:rsid w:val="00097589"/>
    <w:rsid w:val="0009769D"/>
    <w:rsid w:val="000A50BE"/>
    <w:rsid w:val="000A5443"/>
    <w:rsid w:val="000B09B3"/>
    <w:rsid w:val="000B3580"/>
    <w:rsid w:val="000B4162"/>
    <w:rsid w:val="000B4D51"/>
    <w:rsid w:val="000B584F"/>
    <w:rsid w:val="000B7A13"/>
    <w:rsid w:val="000C0EFA"/>
    <w:rsid w:val="000C10D9"/>
    <w:rsid w:val="000C123A"/>
    <w:rsid w:val="000C12E7"/>
    <w:rsid w:val="000C1F92"/>
    <w:rsid w:val="000C4C55"/>
    <w:rsid w:val="000C4EB8"/>
    <w:rsid w:val="000D2BE3"/>
    <w:rsid w:val="000D7749"/>
    <w:rsid w:val="000D7C60"/>
    <w:rsid w:val="000D7F10"/>
    <w:rsid w:val="000E29BF"/>
    <w:rsid w:val="000E2BC4"/>
    <w:rsid w:val="000E3E83"/>
    <w:rsid w:val="000E601A"/>
    <w:rsid w:val="000E6472"/>
    <w:rsid w:val="000F1A06"/>
    <w:rsid w:val="000F50D2"/>
    <w:rsid w:val="000F730F"/>
    <w:rsid w:val="00103BA5"/>
    <w:rsid w:val="00104BB4"/>
    <w:rsid w:val="00106D73"/>
    <w:rsid w:val="001078B7"/>
    <w:rsid w:val="00110701"/>
    <w:rsid w:val="00117924"/>
    <w:rsid w:val="00121896"/>
    <w:rsid w:val="0012341C"/>
    <w:rsid w:val="00124A98"/>
    <w:rsid w:val="00126BF5"/>
    <w:rsid w:val="00127405"/>
    <w:rsid w:val="0013226D"/>
    <w:rsid w:val="001322F2"/>
    <w:rsid w:val="00133372"/>
    <w:rsid w:val="0013557C"/>
    <w:rsid w:val="0013619D"/>
    <w:rsid w:val="00140051"/>
    <w:rsid w:val="001420BA"/>
    <w:rsid w:val="00146CF9"/>
    <w:rsid w:val="00152CDE"/>
    <w:rsid w:val="00153D74"/>
    <w:rsid w:val="001549D6"/>
    <w:rsid w:val="00155992"/>
    <w:rsid w:val="00161F02"/>
    <w:rsid w:val="00163614"/>
    <w:rsid w:val="00164E86"/>
    <w:rsid w:val="00165AB6"/>
    <w:rsid w:val="0016602D"/>
    <w:rsid w:val="0016615C"/>
    <w:rsid w:val="00167C2A"/>
    <w:rsid w:val="001704A9"/>
    <w:rsid w:val="001732F3"/>
    <w:rsid w:val="00175B8A"/>
    <w:rsid w:val="00182368"/>
    <w:rsid w:val="00182694"/>
    <w:rsid w:val="001846DE"/>
    <w:rsid w:val="00184731"/>
    <w:rsid w:val="00185070"/>
    <w:rsid w:val="00190BD3"/>
    <w:rsid w:val="001919B7"/>
    <w:rsid w:val="001961BD"/>
    <w:rsid w:val="001A0DD8"/>
    <w:rsid w:val="001A46C4"/>
    <w:rsid w:val="001B10F6"/>
    <w:rsid w:val="001B1D2E"/>
    <w:rsid w:val="001B389D"/>
    <w:rsid w:val="001B5613"/>
    <w:rsid w:val="001C2411"/>
    <w:rsid w:val="001C2E77"/>
    <w:rsid w:val="001C31D7"/>
    <w:rsid w:val="001C6E6F"/>
    <w:rsid w:val="001D0214"/>
    <w:rsid w:val="001E1DCE"/>
    <w:rsid w:val="001E2959"/>
    <w:rsid w:val="001E3CC9"/>
    <w:rsid w:val="001E5567"/>
    <w:rsid w:val="001E6C7A"/>
    <w:rsid w:val="001E6F98"/>
    <w:rsid w:val="001F1302"/>
    <w:rsid w:val="001F15B9"/>
    <w:rsid w:val="001F4AEE"/>
    <w:rsid w:val="002010BA"/>
    <w:rsid w:val="00204D5C"/>
    <w:rsid w:val="00205CC5"/>
    <w:rsid w:val="0020639B"/>
    <w:rsid w:val="00206A95"/>
    <w:rsid w:val="0021273F"/>
    <w:rsid w:val="00213F80"/>
    <w:rsid w:val="0022269B"/>
    <w:rsid w:val="002232A3"/>
    <w:rsid w:val="002271F4"/>
    <w:rsid w:val="00227B87"/>
    <w:rsid w:val="00231742"/>
    <w:rsid w:val="00231744"/>
    <w:rsid w:val="00231C5A"/>
    <w:rsid w:val="00232421"/>
    <w:rsid w:val="002333F7"/>
    <w:rsid w:val="002349A7"/>
    <w:rsid w:val="002369D4"/>
    <w:rsid w:val="00240781"/>
    <w:rsid w:val="00241BD0"/>
    <w:rsid w:val="00243943"/>
    <w:rsid w:val="0024494B"/>
    <w:rsid w:val="00245EA8"/>
    <w:rsid w:val="00247EC6"/>
    <w:rsid w:val="00250ED8"/>
    <w:rsid w:val="002522CC"/>
    <w:rsid w:val="00252C9C"/>
    <w:rsid w:val="00254CF8"/>
    <w:rsid w:val="00262F26"/>
    <w:rsid w:val="00266256"/>
    <w:rsid w:val="002664BE"/>
    <w:rsid w:val="00275B08"/>
    <w:rsid w:val="0027737C"/>
    <w:rsid w:val="00281330"/>
    <w:rsid w:val="002827C5"/>
    <w:rsid w:val="0028326A"/>
    <w:rsid w:val="002848E1"/>
    <w:rsid w:val="00293752"/>
    <w:rsid w:val="00293DD3"/>
    <w:rsid w:val="00296342"/>
    <w:rsid w:val="00297787"/>
    <w:rsid w:val="002A3474"/>
    <w:rsid w:val="002A3823"/>
    <w:rsid w:val="002A58BF"/>
    <w:rsid w:val="002A5EF5"/>
    <w:rsid w:val="002A7175"/>
    <w:rsid w:val="002B12B0"/>
    <w:rsid w:val="002B1CDC"/>
    <w:rsid w:val="002B2F38"/>
    <w:rsid w:val="002B359C"/>
    <w:rsid w:val="002B460D"/>
    <w:rsid w:val="002B4667"/>
    <w:rsid w:val="002B533E"/>
    <w:rsid w:val="002B5476"/>
    <w:rsid w:val="002C0A4E"/>
    <w:rsid w:val="002C0F75"/>
    <w:rsid w:val="002C1D2C"/>
    <w:rsid w:val="002C2092"/>
    <w:rsid w:val="002C6477"/>
    <w:rsid w:val="002C7D87"/>
    <w:rsid w:val="002D0F08"/>
    <w:rsid w:val="002D3F3F"/>
    <w:rsid w:val="002D7B91"/>
    <w:rsid w:val="002E3A06"/>
    <w:rsid w:val="002E4502"/>
    <w:rsid w:val="002E77F6"/>
    <w:rsid w:val="002E79DE"/>
    <w:rsid w:val="002F2D68"/>
    <w:rsid w:val="002F3151"/>
    <w:rsid w:val="002F5FBF"/>
    <w:rsid w:val="00302956"/>
    <w:rsid w:val="00305B61"/>
    <w:rsid w:val="00306456"/>
    <w:rsid w:val="003075D0"/>
    <w:rsid w:val="00307C79"/>
    <w:rsid w:val="00312662"/>
    <w:rsid w:val="00312BDD"/>
    <w:rsid w:val="00312C64"/>
    <w:rsid w:val="00313D73"/>
    <w:rsid w:val="00314FE7"/>
    <w:rsid w:val="00317B2C"/>
    <w:rsid w:val="00321426"/>
    <w:rsid w:val="0032188B"/>
    <w:rsid w:val="00322CCF"/>
    <w:rsid w:val="00326922"/>
    <w:rsid w:val="003273AE"/>
    <w:rsid w:val="00332523"/>
    <w:rsid w:val="0033529C"/>
    <w:rsid w:val="00337D1B"/>
    <w:rsid w:val="00340937"/>
    <w:rsid w:val="00343657"/>
    <w:rsid w:val="0034760C"/>
    <w:rsid w:val="00350F9C"/>
    <w:rsid w:val="003527BE"/>
    <w:rsid w:val="00353130"/>
    <w:rsid w:val="00355858"/>
    <w:rsid w:val="00355AC1"/>
    <w:rsid w:val="00356045"/>
    <w:rsid w:val="003627B6"/>
    <w:rsid w:val="00366DA8"/>
    <w:rsid w:val="003743F9"/>
    <w:rsid w:val="00374433"/>
    <w:rsid w:val="00375469"/>
    <w:rsid w:val="00377AFA"/>
    <w:rsid w:val="00380BE5"/>
    <w:rsid w:val="00380F33"/>
    <w:rsid w:val="0038190A"/>
    <w:rsid w:val="00381DFA"/>
    <w:rsid w:val="003831E5"/>
    <w:rsid w:val="00384102"/>
    <w:rsid w:val="00384C87"/>
    <w:rsid w:val="00387764"/>
    <w:rsid w:val="003879E3"/>
    <w:rsid w:val="00392C24"/>
    <w:rsid w:val="0039729C"/>
    <w:rsid w:val="003A2191"/>
    <w:rsid w:val="003A2DF0"/>
    <w:rsid w:val="003A424D"/>
    <w:rsid w:val="003A7217"/>
    <w:rsid w:val="003A7609"/>
    <w:rsid w:val="003A7E96"/>
    <w:rsid w:val="003B01C7"/>
    <w:rsid w:val="003B062F"/>
    <w:rsid w:val="003B5A56"/>
    <w:rsid w:val="003B6C1A"/>
    <w:rsid w:val="003C00CB"/>
    <w:rsid w:val="003C4ADA"/>
    <w:rsid w:val="003C6E23"/>
    <w:rsid w:val="003C7F1D"/>
    <w:rsid w:val="003D59E6"/>
    <w:rsid w:val="003D5A7E"/>
    <w:rsid w:val="003D6133"/>
    <w:rsid w:val="003D6638"/>
    <w:rsid w:val="003D6AC5"/>
    <w:rsid w:val="003E1B79"/>
    <w:rsid w:val="003E2486"/>
    <w:rsid w:val="003E4373"/>
    <w:rsid w:val="003E4E10"/>
    <w:rsid w:val="003E6E47"/>
    <w:rsid w:val="003F2069"/>
    <w:rsid w:val="003F59B7"/>
    <w:rsid w:val="003F7EF6"/>
    <w:rsid w:val="0040270C"/>
    <w:rsid w:val="00404F3A"/>
    <w:rsid w:val="00405504"/>
    <w:rsid w:val="004065DF"/>
    <w:rsid w:val="00410324"/>
    <w:rsid w:val="00415145"/>
    <w:rsid w:val="00420853"/>
    <w:rsid w:val="00422A68"/>
    <w:rsid w:val="004310B2"/>
    <w:rsid w:val="00431968"/>
    <w:rsid w:val="0043272D"/>
    <w:rsid w:val="00432D27"/>
    <w:rsid w:val="00435847"/>
    <w:rsid w:val="00435A57"/>
    <w:rsid w:val="00436424"/>
    <w:rsid w:val="0044350E"/>
    <w:rsid w:val="0044561F"/>
    <w:rsid w:val="0045185A"/>
    <w:rsid w:val="004528E2"/>
    <w:rsid w:val="00455AE8"/>
    <w:rsid w:val="00456658"/>
    <w:rsid w:val="004571F6"/>
    <w:rsid w:val="00460E80"/>
    <w:rsid w:val="004621C6"/>
    <w:rsid w:val="00462621"/>
    <w:rsid w:val="004667EB"/>
    <w:rsid w:val="004708EA"/>
    <w:rsid w:val="00474513"/>
    <w:rsid w:val="00476218"/>
    <w:rsid w:val="004876DE"/>
    <w:rsid w:val="004879C9"/>
    <w:rsid w:val="00490652"/>
    <w:rsid w:val="00491416"/>
    <w:rsid w:val="004916D8"/>
    <w:rsid w:val="00491D4F"/>
    <w:rsid w:val="0049357A"/>
    <w:rsid w:val="00494147"/>
    <w:rsid w:val="00497A78"/>
    <w:rsid w:val="004A068B"/>
    <w:rsid w:val="004A3668"/>
    <w:rsid w:val="004A6004"/>
    <w:rsid w:val="004A7316"/>
    <w:rsid w:val="004B0FA2"/>
    <w:rsid w:val="004B6094"/>
    <w:rsid w:val="004C07A2"/>
    <w:rsid w:val="004C68A5"/>
    <w:rsid w:val="004C7FEB"/>
    <w:rsid w:val="004D0991"/>
    <w:rsid w:val="004D2430"/>
    <w:rsid w:val="004E0886"/>
    <w:rsid w:val="004E38B8"/>
    <w:rsid w:val="004E3BE1"/>
    <w:rsid w:val="004E405C"/>
    <w:rsid w:val="004E5A05"/>
    <w:rsid w:val="004F087D"/>
    <w:rsid w:val="004F0B91"/>
    <w:rsid w:val="004F1C6E"/>
    <w:rsid w:val="004F33B9"/>
    <w:rsid w:val="004F3673"/>
    <w:rsid w:val="004F499F"/>
    <w:rsid w:val="004F4E9D"/>
    <w:rsid w:val="00501F7C"/>
    <w:rsid w:val="0050337B"/>
    <w:rsid w:val="00503F29"/>
    <w:rsid w:val="00505616"/>
    <w:rsid w:val="00505794"/>
    <w:rsid w:val="0051033F"/>
    <w:rsid w:val="005105CC"/>
    <w:rsid w:val="00510C47"/>
    <w:rsid w:val="005118CE"/>
    <w:rsid w:val="0052006C"/>
    <w:rsid w:val="005222ED"/>
    <w:rsid w:val="00525AF9"/>
    <w:rsid w:val="00532835"/>
    <w:rsid w:val="00532A35"/>
    <w:rsid w:val="00532A4D"/>
    <w:rsid w:val="005344BC"/>
    <w:rsid w:val="0053509A"/>
    <w:rsid w:val="00537478"/>
    <w:rsid w:val="005379F7"/>
    <w:rsid w:val="00543722"/>
    <w:rsid w:val="00544E30"/>
    <w:rsid w:val="00545D17"/>
    <w:rsid w:val="0055175E"/>
    <w:rsid w:val="005525B5"/>
    <w:rsid w:val="0055307A"/>
    <w:rsid w:val="0055412A"/>
    <w:rsid w:val="005573E8"/>
    <w:rsid w:val="00557BE7"/>
    <w:rsid w:val="00557BEE"/>
    <w:rsid w:val="00562882"/>
    <w:rsid w:val="005662FF"/>
    <w:rsid w:val="00567985"/>
    <w:rsid w:val="0057318D"/>
    <w:rsid w:val="005742BB"/>
    <w:rsid w:val="00576177"/>
    <w:rsid w:val="00582D72"/>
    <w:rsid w:val="00583B6D"/>
    <w:rsid w:val="00583DAE"/>
    <w:rsid w:val="005846C6"/>
    <w:rsid w:val="00587B71"/>
    <w:rsid w:val="00590F08"/>
    <w:rsid w:val="0059686E"/>
    <w:rsid w:val="005A3C66"/>
    <w:rsid w:val="005A41F3"/>
    <w:rsid w:val="005A6300"/>
    <w:rsid w:val="005A6783"/>
    <w:rsid w:val="005A6E87"/>
    <w:rsid w:val="005B0C5C"/>
    <w:rsid w:val="005B415D"/>
    <w:rsid w:val="005B449C"/>
    <w:rsid w:val="005B465C"/>
    <w:rsid w:val="005B49CF"/>
    <w:rsid w:val="005C02F0"/>
    <w:rsid w:val="005C2172"/>
    <w:rsid w:val="005C4A4F"/>
    <w:rsid w:val="005D1302"/>
    <w:rsid w:val="005D24D1"/>
    <w:rsid w:val="005D2F38"/>
    <w:rsid w:val="005D3322"/>
    <w:rsid w:val="005D5A2D"/>
    <w:rsid w:val="005D6813"/>
    <w:rsid w:val="005E048D"/>
    <w:rsid w:val="005E0F23"/>
    <w:rsid w:val="005E2984"/>
    <w:rsid w:val="005E2FB1"/>
    <w:rsid w:val="005E763E"/>
    <w:rsid w:val="005F3C2B"/>
    <w:rsid w:val="00601144"/>
    <w:rsid w:val="00606111"/>
    <w:rsid w:val="00611C2C"/>
    <w:rsid w:val="00613FD4"/>
    <w:rsid w:val="00620F42"/>
    <w:rsid w:val="00621A61"/>
    <w:rsid w:val="006230ED"/>
    <w:rsid w:val="0062479A"/>
    <w:rsid w:val="00625000"/>
    <w:rsid w:val="006265A2"/>
    <w:rsid w:val="00627C22"/>
    <w:rsid w:val="006328BE"/>
    <w:rsid w:val="00632C74"/>
    <w:rsid w:val="00633889"/>
    <w:rsid w:val="0063683E"/>
    <w:rsid w:val="006402F6"/>
    <w:rsid w:val="00640B72"/>
    <w:rsid w:val="006456FA"/>
    <w:rsid w:val="00650C5C"/>
    <w:rsid w:val="00650FF2"/>
    <w:rsid w:val="006536F6"/>
    <w:rsid w:val="0065411B"/>
    <w:rsid w:val="00655015"/>
    <w:rsid w:val="0065504D"/>
    <w:rsid w:val="0066206D"/>
    <w:rsid w:val="006732F7"/>
    <w:rsid w:val="00675694"/>
    <w:rsid w:val="006836BE"/>
    <w:rsid w:val="00691489"/>
    <w:rsid w:val="00692E6E"/>
    <w:rsid w:val="006966D5"/>
    <w:rsid w:val="006A4ED2"/>
    <w:rsid w:val="006A5234"/>
    <w:rsid w:val="006A5765"/>
    <w:rsid w:val="006A6A65"/>
    <w:rsid w:val="006A7730"/>
    <w:rsid w:val="006B087A"/>
    <w:rsid w:val="006B0FB8"/>
    <w:rsid w:val="006B1BB1"/>
    <w:rsid w:val="006B2AA2"/>
    <w:rsid w:val="006B4FA1"/>
    <w:rsid w:val="006B52DA"/>
    <w:rsid w:val="006B78D4"/>
    <w:rsid w:val="006C2FF9"/>
    <w:rsid w:val="006C34B4"/>
    <w:rsid w:val="006C4975"/>
    <w:rsid w:val="006C4F53"/>
    <w:rsid w:val="006D01B6"/>
    <w:rsid w:val="006D165A"/>
    <w:rsid w:val="006D329F"/>
    <w:rsid w:val="006D4E3C"/>
    <w:rsid w:val="006D6861"/>
    <w:rsid w:val="006D6E98"/>
    <w:rsid w:val="006E2F84"/>
    <w:rsid w:val="006E3839"/>
    <w:rsid w:val="006F15FE"/>
    <w:rsid w:val="006F230E"/>
    <w:rsid w:val="006F3C4A"/>
    <w:rsid w:val="006F45D4"/>
    <w:rsid w:val="007010A5"/>
    <w:rsid w:val="00703393"/>
    <w:rsid w:val="00705F10"/>
    <w:rsid w:val="00706B96"/>
    <w:rsid w:val="00706EE7"/>
    <w:rsid w:val="00707A71"/>
    <w:rsid w:val="00712926"/>
    <w:rsid w:val="00714C14"/>
    <w:rsid w:val="00715132"/>
    <w:rsid w:val="00716074"/>
    <w:rsid w:val="0071718B"/>
    <w:rsid w:val="0072061C"/>
    <w:rsid w:val="00720E7E"/>
    <w:rsid w:val="00720F47"/>
    <w:rsid w:val="0072107C"/>
    <w:rsid w:val="00722210"/>
    <w:rsid w:val="00724BEC"/>
    <w:rsid w:val="00732ACF"/>
    <w:rsid w:val="00733E69"/>
    <w:rsid w:val="00734132"/>
    <w:rsid w:val="0073753C"/>
    <w:rsid w:val="0074182E"/>
    <w:rsid w:val="007423F1"/>
    <w:rsid w:val="00746890"/>
    <w:rsid w:val="00750ABA"/>
    <w:rsid w:val="00752043"/>
    <w:rsid w:val="00753C18"/>
    <w:rsid w:val="00761067"/>
    <w:rsid w:val="007662FC"/>
    <w:rsid w:val="00770227"/>
    <w:rsid w:val="00771A57"/>
    <w:rsid w:val="00771F56"/>
    <w:rsid w:val="007749C6"/>
    <w:rsid w:val="00774B9A"/>
    <w:rsid w:val="00774FD2"/>
    <w:rsid w:val="00780050"/>
    <w:rsid w:val="00782E70"/>
    <w:rsid w:val="007863A8"/>
    <w:rsid w:val="007873A0"/>
    <w:rsid w:val="0079493B"/>
    <w:rsid w:val="00794BA6"/>
    <w:rsid w:val="0079607F"/>
    <w:rsid w:val="00797444"/>
    <w:rsid w:val="007A1AA3"/>
    <w:rsid w:val="007A1B5B"/>
    <w:rsid w:val="007A2195"/>
    <w:rsid w:val="007A3AAD"/>
    <w:rsid w:val="007A4D05"/>
    <w:rsid w:val="007A5D50"/>
    <w:rsid w:val="007A681F"/>
    <w:rsid w:val="007A6FB3"/>
    <w:rsid w:val="007B0756"/>
    <w:rsid w:val="007B0E41"/>
    <w:rsid w:val="007B13A9"/>
    <w:rsid w:val="007B5093"/>
    <w:rsid w:val="007C333F"/>
    <w:rsid w:val="007C4A8D"/>
    <w:rsid w:val="007C6E22"/>
    <w:rsid w:val="007C736A"/>
    <w:rsid w:val="007D0633"/>
    <w:rsid w:val="007D1788"/>
    <w:rsid w:val="007E14C8"/>
    <w:rsid w:val="007E3006"/>
    <w:rsid w:val="007E74A5"/>
    <w:rsid w:val="007F065D"/>
    <w:rsid w:val="007F09C5"/>
    <w:rsid w:val="007F3F53"/>
    <w:rsid w:val="007F4178"/>
    <w:rsid w:val="007F4425"/>
    <w:rsid w:val="008011C1"/>
    <w:rsid w:val="0080487E"/>
    <w:rsid w:val="00806908"/>
    <w:rsid w:val="008156CE"/>
    <w:rsid w:val="00816917"/>
    <w:rsid w:val="00817490"/>
    <w:rsid w:val="0082352A"/>
    <w:rsid w:val="00826C7D"/>
    <w:rsid w:val="00832361"/>
    <w:rsid w:val="00834280"/>
    <w:rsid w:val="008375F9"/>
    <w:rsid w:val="00837F2C"/>
    <w:rsid w:val="0085195F"/>
    <w:rsid w:val="008538BE"/>
    <w:rsid w:val="0085398C"/>
    <w:rsid w:val="00854D18"/>
    <w:rsid w:val="00857CBB"/>
    <w:rsid w:val="00872847"/>
    <w:rsid w:val="00872C0E"/>
    <w:rsid w:val="008733C4"/>
    <w:rsid w:val="00873F97"/>
    <w:rsid w:val="00875209"/>
    <w:rsid w:val="008821CE"/>
    <w:rsid w:val="0088231B"/>
    <w:rsid w:val="00883A91"/>
    <w:rsid w:val="00884892"/>
    <w:rsid w:val="00884F29"/>
    <w:rsid w:val="00890D9A"/>
    <w:rsid w:val="00890FB1"/>
    <w:rsid w:val="00891A91"/>
    <w:rsid w:val="00892CC4"/>
    <w:rsid w:val="008936AF"/>
    <w:rsid w:val="008939D1"/>
    <w:rsid w:val="00893ED8"/>
    <w:rsid w:val="00895DED"/>
    <w:rsid w:val="008A05D5"/>
    <w:rsid w:val="008A12BD"/>
    <w:rsid w:val="008A292F"/>
    <w:rsid w:val="008A506F"/>
    <w:rsid w:val="008A5CBA"/>
    <w:rsid w:val="008A6477"/>
    <w:rsid w:val="008A65CE"/>
    <w:rsid w:val="008A7561"/>
    <w:rsid w:val="008A7F7E"/>
    <w:rsid w:val="008B0D58"/>
    <w:rsid w:val="008B0FA1"/>
    <w:rsid w:val="008B19B3"/>
    <w:rsid w:val="008B2925"/>
    <w:rsid w:val="008B638A"/>
    <w:rsid w:val="008B7220"/>
    <w:rsid w:val="008C0386"/>
    <w:rsid w:val="008C1349"/>
    <w:rsid w:val="008C14E9"/>
    <w:rsid w:val="008C3629"/>
    <w:rsid w:val="008C44E8"/>
    <w:rsid w:val="008C4D14"/>
    <w:rsid w:val="008C5EDB"/>
    <w:rsid w:val="008C6726"/>
    <w:rsid w:val="008C6F76"/>
    <w:rsid w:val="008C709F"/>
    <w:rsid w:val="008D1FEA"/>
    <w:rsid w:val="008D5C73"/>
    <w:rsid w:val="008D65E0"/>
    <w:rsid w:val="008E226E"/>
    <w:rsid w:val="008E24FD"/>
    <w:rsid w:val="008E312D"/>
    <w:rsid w:val="008E5F0F"/>
    <w:rsid w:val="008E7BA2"/>
    <w:rsid w:val="008F452A"/>
    <w:rsid w:val="008F7BD0"/>
    <w:rsid w:val="00901599"/>
    <w:rsid w:val="00901C11"/>
    <w:rsid w:val="00902E20"/>
    <w:rsid w:val="00903BA1"/>
    <w:rsid w:val="00904885"/>
    <w:rsid w:val="00905610"/>
    <w:rsid w:val="00905F83"/>
    <w:rsid w:val="009177D9"/>
    <w:rsid w:val="0092163E"/>
    <w:rsid w:val="00926616"/>
    <w:rsid w:val="009301F4"/>
    <w:rsid w:val="00933CE3"/>
    <w:rsid w:val="00945B83"/>
    <w:rsid w:val="009460E6"/>
    <w:rsid w:val="00946E31"/>
    <w:rsid w:val="009476DF"/>
    <w:rsid w:val="00947F46"/>
    <w:rsid w:val="0095303B"/>
    <w:rsid w:val="00954C16"/>
    <w:rsid w:val="00954F6D"/>
    <w:rsid w:val="00956893"/>
    <w:rsid w:val="00962F7C"/>
    <w:rsid w:val="00964205"/>
    <w:rsid w:val="009644A5"/>
    <w:rsid w:val="0096698B"/>
    <w:rsid w:val="00967849"/>
    <w:rsid w:val="00970945"/>
    <w:rsid w:val="00971804"/>
    <w:rsid w:val="00973118"/>
    <w:rsid w:val="00973AA4"/>
    <w:rsid w:val="00975614"/>
    <w:rsid w:val="00975980"/>
    <w:rsid w:val="00980DF1"/>
    <w:rsid w:val="009833A5"/>
    <w:rsid w:val="00984771"/>
    <w:rsid w:val="0099194F"/>
    <w:rsid w:val="00993B5E"/>
    <w:rsid w:val="009942C0"/>
    <w:rsid w:val="009947A2"/>
    <w:rsid w:val="00995030"/>
    <w:rsid w:val="009A0592"/>
    <w:rsid w:val="009A0774"/>
    <w:rsid w:val="009A0910"/>
    <w:rsid w:val="009A18ED"/>
    <w:rsid w:val="009A7A05"/>
    <w:rsid w:val="009B0AC3"/>
    <w:rsid w:val="009B1D65"/>
    <w:rsid w:val="009B2030"/>
    <w:rsid w:val="009B3064"/>
    <w:rsid w:val="009B394A"/>
    <w:rsid w:val="009B559C"/>
    <w:rsid w:val="009B75CE"/>
    <w:rsid w:val="009C039A"/>
    <w:rsid w:val="009C39B2"/>
    <w:rsid w:val="009C4E67"/>
    <w:rsid w:val="009D465B"/>
    <w:rsid w:val="009D5107"/>
    <w:rsid w:val="009D7832"/>
    <w:rsid w:val="009E7102"/>
    <w:rsid w:val="009F1651"/>
    <w:rsid w:val="009F3AD4"/>
    <w:rsid w:val="009F6C1B"/>
    <w:rsid w:val="009F7218"/>
    <w:rsid w:val="00A01736"/>
    <w:rsid w:val="00A052AB"/>
    <w:rsid w:val="00A07BB7"/>
    <w:rsid w:val="00A07F18"/>
    <w:rsid w:val="00A1279B"/>
    <w:rsid w:val="00A13375"/>
    <w:rsid w:val="00A1394A"/>
    <w:rsid w:val="00A141AD"/>
    <w:rsid w:val="00A14B8B"/>
    <w:rsid w:val="00A15BBB"/>
    <w:rsid w:val="00A209ED"/>
    <w:rsid w:val="00A215E8"/>
    <w:rsid w:val="00A242F4"/>
    <w:rsid w:val="00A32E72"/>
    <w:rsid w:val="00A33252"/>
    <w:rsid w:val="00A40A78"/>
    <w:rsid w:val="00A4212F"/>
    <w:rsid w:val="00A429ED"/>
    <w:rsid w:val="00A42BE3"/>
    <w:rsid w:val="00A439D4"/>
    <w:rsid w:val="00A4426E"/>
    <w:rsid w:val="00A456F8"/>
    <w:rsid w:val="00A50ECD"/>
    <w:rsid w:val="00A51329"/>
    <w:rsid w:val="00A53818"/>
    <w:rsid w:val="00A54B88"/>
    <w:rsid w:val="00A54E99"/>
    <w:rsid w:val="00A565AB"/>
    <w:rsid w:val="00A62AEC"/>
    <w:rsid w:val="00A643FB"/>
    <w:rsid w:val="00A651DA"/>
    <w:rsid w:val="00A6586B"/>
    <w:rsid w:val="00A66227"/>
    <w:rsid w:val="00A70D2D"/>
    <w:rsid w:val="00A73CC7"/>
    <w:rsid w:val="00A7414B"/>
    <w:rsid w:val="00A773E7"/>
    <w:rsid w:val="00A773E8"/>
    <w:rsid w:val="00A77F24"/>
    <w:rsid w:val="00A80065"/>
    <w:rsid w:val="00A824C6"/>
    <w:rsid w:val="00A84280"/>
    <w:rsid w:val="00A86B5D"/>
    <w:rsid w:val="00A87341"/>
    <w:rsid w:val="00A91A7D"/>
    <w:rsid w:val="00A91BDF"/>
    <w:rsid w:val="00A91FC2"/>
    <w:rsid w:val="00A92018"/>
    <w:rsid w:val="00AA0068"/>
    <w:rsid w:val="00AA031B"/>
    <w:rsid w:val="00AA4305"/>
    <w:rsid w:val="00AA6DDC"/>
    <w:rsid w:val="00AB07D0"/>
    <w:rsid w:val="00AB1B10"/>
    <w:rsid w:val="00AB340F"/>
    <w:rsid w:val="00AB500F"/>
    <w:rsid w:val="00AB5B96"/>
    <w:rsid w:val="00AB6EFC"/>
    <w:rsid w:val="00AC0CAD"/>
    <w:rsid w:val="00AC40CD"/>
    <w:rsid w:val="00AC5A4F"/>
    <w:rsid w:val="00AD051D"/>
    <w:rsid w:val="00AD5507"/>
    <w:rsid w:val="00AD630B"/>
    <w:rsid w:val="00AD788D"/>
    <w:rsid w:val="00AD79D3"/>
    <w:rsid w:val="00AE01D4"/>
    <w:rsid w:val="00AE3E48"/>
    <w:rsid w:val="00AE53D9"/>
    <w:rsid w:val="00AE554D"/>
    <w:rsid w:val="00AE5A5E"/>
    <w:rsid w:val="00AE7905"/>
    <w:rsid w:val="00AF26E4"/>
    <w:rsid w:val="00AF2B28"/>
    <w:rsid w:val="00AF3B0C"/>
    <w:rsid w:val="00AF4525"/>
    <w:rsid w:val="00B00D2F"/>
    <w:rsid w:val="00B01298"/>
    <w:rsid w:val="00B0267D"/>
    <w:rsid w:val="00B106FD"/>
    <w:rsid w:val="00B112D3"/>
    <w:rsid w:val="00B13B09"/>
    <w:rsid w:val="00B149E0"/>
    <w:rsid w:val="00B16528"/>
    <w:rsid w:val="00B304F2"/>
    <w:rsid w:val="00B34420"/>
    <w:rsid w:val="00B373DA"/>
    <w:rsid w:val="00B40496"/>
    <w:rsid w:val="00B4248D"/>
    <w:rsid w:val="00B42767"/>
    <w:rsid w:val="00B46667"/>
    <w:rsid w:val="00B52981"/>
    <w:rsid w:val="00B531F0"/>
    <w:rsid w:val="00B570F4"/>
    <w:rsid w:val="00B57207"/>
    <w:rsid w:val="00B5785D"/>
    <w:rsid w:val="00B61451"/>
    <w:rsid w:val="00B65E48"/>
    <w:rsid w:val="00B6618B"/>
    <w:rsid w:val="00B66535"/>
    <w:rsid w:val="00B7443A"/>
    <w:rsid w:val="00B76CDF"/>
    <w:rsid w:val="00B76F15"/>
    <w:rsid w:val="00B80468"/>
    <w:rsid w:val="00B82CA8"/>
    <w:rsid w:val="00B840CB"/>
    <w:rsid w:val="00B85DE6"/>
    <w:rsid w:val="00B902DC"/>
    <w:rsid w:val="00B929D3"/>
    <w:rsid w:val="00B93CC7"/>
    <w:rsid w:val="00B93F00"/>
    <w:rsid w:val="00B94D01"/>
    <w:rsid w:val="00B9531C"/>
    <w:rsid w:val="00B97E9B"/>
    <w:rsid w:val="00BA146A"/>
    <w:rsid w:val="00BA302B"/>
    <w:rsid w:val="00BB560C"/>
    <w:rsid w:val="00BB5D0E"/>
    <w:rsid w:val="00BC164E"/>
    <w:rsid w:val="00BC1E6E"/>
    <w:rsid w:val="00BD1EBC"/>
    <w:rsid w:val="00BD2810"/>
    <w:rsid w:val="00BD3A88"/>
    <w:rsid w:val="00BD7C70"/>
    <w:rsid w:val="00BE15E1"/>
    <w:rsid w:val="00BE38BD"/>
    <w:rsid w:val="00BF0C58"/>
    <w:rsid w:val="00BF17CF"/>
    <w:rsid w:val="00BF4A2A"/>
    <w:rsid w:val="00BF5D49"/>
    <w:rsid w:val="00BF6D74"/>
    <w:rsid w:val="00C014DD"/>
    <w:rsid w:val="00C07884"/>
    <w:rsid w:val="00C10701"/>
    <w:rsid w:val="00C12002"/>
    <w:rsid w:val="00C1327A"/>
    <w:rsid w:val="00C150FB"/>
    <w:rsid w:val="00C1534B"/>
    <w:rsid w:val="00C1567E"/>
    <w:rsid w:val="00C1636F"/>
    <w:rsid w:val="00C209E9"/>
    <w:rsid w:val="00C21EF7"/>
    <w:rsid w:val="00C32089"/>
    <w:rsid w:val="00C3290D"/>
    <w:rsid w:val="00C33159"/>
    <w:rsid w:val="00C34686"/>
    <w:rsid w:val="00C40215"/>
    <w:rsid w:val="00C428C8"/>
    <w:rsid w:val="00C42D1E"/>
    <w:rsid w:val="00C43372"/>
    <w:rsid w:val="00C4775F"/>
    <w:rsid w:val="00C50849"/>
    <w:rsid w:val="00C5156B"/>
    <w:rsid w:val="00C53285"/>
    <w:rsid w:val="00C61F13"/>
    <w:rsid w:val="00C6659F"/>
    <w:rsid w:val="00C67778"/>
    <w:rsid w:val="00C67C89"/>
    <w:rsid w:val="00C75484"/>
    <w:rsid w:val="00C75ADB"/>
    <w:rsid w:val="00C76E27"/>
    <w:rsid w:val="00C82C50"/>
    <w:rsid w:val="00C8536A"/>
    <w:rsid w:val="00C875B8"/>
    <w:rsid w:val="00C91054"/>
    <w:rsid w:val="00C91D7B"/>
    <w:rsid w:val="00C92FB3"/>
    <w:rsid w:val="00C9419C"/>
    <w:rsid w:val="00C967B2"/>
    <w:rsid w:val="00C97355"/>
    <w:rsid w:val="00CA3E09"/>
    <w:rsid w:val="00CA413B"/>
    <w:rsid w:val="00CB0B9A"/>
    <w:rsid w:val="00CB0E8D"/>
    <w:rsid w:val="00CB1DD8"/>
    <w:rsid w:val="00CB21A5"/>
    <w:rsid w:val="00CB4AFF"/>
    <w:rsid w:val="00CC023E"/>
    <w:rsid w:val="00CC33C7"/>
    <w:rsid w:val="00CC5405"/>
    <w:rsid w:val="00CD6E84"/>
    <w:rsid w:val="00CE3865"/>
    <w:rsid w:val="00CE630E"/>
    <w:rsid w:val="00CF0BE4"/>
    <w:rsid w:val="00CF492B"/>
    <w:rsid w:val="00CF51C1"/>
    <w:rsid w:val="00CF6197"/>
    <w:rsid w:val="00CF6F32"/>
    <w:rsid w:val="00CF765A"/>
    <w:rsid w:val="00D0443C"/>
    <w:rsid w:val="00D0559B"/>
    <w:rsid w:val="00D0646E"/>
    <w:rsid w:val="00D11573"/>
    <w:rsid w:val="00D11652"/>
    <w:rsid w:val="00D12BA7"/>
    <w:rsid w:val="00D1577F"/>
    <w:rsid w:val="00D158E8"/>
    <w:rsid w:val="00D15ECF"/>
    <w:rsid w:val="00D2009B"/>
    <w:rsid w:val="00D2285B"/>
    <w:rsid w:val="00D22DAF"/>
    <w:rsid w:val="00D23A49"/>
    <w:rsid w:val="00D24DF0"/>
    <w:rsid w:val="00D313FE"/>
    <w:rsid w:val="00D346CD"/>
    <w:rsid w:val="00D35B7B"/>
    <w:rsid w:val="00D421CA"/>
    <w:rsid w:val="00D50569"/>
    <w:rsid w:val="00D522F5"/>
    <w:rsid w:val="00D5397C"/>
    <w:rsid w:val="00D5661B"/>
    <w:rsid w:val="00D5720B"/>
    <w:rsid w:val="00D57BB0"/>
    <w:rsid w:val="00D60112"/>
    <w:rsid w:val="00D6227C"/>
    <w:rsid w:val="00D629A8"/>
    <w:rsid w:val="00D6565D"/>
    <w:rsid w:val="00D679DF"/>
    <w:rsid w:val="00D73DEE"/>
    <w:rsid w:val="00D74138"/>
    <w:rsid w:val="00D779C8"/>
    <w:rsid w:val="00D80537"/>
    <w:rsid w:val="00D807AA"/>
    <w:rsid w:val="00D81158"/>
    <w:rsid w:val="00D8135D"/>
    <w:rsid w:val="00D831C8"/>
    <w:rsid w:val="00D87295"/>
    <w:rsid w:val="00D90656"/>
    <w:rsid w:val="00D92346"/>
    <w:rsid w:val="00D9263B"/>
    <w:rsid w:val="00D942CB"/>
    <w:rsid w:val="00D94331"/>
    <w:rsid w:val="00D95268"/>
    <w:rsid w:val="00D9691D"/>
    <w:rsid w:val="00D979C3"/>
    <w:rsid w:val="00DA58D4"/>
    <w:rsid w:val="00DA62D3"/>
    <w:rsid w:val="00DB1A69"/>
    <w:rsid w:val="00DB4813"/>
    <w:rsid w:val="00DB5524"/>
    <w:rsid w:val="00DB5ABC"/>
    <w:rsid w:val="00DB69C3"/>
    <w:rsid w:val="00DC277D"/>
    <w:rsid w:val="00DC4217"/>
    <w:rsid w:val="00DC47E3"/>
    <w:rsid w:val="00DC6C69"/>
    <w:rsid w:val="00DD1350"/>
    <w:rsid w:val="00DD2D77"/>
    <w:rsid w:val="00DD37C8"/>
    <w:rsid w:val="00DD50E8"/>
    <w:rsid w:val="00DD6677"/>
    <w:rsid w:val="00DD6E7F"/>
    <w:rsid w:val="00DE296B"/>
    <w:rsid w:val="00DE3BA7"/>
    <w:rsid w:val="00DE523B"/>
    <w:rsid w:val="00DE7F30"/>
    <w:rsid w:val="00DF0E4C"/>
    <w:rsid w:val="00DF18AE"/>
    <w:rsid w:val="00DF3E8D"/>
    <w:rsid w:val="00DF4D7E"/>
    <w:rsid w:val="00DF6FE8"/>
    <w:rsid w:val="00E00D62"/>
    <w:rsid w:val="00E00EB7"/>
    <w:rsid w:val="00E0336E"/>
    <w:rsid w:val="00E03623"/>
    <w:rsid w:val="00E07D89"/>
    <w:rsid w:val="00E121C9"/>
    <w:rsid w:val="00E12B80"/>
    <w:rsid w:val="00E13394"/>
    <w:rsid w:val="00E14CD6"/>
    <w:rsid w:val="00E1760F"/>
    <w:rsid w:val="00E17947"/>
    <w:rsid w:val="00E17B97"/>
    <w:rsid w:val="00E20348"/>
    <w:rsid w:val="00E2493B"/>
    <w:rsid w:val="00E24D70"/>
    <w:rsid w:val="00E25746"/>
    <w:rsid w:val="00E25FFD"/>
    <w:rsid w:val="00E30496"/>
    <w:rsid w:val="00E312AC"/>
    <w:rsid w:val="00E41813"/>
    <w:rsid w:val="00E423F9"/>
    <w:rsid w:val="00E42B9E"/>
    <w:rsid w:val="00E43705"/>
    <w:rsid w:val="00E44CB6"/>
    <w:rsid w:val="00E45194"/>
    <w:rsid w:val="00E45797"/>
    <w:rsid w:val="00E47195"/>
    <w:rsid w:val="00E47B60"/>
    <w:rsid w:val="00E47D47"/>
    <w:rsid w:val="00E50635"/>
    <w:rsid w:val="00E506B7"/>
    <w:rsid w:val="00E540F3"/>
    <w:rsid w:val="00E61458"/>
    <w:rsid w:val="00E645CF"/>
    <w:rsid w:val="00E70FDE"/>
    <w:rsid w:val="00E72A78"/>
    <w:rsid w:val="00E7362D"/>
    <w:rsid w:val="00E73A6F"/>
    <w:rsid w:val="00E75444"/>
    <w:rsid w:val="00E8448A"/>
    <w:rsid w:val="00E84585"/>
    <w:rsid w:val="00E86F11"/>
    <w:rsid w:val="00E8786C"/>
    <w:rsid w:val="00E90191"/>
    <w:rsid w:val="00E9345C"/>
    <w:rsid w:val="00E957F7"/>
    <w:rsid w:val="00E95D98"/>
    <w:rsid w:val="00E96706"/>
    <w:rsid w:val="00E97F44"/>
    <w:rsid w:val="00EA0A9A"/>
    <w:rsid w:val="00EA13B1"/>
    <w:rsid w:val="00EA23D3"/>
    <w:rsid w:val="00EA3E54"/>
    <w:rsid w:val="00EB1478"/>
    <w:rsid w:val="00EB1AB1"/>
    <w:rsid w:val="00EC02B7"/>
    <w:rsid w:val="00EC0390"/>
    <w:rsid w:val="00EC0915"/>
    <w:rsid w:val="00EC176F"/>
    <w:rsid w:val="00EC2DFA"/>
    <w:rsid w:val="00EC65FE"/>
    <w:rsid w:val="00ED37F0"/>
    <w:rsid w:val="00ED678E"/>
    <w:rsid w:val="00ED7569"/>
    <w:rsid w:val="00ED7DB1"/>
    <w:rsid w:val="00EE1706"/>
    <w:rsid w:val="00EE2091"/>
    <w:rsid w:val="00EE39B7"/>
    <w:rsid w:val="00EF3450"/>
    <w:rsid w:val="00EF6691"/>
    <w:rsid w:val="00F029DF"/>
    <w:rsid w:val="00F02B75"/>
    <w:rsid w:val="00F046A7"/>
    <w:rsid w:val="00F1350C"/>
    <w:rsid w:val="00F14731"/>
    <w:rsid w:val="00F15875"/>
    <w:rsid w:val="00F16390"/>
    <w:rsid w:val="00F17F69"/>
    <w:rsid w:val="00F20AD6"/>
    <w:rsid w:val="00F21503"/>
    <w:rsid w:val="00F26D15"/>
    <w:rsid w:val="00F27C8F"/>
    <w:rsid w:val="00F27E27"/>
    <w:rsid w:val="00F27F58"/>
    <w:rsid w:val="00F32CA0"/>
    <w:rsid w:val="00F33F15"/>
    <w:rsid w:val="00F36122"/>
    <w:rsid w:val="00F37840"/>
    <w:rsid w:val="00F445C7"/>
    <w:rsid w:val="00F455A2"/>
    <w:rsid w:val="00F50BF1"/>
    <w:rsid w:val="00F52A89"/>
    <w:rsid w:val="00F5310E"/>
    <w:rsid w:val="00F543F3"/>
    <w:rsid w:val="00F5446A"/>
    <w:rsid w:val="00F65B0D"/>
    <w:rsid w:val="00F6666F"/>
    <w:rsid w:val="00F71104"/>
    <w:rsid w:val="00F74218"/>
    <w:rsid w:val="00F77518"/>
    <w:rsid w:val="00F82E0D"/>
    <w:rsid w:val="00F832CE"/>
    <w:rsid w:val="00F83B50"/>
    <w:rsid w:val="00F8456D"/>
    <w:rsid w:val="00F858A6"/>
    <w:rsid w:val="00F902C1"/>
    <w:rsid w:val="00F91D3D"/>
    <w:rsid w:val="00F92879"/>
    <w:rsid w:val="00F93CDE"/>
    <w:rsid w:val="00F93DBD"/>
    <w:rsid w:val="00F94BC9"/>
    <w:rsid w:val="00F95490"/>
    <w:rsid w:val="00FA4942"/>
    <w:rsid w:val="00FA4AEA"/>
    <w:rsid w:val="00FA4F05"/>
    <w:rsid w:val="00FA55EB"/>
    <w:rsid w:val="00FA6E13"/>
    <w:rsid w:val="00FA7AD0"/>
    <w:rsid w:val="00FB411E"/>
    <w:rsid w:val="00FB5491"/>
    <w:rsid w:val="00FB6576"/>
    <w:rsid w:val="00FC1585"/>
    <w:rsid w:val="00FC3A98"/>
    <w:rsid w:val="00FC5228"/>
    <w:rsid w:val="00FC652A"/>
    <w:rsid w:val="00FC6E12"/>
    <w:rsid w:val="00FD2B7E"/>
    <w:rsid w:val="00FD34F2"/>
    <w:rsid w:val="00FD5DBA"/>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B6672"/>
  <w15:docId w15:val="{6A6FC750-D5BF-4872-931A-E1A5E3BA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081C82"/>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081C82"/>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3"/>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character" w:styleId="Strong">
    <w:name w:val="Strong"/>
    <w:uiPriority w:val="22"/>
    <w:qFormat/>
    <w:rsid w:val="004708EA"/>
    <w:rPr>
      <w:b/>
      <w:bCs/>
    </w:rPr>
  </w:style>
  <w:style w:type="paragraph" w:customStyle="1" w:styleId="Kurusamy2">
    <w:name w:val="Kurusamy 2"/>
    <w:basedOn w:val="Normal"/>
    <w:qFormat/>
    <w:rsid w:val="00A07BB7"/>
    <w:pPr>
      <w:numPr>
        <w:numId w:val="4"/>
      </w:numPr>
      <w:suppressAutoHyphens w:val="0"/>
      <w:spacing w:after="240" w:line="240" w:lineRule="auto"/>
      <w:jc w:val="both"/>
    </w:pPr>
    <w:rPr>
      <w:i/>
      <w:color w:val="000000"/>
      <w:sz w:val="24"/>
      <w:szCs w:val="24"/>
      <w:lang w:val="en-US"/>
    </w:rPr>
  </w:style>
  <w:style w:type="paragraph" w:styleId="NoSpacing">
    <w:name w:val="No Spacing"/>
    <w:uiPriority w:val="1"/>
    <w:qFormat/>
    <w:rsid w:val="00072973"/>
    <w:pPr>
      <w:suppressAutoHyphens/>
    </w:pPr>
    <w:rPr>
      <w:lang w:eastAsia="en-US"/>
    </w:rPr>
  </w:style>
  <w:style w:type="character" w:styleId="Emphasis">
    <w:name w:val="Emphasis"/>
    <w:basedOn w:val="DefaultParagraphFont"/>
    <w:uiPriority w:val="20"/>
    <w:qFormat/>
    <w:rsid w:val="00C91054"/>
    <w:rPr>
      <w:i/>
      <w:iCs/>
    </w:rPr>
  </w:style>
  <w:style w:type="character" w:customStyle="1" w:styleId="apple-converted-space">
    <w:name w:val="apple-converted-space"/>
    <w:basedOn w:val="DefaultParagraphFont"/>
    <w:rsid w:val="00C9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9269">
      <w:bodyDiv w:val="1"/>
      <w:marLeft w:val="0"/>
      <w:marRight w:val="0"/>
      <w:marTop w:val="0"/>
      <w:marBottom w:val="0"/>
      <w:divBdr>
        <w:top w:val="none" w:sz="0" w:space="0" w:color="auto"/>
        <w:left w:val="none" w:sz="0" w:space="0" w:color="auto"/>
        <w:bottom w:val="none" w:sz="0" w:space="0" w:color="auto"/>
        <w:right w:val="none" w:sz="0" w:space="0" w:color="auto"/>
      </w:divBdr>
    </w:div>
    <w:div w:id="320544193">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547374533">
      <w:bodyDiv w:val="1"/>
      <w:marLeft w:val="0"/>
      <w:marRight w:val="0"/>
      <w:marTop w:val="0"/>
      <w:marBottom w:val="0"/>
      <w:divBdr>
        <w:top w:val="none" w:sz="0" w:space="0" w:color="auto"/>
        <w:left w:val="none" w:sz="0" w:space="0" w:color="auto"/>
        <w:bottom w:val="none" w:sz="0" w:space="0" w:color="auto"/>
        <w:right w:val="none" w:sz="0" w:space="0" w:color="auto"/>
      </w:divBdr>
    </w:div>
    <w:div w:id="571812393">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0278076">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699010656">
      <w:bodyDiv w:val="1"/>
      <w:marLeft w:val="0"/>
      <w:marRight w:val="0"/>
      <w:marTop w:val="0"/>
      <w:marBottom w:val="0"/>
      <w:divBdr>
        <w:top w:val="none" w:sz="0" w:space="0" w:color="auto"/>
        <w:left w:val="none" w:sz="0" w:space="0" w:color="auto"/>
        <w:bottom w:val="none" w:sz="0" w:space="0" w:color="auto"/>
        <w:right w:val="none" w:sz="0" w:space="0" w:color="auto"/>
      </w:divBdr>
      <w:divsChild>
        <w:div w:id="741485005">
          <w:marLeft w:val="0"/>
          <w:marRight w:val="0"/>
          <w:marTop w:val="0"/>
          <w:marBottom w:val="0"/>
          <w:divBdr>
            <w:top w:val="none" w:sz="0" w:space="0" w:color="auto"/>
            <w:left w:val="none" w:sz="0" w:space="0" w:color="auto"/>
            <w:bottom w:val="none" w:sz="0" w:space="0" w:color="auto"/>
            <w:right w:val="none" w:sz="0" w:space="0" w:color="auto"/>
          </w:divBdr>
          <w:divsChild>
            <w:div w:id="621427290">
              <w:marLeft w:val="0"/>
              <w:marRight w:val="0"/>
              <w:marTop w:val="0"/>
              <w:marBottom w:val="0"/>
              <w:divBdr>
                <w:top w:val="none" w:sz="0" w:space="0" w:color="auto"/>
                <w:left w:val="none" w:sz="0" w:space="0" w:color="auto"/>
                <w:bottom w:val="none" w:sz="0" w:space="0" w:color="auto"/>
                <w:right w:val="none" w:sz="0" w:space="0" w:color="auto"/>
              </w:divBdr>
              <w:divsChild>
                <w:div w:id="1616131560">
                  <w:marLeft w:val="0"/>
                  <w:marRight w:val="0"/>
                  <w:marTop w:val="0"/>
                  <w:marBottom w:val="0"/>
                  <w:divBdr>
                    <w:top w:val="none" w:sz="0" w:space="0" w:color="auto"/>
                    <w:left w:val="none" w:sz="0" w:space="0" w:color="auto"/>
                    <w:bottom w:val="none" w:sz="0" w:space="0" w:color="auto"/>
                    <w:right w:val="none" w:sz="0" w:space="0" w:color="auto"/>
                  </w:divBdr>
                  <w:divsChild>
                    <w:div w:id="620768335">
                      <w:marLeft w:val="0"/>
                      <w:marRight w:val="0"/>
                      <w:marTop w:val="0"/>
                      <w:marBottom w:val="0"/>
                      <w:divBdr>
                        <w:top w:val="none" w:sz="0" w:space="0" w:color="auto"/>
                        <w:left w:val="none" w:sz="0" w:space="0" w:color="auto"/>
                        <w:bottom w:val="none" w:sz="0" w:space="0" w:color="auto"/>
                        <w:right w:val="none" w:sz="0" w:space="0" w:color="auto"/>
                      </w:divBdr>
                      <w:divsChild>
                        <w:div w:id="178354369">
                          <w:marLeft w:val="0"/>
                          <w:marRight w:val="0"/>
                          <w:marTop w:val="0"/>
                          <w:marBottom w:val="0"/>
                          <w:divBdr>
                            <w:top w:val="none" w:sz="0" w:space="0" w:color="auto"/>
                            <w:left w:val="none" w:sz="0" w:space="0" w:color="auto"/>
                            <w:bottom w:val="none" w:sz="0" w:space="0" w:color="auto"/>
                            <w:right w:val="none" w:sz="0" w:space="0" w:color="auto"/>
                          </w:divBdr>
                          <w:divsChild>
                            <w:div w:id="6517655">
                              <w:marLeft w:val="0"/>
                              <w:marRight w:val="0"/>
                              <w:marTop w:val="0"/>
                              <w:marBottom w:val="0"/>
                              <w:divBdr>
                                <w:top w:val="none" w:sz="0" w:space="0" w:color="auto"/>
                                <w:left w:val="none" w:sz="0" w:space="0" w:color="auto"/>
                                <w:bottom w:val="none" w:sz="0" w:space="0" w:color="auto"/>
                                <w:right w:val="none" w:sz="0" w:space="0" w:color="auto"/>
                              </w:divBdr>
                              <w:divsChild>
                                <w:div w:id="1664891661">
                                  <w:marLeft w:val="0"/>
                                  <w:marRight w:val="-100"/>
                                  <w:marTop w:val="0"/>
                                  <w:marBottom w:val="0"/>
                                  <w:divBdr>
                                    <w:top w:val="none" w:sz="0" w:space="0" w:color="auto"/>
                                    <w:left w:val="none" w:sz="0" w:space="0" w:color="auto"/>
                                    <w:bottom w:val="none" w:sz="0" w:space="0" w:color="auto"/>
                                    <w:right w:val="none" w:sz="0" w:space="0" w:color="auto"/>
                                  </w:divBdr>
                                  <w:divsChild>
                                    <w:div w:id="135341311">
                                      <w:marLeft w:val="0"/>
                                      <w:marRight w:val="0"/>
                                      <w:marTop w:val="0"/>
                                      <w:marBottom w:val="0"/>
                                      <w:divBdr>
                                        <w:top w:val="none" w:sz="0" w:space="0" w:color="auto"/>
                                        <w:left w:val="none" w:sz="0" w:space="0" w:color="auto"/>
                                        <w:bottom w:val="none" w:sz="0" w:space="0" w:color="auto"/>
                                        <w:right w:val="none" w:sz="0" w:space="0" w:color="auto"/>
                                      </w:divBdr>
                                      <w:divsChild>
                                        <w:div w:id="1284919355">
                                          <w:marLeft w:val="0"/>
                                          <w:marRight w:val="0"/>
                                          <w:marTop w:val="0"/>
                                          <w:marBottom w:val="0"/>
                                          <w:divBdr>
                                            <w:top w:val="none" w:sz="0" w:space="0" w:color="auto"/>
                                            <w:left w:val="none" w:sz="0" w:space="0" w:color="auto"/>
                                            <w:bottom w:val="none" w:sz="0" w:space="0" w:color="auto"/>
                                            <w:right w:val="none" w:sz="0" w:space="0" w:color="auto"/>
                                          </w:divBdr>
                                        </w:div>
                                        <w:div w:id="1926498864">
                                          <w:marLeft w:val="0"/>
                                          <w:marRight w:val="0"/>
                                          <w:marTop w:val="0"/>
                                          <w:marBottom w:val="0"/>
                                          <w:divBdr>
                                            <w:top w:val="none" w:sz="0" w:space="0" w:color="auto"/>
                                            <w:left w:val="none" w:sz="0" w:space="0" w:color="auto"/>
                                            <w:bottom w:val="none" w:sz="0" w:space="0" w:color="auto"/>
                                            <w:right w:val="none" w:sz="0" w:space="0" w:color="auto"/>
                                          </w:divBdr>
                                          <w:divsChild>
                                            <w:div w:id="1303190583">
                                              <w:marLeft w:val="0"/>
                                              <w:marRight w:val="0"/>
                                              <w:marTop w:val="0"/>
                                              <w:marBottom w:val="0"/>
                                              <w:divBdr>
                                                <w:top w:val="none" w:sz="0" w:space="0" w:color="auto"/>
                                                <w:left w:val="none" w:sz="0" w:space="0" w:color="auto"/>
                                                <w:bottom w:val="none" w:sz="0" w:space="0" w:color="auto"/>
                                                <w:right w:val="none" w:sz="0" w:space="0" w:color="auto"/>
                                              </w:divBdr>
                                              <w:divsChild>
                                                <w:div w:id="4743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820730358">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31764273">
      <w:bodyDiv w:val="1"/>
      <w:marLeft w:val="0"/>
      <w:marRight w:val="0"/>
      <w:marTop w:val="0"/>
      <w:marBottom w:val="0"/>
      <w:divBdr>
        <w:top w:val="none" w:sz="0" w:space="0" w:color="auto"/>
        <w:left w:val="none" w:sz="0" w:space="0" w:color="auto"/>
        <w:bottom w:val="none" w:sz="0" w:space="0" w:color="auto"/>
        <w:right w:val="none" w:sz="0" w:space="0" w:color="auto"/>
      </w:divBdr>
    </w:div>
    <w:div w:id="1057434240">
      <w:bodyDiv w:val="1"/>
      <w:marLeft w:val="0"/>
      <w:marRight w:val="0"/>
      <w:marTop w:val="0"/>
      <w:marBottom w:val="0"/>
      <w:divBdr>
        <w:top w:val="none" w:sz="0" w:space="0" w:color="auto"/>
        <w:left w:val="none" w:sz="0" w:space="0" w:color="auto"/>
        <w:bottom w:val="none" w:sz="0" w:space="0" w:color="auto"/>
        <w:right w:val="none" w:sz="0" w:space="0" w:color="auto"/>
      </w:divBdr>
    </w:div>
    <w:div w:id="1075325315">
      <w:bodyDiv w:val="1"/>
      <w:marLeft w:val="0"/>
      <w:marRight w:val="0"/>
      <w:marTop w:val="0"/>
      <w:marBottom w:val="0"/>
      <w:divBdr>
        <w:top w:val="none" w:sz="0" w:space="0" w:color="auto"/>
        <w:left w:val="none" w:sz="0" w:space="0" w:color="auto"/>
        <w:bottom w:val="none" w:sz="0" w:space="0" w:color="auto"/>
        <w:right w:val="none" w:sz="0" w:space="0" w:color="auto"/>
      </w:divBdr>
    </w:div>
    <w:div w:id="1096825978">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132">
      <w:bodyDiv w:val="1"/>
      <w:marLeft w:val="0"/>
      <w:marRight w:val="0"/>
      <w:marTop w:val="0"/>
      <w:marBottom w:val="0"/>
      <w:divBdr>
        <w:top w:val="none" w:sz="0" w:space="0" w:color="auto"/>
        <w:left w:val="none" w:sz="0" w:space="0" w:color="auto"/>
        <w:bottom w:val="none" w:sz="0" w:space="0" w:color="auto"/>
        <w:right w:val="none" w:sz="0" w:space="0" w:color="auto"/>
      </w:divBdr>
    </w:div>
    <w:div w:id="1281645314">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674298">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620605586">
      <w:bodyDiv w:val="1"/>
      <w:marLeft w:val="0"/>
      <w:marRight w:val="0"/>
      <w:marTop w:val="0"/>
      <w:marBottom w:val="0"/>
      <w:divBdr>
        <w:top w:val="none" w:sz="0" w:space="0" w:color="auto"/>
        <w:left w:val="none" w:sz="0" w:space="0" w:color="auto"/>
        <w:bottom w:val="none" w:sz="0" w:space="0" w:color="auto"/>
        <w:right w:val="none" w:sz="0" w:space="0" w:color="auto"/>
      </w:divBdr>
    </w:div>
    <w:div w:id="1688097258">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 w:id="2002654009">
      <w:bodyDiv w:val="1"/>
      <w:marLeft w:val="0"/>
      <w:marRight w:val="0"/>
      <w:marTop w:val="0"/>
      <w:marBottom w:val="0"/>
      <w:divBdr>
        <w:top w:val="none" w:sz="0" w:space="0" w:color="auto"/>
        <w:left w:val="none" w:sz="0" w:space="0" w:color="auto"/>
        <w:bottom w:val="none" w:sz="0" w:space="0" w:color="auto"/>
        <w:right w:val="none" w:sz="0" w:space="0" w:color="auto"/>
      </w:divBdr>
      <w:divsChild>
        <w:div w:id="1392536313">
          <w:marLeft w:val="0"/>
          <w:marRight w:val="0"/>
          <w:marTop w:val="0"/>
          <w:marBottom w:val="0"/>
          <w:divBdr>
            <w:top w:val="none" w:sz="0" w:space="0" w:color="auto"/>
            <w:left w:val="none" w:sz="0" w:space="0" w:color="auto"/>
            <w:bottom w:val="none" w:sz="0" w:space="0" w:color="auto"/>
            <w:right w:val="none" w:sz="0" w:space="0" w:color="auto"/>
          </w:divBdr>
          <w:divsChild>
            <w:div w:id="1063724660">
              <w:marLeft w:val="0"/>
              <w:marRight w:val="0"/>
              <w:marTop w:val="0"/>
              <w:marBottom w:val="0"/>
              <w:divBdr>
                <w:top w:val="none" w:sz="0" w:space="0" w:color="auto"/>
                <w:left w:val="none" w:sz="0" w:space="0" w:color="auto"/>
                <w:bottom w:val="none" w:sz="0" w:space="0" w:color="auto"/>
                <w:right w:val="none" w:sz="0" w:space="0" w:color="auto"/>
              </w:divBdr>
              <w:divsChild>
                <w:div w:id="967129674">
                  <w:marLeft w:val="0"/>
                  <w:marRight w:val="0"/>
                  <w:marTop w:val="0"/>
                  <w:marBottom w:val="0"/>
                  <w:divBdr>
                    <w:top w:val="none" w:sz="0" w:space="0" w:color="auto"/>
                    <w:left w:val="none" w:sz="0" w:space="0" w:color="auto"/>
                    <w:bottom w:val="none" w:sz="0" w:space="0" w:color="auto"/>
                    <w:right w:val="none" w:sz="0" w:space="0" w:color="auto"/>
                  </w:divBdr>
                  <w:divsChild>
                    <w:div w:id="45957920">
                      <w:marLeft w:val="0"/>
                      <w:marRight w:val="0"/>
                      <w:marTop w:val="0"/>
                      <w:marBottom w:val="0"/>
                      <w:divBdr>
                        <w:top w:val="single" w:sz="24" w:space="0" w:color="003366"/>
                        <w:left w:val="none" w:sz="0" w:space="0" w:color="auto"/>
                        <w:bottom w:val="none" w:sz="0" w:space="0" w:color="auto"/>
                        <w:right w:val="none" w:sz="0" w:space="0" w:color="auto"/>
                      </w:divBdr>
                      <w:divsChild>
                        <w:div w:id="3280200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97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gov/j/drl/"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laws-lois.justice.gc.ca/eng/acts/I-2.5/FullText.html" TargetMode="External"/><Relationship Id="rId3" Type="http://schemas.openxmlformats.org/officeDocument/2006/relationships/hyperlink" Target="https://www.gov.uk/government/uploads/system/uploads/attachment_data/file/331640/Pakistan_CIG.Religious_freedom.2014.07.16.v1.0.pdf" TargetMode="External"/><Relationship Id="rId7" Type="http://schemas.openxmlformats.org/officeDocument/2006/relationships/hyperlink" Target="http://canlii.ca/t/1m0m6" TargetMode="External"/><Relationship Id="rId12" Type="http://schemas.openxmlformats.org/officeDocument/2006/relationships/hyperlink" Target="http://canlii.ca/t/22rzn" TargetMode="External"/><Relationship Id="rId2" Type="http://schemas.openxmlformats.org/officeDocument/2006/relationships/hyperlink" Target="https://www.gov.uk/government/uploads/system/uploads/attachment_data/file/361124/Pakistan_CIG_2014_10_06.pdf" TargetMode="External"/><Relationship Id="rId1" Type="http://schemas.openxmlformats.org/officeDocument/2006/relationships/hyperlink" Target="http://www.irb-cisr.gc.ca/Eng/BoaCom/references/pol/pol/Pages/PolRadSar3MemCom.aspx" TargetMode="External"/><Relationship Id="rId6" Type="http://schemas.openxmlformats.org/officeDocument/2006/relationships/hyperlink" Target="http://www.state.gov/documents/organization/222551.pdf" TargetMode="External"/><Relationship Id="rId11" Type="http://schemas.openxmlformats.org/officeDocument/2006/relationships/hyperlink" Target="http://www.canlii.com/en/ca/fca/doc/2009/2009fca81/2009fca81.html" TargetMode="External"/><Relationship Id="rId5" Type="http://schemas.openxmlformats.org/officeDocument/2006/relationships/hyperlink" Target="http://hrcp-web.org/hrcpweb/about-hrcp/mission-vision/" TargetMode="External"/><Relationship Id="rId10" Type="http://schemas.openxmlformats.org/officeDocument/2006/relationships/hyperlink" Target="http://canlii.ca/t/fnkq2" TargetMode="External"/><Relationship Id="rId4" Type="http://schemas.openxmlformats.org/officeDocument/2006/relationships/hyperlink" Target="http://www.uscirf.gov/reports-briefs/annual-report/2014-annual-report" TargetMode="External"/><Relationship Id="rId9" Type="http://schemas.openxmlformats.org/officeDocument/2006/relationships/hyperlink" Target="http://www.canlii.com/en/ca/fca/doc/2011/2011fca286/2011fca2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27C1-3126-4E88-BD6C-30530A1B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8397</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56148</CharactersWithSpaces>
  <SharedDoc>false</SharedDoc>
  <HLinks>
    <vt:vector size="78" baseType="variant">
      <vt:variant>
        <vt:i4>3080291</vt:i4>
      </vt:variant>
      <vt:variant>
        <vt:i4>0</vt:i4>
      </vt:variant>
      <vt:variant>
        <vt:i4>0</vt:i4>
      </vt:variant>
      <vt:variant>
        <vt:i4>5</vt:i4>
      </vt:variant>
      <vt:variant>
        <vt:lpwstr>http://www.state.gov/j/drl/</vt:lpwstr>
      </vt:variant>
      <vt:variant>
        <vt:lpwstr/>
      </vt:variant>
      <vt:variant>
        <vt:i4>5898310</vt:i4>
      </vt:variant>
      <vt:variant>
        <vt:i4>36</vt:i4>
      </vt:variant>
      <vt:variant>
        <vt:i4>0</vt:i4>
      </vt:variant>
      <vt:variant>
        <vt:i4>5</vt:i4>
      </vt:variant>
      <vt:variant>
        <vt:lpwstr>http://canlii.ca/t/22rzn</vt:lpwstr>
      </vt:variant>
      <vt:variant>
        <vt:lpwstr/>
      </vt:variant>
      <vt:variant>
        <vt:i4>196681</vt:i4>
      </vt:variant>
      <vt:variant>
        <vt:i4>33</vt:i4>
      </vt:variant>
      <vt:variant>
        <vt:i4>0</vt:i4>
      </vt:variant>
      <vt:variant>
        <vt:i4>5</vt:i4>
      </vt:variant>
      <vt:variant>
        <vt:lpwstr>http://www.canlii.com/en/ca/fca/doc/2009/2009fca81/2009fca81.html</vt:lpwstr>
      </vt:variant>
      <vt:variant>
        <vt:lpwstr/>
      </vt:variant>
      <vt:variant>
        <vt:i4>4915217</vt:i4>
      </vt:variant>
      <vt:variant>
        <vt:i4>30</vt:i4>
      </vt:variant>
      <vt:variant>
        <vt:i4>0</vt:i4>
      </vt:variant>
      <vt:variant>
        <vt:i4>5</vt:i4>
      </vt:variant>
      <vt:variant>
        <vt:lpwstr>http://canlii.ca/t/fnkq2</vt:lpwstr>
      </vt:variant>
      <vt:variant>
        <vt:lpwstr/>
      </vt:variant>
      <vt:variant>
        <vt:i4>8257597</vt:i4>
      </vt:variant>
      <vt:variant>
        <vt:i4>27</vt:i4>
      </vt:variant>
      <vt:variant>
        <vt:i4>0</vt:i4>
      </vt:variant>
      <vt:variant>
        <vt:i4>5</vt:i4>
      </vt:variant>
      <vt:variant>
        <vt:lpwstr>http://www.canlii.com/en/ca/fca/doc/2011/2011fca286/2011fca286.html</vt:lpwstr>
      </vt:variant>
      <vt:variant>
        <vt:lpwstr/>
      </vt:variant>
      <vt:variant>
        <vt:i4>2424880</vt:i4>
      </vt:variant>
      <vt:variant>
        <vt:i4>24</vt:i4>
      </vt:variant>
      <vt:variant>
        <vt:i4>0</vt:i4>
      </vt:variant>
      <vt:variant>
        <vt:i4>5</vt:i4>
      </vt:variant>
      <vt:variant>
        <vt:lpwstr>http://laws-lois.justice.gc.ca/eng/acts/I-2.5/FullText.html</vt:lpwstr>
      </vt:variant>
      <vt:variant>
        <vt:lpwstr/>
      </vt:variant>
      <vt:variant>
        <vt:i4>4390926</vt:i4>
      </vt:variant>
      <vt:variant>
        <vt:i4>21</vt:i4>
      </vt:variant>
      <vt:variant>
        <vt:i4>0</vt:i4>
      </vt:variant>
      <vt:variant>
        <vt:i4>5</vt:i4>
      </vt:variant>
      <vt:variant>
        <vt:lpwstr>http://canlii.ca/t/1m0m6</vt:lpwstr>
      </vt:variant>
      <vt:variant>
        <vt:lpwstr/>
      </vt:variant>
      <vt:variant>
        <vt:i4>3276921</vt:i4>
      </vt:variant>
      <vt:variant>
        <vt:i4>18</vt:i4>
      </vt:variant>
      <vt:variant>
        <vt:i4>0</vt:i4>
      </vt:variant>
      <vt:variant>
        <vt:i4>5</vt:i4>
      </vt:variant>
      <vt:variant>
        <vt:lpwstr>http://www.state.gov/documents/organization/222551.pdf</vt:lpwstr>
      </vt:variant>
      <vt:variant>
        <vt:lpwstr/>
      </vt:variant>
      <vt:variant>
        <vt:i4>3604576</vt:i4>
      </vt:variant>
      <vt:variant>
        <vt:i4>15</vt:i4>
      </vt:variant>
      <vt:variant>
        <vt:i4>0</vt:i4>
      </vt:variant>
      <vt:variant>
        <vt:i4>5</vt:i4>
      </vt:variant>
      <vt:variant>
        <vt:lpwstr>http://hrcp-web.org/hrcpweb/about-hrcp/mission-vision/</vt:lpwstr>
      </vt:variant>
      <vt:variant>
        <vt:lpwstr/>
      </vt:variant>
      <vt:variant>
        <vt:i4>131097</vt:i4>
      </vt:variant>
      <vt:variant>
        <vt:i4>12</vt:i4>
      </vt:variant>
      <vt:variant>
        <vt:i4>0</vt:i4>
      </vt:variant>
      <vt:variant>
        <vt:i4>5</vt:i4>
      </vt:variant>
      <vt:variant>
        <vt:lpwstr>http://www.uscirf.gov/reports-briefs/annual-report/2014-annual-report</vt:lpwstr>
      </vt:variant>
      <vt:variant>
        <vt:lpwstr/>
      </vt:variant>
      <vt:variant>
        <vt:i4>1966112</vt:i4>
      </vt:variant>
      <vt:variant>
        <vt:i4>9</vt:i4>
      </vt:variant>
      <vt:variant>
        <vt:i4>0</vt:i4>
      </vt:variant>
      <vt:variant>
        <vt:i4>5</vt:i4>
      </vt:variant>
      <vt:variant>
        <vt:lpwstr>https://www.gov.uk/government/uploads/system/uploads/attachment_data/file/331640/Pakistan_CIG.Religious_freedom.2014.07.16.v1.0.pdf</vt:lpwstr>
      </vt:variant>
      <vt:variant>
        <vt:lpwstr/>
      </vt:variant>
      <vt:variant>
        <vt:i4>262187</vt:i4>
      </vt:variant>
      <vt:variant>
        <vt:i4>6</vt:i4>
      </vt:variant>
      <vt:variant>
        <vt:i4>0</vt:i4>
      </vt:variant>
      <vt:variant>
        <vt:i4>5</vt:i4>
      </vt:variant>
      <vt:variant>
        <vt:lpwstr>https://www.gov.uk/government/uploads/system/uploads/attachment_data/file/361124/Pakistan_CIG_2014_10_06.pdf</vt:lpwstr>
      </vt:variant>
      <vt:variant>
        <vt:lpwstr/>
      </vt:variant>
      <vt:variant>
        <vt:i4>2687010</vt:i4>
      </vt:variant>
      <vt:variant>
        <vt:i4>3</vt:i4>
      </vt:variant>
      <vt:variant>
        <vt:i4>0</vt:i4>
      </vt:variant>
      <vt:variant>
        <vt:i4>5</vt:i4>
      </vt:variant>
      <vt:variant>
        <vt:lpwstr>http://www.irb-cisr.gc.ca/Eng/BoaCom/references/pol/pol/Pages/PolRadSar3MemCom.aspx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2016-02-15T14:19:00Z</cp:lastPrinted>
  <dcterms:created xsi:type="dcterms:W3CDTF">2017-04-04T15:35:00Z</dcterms:created>
  <dcterms:modified xsi:type="dcterms:W3CDTF">2017-04-04T15:35:00Z</dcterms:modified>
</cp:coreProperties>
</file>