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59130A17" w14:textId="77777777" w:rsidTr="00B6553F">
        <w:trPr>
          <w:cantSplit/>
          <w:trHeight w:hRule="exact" w:val="851"/>
        </w:trPr>
        <w:tc>
          <w:tcPr>
            <w:tcW w:w="1276" w:type="dxa"/>
            <w:tcBorders>
              <w:bottom w:val="single" w:sz="4" w:space="0" w:color="auto"/>
            </w:tcBorders>
            <w:vAlign w:val="bottom"/>
          </w:tcPr>
          <w:p w14:paraId="06626901" w14:textId="77777777" w:rsidR="00B56E9C" w:rsidRPr="000F5051" w:rsidRDefault="000F5051" w:rsidP="000F5051">
            <w:pPr>
              <w:spacing w:line="20" w:lineRule="exact"/>
              <w:rPr>
                <w:sz w:val="2"/>
              </w:rPr>
            </w:pPr>
            <w:r>
              <w:rPr>
                <w:rStyle w:val="CommentReference"/>
                <w:lang w:val="x-none"/>
              </w:rPr>
              <w:commentReference w:id="0"/>
            </w:r>
            <w:bookmarkStart w:id="1" w:name="_GoBack"/>
            <w:bookmarkEnd w:id="1"/>
          </w:p>
          <w:p w14:paraId="08630211" w14:textId="77777777" w:rsidR="000F5051" w:rsidRPr="00464988" w:rsidRDefault="000F5051" w:rsidP="00464988">
            <w:pPr>
              <w:spacing w:line="20" w:lineRule="exact"/>
              <w:rPr>
                <w:sz w:val="2"/>
              </w:rPr>
            </w:pPr>
          </w:p>
          <w:p w14:paraId="5952EA37" w14:textId="77777777" w:rsidR="00464988" w:rsidRDefault="00464988" w:rsidP="00B6553F">
            <w:pPr>
              <w:spacing w:after="80"/>
            </w:pPr>
          </w:p>
        </w:tc>
        <w:tc>
          <w:tcPr>
            <w:tcW w:w="2268" w:type="dxa"/>
            <w:tcBorders>
              <w:bottom w:val="single" w:sz="4" w:space="0" w:color="auto"/>
            </w:tcBorders>
            <w:vAlign w:val="bottom"/>
          </w:tcPr>
          <w:p w14:paraId="5CF027FB" w14:textId="77777777"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043AA686" w14:textId="77777777" w:rsidR="00B56E9C" w:rsidRPr="00D47EEA" w:rsidRDefault="008216A5" w:rsidP="00AB3D9A">
            <w:pPr>
              <w:jc w:val="right"/>
            </w:pPr>
            <w:r w:rsidRPr="008216A5">
              <w:rPr>
                <w:sz w:val="40"/>
              </w:rPr>
              <w:t>CCPR</w:t>
            </w:r>
            <w:r>
              <w:t>/C/1</w:t>
            </w:r>
            <w:r w:rsidR="00711F00">
              <w:t>1</w:t>
            </w:r>
            <w:r w:rsidR="00985A55">
              <w:t>3</w:t>
            </w:r>
            <w:r>
              <w:t>/D/</w:t>
            </w:r>
            <w:r w:rsidR="007F5F2D">
              <w:t>1961</w:t>
            </w:r>
            <w:r>
              <w:t>/</w:t>
            </w:r>
            <w:r w:rsidR="007F5F2D">
              <w:t>2010</w:t>
            </w:r>
            <w:r w:rsidR="00161808" w:rsidRPr="00AE0E30">
              <w:rPr>
                <w:rStyle w:val="FootnoteReference"/>
                <w:sz w:val="20"/>
              </w:rPr>
              <w:footnoteReference w:customMarkFollows="1" w:id="2"/>
              <w:t>*</w:t>
            </w:r>
          </w:p>
        </w:tc>
      </w:tr>
      <w:tr w:rsidR="00B56E9C" w14:paraId="71609DDE" w14:textId="77777777" w:rsidTr="00B6553F">
        <w:trPr>
          <w:cantSplit/>
          <w:trHeight w:hRule="exact" w:val="2835"/>
        </w:trPr>
        <w:tc>
          <w:tcPr>
            <w:tcW w:w="1276" w:type="dxa"/>
            <w:tcBorders>
              <w:top w:val="single" w:sz="4" w:space="0" w:color="auto"/>
              <w:bottom w:val="single" w:sz="12" w:space="0" w:color="auto"/>
            </w:tcBorders>
          </w:tcPr>
          <w:p w14:paraId="4A770306" w14:textId="77777777" w:rsidR="00B56E9C" w:rsidRDefault="004A5C58" w:rsidP="00B6553F">
            <w:pPr>
              <w:spacing w:before="120"/>
            </w:pPr>
            <w:r>
              <w:rPr>
                <w:noProof/>
                <w:lang w:val="en-US"/>
              </w:rPr>
              <w:drawing>
                <wp:inline distT="0" distB="0" distL="0" distR="0" wp14:anchorId="59EDACA3" wp14:editId="0E04D51D">
                  <wp:extent cx="715010" cy="591820"/>
                  <wp:effectExtent l="0" t="0" r="889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2BBE1E2" w14:textId="77777777"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14:paraId="0CD579BD" w14:textId="77777777" w:rsidR="00AB3D9A" w:rsidRPr="00267F5F" w:rsidRDefault="00AB3D9A" w:rsidP="00267F5F">
            <w:pPr>
              <w:spacing w:before="120" w:line="380" w:lineRule="exact"/>
              <w:rPr>
                <w:sz w:val="34"/>
              </w:rPr>
            </w:pPr>
          </w:p>
        </w:tc>
        <w:tc>
          <w:tcPr>
            <w:tcW w:w="2835" w:type="dxa"/>
            <w:tcBorders>
              <w:top w:val="single" w:sz="4" w:space="0" w:color="auto"/>
              <w:bottom w:val="single" w:sz="12" w:space="0" w:color="auto"/>
            </w:tcBorders>
          </w:tcPr>
          <w:p w14:paraId="74AC0AF1" w14:textId="77777777" w:rsidR="00B56E9C" w:rsidRDefault="008216A5" w:rsidP="008216A5">
            <w:pPr>
              <w:spacing w:before="240" w:line="240" w:lineRule="exact"/>
            </w:pPr>
            <w:r>
              <w:t xml:space="preserve">Distr.: </w:t>
            </w:r>
            <w:r w:rsidR="00AB3D9A">
              <w:t>General</w:t>
            </w:r>
          </w:p>
          <w:p w14:paraId="072CC41A" w14:textId="77777777" w:rsidR="008216A5" w:rsidRDefault="004A5C58" w:rsidP="00B400FF">
            <w:pPr>
              <w:spacing w:line="240" w:lineRule="exact"/>
            </w:pPr>
            <w:r>
              <w:t>1</w:t>
            </w:r>
            <w:r w:rsidR="00986F15">
              <w:t xml:space="preserve"> Ju</w:t>
            </w:r>
            <w:r>
              <w:t>ly</w:t>
            </w:r>
            <w:r w:rsidR="005B4314">
              <w:t xml:space="preserve"> 2015</w:t>
            </w:r>
          </w:p>
          <w:p w14:paraId="5B6BD95C" w14:textId="77777777" w:rsidR="008216A5" w:rsidRDefault="008216A5" w:rsidP="008216A5">
            <w:pPr>
              <w:spacing w:line="240" w:lineRule="exact"/>
            </w:pPr>
          </w:p>
          <w:p w14:paraId="537E75F0" w14:textId="77777777" w:rsidR="008216A5" w:rsidRDefault="008216A5" w:rsidP="008216A5">
            <w:pPr>
              <w:spacing w:line="240" w:lineRule="exact"/>
            </w:pPr>
            <w:r>
              <w:t>Original: English</w:t>
            </w:r>
          </w:p>
          <w:p w14:paraId="357F5806" w14:textId="77777777" w:rsidR="00A9002A" w:rsidRDefault="00A9002A" w:rsidP="008216A5">
            <w:pPr>
              <w:spacing w:line="240" w:lineRule="exact"/>
            </w:pPr>
          </w:p>
        </w:tc>
      </w:tr>
    </w:tbl>
    <w:p w14:paraId="229536A0" w14:textId="77777777" w:rsidR="008216A5" w:rsidRPr="00101DE6" w:rsidRDefault="008216A5" w:rsidP="008216A5">
      <w:pPr>
        <w:spacing w:before="120"/>
        <w:rPr>
          <w:b/>
          <w:sz w:val="24"/>
          <w:szCs w:val="24"/>
        </w:rPr>
      </w:pPr>
      <w:r w:rsidRPr="00101DE6">
        <w:rPr>
          <w:b/>
          <w:sz w:val="24"/>
          <w:szCs w:val="24"/>
        </w:rPr>
        <w:t>Human Rights Committee</w:t>
      </w:r>
    </w:p>
    <w:p w14:paraId="515D5E08" w14:textId="77777777" w:rsidR="00971D35" w:rsidRPr="00101DE6" w:rsidRDefault="00DB7C0A" w:rsidP="00DB7C0A">
      <w:pPr>
        <w:pStyle w:val="HChG"/>
      </w:pPr>
      <w:r w:rsidRPr="00101DE6">
        <w:tab/>
      </w:r>
      <w:r w:rsidR="00971D35" w:rsidRPr="00101DE6">
        <w:tab/>
        <w:t>Communication</w:t>
      </w:r>
      <w:r w:rsidR="00353F80" w:rsidRPr="00101DE6">
        <w:t xml:space="preserve"> No. </w:t>
      </w:r>
      <w:r w:rsidR="007F5F2D" w:rsidRPr="00101DE6">
        <w:t>1961/2010</w:t>
      </w:r>
    </w:p>
    <w:p w14:paraId="05ED44CF" w14:textId="77777777" w:rsidR="00971D35" w:rsidRPr="00101DE6" w:rsidRDefault="00971D35" w:rsidP="00C5273D">
      <w:pPr>
        <w:pStyle w:val="H1G"/>
        <w:rPr>
          <w:szCs w:val="24"/>
        </w:rPr>
      </w:pPr>
      <w:r w:rsidRPr="00101DE6">
        <w:tab/>
      </w:r>
      <w:r w:rsidRPr="00101DE6">
        <w:tab/>
      </w:r>
      <w:r w:rsidR="00B106EB" w:rsidRPr="00101DE6">
        <w:t>Decision adopted by the Committee at its 113th session</w:t>
      </w:r>
      <w:r w:rsidR="00B106EB" w:rsidRPr="00101DE6">
        <w:br/>
        <w:t>(</w:t>
      </w:r>
      <w:r w:rsidR="00B106EB" w:rsidRPr="00101DE6">
        <w:rPr>
          <w:bCs/>
        </w:rPr>
        <w:t>16 March–2 April 2015)</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971D35" w:rsidRPr="00101DE6" w14:paraId="25B8F259" w14:textId="77777777" w:rsidTr="001F345E">
        <w:tc>
          <w:tcPr>
            <w:tcW w:w="3402" w:type="dxa"/>
            <w:shd w:val="clear" w:color="auto" w:fill="auto"/>
          </w:tcPr>
          <w:p w14:paraId="7A755BE3" w14:textId="77777777" w:rsidR="00971D35" w:rsidRPr="00101DE6" w:rsidRDefault="00971D35" w:rsidP="00971D35">
            <w:pPr>
              <w:spacing w:after="120"/>
              <w:rPr>
                <w:i/>
              </w:rPr>
            </w:pPr>
            <w:r w:rsidRPr="00101DE6">
              <w:rPr>
                <w:i/>
              </w:rPr>
              <w:t>Submitted by:</w:t>
            </w:r>
          </w:p>
        </w:tc>
        <w:tc>
          <w:tcPr>
            <w:tcW w:w="3969" w:type="dxa"/>
            <w:shd w:val="clear" w:color="auto" w:fill="auto"/>
          </w:tcPr>
          <w:p w14:paraId="0353177E" w14:textId="77777777" w:rsidR="00971D35" w:rsidRPr="00101DE6" w:rsidRDefault="000A002D" w:rsidP="00CC3E01">
            <w:pPr>
              <w:spacing w:after="120"/>
            </w:pPr>
            <w:r w:rsidRPr="00101DE6">
              <w:t>X</w:t>
            </w:r>
            <w:r w:rsidR="007F5F2D" w:rsidRPr="00101DE6">
              <w:t xml:space="preserve"> (not represented by counsel</w:t>
            </w:r>
            <w:r w:rsidR="00CC3E01" w:rsidRPr="00101DE6">
              <w:t>)</w:t>
            </w:r>
          </w:p>
        </w:tc>
      </w:tr>
      <w:tr w:rsidR="00971D35" w:rsidRPr="00101DE6" w14:paraId="73072AD2" w14:textId="77777777" w:rsidTr="001F345E">
        <w:tc>
          <w:tcPr>
            <w:tcW w:w="3402" w:type="dxa"/>
            <w:shd w:val="clear" w:color="auto" w:fill="auto"/>
          </w:tcPr>
          <w:p w14:paraId="4336154E" w14:textId="77777777" w:rsidR="00971D35" w:rsidRPr="00101DE6" w:rsidRDefault="00971D35" w:rsidP="00971D35">
            <w:pPr>
              <w:spacing w:after="120"/>
              <w:rPr>
                <w:i/>
              </w:rPr>
            </w:pPr>
            <w:r w:rsidRPr="00101DE6">
              <w:rPr>
                <w:i/>
              </w:rPr>
              <w:t>Alleged victims:</w:t>
            </w:r>
          </w:p>
        </w:tc>
        <w:tc>
          <w:tcPr>
            <w:tcW w:w="3969" w:type="dxa"/>
            <w:shd w:val="clear" w:color="auto" w:fill="auto"/>
          </w:tcPr>
          <w:p w14:paraId="0CDC1B12" w14:textId="77777777" w:rsidR="00971D35" w:rsidRPr="00101DE6" w:rsidRDefault="00AF77DE" w:rsidP="00CC3E01">
            <w:pPr>
              <w:spacing w:after="120"/>
            </w:pPr>
            <w:r w:rsidRPr="00101DE6">
              <w:t>The author</w:t>
            </w:r>
            <w:r w:rsidR="00CC3E01" w:rsidRPr="00101DE6">
              <w:t xml:space="preserve">, </w:t>
            </w:r>
            <w:r w:rsidR="000A002D" w:rsidRPr="00101DE6">
              <w:t>Y</w:t>
            </w:r>
            <w:r w:rsidR="007F5F2D" w:rsidRPr="00101DE6">
              <w:t xml:space="preserve">, </w:t>
            </w:r>
            <w:r w:rsidR="000A002D" w:rsidRPr="00101DE6">
              <w:t>Z</w:t>
            </w:r>
            <w:r w:rsidR="00B45ABD" w:rsidRPr="00101DE6">
              <w:t xml:space="preserve"> and</w:t>
            </w:r>
            <w:r w:rsidR="000A002D" w:rsidRPr="00101DE6">
              <w:t xml:space="preserve"> A</w:t>
            </w:r>
          </w:p>
        </w:tc>
      </w:tr>
      <w:tr w:rsidR="00971D35" w:rsidRPr="00101DE6" w14:paraId="588388EB" w14:textId="77777777" w:rsidTr="001F345E">
        <w:tc>
          <w:tcPr>
            <w:tcW w:w="3402" w:type="dxa"/>
            <w:shd w:val="clear" w:color="auto" w:fill="auto"/>
          </w:tcPr>
          <w:p w14:paraId="7502BDB6" w14:textId="77777777" w:rsidR="00971D35" w:rsidRPr="00101DE6" w:rsidRDefault="00971D35" w:rsidP="00971D35">
            <w:pPr>
              <w:spacing w:after="120"/>
              <w:rPr>
                <w:i/>
              </w:rPr>
            </w:pPr>
            <w:r w:rsidRPr="00101DE6">
              <w:rPr>
                <w:i/>
              </w:rPr>
              <w:t>State party:</w:t>
            </w:r>
          </w:p>
        </w:tc>
        <w:tc>
          <w:tcPr>
            <w:tcW w:w="3969" w:type="dxa"/>
            <w:shd w:val="clear" w:color="auto" w:fill="auto"/>
          </w:tcPr>
          <w:p w14:paraId="0534E00A" w14:textId="77777777" w:rsidR="00971D35" w:rsidRPr="00101DE6" w:rsidRDefault="007F5F2D" w:rsidP="00971D35">
            <w:pPr>
              <w:spacing w:after="120"/>
            </w:pPr>
            <w:r w:rsidRPr="00101DE6">
              <w:t>Czech Republic</w:t>
            </w:r>
          </w:p>
        </w:tc>
      </w:tr>
      <w:tr w:rsidR="00971D35" w:rsidRPr="00101DE6" w14:paraId="2B365F93" w14:textId="77777777" w:rsidTr="001F345E">
        <w:tc>
          <w:tcPr>
            <w:tcW w:w="3402" w:type="dxa"/>
            <w:shd w:val="clear" w:color="auto" w:fill="auto"/>
          </w:tcPr>
          <w:p w14:paraId="49287C6F" w14:textId="77777777" w:rsidR="00971D35" w:rsidRPr="00101DE6" w:rsidRDefault="00971D35" w:rsidP="00971D35">
            <w:pPr>
              <w:spacing w:after="120"/>
              <w:rPr>
                <w:i/>
              </w:rPr>
            </w:pPr>
            <w:r w:rsidRPr="00101DE6">
              <w:rPr>
                <w:i/>
              </w:rPr>
              <w:t>Date of communication:</w:t>
            </w:r>
          </w:p>
        </w:tc>
        <w:tc>
          <w:tcPr>
            <w:tcW w:w="3969" w:type="dxa"/>
            <w:shd w:val="clear" w:color="auto" w:fill="auto"/>
          </w:tcPr>
          <w:p w14:paraId="313A78BB" w14:textId="77777777" w:rsidR="00971D35" w:rsidRPr="00101DE6" w:rsidRDefault="007F5F2D" w:rsidP="00971D35">
            <w:pPr>
              <w:spacing w:after="120"/>
            </w:pPr>
            <w:r w:rsidRPr="00101DE6">
              <w:t>4 January 2010</w:t>
            </w:r>
          </w:p>
        </w:tc>
      </w:tr>
      <w:tr w:rsidR="00971D35" w:rsidRPr="00101DE6" w14:paraId="12B910FA" w14:textId="77777777" w:rsidTr="001F345E">
        <w:tc>
          <w:tcPr>
            <w:tcW w:w="3402" w:type="dxa"/>
            <w:shd w:val="clear" w:color="auto" w:fill="auto"/>
          </w:tcPr>
          <w:p w14:paraId="5FFD425F" w14:textId="77777777" w:rsidR="00971D35" w:rsidRPr="00101DE6" w:rsidRDefault="00971D35" w:rsidP="00971D35">
            <w:pPr>
              <w:spacing w:after="120"/>
              <w:rPr>
                <w:i/>
              </w:rPr>
            </w:pPr>
            <w:r w:rsidRPr="00101DE6">
              <w:rPr>
                <w:i/>
              </w:rPr>
              <w:t>Document references:</w:t>
            </w:r>
          </w:p>
        </w:tc>
        <w:tc>
          <w:tcPr>
            <w:tcW w:w="3969" w:type="dxa"/>
            <w:shd w:val="clear" w:color="auto" w:fill="auto"/>
          </w:tcPr>
          <w:p w14:paraId="11E82AA7" w14:textId="77777777" w:rsidR="00971D35" w:rsidRPr="00101DE6" w:rsidRDefault="00971D35" w:rsidP="00985A55">
            <w:pPr>
              <w:spacing w:after="120"/>
            </w:pPr>
            <w:r w:rsidRPr="00101DE6">
              <w:t xml:space="preserve">Special Rapporteur’s rule 97 decision, transmitted to the State party on </w:t>
            </w:r>
            <w:r w:rsidR="007F5F2D" w:rsidRPr="00101DE6">
              <w:t>2 August 2010</w:t>
            </w:r>
            <w:r w:rsidR="00C11ACD" w:rsidRPr="00101DE6">
              <w:t xml:space="preserve"> </w:t>
            </w:r>
            <w:r w:rsidRPr="00101DE6">
              <w:t>(not issued in document form)</w:t>
            </w:r>
          </w:p>
        </w:tc>
      </w:tr>
      <w:tr w:rsidR="00C5273D" w:rsidRPr="00101DE6" w14:paraId="5C2528B1" w14:textId="77777777" w:rsidTr="00C5273D">
        <w:tc>
          <w:tcPr>
            <w:tcW w:w="3402" w:type="dxa"/>
            <w:shd w:val="clear" w:color="auto" w:fill="auto"/>
          </w:tcPr>
          <w:p w14:paraId="60CD0529" w14:textId="77777777" w:rsidR="00C5273D" w:rsidRPr="00101DE6" w:rsidRDefault="00C5273D" w:rsidP="004A40DD">
            <w:pPr>
              <w:spacing w:after="120"/>
              <w:rPr>
                <w:i/>
              </w:rPr>
            </w:pPr>
            <w:r w:rsidRPr="00101DE6">
              <w:rPr>
                <w:i/>
              </w:rPr>
              <w:t>Date of adoption of decision:</w:t>
            </w:r>
          </w:p>
        </w:tc>
        <w:tc>
          <w:tcPr>
            <w:tcW w:w="3969" w:type="dxa"/>
            <w:shd w:val="clear" w:color="auto" w:fill="auto"/>
            <w:vAlign w:val="bottom"/>
          </w:tcPr>
          <w:p w14:paraId="344BD488" w14:textId="77777777" w:rsidR="00C5273D" w:rsidRPr="00101DE6" w:rsidDel="003A08E4" w:rsidRDefault="00C5273D" w:rsidP="00985A55">
            <w:pPr>
              <w:spacing w:after="120"/>
            </w:pPr>
            <w:r w:rsidRPr="00101DE6">
              <w:t>2 April 2015</w:t>
            </w:r>
          </w:p>
        </w:tc>
      </w:tr>
      <w:tr w:rsidR="00C5273D" w:rsidRPr="00101DE6" w14:paraId="708362CC" w14:textId="77777777" w:rsidTr="00842607">
        <w:tc>
          <w:tcPr>
            <w:tcW w:w="3402" w:type="dxa"/>
            <w:shd w:val="clear" w:color="auto" w:fill="auto"/>
          </w:tcPr>
          <w:p w14:paraId="1896EC7D" w14:textId="77777777" w:rsidR="00C5273D" w:rsidRPr="00101DE6" w:rsidDel="00C5273D" w:rsidRDefault="00C5273D" w:rsidP="004A40DD">
            <w:pPr>
              <w:spacing w:after="120"/>
              <w:rPr>
                <w:i/>
              </w:rPr>
            </w:pPr>
            <w:r w:rsidRPr="00101DE6">
              <w:rPr>
                <w:i/>
                <w:iCs/>
              </w:rPr>
              <w:t>Subject matter:</w:t>
            </w:r>
          </w:p>
        </w:tc>
        <w:tc>
          <w:tcPr>
            <w:tcW w:w="3969" w:type="dxa"/>
            <w:shd w:val="clear" w:color="auto" w:fill="auto"/>
          </w:tcPr>
          <w:p w14:paraId="70FB373F" w14:textId="77777777" w:rsidR="00C5273D" w:rsidRPr="00101DE6" w:rsidDel="00C5273D" w:rsidRDefault="00C5273D" w:rsidP="00985A55">
            <w:pPr>
              <w:spacing w:after="120"/>
            </w:pPr>
            <w:r w:rsidRPr="00101DE6">
              <w:t>Restitution of property</w:t>
            </w:r>
          </w:p>
        </w:tc>
      </w:tr>
      <w:tr w:rsidR="00C5273D" w:rsidRPr="00101DE6" w14:paraId="3577C0BE" w14:textId="77777777" w:rsidTr="00842607">
        <w:tc>
          <w:tcPr>
            <w:tcW w:w="3402" w:type="dxa"/>
            <w:shd w:val="clear" w:color="auto" w:fill="auto"/>
          </w:tcPr>
          <w:p w14:paraId="7B721023" w14:textId="77777777" w:rsidR="00C5273D" w:rsidRPr="00101DE6" w:rsidDel="00C5273D" w:rsidRDefault="00C5273D" w:rsidP="004A40DD">
            <w:pPr>
              <w:spacing w:after="120"/>
              <w:rPr>
                <w:i/>
              </w:rPr>
            </w:pPr>
            <w:r w:rsidRPr="00101DE6">
              <w:rPr>
                <w:i/>
                <w:iCs/>
              </w:rPr>
              <w:t>Procedural issues</w:t>
            </w:r>
            <w:r w:rsidRPr="00101DE6">
              <w:rPr>
                <w:i/>
              </w:rPr>
              <w:t>:</w:t>
            </w:r>
          </w:p>
        </w:tc>
        <w:tc>
          <w:tcPr>
            <w:tcW w:w="3969" w:type="dxa"/>
            <w:shd w:val="clear" w:color="auto" w:fill="auto"/>
          </w:tcPr>
          <w:p w14:paraId="61E1FB6F" w14:textId="77777777" w:rsidR="00C5273D" w:rsidRPr="00101DE6" w:rsidDel="00C5273D" w:rsidRDefault="00C5273D" w:rsidP="00985A55">
            <w:pPr>
              <w:spacing w:after="120"/>
            </w:pPr>
            <w:r w:rsidRPr="00101DE6">
              <w:t xml:space="preserve">Substantiation of claims; </w:t>
            </w:r>
            <w:r w:rsidRPr="00101DE6">
              <w:rPr>
                <w:i/>
              </w:rPr>
              <w:t>ratione materiae</w:t>
            </w:r>
          </w:p>
        </w:tc>
      </w:tr>
      <w:tr w:rsidR="00C5273D" w:rsidRPr="00101DE6" w14:paraId="20B49DD2" w14:textId="77777777" w:rsidTr="00842607">
        <w:tc>
          <w:tcPr>
            <w:tcW w:w="3402" w:type="dxa"/>
            <w:shd w:val="clear" w:color="auto" w:fill="auto"/>
          </w:tcPr>
          <w:p w14:paraId="4E2A16AF" w14:textId="77777777" w:rsidR="00C5273D" w:rsidRPr="00101DE6" w:rsidDel="00C5273D" w:rsidRDefault="00C5273D" w:rsidP="004A40DD">
            <w:pPr>
              <w:spacing w:after="120"/>
              <w:rPr>
                <w:i/>
              </w:rPr>
            </w:pPr>
            <w:r w:rsidRPr="00101DE6">
              <w:rPr>
                <w:i/>
                <w:iCs/>
              </w:rPr>
              <w:t>Substantive issues:</w:t>
            </w:r>
          </w:p>
        </w:tc>
        <w:tc>
          <w:tcPr>
            <w:tcW w:w="3969" w:type="dxa"/>
            <w:shd w:val="clear" w:color="auto" w:fill="auto"/>
          </w:tcPr>
          <w:p w14:paraId="3FB5135D" w14:textId="77777777" w:rsidR="00C5273D" w:rsidRPr="00101DE6" w:rsidDel="00C5273D" w:rsidRDefault="00C5273D" w:rsidP="00985A55">
            <w:pPr>
              <w:spacing w:after="120"/>
            </w:pPr>
            <w:r w:rsidRPr="00101DE6">
              <w:t>Fair trial; discrimination; right to an effective remedy</w:t>
            </w:r>
          </w:p>
        </w:tc>
      </w:tr>
      <w:tr w:rsidR="00C5273D" w:rsidRPr="00101DE6" w14:paraId="7BBF0BD4" w14:textId="77777777" w:rsidTr="00842607">
        <w:tc>
          <w:tcPr>
            <w:tcW w:w="3402" w:type="dxa"/>
            <w:shd w:val="clear" w:color="auto" w:fill="auto"/>
          </w:tcPr>
          <w:p w14:paraId="4C173C42" w14:textId="77777777" w:rsidR="00C5273D" w:rsidRPr="00101DE6" w:rsidDel="00C5273D" w:rsidRDefault="00C5273D" w:rsidP="004A40DD">
            <w:pPr>
              <w:spacing w:after="120"/>
              <w:rPr>
                <w:i/>
              </w:rPr>
            </w:pPr>
            <w:r w:rsidRPr="00101DE6">
              <w:rPr>
                <w:i/>
                <w:iCs/>
              </w:rPr>
              <w:t>Articles of the Covenant</w:t>
            </w:r>
            <w:r w:rsidRPr="00101DE6">
              <w:rPr>
                <w:i/>
              </w:rPr>
              <w:t>:</w:t>
            </w:r>
          </w:p>
        </w:tc>
        <w:tc>
          <w:tcPr>
            <w:tcW w:w="3969" w:type="dxa"/>
            <w:shd w:val="clear" w:color="auto" w:fill="auto"/>
          </w:tcPr>
          <w:p w14:paraId="326F87F2" w14:textId="77777777" w:rsidR="00C5273D" w:rsidRPr="00101DE6" w:rsidDel="00C5273D" w:rsidRDefault="00663AC6" w:rsidP="00663AC6">
            <w:pPr>
              <w:spacing w:after="120"/>
            </w:pPr>
            <w:r w:rsidRPr="00101DE6">
              <w:t xml:space="preserve">2 (3) and </w:t>
            </w:r>
            <w:r w:rsidR="00C5273D" w:rsidRPr="00101DE6">
              <w:t>14</w:t>
            </w:r>
            <w:r w:rsidR="00E91F7D" w:rsidRPr="00101DE6">
              <w:t> (</w:t>
            </w:r>
            <w:r w:rsidR="00C5273D" w:rsidRPr="00101DE6">
              <w:t>1</w:t>
            </w:r>
            <w:r w:rsidR="00E91F7D" w:rsidRPr="00101DE6">
              <w:t>)</w:t>
            </w:r>
            <w:r w:rsidR="00C5273D" w:rsidRPr="00101DE6">
              <w:t xml:space="preserve"> (read alone and in conjunction with </w:t>
            </w:r>
            <w:r w:rsidR="00B37284" w:rsidRPr="00101DE6">
              <w:t>article</w:t>
            </w:r>
            <w:r w:rsidR="00E91F7D" w:rsidRPr="00101DE6">
              <w:t>s</w:t>
            </w:r>
            <w:r w:rsidR="00B37284" w:rsidRPr="00101DE6">
              <w:t> </w:t>
            </w:r>
            <w:r w:rsidR="00C5273D" w:rsidRPr="00101DE6">
              <w:t>2</w:t>
            </w:r>
            <w:r w:rsidR="00E91F7D" w:rsidRPr="00101DE6">
              <w:t> (</w:t>
            </w:r>
            <w:r w:rsidR="00C5273D" w:rsidRPr="00101DE6">
              <w:t>1</w:t>
            </w:r>
            <w:r w:rsidR="00E91F7D" w:rsidRPr="00101DE6">
              <w:t>)</w:t>
            </w:r>
            <w:r w:rsidR="00C5273D" w:rsidRPr="00101DE6">
              <w:t xml:space="preserve"> and 26)</w:t>
            </w:r>
            <w:r w:rsidR="00AD0B70" w:rsidRPr="00101DE6">
              <w:t xml:space="preserve"> </w:t>
            </w:r>
          </w:p>
        </w:tc>
      </w:tr>
      <w:tr w:rsidR="00C5273D" w:rsidRPr="00101DE6" w14:paraId="42C1E12D" w14:textId="77777777" w:rsidTr="00842607">
        <w:tc>
          <w:tcPr>
            <w:tcW w:w="3402" w:type="dxa"/>
            <w:shd w:val="clear" w:color="auto" w:fill="auto"/>
          </w:tcPr>
          <w:p w14:paraId="6B35B7B4" w14:textId="77777777" w:rsidR="00C5273D" w:rsidRPr="00101DE6" w:rsidDel="00C5273D" w:rsidRDefault="00B37284" w:rsidP="004A40DD">
            <w:pPr>
              <w:spacing w:after="120"/>
              <w:rPr>
                <w:i/>
              </w:rPr>
            </w:pPr>
            <w:r w:rsidRPr="00101DE6">
              <w:rPr>
                <w:i/>
                <w:iCs/>
              </w:rPr>
              <w:t>Article</w:t>
            </w:r>
            <w:r w:rsidR="00B45ABD" w:rsidRPr="00101DE6">
              <w:rPr>
                <w:i/>
                <w:iCs/>
              </w:rPr>
              <w:t>s</w:t>
            </w:r>
            <w:r w:rsidRPr="00101DE6">
              <w:rPr>
                <w:i/>
                <w:iCs/>
              </w:rPr>
              <w:t> </w:t>
            </w:r>
            <w:r w:rsidR="00C5273D" w:rsidRPr="00101DE6">
              <w:rPr>
                <w:i/>
                <w:iCs/>
              </w:rPr>
              <w:t>of the Optional Protocol:</w:t>
            </w:r>
          </w:p>
        </w:tc>
        <w:tc>
          <w:tcPr>
            <w:tcW w:w="3969" w:type="dxa"/>
            <w:shd w:val="clear" w:color="auto" w:fill="auto"/>
          </w:tcPr>
          <w:p w14:paraId="06D55F9E" w14:textId="77777777" w:rsidR="00C5273D" w:rsidRPr="00101DE6" w:rsidDel="00C5273D" w:rsidRDefault="00C5273D" w:rsidP="001E7E35">
            <w:pPr>
              <w:spacing w:after="120"/>
            </w:pPr>
            <w:r w:rsidRPr="00101DE6">
              <w:t>2</w:t>
            </w:r>
            <w:r w:rsidR="001E7E35" w:rsidRPr="00101DE6">
              <w:t xml:space="preserve"> and</w:t>
            </w:r>
            <w:r w:rsidRPr="00101DE6">
              <w:t xml:space="preserve"> 3</w:t>
            </w:r>
          </w:p>
        </w:tc>
      </w:tr>
    </w:tbl>
    <w:p w14:paraId="22E85EB4" w14:textId="77777777" w:rsidR="00971D35" w:rsidRPr="00101DE6" w:rsidRDefault="00971D35" w:rsidP="00971D35"/>
    <w:p w14:paraId="4785F3AF" w14:textId="77777777" w:rsidR="00971D35" w:rsidRPr="00101DE6" w:rsidRDefault="00971D35" w:rsidP="00353F80">
      <w:pPr>
        <w:pStyle w:val="HChG"/>
      </w:pPr>
      <w:r w:rsidRPr="00101DE6">
        <w:br w:type="page"/>
      </w:r>
      <w:r w:rsidRPr="00101DE6">
        <w:lastRenderedPageBreak/>
        <w:t>Annex</w:t>
      </w:r>
    </w:p>
    <w:p w14:paraId="78E267AC" w14:textId="77777777" w:rsidR="00971D35" w:rsidRPr="00101DE6" w:rsidRDefault="00971D35" w:rsidP="00E45407">
      <w:pPr>
        <w:pStyle w:val="HChG"/>
      </w:pPr>
      <w:r w:rsidRPr="00101DE6">
        <w:tab/>
      </w:r>
      <w:r w:rsidRPr="00101DE6">
        <w:tab/>
      </w:r>
      <w:r w:rsidR="004A40DD" w:rsidRPr="00101DE6">
        <w:t xml:space="preserve">Decision of the Human Rights Committee under the Optional Protocol to the International Covenant on Civil and Political Rights </w:t>
      </w:r>
      <w:r w:rsidRPr="00101DE6">
        <w:t>(11</w:t>
      </w:r>
      <w:r w:rsidR="00985A55" w:rsidRPr="00101DE6">
        <w:t>3</w:t>
      </w:r>
      <w:r w:rsidRPr="00101DE6">
        <w:t>th session)</w:t>
      </w:r>
    </w:p>
    <w:p w14:paraId="20B02F4B" w14:textId="77777777" w:rsidR="00971D35" w:rsidRPr="00101DE6" w:rsidRDefault="00971D35" w:rsidP="00971D35">
      <w:pPr>
        <w:spacing w:after="120"/>
        <w:ind w:left="1134" w:right="1134"/>
        <w:jc w:val="both"/>
      </w:pPr>
      <w:r w:rsidRPr="00101DE6">
        <w:t>concerning</w:t>
      </w:r>
    </w:p>
    <w:p w14:paraId="221302D3" w14:textId="77777777" w:rsidR="00971D35" w:rsidRPr="00101DE6" w:rsidRDefault="00971D35" w:rsidP="001F345E">
      <w:pPr>
        <w:pStyle w:val="H1G"/>
      </w:pPr>
      <w:r w:rsidRPr="00101DE6">
        <w:tab/>
      </w:r>
      <w:r w:rsidRPr="00101DE6">
        <w:tab/>
        <w:t>Communication</w:t>
      </w:r>
      <w:r w:rsidR="00353F80" w:rsidRPr="00101DE6">
        <w:t xml:space="preserve"> No. </w:t>
      </w:r>
      <w:r w:rsidR="007F5F2D" w:rsidRPr="00101DE6">
        <w:t>1961/2010</w:t>
      </w:r>
      <w:r w:rsidR="00422FCB" w:rsidRPr="00AE0E30">
        <w:rPr>
          <w:rStyle w:val="FootnoteReference"/>
          <w:rFonts w:eastAsia="Calibri"/>
          <w:b w:val="0"/>
          <w:bCs/>
          <w:sz w:val="20"/>
          <w:vertAlign w:val="baseline"/>
        </w:rPr>
        <w:footnoteReference w:customMarkFollows="1" w:id="3"/>
        <w:t>**</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971D35" w:rsidRPr="00101DE6" w14:paraId="715C13C7" w14:textId="77777777" w:rsidTr="001F345E">
        <w:tc>
          <w:tcPr>
            <w:tcW w:w="3402" w:type="dxa"/>
            <w:shd w:val="clear" w:color="auto" w:fill="auto"/>
          </w:tcPr>
          <w:p w14:paraId="4E60236E" w14:textId="77777777" w:rsidR="00971D35" w:rsidRPr="00101DE6" w:rsidRDefault="00971D35" w:rsidP="00971D35">
            <w:pPr>
              <w:spacing w:after="120"/>
              <w:rPr>
                <w:i/>
              </w:rPr>
            </w:pPr>
            <w:r w:rsidRPr="00101DE6">
              <w:rPr>
                <w:i/>
              </w:rPr>
              <w:t>Submitted by:</w:t>
            </w:r>
          </w:p>
        </w:tc>
        <w:tc>
          <w:tcPr>
            <w:tcW w:w="3969" w:type="dxa"/>
            <w:shd w:val="clear" w:color="auto" w:fill="auto"/>
          </w:tcPr>
          <w:p w14:paraId="593C1770" w14:textId="77777777" w:rsidR="00971D35" w:rsidRPr="00101DE6" w:rsidRDefault="000A002D" w:rsidP="00CC3E01">
            <w:pPr>
              <w:spacing w:after="120"/>
            </w:pPr>
            <w:r w:rsidRPr="00101DE6">
              <w:t>X</w:t>
            </w:r>
            <w:r w:rsidR="007F5F2D" w:rsidRPr="00101DE6">
              <w:t xml:space="preserve"> (not represented by counsel)</w:t>
            </w:r>
            <w:r w:rsidR="00AB3AEC" w:rsidRPr="00101DE6">
              <w:t xml:space="preserve"> </w:t>
            </w:r>
          </w:p>
        </w:tc>
      </w:tr>
      <w:tr w:rsidR="00971D35" w:rsidRPr="00101DE6" w14:paraId="08DB9368" w14:textId="77777777" w:rsidTr="001F345E">
        <w:tc>
          <w:tcPr>
            <w:tcW w:w="3402" w:type="dxa"/>
            <w:shd w:val="clear" w:color="auto" w:fill="auto"/>
          </w:tcPr>
          <w:p w14:paraId="746FAF4D" w14:textId="77777777" w:rsidR="00971D35" w:rsidRPr="00101DE6" w:rsidRDefault="00971D35" w:rsidP="00971D35">
            <w:pPr>
              <w:spacing w:after="120"/>
              <w:rPr>
                <w:i/>
              </w:rPr>
            </w:pPr>
            <w:r w:rsidRPr="00101DE6">
              <w:rPr>
                <w:i/>
              </w:rPr>
              <w:t>Alleged victim</w:t>
            </w:r>
            <w:r w:rsidR="007F5F2D" w:rsidRPr="00101DE6">
              <w:rPr>
                <w:i/>
              </w:rPr>
              <w:t>s</w:t>
            </w:r>
            <w:r w:rsidRPr="00101DE6">
              <w:rPr>
                <w:i/>
              </w:rPr>
              <w:t>:</w:t>
            </w:r>
          </w:p>
        </w:tc>
        <w:tc>
          <w:tcPr>
            <w:tcW w:w="3969" w:type="dxa"/>
            <w:shd w:val="clear" w:color="auto" w:fill="auto"/>
          </w:tcPr>
          <w:p w14:paraId="7BA52078" w14:textId="77777777" w:rsidR="00971D35" w:rsidRPr="00101DE6" w:rsidRDefault="00AB3AEC" w:rsidP="00663AC6">
            <w:pPr>
              <w:spacing w:after="120"/>
            </w:pPr>
            <w:r w:rsidRPr="00101DE6">
              <w:t>The author</w:t>
            </w:r>
            <w:r w:rsidR="00663AC6" w:rsidRPr="00101DE6">
              <w:t>, Y, Z and A</w:t>
            </w:r>
            <w:r w:rsidR="007F5F2D" w:rsidRPr="00101DE6">
              <w:t xml:space="preserve"> </w:t>
            </w:r>
          </w:p>
        </w:tc>
      </w:tr>
      <w:tr w:rsidR="00971D35" w:rsidRPr="00101DE6" w14:paraId="0A35F9C5" w14:textId="77777777" w:rsidTr="001F345E">
        <w:tc>
          <w:tcPr>
            <w:tcW w:w="3402" w:type="dxa"/>
            <w:shd w:val="clear" w:color="auto" w:fill="auto"/>
          </w:tcPr>
          <w:p w14:paraId="6AB2C157" w14:textId="77777777" w:rsidR="00971D35" w:rsidRPr="00101DE6" w:rsidRDefault="00971D35" w:rsidP="00971D35">
            <w:pPr>
              <w:spacing w:after="120"/>
              <w:rPr>
                <w:i/>
              </w:rPr>
            </w:pPr>
            <w:r w:rsidRPr="00101DE6">
              <w:rPr>
                <w:i/>
              </w:rPr>
              <w:t>State party:</w:t>
            </w:r>
          </w:p>
        </w:tc>
        <w:tc>
          <w:tcPr>
            <w:tcW w:w="3969" w:type="dxa"/>
            <w:shd w:val="clear" w:color="auto" w:fill="auto"/>
          </w:tcPr>
          <w:p w14:paraId="66B00829" w14:textId="77777777" w:rsidR="00971D35" w:rsidRPr="00101DE6" w:rsidRDefault="007F5F2D" w:rsidP="00985A55">
            <w:pPr>
              <w:spacing w:after="120"/>
            </w:pPr>
            <w:r w:rsidRPr="00101DE6">
              <w:t>Czech Republic</w:t>
            </w:r>
          </w:p>
        </w:tc>
      </w:tr>
      <w:tr w:rsidR="00971D35" w:rsidRPr="00101DE6" w14:paraId="682930C6" w14:textId="77777777" w:rsidTr="001F345E">
        <w:tc>
          <w:tcPr>
            <w:tcW w:w="3402" w:type="dxa"/>
            <w:shd w:val="clear" w:color="auto" w:fill="auto"/>
          </w:tcPr>
          <w:p w14:paraId="53BBAB1E" w14:textId="77777777" w:rsidR="00971D35" w:rsidRPr="00101DE6" w:rsidRDefault="00971D35" w:rsidP="00971D35">
            <w:pPr>
              <w:spacing w:after="240"/>
              <w:rPr>
                <w:i/>
              </w:rPr>
            </w:pPr>
            <w:r w:rsidRPr="00101DE6">
              <w:rPr>
                <w:i/>
              </w:rPr>
              <w:t>Date of communication:</w:t>
            </w:r>
          </w:p>
        </w:tc>
        <w:tc>
          <w:tcPr>
            <w:tcW w:w="3969" w:type="dxa"/>
            <w:shd w:val="clear" w:color="auto" w:fill="auto"/>
          </w:tcPr>
          <w:p w14:paraId="61A092B6" w14:textId="77777777" w:rsidR="00971D35" w:rsidRPr="00101DE6" w:rsidRDefault="007F5F2D" w:rsidP="00971D35">
            <w:pPr>
              <w:spacing w:after="240"/>
            </w:pPr>
            <w:r w:rsidRPr="00101DE6">
              <w:t>4 January 2010</w:t>
            </w:r>
            <w:r w:rsidR="00971D35" w:rsidRPr="00101DE6">
              <w:t xml:space="preserve"> (initial submission)</w:t>
            </w:r>
          </w:p>
        </w:tc>
      </w:tr>
    </w:tbl>
    <w:p w14:paraId="0F4101E9" w14:textId="77777777" w:rsidR="00971D35" w:rsidRPr="00101DE6" w:rsidRDefault="00971D35" w:rsidP="00E45407">
      <w:pPr>
        <w:pStyle w:val="SingleTxtG"/>
        <w:rPr>
          <w:lang w:val="en-GB"/>
        </w:rPr>
      </w:pPr>
      <w:r w:rsidRPr="00101DE6">
        <w:rPr>
          <w:lang w:val="en-GB"/>
        </w:rPr>
        <w:tab/>
      </w:r>
      <w:r w:rsidRPr="00101DE6">
        <w:rPr>
          <w:i/>
          <w:lang w:val="en-GB"/>
        </w:rPr>
        <w:t>The Human Rights Committee</w:t>
      </w:r>
      <w:r w:rsidRPr="00101DE6">
        <w:rPr>
          <w:lang w:val="en-GB"/>
        </w:rPr>
        <w:t xml:space="preserve">, established under </w:t>
      </w:r>
      <w:r w:rsidR="00B37284" w:rsidRPr="00101DE6">
        <w:rPr>
          <w:lang w:val="en-GB"/>
        </w:rPr>
        <w:t>article </w:t>
      </w:r>
      <w:r w:rsidRPr="00101DE6">
        <w:rPr>
          <w:lang w:val="en-GB"/>
        </w:rPr>
        <w:t>28 of the International Covenant on Civil and Political Rights,</w:t>
      </w:r>
    </w:p>
    <w:p w14:paraId="4BF30349" w14:textId="77777777" w:rsidR="00971D35" w:rsidRPr="00101DE6" w:rsidRDefault="00971D35" w:rsidP="00971D35">
      <w:pPr>
        <w:spacing w:after="120"/>
        <w:ind w:left="1134" w:right="1134"/>
        <w:jc w:val="both"/>
      </w:pPr>
      <w:r w:rsidRPr="00101DE6">
        <w:rPr>
          <w:color w:val="6699FF"/>
        </w:rPr>
        <w:tab/>
      </w:r>
      <w:r w:rsidRPr="00101DE6">
        <w:rPr>
          <w:i/>
        </w:rPr>
        <w:t>Meeting</w:t>
      </w:r>
      <w:r w:rsidRPr="00101DE6">
        <w:t xml:space="preserve"> on </w:t>
      </w:r>
      <w:r w:rsidR="001B6705" w:rsidRPr="00101DE6">
        <w:t>2</w:t>
      </w:r>
      <w:r w:rsidR="003A08E4" w:rsidRPr="00101DE6">
        <w:t xml:space="preserve"> April</w:t>
      </w:r>
      <w:r w:rsidRPr="00101DE6">
        <w:t xml:space="preserve"> 201</w:t>
      </w:r>
      <w:r w:rsidR="00985A55" w:rsidRPr="00101DE6">
        <w:t>5</w:t>
      </w:r>
      <w:r w:rsidRPr="00101DE6">
        <w:t>,</w:t>
      </w:r>
    </w:p>
    <w:p w14:paraId="44D1F7D6" w14:textId="77777777" w:rsidR="00971D35" w:rsidRPr="00101DE6" w:rsidRDefault="00971D35" w:rsidP="00C03AC2">
      <w:pPr>
        <w:pStyle w:val="SingleTxtG"/>
        <w:rPr>
          <w:lang w:val="en-GB"/>
        </w:rPr>
      </w:pPr>
      <w:r w:rsidRPr="00101DE6">
        <w:rPr>
          <w:i/>
          <w:lang w:val="en-GB"/>
        </w:rPr>
        <w:tab/>
        <w:t>Having concluded</w:t>
      </w:r>
      <w:r w:rsidRPr="00101DE6">
        <w:rPr>
          <w:lang w:val="en-GB"/>
        </w:rPr>
        <w:t xml:space="preserve"> its consideration of communication</w:t>
      </w:r>
      <w:r w:rsidR="00353F80" w:rsidRPr="00101DE6">
        <w:rPr>
          <w:lang w:val="en-GB"/>
        </w:rPr>
        <w:t xml:space="preserve"> No. </w:t>
      </w:r>
      <w:r w:rsidR="007F5F2D" w:rsidRPr="00101DE6">
        <w:rPr>
          <w:lang w:val="en-GB"/>
        </w:rPr>
        <w:t xml:space="preserve">1961/2010, </w:t>
      </w:r>
      <w:r w:rsidRPr="00101DE6">
        <w:rPr>
          <w:lang w:val="en-GB"/>
        </w:rPr>
        <w:t xml:space="preserve">submitted to the Human Rights Committee by </w:t>
      </w:r>
      <w:r w:rsidR="000A002D" w:rsidRPr="00101DE6">
        <w:rPr>
          <w:lang w:val="en-GB"/>
        </w:rPr>
        <w:t>X</w:t>
      </w:r>
      <w:r w:rsidR="00AB3AEC" w:rsidRPr="00101DE6">
        <w:rPr>
          <w:lang w:val="en-GB"/>
        </w:rPr>
        <w:t xml:space="preserve">, on his own behalf and on behalf of </w:t>
      </w:r>
      <w:r w:rsidR="000A002D" w:rsidRPr="00101DE6">
        <w:rPr>
          <w:lang w:val="en-GB"/>
        </w:rPr>
        <w:t>Y</w:t>
      </w:r>
      <w:r w:rsidR="00AB3AEC" w:rsidRPr="00101DE6">
        <w:rPr>
          <w:lang w:val="en-GB"/>
        </w:rPr>
        <w:t xml:space="preserve">, </w:t>
      </w:r>
      <w:r w:rsidR="000A002D" w:rsidRPr="00101DE6">
        <w:rPr>
          <w:lang w:val="en-GB"/>
        </w:rPr>
        <w:t>Z</w:t>
      </w:r>
      <w:r w:rsidR="00002A2B" w:rsidRPr="00101DE6">
        <w:rPr>
          <w:lang w:val="en-GB"/>
        </w:rPr>
        <w:t xml:space="preserve"> and</w:t>
      </w:r>
      <w:r w:rsidR="00AB3AEC" w:rsidRPr="00101DE6">
        <w:rPr>
          <w:lang w:val="en-GB"/>
        </w:rPr>
        <w:t xml:space="preserve"> </w:t>
      </w:r>
      <w:r w:rsidR="000A002D" w:rsidRPr="00101DE6">
        <w:rPr>
          <w:lang w:val="en-GB"/>
        </w:rPr>
        <w:t>A</w:t>
      </w:r>
      <w:r w:rsidR="00AB3AEC" w:rsidRPr="00101DE6">
        <w:rPr>
          <w:lang w:val="en-GB"/>
        </w:rPr>
        <w:t>,</w:t>
      </w:r>
      <w:r w:rsidRPr="00101DE6">
        <w:rPr>
          <w:lang w:val="en-GB"/>
        </w:rPr>
        <w:t xml:space="preserve"> under the Optional Protocol to the International Covenant on Civil and Political Rights,</w:t>
      </w:r>
    </w:p>
    <w:p w14:paraId="461DB14C" w14:textId="77777777" w:rsidR="00971D35" w:rsidRPr="00101DE6" w:rsidRDefault="00971D35" w:rsidP="00DB7C0A">
      <w:pPr>
        <w:pStyle w:val="SingleTxtG"/>
        <w:rPr>
          <w:lang w:val="en-GB"/>
        </w:rPr>
      </w:pPr>
      <w:r w:rsidRPr="00101DE6">
        <w:rPr>
          <w:i/>
          <w:lang w:val="en-GB"/>
        </w:rPr>
        <w:tab/>
        <w:t>Having taken into account</w:t>
      </w:r>
      <w:r w:rsidRPr="00101DE6">
        <w:rPr>
          <w:lang w:val="en-GB"/>
        </w:rPr>
        <w:t xml:space="preserve"> all written information made available to it by the author of the communication and the State party,</w:t>
      </w:r>
    </w:p>
    <w:p w14:paraId="7C27814E" w14:textId="77777777" w:rsidR="00971D35" w:rsidRPr="00101DE6" w:rsidRDefault="00971D35" w:rsidP="00971D35">
      <w:pPr>
        <w:spacing w:after="120"/>
        <w:ind w:left="1134" w:right="1134"/>
        <w:jc w:val="both"/>
      </w:pPr>
      <w:r w:rsidRPr="00101DE6">
        <w:rPr>
          <w:i/>
        </w:rPr>
        <w:tab/>
        <w:t>Adopts</w:t>
      </w:r>
      <w:r w:rsidRPr="00101DE6">
        <w:t xml:space="preserve"> the following:</w:t>
      </w:r>
    </w:p>
    <w:p w14:paraId="12987F3B" w14:textId="77777777" w:rsidR="00971D35" w:rsidRPr="00101DE6" w:rsidRDefault="00971D35" w:rsidP="00DB7C0A">
      <w:pPr>
        <w:pStyle w:val="H1G"/>
      </w:pPr>
      <w:r w:rsidRPr="00101DE6">
        <w:tab/>
      </w:r>
      <w:r w:rsidRPr="00101DE6">
        <w:tab/>
      </w:r>
      <w:r w:rsidR="004A40DD" w:rsidRPr="00101DE6">
        <w:t>Decision on admissibility</w:t>
      </w:r>
    </w:p>
    <w:p w14:paraId="7F55B181" w14:textId="77777777" w:rsidR="00971D35" w:rsidRPr="00101DE6" w:rsidRDefault="00971D35" w:rsidP="00C03AC2">
      <w:pPr>
        <w:pStyle w:val="SingleTxtG"/>
        <w:rPr>
          <w:lang w:val="en-GB"/>
        </w:rPr>
      </w:pPr>
      <w:r w:rsidRPr="00101DE6">
        <w:rPr>
          <w:rFonts w:eastAsia="Arial Unicode MS"/>
          <w:u w:color="000000"/>
          <w:lang w:val="en-GB"/>
        </w:rPr>
        <w:t>1.</w:t>
      </w:r>
      <w:r w:rsidRPr="00101DE6">
        <w:rPr>
          <w:rFonts w:eastAsia="Arial Unicode MS"/>
          <w:u w:color="000000"/>
          <w:lang w:val="en-GB"/>
        </w:rPr>
        <w:tab/>
      </w:r>
      <w:r w:rsidR="007F5F2D" w:rsidRPr="00101DE6">
        <w:rPr>
          <w:lang w:val="en-GB"/>
        </w:rPr>
        <w:t>The author of the communication</w:t>
      </w:r>
      <w:r w:rsidR="006521E4" w:rsidRPr="00101DE6">
        <w:rPr>
          <w:lang w:val="en-GB"/>
        </w:rPr>
        <w:t>,</w:t>
      </w:r>
      <w:r w:rsidR="007F5F2D" w:rsidRPr="00101DE6">
        <w:rPr>
          <w:lang w:val="en-GB"/>
        </w:rPr>
        <w:t xml:space="preserve"> dated 4 January 2010</w:t>
      </w:r>
      <w:r w:rsidR="0072350A" w:rsidRPr="00101DE6">
        <w:rPr>
          <w:lang w:val="en-GB"/>
        </w:rPr>
        <w:t>,</w:t>
      </w:r>
      <w:r w:rsidR="006521E4" w:rsidRPr="00101DE6">
        <w:rPr>
          <w:rStyle w:val="FootnoteReference"/>
          <w:lang w:val="en-GB"/>
        </w:rPr>
        <w:footnoteReference w:id="4"/>
      </w:r>
      <w:r w:rsidR="007F5F2D" w:rsidRPr="00101DE6">
        <w:rPr>
          <w:lang w:val="en-GB"/>
        </w:rPr>
        <w:t xml:space="preserve"> </w:t>
      </w:r>
      <w:r w:rsidR="006521E4" w:rsidRPr="00101DE6">
        <w:rPr>
          <w:lang w:val="en-GB"/>
        </w:rPr>
        <w:t>i</w:t>
      </w:r>
      <w:r w:rsidR="007F5F2D" w:rsidRPr="00101DE6">
        <w:rPr>
          <w:lang w:val="en-GB"/>
        </w:rPr>
        <w:t xml:space="preserve">s </w:t>
      </w:r>
      <w:r w:rsidR="000A002D" w:rsidRPr="00101DE6">
        <w:rPr>
          <w:lang w:val="en-GB"/>
        </w:rPr>
        <w:t>X</w:t>
      </w:r>
      <w:r w:rsidR="007F5F2D" w:rsidRPr="00101DE6">
        <w:rPr>
          <w:lang w:val="en-GB"/>
        </w:rPr>
        <w:t xml:space="preserve">, </w:t>
      </w:r>
      <w:r w:rsidR="006521E4" w:rsidRPr="00101DE6">
        <w:rPr>
          <w:lang w:val="en-GB"/>
        </w:rPr>
        <w:t>bo</w:t>
      </w:r>
      <w:r w:rsidR="007F5F2D" w:rsidRPr="00101DE6">
        <w:rPr>
          <w:lang w:val="en-GB"/>
        </w:rPr>
        <w:t xml:space="preserve">rn on 20 October 1935. </w:t>
      </w:r>
      <w:r w:rsidR="00303FBF" w:rsidRPr="00101DE6">
        <w:rPr>
          <w:lang w:val="en-GB"/>
        </w:rPr>
        <w:t xml:space="preserve">He </w:t>
      </w:r>
      <w:r w:rsidR="00002A2B" w:rsidRPr="00101DE6">
        <w:rPr>
          <w:lang w:val="en-GB"/>
        </w:rPr>
        <w:t xml:space="preserve">submits </w:t>
      </w:r>
      <w:r w:rsidR="00303FBF" w:rsidRPr="00101DE6">
        <w:rPr>
          <w:lang w:val="en-GB"/>
        </w:rPr>
        <w:t xml:space="preserve">the communication on behalf of himself, his mother, </w:t>
      </w:r>
      <w:r w:rsidR="000A002D" w:rsidRPr="00101DE6">
        <w:rPr>
          <w:lang w:val="en-GB"/>
        </w:rPr>
        <w:t>Y</w:t>
      </w:r>
      <w:r w:rsidR="00303FBF" w:rsidRPr="00101DE6">
        <w:rPr>
          <w:lang w:val="en-GB"/>
        </w:rPr>
        <w:t xml:space="preserve">, and his siblings, </w:t>
      </w:r>
      <w:r w:rsidR="000A002D" w:rsidRPr="00101DE6">
        <w:rPr>
          <w:lang w:val="en-GB"/>
        </w:rPr>
        <w:t>Z</w:t>
      </w:r>
      <w:r w:rsidR="00303FBF" w:rsidRPr="00101DE6">
        <w:rPr>
          <w:lang w:val="en-GB"/>
        </w:rPr>
        <w:t xml:space="preserve"> and </w:t>
      </w:r>
      <w:r w:rsidR="000A002D" w:rsidRPr="00101DE6">
        <w:rPr>
          <w:lang w:val="en-GB"/>
        </w:rPr>
        <w:t>A</w:t>
      </w:r>
      <w:r w:rsidR="00303FBF" w:rsidRPr="00101DE6">
        <w:rPr>
          <w:lang w:val="en-GB"/>
        </w:rPr>
        <w:t>, all of whom are German nationals.</w:t>
      </w:r>
      <w:r w:rsidR="00866D01" w:rsidRPr="00101DE6">
        <w:rPr>
          <w:rStyle w:val="FootnoteReference"/>
          <w:lang w:val="en-GB"/>
        </w:rPr>
        <w:footnoteReference w:id="5"/>
      </w:r>
      <w:r w:rsidR="00303FBF" w:rsidRPr="00101DE6">
        <w:rPr>
          <w:lang w:val="en-GB"/>
        </w:rPr>
        <w:t xml:space="preserve"> The author</w:t>
      </w:r>
      <w:r w:rsidR="007F5F2D" w:rsidRPr="00101DE6">
        <w:rPr>
          <w:lang w:val="en-GB"/>
        </w:rPr>
        <w:t xml:space="preserve"> claims </w:t>
      </w:r>
      <w:r w:rsidR="0072350A" w:rsidRPr="00101DE6">
        <w:rPr>
          <w:lang w:val="en-GB"/>
        </w:rPr>
        <w:t>that</w:t>
      </w:r>
      <w:r w:rsidR="007B7F05" w:rsidRPr="00101DE6">
        <w:rPr>
          <w:lang w:val="en-GB"/>
        </w:rPr>
        <w:t>,</w:t>
      </w:r>
      <w:r w:rsidR="0072350A" w:rsidRPr="00101DE6">
        <w:rPr>
          <w:lang w:val="en-GB"/>
        </w:rPr>
        <w:t xml:space="preserve"> </w:t>
      </w:r>
      <w:r w:rsidR="00002A2B" w:rsidRPr="00101DE6">
        <w:rPr>
          <w:lang w:val="en-GB"/>
        </w:rPr>
        <w:t>since</w:t>
      </w:r>
      <w:r w:rsidR="007B7F05" w:rsidRPr="00101DE6">
        <w:rPr>
          <w:lang w:val="en-GB"/>
        </w:rPr>
        <w:t xml:space="preserve"> </w:t>
      </w:r>
      <w:r w:rsidR="0072350A" w:rsidRPr="00101DE6">
        <w:rPr>
          <w:lang w:val="en-GB"/>
        </w:rPr>
        <w:t>he, his mother and his siblings</w:t>
      </w:r>
      <w:r w:rsidR="00B52684" w:rsidRPr="00101DE6">
        <w:rPr>
          <w:lang w:val="en-GB"/>
        </w:rPr>
        <w:t xml:space="preserve">, as German nationals, </w:t>
      </w:r>
      <w:r w:rsidR="0072350A" w:rsidRPr="00101DE6">
        <w:rPr>
          <w:lang w:val="en-GB"/>
        </w:rPr>
        <w:t>are ineligible for compensation under Czech restitution laws for his father’s knitw</w:t>
      </w:r>
      <w:r w:rsidR="00AD0B70" w:rsidRPr="00101DE6">
        <w:rPr>
          <w:lang w:val="en-GB"/>
        </w:rPr>
        <w:t>ear</w:t>
      </w:r>
      <w:r w:rsidR="0072350A" w:rsidRPr="00101DE6">
        <w:rPr>
          <w:lang w:val="en-GB"/>
        </w:rPr>
        <w:t xml:space="preserve"> factory, which was nationali</w:t>
      </w:r>
      <w:r w:rsidR="00AD0B70" w:rsidRPr="00101DE6">
        <w:rPr>
          <w:lang w:val="en-GB"/>
        </w:rPr>
        <w:t>z</w:t>
      </w:r>
      <w:r w:rsidR="0072350A" w:rsidRPr="00101DE6">
        <w:rPr>
          <w:lang w:val="en-GB"/>
        </w:rPr>
        <w:t>ed in 1945, they</w:t>
      </w:r>
      <w:r w:rsidR="007F5F2D" w:rsidRPr="00101DE6">
        <w:rPr>
          <w:lang w:val="en-GB"/>
        </w:rPr>
        <w:t xml:space="preserve"> are</w:t>
      </w:r>
      <w:r w:rsidR="00AD0B70" w:rsidRPr="00101DE6">
        <w:rPr>
          <w:lang w:val="en-GB"/>
        </w:rPr>
        <w:t xml:space="preserve"> the</w:t>
      </w:r>
      <w:r w:rsidR="007F5F2D" w:rsidRPr="00101DE6">
        <w:rPr>
          <w:lang w:val="en-GB"/>
        </w:rPr>
        <w:t xml:space="preserve"> victims of a violation by the Czech Republi</w:t>
      </w:r>
      <w:r w:rsidR="0072350A" w:rsidRPr="00101DE6">
        <w:rPr>
          <w:lang w:val="en-GB"/>
        </w:rPr>
        <w:t xml:space="preserve">c of their rights under </w:t>
      </w:r>
      <w:r w:rsidR="00B37284" w:rsidRPr="00101DE6">
        <w:rPr>
          <w:lang w:val="en-GB"/>
        </w:rPr>
        <w:t>article</w:t>
      </w:r>
      <w:r w:rsidR="00AD0B70" w:rsidRPr="00101DE6">
        <w:rPr>
          <w:lang w:val="en-GB"/>
        </w:rPr>
        <w:t>s</w:t>
      </w:r>
      <w:r w:rsidR="00B37284" w:rsidRPr="00101DE6">
        <w:rPr>
          <w:lang w:val="en-GB"/>
        </w:rPr>
        <w:t> </w:t>
      </w:r>
      <w:r w:rsidR="00A34CAE" w:rsidRPr="00101DE6">
        <w:rPr>
          <w:lang w:val="en-GB"/>
        </w:rPr>
        <w:t>2</w:t>
      </w:r>
      <w:r w:rsidR="00502CDF" w:rsidRPr="00101DE6">
        <w:rPr>
          <w:lang w:val="en-GB"/>
        </w:rPr>
        <w:t> (</w:t>
      </w:r>
      <w:r w:rsidR="00A34CAE" w:rsidRPr="00101DE6">
        <w:rPr>
          <w:lang w:val="en-GB"/>
        </w:rPr>
        <w:t>3</w:t>
      </w:r>
      <w:r w:rsidR="00502CDF" w:rsidRPr="00101DE6">
        <w:rPr>
          <w:lang w:val="en-GB"/>
        </w:rPr>
        <w:t>)</w:t>
      </w:r>
      <w:r w:rsidR="00A34CAE" w:rsidRPr="00101DE6">
        <w:rPr>
          <w:lang w:val="en-GB"/>
        </w:rPr>
        <w:t xml:space="preserve"> and </w:t>
      </w:r>
      <w:r w:rsidR="007F5F2D" w:rsidRPr="00101DE6">
        <w:rPr>
          <w:lang w:val="en-GB"/>
        </w:rPr>
        <w:lastRenderedPageBreak/>
        <w:t>14</w:t>
      </w:r>
      <w:r w:rsidR="00AD0B70" w:rsidRPr="00101DE6">
        <w:rPr>
          <w:lang w:val="en-GB"/>
        </w:rPr>
        <w:t> </w:t>
      </w:r>
      <w:r w:rsidR="00502CDF" w:rsidRPr="00101DE6">
        <w:rPr>
          <w:lang w:val="en-GB"/>
        </w:rPr>
        <w:t>(</w:t>
      </w:r>
      <w:r w:rsidR="007F5F2D" w:rsidRPr="00101DE6">
        <w:rPr>
          <w:lang w:val="en-GB"/>
        </w:rPr>
        <w:t>1</w:t>
      </w:r>
      <w:r w:rsidR="00502CDF" w:rsidRPr="00101DE6">
        <w:rPr>
          <w:lang w:val="en-GB"/>
        </w:rPr>
        <w:t>)</w:t>
      </w:r>
      <w:r w:rsidR="00002A2B" w:rsidRPr="00101DE6">
        <w:rPr>
          <w:lang w:val="en-GB"/>
        </w:rPr>
        <w:t>,</w:t>
      </w:r>
      <w:r w:rsidR="007F5F2D" w:rsidRPr="00101DE6">
        <w:rPr>
          <w:lang w:val="en-GB"/>
        </w:rPr>
        <w:t xml:space="preserve"> read</w:t>
      </w:r>
      <w:r w:rsidR="00BB28C1" w:rsidRPr="00101DE6">
        <w:rPr>
          <w:lang w:val="en-GB"/>
        </w:rPr>
        <w:t xml:space="preserve"> alone and</w:t>
      </w:r>
      <w:r w:rsidR="007F5F2D" w:rsidRPr="00101DE6">
        <w:rPr>
          <w:lang w:val="en-GB"/>
        </w:rPr>
        <w:t xml:space="preserve"> in conjunctio</w:t>
      </w:r>
      <w:r w:rsidR="00BB28C1" w:rsidRPr="00101DE6">
        <w:rPr>
          <w:lang w:val="en-GB"/>
        </w:rPr>
        <w:t xml:space="preserve">n with </w:t>
      </w:r>
      <w:r w:rsidR="00B37284" w:rsidRPr="00101DE6">
        <w:rPr>
          <w:lang w:val="en-GB"/>
        </w:rPr>
        <w:t>article</w:t>
      </w:r>
      <w:r w:rsidR="000F08B0" w:rsidRPr="00101DE6">
        <w:rPr>
          <w:lang w:val="en-GB"/>
        </w:rPr>
        <w:t>s</w:t>
      </w:r>
      <w:r w:rsidR="00B37284" w:rsidRPr="00101DE6">
        <w:rPr>
          <w:lang w:val="en-GB"/>
        </w:rPr>
        <w:t> </w:t>
      </w:r>
      <w:r w:rsidR="00BB28C1" w:rsidRPr="00101DE6">
        <w:rPr>
          <w:lang w:val="en-GB"/>
        </w:rPr>
        <w:t>2</w:t>
      </w:r>
      <w:r w:rsidR="00502CDF" w:rsidRPr="00101DE6">
        <w:rPr>
          <w:lang w:val="en-GB"/>
        </w:rPr>
        <w:t> (</w:t>
      </w:r>
      <w:r w:rsidR="00BB28C1" w:rsidRPr="00101DE6">
        <w:rPr>
          <w:lang w:val="en-GB"/>
        </w:rPr>
        <w:t>1</w:t>
      </w:r>
      <w:r w:rsidR="00502CDF" w:rsidRPr="00101DE6">
        <w:rPr>
          <w:lang w:val="en-GB"/>
        </w:rPr>
        <w:t>)</w:t>
      </w:r>
      <w:r w:rsidR="00BB28C1" w:rsidRPr="00101DE6">
        <w:rPr>
          <w:lang w:val="en-GB"/>
        </w:rPr>
        <w:t xml:space="preserve"> </w:t>
      </w:r>
      <w:r w:rsidR="007F5F2D" w:rsidRPr="00101DE6">
        <w:rPr>
          <w:lang w:val="en-GB"/>
        </w:rPr>
        <w:t>and</w:t>
      </w:r>
      <w:r w:rsidR="00BB28C1" w:rsidRPr="00101DE6">
        <w:rPr>
          <w:lang w:val="en-GB"/>
        </w:rPr>
        <w:t xml:space="preserve"> </w:t>
      </w:r>
      <w:r w:rsidR="007F5F2D" w:rsidRPr="00101DE6">
        <w:rPr>
          <w:lang w:val="en-GB"/>
        </w:rPr>
        <w:t>26</w:t>
      </w:r>
      <w:r w:rsidR="005A6466" w:rsidRPr="00101DE6">
        <w:rPr>
          <w:lang w:val="en-GB"/>
        </w:rPr>
        <w:t>,</w:t>
      </w:r>
      <w:r w:rsidR="007F5F2D" w:rsidRPr="00101DE6">
        <w:rPr>
          <w:lang w:val="en-GB"/>
        </w:rPr>
        <w:t xml:space="preserve"> of the Covenant</w:t>
      </w:r>
      <w:r w:rsidR="00BB28C1" w:rsidRPr="00101DE6">
        <w:rPr>
          <w:lang w:val="en-GB"/>
        </w:rPr>
        <w:t>.</w:t>
      </w:r>
      <w:r w:rsidR="00AF61E9" w:rsidRPr="00101DE6">
        <w:rPr>
          <w:sz w:val="18"/>
          <w:vertAlign w:val="superscript"/>
          <w:lang w:val="en-GB"/>
        </w:rPr>
        <w:footnoteReference w:id="6"/>
      </w:r>
      <w:r w:rsidR="007F5F2D" w:rsidRPr="00101DE6">
        <w:rPr>
          <w:lang w:val="en-GB"/>
        </w:rPr>
        <w:t xml:space="preserve"> The author is not represented.</w:t>
      </w:r>
      <w:r w:rsidR="006521E4" w:rsidRPr="00101DE6">
        <w:rPr>
          <w:lang w:val="en-GB"/>
        </w:rPr>
        <w:t xml:space="preserve"> </w:t>
      </w:r>
    </w:p>
    <w:p w14:paraId="15878F1D" w14:textId="77777777" w:rsidR="00971D35" w:rsidRPr="00101DE6" w:rsidRDefault="00551F71" w:rsidP="00DB7C0A">
      <w:pPr>
        <w:pStyle w:val="H23G"/>
      </w:pPr>
      <w:r w:rsidRPr="00101DE6">
        <w:tab/>
      </w:r>
      <w:r w:rsidRPr="00101DE6">
        <w:tab/>
      </w:r>
      <w:r w:rsidR="00EC7CD8" w:rsidRPr="00101DE6">
        <w:t>Factual background</w:t>
      </w:r>
    </w:p>
    <w:p w14:paraId="0C89F8B8" w14:textId="77777777" w:rsidR="00EA1DD4" w:rsidRPr="00101DE6" w:rsidRDefault="00971D35" w:rsidP="00663AC6">
      <w:pPr>
        <w:pStyle w:val="SingleTxtG"/>
        <w:rPr>
          <w:lang w:val="en-GB"/>
        </w:rPr>
      </w:pPr>
      <w:r w:rsidRPr="00101DE6">
        <w:rPr>
          <w:lang w:val="en-GB"/>
        </w:rPr>
        <w:t>2.1</w:t>
      </w:r>
      <w:r w:rsidRPr="00101DE6">
        <w:rPr>
          <w:lang w:val="en-GB"/>
        </w:rPr>
        <w:tab/>
      </w:r>
      <w:r w:rsidR="00E65B75" w:rsidRPr="00101DE6">
        <w:rPr>
          <w:lang w:val="en-GB"/>
        </w:rPr>
        <w:t>The author’s father</w:t>
      </w:r>
      <w:r w:rsidR="00801E93" w:rsidRPr="00101DE6">
        <w:rPr>
          <w:lang w:val="en-GB"/>
        </w:rPr>
        <w:t xml:space="preserve">, </w:t>
      </w:r>
      <w:r w:rsidR="000A002D" w:rsidRPr="00101DE6">
        <w:rPr>
          <w:lang w:val="en-GB"/>
        </w:rPr>
        <w:t>J</w:t>
      </w:r>
      <w:r w:rsidR="00801E93" w:rsidRPr="00101DE6">
        <w:rPr>
          <w:lang w:val="en-GB"/>
        </w:rPr>
        <w:t>,</w:t>
      </w:r>
      <w:r w:rsidR="00E65B75" w:rsidRPr="00101DE6">
        <w:rPr>
          <w:lang w:val="en-GB"/>
        </w:rPr>
        <w:t xml:space="preserve"> </w:t>
      </w:r>
      <w:r w:rsidR="007F5F2D" w:rsidRPr="00101DE6">
        <w:rPr>
          <w:lang w:val="en-GB"/>
        </w:rPr>
        <w:t xml:space="preserve">owned a </w:t>
      </w:r>
      <w:r w:rsidR="00AE013B" w:rsidRPr="00101DE6">
        <w:rPr>
          <w:lang w:val="en-GB"/>
        </w:rPr>
        <w:t>knit</w:t>
      </w:r>
      <w:r w:rsidR="00AD0B70" w:rsidRPr="00101DE6">
        <w:rPr>
          <w:lang w:val="en-GB"/>
        </w:rPr>
        <w:t>wear</w:t>
      </w:r>
      <w:r w:rsidR="00AE013B" w:rsidRPr="00101DE6">
        <w:rPr>
          <w:lang w:val="en-GB"/>
        </w:rPr>
        <w:t xml:space="preserve"> factory</w:t>
      </w:r>
      <w:r w:rsidR="007F5F2D" w:rsidRPr="00101DE6">
        <w:rPr>
          <w:lang w:val="en-GB"/>
        </w:rPr>
        <w:t xml:space="preserve"> in Ro</w:t>
      </w:r>
      <w:r w:rsidR="00B03F8A" w:rsidRPr="00101DE6">
        <w:rPr>
          <w:lang w:val="en-GB"/>
        </w:rPr>
        <w:t>ž</w:t>
      </w:r>
      <w:r w:rsidR="007F5F2D" w:rsidRPr="00101DE6">
        <w:rPr>
          <w:lang w:val="en-GB"/>
        </w:rPr>
        <w:t>nov pod Radho</w:t>
      </w:r>
      <w:r w:rsidR="00B03F8A" w:rsidRPr="00101DE6">
        <w:rPr>
          <w:lang w:val="en-GB"/>
        </w:rPr>
        <w:t>š</w:t>
      </w:r>
      <w:r w:rsidR="007F5F2D" w:rsidRPr="00101DE6">
        <w:rPr>
          <w:lang w:val="en-GB"/>
        </w:rPr>
        <w:t>t</w:t>
      </w:r>
      <w:r w:rsidR="00B03F8A" w:rsidRPr="00101DE6">
        <w:rPr>
          <w:lang w:val="en-GB"/>
        </w:rPr>
        <w:t>ě</w:t>
      </w:r>
      <w:r w:rsidR="007F5F2D" w:rsidRPr="00101DE6">
        <w:rPr>
          <w:lang w:val="en-GB"/>
        </w:rPr>
        <w:t xml:space="preserve">m, now part of the Czech Republic. He died on 9 March 1979, leaving </w:t>
      </w:r>
      <w:r w:rsidR="00E65B75" w:rsidRPr="00101DE6">
        <w:rPr>
          <w:lang w:val="en-GB"/>
        </w:rPr>
        <w:t xml:space="preserve">as his heirs </w:t>
      </w:r>
      <w:r w:rsidR="007F5F2D" w:rsidRPr="00101DE6">
        <w:rPr>
          <w:lang w:val="en-GB"/>
        </w:rPr>
        <w:t xml:space="preserve">his widow, </w:t>
      </w:r>
      <w:r w:rsidR="000A002D" w:rsidRPr="00101DE6">
        <w:rPr>
          <w:lang w:val="en-GB"/>
        </w:rPr>
        <w:t>Y</w:t>
      </w:r>
      <w:r w:rsidR="008803D1" w:rsidRPr="00101DE6">
        <w:rPr>
          <w:lang w:val="en-GB"/>
        </w:rPr>
        <w:t>,</w:t>
      </w:r>
      <w:r w:rsidR="00FB5718" w:rsidRPr="00101DE6">
        <w:rPr>
          <w:lang w:val="en-GB"/>
        </w:rPr>
        <w:t xml:space="preserve"> and his children (</w:t>
      </w:r>
      <w:r w:rsidR="007F5F2D" w:rsidRPr="00101DE6">
        <w:rPr>
          <w:lang w:val="en-GB"/>
        </w:rPr>
        <w:t xml:space="preserve">the author, </w:t>
      </w:r>
      <w:r w:rsidR="000A002D" w:rsidRPr="00101DE6">
        <w:rPr>
          <w:lang w:val="en-GB"/>
        </w:rPr>
        <w:t>Z</w:t>
      </w:r>
      <w:r w:rsidR="007F5F2D" w:rsidRPr="00101DE6">
        <w:rPr>
          <w:lang w:val="en-GB"/>
        </w:rPr>
        <w:t xml:space="preserve"> and </w:t>
      </w:r>
      <w:r w:rsidR="000A002D" w:rsidRPr="00101DE6">
        <w:rPr>
          <w:lang w:val="en-GB"/>
        </w:rPr>
        <w:t>A</w:t>
      </w:r>
      <w:r w:rsidR="00FB5718" w:rsidRPr="00101DE6">
        <w:rPr>
          <w:lang w:val="en-GB"/>
        </w:rPr>
        <w:t>)</w:t>
      </w:r>
      <w:r w:rsidR="00002A2B" w:rsidRPr="00101DE6">
        <w:rPr>
          <w:lang w:val="en-GB"/>
        </w:rPr>
        <w:t>.</w:t>
      </w:r>
      <w:r w:rsidR="007F5F2D" w:rsidRPr="00101DE6">
        <w:rPr>
          <w:lang w:val="en-GB"/>
        </w:rPr>
        <w:t xml:space="preserve"> In 1946, </w:t>
      </w:r>
      <w:r w:rsidR="00E65B75" w:rsidRPr="00101DE6">
        <w:rPr>
          <w:lang w:val="en-GB"/>
        </w:rPr>
        <w:t>the factory</w:t>
      </w:r>
      <w:r w:rsidR="00FB5718" w:rsidRPr="00101DE6">
        <w:rPr>
          <w:lang w:val="en-GB"/>
        </w:rPr>
        <w:t xml:space="preserve"> was nationali</w:t>
      </w:r>
      <w:r w:rsidR="000F08B0" w:rsidRPr="00101DE6">
        <w:rPr>
          <w:lang w:val="en-GB"/>
        </w:rPr>
        <w:t>z</w:t>
      </w:r>
      <w:r w:rsidR="007F5F2D" w:rsidRPr="00101DE6">
        <w:rPr>
          <w:lang w:val="en-GB"/>
        </w:rPr>
        <w:t>ed under</w:t>
      </w:r>
      <w:r w:rsidR="009358D2" w:rsidRPr="00101DE6">
        <w:rPr>
          <w:lang w:val="en-GB"/>
        </w:rPr>
        <w:t xml:space="preserve"> </w:t>
      </w:r>
      <w:r w:rsidR="007F5F2D" w:rsidRPr="00101DE6">
        <w:rPr>
          <w:lang w:val="en-GB"/>
        </w:rPr>
        <w:t>Decree</w:t>
      </w:r>
      <w:r w:rsidR="00353F80" w:rsidRPr="00101DE6">
        <w:rPr>
          <w:lang w:val="en-GB"/>
        </w:rPr>
        <w:t xml:space="preserve"> No. </w:t>
      </w:r>
      <w:r w:rsidR="007F5F2D" w:rsidRPr="00101DE6">
        <w:rPr>
          <w:lang w:val="en-GB"/>
        </w:rPr>
        <w:t>100/1945</w:t>
      </w:r>
      <w:r w:rsidR="00002A2B" w:rsidRPr="00101DE6">
        <w:rPr>
          <w:lang w:val="en-GB"/>
        </w:rPr>
        <w:t>,</w:t>
      </w:r>
      <w:r w:rsidR="007F5F2D" w:rsidRPr="00101DE6">
        <w:rPr>
          <w:lang w:val="en-GB"/>
        </w:rPr>
        <w:t xml:space="preserve"> </w:t>
      </w:r>
      <w:r w:rsidR="007B7F05" w:rsidRPr="00101DE6">
        <w:rPr>
          <w:lang w:val="en-GB"/>
        </w:rPr>
        <w:t xml:space="preserve">as </w:t>
      </w:r>
      <w:r w:rsidR="009358D2" w:rsidRPr="00101DE6">
        <w:rPr>
          <w:lang w:val="en-GB"/>
        </w:rPr>
        <w:t>it had</w:t>
      </w:r>
      <w:r w:rsidR="007F5F2D" w:rsidRPr="00101DE6">
        <w:rPr>
          <w:lang w:val="en-GB"/>
        </w:rPr>
        <w:t xml:space="preserve"> more than 400 employees and belong</w:t>
      </w:r>
      <w:r w:rsidR="009358D2" w:rsidRPr="00101DE6">
        <w:rPr>
          <w:lang w:val="en-GB"/>
        </w:rPr>
        <w:t>ed</w:t>
      </w:r>
      <w:r w:rsidR="007F5F2D" w:rsidRPr="00101DE6">
        <w:rPr>
          <w:lang w:val="en-GB"/>
        </w:rPr>
        <w:t xml:space="preserve"> to a certain branch of the economy. </w:t>
      </w:r>
      <w:r w:rsidR="00FB5718" w:rsidRPr="00101DE6">
        <w:rPr>
          <w:lang w:val="en-GB"/>
        </w:rPr>
        <w:t xml:space="preserve">Under </w:t>
      </w:r>
      <w:r w:rsidR="00B37284" w:rsidRPr="00101DE6">
        <w:rPr>
          <w:lang w:val="en-GB"/>
        </w:rPr>
        <w:t>article </w:t>
      </w:r>
      <w:r w:rsidR="007F5F2D" w:rsidRPr="00101DE6">
        <w:rPr>
          <w:lang w:val="en-GB"/>
        </w:rPr>
        <w:t xml:space="preserve">8 of the </w:t>
      </w:r>
      <w:r w:rsidR="00663AC6" w:rsidRPr="00101DE6">
        <w:rPr>
          <w:lang w:val="en-GB"/>
        </w:rPr>
        <w:t>D</w:t>
      </w:r>
      <w:r w:rsidR="00E65B75" w:rsidRPr="00101DE6">
        <w:rPr>
          <w:lang w:val="en-GB"/>
        </w:rPr>
        <w:t>ecree</w:t>
      </w:r>
      <w:r w:rsidR="00FB5718" w:rsidRPr="00101DE6">
        <w:rPr>
          <w:lang w:val="en-GB"/>
        </w:rPr>
        <w:t>, the owner of nationali</w:t>
      </w:r>
      <w:r w:rsidR="007B7F05" w:rsidRPr="00101DE6">
        <w:rPr>
          <w:lang w:val="en-GB"/>
        </w:rPr>
        <w:t>z</w:t>
      </w:r>
      <w:r w:rsidR="00FB5718" w:rsidRPr="00101DE6">
        <w:rPr>
          <w:lang w:val="en-GB"/>
        </w:rPr>
        <w:t>ed property was entitled to compensation. H</w:t>
      </w:r>
      <w:r w:rsidR="00B03F8A" w:rsidRPr="00101DE6">
        <w:rPr>
          <w:lang w:val="en-GB"/>
        </w:rPr>
        <w:t xml:space="preserve">owever, </w:t>
      </w:r>
      <w:r w:rsidR="00B37284" w:rsidRPr="00101DE6">
        <w:rPr>
          <w:lang w:val="en-GB"/>
        </w:rPr>
        <w:t>article </w:t>
      </w:r>
      <w:r w:rsidR="00B03F8A" w:rsidRPr="00101DE6">
        <w:rPr>
          <w:lang w:val="en-GB"/>
        </w:rPr>
        <w:t xml:space="preserve">7 of the Decree provided that no compensation </w:t>
      </w:r>
      <w:r w:rsidR="0084479E" w:rsidRPr="00101DE6">
        <w:rPr>
          <w:lang w:val="en-GB"/>
        </w:rPr>
        <w:t>would be</w:t>
      </w:r>
      <w:r w:rsidR="00B03F8A" w:rsidRPr="00101DE6">
        <w:rPr>
          <w:lang w:val="en-GB"/>
        </w:rPr>
        <w:t xml:space="preserve"> paid</w:t>
      </w:r>
      <w:r w:rsidR="0084479E" w:rsidRPr="00101DE6">
        <w:rPr>
          <w:lang w:val="en-GB"/>
        </w:rPr>
        <w:t xml:space="preserve"> to German nationals</w:t>
      </w:r>
      <w:r w:rsidR="007F5F2D" w:rsidRPr="00101DE6">
        <w:rPr>
          <w:lang w:val="en-GB"/>
        </w:rPr>
        <w:t xml:space="preserve"> unless they proved that they had remained </w:t>
      </w:r>
      <w:r w:rsidR="00A143BF" w:rsidRPr="00101DE6">
        <w:rPr>
          <w:lang w:val="en-GB"/>
        </w:rPr>
        <w:t>loyal</w:t>
      </w:r>
      <w:r w:rsidR="007F5F2D" w:rsidRPr="00101DE6">
        <w:rPr>
          <w:lang w:val="en-GB"/>
        </w:rPr>
        <w:t xml:space="preserve"> to the Czechoslovak Republic, </w:t>
      </w:r>
      <w:r w:rsidR="00B34775" w:rsidRPr="00101DE6">
        <w:rPr>
          <w:lang w:val="en-GB"/>
        </w:rPr>
        <w:t xml:space="preserve">had </w:t>
      </w:r>
      <w:r w:rsidR="007F5F2D" w:rsidRPr="00101DE6">
        <w:rPr>
          <w:lang w:val="en-GB"/>
        </w:rPr>
        <w:t xml:space="preserve">never </w:t>
      </w:r>
      <w:r w:rsidR="00A143BF" w:rsidRPr="00101DE6">
        <w:rPr>
          <w:lang w:val="en-GB"/>
        </w:rPr>
        <w:t>committed any offence against</w:t>
      </w:r>
      <w:r w:rsidR="007F5F2D" w:rsidRPr="00101DE6">
        <w:rPr>
          <w:lang w:val="en-GB"/>
        </w:rPr>
        <w:t xml:space="preserve"> the Czech or Slovak </w:t>
      </w:r>
      <w:r w:rsidR="00A143BF" w:rsidRPr="00101DE6">
        <w:rPr>
          <w:lang w:val="en-GB"/>
        </w:rPr>
        <w:t>nations</w:t>
      </w:r>
      <w:r w:rsidR="007F5F2D" w:rsidRPr="00101DE6">
        <w:rPr>
          <w:lang w:val="en-GB"/>
        </w:rPr>
        <w:t xml:space="preserve"> and </w:t>
      </w:r>
      <w:r w:rsidR="00B34775" w:rsidRPr="00101DE6">
        <w:rPr>
          <w:lang w:val="en-GB"/>
        </w:rPr>
        <w:t xml:space="preserve">had </w:t>
      </w:r>
      <w:r w:rsidR="007F5F2D" w:rsidRPr="00101DE6">
        <w:rPr>
          <w:lang w:val="en-GB"/>
        </w:rPr>
        <w:t xml:space="preserve">either </w:t>
      </w:r>
      <w:r w:rsidR="00A143BF" w:rsidRPr="00101DE6">
        <w:rPr>
          <w:lang w:val="en-GB"/>
        </w:rPr>
        <w:t xml:space="preserve">actively participated in the fight for the liberation of the country or suffered under </w:t>
      </w:r>
      <w:r w:rsidR="007F5F2D" w:rsidRPr="00101DE6">
        <w:rPr>
          <w:lang w:val="en-GB"/>
        </w:rPr>
        <w:t xml:space="preserve">Nazi or fascist terror. </w:t>
      </w:r>
      <w:r w:rsidR="006325DF" w:rsidRPr="00101DE6">
        <w:rPr>
          <w:lang w:val="en-GB"/>
        </w:rPr>
        <w:t xml:space="preserve">When the </w:t>
      </w:r>
      <w:r w:rsidR="00FB5718" w:rsidRPr="00101DE6">
        <w:rPr>
          <w:lang w:val="en-GB"/>
        </w:rPr>
        <w:t>knit</w:t>
      </w:r>
      <w:r w:rsidR="00B34775" w:rsidRPr="00101DE6">
        <w:rPr>
          <w:lang w:val="en-GB"/>
        </w:rPr>
        <w:t>wear</w:t>
      </w:r>
      <w:r w:rsidR="006325DF" w:rsidRPr="00101DE6">
        <w:rPr>
          <w:lang w:val="en-GB"/>
        </w:rPr>
        <w:t xml:space="preserve"> factory was nationali</w:t>
      </w:r>
      <w:r w:rsidR="00B34775" w:rsidRPr="00101DE6">
        <w:rPr>
          <w:lang w:val="en-GB"/>
        </w:rPr>
        <w:t>z</w:t>
      </w:r>
      <w:r w:rsidR="006325DF" w:rsidRPr="00101DE6">
        <w:rPr>
          <w:lang w:val="en-GB"/>
        </w:rPr>
        <w:t xml:space="preserve">ed, compensation was </w:t>
      </w:r>
      <w:r w:rsidR="00B34775" w:rsidRPr="00101DE6">
        <w:rPr>
          <w:lang w:val="en-GB"/>
        </w:rPr>
        <w:t xml:space="preserve">not </w:t>
      </w:r>
      <w:r w:rsidR="006325DF" w:rsidRPr="00101DE6">
        <w:rPr>
          <w:lang w:val="en-GB"/>
        </w:rPr>
        <w:t>paid</w:t>
      </w:r>
      <w:r w:rsidR="00B34775" w:rsidRPr="00101DE6">
        <w:rPr>
          <w:lang w:val="en-GB"/>
        </w:rPr>
        <w:t xml:space="preserve">, </w:t>
      </w:r>
      <w:r w:rsidR="006325DF" w:rsidRPr="00101DE6">
        <w:rPr>
          <w:lang w:val="en-GB"/>
        </w:rPr>
        <w:t xml:space="preserve">nor </w:t>
      </w:r>
      <w:r w:rsidR="00B34775" w:rsidRPr="00101DE6">
        <w:rPr>
          <w:lang w:val="en-GB"/>
        </w:rPr>
        <w:t xml:space="preserve">was it </w:t>
      </w:r>
      <w:r w:rsidR="006325DF" w:rsidRPr="00101DE6">
        <w:rPr>
          <w:lang w:val="en-GB"/>
        </w:rPr>
        <w:t xml:space="preserve">refused. </w:t>
      </w:r>
      <w:r w:rsidR="007F5F2D" w:rsidRPr="00101DE6">
        <w:rPr>
          <w:lang w:val="en-GB"/>
        </w:rPr>
        <w:t>I</w:t>
      </w:r>
      <w:r w:rsidR="00FB5718" w:rsidRPr="00101DE6">
        <w:rPr>
          <w:lang w:val="en-GB"/>
        </w:rPr>
        <w:t>n 1992, the company was privati</w:t>
      </w:r>
      <w:r w:rsidR="00B34775" w:rsidRPr="00101DE6">
        <w:rPr>
          <w:lang w:val="en-GB"/>
        </w:rPr>
        <w:t>z</w:t>
      </w:r>
      <w:r w:rsidR="007F5F2D" w:rsidRPr="00101DE6">
        <w:rPr>
          <w:lang w:val="en-GB"/>
        </w:rPr>
        <w:t xml:space="preserve">ed and now exists under the name </w:t>
      </w:r>
      <w:r w:rsidR="00BB2310" w:rsidRPr="00101DE6">
        <w:rPr>
          <w:lang w:val="en-GB"/>
        </w:rPr>
        <w:t>S</w:t>
      </w:r>
      <w:r w:rsidR="007F5F2D" w:rsidRPr="00101DE6">
        <w:rPr>
          <w:lang w:val="en-GB"/>
        </w:rPr>
        <w:t xml:space="preserve">. </w:t>
      </w:r>
    </w:p>
    <w:p w14:paraId="241772A1" w14:textId="77777777" w:rsidR="00EA1DD4" w:rsidRPr="00101DE6" w:rsidRDefault="00F151F0" w:rsidP="00663AC6">
      <w:pPr>
        <w:pStyle w:val="SingleTxtG"/>
        <w:rPr>
          <w:lang w:val="en-GB"/>
        </w:rPr>
      </w:pPr>
      <w:r w:rsidRPr="00101DE6">
        <w:rPr>
          <w:lang w:val="en-GB"/>
        </w:rPr>
        <w:t>2.2</w:t>
      </w:r>
      <w:r w:rsidRPr="00101DE6">
        <w:rPr>
          <w:lang w:val="en-GB"/>
        </w:rPr>
        <w:tab/>
      </w:r>
      <w:r w:rsidR="007F5F2D" w:rsidRPr="00101DE6">
        <w:rPr>
          <w:lang w:val="en-GB"/>
        </w:rPr>
        <w:t xml:space="preserve">On 24 July </w:t>
      </w:r>
      <w:r w:rsidR="00DD07E2" w:rsidRPr="00101DE6">
        <w:rPr>
          <w:lang w:val="en-GB"/>
        </w:rPr>
        <w:t>2003, the author and his family (</w:t>
      </w:r>
      <w:r w:rsidR="00663AC6" w:rsidRPr="00101DE6">
        <w:rPr>
          <w:lang w:val="en-GB"/>
        </w:rPr>
        <w:t xml:space="preserve">mother and </w:t>
      </w:r>
      <w:r w:rsidR="007F5F2D" w:rsidRPr="00101DE6">
        <w:rPr>
          <w:lang w:val="en-GB"/>
        </w:rPr>
        <w:t>sisters</w:t>
      </w:r>
      <w:r w:rsidR="00DD07E2" w:rsidRPr="00101DE6">
        <w:rPr>
          <w:lang w:val="en-GB"/>
        </w:rPr>
        <w:t>)</w:t>
      </w:r>
      <w:r w:rsidR="007F5F2D" w:rsidRPr="00101DE6">
        <w:rPr>
          <w:lang w:val="en-GB"/>
        </w:rPr>
        <w:t xml:space="preserve"> </w:t>
      </w:r>
      <w:r w:rsidR="00220FCB" w:rsidRPr="00101DE6">
        <w:rPr>
          <w:lang w:val="en-GB"/>
        </w:rPr>
        <w:t>filed</w:t>
      </w:r>
      <w:r w:rsidR="007F5F2D" w:rsidRPr="00101DE6">
        <w:rPr>
          <w:lang w:val="en-GB"/>
        </w:rPr>
        <w:t xml:space="preserve"> </w:t>
      </w:r>
      <w:r w:rsidR="00EC7CD8" w:rsidRPr="00101DE6">
        <w:rPr>
          <w:lang w:val="en-GB"/>
        </w:rPr>
        <w:t>a civil law</w:t>
      </w:r>
      <w:r w:rsidR="00220FCB" w:rsidRPr="00101DE6">
        <w:rPr>
          <w:lang w:val="en-GB"/>
        </w:rPr>
        <w:t>suit</w:t>
      </w:r>
      <w:r w:rsidR="007F5F2D" w:rsidRPr="00101DE6">
        <w:rPr>
          <w:lang w:val="en-GB"/>
        </w:rPr>
        <w:t xml:space="preserve"> against </w:t>
      </w:r>
      <w:r w:rsidR="00BB2310" w:rsidRPr="00101DE6">
        <w:rPr>
          <w:lang w:val="en-GB"/>
        </w:rPr>
        <w:t>S</w:t>
      </w:r>
      <w:r w:rsidR="007F5F2D" w:rsidRPr="00101DE6">
        <w:rPr>
          <w:lang w:val="en-GB"/>
        </w:rPr>
        <w:t xml:space="preserve"> before the Vsetin District Court, claiming that they</w:t>
      </w:r>
      <w:r w:rsidR="0013260F" w:rsidRPr="00101DE6">
        <w:rPr>
          <w:lang w:val="en-GB"/>
        </w:rPr>
        <w:t xml:space="preserve"> were the owners of the company</w:t>
      </w:r>
      <w:r w:rsidR="007F5F2D" w:rsidRPr="00101DE6">
        <w:rPr>
          <w:lang w:val="en-GB"/>
        </w:rPr>
        <w:t xml:space="preserve"> and</w:t>
      </w:r>
      <w:r w:rsidR="002F0204" w:rsidRPr="00101DE6">
        <w:rPr>
          <w:lang w:val="en-GB"/>
        </w:rPr>
        <w:t>,</w:t>
      </w:r>
      <w:r w:rsidR="007F5F2D" w:rsidRPr="00101DE6">
        <w:rPr>
          <w:lang w:val="en-GB"/>
        </w:rPr>
        <w:t xml:space="preserve"> </w:t>
      </w:r>
      <w:r w:rsidR="00801E93" w:rsidRPr="00101DE6">
        <w:rPr>
          <w:lang w:val="en-GB"/>
        </w:rPr>
        <w:t>alternately</w:t>
      </w:r>
      <w:r w:rsidR="002F0204" w:rsidRPr="00101DE6">
        <w:rPr>
          <w:lang w:val="en-GB"/>
        </w:rPr>
        <w:t>,</w:t>
      </w:r>
      <w:r w:rsidR="007F5F2D" w:rsidRPr="00101DE6">
        <w:rPr>
          <w:lang w:val="en-GB"/>
        </w:rPr>
        <w:t xml:space="preserve"> that </w:t>
      </w:r>
      <w:r w:rsidR="000A002D" w:rsidRPr="00101DE6">
        <w:rPr>
          <w:lang w:val="en-GB"/>
        </w:rPr>
        <w:t>J</w:t>
      </w:r>
      <w:r w:rsidR="007F5F2D" w:rsidRPr="00101DE6">
        <w:rPr>
          <w:lang w:val="en-GB"/>
        </w:rPr>
        <w:t xml:space="preserve"> </w:t>
      </w:r>
      <w:r w:rsidR="0013260F" w:rsidRPr="00101DE6">
        <w:rPr>
          <w:lang w:val="en-GB"/>
        </w:rPr>
        <w:t>was</w:t>
      </w:r>
      <w:r w:rsidR="007F5F2D" w:rsidRPr="00101DE6">
        <w:rPr>
          <w:lang w:val="en-GB"/>
        </w:rPr>
        <w:t xml:space="preserve"> the owner</w:t>
      </w:r>
      <w:r w:rsidR="0013260F" w:rsidRPr="00101DE6">
        <w:rPr>
          <w:lang w:val="en-GB"/>
        </w:rPr>
        <w:t xml:space="preserve"> of the company</w:t>
      </w:r>
      <w:r w:rsidR="007F5F2D" w:rsidRPr="00101DE6">
        <w:rPr>
          <w:lang w:val="en-GB"/>
        </w:rPr>
        <w:t xml:space="preserve"> at the time of his death. This claim</w:t>
      </w:r>
      <w:r w:rsidR="00882B33" w:rsidRPr="00101DE6">
        <w:rPr>
          <w:lang w:val="en-GB"/>
        </w:rPr>
        <w:t xml:space="preserve"> </w:t>
      </w:r>
      <w:r w:rsidR="007F5F2D" w:rsidRPr="00101DE6">
        <w:rPr>
          <w:lang w:val="en-GB"/>
        </w:rPr>
        <w:t xml:space="preserve">was based on the assumption that </w:t>
      </w:r>
      <w:r w:rsidR="00882B33" w:rsidRPr="00101DE6">
        <w:rPr>
          <w:lang w:val="en-GB"/>
        </w:rPr>
        <w:t>Decree</w:t>
      </w:r>
      <w:r w:rsidR="00353F80" w:rsidRPr="00101DE6">
        <w:rPr>
          <w:lang w:val="en-GB"/>
        </w:rPr>
        <w:t xml:space="preserve"> No. </w:t>
      </w:r>
      <w:r w:rsidR="00882B33" w:rsidRPr="00101DE6">
        <w:rPr>
          <w:lang w:val="en-GB"/>
        </w:rPr>
        <w:t xml:space="preserve">100/1945 </w:t>
      </w:r>
      <w:r w:rsidR="002F0204" w:rsidRPr="00101DE6">
        <w:rPr>
          <w:lang w:val="en-GB"/>
        </w:rPr>
        <w:t xml:space="preserve">had </w:t>
      </w:r>
      <w:r w:rsidR="0013260F" w:rsidRPr="00101DE6">
        <w:rPr>
          <w:lang w:val="en-GB"/>
        </w:rPr>
        <w:t>not</w:t>
      </w:r>
      <w:r w:rsidR="007F5F2D" w:rsidRPr="00101DE6">
        <w:rPr>
          <w:lang w:val="en-GB"/>
        </w:rPr>
        <w:t xml:space="preserve"> </w:t>
      </w:r>
      <w:r w:rsidR="002F0204" w:rsidRPr="00101DE6">
        <w:rPr>
          <w:lang w:val="en-GB"/>
        </w:rPr>
        <w:t xml:space="preserve">been </w:t>
      </w:r>
      <w:r w:rsidR="007F5F2D" w:rsidRPr="00101DE6">
        <w:rPr>
          <w:lang w:val="en-GB"/>
        </w:rPr>
        <w:t xml:space="preserve">properly applied </w:t>
      </w:r>
      <w:r w:rsidR="00230445" w:rsidRPr="00101DE6">
        <w:rPr>
          <w:lang w:val="en-GB"/>
        </w:rPr>
        <w:t xml:space="preserve">since </w:t>
      </w:r>
      <w:r w:rsidR="007F5F2D" w:rsidRPr="00101DE6">
        <w:rPr>
          <w:lang w:val="en-GB"/>
        </w:rPr>
        <w:t>th</w:t>
      </w:r>
      <w:r w:rsidR="00FB5718" w:rsidRPr="00101DE6">
        <w:rPr>
          <w:lang w:val="en-GB"/>
        </w:rPr>
        <w:t>e edict declaring the nationali</w:t>
      </w:r>
      <w:r w:rsidR="002F0204" w:rsidRPr="00101DE6">
        <w:rPr>
          <w:lang w:val="en-GB"/>
        </w:rPr>
        <w:t>z</w:t>
      </w:r>
      <w:r w:rsidR="007F5F2D" w:rsidRPr="00101DE6">
        <w:rPr>
          <w:lang w:val="en-GB"/>
        </w:rPr>
        <w:t xml:space="preserve">ation of the company </w:t>
      </w:r>
      <w:r w:rsidR="002F0204" w:rsidRPr="00101DE6">
        <w:rPr>
          <w:lang w:val="en-GB"/>
        </w:rPr>
        <w:t xml:space="preserve">had </w:t>
      </w:r>
      <w:r w:rsidR="0013260F" w:rsidRPr="00101DE6">
        <w:rPr>
          <w:lang w:val="en-GB"/>
        </w:rPr>
        <w:t>not</w:t>
      </w:r>
      <w:r w:rsidR="007F5F2D" w:rsidRPr="00101DE6">
        <w:rPr>
          <w:lang w:val="en-GB"/>
        </w:rPr>
        <w:t xml:space="preserve"> </w:t>
      </w:r>
      <w:r w:rsidR="002F0204" w:rsidRPr="00101DE6">
        <w:rPr>
          <w:lang w:val="en-GB"/>
        </w:rPr>
        <w:t xml:space="preserve">been </w:t>
      </w:r>
      <w:r w:rsidR="007F5F2D" w:rsidRPr="00101DE6">
        <w:rPr>
          <w:lang w:val="en-GB"/>
        </w:rPr>
        <w:t xml:space="preserve">signed by the competent </w:t>
      </w:r>
      <w:r w:rsidR="00FF1431" w:rsidRPr="00101DE6">
        <w:rPr>
          <w:lang w:val="en-GB"/>
        </w:rPr>
        <w:t>m</w:t>
      </w:r>
      <w:r w:rsidR="007F5F2D" w:rsidRPr="00101DE6">
        <w:rPr>
          <w:lang w:val="en-GB"/>
        </w:rPr>
        <w:t xml:space="preserve">inister. The </w:t>
      </w:r>
      <w:r w:rsidR="00220FCB" w:rsidRPr="00101DE6">
        <w:rPr>
          <w:lang w:val="en-GB"/>
        </w:rPr>
        <w:t xml:space="preserve">District </w:t>
      </w:r>
      <w:r w:rsidR="007F5F2D" w:rsidRPr="00101DE6">
        <w:rPr>
          <w:lang w:val="en-GB"/>
        </w:rPr>
        <w:t xml:space="preserve">Court, while acknowledging that the author and his family were indeed </w:t>
      </w:r>
      <w:r w:rsidR="000A002D" w:rsidRPr="00101DE6">
        <w:rPr>
          <w:lang w:val="en-GB"/>
        </w:rPr>
        <w:t>J’s</w:t>
      </w:r>
      <w:r w:rsidR="007F5F2D" w:rsidRPr="00101DE6">
        <w:rPr>
          <w:lang w:val="en-GB"/>
        </w:rPr>
        <w:t xml:space="preserve"> heirs and had a strong legal interest in making their claims, rejected </w:t>
      </w:r>
      <w:r w:rsidR="00220FCB" w:rsidRPr="00101DE6">
        <w:rPr>
          <w:lang w:val="en-GB"/>
        </w:rPr>
        <w:t>the lawsuit</w:t>
      </w:r>
      <w:r w:rsidR="007F5F2D" w:rsidRPr="00101DE6">
        <w:rPr>
          <w:lang w:val="en-GB"/>
        </w:rPr>
        <w:t xml:space="preserve"> on 20 September 2006 on the ground that t</w:t>
      </w:r>
      <w:r w:rsidR="00FB5718" w:rsidRPr="00101DE6">
        <w:rPr>
          <w:lang w:val="en-GB"/>
        </w:rPr>
        <w:t>he announcement of the company’s nationali</w:t>
      </w:r>
      <w:r w:rsidR="002F0204" w:rsidRPr="00101DE6">
        <w:rPr>
          <w:lang w:val="en-GB"/>
        </w:rPr>
        <w:t>z</w:t>
      </w:r>
      <w:r w:rsidR="00FB5718" w:rsidRPr="00101DE6">
        <w:rPr>
          <w:lang w:val="en-GB"/>
        </w:rPr>
        <w:t>ation</w:t>
      </w:r>
      <w:r w:rsidR="007F5F2D" w:rsidRPr="00101DE6">
        <w:rPr>
          <w:lang w:val="en-GB"/>
        </w:rPr>
        <w:t xml:space="preserve"> in the </w:t>
      </w:r>
      <w:r w:rsidR="007F5F2D" w:rsidRPr="00101DE6">
        <w:rPr>
          <w:i/>
          <w:lang w:val="en-GB"/>
        </w:rPr>
        <w:t>Official Gazette</w:t>
      </w:r>
      <w:r w:rsidR="007F5F2D" w:rsidRPr="00101DE6">
        <w:rPr>
          <w:lang w:val="en-GB"/>
        </w:rPr>
        <w:t xml:space="preserve"> </w:t>
      </w:r>
      <w:r w:rsidR="00FB5718" w:rsidRPr="00101DE6">
        <w:rPr>
          <w:lang w:val="en-GB"/>
        </w:rPr>
        <w:t>sufficed</w:t>
      </w:r>
      <w:r w:rsidR="00220FCB" w:rsidRPr="00101DE6">
        <w:rPr>
          <w:lang w:val="en-GB"/>
        </w:rPr>
        <w:t xml:space="preserve"> for proper procedural application of the </w:t>
      </w:r>
      <w:r w:rsidR="00B64847" w:rsidRPr="00101DE6">
        <w:rPr>
          <w:lang w:val="en-GB"/>
        </w:rPr>
        <w:t>D</w:t>
      </w:r>
      <w:r w:rsidR="00220FCB" w:rsidRPr="00101DE6">
        <w:rPr>
          <w:lang w:val="en-GB"/>
        </w:rPr>
        <w:t>ecree</w:t>
      </w:r>
      <w:r w:rsidR="007F5F2D" w:rsidRPr="00101DE6">
        <w:rPr>
          <w:lang w:val="en-GB"/>
        </w:rPr>
        <w:t xml:space="preserve">. On 20 October 2006, </w:t>
      </w:r>
      <w:r w:rsidR="0084479E" w:rsidRPr="00101DE6">
        <w:rPr>
          <w:lang w:val="en-GB"/>
        </w:rPr>
        <w:t>the author</w:t>
      </w:r>
      <w:r w:rsidR="00817522" w:rsidRPr="00101DE6">
        <w:rPr>
          <w:lang w:val="en-GB"/>
        </w:rPr>
        <w:t xml:space="preserve"> and his family</w:t>
      </w:r>
      <w:r w:rsidR="007F5F2D" w:rsidRPr="00101DE6">
        <w:rPr>
          <w:lang w:val="en-GB"/>
        </w:rPr>
        <w:t xml:space="preserve"> </w:t>
      </w:r>
      <w:r w:rsidR="00C37B50" w:rsidRPr="00101DE6">
        <w:rPr>
          <w:lang w:val="en-GB"/>
        </w:rPr>
        <w:t>filed an appeal before</w:t>
      </w:r>
      <w:r w:rsidR="007F5F2D" w:rsidRPr="00101DE6">
        <w:rPr>
          <w:lang w:val="en-GB"/>
        </w:rPr>
        <w:t xml:space="preserve"> the Regional Court in Ostrava, which</w:t>
      </w:r>
      <w:r w:rsidR="002F0204" w:rsidRPr="00101DE6">
        <w:rPr>
          <w:lang w:val="en-GB"/>
        </w:rPr>
        <w:t>, on 12 October 2007,</w:t>
      </w:r>
      <w:r w:rsidR="007F5F2D" w:rsidRPr="00101DE6">
        <w:rPr>
          <w:lang w:val="en-GB"/>
        </w:rPr>
        <w:t xml:space="preserve"> confirmed the District Court’s decision, but on a different </w:t>
      </w:r>
      <w:r w:rsidR="009358D2" w:rsidRPr="00101DE6">
        <w:rPr>
          <w:lang w:val="en-GB"/>
        </w:rPr>
        <w:t>basis</w:t>
      </w:r>
      <w:r w:rsidR="007F5F2D" w:rsidRPr="00101DE6">
        <w:rPr>
          <w:lang w:val="en-GB"/>
        </w:rPr>
        <w:t xml:space="preserve">. </w:t>
      </w:r>
      <w:r w:rsidR="009358D2" w:rsidRPr="00101DE6">
        <w:rPr>
          <w:lang w:val="en-GB"/>
        </w:rPr>
        <w:t>The Regional Court</w:t>
      </w:r>
      <w:r w:rsidR="00FB5718" w:rsidRPr="00101DE6">
        <w:rPr>
          <w:lang w:val="en-GB"/>
        </w:rPr>
        <w:t xml:space="preserve"> rejected the notion that the family had a strong legal interest in the case and based</w:t>
      </w:r>
      <w:r w:rsidR="007F5F2D" w:rsidRPr="00101DE6">
        <w:rPr>
          <w:lang w:val="en-GB"/>
        </w:rPr>
        <w:t xml:space="preserve"> its decision on </w:t>
      </w:r>
      <w:r w:rsidR="005E67C7" w:rsidRPr="00101DE6">
        <w:rPr>
          <w:lang w:val="en-GB"/>
        </w:rPr>
        <w:t xml:space="preserve">the </w:t>
      </w:r>
      <w:r w:rsidR="007F5F2D" w:rsidRPr="00101DE6">
        <w:rPr>
          <w:lang w:val="en-GB"/>
        </w:rPr>
        <w:t xml:space="preserve">Czech Constitutional Court Opinion </w:t>
      </w:r>
      <w:r w:rsidR="005E67C7" w:rsidRPr="00101DE6">
        <w:rPr>
          <w:lang w:val="en-GB"/>
        </w:rPr>
        <w:t xml:space="preserve">of </w:t>
      </w:r>
      <w:r w:rsidR="007F5F2D" w:rsidRPr="00101DE6">
        <w:rPr>
          <w:lang w:val="en-GB"/>
        </w:rPr>
        <w:t xml:space="preserve">1 November 2005 regarding property confiscated by the State prior to 1948. </w:t>
      </w:r>
      <w:r w:rsidR="005E67C7" w:rsidRPr="00101DE6">
        <w:rPr>
          <w:lang w:val="en-GB"/>
        </w:rPr>
        <w:t>In that</w:t>
      </w:r>
      <w:r w:rsidR="002F0204" w:rsidRPr="00101DE6">
        <w:rPr>
          <w:lang w:val="en-GB"/>
        </w:rPr>
        <w:t xml:space="preserve"> </w:t>
      </w:r>
      <w:r w:rsidR="00E5433B" w:rsidRPr="00101DE6">
        <w:rPr>
          <w:lang w:val="en-GB"/>
        </w:rPr>
        <w:t>Opinion</w:t>
      </w:r>
      <w:r w:rsidR="005E67C7" w:rsidRPr="00101DE6">
        <w:rPr>
          <w:lang w:val="en-GB"/>
        </w:rPr>
        <w:t>, the Court</w:t>
      </w:r>
      <w:r w:rsidR="007F5F2D" w:rsidRPr="00101DE6">
        <w:rPr>
          <w:lang w:val="en-GB"/>
        </w:rPr>
        <w:t xml:space="preserve"> confirm</w:t>
      </w:r>
      <w:r w:rsidR="00EC7CD8" w:rsidRPr="00101DE6">
        <w:rPr>
          <w:lang w:val="en-GB"/>
        </w:rPr>
        <w:t>ed</w:t>
      </w:r>
      <w:r w:rsidR="007F5F2D" w:rsidRPr="00101DE6">
        <w:rPr>
          <w:lang w:val="en-GB"/>
        </w:rPr>
        <w:t xml:space="preserve"> the applicability of </w:t>
      </w:r>
      <w:r w:rsidR="00EC7CD8" w:rsidRPr="00101DE6">
        <w:rPr>
          <w:lang w:val="en-GB"/>
        </w:rPr>
        <w:t xml:space="preserve">the Czech </w:t>
      </w:r>
      <w:r w:rsidR="007F5F2D" w:rsidRPr="00101DE6">
        <w:rPr>
          <w:lang w:val="en-GB"/>
        </w:rPr>
        <w:t>restitution laws</w:t>
      </w:r>
      <w:r w:rsidR="00EC7CD8" w:rsidRPr="00101DE6">
        <w:rPr>
          <w:lang w:val="en-GB"/>
        </w:rPr>
        <w:t xml:space="preserve"> of 1991</w:t>
      </w:r>
      <w:r w:rsidR="007F5F2D" w:rsidRPr="00101DE6">
        <w:rPr>
          <w:lang w:val="en-GB"/>
        </w:rPr>
        <w:t>, according to which it is not possible to successfully claim rights over property confiscated before 25</w:t>
      </w:r>
      <w:r w:rsidR="00400C71" w:rsidRPr="00101DE6">
        <w:rPr>
          <w:lang w:val="en-GB"/>
        </w:rPr>
        <w:t> </w:t>
      </w:r>
      <w:r w:rsidR="007F5F2D" w:rsidRPr="00101DE6">
        <w:rPr>
          <w:lang w:val="en-GB"/>
        </w:rPr>
        <w:t xml:space="preserve">February 1948 </w:t>
      </w:r>
      <w:r w:rsidR="00C37B50" w:rsidRPr="00101DE6">
        <w:rPr>
          <w:lang w:val="en-GB"/>
        </w:rPr>
        <w:t>or to request mitigation or remedy for damage to property that was confiscated prior to that date.</w:t>
      </w:r>
      <w:r w:rsidR="00EC7CD8" w:rsidRPr="00101DE6">
        <w:rPr>
          <w:rStyle w:val="FootnoteReference"/>
          <w:lang w:val="en-GB"/>
        </w:rPr>
        <w:footnoteReference w:id="7"/>
      </w:r>
      <w:r w:rsidR="00E5433B" w:rsidRPr="00101DE6">
        <w:rPr>
          <w:lang w:val="en-GB"/>
        </w:rPr>
        <w:t xml:space="preserve"> </w:t>
      </w:r>
    </w:p>
    <w:p w14:paraId="32953E6A" w14:textId="77777777" w:rsidR="00971D35" w:rsidRPr="00101DE6" w:rsidRDefault="0084479E" w:rsidP="001F345E">
      <w:pPr>
        <w:pStyle w:val="SingleTxtG"/>
        <w:rPr>
          <w:lang w:val="en-GB"/>
        </w:rPr>
      </w:pPr>
      <w:r w:rsidRPr="00101DE6">
        <w:rPr>
          <w:lang w:val="en-GB"/>
        </w:rPr>
        <w:t>2.3</w:t>
      </w:r>
      <w:r w:rsidRPr="00101DE6">
        <w:rPr>
          <w:lang w:val="en-GB"/>
        </w:rPr>
        <w:tab/>
        <w:t>The author</w:t>
      </w:r>
      <w:r w:rsidR="00817522" w:rsidRPr="00101DE6">
        <w:rPr>
          <w:lang w:val="en-GB"/>
        </w:rPr>
        <w:t xml:space="preserve"> and his family</w:t>
      </w:r>
      <w:r w:rsidRPr="00101DE6">
        <w:rPr>
          <w:lang w:val="en-GB"/>
        </w:rPr>
        <w:t xml:space="preserve"> </w:t>
      </w:r>
      <w:r w:rsidR="00E5433B" w:rsidRPr="00101DE6">
        <w:rPr>
          <w:lang w:val="en-GB"/>
        </w:rPr>
        <w:t xml:space="preserve">filed an extraordinary appeal </w:t>
      </w:r>
      <w:r w:rsidR="00DE1D61" w:rsidRPr="00101DE6">
        <w:rPr>
          <w:lang w:val="en-GB"/>
        </w:rPr>
        <w:t xml:space="preserve">on points of law before the Supreme Court. The Supreme Court </w:t>
      </w:r>
      <w:r w:rsidR="00E5433B" w:rsidRPr="00101DE6">
        <w:rPr>
          <w:lang w:val="en-GB"/>
        </w:rPr>
        <w:t>rejected the appeal on 24 March 2009, on the ground that the Regional Court had properly appli</w:t>
      </w:r>
      <w:r w:rsidR="007F5F2D" w:rsidRPr="00101DE6">
        <w:rPr>
          <w:lang w:val="en-GB"/>
        </w:rPr>
        <w:t>ed the law.</w:t>
      </w:r>
      <w:r w:rsidRPr="00101DE6">
        <w:rPr>
          <w:lang w:val="en-GB"/>
        </w:rPr>
        <w:t xml:space="preserve"> On 29 June 2009, the author</w:t>
      </w:r>
      <w:r w:rsidR="00817522" w:rsidRPr="00101DE6">
        <w:rPr>
          <w:lang w:val="en-GB"/>
        </w:rPr>
        <w:t xml:space="preserve"> and his family</w:t>
      </w:r>
      <w:r w:rsidRPr="00101DE6">
        <w:rPr>
          <w:lang w:val="en-GB"/>
        </w:rPr>
        <w:t xml:space="preserve"> </w:t>
      </w:r>
      <w:r w:rsidR="00E5433B" w:rsidRPr="00101DE6">
        <w:rPr>
          <w:lang w:val="en-GB"/>
        </w:rPr>
        <w:t xml:space="preserve">filed </w:t>
      </w:r>
      <w:r w:rsidR="00FD5AA2" w:rsidRPr="00101DE6">
        <w:rPr>
          <w:lang w:val="en-GB"/>
        </w:rPr>
        <w:t>a complaint</w:t>
      </w:r>
      <w:r w:rsidR="00E5433B" w:rsidRPr="00101DE6">
        <w:rPr>
          <w:lang w:val="en-GB"/>
        </w:rPr>
        <w:t xml:space="preserve"> </w:t>
      </w:r>
      <w:r w:rsidR="00C37B50" w:rsidRPr="00101DE6">
        <w:rPr>
          <w:lang w:val="en-GB"/>
        </w:rPr>
        <w:t>before</w:t>
      </w:r>
      <w:r w:rsidR="007F5F2D" w:rsidRPr="00101DE6">
        <w:rPr>
          <w:lang w:val="en-GB"/>
        </w:rPr>
        <w:t xml:space="preserve"> the Czech Constitutional Court. They argued, inter alia</w:t>
      </w:r>
      <w:r w:rsidR="00E5433B" w:rsidRPr="00101DE6">
        <w:rPr>
          <w:lang w:val="en-GB"/>
        </w:rPr>
        <w:t xml:space="preserve">, </w:t>
      </w:r>
      <w:r w:rsidR="007F5F2D" w:rsidRPr="00101DE6">
        <w:rPr>
          <w:lang w:val="en-GB"/>
        </w:rPr>
        <w:t xml:space="preserve">that the Regional Court </w:t>
      </w:r>
      <w:r w:rsidRPr="00101DE6">
        <w:rPr>
          <w:lang w:val="en-GB"/>
        </w:rPr>
        <w:t xml:space="preserve">had </w:t>
      </w:r>
      <w:r w:rsidR="007F5F2D" w:rsidRPr="00101DE6">
        <w:rPr>
          <w:lang w:val="en-GB"/>
        </w:rPr>
        <w:t>denied their attorney the</w:t>
      </w:r>
      <w:r w:rsidR="00EA1DD4" w:rsidRPr="00101DE6">
        <w:rPr>
          <w:lang w:val="en-GB"/>
        </w:rPr>
        <w:t xml:space="preserve"> </w:t>
      </w:r>
      <w:r w:rsidR="00CB4F1B" w:rsidRPr="00101DE6">
        <w:rPr>
          <w:lang w:val="en-GB"/>
        </w:rPr>
        <w:t xml:space="preserve">opportunity </w:t>
      </w:r>
      <w:r w:rsidR="00EA1DD4" w:rsidRPr="00101DE6">
        <w:rPr>
          <w:lang w:val="en-GB"/>
        </w:rPr>
        <w:t xml:space="preserve">to verify whether </w:t>
      </w:r>
      <w:r w:rsidR="0031342A" w:rsidRPr="00101DE6">
        <w:rPr>
          <w:lang w:val="en-GB"/>
        </w:rPr>
        <w:t>the nationali</w:t>
      </w:r>
      <w:r w:rsidR="00DD552B" w:rsidRPr="00101DE6">
        <w:rPr>
          <w:lang w:val="en-GB"/>
        </w:rPr>
        <w:t>z</w:t>
      </w:r>
      <w:r w:rsidR="007F5F2D" w:rsidRPr="00101DE6">
        <w:rPr>
          <w:lang w:val="en-GB"/>
        </w:rPr>
        <w:t xml:space="preserve">ation of the company </w:t>
      </w:r>
      <w:r w:rsidR="00FF1431" w:rsidRPr="00101DE6">
        <w:rPr>
          <w:lang w:val="en-GB"/>
        </w:rPr>
        <w:t xml:space="preserve">had been </w:t>
      </w:r>
      <w:r w:rsidR="007F5F2D" w:rsidRPr="00101DE6">
        <w:rPr>
          <w:lang w:val="en-GB"/>
        </w:rPr>
        <w:t>completed in 1946 with no compensation awarded</w:t>
      </w:r>
      <w:r w:rsidR="00EA1DD4" w:rsidRPr="00101DE6">
        <w:rPr>
          <w:lang w:val="en-GB"/>
        </w:rPr>
        <w:t xml:space="preserve"> or </w:t>
      </w:r>
      <w:r w:rsidR="00FF1431" w:rsidRPr="00101DE6">
        <w:rPr>
          <w:lang w:val="en-GB"/>
        </w:rPr>
        <w:t xml:space="preserve">whether </w:t>
      </w:r>
      <w:r w:rsidR="0031342A" w:rsidRPr="00101DE6">
        <w:rPr>
          <w:lang w:val="en-GB"/>
        </w:rPr>
        <w:t>the nationali</w:t>
      </w:r>
      <w:r w:rsidR="00DD552B" w:rsidRPr="00101DE6">
        <w:rPr>
          <w:lang w:val="en-GB"/>
        </w:rPr>
        <w:t>z</w:t>
      </w:r>
      <w:r w:rsidR="007F5F2D" w:rsidRPr="00101DE6">
        <w:rPr>
          <w:lang w:val="en-GB"/>
        </w:rPr>
        <w:t xml:space="preserve">ation was still ongoing in 1946 </w:t>
      </w:r>
      <w:r w:rsidR="00297693" w:rsidRPr="00101DE6">
        <w:rPr>
          <w:lang w:val="en-GB"/>
        </w:rPr>
        <w:t xml:space="preserve">pending a decision on whether </w:t>
      </w:r>
      <w:r w:rsidR="007F5F2D" w:rsidRPr="00101DE6">
        <w:rPr>
          <w:lang w:val="en-GB"/>
        </w:rPr>
        <w:t>compensation shou</w:t>
      </w:r>
      <w:r w:rsidR="00297693" w:rsidRPr="00101DE6">
        <w:rPr>
          <w:lang w:val="en-GB"/>
        </w:rPr>
        <w:t xml:space="preserve">ld be awarded to </w:t>
      </w:r>
      <w:r w:rsidR="000A002D" w:rsidRPr="00101DE6">
        <w:rPr>
          <w:lang w:val="en-GB"/>
        </w:rPr>
        <w:t>J</w:t>
      </w:r>
      <w:r w:rsidR="00297693" w:rsidRPr="00101DE6">
        <w:rPr>
          <w:lang w:val="en-GB"/>
        </w:rPr>
        <w:t xml:space="preserve"> (</w:t>
      </w:r>
      <w:r w:rsidR="007F5F2D" w:rsidRPr="00101DE6">
        <w:rPr>
          <w:lang w:val="en-GB"/>
        </w:rPr>
        <w:t xml:space="preserve">depending on whether </w:t>
      </w:r>
      <w:r w:rsidR="000A002D" w:rsidRPr="00101DE6">
        <w:rPr>
          <w:lang w:val="en-GB"/>
        </w:rPr>
        <w:t>J</w:t>
      </w:r>
      <w:r w:rsidR="007F5F2D" w:rsidRPr="00101DE6">
        <w:rPr>
          <w:lang w:val="en-GB"/>
        </w:rPr>
        <w:t xml:space="preserve"> </w:t>
      </w:r>
      <w:r w:rsidR="00297693" w:rsidRPr="00101DE6">
        <w:rPr>
          <w:lang w:val="en-GB"/>
        </w:rPr>
        <w:t>could</w:t>
      </w:r>
      <w:r w:rsidR="007F5F2D" w:rsidRPr="00101DE6">
        <w:rPr>
          <w:lang w:val="en-GB"/>
        </w:rPr>
        <w:t xml:space="preserve"> be considered German</w:t>
      </w:r>
      <w:r w:rsidR="00C37B50" w:rsidRPr="00101DE6">
        <w:rPr>
          <w:lang w:val="en-GB"/>
        </w:rPr>
        <w:t xml:space="preserve"> under the terms of Decree</w:t>
      </w:r>
      <w:r w:rsidR="00353F80" w:rsidRPr="00101DE6">
        <w:rPr>
          <w:lang w:val="en-GB"/>
        </w:rPr>
        <w:t xml:space="preserve"> No. </w:t>
      </w:r>
      <w:r w:rsidR="00C37B50" w:rsidRPr="00101DE6">
        <w:rPr>
          <w:lang w:val="en-GB"/>
        </w:rPr>
        <w:t>100</w:t>
      </w:r>
      <w:r w:rsidR="007F5F2D" w:rsidRPr="00101DE6">
        <w:rPr>
          <w:lang w:val="en-GB"/>
        </w:rPr>
        <w:t xml:space="preserve">/1945 or </w:t>
      </w:r>
      <w:r w:rsidR="00FF1431" w:rsidRPr="00101DE6">
        <w:rPr>
          <w:lang w:val="en-GB"/>
        </w:rPr>
        <w:t xml:space="preserve">whether he </w:t>
      </w:r>
      <w:r w:rsidR="00C37B50" w:rsidRPr="00101DE6">
        <w:rPr>
          <w:lang w:val="en-GB"/>
        </w:rPr>
        <w:t xml:space="preserve">would </w:t>
      </w:r>
      <w:r w:rsidR="007F5F2D" w:rsidRPr="00101DE6">
        <w:rPr>
          <w:lang w:val="en-GB"/>
        </w:rPr>
        <w:t xml:space="preserve">benefit from the exception </w:t>
      </w:r>
      <w:r w:rsidR="004E242D" w:rsidRPr="00101DE6">
        <w:rPr>
          <w:lang w:val="en-GB"/>
        </w:rPr>
        <w:t xml:space="preserve">under </w:t>
      </w:r>
      <w:r w:rsidR="00B37284" w:rsidRPr="00101DE6">
        <w:rPr>
          <w:lang w:val="en-GB"/>
        </w:rPr>
        <w:t>article </w:t>
      </w:r>
      <w:r w:rsidR="007F5F2D" w:rsidRPr="00101DE6">
        <w:rPr>
          <w:lang w:val="en-GB"/>
        </w:rPr>
        <w:t>7</w:t>
      </w:r>
      <w:r w:rsidR="00FF1431" w:rsidRPr="00101DE6">
        <w:rPr>
          <w:lang w:val="en-GB"/>
        </w:rPr>
        <w:t xml:space="preserve"> for those who</w:t>
      </w:r>
      <w:r w:rsidR="00C37B50" w:rsidRPr="00101DE6">
        <w:rPr>
          <w:lang w:val="en-GB"/>
        </w:rPr>
        <w:t xml:space="preserve"> </w:t>
      </w:r>
      <w:r w:rsidR="00CB4F1B" w:rsidRPr="00101DE6">
        <w:rPr>
          <w:lang w:val="en-GB"/>
        </w:rPr>
        <w:t xml:space="preserve">had </w:t>
      </w:r>
      <w:r w:rsidR="004E242D" w:rsidRPr="00101DE6">
        <w:rPr>
          <w:lang w:val="en-GB"/>
        </w:rPr>
        <w:t xml:space="preserve">remained </w:t>
      </w:r>
      <w:r w:rsidR="00CB4F1B" w:rsidRPr="00101DE6">
        <w:rPr>
          <w:lang w:val="en-GB"/>
        </w:rPr>
        <w:t xml:space="preserve">loyal </w:t>
      </w:r>
      <w:r w:rsidR="007F5F2D" w:rsidRPr="00101DE6">
        <w:rPr>
          <w:lang w:val="en-GB"/>
        </w:rPr>
        <w:t xml:space="preserve">to the Czech Republic during the </w:t>
      </w:r>
      <w:r w:rsidR="00FF1431" w:rsidRPr="00101DE6">
        <w:rPr>
          <w:lang w:val="en-GB"/>
        </w:rPr>
        <w:t xml:space="preserve">Second </w:t>
      </w:r>
      <w:r w:rsidR="00FF1431" w:rsidRPr="00101DE6">
        <w:rPr>
          <w:lang w:val="en-GB"/>
        </w:rPr>
        <w:lastRenderedPageBreak/>
        <w:t xml:space="preserve">World </w:t>
      </w:r>
      <w:r w:rsidR="007F5F2D" w:rsidRPr="00101DE6">
        <w:rPr>
          <w:lang w:val="en-GB"/>
        </w:rPr>
        <w:t>Wa</w:t>
      </w:r>
      <w:r w:rsidR="00B25950" w:rsidRPr="00101DE6">
        <w:rPr>
          <w:lang w:val="en-GB"/>
        </w:rPr>
        <w:t>r)</w:t>
      </w:r>
      <w:r w:rsidR="00FF1431" w:rsidRPr="00101DE6">
        <w:rPr>
          <w:lang w:val="en-GB"/>
        </w:rPr>
        <w:t>.</w:t>
      </w:r>
      <w:r w:rsidR="007F5F2D" w:rsidRPr="00101DE6">
        <w:rPr>
          <w:lang w:val="en-GB"/>
        </w:rPr>
        <w:t xml:space="preserve"> </w:t>
      </w:r>
      <w:r w:rsidR="00297693" w:rsidRPr="00101DE6">
        <w:rPr>
          <w:lang w:val="en-GB"/>
        </w:rPr>
        <w:t>On 2</w:t>
      </w:r>
      <w:r w:rsidR="00353F80" w:rsidRPr="00101DE6">
        <w:rPr>
          <w:lang w:val="en-GB"/>
        </w:rPr>
        <w:t> </w:t>
      </w:r>
      <w:r w:rsidR="00297693" w:rsidRPr="00101DE6">
        <w:rPr>
          <w:lang w:val="en-GB"/>
        </w:rPr>
        <w:t>September 2009, t</w:t>
      </w:r>
      <w:r w:rsidR="007F5F2D" w:rsidRPr="00101DE6">
        <w:rPr>
          <w:lang w:val="en-GB"/>
        </w:rPr>
        <w:t xml:space="preserve">he Constitutional Court rejected the </w:t>
      </w:r>
      <w:r w:rsidR="00FD5AA2" w:rsidRPr="00101DE6">
        <w:rPr>
          <w:lang w:val="en-GB"/>
        </w:rPr>
        <w:t>complaint</w:t>
      </w:r>
      <w:r w:rsidR="00297693" w:rsidRPr="00101DE6">
        <w:rPr>
          <w:lang w:val="en-GB"/>
        </w:rPr>
        <w:t xml:space="preserve"> as manifestly unfounded</w:t>
      </w:r>
      <w:r w:rsidR="00C37B50" w:rsidRPr="00101DE6">
        <w:rPr>
          <w:lang w:val="en-GB"/>
        </w:rPr>
        <w:t xml:space="preserve">, </w:t>
      </w:r>
      <w:r w:rsidR="00297693" w:rsidRPr="00101DE6">
        <w:rPr>
          <w:lang w:val="en-GB"/>
        </w:rPr>
        <w:t>ruling</w:t>
      </w:r>
      <w:r w:rsidR="00C37B50" w:rsidRPr="00101DE6">
        <w:rPr>
          <w:lang w:val="en-GB"/>
        </w:rPr>
        <w:t xml:space="preserve"> that </w:t>
      </w:r>
      <w:r w:rsidR="007F5F2D" w:rsidRPr="00101DE6">
        <w:rPr>
          <w:lang w:val="en-GB"/>
        </w:rPr>
        <w:t>it wa</w:t>
      </w:r>
      <w:r w:rsidR="00C37B50" w:rsidRPr="00101DE6">
        <w:rPr>
          <w:lang w:val="en-GB"/>
        </w:rPr>
        <w:t xml:space="preserve">s bound by </w:t>
      </w:r>
      <w:r w:rsidR="00FF1431" w:rsidRPr="00101DE6">
        <w:rPr>
          <w:lang w:val="en-GB"/>
        </w:rPr>
        <w:t xml:space="preserve">the provisions of </w:t>
      </w:r>
      <w:r w:rsidR="005E67C7" w:rsidRPr="00101DE6">
        <w:rPr>
          <w:lang w:val="en-GB"/>
        </w:rPr>
        <w:t xml:space="preserve">the </w:t>
      </w:r>
      <w:r w:rsidR="007F5F2D" w:rsidRPr="00101DE6">
        <w:rPr>
          <w:lang w:val="en-GB"/>
        </w:rPr>
        <w:t>Constitutio</w:t>
      </w:r>
      <w:r w:rsidR="00C37B50" w:rsidRPr="00101DE6">
        <w:rPr>
          <w:lang w:val="en-GB"/>
        </w:rPr>
        <w:t xml:space="preserve">nal Court Opinion </w:t>
      </w:r>
      <w:r w:rsidR="005E67C7" w:rsidRPr="00101DE6">
        <w:rPr>
          <w:lang w:val="en-GB"/>
        </w:rPr>
        <w:t>of 2005</w:t>
      </w:r>
      <w:r w:rsidR="007F5F2D" w:rsidRPr="00101DE6">
        <w:rPr>
          <w:lang w:val="en-GB"/>
        </w:rPr>
        <w:t>.</w:t>
      </w:r>
    </w:p>
    <w:p w14:paraId="22883DA1" w14:textId="77777777" w:rsidR="00971D35" w:rsidRPr="00101DE6" w:rsidRDefault="00551F71" w:rsidP="00E45407">
      <w:pPr>
        <w:pStyle w:val="H23G"/>
      </w:pPr>
      <w:r w:rsidRPr="00101DE6">
        <w:tab/>
      </w:r>
      <w:r w:rsidRPr="00101DE6">
        <w:tab/>
      </w:r>
      <w:r w:rsidR="00971D35" w:rsidRPr="00101DE6">
        <w:t xml:space="preserve">The complaint </w:t>
      </w:r>
    </w:p>
    <w:p w14:paraId="5FB10A26" w14:textId="77777777" w:rsidR="00971D35" w:rsidRPr="00101DE6" w:rsidRDefault="00971D35" w:rsidP="000B19AF">
      <w:pPr>
        <w:pStyle w:val="SingleTxtG"/>
        <w:rPr>
          <w:lang w:val="en-GB"/>
        </w:rPr>
      </w:pPr>
      <w:r w:rsidRPr="00101DE6">
        <w:rPr>
          <w:lang w:val="en-GB"/>
        </w:rPr>
        <w:t>3.1</w:t>
      </w:r>
      <w:r w:rsidRPr="00101DE6">
        <w:rPr>
          <w:lang w:val="en-GB"/>
        </w:rPr>
        <w:tab/>
      </w:r>
      <w:r w:rsidR="00EA1DD4" w:rsidRPr="00101DE6">
        <w:rPr>
          <w:lang w:val="en-GB"/>
        </w:rPr>
        <w:t xml:space="preserve">The author </w:t>
      </w:r>
      <w:r w:rsidR="00BB28C1" w:rsidRPr="00101DE6">
        <w:rPr>
          <w:lang w:val="en-GB"/>
        </w:rPr>
        <w:t>asserts that the State party</w:t>
      </w:r>
      <w:r w:rsidR="00A268D8" w:rsidRPr="00101DE6">
        <w:rPr>
          <w:lang w:val="en-GB"/>
        </w:rPr>
        <w:t xml:space="preserve"> has violated his rights and those of his mother and </w:t>
      </w:r>
      <w:r w:rsidR="009E72DE" w:rsidRPr="00101DE6">
        <w:rPr>
          <w:lang w:val="en-GB"/>
        </w:rPr>
        <w:t>sisters</w:t>
      </w:r>
      <w:r w:rsidR="00A268D8" w:rsidRPr="00101DE6">
        <w:rPr>
          <w:lang w:val="en-GB"/>
        </w:rPr>
        <w:t xml:space="preserve"> under </w:t>
      </w:r>
      <w:r w:rsidR="00B37284" w:rsidRPr="00101DE6">
        <w:rPr>
          <w:lang w:val="en-GB"/>
        </w:rPr>
        <w:t>article </w:t>
      </w:r>
      <w:r w:rsidR="00A268D8" w:rsidRPr="00101DE6">
        <w:rPr>
          <w:lang w:val="en-GB"/>
        </w:rPr>
        <w:t>14</w:t>
      </w:r>
      <w:r w:rsidR="00502CDF" w:rsidRPr="00101DE6">
        <w:rPr>
          <w:lang w:val="en-GB"/>
        </w:rPr>
        <w:t> (</w:t>
      </w:r>
      <w:r w:rsidR="00A268D8" w:rsidRPr="00101DE6">
        <w:rPr>
          <w:lang w:val="en-GB"/>
        </w:rPr>
        <w:t>1</w:t>
      </w:r>
      <w:r w:rsidR="00502CDF" w:rsidRPr="00101DE6">
        <w:rPr>
          <w:lang w:val="en-GB"/>
        </w:rPr>
        <w:t>)</w:t>
      </w:r>
      <w:r w:rsidR="00C03F0E" w:rsidRPr="00101DE6">
        <w:rPr>
          <w:lang w:val="en-GB"/>
        </w:rPr>
        <w:t xml:space="preserve"> of the Covenant</w:t>
      </w:r>
      <w:r w:rsidR="00A268D8" w:rsidRPr="00101DE6">
        <w:rPr>
          <w:lang w:val="en-GB"/>
        </w:rPr>
        <w:t xml:space="preserve">, read in conjunction with </w:t>
      </w:r>
      <w:r w:rsidR="00B37284" w:rsidRPr="00101DE6">
        <w:rPr>
          <w:lang w:val="en-GB"/>
        </w:rPr>
        <w:t>article</w:t>
      </w:r>
      <w:r w:rsidR="003704E4" w:rsidRPr="00101DE6">
        <w:rPr>
          <w:lang w:val="en-GB"/>
        </w:rPr>
        <w:t>s</w:t>
      </w:r>
      <w:r w:rsidR="00B37284" w:rsidRPr="00101DE6">
        <w:rPr>
          <w:lang w:val="en-GB"/>
        </w:rPr>
        <w:t> </w:t>
      </w:r>
      <w:r w:rsidR="00A268D8" w:rsidRPr="00101DE6">
        <w:rPr>
          <w:lang w:val="en-GB"/>
        </w:rPr>
        <w:t>2</w:t>
      </w:r>
      <w:r w:rsidR="00502CDF" w:rsidRPr="00101DE6">
        <w:rPr>
          <w:lang w:val="en-GB"/>
        </w:rPr>
        <w:t> (</w:t>
      </w:r>
      <w:r w:rsidR="003803D7" w:rsidRPr="00101DE6">
        <w:rPr>
          <w:lang w:val="en-GB"/>
        </w:rPr>
        <w:t>1</w:t>
      </w:r>
      <w:r w:rsidR="00502CDF" w:rsidRPr="00101DE6">
        <w:rPr>
          <w:lang w:val="en-GB"/>
        </w:rPr>
        <w:t>)</w:t>
      </w:r>
      <w:r w:rsidR="003803D7" w:rsidRPr="00101DE6">
        <w:rPr>
          <w:lang w:val="en-GB"/>
        </w:rPr>
        <w:t xml:space="preserve"> and</w:t>
      </w:r>
      <w:r w:rsidR="00B37284" w:rsidRPr="00101DE6">
        <w:rPr>
          <w:lang w:val="en-GB"/>
        </w:rPr>
        <w:t> </w:t>
      </w:r>
      <w:r w:rsidR="003803D7" w:rsidRPr="00101DE6">
        <w:rPr>
          <w:lang w:val="en-GB"/>
        </w:rPr>
        <w:t>26</w:t>
      </w:r>
      <w:r w:rsidR="00A268D8" w:rsidRPr="00101DE6">
        <w:rPr>
          <w:lang w:val="en-GB"/>
        </w:rPr>
        <w:t>.</w:t>
      </w:r>
      <w:r w:rsidR="003803D7" w:rsidRPr="00101DE6">
        <w:rPr>
          <w:lang w:val="en-GB"/>
        </w:rPr>
        <w:t xml:space="preserve"> </w:t>
      </w:r>
      <w:r w:rsidR="00BC66C2" w:rsidRPr="00101DE6">
        <w:rPr>
          <w:lang w:val="en-GB"/>
        </w:rPr>
        <w:t xml:space="preserve">The author </w:t>
      </w:r>
      <w:r w:rsidR="00D32F62" w:rsidRPr="00101DE6">
        <w:rPr>
          <w:lang w:val="en-GB"/>
        </w:rPr>
        <w:t>states</w:t>
      </w:r>
      <w:r w:rsidR="00BC66C2" w:rsidRPr="00101DE6">
        <w:rPr>
          <w:lang w:val="en-GB"/>
        </w:rPr>
        <w:t xml:space="preserve"> that </w:t>
      </w:r>
      <w:r w:rsidR="005F6F60" w:rsidRPr="00101DE6">
        <w:rPr>
          <w:lang w:val="en-GB"/>
        </w:rPr>
        <w:t>A</w:t>
      </w:r>
      <w:r w:rsidR="001324C7" w:rsidRPr="00101DE6">
        <w:rPr>
          <w:lang w:val="en-GB"/>
        </w:rPr>
        <w:t>ct</w:t>
      </w:r>
      <w:r w:rsidR="00353F80" w:rsidRPr="00101DE6">
        <w:rPr>
          <w:lang w:val="en-GB"/>
        </w:rPr>
        <w:t xml:space="preserve"> No. </w:t>
      </w:r>
      <w:r w:rsidR="001324C7" w:rsidRPr="00101DE6">
        <w:rPr>
          <w:lang w:val="en-GB"/>
        </w:rPr>
        <w:t xml:space="preserve">87/1991 on </w:t>
      </w:r>
      <w:r w:rsidR="005A6466" w:rsidRPr="00101DE6">
        <w:rPr>
          <w:lang w:val="en-GB"/>
        </w:rPr>
        <w:t>e</w:t>
      </w:r>
      <w:r w:rsidR="001324C7" w:rsidRPr="00101DE6">
        <w:rPr>
          <w:lang w:val="en-GB"/>
        </w:rPr>
        <w:t>xtra</w:t>
      </w:r>
      <w:r w:rsidR="005A6466" w:rsidRPr="00101DE6">
        <w:rPr>
          <w:lang w:val="en-GB"/>
        </w:rPr>
        <w:t>j</w:t>
      </w:r>
      <w:r w:rsidR="00BC66C2" w:rsidRPr="00101DE6">
        <w:rPr>
          <w:lang w:val="en-GB"/>
        </w:rPr>
        <w:t xml:space="preserve">udicial </w:t>
      </w:r>
      <w:r w:rsidR="005A6466" w:rsidRPr="00101DE6">
        <w:rPr>
          <w:lang w:val="en-GB"/>
        </w:rPr>
        <w:t>r</w:t>
      </w:r>
      <w:r w:rsidR="00BC66C2" w:rsidRPr="00101DE6">
        <w:rPr>
          <w:lang w:val="en-GB"/>
        </w:rPr>
        <w:t>ehabilitation</w:t>
      </w:r>
      <w:r w:rsidR="005F6F60" w:rsidRPr="00101DE6">
        <w:rPr>
          <w:lang w:val="en-GB"/>
        </w:rPr>
        <w:t xml:space="preserve">, which provides for </w:t>
      </w:r>
      <w:r w:rsidR="00CB4F66" w:rsidRPr="00101DE6">
        <w:rPr>
          <w:lang w:val="en-GB"/>
        </w:rPr>
        <w:t xml:space="preserve">the </w:t>
      </w:r>
      <w:r w:rsidR="005F6F60" w:rsidRPr="00101DE6">
        <w:rPr>
          <w:lang w:val="en-GB"/>
        </w:rPr>
        <w:t>restitution</w:t>
      </w:r>
      <w:r w:rsidR="00CB4F66" w:rsidRPr="00101DE6">
        <w:rPr>
          <w:lang w:val="en-GB"/>
        </w:rPr>
        <w:t xml:space="preserve"> of property</w:t>
      </w:r>
      <w:r w:rsidR="005F6F60" w:rsidRPr="00101DE6">
        <w:rPr>
          <w:lang w:val="en-GB"/>
        </w:rPr>
        <w:t xml:space="preserve"> in certain cases,</w:t>
      </w:r>
      <w:r w:rsidR="00BC66C2" w:rsidRPr="00101DE6">
        <w:rPr>
          <w:lang w:val="en-GB"/>
        </w:rPr>
        <w:t xml:space="preserve"> </w:t>
      </w:r>
      <w:r w:rsidR="00D32F62" w:rsidRPr="00101DE6">
        <w:rPr>
          <w:lang w:val="en-GB"/>
        </w:rPr>
        <w:t>excludes</w:t>
      </w:r>
      <w:r w:rsidR="00BC66C2" w:rsidRPr="00101DE6">
        <w:rPr>
          <w:lang w:val="en-GB"/>
        </w:rPr>
        <w:t xml:space="preserve"> the possibility of remedying injustices</w:t>
      </w:r>
      <w:r w:rsidR="000B19AF" w:rsidRPr="00101DE6">
        <w:rPr>
          <w:lang w:val="en-GB"/>
        </w:rPr>
        <w:t>,</w:t>
      </w:r>
      <w:r w:rsidR="009412EE" w:rsidRPr="00101DE6">
        <w:rPr>
          <w:lang w:val="en-GB"/>
        </w:rPr>
        <w:t xml:space="preserve"> including those against non-Czech nationals</w:t>
      </w:r>
      <w:r w:rsidR="000B19AF" w:rsidRPr="00101DE6">
        <w:rPr>
          <w:lang w:val="en-GB"/>
        </w:rPr>
        <w:t>,</w:t>
      </w:r>
      <w:r w:rsidR="00BC66C2" w:rsidRPr="00101DE6">
        <w:rPr>
          <w:lang w:val="en-GB"/>
        </w:rPr>
        <w:t xml:space="preserve"> committed before 25 February 1948 </w:t>
      </w:r>
      <w:r w:rsidR="00D32F62" w:rsidRPr="00101DE6">
        <w:rPr>
          <w:lang w:val="en-GB"/>
        </w:rPr>
        <w:t>and decrees</w:t>
      </w:r>
      <w:r w:rsidR="00BC66C2" w:rsidRPr="00101DE6">
        <w:rPr>
          <w:lang w:val="en-GB"/>
        </w:rPr>
        <w:t xml:space="preserve"> that assets obtained before </w:t>
      </w:r>
      <w:r w:rsidR="004225E8" w:rsidRPr="00101DE6">
        <w:rPr>
          <w:lang w:val="en-GB"/>
        </w:rPr>
        <w:t xml:space="preserve">that </w:t>
      </w:r>
      <w:r w:rsidR="00BC66C2" w:rsidRPr="00101DE6">
        <w:rPr>
          <w:lang w:val="en-GB"/>
        </w:rPr>
        <w:t xml:space="preserve">date </w:t>
      </w:r>
      <w:r w:rsidR="00D32F62" w:rsidRPr="00101DE6">
        <w:rPr>
          <w:lang w:val="en-GB"/>
        </w:rPr>
        <w:t>are</w:t>
      </w:r>
      <w:r w:rsidR="00BC66C2" w:rsidRPr="00101DE6">
        <w:rPr>
          <w:lang w:val="en-GB"/>
        </w:rPr>
        <w:t xml:space="preserve"> </w:t>
      </w:r>
      <w:r w:rsidR="004225E8" w:rsidRPr="00101DE6">
        <w:rPr>
          <w:lang w:val="en-GB"/>
        </w:rPr>
        <w:t xml:space="preserve">the </w:t>
      </w:r>
      <w:r w:rsidR="00BC66C2" w:rsidRPr="00101DE6">
        <w:rPr>
          <w:lang w:val="en-GB"/>
        </w:rPr>
        <w:t xml:space="preserve">property of the </w:t>
      </w:r>
      <w:r w:rsidR="004225E8" w:rsidRPr="00101DE6">
        <w:rPr>
          <w:lang w:val="en-GB"/>
        </w:rPr>
        <w:t>S</w:t>
      </w:r>
      <w:r w:rsidR="00BC66C2" w:rsidRPr="00101DE6">
        <w:rPr>
          <w:lang w:val="en-GB"/>
        </w:rPr>
        <w:t xml:space="preserve">tate and </w:t>
      </w:r>
      <w:r w:rsidR="001324C7" w:rsidRPr="00101DE6">
        <w:rPr>
          <w:lang w:val="en-GB"/>
        </w:rPr>
        <w:t>cannot be recovered through restitution claims</w:t>
      </w:r>
      <w:r w:rsidR="00BC66C2" w:rsidRPr="00101DE6">
        <w:rPr>
          <w:lang w:val="en-GB"/>
        </w:rPr>
        <w:t xml:space="preserve"> made </w:t>
      </w:r>
      <w:r w:rsidR="001324C7" w:rsidRPr="00101DE6">
        <w:rPr>
          <w:lang w:val="en-GB"/>
        </w:rPr>
        <w:t>under</w:t>
      </w:r>
      <w:r w:rsidR="00BC66C2" w:rsidRPr="00101DE6">
        <w:rPr>
          <w:lang w:val="en-GB"/>
        </w:rPr>
        <w:t xml:space="preserve"> general rules of civil procedure. </w:t>
      </w:r>
      <w:r w:rsidR="00000EF1" w:rsidRPr="00101DE6">
        <w:rPr>
          <w:lang w:val="en-GB"/>
        </w:rPr>
        <w:t xml:space="preserve">The author </w:t>
      </w:r>
      <w:r w:rsidR="00706504" w:rsidRPr="00101DE6">
        <w:rPr>
          <w:lang w:val="en-GB"/>
        </w:rPr>
        <w:t>argues</w:t>
      </w:r>
      <w:r w:rsidR="00000EF1" w:rsidRPr="00101DE6">
        <w:rPr>
          <w:lang w:val="en-GB"/>
        </w:rPr>
        <w:t xml:space="preserve"> that </w:t>
      </w:r>
      <w:r w:rsidR="005E67C7" w:rsidRPr="00101DE6">
        <w:rPr>
          <w:lang w:val="en-GB"/>
        </w:rPr>
        <w:t xml:space="preserve">the </w:t>
      </w:r>
      <w:r w:rsidR="00000EF1" w:rsidRPr="00101DE6">
        <w:rPr>
          <w:lang w:val="en-GB"/>
        </w:rPr>
        <w:t xml:space="preserve">Constitutional Court Opinion </w:t>
      </w:r>
      <w:r w:rsidR="005E67C7" w:rsidRPr="00101DE6">
        <w:rPr>
          <w:lang w:val="en-GB"/>
        </w:rPr>
        <w:t>of 2005</w:t>
      </w:r>
      <w:r w:rsidR="00000EF1" w:rsidRPr="00101DE6">
        <w:rPr>
          <w:lang w:val="en-GB"/>
        </w:rPr>
        <w:t xml:space="preserve">, which </w:t>
      </w:r>
      <w:r w:rsidR="00D65F3B" w:rsidRPr="00101DE6">
        <w:rPr>
          <w:lang w:val="en-GB"/>
        </w:rPr>
        <w:t>validated the</w:t>
      </w:r>
      <w:r w:rsidR="0084479E" w:rsidRPr="00101DE6">
        <w:rPr>
          <w:lang w:val="en-GB"/>
        </w:rPr>
        <w:t xml:space="preserve"> citizenship and residence requirements set forth in</w:t>
      </w:r>
      <w:r w:rsidR="00000EF1" w:rsidRPr="00101DE6">
        <w:rPr>
          <w:lang w:val="en-GB"/>
        </w:rPr>
        <w:t xml:space="preserve"> Act</w:t>
      </w:r>
      <w:r w:rsidR="00353F80" w:rsidRPr="00101DE6">
        <w:rPr>
          <w:lang w:val="en-GB"/>
        </w:rPr>
        <w:t xml:space="preserve"> No. </w:t>
      </w:r>
      <w:r w:rsidR="00000EF1" w:rsidRPr="00101DE6">
        <w:rPr>
          <w:lang w:val="en-GB"/>
        </w:rPr>
        <w:t>87/1991, has made it impossible for those who did not have Czechoslovak</w:t>
      </w:r>
      <w:r w:rsidR="00CB4F66" w:rsidRPr="00101DE6">
        <w:rPr>
          <w:lang w:val="en-GB"/>
        </w:rPr>
        <w:t>ian</w:t>
      </w:r>
      <w:r w:rsidR="00000EF1" w:rsidRPr="00101DE6">
        <w:rPr>
          <w:lang w:val="en-GB"/>
        </w:rPr>
        <w:t xml:space="preserve"> nationality at the time of land confiscation (and their heirs) to claim restitution and compensation before the courts. </w:t>
      </w:r>
      <w:r w:rsidR="00D149AB" w:rsidRPr="00101DE6">
        <w:rPr>
          <w:lang w:val="en-GB"/>
        </w:rPr>
        <w:t>The author submits that</w:t>
      </w:r>
      <w:r w:rsidR="004225E8" w:rsidRPr="00101DE6">
        <w:rPr>
          <w:lang w:val="en-GB"/>
        </w:rPr>
        <w:t>,</w:t>
      </w:r>
      <w:r w:rsidR="00D149AB" w:rsidRPr="00101DE6">
        <w:rPr>
          <w:lang w:val="en-GB"/>
        </w:rPr>
        <w:t xml:space="preserve"> since </w:t>
      </w:r>
      <w:r w:rsidR="00D65F3B" w:rsidRPr="00101DE6">
        <w:rPr>
          <w:lang w:val="en-GB"/>
        </w:rPr>
        <w:t>it issued the</w:t>
      </w:r>
      <w:r w:rsidR="00BC66C2" w:rsidRPr="00101DE6">
        <w:rPr>
          <w:lang w:val="en-GB"/>
        </w:rPr>
        <w:t xml:space="preserve"> </w:t>
      </w:r>
      <w:r w:rsidR="00D65F3B" w:rsidRPr="00101DE6">
        <w:rPr>
          <w:lang w:val="en-GB"/>
        </w:rPr>
        <w:t>Opinion, the Constitutional Court has interpreted</w:t>
      </w:r>
      <w:r w:rsidR="001C5B3F" w:rsidRPr="00101DE6">
        <w:rPr>
          <w:lang w:val="en-GB"/>
        </w:rPr>
        <w:t xml:space="preserve"> restitution laws </w:t>
      </w:r>
      <w:r w:rsidR="00D65F3B" w:rsidRPr="00101DE6">
        <w:rPr>
          <w:lang w:val="en-GB"/>
        </w:rPr>
        <w:t>in such a way as to render them</w:t>
      </w:r>
      <w:r w:rsidR="001C5B3F" w:rsidRPr="00101DE6">
        <w:rPr>
          <w:lang w:val="en-GB"/>
        </w:rPr>
        <w:t xml:space="preserve"> “instruments of expropriation of such property as the </w:t>
      </w:r>
      <w:r w:rsidR="00FC5950" w:rsidRPr="00101DE6">
        <w:rPr>
          <w:lang w:val="en-GB"/>
        </w:rPr>
        <w:t>S</w:t>
      </w:r>
      <w:r w:rsidR="001C5B3F" w:rsidRPr="00101DE6">
        <w:rPr>
          <w:lang w:val="en-GB"/>
        </w:rPr>
        <w:t>tate had usurped by physical occupation”</w:t>
      </w:r>
      <w:r w:rsidR="00CB4F66" w:rsidRPr="00101DE6">
        <w:rPr>
          <w:lang w:val="en-GB"/>
        </w:rPr>
        <w:t>.</w:t>
      </w:r>
      <w:r w:rsidR="001C5B3F" w:rsidRPr="00101DE6">
        <w:rPr>
          <w:lang w:val="en-GB"/>
        </w:rPr>
        <w:t xml:space="preserve"> The author submits that </w:t>
      </w:r>
      <w:r w:rsidR="009E0727" w:rsidRPr="00101DE6">
        <w:rPr>
          <w:lang w:val="en-GB"/>
        </w:rPr>
        <w:t xml:space="preserve">the courts denied </w:t>
      </w:r>
      <w:r w:rsidR="004842BF" w:rsidRPr="00101DE6">
        <w:rPr>
          <w:lang w:val="en-GB"/>
        </w:rPr>
        <w:t xml:space="preserve">him and </w:t>
      </w:r>
      <w:r w:rsidR="009E0727" w:rsidRPr="00101DE6">
        <w:rPr>
          <w:lang w:val="en-GB"/>
        </w:rPr>
        <w:t>his</w:t>
      </w:r>
      <w:r w:rsidR="001C5B3F" w:rsidRPr="00101DE6">
        <w:rPr>
          <w:lang w:val="en-GB"/>
        </w:rPr>
        <w:t xml:space="preserve"> family any chance to prove that the dis</w:t>
      </w:r>
      <w:r w:rsidR="009E0727" w:rsidRPr="00101DE6">
        <w:rPr>
          <w:lang w:val="en-GB"/>
        </w:rPr>
        <w:t xml:space="preserve">puted property belonged to them. </w:t>
      </w:r>
      <w:r w:rsidR="00BC66C2" w:rsidRPr="00101DE6">
        <w:rPr>
          <w:lang w:val="en-GB"/>
        </w:rPr>
        <w:t xml:space="preserve">The </w:t>
      </w:r>
      <w:r w:rsidR="00000EF1" w:rsidRPr="00101DE6">
        <w:rPr>
          <w:lang w:val="en-GB"/>
        </w:rPr>
        <w:t>author maintains</w:t>
      </w:r>
      <w:r w:rsidR="00BC66C2" w:rsidRPr="00101DE6">
        <w:rPr>
          <w:lang w:val="en-GB"/>
        </w:rPr>
        <w:t xml:space="preserve"> that</w:t>
      </w:r>
      <w:r w:rsidR="00FC5950" w:rsidRPr="00101DE6">
        <w:rPr>
          <w:lang w:val="en-GB"/>
        </w:rPr>
        <w:t>,</w:t>
      </w:r>
      <w:r w:rsidR="00BC66C2" w:rsidRPr="00101DE6">
        <w:rPr>
          <w:lang w:val="en-GB"/>
        </w:rPr>
        <w:t xml:space="preserve"> </w:t>
      </w:r>
      <w:r w:rsidR="00FC5950" w:rsidRPr="00101DE6">
        <w:rPr>
          <w:lang w:val="en-GB"/>
        </w:rPr>
        <w:t>as a consequence of</w:t>
      </w:r>
      <w:r w:rsidR="00BC66C2" w:rsidRPr="00101DE6">
        <w:rPr>
          <w:lang w:val="en-GB"/>
        </w:rPr>
        <w:t xml:space="preserve"> the Constitutional Court’s interpretation, the restit</w:t>
      </w:r>
      <w:r w:rsidR="00D65F3B" w:rsidRPr="00101DE6">
        <w:rPr>
          <w:lang w:val="en-GB"/>
        </w:rPr>
        <w:t>ution laws clearly discriminate</w:t>
      </w:r>
      <w:r w:rsidR="00BC66C2" w:rsidRPr="00101DE6">
        <w:rPr>
          <w:lang w:val="en-GB"/>
        </w:rPr>
        <w:t xml:space="preserve"> against non-Czech nationals, </w:t>
      </w:r>
      <w:r w:rsidR="001E3F27" w:rsidRPr="00101DE6">
        <w:rPr>
          <w:lang w:val="en-GB"/>
        </w:rPr>
        <w:t>since</w:t>
      </w:r>
      <w:r w:rsidR="00BC66C2" w:rsidRPr="00101DE6">
        <w:rPr>
          <w:lang w:val="en-GB"/>
        </w:rPr>
        <w:t xml:space="preserve"> “an across-the-board expropriation took place in 1991 from which only certain properties were released to Czech citizens only”</w:t>
      </w:r>
      <w:r w:rsidR="00CB4F66" w:rsidRPr="00101DE6">
        <w:rPr>
          <w:lang w:val="en-GB"/>
        </w:rPr>
        <w:t>.</w:t>
      </w:r>
      <w:r w:rsidR="00BC66C2" w:rsidRPr="00101DE6">
        <w:rPr>
          <w:lang w:val="en-GB"/>
        </w:rPr>
        <w:t xml:space="preserve"> </w:t>
      </w:r>
      <w:r w:rsidR="00076C51" w:rsidRPr="00101DE6">
        <w:rPr>
          <w:lang w:val="en-GB"/>
        </w:rPr>
        <w:t>T</w:t>
      </w:r>
      <w:r w:rsidR="00537352" w:rsidRPr="00101DE6">
        <w:rPr>
          <w:lang w:val="en-GB"/>
        </w:rPr>
        <w:t xml:space="preserve">he author states that the type of discrimination his family </w:t>
      </w:r>
      <w:r w:rsidR="00076C51" w:rsidRPr="00101DE6">
        <w:rPr>
          <w:lang w:val="en-GB"/>
        </w:rPr>
        <w:t xml:space="preserve">has </w:t>
      </w:r>
      <w:r w:rsidR="00537352" w:rsidRPr="00101DE6">
        <w:rPr>
          <w:lang w:val="en-GB"/>
        </w:rPr>
        <w:t xml:space="preserve">encountered </w:t>
      </w:r>
      <w:r w:rsidR="006A3F85" w:rsidRPr="00101DE6">
        <w:rPr>
          <w:lang w:val="en-GB"/>
        </w:rPr>
        <w:t>is entirely different</w:t>
      </w:r>
      <w:r w:rsidR="00537352" w:rsidRPr="00101DE6">
        <w:rPr>
          <w:lang w:val="en-GB"/>
        </w:rPr>
        <w:t xml:space="preserve"> from the concept of discrimination underlying the Committee’s jurisprudence in </w:t>
      </w:r>
      <w:r w:rsidR="00537352" w:rsidRPr="00101DE6">
        <w:rPr>
          <w:i/>
          <w:lang w:val="en-GB"/>
        </w:rPr>
        <w:t>Drobek</w:t>
      </w:r>
      <w:r w:rsidR="00537352" w:rsidRPr="00101DE6">
        <w:rPr>
          <w:lang w:val="en-GB"/>
        </w:rPr>
        <w:t xml:space="preserve"> </w:t>
      </w:r>
      <w:r w:rsidR="00537352" w:rsidRPr="00101DE6">
        <w:rPr>
          <w:i/>
          <w:iCs/>
          <w:lang w:val="en-GB"/>
        </w:rPr>
        <w:t>v.</w:t>
      </w:r>
      <w:r w:rsidR="00537352" w:rsidRPr="00101DE6">
        <w:rPr>
          <w:lang w:val="en-GB"/>
        </w:rPr>
        <w:t xml:space="preserve"> </w:t>
      </w:r>
      <w:r w:rsidR="00537352" w:rsidRPr="00101DE6">
        <w:rPr>
          <w:i/>
          <w:lang w:val="en-GB"/>
        </w:rPr>
        <w:t>Slovakia</w:t>
      </w:r>
      <w:r w:rsidR="006A3F85" w:rsidRPr="00101DE6">
        <w:rPr>
          <w:lang w:val="en-GB"/>
        </w:rPr>
        <w:t>.</w:t>
      </w:r>
      <w:r w:rsidR="00537352" w:rsidRPr="00101DE6">
        <w:rPr>
          <w:rStyle w:val="FootnoteReference"/>
          <w:lang w:val="en-GB"/>
        </w:rPr>
        <w:footnoteReference w:id="8"/>
      </w:r>
      <w:r w:rsidR="006A3F85" w:rsidRPr="00101DE6">
        <w:rPr>
          <w:lang w:val="en-GB"/>
        </w:rPr>
        <w:t xml:space="preserve"> Specifically, the author refers to the Committee’s finding in </w:t>
      </w:r>
      <w:r w:rsidR="00076C51" w:rsidRPr="00101DE6">
        <w:rPr>
          <w:iCs/>
          <w:lang w:val="en-GB"/>
        </w:rPr>
        <w:t>that case</w:t>
      </w:r>
      <w:r w:rsidR="00076C51" w:rsidRPr="00101DE6">
        <w:rPr>
          <w:lang w:val="en-GB"/>
        </w:rPr>
        <w:t xml:space="preserve"> </w:t>
      </w:r>
      <w:r w:rsidR="006A3F85" w:rsidRPr="00101DE6">
        <w:rPr>
          <w:lang w:val="en-GB"/>
        </w:rPr>
        <w:t xml:space="preserve">that “legislation adopted after the fall of the </w:t>
      </w:r>
      <w:r w:rsidR="00C03F0E" w:rsidRPr="00101DE6">
        <w:rPr>
          <w:lang w:val="en-GB"/>
        </w:rPr>
        <w:t>c</w:t>
      </w:r>
      <w:r w:rsidR="006A3F85" w:rsidRPr="00101DE6">
        <w:rPr>
          <w:lang w:val="en-GB"/>
        </w:rPr>
        <w:t xml:space="preserve">ommunist regime in Czechoslovakia to compensate the victims of that regime does not appear to be prima facie discriminatory within the meaning of </w:t>
      </w:r>
      <w:r w:rsidR="00B37284" w:rsidRPr="00101DE6">
        <w:rPr>
          <w:lang w:val="en-GB"/>
        </w:rPr>
        <w:t>article </w:t>
      </w:r>
      <w:r w:rsidR="006A3F85" w:rsidRPr="00101DE6">
        <w:rPr>
          <w:lang w:val="en-GB"/>
        </w:rPr>
        <w:t>26 merely because it does not compensate the victims of injustices allegedly committed by earlier regimes”</w:t>
      </w:r>
      <w:r w:rsidR="00CB4F66" w:rsidRPr="00101DE6">
        <w:rPr>
          <w:lang w:val="en-GB"/>
        </w:rPr>
        <w:t>.</w:t>
      </w:r>
      <w:r w:rsidR="006A3F85" w:rsidRPr="00101DE6">
        <w:rPr>
          <w:lang w:val="en-GB"/>
        </w:rPr>
        <w:t xml:space="preserve"> In contrast, the author asserts that</w:t>
      </w:r>
      <w:r w:rsidR="00076C51" w:rsidRPr="00101DE6">
        <w:rPr>
          <w:lang w:val="en-GB"/>
        </w:rPr>
        <w:t>,</w:t>
      </w:r>
      <w:r w:rsidR="006A3F85" w:rsidRPr="00101DE6">
        <w:rPr>
          <w:lang w:val="en-GB"/>
        </w:rPr>
        <w:t xml:space="preserve"> in his case, the unlawful expropriation took place in 1991 and “the injustice was thus committed not by earlier regimes, but by the present one”</w:t>
      </w:r>
      <w:r w:rsidR="00CB4F66" w:rsidRPr="00101DE6">
        <w:rPr>
          <w:lang w:val="en-GB"/>
        </w:rPr>
        <w:t>.</w:t>
      </w:r>
      <w:r w:rsidR="006A3F85" w:rsidRPr="00101DE6">
        <w:rPr>
          <w:lang w:val="en-GB"/>
        </w:rPr>
        <w:t xml:space="preserve"> </w:t>
      </w:r>
      <w:r w:rsidR="00000EF1" w:rsidRPr="00101DE6">
        <w:rPr>
          <w:lang w:val="en-GB"/>
        </w:rPr>
        <w:t>The author asserts</w:t>
      </w:r>
      <w:r w:rsidR="00BC66C2" w:rsidRPr="00101DE6">
        <w:rPr>
          <w:lang w:val="en-GB"/>
        </w:rPr>
        <w:t xml:space="preserve"> that </w:t>
      </w:r>
      <w:r w:rsidR="00655191" w:rsidRPr="00101DE6">
        <w:rPr>
          <w:lang w:val="en-GB"/>
        </w:rPr>
        <w:t xml:space="preserve">that </w:t>
      </w:r>
      <w:r w:rsidR="00BC66C2" w:rsidRPr="00101DE6">
        <w:rPr>
          <w:lang w:val="en-GB"/>
        </w:rPr>
        <w:t>expropriation in 1991</w:t>
      </w:r>
      <w:r w:rsidR="00655191" w:rsidRPr="00101DE6">
        <w:rPr>
          <w:lang w:val="en-GB"/>
        </w:rPr>
        <w:t>,</w:t>
      </w:r>
      <w:r w:rsidR="00BC66C2" w:rsidRPr="00101DE6">
        <w:rPr>
          <w:lang w:val="en-GB"/>
        </w:rPr>
        <w:t xml:space="preserve"> without any compensation for non-Czech victims</w:t>
      </w:r>
      <w:r w:rsidR="00655191" w:rsidRPr="00101DE6">
        <w:rPr>
          <w:lang w:val="en-GB"/>
        </w:rPr>
        <w:t>,</w:t>
      </w:r>
      <w:r w:rsidR="00BC66C2" w:rsidRPr="00101DE6">
        <w:rPr>
          <w:lang w:val="en-GB"/>
        </w:rPr>
        <w:t xml:space="preserve"> amounts to discriminatory treatment that is incompatible with the provisions of the Covenant.</w:t>
      </w:r>
      <w:r w:rsidR="00BC66C2" w:rsidRPr="00101DE6">
        <w:rPr>
          <w:rStyle w:val="FootnoteReference"/>
          <w:lang w:val="en-GB"/>
        </w:rPr>
        <w:footnoteReference w:id="9"/>
      </w:r>
      <w:r w:rsidR="00BC66C2" w:rsidRPr="00101DE6">
        <w:rPr>
          <w:lang w:val="en-GB"/>
        </w:rPr>
        <w:t xml:space="preserve"> </w:t>
      </w:r>
    </w:p>
    <w:p w14:paraId="25DF4AA5" w14:textId="77777777" w:rsidR="00000EF1" w:rsidRPr="00101DE6" w:rsidRDefault="00000EF1" w:rsidP="000B19AF">
      <w:pPr>
        <w:pStyle w:val="SingleTxtG"/>
        <w:rPr>
          <w:lang w:val="en-GB"/>
        </w:rPr>
      </w:pPr>
      <w:r w:rsidRPr="00101DE6">
        <w:rPr>
          <w:lang w:val="en-GB"/>
        </w:rPr>
        <w:t>3.2</w:t>
      </w:r>
      <w:r w:rsidRPr="00101DE6">
        <w:rPr>
          <w:lang w:val="en-GB"/>
        </w:rPr>
        <w:tab/>
        <w:t xml:space="preserve">The author also argues that the State party violated </w:t>
      </w:r>
      <w:r w:rsidR="00B37284" w:rsidRPr="00101DE6">
        <w:rPr>
          <w:lang w:val="en-GB"/>
        </w:rPr>
        <w:t>article </w:t>
      </w:r>
      <w:r w:rsidRPr="00101DE6">
        <w:rPr>
          <w:lang w:val="en-GB"/>
        </w:rPr>
        <w:t>14</w:t>
      </w:r>
      <w:r w:rsidR="00502CDF" w:rsidRPr="00101DE6" w:rsidDel="00502CDF">
        <w:rPr>
          <w:lang w:val="en-GB"/>
        </w:rPr>
        <w:t xml:space="preserve"> </w:t>
      </w:r>
      <w:r w:rsidR="00502CDF" w:rsidRPr="00101DE6">
        <w:rPr>
          <w:lang w:val="en-GB"/>
        </w:rPr>
        <w:t>(</w:t>
      </w:r>
      <w:r w:rsidRPr="00101DE6">
        <w:rPr>
          <w:lang w:val="en-GB"/>
        </w:rPr>
        <w:t>1</w:t>
      </w:r>
      <w:r w:rsidR="00502CDF" w:rsidRPr="00101DE6">
        <w:rPr>
          <w:lang w:val="en-GB"/>
        </w:rPr>
        <w:t>)</w:t>
      </w:r>
      <w:r w:rsidRPr="00101DE6">
        <w:rPr>
          <w:lang w:val="en-GB"/>
        </w:rPr>
        <w:t xml:space="preserve"> of the Covenant, read alone, </w:t>
      </w:r>
      <w:r w:rsidR="00230445" w:rsidRPr="00101DE6">
        <w:rPr>
          <w:lang w:val="en-GB"/>
        </w:rPr>
        <w:t xml:space="preserve">in that </w:t>
      </w:r>
      <w:r w:rsidRPr="00101DE6">
        <w:rPr>
          <w:lang w:val="en-GB"/>
        </w:rPr>
        <w:t xml:space="preserve">the Czech courts effectively “discontinued” </w:t>
      </w:r>
      <w:r w:rsidR="00DD07E2" w:rsidRPr="00101DE6">
        <w:rPr>
          <w:lang w:val="en-GB"/>
        </w:rPr>
        <w:t>his family’s</w:t>
      </w:r>
      <w:r w:rsidRPr="00101DE6">
        <w:rPr>
          <w:lang w:val="en-GB"/>
        </w:rPr>
        <w:t xml:space="preserve"> case. The author </w:t>
      </w:r>
      <w:r w:rsidR="001E3F27" w:rsidRPr="00101DE6">
        <w:rPr>
          <w:lang w:val="en-GB"/>
        </w:rPr>
        <w:t>notes</w:t>
      </w:r>
      <w:r w:rsidRPr="00101DE6">
        <w:rPr>
          <w:lang w:val="en-GB"/>
        </w:rPr>
        <w:t xml:space="preserve"> </w:t>
      </w:r>
      <w:r w:rsidR="001E3F27" w:rsidRPr="00101DE6">
        <w:rPr>
          <w:lang w:val="en-GB"/>
        </w:rPr>
        <w:t>that</w:t>
      </w:r>
      <w:r w:rsidR="009340E9" w:rsidRPr="00101DE6">
        <w:rPr>
          <w:lang w:val="en-GB"/>
        </w:rPr>
        <w:t>,</w:t>
      </w:r>
      <w:r w:rsidR="001E3F27" w:rsidRPr="00101DE6">
        <w:rPr>
          <w:lang w:val="en-GB"/>
        </w:rPr>
        <w:t xml:space="preserve"> after </w:t>
      </w:r>
      <w:r w:rsidR="00DD07E2" w:rsidRPr="00101DE6">
        <w:rPr>
          <w:lang w:val="en-GB"/>
        </w:rPr>
        <w:t xml:space="preserve">he and </w:t>
      </w:r>
      <w:r w:rsidR="001E3F27" w:rsidRPr="00101DE6">
        <w:rPr>
          <w:lang w:val="en-GB"/>
        </w:rPr>
        <w:t>his</w:t>
      </w:r>
      <w:r w:rsidR="009E0727" w:rsidRPr="00101DE6">
        <w:rPr>
          <w:lang w:val="en-GB"/>
        </w:rPr>
        <w:t xml:space="preserve"> family brought </w:t>
      </w:r>
      <w:r w:rsidR="001E3F27" w:rsidRPr="00101DE6">
        <w:rPr>
          <w:lang w:val="en-GB"/>
        </w:rPr>
        <w:t>a</w:t>
      </w:r>
      <w:r w:rsidR="009E0727" w:rsidRPr="00101DE6">
        <w:rPr>
          <w:lang w:val="en-GB"/>
        </w:rPr>
        <w:t xml:space="preserve"> civil lawsuit </w:t>
      </w:r>
      <w:r w:rsidR="001E3F27" w:rsidRPr="00101DE6">
        <w:rPr>
          <w:lang w:val="en-GB"/>
        </w:rPr>
        <w:t xml:space="preserve">against </w:t>
      </w:r>
      <w:r w:rsidR="00BB2310" w:rsidRPr="00101DE6">
        <w:rPr>
          <w:lang w:val="en-GB"/>
        </w:rPr>
        <w:t xml:space="preserve">S </w:t>
      </w:r>
      <w:r w:rsidR="009E0727" w:rsidRPr="00101DE6">
        <w:rPr>
          <w:lang w:val="en-GB"/>
        </w:rPr>
        <w:t xml:space="preserve">in 2003, </w:t>
      </w:r>
      <w:r w:rsidRPr="00101DE6">
        <w:rPr>
          <w:lang w:val="en-GB"/>
        </w:rPr>
        <w:t>the Constitutional Court</w:t>
      </w:r>
      <w:r w:rsidR="00B51AEE" w:rsidRPr="00101DE6">
        <w:rPr>
          <w:lang w:val="en-GB"/>
        </w:rPr>
        <w:t>, in its</w:t>
      </w:r>
      <w:r w:rsidRPr="00101DE6">
        <w:rPr>
          <w:lang w:val="en-GB"/>
        </w:rPr>
        <w:t xml:space="preserve"> Opinion of 2005</w:t>
      </w:r>
      <w:r w:rsidR="00B51AEE" w:rsidRPr="00101DE6">
        <w:rPr>
          <w:lang w:val="en-GB"/>
        </w:rPr>
        <w:t>,</w:t>
      </w:r>
      <w:r w:rsidRPr="00101DE6">
        <w:rPr>
          <w:lang w:val="en-GB"/>
        </w:rPr>
        <w:t xml:space="preserve"> held that</w:t>
      </w:r>
      <w:r w:rsidR="00655191" w:rsidRPr="00101DE6">
        <w:rPr>
          <w:lang w:val="en-GB"/>
        </w:rPr>
        <w:t>,</w:t>
      </w:r>
      <w:r w:rsidRPr="00101DE6">
        <w:rPr>
          <w:lang w:val="en-GB"/>
        </w:rPr>
        <w:t xml:space="preserve"> </w:t>
      </w:r>
      <w:r w:rsidR="00DD07E2" w:rsidRPr="00101DE6">
        <w:rPr>
          <w:lang w:val="en-GB"/>
        </w:rPr>
        <w:t xml:space="preserve">under </w:t>
      </w:r>
      <w:r w:rsidR="000B19AF" w:rsidRPr="00101DE6">
        <w:rPr>
          <w:lang w:val="en-GB"/>
        </w:rPr>
        <w:t>Act</w:t>
      </w:r>
      <w:r w:rsidR="00353F80" w:rsidRPr="00101DE6">
        <w:rPr>
          <w:lang w:val="en-GB"/>
        </w:rPr>
        <w:t xml:space="preserve"> No. </w:t>
      </w:r>
      <w:r w:rsidR="00DD07E2" w:rsidRPr="00101DE6">
        <w:rPr>
          <w:lang w:val="en-GB"/>
        </w:rPr>
        <w:t xml:space="preserve">87/1991, </w:t>
      </w:r>
      <w:r w:rsidRPr="00101DE6">
        <w:rPr>
          <w:lang w:val="en-GB"/>
        </w:rPr>
        <w:t>protection of property rights withheld before 25 February 1948 could not be pursued through common law procedures. The autho</w:t>
      </w:r>
      <w:r w:rsidR="001E3F27" w:rsidRPr="00101DE6">
        <w:rPr>
          <w:lang w:val="en-GB"/>
        </w:rPr>
        <w:t>r argues that</w:t>
      </w:r>
      <w:r w:rsidR="00F93244" w:rsidRPr="00101DE6">
        <w:rPr>
          <w:lang w:val="en-GB"/>
        </w:rPr>
        <w:t>,</w:t>
      </w:r>
      <w:r w:rsidR="001E3F27" w:rsidRPr="00101DE6">
        <w:rPr>
          <w:lang w:val="en-GB"/>
        </w:rPr>
        <w:t xml:space="preserve"> as a </w:t>
      </w:r>
      <w:r w:rsidR="009340E9" w:rsidRPr="00101DE6">
        <w:rPr>
          <w:lang w:val="en-GB"/>
        </w:rPr>
        <w:t xml:space="preserve">consequence </w:t>
      </w:r>
      <w:r w:rsidR="001E3F27" w:rsidRPr="00101DE6">
        <w:rPr>
          <w:lang w:val="en-GB"/>
        </w:rPr>
        <w:t xml:space="preserve">of </w:t>
      </w:r>
      <w:r w:rsidR="009340E9" w:rsidRPr="00101DE6">
        <w:rPr>
          <w:lang w:val="en-GB"/>
        </w:rPr>
        <w:t xml:space="preserve">the </w:t>
      </w:r>
      <w:r w:rsidR="001E3F27" w:rsidRPr="00101DE6">
        <w:rPr>
          <w:lang w:val="en-GB"/>
        </w:rPr>
        <w:t xml:space="preserve">Constitutional Court </w:t>
      </w:r>
      <w:r w:rsidRPr="00101DE6">
        <w:rPr>
          <w:lang w:val="en-GB"/>
        </w:rPr>
        <w:lastRenderedPageBreak/>
        <w:t xml:space="preserve">Opinion, </w:t>
      </w:r>
      <w:r w:rsidR="001E3F27" w:rsidRPr="00101DE6">
        <w:rPr>
          <w:lang w:val="en-GB"/>
        </w:rPr>
        <w:t>his family was</w:t>
      </w:r>
      <w:r w:rsidRPr="00101DE6">
        <w:rPr>
          <w:lang w:val="en-GB"/>
        </w:rPr>
        <w:t xml:space="preserve"> not allowed to </w:t>
      </w:r>
      <w:r w:rsidR="001E3F27" w:rsidRPr="00101DE6">
        <w:rPr>
          <w:lang w:val="en-GB"/>
        </w:rPr>
        <w:t>introduce</w:t>
      </w:r>
      <w:r w:rsidRPr="00101DE6">
        <w:rPr>
          <w:lang w:val="en-GB"/>
        </w:rPr>
        <w:t xml:space="preserve"> new evidence</w:t>
      </w:r>
      <w:r w:rsidR="001E3F27" w:rsidRPr="00101DE6">
        <w:rPr>
          <w:lang w:val="en-GB"/>
        </w:rPr>
        <w:t xml:space="preserve"> in the civil proceedings</w:t>
      </w:r>
      <w:r w:rsidRPr="00101DE6">
        <w:rPr>
          <w:lang w:val="en-GB"/>
        </w:rPr>
        <w:t>, which amount</w:t>
      </w:r>
      <w:r w:rsidR="009340E9" w:rsidRPr="00101DE6">
        <w:rPr>
          <w:lang w:val="en-GB"/>
        </w:rPr>
        <w:t>ed</w:t>
      </w:r>
      <w:r w:rsidRPr="00101DE6">
        <w:rPr>
          <w:lang w:val="en-GB"/>
        </w:rPr>
        <w:t xml:space="preserve"> to a discontinuance of their claims.</w:t>
      </w:r>
      <w:r w:rsidRPr="00101DE6">
        <w:rPr>
          <w:rStyle w:val="FootnoteReference"/>
          <w:lang w:val="en-GB"/>
        </w:rPr>
        <w:footnoteReference w:id="10"/>
      </w:r>
      <w:r w:rsidR="005E587D" w:rsidRPr="00101DE6">
        <w:rPr>
          <w:lang w:val="en-GB"/>
        </w:rPr>
        <w:t xml:space="preserve"> </w:t>
      </w:r>
    </w:p>
    <w:p w14:paraId="023F5291" w14:textId="77777777" w:rsidR="007C3E4F" w:rsidRPr="00101DE6" w:rsidRDefault="00000EF1" w:rsidP="00C03AC2">
      <w:pPr>
        <w:pStyle w:val="SingleTxtG"/>
        <w:rPr>
          <w:lang w:val="en-GB"/>
        </w:rPr>
      </w:pPr>
      <w:r w:rsidRPr="00101DE6">
        <w:rPr>
          <w:lang w:val="en-GB"/>
        </w:rPr>
        <w:t>3.3</w:t>
      </w:r>
      <w:r w:rsidR="00971D35" w:rsidRPr="00101DE6">
        <w:rPr>
          <w:lang w:val="en-GB"/>
        </w:rPr>
        <w:tab/>
      </w:r>
      <w:r w:rsidR="00841DFB" w:rsidRPr="00101DE6">
        <w:rPr>
          <w:lang w:val="en-GB"/>
        </w:rPr>
        <w:t xml:space="preserve">The author asserts that he and his family are entitled to an effective and enforceable remedy under </w:t>
      </w:r>
      <w:r w:rsidR="00B37284" w:rsidRPr="00101DE6">
        <w:rPr>
          <w:lang w:val="en-GB"/>
        </w:rPr>
        <w:t>article </w:t>
      </w:r>
      <w:r w:rsidR="00841DFB" w:rsidRPr="00101DE6">
        <w:rPr>
          <w:lang w:val="en-GB"/>
        </w:rPr>
        <w:t>2</w:t>
      </w:r>
      <w:r w:rsidR="00502CDF" w:rsidRPr="00101DE6">
        <w:rPr>
          <w:lang w:val="en-GB"/>
        </w:rPr>
        <w:t> (</w:t>
      </w:r>
      <w:r w:rsidR="00841DFB" w:rsidRPr="00101DE6">
        <w:rPr>
          <w:lang w:val="en-GB"/>
        </w:rPr>
        <w:t>3</w:t>
      </w:r>
      <w:r w:rsidR="00502CDF" w:rsidRPr="00101DE6">
        <w:rPr>
          <w:lang w:val="en-GB"/>
        </w:rPr>
        <w:t>)</w:t>
      </w:r>
      <w:r w:rsidR="00586F79" w:rsidRPr="00101DE6">
        <w:rPr>
          <w:lang w:val="en-GB"/>
        </w:rPr>
        <w:t xml:space="preserve"> </w:t>
      </w:r>
      <w:r w:rsidR="00841DFB" w:rsidRPr="00101DE6">
        <w:rPr>
          <w:lang w:val="en-GB"/>
        </w:rPr>
        <w:t>(a) of the Covenant.</w:t>
      </w:r>
      <w:r w:rsidR="00841DFB" w:rsidRPr="00101DE6">
        <w:rPr>
          <w:rStyle w:val="FootnoteReference"/>
          <w:lang w:val="en-GB"/>
        </w:rPr>
        <w:footnoteReference w:id="11"/>
      </w:r>
      <w:r w:rsidR="00841DFB" w:rsidRPr="00101DE6">
        <w:rPr>
          <w:lang w:val="en-GB"/>
        </w:rPr>
        <w:t xml:space="preserve"> </w:t>
      </w:r>
      <w:r w:rsidR="00CC4DA6" w:rsidRPr="00101DE6">
        <w:rPr>
          <w:lang w:val="en-GB"/>
        </w:rPr>
        <w:t>Specifically, t</w:t>
      </w:r>
      <w:r w:rsidR="007C3E4F" w:rsidRPr="00101DE6">
        <w:rPr>
          <w:lang w:val="en-GB"/>
        </w:rPr>
        <w:t>he author request</w:t>
      </w:r>
      <w:r w:rsidR="00841DFB" w:rsidRPr="00101DE6">
        <w:rPr>
          <w:lang w:val="en-GB"/>
        </w:rPr>
        <w:t>s</w:t>
      </w:r>
      <w:r w:rsidR="007C3E4F" w:rsidRPr="00101DE6">
        <w:rPr>
          <w:lang w:val="en-GB"/>
        </w:rPr>
        <w:t xml:space="preserve"> compensation </w:t>
      </w:r>
      <w:r w:rsidR="00654DCB" w:rsidRPr="00101DE6">
        <w:rPr>
          <w:lang w:val="en-GB"/>
        </w:rPr>
        <w:t>for the now-priv</w:t>
      </w:r>
      <w:r w:rsidR="00DD07E2" w:rsidRPr="00101DE6">
        <w:rPr>
          <w:lang w:val="en-GB"/>
        </w:rPr>
        <w:t>ati</w:t>
      </w:r>
      <w:r w:rsidR="00B34775" w:rsidRPr="00101DE6">
        <w:rPr>
          <w:lang w:val="en-GB"/>
        </w:rPr>
        <w:t>z</w:t>
      </w:r>
      <w:r w:rsidR="00654DCB" w:rsidRPr="00101DE6">
        <w:rPr>
          <w:lang w:val="en-GB"/>
        </w:rPr>
        <w:t xml:space="preserve">ed </w:t>
      </w:r>
      <w:r w:rsidR="00BB2310" w:rsidRPr="00101DE6">
        <w:rPr>
          <w:lang w:val="en-GB"/>
        </w:rPr>
        <w:t>S</w:t>
      </w:r>
      <w:r w:rsidR="00654DCB" w:rsidRPr="00101DE6">
        <w:rPr>
          <w:lang w:val="en-GB"/>
        </w:rPr>
        <w:t xml:space="preserve">, </w:t>
      </w:r>
      <w:r w:rsidR="00CC4DA6" w:rsidRPr="00101DE6">
        <w:rPr>
          <w:lang w:val="en-GB"/>
        </w:rPr>
        <w:t xml:space="preserve">to be calculated </w:t>
      </w:r>
      <w:r w:rsidR="00654DCB" w:rsidRPr="00101DE6">
        <w:rPr>
          <w:lang w:val="en-GB"/>
        </w:rPr>
        <w:t xml:space="preserve">on the </w:t>
      </w:r>
      <w:r w:rsidR="007C3E4F" w:rsidRPr="00101DE6">
        <w:rPr>
          <w:lang w:val="en-GB"/>
        </w:rPr>
        <w:t>bas</w:t>
      </w:r>
      <w:r w:rsidR="00654DCB" w:rsidRPr="00101DE6">
        <w:rPr>
          <w:lang w:val="en-GB"/>
        </w:rPr>
        <w:t>is of</w:t>
      </w:r>
      <w:r w:rsidR="007C3E4F" w:rsidRPr="00101DE6">
        <w:rPr>
          <w:lang w:val="en-GB"/>
        </w:rPr>
        <w:t xml:space="preserve"> the value of the assets (i.e. the </w:t>
      </w:r>
      <w:r w:rsidR="00E4363D" w:rsidRPr="00101DE6">
        <w:rPr>
          <w:lang w:val="en-GB"/>
        </w:rPr>
        <w:t xml:space="preserve">land and </w:t>
      </w:r>
      <w:r w:rsidR="002464D1" w:rsidRPr="00101DE6">
        <w:rPr>
          <w:lang w:val="en-GB"/>
        </w:rPr>
        <w:t xml:space="preserve">the </w:t>
      </w:r>
      <w:r w:rsidR="00E4363D" w:rsidRPr="00101DE6">
        <w:rPr>
          <w:lang w:val="en-GB"/>
        </w:rPr>
        <w:t>buildings</w:t>
      </w:r>
      <w:r w:rsidR="007C3E4F" w:rsidRPr="00101DE6">
        <w:rPr>
          <w:lang w:val="en-GB"/>
        </w:rPr>
        <w:t xml:space="preserve">) in 1991, </w:t>
      </w:r>
      <w:r w:rsidR="00E4363D" w:rsidRPr="00101DE6">
        <w:rPr>
          <w:lang w:val="en-GB"/>
        </w:rPr>
        <w:t>plus interest</w:t>
      </w:r>
      <w:r w:rsidR="007C3E4F" w:rsidRPr="00101DE6">
        <w:rPr>
          <w:lang w:val="en-GB"/>
        </w:rPr>
        <w:t xml:space="preserve">. </w:t>
      </w:r>
      <w:r w:rsidR="00935715" w:rsidRPr="00101DE6">
        <w:rPr>
          <w:lang w:val="en-GB"/>
        </w:rPr>
        <w:t>T</w:t>
      </w:r>
      <w:r w:rsidR="00E21D01" w:rsidRPr="00101DE6">
        <w:rPr>
          <w:lang w:val="en-GB"/>
        </w:rPr>
        <w:t>he author provides a</w:t>
      </w:r>
      <w:r w:rsidR="004C4A8A" w:rsidRPr="00101DE6">
        <w:rPr>
          <w:lang w:val="en-GB"/>
        </w:rPr>
        <w:t xml:space="preserve"> valuation report from the privati</w:t>
      </w:r>
      <w:r w:rsidR="00935715" w:rsidRPr="00101DE6">
        <w:rPr>
          <w:lang w:val="en-GB"/>
        </w:rPr>
        <w:t>z</w:t>
      </w:r>
      <w:r w:rsidR="004C4A8A" w:rsidRPr="00101DE6">
        <w:rPr>
          <w:lang w:val="en-GB"/>
        </w:rPr>
        <w:t xml:space="preserve">ation proceedings, which indicates </w:t>
      </w:r>
      <w:r w:rsidR="00E21D01" w:rsidRPr="00101DE6">
        <w:rPr>
          <w:lang w:val="en-GB"/>
        </w:rPr>
        <w:t>that the amount in question is</w:t>
      </w:r>
      <w:r w:rsidR="004C4A8A" w:rsidRPr="00101DE6">
        <w:rPr>
          <w:lang w:val="en-GB"/>
        </w:rPr>
        <w:t xml:space="preserve"> 36,290,055</w:t>
      </w:r>
      <w:r w:rsidR="002464D1" w:rsidRPr="00101DE6">
        <w:rPr>
          <w:lang w:val="en-GB"/>
        </w:rPr>
        <w:t xml:space="preserve"> Czech korunas</w:t>
      </w:r>
      <w:r w:rsidR="004C4A8A" w:rsidRPr="00101DE6">
        <w:rPr>
          <w:lang w:val="en-GB"/>
        </w:rPr>
        <w:t>, plus interest.</w:t>
      </w:r>
      <w:r w:rsidR="004C4A8A" w:rsidRPr="00101DE6">
        <w:rPr>
          <w:rStyle w:val="FootnoteReference"/>
          <w:lang w:val="en-GB"/>
        </w:rPr>
        <w:footnoteReference w:id="12"/>
      </w:r>
      <w:r w:rsidR="007C3E4F" w:rsidRPr="00101DE6">
        <w:rPr>
          <w:lang w:val="en-GB"/>
        </w:rPr>
        <w:t xml:space="preserve"> </w:t>
      </w:r>
    </w:p>
    <w:p w14:paraId="524F481C" w14:textId="77777777" w:rsidR="00971D35" w:rsidRPr="00101DE6" w:rsidRDefault="007C3E4F" w:rsidP="005413A7">
      <w:pPr>
        <w:pStyle w:val="SingleTxtG"/>
        <w:rPr>
          <w:lang w:val="en-GB"/>
        </w:rPr>
      </w:pPr>
      <w:r w:rsidRPr="00101DE6">
        <w:rPr>
          <w:lang w:val="en-GB"/>
        </w:rPr>
        <w:t>3.4</w:t>
      </w:r>
      <w:r w:rsidRPr="00101DE6">
        <w:rPr>
          <w:lang w:val="en-GB"/>
        </w:rPr>
        <w:tab/>
      </w:r>
      <w:r w:rsidR="00E4767C" w:rsidRPr="00101DE6">
        <w:rPr>
          <w:lang w:val="en-GB"/>
        </w:rPr>
        <w:t xml:space="preserve">Regarding the exhaustion of domestic remedies, the author notes that </w:t>
      </w:r>
      <w:r w:rsidR="008121A4" w:rsidRPr="00101DE6">
        <w:rPr>
          <w:lang w:val="en-GB"/>
        </w:rPr>
        <w:t>his family’s civil</w:t>
      </w:r>
      <w:r w:rsidR="00E21D01" w:rsidRPr="00101DE6">
        <w:rPr>
          <w:lang w:val="en-GB"/>
        </w:rPr>
        <w:t xml:space="preserve"> lawsuit</w:t>
      </w:r>
      <w:r w:rsidR="00E4767C" w:rsidRPr="00101DE6">
        <w:rPr>
          <w:lang w:val="en-GB"/>
        </w:rPr>
        <w:t xml:space="preserve"> </w:t>
      </w:r>
      <w:r w:rsidR="008121A4" w:rsidRPr="00101DE6">
        <w:rPr>
          <w:lang w:val="en-GB"/>
        </w:rPr>
        <w:t xml:space="preserve">was </w:t>
      </w:r>
      <w:r w:rsidR="00E4767C" w:rsidRPr="00101DE6">
        <w:rPr>
          <w:lang w:val="en-GB"/>
        </w:rPr>
        <w:t>reviewed by the Czech Supreme Court and the Czech Constitutional Court, with negative results. The author states that the matter in question has not been submitted for examination before another procedure of internation</w:t>
      </w:r>
      <w:r w:rsidR="00726772" w:rsidRPr="00101DE6">
        <w:rPr>
          <w:lang w:val="en-GB"/>
        </w:rPr>
        <w:t>al investigation or settlement.</w:t>
      </w:r>
    </w:p>
    <w:p w14:paraId="468E464C" w14:textId="77777777" w:rsidR="00971D35" w:rsidRPr="00101DE6" w:rsidRDefault="00551F71" w:rsidP="00551F71">
      <w:pPr>
        <w:pStyle w:val="H23G"/>
      </w:pPr>
      <w:r w:rsidRPr="00101DE6">
        <w:tab/>
      </w:r>
      <w:r w:rsidRPr="00101DE6">
        <w:tab/>
      </w:r>
      <w:r w:rsidR="00971D35" w:rsidRPr="00101DE6">
        <w:t>State party’s observations on admissibility and on the merits</w:t>
      </w:r>
    </w:p>
    <w:p w14:paraId="5B2BA035" w14:textId="77777777" w:rsidR="00041736" w:rsidRPr="00101DE6" w:rsidRDefault="00E45407" w:rsidP="001F345E">
      <w:pPr>
        <w:pStyle w:val="SingleTxtG"/>
        <w:rPr>
          <w:lang w:val="en-GB"/>
        </w:rPr>
      </w:pPr>
      <w:r w:rsidRPr="00101DE6">
        <w:rPr>
          <w:lang w:val="en-GB"/>
        </w:rPr>
        <w:t>4.1</w:t>
      </w:r>
      <w:r w:rsidRPr="00101DE6">
        <w:rPr>
          <w:lang w:val="en-GB"/>
        </w:rPr>
        <w:tab/>
      </w:r>
      <w:r w:rsidR="00971D35" w:rsidRPr="00101DE6">
        <w:rPr>
          <w:lang w:val="en-GB"/>
        </w:rPr>
        <w:t xml:space="preserve">In its observations dated </w:t>
      </w:r>
      <w:r w:rsidR="00E4767C" w:rsidRPr="00101DE6">
        <w:rPr>
          <w:lang w:val="en-GB"/>
        </w:rPr>
        <w:t>28 January 2011</w:t>
      </w:r>
      <w:r w:rsidR="001C015D" w:rsidRPr="00101DE6">
        <w:rPr>
          <w:lang w:val="en-GB"/>
        </w:rPr>
        <w:t xml:space="preserve"> and 24 August 2012</w:t>
      </w:r>
      <w:r w:rsidR="00E4767C" w:rsidRPr="00101DE6">
        <w:rPr>
          <w:lang w:val="en-GB"/>
        </w:rPr>
        <w:t>,</w:t>
      </w:r>
      <w:r w:rsidR="00971D35" w:rsidRPr="00101DE6">
        <w:rPr>
          <w:lang w:val="en-GB"/>
        </w:rPr>
        <w:t xml:space="preserve"> the State party </w:t>
      </w:r>
      <w:r w:rsidR="00E4767C" w:rsidRPr="00101DE6">
        <w:rPr>
          <w:lang w:val="en-GB"/>
        </w:rPr>
        <w:t>adds to the factual b</w:t>
      </w:r>
      <w:r w:rsidR="00637649" w:rsidRPr="00101DE6">
        <w:rPr>
          <w:lang w:val="en-GB"/>
        </w:rPr>
        <w:t xml:space="preserve">ackground of the communication. The State party observes </w:t>
      </w:r>
      <w:r w:rsidR="00E4767C" w:rsidRPr="00101DE6">
        <w:rPr>
          <w:lang w:val="en-GB"/>
        </w:rPr>
        <w:t>that</w:t>
      </w:r>
      <w:r w:rsidR="00935715" w:rsidRPr="00101DE6">
        <w:rPr>
          <w:lang w:val="en-GB"/>
        </w:rPr>
        <w:t>,</w:t>
      </w:r>
      <w:r w:rsidR="00E4767C" w:rsidRPr="00101DE6">
        <w:rPr>
          <w:lang w:val="en-GB"/>
        </w:rPr>
        <w:t xml:space="preserve"> during the proceedings before the District Court, the respondent (the private company </w:t>
      </w:r>
      <w:r w:rsidR="00BB2310" w:rsidRPr="00101DE6">
        <w:rPr>
          <w:lang w:val="en-GB"/>
        </w:rPr>
        <w:t>S</w:t>
      </w:r>
      <w:r w:rsidR="00E4767C" w:rsidRPr="00101DE6">
        <w:rPr>
          <w:lang w:val="en-GB"/>
        </w:rPr>
        <w:t>) commented on the lawsuit</w:t>
      </w:r>
      <w:r w:rsidR="00AF0362" w:rsidRPr="00101DE6">
        <w:rPr>
          <w:lang w:val="en-GB"/>
        </w:rPr>
        <w:t>,</w:t>
      </w:r>
      <w:r w:rsidR="00E4767C" w:rsidRPr="00101DE6">
        <w:rPr>
          <w:lang w:val="en-GB"/>
        </w:rPr>
        <w:t xml:space="preserve"> noting that it was not the owner of some of the specified properties and that </w:t>
      </w:r>
      <w:r w:rsidR="00637649" w:rsidRPr="00101DE6">
        <w:rPr>
          <w:lang w:val="en-GB"/>
        </w:rPr>
        <w:t xml:space="preserve">it </w:t>
      </w:r>
      <w:r w:rsidR="00E4767C" w:rsidRPr="00101DE6">
        <w:rPr>
          <w:lang w:val="en-GB"/>
        </w:rPr>
        <w:t>was</w:t>
      </w:r>
      <w:r w:rsidR="00637649" w:rsidRPr="00101DE6">
        <w:rPr>
          <w:lang w:val="en-GB"/>
        </w:rPr>
        <w:t xml:space="preserve"> therefore</w:t>
      </w:r>
      <w:r w:rsidR="00E4767C" w:rsidRPr="00101DE6">
        <w:rPr>
          <w:lang w:val="en-GB"/>
        </w:rPr>
        <w:t xml:space="preserve"> not capable of being sued with respect to such properties</w:t>
      </w:r>
      <w:r w:rsidR="002464D1" w:rsidRPr="00101DE6">
        <w:rPr>
          <w:lang w:val="en-GB"/>
        </w:rPr>
        <w:t xml:space="preserve">. It also noted </w:t>
      </w:r>
      <w:r w:rsidR="00E4767C" w:rsidRPr="00101DE6">
        <w:rPr>
          <w:lang w:val="en-GB"/>
        </w:rPr>
        <w:t>that it had acquired the other properties on the basis of a duly approved privati</w:t>
      </w:r>
      <w:r w:rsidR="00AF0362" w:rsidRPr="00101DE6">
        <w:rPr>
          <w:lang w:val="en-GB"/>
        </w:rPr>
        <w:t>z</w:t>
      </w:r>
      <w:r w:rsidR="00E4767C" w:rsidRPr="00101DE6">
        <w:rPr>
          <w:lang w:val="en-GB"/>
        </w:rPr>
        <w:t>ation project in 1992 and became their owner no later than on 8 December 1992. The company remarked that it had been using the properties in good faith as the owner for more than 10 y</w:t>
      </w:r>
      <w:r w:rsidR="00DD07E2" w:rsidRPr="00101DE6">
        <w:rPr>
          <w:lang w:val="en-GB"/>
        </w:rPr>
        <w:t>ears and that</w:t>
      </w:r>
      <w:r w:rsidR="002464D1" w:rsidRPr="00101DE6">
        <w:rPr>
          <w:lang w:val="en-GB"/>
        </w:rPr>
        <w:t>,</w:t>
      </w:r>
      <w:r w:rsidR="00DD07E2" w:rsidRPr="00101DE6">
        <w:rPr>
          <w:lang w:val="en-GB"/>
        </w:rPr>
        <w:t xml:space="preserve"> therefore, even if there were legal defects in its ownership of the properties, it </w:t>
      </w:r>
      <w:r w:rsidR="0066042B" w:rsidRPr="00101DE6">
        <w:rPr>
          <w:lang w:val="en-GB"/>
        </w:rPr>
        <w:t xml:space="preserve">had </w:t>
      </w:r>
      <w:r w:rsidR="00DD07E2" w:rsidRPr="00101DE6">
        <w:rPr>
          <w:lang w:val="en-GB"/>
        </w:rPr>
        <w:t>acquired them by p</w:t>
      </w:r>
      <w:r w:rsidR="00E4767C" w:rsidRPr="00101DE6">
        <w:rPr>
          <w:lang w:val="en-GB"/>
        </w:rPr>
        <w:t xml:space="preserve">ositive prescription </w:t>
      </w:r>
      <w:r w:rsidR="00654DCB" w:rsidRPr="00101DE6">
        <w:rPr>
          <w:lang w:val="en-GB"/>
        </w:rPr>
        <w:t>upon</w:t>
      </w:r>
      <w:r w:rsidR="00E4767C" w:rsidRPr="00101DE6">
        <w:rPr>
          <w:lang w:val="en-GB"/>
        </w:rPr>
        <w:t xml:space="preserve"> </w:t>
      </w:r>
      <w:r w:rsidR="00654DCB" w:rsidRPr="00101DE6">
        <w:rPr>
          <w:lang w:val="en-GB"/>
        </w:rPr>
        <w:t>expiration</w:t>
      </w:r>
      <w:r w:rsidR="00E4767C" w:rsidRPr="00101DE6">
        <w:rPr>
          <w:lang w:val="en-GB"/>
        </w:rPr>
        <w:t xml:space="preserve"> of the </w:t>
      </w:r>
      <w:r w:rsidR="00654DCB" w:rsidRPr="00101DE6">
        <w:rPr>
          <w:lang w:val="en-GB"/>
        </w:rPr>
        <w:t>10-year period</w:t>
      </w:r>
      <w:r w:rsidR="00E4767C" w:rsidRPr="00101DE6">
        <w:rPr>
          <w:lang w:val="en-GB"/>
        </w:rPr>
        <w:t xml:space="preserve">. </w:t>
      </w:r>
      <w:r w:rsidR="0064076C" w:rsidRPr="00101DE6">
        <w:rPr>
          <w:lang w:val="en-GB"/>
        </w:rPr>
        <w:t xml:space="preserve">In response to </w:t>
      </w:r>
      <w:r w:rsidR="00BB2310" w:rsidRPr="00101DE6">
        <w:rPr>
          <w:lang w:val="en-GB"/>
        </w:rPr>
        <w:t xml:space="preserve">S’s </w:t>
      </w:r>
      <w:r w:rsidR="0064076C" w:rsidRPr="00101DE6">
        <w:rPr>
          <w:lang w:val="en-GB"/>
        </w:rPr>
        <w:t>submission, the author and the other a</w:t>
      </w:r>
      <w:r w:rsidR="0066042B" w:rsidRPr="00101DE6">
        <w:rPr>
          <w:lang w:val="en-GB"/>
        </w:rPr>
        <w:t>lleged victims withdrew their claims relating to certain properties</w:t>
      </w:r>
      <w:r w:rsidR="0064076C" w:rsidRPr="00101DE6">
        <w:rPr>
          <w:lang w:val="en-GB"/>
        </w:rPr>
        <w:t xml:space="preserve"> and </w:t>
      </w:r>
      <w:r w:rsidR="0066042B" w:rsidRPr="00101DE6">
        <w:rPr>
          <w:lang w:val="en-GB"/>
        </w:rPr>
        <w:t>simultaneously</w:t>
      </w:r>
      <w:r w:rsidR="0064076C" w:rsidRPr="00101DE6">
        <w:rPr>
          <w:lang w:val="en-GB"/>
        </w:rPr>
        <w:t xml:space="preserve"> </w:t>
      </w:r>
      <w:r w:rsidR="00DD07E2" w:rsidRPr="00101DE6">
        <w:rPr>
          <w:lang w:val="en-GB"/>
        </w:rPr>
        <w:t>presented an additional</w:t>
      </w:r>
      <w:r w:rsidR="0064076C" w:rsidRPr="00101DE6">
        <w:rPr>
          <w:lang w:val="en-GB"/>
        </w:rPr>
        <w:t xml:space="preserve"> claim seeking </w:t>
      </w:r>
      <w:r w:rsidR="00A704D2" w:rsidRPr="00101DE6">
        <w:rPr>
          <w:lang w:val="en-GB"/>
        </w:rPr>
        <w:t xml:space="preserve">a </w:t>
      </w:r>
      <w:r w:rsidR="0064076C" w:rsidRPr="00101DE6">
        <w:rPr>
          <w:lang w:val="en-GB"/>
        </w:rPr>
        <w:t xml:space="preserve">declaration that </w:t>
      </w:r>
      <w:r w:rsidR="000A002D" w:rsidRPr="00101DE6">
        <w:rPr>
          <w:lang w:val="en-GB"/>
        </w:rPr>
        <w:t>J</w:t>
      </w:r>
      <w:r w:rsidR="0064076C" w:rsidRPr="00101DE6">
        <w:rPr>
          <w:lang w:val="en-GB"/>
        </w:rPr>
        <w:t xml:space="preserve"> had owned the remaining properties on the day of his death. After a hearing, the District Court conceded that the claimants in general had </w:t>
      </w:r>
      <w:r w:rsidR="00637649" w:rsidRPr="00101DE6">
        <w:rPr>
          <w:lang w:val="en-GB"/>
        </w:rPr>
        <w:t xml:space="preserve">a </w:t>
      </w:r>
      <w:r w:rsidR="0064076C" w:rsidRPr="00101DE6">
        <w:rPr>
          <w:lang w:val="en-GB"/>
        </w:rPr>
        <w:t xml:space="preserve">“legal interest” in the declaration </w:t>
      </w:r>
      <w:r w:rsidR="00637649" w:rsidRPr="00101DE6">
        <w:rPr>
          <w:lang w:val="en-GB"/>
        </w:rPr>
        <w:t>of property ownership</w:t>
      </w:r>
      <w:r w:rsidR="0064076C" w:rsidRPr="00101DE6">
        <w:rPr>
          <w:lang w:val="en-GB"/>
        </w:rPr>
        <w:t xml:space="preserve">, within the meaning of </w:t>
      </w:r>
      <w:r w:rsidR="002464D1" w:rsidRPr="00101DE6">
        <w:rPr>
          <w:lang w:val="en-GB"/>
        </w:rPr>
        <w:t>s</w:t>
      </w:r>
      <w:r w:rsidR="0064076C" w:rsidRPr="00101DE6">
        <w:rPr>
          <w:lang w:val="en-GB"/>
        </w:rPr>
        <w:t>ection 80</w:t>
      </w:r>
      <w:r w:rsidR="00A704D2" w:rsidRPr="00101DE6">
        <w:rPr>
          <w:lang w:val="en-GB"/>
        </w:rPr>
        <w:t> </w:t>
      </w:r>
      <w:r w:rsidR="0064076C" w:rsidRPr="00101DE6">
        <w:rPr>
          <w:lang w:val="en-GB"/>
        </w:rPr>
        <w:t xml:space="preserve">(c) of the </w:t>
      </w:r>
      <w:r w:rsidR="00C71ED2" w:rsidRPr="00101DE6">
        <w:rPr>
          <w:lang w:val="en-GB"/>
        </w:rPr>
        <w:t>Rules</w:t>
      </w:r>
      <w:r w:rsidR="0064076C" w:rsidRPr="00101DE6">
        <w:rPr>
          <w:lang w:val="en-GB"/>
        </w:rPr>
        <w:t xml:space="preserve"> of Civil Procedure, </w:t>
      </w:r>
      <w:r w:rsidR="00230445" w:rsidRPr="00101DE6">
        <w:rPr>
          <w:lang w:val="en-GB"/>
        </w:rPr>
        <w:t>in that</w:t>
      </w:r>
      <w:r w:rsidR="00A704D2" w:rsidRPr="00101DE6">
        <w:rPr>
          <w:lang w:val="en-GB"/>
        </w:rPr>
        <w:t xml:space="preserve"> </w:t>
      </w:r>
      <w:r w:rsidR="0064076C" w:rsidRPr="00101DE6">
        <w:rPr>
          <w:lang w:val="en-GB"/>
        </w:rPr>
        <w:t>they were seeking a declaration of an ownership title that should be registered in the cadastre and</w:t>
      </w:r>
      <w:r w:rsidR="00A704D2" w:rsidRPr="00101DE6">
        <w:rPr>
          <w:lang w:val="en-GB"/>
        </w:rPr>
        <w:t>,</w:t>
      </w:r>
      <w:r w:rsidR="0064076C" w:rsidRPr="00101DE6">
        <w:rPr>
          <w:lang w:val="en-GB"/>
        </w:rPr>
        <w:t xml:space="preserve"> in the event of their success, the entry in the cadastre would be changed. </w:t>
      </w:r>
      <w:r w:rsidR="00637649" w:rsidRPr="00101DE6">
        <w:rPr>
          <w:lang w:val="en-GB"/>
        </w:rPr>
        <w:t>However, t</w:t>
      </w:r>
      <w:r w:rsidR="0064076C" w:rsidRPr="00101DE6">
        <w:rPr>
          <w:lang w:val="en-GB"/>
        </w:rPr>
        <w:t xml:space="preserve">he </w:t>
      </w:r>
      <w:r w:rsidR="00A704D2" w:rsidRPr="00101DE6">
        <w:rPr>
          <w:lang w:val="en-GB"/>
        </w:rPr>
        <w:t>District C</w:t>
      </w:r>
      <w:r w:rsidR="0064076C" w:rsidRPr="00101DE6">
        <w:rPr>
          <w:lang w:val="en-GB"/>
        </w:rPr>
        <w:t xml:space="preserve">ourt </w:t>
      </w:r>
      <w:r w:rsidR="00637649" w:rsidRPr="00101DE6">
        <w:rPr>
          <w:lang w:val="en-GB"/>
        </w:rPr>
        <w:t xml:space="preserve">also </w:t>
      </w:r>
      <w:r w:rsidR="0064076C" w:rsidRPr="00101DE6">
        <w:rPr>
          <w:lang w:val="en-GB"/>
        </w:rPr>
        <w:t xml:space="preserve">noted that </w:t>
      </w:r>
      <w:r w:rsidR="00A503DF" w:rsidRPr="00101DE6">
        <w:rPr>
          <w:lang w:val="en-GB"/>
        </w:rPr>
        <w:t>the</w:t>
      </w:r>
      <w:r w:rsidR="0064076C" w:rsidRPr="00101DE6">
        <w:rPr>
          <w:lang w:val="en-GB"/>
        </w:rPr>
        <w:t xml:space="preserve"> </w:t>
      </w:r>
      <w:r w:rsidR="00637649" w:rsidRPr="00101DE6">
        <w:rPr>
          <w:lang w:val="en-GB"/>
        </w:rPr>
        <w:t>transfer of ownership of the knitw</w:t>
      </w:r>
      <w:r w:rsidR="00A704D2" w:rsidRPr="00101DE6">
        <w:rPr>
          <w:lang w:val="en-GB"/>
        </w:rPr>
        <w:t>ear</w:t>
      </w:r>
      <w:r w:rsidR="00637649" w:rsidRPr="00101DE6">
        <w:rPr>
          <w:lang w:val="en-GB"/>
        </w:rPr>
        <w:t xml:space="preserve"> factory from </w:t>
      </w:r>
      <w:r w:rsidR="000A002D" w:rsidRPr="00101DE6">
        <w:rPr>
          <w:lang w:val="en-GB"/>
        </w:rPr>
        <w:t>J</w:t>
      </w:r>
      <w:r w:rsidR="00637649" w:rsidRPr="00101DE6">
        <w:rPr>
          <w:lang w:val="en-GB"/>
        </w:rPr>
        <w:t xml:space="preserve"> to the </w:t>
      </w:r>
      <w:r w:rsidR="00A704D2" w:rsidRPr="00101DE6">
        <w:rPr>
          <w:lang w:val="en-GB"/>
        </w:rPr>
        <w:t>S</w:t>
      </w:r>
      <w:r w:rsidR="00637649" w:rsidRPr="00101DE6">
        <w:rPr>
          <w:lang w:val="en-GB"/>
        </w:rPr>
        <w:t xml:space="preserve">tate, which occurred on the date </w:t>
      </w:r>
      <w:r w:rsidR="007D5FE5" w:rsidRPr="00101DE6">
        <w:rPr>
          <w:lang w:val="en-GB"/>
        </w:rPr>
        <w:t>on which Decree</w:t>
      </w:r>
      <w:r w:rsidR="00353F80" w:rsidRPr="00101DE6">
        <w:rPr>
          <w:lang w:val="en-GB"/>
        </w:rPr>
        <w:t xml:space="preserve"> No. </w:t>
      </w:r>
      <w:r w:rsidR="007D5FE5" w:rsidRPr="00101DE6">
        <w:rPr>
          <w:lang w:val="en-GB"/>
        </w:rPr>
        <w:t>100/1945 entered into force, t</w:t>
      </w:r>
      <w:r w:rsidR="00637649" w:rsidRPr="00101DE6">
        <w:rPr>
          <w:lang w:val="en-GB"/>
        </w:rPr>
        <w:t xml:space="preserve">ook </w:t>
      </w:r>
      <w:r w:rsidR="0064076C" w:rsidRPr="00101DE6">
        <w:rPr>
          <w:lang w:val="en-GB"/>
        </w:rPr>
        <w:t>place under legal regulations that form a part of the legal system and that th</w:t>
      </w:r>
      <w:r w:rsidR="00A704D2" w:rsidRPr="00101DE6">
        <w:rPr>
          <w:lang w:val="en-GB"/>
        </w:rPr>
        <w:t>o</w:t>
      </w:r>
      <w:r w:rsidR="0064076C" w:rsidRPr="00101DE6">
        <w:rPr>
          <w:lang w:val="en-GB"/>
        </w:rPr>
        <w:t xml:space="preserve">se regulations </w:t>
      </w:r>
      <w:r w:rsidR="00A704D2" w:rsidRPr="00101DE6">
        <w:rPr>
          <w:lang w:val="en-GB"/>
        </w:rPr>
        <w:t xml:space="preserve">could </w:t>
      </w:r>
      <w:r w:rsidR="0064076C" w:rsidRPr="00101DE6">
        <w:rPr>
          <w:lang w:val="en-GB"/>
        </w:rPr>
        <w:t xml:space="preserve">not </w:t>
      </w:r>
      <w:r w:rsidR="00A704D2" w:rsidRPr="00101DE6">
        <w:rPr>
          <w:lang w:val="en-GB"/>
        </w:rPr>
        <w:t>come under</w:t>
      </w:r>
      <w:r w:rsidR="0064076C" w:rsidRPr="00101DE6">
        <w:rPr>
          <w:lang w:val="en-GB"/>
        </w:rPr>
        <w:t xml:space="preserve"> court</w:t>
      </w:r>
      <w:r w:rsidR="00A704D2" w:rsidRPr="00101DE6">
        <w:rPr>
          <w:lang w:val="en-GB"/>
        </w:rPr>
        <w:t xml:space="preserve"> scrutiny</w:t>
      </w:r>
      <w:r w:rsidR="0064076C" w:rsidRPr="00101DE6">
        <w:rPr>
          <w:lang w:val="en-GB"/>
        </w:rPr>
        <w:t xml:space="preserve">. </w:t>
      </w:r>
      <w:r w:rsidR="00C71ED2" w:rsidRPr="00101DE6">
        <w:rPr>
          <w:lang w:val="en-GB"/>
        </w:rPr>
        <w:t>The District Court further found that</w:t>
      </w:r>
      <w:r w:rsidR="00E44313" w:rsidRPr="00101DE6">
        <w:rPr>
          <w:lang w:val="en-GB"/>
        </w:rPr>
        <w:t>,</w:t>
      </w:r>
      <w:r w:rsidR="00C71ED2" w:rsidRPr="00101DE6">
        <w:rPr>
          <w:lang w:val="en-GB"/>
        </w:rPr>
        <w:t xml:space="preserve"> </w:t>
      </w:r>
      <w:r w:rsidR="00E44313" w:rsidRPr="00101DE6">
        <w:rPr>
          <w:lang w:val="en-GB"/>
        </w:rPr>
        <w:t xml:space="preserve">owing </w:t>
      </w:r>
      <w:r w:rsidR="00C71ED2" w:rsidRPr="00101DE6">
        <w:rPr>
          <w:lang w:val="en-GB"/>
        </w:rPr>
        <w:t xml:space="preserve">to the </w:t>
      </w:r>
      <w:r w:rsidR="00B316AD" w:rsidRPr="00101DE6">
        <w:rPr>
          <w:lang w:val="en-GB"/>
        </w:rPr>
        <w:t>date on</w:t>
      </w:r>
      <w:r w:rsidR="00C71ED2" w:rsidRPr="00101DE6">
        <w:rPr>
          <w:lang w:val="en-GB"/>
        </w:rPr>
        <w:t xml:space="preserve"> which the disputed real estate was transferred to </w:t>
      </w:r>
      <w:r w:rsidR="00BB2310" w:rsidRPr="00101DE6">
        <w:rPr>
          <w:lang w:val="en-GB"/>
        </w:rPr>
        <w:t>S</w:t>
      </w:r>
      <w:r w:rsidR="00C71ED2" w:rsidRPr="00101DE6">
        <w:rPr>
          <w:lang w:val="en-GB"/>
        </w:rPr>
        <w:t xml:space="preserve">, the restitution regulations did not apply and civil proceedings could not expand or replace the scope of the restitution regulations. </w:t>
      </w:r>
      <w:r w:rsidR="006E6F6D" w:rsidRPr="00101DE6">
        <w:rPr>
          <w:lang w:val="en-GB"/>
        </w:rPr>
        <w:t xml:space="preserve">The </w:t>
      </w:r>
      <w:r w:rsidR="00E44313" w:rsidRPr="00101DE6">
        <w:rPr>
          <w:lang w:val="en-GB"/>
        </w:rPr>
        <w:t>District C</w:t>
      </w:r>
      <w:r w:rsidR="006E6F6D" w:rsidRPr="00101DE6">
        <w:rPr>
          <w:lang w:val="en-GB"/>
        </w:rPr>
        <w:t>ourt also stated that neither the nationality nor the citizenship of the claimants or their legal predecessor, nor their acts in the 1930s and 1940s were “decisive facts”</w:t>
      </w:r>
      <w:r w:rsidR="00041736" w:rsidRPr="00101DE6">
        <w:rPr>
          <w:lang w:val="en-GB"/>
        </w:rPr>
        <w:t>.</w:t>
      </w:r>
      <w:r w:rsidR="006E6F6D" w:rsidRPr="00101DE6">
        <w:rPr>
          <w:lang w:val="en-GB"/>
        </w:rPr>
        <w:t xml:space="preserve"> In their appeal before the Constitutional </w:t>
      </w:r>
      <w:r w:rsidR="006E6F6D" w:rsidRPr="00101DE6">
        <w:rPr>
          <w:lang w:val="en-GB"/>
        </w:rPr>
        <w:lastRenderedPageBreak/>
        <w:t xml:space="preserve">Court, the author </w:t>
      </w:r>
      <w:r w:rsidR="00DD07E2" w:rsidRPr="00101DE6">
        <w:rPr>
          <w:lang w:val="en-GB"/>
        </w:rPr>
        <w:t xml:space="preserve">and his family stated </w:t>
      </w:r>
      <w:r w:rsidR="00041736" w:rsidRPr="00101DE6">
        <w:rPr>
          <w:lang w:val="en-GB"/>
        </w:rPr>
        <w:t>that, in their view, the opinion of the Constitutional Court’s plenum did not apply to their case. Moreover, they stated the following:</w:t>
      </w:r>
      <w:r w:rsidR="00DD07E2" w:rsidRPr="00101DE6">
        <w:rPr>
          <w:lang w:val="en-GB"/>
        </w:rPr>
        <w:t xml:space="preserve"> </w:t>
      </w:r>
    </w:p>
    <w:p w14:paraId="33ADFFD9" w14:textId="77777777" w:rsidR="00C71ED2" w:rsidRPr="00101DE6" w:rsidRDefault="006E6F6D" w:rsidP="001F345E">
      <w:pPr>
        <w:pStyle w:val="SingleTxtG"/>
        <w:ind w:left="1701"/>
        <w:rPr>
          <w:lang w:val="en-GB"/>
        </w:rPr>
      </w:pPr>
      <w:r w:rsidRPr="00101DE6">
        <w:rPr>
          <w:lang w:val="en-GB"/>
        </w:rPr>
        <w:t>Decree</w:t>
      </w:r>
      <w:r w:rsidR="00353F80" w:rsidRPr="00101DE6">
        <w:rPr>
          <w:lang w:val="en-GB"/>
        </w:rPr>
        <w:t xml:space="preserve"> No. </w:t>
      </w:r>
      <w:r w:rsidRPr="00101DE6">
        <w:rPr>
          <w:lang w:val="en-GB"/>
        </w:rPr>
        <w:t xml:space="preserve">100/1945 was … directed against business owners regardless of their nationality, citizenship or attitudes during occupation. </w:t>
      </w:r>
      <w:r w:rsidR="00AE7111" w:rsidRPr="00101DE6">
        <w:rPr>
          <w:lang w:val="en-GB"/>
        </w:rPr>
        <w:t>The cl</w:t>
      </w:r>
      <w:r w:rsidRPr="00101DE6">
        <w:rPr>
          <w:lang w:val="en-GB"/>
        </w:rPr>
        <w:t>a</w:t>
      </w:r>
      <w:r w:rsidR="00AE7111" w:rsidRPr="00101DE6">
        <w:rPr>
          <w:lang w:val="en-GB"/>
        </w:rPr>
        <w:t>i</w:t>
      </w:r>
      <w:r w:rsidRPr="00101DE6">
        <w:rPr>
          <w:lang w:val="en-GB"/>
        </w:rPr>
        <w:t xml:space="preserve">mants agree with the decision of the Constitutional Court plenum that the current owners’ ownership rights, </w:t>
      </w:r>
      <w:r w:rsidR="00E44313" w:rsidRPr="00101DE6">
        <w:rPr>
          <w:lang w:val="en-GB"/>
        </w:rPr>
        <w:t xml:space="preserve">which were </w:t>
      </w:r>
      <w:r w:rsidRPr="00101DE6">
        <w:rPr>
          <w:lang w:val="en-GB"/>
        </w:rPr>
        <w:t>acquired in good faith, should not be challenged without good reason. However, they hold the view that they have the right to demand compensation for nationali</w:t>
      </w:r>
      <w:r w:rsidR="00B34775" w:rsidRPr="00101DE6">
        <w:rPr>
          <w:lang w:val="en-GB"/>
        </w:rPr>
        <w:t>z</w:t>
      </w:r>
      <w:r w:rsidRPr="00101DE6">
        <w:rPr>
          <w:lang w:val="en-GB"/>
        </w:rPr>
        <w:t>ed assets</w:t>
      </w:r>
      <w:r w:rsidR="00E44313" w:rsidRPr="00101DE6">
        <w:rPr>
          <w:lang w:val="en-GB"/>
        </w:rPr>
        <w:t xml:space="preserve"> and</w:t>
      </w:r>
      <w:r w:rsidRPr="00101DE6">
        <w:rPr>
          <w:lang w:val="en-GB"/>
        </w:rPr>
        <w:t xml:space="preserve"> also for the ownership rights acquired as above, including, and in particular, in accordance with Decree</w:t>
      </w:r>
      <w:r w:rsidR="00353F80" w:rsidRPr="00101DE6">
        <w:rPr>
          <w:lang w:val="en-GB"/>
        </w:rPr>
        <w:t xml:space="preserve"> No. </w:t>
      </w:r>
      <w:r w:rsidRPr="00101DE6">
        <w:rPr>
          <w:lang w:val="en-GB"/>
        </w:rPr>
        <w:t xml:space="preserve">100/1945 subject to </w:t>
      </w:r>
      <w:r w:rsidR="009A5872" w:rsidRPr="00101DE6">
        <w:rPr>
          <w:lang w:val="en-GB"/>
        </w:rPr>
        <w:t xml:space="preserve">the </w:t>
      </w:r>
      <w:r w:rsidRPr="00101DE6">
        <w:rPr>
          <w:lang w:val="en-GB"/>
        </w:rPr>
        <w:t>correct application</w:t>
      </w:r>
      <w:r w:rsidR="009A5872" w:rsidRPr="00101DE6">
        <w:rPr>
          <w:lang w:val="en-GB"/>
        </w:rPr>
        <w:t xml:space="preserve"> thereof</w:t>
      </w:r>
      <w:r w:rsidRPr="00101DE6">
        <w:rPr>
          <w:lang w:val="en-GB"/>
        </w:rPr>
        <w:t>; if such compensation was not determined and provided within the six-month time limit from the nationali</w:t>
      </w:r>
      <w:r w:rsidR="009A5872" w:rsidRPr="00101DE6">
        <w:rPr>
          <w:lang w:val="en-GB"/>
        </w:rPr>
        <w:t>z</w:t>
      </w:r>
      <w:r w:rsidRPr="00101DE6">
        <w:rPr>
          <w:lang w:val="en-GB"/>
        </w:rPr>
        <w:t>ation, such nationali</w:t>
      </w:r>
      <w:r w:rsidR="009A5872" w:rsidRPr="00101DE6">
        <w:rPr>
          <w:lang w:val="en-GB"/>
        </w:rPr>
        <w:t>z</w:t>
      </w:r>
      <w:r w:rsidRPr="00101DE6">
        <w:rPr>
          <w:lang w:val="en-GB"/>
        </w:rPr>
        <w:t xml:space="preserve">ation through </w:t>
      </w:r>
      <w:r w:rsidRPr="00101DE6">
        <w:rPr>
          <w:i/>
          <w:lang w:val="en-GB"/>
        </w:rPr>
        <w:t>étatisation</w:t>
      </w:r>
      <w:r w:rsidRPr="00101DE6">
        <w:rPr>
          <w:lang w:val="en-GB"/>
        </w:rPr>
        <w:t xml:space="preserve"> has not yet been perfected.</w:t>
      </w:r>
    </w:p>
    <w:p w14:paraId="353D0591" w14:textId="77777777" w:rsidR="00971D35" w:rsidRPr="00101DE6" w:rsidRDefault="00094F8F" w:rsidP="00704059">
      <w:pPr>
        <w:pStyle w:val="SingleTxtG"/>
        <w:rPr>
          <w:lang w:val="en-GB"/>
        </w:rPr>
      </w:pPr>
      <w:r w:rsidRPr="00101DE6">
        <w:rPr>
          <w:lang w:val="en-GB"/>
        </w:rPr>
        <w:t>4.2</w:t>
      </w:r>
      <w:r w:rsidR="00971D35" w:rsidRPr="00101DE6">
        <w:rPr>
          <w:lang w:val="en-GB"/>
        </w:rPr>
        <w:tab/>
        <w:t xml:space="preserve">The State party considers that </w:t>
      </w:r>
      <w:r w:rsidR="007543DF" w:rsidRPr="00101DE6">
        <w:rPr>
          <w:lang w:val="en-GB"/>
        </w:rPr>
        <w:t xml:space="preserve">the author </w:t>
      </w:r>
      <w:r w:rsidR="00AF77DE" w:rsidRPr="00101DE6">
        <w:rPr>
          <w:lang w:val="en-GB"/>
        </w:rPr>
        <w:t xml:space="preserve">and </w:t>
      </w:r>
      <w:r w:rsidR="00AC7446" w:rsidRPr="00101DE6">
        <w:rPr>
          <w:lang w:val="en-GB"/>
        </w:rPr>
        <w:t>his family</w:t>
      </w:r>
      <w:r w:rsidR="007543DF" w:rsidRPr="00101DE6">
        <w:rPr>
          <w:lang w:val="en-GB"/>
        </w:rPr>
        <w:t xml:space="preserve"> have failed to exhaust domestic remedies, </w:t>
      </w:r>
      <w:r w:rsidR="00230445" w:rsidRPr="00101DE6">
        <w:rPr>
          <w:lang w:val="en-GB"/>
        </w:rPr>
        <w:t>in that</w:t>
      </w:r>
      <w:r w:rsidR="009A5872" w:rsidRPr="00101DE6">
        <w:rPr>
          <w:lang w:val="en-GB"/>
        </w:rPr>
        <w:t xml:space="preserve"> </w:t>
      </w:r>
      <w:r w:rsidR="007543DF" w:rsidRPr="00101DE6">
        <w:rPr>
          <w:lang w:val="en-GB"/>
        </w:rPr>
        <w:t>they did not bring proceedings in which they could have raised their claim for compensation for the nationali</w:t>
      </w:r>
      <w:r w:rsidR="00B34775" w:rsidRPr="00101DE6">
        <w:rPr>
          <w:lang w:val="en-GB"/>
        </w:rPr>
        <w:t>z</w:t>
      </w:r>
      <w:r w:rsidR="007543DF" w:rsidRPr="00101DE6">
        <w:rPr>
          <w:lang w:val="en-GB"/>
        </w:rPr>
        <w:t>ed factory.</w:t>
      </w:r>
      <w:r w:rsidR="00545428" w:rsidRPr="00101DE6">
        <w:rPr>
          <w:lang w:val="en-GB"/>
        </w:rPr>
        <w:t xml:space="preserve"> The author and his family had</w:t>
      </w:r>
      <w:r w:rsidR="009A5872" w:rsidRPr="00101DE6">
        <w:rPr>
          <w:lang w:val="en-GB"/>
        </w:rPr>
        <w:t>,</w:t>
      </w:r>
      <w:r w:rsidR="00545428" w:rsidRPr="00101DE6">
        <w:rPr>
          <w:lang w:val="en-GB"/>
        </w:rPr>
        <w:t xml:space="preserve"> and still have</w:t>
      </w:r>
      <w:r w:rsidR="009A5872" w:rsidRPr="00101DE6">
        <w:rPr>
          <w:lang w:val="en-GB"/>
        </w:rPr>
        <w:t>,</w:t>
      </w:r>
      <w:r w:rsidR="00545428" w:rsidRPr="00101DE6">
        <w:rPr>
          <w:lang w:val="en-GB"/>
        </w:rPr>
        <w:t xml:space="preserve"> the opportunity to claim the disputed compensation from the Ministry of Finance, which is required by law to decide on petitions brought for compensation of property nationali</w:t>
      </w:r>
      <w:r w:rsidR="00B34775" w:rsidRPr="00101DE6">
        <w:rPr>
          <w:lang w:val="en-GB"/>
        </w:rPr>
        <w:t>z</w:t>
      </w:r>
      <w:r w:rsidR="00545428" w:rsidRPr="00101DE6">
        <w:rPr>
          <w:lang w:val="en-GB"/>
        </w:rPr>
        <w:t>ed under Decree</w:t>
      </w:r>
      <w:r w:rsidR="00353F80" w:rsidRPr="00101DE6">
        <w:rPr>
          <w:lang w:val="en-GB"/>
        </w:rPr>
        <w:t xml:space="preserve"> No. </w:t>
      </w:r>
      <w:r w:rsidR="00545428" w:rsidRPr="00101DE6">
        <w:rPr>
          <w:lang w:val="en-GB"/>
        </w:rPr>
        <w:t>100/1945.</w:t>
      </w:r>
      <w:r w:rsidR="00545428" w:rsidRPr="00101DE6">
        <w:rPr>
          <w:rStyle w:val="FootnoteReference"/>
          <w:lang w:val="en-GB"/>
        </w:rPr>
        <w:footnoteReference w:id="13"/>
      </w:r>
      <w:r w:rsidR="00545428" w:rsidRPr="00101DE6">
        <w:rPr>
          <w:lang w:val="en-GB"/>
        </w:rPr>
        <w:t xml:space="preserve"> The State party therefore considers that the author and his family have used the wrong procedure to raise their claims. </w:t>
      </w:r>
      <w:r w:rsidR="00AC7446" w:rsidRPr="00101DE6">
        <w:rPr>
          <w:lang w:val="en-GB"/>
        </w:rPr>
        <w:t xml:space="preserve">Concerning the claim under </w:t>
      </w:r>
      <w:r w:rsidR="00B37284" w:rsidRPr="00101DE6">
        <w:rPr>
          <w:lang w:val="en-GB"/>
        </w:rPr>
        <w:t>article </w:t>
      </w:r>
      <w:r w:rsidR="00AC7446" w:rsidRPr="00101DE6">
        <w:rPr>
          <w:lang w:val="en-GB"/>
        </w:rPr>
        <w:t>14</w:t>
      </w:r>
      <w:r w:rsidR="00502CDF" w:rsidRPr="00101DE6" w:rsidDel="00502CDF">
        <w:rPr>
          <w:lang w:val="en-GB"/>
        </w:rPr>
        <w:t xml:space="preserve"> </w:t>
      </w:r>
      <w:r w:rsidR="00502CDF" w:rsidRPr="00101DE6">
        <w:rPr>
          <w:lang w:val="en-GB"/>
        </w:rPr>
        <w:t>(</w:t>
      </w:r>
      <w:r w:rsidR="00AC7446" w:rsidRPr="00101DE6">
        <w:rPr>
          <w:lang w:val="en-GB"/>
        </w:rPr>
        <w:t>1</w:t>
      </w:r>
      <w:r w:rsidR="00502CDF" w:rsidRPr="00101DE6">
        <w:rPr>
          <w:lang w:val="en-GB"/>
        </w:rPr>
        <w:t>)</w:t>
      </w:r>
      <w:r w:rsidR="00C03F0E" w:rsidRPr="00101DE6">
        <w:rPr>
          <w:lang w:val="en-GB"/>
        </w:rPr>
        <w:t xml:space="preserve"> of the Covenant</w:t>
      </w:r>
      <w:r w:rsidR="00AC7446" w:rsidRPr="00101DE6">
        <w:rPr>
          <w:lang w:val="en-GB"/>
        </w:rPr>
        <w:t xml:space="preserve">, read in conjunction with </w:t>
      </w:r>
      <w:r w:rsidR="00B37284" w:rsidRPr="00101DE6">
        <w:rPr>
          <w:lang w:val="en-GB"/>
        </w:rPr>
        <w:t>article</w:t>
      </w:r>
      <w:r w:rsidR="006E589A" w:rsidRPr="00101DE6">
        <w:rPr>
          <w:lang w:val="en-GB"/>
        </w:rPr>
        <w:t>s</w:t>
      </w:r>
      <w:r w:rsidR="00B37284" w:rsidRPr="00101DE6">
        <w:rPr>
          <w:lang w:val="en-GB"/>
        </w:rPr>
        <w:t> </w:t>
      </w:r>
      <w:r w:rsidR="00AC7446" w:rsidRPr="00101DE6">
        <w:rPr>
          <w:lang w:val="en-GB"/>
        </w:rPr>
        <w:t>2</w:t>
      </w:r>
      <w:r w:rsidR="00502CDF" w:rsidRPr="00101DE6" w:rsidDel="00502CDF">
        <w:rPr>
          <w:lang w:val="en-GB"/>
        </w:rPr>
        <w:t xml:space="preserve"> </w:t>
      </w:r>
      <w:r w:rsidR="00502CDF" w:rsidRPr="00101DE6">
        <w:rPr>
          <w:lang w:val="en-GB"/>
        </w:rPr>
        <w:t>(</w:t>
      </w:r>
      <w:r w:rsidR="00AC7446" w:rsidRPr="00101DE6">
        <w:rPr>
          <w:lang w:val="en-GB"/>
        </w:rPr>
        <w:t>1</w:t>
      </w:r>
      <w:r w:rsidR="00502CDF" w:rsidRPr="00101DE6">
        <w:rPr>
          <w:lang w:val="en-GB"/>
        </w:rPr>
        <w:t>)</w:t>
      </w:r>
      <w:r w:rsidR="00AC7446" w:rsidRPr="00101DE6">
        <w:rPr>
          <w:lang w:val="en-GB"/>
        </w:rPr>
        <w:t xml:space="preserve"> and </w:t>
      </w:r>
      <w:r w:rsidR="00B37284" w:rsidRPr="00101DE6">
        <w:rPr>
          <w:lang w:val="en-GB"/>
        </w:rPr>
        <w:t> </w:t>
      </w:r>
      <w:r w:rsidR="00AC7446" w:rsidRPr="00101DE6">
        <w:rPr>
          <w:lang w:val="en-GB"/>
        </w:rPr>
        <w:t>26</w:t>
      </w:r>
      <w:r w:rsidR="00041736" w:rsidRPr="00101DE6">
        <w:rPr>
          <w:lang w:val="en-GB"/>
        </w:rPr>
        <w:t>,</w:t>
      </w:r>
      <w:r w:rsidR="00AC7446" w:rsidRPr="00101DE6">
        <w:rPr>
          <w:lang w:val="en-GB"/>
        </w:rPr>
        <w:t xml:space="preserve"> the author and his family could have</w:t>
      </w:r>
      <w:r w:rsidR="009A5872" w:rsidRPr="00101DE6">
        <w:rPr>
          <w:lang w:val="en-GB"/>
        </w:rPr>
        <w:t xml:space="preserve"> brought</w:t>
      </w:r>
      <w:r w:rsidR="00AC7446" w:rsidRPr="00101DE6">
        <w:rPr>
          <w:lang w:val="en-GB"/>
        </w:rPr>
        <w:t xml:space="preserve"> a claim in ordinary courts asserting that the restitution laws were discriminatory </w:t>
      </w:r>
      <w:r w:rsidR="009A5872" w:rsidRPr="00101DE6">
        <w:rPr>
          <w:lang w:val="en-GB"/>
        </w:rPr>
        <w:t xml:space="preserve">in </w:t>
      </w:r>
      <w:r w:rsidR="00AC7446" w:rsidRPr="00101DE6">
        <w:rPr>
          <w:lang w:val="en-GB"/>
        </w:rPr>
        <w:t>not allowing for restitution of properties prior to 1948, and were therefore unconstitutional</w:t>
      </w:r>
      <w:r w:rsidR="005503BF" w:rsidRPr="00101DE6">
        <w:rPr>
          <w:lang w:val="en-GB"/>
        </w:rPr>
        <w:t>, but did not do so</w:t>
      </w:r>
      <w:r w:rsidR="00AC7446" w:rsidRPr="00101DE6">
        <w:rPr>
          <w:lang w:val="en-GB"/>
        </w:rPr>
        <w:t xml:space="preserve">. The author and his family could have lodged a constitutional appeal on </w:t>
      </w:r>
      <w:r w:rsidR="009A5872" w:rsidRPr="00101DE6">
        <w:rPr>
          <w:lang w:val="en-GB"/>
        </w:rPr>
        <w:t>the matter</w:t>
      </w:r>
      <w:r w:rsidR="00AC7446" w:rsidRPr="00101DE6">
        <w:rPr>
          <w:lang w:val="en-GB"/>
        </w:rPr>
        <w:t xml:space="preserve"> but did not do so.</w:t>
      </w:r>
      <w:r w:rsidR="00AC7446" w:rsidRPr="00101DE6">
        <w:rPr>
          <w:rStyle w:val="FootnoteReference"/>
          <w:lang w:val="en-GB"/>
        </w:rPr>
        <w:footnoteReference w:id="14"/>
      </w:r>
      <w:r w:rsidR="00AC7446" w:rsidRPr="00101DE6">
        <w:rPr>
          <w:lang w:val="en-GB"/>
        </w:rPr>
        <w:t xml:space="preserve"> </w:t>
      </w:r>
      <w:r w:rsidR="00460701" w:rsidRPr="00101DE6">
        <w:rPr>
          <w:lang w:val="en-GB"/>
        </w:rPr>
        <w:t>In their constitutional appeal</w:t>
      </w:r>
      <w:r w:rsidR="006E589A" w:rsidRPr="00101DE6">
        <w:rPr>
          <w:lang w:val="en-GB"/>
        </w:rPr>
        <w:t>,</w:t>
      </w:r>
      <w:r w:rsidR="00460701" w:rsidRPr="00101DE6">
        <w:rPr>
          <w:lang w:val="en-GB"/>
        </w:rPr>
        <w:t xml:space="preserve"> filed on 1 July 2009, the author and his family did not formulate a plea on the discrimination issue.</w:t>
      </w:r>
      <w:r w:rsidR="00B2128C" w:rsidRPr="00101DE6">
        <w:rPr>
          <w:lang w:val="en-GB"/>
        </w:rPr>
        <w:t xml:space="preserve"> Regarding the author’s argument that the Constitutional Court Opinion </w:t>
      </w:r>
      <w:r w:rsidR="005E67C7" w:rsidRPr="00101DE6">
        <w:rPr>
          <w:lang w:val="en-GB"/>
        </w:rPr>
        <w:t>of</w:t>
      </w:r>
      <w:r w:rsidR="00B2128C" w:rsidRPr="00101DE6">
        <w:rPr>
          <w:lang w:val="en-GB"/>
        </w:rPr>
        <w:t xml:space="preserve"> 2005 changed the legal interpretation of the restitution laws, the State party notes that the author and his family waited until 2003 to bring their action, and considers that</w:t>
      </w:r>
      <w:r w:rsidR="006E589A" w:rsidRPr="00101DE6">
        <w:rPr>
          <w:lang w:val="en-GB"/>
        </w:rPr>
        <w:t>,</w:t>
      </w:r>
      <w:r w:rsidR="00B2128C" w:rsidRPr="00101DE6">
        <w:rPr>
          <w:lang w:val="en-GB"/>
        </w:rPr>
        <w:t xml:space="preserve"> had they raised their claim for a declaration of ownership in the first half of the 1990s, their prospects for success </w:t>
      </w:r>
      <w:r w:rsidR="00E53531" w:rsidRPr="00101DE6">
        <w:rPr>
          <w:lang w:val="en-GB"/>
        </w:rPr>
        <w:t xml:space="preserve">might </w:t>
      </w:r>
      <w:r w:rsidR="00B2128C" w:rsidRPr="00101DE6">
        <w:rPr>
          <w:lang w:val="en-GB"/>
        </w:rPr>
        <w:t xml:space="preserve">have been brighter. </w:t>
      </w:r>
    </w:p>
    <w:p w14:paraId="010B6E6F" w14:textId="77777777" w:rsidR="00B64847" w:rsidRPr="00101DE6" w:rsidRDefault="00094F8F" w:rsidP="001F345E">
      <w:pPr>
        <w:pStyle w:val="SingleTxtG"/>
        <w:rPr>
          <w:lang w:val="en-GB"/>
        </w:rPr>
      </w:pPr>
      <w:r w:rsidRPr="00101DE6">
        <w:rPr>
          <w:lang w:val="en-GB"/>
        </w:rPr>
        <w:t>4.3</w:t>
      </w:r>
      <w:r w:rsidR="00995069" w:rsidRPr="00101DE6">
        <w:rPr>
          <w:lang w:val="en-GB"/>
        </w:rPr>
        <w:tab/>
        <w:t xml:space="preserve">The State party further considers that the </w:t>
      </w:r>
      <w:r w:rsidR="003D60C8" w:rsidRPr="00101DE6">
        <w:rPr>
          <w:lang w:val="en-GB"/>
        </w:rPr>
        <w:t xml:space="preserve">author’s claim under </w:t>
      </w:r>
      <w:r w:rsidR="00B37284" w:rsidRPr="00101DE6">
        <w:rPr>
          <w:lang w:val="en-GB"/>
        </w:rPr>
        <w:t>article </w:t>
      </w:r>
      <w:r w:rsidR="003D60C8" w:rsidRPr="00101DE6">
        <w:rPr>
          <w:lang w:val="en-GB"/>
        </w:rPr>
        <w:t>14</w:t>
      </w:r>
      <w:r w:rsidR="00502CDF" w:rsidRPr="00101DE6" w:rsidDel="00502CDF">
        <w:rPr>
          <w:lang w:val="en-GB"/>
        </w:rPr>
        <w:t xml:space="preserve"> </w:t>
      </w:r>
      <w:r w:rsidR="00E53531" w:rsidRPr="00101DE6">
        <w:rPr>
          <w:lang w:val="en-GB"/>
        </w:rPr>
        <w:t>(</w:t>
      </w:r>
      <w:r w:rsidR="003D60C8" w:rsidRPr="00101DE6">
        <w:rPr>
          <w:lang w:val="en-GB"/>
        </w:rPr>
        <w:t>1</w:t>
      </w:r>
      <w:r w:rsidR="00502CDF" w:rsidRPr="00101DE6">
        <w:rPr>
          <w:lang w:val="en-GB"/>
        </w:rPr>
        <w:t>)</w:t>
      </w:r>
      <w:r w:rsidR="003D60C8" w:rsidRPr="00101DE6">
        <w:rPr>
          <w:lang w:val="en-GB"/>
        </w:rPr>
        <w:t>, read alone,</w:t>
      </w:r>
      <w:r w:rsidR="00995069" w:rsidRPr="00101DE6">
        <w:rPr>
          <w:lang w:val="en-GB"/>
        </w:rPr>
        <w:t xml:space="preserve"> is inadmissi</w:t>
      </w:r>
      <w:r w:rsidR="00855C46" w:rsidRPr="00101DE6">
        <w:rPr>
          <w:lang w:val="en-GB"/>
        </w:rPr>
        <w:t xml:space="preserve">ble </w:t>
      </w:r>
      <w:r w:rsidR="00E53531" w:rsidRPr="00101DE6">
        <w:rPr>
          <w:lang w:val="en-GB"/>
        </w:rPr>
        <w:t xml:space="preserve">on </w:t>
      </w:r>
      <w:r w:rsidR="00041736" w:rsidRPr="00101DE6">
        <w:rPr>
          <w:lang w:val="en-GB"/>
        </w:rPr>
        <w:t xml:space="preserve">the </w:t>
      </w:r>
      <w:r w:rsidR="00E53531" w:rsidRPr="00101DE6">
        <w:rPr>
          <w:lang w:val="en-GB"/>
        </w:rPr>
        <w:t xml:space="preserve">ground of </w:t>
      </w:r>
      <w:r w:rsidR="00855C46" w:rsidRPr="00101DE6">
        <w:rPr>
          <w:lang w:val="en-GB"/>
        </w:rPr>
        <w:t>lack of substantiation</w:t>
      </w:r>
      <w:r w:rsidR="00AC7446" w:rsidRPr="00101DE6">
        <w:rPr>
          <w:lang w:val="en-GB"/>
        </w:rPr>
        <w:t xml:space="preserve"> and is without merit</w:t>
      </w:r>
      <w:r w:rsidR="00855C46" w:rsidRPr="00101DE6">
        <w:rPr>
          <w:lang w:val="en-GB"/>
        </w:rPr>
        <w:t>. With regard to the author’s argument that his family’s case before the courts was discontinued, the State party considers that the proceedings were not formally discontinued and that</w:t>
      </w:r>
      <w:r w:rsidR="00B06912" w:rsidRPr="00101DE6">
        <w:rPr>
          <w:lang w:val="en-GB"/>
        </w:rPr>
        <w:t>,</w:t>
      </w:r>
      <w:r w:rsidR="00855C46" w:rsidRPr="00101DE6">
        <w:rPr>
          <w:lang w:val="en-GB"/>
        </w:rPr>
        <w:t xml:space="preserve"> under the judicial interpretation of the applicable laws, the family did not meet the “substantive condition” requiring that they have a legal interest in bringing an action for a declaration of property ownership. </w:t>
      </w:r>
      <w:r w:rsidR="008735ED" w:rsidRPr="00101DE6">
        <w:rPr>
          <w:lang w:val="en-GB"/>
        </w:rPr>
        <w:t>T</w:t>
      </w:r>
      <w:r w:rsidR="00E24AA2" w:rsidRPr="00101DE6">
        <w:rPr>
          <w:lang w:val="en-GB"/>
        </w:rPr>
        <w:t xml:space="preserve">he State party </w:t>
      </w:r>
      <w:r w:rsidR="00855C46" w:rsidRPr="00101DE6">
        <w:rPr>
          <w:lang w:val="en-GB"/>
        </w:rPr>
        <w:t>observes</w:t>
      </w:r>
      <w:r w:rsidR="005F4141" w:rsidRPr="00101DE6">
        <w:rPr>
          <w:lang w:val="en-GB"/>
        </w:rPr>
        <w:t xml:space="preserve"> that the District Court and Regional Court both noted that the restitution laws were substantively and temporally limited so as to preclude the </w:t>
      </w:r>
      <w:r w:rsidR="00545428" w:rsidRPr="00101DE6">
        <w:rPr>
          <w:lang w:val="en-GB"/>
        </w:rPr>
        <w:t>lawsuit brought by the author and his family.</w:t>
      </w:r>
      <w:r w:rsidR="005F4141" w:rsidRPr="00101DE6">
        <w:rPr>
          <w:lang w:val="en-GB"/>
        </w:rPr>
        <w:t xml:space="preserve"> </w:t>
      </w:r>
      <w:r w:rsidR="008735ED" w:rsidRPr="00101DE6">
        <w:rPr>
          <w:lang w:val="en-GB"/>
        </w:rPr>
        <w:t>Moreover, t</w:t>
      </w:r>
      <w:r w:rsidR="00080188" w:rsidRPr="00101DE6">
        <w:rPr>
          <w:lang w:val="en-GB"/>
        </w:rPr>
        <w:t xml:space="preserve">he State party </w:t>
      </w:r>
      <w:r w:rsidR="005F4141" w:rsidRPr="00101DE6">
        <w:rPr>
          <w:lang w:val="en-GB"/>
        </w:rPr>
        <w:t xml:space="preserve">considers that </w:t>
      </w:r>
      <w:r w:rsidR="00BB2310" w:rsidRPr="00101DE6">
        <w:rPr>
          <w:lang w:val="en-GB"/>
        </w:rPr>
        <w:t xml:space="preserve">S </w:t>
      </w:r>
      <w:r w:rsidR="005F4141" w:rsidRPr="00101DE6">
        <w:rPr>
          <w:lang w:val="en-GB"/>
        </w:rPr>
        <w:t>could not have been held to provide compensation for the nationali</w:t>
      </w:r>
      <w:r w:rsidR="00B34775" w:rsidRPr="00101DE6">
        <w:rPr>
          <w:lang w:val="en-GB"/>
        </w:rPr>
        <w:t>z</w:t>
      </w:r>
      <w:r w:rsidR="005F4141" w:rsidRPr="00101DE6">
        <w:rPr>
          <w:lang w:val="en-GB"/>
        </w:rPr>
        <w:t xml:space="preserve">ed property, </w:t>
      </w:r>
      <w:r w:rsidR="00230445" w:rsidRPr="00101DE6">
        <w:rPr>
          <w:lang w:val="en-GB"/>
        </w:rPr>
        <w:t xml:space="preserve">as </w:t>
      </w:r>
      <w:r w:rsidR="005F4141" w:rsidRPr="00101DE6">
        <w:rPr>
          <w:lang w:val="en-GB"/>
        </w:rPr>
        <w:t xml:space="preserve">“no support for such interpretation exists in the domestic legal order, and the authors did not even point to any provisions going in </w:t>
      </w:r>
      <w:r w:rsidR="00E90F06" w:rsidRPr="00101DE6">
        <w:rPr>
          <w:lang w:val="en-GB"/>
        </w:rPr>
        <w:t xml:space="preserve">[that] </w:t>
      </w:r>
      <w:r w:rsidR="005F4141" w:rsidRPr="00101DE6">
        <w:rPr>
          <w:lang w:val="en-GB"/>
        </w:rPr>
        <w:t>direction”</w:t>
      </w:r>
      <w:r w:rsidR="00B64847" w:rsidRPr="00101DE6">
        <w:rPr>
          <w:lang w:val="en-GB"/>
        </w:rPr>
        <w:t>.</w:t>
      </w:r>
      <w:r w:rsidR="005F4141" w:rsidRPr="00101DE6">
        <w:rPr>
          <w:lang w:val="en-GB"/>
        </w:rPr>
        <w:t xml:space="preserve"> </w:t>
      </w:r>
      <w:r w:rsidR="003457EE" w:rsidRPr="00101DE6">
        <w:rPr>
          <w:lang w:val="en-GB"/>
        </w:rPr>
        <w:t>The State party considers that the communication is based on the author’s family’s dissatisfaction with the court’s rejection of their lawsuit and observes that in no case can the right to a fair trial imply a party’s right to a favourable outcome.</w:t>
      </w:r>
      <w:r w:rsidR="006160EC" w:rsidRPr="00101DE6">
        <w:rPr>
          <w:lang w:val="en-GB"/>
        </w:rPr>
        <w:t xml:space="preserve"> The State party considers that the author and his family were accorded a fair trial </w:t>
      </w:r>
      <w:r w:rsidR="00230445" w:rsidRPr="00101DE6">
        <w:rPr>
          <w:lang w:val="en-GB"/>
        </w:rPr>
        <w:t>in that</w:t>
      </w:r>
      <w:r w:rsidR="00E90F06" w:rsidRPr="00101DE6">
        <w:rPr>
          <w:lang w:val="en-GB"/>
        </w:rPr>
        <w:t xml:space="preserve"> </w:t>
      </w:r>
      <w:r w:rsidR="006160EC" w:rsidRPr="00101DE6">
        <w:rPr>
          <w:lang w:val="en-GB"/>
        </w:rPr>
        <w:t>independent and impartial courts decided on their case; fair proceedings were held before th</w:t>
      </w:r>
      <w:r w:rsidR="00E90F06" w:rsidRPr="00101DE6">
        <w:rPr>
          <w:lang w:val="en-GB"/>
        </w:rPr>
        <w:t>o</w:t>
      </w:r>
      <w:r w:rsidR="006160EC" w:rsidRPr="00101DE6">
        <w:rPr>
          <w:lang w:val="en-GB"/>
        </w:rPr>
        <w:t xml:space="preserve">se courts; and the authors </w:t>
      </w:r>
      <w:r w:rsidR="006160EC" w:rsidRPr="00101DE6">
        <w:rPr>
          <w:lang w:val="en-GB"/>
        </w:rPr>
        <w:lastRenderedPageBreak/>
        <w:t xml:space="preserve">had </w:t>
      </w:r>
      <w:r w:rsidR="00E90F06" w:rsidRPr="00101DE6">
        <w:rPr>
          <w:lang w:val="en-GB"/>
        </w:rPr>
        <w:t xml:space="preserve">the </w:t>
      </w:r>
      <w:r w:rsidR="006160EC" w:rsidRPr="00101DE6">
        <w:rPr>
          <w:lang w:val="en-GB"/>
        </w:rPr>
        <w:t xml:space="preserve">opportunity to fully participate in the proceedings. </w:t>
      </w:r>
      <w:r w:rsidRPr="00101DE6">
        <w:rPr>
          <w:lang w:val="en-GB"/>
        </w:rPr>
        <w:t xml:space="preserve">The State party further considers that </w:t>
      </w:r>
      <w:r w:rsidR="0003413D" w:rsidRPr="00101DE6">
        <w:rPr>
          <w:lang w:val="en-GB"/>
        </w:rPr>
        <w:t xml:space="preserve">no </w:t>
      </w:r>
      <w:r w:rsidRPr="00101DE6">
        <w:rPr>
          <w:lang w:val="en-GB"/>
        </w:rPr>
        <w:t>laws were changed during th</w:t>
      </w:r>
      <w:r w:rsidR="00E90F06" w:rsidRPr="00101DE6">
        <w:rPr>
          <w:lang w:val="en-GB"/>
        </w:rPr>
        <w:t>o</w:t>
      </w:r>
      <w:r w:rsidRPr="00101DE6">
        <w:rPr>
          <w:lang w:val="en-GB"/>
        </w:rPr>
        <w:t xml:space="preserve">se proceedings. Under section 80 of the Rules of Civil Procedure, a claim can be brought to seek a decision on, </w:t>
      </w:r>
      <w:r w:rsidRPr="00101DE6">
        <w:rPr>
          <w:iCs/>
          <w:lang w:val="en-GB"/>
        </w:rPr>
        <w:t>inter alia,</w:t>
      </w:r>
      <w:r w:rsidRPr="00101DE6">
        <w:rPr>
          <w:lang w:val="en-GB"/>
        </w:rPr>
        <w:t xml:space="preserve"> a declaration as to whether a legal relationship or right exists. In its </w:t>
      </w:r>
      <w:r w:rsidR="005E67C7" w:rsidRPr="00101DE6">
        <w:rPr>
          <w:lang w:val="en-GB"/>
        </w:rPr>
        <w:t xml:space="preserve">2005 </w:t>
      </w:r>
      <w:r w:rsidRPr="00101DE6">
        <w:rPr>
          <w:lang w:val="en-GB"/>
        </w:rPr>
        <w:t>Opinion, the Constitutional Court clarified that</w:t>
      </w:r>
      <w:r w:rsidR="00E90F06" w:rsidRPr="00101DE6">
        <w:rPr>
          <w:lang w:val="en-GB"/>
        </w:rPr>
        <w:t>,</w:t>
      </w:r>
      <w:r w:rsidRPr="00101DE6">
        <w:rPr>
          <w:lang w:val="en-GB"/>
        </w:rPr>
        <w:t xml:space="preserve"> in order to have legal interest </w:t>
      </w:r>
      <w:r w:rsidR="00E90F06" w:rsidRPr="00101DE6">
        <w:rPr>
          <w:lang w:val="en-GB"/>
        </w:rPr>
        <w:t xml:space="preserve">in </w:t>
      </w:r>
      <w:r w:rsidRPr="00101DE6">
        <w:rPr>
          <w:lang w:val="en-GB"/>
        </w:rPr>
        <w:t>bring</w:t>
      </w:r>
      <w:r w:rsidR="00E90F06" w:rsidRPr="00101DE6">
        <w:rPr>
          <w:lang w:val="en-GB"/>
        </w:rPr>
        <w:t>ing</w:t>
      </w:r>
      <w:r w:rsidRPr="00101DE6">
        <w:rPr>
          <w:lang w:val="en-GB"/>
        </w:rPr>
        <w:t xml:space="preserve"> a claim under section 80 of the Rules of Civil Procedure, the claimant must have a “legitimate expectation”. The Court further stated</w:t>
      </w:r>
      <w:r w:rsidR="00B64847" w:rsidRPr="00101DE6">
        <w:rPr>
          <w:lang w:val="en-GB"/>
        </w:rPr>
        <w:t> :</w:t>
      </w:r>
      <w:r w:rsidRPr="00101DE6">
        <w:rPr>
          <w:lang w:val="en-GB"/>
        </w:rPr>
        <w:t xml:space="preserve"> </w:t>
      </w:r>
    </w:p>
    <w:p w14:paraId="2E985B3D" w14:textId="77777777" w:rsidR="00B64847" w:rsidRPr="00101DE6" w:rsidRDefault="00B64847" w:rsidP="001F345E">
      <w:pPr>
        <w:pStyle w:val="SingleTxtG"/>
        <w:ind w:left="1701"/>
        <w:rPr>
          <w:lang w:val="en-GB"/>
        </w:rPr>
      </w:pPr>
      <w:r w:rsidRPr="00101DE6">
        <w:rPr>
          <w:lang w:val="en-GB"/>
        </w:rPr>
        <w:t>T</w:t>
      </w:r>
      <w:r w:rsidR="00094F8F" w:rsidRPr="00101DE6">
        <w:rPr>
          <w:lang w:val="en-GB"/>
        </w:rPr>
        <w:t>he meaning and purpose of restitution legislation should not be circumvented by an action for a declaration of an ownership right. Nor is it possible to effectively seek, under general regulations, the protection of an ownership right the extinction of which occurred before 25 February 1948 while no separate piece of restitution legislation has laid down a method for mitigating or redressing this property injustice.</w:t>
      </w:r>
    </w:p>
    <w:p w14:paraId="25F0EE82" w14:textId="77777777" w:rsidR="00855C46" w:rsidRPr="00101DE6" w:rsidRDefault="00094F8F" w:rsidP="005413A7">
      <w:pPr>
        <w:spacing w:after="120"/>
        <w:ind w:left="1134" w:right="1134"/>
        <w:jc w:val="both"/>
      </w:pPr>
      <w:r w:rsidRPr="00101DE6">
        <w:t xml:space="preserve">In </w:t>
      </w:r>
      <w:r w:rsidR="00E90F06" w:rsidRPr="00101DE6">
        <w:t xml:space="preserve">its </w:t>
      </w:r>
      <w:r w:rsidRPr="00101DE6">
        <w:t>Opinion, the Constitutional Court did not issue any new rules concerning restitution legislation but</w:t>
      </w:r>
      <w:r w:rsidR="00B64847" w:rsidRPr="00101DE6">
        <w:t>,</w:t>
      </w:r>
      <w:r w:rsidRPr="00101DE6">
        <w:t xml:space="preserve"> rather</w:t>
      </w:r>
      <w:r w:rsidR="00B64847" w:rsidRPr="00101DE6">
        <w:t>,</w:t>
      </w:r>
      <w:r w:rsidRPr="00101DE6">
        <w:t xml:space="preserve"> interpreted the restitution laws that were already in place before the author and his family brought their lawsuit.</w:t>
      </w:r>
      <w:r w:rsidR="001F1C6F" w:rsidRPr="00101DE6">
        <w:t xml:space="preserve"> The Court’s interpretation was not arbitrary in any way, </w:t>
      </w:r>
      <w:r w:rsidR="00B64847" w:rsidRPr="00101DE6">
        <w:t>nor</w:t>
      </w:r>
      <w:r w:rsidR="001F1C6F" w:rsidRPr="00101DE6">
        <w:t xml:space="preserve"> does </w:t>
      </w:r>
      <w:r w:rsidR="00B64847" w:rsidRPr="00101DE6">
        <w:t>i</w:t>
      </w:r>
      <w:r w:rsidR="001F1C6F" w:rsidRPr="00101DE6">
        <w:t xml:space="preserve">t constitute </w:t>
      </w:r>
      <w:r w:rsidR="0054288A" w:rsidRPr="00101DE6">
        <w:t xml:space="preserve">a </w:t>
      </w:r>
      <w:r w:rsidR="001F1C6F" w:rsidRPr="00101DE6">
        <w:t>denial of justice, especially taking into account the circumstances</w:t>
      </w:r>
      <w:r w:rsidR="00E90F06" w:rsidRPr="00101DE6">
        <w:t>,</w:t>
      </w:r>
      <w:r w:rsidR="001F1C6F" w:rsidRPr="00101DE6">
        <w:t xml:space="preserve"> in which the passage of time </w:t>
      </w:r>
      <w:r w:rsidR="00E90F06" w:rsidRPr="00101DE6">
        <w:t xml:space="preserve">was </w:t>
      </w:r>
      <w:r w:rsidR="001F1C6F" w:rsidRPr="00101DE6">
        <w:t>an important factor. The State party notes that</w:t>
      </w:r>
      <w:r w:rsidR="00E90F06" w:rsidRPr="00101DE6">
        <w:t>,</w:t>
      </w:r>
      <w:r w:rsidR="001F1C6F" w:rsidRPr="00101DE6">
        <w:t xml:space="preserve"> under section 134 of the Civil Code, the possessor of an immovable asset shall become the owner of the asset if he </w:t>
      </w:r>
      <w:r w:rsidR="00B64847" w:rsidRPr="00101DE6">
        <w:t xml:space="preserve">or she </w:t>
      </w:r>
      <w:r w:rsidR="001F1C6F" w:rsidRPr="00101DE6">
        <w:t xml:space="preserve">has possessed </w:t>
      </w:r>
      <w:r w:rsidR="00E90F06" w:rsidRPr="00101DE6">
        <w:t xml:space="preserve">the asset </w:t>
      </w:r>
      <w:r w:rsidR="00B64847" w:rsidRPr="00101DE6">
        <w:t xml:space="preserve">continuously </w:t>
      </w:r>
      <w:r w:rsidR="001F1C6F" w:rsidRPr="00101DE6">
        <w:t xml:space="preserve">for a period of </w:t>
      </w:r>
      <w:r w:rsidR="00E90F06" w:rsidRPr="00101DE6">
        <w:t xml:space="preserve">10 </w:t>
      </w:r>
      <w:r w:rsidR="001F1C6F" w:rsidRPr="00101DE6">
        <w:t xml:space="preserve">years and observes that the Constitutional Court </w:t>
      </w:r>
      <w:r w:rsidR="00E90F06" w:rsidRPr="00101DE6">
        <w:t xml:space="preserve">added to </w:t>
      </w:r>
      <w:r w:rsidR="001F1C6F" w:rsidRPr="00101DE6">
        <w:t xml:space="preserve">its arguments </w:t>
      </w:r>
      <w:r w:rsidR="00E90F06" w:rsidRPr="00101DE6">
        <w:t>that</w:t>
      </w:r>
      <w:r w:rsidR="001F1C6F" w:rsidRPr="00101DE6">
        <w:t xml:space="preserve"> of “positive prescription” of the real estate for the benefit of </w:t>
      </w:r>
      <w:r w:rsidR="00BB2310" w:rsidRPr="00101DE6">
        <w:t>S</w:t>
      </w:r>
      <w:r w:rsidR="001F1C6F" w:rsidRPr="00101DE6">
        <w:t>.</w:t>
      </w:r>
      <w:r w:rsidR="00B40343" w:rsidRPr="00101DE6">
        <w:rPr>
          <w:rStyle w:val="FootnoteReference"/>
        </w:rPr>
        <w:footnoteReference w:id="15"/>
      </w:r>
      <w:r w:rsidR="001F1C6F" w:rsidRPr="00101DE6">
        <w:t xml:space="preserve"> </w:t>
      </w:r>
    </w:p>
    <w:p w14:paraId="26FAAAD0" w14:textId="77777777" w:rsidR="00A143BF" w:rsidRPr="00101DE6" w:rsidRDefault="003D60C8" w:rsidP="001F345E">
      <w:pPr>
        <w:pStyle w:val="SingleTxtG"/>
        <w:rPr>
          <w:lang w:val="en-GB"/>
        </w:rPr>
      </w:pPr>
      <w:r w:rsidRPr="00101DE6">
        <w:rPr>
          <w:lang w:val="en-GB"/>
        </w:rPr>
        <w:t>4.4</w:t>
      </w:r>
      <w:r w:rsidRPr="00101DE6">
        <w:rPr>
          <w:lang w:val="en-GB"/>
        </w:rPr>
        <w:tab/>
        <w:t xml:space="preserve">The State party also considers that the author’s claim under </w:t>
      </w:r>
      <w:r w:rsidR="00B37284" w:rsidRPr="00101DE6">
        <w:rPr>
          <w:lang w:val="en-GB"/>
        </w:rPr>
        <w:t>article </w:t>
      </w:r>
      <w:r w:rsidRPr="00101DE6">
        <w:rPr>
          <w:lang w:val="en-GB"/>
        </w:rPr>
        <w:t>14</w:t>
      </w:r>
      <w:r w:rsidR="00A52825" w:rsidRPr="00101DE6" w:rsidDel="00A52825">
        <w:rPr>
          <w:lang w:val="en-GB"/>
        </w:rPr>
        <w:t xml:space="preserve"> </w:t>
      </w:r>
      <w:r w:rsidR="00A52825" w:rsidRPr="00101DE6">
        <w:rPr>
          <w:lang w:val="en-GB"/>
        </w:rPr>
        <w:t>(</w:t>
      </w:r>
      <w:r w:rsidRPr="00101DE6">
        <w:rPr>
          <w:lang w:val="en-GB"/>
        </w:rPr>
        <w:t>1</w:t>
      </w:r>
      <w:r w:rsidR="00A52825" w:rsidRPr="00101DE6">
        <w:rPr>
          <w:lang w:val="en-GB"/>
        </w:rPr>
        <w:t>)</w:t>
      </w:r>
      <w:r w:rsidR="00C03F0E" w:rsidRPr="00101DE6">
        <w:rPr>
          <w:lang w:val="en-GB"/>
        </w:rPr>
        <w:t xml:space="preserve"> of the Covenant</w:t>
      </w:r>
      <w:r w:rsidRPr="00101DE6">
        <w:rPr>
          <w:lang w:val="en-GB"/>
        </w:rPr>
        <w:t xml:space="preserve">, read in conjunction with </w:t>
      </w:r>
      <w:r w:rsidR="00B37284" w:rsidRPr="00101DE6">
        <w:rPr>
          <w:lang w:val="en-GB"/>
        </w:rPr>
        <w:t>article</w:t>
      </w:r>
      <w:r w:rsidR="00A52825" w:rsidRPr="00101DE6">
        <w:rPr>
          <w:lang w:val="en-GB"/>
        </w:rPr>
        <w:t>s</w:t>
      </w:r>
      <w:r w:rsidR="00B37284" w:rsidRPr="00101DE6">
        <w:rPr>
          <w:lang w:val="en-GB"/>
        </w:rPr>
        <w:t> </w:t>
      </w:r>
      <w:r w:rsidRPr="00101DE6">
        <w:rPr>
          <w:lang w:val="en-GB"/>
        </w:rPr>
        <w:t>2</w:t>
      </w:r>
      <w:r w:rsidR="00A52825" w:rsidRPr="00101DE6" w:rsidDel="00A52825">
        <w:rPr>
          <w:lang w:val="en-GB"/>
        </w:rPr>
        <w:t xml:space="preserve"> </w:t>
      </w:r>
      <w:r w:rsidR="00A52825" w:rsidRPr="00101DE6">
        <w:rPr>
          <w:lang w:val="en-GB"/>
        </w:rPr>
        <w:t>(</w:t>
      </w:r>
      <w:r w:rsidRPr="00101DE6">
        <w:rPr>
          <w:lang w:val="en-GB"/>
        </w:rPr>
        <w:t>1</w:t>
      </w:r>
      <w:r w:rsidR="00A52825" w:rsidRPr="00101DE6">
        <w:rPr>
          <w:lang w:val="en-GB"/>
        </w:rPr>
        <w:t>)</w:t>
      </w:r>
      <w:r w:rsidRPr="00101DE6">
        <w:rPr>
          <w:lang w:val="en-GB"/>
        </w:rPr>
        <w:t xml:space="preserve"> and 26</w:t>
      </w:r>
      <w:r w:rsidR="00B64847" w:rsidRPr="00101DE6">
        <w:rPr>
          <w:lang w:val="en-GB"/>
        </w:rPr>
        <w:t>,</w:t>
      </w:r>
      <w:r w:rsidRPr="00101DE6">
        <w:rPr>
          <w:lang w:val="en-GB"/>
        </w:rPr>
        <w:t xml:space="preserve"> is inadmissible </w:t>
      </w:r>
      <w:r w:rsidR="00A52825" w:rsidRPr="00101DE6">
        <w:rPr>
          <w:lang w:val="en-GB"/>
        </w:rPr>
        <w:t xml:space="preserve">on the ground of </w:t>
      </w:r>
      <w:r w:rsidRPr="00101DE6">
        <w:rPr>
          <w:lang w:val="en-GB"/>
        </w:rPr>
        <w:t xml:space="preserve">lack of substantiation </w:t>
      </w:r>
      <w:r w:rsidR="00AC7446" w:rsidRPr="00101DE6">
        <w:rPr>
          <w:lang w:val="en-GB"/>
        </w:rPr>
        <w:t xml:space="preserve">and is without merit. The State party notes that the present case differs from past cases considered by the Committee in which authors’ restitution claims were rejected on the ground of their failure to meet the restitution condition of permanent residence or citizenship. In </w:t>
      </w:r>
      <w:r w:rsidR="00BB751B" w:rsidRPr="00101DE6">
        <w:rPr>
          <w:lang w:val="en-GB"/>
        </w:rPr>
        <w:t xml:space="preserve">the present </w:t>
      </w:r>
      <w:r w:rsidR="00AC7446" w:rsidRPr="00101DE6">
        <w:rPr>
          <w:lang w:val="en-GB"/>
        </w:rPr>
        <w:t xml:space="preserve">case, the authors did not </w:t>
      </w:r>
      <w:r w:rsidR="00BB751B" w:rsidRPr="00101DE6">
        <w:rPr>
          <w:lang w:val="en-GB"/>
        </w:rPr>
        <w:t xml:space="preserve">bring </w:t>
      </w:r>
      <w:r w:rsidR="00AC7446" w:rsidRPr="00101DE6">
        <w:rPr>
          <w:lang w:val="en-GB"/>
        </w:rPr>
        <w:t>any restitution proceedings and their case does not fall within the scope of restitution laws. The factory was nationali</w:t>
      </w:r>
      <w:r w:rsidR="00B34775" w:rsidRPr="00101DE6">
        <w:rPr>
          <w:lang w:val="en-GB"/>
        </w:rPr>
        <w:t>z</w:t>
      </w:r>
      <w:r w:rsidR="00AC7446" w:rsidRPr="00101DE6">
        <w:rPr>
          <w:lang w:val="en-GB"/>
        </w:rPr>
        <w:t>ed under Decree</w:t>
      </w:r>
      <w:r w:rsidR="00353F80" w:rsidRPr="00101DE6">
        <w:rPr>
          <w:lang w:val="en-GB"/>
        </w:rPr>
        <w:t xml:space="preserve"> No. </w:t>
      </w:r>
      <w:r w:rsidR="00AC7446" w:rsidRPr="00101DE6">
        <w:rPr>
          <w:lang w:val="en-GB"/>
        </w:rPr>
        <w:t>100/1945 before the period of applicability of the restitution laws (i.e. before</w:t>
      </w:r>
      <w:r w:rsidR="00B42820" w:rsidRPr="00101DE6">
        <w:rPr>
          <w:lang w:val="en-GB"/>
        </w:rPr>
        <w:t xml:space="preserve"> 1948). </w:t>
      </w:r>
      <w:r w:rsidR="00B64847" w:rsidRPr="00101DE6">
        <w:rPr>
          <w:lang w:val="en-GB"/>
        </w:rPr>
        <w:t xml:space="preserve">The </w:t>
      </w:r>
      <w:r w:rsidR="00B42820" w:rsidRPr="00101DE6">
        <w:rPr>
          <w:lang w:val="en-GB"/>
        </w:rPr>
        <w:t>Decree</w:t>
      </w:r>
      <w:r w:rsidR="00353F80" w:rsidRPr="00101DE6">
        <w:rPr>
          <w:lang w:val="en-GB"/>
        </w:rPr>
        <w:t xml:space="preserve"> </w:t>
      </w:r>
      <w:r w:rsidR="00B42820" w:rsidRPr="00101DE6">
        <w:rPr>
          <w:lang w:val="en-GB"/>
        </w:rPr>
        <w:t>does not contain any criterion for nationali</w:t>
      </w:r>
      <w:r w:rsidR="00BB751B" w:rsidRPr="00101DE6">
        <w:rPr>
          <w:lang w:val="en-GB"/>
        </w:rPr>
        <w:t>z</w:t>
      </w:r>
      <w:r w:rsidR="00B42820" w:rsidRPr="00101DE6">
        <w:rPr>
          <w:lang w:val="en-GB"/>
        </w:rPr>
        <w:t>ation that is based on nationality; rather, nationali</w:t>
      </w:r>
      <w:r w:rsidR="00BB751B" w:rsidRPr="00101DE6">
        <w:rPr>
          <w:lang w:val="en-GB"/>
        </w:rPr>
        <w:t>z</w:t>
      </w:r>
      <w:r w:rsidR="00B42820" w:rsidRPr="00101DE6">
        <w:rPr>
          <w:lang w:val="en-GB"/>
        </w:rPr>
        <w:t xml:space="preserve">ation is determined by the </w:t>
      </w:r>
      <w:r w:rsidR="00BB751B" w:rsidRPr="00101DE6">
        <w:rPr>
          <w:lang w:val="en-GB"/>
        </w:rPr>
        <w:t xml:space="preserve">line of </w:t>
      </w:r>
      <w:r w:rsidR="00B42820" w:rsidRPr="00101DE6">
        <w:rPr>
          <w:lang w:val="en-GB"/>
        </w:rPr>
        <w:t xml:space="preserve">business or the size of the company. In </w:t>
      </w:r>
      <w:r w:rsidR="00A47429" w:rsidRPr="00101DE6">
        <w:rPr>
          <w:lang w:val="en-GB"/>
        </w:rPr>
        <w:t xml:space="preserve">the </w:t>
      </w:r>
      <w:r w:rsidR="00BB751B" w:rsidRPr="00101DE6">
        <w:rPr>
          <w:lang w:val="en-GB"/>
        </w:rPr>
        <w:t xml:space="preserve">present </w:t>
      </w:r>
      <w:r w:rsidR="00B42820" w:rsidRPr="00101DE6">
        <w:rPr>
          <w:lang w:val="en-GB"/>
        </w:rPr>
        <w:t>case, the factory was nationali</w:t>
      </w:r>
      <w:r w:rsidR="00B34775" w:rsidRPr="00101DE6">
        <w:rPr>
          <w:lang w:val="en-GB"/>
        </w:rPr>
        <w:t>z</w:t>
      </w:r>
      <w:r w:rsidR="00B42820" w:rsidRPr="00101DE6">
        <w:rPr>
          <w:lang w:val="en-GB"/>
        </w:rPr>
        <w:t>ed because it was a certain type of textile company that had more than 400</w:t>
      </w:r>
      <w:r w:rsidR="007A2551" w:rsidRPr="00101DE6">
        <w:rPr>
          <w:lang w:val="en-GB"/>
        </w:rPr>
        <w:t> </w:t>
      </w:r>
      <w:r w:rsidR="00B42820" w:rsidRPr="00101DE6">
        <w:rPr>
          <w:lang w:val="en-GB"/>
        </w:rPr>
        <w:t xml:space="preserve">employees during the period specified in the </w:t>
      </w:r>
      <w:r w:rsidR="00B64847" w:rsidRPr="00101DE6">
        <w:rPr>
          <w:lang w:val="en-GB"/>
        </w:rPr>
        <w:t>D</w:t>
      </w:r>
      <w:r w:rsidR="00B42820" w:rsidRPr="00101DE6">
        <w:rPr>
          <w:lang w:val="en-GB"/>
        </w:rPr>
        <w:t xml:space="preserve">ecree. </w:t>
      </w:r>
      <w:r w:rsidR="00A143BF" w:rsidRPr="00101DE6">
        <w:rPr>
          <w:lang w:val="en-GB"/>
        </w:rPr>
        <w:t>However</w:t>
      </w:r>
      <w:r w:rsidR="00B42820" w:rsidRPr="00101DE6">
        <w:rPr>
          <w:lang w:val="en-GB"/>
        </w:rPr>
        <w:t xml:space="preserve">, under </w:t>
      </w:r>
      <w:r w:rsidR="00B64847" w:rsidRPr="00101DE6">
        <w:rPr>
          <w:lang w:val="en-GB"/>
        </w:rPr>
        <w:t xml:space="preserve">the </w:t>
      </w:r>
      <w:r w:rsidR="00B42820" w:rsidRPr="00101DE6">
        <w:rPr>
          <w:lang w:val="en-GB"/>
        </w:rPr>
        <w:t>Decree</w:t>
      </w:r>
      <w:r w:rsidR="00A143BF" w:rsidRPr="00101DE6">
        <w:rPr>
          <w:lang w:val="en-GB"/>
        </w:rPr>
        <w:t>, compensation for nationali</w:t>
      </w:r>
      <w:r w:rsidR="00B34775" w:rsidRPr="00101DE6">
        <w:rPr>
          <w:lang w:val="en-GB"/>
        </w:rPr>
        <w:t>z</w:t>
      </w:r>
      <w:r w:rsidR="00A143BF" w:rsidRPr="00101DE6">
        <w:rPr>
          <w:lang w:val="en-GB"/>
        </w:rPr>
        <w:t>ed property could not be awarded to German nationals, except if they met the conditions specified by the author in his communication</w:t>
      </w:r>
      <w:r w:rsidR="00B64847" w:rsidRPr="00101DE6">
        <w:rPr>
          <w:lang w:val="en-GB"/>
        </w:rPr>
        <w:t xml:space="preserve"> (see para. 2.1)</w:t>
      </w:r>
      <w:r w:rsidR="00A143BF" w:rsidRPr="00101DE6">
        <w:rPr>
          <w:lang w:val="en-GB"/>
        </w:rPr>
        <w:t xml:space="preserve">. </w:t>
      </w:r>
      <w:r w:rsidR="00192850" w:rsidRPr="00101DE6">
        <w:rPr>
          <w:lang w:val="en-GB"/>
        </w:rPr>
        <w:t>However</w:t>
      </w:r>
      <w:r w:rsidR="00A143BF" w:rsidRPr="00101DE6">
        <w:rPr>
          <w:lang w:val="en-GB"/>
        </w:rPr>
        <w:t xml:space="preserve">, the author and his family have not initiated proceedings for compensation and their civil lawsuit for a declaration of property ownership against </w:t>
      </w:r>
      <w:r w:rsidR="00BB2310" w:rsidRPr="00101DE6">
        <w:rPr>
          <w:lang w:val="en-GB"/>
        </w:rPr>
        <w:t xml:space="preserve">S </w:t>
      </w:r>
      <w:r w:rsidR="00A143BF" w:rsidRPr="00101DE6">
        <w:rPr>
          <w:lang w:val="en-GB"/>
        </w:rPr>
        <w:t xml:space="preserve">cannot be used to award compensation. The State party therefore considers that the author and his family were not treated any differently from other persons whose property, or </w:t>
      </w:r>
      <w:r w:rsidR="00192850" w:rsidRPr="00101DE6">
        <w:rPr>
          <w:lang w:val="en-GB"/>
        </w:rPr>
        <w:t xml:space="preserve">the </w:t>
      </w:r>
      <w:r w:rsidR="00A143BF" w:rsidRPr="00101DE6">
        <w:rPr>
          <w:lang w:val="en-GB"/>
        </w:rPr>
        <w:t>property of their legal predecessors, was nationali</w:t>
      </w:r>
      <w:r w:rsidR="00B34775" w:rsidRPr="00101DE6">
        <w:rPr>
          <w:lang w:val="en-GB"/>
        </w:rPr>
        <w:t>z</w:t>
      </w:r>
      <w:r w:rsidR="00A143BF" w:rsidRPr="00101DE6">
        <w:rPr>
          <w:lang w:val="en-GB"/>
        </w:rPr>
        <w:t>ed by Decree</w:t>
      </w:r>
      <w:r w:rsidR="00353F80" w:rsidRPr="00101DE6">
        <w:rPr>
          <w:lang w:val="en-GB"/>
        </w:rPr>
        <w:t xml:space="preserve"> No. </w:t>
      </w:r>
      <w:r w:rsidR="00A143BF" w:rsidRPr="00101DE6">
        <w:rPr>
          <w:lang w:val="en-GB"/>
        </w:rPr>
        <w:t>100/1945 before 1948 without compensation.</w:t>
      </w:r>
      <w:r w:rsidR="006D2C8D" w:rsidRPr="00101DE6">
        <w:rPr>
          <w:lang w:val="en-GB"/>
        </w:rPr>
        <w:t xml:space="preserve"> The State party refers to the Committee’s jurisprudence</w:t>
      </w:r>
      <w:r w:rsidR="00192850" w:rsidRPr="00101DE6">
        <w:rPr>
          <w:lang w:val="en-GB"/>
        </w:rPr>
        <w:t>,</w:t>
      </w:r>
      <w:r w:rsidR="006D2C8D" w:rsidRPr="00101DE6">
        <w:rPr>
          <w:lang w:val="en-GB"/>
        </w:rPr>
        <w:t xml:space="preserve"> finding that restitution legislation adopted in the former Czechoslovakia after the fall of the </w:t>
      </w:r>
      <w:r w:rsidR="00C03F0E" w:rsidRPr="00101DE6">
        <w:rPr>
          <w:lang w:val="en-GB"/>
        </w:rPr>
        <w:t>c</w:t>
      </w:r>
      <w:r w:rsidR="006D2C8D" w:rsidRPr="00101DE6">
        <w:rPr>
          <w:lang w:val="en-GB"/>
        </w:rPr>
        <w:t xml:space="preserve">ommunist regime to compensate the victims of that regime does not appear to be </w:t>
      </w:r>
      <w:r w:rsidR="006D2C8D" w:rsidRPr="00101DE6">
        <w:rPr>
          <w:iCs/>
          <w:lang w:val="en-GB"/>
        </w:rPr>
        <w:t>prima facie</w:t>
      </w:r>
      <w:r w:rsidR="006D2C8D" w:rsidRPr="00101DE6">
        <w:rPr>
          <w:lang w:val="en-GB"/>
        </w:rPr>
        <w:t xml:space="preserve"> discriminatory within the </w:t>
      </w:r>
      <w:r w:rsidR="006D2C8D" w:rsidRPr="00101DE6">
        <w:rPr>
          <w:lang w:val="en-GB"/>
        </w:rPr>
        <w:lastRenderedPageBreak/>
        <w:t xml:space="preserve">meaning of </w:t>
      </w:r>
      <w:r w:rsidR="00B37284" w:rsidRPr="00101DE6">
        <w:rPr>
          <w:lang w:val="en-GB"/>
        </w:rPr>
        <w:t>article </w:t>
      </w:r>
      <w:r w:rsidR="006D2C8D" w:rsidRPr="00101DE6">
        <w:rPr>
          <w:lang w:val="en-GB"/>
        </w:rPr>
        <w:t>26 merely because it does not compensate the victims of injustices allegedly committed by earlier regimes.</w:t>
      </w:r>
      <w:r w:rsidR="006D2C8D" w:rsidRPr="00101DE6">
        <w:rPr>
          <w:rStyle w:val="FootnoteReference"/>
          <w:lang w:val="en-GB"/>
        </w:rPr>
        <w:footnoteReference w:id="16"/>
      </w:r>
      <w:r w:rsidR="006D2C8D" w:rsidRPr="00101DE6">
        <w:rPr>
          <w:lang w:val="en-GB"/>
        </w:rPr>
        <w:t xml:space="preserve"> </w:t>
      </w:r>
    </w:p>
    <w:p w14:paraId="7977A485" w14:textId="77777777" w:rsidR="001C015D" w:rsidRPr="00101DE6" w:rsidRDefault="001C015D" w:rsidP="001F345E">
      <w:pPr>
        <w:pStyle w:val="SingleTxtG"/>
        <w:rPr>
          <w:lang w:val="en-GB"/>
        </w:rPr>
      </w:pPr>
      <w:r w:rsidRPr="00101DE6">
        <w:rPr>
          <w:lang w:val="en-GB"/>
        </w:rPr>
        <w:t>4.5</w:t>
      </w:r>
      <w:r w:rsidRPr="00101DE6">
        <w:rPr>
          <w:lang w:val="en-GB"/>
        </w:rPr>
        <w:tab/>
      </w:r>
      <w:r w:rsidR="00706504" w:rsidRPr="00101DE6">
        <w:rPr>
          <w:lang w:val="en-GB"/>
        </w:rPr>
        <w:t>T</w:t>
      </w:r>
      <w:r w:rsidRPr="00101DE6">
        <w:rPr>
          <w:lang w:val="en-GB"/>
        </w:rPr>
        <w:t xml:space="preserve">he State party </w:t>
      </w:r>
      <w:r w:rsidR="00706504" w:rsidRPr="00101DE6">
        <w:rPr>
          <w:lang w:val="en-GB"/>
        </w:rPr>
        <w:t xml:space="preserve">also </w:t>
      </w:r>
      <w:r w:rsidRPr="00101DE6">
        <w:rPr>
          <w:lang w:val="en-GB"/>
        </w:rPr>
        <w:t xml:space="preserve">considers that it would run contrary to </w:t>
      </w:r>
      <w:r w:rsidR="00706504" w:rsidRPr="00101DE6">
        <w:rPr>
          <w:lang w:val="en-GB"/>
        </w:rPr>
        <w:t>the</w:t>
      </w:r>
      <w:r w:rsidRPr="00101DE6">
        <w:rPr>
          <w:lang w:val="en-GB"/>
        </w:rPr>
        <w:t xml:space="preserve"> principle of subsidiar</w:t>
      </w:r>
      <w:r w:rsidR="0054288A" w:rsidRPr="00101DE6">
        <w:rPr>
          <w:lang w:val="en-GB"/>
        </w:rPr>
        <w:t>it</w:t>
      </w:r>
      <w:r w:rsidRPr="00101DE6">
        <w:rPr>
          <w:lang w:val="en-GB"/>
        </w:rPr>
        <w:t>y underlying the Optional Protocol if the Committee were to evaluate the issue of compensation for the nationali</w:t>
      </w:r>
      <w:r w:rsidR="00B34775" w:rsidRPr="00101DE6">
        <w:rPr>
          <w:lang w:val="en-GB"/>
        </w:rPr>
        <w:t>z</w:t>
      </w:r>
      <w:r w:rsidRPr="00101DE6">
        <w:rPr>
          <w:lang w:val="en-GB"/>
        </w:rPr>
        <w:t xml:space="preserve">ed property. The right to property is not safeguarded by the Covenant and the Committee lacks jurisdiction over claims based on the right to property, “even if they are hidden behind allegations of violations of other rights” in the Covenant. The Committee </w:t>
      </w:r>
      <w:r w:rsidR="00706504" w:rsidRPr="00101DE6">
        <w:rPr>
          <w:lang w:val="en-GB"/>
        </w:rPr>
        <w:t xml:space="preserve">is not </w:t>
      </w:r>
      <w:r w:rsidR="005413A7" w:rsidRPr="00101DE6">
        <w:rPr>
          <w:lang w:val="en-GB"/>
        </w:rPr>
        <w:t>in a position to</w:t>
      </w:r>
      <w:r w:rsidR="00706504" w:rsidRPr="00101DE6">
        <w:rPr>
          <w:lang w:val="en-GB"/>
        </w:rPr>
        <w:t xml:space="preserve"> award compensation</w:t>
      </w:r>
      <w:r w:rsidRPr="00101DE6">
        <w:rPr>
          <w:lang w:val="en-GB"/>
        </w:rPr>
        <w:t xml:space="preserve"> </w:t>
      </w:r>
      <w:r w:rsidR="00706504" w:rsidRPr="00101DE6">
        <w:rPr>
          <w:lang w:val="en-GB"/>
        </w:rPr>
        <w:t>from</w:t>
      </w:r>
      <w:r w:rsidRPr="00101DE6">
        <w:rPr>
          <w:lang w:val="en-GB"/>
        </w:rPr>
        <w:t xml:space="preserve"> a State party to the Covenant. </w:t>
      </w:r>
      <w:r w:rsidR="00061316" w:rsidRPr="00101DE6">
        <w:rPr>
          <w:lang w:val="en-GB"/>
        </w:rPr>
        <w:t>T</w:t>
      </w:r>
      <w:r w:rsidRPr="00101DE6">
        <w:rPr>
          <w:lang w:val="en-GB"/>
        </w:rPr>
        <w:t xml:space="preserve">he State party </w:t>
      </w:r>
      <w:r w:rsidR="00061316" w:rsidRPr="00101DE6">
        <w:rPr>
          <w:lang w:val="en-GB"/>
        </w:rPr>
        <w:t xml:space="preserve">therefore </w:t>
      </w:r>
      <w:r w:rsidRPr="00101DE6">
        <w:rPr>
          <w:lang w:val="en-GB"/>
        </w:rPr>
        <w:t>considers that the author’s request for compensation falls outside the scope of the Committee’s competence.</w:t>
      </w:r>
      <w:r w:rsidR="00192850" w:rsidRPr="00101DE6">
        <w:rPr>
          <w:lang w:val="en-GB"/>
        </w:rPr>
        <w:t xml:space="preserve"> </w:t>
      </w:r>
    </w:p>
    <w:p w14:paraId="7DEF784A" w14:textId="77777777" w:rsidR="00971D35" w:rsidRPr="00101DE6" w:rsidRDefault="007A2551" w:rsidP="001F345E">
      <w:pPr>
        <w:pStyle w:val="H23G"/>
      </w:pPr>
      <w:r w:rsidRPr="00101DE6">
        <w:tab/>
      </w:r>
      <w:r w:rsidRPr="00101DE6">
        <w:tab/>
      </w:r>
      <w:r w:rsidR="00971D35" w:rsidRPr="00101DE6">
        <w:t>Author’s comments on the State party’s observations</w:t>
      </w:r>
    </w:p>
    <w:p w14:paraId="66E69BC0" w14:textId="77777777" w:rsidR="00971D35" w:rsidRPr="00101DE6" w:rsidRDefault="00971D35" w:rsidP="00747552">
      <w:pPr>
        <w:spacing w:after="120"/>
        <w:ind w:left="1134" w:right="1134"/>
        <w:jc w:val="both"/>
      </w:pPr>
      <w:r w:rsidRPr="00101DE6">
        <w:t>5.1</w:t>
      </w:r>
      <w:r w:rsidRPr="00101DE6">
        <w:tab/>
        <w:t xml:space="preserve">In </w:t>
      </w:r>
      <w:r w:rsidR="00F151F0" w:rsidRPr="00101DE6">
        <w:t>his</w:t>
      </w:r>
      <w:r w:rsidRPr="00101DE6">
        <w:t xml:space="preserve"> comments dated </w:t>
      </w:r>
      <w:r w:rsidR="006D2C8D" w:rsidRPr="00101DE6">
        <w:t>14 March 2011</w:t>
      </w:r>
      <w:r w:rsidR="000F41AB" w:rsidRPr="00101DE6">
        <w:t xml:space="preserve">, </w:t>
      </w:r>
      <w:r w:rsidR="001C015D" w:rsidRPr="00101DE6">
        <w:t>15 September 2012</w:t>
      </w:r>
      <w:r w:rsidR="00F151F0" w:rsidRPr="00101DE6">
        <w:t xml:space="preserve"> </w:t>
      </w:r>
      <w:r w:rsidR="000F41AB" w:rsidRPr="00101DE6">
        <w:t xml:space="preserve">and 20 June 2013, </w:t>
      </w:r>
      <w:r w:rsidR="0062198E" w:rsidRPr="00101DE6">
        <w:t xml:space="preserve">on the issue of exhaustion of domestic remedies, </w:t>
      </w:r>
      <w:r w:rsidR="00F151F0" w:rsidRPr="00101DE6">
        <w:t>the author</w:t>
      </w:r>
      <w:r w:rsidR="0062198E" w:rsidRPr="00101DE6">
        <w:t xml:space="preserve"> asserts that he and his family pursued a lawsuit against </w:t>
      </w:r>
      <w:r w:rsidR="00BB2310" w:rsidRPr="00101DE6">
        <w:t xml:space="preserve">S </w:t>
      </w:r>
      <w:r w:rsidR="0062198E" w:rsidRPr="00101DE6">
        <w:t xml:space="preserve">in order to increase their chances of success in obtaining compensation in future negotiations with the </w:t>
      </w:r>
      <w:r w:rsidR="00061316" w:rsidRPr="00101DE6">
        <w:t>G</w:t>
      </w:r>
      <w:r w:rsidR="0062198E" w:rsidRPr="00101DE6">
        <w:t>overnment</w:t>
      </w:r>
      <w:r w:rsidR="00061316" w:rsidRPr="00101DE6">
        <w:t xml:space="preserve"> of the Czech Republic</w:t>
      </w:r>
      <w:r w:rsidR="0062198E" w:rsidRPr="00101DE6">
        <w:t xml:space="preserve">. The author argues that their chances of success would have been greatly improved if they </w:t>
      </w:r>
      <w:r w:rsidR="00061316" w:rsidRPr="00101DE6">
        <w:t xml:space="preserve">had </w:t>
      </w:r>
      <w:r w:rsidR="0062198E" w:rsidRPr="00101DE6">
        <w:t>obtained a judg</w:t>
      </w:r>
      <w:r w:rsidR="00B64847" w:rsidRPr="00101DE6">
        <w:t>e</w:t>
      </w:r>
      <w:r w:rsidR="0062198E" w:rsidRPr="00101DE6">
        <w:t>ment stating that the property in question belonged to his family</w:t>
      </w:r>
      <w:r w:rsidR="00706504" w:rsidRPr="00101DE6">
        <w:t>.</w:t>
      </w:r>
      <w:r w:rsidR="00C21656" w:rsidRPr="00101DE6">
        <w:t xml:space="preserve"> The author further submits that it would have been pointless to attack the </w:t>
      </w:r>
      <w:r w:rsidR="00B64847" w:rsidRPr="00101DE6">
        <w:t>D</w:t>
      </w:r>
      <w:r w:rsidR="00C21656" w:rsidRPr="00101DE6">
        <w:t xml:space="preserve">ecree itself and that the basis of his case was that the </w:t>
      </w:r>
      <w:r w:rsidR="00B64847" w:rsidRPr="00101DE6">
        <w:t>D</w:t>
      </w:r>
      <w:r w:rsidR="00C21656" w:rsidRPr="00101DE6">
        <w:t>ecree was not properly applied in his family’s case (</w:t>
      </w:r>
      <w:r w:rsidR="00230445" w:rsidRPr="00101DE6">
        <w:t xml:space="preserve">in that </w:t>
      </w:r>
      <w:r w:rsidR="00C21656" w:rsidRPr="00101DE6">
        <w:t xml:space="preserve">the </w:t>
      </w:r>
      <w:r w:rsidR="00061316" w:rsidRPr="00101DE6">
        <w:t xml:space="preserve">signature of the </w:t>
      </w:r>
      <w:r w:rsidR="00C21656" w:rsidRPr="00101DE6">
        <w:t xml:space="preserve">Minister of Industry </w:t>
      </w:r>
      <w:r w:rsidR="005413A7" w:rsidRPr="00101DE6">
        <w:t>did not appear on</w:t>
      </w:r>
      <w:r w:rsidR="00C21656" w:rsidRPr="00101DE6">
        <w:t xml:space="preserve"> the </w:t>
      </w:r>
      <w:r w:rsidR="003655F8" w:rsidRPr="00101DE6">
        <w:t>nationali</w:t>
      </w:r>
      <w:r w:rsidR="00061316" w:rsidRPr="00101DE6">
        <w:t>z</w:t>
      </w:r>
      <w:r w:rsidR="003655F8" w:rsidRPr="00101DE6">
        <w:t xml:space="preserve">ation regulation). The author argues that he brought </w:t>
      </w:r>
      <w:r w:rsidR="00061316" w:rsidRPr="00101DE6">
        <w:t>th</w:t>
      </w:r>
      <w:r w:rsidR="00747552" w:rsidRPr="00101DE6">
        <w:t>at</w:t>
      </w:r>
      <w:r w:rsidR="00061316" w:rsidRPr="00101DE6">
        <w:t xml:space="preserve"> </w:t>
      </w:r>
      <w:r w:rsidR="003655F8" w:rsidRPr="00101DE6">
        <w:t xml:space="preserve">specific claim before each court, </w:t>
      </w:r>
      <w:r w:rsidR="00706504" w:rsidRPr="00101DE6">
        <w:t>including</w:t>
      </w:r>
      <w:r w:rsidR="003655F8" w:rsidRPr="00101DE6">
        <w:t xml:space="preserve"> the Supreme Court. The author further asserts that his family </w:t>
      </w:r>
      <w:r w:rsidR="00706504" w:rsidRPr="00101DE6">
        <w:t>was only able to</w:t>
      </w:r>
      <w:r w:rsidR="003655F8" w:rsidRPr="00101DE6">
        <w:t xml:space="preserve"> bring a declaratory lawsu</w:t>
      </w:r>
      <w:r w:rsidR="005B27A4" w:rsidRPr="00101DE6">
        <w:t xml:space="preserve">it, </w:t>
      </w:r>
      <w:r w:rsidR="00230445" w:rsidRPr="00101DE6">
        <w:t xml:space="preserve">since </w:t>
      </w:r>
      <w:r w:rsidR="00706504" w:rsidRPr="00101DE6">
        <w:t xml:space="preserve">Czech </w:t>
      </w:r>
      <w:r w:rsidR="005B27A4" w:rsidRPr="00101DE6">
        <w:t>cadastral of</w:t>
      </w:r>
      <w:r w:rsidR="003655F8" w:rsidRPr="00101DE6">
        <w:t>fices have be</w:t>
      </w:r>
      <w:r w:rsidR="00C67230" w:rsidRPr="00101DE6">
        <w:t>e</w:t>
      </w:r>
      <w:r w:rsidR="003655F8" w:rsidRPr="00101DE6">
        <w:t xml:space="preserve">n refusing to register </w:t>
      </w:r>
      <w:r w:rsidR="00706504" w:rsidRPr="00101DE6">
        <w:t xml:space="preserve">property </w:t>
      </w:r>
      <w:r w:rsidR="003655F8" w:rsidRPr="00101DE6">
        <w:t xml:space="preserve">ownership titles on the basis of </w:t>
      </w:r>
      <w:r w:rsidR="00706504" w:rsidRPr="00101DE6">
        <w:t>court decisions</w:t>
      </w:r>
      <w:r w:rsidR="003655F8" w:rsidRPr="00101DE6">
        <w:t xml:space="preserve"> concerning </w:t>
      </w:r>
      <w:r w:rsidR="00706504" w:rsidRPr="00101DE6">
        <w:t xml:space="preserve">the </w:t>
      </w:r>
      <w:r w:rsidR="003655F8" w:rsidRPr="00101DE6">
        <w:t>surrender of an asset.</w:t>
      </w:r>
      <w:r w:rsidR="005B27A4" w:rsidRPr="00101DE6">
        <w:t xml:space="preserve"> T</w:t>
      </w:r>
      <w:r w:rsidR="008E0259" w:rsidRPr="00101DE6">
        <w:t xml:space="preserve">he author also </w:t>
      </w:r>
      <w:r w:rsidR="0085208E" w:rsidRPr="00101DE6">
        <w:t xml:space="preserve">describes </w:t>
      </w:r>
      <w:r w:rsidR="008E0259" w:rsidRPr="00101DE6">
        <w:t xml:space="preserve">as cynical the State party’s argument that </w:t>
      </w:r>
      <w:r w:rsidR="00706504" w:rsidRPr="00101DE6">
        <w:t>he</w:t>
      </w:r>
      <w:r w:rsidR="008E0259" w:rsidRPr="00101DE6">
        <w:t xml:space="preserve"> should have filed the claim in court before the </w:t>
      </w:r>
      <w:r w:rsidR="00706504" w:rsidRPr="00101DE6">
        <w:t xml:space="preserve">issuance of the </w:t>
      </w:r>
      <w:r w:rsidR="008E0259" w:rsidRPr="00101DE6">
        <w:t xml:space="preserve">Constitutional Court Opinion of 2005, and maintains that his complaint is based precisely on the </w:t>
      </w:r>
      <w:r w:rsidR="00061316" w:rsidRPr="00101DE6">
        <w:t xml:space="preserve">refusal of the </w:t>
      </w:r>
      <w:r w:rsidR="008E0259" w:rsidRPr="00101DE6">
        <w:t xml:space="preserve">domestic courts to examine the merits of the case </w:t>
      </w:r>
      <w:r w:rsidR="0003413D" w:rsidRPr="00101DE6">
        <w:t>on account of</w:t>
      </w:r>
      <w:r w:rsidR="008E0259" w:rsidRPr="00101DE6">
        <w:t xml:space="preserve"> the Opinion itself.</w:t>
      </w:r>
    </w:p>
    <w:p w14:paraId="37F2121B" w14:textId="77777777" w:rsidR="00FC6A79" w:rsidRPr="00101DE6" w:rsidRDefault="00971D35" w:rsidP="00704059">
      <w:pPr>
        <w:pStyle w:val="SingleTxtG"/>
        <w:rPr>
          <w:lang w:val="en-GB"/>
        </w:rPr>
      </w:pPr>
      <w:r w:rsidRPr="00101DE6">
        <w:rPr>
          <w:lang w:val="en-GB"/>
        </w:rPr>
        <w:t>5.2</w:t>
      </w:r>
      <w:r w:rsidRPr="00101DE6">
        <w:rPr>
          <w:lang w:val="en-GB"/>
        </w:rPr>
        <w:tab/>
        <w:t xml:space="preserve">Concerning </w:t>
      </w:r>
      <w:r w:rsidR="008E0259" w:rsidRPr="00101DE6">
        <w:rPr>
          <w:lang w:val="en-GB"/>
        </w:rPr>
        <w:t xml:space="preserve">his claim under </w:t>
      </w:r>
      <w:r w:rsidR="00B37284" w:rsidRPr="00101DE6">
        <w:rPr>
          <w:lang w:val="en-GB"/>
        </w:rPr>
        <w:t>article </w:t>
      </w:r>
      <w:r w:rsidR="008E0259" w:rsidRPr="00101DE6">
        <w:rPr>
          <w:lang w:val="en-GB"/>
        </w:rPr>
        <w:t>14</w:t>
      </w:r>
      <w:r w:rsidR="00A52825" w:rsidRPr="00101DE6">
        <w:rPr>
          <w:lang w:val="en-GB"/>
        </w:rPr>
        <w:t> (</w:t>
      </w:r>
      <w:r w:rsidR="008E0259" w:rsidRPr="00101DE6">
        <w:rPr>
          <w:lang w:val="en-GB"/>
        </w:rPr>
        <w:t>1</w:t>
      </w:r>
      <w:r w:rsidR="00A52825" w:rsidRPr="00101DE6">
        <w:rPr>
          <w:lang w:val="en-GB"/>
        </w:rPr>
        <w:t>)</w:t>
      </w:r>
      <w:r w:rsidR="008E0259" w:rsidRPr="00101DE6">
        <w:rPr>
          <w:lang w:val="en-GB"/>
        </w:rPr>
        <w:t xml:space="preserve"> of</w:t>
      </w:r>
      <w:r w:rsidR="00F151F0" w:rsidRPr="00101DE6">
        <w:rPr>
          <w:lang w:val="en-GB"/>
        </w:rPr>
        <w:t xml:space="preserve"> the Covenant, </w:t>
      </w:r>
      <w:r w:rsidR="008E0259" w:rsidRPr="00101DE6">
        <w:rPr>
          <w:lang w:val="en-GB"/>
        </w:rPr>
        <w:t xml:space="preserve">considered alone, </w:t>
      </w:r>
      <w:r w:rsidR="00F151F0" w:rsidRPr="00101DE6">
        <w:rPr>
          <w:lang w:val="en-GB"/>
        </w:rPr>
        <w:t xml:space="preserve">the author </w:t>
      </w:r>
      <w:r w:rsidR="00FC6A79" w:rsidRPr="00101DE6">
        <w:rPr>
          <w:lang w:val="en-GB"/>
        </w:rPr>
        <w:t>reiterates his assertion that the Constitutional Court Opinion of 2005 prevented any examination of the way in which the confiscation of the knitw</w:t>
      </w:r>
      <w:r w:rsidR="00F72A4A" w:rsidRPr="00101DE6">
        <w:rPr>
          <w:lang w:val="en-GB"/>
        </w:rPr>
        <w:t>ear</w:t>
      </w:r>
      <w:r w:rsidR="00FC6A79" w:rsidRPr="00101DE6">
        <w:rPr>
          <w:lang w:val="en-GB"/>
        </w:rPr>
        <w:t xml:space="preserve"> factory </w:t>
      </w:r>
      <w:r w:rsidR="008F3931" w:rsidRPr="00101DE6">
        <w:rPr>
          <w:lang w:val="en-GB"/>
        </w:rPr>
        <w:t xml:space="preserve">had been </w:t>
      </w:r>
      <w:r w:rsidR="00FC6A79" w:rsidRPr="00101DE6">
        <w:rPr>
          <w:lang w:val="en-GB"/>
        </w:rPr>
        <w:t xml:space="preserve">performed. </w:t>
      </w:r>
      <w:r w:rsidR="00F72A4A" w:rsidRPr="00101DE6">
        <w:rPr>
          <w:lang w:val="en-GB"/>
        </w:rPr>
        <w:t>T</w:t>
      </w:r>
      <w:r w:rsidR="00FC6A79" w:rsidRPr="00101DE6">
        <w:rPr>
          <w:lang w:val="en-GB"/>
        </w:rPr>
        <w:t xml:space="preserve">he author </w:t>
      </w:r>
      <w:r w:rsidR="00F72A4A" w:rsidRPr="00101DE6">
        <w:rPr>
          <w:lang w:val="en-GB"/>
        </w:rPr>
        <w:t xml:space="preserve">therefore </w:t>
      </w:r>
      <w:r w:rsidR="00FC6A79" w:rsidRPr="00101DE6">
        <w:rPr>
          <w:lang w:val="en-GB"/>
        </w:rPr>
        <w:t xml:space="preserve">maintains that the Opinion prevented a fair hearing, since the author and his family could no longer challenge the District Court’s ruling that the absent signature was irrelevant. </w:t>
      </w:r>
    </w:p>
    <w:p w14:paraId="5CAD6B3A" w14:textId="77777777" w:rsidR="00FC6A79" w:rsidRPr="00101DE6" w:rsidRDefault="00FC6A79" w:rsidP="001F345E">
      <w:pPr>
        <w:pStyle w:val="SingleTxtG"/>
        <w:rPr>
          <w:lang w:val="en-GB"/>
        </w:rPr>
      </w:pPr>
      <w:r w:rsidRPr="00101DE6">
        <w:rPr>
          <w:lang w:val="en-GB"/>
        </w:rPr>
        <w:t>5.3</w:t>
      </w:r>
      <w:r w:rsidRPr="00101DE6">
        <w:rPr>
          <w:lang w:val="en-GB"/>
        </w:rPr>
        <w:tab/>
        <w:t xml:space="preserve">As to his claim under </w:t>
      </w:r>
      <w:r w:rsidR="00B37284" w:rsidRPr="00101DE6">
        <w:rPr>
          <w:lang w:val="en-GB"/>
        </w:rPr>
        <w:t>article </w:t>
      </w:r>
      <w:r w:rsidRPr="00101DE6">
        <w:rPr>
          <w:lang w:val="en-GB"/>
        </w:rPr>
        <w:t>14</w:t>
      </w:r>
      <w:r w:rsidR="00A52825" w:rsidRPr="00101DE6">
        <w:rPr>
          <w:lang w:val="en-GB"/>
        </w:rPr>
        <w:t> (</w:t>
      </w:r>
      <w:r w:rsidRPr="00101DE6">
        <w:rPr>
          <w:lang w:val="en-GB"/>
        </w:rPr>
        <w:t>1</w:t>
      </w:r>
      <w:r w:rsidR="00A52825" w:rsidRPr="00101DE6">
        <w:rPr>
          <w:lang w:val="en-GB"/>
        </w:rPr>
        <w:t>)</w:t>
      </w:r>
      <w:r w:rsidR="00C03F0E" w:rsidRPr="00101DE6">
        <w:rPr>
          <w:lang w:val="en-GB"/>
        </w:rPr>
        <w:t xml:space="preserve"> of the Covenant</w:t>
      </w:r>
      <w:r w:rsidRPr="00101DE6">
        <w:rPr>
          <w:lang w:val="en-GB"/>
        </w:rPr>
        <w:t xml:space="preserve">, considered in conjunction with </w:t>
      </w:r>
      <w:r w:rsidR="00B37284" w:rsidRPr="00101DE6">
        <w:rPr>
          <w:lang w:val="en-GB"/>
        </w:rPr>
        <w:t>article</w:t>
      </w:r>
      <w:r w:rsidR="00A52825" w:rsidRPr="00101DE6">
        <w:rPr>
          <w:lang w:val="en-GB"/>
        </w:rPr>
        <w:t>s</w:t>
      </w:r>
      <w:r w:rsidR="00B37284" w:rsidRPr="00101DE6">
        <w:rPr>
          <w:lang w:val="en-GB"/>
        </w:rPr>
        <w:t> </w:t>
      </w:r>
      <w:r w:rsidRPr="00101DE6">
        <w:rPr>
          <w:lang w:val="en-GB"/>
        </w:rPr>
        <w:t>2</w:t>
      </w:r>
      <w:r w:rsidR="00A52825" w:rsidRPr="00101DE6">
        <w:rPr>
          <w:lang w:val="en-GB"/>
        </w:rPr>
        <w:t> (</w:t>
      </w:r>
      <w:r w:rsidRPr="00101DE6">
        <w:rPr>
          <w:lang w:val="en-GB"/>
        </w:rPr>
        <w:t>1</w:t>
      </w:r>
      <w:r w:rsidR="00A52825" w:rsidRPr="00101DE6">
        <w:rPr>
          <w:lang w:val="en-GB"/>
        </w:rPr>
        <w:t>)</w:t>
      </w:r>
      <w:r w:rsidRPr="00101DE6">
        <w:rPr>
          <w:lang w:val="en-GB"/>
        </w:rPr>
        <w:t xml:space="preserve"> and 26</w:t>
      </w:r>
      <w:r w:rsidR="008F3931" w:rsidRPr="00101DE6">
        <w:rPr>
          <w:lang w:val="en-GB"/>
        </w:rPr>
        <w:t>,</w:t>
      </w:r>
      <w:r w:rsidRPr="00101DE6">
        <w:rPr>
          <w:lang w:val="en-GB"/>
        </w:rPr>
        <w:t xml:space="preserve"> the author asserts that the State party’s arguments are irrelevant. </w:t>
      </w:r>
      <w:r w:rsidR="00A778AB" w:rsidRPr="00101DE6">
        <w:rPr>
          <w:lang w:val="en-GB"/>
        </w:rPr>
        <w:t>The author reiterates his argument that</w:t>
      </w:r>
      <w:r w:rsidR="00A52825" w:rsidRPr="00101DE6">
        <w:rPr>
          <w:lang w:val="en-GB"/>
        </w:rPr>
        <w:t>,</w:t>
      </w:r>
      <w:r w:rsidR="00A778AB" w:rsidRPr="00101DE6">
        <w:rPr>
          <w:lang w:val="en-GB"/>
        </w:rPr>
        <w:t xml:space="preserve"> in 1991, the State party effected an expropriation of the property in question and did not allow restitution for non-Czech or </w:t>
      </w:r>
      <w:r w:rsidR="004A40DD" w:rsidRPr="00101DE6">
        <w:rPr>
          <w:lang w:val="en-GB"/>
        </w:rPr>
        <w:t>non-</w:t>
      </w:r>
      <w:r w:rsidR="00A778AB" w:rsidRPr="00101DE6">
        <w:rPr>
          <w:lang w:val="en-GB"/>
        </w:rPr>
        <w:t xml:space="preserve">Slovak nationals, and that this </w:t>
      </w:r>
      <w:r w:rsidR="00A52825" w:rsidRPr="00101DE6">
        <w:rPr>
          <w:lang w:val="en-GB"/>
        </w:rPr>
        <w:t xml:space="preserve">constituted </w:t>
      </w:r>
      <w:r w:rsidR="00A778AB" w:rsidRPr="00101DE6">
        <w:rPr>
          <w:lang w:val="en-GB"/>
        </w:rPr>
        <w:t>a “manifest act of discrimination”</w:t>
      </w:r>
      <w:r w:rsidR="008F3931" w:rsidRPr="00101DE6">
        <w:rPr>
          <w:lang w:val="en-GB"/>
        </w:rPr>
        <w:t>.</w:t>
      </w:r>
      <w:r w:rsidR="00866D01" w:rsidRPr="00101DE6">
        <w:rPr>
          <w:lang w:val="en-GB"/>
        </w:rPr>
        <w:t xml:space="preserve"> </w:t>
      </w:r>
    </w:p>
    <w:p w14:paraId="03F76C9C" w14:textId="77777777" w:rsidR="00971D35" w:rsidRPr="00101DE6" w:rsidRDefault="00551F71" w:rsidP="00E45407">
      <w:pPr>
        <w:pStyle w:val="H23G"/>
      </w:pPr>
      <w:r w:rsidRPr="00101DE6">
        <w:lastRenderedPageBreak/>
        <w:tab/>
      </w:r>
      <w:r w:rsidRPr="00101DE6">
        <w:tab/>
      </w:r>
      <w:r w:rsidR="00971D35" w:rsidRPr="00101DE6">
        <w:t>Issues and proceedings before the Committee</w:t>
      </w:r>
    </w:p>
    <w:p w14:paraId="460E5CA9" w14:textId="77777777" w:rsidR="00971D35" w:rsidRPr="00101DE6" w:rsidRDefault="00551F71" w:rsidP="00E45407">
      <w:pPr>
        <w:pStyle w:val="H4G"/>
      </w:pPr>
      <w:r w:rsidRPr="00101DE6">
        <w:tab/>
      </w:r>
      <w:r w:rsidRPr="00101DE6">
        <w:tab/>
      </w:r>
      <w:r w:rsidR="00971D35" w:rsidRPr="00101DE6">
        <w:t>Consideration of admissibility</w:t>
      </w:r>
    </w:p>
    <w:p w14:paraId="30059DE1" w14:textId="77777777" w:rsidR="00971D35" w:rsidRPr="00101DE6" w:rsidRDefault="00971D35" w:rsidP="001F345E">
      <w:pPr>
        <w:pStyle w:val="SingleTxtG"/>
        <w:rPr>
          <w:lang w:val="en-GB"/>
        </w:rPr>
      </w:pPr>
      <w:r w:rsidRPr="00101DE6">
        <w:rPr>
          <w:lang w:val="en-GB"/>
        </w:rPr>
        <w:t>6.1</w:t>
      </w:r>
      <w:r w:rsidRPr="00101DE6">
        <w:rPr>
          <w:lang w:val="en-GB"/>
        </w:rPr>
        <w:tab/>
        <w:t xml:space="preserve">Before considering any claims contained in a communication, the Committee must, in accordance with </w:t>
      </w:r>
      <w:r w:rsidR="00B37284" w:rsidRPr="00101DE6">
        <w:rPr>
          <w:lang w:val="en-GB"/>
        </w:rPr>
        <w:t>article </w:t>
      </w:r>
      <w:r w:rsidRPr="00101DE6">
        <w:rPr>
          <w:lang w:val="en-GB"/>
        </w:rPr>
        <w:t xml:space="preserve">93 of its rules of procedure, decide whether or not it is admissible under the Optional Protocol to the Covenant. </w:t>
      </w:r>
    </w:p>
    <w:p w14:paraId="62869C73" w14:textId="77777777" w:rsidR="00DF5315" w:rsidRPr="00101DE6" w:rsidRDefault="00971D35" w:rsidP="001F345E">
      <w:pPr>
        <w:pStyle w:val="SingleTxtG"/>
        <w:rPr>
          <w:lang w:val="en-GB"/>
        </w:rPr>
      </w:pPr>
      <w:r w:rsidRPr="00101DE6">
        <w:rPr>
          <w:lang w:val="en-GB"/>
        </w:rPr>
        <w:t>6.2</w:t>
      </w:r>
      <w:r w:rsidRPr="00101DE6">
        <w:rPr>
          <w:lang w:val="en-GB"/>
        </w:rPr>
        <w:tab/>
        <w:t xml:space="preserve">The Committee notes, as required by </w:t>
      </w:r>
      <w:r w:rsidR="00B37284" w:rsidRPr="00101DE6">
        <w:rPr>
          <w:lang w:val="en-GB"/>
        </w:rPr>
        <w:t>article </w:t>
      </w:r>
      <w:r w:rsidRPr="00101DE6">
        <w:rPr>
          <w:lang w:val="en-GB"/>
        </w:rPr>
        <w:t>5</w:t>
      </w:r>
      <w:r w:rsidR="00A52825" w:rsidRPr="00101DE6">
        <w:rPr>
          <w:lang w:val="en-GB"/>
        </w:rPr>
        <w:t> (</w:t>
      </w:r>
      <w:r w:rsidRPr="00101DE6">
        <w:rPr>
          <w:lang w:val="en-GB"/>
        </w:rPr>
        <w:t>2</w:t>
      </w:r>
      <w:r w:rsidR="00A52825" w:rsidRPr="00101DE6">
        <w:rPr>
          <w:lang w:val="en-GB"/>
        </w:rPr>
        <w:t>)</w:t>
      </w:r>
      <w:r w:rsidRPr="00101DE6">
        <w:rPr>
          <w:lang w:val="en-GB"/>
        </w:rPr>
        <w:t xml:space="preserve"> (a) of the Optional Protocol, that the matter is not being examined under any other international procedure o</w:t>
      </w:r>
      <w:r w:rsidR="00572DD6" w:rsidRPr="00101DE6">
        <w:rPr>
          <w:lang w:val="en-GB"/>
        </w:rPr>
        <w:t xml:space="preserve">f investigation or settlement. </w:t>
      </w:r>
    </w:p>
    <w:p w14:paraId="612CCE34" w14:textId="77777777" w:rsidR="00E409EC" w:rsidRPr="00101DE6" w:rsidRDefault="00572DD6" w:rsidP="001F345E">
      <w:pPr>
        <w:pStyle w:val="SingleTxtG"/>
        <w:rPr>
          <w:lang w:val="en-GB"/>
        </w:rPr>
      </w:pPr>
      <w:r w:rsidRPr="00101DE6">
        <w:rPr>
          <w:lang w:val="en-GB"/>
        </w:rPr>
        <w:t>6.3</w:t>
      </w:r>
      <w:r w:rsidR="004C6332" w:rsidRPr="00101DE6">
        <w:rPr>
          <w:lang w:val="en-GB"/>
        </w:rPr>
        <w:tab/>
      </w:r>
      <w:r w:rsidR="00AD0F5F" w:rsidRPr="00101DE6">
        <w:rPr>
          <w:lang w:val="en-GB"/>
        </w:rPr>
        <w:t xml:space="preserve">The Committee notes </w:t>
      </w:r>
      <w:r w:rsidR="007803B1" w:rsidRPr="00101DE6">
        <w:rPr>
          <w:lang w:val="en-GB"/>
        </w:rPr>
        <w:t>the author’s allegation</w:t>
      </w:r>
      <w:r w:rsidR="00DE0B87" w:rsidRPr="00101DE6">
        <w:rPr>
          <w:lang w:val="en-GB"/>
        </w:rPr>
        <w:t xml:space="preserve"> </w:t>
      </w:r>
      <w:r w:rsidR="000901CE" w:rsidRPr="00101DE6">
        <w:rPr>
          <w:lang w:val="en-GB"/>
        </w:rPr>
        <w:t xml:space="preserve">under </w:t>
      </w:r>
      <w:r w:rsidR="00B37284" w:rsidRPr="00101DE6">
        <w:rPr>
          <w:lang w:val="en-GB"/>
        </w:rPr>
        <w:t>article </w:t>
      </w:r>
      <w:r w:rsidR="000901CE" w:rsidRPr="00101DE6">
        <w:rPr>
          <w:lang w:val="en-GB"/>
        </w:rPr>
        <w:t>14</w:t>
      </w:r>
      <w:r w:rsidR="00A52825" w:rsidRPr="00101DE6">
        <w:rPr>
          <w:lang w:val="en-GB"/>
        </w:rPr>
        <w:t> (</w:t>
      </w:r>
      <w:r w:rsidR="000901CE" w:rsidRPr="00101DE6">
        <w:rPr>
          <w:lang w:val="en-GB"/>
        </w:rPr>
        <w:t>1</w:t>
      </w:r>
      <w:r w:rsidR="00A52825" w:rsidRPr="00101DE6">
        <w:rPr>
          <w:lang w:val="en-GB"/>
        </w:rPr>
        <w:t>)</w:t>
      </w:r>
      <w:r w:rsidR="00C03F0E" w:rsidRPr="00101DE6">
        <w:rPr>
          <w:lang w:val="en-GB"/>
        </w:rPr>
        <w:t xml:space="preserve"> of the Covenant</w:t>
      </w:r>
      <w:r w:rsidR="000901CE" w:rsidRPr="00101DE6">
        <w:rPr>
          <w:lang w:val="en-GB"/>
        </w:rPr>
        <w:t xml:space="preserve">, read in conjunction with </w:t>
      </w:r>
      <w:r w:rsidR="00B37284" w:rsidRPr="00101DE6">
        <w:rPr>
          <w:lang w:val="en-GB"/>
        </w:rPr>
        <w:t>article</w:t>
      </w:r>
      <w:r w:rsidR="00333A65" w:rsidRPr="00101DE6">
        <w:rPr>
          <w:lang w:val="en-GB"/>
        </w:rPr>
        <w:t>s</w:t>
      </w:r>
      <w:r w:rsidR="00B37284" w:rsidRPr="00101DE6">
        <w:rPr>
          <w:lang w:val="en-GB"/>
        </w:rPr>
        <w:t> </w:t>
      </w:r>
      <w:r w:rsidR="000901CE" w:rsidRPr="00101DE6">
        <w:rPr>
          <w:lang w:val="en-GB"/>
        </w:rPr>
        <w:t>2</w:t>
      </w:r>
      <w:r w:rsidR="00A52825" w:rsidRPr="00101DE6">
        <w:rPr>
          <w:lang w:val="en-GB"/>
        </w:rPr>
        <w:t> (</w:t>
      </w:r>
      <w:r w:rsidR="000901CE" w:rsidRPr="00101DE6">
        <w:rPr>
          <w:lang w:val="en-GB"/>
        </w:rPr>
        <w:t>1</w:t>
      </w:r>
      <w:r w:rsidR="00A52825" w:rsidRPr="00101DE6">
        <w:rPr>
          <w:lang w:val="en-GB"/>
        </w:rPr>
        <w:t>)</w:t>
      </w:r>
      <w:r w:rsidR="000901CE" w:rsidRPr="00101DE6">
        <w:rPr>
          <w:lang w:val="en-GB"/>
        </w:rPr>
        <w:t xml:space="preserve"> and</w:t>
      </w:r>
      <w:r w:rsidR="00DE0B87" w:rsidRPr="00101DE6">
        <w:rPr>
          <w:lang w:val="en-GB"/>
        </w:rPr>
        <w:t xml:space="preserve"> 26</w:t>
      </w:r>
      <w:r w:rsidR="008F3931" w:rsidRPr="00101DE6">
        <w:rPr>
          <w:lang w:val="en-GB"/>
        </w:rPr>
        <w:t>,</w:t>
      </w:r>
      <w:r w:rsidR="00F51A01" w:rsidRPr="00101DE6">
        <w:rPr>
          <w:lang w:val="en-GB"/>
        </w:rPr>
        <w:t xml:space="preserve"> </w:t>
      </w:r>
      <w:r w:rsidR="00E87680" w:rsidRPr="00101DE6">
        <w:rPr>
          <w:lang w:val="en-GB"/>
        </w:rPr>
        <w:t>that the Constitutional Court</w:t>
      </w:r>
      <w:r w:rsidR="00B51AEE" w:rsidRPr="00101DE6">
        <w:rPr>
          <w:lang w:val="en-GB"/>
        </w:rPr>
        <w:t>,</w:t>
      </w:r>
      <w:r w:rsidR="00E87680" w:rsidRPr="00101DE6">
        <w:rPr>
          <w:lang w:val="en-GB"/>
        </w:rPr>
        <w:t xml:space="preserve"> </w:t>
      </w:r>
      <w:r w:rsidR="00B51AEE" w:rsidRPr="00101DE6">
        <w:rPr>
          <w:lang w:val="en-GB"/>
        </w:rPr>
        <w:t xml:space="preserve">in its 2005 </w:t>
      </w:r>
      <w:r w:rsidR="00E87680" w:rsidRPr="00101DE6">
        <w:rPr>
          <w:lang w:val="en-GB"/>
        </w:rPr>
        <w:t>Opinion</w:t>
      </w:r>
      <w:r w:rsidR="00B51AEE" w:rsidRPr="00101DE6">
        <w:rPr>
          <w:lang w:val="en-GB"/>
        </w:rPr>
        <w:t>,</w:t>
      </w:r>
      <w:r w:rsidR="00E87680" w:rsidRPr="00101DE6">
        <w:rPr>
          <w:lang w:val="en-GB"/>
        </w:rPr>
        <w:t xml:space="preserve"> wrongly </w:t>
      </w:r>
      <w:r w:rsidR="000D2C5B" w:rsidRPr="00101DE6">
        <w:rPr>
          <w:lang w:val="en-GB"/>
        </w:rPr>
        <w:t>interpreted</w:t>
      </w:r>
      <w:r w:rsidR="005D361F" w:rsidRPr="00101DE6">
        <w:rPr>
          <w:lang w:val="en-GB"/>
        </w:rPr>
        <w:t xml:space="preserve"> </w:t>
      </w:r>
      <w:r w:rsidR="00E87680" w:rsidRPr="00101DE6">
        <w:rPr>
          <w:lang w:val="en-GB"/>
        </w:rPr>
        <w:t>a 1991 restitution law that applies only to individuals whose property was confiscated after 1948 and thus excludes the possibility of obtaining compensation for property confiscated from ethnic Germans under a 1945 decree issued by the pre-</w:t>
      </w:r>
      <w:r w:rsidR="00C03F0E" w:rsidRPr="00101DE6">
        <w:rPr>
          <w:lang w:val="en-GB"/>
        </w:rPr>
        <w:t>c</w:t>
      </w:r>
      <w:r w:rsidR="00E87680" w:rsidRPr="00101DE6">
        <w:rPr>
          <w:lang w:val="en-GB"/>
        </w:rPr>
        <w:t>ommunist regime.</w:t>
      </w:r>
      <w:r w:rsidR="00726772" w:rsidRPr="00101DE6">
        <w:rPr>
          <w:rStyle w:val="FootnoteReference"/>
          <w:lang w:val="en-GB"/>
        </w:rPr>
        <w:footnoteReference w:id="17"/>
      </w:r>
      <w:r w:rsidR="002E34C1" w:rsidRPr="00101DE6">
        <w:rPr>
          <w:lang w:val="en-GB"/>
        </w:rPr>
        <w:t xml:space="preserve"> </w:t>
      </w:r>
      <w:r w:rsidR="0066424C" w:rsidRPr="00101DE6">
        <w:rPr>
          <w:lang w:val="en-GB"/>
        </w:rPr>
        <w:t xml:space="preserve">The Committee observes that </w:t>
      </w:r>
      <w:r w:rsidR="00F72A4A" w:rsidRPr="00101DE6">
        <w:rPr>
          <w:lang w:val="en-GB"/>
        </w:rPr>
        <w:t xml:space="preserve">the </w:t>
      </w:r>
      <w:r w:rsidR="0066424C" w:rsidRPr="00101DE6">
        <w:rPr>
          <w:lang w:val="en-GB"/>
        </w:rPr>
        <w:t xml:space="preserve">allegation refers to a review of </w:t>
      </w:r>
      <w:r w:rsidR="007803B1" w:rsidRPr="00101DE6">
        <w:rPr>
          <w:lang w:val="en-GB"/>
        </w:rPr>
        <w:t xml:space="preserve">the application of </w:t>
      </w:r>
      <w:r w:rsidR="0066424C" w:rsidRPr="00101DE6">
        <w:rPr>
          <w:lang w:val="en-GB"/>
        </w:rPr>
        <w:t xml:space="preserve">domestic legislation by the Czech Constitutional Court. </w:t>
      </w:r>
      <w:r w:rsidR="00342DCF" w:rsidRPr="00101DE6">
        <w:rPr>
          <w:lang w:val="en-GB"/>
        </w:rPr>
        <w:t>The Committee recalls that it is generally for the courts of States parties to the Covenant to review facts and evidence, or the application of domestic legislation in a particular case, unless it can be shown that such evaluation or application was clearly arbitrary or amounted to a manifest error or denial of justice, or that the court otherwise violated its obligation of independence and impartiality.</w:t>
      </w:r>
      <w:r w:rsidR="00342DCF" w:rsidRPr="00101DE6">
        <w:rPr>
          <w:rStyle w:val="FootnoteReference"/>
          <w:lang w:val="en-GB"/>
        </w:rPr>
        <w:footnoteReference w:id="18"/>
      </w:r>
      <w:r w:rsidR="00342DCF" w:rsidRPr="00101DE6">
        <w:rPr>
          <w:lang w:val="en-GB"/>
        </w:rPr>
        <w:t xml:space="preserve"> </w:t>
      </w:r>
    </w:p>
    <w:p w14:paraId="0EEF8659" w14:textId="77777777" w:rsidR="00E87680" w:rsidRPr="00101DE6" w:rsidRDefault="00E409EC" w:rsidP="001F345E">
      <w:pPr>
        <w:pStyle w:val="SingleTxtG"/>
        <w:rPr>
          <w:lang w:val="en-GB"/>
        </w:rPr>
      </w:pPr>
      <w:r w:rsidRPr="00101DE6">
        <w:rPr>
          <w:lang w:val="en-GB"/>
        </w:rPr>
        <w:t>6.4</w:t>
      </w:r>
      <w:r w:rsidRPr="00101DE6">
        <w:rPr>
          <w:lang w:val="en-GB"/>
        </w:rPr>
        <w:tab/>
      </w:r>
      <w:r w:rsidR="00E87680" w:rsidRPr="00101DE6">
        <w:rPr>
          <w:lang w:val="en-GB"/>
        </w:rPr>
        <w:t xml:space="preserve">In communication </w:t>
      </w:r>
      <w:r w:rsidR="00230445" w:rsidRPr="00101DE6">
        <w:rPr>
          <w:lang w:val="en-GB"/>
        </w:rPr>
        <w:t xml:space="preserve">No. </w:t>
      </w:r>
      <w:r w:rsidR="00E87680" w:rsidRPr="00101DE6">
        <w:rPr>
          <w:lang w:val="en-GB"/>
        </w:rPr>
        <w:t>516/1992</w:t>
      </w:r>
      <w:r w:rsidR="00230445" w:rsidRPr="00101DE6">
        <w:rPr>
          <w:lang w:val="en-GB"/>
        </w:rPr>
        <w:t>,</w:t>
      </w:r>
      <w:r w:rsidR="00E87680" w:rsidRPr="00101DE6">
        <w:rPr>
          <w:lang w:val="en-GB"/>
        </w:rPr>
        <w:t xml:space="preserve"> </w:t>
      </w:r>
      <w:r w:rsidR="00E87680" w:rsidRPr="00101DE6">
        <w:rPr>
          <w:i/>
          <w:lang w:val="en-GB"/>
        </w:rPr>
        <w:t xml:space="preserve">Simunek </w:t>
      </w:r>
      <w:r w:rsidR="003A3A21" w:rsidRPr="00101DE6">
        <w:rPr>
          <w:i/>
          <w:lang w:val="en-GB"/>
        </w:rPr>
        <w:t>et al.</w:t>
      </w:r>
      <w:r w:rsidR="003A3A21" w:rsidRPr="00101DE6">
        <w:rPr>
          <w:i/>
          <w:iCs/>
          <w:lang w:val="en-GB"/>
        </w:rPr>
        <w:t xml:space="preserve"> </w:t>
      </w:r>
      <w:r w:rsidR="00E87680" w:rsidRPr="00101DE6">
        <w:rPr>
          <w:i/>
          <w:iCs/>
          <w:lang w:val="en-GB"/>
        </w:rPr>
        <w:t xml:space="preserve">v. </w:t>
      </w:r>
      <w:r w:rsidR="00E87680" w:rsidRPr="00101DE6">
        <w:rPr>
          <w:i/>
          <w:lang w:val="en-GB"/>
        </w:rPr>
        <w:t>Czech Republic</w:t>
      </w:r>
      <w:r w:rsidR="00E87680" w:rsidRPr="00101DE6">
        <w:rPr>
          <w:lang w:val="en-GB"/>
        </w:rPr>
        <w:t xml:space="preserve">, the Committee held that the </w:t>
      </w:r>
      <w:r w:rsidR="004A40DD" w:rsidRPr="00101DE6">
        <w:rPr>
          <w:lang w:val="en-GB"/>
        </w:rPr>
        <w:t xml:space="preserve">application of the </w:t>
      </w:r>
      <w:r w:rsidR="00E87680" w:rsidRPr="00101DE6">
        <w:rPr>
          <w:lang w:val="en-GB"/>
        </w:rPr>
        <w:t xml:space="preserve">1991 law violated the Covenant </w:t>
      </w:r>
      <w:r w:rsidR="00230445" w:rsidRPr="00101DE6">
        <w:rPr>
          <w:lang w:val="en-GB"/>
        </w:rPr>
        <w:t xml:space="preserve">in that </w:t>
      </w:r>
      <w:r w:rsidR="00E87680" w:rsidRPr="00101DE6">
        <w:rPr>
          <w:lang w:val="en-GB"/>
        </w:rPr>
        <w:t xml:space="preserve">it excluded from its application individuals whose property was confiscated after 1948 simply because they were not nationals or residents of the country after the fall of the </w:t>
      </w:r>
      <w:r w:rsidR="008F3931" w:rsidRPr="00101DE6">
        <w:rPr>
          <w:lang w:val="en-GB"/>
        </w:rPr>
        <w:t>c</w:t>
      </w:r>
      <w:r w:rsidR="00E87680" w:rsidRPr="00101DE6">
        <w:rPr>
          <w:lang w:val="en-GB"/>
        </w:rPr>
        <w:t>ommunist regime in 1989.</w:t>
      </w:r>
      <w:r w:rsidR="00C95F25" w:rsidRPr="00101DE6">
        <w:rPr>
          <w:rStyle w:val="FootnoteReference"/>
          <w:lang w:val="en-GB"/>
        </w:rPr>
        <w:footnoteReference w:id="19"/>
      </w:r>
      <w:r w:rsidR="00E87680" w:rsidRPr="00101DE6">
        <w:rPr>
          <w:lang w:val="en-GB"/>
        </w:rPr>
        <w:t xml:space="preserve"> The </w:t>
      </w:r>
      <w:r w:rsidR="00D626A5" w:rsidRPr="00101DE6">
        <w:rPr>
          <w:lang w:val="en-GB"/>
        </w:rPr>
        <w:t xml:space="preserve">present </w:t>
      </w:r>
      <w:r w:rsidR="00E87680" w:rsidRPr="00101DE6">
        <w:rPr>
          <w:lang w:val="en-GB"/>
        </w:rPr>
        <w:t xml:space="preserve">case differs from the views in the above case in that the author in the present case does not allege discriminatory treatment </w:t>
      </w:r>
      <w:r w:rsidR="00F17CB5" w:rsidRPr="00101DE6">
        <w:rPr>
          <w:lang w:val="en-GB"/>
        </w:rPr>
        <w:t>with respect to</w:t>
      </w:r>
      <w:r w:rsidR="00E87680" w:rsidRPr="00101DE6">
        <w:rPr>
          <w:lang w:val="en-GB"/>
        </w:rPr>
        <w:t xml:space="preserve"> </w:t>
      </w:r>
      <w:r w:rsidR="00F17CB5" w:rsidRPr="00101DE6">
        <w:rPr>
          <w:lang w:val="en-GB"/>
        </w:rPr>
        <w:t>property confiscated</w:t>
      </w:r>
      <w:r w:rsidR="00E87680" w:rsidRPr="00101DE6">
        <w:rPr>
          <w:lang w:val="en-GB"/>
        </w:rPr>
        <w:t xml:space="preserve"> after 1948. </w:t>
      </w:r>
      <w:r w:rsidR="00B76571" w:rsidRPr="00101DE6">
        <w:rPr>
          <w:lang w:val="en-GB"/>
        </w:rPr>
        <w:t>Rather</w:t>
      </w:r>
      <w:r w:rsidR="00E87680" w:rsidRPr="00101DE6">
        <w:rPr>
          <w:lang w:val="en-GB"/>
        </w:rPr>
        <w:t xml:space="preserve">, he contends that the </w:t>
      </w:r>
      <w:r w:rsidR="00C444DE" w:rsidRPr="00101DE6">
        <w:rPr>
          <w:lang w:val="en-GB"/>
        </w:rPr>
        <w:t xml:space="preserve">interpretation of the 1991 law in the </w:t>
      </w:r>
      <w:r w:rsidR="00F17CB5" w:rsidRPr="00101DE6">
        <w:rPr>
          <w:lang w:val="en-GB"/>
        </w:rPr>
        <w:t>Constitutional Court Opinion of 2005</w:t>
      </w:r>
      <w:r w:rsidR="009F11AC" w:rsidRPr="00101DE6">
        <w:rPr>
          <w:lang w:val="en-GB"/>
        </w:rPr>
        <w:t xml:space="preserve"> </w:t>
      </w:r>
      <w:r w:rsidR="00E87680" w:rsidRPr="00101DE6">
        <w:rPr>
          <w:lang w:val="en-GB"/>
        </w:rPr>
        <w:t xml:space="preserve">is discriminatory because </w:t>
      </w:r>
      <w:r w:rsidR="00F17CB5" w:rsidRPr="00101DE6">
        <w:rPr>
          <w:lang w:val="en-GB"/>
        </w:rPr>
        <w:t>the law</w:t>
      </w:r>
      <w:r w:rsidR="00E87680" w:rsidRPr="00101DE6">
        <w:rPr>
          <w:lang w:val="en-GB"/>
        </w:rPr>
        <w:t xml:space="preserve"> does not </w:t>
      </w:r>
      <w:r w:rsidR="00E87680" w:rsidRPr="00101DE6">
        <w:rPr>
          <w:iCs/>
          <w:lang w:val="en-GB"/>
        </w:rPr>
        <w:t>also</w:t>
      </w:r>
      <w:r w:rsidR="00E87680" w:rsidRPr="00101DE6">
        <w:rPr>
          <w:lang w:val="en-GB"/>
        </w:rPr>
        <w:t xml:space="preserve"> compensate victims</w:t>
      </w:r>
      <w:r w:rsidR="00F17CB5" w:rsidRPr="00101DE6">
        <w:rPr>
          <w:lang w:val="en-GB"/>
        </w:rPr>
        <w:t>, including non-Czech nationals,</w:t>
      </w:r>
      <w:r w:rsidR="00E87680" w:rsidRPr="00101DE6">
        <w:rPr>
          <w:lang w:val="en-GB"/>
        </w:rPr>
        <w:t xml:space="preserve"> </w:t>
      </w:r>
      <w:r w:rsidR="00C444DE" w:rsidRPr="00101DE6">
        <w:rPr>
          <w:lang w:val="en-GB"/>
        </w:rPr>
        <w:t xml:space="preserve">for </w:t>
      </w:r>
      <w:r w:rsidR="00E87680" w:rsidRPr="00101DE6">
        <w:rPr>
          <w:lang w:val="en-GB"/>
        </w:rPr>
        <w:t>the 1945 seizures decreed by the pre-</w:t>
      </w:r>
      <w:r w:rsidR="008F3931" w:rsidRPr="00101DE6">
        <w:rPr>
          <w:lang w:val="en-GB"/>
        </w:rPr>
        <w:t>c</w:t>
      </w:r>
      <w:r w:rsidR="00E87680" w:rsidRPr="00101DE6">
        <w:rPr>
          <w:lang w:val="en-GB"/>
        </w:rPr>
        <w:t>ommunist regime. The Committee considers that</w:t>
      </w:r>
      <w:r w:rsidR="0096209C" w:rsidRPr="00101DE6">
        <w:rPr>
          <w:lang w:val="en-GB"/>
        </w:rPr>
        <w:t>,</w:t>
      </w:r>
      <w:r w:rsidR="00E87680" w:rsidRPr="00101DE6">
        <w:rPr>
          <w:lang w:val="en-GB"/>
        </w:rPr>
        <w:t xml:space="preserve"> in the present case, legislation adopted after the fall of the </w:t>
      </w:r>
      <w:r w:rsidR="0003413D" w:rsidRPr="00101DE6">
        <w:rPr>
          <w:lang w:val="en-GB"/>
        </w:rPr>
        <w:t>c</w:t>
      </w:r>
      <w:r w:rsidR="00E87680" w:rsidRPr="00101DE6">
        <w:rPr>
          <w:lang w:val="en-GB"/>
        </w:rPr>
        <w:t xml:space="preserve">ommunist regime in Czechoslovakia to compensate the victims of that regime does not </w:t>
      </w:r>
      <w:r w:rsidR="00E87680" w:rsidRPr="00101DE6">
        <w:rPr>
          <w:lang w:val="en-GB"/>
        </w:rPr>
        <w:lastRenderedPageBreak/>
        <w:t xml:space="preserve">appear to be </w:t>
      </w:r>
      <w:r w:rsidR="00E87680" w:rsidRPr="00101DE6">
        <w:rPr>
          <w:iCs/>
          <w:lang w:val="en-GB"/>
        </w:rPr>
        <w:t>prima facie</w:t>
      </w:r>
      <w:r w:rsidR="00E87680" w:rsidRPr="00101DE6">
        <w:rPr>
          <w:lang w:val="en-GB"/>
        </w:rPr>
        <w:t xml:space="preserve"> discriminatory within the meaning of </w:t>
      </w:r>
      <w:r w:rsidR="00B37284" w:rsidRPr="00101DE6">
        <w:rPr>
          <w:lang w:val="en-GB"/>
        </w:rPr>
        <w:t>article </w:t>
      </w:r>
      <w:r w:rsidR="00E87680" w:rsidRPr="00101DE6">
        <w:rPr>
          <w:lang w:val="en-GB"/>
        </w:rPr>
        <w:t xml:space="preserve">26 merely </w:t>
      </w:r>
      <w:r w:rsidR="00C444DE" w:rsidRPr="00101DE6">
        <w:rPr>
          <w:lang w:val="en-GB"/>
        </w:rPr>
        <w:t>on the ground that</w:t>
      </w:r>
      <w:r w:rsidR="00E87680" w:rsidRPr="00101DE6">
        <w:rPr>
          <w:lang w:val="en-GB"/>
        </w:rPr>
        <w:t>, as the author contends, it does not compensate the victims of injustices allegedly committed by earlier regimes.</w:t>
      </w:r>
      <w:r w:rsidR="00FA37D6" w:rsidRPr="00101DE6">
        <w:rPr>
          <w:rStyle w:val="FootnoteReference"/>
          <w:lang w:val="en-GB"/>
        </w:rPr>
        <w:footnoteReference w:id="20"/>
      </w:r>
      <w:r w:rsidR="00EC4FD2" w:rsidRPr="00101DE6">
        <w:rPr>
          <w:lang w:val="en-GB"/>
        </w:rPr>
        <w:t xml:space="preserve"> </w:t>
      </w:r>
      <w:r w:rsidR="009F11AC" w:rsidRPr="00101DE6">
        <w:rPr>
          <w:lang w:val="en-GB"/>
        </w:rPr>
        <w:t xml:space="preserve">The Committee notes the author’s assertion that </w:t>
      </w:r>
      <w:r w:rsidR="00292D02" w:rsidRPr="00101DE6">
        <w:rPr>
          <w:lang w:val="en-GB"/>
        </w:rPr>
        <w:t xml:space="preserve">this reasoning, which was also applied in the case of </w:t>
      </w:r>
      <w:r w:rsidR="00292D02" w:rsidRPr="00101DE6">
        <w:rPr>
          <w:i/>
          <w:lang w:val="en-GB"/>
        </w:rPr>
        <w:t>Drobek</w:t>
      </w:r>
      <w:r w:rsidR="00292D02" w:rsidRPr="00101DE6">
        <w:rPr>
          <w:i/>
          <w:iCs/>
          <w:lang w:val="en-GB"/>
        </w:rPr>
        <w:t xml:space="preserve"> v. </w:t>
      </w:r>
      <w:r w:rsidR="00292D02" w:rsidRPr="00101DE6">
        <w:rPr>
          <w:i/>
          <w:lang w:val="en-GB"/>
        </w:rPr>
        <w:t>Slovakia</w:t>
      </w:r>
      <w:r w:rsidR="00292D02" w:rsidRPr="00101DE6">
        <w:rPr>
          <w:lang w:val="en-GB"/>
        </w:rPr>
        <w:t>,</w:t>
      </w:r>
      <w:r w:rsidR="009F11AC" w:rsidRPr="00101DE6">
        <w:rPr>
          <w:lang w:val="en-GB"/>
        </w:rPr>
        <w:t xml:space="preserve"> is misplaced in his case, because the injustice for which he seeks redress is the 1991 restitution law itself, which amounted to an “across-the-board expropriation” without compensation for non-Czech victims. </w:t>
      </w:r>
      <w:r w:rsidR="00E24F5B" w:rsidRPr="00101DE6">
        <w:rPr>
          <w:lang w:val="en-GB"/>
        </w:rPr>
        <w:t xml:space="preserve">However, the Committee observes that the 1991 law does not apply to the author and his family, because of the date on which their property was confiscated. </w:t>
      </w:r>
      <w:r w:rsidR="00292D02" w:rsidRPr="00101DE6">
        <w:rPr>
          <w:lang w:val="en-GB"/>
        </w:rPr>
        <w:t xml:space="preserve">The Committee thus observes that </w:t>
      </w:r>
      <w:r w:rsidR="00E24F5B" w:rsidRPr="00101DE6">
        <w:rPr>
          <w:lang w:val="en-GB"/>
        </w:rPr>
        <w:t xml:space="preserve">the property lies outside the scope of the challenged 1991 law </w:t>
      </w:r>
      <w:r w:rsidR="00B76571" w:rsidRPr="00101DE6">
        <w:rPr>
          <w:lang w:val="en-GB"/>
        </w:rPr>
        <w:t xml:space="preserve">owing </w:t>
      </w:r>
      <w:r w:rsidR="00E24F5B" w:rsidRPr="00101DE6">
        <w:rPr>
          <w:lang w:val="en-GB"/>
        </w:rPr>
        <w:t>to temporal restrictions</w:t>
      </w:r>
      <w:r w:rsidR="00292D02" w:rsidRPr="00101DE6">
        <w:rPr>
          <w:lang w:val="en-GB"/>
        </w:rPr>
        <w:t xml:space="preserve"> that were applicable to all equally, as was the case in </w:t>
      </w:r>
      <w:r w:rsidR="00292D02" w:rsidRPr="00101DE6">
        <w:rPr>
          <w:i/>
          <w:lang w:val="en-GB"/>
        </w:rPr>
        <w:t>Drobek</w:t>
      </w:r>
      <w:r w:rsidR="00292D02" w:rsidRPr="00101DE6">
        <w:rPr>
          <w:i/>
          <w:iCs/>
          <w:lang w:val="en-GB"/>
        </w:rPr>
        <w:t xml:space="preserve"> v. </w:t>
      </w:r>
      <w:r w:rsidR="00292D02" w:rsidRPr="00101DE6">
        <w:rPr>
          <w:i/>
          <w:lang w:val="en-GB"/>
        </w:rPr>
        <w:t>Slovakia</w:t>
      </w:r>
      <w:r w:rsidR="00292D02" w:rsidRPr="00101DE6">
        <w:rPr>
          <w:lang w:val="en-GB"/>
        </w:rPr>
        <w:t xml:space="preserve">. </w:t>
      </w:r>
      <w:r w:rsidR="00EC4FD2" w:rsidRPr="00101DE6">
        <w:rPr>
          <w:lang w:val="en-GB"/>
        </w:rPr>
        <w:t xml:space="preserve">Accordingly, the Committee considers that the author </w:t>
      </w:r>
      <w:r w:rsidR="00FA37D6" w:rsidRPr="00101DE6">
        <w:rPr>
          <w:lang w:val="en-GB"/>
        </w:rPr>
        <w:t xml:space="preserve">has failed to present sufficient arguments </w:t>
      </w:r>
      <w:r w:rsidR="00C444DE" w:rsidRPr="00101DE6">
        <w:rPr>
          <w:lang w:val="en-GB"/>
        </w:rPr>
        <w:t xml:space="preserve">to </w:t>
      </w:r>
      <w:r w:rsidR="00FA37D6" w:rsidRPr="00101DE6">
        <w:rPr>
          <w:lang w:val="en-GB"/>
        </w:rPr>
        <w:t>substantiat</w:t>
      </w:r>
      <w:r w:rsidR="00C444DE" w:rsidRPr="00101DE6">
        <w:rPr>
          <w:lang w:val="en-GB"/>
        </w:rPr>
        <w:t>e</w:t>
      </w:r>
      <w:r w:rsidR="00FA37D6" w:rsidRPr="00101DE6">
        <w:rPr>
          <w:lang w:val="en-GB"/>
        </w:rPr>
        <w:t xml:space="preserve">, for the purposes of admissibility, his claim under </w:t>
      </w:r>
      <w:r w:rsidR="00B37284" w:rsidRPr="00101DE6">
        <w:rPr>
          <w:lang w:val="en-GB"/>
        </w:rPr>
        <w:t>article </w:t>
      </w:r>
      <w:r w:rsidR="00FA37D6" w:rsidRPr="00101DE6">
        <w:rPr>
          <w:lang w:val="en-GB"/>
        </w:rPr>
        <w:t>14</w:t>
      </w:r>
      <w:r w:rsidR="0096209C" w:rsidRPr="00101DE6" w:rsidDel="0096209C">
        <w:rPr>
          <w:lang w:val="en-GB"/>
        </w:rPr>
        <w:t xml:space="preserve"> </w:t>
      </w:r>
      <w:r w:rsidR="0096209C" w:rsidRPr="00101DE6">
        <w:rPr>
          <w:lang w:val="en-GB"/>
        </w:rPr>
        <w:t>(</w:t>
      </w:r>
      <w:r w:rsidR="00FA37D6" w:rsidRPr="00101DE6">
        <w:rPr>
          <w:lang w:val="en-GB"/>
        </w:rPr>
        <w:t>1</w:t>
      </w:r>
      <w:r w:rsidR="0096209C" w:rsidRPr="00101DE6">
        <w:rPr>
          <w:lang w:val="en-GB"/>
        </w:rPr>
        <w:t>)</w:t>
      </w:r>
      <w:r w:rsidR="00FA37D6" w:rsidRPr="00101DE6">
        <w:rPr>
          <w:lang w:val="en-GB"/>
        </w:rPr>
        <w:t xml:space="preserve">, in conjunction with </w:t>
      </w:r>
      <w:r w:rsidR="00B37284" w:rsidRPr="00101DE6">
        <w:rPr>
          <w:lang w:val="en-GB"/>
        </w:rPr>
        <w:t>article</w:t>
      </w:r>
      <w:r w:rsidR="00502CDF" w:rsidRPr="00101DE6">
        <w:rPr>
          <w:lang w:val="en-GB"/>
        </w:rPr>
        <w:t>s</w:t>
      </w:r>
      <w:r w:rsidR="00B37284" w:rsidRPr="00101DE6">
        <w:rPr>
          <w:lang w:val="en-GB"/>
        </w:rPr>
        <w:t> </w:t>
      </w:r>
      <w:r w:rsidR="00FA37D6" w:rsidRPr="00101DE6">
        <w:rPr>
          <w:lang w:val="en-GB"/>
        </w:rPr>
        <w:t>26 and 2</w:t>
      </w:r>
      <w:r w:rsidR="00502CDF" w:rsidRPr="00101DE6" w:rsidDel="00502CDF">
        <w:rPr>
          <w:lang w:val="en-GB"/>
        </w:rPr>
        <w:t xml:space="preserve"> </w:t>
      </w:r>
      <w:r w:rsidR="00502CDF" w:rsidRPr="00101DE6">
        <w:rPr>
          <w:lang w:val="en-GB"/>
        </w:rPr>
        <w:t>(</w:t>
      </w:r>
      <w:r w:rsidR="00FA37D6" w:rsidRPr="00101DE6">
        <w:rPr>
          <w:lang w:val="en-GB"/>
        </w:rPr>
        <w:t>1</w:t>
      </w:r>
      <w:r w:rsidR="00502CDF" w:rsidRPr="00101DE6">
        <w:rPr>
          <w:lang w:val="en-GB"/>
        </w:rPr>
        <w:t>)</w:t>
      </w:r>
      <w:r w:rsidR="00FA37D6" w:rsidRPr="00101DE6">
        <w:rPr>
          <w:lang w:val="en-GB"/>
        </w:rPr>
        <w:t xml:space="preserve">, that the issuance of the Constitutional Court Opinion was clearly arbitrary or amounted to a manifest error or denial of justice. </w:t>
      </w:r>
    </w:p>
    <w:p w14:paraId="1601B590" w14:textId="77777777" w:rsidR="00C67230" w:rsidRPr="00101DE6" w:rsidRDefault="00CF44D5" w:rsidP="005413A7">
      <w:pPr>
        <w:pStyle w:val="SingleTxtG"/>
        <w:rPr>
          <w:lang w:val="en-GB"/>
        </w:rPr>
      </w:pPr>
      <w:r w:rsidRPr="00101DE6">
        <w:rPr>
          <w:lang w:val="en-GB"/>
        </w:rPr>
        <w:t>6.</w:t>
      </w:r>
      <w:r w:rsidR="00E409EC" w:rsidRPr="00101DE6">
        <w:rPr>
          <w:lang w:val="en-GB"/>
        </w:rPr>
        <w:t>5</w:t>
      </w:r>
      <w:r w:rsidRPr="00101DE6">
        <w:rPr>
          <w:lang w:val="en-GB"/>
        </w:rPr>
        <w:tab/>
        <w:t xml:space="preserve">The Committee </w:t>
      </w:r>
      <w:r w:rsidR="00FE1DA7" w:rsidRPr="00101DE6">
        <w:rPr>
          <w:lang w:val="en-GB"/>
        </w:rPr>
        <w:t>also</w:t>
      </w:r>
      <w:r w:rsidRPr="00101DE6">
        <w:rPr>
          <w:lang w:val="en-GB"/>
        </w:rPr>
        <w:t xml:space="preserve"> </w:t>
      </w:r>
      <w:r w:rsidR="00FE1DA7" w:rsidRPr="00101DE6">
        <w:rPr>
          <w:lang w:val="en-GB"/>
        </w:rPr>
        <w:t>takes note of</w:t>
      </w:r>
      <w:r w:rsidRPr="00101DE6">
        <w:rPr>
          <w:lang w:val="en-GB"/>
        </w:rPr>
        <w:t xml:space="preserve"> the author’s argument under </w:t>
      </w:r>
      <w:r w:rsidR="00B37284" w:rsidRPr="00101DE6">
        <w:rPr>
          <w:lang w:val="en-GB"/>
        </w:rPr>
        <w:t>article </w:t>
      </w:r>
      <w:r w:rsidRPr="00101DE6">
        <w:rPr>
          <w:lang w:val="en-GB"/>
        </w:rPr>
        <w:t>14</w:t>
      </w:r>
      <w:r w:rsidR="00A254CC" w:rsidRPr="00101DE6">
        <w:rPr>
          <w:lang w:val="en-GB"/>
        </w:rPr>
        <w:t> (</w:t>
      </w:r>
      <w:r w:rsidRPr="00101DE6">
        <w:rPr>
          <w:lang w:val="en-GB"/>
        </w:rPr>
        <w:t>1</w:t>
      </w:r>
      <w:r w:rsidR="00A254CC" w:rsidRPr="00101DE6">
        <w:rPr>
          <w:lang w:val="en-GB"/>
        </w:rPr>
        <w:t>)</w:t>
      </w:r>
      <w:r w:rsidRPr="00101DE6">
        <w:rPr>
          <w:lang w:val="en-GB"/>
        </w:rPr>
        <w:t xml:space="preserve">, read alone, </w:t>
      </w:r>
      <w:r w:rsidR="00126CCF" w:rsidRPr="00101DE6">
        <w:rPr>
          <w:lang w:val="en-GB"/>
        </w:rPr>
        <w:t>that his</w:t>
      </w:r>
      <w:r w:rsidRPr="00101DE6">
        <w:rPr>
          <w:lang w:val="en-GB"/>
        </w:rPr>
        <w:t xml:space="preserve"> civil lawsuit against the private owner of </w:t>
      </w:r>
      <w:r w:rsidR="009412EE" w:rsidRPr="00101DE6">
        <w:rPr>
          <w:lang w:val="en-GB"/>
        </w:rPr>
        <w:t>the property</w:t>
      </w:r>
      <w:r w:rsidRPr="00101DE6">
        <w:rPr>
          <w:lang w:val="en-GB"/>
        </w:rPr>
        <w:t xml:space="preserve"> </w:t>
      </w:r>
      <w:r w:rsidR="009412EE" w:rsidRPr="00101DE6">
        <w:rPr>
          <w:lang w:val="en-GB"/>
        </w:rPr>
        <w:t xml:space="preserve">in question </w:t>
      </w:r>
      <w:r w:rsidRPr="00101DE6">
        <w:rPr>
          <w:lang w:val="en-GB"/>
        </w:rPr>
        <w:t xml:space="preserve">was effectively discontinued </w:t>
      </w:r>
      <w:r w:rsidR="004507A5" w:rsidRPr="00101DE6">
        <w:rPr>
          <w:lang w:val="en-GB"/>
        </w:rPr>
        <w:t xml:space="preserve">upon </w:t>
      </w:r>
      <w:r w:rsidR="00B76571" w:rsidRPr="00101DE6">
        <w:rPr>
          <w:lang w:val="en-GB"/>
        </w:rPr>
        <w:t xml:space="preserve">the </w:t>
      </w:r>
      <w:r w:rsidR="004507A5" w:rsidRPr="00101DE6">
        <w:rPr>
          <w:lang w:val="en-GB"/>
        </w:rPr>
        <w:t xml:space="preserve">application of </w:t>
      </w:r>
      <w:r w:rsidR="008F3931" w:rsidRPr="00101DE6">
        <w:rPr>
          <w:lang w:val="en-GB"/>
        </w:rPr>
        <w:t xml:space="preserve">the </w:t>
      </w:r>
      <w:r w:rsidRPr="00101DE6">
        <w:rPr>
          <w:lang w:val="en-GB"/>
        </w:rPr>
        <w:t>Constitutional Court Opinion</w:t>
      </w:r>
      <w:r w:rsidR="008F3931" w:rsidRPr="00101DE6">
        <w:rPr>
          <w:lang w:val="en-GB"/>
        </w:rPr>
        <w:t xml:space="preserve"> of 2005</w:t>
      </w:r>
      <w:r w:rsidR="00126CCF" w:rsidRPr="00101DE6">
        <w:rPr>
          <w:lang w:val="en-GB"/>
        </w:rPr>
        <w:t xml:space="preserve">, </w:t>
      </w:r>
      <w:r w:rsidR="006640C4" w:rsidRPr="00101DE6">
        <w:rPr>
          <w:lang w:val="en-GB"/>
        </w:rPr>
        <w:t>such that</w:t>
      </w:r>
      <w:r w:rsidR="00126CCF" w:rsidRPr="00101DE6">
        <w:rPr>
          <w:lang w:val="en-GB"/>
        </w:rPr>
        <w:t xml:space="preserve"> he was unable to</w:t>
      </w:r>
      <w:r w:rsidR="002A696F" w:rsidRPr="00101DE6">
        <w:rPr>
          <w:lang w:val="en-GB"/>
        </w:rPr>
        <w:t xml:space="preserve"> present new evidence before the courts concerning his claim that</w:t>
      </w:r>
      <w:r w:rsidR="004507A5" w:rsidRPr="00101DE6">
        <w:rPr>
          <w:lang w:val="en-GB"/>
        </w:rPr>
        <w:t xml:space="preserve"> the </w:t>
      </w:r>
      <w:r w:rsidR="006640C4" w:rsidRPr="00101DE6">
        <w:rPr>
          <w:lang w:val="en-GB"/>
        </w:rPr>
        <w:t xml:space="preserve">property </w:t>
      </w:r>
      <w:r w:rsidR="008F3931" w:rsidRPr="00101DE6">
        <w:rPr>
          <w:lang w:val="en-GB"/>
        </w:rPr>
        <w:t xml:space="preserve">had </w:t>
      </w:r>
      <w:r w:rsidR="006640C4" w:rsidRPr="00101DE6">
        <w:rPr>
          <w:lang w:val="en-GB"/>
        </w:rPr>
        <w:t>not</w:t>
      </w:r>
      <w:r w:rsidR="008F3931" w:rsidRPr="00101DE6">
        <w:rPr>
          <w:lang w:val="en-GB"/>
        </w:rPr>
        <w:t xml:space="preserve"> been</w:t>
      </w:r>
      <w:r w:rsidR="006640C4" w:rsidRPr="00101DE6">
        <w:rPr>
          <w:lang w:val="en-GB"/>
        </w:rPr>
        <w:t xml:space="preserve"> properly nationali</w:t>
      </w:r>
      <w:r w:rsidR="00A254CC" w:rsidRPr="00101DE6">
        <w:rPr>
          <w:lang w:val="en-GB"/>
        </w:rPr>
        <w:t>z</w:t>
      </w:r>
      <w:r w:rsidR="006640C4" w:rsidRPr="00101DE6">
        <w:rPr>
          <w:lang w:val="en-GB"/>
        </w:rPr>
        <w:t>ed</w:t>
      </w:r>
      <w:r w:rsidR="004507A5" w:rsidRPr="00101DE6">
        <w:rPr>
          <w:lang w:val="en-GB"/>
        </w:rPr>
        <w:t xml:space="preserve"> </w:t>
      </w:r>
      <w:r w:rsidR="006640C4" w:rsidRPr="00101DE6">
        <w:rPr>
          <w:lang w:val="en-GB"/>
        </w:rPr>
        <w:t>given that</w:t>
      </w:r>
      <w:r w:rsidR="004507A5" w:rsidRPr="00101DE6">
        <w:rPr>
          <w:lang w:val="en-GB"/>
        </w:rPr>
        <w:t xml:space="preserve"> the required signature was missing from the </w:t>
      </w:r>
      <w:r w:rsidR="00126CCF" w:rsidRPr="00101DE6">
        <w:rPr>
          <w:lang w:val="en-GB"/>
        </w:rPr>
        <w:t>nationali</w:t>
      </w:r>
      <w:r w:rsidR="00A254CC" w:rsidRPr="00101DE6">
        <w:rPr>
          <w:lang w:val="en-GB"/>
        </w:rPr>
        <w:t>z</w:t>
      </w:r>
      <w:r w:rsidR="00126CCF" w:rsidRPr="00101DE6">
        <w:rPr>
          <w:lang w:val="en-GB"/>
        </w:rPr>
        <w:t>ation</w:t>
      </w:r>
      <w:r w:rsidR="004507A5" w:rsidRPr="00101DE6">
        <w:rPr>
          <w:lang w:val="en-GB"/>
        </w:rPr>
        <w:t xml:space="preserve"> </w:t>
      </w:r>
      <w:r w:rsidR="00126CCF" w:rsidRPr="00101DE6">
        <w:rPr>
          <w:lang w:val="en-GB"/>
        </w:rPr>
        <w:t>edict</w:t>
      </w:r>
      <w:r w:rsidR="004507A5" w:rsidRPr="00101DE6">
        <w:rPr>
          <w:lang w:val="en-GB"/>
        </w:rPr>
        <w:t xml:space="preserve">. </w:t>
      </w:r>
      <w:r w:rsidR="005F193C" w:rsidRPr="00101DE6">
        <w:rPr>
          <w:lang w:val="en-GB"/>
        </w:rPr>
        <w:t xml:space="preserve">The Committee </w:t>
      </w:r>
      <w:r w:rsidR="004A40DD" w:rsidRPr="00101DE6">
        <w:rPr>
          <w:lang w:val="en-GB"/>
        </w:rPr>
        <w:t>notes</w:t>
      </w:r>
      <w:r w:rsidR="005F193C" w:rsidRPr="00101DE6">
        <w:rPr>
          <w:lang w:val="en-GB"/>
        </w:rPr>
        <w:t xml:space="preserve"> that the author objects to the jurisprudence issued by the Constitutional Court but has not substantiated that the application of </w:t>
      </w:r>
      <w:r w:rsidR="00B76571" w:rsidRPr="00101DE6">
        <w:rPr>
          <w:lang w:val="en-GB"/>
        </w:rPr>
        <w:t xml:space="preserve">the </w:t>
      </w:r>
      <w:r w:rsidR="005F193C" w:rsidRPr="00101DE6">
        <w:rPr>
          <w:lang w:val="en-GB"/>
        </w:rPr>
        <w:t xml:space="preserve">jurisprudence </w:t>
      </w:r>
      <w:r w:rsidR="00757475" w:rsidRPr="00101DE6">
        <w:rPr>
          <w:lang w:val="en-GB"/>
        </w:rPr>
        <w:t>in his case</w:t>
      </w:r>
      <w:r w:rsidR="005F193C" w:rsidRPr="00101DE6">
        <w:rPr>
          <w:lang w:val="en-GB"/>
        </w:rPr>
        <w:t xml:space="preserve"> was arbitrary. </w:t>
      </w:r>
      <w:r w:rsidR="00C67230" w:rsidRPr="00101DE6">
        <w:rPr>
          <w:lang w:val="en-GB"/>
        </w:rPr>
        <w:t>The material before the C</w:t>
      </w:r>
      <w:r w:rsidR="004507A5" w:rsidRPr="00101DE6">
        <w:rPr>
          <w:lang w:val="en-GB"/>
        </w:rPr>
        <w:t>ommittee does not show that the judicial process</w:t>
      </w:r>
      <w:r w:rsidR="00C67230" w:rsidRPr="00101DE6">
        <w:rPr>
          <w:lang w:val="en-GB"/>
        </w:rPr>
        <w:t xml:space="preserve"> in question </w:t>
      </w:r>
      <w:r w:rsidR="009905D5" w:rsidRPr="00101DE6">
        <w:rPr>
          <w:lang w:val="en-GB"/>
        </w:rPr>
        <w:t>was</w:t>
      </w:r>
      <w:r w:rsidR="00C67230" w:rsidRPr="00101DE6">
        <w:rPr>
          <w:lang w:val="en-GB"/>
        </w:rPr>
        <w:t xml:space="preserve"> defect</w:t>
      </w:r>
      <w:r w:rsidR="009905D5" w:rsidRPr="00101DE6">
        <w:rPr>
          <w:lang w:val="en-GB"/>
        </w:rPr>
        <w:t>ive</w:t>
      </w:r>
      <w:r w:rsidR="00821856" w:rsidRPr="00101DE6">
        <w:rPr>
          <w:lang w:val="en-GB"/>
        </w:rPr>
        <w:t xml:space="preserve"> </w:t>
      </w:r>
      <w:r w:rsidR="005F193C" w:rsidRPr="00101DE6">
        <w:rPr>
          <w:lang w:val="en-GB"/>
        </w:rPr>
        <w:t xml:space="preserve">in </w:t>
      </w:r>
      <w:r w:rsidR="009905D5" w:rsidRPr="00101DE6">
        <w:rPr>
          <w:lang w:val="en-GB"/>
        </w:rPr>
        <w:t xml:space="preserve">that </w:t>
      </w:r>
      <w:r w:rsidR="005F193C" w:rsidRPr="00101DE6">
        <w:rPr>
          <w:lang w:val="en-GB"/>
        </w:rPr>
        <w:t>regard,</w:t>
      </w:r>
      <w:r w:rsidR="00C67230" w:rsidRPr="00101DE6">
        <w:rPr>
          <w:lang w:val="en-GB"/>
        </w:rPr>
        <w:t xml:space="preserve"> and the author </w:t>
      </w:r>
      <w:r w:rsidR="005F193C" w:rsidRPr="00101DE6">
        <w:rPr>
          <w:lang w:val="en-GB"/>
        </w:rPr>
        <w:t xml:space="preserve">has </w:t>
      </w:r>
      <w:r w:rsidR="00C67230" w:rsidRPr="00101DE6">
        <w:rPr>
          <w:lang w:val="en-GB"/>
        </w:rPr>
        <w:t xml:space="preserve">failed to present sufficient arguments substantiating, for the purposes of admissibility, that the outcome of the </w:t>
      </w:r>
      <w:r w:rsidR="004507A5" w:rsidRPr="00101DE6">
        <w:rPr>
          <w:lang w:val="en-GB"/>
        </w:rPr>
        <w:t xml:space="preserve">civil </w:t>
      </w:r>
      <w:r w:rsidR="00C67230" w:rsidRPr="00101DE6">
        <w:rPr>
          <w:lang w:val="en-GB"/>
        </w:rPr>
        <w:t xml:space="preserve">lawsuit was unfair, within the meaning of </w:t>
      </w:r>
      <w:r w:rsidR="00B37284" w:rsidRPr="00101DE6">
        <w:rPr>
          <w:lang w:val="en-GB"/>
        </w:rPr>
        <w:t>article </w:t>
      </w:r>
      <w:r w:rsidR="00C67230" w:rsidRPr="00101DE6">
        <w:rPr>
          <w:lang w:val="en-GB"/>
        </w:rPr>
        <w:t>14</w:t>
      </w:r>
      <w:r w:rsidR="00A254CC" w:rsidRPr="00101DE6">
        <w:rPr>
          <w:lang w:val="en-GB"/>
        </w:rPr>
        <w:t> (</w:t>
      </w:r>
      <w:r w:rsidR="00C67230" w:rsidRPr="00101DE6">
        <w:rPr>
          <w:lang w:val="en-GB"/>
        </w:rPr>
        <w:t>1</w:t>
      </w:r>
      <w:r w:rsidR="00A254CC" w:rsidRPr="00101DE6">
        <w:rPr>
          <w:lang w:val="en-GB"/>
        </w:rPr>
        <w:t>)</w:t>
      </w:r>
      <w:r w:rsidR="00C67230" w:rsidRPr="00101DE6">
        <w:rPr>
          <w:lang w:val="en-GB"/>
        </w:rPr>
        <w:t xml:space="preserve"> of the Covenant. </w:t>
      </w:r>
      <w:r w:rsidR="00A254CC" w:rsidRPr="00101DE6">
        <w:rPr>
          <w:lang w:val="en-GB"/>
        </w:rPr>
        <w:t>T</w:t>
      </w:r>
      <w:r w:rsidR="00C67230" w:rsidRPr="00101DE6">
        <w:rPr>
          <w:lang w:val="en-GB"/>
        </w:rPr>
        <w:t xml:space="preserve">his part of the communication is </w:t>
      </w:r>
      <w:r w:rsidR="00A254CC" w:rsidRPr="00101DE6">
        <w:rPr>
          <w:lang w:val="en-GB"/>
        </w:rPr>
        <w:t xml:space="preserve">therefore </w:t>
      </w:r>
      <w:r w:rsidR="00586F79" w:rsidRPr="00101DE6">
        <w:rPr>
          <w:lang w:val="en-GB"/>
        </w:rPr>
        <w:t xml:space="preserve">also </w:t>
      </w:r>
      <w:r w:rsidR="00C67230" w:rsidRPr="00101DE6">
        <w:rPr>
          <w:lang w:val="en-GB"/>
        </w:rPr>
        <w:t xml:space="preserve">inadmissible under </w:t>
      </w:r>
      <w:r w:rsidR="00B37284" w:rsidRPr="00101DE6">
        <w:rPr>
          <w:lang w:val="en-GB"/>
        </w:rPr>
        <w:t>article </w:t>
      </w:r>
      <w:r w:rsidR="00C67230" w:rsidRPr="00101DE6">
        <w:rPr>
          <w:lang w:val="en-GB"/>
        </w:rPr>
        <w:t>2 of the Optional Protocol.</w:t>
      </w:r>
    </w:p>
    <w:p w14:paraId="5A9F15C0" w14:textId="77777777" w:rsidR="00240EFC" w:rsidRPr="00101DE6" w:rsidRDefault="00841DFB" w:rsidP="00CC3E01">
      <w:pPr>
        <w:pStyle w:val="SingleTxtG"/>
        <w:rPr>
          <w:lang w:val="en-GB"/>
        </w:rPr>
      </w:pPr>
      <w:r w:rsidRPr="00101DE6">
        <w:rPr>
          <w:lang w:val="en-GB"/>
        </w:rPr>
        <w:t>6.</w:t>
      </w:r>
      <w:r w:rsidR="00E409EC" w:rsidRPr="00101DE6">
        <w:rPr>
          <w:lang w:val="en-GB"/>
        </w:rPr>
        <w:t>6</w:t>
      </w:r>
      <w:r w:rsidRPr="00101DE6">
        <w:rPr>
          <w:lang w:val="en-GB"/>
        </w:rPr>
        <w:tab/>
      </w:r>
      <w:r w:rsidR="00F17CB5" w:rsidRPr="00101DE6">
        <w:rPr>
          <w:lang w:val="en-GB"/>
        </w:rPr>
        <w:t>Finally, t</w:t>
      </w:r>
      <w:r w:rsidRPr="00101DE6">
        <w:rPr>
          <w:lang w:val="en-GB"/>
        </w:rPr>
        <w:t>he Committee notes the author’s claim that he and his family are entitled to compensation for the nationali</w:t>
      </w:r>
      <w:r w:rsidR="00A254CC" w:rsidRPr="00101DE6">
        <w:rPr>
          <w:lang w:val="en-GB"/>
        </w:rPr>
        <w:t>z</w:t>
      </w:r>
      <w:r w:rsidRPr="00101DE6">
        <w:rPr>
          <w:lang w:val="en-GB"/>
        </w:rPr>
        <w:t xml:space="preserve">ed property, under </w:t>
      </w:r>
      <w:r w:rsidR="00B37284" w:rsidRPr="00101DE6">
        <w:rPr>
          <w:lang w:val="en-GB"/>
        </w:rPr>
        <w:t>article </w:t>
      </w:r>
      <w:r w:rsidRPr="00101DE6">
        <w:rPr>
          <w:lang w:val="en-GB"/>
        </w:rPr>
        <w:t>2</w:t>
      </w:r>
      <w:r w:rsidR="00A254CC" w:rsidRPr="00101DE6">
        <w:rPr>
          <w:lang w:val="en-GB"/>
        </w:rPr>
        <w:t> (</w:t>
      </w:r>
      <w:r w:rsidRPr="00101DE6">
        <w:rPr>
          <w:lang w:val="en-GB"/>
        </w:rPr>
        <w:t>3</w:t>
      </w:r>
      <w:r w:rsidR="00A254CC" w:rsidRPr="00101DE6">
        <w:rPr>
          <w:lang w:val="en-GB"/>
        </w:rPr>
        <w:t>)</w:t>
      </w:r>
      <w:r w:rsidRPr="00101DE6">
        <w:rPr>
          <w:lang w:val="en-GB"/>
        </w:rPr>
        <w:t xml:space="preserve"> of the Covenant. </w:t>
      </w:r>
      <w:r w:rsidR="00240EFC" w:rsidRPr="00101DE6">
        <w:rPr>
          <w:lang w:val="en-GB"/>
        </w:rPr>
        <w:t xml:space="preserve">The Committee recalls that </w:t>
      </w:r>
      <w:r w:rsidR="00B37284" w:rsidRPr="00101DE6">
        <w:rPr>
          <w:lang w:val="en-GB"/>
        </w:rPr>
        <w:t>article </w:t>
      </w:r>
      <w:r w:rsidR="00240EFC" w:rsidRPr="00101DE6">
        <w:rPr>
          <w:lang w:val="en-GB"/>
        </w:rPr>
        <w:t>2</w:t>
      </w:r>
      <w:r w:rsidR="00A254CC" w:rsidRPr="00101DE6">
        <w:rPr>
          <w:lang w:val="en-GB"/>
        </w:rPr>
        <w:t> (</w:t>
      </w:r>
      <w:r w:rsidR="00240EFC" w:rsidRPr="00101DE6">
        <w:rPr>
          <w:lang w:val="en-GB"/>
        </w:rPr>
        <w:t>3</w:t>
      </w:r>
      <w:r w:rsidR="00A254CC" w:rsidRPr="00101DE6">
        <w:rPr>
          <w:lang w:val="en-GB"/>
        </w:rPr>
        <w:t>)</w:t>
      </w:r>
      <w:r w:rsidR="00240EFC" w:rsidRPr="00101DE6">
        <w:rPr>
          <w:lang w:val="en-GB"/>
        </w:rPr>
        <w:t xml:space="preserve"> can be invoked by individuals only in conjunction with</w:t>
      </w:r>
      <w:r w:rsidR="00C50F25" w:rsidRPr="00101DE6">
        <w:rPr>
          <w:lang w:val="en-GB"/>
        </w:rPr>
        <w:t xml:space="preserve"> other articles of the Covenant</w:t>
      </w:r>
      <w:r w:rsidR="00240EFC" w:rsidRPr="00101DE6">
        <w:rPr>
          <w:lang w:val="en-GB"/>
        </w:rPr>
        <w:t xml:space="preserve"> </w:t>
      </w:r>
      <w:r w:rsidR="00C50F25" w:rsidRPr="00101DE6">
        <w:rPr>
          <w:lang w:val="en-GB"/>
        </w:rPr>
        <w:t xml:space="preserve">and </w:t>
      </w:r>
      <w:r w:rsidR="00240EFC" w:rsidRPr="00101DE6">
        <w:rPr>
          <w:lang w:val="en-GB"/>
        </w:rPr>
        <w:t>cannot, in and of itself, give rise to a claim under the Optional Protocol.</w:t>
      </w:r>
      <w:r w:rsidR="00F63159" w:rsidRPr="00101DE6">
        <w:rPr>
          <w:rStyle w:val="FootnoteReference"/>
          <w:lang w:val="en-GB"/>
        </w:rPr>
        <w:footnoteReference w:id="21"/>
      </w:r>
      <w:r w:rsidR="00240EFC" w:rsidRPr="00101DE6">
        <w:rPr>
          <w:lang w:val="en-GB"/>
        </w:rPr>
        <w:t xml:space="preserve"> The Committee further recalls that the right to property is not protected by the Covenant,</w:t>
      </w:r>
      <w:r w:rsidR="00240EFC" w:rsidRPr="00101DE6">
        <w:rPr>
          <w:rStyle w:val="FootnoteReference"/>
          <w:lang w:val="en-GB"/>
        </w:rPr>
        <w:footnoteReference w:id="22"/>
      </w:r>
      <w:r w:rsidR="00240EFC" w:rsidRPr="00101DE6">
        <w:rPr>
          <w:lang w:val="en-GB"/>
        </w:rPr>
        <w:t xml:space="preserve"> and </w:t>
      </w:r>
      <w:r w:rsidR="00F63159" w:rsidRPr="00101DE6">
        <w:rPr>
          <w:lang w:val="en-GB"/>
        </w:rPr>
        <w:t xml:space="preserve">considers </w:t>
      </w:r>
      <w:r w:rsidR="00240EFC" w:rsidRPr="00101DE6">
        <w:rPr>
          <w:lang w:val="en-GB"/>
        </w:rPr>
        <w:t xml:space="preserve">that it is thus incompetent </w:t>
      </w:r>
      <w:r w:rsidR="00240EFC" w:rsidRPr="00101DE6">
        <w:rPr>
          <w:i/>
          <w:lang w:val="en-GB"/>
        </w:rPr>
        <w:t>ratione materiae</w:t>
      </w:r>
      <w:r w:rsidR="00240EFC" w:rsidRPr="00101DE6">
        <w:rPr>
          <w:lang w:val="en-GB"/>
        </w:rPr>
        <w:t xml:space="preserve"> to consider any alleged violations of </w:t>
      </w:r>
      <w:r w:rsidR="009905D5" w:rsidRPr="00101DE6">
        <w:rPr>
          <w:lang w:val="en-GB"/>
        </w:rPr>
        <w:t xml:space="preserve">that </w:t>
      </w:r>
      <w:r w:rsidR="00240EFC" w:rsidRPr="00101DE6">
        <w:rPr>
          <w:lang w:val="en-GB"/>
        </w:rPr>
        <w:t xml:space="preserve">right. </w:t>
      </w:r>
      <w:r w:rsidR="00697B54" w:rsidRPr="00101DE6">
        <w:rPr>
          <w:lang w:val="en-GB"/>
        </w:rPr>
        <w:t>The Committee therefore considers that it is precluded from examining this part of the communication by article</w:t>
      </w:r>
      <w:r w:rsidR="00D13E10" w:rsidRPr="00101DE6">
        <w:rPr>
          <w:lang w:val="en-GB"/>
        </w:rPr>
        <w:t>s 2</w:t>
      </w:r>
      <w:r w:rsidR="004B218C" w:rsidRPr="00101DE6">
        <w:rPr>
          <w:lang w:val="en-GB"/>
        </w:rPr>
        <w:t xml:space="preserve"> and 3</w:t>
      </w:r>
      <w:r w:rsidR="00697B54" w:rsidRPr="00101DE6">
        <w:rPr>
          <w:lang w:val="en-GB"/>
        </w:rPr>
        <w:t xml:space="preserve"> of the Optional Protocol.</w:t>
      </w:r>
      <w:r w:rsidR="00A65D78" w:rsidRPr="00101DE6">
        <w:rPr>
          <w:rStyle w:val="FootnoteReference"/>
          <w:lang w:val="en-GB"/>
        </w:rPr>
        <w:footnoteReference w:id="23"/>
      </w:r>
    </w:p>
    <w:p w14:paraId="241248AF" w14:textId="77777777" w:rsidR="00A71041" w:rsidRPr="00101DE6" w:rsidRDefault="00A71041" w:rsidP="003021B4">
      <w:pPr>
        <w:pStyle w:val="SingleTxtG"/>
        <w:rPr>
          <w:lang w:val="en-GB"/>
        </w:rPr>
      </w:pPr>
      <w:r w:rsidRPr="00101DE6">
        <w:rPr>
          <w:lang w:val="en-GB"/>
        </w:rPr>
        <w:t>7.</w:t>
      </w:r>
      <w:r w:rsidR="00240EFC" w:rsidRPr="00101DE6">
        <w:rPr>
          <w:lang w:val="en-GB"/>
        </w:rPr>
        <w:tab/>
      </w:r>
      <w:r w:rsidR="00572DD6" w:rsidRPr="00101DE6">
        <w:rPr>
          <w:lang w:val="en-GB"/>
        </w:rPr>
        <w:t xml:space="preserve">The </w:t>
      </w:r>
      <w:r w:rsidRPr="00101DE6">
        <w:rPr>
          <w:lang w:val="en-GB"/>
        </w:rPr>
        <w:t>Committee therefore decides:</w:t>
      </w:r>
    </w:p>
    <w:p w14:paraId="6C7B248F" w14:textId="77777777" w:rsidR="00A71041" w:rsidRPr="00101DE6" w:rsidRDefault="00A71041" w:rsidP="00A71041">
      <w:pPr>
        <w:pStyle w:val="SingleTxtG"/>
        <w:rPr>
          <w:lang w:val="en-GB"/>
        </w:rPr>
      </w:pPr>
      <w:r w:rsidRPr="00101DE6">
        <w:rPr>
          <w:lang w:val="en-GB"/>
        </w:rPr>
        <w:tab/>
      </w:r>
      <w:r w:rsidR="00572DD6" w:rsidRPr="00101DE6">
        <w:rPr>
          <w:lang w:val="en-GB"/>
        </w:rPr>
        <w:t>(a)</w:t>
      </w:r>
      <w:r w:rsidR="00572DD6" w:rsidRPr="00101DE6">
        <w:rPr>
          <w:lang w:val="en-GB"/>
        </w:rPr>
        <w:tab/>
        <w:t xml:space="preserve">That the communication is inadmissible under </w:t>
      </w:r>
      <w:r w:rsidR="006A6C57" w:rsidRPr="00101DE6">
        <w:rPr>
          <w:lang w:val="en-GB"/>
        </w:rPr>
        <w:t>articles 2</w:t>
      </w:r>
      <w:r w:rsidR="004B218C" w:rsidRPr="00101DE6">
        <w:rPr>
          <w:lang w:val="en-GB"/>
        </w:rPr>
        <w:t xml:space="preserve"> and</w:t>
      </w:r>
      <w:r w:rsidR="00572DD6" w:rsidRPr="00101DE6">
        <w:rPr>
          <w:lang w:val="en-GB"/>
        </w:rPr>
        <w:t xml:space="preserve"> 3</w:t>
      </w:r>
      <w:r w:rsidRPr="00101DE6">
        <w:rPr>
          <w:lang w:val="en-GB"/>
        </w:rPr>
        <w:t xml:space="preserve"> of the Optional Protocol;</w:t>
      </w:r>
    </w:p>
    <w:p w14:paraId="4B366AA0" w14:textId="77777777" w:rsidR="003E7EC3" w:rsidRPr="00101DE6" w:rsidRDefault="00A71041" w:rsidP="00A71041">
      <w:pPr>
        <w:pStyle w:val="SingleTxtG"/>
        <w:rPr>
          <w:lang w:val="en-GB"/>
        </w:rPr>
      </w:pPr>
      <w:r w:rsidRPr="00101DE6">
        <w:rPr>
          <w:lang w:val="en-GB"/>
        </w:rPr>
        <w:tab/>
      </w:r>
      <w:r w:rsidR="00572DD6" w:rsidRPr="00101DE6">
        <w:rPr>
          <w:lang w:val="en-GB"/>
        </w:rPr>
        <w:t>(b)</w:t>
      </w:r>
      <w:r w:rsidR="00572DD6" w:rsidRPr="00101DE6">
        <w:rPr>
          <w:lang w:val="en-GB"/>
        </w:rPr>
        <w:tab/>
        <w:t xml:space="preserve">That </w:t>
      </w:r>
      <w:r w:rsidR="00692129" w:rsidRPr="00101DE6">
        <w:rPr>
          <w:lang w:val="en-GB"/>
        </w:rPr>
        <w:t>this decision shall</w:t>
      </w:r>
      <w:r w:rsidR="00572DD6" w:rsidRPr="00101DE6">
        <w:rPr>
          <w:lang w:val="en-GB"/>
        </w:rPr>
        <w:t xml:space="preserve"> be transmitted to the State party and to the author</w:t>
      </w:r>
      <w:r w:rsidR="00692129" w:rsidRPr="00101DE6">
        <w:rPr>
          <w:lang w:val="en-GB"/>
        </w:rPr>
        <w:t xml:space="preserve"> of the communication</w:t>
      </w:r>
      <w:r w:rsidR="00572DD6" w:rsidRPr="00101DE6">
        <w:rPr>
          <w:lang w:val="en-GB"/>
        </w:rPr>
        <w:t>.</w:t>
      </w:r>
    </w:p>
    <w:p w14:paraId="01A54C87" w14:textId="77777777" w:rsidR="00093830" w:rsidRPr="00101DE6" w:rsidRDefault="00093830" w:rsidP="00093830">
      <w:pPr>
        <w:pStyle w:val="SingleTxtG"/>
        <w:rPr>
          <w:u w:val="single"/>
          <w:lang w:val="en-GB"/>
        </w:rPr>
        <w:sectPr w:rsidR="00093830" w:rsidRPr="00101DE6" w:rsidSect="000F5051">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pPr>
    </w:p>
    <w:p w14:paraId="3D7586B3" w14:textId="77777777" w:rsidR="00093830" w:rsidRDefault="00093830" w:rsidP="001F345E">
      <w:pPr>
        <w:pStyle w:val="HChG"/>
      </w:pPr>
      <w:r w:rsidRPr="00101DE6">
        <w:lastRenderedPageBreak/>
        <w:t>Appendix</w:t>
      </w:r>
    </w:p>
    <w:p w14:paraId="60BD4895" w14:textId="77777777" w:rsidR="00A22E7E" w:rsidRPr="00A22E7E" w:rsidRDefault="00A22E7E" w:rsidP="00A22E7E">
      <w:pPr>
        <w:pStyle w:val="SingleTxtG"/>
        <w:jc w:val="right"/>
      </w:pPr>
      <w:r w:rsidRPr="00101DE6">
        <w:rPr>
          <w:lang w:val="en-GB"/>
        </w:rPr>
        <w:t>[Original: French]</w:t>
      </w:r>
    </w:p>
    <w:p w14:paraId="58967357" w14:textId="77777777" w:rsidR="00093830" w:rsidRPr="00101DE6" w:rsidRDefault="00093830" w:rsidP="00A254CC">
      <w:pPr>
        <w:pStyle w:val="H1G"/>
        <w:rPr>
          <w:lang w:eastAsia="en-GB"/>
        </w:rPr>
      </w:pPr>
      <w:r w:rsidRPr="00101DE6">
        <w:rPr>
          <w:lang w:eastAsia="en-GB"/>
        </w:rPr>
        <w:tab/>
      </w:r>
      <w:r w:rsidRPr="00101DE6">
        <w:rPr>
          <w:lang w:eastAsia="en-GB"/>
        </w:rPr>
        <w:tab/>
        <w:t>Individual opinion of Committee members Olivier de Frouville, Mauro</w:t>
      </w:r>
      <w:r w:rsidR="006971FD" w:rsidRPr="00101DE6">
        <w:rPr>
          <w:lang w:eastAsia="en-GB"/>
        </w:rPr>
        <w:t> </w:t>
      </w:r>
      <w:r w:rsidRPr="00101DE6">
        <w:rPr>
          <w:lang w:eastAsia="en-GB"/>
        </w:rPr>
        <w:t>Politi and V</w:t>
      </w:r>
      <w:r w:rsidR="00560662" w:rsidRPr="00101DE6">
        <w:rPr>
          <w:lang w:eastAsia="en-GB"/>
        </w:rPr>
        <w:t>í</w:t>
      </w:r>
      <w:r w:rsidRPr="00101DE6">
        <w:rPr>
          <w:lang w:eastAsia="en-GB"/>
        </w:rPr>
        <w:t>ctor Manuel Rodríguez-Rescia (partly dissenting)</w:t>
      </w:r>
    </w:p>
    <w:p w14:paraId="1ED3AA12" w14:textId="77777777" w:rsidR="00093830" w:rsidRPr="00101DE6" w:rsidRDefault="00093830" w:rsidP="00881250">
      <w:pPr>
        <w:pStyle w:val="SingleTxtG"/>
        <w:rPr>
          <w:lang w:val="en-GB"/>
        </w:rPr>
      </w:pPr>
      <w:r w:rsidRPr="00101DE6">
        <w:rPr>
          <w:lang w:val="en-GB"/>
        </w:rPr>
        <w:t>1.</w:t>
      </w:r>
      <w:r w:rsidRPr="00101DE6">
        <w:rPr>
          <w:lang w:val="en-GB"/>
        </w:rPr>
        <w:tab/>
        <w:t xml:space="preserve">We concur with the conclusions drawn by the Committee in paragraphs 6.5 and 6.6 of its </w:t>
      </w:r>
      <w:r w:rsidR="00422FCB">
        <w:rPr>
          <w:lang w:val="en-GB"/>
        </w:rPr>
        <w:t>decision</w:t>
      </w:r>
      <w:r w:rsidR="00422FCB" w:rsidRPr="00101DE6">
        <w:rPr>
          <w:lang w:val="en-GB"/>
        </w:rPr>
        <w:t xml:space="preserve"> </w:t>
      </w:r>
      <w:r w:rsidRPr="00101DE6">
        <w:rPr>
          <w:lang w:val="en-GB"/>
        </w:rPr>
        <w:t xml:space="preserve">on the </w:t>
      </w:r>
      <w:r w:rsidR="002B15E6" w:rsidRPr="00101DE6">
        <w:rPr>
          <w:lang w:val="en-GB"/>
        </w:rPr>
        <w:t xml:space="preserve">case involving </w:t>
      </w:r>
      <w:r w:rsidR="000A002D" w:rsidRPr="00101DE6">
        <w:rPr>
          <w:lang w:val="en-GB"/>
        </w:rPr>
        <w:t>X, Y</w:t>
      </w:r>
      <w:r w:rsidRPr="00101DE6">
        <w:rPr>
          <w:lang w:val="en-GB"/>
        </w:rPr>
        <w:t xml:space="preserve">, </w:t>
      </w:r>
      <w:r w:rsidR="000A002D" w:rsidRPr="00101DE6">
        <w:rPr>
          <w:lang w:val="en-GB"/>
        </w:rPr>
        <w:t>Z</w:t>
      </w:r>
      <w:r w:rsidRPr="00101DE6">
        <w:rPr>
          <w:lang w:val="en-GB"/>
        </w:rPr>
        <w:t xml:space="preserve"> and </w:t>
      </w:r>
      <w:r w:rsidR="000A002D" w:rsidRPr="00101DE6">
        <w:rPr>
          <w:lang w:val="en-GB"/>
        </w:rPr>
        <w:t>A.</w:t>
      </w:r>
      <w:r w:rsidRPr="00101DE6">
        <w:rPr>
          <w:lang w:val="en-GB"/>
        </w:rPr>
        <w:t xml:space="preserve"> The claims under </w:t>
      </w:r>
      <w:r w:rsidR="00B37284" w:rsidRPr="00101DE6">
        <w:rPr>
          <w:lang w:val="en-GB"/>
        </w:rPr>
        <w:t>article </w:t>
      </w:r>
      <w:r w:rsidRPr="00101DE6">
        <w:rPr>
          <w:lang w:val="en-GB"/>
        </w:rPr>
        <w:t>14</w:t>
      </w:r>
      <w:r w:rsidR="002B15E6" w:rsidRPr="00101DE6">
        <w:rPr>
          <w:lang w:val="en-GB"/>
        </w:rPr>
        <w:t xml:space="preserve"> of the Covenant</w:t>
      </w:r>
      <w:r w:rsidRPr="00101DE6">
        <w:rPr>
          <w:lang w:val="en-GB"/>
        </w:rPr>
        <w:t xml:space="preserve">, read alone, are manifestly ill-founded. The claim under </w:t>
      </w:r>
      <w:r w:rsidR="00B37284" w:rsidRPr="00101DE6">
        <w:rPr>
          <w:lang w:val="en-GB"/>
        </w:rPr>
        <w:t>article </w:t>
      </w:r>
      <w:r w:rsidRPr="00101DE6">
        <w:rPr>
          <w:lang w:val="en-GB"/>
        </w:rPr>
        <w:t>2</w:t>
      </w:r>
      <w:r w:rsidR="00560662" w:rsidRPr="00101DE6">
        <w:rPr>
          <w:lang w:val="en-GB"/>
        </w:rPr>
        <w:t xml:space="preserve"> (</w:t>
      </w:r>
      <w:r w:rsidRPr="00101DE6">
        <w:rPr>
          <w:lang w:val="en-GB"/>
        </w:rPr>
        <w:t>3</w:t>
      </w:r>
      <w:r w:rsidR="00560662" w:rsidRPr="00101DE6">
        <w:rPr>
          <w:lang w:val="en-GB"/>
        </w:rPr>
        <w:t>)</w:t>
      </w:r>
      <w:r w:rsidRPr="00101DE6">
        <w:rPr>
          <w:lang w:val="en-GB"/>
        </w:rPr>
        <w:t xml:space="preserve">, is inadmissible, as </w:t>
      </w:r>
      <w:r w:rsidR="00B37284" w:rsidRPr="00101DE6">
        <w:rPr>
          <w:lang w:val="en-GB"/>
        </w:rPr>
        <w:t>article </w:t>
      </w:r>
      <w:r w:rsidRPr="00101DE6">
        <w:rPr>
          <w:lang w:val="en-GB"/>
        </w:rPr>
        <w:t>2 cannot be invoked individually but can be invoked only in conjunction with a right recognized in the Covenant.</w:t>
      </w:r>
    </w:p>
    <w:p w14:paraId="393049BC" w14:textId="77777777" w:rsidR="00093830" w:rsidRPr="00101DE6" w:rsidRDefault="00093830" w:rsidP="00A34650">
      <w:pPr>
        <w:pStyle w:val="SingleTxtG"/>
        <w:rPr>
          <w:lang w:val="en-GB"/>
        </w:rPr>
      </w:pPr>
      <w:r w:rsidRPr="00101DE6">
        <w:rPr>
          <w:lang w:val="en-GB"/>
        </w:rPr>
        <w:t>2.</w:t>
      </w:r>
      <w:r w:rsidRPr="00101DE6">
        <w:rPr>
          <w:lang w:val="en-GB"/>
        </w:rPr>
        <w:tab/>
        <w:t>We respectfully disagree, however, with the Committee’s reasoning and conclusion in relation to the author’s claim concerning the interpretation of Act</w:t>
      </w:r>
      <w:r w:rsidR="00353F80" w:rsidRPr="00101DE6">
        <w:rPr>
          <w:lang w:val="en-GB"/>
        </w:rPr>
        <w:t xml:space="preserve"> No. </w:t>
      </w:r>
      <w:r w:rsidRPr="00101DE6">
        <w:rPr>
          <w:lang w:val="en-GB"/>
        </w:rPr>
        <w:t xml:space="preserve">87/1991 made by the Constitutional Court in 2005. The claim made by the author is not clearly set out. In particular, we are not convinced that he was right to invoke </w:t>
      </w:r>
      <w:r w:rsidR="00B37284" w:rsidRPr="00101DE6">
        <w:rPr>
          <w:lang w:val="en-GB"/>
        </w:rPr>
        <w:t>article </w:t>
      </w:r>
      <w:r w:rsidRPr="00101DE6">
        <w:rPr>
          <w:lang w:val="en-GB"/>
        </w:rPr>
        <w:t xml:space="preserve">14, read in conjunction with </w:t>
      </w:r>
      <w:r w:rsidR="00B37284" w:rsidRPr="00101DE6">
        <w:rPr>
          <w:lang w:val="en-GB"/>
        </w:rPr>
        <w:t>article</w:t>
      </w:r>
      <w:r w:rsidR="00560662" w:rsidRPr="00101DE6">
        <w:rPr>
          <w:lang w:val="en-GB"/>
        </w:rPr>
        <w:t>s</w:t>
      </w:r>
      <w:r w:rsidR="00B37284" w:rsidRPr="00101DE6">
        <w:rPr>
          <w:lang w:val="en-GB"/>
        </w:rPr>
        <w:t> </w:t>
      </w:r>
      <w:r w:rsidRPr="00101DE6">
        <w:rPr>
          <w:lang w:val="en-GB"/>
        </w:rPr>
        <w:t>2</w:t>
      </w:r>
      <w:r w:rsidR="00560662" w:rsidRPr="00101DE6" w:rsidDel="00560662">
        <w:rPr>
          <w:lang w:val="en-GB"/>
        </w:rPr>
        <w:t xml:space="preserve"> </w:t>
      </w:r>
      <w:r w:rsidR="00560662" w:rsidRPr="00101DE6">
        <w:rPr>
          <w:lang w:val="en-GB"/>
        </w:rPr>
        <w:t>(</w:t>
      </w:r>
      <w:r w:rsidRPr="00101DE6">
        <w:rPr>
          <w:lang w:val="en-GB"/>
        </w:rPr>
        <w:t>1</w:t>
      </w:r>
      <w:r w:rsidR="00560662" w:rsidRPr="00101DE6">
        <w:rPr>
          <w:lang w:val="en-GB"/>
        </w:rPr>
        <w:t>)</w:t>
      </w:r>
      <w:r w:rsidRPr="00101DE6">
        <w:rPr>
          <w:lang w:val="en-GB"/>
        </w:rPr>
        <w:t xml:space="preserve"> and 26. In our view, the problem has less to do with the Constitutional Court’s interpretation of the 1991 Act than the time limit established under the Act, which restricts the right to restitution of property to property confiscated or expropriated after 1948. It would arguably have been better for the author to invoke </w:t>
      </w:r>
      <w:r w:rsidR="00B37284" w:rsidRPr="00101DE6">
        <w:rPr>
          <w:lang w:val="en-GB"/>
        </w:rPr>
        <w:t>article </w:t>
      </w:r>
      <w:r w:rsidRPr="00101DE6">
        <w:rPr>
          <w:lang w:val="en-GB"/>
        </w:rPr>
        <w:t xml:space="preserve">26, as in the </w:t>
      </w:r>
      <w:r w:rsidR="00422FCB">
        <w:rPr>
          <w:lang w:val="en-GB"/>
        </w:rPr>
        <w:t>B and C</w:t>
      </w:r>
      <w:r w:rsidR="00422FCB" w:rsidRPr="00101DE6">
        <w:rPr>
          <w:lang w:val="en-GB"/>
        </w:rPr>
        <w:t xml:space="preserve"> </w:t>
      </w:r>
      <w:r w:rsidRPr="00101DE6">
        <w:rPr>
          <w:lang w:val="en-GB"/>
        </w:rPr>
        <w:t>case</w:t>
      </w:r>
      <w:r w:rsidR="00A34650">
        <w:rPr>
          <w:lang w:val="en-GB"/>
        </w:rPr>
        <w:t>,</w:t>
      </w:r>
      <w:r w:rsidR="00A34650">
        <w:rPr>
          <w:rStyle w:val="FootnoteReference"/>
          <w:lang w:val="en-GB"/>
        </w:rPr>
        <w:footnoteReference w:id="24"/>
      </w:r>
      <w:r w:rsidRPr="00101DE6">
        <w:rPr>
          <w:lang w:val="en-GB"/>
        </w:rPr>
        <w:t xml:space="preserve"> since his claim mainly relates to this time limit, the restatement of the law by the Constitutional Court and the discriminatory effects that he attributes to it. On this point, we agree with the Committee’s rephrasing of the claim at the start of </w:t>
      </w:r>
      <w:r w:rsidR="00B37284" w:rsidRPr="00101DE6">
        <w:rPr>
          <w:lang w:val="en-GB"/>
        </w:rPr>
        <w:t>paragraph </w:t>
      </w:r>
      <w:r w:rsidRPr="00101DE6">
        <w:rPr>
          <w:lang w:val="en-GB"/>
        </w:rPr>
        <w:t xml:space="preserve">6.4 and with the conclusion reached, namely that the jurisprudence in </w:t>
      </w:r>
      <w:r w:rsidRPr="00101DE6">
        <w:rPr>
          <w:i/>
          <w:iCs/>
          <w:lang w:val="en-GB"/>
        </w:rPr>
        <w:t>Simunek et al. v. Czech Republic</w:t>
      </w:r>
      <w:r w:rsidRPr="00101DE6">
        <w:rPr>
          <w:lang w:val="en-GB"/>
        </w:rPr>
        <w:t xml:space="preserve"> is not applicable because the Simunek case involved individuals who fell within the temporal scope of the Act of 1991 but were being discriminated against under the Act on the ground of their nationality. It can be noted that, despite rephrasing the claim, the Committee repeats the author’s original wording at the end of the </w:t>
      </w:r>
      <w:r w:rsidR="00B37284" w:rsidRPr="00101DE6">
        <w:rPr>
          <w:lang w:val="en-GB"/>
        </w:rPr>
        <w:t>paragraph </w:t>
      </w:r>
      <w:r w:rsidRPr="00101DE6">
        <w:rPr>
          <w:lang w:val="en-GB"/>
        </w:rPr>
        <w:t xml:space="preserve">to declare the allegation manifestly ill-founded. One might wonder why the Committee included a statement in </w:t>
      </w:r>
      <w:r w:rsidR="00B37284" w:rsidRPr="00101DE6">
        <w:rPr>
          <w:lang w:val="en-GB"/>
        </w:rPr>
        <w:t>paragraph </w:t>
      </w:r>
      <w:r w:rsidRPr="00101DE6">
        <w:rPr>
          <w:lang w:val="en-GB"/>
        </w:rPr>
        <w:t>6.3 in which it “recalls that it is generally for the courts of States parties to the Covenant to review facts and evidence, or the application of domestic legislation in a particular case”. In our opinion, the authors were not contesting the application of the law or the evaluation of the facts but</w:t>
      </w:r>
      <w:r w:rsidR="002B15E6" w:rsidRPr="00101DE6">
        <w:rPr>
          <w:lang w:val="en-GB"/>
        </w:rPr>
        <w:t>,</w:t>
      </w:r>
      <w:r w:rsidRPr="00101DE6">
        <w:rPr>
          <w:lang w:val="en-GB"/>
        </w:rPr>
        <w:t xml:space="preserve"> rather</w:t>
      </w:r>
      <w:r w:rsidR="002B15E6" w:rsidRPr="00101DE6">
        <w:rPr>
          <w:lang w:val="en-GB"/>
        </w:rPr>
        <w:t>,</w:t>
      </w:r>
      <w:r w:rsidRPr="00101DE6">
        <w:rPr>
          <w:lang w:val="en-GB"/>
        </w:rPr>
        <w:t xml:space="preserve"> the interpretation of the law, specifically the Constitutional Court’s interpretation of the time limits laid down in the Act of 1991. It can also be noted that the Committee does not appear to think it necessary to respond to the State party’s argument that the author’s family has failed to exhaust domestic remedies (</w:t>
      </w:r>
      <w:r w:rsidR="00792561" w:rsidRPr="00101DE6">
        <w:rPr>
          <w:lang w:val="en-GB"/>
        </w:rPr>
        <w:t xml:space="preserve">see </w:t>
      </w:r>
      <w:r w:rsidR="00861247" w:rsidRPr="00101DE6">
        <w:rPr>
          <w:lang w:val="en-GB"/>
        </w:rPr>
        <w:t>para. </w:t>
      </w:r>
      <w:r w:rsidRPr="00101DE6">
        <w:rPr>
          <w:lang w:val="en-GB"/>
        </w:rPr>
        <w:t xml:space="preserve">4.2), </w:t>
      </w:r>
      <w:r w:rsidR="00560662" w:rsidRPr="00101DE6">
        <w:rPr>
          <w:lang w:val="en-GB"/>
        </w:rPr>
        <w:t>al</w:t>
      </w:r>
      <w:r w:rsidRPr="00101DE6">
        <w:rPr>
          <w:lang w:val="en-GB"/>
        </w:rPr>
        <w:t>though that is not the key issue.</w:t>
      </w:r>
    </w:p>
    <w:p w14:paraId="0C8978EF" w14:textId="77777777" w:rsidR="00093830" w:rsidRPr="00101DE6" w:rsidRDefault="00093830" w:rsidP="00177997">
      <w:pPr>
        <w:pStyle w:val="SingleTxtG"/>
        <w:rPr>
          <w:lang w:val="en-GB"/>
        </w:rPr>
      </w:pPr>
      <w:r w:rsidRPr="00101DE6">
        <w:rPr>
          <w:lang w:val="en-GB"/>
        </w:rPr>
        <w:t>3.</w:t>
      </w:r>
      <w:r w:rsidRPr="00101DE6">
        <w:rPr>
          <w:lang w:val="en-GB"/>
        </w:rPr>
        <w:tab/>
        <w:t xml:space="preserve">In declaring the author’s claim inadmissible in </w:t>
      </w:r>
      <w:r w:rsidR="00B37284" w:rsidRPr="00101DE6">
        <w:rPr>
          <w:lang w:val="en-GB"/>
        </w:rPr>
        <w:t>paragraph </w:t>
      </w:r>
      <w:r w:rsidRPr="00101DE6">
        <w:rPr>
          <w:lang w:val="en-GB"/>
        </w:rPr>
        <w:t xml:space="preserve">6.4, the Committee applied the same reasoning as in the case of </w:t>
      </w:r>
      <w:r w:rsidRPr="00101DE6">
        <w:rPr>
          <w:i/>
          <w:iCs/>
          <w:lang w:val="en-GB"/>
        </w:rPr>
        <w:t>Drobek v. Slovakia</w:t>
      </w:r>
      <w:r w:rsidRPr="00101DE6">
        <w:rPr>
          <w:lang w:val="en-GB"/>
        </w:rPr>
        <w:t xml:space="preserve">. It stated that “the 1991 law does not apply to the author and his family, because of the date on which their property was confiscated” and that “the property lies outside of the scope of the challenged 1991 law due to temporal restrictions that were applicable to all equally”. In the Drobek case, the Committee had held that “in the present case, legislation adopted after the fall of the </w:t>
      </w:r>
      <w:r w:rsidR="00C03F0E" w:rsidRPr="00101DE6">
        <w:rPr>
          <w:lang w:val="en-GB"/>
        </w:rPr>
        <w:t>c</w:t>
      </w:r>
      <w:r w:rsidRPr="00101DE6">
        <w:rPr>
          <w:lang w:val="en-GB"/>
        </w:rPr>
        <w:t xml:space="preserve">ommunist regime in Czechoslovakia to compensate victims of that regime does not appear prima facie discriminatory within the meaning of </w:t>
      </w:r>
      <w:r w:rsidR="00B37284" w:rsidRPr="00101DE6">
        <w:rPr>
          <w:lang w:val="en-GB"/>
        </w:rPr>
        <w:t>article </w:t>
      </w:r>
      <w:r w:rsidRPr="00101DE6">
        <w:rPr>
          <w:lang w:val="en-GB"/>
        </w:rPr>
        <w:t xml:space="preserve">26 merely because, as the author </w:t>
      </w:r>
      <w:r w:rsidRPr="00101DE6">
        <w:rPr>
          <w:lang w:val="en-GB"/>
        </w:rPr>
        <w:lastRenderedPageBreak/>
        <w:t>contends, it does not compensate the victims of injustices allegedly committed by earlier regimes” (</w:t>
      </w:r>
      <w:r w:rsidR="00560662" w:rsidRPr="00101DE6">
        <w:rPr>
          <w:lang w:val="en-GB"/>
        </w:rPr>
        <w:t>see c</w:t>
      </w:r>
      <w:r w:rsidRPr="00101DE6">
        <w:rPr>
          <w:lang w:val="en-GB"/>
        </w:rPr>
        <w:t>ommunication</w:t>
      </w:r>
      <w:r w:rsidR="00353F80" w:rsidRPr="00101DE6">
        <w:rPr>
          <w:lang w:val="en-GB"/>
        </w:rPr>
        <w:t xml:space="preserve"> No. </w:t>
      </w:r>
      <w:r w:rsidRPr="00101DE6">
        <w:rPr>
          <w:lang w:val="en-GB"/>
        </w:rPr>
        <w:t xml:space="preserve">643/1995, </w:t>
      </w:r>
      <w:r w:rsidR="00FC6D36">
        <w:rPr>
          <w:lang w:val="en-GB"/>
        </w:rPr>
        <w:t>decision</w:t>
      </w:r>
      <w:r w:rsidR="00FC6D36" w:rsidRPr="00101DE6">
        <w:rPr>
          <w:lang w:val="en-GB"/>
        </w:rPr>
        <w:t xml:space="preserve"> </w:t>
      </w:r>
      <w:r w:rsidR="004620D3" w:rsidRPr="00101DE6">
        <w:rPr>
          <w:lang w:val="en-GB"/>
        </w:rPr>
        <w:t xml:space="preserve">adopted on </w:t>
      </w:r>
      <w:r w:rsidRPr="00101DE6">
        <w:rPr>
          <w:lang w:val="en-GB"/>
        </w:rPr>
        <w:t>14 July 199</w:t>
      </w:r>
      <w:r w:rsidR="00E72D3C" w:rsidRPr="00101DE6">
        <w:rPr>
          <w:lang w:val="en-GB"/>
        </w:rPr>
        <w:t>7</w:t>
      </w:r>
      <w:r w:rsidRPr="00101DE6">
        <w:rPr>
          <w:lang w:val="en-GB"/>
        </w:rPr>
        <w:t xml:space="preserve">, </w:t>
      </w:r>
      <w:r w:rsidR="00861247" w:rsidRPr="00101DE6">
        <w:rPr>
          <w:lang w:val="en-GB"/>
        </w:rPr>
        <w:t>para. </w:t>
      </w:r>
      <w:r w:rsidRPr="00101DE6">
        <w:rPr>
          <w:lang w:val="en-GB"/>
        </w:rPr>
        <w:t>6.5.).</w:t>
      </w:r>
      <w:r w:rsidRPr="00101DE6">
        <w:rPr>
          <w:rStyle w:val="FootnoteReference"/>
          <w:lang w:val="en-GB"/>
        </w:rPr>
        <w:footnoteReference w:id="25"/>
      </w:r>
      <w:r w:rsidRPr="00101DE6">
        <w:rPr>
          <w:lang w:val="en-GB"/>
        </w:rPr>
        <w:t xml:space="preserve"> </w:t>
      </w:r>
    </w:p>
    <w:p w14:paraId="10F10ED1" w14:textId="77777777" w:rsidR="00093830" w:rsidRPr="00101DE6" w:rsidRDefault="00093830" w:rsidP="00093830">
      <w:pPr>
        <w:pStyle w:val="SingleTxtG"/>
        <w:rPr>
          <w:lang w:val="en-GB"/>
        </w:rPr>
      </w:pPr>
      <w:r w:rsidRPr="00101DE6">
        <w:rPr>
          <w:lang w:val="en-GB"/>
        </w:rPr>
        <w:t>4.</w:t>
      </w:r>
      <w:r w:rsidRPr="00101DE6">
        <w:rPr>
          <w:lang w:val="en-GB"/>
        </w:rPr>
        <w:tab/>
        <w:t>The Committee’s reasoning on this point seems to us open to criticism on two counts. As far as the form of the reasoning is concerned, there seems to be some confusion between the absence of a prima facie violation and manifestly ill-founded nature of the claim. While the existence of a violation might not be clearly apparent at first sight, that does not mean that the lack of a violation itself is clear or that the evidence provided by the author to substantiate his claim is so unconvincing that the claim must be declared manifestly ill-founded. However, in this case, the Committee is basing itself on this prima facie assessment to put a stop to the proceedings.</w:t>
      </w:r>
    </w:p>
    <w:p w14:paraId="0AD21EED" w14:textId="77777777" w:rsidR="00093830" w:rsidRPr="00101DE6" w:rsidRDefault="00093830" w:rsidP="00A254CC">
      <w:pPr>
        <w:pStyle w:val="SingleTxtG"/>
        <w:rPr>
          <w:lang w:val="en-GB"/>
        </w:rPr>
      </w:pPr>
      <w:r w:rsidRPr="00101DE6">
        <w:rPr>
          <w:lang w:val="en-GB"/>
        </w:rPr>
        <w:t>5.</w:t>
      </w:r>
      <w:r w:rsidRPr="00101DE6">
        <w:rPr>
          <w:lang w:val="en-GB"/>
        </w:rPr>
        <w:tab/>
        <w:t xml:space="preserve">The substance of the reasoning is equally open to criticism, as the Committee is adopting an unusually narrow interpretation of </w:t>
      </w:r>
      <w:r w:rsidR="00B37284" w:rsidRPr="00101DE6">
        <w:rPr>
          <w:lang w:val="en-GB"/>
        </w:rPr>
        <w:t>article </w:t>
      </w:r>
      <w:r w:rsidRPr="00101DE6">
        <w:rPr>
          <w:lang w:val="en-GB"/>
        </w:rPr>
        <w:t xml:space="preserve">26 by considering that the effects of a law are perceived only by persons who fall within its scope. At least since its Views in the case of </w:t>
      </w:r>
      <w:r w:rsidRPr="00101DE6">
        <w:rPr>
          <w:i/>
          <w:iCs/>
          <w:lang w:val="en-GB"/>
        </w:rPr>
        <w:t>Althammer v. Austria</w:t>
      </w:r>
      <w:r w:rsidRPr="00101DE6">
        <w:rPr>
          <w:lang w:val="en-GB"/>
        </w:rPr>
        <w:t>,</w:t>
      </w:r>
      <w:r w:rsidRPr="00101DE6">
        <w:rPr>
          <w:rStyle w:val="FootnoteReference"/>
          <w:lang w:val="en-GB"/>
        </w:rPr>
        <w:footnoteReference w:id="26"/>
      </w:r>
      <w:r w:rsidRPr="00101DE6">
        <w:rPr>
          <w:lang w:val="en-GB"/>
        </w:rPr>
        <w:t xml:space="preserve"> the Committee </w:t>
      </w:r>
      <w:r w:rsidR="00560662" w:rsidRPr="00101DE6">
        <w:rPr>
          <w:lang w:val="en-GB"/>
        </w:rPr>
        <w:t xml:space="preserve">has </w:t>
      </w:r>
      <w:r w:rsidRPr="00101DE6">
        <w:rPr>
          <w:lang w:val="en-GB"/>
        </w:rPr>
        <w:t>acknowledge</w:t>
      </w:r>
      <w:r w:rsidR="00560662" w:rsidRPr="00101DE6">
        <w:rPr>
          <w:lang w:val="en-GB"/>
        </w:rPr>
        <w:t>d</w:t>
      </w:r>
      <w:r w:rsidRPr="00101DE6">
        <w:rPr>
          <w:lang w:val="en-GB"/>
        </w:rPr>
        <w:t xml:space="preserve">, however, that a violation of </w:t>
      </w:r>
      <w:r w:rsidR="00B37284" w:rsidRPr="00101DE6">
        <w:rPr>
          <w:lang w:val="en-GB"/>
        </w:rPr>
        <w:t>article </w:t>
      </w:r>
      <w:r w:rsidRPr="00101DE6">
        <w:rPr>
          <w:lang w:val="en-GB"/>
        </w:rPr>
        <w:t xml:space="preserve">26 “can also result from the discriminatory effect of a rule or measure that is neutral at face value or without intent to discriminate”. In other words, a law whose scope was limited </w:t>
      </w:r>
      <w:r w:rsidRPr="00101DE6">
        <w:rPr>
          <w:i/>
          <w:iCs/>
          <w:lang w:val="en-GB"/>
        </w:rPr>
        <w:t>ratione temporis</w:t>
      </w:r>
      <w:r w:rsidRPr="00101DE6">
        <w:rPr>
          <w:lang w:val="en-GB"/>
        </w:rPr>
        <w:t xml:space="preserve"> or </w:t>
      </w:r>
      <w:r w:rsidRPr="00101DE6">
        <w:rPr>
          <w:i/>
          <w:iCs/>
          <w:lang w:val="en-GB"/>
        </w:rPr>
        <w:t>ratione personae</w:t>
      </w:r>
      <w:r w:rsidRPr="00101DE6">
        <w:rPr>
          <w:lang w:val="en-GB"/>
        </w:rPr>
        <w:t xml:space="preserve"> may have discriminatory effects, whether or not they are intended by the law, against persons who do not fall within the scope of the Act. It seems to us, therefore, that in this case the Committee should have considered the need to look more closely at the issue of the effects of the 1991 Act and restatements of the Act by the national courts and thus accept the admissibility of the claim.</w:t>
      </w:r>
    </w:p>
    <w:p w14:paraId="39F92A03" w14:textId="77777777" w:rsidR="00093830" w:rsidRPr="00101DE6" w:rsidRDefault="00093830" w:rsidP="00792561">
      <w:pPr>
        <w:pStyle w:val="SingleTxtG"/>
        <w:rPr>
          <w:lang w:val="en-GB"/>
        </w:rPr>
      </w:pPr>
      <w:r w:rsidRPr="00101DE6">
        <w:rPr>
          <w:lang w:val="en-GB"/>
        </w:rPr>
        <w:t>6.</w:t>
      </w:r>
      <w:r w:rsidRPr="00101DE6">
        <w:rPr>
          <w:lang w:val="en-GB"/>
        </w:rPr>
        <w:tab/>
        <w:t xml:space="preserve">In </w:t>
      </w:r>
      <w:r w:rsidR="00792561" w:rsidRPr="00101DE6">
        <w:rPr>
          <w:lang w:val="en-GB"/>
        </w:rPr>
        <w:t xml:space="preserve">the present </w:t>
      </w:r>
      <w:r w:rsidRPr="00101DE6">
        <w:rPr>
          <w:lang w:val="en-GB"/>
        </w:rPr>
        <w:t>case, the author’s father had seen his factory nationalized under Decree</w:t>
      </w:r>
      <w:r w:rsidR="00353F80" w:rsidRPr="00101DE6">
        <w:rPr>
          <w:lang w:val="en-GB"/>
        </w:rPr>
        <w:t xml:space="preserve"> No. </w:t>
      </w:r>
      <w:r w:rsidRPr="00101DE6">
        <w:rPr>
          <w:lang w:val="en-GB"/>
        </w:rPr>
        <w:t>100/1945. However, Act</w:t>
      </w:r>
      <w:r w:rsidR="00353F80" w:rsidRPr="00101DE6">
        <w:rPr>
          <w:lang w:val="en-GB"/>
        </w:rPr>
        <w:t xml:space="preserve"> No. </w:t>
      </w:r>
      <w:r w:rsidRPr="00101DE6">
        <w:rPr>
          <w:lang w:val="en-GB"/>
        </w:rPr>
        <w:t xml:space="preserve">87/1991 on extrajudicial rehabilitation provided for the return of property confiscated since 25 February 1948. It was therefore clear that the temporal scope of the Act excluded any claim for restitution for confiscations that occurred in 1945. Granted, the motive for nationalization was not in itself discriminatory, as, according to both the author and the State party, the criteria for nationalization </w:t>
      </w:r>
      <w:r w:rsidR="00792561" w:rsidRPr="00101DE6">
        <w:rPr>
          <w:lang w:val="en-GB"/>
        </w:rPr>
        <w:t>were based on a</w:t>
      </w:r>
      <w:r w:rsidRPr="00101DE6">
        <w:rPr>
          <w:lang w:val="en-GB"/>
        </w:rPr>
        <w:t xml:space="preserve"> factory’s importance and size (</w:t>
      </w:r>
      <w:r w:rsidR="00792561" w:rsidRPr="00101DE6">
        <w:rPr>
          <w:lang w:val="en-GB"/>
        </w:rPr>
        <w:t xml:space="preserve">see </w:t>
      </w:r>
      <w:r w:rsidR="00861247" w:rsidRPr="00101DE6">
        <w:rPr>
          <w:lang w:val="en-GB"/>
        </w:rPr>
        <w:t>paras. </w:t>
      </w:r>
      <w:r w:rsidRPr="00101DE6">
        <w:rPr>
          <w:lang w:val="en-GB"/>
        </w:rPr>
        <w:t xml:space="preserve">2.1 and 4.4). However, while the owner of nationalized property is entitled to compensation under </w:t>
      </w:r>
      <w:r w:rsidR="00B37284" w:rsidRPr="00101DE6">
        <w:rPr>
          <w:lang w:val="en-GB"/>
        </w:rPr>
        <w:t>article </w:t>
      </w:r>
      <w:r w:rsidRPr="00101DE6">
        <w:rPr>
          <w:lang w:val="en-GB"/>
        </w:rPr>
        <w:t xml:space="preserve">8 of the Decree, an exception to this rule </w:t>
      </w:r>
      <w:r w:rsidR="00792561" w:rsidRPr="00101DE6">
        <w:rPr>
          <w:lang w:val="en-GB"/>
        </w:rPr>
        <w:t xml:space="preserve">is made in article 7, which </w:t>
      </w:r>
      <w:r w:rsidRPr="00101DE6">
        <w:rPr>
          <w:lang w:val="en-GB"/>
        </w:rPr>
        <w:t>provid</w:t>
      </w:r>
      <w:r w:rsidR="00792561" w:rsidRPr="00101DE6">
        <w:rPr>
          <w:lang w:val="en-GB"/>
        </w:rPr>
        <w:t>es</w:t>
      </w:r>
      <w:r w:rsidRPr="00101DE6">
        <w:rPr>
          <w:lang w:val="en-GB"/>
        </w:rPr>
        <w:t xml:space="preserve"> that no compensation would be paid to German nationals, “unless they proved that they had remained loyal to the Czechoslovak Republic, never committed any offence against the Czech or Slovak nations, and either actively participated in the fight for the liberation of the country, or suffered under Nazi or fascist terror” (</w:t>
      </w:r>
      <w:r w:rsidR="00792561" w:rsidRPr="00101DE6">
        <w:rPr>
          <w:lang w:val="en-GB"/>
        </w:rPr>
        <w:t xml:space="preserve">see </w:t>
      </w:r>
      <w:r w:rsidR="00861247" w:rsidRPr="00101DE6">
        <w:rPr>
          <w:lang w:val="en-GB"/>
        </w:rPr>
        <w:t>para. </w:t>
      </w:r>
      <w:r w:rsidRPr="00101DE6">
        <w:rPr>
          <w:lang w:val="en-GB"/>
        </w:rPr>
        <w:t>2.1). It is not clear from the factual background whether the author’s father had tried to take advantage of th</w:t>
      </w:r>
      <w:r w:rsidR="00792561" w:rsidRPr="00101DE6">
        <w:rPr>
          <w:lang w:val="en-GB"/>
        </w:rPr>
        <w:t>o</w:t>
      </w:r>
      <w:r w:rsidRPr="00101DE6">
        <w:rPr>
          <w:lang w:val="en-GB"/>
        </w:rPr>
        <w:t xml:space="preserve">se exceptions (compare the author’s version in </w:t>
      </w:r>
      <w:r w:rsidR="00861247" w:rsidRPr="00101DE6">
        <w:rPr>
          <w:lang w:val="en-GB"/>
        </w:rPr>
        <w:t>para. </w:t>
      </w:r>
      <w:r w:rsidRPr="00101DE6">
        <w:rPr>
          <w:lang w:val="en-GB"/>
        </w:rPr>
        <w:t>2.1 with that of the State party in 4.4). What is known is that “compensation was neither paid nor refused” (</w:t>
      </w:r>
      <w:r w:rsidR="00792561" w:rsidRPr="00101DE6">
        <w:rPr>
          <w:lang w:val="en-GB"/>
        </w:rPr>
        <w:t xml:space="preserve">see </w:t>
      </w:r>
      <w:r w:rsidR="00861247" w:rsidRPr="00101DE6">
        <w:rPr>
          <w:lang w:val="en-GB"/>
        </w:rPr>
        <w:t>para. </w:t>
      </w:r>
      <w:r w:rsidRPr="00101DE6">
        <w:rPr>
          <w:lang w:val="en-GB"/>
        </w:rPr>
        <w:t>2.1).</w:t>
      </w:r>
    </w:p>
    <w:p w14:paraId="26CD8C9C" w14:textId="77777777" w:rsidR="00093830" w:rsidRPr="00101DE6" w:rsidRDefault="00093830" w:rsidP="00792561">
      <w:pPr>
        <w:pStyle w:val="SingleTxtG"/>
        <w:rPr>
          <w:lang w:val="en-GB"/>
        </w:rPr>
      </w:pPr>
      <w:r w:rsidRPr="00101DE6">
        <w:rPr>
          <w:lang w:val="en-GB"/>
        </w:rPr>
        <w:lastRenderedPageBreak/>
        <w:t>7.</w:t>
      </w:r>
      <w:r w:rsidRPr="00101DE6">
        <w:rPr>
          <w:lang w:val="en-GB"/>
        </w:rPr>
        <w:tab/>
        <w:t xml:space="preserve">What is important to note, however, is that the Decree was </w:t>
      </w:r>
      <w:r w:rsidR="00792561" w:rsidRPr="00101DE6">
        <w:rPr>
          <w:lang w:val="en-GB"/>
        </w:rPr>
        <w:t xml:space="preserve">one </w:t>
      </w:r>
      <w:r w:rsidRPr="00101DE6">
        <w:rPr>
          <w:lang w:val="en-GB"/>
        </w:rPr>
        <w:t xml:space="preserve">of more general measures, such as </w:t>
      </w:r>
      <w:r w:rsidR="00792561" w:rsidRPr="00101DE6">
        <w:rPr>
          <w:lang w:val="en-GB"/>
        </w:rPr>
        <w:t>those</w:t>
      </w:r>
      <w:r w:rsidRPr="00101DE6">
        <w:rPr>
          <w:lang w:val="en-GB"/>
        </w:rPr>
        <w:t xml:space="preserve"> considered not only in the Drobek case but also</w:t>
      </w:r>
      <w:r w:rsidR="002B15E6" w:rsidRPr="00101DE6">
        <w:rPr>
          <w:lang w:val="en-GB"/>
        </w:rPr>
        <w:t xml:space="preserve"> in</w:t>
      </w:r>
      <w:r w:rsidRPr="00101DE6">
        <w:rPr>
          <w:lang w:val="en-GB"/>
        </w:rPr>
        <w:t xml:space="preserve"> the </w:t>
      </w:r>
      <w:r w:rsidR="00422FCB">
        <w:rPr>
          <w:lang w:val="en-GB"/>
        </w:rPr>
        <w:t>B and C</w:t>
      </w:r>
      <w:r w:rsidR="00422FCB" w:rsidRPr="00101DE6">
        <w:rPr>
          <w:lang w:val="en-GB"/>
        </w:rPr>
        <w:t xml:space="preserve"> </w:t>
      </w:r>
      <w:r w:rsidRPr="00101DE6">
        <w:rPr>
          <w:lang w:val="en-GB"/>
        </w:rPr>
        <w:t xml:space="preserve">case, which </w:t>
      </w:r>
      <w:r w:rsidR="00792561" w:rsidRPr="00101DE6">
        <w:rPr>
          <w:lang w:val="en-GB"/>
        </w:rPr>
        <w:t xml:space="preserve">were </w:t>
      </w:r>
      <w:r w:rsidRPr="00101DE6">
        <w:rPr>
          <w:lang w:val="en-GB"/>
        </w:rPr>
        <w:t xml:space="preserve">aimed </w:t>
      </w:r>
      <w:r w:rsidR="00792561" w:rsidRPr="00101DE6">
        <w:rPr>
          <w:lang w:val="en-GB"/>
        </w:rPr>
        <w:t xml:space="preserve">at </w:t>
      </w:r>
      <w:r w:rsidRPr="00101DE6">
        <w:rPr>
          <w:lang w:val="en-GB"/>
        </w:rPr>
        <w:t>confiscat</w:t>
      </w:r>
      <w:r w:rsidR="00792561" w:rsidRPr="00101DE6">
        <w:rPr>
          <w:lang w:val="en-GB"/>
        </w:rPr>
        <w:t>ing</w:t>
      </w:r>
      <w:r w:rsidRPr="00101DE6">
        <w:rPr>
          <w:lang w:val="en-GB"/>
        </w:rPr>
        <w:t xml:space="preserve"> the property of persons belonging to a national or ethnic group or </w:t>
      </w:r>
      <w:r w:rsidR="00792561" w:rsidRPr="00101DE6">
        <w:rPr>
          <w:lang w:val="en-GB"/>
        </w:rPr>
        <w:t xml:space="preserve">at </w:t>
      </w:r>
      <w:r w:rsidRPr="00101DE6">
        <w:rPr>
          <w:lang w:val="en-GB"/>
        </w:rPr>
        <w:t>subject</w:t>
      </w:r>
      <w:r w:rsidR="00792561" w:rsidRPr="00101DE6">
        <w:rPr>
          <w:lang w:val="en-GB"/>
        </w:rPr>
        <w:t>ing</w:t>
      </w:r>
      <w:r w:rsidRPr="00101DE6">
        <w:rPr>
          <w:lang w:val="en-GB"/>
        </w:rPr>
        <w:t xml:space="preserve"> compensation for such confiscations to special conditions, as in the present case, while such conditions were not imposed on the rest of the population. The potential indirect effects of the 1991 Act and restatements of the Act must be considered by taking as a starting point the differences in treatment based on national or ethnic origin that arose in 1945. In setting a time limit</w:t>
      </w:r>
      <w:r w:rsidR="002B15E6" w:rsidRPr="00101DE6">
        <w:rPr>
          <w:lang w:val="en-GB"/>
        </w:rPr>
        <w:t xml:space="preserve"> </w:t>
      </w:r>
      <w:r w:rsidRPr="00101DE6">
        <w:rPr>
          <w:lang w:val="en-GB"/>
        </w:rPr>
        <w:t>—</w:t>
      </w:r>
      <w:r w:rsidR="002B15E6" w:rsidRPr="00101DE6">
        <w:rPr>
          <w:lang w:val="en-GB"/>
        </w:rPr>
        <w:t xml:space="preserve"> </w:t>
      </w:r>
      <w:r w:rsidRPr="00101DE6">
        <w:rPr>
          <w:lang w:val="en-GB"/>
        </w:rPr>
        <w:t>in an apparently neutral way</w:t>
      </w:r>
      <w:r w:rsidR="002B15E6" w:rsidRPr="00101DE6">
        <w:rPr>
          <w:lang w:val="en-GB"/>
        </w:rPr>
        <w:t xml:space="preserve"> </w:t>
      </w:r>
      <w:r w:rsidRPr="00101DE6">
        <w:rPr>
          <w:lang w:val="en-GB"/>
        </w:rPr>
        <w:t>—</w:t>
      </w:r>
      <w:r w:rsidR="002B15E6" w:rsidRPr="00101DE6">
        <w:rPr>
          <w:lang w:val="en-GB"/>
        </w:rPr>
        <w:t xml:space="preserve"> </w:t>
      </w:r>
      <w:r w:rsidRPr="00101DE6">
        <w:rPr>
          <w:lang w:val="en-GB"/>
        </w:rPr>
        <w:t>on any compensation for confiscations that occurred before 1948, has the law not brought about detrimental effects which “exclusively or disproportionately affect persons having a particular race, colour, sex, language, religion, political or other opinion, national or social origin, property, birth or other status”?</w:t>
      </w:r>
      <w:r w:rsidRPr="00101DE6">
        <w:rPr>
          <w:rStyle w:val="FootnoteReference"/>
          <w:lang w:val="en-GB"/>
        </w:rPr>
        <w:footnoteReference w:id="27"/>
      </w:r>
    </w:p>
    <w:p w14:paraId="3697F625" w14:textId="77777777" w:rsidR="00093830" w:rsidRPr="00101DE6" w:rsidRDefault="00093830" w:rsidP="00792561">
      <w:pPr>
        <w:pStyle w:val="SingleTxtG"/>
        <w:rPr>
          <w:lang w:val="en-GB"/>
        </w:rPr>
      </w:pPr>
      <w:r w:rsidRPr="00101DE6">
        <w:rPr>
          <w:lang w:val="en-GB"/>
        </w:rPr>
        <w:t>8.</w:t>
      </w:r>
      <w:r w:rsidRPr="00101DE6">
        <w:rPr>
          <w:lang w:val="en-GB"/>
        </w:rPr>
        <w:tab/>
      </w:r>
      <w:r w:rsidR="00BA7AC9" w:rsidRPr="00101DE6">
        <w:rPr>
          <w:lang w:val="en-GB"/>
        </w:rPr>
        <w:t xml:space="preserve">The following </w:t>
      </w:r>
      <w:r w:rsidRPr="00101DE6">
        <w:rPr>
          <w:lang w:val="en-GB"/>
        </w:rPr>
        <w:t xml:space="preserve">is a question that the Committee should have tried to answer in considering the merits of the communication and in calling on the parties to make themselves clear on </w:t>
      </w:r>
      <w:r w:rsidR="00BA7AC9" w:rsidRPr="00101DE6">
        <w:rPr>
          <w:lang w:val="en-GB"/>
        </w:rPr>
        <w:t xml:space="preserve">the </w:t>
      </w:r>
      <w:r w:rsidRPr="00101DE6">
        <w:rPr>
          <w:lang w:val="en-GB"/>
        </w:rPr>
        <w:t xml:space="preserve">point: </w:t>
      </w:r>
      <w:r w:rsidR="00BA7AC9" w:rsidRPr="00101DE6">
        <w:rPr>
          <w:lang w:val="en-GB"/>
        </w:rPr>
        <w:t>d</w:t>
      </w:r>
      <w:r w:rsidRPr="00101DE6">
        <w:rPr>
          <w:lang w:val="en-GB"/>
        </w:rPr>
        <w:t xml:space="preserve">o the 1991 Act and restatements of the Act exclusively or disproportionately affect German nationals? If the Committee had reached such a conclusion, the State party would still have had the opportunity to show that a violation of the right to equality before the law of </w:t>
      </w:r>
      <w:r w:rsidR="00792561" w:rsidRPr="00101DE6">
        <w:rPr>
          <w:lang w:val="en-GB"/>
        </w:rPr>
        <w:t xml:space="preserve">such a </w:t>
      </w:r>
      <w:r w:rsidRPr="00101DE6">
        <w:rPr>
          <w:lang w:val="en-GB"/>
        </w:rPr>
        <w:t xml:space="preserve">kind within the meaning of </w:t>
      </w:r>
      <w:r w:rsidR="00B37284" w:rsidRPr="00101DE6">
        <w:rPr>
          <w:lang w:val="en-GB"/>
        </w:rPr>
        <w:t>article </w:t>
      </w:r>
      <w:r w:rsidRPr="00101DE6">
        <w:rPr>
          <w:lang w:val="en-GB"/>
        </w:rPr>
        <w:t>26 had a legitimate goal and was based on objective and reasonable grounds.</w:t>
      </w:r>
    </w:p>
    <w:p w14:paraId="7ECAA920" w14:textId="77777777" w:rsidR="00A71041" w:rsidRPr="00101DE6" w:rsidRDefault="00093830" w:rsidP="00792561">
      <w:pPr>
        <w:pStyle w:val="SingleTxtG"/>
        <w:rPr>
          <w:lang w:val="en-GB"/>
        </w:rPr>
      </w:pPr>
      <w:r w:rsidRPr="00101DE6">
        <w:rPr>
          <w:lang w:val="en-GB"/>
        </w:rPr>
        <w:t>9.</w:t>
      </w:r>
      <w:r w:rsidRPr="00101DE6">
        <w:rPr>
          <w:lang w:val="en-GB"/>
        </w:rPr>
        <w:tab/>
        <w:t xml:space="preserve">We believe that the Committee should have applied its jurisprudence and taken up the issues </w:t>
      </w:r>
      <w:r w:rsidR="00792561" w:rsidRPr="00101DE6">
        <w:rPr>
          <w:lang w:val="en-GB"/>
        </w:rPr>
        <w:t xml:space="preserve">concerned </w:t>
      </w:r>
      <w:r w:rsidRPr="00101DE6">
        <w:rPr>
          <w:lang w:val="en-GB"/>
        </w:rPr>
        <w:t>on the merits instead of drawing a relatively formalistic conclusion that the 1991 Act did “not apply” to the author and his family.</w:t>
      </w:r>
    </w:p>
    <w:p w14:paraId="3FC73FF7" w14:textId="77777777" w:rsidR="00093830" w:rsidRPr="00101DE6" w:rsidRDefault="00093830" w:rsidP="00093830">
      <w:pPr>
        <w:pStyle w:val="SingleTxtG"/>
        <w:spacing w:before="240" w:after="0"/>
        <w:jc w:val="center"/>
        <w:rPr>
          <w:u w:val="single"/>
          <w:lang w:val="en-GB"/>
        </w:rPr>
      </w:pPr>
      <w:r w:rsidRPr="00101DE6">
        <w:rPr>
          <w:u w:val="single"/>
          <w:lang w:val="en-GB"/>
        </w:rPr>
        <w:tab/>
      </w:r>
      <w:r w:rsidRPr="00101DE6">
        <w:rPr>
          <w:u w:val="single"/>
          <w:lang w:val="en-GB"/>
        </w:rPr>
        <w:tab/>
      </w:r>
      <w:r w:rsidRPr="00101DE6">
        <w:rPr>
          <w:u w:val="single"/>
          <w:lang w:val="en-GB"/>
        </w:rPr>
        <w:tab/>
      </w:r>
    </w:p>
    <w:sectPr w:rsidR="00093830" w:rsidRPr="00101DE6" w:rsidSect="00093830">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07-28T11:32:00Z" w:initials="Start">
    <w:p w14:paraId="6A708297" w14:textId="77777777" w:rsidR="000F5051" w:rsidRDefault="000F505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NO&gt;&gt;N1514075E&lt;&lt;ODS JOB NO&gt;&gt;</w:t>
      </w:r>
    </w:p>
    <w:p w14:paraId="794EB883" w14:textId="77777777" w:rsidR="000F5051" w:rsidRDefault="000F5051">
      <w:pPr>
        <w:pStyle w:val="CommentText"/>
      </w:pPr>
      <w:r>
        <w:t>&lt;&lt;ODS DOC SYMBOL1&gt;&gt;CCPR/C/113/D/1961/2010*&lt;&lt;ODS DOC SYMBOL1&gt;&gt;</w:t>
      </w:r>
    </w:p>
    <w:p w14:paraId="5C097BBD" w14:textId="77777777" w:rsidR="000F5051" w:rsidRDefault="000F5051">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097B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C9B83" w14:textId="77777777" w:rsidR="003872BF" w:rsidRDefault="003872BF"/>
  </w:endnote>
  <w:endnote w:type="continuationSeparator" w:id="0">
    <w:p w14:paraId="52697F01" w14:textId="77777777" w:rsidR="003872BF" w:rsidRDefault="003872BF"/>
  </w:endnote>
  <w:endnote w:type="continuationNotice" w:id="1">
    <w:p w14:paraId="38D4EBFD" w14:textId="77777777" w:rsidR="003872BF" w:rsidRDefault="00387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40989" w14:textId="77777777" w:rsidR="00101DE6" w:rsidRPr="00781C83" w:rsidRDefault="00101DE6"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391468">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A0A1E" w14:textId="77777777" w:rsidR="00101DE6" w:rsidRPr="001F345E" w:rsidRDefault="00101DE6" w:rsidP="00781C83">
    <w:pPr>
      <w:pStyle w:val="Footer"/>
      <w:tabs>
        <w:tab w:val="right" w:pos="9638"/>
      </w:tabs>
      <w:rPr>
        <w:b/>
        <w:bCs/>
        <w:sz w:val="18"/>
      </w:rPr>
    </w:pPr>
    <w:r>
      <w:rPr>
        <w:b/>
        <w:sz w:val="18"/>
      </w:rPr>
      <w:tab/>
    </w:r>
    <w:r w:rsidRPr="001F345E">
      <w:rPr>
        <w:b/>
        <w:bCs/>
        <w:sz w:val="18"/>
      </w:rPr>
      <w:fldChar w:fldCharType="begin"/>
    </w:r>
    <w:r w:rsidRPr="001F345E">
      <w:rPr>
        <w:b/>
        <w:bCs/>
        <w:sz w:val="18"/>
      </w:rPr>
      <w:instrText xml:space="preserve"> PAGE  \* MERGEFORMAT </w:instrText>
    </w:r>
    <w:r w:rsidRPr="001F345E">
      <w:rPr>
        <w:b/>
        <w:bCs/>
        <w:sz w:val="18"/>
      </w:rPr>
      <w:fldChar w:fldCharType="separate"/>
    </w:r>
    <w:r w:rsidR="00391468">
      <w:rPr>
        <w:b/>
        <w:bCs/>
        <w:noProof/>
        <w:sz w:val="18"/>
      </w:rPr>
      <w:t>3</w:t>
    </w:r>
    <w:r w:rsidRPr="001F345E">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0F5051" w14:paraId="61DD9B97" w14:textId="77777777" w:rsidTr="000F5051">
      <w:tc>
        <w:tcPr>
          <w:tcW w:w="3614" w:type="dxa"/>
          <w:shd w:val="clear" w:color="auto" w:fill="auto"/>
        </w:tcPr>
        <w:p w14:paraId="33CB2B28" w14:textId="77777777" w:rsidR="000F5051" w:rsidRDefault="000F5051" w:rsidP="000F5051">
          <w:pPr>
            <w:pStyle w:val="Footer"/>
            <w:rPr>
              <w:sz w:val="20"/>
            </w:rPr>
          </w:pPr>
          <w:r>
            <w:rPr>
              <w:noProof/>
              <w:sz w:val="20"/>
              <w:lang w:val="en-US"/>
            </w:rPr>
            <w:drawing>
              <wp:anchor distT="0" distB="0" distL="114300" distR="114300" simplePos="0" relativeHeight="251658240" behindDoc="0" locked="0" layoutInCell="1" allowOverlap="1" wp14:anchorId="439B083E" wp14:editId="2D981129">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3/D/1961/201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3/D/1961/201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GE.15-10012(E)</w:t>
          </w:r>
        </w:p>
        <w:p w14:paraId="14435BE0" w14:textId="77777777" w:rsidR="000F5051" w:rsidRPr="000F5051" w:rsidRDefault="000F5051" w:rsidP="000F5051">
          <w:pPr>
            <w:pStyle w:val="Footer"/>
            <w:rPr>
              <w:rFonts w:ascii="Barcode 3 of 9 by request" w:hAnsi="Barcode 3 of 9 by request"/>
              <w:sz w:val="24"/>
            </w:rPr>
          </w:pPr>
          <w:r>
            <w:rPr>
              <w:rFonts w:ascii="Barcode 3 of 9 by request" w:hAnsi="Barcode 3 of 9 by request"/>
              <w:sz w:val="24"/>
            </w:rPr>
            <w:t>*1510012*</w:t>
          </w:r>
        </w:p>
      </w:tc>
      <w:tc>
        <w:tcPr>
          <w:tcW w:w="4752" w:type="dxa"/>
          <w:shd w:val="clear" w:color="auto" w:fill="auto"/>
        </w:tcPr>
        <w:p w14:paraId="772858A5" w14:textId="77777777" w:rsidR="000F5051" w:rsidRDefault="000F5051" w:rsidP="000F5051">
          <w:pPr>
            <w:pStyle w:val="Footer"/>
            <w:spacing w:line="240" w:lineRule="atLeast"/>
            <w:jc w:val="right"/>
            <w:rPr>
              <w:sz w:val="20"/>
            </w:rPr>
          </w:pPr>
          <w:r>
            <w:rPr>
              <w:noProof/>
              <w:sz w:val="20"/>
              <w:lang w:val="en-US"/>
            </w:rPr>
            <w:drawing>
              <wp:inline distT="0" distB="0" distL="0" distR="0" wp14:anchorId="3DD7152E" wp14:editId="7F5463E4">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0DA6CE32" w14:textId="77777777" w:rsidR="000F5051" w:rsidRPr="000F5051" w:rsidRDefault="000F5051" w:rsidP="000F5051">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A0E41" w14:textId="77777777" w:rsidR="003872BF" w:rsidRPr="000B175B" w:rsidRDefault="003872BF" w:rsidP="000B175B">
      <w:pPr>
        <w:tabs>
          <w:tab w:val="right" w:pos="2155"/>
        </w:tabs>
        <w:spacing w:after="80"/>
        <w:ind w:left="680"/>
        <w:rPr>
          <w:u w:val="single"/>
        </w:rPr>
      </w:pPr>
      <w:r>
        <w:rPr>
          <w:u w:val="single"/>
        </w:rPr>
        <w:tab/>
      </w:r>
    </w:p>
  </w:footnote>
  <w:footnote w:type="continuationSeparator" w:id="0">
    <w:p w14:paraId="42D0A646" w14:textId="77777777" w:rsidR="003872BF" w:rsidRPr="00FC68B7" w:rsidRDefault="003872BF" w:rsidP="00FC68B7">
      <w:pPr>
        <w:tabs>
          <w:tab w:val="left" w:pos="2155"/>
        </w:tabs>
        <w:spacing w:after="80"/>
        <w:ind w:left="680"/>
        <w:rPr>
          <w:u w:val="single"/>
        </w:rPr>
      </w:pPr>
      <w:r>
        <w:rPr>
          <w:u w:val="single"/>
        </w:rPr>
        <w:tab/>
      </w:r>
    </w:p>
  </w:footnote>
  <w:footnote w:type="continuationNotice" w:id="1">
    <w:p w14:paraId="43B99B4A" w14:textId="77777777" w:rsidR="003872BF" w:rsidRDefault="003872BF"/>
  </w:footnote>
  <w:footnote w:id="2">
    <w:p w14:paraId="63892E64" w14:textId="77777777" w:rsidR="00161808" w:rsidRPr="00AE0E30" w:rsidRDefault="00161808" w:rsidP="00161808">
      <w:pPr>
        <w:pStyle w:val="FootnoteText"/>
        <w:rPr>
          <w:lang w:val="en-GB"/>
        </w:rPr>
      </w:pPr>
      <w:r>
        <w:rPr>
          <w:rStyle w:val="FootnoteReference"/>
        </w:rPr>
        <w:tab/>
      </w:r>
      <w:r w:rsidRPr="00AE0E30">
        <w:rPr>
          <w:rStyle w:val="FootnoteReference"/>
          <w:sz w:val="20"/>
        </w:rPr>
        <w:t>*</w:t>
      </w:r>
      <w:r>
        <w:rPr>
          <w:rStyle w:val="FootnoteReference"/>
          <w:sz w:val="20"/>
          <w:vertAlign w:val="baseline"/>
        </w:rPr>
        <w:tab/>
      </w:r>
      <w:r>
        <w:t>Reissued for technical reasons on 2</w:t>
      </w:r>
      <w:r w:rsidR="00453881">
        <w:t>8</w:t>
      </w:r>
      <w:r>
        <w:t xml:space="preserve"> July 2015.</w:t>
      </w:r>
    </w:p>
  </w:footnote>
  <w:footnote w:id="3">
    <w:p w14:paraId="20C5A93E" w14:textId="77777777" w:rsidR="00422FCB" w:rsidRDefault="00422FCB" w:rsidP="00422FCB">
      <w:pPr>
        <w:pStyle w:val="FootnoteText"/>
      </w:pPr>
      <w:r>
        <w:tab/>
      </w:r>
      <w:r w:rsidRPr="00422FCB">
        <w:rPr>
          <w:rStyle w:val="FootnoteReference"/>
        </w:rPr>
        <w:t>**</w:t>
      </w:r>
      <w:r w:rsidRPr="00AE0E30">
        <w:rPr>
          <w:rStyle w:val="FootnoteReference"/>
        </w:rPr>
        <w:tab/>
      </w:r>
      <w:r>
        <w:rPr>
          <w:szCs w:val="18"/>
        </w:rPr>
        <w:t xml:space="preserve">The following members of the Committee participated in the examination of the present communication: Lazhari Bouzid, Sarah Cleveland, Olivier de Frouville, Yuji Iwasawa, Ivana Jelić, Photini Pazartzis, Mauro Politi, </w:t>
      </w:r>
      <w:r>
        <w:rPr>
          <w:bCs/>
          <w:szCs w:val="18"/>
        </w:rPr>
        <w:t>Sir</w:t>
      </w:r>
      <w:r>
        <w:rPr>
          <w:szCs w:val="18"/>
        </w:rPr>
        <w:t xml:space="preserve"> Nigel Rodley, Víctor Manuel Rodríguez-Rescia, </w:t>
      </w:r>
      <w:r>
        <w:rPr>
          <w:szCs w:val="18"/>
        </w:rPr>
        <w:br/>
        <w:t>Fabián Omar Salvioli, Yuval Shany, Konstantine Vardzelashvili and Margo Waterval</w:t>
      </w:r>
      <w:r>
        <w:rPr>
          <w:bCs/>
          <w:szCs w:val="18"/>
        </w:rPr>
        <w:t xml:space="preserve">. </w:t>
      </w:r>
      <w:r>
        <w:t xml:space="preserve">Pursuant to rule 90 of the Committee’s rules of procedure, Committee member </w:t>
      </w:r>
      <w:r w:rsidRPr="004C5AD4">
        <w:rPr>
          <w:lang w:val="en-GB"/>
        </w:rPr>
        <w:t>Anja Seibert-Fohr</w:t>
      </w:r>
      <w:r>
        <w:t xml:space="preserve"> did not participate in the consideration of the communication.</w:t>
      </w:r>
    </w:p>
    <w:p w14:paraId="59FA6D1D" w14:textId="77777777" w:rsidR="00422FCB" w:rsidRPr="00AE0E30" w:rsidRDefault="00422FCB" w:rsidP="00422FCB">
      <w:pPr>
        <w:pStyle w:val="FootnoteText"/>
        <w:rPr>
          <w:lang w:val="en-GB"/>
        </w:rPr>
      </w:pPr>
      <w:r>
        <w:rPr>
          <w:bCs/>
          <w:szCs w:val="18"/>
        </w:rPr>
        <w:tab/>
      </w:r>
      <w:r>
        <w:rPr>
          <w:bCs/>
          <w:szCs w:val="18"/>
        </w:rPr>
        <w:tab/>
      </w:r>
      <w:r w:rsidRPr="00093830">
        <w:rPr>
          <w:bCs/>
          <w:szCs w:val="18"/>
        </w:rPr>
        <w:t>The text of an individual opinion by Committee member</w:t>
      </w:r>
      <w:r>
        <w:rPr>
          <w:bCs/>
          <w:szCs w:val="18"/>
        </w:rPr>
        <w:t>s</w:t>
      </w:r>
      <w:r w:rsidRPr="00093830">
        <w:rPr>
          <w:bCs/>
          <w:szCs w:val="18"/>
        </w:rPr>
        <w:t xml:space="preserve"> Olivier de Frouville, Mauro Politi and V</w:t>
      </w:r>
      <w:r>
        <w:rPr>
          <w:bCs/>
          <w:szCs w:val="18"/>
        </w:rPr>
        <w:t>í</w:t>
      </w:r>
      <w:r w:rsidRPr="00093830">
        <w:rPr>
          <w:bCs/>
          <w:szCs w:val="18"/>
        </w:rPr>
        <w:t>ctor</w:t>
      </w:r>
      <w:r>
        <w:rPr>
          <w:bCs/>
          <w:szCs w:val="18"/>
        </w:rPr>
        <w:t> </w:t>
      </w:r>
      <w:r w:rsidRPr="00093830">
        <w:rPr>
          <w:bCs/>
          <w:szCs w:val="18"/>
        </w:rPr>
        <w:t>Manuel Rodríguez-Rescia (partly dissenting)</w:t>
      </w:r>
      <w:r>
        <w:rPr>
          <w:bCs/>
          <w:szCs w:val="18"/>
        </w:rPr>
        <w:t xml:space="preserve"> </w:t>
      </w:r>
      <w:r w:rsidRPr="00093830">
        <w:rPr>
          <w:bCs/>
          <w:szCs w:val="18"/>
        </w:rPr>
        <w:t xml:space="preserve">is appended to the present </w:t>
      </w:r>
      <w:r>
        <w:rPr>
          <w:bCs/>
          <w:szCs w:val="18"/>
        </w:rPr>
        <w:t>decision.</w:t>
      </w:r>
    </w:p>
  </w:footnote>
  <w:footnote w:id="4">
    <w:p w14:paraId="7738D736" w14:textId="77777777" w:rsidR="00101DE6" w:rsidRPr="006521E4" w:rsidRDefault="00101DE6" w:rsidP="003021B4">
      <w:pPr>
        <w:pStyle w:val="FootnoteText"/>
      </w:pPr>
      <w:r w:rsidRPr="004A40DD">
        <w:tab/>
      </w:r>
      <w:r>
        <w:rPr>
          <w:rStyle w:val="FootnoteReference"/>
        </w:rPr>
        <w:footnoteRef/>
      </w:r>
      <w:r w:rsidRPr="001F345E">
        <w:tab/>
      </w:r>
      <w:r w:rsidRPr="00E45407">
        <w:t>The</w:t>
      </w:r>
      <w:r>
        <w:t xml:space="preserve"> initial complaint was </w:t>
      </w:r>
      <w:r w:rsidR="004B207C" w:rsidRPr="004B207C">
        <w:t>completed by</w:t>
      </w:r>
      <w:r>
        <w:t xml:space="preserve"> a letter dated 5 July 2010.</w:t>
      </w:r>
    </w:p>
  </w:footnote>
  <w:footnote w:id="5">
    <w:p w14:paraId="5AA51F1D" w14:textId="77777777" w:rsidR="00101DE6" w:rsidRPr="00866D01" w:rsidRDefault="00101DE6" w:rsidP="00B400FF">
      <w:pPr>
        <w:pStyle w:val="FootnoteText"/>
      </w:pPr>
      <w:r>
        <w:tab/>
      </w:r>
      <w:r>
        <w:rPr>
          <w:rStyle w:val="FootnoteReference"/>
        </w:rPr>
        <w:footnoteRef/>
      </w:r>
      <w:r>
        <w:tab/>
        <w:t>After the communication was registered, the author informed the Committee, in a submission dated 20 June 2013, that Y had died on 27 November 2012 and was</w:t>
      </w:r>
      <w:r w:rsidRPr="00B400FF">
        <w:t xml:space="preserve"> succeeded by</w:t>
      </w:r>
      <w:r>
        <w:t xml:space="preserve"> the other alleged victims. </w:t>
      </w:r>
    </w:p>
  </w:footnote>
  <w:footnote w:id="6">
    <w:p w14:paraId="0BA775FA" w14:textId="77777777" w:rsidR="00101DE6" w:rsidRPr="00177997" w:rsidRDefault="00101DE6" w:rsidP="00DB7C0A">
      <w:pPr>
        <w:pStyle w:val="FootnoteText"/>
      </w:pPr>
      <w:r w:rsidRPr="003E2AC2">
        <w:rPr>
          <w:lang w:val="en-GB"/>
        </w:rPr>
        <w:tab/>
      </w:r>
      <w:r w:rsidRPr="00282E9B">
        <w:rPr>
          <w:rStyle w:val="FootnoteReference"/>
        </w:rPr>
        <w:footnoteRef/>
      </w:r>
      <w:r w:rsidRPr="003E2AC2">
        <w:rPr>
          <w:lang w:val="en-GB"/>
        </w:rPr>
        <w:tab/>
      </w:r>
      <w:r>
        <w:t xml:space="preserve">The Optional Protocol entered into force for the Czech Republic on 1 January 1993, as a consequence of the notification by the Czech Republic of its succession to the international obligation of the Czech and Slovak Federal Republic, which had </w:t>
      </w:r>
      <w:r w:rsidRPr="00177997">
        <w:t>ratified the Optional Protocol in March 1991.</w:t>
      </w:r>
    </w:p>
  </w:footnote>
  <w:footnote w:id="7">
    <w:p w14:paraId="3265B483" w14:textId="77777777" w:rsidR="00101DE6" w:rsidRPr="00321804" w:rsidRDefault="00101DE6" w:rsidP="001F345E">
      <w:pPr>
        <w:pStyle w:val="FootnoteText"/>
      </w:pPr>
      <w:r w:rsidRPr="00177997">
        <w:tab/>
      </w:r>
      <w:r w:rsidRPr="00177997">
        <w:rPr>
          <w:rStyle w:val="FootnoteReference"/>
        </w:rPr>
        <w:footnoteRef/>
      </w:r>
      <w:r w:rsidRPr="00177997">
        <w:tab/>
        <w:t xml:space="preserve">The author does not specify which restitution law is at issue, but later refers to Act No. 87/1991, </w:t>
      </w:r>
      <w:r w:rsidRPr="00321804">
        <w:t>which was adopted on 2</w:t>
      </w:r>
      <w:r>
        <w:t>1</w:t>
      </w:r>
      <w:r w:rsidRPr="00321804">
        <w:t xml:space="preserve"> </w:t>
      </w:r>
      <w:r>
        <w:t>January</w:t>
      </w:r>
      <w:r w:rsidRPr="00321804">
        <w:t xml:space="preserve"> 1991 by the Czech and Slovak Federal Government and entered into force on 1 April 1991.</w:t>
      </w:r>
      <w:r>
        <w:t xml:space="preserve"> </w:t>
      </w:r>
    </w:p>
  </w:footnote>
  <w:footnote w:id="8">
    <w:p w14:paraId="02CAE461" w14:textId="77777777" w:rsidR="00101DE6" w:rsidRPr="003021B4" w:rsidRDefault="00101DE6" w:rsidP="003021B4">
      <w:pPr>
        <w:pStyle w:val="FootnoteText"/>
      </w:pPr>
      <w:r w:rsidRPr="001F345E">
        <w:rPr>
          <w:lang w:val="en-GB"/>
        </w:rPr>
        <w:tab/>
      </w:r>
      <w:r>
        <w:rPr>
          <w:rStyle w:val="FootnoteReference"/>
        </w:rPr>
        <w:footnoteRef/>
      </w:r>
      <w:r w:rsidRPr="001F345E">
        <w:tab/>
        <w:t xml:space="preserve">See </w:t>
      </w:r>
      <w:r>
        <w:t>c</w:t>
      </w:r>
      <w:r w:rsidRPr="00726772">
        <w:t>ommunication</w:t>
      </w:r>
      <w:r>
        <w:t xml:space="preserve"> No. 643/1995, </w:t>
      </w:r>
      <w:r w:rsidRPr="006D2C8D">
        <w:rPr>
          <w:i/>
        </w:rPr>
        <w:t>Drobek</w:t>
      </w:r>
      <w:r w:rsidRPr="001F345E">
        <w:rPr>
          <w:i/>
          <w:iCs/>
        </w:rPr>
        <w:t xml:space="preserve"> v. </w:t>
      </w:r>
      <w:r w:rsidRPr="006D2C8D">
        <w:rPr>
          <w:i/>
        </w:rPr>
        <w:t>Slovakia</w:t>
      </w:r>
      <w:r>
        <w:t xml:space="preserve">, </w:t>
      </w:r>
      <w:r w:rsidR="00B317BA">
        <w:t>decision</w:t>
      </w:r>
      <w:r w:rsidR="000A526E">
        <w:t xml:space="preserve"> of inadmissibility</w:t>
      </w:r>
      <w:r w:rsidR="00B317BA">
        <w:t xml:space="preserve"> </w:t>
      </w:r>
      <w:r>
        <w:t xml:space="preserve">adopted on 14 </w:t>
      </w:r>
      <w:r w:rsidRPr="003021B4">
        <w:t>July 1997, para. 6.5.</w:t>
      </w:r>
    </w:p>
  </w:footnote>
  <w:footnote w:id="9">
    <w:p w14:paraId="3CA80819" w14:textId="77777777" w:rsidR="00101DE6" w:rsidRPr="00BC66C2" w:rsidRDefault="00101DE6" w:rsidP="003021B4">
      <w:pPr>
        <w:pStyle w:val="FootnoteText"/>
      </w:pPr>
      <w:r w:rsidRPr="003021B4">
        <w:tab/>
      </w:r>
      <w:r w:rsidRPr="003021B4">
        <w:rPr>
          <w:rStyle w:val="FootnoteReference"/>
        </w:rPr>
        <w:footnoteRef/>
      </w:r>
      <w:r w:rsidRPr="001F345E">
        <w:tab/>
      </w:r>
      <w:r w:rsidRPr="003021B4">
        <w:t>The author asserts that, in communication No. </w:t>
      </w:r>
      <w:r w:rsidR="00CA709C" w:rsidRPr="003021B4">
        <w:t>51</w:t>
      </w:r>
      <w:r w:rsidR="00CA709C">
        <w:t>6</w:t>
      </w:r>
      <w:r w:rsidRPr="003021B4">
        <w:t xml:space="preserve">/1992, </w:t>
      </w:r>
      <w:r w:rsidRPr="003021B4">
        <w:rPr>
          <w:i/>
        </w:rPr>
        <w:t>Simunek</w:t>
      </w:r>
      <w:r w:rsidRPr="001F345E">
        <w:rPr>
          <w:i/>
          <w:iCs/>
        </w:rPr>
        <w:t xml:space="preserve"> v. </w:t>
      </w:r>
      <w:r w:rsidRPr="003021B4">
        <w:rPr>
          <w:i/>
        </w:rPr>
        <w:t>Czech Republic</w:t>
      </w:r>
      <w:r w:rsidRPr="003021B4">
        <w:t>, Views</w:t>
      </w:r>
      <w:r>
        <w:t xml:space="preserve"> adopted on 19 July 1995, the Committee found that legislation requiring Czech citizenship for restitution or compensation was incompatible with the Covenant as such legislation “must not discriminate among the victims of the prior confiscations, since all victims are entitled to redress without arbitrary distinctions” (see para. 11.6).</w:t>
      </w:r>
    </w:p>
  </w:footnote>
  <w:footnote w:id="10">
    <w:p w14:paraId="154B7D08" w14:textId="77777777" w:rsidR="00101DE6" w:rsidRPr="00000EF1" w:rsidRDefault="00101DE6" w:rsidP="003021B4">
      <w:pPr>
        <w:pStyle w:val="FootnoteText"/>
      </w:pPr>
      <w:r w:rsidRPr="00464988">
        <w:rPr>
          <w:lang w:val="en-GB"/>
        </w:rPr>
        <w:tab/>
      </w:r>
      <w:r>
        <w:rPr>
          <w:rStyle w:val="FootnoteReference"/>
        </w:rPr>
        <w:footnoteRef/>
      </w:r>
      <w:r w:rsidRPr="001F345E">
        <w:tab/>
      </w:r>
      <w:r>
        <w:t xml:space="preserve">The author cites communication No. 547/93, </w:t>
      </w:r>
      <w:r w:rsidRPr="0078761F">
        <w:rPr>
          <w:i/>
        </w:rPr>
        <w:t>Mahuika</w:t>
      </w:r>
      <w:r w:rsidRPr="001F345E">
        <w:rPr>
          <w:i/>
          <w:iCs/>
        </w:rPr>
        <w:t xml:space="preserve"> v. </w:t>
      </w:r>
      <w:r w:rsidRPr="0078761F">
        <w:rPr>
          <w:i/>
        </w:rPr>
        <w:t>New Zealand</w:t>
      </w:r>
      <w:r>
        <w:t>, Views adopted on 27 October 2000: “It would be objectionable and in violation of the right to access to court if a State party would by law discontinue cases that are pending before the courts.”</w:t>
      </w:r>
    </w:p>
  </w:footnote>
  <w:footnote w:id="11">
    <w:p w14:paraId="0C084D23" w14:textId="77777777" w:rsidR="00101DE6" w:rsidRPr="007A46D0" w:rsidRDefault="00101DE6" w:rsidP="00E45407">
      <w:pPr>
        <w:pStyle w:val="FootnoteText"/>
      </w:pPr>
      <w:r>
        <w:tab/>
      </w:r>
      <w:r>
        <w:rPr>
          <w:rStyle w:val="FootnoteReference"/>
        </w:rPr>
        <w:footnoteRef/>
      </w:r>
      <w:r>
        <w:tab/>
        <w:t xml:space="preserve">The author cites, </w:t>
      </w:r>
      <w:r w:rsidRPr="001F345E">
        <w:rPr>
          <w:iCs/>
        </w:rPr>
        <w:t>inter alia</w:t>
      </w:r>
      <w:r w:rsidRPr="00503462">
        <w:rPr>
          <w:iCs/>
        </w:rPr>
        <w:t>,</w:t>
      </w:r>
      <w:r>
        <w:t xml:space="preserve"> communication No. 747/1997, </w:t>
      </w:r>
      <w:r w:rsidRPr="00273C2F">
        <w:rPr>
          <w:i/>
        </w:rPr>
        <w:t>Des Fours</w:t>
      </w:r>
      <w:r w:rsidRPr="001F345E">
        <w:rPr>
          <w:i/>
          <w:iCs/>
        </w:rPr>
        <w:t xml:space="preserve"> v. </w:t>
      </w:r>
      <w:r w:rsidRPr="00273C2F">
        <w:rPr>
          <w:i/>
        </w:rPr>
        <w:t>Czech Republic</w:t>
      </w:r>
      <w:r>
        <w:t xml:space="preserve">, Views adopted on 30 October 2001, para. 9.2; communication No. 774/1997, </w:t>
      </w:r>
      <w:r w:rsidRPr="00273C2F">
        <w:rPr>
          <w:i/>
        </w:rPr>
        <w:t>Brok</w:t>
      </w:r>
      <w:r w:rsidRPr="001F345E">
        <w:rPr>
          <w:i/>
          <w:iCs/>
        </w:rPr>
        <w:t xml:space="preserve"> v. </w:t>
      </w:r>
      <w:r w:rsidRPr="00273C2F">
        <w:rPr>
          <w:i/>
        </w:rPr>
        <w:t>Czech Republic</w:t>
      </w:r>
      <w:r>
        <w:t xml:space="preserve">, Views adopted on 31 October 2001, para. 9; and communication No. 516/1992, </w:t>
      </w:r>
      <w:r w:rsidRPr="00273C2F">
        <w:rPr>
          <w:i/>
        </w:rPr>
        <w:t>Simunek et al</w:t>
      </w:r>
      <w:r>
        <w:t>.</w:t>
      </w:r>
      <w:r w:rsidRPr="001F345E">
        <w:rPr>
          <w:i/>
          <w:iCs/>
        </w:rPr>
        <w:t xml:space="preserve"> v. </w:t>
      </w:r>
      <w:r w:rsidRPr="00273C2F">
        <w:rPr>
          <w:i/>
        </w:rPr>
        <w:t>Czech Republic</w:t>
      </w:r>
      <w:r>
        <w:t>, Views adopted on 19 July 1995, para. 12.2.</w:t>
      </w:r>
    </w:p>
  </w:footnote>
  <w:footnote w:id="12">
    <w:p w14:paraId="3583F827" w14:textId="77777777" w:rsidR="00101DE6" w:rsidRPr="00EE0A23" w:rsidRDefault="00101DE6" w:rsidP="009E7068">
      <w:pPr>
        <w:pStyle w:val="FootnoteText"/>
      </w:pPr>
      <w:r w:rsidRPr="00464988">
        <w:rPr>
          <w:lang w:val="en-GB"/>
        </w:rPr>
        <w:tab/>
      </w:r>
      <w:r>
        <w:rPr>
          <w:rStyle w:val="FootnoteReference"/>
        </w:rPr>
        <w:footnoteRef/>
      </w:r>
      <w:r w:rsidRPr="001F345E">
        <w:tab/>
      </w:r>
      <w:r w:rsidRPr="00E4363D">
        <w:t xml:space="preserve">At current exchange rates, </w:t>
      </w:r>
      <w:r>
        <w:t xml:space="preserve">36,290,055 Czech korunas </w:t>
      </w:r>
      <w:r w:rsidRPr="00E4363D">
        <w:t xml:space="preserve">is equivalent to approximately </w:t>
      </w:r>
      <w:r>
        <w:t>$1.67 million.</w:t>
      </w:r>
    </w:p>
  </w:footnote>
  <w:footnote w:id="13">
    <w:p w14:paraId="22D3D21A" w14:textId="77777777" w:rsidR="00101DE6" w:rsidRPr="00545428" w:rsidRDefault="00101DE6" w:rsidP="00177997">
      <w:pPr>
        <w:pStyle w:val="FootnoteText"/>
      </w:pPr>
      <w:r w:rsidRPr="001F345E">
        <w:tab/>
      </w:r>
      <w:r>
        <w:rPr>
          <w:rStyle w:val="FootnoteReference"/>
        </w:rPr>
        <w:footnoteRef/>
      </w:r>
      <w:r w:rsidRPr="001F345E">
        <w:tab/>
      </w:r>
      <w:r>
        <w:t xml:space="preserve">The State party cites Supreme </w:t>
      </w:r>
      <w:r w:rsidRPr="00E45407">
        <w:t>Administrative</w:t>
      </w:r>
      <w:r>
        <w:t xml:space="preserve"> Court resolution on </w:t>
      </w:r>
      <w:r w:rsidRPr="00177997">
        <w:t>case file 4/2006</w:t>
      </w:r>
      <w:r w:rsidRPr="001F345E">
        <w:t xml:space="preserve"> of</w:t>
      </w:r>
      <w:r w:rsidRPr="00177997">
        <w:t xml:space="preserve"> 24</w:t>
      </w:r>
      <w:r>
        <w:t xml:space="preserve"> July 2007.</w:t>
      </w:r>
    </w:p>
  </w:footnote>
  <w:footnote w:id="14">
    <w:p w14:paraId="332FF26F" w14:textId="77777777" w:rsidR="00101DE6" w:rsidRPr="00AC7446" w:rsidRDefault="00101DE6" w:rsidP="00EE5727">
      <w:pPr>
        <w:pStyle w:val="FootnoteText"/>
      </w:pPr>
      <w:r w:rsidRPr="001F345E">
        <w:tab/>
      </w:r>
      <w:r>
        <w:rPr>
          <w:rStyle w:val="FootnoteReference"/>
        </w:rPr>
        <w:footnoteRef/>
      </w:r>
      <w:r w:rsidRPr="001F345E">
        <w:tab/>
      </w:r>
      <w:r>
        <w:t xml:space="preserve">The State party </w:t>
      </w:r>
      <w:r w:rsidRPr="00E45407">
        <w:t>cites</w:t>
      </w:r>
      <w:r>
        <w:t xml:space="preserve"> communication No. 724/1996, </w:t>
      </w:r>
      <w:r w:rsidRPr="00AC7446">
        <w:rPr>
          <w:i/>
        </w:rPr>
        <w:t>Mazurkiewiczova</w:t>
      </w:r>
      <w:r w:rsidRPr="001F345E">
        <w:rPr>
          <w:i/>
          <w:iCs/>
        </w:rPr>
        <w:t xml:space="preserve"> v. </w:t>
      </w:r>
      <w:r w:rsidRPr="00AC7446">
        <w:rPr>
          <w:i/>
        </w:rPr>
        <w:t>Czech Republic</w:t>
      </w:r>
      <w:r>
        <w:t xml:space="preserve">, </w:t>
      </w:r>
      <w:r w:rsidR="00422FCB">
        <w:t>decision</w:t>
      </w:r>
      <w:r w:rsidR="000A526E">
        <w:t xml:space="preserve"> of inadmissibility</w:t>
      </w:r>
      <w:r w:rsidR="00422FCB">
        <w:t xml:space="preserve"> </w:t>
      </w:r>
      <w:r>
        <w:t>adopted on 26 July 1999, para. 6.3.</w:t>
      </w:r>
    </w:p>
  </w:footnote>
  <w:footnote w:id="15">
    <w:p w14:paraId="51744EA3" w14:textId="77777777" w:rsidR="00101DE6" w:rsidRPr="00B40343" w:rsidRDefault="00101DE6" w:rsidP="00333A65">
      <w:pPr>
        <w:pStyle w:val="FootnoteText"/>
      </w:pPr>
      <w:r w:rsidRPr="00464988">
        <w:rPr>
          <w:lang w:val="en-GB"/>
        </w:rPr>
        <w:tab/>
      </w:r>
      <w:r>
        <w:rPr>
          <w:rStyle w:val="FootnoteReference"/>
        </w:rPr>
        <w:footnoteRef/>
      </w:r>
      <w:r w:rsidRPr="001F345E">
        <w:tab/>
      </w:r>
      <w:r>
        <w:t xml:space="preserve">The State party also notes that, in the case referred to by the author, communication No. 547/93, </w:t>
      </w:r>
      <w:r w:rsidRPr="0078761F">
        <w:rPr>
          <w:i/>
        </w:rPr>
        <w:t>Mahuika</w:t>
      </w:r>
      <w:r w:rsidRPr="001F345E">
        <w:rPr>
          <w:i/>
          <w:iCs/>
        </w:rPr>
        <w:t xml:space="preserve"> v. </w:t>
      </w:r>
      <w:r w:rsidRPr="0078761F">
        <w:rPr>
          <w:i/>
        </w:rPr>
        <w:t>New Zealand</w:t>
      </w:r>
      <w:r>
        <w:rPr>
          <w:i/>
        </w:rPr>
        <w:t xml:space="preserve"> </w:t>
      </w:r>
      <w:r>
        <w:rPr>
          <w:iCs/>
        </w:rPr>
        <w:t xml:space="preserve">(see footnote </w:t>
      </w:r>
      <w:r w:rsidR="00422FCB">
        <w:rPr>
          <w:iCs/>
        </w:rPr>
        <w:t>7</w:t>
      </w:r>
      <w:r>
        <w:rPr>
          <w:iCs/>
        </w:rPr>
        <w:t>)</w:t>
      </w:r>
      <w:r>
        <w:t xml:space="preserve">, the Committee did not find a violation of article 14 (1) of the Covenant (see para. 9.10). </w:t>
      </w:r>
    </w:p>
  </w:footnote>
  <w:footnote w:id="16">
    <w:p w14:paraId="75F99389" w14:textId="77777777" w:rsidR="00101DE6" w:rsidRPr="006D2C8D" w:rsidRDefault="00101DE6" w:rsidP="00EE5727">
      <w:pPr>
        <w:pStyle w:val="FootnoteText"/>
      </w:pPr>
      <w:r w:rsidRPr="001F345E">
        <w:tab/>
      </w:r>
      <w:r>
        <w:rPr>
          <w:rStyle w:val="FootnoteReference"/>
        </w:rPr>
        <w:footnoteRef/>
      </w:r>
      <w:r w:rsidRPr="001F345E">
        <w:tab/>
      </w:r>
      <w:r>
        <w:t xml:space="preserve">The State party cites, </w:t>
      </w:r>
      <w:r w:rsidRPr="001F345E">
        <w:rPr>
          <w:iCs/>
        </w:rPr>
        <w:t>inter</w:t>
      </w:r>
      <w:r w:rsidRPr="006D2C8D">
        <w:rPr>
          <w:i/>
        </w:rPr>
        <w:t xml:space="preserve"> </w:t>
      </w:r>
      <w:r w:rsidRPr="00E45407">
        <w:t>alia</w:t>
      </w:r>
      <w:r>
        <w:t xml:space="preserve">, </w:t>
      </w:r>
      <w:r w:rsidRPr="00E45407">
        <w:t>communication</w:t>
      </w:r>
      <w:r>
        <w:t xml:space="preserve"> No. 643/1995, </w:t>
      </w:r>
      <w:r w:rsidRPr="006D2C8D">
        <w:rPr>
          <w:i/>
        </w:rPr>
        <w:t>Drobek</w:t>
      </w:r>
      <w:r w:rsidRPr="001F345E">
        <w:rPr>
          <w:i/>
          <w:iCs/>
        </w:rPr>
        <w:t xml:space="preserve"> v. </w:t>
      </w:r>
      <w:r w:rsidRPr="006D2C8D">
        <w:rPr>
          <w:i/>
        </w:rPr>
        <w:t>Slovakia</w:t>
      </w:r>
      <w:r>
        <w:t xml:space="preserve"> (see footnote </w:t>
      </w:r>
      <w:r w:rsidR="00422FCB">
        <w:t>5</w:t>
      </w:r>
      <w:r>
        <w:t>), para. 6.5.</w:t>
      </w:r>
    </w:p>
  </w:footnote>
  <w:footnote w:id="17">
    <w:p w14:paraId="029DE430" w14:textId="77777777" w:rsidR="00101DE6" w:rsidRDefault="00101DE6" w:rsidP="003021B4">
      <w:pPr>
        <w:pStyle w:val="FootnoteText"/>
      </w:pPr>
      <w:r>
        <w:tab/>
      </w:r>
      <w:r>
        <w:rPr>
          <w:rStyle w:val="FootnoteReference"/>
        </w:rPr>
        <w:footnoteRef/>
      </w:r>
      <w:r>
        <w:tab/>
      </w:r>
      <w:r w:rsidRPr="00726772">
        <w:t>Specifically, the author states</w:t>
      </w:r>
      <w:r>
        <w:t>:</w:t>
      </w:r>
    </w:p>
    <w:p w14:paraId="7E47AAD3" w14:textId="77777777" w:rsidR="00101DE6" w:rsidRPr="00FA107A" w:rsidRDefault="00101DE6" w:rsidP="001F345E">
      <w:pPr>
        <w:pStyle w:val="FootnoteText"/>
        <w:tabs>
          <w:tab w:val="clear" w:pos="1021"/>
          <w:tab w:val="right" w:pos="1418"/>
        </w:tabs>
        <w:ind w:left="1418" w:firstLine="0"/>
      </w:pPr>
      <w:r w:rsidRPr="00726772">
        <w:t>The gist of [the Constitutional Court</w:t>
      </w:r>
      <w:r>
        <w:t>’s</w:t>
      </w:r>
      <w:r w:rsidRPr="00726772">
        <w:t>] Opinion is the contention that the restitution laws of 1991 legali</w:t>
      </w:r>
      <w:r>
        <w:t>z</w:t>
      </w:r>
      <w:r w:rsidRPr="00726772">
        <w:t xml:space="preserve">ed the property rights of the (Czech) </w:t>
      </w:r>
      <w:r>
        <w:t>S</w:t>
      </w:r>
      <w:r w:rsidRPr="00726772">
        <w:t>tate to assets that it had de facto acquired through confiscation, nationalization or by other means, irrespective of the fact that it would otherwise have been possible, in some cases, for the former owner to assert his property rights through the normal civil law procedures. And that Act</w:t>
      </w:r>
      <w:r>
        <w:t xml:space="preserve"> No. </w:t>
      </w:r>
      <w:r w:rsidRPr="00726772">
        <w:t>87/1991 on Extrajudicial Rehabilitation, by excluding in its preamble the possibility of remedying injustices committed before 25 February 1948, including injustices against German and Hungarian nationals, had decreed that assets thus obtained were property of the state and exempt from any claims made according to the general rules of civil procedure. The author is not asking the Committee to review the Constitutional Court’s interpretation of the Act on Extra-Judicial Rehabilitation. On the contrary: he takes it at face value and criticizes the restitution laws’ content in the shape which the Constitutional Court has given them. … This interpretation of the restitution laws turns them into instruments of expropriation of such property as the state had usurped by physical occupation.</w:t>
      </w:r>
    </w:p>
  </w:footnote>
  <w:footnote w:id="18">
    <w:p w14:paraId="1E7152FF" w14:textId="77777777" w:rsidR="00101DE6" w:rsidRPr="00B24BAE" w:rsidRDefault="00101DE6" w:rsidP="003021B4">
      <w:pPr>
        <w:pStyle w:val="FootnoteText"/>
      </w:pPr>
      <w:r w:rsidRPr="004A046D">
        <w:tab/>
      </w:r>
      <w:r>
        <w:rPr>
          <w:rStyle w:val="FootnoteReference"/>
        </w:rPr>
        <w:footnoteRef/>
      </w:r>
      <w:r w:rsidRPr="004A046D">
        <w:tab/>
      </w:r>
      <w:r>
        <w:t>See the Committee’s general c</w:t>
      </w:r>
      <w:r w:rsidRPr="00E45407">
        <w:t>omment</w:t>
      </w:r>
      <w:r>
        <w:t xml:space="preserve"> No. 32 (2007) on the right to equality before courts and tribunals and to a fair trial, para. 26, and communication No. 541/1993, </w:t>
      </w:r>
      <w:r w:rsidRPr="00B24BAE">
        <w:rPr>
          <w:i/>
        </w:rPr>
        <w:t>Simms</w:t>
      </w:r>
      <w:r>
        <w:t xml:space="preserve"> </w:t>
      </w:r>
      <w:r w:rsidRPr="001F345E">
        <w:rPr>
          <w:i/>
          <w:iCs/>
        </w:rPr>
        <w:t>v.</w:t>
      </w:r>
      <w:r>
        <w:t xml:space="preserve"> </w:t>
      </w:r>
      <w:r w:rsidRPr="00B24BAE">
        <w:rPr>
          <w:i/>
        </w:rPr>
        <w:t>Jamaica</w:t>
      </w:r>
      <w:r>
        <w:t>, decision of inadmissibility adopted on 3 April 1995, para. 6.2.</w:t>
      </w:r>
    </w:p>
  </w:footnote>
  <w:footnote w:id="19">
    <w:p w14:paraId="7C89D23B" w14:textId="77777777" w:rsidR="00101DE6" w:rsidRPr="00C95F25" w:rsidRDefault="00101DE6" w:rsidP="004C63B8">
      <w:pPr>
        <w:pStyle w:val="FootnoteText"/>
      </w:pPr>
      <w:r w:rsidRPr="00464988">
        <w:rPr>
          <w:lang w:val="en-GB"/>
        </w:rPr>
        <w:tab/>
      </w:r>
      <w:r>
        <w:rPr>
          <w:rStyle w:val="FootnoteReference"/>
        </w:rPr>
        <w:footnoteRef/>
      </w:r>
      <w:r w:rsidRPr="001F345E">
        <w:tab/>
        <w:t xml:space="preserve">See </w:t>
      </w:r>
      <w:r>
        <w:t>c</w:t>
      </w:r>
      <w:r w:rsidRPr="003A3A21">
        <w:t>ommunication</w:t>
      </w:r>
      <w:r>
        <w:t xml:space="preserve"> No. </w:t>
      </w:r>
      <w:r w:rsidRPr="00E45407">
        <w:t>516</w:t>
      </w:r>
      <w:r w:rsidRPr="003A3A21">
        <w:t xml:space="preserve">/1992, </w:t>
      </w:r>
      <w:r w:rsidRPr="003A3A21">
        <w:rPr>
          <w:i/>
        </w:rPr>
        <w:t>Simunek et al</w:t>
      </w:r>
      <w:r w:rsidRPr="001F345E">
        <w:rPr>
          <w:iCs/>
        </w:rPr>
        <w:t>.</w:t>
      </w:r>
      <w:r w:rsidRPr="00923E69">
        <w:rPr>
          <w:i/>
        </w:rPr>
        <w:t xml:space="preserve"> </w:t>
      </w:r>
      <w:r w:rsidRPr="001F345E">
        <w:rPr>
          <w:i/>
        </w:rPr>
        <w:t xml:space="preserve">v. </w:t>
      </w:r>
      <w:r w:rsidRPr="00C95F25">
        <w:rPr>
          <w:i/>
        </w:rPr>
        <w:t>Czech Republic</w:t>
      </w:r>
      <w:r>
        <w:t xml:space="preserve"> (see footnote </w:t>
      </w:r>
      <w:r w:rsidR="00422FCB">
        <w:t>8</w:t>
      </w:r>
      <w:r>
        <w:t>).</w:t>
      </w:r>
    </w:p>
  </w:footnote>
  <w:footnote w:id="20">
    <w:p w14:paraId="4E531A38" w14:textId="77777777" w:rsidR="00101DE6" w:rsidRPr="006D2C8D" w:rsidRDefault="00101DE6" w:rsidP="00D23FB3">
      <w:pPr>
        <w:pStyle w:val="FootnoteText"/>
      </w:pPr>
      <w:r w:rsidRPr="001F345E">
        <w:tab/>
      </w:r>
      <w:r>
        <w:rPr>
          <w:rStyle w:val="FootnoteReference"/>
        </w:rPr>
        <w:footnoteRef/>
      </w:r>
      <w:r w:rsidRPr="001F345E">
        <w:tab/>
      </w:r>
      <w:r>
        <w:t>See communication No. </w:t>
      </w:r>
      <w:r w:rsidRPr="00E45407">
        <w:t>643</w:t>
      </w:r>
      <w:r>
        <w:t xml:space="preserve">/1995, </w:t>
      </w:r>
      <w:r w:rsidRPr="006D2C8D">
        <w:rPr>
          <w:i/>
        </w:rPr>
        <w:t>Drobek</w:t>
      </w:r>
      <w:r w:rsidRPr="001F345E">
        <w:rPr>
          <w:i/>
          <w:iCs/>
        </w:rPr>
        <w:t xml:space="preserve"> v. </w:t>
      </w:r>
      <w:r w:rsidRPr="006D2C8D">
        <w:rPr>
          <w:i/>
        </w:rPr>
        <w:t>Slovakia</w:t>
      </w:r>
      <w:r>
        <w:t xml:space="preserve"> (see footnote </w:t>
      </w:r>
      <w:r w:rsidR="00422FCB">
        <w:t>5</w:t>
      </w:r>
      <w:r>
        <w:t>).</w:t>
      </w:r>
    </w:p>
  </w:footnote>
  <w:footnote w:id="21">
    <w:p w14:paraId="6521A8B0" w14:textId="77777777" w:rsidR="00101DE6" w:rsidRPr="001F345E" w:rsidRDefault="00101DE6" w:rsidP="00A254CC">
      <w:pPr>
        <w:pStyle w:val="FootnoteText"/>
        <w:rPr>
          <w:i/>
          <w:iCs/>
        </w:rPr>
      </w:pPr>
      <w:r>
        <w:tab/>
      </w:r>
      <w:r>
        <w:rPr>
          <w:rStyle w:val="FootnoteReference"/>
        </w:rPr>
        <w:footnoteRef/>
      </w:r>
      <w:r>
        <w:tab/>
        <w:t xml:space="preserve">See, </w:t>
      </w:r>
      <w:r w:rsidRPr="001F345E">
        <w:rPr>
          <w:iCs/>
        </w:rPr>
        <w:t>inter alia</w:t>
      </w:r>
      <w:r w:rsidRPr="00503462">
        <w:rPr>
          <w:iCs/>
        </w:rPr>
        <w:t>,</w:t>
      </w:r>
      <w:r>
        <w:t xml:space="preserve"> communication No. 1834/2008, </w:t>
      </w:r>
      <w:r>
        <w:rPr>
          <w:i/>
        </w:rPr>
        <w:t>A.P.</w:t>
      </w:r>
      <w:r w:rsidRPr="001F345E">
        <w:rPr>
          <w:iCs/>
        </w:rPr>
        <w:t xml:space="preserve"> v. </w:t>
      </w:r>
      <w:r>
        <w:rPr>
          <w:i/>
        </w:rPr>
        <w:t>Ukraine</w:t>
      </w:r>
      <w:r>
        <w:t>, decision of inadmissibility of 23</w:t>
      </w:r>
      <w:r w:rsidRPr="0060076A">
        <w:t xml:space="preserve"> </w:t>
      </w:r>
      <w:r w:rsidRPr="00AE0E30">
        <w:rPr>
          <w:iCs/>
        </w:rPr>
        <w:t>July 2012, para. 8.5.</w:t>
      </w:r>
    </w:p>
  </w:footnote>
  <w:footnote w:id="22">
    <w:p w14:paraId="575159AD" w14:textId="77777777" w:rsidR="00101DE6" w:rsidRPr="00322387" w:rsidRDefault="00101DE6" w:rsidP="003021B4">
      <w:pPr>
        <w:pStyle w:val="FootnoteText"/>
      </w:pPr>
      <w:r>
        <w:tab/>
      </w:r>
      <w:r w:rsidRPr="00322387">
        <w:rPr>
          <w:rStyle w:val="FootnoteReference"/>
          <w:szCs w:val="18"/>
        </w:rPr>
        <w:footnoteRef/>
      </w:r>
      <w:r>
        <w:tab/>
      </w:r>
      <w:r w:rsidRPr="00322387">
        <w:t xml:space="preserve">See </w:t>
      </w:r>
      <w:r w:rsidRPr="00A71041">
        <w:t>communication</w:t>
      </w:r>
      <w:r>
        <w:t xml:space="preserve"> No. </w:t>
      </w:r>
      <w:r w:rsidRPr="00322387">
        <w:t xml:space="preserve">724/1996, </w:t>
      </w:r>
      <w:r w:rsidRPr="00322387">
        <w:rPr>
          <w:i/>
        </w:rPr>
        <w:t>Mazurkiewiczova v. Czech Republic</w:t>
      </w:r>
      <w:r>
        <w:t xml:space="preserve"> (see footnote </w:t>
      </w:r>
      <w:r w:rsidR="00422FCB">
        <w:t>11</w:t>
      </w:r>
      <w:r>
        <w:t>)</w:t>
      </w:r>
      <w:r w:rsidRPr="00322387">
        <w:t>, para</w:t>
      </w:r>
      <w:r>
        <w:t>. </w:t>
      </w:r>
      <w:r w:rsidRPr="00322387">
        <w:t>6.2</w:t>
      </w:r>
      <w:r>
        <w:t>, and communication No. </w:t>
      </w:r>
      <w:r w:rsidRPr="00322387">
        <w:t xml:space="preserve">544/1993, </w:t>
      </w:r>
      <w:r w:rsidRPr="00322387">
        <w:rPr>
          <w:i/>
        </w:rPr>
        <w:t>K.J.L. v. Finland</w:t>
      </w:r>
      <w:r w:rsidRPr="00322387">
        <w:t xml:space="preserve">, decision </w:t>
      </w:r>
      <w:r>
        <w:t xml:space="preserve">of </w:t>
      </w:r>
      <w:r w:rsidRPr="00322387">
        <w:t>inadmissibility of 3 November 1993.</w:t>
      </w:r>
    </w:p>
  </w:footnote>
  <w:footnote w:id="23">
    <w:p w14:paraId="66EA37B5" w14:textId="77777777" w:rsidR="00101DE6" w:rsidRPr="00A65D78" w:rsidRDefault="00101DE6" w:rsidP="009905D5">
      <w:pPr>
        <w:pStyle w:val="FootnoteText"/>
      </w:pPr>
      <w:r w:rsidRPr="001F345E">
        <w:tab/>
      </w:r>
      <w:r>
        <w:rPr>
          <w:rStyle w:val="FootnoteReference"/>
        </w:rPr>
        <w:footnoteRef/>
      </w:r>
      <w:r w:rsidRPr="001F345E">
        <w:tab/>
      </w:r>
      <w:r>
        <w:t xml:space="preserve">In the light of its </w:t>
      </w:r>
      <w:r w:rsidRPr="00A71041">
        <w:t>findings</w:t>
      </w:r>
      <w:r>
        <w:t>, the Committee does not deem it necessary for the purposes of admissibility to examine the State party’s assertion that the authors did not exhaust domestic remedies.</w:t>
      </w:r>
    </w:p>
  </w:footnote>
  <w:footnote w:id="24">
    <w:p w14:paraId="4268103E" w14:textId="77777777" w:rsidR="00A34650" w:rsidRDefault="00A34650">
      <w:pPr>
        <w:pStyle w:val="FootnoteText"/>
      </w:pPr>
      <w:r>
        <w:tab/>
      </w:r>
      <w:r>
        <w:rPr>
          <w:rStyle w:val="FootnoteReference"/>
        </w:rPr>
        <w:footnoteRef/>
      </w:r>
      <w:r>
        <w:t xml:space="preserve"> </w:t>
      </w:r>
      <w:r>
        <w:tab/>
        <w:t xml:space="preserve">See communication No. 1967/2010, </w:t>
      </w:r>
      <w:r w:rsidRPr="00A34650">
        <w:rPr>
          <w:i/>
          <w:iCs/>
        </w:rPr>
        <w:t>B and C v. Czech Republic</w:t>
      </w:r>
      <w:r>
        <w:t>, decision</w:t>
      </w:r>
      <w:r w:rsidR="000A526E">
        <w:t xml:space="preserve"> of inadmissibility</w:t>
      </w:r>
      <w:r>
        <w:t xml:space="preserve"> adopted on 2 April 2015.</w:t>
      </w:r>
    </w:p>
  </w:footnote>
  <w:footnote w:id="25">
    <w:p w14:paraId="2D43ED2C" w14:textId="77777777" w:rsidR="00101DE6" w:rsidRDefault="00101DE6" w:rsidP="003021B4">
      <w:pPr>
        <w:pStyle w:val="FootnoteText"/>
      </w:pPr>
      <w:r w:rsidRPr="0011745D">
        <w:tab/>
      </w:r>
      <w:r w:rsidRPr="0011745D">
        <w:rPr>
          <w:rStyle w:val="FootnoteReference"/>
        </w:rPr>
        <w:footnoteRef/>
      </w:r>
      <w:r w:rsidRPr="0011745D">
        <w:tab/>
        <w:t xml:space="preserve">See, however, the individual opinion of Committee members </w:t>
      </w:r>
      <w:r w:rsidRPr="00792561">
        <w:t>Cecilia Medina Quiroga and Eckart Klein, who consider that the communication should have been declared admissible</w:t>
      </w:r>
      <w:r w:rsidRPr="0011745D">
        <w:t xml:space="preserve"> and reviewed on its merits: </w:t>
      </w:r>
    </w:p>
    <w:p w14:paraId="21EE71E0" w14:textId="77777777" w:rsidR="00101DE6" w:rsidRPr="0011745D" w:rsidRDefault="00101DE6" w:rsidP="001F345E">
      <w:pPr>
        <w:pStyle w:val="FootnoteText"/>
        <w:tabs>
          <w:tab w:val="clear" w:pos="1021"/>
          <w:tab w:val="right" w:pos="1418"/>
        </w:tabs>
        <w:ind w:left="1418" w:firstLine="0"/>
      </w:pPr>
      <w:r w:rsidRPr="0011745D">
        <w:t xml:space="preserve">The Committee has declared this communication inadmissible for lack of substantiation of the author’s claim. We do not agree with this decision. The author has given clear reasons why he thinks he is being discriminated against by the State party: this is not only because of the fact that Law </w:t>
      </w:r>
      <w:r>
        <w:t xml:space="preserve">No. </w:t>
      </w:r>
      <w:r w:rsidRPr="0011745D">
        <w:t xml:space="preserve">87/1991 applies only to property seized under the communist regime and not to the seizures decreed between 1945 and 1948 by the pre-communist regime; the author argues that the enactment of Law </w:t>
      </w:r>
      <w:r>
        <w:t xml:space="preserve">No. </w:t>
      </w:r>
      <w:r w:rsidRPr="0011745D">
        <w:t>87/1991 reflects the support by Slovakia of discrimination which individuals of German origin suffered immediately after the Second World War.</w:t>
      </w:r>
    </w:p>
  </w:footnote>
  <w:footnote w:id="26">
    <w:p w14:paraId="53935D64" w14:textId="77777777" w:rsidR="00101DE6" w:rsidRPr="0011745D" w:rsidRDefault="00101DE6" w:rsidP="00DA0CEE">
      <w:pPr>
        <w:pStyle w:val="FootnoteText"/>
      </w:pPr>
      <w:r w:rsidRPr="0011745D">
        <w:tab/>
      </w:r>
      <w:r w:rsidRPr="0011745D">
        <w:rPr>
          <w:rStyle w:val="FootnoteReference"/>
        </w:rPr>
        <w:footnoteRef/>
      </w:r>
      <w:r w:rsidRPr="0011745D">
        <w:tab/>
      </w:r>
      <w:r>
        <w:t>See c</w:t>
      </w:r>
      <w:r w:rsidRPr="0011745D">
        <w:t>ommunication</w:t>
      </w:r>
      <w:r>
        <w:t xml:space="preserve"> No. </w:t>
      </w:r>
      <w:r w:rsidRPr="0011745D">
        <w:t xml:space="preserve">998/2001, </w:t>
      </w:r>
      <w:r w:rsidRPr="0011745D">
        <w:rPr>
          <w:i/>
          <w:iCs/>
        </w:rPr>
        <w:t>Althammer et al. v. Austria</w:t>
      </w:r>
      <w:r w:rsidRPr="00DA0CEE">
        <w:t xml:space="preserve">, </w:t>
      </w:r>
      <w:r>
        <w:t xml:space="preserve">Views adopted on </w:t>
      </w:r>
      <w:r w:rsidRPr="00DA0CEE">
        <w:t>8</w:t>
      </w:r>
      <w:r w:rsidRPr="0011745D">
        <w:t xml:space="preserve"> August 2003</w:t>
      </w:r>
      <w:r>
        <w:t>, para. 10.2</w:t>
      </w:r>
      <w:r w:rsidRPr="0011745D">
        <w:t>. See also communication</w:t>
      </w:r>
      <w:r>
        <w:t xml:space="preserve"> No. </w:t>
      </w:r>
      <w:r w:rsidRPr="0011745D">
        <w:t xml:space="preserve">976/2001, </w:t>
      </w:r>
      <w:r w:rsidRPr="009C5E6A">
        <w:rPr>
          <w:i/>
          <w:iCs/>
        </w:rPr>
        <w:t xml:space="preserve">Derksen v. </w:t>
      </w:r>
      <w:r w:rsidRPr="00DA0CEE">
        <w:rPr>
          <w:i/>
          <w:iCs/>
        </w:rPr>
        <w:t>Netherlands</w:t>
      </w:r>
      <w:r w:rsidRPr="00DA0CEE">
        <w:t xml:space="preserve">, </w:t>
      </w:r>
      <w:r>
        <w:t xml:space="preserve">Views adopted on </w:t>
      </w:r>
      <w:r w:rsidRPr="00DA0CEE">
        <w:t>1</w:t>
      </w:r>
      <w:r w:rsidRPr="0011745D">
        <w:t xml:space="preserve"> April 2004, </w:t>
      </w:r>
      <w:r>
        <w:t>para. </w:t>
      </w:r>
      <w:r w:rsidRPr="0011745D">
        <w:t>9.3.</w:t>
      </w:r>
    </w:p>
  </w:footnote>
  <w:footnote w:id="27">
    <w:p w14:paraId="577295F3" w14:textId="77777777" w:rsidR="00101DE6" w:rsidRPr="0011745D" w:rsidRDefault="00101DE6" w:rsidP="00BB726F">
      <w:pPr>
        <w:pStyle w:val="FootnoteText"/>
      </w:pPr>
      <w:r w:rsidRPr="0011745D">
        <w:tab/>
      </w:r>
      <w:r w:rsidRPr="0011745D">
        <w:rPr>
          <w:rStyle w:val="FootnoteReference"/>
        </w:rPr>
        <w:footnoteRef/>
      </w:r>
      <w:r w:rsidRPr="0011745D">
        <w:tab/>
      </w:r>
      <w:r>
        <w:t>See c</w:t>
      </w:r>
      <w:r w:rsidRPr="0011745D">
        <w:t>ommunication</w:t>
      </w:r>
      <w:r>
        <w:t xml:space="preserve"> No. </w:t>
      </w:r>
      <w:r w:rsidRPr="0011745D">
        <w:t xml:space="preserve">998/2001, </w:t>
      </w:r>
      <w:r w:rsidRPr="00C7282E">
        <w:rPr>
          <w:i/>
          <w:iCs/>
        </w:rPr>
        <w:t>Althammer et al. v. Austria</w:t>
      </w:r>
      <w:r>
        <w:t xml:space="preserve"> (see footnote </w:t>
      </w:r>
      <w:r w:rsidR="000F1F57">
        <w:t>c</w:t>
      </w:r>
      <w:r>
        <w:t>)</w:t>
      </w:r>
      <w:r w:rsidRPr="0011745D">
        <w:t xml:space="preserve">, </w:t>
      </w:r>
      <w:r>
        <w:t>para. </w:t>
      </w:r>
      <w:r w:rsidRPr="0011745D">
        <w:t>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C9415" w14:textId="77777777" w:rsidR="00101DE6" w:rsidRPr="00781C83" w:rsidRDefault="00101DE6" w:rsidP="00781C83">
    <w:pPr>
      <w:pStyle w:val="Header"/>
    </w:pPr>
    <w:r>
      <w:t>CCPR/C/113/D/1961/2010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2E249" w14:textId="77777777" w:rsidR="00101DE6" w:rsidRPr="00781C83" w:rsidRDefault="00101DE6" w:rsidP="00781C83">
    <w:pPr>
      <w:pStyle w:val="Header"/>
      <w:jc w:val="right"/>
    </w:pPr>
    <w:r>
      <w:t>CCPR/C/113/D/1961</w:t>
    </w:r>
    <w:r w:rsidRPr="00551F71">
      <w:t>/</w:t>
    </w:r>
    <w:r>
      <w:t>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s-E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0EF1"/>
    <w:rsid w:val="00001C66"/>
    <w:rsid w:val="00002A2B"/>
    <w:rsid w:val="000034C5"/>
    <w:rsid w:val="000044E2"/>
    <w:rsid w:val="000141BF"/>
    <w:rsid w:val="000170C3"/>
    <w:rsid w:val="00021EAA"/>
    <w:rsid w:val="00023024"/>
    <w:rsid w:val="0002390D"/>
    <w:rsid w:val="00025D41"/>
    <w:rsid w:val="0002635B"/>
    <w:rsid w:val="000272B3"/>
    <w:rsid w:val="0003387B"/>
    <w:rsid w:val="0003413D"/>
    <w:rsid w:val="00036F3F"/>
    <w:rsid w:val="000377A5"/>
    <w:rsid w:val="0004092D"/>
    <w:rsid w:val="00041736"/>
    <w:rsid w:val="00041994"/>
    <w:rsid w:val="000448A9"/>
    <w:rsid w:val="00045643"/>
    <w:rsid w:val="000471A8"/>
    <w:rsid w:val="00050F6B"/>
    <w:rsid w:val="00055FFE"/>
    <w:rsid w:val="0005782B"/>
    <w:rsid w:val="00057E97"/>
    <w:rsid w:val="00060C3A"/>
    <w:rsid w:val="00061316"/>
    <w:rsid w:val="00066476"/>
    <w:rsid w:val="0006764F"/>
    <w:rsid w:val="000677CF"/>
    <w:rsid w:val="00071A49"/>
    <w:rsid w:val="00072C8C"/>
    <w:rsid w:val="000733B5"/>
    <w:rsid w:val="00076798"/>
    <w:rsid w:val="00076C51"/>
    <w:rsid w:val="00080188"/>
    <w:rsid w:val="00081815"/>
    <w:rsid w:val="00081BF7"/>
    <w:rsid w:val="0008245C"/>
    <w:rsid w:val="00085F7B"/>
    <w:rsid w:val="000901CE"/>
    <w:rsid w:val="00091B9E"/>
    <w:rsid w:val="00091F15"/>
    <w:rsid w:val="000931C0"/>
    <w:rsid w:val="00093830"/>
    <w:rsid w:val="00094F8F"/>
    <w:rsid w:val="000970C1"/>
    <w:rsid w:val="00097295"/>
    <w:rsid w:val="000A002D"/>
    <w:rsid w:val="000A310C"/>
    <w:rsid w:val="000A526E"/>
    <w:rsid w:val="000A5559"/>
    <w:rsid w:val="000B02C3"/>
    <w:rsid w:val="000B175B"/>
    <w:rsid w:val="000B1788"/>
    <w:rsid w:val="000B19AF"/>
    <w:rsid w:val="000B3378"/>
    <w:rsid w:val="000B3A0F"/>
    <w:rsid w:val="000B4EF7"/>
    <w:rsid w:val="000B7A3F"/>
    <w:rsid w:val="000C2AB9"/>
    <w:rsid w:val="000C2C03"/>
    <w:rsid w:val="000C2D2E"/>
    <w:rsid w:val="000C2E06"/>
    <w:rsid w:val="000C46B7"/>
    <w:rsid w:val="000C4DA0"/>
    <w:rsid w:val="000D0ABB"/>
    <w:rsid w:val="000D2C5B"/>
    <w:rsid w:val="000D3D17"/>
    <w:rsid w:val="000E0415"/>
    <w:rsid w:val="000E07B1"/>
    <w:rsid w:val="000E20F8"/>
    <w:rsid w:val="000E4CB7"/>
    <w:rsid w:val="000E5B59"/>
    <w:rsid w:val="000F08B0"/>
    <w:rsid w:val="000F1F57"/>
    <w:rsid w:val="000F39F9"/>
    <w:rsid w:val="000F41AB"/>
    <w:rsid w:val="000F5051"/>
    <w:rsid w:val="000F6A6B"/>
    <w:rsid w:val="000F6B2A"/>
    <w:rsid w:val="000F7E69"/>
    <w:rsid w:val="00101DE6"/>
    <w:rsid w:val="001037D9"/>
    <w:rsid w:val="0010768B"/>
    <w:rsid w:val="001103AA"/>
    <w:rsid w:val="001133DB"/>
    <w:rsid w:val="00117506"/>
    <w:rsid w:val="0011787A"/>
    <w:rsid w:val="00123712"/>
    <w:rsid w:val="00126CCF"/>
    <w:rsid w:val="001306DD"/>
    <w:rsid w:val="00130D48"/>
    <w:rsid w:val="00131B64"/>
    <w:rsid w:val="0013235B"/>
    <w:rsid w:val="001324C7"/>
    <w:rsid w:val="0013260F"/>
    <w:rsid w:val="001340B3"/>
    <w:rsid w:val="00137249"/>
    <w:rsid w:val="00142286"/>
    <w:rsid w:val="001446EE"/>
    <w:rsid w:val="001520CA"/>
    <w:rsid w:val="001536CF"/>
    <w:rsid w:val="00154DA5"/>
    <w:rsid w:val="00157820"/>
    <w:rsid w:val="00160CED"/>
    <w:rsid w:val="00161364"/>
    <w:rsid w:val="00161808"/>
    <w:rsid w:val="00162DB2"/>
    <w:rsid w:val="00164C92"/>
    <w:rsid w:val="00165F3A"/>
    <w:rsid w:val="00170DDB"/>
    <w:rsid w:val="001721A9"/>
    <w:rsid w:val="0017277A"/>
    <w:rsid w:val="001756D6"/>
    <w:rsid w:val="001758E2"/>
    <w:rsid w:val="00177997"/>
    <w:rsid w:val="00183968"/>
    <w:rsid w:val="001857E6"/>
    <w:rsid w:val="00192850"/>
    <w:rsid w:val="00194F36"/>
    <w:rsid w:val="001965C0"/>
    <w:rsid w:val="00196CDF"/>
    <w:rsid w:val="001A06DA"/>
    <w:rsid w:val="001A09DE"/>
    <w:rsid w:val="001A2783"/>
    <w:rsid w:val="001A2C08"/>
    <w:rsid w:val="001A32CB"/>
    <w:rsid w:val="001A4429"/>
    <w:rsid w:val="001A4D93"/>
    <w:rsid w:val="001A660B"/>
    <w:rsid w:val="001A6686"/>
    <w:rsid w:val="001A723C"/>
    <w:rsid w:val="001A7E43"/>
    <w:rsid w:val="001B4041"/>
    <w:rsid w:val="001B4B04"/>
    <w:rsid w:val="001B6705"/>
    <w:rsid w:val="001B7D22"/>
    <w:rsid w:val="001C015D"/>
    <w:rsid w:val="001C33B9"/>
    <w:rsid w:val="001C5B3F"/>
    <w:rsid w:val="001C5BED"/>
    <w:rsid w:val="001C657F"/>
    <w:rsid w:val="001C6663"/>
    <w:rsid w:val="001C7895"/>
    <w:rsid w:val="001C7D37"/>
    <w:rsid w:val="001D0C8C"/>
    <w:rsid w:val="001D1867"/>
    <w:rsid w:val="001D26DF"/>
    <w:rsid w:val="001D3743"/>
    <w:rsid w:val="001D3A03"/>
    <w:rsid w:val="001E10EC"/>
    <w:rsid w:val="001E3F27"/>
    <w:rsid w:val="001E48A9"/>
    <w:rsid w:val="001E6F5D"/>
    <w:rsid w:val="001E718D"/>
    <w:rsid w:val="001E7E34"/>
    <w:rsid w:val="001E7E35"/>
    <w:rsid w:val="001F1C6F"/>
    <w:rsid w:val="001F345E"/>
    <w:rsid w:val="002016A6"/>
    <w:rsid w:val="00202DA8"/>
    <w:rsid w:val="00204604"/>
    <w:rsid w:val="002069CC"/>
    <w:rsid w:val="00211E0B"/>
    <w:rsid w:val="00215E94"/>
    <w:rsid w:val="00217D74"/>
    <w:rsid w:val="00220677"/>
    <w:rsid w:val="00220FCB"/>
    <w:rsid w:val="00222689"/>
    <w:rsid w:val="0022501D"/>
    <w:rsid w:val="002256A1"/>
    <w:rsid w:val="00225938"/>
    <w:rsid w:val="00230445"/>
    <w:rsid w:val="002313C7"/>
    <w:rsid w:val="002314F8"/>
    <w:rsid w:val="0023210C"/>
    <w:rsid w:val="002361D0"/>
    <w:rsid w:val="00240564"/>
    <w:rsid w:val="00240EFC"/>
    <w:rsid w:val="002464D1"/>
    <w:rsid w:val="0025162E"/>
    <w:rsid w:val="0025487E"/>
    <w:rsid w:val="002633B3"/>
    <w:rsid w:val="002650C2"/>
    <w:rsid w:val="00266EB7"/>
    <w:rsid w:val="00267F5F"/>
    <w:rsid w:val="00271484"/>
    <w:rsid w:val="00273B14"/>
    <w:rsid w:val="00273C2F"/>
    <w:rsid w:val="0027441E"/>
    <w:rsid w:val="00274AAA"/>
    <w:rsid w:val="00280FB4"/>
    <w:rsid w:val="00281144"/>
    <w:rsid w:val="00282899"/>
    <w:rsid w:val="00282E9B"/>
    <w:rsid w:val="002863A9"/>
    <w:rsid w:val="00286B4D"/>
    <w:rsid w:val="00292D02"/>
    <w:rsid w:val="0029365C"/>
    <w:rsid w:val="00293B90"/>
    <w:rsid w:val="00297693"/>
    <w:rsid w:val="002A1243"/>
    <w:rsid w:val="002A3CBA"/>
    <w:rsid w:val="002A47F9"/>
    <w:rsid w:val="002A4B67"/>
    <w:rsid w:val="002A5871"/>
    <w:rsid w:val="002A696F"/>
    <w:rsid w:val="002A728F"/>
    <w:rsid w:val="002B15E6"/>
    <w:rsid w:val="002B1C13"/>
    <w:rsid w:val="002B3B76"/>
    <w:rsid w:val="002B3F1E"/>
    <w:rsid w:val="002B42D2"/>
    <w:rsid w:val="002C0DCF"/>
    <w:rsid w:val="002C2202"/>
    <w:rsid w:val="002C5BCD"/>
    <w:rsid w:val="002D18B7"/>
    <w:rsid w:val="002D3AF5"/>
    <w:rsid w:val="002D4CB1"/>
    <w:rsid w:val="002E1084"/>
    <w:rsid w:val="002E1AC5"/>
    <w:rsid w:val="002E34C1"/>
    <w:rsid w:val="002E52B1"/>
    <w:rsid w:val="002E5C99"/>
    <w:rsid w:val="002E69AE"/>
    <w:rsid w:val="002E73EF"/>
    <w:rsid w:val="002F0204"/>
    <w:rsid w:val="002F039C"/>
    <w:rsid w:val="002F0F62"/>
    <w:rsid w:val="002F1417"/>
    <w:rsid w:val="002F175C"/>
    <w:rsid w:val="002F1942"/>
    <w:rsid w:val="002F1E55"/>
    <w:rsid w:val="002F4557"/>
    <w:rsid w:val="002F5159"/>
    <w:rsid w:val="002F582A"/>
    <w:rsid w:val="00300053"/>
    <w:rsid w:val="0030138D"/>
    <w:rsid w:val="003021B4"/>
    <w:rsid w:val="003022F2"/>
    <w:rsid w:val="00303FBF"/>
    <w:rsid w:val="00306124"/>
    <w:rsid w:val="00307164"/>
    <w:rsid w:val="00310AFB"/>
    <w:rsid w:val="0031342A"/>
    <w:rsid w:val="003134AC"/>
    <w:rsid w:val="0031755F"/>
    <w:rsid w:val="00320E07"/>
    <w:rsid w:val="00321804"/>
    <w:rsid w:val="003229D8"/>
    <w:rsid w:val="00323632"/>
    <w:rsid w:val="00327502"/>
    <w:rsid w:val="00331F5B"/>
    <w:rsid w:val="003322DE"/>
    <w:rsid w:val="00333A65"/>
    <w:rsid w:val="00336C5C"/>
    <w:rsid w:val="00340A69"/>
    <w:rsid w:val="0034274F"/>
    <w:rsid w:val="00342DCF"/>
    <w:rsid w:val="00344DEB"/>
    <w:rsid w:val="003457EE"/>
    <w:rsid w:val="00352709"/>
    <w:rsid w:val="00353F80"/>
    <w:rsid w:val="00354AA8"/>
    <w:rsid w:val="0035576D"/>
    <w:rsid w:val="00357582"/>
    <w:rsid w:val="0036358C"/>
    <w:rsid w:val="00363A98"/>
    <w:rsid w:val="00363EE3"/>
    <w:rsid w:val="003655F8"/>
    <w:rsid w:val="0036645D"/>
    <w:rsid w:val="00367567"/>
    <w:rsid w:val="003704B8"/>
    <w:rsid w:val="003704E4"/>
    <w:rsid w:val="003705C9"/>
    <w:rsid w:val="00371095"/>
    <w:rsid w:val="00371178"/>
    <w:rsid w:val="0037261E"/>
    <w:rsid w:val="0037301C"/>
    <w:rsid w:val="003730DD"/>
    <w:rsid w:val="00375119"/>
    <w:rsid w:val="00376337"/>
    <w:rsid w:val="00377828"/>
    <w:rsid w:val="003803D7"/>
    <w:rsid w:val="003811DB"/>
    <w:rsid w:val="003823CB"/>
    <w:rsid w:val="0038336C"/>
    <w:rsid w:val="003858C4"/>
    <w:rsid w:val="00386624"/>
    <w:rsid w:val="003872BF"/>
    <w:rsid w:val="003903FC"/>
    <w:rsid w:val="00391468"/>
    <w:rsid w:val="003919F5"/>
    <w:rsid w:val="0039347E"/>
    <w:rsid w:val="003A08E4"/>
    <w:rsid w:val="003A0F52"/>
    <w:rsid w:val="003A1602"/>
    <w:rsid w:val="003A273F"/>
    <w:rsid w:val="003A2906"/>
    <w:rsid w:val="003A3A21"/>
    <w:rsid w:val="003A6810"/>
    <w:rsid w:val="003A70FC"/>
    <w:rsid w:val="003A7AF2"/>
    <w:rsid w:val="003A7B17"/>
    <w:rsid w:val="003C02AB"/>
    <w:rsid w:val="003C2CC4"/>
    <w:rsid w:val="003C3742"/>
    <w:rsid w:val="003C554D"/>
    <w:rsid w:val="003C730E"/>
    <w:rsid w:val="003C753D"/>
    <w:rsid w:val="003D1C5A"/>
    <w:rsid w:val="003D2795"/>
    <w:rsid w:val="003D3E59"/>
    <w:rsid w:val="003D4B23"/>
    <w:rsid w:val="003D52B0"/>
    <w:rsid w:val="003D60C8"/>
    <w:rsid w:val="003E2AC2"/>
    <w:rsid w:val="003E2BA4"/>
    <w:rsid w:val="003E6A36"/>
    <w:rsid w:val="003E6F7E"/>
    <w:rsid w:val="003E7EC3"/>
    <w:rsid w:val="00400776"/>
    <w:rsid w:val="00400C71"/>
    <w:rsid w:val="00405473"/>
    <w:rsid w:val="00410C89"/>
    <w:rsid w:val="0041192E"/>
    <w:rsid w:val="00414931"/>
    <w:rsid w:val="00414B35"/>
    <w:rsid w:val="00414F92"/>
    <w:rsid w:val="00415943"/>
    <w:rsid w:val="004225E8"/>
    <w:rsid w:val="004227C0"/>
    <w:rsid w:val="00422FCB"/>
    <w:rsid w:val="0042509B"/>
    <w:rsid w:val="004260FB"/>
    <w:rsid w:val="00426B9B"/>
    <w:rsid w:val="0043003F"/>
    <w:rsid w:val="004325CB"/>
    <w:rsid w:val="00436616"/>
    <w:rsid w:val="00436B33"/>
    <w:rsid w:val="00442A83"/>
    <w:rsid w:val="00442C9D"/>
    <w:rsid w:val="00445A57"/>
    <w:rsid w:val="004507A5"/>
    <w:rsid w:val="00450D0E"/>
    <w:rsid w:val="00453881"/>
    <w:rsid w:val="00453EC2"/>
    <w:rsid w:val="004546C3"/>
    <w:rsid w:val="0045495B"/>
    <w:rsid w:val="00455C43"/>
    <w:rsid w:val="00460701"/>
    <w:rsid w:val="004607BF"/>
    <w:rsid w:val="004620D3"/>
    <w:rsid w:val="00464446"/>
    <w:rsid w:val="00464988"/>
    <w:rsid w:val="00466B4C"/>
    <w:rsid w:val="00466FA4"/>
    <w:rsid w:val="0047173A"/>
    <w:rsid w:val="00473963"/>
    <w:rsid w:val="00476073"/>
    <w:rsid w:val="00481CB1"/>
    <w:rsid w:val="004842BF"/>
    <w:rsid w:val="00487488"/>
    <w:rsid w:val="00487FB8"/>
    <w:rsid w:val="0049219B"/>
    <w:rsid w:val="0049418F"/>
    <w:rsid w:val="00494EE8"/>
    <w:rsid w:val="00497CBC"/>
    <w:rsid w:val="00497EA0"/>
    <w:rsid w:val="004A046D"/>
    <w:rsid w:val="004A28A7"/>
    <w:rsid w:val="004A331D"/>
    <w:rsid w:val="004A40DD"/>
    <w:rsid w:val="004A4E95"/>
    <w:rsid w:val="004A5C58"/>
    <w:rsid w:val="004B207C"/>
    <w:rsid w:val="004B218C"/>
    <w:rsid w:val="004C1153"/>
    <w:rsid w:val="004C169C"/>
    <w:rsid w:val="004C4A8A"/>
    <w:rsid w:val="004C55DD"/>
    <w:rsid w:val="004C5AD4"/>
    <w:rsid w:val="004C6332"/>
    <w:rsid w:val="004C63B8"/>
    <w:rsid w:val="004D026F"/>
    <w:rsid w:val="004D5BD1"/>
    <w:rsid w:val="004E15CC"/>
    <w:rsid w:val="004E242D"/>
    <w:rsid w:val="004E45AE"/>
    <w:rsid w:val="004F1D45"/>
    <w:rsid w:val="004F4DAE"/>
    <w:rsid w:val="004F5078"/>
    <w:rsid w:val="004F5304"/>
    <w:rsid w:val="005006BA"/>
    <w:rsid w:val="00502CDF"/>
    <w:rsid w:val="0050328D"/>
    <w:rsid w:val="00503462"/>
    <w:rsid w:val="00503646"/>
    <w:rsid w:val="00505211"/>
    <w:rsid w:val="00506DA9"/>
    <w:rsid w:val="005108A7"/>
    <w:rsid w:val="005167F1"/>
    <w:rsid w:val="00520400"/>
    <w:rsid w:val="0052136D"/>
    <w:rsid w:val="005232E6"/>
    <w:rsid w:val="00523726"/>
    <w:rsid w:val="00525395"/>
    <w:rsid w:val="0052775E"/>
    <w:rsid w:val="005300CD"/>
    <w:rsid w:val="00531CE5"/>
    <w:rsid w:val="00536083"/>
    <w:rsid w:val="005367A0"/>
    <w:rsid w:val="00537352"/>
    <w:rsid w:val="005409DC"/>
    <w:rsid w:val="0054109A"/>
    <w:rsid w:val="005413A7"/>
    <w:rsid w:val="0054150C"/>
    <w:rsid w:val="00541E02"/>
    <w:rsid w:val="005420F2"/>
    <w:rsid w:val="005424E2"/>
    <w:rsid w:val="0054288A"/>
    <w:rsid w:val="00544670"/>
    <w:rsid w:val="00545428"/>
    <w:rsid w:val="00547528"/>
    <w:rsid w:val="005503BF"/>
    <w:rsid w:val="0055070F"/>
    <w:rsid w:val="00550D3B"/>
    <w:rsid w:val="00551F71"/>
    <w:rsid w:val="005521A6"/>
    <w:rsid w:val="00552EBC"/>
    <w:rsid w:val="00553FF1"/>
    <w:rsid w:val="00560662"/>
    <w:rsid w:val="00560BA5"/>
    <w:rsid w:val="00561B68"/>
    <w:rsid w:val="005628B6"/>
    <w:rsid w:val="00564714"/>
    <w:rsid w:val="0056624F"/>
    <w:rsid w:val="00570B80"/>
    <w:rsid w:val="005715D1"/>
    <w:rsid w:val="005722B3"/>
    <w:rsid w:val="00572DD6"/>
    <w:rsid w:val="005741CB"/>
    <w:rsid w:val="005829DF"/>
    <w:rsid w:val="00584252"/>
    <w:rsid w:val="005848B3"/>
    <w:rsid w:val="00585EB1"/>
    <w:rsid w:val="00586F79"/>
    <w:rsid w:val="005877D7"/>
    <w:rsid w:val="005901D1"/>
    <w:rsid w:val="00590F87"/>
    <w:rsid w:val="00592C4A"/>
    <w:rsid w:val="00593A4F"/>
    <w:rsid w:val="00593AB2"/>
    <w:rsid w:val="005A0415"/>
    <w:rsid w:val="005A2ACD"/>
    <w:rsid w:val="005A5518"/>
    <w:rsid w:val="005A6466"/>
    <w:rsid w:val="005B09AE"/>
    <w:rsid w:val="005B15AD"/>
    <w:rsid w:val="005B16A1"/>
    <w:rsid w:val="005B27A4"/>
    <w:rsid w:val="005B38A5"/>
    <w:rsid w:val="005B3DB3"/>
    <w:rsid w:val="005B4314"/>
    <w:rsid w:val="005B4F61"/>
    <w:rsid w:val="005B62CA"/>
    <w:rsid w:val="005C176E"/>
    <w:rsid w:val="005C1CC9"/>
    <w:rsid w:val="005C2131"/>
    <w:rsid w:val="005C223E"/>
    <w:rsid w:val="005C413D"/>
    <w:rsid w:val="005C4A9E"/>
    <w:rsid w:val="005D0679"/>
    <w:rsid w:val="005D361F"/>
    <w:rsid w:val="005D4042"/>
    <w:rsid w:val="005D5721"/>
    <w:rsid w:val="005D5AF5"/>
    <w:rsid w:val="005D7CB5"/>
    <w:rsid w:val="005E2F71"/>
    <w:rsid w:val="005E5805"/>
    <w:rsid w:val="005E587D"/>
    <w:rsid w:val="005E67C7"/>
    <w:rsid w:val="005E783D"/>
    <w:rsid w:val="005F0211"/>
    <w:rsid w:val="005F193C"/>
    <w:rsid w:val="005F1F94"/>
    <w:rsid w:val="005F2488"/>
    <w:rsid w:val="005F4141"/>
    <w:rsid w:val="005F5699"/>
    <w:rsid w:val="005F6F60"/>
    <w:rsid w:val="005F7717"/>
    <w:rsid w:val="005F7B75"/>
    <w:rsid w:val="005F7F93"/>
    <w:rsid w:val="006001EE"/>
    <w:rsid w:val="0060076A"/>
    <w:rsid w:val="00605042"/>
    <w:rsid w:val="00607BC1"/>
    <w:rsid w:val="006108E0"/>
    <w:rsid w:val="00611FC4"/>
    <w:rsid w:val="006148AF"/>
    <w:rsid w:val="00615078"/>
    <w:rsid w:val="006160EC"/>
    <w:rsid w:val="00616FF5"/>
    <w:rsid w:val="006176FB"/>
    <w:rsid w:val="00621238"/>
    <w:rsid w:val="0062198E"/>
    <w:rsid w:val="00623FD3"/>
    <w:rsid w:val="0062462D"/>
    <w:rsid w:val="006274AD"/>
    <w:rsid w:val="00627FB0"/>
    <w:rsid w:val="00631C31"/>
    <w:rsid w:val="006325DF"/>
    <w:rsid w:val="0063379B"/>
    <w:rsid w:val="00637649"/>
    <w:rsid w:val="0064067C"/>
    <w:rsid w:val="0064076C"/>
    <w:rsid w:val="00640B26"/>
    <w:rsid w:val="00640C76"/>
    <w:rsid w:val="006422E8"/>
    <w:rsid w:val="00645379"/>
    <w:rsid w:val="006521E4"/>
    <w:rsid w:val="00652D0A"/>
    <w:rsid w:val="00653475"/>
    <w:rsid w:val="00653DBF"/>
    <w:rsid w:val="00654447"/>
    <w:rsid w:val="006544B8"/>
    <w:rsid w:val="00654DCB"/>
    <w:rsid w:val="00655191"/>
    <w:rsid w:val="00656501"/>
    <w:rsid w:val="0066042B"/>
    <w:rsid w:val="00662BB6"/>
    <w:rsid w:val="006637A4"/>
    <w:rsid w:val="00663AC6"/>
    <w:rsid w:val="006640C4"/>
    <w:rsid w:val="0066424C"/>
    <w:rsid w:val="00667BA2"/>
    <w:rsid w:val="00671948"/>
    <w:rsid w:val="00672110"/>
    <w:rsid w:val="006743E9"/>
    <w:rsid w:val="00674FBC"/>
    <w:rsid w:val="006807C1"/>
    <w:rsid w:val="00681702"/>
    <w:rsid w:val="00682284"/>
    <w:rsid w:val="006838C8"/>
    <w:rsid w:val="00684C21"/>
    <w:rsid w:val="00685FA6"/>
    <w:rsid w:val="0068743C"/>
    <w:rsid w:val="0068798C"/>
    <w:rsid w:val="00692129"/>
    <w:rsid w:val="00692BBE"/>
    <w:rsid w:val="00694AE6"/>
    <w:rsid w:val="00694CDF"/>
    <w:rsid w:val="006954C6"/>
    <w:rsid w:val="006971FD"/>
    <w:rsid w:val="0069763E"/>
    <w:rsid w:val="00697B54"/>
    <w:rsid w:val="00697F3E"/>
    <w:rsid w:val="006A3F85"/>
    <w:rsid w:val="006A6C57"/>
    <w:rsid w:val="006B3EC8"/>
    <w:rsid w:val="006B58E5"/>
    <w:rsid w:val="006C0435"/>
    <w:rsid w:val="006C3AD1"/>
    <w:rsid w:val="006D2C8D"/>
    <w:rsid w:val="006D37AF"/>
    <w:rsid w:val="006D51D0"/>
    <w:rsid w:val="006E4AB9"/>
    <w:rsid w:val="006E564B"/>
    <w:rsid w:val="006E589A"/>
    <w:rsid w:val="006E6F6D"/>
    <w:rsid w:val="006E7191"/>
    <w:rsid w:val="006E7196"/>
    <w:rsid w:val="006F5FAA"/>
    <w:rsid w:val="006F6515"/>
    <w:rsid w:val="00700AA6"/>
    <w:rsid w:val="00703577"/>
    <w:rsid w:val="00703D68"/>
    <w:rsid w:val="00704059"/>
    <w:rsid w:val="007046CE"/>
    <w:rsid w:val="00705625"/>
    <w:rsid w:val="00706504"/>
    <w:rsid w:val="0071171F"/>
    <w:rsid w:val="00711F00"/>
    <w:rsid w:val="00713C74"/>
    <w:rsid w:val="00715DDD"/>
    <w:rsid w:val="00716A69"/>
    <w:rsid w:val="00716EC7"/>
    <w:rsid w:val="0072328C"/>
    <w:rsid w:val="0072350A"/>
    <w:rsid w:val="007253AA"/>
    <w:rsid w:val="007258BE"/>
    <w:rsid w:val="00725F82"/>
    <w:rsid w:val="0072632A"/>
    <w:rsid w:val="00726772"/>
    <w:rsid w:val="00726A48"/>
    <w:rsid w:val="00727F86"/>
    <w:rsid w:val="007327D5"/>
    <w:rsid w:val="00734ABE"/>
    <w:rsid w:val="00735CA1"/>
    <w:rsid w:val="00735F4E"/>
    <w:rsid w:val="00736EAD"/>
    <w:rsid w:val="00746D61"/>
    <w:rsid w:val="00747552"/>
    <w:rsid w:val="00747D8D"/>
    <w:rsid w:val="007509EB"/>
    <w:rsid w:val="00750FC5"/>
    <w:rsid w:val="0075395D"/>
    <w:rsid w:val="007543DF"/>
    <w:rsid w:val="00757475"/>
    <w:rsid w:val="00760B80"/>
    <w:rsid w:val="00762878"/>
    <w:rsid w:val="00762922"/>
    <w:rsid w:val="007629C8"/>
    <w:rsid w:val="00762E39"/>
    <w:rsid w:val="007635DF"/>
    <w:rsid w:val="00764972"/>
    <w:rsid w:val="007652DF"/>
    <w:rsid w:val="00765CB9"/>
    <w:rsid w:val="007667B7"/>
    <w:rsid w:val="007740F1"/>
    <w:rsid w:val="00777322"/>
    <w:rsid w:val="007803B1"/>
    <w:rsid w:val="007803EC"/>
    <w:rsid w:val="00781C83"/>
    <w:rsid w:val="0078300D"/>
    <w:rsid w:val="00785DB2"/>
    <w:rsid w:val="0078676D"/>
    <w:rsid w:val="0078761F"/>
    <w:rsid w:val="00787E5D"/>
    <w:rsid w:val="0079034E"/>
    <w:rsid w:val="0079194C"/>
    <w:rsid w:val="00792561"/>
    <w:rsid w:val="0079681E"/>
    <w:rsid w:val="007A212F"/>
    <w:rsid w:val="007A2551"/>
    <w:rsid w:val="007A2A0C"/>
    <w:rsid w:val="007A36C9"/>
    <w:rsid w:val="007A46D0"/>
    <w:rsid w:val="007B3302"/>
    <w:rsid w:val="007B4630"/>
    <w:rsid w:val="007B46CF"/>
    <w:rsid w:val="007B6BA5"/>
    <w:rsid w:val="007B7A42"/>
    <w:rsid w:val="007B7F05"/>
    <w:rsid w:val="007C1241"/>
    <w:rsid w:val="007C3390"/>
    <w:rsid w:val="007C3E4F"/>
    <w:rsid w:val="007C3FFB"/>
    <w:rsid w:val="007C4F4B"/>
    <w:rsid w:val="007C5D42"/>
    <w:rsid w:val="007C784F"/>
    <w:rsid w:val="007D00CF"/>
    <w:rsid w:val="007D564F"/>
    <w:rsid w:val="007D5FE5"/>
    <w:rsid w:val="007D69CF"/>
    <w:rsid w:val="007E0B2D"/>
    <w:rsid w:val="007E4594"/>
    <w:rsid w:val="007E4BBE"/>
    <w:rsid w:val="007E533F"/>
    <w:rsid w:val="007E5EA4"/>
    <w:rsid w:val="007F12FC"/>
    <w:rsid w:val="007F1486"/>
    <w:rsid w:val="007F2D0D"/>
    <w:rsid w:val="007F3A2C"/>
    <w:rsid w:val="007F4853"/>
    <w:rsid w:val="007F5F2C"/>
    <w:rsid w:val="007F5F2D"/>
    <w:rsid w:val="007F6611"/>
    <w:rsid w:val="00801E93"/>
    <w:rsid w:val="0080207A"/>
    <w:rsid w:val="00803ED3"/>
    <w:rsid w:val="0081046C"/>
    <w:rsid w:val="008105B8"/>
    <w:rsid w:val="00811D06"/>
    <w:rsid w:val="008121A4"/>
    <w:rsid w:val="008123D2"/>
    <w:rsid w:val="00812971"/>
    <w:rsid w:val="00813327"/>
    <w:rsid w:val="00816972"/>
    <w:rsid w:val="00816E23"/>
    <w:rsid w:val="00817522"/>
    <w:rsid w:val="008216A5"/>
    <w:rsid w:val="00821856"/>
    <w:rsid w:val="00821A8D"/>
    <w:rsid w:val="00823DD5"/>
    <w:rsid w:val="008242D7"/>
    <w:rsid w:val="00824C73"/>
    <w:rsid w:val="00824FE2"/>
    <w:rsid w:val="00825659"/>
    <w:rsid w:val="008257B1"/>
    <w:rsid w:val="00830FF4"/>
    <w:rsid w:val="0083185A"/>
    <w:rsid w:val="00834672"/>
    <w:rsid w:val="008364D4"/>
    <w:rsid w:val="008406D2"/>
    <w:rsid w:val="0084126F"/>
    <w:rsid w:val="00841DFB"/>
    <w:rsid w:val="00842607"/>
    <w:rsid w:val="00843767"/>
    <w:rsid w:val="0084479E"/>
    <w:rsid w:val="00846666"/>
    <w:rsid w:val="00851F2A"/>
    <w:rsid w:val="0085208E"/>
    <w:rsid w:val="008528C5"/>
    <w:rsid w:val="00855C46"/>
    <w:rsid w:val="00856A25"/>
    <w:rsid w:val="00861247"/>
    <w:rsid w:val="00864F32"/>
    <w:rsid w:val="008655A1"/>
    <w:rsid w:val="00866D01"/>
    <w:rsid w:val="008679D9"/>
    <w:rsid w:val="00871051"/>
    <w:rsid w:val="00872F86"/>
    <w:rsid w:val="008730D5"/>
    <w:rsid w:val="008735ED"/>
    <w:rsid w:val="00875FE5"/>
    <w:rsid w:val="008803D1"/>
    <w:rsid w:val="00880AF2"/>
    <w:rsid w:val="00881250"/>
    <w:rsid w:val="00882B33"/>
    <w:rsid w:val="00883BBF"/>
    <w:rsid w:val="00884FCB"/>
    <w:rsid w:val="008854F0"/>
    <w:rsid w:val="0088719B"/>
    <w:rsid w:val="00891C2B"/>
    <w:rsid w:val="00894CC9"/>
    <w:rsid w:val="008979B1"/>
    <w:rsid w:val="00897F0A"/>
    <w:rsid w:val="008A039F"/>
    <w:rsid w:val="008A09B5"/>
    <w:rsid w:val="008A1DB2"/>
    <w:rsid w:val="008A6B25"/>
    <w:rsid w:val="008A6C4F"/>
    <w:rsid w:val="008B012F"/>
    <w:rsid w:val="008B2335"/>
    <w:rsid w:val="008B4939"/>
    <w:rsid w:val="008C0D17"/>
    <w:rsid w:val="008C22CC"/>
    <w:rsid w:val="008C3223"/>
    <w:rsid w:val="008C4B5A"/>
    <w:rsid w:val="008C4EDC"/>
    <w:rsid w:val="008C6E58"/>
    <w:rsid w:val="008C6E77"/>
    <w:rsid w:val="008C7168"/>
    <w:rsid w:val="008C77CB"/>
    <w:rsid w:val="008D1459"/>
    <w:rsid w:val="008D2E07"/>
    <w:rsid w:val="008E0259"/>
    <w:rsid w:val="008E0678"/>
    <w:rsid w:val="008E31FF"/>
    <w:rsid w:val="008E4C4F"/>
    <w:rsid w:val="008E5FF6"/>
    <w:rsid w:val="008E6067"/>
    <w:rsid w:val="008E783A"/>
    <w:rsid w:val="008F0336"/>
    <w:rsid w:val="008F1FA8"/>
    <w:rsid w:val="008F3931"/>
    <w:rsid w:val="00900036"/>
    <w:rsid w:val="00903876"/>
    <w:rsid w:val="0090637F"/>
    <w:rsid w:val="00910C63"/>
    <w:rsid w:val="00910F40"/>
    <w:rsid w:val="00912C08"/>
    <w:rsid w:val="00913616"/>
    <w:rsid w:val="0091377B"/>
    <w:rsid w:val="0091767A"/>
    <w:rsid w:val="009223CA"/>
    <w:rsid w:val="009225DB"/>
    <w:rsid w:val="00923E69"/>
    <w:rsid w:val="009340E9"/>
    <w:rsid w:val="00935715"/>
    <w:rsid w:val="009358D2"/>
    <w:rsid w:val="00937CBF"/>
    <w:rsid w:val="00940F93"/>
    <w:rsid w:val="009412EE"/>
    <w:rsid w:val="00942C70"/>
    <w:rsid w:val="00946696"/>
    <w:rsid w:val="00951EAC"/>
    <w:rsid w:val="0095347F"/>
    <w:rsid w:val="009568BE"/>
    <w:rsid w:val="0096073F"/>
    <w:rsid w:val="00960911"/>
    <w:rsid w:val="0096209C"/>
    <w:rsid w:val="009633D7"/>
    <w:rsid w:val="00967F59"/>
    <w:rsid w:val="009701C4"/>
    <w:rsid w:val="00971D35"/>
    <w:rsid w:val="00972C38"/>
    <w:rsid w:val="009735A8"/>
    <w:rsid w:val="00974EF5"/>
    <w:rsid w:val="009760F3"/>
    <w:rsid w:val="0097698D"/>
    <w:rsid w:val="009800FA"/>
    <w:rsid w:val="00980EA8"/>
    <w:rsid w:val="009817F4"/>
    <w:rsid w:val="00985A55"/>
    <w:rsid w:val="00986F15"/>
    <w:rsid w:val="0098764A"/>
    <w:rsid w:val="009905D5"/>
    <w:rsid w:val="0099079C"/>
    <w:rsid w:val="009909F5"/>
    <w:rsid w:val="00995069"/>
    <w:rsid w:val="0099515D"/>
    <w:rsid w:val="00995A9B"/>
    <w:rsid w:val="009A035E"/>
    <w:rsid w:val="009A0E8D"/>
    <w:rsid w:val="009A19F8"/>
    <w:rsid w:val="009A5872"/>
    <w:rsid w:val="009B0FC5"/>
    <w:rsid w:val="009B26E7"/>
    <w:rsid w:val="009C162C"/>
    <w:rsid w:val="009C6DFE"/>
    <w:rsid w:val="009D070B"/>
    <w:rsid w:val="009D5766"/>
    <w:rsid w:val="009D5902"/>
    <w:rsid w:val="009E0727"/>
    <w:rsid w:val="009E2F54"/>
    <w:rsid w:val="009E5577"/>
    <w:rsid w:val="009E6F10"/>
    <w:rsid w:val="009E6F59"/>
    <w:rsid w:val="009E7068"/>
    <w:rsid w:val="009E70AC"/>
    <w:rsid w:val="009E72DE"/>
    <w:rsid w:val="009E7D26"/>
    <w:rsid w:val="009F11AC"/>
    <w:rsid w:val="009F2535"/>
    <w:rsid w:val="009F2AC1"/>
    <w:rsid w:val="009F7636"/>
    <w:rsid w:val="00A00A3F"/>
    <w:rsid w:val="00A00AC7"/>
    <w:rsid w:val="00A01489"/>
    <w:rsid w:val="00A018AB"/>
    <w:rsid w:val="00A02740"/>
    <w:rsid w:val="00A03ED0"/>
    <w:rsid w:val="00A05EE6"/>
    <w:rsid w:val="00A10826"/>
    <w:rsid w:val="00A143BF"/>
    <w:rsid w:val="00A20A7D"/>
    <w:rsid w:val="00A22E7E"/>
    <w:rsid w:val="00A230A0"/>
    <w:rsid w:val="00A254CC"/>
    <w:rsid w:val="00A268D8"/>
    <w:rsid w:val="00A2748E"/>
    <w:rsid w:val="00A31B81"/>
    <w:rsid w:val="00A338F1"/>
    <w:rsid w:val="00A343D0"/>
    <w:rsid w:val="00A34650"/>
    <w:rsid w:val="00A34703"/>
    <w:rsid w:val="00A34CAE"/>
    <w:rsid w:val="00A377A8"/>
    <w:rsid w:val="00A41A5C"/>
    <w:rsid w:val="00A44487"/>
    <w:rsid w:val="00A44615"/>
    <w:rsid w:val="00A4728C"/>
    <w:rsid w:val="00A47429"/>
    <w:rsid w:val="00A47874"/>
    <w:rsid w:val="00A503DF"/>
    <w:rsid w:val="00A52825"/>
    <w:rsid w:val="00A60B20"/>
    <w:rsid w:val="00A65D78"/>
    <w:rsid w:val="00A704D2"/>
    <w:rsid w:val="00A70EA1"/>
    <w:rsid w:val="00A71041"/>
    <w:rsid w:val="00A72C70"/>
    <w:rsid w:val="00A72F22"/>
    <w:rsid w:val="00A7360F"/>
    <w:rsid w:val="00A73F1F"/>
    <w:rsid w:val="00A748A6"/>
    <w:rsid w:val="00A75355"/>
    <w:rsid w:val="00A76648"/>
    <w:rsid w:val="00A769F4"/>
    <w:rsid w:val="00A776B4"/>
    <w:rsid w:val="00A777CF"/>
    <w:rsid w:val="00A778AB"/>
    <w:rsid w:val="00A80212"/>
    <w:rsid w:val="00A805EC"/>
    <w:rsid w:val="00A81D4E"/>
    <w:rsid w:val="00A82B56"/>
    <w:rsid w:val="00A850F6"/>
    <w:rsid w:val="00A85EA0"/>
    <w:rsid w:val="00A9002A"/>
    <w:rsid w:val="00A94361"/>
    <w:rsid w:val="00A94F87"/>
    <w:rsid w:val="00A96BCF"/>
    <w:rsid w:val="00A96F93"/>
    <w:rsid w:val="00AA293C"/>
    <w:rsid w:val="00AA2D0D"/>
    <w:rsid w:val="00AA6FA4"/>
    <w:rsid w:val="00AB0648"/>
    <w:rsid w:val="00AB091C"/>
    <w:rsid w:val="00AB19FA"/>
    <w:rsid w:val="00AB2855"/>
    <w:rsid w:val="00AB3AEC"/>
    <w:rsid w:val="00AB3D9A"/>
    <w:rsid w:val="00AB45A3"/>
    <w:rsid w:val="00AB4CA5"/>
    <w:rsid w:val="00AB680C"/>
    <w:rsid w:val="00AC505B"/>
    <w:rsid w:val="00AC6A0A"/>
    <w:rsid w:val="00AC71E7"/>
    <w:rsid w:val="00AC7446"/>
    <w:rsid w:val="00AD0B70"/>
    <w:rsid w:val="00AD0F5F"/>
    <w:rsid w:val="00AD46B8"/>
    <w:rsid w:val="00AE013B"/>
    <w:rsid w:val="00AE0E30"/>
    <w:rsid w:val="00AE1CFF"/>
    <w:rsid w:val="00AE4730"/>
    <w:rsid w:val="00AE4CDD"/>
    <w:rsid w:val="00AE50CE"/>
    <w:rsid w:val="00AE7111"/>
    <w:rsid w:val="00AF0362"/>
    <w:rsid w:val="00AF0BB7"/>
    <w:rsid w:val="00AF1A44"/>
    <w:rsid w:val="00AF3148"/>
    <w:rsid w:val="00AF34D9"/>
    <w:rsid w:val="00AF5CCF"/>
    <w:rsid w:val="00AF61E9"/>
    <w:rsid w:val="00AF7286"/>
    <w:rsid w:val="00AF77DE"/>
    <w:rsid w:val="00B03884"/>
    <w:rsid w:val="00B03F8A"/>
    <w:rsid w:val="00B04543"/>
    <w:rsid w:val="00B06912"/>
    <w:rsid w:val="00B073E6"/>
    <w:rsid w:val="00B10640"/>
    <w:rsid w:val="00B106EB"/>
    <w:rsid w:val="00B13E03"/>
    <w:rsid w:val="00B13E9B"/>
    <w:rsid w:val="00B15FC4"/>
    <w:rsid w:val="00B174D5"/>
    <w:rsid w:val="00B2128C"/>
    <w:rsid w:val="00B2280C"/>
    <w:rsid w:val="00B23D94"/>
    <w:rsid w:val="00B24BAE"/>
    <w:rsid w:val="00B25950"/>
    <w:rsid w:val="00B25D3D"/>
    <w:rsid w:val="00B2683D"/>
    <w:rsid w:val="00B30179"/>
    <w:rsid w:val="00B316AD"/>
    <w:rsid w:val="00B317BA"/>
    <w:rsid w:val="00B339A7"/>
    <w:rsid w:val="00B33ABD"/>
    <w:rsid w:val="00B34775"/>
    <w:rsid w:val="00B37284"/>
    <w:rsid w:val="00B400FF"/>
    <w:rsid w:val="00B40343"/>
    <w:rsid w:val="00B41A37"/>
    <w:rsid w:val="00B41ACB"/>
    <w:rsid w:val="00B42820"/>
    <w:rsid w:val="00B43FF4"/>
    <w:rsid w:val="00B44947"/>
    <w:rsid w:val="00B45ABD"/>
    <w:rsid w:val="00B46514"/>
    <w:rsid w:val="00B51267"/>
    <w:rsid w:val="00B51AEE"/>
    <w:rsid w:val="00B52684"/>
    <w:rsid w:val="00B55522"/>
    <w:rsid w:val="00B56E4A"/>
    <w:rsid w:val="00B56E9C"/>
    <w:rsid w:val="00B60748"/>
    <w:rsid w:val="00B64847"/>
    <w:rsid w:val="00B64B1F"/>
    <w:rsid w:val="00B6524C"/>
    <w:rsid w:val="00B6553F"/>
    <w:rsid w:val="00B66E5E"/>
    <w:rsid w:val="00B76571"/>
    <w:rsid w:val="00B77D05"/>
    <w:rsid w:val="00B81206"/>
    <w:rsid w:val="00B81E12"/>
    <w:rsid w:val="00B820AC"/>
    <w:rsid w:val="00B836B0"/>
    <w:rsid w:val="00B85756"/>
    <w:rsid w:val="00B85AF8"/>
    <w:rsid w:val="00B86C63"/>
    <w:rsid w:val="00B9067B"/>
    <w:rsid w:val="00B90DAE"/>
    <w:rsid w:val="00B91361"/>
    <w:rsid w:val="00B915E0"/>
    <w:rsid w:val="00B937A1"/>
    <w:rsid w:val="00B94491"/>
    <w:rsid w:val="00B95A99"/>
    <w:rsid w:val="00B97AFE"/>
    <w:rsid w:val="00BA0869"/>
    <w:rsid w:val="00BA434C"/>
    <w:rsid w:val="00BA6229"/>
    <w:rsid w:val="00BA6EE6"/>
    <w:rsid w:val="00BA7AC9"/>
    <w:rsid w:val="00BB0A72"/>
    <w:rsid w:val="00BB22D5"/>
    <w:rsid w:val="00BB2310"/>
    <w:rsid w:val="00BB28C1"/>
    <w:rsid w:val="00BB410F"/>
    <w:rsid w:val="00BB726F"/>
    <w:rsid w:val="00BB751B"/>
    <w:rsid w:val="00BC01E3"/>
    <w:rsid w:val="00BC2C23"/>
    <w:rsid w:val="00BC4400"/>
    <w:rsid w:val="00BC48F3"/>
    <w:rsid w:val="00BC5363"/>
    <w:rsid w:val="00BC66C2"/>
    <w:rsid w:val="00BC6950"/>
    <w:rsid w:val="00BC6E5E"/>
    <w:rsid w:val="00BC74E9"/>
    <w:rsid w:val="00BD2072"/>
    <w:rsid w:val="00BF130D"/>
    <w:rsid w:val="00BF32CE"/>
    <w:rsid w:val="00BF4613"/>
    <w:rsid w:val="00BF61C5"/>
    <w:rsid w:val="00BF68A8"/>
    <w:rsid w:val="00BF72FD"/>
    <w:rsid w:val="00C02E7A"/>
    <w:rsid w:val="00C03AC2"/>
    <w:rsid w:val="00C03F0E"/>
    <w:rsid w:val="00C04093"/>
    <w:rsid w:val="00C11207"/>
    <w:rsid w:val="00C11870"/>
    <w:rsid w:val="00C11A03"/>
    <w:rsid w:val="00C11ACD"/>
    <w:rsid w:val="00C144EC"/>
    <w:rsid w:val="00C20A72"/>
    <w:rsid w:val="00C21656"/>
    <w:rsid w:val="00C2284D"/>
    <w:rsid w:val="00C238DA"/>
    <w:rsid w:val="00C321A5"/>
    <w:rsid w:val="00C34926"/>
    <w:rsid w:val="00C37B50"/>
    <w:rsid w:val="00C42190"/>
    <w:rsid w:val="00C444DE"/>
    <w:rsid w:val="00C44D49"/>
    <w:rsid w:val="00C463DD"/>
    <w:rsid w:val="00C46474"/>
    <w:rsid w:val="00C4724C"/>
    <w:rsid w:val="00C50356"/>
    <w:rsid w:val="00C50F25"/>
    <w:rsid w:val="00C5273D"/>
    <w:rsid w:val="00C52885"/>
    <w:rsid w:val="00C55779"/>
    <w:rsid w:val="00C56114"/>
    <w:rsid w:val="00C606D3"/>
    <w:rsid w:val="00C61C48"/>
    <w:rsid w:val="00C629A0"/>
    <w:rsid w:val="00C67230"/>
    <w:rsid w:val="00C71ED2"/>
    <w:rsid w:val="00C745C3"/>
    <w:rsid w:val="00C76890"/>
    <w:rsid w:val="00C803EC"/>
    <w:rsid w:val="00C8504E"/>
    <w:rsid w:val="00C90B04"/>
    <w:rsid w:val="00C9242A"/>
    <w:rsid w:val="00C937DF"/>
    <w:rsid w:val="00C93C11"/>
    <w:rsid w:val="00C95B23"/>
    <w:rsid w:val="00C95B55"/>
    <w:rsid w:val="00C95F25"/>
    <w:rsid w:val="00CA1E3D"/>
    <w:rsid w:val="00CA3FA1"/>
    <w:rsid w:val="00CA709C"/>
    <w:rsid w:val="00CB4F1B"/>
    <w:rsid w:val="00CB4F66"/>
    <w:rsid w:val="00CC3E01"/>
    <w:rsid w:val="00CC4DA6"/>
    <w:rsid w:val="00CC7E54"/>
    <w:rsid w:val="00CD3322"/>
    <w:rsid w:val="00CE21C7"/>
    <w:rsid w:val="00CE4940"/>
    <w:rsid w:val="00CE4A8F"/>
    <w:rsid w:val="00CF0044"/>
    <w:rsid w:val="00CF1984"/>
    <w:rsid w:val="00CF2621"/>
    <w:rsid w:val="00CF298B"/>
    <w:rsid w:val="00CF44D5"/>
    <w:rsid w:val="00CF470D"/>
    <w:rsid w:val="00CF4EEE"/>
    <w:rsid w:val="00CF6177"/>
    <w:rsid w:val="00D010CB"/>
    <w:rsid w:val="00D02C2A"/>
    <w:rsid w:val="00D06AB9"/>
    <w:rsid w:val="00D06B7E"/>
    <w:rsid w:val="00D1315B"/>
    <w:rsid w:val="00D13E10"/>
    <w:rsid w:val="00D141CF"/>
    <w:rsid w:val="00D149AB"/>
    <w:rsid w:val="00D1640E"/>
    <w:rsid w:val="00D2031B"/>
    <w:rsid w:val="00D23FB3"/>
    <w:rsid w:val="00D257E7"/>
    <w:rsid w:val="00D25FE2"/>
    <w:rsid w:val="00D2637A"/>
    <w:rsid w:val="00D27733"/>
    <w:rsid w:val="00D30034"/>
    <w:rsid w:val="00D32F62"/>
    <w:rsid w:val="00D35FCA"/>
    <w:rsid w:val="00D41512"/>
    <w:rsid w:val="00D43252"/>
    <w:rsid w:val="00D43E06"/>
    <w:rsid w:val="00D45912"/>
    <w:rsid w:val="00D46AE8"/>
    <w:rsid w:val="00D46C27"/>
    <w:rsid w:val="00D47EEA"/>
    <w:rsid w:val="00D501D0"/>
    <w:rsid w:val="00D509AE"/>
    <w:rsid w:val="00D51D6E"/>
    <w:rsid w:val="00D53BAD"/>
    <w:rsid w:val="00D543C9"/>
    <w:rsid w:val="00D54512"/>
    <w:rsid w:val="00D56B92"/>
    <w:rsid w:val="00D626A5"/>
    <w:rsid w:val="00D65D70"/>
    <w:rsid w:val="00D65F3B"/>
    <w:rsid w:val="00D729E4"/>
    <w:rsid w:val="00D73CB8"/>
    <w:rsid w:val="00D74EA0"/>
    <w:rsid w:val="00D75CE3"/>
    <w:rsid w:val="00D80EDF"/>
    <w:rsid w:val="00D82A85"/>
    <w:rsid w:val="00D84525"/>
    <w:rsid w:val="00D864CC"/>
    <w:rsid w:val="00D86DA1"/>
    <w:rsid w:val="00D90F93"/>
    <w:rsid w:val="00D913B0"/>
    <w:rsid w:val="00D95303"/>
    <w:rsid w:val="00D9579D"/>
    <w:rsid w:val="00D96E57"/>
    <w:rsid w:val="00D97597"/>
    <w:rsid w:val="00D975A7"/>
    <w:rsid w:val="00D978C6"/>
    <w:rsid w:val="00DA0CEE"/>
    <w:rsid w:val="00DA3111"/>
    <w:rsid w:val="00DA3C1C"/>
    <w:rsid w:val="00DA4BBB"/>
    <w:rsid w:val="00DA6A68"/>
    <w:rsid w:val="00DB0C79"/>
    <w:rsid w:val="00DB2CE7"/>
    <w:rsid w:val="00DB5B2F"/>
    <w:rsid w:val="00DB7666"/>
    <w:rsid w:val="00DB7C0A"/>
    <w:rsid w:val="00DC0714"/>
    <w:rsid w:val="00DC65D4"/>
    <w:rsid w:val="00DD07E2"/>
    <w:rsid w:val="00DD552B"/>
    <w:rsid w:val="00DD593B"/>
    <w:rsid w:val="00DE0B87"/>
    <w:rsid w:val="00DE1D61"/>
    <w:rsid w:val="00DE1DF6"/>
    <w:rsid w:val="00DE6226"/>
    <w:rsid w:val="00DE79A8"/>
    <w:rsid w:val="00DF3096"/>
    <w:rsid w:val="00DF3F2C"/>
    <w:rsid w:val="00DF528D"/>
    <w:rsid w:val="00DF5315"/>
    <w:rsid w:val="00DF6620"/>
    <w:rsid w:val="00E109CE"/>
    <w:rsid w:val="00E142AF"/>
    <w:rsid w:val="00E15CC1"/>
    <w:rsid w:val="00E16F80"/>
    <w:rsid w:val="00E17C73"/>
    <w:rsid w:val="00E209FD"/>
    <w:rsid w:val="00E21400"/>
    <w:rsid w:val="00E21D01"/>
    <w:rsid w:val="00E24AA2"/>
    <w:rsid w:val="00E24F5B"/>
    <w:rsid w:val="00E24FED"/>
    <w:rsid w:val="00E25E54"/>
    <w:rsid w:val="00E27346"/>
    <w:rsid w:val="00E31E79"/>
    <w:rsid w:val="00E35274"/>
    <w:rsid w:val="00E37050"/>
    <w:rsid w:val="00E376C4"/>
    <w:rsid w:val="00E409EC"/>
    <w:rsid w:val="00E40A07"/>
    <w:rsid w:val="00E41BFE"/>
    <w:rsid w:val="00E43107"/>
    <w:rsid w:val="00E4363C"/>
    <w:rsid w:val="00E4363D"/>
    <w:rsid w:val="00E44313"/>
    <w:rsid w:val="00E45407"/>
    <w:rsid w:val="00E4767C"/>
    <w:rsid w:val="00E53531"/>
    <w:rsid w:val="00E53CF0"/>
    <w:rsid w:val="00E53D02"/>
    <w:rsid w:val="00E5433B"/>
    <w:rsid w:val="00E6074E"/>
    <w:rsid w:val="00E61088"/>
    <w:rsid w:val="00E613AC"/>
    <w:rsid w:val="00E6205A"/>
    <w:rsid w:val="00E62164"/>
    <w:rsid w:val="00E632CC"/>
    <w:rsid w:val="00E64123"/>
    <w:rsid w:val="00E65396"/>
    <w:rsid w:val="00E65B75"/>
    <w:rsid w:val="00E67305"/>
    <w:rsid w:val="00E71BC8"/>
    <w:rsid w:val="00E7260F"/>
    <w:rsid w:val="00E72D3C"/>
    <w:rsid w:val="00E74206"/>
    <w:rsid w:val="00E77185"/>
    <w:rsid w:val="00E779FC"/>
    <w:rsid w:val="00E848D3"/>
    <w:rsid w:val="00E85728"/>
    <w:rsid w:val="00E86349"/>
    <w:rsid w:val="00E87680"/>
    <w:rsid w:val="00E90F06"/>
    <w:rsid w:val="00E91F7D"/>
    <w:rsid w:val="00E921CF"/>
    <w:rsid w:val="00E946C5"/>
    <w:rsid w:val="00E96630"/>
    <w:rsid w:val="00EA0CDF"/>
    <w:rsid w:val="00EA1DD4"/>
    <w:rsid w:val="00EA31F7"/>
    <w:rsid w:val="00EA5947"/>
    <w:rsid w:val="00EB11F3"/>
    <w:rsid w:val="00EB2581"/>
    <w:rsid w:val="00EC14EF"/>
    <w:rsid w:val="00EC4FD2"/>
    <w:rsid w:val="00EC7CD8"/>
    <w:rsid w:val="00ED00FD"/>
    <w:rsid w:val="00ED0420"/>
    <w:rsid w:val="00ED2989"/>
    <w:rsid w:val="00ED7A2A"/>
    <w:rsid w:val="00ED7E6E"/>
    <w:rsid w:val="00EE042C"/>
    <w:rsid w:val="00EE0A23"/>
    <w:rsid w:val="00EE5727"/>
    <w:rsid w:val="00EE6929"/>
    <w:rsid w:val="00EE77B2"/>
    <w:rsid w:val="00EF022C"/>
    <w:rsid w:val="00EF0235"/>
    <w:rsid w:val="00EF066C"/>
    <w:rsid w:val="00EF1D7F"/>
    <w:rsid w:val="00F016E2"/>
    <w:rsid w:val="00F03190"/>
    <w:rsid w:val="00F03A99"/>
    <w:rsid w:val="00F0403F"/>
    <w:rsid w:val="00F04CDE"/>
    <w:rsid w:val="00F075CC"/>
    <w:rsid w:val="00F151F0"/>
    <w:rsid w:val="00F17CB5"/>
    <w:rsid w:val="00F20C3D"/>
    <w:rsid w:val="00F2478C"/>
    <w:rsid w:val="00F2653D"/>
    <w:rsid w:val="00F3417B"/>
    <w:rsid w:val="00F34D48"/>
    <w:rsid w:val="00F35149"/>
    <w:rsid w:val="00F352E1"/>
    <w:rsid w:val="00F356BA"/>
    <w:rsid w:val="00F373CD"/>
    <w:rsid w:val="00F41576"/>
    <w:rsid w:val="00F4204E"/>
    <w:rsid w:val="00F43E9E"/>
    <w:rsid w:val="00F44820"/>
    <w:rsid w:val="00F51A01"/>
    <w:rsid w:val="00F52BE2"/>
    <w:rsid w:val="00F546EA"/>
    <w:rsid w:val="00F567D8"/>
    <w:rsid w:val="00F63159"/>
    <w:rsid w:val="00F70D30"/>
    <w:rsid w:val="00F72A4A"/>
    <w:rsid w:val="00F748B6"/>
    <w:rsid w:val="00F82F23"/>
    <w:rsid w:val="00F8467B"/>
    <w:rsid w:val="00F84D5A"/>
    <w:rsid w:val="00F86121"/>
    <w:rsid w:val="00F86613"/>
    <w:rsid w:val="00F8772A"/>
    <w:rsid w:val="00F9057C"/>
    <w:rsid w:val="00F906D7"/>
    <w:rsid w:val="00F90FD3"/>
    <w:rsid w:val="00F93244"/>
    <w:rsid w:val="00F93781"/>
    <w:rsid w:val="00F9653B"/>
    <w:rsid w:val="00F9682C"/>
    <w:rsid w:val="00F96BA5"/>
    <w:rsid w:val="00F96F96"/>
    <w:rsid w:val="00FA107A"/>
    <w:rsid w:val="00FA1718"/>
    <w:rsid w:val="00FA37D6"/>
    <w:rsid w:val="00FA5C99"/>
    <w:rsid w:val="00FA62DA"/>
    <w:rsid w:val="00FB1D22"/>
    <w:rsid w:val="00FB2745"/>
    <w:rsid w:val="00FB2D19"/>
    <w:rsid w:val="00FB45D9"/>
    <w:rsid w:val="00FB5718"/>
    <w:rsid w:val="00FB5EB5"/>
    <w:rsid w:val="00FB613B"/>
    <w:rsid w:val="00FB6620"/>
    <w:rsid w:val="00FC0622"/>
    <w:rsid w:val="00FC260D"/>
    <w:rsid w:val="00FC5950"/>
    <w:rsid w:val="00FC68B7"/>
    <w:rsid w:val="00FC6A79"/>
    <w:rsid w:val="00FC6D36"/>
    <w:rsid w:val="00FD0381"/>
    <w:rsid w:val="00FD28AF"/>
    <w:rsid w:val="00FD473F"/>
    <w:rsid w:val="00FD4F04"/>
    <w:rsid w:val="00FD4FB8"/>
    <w:rsid w:val="00FD5AA2"/>
    <w:rsid w:val="00FD61DA"/>
    <w:rsid w:val="00FE106A"/>
    <w:rsid w:val="00FE1329"/>
    <w:rsid w:val="00FE1DA7"/>
    <w:rsid w:val="00FF0000"/>
    <w:rsid w:val="00FF1431"/>
    <w:rsid w:val="00FF4BF4"/>
    <w:rsid w:val="00FF5D37"/>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A6680"/>
  <w15:docId w15:val="{8E3B84AE-4CC7-400D-9E3B-6C870623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1D186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1D1867"/>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customStyle="1" w:styleId="H4GChar">
    <w:name w:val="_ H_4_G Char"/>
    <w:link w:val="H4G"/>
    <w:rsid w:val="00971D35"/>
    <w:rPr>
      <w:i/>
      <w:lang w:eastAsia="en-US"/>
    </w:rPr>
  </w:style>
  <w:style w:type="character" w:customStyle="1" w:styleId="HeaderChar">
    <w:name w:val="Header Char"/>
    <w:aliases w:val="6_G Char"/>
    <w:link w:val="Header"/>
    <w:uiPriority w:val="99"/>
    <w:rsid w:val="00497EA0"/>
    <w:rPr>
      <w:b/>
      <w:sz w:val="18"/>
      <w:lang w:val="en-GB"/>
    </w:rPr>
  </w:style>
  <w:style w:type="paragraph" w:styleId="NoSpacing">
    <w:name w:val="No Spacing"/>
    <w:uiPriority w:val="1"/>
    <w:qFormat/>
    <w:rsid w:val="006521E4"/>
    <w:rPr>
      <w:rFonts w:ascii="Calibri" w:eastAsia="Calibri" w:hAnsi="Calibri"/>
      <w:sz w:val="22"/>
      <w:szCs w:val="22"/>
      <w:lang w:val="en-US" w:eastAsia="en-US"/>
    </w:rPr>
  </w:style>
  <w:style w:type="character" w:customStyle="1" w:styleId="reference-text">
    <w:name w:val="reference-text"/>
    <w:rsid w:val="0006764F"/>
  </w:style>
  <w:style w:type="paragraph" w:customStyle="1" w:styleId="JuPara">
    <w:name w:val="Ju_Para"/>
    <w:basedOn w:val="Normal"/>
    <w:link w:val="JuParaChar"/>
    <w:rsid w:val="00552EBC"/>
    <w:pPr>
      <w:spacing w:line="240" w:lineRule="auto"/>
      <w:ind w:firstLine="284"/>
      <w:jc w:val="both"/>
    </w:pPr>
    <w:rPr>
      <w:sz w:val="24"/>
      <w:lang w:eastAsia="fr-FR"/>
    </w:rPr>
  </w:style>
  <w:style w:type="character" w:customStyle="1" w:styleId="JuParaChar">
    <w:name w:val="Ju_Para Char"/>
    <w:link w:val="JuPara"/>
    <w:rsid w:val="00552EBC"/>
    <w:rPr>
      <w:sz w:val="24"/>
      <w:lang w:val="en-GB" w:eastAsia="fr-FR"/>
    </w:rPr>
  </w:style>
  <w:style w:type="paragraph" w:customStyle="1" w:styleId="JuH1">
    <w:name w:val="Ju_H_1."/>
    <w:basedOn w:val="Normal"/>
    <w:next w:val="JuPara"/>
    <w:rsid w:val="00552EBC"/>
    <w:pPr>
      <w:keepNext/>
      <w:keepLines/>
      <w:tabs>
        <w:tab w:val="left" w:pos="731"/>
      </w:tabs>
      <w:spacing w:before="240" w:after="120" w:line="240" w:lineRule="auto"/>
      <w:ind w:left="732" w:hanging="301"/>
      <w:jc w:val="both"/>
    </w:pPr>
    <w:rPr>
      <w:i/>
      <w:sz w:val="24"/>
      <w:lang w:eastAsia="fr-FR"/>
    </w:rPr>
  </w:style>
  <w:style w:type="character" w:customStyle="1" w:styleId="ju-005fpara--char">
    <w:name w:val="ju-005fpara--char"/>
    <w:rsid w:val="00552EBC"/>
  </w:style>
  <w:style w:type="paragraph" w:styleId="NormalWeb">
    <w:name w:val="Normal (Web)"/>
    <w:basedOn w:val="Normal"/>
    <w:rsid w:val="00E87680"/>
    <w:rPr>
      <w:sz w:val="24"/>
      <w:szCs w:val="24"/>
    </w:rPr>
  </w:style>
  <w:style w:type="paragraph" w:styleId="Revision">
    <w:name w:val="Revision"/>
    <w:hidden/>
    <w:uiPriority w:val="99"/>
    <w:semiHidden/>
    <w:rsid w:val="00AD0B7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605230837">
      <w:bodyDiv w:val="1"/>
      <w:marLeft w:val="0"/>
      <w:marRight w:val="0"/>
      <w:marTop w:val="0"/>
      <w:marBottom w:val="0"/>
      <w:divBdr>
        <w:top w:val="none" w:sz="0" w:space="0" w:color="auto"/>
        <w:left w:val="none" w:sz="0" w:space="0" w:color="auto"/>
        <w:bottom w:val="none" w:sz="0" w:space="0" w:color="auto"/>
        <w:right w:val="none" w:sz="0" w:space="0" w:color="auto"/>
      </w:divBdr>
    </w:div>
    <w:div w:id="681592718">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96069215">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888960489">
      <w:bodyDiv w:val="1"/>
      <w:marLeft w:val="0"/>
      <w:marRight w:val="0"/>
      <w:marTop w:val="0"/>
      <w:marBottom w:val="0"/>
      <w:divBdr>
        <w:top w:val="none" w:sz="0" w:space="0" w:color="auto"/>
        <w:left w:val="none" w:sz="0" w:space="0" w:color="auto"/>
        <w:bottom w:val="none" w:sz="0" w:space="0" w:color="auto"/>
        <w:right w:val="none" w:sz="0" w:space="0" w:color="auto"/>
      </w:divBdr>
      <w:divsChild>
        <w:div w:id="486435031">
          <w:marLeft w:val="0"/>
          <w:marRight w:val="0"/>
          <w:marTop w:val="0"/>
          <w:marBottom w:val="0"/>
          <w:divBdr>
            <w:top w:val="none" w:sz="0" w:space="0" w:color="auto"/>
            <w:left w:val="none" w:sz="0" w:space="0" w:color="auto"/>
            <w:bottom w:val="none" w:sz="0" w:space="0" w:color="auto"/>
            <w:right w:val="none" w:sz="0" w:space="0" w:color="auto"/>
          </w:divBdr>
          <w:divsChild>
            <w:div w:id="822501216">
              <w:marLeft w:val="0"/>
              <w:marRight w:val="0"/>
              <w:marTop w:val="0"/>
              <w:marBottom w:val="0"/>
              <w:divBdr>
                <w:top w:val="none" w:sz="0" w:space="0" w:color="auto"/>
                <w:left w:val="none" w:sz="0" w:space="0" w:color="auto"/>
                <w:bottom w:val="none" w:sz="0" w:space="0" w:color="auto"/>
                <w:right w:val="none" w:sz="0" w:space="0" w:color="auto"/>
              </w:divBdr>
              <w:divsChild>
                <w:div w:id="401833381">
                  <w:marLeft w:val="0"/>
                  <w:marRight w:val="0"/>
                  <w:marTop w:val="0"/>
                  <w:marBottom w:val="0"/>
                  <w:divBdr>
                    <w:top w:val="none" w:sz="0" w:space="0" w:color="auto"/>
                    <w:left w:val="none" w:sz="0" w:space="0" w:color="auto"/>
                    <w:bottom w:val="none" w:sz="0" w:space="0" w:color="auto"/>
                    <w:right w:val="none" w:sz="0" w:space="0" w:color="auto"/>
                  </w:divBdr>
                </w:div>
                <w:div w:id="15026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80187095">
      <w:bodyDiv w:val="1"/>
      <w:marLeft w:val="0"/>
      <w:marRight w:val="0"/>
      <w:marTop w:val="0"/>
      <w:marBottom w:val="0"/>
      <w:divBdr>
        <w:top w:val="none" w:sz="0" w:space="0" w:color="auto"/>
        <w:left w:val="none" w:sz="0" w:space="0" w:color="auto"/>
        <w:bottom w:val="none" w:sz="0" w:space="0" w:color="auto"/>
        <w:right w:val="none" w:sz="0" w:space="0" w:color="auto"/>
      </w:divBdr>
    </w:div>
    <w:div w:id="1014766105">
      <w:bodyDiv w:val="1"/>
      <w:marLeft w:val="0"/>
      <w:marRight w:val="0"/>
      <w:marTop w:val="0"/>
      <w:marBottom w:val="0"/>
      <w:divBdr>
        <w:top w:val="none" w:sz="0" w:space="0" w:color="auto"/>
        <w:left w:val="none" w:sz="0" w:space="0" w:color="auto"/>
        <w:bottom w:val="none" w:sz="0" w:space="0" w:color="auto"/>
        <w:right w:val="none" w:sz="0" w:space="0" w:color="auto"/>
      </w:divBdr>
    </w:div>
    <w:div w:id="1062367775">
      <w:bodyDiv w:val="1"/>
      <w:marLeft w:val="0"/>
      <w:marRight w:val="0"/>
      <w:marTop w:val="0"/>
      <w:marBottom w:val="0"/>
      <w:divBdr>
        <w:top w:val="none" w:sz="0" w:space="0" w:color="auto"/>
        <w:left w:val="none" w:sz="0" w:space="0" w:color="auto"/>
        <w:bottom w:val="none" w:sz="0" w:space="0" w:color="auto"/>
        <w:right w:val="none" w:sz="0" w:space="0" w:color="auto"/>
      </w:divBdr>
    </w:div>
    <w:div w:id="1099057971">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788235520">
      <w:bodyDiv w:val="1"/>
      <w:marLeft w:val="0"/>
      <w:marRight w:val="0"/>
      <w:marTop w:val="0"/>
      <w:marBottom w:val="0"/>
      <w:divBdr>
        <w:top w:val="none" w:sz="0" w:space="0" w:color="auto"/>
        <w:left w:val="none" w:sz="0" w:space="0" w:color="auto"/>
        <w:bottom w:val="none" w:sz="0" w:space="0" w:color="auto"/>
        <w:right w:val="none" w:sz="0" w:space="0" w:color="auto"/>
      </w:divBdr>
    </w:div>
    <w:div w:id="187349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CFF2D-FAE5-4AC4-9C54-BA59EE9F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13</Pages>
  <Words>5712</Words>
  <Characters>32563</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38199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2015-07-28T09:32:00Z</cp:lastPrinted>
  <dcterms:created xsi:type="dcterms:W3CDTF">2017-04-05T19:03:00Z</dcterms:created>
  <dcterms:modified xsi:type="dcterms:W3CDTF">2017-04-05T19:03:00Z</dcterms:modified>
</cp:coreProperties>
</file>