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1985"/>
        <w:gridCol w:w="3543"/>
        <w:gridCol w:w="2835"/>
      </w:tblGrid>
      <w:tr w:rsidR="00B56E9C" w14:paraId="544B08B2" w14:textId="77777777" w:rsidTr="002834B6">
        <w:trPr>
          <w:trHeight w:hRule="exact" w:val="851"/>
        </w:trPr>
        <w:tc>
          <w:tcPr>
            <w:tcW w:w="1276" w:type="dxa"/>
            <w:tcBorders>
              <w:bottom w:val="single" w:sz="4" w:space="0" w:color="auto"/>
            </w:tcBorders>
            <w:vAlign w:val="bottom"/>
          </w:tcPr>
          <w:p w14:paraId="6260727B" w14:textId="77777777" w:rsidR="00B56E9C" w:rsidRPr="004335CD" w:rsidRDefault="004335CD" w:rsidP="004335CD">
            <w:pPr>
              <w:spacing w:line="20" w:lineRule="exact"/>
              <w:rPr>
                <w:sz w:val="2"/>
              </w:rPr>
            </w:pPr>
            <w:r>
              <w:rPr>
                <w:rStyle w:val="CommentReference"/>
              </w:rPr>
              <w:commentReference w:id="0"/>
            </w:r>
            <w:bookmarkStart w:id="1" w:name="_GoBack"/>
            <w:bookmarkEnd w:id="1"/>
          </w:p>
          <w:p w14:paraId="2914CA5A" w14:textId="77777777" w:rsidR="004335CD" w:rsidRDefault="004335CD" w:rsidP="00B6553F">
            <w:pPr>
              <w:spacing w:after="80"/>
            </w:pPr>
          </w:p>
        </w:tc>
        <w:tc>
          <w:tcPr>
            <w:tcW w:w="1985" w:type="dxa"/>
            <w:tcBorders>
              <w:bottom w:val="single" w:sz="4" w:space="0" w:color="auto"/>
            </w:tcBorders>
            <w:vAlign w:val="bottom"/>
          </w:tcPr>
          <w:p w14:paraId="1DA3A73A" w14:textId="77777777" w:rsidR="00B56E9C" w:rsidRPr="00B97172" w:rsidRDefault="00B56E9C" w:rsidP="00B6553F">
            <w:pPr>
              <w:spacing w:after="80" w:line="300" w:lineRule="exact"/>
              <w:rPr>
                <w:b/>
                <w:sz w:val="24"/>
                <w:szCs w:val="24"/>
              </w:rPr>
            </w:pPr>
            <w:r>
              <w:rPr>
                <w:sz w:val="28"/>
                <w:szCs w:val="28"/>
              </w:rPr>
              <w:t>United Nations</w:t>
            </w:r>
          </w:p>
        </w:tc>
        <w:tc>
          <w:tcPr>
            <w:tcW w:w="6378" w:type="dxa"/>
            <w:gridSpan w:val="2"/>
            <w:tcBorders>
              <w:bottom w:val="single" w:sz="4" w:space="0" w:color="auto"/>
            </w:tcBorders>
            <w:vAlign w:val="bottom"/>
          </w:tcPr>
          <w:p w14:paraId="2A532F51" w14:textId="77777777" w:rsidR="00B56E9C" w:rsidRPr="00D47EEA" w:rsidRDefault="00A511AC" w:rsidP="000A2DEB">
            <w:pPr>
              <w:jc w:val="right"/>
            </w:pPr>
            <w:r w:rsidRPr="00A511AC">
              <w:rPr>
                <w:sz w:val="40"/>
              </w:rPr>
              <w:t>CAT</w:t>
            </w:r>
            <w:r>
              <w:t>/C/5</w:t>
            </w:r>
            <w:r w:rsidR="008D0A49">
              <w:t>5</w:t>
            </w:r>
            <w:r>
              <w:t>/D/</w:t>
            </w:r>
            <w:r w:rsidR="008D0A49">
              <w:t>571</w:t>
            </w:r>
            <w:r w:rsidR="009352A4">
              <w:t>/</w:t>
            </w:r>
            <w:r>
              <w:t>20</w:t>
            </w:r>
            <w:r w:rsidR="000B1D28">
              <w:t>1</w:t>
            </w:r>
            <w:r w:rsidR="008D0A49">
              <w:t>3</w:t>
            </w:r>
          </w:p>
        </w:tc>
      </w:tr>
      <w:tr w:rsidR="00B56E9C" w14:paraId="148F5618" w14:textId="77777777" w:rsidTr="00B6553F">
        <w:trPr>
          <w:cantSplit/>
          <w:trHeight w:hRule="exact" w:val="2835"/>
        </w:trPr>
        <w:tc>
          <w:tcPr>
            <w:tcW w:w="1276" w:type="dxa"/>
            <w:tcBorders>
              <w:top w:val="single" w:sz="4" w:space="0" w:color="auto"/>
              <w:bottom w:val="single" w:sz="12" w:space="0" w:color="auto"/>
            </w:tcBorders>
          </w:tcPr>
          <w:p w14:paraId="5D997F6F" w14:textId="77777777" w:rsidR="00B56E9C" w:rsidRDefault="004335CD" w:rsidP="00B6553F">
            <w:pPr>
              <w:spacing w:before="120"/>
            </w:pPr>
            <w:r>
              <w:rPr>
                <w:noProof/>
                <w:lang w:val="en-US"/>
              </w:rPr>
              <w:drawing>
                <wp:inline distT="0" distB="0" distL="0" distR="0" wp14:anchorId="450B2FA9" wp14:editId="59304B52">
                  <wp:extent cx="714375" cy="590550"/>
                  <wp:effectExtent l="0" t="0" r="9525" b="0"/>
                  <wp:docPr id="3"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4BABF4E" w14:textId="77777777" w:rsidR="00B56E9C" w:rsidRPr="00267F5F" w:rsidRDefault="00B54F31" w:rsidP="00267F5F">
            <w:pPr>
              <w:spacing w:before="120" w:line="380" w:lineRule="exact"/>
              <w:rPr>
                <w:sz w:val="34"/>
              </w:rPr>
            </w:pPr>
            <w:r>
              <w:rPr>
                <w:b/>
                <w:sz w:val="34"/>
                <w:szCs w:val="40"/>
              </w:rPr>
              <w:t>Convention against Torture</w:t>
            </w:r>
            <w:r w:rsidR="001450BD">
              <w:rPr>
                <w:b/>
                <w:sz w:val="34"/>
                <w:szCs w:val="40"/>
              </w:rPr>
              <w:br/>
            </w:r>
            <w:r>
              <w:rPr>
                <w:b/>
                <w:sz w:val="34"/>
                <w:szCs w:val="40"/>
              </w:rPr>
              <w:t>and Other Cruel, Inhuman</w:t>
            </w:r>
            <w:r w:rsidR="001450BD">
              <w:rPr>
                <w:b/>
                <w:sz w:val="34"/>
                <w:szCs w:val="40"/>
              </w:rPr>
              <w:br/>
            </w:r>
            <w:r>
              <w:rPr>
                <w:b/>
                <w:sz w:val="34"/>
                <w:szCs w:val="40"/>
              </w:rPr>
              <w:t>or</w:t>
            </w:r>
            <w:r w:rsidR="001450BD">
              <w:rPr>
                <w:b/>
                <w:sz w:val="34"/>
                <w:szCs w:val="40"/>
              </w:rPr>
              <w:t xml:space="preserve"> </w:t>
            </w:r>
            <w:r>
              <w:rPr>
                <w:b/>
                <w:sz w:val="34"/>
                <w:szCs w:val="40"/>
              </w:rPr>
              <w:t>Degrading Treatment</w:t>
            </w:r>
            <w:r>
              <w:rPr>
                <w:b/>
                <w:sz w:val="34"/>
                <w:szCs w:val="40"/>
              </w:rPr>
              <w:br/>
            </w:r>
            <w:r w:rsidR="001450BD">
              <w:rPr>
                <w:b/>
                <w:sz w:val="34"/>
                <w:szCs w:val="40"/>
              </w:rPr>
              <w:t xml:space="preserve">or </w:t>
            </w:r>
            <w:r>
              <w:rPr>
                <w:b/>
                <w:sz w:val="34"/>
                <w:szCs w:val="40"/>
              </w:rPr>
              <w:t>Punishment</w:t>
            </w:r>
          </w:p>
        </w:tc>
        <w:tc>
          <w:tcPr>
            <w:tcW w:w="2835" w:type="dxa"/>
            <w:tcBorders>
              <w:top w:val="single" w:sz="4" w:space="0" w:color="auto"/>
              <w:bottom w:val="single" w:sz="12" w:space="0" w:color="auto"/>
            </w:tcBorders>
          </w:tcPr>
          <w:p w14:paraId="6B4A0872" w14:textId="77777777" w:rsidR="00796FF6" w:rsidRPr="00DA41C2" w:rsidRDefault="00A511AC" w:rsidP="00796FF6">
            <w:pPr>
              <w:spacing w:before="240" w:line="240" w:lineRule="exact"/>
            </w:pPr>
            <w:r>
              <w:t xml:space="preserve">Distr.: </w:t>
            </w:r>
            <w:r w:rsidR="002A1686">
              <w:t>General</w:t>
            </w:r>
          </w:p>
          <w:p w14:paraId="1232F9F3" w14:textId="77777777" w:rsidR="00A511AC" w:rsidRDefault="00811009" w:rsidP="00811009">
            <w:pPr>
              <w:spacing w:line="240" w:lineRule="exact"/>
            </w:pPr>
            <w:r>
              <w:t>14</w:t>
            </w:r>
            <w:r w:rsidR="00CD27A2">
              <w:t xml:space="preserve"> Octob</w:t>
            </w:r>
            <w:r w:rsidR="0062571F">
              <w:t>er</w:t>
            </w:r>
            <w:r w:rsidR="008D0A49">
              <w:t xml:space="preserve"> </w:t>
            </w:r>
            <w:r w:rsidR="00A511AC">
              <w:t>201</w:t>
            </w:r>
            <w:r w:rsidR="00306A8D">
              <w:t>5</w:t>
            </w:r>
          </w:p>
          <w:p w14:paraId="48AB8E8F" w14:textId="77777777" w:rsidR="00A511AC" w:rsidRDefault="00A511AC" w:rsidP="00A511AC">
            <w:pPr>
              <w:spacing w:line="240" w:lineRule="exact"/>
            </w:pPr>
          </w:p>
          <w:p w14:paraId="7888CF06" w14:textId="77777777" w:rsidR="00A511AC" w:rsidRDefault="00A511AC" w:rsidP="00A511AC">
            <w:pPr>
              <w:spacing w:line="240" w:lineRule="exact"/>
            </w:pPr>
            <w:r>
              <w:t>Original: English</w:t>
            </w:r>
          </w:p>
          <w:p w14:paraId="337B1988" w14:textId="77777777" w:rsidR="006841D7" w:rsidRDefault="006841D7" w:rsidP="008F4C0D">
            <w:pPr>
              <w:spacing w:line="240" w:lineRule="exact"/>
            </w:pPr>
          </w:p>
        </w:tc>
      </w:tr>
    </w:tbl>
    <w:p w14:paraId="59E68878" w14:textId="77777777" w:rsidR="00796FF6" w:rsidRPr="00DA41C2" w:rsidRDefault="00796FF6" w:rsidP="00796FF6">
      <w:pPr>
        <w:spacing w:before="120"/>
        <w:rPr>
          <w:b/>
          <w:sz w:val="24"/>
          <w:szCs w:val="24"/>
        </w:rPr>
      </w:pPr>
      <w:r w:rsidRPr="00DA41C2">
        <w:rPr>
          <w:b/>
          <w:sz w:val="24"/>
          <w:szCs w:val="24"/>
        </w:rPr>
        <w:t>Committee against Torture</w:t>
      </w:r>
    </w:p>
    <w:p w14:paraId="7C0E54CF" w14:textId="77777777" w:rsidR="00796FF6" w:rsidRPr="00DA41C2" w:rsidRDefault="00796FF6">
      <w:pPr>
        <w:pStyle w:val="HChG"/>
      </w:pPr>
      <w:r w:rsidRPr="00DA41C2">
        <w:tab/>
      </w:r>
      <w:r w:rsidRPr="00DA41C2">
        <w:tab/>
        <w:t xml:space="preserve">Communication No. </w:t>
      </w:r>
      <w:r w:rsidR="009352A4">
        <w:t>57</w:t>
      </w:r>
      <w:r w:rsidR="008D0A49">
        <w:t>1</w:t>
      </w:r>
      <w:r w:rsidR="009352A4">
        <w:t>/</w:t>
      </w:r>
      <w:r>
        <w:t>20</w:t>
      </w:r>
      <w:r w:rsidR="000B1D28">
        <w:t>1</w:t>
      </w:r>
      <w:r w:rsidR="008D0A49">
        <w:t>3</w:t>
      </w:r>
    </w:p>
    <w:p w14:paraId="4CD874A5" w14:textId="77777777" w:rsidR="00796FF6" w:rsidRPr="00796FF6" w:rsidRDefault="00796FF6" w:rsidP="00796FF6">
      <w:pPr>
        <w:keepNext/>
        <w:keepLines/>
        <w:tabs>
          <w:tab w:val="right" w:pos="1985"/>
        </w:tabs>
        <w:autoSpaceDN w:val="0"/>
        <w:spacing w:before="360" w:after="240" w:line="270" w:lineRule="exact"/>
        <w:ind w:left="1134" w:right="1134" w:hanging="1134"/>
        <w:textAlignment w:val="baseline"/>
        <w:rPr>
          <w:b/>
          <w:kern w:val="3"/>
          <w:sz w:val="24"/>
          <w:lang w:eastAsia="zh-CN"/>
        </w:rPr>
      </w:pPr>
      <w:r w:rsidRPr="00796FF6">
        <w:rPr>
          <w:b/>
          <w:kern w:val="3"/>
          <w:sz w:val="24"/>
          <w:lang w:eastAsia="zh-CN"/>
        </w:rPr>
        <w:tab/>
      </w:r>
      <w:r w:rsidR="000A2DEB" w:rsidRPr="00D0457B">
        <w:rPr>
          <w:b/>
          <w:sz w:val="24"/>
          <w:szCs w:val="24"/>
        </w:rPr>
        <w:t xml:space="preserve">Decision adopted by the Committee at its fifty-fifth session </w:t>
      </w:r>
      <w:r w:rsidR="00FC756D">
        <w:rPr>
          <w:b/>
          <w:sz w:val="24"/>
          <w:szCs w:val="24"/>
        </w:rPr>
        <w:br/>
      </w:r>
      <w:r w:rsidR="000A2DEB" w:rsidRPr="00D0457B">
        <w:rPr>
          <w:b/>
          <w:sz w:val="24"/>
          <w:szCs w:val="24"/>
        </w:rPr>
        <w:t>(27 July-14 August 2015)</w:t>
      </w:r>
    </w:p>
    <w:p w14:paraId="26FFCA11"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Submitted by:</w:t>
      </w:r>
      <w:r w:rsidRPr="00796FF6">
        <w:rPr>
          <w:i/>
          <w:kern w:val="3"/>
          <w:lang w:eastAsia="zh-CN"/>
        </w:rPr>
        <w:tab/>
      </w:r>
      <w:r w:rsidR="00092E5D">
        <w:rPr>
          <w:kern w:val="3"/>
          <w:lang w:eastAsia="zh-CN"/>
        </w:rPr>
        <w:t>M.S.</w:t>
      </w:r>
      <w:r w:rsidR="00306A8D">
        <w:rPr>
          <w:kern w:val="3"/>
          <w:lang w:eastAsia="zh-CN"/>
        </w:rPr>
        <w:t xml:space="preserve"> </w:t>
      </w:r>
      <w:r w:rsidRPr="00796FF6">
        <w:rPr>
          <w:kern w:val="3"/>
          <w:lang w:eastAsia="zh-CN"/>
        </w:rPr>
        <w:t>(</w:t>
      </w:r>
      <w:r w:rsidR="00A8230E">
        <w:rPr>
          <w:kern w:val="3"/>
          <w:lang w:eastAsia="zh-CN"/>
        </w:rPr>
        <w:t>rep</w:t>
      </w:r>
      <w:r w:rsidRPr="00796FF6">
        <w:rPr>
          <w:kern w:val="3"/>
          <w:lang w:eastAsia="zh-CN"/>
        </w:rPr>
        <w:t>resented by counsel</w:t>
      </w:r>
      <w:r w:rsidR="00CD27A2">
        <w:rPr>
          <w:kern w:val="3"/>
          <w:lang w:eastAsia="zh-CN"/>
        </w:rPr>
        <w:t>,</w:t>
      </w:r>
      <w:r w:rsidR="00F65F74">
        <w:rPr>
          <w:kern w:val="3"/>
          <w:lang w:eastAsia="zh-CN"/>
        </w:rPr>
        <w:t xml:space="preserve"> </w:t>
      </w:r>
      <w:r w:rsidR="008D0A49">
        <w:rPr>
          <w:kern w:val="3"/>
          <w:lang w:eastAsia="zh-CN"/>
        </w:rPr>
        <w:t>Line B</w:t>
      </w:r>
      <w:r w:rsidR="008D0A49" w:rsidRPr="008D0A49">
        <w:rPr>
          <w:kern w:val="3"/>
          <w:lang w:eastAsia="zh-CN"/>
        </w:rPr>
        <w:t>ø</w:t>
      </w:r>
      <w:r w:rsidR="008D0A49">
        <w:rPr>
          <w:kern w:val="3"/>
          <w:lang w:eastAsia="zh-CN"/>
        </w:rPr>
        <w:t>gsted</w:t>
      </w:r>
      <w:r w:rsidR="003A2300">
        <w:rPr>
          <w:kern w:val="3"/>
          <w:lang w:eastAsia="zh-CN"/>
        </w:rPr>
        <w:t>, Danish Refugee Council</w:t>
      </w:r>
      <w:r w:rsidR="00A8230E">
        <w:rPr>
          <w:kern w:val="3"/>
          <w:lang w:eastAsia="zh-CN"/>
        </w:rPr>
        <w:t>)</w:t>
      </w:r>
    </w:p>
    <w:p w14:paraId="3DF7A5C6"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Pr="00796FF6">
        <w:rPr>
          <w:kern w:val="3"/>
          <w:lang w:eastAsia="zh-CN"/>
        </w:rPr>
        <w:t>The complainant</w:t>
      </w:r>
      <w:r w:rsidR="00306A8D">
        <w:rPr>
          <w:kern w:val="3"/>
          <w:lang w:eastAsia="zh-CN"/>
        </w:rPr>
        <w:t xml:space="preserve"> </w:t>
      </w:r>
    </w:p>
    <w:p w14:paraId="609F6E3A"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8D0A49" w:rsidRPr="008D0A49">
        <w:rPr>
          <w:kern w:val="3"/>
          <w:lang w:eastAsia="zh-CN"/>
        </w:rPr>
        <w:t>D</w:t>
      </w:r>
      <w:r w:rsidR="008D0A49">
        <w:rPr>
          <w:kern w:val="3"/>
          <w:lang w:eastAsia="zh-CN"/>
        </w:rPr>
        <w:t>enmark</w:t>
      </w:r>
      <w:r w:rsidR="00FD44CF">
        <w:rPr>
          <w:kern w:val="3"/>
          <w:lang w:eastAsia="zh-CN"/>
        </w:rPr>
        <w:t xml:space="preserve"> </w:t>
      </w:r>
    </w:p>
    <w:p w14:paraId="5F5483FB"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 xml:space="preserve">Date of </w:t>
      </w:r>
      <w:r w:rsidR="0035603B">
        <w:rPr>
          <w:i/>
          <w:kern w:val="3"/>
          <w:lang w:eastAsia="zh-CN"/>
        </w:rPr>
        <w:t>communication</w:t>
      </w:r>
      <w:r w:rsidRPr="00796FF6">
        <w:rPr>
          <w:i/>
          <w:kern w:val="3"/>
          <w:lang w:eastAsia="zh-CN"/>
        </w:rPr>
        <w:t>:</w:t>
      </w:r>
      <w:r w:rsidRPr="00796FF6">
        <w:rPr>
          <w:i/>
          <w:kern w:val="3"/>
          <w:lang w:eastAsia="zh-CN"/>
        </w:rPr>
        <w:tab/>
      </w:r>
      <w:r w:rsidR="008D0A49">
        <w:rPr>
          <w:kern w:val="3"/>
          <w:lang w:eastAsia="zh-CN"/>
        </w:rPr>
        <w:t xml:space="preserve">22 November </w:t>
      </w:r>
      <w:r w:rsidRPr="00796FF6">
        <w:rPr>
          <w:kern w:val="3"/>
          <w:lang w:eastAsia="zh-CN"/>
        </w:rPr>
        <w:t>20</w:t>
      </w:r>
      <w:r w:rsidR="000B1D28">
        <w:rPr>
          <w:kern w:val="3"/>
          <w:lang w:eastAsia="zh-CN"/>
        </w:rPr>
        <w:t>1</w:t>
      </w:r>
      <w:r w:rsidR="008D0A49">
        <w:rPr>
          <w:kern w:val="3"/>
          <w:lang w:eastAsia="zh-CN"/>
        </w:rPr>
        <w:t>3</w:t>
      </w:r>
      <w:r w:rsidR="000B1D28">
        <w:rPr>
          <w:kern w:val="3"/>
          <w:lang w:eastAsia="zh-CN"/>
        </w:rPr>
        <w:t xml:space="preserve"> </w:t>
      </w:r>
      <w:r w:rsidRPr="00796FF6">
        <w:rPr>
          <w:kern w:val="3"/>
          <w:lang w:eastAsia="zh-CN"/>
        </w:rPr>
        <w:t>(initial submission)</w:t>
      </w:r>
    </w:p>
    <w:p w14:paraId="48581704"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Date of decision:</w:t>
      </w:r>
      <w:r w:rsidRPr="00796FF6">
        <w:rPr>
          <w:i/>
          <w:kern w:val="3"/>
          <w:lang w:eastAsia="zh-CN"/>
        </w:rPr>
        <w:tab/>
      </w:r>
      <w:r w:rsidR="000A2DEB">
        <w:rPr>
          <w:kern w:val="3"/>
          <w:lang w:eastAsia="zh-CN"/>
        </w:rPr>
        <w:t>10 August</w:t>
      </w:r>
      <w:r w:rsidR="0005234F">
        <w:rPr>
          <w:kern w:val="3"/>
          <w:lang w:eastAsia="zh-CN"/>
        </w:rPr>
        <w:t xml:space="preserve"> </w:t>
      </w:r>
      <w:r w:rsidRPr="000B1D28">
        <w:rPr>
          <w:kern w:val="3"/>
          <w:lang w:eastAsia="zh-CN"/>
        </w:rPr>
        <w:t>2</w:t>
      </w:r>
      <w:r w:rsidRPr="00796FF6">
        <w:rPr>
          <w:kern w:val="3"/>
          <w:lang w:eastAsia="zh-CN"/>
        </w:rPr>
        <w:t>01</w:t>
      </w:r>
      <w:r w:rsidR="009352A4">
        <w:rPr>
          <w:kern w:val="3"/>
          <w:lang w:eastAsia="zh-CN"/>
        </w:rPr>
        <w:t>5</w:t>
      </w:r>
    </w:p>
    <w:p w14:paraId="7677BE54"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Subject matter:</w:t>
      </w:r>
      <w:r w:rsidRPr="00796FF6">
        <w:rPr>
          <w:i/>
          <w:kern w:val="3"/>
          <w:lang w:eastAsia="zh-CN"/>
        </w:rPr>
        <w:tab/>
      </w:r>
      <w:r w:rsidRPr="00796FF6">
        <w:rPr>
          <w:kern w:val="3"/>
          <w:lang w:eastAsia="zh-CN"/>
        </w:rPr>
        <w:t>Risk of</w:t>
      </w:r>
      <w:r w:rsidR="00A8230E">
        <w:rPr>
          <w:kern w:val="3"/>
          <w:lang w:eastAsia="zh-CN"/>
        </w:rPr>
        <w:t xml:space="preserve"> </w:t>
      </w:r>
      <w:r w:rsidR="000318EA">
        <w:rPr>
          <w:kern w:val="3"/>
          <w:lang w:eastAsia="zh-CN"/>
        </w:rPr>
        <w:t xml:space="preserve">torture </w:t>
      </w:r>
      <w:r w:rsidR="007B6112">
        <w:rPr>
          <w:kern w:val="3"/>
          <w:lang w:eastAsia="zh-CN"/>
        </w:rPr>
        <w:t>upon</w:t>
      </w:r>
      <w:r w:rsidR="000318EA">
        <w:rPr>
          <w:kern w:val="3"/>
          <w:lang w:eastAsia="zh-CN"/>
        </w:rPr>
        <w:t xml:space="preserve"> forcible return </w:t>
      </w:r>
      <w:r w:rsidR="009352A4">
        <w:rPr>
          <w:kern w:val="3"/>
          <w:lang w:eastAsia="zh-CN"/>
        </w:rPr>
        <w:t xml:space="preserve">to </w:t>
      </w:r>
      <w:r w:rsidR="008D0A49">
        <w:rPr>
          <w:kern w:val="3"/>
          <w:lang w:eastAsia="zh-CN"/>
        </w:rPr>
        <w:t>Afghanistan</w:t>
      </w:r>
      <w:r w:rsidR="009352A4">
        <w:rPr>
          <w:kern w:val="3"/>
          <w:lang w:eastAsia="zh-CN"/>
        </w:rPr>
        <w:t xml:space="preserve"> </w:t>
      </w:r>
    </w:p>
    <w:p w14:paraId="6ACDA076" w14:textId="77777777" w:rsidR="000B1D28" w:rsidRDefault="00796FF6" w:rsidP="00D0457B">
      <w:pPr>
        <w:autoSpaceDN w:val="0"/>
        <w:spacing w:after="120"/>
        <w:ind w:left="4536" w:right="1134" w:hanging="3402"/>
        <w:textAlignment w:val="baseline"/>
        <w:rPr>
          <w:kern w:val="3"/>
          <w:lang w:eastAsia="zh-CN"/>
        </w:rPr>
      </w:pPr>
      <w:r w:rsidRPr="00796FF6">
        <w:rPr>
          <w:i/>
          <w:kern w:val="3"/>
          <w:lang w:eastAsia="zh-CN"/>
        </w:rPr>
        <w:t>Procedural issue:</w:t>
      </w:r>
      <w:r w:rsidRPr="00796FF6">
        <w:rPr>
          <w:i/>
          <w:kern w:val="3"/>
          <w:lang w:eastAsia="zh-CN"/>
        </w:rPr>
        <w:tab/>
      </w:r>
      <w:r w:rsidR="007B6112">
        <w:rPr>
          <w:kern w:val="3"/>
          <w:lang w:eastAsia="zh-CN"/>
        </w:rPr>
        <w:t>Level of s</w:t>
      </w:r>
      <w:r w:rsidR="00440D27">
        <w:rPr>
          <w:kern w:val="3"/>
          <w:lang w:eastAsia="zh-CN"/>
        </w:rPr>
        <w:t>ubstantiation of claims</w:t>
      </w:r>
      <w:r w:rsidR="00FD44CF">
        <w:rPr>
          <w:kern w:val="3"/>
          <w:lang w:eastAsia="zh-CN"/>
        </w:rPr>
        <w:t xml:space="preserve"> </w:t>
      </w:r>
    </w:p>
    <w:p w14:paraId="6D91CA1F" w14:textId="77777777" w:rsidR="00796FF6" w:rsidRPr="00796FF6" w:rsidRDefault="00796FF6" w:rsidP="00D0457B">
      <w:pPr>
        <w:autoSpaceDN w:val="0"/>
        <w:spacing w:after="120"/>
        <w:ind w:left="4536" w:right="1134" w:hanging="3402"/>
        <w:textAlignment w:val="baseline"/>
        <w:rPr>
          <w:kern w:val="3"/>
          <w:lang w:eastAsia="zh-CN"/>
        </w:rPr>
      </w:pPr>
      <w:r w:rsidRPr="00796FF6">
        <w:rPr>
          <w:i/>
          <w:kern w:val="3"/>
          <w:lang w:eastAsia="zh-CN"/>
        </w:rPr>
        <w:t>Substantive issue:</w:t>
      </w:r>
      <w:r w:rsidRPr="00796FF6">
        <w:rPr>
          <w:i/>
          <w:kern w:val="3"/>
          <w:lang w:eastAsia="zh-CN"/>
        </w:rPr>
        <w:tab/>
      </w:r>
      <w:r w:rsidR="000318EA" w:rsidRPr="000318EA">
        <w:rPr>
          <w:kern w:val="3"/>
          <w:lang w:eastAsia="zh-CN"/>
        </w:rPr>
        <w:t>Forcible return</w:t>
      </w:r>
      <w:r w:rsidR="000318EA">
        <w:rPr>
          <w:i/>
          <w:kern w:val="3"/>
          <w:lang w:eastAsia="zh-CN"/>
        </w:rPr>
        <w:t xml:space="preserve"> </w:t>
      </w:r>
      <w:r w:rsidRPr="00796FF6">
        <w:rPr>
          <w:kern w:val="3"/>
          <w:lang w:eastAsia="zh-CN"/>
        </w:rPr>
        <w:t xml:space="preserve">to a State where there are substantial grounds for believing that </w:t>
      </w:r>
      <w:r w:rsidR="00CD27A2">
        <w:rPr>
          <w:kern w:val="3"/>
          <w:lang w:eastAsia="zh-CN"/>
        </w:rPr>
        <w:t>t</w:t>
      </w:r>
      <w:r w:rsidRPr="00796FF6">
        <w:rPr>
          <w:kern w:val="3"/>
          <w:lang w:eastAsia="zh-CN"/>
        </w:rPr>
        <w:t xml:space="preserve">he </w:t>
      </w:r>
      <w:r w:rsidR="00CD27A2">
        <w:rPr>
          <w:kern w:val="3"/>
          <w:lang w:eastAsia="zh-CN"/>
        </w:rPr>
        <w:t xml:space="preserve">person </w:t>
      </w:r>
      <w:r w:rsidRPr="00796FF6">
        <w:rPr>
          <w:kern w:val="3"/>
          <w:lang w:eastAsia="zh-CN"/>
        </w:rPr>
        <w:t>would be in danger of being subjected to torture</w:t>
      </w:r>
    </w:p>
    <w:p w14:paraId="0D03FFD3" w14:textId="77777777" w:rsidR="00796FF6" w:rsidRPr="00796FF6" w:rsidRDefault="009352A4" w:rsidP="00D0457B">
      <w:pPr>
        <w:autoSpaceDN w:val="0"/>
        <w:spacing w:after="120"/>
        <w:ind w:left="4536" w:right="1134" w:hanging="3402"/>
        <w:textAlignment w:val="baseline"/>
        <w:rPr>
          <w:kern w:val="3"/>
          <w:lang w:eastAsia="zh-CN"/>
        </w:rPr>
      </w:pPr>
      <w:r>
        <w:rPr>
          <w:i/>
          <w:kern w:val="3"/>
          <w:lang w:eastAsia="zh-CN"/>
        </w:rPr>
        <w:t>Article of the Convention:</w:t>
      </w:r>
      <w:r>
        <w:rPr>
          <w:i/>
          <w:kern w:val="3"/>
          <w:lang w:eastAsia="zh-CN"/>
        </w:rPr>
        <w:tab/>
      </w:r>
      <w:r w:rsidR="00796FF6" w:rsidRPr="00796FF6">
        <w:rPr>
          <w:kern w:val="3"/>
          <w:lang w:eastAsia="zh-CN"/>
        </w:rPr>
        <w:t>3</w:t>
      </w:r>
      <w:r>
        <w:rPr>
          <w:kern w:val="3"/>
          <w:lang w:eastAsia="zh-CN"/>
        </w:rPr>
        <w:t xml:space="preserve"> </w:t>
      </w:r>
    </w:p>
    <w:p w14:paraId="6D79FF2B" w14:textId="77777777" w:rsidR="00442A83" w:rsidRDefault="00442A83" w:rsidP="00D0457B">
      <w:pPr>
        <w:autoSpaceDN w:val="0"/>
        <w:spacing w:after="120"/>
        <w:ind w:left="1134" w:right="1134"/>
        <w:jc w:val="center"/>
        <w:textAlignment w:val="baseline"/>
      </w:pPr>
    </w:p>
    <w:p w14:paraId="7C3EF354" w14:textId="77777777" w:rsidR="00FC756D" w:rsidRDefault="00FC756D">
      <w:pPr>
        <w:suppressAutoHyphens w:val="0"/>
        <w:spacing w:line="240" w:lineRule="auto"/>
      </w:pPr>
      <w:r>
        <w:br w:type="page"/>
      </w:r>
    </w:p>
    <w:p w14:paraId="1609CE23" w14:textId="77777777" w:rsidR="00CA7A6D" w:rsidRDefault="00823AF6" w:rsidP="00D0457B">
      <w:pPr>
        <w:rPr>
          <w:lang w:eastAsia="zh-CN"/>
        </w:rPr>
      </w:pPr>
      <w:r w:rsidRPr="00823AF6">
        <w:rPr>
          <w:b/>
          <w:kern w:val="3"/>
          <w:sz w:val="28"/>
          <w:lang w:eastAsia="zh-CN"/>
        </w:rPr>
        <w:lastRenderedPageBreak/>
        <w:t>Annex</w:t>
      </w:r>
    </w:p>
    <w:p w14:paraId="1135C87E" w14:textId="77777777" w:rsidR="00823AF6" w:rsidRPr="00823AF6" w:rsidRDefault="00823AF6" w:rsidP="00823AF6">
      <w:pPr>
        <w:keepNext/>
        <w:keepLines/>
        <w:tabs>
          <w:tab w:val="right" w:pos="1985"/>
        </w:tabs>
        <w:autoSpaceDN w:val="0"/>
        <w:spacing w:before="360" w:after="240" w:line="300" w:lineRule="exact"/>
        <w:ind w:left="1134" w:right="1134" w:hanging="1134"/>
        <w:textAlignment w:val="baseline"/>
        <w:rPr>
          <w:b/>
          <w:kern w:val="3"/>
          <w:sz w:val="28"/>
          <w:lang w:eastAsia="zh-CN"/>
        </w:rPr>
      </w:pPr>
      <w:r w:rsidRPr="00823AF6">
        <w:rPr>
          <w:b/>
          <w:kern w:val="3"/>
          <w:sz w:val="28"/>
          <w:lang w:eastAsia="zh-CN"/>
        </w:rPr>
        <w:tab/>
        <w:t>Decision of the Committee against Torture under article 22 of the Convention against Torture and Other Cruel, Inhuman or Degrading Treatment or Punishment (fift</w:t>
      </w:r>
      <w:r w:rsidR="000B1D28">
        <w:rPr>
          <w:b/>
          <w:kern w:val="3"/>
          <w:sz w:val="28"/>
          <w:lang w:eastAsia="zh-CN"/>
        </w:rPr>
        <w:t>y</w:t>
      </w:r>
      <w:r w:rsidR="007B6112">
        <w:rPr>
          <w:b/>
          <w:kern w:val="3"/>
          <w:sz w:val="28"/>
          <w:lang w:eastAsia="zh-CN"/>
        </w:rPr>
        <w:t>-</w:t>
      </w:r>
      <w:r w:rsidR="009352A4">
        <w:rPr>
          <w:b/>
          <w:kern w:val="3"/>
          <w:sz w:val="28"/>
          <w:lang w:eastAsia="zh-CN"/>
        </w:rPr>
        <w:t>f</w:t>
      </w:r>
      <w:r w:rsidR="0005234F">
        <w:rPr>
          <w:b/>
          <w:kern w:val="3"/>
          <w:sz w:val="28"/>
          <w:lang w:eastAsia="zh-CN"/>
        </w:rPr>
        <w:t xml:space="preserve">ifth </w:t>
      </w:r>
      <w:r w:rsidRPr="00823AF6">
        <w:rPr>
          <w:b/>
          <w:kern w:val="3"/>
          <w:sz w:val="28"/>
          <w:lang w:eastAsia="zh-CN"/>
        </w:rPr>
        <w:t>session)</w:t>
      </w:r>
    </w:p>
    <w:p w14:paraId="575950F4"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concerning</w:t>
      </w:r>
    </w:p>
    <w:p w14:paraId="18838FE9" w14:textId="77777777" w:rsidR="000A2DEB" w:rsidRDefault="00823AF6" w:rsidP="00D0457B">
      <w:pPr>
        <w:pStyle w:val="H1G"/>
        <w:rPr>
          <w:szCs w:val="24"/>
          <w:lang w:eastAsia="en-GB"/>
        </w:rPr>
      </w:pPr>
      <w:r w:rsidRPr="00823AF6">
        <w:rPr>
          <w:lang w:eastAsia="zh-CN"/>
        </w:rPr>
        <w:tab/>
      </w:r>
      <w:r w:rsidR="00CA7A6D">
        <w:rPr>
          <w:lang w:eastAsia="zh-CN"/>
        </w:rPr>
        <w:tab/>
      </w:r>
      <w:r w:rsidRPr="00823AF6">
        <w:rPr>
          <w:lang w:eastAsia="zh-CN"/>
        </w:rPr>
        <w:t xml:space="preserve">Communication No. </w:t>
      </w:r>
      <w:r w:rsidR="009352A4">
        <w:rPr>
          <w:lang w:eastAsia="zh-CN"/>
        </w:rPr>
        <w:t>57</w:t>
      </w:r>
      <w:r w:rsidR="00B87A1E">
        <w:rPr>
          <w:lang w:eastAsia="zh-CN"/>
        </w:rPr>
        <w:t>1</w:t>
      </w:r>
      <w:r w:rsidR="009352A4">
        <w:rPr>
          <w:lang w:eastAsia="zh-CN"/>
        </w:rPr>
        <w:t>/</w:t>
      </w:r>
      <w:r w:rsidRPr="00823AF6">
        <w:rPr>
          <w:lang w:eastAsia="zh-CN"/>
        </w:rPr>
        <w:t>20</w:t>
      </w:r>
      <w:r w:rsidR="00A8230E">
        <w:rPr>
          <w:lang w:eastAsia="zh-CN"/>
        </w:rPr>
        <w:t>1</w:t>
      </w:r>
      <w:r w:rsidR="00B87A1E">
        <w:rPr>
          <w:lang w:eastAsia="zh-CN"/>
        </w:rPr>
        <w:t>3</w:t>
      </w:r>
      <w:r w:rsidR="000A2DEB" w:rsidRPr="00D0457B">
        <w:rPr>
          <w:rStyle w:val="FootnoteReference"/>
          <w:rFonts w:eastAsia="Calibri"/>
          <w:b w:val="0"/>
          <w:bCs/>
          <w:sz w:val="20"/>
          <w:vertAlign w:val="baseline"/>
        </w:rPr>
        <w:footnoteReference w:customMarkFollows="1" w:id="2"/>
        <w:t>*</w:t>
      </w:r>
    </w:p>
    <w:p w14:paraId="0A34AD5F" w14:textId="77777777" w:rsidR="009352A4" w:rsidRDefault="00A8230E" w:rsidP="00D0457B">
      <w:pPr>
        <w:autoSpaceDN w:val="0"/>
        <w:spacing w:after="120"/>
        <w:ind w:left="4536" w:right="1134" w:hanging="3402"/>
        <w:textAlignment w:val="baseline"/>
        <w:rPr>
          <w:kern w:val="3"/>
          <w:lang w:eastAsia="zh-CN"/>
        </w:rPr>
      </w:pPr>
      <w:r w:rsidRPr="00796FF6">
        <w:rPr>
          <w:i/>
          <w:kern w:val="3"/>
          <w:lang w:eastAsia="zh-CN"/>
        </w:rPr>
        <w:t>Submitted by:</w:t>
      </w:r>
      <w:r w:rsidRPr="00796FF6">
        <w:rPr>
          <w:i/>
          <w:kern w:val="3"/>
          <w:lang w:eastAsia="zh-CN"/>
        </w:rPr>
        <w:tab/>
      </w:r>
      <w:r w:rsidR="00F65F74">
        <w:t>M</w:t>
      </w:r>
      <w:r w:rsidR="004A0D32">
        <w:t>.</w:t>
      </w:r>
      <w:r w:rsidR="00F65F74">
        <w:t>S</w:t>
      </w:r>
      <w:r w:rsidR="004A0D32">
        <w:t>.</w:t>
      </w:r>
      <w:r w:rsidR="00F65F74">
        <w:t xml:space="preserve"> </w:t>
      </w:r>
      <w:r w:rsidR="009352A4" w:rsidRPr="009352A4">
        <w:rPr>
          <w:kern w:val="3"/>
          <w:lang w:eastAsia="zh-CN"/>
        </w:rPr>
        <w:t>(represented by counsel</w:t>
      </w:r>
      <w:r w:rsidR="00CD27A2">
        <w:rPr>
          <w:kern w:val="3"/>
          <w:lang w:eastAsia="zh-CN"/>
        </w:rPr>
        <w:t>,</w:t>
      </w:r>
      <w:r w:rsidR="00F65F74">
        <w:rPr>
          <w:kern w:val="3"/>
          <w:lang w:eastAsia="zh-CN"/>
        </w:rPr>
        <w:t xml:space="preserve"> </w:t>
      </w:r>
      <w:r w:rsidR="00F65F74" w:rsidRPr="00F65F74">
        <w:rPr>
          <w:kern w:val="3"/>
          <w:lang w:eastAsia="zh-CN"/>
        </w:rPr>
        <w:t>Line Bøgsted</w:t>
      </w:r>
      <w:r w:rsidR="003A2300">
        <w:rPr>
          <w:kern w:val="3"/>
          <w:lang w:eastAsia="zh-CN"/>
        </w:rPr>
        <w:t>, Danish Refugee Council</w:t>
      </w:r>
      <w:r w:rsidR="009352A4" w:rsidRPr="009352A4">
        <w:rPr>
          <w:kern w:val="3"/>
          <w:lang w:eastAsia="zh-CN"/>
        </w:rPr>
        <w:t>)</w:t>
      </w:r>
    </w:p>
    <w:p w14:paraId="21EBD32E" w14:textId="77777777" w:rsidR="00A8230E" w:rsidRPr="00796FF6" w:rsidRDefault="00A8230E" w:rsidP="00D0457B">
      <w:pPr>
        <w:autoSpaceDN w:val="0"/>
        <w:spacing w:after="120"/>
        <w:ind w:left="4536" w:right="1134" w:hanging="3402"/>
        <w:textAlignment w:val="baseline"/>
        <w:rPr>
          <w:kern w:val="3"/>
          <w:lang w:eastAsia="zh-CN"/>
        </w:rPr>
      </w:pPr>
      <w:r w:rsidRPr="00796FF6">
        <w:rPr>
          <w:i/>
          <w:kern w:val="3"/>
          <w:lang w:eastAsia="zh-CN"/>
        </w:rPr>
        <w:t>Alleged victim:</w:t>
      </w:r>
      <w:r w:rsidRPr="00796FF6">
        <w:rPr>
          <w:i/>
          <w:kern w:val="3"/>
          <w:lang w:eastAsia="zh-CN"/>
        </w:rPr>
        <w:tab/>
      </w:r>
      <w:r w:rsidR="009352A4" w:rsidRPr="009352A4">
        <w:rPr>
          <w:kern w:val="3"/>
          <w:lang w:eastAsia="zh-CN"/>
        </w:rPr>
        <w:t>The complainant</w:t>
      </w:r>
      <w:r w:rsidR="00E1511C">
        <w:rPr>
          <w:kern w:val="3"/>
          <w:lang w:eastAsia="zh-CN"/>
        </w:rPr>
        <w:t xml:space="preserve"> </w:t>
      </w:r>
    </w:p>
    <w:p w14:paraId="6F1151FE" w14:textId="77777777" w:rsidR="00A8230E" w:rsidRPr="00796FF6" w:rsidRDefault="00A8230E" w:rsidP="00D0457B">
      <w:pPr>
        <w:autoSpaceDN w:val="0"/>
        <w:spacing w:after="120"/>
        <w:ind w:left="4536" w:right="1134" w:hanging="3402"/>
        <w:textAlignment w:val="baseline"/>
        <w:rPr>
          <w:kern w:val="3"/>
          <w:lang w:eastAsia="zh-CN"/>
        </w:rPr>
      </w:pPr>
      <w:r w:rsidRPr="00796FF6">
        <w:rPr>
          <w:i/>
          <w:kern w:val="3"/>
          <w:lang w:eastAsia="zh-CN"/>
        </w:rPr>
        <w:t>State party:</w:t>
      </w:r>
      <w:r w:rsidRPr="00796FF6">
        <w:rPr>
          <w:i/>
          <w:kern w:val="3"/>
          <w:lang w:eastAsia="zh-CN"/>
        </w:rPr>
        <w:tab/>
      </w:r>
      <w:r w:rsidR="00F65F74">
        <w:rPr>
          <w:kern w:val="3"/>
          <w:lang w:eastAsia="zh-CN"/>
        </w:rPr>
        <w:t>Denmark</w:t>
      </w:r>
      <w:r w:rsidR="00FD44CF">
        <w:rPr>
          <w:kern w:val="3"/>
          <w:lang w:eastAsia="zh-CN"/>
        </w:rPr>
        <w:t xml:space="preserve"> </w:t>
      </w:r>
    </w:p>
    <w:p w14:paraId="068365A7" w14:textId="77777777" w:rsidR="00A8230E" w:rsidRPr="00796FF6" w:rsidRDefault="00A8230E" w:rsidP="00D0457B">
      <w:pPr>
        <w:autoSpaceDN w:val="0"/>
        <w:spacing w:after="120"/>
        <w:ind w:left="4536" w:right="1134" w:hanging="3402"/>
        <w:textAlignment w:val="baseline"/>
        <w:rPr>
          <w:kern w:val="3"/>
          <w:lang w:eastAsia="zh-CN"/>
        </w:rPr>
      </w:pPr>
      <w:r w:rsidRPr="00796FF6">
        <w:rPr>
          <w:i/>
          <w:kern w:val="3"/>
          <w:lang w:eastAsia="zh-CN"/>
        </w:rPr>
        <w:t xml:space="preserve">Date of </w:t>
      </w:r>
      <w:r w:rsidR="0035603B">
        <w:rPr>
          <w:i/>
          <w:kern w:val="3"/>
          <w:lang w:eastAsia="zh-CN"/>
        </w:rPr>
        <w:t>communication</w:t>
      </w:r>
      <w:r w:rsidRPr="00796FF6">
        <w:rPr>
          <w:i/>
          <w:kern w:val="3"/>
          <w:lang w:eastAsia="zh-CN"/>
        </w:rPr>
        <w:t>:</w:t>
      </w:r>
      <w:r w:rsidRPr="00796FF6">
        <w:rPr>
          <w:i/>
          <w:kern w:val="3"/>
          <w:lang w:eastAsia="zh-CN"/>
        </w:rPr>
        <w:tab/>
      </w:r>
      <w:r w:rsidR="00F65F74" w:rsidRPr="00F65F74">
        <w:rPr>
          <w:kern w:val="3"/>
          <w:lang w:eastAsia="zh-CN"/>
        </w:rPr>
        <w:t xml:space="preserve">22 November </w:t>
      </w:r>
      <w:r w:rsidRPr="00F65F74">
        <w:rPr>
          <w:kern w:val="3"/>
          <w:lang w:eastAsia="zh-CN"/>
        </w:rPr>
        <w:t>201</w:t>
      </w:r>
      <w:r w:rsidR="00F65F74" w:rsidRPr="00F65F74">
        <w:rPr>
          <w:kern w:val="3"/>
          <w:lang w:eastAsia="zh-CN"/>
        </w:rPr>
        <w:t>3</w:t>
      </w:r>
      <w:r>
        <w:rPr>
          <w:kern w:val="3"/>
          <w:lang w:eastAsia="zh-CN"/>
        </w:rPr>
        <w:t xml:space="preserve"> </w:t>
      </w:r>
      <w:r w:rsidRPr="00796FF6">
        <w:rPr>
          <w:kern w:val="3"/>
          <w:lang w:eastAsia="zh-CN"/>
        </w:rPr>
        <w:t>(initial submission)</w:t>
      </w:r>
    </w:p>
    <w:p w14:paraId="79DF6C31" w14:textId="77777777" w:rsidR="00823AF6" w:rsidRPr="00823AF6" w:rsidRDefault="00CD27A2" w:rsidP="00D0457B">
      <w:pPr>
        <w:autoSpaceDN w:val="0"/>
        <w:spacing w:after="120"/>
        <w:ind w:left="1134" w:right="1134"/>
        <w:jc w:val="both"/>
        <w:textAlignment w:val="baseline"/>
        <w:rPr>
          <w:lang w:eastAsia="zh-CN"/>
        </w:rPr>
      </w:pPr>
      <w:r>
        <w:rPr>
          <w:kern w:val="3"/>
          <w:lang w:eastAsia="zh-CN"/>
        </w:rPr>
        <w:tab/>
      </w:r>
      <w:r w:rsidR="00823AF6" w:rsidRPr="00823AF6">
        <w:rPr>
          <w:i/>
          <w:lang w:eastAsia="zh-CN"/>
        </w:rPr>
        <w:t>The Committee against Torture</w:t>
      </w:r>
      <w:r w:rsidR="00823AF6" w:rsidRPr="00823AF6">
        <w:rPr>
          <w:lang w:eastAsia="zh-CN"/>
        </w:rPr>
        <w:t>, established under article 17 of the Convention against Torture and Other Cruel, Inhuman or Degrading Treatment or Punishment,</w:t>
      </w:r>
    </w:p>
    <w:p w14:paraId="0B467A4E" w14:textId="77777777" w:rsidR="00823AF6" w:rsidRPr="00823AF6" w:rsidRDefault="00823AF6" w:rsidP="00162A94">
      <w:pPr>
        <w:pStyle w:val="SingleTxtG"/>
        <w:rPr>
          <w:lang w:eastAsia="zh-CN"/>
        </w:rPr>
      </w:pPr>
      <w:r w:rsidRPr="00823AF6">
        <w:rPr>
          <w:lang w:eastAsia="zh-CN"/>
        </w:rPr>
        <w:tab/>
      </w:r>
      <w:r w:rsidRPr="00823AF6">
        <w:rPr>
          <w:i/>
          <w:lang w:eastAsia="zh-CN"/>
        </w:rPr>
        <w:t xml:space="preserve">Meeting </w:t>
      </w:r>
      <w:r w:rsidRPr="00D0457B">
        <w:rPr>
          <w:iCs/>
          <w:lang w:eastAsia="zh-CN"/>
        </w:rPr>
        <w:t xml:space="preserve">on </w:t>
      </w:r>
      <w:r w:rsidR="000A2DEB">
        <w:rPr>
          <w:lang w:eastAsia="zh-CN"/>
        </w:rPr>
        <w:t>10 August</w:t>
      </w:r>
      <w:r w:rsidR="0005234F">
        <w:rPr>
          <w:lang w:eastAsia="zh-CN"/>
        </w:rPr>
        <w:t xml:space="preserve"> </w:t>
      </w:r>
      <w:r w:rsidRPr="00823AF6">
        <w:rPr>
          <w:lang w:eastAsia="zh-CN"/>
        </w:rPr>
        <w:t>201</w:t>
      </w:r>
      <w:r w:rsidR="009352A4">
        <w:rPr>
          <w:lang w:eastAsia="zh-CN"/>
        </w:rPr>
        <w:t>5</w:t>
      </w:r>
      <w:r w:rsidRPr="00823AF6">
        <w:rPr>
          <w:lang w:eastAsia="zh-CN"/>
        </w:rPr>
        <w:t>,</w:t>
      </w:r>
    </w:p>
    <w:p w14:paraId="29CEC865" w14:textId="77777777" w:rsidR="00823AF6" w:rsidRPr="00823AF6" w:rsidRDefault="00823AF6" w:rsidP="00CD27A2">
      <w:pPr>
        <w:pStyle w:val="SingleTxtG"/>
        <w:rPr>
          <w:lang w:eastAsia="zh-CN"/>
        </w:rPr>
      </w:pPr>
      <w:r w:rsidRPr="00823AF6">
        <w:rPr>
          <w:lang w:eastAsia="zh-CN"/>
        </w:rPr>
        <w:tab/>
      </w:r>
      <w:r w:rsidRPr="00823AF6">
        <w:rPr>
          <w:i/>
          <w:lang w:eastAsia="zh-CN"/>
        </w:rPr>
        <w:t xml:space="preserve">Having concluded </w:t>
      </w:r>
      <w:r w:rsidRPr="00823AF6">
        <w:rPr>
          <w:lang w:eastAsia="zh-CN"/>
        </w:rPr>
        <w:t xml:space="preserve">its consideration of </w:t>
      </w:r>
      <w:r w:rsidR="0035603B">
        <w:rPr>
          <w:lang w:eastAsia="zh-CN"/>
        </w:rPr>
        <w:t>communication</w:t>
      </w:r>
      <w:r w:rsidRPr="00823AF6">
        <w:rPr>
          <w:lang w:eastAsia="zh-CN"/>
        </w:rPr>
        <w:t xml:space="preserve"> No.</w:t>
      </w:r>
      <w:r w:rsidR="00F65F74">
        <w:rPr>
          <w:lang w:eastAsia="zh-CN"/>
        </w:rPr>
        <w:t xml:space="preserve"> </w:t>
      </w:r>
      <w:r w:rsidR="004D1415">
        <w:rPr>
          <w:lang w:eastAsia="zh-CN"/>
        </w:rPr>
        <w:t>57</w:t>
      </w:r>
      <w:r w:rsidR="00F65F74">
        <w:rPr>
          <w:lang w:eastAsia="zh-CN"/>
        </w:rPr>
        <w:t>1</w:t>
      </w:r>
      <w:r w:rsidRPr="00823AF6">
        <w:rPr>
          <w:lang w:eastAsia="zh-CN"/>
        </w:rPr>
        <w:t>/20</w:t>
      </w:r>
      <w:r w:rsidR="000B1D28">
        <w:rPr>
          <w:lang w:eastAsia="zh-CN"/>
        </w:rPr>
        <w:t>1</w:t>
      </w:r>
      <w:r w:rsidR="00F65F74">
        <w:rPr>
          <w:lang w:eastAsia="zh-CN"/>
        </w:rPr>
        <w:t>3</w:t>
      </w:r>
      <w:r w:rsidRPr="00823AF6">
        <w:rPr>
          <w:lang w:eastAsia="zh-CN"/>
        </w:rPr>
        <w:t xml:space="preserve">, submitted to </w:t>
      </w:r>
      <w:r w:rsidR="00CD27A2">
        <w:rPr>
          <w:lang w:eastAsia="zh-CN"/>
        </w:rPr>
        <w:t>it</w:t>
      </w:r>
      <w:r w:rsidRPr="00823AF6">
        <w:rPr>
          <w:lang w:eastAsia="zh-CN"/>
        </w:rPr>
        <w:t xml:space="preserve"> by</w:t>
      </w:r>
      <w:r w:rsidR="00B830B4">
        <w:rPr>
          <w:lang w:eastAsia="zh-CN"/>
        </w:rPr>
        <w:t xml:space="preserve"> </w:t>
      </w:r>
      <w:r w:rsidR="00F65F74">
        <w:rPr>
          <w:lang w:eastAsia="zh-CN"/>
        </w:rPr>
        <w:t>M</w:t>
      </w:r>
      <w:r w:rsidR="004A0D32">
        <w:rPr>
          <w:lang w:eastAsia="zh-CN"/>
        </w:rPr>
        <w:t>.</w:t>
      </w:r>
      <w:r w:rsidR="00F65F74">
        <w:rPr>
          <w:lang w:eastAsia="zh-CN"/>
        </w:rPr>
        <w:t>S</w:t>
      </w:r>
      <w:r w:rsidR="004A0D32">
        <w:rPr>
          <w:lang w:eastAsia="zh-CN"/>
        </w:rPr>
        <w:t>.</w:t>
      </w:r>
      <w:r w:rsidR="00CD27A2">
        <w:rPr>
          <w:lang w:eastAsia="zh-CN"/>
        </w:rPr>
        <w:t>,</w:t>
      </w:r>
      <w:r w:rsidR="007B6112">
        <w:rPr>
          <w:lang w:eastAsia="zh-CN"/>
        </w:rPr>
        <w:t xml:space="preserve"> </w:t>
      </w:r>
      <w:r w:rsidRPr="00823AF6">
        <w:rPr>
          <w:lang w:eastAsia="zh-CN"/>
        </w:rPr>
        <w:t>under article 22 of the Convention,</w:t>
      </w:r>
    </w:p>
    <w:p w14:paraId="7CEA9E28" w14:textId="77777777" w:rsidR="00823AF6" w:rsidRPr="00823AF6" w:rsidRDefault="00823AF6" w:rsidP="00AA4282">
      <w:pPr>
        <w:pStyle w:val="SingleTxtG"/>
        <w:rPr>
          <w:lang w:eastAsia="zh-CN"/>
        </w:rPr>
      </w:pPr>
      <w:r w:rsidRPr="00823AF6">
        <w:rPr>
          <w:lang w:eastAsia="zh-CN"/>
        </w:rPr>
        <w:tab/>
      </w:r>
      <w:r w:rsidRPr="00823AF6">
        <w:rPr>
          <w:i/>
          <w:lang w:eastAsia="zh-CN"/>
        </w:rPr>
        <w:t xml:space="preserve">Having taken into account </w:t>
      </w:r>
      <w:r w:rsidRPr="00823AF6">
        <w:rPr>
          <w:lang w:eastAsia="zh-CN"/>
        </w:rPr>
        <w:t>all information made available to it by the complainant and the State party,</w:t>
      </w:r>
    </w:p>
    <w:p w14:paraId="4FC27212" w14:textId="77777777" w:rsidR="00823AF6" w:rsidRPr="00823AF6" w:rsidRDefault="00823AF6" w:rsidP="00823AF6">
      <w:pPr>
        <w:autoSpaceDN w:val="0"/>
        <w:spacing w:after="120"/>
        <w:ind w:left="1134" w:right="1134"/>
        <w:jc w:val="both"/>
        <w:textAlignment w:val="baseline"/>
        <w:rPr>
          <w:kern w:val="3"/>
          <w:lang w:eastAsia="zh-CN"/>
        </w:rPr>
      </w:pPr>
      <w:r w:rsidRPr="00823AF6">
        <w:rPr>
          <w:kern w:val="3"/>
          <w:lang w:eastAsia="zh-CN"/>
        </w:rPr>
        <w:tab/>
      </w:r>
      <w:r w:rsidRPr="00823AF6">
        <w:rPr>
          <w:i/>
          <w:kern w:val="3"/>
          <w:lang w:eastAsia="zh-CN"/>
        </w:rPr>
        <w:t xml:space="preserve">Adopts </w:t>
      </w:r>
      <w:r w:rsidRPr="00823AF6">
        <w:rPr>
          <w:kern w:val="3"/>
          <w:lang w:eastAsia="zh-CN"/>
        </w:rPr>
        <w:t>the following:</w:t>
      </w:r>
    </w:p>
    <w:p w14:paraId="719EFB05" w14:textId="77777777" w:rsidR="00823AF6" w:rsidRPr="00823AF6" w:rsidRDefault="00823AF6" w:rsidP="00CD27A2">
      <w:pPr>
        <w:keepNext/>
        <w:keepLines/>
        <w:tabs>
          <w:tab w:val="right" w:pos="1985"/>
        </w:tabs>
        <w:autoSpaceDN w:val="0"/>
        <w:spacing w:after="120" w:line="270" w:lineRule="exact"/>
        <w:ind w:left="1134" w:right="1134" w:hanging="1134"/>
        <w:textAlignment w:val="baseline"/>
        <w:rPr>
          <w:b/>
          <w:kern w:val="3"/>
          <w:sz w:val="24"/>
          <w:lang w:eastAsia="zh-CN"/>
        </w:rPr>
      </w:pPr>
      <w:r w:rsidRPr="00823AF6">
        <w:rPr>
          <w:b/>
          <w:kern w:val="3"/>
          <w:sz w:val="24"/>
          <w:lang w:eastAsia="zh-CN"/>
        </w:rPr>
        <w:tab/>
      </w:r>
      <w:r w:rsidR="00CA7A6D">
        <w:rPr>
          <w:b/>
          <w:kern w:val="3"/>
          <w:sz w:val="24"/>
          <w:lang w:eastAsia="zh-CN"/>
        </w:rPr>
        <w:tab/>
      </w:r>
      <w:r w:rsidRPr="00823AF6">
        <w:rPr>
          <w:b/>
          <w:kern w:val="3"/>
          <w:sz w:val="24"/>
          <w:lang w:eastAsia="zh-CN"/>
        </w:rPr>
        <w:t>Decision under article 22</w:t>
      </w:r>
      <w:r w:rsidR="00CA11A3">
        <w:rPr>
          <w:b/>
          <w:kern w:val="3"/>
          <w:sz w:val="24"/>
          <w:lang w:eastAsia="zh-CN"/>
        </w:rPr>
        <w:t>(</w:t>
      </w:r>
      <w:r w:rsidRPr="00823AF6">
        <w:rPr>
          <w:b/>
          <w:kern w:val="3"/>
          <w:sz w:val="24"/>
          <w:lang w:eastAsia="zh-CN"/>
        </w:rPr>
        <w:t>7</w:t>
      </w:r>
      <w:r w:rsidR="00CA11A3">
        <w:rPr>
          <w:b/>
          <w:kern w:val="3"/>
          <w:sz w:val="24"/>
          <w:lang w:eastAsia="zh-CN"/>
        </w:rPr>
        <w:t>)</w:t>
      </w:r>
      <w:r w:rsidRPr="00823AF6">
        <w:rPr>
          <w:b/>
          <w:kern w:val="3"/>
          <w:sz w:val="24"/>
          <w:lang w:eastAsia="zh-CN"/>
        </w:rPr>
        <w:t xml:space="preserve"> of the Convention </w:t>
      </w:r>
    </w:p>
    <w:p w14:paraId="7B10F0E3" w14:textId="77777777" w:rsidR="0086703C" w:rsidRDefault="0086703C" w:rsidP="003A2300">
      <w:pPr>
        <w:pStyle w:val="SingleTxtG"/>
      </w:pPr>
      <w:r>
        <w:t>1.</w:t>
      </w:r>
      <w:r w:rsidR="00823D16">
        <w:t>1</w:t>
      </w:r>
      <w:r>
        <w:tab/>
        <w:t xml:space="preserve">The </w:t>
      </w:r>
      <w:r w:rsidR="00823D16">
        <w:t>complainant</w:t>
      </w:r>
      <w:r>
        <w:t xml:space="preserve"> </w:t>
      </w:r>
      <w:r w:rsidR="00EA34F6">
        <w:t>i</w:t>
      </w:r>
      <w:r>
        <w:t xml:space="preserve">s </w:t>
      </w:r>
      <w:r w:rsidR="00F65F74">
        <w:t>M</w:t>
      </w:r>
      <w:r w:rsidR="004A0D32">
        <w:t>.</w:t>
      </w:r>
      <w:r w:rsidR="00F65F74">
        <w:t>S</w:t>
      </w:r>
      <w:r w:rsidR="004A0D32">
        <w:t>.</w:t>
      </w:r>
      <w:r w:rsidR="00F65F74">
        <w:t xml:space="preserve">, </w:t>
      </w:r>
      <w:r w:rsidR="004D1415" w:rsidRPr="004D1415">
        <w:t>a</w:t>
      </w:r>
      <w:r w:rsidR="00F65F74">
        <w:t xml:space="preserve">n Afghan national born </w:t>
      </w:r>
      <w:r w:rsidR="007B6112">
        <w:t>in</w:t>
      </w:r>
      <w:r w:rsidR="00F65F74">
        <w:t xml:space="preserve"> 1981</w:t>
      </w:r>
      <w:r w:rsidR="007B6112">
        <w:t>. H</w:t>
      </w:r>
      <w:r w:rsidR="003A2300">
        <w:t xml:space="preserve">is request for </w:t>
      </w:r>
      <w:r w:rsidR="0051724E">
        <w:t>asylum in Denmark</w:t>
      </w:r>
      <w:r w:rsidR="007B6112">
        <w:t xml:space="preserve"> was rejected and </w:t>
      </w:r>
      <w:r w:rsidR="003A2300">
        <w:t xml:space="preserve">at the time of submission of the complaint, </w:t>
      </w:r>
      <w:r w:rsidR="007B6112">
        <w:t xml:space="preserve">he </w:t>
      </w:r>
      <w:r w:rsidR="003A2300">
        <w:t xml:space="preserve">was in detention </w:t>
      </w:r>
      <w:r w:rsidR="007B6112">
        <w:t xml:space="preserve">awaiting deportation to Afghanistan. He </w:t>
      </w:r>
      <w:r w:rsidR="004D1415" w:rsidRPr="004D1415">
        <w:t xml:space="preserve">claims </w:t>
      </w:r>
      <w:r w:rsidR="003A2300">
        <w:t xml:space="preserve">his deportation to </w:t>
      </w:r>
      <w:r w:rsidR="007B6112">
        <w:t>Afghanistan</w:t>
      </w:r>
      <w:r w:rsidR="004D1415" w:rsidRPr="004D1415">
        <w:t xml:space="preserve"> </w:t>
      </w:r>
      <w:r w:rsidR="003A2300">
        <w:t>would be contrary to article 3 of the Convention as he would be</w:t>
      </w:r>
      <w:r w:rsidR="00EE0A9E">
        <w:t xml:space="preserve"> </w:t>
      </w:r>
      <w:r w:rsidR="00EA34F6">
        <w:t>at</w:t>
      </w:r>
      <w:r w:rsidR="00EE0A9E">
        <w:t xml:space="preserve"> risk of being subjected </w:t>
      </w:r>
      <w:r w:rsidR="004D1415" w:rsidRPr="004D1415">
        <w:t>to torture</w:t>
      </w:r>
      <w:r w:rsidR="007B6112">
        <w:t xml:space="preserve">. </w:t>
      </w:r>
      <w:r w:rsidR="003A2300">
        <w:t>N</w:t>
      </w:r>
      <w:r w:rsidR="009D67E7">
        <w:t>o date ha</w:t>
      </w:r>
      <w:r w:rsidR="003A2300">
        <w:t>s</w:t>
      </w:r>
      <w:r w:rsidR="009D67E7">
        <w:t xml:space="preserve"> been set</w:t>
      </w:r>
      <w:r w:rsidR="003A2300">
        <w:t xml:space="preserve"> for his deportation</w:t>
      </w:r>
      <w:r w:rsidR="009D67E7">
        <w:t xml:space="preserve">. </w:t>
      </w:r>
      <w:r w:rsidR="004D1415" w:rsidRPr="004D1415">
        <w:t xml:space="preserve">The complainant is represented by </w:t>
      </w:r>
      <w:r w:rsidR="003A2300" w:rsidRPr="00F65F74">
        <w:rPr>
          <w:kern w:val="3"/>
          <w:lang w:eastAsia="zh-CN"/>
        </w:rPr>
        <w:t>Line Bøgsted</w:t>
      </w:r>
      <w:r w:rsidR="003A2300">
        <w:rPr>
          <w:kern w:val="3"/>
          <w:lang w:eastAsia="zh-CN"/>
        </w:rPr>
        <w:t xml:space="preserve"> of </w:t>
      </w:r>
      <w:r w:rsidR="0005234F">
        <w:t>the Danish Refugee Council.</w:t>
      </w:r>
    </w:p>
    <w:p w14:paraId="53F64141" w14:textId="77777777" w:rsidR="008E05FC" w:rsidRDefault="004D1415" w:rsidP="00A37262">
      <w:pPr>
        <w:pStyle w:val="SingleTxtG"/>
        <w:spacing w:after="240"/>
      </w:pPr>
      <w:r>
        <w:t>1.2</w:t>
      </w:r>
      <w:r w:rsidR="00FC756D">
        <w:tab/>
      </w:r>
      <w:r>
        <w:t>On 2</w:t>
      </w:r>
      <w:r w:rsidR="00DF621B">
        <w:t>7</w:t>
      </w:r>
      <w:r>
        <w:t xml:space="preserve"> </w:t>
      </w:r>
      <w:r w:rsidR="00DF621B">
        <w:t xml:space="preserve">November </w:t>
      </w:r>
      <w:r>
        <w:t>201</w:t>
      </w:r>
      <w:r w:rsidR="00DF621B">
        <w:t>3</w:t>
      </w:r>
      <w:r>
        <w:t xml:space="preserve">, </w:t>
      </w:r>
      <w:r w:rsidR="00D57693">
        <w:t>acting under</w:t>
      </w:r>
      <w:r w:rsidR="00AF5A62">
        <w:t xml:space="preserve"> </w:t>
      </w:r>
      <w:r>
        <w:t xml:space="preserve">rule 114, paragraph 1, of its </w:t>
      </w:r>
      <w:r w:rsidR="00666CF9">
        <w:t>r</w:t>
      </w:r>
      <w:r>
        <w:t xml:space="preserve">ules of procedure (CAT/C/3/Rev.5), the Committee </w:t>
      </w:r>
      <w:r w:rsidR="00642A42" w:rsidRPr="00642A42">
        <w:t xml:space="preserve">granted the request for </w:t>
      </w:r>
      <w:r w:rsidR="00642A42">
        <w:t xml:space="preserve">provisional </w:t>
      </w:r>
      <w:r w:rsidR="00642A42" w:rsidRPr="00642A42">
        <w:t xml:space="preserve">interim measures </w:t>
      </w:r>
      <w:r w:rsidR="00642A42">
        <w:t xml:space="preserve">and </w:t>
      </w:r>
      <w:r>
        <w:t xml:space="preserve">requested the State party </w:t>
      </w:r>
      <w:r w:rsidR="00DF621B">
        <w:t xml:space="preserve">to refrain from </w:t>
      </w:r>
      <w:r w:rsidR="00CD770C">
        <w:t xml:space="preserve">expelling </w:t>
      </w:r>
      <w:r w:rsidR="00AF5A62">
        <w:t xml:space="preserve">the complainant </w:t>
      </w:r>
      <w:r w:rsidR="008E05FC">
        <w:t xml:space="preserve">to </w:t>
      </w:r>
      <w:r w:rsidR="00DF621B">
        <w:t xml:space="preserve">Afghanistan while his </w:t>
      </w:r>
      <w:r w:rsidR="0035603B">
        <w:t>communication</w:t>
      </w:r>
      <w:r w:rsidR="00DF621B">
        <w:t xml:space="preserve"> </w:t>
      </w:r>
      <w:r w:rsidR="00D57693">
        <w:t>wa</w:t>
      </w:r>
      <w:r w:rsidR="00DF621B">
        <w:t>s under consideration by the Committee</w:t>
      </w:r>
      <w:r w:rsidR="00D57693">
        <w:t>.</w:t>
      </w:r>
      <w:r w:rsidR="009A6630">
        <w:t xml:space="preserve"> </w:t>
      </w:r>
      <w:r w:rsidR="00D57693">
        <w:t>T</w:t>
      </w:r>
      <w:r w:rsidR="00642A42" w:rsidRPr="00642A42">
        <w:t>h</w:t>
      </w:r>
      <w:r w:rsidR="00A37262">
        <w:t>at</w:t>
      </w:r>
      <w:r w:rsidR="00642A42" w:rsidRPr="00642A42">
        <w:t xml:space="preserve"> request </w:t>
      </w:r>
      <w:r w:rsidR="00D57693">
        <w:t>may</w:t>
      </w:r>
      <w:r w:rsidR="00642A42" w:rsidRPr="00CD770C">
        <w:t xml:space="preserve"> be reviewed at the request of the State party, in </w:t>
      </w:r>
      <w:r w:rsidR="00D57693">
        <w:t xml:space="preserve">the </w:t>
      </w:r>
      <w:r w:rsidR="00642A42" w:rsidRPr="00CD770C">
        <w:t xml:space="preserve">light of information and </w:t>
      </w:r>
      <w:r w:rsidR="00AF5A62">
        <w:t xml:space="preserve">observations </w:t>
      </w:r>
      <w:r w:rsidR="00642A42" w:rsidRPr="00CD770C">
        <w:t>received from the State party</w:t>
      </w:r>
      <w:r w:rsidR="00CD770C" w:rsidRPr="00CD770C">
        <w:t xml:space="preserve">. The Committee also </w:t>
      </w:r>
      <w:r w:rsidR="00D57693">
        <w:t>states</w:t>
      </w:r>
      <w:r w:rsidR="00CD770C" w:rsidRPr="00CD770C">
        <w:t xml:space="preserve"> that it may decide to lift the interim measures if the complainant continues to hide after the State party agrees to </w:t>
      </w:r>
      <w:r w:rsidR="00AF5A62">
        <w:t xml:space="preserve">comply with the </w:t>
      </w:r>
      <w:r w:rsidR="00D57693">
        <w:t xml:space="preserve">request for </w:t>
      </w:r>
      <w:r w:rsidR="00CD770C" w:rsidRPr="00CD770C">
        <w:lastRenderedPageBreak/>
        <w:t xml:space="preserve">interim measures. </w:t>
      </w:r>
      <w:r w:rsidR="00671842">
        <w:t xml:space="preserve">By letter of 3 December 2013, the Danish Refugee Appeals Board </w:t>
      </w:r>
      <w:r w:rsidR="004E2A48">
        <w:t xml:space="preserve"> </w:t>
      </w:r>
      <w:r w:rsidR="00671842">
        <w:t>decided to postpone the complainant’s deportation to Afghanistan.</w:t>
      </w:r>
      <w:r w:rsidR="00671842">
        <w:rPr>
          <w:rStyle w:val="FootnoteReference"/>
        </w:rPr>
        <w:footnoteReference w:id="3"/>
      </w:r>
    </w:p>
    <w:p w14:paraId="29324025" w14:textId="77777777" w:rsidR="00CA7A6D" w:rsidRDefault="00D20058" w:rsidP="00D0457B">
      <w:pPr>
        <w:pStyle w:val="H23G"/>
      </w:pPr>
      <w:r>
        <w:tab/>
      </w:r>
      <w:r>
        <w:tab/>
      </w:r>
      <w:r w:rsidR="0086703C" w:rsidRPr="00823D16">
        <w:t xml:space="preserve">The facts as presented by the </w:t>
      </w:r>
      <w:r w:rsidR="003F17B2">
        <w:t>complainant</w:t>
      </w:r>
    </w:p>
    <w:p w14:paraId="07D383A4" w14:textId="77777777" w:rsidR="00601B91" w:rsidRDefault="0086703C" w:rsidP="00A37262">
      <w:pPr>
        <w:pStyle w:val="SingleTxtG"/>
      </w:pPr>
      <w:r w:rsidRPr="00AA4282">
        <w:t>2.1</w:t>
      </w:r>
      <w:r w:rsidRPr="00AA4282">
        <w:tab/>
      </w:r>
      <w:r w:rsidR="00346A65" w:rsidRPr="00346A65">
        <w:t xml:space="preserve">The complainant was born </w:t>
      </w:r>
      <w:r w:rsidR="00601B91">
        <w:t xml:space="preserve">in </w:t>
      </w:r>
      <w:r w:rsidR="00346A65" w:rsidRPr="00346A65">
        <w:t>19</w:t>
      </w:r>
      <w:r w:rsidR="00601B91">
        <w:t>81</w:t>
      </w:r>
      <w:r w:rsidR="00EE0A9E">
        <w:t xml:space="preserve"> in Kandahar</w:t>
      </w:r>
      <w:r w:rsidR="00666CF9">
        <w:t xml:space="preserve">, </w:t>
      </w:r>
      <w:r w:rsidR="00666CF9" w:rsidRPr="00666CF9">
        <w:t>Afghanistan</w:t>
      </w:r>
      <w:r w:rsidR="00346A65" w:rsidRPr="00346A65">
        <w:t>.</w:t>
      </w:r>
      <w:r w:rsidR="00601B91">
        <w:t xml:space="preserve"> </w:t>
      </w:r>
      <w:r w:rsidR="00AF5A62">
        <w:t xml:space="preserve">He arrived </w:t>
      </w:r>
      <w:r w:rsidR="00601B91" w:rsidRPr="00601B91">
        <w:t>in Denmark on 21 May 2010</w:t>
      </w:r>
      <w:r w:rsidR="00D57693">
        <w:t>,</w:t>
      </w:r>
      <w:r w:rsidR="00AF5A62">
        <w:t xml:space="preserve"> together with his wife</w:t>
      </w:r>
      <w:r w:rsidR="00601B91" w:rsidRPr="00601B91">
        <w:t xml:space="preserve">. </w:t>
      </w:r>
      <w:r w:rsidR="00172118">
        <w:t xml:space="preserve">On the same day, </w:t>
      </w:r>
      <w:r w:rsidR="00AF5A62">
        <w:t xml:space="preserve">they </w:t>
      </w:r>
      <w:r w:rsidR="00172118">
        <w:t xml:space="preserve">were interviewed by the Danish National Police. </w:t>
      </w:r>
      <w:r w:rsidR="00642B10">
        <w:t>As t</w:t>
      </w:r>
      <w:r w:rsidR="00601B91" w:rsidRPr="00601B91">
        <w:t xml:space="preserve">he </w:t>
      </w:r>
      <w:r w:rsidR="00666CF9">
        <w:t xml:space="preserve">complainant </w:t>
      </w:r>
      <w:r w:rsidR="00601B91" w:rsidRPr="00601B91">
        <w:t>is illiterate</w:t>
      </w:r>
      <w:r w:rsidR="00642B10">
        <w:t xml:space="preserve">, his </w:t>
      </w:r>
      <w:r w:rsidR="00601B91" w:rsidRPr="00601B91">
        <w:t xml:space="preserve">wife filled </w:t>
      </w:r>
      <w:r w:rsidR="009B5E9F">
        <w:t>out</w:t>
      </w:r>
      <w:r w:rsidR="00601B91" w:rsidRPr="00601B91">
        <w:t xml:space="preserve"> </w:t>
      </w:r>
      <w:r w:rsidR="00E1511C">
        <w:t xml:space="preserve">the application for </w:t>
      </w:r>
      <w:r w:rsidR="00601B91" w:rsidRPr="00601B91">
        <w:t>asylum</w:t>
      </w:r>
      <w:r w:rsidR="00D01DA0">
        <w:t xml:space="preserve"> </w:t>
      </w:r>
      <w:r w:rsidR="00601B91" w:rsidRPr="00601B91">
        <w:t>o</w:t>
      </w:r>
      <w:r w:rsidR="00C175CB">
        <w:t xml:space="preserve">n </w:t>
      </w:r>
      <w:r w:rsidR="00601B91" w:rsidRPr="00601B91">
        <w:t>2</w:t>
      </w:r>
      <w:r w:rsidR="00D01DA0">
        <w:t>5</w:t>
      </w:r>
      <w:r w:rsidR="00490FAB">
        <w:t xml:space="preserve"> </w:t>
      </w:r>
      <w:r w:rsidR="00601B91" w:rsidRPr="00601B91">
        <w:t xml:space="preserve">May 2010, </w:t>
      </w:r>
      <w:r w:rsidR="00D57693">
        <w:t>in which</w:t>
      </w:r>
      <w:r w:rsidR="00601B91" w:rsidRPr="00601B91">
        <w:t xml:space="preserve"> she explained that her husband had been abducted twice by a group of </w:t>
      </w:r>
      <w:r w:rsidR="00D20058">
        <w:t>“</w:t>
      </w:r>
      <w:r w:rsidR="00601B91" w:rsidRPr="00601B91">
        <w:t>criminals</w:t>
      </w:r>
      <w:r w:rsidR="00D20058">
        <w:t>”</w:t>
      </w:r>
      <w:r w:rsidR="00601B91" w:rsidRPr="00601B91">
        <w:t xml:space="preserve"> in </w:t>
      </w:r>
      <w:r w:rsidR="00536AC0">
        <w:t xml:space="preserve">Kandahar and </w:t>
      </w:r>
      <w:r w:rsidR="00D57693">
        <w:t xml:space="preserve">in </w:t>
      </w:r>
      <w:r w:rsidR="00536AC0">
        <w:t xml:space="preserve">Kabul, </w:t>
      </w:r>
      <w:r w:rsidR="00601B91" w:rsidRPr="00601B91">
        <w:t>Afghanistan</w:t>
      </w:r>
      <w:r w:rsidR="00D57693">
        <w:t>,</w:t>
      </w:r>
      <w:r w:rsidR="00601B91" w:rsidRPr="00601B91">
        <w:t xml:space="preserve"> </w:t>
      </w:r>
      <w:r w:rsidR="00D57693">
        <w:t xml:space="preserve">and that </w:t>
      </w:r>
      <w:r w:rsidR="00536AC0">
        <w:t xml:space="preserve">he </w:t>
      </w:r>
      <w:r w:rsidR="00601B91" w:rsidRPr="00601B91">
        <w:t>had been subjected to torture</w:t>
      </w:r>
      <w:r w:rsidR="00D57693">
        <w:t xml:space="preserve"> on both occasions</w:t>
      </w:r>
      <w:r w:rsidR="00601B91" w:rsidRPr="00601B91">
        <w:t>.</w:t>
      </w:r>
      <w:r w:rsidR="009C4EF2">
        <w:rPr>
          <w:rStyle w:val="FootnoteReference"/>
        </w:rPr>
        <w:footnoteReference w:id="4"/>
      </w:r>
      <w:r w:rsidR="00536AC0">
        <w:t xml:space="preserve"> </w:t>
      </w:r>
      <w:r w:rsidR="00A37262">
        <w:t>She</w:t>
      </w:r>
      <w:r w:rsidR="00536AC0">
        <w:t xml:space="preserve"> explained that the abductors demanded money for her husband’s release. </w:t>
      </w:r>
    </w:p>
    <w:p w14:paraId="586DE6E5" w14:textId="77777777" w:rsidR="00CA7A6D" w:rsidRPr="00AA4282" w:rsidRDefault="0086703C">
      <w:pPr>
        <w:pStyle w:val="SingleTxtG"/>
      </w:pPr>
      <w:r w:rsidRPr="00AA4282">
        <w:t>2.2</w:t>
      </w:r>
      <w:r w:rsidRPr="00AA4282">
        <w:tab/>
      </w:r>
      <w:r w:rsidR="00642B10">
        <w:t xml:space="preserve">The complainant was interviewed by the Danish Immigration Service on 11 May 2011. He </w:t>
      </w:r>
      <w:r w:rsidR="002D75B6" w:rsidRPr="002D75B6">
        <w:t>explain</w:t>
      </w:r>
      <w:r w:rsidR="000271CE">
        <w:t>ed</w:t>
      </w:r>
      <w:r w:rsidR="002D75B6" w:rsidRPr="002D75B6">
        <w:t xml:space="preserve"> that he was first abducted by the Taliban in Kandahar for 22 days and was tortured (no date</w:t>
      </w:r>
      <w:r w:rsidR="000271CE">
        <w:t>s</w:t>
      </w:r>
      <w:r w:rsidR="002D75B6" w:rsidRPr="002D75B6">
        <w:t xml:space="preserve"> </w:t>
      </w:r>
      <w:r w:rsidR="00282645">
        <w:t>a</w:t>
      </w:r>
      <w:r w:rsidR="009B5E9F">
        <w:t xml:space="preserve">re </w:t>
      </w:r>
      <w:r w:rsidR="002D75B6" w:rsidRPr="002D75B6">
        <w:t>provided).</w:t>
      </w:r>
      <w:r w:rsidR="009C4EF2">
        <w:rPr>
          <w:rStyle w:val="FootnoteReference"/>
        </w:rPr>
        <w:footnoteReference w:id="5"/>
      </w:r>
      <w:r w:rsidR="002D75B6" w:rsidRPr="002D75B6">
        <w:t xml:space="preserve"> </w:t>
      </w:r>
      <w:r w:rsidR="00642B10">
        <w:t xml:space="preserve">Most of the time, he was blindfolded so he </w:t>
      </w:r>
      <w:r w:rsidR="009B5E9F">
        <w:t>wa</w:t>
      </w:r>
      <w:r w:rsidR="00642B10">
        <w:t xml:space="preserve">s not sure whether there were two or more abductors. </w:t>
      </w:r>
      <w:r w:rsidR="002D75B6" w:rsidRPr="002D75B6">
        <w:t xml:space="preserve">He was hit with cables and burned with hot metal. </w:t>
      </w:r>
      <w:r w:rsidR="001419D6">
        <w:t>He claims that e</w:t>
      </w:r>
      <w:r w:rsidR="002D75B6" w:rsidRPr="002D75B6">
        <w:t>very second or third night</w:t>
      </w:r>
      <w:r w:rsidR="00A37262">
        <w:t>,</w:t>
      </w:r>
      <w:r w:rsidR="002D75B6" w:rsidRPr="002D75B6">
        <w:t xml:space="preserve"> his hands and feet were tied up and </w:t>
      </w:r>
      <w:r w:rsidR="009B5E9F">
        <w:t xml:space="preserve">that </w:t>
      </w:r>
      <w:r w:rsidR="002D75B6" w:rsidRPr="002D75B6">
        <w:t xml:space="preserve">he was raped by two members of the Taliban. </w:t>
      </w:r>
      <w:r w:rsidR="009B5E9F">
        <w:t>He said that t</w:t>
      </w:r>
      <w:r w:rsidR="002D75B6" w:rsidRPr="002D75B6">
        <w:t xml:space="preserve">he Taliban wanted him to act as a messenger </w:t>
      </w:r>
      <w:r w:rsidR="00642B10">
        <w:t xml:space="preserve">and distribute flyers in Kandahar </w:t>
      </w:r>
      <w:r w:rsidR="002D75B6" w:rsidRPr="002D75B6">
        <w:t xml:space="preserve">and </w:t>
      </w:r>
      <w:r w:rsidR="00A37262">
        <w:t xml:space="preserve">that </w:t>
      </w:r>
      <w:r w:rsidR="009B5E9F">
        <w:t xml:space="preserve">they </w:t>
      </w:r>
      <w:r w:rsidR="002D75B6" w:rsidRPr="002D75B6">
        <w:t xml:space="preserve">asked him to sign up to </w:t>
      </w:r>
      <w:r w:rsidR="00311E5E">
        <w:t>carry out j</w:t>
      </w:r>
      <w:r w:rsidR="002D75B6" w:rsidRPr="002D75B6">
        <w:t>ihad</w:t>
      </w:r>
      <w:r w:rsidR="00B143EB">
        <w:t>, including by carrying a suicide bomb</w:t>
      </w:r>
      <w:r w:rsidR="002D75B6" w:rsidRPr="002D75B6">
        <w:t xml:space="preserve">. </w:t>
      </w:r>
      <w:r w:rsidR="009B5E9F">
        <w:t>He said that he</w:t>
      </w:r>
      <w:r w:rsidR="00B143EB">
        <w:t xml:space="preserve"> accepted </w:t>
      </w:r>
      <w:r w:rsidR="009B5E9F">
        <w:t xml:space="preserve">to </w:t>
      </w:r>
      <w:r w:rsidR="00B143EB">
        <w:t xml:space="preserve">carry out jihad on the second day of his detention. </w:t>
      </w:r>
      <w:r w:rsidR="00642B10">
        <w:t>The Taliban also wanted 100</w:t>
      </w:r>
      <w:r w:rsidR="00774FC0">
        <w:t>,</w:t>
      </w:r>
      <w:r w:rsidR="00642B10">
        <w:t xml:space="preserve">000 </w:t>
      </w:r>
      <w:r w:rsidR="006979A9">
        <w:t xml:space="preserve">US dollars from </w:t>
      </w:r>
      <w:r w:rsidR="00642B10">
        <w:t xml:space="preserve">the complainant’s father </w:t>
      </w:r>
      <w:r w:rsidR="00A37262">
        <w:t xml:space="preserve">in order </w:t>
      </w:r>
      <w:r w:rsidR="00642B10">
        <w:t xml:space="preserve">to release </w:t>
      </w:r>
      <w:r w:rsidR="000271CE">
        <w:t>him</w:t>
      </w:r>
      <w:r w:rsidR="00A37262">
        <w:t>,</w:t>
      </w:r>
      <w:r w:rsidR="00B143EB">
        <w:t xml:space="preserve"> as </w:t>
      </w:r>
      <w:r w:rsidR="006979A9">
        <w:t xml:space="preserve">his </w:t>
      </w:r>
      <w:r w:rsidR="00B143EB">
        <w:t>family w</w:t>
      </w:r>
      <w:r w:rsidR="00282645">
        <w:t>as</w:t>
      </w:r>
      <w:r w:rsidR="00B143EB">
        <w:t xml:space="preserve"> well</w:t>
      </w:r>
      <w:r w:rsidR="00282645">
        <w:t xml:space="preserve"> </w:t>
      </w:r>
      <w:r w:rsidR="00B143EB">
        <w:t>known and wealthy</w:t>
      </w:r>
      <w:r w:rsidR="00642B10">
        <w:t>.</w:t>
      </w:r>
      <w:r w:rsidR="00B143EB">
        <w:t xml:space="preserve"> </w:t>
      </w:r>
      <w:r w:rsidR="00282645">
        <w:t>His</w:t>
      </w:r>
      <w:r w:rsidR="002D75B6" w:rsidRPr="002D75B6">
        <w:t xml:space="preserve"> father gave the Taliban 20</w:t>
      </w:r>
      <w:r w:rsidR="00774FC0">
        <w:t>,</w:t>
      </w:r>
      <w:r w:rsidR="002D75B6" w:rsidRPr="002D75B6">
        <w:t xml:space="preserve">000 US dollars </w:t>
      </w:r>
      <w:r w:rsidR="000271CE">
        <w:t xml:space="preserve">and </w:t>
      </w:r>
      <w:r w:rsidR="002D75B6" w:rsidRPr="002D75B6">
        <w:t>obtain</w:t>
      </w:r>
      <w:r w:rsidR="000271CE">
        <w:t>ed</w:t>
      </w:r>
      <w:r w:rsidR="002D75B6" w:rsidRPr="002D75B6">
        <w:t xml:space="preserve"> </w:t>
      </w:r>
      <w:r w:rsidR="00282645">
        <w:t>his</w:t>
      </w:r>
      <w:r w:rsidR="002D75B6" w:rsidRPr="002D75B6">
        <w:t xml:space="preserve"> release</w:t>
      </w:r>
      <w:r w:rsidR="008A187D" w:rsidRPr="008A187D">
        <w:t>.</w:t>
      </w:r>
      <w:r w:rsidRPr="00AA4282">
        <w:t xml:space="preserve"> </w:t>
      </w:r>
    </w:p>
    <w:p w14:paraId="0B3FC180" w14:textId="77777777" w:rsidR="002D75B6" w:rsidRDefault="0086703C" w:rsidP="00282645">
      <w:pPr>
        <w:pStyle w:val="SingleTxtG"/>
      </w:pPr>
      <w:r w:rsidRPr="00AA4282">
        <w:t>2.3</w:t>
      </w:r>
      <w:r w:rsidR="00CA7A6D" w:rsidRPr="00AA4282">
        <w:tab/>
      </w:r>
      <w:r w:rsidR="002D75B6" w:rsidRPr="002D75B6">
        <w:t>The complainant and his wife went into hid</w:t>
      </w:r>
      <w:r w:rsidR="006B438C">
        <w:t>ing</w:t>
      </w:r>
      <w:r w:rsidR="00282645">
        <w:t xml:space="preserve"> for 12 days </w:t>
      </w:r>
      <w:r w:rsidR="00C71603">
        <w:t xml:space="preserve">in </w:t>
      </w:r>
      <w:r w:rsidR="00282645">
        <w:t>his</w:t>
      </w:r>
      <w:r w:rsidR="000271CE">
        <w:t xml:space="preserve"> </w:t>
      </w:r>
      <w:r w:rsidR="00C71603">
        <w:t xml:space="preserve">father-in-law’s house </w:t>
      </w:r>
      <w:r w:rsidR="002D75B6" w:rsidRPr="002D75B6">
        <w:t xml:space="preserve">in Kandahar before going to Kabul. After </w:t>
      </w:r>
      <w:r w:rsidR="00282645">
        <w:t>about one</w:t>
      </w:r>
      <w:r w:rsidR="002D75B6" w:rsidRPr="002D75B6">
        <w:t xml:space="preserve"> month and 20 days, he was again abducted by the Taliban, this time for 28 days</w:t>
      </w:r>
      <w:r w:rsidR="00282645">
        <w:t>,</w:t>
      </w:r>
      <w:r w:rsidR="002D75B6" w:rsidRPr="002D75B6">
        <w:t xml:space="preserve"> and was continuously beaten (no date</w:t>
      </w:r>
      <w:r w:rsidR="000271CE">
        <w:t>s</w:t>
      </w:r>
      <w:r w:rsidR="00282645">
        <w:t xml:space="preserve"> are</w:t>
      </w:r>
      <w:r w:rsidR="002D75B6" w:rsidRPr="002D75B6">
        <w:t xml:space="preserve"> provided). </w:t>
      </w:r>
      <w:r w:rsidR="00282645">
        <w:t>He said that he</w:t>
      </w:r>
      <w:r w:rsidR="004F6AA6">
        <w:t xml:space="preserve"> was hit unconscious </w:t>
      </w:r>
      <w:r w:rsidR="00282645">
        <w:t>and</w:t>
      </w:r>
      <w:r w:rsidR="004F6AA6">
        <w:t xml:space="preserve"> d</w:t>
      </w:r>
      <w:r w:rsidR="00282645">
        <w:t>id</w:t>
      </w:r>
      <w:r w:rsidR="004F6AA6">
        <w:t xml:space="preserve"> not know where </w:t>
      </w:r>
      <w:r w:rsidR="00282645">
        <w:t>they had taken him</w:t>
      </w:r>
      <w:r w:rsidR="004F6AA6">
        <w:t xml:space="preserve">. The Taliban again tried to make </w:t>
      </w:r>
      <w:r w:rsidR="00282645">
        <w:t>him</w:t>
      </w:r>
      <w:r w:rsidR="004F6AA6">
        <w:t xml:space="preserve"> sign up to </w:t>
      </w:r>
      <w:r w:rsidR="00282645">
        <w:t>carry out</w:t>
      </w:r>
      <w:r w:rsidR="004F6AA6">
        <w:t xml:space="preserve"> </w:t>
      </w:r>
      <w:r w:rsidR="006979A9">
        <w:t>j</w:t>
      </w:r>
      <w:r w:rsidR="004F6AA6">
        <w:t xml:space="preserve">ihad. </w:t>
      </w:r>
      <w:r w:rsidR="002D75B6" w:rsidRPr="002D75B6">
        <w:t>The complainant’s father paid</w:t>
      </w:r>
      <w:r w:rsidR="00282645">
        <w:t xml:space="preserve"> the Taliban</w:t>
      </w:r>
      <w:r w:rsidR="002D75B6" w:rsidRPr="002D75B6">
        <w:t xml:space="preserve"> 15</w:t>
      </w:r>
      <w:r w:rsidR="00774FC0">
        <w:t>,</w:t>
      </w:r>
      <w:r w:rsidR="002D75B6" w:rsidRPr="002D75B6">
        <w:t xml:space="preserve">000 US dollars </w:t>
      </w:r>
      <w:r w:rsidR="00282645">
        <w:t>for them to release him</w:t>
      </w:r>
      <w:r w:rsidR="004F6AA6">
        <w:t xml:space="preserve">. </w:t>
      </w:r>
    </w:p>
    <w:p w14:paraId="27EF0AF7" w14:textId="77777777" w:rsidR="006E7886" w:rsidRDefault="002D75B6" w:rsidP="00A37262">
      <w:pPr>
        <w:pStyle w:val="SingleTxtG"/>
      </w:pPr>
      <w:r>
        <w:t>2.4</w:t>
      </w:r>
      <w:r>
        <w:tab/>
      </w:r>
      <w:r w:rsidR="006E7886" w:rsidRPr="006E7886">
        <w:t xml:space="preserve">Following his release, the complainant </w:t>
      </w:r>
      <w:r w:rsidR="00282645">
        <w:t>and</w:t>
      </w:r>
      <w:r w:rsidR="006E7886" w:rsidRPr="006E7886">
        <w:t xml:space="preserve"> his wife went back to Kandahar </w:t>
      </w:r>
      <w:r w:rsidR="004F6AA6">
        <w:t>to the complainant father’s house</w:t>
      </w:r>
      <w:r w:rsidR="006979A9">
        <w:t xml:space="preserve">. On </w:t>
      </w:r>
      <w:r w:rsidR="00CD2A88">
        <w:t xml:space="preserve">or about </w:t>
      </w:r>
      <w:r w:rsidR="006E7886" w:rsidRPr="006E7886">
        <w:t>2</w:t>
      </w:r>
      <w:r w:rsidR="00CD2A88">
        <w:t xml:space="preserve">6 </w:t>
      </w:r>
      <w:r w:rsidR="006E7886" w:rsidRPr="006E7886">
        <w:t>September 20</w:t>
      </w:r>
      <w:r w:rsidR="00CD2A88">
        <w:t>09</w:t>
      </w:r>
      <w:r w:rsidR="006E7886" w:rsidRPr="006E7886">
        <w:t xml:space="preserve">, </w:t>
      </w:r>
      <w:r w:rsidR="00282645">
        <w:t xml:space="preserve">the complainant and his wife </w:t>
      </w:r>
      <w:r w:rsidR="006E7886" w:rsidRPr="006E7886">
        <w:t>left Afghanistan</w:t>
      </w:r>
      <w:r w:rsidR="004F6AA6">
        <w:t xml:space="preserve"> </w:t>
      </w:r>
      <w:r w:rsidR="00CD2A88">
        <w:t xml:space="preserve">for </w:t>
      </w:r>
      <w:r w:rsidR="00282645">
        <w:t xml:space="preserve">the Islamic Republic of </w:t>
      </w:r>
      <w:r w:rsidR="00CD2A88">
        <w:t>Iran by car</w:t>
      </w:r>
      <w:r w:rsidR="00282645">
        <w:t xml:space="preserve"> </w:t>
      </w:r>
      <w:r w:rsidR="00CD2A88">
        <w:t xml:space="preserve">with </w:t>
      </w:r>
      <w:r w:rsidR="004F6AA6">
        <w:t xml:space="preserve">a human smuggler </w:t>
      </w:r>
      <w:r w:rsidR="00282645">
        <w:t xml:space="preserve">who his father had paid </w:t>
      </w:r>
      <w:r w:rsidR="004F6AA6">
        <w:t>to t</w:t>
      </w:r>
      <w:r w:rsidR="00073205">
        <w:t>ransport them out of the country</w:t>
      </w:r>
      <w:r w:rsidR="006E7886" w:rsidRPr="006E7886">
        <w:t>.</w:t>
      </w:r>
      <w:r w:rsidR="006979A9" w:rsidRPr="006979A9">
        <w:t xml:space="preserve"> </w:t>
      </w:r>
      <w:r w:rsidR="00282645">
        <w:t>The complainant stated that he</w:t>
      </w:r>
      <w:r w:rsidR="006979A9" w:rsidRPr="006979A9">
        <w:t xml:space="preserve"> had to leave </w:t>
      </w:r>
      <w:r w:rsidR="00282645">
        <w:t xml:space="preserve">Afghanistan </w:t>
      </w:r>
      <w:r w:rsidR="006979A9" w:rsidRPr="006979A9">
        <w:t xml:space="preserve">because he </w:t>
      </w:r>
      <w:r w:rsidR="00282645">
        <w:t>w</w:t>
      </w:r>
      <w:r w:rsidR="00A37262">
        <w:t>as</w:t>
      </w:r>
      <w:r w:rsidR="00282645">
        <w:t xml:space="preserve"> afraid </w:t>
      </w:r>
      <w:r w:rsidR="006979A9">
        <w:t xml:space="preserve">that he </w:t>
      </w:r>
      <w:r w:rsidR="006979A9" w:rsidRPr="006979A9">
        <w:t xml:space="preserve">would be killed if the </w:t>
      </w:r>
      <w:r w:rsidR="00282645">
        <w:t>Taliban</w:t>
      </w:r>
      <w:r w:rsidR="006979A9" w:rsidRPr="006979A9">
        <w:t xml:space="preserve"> found out that they had informed the authorities about the second </w:t>
      </w:r>
      <w:r w:rsidR="00282645">
        <w:t>abduction</w:t>
      </w:r>
      <w:r w:rsidR="006979A9">
        <w:t xml:space="preserve">. </w:t>
      </w:r>
      <w:r w:rsidR="00C24A1C">
        <w:t>O</w:t>
      </w:r>
      <w:r w:rsidR="00C24A1C" w:rsidRPr="006E7886">
        <w:t xml:space="preserve">n an unspecified date, the complainant’s father complained to </w:t>
      </w:r>
      <w:r w:rsidR="00C24A1C">
        <w:t xml:space="preserve">the </w:t>
      </w:r>
      <w:r w:rsidR="00C24A1C" w:rsidRPr="006E7886">
        <w:t>police in Kabul</w:t>
      </w:r>
      <w:r w:rsidR="00C24A1C">
        <w:t xml:space="preserve"> about the second abduction.</w:t>
      </w:r>
      <w:r w:rsidR="00C24A1C">
        <w:rPr>
          <w:rStyle w:val="FootnoteReference"/>
        </w:rPr>
        <w:footnoteReference w:id="6"/>
      </w:r>
      <w:r w:rsidR="00C24A1C">
        <w:t xml:space="preserve"> </w:t>
      </w:r>
      <w:r w:rsidR="00D01DA0">
        <w:lastRenderedPageBreak/>
        <w:t>The complainant and his spouse were</w:t>
      </w:r>
      <w:r w:rsidR="006979A9">
        <w:t xml:space="preserve"> allegedly</w:t>
      </w:r>
      <w:r w:rsidR="00D01DA0">
        <w:t xml:space="preserve"> unable to return to </w:t>
      </w:r>
      <w:r w:rsidR="00A37262">
        <w:t>Afghanistan</w:t>
      </w:r>
      <w:r w:rsidR="00D01DA0">
        <w:t xml:space="preserve"> </w:t>
      </w:r>
      <w:r w:rsidR="00C24A1C">
        <w:t xml:space="preserve">out of fear that </w:t>
      </w:r>
      <w:r w:rsidR="00D01DA0">
        <w:t xml:space="preserve">the complainant would be </w:t>
      </w:r>
      <w:r w:rsidR="006979A9">
        <w:t xml:space="preserve">kidnapped again. </w:t>
      </w:r>
    </w:p>
    <w:p w14:paraId="188479CE" w14:textId="77777777" w:rsidR="006E7886" w:rsidRDefault="006E7886" w:rsidP="0034264F">
      <w:pPr>
        <w:spacing w:after="120"/>
        <w:ind w:left="1134" w:right="1134"/>
        <w:jc w:val="both"/>
      </w:pPr>
      <w:r>
        <w:t>2.</w:t>
      </w:r>
      <w:r w:rsidR="006979A9">
        <w:t>5</w:t>
      </w:r>
      <w:r>
        <w:tab/>
      </w:r>
      <w:r w:rsidRPr="006E7886">
        <w:t xml:space="preserve">On 27 May 2011, the Danish Immigration Service rejected the complainant’s </w:t>
      </w:r>
      <w:r w:rsidR="00C24A1C">
        <w:t xml:space="preserve">application for </w:t>
      </w:r>
      <w:r w:rsidRPr="006E7886">
        <w:t>asylum</w:t>
      </w:r>
      <w:r w:rsidR="004E2A48">
        <w:t xml:space="preserve">. On 13 January 2012, the </w:t>
      </w:r>
      <w:r w:rsidR="00C24A1C">
        <w:t xml:space="preserve">Danish Appeals </w:t>
      </w:r>
      <w:r w:rsidR="00EB20A9">
        <w:t>Board</w:t>
      </w:r>
      <w:r w:rsidR="004E2A48">
        <w:t xml:space="preserve"> </w:t>
      </w:r>
      <w:r w:rsidRPr="006E7886">
        <w:t>rejected the complainant’s appeal on the ground that “the male applicant’s abduction is an act of crime and the male applicant will not</w:t>
      </w:r>
      <w:r w:rsidR="00C24A1C">
        <w:t>, on account of that,</w:t>
      </w:r>
      <w:r w:rsidRPr="006E7886">
        <w:t xml:space="preserve"> face a real risk of persecution</w:t>
      </w:r>
      <w:r w:rsidR="00C24A1C">
        <w:t>,</w:t>
      </w:r>
      <w:r w:rsidRPr="006E7886">
        <w:t xml:space="preserve"> as </w:t>
      </w:r>
      <w:r w:rsidR="00C24A1C">
        <w:t>defined</w:t>
      </w:r>
      <w:r w:rsidRPr="006E7886">
        <w:t xml:space="preserve"> in the Danish Aliens Act</w:t>
      </w:r>
      <w:r w:rsidR="00C457AC">
        <w:t>, article 7, paragraph 1, or be submitted to circumstances covered by the Danish Aliens Act, article 7, paragraph 2, upon return to his country of origin</w:t>
      </w:r>
      <w:r w:rsidRPr="006E7886">
        <w:t>”.</w:t>
      </w:r>
    </w:p>
    <w:p w14:paraId="2D417FAC" w14:textId="77777777" w:rsidR="006E7886" w:rsidRDefault="00EB20A9" w:rsidP="00E25B57">
      <w:pPr>
        <w:spacing w:after="120"/>
        <w:ind w:left="1134" w:right="1134"/>
        <w:jc w:val="both"/>
      </w:pPr>
      <w:r>
        <w:t>2.6</w:t>
      </w:r>
      <w:r w:rsidR="006E7886">
        <w:tab/>
      </w:r>
      <w:r w:rsidR="006E7886" w:rsidRPr="005155DA">
        <w:t>On 8 March 2012, the</w:t>
      </w:r>
      <w:r w:rsidR="006E7886" w:rsidRPr="006E7886">
        <w:t xml:space="preserve"> </w:t>
      </w:r>
      <w:r w:rsidR="00C457AC">
        <w:t>Danish Refugee Council</w:t>
      </w:r>
      <w:r w:rsidR="00383B35">
        <w:t xml:space="preserve">, representing the complainant, </w:t>
      </w:r>
      <w:r w:rsidR="006E7886" w:rsidRPr="006E7886">
        <w:t xml:space="preserve">applied to the </w:t>
      </w:r>
      <w:r w:rsidR="005155DA">
        <w:t xml:space="preserve">Appeals </w:t>
      </w:r>
      <w:r>
        <w:t>Board</w:t>
      </w:r>
      <w:r w:rsidR="005155DA">
        <w:t xml:space="preserve"> to </w:t>
      </w:r>
      <w:r w:rsidR="006E7886" w:rsidRPr="006E7886">
        <w:t>re</w:t>
      </w:r>
      <w:r w:rsidR="004E2A48">
        <w:t>-</w:t>
      </w:r>
      <w:r w:rsidR="006E7886" w:rsidRPr="006E7886">
        <w:t>open the case</w:t>
      </w:r>
      <w:r>
        <w:t xml:space="preserve">. It </w:t>
      </w:r>
      <w:r w:rsidR="006E7886" w:rsidRPr="006E7886">
        <w:t>argued</w:t>
      </w:r>
      <w:r>
        <w:t xml:space="preserve"> </w:t>
      </w:r>
      <w:r w:rsidR="009D67E7">
        <w:t>that</w:t>
      </w:r>
      <w:r w:rsidR="005155DA">
        <w:t>, inter alia,</w:t>
      </w:r>
      <w:r w:rsidR="009D67E7">
        <w:t xml:space="preserve"> it </w:t>
      </w:r>
      <w:r w:rsidR="005155DA">
        <w:t>was</w:t>
      </w:r>
      <w:r w:rsidR="009D67E7">
        <w:t xml:space="preserve"> not clear whether the Board recognize</w:t>
      </w:r>
      <w:r w:rsidR="005155DA">
        <w:t>d</w:t>
      </w:r>
      <w:r w:rsidR="009D67E7">
        <w:t xml:space="preserve"> that the male applicant </w:t>
      </w:r>
      <w:r w:rsidR="005155DA">
        <w:t>had</w:t>
      </w:r>
      <w:r w:rsidR="009D67E7">
        <w:t xml:space="preserve"> been abducted</w:t>
      </w:r>
      <w:r w:rsidR="005155DA">
        <w:t xml:space="preserve">, </w:t>
      </w:r>
      <w:r w:rsidR="009D67E7">
        <w:t xml:space="preserve">but </w:t>
      </w:r>
      <w:r w:rsidR="005155DA">
        <w:t>did</w:t>
      </w:r>
      <w:r w:rsidR="009D67E7">
        <w:t xml:space="preserve"> not believe </w:t>
      </w:r>
      <w:r w:rsidR="005155DA">
        <w:t xml:space="preserve">that </w:t>
      </w:r>
      <w:r w:rsidR="009D67E7">
        <w:t xml:space="preserve">the abductors </w:t>
      </w:r>
      <w:r w:rsidR="005155DA">
        <w:t>were the</w:t>
      </w:r>
      <w:r w:rsidR="009D67E7">
        <w:t xml:space="preserve"> Taliban. </w:t>
      </w:r>
      <w:r w:rsidR="005155DA">
        <w:t>The Refugee Council</w:t>
      </w:r>
      <w:r w:rsidR="009D67E7">
        <w:t xml:space="preserve"> </w:t>
      </w:r>
      <w:r w:rsidR="005155DA">
        <w:t>also</w:t>
      </w:r>
      <w:r w:rsidR="009D67E7">
        <w:t xml:space="preserve"> argued </w:t>
      </w:r>
      <w:r w:rsidR="006E7886" w:rsidRPr="006E7886">
        <w:t>that</w:t>
      </w:r>
      <w:r w:rsidR="005155DA">
        <w:t>,</w:t>
      </w:r>
      <w:r w:rsidR="006E7886" w:rsidRPr="006E7886">
        <w:t xml:space="preserve"> regardless of whether the abductors were the Taliban or a group of criminals, the Board had not assessed whether the complainant </w:t>
      </w:r>
      <w:r w:rsidR="005155DA">
        <w:t>w</w:t>
      </w:r>
      <w:r w:rsidR="006E7886" w:rsidRPr="006E7886">
        <w:t xml:space="preserve">ould </w:t>
      </w:r>
      <w:r w:rsidR="005155DA">
        <w:t>obtain</w:t>
      </w:r>
      <w:r w:rsidR="006E7886" w:rsidRPr="006E7886">
        <w:t xml:space="preserve"> protection from the Afghan authorities if he again faced the risk of abduct</w:t>
      </w:r>
      <w:r w:rsidR="005155DA">
        <w:t>ion</w:t>
      </w:r>
      <w:r w:rsidR="006E7886" w:rsidRPr="006E7886">
        <w:t xml:space="preserve"> upon return to Afghanistan. </w:t>
      </w:r>
      <w:r w:rsidR="009D67E7">
        <w:t xml:space="preserve">On </w:t>
      </w:r>
      <w:r w:rsidR="006E7886" w:rsidRPr="006E7886">
        <w:t xml:space="preserve">19 July 2013, the </w:t>
      </w:r>
      <w:r w:rsidR="005155DA">
        <w:t xml:space="preserve">Appeals </w:t>
      </w:r>
      <w:r w:rsidR="006E7886" w:rsidRPr="006E7886">
        <w:t xml:space="preserve">Board rejected the request and </w:t>
      </w:r>
      <w:r w:rsidR="00383B35">
        <w:t xml:space="preserve">reiterated the </w:t>
      </w:r>
      <w:r w:rsidR="006E7886" w:rsidRPr="006E7886">
        <w:t xml:space="preserve">same conclusions as </w:t>
      </w:r>
      <w:r w:rsidR="00383B35">
        <w:t xml:space="preserve">those </w:t>
      </w:r>
      <w:r w:rsidR="006E7886" w:rsidRPr="006E7886">
        <w:t xml:space="preserve">mentioned above. </w:t>
      </w:r>
    </w:p>
    <w:p w14:paraId="44CBA6ED" w14:textId="77777777" w:rsidR="00BB4E2C" w:rsidRDefault="006E7886">
      <w:pPr>
        <w:spacing w:after="120"/>
        <w:ind w:left="1134" w:right="1134"/>
        <w:jc w:val="both"/>
      </w:pPr>
      <w:r>
        <w:t>2.</w:t>
      </w:r>
      <w:r w:rsidR="00EB20A9">
        <w:t>7</w:t>
      </w:r>
      <w:r>
        <w:tab/>
      </w:r>
      <w:r w:rsidR="00BB4E2C">
        <w:t xml:space="preserve">The </w:t>
      </w:r>
      <w:r w:rsidR="005155DA">
        <w:t>complainant</w:t>
      </w:r>
      <w:r w:rsidR="00BB4E2C">
        <w:t xml:space="preserve"> claims that</w:t>
      </w:r>
      <w:r w:rsidR="005155DA">
        <w:t>,</w:t>
      </w:r>
      <w:r w:rsidR="00BB4E2C">
        <w:t xml:space="preserve"> according to UNHCR Eligibility Guidelines for assessing the international protection needs of asylum seekers from Afghanistan,</w:t>
      </w:r>
      <w:r w:rsidR="00BB4E2C">
        <w:rPr>
          <w:rStyle w:val="FootnoteReference"/>
        </w:rPr>
        <w:footnoteReference w:id="7"/>
      </w:r>
      <w:r w:rsidR="00BB4E2C">
        <w:t xml:space="preserve"> the Afghan </w:t>
      </w:r>
      <w:r w:rsidR="00A06200">
        <w:t>S</w:t>
      </w:r>
      <w:r w:rsidR="00BB4E2C">
        <w:t xml:space="preserve">tate is </w:t>
      </w:r>
      <w:r w:rsidR="00383B35">
        <w:t>un</w:t>
      </w:r>
      <w:r w:rsidR="00BB4E2C">
        <w:t xml:space="preserve">able to fully protect its citizens against human rights violations. </w:t>
      </w:r>
    </w:p>
    <w:p w14:paraId="53CFA9D6" w14:textId="77777777" w:rsidR="00383B35" w:rsidRDefault="00EB20A9">
      <w:pPr>
        <w:spacing w:after="120"/>
        <w:ind w:left="1134" w:right="1134"/>
        <w:jc w:val="both"/>
      </w:pPr>
      <w:r>
        <w:t>2.8</w:t>
      </w:r>
      <w:r w:rsidR="00BB4E2C">
        <w:tab/>
      </w:r>
      <w:r w:rsidR="00C70FA9">
        <w:t>Since</w:t>
      </w:r>
      <w:r w:rsidR="00CA07E2">
        <w:t>,</w:t>
      </w:r>
      <w:r w:rsidR="00C70FA9">
        <w:t xml:space="preserve"> </w:t>
      </w:r>
      <w:r w:rsidR="00CA07E2">
        <w:t xml:space="preserve">according to the Danish Aliens Act, </w:t>
      </w:r>
      <w:r w:rsidR="00C70FA9">
        <w:t xml:space="preserve">decisions </w:t>
      </w:r>
      <w:r w:rsidR="00CA07E2">
        <w:t>of</w:t>
      </w:r>
      <w:r w:rsidR="00C70FA9">
        <w:t xml:space="preserve"> the </w:t>
      </w:r>
      <w:r w:rsidR="00CA07E2">
        <w:t xml:space="preserve">Danish Appeals </w:t>
      </w:r>
      <w:r w:rsidR="00C70FA9">
        <w:t xml:space="preserve">Board cannot be </w:t>
      </w:r>
      <w:r w:rsidR="00383B35">
        <w:t xml:space="preserve">appealed </w:t>
      </w:r>
      <w:r>
        <w:t xml:space="preserve">before </w:t>
      </w:r>
      <w:r w:rsidR="00C70FA9">
        <w:t xml:space="preserve">the Danish </w:t>
      </w:r>
      <w:r w:rsidR="00CA07E2">
        <w:t>c</w:t>
      </w:r>
      <w:r w:rsidR="00C70FA9">
        <w:t xml:space="preserve">ourts, the complainant </w:t>
      </w:r>
      <w:r>
        <w:t xml:space="preserve">alleges that he has </w:t>
      </w:r>
      <w:r w:rsidR="00C70FA9">
        <w:t xml:space="preserve">exhausted all </w:t>
      </w:r>
      <w:r>
        <w:t xml:space="preserve">available domestic </w:t>
      </w:r>
      <w:r w:rsidR="00C70FA9">
        <w:t>remedies</w:t>
      </w:r>
      <w:r>
        <w:t xml:space="preserve"> </w:t>
      </w:r>
      <w:r w:rsidR="00172118">
        <w:t xml:space="preserve">with the final decision by the </w:t>
      </w:r>
      <w:r w:rsidR="00CA07E2">
        <w:t xml:space="preserve">Appeals </w:t>
      </w:r>
      <w:r w:rsidR="00172118">
        <w:t>Board.</w:t>
      </w:r>
      <w:r w:rsidR="00172118">
        <w:rPr>
          <w:rStyle w:val="FootnoteReference"/>
        </w:rPr>
        <w:footnoteReference w:id="8"/>
      </w:r>
      <w:r w:rsidR="00172118">
        <w:t xml:space="preserve"> The present matter has not been submitted for examination </w:t>
      </w:r>
      <w:r w:rsidR="00FC5EAF">
        <w:t>to</w:t>
      </w:r>
      <w:r w:rsidR="00172118">
        <w:t xml:space="preserve"> another procedure of international investigation or settlement.</w:t>
      </w:r>
      <w:r w:rsidR="00FD44CF">
        <w:t xml:space="preserve"> </w:t>
      </w:r>
    </w:p>
    <w:p w14:paraId="60B36B7B" w14:textId="77777777" w:rsidR="00383B35" w:rsidRDefault="00383B35">
      <w:pPr>
        <w:spacing w:after="120"/>
        <w:ind w:left="1134" w:right="1134"/>
        <w:jc w:val="both"/>
      </w:pPr>
      <w:r>
        <w:t>2.9</w:t>
      </w:r>
      <w:r>
        <w:tab/>
      </w:r>
      <w:r w:rsidR="00CA07E2">
        <w:t>In his submission dated</w:t>
      </w:r>
      <w:r>
        <w:t xml:space="preserve"> 24 March 2014, the complainant added that the </w:t>
      </w:r>
      <w:r w:rsidR="00CA07E2">
        <w:t xml:space="preserve">Danish Appeals </w:t>
      </w:r>
      <w:r>
        <w:t xml:space="preserve">Board rejected </w:t>
      </w:r>
      <w:r w:rsidR="00CA07E2">
        <w:t xml:space="preserve">his application </w:t>
      </w:r>
      <w:r>
        <w:t xml:space="preserve">to re-open </w:t>
      </w:r>
      <w:r w:rsidR="00CA07E2">
        <w:t>his</w:t>
      </w:r>
      <w:r>
        <w:t xml:space="preserve"> case on 19 July 2013. </w:t>
      </w:r>
      <w:r w:rsidR="00CA07E2">
        <w:t>He again requested the Appeals Board to re-open his case on 20 November 2013 and that application was rejected o</w:t>
      </w:r>
      <w:r>
        <w:t xml:space="preserve">n 20 February 2014. Among the reasons </w:t>
      </w:r>
      <w:r w:rsidR="0034264F">
        <w:t>given for the latter request to</w:t>
      </w:r>
      <w:r>
        <w:t xml:space="preserve"> re-open</w:t>
      </w:r>
      <w:r w:rsidR="0034264F">
        <w:t xml:space="preserve"> </w:t>
      </w:r>
      <w:r w:rsidR="00FC5EAF">
        <w:t>his</w:t>
      </w:r>
      <w:r w:rsidR="0034264F">
        <w:t xml:space="preserve"> case was the fact </w:t>
      </w:r>
      <w:r>
        <w:t xml:space="preserve">that the doctor and psychologist in Denmark </w:t>
      </w:r>
      <w:r w:rsidR="0034264F">
        <w:t xml:space="preserve">had </w:t>
      </w:r>
      <w:r>
        <w:t>confirm</w:t>
      </w:r>
      <w:r w:rsidR="0034264F">
        <w:t>ed</w:t>
      </w:r>
      <w:r>
        <w:t xml:space="preserve"> that he ha</w:t>
      </w:r>
      <w:r w:rsidR="0034264F">
        <w:t>d</w:t>
      </w:r>
      <w:r>
        <w:t xml:space="preserve"> been subjected to torture in Afghanistan. </w:t>
      </w:r>
    </w:p>
    <w:p w14:paraId="5E2F275F" w14:textId="77777777" w:rsidR="00714B40" w:rsidRDefault="00383B35">
      <w:pPr>
        <w:spacing w:after="120"/>
        <w:ind w:left="1134" w:right="1134"/>
        <w:jc w:val="both"/>
      </w:pPr>
      <w:r>
        <w:t>2.10</w:t>
      </w:r>
      <w:r>
        <w:tab/>
        <w:t xml:space="preserve">The </w:t>
      </w:r>
      <w:r w:rsidR="0034264F">
        <w:t xml:space="preserve">Danish Appeals </w:t>
      </w:r>
      <w:r>
        <w:t>Board referred to its previous decisions</w:t>
      </w:r>
      <w:r w:rsidR="0034264F">
        <w:t xml:space="preserve"> rejecting the complainant’s appeal, in which</w:t>
      </w:r>
      <w:r>
        <w:t xml:space="preserve"> it did not find it likely that the male applicant had </w:t>
      </w:r>
      <w:r w:rsidR="0034264F">
        <w:t>any</w:t>
      </w:r>
      <w:r>
        <w:t xml:space="preserve"> conflict with the Taliban</w:t>
      </w:r>
      <w:r w:rsidR="0034264F">
        <w:t xml:space="preserve"> that would put him at risk of torture upon return to Afghanistan</w:t>
      </w:r>
      <w:r>
        <w:t xml:space="preserve">. The complainant </w:t>
      </w:r>
      <w:r w:rsidR="0034264F">
        <w:t xml:space="preserve">stated </w:t>
      </w:r>
      <w:r>
        <w:t xml:space="preserve">that the </w:t>
      </w:r>
      <w:r w:rsidR="0034264F">
        <w:t xml:space="preserve">Appeals </w:t>
      </w:r>
      <w:r>
        <w:t xml:space="preserve">Board did not </w:t>
      </w:r>
      <w:r w:rsidR="0034264F">
        <w:t>consider</w:t>
      </w:r>
      <w:r>
        <w:t xml:space="preserve"> that there </w:t>
      </w:r>
      <w:r w:rsidR="0034264F">
        <w:t>wa</w:t>
      </w:r>
      <w:r>
        <w:t xml:space="preserve">s any significant new information or opinions in relation to the information available at the time of </w:t>
      </w:r>
      <w:r w:rsidR="0034264F">
        <w:t>its</w:t>
      </w:r>
      <w:r>
        <w:t xml:space="preserve"> original decision of 13 January 2012, </w:t>
      </w:r>
      <w:r w:rsidR="0034264F">
        <w:t>n</w:t>
      </w:r>
      <w:r>
        <w:t xml:space="preserve">or </w:t>
      </w:r>
      <w:r w:rsidR="0034264F">
        <w:t xml:space="preserve">at the time </w:t>
      </w:r>
      <w:r>
        <w:t xml:space="preserve">of </w:t>
      </w:r>
      <w:r w:rsidR="0034264F">
        <w:t>its</w:t>
      </w:r>
      <w:r>
        <w:t xml:space="preserve"> </w:t>
      </w:r>
      <w:r w:rsidR="0034264F">
        <w:t xml:space="preserve">second </w:t>
      </w:r>
      <w:r>
        <w:t>refusal to re-open the case o</w:t>
      </w:r>
      <w:r w:rsidR="00A75E99">
        <w:t>f</w:t>
      </w:r>
      <w:r>
        <w:t xml:space="preserve"> 19 July 2013. </w:t>
      </w:r>
    </w:p>
    <w:p w14:paraId="5206519C" w14:textId="77777777" w:rsidR="00383B35" w:rsidRDefault="00383B35" w:rsidP="00D0457B">
      <w:pPr>
        <w:pStyle w:val="SingleTxtG"/>
      </w:pPr>
      <w:r>
        <w:t xml:space="preserve">2.11 </w:t>
      </w:r>
      <w:r w:rsidR="00A75E99">
        <w:tab/>
      </w:r>
      <w:r w:rsidR="0034264F">
        <w:t>However, t</w:t>
      </w:r>
      <w:r>
        <w:t xml:space="preserve">he </w:t>
      </w:r>
      <w:r w:rsidR="0034264F">
        <w:t xml:space="preserve">Appeals </w:t>
      </w:r>
      <w:r>
        <w:t>Board relied on those decisions</w:t>
      </w:r>
      <w:r w:rsidR="0034264F">
        <w:t xml:space="preserve"> in relation to the complainant’s third request to re-open his case</w:t>
      </w:r>
      <w:r>
        <w:t xml:space="preserve">, highlighting in particular that the </w:t>
      </w:r>
      <w:r w:rsidR="0034264F">
        <w:t xml:space="preserve">new </w:t>
      </w:r>
      <w:r>
        <w:t xml:space="preserve">medical information </w:t>
      </w:r>
      <w:r w:rsidR="0034264F">
        <w:t xml:space="preserve">that the male applicant was subjected to </w:t>
      </w:r>
      <w:r>
        <w:t>torture in Afghanistan c</w:t>
      </w:r>
      <w:r w:rsidR="0034264F">
        <w:t xml:space="preserve">ould </w:t>
      </w:r>
      <w:r>
        <w:t xml:space="preserve">not lead to a change in the assessment of the case. The </w:t>
      </w:r>
      <w:r w:rsidR="0034264F">
        <w:t xml:space="preserve">Appeals </w:t>
      </w:r>
      <w:r>
        <w:t>Board did not find that the complainant ha</w:t>
      </w:r>
      <w:r w:rsidR="0034264F">
        <w:t>d</w:t>
      </w:r>
      <w:r>
        <w:t xml:space="preserve"> provided any </w:t>
      </w:r>
      <w:r w:rsidR="0034264F">
        <w:t xml:space="preserve">new </w:t>
      </w:r>
      <w:r>
        <w:t>evidence t</w:t>
      </w:r>
      <w:r w:rsidR="0034264F">
        <w:t>o</w:t>
      </w:r>
      <w:r>
        <w:t xml:space="preserve"> </w:t>
      </w:r>
      <w:r w:rsidR="0034264F">
        <w:t xml:space="preserve">prove that </w:t>
      </w:r>
      <w:r>
        <w:t xml:space="preserve">he and his spouse </w:t>
      </w:r>
      <w:r w:rsidR="0034264F">
        <w:t>we</w:t>
      </w:r>
      <w:r>
        <w:t xml:space="preserve">re </w:t>
      </w:r>
      <w:r w:rsidR="0034264F">
        <w:t>at</w:t>
      </w:r>
      <w:r>
        <w:t xml:space="preserve"> </w:t>
      </w:r>
      <w:r w:rsidR="0034264F">
        <w:t xml:space="preserve">a </w:t>
      </w:r>
      <w:r>
        <w:t>real risk of persecution or abuse</w:t>
      </w:r>
      <w:r w:rsidR="00346902">
        <w:t>,</w:t>
      </w:r>
      <w:r>
        <w:t xml:space="preserve"> </w:t>
      </w:r>
      <w:r w:rsidR="00E25B57">
        <w:t xml:space="preserve">as provided </w:t>
      </w:r>
      <w:r w:rsidR="00346902">
        <w:t xml:space="preserve">for </w:t>
      </w:r>
      <w:r w:rsidR="00E25B57">
        <w:t>under</w:t>
      </w:r>
      <w:r>
        <w:t xml:space="preserve"> the Danish Aliens Act (</w:t>
      </w:r>
      <w:r w:rsidR="00E25B57">
        <w:t>art.</w:t>
      </w:r>
      <w:r>
        <w:t xml:space="preserve"> 7). The complainant</w:t>
      </w:r>
      <w:r w:rsidR="008A2F36">
        <w:t xml:space="preserve"> </w:t>
      </w:r>
      <w:r>
        <w:t>argue</w:t>
      </w:r>
      <w:r w:rsidR="008A2F36">
        <w:t>s</w:t>
      </w:r>
      <w:r>
        <w:t xml:space="preserve"> that the </w:t>
      </w:r>
      <w:r w:rsidR="008A2F36">
        <w:t xml:space="preserve">Appeals </w:t>
      </w:r>
      <w:r>
        <w:t xml:space="preserve">Board did not consider whether it </w:t>
      </w:r>
      <w:r w:rsidR="008A2F36">
        <w:t xml:space="preserve">was </w:t>
      </w:r>
      <w:r>
        <w:t xml:space="preserve">likely that </w:t>
      </w:r>
      <w:r w:rsidR="00346902">
        <w:t>t</w:t>
      </w:r>
      <w:r>
        <w:t xml:space="preserve">he </w:t>
      </w:r>
      <w:r w:rsidR="00346902">
        <w:t>“</w:t>
      </w:r>
      <w:r>
        <w:t>male applicant</w:t>
      </w:r>
      <w:r w:rsidR="00346902">
        <w:t>”</w:t>
      </w:r>
      <w:r>
        <w:t xml:space="preserve"> ha</w:t>
      </w:r>
      <w:r w:rsidR="008A2F36">
        <w:t>d</w:t>
      </w:r>
      <w:r>
        <w:t xml:space="preserve"> been subjected to torture in Afghanistan</w:t>
      </w:r>
      <w:r w:rsidR="008A2F36">
        <w:t>, it</w:t>
      </w:r>
      <w:r>
        <w:t xml:space="preserve"> just d</w:t>
      </w:r>
      <w:r w:rsidR="008A2F36">
        <w:t>id</w:t>
      </w:r>
      <w:r>
        <w:t xml:space="preserve"> not believe that it </w:t>
      </w:r>
      <w:r w:rsidR="008A2F36">
        <w:t>was</w:t>
      </w:r>
      <w:r>
        <w:t xml:space="preserve"> the Taliban who ha</w:t>
      </w:r>
      <w:r w:rsidR="008A2F36">
        <w:t>d</w:t>
      </w:r>
      <w:r>
        <w:t xml:space="preserve"> subjected him to </w:t>
      </w:r>
      <w:r w:rsidR="008A2F36">
        <w:t>torture</w:t>
      </w:r>
      <w:r>
        <w:t xml:space="preserve">. The </w:t>
      </w:r>
      <w:r w:rsidR="008A2F36">
        <w:t xml:space="preserve">Danish Appeals </w:t>
      </w:r>
      <w:r>
        <w:t xml:space="preserve">Board did not set a new </w:t>
      </w:r>
      <w:r w:rsidR="008A2F36">
        <w:t xml:space="preserve">deportation </w:t>
      </w:r>
      <w:r>
        <w:t xml:space="preserve">date since the </w:t>
      </w:r>
      <w:r w:rsidR="008A2F36">
        <w:t xml:space="preserve">original </w:t>
      </w:r>
      <w:r>
        <w:t xml:space="preserve">date </w:t>
      </w:r>
      <w:r w:rsidR="008A2F36">
        <w:t>was</w:t>
      </w:r>
      <w:r>
        <w:t xml:space="preserve"> </w:t>
      </w:r>
      <w:r w:rsidR="008A2F36">
        <w:t>suspended</w:t>
      </w:r>
      <w:r>
        <w:t xml:space="preserve"> on 3 December 2013 </w:t>
      </w:r>
      <w:r w:rsidR="008A2F36">
        <w:t xml:space="preserve">at the request of </w:t>
      </w:r>
      <w:r>
        <w:t>the Committee.</w:t>
      </w:r>
    </w:p>
    <w:p w14:paraId="5775AF4D" w14:textId="77777777" w:rsidR="00C70FA9" w:rsidRDefault="00383B35" w:rsidP="00D0457B">
      <w:pPr>
        <w:pStyle w:val="SingleTxtG"/>
      </w:pPr>
      <w:r>
        <w:t>2.12</w:t>
      </w:r>
      <w:r>
        <w:tab/>
        <w:t xml:space="preserve"> </w:t>
      </w:r>
      <w:r w:rsidR="008A2F36">
        <w:t>T</w:t>
      </w:r>
      <w:r>
        <w:t xml:space="preserve">he complainant </w:t>
      </w:r>
      <w:r w:rsidR="008A2F36">
        <w:t>emphasizes</w:t>
      </w:r>
      <w:r>
        <w:t xml:space="preserve"> that the </w:t>
      </w:r>
      <w:r w:rsidR="008A2F36">
        <w:t xml:space="preserve">Appeals </w:t>
      </w:r>
      <w:r>
        <w:t xml:space="preserve">Board has still not addressed whether </w:t>
      </w:r>
      <w:r w:rsidR="008A2F36">
        <w:t>h</w:t>
      </w:r>
      <w:r>
        <w:t>e ha</w:t>
      </w:r>
      <w:r w:rsidR="008A2F36">
        <w:t>d</w:t>
      </w:r>
      <w:r>
        <w:t xml:space="preserve"> been subjected to torture during his abduction</w:t>
      </w:r>
      <w:r w:rsidR="008A2F36">
        <w:t>s</w:t>
      </w:r>
      <w:r>
        <w:t xml:space="preserve"> in Afghanistan</w:t>
      </w:r>
      <w:r w:rsidR="008A2F36">
        <w:t xml:space="preserve">, </w:t>
      </w:r>
      <w:r>
        <w:t>whether he face</w:t>
      </w:r>
      <w:r w:rsidR="008A2F36">
        <w:t>d</w:t>
      </w:r>
      <w:r>
        <w:t xml:space="preserve"> a </w:t>
      </w:r>
      <w:r w:rsidR="008A2F36">
        <w:t xml:space="preserve">real </w:t>
      </w:r>
      <w:r>
        <w:t>risk of being subjected to torture again upon return to Afghanistan</w:t>
      </w:r>
      <w:r w:rsidR="008A2F36">
        <w:t xml:space="preserve">, </w:t>
      </w:r>
      <w:r w:rsidR="00343814">
        <w:t>nor</w:t>
      </w:r>
      <w:r>
        <w:t xml:space="preserve"> whether he </w:t>
      </w:r>
      <w:r w:rsidR="008A2F36">
        <w:t>would obtain</w:t>
      </w:r>
      <w:r>
        <w:t xml:space="preserve"> protection </w:t>
      </w:r>
      <w:r w:rsidR="008A2F36">
        <w:t xml:space="preserve">from the Afghan authorities </w:t>
      </w:r>
      <w:r>
        <w:t>against being subjected to torture</w:t>
      </w:r>
      <w:r w:rsidR="008A2F36">
        <w:t xml:space="preserve"> again</w:t>
      </w:r>
      <w:r>
        <w:t xml:space="preserve"> upon return. The complainant emphasizes that </w:t>
      </w:r>
      <w:r w:rsidR="00E1511C">
        <w:t>they</w:t>
      </w:r>
      <w:r>
        <w:t xml:space="preserve"> do not wish their identity disclosed in the Committee’s final decision.</w:t>
      </w:r>
    </w:p>
    <w:p w14:paraId="58D310D0" w14:textId="77777777" w:rsidR="00CA7A6D" w:rsidRDefault="00D20058" w:rsidP="00D0457B">
      <w:pPr>
        <w:pStyle w:val="H23G"/>
      </w:pPr>
      <w:r>
        <w:tab/>
      </w:r>
      <w:r>
        <w:tab/>
      </w:r>
      <w:r w:rsidR="0086703C" w:rsidRPr="00823D16">
        <w:t>The complaint</w:t>
      </w:r>
    </w:p>
    <w:p w14:paraId="3438CE5C" w14:textId="77777777" w:rsidR="001C3A5C" w:rsidRPr="00D20058" w:rsidRDefault="006401C7" w:rsidP="00D0457B">
      <w:pPr>
        <w:pStyle w:val="SingleTxtG"/>
      </w:pPr>
      <w:r>
        <w:t>3.</w:t>
      </w:r>
      <w:r w:rsidR="00410302">
        <w:t>1</w:t>
      </w:r>
      <w:r>
        <w:t xml:space="preserve"> </w:t>
      </w:r>
      <w:r w:rsidR="001C3A5C">
        <w:tab/>
        <w:t xml:space="preserve">The complainant claims that the </w:t>
      </w:r>
      <w:r w:rsidR="00E1511C">
        <w:t>Danish authorities</w:t>
      </w:r>
      <w:r w:rsidR="001C3A5C">
        <w:t xml:space="preserve"> did not adequately </w:t>
      </w:r>
      <w:r w:rsidR="00E1511C">
        <w:t xml:space="preserve">assess </w:t>
      </w:r>
      <w:r w:rsidR="001C3A5C">
        <w:t>the risk that he</w:t>
      </w:r>
      <w:r w:rsidR="00E1511C">
        <w:t xml:space="preserve"> </w:t>
      </w:r>
      <w:r w:rsidR="001C3A5C">
        <w:t xml:space="preserve">would be subjected to torture if returned to Afghanistan. </w:t>
      </w:r>
      <w:r w:rsidR="00EA34F6">
        <w:t>He</w:t>
      </w:r>
      <w:r w:rsidR="001C3A5C">
        <w:t xml:space="preserve"> claims that he would be at personal risk of being persecuted</w:t>
      </w:r>
      <w:r w:rsidR="00A06200">
        <w:t xml:space="preserve">, abducted </w:t>
      </w:r>
      <w:r w:rsidR="001C3A5C">
        <w:t>and tortured by the Taliban</w:t>
      </w:r>
      <w:r w:rsidR="005C46CF">
        <w:t xml:space="preserve"> if returned to Afghanistan</w:t>
      </w:r>
      <w:r w:rsidR="001C3A5C">
        <w:t xml:space="preserve">, </w:t>
      </w:r>
      <w:r w:rsidR="005C46CF">
        <w:t xml:space="preserve">therefore returning him to Afghanistan would </w:t>
      </w:r>
      <w:r w:rsidR="001C3A5C">
        <w:t>violat</w:t>
      </w:r>
      <w:r w:rsidR="005C46CF">
        <w:t>e</w:t>
      </w:r>
      <w:r w:rsidR="001C3A5C">
        <w:t xml:space="preserve"> </w:t>
      </w:r>
      <w:r w:rsidR="00383B35">
        <w:t>a</w:t>
      </w:r>
      <w:r w:rsidR="001C3A5C">
        <w:t>rticle 3 of the Convention</w:t>
      </w:r>
      <w:r w:rsidR="00E535FA">
        <w:t xml:space="preserve">. </w:t>
      </w:r>
      <w:r w:rsidR="00EA34F6">
        <w:t xml:space="preserve">His </w:t>
      </w:r>
      <w:r w:rsidR="00C457AC">
        <w:t>wife is afraid that he will be killed by the Taliban if they return to Afghanistan</w:t>
      </w:r>
      <w:r w:rsidR="005C46CF">
        <w:t>, and</w:t>
      </w:r>
      <w:r w:rsidR="00C457AC">
        <w:t xml:space="preserve"> </w:t>
      </w:r>
      <w:r w:rsidR="005C46CF">
        <w:t>s</w:t>
      </w:r>
      <w:r w:rsidR="00C457AC">
        <w:t xml:space="preserve">he does not think </w:t>
      </w:r>
      <w:r w:rsidR="005C46CF">
        <w:t>that they would</w:t>
      </w:r>
      <w:r w:rsidR="00C457AC">
        <w:t xml:space="preserve"> be safe</w:t>
      </w:r>
      <w:r w:rsidR="00343814">
        <w:t>,</w:t>
      </w:r>
      <w:r w:rsidR="00C457AC">
        <w:t xml:space="preserve"> </w:t>
      </w:r>
      <w:r w:rsidR="005C46CF">
        <w:t xml:space="preserve">even </w:t>
      </w:r>
      <w:r w:rsidR="00C457AC">
        <w:t>in another part of Afghanistan</w:t>
      </w:r>
      <w:r w:rsidR="005C46CF">
        <w:t>,</w:t>
      </w:r>
      <w:r w:rsidR="00C457AC">
        <w:t xml:space="preserve"> since the Taliban was able to find her husband both in Kandahar and in Kabul.</w:t>
      </w:r>
      <w:r w:rsidR="00FD44CF">
        <w:t xml:space="preserve"> </w:t>
      </w:r>
    </w:p>
    <w:p w14:paraId="02516E40" w14:textId="77777777" w:rsidR="00BB4E2C" w:rsidRPr="00D20058" w:rsidRDefault="00BB4E2C" w:rsidP="00D0457B">
      <w:pPr>
        <w:pStyle w:val="SingleTxtG"/>
      </w:pPr>
      <w:r>
        <w:t>3.2</w:t>
      </w:r>
      <w:r>
        <w:tab/>
        <w:t>The complainant submits that</w:t>
      </w:r>
      <w:r w:rsidR="005C46CF">
        <w:t>,</w:t>
      </w:r>
      <w:r>
        <w:t xml:space="preserve"> regardless of whether </w:t>
      </w:r>
      <w:r w:rsidR="005C46CF">
        <w:t>his</w:t>
      </w:r>
      <w:r>
        <w:t xml:space="preserve"> abductors were </w:t>
      </w:r>
      <w:r w:rsidR="005C46CF">
        <w:t xml:space="preserve">the </w:t>
      </w:r>
      <w:r>
        <w:t xml:space="preserve">Taliban or a group of criminals, the </w:t>
      </w:r>
      <w:r w:rsidR="005C46CF">
        <w:t xml:space="preserve">Danish Appeals </w:t>
      </w:r>
      <w:r>
        <w:t xml:space="preserve">Board </w:t>
      </w:r>
      <w:r w:rsidR="00AC3BC0">
        <w:t xml:space="preserve">should have </w:t>
      </w:r>
      <w:r>
        <w:t>assess</w:t>
      </w:r>
      <w:r w:rsidR="00AC3BC0">
        <w:t>ed</w:t>
      </w:r>
      <w:r>
        <w:t xml:space="preserve"> whether he could </w:t>
      </w:r>
      <w:r w:rsidR="005C46CF">
        <w:t>obtain</w:t>
      </w:r>
      <w:r>
        <w:t xml:space="preserve"> protection from the Afghan authorities</w:t>
      </w:r>
      <w:r w:rsidR="005C46CF">
        <w:t xml:space="preserve"> if returned to Afghanistan</w:t>
      </w:r>
      <w:r>
        <w:t>. Given that he was abducted more than once</w:t>
      </w:r>
      <w:r w:rsidR="005C46CF">
        <w:t>,</w:t>
      </w:r>
      <w:r>
        <w:t xml:space="preserve"> and </w:t>
      </w:r>
      <w:r w:rsidR="005C46CF">
        <w:t xml:space="preserve">that </w:t>
      </w:r>
      <w:r>
        <w:t xml:space="preserve">the Taliban </w:t>
      </w:r>
      <w:r w:rsidR="005C46CF">
        <w:t>were able to</w:t>
      </w:r>
      <w:r>
        <w:t xml:space="preserve"> find him both in Kandahar and </w:t>
      </w:r>
      <w:r w:rsidR="00714B40">
        <w:t xml:space="preserve">in </w:t>
      </w:r>
      <w:r>
        <w:t>Kabul, there is a risk that he would be abducted again upon his return.</w:t>
      </w:r>
      <w:r w:rsidR="00CC166D">
        <w:t xml:space="preserve"> The complainant maintains that the State party should have addressed </w:t>
      </w:r>
      <w:r w:rsidR="005C46CF">
        <w:t>that</w:t>
      </w:r>
      <w:r w:rsidR="00CC166D">
        <w:t xml:space="preserve"> risk and considered </w:t>
      </w:r>
      <w:r w:rsidR="00AC3BC0">
        <w:t xml:space="preserve">that </w:t>
      </w:r>
      <w:r w:rsidR="005C46CF">
        <w:t>he</w:t>
      </w:r>
      <w:r w:rsidR="00AC3BC0">
        <w:t xml:space="preserve"> ha</w:t>
      </w:r>
      <w:r w:rsidR="005C46CF">
        <w:t>d</w:t>
      </w:r>
      <w:r w:rsidR="00AC3BC0">
        <w:t xml:space="preserve"> been </w:t>
      </w:r>
      <w:r w:rsidR="0043253B">
        <w:t>subjected to torture during his abductions</w:t>
      </w:r>
      <w:r w:rsidR="005C46CF">
        <w:t xml:space="preserve"> and </w:t>
      </w:r>
      <w:r w:rsidR="00A06200">
        <w:t xml:space="preserve">for </w:t>
      </w:r>
      <w:r w:rsidR="005C46CF">
        <w:t>that</w:t>
      </w:r>
      <w:r w:rsidR="00A06200">
        <w:t xml:space="preserve"> reason </w:t>
      </w:r>
      <w:r w:rsidR="0043253B">
        <w:t xml:space="preserve">he </w:t>
      </w:r>
      <w:r w:rsidR="005C46CF">
        <w:t>would be at</w:t>
      </w:r>
      <w:r w:rsidR="0043253B">
        <w:t xml:space="preserve"> risk of </w:t>
      </w:r>
      <w:r w:rsidR="005C46CF">
        <w:t xml:space="preserve">being abducted </w:t>
      </w:r>
      <w:r w:rsidR="0043253B">
        <w:t xml:space="preserve">again upon return to Afghanistan. </w:t>
      </w:r>
      <w:r w:rsidR="00CC166D">
        <w:t>In th</w:t>
      </w:r>
      <w:r w:rsidR="005C46CF">
        <w:t>at</w:t>
      </w:r>
      <w:r w:rsidR="00CC166D">
        <w:t xml:space="preserve"> regard</w:t>
      </w:r>
      <w:r w:rsidR="0043253B">
        <w:t>,</w:t>
      </w:r>
      <w:r w:rsidR="00CC166D">
        <w:t xml:space="preserve"> the complainant </w:t>
      </w:r>
      <w:r w:rsidR="0043253B">
        <w:t xml:space="preserve">underscores </w:t>
      </w:r>
      <w:r w:rsidR="00CC166D">
        <w:t xml:space="preserve">that the </w:t>
      </w:r>
      <w:r w:rsidR="005C46CF">
        <w:t xml:space="preserve">Appeals </w:t>
      </w:r>
      <w:r w:rsidR="00CC166D">
        <w:t>Board d</w:t>
      </w:r>
      <w:r w:rsidR="005C46CF">
        <w:t>id</w:t>
      </w:r>
      <w:r w:rsidR="00CC166D">
        <w:t xml:space="preserve"> not contest the fact that he </w:t>
      </w:r>
      <w:r w:rsidR="005C46CF">
        <w:t>had been</w:t>
      </w:r>
      <w:r w:rsidR="00CC166D">
        <w:t xml:space="preserve"> abducted twice before </w:t>
      </w:r>
      <w:r w:rsidR="005C46CF">
        <w:t xml:space="preserve">fleeing </w:t>
      </w:r>
      <w:r w:rsidR="00CC166D">
        <w:t xml:space="preserve">to Denmark. </w:t>
      </w:r>
    </w:p>
    <w:p w14:paraId="08FF4407" w14:textId="77777777" w:rsidR="00BB4E2C" w:rsidRPr="00D20058" w:rsidRDefault="00BB4E2C" w:rsidP="00D0457B">
      <w:pPr>
        <w:pStyle w:val="SingleTxtG"/>
      </w:pPr>
      <w:r>
        <w:t xml:space="preserve">3.3 </w:t>
      </w:r>
      <w:r w:rsidR="00A06200">
        <w:tab/>
      </w:r>
      <w:r w:rsidRPr="00B72A24">
        <w:t>In support of his claims</w:t>
      </w:r>
      <w:r>
        <w:t xml:space="preserve">, the complainant refers to the UNHCR Eligibility Guidelines </w:t>
      </w:r>
      <w:r w:rsidR="00B72A24">
        <w:t xml:space="preserve">regarding asylum seekers from Afghanistan </w:t>
      </w:r>
      <w:r w:rsidR="00A06200">
        <w:t>(see para. 2.7</w:t>
      </w:r>
      <w:r w:rsidR="00B72A24">
        <w:t xml:space="preserve"> above</w:t>
      </w:r>
      <w:r w:rsidR="00A06200">
        <w:t>)</w:t>
      </w:r>
      <w:r w:rsidR="00B72A24">
        <w:t>,</w:t>
      </w:r>
      <w:r w:rsidR="00A06200">
        <w:t xml:space="preserve"> </w:t>
      </w:r>
      <w:r>
        <w:t xml:space="preserve">according to which </w:t>
      </w:r>
      <w:r w:rsidR="00B72A24">
        <w:t xml:space="preserve">the </w:t>
      </w:r>
      <w:r>
        <w:t xml:space="preserve">Afghan State is </w:t>
      </w:r>
      <w:r w:rsidR="00315043">
        <w:t>un</w:t>
      </w:r>
      <w:r>
        <w:t>able to fully protect its citizens against human rights violations. It is reported that “</w:t>
      </w:r>
      <w:r w:rsidR="00A06200">
        <w:t>e</w:t>
      </w:r>
      <w:r>
        <w:t>ven where the legal framework provides for the protection of human rights, the implementation of Afghanistan’s commitments under national and international law to promote and protect these rights in practice f</w:t>
      </w:r>
      <w:r w:rsidR="00CC166D">
        <w:t>requently remains a challenge”.</w:t>
      </w:r>
      <w:r w:rsidR="00B72A24">
        <w:rPr>
          <w:rStyle w:val="FootnoteReference"/>
        </w:rPr>
        <w:footnoteReference w:id="9"/>
      </w:r>
      <w:r w:rsidR="00CC166D">
        <w:t xml:space="preserve"> </w:t>
      </w:r>
      <w:r>
        <w:t xml:space="preserve">According to the </w:t>
      </w:r>
      <w:r w:rsidR="00A06200">
        <w:t xml:space="preserve">Guidelines, </w:t>
      </w:r>
      <w:r>
        <w:t>there are “high levels of corruption, ineffective governance and a climate of impunity” and “</w:t>
      </w:r>
      <w:r w:rsidR="00A06200">
        <w:t>i</w:t>
      </w:r>
      <w:r>
        <w:t xml:space="preserve">n most areas the police are not linked to a functioning justice system, </w:t>
      </w:r>
      <w:r w:rsidR="00A06200">
        <w:t xml:space="preserve">while </w:t>
      </w:r>
      <w:r>
        <w:t>there is no effective governance backing up the police</w:t>
      </w:r>
      <w:r w:rsidR="00A06200">
        <w:t xml:space="preserve"> in many areas</w:t>
      </w:r>
      <w:r>
        <w:t>”.</w:t>
      </w:r>
      <w:r w:rsidR="00B72A24">
        <w:rPr>
          <w:rStyle w:val="FootnoteReference"/>
        </w:rPr>
        <w:footnoteReference w:id="10"/>
      </w:r>
    </w:p>
    <w:p w14:paraId="43E16B8E" w14:textId="77777777" w:rsidR="00CA7A6D" w:rsidRDefault="00671842" w:rsidP="00D0457B">
      <w:pPr>
        <w:pStyle w:val="H23G"/>
        <w:rPr>
          <w:lang w:eastAsia="zh-CN"/>
        </w:rPr>
      </w:pPr>
      <w:r>
        <w:tab/>
      </w:r>
      <w:r w:rsidR="00D20058">
        <w:tab/>
      </w:r>
      <w:r w:rsidR="00497928" w:rsidRPr="00497928">
        <w:rPr>
          <w:lang w:eastAsia="zh-CN"/>
        </w:rPr>
        <w:t>State party’s observations on admissibility</w:t>
      </w:r>
      <w:r w:rsidR="00153368">
        <w:rPr>
          <w:lang w:eastAsia="zh-CN"/>
        </w:rPr>
        <w:t xml:space="preserve"> </w:t>
      </w:r>
      <w:r w:rsidR="00491C54">
        <w:rPr>
          <w:lang w:eastAsia="zh-CN"/>
        </w:rPr>
        <w:t>and merits</w:t>
      </w:r>
    </w:p>
    <w:p w14:paraId="39E7FB19" w14:textId="77777777" w:rsidR="00D028DD" w:rsidRPr="00D20058" w:rsidRDefault="005B70FC" w:rsidP="00D0457B">
      <w:pPr>
        <w:pStyle w:val="SingleTxtG"/>
      </w:pPr>
      <w:r>
        <w:rPr>
          <w:kern w:val="3"/>
          <w:lang w:eastAsia="zh-CN"/>
        </w:rPr>
        <w:t>4</w:t>
      </w:r>
      <w:r w:rsidR="00AD4465">
        <w:rPr>
          <w:kern w:val="3"/>
          <w:lang w:eastAsia="zh-CN"/>
        </w:rPr>
        <w:t>.1</w:t>
      </w:r>
      <w:r w:rsidR="00D20058">
        <w:rPr>
          <w:kern w:val="3"/>
          <w:lang w:eastAsia="zh-CN"/>
        </w:rPr>
        <w:tab/>
      </w:r>
      <w:r w:rsidR="007C0202" w:rsidRPr="00092D14">
        <w:t xml:space="preserve">On </w:t>
      </w:r>
      <w:r w:rsidR="006A574E">
        <w:t>2</w:t>
      </w:r>
      <w:r w:rsidR="00521092">
        <w:t xml:space="preserve">7 May </w:t>
      </w:r>
      <w:r w:rsidR="007C0202" w:rsidRPr="00092D14">
        <w:t>201</w:t>
      </w:r>
      <w:r w:rsidR="00521092">
        <w:t>4</w:t>
      </w:r>
      <w:r w:rsidR="007C0202" w:rsidRPr="00092D14">
        <w:t xml:space="preserve">, the State party </w:t>
      </w:r>
      <w:r w:rsidR="00521092">
        <w:t>submit</w:t>
      </w:r>
      <w:r w:rsidR="00315043">
        <w:t>ted</w:t>
      </w:r>
      <w:r w:rsidR="00521092">
        <w:t xml:space="preserve"> that </w:t>
      </w:r>
      <w:r w:rsidR="00AE7112">
        <w:t>the complainant and his spouse entered Denmark on 21 May 2010 without any valid travel documents. On the same day, the</w:t>
      </w:r>
      <w:r w:rsidR="00D028DD">
        <w:t xml:space="preserve">y </w:t>
      </w:r>
      <w:r w:rsidR="00AE7112">
        <w:t>applied for asylum. On 27 May 2011, the Danish Immigration Service re</w:t>
      </w:r>
      <w:r w:rsidR="00315043">
        <w:t xml:space="preserve">jected their </w:t>
      </w:r>
      <w:r w:rsidR="00AE7112">
        <w:t xml:space="preserve">asylum </w:t>
      </w:r>
      <w:r w:rsidR="00315043">
        <w:t>applications</w:t>
      </w:r>
      <w:r w:rsidR="00AE7112">
        <w:t xml:space="preserve">. On 13 January 2012, the </w:t>
      </w:r>
      <w:r w:rsidR="00B72A24">
        <w:t xml:space="preserve">Danish Appeals </w:t>
      </w:r>
      <w:r w:rsidR="00AE7112">
        <w:t xml:space="preserve">Board upheld the refusal </w:t>
      </w:r>
      <w:r w:rsidR="00343814">
        <w:t>of</w:t>
      </w:r>
      <w:r w:rsidR="00AE7112">
        <w:t xml:space="preserve"> the Danish Immigration Service</w:t>
      </w:r>
      <w:r w:rsidR="00343814">
        <w:t>.</w:t>
      </w:r>
      <w:r w:rsidR="00AE7112">
        <w:t xml:space="preserve"> By letter of 8 March 2012, the co</w:t>
      </w:r>
      <w:r w:rsidR="00155064">
        <w:t>mplainant and h</w:t>
      </w:r>
      <w:r w:rsidR="00D028DD">
        <w:t xml:space="preserve">is spouse requested the </w:t>
      </w:r>
      <w:r w:rsidR="00721913">
        <w:t xml:space="preserve">Danish </w:t>
      </w:r>
      <w:r w:rsidR="00B72A24">
        <w:t xml:space="preserve">Appeals </w:t>
      </w:r>
      <w:r w:rsidR="00155064">
        <w:t>Board to re</w:t>
      </w:r>
      <w:r w:rsidR="00153368">
        <w:t>-</w:t>
      </w:r>
      <w:r w:rsidR="00155064">
        <w:t>open the</w:t>
      </w:r>
      <w:r w:rsidR="00721913">
        <w:t>ir</w:t>
      </w:r>
      <w:r w:rsidR="00155064">
        <w:t xml:space="preserve"> asylum proceedings. </w:t>
      </w:r>
      <w:r w:rsidR="00B72A24">
        <w:t>On</w:t>
      </w:r>
      <w:r w:rsidR="00155064">
        <w:t xml:space="preserve"> 19 July 2013, the </w:t>
      </w:r>
      <w:r w:rsidR="00B72A24">
        <w:t xml:space="preserve">Appeals </w:t>
      </w:r>
      <w:r w:rsidR="00155064">
        <w:t>Board</w:t>
      </w:r>
      <w:r w:rsidR="00343814">
        <w:t xml:space="preserve"> </w:t>
      </w:r>
      <w:r w:rsidR="00155064">
        <w:t xml:space="preserve">refused to </w:t>
      </w:r>
      <w:r w:rsidR="00D028DD">
        <w:t>re</w:t>
      </w:r>
      <w:r w:rsidR="0058191D">
        <w:t>-</w:t>
      </w:r>
      <w:r w:rsidR="00D028DD">
        <w:t xml:space="preserve">open the asylum proceedings. </w:t>
      </w:r>
      <w:r w:rsidR="00AB43F0">
        <w:t xml:space="preserve">By letter of 20 November 2013, the complainant and his spouse again requested the </w:t>
      </w:r>
      <w:r w:rsidR="002B073A">
        <w:t xml:space="preserve">Appeals </w:t>
      </w:r>
      <w:r w:rsidR="00AB43F0">
        <w:t>Board to re</w:t>
      </w:r>
      <w:r w:rsidR="0058191D">
        <w:t>-</w:t>
      </w:r>
      <w:r w:rsidR="00AB43F0">
        <w:t>open the</w:t>
      </w:r>
      <w:r w:rsidR="002B073A">
        <w:t>ir</w:t>
      </w:r>
      <w:r w:rsidR="00AB43F0">
        <w:t xml:space="preserve"> asylum proceedings. </w:t>
      </w:r>
      <w:r w:rsidR="00D028DD" w:rsidRPr="00D028DD">
        <w:t xml:space="preserve">In its decision of 20 February 2014, the </w:t>
      </w:r>
      <w:r w:rsidR="002B073A">
        <w:t xml:space="preserve">Appeals </w:t>
      </w:r>
      <w:r w:rsidR="00D028DD" w:rsidRPr="00D028DD">
        <w:t>Board again refused to re</w:t>
      </w:r>
      <w:r w:rsidR="00153368">
        <w:t>-</w:t>
      </w:r>
      <w:r w:rsidR="00D028DD" w:rsidRPr="00D028DD">
        <w:t xml:space="preserve">open the </w:t>
      </w:r>
      <w:r w:rsidR="002B073A">
        <w:t xml:space="preserve">complainant’s </w:t>
      </w:r>
      <w:r w:rsidR="00D028DD" w:rsidRPr="00D028DD">
        <w:t xml:space="preserve">asylum proceedings. </w:t>
      </w:r>
    </w:p>
    <w:p w14:paraId="1398B471" w14:textId="77777777" w:rsidR="00AE7112" w:rsidRDefault="005B70FC">
      <w:pPr>
        <w:pStyle w:val="SingleTxtG"/>
        <w:tabs>
          <w:tab w:val="left" w:pos="1701"/>
          <w:tab w:val="left" w:pos="1985"/>
        </w:tabs>
      </w:pPr>
      <w:r>
        <w:t>4</w:t>
      </w:r>
      <w:r w:rsidR="00D028DD">
        <w:t>.</w:t>
      </w:r>
      <w:r w:rsidR="005C3BF4">
        <w:t>2</w:t>
      </w:r>
      <w:r w:rsidR="00D028DD">
        <w:tab/>
        <w:t xml:space="preserve">On </w:t>
      </w:r>
      <w:r w:rsidR="00AB43F0">
        <w:t xml:space="preserve">22 November 2013, the complainant </w:t>
      </w:r>
      <w:r w:rsidR="002B073A">
        <w:t>submitted his com</w:t>
      </w:r>
      <w:r w:rsidR="00721913">
        <w:t xml:space="preserve">munication </w:t>
      </w:r>
      <w:r w:rsidR="002B073A">
        <w:t>to</w:t>
      </w:r>
      <w:r w:rsidR="00AB43F0">
        <w:t xml:space="preserve"> the Committee, claiming that it would constitute a </w:t>
      </w:r>
      <w:r w:rsidR="002B073A">
        <w:t>violation</w:t>
      </w:r>
      <w:r w:rsidR="00AB43F0">
        <w:t xml:space="preserve"> of article 3 of the Convention </w:t>
      </w:r>
      <w:r w:rsidR="002B073A">
        <w:t xml:space="preserve">if the State party were </w:t>
      </w:r>
      <w:r w:rsidR="00AB43F0">
        <w:t xml:space="preserve">to return </w:t>
      </w:r>
      <w:r w:rsidR="00343814">
        <w:t>him</w:t>
      </w:r>
      <w:r w:rsidR="002B073A">
        <w:t xml:space="preserve"> </w:t>
      </w:r>
      <w:r w:rsidR="00AB43F0">
        <w:t xml:space="preserve">to Afghanistan. </w:t>
      </w:r>
      <w:r w:rsidR="00D028DD">
        <w:t xml:space="preserve">On </w:t>
      </w:r>
      <w:r w:rsidR="00AB43F0">
        <w:t xml:space="preserve">27 November 2013, the Committee forwarded the </w:t>
      </w:r>
      <w:r w:rsidR="0035603B">
        <w:t>communication</w:t>
      </w:r>
      <w:r w:rsidR="0058191D">
        <w:t xml:space="preserve"> </w:t>
      </w:r>
      <w:r w:rsidR="00AB43F0">
        <w:t>to the State party and requested it</w:t>
      </w:r>
      <w:r w:rsidR="002B073A">
        <w:t xml:space="preserve"> to provide it</w:t>
      </w:r>
      <w:r w:rsidR="00AB43F0">
        <w:t xml:space="preserve">s observations on the admissibility and merits of the </w:t>
      </w:r>
      <w:r w:rsidR="0035603B">
        <w:t>communication</w:t>
      </w:r>
      <w:r w:rsidR="00AB43F0">
        <w:t>. The Committee also requested the State party to refrain from deporting the complainant to Afghanistan while his case was bein</w:t>
      </w:r>
      <w:r w:rsidR="00D028DD">
        <w:t xml:space="preserve">g considered by the Committee. On </w:t>
      </w:r>
      <w:r w:rsidR="00AB43F0">
        <w:t xml:space="preserve">3 December 2013, the </w:t>
      </w:r>
      <w:r w:rsidR="002B073A">
        <w:t xml:space="preserve">Danish Appeals </w:t>
      </w:r>
      <w:r w:rsidR="00AB43F0">
        <w:t xml:space="preserve">Board suspended the </w:t>
      </w:r>
      <w:r w:rsidR="002B073A">
        <w:t>date</w:t>
      </w:r>
      <w:r w:rsidR="00AB43F0">
        <w:t xml:space="preserve"> for the complainant and his spouse’s departure from Denmark until further notice</w:t>
      </w:r>
      <w:r w:rsidR="002B073A">
        <w:t>,</w:t>
      </w:r>
      <w:r w:rsidR="00AB43F0">
        <w:t xml:space="preserve"> in accordance with the Committee’s request. </w:t>
      </w:r>
    </w:p>
    <w:p w14:paraId="644F1C07" w14:textId="77777777" w:rsidR="003F2D0F" w:rsidRDefault="005B70FC">
      <w:pPr>
        <w:pStyle w:val="SingleTxtG"/>
        <w:tabs>
          <w:tab w:val="left" w:pos="1701"/>
          <w:tab w:val="left" w:pos="1985"/>
        </w:tabs>
      </w:pPr>
      <w:r>
        <w:t>4</w:t>
      </w:r>
      <w:r w:rsidR="00412584">
        <w:t>.</w:t>
      </w:r>
      <w:r w:rsidR="005C3BF4">
        <w:t>3</w:t>
      </w:r>
      <w:r w:rsidR="00412584">
        <w:t xml:space="preserve"> </w:t>
      </w:r>
      <w:r w:rsidR="00412584">
        <w:tab/>
        <w:t xml:space="preserve">The State party </w:t>
      </w:r>
      <w:r w:rsidR="00D028DD">
        <w:t xml:space="preserve">submits </w:t>
      </w:r>
      <w:r w:rsidR="00412584">
        <w:t xml:space="preserve">that according to the report of 11 May 2011 </w:t>
      </w:r>
      <w:r w:rsidR="00721913">
        <w:t>of</w:t>
      </w:r>
      <w:r w:rsidR="00412584">
        <w:t xml:space="preserve"> the Danish Immigration Service, the complainant stated</w:t>
      </w:r>
      <w:r w:rsidR="002B073A">
        <w:t xml:space="preserve"> that</w:t>
      </w:r>
      <w:r w:rsidR="00412584">
        <w:t>, inter alia, he had lived in Kandahar</w:t>
      </w:r>
      <w:r w:rsidR="002B073A">
        <w:t>,</w:t>
      </w:r>
      <w:r w:rsidR="00412584">
        <w:t xml:space="preserve"> Afghanistan</w:t>
      </w:r>
      <w:r w:rsidR="002B073A">
        <w:t>,</w:t>
      </w:r>
      <w:r w:rsidR="00412584">
        <w:t xml:space="preserve"> for seven or eight years. </w:t>
      </w:r>
      <w:r w:rsidR="002B073A">
        <w:t>T</w:t>
      </w:r>
      <w:r w:rsidR="00412584">
        <w:t xml:space="preserve">hen </w:t>
      </w:r>
      <w:r w:rsidR="002B073A">
        <w:t>he went</w:t>
      </w:r>
      <w:r w:rsidR="00412584">
        <w:t xml:space="preserve"> with his parents to </w:t>
      </w:r>
      <w:r w:rsidR="002B073A">
        <w:t xml:space="preserve">the Islamic Republic of </w:t>
      </w:r>
      <w:r w:rsidR="00412584">
        <w:t>Iran and lived there for 18 or 19 years due to the war</w:t>
      </w:r>
      <w:r w:rsidR="002B073A">
        <w:t xml:space="preserve"> in Afghanistan</w:t>
      </w:r>
      <w:r w:rsidR="00412584">
        <w:t xml:space="preserve"> and the Taliban. In 2005, the family moved back to Kandahar. According to the asylum registration report of 21 May 2010, </w:t>
      </w:r>
      <w:r w:rsidR="0051256E">
        <w:t xml:space="preserve">the complainant stated that he </w:t>
      </w:r>
      <w:r w:rsidR="002B073A">
        <w:t>was</w:t>
      </w:r>
      <w:r w:rsidR="0051256E">
        <w:t xml:space="preserve"> kidnapped by a gang of robbers who demanded ransom from his family. He </w:t>
      </w:r>
      <w:r w:rsidR="002B073A">
        <w:t>was</w:t>
      </w:r>
      <w:r w:rsidR="0051256E">
        <w:t xml:space="preserve"> detained for 21</w:t>
      </w:r>
      <w:r w:rsidR="00721913">
        <w:t xml:space="preserve"> or </w:t>
      </w:r>
      <w:r w:rsidR="0051256E">
        <w:t>22 days. According to the report of 11 May 2011 o</w:t>
      </w:r>
      <w:r w:rsidR="00721913">
        <w:t>n</w:t>
      </w:r>
      <w:r w:rsidR="0051256E">
        <w:t xml:space="preserve"> the interview with the Danish Immigration Service, the complainant stated</w:t>
      </w:r>
      <w:r w:rsidR="002B073A">
        <w:t xml:space="preserve"> that</w:t>
      </w:r>
      <w:r w:rsidR="0051256E">
        <w:t xml:space="preserve">, inter alia, he </w:t>
      </w:r>
      <w:r w:rsidR="002B073A">
        <w:t>was</w:t>
      </w:r>
      <w:r w:rsidR="0051256E">
        <w:t xml:space="preserve"> kidnapped by the Taliban </w:t>
      </w:r>
      <w:r w:rsidR="00AD5224">
        <w:t xml:space="preserve">both </w:t>
      </w:r>
      <w:r w:rsidR="0051256E">
        <w:t xml:space="preserve">in Kandahar and </w:t>
      </w:r>
      <w:r w:rsidR="0058191D">
        <w:t xml:space="preserve">in </w:t>
      </w:r>
      <w:r w:rsidR="0051256E">
        <w:t xml:space="preserve">Kabul. </w:t>
      </w:r>
      <w:r w:rsidR="003254F5">
        <w:t xml:space="preserve">There was an interval of about one month and 20 days between the two kidnappings. As the Taliban had not achieved their goal of forcibly recruiting </w:t>
      </w:r>
      <w:r w:rsidR="00721913">
        <w:t>him</w:t>
      </w:r>
      <w:r w:rsidR="003254F5">
        <w:t xml:space="preserve"> during the first kidnapping, </w:t>
      </w:r>
      <w:r w:rsidR="002B073A">
        <w:t>they were</w:t>
      </w:r>
      <w:r w:rsidR="003254F5">
        <w:t xml:space="preserve"> still interest</w:t>
      </w:r>
      <w:r w:rsidR="002B073A">
        <w:t>ed</w:t>
      </w:r>
      <w:r w:rsidR="003254F5">
        <w:t xml:space="preserve"> in </w:t>
      </w:r>
      <w:r w:rsidR="00721913">
        <w:t>him</w:t>
      </w:r>
      <w:r w:rsidR="003254F5">
        <w:t xml:space="preserve">. The </w:t>
      </w:r>
      <w:r w:rsidR="00721913">
        <w:t xml:space="preserve">complainant stated </w:t>
      </w:r>
      <w:r w:rsidR="003254F5">
        <w:t xml:space="preserve">that </w:t>
      </w:r>
      <w:r w:rsidR="00721913">
        <w:t>his</w:t>
      </w:r>
      <w:r w:rsidR="003254F5">
        <w:t xml:space="preserve"> father reported the kidnappings to the police after the </w:t>
      </w:r>
      <w:r w:rsidR="00721913">
        <w:t>second</w:t>
      </w:r>
      <w:r w:rsidR="003254F5">
        <w:t xml:space="preserve"> kidnapp</w:t>
      </w:r>
      <w:r w:rsidR="00721913">
        <w:t>ing</w:t>
      </w:r>
      <w:r w:rsidR="007660BE">
        <w:t xml:space="preserve">. Out of </w:t>
      </w:r>
      <w:r w:rsidR="003254F5">
        <w:t xml:space="preserve">fear for </w:t>
      </w:r>
      <w:r w:rsidR="002B073A">
        <w:t xml:space="preserve">the </w:t>
      </w:r>
      <w:r w:rsidR="003254F5">
        <w:t xml:space="preserve">complainant’s life, </w:t>
      </w:r>
      <w:r w:rsidR="002B073A">
        <w:t>his</w:t>
      </w:r>
      <w:r w:rsidR="0058191D">
        <w:t xml:space="preserve"> father </w:t>
      </w:r>
      <w:r w:rsidR="003254F5">
        <w:t xml:space="preserve">had not dared </w:t>
      </w:r>
      <w:r w:rsidR="007660BE">
        <w:t xml:space="preserve">to </w:t>
      </w:r>
      <w:r w:rsidR="003254F5">
        <w:t xml:space="preserve">tell the police who had kidnapped </w:t>
      </w:r>
      <w:r w:rsidR="00AD5224">
        <w:t>him</w:t>
      </w:r>
      <w:r w:rsidR="003254F5">
        <w:t>.</w:t>
      </w:r>
      <w:r w:rsidR="00FD44CF">
        <w:t xml:space="preserve"> </w:t>
      </w:r>
    </w:p>
    <w:p w14:paraId="49F33599" w14:textId="77777777" w:rsidR="005C0AAD" w:rsidRDefault="005B70FC" w:rsidP="00721913">
      <w:pPr>
        <w:pStyle w:val="SingleTxtG"/>
        <w:tabs>
          <w:tab w:val="left" w:pos="1701"/>
          <w:tab w:val="left" w:pos="1985"/>
        </w:tabs>
      </w:pPr>
      <w:r>
        <w:t>4</w:t>
      </w:r>
      <w:r w:rsidR="003F2D0F">
        <w:t>.</w:t>
      </w:r>
      <w:r w:rsidR="005C3BF4">
        <w:t>4</w:t>
      </w:r>
      <w:r w:rsidR="003F2D0F">
        <w:tab/>
        <w:t xml:space="preserve">The State party submits </w:t>
      </w:r>
      <w:r w:rsidR="006930D6">
        <w:t>that</w:t>
      </w:r>
      <w:r w:rsidR="00721913">
        <w:t>,</w:t>
      </w:r>
      <w:r w:rsidR="006930D6">
        <w:t xml:space="preserve"> in the context of the </w:t>
      </w:r>
      <w:r w:rsidR="002B073A">
        <w:t xml:space="preserve">Appeals </w:t>
      </w:r>
      <w:r w:rsidR="006930D6">
        <w:t xml:space="preserve">Board’s decision of 13 January 2012, as </w:t>
      </w:r>
      <w:r w:rsidR="006930D6" w:rsidRPr="006930D6">
        <w:t>grounds for seeking asylum</w:t>
      </w:r>
      <w:r w:rsidR="002B073A">
        <w:t>,</w:t>
      </w:r>
      <w:r w:rsidR="006930D6" w:rsidRPr="006930D6">
        <w:t xml:space="preserve"> </w:t>
      </w:r>
      <w:r w:rsidR="0079269F">
        <w:t xml:space="preserve">the complainant stated </w:t>
      </w:r>
      <w:r w:rsidR="006930D6">
        <w:t>that he feared being killed by the Taliban and forced to participate in jihad or be killed because his family could not keep on paying ransoms. The complainant stated that he h</w:t>
      </w:r>
      <w:r w:rsidR="007660BE">
        <w:t>ad been detained on 29 May 2009</w:t>
      </w:r>
      <w:r w:rsidR="00721913">
        <w:t xml:space="preserve"> and </w:t>
      </w:r>
      <w:r w:rsidR="006930D6">
        <w:t>subjected to physical abuse by the Taliban, including abuse of a sexual nature, and that the Taliban had wanted him to participate in jihad</w:t>
      </w:r>
      <w:r w:rsidR="007660BE">
        <w:t>. T</w:t>
      </w:r>
      <w:r w:rsidR="006930D6">
        <w:t>he majority of</w:t>
      </w:r>
      <w:r w:rsidR="002B073A">
        <w:t xml:space="preserve"> the members of</w:t>
      </w:r>
      <w:r w:rsidR="006930D6">
        <w:t xml:space="preserve"> the </w:t>
      </w:r>
      <w:r w:rsidR="002B073A">
        <w:t xml:space="preserve">Appeals </w:t>
      </w:r>
      <w:r w:rsidR="006930D6">
        <w:t xml:space="preserve">Board found that the complainant’s statement about the </w:t>
      </w:r>
      <w:r w:rsidR="002B073A">
        <w:t>abductions were</w:t>
      </w:r>
      <w:r w:rsidR="006930D6">
        <w:t xml:space="preserve"> inconsistent and elaborative</w:t>
      </w:r>
      <w:r w:rsidR="003A18FD">
        <w:t>; the Board</w:t>
      </w:r>
      <w:r w:rsidR="007660BE">
        <w:t xml:space="preserve"> </w:t>
      </w:r>
      <w:r w:rsidR="005C0AAD">
        <w:t>also took into account that in the asylum registration reports, the complainant and his spouse had only mentioned kidnapping committe</w:t>
      </w:r>
      <w:r w:rsidR="007660BE">
        <w:t xml:space="preserve">d </w:t>
      </w:r>
      <w:r w:rsidR="005C0AAD">
        <w:t xml:space="preserve">by a gang of robbers or criminals. The majority of the </w:t>
      </w:r>
      <w:r w:rsidR="003A18FD">
        <w:t xml:space="preserve">members of </w:t>
      </w:r>
      <w:r w:rsidR="00B104BC">
        <w:t xml:space="preserve">the </w:t>
      </w:r>
      <w:r w:rsidR="005C0AAD">
        <w:t>Board could not accept as a fact that the complainant had been kidnapped by the Taliban</w:t>
      </w:r>
      <w:r w:rsidR="003A18FD">
        <w:t>; they also</w:t>
      </w:r>
      <w:r w:rsidR="007660BE">
        <w:t xml:space="preserve"> considered </w:t>
      </w:r>
      <w:r w:rsidR="003A18FD">
        <w:t xml:space="preserve">it </w:t>
      </w:r>
      <w:r w:rsidR="005C0AAD">
        <w:t xml:space="preserve">unlikely that the Taliban would have subjected </w:t>
      </w:r>
      <w:r w:rsidR="00B9230F">
        <w:t xml:space="preserve">him </w:t>
      </w:r>
      <w:r w:rsidR="005C0AAD">
        <w:t>to torture and</w:t>
      </w:r>
      <w:r w:rsidR="00BD4D26">
        <w:t xml:space="preserve"> sexual abuse during the entire </w:t>
      </w:r>
      <w:r w:rsidR="005C0AAD">
        <w:t>detention of 22 days if the complainant had accepted</w:t>
      </w:r>
      <w:r w:rsidR="003A18FD">
        <w:t xml:space="preserve"> to</w:t>
      </w:r>
      <w:r w:rsidR="005C0AAD">
        <w:t xml:space="preserve"> participat</w:t>
      </w:r>
      <w:r w:rsidR="003A18FD">
        <w:t>e</w:t>
      </w:r>
      <w:r w:rsidR="005C0AAD">
        <w:t xml:space="preserve"> in jihad </w:t>
      </w:r>
      <w:r w:rsidR="003A18FD">
        <w:t xml:space="preserve">almost </w:t>
      </w:r>
      <w:r w:rsidR="005C0AAD">
        <w:t>from the beginning and that</w:t>
      </w:r>
      <w:r w:rsidR="003676EC">
        <w:t>,</w:t>
      </w:r>
      <w:r w:rsidR="005C0AAD">
        <w:t xml:space="preserve"> </w:t>
      </w:r>
      <w:r w:rsidR="003A18FD">
        <w:t xml:space="preserve">despite that, </w:t>
      </w:r>
      <w:r w:rsidR="005C0AAD">
        <w:t xml:space="preserve">the Taliban had released </w:t>
      </w:r>
      <w:r w:rsidR="00B9230F">
        <w:t xml:space="preserve">him </w:t>
      </w:r>
      <w:r w:rsidR="005C0AAD">
        <w:t xml:space="preserve">against payment of ransom. </w:t>
      </w:r>
    </w:p>
    <w:p w14:paraId="125C0E7E" w14:textId="77777777" w:rsidR="00412584" w:rsidRDefault="005B70FC" w:rsidP="003676EC">
      <w:pPr>
        <w:pStyle w:val="SingleTxtG"/>
        <w:tabs>
          <w:tab w:val="left" w:pos="1701"/>
          <w:tab w:val="left" w:pos="1985"/>
        </w:tabs>
      </w:pPr>
      <w:r>
        <w:t>4</w:t>
      </w:r>
      <w:r w:rsidR="005C0AAD">
        <w:t>.</w:t>
      </w:r>
      <w:r w:rsidR="005C3BF4">
        <w:t>5</w:t>
      </w:r>
      <w:r w:rsidR="005C0AAD">
        <w:tab/>
      </w:r>
      <w:r w:rsidR="00720354">
        <w:t>T</w:t>
      </w:r>
      <w:r w:rsidR="005C0AAD">
        <w:t xml:space="preserve">he State party informs </w:t>
      </w:r>
      <w:r w:rsidR="00B104BC">
        <w:t xml:space="preserve">the Committee </w:t>
      </w:r>
      <w:r w:rsidR="005C0AAD">
        <w:t xml:space="preserve">that the majority of the </w:t>
      </w:r>
      <w:r w:rsidR="00B104BC">
        <w:t xml:space="preserve">members of the </w:t>
      </w:r>
      <w:r w:rsidR="005C0AAD">
        <w:t xml:space="preserve">Board found that the complainant had failed to substantiate how the Taliban would have </w:t>
      </w:r>
      <w:r w:rsidR="00B9230F">
        <w:t>found</w:t>
      </w:r>
      <w:r w:rsidR="005C0AAD">
        <w:t xml:space="preserve"> hi</w:t>
      </w:r>
      <w:r w:rsidR="00B104BC">
        <w:t>m</w:t>
      </w:r>
      <w:r w:rsidR="005C0AAD">
        <w:t xml:space="preserve"> in Kabul</w:t>
      </w:r>
      <w:r w:rsidR="00B104BC">
        <w:t>; they also</w:t>
      </w:r>
      <w:r w:rsidR="005C0AAD">
        <w:t xml:space="preserve"> found</w:t>
      </w:r>
      <w:r w:rsidR="00B104BC">
        <w:t xml:space="preserve"> it</w:t>
      </w:r>
      <w:r w:rsidR="005C0AAD">
        <w:t xml:space="preserve"> unlikely that the Taliban would have kidnapped </w:t>
      </w:r>
      <w:r w:rsidR="00B9230F">
        <w:t>him</w:t>
      </w:r>
      <w:r w:rsidR="00B104BC">
        <w:t xml:space="preserve"> a second time</w:t>
      </w:r>
      <w:r w:rsidR="00B9230F">
        <w:t xml:space="preserve"> </w:t>
      </w:r>
      <w:r w:rsidR="005C0AAD">
        <w:t xml:space="preserve">for the purpose of </w:t>
      </w:r>
      <w:r w:rsidR="00B104BC">
        <w:t xml:space="preserve">making him </w:t>
      </w:r>
      <w:r w:rsidR="005C0AAD">
        <w:t>participat</w:t>
      </w:r>
      <w:r w:rsidR="00B104BC">
        <w:t>e</w:t>
      </w:r>
      <w:r w:rsidR="005C0AAD">
        <w:t xml:space="preserve"> in jihad</w:t>
      </w:r>
      <w:r w:rsidR="00B104BC">
        <w:t>,</w:t>
      </w:r>
      <w:r w:rsidR="005C0AAD">
        <w:t xml:space="preserve"> after having </w:t>
      </w:r>
      <w:r w:rsidR="00B104BC">
        <w:t>released</w:t>
      </w:r>
      <w:r w:rsidR="005C0AAD">
        <w:t xml:space="preserve"> him shortly before. </w:t>
      </w:r>
      <w:r w:rsidR="00E926F4">
        <w:t>The majority of the Board</w:t>
      </w:r>
      <w:r w:rsidR="00B104BC">
        <w:t xml:space="preserve"> members</w:t>
      </w:r>
      <w:r w:rsidR="00E926F4">
        <w:t xml:space="preserve"> also </w:t>
      </w:r>
      <w:r w:rsidR="003676EC">
        <w:t>considered</w:t>
      </w:r>
      <w:r w:rsidR="00E926F4">
        <w:t xml:space="preserve"> that the complainant had been unable to </w:t>
      </w:r>
      <w:r w:rsidR="00B104BC">
        <w:t>describe</w:t>
      </w:r>
      <w:r w:rsidR="00E926F4">
        <w:t xml:space="preserve"> any specific circumstances or details about the events that gave rise to his release, including </w:t>
      </w:r>
      <w:r w:rsidR="00B104BC">
        <w:t xml:space="preserve">about </w:t>
      </w:r>
      <w:r w:rsidR="00E926F4">
        <w:t xml:space="preserve">his father’s negotiations. </w:t>
      </w:r>
      <w:r w:rsidR="00E44CF1">
        <w:t xml:space="preserve">Consequently, </w:t>
      </w:r>
      <w:r w:rsidR="00B104BC">
        <w:t>they</w:t>
      </w:r>
      <w:r w:rsidR="00E44CF1">
        <w:t xml:space="preserve"> </w:t>
      </w:r>
      <w:r w:rsidR="00B104BC">
        <w:t>concluded</w:t>
      </w:r>
      <w:r w:rsidR="00E926F4">
        <w:t xml:space="preserve"> that the complainant</w:t>
      </w:r>
      <w:r w:rsidR="0058191D">
        <w:t>’</w:t>
      </w:r>
      <w:r w:rsidR="00E926F4">
        <w:t xml:space="preserve">s kidnapping was a criminal act and that the complainant would not be at </w:t>
      </w:r>
      <w:r w:rsidR="00B104BC">
        <w:t xml:space="preserve">a </w:t>
      </w:r>
      <w:r w:rsidR="00E926F4">
        <w:t>real risk of persecution</w:t>
      </w:r>
      <w:r w:rsidR="00B104BC">
        <w:t xml:space="preserve"> under</w:t>
      </w:r>
      <w:r w:rsidR="00E926F4">
        <w:t xml:space="preserve"> section</w:t>
      </w:r>
      <w:r w:rsidR="00B104BC">
        <w:t>s</w:t>
      </w:r>
      <w:r w:rsidR="00E926F4">
        <w:t xml:space="preserve"> 7</w:t>
      </w:r>
      <w:r w:rsidR="00B104BC">
        <w:t xml:space="preserve"> </w:t>
      </w:r>
      <w:r w:rsidR="00E926F4">
        <w:t xml:space="preserve">(1) </w:t>
      </w:r>
      <w:r w:rsidR="00B104BC">
        <w:t xml:space="preserve">and (2) </w:t>
      </w:r>
      <w:r w:rsidR="00E926F4">
        <w:t xml:space="preserve">of the </w:t>
      </w:r>
      <w:r w:rsidR="00343814">
        <w:t xml:space="preserve">Danish </w:t>
      </w:r>
      <w:r w:rsidR="00E926F4">
        <w:t xml:space="preserve">Aliens Act </w:t>
      </w:r>
      <w:r w:rsidR="003676EC">
        <w:t>if</w:t>
      </w:r>
      <w:r w:rsidR="00E926F4">
        <w:t xml:space="preserve"> return</w:t>
      </w:r>
      <w:r w:rsidR="003676EC">
        <w:t>ed</w:t>
      </w:r>
      <w:r w:rsidR="00E926F4">
        <w:t xml:space="preserve"> to </w:t>
      </w:r>
      <w:r w:rsidR="00F9028F">
        <w:t>his</w:t>
      </w:r>
      <w:r w:rsidR="00E926F4">
        <w:t xml:space="preserve"> country of origin. </w:t>
      </w:r>
      <w:r w:rsidR="00E44CF1">
        <w:t xml:space="preserve">The </w:t>
      </w:r>
      <w:r w:rsidR="00E926F4">
        <w:t xml:space="preserve">Board </w:t>
      </w:r>
      <w:r w:rsidR="00E44CF1">
        <w:t xml:space="preserve">thus </w:t>
      </w:r>
      <w:r w:rsidR="00E926F4">
        <w:t>upheld the decision of 27 May 2011 of the Danish Immigration Service</w:t>
      </w:r>
      <w:r w:rsidR="00F9028F">
        <w:t>,</w:t>
      </w:r>
      <w:r w:rsidR="00E926F4">
        <w:t xml:space="preserve"> refus</w:t>
      </w:r>
      <w:r w:rsidR="00F9028F">
        <w:t>ing</w:t>
      </w:r>
      <w:r w:rsidR="00E926F4">
        <w:t xml:space="preserve"> asylum to the complainant and his spouse. At the same time, the complainant and his spouse were ordered to depart from Denmark within seven days of the date of the decision</w:t>
      </w:r>
      <w:r w:rsidR="00343814">
        <w:t>,</w:t>
      </w:r>
      <w:r w:rsidR="00E926F4">
        <w:t xml:space="preserve"> as prescribed by section 33(1) and the second sentence of section 33(2) of the Aliens Act. </w:t>
      </w:r>
    </w:p>
    <w:p w14:paraId="70A4BE6E" w14:textId="77777777" w:rsidR="00326AF8" w:rsidRDefault="005B70FC" w:rsidP="003676EC">
      <w:pPr>
        <w:pStyle w:val="SingleTxtG"/>
        <w:tabs>
          <w:tab w:val="left" w:pos="1701"/>
          <w:tab w:val="left" w:pos="1985"/>
        </w:tabs>
      </w:pPr>
      <w:r>
        <w:t>4</w:t>
      </w:r>
      <w:r w:rsidR="001258FD">
        <w:t>.</w:t>
      </w:r>
      <w:r w:rsidR="005C3BF4">
        <w:t>6</w:t>
      </w:r>
      <w:r w:rsidR="001258FD">
        <w:t xml:space="preserve"> </w:t>
      </w:r>
      <w:r w:rsidR="001258FD">
        <w:tab/>
      </w:r>
      <w:r w:rsidR="001258FD" w:rsidRPr="00596718">
        <w:t>As regards the</w:t>
      </w:r>
      <w:r w:rsidR="001258FD">
        <w:t xml:space="preserve"> </w:t>
      </w:r>
      <w:r w:rsidR="00596718">
        <w:t xml:space="preserve">Appeals </w:t>
      </w:r>
      <w:r w:rsidR="001258FD">
        <w:t>Board’s decision of 19 July 2013</w:t>
      </w:r>
      <w:r w:rsidR="00343814">
        <w:t>,</w:t>
      </w:r>
      <w:r w:rsidR="001258FD">
        <w:t xml:space="preserve"> </w:t>
      </w:r>
      <w:r w:rsidR="00596718">
        <w:t>refusing</w:t>
      </w:r>
      <w:r w:rsidR="00E44CF1">
        <w:t xml:space="preserve"> </w:t>
      </w:r>
      <w:r w:rsidR="001258FD">
        <w:t>the complainant’s request to re</w:t>
      </w:r>
      <w:r w:rsidR="003676EC">
        <w:t>-</w:t>
      </w:r>
      <w:r w:rsidR="001258FD">
        <w:t xml:space="preserve">open the asylum proceedings, </w:t>
      </w:r>
      <w:r w:rsidR="003676EC">
        <w:t xml:space="preserve">the State party informs the Committee that </w:t>
      </w:r>
      <w:r w:rsidR="001258FD">
        <w:t xml:space="preserve">the complainant </w:t>
      </w:r>
      <w:r w:rsidR="0032162C">
        <w:t>raised</w:t>
      </w:r>
      <w:r w:rsidR="00E44CF1">
        <w:t xml:space="preserve">, </w:t>
      </w:r>
      <w:r w:rsidR="001258FD">
        <w:t xml:space="preserve">inter alia, </w:t>
      </w:r>
      <w:r w:rsidR="00596718">
        <w:t>the</w:t>
      </w:r>
      <w:r w:rsidR="001258FD">
        <w:t xml:space="preserve"> issue of principle </w:t>
      </w:r>
      <w:r w:rsidR="003676EC">
        <w:t xml:space="preserve">in relation </w:t>
      </w:r>
      <w:r w:rsidR="001258FD">
        <w:t xml:space="preserve">to what information the Board </w:t>
      </w:r>
      <w:r w:rsidR="00596718">
        <w:t>should</w:t>
      </w:r>
      <w:r w:rsidR="001258FD">
        <w:t xml:space="preserve"> take into account in connection with refusals based on </w:t>
      </w:r>
      <w:r w:rsidR="00596718">
        <w:t xml:space="preserve">a </w:t>
      </w:r>
      <w:r w:rsidR="001258FD">
        <w:t xml:space="preserve">negative credibility </w:t>
      </w:r>
      <w:r w:rsidR="00E44CF1">
        <w:t xml:space="preserve">assessment. </w:t>
      </w:r>
      <w:r w:rsidR="001258FD">
        <w:t>In particular, the complainant did not consider it reasonable</w:t>
      </w:r>
      <w:r w:rsidR="00596718">
        <w:t xml:space="preserve"> that</w:t>
      </w:r>
      <w:r w:rsidR="001258FD">
        <w:t xml:space="preserve"> information on the grounds for </w:t>
      </w:r>
      <w:r w:rsidR="00596718">
        <w:t xml:space="preserve">requesting </w:t>
      </w:r>
      <w:r w:rsidR="001258FD">
        <w:t>asylum</w:t>
      </w:r>
      <w:r w:rsidR="003676EC">
        <w:t>,</w:t>
      </w:r>
      <w:r w:rsidR="001258FD">
        <w:t xml:space="preserve"> given during an asylum registration interview</w:t>
      </w:r>
      <w:r w:rsidR="003676EC">
        <w:t>,</w:t>
      </w:r>
      <w:r w:rsidR="00596718">
        <w:t xml:space="preserve"> should be taken into account in a credibility assessment</w:t>
      </w:r>
      <w:r w:rsidR="001258FD">
        <w:t xml:space="preserve">. </w:t>
      </w:r>
      <w:r w:rsidR="00596718">
        <w:t>Th</w:t>
      </w:r>
      <w:r w:rsidR="00E44CF1">
        <w:t xml:space="preserve">e </w:t>
      </w:r>
      <w:r w:rsidR="001258FD">
        <w:t xml:space="preserve">complainant also </w:t>
      </w:r>
      <w:r w:rsidR="00E44CF1">
        <w:t xml:space="preserve">contested </w:t>
      </w:r>
      <w:r w:rsidR="0032162C">
        <w:t xml:space="preserve">the fact </w:t>
      </w:r>
      <w:r w:rsidR="001258FD">
        <w:t>that</w:t>
      </w:r>
      <w:r w:rsidR="0032162C">
        <w:t xml:space="preserve"> </w:t>
      </w:r>
      <w:r w:rsidR="001258FD">
        <w:t xml:space="preserve">the Board </w:t>
      </w:r>
      <w:r w:rsidR="0032162C">
        <w:t>took</w:t>
      </w:r>
      <w:r w:rsidR="001258FD">
        <w:t xml:space="preserve"> into account that the complainant had failed to substantiate how the Taliban would have </w:t>
      </w:r>
      <w:r w:rsidR="00B9230F">
        <w:t>located him</w:t>
      </w:r>
      <w:r w:rsidR="001258FD">
        <w:t xml:space="preserve"> in Kabul. </w:t>
      </w:r>
      <w:r w:rsidR="0032162C">
        <w:t>T</w:t>
      </w:r>
      <w:r w:rsidR="00E44CF1">
        <w:t xml:space="preserve">he complainant </w:t>
      </w:r>
      <w:r w:rsidR="001258FD">
        <w:t>stated that it seemed as if he and his spouse were met with distrust no matter what they said to the Danish Immigration Servic</w:t>
      </w:r>
      <w:r w:rsidR="002148FA">
        <w:t xml:space="preserve">e and that parts of the statements </w:t>
      </w:r>
      <w:r w:rsidR="00EC034D">
        <w:t xml:space="preserve">that they had </w:t>
      </w:r>
      <w:r w:rsidR="002148FA">
        <w:t>made during the proceedings had been incorrectly translated</w:t>
      </w:r>
      <w:r w:rsidR="00EC034D">
        <w:t>,</w:t>
      </w:r>
      <w:r w:rsidR="002148FA">
        <w:t xml:space="preserve"> which had</w:t>
      </w:r>
      <w:r w:rsidR="00EC034D">
        <w:t xml:space="preserve"> </w:t>
      </w:r>
      <w:r w:rsidR="002148FA">
        <w:t>apparently cast doubt</w:t>
      </w:r>
      <w:r w:rsidR="00EC034D">
        <w:t>s</w:t>
      </w:r>
      <w:r w:rsidR="002148FA">
        <w:t xml:space="preserve"> on their statements. </w:t>
      </w:r>
      <w:r w:rsidR="00EF208B">
        <w:t>T</w:t>
      </w:r>
      <w:r w:rsidR="00326AF8">
        <w:t xml:space="preserve">he complainant </w:t>
      </w:r>
      <w:r w:rsidR="00EF208B">
        <w:t>also</w:t>
      </w:r>
      <w:r w:rsidR="00326AF8">
        <w:t xml:space="preserve"> stated that it was unclear whether or not the Board had found </w:t>
      </w:r>
      <w:r w:rsidR="003676EC">
        <w:t xml:space="preserve">it </w:t>
      </w:r>
      <w:r w:rsidR="00326AF8">
        <w:t xml:space="preserve">a fact that the complainant had been kidnapped, but just </w:t>
      </w:r>
      <w:r w:rsidR="00EF208B">
        <w:t xml:space="preserve">did </w:t>
      </w:r>
      <w:r w:rsidR="00326AF8">
        <w:t>not</w:t>
      </w:r>
      <w:r w:rsidR="00EF208B">
        <w:t xml:space="preserve"> believe that </w:t>
      </w:r>
      <w:r w:rsidR="003676EC">
        <w:t xml:space="preserve">he was kidnapped </w:t>
      </w:r>
      <w:r w:rsidR="00326AF8">
        <w:t xml:space="preserve">by the Taliban. </w:t>
      </w:r>
      <w:r w:rsidR="00EF208B">
        <w:t>The</w:t>
      </w:r>
      <w:r w:rsidR="00B93ADC">
        <w:t xml:space="preserve"> complainant</w:t>
      </w:r>
      <w:r w:rsidR="00EF208B">
        <w:t xml:space="preserve"> stated that</w:t>
      </w:r>
      <w:r w:rsidR="00B93ADC">
        <w:t xml:space="preserve"> </w:t>
      </w:r>
      <w:r w:rsidR="00326AF8">
        <w:t xml:space="preserve">it was of no significance to the issue of protection against kidnapping </w:t>
      </w:r>
      <w:r w:rsidR="001E2A28">
        <w:t xml:space="preserve">that would be </w:t>
      </w:r>
      <w:r w:rsidR="00326AF8">
        <w:t xml:space="preserve">available to </w:t>
      </w:r>
      <w:r w:rsidR="00B93ADC">
        <w:t xml:space="preserve">him </w:t>
      </w:r>
      <w:r w:rsidR="00326AF8">
        <w:t>upon return to Afghanistan whether it was the Taliban or another criminal group that had kidnapp</w:t>
      </w:r>
      <w:r w:rsidR="001E2A28">
        <w:t>ed him</w:t>
      </w:r>
      <w:r w:rsidR="00326AF8">
        <w:t xml:space="preserve">. </w:t>
      </w:r>
    </w:p>
    <w:p w14:paraId="7B2A66D0" w14:textId="77777777" w:rsidR="00B36EE6" w:rsidRDefault="005B70FC" w:rsidP="00013DA4">
      <w:pPr>
        <w:pStyle w:val="SingleTxtG"/>
        <w:tabs>
          <w:tab w:val="left" w:pos="1701"/>
          <w:tab w:val="left" w:pos="1985"/>
        </w:tabs>
      </w:pPr>
      <w:r>
        <w:t>4</w:t>
      </w:r>
      <w:r w:rsidR="00326AF8">
        <w:t>.</w:t>
      </w:r>
      <w:r w:rsidR="005C3BF4">
        <w:t>7</w:t>
      </w:r>
      <w:r w:rsidR="00326AF8">
        <w:t xml:space="preserve"> </w:t>
      </w:r>
      <w:r w:rsidR="00326AF8">
        <w:tab/>
        <w:t xml:space="preserve">In its decision of 19 July 2013, the </w:t>
      </w:r>
      <w:r w:rsidR="001E2A28">
        <w:t xml:space="preserve">Danish Appeals </w:t>
      </w:r>
      <w:r w:rsidR="00326AF8">
        <w:t>Board found no basis for re</w:t>
      </w:r>
      <w:r w:rsidR="003676EC">
        <w:t>-</w:t>
      </w:r>
      <w:r w:rsidR="00326AF8">
        <w:t xml:space="preserve">opening the </w:t>
      </w:r>
      <w:r w:rsidR="001E2A28">
        <w:t xml:space="preserve">asylum </w:t>
      </w:r>
      <w:r w:rsidR="00326AF8">
        <w:t>proceedings</w:t>
      </w:r>
      <w:r w:rsidR="001E2A28">
        <w:t xml:space="preserve"> in favour of the complainant</w:t>
      </w:r>
      <w:r w:rsidR="00326AF8">
        <w:t xml:space="preserve">, nor did </w:t>
      </w:r>
      <w:r w:rsidR="001E2A28">
        <w:t>it</w:t>
      </w:r>
      <w:r w:rsidR="00326AF8">
        <w:t xml:space="preserve"> find any basis for extending the time limit for </w:t>
      </w:r>
      <w:r w:rsidR="001E2A28">
        <w:t xml:space="preserve">his </w:t>
      </w:r>
      <w:r w:rsidR="00326AF8">
        <w:t>departure</w:t>
      </w:r>
      <w:r w:rsidR="00343814">
        <w:t>,</w:t>
      </w:r>
      <w:r w:rsidR="00B9230F">
        <w:t xml:space="preserve"> as </w:t>
      </w:r>
      <w:r w:rsidR="00326AF8">
        <w:t xml:space="preserve">no substantial new information had been </w:t>
      </w:r>
      <w:r w:rsidR="001E2A28">
        <w:t>provided</w:t>
      </w:r>
      <w:r w:rsidR="00326AF8">
        <w:t xml:space="preserve"> compared with the information </w:t>
      </w:r>
      <w:r w:rsidR="001E2A28">
        <w:t>provided</w:t>
      </w:r>
      <w:r w:rsidR="00326AF8">
        <w:t xml:space="preserve"> at the original </w:t>
      </w:r>
      <w:r w:rsidR="001E2A28">
        <w:t xml:space="preserve">appeal </w:t>
      </w:r>
      <w:r w:rsidR="00326AF8">
        <w:t xml:space="preserve">hearing. </w:t>
      </w:r>
      <w:r w:rsidR="00BD4D26">
        <w:t xml:space="preserve">Therefore, the </w:t>
      </w:r>
      <w:r w:rsidR="00326AF8">
        <w:t>Board could not accept the complainant’s statements about conflicts w</w:t>
      </w:r>
      <w:r w:rsidR="0058191D">
        <w:t>i</w:t>
      </w:r>
      <w:r w:rsidR="00326AF8">
        <w:t xml:space="preserve">th the Taliban </w:t>
      </w:r>
      <w:r w:rsidR="001E2A28">
        <w:t xml:space="preserve">as facts </w:t>
      </w:r>
      <w:r w:rsidR="00326AF8">
        <w:t xml:space="preserve">and relied on its </w:t>
      </w:r>
      <w:r w:rsidR="001E2A28">
        <w:t xml:space="preserve">findings in its </w:t>
      </w:r>
      <w:r w:rsidR="00326AF8">
        <w:t xml:space="preserve">decision of 13 January 2012. Concerning the statements made by the complainant </w:t>
      </w:r>
      <w:r w:rsidR="001E2A28">
        <w:t>about</w:t>
      </w:r>
      <w:r w:rsidR="00326AF8">
        <w:t xml:space="preserve"> the information </w:t>
      </w:r>
      <w:r w:rsidR="001E2A28">
        <w:t>provided</w:t>
      </w:r>
      <w:r w:rsidR="00326AF8">
        <w:t xml:space="preserve"> in the asylum registration report, the Board observed that the asylum registration report had been included as part of the cause of the claim for asylum</w:t>
      </w:r>
      <w:r w:rsidR="00013DA4">
        <w:t>,</w:t>
      </w:r>
      <w:r w:rsidR="00326AF8">
        <w:t xml:space="preserve"> as was usual in all asylum cases. </w:t>
      </w:r>
      <w:r w:rsidR="001E2A28">
        <w:t>In that connection, t</w:t>
      </w:r>
      <w:r w:rsidR="00326AF8">
        <w:t>he Board observed that it had based its decision of 13 January 2012 on an overall assessment of all the documents in the case</w:t>
      </w:r>
      <w:r w:rsidR="001E2A28">
        <w:t>, including</w:t>
      </w:r>
      <w:r w:rsidR="00326AF8">
        <w:t xml:space="preserve"> the statements made by the complainant and his spouse and </w:t>
      </w:r>
      <w:r w:rsidR="001E2A28">
        <w:t xml:space="preserve">all </w:t>
      </w:r>
      <w:r w:rsidR="00326AF8">
        <w:t>background material</w:t>
      </w:r>
      <w:r w:rsidR="001E2A28">
        <w:t xml:space="preserve"> available to it</w:t>
      </w:r>
      <w:r w:rsidR="00326AF8">
        <w:t xml:space="preserve"> on </w:t>
      </w:r>
      <w:r w:rsidR="00B9230F">
        <w:t xml:space="preserve">the situation </w:t>
      </w:r>
      <w:r w:rsidR="00326AF8">
        <w:t xml:space="preserve">in Afghanistan. </w:t>
      </w:r>
      <w:r w:rsidR="005E2FCB">
        <w:t>Concerning the complainant’s submission that parts of the statements h</w:t>
      </w:r>
      <w:r w:rsidR="00BD4D26">
        <w:t xml:space="preserve">ad been </w:t>
      </w:r>
      <w:r w:rsidR="001E2A28">
        <w:t xml:space="preserve">incorrectly </w:t>
      </w:r>
      <w:r w:rsidR="00BD4D26">
        <w:t>translated</w:t>
      </w:r>
      <w:r w:rsidR="001E2A28">
        <w:t>,</w:t>
      </w:r>
      <w:r w:rsidR="00BD4D26">
        <w:t xml:space="preserve"> </w:t>
      </w:r>
      <w:r w:rsidR="005E2FCB">
        <w:t xml:space="preserve">the Board observed that errors </w:t>
      </w:r>
      <w:r w:rsidR="00663063">
        <w:t xml:space="preserve">had </w:t>
      </w:r>
      <w:r w:rsidR="005E2FCB">
        <w:t xml:space="preserve">been corrected by the interpreter who had </w:t>
      </w:r>
      <w:r w:rsidR="001E2A28">
        <w:t>attended</w:t>
      </w:r>
      <w:r w:rsidR="005E2FCB">
        <w:t xml:space="preserve"> the interview with the Danish Immigration Service. The Board further observed that the parts of the statements that had been incorrectly or inaccurately translated </w:t>
      </w:r>
      <w:r w:rsidR="001E2A28">
        <w:t xml:space="preserve">were </w:t>
      </w:r>
      <w:r w:rsidR="005E2FCB">
        <w:t xml:space="preserve">not taken into account by either the Danish Immigration Service or the </w:t>
      </w:r>
      <w:r w:rsidR="001E2A28">
        <w:t xml:space="preserve">Danish </w:t>
      </w:r>
      <w:r w:rsidR="008F10FF">
        <w:t>A</w:t>
      </w:r>
      <w:r w:rsidR="001E2A28">
        <w:t xml:space="preserve">ppeals </w:t>
      </w:r>
      <w:r w:rsidR="005E2FCB">
        <w:t xml:space="preserve">Board in their decisions to refuse asylum. </w:t>
      </w:r>
      <w:r w:rsidR="00BD4D26">
        <w:t>The State party adds that d</w:t>
      </w:r>
      <w:r w:rsidR="005E2FCB">
        <w:t>uring the hearing, the Board was able to clear up any misunderstandings that may have arisen in connection with the interpret</w:t>
      </w:r>
      <w:r w:rsidR="00663063">
        <w:t>at</w:t>
      </w:r>
      <w:r w:rsidR="005E2FCB">
        <w:t>i</w:t>
      </w:r>
      <w:r w:rsidR="00663063">
        <w:t>o</w:t>
      </w:r>
      <w:r w:rsidR="005E2FCB">
        <w:t xml:space="preserve">n and translation during previous proceedings by asking </w:t>
      </w:r>
      <w:r w:rsidR="00663063">
        <w:t>additional</w:t>
      </w:r>
      <w:r w:rsidR="005E2FCB">
        <w:t xml:space="preserve"> questions and </w:t>
      </w:r>
      <w:r w:rsidR="00663063">
        <w:t xml:space="preserve">carrying out </w:t>
      </w:r>
      <w:r w:rsidR="005E2FCB">
        <w:t xml:space="preserve">an independent assessment of the applicant’s credibility based on </w:t>
      </w:r>
      <w:r w:rsidR="00663063">
        <w:t xml:space="preserve">his </w:t>
      </w:r>
      <w:r w:rsidR="005E2FCB">
        <w:t xml:space="preserve">statement given at the hearing. </w:t>
      </w:r>
    </w:p>
    <w:p w14:paraId="24B72649" w14:textId="77777777" w:rsidR="00BE31F7" w:rsidRDefault="005B70FC" w:rsidP="00013DA4">
      <w:pPr>
        <w:pStyle w:val="SingleTxtG"/>
        <w:tabs>
          <w:tab w:val="left" w:pos="1701"/>
          <w:tab w:val="left" w:pos="1985"/>
        </w:tabs>
      </w:pPr>
      <w:r>
        <w:t>4</w:t>
      </w:r>
      <w:r w:rsidR="00B36EE6">
        <w:t>.</w:t>
      </w:r>
      <w:r w:rsidR="005C3BF4">
        <w:t>8</w:t>
      </w:r>
      <w:r w:rsidR="00B36EE6">
        <w:t xml:space="preserve"> </w:t>
      </w:r>
      <w:r w:rsidR="00B36EE6">
        <w:tab/>
        <w:t xml:space="preserve">The State party referred to the </w:t>
      </w:r>
      <w:r w:rsidR="00663063">
        <w:t xml:space="preserve">Appeals </w:t>
      </w:r>
      <w:r w:rsidR="00B36EE6">
        <w:t xml:space="preserve">Board’s decision of 20 February 2014 </w:t>
      </w:r>
      <w:r w:rsidR="00D40513">
        <w:t xml:space="preserve">in response </w:t>
      </w:r>
      <w:r w:rsidR="00B36EE6">
        <w:t xml:space="preserve">to the complainant’s request of 20 November 2013 to reopen the asylum proceedings. </w:t>
      </w:r>
      <w:r w:rsidR="00BD4D26">
        <w:t xml:space="preserve">It submits </w:t>
      </w:r>
      <w:r w:rsidR="00D40513">
        <w:t xml:space="preserve">that the complainant explained </w:t>
      </w:r>
      <w:r w:rsidR="00663063">
        <w:t xml:space="preserve">that </w:t>
      </w:r>
      <w:r w:rsidR="00D40513">
        <w:t xml:space="preserve">the inconsistencies between the statements made by </w:t>
      </w:r>
      <w:r w:rsidR="00F92963">
        <w:t xml:space="preserve">him </w:t>
      </w:r>
      <w:r w:rsidR="00D40513">
        <w:t xml:space="preserve">and his spouse </w:t>
      </w:r>
      <w:r w:rsidR="00663063">
        <w:t>were due to</w:t>
      </w:r>
      <w:r w:rsidR="00D40513">
        <w:t xml:space="preserve"> the interpret</w:t>
      </w:r>
      <w:r w:rsidR="00663063">
        <w:t>at</w:t>
      </w:r>
      <w:r w:rsidR="00D40513">
        <w:t>i</w:t>
      </w:r>
      <w:r w:rsidR="00663063">
        <w:t>o</w:t>
      </w:r>
      <w:r w:rsidR="00D40513">
        <w:t xml:space="preserve">n problems at the asylum interviews because they were assigned an </w:t>
      </w:r>
      <w:r w:rsidR="00663063">
        <w:t xml:space="preserve">Iranian </w:t>
      </w:r>
      <w:r w:rsidR="00D40513">
        <w:t>interpreter</w:t>
      </w:r>
      <w:r w:rsidR="00663063">
        <w:t>, who spoke</w:t>
      </w:r>
      <w:r w:rsidR="00D40513">
        <w:t xml:space="preserve"> Farsi, and not </w:t>
      </w:r>
      <w:r w:rsidR="00663063">
        <w:t xml:space="preserve">an </w:t>
      </w:r>
      <w:r w:rsidR="00D40513">
        <w:t>Afghan</w:t>
      </w:r>
      <w:r w:rsidR="00663063">
        <w:t xml:space="preserve"> interpreter</w:t>
      </w:r>
      <w:r w:rsidR="00D40513">
        <w:t>, wh</w:t>
      </w:r>
      <w:r w:rsidR="00663063">
        <w:t>o would have understood</w:t>
      </w:r>
      <w:r w:rsidR="00D40513">
        <w:t xml:space="preserve"> Dari. The complainant </w:t>
      </w:r>
      <w:r w:rsidR="00BD4D26">
        <w:t>alleged</w:t>
      </w:r>
      <w:r w:rsidR="00D40513">
        <w:t xml:space="preserve"> that the interpreter had not understood ordinary everyday words</w:t>
      </w:r>
      <w:r w:rsidR="00663063">
        <w:t xml:space="preserve"> and that </w:t>
      </w:r>
      <w:r w:rsidR="00D40513">
        <w:t xml:space="preserve">the interpreter had told them that it would harm their asylum case to bring </w:t>
      </w:r>
      <w:r w:rsidR="00663063">
        <w:t xml:space="preserve">up </w:t>
      </w:r>
      <w:r w:rsidR="00D40513">
        <w:t>th</w:t>
      </w:r>
      <w:r w:rsidR="00663063">
        <w:t>at</w:t>
      </w:r>
      <w:r w:rsidR="00D40513">
        <w:t xml:space="preserve"> issue. </w:t>
      </w:r>
      <w:r w:rsidR="00BD4D26">
        <w:t>T</w:t>
      </w:r>
      <w:r w:rsidR="00D40513">
        <w:t xml:space="preserve">he police dismissed the complainant’s reservations </w:t>
      </w:r>
      <w:r w:rsidR="009A1AB5">
        <w:t xml:space="preserve">about </w:t>
      </w:r>
      <w:r w:rsidR="00663063">
        <w:t xml:space="preserve">the </w:t>
      </w:r>
      <w:r w:rsidR="009A1AB5">
        <w:t xml:space="preserve">inconsistencies in </w:t>
      </w:r>
      <w:r w:rsidR="00F92963">
        <w:t xml:space="preserve">the </w:t>
      </w:r>
      <w:r w:rsidR="009A1AB5">
        <w:t xml:space="preserve">interpretation. At the </w:t>
      </w:r>
      <w:r w:rsidR="00663063">
        <w:t xml:space="preserve">Appeals </w:t>
      </w:r>
      <w:r w:rsidR="009A1AB5">
        <w:t xml:space="preserve">Board hearing, the complainant and his spouse had therefore </w:t>
      </w:r>
      <w:r w:rsidR="00663063">
        <w:t xml:space="preserve">not </w:t>
      </w:r>
      <w:r w:rsidR="009A1AB5">
        <w:t xml:space="preserve">been able to account for the misunderstandings. According to the State party, the complainant stated that both he and his spouse were uneducated people and that their inability to explain about various circumstances </w:t>
      </w:r>
      <w:r w:rsidR="00663063">
        <w:t>actually</w:t>
      </w:r>
      <w:r w:rsidR="009A1AB5">
        <w:t xml:space="preserve"> showed that they had not invented and coordinated a mendacious story</w:t>
      </w:r>
      <w:r w:rsidR="00663063">
        <w:t>,</w:t>
      </w:r>
      <w:r w:rsidR="009A1AB5">
        <w:t xml:space="preserve"> but that they were traumati</w:t>
      </w:r>
      <w:r w:rsidR="00663063">
        <w:t>z</w:t>
      </w:r>
      <w:r w:rsidR="009A1AB5">
        <w:t xml:space="preserve">ed refugees </w:t>
      </w:r>
      <w:r w:rsidR="00663063">
        <w:t xml:space="preserve">who were </w:t>
      </w:r>
      <w:r w:rsidR="009A1AB5">
        <w:t xml:space="preserve">made </w:t>
      </w:r>
      <w:r w:rsidR="00663063">
        <w:t>nervous</w:t>
      </w:r>
      <w:r w:rsidR="009A1AB5">
        <w:t xml:space="preserve"> by the intense interrogation </w:t>
      </w:r>
      <w:r w:rsidR="00663063">
        <w:t xml:space="preserve">that </w:t>
      </w:r>
      <w:r w:rsidR="009A1AB5">
        <w:t>they had been subjected</w:t>
      </w:r>
      <w:r w:rsidR="00F92963">
        <w:t xml:space="preserve"> to</w:t>
      </w:r>
      <w:r w:rsidR="009A1AB5">
        <w:t xml:space="preserve">. </w:t>
      </w:r>
      <w:r w:rsidR="00057AA7">
        <w:t xml:space="preserve">The complainant added that </w:t>
      </w:r>
      <w:r w:rsidR="009A1AB5">
        <w:t xml:space="preserve">it was well established that the Taliban </w:t>
      </w:r>
      <w:r w:rsidR="00057AA7">
        <w:t>often</w:t>
      </w:r>
      <w:r w:rsidR="009A1AB5">
        <w:t xml:space="preserve"> kidnapped </w:t>
      </w:r>
      <w:r w:rsidR="00057AA7">
        <w:t xml:space="preserve">the </w:t>
      </w:r>
      <w:r w:rsidR="009A1AB5">
        <w:t>sons of wealthy families and demanded a ransom</w:t>
      </w:r>
      <w:r w:rsidR="00013DA4">
        <w:t>;</w:t>
      </w:r>
      <w:r w:rsidR="009A1AB5">
        <w:rPr>
          <w:rStyle w:val="FootnoteReference"/>
        </w:rPr>
        <w:footnoteReference w:id="11"/>
      </w:r>
      <w:r w:rsidR="009A1AB5">
        <w:t xml:space="preserve"> </w:t>
      </w:r>
      <w:r w:rsidR="00057AA7">
        <w:t>he considered</w:t>
      </w:r>
      <w:r w:rsidR="009A1AB5">
        <w:t xml:space="preserve"> the </w:t>
      </w:r>
      <w:r w:rsidR="00013DA4">
        <w:t xml:space="preserve">Board’s </w:t>
      </w:r>
      <w:r w:rsidR="009A1AB5">
        <w:t xml:space="preserve">examination of the case inadequate and </w:t>
      </w:r>
      <w:r w:rsidR="00013DA4">
        <w:t xml:space="preserve">said </w:t>
      </w:r>
      <w:r w:rsidR="009A1AB5">
        <w:t xml:space="preserve">that his and his spouse’s honesty had been unfairly impugned. </w:t>
      </w:r>
      <w:r w:rsidR="00013DA4">
        <w:t>In</w:t>
      </w:r>
      <w:r w:rsidR="00057AA7">
        <w:t xml:space="preserve"> his</w:t>
      </w:r>
      <w:r w:rsidR="00BE31F7">
        <w:t xml:space="preserve"> letter </w:t>
      </w:r>
      <w:r w:rsidR="00013DA4">
        <w:t>dated</w:t>
      </w:r>
      <w:r w:rsidR="00BE31F7">
        <w:t xml:space="preserve"> 26 November 2013, </w:t>
      </w:r>
      <w:r w:rsidR="00013DA4">
        <w:t xml:space="preserve">the complainant included </w:t>
      </w:r>
      <w:r w:rsidR="00BE31F7">
        <w:t>additional information that he had been examined by a doctor and a psychologist</w:t>
      </w:r>
      <w:r w:rsidR="00B400A5">
        <w:t>,</w:t>
      </w:r>
      <w:r w:rsidR="00BE31F7">
        <w:t xml:space="preserve"> who had confirmed that he had been subjected to torture in Afghanistan. </w:t>
      </w:r>
    </w:p>
    <w:p w14:paraId="21448794" w14:textId="77777777" w:rsidR="005270CC" w:rsidRDefault="005B70FC" w:rsidP="00013DA4">
      <w:pPr>
        <w:pStyle w:val="SingleTxtG"/>
        <w:tabs>
          <w:tab w:val="left" w:pos="1701"/>
          <w:tab w:val="left" w:pos="1985"/>
        </w:tabs>
      </w:pPr>
      <w:r>
        <w:t>4</w:t>
      </w:r>
      <w:r w:rsidR="00BE31F7">
        <w:t>.</w:t>
      </w:r>
      <w:r w:rsidR="005C3BF4">
        <w:t>9</w:t>
      </w:r>
      <w:r w:rsidR="00BE31F7">
        <w:tab/>
      </w:r>
      <w:r w:rsidR="00013DA4">
        <w:t>T</w:t>
      </w:r>
      <w:r w:rsidR="00BD4D26">
        <w:t>he State party submits that</w:t>
      </w:r>
      <w:r w:rsidR="00013DA4">
        <w:t>,</w:t>
      </w:r>
      <w:r w:rsidR="00BD4D26">
        <w:t xml:space="preserve"> </w:t>
      </w:r>
      <w:r w:rsidR="00013DA4">
        <w:t>with</w:t>
      </w:r>
      <w:r w:rsidR="00BD4D26">
        <w:t xml:space="preserve"> </w:t>
      </w:r>
      <w:r w:rsidR="00BE31F7">
        <w:t>his letter of 27 November 2013, the complainant forwarded a transcript of his medical records</w:t>
      </w:r>
      <w:r w:rsidR="00013DA4">
        <w:t>,</w:t>
      </w:r>
      <w:r w:rsidR="00BD4D26">
        <w:t xml:space="preserve"> from which it appeared that </w:t>
      </w:r>
      <w:r w:rsidR="002A6197">
        <w:t xml:space="preserve">he </w:t>
      </w:r>
      <w:r w:rsidR="00E468EF">
        <w:t xml:space="preserve">had told </w:t>
      </w:r>
      <w:r w:rsidR="00013DA4">
        <w:t>the</w:t>
      </w:r>
      <w:r w:rsidR="00E468EF">
        <w:t xml:space="preserve"> doctor that he had been subjected to torture, having twice been detained by the Taliban, and that, during his detention, he had been burnt with cigarettes, beaten with electric cables, burnt with metal and rape</w:t>
      </w:r>
      <w:r w:rsidR="00013DA4">
        <w:t>d. T</w:t>
      </w:r>
      <w:r w:rsidR="00E468EF">
        <w:t>he complainant had shown the doctor the scars on his body, and the doctor considered it likely that the pain experienced by the complainant was due to torture and previous lashings o</w:t>
      </w:r>
      <w:r w:rsidR="00013DA4">
        <w:t>n</w:t>
      </w:r>
      <w:r w:rsidR="00E468EF">
        <w:t xml:space="preserve"> his back and that he suffered from post-traumatic stress disorder. The Board still found no basis for re</w:t>
      </w:r>
      <w:r w:rsidR="00013DA4">
        <w:t>-</w:t>
      </w:r>
      <w:r w:rsidR="00E468EF">
        <w:t xml:space="preserve">opening the </w:t>
      </w:r>
      <w:r w:rsidR="00013DA4">
        <w:t xml:space="preserve">asylum </w:t>
      </w:r>
      <w:r w:rsidR="00E468EF">
        <w:t xml:space="preserve">proceedings. It emphasized that no substantial new information had been added to the </w:t>
      </w:r>
      <w:r w:rsidR="00013DA4">
        <w:t xml:space="preserve">complainant’s </w:t>
      </w:r>
      <w:r w:rsidR="00E468EF">
        <w:t>case</w:t>
      </w:r>
      <w:r w:rsidR="00013DA4">
        <w:t>,</w:t>
      </w:r>
      <w:r w:rsidR="00E468EF">
        <w:t xml:space="preserve"> compared with the information </w:t>
      </w:r>
      <w:r w:rsidR="00013DA4">
        <w:t xml:space="preserve">that was made </w:t>
      </w:r>
      <w:r w:rsidR="00E468EF">
        <w:t xml:space="preserve">available at the original </w:t>
      </w:r>
      <w:r w:rsidR="00013DA4">
        <w:t xml:space="preserve">Board </w:t>
      </w:r>
      <w:r w:rsidR="00E468EF">
        <w:t xml:space="preserve">hearing on </w:t>
      </w:r>
      <w:r w:rsidR="00B400A5">
        <w:br/>
      </w:r>
      <w:r w:rsidR="00E468EF">
        <w:t xml:space="preserve">13 January 2012 or at the </w:t>
      </w:r>
      <w:r w:rsidR="00013DA4">
        <w:t xml:space="preserve">time of the </w:t>
      </w:r>
      <w:r w:rsidR="00E468EF">
        <w:t>Board’s refusal of 19 July 2013 to re</w:t>
      </w:r>
      <w:r w:rsidR="000D7472">
        <w:t>-</w:t>
      </w:r>
      <w:r w:rsidR="00E468EF">
        <w:t xml:space="preserve">open the proceedings. </w:t>
      </w:r>
    </w:p>
    <w:p w14:paraId="5D11F010" w14:textId="77777777" w:rsidR="0095593D" w:rsidRDefault="005B70FC">
      <w:pPr>
        <w:pStyle w:val="SingleTxtG"/>
        <w:tabs>
          <w:tab w:val="left" w:pos="1701"/>
          <w:tab w:val="left" w:pos="1985"/>
        </w:tabs>
      </w:pPr>
      <w:r>
        <w:t>4</w:t>
      </w:r>
      <w:r w:rsidR="005270CC">
        <w:t>.1</w:t>
      </w:r>
      <w:r w:rsidR="005C3BF4">
        <w:t>0</w:t>
      </w:r>
      <w:r w:rsidR="005270CC">
        <w:t xml:space="preserve"> </w:t>
      </w:r>
      <w:r w:rsidR="005270CC">
        <w:tab/>
      </w:r>
      <w:r w:rsidR="00A2622E">
        <w:t>C</w:t>
      </w:r>
      <w:r w:rsidR="005270CC">
        <w:t>oncerning the complainant’s allegations of interpret</w:t>
      </w:r>
      <w:r w:rsidR="00077D81">
        <w:t>ation</w:t>
      </w:r>
      <w:r w:rsidR="005270CC">
        <w:t xml:space="preserve"> problems </w:t>
      </w:r>
      <w:r w:rsidR="00A2622E">
        <w:t>during</w:t>
      </w:r>
      <w:r w:rsidR="005270CC">
        <w:t xml:space="preserve"> the asylum interviews, </w:t>
      </w:r>
      <w:r w:rsidR="00A2622E">
        <w:t xml:space="preserve">the State party submits </w:t>
      </w:r>
      <w:r w:rsidR="005270CC">
        <w:t xml:space="preserve">that the </w:t>
      </w:r>
      <w:r w:rsidR="00A2622E">
        <w:t xml:space="preserve">Appeals </w:t>
      </w:r>
      <w:r w:rsidR="005270CC">
        <w:t xml:space="preserve">Board </w:t>
      </w:r>
      <w:r w:rsidR="00A2622E">
        <w:t xml:space="preserve">had </w:t>
      </w:r>
      <w:r w:rsidR="005270CC">
        <w:t>observed that it appeared from the reports o</w:t>
      </w:r>
      <w:r w:rsidR="00A2622E">
        <w:t>n</w:t>
      </w:r>
      <w:r w:rsidR="005270CC">
        <w:t xml:space="preserve"> the </w:t>
      </w:r>
      <w:r w:rsidR="00A2622E">
        <w:t>asylum</w:t>
      </w:r>
      <w:r w:rsidR="005270CC" w:rsidRPr="00077D81">
        <w:t xml:space="preserve"> interviews with the Danish Immigration Service on 10 and 11 May 2011</w:t>
      </w:r>
      <w:r w:rsidR="00A2622E">
        <w:t>,</w:t>
      </w:r>
      <w:r w:rsidR="005270CC" w:rsidRPr="00077D81">
        <w:t xml:space="preserve"> respectively, signed by both</w:t>
      </w:r>
      <w:r w:rsidR="00A2622E">
        <w:t xml:space="preserve"> the complainant and his spouse</w:t>
      </w:r>
      <w:r w:rsidR="005270CC" w:rsidRPr="00077D81">
        <w:t xml:space="preserve">, that they had been interviewed in Dari, their mother tongue. </w:t>
      </w:r>
      <w:r w:rsidR="00A2622E">
        <w:t>A</w:t>
      </w:r>
      <w:r w:rsidR="005270CC" w:rsidRPr="00077D81">
        <w:t>ccording to the reports, the complainant and his spouse had reviewed the reports with the interpreter and had the opportunity to make additions and comments</w:t>
      </w:r>
      <w:r w:rsidR="00A2622E">
        <w:t>.</w:t>
      </w:r>
      <w:r w:rsidR="005270CC" w:rsidRPr="00077D81">
        <w:t xml:space="preserve"> </w:t>
      </w:r>
      <w:r w:rsidR="006E2AC3">
        <w:t>I</w:t>
      </w:r>
      <w:r w:rsidR="005270CC" w:rsidRPr="00077D81">
        <w:t xml:space="preserve">t also appeared that both the complainant and his spouse had stated that there </w:t>
      </w:r>
      <w:r w:rsidR="00A2622E">
        <w:t>were</w:t>
      </w:r>
      <w:r w:rsidR="005270CC" w:rsidRPr="00077D81">
        <w:t xml:space="preserve"> no </w:t>
      </w:r>
      <w:r w:rsidR="00A2622E">
        <w:t xml:space="preserve">problems with the </w:t>
      </w:r>
      <w:r w:rsidR="005270CC" w:rsidRPr="00077D81">
        <w:t>interpret</w:t>
      </w:r>
      <w:r w:rsidR="00077D81">
        <w:t>ation</w:t>
      </w:r>
      <w:r w:rsidR="005270CC" w:rsidRPr="00077D81">
        <w:t xml:space="preserve">. </w:t>
      </w:r>
      <w:r w:rsidR="002A6197" w:rsidRPr="00077D81">
        <w:t>The State party points out that the B</w:t>
      </w:r>
      <w:r w:rsidR="005270CC" w:rsidRPr="00077D81">
        <w:t xml:space="preserve">oard </w:t>
      </w:r>
      <w:r w:rsidR="002A6197" w:rsidRPr="00077D81">
        <w:t xml:space="preserve">observed </w:t>
      </w:r>
      <w:r w:rsidR="005270CC" w:rsidRPr="003C588E">
        <w:t>that the fact that the complainant had allegedly told the police on a later occasion that there had been interpretation</w:t>
      </w:r>
      <w:r w:rsidR="00A2622E">
        <w:t xml:space="preserve"> problems</w:t>
      </w:r>
      <w:r w:rsidR="005270CC" w:rsidRPr="003C588E">
        <w:t xml:space="preserve"> during</w:t>
      </w:r>
      <w:r w:rsidR="005270CC">
        <w:t xml:space="preserve"> the asylum interviews could not lead to a different result. The Board </w:t>
      </w:r>
      <w:r w:rsidR="002A6197">
        <w:t xml:space="preserve">also </w:t>
      </w:r>
      <w:r w:rsidR="005270CC">
        <w:t>observed that</w:t>
      </w:r>
      <w:r w:rsidR="00A2622E">
        <w:t>, at the hearing,</w:t>
      </w:r>
      <w:r w:rsidR="005270CC">
        <w:t xml:space="preserve"> the complainant and his spouse </w:t>
      </w:r>
      <w:r w:rsidR="00A2622E">
        <w:t>did</w:t>
      </w:r>
      <w:r w:rsidR="005270CC">
        <w:t xml:space="preserve"> not draw the Board’s attention to the alleged interpret</w:t>
      </w:r>
      <w:r w:rsidR="00077D81">
        <w:t xml:space="preserve">ation </w:t>
      </w:r>
      <w:r w:rsidR="005270CC">
        <w:t>problems during the previous proceedings.</w:t>
      </w:r>
      <w:r w:rsidR="005F4341">
        <w:rPr>
          <w:rStyle w:val="FootnoteReference"/>
        </w:rPr>
        <w:footnoteReference w:id="12"/>
      </w:r>
    </w:p>
    <w:p w14:paraId="1433719A" w14:textId="77777777" w:rsidR="00AD41B5" w:rsidRDefault="005B70FC" w:rsidP="00F43555">
      <w:pPr>
        <w:pStyle w:val="SingleTxtG"/>
        <w:tabs>
          <w:tab w:val="left" w:pos="1701"/>
          <w:tab w:val="left" w:pos="1985"/>
        </w:tabs>
      </w:pPr>
      <w:r>
        <w:t>4</w:t>
      </w:r>
      <w:r w:rsidR="0095593D">
        <w:t>.1</w:t>
      </w:r>
      <w:r w:rsidR="005C3BF4">
        <w:t>1</w:t>
      </w:r>
      <w:r w:rsidR="0095593D">
        <w:tab/>
        <w:t xml:space="preserve">Concerning the statements by the complainant that it was generally known that sons of wealthy families were kidnapped by the Taliban, the State party </w:t>
      </w:r>
      <w:r w:rsidR="00A2622E">
        <w:t>submits</w:t>
      </w:r>
      <w:r w:rsidR="0095593D">
        <w:t xml:space="preserve"> that the </w:t>
      </w:r>
      <w:r w:rsidR="00A2622E">
        <w:t xml:space="preserve">Danish Appeals </w:t>
      </w:r>
      <w:r w:rsidR="0095593D">
        <w:t xml:space="preserve">Board </w:t>
      </w:r>
      <w:r w:rsidR="00A2622E">
        <w:t xml:space="preserve">had </w:t>
      </w:r>
      <w:r w:rsidR="0095593D">
        <w:t xml:space="preserve">observed that </w:t>
      </w:r>
      <w:r w:rsidR="00A2622E">
        <w:t xml:space="preserve">such </w:t>
      </w:r>
      <w:r w:rsidR="0095593D">
        <w:t xml:space="preserve">information </w:t>
      </w:r>
      <w:r w:rsidR="00F43555">
        <w:t xml:space="preserve">was </w:t>
      </w:r>
      <w:r w:rsidR="0095593D">
        <w:t xml:space="preserve">of a general nature </w:t>
      </w:r>
      <w:r w:rsidR="00F43555">
        <w:t>and</w:t>
      </w:r>
      <w:r w:rsidR="0095593D">
        <w:t xml:space="preserve"> deemed to have no bearing on the complainant’s specific conflict. The Board </w:t>
      </w:r>
      <w:r w:rsidR="00F43555">
        <w:t>also</w:t>
      </w:r>
      <w:r w:rsidR="0095593D">
        <w:t xml:space="preserve"> observed that, according to </w:t>
      </w:r>
      <w:r w:rsidR="002A6197">
        <w:t xml:space="preserve">its </w:t>
      </w:r>
      <w:r w:rsidR="0095593D">
        <w:t>background material</w:t>
      </w:r>
      <w:r w:rsidR="002A6197">
        <w:t xml:space="preserve">, </w:t>
      </w:r>
      <w:r w:rsidR="0095593D">
        <w:t xml:space="preserve">including the </w:t>
      </w:r>
      <w:r w:rsidR="00F43555">
        <w:t xml:space="preserve">Danish Immigration Service </w:t>
      </w:r>
      <w:r w:rsidR="0095593D">
        <w:t xml:space="preserve">report of 29 May 2012, </w:t>
      </w:r>
      <w:r w:rsidR="00D20058">
        <w:t>“</w:t>
      </w:r>
      <w:r w:rsidR="0095593D">
        <w:t>Country of Origin Information for Use in the Asylum Determination Process</w:t>
      </w:r>
      <w:r w:rsidR="00D20058">
        <w:t>”</w:t>
      </w:r>
      <w:r w:rsidR="0095593D">
        <w:t>, the Taliban mainly recruit ethnic Pashtuns, and the complainant is an ethnic Tajik. The medical records forwarded by the complainant with his letter of 27 November 2013 could not lead to a different assessment of the case</w:t>
      </w:r>
      <w:r w:rsidR="00F43555">
        <w:t xml:space="preserve"> and t</w:t>
      </w:r>
      <w:r w:rsidR="0095593D">
        <w:t>he Board still found that the complainant and his spouse had failed to substantiate that they would be at a real risk of persecution o</w:t>
      </w:r>
      <w:r w:rsidR="00F43555">
        <w:t>r</w:t>
      </w:r>
      <w:r w:rsidR="0095593D">
        <w:t xml:space="preserve"> abuse </w:t>
      </w:r>
      <w:r w:rsidR="00F43555">
        <w:t>under</w:t>
      </w:r>
      <w:r w:rsidR="0095593D">
        <w:t xml:space="preserve"> section 7 of the Aliens Act </w:t>
      </w:r>
      <w:r w:rsidR="00F43555">
        <w:t>if they were to</w:t>
      </w:r>
      <w:r w:rsidR="0095593D">
        <w:t xml:space="preserve"> return to Afghanistan. The Board therefore relied entirely on its decisions of 13 January 2012 and 19 July 2013. </w:t>
      </w:r>
      <w:r w:rsidR="00F43555">
        <w:t>On 3 December 2013, further to the Committee’s request, t</w:t>
      </w:r>
      <w:r w:rsidR="0095593D">
        <w:t xml:space="preserve">he Board suspended the </w:t>
      </w:r>
      <w:r w:rsidR="00F43555">
        <w:t>date</w:t>
      </w:r>
      <w:r w:rsidR="0095593D">
        <w:t xml:space="preserve"> for the complainant and his spouse’s departure</w:t>
      </w:r>
      <w:r w:rsidR="00F43555">
        <w:t xml:space="preserve"> from the State party</w:t>
      </w:r>
      <w:r w:rsidR="0095593D">
        <w:t xml:space="preserve">. </w:t>
      </w:r>
    </w:p>
    <w:p w14:paraId="1499E7FB" w14:textId="77777777" w:rsidR="00F55E32" w:rsidRDefault="005B70FC" w:rsidP="009934E2">
      <w:pPr>
        <w:pStyle w:val="SingleTxtG"/>
        <w:tabs>
          <w:tab w:val="left" w:pos="1701"/>
          <w:tab w:val="left" w:pos="1985"/>
        </w:tabs>
      </w:pPr>
      <w:r>
        <w:t>4</w:t>
      </w:r>
      <w:r w:rsidR="00AD41B5">
        <w:t>.1</w:t>
      </w:r>
      <w:r w:rsidR="005C3BF4">
        <w:t>2</w:t>
      </w:r>
      <w:r w:rsidR="00AD41B5">
        <w:tab/>
        <w:t xml:space="preserve">The State </w:t>
      </w:r>
      <w:r w:rsidR="002A6197">
        <w:t xml:space="preserve">party </w:t>
      </w:r>
      <w:r w:rsidR="00AD41B5">
        <w:t>submits that the complainant has failed to establish a prima facie case for the purpose of admissibility under article 22 of the Convention</w:t>
      </w:r>
      <w:r w:rsidR="009934E2">
        <w:t>. He has not provided sufficient information to enable the Danish Appeals Board to</w:t>
      </w:r>
      <w:r w:rsidR="00AD41B5">
        <w:t xml:space="preserve"> establish that there are substantial grounds for believing that the complainant </w:t>
      </w:r>
      <w:r w:rsidR="009934E2">
        <w:t>would be</w:t>
      </w:r>
      <w:r w:rsidR="00AD41B5">
        <w:t xml:space="preserve"> in danger of being subjected to torture </w:t>
      </w:r>
      <w:r w:rsidR="009934E2">
        <w:t xml:space="preserve">if returned to </w:t>
      </w:r>
      <w:r w:rsidR="00AD41B5">
        <w:t xml:space="preserve">Afghanistan. </w:t>
      </w:r>
      <w:r w:rsidR="009934E2">
        <w:t>Th</w:t>
      </w:r>
      <w:r w:rsidR="00C50345">
        <w:t>e State party</w:t>
      </w:r>
      <w:r w:rsidR="009934E2">
        <w:t xml:space="preserve"> is of the view that</w:t>
      </w:r>
      <w:r w:rsidR="00C50345">
        <w:t xml:space="preserve"> t</w:t>
      </w:r>
      <w:r w:rsidR="000A5E21">
        <w:t xml:space="preserve">his </w:t>
      </w:r>
      <w:r w:rsidR="00AD41B5">
        <w:t xml:space="preserve">part of the communication </w:t>
      </w:r>
      <w:r w:rsidR="000A5E21">
        <w:t xml:space="preserve">should be considered </w:t>
      </w:r>
      <w:r w:rsidR="00AD41B5">
        <w:t xml:space="preserve">manifestly ill-founded and inadmissible. </w:t>
      </w:r>
      <w:r w:rsidR="000A5E21">
        <w:t>T</w:t>
      </w:r>
      <w:r w:rsidR="00AD41B5">
        <w:t>he State party</w:t>
      </w:r>
      <w:r w:rsidR="000A5E21">
        <w:t xml:space="preserve"> </w:t>
      </w:r>
      <w:r w:rsidR="009934E2">
        <w:t>considers</w:t>
      </w:r>
      <w:r w:rsidR="000A5E21">
        <w:t xml:space="preserve"> that </w:t>
      </w:r>
      <w:r w:rsidR="00AD41B5">
        <w:t xml:space="preserve">the complainant is trying to use the Committee as an appellate body </w:t>
      </w:r>
      <w:r w:rsidR="009934E2">
        <w:t xml:space="preserve">in order </w:t>
      </w:r>
      <w:r w:rsidR="00AD41B5">
        <w:t xml:space="preserve">to </w:t>
      </w:r>
      <w:r w:rsidR="000A5E21">
        <w:t xml:space="preserve">have the factual circumstances </w:t>
      </w:r>
      <w:r w:rsidR="00AD41B5">
        <w:t xml:space="preserve">in support of his </w:t>
      </w:r>
      <w:r w:rsidR="000A5E21">
        <w:t xml:space="preserve">asylum </w:t>
      </w:r>
      <w:r w:rsidR="00AD41B5">
        <w:t>claim re</w:t>
      </w:r>
      <w:r w:rsidR="009934E2">
        <w:t>-</w:t>
      </w:r>
      <w:r w:rsidR="00AD41B5">
        <w:t xml:space="preserve">assessed. </w:t>
      </w:r>
    </w:p>
    <w:p w14:paraId="6F654326" w14:textId="77777777" w:rsidR="007B0AEE" w:rsidRDefault="005B70FC" w:rsidP="00814438">
      <w:pPr>
        <w:pStyle w:val="SingleTxtG"/>
        <w:tabs>
          <w:tab w:val="left" w:pos="1701"/>
          <w:tab w:val="left" w:pos="1985"/>
        </w:tabs>
      </w:pPr>
      <w:r>
        <w:t>4</w:t>
      </w:r>
      <w:r w:rsidR="00F55E32">
        <w:t>.1</w:t>
      </w:r>
      <w:r w:rsidR="005C3BF4">
        <w:t>3</w:t>
      </w:r>
      <w:r w:rsidR="00F55E32">
        <w:tab/>
        <w:t xml:space="preserve">In that connection, </w:t>
      </w:r>
      <w:r w:rsidR="009934E2">
        <w:t xml:space="preserve">the State party </w:t>
      </w:r>
      <w:r w:rsidR="00F55E32">
        <w:t>refer</w:t>
      </w:r>
      <w:r w:rsidR="009934E2">
        <w:t>s</w:t>
      </w:r>
      <w:r w:rsidR="00F55E32">
        <w:t xml:space="preserve"> to the case</w:t>
      </w:r>
      <w:r w:rsidR="009934E2">
        <w:t xml:space="preserve"> </w:t>
      </w:r>
      <w:r w:rsidR="00F55E32">
        <w:t xml:space="preserve">law of the Committee, which </w:t>
      </w:r>
      <w:r w:rsidR="00167492">
        <w:t>states</w:t>
      </w:r>
      <w:r w:rsidR="00F55E32">
        <w:t xml:space="preserve"> that due weight must be accorded to findings of fact made by domestic, judicial or competent government authorities unless it can be demonstrated that such findings are arbitrary or unreasonable.</w:t>
      </w:r>
      <w:r w:rsidR="005F4341">
        <w:rPr>
          <w:rStyle w:val="FootnoteReference"/>
        </w:rPr>
        <w:footnoteReference w:id="13"/>
      </w:r>
      <w:r w:rsidR="00F55E32">
        <w:t xml:space="preserve"> </w:t>
      </w:r>
      <w:r w:rsidR="00D5379A">
        <w:t>T</w:t>
      </w:r>
      <w:r w:rsidR="007B0AEE">
        <w:t>he Committee has stated</w:t>
      </w:r>
      <w:r w:rsidR="00D5379A">
        <w:t xml:space="preserve"> in its case law</w:t>
      </w:r>
      <w:r w:rsidR="007B0AEE">
        <w:t xml:space="preserve"> that it is for the courts of the States parties to the Convention, and not the Committee, to evaluate facts and evidence in a particular case and it is for the appellate courts of States parties to the Convention to examine the conduct of a case, unless it can be ascertained that the manner in which the evidence was evaluated was clearly arbitrary or amounted to a denial of justice, or that the officers had clearly violated their obligations of impartiality.</w:t>
      </w:r>
      <w:r w:rsidR="009D4398">
        <w:rPr>
          <w:rStyle w:val="FootnoteReference"/>
        </w:rPr>
        <w:footnoteReference w:id="14"/>
      </w:r>
    </w:p>
    <w:p w14:paraId="1ACE0723" w14:textId="77777777" w:rsidR="00412584" w:rsidRDefault="005B70FC">
      <w:pPr>
        <w:pStyle w:val="SingleTxtG"/>
        <w:tabs>
          <w:tab w:val="left" w:pos="1701"/>
          <w:tab w:val="left" w:pos="1985"/>
        </w:tabs>
      </w:pPr>
      <w:r>
        <w:t>4</w:t>
      </w:r>
      <w:r w:rsidR="007B0AEE">
        <w:t>.1</w:t>
      </w:r>
      <w:r w:rsidR="005C3BF4">
        <w:t>4</w:t>
      </w:r>
      <w:r w:rsidR="007B0AEE">
        <w:t xml:space="preserve"> </w:t>
      </w:r>
      <w:r w:rsidR="007B0AEE">
        <w:tab/>
        <w:t>The State party submits that in the present case, the decision to uphold the refusal of the Danish Immigration Service to grant asylum</w:t>
      </w:r>
      <w:r w:rsidR="00D5379A">
        <w:t xml:space="preserve"> to the complainant and his spouse</w:t>
      </w:r>
      <w:r w:rsidR="007B0AEE">
        <w:t xml:space="preserve"> was made by the </w:t>
      </w:r>
      <w:r w:rsidR="00D5379A">
        <w:t xml:space="preserve">Danish Appeals </w:t>
      </w:r>
      <w:r w:rsidR="007B0AEE">
        <w:t>Board</w:t>
      </w:r>
      <w:r w:rsidR="00077D81">
        <w:t xml:space="preserve"> </w:t>
      </w:r>
      <w:r w:rsidR="00562A03">
        <w:t>—</w:t>
      </w:r>
      <w:r w:rsidR="007B0AEE">
        <w:t xml:space="preserve"> a collegia</w:t>
      </w:r>
      <w:r w:rsidR="00077D81">
        <w:t xml:space="preserve">l, </w:t>
      </w:r>
      <w:r w:rsidR="007B0AEE">
        <w:t>independent</w:t>
      </w:r>
      <w:r w:rsidR="00077D81">
        <w:t xml:space="preserve"> and</w:t>
      </w:r>
      <w:r w:rsidR="007B0AEE">
        <w:t xml:space="preserve"> quasi-judicial body. The decision was made on the basis of a </w:t>
      </w:r>
      <w:r w:rsidR="00D5379A">
        <w:t xml:space="preserve">hearing </w:t>
      </w:r>
      <w:r w:rsidR="007B0AEE">
        <w:t>procedure</w:t>
      </w:r>
      <w:r w:rsidR="00D5379A">
        <w:t>,</w:t>
      </w:r>
      <w:r w:rsidR="007B0AEE">
        <w:t xml:space="preserve"> during which the complainant had the opportunity to present his views to the Board with the assistance of legal counsel. The Board has </w:t>
      </w:r>
      <w:r w:rsidR="000A5E21">
        <w:t xml:space="preserve">thus </w:t>
      </w:r>
      <w:r w:rsidR="007B0AEE">
        <w:t xml:space="preserve">conducted a comprehensive and thorough examination of the evidence in the case. Moreover, on two occasions </w:t>
      </w:r>
      <w:r w:rsidR="00562A03">
        <w:t>—</w:t>
      </w:r>
      <w:r w:rsidR="007B0AEE">
        <w:t xml:space="preserve"> in its decision</w:t>
      </w:r>
      <w:r w:rsidR="00D5379A">
        <w:t>s</w:t>
      </w:r>
      <w:r w:rsidR="007B0AEE">
        <w:t xml:space="preserve"> of 19 July 2013 and of 20 February 2014 </w:t>
      </w:r>
      <w:r w:rsidR="00562A03">
        <w:t>—</w:t>
      </w:r>
      <w:r w:rsidR="007B0AEE">
        <w:t xml:space="preserve"> the Board found that there was no basis for re</w:t>
      </w:r>
      <w:r w:rsidR="00D5379A">
        <w:t>-</w:t>
      </w:r>
      <w:r w:rsidR="007B0AEE">
        <w:t xml:space="preserve">opening the </w:t>
      </w:r>
      <w:r w:rsidR="00D5379A">
        <w:t xml:space="preserve">asylum </w:t>
      </w:r>
      <w:r w:rsidR="007B0AEE">
        <w:t xml:space="preserve">proceedings. </w:t>
      </w:r>
    </w:p>
    <w:p w14:paraId="6CF486C7" w14:textId="77777777" w:rsidR="00412584" w:rsidRDefault="005B70FC" w:rsidP="00697307">
      <w:pPr>
        <w:pStyle w:val="SingleTxtG"/>
        <w:tabs>
          <w:tab w:val="left" w:pos="1701"/>
          <w:tab w:val="left" w:pos="1985"/>
        </w:tabs>
      </w:pPr>
      <w:r>
        <w:t>4</w:t>
      </w:r>
      <w:r w:rsidR="000A2B48">
        <w:t>.1</w:t>
      </w:r>
      <w:r w:rsidR="005C3BF4">
        <w:t>5</w:t>
      </w:r>
      <w:r w:rsidR="000A2B48">
        <w:t xml:space="preserve"> </w:t>
      </w:r>
      <w:r w:rsidR="000A2B48">
        <w:tab/>
      </w:r>
      <w:r w:rsidR="00D5379A">
        <w:t>With regard to</w:t>
      </w:r>
      <w:r w:rsidR="000A2B48">
        <w:t xml:space="preserve"> the merits, the State party argues that</w:t>
      </w:r>
      <w:r w:rsidR="00D5379A">
        <w:t>,</w:t>
      </w:r>
      <w:r w:rsidR="000A2B48">
        <w:t xml:space="preserve"> should the Committee consider the communication admissible, the complainant has not sufficiently established that </w:t>
      </w:r>
      <w:r w:rsidR="00584405">
        <w:t xml:space="preserve">his return to Afghanistan </w:t>
      </w:r>
      <w:r w:rsidR="000A2B48">
        <w:t xml:space="preserve">would constitute a violation of article 3 of the Convention. </w:t>
      </w:r>
      <w:r w:rsidR="000A5E21">
        <w:t>It</w:t>
      </w:r>
      <w:r w:rsidR="000A2B48">
        <w:t xml:space="preserve"> maintains that the complainant must establish that he would be in danger of being tortured if returned to Afghanistan and that such danger is personal and present.</w:t>
      </w:r>
      <w:r w:rsidR="009D4398">
        <w:rPr>
          <w:rStyle w:val="FootnoteReference"/>
        </w:rPr>
        <w:footnoteReference w:id="15"/>
      </w:r>
      <w:r w:rsidR="000A2B48">
        <w:t xml:space="preserve"> The State party submits that the complainant has not substantiated that he will face </w:t>
      </w:r>
      <w:r w:rsidR="00584405">
        <w:t xml:space="preserve">a </w:t>
      </w:r>
      <w:r w:rsidR="000A2B48">
        <w:t>foreseeable, real and personal risk of being tortured in the country to which he is returned.</w:t>
      </w:r>
      <w:r w:rsidR="00F543E1">
        <w:rPr>
          <w:rStyle w:val="FootnoteReference"/>
        </w:rPr>
        <w:footnoteReference w:id="16"/>
      </w:r>
      <w:r w:rsidR="000A2B48">
        <w:t xml:space="preserve"> As the Committee </w:t>
      </w:r>
      <w:r w:rsidR="00697307">
        <w:t>has stated</w:t>
      </w:r>
      <w:r w:rsidR="000A2B48">
        <w:t xml:space="preserve"> on numerous occasions, the existence of a consistent pattern of gross, flagrant or mass violations of human rights in a country does not, as such, constitute a sufficient ground for determining that a particular person would be in danger of being subjected to torture upon his return to </w:t>
      </w:r>
      <w:r w:rsidR="003673ED">
        <w:t>that country, as additional grounds must exist to show that the individual concerned would be personally at risk.</w:t>
      </w:r>
      <w:r w:rsidR="003673ED">
        <w:rPr>
          <w:rStyle w:val="FootnoteReference"/>
        </w:rPr>
        <w:footnoteReference w:id="17"/>
      </w:r>
      <w:r w:rsidR="00FD44CF">
        <w:t xml:space="preserve"> </w:t>
      </w:r>
    </w:p>
    <w:p w14:paraId="7BE381EA" w14:textId="77777777" w:rsidR="004B6769" w:rsidRDefault="005B70FC">
      <w:pPr>
        <w:pStyle w:val="SingleTxtG"/>
        <w:tabs>
          <w:tab w:val="left" w:pos="1701"/>
          <w:tab w:val="left" w:pos="1985"/>
        </w:tabs>
      </w:pPr>
      <w:r>
        <w:t>4</w:t>
      </w:r>
      <w:r w:rsidR="009E4315">
        <w:t>.1</w:t>
      </w:r>
      <w:r w:rsidR="005C3BF4">
        <w:t>6</w:t>
      </w:r>
      <w:r w:rsidR="009E4315">
        <w:tab/>
      </w:r>
      <w:r w:rsidR="00237E2D">
        <w:t xml:space="preserve">The State party also observes that </w:t>
      </w:r>
      <w:r w:rsidR="00697307">
        <w:t xml:space="preserve">in its decision of 13 January 2012, </w:t>
      </w:r>
      <w:r w:rsidR="00237E2D">
        <w:t xml:space="preserve">the majority of the </w:t>
      </w:r>
      <w:r w:rsidR="00697307">
        <w:t xml:space="preserve">members of the Appeals </w:t>
      </w:r>
      <w:r w:rsidR="00237E2D">
        <w:t xml:space="preserve">Board </w:t>
      </w:r>
      <w:r w:rsidR="00697307">
        <w:t xml:space="preserve">had </w:t>
      </w:r>
      <w:r w:rsidR="00237E2D">
        <w:t xml:space="preserve">found that the complainant had failed to substantiate his grounds for seeking asylum. The majority found that the complainant’s statements about the detentions had been inconsistent and elaborative. </w:t>
      </w:r>
      <w:r w:rsidR="000A5E21">
        <w:t xml:space="preserve">It </w:t>
      </w:r>
      <w:r w:rsidR="00237E2D">
        <w:t>took into account</w:t>
      </w:r>
      <w:r w:rsidR="006E2AC3">
        <w:t xml:space="preserve"> that</w:t>
      </w:r>
      <w:r w:rsidR="00237E2D">
        <w:t>, inter alia, in the asylum registration reports</w:t>
      </w:r>
      <w:r w:rsidR="00697307">
        <w:t>,</w:t>
      </w:r>
      <w:r w:rsidR="00237E2D">
        <w:t xml:space="preserve"> the complainant and his spouse had only mentioned a kidnapping committed by a gang of robbers or criminals.</w:t>
      </w:r>
      <w:r w:rsidR="004B6769">
        <w:t xml:space="preserve"> Accordingly, the majority of the</w:t>
      </w:r>
      <w:r w:rsidR="00697307">
        <w:t xml:space="preserve"> members of the</w:t>
      </w:r>
      <w:r w:rsidR="004B6769">
        <w:t xml:space="preserve"> Board could not accept as a fact that </w:t>
      </w:r>
      <w:r w:rsidR="00697307">
        <w:t xml:space="preserve">it was the Taliban who </w:t>
      </w:r>
      <w:r w:rsidR="004B6769">
        <w:t xml:space="preserve">had kidnapped the </w:t>
      </w:r>
      <w:r w:rsidR="00697307">
        <w:t>complainant</w:t>
      </w:r>
      <w:r w:rsidR="004B6769">
        <w:t>. Therefore, the Board found as a fact</w:t>
      </w:r>
      <w:r w:rsidR="00697307">
        <w:t>,</w:t>
      </w:r>
      <w:r w:rsidR="004B6769">
        <w:t xml:space="preserve"> in an overall view</w:t>
      </w:r>
      <w:r w:rsidR="00697307">
        <w:t>,</w:t>
      </w:r>
      <w:r w:rsidR="004B6769">
        <w:t xml:space="preserve"> that the complainant’s kidnapping was a criminal act and that the complainant would not be at </w:t>
      </w:r>
      <w:r w:rsidR="00697307">
        <w:t xml:space="preserve">a </w:t>
      </w:r>
      <w:r w:rsidR="004B6769">
        <w:t xml:space="preserve">real risk of persecution </w:t>
      </w:r>
      <w:r w:rsidR="00697307">
        <w:t xml:space="preserve">as set out </w:t>
      </w:r>
      <w:r w:rsidR="004B6769">
        <w:t xml:space="preserve">in section 7 (1) of the Aliens Act or </w:t>
      </w:r>
      <w:r w:rsidR="00697307">
        <w:t xml:space="preserve">of </w:t>
      </w:r>
      <w:r w:rsidR="004B6769">
        <w:t xml:space="preserve">abuse </w:t>
      </w:r>
      <w:r w:rsidR="00697307">
        <w:t xml:space="preserve">under </w:t>
      </w:r>
      <w:r w:rsidR="004B6769">
        <w:t>section 7</w:t>
      </w:r>
      <w:r w:rsidR="00697307">
        <w:t xml:space="preserve"> </w:t>
      </w:r>
      <w:r w:rsidR="004B6769">
        <w:t>(2) of the Aliens Act</w:t>
      </w:r>
      <w:r w:rsidR="006E2AC3">
        <w:t>,</w:t>
      </w:r>
      <w:r w:rsidR="004B6769">
        <w:t xml:space="preserve"> i</w:t>
      </w:r>
      <w:r w:rsidR="00697307">
        <w:t>f he were</w:t>
      </w:r>
      <w:r w:rsidR="004B6769">
        <w:t xml:space="preserve"> retur</w:t>
      </w:r>
      <w:r w:rsidR="000A5E21">
        <w:t>n</w:t>
      </w:r>
      <w:r w:rsidR="00697307">
        <w:t>ed</w:t>
      </w:r>
      <w:r w:rsidR="000A5E21">
        <w:t xml:space="preserve"> to his country of origin. </w:t>
      </w:r>
      <w:r w:rsidR="00697307">
        <w:t>Consequently, t</w:t>
      </w:r>
      <w:r w:rsidR="000A5E21">
        <w:t xml:space="preserve">he </w:t>
      </w:r>
      <w:r w:rsidR="004B6769">
        <w:t xml:space="preserve">Board dismissed the complainant’s statement about his grounds for asylum as lacking in credibility. </w:t>
      </w:r>
    </w:p>
    <w:p w14:paraId="61FBF780" w14:textId="77777777" w:rsidR="00AE5990" w:rsidRDefault="005B70FC" w:rsidP="00730432">
      <w:pPr>
        <w:pStyle w:val="SingleTxtG"/>
        <w:tabs>
          <w:tab w:val="left" w:pos="1701"/>
          <w:tab w:val="left" w:pos="1985"/>
        </w:tabs>
      </w:pPr>
      <w:r>
        <w:t>4</w:t>
      </w:r>
      <w:r w:rsidR="004B6769">
        <w:t>.1</w:t>
      </w:r>
      <w:r w:rsidR="005C3BF4">
        <w:t>7</w:t>
      </w:r>
      <w:r w:rsidR="004B6769">
        <w:t xml:space="preserve"> </w:t>
      </w:r>
      <w:r w:rsidR="004B6769">
        <w:tab/>
      </w:r>
      <w:r w:rsidR="004B6769" w:rsidRPr="00C33AE9">
        <w:t>The State party</w:t>
      </w:r>
      <w:r w:rsidR="004B6769">
        <w:t xml:space="preserve"> </w:t>
      </w:r>
      <w:r w:rsidR="005C3BF4">
        <w:t xml:space="preserve">also </w:t>
      </w:r>
      <w:r w:rsidR="004B6769">
        <w:t>refer</w:t>
      </w:r>
      <w:r w:rsidR="00C33AE9">
        <w:t>s</w:t>
      </w:r>
      <w:r w:rsidR="004B6769">
        <w:t xml:space="preserve"> to the fact that the complainant g</w:t>
      </w:r>
      <w:r w:rsidR="00C33AE9">
        <w:t>ave</w:t>
      </w:r>
      <w:r w:rsidR="004B6769">
        <w:t xml:space="preserve"> inconsistent statements about the purpose of his kidnappings. </w:t>
      </w:r>
      <w:r w:rsidR="00C33AE9">
        <w:t xml:space="preserve">He and </w:t>
      </w:r>
      <w:r w:rsidR="004B6769">
        <w:t>his spouse</w:t>
      </w:r>
      <w:r w:rsidR="00C33AE9">
        <w:t xml:space="preserve"> </w:t>
      </w:r>
      <w:r w:rsidR="004B6769">
        <w:t xml:space="preserve">have given inconsistent statements about when and how </w:t>
      </w:r>
      <w:r w:rsidR="00C33AE9">
        <w:t>his</w:t>
      </w:r>
      <w:r w:rsidR="004B6769">
        <w:t xml:space="preserve"> spouse </w:t>
      </w:r>
      <w:r w:rsidR="00C33AE9">
        <w:t>learned about</w:t>
      </w:r>
      <w:r w:rsidR="00584405">
        <w:t xml:space="preserve"> the </w:t>
      </w:r>
      <w:r w:rsidR="004B6769">
        <w:t>kidnapp</w:t>
      </w:r>
      <w:r w:rsidR="00584405">
        <w:t>ing</w:t>
      </w:r>
      <w:r w:rsidR="004B6769">
        <w:t xml:space="preserve"> and that it was </w:t>
      </w:r>
      <w:r w:rsidR="00584405">
        <w:t xml:space="preserve">carried out by </w:t>
      </w:r>
      <w:r w:rsidR="004B6769">
        <w:t>the Taliban</w:t>
      </w:r>
      <w:r w:rsidR="00C33AE9">
        <w:t xml:space="preserve"> and </w:t>
      </w:r>
      <w:r w:rsidR="004B6769">
        <w:t xml:space="preserve">about the scope of </w:t>
      </w:r>
      <w:r w:rsidR="00C33AE9">
        <w:t>his</w:t>
      </w:r>
      <w:r w:rsidR="004B6769">
        <w:t xml:space="preserve"> injuries as a consequence of the abuse. The State party </w:t>
      </w:r>
      <w:r w:rsidR="005C3BF4">
        <w:t xml:space="preserve">adds </w:t>
      </w:r>
      <w:r w:rsidR="004B6769">
        <w:t>that the complainant g</w:t>
      </w:r>
      <w:r w:rsidR="00C33AE9">
        <w:t>ave</w:t>
      </w:r>
      <w:r w:rsidR="004B6769">
        <w:t xml:space="preserve"> an incoherent statement about his release after the second kidnapping, including </w:t>
      </w:r>
      <w:r w:rsidR="00C33AE9">
        <w:t xml:space="preserve">as to </w:t>
      </w:r>
      <w:r w:rsidR="00F36FA5">
        <w:t xml:space="preserve">how the person who </w:t>
      </w:r>
      <w:r w:rsidR="00C33AE9">
        <w:t>helped him</w:t>
      </w:r>
      <w:r w:rsidR="00F36FA5">
        <w:t xml:space="preserve"> to escape</w:t>
      </w:r>
      <w:r w:rsidR="00C33AE9">
        <w:t xml:space="preserve"> from his kidnappers was able to</w:t>
      </w:r>
      <w:r w:rsidR="00F36FA5">
        <w:t xml:space="preserve"> freely enter the </w:t>
      </w:r>
      <w:r w:rsidR="00C33AE9">
        <w:t xml:space="preserve">place where he </w:t>
      </w:r>
      <w:r w:rsidR="00F36FA5">
        <w:t xml:space="preserve">was </w:t>
      </w:r>
      <w:r w:rsidR="00C33AE9">
        <w:t>being held</w:t>
      </w:r>
      <w:r w:rsidR="00F36FA5">
        <w:t xml:space="preserve">. Concerning the complainant’s statement that he </w:t>
      </w:r>
      <w:r w:rsidR="00C33AE9">
        <w:t>does not know</w:t>
      </w:r>
      <w:r w:rsidR="00584405">
        <w:t xml:space="preserve"> </w:t>
      </w:r>
      <w:r w:rsidR="00F36FA5">
        <w:t xml:space="preserve">how the Taliban found him in Kabul, the State party observes that, according to the background information available, Kabul is a rapidly growing city with more than three million inhabitants and </w:t>
      </w:r>
      <w:r w:rsidR="00C33AE9">
        <w:t>with</w:t>
      </w:r>
      <w:r w:rsidR="00F36FA5">
        <w:t xml:space="preserve"> no central registration of inhabitants. It </w:t>
      </w:r>
      <w:r w:rsidR="00C33AE9">
        <w:t>was</w:t>
      </w:r>
      <w:r w:rsidR="00F36FA5">
        <w:t xml:space="preserve"> therefore deemed unlikely that the Taliban w</w:t>
      </w:r>
      <w:r w:rsidR="00C33AE9">
        <w:t>ould have been</w:t>
      </w:r>
      <w:r w:rsidR="00F36FA5">
        <w:t xml:space="preserve"> able to find the complainant there, </w:t>
      </w:r>
      <w:r w:rsidR="00C33AE9">
        <w:t xml:space="preserve">in </w:t>
      </w:r>
      <w:r w:rsidR="00F36FA5">
        <w:t>particular</w:t>
      </w:r>
      <w:r w:rsidR="00C33AE9">
        <w:t xml:space="preserve"> since, as</w:t>
      </w:r>
      <w:r w:rsidR="00F36FA5">
        <w:t xml:space="preserve"> the complainant stated</w:t>
      </w:r>
      <w:r w:rsidR="00C33AE9">
        <w:t>,</w:t>
      </w:r>
      <w:r w:rsidR="00F36FA5">
        <w:t xml:space="preserve"> nobody knew where they were. The </w:t>
      </w:r>
      <w:r w:rsidR="00C33AE9">
        <w:t xml:space="preserve">Appeals </w:t>
      </w:r>
      <w:r w:rsidR="00F36FA5">
        <w:t xml:space="preserve">Board could not find as a fact that </w:t>
      </w:r>
      <w:r w:rsidR="00730432">
        <w:t xml:space="preserve">it was the Taliban who had kidnapped </w:t>
      </w:r>
      <w:r w:rsidR="00F36FA5">
        <w:t xml:space="preserve">the complainant or that </w:t>
      </w:r>
      <w:r w:rsidR="00730432">
        <w:t xml:space="preserve">it was the Taliban who had </w:t>
      </w:r>
      <w:r w:rsidR="00F36FA5">
        <w:t xml:space="preserve">subjected </w:t>
      </w:r>
      <w:r w:rsidR="00730432">
        <w:t xml:space="preserve">him </w:t>
      </w:r>
      <w:r w:rsidR="00F36FA5">
        <w:t>to abuse</w:t>
      </w:r>
      <w:r w:rsidR="00730432">
        <w:t xml:space="preserve"> during his detention</w:t>
      </w:r>
      <w:r w:rsidR="00F36FA5">
        <w:t>, in particular as the Taliban mainly recruits ethnic Pashtuns</w:t>
      </w:r>
      <w:r w:rsidR="00730432">
        <w:t xml:space="preserve"> and</w:t>
      </w:r>
      <w:r w:rsidR="00F36FA5">
        <w:t xml:space="preserve"> the complainant is an ethnic Tajik. </w:t>
      </w:r>
    </w:p>
    <w:p w14:paraId="1A52CF55" w14:textId="77777777" w:rsidR="00D70588" w:rsidRDefault="005B70FC" w:rsidP="008A5D25">
      <w:pPr>
        <w:pStyle w:val="SingleTxtG"/>
        <w:tabs>
          <w:tab w:val="left" w:pos="1701"/>
          <w:tab w:val="left" w:pos="1985"/>
        </w:tabs>
      </w:pPr>
      <w:r>
        <w:t>4</w:t>
      </w:r>
      <w:r w:rsidR="00AE5990">
        <w:t>.</w:t>
      </w:r>
      <w:r w:rsidR="005C3BF4">
        <w:t>18</w:t>
      </w:r>
      <w:r w:rsidR="00AE5990">
        <w:t xml:space="preserve"> </w:t>
      </w:r>
      <w:r w:rsidR="00AE5990">
        <w:tab/>
      </w:r>
      <w:r w:rsidR="00730432">
        <w:t>The State party submits</w:t>
      </w:r>
      <w:r w:rsidR="00AE5990">
        <w:t xml:space="preserve"> that the </w:t>
      </w:r>
      <w:r w:rsidR="00730432">
        <w:t xml:space="preserve">Appeals </w:t>
      </w:r>
      <w:r w:rsidR="00AE5990">
        <w:t>Board</w:t>
      </w:r>
      <w:r w:rsidR="00730432">
        <w:t xml:space="preserve"> did not find it </w:t>
      </w:r>
      <w:r w:rsidR="00AE5990">
        <w:t>a fact that the complainant had been kidnapped by the Taliban</w:t>
      </w:r>
      <w:r w:rsidR="00730432">
        <w:t xml:space="preserve">; it considered the kidnapping </w:t>
      </w:r>
      <w:r w:rsidR="00AE5990">
        <w:t>an isolated criminal act</w:t>
      </w:r>
      <w:r w:rsidR="00730432">
        <w:t xml:space="preserve"> and therefore did not consider it necessary to request</w:t>
      </w:r>
      <w:r w:rsidR="00AE5990">
        <w:t xml:space="preserve"> a medical examination of the complainant because</w:t>
      </w:r>
      <w:r w:rsidR="008A5D25">
        <w:t>,</w:t>
      </w:r>
      <w:r w:rsidR="00AE5990">
        <w:t xml:space="preserve"> whatever its outcome</w:t>
      </w:r>
      <w:r w:rsidR="008A5D25">
        <w:t>,</w:t>
      </w:r>
      <w:r w:rsidR="00AE5990">
        <w:t xml:space="preserve"> the examination could not serve to prove that the complainant had been subjected to abuse by the Taliban. </w:t>
      </w:r>
      <w:r w:rsidR="008A5D25">
        <w:t>Furthermore, t</w:t>
      </w:r>
      <w:r w:rsidR="00AE5990">
        <w:t>he complainant has not demonstrated that he w</w:t>
      </w:r>
      <w:r w:rsidR="008A5D25">
        <w:t>ould</w:t>
      </w:r>
      <w:r w:rsidR="00AE5990">
        <w:t xml:space="preserve"> be unable to obtain the protection of the Afghan authorities. </w:t>
      </w:r>
      <w:r w:rsidR="008A5D25">
        <w:t>Consequently</w:t>
      </w:r>
      <w:r w:rsidR="00AE5990">
        <w:t xml:space="preserve">, the State party finds that the complainant will not be at real risk of persecution </w:t>
      </w:r>
      <w:r w:rsidR="008A5D25">
        <w:t xml:space="preserve">as set out </w:t>
      </w:r>
      <w:r w:rsidR="00AE5990">
        <w:t>in section 7</w:t>
      </w:r>
      <w:r w:rsidR="008A5D25">
        <w:t xml:space="preserve"> </w:t>
      </w:r>
      <w:r w:rsidR="00AE5990">
        <w:t xml:space="preserve">(1) of the Aliens Act or </w:t>
      </w:r>
      <w:r w:rsidR="008A5D25">
        <w:t xml:space="preserve">of </w:t>
      </w:r>
      <w:r w:rsidR="00AE5990">
        <w:t xml:space="preserve">abuse </w:t>
      </w:r>
      <w:r w:rsidR="008A5D25">
        <w:t>under</w:t>
      </w:r>
      <w:r w:rsidR="00AE5990">
        <w:t xml:space="preserve"> section 7</w:t>
      </w:r>
      <w:r w:rsidR="008A5D25">
        <w:t xml:space="preserve"> </w:t>
      </w:r>
      <w:r w:rsidR="00AE5990">
        <w:t>(2) of the Aliens Act i</w:t>
      </w:r>
      <w:r w:rsidR="008A5D25">
        <w:t>f</w:t>
      </w:r>
      <w:r w:rsidR="00AE5990">
        <w:t xml:space="preserve"> </w:t>
      </w:r>
      <w:r w:rsidR="008A5D25">
        <w:t>he were</w:t>
      </w:r>
      <w:r w:rsidR="00AE5990">
        <w:t xml:space="preserve"> return</w:t>
      </w:r>
      <w:r w:rsidR="008A5D25">
        <w:t>ed</w:t>
      </w:r>
      <w:r w:rsidR="00AE5990">
        <w:t xml:space="preserve"> to his country of </w:t>
      </w:r>
      <w:r w:rsidR="00D70588">
        <w:t xml:space="preserve">origin. </w:t>
      </w:r>
    </w:p>
    <w:p w14:paraId="75E89D95" w14:textId="77777777" w:rsidR="00D70588" w:rsidRDefault="005B70FC" w:rsidP="008A5D25">
      <w:pPr>
        <w:pStyle w:val="SingleTxtG"/>
        <w:tabs>
          <w:tab w:val="left" w:pos="1701"/>
          <w:tab w:val="left" w:pos="1985"/>
        </w:tabs>
      </w:pPr>
      <w:r>
        <w:t>4</w:t>
      </w:r>
      <w:r w:rsidR="00D70588">
        <w:t>.</w:t>
      </w:r>
      <w:r w:rsidR="005C3BF4">
        <w:t>19</w:t>
      </w:r>
      <w:r w:rsidR="00D70588">
        <w:tab/>
        <w:t xml:space="preserve">The State party maintains that the </w:t>
      </w:r>
      <w:r w:rsidR="008A5D25">
        <w:t xml:space="preserve">Appeals </w:t>
      </w:r>
      <w:r w:rsidR="00D70588">
        <w:t xml:space="preserve">Board </w:t>
      </w:r>
      <w:r w:rsidR="008A5D25">
        <w:t>took into account</w:t>
      </w:r>
      <w:r w:rsidR="00D70588">
        <w:t xml:space="preserve"> all relevant information in its decisions and that the submission of the communication to the Committee has not brought to light any information </w:t>
      </w:r>
      <w:r w:rsidR="008A5D25">
        <w:t xml:space="preserve">to </w:t>
      </w:r>
      <w:r w:rsidR="00D70588">
        <w:t>substantiat</w:t>
      </w:r>
      <w:r w:rsidR="008A5D25">
        <w:t>e</w:t>
      </w:r>
      <w:r w:rsidR="00D70588">
        <w:t xml:space="preserve"> that the complainant w</w:t>
      </w:r>
      <w:r w:rsidR="008A5D25">
        <w:t>ould</w:t>
      </w:r>
      <w:r w:rsidR="00D70588">
        <w:t xml:space="preserve"> risk being subjected to torture if returned to Afghanistan. </w:t>
      </w:r>
      <w:r w:rsidR="008A5D25">
        <w:t>It</w:t>
      </w:r>
      <w:r w:rsidR="00D70588">
        <w:t xml:space="preserve"> th</w:t>
      </w:r>
      <w:r w:rsidR="008A5D25">
        <w:t>erefore</w:t>
      </w:r>
      <w:r w:rsidR="00D70588">
        <w:t xml:space="preserve"> relies on the findings of the </w:t>
      </w:r>
      <w:r w:rsidR="008A5D25">
        <w:t xml:space="preserve">Appeals </w:t>
      </w:r>
      <w:r w:rsidR="00D70588">
        <w:t xml:space="preserve">Board and refers to the </w:t>
      </w:r>
      <w:r w:rsidR="008A5D25">
        <w:t>lack of a</w:t>
      </w:r>
      <w:r w:rsidR="00D70588">
        <w:t xml:space="preserve"> satisfactory explanation </w:t>
      </w:r>
      <w:r w:rsidR="008A5D25">
        <w:t>for</w:t>
      </w:r>
      <w:r w:rsidR="00D70588">
        <w:t xml:space="preserve"> the inconsistent statements made by the complainant and his spouse. The State party concludes that it will not constitute a breach of article 3 of the Convention to return the complainant to Afghanistan. </w:t>
      </w:r>
    </w:p>
    <w:p w14:paraId="77F255AF" w14:textId="77777777" w:rsidR="000A2B48" w:rsidRDefault="005B70FC" w:rsidP="008A5D25">
      <w:pPr>
        <w:pStyle w:val="SingleTxtG"/>
        <w:tabs>
          <w:tab w:val="left" w:pos="1701"/>
          <w:tab w:val="left" w:pos="1985"/>
        </w:tabs>
        <w:spacing w:after="240"/>
      </w:pPr>
      <w:r>
        <w:t>4</w:t>
      </w:r>
      <w:r w:rsidR="00D70588">
        <w:t>.2</w:t>
      </w:r>
      <w:r w:rsidR="005C3BF4">
        <w:t>0</w:t>
      </w:r>
      <w:r w:rsidR="00D70588">
        <w:tab/>
      </w:r>
      <w:r w:rsidR="008D63D3">
        <w:t xml:space="preserve">Finally, </w:t>
      </w:r>
      <w:r w:rsidR="00D70588">
        <w:t>the State party requests the Committee to review its request for interim measures as the complainant has failed to substantiate that he w</w:t>
      </w:r>
      <w:r w:rsidR="008A5D25">
        <w:t>ould</w:t>
      </w:r>
      <w:r w:rsidR="00D70588">
        <w:t xml:space="preserve"> be at risk of suffering irreparable </w:t>
      </w:r>
      <w:r w:rsidR="008A5D25">
        <w:t>harm if returned to Afghanistan</w:t>
      </w:r>
      <w:r w:rsidR="008D63D3">
        <w:t xml:space="preserve">. </w:t>
      </w:r>
      <w:r w:rsidR="00237E2D">
        <w:t xml:space="preserve"> </w:t>
      </w:r>
    </w:p>
    <w:p w14:paraId="26CE24D2" w14:textId="77777777" w:rsidR="00CA7A6D" w:rsidRDefault="00642550" w:rsidP="00D0457B">
      <w:pPr>
        <w:pStyle w:val="H23G"/>
        <w:rPr>
          <w:lang w:eastAsia="zh-CN"/>
        </w:rPr>
      </w:pPr>
      <w:r>
        <w:rPr>
          <w:lang w:eastAsia="zh-CN"/>
        </w:rPr>
        <w:tab/>
      </w:r>
      <w:r>
        <w:rPr>
          <w:lang w:eastAsia="zh-CN"/>
        </w:rPr>
        <w:tab/>
      </w:r>
      <w:r w:rsidR="00F442DC" w:rsidRPr="00F442DC">
        <w:rPr>
          <w:lang w:eastAsia="zh-CN"/>
        </w:rPr>
        <w:t>Complainant’</w:t>
      </w:r>
      <w:r w:rsidR="00F128F8">
        <w:rPr>
          <w:lang w:eastAsia="zh-CN"/>
        </w:rPr>
        <w:t xml:space="preserve">s comments on the State party’s </w:t>
      </w:r>
      <w:r w:rsidR="00F442DC" w:rsidRPr="00F442DC">
        <w:rPr>
          <w:lang w:eastAsia="zh-CN"/>
        </w:rPr>
        <w:t>observations</w:t>
      </w:r>
    </w:p>
    <w:p w14:paraId="4D6744B6" w14:textId="77777777" w:rsidR="003D45E8" w:rsidRDefault="00FB08BC" w:rsidP="008A5D25">
      <w:pPr>
        <w:pStyle w:val="SingleTxtG"/>
      </w:pPr>
      <w:r>
        <w:t>5</w:t>
      </w:r>
      <w:r w:rsidR="00F442DC" w:rsidRPr="00092D14">
        <w:t>.1</w:t>
      </w:r>
      <w:r w:rsidR="00F442DC" w:rsidRPr="00092D14">
        <w:tab/>
      </w:r>
      <w:r w:rsidR="007C0202" w:rsidRPr="00092D14">
        <w:t xml:space="preserve">On </w:t>
      </w:r>
      <w:r w:rsidR="00DF7FED">
        <w:t xml:space="preserve">20 </w:t>
      </w:r>
      <w:r w:rsidR="00D757FA">
        <w:t xml:space="preserve">August </w:t>
      </w:r>
      <w:r w:rsidR="00DF7FED">
        <w:t>201</w:t>
      </w:r>
      <w:r w:rsidR="00D757FA">
        <w:t>4</w:t>
      </w:r>
      <w:r w:rsidR="00DF7FED">
        <w:t>, t</w:t>
      </w:r>
      <w:r w:rsidR="009D0E84">
        <w:t xml:space="preserve">he complainant </w:t>
      </w:r>
      <w:r w:rsidR="00D757FA">
        <w:t>reiterate</w:t>
      </w:r>
      <w:r w:rsidR="00754068">
        <w:t>d</w:t>
      </w:r>
      <w:r w:rsidR="00D757FA">
        <w:t xml:space="preserve"> </w:t>
      </w:r>
      <w:r w:rsidR="00184A88">
        <w:t>his</w:t>
      </w:r>
      <w:r w:rsidR="00D757FA">
        <w:t xml:space="preserve"> claim that the State party will breach its obligations under article 3 of the Convention</w:t>
      </w:r>
      <w:r w:rsidR="00754068">
        <w:t xml:space="preserve"> </w:t>
      </w:r>
      <w:r w:rsidR="008A5D25">
        <w:t>if he is</w:t>
      </w:r>
      <w:r w:rsidR="00754068">
        <w:t xml:space="preserve"> forcibl</w:t>
      </w:r>
      <w:r w:rsidR="008A5D25">
        <w:t>y</w:t>
      </w:r>
      <w:r w:rsidR="00754068">
        <w:t xml:space="preserve"> remov</w:t>
      </w:r>
      <w:r w:rsidR="008A5D25">
        <w:t>ed from the State party</w:t>
      </w:r>
      <w:r w:rsidR="00D757FA">
        <w:t xml:space="preserve">. </w:t>
      </w:r>
    </w:p>
    <w:p w14:paraId="0DC3CB58" w14:textId="77777777" w:rsidR="000E65BD" w:rsidRDefault="00FB08BC" w:rsidP="00411356">
      <w:pPr>
        <w:pStyle w:val="SingleTxtG"/>
      </w:pPr>
      <w:r>
        <w:t>5</w:t>
      </w:r>
      <w:r w:rsidR="003D45E8">
        <w:t xml:space="preserve">.2 </w:t>
      </w:r>
      <w:r w:rsidR="003D45E8">
        <w:tab/>
        <w:t xml:space="preserve">The complainant </w:t>
      </w:r>
      <w:r w:rsidR="00722855">
        <w:t>emphasizes</w:t>
      </w:r>
      <w:r w:rsidR="003D45E8">
        <w:t xml:space="preserve"> the importance of </w:t>
      </w:r>
      <w:r w:rsidR="00722855">
        <w:t xml:space="preserve">the </w:t>
      </w:r>
      <w:r w:rsidR="003D45E8">
        <w:t xml:space="preserve">credibility assessment in the asylum procedure, especially </w:t>
      </w:r>
      <w:r w:rsidR="00722855">
        <w:t>in the light of</w:t>
      </w:r>
      <w:r w:rsidR="003D45E8">
        <w:t xml:space="preserve"> the paucity of documentary and other evidence confirming or supporting </w:t>
      </w:r>
      <w:r w:rsidR="005C3BF4">
        <w:t xml:space="preserve">the </w:t>
      </w:r>
      <w:r w:rsidR="003D45E8">
        <w:t xml:space="preserve">applicant’s statements. The complexity of the credibility assessment is </w:t>
      </w:r>
      <w:r w:rsidR="005C3BF4">
        <w:t xml:space="preserve">partly linked to </w:t>
      </w:r>
      <w:r w:rsidR="003D45E8">
        <w:t>the multilingual and cross</w:t>
      </w:r>
      <w:r w:rsidR="00472CCB">
        <w:t>-</w:t>
      </w:r>
      <w:r w:rsidR="003D45E8">
        <w:t xml:space="preserve">cultural communication which </w:t>
      </w:r>
      <w:r w:rsidR="0022798E">
        <w:t>could</w:t>
      </w:r>
      <w:r w:rsidR="003D45E8">
        <w:t xml:space="preserve"> exacerbate the scope for misunderstandings and errors</w:t>
      </w:r>
      <w:r w:rsidR="00411356">
        <w:t xml:space="preserve"> and refers to a United Nations High Commissioner for Refugees report</w:t>
      </w:r>
      <w:r w:rsidR="00411356">
        <w:rPr>
          <w:rStyle w:val="FootnoteReference"/>
        </w:rPr>
        <w:footnoteReference w:id="18"/>
      </w:r>
      <w:r w:rsidR="00411356">
        <w:t xml:space="preserve">, which states that </w:t>
      </w:r>
      <w:r w:rsidR="00D20058">
        <w:t>“</w:t>
      </w:r>
      <w:r w:rsidR="00411356">
        <w:t>f</w:t>
      </w:r>
      <w:r w:rsidR="003D45E8">
        <w:t>actors such as the working of the human memory, the psychology of the applicant, and his or her experience of traumatic events also have an impact and need to be understood,</w:t>
      </w:r>
      <w:r w:rsidR="00D20058">
        <w:t>”</w:t>
      </w:r>
      <w:r w:rsidR="00C35B3E">
        <w:t xml:space="preserve"> and </w:t>
      </w:r>
      <w:r w:rsidR="00411356">
        <w:t xml:space="preserve">that </w:t>
      </w:r>
      <w:r w:rsidR="00D20058">
        <w:t>“</w:t>
      </w:r>
      <w:r w:rsidR="00C35B3E">
        <w:t>the repetitive nature of the task and the routine exposure to accounts of trauma and ill-treatment</w:t>
      </w:r>
      <w:r w:rsidR="00411356">
        <w:t xml:space="preserve"> […]</w:t>
      </w:r>
      <w:r w:rsidR="00C35B3E">
        <w:t xml:space="preserve"> may lead to case-hardening and credibility fatigue</w:t>
      </w:r>
      <w:r w:rsidR="00411356">
        <w:t>”.</w:t>
      </w:r>
      <w:r w:rsidR="00C35B3E">
        <w:t xml:space="preserve"> </w:t>
      </w:r>
      <w:r w:rsidR="00411356">
        <w:t>He also refers to</w:t>
      </w:r>
      <w:r w:rsidR="00C35B3E">
        <w:t xml:space="preserve"> other studies on the complexity of credibility assessment in the asylum procedure. </w:t>
      </w:r>
      <w:r w:rsidR="000E65BD">
        <w:t xml:space="preserve">In the complainant’s view, the Danish </w:t>
      </w:r>
      <w:r w:rsidR="00411356">
        <w:t>a</w:t>
      </w:r>
      <w:r w:rsidR="000E65BD">
        <w:t xml:space="preserve">sylum </w:t>
      </w:r>
      <w:r w:rsidR="00411356">
        <w:t>p</w:t>
      </w:r>
      <w:r w:rsidR="000E65BD">
        <w:t>roce</w:t>
      </w:r>
      <w:r w:rsidR="00411356">
        <w:t>ss</w:t>
      </w:r>
      <w:r w:rsidR="000E65BD">
        <w:t>, notwithstanding the thorough personal interview and adequate legal safeguards, is no</w:t>
      </w:r>
      <w:r w:rsidR="00411356">
        <w:t xml:space="preserve">t </w:t>
      </w:r>
      <w:r w:rsidR="000E65BD">
        <w:t>exe</w:t>
      </w:r>
      <w:r w:rsidR="00411356">
        <w:t>m</w:t>
      </w:r>
      <w:r w:rsidR="000E65BD">
        <w:t>pt</w:t>
      </w:r>
      <w:r w:rsidR="00411356">
        <w:t xml:space="preserve"> from</w:t>
      </w:r>
      <w:r w:rsidR="000E65BD">
        <w:t xml:space="preserve"> the above</w:t>
      </w:r>
      <w:r w:rsidR="00411356">
        <w:t>-</w:t>
      </w:r>
      <w:r w:rsidR="000E65BD">
        <w:t xml:space="preserve">mentioned challenges, </w:t>
      </w:r>
      <w:r w:rsidR="00411356">
        <w:t>therefore</w:t>
      </w:r>
      <w:r w:rsidR="000E65BD">
        <w:t xml:space="preserve"> the statements</w:t>
      </w:r>
      <w:r w:rsidR="00411356">
        <w:t xml:space="preserve"> made by</w:t>
      </w:r>
      <w:r w:rsidR="000E65BD">
        <w:t xml:space="preserve"> the complainant and his spouse as well as the credibility assessment made by the Danish </w:t>
      </w:r>
      <w:r w:rsidR="00411356">
        <w:t>a</w:t>
      </w:r>
      <w:r w:rsidR="000E65BD">
        <w:t>uthorities should be considered in the light of th</w:t>
      </w:r>
      <w:r w:rsidR="00411356">
        <w:t>o</w:t>
      </w:r>
      <w:r w:rsidR="000E65BD">
        <w:t xml:space="preserve">se challenges. </w:t>
      </w:r>
    </w:p>
    <w:p w14:paraId="2B5C9E8D" w14:textId="77777777" w:rsidR="00DD3978" w:rsidRDefault="00FB08BC" w:rsidP="006F7B2D">
      <w:pPr>
        <w:pStyle w:val="SingleTxtG"/>
      </w:pPr>
      <w:r>
        <w:t>5</w:t>
      </w:r>
      <w:r w:rsidR="000E65BD">
        <w:t>.3</w:t>
      </w:r>
      <w:r w:rsidR="000E65BD">
        <w:tab/>
        <w:t>The complainant describes the nature of the four procedural steps of the Danish asylum proce</w:t>
      </w:r>
      <w:r w:rsidR="00411356">
        <w:t>ss</w:t>
      </w:r>
      <w:r w:rsidR="000E65BD">
        <w:t xml:space="preserve">: registration, </w:t>
      </w:r>
      <w:r w:rsidR="00411356">
        <w:t>application</w:t>
      </w:r>
      <w:r w:rsidR="000E65BD">
        <w:t xml:space="preserve">, asylum interview and appeal hearing. </w:t>
      </w:r>
      <w:r w:rsidR="00411356">
        <w:t xml:space="preserve">Regarding </w:t>
      </w:r>
      <w:r w:rsidR="00381142">
        <w:t xml:space="preserve">the finding </w:t>
      </w:r>
      <w:r w:rsidR="005C3BF4">
        <w:t xml:space="preserve">by </w:t>
      </w:r>
      <w:r w:rsidR="00381142">
        <w:t xml:space="preserve">the majority of the </w:t>
      </w:r>
      <w:r w:rsidR="00411356">
        <w:t xml:space="preserve">members of the </w:t>
      </w:r>
      <w:r w:rsidR="00770E5F">
        <w:t xml:space="preserve">Appeals </w:t>
      </w:r>
      <w:r w:rsidR="00381142">
        <w:t>Board of the lack of credibility and</w:t>
      </w:r>
      <w:r w:rsidR="00411356">
        <w:t xml:space="preserve"> the</w:t>
      </w:r>
      <w:r w:rsidR="00381142">
        <w:t xml:space="preserve"> inconsistency of the complainant and his spouse’s statements, the complainant</w:t>
      </w:r>
      <w:r w:rsidR="005C3BF4">
        <w:t xml:space="preserve"> </w:t>
      </w:r>
      <w:r w:rsidR="00381142">
        <w:t xml:space="preserve">emphasizes that </w:t>
      </w:r>
      <w:r w:rsidR="005C3BF4">
        <w:t>he</w:t>
      </w:r>
      <w:r w:rsidR="00381142">
        <w:t xml:space="preserve"> is illiterate and his spouse received three years of tuition by her uncle. </w:t>
      </w:r>
      <w:r w:rsidR="00411356">
        <w:t>He highlights</w:t>
      </w:r>
      <w:r w:rsidR="00381142">
        <w:t xml:space="preserve"> that illiteracy and lack of formal education </w:t>
      </w:r>
      <w:r w:rsidR="006F7B2D">
        <w:t xml:space="preserve">can </w:t>
      </w:r>
      <w:r w:rsidR="00381142">
        <w:t>affect asylum seekers</w:t>
      </w:r>
      <w:r>
        <w:t>’</w:t>
      </w:r>
      <w:r w:rsidR="00381142">
        <w:t xml:space="preserve"> ability to articulate the reasons for the</w:t>
      </w:r>
      <w:r w:rsidR="006F7B2D">
        <w:t>ir</w:t>
      </w:r>
      <w:r w:rsidR="00381142">
        <w:t xml:space="preserve"> asylum application</w:t>
      </w:r>
      <w:r w:rsidR="006F7B2D">
        <w:t>s</w:t>
      </w:r>
      <w:r w:rsidR="00381142">
        <w:t xml:space="preserve"> and to respond to questions</w:t>
      </w:r>
      <w:r w:rsidR="006F7B2D">
        <w:t xml:space="preserve"> posed by the authorities and</w:t>
      </w:r>
      <w:r w:rsidR="00381142">
        <w:t xml:space="preserve"> that inconsistency</w:t>
      </w:r>
      <w:r w:rsidR="006F7B2D">
        <w:t xml:space="preserve"> in statements</w:t>
      </w:r>
      <w:r w:rsidR="00381142">
        <w:t xml:space="preserve"> is not necessarily indicative of lack</w:t>
      </w:r>
      <w:r w:rsidR="006F7B2D">
        <w:t xml:space="preserve"> of</w:t>
      </w:r>
      <w:r w:rsidR="00381142">
        <w:t xml:space="preserve"> credibility.</w:t>
      </w:r>
      <w:r w:rsidR="00AF169A">
        <w:rPr>
          <w:rStyle w:val="FootnoteReference"/>
        </w:rPr>
        <w:footnoteReference w:id="19"/>
      </w:r>
      <w:r w:rsidR="00381142">
        <w:t xml:space="preserve"> </w:t>
      </w:r>
      <w:r w:rsidR="00AF169A">
        <w:t xml:space="preserve">The complainant adds that discrepancies </w:t>
      </w:r>
      <w:r w:rsidR="006F7B2D">
        <w:t xml:space="preserve">in statements </w:t>
      </w:r>
      <w:r w:rsidR="00AF169A">
        <w:t>are common especially</w:t>
      </w:r>
      <w:r w:rsidR="00E81898">
        <w:t xml:space="preserve">, </w:t>
      </w:r>
      <w:r w:rsidR="006F7B2D">
        <w:t>al</w:t>
      </w:r>
      <w:r w:rsidR="00AF169A">
        <w:t>though not exclusively</w:t>
      </w:r>
      <w:r w:rsidR="00E81898">
        <w:t>,</w:t>
      </w:r>
      <w:r w:rsidR="00AF169A">
        <w:t xml:space="preserve"> when the person </w:t>
      </w:r>
      <w:r w:rsidR="006F7B2D">
        <w:t>is suffering from</w:t>
      </w:r>
      <w:r w:rsidR="00AF169A">
        <w:t xml:space="preserve"> post-traumatic stress disorder. </w:t>
      </w:r>
    </w:p>
    <w:p w14:paraId="1B3B47D0" w14:textId="77777777" w:rsidR="00D23779" w:rsidRDefault="004D2A89">
      <w:pPr>
        <w:pStyle w:val="SingleTxtG"/>
      </w:pPr>
      <w:r>
        <w:t>5</w:t>
      </w:r>
      <w:r w:rsidR="00AF169A">
        <w:t xml:space="preserve">.4 </w:t>
      </w:r>
      <w:r w:rsidR="00AF169A">
        <w:tab/>
      </w:r>
      <w:r w:rsidR="006F7B2D">
        <w:t>The complainant</w:t>
      </w:r>
      <w:r w:rsidR="00AF169A">
        <w:t xml:space="preserve"> reiterates that he </w:t>
      </w:r>
      <w:r w:rsidR="006F7B2D">
        <w:t>w</w:t>
      </w:r>
      <w:r w:rsidR="00AF169A">
        <w:t>as subjected to inhuman and degrading treatment during the kidnappings</w:t>
      </w:r>
      <w:r w:rsidR="00FF5142">
        <w:t xml:space="preserve"> in Afghanistan</w:t>
      </w:r>
      <w:r w:rsidR="00472CCB">
        <w:t>,</w:t>
      </w:r>
      <w:r w:rsidR="00AF169A">
        <w:t xml:space="preserve"> the fact of which does not seem to be disputed by the State party</w:t>
      </w:r>
      <w:r w:rsidR="00E81898">
        <w:t xml:space="preserve">, </w:t>
      </w:r>
      <w:r w:rsidR="00AF169A">
        <w:t xml:space="preserve">unlike the identity of the agents of </w:t>
      </w:r>
      <w:r w:rsidR="006F7B2D">
        <w:t xml:space="preserve">the </w:t>
      </w:r>
      <w:r w:rsidR="00AF169A">
        <w:t xml:space="preserve">persecution. The fact that he </w:t>
      </w:r>
      <w:r w:rsidR="006F7B2D">
        <w:t>w</w:t>
      </w:r>
      <w:r w:rsidR="00AF169A">
        <w:t>as subjected to such treatment repeatedly during the kidnappings should be reflected in the credibility assessment</w:t>
      </w:r>
      <w:r w:rsidR="006F7B2D">
        <w:t>,</w:t>
      </w:r>
      <w:r w:rsidR="00AF169A">
        <w:t xml:space="preserve"> as such treatment is likely to affect cognitive functions of the victims, including memory malfunction and inability to concentrate. </w:t>
      </w:r>
      <w:r w:rsidR="00FF5142">
        <w:t>The complainant r</w:t>
      </w:r>
      <w:r w:rsidR="00AF169A">
        <w:t>efer</w:t>
      </w:r>
      <w:r w:rsidR="00FF5142">
        <w:t xml:space="preserve">s </w:t>
      </w:r>
      <w:r w:rsidR="00AF169A">
        <w:t xml:space="preserve">to </w:t>
      </w:r>
      <w:r w:rsidR="00DD38A2">
        <w:t xml:space="preserve">the </w:t>
      </w:r>
      <w:r w:rsidR="00FF5142">
        <w:t xml:space="preserve">Committee’s </w:t>
      </w:r>
      <w:r w:rsidR="00AF169A">
        <w:t>case</w:t>
      </w:r>
      <w:r w:rsidR="00FF5142">
        <w:t xml:space="preserve"> </w:t>
      </w:r>
      <w:r w:rsidR="00AF169A">
        <w:t>law</w:t>
      </w:r>
      <w:r w:rsidR="00FF5142">
        <w:t>, in which</w:t>
      </w:r>
      <w:r w:rsidR="00AF169A">
        <w:t xml:space="preserve"> </w:t>
      </w:r>
      <w:r w:rsidR="005C1E6B">
        <w:t xml:space="preserve">it </w:t>
      </w:r>
      <w:r w:rsidR="00FF5142">
        <w:t>states</w:t>
      </w:r>
      <w:r w:rsidR="005C1E6B">
        <w:t xml:space="preserve"> that complete accuracy is seldom to be expected by victims of torture or those who suffer from post-traumat</w:t>
      </w:r>
      <w:r w:rsidR="00E81898">
        <w:t xml:space="preserve">ic </w:t>
      </w:r>
      <w:r w:rsidR="005C1E6B">
        <w:t>stress disorder.</w:t>
      </w:r>
      <w:r w:rsidR="005C1E6B">
        <w:rPr>
          <w:rStyle w:val="FootnoteReference"/>
        </w:rPr>
        <w:footnoteReference w:id="20"/>
      </w:r>
      <w:r w:rsidR="005C1E6B">
        <w:t xml:space="preserve"> Even if the inconsistenc</w:t>
      </w:r>
      <w:r w:rsidR="00327AD1">
        <w:t>ies</w:t>
      </w:r>
      <w:r w:rsidR="005C1E6B">
        <w:t xml:space="preserve"> relate to a material fact, the evidence may still be accepted as credible.</w:t>
      </w:r>
      <w:r w:rsidR="005C1E6B">
        <w:rPr>
          <w:rStyle w:val="FootnoteReference"/>
        </w:rPr>
        <w:footnoteReference w:id="21"/>
      </w:r>
      <w:r w:rsidR="005C1E6B">
        <w:t xml:space="preserve"> </w:t>
      </w:r>
      <w:r w:rsidR="00FC2A80">
        <w:t xml:space="preserve">The complainant argues </w:t>
      </w:r>
      <w:r w:rsidR="00D67123">
        <w:t>that the alleged lack of credibility and inconsistencies in</w:t>
      </w:r>
      <w:r w:rsidR="00327AD1">
        <w:t xml:space="preserve"> his and his spouse’s</w:t>
      </w:r>
      <w:r w:rsidR="00D67123">
        <w:t xml:space="preserve"> statements, </w:t>
      </w:r>
      <w:r w:rsidR="00327AD1">
        <w:t>for example,</w:t>
      </w:r>
      <w:r w:rsidR="00D67123">
        <w:t xml:space="preserve"> the details regarding </w:t>
      </w:r>
      <w:r w:rsidR="00327AD1">
        <w:t>his</w:t>
      </w:r>
      <w:r w:rsidR="00D67123">
        <w:t xml:space="preserve"> release after the second kidnapping </w:t>
      </w:r>
      <w:r w:rsidR="00327AD1">
        <w:t>or</w:t>
      </w:r>
      <w:r w:rsidR="00D67123">
        <w:t xml:space="preserve"> when and how </w:t>
      </w:r>
      <w:r w:rsidR="00327AD1">
        <w:t>his</w:t>
      </w:r>
      <w:r w:rsidR="00D67123">
        <w:t xml:space="preserve"> spouse was informed of the </w:t>
      </w:r>
      <w:r w:rsidR="00327AD1">
        <w:t>kidnappings</w:t>
      </w:r>
      <w:r w:rsidR="00D67123">
        <w:t xml:space="preserve">, made during the </w:t>
      </w:r>
      <w:r w:rsidR="00327AD1">
        <w:t>a</w:t>
      </w:r>
      <w:r w:rsidR="00D67123">
        <w:t xml:space="preserve">sylum </w:t>
      </w:r>
      <w:r w:rsidR="00327AD1">
        <w:t>p</w:t>
      </w:r>
      <w:r w:rsidR="00D67123">
        <w:t>roce</w:t>
      </w:r>
      <w:r w:rsidR="00327AD1">
        <w:t xml:space="preserve">ss over </w:t>
      </w:r>
      <w:r w:rsidR="00D67123">
        <w:t xml:space="preserve">a period of more than 19 months, does not necessarily indicate </w:t>
      </w:r>
      <w:r w:rsidR="00327AD1">
        <w:t xml:space="preserve">that </w:t>
      </w:r>
      <w:r w:rsidR="00472CCB">
        <w:t>the</w:t>
      </w:r>
      <w:r w:rsidR="00327AD1">
        <w:t>y</w:t>
      </w:r>
      <w:r w:rsidR="00472CCB">
        <w:t xml:space="preserve"> </w:t>
      </w:r>
      <w:r w:rsidR="00D67123">
        <w:t>lack credibility</w:t>
      </w:r>
      <w:r w:rsidR="00472CCB">
        <w:t xml:space="preserve">. Those discrepancies </w:t>
      </w:r>
      <w:r w:rsidR="00D67123">
        <w:t>might be normal or explainable traits in the asylum seeker</w:t>
      </w:r>
      <w:r w:rsidR="00472CCB">
        <w:t>’</w:t>
      </w:r>
      <w:r w:rsidR="00D67123">
        <w:t xml:space="preserve">s account </w:t>
      </w:r>
      <w:r w:rsidR="00C87BAC">
        <w:t>of</w:t>
      </w:r>
      <w:r w:rsidR="00D67123">
        <w:t xml:space="preserve"> the reasons </w:t>
      </w:r>
      <w:r w:rsidR="00C87BAC">
        <w:t>why he</w:t>
      </w:r>
      <w:r w:rsidR="00D67123">
        <w:t xml:space="preserve"> fle</w:t>
      </w:r>
      <w:r w:rsidR="00C87BAC">
        <w:t>d</w:t>
      </w:r>
      <w:r w:rsidR="00D67123">
        <w:t xml:space="preserve"> Afghanistan and ill-treatment </w:t>
      </w:r>
      <w:r w:rsidR="00C87BAC">
        <w:t>to which he was subjected</w:t>
      </w:r>
      <w:r w:rsidR="00D67123">
        <w:t xml:space="preserve"> there. The errors in the interpretation from Dari to Danish </w:t>
      </w:r>
      <w:r w:rsidR="00C87BAC">
        <w:t>should</w:t>
      </w:r>
      <w:r w:rsidR="00D67123">
        <w:t xml:space="preserve"> also be considered </w:t>
      </w:r>
      <w:r w:rsidR="00C87BAC">
        <w:t xml:space="preserve">as </w:t>
      </w:r>
      <w:r w:rsidR="00D67123">
        <w:t>normal and distortin</w:t>
      </w:r>
      <w:r w:rsidR="00C87BAC">
        <w:t>g</w:t>
      </w:r>
      <w:r w:rsidR="00D67123">
        <w:t xml:space="preserve"> factors in the communication </w:t>
      </w:r>
      <w:r w:rsidR="00C87BAC">
        <w:t>during</w:t>
      </w:r>
      <w:r w:rsidR="00D67123">
        <w:t xml:space="preserve"> the asylum proce</w:t>
      </w:r>
      <w:r w:rsidR="00C87BAC">
        <w:t>edings</w:t>
      </w:r>
      <w:r w:rsidR="00D67123">
        <w:t xml:space="preserve"> between </w:t>
      </w:r>
      <w:r w:rsidR="00C87BAC">
        <w:t xml:space="preserve">the </w:t>
      </w:r>
      <w:r w:rsidR="00D67123">
        <w:t xml:space="preserve">asylum seekers and </w:t>
      </w:r>
      <w:r w:rsidR="00C87BAC">
        <w:t>S</w:t>
      </w:r>
      <w:r w:rsidR="00D67123">
        <w:t xml:space="preserve">tate officials. </w:t>
      </w:r>
    </w:p>
    <w:p w14:paraId="4C3EC011" w14:textId="77777777" w:rsidR="009A5117" w:rsidRDefault="004D2A89">
      <w:pPr>
        <w:pStyle w:val="SingleTxtG"/>
      </w:pPr>
      <w:r>
        <w:t>5</w:t>
      </w:r>
      <w:r w:rsidR="00D23779">
        <w:t>.5</w:t>
      </w:r>
      <w:r w:rsidR="00D23779">
        <w:tab/>
      </w:r>
      <w:r w:rsidR="00C87BAC">
        <w:t>As an</w:t>
      </w:r>
      <w:r w:rsidR="001F13ED">
        <w:t xml:space="preserve"> explanation of the pivotal point</w:t>
      </w:r>
      <w:r w:rsidR="00C87BAC">
        <w:t xml:space="preserve"> of the communication</w:t>
      </w:r>
      <w:r w:rsidR="001F13ED">
        <w:t xml:space="preserve">, </w:t>
      </w:r>
      <w:r w:rsidR="00C87BAC">
        <w:t>that is,</w:t>
      </w:r>
      <w:r w:rsidR="001F13ED">
        <w:t xml:space="preserve"> whether the kidnappers </w:t>
      </w:r>
      <w:r w:rsidR="00C87BAC">
        <w:t>were</w:t>
      </w:r>
      <w:r w:rsidR="001F13ED">
        <w:t xml:space="preserve"> the Taliban or a criminal gang without affiliation </w:t>
      </w:r>
      <w:r w:rsidR="00770E5F">
        <w:t>to</w:t>
      </w:r>
      <w:r w:rsidR="001F13ED">
        <w:t xml:space="preserve"> the Taliban, the complainant</w:t>
      </w:r>
      <w:r w:rsidR="00E81898">
        <w:t xml:space="preserve"> </w:t>
      </w:r>
      <w:r w:rsidR="00C87BAC">
        <w:t xml:space="preserve">states </w:t>
      </w:r>
      <w:r w:rsidR="001F13ED">
        <w:t xml:space="preserve">that </w:t>
      </w:r>
      <w:r w:rsidR="00C87BAC">
        <w:t xml:space="preserve">when he said </w:t>
      </w:r>
      <w:r w:rsidR="00D20058">
        <w:t>“</w:t>
      </w:r>
      <w:r w:rsidR="001F13ED">
        <w:t>criminals</w:t>
      </w:r>
      <w:r w:rsidR="00D20058">
        <w:t>”</w:t>
      </w:r>
      <w:r w:rsidR="001F13ED">
        <w:t xml:space="preserve"> during the registration with the Danish police</w:t>
      </w:r>
      <w:r w:rsidR="00C87BAC">
        <w:t>, he meant</w:t>
      </w:r>
      <w:r w:rsidR="001F13ED">
        <w:t xml:space="preserve"> the Taliban. The same explanation </w:t>
      </w:r>
      <w:r w:rsidR="00C87BAC">
        <w:t>w</w:t>
      </w:r>
      <w:r w:rsidR="001F13ED">
        <w:t xml:space="preserve">as </w:t>
      </w:r>
      <w:r w:rsidR="00C87BAC">
        <w:t>given</w:t>
      </w:r>
      <w:r w:rsidR="001F13ED">
        <w:t xml:space="preserve"> to the </w:t>
      </w:r>
      <w:r w:rsidR="00C87BAC">
        <w:t xml:space="preserve">Appeals </w:t>
      </w:r>
      <w:r w:rsidR="001F13ED">
        <w:t>Board</w:t>
      </w:r>
      <w:r w:rsidR="00C87BAC">
        <w:t>. T</w:t>
      </w:r>
      <w:r w:rsidR="00D07053">
        <w:t>he complainant</w:t>
      </w:r>
      <w:r w:rsidR="00C87BAC">
        <w:t xml:space="preserve"> also</w:t>
      </w:r>
      <w:r w:rsidR="00D07053">
        <w:t xml:space="preserve"> </w:t>
      </w:r>
      <w:r w:rsidR="00C87BAC">
        <w:t>stated</w:t>
      </w:r>
      <w:r w:rsidR="00D07053">
        <w:t xml:space="preserve"> that he became aware that the kidnappers were from the Taliban, partly due to how they </w:t>
      </w:r>
      <w:r w:rsidR="005371C6">
        <w:t xml:space="preserve">were </w:t>
      </w:r>
      <w:r w:rsidR="00D07053">
        <w:t xml:space="preserve">dressed and </w:t>
      </w:r>
      <w:r w:rsidR="005371C6">
        <w:t xml:space="preserve">how they </w:t>
      </w:r>
      <w:r w:rsidR="00D07053">
        <w:t xml:space="preserve">talked, and partly </w:t>
      </w:r>
      <w:r w:rsidR="005371C6">
        <w:t xml:space="preserve">because, when he was </w:t>
      </w:r>
      <w:r w:rsidR="00D07053">
        <w:t>first kidnapp</w:t>
      </w:r>
      <w:r w:rsidR="005371C6">
        <w:t>ed,</w:t>
      </w:r>
      <w:r w:rsidR="00D07053">
        <w:t xml:space="preserve"> they told him directly that they were from the Taliban. </w:t>
      </w:r>
      <w:r w:rsidR="00D07053" w:rsidRPr="002F4AB5">
        <w:t>The complainant</w:t>
      </w:r>
      <w:r w:rsidR="00D07053">
        <w:t xml:space="preserve"> also contests the assertions in the report </w:t>
      </w:r>
      <w:r w:rsidR="005371C6">
        <w:t>of</w:t>
      </w:r>
      <w:r w:rsidR="00D07053">
        <w:t xml:space="preserve"> the Danish Immigration Service </w:t>
      </w:r>
      <w:r w:rsidR="002F4AB5">
        <w:t xml:space="preserve">of </w:t>
      </w:r>
      <w:r w:rsidR="00D07053">
        <w:t>29 May 2012</w:t>
      </w:r>
      <w:r w:rsidR="002F4AB5">
        <w:t xml:space="preserve"> </w:t>
      </w:r>
      <w:r w:rsidR="00D07053">
        <w:t>that the Taliban mainly recruit ethnic Pashtuns</w:t>
      </w:r>
      <w:r w:rsidR="002F4AB5">
        <w:t>,</w:t>
      </w:r>
      <w:r w:rsidR="00D07053">
        <w:t xml:space="preserve"> pointing out </w:t>
      </w:r>
      <w:r w:rsidR="002F4AB5">
        <w:t xml:space="preserve">that </w:t>
      </w:r>
      <w:r w:rsidR="00D07053">
        <w:t>the</w:t>
      </w:r>
      <w:r w:rsidR="002F4AB5">
        <w:t xml:space="preserve"> report is </w:t>
      </w:r>
      <w:r w:rsidR="00D07053">
        <w:t xml:space="preserve">limited </w:t>
      </w:r>
      <w:r w:rsidR="002F4AB5">
        <w:t xml:space="preserve">in </w:t>
      </w:r>
      <w:r w:rsidR="00D07053">
        <w:t>scope</w:t>
      </w:r>
      <w:r w:rsidR="002F4AB5">
        <w:t xml:space="preserve"> and</w:t>
      </w:r>
      <w:r w:rsidR="00E81898">
        <w:t xml:space="preserve"> </w:t>
      </w:r>
      <w:r w:rsidR="00D07053">
        <w:t xml:space="preserve">based on interviews </w:t>
      </w:r>
      <w:r w:rsidR="002F4AB5">
        <w:t>carried out</w:t>
      </w:r>
      <w:r w:rsidR="00D07053">
        <w:t xml:space="preserve"> in Kabul</w:t>
      </w:r>
      <w:r w:rsidR="00542944">
        <w:t xml:space="preserve">, </w:t>
      </w:r>
      <w:r w:rsidR="002F4AB5">
        <w:t>where</w:t>
      </w:r>
      <w:r w:rsidR="00E81898">
        <w:t xml:space="preserve">as </w:t>
      </w:r>
      <w:r w:rsidR="00D07053">
        <w:t xml:space="preserve">Kandahar </w:t>
      </w:r>
      <w:r w:rsidR="00542944">
        <w:t xml:space="preserve">is a traditional Taliban stronghold </w:t>
      </w:r>
      <w:r w:rsidR="002F4AB5">
        <w:t>as that is</w:t>
      </w:r>
      <w:r w:rsidR="00542944">
        <w:t xml:space="preserve"> the origin</w:t>
      </w:r>
      <w:r w:rsidR="003D66A3">
        <w:t>al</w:t>
      </w:r>
      <w:r w:rsidR="00542944">
        <w:t xml:space="preserve"> area </w:t>
      </w:r>
      <w:r w:rsidR="003D66A3">
        <w:t>of</w:t>
      </w:r>
      <w:r w:rsidR="00542944">
        <w:t xml:space="preserve"> the Taliban movement. </w:t>
      </w:r>
      <w:r w:rsidR="002F4AB5">
        <w:t>He submits i</w:t>
      </w:r>
      <w:r w:rsidR="00542944">
        <w:t xml:space="preserve">n addition </w:t>
      </w:r>
      <w:r w:rsidR="002F4AB5">
        <w:t xml:space="preserve">that, </w:t>
      </w:r>
      <w:r w:rsidR="00542944">
        <w:t xml:space="preserve">at the time of </w:t>
      </w:r>
      <w:r w:rsidR="002F4AB5">
        <w:t>his</w:t>
      </w:r>
      <w:r w:rsidR="00542944">
        <w:t xml:space="preserve"> kidnapping</w:t>
      </w:r>
      <w:r w:rsidR="002F4AB5">
        <w:t>,</w:t>
      </w:r>
      <w:r w:rsidR="00542944">
        <w:t xml:space="preserve"> </w:t>
      </w:r>
      <w:r w:rsidR="002F4AB5">
        <w:t>Kandahar province was</w:t>
      </w:r>
      <w:r w:rsidR="00542944">
        <w:t xml:space="preserve"> largely inaccessible for the United Nations and reports </w:t>
      </w:r>
      <w:r w:rsidR="002F4AB5">
        <w:t>of</w:t>
      </w:r>
      <w:r w:rsidR="00542944">
        <w:t xml:space="preserve"> abduction and assassination of Afghan citizens also </w:t>
      </w:r>
      <w:r w:rsidR="002F4AB5">
        <w:t>increased</w:t>
      </w:r>
      <w:r w:rsidR="00542944">
        <w:t xml:space="preserve"> during th</w:t>
      </w:r>
      <w:r w:rsidR="002F4AB5">
        <w:t>at</w:t>
      </w:r>
      <w:r w:rsidR="00542944">
        <w:t xml:space="preserve"> period. Th</w:t>
      </w:r>
      <w:r w:rsidR="002F4AB5">
        <w:t>erefore, his</w:t>
      </w:r>
      <w:r w:rsidR="00542944">
        <w:t xml:space="preserve"> statements that he was kidnapped by </w:t>
      </w:r>
      <w:r w:rsidR="00770E5F">
        <w:t xml:space="preserve">the </w:t>
      </w:r>
      <w:r w:rsidR="00542944">
        <w:t xml:space="preserve">Taliban in Kandahar </w:t>
      </w:r>
      <w:r w:rsidR="004C0763">
        <w:t>are not</w:t>
      </w:r>
      <w:r w:rsidR="00542944">
        <w:t xml:space="preserve"> inconsisten</w:t>
      </w:r>
      <w:r w:rsidR="004C0763">
        <w:t>t</w:t>
      </w:r>
      <w:r w:rsidR="00542944">
        <w:t xml:space="preserve"> with background information on the security situation</w:t>
      </w:r>
      <w:r w:rsidR="004C0763">
        <w:t xml:space="preserve"> in Kandahar</w:t>
      </w:r>
      <w:r w:rsidR="00542944">
        <w:t xml:space="preserve"> </w:t>
      </w:r>
      <w:r w:rsidR="004C0763">
        <w:t xml:space="preserve"> and of </w:t>
      </w:r>
      <w:r w:rsidR="00542944">
        <w:t xml:space="preserve">the known power bases of </w:t>
      </w:r>
      <w:r w:rsidR="004C0763">
        <w:t xml:space="preserve">the </w:t>
      </w:r>
      <w:r w:rsidR="00542944">
        <w:t>Taliban</w:t>
      </w:r>
      <w:r w:rsidR="004C0763">
        <w:t xml:space="preserve"> at that time</w:t>
      </w:r>
      <w:r w:rsidR="00542944">
        <w:t xml:space="preserve">. The complainant also contests the State party’s allegations that it </w:t>
      </w:r>
      <w:r w:rsidR="004C0763">
        <w:t>was</w:t>
      </w:r>
      <w:r w:rsidR="00542944">
        <w:t xml:space="preserve"> possible to hide from</w:t>
      </w:r>
      <w:r w:rsidR="004C0763">
        <w:t xml:space="preserve"> the</w:t>
      </w:r>
      <w:r w:rsidR="00542944">
        <w:t xml:space="preserve"> Taliban in Kabul </w:t>
      </w:r>
      <w:r w:rsidR="004C0763">
        <w:t>and gives</w:t>
      </w:r>
      <w:r w:rsidR="00542944">
        <w:t xml:space="preserve"> examples of security incidents to the contrary. </w:t>
      </w:r>
    </w:p>
    <w:p w14:paraId="1E5B2D49" w14:textId="77777777" w:rsidR="009A5117" w:rsidRDefault="004D2A89">
      <w:pPr>
        <w:pStyle w:val="SingleTxtG"/>
      </w:pPr>
      <w:r>
        <w:t>5</w:t>
      </w:r>
      <w:r w:rsidR="009A5117">
        <w:t>.6</w:t>
      </w:r>
      <w:r w:rsidR="009A5117">
        <w:tab/>
        <w:t>The complainant</w:t>
      </w:r>
      <w:r w:rsidR="00E81898">
        <w:t xml:space="preserve"> </w:t>
      </w:r>
      <w:r w:rsidR="009A5117">
        <w:t xml:space="preserve">submits that in the light of international research on credibility assessments and relevant background information from Afghanistan, </w:t>
      </w:r>
      <w:r w:rsidR="004C0763">
        <w:t>his</w:t>
      </w:r>
      <w:r w:rsidR="009A5117">
        <w:t xml:space="preserve"> </w:t>
      </w:r>
      <w:r w:rsidR="004C0763">
        <w:t xml:space="preserve">and his spouse’s </w:t>
      </w:r>
      <w:r w:rsidR="009A5117">
        <w:t xml:space="preserve">statements </w:t>
      </w:r>
      <w:r w:rsidR="004C0763">
        <w:t>should</w:t>
      </w:r>
      <w:r w:rsidR="009A5117">
        <w:t xml:space="preserve"> be regarded as credible</w:t>
      </w:r>
      <w:r w:rsidR="004C0763">
        <w:t xml:space="preserve"> as they </w:t>
      </w:r>
      <w:r w:rsidR="009A5117">
        <w:t>describ</w:t>
      </w:r>
      <w:r w:rsidR="004C0763">
        <w:t>e the</w:t>
      </w:r>
      <w:r w:rsidR="009A5117">
        <w:t xml:space="preserve"> personal and real risk </w:t>
      </w:r>
      <w:r w:rsidR="004C0763">
        <w:t>that</w:t>
      </w:r>
      <w:r w:rsidR="009A5117">
        <w:t xml:space="preserve"> he </w:t>
      </w:r>
      <w:r w:rsidR="004C0763">
        <w:t>could be</w:t>
      </w:r>
      <w:r w:rsidR="009A5117">
        <w:t xml:space="preserve"> subjected to ill-treatment</w:t>
      </w:r>
      <w:r w:rsidR="004C0763">
        <w:t xml:space="preserve"> and torture</w:t>
      </w:r>
      <w:r w:rsidR="009A5117">
        <w:t xml:space="preserve"> </w:t>
      </w:r>
      <w:r w:rsidR="004C0763">
        <w:t>by</w:t>
      </w:r>
      <w:r w:rsidR="009A5117">
        <w:t xml:space="preserve"> the Taliban if returned to Afghanistan, </w:t>
      </w:r>
      <w:r w:rsidR="004C0763">
        <w:t>given that</w:t>
      </w:r>
      <w:r w:rsidR="009A5117">
        <w:t xml:space="preserve"> he ha</w:t>
      </w:r>
      <w:r w:rsidR="004C0763">
        <w:t>d</w:t>
      </w:r>
      <w:r w:rsidR="009A5117">
        <w:t xml:space="preserve"> already been kidnapped</w:t>
      </w:r>
      <w:r w:rsidR="004C0763">
        <w:t xml:space="preserve"> twice by the Taliban</w:t>
      </w:r>
      <w:r w:rsidR="009A5117">
        <w:t xml:space="preserve"> and subjected to various acts of torture. </w:t>
      </w:r>
    </w:p>
    <w:p w14:paraId="2AE50C95" w14:textId="77777777" w:rsidR="00FC2A80" w:rsidRDefault="004D2A89" w:rsidP="003D66A3">
      <w:pPr>
        <w:pStyle w:val="SingleTxtG"/>
      </w:pPr>
      <w:r>
        <w:t>5</w:t>
      </w:r>
      <w:r w:rsidR="009A5117">
        <w:t>.7</w:t>
      </w:r>
      <w:r w:rsidR="009A5117">
        <w:tab/>
        <w:t>The complainant</w:t>
      </w:r>
      <w:r w:rsidR="00E81898">
        <w:t xml:space="preserve"> also </w:t>
      </w:r>
      <w:r w:rsidR="009A5117">
        <w:t xml:space="preserve">maintains that </w:t>
      </w:r>
      <w:r w:rsidR="00E81898">
        <w:t xml:space="preserve">he </w:t>
      </w:r>
      <w:r w:rsidR="003D66A3">
        <w:t>did</w:t>
      </w:r>
      <w:r w:rsidR="009A5117">
        <w:t xml:space="preserve"> establish a prima facie case for the admissibility of his communication. </w:t>
      </w:r>
      <w:r w:rsidR="003D66A3">
        <w:t>H</w:t>
      </w:r>
      <w:r w:rsidR="009A5117">
        <w:t xml:space="preserve">e recalls that </w:t>
      </w:r>
      <w:r w:rsidR="00E81898">
        <w:t xml:space="preserve">his </w:t>
      </w:r>
      <w:r w:rsidR="009A5117">
        <w:t xml:space="preserve">statement </w:t>
      </w:r>
      <w:r w:rsidR="00995CEF">
        <w:t>—</w:t>
      </w:r>
      <w:r w:rsidR="009A5117">
        <w:t xml:space="preserve"> </w:t>
      </w:r>
      <w:r w:rsidR="003D66A3">
        <w:t>considered</w:t>
      </w:r>
      <w:r w:rsidR="009A5117">
        <w:t xml:space="preserve"> in </w:t>
      </w:r>
      <w:r w:rsidR="003D66A3">
        <w:t xml:space="preserve">the </w:t>
      </w:r>
      <w:r w:rsidR="009A5117">
        <w:t xml:space="preserve">light of his individual circumstances </w:t>
      </w:r>
      <w:r w:rsidR="003D66A3">
        <w:t xml:space="preserve">as </w:t>
      </w:r>
      <w:r w:rsidR="009A5117">
        <w:t xml:space="preserve">a victim of </w:t>
      </w:r>
      <w:r w:rsidR="003D66A3">
        <w:t xml:space="preserve">kidnapping and </w:t>
      </w:r>
      <w:r w:rsidR="009A5117">
        <w:t xml:space="preserve">serious ill-treatment and </w:t>
      </w:r>
      <w:r w:rsidR="003D66A3">
        <w:t>the fact that he is</w:t>
      </w:r>
      <w:r w:rsidR="009A5117">
        <w:t xml:space="preserve"> illiterate </w:t>
      </w:r>
      <w:r w:rsidR="00995CEF">
        <w:t>—</w:t>
      </w:r>
      <w:r w:rsidR="009A5117">
        <w:t xml:space="preserve"> together with relevant background information </w:t>
      </w:r>
      <w:r w:rsidR="003D66A3">
        <w:t xml:space="preserve">about the situation in Afghanistan </w:t>
      </w:r>
      <w:r w:rsidR="009A5117">
        <w:t>provide substantial grounds that go beyond mere theory o</w:t>
      </w:r>
      <w:r w:rsidR="00DD38A2">
        <w:t xml:space="preserve">r suspicion for </w:t>
      </w:r>
      <w:r w:rsidR="003D66A3">
        <w:t>determining</w:t>
      </w:r>
      <w:r w:rsidR="00DD38A2">
        <w:t xml:space="preserve"> that he w</w:t>
      </w:r>
      <w:r w:rsidR="003D66A3">
        <w:t>ould</w:t>
      </w:r>
      <w:r w:rsidR="00DD38A2">
        <w:t xml:space="preserve"> be in danger of being subjected to torture</w:t>
      </w:r>
      <w:r w:rsidR="003D66A3">
        <w:t xml:space="preserve"> in Afghanistan</w:t>
      </w:r>
      <w:r w:rsidR="00DD38A2">
        <w:t>. In particular, the complainant notes that no medical evidence</w:t>
      </w:r>
      <w:r w:rsidR="003D66A3">
        <w:t xml:space="preserve"> was sought</w:t>
      </w:r>
      <w:r w:rsidR="00DD38A2">
        <w:t xml:space="preserve"> to support </w:t>
      </w:r>
      <w:r w:rsidR="00E81898">
        <w:t xml:space="preserve">his </w:t>
      </w:r>
      <w:r w:rsidR="00DD38A2">
        <w:t xml:space="preserve">claim </w:t>
      </w:r>
      <w:r w:rsidR="003D66A3">
        <w:t>that he had</w:t>
      </w:r>
      <w:r w:rsidR="00DD38A2">
        <w:t xml:space="preserve"> been subjected to torture, as </w:t>
      </w:r>
      <w:r w:rsidR="003D66A3">
        <w:t xml:space="preserve">the Danish Appeals Board denied him </w:t>
      </w:r>
      <w:r w:rsidR="00DD38A2">
        <w:t>access to relevant medical examinations.</w:t>
      </w:r>
      <w:r w:rsidR="00DD38A2">
        <w:rPr>
          <w:rStyle w:val="FootnoteReference"/>
        </w:rPr>
        <w:footnoteReference w:id="22"/>
      </w:r>
      <w:r w:rsidR="00FD44CF">
        <w:t xml:space="preserve"> </w:t>
      </w:r>
    </w:p>
    <w:p w14:paraId="30207969" w14:textId="77777777" w:rsidR="00DF67DC" w:rsidRDefault="004D2A89" w:rsidP="005437C0">
      <w:pPr>
        <w:pStyle w:val="SingleTxtG"/>
      </w:pPr>
      <w:r>
        <w:t>5</w:t>
      </w:r>
      <w:r w:rsidR="00DD38A2">
        <w:t xml:space="preserve">.8 </w:t>
      </w:r>
      <w:r w:rsidR="00DD38A2">
        <w:tab/>
        <w:t xml:space="preserve">The complainant </w:t>
      </w:r>
      <w:r w:rsidR="003D66A3">
        <w:t>requests</w:t>
      </w:r>
      <w:r w:rsidR="00DD38A2">
        <w:t xml:space="preserve"> that the Committee find the communication admissible for </w:t>
      </w:r>
      <w:r w:rsidR="003D66A3">
        <w:t>consideration by</w:t>
      </w:r>
      <w:r w:rsidR="00DD38A2">
        <w:t xml:space="preserve"> the Committee</w:t>
      </w:r>
      <w:r w:rsidR="003D66A3">
        <w:t xml:space="preserve"> </w:t>
      </w:r>
      <w:r w:rsidR="00D5278C">
        <w:t xml:space="preserve">in order </w:t>
      </w:r>
      <w:r w:rsidR="003D66A3">
        <w:t>to assess</w:t>
      </w:r>
      <w:r w:rsidR="00DD38A2">
        <w:t xml:space="preserve"> the Danish Immigration Authorities’ interpretation of the principle of </w:t>
      </w:r>
      <w:r w:rsidR="003D66A3">
        <w:t>“</w:t>
      </w:r>
      <w:r w:rsidR="00DD38A2">
        <w:t>benefit of the doubt</w:t>
      </w:r>
      <w:r w:rsidR="003D66A3">
        <w:t>”</w:t>
      </w:r>
      <w:r w:rsidR="00DD38A2">
        <w:t xml:space="preserve"> </w:t>
      </w:r>
      <w:r w:rsidR="005437C0">
        <w:t>and</w:t>
      </w:r>
      <w:r w:rsidR="00DD38A2">
        <w:t xml:space="preserve"> to </w:t>
      </w:r>
      <w:r w:rsidR="005437C0">
        <w:t>assess the</w:t>
      </w:r>
      <w:r w:rsidR="00DD38A2">
        <w:t xml:space="preserve"> extent</w:t>
      </w:r>
      <w:r w:rsidR="005437C0">
        <w:t xml:space="preserve"> to which</w:t>
      </w:r>
      <w:r w:rsidR="00DD38A2">
        <w:t xml:space="preserve"> necessary consideration is </w:t>
      </w:r>
      <w:r w:rsidR="005437C0">
        <w:t>given</w:t>
      </w:r>
      <w:r w:rsidR="00E81898">
        <w:t xml:space="preserve"> </w:t>
      </w:r>
      <w:r w:rsidR="00DD38A2">
        <w:t>to</w:t>
      </w:r>
      <w:r w:rsidR="005437C0">
        <w:t>, for example, people who are</w:t>
      </w:r>
      <w:r w:rsidR="00DD38A2">
        <w:t xml:space="preserve"> illiterate and victims of torture. </w:t>
      </w:r>
    </w:p>
    <w:p w14:paraId="68DE7D58" w14:textId="77777777" w:rsidR="00AF169A" w:rsidRDefault="004D2A89">
      <w:pPr>
        <w:pStyle w:val="SingleTxtG"/>
        <w:spacing w:after="240"/>
      </w:pPr>
      <w:r>
        <w:t>5</w:t>
      </w:r>
      <w:r w:rsidR="00DF67DC">
        <w:t>.9</w:t>
      </w:r>
      <w:r w:rsidR="00DF67DC">
        <w:tab/>
        <w:t xml:space="preserve">The complainant </w:t>
      </w:r>
      <w:r w:rsidR="00754068">
        <w:t xml:space="preserve">contends </w:t>
      </w:r>
      <w:r w:rsidR="00DF67DC">
        <w:t xml:space="preserve">that the </w:t>
      </w:r>
      <w:r w:rsidR="005437C0">
        <w:t xml:space="preserve">Danish Appeals </w:t>
      </w:r>
      <w:r w:rsidR="00DF67DC">
        <w:t xml:space="preserve">Board did not adequately take into account </w:t>
      </w:r>
      <w:r w:rsidR="005437C0">
        <w:t>his</w:t>
      </w:r>
      <w:r w:rsidR="00DF67DC">
        <w:t xml:space="preserve"> particular situation, including the fact that he is illiterate and a victim of torture</w:t>
      </w:r>
      <w:r w:rsidR="00D5278C">
        <w:t>,</w:t>
      </w:r>
      <w:r w:rsidR="00DF67DC">
        <w:t xml:space="preserve"> who cannot always be expected to </w:t>
      </w:r>
      <w:r w:rsidR="000A3799">
        <w:t>relate</w:t>
      </w:r>
      <w:r w:rsidR="00DF67DC">
        <w:t xml:space="preserve"> the facts in the same way as individuals who have not been subjected to torture. </w:t>
      </w:r>
      <w:r w:rsidR="000A3799">
        <w:t>T</w:t>
      </w:r>
      <w:r w:rsidR="00DF67DC">
        <w:t>he complainant</w:t>
      </w:r>
      <w:r w:rsidR="000A3799">
        <w:t xml:space="preserve"> also contends that</w:t>
      </w:r>
      <w:r w:rsidR="00E81898">
        <w:t xml:space="preserve"> </w:t>
      </w:r>
      <w:r w:rsidR="00DF67DC">
        <w:t xml:space="preserve">the </w:t>
      </w:r>
      <w:r w:rsidR="000A3799">
        <w:t xml:space="preserve">Appeals </w:t>
      </w:r>
      <w:r w:rsidR="00DF67DC">
        <w:t xml:space="preserve">Board </w:t>
      </w:r>
      <w:r w:rsidR="000A3799">
        <w:t xml:space="preserve">did not </w:t>
      </w:r>
      <w:r w:rsidR="00DF67DC">
        <w:t xml:space="preserve">adequately consider the cultural differences </w:t>
      </w:r>
      <w:r w:rsidR="000A3799">
        <w:t xml:space="preserve">with </w:t>
      </w:r>
      <w:r w:rsidR="00DF67DC">
        <w:t>regard</w:t>
      </w:r>
      <w:r w:rsidR="000A3799">
        <w:t xml:space="preserve"> to</w:t>
      </w:r>
      <w:r w:rsidR="00DF67DC">
        <w:t xml:space="preserve"> the role of women in Afghan society and the information </w:t>
      </w:r>
      <w:r w:rsidR="000A3799">
        <w:t>that his</w:t>
      </w:r>
      <w:r w:rsidR="00DF67DC">
        <w:t xml:space="preserve"> spouse</w:t>
      </w:r>
      <w:r w:rsidR="000A3799">
        <w:t xml:space="preserve"> was expected to know</w:t>
      </w:r>
      <w:r w:rsidR="00DF67DC">
        <w:t xml:space="preserve"> </w:t>
      </w:r>
      <w:r w:rsidR="000A3799">
        <w:t>about him</w:t>
      </w:r>
      <w:r w:rsidR="00D5278C">
        <w:t>,</w:t>
      </w:r>
      <w:r w:rsidR="000A3799">
        <w:t xml:space="preserve"> and that</w:t>
      </w:r>
      <w:r w:rsidR="008D45B2">
        <w:t xml:space="preserve"> the frequency and character of the somewhat sceptical questions </w:t>
      </w:r>
      <w:r w:rsidR="000A3799">
        <w:t>put</w:t>
      </w:r>
      <w:r w:rsidR="008D45B2">
        <w:t xml:space="preserve"> to </w:t>
      </w:r>
      <w:r w:rsidR="000A3799">
        <w:t>him</w:t>
      </w:r>
      <w:r w:rsidR="008D45B2">
        <w:t xml:space="preserve"> throughout the asylum proce</w:t>
      </w:r>
      <w:r w:rsidR="000A3799">
        <w:t>e</w:t>
      </w:r>
      <w:r w:rsidR="008D45B2">
        <w:t>d</w:t>
      </w:r>
      <w:r w:rsidR="000A3799">
        <w:t>ings</w:t>
      </w:r>
      <w:r w:rsidR="008D45B2">
        <w:t xml:space="preserve"> d</w:t>
      </w:r>
      <w:r w:rsidR="000A3799">
        <w:t>id</w:t>
      </w:r>
      <w:r w:rsidR="008D45B2">
        <w:t xml:space="preserve"> not take into consideration the fact that he ha</w:t>
      </w:r>
      <w:r w:rsidR="00D5278C">
        <w:t>d</w:t>
      </w:r>
      <w:r w:rsidR="008D45B2">
        <w:t xml:space="preserve"> been subjected to serious and repeated ill-treatment.</w:t>
      </w:r>
      <w:r w:rsidR="00FD44CF">
        <w:t xml:space="preserve"> </w:t>
      </w:r>
    </w:p>
    <w:p w14:paraId="3A7B8EC2" w14:textId="77777777" w:rsidR="00CA7A6D" w:rsidRDefault="00642550" w:rsidP="00D0457B">
      <w:pPr>
        <w:pStyle w:val="H23G"/>
        <w:rPr>
          <w:lang w:eastAsia="zh-CN"/>
        </w:rPr>
      </w:pPr>
      <w:r>
        <w:rPr>
          <w:lang w:eastAsia="zh-CN"/>
        </w:rPr>
        <w:tab/>
      </w:r>
      <w:r>
        <w:rPr>
          <w:lang w:eastAsia="zh-CN"/>
        </w:rPr>
        <w:tab/>
      </w:r>
      <w:r w:rsidR="00F164D6" w:rsidRPr="00F164D6">
        <w:rPr>
          <w:lang w:eastAsia="zh-CN"/>
        </w:rPr>
        <w:t>Issues and proceedings before the Committee</w:t>
      </w:r>
    </w:p>
    <w:p w14:paraId="312070A2" w14:textId="77777777" w:rsidR="00CA7A6D" w:rsidRDefault="00642550" w:rsidP="00D0457B">
      <w:pPr>
        <w:pStyle w:val="H4G"/>
        <w:rPr>
          <w:lang w:eastAsia="zh-CN"/>
        </w:rPr>
      </w:pPr>
      <w:r>
        <w:rPr>
          <w:b/>
          <w:kern w:val="3"/>
          <w:lang w:eastAsia="zh-CN"/>
        </w:rPr>
        <w:tab/>
      </w:r>
      <w:r>
        <w:rPr>
          <w:b/>
          <w:kern w:val="3"/>
          <w:lang w:eastAsia="zh-CN"/>
        </w:rPr>
        <w:tab/>
      </w:r>
      <w:r w:rsidR="00F164D6" w:rsidRPr="00F164D6">
        <w:rPr>
          <w:lang w:eastAsia="zh-CN"/>
        </w:rPr>
        <w:t>Consideration of admissibility</w:t>
      </w:r>
    </w:p>
    <w:p w14:paraId="448DCD9E" w14:textId="77777777" w:rsidR="00EC7ABC" w:rsidRPr="00EC7ABC" w:rsidRDefault="00EC7ABC" w:rsidP="00D0457B">
      <w:pPr>
        <w:pStyle w:val="SingleTxtG"/>
        <w:rPr>
          <w:lang w:eastAsia="zh-CN"/>
        </w:rPr>
      </w:pPr>
      <w:r>
        <w:rPr>
          <w:lang w:eastAsia="zh-CN"/>
        </w:rPr>
        <w:t>6</w:t>
      </w:r>
      <w:r w:rsidR="0057284A">
        <w:rPr>
          <w:lang w:eastAsia="zh-CN"/>
        </w:rPr>
        <w:t>.1</w:t>
      </w:r>
      <w:r w:rsidR="0057284A">
        <w:rPr>
          <w:lang w:eastAsia="zh-CN"/>
        </w:rPr>
        <w:tab/>
      </w:r>
      <w:r w:rsidRPr="00EC7ABC">
        <w:rPr>
          <w:lang w:eastAsia="zh-CN"/>
        </w:rPr>
        <w:t xml:space="preserve">Before considering any claims contained in a </w:t>
      </w:r>
      <w:r w:rsidR="0035603B">
        <w:rPr>
          <w:lang w:eastAsia="zh-CN"/>
        </w:rPr>
        <w:t>communication</w:t>
      </w:r>
      <w:r w:rsidRPr="00EC7ABC">
        <w:rPr>
          <w:lang w:eastAsia="zh-CN"/>
        </w:rPr>
        <w:t>, the Committee must decide whether it is admissible under article 22 of the Convention. The Committee has ascertained, as it is required to do under article 22</w:t>
      </w:r>
      <w:r w:rsidR="000A3799">
        <w:rPr>
          <w:lang w:eastAsia="zh-CN"/>
        </w:rPr>
        <w:t xml:space="preserve"> (</w:t>
      </w:r>
      <w:r w:rsidRPr="00EC7ABC">
        <w:rPr>
          <w:lang w:eastAsia="zh-CN"/>
        </w:rPr>
        <w:t>5</w:t>
      </w:r>
      <w:r w:rsidR="000A3799">
        <w:rPr>
          <w:lang w:eastAsia="zh-CN"/>
        </w:rPr>
        <w:t>)</w:t>
      </w:r>
      <w:r w:rsidRPr="00EC7ABC">
        <w:rPr>
          <w:lang w:eastAsia="zh-CN"/>
        </w:rPr>
        <w:t xml:space="preserve"> (a) of the Convention, that the same matter has not been and is not being examined under another procedure of international investigation or settlement. </w:t>
      </w:r>
    </w:p>
    <w:p w14:paraId="0F160D47" w14:textId="77777777" w:rsidR="00EC7ABC" w:rsidRPr="00EC7ABC" w:rsidRDefault="00EC7ABC" w:rsidP="00D0457B">
      <w:pPr>
        <w:pStyle w:val="SingleTxtG"/>
        <w:rPr>
          <w:lang w:eastAsia="zh-CN"/>
        </w:rPr>
      </w:pPr>
      <w:r>
        <w:rPr>
          <w:lang w:eastAsia="zh-CN"/>
        </w:rPr>
        <w:t>6</w:t>
      </w:r>
      <w:r w:rsidRPr="00EC7ABC">
        <w:rPr>
          <w:lang w:eastAsia="zh-CN"/>
        </w:rPr>
        <w:t>.2</w:t>
      </w:r>
      <w:r w:rsidRPr="00EC7ABC">
        <w:rPr>
          <w:lang w:eastAsia="zh-CN"/>
        </w:rPr>
        <w:tab/>
        <w:t>The Committee recalls that, in accordance with article 22</w:t>
      </w:r>
      <w:r w:rsidR="000A3799">
        <w:rPr>
          <w:lang w:eastAsia="zh-CN"/>
        </w:rPr>
        <w:t xml:space="preserve"> (</w:t>
      </w:r>
      <w:r w:rsidRPr="00EC7ABC">
        <w:rPr>
          <w:lang w:eastAsia="zh-CN"/>
        </w:rPr>
        <w:t>5</w:t>
      </w:r>
      <w:r w:rsidR="000A3799">
        <w:rPr>
          <w:lang w:eastAsia="zh-CN"/>
        </w:rPr>
        <w:t>)</w:t>
      </w:r>
      <w:r w:rsidRPr="00EC7ABC">
        <w:rPr>
          <w:lang w:eastAsia="zh-CN"/>
        </w:rPr>
        <w:t xml:space="preserve"> (b) of the Convention, it shall not consider any </w:t>
      </w:r>
      <w:r w:rsidR="0035603B">
        <w:rPr>
          <w:lang w:eastAsia="zh-CN"/>
        </w:rPr>
        <w:t>communication</w:t>
      </w:r>
      <w:r w:rsidRPr="00EC7ABC">
        <w:rPr>
          <w:lang w:eastAsia="zh-CN"/>
        </w:rPr>
        <w:t xml:space="preserve"> from an individual unless it has ascertained that the individual has exhausted all available domestic remedies. The Committee notes that, in the present case, the State party has not </w:t>
      </w:r>
      <w:r w:rsidR="00E61E38" w:rsidRPr="00E61E38">
        <w:rPr>
          <w:lang w:eastAsia="zh-CN"/>
        </w:rPr>
        <w:t>challenged the admissibilit</w:t>
      </w:r>
      <w:r w:rsidR="00E61E38" w:rsidRPr="00D6469B">
        <w:rPr>
          <w:lang w:eastAsia="zh-CN"/>
        </w:rPr>
        <w:t>y</w:t>
      </w:r>
      <w:r w:rsidR="00E61E38">
        <w:rPr>
          <w:lang w:eastAsia="zh-CN"/>
        </w:rPr>
        <w:t xml:space="preserve"> </w:t>
      </w:r>
      <w:r w:rsidR="00E61E38" w:rsidRPr="00D6469B">
        <w:rPr>
          <w:lang w:eastAsia="zh-CN"/>
        </w:rPr>
        <w:t>of th</w:t>
      </w:r>
      <w:r w:rsidR="00E61E38">
        <w:rPr>
          <w:lang w:eastAsia="zh-CN"/>
        </w:rPr>
        <w:t>e</w:t>
      </w:r>
      <w:r w:rsidR="00E61E38" w:rsidRPr="00D6469B">
        <w:rPr>
          <w:lang w:eastAsia="zh-CN"/>
        </w:rPr>
        <w:t xml:space="preserve"> c</w:t>
      </w:r>
      <w:r w:rsidR="00E61E38">
        <w:rPr>
          <w:lang w:eastAsia="zh-CN"/>
        </w:rPr>
        <w:t>ommunication on the ground of non-exhaustion</w:t>
      </w:r>
      <w:r w:rsidR="00315C00">
        <w:rPr>
          <w:lang w:eastAsia="zh-CN"/>
        </w:rPr>
        <w:t xml:space="preserve"> of domestic remedies. It therefore </w:t>
      </w:r>
      <w:r w:rsidR="00E61E38">
        <w:rPr>
          <w:lang w:eastAsia="zh-CN"/>
        </w:rPr>
        <w:t xml:space="preserve">concludes that it is not precluded from </w:t>
      </w:r>
      <w:r w:rsidR="00315C00">
        <w:rPr>
          <w:lang w:eastAsia="zh-CN"/>
        </w:rPr>
        <w:t>consider</w:t>
      </w:r>
      <w:r w:rsidR="00E61E38">
        <w:rPr>
          <w:lang w:eastAsia="zh-CN"/>
        </w:rPr>
        <w:t xml:space="preserve">ing the communication </w:t>
      </w:r>
      <w:r w:rsidR="00315C00">
        <w:rPr>
          <w:lang w:eastAsia="zh-CN"/>
        </w:rPr>
        <w:t xml:space="preserve">under </w:t>
      </w:r>
      <w:r w:rsidR="00E61E38" w:rsidRPr="00EC7ABC">
        <w:rPr>
          <w:lang w:eastAsia="zh-CN"/>
        </w:rPr>
        <w:t>article 22</w:t>
      </w:r>
      <w:r w:rsidR="00315C00">
        <w:rPr>
          <w:lang w:eastAsia="zh-CN"/>
        </w:rPr>
        <w:t xml:space="preserve"> (</w:t>
      </w:r>
      <w:r w:rsidR="00E61E38" w:rsidRPr="00EC7ABC">
        <w:rPr>
          <w:lang w:eastAsia="zh-CN"/>
        </w:rPr>
        <w:t>5</w:t>
      </w:r>
      <w:r w:rsidR="00315C00">
        <w:rPr>
          <w:lang w:eastAsia="zh-CN"/>
        </w:rPr>
        <w:t>)</w:t>
      </w:r>
      <w:r w:rsidR="00E61E38" w:rsidRPr="00EC7ABC">
        <w:rPr>
          <w:lang w:eastAsia="zh-CN"/>
        </w:rPr>
        <w:t xml:space="preserve"> (b) of the Convention</w:t>
      </w:r>
      <w:r w:rsidRPr="00EC7ABC">
        <w:rPr>
          <w:lang w:eastAsia="zh-CN"/>
        </w:rPr>
        <w:t xml:space="preserve">. </w:t>
      </w:r>
    </w:p>
    <w:p w14:paraId="5C081F54" w14:textId="77777777" w:rsidR="00EC7ABC" w:rsidRPr="00EC7ABC" w:rsidRDefault="00EC7ABC" w:rsidP="00D0457B">
      <w:pPr>
        <w:pStyle w:val="SingleTxtG"/>
        <w:rPr>
          <w:lang w:eastAsia="zh-CN"/>
        </w:rPr>
      </w:pPr>
      <w:r>
        <w:rPr>
          <w:lang w:eastAsia="zh-CN"/>
        </w:rPr>
        <w:t>6</w:t>
      </w:r>
      <w:r w:rsidRPr="00EC7ABC">
        <w:rPr>
          <w:lang w:eastAsia="zh-CN"/>
        </w:rPr>
        <w:t>.3</w:t>
      </w:r>
      <w:r w:rsidRPr="00EC7ABC">
        <w:rPr>
          <w:lang w:eastAsia="zh-CN"/>
        </w:rPr>
        <w:tab/>
        <w:t xml:space="preserve">The </w:t>
      </w:r>
      <w:r w:rsidR="00E61E38">
        <w:rPr>
          <w:lang w:eastAsia="zh-CN"/>
        </w:rPr>
        <w:t xml:space="preserve">Committee notes the </w:t>
      </w:r>
      <w:r w:rsidRPr="00EC7ABC">
        <w:rPr>
          <w:lang w:eastAsia="zh-CN"/>
        </w:rPr>
        <w:t>State party</w:t>
      </w:r>
      <w:r w:rsidR="00E61E38">
        <w:rPr>
          <w:lang w:eastAsia="zh-CN"/>
        </w:rPr>
        <w:t>’s</w:t>
      </w:r>
      <w:r w:rsidRPr="00EC7ABC">
        <w:rPr>
          <w:lang w:eastAsia="zh-CN"/>
        </w:rPr>
        <w:t xml:space="preserve"> submi</w:t>
      </w:r>
      <w:r w:rsidR="00E61E38">
        <w:rPr>
          <w:lang w:eastAsia="zh-CN"/>
        </w:rPr>
        <w:t>ssion</w:t>
      </w:r>
      <w:r w:rsidRPr="00EC7ABC">
        <w:rPr>
          <w:lang w:eastAsia="zh-CN"/>
        </w:rPr>
        <w:t xml:space="preserve"> that the com</w:t>
      </w:r>
      <w:r w:rsidR="00E61E38">
        <w:rPr>
          <w:lang w:eastAsia="zh-CN"/>
        </w:rPr>
        <w:t>munication</w:t>
      </w:r>
      <w:r w:rsidRPr="00EC7ABC">
        <w:rPr>
          <w:lang w:eastAsia="zh-CN"/>
        </w:rPr>
        <w:t xml:space="preserve"> is inadmissible as</w:t>
      </w:r>
      <w:r w:rsidR="00315C00">
        <w:rPr>
          <w:lang w:eastAsia="zh-CN"/>
        </w:rPr>
        <w:t xml:space="preserve"> the complainant’s claims are</w:t>
      </w:r>
      <w:r w:rsidRPr="00EC7ABC">
        <w:rPr>
          <w:lang w:eastAsia="zh-CN"/>
        </w:rPr>
        <w:t xml:space="preserve"> manifestly ill-founded. </w:t>
      </w:r>
      <w:r w:rsidR="00E61E38">
        <w:t xml:space="preserve">The Committee, however, </w:t>
      </w:r>
      <w:r w:rsidR="00E61E38" w:rsidRPr="00BE3814">
        <w:t xml:space="preserve">considers that the communication has been </w:t>
      </w:r>
      <w:r w:rsidR="00315C00">
        <w:t xml:space="preserve">adequately </w:t>
      </w:r>
      <w:r w:rsidR="00E61E38" w:rsidRPr="00BE3814">
        <w:t xml:space="preserve">substantiated for </w:t>
      </w:r>
      <w:r w:rsidR="00E61E38">
        <w:t xml:space="preserve">the </w:t>
      </w:r>
      <w:r w:rsidR="00E61E38" w:rsidRPr="00BE3814">
        <w:t>purposes of admissibility</w:t>
      </w:r>
      <w:r w:rsidR="00315C00">
        <w:t xml:space="preserve"> and declares the communication admissible and</w:t>
      </w:r>
      <w:r w:rsidRPr="00EC7ABC">
        <w:rPr>
          <w:lang w:eastAsia="zh-CN"/>
        </w:rPr>
        <w:t xml:space="preserve"> proceeds with </w:t>
      </w:r>
      <w:r w:rsidR="00315C00">
        <w:rPr>
          <w:lang w:eastAsia="zh-CN"/>
        </w:rPr>
        <w:t>its</w:t>
      </w:r>
      <w:r w:rsidRPr="00EC7ABC">
        <w:rPr>
          <w:lang w:eastAsia="zh-CN"/>
        </w:rPr>
        <w:t xml:space="preserve"> consideration of the merits.</w:t>
      </w:r>
      <w:r w:rsidR="00FD44CF">
        <w:rPr>
          <w:lang w:eastAsia="zh-CN"/>
        </w:rPr>
        <w:t xml:space="preserve"> </w:t>
      </w:r>
    </w:p>
    <w:p w14:paraId="3EA6BEBF" w14:textId="77777777" w:rsidR="00435DFE" w:rsidRDefault="00642550" w:rsidP="00D0457B">
      <w:pPr>
        <w:pStyle w:val="H4G"/>
        <w:rPr>
          <w:lang w:eastAsia="zh-CN"/>
        </w:rPr>
      </w:pPr>
      <w:r>
        <w:rPr>
          <w:kern w:val="3"/>
          <w:lang w:eastAsia="zh-CN"/>
        </w:rPr>
        <w:tab/>
      </w:r>
      <w:r>
        <w:rPr>
          <w:kern w:val="3"/>
          <w:lang w:eastAsia="zh-CN"/>
        </w:rPr>
        <w:tab/>
      </w:r>
      <w:r w:rsidR="00435DFE" w:rsidRPr="00F164D6">
        <w:rPr>
          <w:lang w:eastAsia="zh-CN"/>
        </w:rPr>
        <w:t>Consideration of the merits</w:t>
      </w:r>
    </w:p>
    <w:p w14:paraId="1DF06813" w14:textId="77777777" w:rsidR="00435DFE" w:rsidRPr="00642550" w:rsidRDefault="00435DFE" w:rsidP="00315C00">
      <w:pPr>
        <w:pStyle w:val="SingleTxtG"/>
      </w:pPr>
      <w:r>
        <w:t>7</w:t>
      </w:r>
      <w:r w:rsidRPr="00BE3814">
        <w:t>.1</w:t>
      </w:r>
      <w:r w:rsidRPr="00BE3814">
        <w:tab/>
        <w:t xml:space="preserve">The Committee has considered the </w:t>
      </w:r>
      <w:r>
        <w:t>present com</w:t>
      </w:r>
      <w:r w:rsidR="00AB3C2A">
        <w:t xml:space="preserve">munication </w:t>
      </w:r>
      <w:r w:rsidRPr="00BE3814">
        <w:t>in the light of all the information made available to it by the parties concerned, in accordance with article 22</w:t>
      </w:r>
      <w:r w:rsidR="00315C00">
        <w:t xml:space="preserve"> (</w:t>
      </w:r>
      <w:r w:rsidRPr="00BE3814">
        <w:t>4</w:t>
      </w:r>
      <w:r w:rsidR="00315C00">
        <w:t>)</w:t>
      </w:r>
      <w:r w:rsidRPr="00BE3814">
        <w:t xml:space="preserve"> of the Convention.</w:t>
      </w:r>
    </w:p>
    <w:p w14:paraId="2AD56DB5" w14:textId="77777777" w:rsidR="00435DFE" w:rsidRPr="00642550" w:rsidRDefault="00435DFE">
      <w:pPr>
        <w:pStyle w:val="SingleTxtG"/>
      </w:pPr>
      <w:r>
        <w:t>7</w:t>
      </w:r>
      <w:r w:rsidRPr="00BE3814">
        <w:t>.2</w:t>
      </w:r>
      <w:r w:rsidRPr="00BE3814">
        <w:tab/>
        <w:t xml:space="preserve">The issue before the Committee is whether the </w:t>
      </w:r>
      <w:r>
        <w:t>forc</w:t>
      </w:r>
      <w:r w:rsidR="00315C00">
        <w:t>ible</w:t>
      </w:r>
      <w:r>
        <w:t xml:space="preserve"> removal </w:t>
      </w:r>
      <w:r w:rsidRPr="00BE3814">
        <w:t>of the complainant</w:t>
      </w:r>
      <w:r w:rsidR="00315C00">
        <w:t xml:space="preserve"> </w:t>
      </w:r>
      <w:r w:rsidRPr="00BE3814">
        <w:t xml:space="preserve"> to </w:t>
      </w:r>
      <w:r>
        <w:t xml:space="preserve">Afghanistan </w:t>
      </w:r>
      <w:r w:rsidRPr="00BE3814">
        <w:t xml:space="preserve">would constitute a violation of the State party’s obligation under </w:t>
      </w:r>
      <w:r w:rsidR="00D5278C">
        <w:br/>
      </w:r>
      <w:r w:rsidRPr="00BE3814">
        <w:t xml:space="preserve">article 3 </w:t>
      </w:r>
      <w:r w:rsidR="00532982">
        <w:t xml:space="preserve">(1) </w:t>
      </w:r>
      <w:r w:rsidRPr="00BE3814">
        <w:t xml:space="preserve">of the Convention not to expel or to return </w:t>
      </w:r>
      <w:r>
        <w:t>(</w:t>
      </w:r>
      <w:r w:rsidR="00532982">
        <w:t>“</w:t>
      </w:r>
      <w:r w:rsidRPr="00532982">
        <w:t>refouler</w:t>
      </w:r>
      <w:r w:rsidR="00532982">
        <w:t>”</w:t>
      </w:r>
      <w:r>
        <w:t xml:space="preserve">) </w:t>
      </w:r>
      <w:r w:rsidRPr="00BE3814">
        <w:t>a person to another State where there are substantial grounds for believing that he would be in danger of being subjected to torture.</w:t>
      </w:r>
    </w:p>
    <w:p w14:paraId="58DE7332" w14:textId="77777777" w:rsidR="00435DFE" w:rsidRPr="00BE3814" w:rsidRDefault="00435DFE" w:rsidP="00532982">
      <w:pPr>
        <w:pStyle w:val="SingleTxtG"/>
      </w:pPr>
      <w:r>
        <w:t>7</w:t>
      </w:r>
      <w:r w:rsidRPr="00BE3814">
        <w:t>.3</w:t>
      </w:r>
      <w:r w:rsidRPr="00BE3814">
        <w:tab/>
        <w:t xml:space="preserve">The Committee must evaluate whether there are substantial grounds for believing that the complainant would be personally in danger of being subjected to torture upon return to </w:t>
      </w:r>
      <w:r>
        <w:t xml:space="preserve">Afghanistan. </w:t>
      </w:r>
      <w:r w:rsidRPr="00BE3814">
        <w:t>In assessing th</w:t>
      </w:r>
      <w:r w:rsidR="00532982">
        <w:t>at</w:t>
      </w:r>
      <w:r w:rsidRPr="00BE3814">
        <w:t xml:space="preserve"> risk, the Committee must take into account all relevant considerations, including the existence </w:t>
      </w:r>
      <w:r w:rsidR="00532982">
        <w:t xml:space="preserve">in the State concerned </w:t>
      </w:r>
      <w:r w:rsidRPr="00BE3814">
        <w:t xml:space="preserve">of a consistent pattern of gross, flagrant or mass violations of human rights. However, the Committee recalls that the aim of such determination is to establish whether the individual concerned would be personally at a foreseeable and real risk of being subjected to torture in the country to which he or she would return. It follows that the existence of a pattern of gross, flagrant or mass violations of human rights in a country does not as such constitute sufficient reason for determining that a particular person would be in danger of being subjected to torture on return to that country; additional grounds must be adduced to show that the individual concerned would be </w:t>
      </w:r>
      <w:r w:rsidR="00615592">
        <w:t>“</w:t>
      </w:r>
      <w:r w:rsidRPr="00BE3814">
        <w:t>personally</w:t>
      </w:r>
      <w:r w:rsidR="00615592">
        <w:t>”</w:t>
      </w:r>
      <w:r w:rsidRPr="00BE3814">
        <w:t xml:space="preserve"> at risk. </w:t>
      </w:r>
      <w:r w:rsidRPr="00435E17">
        <w:t>Conversely</w:t>
      </w:r>
      <w:r w:rsidRPr="00BE3814">
        <w:t>, the absence of a consistent pattern of flagrant violations of human rights does not mean that a person might not be subjected to torture in his or her specific circumstances.</w:t>
      </w:r>
    </w:p>
    <w:p w14:paraId="68F63913" w14:textId="77777777" w:rsidR="00435DFE" w:rsidRPr="00BE3814" w:rsidRDefault="006068A7" w:rsidP="00814007">
      <w:pPr>
        <w:pStyle w:val="SingleTxtG"/>
      </w:pPr>
      <w:r>
        <w:t>7</w:t>
      </w:r>
      <w:r w:rsidR="00435DFE" w:rsidRPr="00BE3814">
        <w:t>.4</w:t>
      </w:r>
      <w:r w:rsidR="00435DFE" w:rsidRPr="00BE3814">
        <w:tab/>
        <w:t>The Committee recalls its general comment No. 1 (1997)</w:t>
      </w:r>
      <w:r w:rsidR="00814007">
        <w:t xml:space="preserve"> </w:t>
      </w:r>
      <w:r w:rsidR="00435DFE" w:rsidRPr="00BE3814">
        <w:t xml:space="preserve">on the implementation of article 3 of the Convention, </w:t>
      </w:r>
      <w:r w:rsidR="00F95847">
        <w:t xml:space="preserve">in which it states </w:t>
      </w:r>
      <w:r w:rsidR="00435DFE" w:rsidRPr="00BE3814">
        <w:t xml:space="preserve">that the risk of torture must be assessed on grounds that go beyond mere theory or suspicion. </w:t>
      </w:r>
      <w:r w:rsidR="00F95847">
        <w:t xml:space="preserve">Although </w:t>
      </w:r>
      <w:r w:rsidR="00435DFE" w:rsidRPr="00BE3814">
        <w:t xml:space="preserve">the risk does not have to meet the test of being highly probable, </w:t>
      </w:r>
      <w:r w:rsidR="00F95847">
        <w:t>the Committee recalls that the burden of proof normally falls upon the complainant, who must present an arguable case establishing that he or she runs a “foreseeable, real and personal” risk.</w:t>
      </w:r>
      <w:r w:rsidR="00F95847">
        <w:rPr>
          <w:rStyle w:val="FootnoteReference"/>
        </w:rPr>
        <w:footnoteReference w:id="23"/>
      </w:r>
      <w:r w:rsidR="00F95847">
        <w:t xml:space="preserve"> </w:t>
      </w:r>
      <w:r w:rsidR="00550958">
        <w:t xml:space="preserve">The Committee </w:t>
      </w:r>
      <w:r w:rsidR="00814007">
        <w:t xml:space="preserve">also </w:t>
      </w:r>
      <w:r w:rsidR="00550958">
        <w:t xml:space="preserve">recalls that, under the terms of its general comment No. 1, it gives considerable weight to findings of fact made by </w:t>
      </w:r>
      <w:r w:rsidR="00814007">
        <w:t xml:space="preserve">the </w:t>
      </w:r>
      <w:r w:rsidR="00550958">
        <w:t>organs of the State party concerned, while at the same time</w:t>
      </w:r>
      <w:r w:rsidR="00814007">
        <w:t>,</w:t>
      </w:r>
      <w:r w:rsidR="00550958">
        <w:t xml:space="preserve"> it is not bound by such findings and instead ha</w:t>
      </w:r>
      <w:r w:rsidR="00814007">
        <w:t>s</w:t>
      </w:r>
      <w:r w:rsidR="00550958">
        <w:t xml:space="preserve"> the power, provided by article 22</w:t>
      </w:r>
      <w:r w:rsidR="00814007">
        <w:t xml:space="preserve"> (</w:t>
      </w:r>
      <w:r w:rsidR="00550958">
        <w:t>4</w:t>
      </w:r>
      <w:r w:rsidR="00814007">
        <w:t>)</w:t>
      </w:r>
      <w:r w:rsidR="00550958">
        <w:t xml:space="preserve"> of the Convention, </w:t>
      </w:r>
      <w:r w:rsidR="00814007">
        <w:t xml:space="preserve">to </w:t>
      </w:r>
      <w:r w:rsidR="00550958">
        <w:t>free</w:t>
      </w:r>
      <w:r w:rsidR="00814007">
        <w:t>ly</w:t>
      </w:r>
      <w:r w:rsidR="00550958">
        <w:t xml:space="preserve"> assess the facts based on the full set of circumstances in every case.</w:t>
      </w:r>
      <w:r w:rsidR="00FD44CF">
        <w:t xml:space="preserve"> </w:t>
      </w:r>
    </w:p>
    <w:p w14:paraId="48F88E08" w14:textId="77777777" w:rsidR="001C5995" w:rsidRDefault="00550958" w:rsidP="00814007">
      <w:pPr>
        <w:pStyle w:val="SingleTxtG"/>
      </w:pPr>
      <w:r>
        <w:t>7</w:t>
      </w:r>
      <w:r w:rsidR="00435DFE" w:rsidRPr="00BE3814">
        <w:t>.5</w:t>
      </w:r>
      <w:r w:rsidR="00435DFE" w:rsidRPr="00BE3814">
        <w:tab/>
      </w:r>
      <w:r w:rsidR="00083FC1">
        <w:t xml:space="preserve">The Committee notes that the complainant claims </w:t>
      </w:r>
      <w:r w:rsidR="00083FC1" w:rsidRPr="00550958">
        <w:t xml:space="preserve">that </w:t>
      </w:r>
      <w:r w:rsidR="00083FC1">
        <w:t xml:space="preserve">he had been kidnapped twice by the Taliban in the past, </w:t>
      </w:r>
      <w:r w:rsidR="00083FC1" w:rsidRPr="005C10D9">
        <w:t>subjected to physical abuse</w:t>
      </w:r>
      <w:r w:rsidR="00814007">
        <w:t>,</w:t>
      </w:r>
      <w:r w:rsidR="00083FC1" w:rsidRPr="005C10D9">
        <w:t xml:space="preserve"> including </w:t>
      </w:r>
      <w:r w:rsidR="00083FC1">
        <w:t>o</w:t>
      </w:r>
      <w:r w:rsidR="00083FC1" w:rsidRPr="005C10D9">
        <w:t xml:space="preserve">f a sexual nature, and that the Taliban had </w:t>
      </w:r>
      <w:r w:rsidR="00A7059A">
        <w:t xml:space="preserve">asked </w:t>
      </w:r>
      <w:r w:rsidR="00083FC1" w:rsidRPr="005C10D9">
        <w:t>him to participate in jihad.</w:t>
      </w:r>
      <w:r w:rsidR="00083FC1">
        <w:t xml:space="preserve"> He also claimed </w:t>
      </w:r>
      <w:r w:rsidR="00083FC1" w:rsidRPr="00726890">
        <w:t>that he w</w:t>
      </w:r>
      <w:r w:rsidR="00814007">
        <w:t>ould</w:t>
      </w:r>
      <w:r w:rsidR="00083FC1" w:rsidRPr="00726890">
        <w:t xml:space="preserve"> fac</w:t>
      </w:r>
      <w:r w:rsidR="00814007">
        <w:t>e</w:t>
      </w:r>
      <w:r w:rsidR="00083FC1" w:rsidRPr="00726890">
        <w:t xml:space="preserve"> a personal and real risk of being subjected to torture or other inhuman or degrading treatment by the Taliban </w:t>
      </w:r>
      <w:r w:rsidR="00083FC1">
        <w:t xml:space="preserve">if returned to Afghanistan. The Committee also notes the State party’s submission </w:t>
      </w:r>
      <w:r w:rsidR="00083FC1" w:rsidRPr="00726890">
        <w:t xml:space="preserve">that the </w:t>
      </w:r>
      <w:r w:rsidR="00814007">
        <w:t xml:space="preserve">Danish Appeals </w:t>
      </w:r>
      <w:r w:rsidR="00083FC1">
        <w:t xml:space="preserve">Board found that </w:t>
      </w:r>
      <w:r w:rsidR="00083FC1" w:rsidRPr="00726890">
        <w:t>complainant had failed to substantiate his grounds for seeking asylum</w:t>
      </w:r>
      <w:r w:rsidR="00083FC1">
        <w:t xml:space="preserve"> as his </w:t>
      </w:r>
      <w:r w:rsidR="00083FC1" w:rsidRPr="00726890">
        <w:t xml:space="preserve">statements </w:t>
      </w:r>
      <w:r w:rsidR="00083FC1">
        <w:t xml:space="preserve">regarding the kidnappings </w:t>
      </w:r>
      <w:r w:rsidR="00083FC1" w:rsidRPr="00726890">
        <w:t>had been inconsistent and elaborative</w:t>
      </w:r>
      <w:r w:rsidR="00814007">
        <w:t>,</w:t>
      </w:r>
      <w:r w:rsidR="00083FC1" w:rsidRPr="00DF7D64">
        <w:t xml:space="preserve"> </w:t>
      </w:r>
      <w:r w:rsidR="00814007">
        <w:t xml:space="preserve">that </w:t>
      </w:r>
      <w:r w:rsidR="00083FC1" w:rsidRPr="00DF7D64">
        <w:t xml:space="preserve">it considered </w:t>
      </w:r>
      <w:r w:rsidR="00814007">
        <w:t xml:space="preserve">it </w:t>
      </w:r>
      <w:r w:rsidR="00083FC1" w:rsidRPr="00DF7D64">
        <w:t>unlikely that the Taliban would have subjected the complainant to torture and sexual abuse during the entire detention of 22 days if</w:t>
      </w:r>
      <w:r w:rsidR="00814007">
        <w:t>, as he had stated,</w:t>
      </w:r>
      <w:r w:rsidR="00083FC1" w:rsidRPr="00DF7D64">
        <w:t xml:space="preserve"> he had accepted </w:t>
      </w:r>
      <w:r w:rsidR="00814007">
        <w:t xml:space="preserve">to </w:t>
      </w:r>
      <w:r w:rsidR="00083FC1" w:rsidRPr="00DF7D64">
        <w:t>participat</w:t>
      </w:r>
      <w:r w:rsidR="00814007">
        <w:t>e</w:t>
      </w:r>
      <w:r w:rsidR="00083FC1" w:rsidRPr="00DF7D64">
        <w:t xml:space="preserve"> in jihad from the beginning and that the Taliban had nevertheless released </w:t>
      </w:r>
      <w:r w:rsidR="00814007">
        <w:t xml:space="preserve">the complainant </w:t>
      </w:r>
      <w:r w:rsidR="00083FC1" w:rsidRPr="00DF7D64">
        <w:t>against payment of ransom.</w:t>
      </w:r>
      <w:r w:rsidR="00083FC1">
        <w:t xml:space="preserve"> </w:t>
      </w:r>
    </w:p>
    <w:p w14:paraId="026D939D" w14:textId="77777777" w:rsidR="00083FC1" w:rsidRDefault="003D7CCC" w:rsidP="00F54C3A">
      <w:pPr>
        <w:pStyle w:val="SingleTxtG"/>
        <w:rPr>
          <w:bCs/>
          <w:lang w:val="en-US"/>
        </w:rPr>
      </w:pPr>
      <w:r>
        <w:t>7.6</w:t>
      </w:r>
      <w:r>
        <w:tab/>
      </w:r>
      <w:r w:rsidR="00083FC1">
        <w:t>The Committee notes the complainant’s claims that the State party failed to carry out an independent medical assessment of his allegations of abuse and torture</w:t>
      </w:r>
      <w:r w:rsidR="00F54C3A">
        <w:t xml:space="preserve">. It also notes </w:t>
      </w:r>
      <w:r w:rsidR="00083FC1">
        <w:t xml:space="preserve">the State party’s response that such an examination </w:t>
      </w:r>
      <w:r w:rsidR="00083FC1" w:rsidRPr="00F27BDB">
        <w:t>was not relevant because</w:t>
      </w:r>
      <w:r w:rsidR="00F54C3A">
        <w:t>,</w:t>
      </w:r>
      <w:r w:rsidR="00083FC1" w:rsidRPr="00F27BDB">
        <w:t xml:space="preserve"> whatever its outcome</w:t>
      </w:r>
      <w:r w:rsidR="00F54C3A">
        <w:t>,</w:t>
      </w:r>
      <w:r w:rsidR="00083FC1" w:rsidRPr="00F27BDB">
        <w:t xml:space="preserve"> </w:t>
      </w:r>
      <w:r w:rsidR="00F54C3A">
        <w:t xml:space="preserve"> it</w:t>
      </w:r>
      <w:r w:rsidR="00083FC1" w:rsidRPr="00F27BDB">
        <w:t xml:space="preserve"> could not serve to prove that the complainant had been subjected to abuse </w:t>
      </w:r>
      <w:r w:rsidR="00F54C3A">
        <w:t xml:space="preserve">specifically </w:t>
      </w:r>
      <w:r w:rsidR="00083FC1" w:rsidRPr="00F27BDB">
        <w:t>by the Taliban</w:t>
      </w:r>
      <w:r w:rsidR="00083FC1">
        <w:t xml:space="preserve">. In particular, the Committee takes into account the State party’s allegations of </w:t>
      </w:r>
      <w:r w:rsidR="00083FC1" w:rsidRPr="00E40D05">
        <w:t>inconsisten</w:t>
      </w:r>
      <w:r w:rsidR="00F54C3A">
        <w:t>cy in the</w:t>
      </w:r>
      <w:r w:rsidR="00083FC1" w:rsidRPr="00E40D05">
        <w:t xml:space="preserve"> </w:t>
      </w:r>
      <w:r w:rsidR="00083FC1">
        <w:t>complainant and his spouse</w:t>
      </w:r>
      <w:r w:rsidR="00F54C3A">
        <w:t>’s statements</w:t>
      </w:r>
      <w:r w:rsidR="00083FC1">
        <w:t xml:space="preserve"> </w:t>
      </w:r>
      <w:r w:rsidR="00083FC1" w:rsidRPr="00E40D05">
        <w:t>about the scope of the injuries suffered by the complainant as a consequence of the abuse</w:t>
      </w:r>
      <w:r w:rsidR="00F54C3A">
        <w:t>,</w:t>
      </w:r>
      <w:r w:rsidR="00083FC1">
        <w:t xml:space="preserve"> and </w:t>
      </w:r>
      <w:r w:rsidR="00F54C3A">
        <w:t xml:space="preserve">the State party’s </w:t>
      </w:r>
      <w:r w:rsidR="00083FC1">
        <w:t xml:space="preserve">overall lack of credibility of the complainant’s story, in particular as regards the purpose of kidnapping and whether </w:t>
      </w:r>
      <w:r w:rsidR="00F54C3A">
        <w:t xml:space="preserve">it was the Taliban who had kidnapped </w:t>
      </w:r>
      <w:r w:rsidR="00083FC1">
        <w:t xml:space="preserve">the complainant and </w:t>
      </w:r>
      <w:r w:rsidR="00083FC1" w:rsidRPr="00037AE1">
        <w:t xml:space="preserve">subjected </w:t>
      </w:r>
      <w:r w:rsidR="00F54C3A">
        <w:t xml:space="preserve">him </w:t>
      </w:r>
      <w:r w:rsidR="00083FC1" w:rsidRPr="00037AE1">
        <w:t>to abuse in connection</w:t>
      </w:r>
      <w:r w:rsidR="00F54C3A">
        <w:t xml:space="preserve"> with that purpose</w:t>
      </w:r>
      <w:r w:rsidR="00083FC1" w:rsidRPr="00037AE1">
        <w:t>.</w:t>
      </w:r>
    </w:p>
    <w:p w14:paraId="40C4A52F" w14:textId="77777777" w:rsidR="003D7CCC" w:rsidRDefault="001C5995" w:rsidP="00F54C3A">
      <w:pPr>
        <w:pStyle w:val="SingleTxtG"/>
      </w:pPr>
      <w:r w:rsidRPr="00266E00">
        <w:t>7.</w:t>
      </w:r>
      <w:r w:rsidR="00A7059A">
        <w:t>7</w:t>
      </w:r>
      <w:r w:rsidRPr="00266E00">
        <w:tab/>
      </w:r>
      <w:r w:rsidR="00083FC1">
        <w:rPr>
          <w:bCs/>
          <w:lang w:val="en-US"/>
        </w:rPr>
        <w:t>T</w:t>
      </w:r>
      <w:r w:rsidR="00083FC1" w:rsidRPr="00533535">
        <w:rPr>
          <w:bCs/>
          <w:lang w:val="en-US"/>
        </w:rPr>
        <w:t>he Committee observes that</w:t>
      </w:r>
      <w:r w:rsidR="00F54C3A">
        <w:rPr>
          <w:bCs/>
          <w:lang w:val="en-US"/>
        </w:rPr>
        <w:t>,</w:t>
      </w:r>
      <w:r w:rsidR="00083FC1" w:rsidRPr="00533535">
        <w:rPr>
          <w:bCs/>
          <w:lang w:val="en-US"/>
        </w:rPr>
        <w:t xml:space="preserve"> </w:t>
      </w:r>
      <w:r w:rsidR="00083FC1">
        <w:rPr>
          <w:bCs/>
          <w:lang w:val="en-US"/>
        </w:rPr>
        <w:t>e</w:t>
      </w:r>
      <w:r w:rsidR="00083FC1" w:rsidRPr="00533535">
        <w:rPr>
          <w:bCs/>
          <w:lang w:val="en-US"/>
        </w:rPr>
        <w:t xml:space="preserve">ven assuming that the complainant </w:t>
      </w:r>
      <w:r w:rsidR="00083FC1">
        <w:rPr>
          <w:bCs/>
          <w:lang w:val="en-US"/>
        </w:rPr>
        <w:t>had been tortured</w:t>
      </w:r>
      <w:r w:rsidR="00083FC1" w:rsidRPr="00533535">
        <w:rPr>
          <w:bCs/>
          <w:lang w:val="en-US"/>
        </w:rPr>
        <w:t xml:space="preserve">, the alleged instances of torture </w:t>
      </w:r>
      <w:r w:rsidR="00083FC1">
        <w:rPr>
          <w:bCs/>
          <w:lang w:val="en-US"/>
        </w:rPr>
        <w:t xml:space="preserve">did not occur in </w:t>
      </w:r>
      <w:r w:rsidR="00083FC1" w:rsidRPr="00533535">
        <w:rPr>
          <w:bCs/>
          <w:lang w:val="en-US"/>
        </w:rPr>
        <w:t>the recent past</w:t>
      </w:r>
      <w:r w:rsidR="00AA3899">
        <w:rPr>
          <w:rStyle w:val="FootnoteReference"/>
          <w:bCs/>
          <w:lang w:val="en-US"/>
        </w:rPr>
        <w:footnoteReference w:id="24"/>
      </w:r>
      <w:r w:rsidR="00083FC1">
        <w:rPr>
          <w:bCs/>
          <w:lang w:val="en-US"/>
        </w:rPr>
        <w:t xml:space="preserve"> and </w:t>
      </w:r>
      <w:r>
        <w:t>the question is whether he currently runs a risk of torture if returned to Afghanistan. It does not necessarily follow that, several years after the alleged events occurred, he would still be at risk of being subjected to torture if returned to h</w:t>
      </w:r>
      <w:r w:rsidRPr="00266E00">
        <w:t>is</w:t>
      </w:r>
      <w:r>
        <w:t xml:space="preserve"> country of origin</w:t>
      </w:r>
      <w:r w:rsidR="00F54C3A">
        <w:t>. T</w:t>
      </w:r>
      <w:r w:rsidR="003D7CCC">
        <w:t>he Committee</w:t>
      </w:r>
      <w:r w:rsidR="00F54C3A">
        <w:t xml:space="preserve"> also</w:t>
      </w:r>
      <w:r w:rsidR="003D7CCC">
        <w:t xml:space="preserve"> observes that the complainant has not adduced any evidence that the Afghan authorities or </w:t>
      </w:r>
      <w:r w:rsidR="00F54C3A">
        <w:t>his</w:t>
      </w:r>
      <w:r w:rsidR="003D7CCC">
        <w:t xml:space="preserve"> alleged torturers </w:t>
      </w:r>
      <w:r w:rsidR="00AB3C2A">
        <w:t>h</w:t>
      </w:r>
      <w:r w:rsidR="003D7CCC">
        <w:t>ad been looking for him in the recent past.</w:t>
      </w:r>
    </w:p>
    <w:p w14:paraId="5301C9ED" w14:textId="77777777" w:rsidR="003D7CCC" w:rsidRDefault="003D7CCC" w:rsidP="003215E4">
      <w:pPr>
        <w:pStyle w:val="SingleTxtG"/>
      </w:pPr>
      <w:r>
        <w:t>7.</w:t>
      </w:r>
      <w:r w:rsidR="00A7059A">
        <w:t>8</w:t>
      </w:r>
      <w:r>
        <w:tab/>
      </w:r>
      <w:r w:rsidR="001C5995">
        <w:t>The Committee note</w:t>
      </w:r>
      <w:r w:rsidR="00F54C3A">
        <w:t>s</w:t>
      </w:r>
      <w:r w:rsidR="001C5995">
        <w:t xml:space="preserve"> the </w:t>
      </w:r>
      <w:r w:rsidR="00F54C3A">
        <w:t xml:space="preserve">complainant’s </w:t>
      </w:r>
      <w:r w:rsidR="001C5995">
        <w:t xml:space="preserve">claim that </w:t>
      </w:r>
      <w:r w:rsidR="00F54C3A">
        <w:t>he</w:t>
      </w:r>
      <w:r w:rsidR="001C5995">
        <w:t xml:space="preserve"> would </w:t>
      </w:r>
      <w:r w:rsidR="00F54C3A">
        <w:t xml:space="preserve">risk </w:t>
      </w:r>
      <w:r w:rsidR="001C5995">
        <w:t>be</w:t>
      </w:r>
      <w:r w:rsidR="00F54C3A">
        <w:t>ing subjected to</w:t>
      </w:r>
      <w:r w:rsidR="001C5995">
        <w:t xml:space="preserve"> torture if deported to Afghanistan, because the Taliban would again attempt to recruit him for their cause. </w:t>
      </w:r>
      <w:r w:rsidR="00CA11A3">
        <w:t>The Committee also notes the State party’s submission that it cannot be found as a fact that the complainant had been kidnapped by the Taliban and that it perceive</w:t>
      </w:r>
      <w:r w:rsidR="003215E4">
        <w:t>s</w:t>
      </w:r>
      <w:r w:rsidR="00CA11A3">
        <w:t xml:space="preserve"> the kidnapping as an isolated criminal act. </w:t>
      </w:r>
      <w:r>
        <w:t xml:space="preserve">The Committee observes that no material </w:t>
      </w:r>
      <w:r w:rsidR="003215E4">
        <w:t>i</w:t>
      </w:r>
      <w:r>
        <w:t xml:space="preserve">n the file </w:t>
      </w:r>
      <w:r w:rsidR="003215E4">
        <w:t>allows</w:t>
      </w:r>
      <w:r>
        <w:t xml:space="preserve"> it to establish that the complainant ha</w:t>
      </w:r>
      <w:r w:rsidR="003215E4">
        <w:t>d</w:t>
      </w:r>
      <w:r>
        <w:t xml:space="preserve"> been subjected to torture by State authorities or that the complainant </w:t>
      </w:r>
      <w:r w:rsidRPr="00B30978">
        <w:t>w</w:t>
      </w:r>
      <w:r w:rsidR="003215E4">
        <w:t>ould</w:t>
      </w:r>
      <w:r w:rsidRPr="00B30978">
        <w:t xml:space="preserve"> be unable to obtain the protection of the Afghan </w:t>
      </w:r>
      <w:r>
        <w:t>authorities</w:t>
      </w:r>
      <w:r w:rsidRPr="003D7CCC">
        <w:t xml:space="preserve"> </w:t>
      </w:r>
      <w:r>
        <w:t>against the risk of torture, over six years after the alleged abuse and torture  occurred.</w:t>
      </w:r>
      <w:r w:rsidR="00FD44CF">
        <w:t xml:space="preserve">  </w:t>
      </w:r>
    </w:p>
    <w:p w14:paraId="06AC6F61" w14:textId="77777777" w:rsidR="00083FC1" w:rsidRDefault="00E81380">
      <w:pPr>
        <w:pStyle w:val="SingleTxtG"/>
        <w:rPr>
          <w:color w:val="000000"/>
          <w:lang w:eastAsia="en-GB"/>
        </w:rPr>
      </w:pPr>
      <w:r>
        <w:t>7.</w:t>
      </w:r>
      <w:r w:rsidR="00A7059A">
        <w:t>9</w:t>
      </w:r>
      <w:r>
        <w:tab/>
      </w:r>
      <w:r w:rsidR="00083FC1">
        <w:t xml:space="preserve">The Committee recalls </w:t>
      </w:r>
      <w:r w:rsidR="005E75FA">
        <w:t>its</w:t>
      </w:r>
      <w:r w:rsidR="00083FC1">
        <w:t xml:space="preserve"> general comment No. 1, according to which the burden of presenting an arguable case lies with the author of a communication.</w:t>
      </w:r>
      <w:r w:rsidR="00D5278C">
        <w:rPr>
          <w:rStyle w:val="FootnoteReference"/>
        </w:rPr>
        <w:footnoteReference w:id="25"/>
      </w:r>
      <w:r w:rsidR="00083FC1">
        <w:t xml:space="preserve"> In the Committee’s opinion, the complainant has not discharged th</w:t>
      </w:r>
      <w:r w:rsidR="00E43C7E">
        <w:t>at</w:t>
      </w:r>
      <w:r w:rsidR="00083FC1">
        <w:t xml:space="preserve"> burden of proof.</w:t>
      </w:r>
      <w:r w:rsidR="00AA3899">
        <w:rPr>
          <w:rStyle w:val="FootnoteReference"/>
        </w:rPr>
        <w:footnoteReference w:id="26"/>
      </w:r>
      <w:r w:rsidR="00083FC1" w:rsidRPr="002D65E5">
        <w:t xml:space="preserve"> </w:t>
      </w:r>
      <w:r w:rsidR="00083FC1">
        <w:rPr>
          <w:color w:val="000000"/>
          <w:lang w:eastAsia="en-GB"/>
        </w:rPr>
        <w:t>Further, the complainant has not demonstrated that the authorities of the State party,</w:t>
      </w:r>
      <w:r w:rsidR="00E43C7E">
        <w:rPr>
          <w:color w:val="000000"/>
          <w:lang w:eastAsia="en-GB"/>
        </w:rPr>
        <w:t xml:space="preserve"> in this case, Denmark,</w:t>
      </w:r>
      <w:r w:rsidR="00083FC1">
        <w:rPr>
          <w:color w:val="000000"/>
          <w:lang w:eastAsia="en-GB"/>
        </w:rPr>
        <w:t xml:space="preserve"> failed to conduct a proper investigation into his allegations.</w:t>
      </w:r>
    </w:p>
    <w:p w14:paraId="20398D65" w14:textId="77777777" w:rsidR="00626102" w:rsidRPr="0001609F" w:rsidRDefault="00626102" w:rsidP="00E43C7E">
      <w:pPr>
        <w:pStyle w:val="SingleTxtG"/>
        <w:rPr>
          <w:lang w:val="en-US"/>
        </w:rPr>
      </w:pPr>
      <w:r>
        <w:t>8.</w:t>
      </w:r>
      <w:r w:rsidR="00E81380">
        <w:tab/>
        <w:t xml:space="preserve"> </w:t>
      </w:r>
      <w:r w:rsidRPr="0001609F">
        <w:rPr>
          <w:lang w:val="en-US"/>
        </w:rPr>
        <w:t>The Committee therefore concludes that the complainant ha</w:t>
      </w:r>
      <w:r>
        <w:rPr>
          <w:lang w:val="en-US"/>
        </w:rPr>
        <w:t>s</w:t>
      </w:r>
      <w:r w:rsidRPr="0001609F">
        <w:rPr>
          <w:lang w:val="en-US"/>
        </w:rPr>
        <w:t xml:space="preserve"> not adduced sufficient</w:t>
      </w:r>
      <w:r w:rsidR="00E43C7E">
        <w:rPr>
          <w:lang w:val="en-US"/>
        </w:rPr>
        <w:t xml:space="preserve"> </w:t>
      </w:r>
      <w:r w:rsidRPr="0001609F">
        <w:rPr>
          <w:lang w:val="en-US"/>
        </w:rPr>
        <w:t xml:space="preserve"> grounds </w:t>
      </w:r>
      <w:r w:rsidR="00E43C7E">
        <w:rPr>
          <w:lang w:val="en-US"/>
        </w:rPr>
        <w:t xml:space="preserve">to enable it to </w:t>
      </w:r>
      <w:r w:rsidRPr="0001609F">
        <w:rPr>
          <w:lang w:val="en-US"/>
        </w:rPr>
        <w:t>believ</w:t>
      </w:r>
      <w:r w:rsidR="00E43C7E">
        <w:rPr>
          <w:lang w:val="en-US"/>
        </w:rPr>
        <w:t>e</w:t>
      </w:r>
      <w:r w:rsidRPr="0001609F">
        <w:rPr>
          <w:lang w:val="en-US"/>
        </w:rPr>
        <w:t xml:space="preserve"> that he would run a </w:t>
      </w:r>
      <w:r>
        <w:rPr>
          <w:lang w:val="en-US"/>
        </w:rPr>
        <w:t xml:space="preserve">real, foreseeable, </w:t>
      </w:r>
      <w:r w:rsidRPr="0001609F">
        <w:rPr>
          <w:lang w:val="en-US"/>
        </w:rPr>
        <w:t xml:space="preserve">personal and present risk of being subjected to torture upon return to </w:t>
      </w:r>
      <w:r>
        <w:rPr>
          <w:lang w:val="en-US"/>
        </w:rPr>
        <w:t>Afghanistan</w:t>
      </w:r>
      <w:r w:rsidRPr="0001609F">
        <w:rPr>
          <w:lang w:val="en-US"/>
        </w:rPr>
        <w:t>.</w:t>
      </w:r>
    </w:p>
    <w:p w14:paraId="5AF21529" w14:textId="77777777" w:rsidR="00EC7ABC" w:rsidRDefault="00626102" w:rsidP="00D0457B">
      <w:pPr>
        <w:pStyle w:val="SingleTxtG"/>
        <w:rPr>
          <w:kern w:val="3"/>
          <w:u w:val="single"/>
          <w:lang w:eastAsia="zh-CN"/>
        </w:rPr>
      </w:pPr>
      <w:r>
        <w:t>9.</w:t>
      </w:r>
      <w:r w:rsidR="00C4366A">
        <w:tab/>
      </w:r>
      <w:r w:rsidR="004B7D29">
        <w:t>The Committee against Torture, acting under article 22</w:t>
      </w:r>
      <w:r w:rsidR="00E43C7E">
        <w:t xml:space="preserve"> (</w:t>
      </w:r>
      <w:r w:rsidR="004B7D29">
        <w:t>7</w:t>
      </w:r>
      <w:r w:rsidR="00E43C7E">
        <w:t>)</w:t>
      </w:r>
      <w:r w:rsidR="004B7D29">
        <w:t xml:space="preserve"> of the Convention against Torture and Other Cruel, Inhuman or Degrading Treatment or Punishment, concludes that the complainant’s removal to Afghanistan by the State party would not constitute </w:t>
      </w:r>
      <w:r w:rsidR="00C4366A">
        <w:t xml:space="preserve">a breach of article 3 of the Convention. </w:t>
      </w:r>
    </w:p>
    <w:p w14:paraId="1422ABF3" w14:textId="77777777" w:rsidR="00F164D6" w:rsidRPr="00F164D6" w:rsidRDefault="00861B73" w:rsidP="00CA7A6D">
      <w:pPr>
        <w:autoSpaceDN w:val="0"/>
        <w:spacing w:after="120"/>
        <w:jc w:val="center"/>
        <w:textAlignment w:val="baseline"/>
        <w:rPr>
          <w:lang w:eastAsia="zh-CN"/>
        </w:rPr>
      </w:pPr>
      <w:r w:rsidRPr="00861B73">
        <w:rPr>
          <w:kern w:val="3"/>
          <w:u w:val="single"/>
          <w:lang w:eastAsia="zh-CN"/>
        </w:rPr>
        <w:tab/>
      </w:r>
      <w:r w:rsidRPr="00861B73">
        <w:rPr>
          <w:kern w:val="3"/>
          <w:u w:val="single"/>
          <w:lang w:eastAsia="zh-CN"/>
        </w:rPr>
        <w:tab/>
      </w:r>
      <w:r w:rsidRPr="00861B73">
        <w:rPr>
          <w:kern w:val="3"/>
          <w:u w:val="single"/>
          <w:lang w:eastAsia="zh-CN"/>
        </w:rPr>
        <w:tab/>
      </w:r>
    </w:p>
    <w:p w14:paraId="112B4BE4" w14:textId="77777777" w:rsidR="00823AF6" w:rsidRPr="00BA2138" w:rsidRDefault="00823AF6" w:rsidP="00861B73">
      <w:pPr>
        <w:pStyle w:val="SingleTxtG"/>
      </w:pPr>
    </w:p>
    <w:sectPr w:rsidR="00823AF6" w:rsidRPr="00BA2138" w:rsidSect="004335C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0-14T14:59:00Z" w:initials="Start">
    <w:p w14:paraId="2CC67C54" w14:textId="77777777" w:rsidR="004335CD" w:rsidRDefault="004335C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NO&gt;&gt;N1523585E&lt;&lt;ODS JOB NO&gt;&gt;</w:t>
      </w:r>
    </w:p>
    <w:p w14:paraId="559C7FCD" w14:textId="77777777" w:rsidR="004335CD" w:rsidRDefault="004335CD">
      <w:pPr>
        <w:pStyle w:val="CommentText"/>
      </w:pPr>
      <w:r>
        <w:t>&lt;&lt;ODS DOC SYMBOL1&gt;&gt;CAT/C/55/D/571/2013&lt;&lt;ODS DOC SYMBOL1&gt;&gt;</w:t>
      </w:r>
    </w:p>
    <w:p w14:paraId="6FDFBAC7" w14:textId="77777777" w:rsidR="004335CD" w:rsidRDefault="004335C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DFBA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23CD" w14:textId="77777777" w:rsidR="000C00DE" w:rsidRDefault="000C00DE"/>
  </w:endnote>
  <w:endnote w:type="continuationSeparator" w:id="0">
    <w:p w14:paraId="7DD4C9D8" w14:textId="77777777" w:rsidR="000C00DE" w:rsidRDefault="000C00DE"/>
  </w:endnote>
  <w:endnote w:type="continuationNotice" w:id="1">
    <w:p w14:paraId="141A97A4" w14:textId="77777777" w:rsidR="000C00DE" w:rsidRDefault="000C0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A431A" w14:textId="77777777" w:rsidR="00814007" w:rsidRPr="00A511AC" w:rsidRDefault="00814007" w:rsidP="00A511AC">
    <w:pPr>
      <w:pStyle w:val="Footer"/>
      <w:tabs>
        <w:tab w:val="right" w:pos="9638"/>
      </w:tabs>
    </w:pPr>
    <w:r w:rsidRPr="00A511AC">
      <w:rPr>
        <w:b/>
        <w:sz w:val="18"/>
      </w:rPr>
      <w:fldChar w:fldCharType="begin"/>
    </w:r>
    <w:r w:rsidRPr="00A511AC">
      <w:rPr>
        <w:b/>
        <w:sz w:val="18"/>
      </w:rPr>
      <w:instrText xml:space="preserve"> PAGE  \* MERGEFORMAT </w:instrText>
    </w:r>
    <w:r w:rsidRPr="00A511AC">
      <w:rPr>
        <w:b/>
        <w:sz w:val="18"/>
      </w:rPr>
      <w:fldChar w:fldCharType="separate"/>
    </w:r>
    <w:r w:rsidR="007868DE">
      <w:rPr>
        <w:b/>
        <w:noProof/>
        <w:sz w:val="18"/>
      </w:rPr>
      <w:t>2</w:t>
    </w:r>
    <w:r w:rsidRPr="00A511AC">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A9482" w14:textId="77777777" w:rsidR="00814007" w:rsidRPr="00A511AC" w:rsidRDefault="00814007" w:rsidP="00A511AC">
    <w:pPr>
      <w:pStyle w:val="Footer"/>
      <w:tabs>
        <w:tab w:val="right" w:pos="9638"/>
      </w:tabs>
      <w:rPr>
        <w:b/>
        <w:sz w:val="18"/>
      </w:rPr>
    </w:pPr>
    <w:r>
      <w:tab/>
    </w:r>
    <w:r w:rsidRPr="00A511AC">
      <w:rPr>
        <w:b/>
        <w:sz w:val="18"/>
      </w:rPr>
      <w:fldChar w:fldCharType="begin"/>
    </w:r>
    <w:r w:rsidRPr="00A511AC">
      <w:rPr>
        <w:b/>
        <w:sz w:val="18"/>
      </w:rPr>
      <w:instrText xml:space="preserve"> PAGE  \* MERGEFORMAT </w:instrText>
    </w:r>
    <w:r w:rsidRPr="00A511AC">
      <w:rPr>
        <w:b/>
        <w:sz w:val="18"/>
      </w:rPr>
      <w:fldChar w:fldCharType="separate"/>
    </w:r>
    <w:r w:rsidR="007868DE">
      <w:rPr>
        <w:b/>
        <w:noProof/>
        <w:sz w:val="18"/>
      </w:rPr>
      <w:t>3</w:t>
    </w:r>
    <w:r w:rsidRPr="00A511A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4335CD" w14:paraId="0BE71F9D" w14:textId="77777777" w:rsidTr="004335CD">
      <w:tc>
        <w:tcPr>
          <w:tcW w:w="3614" w:type="dxa"/>
          <w:shd w:val="clear" w:color="auto" w:fill="auto"/>
        </w:tcPr>
        <w:p w14:paraId="217C2EA4" w14:textId="77777777" w:rsidR="004335CD" w:rsidRDefault="004335CD" w:rsidP="004335CD">
          <w:pPr>
            <w:pStyle w:val="Footer"/>
            <w:rPr>
              <w:sz w:val="20"/>
            </w:rPr>
          </w:pPr>
          <w:r>
            <w:rPr>
              <w:noProof/>
              <w:lang w:val="en-US"/>
            </w:rPr>
            <w:drawing>
              <wp:anchor distT="0" distB="0" distL="114300" distR="114300" simplePos="0" relativeHeight="251659264" behindDoc="0" locked="0" layoutInCell="1" allowOverlap="1" wp14:anchorId="4F93825E" wp14:editId="68FD2AA9">
                <wp:simplePos x="0" y="0"/>
                <wp:positionH relativeFrom="page">
                  <wp:posOffset>5339715</wp:posOffset>
                </wp:positionH>
                <wp:positionV relativeFrom="page">
                  <wp:posOffset>-365760</wp:posOffset>
                </wp:positionV>
                <wp:extent cx="694690" cy="694690"/>
                <wp:effectExtent l="0" t="0" r="0" b="0"/>
                <wp:wrapNone/>
                <wp:docPr id="1" name="Picture 1" descr="http://undocs.org/m2/QRCode2.ashx?DS=CAT/C/55/D/571/201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AT/C/55/D/571/201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sz w:val="20"/>
            </w:rPr>
            <w:t>GE.15-17781(E)</w:t>
          </w:r>
        </w:p>
        <w:p w14:paraId="34160E5D" w14:textId="77777777" w:rsidR="004335CD" w:rsidRPr="004335CD" w:rsidRDefault="004335CD" w:rsidP="004335CD">
          <w:pPr>
            <w:pStyle w:val="Footer"/>
            <w:rPr>
              <w:rFonts w:ascii="Barcode 3 of 9 by request" w:hAnsi="Barcode 3 of 9 by request"/>
              <w:sz w:val="24"/>
            </w:rPr>
          </w:pPr>
          <w:r>
            <w:rPr>
              <w:rFonts w:ascii="Barcode 3 of 9 by request" w:hAnsi="Barcode 3 of 9 by request"/>
              <w:sz w:val="24"/>
            </w:rPr>
            <w:t>*1517781*</w:t>
          </w:r>
        </w:p>
      </w:tc>
      <w:tc>
        <w:tcPr>
          <w:tcW w:w="4752" w:type="dxa"/>
          <w:shd w:val="clear" w:color="auto" w:fill="auto"/>
        </w:tcPr>
        <w:p w14:paraId="4D31D5E2" w14:textId="77777777" w:rsidR="004335CD" w:rsidRDefault="004335CD" w:rsidP="004335CD">
          <w:pPr>
            <w:pStyle w:val="Footer"/>
            <w:spacing w:line="240" w:lineRule="atLeast"/>
            <w:jc w:val="right"/>
            <w:rPr>
              <w:sz w:val="20"/>
            </w:rPr>
          </w:pPr>
          <w:r>
            <w:rPr>
              <w:noProof/>
              <w:sz w:val="20"/>
              <w:lang w:val="en-US"/>
            </w:rPr>
            <w:drawing>
              <wp:inline distT="0" distB="0" distL="0" distR="0" wp14:anchorId="535A7F6B" wp14:editId="51D70689">
                <wp:extent cx="933450" cy="228600"/>
                <wp:effectExtent l="0" t="0" r="0" b="0"/>
                <wp:docPr id="2" name="Picture 2" descr="C:\Word2010\WordMacros\recycle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ord2010\WordMacros\recycle_Englis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tc>
    </w:tr>
  </w:tbl>
  <w:p w14:paraId="3CB47BB7" w14:textId="77777777" w:rsidR="004335CD" w:rsidRPr="004335CD" w:rsidRDefault="004335CD" w:rsidP="004335C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3D5B5" w14:textId="77777777" w:rsidR="000C00DE" w:rsidRPr="000B175B" w:rsidRDefault="000C00DE" w:rsidP="000B175B">
      <w:pPr>
        <w:tabs>
          <w:tab w:val="right" w:pos="2155"/>
        </w:tabs>
        <w:spacing w:after="80"/>
        <w:ind w:left="680"/>
        <w:rPr>
          <w:u w:val="single"/>
        </w:rPr>
      </w:pPr>
      <w:r>
        <w:rPr>
          <w:u w:val="single"/>
        </w:rPr>
        <w:tab/>
      </w:r>
    </w:p>
  </w:footnote>
  <w:footnote w:type="continuationSeparator" w:id="0">
    <w:p w14:paraId="2C34FA50" w14:textId="77777777" w:rsidR="000C00DE" w:rsidRPr="00FC68B7" w:rsidRDefault="000C00DE" w:rsidP="00FC68B7">
      <w:pPr>
        <w:tabs>
          <w:tab w:val="left" w:pos="2155"/>
        </w:tabs>
        <w:spacing w:after="80"/>
        <w:ind w:left="680"/>
        <w:rPr>
          <w:u w:val="single"/>
        </w:rPr>
      </w:pPr>
      <w:r>
        <w:rPr>
          <w:u w:val="single"/>
        </w:rPr>
        <w:tab/>
      </w:r>
    </w:p>
  </w:footnote>
  <w:footnote w:type="continuationNotice" w:id="1">
    <w:p w14:paraId="799109B1" w14:textId="77777777" w:rsidR="000C00DE" w:rsidRDefault="000C00DE"/>
  </w:footnote>
  <w:footnote w:id="2">
    <w:p w14:paraId="4122875E" w14:textId="77777777" w:rsidR="00814007" w:rsidRDefault="00814007" w:rsidP="00F5252E">
      <w:pPr>
        <w:pStyle w:val="FootnoteText"/>
      </w:pPr>
      <w:r>
        <w:rPr>
          <w:rStyle w:val="FootnoteReference"/>
          <w:sz w:val="20"/>
        </w:rPr>
        <w:tab/>
      </w:r>
      <w:r w:rsidRPr="00A9638F">
        <w:rPr>
          <w:rStyle w:val="FootnoteReference"/>
          <w:sz w:val="20"/>
          <w:vertAlign w:val="baseline"/>
        </w:rPr>
        <w:t>*</w:t>
      </w:r>
      <w:bookmarkStart w:id="2" w:name="OLE_LINK1"/>
      <w:bookmarkStart w:id="3" w:name="OLE_LINK2"/>
      <w:r>
        <w:rPr>
          <w:rStyle w:val="FootnoteReference"/>
          <w:sz w:val="20"/>
        </w:rPr>
        <w:tab/>
      </w:r>
      <w:r>
        <w:t>The following members of the Committee participated in the consideration of the present communication:</w:t>
      </w:r>
      <w:bookmarkEnd w:id="2"/>
      <w:bookmarkEnd w:id="3"/>
      <w:r>
        <w:t xml:space="preserve"> Essadia Belmir, Alessio Bruni, Satyabhoosun Gupt Domah, Felice Gaer, Abdoulaye Gaye, Sapana Pradhan-Malla, George Tugushi, Claudio Grossman and Kening Zhang. </w:t>
      </w:r>
      <w:r w:rsidRPr="002F378B">
        <w:rPr>
          <w:bCs/>
        </w:rPr>
        <w:t xml:space="preserve">Pursuant to rule </w:t>
      </w:r>
      <w:r>
        <w:rPr>
          <w:bCs/>
        </w:rPr>
        <w:t xml:space="preserve">109 </w:t>
      </w:r>
      <w:r w:rsidRPr="002F378B">
        <w:rPr>
          <w:bCs/>
        </w:rPr>
        <w:t xml:space="preserve">of the Committee’s rules of procedure, </w:t>
      </w:r>
      <w:r>
        <w:rPr>
          <w:bCs/>
        </w:rPr>
        <w:t xml:space="preserve">Jens Modvig </w:t>
      </w:r>
      <w:r w:rsidRPr="002F378B">
        <w:rPr>
          <w:bCs/>
        </w:rPr>
        <w:t>did not participate in the consideration of this communication.</w:t>
      </w:r>
    </w:p>
  </w:footnote>
  <w:footnote w:id="3">
    <w:p w14:paraId="64AFF391" w14:textId="77777777" w:rsidR="00814007" w:rsidRPr="006F3318" w:rsidRDefault="00814007" w:rsidP="00282645">
      <w:pPr>
        <w:pStyle w:val="FootnoteText"/>
        <w:rPr>
          <w:szCs w:val="18"/>
        </w:rPr>
      </w:pPr>
      <w:r>
        <w:tab/>
      </w:r>
      <w:r w:rsidRPr="006F3318">
        <w:rPr>
          <w:rStyle w:val="FootnoteReference"/>
          <w:szCs w:val="18"/>
        </w:rPr>
        <w:footnoteRef/>
      </w:r>
      <w:r>
        <w:tab/>
      </w:r>
      <w:r w:rsidRPr="006F3318">
        <w:rPr>
          <w:szCs w:val="18"/>
        </w:rPr>
        <w:t>See the information provided in the complainant’s submission of 24 March 2014.</w:t>
      </w:r>
      <w:r>
        <w:rPr>
          <w:szCs w:val="18"/>
        </w:rPr>
        <w:t xml:space="preserve"> </w:t>
      </w:r>
    </w:p>
  </w:footnote>
  <w:footnote w:id="4">
    <w:p w14:paraId="4D1FFA63" w14:textId="77777777" w:rsidR="00814007" w:rsidRPr="006F3318" w:rsidRDefault="00814007" w:rsidP="00435E17">
      <w:pPr>
        <w:pStyle w:val="FootnoteText"/>
        <w:rPr>
          <w:szCs w:val="18"/>
        </w:rPr>
      </w:pPr>
      <w:r>
        <w:rPr>
          <w:szCs w:val="18"/>
        </w:rPr>
        <w:tab/>
      </w:r>
      <w:r w:rsidRPr="006F3318">
        <w:rPr>
          <w:rStyle w:val="FootnoteReference"/>
          <w:szCs w:val="18"/>
        </w:rPr>
        <w:footnoteRef/>
      </w:r>
      <w:r>
        <w:rPr>
          <w:szCs w:val="18"/>
        </w:rPr>
        <w:tab/>
      </w:r>
      <w:r w:rsidRPr="006F3318">
        <w:rPr>
          <w:szCs w:val="18"/>
        </w:rPr>
        <w:t xml:space="preserve">The complainant’s wife alleged that </w:t>
      </w:r>
      <w:r>
        <w:rPr>
          <w:szCs w:val="18"/>
        </w:rPr>
        <w:t>neither</w:t>
      </w:r>
      <w:r w:rsidRPr="006F3318">
        <w:rPr>
          <w:szCs w:val="18"/>
        </w:rPr>
        <w:t xml:space="preserve"> her husband or his family </w:t>
      </w:r>
      <w:r>
        <w:rPr>
          <w:szCs w:val="18"/>
        </w:rPr>
        <w:t xml:space="preserve">told her the full story </w:t>
      </w:r>
      <w:r w:rsidRPr="006F3318">
        <w:rPr>
          <w:szCs w:val="18"/>
        </w:rPr>
        <w:t xml:space="preserve">from the beginning, since it </w:t>
      </w:r>
      <w:r>
        <w:rPr>
          <w:szCs w:val="18"/>
        </w:rPr>
        <w:t>wa</w:t>
      </w:r>
      <w:r w:rsidRPr="006F3318">
        <w:rPr>
          <w:szCs w:val="18"/>
        </w:rPr>
        <w:t>s not</w:t>
      </w:r>
      <w:r>
        <w:rPr>
          <w:szCs w:val="18"/>
        </w:rPr>
        <w:t xml:space="preserve"> the</w:t>
      </w:r>
      <w:r w:rsidRPr="006F3318">
        <w:rPr>
          <w:szCs w:val="18"/>
        </w:rPr>
        <w:t xml:space="preserve"> custom in Afghanistan to involve women</w:t>
      </w:r>
      <w:r>
        <w:rPr>
          <w:szCs w:val="18"/>
        </w:rPr>
        <w:t xml:space="preserve"> in such matters</w:t>
      </w:r>
      <w:r w:rsidRPr="006F3318">
        <w:rPr>
          <w:szCs w:val="18"/>
        </w:rPr>
        <w:t xml:space="preserve">. </w:t>
      </w:r>
      <w:r>
        <w:rPr>
          <w:szCs w:val="18"/>
        </w:rPr>
        <w:t>She learned  about t</w:t>
      </w:r>
      <w:r w:rsidRPr="006F3318">
        <w:rPr>
          <w:szCs w:val="18"/>
        </w:rPr>
        <w:t>he whole story little by little and c</w:t>
      </w:r>
      <w:r>
        <w:rPr>
          <w:szCs w:val="18"/>
        </w:rPr>
        <w:t xml:space="preserve">ould </w:t>
      </w:r>
      <w:r w:rsidRPr="006F3318">
        <w:rPr>
          <w:szCs w:val="18"/>
        </w:rPr>
        <w:t xml:space="preserve">not give precise dates as to when she received </w:t>
      </w:r>
      <w:r w:rsidR="00435E17">
        <w:rPr>
          <w:szCs w:val="18"/>
        </w:rPr>
        <w:t xml:space="preserve">the </w:t>
      </w:r>
      <w:r w:rsidRPr="006F3318">
        <w:rPr>
          <w:szCs w:val="18"/>
        </w:rPr>
        <w:t>information o</w:t>
      </w:r>
      <w:r>
        <w:rPr>
          <w:szCs w:val="18"/>
        </w:rPr>
        <w:t xml:space="preserve">r about </w:t>
      </w:r>
      <w:r w:rsidRPr="006F3318">
        <w:rPr>
          <w:szCs w:val="18"/>
        </w:rPr>
        <w:t xml:space="preserve">details </w:t>
      </w:r>
      <w:r>
        <w:rPr>
          <w:szCs w:val="18"/>
        </w:rPr>
        <w:t>of</w:t>
      </w:r>
      <w:r w:rsidRPr="006F3318">
        <w:rPr>
          <w:szCs w:val="18"/>
        </w:rPr>
        <w:t xml:space="preserve"> the events. </w:t>
      </w:r>
      <w:r>
        <w:rPr>
          <w:szCs w:val="18"/>
        </w:rPr>
        <w:t xml:space="preserve">She said that she </w:t>
      </w:r>
      <w:r w:rsidRPr="006F3318">
        <w:rPr>
          <w:szCs w:val="18"/>
        </w:rPr>
        <w:t>did not know whether to write the Taliban or criminals</w:t>
      </w:r>
      <w:r>
        <w:rPr>
          <w:szCs w:val="18"/>
        </w:rPr>
        <w:t xml:space="preserve"> in the asylum application</w:t>
      </w:r>
      <w:r w:rsidRPr="006F3318">
        <w:rPr>
          <w:szCs w:val="18"/>
        </w:rPr>
        <w:t xml:space="preserve">, because she was confused </w:t>
      </w:r>
      <w:r>
        <w:rPr>
          <w:szCs w:val="18"/>
        </w:rPr>
        <w:t>about</w:t>
      </w:r>
      <w:r w:rsidRPr="006F3318">
        <w:rPr>
          <w:szCs w:val="18"/>
        </w:rPr>
        <w:t xml:space="preserve"> how to </w:t>
      </w:r>
      <w:r>
        <w:rPr>
          <w:szCs w:val="18"/>
        </w:rPr>
        <w:t>refer to</w:t>
      </w:r>
      <w:r w:rsidRPr="006F3318">
        <w:rPr>
          <w:szCs w:val="18"/>
        </w:rPr>
        <w:t xml:space="preserve"> the</w:t>
      </w:r>
      <w:r>
        <w:rPr>
          <w:szCs w:val="18"/>
        </w:rPr>
        <w:t xml:space="preserve"> abductors. S</w:t>
      </w:r>
      <w:r w:rsidRPr="006F3318">
        <w:rPr>
          <w:szCs w:val="18"/>
        </w:rPr>
        <w:t>he did not get the details on the abduction until after she had filled</w:t>
      </w:r>
      <w:r>
        <w:rPr>
          <w:szCs w:val="18"/>
        </w:rPr>
        <w:t xml:space="preserve"> out</w:t>
      </w:r>
      <w:r w:rsidRPr="006F3318">
        <w:rPr>
          <w:szCs w:val="18"/>
        </w:rPr>
        <w:t xml:space="preserve"> the application. </w:t>
      </w:r>
      <w:r>
        <w:rPr>
          <w:szCs w:val="18"/>
        </w:rPr>
        <w:t>T</w:t>
      </w:r>
      <w:r w:rsidRPr="006F3318">
        <w:rPr>
          <w:szCs w:val="18"/>
        </w:rPr>
        <w:t>he complainant</w:t>
      </w:r>
      <w:r>
        <w:rPr>
          <w:szCs w:val="18"/>
        </w:rPr>
        <w:t xml:space="preserve"> stated that </w:t>
      </w:r>
      <w:r w:rsidRPr="006F3318">
        <w:rPr>
          <w:szCs w:val="18"/>
        </w:rPr>
        <w:t xml:space="preserve">he </w:t>
      </w:r>
      <w:r>
        <w:rPr>
          <w:szCs w:val="18"/>
        </w:rPr>
        <w:t>was</w:t>
      </w:r>
      <w:r w:rsidRPr="006F3318">
        <w:rPr>
          <w:szCs w:val="18"/>
        </w:rPr>
        <w:t xml:space="preserve"> not hospitali</w:t>
      </w:r>
      <w:r>
        <w:rPr>
          <w:szCs w:val="18"/>
        </w:rPr>
        <w:t>z</w:t>
      </w:r>
      <w:r w:rsidRPr="006F3318">
        <w:rPr>
          <w:szCs w:val="18"/>
        </w:rPr>
        <w:t xml:space="preserve">ed </w:t>
      </w:r>
      <w:r>
        <w:rPr>
          <w:szCs w:val="18"/>
        </w:rPr>
        <w:t xml:space="preserve">after </w:t>
      </w:r>
      <w:r w:rsidRPr="006F3318">
        <w:rPr>
          <w:szCs w:val="18"/>
        </w:rPr>
        <w:t>he had been subjected</w:t>
      </w:r>
      <w:r>
        <w:rPr>
          <w:szCs w:val="18"/>
        </w:rPr>
        <w:t xml:space="preserve"> to torture; he was</w:t>
      </w:r>
      <w:r w:rsidRPr="006F3318">
        <w:rPr>
          <w:szCs w:val="18"/>
        </w:rPr>
        <w:t xml:space="preserve"> treated at his parents’ home. </w:t>
      </w:r>
    </w:p>
  </w:footnote>
  <w:footnote w:id="5">
    <w:p w14:paraId="5ED57357" w14:textId="77777777" w:rsidR="00814007" w:rsidRPr="006F3318" w:rsidRDefault="00814007" w:rsidP="00435E17">
      <w:pPr>
        <w:pStyle w:val="FootnoteText"/>
        <w:rPr>
          <w:szCs w:val="18"/>
        </w:rPr>
      </w:pPr>
      <w:r>
        <w:rPr>
          <w:szCs w:val="18"/>
        </w:rPr>
        <w:tab/>
      </w:r>
      <w:r w:rsidRPr="006F3318">
        <w:rPr>
          <w:rStyle w:val="FootnoteReference"/>
          <w:szCs w:val="18"/>
        </w:rPr>
        <w:footnoteRef/>
      </w:r>
      <w:r>
        <w:rPr>
          <w:szCs w:val="18"/>
        </w:rPr>
        <w:tab/>
      </w:r>
      <w:r w:rsidRPr="006F3318">
        <w:rPr>
          <w:szCs w:val="18"/>
        </w:rPr>
        <w:t>A copy of p</w:t>
      </w:r>
      <w:r w:rsidR="00435E17">
        <w:rPr>
          <w:szCs w:val="18"/>
        </w:rPr>
        <w:t>hotographs</w:t>
      </w:r>
      <w:r w:rsidRPr="006F3318">
        <w:rPr>
          <w:szCs w:val="18"/>
        </w:rPr>
        <w:t xml:space="preserve"> of the complainant’s bruises and burn marks from the torture </w:t>
      </w:r>
      <w:r w:rsidR="00435E17">
        <w:rPr>
          <w:szCs w:val="18"/>
        </w:rPr>
        <w:t>is</w:t>
      </w:r>
      <w:r w:rsidRPr="006F3318">
        <w:rPr>
          <w:szCs w:val="18"/>
        </w:rPr>
        <w:t xml:space="preserve"> a</w:t>
      </w:r>
      <w:r w:rsidR="00435E17">
        <w:rPr>
          <w:szCs w:val="18"/>
        </w:rPr>
        <w:t>ppended</w:t>
      </w:r>
      <w:r w:rsidRPr="006F3318">
        <w:rPr>
          <w:szCs w:val="18"/>
        </w:rPr>
        <w:t xml:space="preserve"> as Exhibit 3 to the initial </w:t>
      </w:r>
      <w:r>
        <w:rPr>
          <w:szCs w:val="18"/>
        </w:rPr>
        <w:t>communication</w:t>
      </w:r>
      <w:r w:rsidRPr="006F3318">
        <w:rPr>
          <w:szCs w:val="18"/>
        </w:rPr>
        <w:t>.</w:t>
      </w:r>
      <w:r>
        <w:rPr>
          <w:szCs w:val="18"/>
        </w:rPr>
        <w:t xml:space="preserve"> </w:t>
      </w:r>
    </w:p>
  </w:footnote>
  <w:footnote w:id="6">
    <w:p w14:paraId="3DB6C678" w14:textId="77777777" w:rsidR="00814007" w:rsidRPr="006F3318" w:rsidRDefault="00814007" w:rsidP="0072206D">
      <w:pPr>
        <w:pStyle w:val="FootnoteText"/>
        <w:rPr>
          <w:szCs w:val="18"/>
        </w:rPr>
      </w:pPr>
      <w:r>
        <w:tab/>
      </w:r>
      <w:r w:rsidRPr="006F3318">
        <w:rPr>
          <w:rStyle w:val="FootnoteReference"/>
          <w:szCs w:val="18"/>
        </w:rPr>
        <w:footnoteRef/>
      </w:r>
      <w:r>
        <w:tab/>
      </w:r>
      <w:r w:rsidRPr="006F3318">
        <w:rPr>
          <w:szCs w:val="18"/>
        </w:rPr>
        <w:t xml:space="preserve">No further information is provided by the complainant as to how the police reacted or if they were willing to protect the complainant. </w:t>
      </w:r>
      <w:r w:rsidR="00435E17">
        <w:rPr>
          <w:szCs w:val="18"/>
        </w:rPr>
        <w:t>T</w:t>
      </w:r>
      <w:r w:rsidRPr="006F3318">
        <w:rPr>
          <w:szCs w:val="18"/>
        </w:rPr>
        <w:t xml:space="preserve">he Danish Immigration Service </w:t>
      </w:r>
      <w:r w:rsidR="00435E17">
        <w:rPr>
          <w:szCs w:val="18"/>
        </w:rPr>
        <w:t>apparently did</w:t>
      </w:r>
      <w:r w:rsidRPr="006F3318">
        <w:rPr>
          <w:szCs w:val="18"/>
        </w:rPr>
        <w:t xml:space="preserve"> not question the complainant </w:t>
      </w:r>
      <w:r w:rsidR="00435E17">
        <w:rPr>
          <w:szCs w:val="18"/>
        </w:rPr>
        <w:t>about</w:t>
      </w:r>
      <w:r w:rsidRPr="006F3318">
        <w:rPr>
          <w:szCs w:val="18"/>
        </w:rPr>
        <w:t xml:space="preserve"> th</w:t>
      </w:r>
      <w:r w:rsidR="0072206D">
        <w:rPr>
          <w:szCs w:val="18"/>
        </w:rPr>
        <w:t>at</w:t>
      </w:r>
      <w:r w:rsidRPr="006F3318">
        <w:rPr>
          <w:szCs w:val="18"/>
        </w:rPr>
        <w:t xml:space="preserve"> issue.</w:t>
      </w:r>
      <w:r>
        <w:rPr>
          <w:szCs w:val="18"/>
        </w:rPr>
        <w:t xml:space="preserve"> </w:t>
      </w:r>
    </w:p>
  </w:footnote>
  <w:footnote w:id="7">
    <w:p w14:paraId="27E8B8B8" w14:textId="77777777" w:rsidR="00814007" w:rsidRPr="006F3318" w:rsidRDefault="00814007">
      <w:pPr>
        <w:pStyle w:val="FootnoteText"/>
        <w:rPr>
          <w:szCs w:val="18"/>
        </w:rPr>
      </w:pPr>
      <w:r>
        <w:rPr>
          <w:szCs w:val="18"/>
        </w:rPr>
        <w:tab/>
      </w:r>
      <w:r w:rsidRPr="006F3318">
        <w:rPr>
          <w:rStyle w:val="FootnoteReference"/>
          <w:szCs w:val="18"/>
        </w:rPr>
        <w:footnoteRef/>
      </w:r>
      <w:r>
        <w:rPr>
          <w:szCs w:val="18"/>
        </w:rPr>
        <w:tab/>
      </w:r>
      <w:r w:rsidRPr="006F3318">
        <w:rPr>
          <w:szCs w:val="18"/>
        </w:rPr>
        <w:t xml:space="preserve">See </w:t>
      </w:r>
      <w:r>
        <w:rPr>
          <w:szCs w:val="18"/>
        </w:rPr>
        <w:t xml:space="preserve">United Nations High Commissioner for Refugees, </w:t>
      </w:r>
      <w:r w:rsidRPr="00D0457B">
        <w:rPr>
          <w:i/>
          <w:iCs/>
          <w:szCs w:val="18"/>
        </w:rPr>
        <w:t>UNHCR Eligibility Guidelines for assessing the international protection needs of asylum seekers from Afghanistan</w:t>
      </w:r>
      <w:r>
        <w:rPr>
          <w:szCs w:val="18"/>
        </w:rPr>
        <w:t>,</w:t>
      </w:r>
      <w:r w:rsidRPr="006F3318">
        <w:rPr>
          <w:szCs w:val="18"/>
        </w:rPr>
        <w:t xml:space="preserve"> 6 August 2013</w:t>
      </w:r>
      <w:r>
        <w:rPr>
          <w:szCs w:val="18"/>
        </w:rPr>
        <w:t xml:space="preserve">, </w:t>
      </w:r>
      <w:r w:rsidRPr="006F3318">
        <w:rPr>
          <w:szCs w:val="18"/>
        </w:rPr>
        <w:t>p</w:t>
      </w:r>
      <w:r>
        <w:rPr>
          <w:szCs w:val="18"/>
        </w:rPr>
        <w:t>p.</w:t>
      </w:r>
      <w:r w:rsidRPr="006F3318">
        <w:rPr>
          <w:szCs w:val="18"/>
        </w:rPr>
        <w:t xml:space="preserve"> 23-25. </w:t>
      </w:r>
    </w:p>
  </w:footnote>
  <w:footnote w:id="8">
    <w:p w14:paraId="26033D7E" w14:textId="77777777" w:rsidR="00814007" w:rsidRPr="006F3318" w:rsidRDefault="00814007">
      <w:pPr>
        <w:pStyle w:val="FootnoteText"/>
        <w:rPr>
          <w:szCs w:val="18"/>
        </w:rPr>
      </w:pPr>
      <w:r>
        <w:rPr>
          <w:szCs w:val="18"/>
        </w:rPr>
        <w:tab/>
      </w:r>
      <w:r w:rsidRPr="006F3318">
        <w:rPr>
          <w:rStyle w:val="FootnoteReference"/>
          <w:szCs w:val="18"/>
        </w:rPr>
        <w:footnoteRef/>
      </w:r>
      <w:r>
        <w:rPr>
          <w:szCs w:val="18"/>
        </w:rPr>
        <w:tab/>
      </w:r>
      <w:r w:rsidRPr="006F3318">
        <w:rPr>
          <w:szCs w:val="18"/>
        </w:rPr>
        <w:t xml:space="preserve">Denmark </w:t>
      </w:r>
      <w:r w:rsidR="0072206D">
        <w:rPr>
          <w:szCs w:val="18"/>
        </w:rPr>
        <w:t>w</w:t>
      </w:r>
      <w:r w:rsidRPr="006F3318">
        <w:rPr>
          <w:szCs w:val="18"/>
        </w:rPr>
        <w:t>as asked about the absence of appeal</w:t>
      </w:r>
      <w:r w:rsidR="0072206D">
        <w:rPr>
          <w:szCs w:val="18"/>
        </w:rPr>
        <w:t xml:space="preserve"> before a </w:t>
      </w:r>
      <w:r w:rsidR="00046C7D">
        <w:rPr>
          <w:szCs w:val="18"/>
        </w:rPr>
        <w:t xml:space="preserve">domestic </w:t>
      </w:r>
      <w:r w:rsidR="0072206D">
        <w:rPr>
          <w:szCs w:val="18"/>
        </w:rPr>
        <w:t>court</w:t>
      </w:r>
      <w:r w:rsidRPr="006F3318">
        <w:rPr>
          <w:szCs w:val="18"/>
        </w:rPr>
        <w:t xml:space="preserve"> in the context of </w:t>
      </w:r>
      <w:r w:rsidR="0072206D">
        <w:rPr>
          <w:szCs w:val="18"/>
        </w:rPr>
        <w:t>the consideration</w:t>
      </w:r>
      <w:r w:rsidRPr="006F3318">
        <w:rPr>
          <w:szCs w:val="18"/>
        </w:rPr>
        <w:t xml:space="preserve"> of </w:t>
      </w:r>
      <w:r w:rsidR="0072206D">
        <w:rPr>
          <w:szCs w:val="18"/>
        </w:rPr>
        <w:t>its</w:t>
      </w:r>
      <w:r w:rsidRPr="006F3318">
        <w:rPr>
          <w:szCs w:val="18"/>
        </w:rPr>
        <w:t xml:space="preserve"> periodic report </w:t>
      </w:r>
      <w:r w:rsidR="0072206D">
        <w:rPr>
          <w:szCs w:val="18"/>
        </w:rPr>
        <w:t xml:space="preserve">under the Convention on the Elimination of All Forms of Racial Discrimination, </w:t>
      </w:r>
      <w:r w:rsidRPr="006F3318">
        <w:rPr>
          <w:szCs w:val="18"/>
        </w:rPr>
        <w:t>in 2006</w:t>
      </w:r>
      <w:r w:rsidR="00046C7D">
        <w:rPr>
          <w:szCs w:val="18"/>
        </w:rPr>
        <w:t>. I</w:t>
      </w:r>
      <w:r w:rsidR="0072206D">
        <w:rPr>
          <w:szCs w:val="18"/>
        </w:rPr>
        <w:t>n its</w:t>
      </w:r>
      <w:r w:rsidRPr="006F3318">
        <w:rPr>
          <w:szCs w:val="18"/>
        </w:rPr>
        <w:t xml:space="preserve"> </w:t>
      </w:r>
      <w:r w:rsidR="0072206D">
        <w:rPr>
          <w:szCs w:val="18"/>
        </w:rPr>
        <w:t xml:space="preserve">concluding observations, </w:t>
      </w:r>
      <w:r w:rsidRPr="006F3318">
        <w:rPr>
          <w:szCs w:val="18"/>
        </w:rPr>
        <w:t xml:space="preserve">the Committee </w:t>
      </w:r>
      <w:r w:rsidR="0072206D">
        <w:rPr>
          <w:szCs w:val="18"/>
        </w:rPr>
        <w:t>recommended</w:t>
      </w:r>
      <w:r w:rsidRPr="006F3318">
        <w:rPr>
          <w:szCs w:val="18"/>
        </w:rPr>
        <w:t xml:space="preserve"> that asylum seekers </w:t>
      </w:r>
      <w:r w:rsidR="0072206D">
        <w:rPr>
          <w:szCs w:val="18"/>
        </w:rPr>
        <w:t xml:space="preserve">be granted </w:t>
      </w:r>
      <w:r w:rsidRPr="006F3318">
        <w:rPr>
          <w:szCs w:val="18"/>
        </w:rPr>
        <w:t xml:space="preserve">the right to appeal the decisions of the Refugee Appeals Board </w:t>
      </w:r>
      <w:r w:rsidR="0072206D">
        <w:rPr>
          <w:szCs w:val="18"/>
        </w:rPr>
        <w:t>before</w:t>
      </w:r>
      <w:r w:rsidRPr="006F3318">
        <w:rPr>
          <w:szCs w:val="18"/>
        </w:rPr>
        <w:t xml:space="preserve"> the Danish courts (</w:t>
      </w:r>
      <w:r w:rsidR="0072206D">
        <w:rPr>
          <w:szCs w:val="18"/>
        </w:rPr>
        <w:t xml:space="preserve">see CERD/C/DEN/CO/17, </w:t>
      </w:r>
      <w:r w:rsidRPr="006F3318">
        <w:rPr>
          <w:szCs w:val="18"/>
        </w:rPr>
        <w:t xml:space="preserve">para. 13). In </w:t>
      </w:r>
      <w:r w:rsidR="0072206D">
        <w:rPr>
          <w:szCs w:val="18"/>
        </w:rPr>
        <w:t xml:space="preserve">its follow-up report, </w:t>
      </w:r>
      <w:r w:rsidRPr="006F3318">
        <w:rPr>
          <w:szCs w:val="18"/>
        </w:rPr>
        <w:t>the Danish Government confirmed th</w:t>
      </w:r>
      <w:r w:rsidR="003A5595">
        <w:rPr>
          <w:szCs w:val="18"/>
        </w:rPr>
        <w:t xml:space="preserve">at the decisions of the Refugee Board were final </w:t>
      </w:r>
      <w:r w:rsidRPr="006F3318">
        <w:rPr>
          <w:szCs w:val="18"/>
        </w:rPr>
        <w:t>(see CERD/C/DEN/</w:t>
      </w:r>
      <w:r w:rsidR="003A5595">
        <w:rPr>
          <w:szCs w:val="18"/>
        </w:rPr>
        <w:t>CO/</w:t>
      </w:r>
      <w:r w:rsidRPr="006F3318">
        <w:rPr>
          <w:szCs w:val="18"/>
        </w:rPr>
        <w:t>17/Add. 1</w:t>
      </w:r>
      <w:r w:rsidR="003A5595">
        <w:rPr>
          <w:szCs w:val="18"/>
        </w:rPr>
        <w:t>, para. 12</w:t>
      </w:r>
      <w:r w:rsidRPr="006F3318">
        <w:rPr>
          <w:szCs w:val="18"/>
        </w:rPr>
        <w:t>).</w:t>
      </w:r>
      <w:r>
        <w:rPr>
          <w:szCs w:val="18"/>
        </w:rPr>
        <w:t xml:space="preserve"> </w:t>
      </w:r>
    </w:p>
  </w:footnote>
  <w:footnote w:id="9">
    <w:p w14:paraId="655ACBA9" w14:textId="77777777" w:rsidR="00814007" w:rsidRDefault="00814007" w:rsidP="00123A4D">
      <w:pPr>
        <w:pStyle w:val="FootnoteText"/>
      </w:pPr>
      <w:r>
        <w:tab/>
      </w:r>
      <w:r>
        <w:rPr>
          <w:rStyle w:val="FootnoteReference"/>
        </w:rPr>
        <w:footnoteRef/>
      </w:r>
      <w:r>
        <w:t xml:space="preserve"> </w:t>
      </w:r>
      <w:r>
        <w:tab/>
      </w:r>
      <w:r w:rsidRPr="006F3318">
        <w:rPr>
          <w:szCs w:val="18"/>
        </w:rPr>
        <w:t xml:space="preserve">See </w:t>
      </w:r>
      <w:r w:rsidR="003A5595">
        <w:rPr>
          <w:i/>
          <w:iCs/>
          <w:szCs w:val="18"/>
        </w:rPr>
        <w:t>UNHCR Eligibility Guideline</w:t>
      </w:r>
      <w:r w:rsidR="00171F88">
        <w:rPr>
          <w:i/>
          <w:iCs/>
          <w:szCs w:val="18"/>
        </w:rPr>
        <w:t>s</w:t>
      </w:r>
      <w:r>
        <w:rPr>
          <w:i/>
          <w:iCs/>
          <w:szCs w:val="18"/>
        </w:rPr>
        <w:t>,</w:t>
      </w:r>
      <w:r w:rsidRPr="006F3318">
        <w:rPr>
          <w:szCs w:val="18"/>
        </w:rPr>
        <w:t xml:space="preserve"> </w:t>
      </w:r>
      <w:r>
        <w:rPr>
          <w:szCs w:val="18"/>
        </w:rPr>
        <w:t>(</w:t>
      </w:r>
      <w:r w:rsidR="00123A4D">
        <w:rPr>
          <w:szCs w:val="18"/>
        </w:rPr>
        <w:t xml:space="preserve">see </w:t>
      </w:r>
      <w:r>
        <w:rPr>
          <w:szCs w:val="18"/>
        </w:rPr>
        <w:t xml:space="preserve">note </w:t>
      </w:r>
      <w:r w:rsidR="003A5595" w:rsidRPr="00123A4D">
        <w:rPr>
          <w:szCs w:val="18"/>
        </w:rPr>
        <w:t>5</w:t>
      </w:r>
      <w:r>
        <w:rPr>
          <w:szCs w:val="18"/>
        </w:rPr>
        <w:t>), p. 23.</w:t>
      </w:r>
    </w:p>
  </w:footnote>
  <w:footnote w:id="10">
    <w:p w14:paraId="6743F7C5" w14:textId="77777777" w:rsidR="00814007" w:rsidRDefault="00814007">
      <w:pPr>
        <w:pStyle w:val="FootnoteText"/>
      </w:pPr>
      <w:r>
        <w:tab/>
      </w:r>
      <w:r>
        <w:rPr>
          <w:rStyle w:val="FootnoteReference"/>
        </w:rPr>
        <w:footnoteRef/>
      </w:r>
      <w:r>
        <w:t xml:space="preserve"> </w:t>
      </w:r>
      <w:r>
        <w:tab/>
        <w:t>Ibid.</w:t>
      </w:r>
    </w:p>
  </w:footnote>
  <w:footnote w:id="11">
    <w:p w14:paraId="3585378E" w14:textId="77777777" w:rsidR="00814007" w:rsidRPr="006F3318" w:rsidRDefault="00814007">
      <w:pPr>
        <w:pStyle w:val="FootnoteText"/>
        <w:rPr>
          <w:szCs w:val="18"/>
        </w:rPr>
      </w:pPr>
      <w:r>
        <w:tab/>
      </w:r>
      <w:r w:rsidRPr="006F3318">
        <w:rPr>
          <w:rStyle w:val="FootnoteReference"/>
          <w:szCs w:val="18"/>
        </w:rPr>
        <w:footnoteRef/>
      </w:r>
      <w:r>
        <w:tab/>
      </w:r>
      <w:r w:rsidRPr="006F3318">
        <w:rPr>
          <w:szCs w:val="18"/>
        </w:rPr>
        <w:t>The complainant refers to the findings of the Danish Afghanistan Committee in that regard.</w:t>
      </w:r>
      <w:r>
        <w:rPr>
          <w:szCs w:val="18"/>
        </w:rPr>
        <w:t xml:space="preserve"> </w:t>
      </w:r>
    </w:p>
  </w:footnote>
  <w:footnote w:id="12">
    <w:p w14:paraId="52B10725" w14:textId="77777777" w:rsidR="00814007" w:rsidRPr="0040602E" w:rsidRDefault="00814007" w:rsidP="003A5595">
      <w:pPr>
        <w:pStyle w:val="FootnoteText"/>
        <w:widowControl w:val="0"/>
        <w:tabs>
          <w:tab w:val="clear" w:pos="1021"/>
          <w:tab w:val="right" w:pos="1020"/>
        </w:tabs>
      </w:pPr>
      <w:r>
        <w:tab/>
      </w:r>
      <w:r>
        <w:rPr>
          <w:rStyle w:val="FootnoteReference"/>
        </w:rPr>
        <w:footnoteRef/>
      </w:r>
      <w:r>
        <w:tab/>
      </w:r>
      <w:r w:rsidRPr="006F3318">
        <w:rPr>
          <w:szCs w:val="18"/>
        </w:rPr>
        <w:t xml:space="preserve">According to the State party, the </w:t>
      </w:r>
      <w:r w:rsidR="003A5595">
        <w:rPr>
          <w:szCs w:val="18"/>
        </w:rPr>
        <w:t xml:space="preserve">Appeals </w:t>
      </w:r>
      <w:r w:rsidRPr="006F3318">
        <w:rPr>
          <w:szCs w:val="18"/>
        </w:rPr>
        <w:t xml:space="preserve">Board used a different interpreter from the </w:t>
      </w:r>
      <w:r w:rsidR="003A5595">
        <w:rPr>
          <w:szCs w:val="18"/>
        </w:rPr>
        <w:t>ones</w:t>
      </w:r>
      <w:r w:rsidRPr="006F3318">
        <w:rPr>
          <w:szCs w:val="18"/>
        </w:rPr>
        <w:t xml:space="preserve"> used for the interviews with the Danish Immigration Service.</w:t>
      </w:r>
      <w:r>
        <w:rPr>
          <w:sz w:val="16"/>
          <w:szCs w:val="16"/>
        </w:rPr>
        <w:t xml:space="preserve"> </w:t>
      </w:r>
    </w:p>
  </w:footnote>
  <w:footnote w:id="13">
    <w:p w14:paraId="6C6BF7FF" w14:textId="77777777" w:rsidR="00814007" w:rsidRPr="0040602E" w:rsidRDefault="00814007" w:rsidP="00814438">
      <w:pPr>
        <w:pStyle w:val="FootnoteText"/>
        <w:widowControl w:val="0"/>
        <w:tabs>
          <w:tab w:val="clear" w:pos="1021"/>
          <w:tab w:val="right" w:pos="1020"/>
        </w:tabs>
      </w:pPr>
      <w:r>
        <w:tab/>
      </w:r>
      <w:r>
        <w:rPr>
          <w:rStyle w:val="FootnoteReference"/>
        </w:rPr>
        <w:footnoteRef/>
      </w:r>
      <w:r>
        <w:tab/>
        <w:t xml:space="preserve">See, inter alia, </w:t>
      </w:r>
      <w:r w:rsidR="00814438">
        <w:t>c</w:t>
      </w:r>
      <w:r>
        <w:t xml:space="preserve">ommunication No. 148/1999, </w:t>
      </w:r>
      <w:r w:rsidRPr="00F55E32">
        <w:rPr>
          <w:i/>
        </w:rPr>
        <w:t>A.K. v. Australia</w:t>
      </w:r>
      <w:r>
        <w:t xml:space="preserve">, </w:t>
      </w:r>
      <w:r w:rsidR="003A5595">
        <w:t>decision adopted on</w:t>
      </w:r>
      <w:r>
        <w:t xml:space="preserve"> 5 May 2004, para. 6.4. </w:t>
      </w:r>
    </w:p>
  </w:footnote>
  <w:footnote w:id="14">
    <w:p w14:paraId="0515DE83" w14:textId="77777777" w:rsidR="00814007" w:rsidRPr="000A2DEB" w:rsidRDefault="00814007">
      <w:pPr>
        <w:pStyle w:val="FootnoteText"/>
        <w:widowControl w:val="0"/>
        <w:tabs>
          <w:tab w:val="clear" w:pos="1021"/>
          <w:tab w:val="right" w:pos="1020"/>
        </w:tabs>
      </w:pPr>
      <w:r>
        <w:tab/>
      </w:r>
      <w:r>
        <w:rPr>
          <w:rStyle w:val="FootnoteReference"/>
        </w:rPr>
        <w:footnoteRef/>
      </w:r>
      <w:r>
        <w:tab/>
        <w:t xml:space="preserve">See </w:t>
      </w:r>
      <w:r w:rsidR="00814438">
        <w:t>c</w:t>
      </w:r>
      <w:r>
        <w:t xml:space="preserve">ommunication No. 282/2005, </w:t>
      </w:r>
      <w:r w:rsidRPr="007B0AEE">
        <w:rPr>
          <w:i/>
        </w:rPr>
        <w:t>S.P.A. v. Canada</w:t>
      </w:r>
      <w:r>
        <w:t xml:space="preserve">, </w:t>
      </w:r>
      <w:r w:rsidR="00814438">
        <w:t>decision adopted on</w:t>
      </w:r>
      <w:r>
        <w:t xml:space="preserve"> 7 November 2006, para. 7.6. </w:t>
      </w:r>
    </w:p>
  </w:footnote>
  <w:footnote w:id="15">
    <w:p w14:paraId="3305F838" w14:textId="77777777" w:rsidR="00814007" w:rsidRPr="000A2DEB" w:rsidRDefault="00814007" w:rsidP="00814438">
      <w:pPr>
        <w:pStyle w:val="FootnoteText"/>
        <w:widowControl w:val="0"/>
        <w:tabs>
          <w:tab w:val="clear" w:pos="1021"/>
          <w:tab w:val="right" w:pos="1020"/>
        </w:tabs>
      </w:pPr>
      <w:r>
        <w:tab/>
      </w:r>
      <w:r>
        <w:rPr>
          <w:rStyle w:val="FootnoteReference"/>
        </w:rPr>
        <w:footnoteRef/>
      </w:r>
      <w:r>
        <w:tab/>
        <w:t xml:space="preserve">See </w:t>
      </w:r>
      <w:r w:rsidR="00814438">
        <w:t>the Committee’s g</w:t>
      </w:r>
      <w:r>
        <w:t xml:space="preserve">eneral </w:t>
      </w:r>
      <w:r w:rsidR="00814438">
        <w:t>c</w:t>
      </w:r>
      <w:r>
        <w:t>omment No. 1</w:t>
      </w:r>
      <w:r w:rsidR="00814438">
        <w:t xml:space="preserve"> (1997) on the implementation of article 3 of the Convention in the context of article 22</w:t>
      </w:r>
      <w:r>
        <w:t xml:space="preserve">, para. 7. </w:t>
      </w:r>
    </w:p>
  </w:footnote>
  <w:footnote w:id="16">
    <w:p w14:paraId="071051C4" w14:textId="77777777" w:rsidR="00814007" w:rsidRDefault="00814007">
      <w:pPr>
        <w:pStyle w:val="FootnoteText"/>
      </w:pPr>
      <w:r>
        <w:tab/>
      </w:r>
      <w:r>
        <w:rPr>
          <w:rStyle w:val="FootnoteReference"/>
        </w:rPr>
        <w:footnoteRef/>
      </w:r>
      <w:r>
        <w:tab/>
        <w:t xml:space="preserve">See, </w:t>
      </w:r>
      <w:r w:rsidR="00814438">
        <w:t>for example</w:t>
      </w:r>
      <w:r>
        <w:t xml:space="preserve">, </w:t>
      </w:r>
      <w:r w:rsidR="00814438">
        <w:t>c</w:t>
      </w:r>
      <w:r>
        <w:t xml:space="preserve">ommunications Nos. 270 &amp; 271/2005, </w:t>
      </w:r>
      <w:r w:rsidRPr="009E4315">
        <w:rPr>
          <w:i/>
        </w:rPr>
        <w:t>E.R.K. and Y.K. v. Sweden</w:t>
      </w:r>
      <w:r>
        <w:t xml:space="preserve">, </w:t>
      </w:r>
      <w:r w:rsidR="00814438">
        <w:t>decision adopted on</w:t>
      </w:r>
      <w:r>
        <w:t xml:space="preserve"> </w:t>
      </w:r>
      <w:r w:rsidR="00814438">
        <w:t>30 April</w:t>
      </w:r>
      <w:r>
        <w:t xml:space="preserve"> 2007, paras. 7.2 and </w:t>
      </w:r>
      <w:r w:rsidRPr="00135723">
        <w:t>7.3</w:t>
      </w:r>
      <w:r w:rsidR="00135723" w:rsidRPr="00135723">
        <w:t>;</w:t>
      </w:r>
      <w:r w:rsidRPr="00135723">
        <w:t xml:space="preserve"> No. 282/2005, </w:t>
      </w:r>
      <w:r w:rsidRPr="00135723">
        <w:rPr>
          <w:i/>
        </w:rPr>
        <w:t>S.P.A. v. Canada</w:t>
      </w:r>
      <w:r w:rsidR="00135723" w:rsidRPr="00135723">
        <w:t xml:space="preserve"> (see note </w:t>
      </w:r>
      <w:r w:rsidR="00123A4D">
        <w:t>12</w:t>
      </w:r>
      <w:r w:rsidR="00135723" w:rsidRPr="00135723">
        <w:t>)</w:t>
      </w:r>
      <w:r w:rsidR="00135723" w:rsidRPr="00D0457B">
        <w:t>,</w:t>
      </w:r>
      <w:r w:rsidRPr="00135723">
        <w:t xml:space="preserve"> para. </w:t>
      </w:r>
      <w:r>
        <w:t>7.1 and 7.2</w:t>
      </w:r>
      <w:r w:rsidR="00135723">
        <w:t>;</w:t>
      </w:r>
      <w:r>
        <w:t xml:space="preserve"> No. 180/2001, </w:t>
      </w:r>
      <w:r w:rsidR="00135723">
        <w:t xml:space="preserve"> </w:t>
      </w:r>
      <w:r w:rsidR="00135723" w:rsidRPr="00D0457B">
        <w:rPr>
          <w:i/>
          <w:iCs/>
        </w:rPr>
        <w:t>Mr.</w:t>
      </w:r>
      <w:r w:rsidR="00135723">
        <w:t xml:space="preserve"> </w:t>
      </w:r>
      <w:r w:rsidRPr="009E4315">
        <w:rPr>
          <w:i/>
        </w:rPr>
        <w:t>F.F.Z. v. Denmark</w:t>
      </w:r>
      <w:r>
        <w:t xml:space="preserve">, </w:t>
      </w:r>
      <w:r w:rsidR="00135723">
        <w:t xml:space="preserve">decision adopted </w:t>
      </w:r>
      <w:r>
        <w:t>o</w:t>
      </w:r>
      <w:r w:rsidR="00135723">
        <w:t>n</w:t>
      </w:r>
      <w:r>
        <w:t xml:space="preserve"> </w:t>
      </w:r>
      <w:r w:rsidR="00135723">
        <w:t xml:space="preserve">30 April </w:t>
      </w:r>
      <w:r>
        <w:t>2002, paras. 9 and 10</w:t>
      </w:r>
      <w:r w:rsidR="00135723">
        <w:t>;</w:t>
      </w:r>
      <w:r>
        <w:t xml:space="preserve"> and No. 143/1999, </w:t>
      </w:r>
      <w:r w:rsidRPr="009E4315">
        <w:rPr>
          <w:i/>
        </w:rPr>
        <w:t>S.C. v. Denmark</w:t>
      </w:r>
      <w:r>
        <w:t xml:space="preserve">, </w:t>
      </w:r>
      <w:r w:rsidR="00135723">
        <w:t xml:space="preserve">decision adopted </w:t>
      </w:r>
      <w:r>
        <w:t xml:space="preserve">on </w:t>
      </w:r>
      <w:r w:rsidR="00135723">
        <w:t>10 May</w:t>
      </w:r>
      <w:r>
        <w:t xml:space="preserve"> 2000, paras. 6.4 and 6.6.</w:t>
      </w:r>
    </w:p>
  </w:footnote>
  <w:footnote w:id="17">
    <w:p w14:paraId="181D8261" w14:textId="77777777" w:rsidR="00814007" w:rsidRPr="006F3318" w:rsidRDefault="00814007">
      <w:pPr>
        <w:pStyle w:val="FootnoteText"/>
        <w:rPr>
          <w:sz w:val="16"/>
          <w:szCs w:val="16"/>
        </w:rPr>
      </w:pPr>
      <w:r>
        <w:tab/>
      </w:r>
      <w:r w:rsidRPr="006F3318">
        <w:rPr>
          <w:rStyle w:val="FootnoteReference"/>
          <w:szCs w:val="18"/>
        </w:rPr>
        <w:footnoteRef/>
      </w:r>
      <w:r>
        <w:tab/>
      </w:r>
      <w:r w:rsidRPr="006F3318">
        <w:rPr>
          <w:szCs w:val="18"/>
        </w:rPr>
        <w:t xml:space="preserve">See, </w:t>
      </w:r>
      <w:r w:rsidR="00135723">
        <w:rPr>
          <w:szCs w:val="18"/>
        </w:rPr>
        <w:t>for example</w:t>
      </w:r>
      <w:r w:rsidRPr="006F3318">
        <w:rPr>
          <w:szCs w:val="18"/>
        </w:rPr>
        <w:t xml:space="preserve">, </w:t>
      </w:r>
      <w:r w:rsidR="00135723">
        <w:rPr>
          <w:szCs w:val="18"/>
        </w:rPr>
        <w:t>c</w:t>
      </w:r>
      <w:r w:rsidRPr="006F3318">
        <w:rPr>
          <w:szCs w:val="18"/>
        </w:rPr>
        <w:t>ommunication</w:t>
      </w:r>
      <w:r w:rsidR="00135723">
        <w:rPr>
          <w:szCs w:val="18"/>
        </w:rPr>
        <w:t>s</w:t>
      </w:r>
      <w:r w:rsidRPr="006F3318">
        <w:rPr>
          <w:szCs w:val="18"/>
        </w:rPr>
        <w:t xml:space="preserve"> No. 220/2002, </w:t>
      </w:r>
      <w:r w:rsidRPr="006F3318">
        <w:rPr>
          <w:i/>
          <w:szCs w:val="18"/>
        </w:rPr>
        <w:t>David v. Sweden</w:t>
      </w:r>
      <w:r w:rsidRPr="006F3318">
        <w:rPr>
          <w:szCs w:val="18"/>
        </w:rPr>
        <w:t xml:space="preserve">, </w:t>
      </w:r>
      <w:r w:rsidR="00135723">
        <w:rPr>
          <w:szCs w:val="18"/>
        </w:rPr>
        <w:t xml:space="preserve">decision adopted </w:t>
      </w:r>
      <w:r w:rsidRPr="006F3318">
        <w:rPr>
          <w:szCs w:val="18"/>
        </w:rPr>
        <w:t xml:space="preserve">on </w:t>
      </w:r>
      <w:r w:rsidR="00135723">
        <w:rPr>
          <w:szCs w:val="18"/>
        </w:rPr>
        <w:t>2</w:t>
      </w:r>
      <w:r w:rsidRPr="006F3318">
        <w:rPr>
          <w:szCs w:val="18"/>
        </w:rPr>
        <w:t xml:space="preserve"> May 2005, para.</w:t>
      </w:r>
      <w:r>
        <w:rPr>
          <w:szCs w:val="18"/>
        </w:rPr>
        <w:t xml:space="preserve"> </w:t>
      </w:r>
      <w:r w:rsidRPr="006F3318">
        <w:rPr>
          <w:szCs w:val="18"/>
        </w:rPr>
        <w:t>8.2</w:t>
      </w:r>
      <w:r w:rsidR="00135723">
        <w:rPr>
          <w:szCs w:val="18"/>
        </w:rPr>
        <w:t>;</w:t>
      </w:r>
      <w:r w:rsidRPr="006F3318">
        <w:rPr>
          <w:szCs w:val="18"/>
        </w:rPr>
        <w:t xml:space="preserve"> No. 245/2004, </w:t>
      </w:r>
      <w:r w:rsidRPr="006F3318">
        <w:rPr>
          <w:i/>
          <w:szCs w:val="18"/>
        </w:rPr>
        <w:t>S.S.S. v. Canada</w:t>
      </w:r>
      <w:r w:rsidRPr="006F3318">
        <w:rPr>
          <w:szCs w:val="18"/>
        </w:rPr>
        <w:t xml:space="preserve">, </w:t>
      </w:r>
      <w:r w:rsidR="00532E69">
        <w:rPr>
          <w:szCs w:val="18"/>
        </w:rPr>
        <w:t xml:space="preserve">decision adopted </w:t>
      </w:r>
      <w:r w:rsidRPr="006F3318">
        <w:rPr>
          <w:szCs w:val="18"/>
        </w:rPr>
        <w:t xml:space="preserve">on </w:t>
      </w:r>
      <w:r w:rsidR="00532E69">
        <w:rPr>
          <w:szCs w:val="18"/>
        </w:rPr>
        <w:t>16 Novem</w:t>
      </w:r>
      <w:r w:rsidRPr="006F3318">
        <w:rPr>
          <w:szCs w:val="18"/>
        </w:rPr>
        <w:t>ber 2005, para. 8.3</w:t>
      </w:r>
      <w:r w:rsidR="00532E69">
        <w:rPr>
          <w:szCs w:val="18"/>
        </w:rPr>
        <w:t>;</w:t>
      </w:r>
      <w:r>
        <w:rPr>
          <w:szCs w:val="18"/>
        </w:rPr>
        <w:t xml:space="preserve"> </w:t>
      </w:r>
      <w:r w:rsidRPr="006F3318">
        <w:rPr>
          <w:szCs w:val="18"/>
        </w:rPr>
        <w:t xml:space="preserve">Nos. 270 &amp; 271/2005, </w:t>
      </w:r>
      <w:r w:rsidRPr="006F3318">
        <w:rPr>
          <w:i/>
          <w:szCs w:val="18"/>
        </w:rPr>
        <w:t>E.R.K. and Y.K. v. Sweden</w:t>
      </w:r>
      <w:r w:rsidR="00532E69">
        <w:rPr>
          <w:i/>
          <w:szCs w:val="18"/>
        </w:rPr>
        <w:t xml:space="preserve"> </w:t>
      </w:r>
      <w:r w:rsidR="00532E69">
        <w:rPr>
          <w:szCs w:val="18"/>
        </w:rPr>
        <w:t>(see note X)</w:t>
      </w:r>
      <w:r w:rsidRPr="006F3318">
        <w:rPr>
          <w:szCs w:val="18"/>
        </w:rPr>
        <w:t>, para.</w:t>
      </w:r>
      <w:r>
        <w:rPr>
          <w:szCs w:val="18"/>
        </w:rPr>
        <w:t xml:space="preserve"> </w:t>
      </w:r>
      <w:r w:rsidRPr="006F3318">
        <w:rPr>
          <w:szCs w:val="18"/>
        </w:rPr>
        <w:t>7.2</w:t>
      </w:r>
      <w:r w:rsidR="00532E69">
        <w:rPr>
          <w:szCs w:val="18"/>
        </w:rPr>
        <w:t>;</w:t>
      </w:r>
      <w:r w:rsidRPr="006F3318">
        <w:rPr>
          <w:szCs w:val="18"/>
        </w:rPr>
        <w:t xml:space="preserve"> and No. 286/2006, </w:t>
      </w:r>
      <w:r w:rsidRPr="006F3318">
        <w:rPr>
          <w:i/>
          <w:szCs w:val="18"/>
        </w:rPr>
        <w:t>M.R.A. v. Sweden</w:t>
      </w:r>
      <w:r w:rsidRPr="006F3318">
        <w:rPr>
          <w:szCs w:val="18"/>
        </w:rPr>
        <w:t xml:space="preserve">, </w:t>
      </w:r>
      <w:r w:rsidR="00532E69">
        <w:rPr>
          <w:szCs w:val="18"/>
        </w:rPr>
        <w:t xml:space="preserve">decision adopted </w:t>
      </w:r>
      <w:r w:rsidRPr="006F3318">
        <w:rPr>
          <w:szCs w:val="18"/>
        </w:rPr>
        <w:t xml:space="preserve">on </w:t>
      </w:r>
      <w:r w:rsidR="00532E69">
        <w:rPr>
          <w:szCs w:val="18"/>
        </w:rPr>
        <w:t>17</w:t>
      </w:r>
      <w:r w:rsidRPr="006F3318">
        <w:rPr>
          <w:szCs w:val="18"/>
        </w:rPr>
        <w:t xml:space="preserve"> November 2006, para. 7.3.</w:t>
      </w:r>
    </w:p>
  </w:footnote>
  <w:footnote w:id="18">
    <w:p w14:paraId="3F1F833A" w14:textId="77777777" w:rsidR="00814007" w:rsidRPr="0040602E" w:rsidRDefault="00814007" w:rsidP="00532E69">
      <w:pPr>
        <w:pStyle w:val="FootnoteText"/>
        <w:widowControl w:val="0"/>
        <w:tabs>
          <w:tab w:val="clear" w:pos="1021"/>
          <w:tab w:val="right" w:pos="1020"/>
        </w:tabs>
      </w:pPr>
      <w:r>
        <w:tab/>
      </w:r>
      <w:r>
        <w:rPr>
          <w:rStyle w:val="FootnoteReference"/>
        </w:rPr>
        <w:footnoteRef/>
      </w:r>
      <w:r>
        <w:tab/>
        <w:t xml:space="preserve">See </w:t>
      </w:r>
      <w:r w:rsidRPr="00C35B3E">
        <w:t>UNHCR</w:t>
      </w:r>
      <w:r w:rsidR="00532E69">
        <w:t xml:space="preserve">, </w:t>
      </w:r>
      <w:r w:rsidRPr="00D0457B">
        <w:rPr>
          <w:i/>
          <w:iCs/>
        </w:rPr>
        <w:t>Beyond proof</w:t>
      </w:r>
      <w:r w:rsidR="00532E69" w:rsidRPr="00D0457B">
        <w:rPr>
          <w:i/>
          <w:iCs/>
        </w:rPr>
        <w:t>:</w:t>
      </w:r>
      <w:r w:rsidRPr="00D0457B">
        <w:rPr>
          <w:i/>
          <w:iCs/>
        </w:rPr>
        <w:t xml:space="preserve"> </w:t>
      </w:r>
      <w:r w:rsidR="00532E69" w:rsidRPr="00D0457B">
        <w:rPr>
          <w:i/>
          <w:iCs/>
        </w:rPr>
        <w:t>c</w:t>
      </w:r>
      <w:r w:rsidRPr="00D0457B">
        <w:rPr>
          <w:i/>
          <w:iCs/>
        </w:rPr>
        <w:t xml:space="preserve">redibility </w:t>
      </w:r>
      <w:r w:rsidR="00532E69" w:rsidRPr="00D0457B">
        <w:rPr>
          <w:i/>
          <w:iCs/>
        </w:rPr>
        <w:t>a</w:t>
      </w:r>
      <w:r w:rsidRPr="00D0457B">
        <w:rPr>
          <w:i/>
          <w:iCs/>
        </w:rPr>
        <w:t xml:space="preserve">ssessment in EU </w:t>
      </w:r>
      <w:r w:rsidR="00532E69" w:rsidRPr="00D0457B">
        <w:rPr>
          <w:i/>
          <w:iCs/>
        </w:rPr>
        <w:t>a</w:t>
      </w:r>
      <w:r w:rsidRPr="00D0457B">
        <w:rPr>
          <w:i/>
          <w:iCs/>
        </w:rPr>
        <w:t xml:space="preserve">sylum </w:t>
      </w:r>
      <w:r w:rsidR="00532E69" w:rsidRPr="00D0457B">
        <w:rPr>
          <w:i/>
          <w:iCs/>
        </w:rPr>
        <w:t>s</w:t>
      </w:r>
      <w:r w:rsidRPr="00D0457B">
        <w:rPr>
          <w:i/>
          <w:iCs/>
        </w:rPr>
        <w:t>ystems</w:t>
      </w:r>
      <w:r>
        <w:t xml:space="preserve">, </w:t>
      </w:r>
      <w:r w:rsidR="00532E69">
        <w:t xml:space="preserve">May 2013, </w:t>
      </w:r>
      <w:r>
        <w:t>p</w:t>
      </w:r>
      <w:r w:rsidR="00532E69">
        <w:t>.</w:t>
      </w:r>
      <w:r>
        <w:t xml:space="preserve"> 11. </w:t>
      </w:r>
    </w:p>
  </w:footnote>
  <w:footnote w:id="19">
    <w:p w14:paraId="36FA268E" w14:textId="77777777" w:rsidR="00814007" w:rsidRDefault="00814007">
      <w:pPr>
        <w:pStyle w:val="FootnoteText"/>
      </w:pPr>
      <w:r>
        <w:tab/>
      </w:r>
      <w:r>
        <w:rPr>
          <w:rStyle w:val="FootnoteReference"/>
        </w:rPr>
        <w:footnoteRef/>
      </w:r>
      <w:r>
        <w:tab/>
      </w:r>
      <w:r w:rsidR="00532E69">
        <w:t>Ibid.,</w:t>
      </w:r>
      <w:r w:rsidRPr="00AF169A">
        <w:t xml:space="preserve"> p</w:t>
      </w:r>
      <w:r w:rsidR="00532E69">
        <w:t>p.</w:t>
      </w:r>
      <w:r w:rsidRPr="00AF169A">
        <w:t xml:space="preserve"> </w:t>
      </w:r>
      <w:r>
        <w:t xml:space="preserve">68 and </w:t>
      </w:r>
      <w:r w:rsidRPr="00AF169A">
        <w:t>1</w:t>
      </w:r>
      <w:r>
        <w:t>52</w:t>
      </w:r>
      <w:r w:rsidRPr="00AF169A">
        <w:t>.</w:t>
      </w:r>
    </w:p>
  </w:footnote>
  <w:footnote w:id="20">
    <w:p w14:paraId="35A5F14D" w14:textId="77777777" w:rsidR="00814007" w:rsidRDefault="00814007">
      <w:pPr>
        <w:pStyle w:val="FootnoteText"/>
      </w:pPr>
      <w:r>
        <w:tab/>
      </w:r>
      <w:r>
        <w:rPr>
          <w:rStyle w:val="FootnoteReference"/>
        </w:rPr>
        <w:footnoteRef/>
      </w:r>
      <w:r>
        <w:tab/>
        <w:t xml:space="preserve">See </w:t>
      </w:r>
      <w:r w:rsidR="00532E69">
        <w:t>c</w:t>
      </w:r>
      <w:r>
        <w:t>ommunication</w:t>
      </w:r>
      <w:r w:rsidR="00532E69">
        <w:t>s</w:t>
      </w:r>
      <w:r>
        <w:t xml:space="preserve"> No. 21/1995, </w:t>
      </w:r>
      <w:r w:rsidRPr="005C1E6B">
        <w:rPr>
          <w:i/>
        </w:rPr>
        <w:t>Alan v. Switzerland</w:t>
      </w:r>
      <w:r>
        <w:t xml:space="preserve">, </w:t>
      </w:r>
      <w:r w:rsidR="00532E69">
        <w:t xml:space="preserve">views adopted on </w:t>
      </w:r>
      <w:r>
        <w:t xml:space="preserve">8 May 1996; No. 41/1996, </w:t>
      </w:r>
      <w:r w:rsidRPr="005C1E6B">
        <w:rPr>
          <w:i/>
        </w:rPr>
        <w:t>Kisoki v. Sweden</w:t>
      </w:r>
      <w:r>
        <w:t xml:space="preserve">, </w:t>
      </w:r>
      <w:r w:rsidR="00532E69">
        <w:t>views adopted on 8</w:t>
      </w:r>
      <w:r>
        <w:t xml:space="preserve"> May 1996; and No. 279/2005, </w:t>
      </w:r>
      <w:r w:rsidRPr="005C1E6B">
        <w:rPr>
          <w:i/>
        </w:rPr>
        <w:t>C.T. &amp; K.M. v. Sweden</w:t>
      </w:r>
      <w:r>
        <w:t xml:space="preserve">, </w:t>
      </w:r>
      <w:r w:rsidR="00532E69">
        <w:t xml:space="preserve">decision adopted on </w:t>
      </w:r>
      <w:r>
        <w:t xml:space="preserve">17 November 2006. </w:t>
      </w:r>
    </w:p>
  </w:footnote>
  <w:footnote w:id="21">
    <w:p w14:paraId="3A26D709" w14:textId="77777777" w:rsidR="00814007" w:rsidRDefault="00814007">
      <w:pPr>
        <w:pStyle w:val="FootnoteText"/>
      </w:pPr>
      <w:r>
        <w:tab/>
      </w:r>
      <w:r>
        <w:rPr>
          <w:rStyle w:val="FootnoteReference"/>
        </w:rPr>
        <w:footnoteRef/>
      </w:r>
      <w:r>
        <w:tab/>
        <w:t xml:space="preserve">See </w:t>
      </w:r>
      <w:r w:rsidR="00B2603D">
        <w:t>c</w:t>
      </w:r>
      <w:r>
        <w:t xml:space="preserve">ommunication No. 101/1997, </w:t>
      </w:r>
      <w:r w:rsidRPr="005C1E6B">
        <w:rPr>
          <w:i/>
        </w:rPr>
        <w:t>Haydin v. Sweden</w:t>
      </w:r>
      <w:r>
        <w:t xml:space="preserve">, views adopted on 20 November 1998. </w:t>
      </w:r>
    </w:p>
  </w:footnote>
  <w:footnote w:id="22">
    <w:p w14:paraId="7F1459B8" w14:textId="77777777" w:rsidR="00814007" w:rsidRDefault="00814007">
      <w:pPr>
        <w:pStyle w:val="FootnoteText"/>
      </w:pPr>
      <w:r>
        <w:tab/>
      </w:r>
      <w:r>
        <w:rPr>
          <w:rStyle w:val="FootnoteReference"/>
        </w:rPr>
        <w:footnoteRef/>
      </w:r>
      <w:r>
        <w:tab/>
        <w:t xml:space="preserve">See the Committee’s </w:t>
      </w:r>
      <w:r w:rsidR="00B2603D">
        <w:t>g</w:t>
      </w:r>
      <w:r>
        <w:t xml:space="preserve">eneral </w:t>
      </w:r>
      <w:r w:rsidR="00B2603D">
        <w:t>c</w:t>
      </w:r>
      <w:r>
        <w:t xml:space="preserve">omment No. 1, para. 8 (c). </w:t>
      </w:r>
    </w:p>
  </w:footnote>
  <w:footnote w:id="23">
    <w:p w14:paraId="4AC2E5CC" w14:textId="77777777" w:rsidR="00814007" w:rsidRDefault="00814007" w:rsidP="00D0457B">
      <w:pPr>
        <w:pStyle w:val="FootnoteText"/>
      </w:pPr>
      <w:r>
        <w:tab/>
      </w:r>
      <w:r>
        <w:rPr>
          <w:rStyle w:val="FootnoteReference"/>
        </w:rPr>
        <w:footnoteRef/>
      </w:r>
      <w:r>
        <w:tab/>
        <w:t xml:space="preserve">See, for example, communications No. 414/2010, </w:t>
      </w:r>
      <w:r w:rsidRPr="00F95847">
        <w:rPr>
          <w:i/>
        </w:rPr>
        <w:t>N.T.W. v. Switzerland</w:t>
      </w:r>
      <w:r>
        <w:t xml:space="preserve">, decision adopted on 16 May 2012, para. 7.3; and No. 343/2008, </w:t>
      </w:r>
      <w:r w:rsidRPr="00550958">
        <w:rPr>
          <w:i/>
        </w:rPr>
        <w:t>Kalonzo v. Canada</w:t>
      </w:r>
      <w:r>
        <w:t xml:space="preserve">, decision adopted on 18 May 2012, para. 9.3. </w:t>
      </w:r>
    </w:p>
  </w:footnote>
  <w:footnote w:id="24">
    <w:p w14:paraId="31F6A9FD" w14:textId="77777777" w:rsidR="00814007" w:rsidRPr="0040602E" w:rsidRDefault="00814007" w:rsidP="00D0457B">
      <w:pPr>
        <w:pStyle w:val="FootnoteText"/>
        <w:tabs>
          <w:tab w:val="clear" w:pos="1021"/>
          <w:tab w:val="right" w:pos="1020"/>
        </w:tabs>
      </w:pPr>
      <w:r>
        <w:tab/>
      </w:r>
      <w:r>
        <w:rPr>
          <w:rStyle w:val="FootnoteReference"/>
        </w:rPr>
        <w:footnoteRef/>
      </w:r>
      <w:r>
        <w:tab/>
        <w:t>See</w:t>
      </w:r>
      <w:r w:rsidR="00B2603D">
        <w:t xml:space="preserve"> the Committee’s general comment No. 1, </w:t>
      </w:r>
      <w:r>
        <w:t xml:space="preserve">para. 8 (b). </w:t>
      </w:r>
    </w:p>
  </w:footnote>
  <w:footnote w:id="25">
    <w:p w14:paraId="5EE41172" w14:textId="77777777" w:rsidR="00D5278C" w:rsidRDefault="00D5278C">
      <w:pPr>
        <w:pStyle w:val="FootnoteText"/>
      </w:pPr>
      <w:r>
        <w:tab/>
      </w:r>
      <w:r>
        <w:rPr>
          <w:rStyle w:val="FootnoteReference"/>
        </w:rPr>
        <w:footnoteRef/>
      </w:r>
      <w:r>
        <w:t xml:space="preserve"> </w:t>
      </w:r>
      <w:r>
        <w:tab/>
        <w:t>Ibid., para. 5.</w:t>
      </w:r>
      <w:r>
        <w:tab/>
      </w:r>
    </w:p>
  </w:footnote>
  <w:footnote w:id="26">
    <w:p w14:paraId="6E7E27A4" w14:textId="77777777" w:rsidR="00814007" w:rsidRPr="00D0457B" w:rsidRDefault="00814007" w:rsidP="00D0457B">
      <w:pPr>
        <w:pStyle w:val="FootnoteText"/>
        <w:tabs>
          <w:tab w:val="clear" w:pos="1021"/>
          <w:tab w:val="right" w:pos="1020"/>
        </w:tabs>
      </w:pPr>
      <w:r>
        <w:tab/>
      </w:r>
      <w:r>
        <w:rPr>
          <w:rStyle w:val="FootnoteReference"/>
        </w:rPr>
        <w:footnoteRef/>
      </w:r>
      <w:r>
        <w:tab/>
      </w:r>
      <w:r w:rsidRPr="00266E00">
        <w:t xml:space="preserve">See communication 429/2010, </w:t>
      </w:r>
      <w:r w:rsidRPr="00266E00">
        <w:rPr>
          <w:i/>
          <w:lang w:val="en"/>
        </w:rPr>
        <w:t>M.S. v. Denmark</w:t>
      </w:r>
      <w:r>
        <w:rPr>
          <w:lang w:val="en"/>
        </w:rPr>
        <w:t xml:space="preserve">, </w:t>
      </w:r>
      <w:r w:rsidR="00B2603D">
        <w:rPr>
          <w:lang w:val="en"/>
        </w:rPr>
        <w:t>d</w:t>
      </w:r>
      <w:r>
        <w:rPr>
          <w:lang w:val="en"/>
        </w:rPr>
        <w:t>ecision adopted on 11 November 2013, paras. 10.5 and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59C3" w14:textId="77777777" w:rsidR="00814007" w:rsidRPr="00A511AC" w:rsidRDefault="00814007">
    <w:pPr>
      <w:pStyle w:val="Header"/>
    </w:pPr>
    <w:r>
      <w:t>CAT/C/55/D/571/2013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EF6DF" w14:textId="77777777" w:rsidR="00814007" w:rsidRPr="00A511AC" w:rsidRDefault="00814007" w:rsidP="00A511AC">
    <w:pPr>
      <w:pStyle w:val="Header"/>
      <w:jc w:val="right"/>
    </w:pPr>
    <w:r>
      <w:t>CAT/C/55/D/571/2013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F84726"/>
    <w:multiLevelType w:val="multilevel"/>
    <w:tmpl w:val="862A7A3A"/>
    <w:styleLink w:val="WW8Num1"/>
    <w:lvl w:ilvl="0">
      <w:start w:val="1"/>
      <w:numFmt w:val="decimal"/>
      <w:pStyle w:val="ListNumber5"/>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AC"/>
    <w:rsid w:val="0000248A"/>
    <w:rsid w:val="00003E08"/>
    <w:rsid w:val="000049AF"/>
    <w:rsid w:val="000117DB"/>
    <w:rsid w:val="00013DA4"/>
    <w:rsid w:val="00017305"/>
    <w:rsid w:val="000271CE"/>
    <w:rsid w:val="000318EA"/>
    <w:rsid w:val="00037AE1"/>
    <w:rsid w:val="00046C7D"/>
    <w:rsid w:val="00050F6B"/>
    <w:rsid w:val="0005234F"/>
    <w:rsid w:val="00057AA7"/>
    <w:rsid w:val="00057E97"/>
    <w:rsid w:val="00064058"/>
    <w:rsid w:val="0006508F"/>
    <w:rsid w:val="00067DC2"/>
    <w:rsid w:val="00071144"/>
    <w:rsid w:val="00071434"/>
    <w:rsid w:val="00072C8C"/>
    <w:rsid w:val="00073205"/>
    <w:rsid w:val="000733B5"/>
    <w:rsid w:val="000748C8"/>
    <w:rsid w:val="00076FDF"/>
    <w:rsid w:val="00077D81"/>
    <w:rsid w:val="00081815"/>
    <w:rsid w:val="0008393B"/>
    <w:rsid w:val="00083FC1"/>
    <w:rsid w:val="00092D14"/>
    <w:rsid w:val="00092E5D"/>
    <w:rsid w:val="000931C0"/>
    <w:rsid w:val="00094B47"/>
    <w:rsid w:val="00095D3F"/>
    <w:rsid w:val="00097965"/>
    <w:rsid w:val="00097EC6"/>
    <w:rsid w:val="000A2B48"/>
    <w:rsid w:val="000A2DEB"/>
    <w:rsid w:val="000A3799"/>
    <w:rsid w:val="000A5E21"/>
    <w:rsid w:val="000B175B"/>
    <w:rsid w:val="000B1D28"/>
    <w:rsid w:val="000B1EB5"/>
    <w:rsid w:val="000B3A0F"/>
    <w:rsid w:val="000B4EF7"/>
    <w:rsid w:val="000B7CB3"/>
    <w:rsid w:val="000C00DE"/>
    <w:rsid w:val="000C2C03"/>
    <w:rsid w:val="000C2D2E"/>
    <w:rsid w:val="000C308E"/>
    <w:rsid w:val="000C59A2"/>
    <w:rsid w:val="000D0731"/>
    <w:rsid w:val="000D68C8"/>
    <w:rsid w:val="000D7472"/>
    <w:rsid w:val="000E0415"/>
    <w:rsid w:val="000E2F6D"/>
    <w:rsid w:val="000E64DD"/>
    <w:rsid w:val="000E65BD"/>
    <w:rsid w:val="000F14E0"/>
    <w:rsid w:val="000F38DA"/>
    <w:rsid w:val="001103AA"/>
    <w:rsid w:val="00111139"/>
    <w:rsid w:val="00114166"/>
    <w:rsid w:val="0011728E"/>
    <w:rsid w:val="00122757"/>
    <w:rsid w:val="00123A4D"/>
    <w:rsid w:val="00125773"/>
    <w:rsid w:val="001258FD"/>
    <w:rsid w:val="00133217"/>
    <w:rsid w:val="00135723"/>
    <w:rsid w:val="001419D6"/>
    <w:rsid w:val="001450BD"/>
    <w:rsid w:val="00153179"/>
    <w:rsid w:val="00153368"/>
    <w:rsid w:val="00155064"/>
    <w:rsid w:val="0016179A"/>
    <w:rsid w:val="00162A94"/>
    <w:rsid w:val="00165F3A"/>
    <w:rsid w:val="00167492"/>
    <w:rsid w:val="00170D93"/>
    <w:rsid w:val="00171F88"/>
    <w:rsid w:val="00172118"/>
    <w:rsid w:val="00183227"/>
    <w:rsid w:val="00183A58"/>
    <w:rsid w:val="001841DC"/>
    <w:rsid w:val="00184A88"/>
    <w:rsid w:val="00186069"/>
    <w:rsid w:val="00197B02"/>
    <w:rsid w:val="00197F23"/>
    <w:rsid w:val="001A1C37"/>
    <w:rsid w:val="001A222D"/>
    <w:rsid w:val="001A30AA"/>
    <w:rsid w:val="001B1F71"/>
    <w:rsid w:val="001B1FE3"/>
    <w:rsid w:val="001B3179"/>
    <w:rsid w:val="001B4B04"/>
    <w:rsid w:val="001B535F"/>
    <w:rsid w:val="001C0242"/>
    <w:rsid w:val="001C3A5C"/>
    <w:rsid w:val="001C5995"/>
    <w:rsid w:val="001C6663"/>
    <w:rsid w:val="001C7895"/>
    <w:rsid w:val="001D0C8C"/>
    <w:rsid w:val="001D26DF"/>
    <w:rsid w:val="001D3A03"/>
    <w:rsid w:val="001D592F"/>
    <w:rsid w:val="001D5E67"/>
    <w:rsid w:val="001E057E"/>
    <w:rsid w:val="001E136C"/>
    <w:rsid w:val="001E2280"/>
    <w:rsid w:val="001E28D9"/>
    <w:rsid w:val="001E2A28"/>
    <w:rsid w:val="001E3F21"/>
    <w:rsid w:val="001F00F4"/>
    <w:rsid w:val="001F13ED"/>
    <w:rsid w:val="00201AC9"/>
    <w:rsid w:val="00202DA8"/>
    <w:rsid w:val="0020758E"/>
    <w:rsid w:val="00211E0B"/>
    <w:rsid w:val="00212A2F"/>
    <w:rsid w:val="002148FA"/>
    <w:rsid w:val="00215341"/>
    <w:rsid w:val="0022798E"/>
    <w:rsid w:val="002316AD"/>
    <w:rsid w:val="00233142"/>
    <w:rsid w:val="00235A91"/>
    <w:rsid w:val="00236591"/>
    <w:rsid w:val="0023696E"/>
    <w:rsid w:val="00237E2D"/>
    <w:rsid w:val="00250242"/>
    <w:rsid w:val="002679D7"/>
    <w:rsid w:val="00267CF0"/>
    <w:rsid w:val="00267F5F"/>
    <w:rsid w:val="00270071"/>
    <w:rsid w:val="00272507"/>
    <w:rsid w:val="00276395"/>
    <w:rsid w:val="00282645"/>
    <w:rsid w:val="002834B6"/>
    <w:rsid w:val="0028447C"/>
    <w:rsid w:val="00286B4D"/>
    <w:rsid w:val="002920C3"/>
    <w:rsid w:val="00292889"/>
    <w:rsid w:val="002955D6"/>
    <w:rsid w:val="002966B5"/>
    <w:rsid w:val="0029771C"/>
    <w:rsid w:val="00297799"/>
    <w:rsid w:val="002A1686"/>
    <w:rsid w:val="002A369B"/>
    <w:rsid w:val="002A4230"/>
    <w:rsid w:val="002A6197"/>
    <w:rsid w:val="002A68B4"/>
    <w:rsid w:val="002A6A24"/>
    <w:rsid w:val="002B073A"/>
    <w:rsid w:val="002B3C39"/>
    <w:rsid w:val="002B466B"/>
    <w:rsid w:val="002B4F65"/>
    <w:rsid w:val="002C1C6C"/>
    <w:rsid w:val="002C3424"/>
    <w:rsid w:val="002C3F95"/>
    <w:rsid w:val="002C73E1"/>
    <w:rsid w:val="002D75B6"/>
    <w:rsid w:val="002F0FC5"/>
    <w:rsid w:val="002F0FDE"/>
    <w:rsid w:val="002F175C"/>
    <w:rsid w:val="002F1A00"/>
    <w:rsid w:val="002F390D"/>
    <w:rsid w:val="002F4A6E"/>
    <w:rsid w:val="002F4AB5"/>
    <w:rsid w:val="00302BF5"/>
    <w:rsid w:val="00306A8D"/>
    <w:rsid w:val="00311E5E"/>
    <w:rsid w:val="003135B1"/>
    <w:rsid w:val="00315043"/>
    <w:rsid w:val="00315A85"/>
    <w:rsid w:val="00315C00"/>
    <w:rsid w:val="003212DF"/>
    <w:rsid w:val="003215E4"/>
    <w:rsid w:val="0032162C"/>
    <w:rsid w:val="0032185D"/>
    <w:rsid w:val="003229D8"/>
    <w:rsid w:val="003254F5"/>
    <w:rsid w:val="00326AF8"/>
    <w:rsid w:val="00327AD1"/>
    <w:rsid w:val="00330677"/>
    <w:rsid w:val="0034264F"/>
    <w:rsid w:val="00343814"/>
    <w:rsid w:val="003460DB"/>
    <w:rsid w:val="00346902"/>
    <w:rsid w:val="00346A65"/>
    <w:rsid w:val="00350FF3"/>
    <w:rsid w:val="00352709"/>
    <w:rsid w:val="00353125"/>
    <w:rsid w:val="00354FC1"/>
    <w:rsid w:val="0035603B"/>
    <w:rsid w:val="003656A5"/>
    <w:rsid w:val="003673ED"/>
    <w:rsid w:val="003676EC"/>
    <w:rsid w:val="00371178"/>
    <w:rsid w:val="003772A1"/>
    <w:rsid w:val="00381142"/>
    <w:rsid w:val="00383B35"/>
    <w:rsid w:val="00384FF9"/>
    <w:rsid w:val="00395A27"/>
    <w:rsid w:val="00396E3E"/>
    <w:rsid w:val="003A18FD"/>
    <w:rsid w:val="003A2300"/>
    <w:rsid w:val="003A2618"/>
    <w:rsid w:val="003A38BB"/>
    <w:rsid w:val="003A5595"/>
    <w:rsid w:val="003A6810"/>
    <w:rsid w:val="003B37E8"/>
    <w:rsid w:val="003C2B2D"/>
    <w:rsid w:val="003C2CC4"/>
    <w:rsid w:val="003C588E"/>
    <w:rsid w:val="003C7624"/>
    <w:rsid w:val="003D2A47"/>
    <w:rsid w:val="003D45E8"/>
    <w:rsid w:val="003D4B23"/>
    <w:rsid w:val="003D66A3"/>
    <w:rsid w:val="003D7CCC"/>
    <w:rsid w:val="003E1DA7"/>
    <w:rsid w:val="003F17B2"/>
    <w:rsid w:val="003F1DF4"/>
    <w:rsid w:val="003F2D0F"/>
    <w:rsid w:val="0040138E"/>
    <w:rsid w:val="0040602E"/>
    <w:rsid w:val="00410302"/>
    <w:rsid w:val="00410C89"/>
    <w:rsid w:val="00411356"/>
    <w:rsid w:val="00412584"/>
    <w:rsid w:val="00416EAF"/>
    <w:rsid w:val="004245B9"/>
    <w:rsid w:val="00426B9B"/>
    <w:rsid w:val="0043178E"/>
    <w:rsid w:val="0043253B"/>
    <w:rsid w:val="004325CB"/>
    <w:rsid w:val="004335CD"/>
    <w:rsid w:val="00435DFE"/>
    <w:rsid w:val="00435E17"/>
    <w:rsid w:val="004405FE"/>
    <w:rsid w:val="00440D27"/>
    <w:rsid w:val="00442A83"/>
    <w:rsid w:val="004437F2"/>
    <w:rsid w:val="004446BB"/>
    <w:rsid w:val="004464C9"/>
    <w:rsid w:val="0045088A"/>
    <w:rsid w:val="0045495B"/>
    <w:rsid w:val="004558CB"/>
    <w:rsid w:val="00472CCB"/>
    <w:rsid w:val="004749DF"/>
    <w:rsid w:val="00474FC9"/>
    <w:rsid w:val="00475072"/>
    <w:rsid w:val="00490FAB"/>
    <w:rsid w:val="00491C54"/>
    <w:rsid w:val="00497928"/>
    <w:rsid w:val="004A0A28"/>
    <w:rsid w:val="004A0D32"/>
    <w:rsid w:val="004A163D"/>
    <w:rsid w:val="004B4714"/>
    <w:rsid w:val="004B4C23"/>
    <w:rsid w:val="004B6769"/>
    <w:rsid w:val="004B7802"/>
    <w:rsid w:val="004B7D29"/>
    <w:rsid w:val="004C0373"/>
    <w:rsid w:val="004C0763"/>
    <w:rsid w:val="004C25DB"/>
    <w:rsid w:val="004C3BD6"/>
    <w:rsid w:val="004C6AE0"/>
    <w:rsid w:val="004D0A17"/>
    <w:rsid w:val="004D0D0F"/>
    <w:rsid w:val="004D1415"/>
    <w:rsid w:val="004D2A89"/>
    <w:rsid w:val="004D39A4"/>
    <w:rsid w:val="004D5CCE"/>
    <w:rsid w:val="004E2A48"/>
    <w:rsid w:val="004E7C97"/>
    <w:rsid w:val="004F1B75"/>
    <w:rsid w:val="004F34A5"/>
    <w:rsid w:val="004F6926"/>
    <w:rsid w:val="004F6AA6"/>
    <w:rsid w:val="00502DEE"/>
    <w:rsid w:val="005045AB"/>
    <w:rsid w:val="00505ACD"/>
    <w:rsid w:val="0051256E"/>
    <w:rsid w:val="005155DA"/>
    <w:rsid w:val="0051724E"/>
    <w:rsid w:val="00521092"/>
    <w:rsid w:val="0052136D"/>
    <w:rsid w:val="00523234"/>
    <w:rsid w:val="005241A4"/>
    <w:rsid w:val="005248D0"/>
    <w:rsid w:val="005270CC"/>
    <w:rsid w:val="0052750B"/>
    <w:rsid w:val="00527538"/>
    <w:rsid w:val="0052775E"/>
    <w:rsid w:val="00532982"/>
    <w:rsid w:val="00532E69"/>
    <w:rsid w:val="00534C0C"/>
    <w:rsid w:val="00536AC0"/>
    <w:rsid w:val="00536E88"/>
    <w:rsid w:val="005371C6"/>
    <w:rsid w:val="005413AF"/>
    <w:rsid w:val="00541F18"/>
    <w:rsid w:val="005420F2"/>
    <w:rsid w:val="00542944"/>
    <w:rsid w:val="005437C0"/>
    <w:rsid w:val="005438C4"/>
    <w:rsid w:val="0054716C"/>
    <w:rsid w:val="00550958"/>
    <w:rsid w:val="00552A4A"/>
    <w:rsid w:val="0055437E"/>
    <w:rsid w:val="005561E0"/>
    <w:rsid w:val="00556672"/>
    <w:rsid w:val="0055750F"/>
    <w:rsid w:val="005628B6"/>
    <w:rsid w:val="00562A03"/>
    <w:rsid w:val="0057284A"/>
    <w:rsid w:val="005777A5"/>
    <w:rsid w:val="00580235"/>
    <w:rsid w:val="0058191D"/>
    <w:rsid w:val="00584405"/>
    <w:rsid w:val="0058520C"/>
    <w:rsid w:val="00596718"/>
    <w:rsid w:val="005A438D"/>
    <w:rsid w:val="005B3DB3"/>
    <w:rsid w:val="005B52ED"/>
    <w:rsid w:val="005B6772"/>
    <w:rsid w:val="005B70FC"/>
    <w:rsid w:val="005B76C0"/>
    <w:rsid w:val="005C0AAD"/>
    <w:rsid w:val="005C10D9"/>
    <w:rsid w:val="005C1E6B"/>
    <w:rsid w:val="005C3BF4"/>
    <w:rsid w:val="005C46CF"/>
    <w:rsid w:val="005C522B"/>
    <w:rsid w:val="005D0D8D"/>
    <w:rsid w:val="005D0FDF"/>
    <w:rsid w:val="005D4382"/>
    <w:rsid w:val="005E063B"/>
    <w:rsid w:val="005E1864"/>
    <w:rsid w:val="005E2849"/>
    <w:rsid w:val="005E286D"/>
    <w:rsid w:val="005E2FCB"/>
    <w:rsid w:val="005E75FA"/>
    <w:rsid w:val="005F0171"/>
    <w:rsid w:val="005F4341"/>
    <w:rsid w:val="005F72CB"/>
    <w:rsid w:val="005F7B75"/>
    <w:rsid w:val="006001EE"/>
    <w:rsid w:val="00601B91"/>
    <w:rsid w:val="00605042"/>
    <w:rsid w:val="006060A5"/>
    <w:rsid w:val="006068A7"/>
    <w:rsid w:val="00611FC4"/>
    <w:rsid w:val="00615592"/>
    <w:rsid w:val="006176FB"/>
    <w:rsid w:val="00621B38"/>
    <w:rsid w:val="0062381A"/>
    <w:rsid w:val="00624892"/>
    <w:rsid w:val="0062571F"/>
    <w:rsid w:val="00626102"/>
    <w:rsid w:val="0062679D"/>
    <w:rsid w:val="0063608E"/>
    <w:rsid w:val="006368A6"/>
    <w:rsid w:val="006375F5"/>
    <w:rsid w:val="006401C7"/>
    <w:rsid w:val="00640B26"/>
    <w:rsid w:val="00640D87"/>
    <w:rsid w:val="00642550"/>
    <w:rsid w:val="00642652"/>
    <w:rsid w:val="00642A42"/>
    <w:rsid w:val="00642B10"/>
    <w:rsid w:val="0064306A"/>
    <w:rsid w:val="00652D0A"/>
    <w:rsid w:val="00656EE7"/>
    <w:rsid w:val="0066191E"/>
    <w:rsid w:val="00662BB6"/>
    <w:rsid w:val="00663063"/>
    <w:rsid w:val="00666CF9"/>
    <w:rsid w:val="00671842"/>
    <w:rsid w:val="00673F13"/>
    <w:rsid w:val="00681405"/>
    <w:rsid w:val="0068355A"/>
    <w:rsid w:val="006841D7"/>
    <w:rsid w:val="00684C21"/>
    <w:rsid w:val="00684D20"/>
    <w:rsid w:val="00685B9E"/>
    <w:rsid w:val="00690A59"/>
    <w:rsid w:val="006930D6"/>
    <w:rsid w:val="0069504E"/>
    <w:rsid w:val="00697307"/>
    <w:rsid w:val="006979A9"/>
    <w:rsid w:val="006A0A42"/>
    <w:rsid w:val="006A574E"/>
    <w:rsid w:val="006A5ED0"/>
    <w:rsid w:val="006A6393"/>
    <w:rsid w:val="006A698D"/>
    <w:rsid w:val="006B025A"/>
    <w:rsid w:val="006B09F4"/>
    <w:rsid w:val="006B1052"/>
    <w:rsid w:val="006B2B77"/>
    <w:rsid w:val="006B3B4E"/>
    <w:rsid w:val="006B438C"/>
    <w:rsid w:val="006C19AB"/>
    <w:rsid w:val="006C230A"/>
    <w:rsid w:val="006C2D0D"/>
    <w:rsid w:val="006D37AF"/>
    <w:rsid w:val="006D51D0"/>
    <w:rsid w:val="006D5A72"/>
    <w:rsid w:val="006E2AC3"/>
    <w:rsid w:val="006E564B"/>
    <w:rsid w:val="006E7191"/>
    <w:rsid w:val="006E7886"/>
    <w:rsid w:val="006F2EA0"/>
    <w:rsid w:val="006F3180"/>
    <w:rsid w:val="006F3318"/>
    <w:rsid w:val="006F5689"/>
    <w:rsid w:val="006F5E37"/>
    <w:rsid w:val="006F674F"/>
    <w:rsid w:val="006F7B2D"/>
    <w:rsid w:val="007016C2"/>
    <w:rsid w:val="00703577"/>
    <w:rsid w:val="00706707"/>
    <w:rsid w:val="00706733"/>
    <w:rsid w:val="00714B40"/>
    <w:rsid w:val="00720354"/>
    <w:rsid w:val="00721913"/>
    <w:rsid w:val="0072206D"/>
    <w:rsid w:val="00722855"/>
    <w:rsid w:val="0072632A"/>
    <w:rsid w:val="00726676"/>
    <w:rsid w:val="00726890"/>
    <w:rsid w:val="00730213"/>
    <w:rsid w:val="00730432"/>
    <w:rsid w:val="007327D5"/>
    <w:rsid w:val="00735FA9"/>
    <w:rsid w:val="0073651E"/>
    <w:rsid w:val="00745BB7"/>
    <w:rsid w:val="00752258"/>
    <w:rsid w:val="00752945"/>
    <w:rsid w:val="00754068"/>
    <w:rsid w:val="007629C8"/>
    <w:rsid w:val="00764E65"/>
    <w:rsid w:val="007660BE"/>
    <w:rsid w:val="00770E5F"/>
    <w:rsid w:val="00773F4D"/>
    <w:rsid w:val="00774FC0"/>
    <w:rsid w:val="00780262"/>
    <w:rsid w:val="00782883"/>
    <w:rsid w:val="007832AA"/>
    <w:rsid w:val="00783C9A"/>
    <w:rsid w:val="00785816"/>
    <w:rsid w:val="007868DE"/>
    <w:rsid w:val="0078764F"/>
    <w:rsid w:val="00787D71"/>
    <w:rsid w:val="00791F99"/>
    <w:rsid w:val="0079269F"/>
    <w:rsid w:val="00795025"/>
    <w:rsid w:val="00796FF6"/>
    <w:rsid w:val="007A5D8F"/>
    <w:rsid w:val="007A6730"/>
    <w:rsid w:val="007B0AEE"/>
    <w:rsid w:val="007B3AE2"/>
    <w:rsid w:val="007B43CE"/>
    <w:rsid w:val="007B51CD"/>
    <w:rsid w:val="007B6112"/>
    <w:rsid w:val="007B6BA5"/>
    <w:rsid w:val="007C0202"/>
    <w:rsid w:val="007C04CB"/>
    <w:rsid w:val="007C334E"/>
    <w:rsid w:val="007C3390"/>
    <w:rsid w:val="007C36FB"/>
    <w:rsid w:val="007C4F4B"/>
    <w:rsid w:val="007C6596"/>
    <w:rsid w:val="007D18C8"/>
    <w:rsid w:val="007D530F"/>
    <w:rsid w:val="007D5336"/>
    <w:rsid w:val="007D7E62"/>
    <w:rsid w:val="007F6611"/>
    <w:rsid w:val="00811009"/>
    <w:rsid w:val="0081110E"/>
    <w:rsid w:val="00812A3B"/>
    <w:rsid w:val="00814007"/>
    <w:rsid w:val="00814438"/>
    <w:rsid w:val="00823AF6"/>
    <w:rsid w:val="00823D16"/>
    <w:rsid w:val="008242D7"/>
    <w:rsid w:val="008257B1"/>
    <w:rsid w:val="00832AA7"/>
    <w:rsid w:val="0084141A"/>
    <w:rsid w:val="00843086"/>
    <w:rsid w:val="00843767"/>
    <w:rsid w:val="00850DA8"/>
    <w:rsid w:val="00855EC6"/>
    <w:rsid w:val="00861B73"/>
    <w:rsid w:val="00862943"/>
    <w:rsid w:val="00863BD3"/>
    <w:rsid w:val="0086442A"/>
    <w:rsid w:val="008660A3"/>
    <w:rsid w:val="0086703C"/>
    <w:rsid w:val="008679D9"/>
    <w:rsid w:val="0088096A"/>
    <w:rsid w:val="00882576"/>
    <w:rsid w:val="00883554"/>
    <w:rsid w:val="00883F21"/>
    <w:rsid w:val="008907BC"/>
    <w:rsid w:val="008916E8"/>
    <w:rsid w:val="0089765C"/>
    <w:rsid w:val="008979B1"/>
    <w:rsid w:val="008A187D"/>
    <w:rsid w:val="008A2F36"/>
    <w:rsid w:val="008A5D25"/>
    <w:rsid w:val="008A6B25"/>
    <w:rsid w:val="008A6C4F"/>
    <w:rsid w:val="008A6EE4"/>
    <w:rsid w:val="008B2335"/>
    <w:rsid w:val="008B4FCB"/>
    <w:rsid w:val="008B5953"/>
    <w:rsid w:val="008B64B1"/>
    <w:rsid w:val="008B7CC9"/>
    <w:rsid w:val="008B7E23"/>
    <w:rsid w:val="008C39A2"/>
    <w:rsid w:val="008C42AE"/>
    <w:rsid w:val="008C69EE"/>
    <w:rsid w:val="008D0A49"/>
    <w:rsid w:val="008D45B2"/>
    <w:rsid w:val="008D63D3"/>
    <w:rsid w:val="008D6944"/>
    <w:rsid w:val="008E05FC"/>
    <w:rsid w:val="008E0678"/>
    <w:rsid w:val="008E4285"/>
    <w:rsid w:val="008F10FF"/>
    <w:rsid w:val="008F4C0D"/>
    <w:rsid w:val="008F61ED"/>
    <w:rsid w:val="009044D7"/>
    <w:rsid w:val="00905948"/>
    <w:rsid w:val="009064D9"/>
    <w:rsid w:val="00914158"/>
    <w:rsid w:val="00916D93"/>
    <w:rsid w:val="00917676"/>
    <w:rsid w:val="009223CA"/>
    <w:rsid w:val="00924E09"/>
    <w:rsid w:val="00927E52"/>
    <w:rsid w:val="009352A4"/>
    <w:rsid w:val="00940585"/>
    <w:rsid w:val="00940F93"/>
    <w:rsid w:val="0094396A"/>
    <w:rsid w:val="00945D3C"/>
    <w:rsid w:val="00946B64"/>
    <w:rsid w:val="00947B1E"/>
    <w:rsid w:val="0095593D"/>
    <w:rsid w:val="009615F5"/>
    <w:rsid w:val="00963149"/>
    <w:rsid w:val="00963298"/>
    <w:rsid w:val="009673E4"/>
    <w:rsid w:val="00967F8E"/>
    <w:rsid w:val="0097451D"/>
    <w:rsid w:val="009760F3"/>
    <w:rsid w:val="00981AD9"/>
    <w:rsid w:val="0098203F"/>
    <w:rsid w:val="00985162"/>
    <w:rsid w:val="009908D7"/>
    <w:rsid w:val="009934A8"/>
    <w:rsid w:val="009934E2"/>
    <w:rsid w:val="00995AED"/>
    <w:rsid w:val="00995CEF"/>
    <w:rsid w:val="00995E99"/>
    <w:rsid w:val="009A0389"/>
    <w:rsid w:val="009A081E"/>
    <w:rsid w:val="009A0E8D"/>
    <w:rsid w:val="009A1AB5"/>
    <w:rsid w:val="009A2D02"/>
    <w:rsid w:val="009A5117"/>
    <w:rsid w:val="009A6630"/>
    <w:rsid w:val="009A6E0B"/>
    <w:rsid w:val="009A6F50"/>
    <w:rsid w:val="009B26E7"/>
    <w:rsid w:val="009B5607"/>
    <w:rsid w:val="009B5E9F"/>
    <w:rsid w:val="009C1114"/>
    <w:rsid w:val="009C38C6"/>
    <w:rsid w:val="009C4EF2"/>
    <w:rsid w:val="009D0642"/>
    <w:rsid w:val="009D0E84"/>
    <w:rsid w:val="009D4398"/>
    <w:rsid w:val="009D67E7"/>
    <w:rsid w:val="009E04BD"/>
    <w:rsid w:val="009E2A87"/>
    <w:rsid w:val="009E4315"/>
    <w:rsid w:val="009F28F0"/>
    <w:rsid w:val="009F5370"/>
    <w:rsid w:val="00A00A3F"/>
    <w:rsid w:val="00A01489"/>
    <w:rsid w:val="00A06200"/>
    <w:rsid w:val="00A069A6"/>
    <w:rsid w:val="00A11476"/>
    <w:rsid w:val="00A16AB7"/>
    <w:rsid w:val="00A20562"/>
    <w:rsid w:val="00A24DFA"/>
    <w:rsid w:val="00A2622E"/>
    <w:rsid w:val="00A26851"/>
    <w:rsid w:val="00A338F1"/>
    <w:rsid w:val="00A37262"/>
    <w:rsid w:val="00A511AC"/>
    <w:rsid w:val="00A5214F"/>
    <w:rsid w:val="00A6159C"/>
    <w:rsid w:val="00A618E1"/>
    <w:rsid w:val="00A700EE"/>
    <w:rsid w:val="00A7059A"/>
    <w:rsid w:val="00A72F22"/>
    <w:rsid w:val="00A73091"/>
    <w:rsid w:val="00A7360F"/>
    <w:rsid w:val="00A748A6"/>
    <w:rsid w:val="00A75ADC"/>
    <w:rsid w:val="00A75E99"/>
    <w:rsid w:val="00A769F4"/>
    <w:rsid w:val="00A776B4"/>
    <w:rsid w:val="00A80E71"/>
    <w:rsid w:val="00A8230E"/>
    <w:rsid w:val="00A8498D"/>
    <w:rsid w:val="00A859B8"/>
    <w:rsid w:val="00A94269"/>
    <w:rsid w:val="00A94361"/>
    <w:rsid w:val="00A94975"/>
    <w:rsid w:val="00A9541A"/>
    <w:rsid w:val="00A9638F"/>
    <w:rsid w:val="00A96582"/>
    <w:rsid w:val="00A96B56"/>
    <w:rsid w:val="00AA293C"/>
    <w:rsid w:val="00AA2B99"/>
    <w:rsid w:val="00AA3899"/>
    <w:rsid w:val="00AA4282"/>
    <w:rsid w:val="00AA5AC4"/>
    <w:rsid w:val="00AB1A88"/>
    <w:rsid w:val="00AB3C2A"/>
    <w:rsid w:val="00AB43F0"/>
    <w:rsid w:val="00AB50D1"/>
    <w:rsid w:val="00AC0C21"/>
    <w:rsid w:val="00AC3654"/>
    <w:rsid w:val="00AC3BC0"/>
    <w:rsid w:val="00AD0899"/>
    <w:rsid w:val="00AD0BCB"/>
    <w:rsid w:val="00AD41B5"/>
    <w:rsid w:val="00AD4465"/>
    <w:rsid w:val="00AD4CF0"/>
    <w:rsid w:val="00AD5224"/>
    <w:rsid w:val="00AD6B25"/>
    <w:rsid w:val="00AE397A"/>
    <w:rsid w:val="00AE5990"/>
    <w:rsid w:val="00AE7112"/>
    <w:rsid w:val="00AF169A"/>
    <w:rsid w:val="00AF5A62"/>
    <w:rsid w:val="00AF7949"/>
    <w:rsid w:val="00B104BC"/>
    <w:rsid w:val="00B12A75"/>
    <w:rsid w:val="00B13286"/>
    <w:rsid w:val="00B13F6B"/>
    <w:rsid w:val="00B143EB"/>
    <w:rsid w:val="00B218A3"/>
    <w:rsid w:val="00B2603D"/>
    <w:rsid w:val="00B26C8B"/>
    <w:rsid w:val="00B30179"/>
    <w:rsid w:val="00B30231"/>
    <w:rsid w:val="00B30978"/>
    <w:rsid w:val="00B323BD"/>
    <w:rsid w:val="00B36EE6"/>
    <w:rsid w:val="00B400A5"/>
    <w:rsid w:val="00B502F4"/>
    <w:rsid w:val="00B51AC0"/>
    <w:rsid w:val="00B54F31"/>
    <w:rsid w:val="00B56079"/>
    <w:rsid w:val="00B56E4A"/>
    <w:rsid w:val="00B56E9C"/>
    <w:rsid w:val="00B64B1F"/>
    <w:rsid w:val="00B65401"/>
    <w:rsid w:val="00B6553F"/>
    <w:rsid w:val="00B72A24"/>
    <w:rsid w:val="00B77D05"/>
    <w:rsid w:val="00B80FF0"/>
    <w:rsid w:val="00B81206"/>
    <w:rsid w:val="00B81E12"/>
    <w:rsid w:val="00B830B4"/>
    <w:rsid w:val="00B835BA"/>
    <w:rsid w:val="00B871DF"/>
    <w:rsid w:val="00B87A1E"/>
    <w:rsid w:val="00B901F5"/>
    <w:rsid w:val="00B9230F"/>
    <w:rsid w:val="00B92937"/>
    <w:rsid w:val="00B93ADC"/>
    <w:rsid w:val="00B95E45"/>
    <w:rsid w:val="00B97EE2"/>
    <w:rsid w:val="00BA2138"/>
    <w:rsid w:val="00BB4A93"/>
    <w:rsid w:val="00BB4E2C"/>
    <w:rsid w:val="00BB5681"/>
    <w:rsid w:val="00BC534A"/>
    <w:rsid w:val="00BC74E9"/>
    <w:rsid w:val="00BD06A0"/>
    <w:rsid w:val="00BD13AF"/>
    <w:rsid w:val="00BD4D26"/>
    <w:rsid w:val="00BE31F7"/>
    <w:rsid w:val="00BE3814"/>
    <w:rsid w:val="00BF1D1D"/>
    <w:rsid w:val="00BF39DD"/>
    <w:rsid w:val="00BF5E2B"/>
    <w:rsid w:val="00BF68A8"/>
    <w:rsid w:val="00C02F96"/>
    <w:rsid w:val="00C11A03"/>
    <w:rsid w:val="00C12581"/>
    <w:rsid w:val="00C16562"/>
    <w:rsid w:val="00C175CB"/>
    <w:rsid w:val="00C205E2"/>
    <w:rsid w:val="00C20D6D"/>
    <w:rsid w:val="00C2272D"/>
    <w:rsid w:val="00C24A1C"/>
    <w:rsid w:val="00C24BDC"/>
    <w:rsid w:val="00C33AE9"/>
    <w:rsid w:val="00C34947"/>
    <w:rsid w:val="00C356E9"/>
    <w:rsid w:val="00C35B3E"/>
    <w:rsid w:val="00C36026"/>
    <w:rsid w:val="00C42634"/>
    <w:rsid w:val="00C4366A"/>
    <w:rsid w:val="00C4421F"/>
    <w:rsid w:val="00C457AC"/>
    <w:rsid w:val="00C463DD"/>
    <w:rsid w:val="00C4724C"/>
    <w:rsid w:val="00C50345"/>
    <w:rsid w:val="00C539FE"/>
    <w:rsid w:val="00C55953"/>
    <w:rsid w:val="00C603F6"/>
    <w:rsid w:val="00C629A0"/>
    <w:rsid w:val="00C667BE"/>
    <w:rsid w:val="00C675ED"/>
    <w:rsid w:val="00C70FA9"/>
    <w:rsid w:val="00C71603"/>
    <w:rsid w:val="00C745C3"/>
    <w:rsid w:val="00C85FA5"/>
    <w:rsid w:val="00C87BAC"/>
    <w:rsid w:val="00CA07E2"/>
    <w:rsid w:val="00CA11A3"/>
    <w:rsid w:val="00CA5471"/>
    <w:rsid w:val="00CA5F1D"/>
    <w:rsid w:val="00CA7A6D"/>
    <w:rsid w:val="00CB1801"/>
    <w:rsid w:val="00CB6901"/>
    <w:rsid w:val="00CC166D"/>
    <w:rsid w:val="00CC699A"/>
    <w:rsid w:val="00CC7057"/>
    <w:rsid w:val="00CD27A2"/>
    <w:rsid w:val="00CD2A88"/>
    <w:rsid w:val="00CD2ED5"/>
    <w:rsid w:val="00CD6A0F"/>
    <w:rsid w:val="00CD770C"/>
    <w:rsid w:val="00CD7D3F"/>
    <w:rsid w:val="00CE4A8F"/>
    <w:rsid w:val="00D01DA0"/>
    <w:rsid w:val="00D028DD"/>
    <w:rsid w:val="00D0457B"/>
    <w:rsid w:val="00D07053"/>
    <w:rsid w:val="00D20058"/>
    <w:rsid w:val="00D2031B"/>
    <w:rsid w:val="00D21697"/>
    <w:rsid w:val="00D235DE"/>
    <w:rsid w:val="00D23779"/>
    <w:rsid w:val="00D25FE2"/>
    <w:rsid w:val="00D3364A"/>
    <w:rsid w:val="00D354CC"/>
    <w:rsid w:val="00D40513"/>
    <w:rsid w:val="00D43252"/>
    <w:rsid w:val="00D435DD"/>
    <w:rsid w:val="00D47706"/>
    <w:rsid w:val="00D47EEA"/>
    <w:rsid w:val="00D51CB6"/>
    <w:rsid w:val="00D5278C"/>
    <w:rsid w:val="00D5379A"/>
    <w:rsid w:val="00D550F5"/>
    <w:rsid w:val="00D57693"/>
    <w:rsid w:val="00D63FFA"/>
    <w:rsid w:val="00D6469B"/>
    <w:rsid w:val="00D67123"/>
    <w:rsid w:val="00D67175"/>
    <w:rsid w:val="00D70588"/>
    <w:rsid w:val="00D74069"/>
    <w:rsid w:val="00D757FA"/>
    <w:rsid w:val="00D76978"/>
    <w:rsid w:val="00D815BA"/>
    <w:rsid w:val="00D90550"/>
    <w:rsid w:val="00D935BC"/>
    <w:rsid w:val="00D93CC8"/>
    <w:rsid w:val="00D95303"/>
    <w:rsid w:val="00D96F81"/>
    <w:rsid w:val="00D978C6"/>
    <w:rsid w:val="00DA23D8"/>
    <w:rsid w:val="00DA3C1C"/>
    <w:rsid w:val="00DA4F24"/>
    <w:rsid w:val="00DB2D8E"/>
    <w:rsid w:val="00DB62F8"/>
    <w:rsid w:val="00DB6371"/>
    <w:rsid w:val="00DC1764"/>
    <w:rsid w:val="00DC3F5A"/>
    <w:rsid w:val="00DD38A2"/>
    <w:rsid w:val="00DD3978"/>
    <w:rsid w:val="00DD57A3"/>
    <w:rsid w:val="00DE78A8"/>
    <w:rsid w:val="00DE7C10"/>
    <w:rsid w:val="00DE7F2E"/>
    <w:rsid w:val="00DF0FE6"/>
    <w:rsid w:val="00DF16C8"/>
    <w:rsid w:val="00DF364C"/>
    <w:rsid w:val="00DF621B"/>
    <w:rsid w:val="00DF67DC"/>
    <w:rsid w:val="00DF6857"/>
    <w:rsid w:val="00DF7D64"/>
    <w:rsid w:val="00DF7FED"/>
    <w:rsid w:val="00E00BE6"/>
    <w:rsid w:val="00E0220F"/>
    <w:rsid w:val="00E04CD2"/>
    <w:rsid w:val="00E058DC"/>
    <w:rsid w:val="00E12C96"/>
    <w:rsid w:val="00E1511C"/>
    <w:rsid w:val="00E169CC"/>
    <w:rsid w:val="00E1762F"/>
    <w:rsid w:val="00E25B57"/>
    <w:rsid w:val="00E27346"/>
    <w:rsid w:val="00E32EFC"/>
    <w:rsid w:val="00E331AC"/>
    <w:rsid w:val="00E34F6B"/>
    <w:rsid w:val="00E373F2"/>
    <w:rsid w:val="00E40D05"/>
    <w:rsid w:val="00E43C7E"/>
    <w:rsid w:val="00E44CF1"/>
    <w:rsid w:val="00E468EF"/>
    <w:rsid w:val="00E5020E"/>
    <w:rsid w:val="00E535FA"/>
    <w:rsid w:val="00E5623F"/>
    <w:rsid w:val="00E60960"/>
    <w:rsid w:val="00E60E80"/>
    <w:rsid w:val="00E61E38"/>
    <w:rsid w:val="00E63F84"/>
    <w:rsid w:val="00E71BC8"/>
    <w:rsid w:val="00E7260F"/>
    <w:rsid w:val="00E73E1A"/>
    <w:rsid w:val="00E7799B"/>
    <w:rsid w:val="00E81380"/>
    <w:rsid w:val="00E81898"/>
    <w:rsid w:val="00E81ED2"/>
    <w:rsid w:val="00E90B41"/>
    <w:rsid w:val="00E926F4"/>
    <w:rsid w:val="00E96630"/>
    <w:rsid w:val="00EA21B0"/>
    <w:rsid w:val="00EA2AE5"/>
    <w:rsid w:val="00EA34F6"/>
    <w:rsid w:val="00EA416E"/>
    <w:rsid w:val="00EA6949"/>
    <w:rsid w:val="00EA7E7C"/>
    <w:rsid w:val="00EB0398"/>
    <w:rsid w:val="00EB20A9"/>
    <w:rsid w:val="00EB45D0"/>
    <w:rsid w:val="00EC034D"/>
    <w:rsid w:val="00EC23CA"/>
    <w:rsid w:val="00EC5BA2"/>
    <w:rsid w:val="00EC6305"/>
    <w:rsid w:val="00EC7ABC"/>
    <w:rsid w:val="00ED2DB1"/>
    <w:rsid w:val="00ED3A05"/>
    <w:rsid w:val="00ED7A2A"/>
    <w:rsid w:val="00ED7D55"/>
    <w:rsid w:val="00EE0A9E"/>
    <w:rsid w:val="00EE42F8"/>
    <w:rsid w:val="00EF013A"/>
    <w:rsid w:val="00EF1D7F"/>
    <w:rsid w:val="00EF208B"/>
    <w:rsid w:val="00EF5E06"/>
    <w:rsid w:val="00F004C8"/>
    <w:rsid w:val="00F0085C"/>
    <w:rsid w:val="00F05A06"/>
    <w:rsid w:val="00F128F8"/>
    <w:rsid w:val="00F146E4"/>
    <w:rsid w:val="00F150D5"/>
    <w:rsid w:val="00F164D6"/>
    <w:rsid w:val="00F2162B"/>
    <w:rsid w:val="00F258FF"/>
    <w:rsid w:val="00F25E82"/>
    <w:rsid w:val="00F25EF8"/>
    <w:rsid w:val="00F27BDB"/>
    <w:rsid w:val="00F34539"/>
    <w:rsid w:val="00F36FA5"/>
    <w:rsid w:val="00F43555"/>
    <w:rsid w:val="00F442DC"/>
    <w:rsid w:val="00F460E4"/>
    <w:rsid w:val="00F50538"/>
    <w:rsid w:val="00F5252E"/>
    <w:rsid w:val="00F543E1"/>
    <w:rsid w:val="00F54C3A"/>
    <w:rsid w:val="00F55E32"/>
    <w:rsid w:val="00F568B4"/>
    <w:rsid w:val="00F65F74"/>
    <w:rsid w:val="00F81E92"/>
    <w:rsid w:val="00F87A0C"/>
    <w:rsid w:val="00F9028F"/>
    <w:rsid w:val="00F92963"/>
    <w:rsid w:val="00F93781"/>
    <w:rsid w:val="00F95847"/>
    <w:rsid w:val="00FA0252"/>
    <w:rsid w:val="00FA5869"/>
    <w:rsid w:val="00FB08BC"/>
    <w:rsid w:val="00FB2E68"/>
    <w:rsid w:val="00FB613B"/>
    <w:rsid w:val="00FB62CC"/>
    <w:rsid w:val="00FC2A80"/>
    <w:rsid w:val="00FC5EAF"/>
    <w:rsid w:val="00FC68B7"/>
    <w:rsid w:val="00FC756D"/>
    <w:rsid w:val="00FD318B"/>
    <w:rsid w:val="00FD44CF"/>
    <w:rsid w:val="00FD78B4"/>
    <w:rsid w:val="00FE009E"/>
    <w:rsid w:val="00FE106A"/>
    <w:rsid w:val="00FE50BE"/>
    <w:rsid w:val="00FF1995"/>
    <w:rsid w:val="00FF5142"/>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9EEF81"/>
  <w15:docId w15:val="{4497A231-EB5C-4FE2-8461-309EB658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AF"/>
    <w:pPr>
      <w:suppressAutoHyphens/>
      <w:spacing w:line="240" w:lineRule="atLeast"/>
    </w:pPr>
    <w:rPr>
      <w:lang w:eastAsia="en-US"/>
    </w:rPr>
  </w:style>
  <w:style w:type="paragraph" w:styleId="Heading1">
    <w:name w:val="heading 1"/>
    <w:aliases w:val="Table_G"/>
    <w:basedOn w:val="SingleTxtG"/>
    <w:next w:val="SingleTxtG"/>
    <w:qFormat/>
    <w:rsid w:val="00416EAF"/>
    <w:pPr>
      <w:spacing w:after="0" w:line="240" w:lineRule="auto"/>
      <w:ind w:right="0"/>
      <w:jc w:val="left"/>
      <w:outlineLvl w:val="0"/>
    </w:pPr>
  </w:style>
  <w:style w:type="paragraph" w:styleId="Heading2">
    <w:name w:val="heading 2"/>
    <w:basedOn w:val="Normal"/>
    <w:next w:val="Normal"/>
    <w:qFormat/>
    <w:rsid w:val="00416EAF"/>
    <w:pPr>
      <w:spacing w:line="240" w:lineRule="auto"/>
      <w:outlineLvl w:val="1"/>
    </w:pPr>
  </w:style>
  <w:style w:type="paragraph" w:styleId="Heading3">
    <w:name w:val="heading 3"/>
    <w:basedOn w:val="Normal"/>
    <w:next w:val="Normal"/>
    <w:qFormat/>
    <w:rsid w:val="00416EAF"/>
    <w:pPr>
      <w:spacing w:line="240" w:lineRule="auto"/>
      <w:outlineLvl w:val="2"/>
    </w:pPr>
  </w:style>
  <w:style w:type="paragraph" w:styleId="Heading4">
    <w:name w:val="heading 4"/>
    <w:basedOn w:val="Normal"/>
    <w:next w:val="Normal"/>
    <w:qFormat/>
    <w:rsid w:val="00416EAF"/>
    <w:pPr>
      <w:spacing w:line="240" w:lineRule="auto"/>
      <w:outlineLvl w:val="3"/>
    </w:pPr>
  </w:style>
  <w:style w:type="paragraph" w:styleId="Heading5">
    <w:name w:val="heading 5"/>
    <w:basedOn w:val="Normal"/>
    <w:next w:val="Normal"/>
    <w:qFormat/>
    <w:rsid w:val="00416EAF"/>
    <w:pPr>
      <w:spacing w:line="240" w:lineRule="auto"/>
      <w:outlineLvl w:val="4"/>
    </w:pPr>
  </w:style>
  <w:style w:type="paragraph" w:styleId="Heading6">
    <w:name w:val="heading 6"/>
    <w:basedOn w:val="Normal"/>
    <w:next w:val="Normal"/>
    <w:qFormat/>
    <w:rsid w:val="00416EAF"/>
    <w:pPr>
      <w:spacing w:line="240" w:lineRule="auto"/>
      <w:outlineLvl w:val="5"/>
    </w:pPr>
  </w:style>
  <w:style w:type="paragraph" w:styleId="Heading7">
    <w:name w:val="heading 7"/>
    <w:basedOn w:val="Normal"/>
    <w:next w:val="Normal"/>
    <w:qFormat/>
    <w:rsid w:val="00416EAF"/>
    <w:pPr>
      <w:spacing w:line="240" w:lineRule="auto"/>
      <w:outlineLvl w:val="6"/>
    </w:pPr>
  </w:style>
  <w:style w:type="paragraph" w:styleId="Heading8">
    <w:name w:val="heading 8"/>
    <w:basedOn w:val="Normal"/>
    <w:next w:val="Normal"/>
    <w:qFormat/>
    <w:rsid w:val="00416EAF"/>
    <w:pPr>
      <w:spacing w:line="240" w:lineRule="auto"/>
      <w:outlineLvl w:val="7"/>
    </w:pPr>
  </w:style>
  <w:style w:type="paragraph" w:styleId="Heading9">
    <w:name w:val="heading 9"/>
    <w:basedOn w:val="Normal"/>
    <w:next w:val="Normal"/>
    <w:qFormat/>
    <w:rsid w:val="00416EAF"/>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16EAF"/>
    <w:pPr>
      <w:spacing w:after="120"/>
      <w:ind w:left="1134" w:right="1134"/>
      <w:jc w:val="both"/>
    </w:pPr>
  </w:style>
  <w:style w:type="paragraph" w:customStyle="1" w:styleId="HMG">
    <w:name w:val="_ H __M_G"/>
    <w:basedOn w:val="Normal"/>
    <w:next w:val="Normal"/>
    <w:rsid w:val="00416EAF"/>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416EAF"/>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416EAF"/>
    <w:pPr>
      <w:pBdr>
        <w:bottom w:val="single" w:sz="4" w:space="4" w:color="auto"/>
      </w:pBdr>
      <w:spacing w:line="240" w:lineRule="auto"/>
    </w:pPr>
    <w:rPr>
      <w:b/>
      <w:sz w:val="18"/>
    </w:rPr>
  </w:style>
  <w:style w:type="table" w:styleId="TableGrid">
    <w:name w:val="Table Grid"/>
    <w:basedOn w:val="TableNormal"/>
    <w:semiHidden/>
    <w:rsid w:val="00416EA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416EAF"/>
    <w:rPr>
      <w:color w:val="auto"/>
      <w:u w:val="none"/>
    </w:rPr>
  </w:style>
  <w:style w:type="character" w:styleId="FollowedHyperlink">
    <w:name w:val="FollowedHyperlink"/>
    <w:semiHidden/>
    <w:rsid w:val="00416EAF"/>
    <w:rPr>
      <w:color w:val="auto"/>
      <w:u w:val="none"/>
    </w:rPr>
  </w:style>
  <w:style w:type="paragraph" w:styleId="FootnoteText">
    <w:name w:val="footnote text"/>
    <w:aliases w:val="5_G"/>
    <w:basedOn w:val="Normal"/>
    <w:link w:val="FootnoteTextChar"/>
    <w:qFormat/>
    <w:rsid w:val="00FC756D"/>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416EAF"/>
  </w:style>
  <w:style w:type="paragraph" w:customStyle="1" w:styleId="SMG">
    <w:name w:val="__S_M_G"/>
    <w:basedOn w:val="Normal"/>
    <w:next w:val="Normal"/>
    <w:rsid w:val="00416EAF"/>
    <w:pPr>
      <w:keepNext/>
      <w:keepLines/>
      <w:spacing w:before="240" w:after="240" w:line="420" w:lineRule="exact"/>
      <w:ind w:left="1134" w:right="1134"/>
    </w:pPr>
    <w:rPr>
      <w:b/>
      <w:sz w:val="40"/>
    </w:rPr>
  </w:style>
  <w:style w:type="paragraph" w:customStyle="1" w:styleId="SLG">
    <w:name w:val="__S_L_G"/>
    <w:basedOn w:val="Normal"/>
    <w:next w:val="Normal"/>
    <w:rsid w:val="00416EAF"/>
    <w:pPr>
      <w:keepNext/>
      <w:keepLines/>
      <w:spacing w:before="240" w:after="240" w:line="580" w:lineRule="exact"/>
      <w:ind w:left="1134" w:right="1134"/>
    </w:pPr>
    <w:rPr>
      <w:b/>
      <w:sz w:val="56"/>
    </w:rPr>
  </w:style>
  <w:style w:type="paragraph" w:customStyle="1" w:styleId="SSG">
    <w:name w:val="__S_S_G"/>
    <w:basedOn w:val="Normal"/>
    <w:next w:val="Normal"/>
    <w:rsid w:val="00416EAF"/>
    <w:pPr>
      <w:keepNext/>
      <w:keepLines/>
      <w:spacing w:before="240" w:after="240" w:line="300" w:lineRule="exact"/>
      <w:ind w:left="1134" w:right="1134"/>
    </w:pPr>
    <w:rPr>
      <w:b/>
      <w:sz w:val="28"/>
    </w:rPr>
  </w:style>
  <w:style w:type="character" w:styleId="EndnoteReference">
    <w:name w:val="endnote reference"/>
    <w:aliases w:val="1_G"/>
    <w:rsid w:val="00416EAF"/>
    <w:rPr>
      <w:rFonts w:ascii="Times New Roman" w:hAnsi="Times New Roman"/>
      <w:sz w:val="18"/>
      <w:vertAlign w:val="superscript"/>
    </w:rPr>
  </w:style>
  <w:style w:type="character" w:styleId="FootnoteReference">
    <w:name w:val="footnote reference"/>
    <w:aliases w:val="4_G"/>
    <w:qFormat/>
    <w:rsid w:val="00FC756D"/>
    <w:rPr>
      <w:rFonts w:ascii="Times New Roman" w:hAnsi="Times New Roman"/>
      <w:sz w:val="18"/>
      <w:vertAlign w:val="superscript"/>
    </w:rPr>
  </w:style>
  <w:style w:type="character" w:styleId="PageNumber">
    <w:name w:val="page number"/>
    <w:aliases w:val="7_G"/>
    <w:rsid w:val="00416EAF"/>
    <w:rPr>
      <w:rFonts w:ascii="Times New Roman" w:hAnsi="Times New Roman"/>
      <w:b/>
      <w:sz w:val="18"/>
    </w:rPr>
  </w:style>
  <w:style w:type="paragraph" w:customStyle="1" w:styleId="XLargeG">
    <w:name w:val="__XLarge_G"/>
    <w:basedOn w:val="Normal"/>
    <w:next w:val="Normal"/>
    <w:rsid w:val="00416EAF"/>
    <w:pPr>
      <w:keepNext/>
      <w:keepLines/>
      <w:spacing w:before="240" w:after="240" w:line="420" w:lineRule="exact"/>
      <w:ind w:left="1134" w:right="1134"/>
    </w:pPr>
    <w:rPr>
      <w:b/>
      <w:sz w:val="40"/>
    </w:rPr>
  </w:style>
  <w:style w:type="paragraph" w:customStyle="1" w:styleId="Bullet1G">
    <w:name w:val="_Bullet 1_G"/>
    <w:basedOn w:val="Normal"/>
    <w:rsid w:val="00416EAF"/>
    <w:pPr>
      <w:numPr>
        <w:numId w:val="1"/>
      </w:numPr>
      <w:spacing w:after="120"/>
      <w:ind w:right="1134"/>
      <w:jc w:val="both"/>
    </w:pPr>
  </w:style>
  <w:style w:type="paragraph" w:styleId="Footer">
    <w:name w:val="footer"/>
    <w:aliases w:val="3_G"/>
    <w:basedOn w:val="Normal"/>
    <w:rsid w:val="00416EAF"/>
    <w:pPr>
      <w:spacing w:line="240" w:lineRule="auto"/>
    </w:pPr>
    <w:rPr>
      <w:sz w:val="16"/>
    </w:rPr>
  </w:style>
  <w:style w:type="paragraph" w:customStyle="1" w:styleId="Bullet2G">
    <w:name w:val="_Bullet 2_G"/>
    <w:basedOn w:val="Normal"/>
    <w:rsid w:val="00416EAF"/>
    <w:pPr>
      <w:numPr>
        <w:numId w:val="2"/>
      </w:numPr>
      <w:spacing w:after="120"/>
      <w:ind w:right="1134"/>
      <w:jc w:val="both"/>
    </w:pPr>
  </w:style>
  <w:style w:type="paragraph" w:customStyle="1" w:styleId="H1G">
    <w:name w:val="_ H_1_G"/>
    <w:basedOn w:val="Normal"/>
    <w:next w:val="Normal"/>
    <w:rsid w:val="00416EAF"/>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416EAF"/>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416EAF"/>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416EAF"/>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796FF6"/>
    <w:rPr>
      <w:rFonts w:eastAsia="SimSun"/>
      <w:sz w:val="18"/>
      <w:lang w:val="en-US" w:eastAsia="zh-CN"/>
    </w:rPr>
  </w:style>
  <w:style w:type="paragraph" w:customStyle="1" w:styleId="Footnote">
    <w:name w:val="Footnote"/>
    <w:basedOn w:val="Normal"/>
    <w:rsid w:val="00823AF6"/>
    <w:pPr>
      <w:tabs>
        <w:tab w:val="right" w:pos="2155"/>
      </w:tabs>
      <w:autoSpaceDN w:val="0"/>
      <w:spacing w:line="220" w:lineRule="exact"/>
      <w:ind w:left="1134" w:right="1134" w:hanging="1134"/>
      <w:textAlignment w:val="baseline"/>
    </w:pPr>
    <w:rPr>
      <w:kern w:val="3"/>
      <w:sz w:val="18"/>
      <w:lang w:eastAsia="zh-CN"/>
    </w:rPr>
  </w:style>
  <w:style w:type="paragraph" w:styleId="ListNumber5">
    <w:name w:val="List Number 5"/>
    <w:basedOn w:val="Normal"/>
    <w:rsid w:val="00823AF6"/>
    <w:pPr>
      <w:numPr>
        <w:numId w:val="3"/>
      </w:numPr>
      <w:autoSpaceDN w:val="0"/>
      <w:textAlignment w:val="baseline"/>
    </w:pPr>
    <w:rPr>
      <w:kern w:val="3"/>
      <w:lang w:eastAsia="zh-CN"/>
    </w:rPr>
  </w:style>
  <w:style w:type="numbering" w:customStyle="1" w:styleId="WW8Num1">
    <w:name w:val="WW8Num1"/>
    <w:basedOn w:val="NoList"/>
    <w:rsid w:val="00823AF6"/>
    <w:pPr>
      <w:numPr>
        <w:numId w:val="3"/>
      </w:numPr>
    </w:pPr>
  </w:style>
  <w:style w:type="numbering" w:customStyle="1" w:styleId="WW8Num11">
    <w:name w:val="WW8Num11"/>
    <w:basedOn w:val="NoList"/>
    <w:rsid w:val="00823AF6"/>
  </w:style>
  <w:style w:type="paragraph" w:customStyle="1" w:styleId="Standard">
    <w:name w:val="Standard"/>
    <w:link w:val="StandardChar"/>
    <w:rsid w:val="008F61ED"/>
    <w:pPr>
      <w:suppressAutoHyphens/>
      <w:autoSpaceDN w:val="0"/>
      <w:spacing w:line="240" w:lineRule="atLeast"/>
      <w:textAlignment w:val="baseline"/>
    </w:pPr>
    <w:rPr>
      <w:kern w:val="3"/>
      <w:lang w:eastAsia="zh-CN"/>
    </w:rPr>
  </w:style>
  <w:style w:type="character" w:customStyle="1" w:styleId="StandardChar">
    <w:name w:val="Standard Char"/>
    <w:link w:val="Standard"/>
    <w:rsid w:val="008F61ED"/>
    <w:rPr>
      <w:kern w:val="3"/>
      <w:lang w:eastAsia="zh-CN"/>
    </w:rPr>
  </w:style>
  <w:style w:type="numbering" w:customStyle="1" w:styleId="WW8Num12">
    <w:name w:val="WW8Num12"/>
    <w:basedOn w:val="NoList"/>
    <w:rsid w:val="008F61ED"/>
  </w:style>
  <w:style w:type="numbering" w:customStyle="1" w:styleId="WW8Num13">
    <w:name w:val="WW8Num13"/>
    <w:basedOn w:val="NoList"/>
    <w:rsid w:val="00497928"/>
  </w:style>
  <w:style w:type="numbering" w:customStyle="1" w:styleId="WW8Num14">
    <w:name w:val="WW8Num14"/>
    <w:basedOn w:val="NoList"/>
    <w:rsid w:val="007C04CB"/>
  </w:style>
  <w:style w:type="numbering" w:customStyle="1" w:styleId="WW8Num15">
    <w:name w:val="WW8Num15"/>
    <w:basedOn w:val="NoList"/>
    <w:rsid w:val="007D18C8"/>
  </w:style>
  <w:style w:type="numbering" w:customStyle="1" w:styleId="WW8Num16">
    <w:name w:val="WW8Num16"/>
    <w:basedOn w:val="NoList"/>
    <w:rsid w:val="00F442DC"/>
  </w:style>
  <w:style w:type="paragraph" w:styleId="BalloonText">
    <w:name w:val="Balloon Text"/>
    <w:basedOn w:val="Normal"/>
    <w:link w:val="BalloonTextChar"/>
    <w:rsid w:val="000B1D28"/>
    <w:pPr>
      <w:spacing w:line="240" w:lineRule="auto"/>
    </w:pPr>
    <w:rPr>
      <w:rFonts w:ascii="Tahoma" w:hAnsi="Tahoma" w:cs="Tahoma"/>
      <w:sz w:val="16"/>
      <w:szCs w:val="16"/>
    </w:rPr>
  </w:style>
  <w:style w:type="character" w:customStyle="1" w:styleId="BalloonTextChar">
    <w:name w:val="Balloon Text Char"/>
    <w:link w:val="BalloonText"/>
    <w:rsid w:val="000B1D28"/>
    <w:rPr>
      <w:rFonts w:ascii="Tahoma" w:hAnsi="Tahoma" w:cs="Tahoma"/>
      <w:sz w:val="16"/>
      <w:szCs w:val="16"/>
      <w:lang w:eastAsia="en-US"/>
    </w:rPr>
  </w:style>
  <w:style w:type="paragraph" w:customStyle="1" w:styleId="ColorfulList-Accent11">
    <w:name w:val="Colorful List - Accent 11"/>
    <w:basedOn w:val="Normal"/>
    <w:uiPriority w:val="34"/>
    <w:qFormat/>
    <w:rsid w:val="00541F18"/>
    <w:pPr>
      <w:ind w:left="720"/>
      <w:contextualSpacing/>
    </w:pPr>
  </w:style>
  <w:style w:type="paragraph" w:customStyle="1" w:styleId="MediumGrid21">
    <w:name w:val="Medium Grid 21"/>
    <w:uiPriority w:val="1"/>
    <w:qFormat/>
    <w:rsid w:val="004C0373"/>
    <w:rPr>
      <w:rFonts w:ascii="Calibri" w:eastAsia="Calibri" w:hAnsi="Calibri"/>
      <w:sz w:val="22"/>
      <w:szCs w:val="22"/>
      <w:lang w:val="en-US" w:eastAsia="en-US"/>
    </w:rPr>
  </w:style>
  <w:style w:type="paragraph" w:styleId="NormalWeb">
    <w:name w:val="Normal (Web)"/>
    <w:basedOn w:val="Normal"/>
    <w:rsid w:val="007A5D8F"/>
    <w:rPr>
      <w:sz w:val="24"/>
      <w:szCs w:val="24"/>
    </w:rPr>
  </w:style>
  <w:style w:type="character" w:styleId="CommentReference">
    <w:name w:val="annotation reference"/>
    <w:rsid w:val="006F2EA0"/>
    <w:rPr>
      <w:sz w:val="16"/>
      <w:szCs w:val="16"/>
    </w:rPr>
  </w:style>
  <w:style w:type="paragraph" w:styleId="CommentText">
    <w:name w:val="annotation text"/>
    <w:basedOn w:val="Normal"/>
    <w:link w:val="CommentTextChar"/>
    <w:rsid w:val="006F2EA0"/>
    <w:pPr>
      <w:spacing w:line="240" w:lineRule="auto"/>
    </w:pPr>
  </w:style>
  <w:style w:type="character" w:customStyle="1" w:styleId="CommentTextChar">
    <w:name w:val="Comment Text Char"/>
    <w:link w:val="CommentText"/>
    <w:rsid w:val="006F2EA0"/>
    <w:rPr>
      <w:lang w:eastAsia="en-US"/>
    </w:rPr>
  </w:style>
  <w:style w:type="paragraph" w:styleId="CommentSubject">
    <w:name w:val="annotation subject"/>
    <w:basedOn w:val="CommentText"/>
    <w:next w:val="CommentText"/>
    <w:link w:val="CommentSubjectChar"/>
    <w:rsid w:val="006F2EA0"/>
    <w:rPr>
      <w:b/>
      <w:bCs/>
    </w:rPr>
  </w:style>
  <w:style w:type="character" w:customStyle="1" w:styleId="CommentSubjectChar">
    <w:name w:val="Comment Subject Char"/>
    <w:link w:val="CommentSubject"/>
    <w:rsid w:val="006F2EA0"/>
    <w:rPr>
      <w:b/>
      <w:bCs/>
      <w:lang w:eastAsia="en-US"/>
    </w:rPr>
  </w:style>
  <w:style w:type="paragraph" w:customStyle="1" w:styleId="Default">
    <w:name w:val="Default"/>
    <w:rsid w:val="006B1052"/>
    <w:pPr>
      <w:autoSpaceDE w:val="0"/>
      <w:autoSpaceDN w:val="0"/>
      <w:adjustRightInd w:val="0"/>
    </w:pPr>
    <w:rPr>
      <w:color w:val="000000"/>
      <w:sz w:val="24"/>
      <w:szCs w:val="24"/>
    </w:rPr>
  </w:style>
  <w:style w:type="character" w:customStyle="1" w:styleId="SingleTxtGChar">
    <w:name w:val="_ Single Txt_G Char"/>
    <w:link w:val="SingleTxtG"/>
    <w:locked/>
    <w:rsid w:val="00626102"/>
    <w:rPr>
      <w:lang w:eastAsia="en-US"/>
    </w:rPr>
  </w:style>
  <w:style w:type="paragraph" w:styleId="Revision">
    <w:name w:val="Revision"/>
    <w:hidden/>
    <w:uiPriority w:val="71"/>
    <w:rsid w:val="0028264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4584">
      <w:bodyDiv w:val="1"/>
      <w:marLeft w:val="0"/>
      <w:marRight w:val="0"/>
      <w:marTop w:val="0"/>
      <w:marBottom w:val="0"/>
      <w:divBdr>
        <w:top w:val="none" w:sz="0" w:space="0" w:color="auto"/>
        <w:left w:val="none" w:sz="0" w:space="0" w:color="auto"/>
        <w:bottom w:val="none" w:sz="0" w:space="0" w:color="auto"/>
        <w:right w:val="none" w:sz="0" w:space="0" w:color="auto"/>
      </w:divBdr>
    </w:div>
    <w:div w:id="964844840">
      <w:bodyDiv w:val="1"/>
      <w:marLeft w:val="0"/>
      <w:marRight w:val="0"/>
      <w:marTop w:val="0"/>
      <w:marBottom w:val="0"/>
      <w:divBdr>
        <w:top w:val="none" w:sz="0" w:space="0" w:color="auto"/>
        <w:left w:val="none" w:sz="0" w:space="0" w:color="auto"/>
        <w:bottom w:val="none" w:sz="0" w:space="0" w:color="auto"/>
        <w:right w:val="none" w:sz="0" w:space="0" w:color="auto"/>
      </w:divBdr>
    </w:div>
    <w:div w:id="1142120432">
      <w:bodyDiv w:val="1"/>
      <w:marLeft w:val="0"/>
      <w:marRight w:val="0"/>
      <w:marTop w:val="0"/>
      <w:marBottom w:val="0"/>
      <w:divBdr>
        <w:top w:val="none" w:sz="0" w:space="0" w:color="auto"/>
        <w:left w:val="none" w:sz="0" w:space="0" w:color="auto"/>
        <w:bottom w:val="none" w:sz="0" w:space="0" w:color="auto"/>
        <w:right w:val="none" w:sz="0" w:space="0" w:color="auto"/>
      </w:divBdr>
    </w:div>
    <w:div w:id="1386031839">
      <w:bodyDiv w:val="1"/>
      <w:marLeft w:val="0"/>
      <w:marRight w:val="0"/>
      <w:marTop w:val="0"/>
      <w:marBottom w:val="0"/>
      <w:divBdr>
        <w:top w:val="none" w:sz="0" w:space="0" w:color="auto"/>
        <w:left w:val="none" w:sz="0" w:space="0" w:color="auto"/>
        <w:bottom w:val="none" w:sz="0" w:space="0" w:color="auto"/>
        <w:right w:val="none" w:sz="0" w:space="0" w:color="auto"/>
      </w:divBdr>
      <w:divsChild>
        <w:div w:id="267005714">
          <w:marLeft w:val="0"/>
          <w:marRight w:val="0"/>
          <w:marTop w:val="0"/>
          <w:marBottom w:val="0"/>
          <w:divBdr>
            <w:top w:val="none" w:sz="0" w:space="0" w:color="auto"/>
            <w:left w:val="none" w:sz="0" w:space="0" w:color="auto"/>
            <w:bottom w:val="none" w:sz="0" w:space="0" w:color="auto"/>
            <w:right w:val="none" w:sz="0" w:space="0" w:color="auto"/>
          </w:divBdr>
          <w:divsChild>
            <w:div w:id="1246837381">
              <w:marLeft w:val="0"/>
              <w:marRight w:val="0"/>
              <w:marTop w:val="0"/>
              <w:marBottom w:val="0"/>
              <w:divBdr>
                <w:top w:val="none" w:sz="0" w:space="0" w:color="auto"/>
                <w:left w:val="none" w:sz="0" w:space="0" w:color="auto"/>
                <w:bottom w:val="none" w:sz="0" w:space="0" w:color="auto"/>
                <w:right w:val="none" w:sz="0" w:space="0" w:color="auto"/>
              </w:divBdr>
              <w:divsChild>
                <w:div w:id="659578932">
                  <w:marLeft w:val="0"/>
                  <w:marRight w:val="0"/>
                  <w:marTop w:val="0"/>
                  <w:marBottom w:val="0"/>
                  <w:divBdr>
                    <w:top w:val="none" w:sz="0" w:space="0" w:color="auto"/>
                    <w:left w:val="none" w:sz="0" w:space="0" w:color="auto"/>
                    <w:bottom w:val="none" w:sz="0" w:space="0" w:color="auto"/>
                    <w:right w:val="none" w:sz="0" w:space="0" w:color="auto"/>
                  </w:divBdr>
                  <w:divsChild>
                    <w:div w:id="1125583263">
                      <w:marLeft w:val="0"/>
                      <w:marRight w:val="0"/>
                      <w:marTop w:val="0"/>
                      <w:marBottom w:val="0"/>
                      <w:divBdr>
                        <w:top w:val="none" w:sz="0" w:space="0" w:color="auto"/>
                        <w:left w:val="none" w:sz="0" w:space="0" w:color="auto"/>
                        <w:bottom w:val="none" w:sz="0" w:space="0" w:color="auto"/>
                        <w:right w:val="none" w:sz="0" w:space="0" w:color="auto"/>
                      </w:divBdr>
                      <w:divsChild>
                        <w:div w:id="47187887">
                          <w:marLeft w:val="0"/>
                          <w:marRight w:val="0"/>
                          <w:marTop w:val="0"/>
                          <w:marBottom w:val="0"/>
                          <w:divBdr>
                            <w:top w:val="none" w:sz="0" w:space="0" w:color="auto"/>
                            <w:left w:val="none" w:sz="0" w:space="0" w:color="auto"/>
                            <w:bottom w:val="none" w:sz="0" w:space="0" w:color="auto"/>
                            <w:right w:val="none" w:sz="0" w:space="0" w:color="auto"/>
                          </w:divBdr>
                          <w:divsChild>
                            <w:div w:id="2022588470">
                              <w:marLeft w:val="0"/>
                              <w:marRight w:val="0"/>
                              <w:marTop w:val="0"/>
                              <w:marBottom w:val="0"/>
                              <w:divBdr>
                                <w:top w:val="none" w:sz="0" w:space="0" w:color="auto"/>
                                <w:left w:val="none" w:sz="0" w:space="0" w:color="auto"/>
                                <w:bottom w:val="none" w:sz="0" w:space="0" w:color="auto"/>
                                <w:right w:val="none" w:sz="0" w:space="0" w:color="auto"/>
                              </w:divBdr>
                              <w:divsChild>
                                <w:div w:id="931427366">
                                  <w:marLeft w:val="0"/>
                                  <w:marRight w:val="0"/>
                                  <w:marTop w:val="0"/>
                                  <w:marBottom w:val="0"/>
                                  <w:divBdr>
                                    <w:top w:val="none" w:sz="0" w:space="0" w:color="auto"/>
                                    <w:left w:val="none" w:sz="0" w:space="0" w:color="auto"/>
                                    <w:bottom w:val="none" w:sz="0" w:space="0" w:color="auto"/>
                                    <w:right w:val="none" w:sz="0" w:space="0" w:color="auto"/>
                                  </w:divBdr>
                                  <w:divsChild>
                                    <w:div w:id="182911618">
                                      <w:marLeft w:val="60"/>
                                      <w:marRight w:val="0"/>
                                      <w:marTop w:val="0"/>
                                      <w:marBottom w:val="0"/>
                                      <w:divBdr>
                                        <w:top w:val="none" w:sz="0" w:space="0" w:color="auto"/>
                                        <w:left w:val="none" w:sz="0" w:space="0" w:color="auto"/>
                                        <w:bottom w:val="none" w:sz="0" w:space="0" w:color="auto"/>
                                        <w:right w:val="none" w:sz="0" w:space="0" w:color="auto"/>
                                      </w:divBdr>
                                      <w:divsChild>
                                        <w:div w:id="780951722">
                                          <w:marLeft w:val="0"/>
                                          <w:marRight w:val="0"/>
                                          <w:marTop w:val="0"/>
                                          <w:marBottom w:val="0"/>
                                          <w:divBdr>
                                            <w:top w:val="none" w:sz="0" w:space="0" w:color="auto"/>
                                            <w:left w:val="none" w:sz="0" w:space="0" w:color="auto"/>
                                            <w:bottom w:val="none" w:sz="0" w:space="0" w:color="auto"/>
                                            <w:right w:val="none" w:sz="0" w:space="0" w:color="auto"/>
                                          </w:divBdr>
                                          <w:divsChild>
                                            <w:div w:id="484778998">
                                              <w:marLeft w:val="0"/>
                                              <w:marRight w:val="0"/>
                                              <w:marTop w:val="0"/>
                                              <w:marBottom w:val="120"/>
                                              <w:divBdr>
                                                <w:top w:val="single" w:sz="6" w:space="0" w:color="F5F5F5"/>
                                                <w:left w:val="single" w:sz="6" w:space="0" w:color="F5F5F5"/>
                                                <w:bottom w:val="single" w:sz="6" w:space="0" w:color="F5F5F5"/>
                                                <w:right w:val="single" w:sz="6" w:space="0" w:color="F5F5F5"/>
                                              </w:divBdr>
                                              <w:divsChild>
                                                <w:div w:id="1846480911">
                                                  <w:marLeft w:val="0"/>
                                                  <w:marRight w:val="0"/>
                                                  <w:marTop w:val="0"/>
                                                  <w:marBottom w:val="0"/>
                                                  <w:divBdr>
                                                    <w:top w:val="none" w:sz="0" w:space="0" w:color="auto"/>
                                                    <w:left w:val="none" w:sz="0" w:space="0" w:color="auto"/>
                                                    <w:bottom w:val="none" w:sz="0" w:space="0" w:color="auto"/>
                                                    <w:right w:val="none" w:sz="0" w:space="0" w:color="auto"/>
                                                  </w:divBdr>
                                                  <w:divsChild>
                                                    <w:div w:id="1878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2349304">
      <w:bodyDiv w:val="1"/>
      <w:marLeft w:val="0"/>
      <w:marRight w:val="0"/>
      <w:marTop w:val="0"/>
      <w:marBottom w:val="0"/>
      <w:divBdr>
        <w:top w:val="none" w:sz="0" w:space="0" w:color="auto"/>
        <w:left w:val="none" w:sz="0" w:space="0" w:color="auto"/>
        <w:bottom w:val="none" w:sz="0" w:space="0" w:color="auto"/>
        <w:right w:val="none" w:sz="0" w:space="0" w:color="auto"/>
      </w:divBdr>
    </w:div>
    <w:div w:id="193982297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AT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1016D-6B34-4E64-97F8-CA92F006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CAT_E</Template>
  <TotalTime>1</TotalTime>
  <Pages>4</Pages>
  <Words>7440</Words>
  <Characters>42413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49754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Kawuki</dc:creator>
  <cp:lastModifiedBy>Sarah Willig</cp:lastModifiedBy>
  <cp:revision>2</cp:revision>
  <cp:lastPrinted>2015-09-09T12:16:00Z</cp:lastPrinted>
  <dcterms:created xsi:type="dcterms:W3CDTF">2017-01-24T21:12:00Z</dcterms:created>
  <dcterms:modified xsi:type="dcterms:W3CDTF">2017-01-24T21:12:00Z</dcterms:modified>
</cp:coreProperties>
</file>