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C3108" w:rsidRPr="0037557E">
        <w:trPr>
          <w:trHeight w:val="851"/>
        </w:trPr>
        <w:tc>
          <w:tcPr>
            <w:tcW w:w="1259" w:type="dxa"/>
            <w:tcBorders>
              <w:top w:val="nil"/>
              <w:left w:val="nil"/>
              <w:bottom w:val="single" w:sz="4" w:space="0" w:color="auto"/>
              <w:right w:val="nil"/>
            </w:tcBorders>
            <w:vAlign w:val="bottom"/>
          </w:tcPr>
          <w:p w:rsidR="001C3108" w:rsidRPr="0037557E" w:rsidRDefault="001C3108" w:rsidP="001C3108">
            <w:pPr>
              <w:jc w:val="right"/>
            </w:pPr>
            <w:bookmarkStart w:id="0" w:name="_GoBack"/>
            <w:bookmarkEnd w:id="0"/>
          </w:p>
        </w:tc>
        <w:tc>
          <w:tcPr>
            <w:tcW w:w="2236" w:type="dxa"/>
            <w:tcBorders>
              <w:top w:val="nil"/>
              <w:left w:val="nil"/>
              <w:bottom w:val="single" w:sz="4" w:space="0" w:color="auto"/>
              <w:right w:val="nil"/>
            </w:tcBorders>
            <w:vAlign w:val="bottom"/>
          </w:tcPr>
          <w:p w:rsidR="001C3108" w:rsidRPr="0037557E" w:rsidRDefault="001C3108" w:rsidP="001C3108">
            <w:r w:rsidRPr="0037557E">
              <w:rPr>
                <w:sz w:val="28"/>
                <w:szCs w:val="28"/>
              </w:rPr>
              <w:t>United Nations</w:t>
            </w:r>
          </w:p>
        </w:tc>
        <w:tc>
          <w:tcPr>
            <w:tcW w:w="6144" w:type="dxa"/>
            <w:gridSpan w:val="2"/>
            <w:tcBorders>
              <w:top w:val="nil"/>
              <w:left w:val="nil"/>
              <w:bottom w:val="single" w:sz="4" w:space="0" w:color="auto"/>
              <w:right w:val="nil"/>
            </w:tcBorders>
            <w:vAlign w:val="bottom"/>
          </w:tcPr>
          <w:p w:rsidR="001C3108" w:rsidRPr="0037557E" w:rsidRDefault="00127E63" w:rsidP="00F4327F">
            <w:pPr>
              <w:jc w:val="right"/>
            </w:pPr>
            <w:r w:rsidRPr="0037557E">
              <w:rPr>
                <w:sz w:val="40"/>
              </w:rPr>
              <w:t>CAT</w:t>
            </w:r>
            <w:r w:rsidRPr="0037557E">
              <w:t>/C/5</w:t>
            </w:r>
            <w:r w:rsidR="00545A35" w:rsidRPr="0037557E">
              <w:t>8</w:t>
            </w:r>
            <w:r w:rsidRPr="0037557E">
              <w:t>/D/</w:t>
            </w:r>
            <w:r w:rsidR="00545A35" w:rsidRPr="0037557E">
              <w:t>607</w:t>
            </w:r>
            <w:r w:rsidRPr="0037557E">
              <w:t>/201</w:t>
            </w:r>
            <w:r w:rsidR="00545A35" w:rsidRPr="0037557E">
              <w:t>4</w:t>
            </w:r>
          </w:p>
        </w:tc>
      </w:tr>
      <w:tr w:rsidR="00127E63" w:rsidRPr="0037557E">
        <w:trPr>
          <w:trHeight w:val="2835"/>
        </w:trPr>
        <w:tc>
          <w:tcPr>
            <w:tcW w:w="1259" w:type="dxa"/>
            <w:tcBorders>
              <w:top w:val="single" w:sz="4" w:space="0" w:color="auto"/>
              <w:left w:val="nil"/>
              <w:bottom w:val="single" w:sz="12" w:space="0" w:color="auto"/>
              <w:right w:val="nil"/>
            </w:tcBorders>
          </w:tcPr>
          <w:p w:rsidR="00127E63" w:rsidRPr="0037557E" w:rsidRDefault="00CC0A36" w:rsidP="00127E63">
            <w:pPr>
              <w:spacing w:before="120"/>
            </w:pPr>
            <w:r w:rsidRPr="0093308A">
              <w:rPr>
                <w:noProof/>
                <w:lang w:val="en-US"/>
              </w:rPr>
              <w:drawing>
                <wp:inline distT="0" distB="0" distL="0" distR="0" wp14:anchorId="4AE9731F" wp14:editId="78F23BFB">
                  <wp:extent cx="716280" cy="586740"/>
                  <wp:effectExtent l="0" t="0" r="7620" b="3810"/>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127E63" w:rsidRPr="0037557E" w:rsidRDefault="00127E63" w:rsidP="00127E63">
            <w:pPr>
              <w:spacing w:before="120" w:line="380" w:lineRule="exact"/>
              <w:rPr>
                <w:sz w:val="34"/>
              </w:rPr>
            </w:pPr>
            <w:r w:rsidRPr="0037557E">
              <w:rPr>
                <w:b/>
                <w:sz w:val="34"/>
                <w:szCs w:val="34"/>
              </w:rPr>
              <w:t>Convention against Torture</w:t>
            </w:r>
            <w:r w:rsidRPr="0037557E">
              <w:rPr>
                <w:b/>
                <w:sz w:val="34"/>
                <w:szCs w:val="34"/>
              </w:rPr>
              <w:br/>
              <w:t>and Other Cruel, Inhuman or Degrading Treatment</w:t>
            </w:r>
            <w:r w:rsidRPr="0037557E">
              <w:rPr>
                <w:b/>
                <w:sz w:val="34"/>
                <w:szCs w:val="34"/>
              </w:rPr>
              <w:br/>
              <w:t>or Punishment</w:t>
            </w:r>
          </w:p>
        </w:tc>
        <w:tc>
          <w:tcPr>
            <w:tcW w:w="2930" w:type="dxa"/>
            <w:tcBorders>
              <w:top w:val="single" w:sz="4" w:space="0" w:color="auto"/>
              <w:left w:val="nil"/>
              <w:bottom w:val="single" w:sz="12" w:space="0" w:color="auto"/>
              <w:right w:val="nil"/>
            </w:tcBorders>
          </w:tcPr>
          <w:p w:rsidR="00A51B50" w:rsidRPr="00757A95" w:rsidRDefault="00127E63" w:rsidP="00127E63">
            <w:pPr>
              <w:spacing w:before="240" w:line="240" w:lineRule="exact"/>
            </w:pPr>
            <w:r w:rsidRPr="0037557E">
              <w:t xml:space="preserve">Distr.: </w:t>
            </w:r>
            <w:r w:rsidR="00F4327F" w:rsidRPr="0037557E">
              <w:t>General</w:t>
            </w:r>
          </w:p>
          <w:p w:rsidR="00127E63" w:rsidRPr="0037557E" w:rsidRDefault="00EE0C72" w:rsidP="00BB4F98">
            <w:pPr>
              <w:spacing w:line="240" w:lineRule="exact"/>
            </w:pPr>
            <w:r w:rsidRPr="00757A95">
              <w:t>1</w:t>
            </w:r>
            <w:r w:rsidR="00BB4F98" w:rsidRPr="00757A95">
              <w:t>5</w:t>
            </w:r>
            <w:r w:rsidR="00406CC5" w:rsidRPr="0037557E">
              <w:t xml:space="preserve"> September</w:t>
            </w:r>
            <w:r w:rsidR="00A51B50" w:rsidRPr="0037557E">
              <w:t xml:space="preserve"> 2016</w:t>
            </w:r>
          </w:p>
          <w:p w:rsidR="00545A35" w:rsidRPr="0037557E" w:rsidRDefault="00545A35" w:rsidP="00127E63">
            <w:pPr>
              <w:spacing w:line="240" w:lineRule="exact"/>
            </w:pPr>
          </w:p>
          <w:p w:rsidR="00127E63" w:rsidRPr="0037557E" w:rsidRDefault="00127E63" w:rsidP="00127E63">
            <w:pPr>
              <w:spacing w:line="240" w:lineRule="exact"/>
            </w:pPr>
            <w:r w:rsidRPr="0037557E">
              <w:t>Original: English</w:t>
            </w:r>
          </w:p>
          <w:p w:rsidR="00127E63" w:rsidRPr="0037557E" w:rsidRDefault="00127E63" w:rsidP="00B20889">
            <w:pPr>
              <w:spacing w:line="240" w:lineRule="exact"/>
            </w:pPr>
          </w:p>
        </w:tc>
      </w:tr>
    </w:tbl>
    <w:p w:rsidR="004E7FB8" w:rsidRPr="0037557E" w:rsidRDefault="004E7FB8" w:rsidP="00B20889">
      <w:pPr>
        <w:spacing w:before="120"/>
        <w:rPr>
          <w:b/>
          <w:sz w:val="24"/>
          <w:szCs w:val="24"/>
        </w:rPr>
      </w:pPr>
      <w:r w:rsidRPr="0037557E">
        <w:rPr>
          <w:b/>
          <w:sz w:val="24"/>
          <w:szCs w:val="24"/>
        </w:rPr>
        <w:t>Committee against Torture</w:t>
      </w:r>
    </w:p>
    <w:p w:rsidR="00127E63" w:rsidRPr="00757A95" w:rsidRDefault="00F4327F" w:rsidP="00757A95">
      <w:pPr>
        <w:pStyle w:val="HChG"/>
      </w:pPr>
      <w:r w:rsidRPr="0037557E">
        <w:tab/>
      </w:r>
      <w:r w:rsidRPr="0037557E">
        <w:tab/>
        <w:t xml:space="preserve">Decision adopted by the Committee </w:t>
      </w:r>
      <w:r w:rsidR="005C114B" w:rsidRPr="0037557E">
        <w:t xml:space="preserve">under article 22 of the Convention, concerning </w:t>
      </w:r>
      <w:r w:rsidR="005C114B" w:rsidRPr="00757A95">
        <w:rPr>
          <w:snapToGrid w:val="0"/>
        </w:rPr>
        <w:t>communication No. 607/2014</w:t>
      </w:r>
      <w:r w:rsidR="005C114B" w:rsidRPr="00757A95">
        <w:rPr>
          <w:rStyle w:val="FootnoteReference"/>
          <w:b w:val="0"/>
          <w:snapToGrid w:val="0"/>
          <w:sz w:val="20"/>
          <w:vertAlign w:val="baseline"/>
        </w:rPr>
        <w:footnoteReference w:customMarkFollows="1" w:id="2"/>
        <w:t>*</w:t>
      </w:r>
      <w:r w:rsidR="00EE0C72" w:rsidRPr="00757A95">
        <w:rPr>
          <w:rStyle w:val="FootnoteReference"/>
          <w:b w:val="0"/>
          <w:snapToGrid w:val="0"/>
          <w:position w:val="4"/>
          <w:sz w:val="20"/>
          <w:vertAlign w:val="baseline"/>
        </w:rPr>
        <w:t>,</w:t>
      </w:r>
      <w:r w:rsidR="00F12BE7">
        <w:rPr>
          <w:rStyle w:val="FootnoteReference"/>
          <w:b w:val="0"/>
          <w:snapToGrid w:val="0"/>
          <w:sz w:val="20"/>
          <w:vertAlign w:val="baseline"/>
        </w:rPr>
        <w:t xml:space="preserve"> </w:t>
      </w:r>
      <w:r w:rsidR="00EE0C72" w:rsidRPr="00757A95">
        <w:rPr>
          <w:rStyle w:val="FootnoteReference"/>
          <w:b w:val="0"/>
          <w:snapToGrid w:val="0"/>
          <w:sz w:val="20"/>
          <w:vertAlign w:val="baseline"/>
        </w:rPr>
        <w:footnoteReference w:customMarkFollows="1" w:id="3"/>
        <w:t>**</w:t>
      </w:r>
      <w:r w:rsidR="00F12BE7">
        <w:rPr>
          <w:b w:val="0"/>
          <w:snapToGrid w:val="0"/>
          <w:sz w:val="20"/>
        </w:rPr>
        <w:t xml:space="preserve"> </w:t>
      </w:r>
    </w:p>
    <w:p w:rsidR="00B20889" w:rsidRPr="00757A95" w:rsidRDefault="00B20889" w:rsidP="00127E63">
      <w:pPr>
        <w:pStyle w:val="SingleTxtG"/>
        <w:ind w:left="4536" w:hanging="3402"/>
        <w:jc w:val="left"/>
        <w:rPr>
          <w:i/>
          <w:lang w:val="en-GB"/>
        </w:rPr>
      </w:pPr>
      <w:r w:rsidRPr="00757A95">
        <w:rPr>
          <w:i/>
          <w:lang w:val="en-GB"/>
        </w:rPr>
        <w:t>Submitted by:</w:t>
      </w:r>
      <w:r w:rsidRPr="00757A95">
        <w:rPr>
          <w:lang w:val="en-GB"/>
        </w:rPr>
        <w:tab/>
        <w:t>R.K. (represented by counsel, Niels Erik Hansen)</w:t>
      </w:r>
    </w:p>
    <w:p w:rsidR="00F4327F" w:rsidRPr="00757A95" w:rsidRDefault="001C3108" w:rsidP="00127E63">
      <w:pPr>
        <w:pStyle w:val="SingleTxtG"/>
        <w:ind w:left="4536" w:hanging="3402"/>
        <w:jc w:val="left"/>
        <w:rPr>
          <w:lang w:val="en-GB"/>
        </w:rPr>
      </w:pPr>
      <w:r w:rsidRPr="00757A95">
        <w:rPr>
          <w:i/>
          <w:lang w:val="en-GB"/>
        </w:rPr>
        <w:t>Alleged victim:</w:t>
      </w:r>
      <w:r w:rsidR="000C4E16" w:rsidRPr="00757A95">
        <w:rPr>
          <w:lang w:val="en-GB"/>
        </w:rPr>
        <w:tab/>
      </w:r>
      <w:r w:rsidR="00F4327F" w:rsidRPr="00757A95">
        <w:rPr>
          <w:lang w:val="en-GB"/>
        </w:rPr>
        <w:t>The complainant</w:t>
      </w:r>
    </w:p>
    <w:p w:rsidR="001C3108" w:rsidRPr="00757A95" w:rsidRDefault="00F4327F" w:rsidP="00127E63">
      <w:pPr>
        <w:pStyle w:val="SingleTxtG"/>
        <w:ind w:left="4536" w:hanging="3402"/>
        <w:jc w:val="left"/>
        <w:rPr>
          <w:lang w:val="en-GB"/>
        </w:rPr>
      </w:pPr>
      <w:r w:rsidRPr="00757A95">
        <w:rPr>
          <w:i/>
          <w:lang w:val="en-GB"/>
        </w:rPr>
        <w:t>State party:</w:t>
      </w:r>
      <w:r w:rsidRPr="00757A95">
        <w:rPr>
          <w:snapToGrid w:val="0"/>
          <w:lang w:val="en-GB"/>
        </w:rPr>
        <w:tab/>
      </w:r>
      <w:r w:rsidR="00545A35" w:rsidRPr="00757A95">
        <w:rPr>
          <w:snapToGrid w:val="0"/>
          <w:lang w:val="en-GB"/>
        </w:rPr>
        <w:t>Denmark</w:t>
      </w:r>
    </w:p>
    <w:p w:rsidR="001C3108" w:rsidRPr="00757A95" w:rsidRDefault="001C3108" w:rsidP="00A34D18">
      <w:pPr>
        <w:pStyle w:val="SingleTxtG"/>
        <w:ind w:left="4536" w:hanging="3402"/>
        <w:jc w:val="left"/>
        <w:rPr>
          <w:lang w:val="en-GB"/>
        </w:rPr>
      </w:pPr>
      <w:r w:rsidRPr="00757A95">
        <w:rPr>
          <w:i/>
          <w:lang w:val="en-GB"/>
        </w:rPr>
        <w:t xml:space="preserve">Date of </w:t>
      </w:r>
      <w:r w:rsidR="00473F6C" w:rsidRPr="00757A95">
        <w:rPr>
          <w:i/>
          <w:lang w:val="en-GB"/>
        </w:rPr>
        <w:t>complaint</w:t>
      </w:r>
      <w:r w:rsidRPr="00757A95">
        <w:rPr>
          <w:i/>
          <w:lang w:val="en-GB"/>
        </w:rPr>
        <w:t>:</w:t>
      </w:r>
      <w:r w:rsidRPr="00757A95">
        <w:rPr>
          <w:lang w:val="en-GB"/>
        </w:rPr>
        <w:tab/>
      </w:r>
      <w:r w:rsidR="00545A35" w:rsidRPr="00757A95">
        <w:rPr>
          <w:lang w:val="en-GB"/>
        </w:rPr>
        <w:t>30 May 2014</w:t>
      </w:r>
      <w:r w:rsidRPr="00757A95">
        <w:rPr>
          <w:lang w:val="en-GB"/>
        </w:rPr>
        <w:t xml:space="preserve"> (initial submission)</w:t>
      </w:r>
    </w:p>
    <w:p w:rsidR="001C3108" w:rsidRPr="00757A95" w:rsidRDefault="001C3108" w:rsidP="000E1B7A">
      <w:pPr>
        <w:pStyle w:val="SingleTxtG"/>
        <w:ind w:left="4536" w:hanging="3402"/>
        <w:jc w:val="left"/>
        <w:rPr>
          <w:lang w:val="en-GB"/>
        </w:rPr>
      </w:pPr>
      <w:r w:rsidRPr="00757A95">
        <w:rPr>
          <w:i/>
          <w:lang w:val="en-GB"/>
        </w:rPr>
        <w:t xml:space="preserve">Date of </w:t>
      </w:r>
      <w:r w:rsidR="00473F6C" w:rsidRPr="00757A95">
        <w:rPr>
          <w:i/>
          <w:lang w:val="en-GB"/>
        </w:rPr>
        <w:t xml:space="preserve">present </w:t>
      </w:r>
      <w:r w:rsidRPr="00757A95">
        <w:rPr>
          <w:i/>
          <w:lang w:val="en-GB"/>
        </w:rPr>
        <w:t>decision:</w:t>
      </w:r>
      <w:r w:rsidRPr="00757A95">
        <w:rPr>
          <w:lang w:val="en-GB"/>
        </w:rPr>
        <w:tab/>
      </w:r>
      <w:r w:rsidR="00F4327F" w:rsidRPr="00757A95">
        <w:rPr>
          <w:lang w:val="en-GB"/>
        </w:rPr>
        <w:t>12 August</w:t>
      </w:r>
      <w:r w:rsidR="00545A35" w:rsidRPr="00757A95">
        <w:rPr>
          <w:lang w:val="en-GB"/>
        </w:rPr>
        <w:t xml:space="preserve"> </w:t>
      </w:r>
      <w:r w:rsidR="00127E63" w:rsidRPr="00757A95">
        <w:rPr>
          <w:lang w:val="en-GB"/>
        </w:rPr>
        <w:t>2016</w:t>
      </w:r>
    </w:p>
    <w:p w:rsidR="001C3108" w:rsidRPr="00757A95" w:rsidRDefault="001C3108" w:rsidP="00A34D18">
      <w:pPr>
        <w:pStyle w:val="SingleTxtG"/>
        <w:ind w:left="4536" w:hanging="3402"/>
        <w:jc w:val="left"/>
        <w:rPr>
          <w:lang w:val="en-GB"/>
        </w:rPr>
      </w:pPr>
      <w:r w:rsidRPr="00757A95">
        <w:rPr>
          <w:i/>
          <w:lang w:val="en-GB"/>
        </w:rPr>
        <w:t>Subject matter:</w:t>
      </w:r>
      <w:r w:rsidR="006004F2" w:rsidRPr="00757A95">
        <w:rPr>
          <w:i/>
          <w:lang w:val="en-GB"/>
        </w:rPr>
        <w:t xml:space="preserve"> </w:t>
      </w:r>
      <w:r w:rsidRPr="00757A95">
        <w:rPr>
          <w:i/>
          <w:lang w:val="en-GB"/>
        </w:rPr>
        <w:tab/>
      </w:r>
      <w:r w:rsidRPr="00757A95">
        <w:rPr>
          <w:lang w:val="en-GB"/>
        </w:rPr>
        <w:t xml:space="preserve">Deportation to </w:t>
      </w:r>
      <w:r w:rsidR="00473F6C" w:rsidRPr="00757A95">
        <w:rPr>
          <w:lang w:val="en-GB"/>
        </w:rPr>
        <w:t xml:space="preserve">the Islamic Republic of </w:t>
      </w:r>
      <w:r w:rsidR="00545A35" w:rsidRPr="00757A95">
        <w:rPr>
          <w:lang w:val="en-GB"/>
        </w:rPr>
        <w:t>Iran</w:t>
      </w:r>
    </w:p>
    <w:p w:rsidR="00FB5CF4" w:rsidRPr="00757A95" w:rsidRDefault="00FB5CF4" w:rsidP="000E1B7A">
      <w:pPr>
        <w:pStyle w:val="SingleTxtG"/>
        <w:ind w:left="4536" w:hanging="3402"/>
        <w:jc w:val="left"/>
        <w:rPr>
          <w:lang w:val="en-GB"/>
        </w:rPr>
      </w:pPr>
      <w:r w:rsidRPr="00757A95">
        <w:rPr>
          <w:i/>
          <w:lang w:val="en-GB"/>
        </w:rPr>
        <w:t xml:space="preserve">Substantive issues: </w:t>
      </w:r>
      <w:r w:rsidRPr="00757A95">
        <w:rPr>
          <w:i/>
          <w:lang w:val="en-GB"/>
        </w:rPr>
        <w:tab/>
      </w:r>
      <w:r w:rsidRPr="00757A95">
        <w:rPr>
          <w:lang w:val="en-GB"/>
        </w:rPr>
        <w:t>Ris</w:t>
      </w:r>
      <w:r w:rsidR="00245B05" w:rsidRPr="00757A95">
        <w:rPr>
          <w:lang w:val="en-GB"/>
        </w:rPr>
        <w:t xml:space="preserve">k of torture </w:t>
      </w:r>
    </w:p>
    <w:p w:rsidR="00FC1113" w:rsidRPr="00757A95" w:rsidRDefault="00FC1113" w:rsidP="00FC1113">
      <w:pPr>
        <w:pStyle w:val="SingleTxtG"/>
        <w:ind w:left="4536" w:hanging="3402"/>
        <w:jc w:val="left"/>
        <w:rPr>
          <w:iCs/>
          <w:lang w:val="en-GB"/>
        </w:rPr>
      </w:pPr>
      <w:r w:rsidRPr="00757A95">
        <w:rPr>
          <w:i/>
          <w:lang w:val="en-GB"/>
        </w:rPr>
        <w:t xml:space="preserve">Procedural issues: </w:t>
      </w:r>
      <w:r w:rsidRPr="00757A95">
        <w:rPr>
          <w:i/>
          <w:lang w:val="en-GB"/>
        </w:rPr>
        <w:tab/>
      </w:r>
      <w:r w:rsidRPr="00757A95">
        <w:rPr>
          <w:lang w:val="en-GB"/>
        </w:rPr>
        <w:t>Insufficient substantiation of complaint</w:t>
      </w:r>
    </w:p>
    <w:p w:rsidR="001C3108" w:rsidRPr="00757A95" w:rsidRDefault="001C3108" w:rsidP="00A34D18">
      <w:pPr>
        <w:pStyle w:val="SingleTxtG"/>
        <w:ind w:left="4536" w:hanging="3402"/>
        <w:jc w:val="left"/>
        <w:rPr>
          <w:lang w:val="en-GB"/>
        </w:rPr>
      </w:pPr>
      <w:r w:rsidRPr="00757A95">
        <w:rPr>
          <w:i/>
          <w:lang w:val="en-GB"/>
        </w:rPr>
        <w:t>Article</w:t>
      </w:r>
      <w:r w:rsidR="001B5C07" w:rsidRPr="00757A95">
        <w:rPr>
          <w:i/>
          <w:lang w:val="en-GB"/>
        </w:rPr>
        <w:t>s</w:t>
      </w:r>
      <w:r w:rsidRPr="00757A95">
        <w:rPr>
          <w:i/>
          <w:lang w:val="en-GB"/>
        </w:rPr>
        <w:t xml:space="preserve"> of the </w:t>
      </w:r>
      <w:r w:rsidR="0043200B" w:rsidRPr="00757A95">
        <w:rPr>
          <w:i/>
          <w:iCs/>
          <w:lang w:val="en-GB"/>
        </w:rPr>
        <w:t>Convention</w:t>
      </w:r>
      <w:r w:rsidRPr="00757A95">
        <w:rPr>
          <w:i/>
          <w:lang w:val="en-GB"/>
        </w:rPr>
        <w:t>:</w:t>
      </w:r>
      <w:r w:rsidRPr="00757A95">
        <w:rPr>
          <w:lang w:val="en-GB"/>
        </w:rPr>
        <w:t xml:space="preserve"> </w:t>
      </w:r>
      <w:r w:rsidRPr="00757A95">
        <w:rPr>
          <w:lang w:val="en-GB"/>
        </w:rPr>
        <w:tab/>
      </w:r>
      <w:r w:rsidR="00127E63" w:rsidRPr="00757A95">
        <w:rPr>
          <w:iCs/>
          <w:lang w:val="en-GB"/>
        </w:rPr>
        <w:t>3</w:t>
      </w:r>
    </w:p>
    <w:p w:rsidR="00EE0C72" w:rsidRPr="00757A95" w:rsidRDefault="00EE0C72" w:rsidP="00A62AAC">
      <w:pPr>
        <w:pStyle w:val="SingleTxtG"/>
        <w:rPr>
          <w:lang w:val="en-GB"/>
        </w:rPr>
      </w:pPr>
    </w:p>
    <w:p w:rsidR="001C3108" w:rsidRPr="00757A95" w:rsidRDefault="001C3108" w:rsidP="00A62AAC">
      <w:pPr>
        <w:pStyle w:val="SingleTxtG"/>
        <w:rPr>
          <w:lang w:val="en-GB"/>
        </w:rPr>
      </w:pPr>
      <w:r w:rsidRPr="00757A95">
        <w:rPr>
          <w:lang w:val="en-GB"/>
        </w:rPr>
        <w:t>1.1</w:t>
      </w:r>
      <w:r w:rsidRPr="00757A95">
        <w:rPr>
          <w:lang w:val="en-GB"/>
        </w:rPr>
        <w:tab/>
        <w:t xml:space="preserve">The </w:t>
      </w:r>
      <w:r w:rsidR="00DA6BE6" w:rsidRPr="00757A95">
        <w:rPr>
          <w:lang w:val="en-GB"/>
        </w:rPr>
        <w:t>complainant</w:t>
      </w:r>
      <w:r w:rsidRPr="00757A95">
        <w:rPr>
          <w:lang w:val="en-GB"/>
        </w:rPr>
        <w:t xml:space="preserve"> is </w:t>
      </w:r>
      <w:r w:rsidR="006A241A" w:rsidRPr="00757A95">
        <w:rPr>
          <w:lang w:val="en-GB"/>
        </w:rPr>
        <w:t xml:space="preserve">R.K., an Iranian national born in 1947 and subject to a deportation order from Denmark to </w:t>
      </w:r>
      <w:r w:rsidR="00473F6C" w:rsidRPr="00757A95">
        <w:rPr>
          <w:lang w:val="en-GB"/>
        </w:rPr>
        <w:t xml:space="preserve">the Islamic Republic of </w:t>
      </w:r>
      <w:r w:rsidR="006A241A" w:rsidRPr="00757A95">
        <w:rPr>
          <w:lang w:val="en-GB"/>
        </w:rPr>
        <w:t xml:space="preserve">Iran. </w:t>
      </w:r>
      <w:r w:rsidRPr="00757A95">
        <w:rPr>
          <w:lang w:val="en-GB"/>
        </w:rPr>
        <w:t xml:space="preserve">He claims that his </w:t>
      </w:r>
      <w:r w:rsidR="006A241A" w:rsidRPr="00757A95">
        <w:rPr>
          <w:lang w:val="en-GB"/>
        </w:rPr>
        <w:t xml:space="preserve">deportation </w:t>
      </w:r>
      <w:r w:rsidRPr="00757A95">
        <w:rPr>
          <w:lang w:val="en-GB"/>
        </w:rPr>
        <w:t>would constitute a violation</w:t>
      </w:r>
      <w:r w:rsidR="008132DE" w:rsidRPr="00757A95">
        <w:rPr>
          <w:lang w:val="en-GB"/>
        </w:rPr>
        <w:t xml:space="preserve"> by </w:t>
      </w:r>
      <w:r w:rsidR="006A241A" w:rsidRPr="00757A95">
        <w:rPr>
          <w:lang w:val="en-GB"/>
        </w:rPr>
        <w:t xml:space="preserve">Denmark </w:t>
      </w:r>
      <w:r w:rsidRPr="00757A95">
        <w:rPr>
          <w:lang w:val="en-GB"/>
        </w:rPr>
        <w:t xml:space="preserve">of his rights under </w:t>
      </w:r>
      <w:r w:rsidR="00841168" w:rsidRPr="00757A95">
        <w:rPr>
          <w:lang w:val="en-GB"/>
        </w:rPr>
        <w:t>article </w:t>
      </w:r>
      <w:r w:rsidR="00757860" w:rsidRPr="00757A95">
        <w:rPr>
          <w:lang w:val="en-GB"/>
        </w:rPr>
        <w:t>3</w:t>
      </w:r>
      <w:r w:rsidR="001D5E04" w:rsidRPr="00757A95">
        <w:rPr>
          <w:lang w:val="en-GB"/>
        </w:rPr>
        <w:t xml:space="preserve"> </w:t>
      </w:r>
      <w:r w:rsidRPr="00757A95">
        <w:rPr>
          <w:lang w:val="en-GB"/>
        </w:rPr>
        <w:t xml:space="preserve">of the </w:t>
      </w:r>
      <w:r w:rsidR="00757860" w:rsidRPr="00757A95">
        <w:rPr>
          <w:lang w:val="en-GB"/>
        </w:rPr>
        <w:t>Convention</w:t>
      </w:r>
      <w:r w:rsidRPr="00757A95">
        <w:rPr>
          <w:lang w:val="en-GB"/>
        </w:rPr>
        <w:t xml:space="preserve">. The </w:t>
      </w:r>
      <w:r w:rsidR="00702FAB" w:rsidRPr="00757A95">
        <w:rPr>
          <w:lang w:val="en-GB"/>
        </w:rPr>
        <w:t>complainant</w:t>
      </w:r>
      <w:r w:rsidRPr="00757A95">
        <w:rPr>
          <w:lang w:val="en-GB"/>
        </w:rPr>
        <w:t xml:space="preserve"> is represented by counsel.</w:t>
      </w:r>
    </w:p>
    <w:p w:rsidR="001C3108" w:rsidRPr="00757A95" w:rsidRDefault="001C3108" w:rsidP="00A62AAC">
      <w:pPr>
        <w:pStyle w:val="SingleTxtG"/>
        <w:rPr>
          <w:w w:val="103"/>
          <w:lang w:val="en-GB"/>
        </w:rPr>
      </w:pPr>
      <w:r w:rsidRPr="00757A95">
        <w:rPr>
          <w:lang w:val="en-GB"/>
        </w:rPr>
        <w:t>1.2</w:t>
      </w:r>
      <w:r w:rsidRPr="00757A95">
        <w:rPr>
          <w:lang w:val="en-GB"/>
        </w:rPr>
        <w:tab/>
        <w:t xml:space="preserve">On </w:t>
      </w:r>
      <w:r w:rsidR="006A241A" w:rsidRPr="00757A95">
        <w:rPr>
          <w:lang w:val="en-GB"/>
        </w:rPr>
        <w:t>2 June 2014</w:t>
      </w:r>
      <w:r w:rsidRPr="00757A95">
        <w:rPr>
          <w:lang w:val="en-GB"/>
        </w:rPr>
        <w:t xml:space="preserve">, </w:t>
      </w:r>
      <w:r w:rsidR="00BD07A1" w:rsidRPr="00757A95">
        <w:rPr>
          <w:lang w:val="en-GB"/>
        </w:rPr>
        <w:t xml:space="preserve">the </w:t>
      </w:r>
      <w:r w:rsidR="008132DE" w:rsidRPr="00757A95">
        <w:rPr>
          <w:lang w:val="en-GB"/>
        </w:rPr>
        <w:t xml:space="preserve">Committee, acting through its </w:t>
      </w:r>
      <w:r w:rsidRPr="00757A95">
        <w:rPr>
          <w:lang w:val="en-GB"/>
        </w:rPr>
        <w:t xml:space="preserve">Rapporteur on new </w:t>
      </w:r>
      <w:r w:rsidR="00D04806" w:rsidRPr="00757A95">
        <w:rPr>
          <w:lang w:val="en-GB"/>
        </w:rPr>
        <w:t>complaints</w:t>
      </w:r>
      <w:r w:rsidRPr="00757A95">
        <w:rPr>
          <w:lang w:val="en-GB"/>
        </w:rPr>
        <w:t xml:space="preserve"> and interim measures, decided to issue a request for interim measures under rule</w:t>
      </w:r>
      <w:r w:rsidR="00ED7450" w:rsidRPr="00757A95">
        <w:rPr>
          <w:lang w:val="en-GB"/>
        </w:rPr>
        <w:t> </w:t>
      </w:r>
      <w:r w:rsidR="00D04806" w:rsidRPr="00757A95">
        <w:rPr>
          <w:lang w:val="en-GB"/>
        </w:rPr>
        <w:t>114</w:t>
      </w:r>
      <w:r w:rsidRPr="00757A95">
        <w:rPr>
          <w:lang w:val="en-GB"/>
        </w:rPr>
        <w:t xml:space="preserve"> </w:t>
      </w:r>
      <w:r w:rsidR="00BE2FBA" w:rsidRPr="00757A95">
        <w:rPr>
          <w:lang w:val="en-GB"/>
        </w:rPr>
        <w:t xml:space="preserve">(1) </w:t>
      </w:r>
      <w:r w:rsidRPr="00757A95">
        <w:rPr>
          <w:lang w:val="en-GB"/>
        </w:rPr>
        <w:t>of the Committee’s rules of procedure</w:t>
      </w:r>
      <w:r w:rsidR="00BE2FBA" w:rsidRPr="00757A95">
        <w:rPr>
          <w:lang w:val="en-GB"/>
        </w:rPr>
        <w:t xml:space="preserve"> and</w:t>
      </w:r>
      <w:r w:rsidR="00D04806" w:rsidRPr="00757A95">
        <w:rPr>
          <w:lang w:val="en-GB"/>
        </w:rPr>
        <w:t xml:space="preserve"> </w:t>
      </w:r>
      <w:r w:rsidR="00BE2FBA" w:rsidRPr="00757A95">
        <w:rPr>
          <w:w w:val="103"/>
          <w:lang w:val="en-GB"/>
        </w:rPr>
        <w:t xml:space="preserve">requested the State party not to deport the complainant to </w:t>
      </w:r>
      <w:r w:rsidR="00473F6C" w:rsidRPr="00757A95">
        <w:rPr>
          <w:lang w:val="en-GB"/>
        </w:rPr>
        <w:t xml:space="preserve">the Islamic Republic of </w:t>
      </w:r>
      <w:r w:rsidR="00BE2FBA" w:rsidRPr="00757A95">
        <w:rPr>
          <w:w w:val="103"/>
          <w:lang w:val="en-GB"/>
        </w:rPr>
        <w:t>Iran while the complaint was being considered by the Committee.</w:t>
      </w:r>
    </w:p>
    <w:p w:rsidR="00FF3B74" w:rsidRPr="00757A95" w:rsidRDefault="00FF3B74" w:rsidP="00A62AAC">
      <w:pPr>
        <w:pStyle w:val="SingleTxtG"/>
        <w:rPr>
          <w:lang w:val="en-GB"/>
        </w:rPr>
      </w:pPr>
      <w:r w:rsidRPr="00757A95">
        <w:rPr>
          <w:w w:val="103"/>
          <w:lang w:val="en-GB"/>
        </w:rPr>
        <w:t>1.3</w:t>
      </w:r>
      <w:r w:rsidRPr="00757A95">
        <w:rPr>
          <w:w w:val="103"/>
          <w:lang w:val="en-GB"/>
        </w:rPr>
        <w:tab/>
      </w:r>
      <w:r w:rsidR="00DD27BF" w:rsidRPr="00757A95">
        <w:rPr>
          <w:w w:val="103"/>
          <w:lang w:val="en-GB"/>
        </w:rPr>
        <w:t xml:space="preserve">On 18 March 2015, the Committee decided to deny the State party’s request to lift interim measures. </w:t>
      </w:r>
    </w:p>
    <w:p w:rsidR="001C3108" w:rsidRPr="00757A95" w:rsidRDefault="001C3108" w:rsidP="001C3108">
      <w:pPr>
        <w:pStyle w:val="H23G"/>
      </w:pPr>
      <w:r w:rsidRPr="00757A95">
        <w:lastRenderedPageBreak/>
        <w:tab/>
      </w:r>
      <w:r w:rsidRPr="00757A95">
        <w:tab/>
      </w:r>
      <w:r w:rsidR="004217CB" w:rsidRPr="00757A95">
        <w:t>Factual background</w:t>
      </w:r>
    </w:p>
    <w:p w:rsidR="00BE2FBA" w:rsidRPr="00757A95" w:rsidRDefault="002B4048" w:rsidP="00A34D18">
      <w:pPr>
        <w:pStyle w:val="SingleTxtG"/>
        <w:rPr>
          <w:lang w:val="en-GB"/>
        </w:rPr>
      </w:pPr>
      <w:r w:rsidRPr="00757A95">
        <w:rPr>
          <w:lang w:val="en-GB"/>
        </w:rPr>
        <w:t>2.1</w:t>
      </w:r>
      <w:r w:rsidRPr="00757A95">
        <w:rPr>
          <w:lang w:val="en-GB"/>
        </w:rPr>
        <w:tab/>
      </w:r>
      <w:r w:rsidR="00BE2FBA" w:rsidRPr="00757A95">
        <w:rPr>
          <w:lang w:val="en-GB"/>
        </w:rPr>
        <w:t>The c</w:t>
      </w:r>
      <w:r w:rsidR="007A118D" w:rsidRPr="00757A95">
        <w:rPr>
          <w:lang w:val="en-GB"/>
        </w:rPr>
        <w:t xml:space="preserve">omplainant </w:t>
      </w:r>
      <w:r w:rsidR="001E2BB9" w:rsidRPr="00757A95">
        <w:rPr>
          <w:lang w:val="en-GB"/>
        </w:rPr>
        <w:t xml:space="preserve">is an </w:t>
      </w:r>
      <w:r w:rsidR="002057A4" w:rsidRPr="00757A95">
        <w:rPr>
          <w:lang w:val="en-GB"/>
        </w:rPr>
        <w:t>e</w:t>
      </w:r>
      <w:r w:rsidR="001E2BB9" w:rsidRPr="00757A95">
        <w:rPr>
          <w:lang w:val="en-GB"/>
        </w:rPr>
        <w:t>thnic Persian and a S</w:t>
      </w:r>
      <w:r w:rsidR="00D2733A" w:rsidRPr="00757A95">
        <w:rPr>
          <w:lang w:val="en-GB"/>
        </w:rPr>
        <w:t xml:space="preserve">hia Muslim from Teheran. </w:t>
      </w:r>
      <w:r w:rsidR="00E343AD" w:rsidRPr="00757A95">
        <w:rPr>
          <w:lang w:val="en-GB"/>
        </w:rPr>
        <w:t>He claims to have been</w:t>
      </w:r>
      <w:r w:rsidR="007A118D" w:rsidRPr="00757A95">
        <w:rPr>
          <w:lang w:val="en-GB"/>
        </w:rPr>
        <w:t xml:space="preserve"> </w:t>
      </w:r>
      <w:r w:rsidR="00153FD2" w:rsidRPr="00757A95">
        <w:rPr>
          <w:lang w:val="en-GB"/>
        </w:rPr>
        <w:t xml:space="preserve">detained and </w:t>
      </w:r>
      <w:r w:rsidR="007A118D" w:rsidRPr="00757A95">
        <w:rPr>
          <w:lang w:val="en-GB"/>
        </w:rPr>
        <w:t xml:space="preserve">tortured </w:t>
      </w:r>
      <w:r w:rsidR="00507A41" w:rsidRPr="00757A95">
        <w:rPr>
          <w:lang w:val="en-GB"/>
        </w:rPr>
        <w:t>by the Iranian police</w:t>
      </w:r>
      <w:r w:rsidR="00046361" w:rsidRPr="00757A95">
        <w:rPr>
          <w:lang w:val="en-GB"/>
        </w:rPr>
        <w:t xml:space="preserve"> in the 1980s</w:t>
      </w:r>
      <w:r w:rsidR="00153FD2" w:rsidRPr="00757A95">
        <w:rPr>
          <w:lang w:val="en-GB"/>
        </w:rPr>
        <w:t xml:space="preserve"> for having assisted persons with a travel ban, including non-Muslims and political opponents, in obtaining passports.</w:t>
      </w:r>
      <w:r w:rsidR="00BE2FBA" w:rsidRPr="00757A95">
        <w:rPr>
          <w:lang w:val="en-GB"/>
        </w:rPr>
        <w:t xml:space="preserve"> </w:t>
      </w:r>
      <w:r w:rsidR="00507A41" w:rsidRPr="00757A95">
        <w:rPr>
          <w:lang w:val="en-GB"/>
        </w:rPr>
        <w:t>A</w:t>
      </w:r>
      <w:r w:rsidR="00046361" w:rsidRPr="00757A95">
        <w:rPr>
          <w:lang w:val="en-GB"/>
        </w:rPr>
        <w:t>s a result</w:t>
      </w:r>
      <w:r w:rsidR="003C4D91" w:rsidRPr="00757A95">
        <w:rPr>
          <w:lang w:val="en-GB"/>
        </w:rPr>
        <w:t>, he</w:t>
      </w:r>
      <w:r w:rsidR="00046361" w:rsidRPr="00757A95">
        <w:rPr>
          <w:lang w:val="en-GB"/>
        </w:rPr>
        <w:t xml:space="preserve"> fled the country</w:t>
      </w:r>
      <w:r w:rsidR="00BE2FBA" w:rsidRPr="00757A95">
        <w:rPr>
          <w:lang w:val="en-GB"/>
        </w:rPr>
        <w:t xml:space="preserve"> and applied for asylum in Greece</w:t>
      </w:r>
      <w:r w:rsidR="003C4D91" w:rsidRPr="00757A95">
        <w:rPr>
          <w:lang w:val="en-GB"/>
        </w:rPr>
        <w:t xml:space="preserve">, where he obtained </w:t>
      </w:r>
      <w:r w:rsidR="00BE2FBA" w:rsidRPr="00757A95">
        <w:rPr>
          <w:lang w:val="en-GB"/>
        </w:rPr>
        <w:t>refugee status</w:t>
      </w:r>
      <w:r w:rsidR="00F00C18" w:rsidRPr="00757A95">
        <w:rPr>
          <w:lang w:val="en-GB"/>
        </w:rPr>
        <w:t xml:space="preserve"> in 1991</w:t>
      </w:r>
      <w:r w:rsidR="003C4D91" w:rsidRPr="00757A95">
        <w:rPr>
          <w:lang w:val="en-GB"/>
        </w:rPr>
        <w:t>. He was then</w:t>
      </w:r>
      <w:r w:rsidR="00BE2FBA" w:rsidRPr="00757A95">
        <w:rPr>
          <w:lang w:val="en-GB"/>
        </w:rPr>
        <w:t xml:space="preserve"> </w:t>
      </w:r>
      <w:r w:rsidR="004C5DE6" w:rsidRPr="00757A95">
        <w:rPr>
          <w:lang w:val="en-GB"/>
        </w:rPr>
        <w:t>resettled in</w:t>
      </w:r>
      <w:r w:rsidR="00D2733A" w:rsidRPr="00757A95">
        <w:rPr>
          <w:lang w:val="en-GB"/>
        </w:rPr>
        <w:t xml:space="preserve"> </w:t>
      </w:r>
      <w:r w:rsidR="00BE2FBA" w:rsidRPr="00757A95">
        <w:rPr>
          <w:lang w:val="en-GB"/>
        </w:rPr>
        <w:t xml:space="preserve">Denmark </w:t>
      </w:r>
      <w:r w:rsidR="004C5DE6" w:rsidRPr="00757A95">
        <w:rPr>
          <w:lang w:val="en-GB"/>
        </w:rPr>
        <w:t xml:space="preserve">as </w:t>
      </w:r>
      <w:r w:rsidR="00BE2FBA" w:rsidRPr="00757A95">
        <w:rPr>
          <w:lang w:val="en-GB"/>
        </w:rPr>
        <w:t xml:space="preserve">a </w:t>
      </w:r>
      <w:r w:rsidR="004C5DE6" w:rsidRPr="00757A95">
        <w:rPr>
          <w:lang w:val="en-GB"/>
        </w:rPr>
        <w:t xml:space="preserve">quota </w:t>
      </w:r>
      <w:r w:rsidR="00BE2FBA" w:rsidRPr="00757A95">
        <w:rPr>
          <w:lang w:val="en-GB"/>
        </w:rPr>
        <w:t xml:space="preserve">refugee and obtained a </w:t>
      </w:r>
      <w:r w:rsidR="00434656" w:rsidRPr="00757A95">
        <w:rPr>
          <w:lang w:val="en-GB"/>
        </w:rPr>
        <w:t xml:space="preserve">Danish </w:t>
      </w:r>
      <w:r w:rsidR="00BE2FBA" w:rsidRPr="00757A95">
        <w:rPr>
          <w:lang w:val="en-GB"/>
        </w:rPr>
        <w:t xml:space="preserve">residence permit </w:t>
      </w:r>
      <w:r w:rsidR="004217CB" w:rsidRPr="00757A95">
        <w:rPr>
          <w:lang w:val="en-GB"/>
        </w:rPr>
        <w:t>under the Danish Aliens Act</w:t>
      </w:r>
      <w:r w:rsidR="00BE2FBA" w:rsidRPr="00757A95">
        <w:rPr>
          <w:lang w:val="en-GB"/>
        </w:rPr>
        <w:t xml:space="preserve">. </w:t>
      </w:r>
      <w:r w:rsidR="00FD7C1A" w:rsidRPr="00757A95">
        <w:rPr>
          <w:lang w:val="en-GB"/>
        </w:rPr>
        <w:t xml:space="preserve">He entered Denmark in June 1992 </w:t>
      </w:r>
      <w:r w:rsidR="00434656" w:rsidRPr="00757A95">
        <w:rPr>
          <w:lang w:val="en-GB"/>
        </w:rPr>
        <w:t xml:space="preserve">with </w:t>
      </w:r>
      <w:r w:rsidR="00E343AD" w:rsidRPr="00757A95">
        <w:rPr>
          <w:lang w:val="en-GB"/>
        </w:rPr>
        <w:t>a</w:t>
      </w:r>
      <w:r w:rsidR="00434656" w:rsidRPr="00757A95">
        <w:rPr>
          <w:lang w:val="en-GB"/>
        </w:rPr>
        <w:t xml:space="preserve"> </w:t>
      </w:r>
      <w:r w:rsidR="00F00C18" w:rsidRPr="00757A95">
        <w:rPr>
          <w:lang w:val="en-GB"/>
        </w:rPr>
        <w:t xml:space="preserve">valid </w:t>
      </w:r>
      <w:r w:rsidR="00434656" w:rsidRPr="00757A95">
        <w:rPr>
          <w:lang w:val="en-GB"/>
        </w:rPr>
        <w:t xml:space="preserve">residence permit. </w:t>
      </w:r>
      <w:r w:rsidR="003B0BF6" w:rsidRPr="00757A95">
        <w:rPr>
          <w:lang w:val="en-GB"/>
        </w:rPr>
        <w:t xml:space="preserve">The complainant claims that he </w:t>
      </w:r>
      <w:r w:rsidR="00BE2FBA" w:rsidRPr="00757A95">
        <w:rPr>
          <w:lang w:val="en-GB"/>
        </w:rPr>
        <w:t xml:space="preserve">became addicted to drugs </w:t>
      </w:r>
      <w:r w:rsidR="003B0BF6" w:rsidRPr="00757A95">
        <w:rPr>
          <w:lang w:val="en-GB"/>
        </w:rPr>
        <w:t xml:space="preserve">around this time, </w:t>
      </w:r>
      <w:r w:rsidR="00BE2FBA" w:rsidRPr="00757A95">
        <w:rPr>
          <w:lang w:val="en-GB"/>
        </w:rPr>
        <w:t>due to the after effects of torture.</w:t>
      </w:r>
    </w:p>
    <w:p w:rsidR="00704575" w:rsidRPr="00757A95" w:rsidRDefault="00BE2FBA" w:rsidP="00757A95">
      <w:pPr>
        <w:pStyle w:val="SingleTxtG"/>
        <w:rPr>
          <w:lang w:val="en-GB"/>
        </w:rPr>
      </w:pPr>
      <w:r w:rsidRPr="00757A95">
        <w:rPr>
          <w:lang w:val="en-GB"/>
        </w:rPr>
        <w:t>2.2</w:t>
      </w:r>
      <w:r w:rsidRPr="00757A95">
        <w:rPr>
          <w:lang w:val="en-GB"/>
        </w:rPr>
        <w:tab/>
      </w:r>
      <w:r w:rsidR="00581CDC" w:rsidRPr="00757A95">
        <w:rPr>
          <w:lang w:val="en-GB"/>
        </w:rPr>
        <w:t xml:space="preserve">On 25 March 1995, the complainant </w:t>
      </w:r>
      <w:r w:rsidR="00A54906" w:rsidRPr="00757A95">
        <w:rPr>
          <w:lang w:val="en-GB"/>
        </w:rPr>
        <w:t>was issued</w:t>
      </w:r>
      <w:r w:rsidR="00581CDC" w:rsidRPr="00757A95">
        <w:rPr>
          <w:lang w:val="en-GB"/>
        </w:rPr>
        <w:t xml:space="preserve"> a permanent residence permit. </w:t>
      </w:r>
      <w:r w:rsidR="00A54906" w:rsidRPr="00757A95">
        <w:rPr>
          <w:lang w:val="en-GB"/>
        </w:rPr>
        <w:t>On 4</w:t>
      </w:r>
      <w:r w:rsidR="007467B0">
        <w:rPr>
          <w:lang w:val="en-GB"/>
        </w:rPr>
        <w:t> </w:t>
      </w:r>
      <w:r w:rsidR="00A54906" w:rsidRPr="00757A95">
        <w:rPr>
          <w:lang w:val="en-GB"/>
        </w:rPr>
        <w:t>December 2004</w:t>
      </w:r>
      <w:r w:rsidRPr="00757A95">
        <w:rPr>
          <w:lang w:val="en-GB"/>
        </w:rPr>
        <w:t xml:space="preserve">, </w:t>
      </w:r>
      <w:r w:rsidR="00E776DC" w:rsidRPr="00757A95">
        <w:rPr>
          <w:lang w:val="en-GB"/>
        </w:rPr>
        <w:t>he</w:t>
      </w:r>
      <w:r w:rsidRPr="00757A95">
        <w:rPr>
          <w:lang w:val="en-GB"/>
        </w:rPr>
        <w:t xml:space="preserve"> </w:t>
      </w:r>
      <w:r w:rsidR="00A54906" w:rsidRPr="00757A95">
        <w:rPr>
          <w:lang w:val="en-GB"/>
        </w:rPr>
        <w:t>le</w:t>
      </w:r>
      <w:r w:rsidR="00382D1D" w:rsidRPr="00757A95">
        <w:rPr>
          <w:lang w:val="en-GB"/>
        </w:rPr>
        <w:t>f</w:t>
      </w:r>
      <w:r w:rsidR="00A54906" w:rsidRPr="00757A95">
        <w:rPr>
          <w:lang w:val="en-GB"/>
        </w:rPr>
        <w:t xml:space="preserve">t Denmark to return </w:t>
      </w:r>
      <w:r w:rsidRPr="00757A95">
        <w:rPr>
          <w:lang w:val="en-GB"/>
        </w:rPr>
        <w:t xml:space="preserve">to </w:t>
      </w:r>
      <w:r w:rsidR="00473F6C" w:rsidRPr="00757A95">
        <w:rPr>
          <w:lang w:val="en-GB"/>
        </w:rPr>
        <w:t xml:space="preserve">the Islamic Republic of </w:t>
      </w:r>
      <w:r w:rsidRPr="00757A95">
        <w:rPr>
          <w:lang w:val="en-GB"/>
        </w:rPr>
        <w:t>Iran with his mother, who</w:t>
      </w:r>
      <w:r w:rsidR="009F4471" w:rsidRPr="00757A95">
        <w:rPr>
          <w:lang w:val="en-GB"/>
        </w:rPr>
        <w:t>, after several years of having resided in Denmark,</w:t>
      </w:r>
      <w:r w:rsidRPr="00757A95">
        <w:rPr>
          <w:lang w:val="en-GB"/>
        </w:rPr>
        <w:t xml:space="preserve"> </w:t>
      </w:r>
      <w:r w:rsidR="009F4471" w:rsidRPr="00757A95">
        <w:rPr>
          <w:lang w:val="en-GB"/>
        </w:rPr>
        <w:t xml:space="preserve">was </w:t>
      </w:r>
      <w:r w:rsidR="007C1E52" w:rsidRPr="00757A95">
        <w:rPr>
          <w:lang w:val="en-GB"/>
        </w:rPr>
        <w:t>ill</w:t>
      </w:r>
      <w:r w:rsidRPr="00757A95">
        <w:rPr>
          <w:lang w:val="en-GB"/>
        </w:rPr>
        <w:t xml:space="preserve"> and wanted to return </w:t>
      </w:r>
      <w:r w:rsidR="002057A4" w:rsidRPr="00757A95">
        <w:rPr>
          <w:lang w:val="en-GB"/>
        </w:rPr>
        <w:t>there</w:t>
      </w:r>
      <w:r w:rsidRPr="00757A95">
        <w:rPr>
          <w:lang w:val="en-GB"/>
        </w:rPr>
        <w:t xml:space="preserve">. </w:t>
      </w:r>
      <w:r w:rsidR="00FF64D7" w:rsidRPr="00757A95">
        <w:rPr>
          <w:lang w:val="en-GB"/>
        </w:rPr>
        <w:t>She</w:t>
      </w:r>
      <w:r w:rsidR="005C5A52" w:rsidRPr="00757A95">
        <w:rPr>
          <w:lang w:val="en-GB"/>
        </w:rPr>
        <w:t xml:space="preserve"> died in </w:t>
      </w:r>
      <w:r w:rsidR="00473F6C" w:rsidRPr="00757A95">
        <w:rPr>
          <w:lang w:val="en-GB"/>
        </w:rPr>
        <w:t xml:space="preserve">the Islamic Republic of </w:t>
      </w:r>
      <w:r w:rsidR="005C5A52" w:rsidRPr="00757A95">
        <w:rPr>
          <w:lang w:val="en-GB"/>
        </w:rPr>
        <w:t xml:space="preserve">Iran in December 2009. The complainant stayed in </w:t>
      </w:r>
      <w:r w:rsidR="00473F6C" w:rsidRPr="00757A95">
        <w:rPr>
          <w:lang w:val="en-GB"/>
        </w:rPr>
        <w:t xml:space="preserve">the Islamic Republic of </w:t>
      </w:r>
      <w:r w:rsidR="005C5A52" w:rsidRPr="00757A95">
        <w:rPr>
          <w:lang w:val="en-GB"/>
        </w:rPr>
        <w:t xml:space="preserve">Iran </w:t>
      </w:r>
      <w:r w:rsidR="00FF64D7" w:rsidRPr="00757A95">
        <w:rPr>
          <w:lang w:val="en-GB"/>
        </w:rPr>
        <w:t>and</w:t>
      </w:r>
      <w:r w:rsidR="002057A4" w:rsidRPr="00757A95">
        <w:rPr>
          <w:lang w:val="en-GB"/>
        </w:rPr>
        <w:t>,</w:t>
      </w:r>
      <w:r w:rsidR="00FF64D7" w:rsidRPr="00757A95">
        <w:rPr>
          <w:lang w:val="en-GB"/>
        </w:rPr>
        <w:t xml:space="preserve"> </w:t>
      </w:r>
      <w:r w:rsidR="005C5A52" w:rsidRPr="00757A95">
        <w:rPr>
          <w:lang w:val="en-GB"/>
        </w:rPr>
        <w:t xml:space="preserve">during the </w:t>
      </w:r>
      <w:r w:rsidR="00BC4A61">
        <w:rPr>
          <w:lang w:val="en-GB"/>
        </w:rPr>
        <w:t>“</w:t>
      </w:r>
      <w:r w:rsidR="002057A4" w:rsidRPr="00757A95">
        <w:rPr>
          <w:lang w:val="en-GB"/>
        </w:rPr>
        <w:t>g</w:t>
      </w:r>
      <w:r w:rsidR="005C5A52" w:rsidRPr="00757A95">
        <w:rPr>
          <w:lang w:val="en-GB"/>
        </w:rPr>
        <w:t>reen revolution</w:t>
      </w:r>
      <w:r w:rsidR="00BC4A61">
        <w:rPr>
          <w:lang w:val="en-GB"/>
        </w:rPr>
        <w:t>”</w:t>
      </w:r>
      <w:r w:rsidR="005C5A52" w:rsidRPr="00757A95">
        <w:rPr>
          <w:lang w:val="en-GB"/>
        </w:rPr>
        <w:t xml:space="preserve"> in 2009</w:t>
      </w:r>
      <w:r w:rsidR="002057A4" w:rsidRPr="00757A95">
        <w:rPr>
          <w:lang w:val="en-GB"/>
        </w:rPr>
        <w:t>-</w:t>
      </w:r>
      <w:r w:rsidR="001E2BB9" w:rsidRPr="00757A95">
        <w:rPr>
          <w:lang w:val="en-GB"/>
        </w:rPr>
        <w:t>2010</w:t>
      </w:r>
      <w:r w:rsidR="002057A4" w:rsidRPr="00757A95">
        <w:rPr>
          <w:lang w:val="en-GB"/>
        </w:rPr>
        <w:t>,</w:t>
      </w:r>
      <w:r w:rsidR="00303C62" w:rsidRPr="00757A95">
        <w:rPr>
          <w:lang w:val="en-GB"/>
        </w:rPr>
        <w:t xml:space="preserve"> </w:t>
      </w:r>
      <w:r w:rsidR="005C5A52" w:rsidRPr="00757A95">
        <w:rPr>
          <w:lang w:val="en-GB"/>
        </w:rPr>
        <w:t>was arrested</w:t>
      </w:r>
      <w:r w:rsidR="00303C62" w:rsidRPr="00757A95">
        <w:rPr>
          <w:lang w:val="en-GB"/>
        </w:rPr>
        <w:t>, allegedly for having participated in</w:t>
      </w:r>
      <w:r w:rsidR="00E7145A" w:rsidRPr="00757A95">
        <w:rPr>
          <w:lang w:val="en-GB"/>
        </w:rPr>
        <w:t xml:space="preserve"> post-electoral</w:t>
      </w:r>
      <w:r w:rsidR="00303C62" w:rsidRPr="00757A95">
        <w:rPr>
          <w:lang w:val="en-GB"/>
        </w:rPr>
        <w:t xml:space="preserve"> de</w:t>
      </w:r>
      <w:r w:rsidR="001E2BB9" w:rsidRPr="00757A95">
        <w:rPr>
          <w:lang w:val="en-GB"/>
        </w:rPr>
        <w:t>m</w:t>
      </w:r>
      <w:r w:rsidR="00303C62" w:rsidRPr="00757A95">
        <w:rPr>
          <w:lang w:val="en-GB"/>
        </w:rPr>
        <w:t>onstration</w:t>
      </w:r>
      <w:r w:rsidR="001E2BB9" w:rsidRPr="00757A95">
        <w:rPr>
          <w:lang w:val="en-GB"/>
        </w:rPr>
        <w:t>s</w:t>
      </w:r>
      <w:r w:rsidR="00EA5F5C" w:rsidRPr="00757A95">
        <w:rPr>
          <w:lang w:val="en-GB"/>
        </w:rPr>
        <w:t xml:space="preserve"> against </w:t>
      </w:r>
      <w:r w:rsidR="002057A4" w:rsidRPr="00757A95">
        <w:rPr>
          <w:lang w:val="en-GB"/>
        </w:rPr>
        <w:t>P</w:t>
      </w:r>
      <w:r w:rsidR="00EA5F5C" w:rsidRPr="00757A95">
        <w:rPr>
          <w:lang w:val="en-GB"/>
        </w:rPr>
        <w:t>resident Ahmadinejad</w:t>
      </w:r>
      <w:r w:rsidR="005C5A52" w:rsidRPr="00757A95">
        <w:rPr>
          <w:lang w:val="en-GB"/>
        </w:rPr>
        <w:t>.</w:t>
      </w:r>
    </w:p>
    <w:p w:rsidR="00BE2FBA" w:rsidRPr="00757A95" w:rsidRDefault="00704575" w:rsidP="00A34D18">
      <w:pPr>
        <w:pStyle w:val="SingleTxtG"/>
        <w:rPr>
          <w:lang w:val="en-GB"/>
        </w:rPr>
      </w:pPr>
      <w:r w:rsidRPr="00757A95">
        <w:rPr>
          <w:lang w:val="en-GB"/>
        </w:rPr>
        <w:t>2.3</w:t>
      </w:r>
      <w:r w:rsidRPr="00757A95">
        <w:rPr>
          <w:lang w:val="en-GB"/>
        </w:rPr>
        <w:tab/>
        <w:t xml:space="preserve">On 17 September 2010, the Danish </w:t>
      </w:r>
      <w:r w:rsidR="002057A4" w:rsidRPr="00757A95">
        <w:rPr>
          <w:lang w:val="en-GB"/>
        </w:rPr>
        <w:t>i</w:t>
      </w:r>
      <w:r w:rsidRPr="00757A95">
        <w:rPr>
          <w:lang w:val="en-GB"/>
        </w:rPr>
        <w:t xml:space="preserve">mmigration </w:t>
      </w:r>
      <w:r w:rsidR="002057A4" w:rsidRPr="00757A95">
        <w:rPr>
          <w:lang w:val="en-GB"/>
        </w:rPr>
        <w:t>s</w:t>
      </w:r>
      <w:r w:rsidRPr="00757A95">
        <w:rPr>
          <w:lang w:val="en-GB"/>
        </w:rPr>
        <w:t>ervice</w:t>
      </w:r>
      <w:r w:rsidR="00904DFE" w:rsidRPr="00757A95">
        <w:rPr>
          <w:lang w:val="en-GB"/>
        </w:rPr>
        <w:t xml:space="preserve"> </w:t>
      </w:r>
      <w:r w:rsidRPr="00757A95">
        <w:rPr>
          <w:lang w:val="en-GB"/>
        </w:rPr>
        <w:t>decided that the complainant’s residence permit had lapsed.</w:t>
      </w:r>
      <w:r w:rsidR="00F240D8" w:rsidRPr="00757A95">
        <w:rPr>
          <w:rStyle w:val="FootnoteReference"/>
          <w:lang w:val="en-GB"/>
        </w:rPr>
        <w:footnoteReference w:id="4"/>
      </w:r>
      <w:r w:rsidRPr="00757A95">
        <w:rPr>
          <w:lang w:val="en-GB"/>
        </w:rPr>
        <w:t xml:space="preserve"> This decision was </w:t>
      </w:r>
      <w:r w:rsidR="005C5A52" w:rsidRPr="00757A95">
        <w:rPr>
          <w:lang w:val="en-GB"/>
        </w:rPr>
        <w:t>upheld</w:t>
      </w:r>
      <w:r w:rsidRPr="00757A95">
        <w:rPr>
          <w:lang w:val="en-GB"/>
        </w:rPr>
        <w:t xml:space="preserve"> by the </w:t>
      </w:r>
      <w:r w:rsidR="00BE5450" w:rsidRPr="00757A95">
        <w:rPr>
          <w:lang w:val="en-GB"/>
        </w:rPr>
        <w:t>refugee appeals board</w:t>
      </w:r>
      <w:r w:rsidRPr="00757A95">
        <w:rPr>
          <w:lang w:val="en-GB"/>
        </w:rPr>
        <w:t xml:space="preserve"> on 27 April 2011</w:t>
      </w:r>
      <w:r w:rsidR="005C5A52" w:rsidRPr="00757A95">
        <w:rPr>
          <w:lang w:val="en-GB"/>
        </w:rPr>
        <w:t>.</w:t>
      </w:r>
      <w:r w:rsidR="00F240D8" w:rsidRPr="00757A95">
        <w:rPr>
          <w:rStyle w:val="FootnoteReference"/>
          <w:lang w:val="en-GB"/>
        </w:rPr>
        <w:footnoteReference w:id="5"/>
      </w:r>
    </w:p>
    <w:p w:rsidR="003C4D91" w:rsidRPr="00757A95" w:rsidRDefault="009F4471" w:rsidP="00A34D18">
      <w:pPr>
        <w:pStyle w:val="SingleTxtG"/>
        <w:rPr>
          <w:lang w:val="en-GB"/>
        </w:rPr>
      </w:pPr>
      <w:r w:rsidRPr="00757A95">
        <w:rPr>
          <w:lang w:val="en-GB"/>
        </w:rPr>
        <w:t>2.</w:t>
      </w:r>
      <w:r w:rsidR="003C4D91" w:rsidRPr="00757A95">
        <w:rPr>
          <w:lang w:val="en-GB"/>
        </w:rPr>
        <w:t>4</w:t>
      </w:r>
      <w:r w:rsidRPr="00757A95">
        <w:rPr>
          <w:lang w:val="en-GB"/>
        </w:rPr>
        <w:tab/>
      </w:r>
      <w:r w:rsidR="007376BD" w:rsidRPr="00757A95">
        <w:rPr>
          <w:lang w:val="en-GB"/>
        </w:rPr>
        <w:t>On 8 August</w:t>
      </w:r>
      <w:r w:rsidRPr="00757A95">
        <w:rPr>
          <w:lang w:val="en-GB"/>
        </w:rPr>
        <w:t xml:space="preserve"> 2010</w:t>
      </w:r>
      <w:r w:rsidR="007376BD" w:rsidRPr="00757A95">
        <w:rPr>
          <w:lang w:val="en-GB"/>
        </w:rPr>
        <w:t>,</w:t>
      </w:r>
      <w:r w:rsidRPr="00757A95">
        <w:rPr>
          <w:lang w:val="en-GB"/>
        </w:rPr>
        <w:t xml:space="preserve"> the </w:t>
      </w:r>
      <w:r w:rsidR="00DB5A6F" w:rsidRPr="00757A95">
        <w:rPr>
          <w:lang w:val="en-GB"/>
        </w:rPr>
        <w:t>complainant</w:t>
      </w:r>
      <w:r w:rsidRPr="00757A95">
        <w:rPr>
          <w:lang w:val="en-GB"/>
        </w:rPr>
        <w:t xml:space="preserve"> returned to Denmark</w:t>
      </w:r>
      <w:r w:rsidR="003C4D91" w:rsidRPr="00757A95">
        <w:rPr>
          <w:lang w:val="en-GB"/>
        </w:rPr>
        <w:t>, where his family was still residing. However,</w:t>
      </w:r>
      <w:r w:rsidRPr="00757A95">
        <w:rPr>
          <w:lang w:val="en-GB"/>
        </w:rPr>
        <w:t xml:space="preserve"> on 27 April 2011</w:t>
      </w:r>
      <w:r w:rsidR="003C4D91" w:rsidRPr="00757A95">
        <w:rPr>
          <w:lang w:val="en-GB"/>
        </w:rPr>
        <w:t>,</w:t>
      </w:r>
      <w:r w:rsidRPr="00757A95">
        <w:rPr>
          <w:lang w:val="en-GB"/>
        </w:rPr>
        <w:t xml:space="preserve"> he was informed by </w:t>
      </w:r>
      <w:r w:rsidR="003E40F0" w:rsidRPr="00757A95">
        <w:rPr>
          <w:lang w:val="en-GB"/>
        </w:rPr>
        <w:t xml:space="preserve">the </w:t>
      </w:r>
      <w:r w:rsidRPr="00757A95">
        <w:rPr>
          <w:lang w:val="en-GB"/>
        </w:rPr>
        <w:t xml:space="preserve">Danish authorities that his residence permit had been </w:t>
      </w:r>
      <w:r w:rsidR="00FF64D7" w:rsidRPr="00757A95">
        <w:rPr>
          <w:lang w:val="en-GB"/>
        </w:rPr>
        <w:t>withdrawn</w:t>
      </w:r>
      <w:r w:rsidR="00222D1D" w:rsidRPr="00757A95">
        <w:rPr>
          <w:lang w:val="en-GB"/>
        </w:rPr>
        <w:t xml:space="preserve"> because it had lapsed</w:t>
      </w:r>
      <w:r w:rsidRPr="00757A95">
        <w:rPr>
          <w:lang w:val="en-GB"/>
        </w:rPr>
        <w:t xml:space="preserve">. </w:t>
      </w:r>
      <w:r w:rsidR="007449B0" w:rsidRPr="00757A95">
        <w:rPr>
          <w:lang w:val="en-GB"/>
        </w:rPr>
        <w:t>On 28 April 2011, the</w:t>
      </w:r>
      <w:r w:rsidR="00904DFE" w:rsidRPr="00757A95">
        <w:rPr>
          <w:lang w:val="en-GB"/>
        </w:rPr>
        <w:t xml:space="preserve"> complainant applied for asylum</w:t>
      </w:r>
      <w:r w:rsidR="003C4D91" w:rsidRPr="00757A95">
        <w:rPr>
          <w:lang w:val="en-GB"/>
        </w:rPr>
        <w:t xml:space="preserve"> in Denmark</w:t>
      </w:r>
      <w:r w:rsidR="00904DFE" w:rsidRPr="00757A95">
        <w:rPr>
          <w:lang w:val="en-GB"/>
        </w:rPr>
        <w:t xml:space="preserve">. </w:t>
      </w:r>
      <w:r w:rsidR="00FF64D7" w:rsidRPr="00757A95">
        <w:rPr>
          <w:lang w:val="en-GB"/>
        </w:rPr>
        <w:t>He claimed</w:t>
      </w:r>
      <w:r w:rsidR="006E0D90" w:rsidRPr="00757A95">
        <w:rPr>
          <w:lang w:val="en-GB"/>
        </w:rPr>
        <w:t xml:space="preserve"> that he </w:t>
      </w:r>
      <w:r w:rsidR="003E40F0" w:rsidRPr="00757A95">
        <w:rPr>
          <w:lang w:val="en-GB"/>
        </w:rPr>
        <w:t xml:space="preserve">had been </w:t>
      </w:r>
      <w:r w:rsidR="006E0D90" w:rsidRPr="00757A95">
        <w:rPr>
          <w:lang w:val="en-GB"/>
        </w:rPr>
        <w:t xml:space="preserve">arrested </w:t>
      </w:r>
      <w:r w:rsidR="00A04C4D" w:rsidRPr="00757A95">
        <w:rPr>
          <w:lang w:val="en-GB"/>
        </w:rPr>
        <w:t xml:space="preserve">in </w:t>
      </w:r>
      <w:r w:rsidR="00473F6C" w:rsidRPr="00757A95">
        <w:rPr>
          <w:lang w:val="en-GB"/>
        </w:rPr>
        <w:t xml:space="preserve">the Islamic Republic of </w:t>
      </w:r>
      <w:r w:rsidR="00A04C4D" w:rsidRPr="00757A95">
        <w:rPr>
          <w:lang w:val="en-GB"/>
        </w:rPr>
        <w:t xml:space="preserve">Iran </w:t>
      </w:r>
      <w:r w:rsidR="006E0D90" w:rsidRPr="00757A95">
        <w:rPr>
          <w:lang w:val="en-GB"/>
        </w:rPr>
        <w:t xml:space="preserve">in 2009 for having participated in a </w:t>
      </w:r>
      <w:r w:rsidR="00070911" w:rsidRPr="00757A95">
        <w:rPr>
          <w:lang w:val="en-GB"/>
        </w:rPr>
        <w:t xml:space="preserve">demonstration and </w:t>
      </w:r>
      <w:r w:rsidR="003E40F0" w:rsidRPr="00757A95">
        <w:rPr>
          <w:lang w:val="en-GB"/>
        </w:rPr>
        <w:t xml:space="preserve">had been </w:t>
      </w:r>
      <w:r w:rsidR="00D05F2C" w:rsidRPr="00757A95">
        <w:rPr>
          <w:lang w:val="en-GB"/>
        </w:rPr>
        <w:t xml:space="preserve">released the same day without having </w:t>
      </w:r>
      <w:r w:rsidR="006178CE" w:rsidRPr="00757A95">
        <w:rPr>
          <w:lang w:val="en-GB"/>
        </w:rPr>
        <w:t>given</w:t>
      </w:r>
      <w:r w:rsidR="00D05F2C" w:rsidRPr="00757A95">
        <w:rPr>
          <w:lang w:val="en-GB"/>
        </w:rPr>
        <w:t xml:space="preserve"> his real name. He noted that</w:t>
      </w:r>
      <w:r w:rsidR="00A04C4D" w:rsidRPr="00757A95">
        <w:rPr>
          <w:lang w:val="en-GB"/>
        </w:rPr>
        <w:t>, at another demonstration,</w:t>
      </w:r>
      <w:r w:rsidR="00D05F2C" w:rsidRPr="00757A95">
        <w:rPr>
          <w:lang w:val="en-GB"/>
        </w:rPr>
        <w:t xml:space="preserve"> the police had marked with a pen all demo</w:t>
      </w:r>
      <w:r w:rsidR="008C2CA3" w:rsidRPr="00757A95">
        <w:rPr>
          <w:lang w:val="en-GB"/>
        </w:rPr>
        <w:t>n</w:t>
      </w:r>
      <w:r w:rsidR="00D05F2C" w:rsidRPr="00757A95">
        <w:rPr>
          <w:lang w:val="en-GB"/>
        </w:rPr>
        <w:t xml:space="preserve">strators in order to track them </w:t>
      </w:r>
      <w:r w:rsidR="003C4D91" w:rsidRPr="00757A95">
        <w:rPr>
          <w:lang w:val="en-GB"/>
        </w:rPr>
        <w:t xml:space="preserve">and arrest them </w:t>
      </w:r>
      <w:r w:rsidR="00D05F2C" w:rsidRPr="00757A95">
        <w:rPr>
          <w:lang w:val="en-GB"/>
        </w:rPr>
        <w:t>later</w:t>
      </w:r>
      <w:r w:rsidR="00FF64D7" w:rsidRPr="00757A95">
        <w:rPr>
          <w:lang w:val="en-GB"/>
        </w:rPr>
        <w:t xml:space="preserve">. The authorities </w:t>
      </w:r>
      <w:r w:rsidR="003E40F0" w:rsidRPr="00757A95">
        <w:rPr>
          <w:lang w:val="en-GB"/>
        </w:rPr>
        <w:t xml:space="preserve">had </w:t>
      </w:r>
      <w:r w:rsidR="00FF64D7" w:rsidRPr="00757A95">
        <w:rPr>
          <w:lang w:val="en-GB"/>
        </w:rPr>
        <w:t>put his</w:t>
      </w:r>
      <w:r w:rsidR="00D05F2C" w:rsidRPr="00757A95">
        <w:rPr>
          <w:lang w:val="en-GB"/>
        </w:rPr>
        <w:t xml:space="preserve"> name on a list </w:t>
      </w:r>
      <w:r w:rsidR="002F3256" w:rsidRPr="00757A95">
        <w:rPr>
          <w:lang w:val="en-GB"/>
        </w:rPr>
        <w:t>and</w:t>
      </w:r>
      <w:r w:rsidR="00FF64D7" w:rsidRPr="00757A95">
        <w:rPr>
          <w:lang w:val="en-GB"/>
        </w:rPr>
        <w:t xml:space="preserve"> he</w:t>
      </w:r>
      <w:r w:rsidR="002F3256" w:rsidRPr="00757A95">
        <w:rPr>
          <w:lang w:val="en-GB"/>
        </w:rPr>
        <w:t xml:space="preserve"> </w:t>
      </w:r>
      <w:r w:rsidR="003E40F0" w:rsidRPr="00757A95">
        <w:rPr>
          <w:lang w:val="en-GB"/>
        </w:rPr>
        <w:t xml:space="preserve">had </w:t>
      </w:r>
      <w:r w:rsidR="002F3256" w:rsidRPr="00757A95">
        <w:rPr>
          <w:lang w:val="en-GB"/>
        </w:rPr>
        <w:t xml:space="preserve">had to </w:t>
      </w:r>
      <w:r w:rsidR="00FF64D7" w:rsidRPr="00757A95">
        <w:rPr>
          <w:lang w:val="en-GB"/>
        </w:rPr>
        <w:t xml:space="preserve">bribe somebody </w:t>
      </w:r>
      <w:r w:rsidR="002F3256" w:rsidRPr="00757A95">
        <w:rPr>
          <w:lang w:val="en-GB"/>
        </w:rPr>
        <w:t>to have his name deleted from the list and be issued a passport</w:t>
      </w:r>
      <w:r w:rsidR="008C2CA3" w:rsidRPr="00757A95">
        <w:rPr>
          <w:lang w:val="en-GB"/>
        </w:rPr>
        <w:t>.</w:t>
      </w:r>
      <w:r w:rsidR="00EF6624" w:rsidRPr="00757A95">
        <w:rPr>
          <w:lang w:val="en-GB"/>
        </w:rPr>
        <w:t xml:space="preserve"> </w:t>
      </w:r>
      <w:r w:rsidR="00904DFE" w:rsidRPr="00757A95">
        <w:rPr>
          <w:lang w:val="en-GB"/>
        </w:rPr>
        <w:t xml:space="preserve">His application was rejected by the </w:t>
      </w:r>
      <w:r w:rsidR="002057A4" w:rsidRPr="00757A95">
        <w:rPr>
          <w:lang w:val="en-GB"/>
        </w:rPr>
        <w:t>Danish immigration service</w:t>
      </w:r>
      <w:r w:rsidR="00904DFE" w:rsidRPr="00757A95">
        <w:rPr>
          <w:lang w:val="en-GB"/>
        </w:rPr>
        <w:t xml:space="preserve"> on 6 December 2011. </w:t>
      </w:r>
    </w:p>
    <w:p w:rsidR="000E2CE5" w:rsidRPr="00757A95" w:rsidRDefault="003C4D91" w:rsidP="00A34D18">
      <w:pPr>
        <w:pStyle w:val="SingleTxtG"/>
        <w:rPr>
          <w:lang w:val="en-GB"/>
        </w:rPr>
      </w:pPr>
      <w:r w:rsidRPr="00757A95">
        <w:rPr>
          <w:lang w:val="en-GB"/>
        </w:rPr>
        <w:t>2.5</w:t>
      </w:r>
      <w:r w:rsidRPr="00757A95">
        <w:rPr>
          <w:lang w:val="en-GB"/>
        </w:rPr>
        <w:tab/>
      </w:r>
      <w:r w:rsidR="009F4471" w:rsidRPr="00757A95">
        <w:rPr>
          <w:lang w:val="en-GB"/>
        </w:rPr>
        <w:t xml:space="preserve">On 6 September 2012, the </w:t>
      </w:r>
      <w:r w:rsidR="00BE5450" w:rsidRPr="00757A95">
        <w:rPr>
          <w:lang w:val="en-GB"/>
        </w:rPr>
        <w:t>r</w:t>
      </w:r>
      <w:r w:rsidR="009F4471" w:rsidRPr="00757A95">
        <w:rPr>
          <w:lang w:val="en-GB"/>
        </w:rPr>
        <w:t xml:space="preserve">efugee </w:t>
      </w:r>
      <w:r w:rsidR="00BE5450" w:rsidRPr="00757A95">
        <w:rPr>
          <w:lang w:val="en-GB"/>
        </w:rPr>
        <w:t>a</w:t>
      </w:r>
      <w:r w:rsidR="009F4471" w:rsidRPr="00757A95">
        <w:rPr>
          <w:lang w:val="en-GB"/>
        </w:rPr>
        <w:t xml:space="preserve">ppeals </w:t>
      </w:r>
      <w:r w:rsidR="00BE5450" w:rsidRPr="00757A95">
        <w:rPr>
          <w:lang w:val="en-GB"/>
        </w:rPr>
        <w:t>b</w:t>
      </w:r>
      <w:r w:rsidR="009F4471" w:rsidRPr="00757A95">
        <w:rPr>
          <w:lang w:val="en-GB"/>
        </w:rPr>
        <w:t>oard</w:t>
      </w:r>
      <w:r w:rsidR="008571DD" w:rsidRPr="00757A95">
        <w:rPr>
          <w:lang w:val="en-GB"/>
        </w:rPr>
        <w:t xml:space="preserve"> </w:t>
      </w:r>
      <w:r w:rsidR="009F4471" w:rsidRPr="00757A95">
        <w:rPr>
          <w:lang w:val="en-GB"/>
        </w:rPr>
        <w:t>rejected the complainant’s request for a new residence permit</w:t>
      </w:r>
      <w:r w:rsidR="00DD18CE" w:rsidRPr="00757A95">
        <w:rPr>
          <w:lang w:val="en-GB"/>
        </w:rPr>
        <w:t>.</w:t>
      </w:r>
      <w:r w:rsidR="00DA5CA7" w:rsidRPr="00757A95">
        <w:rPr>
          <w:lang w:val="en-GB"/>
        </w:rPr>
        <w:t xml:space="preserve"> </w:t>
      </w:r>
      <w:r w:rsidR="000E2CE5" w:rsidRPr="00757A95">
        <w:rPr>
          <w:lang w:val="en-GB"/>
        </w:rPr>
        <w:t xml:space="preserve">The </w:t>
      </w:r>
      <w:r w:rsidR="00BE5450" w:rsidRPr="00757A95">
        <w:rPr>
          <w:lang w:val="en-GB"/>
        </w:rPr>
        <w:t>board</w:t>
      </w:r>
      <w:r w:rsidR="000E2CE5" w:rsidRPr="00757A95">
        <w:rPr>
          <w:lang w:val="en-GB"/>
        </w:rPr>
        <w:t xml:space="preserve"> considered t</w:t>
      </w:r>
      <w:r w:rsidR="00A8312F" w:rsidRPr="00757A95">
        <w:rPr>
          <w:lang w:val="en-GB"/>
        </w:rPr>
        <w:t xml:space="preserve">hat the complainant’s statements relating to his arrest during a demonstration </w:t>
      </w:r>
      <w:r w:rsidR="00CC1FE6" w:rsidRPr="00757A95">
        <w:rPr>
          <w:lang w:val="en-GB"/>
        </w:rPr>
        <w:t xml:space="preserve">in 2009 </w:t>
      </w:r>
      <w:r w:rsidR="003E40F0" w:rsidRPr="00757A95">
        <w:rPr>
          <w:lang w:val="en-GB"/>
        </w:rPr>
        <w:t xml:space="preserve">had been </w:t>
      </w:r>
      <w:r w:rsidR="00FF64D7" w:rsidRPr="00757A95">
        <w:rPr>
          <w:lang w:val="en-GB"/>
        </w:rPr>
        <w:t>implausible</w:t>
      </w:r>
      <w:r w:rsidR="00884B04" w:rsidRPr="00757A95">
        <w:rPr>
          <w:lang w:val="en-GB"/>
        </w:rPr>
        <w:t xml:space="preserve"> and inconsistent. </w:t>
      </w:r>
      <w:r w:rsidR="00153FD2" w:rsidRPr="00757A95">
        <w:rPr>
          <w:lang w:val="en-GB"/>
        </w:rPr>
        <w:t>It</w:t>
      </w:r>
      <w:r w:rsidR="00884B04" w:rsidRPr="00757A95">
        <w:rPr>
          <w:lang w:val="en-GB"/>
        </w:rPr>
        <w:t xml:space="preserve"> noted that the complainant had </w:t>
      </w:r>
      <w:r w:rsidR="00153FD2" w:rsidRPr="00757A95">
        <w:rPr>
          <w:lang w:val="en-GB"/>
        </w:rPr>
        <w:t xml:space="preserve">stated before the </w:t>
      </w:r>
      <w:r w:rsidR="006178CE" w:rsidRPr="00757A95">
        <w:rPr>
          <w:lang w:val="en-GB"/>
        </w:rPr>
        <w:t>Danish police</w:t>
      </w:r>
      <w:r w:rsidR="00884B04" w:rsidRPr="00757A95">
        <w:rPr>
          <w:lang w:val="en-GB"/>
        </w:rPr>
        <w:t xml:space="preserve"> that he had been detained and tortured for two months, whereas before the </w:t>
      </w:r>
      <w:r w:rsidR="002057A4" w:rsidRPr="00757A95">
        <w:rPr>
          <w:lang w:val="en-GB"/>
        </w:rPr>
        <w:t>Danish immigration service</w:t>
      </w:r>
      <w:r w:rsidR="00884B04" w:rsidRPr="00757A95">
        <w:rPr>
          <w:lang w:val="en-GB"/>
        </w:rPr>
        <w:t xml:space="preserve"> </w:t>
      </w:r>
      <w:r w:rsidR="006178CE" w:rsidRPr="00757A95">
        <w:rPr>
          <w:lang w:val="en-GB"/>
        </w:rPr>
        <w:t xml:space="preserve">and the </w:t>
      </w:r>
      <w:r w:rsidR="00BE5450" w:rsidRPr="00757A95">
        <w:rPr>
          <w:lang w:val="en-GB"/>
        </w:rPr>
        <w:t>board</w:t>
      </w:r>
      <w:r w:rsidR="006178CE" w:rsidRPr="00757A95">
        <w:rPr>
          <w:lang w:val="en-GB"/>
        </w:rPr>
        <w:t xml:space="preserve"> </w:t>
      </w:r>
      <w:r w:rsidR="00884B04" w:rsidRPr="00757A95">
        <w:rPr>
          <w:lang w:val="en-GB"/>
        </w:rPr>
        <w:t xml:space="preserve">he had stated that he had never been imprisoned </w:t>
      </w:r>
      <w:r w:rsidR="000A0ADD" w:rsidRPr="00757A95">
        <w:rPr>
          <w:lang w:val="en-GB"/>
        </w:rPr>
        <w:t>or tortured</w:t>
      </w:r>
      <w:r w:rsidR="006178CE" w:rsidRPr="00757A95">
        <w:rPr>
          <w:lang w:val="en-GB"/>
        </w:rPr>
        <w:t xml:space="preserve"> </w:t>
      </w:r>
      <w:r w:rsidR="00E0506C" w:rsidRPr="00757A95">
        <w:rPr>
          <w:lang w:val="en-GB"/>
        </w:rPr>
        <w:t xml:space="preserve">during his stay in </w:t>
      </w:r>
      <w:r w:rsidR="00473F6C" w:rsidRPr="00757A95">
        <w:rPr>
          <w:lang w:val="en-GB"/>
        </w:rPr>
        <w:t xml:space="preserve">the Islamic Republic of </w:t>
      </w:r>
      <w:r w:rsidR="00E0506C" w:rsidRPr="00757A95">
        <w:rPr>
          <w:lang w:val="en-GB"/>
        </w:rPr>
        <w:t xml:space="preserve">Iran </w:t>
      </w:r>
      <w:r w:rsidR="006178CE" w:rsidRPr="00757A95">
        <w:rPr>
          <w:lang w:val="en-GB"/>
        </w:rPr>
        <w:t>but just arrested for a few hours</w:t>
      </w:r>
      <w:r w:rsidR="000A0ADD" w:rsidRPr="00757A95">
        <w:rPr>
          <w:lang w:val="en-GB"/>
        </w:rPr>
        <w:t>.</w:t>
      </w:r>
      <w:r w:rsidR="008E2CC9" w:rsidRPr="00757A95">
        <w:rPr>
          <w:lang w:val="en-GB"/>
        </w:rPr>
        <w:t xml:space="preserve"> </w:t>
      </w:r>
      <w:r w:rsidR="006178CE" w:rsidRPr="00757A95">
        <w:rPr>
          <w:lang w:val="en-GB"/>
        </w:rPr>
        <w:t xml:space="preserve">The </w:t>
      </w:r>
      <w:r w:rsidR="00BE5450" w:rsidRPr="00757A95">
        <w:rPr>
          <w:lang w:val="en-GB"/>
        </w:rPr>
        <w:t>board</w:t>
      </w:r>
      <w:r w:rsidR="008E2CC9" w:rsidRPr="00757A95">
        <w:rPr>
          <w:lang w:val="en-GB"/>
        </w:rPr>
        <w:t xml:space="preserve"> further noted that the complainant had stayed in </w:t>
      </w:r>
      <w:r w:rsidR="00473F6C" w:rsidRPr="00757A95">
        <w:rPr>
          <w:lang w:val="en-GB"/>
        </w:rPr>
        <w:t xml:space="preserve">the Islamic Republic of </w:t>
      </w:r>
      <w:r w:rsidR="008E2CC9" w:rsidRPr="00757A95">
        <w:rPr>
          <w:lang w:val="en-GB"/>
        </w:rPr>
        <w:t>Iran for several years without experiencing any problems with the authorities</w:t>
      </w:r>
      <w:r w:rsidR="00F4327F" w:rsidRPr="00757A95">
        <w:rPr>
          <w:lang w:val="en-GB"/>
        </w:rPr>
        <w:t>,</w:t>
      </w:r>
      <w:r w:rsidR="00CC1FE6" w:rsidRPr="00757A95">
        <w:rPr>
          <w:lang w:val="en-GB"/>
        </w:rPr>
        <w:t xml:space="preserve"> other than</w:t>
      </w:r>
      <w:r w:rsidR="009F24C0" w:rsidRPr="00757A95">
        <w:rPr>
          <w:lang w:val="en-GB"/>
        </w:rPr>
        <w:t xml:space="preserve"> this incident in 2009</w:t>
      </w:r>
      <w:r w:rsidR="008E2CC9" w:rsidRPr="00757A95">
        <w:rPr>
          <w:lang w:val="en-GB"/>
        </w:rPr>
        <w:t xml:space="preserve">, </w:t>
      </w:r>
      <w:r w:rsidR="003E40F0" w:rsidRPr="00757A95">
        <w:rPr>
          <w:lang w:val="en-GB"/>
        </w:rPr>
        <w:t xml:space="preserve">and </w:t>
      </w:r>
      <w:r w:rsidR="008E2CC9" w:rsidRPr="00757A95">
        <w:rPr>
          <w:lang w:val="en-GB"/>
        </w:rPr>
        <w:t xml:space="preserve">that he was issued a passport and was able to </w:t>
      </w:r>
      <w:r w:rsidR="006178CE" w:rsidRPr="00757A95">
        <w:rPr>
          <w:lang w:val="en-GB"/>
        </w:rPr>
        <w:t xml:space="preserve">enter and </w:t>
      </w:r>
      <w:r w:rsidR="008E2CC9" w:rsidRPr="00757A95">
        <w:rPr>
          <w:lang w:val="en-GB"/>
        </w:rPr>
        <w:t>leave the country legally.</w:t>
      </w:r>
      <w:r w:rsidR="00E90DCB" w:rsidRPr="00757A95">
        <w:rPr>
          <w:lang w:val="en-GB"/>
        </w:rPr>
        <w:t xml:space="preserve"> </w:t>
      </w:r>
      <w:r w:rsidR="005E5DC7" w:rsidRPr="00757A95">
        <w:rPr>
          <w:lang w:val="en-GB"/>
        </w:rPr>
        <w:t>T</w:t>
      </w:r>
      <w:r w:rsidR="00E90DCB" w:rsidRPr="00757A95">
        <w:rPr>
          <w:lang w:val="en-GB"/>
        </w:rPr>
        <w:t xml:space="preserve">he complainant’s abuse of methadone </w:t>
      </w:r>
      <w:r w:rsidR="006178CE" w:rsidRPr="00757A95">
        <w:rPr>
          <w:lang w:val="en-GB"/>
        </w:rPr>
        <w:t>or the general human rights situation in</w:t>
      </w:r>
      <w:r w:rsidR="005E5DC7" w:rsidRPr="00757A95">
        <w:rPr>
          <w:lang w:val="en-GB"/>
        </w:rPr>
        <w:t xml:space="preserve"> </w:t>
      </w:r>
      <w:r w:rsidR="00473F6C" w:rsidRPr="00757A95">
        <w:rPr>
          <w:lang w:val="en-GB"/>
        </w:rPr>
        <w:t xml:space="preserve">the Islamic Republic of </w:t>
      </w:r>
      <w:r w:rsidR="005E5DC7" w:rsidRPr="00757A95">
        <w:rPr>
          <w:lang w:val="en-GB"/>
        </w:rPr>
        <w:t>Iran</w:t>
      </w:r>
      <w:r w:rsidR="006178CE" w:rsidRPr="00757A95">
        <w:rPr>
          <w:lang w:val="en-GB"/>
        </w:rPr>
        <w:t xml:space="preserve"> </w:t>
      </w:r>
      <w:r w:rsidR="00E90DCB" w:rsidRPr="00757A95">
        <w:rPr>
          <w:lang w:val="en-GB"/>
        </w:rPr>
        <w:t xml:space="preserve">could not lead to a different conclusion. The </w:t>
      </w:r>
      <w:r w:rsidR="00BE5450" w:rsidRPr="00757A95">
        <w:rPr>
          <w:lang w:val="en-GB"/>
        </w:rPr>
        <w:t>board</w:t>
      </w:r>
      <w:r w:rsidR="00E90DCB" w:rsidRPr="00757A95">
        <w:rPr>
          <w:lang w:val="en-GB"/>
        </w:rPr>
        <w:t xml:space="preserve"> concluded that the facts of the case provided no basis for carrying out an examination for signs of torture.</w:t>
      </w:r>
    </w:p>
    <w:p w:rsidR="00DD18CE" w:rsidRPr="00757A95" w:rsidRDefault="002E3057" w:rsidP="00BE5450">
      <w:pPr>
        <w:pStyle w:val="SingleTxtG"/>
        <w:rPr>
          <w:lang w:val="en-GB"/>
        </w:rPr>
      </w:pPr>
      <w:r w:rsidRPr="00757A95">
        <w:rPr>
          <w:lang w:val="en-GB"/>
        </w:rPr>
        <w:lastRenderedPageBreak/>
        <w:t>2.</w:t>
      </w:r>
      <w:r w:rsidR="003C4D91" w:rsidRPr="00757A95">
        <w:rPr>
          <w:lang w:val="en-GB"/>
        </w:rPr>
        <w:t>6</w:t>
      </w:r>
      <w:r w:rsidRPr="00757A95">
        <w:rPr>
          <w:lang w:val="en-GB"/>
        </w:rPr>
        <w:tab/>
      </w:r>
      <w:r w:rsidR="008571DD" w:rsidRPr="00757A95">
        <w:rPr>
          <w:lang w:val="en-GB"/>
        </w:rPr>
        <w:t xml:space="preserve">On </w:t>
      </w:r>
      <w:r w:rsidR="009E0B43" w:rsidRPr="00757A95">
        <w:rPr>
          <w:lang w:val="en-GB"/>
        </w:rPr>
        <w:t>30 May 2014</w:t>
      </w:r>
      <w:r w:rsidR="008571DD" w:rsidRPr="00757A95">
        <w:rPr>
          <w:lang w:val="en-GB"/>
        </w:rPr>
        <w:t xml:space="preserve">, the </w:t>
      </w:r>
      <w:r w:rsidR="00BE5450" w:rsidRPr="00757A95">
        <w:rPr>
          <w:lang w:val="en-GB"/>
        </w:rPr>
        <w:t>refugee appeals board</w:t>
      </w:r>
      <w:r w:rsidR="008571DD" w:rsidRPr="00757A95">
        <w:rPr>
          <w:lang w:val="en-GB"/>
        </w:rPr>
        <w:t xml:space="preserve"> rejected the complainant’s request to re</w:t>
      </w:r>
      <w:r w:rsidR="00FE3DE2" w:rsidRPr="00757A95">
        <w:rPr>
          <w:lang w:val="en-GB"/>
        </w:rPr>
        <w:t xml:space="preserve">open </w:t>
      </w:r>
      <w:r w:rsidR="005E5DC7" w:rsidRPr="00757A95">
        <w:rPr>
          <w:lang w:val="en-GB"/>
        </w:rPr>
        <w:t xml:space="preserve">the </w:t>
      </w:r>
      <w:r w:rsidR="00FE3DE2" w:rsidRPr="00757A95">
        <w:rPr>
          <w:lang w:val="en-GB"/>
        </w:rPr>
        <w:t>asylum proceedings</w:t>
      </w:r>
      <w:r w:rsidR="005E5DC7" w:rsidRPr="00757A95">
        <w:rPr>
          <w:lang w:val="en-GB"/>
        </w:rPr>
        <w:t>, as</w:t>
      </w:r>
      <w:r w:rsidR="009E0B43" w:rsidRPr="00757A95">
        <w:rPr>
          <w:lang w:val="en-GB"/>
        </w:rPr>
        <w:t xml:space="preserve"> no new information</w:t>
      </w:r>
      <w:r w:rsidR="00634869" w:rsidRPr="00757A95">
        <w:rPr>
          <w:lang w:val="en-GB"/>
        </w:rPr>
        <w:t xml:space="preserve"> had been provided.</w:t>
      </w:r>
    </w:p>
    <w:p w:rsidR="009F24C0" w:rsidRPr="00757A95" w:rsidRDefault="009F24C0" w:rsidP="00BE5450">
      <w:pPr>
        <w:pStyle w:val="SingleTxtG"/>
        <w:rPr>
          <w:lang w:val="en-GB"/>
        </w:rPr>
      </w:pPr>
      <w:r w:rsidRPr="00757A95">
        <w:rPr>
          <w:lang w:val="en-GB"/>
        </w:rPr>
        <w:t>2.</w:t>
      </w:r>
      <w:r w:rsidR="003C4D91" w:rsidRPr="00757A95">
        <w:rPr>
          <w:lang w:val="en-GB"/>
        </w:rPr>
        <w:t>7</w:t>
      </w:r>
      <w:r w:rsidRPr="00757A95">
        <w:rPr>
          <w:lang w:val="en-GB"/>
        </w:rPr>
        <w:tab/>
        <w:t xml:space="preserve">The complainant notes that, since decisions by the </w:t>
      </w:r>
      <w:r w:rsidR="00BE5450" w:rsidRPr="00757A95">
        <w:rPr>
          <w:lang w:val="en-GB"/>
        </w:rPr>
        <w:t>refugee appeals board</w:t>
      </w:r>
      <w:r w:rsidRPr="00757A95">
        <w:rPr>
          <w:lang w:val="en-GB"/>
        </w:rPr>
        <w:t xml:space="preserve"> are final and cannot be submitted to judicial review, he has exhausted all domestic remedies.</w:t>
      </w:r>
    </w:p>
    <w:p w:rsidR="001C3108" w:rsidRPr="00757A95" w:rsidRDefault="001C3108" w:rsidP="001C3108">
      <w:pPr>
        <w:pStyle w:val="H23G"/>
        <w:spacing w:line="240" w:lineRule="auto"/>
      </w:pPr>
      <w:r w:rsidRPr="00757A95">
        <w:tab/>
      </w:r>
      <w:r w:rsidRPr="00757A95">
        <w:tab/>
        <w:t>The complaint</w:t>
      </w:r>
    </w:p>
    <w:p w:rsidR="009F7450" w:rsidRPr="00757A95" w:rsidRDefault="007D547C" w:rsidP="00A34D18">
      <w:pPr>
        <w:pStyle w:val="SingleTxtG"/>
        <w:rPr>
          <w:lang w:val="en-GB"/>
        </w:rPr>
      </w:pPr>
      <w:r w:rsidRPr="00757A95">
        <w:rPr>
          <w:lang w:val="en-GB"/>
        </w:rPr>
        <w:t>3.</w:t>
      </w:r>
      <w:r w:rsidR="009F7450" w:rsidRPr="00757A95">
        <w:rPr>
          <w:lang w:val="en-GB"/>
        </w:rPr>
        <w:t>1</w:t>
      </w:r>
      <w:r w:rsidR="001C3108" w:rsidRPr="00757A95">
        <w:rPr>
          <w:lang w:val="en-GB"/>
        </w:rPr>
        <w:tab/>
        <w:t xml:space="preserve">The </w:t>
      </w:r>
      <w:r w:rsidR="00DB5A6F" w:rsidRPr="00757A95">
        <w:rPr>
          <w:lang w:val="en-GB"/>
        </w:rPr>
        <w:t>complainant</w:t>
      </w:r>
      <w:r w:rsidR="00036888" w:rsidRPr="00757A95">
        <w:rPr>
          <w:lang w:val="en-GB"/>
        </w:rPr>
        <w:t xml:space="preserve"> claims that </w:t>
      </w:r>
      <w:r w:rsidR="002B7DB5" w:rsidRPr="00757A95">
        <w:rPr>
          <w:lang w:val="en-GB"/>
        </w:rPr>
        <w:t xml:space="preserve">his rights under </w:t>
      </w:r>
      <w:r w:rsidR="00841168" w:rsidRPr="00757A95">
        <w:rPr>
          <w:lang w:val="en-GB"/>
        </w:rPr>
        <w:t>article </w:t>
      </w:r>
      <w:r w:rsidR="00B16BC5" w:rsidRPr="00757A95">
        <w:rPr>
          <w:lang w:val="en-GB"/>
        </w:rPr>
        <w:t>3</w:t>
      </w:r>
      <w:r w:rsidR="0061236C" w:rsidRPr="00757A95">
        <w:rPr>
          <w:lang w:val="en-GB"/>
        </w:rPr>
        <w:t xml:space="preserve"> (</w:t>
      </w:r>
      <w:r w:rsidR="00F721CC" w:rsidRPr="00757A95">
        <w:rPr>
          <w:lang w:val="en-GB"/>
        </w:rPr>
        <w:t>1</w:t>
      </w:r>
      <w:r w:rsidR="0061236C" w:rsidRPr="00757A95">
        <w:rPr>
          <w:lang w:val="en-GB"/>
        </w:rPr>
        <w:t>)</w:t>
      </w:r>
      <w:r w:rsidR="00B16BC5" w:rsidRPr="00757A95">
        <w:rPr>
          <w:lang w:val="en-GB"/>
        </w:rPr>
        <w:t xml:space="preserve"> of the Convention</w:t>
      </w:r>
      <w:r w:rsidR="002B7DB5" w:rsidRPr="00757A95">
        <w:rPr>
          <w:lang w:val="en-GB"/>
        </w:rPr>
        <w:t xml:space="preserve"> </w:t>
      </w:r>
      <w:r w:rsidR="008C3B78" w:rsidRPr="00757A95">
        <w:rPr>
          <w:lang w:val="en-GB"/>
        </w:rPr>
        <w:t>would</w:t>
      </w:r>
      <w:r w:rsidR="002B7DB5" w:rsidRPr="00757A95">
        <w:rPr>
          <w:lang w:val="en-GB"/>
        </w:rPr>
        <w:t xml:space="preserve"> be violated</w:t>
      </w:r>
      <w:r w:rsidR="00C55414" w:rsidRPr="00757A95">
        <w:rPr>
          <w:lang w:val="en-GB"/>
        </w:rPr>
        <w:t xml:space="preserve"> </w:t>
      </w:r>
      <w:r w:rsidR="00FB2D52" w:rsidRPr="00757A95">
        <w:rPr>
          <w:lang w:val="en-GB"/>
        </w:rPr>
        <w:t xml:space="preserve">by the State party </w:t>
      </w:r>
      <w:r w:rsidR="00036888" w:rsidRPr="00757A95">
        <w:rPr>
          <w:lang w:val="en-GB"/>
        </w:rPr>
        <w:t xml:space="preserve">in </w:t>
      </w:r>
      <w:r w:rsidR="005464F4" w:rsidRPr="00757A95">
        <w:rPr>
          <w:lang w:val="en-GB"/>
        </w:rPr>
        <w:t>the event of</w:t>
      </w:r>
      <w:r w:rsidR="00036888" w:rsidRPr="00757A95">
        <w:rPr>
          <w:lang w:val="en-GB"/>
        </w:rPr>
        <w:t xml:space="preserve"> his deportation to </w:t>
      </w:r>
      <w:r w:rsidR="00473F6C" w:rsidRPr="00757A95">
        <w:rPr>
          <w:lang w:val="en-GB"/>
        </w:rPr>
        <w:t xml:space="preserve">the Islamic Republic of </w:t>
      </w:r>
      <w:r w:rsidR="00BE2FBA" w:rsidRPr="00757A95">
        <w:rPr>
          <w:lang w:val="en-GB"/>
        </w:rPr>
        <w:t>Iran</w:t>
      </w:r>
      <w:r w:rsidR="002B7DB5" w:rsidRPr="00757A95">
        <w:rPr>
          <w:lang w:val="en-GB"/>
        </w:rPr>
        <w:t xml:space="preserve">. </w:t>
      </w:r>
      <w:r w:rsidR="0066711E" w:rsidRPr="00757A95">
        <w:rPr>
          <w:lang w:val="en-GB"/>
        </w:rPr>
        <w:t xml:space="preserve">The complainant fears that, if he were to be deported, he could be subjected to torture again. </w:t>
      </w:r>
      <w:r w:rsidR="00127888" w:rsidRPr="00757A95">
        <w:rPr>
          <w:lang w:val="en-GB"/>
        </w:rPr>
        <w:t xml:space="preserve">He further notes that, as a torture victim, he is in need for protection and rehabilitation, which he would not be able to obtain in </w:t>
      </w:r>
      <w:r w:rsidR="00473F6C" w:rsidRPr="00757A95">
        <w:rPr>
          <w:lang w:val="en-GB"/>
        </w:rPr>
        <w:t xml:space="preserve">the Islamic Republic of </w:t>
      </w:r>
      <w:r w:rsidR="00127888" w:rsidRPr="00757A95">
        <w:rPr>
          <w:lang w:val="en-GB"/>
        </w:rPr>
        <w:t>Iran.</w:t>
      </w:r>
      <w:r w:rsidR="009F7450" w:rsidRPr="00757A95">
        <w:rPr>
          <w:lang w:val="en-GB"/>
        </w:rPr>
        <w:t xml:space="preserve"> </w:t>
      </w:r>
    </w:p>
    <w:p w:rsidR="00B57280" w:rsidRPr="00757A95" w:rsidRDefault="009F7450" w:rsidP="00A34D18">
      <w:pPr>
        <w:pStyle w:val="SingleTxtG"/>
        <w:rPr>
          <w:lang w:val="en-GB"/>
        </w:rPr>
      </w:pPr>
      <w:r w:rsidRPr="00757A95">
        <w:rPr>
          <w:lang w:val="en-GB"/>
        </w:rPr>
        <w:t>3.2</w:t>
      </w:r>
      <w:r w:rsidRPr="00757A95">
        <w:rPr>
          <w:lang w:val="en-GB"/>
        </w:rPr>
        <w:tab/>
        <w:t>The complainant</w:t>
      </w:r>
      <w:r w:rsidR="00586580" w:rsidRPr="00757A95">
        <w:rPr>
          <w:lang w:val="en-GB"/>
        </w:rPr>
        <w:t xml:space="preserve"> </w:t>
      </w:r>
      <w:r w:rsidR="00B57280" w:rsidRPr="00757A95">
        <w:rPr>
          <w:lang w:val="en-GB"/>
        </w:rPr>
        <w:t>argues</w:t>
      </w:r>
      <w:r w:rsidR="00586580" w:rsidRPr="00757A95">
        <w:rPr>
          <w:lang w:val="en-GB"/>
        </w:rPr>
        <w:t xml:space="preserve"> that Danish authorities have not disputed the fact that he was subjected to torture in </w:t>
      </w:r>
      <w:r w:rsidR="00473F6C" w:rsidRPr="00757A95">
        <w:rPr>
          <w:lang w:val="en-GB"/>
        </w:rPr>
        <w:t xml:space="preserve">the Islamic Republic of </w:t>
      </w:r>
      <w:r w:rsidR="00586580" w:rsidRPr="00757A95">
        <w:rPr>
          <w:lang w:val="en-GB"/>
        </w:rPr>
        <w:t>Iran in the past.</w:t>
      </w:r>
      <w:r w:rsidR="0018462B" w:rsidRPr="00757A95">
        <w:rPr>
          <w:lang w:val="en-GB"/>
        </w:rPr>
        <w:t xml:space="preserve"> </w:t>
      </w:r>
      <w:r w:rsidR="00DA6D0E" w:rsidRPr="00757A95">
        <w:rPr>
          <w:lang w:val="en-GB"/>
        </w:rPr>
        <w:t>Nevertheless, the</w:t>
      </w:r>
      <w:r w:rsidR="0018462B" w:rsidRPr="00757A95">
        <w:rPr>
          <w:lang w:val="en-GB"/>
        </w:rPr>
        <w:t xml:space="preserve"> </w:t>
      </w:r>
      <w:r w:rsidR="00BE5450" w:rsidRPr="00757A95">
        <w:rPr>
          <w:lang w:val="en-GB"/>
        </w:rPr>
        <w:t>refugee appeals board</w:t>
      </w:r>
      <w:r w:rsidR="0018462B" w:rsidRPr="00757A95">
        <w:rPr>
          <w:lang w:val="en-GB"/>
        </w:rPr>
        <w:t xml:space="preserve"> rej</w:t>
      </w:r>
      <w:r w:rsidR="00CA27A4" w:rsidRPr="00757A95">
        <w:rPr>
          <w:lang w:val="en-GB"/>
        </w:rPr>
        <w:t>ected the possibility of submitting the complainant to a torture examination w</w:t>
      </w:r>
      <w:r w:rsidR="00F721CC" w:rsidRPr="00757A95">
        <w:rPr>
          <w:lang w:val="en-GB"/>
        </w:rPr>
        <w:t>ithout justifying that decision</w:t>
      </w:r>
      <w:r w:rsidR="00836852" w:rsidRPr="00757A95">
        <w:rPr>
          <w:lang w:val="en-GB"/>
        </w:rPr>
        <w:t>, which</w:t>
      </w:r>
      <w:r w:rsidR="00F721CC" w:rsidRPr="00757A95">
        <w:rPr>
          <w:lang w:val="en-GB"/>
        </w:rPr>
        <w:t xml:space="preserve"> amounts to a violation of article 3</w:t>
      </w:r>
      <w:r w:rsidR="0061236C" w:rsidRPr="00757A95">
        <w:rPr>
          <w:lang w:val="en-GB"/>
        </w:rPr>
        <w:t xml:space="preserve"> (</w:t>
      </w:r>
      <w:r w:rsidR="00F721CC" w:rsidRPr="00757A95">
        <w:rPr>
          <w:lang w:val="en-GB"/>
        </w:rPr>
        <w:t>2</w:t>
      </w:r>
      <w:r w:rsidR="0061236C" w:rsidRPr="00757A95">
        <w:rPr>
          <w:lang w:val="en-GB"/>
        </w:rPr>
        <w:t>)</w:t>
      </w:r>
      <w:r w:rsidR="00F721CC" w:rsidRPr="00757A95">
        <w:rPr>
          <w:lang w:val="en-GB"/>
        </w:rPr>
        <w:t xml:space="preserve"> of the Convention.</w:t>
      </w:r>
    </w:p>
    <w:p w:rsidR="00B57280" w:rsidRPr="00757A95" w:rsidRDefault="001C3108" w:rsidP="001C3108">
      <w:pPr>
        <w:pStyle w:val="H23G"/>
      </w:pPr>
      <w:r w:rsidRPr="00757A95">
        <w:tab/>
      </w:r>
      <w:r w:rsidRPr="00757A95">
        <w:tab/>
      </w:r>
      <w:r w:rsidR="00B57280" w:rsidRPr="00757A95">
        <w:t>State party’s observations on admissibility</w:t>
      </w:r>
      <w:r w:rsidR="00C61C41" w:rsidRPr="00757A95">
        <w:t xml:space="preserve"> and merits</w:t>
      </w:r>
    </w:p>
    <w:p w:rsidR="00E50BE2" w:rsidRPr="00757A95" w:rsidRDefault="00E50BE2" w:rsidP="00A34D18">
      <w:pPr>
        <w:pStyle w:val="SingleTxtG"/>
        <w:rPr>
          <w:lang w:val="en-GB"/>
        </w:rPr>
      </w:pPr>
      <w:r w:rsidRPr="00757A95">
        <w:rPr>
          <w:lang w:val="en-GB"/>
        </w:rPr>
        <w:t>4.1</w:t>
      </w:r>
      <w:r w:rsidRPr="00757A95">
        <w:rPr>
          <w:lang w:val="en-GB"/>
        </w:rPr>
        <w:tab/>
      </w:r>
      <w:r w:rsidR="00C157EF" w:rsidRPr="00757A95">
        <w:rPr>
          <w:lang w:val="en-GB"/>
        </w:rPr>
        <w:t>On</w:t>
      </w:r>
      <w:r w:rsidR="00713A8C" w:rsidRPr="00757A95">
        <w:rPr>
          <w:lang w:val="en-GB"/>
        </w:rPr>
        <w:t xml:space="preserve"> 2 December 2014, the State par</w:t>
      </w:r>
      <w:r w:rsidR="00222D1D" w:rsidRPr="00757A95">
        <w:rPr>
          <w:lang w:val="en-GB"/>
        </w:rPr>
        <w:t>t</w:t>
      </w:r>
      <w:r w:rsidR="00C157EF" w:rsidRPr="00757A95">
        <w:rPr>
          <w:lang w:val="en-GB"/>
        </w:rPr>
        <w:t xml:space="preserve">y </w:t>
      </w:r>
      <w:r w:rsidR="006F4F78" w:rsidRPr="00757A95">
        <w:rPr>
          <w:lang w:val="en-GB"/>
        </w:rPr>
        <w:t xml:space="preserve">noted that the complainant had not </w:t>
      </w:r>
      <w:r w:rsidR="00E0506C" w:rsidRPr="00757A95">
        <w:rPr>
          <w:lang w:val="en-GB"/>
        </w:rPr>
        <w:t>provided</w:t>
      </w:r>
      <w:r w:rsidR="006F4F78" w:rsidRPr="00757A95">
        <w:rPr>
          <w:lang w:val="en-GB"/>
        </w:rPr>
        <w:t xml:space="preserve"> substantial grounds to support the risk of being subjected to torture</w:t>
      </w:r>
      <w:r w:rsidR="0011696F" w:rsidRPr="00757A95">
        <w:rPr>
          <w:lang w:val="en-GB"/>
        </w:rPr>
        <w:t xml:space="preserve"> in case of his return to </w:t>
      </w:r>
      <w:r w:rsidR="00473F6C" w:rsidRPr="00757A95">
        <w:rPr>
          <w:lang w:val="en-GB"/>
        </w:rPr>
        <w:t xml:space="preserve">the Islamic Republic of </w:t>
      </w:r>
      <w:r w:rsidR="0011696F" w:rsidRPr="00757A95">
        <w:rPr>
          <w:lang w:val="en-GB"/>
        </w:rPr>
        <w:t>I</w:t>
      </w:r>
      <w:r w:rsidR="009F24C0" w:rsidRPr="00757A95">
        <w:rPr>
          <w:lang w:val="en-GB"/>
        </w:rPr>
        <w:t>ran and that the communication wa</w:t>
      </w:r>
      <w:r w:rsidR="0011696F" w:rsidRPr="00757A95">
        <w:rPr>
          <w:lang w:val="en-GB"/>
        </w:rPr>
        <w:t xml:space="preserve">s therefore ill-founded. </w:t>
      </w:r>
      <w:r w:rsidR="00E0506C" w:rsidRPr="00757A95">
        <w:rPr>
          <w:lang w:val="en-GB"/>
        </w:rPr>
        <w:t>It</w:t>
      </w:r>
      <w:r w:rsidR="0011696F" w:rsidRPr="00757A95">
        <w:rPr>
          <w:lang w:val="en-GB"/>
        </w:rPr>
        <w:t xml:space="preserve"> add</w:t>
      </w:r>
      <w:r w:rsidR="00EB3A7C" w:rsidRPr="00757A95">
        <w:rPr>
          <w:lang w:val="en-GB"/>
        </w:rPr>
        <w:t>ed that the complainant wa</w:t>
      </w:r>
      <w:r w:rsidR="0011696F" w:rsidRPr="00757A95">
        <w:rPr>
          <w:lang w:val="en-GB"/>
        </w:rPr>
        <w:t xml:space="preserve">s attempting to use the Committee as an appellate body </w:t>
      </w:r>
      <w:r w:rsidR="00EB3A7C" w:rsidRPr="00757A95">
        <w:rPr>
          <w:lang w:val="en-GB"/>
        </w:rPr>
        <w:t>and</w:t>
      </w:r>
      <w:r w:rsidR="0011696F" w:rsidRPr="00757A95">
        <w:rPr>
          <w:lang w:val="en-GB"/>
        </w:rPr>
        <w:t xml:space="preserve"> have the factual circumstances advocated in support of his asylum claim reviewed.</w:t>
      </w:r>
      <w:r w:rsidR="00906F91" w:rsidRPr="00757A95">
        <w:rPr>
          <w:lang w:val="en-GB"/>
        </w:rPr>
        <w:t xml:space="preserve"> The decision </w:t>
      </w:r>
      <w:r w:rsidR="00FC1113" w:rsidRPr="00757A95">
        <w:rPr>
          <w:lang w:val="en-GB"/>
        </w:rPr>
        <w:t xml:space="preserve">by the refugee appeals board had been </w:t>
      </w:r>
      <w:r w:rsidR="00906F91" w:rsidRPr="00757A95">
        <w:rPr>
          <w:lang w:val="en-GB"/>
        </w:rPr>
        <w:t>adopted after a comprehensive and through examination of the evidence of the case</w:t>
      </w:r>
      <w:r w:rsidR="00F55D7B" w:rsidRPr="00757A95">
        <w:rPr>
          <w:lang w:val="en-GB"/>
        </w:rPr>
        <w:t xml:space="preserve"> and a procedure during which the complainant </w:t>
      </w:r>
      <w:r w:rsidR="00FC1113" w:rsidRPr="00757A95">
        <w:rPr>
          <w:lang w:val="en-GB"/>
        </w:rPr>
        <w:t xml:space="preserve">had been </w:t>
      </w:r>
      <w:r w:rsidR="00F55D7B" w:rsidRPr="00757A95">
        <w:rPr>
          <w:lang w:val="en-GB"/>
        </w:rPr>
        <w:t>able to present his views with the assistance of a counsel. The complainant’s c</w:t>
      </w:r>
      <w:r w:rsidR="00836852" w:rsidRPr="00757A95">
        <w:rPr>
          <w:lang w:val="en-GB"/>
        </w:rPr>
        <w:t>ommunication before</w:t>
      </w:r>
      <w:r w:rsidR="00F55D7B" w:rsidRPr="00757A95">
        <w:rPr>
          <w:lang w:val="en-GB"/>
        </w:rPr>
        <w:t xml:space="preserve"> the Committee </w:t>
      </w:r>
      <w:r w:rsidR="00836852" w:rsidRPr="00757A95">
        <w:rPr>
          <w:lang w:val="en-GB"/>
        </w:rPr>
        <w:t>does not contain</w:t>
      </w:r>
      <w:r w:rsidR="00F55D7B" w:rsidRPr="00757A95">
        <w:rPr>
          <w:lang w:val="en-GB"/>
        </w:rPr>
        <w:t xml:space="preserve"> </w:t>
      </w:r>
      <w:r w:rsidR="00EB3A7C" w:rsidRPr="00757A95">
        <w:rPr>
          <w:lang w:val="en-GB"/>
        </w:rPr>
        <w:t xml:space="preserve">any </w:t>
      </w:r>
      <w:r w:rsidR="00F55D7B" w:rsidRPr="00757A95">
        <w:rPr>
          <w:lang w:val="en-GB"/>
        </w:rPr>
        <w:t>n</w:t>
      </w:r>
      <w:r w:rsidR="004F03ED" w:rsidRPr="00757A95">
        <w:rPr>
          <w:lang w:val="en-GB"/>
        </w:rPr>
        <w:t>ew information.</w:t>
      </w:r>
    </w:p>
    <w:p w:rsidR="004F03ED" w:rsidRPr="00757A95" w:rsidRDefault="004F03ED" w:rsidP="00BE5450">
      <w:pPr>
        <w:pStyle w:val="SingleTxtG"/>
        <w:rPr>
          <w:lang w:val="en-GB"/>
        </w:rPr>
      </w:pPr>
      <w:r w:rsidRPr="00757A95">
        <w:rPr>
          <w:lang w:val="en-GB"/>
        </w:rPr>
        <w:t>4.2</w:t>
      </w:r>
      <w:r w:rsidRPr="00757A95">
        <w:rPr>
          <w:lang w:val="en-GB"/>
        </w:rPr>
        <w:tab/>
        <w:t xml:space="preserve">On the merits, the State party argued </w:t>
      </w:r>
      <w:r w:rsidR="00B71333" w:rsidRPr="00757A95">
        <w:rPr>
          <w:lang w:val="en-GB"/>
        </w:rPr>
        <w:t xml:space="preserve">that </w:t>
      </w:r>
      <w:r w:rsidR="00B429A3" w:rsidRPr="00757A95">
        <w:rPr>
          <w:lang w:val="en-GB"/>
        </w:rPr>
        <w:t xml:space="preserve">the </w:t>
      </w:r>
      <w:r w:rsidR="00BE5450" w:rsidRPr="00757A95">
        <w:rPr>
          <w:lang w:val="en-GB"/>
        </w:rPr>
        <w:t>refugee appeals board</w:t>
      </w:r>
      <w:r w:rsidR="00B429A3" w:rsidRPr="00757A95">
        <w:rPr>
          <w:lang w:val="en-GB"/>
        </w:rPr>
        <w:t xml:space="preserve"> </w:t>
      </w:r>
      <w:r w:rsidR="00FC1113" w:rsidRPr="00757A95">
        <w:rPr>
          <w:lang w:val="en-GB"/>
        </w:rPr>
        <w:t xml:space="preserve">had </w:t>
      </w:r>
      <w:r w:rsidR="003167C5" w:rsidRPr="00757A95">
        <w:rPr>
          <w:lang w:val="en-GB"/>
        </w:rPr>
        <w:t xml:space="preserve">relied on </w:t>
      </w:r>
      <w:r w:rsidR="00B429A3" w:rsidRPr="00757A95">
        <w:rPr>
          <w:lang w:val="en-GB"/>
        </w:rPr>
        <w:t>the complainant’s</w:t>
      </w:r>
      <w:r w:rsidR="00836852" w:rsidRPr="00757A95">
        <w:rPr>
          <w:lang w:val="en-GB"/>
        </w:rPr>
        <w:t xml:space="preserve"> contradictory</w:t>
      </w:r>
      <w:r w:rsidR="003167C5" w:rsidRPr="00757A95">
        <w:rPr>
          <w:lang w:val="en-GB"/>
        </w:rPr>
        <w:t xml:space="preserve"> statements and the lack of a satisfactory explanation for </w:t>
      </w:r>
      <w:r w:rsidR="00836852" w:rsidRPr="00757A95">
        <w:rPr>
          <w:lang w:val="en-GB"/>
        </w:rPr>
        <w:t>them</w:t>
      </w:r>
      <w:r w:rsidR="002A0F25" w:rsidRPr="00757A95">
        <w:rPr>
          <w:lang w:val="en-GB"/>
        </w:rPr>
        <w:t xml:space="preserve"> to find that the complainant lacked c</w:t>
      </w:r>
      <w:r w:rsidR="00C66DE1" w:rsidRPr="00757A95">
        <w:rPr>
          <w:lang w:val="en-GB"/>
        </w:rPr>
        <w:t xml:space="preserve">redibility. </w:t>
      </w:r>
      <w:r w:rsidR="00836852" w:rsidRPr="00757A95">
        <w:rPr>
          <w:lang w:val="en-GB"/>
        </w:rPr>
        <w:t>N</w:t>
      </w:r>
      <w:r w:rsidR="002A0F25" w:rsidRPr="00757A95">
        <w:rPr>
          <w:lang w:val="en-GB"/>
        </w:rPr>
        <w:t xml:space="preserve">either the alleged torture experienced by the complainant over 25 years ago nor the </w:t>
      </w:r>
      <w:r w:rsidR="00D26484" w:rsidRPr="00757A95">
        <w:rPr>
          <w:lang w:val="en-GB"/>
        </w:rPr>
        <w:t xml:space="preserve">general human rights situation in </w:t>
      </w:r>
      <w:r w:rsidR="00473F6C" w:rsidRPr="00757A95">
        <w:rPr>
          <w:lang w:val="en-GB"/>
        </w:rPr>
        <w:t xml:space="preserve">the Islamic Republic of </w:t>
      </w:r>
      <w:r w:rsidR="00D26484" w:rsidRPr="00757A95">
        <w:rPr>
          <w:lang w:val="en-GB"/>
        </w:rPr>
        <w:t xml:space="preserve">Iran could lead to a different assessment of the matter. </w:t>
      </w:r>
    </w:p>
    <w:p w:rsidR="00D26484" w:rsidRPr="00757A95" w:rsidRDefault="00D26484" w:rsidP="00A34D18">
      <w:pPr>
        <w:pStyle w:val="SingleTxtG"/>
        <w:rPr>
          <w:lang w:val="en-GB"/>
        </w:rPr>
      </w:pPr>
      <w:r w:rsidRPr="00757A95">
        <w:rPr>
          <w:lang w:val="en-GB"/>
        </w:rPr>
        <w:t>4.3</w:t>
      </w:r>
      <w:r w:rsidRPr="00757A95">
        <w:rPr>
          <w:lang w:val="en-GB"/>
        </w:rPr>
        <w:tab/>
      </w:r>
      <w:r w:rsidR="00F252FB" w:rsidRPr="00757A95">
        <w:rPr>
          <w:lang w:val="en-GB"/>
        </w:rPr>
        <w:t xml:space="preserve">With regard to the author’s complaint regarding the </w:t>
      </w:r>
      <w:r w:rsidR="00BE5450" w:rsidRPr="00757A95">
        <w:rPr>
          <w:lang w:val="en-GB"/>
        </w:rPr>
        <w:t>refugee appeals board</w:t>
      </w:r>
      <w:r w:rsidR="00F252FB" w:rsidRPr="00757A95">
        <w:rPr>
          <w:lang w:val="en-GB"/>
        </w:rPr>
        <w:t>’s failure to co</w:t>
      </w:r>
      <w:r w:rsidR="00E0506C" w:rsidRPr="00757A95">
        <w:rPr>
          <w:lang w:val="en-GB"/>
        </w:rPr>
        <w:t>n</w:t>
      </w:r>
      <w:r w:rsidR="00F252FB" w:rsidRPr="00757A95">
        <w:rPr>
          <w:lang w:val="en-GB"/>
        </w:rPr>
        <w:t xml:space="preserve">duct a medical examination </w:t>
      </w:r>
      <w:r w:rsidR="00E0506C" w:rsidRPr="00757A95">
        <w:rPr>
          <w:lang w:val="en-GB"/>
        </w:rPr>
        <w:t xml:space="preserve">to </w:t>
      </w:r>
      <w:r w:rsidR="00911991" w:rsidRPr="00757A95">
        <w:rPr>
          <w:lang w:val="en-GB"/>
        </w:rPr>
        <w:t>identify</w:t>
      </w:r>
      <w:r w:rsidR="00F252FB" w:rsidRPr="00757A95">
        <w:rPr>
          <w:lang w:val="en-GB"/>
        </w:rPr>
        <w:t xml:space="preserve"> signs of torture, the State party</w:t>
      </w:r>
      <w:r w:rsidR="00C66DE1" w:rsidRPr="00757A95">
        <w:rPr>
          <w:lang w:val="en-GB"/>
        </w:rPr>
        <w:t xml:space="preserve"> submitted</w:t>
      </w:r>
      <w:r w:rsidR="003756CC" w:rsidRPr="00757A95">
        <w:rPr>
          <w:lang w:val="en-GB"/>
        </w:rPr>
        <w:t xml:space="preserve"> that such examination was not required in the present case given the complainant’s </w:t>
      </w:r>
      <w:r w:rsidR="00A5208F" w:rsidRPr="00757A95">
        <w:rPr>
          <w:lang w:val="en-GB"/>
        </w:rPr>
        <w:t xml:space="preserve">clear </w:t>
      </w:r>
      <w:r w:rsidR="003756CC" w:rsidRPr="00757A95">
        <w:rPr>
          <w:lang w:val="en-GB"/>
        </w:rPr>
        <w:t>lack of credibility</w:t>
      </w:r>
      <w:r w:rsidR="00A5208F" w:rsidRPr="00757A95">
        <w:rPr>
          <w:lang w:val="en-GB"/>
        </w:rPr>
        <w:t xml:space="preserve"> on a number of </w:t>
      </w:r>
      <w:r w:rsidR="00911991" w:rsidRPr="00757A95">
        <w:rPr>
          <w:lang w:val="en-GB"/>
        </w:rPr>
        <w:t>fundamental issues</w:t>
      </w:r>
      <w:r w:rsidR="003756CC" w:rsidRPr="00757A95">
        <w:rPr>
          <w:lang w:val="en-GB"/>
        </w:rPr>
        <w:t xml:space="preserve">, as concluded by the </w:t>
      </w:r>
      <w:r w:rsidR="00BE5450" w:rsidRPr="00757A95">
        <w:rPr>
          <w:lang w:val="en-GB"/>
        </w:rPr>
        <w:t>board</w:t>
      </w:r>
      <w:r w:rsidR="003756CC" w:rsidRPr="00757A95">
        <w:rPr>
          <w:lang w:val="en-GB"/>
        </w:rPr>
        <w:t>.</w:t>
      </w:r>
      <w:r w:rsidR="00BC4A61">
        <w:rPr>
          <w:lang w:val="en-GB"/>
        </w:rPr>
        <w:t xml:space="preserve"> </w:t>
      </w:r>
      <w:r w:rsidR="00A5208F" w:rsidRPr="00757A95">
        <w:rPr>
          <w:lang w:val="en-GB"/>
        </w:rPr>
        <w:t>The State party add</w:t>
      </w:r>
      <w:r w:rsidR="00C66DE1" w:rsidRPr="00757A95">
        <w:rPr>
          <w:lang w:val="en-GB"/>
        </w:rPr>
        <w:t>ed</w:t>
      </w:r>
      <w:r w:rsidR="00A5208F" w:rsidRPr="00757A95">
        <w:rPr>
          <w:lang w:val="en-GB"/>
        </w:rPr>
        <w:t xml:space="preserve"> that the </w:t>
      </w:r>
      <w:r w:rsidR="00BE5450" w:rsidRPr="00757A95">
        <w:rPr>
          <w:lang w:val="en-GB"/>
        </w:rPr>
        <w:t>board</w:t>
      </w:r>
      <w:r w:rsidR="00A5208F" w:rsidRPr="00757A95">
        <w:rPr>
          <w:lang w:val="en-GB"/>
        </w:rPr>
        <w:t xml:space="preserve"> does not </w:t>
      </w:r>
      <w:r w:rsidR="00911991" w:rsidRPr="00757A95">
        <w:rPr>
          <w:lang w:val="en-GB"/>
        </w:rPr>
        <w:t>undertake</w:t>
      </w:r>
      <w:r w:rsidR="00A5208F" w:rsidRPr="00757A95">
        <w:rPr>
          <w:lang w:val="en-GB"/>
        </w:rPr>
        <w:t xml:space="preserve"> </w:t>
      </w:r>
      <w:r w:rsidR="00C7178F" w:rsidRPr="00757A95">
        <w:rPr>
          <w:lang w:val="en-GB"/>
        </w:rPr>
        <w:t xml:space="preserve">such examinations where it has been unable to find </w:t>
      </w:r>
      <w:r w:rsidR="00F67672" w:rsidRPr="00757A95">
        <w:rPr>
          <w:lang w:val="en-GB"/>
        </w:rPr>
        <w:t>any</w:t>
      </w:r>
      <w:r w:rsidR="00455D77" w:rsidRPr="00757A95">
        <w:rPr>
          <w:lang w:val="en-GB"/>
        </w:rPr>
        <w:t xml:space="preserve"> ground</w:t>
      </w:r>
      <w:r w:rsidR="00911991" w:rsidRPr="00757A95">
        <w:rPr>
          <w:lang w:val="en-GB"/>
        </w:rPr>
        <w:t>s</w:t>
      </w:r>
      <w:r w:rsidR="00455D77" w:rsidRPr="00757A95">
        <w:rPr>
          <w:lang w:val="en-GB"/>
        </w:rPr>
        <w:t xml:space="preserve"> for asylum </w:t>
      </w:r>
      <w:r w:rsidR="004A6C58" w:rsidRPr="00757A95">
        <w:rPr>
          <w:lang w:val="en-GB"/>
        </w:rPr>
        <w:t xml:space="preserve">as a proven fact </w:t>
      </w:r>
      <w:r w:rsidR="00F67672" w:rsidRPr="00757A95">
        <w:rPr>
          <w:lang w:val="en-GB"/>
        </w:rPr>
        <w:t xml:space="preserve">or where, even if </w:t>
      </w:r>
      <w:r w:rsidR="00455D77" w:rsidRPr="00757A95">
        <w:rPr>
          <w:lang w:val="en-GB"/>
        </w:rPr>
        <w:t xml:space="preserve">past torture as </w:t>
      </w:r>
      <w:r w:rsidR="00911991" w:rsidRPr="00757A95">
        <w:rPr>
          <w:lang w:val="en-GB"/>
        </w:rPr>
        <w:t xml:space="preserve">is considered </w:t>
      </w:r>
      <w:r w:rsidR="00455D77" w:rsidRPr="00757A95">
        <w:rPr>
          <w:lang w:val="en-GB"/>
        </w:rPr>
        <w:t xml:space="preserve">proven or possible, the </w:t>
      </w:r>
      <w:r w:rsidR="00BE5450" w:rsidRPr="00757A95">
        <w:rPr>
          <w:lang w:val="en-GB"/>
        </w:rPr>
        <w:t>board</w:t>
      </w:r>
      <w:r w:rsidR="00455D77" w:rsidRPr="00757A95">
        <w:rPr>
          <w:lang w:val="en-GB"/>
        </w:rPr>
        <w:t xml:space="preserve"> concludes that </w:t>
      </w:r>
      <w:r w:rsidR="0039079A" w:rsidRPr="00757A95">
        <w:rPr>
          <w:lang w:val="en-GB"/>
        </w:rPr>
        <w:t xml:space="preserve">a current risk of torture is </w:t>
      </w:r>
      <w:r w:rsidR="00E0506C" w:rsidRPr="00757A95">
        <w:rPr>
          <w:lang w:val="en-GB"/>
        </w:rPr>
        <w:t>inexistent</w:t>
      </w:r>
      <w:r w:rsidR="0039079A" w:rsidRPr="00757A95">
        <w:rPr>
          <w:lang w:val="en-GB"/>
        </w:rPr>
        <w:t xml:space="preserve">. </w:t>
      </w:r>
    </w:p>
    <w:p w:rsidR="00C7534B" w:rsidRPr="00757A95" w:rsidRDefault="00B57280" w:rsidP="001C3108">
      <w:pPr>
        <w:pStyle w:val="H23G"/>
      </w:pPr>
      <w:r w:rsidRPr="00757A95">
        <w:tab/>
      </w:r>
      <w:r w:rsidRPr="00757A95">
        <w:tab/>
      </w:r>
      <w:r w:rsidR="00A04C4D" w:rsidRPr="00757A95">
        <w:t>Complainant’s</w:t>
      </w:r>
      <w:r w:rsidR="00C7534B" w:rsidRPr="00757A95">
        <w:t xml:space="preserve"> comments on the State party’s observations</w:t>
      </w:r>
    </w:p>
    <w:p w:rsidR="00C7534B" w:rsidRPr="00757A95" w:rsidRDefault="00E0506C" w:rsidP="00A34D18">
      <w:pPr>
        <w:pStyle w:val="SingleTxtG"/>
        <w:rPr>
          <w:lang w:val="en-GB"/>
        </w:rPr>
      </w:pPr>
      <w:r w:rsidRPr="00757A95">
        <w:rPr>
          <w:lang w:val="en-GB"/>
        </w:rPr>
        <w:t>5</w:t>
      </w:r>
      <w:r w:rsidR="000B6F9E" w:rsidRPr="00757A95">
        <w:rPr>
          <w:lang w:val="en-GB"/>
        </w:rPr>
        <w:t>.</w:t>
      </w:r>
      <w:r w:rsidR="004216D7" w:rsidRPr="00757A95">
        <w:rPr>
          <w:lang w:val="en-GB"/>
        </w:rPr>
        <w:tab/>
        <w:t>On 7 February 2015, the complainant</w:t>
      </w:r>
      <w:r w:rsidR="00485E03" w:rsidRPr="00757A95">
        <w:rPr>
          <w:lang w:val="en-GB"/>
        </w:rPr>
        <w:t xml:space="preserve"> </w:t>
      </w:r>
      <w:r w:rsidR="003F5C17" w:rsidRPr="00757A95">
        <w:rPr>
          <w:lang w:val="en-GB"/>
        </w:rPr>
        <w:t>note</w:t>
      </w:r>
      <w:r w:rsidR="00F6745C" w:rsidRPr="00757A95">
        <w:rPr>
          <w:lang w:val="en-GB"/>
        </w:rPr>
        <w:t>d</w:t>
      </w:r>
      <w:r w:rsidR="003F5C17" w:rsidRPr="00757A95">
        <w:rPr>
          <w:lang w:val="en-GB"/>
        </w:rPr>
        <w:t xml:space="preserve"> </w:t>
      </w:r>
      <w:r w:rsidR="00483714" w:rsidRPr="00757A95">
        <w:rPr>
          <w:lang w:val="en-GB"/>
        </w:rPr>
        <w:t>that his past tortur</w:t>
      </w:r>
      <w:r w:rsidR="005F6F0C" w:rsidRPr="00757A95">
        <w:rPr>
          <w:lang w:val="en-GB"/>
        </w:rPr>
        <w:t xml:space="preserve">e </w:t>
      </w:r>
      <w:r w:rsidR="003F5C17" w:rsidRPr="00757A95">
        <w:rPr>
          <w:lang w:val="en-GB"/>
        </w:rPr>
        <w:t xml:space="preserve">in </w:t>
      </w:r>
      <w:r w:rsidR="00473F6C" w:rsidRPr="00757A95">
        <w:rPr>
          <w:lang w:val="en-GB"/>
        </w:rPr>
        <w:t xml:space="preserve">the Islamic Republic of </w:t>
      </w:r>
      <w:r w:rsidR="003F5C17" w:rsidRPr="00757A95">
        <w:rPr>
          <w:lang w:val="en-GB"/>
        </w:rPr>
        <w:t xml:space="preserve">Iran </w:t>
      </w:r>
      <w:r w:rsidR="00FC1113" w:rsidRPr="00757A95">
        <w:rPr>
          <w:lang w:val="en-GB"/>
        </w:rPr>
        <w:t xml:space="preserve">had been </w:t>
      </w:r>
      <w:r w:rsidR="005F6F0C" w:rsidRPr="00757A95">
        <w:rPr>
          <w:lang w:val="en-GB"/>
        </w:rPr>
        <w:t xml:space="preserve">confirmed by a medical examination </w:t>
      </w:r>
      <w:r w:rsidR="00FC1113" w:rsidRPr="00757A95">
        <w:rPr>
          <w:lang w:val="en-GB"/>
        </w:rPr>
        <w:t xml:space="preserve">carried out </w:t>
      </w:r>
      <w:r w:rsidR="005F6F0C" w:rsidRPr="00757A95">
        <w:rPr>
          <w:lang w:val="en-GB"/>
        </w:rPr>
        <w:t xml:space="preserve">in Greece in 1991 and that it was on that basis that Denmark </w:t>
      </w:r>
      <w:r w:rsidR="00FC1113" w:rsidRPr="00757A95">
        <w:rPr>
          <w:lang w:val="en-GB"/>
        </w:rPr>
        <w:t xml:space="preserve">had </w:t>
      </w:r>
      <w:r w:rsidR="0082310B" w:rsidRPr="00757A95">
        <w:rPr>
          <w:lang w:val="en-GB"/>
        </w:rPr>
        <w:t>granted him and his family refugee status.</w:t>
      </w:r>
      <w:r w:rsidR="003F5C17" w:rsidRPr="00757A95">
        <w:rPr>
          <w:lang w:val="en-GB"/>
        </w:rPr>
        <w:t xml:space="preserve"> </w:t>
      </w:r>
      <w:r w:rsidR="000572B3" w:rsidRPr="00757A95">
        <w:rPr>
          <w:lang w:val="en-GB"/>
        </w:rPr>
        <w:t>He note</w:t>
      </w:r>
      <w:r w:rsidR="00F6745C" w:rsidRPr="00757A95">
        <w:rPr>
          <w:lang w:val="en-GB"/>
        </w:rPr>
        <w:t>d</w:t>
      </w:r>
      <w:r w:rsidR="000572B3" w:rsidRPr="00757A95">
        <w:rPr>
          <w:lang w:val="en-GB"/>
        </w:rPr>
        <w:t xml:space="preserve"> that he </w:t>
      </w:r>
      <w:r w:rsidR="00FC1113" w:rsidRPr="00757A95">
        <w:rPr>
          <w:lang w:val="en-GB"/>
        </w:rPr>
        <w:t xml:space="preserve">had </w:t>
      </w:r>
      <w:r w:rsidR="000572B3" w:rsidRPr="00757A95">
        <w:rPr>
          <w:lang w:val="en-GB"/>
        </w:rPr>
        <w:t xml:space="preserve">never argued </w:t>
      </w:r>
      <w:r w:rsidR="00C225FC" w:rsidRPr="00757A95">
        <w:rPr>
          <w:lang w:val="en-GB"/>
        </w:rPr>
        <w:t xml:space="preserve">before Danish authorities </w:t>
      </w:r>
      <w:r w:rsidR="000572B3" w:rsidRPr="00757A95">
        <w:rPr>
          <w:lang w:val="en-GB"/>
        </w:rPr>
        <w:t xml:space="preserve">that he </w:t>
      </w:r>
      <w:r w:rsidR="00FC1113" w:rsidRPr="00757A95">
        <w:rPr>
          <w:lang w:val="en-GB"/>
        </w:rPr>
        <w:t xml:space="preserve">had been </w:t>
      </w:r>
      <w:r w:rsidR="000572B3" w:rsidRPr="00757A95">
        <w:rPr>
          <w:lang w:val="en-GB"/>
        </w:rPr>
        <w:t>tortured when he was detained in 2009</w:t>
      </w:r>
      <w:r w:rsidR="00FC1113" w:rsidRPr="00757A95">
        <w:rPr>
          <w:lang w:val="en-GB"/>
        </w:rPr>
        <w:t>,</w:t>
      </w:r>
      <w:r w:rsidR="003E7959" w:rsidRPr="00757A95">
        <w:rPr>
          <w:lang w:val="en-GB"/>
        </w:rPr>
        <w:t xml:space="preserve"> but he feared that, if detained again, Iranian authorities would </w:t>
      </w:r>
      <w:r w:rsidR="00C7699E" w:rsidRPr="00757A95">
        <w:rPr>
          <w:lang w:val="en-GB"/>
        </w:rPr>
        <w:t xml:space="preserve">evoke the circumstances that </w:t>
      </w:r>
      <w:r w:rsidR="00FC1113" w:rsidRPr="00757A95">
        <w:rPr>
          <w:lang w:val="en-GB"/>
        </w:rPr>
        <w:t xml:space="preserve">had </w:t>
      </w:r>
      <w:r w:rsidR="00C7699E" w:rsidRPr="00757A95">
        <w:rPr>
          <w:lang w:val="en-GB"/>
        </w:rPr>
        <w:t xml:space="preserve">led to his detention in the </w:t>
      </w:r>
      <w:r w:rsidR="00FC1113" w:rsidRPr="00757A95">
        <w:rPr>
          <w:lang w:val="en-GB"/>
        </w:rPr>
        <w:t>1980s</w:t>
      </w:r>
      <w:r w:rsidR="00C7699E" w:rsidRPr="00757A95">
        <w:rPr>
          <w:lang w:val="en-GB"/>
        </w:rPr>
        <w:t>,</w:t>
      </w:r>
      <w:r w:rsidR="003E7959" w:rsidRPr="00757A95">
        <w:rPr>
          <w:lang w:val="en-GB"/>
        </w:rPr>
        <w:t xml:space="preserve"> </w:t>
      </w:r>
      <w:r w:rsidR="00C7699E" w:rsidRPr="00757A95">
        <w:rPr>
          <w:lang w:val="en-GB"/>
        </w:rPr>
        <w:t xml:space="preserve">would </w:t>
      </w:r>
      <w:r w:rsidR="0040022B" w:rsidRPr="00757A95">
        <w:rPr>
          <w:lang w:val="en-GB"/>
        </w:rPr>
        <w:t xml:space="preserve">subject him to torture and </w:t>
      </w:r>
      <w:r w:rsidR="00C7699E" w:rsidRPr="00757A95">
        <w:rPr>
          <w:lang w:val="en-GB"/>
        </w:rPr>
        <w:t xml:space="preserve">would </w:t>
      </w:r>
      <w:r w:rsidR="0040022B" w:rsidRPr="00757A95">
        <w:rPr>
          <w:lang w:val="en-GB"/>
        </w:rPr>
        <w:t>bar him from receiving rehabilitation in the form of medical treatment.</w:t>
      </w:r>
      <w:r w:rsidR="000572B3" w:rsidRPr="00757A95">
        <w:rPr>
          <w:lang w:val="en-GB"/>
        </w:rPr>
        <w:t xml:space="preserve"> </w:t>
      </w:r>
      <w:r w:rsidR="003F5C17" w:rsidRPr="00757A95">
        <w:rPr>
          <w:lang w:val="en-GB"/>
        </w:rPr>
        <w:t xml:space="preserve">He </w:t>
      </w:r>
      <w:r w:rsidR="0014711F" w:rsidRPr="00757A95">
        <w:rPr>
          <w:lang w:val="en-GB"/>
        </w:rPr>
        <w:t xml:space="preserve">argued </w:t>
      </w:r>
      <w:r w:rsidR="003F5C17" w:rsidRPr="00757A95">
        <w:rPr>
          <w:lang w:val="en-GB"/>
        </w:rPr>
        <w:t xml:space="preserve">that the need for a medical examination by the </w:t>
      </w:r>
      <w:r w:rsidR="00BE5450" w:rsidRPr="00757A95">
        <w:rPr>
          <w:lang w:val="en-GB"/>
        </w:rPr>
        <w:t>board</w:t>
      </w:r>
      <w:r w:rsidR="003F5C17" w:rsidRPr="00757A95">
        <w:rPr>
          <w:lang w:val="en-GB"/>
        </w:rPr>
        <w:t xml:space="preserve"> was not to prove that he was a torture survivor but to </w:t>
      </w:r>
      <w:r w:rsidR="00C7699E" w:rsidRPr="00757A95">
        <w:rPr>
          <w:lang w:val="en-GB"/>
        </w:rPr>
        <w:t>determine that he need</w:t>
      </w:r>
      <w:r w:rsidR="00536E04" w:rsidRPr="00757A95">
        <w:rPr>
          <w:lang w:val="en-GB"/>
        </w:rPr>
        <w:t>ed</w:t>
      </w:r>
      <w:r w:rsidR="003F5C17" w:rsidRPr="00757A95">
        <w:rPr>
          <w:lang w:val="en-GB"/>
        </w:rPr>
        <w:t xml:space="preserve"> rehabilitation </w:t>
      </w:r>
      <w:r w:rsidR="003F5C17" w:rsidRPr="00757A95">
        <w:rPr>
          <w:lang w:val="en-GB"/>
        </w:rPr>
        <w:lastRenderedPageBreak/>
        <w:t xml:space="preserve">treatment. </w:t>
      </w:r>
      <w:r w:rsidR="00695C18" w:rsidRPr="00757A95">
        <w:rPr>
          <w:lang w:val="en-GB"/>
        </w:rPr>
        <w:t>W</w:t>
      </w:r>
      <w:r w:rsidR="00FA1BB3" w:rsidRPr="00757A95">
        <w:rPr>
          <w:lang w:val="en-GB"/>
        </w:rPr>
        <w:t xml:space="preserve">hen considering whether </w:t>
      </w:r>
      <w:r w:rsidR="00695C18" w:rsidRPr="00757A95">
        <w:rPr>
          <w:lang w:val="en-GB"/>
        </w:rPr>
        <w:t>hi</w:t>
      </w:r>
      <w:r w:rsidR="00F67672" w:rsidRPr="00757A95">
        <w:rPr>
          <w:lang w:val="en-GB"/>
        </w:rPr>
        <w:t>s residence permit had la</w:t>
      </w:r>
      <w:r w:rsidR="00FA1BB3" w:rsidRPr="00757A95">
        <w:rPr>
          <w:lang w:val="en-GB"/>
        </w:rPr>
        <w:t>psed</w:t>
      </w:r>
      <w:r w:rsidR="00840F58" w:rsidRPr="00757A95">
        <w:rPr>
          <w:lang w:val="en-GB"/>
        </w:rPr>
        <w:t xml:space="preserve">, the </w:t>
      </w:r>
      <w:r w:rsidR="00BE5450" w:rsidRPr="00757A95">
        <w:rPr>
          <w:lang w:val="en-GB"/>
        </w:rPr>
        <w:t>board</w:t>
      </w:r>
      <w:r w:rsidR="00840F58" w:rsidRPr="00757A95">
        <w:rPr>
          <w:lang w:val="en-GB"/>
        </w:rPr>
        <w:t xml:space="preserve"> should have taken into consideration his need for </w:t>
      </w:r>
      <w:r w:rsidR="00695C18" w:rsidRPr="00757A95">
        <w:rPr>
          <w:lang w:val="en-GB"/>
        </w:rPr>
        <w:t>such</w:t>
      </w:r>
      <w:r w:rsidR="00840F58" w:rsidRPr="00757A95">
        <w:rPr>
          <w:lang w:val="en-GB"/>
        </w:rPr>
        <w:t xml:space="preserve"> treatment.</w:t>
      </w:r>
      <w:r w:rsidR="008A6D01" w:rsidRPr="00757A95">
        <w:rPr>
          <w:rStyle w:val="FootnoteReference"/>
          <w:lang w:val="en-GB"/>
        </w:rPr>
        <w:footnoteReference w:id="6"/>
      </w:r>
      <w:r w:rsidR="00791065" w:rsidRPr="00757A95">
        <w:rPr>
          <w:lang w:val="en-GB"/>
        </w:rPr>
        <w:t xml:space="preserve"> </w:t>
      </w:r>
    </w:p>
    <w:p w:rsidR="001C3108" w:rsidRPr="00757A95" w:rsidRDefault="00C7534B" w:rsidP="00757A95">
      <w:pPr>
        <w:pStyle w:val="H23G"/>
      </w:pPr>
      <w:r w:rsidRPr="00757A95">
        <w:tab/>
      </w:r>
      <w:r w:rsidRPr="00757A95">
        <w:tab/>
      </w:r>
      <w:r w:rsidR="001C3108" w:rsidRPr="00757A95">
        <w:t>Issues and proceedings before the Committee</w:t>
      </w:r>
    </w:p>
    <w:p w:rsidR="001C3108" w:rsidRPr="00757A95" w:rsidRDefault="00A53605" w:rsidP="00A34D18">
      <w:pPr>
        <w:pStyle w:val="SingleTxtG"/>
        <w:spacing w:line="240" w:lineRule="auto"/>
        <w:rPr>
          <w:lang w:val="en-GB"/>
        </w:rPr>
      </w:pPr>
      <w:r w:rsidRPr="00757A95">
        <w:rPr>
          <w:lang w:val="en-GB"/>
        </w:rPr>
        <w:t>6</w:t>
      </w:r>
      <w:r w:rsidR="001C3108" w:rsidRPr="00757A95">
        <w:rPr>
          <w:lang w:val="en-GB"/>
        </w:rPr>
        <w:t>.1</w:t>
      </w:r>
      <w:r w:rsidR="001C3108" w:rsidRPr="00757A95">
        <w:rPr>
          <w:lang w:val="en-GB"/>
        </w:rPr>
        <w:tab/>
      </w:r>
      <w:r w:rsidR="000B75D1" w:rsidRPr="00757A95">
        <w:rPr>
          <w:lang w:val="en-GB" w:eastAsia="zh-CN"/>
        </w:rPr>
        <w:t>Before considering any c</w:t>
      </w:r>
      <w:r w:rsidR="00695C18" w:rsidRPr="00757A95">
        <w:rPr>
          <w:lang w:val="en-GB" w:eastAsia="zh-CN"/>
        </w:rPr>
        <w:t>laim</w:t>
      </w:r>
      <w:r w:rsidR="000B75D1" w:rsidRPr="00757A95">
        <w:rPr>
          <w:lang w:val="en-GB" w:eastAsia="zh-CN"/>
        </w:rPr>
        <w:t xml:space="preserve"> submitted in a communication, the Committee against Torture must decide whether or not it is admissible under article 22 of the Convention. </w:t>
      </w:r>
      <w:r w:rsidR="00D241F9" w:rsidRPr="00757A95">
        <w:rPr>
          <w:bCs/>
          <w:lang w:val="en-GB"/>
        </w:rPr>
        <w:t xml:space="preserve">The Committee has ascertained, as it is required to do under article 22 </w:t>
      </w:r>
      <w:r w:rsidR="0061236C" w:rsidRPr="00757A95">
        <w:rPr>
          <w:bCs/>
          <w:lang w:val="en-GB"/>
        </w:rPr>
        <w:t>(</w:t>
      </w:r>
      <w:r w:rsidR="00D241F9" w:rsidRPr="00757A95">
        <w:rPr>
          <w:bCs/>
          <w:lang w:val="en-GB"/>
        </w:rPr>
        <w:t>5</w:t>
      </w:r>
      <w:r w:rsidR="0061236C" w:rsidRPr="00757A95">
        <w:rPr>
          <w:bCs/>
          <w:lang w:val="en-GB"/>
        </w:rPr>
        <w:t>)</w:t>
      </w:r>
      <w:r w:rsidR="00D241F9" w:rsidRPr="00757A95">
        <w:rPr>
          <w:bCs/>
          <w:lang w:val="en-GB"/>
        </w:rPr>
        <w:t xml:space="preserve"> (a) of the Convention, that the same matter has not been, and is not being examined under another procedure of international investigation or settlement.</w:t>
      </w:r>
    </w:p>
    <w:p w:rsidR="00951071" w:rsidRPr="00757A95" w:rsidRDefault="00A53605" w:rsidP="00847AF3">
      <w:pPr>
        <w:pStyle w:val="SingleTxtG"/>
        <w:rPr>
          <w:lang w:val="en-GB"/>
        </w:rPr>
      </w:pPr>
      <w:r w:rsidRPr="00757A95">
        <w:rPr>
          <w:lang w:val="en-GB"/>
        </w:rPr>
        <w:t>6</w:t>
      </w:r>
      <w:r w:rsidR="001C3108" w:rsidRPr="00757A95">
        <w:rPr>
          <w:lang w:val="en-GB"/>
        </w:rPr>
        <w:t>.2</w:t>
      </w:r>
      <w:r w:rsidR="001C3108" w:rsidRPr="00757A95">
        <w:rPr>
          <w:lang w:val="en-GB"/>
        </w:rPr>
        <w:tab/>
      </w:r>
      <w:r w:rsidR="000C41B0" w:rsidRPr="00757A95">
        <w:rPr>
          <w:lang w:val="en-GB"/>
        </w:rPr>
        <w:t xml:space="preserve">The Committee recalls that, in accordance with article 22 (5) (b) of the Convention, it shall not consider any communication from an individual unless it has ascertained that the individual has exhausted all available domestic remedies. The Committee notes </w:t>
      </w:r>
      <w:r w:rsidR="00A04C4D" w:rsidRPr="00757A95">
        <w:rPr>
          <w:lang w:val="en-GB"/>
        </w:rPr>
        <w:t xml:space="preserve">that </w:t>
      </w:r>
      <w:r w:rsidR="000C41B0" w:rsidRPr="00757A95">
        <w:rPr>
          <w:lang w:val="en-GB"/>
        </w:rPr>
        <w:t>the State party</w:t>
      </w:r>
      <w:r w:rsidR="00A04C4D" w:rsidRPr="00757A95">
        <w:rPr>
          <w:lang w:val="en-GB"/>
        </w:rPr>
        <w:t xml:space="preserve"> has</w:t>
      </w:r>
      <w:r w:rsidR="000C41B0" w:rsidRPr="00757A95">
        <w:rPr>
          <w:lang w:val="en-GB"/>
        </w:rPr>
        <w:t xml:space="preserve"> not contest</w:t>
      </w:r>
      <w:r w:rsidR="00A04C4D" w:rsidRPr="00757A95">
        <w:rPr>
          <w:lang w:val="en-GB"/>
        </w:rPr>
        <w:t>ed</w:t>
      </w:r>
      <w:r w:rsidR="000C41B0" w:rsidRPr="00757A95">
        <w:rPr>
          <w:lang w:val="en-GB"/>
        </w:rPr>
        <w:t xml:space="preserve"> that all available domestic remedies have been exhausted in the present case and concludes that it is not precluded from examining the communication by the requirements of article 22 (5) (b) of the Convention.</w:t>
      </w:r>
    </w:p>
    <w:p w:rsidR="003D4ABE" w:rsidRPr="00757A95" w:rsidRDefault="00187B91" w:rsidP="00A34D18">
      <w:pPr>
        <w:pStyle w:val="SingleTxtG"/>
        <w:rPr>
          <w:lang w:val="en-GB"/>
        </w:rPr>
      </w:pPr>
      <w:r w:rsidRPr="00757A95">
        <w:rPr>
          <w:lang w:val="en-GB"/>
        </w:rPr>
        <w:t>6.3</w:t>
      </w:r>
      <w:r w:rsidRPr="00757A95">
        <w:rPr>
          <w:lang w:val="en-GB"/>
        </w:rPr>
        <w:tab/>
      </w:r>
      <w:r w:rsidR="00C61C41" w:rsidRPr="00757A95">
        <w:rPr>
          <w:lang w:val="en-GB"/>
        </w:rPr>
        <w:t xml:space="preserve">The Committee takes note of the State party’s argument that the complaint is </w:t>
      </w:r>
      <w:r w:rsidR="0052568B" w:rsidRPr="00757A95">
        <w:rPr>
          <w:lang w:val="en-GB"/>
        </w:rPr>
        <w:t xml:space="preserve">insufficiently substantiated and therefore </w:t>
      </w:r>
      <w:r w:rsidR="00C61C41" w:rsidRPr="00757A95">
        <w:rPr>
          <w:lang w:val="en-GB"/>
        </w:rPr>
        <w:t>ina</w:t>
      </w:r>
      <w:r w:rsidR="00070911" w:rsidRPr="00757A95">
        <w:rPr>
          <w:lang w:val="en-GB"/>
        </w:rPr>
        <w:t xml:space="preserve">dmissible. The Committee notes </w:t>
      </w:r>
      <w:r w:rsidR="00C61C41" w:rsidRPr="00757A95">
        <w:rPr>
          <w:lang w:val="en-GB"/>
        </w:rPr>
        <w:t>the complainant</w:t>
      </w:r>
      <w:r w:rsidR="00F949CE" w:rsidRPr="00757A95">
        <w:rPr>
          <w:lang w:val="en-GB"/>
        </w:rPr>
        <w:t>’s argument</w:t>
      </w:r>
      <w:r w:rsidR="00C61C41" w:rsidRPr="00757A95">
        <w:rPr>
          <w:lang w:val="en-GB"/>
        </w:rPr>
        <w:t xml:space="preserve"> that </w:t>
      </w:r>
      <w:r w:rsidR="0052568B" w:rsidRPr="00757A95">
        <w:rPr>
          <w:lang w:val="en-GB"/>
        </w:rPr>
        <w:t>article 3 of the Convention would be violated if he were</w:t>
      </w:r>
      <w:r w:rsidR="00C61C41" w:rsidRPr="00757A95">
        <w:rPr>
          <w:lang w:val="en-GB"/>
        </w:rPr>
        <w:t xml:space="preserve"> </w:t>
      </w:r>
      <w:r w:rsidR="0052568B" w:rsidRPr="00757A95">
        <w:rPr>
          <w:lang w:val="en-GB"/>
        </w:rPr>
        <w:t xml:space="preserve">to be </w:t>
      </w:r>
      <w:r w:rsidR="00C61C41" w:rsidRPr="00757A95">
        <w:rPr>
          <w:lang w:val="en-GB"/>
        </w:rPr>
        <w:t xml:space="preserve">deported to </w:t>
      </w:r>
      <w:r w:rsidR="00473F6C" w:rsidRPr="00757A95">
        <w:rPr>
          <w:lang w:val="en-GB"/>
        </w:rPr>
        <w:t xml:space="preserve">the Islamic Republic of </w:t>
      </w:r>
      <w:r w:rsidR="00C61C41" w:rsidRPr="00757A95">
        <w:rPr>
          <w:lang w:val="en-GB"/>
        </w:rPr>
        <w:t>Iran based on his past torture suffered in the 1980s</w:t>
      </w:r>
      <w:r w:rsidR="0052568B" w:rsidRPr="00757A95">
        <w:rPr>
          <w:lang w:val="en-GB"/>
        </w:rPr>
        <w:t xml:space="preserve"> and on the inability to obtain medical treatment required as a torture victim</w:t>
      </w:r>
      <w:r w:rsidR="00C61C41" w:rsidRPr="00757A95">
        <w:rPr>
          <w:lang w:val="en-GB"/>
        </w:rPr>
        <w:t>. The Committee notes</w:t>
      </w:r>
      <w:r w:rsidR="0052568B" w:rsidRPr="00757A95">
        <w:rPr>
          <w:lang w:val="en-GB"/>
        </w:rPr>
        <w:t>,</w:t>
      </w:r>
      <w:r w:rsidR="00C61C41" w:rsidRPr="00757A95">
        <w:rPr>
          <w:lang w:val="en-GB"/>
        </w:rPr>
        <w:t xml:space="preserve"> however, that the complainant has </w:t>
      </w:r>
      <w:r w:rsidR="00F949CE" w:rsidRPr="00757A95">
        <w:rPr>
          <w:lang w:val="en-GB"/>
        </w:rPr>
        <w:t>not</w:t>
      </w:r>
      <w:r w:rsidR="0052568B" w:rsidRPr="00757A95">
        <w:rPr>
          <w:lang w:val="en-GB"/>
        </w:rPr>
        <w:t xml:space="preserve"> provided</w:t>
      </w:r>
      <w:r w:rsidR="00C61C41" w:rsidRPr="00757A95">
        <w:rPr>
          <w:lang w:val="en-GB"/>
        </w:rPr>
        <w:t xml:space="preserve"> the Committee with any information relating to the events occurred in the 1980s</w:t>
      </w:r>
      <w:r w:rsidR="00C46622" w:rsidRPr="00757A95">
        <w:rPr>
          <w:lang w:val="en-GB"/>
        </w:rPr>
        <w:t xml:space="preserve"> and how those event</w:t>
      </w:r>
      <w:r w:rsidR="0052568B" w:rsidRPr="00757A95">
        <w:rPr>
          <w:lang w:val="en-GB"/>
        </w:rPr>
        <w:t>s</w:t>
      </w:r>
      <w:r w:rsidR="00C46622" w:rsidRPr="00757A95">
        <w:rPr>
          <w:lang w:val="en-GB"/>
        </w:rPr>
        <w:t xml:space="preserve"> would still put him at a </w:t>
      </w:r>
      <w:r w:rsidR="0052568B" w:rsidRPr="00757A95">
        <w:rPr>
          <w:lang w:val="en-GB"/>
        </w:rPr>
        <w:t>personal</w:t>
      </w:r>
      <w:r w:rsidR="00C46622" w:rsidRPr="00757A95">
        <w:rPr>
          <w:lang w:val="en-GB"/>
        </w:rPr>
        <w:t xml:space="preserve"> risk of torture</w:t>
      </w:r>
      <w:r w:rsidR="0052568B" w:rsidRPr="00757A95">
        <w:rPr>
          <w:lang w:val="en-GB"/>
        </w:rPr>
        <w:t xml:space="preserve"> in </w:t>
      </w:r>
      <w:r w:rsidR="00473F6C" w:rsidRPr="00757A95">
        <w:rPr>
          <w:lang w:val="en-GB"/>
        </w:rPr>
        <w:t xml:space="preserve">the Islamic Republic of </w:t>
      </w:r>
      <w:r w:rsidR="0052568B" w:rsidRPr="00757A95">
        <w:rPr>
          <w:lang w:val="en-GB"/>
        </w:rPr>
        <w:t>Iran today</w:t>
      </w:r>
      <w:r w:rsidR="00F4327F" w:rsidRPr="00757A95">
        <w:rPr>
          <w:lang w:val="en-GB"/>
        </w:rPr>
        <w:t xml:space="preserve">. The Committee further notes that the complainant lived in </w:t>
      </w:r>
      <w:r w:rsidR="00473F6C" w:rsidRPr="00757A95">
        <w:rPr>
          <w:lang w:val="en-GB"/>
        </w:rPr>
        <w:t xml:space="preserve">the Islamic Republic of </w:t>
      </w:r>
      <w:r w:rsidR="00F4327F" w:rsidRPr="00757A95">
        <w:rPr>
          <w:lang w:val="en-GB"/>
        </w:rPr>
        <w:t xml:space="preserve">Iran for several years and that his short detention in 2009 was not of such nature as to suggest that, in case of return, he would be at risk of treatment contrary to article 3 of the Convention. </w:t>
      </w:r>
      <w:r w:rsidR="003D4ABE" w:rsidRPr="00757A95">
        <w:rPr>
          <w:lang w:val="en-GB"/>
        </w:rPr>
        <w:t xml:space="preserve">As to the complainant’s argument relating to the </w:t>
      </w:r>
      <w:r w:rsidR="00BE5450" w:rsidRPr="00757A95">
        <w:rPr>
          <w:lang w:val="en-GB"/>
        </w:rPr>
        <w:t>refugee appeals board</w:t>
      </w:r>
      <w:r w:rsidR="003D4ABE" w:rsidRPr="00757A95">
        <w:rPr>
          <w:lang w:val="en-GB"/>
        </w:rPr>
        <w:t xml:space="preserve">’s failure to undertake a medical examination </w:t>
      </w:r>
      <w:r w:rsidR="00C46622" w:rsidRPr="00757A95">
        <w:rPr>
          <w:lang w:val="en-GB"/>
        </w:rPr>
        <w:t xml:space="preserve">to determine the </w:t>
      </w:r>
      <w:r w:rsidR="005D6C31" w:rsidRPr="00757A95">
        <w:rPr>
          <w:lang w:val="en-GB"/>
        </w:rPr>
        <w:t>need for him to follow a rehabilitation treatment for the torture</w:t>
      </w:r>
      <w:r w:rsidR="00F949CE" w:rsidRPr="00757A95">
        <w:rPr>
          <w:lang w:val="en-GB"/>
        </w:rPr>
        <w:t xml:space="preserve"> </w:t>
      </w:r>
      <w:r w:rsidR="005D6C31" w:rsidRPr="00757A95">
        <w:rPr>
          <w:lang w:val="en-GB"/>
        </w:rPr>
        <w:t>he would have experience</w:t>
      </w:r>
      <w:r w:rsidR="008E2EAD" w:rsidRPr="00757A95">
        <w:rPr>
          <w:lang w:val="en-GB"/>
        </w:rPr>
        <w:t>d</w:t>
      </w:r>
      <w:r w:rsidR="005D6C31" w:rsidRPr="00757A95">
        <w:rPr>
          <w:lang w:val="en-GB"/>
        </w:rPr>
        <w:t xml:space="preserve"> in the </w:t>
      </w:r>
      <w:r w:rsidR="00FC1113" w:rsidRPr="00757A95">
        <w:rPr>
          <w:lang w:val="en-GB"/>
        </w:rPr>
        <w:t>1980s</w:t>
      </w:r>
      <w:r w:rsidR="008E2EAD" w:rsidRPr="00757A95">
        <w:rPr>
          <w:lang w:val="en-GB"/>
        </w:rPr>
        <w:t>, the Committee considers that this argument</w:t>
      </w:r>
      <w:r w:rsidR="005D6C31" w:rsidRPr="00757A95">
        <w:rPr>
          <w:lang w:val="en-GB"/>
        </w:rPr>
        <w:t xml:space="preserve"> </w:t>
      </w:r>
      <w:r w:rsidR="00F949CE" w:rsidRPr="00757A95">
        <w:rPr>
          <w:lang w:val="en-GB"/>
        </w:rPr>
        <w:t xml:space="preserve">is of no relevance for the purpose of determining whether he would be at risk of being subjected to torture, at present, upon return to </w:t>
      </w:r>
      <w:r w:rsidR="00473F6C" w:rsidRPr="00757A95">
        <w:rPr>
          <w:lang w:val="en-GB"/>
        </w:rPr>
        <w:t xml:space="preserve">the Islamic Republic of </w:t>
      </w:r>
      <w:r w:rsidR="00F949CE" w:rsidRPr="00757A95">
        <w:rPr>
          <w:lang w:val="en-GB"/>
        </w:rPr>
        <w:t>Iran</w:t>
      </w:r>
      <w:r w:rsidR="00F4327F" w:rsidRPr="00757A95">
        <w:rPr>
          <w:lang w:val="en-GB"/>
        </w:rPr>
        <w:t>, in particular since he has not specified the required medical treatment</w:t>
      </w:r>
      <w:r w:rsidR="005036AD" w:rsidRPr="00757A95">
        <w:rPr>
          <w:lang w:val="en-GB"/>
        </w:rPr>
        <w:t xml:space="preserve"> </w:t>
      </w:r>
      <w:r w:rsidR="005036AD" w:rsidRPr="0037557E">
        <w:rPr>
          <w:lang w:val="en-GB"/>
        </w:rPr>
        <w:t>related to the after-effects of torture</w:t>
      </w:r>
      <w:r w:rsidR="005036AD" w:rsidRPr="00757A95">
        <w:rPr>
          <w:lang w:val="en-GB"/>
        </w:rPr>
        <w:t xml:space="preserve"> </w:t>
      </w:r>
      <w:r w:rsidR="00F4327F" w:rsidRPr="00757A95">
        <w:rPr>
          <w:lang w:val="en-GB"/>
        </w:rPr>
        <w:t>that he was allegedly receiving in Denmark</w:t>
      </w:r>
      <w:r w:rsidR="005036AD" w:rsidRPr="00757A95">
        <w:rPr>
          <w:lang w:val="en-GB"/>
        </w:rPr>
        <w:t xml:space="preserve"> </w:t>
      </w:r>
      <w:r w:rsidR="00F4327F" w:rsidRPr="00757A95">
        <w:rPr>
          <w:lang w:val="en-GB"/>
        </w:rPr>
        <w:t xml:space="preserve">and would be unable to obtain in </w:t>
      </w:r>
      <w:r w:rsidR="00473F6C" w:rsidRPr="00757A95">
        <w:rPr>
          <w:lang w:val="en-GB"/>
        </w:rPr>
        <w:t xml:space="preserve">the Islamic Republic of </w:t>
      </w:r>
      <w:r w:rsidR="00F4327F" w:rsidRPr="00757A95">
        <w:rPr>
          <w:lang w:val="en-GB"/>
        </w:rPr>
        <w:t xml:space="preserve">Iran </w:t>
      </w:r>
      <w:r w:rsidR="00DA5659" w:rsidRPr="00757A95">
        <w:rPr>
          <w:lang w:val="en-GB"/>
        </w:rPr>
        <w:t xml:space="preserve">and </w:t>
      </w:r>
      <w:r w:rsidR="00F4327F" w:rsidRPr="00757A95">
        <w:rPr>
          <w:lang w:val="en-GB"/>
        </w:rPr>
        <w:t>in light of the fact that he voluntarily left Denmark and has presumably been without any such treatment since 2004.</w:t>
      </w:r>
    </w:p>
    <w:p w:rsidR="007049A0" w:rsidRPr="00757A95" w:rsidRDefault="00DA6BE6" w:rsidP="00A34D18">
      <w:pPr>
        <w:pStyle w:val="SingleTxtG"/>
        <w:rPr>
          <w:lang w:val="en-GB"/>
        </w:rPr>
      </w:pPr>
      <w:r w:rsidRPr="00757A95">
        <w:rPr>
          <w:lang w:val="en-GB"/>
        </w:rPr>
        <w:t>6.</w:t>
      </w:r>
      <w:r w:rsidR="008E2EAD" w:rsidRPr="00757A95">
        <w:rPr>
          <w:lang w:val="en-GB"/>
        </w:rPr>
        <w:t>4</w:t>
      </w:r>
      <w:r w:rsidRPr="00757A95">
        <w:rPr>
          <w:lang w:val="en-GB"/>
        </w:rPr>
        <w:tab/>
      </w:r>
      <w:r w:rsidR="00A04C4D" w:rsidRPr="00757A95">
        <w:rPr>
          <w:lang w:val="en-GB"/>
        </w:rPr>
        <w:t>The</w:t>
      </w:r>
      <w:r w:rsidRPr="00757A95">
        <w:rPr>
          <w:lang w:val="en-GB"/>
        </w:rPr>
        <w:t xml:space="preserve"> Committee </w:t>
      </w:r>
      <w:r w:rsidR="00A04C4D" w:rsidRPr="00757A95">
        <w:rPr>
          <w:lang w:val="en-GB"/>
        </w:rPr>
        <w:t>conclude</w:t>
      </w:r>
      <w:r w:rsidRPr="00757A95">
        <w:rPr>
          <w:lang w:val="en-GB"/>
        </w:rPr>
        <w:t>s, in accordance with article 22 of the Convention and rule 107</w:t>
      </w:r>
      <w:r w:rsidR="00FC1113" w:rsidRPr="00757A95">
        <w:rPr>
          <w:lang w:val="en-GB"/>
        </w:rPr>
        <w:t> </w:t>
      </w:r>
      <w:r w:rsidRPr="00757A95">
        <w:rPr>
          <w:lang w:val="en-GB"/>
        </w:rPr>
        <w:t xml:space="preserve">(b) of its </w:t>
      </w:r>
      <w:r w:rsidR="00FC1113" w:rsidRPr="00757A95">
        <w:rPr>
          <w:lang w:val="en-GB"/>
        </w:rPr>
        <w:t>r</w:t>
      </w:r>
      <w:r w:rsidRPr="00757A95">
        <w:rPr>
          <w:lang w:val="en-GB"/>
        </w:rPr>
        <w:t xml:space="preserve">ules of </w:t>
      </w:r>
      <w:r w:rsidR="00FC1113" w:rsidRPr="00757A95">
        <w:rPr>
          <w:lang w:val="en-GB"/>
        </w:rPr>
        <w:t>p</w:t>
      </w:r>
      <w:r w:rsidRPr="00757A95">
        <w:rPr>
          <w:lang w:val="en-GB"/>
        </w:rPr>
        <w:t>rocedure, that the complaint is manifestly unfounded</w:t>
      </w:r>
      <w:r w:rsidR="001239B6" w:rsidRPr="00757A95">
        <w:rPr>
          <w:bCs/>
          <w:lang w:val="en-GB"/>
        </w:rPr>
        <w:t>.</w:t>
      </w:r>
      <w:r w:rsidR="00FD1CAB" w:rsidRPr="00757A95">
        <w:rPr>
          <w:lang w:val="en-GB"/>
        </w:rPr>
        <w:t xml:space="preserve"> </w:t>
      </w:r>
    </w:p>
    <w:p w:rsidR="007049A0" w:rsidRPr="00757A95" w:rsidRDefault="00BD3CF9" w:rsidP="001E486C">
      <w:pPr>
        <w:pStyle w:val="SingleTxtG"/>
        <w:rPr>
          <w:lang w:val="en-GB"/>
        </w:rPr>
      </w:pPr>
      <w:r w:rsidRPr="00757A95">
        <w:rPr>
          <w:lang w:val="en-GB"/>
        </w:rPr>
        <w:t>7</w:t>
      </w:r>
      <w:r w:rsidR="007049A0" w:rsidRPr="00757A95">
        <w:rPr>
          <w:lang w:val="en-GB"/>
        </w:rPr>
        <w:t>.</w:t>
      </w:r>
      <w:r w:rsidR="007049A0" w:rsidRPr="00757A95">
        <w:rPr>
          <w:lang w:val="en-GB"/>
        </w:rPr>
        <w:tab/>
        <w:t>The Committee</w:t>
      </w:r>
      <w:r w:rsidR="00C75E09" w:rsidRPr="00757A95">
        <w:rPr>
          <w:lang w:val="en-GB"/>
        </w:rPr>
        <w:t xml:space="preserve"> against Torture</w:t>
      </w:r>
      <w:r w:rsidR="007049A0" w:rsidRPr="00757A95">
        <w:rPr>
          <w:lang w:val="en-GB"/>
        </w:rPr>
        <w:t xml:space="preserve"> therefore decides:</w:t>
      </w:r>
    </w:p>
    <w:p w:rsidR="007049A0" w:rsidRPr="00757A95" w:rsidRDefault="007049A0" w:rsidP="00757A95">
      <w:pPr>
        <w:pStyle w:val="SingleTxtG"/>
        <w:ind w:firstLine="567"/>
        <w:rPr>
          <w:lang w:val="en-GB"/>
        </w:rPr>
      </w:pPr>
      <w:r w:rsidRPr="00757A95">
        <w:rPr>
          <w:lang w:val="en-GB"/>
        </w:rPr>
        <w:t>(a)</w:t>
      </w:r>
      <w:r w:rsidRPr="00757A95">
        <w:rPr>
          <w:lang w:val="en-GB"/>
        </w:rPr>
        <w:tab/>
        <w:t xml:space="preserve">That the communication is inadmissible under </w:t>
      </w:r>
      <w:r w:rsidR="00841168" w:rsidRPr="00757A95">
        <w:rPr>
          <w:lang w:val="en-GB"/>
        </w:rPr>
        <w:t>article </w:t>
      </w:r>
      <w:r w:rsidR="00DF108C" w:rsidRPr="00757A95">
        <w:rPr>
          <w:lang w:val="en-GB"/>
        </w:rPr>
        <w:t>2</w:t>
      </w:r>
      <w:r w:rsidRPr="00757A95">
        <w:rPr>
          <w:lang w:val="en-GB"/>
        </w:rPr>
        <w:t xml:space="preserve">2 </w:t>
      </w:r>
      <w:r w:rsidR="00DF108C" w:rsidRPr="00757A95">
        <w:rPr>
          <w:lang w:val="en-GB"/>
        </w:rPr>
        <w:t>of the Convention</w:t>
      </w:r>
      <w:r w:rsidRPr="00757A95">
        <w:rPr>
          <w:lang w:val="en-GB"/>
        </w:rPr>
        <w:t>;</w:t>
      </w:r>
    </w:p>
    <w:p w:rsidR="007049A0" w:rsidRPr="00757A95" w:rsidRDefault="007049A0" w:rsidP="00757A95">
      <w:pPr>
        <w:pStyle w:val="SingleTxtG"/>
        <w:ind w:firstLine="567"/>
        <w:rPr>
          <w:lang w:val="en-GB"/>
        </w:rPr>
      </w:pPr>
      <w:r w:rsidRPr="00757A95">
        <w:rPr>
          <w:lang w:val="en-GB"/>
        </w:rPr>
        <w:t>(b)</w:t>
      </w:r>
      <w:r w:rsidRPr="00757A95">
        <w:rPr>
          <w:lang w:val="en-GB"/>
        </w:rPr>
        <w:tab/>
        <w:t xml:space="preserve">That </w:t>
      </w:r>
      <w:r w:rsidR="00FC1113" w:rsidRPr="00757A95">
        <w:rPr>
          <w:lang w:val="en-GB"/>
        </w:rPr>
        <w:t xml:space="preserve">the present </w:t>
      </w:r>
      <w:r w:rsidRPr="00757A95">
        <w:rPr>
          <w:lang w:val="en-GB"/>
        </w:rPr>
        <w:t xml:space="preserve">decision </w:t>
      </w:r>
      <w:r w:rsidR="00151FCE" w:rsidRPr="00757A95">
        <w:rPr>
          <w:lang w:val="en-GB"/>
        </w:rPr>
        <w:t xml:space="preserve">shall </w:t>
      </w:r>
      <w:r w:rsidRPr="00757A95">
        <w:rPr>
          <w:lang w:val="en-GB"/>
        </w:rPr>
        <w:t xml:space="preserve">be transmitted to the State party and to the </w:t>
      </w:r>
      <w:r w:rsidR="00DA6BE6" w:rsidRPr="00757A95">
        <w:rPr>
          <w:lang w:val="en-GB"/>
        </w:rPr>
        <w:t>complainant</w:t>
      </w:r>
      <w:r w:rsidRPr="00757A95">
        <w:rPr>
          <w:lang w:val="en-GB"/>
        </w:rPr>
        <w:t>.</w:t>
      </w:r>
    </w:p>
    <w:p w:rsidR="002D42A1" w:rsidRPr="00757A95" w:rsidRDefault="00F222BD" w:rsidP="00B20889">
      <w:pPr>
        <w:pStyle w:val="SingleTxtG"/>
        <w:spacing w:before="240" w:after="0"/>
        <w:jc w:val="center"/>
        <w:rPr>
          <w:u w:val="single"/>
          <w:lang w:val="en-GB"/>
        </w:rPr>
      </w:pPr>
      <w:r w:rsidRPr="00757A95">
        <w:rPr>
          <w:u w:val="single"/>
          <w:lang w:val="en-GB"/>
        </w:rPr>
        <w:tab/>
      </w:r>
      <w:r w:rsidRPr="00757A95">
        <w:rPr>
          <w:u w:val="single"/>
          <w:lang w:val="en-GB"/>
        </w:rPr>
        <w:tab/>
      </w:r>
      <w:r w:rsidRPr="00757A95">
        <w:rPr>
          <w:u w:val="single"/>
          <w:lang w:val="en-GB"/>
        </w:rPr>
        <w:tab/>
      </w:r>
    </w:p>
    <w:sectPr w:rsidR="002D42A1" w:rsidRPr="00757A95" w:rsidSect="00BC4A61">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998" w:rsidRDefault="004C7998"/>
  </w:endnote>
  <w:endnote w:type="continuationSeparator" w:id="0">
    <w:p w:rsidR="004C7998" w:rsidRDefault="004C7998"/>
  </w:endnote>
  <w:endnote w:type="continuationNotice" w:id="1">
    <w:p w:rsidR="004C7998" w:rsidRDefault="004C7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1EB" w:rsidRPr="00EF1126" w:rsidRDefault="001431EB" w:rsidP="001C3108">
    <w:pPr>
      <w:pStyle w:val="Footer"/>
      <w:tabs>
        <w:tab w:val="right" w:pos="9638"/>
      </w:tabs>
      <w:rPr>
        <w:sz w:val="18"/>
        <w:szCs w:val="18"/>
      </w:rPr>
    </w:pPr>
    <w:r w:rsidRPr="00EF1126">
      <w:rPr>
        <w:b/>
        <w:sz w:val="18"/>
        <w:szCs w:val="18"/>
      </w:rPr>
      <w:fldChar w:fldCharType="begin"/>
    </w:r>
    <w:r w:rsidRPr="00EF1126">
      <w:rPr>
        <w:b/>
        <w:sz w:val="18"/>
        <w:szCs w:val="18"/>
      </w:rPr>
      <w:instrText xml:space="preserve"> </w:instrText>
    </w:r>
    <w:r>
      <w:rPr>
        <w:b/>
        <w:sz w:val="18"/>
        <w:szCs w:val="18"/>
      </w:rPr>
      <w:instrText>PAGE</w:instrText>
    </w:r>
    <w:r w:rsidRPr="00EF1126">
      <w:rPr>
        <w:b/>
        <w:sz w:val="18"/>
        <w:szCs w:val="18"/>
      </w:rPr>
      <w:instrText xml:space="preserve">  \* MERGEFORMAT </w:instrText>
    </w:r>
    <w:r w:rsidRPr="00EF1126">
      <w:rPr>
        <w:b/>
        <w:sz w:val="18"/>
        <w:szCs w:val="18"/>
      </w:rPr>
      <w:fldChar w:fldCharType="separate"/>
    </w:r>
    <w:r w:rsidR="009B52B8">
      <w:rPr>
        <w:b/>
        <w:noProof/>
        <w:sz w:val="18"/>
        <w:szCs w:val="18"/>
      </w:rPr>
      <w:t>2</w:t>
    </w:r>
    <w:r w:rsidRPr="00EF1126">
      <w:rPr>
        <w:b/>
        <w:sz w:val="18"/>
        <w:szCs w:val="18"/>
      </w:rPr>
      <w:fldChar w:fldCharType="end"/>
    </w:r>
    <w:r w:rsidRPr="00EF1126">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1EB" w:rsidRPr="007C1F31" w:rsidRDefault="001431EB" w:rsidP="001C3108">
    <w:pPr>
      <w:pStyle w:val="Footer"/>
      <w:tabs>
        <w:tab w:val="right" w:pos="9638"/>
      </w:tabs>
      <w:rPr>
        <w:b/>
        <w:sz w:val="18"/>
      </w:rPr>
    </w:pPr>
    <w:r>
      <w:tab/>
    </w:r>
    <w:r w:rsidRPr="007C1F31">
      <w:rPr>
        <w:b/>
        <w:sz w:val="18"/>
      </w:rPr>
      <w:fldChar w:fldCharType="begin"/>
    </w:r>
    <w:r w:rsidRPr="007C1F31">
      <w:rPr>
        <w:b/>
        <w:sz w:val="18"/>
      </w:rPr>
      <w:instrText xml:space="preserve"> </w:instrText>
    </w:r>
    <w:r>
      <w:rPr>
        <w:b/>
        <w:sz w:val="18"/>
      </w:rPr>
      <w:instrText>PAGE</w:instrText>
    </w:r>
    <w:r w:rsidRPr="007C1F31">
      <w:rPr>
        <w:b/>
        <w:sz w:val="18"/>
      </w:rPr>
      <w:instrText xml:space="preserve">  \* MERGEFORMAT </w:instrText>
    </w:r>
    <w:r w:rsidRPr="007C1F31">
      <w:rPr>
        <w:b/>
        <w:sz w:val="18"/>
      </w:rPr>
      <w:fldChar w:fldCharType="separate"/>
    </w:r>
    <w:r w:rsidR="009B52B8">
      <w:rPr>
        <w:b/>
        <w:noProof/>
        <w:sz w:val="18"/>
      </w:rPr>
      <w:t>3</w:t>
    </w:r>
    <w:r w:rsidRPr="007C1F3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21C" w:rsidRDefault="007A021C" w:rsidP="007A021C">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7A021C" w:rsidRDefault="007A021C" w:rsidP="007A021C">
    <w:pPr>
      <w:pStyle w:val="Footer"/>
      <w:ind w:right="1134"/>
      <w:rPr>
        <w:sz w:val="20"/>
      </w:rPr>
    </w:pPr>
    <w:r>
      <w:rPr>
        <w:sz w:val="20"/>
      </w:rPr>
      <w:t>GE.16-15904(E)</w:t>
    </w:r>
  </w:p>
  <w:p w:rsidR="007A021C" w:rsidRPr="007A021C" w:rsidRDefault="007A021C" w:rsidP="007A021C">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8175" cy="638175"/>
          <wp:effectExtent l="0" t="0" r="9525" b="9525"/>
          <wp:wrapNone/>
          <wp:docPr id="1" name="Picture 1" descr="http://undocs.org/m2/QRCode.ashx?DS=CAT/C/58/D/607/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AT/C/58/D/607/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998" w:rsidRPr="000B175B" w:rsidRDefault="004C7998" w:rsidP="001C3108">
      <w:pPr>
        <w:tabs>
          <w:tab w:val="right" w:pos="2155"/>
        </w:tabs>
        <w:spacing w:after="80"/>
        <w:ind w:left="680"/>
        <w:rPr>
          <w:u w:val="single"/>
        </w:rPr>
      </w:pPr>
      <w:r>
        <w:rPr>
          <w:u w:val="single"/>
        </w:rPr>
        <w:tab/>
      </w:r>
    </w:p>
  </w:footnote>
  <w:footnote w:type="continuationSeparator" w:id="0">
    <w:p w:rsidR="004C7998" w:rsidRPr="00FC68B7" w:rsidRDefault="004C7998" w:rsidP="001C3108">
      <w:pPr>
        <w:tabs>
          <w:tab w:val="left" w:pos="2155"/>
        </w:tabs>
        <w:spacing w:after="80"/>
        <w:ind w:left="680"/>
        <w:rPr>
          <w:u w:val="single"/>
        </w:rPr>
      </w:pPr>
      <w:r>
        <w:rPr>
          <w:u w:val="single"/>
        </w:rPr>
        <w:tab/>
      </w:r>
    </w:p>
  </w:footnote>
  <w:footnote w:type="continuationNotice" w:id="1">
    <w:p w:rsidR="004C7998" w:rsidRDefault="004C7998"/>
  </w:footnote>
  <w:footnote w:id="2">
    <w:p w:rsidR="001431EB" w:rsidRPr="00757A95" w:rsidRDefault="001431EB" w:rsidP="00EE0C72">
      <w:pPr>
        <w:pStyle w:val="FootnoteText"/>
        <w:rPr>
          <w:szCs w:val="18"/>
        </w:rPr>
      </w:pPr>
      <w:r w:rsidRPr="00757A95">
        <w:rPr>
          <w:rStyle w:val="FootnoteReference"/>
          <w:sz w:val="20"/>
          <w:vertAlign w:val="baseline"/>
        </w:rPr>
        <w:tab/>
        <w:t>*</w:t>
      </w:r>
      <w:r w:rsidRPr="00757A95">
        <w:rPr>
          <w:rStyle w:val="FootnoteReference"/>
          <w:vertAlign w:val="baseline"/>
        </w:rPr>
        <w:tab/>
      </w:r>
      <w:r w:rsidRPr="00757A95">
        <w:rPr>
          <w:szCs w:val="18"/>
        </w:rPr>
        <w:t>Adopted by the Committee at its fifty-eight session (25 July-12 August 2016).</w:t>
      </w:r>
    </w:p>
  </w:footnote>
  <w:footnote w:id="3">
    <w:p w:rsidR="001431EB" w:rsidRPr="00757A95" w:rsidRDefault="001431EB" w:rsidP="00A34D18">
      <w:pPr>
        <w:pStyle w:val="FootnoteText"/>
        <w:rPr>
          <w:szCs w:val="18"/>
        </w:rPr>
      </w:pPr>
      <w:r w:rsidRPr="00757A95">
        <w:rPr>
          <w:rStyle w:val="FootnoteReference"/>
          <w:szCs w:val="18"/>
        </w:rPr>
        <w:tab/>
      </w:r>
      <w:r w:rsidRPr="00757A95">
        <w:rPr>
          <w:rStyle w:val="FootnoteReference"/>
          <w:szCs w:val="18"/>
          <w:vertAlign w:val="baseline"/>
        </w:rPr>
        <w:t>**</w:t>
      </w:r>
      <w:r w:rsidRPr="00757A95">
        <w:rPr>
          <w:rStyle w:val="FootnoteReference"/>
          <w:szCs w:val="18"/>
          <w:vertAlign w:val="baseline"/>
        </w:rPr>
        <w:tab/>
      </w:r>
      <w:r w:rsidRPr="00757A95">
        <w:rPr>
          <w:szCs w:val="18"/>
        </w:rPr>
        <w:t>The following members of the Committee participated in the consideration of the present communication: Essadia Belmir, Alessio Bruni, Felice Gaer,</w:t>
      </w:r>
      <w:r w:rsidRPr="00757A95">
        <w:rPr>
          <w:color w:val="000000"/>
          <w:szCs w:val="18"/>
          <w:lang w:eastAsia="en-GB"/>
        </w:rPr>
        <w:t xml:space="preserve"> Abdelwahab Hani, Claude Heller Rouassant, Ana Racu, and Sébastien Touzé</w:t>
      </w:r>
      <w:r w:rsidRPr="00757A95">
        <w:rPr>
          <w:szCs w:val="18"/>
        </w:rPr>
        <w:t>. In accordance with Rule 109 (1) (c) of the Committee’s rules of procedure, Jens Modvig did not take part in the examination of the communication.</w:t>
      </w:r>
    </w:p>
  </w:footnote>
  <w:footnote w:id="4">
    <w:p w:rsidR="001431EB" w:rsidRPr="00757A95" w:rsidRDefault="001431EB" w:rsidP="00A34D18">
      <w:pPr>
        <w:pStyle w:val="FootnoteText"/>
        <w:widowControl w:val="0"/>
        <w:tabs>
          <w:tab w:val="clear" w:pos="1021"/>
          <w:tab w:val="right" w:pos="1020"/>
        </w:tabs>
        <w:rPr>
          <w:szCs w:val="18"/>
        </w:rPr>
      </w:pPr>
      <w:r w:rsidRPr="00757A95">
        <w:rPr>
          <w:szCs w:val="18"/>
        </w:rPr>
        <w:tab/>
      </w:r>
      <w:r w:rsidRPr="00757A95">
        <w:rPr>
          <w:rStyle w:val="FootnoteReference"/>
          <w:szCs w:val="18"/>
        </w:rPr>
        <w:footnoteRef/>
      </w:r>
      <w:r w:rsidRPr="00757A95">
        <w:rPr>
          <w:szCs w:val="18"/>
        </w:rPr>
        <w:tab/>
        <w:t xml:space="preserve">Under section 17 (1) of the Danish Aliens Act, a residence permit lapses when an alien gives up residence in Denmark or when an alien lives outside the country for over 12 consecutive months. </w:t>
      </w:r>
    </w:p>
  </w:footnote>
  <w:footnote w:id="5">
    <w:p w:rsidR="001431EB" w:rsidRPr="00757A95" w:rsidRDefault="001431EB" w:rsidP="003E40F0">
      <w:pPr>
        <w:pStyle w:val="FootnoteText"/>
        <w:widowControl w:val="0"/>
        <w:tabs>
          <w:tab w:val="clear" w:pos="1021"/>
          <w:tab w:val="right" w:pos="1020"/>
        </w:tabs>
        <w:rPr>
          <w:szCs w:val="18"/>
        </w:rPr>
      </w:pPr>
      <w:r w:rsidRPr="00757A95">
        <w:rPr>
          <w:szCs w:val="18"/>
        </w:rPr>
        <w:tab/>
      </w:r>
      <w:r w:rsidRPr="00757A95">
        <w:rPr>
          <w:rStyle w:val="FootnoteReference"/>
          <w:szCs w:val="18"/>
        </w:rPr>
        <w:footnoteRef/>
      </w:r>
      <w:r w:rsidRPr="00757A95">
        <w:rPr>
          <w:szCs w:val="18"/>
        </w:rPr>
        <w:tab/>
        <w:t xml:space="preserve">The refugee appeals board considered that the complainant had voluntarily given up his residence in Denmark under section 17 (1) of the Danish Aliens Act, based on the fact that the author had returned his apartment to the housing association and had sold his belongings. </w:t>
      </w:r>
    </w:p>
  </w:footnote>
  <w:footnote w:id="6">
    <w:p w:rsidR="001431EB" w:rsidRPr="00757A95" w:rsidRDefault="001431EB" w:rsidP="008A6D01">
      <w:pPr>
        <w:pStyle w:val="FootnoteText"/>
        <w:widowControl w:val="0"/>
        <w:tabs>
          <w:tab w:val="clear" w:pos="1021"/>
          <w:tab w:val="right" w:pos="1020"/>
        </w:tabs>
        <w:rPr>
          <w:szCs w:val="18"/>
        </w:rPr>
      </w:pPr>
      <w:r w:rsidRPr="00757A95">
        <w:rPr>
          <w:szCs w:val="18"/>
        </w:rPr>
        <w:tab/>
      </w:r>
      <w:r w:rsidRPr="00757A95">
        <w:rPr>
          <w:rStyle w:val="FootnoteReference"/>
          <w:szCs w:val="18"/>
        </w:rPr>
        <w:footnoteRef/>
      </w:r>
      <w:r w:rsidRPr="00757A95">
        <w:rPr>
          <w:szCs w:val="18"/>
        </w:rPr>
        <w:tab/>
        <w:t xml:space="preserve">The complainant cites a decision where the RAB requested ex officio a torture medical examination of an applicant and based its decision not to deport him on the result of such examination. He notes that this was the correct procedure that should have been applied in his case.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1EB" w:rsidRPr="00757936" w:rsidRDefault="00BC4A61" w:rsidP="00757936">
    <w:pPr>
      <w:pStyle w:val="Header"/>
    </w:pPr>
    <w:r>
      <w:t>CAT</w:t>
    </w:r>
    <w:r w:rsidRPr="0031435D">
      <w:t>/C/</w:t>
    </w:r>
    <w:r>
      <w:t>58</w:t>
    </w:r>
    <w:r w:rsidRPr="0031435D">
      <w:t>/D</w:t>
    </w:r>
    <w:r>
      <w:t>/607</w:t>
    </w:r>
    <w:r w:rsidRPr="0031435D">
      <w:t>/201</w:t>
    </w:r>
    <w: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1EB" w:rsidRPr="00050C1D" w:rsidRDefault="001431EB" w:rsidP="00050C1D">
    <w:pPr>
      <w:pStyle w:val="Header"/>
      <w:jc w:val="right"/>
    </w:pPr>
    <w:r>
      <w:t>CAT</w:t>
    </w:r>
    <w:r w:rsidRPr="0031435D">
      <w:t>/C/</w:t>
    </w:r>
    <w:r>
      <w:t>58</w:t>
    </w:r>
    <w:r w:rsidRPr="0031435D">
      <w:t>/D</w:t>
    </w:r>
    <w:r>
      <w:t>/607</w:t>
    </w:r>
    <w:r w:rsidRPr="0031435D">
      <w:t>/201</w:t>
    </w:r>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41495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C49F8"/>
    <w:multiLevelType w:val="hybridMultilevel"/>
    <w:tmpl w:val="57E679C2"/>
    <w:lvl w:ilvl="0" w:tplc="075A6416">
      <w:start w:val="1"/>
      <w:numFmt w:val="decimal"/>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A4C77"/>
    <w:multiLevelType w:val="multilevel"/>
    <w:tmpl w:val="7E0298D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48758B1"/>
    <w:multiLevelType w:val="hybridMultilevel"/>
    <w:tmpl w:val="1AA45662"/>
    <w:lvl w:ilvl="0" w:tplc="EE328C9A">
      <w:start w:val="3"/>
      <w:numFmt w:val="decimal"/>
      <w:lvlText w:val="3.%1"/>
      <w:lvlJc w:val="left"/>
      <w:pPr>
        <w:tabs>
          <w:tab w:val="num" w:pos="0"/>
        </w:tabs>
        <w:ind w:left="1134" w:firstLine="0"/>
      </w:pPr>
      <w:rPr>
        <w:rFonts w:ascii="Times New Roman" w:hAnsi="Times New Roman" w:cs="Times New Roman" w:hint="default"/>
        <w:b w:val="0"/>
        <w:bCs w:val="0"/>
        <w:i w:val="0"/>
        <w:iCs w:val="0"/>
        <w:caps w:val="0"/>
        <w:strike w:val="0"/>
        <w:dstrike w:val="0"/>
        <w:vanish w:val="0"/>
        <w:color w:val="auto"/>
        <w:sz w:val="20"/>
        <w:szCs w:val="20"/>
        <w:u w:val="none"/>
        <w:vertAlign w:val="baseline"/>
      </w:rPr>
    </w:lvl>
    <w:lvl w:ilvl="1" w:tplc="04090019" w:tentative="1">
      <w:start w:val="1"/>
      <w:numFmt w:val="lowerLetter"/>
      <w:lvlText w:val="%2."/>
      <w:lvlJc w:val="left"/>
      <w:pPr>
        <w:tabs>
          <w:tab w:val="num" w:pos="1440"/>
        </w:tabs>
        <w:ind w:left="1440" w:hanging="360"/>
      </w:pPr>
    </w:lvl>
    <w:lvl w:ilvl="2" w:tplc="72083A22">
      <w:start w:val="3"/>
      <w:numFmt w:val="decimal"/>
      <w:lvlText w:val="3.%3"/>
      <w:lvlJc w:val="left"/>
      <w:pPr>
        <w:tabs>
          <w:tab w:val="num" w:pos="0"/>
        </w:tabs>
        <w:ind w:left="1134" w:firstLine="0"/>
      </w:pPr>
      <w:rPr>
        <w:rFonts w:ascii="Times New Roman" w:hAnsi="Times New Roman" w:cs="Times New Roman" w:hint="default"/>
        <w:b w:val="0"/>
        <w:bCs w:val="0"/>
        <w:i w:val="0"/>
        <w:iCs w:val="0"/>
        <w:caps w:val="0"/>
        <w:strike w:val="0"/>
        <w:dstrike w:val="0"/>
        <w:vanish w:val="0"/>
        <w:color w:val="auto"/>
        <w:sz w:val="20"/>
        <w:szCs w:val="20"/>
        <w:u w:val="none"/>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0A168E"/>
    <w:multiLevelType w:val="multilevel"/>
    <w:tmpl w:val="8CFAC89A"/>
    <w:lvl w:ilvl="0">
      <w:start w:val="3"/>
      <w:numFmt w:val="decimal"/>
      <w:lvlText w:val="3.%1"/>
      <w:lvlJc w:val="left"/>
      <w:pPr>
        <w:tabs>
          <w:tab w:val="num" w:pos="0"/>
        </w:tabs>
        <w:ind w:left="1134" w:firstLine="0"/>
      </w:pPr>
      <w:rPr>
        <w:rFonts w:ascii="Times New Roman" w:hAnsi="Times New Roman" w:cs="Times New Roman" w:hint="default"/>
        <w:b w:val="0"/>
        <w:bCs w:val="0"/>
        <w:i w:val="0"/>
        <w:iCs w:val="0"/>
        <w:caps w:val="0"/>
        <w:strike w:val="0"/>
        <w:dstrike w:val="0"/>
        <w:vanish w:val="0"/>
        <w:color w:val="auto"/>
        <w:sz w:val="20"/>
        <w:szCs w:val="20"/>
        <w:u w:val="none"/>
        <w:vertAlign w:val="baseline"/>
      </w:rPr>
    </w:lvl>
    <w:lvl w:ilvl="1">
      <w:start w:val="1"/>
      <w:numFmt w:val="lowerLetter"/>
      <w:lvlText w:val="%2."/>
      <w:lvlJc w:val="left"/>
      <w:pPr>
        <w:tabs>
          <w:tab w:val="num" w:pos="1440"/>
        </w:tabs>
        <w:ind w:left="1440" w:hanging="360"/>
      </w:pPr>
    </w:lvl>
    <w:lvl w:ilvl="2">
      <w:start w:val="3"/>
      <w:numFmt w:val="decimal"/>
      <w:lvlText w:val="3.%3"/>
      <w:lvlJc w:val="left"/>
      <w:pPr>
        <w:tabs>
          <w:tab w:val="num" w:pos="846"/>
        </w:tabs>
        <w:ind w:left="1980" w:firstLine="0"/>
      </w:pPr>
      <w:rPr>
        <w:rFonts w:ascii="Times New Roman" w:hAnsi="Times New Roman" w:cs="Times New Roman" w:hint="default"/>
        <w:b w:val="0"/>
        <w:bCs w:val="0"/>
        <w:i w:val="0"/>
        <w:iCs w:val="0"/>
        <w:caps w:val="0"/>
        <w:strike w:val="0"/>
        <w:dstrike w:val="0"/>
        <w:vanish w:val="0"/>
        <w:color w:val="auto"/>
        <w:sz w:val="20"/>
        <w:szCs w:val="20"/>
        <w:u w:val="none"/>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DA96A0A"/>
    <w:multiLevelType w:val="multilevel"/>
    <w:tmpl w:val="23F48C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59A1C03"/>
    <w:multiLevelType w:val="multilevel"/>
    <w:tmpl w:val="9C225246"/>
    <w:lvl w:ilvl="0">
      <w:start w:val="3"/>
      <w:numFmt w:val="decimal"/>
      <w:lvlText w:val="3.%1"/>
      <w:lvlJc w:val="left"/>
      <w:pPr>
        <w:tabs>
          <w:tab w:val="num" w:pos="0"/>
        </w:tabs>
        <w:ind w:left="1134" w:firstLine="0"/>
      </w:pPr>
      <w:rPr>
        <w:rFonts w:ascii="Times New Roman" w:hAnsi="Times New Roman" w:cs="Times New Roman" w:hint="default"/>
        <w:b w:val="0"/>
        <w:bCs w:val="0"/>
        <w:i w:val="0"/>
        <w:iCs w:val="0"/>
        <w:caps w:val="0"/>
        <w:strike w:val="0"/>
        <w:dstrike w:val="0"/>
        <w:vanish w:val="0"/>
        <w:color w:val="auto"/>
        <w:sz w:val="20"/>
        <w:szCs w:val="20"/>
        <w:u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3"/>
  </w:num>
  <w:num w:numId="4">
    <w:abstractNumId w:val="4"/>
  </w:num>
  <w:num w:numId="5">
    <w:abstractNumId w:val="7"/>
  </w:num>
  <w:num w:numId="6">
    <w:abstractNumId w:val="5"/>
  </w:num>
  <w:num w:numId="7">
    <w:abstractNumId w:val="1"/>
  </w:num>
  <w:num w:numId="8">
    <w:abstractNumId w:val="6"/>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s-E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31"/>
    <w:rsid w:val="000019A6"/>
    <w:rsid w:val="00007253"/>
    <w:rsid w:val="00007CB9"/>
    <w:rsid w:val="00016E21"/>
    <w:rsid w:val="0003230C"/>
    <w:rsid w:val="00036888"/>
    <w:rsid w:val="0004559C"/>
    <w:rsid w:val="00046361"/>
    <w:rsid w:val="00050C1D"/>
    <w:rsid w:val="00055926"/>
    <w:rsid w:val="000572B3"/>
    <w:rsid w:val="000619DB"/>
    <w:rsid w:val="00063385"/>
    <w:rsid w:val="00070911"/>
    <w:rsid w:val="00073CAF"/>
    <w:rsid w:val="000740BC"/>
    <w:rsid w:val="00074DEC"/>
    <w:rsid w:val="00081EE8"/>
    <w:rsid w:val="000829B4"/>
    <w:rsid w:val="00091EF5"/>
    <w:rsid w:val="00096EBB"/>
    <w:rsid w:val="00097123"/>
    <w:rsid w:val="000A0ADD"/>
    <w:rsid w:val="000A2AAF"/>
    <w:rsid w:val="000B6F9E"/>
    <w:rsid w:val="000B75D1"/>
    <w:rsid w:val="000C27AF"/>
    <w:rsid w:val="000C41B0"/>
    <w:rsid w:val="000C4E16"/>
    <w:rsid w:val="000D08F2"/>
    <w:rsid w:val="000E1B7A"/>
    <w:rsid w:val="000E24CD"/>
    <w:rsid w:val="000E2A54"/>
    <w:rsid w:val="000E2CE5"/>
    <w:rsid w:val="000E4446"/>
    <w:rsid w:val="000F6C63"/>
    <w:rsid w:val="00105BF7"/>
    <w:rsid w:val="0011378D"/>
    <w:rsid w:val="0011696F"/>
    <w:rsid w:val="00123339"/>
    <w:rsid w:val="001239B6"/>
    <w:rsid w:val="00123BA5"/>
    <w:rsid w:val="00126586"/>
    <w:rsid w:val="00127888"/>
    <w:rsid w:val="00127E63"/>
    <w:rsid w:val="001431EB"/>
    <w:rsid w:val="001455D7"/>
    <w:rsid w:val="0014711F"/>
    <w:rsid w:val="00151FCE"/>
    <w:rsid w:val="0015263E"/>
    <w:rsid w:val="00153FD2"/>
    <w:rsid w:val="00160707"/>
    <w:rsid w:val="00165C28"/>
    <w:rsid w:val="0016787C"/>
    <w:rsid w:val="00177BD6"/>
    <w:rsid w:val="00181811"/>
    <w:rsid w:val="0018462B"/>
    <w:rsid w:val="00184EBF"/>
    <w:rsid w:val="0018720C"/>
    <w:rsid w:val="00187B91"/>
    <w:rsid w:val="001A336D"/>
    <w:rsid w:val="001A5D47"/>
    <w:rsid w:val="001B3C53"/>
    <w:rsid w:val="001B5C07"/>
    <w:rsid w:val="001C3108"/>
    <w:rsid w:val="001D5E04"/>
    <w:rsid w:val="001E2BB9"/>
    <w:rsid w:val="001E486C"/>
    <w:rsid w:val="001F6695"/>
    <w:rsid w:val="00203EE8"/>
    <w:rsid w:val="002057A4"/>
    <w:rsid w:val="00215D3E"/>
    <w:rsid w:val="00222D1D"/>
    <w:rsid w:val="002330B3"/>
    <w:rsid w:val="002432AB"/>
    <w:rsid w:val="00245B05"/>
    <w:rsid w:val="00245B2B"/>
    <w:rsid w:val="00246494"/>
    <w:rsid w:val="00246D14"/>
    <w:rsid w:val="002510C4"/>
    <w:rsid w:val="00263475"/>
    <w:rsid w:val="00265BA8"/>
    <w:rsid w:val="00270CD2"/>
    <w:rsid w:val="00282A15"/>
    <w:rsid w:val="00282A20"/>
    <w:rsid w:val="002958A5"/>
    <w:rsid w:val="002A0F25"/>
    <w:rsid w:val="002A3522"/>
    <w:rsid w:val="002B4048"/>
    <w:rsid w:val="002B79DF"/>
    <w:rsid w:val="002B7DB5"/>
    <w:rsid w:val="002C0BB7"/>
    <w:rsid w:val="002D42A1"/>
    <w:rsid w:val="002D5B2B"/>
    <w:rsid w:val="002E1682"/>
    <w:rsid w:val="002E2265"/>
    <w:rsid w:val="002E3057"/>
    <w:rsid w:val="002E5352"/>
    <w:rsid w:val="002E6334"/>
    <w:rsid w:val="002F176D"/>
    <w:rsid w:val="002F3256"/>
    <w:rsid w:val="00301F42"/>
    <w:rsid w:val="00303C62"/>
    <w:rsid w:val="003078C5"/>
    <w:rsid w:val="00310B6D"/>
    <w:rsid w:val="00312421"/>
    <w:rsid w:val="003167C5"/>
    <w:rsid w:val="0032226B"/>
    <w:rsid w:val="00327D1B"/>
    <w:rsid w:val="00333B7E"/>
    <w:rsid w:val="003465C0"/>
    <w:rsid w:val="00351580"/>
    <w:rsid w:val="003515C5"/>
    <w:rsid w:val="003634B8"/>
    <w:rsid w:val="00365010"/>
    <w:rsid w:val="0037557E"/>
    <w:rsid w:val="003756CC"/>
    <w:rsid w:val="0037582B"/>
    <w:rsid w:val="00382D1D"/>
    <w:rsid w:val="0039079A"/>
    <w:rsid w:val="0039607A"/>
    <w:rsid w:val="003975F2"/>
    <w:rsid w:val="003A7B27"/>
    <w:rsid w:val="003B0BF6"/>
    <w:rsid w:val="003B4A49"/>
    <w:rsid w:val="003C4D91"/>
    <w:rsid w:val="003C6964"/>
    <w:rsid w:val="003D4ABE"/>
    <w:rsid w:val="003D4ACA"/>
    <w:rsid w:val="003D5FD0"/>
    <w:rsid w:val="003E40F0"/>
    <w:rsid w:val="003E7959"/>
    <w:rsid w:val="003F5AA9"/>
    <w:rsid w:val="003F5C17"/>
    <w:rsid w:val="0040022B"/>
    <w:rsid w:val="004015C2"/>
    <w:rsid w:val="004060D6"/>
    <w:rsid w:val="00406CC5"/>
    <w:rsid w:val="00407E3A"/>
    <w:rsid w:val="00415250"/>
    <w:rsid w:val="00415837"/>
    <w:rsid w:val="004210ED"/>
    <w:rsid w:val="004216D7"/>
    <w:rsid w:val="004217CB"/>
    <w:rsid w:val="00423058"/>
    <w:rsid w:val="0043200B"/>
    <w:rsid w:val="00434656"/>
    <w:rsid w:val="004358E9"/>
    <w:rsid w:val="00454D49"/>
    <w:rsid w:val="00455D77"/>
    <w:rsid w:val="00467595"/>
    <w:rsid w:val="00470595"/>
    <w:rsid w:val="00473F6C"/>
    <w:rsid w:val="00474EA8"/>
    <w:rsid w:val="00475DCD"/>
    <w:rsid w:val="00483714"/>
    <w:rsid w:val="00485E03"/>
    <w:rsid w:val="0049560C"/>
    <w:rsid w:val="004A57AD"/>
    <w:rsid w:val="004A618D"/>
    <w:rsid w:val="004A6C58"/>
    <w:rsid w:val="004C3D15"/>
    <w:rsid w:val="004C59AD"/>
    <w:rsid w:val="004C5DE6"/>
    <w:rsid w:val="004C7998"/>
    <w:rsid w:val="004E6FDB"/>
    <w:rsid w:val="004E7FB8"/>
    <w:rsid w:val="004F03ED"/>
    <w:rsid w:val="004F4F8F"/>
    <w:rsid w:val="004F6A1F"/>
    <w:rsid w:val="00502FE1"/>
    <w:rsid w:val="005036AD"/>
    <w:rsid w:val="00507A41"/>
    <w:rsid w:val="00513B16"/>
    <w:rsid w:val="0051462A"/>
    <w:rsid w:val="005252D0"/>
    <w:rsid w:val="0052568B"/>
    <w:rsid w:val="00536E04"/>
    <w:rsid w:val="00545A35"/>
    <w:rsid w:val="005464F4"/>
    <w:rsid w:val="00551470"/>
    <w:rsid w:val="00560575"/>
    <w:rsid w:val="00572F14"/>
    <w:rsid w:val="005747E1"/>
    <w:rsid w:val="005759D8"/>
    <w:rsid w:val="00581CDC"/>
    <w:rsid w:val="00586580"/>
    <w:rsid w:val="005935B6"/>
    <w:rsid w:val="005951E9"/>
    <w:rsid w:val="005B33CA"/>
    <w:rsid w:val="005C0D7D"/>
    <w:rsid w:val="005C114B"/>
    <w:rsid w:val="005C5898"/>
    <w:rsid w:val="005C5A52"/>
    <w:rsid w:val="005D5F7C"/>
    <w:rsid w:val="005D6C31"/>
    <w:rsid w:val="005E5DC7"/>
    <w:rsid w:val="005E7DD6"/>
    <w:rsid w:val="005F2D25"/>
    <w:rsid w:val="005F6F0C"/>
    <w:rsid w:val="006004F2"/>
    <w:rsid w:val="006020B7"/>
    <w:rsid w:val="00607311"/>
    <w:rsid w:val="0061236C"/>
    <w:rsid w:val="006130D0"/>
    <w:rsid w:val="0061421F"/>
    <w:rsid w:val="006169F5"/>
    <w:rsid w:val="00617132"/>
    <w:rsid w:val="006178CE"/>
    <w:rsid w:val="00617A73"/>
    <w:rsid w:val="00624311"/>
    <w:rsid w:val="006271A0"/>
    <w:rsid w:val="00632C7C"/>
    <w:rsid w:val="006336AA"/>
    <w:rsid w:val="00634869"/>
    <w:rsid w:val="00640D60"/>
    <w:rsid w:val="00641D5A"/>
    <w:rsid w:val="006465CE"/>
    <w:rsid w:val="00646E2F"/>
    <w:rsid w:val="00654441"/>
    <w:rsid w:val="0065753C"/>
    <w:rsid w:val="0066711E"/>
    <w:rsid w:val="006928DD"/>
    <w:rsid w:val="00693F21"/>
    <w:rsid w:val="00695C18"/>
    <w:rsid w:val="006A21A5"/>
    <w:rsid w:val="006A241A"/>
    <w:rsid w:val="006B573B"/>
    <w:rsid w:val="006C016B"/>
    <w:rsid w:val="006C15F8"/>
    <w:rsid w:val="006D08E0"/>
    <w:rsid w:val="006E0D90"/>
    <w:rsid w:val="006E7836"/>
    <w:rsid w:val="006F4F78"/>
    <w:rsid w:val="006F6832"/>
    <w:rsid w:val="00702224"/>
    <w:rsid w:val="00702FAB"/>
    <w:rsid w:val="00704575"/>
    <w:rsid w:val="007049A0"/>
    <w:rsid w:val="00713A8C"/>
    <w:rsid w:val="0071550E"/>
    <w:rsid w:val="00717B8B"/>
    <w:rsid w:val="0072213B"/>
    <w:rsid w:val="0072262B"/>
    <w:rsid w:val="007233B0"/>
    <w:rsid w:val="0072590A"/>
    <w:rsid w:val="0073078F"/>
    <w:rsid w:val="007376BD"/>
    <w:rsid w:val="007449B0"/>
    <w:rsid w:val="007467B0"/>
    <w:rsid w:val="00757860"/>
    <w:rsid w:val="00757936"/>
    <w:rsid w:val="00757A95"/>
    <w:rsid w:val="00765DA7"/>
    <w:rsid w:val="0077538A"/>
    <w:rsid w:val="007831B8"/>
    <w:rsid w:val="00783C0A"/>
    <w:rsid w:val="00791065"/>
    <w:rsid w:val="00795915"/>
    <w:rsid w:val="007A021C"/>
    <w:rsid w:val="007A118D"/>
    <w:rsid w:val="007A49AC"/>
    <w:rsid w:val="007C0F8E"/>
    <w:rsid w:val="007C1E52"/>
    <w:rsid w:val="007C1F31"/>
    <w:rsid w:val="007C37C2"/>
    <w:rsid w:val="007D547C"/>
    <w:rsid w:val="007D7A04"/>
    <w:rsid w:val="007E2616"/>
    <w:rsid w:val="007F15FF"/>
    <w:rsid w:val="007F2856"/>
    <w:rsid w:val="007F6D5D"/>
    <w:rsid w:val="00811572"/>
    <w:rsid w:val="008132DE"/>
    <w:rsid w:val="0082310B"/>
    <w:rsid w:val="00830C5B"/>
    <w:rsid w:val="008320D6"/>
    <w:rsid w:val="00836852"/>
    <w:rsid w:val="00840F58"/>
    <w:rsid w:val="00841168"/>
    <w:rsid w:val="00844357"/>
    <w:rsid w:val="00847AF3"/>
    <w:rsid w:val="008571DD"/>
    <w:rsid w:val="0086764D"/>
    <w:rsid w:val="00884789"/>
    <w:rsid w:val="00884B04"/>
    <w:rsid w:val="0088573E"/>
    <w:rsid w:val="008939BA"/>
    <w:rsid w:val="00893DA9"/>
    <w:rsid w:val="00894DBD"/>
    <w:rsid w:val="008A6D01"/>
    <w:rsid w:val="008A7E0B"/>
    <w:rsid w:val="008B6B7A"/>
    <w:rsid w:val="008C2CA3"/>
    <w:rsid w:val="008C3B78"/>
    <w:rsid w:val="008C51A7"/>
    <w:rsid w:val="008E26C5"/>
    <w:rsid w:val="008E2CC9"/>
    <w:rsid w:val="008E2EAD"/>
    <w:rsid w:val="008E2F87"/>
    <w:rsid w:val="00904DFE"/>
    <w:rsid w:val="009064A2"/>
    <w:rsid w:val="00906F91"/>
    <w:rsid w:val="009118B2"/>
    <w:rsid w:val="00911991"/>
    <w:rsid w:val="00911AEA"/>
    <w:rsid w:val="009152F6"/>
    <w:rsid w:val="00921652"/>
    <w:rsid w:val="00924610"/>
    <w:rsid w:val="00924AE2"/>
    <w:rsid w:val="009279B6"/>
    <w:rsid w:val="0093308A"/>
    <w:rsid w:val="00941F17"/>
    <w:rsid w:val="009473C7"/>
    <w:rsid w:val="00951071"/>
    <w:rsid w:val="00961C7D"/>
    <w:rsid w:val="00972DBE"/>
    <w:rsid w:val="00976775"/>
    <w:rsid w:val="00991939"/>
    <w:rsid w:val="009955F6"/>
    <w:rsid w:val="009A5089"/>
    <w:rsid w:val="009A6901"/>
    <w:rsid w:val="009B4F6E"/>
    <w:rsid w:val="009B519E"/>
    <w:rsid w:val="009B52B8"/>
    <w:rsid w:val="009B730A"/>
    <w:rsid w:val="009C0902"/>
    <w:rsid w:val="009C0CA7"/>
    <w:rsid w:val="009C14A8"/>
    <w:rsid w:val="009C2F7D"/>
    <w:rsid w:val="009D0D6D"/>
    <w:rsid w:val="009D6836"/>
    <w:rsid w:val="009E0B43"/>
    <w:rsid w:val="009E7307"/>
    <w:rsid w:val="009F1469"/>
    <w:rsid w:val="009F24C0"/>
    <w:rsid w:val="009F2E95"/>
    <w:rsid w:val="009F4471"/>
    <w:rsid w:val="009F50BD"/>
    <w:rsid w:val="009F7450"/>
    <w:rsid w:val="00A047B6"/>
    <w:rsid w:val="00A04C4D"/>
    <w:rsid w:val="00A11E52"/>
    <w:rsid w:val="00A15110"/>
    <w:rsid w:val="00A26220"/>
    <w:rsid w:val="00A349A8"/>
    <w:rsid w:val="00A34D18"/>
    <w:rsid w:val="00A36FA8"/>
    <w:rsid w:val="00A51B50"/>
    <w:rsid w:val="00A5208F"/>
    <w:rsid w:val="00A53605"/>
    <w:rsid w:val="00A546C9"/>
    <w:rsid w:val="00A54906"/>
    <w:rsid w:val="00A62AAC"/>
    <w:rsid w:val="00A640C5"/>
    <w:rsid w:val="00A8312F"/>
    <w:rsid w:val="00A83157"/>
    <w:rsid w:val="00A94A3D"/>
    <w:rsid w:val="00A96F03"/>
    <w:rsid w:val="00AA3F52"/>
    <w:rsid w:val="00AB16C8"/>
    <w:rsid w:val="00AC2017"/>
    <w:rsid w:val="00AC4DA0"/>
    <w:rsid w:val="00AD2F62"/>
    <w:rsid w:val="00AF3B37"/>
    <w:rsid w:val="00AF3CF8"/>
    <w:rsid w:val="00AF70BE"/>
    <w:rsid w:val="00B1272B"/>
    <w:rsid w:val="00B16BC5"/>
    <w:rsid w:val="00B20889"/>
    <w:rsid w:val="00B24CF9"/>
    <w:rsid w:val="00B429A3"/>
    <w:rsid w:val="00B4359D"/>
    <w:rsid w:val="00B57280"/>
    <w:rsid w:val="00B62DED"/>
    <w:rsid w:val="00B6451F"/>
    <w:rsid w:val="00B645C4"/>
    <w:rsid w:val="00B678D7"/>
    <w:rsid w:val="00B71333"/>
    <w:rsid w:val="00B75EBB"/>
    <w:rsid w:val="00B77062"/>
    <w:rsid w:val="00B777A9"/>
    <w:rsid w:val="00B81E97"/>
    <w:rsid w:val="00B84649"/>
    <w:rsid w:val="00BB3D4D"/>
    <w:rsid w:val="00BB4F98"/>
    <w:rsid w:val="00BB713D"/>
    <w:rsid w:val="00BC17EF"/>
    <w:rsid w:val="00BC411F"/>
    <w:rsid w:val="00BC4A61"/>
    <w:rsid w:val="00BD07A1"/>
    <w:rsid w:val="00BD3CF9"/>
    <w:rsid w:val="00BD4716"/>
    <w:rsid w:val="00BE2FBA"/>
    <w:rsid w:val="00BE5450"/>
    <w:rsid w:val="00BE5B90"/>
    <w:rsid w:val="00BE7A80"/>
    <w:rsid w:val="00C02187"/>
    <w:rsid w:val="00C1094B"/>
    <w:rsid w:val="00C114B7"/>
    <w:rsid w:val="00C117C8"/>
    <w:rsid w:val="00C157EF"/>
    <w:rsid w:val="00C225FC"/>
    <w:rsid w:val="00C259C0"/>
    <w:rsid w:val="00C2765D"/>
    <w:rsid w:val="00C35F0C"/>
    <w:rsid w:val="00C367B2"/>
    <w:rsid w:val="00C37CB2"/>
    <w:rsid w:val="00C4015B"/>
    <w:rsid w:val="00C4226E"/>
    <w:rsid w:val="00C46622"/>
    <w:rsid w:val="00C55414"/>
    <w:rsid w:val="00C61C41"/>
    <w:rsid w:val="00C66DE1"/>
    <w:rsid w:val="00C7178F"/>
    <w:rsid w:val="00C7534B"/>
    <w:rsid w:val="00C75E09"/>
    <w:rsid w:val="00C7699E"/>
    <w:rsid w:val="00C836D7"/>
    <w:rsid w:val="00C83E1F"/>
    <w:rsid w:val="00C83F63"/>
    <w:rsid w:val="00C91C8B"/>
    <w:rsid w:val="00C95E33"/>
    <w:rsid w:val="00CA163A"/>
    <w:rsid w:val="00CA27A4"/>
    <w:rsid w:val="00CA3766"/>
    <w:rsid w:val="00CA5B0C"/>
    <w:rsid w:val="00CB51DE"/>
    <w:rsid w:val="00CC015C"/>
    <w:rsid w:val="00CC0A36"/>
    <w:rsid w:val="00CC1FE6"/>
    <w:rsid w:val="00CC5578"/>
    <w:rsid w:val="00CD3C23"/>
    <w:rsid w:val="00CD7313"/>
    <w:rsid w:val="00CD7688"/>
    <w:rsid w:val="00CE21B1"/>
    <w:rsid w:val="00CE4B76"/>
    <w:rsid w:val="00CF19BE"/>
    <w:rsid w:val="00CF5EAE"/>
    <w:rsid w:val="00D04806"/>
    <w:rsid w:val="00D05F2C"/>
    <w:rsid w:val="00D12F50"/>
    <w:rsid w:val="00D241F9"/>
    <w:rsid w:val="00D25BAD"/>
    <w:rsid w:val="00D26484"/>
    <w:rsid w:val="00D2733A"/>
    <w:rsid w:val="00D32D14"/>
    <w:rsid w:val="00D37EC8"/>
    <w:rsid w:val="00D424DF"/>
    <w:rsid w:val="00D60AE2"/>
    <w:rsid w:val="00D70F22"/>
    <w:rsid w:val="00D73EFF"/>
    <w:rsid w:val="00D7667F"/>
    <w:rsid w:val="00D84C97"/>
    <w:rsid w:val="00D84E97"/>
    <w:rsid w:val="00D91BC9"/>
    <w:rsid w:val="00DA1196"/>
    <w:rsid w:val="00DA5659"/>
    <w:rsid w:val="00DA5CA7"/>
    <w:rsid w:val="00DA6BE6"/>
    <w:rsid w:val="00DA6D0E"/>
    <w:rsid w:val="00DB306A"/>
    <w:rsid w:val="00DB5A6F"/>
    <w:rsid w:val="00DB6592"/>
    <w:rsid w:val="00DD18CE"/>
    <w:rsid w:val="00DD27BF"/>
    <w:rsid w:val="00DD6AC5"/>
    <w:rsid w:val="00DF108C"/>
    <w:rsid w:val="00E0506C"/>
    <w:rsid w:val="00E07ED7"/>
    <w:rsid w:val="00E15E6B"/>
    <w:rsid w:val="00E22499"/>
    <w:rsid w:val="00E249D1"/>
    <w:rsid w:val="00E343AD"/>
    <w:rsid w:val="00E439B9"/>
    <w:rsid w:val="00E44CC7"/>
    <w:rsid w:val="00E45AE1"/>
    <w:rsid w:val="00E46E31"/>
    <w:rsid w:val="00E50BE2"/>
    <w:rsid w:val="00E55D8C"/>
    <w:rsid w:val="00E64F7F"/>
    <w:rsid w:val="00E65A16"/>
    <w:rsid w:val="00E7145A"/>
    <w:rsid w:val="00E776DC"/>
    <w:rsid w:val="00E805A3"/>
    <w:rsid w:val="00E81BEA"/>
    <w:rsid w:val="00E90DCB"/>
    <w:rsid w:val="00E91F0B"/>
    <w:rsid w:val="00E957A9"/>
    <w:rsid w:val="00EA5F5C"/>
    <w:rsid w:val="00EB3A7C"/>
    <w:rsid w:val="00EB4BD9"/>
    <w:rsid w:val="00ED7450"/>
    <w:rsid w:val="00EE0C72"/>
    <w:rsid w:val="00EE457B"/>
    <w:rsid w:val="00EF280A"/>
    <w:rsid w:val="00EF612C"/>
    <w:rsid w:val="00EF6224"/>
    <w:rsid w:val="00EF6624"/>
    <w:rsid w:val="00F00C18"/>
    <w:rsid w:val="00F02E59"/>
    <w:rsid w:val="00F12BE7"/>
    <w:rsid w:val="00F222BD"/>
    <w:rsid w:val="00F240D8"/>
    <w:rsid w:val="00F24BE3"/>
    <w:rsid w:val="00F252FB"/>
    <w:rsid w:val="00F31655"/>
    <w:rsid w:val="00F40CAF"/>
    <w:rsid w:val="00F4327F"/>
    <w:rsid w:val="00F477B8"/>
    <w:rsid w:val="00F55D7B"/>
    <w:rsid w:val="00F62F02"/>
    <w:rsid w:val="00F64576"/>
    <w:rsid w:val="00F6745C"/>
    <w:rsid w:val="00F67672"/>
    <w:rsid w:val="00F677D5"/>
    <w:rsid w:val="00F721CC"/>
    <w:rsid w:val="00F72A3C"/>
    <w:rsid w:val="00F768AE"/>
    <w:rsid w:val="00F82643"/>
    <w:rsid w:val="00F85AD2"/>
    <w:rsid w:val="00F949CE"/>
    <w:rsid w:val="00F951F2"/>
    <w:rsid w:val="00FA1BB3"/>
    <w:rsid w:val="00FB2D52"/>
    <w:rsid w:val="00FB5CF4"/>
    <w:rsid w:val="00FC1113"/>
    <w:rsid w:val="00FC468D"/>
    <w:rsid w:val="00FD1CAB"/>
    <w:rsid w:val="00FD7C1A"/>
    <w:rsid w:val="00FE3DE2"/>
    <w:rsid w:val="00FF0C32"/>
    <w:rsid w:val="00FF3B74"/>
    <w:rsid w:val="00FF64D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E03EDFD-B885-48FC-B3CD-3ABB0403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03228"/>
    <w:pPr>
      <w:spacing w:after="120"/>
      <w:ind w:left="1134" w:right="1134"/>
      <w:jc w:val="both"/>
    </w:pPr>
    <w:rPr>
      <w:lang w:val="x-none"/>
    </w:r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F12BE7"/>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F12BE7"/>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alloonText">
    <w:name w:val="Balloon Text"/>
    <w:basedOn w:val="Normal"/>
    <w:semiHidden/>
    <w:rsid w:val="00A75AB7"/>
    <w:rPr>
      <w:rFonts w:ascii="Tahoma" w:hAnsi="Tahoma" w:cs="Tahoma"/>
      <w:sz w:val="16"/>
      <w:szCs w:val="16"/>
    </w:rPr>
  </w:style>
  <w:style w:type="character" w:customStyle="1" w:styleId="SingleTxtGChar">
    <w:name w:val="_ Single Txt_G Char"/>
    <w:link w:val="SingleTxtG"/>
    <w:rsid w:val="00A6498B"/>
    <w:rPr>
      <w:lang w:eastAsia="en-US"/>
    </w:rPr>
  </w:style>
  <w:style w:type="character" w:customStyle="1" w:styleId="FootnoteTextChar">
    <w:name w:val="Footnote Text Char"/>
    <w:aliases w:val="5_G Char"/>
    <w:link w:val="FootnoteText"/>
    <w:rsid w:val="00A6498B"/>
    <w:rPr>
      <w:rFonts w:eastAsia="SimSun"/>
      <w:sz w:val="18"/>
      <w:lang w:eastAsia="zh-CN"/>
    </w:rPr>
  </w:style>
  <w:style w:type="paragraph" w:customStyle="1" w:styleId="Default">
    <w:name w:val="Default"/>
    <w:rsid w:val="00A772FD"/>
    <w:pPr>
      <w:autoSpaceDE w:val="0"/>
      <w:autoSpaceDN w:val="0"/>
      <w:adjustRightInd w:val="0"/>
    </w:pPr>
    <w:rPr>
      <w:color w:val="000000"/>
      <w:sz w:val="24"/>
      <w:szCs w:val="24"/>
    </w:rPr>
  </w:style>
  <w:style w:type="paragraph" w:customStyle="1" w:styleId="ParaNoG">
    <w:name w:val="_ParaNo._G"/>
    <w:basedOn w:val="SingleTxtG"/>
    <w:rsid w:val="00D03FA1"/>
  </w:style>
  <w:style w:type="character" w:styleId="CommentReference">
    <w:name w:val="annotation reference"/>
    <w:rsid w:val="00750E7B"/>
    <w:rPr>
      <w:sz w:val="16"/>
      <w:szCs w:val="16"/>
    </w:rPr>
  </w:style>
  <w:style w:type="paragraph" w:styleId="CommentText">
    <w:name w:val="annotation text"/>
    <w:basedOn w:val="Normal"/>
    <w:link w:val="CommentTextChar"/>
    <w:rsid w:val="00750E7B"/>
  </w:style>
  <w:style w:type="character" w:customStyle="1" w:styleId="CommentTextChar">
    <w:name w:val="Comment Text Char"/>
    <w:link w:val="CommentText"/>
    <w:rsid w:val="00750E7B"/>
    <w:rPr>
      <w:lang w:val="en-GB" w:eastAsia="en-US"/>
    </w:rPr>
  </w:style>
  <w:style w:type="paragraph" w:styleId="CommentSubject">
    <w:name w:val="annotation subject"/>
    <w:basedOn w:val="CommentText"/>
    <w:next w:val="CommentText"/>
    <w:link w:val="CommentSubjectChar"/>
    <w:rsid w:val="00750E7B"/>
    <w:rPr>
      <w:b/>
      <w:bCs/>
    </w:rPr>
  </w:style>
  <w:style w:type="character" w:customStyle="1" w:styleId="CommentSubjectChar">
    <w:name w:val="Comment Subject Char"/>
    <w:link w:val="CommentSubject"/>
    <w:rsid w:val="00750E7B"/>
    <w:rPr>
      <w:b/>
      <w:bCs/>
      <w:lang w:val="en-GB" w:eastAsia="en-US"/>
    </w:rPr>
  </w:style>
  <w:style w:type="paragraph" w:customStyle="1" w:styleId="parrafo1">
    <w:name w:val="parrafo1"/>
    <w:basedOn w:val="Normal"/>
    <w:rsid w:val="00FE178B"/>
    <w:pPr>
      <w:suppressAutoHyphens w:val="0"/>
      <w:spacing w:before="180" w:after="180" w:line="240" w:lineRule="auto"/>
      <w:ind w:firstLine="360"/>
      <w:jc w:val="both"/>
    </w:pPr>
    <w:rPr>
      <w:sz w:val="24"/>
      <w:szCs w:val="24"/>
      <w:lang w:eastAsia="en-GB"/>
    </w:rPr>
  </w:style>
  <w:style w:type="character" w:customStyle="1" w:styleId="const">
    <w:name w:val="const"/>
    <w:rsid w:val="00B36BDD"/>
  </w:style>
  <w:style w:type="paragraph" w:customStyle="1" w:styleId="const1">
    <w:name w:val="const1"/>
    <w:basedOn w:val="Normal"/>
    <w:rsid w:val="00B36BDD"/>
    <w:pPr>
      <w:suppressAutoHyphens w:val="0"/>
      <w:spacing w:before="100" w:beforeAutospacing="1" w:after="100" w:afterAutospacing="1" w:line="240" w:lineRule="auto"/>
    </w:pPr>
    <w:rPr>
      <w:sz w:val="24"/>
      <w:szCs w:val="24"/>
      <w:lang w:eastAsia="en-GB"/>
    </w:rPr>
  </w:style>
  <w:style w:type="character" w:styleId="Emphasis">
    <w:name w:val="Emphasis"/>
    <w:uiPriority w:val="20"/>
    <w:qFormat/>
    <w:rsid w:val="00F85AD2"/>
    <w:rPr>
      <w:i/>
      <w:iCs/>
    </w:rPr>
  </w:style>
  <w:style w:type="paragraph" w:customStyle="1" w:styleId="MediumList2-Accent21">
    <w:name w:val="Medium List 2 - Accent 21"/>
    <w:hidden/>
    <w:uiPriority w:val="99"/>
    <w:semiHidden/>
    <w:rsid w:val="00081EE8"/>
    <w:rPr>
      <w:lang w:eastAsia="en-US"/>
    </w:rPr>
  </w:style>
  <w:style w:type="paragraph" w:customStyle="1" w:styleId="MediumShading1-Accent11">
    <w:name w:val="Medium Shading 1 - Accent 11"/>
    <w:uiPriority w:val="1"/>
    <w:qFormat/>
    <w:rsid w:val="00C35F0C"/>
    <w:pPr>
      <w:suppressAutoHyphens/>
    </w:pPr>
    <w:rPr>
      <w:lang w:eastAsia="en-US"/>
    </w:rPr>
  </w:style>
  <w:style w:type="paragraph" w:customStyle="1" w:styleId="ColorfulShading-Accent11">
    <w:name w:val="Colorful Shading - Accent 11"/>
    <w:hidden/>
    <w:uiPriority w:val="99"/>
    <w:semiHidden/>
    <w:rsid w:val="00E343AD"/>
    <w:rPr>
      <w:lang w:eastAsia="en-US"/>
    </w:rPr>
  </w:style>
  <w:style w:type="paragraph" w:styleId="Revision">
    <w:name w:val="Revision"/>
    <w:hidden/>
    <w:uiPriority w:val="99"/>
    <w:semiHidden/>
    <w:rsid w:val="00A34D1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416451">
      <w:bodyDiv w:val="1"/>
      <w:marLeft w:val="0"/>
      <w:marRight w:val="0"/>
      <w:marTop w:val="0"/>
      <w:marBottom w:val="0"/>
      <w:divBdr>
        <w:top w:val="none" w:sz="0" w:space="0" w:color="auto"/>
        <w:left w:val="none" w:sz="0" w:space="0" w:color="auto"/>
        <w:bottom w:val="none" w:sz="0" w:space="0" w:color="auto"/>
        <w:right w:val="none" w:sz="0" w:space="0" w:color="auto"/>
      </w:divBdr>
      <w:divsChild>
        <w:div w:id="269433147">
          <w:marLeft w:val="0"/>
          <w:marRight w:val="0"/>
          <w:marTop w:val="720"/>
          <w:marBottom w:val="720"/>
          <w:divBdr>
            <w:top w:val="none" w:sz="0" w:space="0" w:color="auto"/>
            <w:left w:val="none" w:sz="0" w:space="0" w:color="auto"/>
            <w:bottom w:val="none" w:sz="0" w:space="0" w:color="auto"/>
            <w:right w:val="none" w:sz="0" w:space="0" w:color="auto"/>
          </w:divBdr>
          <w:divsChild>
            <w:div w:id="81143334">
              <w:marLeft w:val="0"/>
              <w:marRight w:val="0"/>
              <w:marTop w:val="0"/>
              <w:marBottom w:val="0"/>
              <w:divBdr>
                <w:top w:val="none" w:sz="0" w:space="0" w:color="auto"/>
                <w:left w:val="none" w:sz="0" w:space="0" w:color="auto"/>
                <w:bottom w:val="none" w:sz="0" w:space="0" w:color="auto"/>
                <w:right w:val="none" w:sz="0" w:space="0" w:color="auto"/>
              </w:divBdr>
              <w:divsChild>
                <w:div w:id="916206145">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738745077">
      <w:bodyDiv w:val="1"/>
      <w:marLeft w:val="0"/>
      <w:marRight w:val="0"/>
      <w:marTop w:val="0"/>
      <w:marBottom w:val="0"/>
      <w:divBdr>
        <w:top w:val="none" w:sz="0" w:space="0" w:color="auto"/>
        <w:left w:val="none" w:sz="0" w:space="0" w:color="auto"/>
        <w:bottom w:val="none" w:sz="0" w:space="0" w:color="auto"/>
        <w:right w:val="none" w:sz="0" w:space="0" w:color="auto"/>
      </w:divBdr>
      <w:divsChild>
        <w:div w:id="684088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B616E-7F75-41B8-A534-DC51D023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1615904</vt:lpstr>
    </vt:vector>
  </TitlesOfParts>
  <Company>CSD</Company>
  <LinksUpToDate>false</LinksUpToDate>
  <CharactersWithSpaces>12025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1615904</dc:title>
  <dc:subject>CAT/C/58/D/607/2014</dc:subject>
  <dc:creator>Neogi</dc:creator>
  <cp:keywords/>
  <dc:description/>
  <cp:lastModifiedBy>Sarah Willig</cp:lastModifiedBy>
  <cp:revision>2</cp:revision>
  <cp:lastPrinted>2016-09-01T09:44:00Z</cp:lastPrinted>
  <dcterms:created xsi:type="dcterms:W3CDTF">2017-04-10T17:37:00Z</dcterms:created>
  <dcterms:modified xsi:type="dcterms:W3CDTF">2017-04-10T17:37:00Z</dcterms:modified>
</cp:coreProperties>
</file>