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807D21" w:rsidRPr="00DB58B5" w:rsidTr="00037DF1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807D21" w:rsidRPr="00DB58B5" w:rsidRDefault="00807D21" w:rsidP="005260E6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D21" w:rsidRPr="00DB58B5" w:rsidRDefault="00807D21" w:rsidP="00C070F4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807D21" w:rsidRPr="00DB58B5" w:rsidRDefault="005260E6" w:rsidP="005260E6">
            <w:pPr>
              <w:jc w:val="right"/>
            </w:pPr>
            <w:r w:rsidRPr="005260E6">
              <w:rPr>
                <w:sz w:val="40"/>
              </w:rPr>
              <w:t>CAT</w:t>
            </w:r>
            <w:r>
              <w:t>/C/57/D/709/2015</w:t>
            </w:r>
          </w:p>
        </w:tc>
      </w:tr>
      <w:tr w:rsidR="00807D21" w:rsidRPr="00DB58B5" w:rsidTr="00C070F4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07D21" w:rsidRPr="00DB58B5" w:rsidRDefault="00807D21" w:rsidP="00C070F4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5870EE4" wp14:editId="4952F9D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07D21" w:rsidRPr="00740562" w:rsidRDefault="00807D21" w:rsidP="00C070F4">
            <w:pPr>
              <w:spacing w:before="120" w:line="380" w:lineRule="exact"/>
              <w:rPr>
                <w:b/>
                <w:sz w:val="40"/>
                <w:szCs w:val="40"/>
              </w:rPr>
            </w:pPr>
            <w:r w:rsidRPr="0027083C">
              <w:rPr>
                <w:b/>
                <w:sz w:val="34"/>
                <w:szCs w:val="34"/>
              </w:rPr>
              <w:t>Convention contre</w:t>
            </w:r>
            <w:r w:rsidRPr="0027083C">
              <w:rPr>
                <w:b/>
                <w:sz w:val="34"/>
                <w:szCs w:val="34"/>
              </w:rPr>
              <w:br/>
              <w:t>la torture et autres peines</w:t>
            </w:r>
            <w:r w:rsidRPr="0027083C">
              <w:rPr>
                <w:b/>
                <w:sz w:val="34"/>
                <w:szCs w:val="34"/>
              </w:rPr>
              <w:br/>
              <w:t>ou traitements cruels,</w:t>
            </w:r>
            <w:r w:rsidRPr="0027083C">
              <w:rPr>
                <w:b/>
                <w:sz w:val="34"/>
                <w:szCs w:val="34"/>
              </w:rPr>
              <w:br/>
              <w:t>inhumains ou dégradants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07D21" w:rsidRDefault="005260E6" w:rsidP="00C070F4">
            <w:pPr>
              <w:spacing w:before="240"/>
            </w:pPr>
            <w:r>
              <w:t>Distr. générale</w:t>
            </w:r>
          </w:p>
          <w:p w:rsidR="005260E6" w:rsidRDefault="005260E6" w:rsidP="005260E6">
            <w:pPr>
              <w:spacing w:line="240" w:lineRule="exact"/>
            </w:pPr>
            <w:r>
              <w:t>17 août 2016</w:t>
            </w:r>
          </w:p>
          <w:p w:rsidR="005260E6" w:rsidRDefault="005260E6" w:rsidP="005260E6">
            <w:pPr>
              <w:spacing w:line="240" w:lineRule="exact"/>
            </w:pPr>
            <w:r>
              <w:t>Français</w:t>
            </w:r>
          </w:p>
          <w:p w:rsidR="005260E6" w:rsidRPr="00DB58B5" w:rsidRDefault="005260E6" w:rsidP="005260E6">
            <w:pPr>
              <w:spacing w:line="240" w:lineRule="exact"/>
            </w:pPr>
            <w:r>
              <w:t>Original : anglais</w:t>
            </w:r>
          </w:p>
        </w:tc>
      </w:tr>
    </w:tbl>
    <w:p w:rsidR="00EA3F83" w:rsidRDefault="00EA3F83" w:rsidP="00EA3F83">
      <w:pPr>
        <w:spacing w:before="120" w:line="240" w:lineRule="exact"/>
        <w:rPr>
          <w:b/>
          <w:sz w:val="24"/>
          <w:szCs w:val="24"/>
        </w:rPr>
      </w:pPr>
      <w:r w:rsidRPr="00FD511F">
        <w:rPr>
          <w:b/>
          <w:sz w:val="24"/>
          <w:szCs w:val="24"/>
        </w:rPr>
        <w:t xml:space="preserve">Comité </w:t>
      </w:r>
      <w:r>
        <w:rPr>
          <w:b/>
          <w:sz w:val="24"/>
          <w:szCs w:val="24"/>
        </w:rPr>
        <w:t>contre la torture</w:t>
      </w:r>
    </w:p>
    <w:p w:rsidR="00BA41F4" w:rsidRDefault="00C8552F" w:rsidP="00C8552F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5260E6">
        <w:rPr>
          <w:lang w:val="fr-FR"/>
        </w:rPr>
        <w:t xml:space="preserve">Décision adoptée par le Comité au titre de l’article 22 de la </w:t>
      </w:r>
      <w:r w:rsidR="005260E6">
        <w:rPr>
          <w:snapToGrid w:val="0"/>
        </w:rPr>
        <w:t xml:space="preserve">Convention, concernant la </w:t>
      </w:r>
      <w:r w:rsidR="005260E6" w:rsidRPr="002B254F">
        <w:rPr>
          <w:lang w:val="fr-FR"/>
        </w:rPr>
        <w:t xml:space="preserve">Communication </w:t>
      </w:r>
      <w:r w:rsidR="005260E6" w:rsidRPr="002B254F">
        <w:rPr>
          <w:rFonts w:eastAsia="MS Mincho"/>
          <w:szCs w:val="22"/>
          <w:lang w:val="fr-FR"/>
        </w:rPr>
        <w:t>n</w:t>
      </w:r>
      <w:r w:rsidR="005260E6" w:rsidRPr="002B254F">
        <w:rPr>
          <w:rFonts w:eastAsia="MS Mincho"/>
          <w:szCs w:val="22"/>
          <w:vertAlign w:val="superscript"/>
          <w:lang w:val="fr-FR"/>
        </w:rPr>
        <w:t>o</w:t>
      </w:r>
      <w:r w:rsidR="005260E6" w:rsidRPr="002B254F">
        <w:rPr>
          <w:lang w:val="fr-FR"/>
        </w:rPr>
        <w:t> 709/2015</w:t>
      </w:r>
      <w:r w:rsidRPr="00C8552F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  <w:r w:rsidRPr="00C8552F">
        <w:rPr>
          <w:b w:val="0"/>
          <w:sz w:val="20"/>
          <w:vertAlign w:val="superscript"/>
        </w:rPr>
        <w:t>,</w:t>
      </w:r>
      <w:r>
        <w:rPr>
          <w:b w:val="0"/>
          <w:sz w:val="20"/>
        </w:rPr>
        <w:t xml:space="preserve"> </w:t>
      </w:r>
      <w:r w:rsidRPr="00C8552F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4253"/>
      </w:tblGrid>
      <w:tr w:rsidR="00C8552F" w:rsidTr="00216E0F">
        <w:tc>
          <w:tcPr>
            <w:tcW w:w="2552" w:type="dxa"/>
          </w:tcPr>
          <w:p w:rsidR="00C8552F" w:rsidRDefault="00C8552F" w:rsidP="00216E0F">
            <w:pPr>
              <w:pStyle w:val="SingleTxtG"/>
              <w:ind w:left="0" w:right="0"/>
              <w:jc w:val="left"/>
              <w:rPr>
                <w:i/>
              </w:rPr>
            </w:pPr>
            <w:r>
              <w:rPr>
                <w:i/>
              </w:rPr>
              <w:t>Communication p</w:t>
            </w:r>
            <w:r w:rsidRPr="00FD511F">
              <w:rPr>
                <w:i/>
              </w:rPr>
              <w:t>résentée par</w:t>
            </w:r>
            <w:r>
              <w:t> :</w:t>
            </w:r>
          </w:p>
        </w:tc>
        <w:tc>
          <w:tcPr>
            <w:tcW w:w="4253" w:type="dxa"/>
          </w:tcPr>
          <w:p w:rsidR="00C8552F" w:rsidRPr="00AE68FC" w:rsidRDefault="000D0709" w:rsidP="00216E0F">
            <w:pPr>
              <w:pStyle w:val="SingleTxtG"/>
              <w:ind w:left="0" w:right="0"/>
              <w:jc w:val="left"/>
            </w:pPr>
            <w:r w:rsidRPr="004F2A18">
              <w:t>C. N. (représenté par un conseil, Tage Goettsche)</w:t>
            </w:r>
          </w:p>
        </w:tc>
      </w:tr>
      <w:tr w:rsidR="00C8552F" w:rsidTr="00216E0F">
        <w:tc>
          <w:tcPr>
            <w:tcW w:w="2552" w:type="dxa"/>
          </w:tcPr>
          <w:p w:rsidR="00C8552F" w:rsidRPr="00FD511F" w:rsidRDefault="00C8552F" w:rsidP="00216E0F">
            <w:pPr>
              <w:pStyle w:val="SingleTxtG"/>
              <w:ind w:left="0" w:right="0"/>
              <w:jc w:val="left"/>
              <w:rPr>
                <w:i/>
              </w:rPr>
            </w:pPr>
            <w:r w:rsidRPr="00FD511F">
              <w:rPr>
                <w:i/>
              </w:rPr>
              <w:t>Au nom de</w:t>
            </w:r>
            <w:r>
              <w:t> :</w:t>
            </w:r>
          </w:p>
        </w:tc>
        <w:tc>
          <w:tcPr>
            <w:tcW w:w="4253" w:type="dxa"/>
          </w:tcPr>
          <w:p w:rsidR="00C8552F" w:rsidRDefault="001E5E09" w:rsidP="004F2A18">
            <w:pPr>
              <w:pStyle w:val="SingleTxtG"/>
              <w:ind w:left="0" w:right="0"/>
              <w:jc w:val="left"/>
            </w:pPr>
            <w:r>
              <w:t>L’auteur</w:t>
            </w:r>
          </w:p>
        </w:tc>
      </w:tr>
      <w:tr w:rsidR="00C8552F" w:rsidTr="00216E0F">
        <w:tc>
          <w:tcPr>
            <w:tcW w:w="2552" w:type="dxa"/>
          </w:tcPr>
          <w:p w:rsidR="00C8552F" w:rsidRPr="00FD511F" w:rsidRDefault="00C8552F" w:rsidP="00216E0F">
            <w:pPr>
              <w:pStyle w:val="SingleTxtG"/>
              <w:ind w:left="0" w:right="0"/>
              <w:jc w:val="left"/>
              <w:rPr>
                <w:i/>
              </w:rPr>
            </w:pPr>
            <w:r w:rsidRPr="00FD511F">
              <w:rPr>
                <w:i/>
              </w:rPr>
              <w:t>État partie</w:t>
            </w:r>
            <w:r>
              <w:t> :</w:t>
            </w:r>
          </w:p>
        </w:tc>
        <w:tc>
          <w:tcPr>
            <w:tcW w:w="4253" w:type="dxa"/>
          </w:tcPr>
          <w:p w:rsidR="00C8552F" w:rsidRDefault="004F2A18" w:rsidP="00216E0F">
            <w:pPr>
              <w:pStyle w:val="SingleTxtG"/>
              <w:ind w:left="0" w:right="0"/>
              <w:jc w:val="left"/>
            </w:pPr>
            <w:r w:rsidRPr="00FF4EE8">
              <w:t>Danemark</w:t>
            </w:r>
          </w:p>
        </w:tc>
      </w:tr>
      <w:tr w:rsidR="00C8552F" w:rsidTr="00216E0F">
        <w:tc>
          <w:tcPr>
            <w:tcW w:w="2552" w:type="dxa"/>
          </w:tcPr>
          <w:p w:rsidR="00C8552F" w:rsidRPr="00FD511F" w:rsidRDefault="00C8552F" w:rsidP="00216E0F">
            <w:pPr>
              <w:pStyle w:val="SingleTxtG"/>
              <w:ind w:left="0" w:right="0"/>
              <w:jc w:val="left"/>
              <w:rPr>
                <w:i/>
              </w:rPr>
            </w:pPr>
            <w:r w:rsidRPr="00FD511F">
              <w:rPr>
                <w:i/>
              </w:rPr>
              <w:t xml:space="preserve">Date de la </w:t>
            </w:r>
            <w:r>
              <w:rPr>
                <w:i/>
              </w:rPr>
              <w:t>requête</w:t>
            </w:r>
            <w:r>
              <w:t> :</w:t>
            </w:r>
          </w:p>
        </w:tc>
        <w:tc>
          <w:tcPr>
            <w:tcW w:w="4253" w:type="dxa"/>
          </w:tcPr>
          <w:p w:rsidR="00C8552F" w:rsidRDefault="004F2A18" w:rsidP="00216E0F">
            <w:pPr>
              <w:pStyle w:val="SingleTxtG"/>
              <w:ind w:left="0" w:right="0"/>
              <w:jc w:val="left"/>
            </w:pPr>
            <w:r w:rsidRPr="00FF4EE8">
              <w:t>28 octobre 2015 (lettre initiale)</w:t>
            </w:r>
          </w:p>
        </w:tc>
      </w:tr>
      <w:tr w:rsidR="00C8552F" w:rsidTr="00216E0F">
        <w:tc>
          <w:tcPr>
            <w:tcW w:w="2552" w:type="dxa"/>
          </w:tcPr>
          <w:p w:rsidR="00C8552F" w:rsidRPr="00FD511F" w:rsidRDefault="00C8552F" w:rsidP="00216E0F">
            <w:pPr>
              <w:pStyle w:val="SingleTxtG"/>
              <w:ind w:left="0" w:right="0"/>
              <w:jc w:val="left"/>
              <w:rPr>
                <w:i/>
              </w:rPr>
            </w:pPr>
            <w:r w:rsidRPr="00FD511F">
              <w:rPr>
                <w:i/>
              </w:rPr>
              <w:t xml:space="preserve">Date de </w:t>
            </w:r>
            <w:r>
              <w:rPr>
                <w:i/>
              </w:rPr>
              <w:t>la présente décision</w:t>
            </w:r>
            <w:r>
              <w:t> :</w:t>
            </w:r>
          </w:p>
        </w:tc>
        <w:tc>
          <w:tcPr>
            <w:tcW w:w="4253" w:type="dxa"/>
            <w:vAlign w:val="bottom"/>
          </w:tcPr>
          <w:p w:rsidR="00C8552F" w:rsidRDefault="004F2A18" w:rsidP="00216E0F">
            <w:pPr>
              <w:pStyle w:val="SingleTxtG"/>
              <w:ind w:left="0" w:right="0"/>
              <w:jc w:val="left"/>
            </w:pPr>
            <w:r>
              <w:t xml:space="preserve">29 </w:t>
            </w:r>
            <w:r w:rsidRPr="00FF4EE8">
              <w:t>avril 2016</w:t>
            </w:r>
          </w:p>
        </w:tc>
      </w:tr>
    </w:tbl>
    <w:p w:rsidR="00C8552F" w:rsidRDefault="00C8552F" w:rsidP="00216E0F"/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4253"/>
      </w:tblGrid>
      <w:tr w:rsidR="00C8552F" w:rsidTr="00216E0F">
        <w:tc>
          <w:tcPr>
            <w:tcW w:w="2552" w:type="dxa"/>
          </w:tcPr>
          <w:p w:rsidR="00C8552F" w:rsidRPr="00E472B5" w:rsidRDefault="00C8552F" w:rsidP="00216E0F">
            <w:pPr>
              <w:pStyle w:val="SingleTxtG"/>
              <w:ind w:left="0" w:right="0"/>
              <w:jc w:val="left"/>
            </w:pPr>
            <w:r>
              <w:rPr>
                <w:i/>
              </w:rPr>
              <w:t>Objet</w:t>
            </w:r>
            <w:r>
              <w:t> :</w:t>
            </w:r>
          </w:p>
        </w:tc>
        <w:tc>
          <w:tcPr>
            <w:tcW w:w="4253" w:type="dxa"/>
            <w:vAlign w:val="bottom"/>
          </w:tcPr>
          <w:p w:rsidR="00C8552F" w:rsidRDefault="000D0709" w:rsidP="00216E0F">
            <w:pPr>
              <w:pStyle w:val="SingleTxtG"/>
              <w:ind w:left="0" w:right="0"/>
              <w:jc w:val="left"/>
            </w:pPr>
            <w:r w:rsidRPr="004F2A18">
              <w:t>Expulsion</w:t>
            </w:r>
          </w:p>
        </w:tc>
      </w:tr>
      <w:tr w:rsidR="00C8552F" w:rsidTr="00216E0F">
        <w:tc>
          <w:tcPr>
            <w:tcW w:w="2552" w:type="dxa"/>
          </w:tcPr>
          <w:p w:rsidR="00C8552F" w:rsidRPr="00E472B5" w:rsidRDefault="00C8552F" w:rsidP="00216E0F">
            <w:pPr>
              <w:pStyle w:val="SingleTxtG"/>
              <w:ind w:left="0" w:right="0"/>
              <w:jc w:val="left"/>
            </w:pPr>
            <w:r>
              <w:rPr>
                <w:i/>
              </w:rPr>
              <w:t>Questions de procédure</w:t>
            </w:r>
            <w:r>
              <w:t> :</w:t>
            </w:r>
          </w:p>
        </w:tc>
        <w:tc>
          <w:tcPr>
            <w:tcW w:w="4253" w:type="dxa"/>
            <w:vAlign w:val="bottom"/>
          </w:tcPr>
          <w:p w:rsidR="00C8552F" w:rsidRDefault="000D0709" w:rsidP="00216E0F">
            <w:pPr>
              <w:pStyle w:val="SingleTxtG"/>
              <w:ind w:left="0" w:right="0"/>
              <w:jc w:val="left"/>
            </w:pPr>
            <w:r w:rsidRPr="004F2A18">
              <w:t>Risque de torture et de mauvais traitements</w:t>
            </w:r>
          </w:p>
        </w:tc>
      </w:tr>
      <w:tr w:rsidR="00C8552F" w:rsidTr="00216E0F">
        <w:tc>
          <w:tcPr>
            <w:tcW w:w="2552" w:type="dxa"/>
          </w:tcPr>
          <w:p w:rsidR="00C8552F" w:rsidRPr="00E472B5" w:rsidRDefault="00C8552F" w:rsidP="00216E0F">
            <w:pPr>
              <w:pStyle w:val="SingleTxtG"/>
              <w:ind w:left="0" w:right="0"/>
              <w:jc w:val="left"/>
            </w:pPr>
            <w:r>
              <w:rPr>
                <w:i/>
              </w:rPr>
              <w:t>Questions de fond</w:t>
            </w:r>
            <w:r>
              <w:t> :</w:t>
            </w:r>
          </w:p>
        </w:tc>
        <w:tc>
          <w:tcPr>
            <w:tcW w:w="4253" w:type="dxa"/>
            <w:vAlign w:val="bottom"/>
          </w:tcPr>
          <w:p w:rsidR="00C8552F" w:rsidRDefault="004F2A18" w:rsidP="00216E0F">
            <w:pPr>
              <w:pStyle w:val="SingleTxtG"/>
              <w:ind w:left="0" w:right="0"/>
              <w:jc w:val="left"/>
            </w:pPr>
            <w:r w:rsidRPr="00FF4EE8">
              <w:t>Fondement des griefs</w:t>
            </w:r>
          </w:p>
        </w:tc>
      </w:tr>
      <w:tr w:rsidR="00C8552F" w:rsidTr="00216E0F">
        <w:tc>
          <w:tcPr>
            <w:tcW w:w="2552" w:type="dxa"/>
          </w:tcPr>
          <w:p w:rsidR="00C8552F" w:rsidRPr="00E472B5" w:rsidRDefault="004F2A18" w:rsidP="004F2A18">
            <w:pPr>
              <w:pStyle w:val="SingleTxtG"/>
              <w:ind w:left="0" w:right="0"/>
              <w:jc w:val="left"/>
            </w:pPr>
            <w:r>
              <w:rPr>
                <w:i/>
              </w:rPr>
              <w:t>Article</w:t>
            </w:r>
            <w:r w:rsidR="00C8552F">
              <w:rPr>
                <w:i/>
              </w:rPr>
              <w:t xml:space="preserve"> de la Convention</w:t>
            </w:r>
            <w:r w:rsidR="00C8552F">
              <w:t> :</w:t>
            </w:r>
          </w:p>
        </w:tc>
        <w:tc>
          <w:tcPr>
            <w:tcW w:w="4253" w:type="dxa"/>
            <w:vAlign w:val="bottom"/>
          </w:tcPr>
          <w:p w:rsidR="00C8552F" w:rsidRDefault="004F2A18" w:rsidP="00216E0F">
            <w:pPr>
              <w:pStyle w:val="SingleTxtG"/>
              <w:ind w:left="0" w:right="0"/>
              <w:jc w:val="left"/>
            </w:pPr>
            <w:r w:rsidRPr="00FF4EE8">
              <w:t>3</w:t>
            </w:r>
          </w:p>
        </w:tc>
      </w:tr>
    </w:tbl>
    <w:p w:rsidR="009429B1" w:rsidRPr="00C8552F" w:rsidRDefault="000D0709" w:rsidP="004F2A18">
      <w:pPr>
        <w:pStyle w:val="SingleTxtG"/>
        <w:spacing w:before="240"/>
        <w:rPr>
          <w:lang w:val="fr-FR"/>
        </w:rPr>
      </w:pPr>
      <w:r w:rsidRPr="00C8552F">
        <w:rPr>
          <w:lang w:val="fr-FR"/>
        </w:rPr>
        <w:t>1.1</w:t>
      </w:r>
      <w:r w:rsidRPr="00C8552F">
        <w:rPr>
          <w:lang w:val="fr-FR"/>
        </w:rPr>
        <w:tab/>
        <w:t>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auteur de la communication est C. N., de nationalité nigériane, né en 1977. Il affirme que son expulsion vers le Nigéria constituerait une violation par le Danemark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article 3 de la Convention.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auteur est représenté par un conseil. 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1.2</w:t>
      </w:r>
      <w:r w:rsidRPr="00C8552F">
        <w:rPr>
          <w:lang w:val="fr-FR"/>
        </w:rPr>
        <w:tab/>
        <w:t>Le 28 octobre 2015, le Comité, agissant par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intermédiaire de son Rapporteur chargé des nouvelles requêtes et des mesures provisoires de protection, a décidé de ne pas présenter de demande de mesures provisoires en application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article 114 de son règlement intérieur, et a considéré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avait pas besoin des observations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État partie pour se prononcer sur la recevabilité de la présente communication. </w:t>
      </w:r>
    </w:p>
    <w:p w:rsidR="009429B1" w:rsidRPr="00C8552F" w:rsidRDefault="000D0709" w:rsidP="004F2A18">
      <w:pPr>
        <w:pStyle w:val="H23G"/>
        <w:rPr>
          <w:lang w:val="fr-FR"/>
        </w:rPr>
      </w:pPr>
      <w:r>
        <w:rPr>
          <w:lang w:val="fr-FR"/>
        </w:rPr>
        <w:br w:type="page"/>
      </w:r>
      <w:r w:rsidRPr="00C8552F">
        <w:rPr>
          <w:lang w:val="fr-FR"/>
        </w:rPr>
        <w:lastRenderedPageBreak/>
        <w:tab/>
      </w:r>
      <w:r w:rsidRPr="00C8552F">
        <w:rPr>
          <w:lang w:val="fr-FR"/>
        </w:rPr>
        <w:tab/>
        <w:t>Rappel des faits présentés par le requérant</w:t>
      </w:r>
    </w:p>
    <w:p w:rsidR="009429B1" w:rsidRPr="00C8552F" w:rsidRDefault="000D0709" w:rsidP="000D0709">
      <w:pPr>
        <w:pStyle w:val="SingleTxtG"/>
        <w:rPr>
          <w:lang w:val="fr-FR"/>
        </w:rPr>
      </w:pPr>
      <w:r w:rsidRPr="00C8552F">
        <w:rPr>
          <w:lang w:val="fr-FR"/>
        </w:rPr>
        <w:t>2.1</w:t>
      </w:r>
      <w:r w:rsidRPr="00C8552F">
        <w:rPr>
          <w:lang w:val="fr-FR"/>
        </w:rPr>
        <w:tab/>
        <w:t>Le requérant a demandé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asile au Danemark en juin 2014 affirmant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était persécuté au Nigéria par le Département des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services de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 et par un terroriste présumé, un certain A. U., qui croyait que le requérant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avait dénoncé aux autorités. Le 3 avril 2014, le requérant a été arrêté par le Département des services de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 car son numéro de téléphone était enregistré dans la liste des contacts du téléphone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un terroriste qui s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était évadé de prison le 30 mars 2014. Le requérant a indiqué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un inconnu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avait abordé deux fois à la gare routière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Abuja, où il travaillait, et que cet homme lui avait proposé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argent pour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garde deux sacs jusqu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à ce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une autre personne vienne les chercher. Après avoir passé deux jours au siège du Département des services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 à Asokor</w:t>
      </w:r>
      <w:r w:rsidR="00087EBB">
        <w:rPr>
          <w:lang w:val="fr-FR"/>
        </w:rPr>
        <w:t>o</w:t>
      </w:r>
      <w:r w:rsidRPr="00C8552F">
        <w:rPr>
          <w:lang w:val="fr-FR"/>
        </w:rPr>
        <w:t>, le requérant a été remis en liberté. Le 14 avril 2014, après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explosion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une bombe à la gare routière, il a vu A. U. au journal télévisé et constaté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s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agissait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inconnu qui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avait abordé. Peu de temps après, A. U. a contacté le requérant par téléphone,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accusant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avoir dénoncé. Le Département des services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a également contacté le requérant pour le convoquer à un autre interrogatoire. Cependant,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un des agents du Département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 averti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serait arrêté s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se présentait à cet interrogatoire. Le 19 mai 2014, le requérant a quitté le Nigéria.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2.2</w:t>
      </w:r>
      <w:r w:rsidRPr="00C8552F">
        <w:rPr>
          <w:lang w:val="fr-FR"/>
        </w:rPr>
        <w:tab/>
        <w:t>Le requérant est arrivé au Danemark en juin 2014, sans passeport ni documents de voyage valables. Le 1</w:t>
      </w:r>
      <w:r w:rsidRPr="00C8552F">
        <w:rPr>
          <w:vertAlign w:val="superscript"/>
          <w:lang w:val="fr-FR"/>
        </w:rPr>
        <w:t>er</w:t>
      </w:r>
      <w:r w:rsidRPr="00C8552F">
        <w:rPr>
          <w:lang w:val="fr-FR"/>
        </w:rPr>
        <w:t> septembre 2015, le Service danois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immigration a rejeté sa demande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asile. Le 14 octobre 2015, la Commission de recours des réfugiés a rejeté son recours et confirmé la décision du Service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immigration, considérant que son récit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était pas crédible. Suite à la décision de la Commission, le requérant a été arrêté le 18 août 2014, et deux documents ont été trouvés sur lui : une description manuscrite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itinéraire entre le Nigéria et le centre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accueil pour demandeurs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asile de Sandholm, au Danemark, et un modèle de demande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asile établi sur ordinateur, comportant des blancs à remplir. Ces documents, de même que certaines contradictions dans son récit, ont fait que la Commission a pris sa décision à la majorité de ses membres. </w:t>
      </w:r>
    </w:p>
    <w:p w:rsidR="009429B1" w:rsidRPr="00C8552F" w:rsidRDefault="000D0709" w:rsidP="004F2A18">
      <w:pPr>
        <w:pStyle w:val="H23G"/>
        <w:rPr>
          <w:lang w:val="fr-FR"/>
        </w:rPr>
      </w:pPr>
      <w:r w:rsidRPr="00C8552F">
        <w:rPr>
          <w:lang w:val="fr-FR"/>
        </w:rPr>
        <w:tab/>
      </w:r>
      <w:r w:rsidRPr="00C8552F">
        <w:rPr>
          <w:lang w:val="fr-FR"/>
        </w:rPr>
        <w:tab/>
        <w:t>Teneur de la plainte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3.</w:t>
      </w:r>
      <w:r w:rsidRPr="00C8552F">
        <w:rPr>
          <w:lang w:val="fr-FR"/>
        </w:rPr>
        <w:tab/>
        <w:t>Le requérant affirme que la décision de la Commission des recours des réfugiés a été arbitraire car tous les éléments de son récit ont été mis en doute sans que le stress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vivait et que son état psychologique soient pris en considération, et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aucune enquête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 été menée pour déterminer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ampleur du risque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courrait s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était renvoyé au Nigéria. Le requérant soutient que, s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était expulsé, il courrait un risque réel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être tué par le Département des services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État ou par Boko Haram. </w:t>
      </w:r>
    </w:p>
    <w:p w:rsidR="009429B1" w:rsidRPr="00C8552F" w:rsidRDefault="000D0709" w:rsidP="004F2A18">
      <w:pPr>
        <w:pStyle w:val="H23G"/>
        <w:rPr>
          <w:lang w:val="fr-FR"/>
        </w:rPr>
      </w:pPr>
      <w:r w:rsidRPr="00C8552F">
        <w:rPr>
          <w:lang w:val="fr-FR"/>
        </w:rPr>
        <w:tab/>
      </w:r>
      <w:r w:rsidRPr="00C8552F">
        <w:rPr>
          <w:lang w:val="fr-FR"/>
        </w:rPr>
        <w:tab/>
        <w:t>Délibérations du Comité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4.1</w:t>
      </w:r>
      <w:r w:rsidRPr="00C8552F">
        <w:rPr>
          <w:lang w:val="fr-FR"/>
        </w:rPr>
        <w:tab/>
      </w:r>
      <w:r w:rsidRPr="00C8552F">
        <w:t>Avant d</w:t>
      </w:r>
      <w:r w:rsidR="00C8552F" w:rsidRPr="00C8552F">
        <w:t>’</w:t>
      </w:r>
      <w:r w:rsidRPr="00C8552F">
        <w:t>examiner une plainte soumise dans une requête, le Comité contre la torture doit déterminer si la requête est recevable en vertu de l</w:t>
      </w:r>
      <w:r w:rsidR="00C8552F" w:rsidRPr="00C8552F">
        <w:t>’</w:t>
      </w:r>
      <w:r w:rsidRPr="00C8552F">
        <w:t>article 22 de la Convention. Le Comité s</w:t>
      </w:r>
      <w:r w:rsidR="00C8552F" w:rsidRPr="00C8552F">
        <w:t>’</w:t>
      </w:r>
      <w:r w:rsidRPr="00C8552F">
        <w:t>est assuré, comme il est tenu de le faire conformément au paragraphe 5 a) de l</w:t>
      </w:r>
      <w:r w:rsidR="00C8552F" w:rsidRPr="00C8552F">
        <w:t>’</w:t>
      </w:r>
      <w:r w:rsidRPr="00C8552F">
        <w:t>article 22 de la Convention, que la même question n</w:t>
      </w:r>
      <w:r w:rsidR="00C8552F" w:rsidRPr="00C8552F">
        <w:t>’</w:t>
      </w:r>
      <w:r w:rsidRPr="00C8552F">
        <w:t>a pas été et n</w:t>
      </w:r>
      <w:r w:rsidR="00C8552F" w:rsidRPr="00C8552F">
        <w:t>’</w:t>
      </w:r>
      <w:r w:rsidRPr="00C8552F">
        <w:t>est pas actuellement examinée par une autre instance internationale d</w:t>
      </w:r>
      <w:r w:rsidR="00C8552F" w:rsidRPr="00C8552F">
        <w:t>’</w:t>
      </w:r>
      <w:r w:rsidRPr="00C8552F">
        <w:t xml:space="preserve">enquête ou de règlement. 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4.2</w:t>
      </w:r>
      <w:r w:rsidRPr="00C8552F">
        <w:rPr>
          <w:lang w:val="fr-FR"/>
        </w:rPr>
        <w:tab/>
        <w:t>Le Comité relève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aux fins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espèce, le requérant a fait référence à un bref résumé traduit de la décision rendue le 14 octobre 2014 par la Commission de recours des réfugiés, sans donner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plus de précisions sur ses allégations de persécution par le Département des services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ou par A. U. au Nigéria. Le Comité relève également que le requérant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 pas avancé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arguments suffisants montrant en quoi les décisions des autorités danoises ont été arbitraires comme il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affirme, hormis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argument selon lequel les incohérences de son récit seraient dues au stress provoqué par les nombreux entretiens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avait eus pendant la procédure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asile. Le Comité observe toutefois que la décision de rejet </w:t>
      </w:r>
      <w:r w:rsidRPr="00C8552F">
        <w:rPr>
          <w:lang w:val="fr-FR"/>
        </w:rPr>
        <w:lastRenderedPageBreak/>
        <w:t>de la demande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asile rendue par les autorités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 partie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était pas exclusivement fondée sur les incohérences du récit du requérant, mais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elle reposait aussi sur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autres considérations, en particulier les deux documents qui avaient été trouvés sur lui au moment de son arrestation en août 2014 (voir par. 2.2 ci-dessus). Le Comité constate que le requérant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a pas traité cette question dans sa lettre. 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4.3</w:t>
      </w:r>
      <w:r w:rsidRPr="00C8552F">
        <w:rPr>
          <w:lang w:val="fr-FR"/>
        </w:rPr>
        <w:tab/>
        <w:t xml:space="preserve">Le Comité considère que, </w:t>
      </w:r>
      <w:r w:rsidRPr="00C8552F">
        <w:t xml:space="preserve">dans les circonstances de la cause, </w:t>
      </w:r>
      <w:r w:rsidRPr="00C8552F">
        <w:rPr>
          <w:lang w:val="fr-FR"/>
        </w:rPr>
        <w:t>les renseignements succincts fournis par le requérant ne permettent ni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établir qu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il court le risque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être torturé au Nigéria par le Département des services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État</w:t>
      </w:r>
      <w:r w:rsidR="004F2A18">
        <w:rPr>
          <w:lang w:val="fr-FR"/>
        </w:rPr>
        <w:t xml:space="preserve"> </w:t>
      </w:r>
      <w:r w:rsidRPr="00C8552F">
        <w:rPr>
          <w:lang w:val="fr-FR"/>
        </w:rPr>
        <w:t>ou par A. U., ni de vérifier si les décisions au sujet de sa demande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asile qui ont été rendues par les autorités danoises de l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immigration et par d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>autres organes ont véritablement été arbitraires. Le Comité conclut dès lors que le requérant n</w:t>
      </w:r>
      <w:r w:rsidR="00C8552F" w:rsidRPr="00C8552F">
        <w:rPr>
          <w:lang w:val="fr-FR"/>
        </w:rPr>
        <w:t>’</w:t>
      </w:r>
      <w:r w:rsidRPr="00C8552F">
        <w:rPr>
          <w:lang w:val="fr-FR"/>
        </w:rPr>
        <w:t xml:space="preserve">a pas suffisamment étayé ses griefs aux fins de la recevabilité. </w:t>
      </w:r>
    </w:p>
    <w:p w:rsidR="009429B1" w:rsidRPr="00C8552F" w:rsidRDefault="000D0709" w:rsidP="00C8552F">
      <w:pPr>
        <w:pStyle w:val="SingleTxtG"/>
        <w:rPr>
          <w:lang w:val="fr-FR"/>
        </w:rPr>
      </w:pPr>
      <w:r w:rsidRPr="00C8552F">
        <w:rPr>
          <w:lang w:val="fr-FR"/>
        </w:rPr>
        <w:t>5.</w:t>
      </w:r>
      <w:r w:rsidRPr="00C8552F">
        <w:rPr>
          <w:lang w:val="fr-FR"/>
        </w:rPr>
        <w:tab/>
        <w:t>En conséquence, le Comité contre la torture décide :</w:t>
      </w:r>
    </w:p>
    <w:p w:rsidR="009429B1" w:rsidRPr="00C8552F" w:rsidRDefault="000D0709" w:rsidP="004F2A18">
      <w:pPr>
        <w:pStyle w:val="SingleTxtG"/>
        <w:ind w:firstLine="567"/>
        <w:rPr>
          <w:lang w:val="fr-FR"/>
        </w:rPr>
      </w:pPr>
      <w:r w:rsidRPr="00C8552F">
        <w:rPr>
          <w:lang w:val="fr-FR"/>
        </w:rPr>
        <w:t>a)</w:t>
      </w:r>
      <w:r w:rsidRPr="00C8552F">
        <w:rPr>
          <w:lang w:val="fr-FR"/>
        </w:rPr>
        <w:tab/>
      </w:r>
      <w:r w:rsidRPr="00C8552F">
        <w:t>Que la requête est irrecevable en vertu du paragraphe 2 de l</w:t>
      </w:r>
      <w:r w:rsidR="00C8552F" w:rsidRPr="00C8552F">
        <w:t>’</w:t>
      </w:r>
      <w:r w:rsidRPr="00C8552F">
        <w:t>article 22 de la Convention </w:t>
      </w:r>
      <w:r w:rsidRPr="00C8552F">
        <w:rPr>
          <w:lang w:val="fr-FR"/>
        </w:rPr>
        <w:t>;</w:t>
      </w:r>
    </w:p>
    <w:p w:rsidR="009429B1" w:rsidRPr="00C8552F" w:rsidRDefault="000D0709" w:rsidP="004F2A18">
      <w:pPr>
        <w:pStyle w:val="SingleTxtG"/>
        <w:ind w:firstLine="567"/>
        <w:rPr>
          <w:lang w:val="fr-FR"/>
        </w:rPr>
      </w:pPr>
      <w:r w:rsidRPr="00C8552F">
        <w:rPr>
          <w:lang w:val="fr-FR"/>
        </w:rPr>
        <w:t>b)</w:t>
      </w:r>
      <w:r w:rsidRPr="00C8552F">
        <w:rPr>
          <w:lang w:val="fr-FR"/>
        </w:rPr>
        <w:tab/>
      </w:r>
      <w:r w:rsidRPr="00C8552F">
        <w:t>Que la présente décision sera communiquée à l</w:t>
      </w:r>
      <w:r w:rsidR="00C8552F" w:rsidRPr="00C8552F">
        <w:t>’</w:t>
      </w:r>
      <w:r w:rsidRPr="00C8552F">
        <w:t xml:space="preserve">État partie et </w:t>
      </w:r>
      <w:r w:rsidR="00C8552F" w:rsidRPr="00C8552F">
        <w:t>au requérant</w:t>
      </w:r>
      <w:r w:rsidRPr="00C8552F">
        <w:rPr>
          <w:lang w:val="fr-FR"/>
        </w:rPr>
        <w:t>.</w:t>
      </w:r>
    </w:p>
    <w:p w:rsidR="005260E6" w:rsidRPr="004F2A18" w:rsidRDefault="004F2A18" w:rsidP="004F2A18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5260E6" w:rsidRPr="004F2A18" w:rsidSect="005260E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B0" w:rsidRPr="009C4D45" w:rsidRDefault="003618B0" w:rsidP="009C4D45">
      <w:pPr>
        <w:pStyle w:val="Footer"/>
      </w:pPr>
    </w:p>
  </w:endnote>
  <w:endnote w:type="continuationSeparator" w:id="0">
    <w:p w:rsidR="003618B0" w:rsidRPr="009C4D45" w:rsidRDefault="003618B0" w:rsidP="009C4D45">
      <w:pPr>
        <w:pStyle w:val="Footer"/>
      </w:pPr>
    </w:p>
  </w:endnote>
  <w:endnote w:type="continuationNotice" w:id="1">
    <w:p w:rsidR="003618B0" w:rsidRDefault="003618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E6" w:rsidRPr="005260E6" w:rsidRDefault="005260E6" w:rsidP="005260E6">
    <w:pPr>
      <w:pStyle w:val="Footer"/>
      <w:tabs>
        <w:tab w:val="right" w:pos="9638"/>
      </w:tabs>
    </w:pPr>
    <w:r w:rsidRPr="005260E6">
      <w:rPr>
        <w:b/>
        <w:sz w:val="18"/>
      </w:rPr>
      <w:fldChar w:fldCharType="begin"/>
    </w:r>
    <w:r w:rsidRPr="005260E6">
      <w:rPr>
        <w:b/>
        <w:sz w:val="18"/>
      </w:rPr>
      <w:instrText xml:space="preserve"> PAGE  \* MERGEFORMAT </w:instrText>
    </w:r>
    <w:r w:rsidRPr="005260E6">
      <w:rPr>
        <w:b/>
        <w:sz w:val="18"/>
      </w:rPr>
      <w:fldChar w:fldCharType="separate"/>
    </w:r>
    <w:r w:rsidR="0065464D">
      <w:rPr>
        <w:b/>
        <w:noProof/>
        <w:sz w:val="18"/>
      </w:rPr>
      <w:t>2</w:t>
    </w:r>
    <w:r w:rsidRPr="005260E6">
      <w:rPr>
        <w:b/>
        <w:sz w:val="18"/>
      </w:rPr>
      <w:fldChar w:fldCharType="end"/>
    </w:r>
    <w:r>
      <w:rPr>
        <w:b/>
        <w:sz w:val="18"/>
      </w:rPr>
      <w:tab/>
    </w:r>
    <w:r>
      <w:t>GE.16-14241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E6" w:rsidRPr="005260E6" w:rsidRDefault="005260E6" w:rsidP="005260E6">
    <w:pPr>
      <w:pStyle w:val="Footer"/>
      <w:tabs>
        <w:tab w:val="right" w:pos="9638"/>
      </w:tabs>
      <w:rPr>
        <w:b/>
        <w:sz w:val="18"/>
      </w:rPr>
    </w:pPr>
    <w:r>
      <w:t>GE.16-14241</w:t>
    </w:r>
    <w:r>
      <w:tab/>
    </w:r>
    <w:r w:rsidRPr="005260E6">
      <w:rPr>
        <w:b/>
        <w:sz w:val="18"/>
      </w:rPr>
      <w:fldChar w:fldCharType="begin"/>
    </w:r>
    <w:r w:rsidRPr="005260E6">
      <w:rPr>
        <w:b/>
        <w:sz w:val="18"/>
      </w:rPr>
      <w:instrText xml:space="preserve"> PAGE  \* MERGEFORMAT </w:instrText>
    </w:r>
    <w:r w:rsidRPr="005260E6">
      <w:rPr>
        <w:b/>
        <w:sz w:val="18"/>
      </w:rPr>
      <w:fldChar w:fldCharType="separate"/>
    </w:r>
    <w:r w:rsidR="0065464D">
      <w:rPr>
        <w:b/>
        <w:noProof/>
        <w:sz w:val="18"/>
      </w:rPr>
      <w:t>3</w:t>
    </w:r>
    <w:r w:rsidRPr="005260E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44" w:rsidRPr="005260E6" w:rsidRDefault="005260E6" w:rsidP="005260E6">
    <w:pPr>
      <w:pStyle w:val="Footer"/>
      <w:spacing w:before="120"/>
      <w:rPr>
        <w:sz w:val="20"/>
      </w:rPr>
    </w:pPr>
    <w:r>
      <w:rPr>
        <w:sz w:val="20"/>
      </w:rPr>
      <w:t>GE.</w:t>
    </w:r>
    <w:r w:rsidR="00621144"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2594E4A" wp14:editId="771D4EA9">
          <wp:simplePos x="0" y="0"/>
          <wp:positionH relativeFrom="margin">
            <wp:posOffset>4319905</wp:posOffset>
          </wp:positionH>
          <wp:positionV relativeFrom="margin">
            <wp:posOffset>8279765</wp:posOffset>
          </wp:positionV>
          <wp:extent cx="1105200" cy="2340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16-14241  (F)    301116    021216</w:t>
    </w:r>
    <w:r>
      <w:rPr>
        <w:sz w:val="20"/>
      </w:rPr>
      <w:br/>
    </w:r>
    <w:r w:rsidRPr="005260E6">
      <w:rPr>
        <w:rFonts w:ascii="C39T30Lfz" w:hAnsi="C39T30Lfz"/>
        <w:sz w:val="56"/>
      </w:rPr>
      <w:t></w:t>
    </w:r>
    <w:r w:rsidRPr="005260E6">
      <w:rPr>
        <w:rFonts w:ascii="C39T30Lfz" w:hAnsi="C39T30Lfz"/>
        <w:sz w:val="56"/>
      </w:rPr>
      <w:t></w:t>
    </w:r>
    <w:r w:rsidRPr="005260E6">
      <w:rPr>
        <w:rFonts w:ascii="C39T30Lfz" w:hAnsi="C39T30Lfz"/>
        <w:sz w:val="56"/>
      </w:rPr>
      <w:t></w:t>
    </w:r>
    <w:r w:rsidRPr="005260E6">
      <w:rPr>
        <w:rFonts w:ascii="C39T30Lfz" w:hAnsi="C39T30Lfz"/>
        <w:sz w:val="56"/>
      </w:rPr>
      <w:t></w:t>
    </w:r>
    <w:r w:rsidRPr="005260E6">
      <w:rPr>
        <w:rFonts w:ascii="C39T30Lfz" w:hAnsi="C39T30Lfz"/>
        <w:sz w:val="56"/>
      </w:rPr>
      <w:t></w:t>
    </w:r>
    <w:r w:rsidRPr="005260E6">
      <w:rPr>
        <w:rFonts w:ascii="C39T30Lfz" w:hAnsi="C39T30Lfz"/>
        <w:sz w:val="56"/>
      </w:rPr>
      <w:t></w:t>
    </w:r>
    <w:r w:rsidRPr="005260E6">
      <w:rPr>
        <w:rFonts w:ascii="C39T30Lfz" w:hAnsi="C39T30Lfz"/>
        <w:sz w:val="56"/>
      </w:rPr>
      <w:t></w:t>
    </w:r>
    <w:r w:rsidRPr="005260E6">
      <w:rPr>
        <w:rFonts w:ascii="C39T30Lfz" w:hAnsi="C39T30Lfz"/>
        <w:sz w:val="56"/>
      </w:rPr>
      <w:t></w:t>
    </w:r>
    <w:r w:rsidRPr="005260E6">
      <w:rPr>
        <w:rFonts w:ascii="C39T30Lfz" w:hAnsi="C39T30Lfz"/>
        <w:sz w:val="56"/>
      </w:rPr>
      <w:t></w:t>
    </w:r>
    <w:r>
      <w:rPr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8027670</wp:posOffset>
          </wp:positionV>
          <wp:extent cx="638175" cy="638175"/>
          <wp:effectExtent l="0" t="0" r="9525" b="9525"/>
          <wp:wrapNone/>
          <wp:docPr id="2" name="Image 1" descr="http://undocs.org/m2/QRCode.ashx?DS=CAT/C/57/D/709/2015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AT/C/57/D/709/2015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B0" w:rsidRPr="009C4D45" w:rsidRDefault="003618B0" w:rsidP="009C4D45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618B0" w:rsidRPr="00035AE4" w:rsidRDefault="003618B0" w:rsidP="00035AE4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618B0" w:rsidRPr="00035AE4" w:rsidRDefault="003618B0">
      <w:pPr>
        <w:spacing w:line="240" w:lineRule="auto"/>
        <w:rPr>
          <w:sz w:val="2"/>
          <w:szCs w:val="2"/>
        </w:rPr>
      </w:pPr>
    </w:p>
  </w:footnote>
  <w:footnote w:id="2">
    <w:p w:rsidR="00C8552F" w:rsidRPr="00C8552F" w:rsidRDefault="00C8552F">
      <w:pPr>
        <w:pStyle w:val="FootnoteText"/>
      </w:pPr>
      <w:r>
        <w:rPr>
          <w:rStyle w:val="FootnoteReference"/>
        </w:rPr>
        <w:tab/>
      </w:r>
      <w:r w:rsidRPr="00C8552F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szCs w:val="18"/>
        </w:rPr>
        <w:t xml:space="preserve">Adoptéee par le </w:t>
      </w:r>
      <w:r w:rsidRPr="00793957">
        <w:rPr>
          <w:szCs w:val="18"/>
        </w:rPr>
        <w:t>Comité</w:t>
      </w:r>
      <w:r>
        <w:rPr>
          <w:szCs w:val="18"/>
        </w:rPr>
        <w:t xml:space="preserve"> à sa c</w:t>
      </w:r>
      <w:r w:rsidRPr="0082398E">
        <w:rPr>
          <w:lang w:val="fr-FR"/>
        </w:rPr>
        <w:t>inquante-septième sessio</w:t>
      </w:r>
      <w:r>
        <w:rPr>
          <w:lang w:val="fr-FR"/>
        </w:rPr>
        <w:t>n (</w:t>
      </w:r>
      <w:r w:rsidRPr="00793957">
        <w:rPr>
          <w:lang w:val="fr-FR"/>
        </w:rPr>
        <w:t>18 avril-13 mai 2016</w:t>
      </w:r>
      <w:r>
        <w:rPr>
          <w:lang w:val="fr-FR"/>
        </w:rPr>
        <w:t>).</w:t>
      </w:r>
    </w:p>
  </w:footnote>
  <w:footnote w:id="3">
    <w:p w:rsidR="00C8552F" w:rsidRPr="00C8552F" w:rsidRDefault="00C8552F">
      <w:pPr>
        <w:pStyle w:val="FootnoteText"/>
      </w:pPr>
      <w:r>
        <w:rPr>
          <w:rStyle w:val="FootnoteReference"/>
        </w:rPr>
        <w:tab/>
      </w:r>
      <w:r w:rsidRPr="00C8552F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>
        <w:rPr>
          <w:lang w:val="fr-FR"/>
        </w:rPr>
        <w:t xml:space="preserve">Les membres du Comité dont le nom suit ont participé à l’examen de la </w:t>
      </w:r>
      <w:r w:rsidRPr="004E1030">
        <w:t>communication</w:t>
      </w:r>
      <w:r>
        <w:t> </w:t>
      </w:r>
      <w:r w:rsidRPr="004E1030">
        <w:t>:</w:t>
      </w:r>
      <w:r w:rsidRPr="004E1030">
        <w:rPr>
          <w:color w:val="000000"/>
          <w:szCs w:val="24"/>
        </w:rPr>
        <w:t xml:space="preserve"> </w:t>
      </w:r>
      <w:r w:rsidRPr="006F1E7E">
        <w:rPr>
          <w:color w:val="000000"/>
          <w:szCs w:val="24"/>
        </w:rPr>
        <w:t>Essadia</w:t>
      </w:r>
      <w:r>
        <w:rPr>
          <w:color w:val="000000"/>
          <w:szCs w:val="24"/>
        </w:rPr>
        <w:t> </w:t>
      </w:r>
      <w:r w:rsidRPr="006F1E7E">
        <w:rPr>
          <w:color w:val="000000"/>
          <w:szCs w:val="24"/>
        </w:rPr>
        <w:t xml:space="preserve">Belmir, </w:t>
      </w:r>
      <w:r w:rsidRPr="006F1E7E">
        <w:rPr>
          <w:szCs w:val="24"/>
        </w:rPr>
        <w:t xml:space="preserve">Alessio </w:t>
      </w:r>
      <w:r>
        <w:rPr>
          <w:szCs w:val="24"/>
        </w:rPr>
        <w:t xml:space="preserve">Bruni, </w:t>
      </w:r>
      <w:r>
        <w:rPr>
          <w:color w:val="000000"/>
          <w:szCs w:val="24"/>
        </w:rPr>
        <w:t xml:space="preserve">Satyabhoosun Gupt Domah, </w:t>
      </w:r>
      <w:r>
        <w:rPr>
          <w:szCs w:val="24"/>
        </w:rPr>
        <w:t xml:space="preserve">Felice Gaer, </w:t>
      </w:r>
      <w:r w:rsidRPr="006F1E7E">
        <w:rPr>
          <w:szCs w:val="24"/>
        </w:rPr>
        <w:t xml:space="preserve">Abdoulaye </w:t>
      </w:r>
      <w:r>
        <w:rPr>
          <w:szCs w:val="24"/>
        </w:rPr>
        <w:t xml:space="preserve">Gaye, Claudio Grossman, </w:t>
      </w:r>
      <w:r>
        <w:rPr>
          <w:snapToGrid w:val="0"/>
          <w:szCs w:val="24"/>
        </w:rPr>
        <w:t xml:space="preserve">Jens Modvig, Sapana Pradhan-Malla, </w:t>
      </w:r>
      <w:r>
        <w:rPr>
          <w:szCs w:val="24"/>
        </w:rPr>
        <w:t xml:space="preserve">George Tugushi </w:t>
      </w:r>
      <w:r w:rsidR="004F2A18">
        <w:rPr>
          <w:szCs w:val="24"/>
        </w:rPr>
        <w:t>et</w:t>
      </w:r>
      <w:r>
        <w:rPr>
          <w:szCs w:val="24"/>
        </w:rPr>
        <w:t xml:space="preserve"> Kening Zhang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E6" w:rsidRPr="005260E6" w:rsidRDefault="005260E6">
    <w:pPr>
      <w:pStyle w:val="Header"/>
    </w:pPr>
    <w:r>
      <w:t>CAT/C/57/D/709/2015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E6" w:rsidRPr="005260E6" w:rsidRDefault="005260E6" w:rsidP="005260E6">
    <w:pPr>
      <w:pStyle w:val="Header"/>
      <w:jc w:val="right"/>
    </w:pPr>
    <w:r>
      <w:t>CAT/C/57/D/709/2015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B1"/>
    <w:rsid w:val="00023842"/>
    <w:rsid w:val="00035AE4"/>
    <w:rsid w:val="00037DF1"/>
    <w:rsid w:val="0007796D"/>
    <w:rsid w:val="00087EBB"/>
    <w:rsid w:val="000D0709"/>
    <w:rsid w:val="00101756"/>
    <w:rsid w:val="00111F2F"/>
    <w:rsid w:val="0014365E"/>
    <w:rsid w:val="00176178"/>
    <w:rsid w:val="001E5E09"/>
    <w:rsid w:val="001F525A"/>
    <w:rsid w:val="003618B0"/>
    <w:rsid w:val="003F584C"/>
    <w:rsid w:val="00446FE5"/>
    <w:rsid w:val="004F046A"/>
    <w:rsid w:val="004F2A18"/>
    <w:rsid w:val="005260E6"/>
    <w:rsid w:val="00553A1F"/>
    <w:rsid w:val="00573BE5"/>
    <w:rsid w:val="00586ED3"/>
    <w:rsid w:val="00587A52"/>
    <w:rsid w:val="005A51D3"/>
    <w:rsid w:val="005B4E23"/>
    <w:rsid w:val="00621144"/>
    <w:rsid w:val="0065464D"/>
    <w:rsid w:val="0071601D"/>
    <w:rsid w:val="007432FB"/>
    <w:rsid w:val="0080684C"/>
    <w:rsid w:val="00807D21"/>
    <w:rsid w:val="00840C6C"/>
    <w:rsid w:val="00871C75"/>
    <w:rsid w:val="008776DC"/>
    <w:rsid w:val="009705C8"/>
    <w:rsid w:val="009C4D45"/>
    <w:rsid w:val="009F531E"/>
    <w:rsid w:val="00A05770"/>
    <w:rsid w:val="00A37C92"/>
    <w:rsid w:val="00AA0CD3"/>
    <w:rsid w:val="00AB1B55"/>
    <w:rsid w:val="00AE323C"/>
    <w:rsid w:val="00BA41F4"/>
    <w:rsid w:val="00C02897"/>
    <w:rsid w:val="00C8552F"/>
    <w:rsid w:val="00CA5CE1"/>
    <w:rsid w:val="00CD326D"/>
    <w:rsid w:val="00D21E12"/>
    <w:rsid w:val="00DB1831"/>
    <w:rsid w:val="00DD3BFD"/>
    <w:rsid w:val="00E554A4"/>
    <w:rsid w:val="00EA0D23"/>
    <w:rsid w:val="00EA3F83"/>
    <w:rsid w:val="00ED2EB1"/>
    <w:rsid w:val="00EE6EA3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47F21-CEFC-4A8A-A7DA-E3ECFBB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FB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7432FB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7432FB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7432FB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7432FB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7432FB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7432FB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432FB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7432FB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743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7432F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7432FB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7432FB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7432FB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32FB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7432F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7432FB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7432FB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432FB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432FB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7432FB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32FB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32FB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32FB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32FB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32FB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32FB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32FB"/>
    <w:pPr>
      <w:numPr>
        <w:numId w:val="16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7432FB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7432FB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7432FB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432FB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432FB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7432FB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432FB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7432FB"/>
  </w:style>
  <w:style w:type="character" w:customStyle="1" w:styleId="EndnoteTextChar">
    <w:name w:val="Endnote Text Char"/>
    <w:aliases w:val="2_G Char"/>
    <w:basedOn w:val="DefaultParagraphFont"/>
    <w:link w:val="EndnoteText"/>
    <w:rsid w:val="007432FB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7432FB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7432F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432F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7432F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F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7432F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7432FB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7432FB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H23GChar">
    <w:name w:val="_ H_2/3_G Char"/>
    <w:link w:val="H23G"/>
    <w:locked/>
    <w:rsid w:val="007432FB"/>
    <w:rPr>
      <w:rFonts w:ascii="Times New Roman" w:eastAsiaTheme="minorHAns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8B8-C538-41DE-BA35-54E854AE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CAT/C/57/D/709/2015</vt:lpstr>
      <vt:lpstr>CAT/C/57/D/709/2015</vt:lpstr>
    </vt:vector>
  </TitlesOfParts>
  <Company>DCM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CAT/C/57/D/709/2015</dc:title>
  <dc:subject/>
  <dc:creator>Moret</dc:creator>
  <cp:keywords/>
  <dc:description/>
  <cp:lastModifiedBy>Sarah Willig</cp:lastModifiedBy>
  <cp:revision>2</cp:revision>
  <dcterms:created xsi:type="dcterms:W3CDTF">2017-03-28T15:48:00Z</dcterms:created>
  <dcterms:modified xsi:type="dcterms:W3CDTF">2017-03-28T15:48:00Z</dcterms:modified>
</cp:coreProperties>
</file>