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1AF0" w:rsidRPr="007345D4" w14:paraId="32C51CFE" w14:textId="77777777">
        <w:trPr>
          <w:cantSplit/>
          <w:trHeight w:hRule="exact" w:val="851"/>
        </w:trPr>
        <w:tc>
          <w:tcPr>
            <w:tcW w:w="1276" w:type="dxa"/>
            <w:tcBorders>
              <w:bottom w:val="single" w:sz="4" w:space="0" w:color="auto"/>
            </w:tcBorders>
            <w:vAlign w:val="bottom"/>
          </w:tcPr>
          <w:p w14:paraId="7862747D" w14:textId="77777777" w:rsidR="00E01AF0" w:rsidRPr="007345D4" w:rsidRDefault="00E01AF0" w:rsidP="00E01AF0">
            <w:pPr>
              <w:spacing w:after="80"/>
              <w:rPr>
                <w:u w:val="single"/>
              </w:rPr>
            </w:pPr>
            <w:bookmarkStart w:id="0" w:name="_GoBack"/>
            <w:bookmarkEnd w:id="0"/>
          </w:p>
        </w:tc>
        <w:tc>
          <w:tcPr>
            <w:tcW w:w="2268" w:type="dxa"/>
            <w:tcBorders>
              <w:bottom w:val="single" w:sz="4" w:space="0" w:color="auto"/>
            </w:tcBorders>
            <w:vAlign w:val="bottom"/>
          </w:tcPr>
          <w:p w14:paraId="741BC4DC" w14:textId="77777777" w:rsidR="00E01AF0" w:rsidRPr="007345D4" w:rsidRDefault="00E01AF0" w:rsidP="00E01AF0">
            <w:pPr>
              <w:spacing w:after="80" w:line="300" w:lineRule="exact"/>
              <w:rPr>
                <w:b/>
                <w:sz w:val="24"/>
                <w:szCs w:val="24"/>
              </w:rPr>
            </w:pPr>
            <w:r w:rsidRPr="007345D4">
              <w:rPr>
                <w:sz w:val="28"/>
                <w:szCs w:val="28"/>
              </w:rPr>
              <w:t>United Nations</w:t>
            </w:r>
          </w:p>
        </w:tc>
        <w:tc>
          <w:tcPr>
            <w:tcW w:w="6095" w:type="dxa"/>
            <w:gridSpan w:val="2"/>
            <w:tcBorders>
              <w:bottom w:val="single" w:sz="4" w:space="0" w:color="auto"/>
            </w:tcBorders>
            <w:vAlign w:val="bottom"/>
          </w:tcPr>
          <w:p w14:paraId="685C2A06" w14:textId="77777777" w:rsidR="00E01AF0" w:rsidRPr="007345D4" w:rsidRDefault="00E01AF0" w:rsidP="00E01AF0">
            <w:pPr>
              <w:jc w:val="right"/>
            </w:pPr>
            <w:r w:rsidRPr="007345D4">
              <w:rPr>
                <w:sz w:val="40"/>
              </w:rPr>
              <w:t>CCPR</w:t>
            </w:r>
            <w:r w:rsidRPr="007345D4">
              <w:t>/C/115/D/2258/2013</w:t>
            </w:r>
          </w:p>
        </w:tc>
      </w:tr>
      <w:tr w:rsidR="00E01AF0" w:rsidRPr="007345D4" w14:paraId="270848A9" w14:textId="77777777">
        <w:trPr>
          <w:cantSplit/>
          <w:trHeight w:hRule="exact" w:val="2835"/>
        </w:trPr>
        <w:tc>
          <w:tcPr>
            <w:tcW w:w="1276" w:type="dxa"/>
            <w:tcBorders>
              <w:top w:val="single" w:sz="4" w:space="0" w:color="auto"/>
              <w:bottom w:val="single" w:sz="12" w:space="0" w:color="auto"/>
            </w:tcBorders>
          </w:tcPr>
          <w:p w14:paraId="4EF61CEE" w14:textId="77777777" w:rsidR="00E01AF0" w:rsidRPr="007345D4" w:rsidRDefault="00140AEF" w:rsidP="00E01AF0">
            <w:pPr>
              <w:spacing w:before="120"/>
            </w:pPr>
            <w:r w:rsidRPr="00AD2E5E">
              <w:rPr>
                <w:noProof/>
                <w:lang w:val="en-US"/>
              </w:rPr>
              <w:drawing>
                <wp:inline distT="0" distB="0" distL="0" distR="0" wp14:anchorId="516A5885" wp14:editId="77D2CDA4">
                  <wp:extent cx="715010" cy="586105"/>
                  <wp:effectExtent l="0" t="0" r="8890" b="444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8610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2C0BC70" w14:textId="77777777" w:rsidR="00E01AF0" w:rsidRPr="007345D4" w:rsidRDefault="00E01AF0" w:rsidP="00EC74B2">
            <w:pPr>
              <w:spacing w:before="120" w:line="380" w:lineRule="exact"/>
              <w:rPr>
                <w:sz w:val="34"/>
              </w:rPr>
            </w:pPr>
            <w:r w:rsidRPr="007345D4">
              <w:rPr>
                <w:b/>
                <w:sz w:val="34"/>
                <w:szCs w:val="40"/>
              </w:rPr>
              <w:t>International Covenant on</w:t>
            </w:r>
            <w:r w:rsidRPr="007345D4">
              <w:rPr>
                <w:b/>
                <w:sz w:val="34"/>
                <w:szCs w:val="40"/>
              </w:rPr>
              <w:br/>
              <w:t>Civil and Political Rights</w:t>
            </w:r>
          </w:p>
        </w:tc>
        <w:tc>
          <w:tcPr>
            <w:tcW w:w="2835" w:type="dxa"/>
            <w:tcBorders>
              <w:top w:val="single" w:sz="4" w:space="0" w:color="auto"/>
              <w:bottom w:val="single" w:sz="12" w:space="0" w:color="auto"/>
            </w:tcBorders>
          </w:tcPr>
          <w:p w14:paraId="4709F6B2" w14:textId="77777777" w:rsidR="00A53621" w:rsidRPr="007345D4" w:rsidRDefault="00A53621" w:rsidP="00A53621">
            <w:pPr>
              <w:spacing w:before="240" w:line="240" w:lineRule="exact"/>
            </w:pPr>
            <w:r w:rsidRPr="007345D4">
              <w:t xml:space="preserve">Distr.: </w:t>
            </w:r>
            <w:r w:rsidR="00E503F4" w:rsidRPr="007345D4">
              <w:t>General</w:t>
            </w:r>
          </w:p>
          <w:p w14:paraId="6449D49E" w14:textId="77777777" w:rsidR="00A53621" w:rsidRPr="007345D4" w:rsidRDefault="001F15E0" w:rsidP="00290942">
            <w:pPr>
              <w:spacing w:line="240" w:lineRule="exact"/>
            </w:pPr>
            <w:r>
              <w:t>8</w:t>
            </w:r>
            <w:r w:rsidR="00BF0B4B">
              <w:t xml:space="preserve"> January 2016</w:t>
            </w:r>
          </w:p>
          <w:p w14:paraId="7F6E95F3" w14:textId="77777777" w:rsidR="00A53621" w:rsidRPr="007345D4" w:rsidRDefault="00A53621" w:rsidP="00A53621">
            <w:pPr>
              <w:spacing w:line="240" w:lineRule="exact"/>
            </w:pPr>
          </w:p>
          <w:p w14:paraId="507B8256" w14:textId="77777777" w:rsidR="00A53621" w:rsidRPr="007345D4" w:rsidRDefault="00A53621" w:rsidP="00A53621">
            <w:pPr>
              <w:spacing w:line="240" w:lineRule="exact"/>
            </w:pPr>
            <w:r w:rsidRPr="007345D4">
              <w:t>Original: English</w:t>
            </w:r>
          </w:p>
          <w:p w14:paraId="2D440F36" w14:textId="77777777" w:rsidR="00E01AF0" w:rsidRPr="007345D4" w:rsidRDefault="00E01AF0" w:rsidP="00A53621">
            <w:pPr>
              <w:spacing w:line="240" w:lineRule="exact"/>
            </w:pPr>
          </w:p>
        </w:tc>
      </w:tr>
    </w:tbl>
    <w:p w14:paraId="03D83E29" w14:textId="77777777" w:rsidR="00F81DEA" w:rsidRPr="00760E3D" w:rsidRDefault="00F81DEA" w:rsidP="00760E3D">
      <w:pPr>
        <w:spacing w:line="20" w:lineRule="exact"/>
        <w:rPr>
          <w:b/>
          <w:sz w:val="2"/>
          <w:szCs w:val="24"/>
        </w:rPr>
      </w:pPr>
      <w:r>
        <w:rPr>
          <w:rStyle w:val="CommentReference"/>
        </w:rPr>
        <w:commentReference w:id="1"/>
      </w:r>
    </w:p>
    <w:p w14:paraId="19D5584E" w14:textId="77777777" w:rsidR="00A53621" w:rsidRPr="007345D4" w:rsidRDefault="00A53621" w:rsidP="00A53621">
      <w:pPr>
        <w:spacing w:before="120"/>
        <w:rPr>
          <w:b/>
          <w:sz w:val="24"/>
          <w:szCs w:val="24"/>
        </w:rPr>
      </w:pPr>
      <w:r w:rsidRPr="007345D4">
        <w:rPr>
          <w:b/>
          <w:sz w:val="24"/>
          <w:szCs w:val="24"/>
        </w:rPr>
        <w:t>Human Rights Committee</w:t>
      </w:r>
    </w:p>
    <w:p w14:paraId="28A95EA9" w14:textId="77777777" w:rsidR="00E01AF0" w:rsidRPr="007345D4" w:rsidRDefault="00E01AF0" w:rsidP="003E2DDD">
      <w:pPr>
        <w:pStyle w:val="HChG"/>
      </w:pPr>
      <w:r w:rsidRPr="007345D4">
        <w:tab/>
      </w:r>
      <w:r w:rsidRPr="007345D4">
        <w:tab/>
        <w:t>Communication No. 2258/2013</w:t>
      </w:r>
    </w:p>
    <w:p w14:paraId="04A14753" w14:textId="77777777" w:rsidR="00E01AF0" w:rsidRPr="007345D4" w:rsidRDefault="00E01AF0" w:rsidP="00E01AF0">
      <w:pPr>
        <w:pStyle w:val="H1G"/>
      </w:pPr>
      <w:r w:rsidRPr="007345D4">
        <w:tab/>
      </w:r>
      <w:r w:rsidRPr="007345D4">
        <w:tab/>
      </w:r>
      <w:r w:rsidR="00E503F4" w:rsidRPr="007345D4">
        <w:t>Views adopted by the Committee at its 115</w:t>
      </w:r>
      <w:r w:rsidR="00E503F4" w:rsidRPr="009B3BE6">
        <w:t>th</w:t>
      </w:r>
      <w:r w:rsidR="00E503F4" w:rsidRPr="007345D4">
        <w:t xml:space="preserve"> session</w:t>
      </w:r>
      <w:r w:rsidR="00356FBA" w:rsidRPr="007345D4">
        <w:br/>
      </w:r>
      <w:r w:rsidR="00E503F4" w:rsidRPr="007345D4">
        <w:t>(19 October</w:t>
      </w:r>
      <w:r w:rsidR="002D12B0" w:rsidRPr="007345D4">
        <w:t>-</w:t>
      </w:r>
      <w:r w:rsidR="00E503F4" w:rsidRPr="007345D4">
        <w:t>6 November 2015)</w:t>
      </w:r>
    </w:p>
    <w:p w14:paraId="3A39EB08" w14:textId="77777777" w:rsidR="00E01AF0" w:rsidRPr="007345D4" w:rsidRDefault="00E01AF0" w:rsidP="003E2DDD">
      <w:pPr>
        <w:pStyle w:val="SingleTxtG"/>
        <w:ind w:left="4536" w:hanging="3402"/>
        <w:jc w:val="left"/>
        <w:rPr>
          <w:i/>
          <w:lang w:val="en-GB"/>
        </w:rPr>
      </w:pPr>
      <w:r w:rsidRPr="007345D4">
        <w:rPr>
          <w:i/>
          <w:lang w:val="en-GB"/>
        </w:rPr>
        <w:t>Submitted by:</w:t>
      </w:r>
      <w:r w:rsidRPr="007345D4">
        <w:rPr>
          <w:i/>
          <w:lang w:val="en-GB"/>
        </w:rPr>
        <w:tab/>
      </w:r>
      <w:r w:rsidRPr="007345D4">
        <w:rPr>
          <w:lang w:val="en-GB"/>
        </w:rPr>
        <w:t>Jenirthan Rasappu and Jenarthan Rasappu (represented by counsel, Michala Bendixen from Refugees Welcome)</w:t>
      </w:r>
    </w:p>
    <w:p w14:paraId="5AFA6E5E" w14:textId="77777777" w:rsidR="00E01AF0" w:rsidRPr="007345D4" w:rsidRDefault="00E01AF0">
      <w:pPr>
        <w:pStyle w:val="SingleTxtG"/>
        <w:ind w:left="4536" w:hanging="3402"/>
        <w:jc w:val="left"/>
        <w:rPr>
          <w:i/>
          <w:lang w:val="en-GB"/>
        </w:rPr>
      </w:pPr>
      <w:r w:rsidRPr="007345D4">
        <w:rPr>
          <w:i/>
          <w:lang w:val="en-GB"/>
        </w:rPr>
        <w:t>Alleged victim:</w:t>
      </w:r>
      <w:r w:rsidRPr="007345D4">
        <w:rPr>
          <w:i/>
          <w:lang w:val="en-GB"/>
        </w:rPr>
        <w:tab/>
      </w:r>
      <w:r w:rsidRPr="007345D4">
        <w:rPr>
          <w:lang w:val="en-GB"/>
        </w:rPr>
        <w:t>The authors</w:t>
      </w:r>
    </w:p>
    <w:p w14:paraId="5468EB88" w14:textId="77777777" w:rsidR="00E01AF0" w:rsidRPr="007345D4" w:rsidRDefault="00E01AF0" w:rsidP="00EF16DE">
      <w:pPr>
        <w:pStyle w:val="SingleTxtG"/>
        <w:ind w:left="4536" w:hanging="3402"/>
        <w:jc w:val="left"/>
        <w:rPr>
          <w:i/>
          <w:lang w:val="en-GB"/>
        </w:rPr>
      </w:pPr>
      <w:r w:rsidRPr="007345D4">
        <w:rPr>
          <w:i/>
          <w:lang w:val="en-GB"/>
        </w:rPr>
        <w:t xml:space="preserve">State </w:t>
      </w:r>
      <w:r w:rsidR="00836A95">
        <w:rPr>
          <w:i/>
          <w:lang w:val="en-GB"/>
        </w:rPr>
        <w:t>p</w:t>
      </w:r>
      <w:r w:rsidRPr="007345D4">
        <w:rPr>
          <w:i/>
          <w:lang w:val="en-GB"/>
        </w:rPr>
        <w:t>arty:</w:t>
      </w:r>
      <w:r w:rsidRPr="007345D4">
        <w:rPr>
          <w:i/>
          <w:lang w:val="en-GB"/>
        </w:rPr>
        <w:tab/>
      </w:r>
      <w:r w:rsidRPr="007345D4">
        <w:rPr>
          <w:lang w:val="en-GB"/>
        </w:rPr>
        <w:t>Denmark</w:t>
      </w:r>
    </w:p>
    <w:p w14:paraId="5820A303" w14:textId="77777777" w:rsidR="00E01AF0" w:rsidRPr="007345D4" w:rsidRDefault="00E01AF0">
      <w:pPr>
        <w:pStyle w:val="SingleTxtG"/>
        <w:ind w:left="4536" w:hanging="3402"/>
        <w:jc w:val="left"/>
        <w:rPr>
          <w:i/>
          <w:lang w:val="en-GB"/>
        </w:rPr>
      </w:pPr>
      <w:r w:rsidRPr="007345D4">
        <w:rPr>
          <w:i/>
          <w:lang w:val="en-GB"/>
        </w:rPr>
        <w:t>Date of communication:</w:t>
      </w:r>
      <w:r w:rsidRPr="007345D4">
        <w:rPr>
          <w:i/>
          <w:lang w:val="en-GB"/>
        </w:rPr>
        <w:tab/>
      </w:r>
      <w:r w:rsidRPr="007345D4">
        <w:rPr>
          <w:lang w:val="en-GB"/>
        </w:rPr>
        <w:t>3 June 2013 (initial submission)</w:t>
      </w:r>
    </w:p>
    <w:p w14:paraId="771A856D" w14:textId="77777777" w:rsidR="00E01AF0" w:rsidRPr="007345D4" w:rsidRDefault="00E01AF0">
      <w:pPr>
        <w:pStyle w:val="SingleTxtG"/>
        <w:ind w:left="4536" w:hanging="3402"/>
        <w:jc w:val="left"/>
        <w:rPr>
          <w:i/>
          <w:lang w:val="en-GB"/>
        </w:rPr>
      </w:pPr>
      <w:r w:rsidRPr="007345D4">
        <w:rPr>
          <w:i/>
          <w:lang w:val="en-GB"/>
        </w:rPr>
        <w:t>Document references:</w:t>
      </w:r>
      <w:r w:rsidRPr="007345D4">
        <w:rPr>
          <w:i/>
          <w:lang w:val="en-GB"/>
        </w:rPr>
        <w:tab/>
      </w:r>
      <w:r w:rsidRPr="007345D4">
        <w:rPr>
          <w:lang w:val="en-GB"/>
        </w:rPr>
        <w:t>Special Rapporteur’s rule 97 decision, transmitted to the State party on 14 June 2013 (not issued in document form)</w:t>
      </w:r>
    </w:p>
    <w:p w14:paraId="4F7D908C" w14:textId="77777777" w:rsidR="00E01AF0" w:rsidRPr="007345D4" w:rsidRDefault="00E01AF0">
      <w:pPr>
        <w:pStyle w:val="SingleTxtG"/>
        <w:ind w:left="4536" w:hanging="3402"/>
        <w:jc w:val="left"/>
        <w:rPr>
          <w:lang w:val="en-GB"/>
        </w:rPr>
      </w:pPr>
      <w:r w:rsidRPr="007345D4">
        <w:rPr>
          <w:i/>
          <w:lang w:val="en-GB"/>
        </w:rPr>
        <w:t>Date of adoption of Views:</w:t>
      </w:r>
      <w:r w:rsidRPr="007345D4">
        <w:rPr>
          <w:i/>
          <w:lang w:val="en-GB"/>
        </w:rPr>
        <w:tab/>
      </w:r>
      <w:r w:rsidR="00E503F4" w:rsidRPr="007345D4">
        <w:rPr>
          <w:lang w:val="en-GB"/>
        </w:rPr>
        <w:t>4 November</w:t>
      </w:r>
      <w:r w:rsidRPr="007345D4">
        <w:rPr>
          <w:lang w:val="en-GB"/>
        </w:rPr>
        <w:t xml:space="preserve"> 2015</w:t>
      </w:r>
    </w:p>
    <w:p w14:paraId="1F1F1EB5" w14:textId="77777777" w:rsidR="00E01AF0" w:rsidRPr="007345D4" w:rsidRDefault="00C23BB4" w:rsidP="00095CDF">
      <w:pPr>
        <w:pStyle w:val="SingleTxtG"/>
        <w:ind w:left="4536" w:hanging="3402"/>
        <w:jc w:val="left"/>
        <w:rPr>
          <w:iCs/>
          <w:lang w:val="en-GB"/>
        </w:rPr>
      </w:pPr>
      <w:r w:rsidRPr="00BF7847">
        <w:rPr>
          <w:i/>
        </w:rPr>
        <w:t xml:space="preserve">Subject matter: </w:t>
      </w:r>
      <w:r w:rsidRPr="00BF7847">
        <w:rPr>
          <w:i/>
        </w:rPr>
        <w:tab/>
      </w:r>
      <w:r w:rsidRPr="00BF7847">
        <w:t>Deportation</w:t>
      </w:r>
      <w:r w:rsidRPr="00BF7847">
        <w:rPr>
          <w:iCs/>
        </w:rPr>
        <w:t xml:space="preserve"> to Sri Lanka of unaccompanied minor</w:t>
      </w:r>
      <w:r w:rsidR="00294F69" w:rsidRPr="00BF7847">
        <w:rPr>
          <w:iCs/>
          <w:lang w:val="en-US"/>
        </w:rPr>
        <w:t>s</w:t>
      </w:r>
    </w:p>
    <w:p w14:paraId="07E9C30D" w14:textId="77777777" w:rsidR="00E01AF0" w:rsidRPr="007345D4" w:rsidRDefault="00E01AF0">
      <w:pPr>
        <w:pStyle w:val="SingleTxtG"/>
        <w:ind w:left="4536" w:hanging="3402"/>
        <w:jc w:val="left"/>
        <w:rPr>
          <w:lang w:val="en-GB"/>
        </w:rPr>
      </w:pPr>
      <w:r w:rsidRPr="007345D4">
        <w:rPr>
          <w:i/>
          <w:lang w:val="en-GB"/>
        </w:rPr>
        <w:t>Procedural issues:</w:t>
      </w:r>
      <w:r w:rsidRPr="007345D4">
        <w:rPr>
          <w:lang w:val="en-GB"/>
        </w:rPr>
        <w:t xml:space="preserve"> </w:t>
      </w:r>
      <w:r w:rsidRPr="007345D4">
        <w:rPr>
          <w:lang w:val="en-GB"/>
        </w:rPr>
        <w:tab/>
        <w:t>Failure to sufficiently substantiate allegations</w:t>
      </w:r>
    </w:p>
    <w:p w14:paraId="2DEC6D2A" w14:textId="77777777" w:rsidR="00E01AF0" w:rsidRPr="007345D4" w:rsidRDefault="00E01AF0">
      <w:pPr>
        <w:pStyle w:val="SingleTxtG"/>
        <w:ind w:left="4536" w:hanging="3402"/>
        <w:jc w:val="left"/>
        <w:rPr>
          <w:lang w:val="en-GB"/>
        </w:rPr>
      </w:pPr>
      <w:r w:rsidRPr="007345D4">
        <w:rPr>
          <w:i/>
          <w:lang w:val="en-GB"/>
        </w:rPr>
        <w:t>Substantive issues:</w:t>
      </w:r>
      <w:r w:rsidRPr="007345D4">
        <w:rPr>
          <w:lang w:val="en-GB"/>
        </w:rPr>
        <w:t xml:space="preserve"> </w:t>
      </w:r>
      <w:r w:rsidRPr="007345D4">
        <w:rPr>
          <w:lang w:val="en-GB"/>
        </w:rPr>
        <w:tab/>
        <w:t xml:space="preserve">Risk of torture or cruel, inhuman or degrading treatment </w:t>
      </w:r>
    </w:p>
    <w:p w14:paraId="6224BAE0" w14:textId="77777777" w:rsidR="00E01AF0" w:rsidRPr="007345D4" w:rsidRDefault="00E01AF0">
      <w:pPr>
        <w:pStyle w:val="SingleTxtG"/>
        <w:ind w:left="4536" w:hanging="3402"/>
        <w:jc w:val="left"/>
        <w:rPr>
          <w:lang w:val="en-GB"/>
        </w:rPr>
      </w:pPr>
      <w:r w:rsidRPr="007345D4">
        <w:rPr>
          <w:i/>
          <w:lang w:val="en-GB"/>
        </w:rPr>
        <w:t>Articles of the Covenant:</w:t>
      </w:r>
      <w:r w:rsidRPr="007345D4">
        <w:rPr>
          <w:lang w:val="en-GB"/>
        </w:rPr>
        <w:t xml:space="preserve"> </w:t>
      </w:r>
      <w:r w:rsidRPr="007345D4">
        <w:rPr>
          <w:lang w:val="en-GB"/>
        </w:rPr>
        <w:tab/>
        <w:t>7</w:t>
      </w:r>
    </w:p>
    <w:p w14:paraId="3621FC51" w14:textId="77777777" w:rsidR="00E01AF0" w:rsidRPr="007345D4" w:rsidRDefault="00E01AF0">
      <w:pPr>
        <w:pStyle w:val="SingleTxtG"/>
        <w:ind w:left="4536" w:hanging="3402"/>
        <w:jc w:val="left"/>
        <w:rPr>
          <w:lang w:val="en-GB"/>
        </w:rPr>
      </w:pPr>
      <w:r w:rsidRPr="007345D4">
        <w:rPr>
          <w:i/>
          <w:lang w:val="en-GB"/>
        </w:rPr>
        <w:t>Articles of the Optional Protocol:</w:t>
      </w:r>
      <w:r w:rsidRPr="007345D4">
        <w:rPr>
          <w:lang w:val="en-GB"/>
        </w:rPr>
        <w:t xml:space="preserve"> </w:t>
      </w:r>
      <w:r w:rsidRPr="007345D4">
        <w:rPr>
          <w:lang w:val="en-GB"/>
        </w:rPr>
        <w:tab/>
        <w:t>2</w:t>
      </w:r>
    </w:p>
    <w:p w14:paraId="50D97A34" w14:textId="77777777" w:rsidR="00E01AF0" w:rsidRPr="007345D4" w:rsidRDefault="00E01AF0" w:rsidP="00E503F4">
      <w:pPr>
        <w:pStyle w:val="SingleTxtG"/>
        <w:rPr>
          <w:bCs/>
          <w:iCs/>
          <w:lang w:val="en-GB"/>
        </w:rPr>
      </w:pPr>
      <w:r w:rsidRPr="009B3BE6">
        <w:rPr>
          <w:lang w:val="en-GB"/>
        </w:rPr>
        <w:tab/>
      </w:r>
    </w:p>
    <w:p w14:paraId="4232015F" w14:textId="77777777" w:rsidR="00E01AF0" w:rsidRPr="007345D4" w:rsidRDefault="00E01AF0" w:rsidP="00E01AF0">
      <w:pPr>
        <w:pStyle w:val="HChG"/>
      </w:pPr>
      <w:r w:rsidRPr="007345D4">
        <w:br w:type="page"/>
      </w:r>
      <w:r w:rsidRPr="007345D4">
        <w:lastRenderedPageBreak/>
        <w:t>Annex</w:t>
      </w:r>
    </w:p>
    <w:p w14:paraId="136B633F" w14:textId="77777777" w:rsidR="00E01AF0" w:rsidRPr="007345D4" w:rsidRDefault="00E01AF0">
      <w:pPr>
        <w:pStyle w:val="HChG"/>
        <w:rPr>
          <w:bCs/>
        </w:rPr>
      </w:pPr>
      <w:r w:rsidRPr="007345D4">
        <w:tab/>
      </w:r>
      <w:r w:rsidRPr="007345D4">
        <w:tab/>
        <w:t>Views of the Human Rights Committee under article 5</w:t>
      </w:r>
      <w:r w:rsidR="00BF0B4B">
        <w:t> (</w:t>
      </w:r>
      <w:r w:rsidRPr="007345D4">
        <w:t>4</w:t>
      </w:r>
      <w:r w:rsidR="00BF0B4B">
        <w:t>)</w:t>
      </w:r>
      <w:r w:rsidRPr="007345D4">
        <w:t xml:space="preserve"> the Optional Protocol to the International Covenant on Civil and Political Rights (115th</w:t>
      </w:r>
      <w:r w:rsidRPr="007345D4">
        <w:rPr>
          <w:bCs/>
        </w:rPr>
        <w:t xml:space="preserve"> session)</w:t>
      </w:r>
    </w:p>
    <w:p w14:paraId="19CB112D" w14:textId="77777777" w:rsidR="00E01AF0" w:rsidRPr="007345D4" w:rsidRDefault="00E01AF0" w:rsidP="00E01AF0">
      <w:pPr>
        <w:pStyle w:val="SingleTxtG"/>
        <w:rPr>
          <w:lang w:val="en-GB"/>
        </w:rPr>
      </w:pPr>
      <w:r w:rsidRPr="007345D4">
        <w:rPr>
          <w:lang w:val="en-GB"/>
        </w:rPr>
        <w:t>concerning</w:t>
      </w:r>
    </w:p>
    <w:p w14:paraId="1E5EA20C" w14:textId="77777777" w:rsidR="00E503F4" w:rsidRPr="00BC7713" w:rsidRDefault="00E01AF0" w:rsidP="009B3BE6">
      <w:pPr>
        <w:pStyle w:val="H1G"/>
        <w:rPr>
          <w:bCs/>
          <w:szCs w:val="24"/>
          <w:lang w:eastAsia="en-GB"/>
        </w:rPr>
      </w:pPr>
      <w:r w:rsidRPr="00AD2E5E">
        <w:tab/>
      </w:r>
      <w:r w:rsidRPr="00AD2E5E">
        <w:tab/>
        <w:t>Communication No. 22</w:t>
      </w:r>
      <w:r w:rsidR="00A53621" w:rsidRPr="00AD2E5E">
        <w:t>5</w:t>
      </w:r>
      <w:r w:rsidRPr="00BF0B4B">
        <w:t>8/2013</w:t>
      </w:r>
      <w:r w:rsidR="00E503F4" w:rsidRPr="009B3BE6">
        <w:rPr>
          <w:rStyle w:val="FootnoteReference"/>
          <w:b w:val="0"/>
          <w:bCs/>
          <w:sz w:val="20"/>
          <w:vertAlign w:val="baseline"/>
        </w:rPr>
        <w:footnoteReference w:customMarkFollows="1" w:id="2"/>
        <w:t>*</w:t>
      </w:r>
    </w:p>
    <w:p w14:paraId="2F7B70C4" w14:textId="77777777" w:rsidR="00E01AF0" w:rsidRPr="007345D4" w:rsidRDefault="00E01AF0" w:rsidP="003E2DDD">
      <w:pPr>
        <w:pStyle w:val="SingleTxtG"/>
        <w:ind w:left="4536" w:hanging="3402"/>
        <w:jc w:val="left"/>
        <w:rPr>
          <w:lang w:val="en-GB"/>
        </w:rPr>
      </w:pPr>
      <w:r w:rsidRPr="007345D4">
        <w:rPr>
          <w:i/>
          <w:lang w:val="en-GB"/>
        </w:rPr>
        <w:t>Submitted by:</w:t>
      </w:r>
      <w:r w:rsidRPr="007345D4">
        <w:rPr>
          <w:lang w:val="en-GB"/>
        </w:rPr>
        <w:tab/>
        <w:t>Jenirthan Rasappu and Jenarthan Rasappu (represented by counsel, Michala Bendixen from Refugees Welcome)</w:t>
      </w:r>
    </w:p>
    <w:p w14:paraId="2DA1D0D7" w14:textId="77777777" w:rsidR="00E01AF0" w:rsidRPr="007345D4" w:rsidRDefault="00E01AF0">
      <w:pPr>
        <w:pStyle w:val="SingleTxtG"/>
        <w:ind w:left="4536" w:hanging="3402"/>
        <w:jc w:val="left"/>
        <w:rPr>
          <w:lang w:val="en-GB"/>
        </w:rPr>
      </w:pPr>
      <w:r w:rsidRPr="007345D4">
        <w:rPr>
          <w:i/>
          <w:lang w:val="en-GB"/>
        </w:rPr>
        <w:t>Alleged victim:</w:t>
      </w:r>
      <w:r w:rsidRPr="007345D4">
        <w:rPr>
          <w:lang w:val="en-GB"/>
        </w:rPr>
        <w:tab/>
        <w:t>The authors</w:t>
      </w:r>
    </w:p>
    <w:p w14:paraId="33D5A671" w14:textId="77777777" w:rsidR="00E01AF0" w:rsidRPr="007345D4" w:rsidRDefault="00E01AF0" w:rsidP="006A24FB">
      <w:pPr>
        <w:pStyle w:val="SingleTxtG"/>
        <w:ind w:left="4536" w:hanging="3402"/>
        <w:jc w:val="left"/>
        <w:rPr>
          <w:lang w:val="en-GB"/>
        </w:rPr>
      </w:pPr>
      <w:r w:rsidRPr="007345D4">
        <w:rPr>
          <w:i/>
          <w:lang w:val="en-GB"/>
        </w:rPr>
        <w:t xml:space="preserve">State </w:t>
      </w:r>
      <w:r w:rsidR="00BA4B27">
        <w:rPr>
          <w:i/>
          <w:lang w:val="en-GB"/>
        </w:rPr>
        <w:t>p</w:t>
      </w:r>
      <w:r w:rsidRPr="007345D4">
        <w:rPr>
          <w:i/>
          <w:lang w:val="en-GB"/>
        </w:rPr>
        <w:t>arty:</w:t>
      </w:r>
      <w:r w:rsidRPr="007345D4">
        <w:rPr>
          <w:lang w:val="en-GB"/>
        </w:rPr>
        <w:tab/>
        <w:t>Denmark</w:t>
      </w:r>
    </w:p>
    <w:p w14:paraId="265F0AD4" w14:textId="77777777" w:rsidR="00E01AF0" w:rsidRPr="007345D4" w:rsidRDefault="00E01AF0">
      <w:pPr>
        <w:pStyle w:val="SingleTxtG"/>
        <w:ind w:left="4536" w:hanging="3402"/>
        <w:jc w:val="left"/>
        <w:rPr>
          <w:lang w:val="en-GB"/>
        </w:rPr>
      </w:pPr>
      <w:r w:rsidRPr="007345D4">
        <w:rPr>
          <w:i/>
          <w:lang w:val="en-GB"/>
        </w:rPr>
        <w:t>Date of communication:</w:t>
      </w:r>
      <w:r w:rsidRPr="007345D4">
        <w:rPr>
          <w:lang w:val="en-GB"/>
        </w:rPr>
        <w:tab/>
        <w:t>3 June 2013 (initial submission)</w:t>
      </w:r>
    </w:p>
    <w:p w14:paraId="272F2F53" w14:textId="77777777" w:rsidR="00E01AF0" w:rsidRPr="007345D4" w:rsidRDefault="00E01AF0" w:rsidP="00E01AF0">
      <w:pPr>
        <w:pStyle w:val="SingleTxtG"/>
        <w:rPr>
          <w:lang w:val="en-GB"/>
        </w:rPr>
      </w:pPr>
      <w:r w:rsidRPr="007345D4">
        <w:rPr>
          <w:lang w:val="en-GB"/>
        </w:rPr>
        <w:tab/>
      </w:r>
      <w:r w:rsidRPr="007345D4">
        <w:rPr>
          <w:i/>
          <w:lang w:val="en-GB"/>
        </w:rPr>
        <w:t>The Human Rights Committee</w:t>
      </w:r>
      <w:r w:rsidRPr="007345D4">
        <w:rPr>
          <w:lang w:val="en-GB"/>
        </w:rPr>
        <w:t xml:space="preserve">, established under article 28 of the International Covenant on Civil and Political Rights, </w:t>
      </w:r>
    </w:p>
    <w:p w14:paraId="5837417E" w14:textId="77777777" w:rsidR="00E01AF0" w:rsidRPr="007345D4" w:rsidRDefault="00E01AF0" w:rsidP="00E01AF0">
      <w:pPr>
        <w:pStyle w:val="SingleTxtG"/>
        <w:rPr>
          <w:lang w:val="en-GB"/>
        </w:rPr>
      </w:pPr>
      <w:r w:rsidRPr="007345D4">
        <w:rPr>
          <w:lang w:val="en-GB"/>
        </w:rPr>
        <w:tab/>
      </w:r>
      <w:r w:rsidRPr="007345D4">
        <w:rPr>
          <w:i/>
          <w:lang w:val="en-GB"/>
        </w:rPr>
        <w:t xml:space="preserve">Meeting </w:t>
      </w:r>
      <w:r w:rsidRPr="009B3BE6">
        <w:rPr>
          <w:iCs/>
          <w:lang w:val="en-GB"/>
        </w:rPr>
        <w:t>on</w:t>
      </w:r>
      <w:r w:rsidRPr="007345D4">
        <w:rPr>
          <w:i/>
          <w:lang w:val="en-GB"/>
        </w:rPr>
        <w:t xml:space="preserve"> </w:t>
      </w:r>
      <w:r w:rsidR="00E503F4" w:rsidRPr="007345D4">
        <w:rPr>
          <w:lang w:val="en-GB"/>
        </w:rPr>
        <w:t>4 November</w:t>
      </w:r>
      <w:r w:rsidRPr="007345D4">
        <w:rPr>
          <w:lang w:val="en-GB"/>
        </w:rPr>
        <w:t xml:space="preserve"> 2015,</w:t>
      </w:r>
    </w:p>
    <w:p w14:paraId="5AD85D68" w14:textId="77777777" w:rsidR="00E01AF0" w:rsidRPr="007345D4" w:rsidRDefault="00E01AF0" w:rsidP="00EF16DE">
      <w:pPr>
        <w:pStyle w:val="SingleTxtG"/>
        <w:rPr>
          <w:lang w:val="en-GB"/>
        </w:rPr>
      </w:pPr>
      <w:r w:rsidRPr="007345D4">
        <w:rPr>
          <w:lang w:val="en-GB"/>
        </w:rPr>
        <w:tab/>
      </w:r>
      <w:r w:rsidRPr="00EF16DE">
        <w:rPr>
          <w:i/>
          <w:lang w:val="en-GB"/>
        </w:rPr>
        <w:t>Having concluded</w:t>
      </w:r>
      <w:r w:rsidRPr="00836A95">
        <w:rPr>
          <w:lang w:val="en-GB"/>
        </w:rPr>
        <w:t xml:space="preserve"> its consideration of communication No. 2258/2013, submitted to </w:t>
      </w:r>
      <w:r w:rsidR="00836A95" w:rsidRPr="009B3BE6">
        <w:rPr>
          <w:lang w:val="en-GB"/>
        </w:rPr>
        <w:t>it</w:t>
      </w:r>
      <w:r w:rsidRPr="00EF16DE">
        <w:rPr>
          <w:lang w:val="en-GB"/>
        </w:rPr>
        <w:t xml:space="preserve"> on behalf of Jenirthan Rasappu and Jenarthan Rasappu under the Optional Protocol to the International Covenant on Civil and Political Rights</w:t>
      </w:r>
      <w:r w:rsidRPr="00836A95">
        <w:rPr>
          <w:lang w:val="en-GB"/>
        </w:rPr>
        <w:t>,</w:t>
      </w:r>
    </w:p>
    <w:p w14:paraId="3984486E" w14:textId="77777777" w:rsidR="00E01AF0" w:rsidRPr="007345D4" w:rsidRDefault="00E01AF0" w:rsidP="00E01AF0">
      <w:pPr>
        <w:pStyle w:val="SingleTxtG"/>
        <w:rPr>
          <w:lang w:val="en-GB"/>
        </w:rPr>
      </w:pPr>
      <w:r w:rsidRPr="007345D4">
        <w:rPr>
          <w:lang w:val="en-GB"/>
        </w:rPr>
        <w:tab/>
      </w:r>
      <w:r w:rsidRPr="007345D4">
        <w:rPr>
          <w:i/>
          <w:lang w:val="en-GB"/>
        </w:rPr>
        <w:t>Having taken into account</w:t>
      </w:r>
      <w:r w:rsidRPr="007345D4">
        <w:rPr>
          <w:lang w:val="en-GB"/>
        </w:rPr>
        <w:t xml:space="preserve"> all written information made available to it by the authors of the communication, and the State party,</w:t>
      </w:r>
    </w:p>
    <w:p w14:paraId="22DB8226" w14:textId="77777777" w:rsidR="00E01AF0" w:rsidRPr="00BC7713" w:rsidRDefault="00E01AF0" w:rsidP="00E01AF0">
      <w:pPr>
        <w:pStyle w:val="SingleTxtG"/>
        <w:rPr>
          <w:bCs/>
          <w:iCs/>
          <w:lang w:val="en-GB"/>
        </w:rPr>
      </w:pPr>
      <w:r w:rsidRPr="007345D4">
        <w:rPr>
          <w:bCs/>
          <w:lang w:val="en-GB"/>
        </w:rPr>
        <w:tab/>
      </w:r>
      <w:r w:rsidRPr="007345D4">
        <w:rPr>
          <w:i/>
          <w:lang w:val="en-GB"/>
        </w:rPr>
        <w:t xml:space="preserve">Adopts </w:t>
      </w:r>
      <w:r w:rsidRPr="009B3BE6">
        <w:rPr>
          <w:iCs/>
          <w:lang w:val="en-GB"/>
        </w:rPr>
        <w:t>the following</w:t>
      </w:r>
      <w:r w:rsidRPr="00BC7713">
        <w:rPr>
          <w:bCs/>
          <w:iCs/>
          <w:lang w:val="en-GB"/>
        </w:rPr>
        <w:t>:</w:t>
      </w:r>
    </w:p>
    <w:p w14:paraId="5A1CABA4" w14:textId="77777777" w:rsidR="00E01AF0" w:rsidRPr="007345D4" w:rsidRDefault="00E01AF0">
      <w:pPr>
        <w:pStyle w:val="H1G"/>
      </w:pPr>
      <w:r w:rsidRPr="007345D4">
        <w:tab/>
      </w:r>
      <w:r w:rsidRPr="007345D4">
        <w:tab/>
        <w:t xml:space="preserve">Views under article 5 </w:t>
      </w:r>
      <w:r w:rsidR="00BF0B4B">
        <w:t>(</w:t>
      </w:r>
      <w:r w:rsidRPr="007345D4">
        <w:t>4</w:t>
      </w:r>
      <w:r w:rsidR="00BF0B4B">
        <w:t>)</w:t>
      </w:r>
      <w:r w:rsidRPr="007345D4">
        <w:t xml:space="preserve"> of the Optional Protocol</w:t>
      </w:r>
    </w:p>
    <w:p w14:paraId="18F1A97E" w14:textId="77777777" w:rsidR="00E01AF0" w:rsidRPr="007345D4" w:rsidRDefault="00E01AF0" w:rsidP="00E01AF0">
      <w:pPr>
        <w:pStyle w:val="SingleTxtG"/>
        <w:spacing w:line="240" w:lineRule="auto"/>
        <w:rPr>
          <w:lang w:val="en-GB"/>
        </w:rPr>
      </w:pPr>
      <w:r w:rsidRPr="007345D4">
        <w:rPr>
          <w:lang w:val="en-GB"/>
        </w:rPr>
        <w:t>1.1</w:t>
      </w:r>
      <w:r w:rsidRPr="007345D4">
        <w:rPr>
          <w:lang w:val="en-GB"/>
        </w:rPr>
        <w:tab/>
        <w:t xml:space="preserve">The authors of the </w:t>
      </w:r>
      <w:r w:rsidRPr="00095CDF">
        <w:rPr>
          <w:lang w:val="en-GB"/>
        </w:rPr>
        <w:t>communication are Jenirthan Rasappu and Jenarthan Rasappu, Sri Lankan nationals, born on 28 November 1992. They claim that their return to Sri Lanka by the State party would</w:t>
      </w:r>
      <w:r w:rsidRPr="007345D4">
        <w:rPr>
          <w:lang w:val="en-GB"/>
        </w:rPr>
        <w:t xml:space="preserve"> constitute a violation of article 7 of the Covenant. They are represented by counsel. </w:t>
      </w:r>
    </w:p>
    <w:p w14:paraId="0A00045E" w14:textId="77777777" w:rsidR="00E01AF0" w:rsidRPr="007345D4" w:rsidRDefault="00E01AF0" w:rsidP="006A24FB">
      <w:pPr>
        <w:pStyle w:val="SingleTxtG"/>
        <w:spacing w:line="240" w:lineRule="auto"/>
        <w:rPr>
          <w:lang w:val="en-GB"/>
        </w:rPr>
      </w:pPr>
      <w:r w:rsidRPr="007345D4">
        <w:rPr>
          <w:lang w:val="en-GB"/>
        </w:rPr>
        <w:t>1.2</w:t>
      </w:r>
      <w:r w:rsidRPr="007345D4">
        <w:rPr>
          <w:lang w:val="en-GB"/>
        </w:rPr>
        <w:tab/>
        <w:t xml:space="preserve">On 14 June 2013, pursuant to rule 92 of the Committee’s rules of procedure, the Committee, acting through its Special Rapporteur on new </w:t>
      </w:r>
      <w:r w:rsidRPr="00095CDF">
        <w:rPr>
          <w:lang w:val="en-GB"/>
        </w:rPr>
        <w:t xml:space="preserve">communications and interim measures, requested the State party </w:t>
      </w:r>
      <w:r w:rsidR="00AB52C9" w:rsidRPr="00095CDF">
        <w:rPr>
          <w:lang w:val="en-GB"/>
        </w:rPr>
        <w:t>not to deport</w:t>
      </w:r>
      <w:r w:rsidRPr="00095CDF">
        <w:rPr>
          <w:lang w:val="en-GB"/>
        </w:rPr>
        <w:t xml:space="preserve"> the authors to</w:t>
      </w:r>
      <w:r w:rsidRPr="007345D4">
        <w:rPr>
          <w:lang w:val="en-GB"/>
        </w:rPr>
        <w:t xml:space="preserve"> Sri Lanka while the communication was being examined. On 17 June 2013, the Ministry of Justice </w:t>
      </w:r>
      <w:r w:rsidR="00832EFF">
        <w:rPr>
          <w:lang w:val="en-GB"/>
        </w:rPr>
        <w:t xml:space="preserve">of Denmark </w:t>
      </w:r>
      <w:r w:rsidRPr="007345D4">
        <w:rPr>
          <w:lang w:val="en-GB"/>
        </w:rPr>
        <w:lastRenderedPageBreak/>
        <w:t xml:space="preserve">extended the time limit for </w:t>
      </w:r>
      <w:r w:rsidR="00BA4B27">
        <w:rPr>
          <w:lang w:val="en-GB"/>
        </w:rPr>
        <w:t xml:space="preserve">the </w:t>
      </w:r>
      <w:r w:rsidR="00BA4B27" w:rsidRPr="007345D4">
        <w:rPr>
          <w:lang w:val="en-GB"/>
        </w:rPr>
        <w:t xml:space="preserve">authors’ </w:t>
      </w:r>
      <w:r w:rsidRPr="007345D4">
        <w:rPr>
          <w:lang w:val="en-GB"/>
        </w:rPr>
        <w:t xml:space="preserve">departure until further notice, in accordance to the Committee’s request. </w:t>
      </w:r>
    </w:p>
    <w:p w14:paraId="3DB44977" w14:textId="77777777" w:rsidR="00E01AF0" w:rsidRPr="00095CDF" w:rsidRDefault="00E01AF0" w:rsidP="00D46534">
      <w:pPr>
        <w:pStyle w:val="H23G"/>
        <w:spacing w:line="240" w:lineRule="auto"/>
      </w:pPr>
      <w:r w:rsidRPr="007345D4">
        <w:tab/>
      </w:r>
      <w:r w:rsidRPr="007345D4">
        <w:tab/>
      </w:r>
      <w:r w:rsidRPr="00095CDF">
        <w:t>Factual background</w:t>
      </w:r>
    </w:p>
    <w:p w14:paraId="4873205D" w14:textId="77777777" w:rsidR="00E01AF0" w:rsidRPr="007345D4" w:rsidRDefault="00E01AF0">
      <w:pPr>
        <w:pStyle w:val="SingleTxtG"/>
        <w:spacing w:line="240" w:lineRule="auto"/>
        <w:rPr>
          <w:lang w:val="en-GB"/>
        </w:rPr>
      </w:pPr>
      <w:r w:rsidRPr="00095CDF">
        <w:rPr>
          <w:lang w:val="en-GB"/>
        </w:rPr>
        <w:t>2.1</w:t>
      </w:r>
      <w:r w:rsidRPr="00095CDF">
        <w:rPr>
          <w:lang w:val="en-GB"/>
        </w:rPr>
        <w:tab/>
        <w:t>The authors are twin brothers, ethnic Tamils and of Christian faith. They claim that their father was a member of the Liberation Tigers of Tamil Eelam (LTTE) until he got married</w:t>
      </w:r>
      <w:r w:rsidR="00456397" w:rsidRPr="00095CDF">
        <w:rPr>
          <w:lang w:val="en-GB"/>
        </w:rPr>
        <w:t xml:space="preserve">, that he was </w:t>
      </w:r>
      <w:r w:rsidR="00832EFF" w:rsidRPr="00095CDF">
        <w:rPr>
          <w:lang w:val="en-GB"/>
        </w:rPr>
        <w:t xml:space="preserve">a </w:t>
      </w:r>
      <w:r w:rsidR="00456397" w:rsidRPr="009B3BE6">
        <w:rPr>
          <w:lang w:val="en-GB"/>
        </w:rPr>
        <w:t>“border guard” and that he called himself “Karthik”</w:t>
      </w:r>
      <w:r w:rsidRPr="00095CDF">
        <w:rPr>
          <w:lang w:val="en-GB"/>
        </w:rPr>
        <w:t>. They</w:t>
      </w:r>
      <w:r w:rsidRPr="007345D4">
        <w:rPr>
          <w:lang w:val="en-GB"/>
        </w:rPr>
        <w:t xml:space="preserve"> were born in Jaffna</w:t>
      </w:r>
      <w:r w:rsidR="00B372F5">
        <w:rPr>
          <w:lang w:val="en-GB"/>
        </w:rPr>
        <w:t>.</w:t>
      </w:r>
      <w:r w:rsidRPr="007345D4">
        <w:rPr>
          <w:lang w:val="en-GB"/>
        </w:rPr>
        <w:t xml:space="preserve"> </w:t>
      </w:r>
      <w:r w:rsidR="00B372F5">
        <w:rPr>
          <w:lang w:val="en-GB"/>
        </w:rPr>
        <w:t>W</w:t>
      </w:r>
      <w:r w:rsidRPr="007345D4">
        <w:rPr>
          <w:lang w:val="en-GB"/>
        </w:rPr>
        <w:t>hen they were 3 years old</w:t>
      </w:r>
      <w:r w:rsidR="00832EFF">
        <w:rPr>
          <w:lang w:val="en-GB"/>
        </w:rPr>
        <w:t>,</w:t>
      </w:r>
      <w:r w:rsidRPr="007345D4">
        <w:rPr>
          <w:lang w:val="en-GB"/>
        </w:rPr>
        <w:t xml:space="preserve"> their family fled to </w:t>
      </w:r>
      <w:r w:rsidRPr="00EF16DE">
        <w:rPr>
          <w:lang w:val="en-GB"/>
        </w:rPr>
        <w:t>Puthuk</w:t>
      </w:r>
      <w:r w:rsidR="00D31EE6">
        <w:rPr>
          <w:lang w:val="en-GB"/>
        </w:rPr>
        <w:t>k</w:t>
      </w:r>
      <w:r w:rsidRPr="00EF16DE">
        <w:rPr>
          <w:lang w:val="en-GB"/>
        </w:rPr>
        <w:t>udi</w:t>
      </w:r>
      <w:r w:rsidR="00D31EE6">
        <w:rPr>
          <w:lang w:val="en-GB"/>
        </w:rPr>
        <w:t>yi</w:t>
      </w:r>
      <w:r w:rsidRPr="00EF16DE">
        <w:rPr>
          <w:lang w:val="en-GB"/>
        </w:rPr>
        <w:t>ruppu</w:t>
      </w:r>
      <w:r w:rsidRPr="007345D4">
        <w:rPr>
          <w:lang w:val="en-GB"/>
        </w:rPr>
        <w:t>, in the Vanni area, due to the civil war. They grew up and went to primary and lower secondary school there until 2007</w:t>
      </w:r>
      <w:r w:rsidR="00832EFF">
        <w:rPr>
          <w:lang w:val="en-GB"/>
        </w:rPr>
        <w:t>,</w:t>
      </w:r>
      <w:r w:rsidRPr="007345D4">
        <w:rPr>
          <w:lang w:val="en-GB"/>
        </w:rPr>
        <w:t xml:space="preserve"> when they had to stop attending the school because of the war. Their father worked as a welder, but in 2009 he was abducted by persons who </w:t>
      </w:r>
      <w:r w:rsidR="001F15E0">
        <w:rPr>
          <w:lang w:val="en-GB"/>
        </w:rPr>
        <w:t>displayed</w:t>
      </w:r>
      <w:r w:rsidR="001F15E0" w:rsidRPr="007345D4">
        <w:rPr>
          <w:lang w:val="en-GB"/>
        </w:rPr>
        <w:t xml:space="preserve"> </w:t>
      </w:r>
      <w:r w:rsidRPr="007345D4">
        <w:rPr>
          <w:lang w:val="en-GB"/>
        </w:rPr>
        <w:t xml:space="preserve">the LTTE logo. Their father’s fate and whereabouts </w:t>
      </w:r>
      <w:r w:rsidR="00832EFF">
        <w:rPr>
          <w:lang w:val="en-GB"/>
        </w:rPr>
        <w:t xml:space="preserve">since that time </w:t>
      </w:r>
      <w:r w:rsidRPr="007345D4">
        <w:rPr>
          <w:lang w:val="en-GB"/>
        </w:rPr>
        <w:t xml:space="preserve">remain unknown. Afterwards, the military forces moved closer to their village and they, together with their mother and sister, fled to </w:t>
      </w:r>
      <w:r w:rsidRPr="00095CDF">
        <w:rPr>
          <w:lang w:val="en-GB"/>
        </w:rPr>
        <w:t>Mullivaikal. However, on an unspecifi</w:t>
      </w:r>
      <w:r w:rsidR="00832EFF" w:rsidRPr="00095CDF">
        <w:rPr>
          <w:lang w:val="en-GB"/>
        </w:rPr>
        <w:t>ed</w:t>
      </w:r>
      <w:r w:rsidRPr="00095CDF">
        <w:rPr>
          <w:lang w:val="en-GB"/>
        </w:rPr>
        <w:t xml:space="preserve"> day, the military forces attacked Mullivaikal</w:t>
      </w:r>
      <w:r w:rsidRPr="007345D4">
        <w:rPr>
          <w:lang w:val="en-GB"/>
        </w:rPr>
        <w:t xml:space="preserve"> with artillery and also from the air</w:t>
      </w:r>
      <w:r w:rsidR="00832EFF">
        <w:rPr>
          <w:lang w:val="en-GB"/>
        </w:rPr>
        <w:t>,</w:t>
      </w:r>
      <w:r w:rsidRPr="007345D4">
        <w:rPr>
          <w:lang w:val="en-GB"/>
        </w:rPr>
        <w:t xml:space="preserve"> which forced them to flee again. </w:t>
      </w:r>
      <w:r w:rsidR="00832EFF">
        <w:rPr>
          <w:lang w:val="en-GB"/>
        </w:rPr>
        <w:t>While they were fleeing</w:t>
      </w:r>
      <w:r w:rsidRPr="007345D4">
        <w:rPr>
          <w:lang w:val="en-GB"/>
        </w:rPr>
        <w:t>, they lost contact with their mother and sister. The</w:t>
      </w:r>
      <w:r w:rsidR="00B372F5">
        <w:rPr>
          <w:lang w:val="en-GB"/>
        </w:rPr>
        <w:t xml:space="preserve"> authors</w:t>
      </w:r>
      <w:r w:rsidRPr="007345D4">
        <w:rPr>
          <w:lang w:val="en-GB"/>
        </w:rPr>
        <w:t xml:space="preserve"> claim</w:t>
      </w:r>
      <w:r w:rsidR="00BA4B27">
        <w:rPr>
          <w:lang w:val="en-GB"/>
        </w:rPr>
        <w:t>ed</w:t>
      </w:r>
      <w:r w:rsidRPr="007345D4">
        <w:rPr>
          <w:lang w:val="en-GB"/>
        </w:rPr>
        <w:t xml:space="preserve"> that they were unable to </w:t>
      </w:r>
      <w:r w:rsidR="00832EFF">
        <w:rPr>
          <w:lang w:val="en-GB"/>
        </w:rPr>
        <w:t xml:space="preserve">make </w:t>
      </w:r>
      <w:r w:rsidRPr="007345D4">
        <w:rPr>
          <w:lang w:val="en-GB"/>
        </w:rPr>
        <w:t>contact with the</w:t>
      </w:r>
      <w:r w:rsidR="00B372F5">
        <w:rPr>
          <w:lang w:val="en-GB"/>
        </w:rPr>
        <w:t>ir mother and sister</w:t>
      </w:r>
      <w:r w:rsidR="00832EFF">
        <w:rPr>
          <w:lang w:val="en-GB"/>
        </w:rPr>
        <w:t xml:space="preserve"> again</w:t>
      </w:r>
      <w:r w:rsidRPr="007345D4">
        <w:rPr>
          <w:lang w:val="en-GB"/>
        </w:rPr>
        <w:t>.</w:t>
      </w:r>
    </w:p>
    <w:p w14:paraId="03AD6A3A" w14:textId="77777777" w:rsidR="00E01AF0" w:rsidRPr="007345D4" w:rsidRDefault="00E01AF0">
      <w:pPr>
        <w:pStyle w:val="SingleTxtG"/>
        <w:spacing w:line="240" w:lineRule="auto"/>
        <w:rPr>
          <w:lang w:val="en-GB"/>
        </w:rPr>
      </w:pPr>
      <w:r w:rsidRPr="007345D4">
        <w:rPr>
          <w:lang w:val="en-GB"/>
        </w:rPr>
        <w:t>2.</w:t>
      </w:r>
      <w:r w:rsidR="00A53621" w:rsidRPr="007345D4">
        <w:rPr>
          <w:lang w:val="en-GB"/>
        </w:rPr>
        <w:t>2</w:t>
      </w:r>
      <w:r w:rsidRPr="007345D4">
        <w:rPr>
          <w:lang w:val="en-GB"/>
        </w:rPr>
        <w:tab/>
        <w:t>The authors claim that they were taken by the military to the Ramanathan camp, in the city of Vavuniya. The camp was run by the military</w:t>
      </w:r>
      <w:r w:rsidR="00BA4B27">
        <w:rPr>
          <w:lang w:val="en-GB"/>
        </w:rPr>
        <w:t>,</w:t>
      </w:r>
      <w:r w:rsidRPr="007345D4">
        <w:rPr>
          <w:lang w:val="en-GB"/>
        </w:rPr>
        <w:t xml:space="preserve"> and nobody could </w:t>
      </w:r>
      <w:r w:rsidR="00832EFF">
        <w:rPr>
          <w:lang w:val="en-GB"/>
        </w:rPr>
        <w:t xml:space="preserve">enter or </w:t>
      </w:r>
      <w:r w:rsidRPr="007345D4">
        <w:rPr>
          <w:lang w:val="en-GB"/>
        </w:rPr>
        <w:t xml:space="preserve">leave it without military authorization. They were accused of having fought for </w:t>
      </w:r>
      <w:r w:rsidR="00213875">
        <w:rPr>
          <w:lang w:val="en-GB"/>
        </w:rPr>
        <w:t>LTTE</w:t>
      </w:r>
      <w:r w:rsidRPr="007345D4">
        <w:rPr>
          <w:lang w:val="en-GB"/>
        </w:rPr>
        <w:t>. Jenarthan was interrogated three or four times</w:t>
      </w:r>
      <w:r w:rsidR="00B372F5">
        <w:rPr>
          <w:lang w:val="en-GB"/>
        </w:rPr>
        <w:t>,</w:t>
      </w:r>
      <w:r w:rsidRPr="007345D4">
        <w:rPr>
          <w:lang w:val="en-GB"/>
        </w:rPr>
        <w:t xml:space="preserve"> and Jenirthan once</w:t>
      </w:r>
      <w:r w:rsidR="00B372F5">
        <w:rPr>
          <w:lang w:val="en-GB"/>
        </w:rPr>
        <w:t>,</w:t>
      </w:r>
      <w:r w:rsidRPr="007345D4">
        <w:rPr>
          <w:lang w:val="en-GB"/>
        </w:rPr>
        <w:t xml:space="preserve"> about their connections with </w:t>
      </w:r>
      <w:r w:rsidR="00213875">
        <w:rPr>
          <w:lang w:val="en-GB"/>
        </w:rPr>
        <w:t>LTTE</w:t>
      </w:r>
      <w:r w:rsidRPr="007345D4">
        <w:rPr>
          <w:lang w:val="en-GB"/>
        </w:rPr>
        <w:t xml:space="preserve"> and their father’s whereabouts. They </w:t>
      </w:r>
      <w:r w:rsidRPr="009C6CBA">
        <w:rPr>
          <w:lang w:val="en-GB"/>
        </w:rPr>
        <w:t>further claim that</w:t>
      </w:r>
      <w:r w:rsidR="00C32EEC" w:rsidRPr="009C6CBA">
        <w:rPr>
          <w:lang w:val="en-GB"/>
        </w:rPr>
        <w:t>,</w:t>
      </w:r>
      <w:r w:rsidRPr="009C6CBA">
        <w:rPr>
          <w:lang w:val="en-GB"/>
        </w:rPr>
        <w:t xml:space="preserve"> when Jenarthan denied any connection with </w:t>
      </w:r>
      <w:r w:rsidR="00213875">
        <w:rPr>
          <w:lang w:val="en-GB"/>
        </w:rPr>
        <w:t>LTTE</w:t>
      </w:r>
      <w:r w:rsidRPr="009C6CBA">
        <w:rPr>
          <w:lang w:val="en-GB"/>
        </w:rPr>
        <w:t xml:space="preserve">, </w:t>
      </w:r>
      <w:r w:rsidR="00AD3B02">
        <w:rPr>
          <w:lang w:val="en-GB"/>
        </w:rPr>
        <w:t xml:space="preserve">members of the army </w:t>
      </w:r>
      <w:r w:rsidR="001F15E0">
        <w:rPr>
          <w:lang w:val="en-GB"/>
        </w:rPr>
        <w:t>hit and threatened him</w:t>
      </w:r>
      <w:r w:rsidR="00B372F5" w:rsidRPr="009C6CBA">
        <w:rPr>
          <w:lang w:val="en-GB"/>
        </w:rPr>
        <w:t>.</w:t>
      </w:r>
      <w:r w:rsidRPr="009C6CBA">
        <w:rPr>
          <w:lang w:val="en-GB"/>
        </w:rPr>
        <w:t xml:space="preserve"> </w:t>
      </w:r>
      <w:r w:rsidR="00B372F5" w:rsidRPr="009C6CBA">
        <w:rPr>
          <w:lang w:val="en-GB"/>
        </w:rPr>
        <w:t>T</w:t>
      </w:r>
      <w:r w:rsidRPr="009C6CBA">
        <w:rPr>
          <w:lang w:val="en-GB"/>
        </w:rPr>
        <w:t>he</w:t>
      </w:r>
      <w:r w:rsidR="00B372F5" w:rsidRPr="009C6CBA">
        <w:rPr>
          <w:lang w:val="en-GB"/>
        </w:rPr>
        <w:t xml:space="preserve"> authors</w:t>
      </w:r>
      <w:r w:rsidRPr="009C6CBA">
        <w:rPr>
          <w:lang w:val="en-GB"/>
        </w:rPr>
        <w:t xml:space="preserve"> </w:t>
      </w:r>
      <w:r w:rsidR="00B372F5" w:rsidRPr="009C6CBA">
        <w:rPr>
          <w:lang w:val="en-GB"/>
        </w:rPr>
        <w:t xml:space="preserve">also claim that they </w:t>
      </w:r>
      <w:r w:rsidRPr="009C6CBA">
        <w:rPr>
          <w:lang w:val="en-GB"/>
        </w:rPr>
        <w:t xml:space="preserve">were afraid to tell </w:t>
      </w:r>
      <w:r w:rsidR="00AD3B02">
        <w:rPr>
          <w:lang w:val="en-GB"/>
        </w:rPr>
        <w:t xml:space="preserve">military staff </w:t>
      </w:r>
      <w:r w:rsidRPr="009C6CBA">
        <w:rPr>
          <w:lang w:val="en-GB"/>
        </w:rPr>
        <w:t xml:space="preserve">about the kidnapping of their father by </w:t>
      </w:r>
      <w:r w:rsidR="00213875">
        <w:rPr>
          <w:lang w:val="en-GB"/>
        </w:rPr>
        <w:t>LTTE</w:t>
      </w:r>
      <w:r w:rsidRPr="009C6CBA">
        <w:rPr>
          <w:lang w:val="en-GB"/>
        </w:rPr>
        <w:t>. After two months, their mother’s brother found them. He went to the camp twice. The second time</w:t>
      </w:r>
      <w:r w:rsidR="00C32EEC" w:rsidRPr="009C6CBA">
        <w:rPr>
          <w:lang w:val="en-GB"/>
        </w:rPr>
        <w:t>,</w:t>
      </w:r>
      <w:r w:rsidRPr="009C6CBA">
        <w:rPr>
          <w:lang w:val="en-GB"/>
        </w:rPr>
        <w:t xml:space="preserve"> he managed to take the</w:t>
      </w:r>
      <w:r w:rsidR="00B372F5" w:rsidRPr="009C6CBA">
        <w:rPr>
          <w:lang w:val="en-GB"/>
        </w:rPr>
        <w:t xml:space="preserve"> authors</w:t>
      </w:r>
      <w:r w:rsidRPr="009C6CBA">
        <w:rPr>
          <w:lang w:val="en-GB"/>
        </w:rPr>
        <w:t xml:space="preserve"> out of the camp</w:t>
      </w:r>
      <w:r w:rsidR="00095CDF" w:rsidRPr="009C6CBA">
        <w:rPr>
          <w:lang w:val="en-GB"/>
        </w:rPr>
        <w:t xml:space="preserve"> by paying</w:t>
      </w:r>
      <w:r w:rsidRPr="009C6CBA">
        <w:rPr>
          <w:lang w:val="en-GB"/>
        </w:rPr>
        <w:t xml:space="preserve"> bribes</w:t>
      </w:r>
      <w:r w:rsidR="00C32EEC" w:rsidRPr="009C6CBA">
        <w:rPr>
          <w:lang w:val="en-GB"/>
        </w:rPr>
        <w:t>,</w:t>
      </w:r>
      <w:r w:rsidRPr="009C6CBA">
        <w:rPr>
          <w:lang w:val="en-GB"/>
        </w:rPr>
        <w:t xml:space="preserve"> and brought them to Colombo. He also arranged </w:t>
      </w:r>
      <w:r w:rsidR="00C32EEC" w:rsidRPr="00095CDF">
        <w:rPr>
          <w:lang w:val="en-GB"/>
        </w:rPr>
        <w:t xml:space="preserve">for them to </w:t>
      </w:r>
      <w:r w:rsidRPr="00095CDF">
        <w:rPr>
          <w:lang w:val="en-GB"/>
        </w:rPr>
        <w:t>leave Sri Lanka.</w:t>
      </w:r>
    </w:p>
    <w:p w14:paraId="2ED0EFC3" w14:textId="77777777" w:rsidR="00E01AF0" w:rsidRPr="007345D4" w:rsidRDefault="00A53621" w:rsidP="006A24FB">
      <w:pPr>
        <w:pStyle w:val="SingleTxtG"/>
        <w:spacing w:line="240" w:lineRule="auto"/>
        <w:rPr>
          <w:lang w:val="en-GB"/>
        </w:rPr>
      </w:pPr>
      <w:r w:rsidRPr="007345D4">
        <w:rPr>
          <w:lang w:val="en-GB"/>
        </w:rPr>
        <w:t>2.3</w:t>
      </w:r>
      <w:r w:rsidR="00E01AF0" w:rsidRPr="007345D4">
        <w:rPr>
          <w:lang w:val="en-GB"/>
        </w:rPr>
        <w:tab/>
        <w:t xml:space="preserve">After </w:t>
      </w:r>
      <w:r w:rsidR="00B372F5">
        <w:rPr>
          <w:lang w:val="en-GB"/>
        </w:rPr>
        <w:t>traveling</w:t>
      </w:r>
      <w:r w:rsidR="00B372F5" w:rsidRPr="007345D4">
        <w:rPr>
          <w:lang w:val="en-GB"/>
        </w:rPr>
        <w:t xml:space="preserve"> </w:t>
      </w:r>
      <w:r w:rsidR="00E01AF0" w:rsidRPr="007345D4">
        <w:rPr>
          <w:lang w:val="en-GB"/>
        </w:rPr>
        <w:t xml:space="preserve">through Thailand and another country, on 11 October 2009 the authors arrived in Denmark without valid travel documents. They claim that they were 16 years old at that time. </w:t>
      </w:r>
      <w:r w:rsidR="00E01AF0" w:rsidRPr="00095CDF">
        <w:rPr>
          <w:lang w:val="en-GB"/>
        </w:rPr>
        <w:t xml:space="preserve">On 12 October 2009, the </w:t>
      </w:r>
      <w:r w:rsidR="00832EFF" w:rsidRPr="00095CDF">
        <w:rPr>
          <w:lang w:val="en-GB"/>
        </w:rPr>
        <w:t xml:space="preserve">police </w:t>
      </w:r>
      <w:r w:rsidR="00E01AF0" w:rsidRPr="00095CDF">
        <w:rPr>
          <w:lang w:val="en-GB"/>
        </w:rPr>
        <w:t xml:space="preserve">interviewed them. On 20 and 22 October 2009, respectively, Jenarthan and Jenirthan filed applications for asylum before the </w:t>
      </w:r>
      <w:r w:rsidR="00B372F5" w:rsidRPr="00095CDF">
        <w:rPr>
          <w:lang w:val="en-GB"/>
        </w:rPr>
        <w:t xml:space="preserve">Danish </w:t>
      </w:r>
      <w:r w:rsidR="00E01AF0" w:rsidRPr="00095CDF">
        <w:rPr>
          <w:lang w:val="en-GB"/>
        </w:rPr>
        <w:t>Immigration Service. They claimed that they feared be</w:t>
      </w:r>
      <w:r w:rsidR="00832EFF" w:rsidRPr="00095CDF">
        <w:rPr>
          <w:lang w:val="en-GB"/>
        </w:rPr>
        <w:t>ing</w:t>
      </w:r>
      <w:r w:rsidR="00E01AF0" w:rsidRPr="00095CDF">
        <w:rPr>
          <w:lang w:val="en-GB"/>
        </w:rPr>
        <w:t xml:space="preserve"> persecuted and accused of being LTTE members</w:t>
      </w:r>
      <w:r w:rsidR="00E01AF0" w:rsidRPr="007345D4">
        <w:rPr>
          <w:lang w:val="en-GB"/>
        </w:rPr>
        <w:t xml:space="preserve"> </w:t>
      </w:r>
      <w:r w:rsidR="00B372F5">
        <w:rPr>
          <w:lang w:val="en-GB"/>
        </w:rPr>
        <w:t xml:space="preserve">as a result of </w:t>
      </w:r>
      <w:r w:rsidR="00E01AF0" w:rsidRPr="007345D4">
        <w:rPr>
          <w:lang w:val="en-GB"/>
        </w:rPr>
        <w:t xml:space="preserve">their </w:t>
      </w:r>
      <w:r w:rsidR="00E01AF0" w:rsidRPr="00095CDF">
        <w:rPr>
          <w:lang w:val="en-GB"/>
        </w:rPr>
        <w:t xml:space="preserve">Tamil ethnicity, their father’s past membership </w:t>
      </w:r>
      <w:r w:rsidR="00C32EEC" w:rsidRPr="00095CDF">
        <w:rPr>
          <w:lang w:val="en-GB"/>
        </w:rPr>
        <w:t xml:space="preserve">in </w:t>
      </w:r>
      <w:r w:rsidR="00E01AF0" w:rsidRPr="00095CDF">
        <w:rPr>
          <w:lang w:val="en-GB"/>
        </w:rPr>
        <w:t>th</w:t>
      </w:r>
      <w:r w:rsidR="00832EFF" w:rsidRPr="00095CDF">
        <w:rPr>
          <w:lang w:val="en-GB"/>
        </w:rPr>
        <w:t>at</w:t>
      </w:r>
      <w:r w:rsidR="00E01AF0" w:rsidRPr="00095CDF">
        <w:rPr>
          <w:lang w:val="en-GB"/>
        </w:rPr>
        <w:t xml:space="preserve"> organization, his disappearance and the events they </w:t>
      </w:r>
      <w:r w:rsidR="00095CDF" w:rsidRPr="009B3BE6">
        <w:rPr>
          <w:lang w:val="en-GB"/>
        </w:rPr>
        <w:t xml:space="preserve">had </w:t>
      </w:r>
      <w:r w:rsidR="00B372F5" w:rsidRPr="009B3BE6">
        <w:rPr>
          <w:lang w:val="en-GB"/>
        </w:rPr>
        <w:t xml:space="preserve">experienced </w:t>
      </w:r>
      <w:r w:rsidR="00E01AF0" w:rsidRPr="00095CDF">
        <w:rPr>
          <w:lang w:val="en-GB"/>
        </w:rPr>
        <w:t>in their country</w:t>
      </w:r>
      <w:r w:rsidR="00AD0CCA" w:rsidRPr="00095CDF">
        <w:rPr>
          <w:lang w:val="en-GB"/>
        </w:rPr>
        <w:t>.</w:t>
      </w:r>
      <w:r w:rsidR="00E01AF0" w:rsidRPr="00095CDF">
        <w:rPr>
          <w:lang w:val="en-GB"/>
        </w:rPr>
        <w:t xml:space="preserve"> Th</w:t>
      </w:r>
      <w:r w:rsidR="00B372F5" w:rsidRPr="00095CDF">
        <w:rPr>
          <w:lang w:val="en-GB"/>
        </w:rPr>
        <w:t xml:space="preserve">ey also claimed that </w:t>
      </w:r>
      <w:r w:rsidR="00BA4B27">
        <w:rPr>
          <w:lang w:val="en-GB"/>
        </w:rPr>
        <w:t>this</w:t>
      </w:r>
      <w:r w:rsidR="00E01AF0" w:rsidRPr="00095CDF">
        <w:rPr>
          <w:lang w:val="en-GB"/>
        </w:rPr>
        <w:t xml:space="preserve"> risk was aggravated by the fact that they </w:t>
      </w:r>
      <w:r w:rsidR="00C32EEC" w:rsidRPr="00095CDF">
        <w:rPr>
          <w:lang w:val="en-GB"/>
        </w:rPr>
        <w:t xml:space="preserve">had </w:t>
      </w:r>
      <w:r w:rsidR="00E01AF0" w:rsidRPr="00095CDF">
        <w:rPr>
          <w:lang w:val="en-GB"/>
        </w:rPr>
        <w:t xml:space="preserve">left Sri Lanka illegally. They </w:t>
      </w:r>
      <w:r w:rsidR="00B372F5" w:rsidRPr="00095CDF">
        <w:rPr>
          <w:lang w:val="en-GB"/>
        </w:rPr>
        <w:t xml:space="preserve">further </w:t>
      </w:r>
      <w:r w:rsidR="00E01AF0" w:rsidRPr="00095CDF">
        <w:rPr>
          <w:lang w:val="en-GB"/>
        </w:rPr>
        <w:t>claimed that</w:t>
      </w:r>
      <w:r w:rsidR="00C32EEC" w:rsidRPr="00095CDF">
        <w:rPr>
          <w:lang w:val="en-GB"/>
        </w:rPr>
        <w:t>,</w:t>
      </w:r>
      <w:r w:rsidR="00E01AF0" w:rsidRPr="00095CDF">
        <w:rPr>
          <w:lang w:val="en-GB"/>
        </w:rPr>
        <w:t xml:space="preserve"> prior</w:t>
      </w:r>
      <w:r w:rsidR="00E01AF0" w:rsidRPr="007345D4">
        <w:rPr>
          <w:lang w:val="en-GB"/>
        </w:rPr>
        <w:t xml:space="preserve"> to their departure from Sri Lanka</w:t>
      </w:r>
      <w:r w:rsidR="00C32EEC">
        <w:rPr>
          <w:lang w:val="en-GB"/>
        </w:rPr>
        <w:t>,</w:t>
      </w:r>
      <w:r w:rsidR="00E01AF0" w:rsidRPr="007345D4">
        <w:rPr>
          <w:lang w:val="en-GB"/>
        </w:rPr>
        <w:t xml:space="preserve"> they had never met their grandparents </w:t>
      </w:r>
      <w:r w:rsidR="00C32EEC">
        <w:rPr>
          <w:lang w:val="en-GB"/>
        </w:rPr>
        <w:t xml:space="preserve">or </w:t>
      </w:r>
      <w:r w:rsidR="00E01AF0" w:rsidRPr="007345D4">
        <w:rPr>
          <w:lang w:val="en-GB"/>
        </w:rPr>
        <w:t>most of their relatives</w:t>
      </w:r>
      <w:r w:rsidR="00C32EEC">
        <w:rPr>
          <w:lang w:val="en-GB"/>
        </w:rPr>
        <w:t>,</w:t>
      </w:r>
      <w:r w:rsidR="00E01AF0" w:rsidRPr="007345D4">
        <w:rPr>
          <w:lang w:val="en-GB"/>
        </w:rPr>
        <w:t xml:space="preserve"> since their parents’ families disapproved </w:t>
      </w:r>
      <w:r w:rsidR="00C32EEC">
        <w:rPr>
          <w:lang w:val="en-GB"/>
        </w:rPr>
        <w:t xml:space="preserve">of </w:t>
      </w:r>
      <w:r w:rsidR="00E01AF0" w:rsidRPr="007345D4">
        <w:rPr>
          <w:lang w:val="en-GB"/>
        </w:rPr>
        <w:t>the</w:t>
      </w:r>
      <w:r w:rsidR="00C32EEC">
        <w:rPr>
          <w:lang w:val="en-GB"/>
        </w:rPr>
        <w:t>ir</w:t>
      </w:r>
      <w:r w:rsidR="00E01AF0" w:rsidRPr="007345D4">
        <w:rPr>
          <w:lang w:val="en-GB"/>
        </w:rPr>
        <w:t xml:space="preserve"> marriage; that they had lost contact with their mother’s brother; and that they presumed their mother and sister </w:t>
      </w:r>
      <w:r w:rsidR="00C32EEC">
        <w:rPr>
          <w:lang w:val="en-GB"/>
        </w:rPr>
        <w:t xml:space="preserve">had </w:t>
      </w:r>
      <w:r w:rsidR="00E01AF0" w:rsidRPr="007345D4">
        <w:rPr>
          <w:lang w:val="en-GB"/>
        </w:rPr>
        <w:t xml:space="preserve">died during the war. </w:t>
      </w:r>
    </w:p>
    <w:p w14:paraId="208AEAA0" w14:textId="77777777" w:rsidR="00E01AF0" w:rsidRPr="007345D4" w:rsidRDefault="00E01AF0" w:rsidP="006A24FB">
      <w:pPr>
        <w:pStyle w:val="SingleTxtG"/>
        <w:spacing w:line="240" w:lineRule="auto"/>
        <w:rPr>
          <w:lang w:val="en-GB"/>
        </w:rPr>
      </w:pPr>
      <w:r w:rsidRPr="007345D4">
        <w:rPr>
          <w:lang w:val="en-GB"/>
        </w:rPr>
        <w:t>2.4</w:t>
      </w:r>
      <w:r w:rsidRPr="007345D4">
        <w:rPr>
          <w:lang w:val="en-GB"/>
        </w:rPr>
        <w:tab/>
        <w:t xml:space="preserve">On 25 May 2010, the Danish Immigration Service decided that the authors were sufficiently mature to have their applications </w:t>
      </w:r>
      <w:r w:rsidR="00C32EEC">
        <w:rPr>
          <w:lang w:val="en-GB"/>
        </w:rPr>
        <w:t xml:space="preserve">for asylum </w:t>
      </w:r>
      <w:r w:rsidRPr="007345D4">
        <w:rPr>
          <w:lang w:val="en-GB"/>
        </w:rPr>
        <w:t>examined.</w:t>
      </w:r>
      <w:r w:rsidR="00AD0CCA" w:rsidRPr="007345D4">
        <w:rPr>
          <w:lang w:val="en-GB"/>
        </w:rPr>
        <w:t xml:space="preserve"> </w:t>
      </w:r>
      <w:r w:rsidRPr="007345D4">
        <w:rPr>
          <w:lang w:val="en-GB"/>
        </w:rPr>
        <w:t xml:space="preserve">On 28 May 2010, the Immigration Service rejected the </w:t>
      </w:r>
      <w:r w:rsidR="00B372F5">
        <w:rPr>
          <w:lang w:val="en-GB"/>
        </w:rPr>
        <w:t>applications</w:t>
      </w:r>
      <w:r w:rsidR="00AD0CCA" w:rsidRPr="007345D4">
        <w:rPr>
          <w:lang w:val="en-GB"/>
        </w:rPr>
        <w:t>.</w:t>
      </w:r>
      <w:r w:rsidRPr="007345D4">
        <w:rPr>
          <w:lang w:val="en-GB"/>
        </w:rPr>
        <w:t xml:space="preserve"> It stated that there was no information </w:t>
      </w:r>
      <w:r w:rsidR="00C32EEC">
        <w:rPr>
          <w:lang w:val="en-GB"/>
        </w:rPr>
        <w:t xml:space="preserve">based on which </w:t>
      </w:r>
      <w:r w:rsidRPr="007345D4">
        <w:rPr>
          <w:lang w:val="en-GB"/>
        </w:rPr>
        <w:t xml:space="preserve">to presume that </w:t>
      </w:r>
      <w:r w:rsidR="00B372F5">
        <w:rPr>
          <w:lang w:val="en-GB"/>
        </w:rPr>
        <w:t xml:space="preserve">the </w:t>
      </w:r>
      <w:r w:rsidRPr="007345D4">
        <w:rPr>
          <w:lang w:val="en-GB"/>
        </w:rPr>
        <w:t xml:space="preserve">disappearance </w:t>
      </w:r>
      <w:r w:rsidR="00B372F5">
        <w:rPr>
          <w:lang w:val="en-GB"/>
        </w:rPr>
        <w:t xml:space="preserve">of the </w:t>
      </w:r>
      <w:r w:rsidR="00B372F5" w:rsidRPr="00EF16DE">
        <w:rPr>
          <w:lang w:val="en-GB"/>
        </w:rPr>
        <w:t>authors</w:t>
      </w:r>
      <w:r w:rsidR="00836A95" w:rsidRPr="009B3BE6">
        <w:rPr>
          <w:lang w:val="en-GB"/>
        </w:rPr>
        <w:t>’</w:t>
      </w:r>
      <w:r w:rsidR="00B372F5" w:rsidRPr="00EF16DE">
        <w:rPr>
          <w:lang w:val="en-GB"/>
        </w:rPr>
        <w:t xml:space="preserve"> f</w:t>
      </w:r>
      <w:r w:rsidR="00B372F5">
        <w:rPr>
          <w:lang w:val="en-GB"/>
        </w:rPr>
        <w:t xml:space="preserve">ather </w:t>
      </w:r>
      <w:r w:rsidRPr="007345D4">
        <w:rPr>
          <w:lang w:val="en-GB"/>
        </w:rPr>
        <w:t>was linked to the activities</w:t>
      </w:r>
      <w:r w:rsidR="00C32EEC">
        <w:rPr>
          <w:lang w:val="en-GB"/>
        </w:rPr>
        <w:t xml:space="preserve"> of </w:t>
      </w:r>
      <w:r w:rsidR="00213875">
        <w:rPr>
          <w:lang w:val="en-GB"/>
        </w:rPr>
        <w:t>LTTE</w:t>
      </w:r>
      <w:r w:rsidR="00B372F5">
        <w:rPr>
          <w:lang w:val="en-GB"/>
        </w:rPr>
        <w:t>,</w:t>
      </w:r>
      <w:r w:rsidRPr="007345D4">
        <w:rPr>
          <w:lang w:val="en-GB"/>
        </w:rPr>
        <w:t xml:space="preserve"> that the authors </w:t>
      </w:r>
      <w:r w:rsidR="00C32EEC">
        <w:rPr>
          <w:lang w:val="en-GB"/>
        </w:rPr>
        <w:t xml:space="preserve">had </w:t>
      </w:r>
      <w:r w:rsidRPr="007345D4">
        <w:rPr>
          <w:lang w:val="en-GB"/>
        </w:rPr>
        <w:t xml:space="preserve">declared that they were not members of </w:t>
      </w:r>
      <w:r w:rsidR="00213875">
        <w:rPr>
          <w:lang w:val="en-GB"/>
        </w:rPr>
        <w:t>LTTE</w:t>
      </w:r>
      <w:r w:rsidR="00B372F5">
        <w:rPr>
          <w:lang w:val="en-GB"/>
        </w:rPr>
        <w:t>,</w:t>
      </w:r>
      <w:r w:rsidRPr="007345D4">
        <w:rPr>
          <w:lang w:val="en-GB"/>
        </w:rPr>
        <w:t xml:space="preserve"> that they were not personally in contact with members of </w:t>
      </w:r>
      <w:r w:rsidR="00213875">
        <w:rPr>
          <w:lang w:val="en-GB"/>
        </w:rPr>
        <w:t>LTTE</w:t>
      </w:r>
      <w:r w:rsidRPr="007345D4">
        <w:rPr>
          <w:lang w:val="en-GB"/>
        </w:rPr>
        <w:t xml:space="preserve"> and that they </w:t>
      </w:r>
      <w:r w:rsidR="00B372F5">
        <w:rPr>
          <w:lang w:val="en-GB"/>
        </w:rPr>
        <w:t xml:space="preserve">had </w:t>
      </w:r>
      <w:r w:rsidRPr="007345D4">
        <w:rPr>
          <w:lang w:val="en-GB"/>
        </w:rPr>
        <w:t xml:space="preserve">had no problems with the authorities in relation with their father’s previous membership with </w:t>
      </w:r>
      <w:r w:rsidR="00213875">
        <w:rPr>
          <w:lang w:val="en-GB"/>
        </w:rPr>
        <w:t>LTTE</w:t>
      </w:r>
      <w:r w:rsidRPr="007345D4">
        <w:rPr>
          <w:lang w:val="en-GB"/>
        </w:rPr>
        <w:t xml:space="preserve">. According to reports on the human rights situation in Sri Lanka, persons </w:t>
      </w:r>
      <w:r w:rsidR="00BA4B27">
        <w:rPr>
          <w:lang w:val="en-GB"/>
        </w:rPr>
        <w:t>who</w:t>
      </w:r>
      <w:r w:rsidR="00BA4B27" w:rsidRPr="007345D4">
        <w:rPr>
          <w:lang w:val="en-GB"/>
        </w:rPr>
        <w:t xml:space="preserve"> </w:t>
      </w:r>
      <w:r w:rsidRPr="007345D4">
        <w:rPr>
          <w:lang w:val="en-GB"/>
        </w:rPr>
        <w:t>did not support or were not high</w:t>
      </w:r>
      <w:r w:rsidR="00110F82">
        <w:rPr>
          <w:lang w:val="en-GB"/>
        </w:rPr>
        <w:t xml:space="preserve"> </w:t>
      </w:r>
      <w:r w:rsidR="00B372F5">
        <w:rPr>
          <w:lang w:val="en-GB"/>
        </w:rPr>
        <w:t>-</w:t>
      </w:r>
      <w:r w:rsidRPr="007345D4">
        <w:rPr>
          <w:lang w:val="en-GB"/>
        </w:rPr>
        <w:t xml:space="preserve">profile members of </w:t>
      </w:r>
      <w:r w:rsidR="00213875">
        <w:rPr>
          <w:lang w:val="en-GB"/>
        </w:rPr>
        <w:t>LTTE</w:t>
      </w:r>
      <w:r w:rsidRPr="007345D4">
        <w:rPr>
          <w:lang w:val="en-GB"/>
        </w:rPr>
        <w:t xml:space="preserve"> were in general </w:t>
      </w:r>
      <w:r w:rsidR="00BA4B27">
        <w:rPr>
          <w:lang w:val="en-GB"/>
        </w:rPr>
        <w:t xml:space="preserve">not </w:t>
      </w:r>
      <w:r w:rsidR="00C32EEC">
        <w:rPr>
          <w:lang w:val="en-GB"/>
        </w:rPr>
        <w:t xml:space="preserve">persecuted </w:t>
      </w:r>
      <w:r w:rsidRPr="007345D4">
        <w:rPr>
          <w:lang w:val="en-GB"/>
        </w:rPr>
        <w:t>by the authorities</w:t>
      </w:r>
      <w:r w:rsidR="00AD0CCA" w:rsidRPr="007345D4">
        <w:rPr>
          <w:lang w:val="en-GB"/>
        </w:rPr>
        <w:t>.</w:t>
      </w:r>
      <w:r w:rsidRPr="007345D4">
        <w:rPr>
          <w:lang w:val="en-GB"/>
        </w:rPr>
        <w:t xml:space="preserve"> It further noted that the war in Sri Lanka </w:t>
      </w:r>
      <w:r w:rsidR="00B372F5">
        <w:rPr>
          <w:lang w:val="en-GB"/>
        </w:rPr>
        <w:t xml:space="preserve">had ended </w:t>
      </w:r>
      <w:r w:rsidRPr="007345D4">
        <w:rPr>
          <w:lang w:val="en-GB"/>
        </w:rPr>
        <w:t xml:space="preserve">and </w:t>
      </w:r>
      <w:r w:rsidR="00213875">
        <w:rPr>
          <w:lang w:val="en-GB"/>
        </w:rPr>
        <w:t>LTTE</w:t>
      </w:r>
      <w:r w:rsidRPr="007345D4">
        <w:rPr>
          <w:lang w:val="en-GB"/>
        </w:rPr>
        <w:t xml:space="preserve"> had been defeated; </w:t>
      </w:r>
      <w:r w:rsidR="00C32EEC">
        <w:rPr>
          <w:lang w:val="en-GB"/>
        </w:rPr>
        <w:t xml:space="preserve">and </w:t>
      </w:r>
      <w:r w:rsidRPr="007345D4">
        <w:rPr>
          <w:lang w:val="en-GB"/>
        </w:rPr>
        <w:t xml:space="preserve">that the fact </w:t>
      </w:r>
      <w:r w:rsidRPr="00095CDF">
        <w:rPr>
          <w:lang w:val="en-GB"/>
        </w:rPr>
        <w:t>that they had parents and</w:t>
      </w:r>
      <w:r w:rsidRPr="007345D4">
        <w:rPr>
          <w:lang w:val="en-GB"/>
        </w:rPr>
        <w:t xml:space="preserve"> that their village had been exposed to disturbances or bombings could not lead to </w:t>
      </w:r>
      <w:r w:rsidR="00C32EEC">
        <w:rPr>
          <w:lang w:val="en-GB"/>
        </w:rPr>
        <w:t xml:space="preserve">the conclusion </w:t>
      </w:r>
      <w:r w:rsidRPr="007345D4">
        <w:rPr>
          <w:lang w:val="en-GB"/>
        </w:rPr>
        <w:t xml:space="preserve">that they were in need of international protection. The authors appealed the decision </w:t>
      </w:r>
      <w:r w:rsidR="00B372F5">
        <w:rPr>
          <w:lang w:val="en-GB"/>
        </w:rPr>
        <w:t>to</w:t>
      </w:r>
      <w:r w:rsidR="00B372F5" w:rsidRPr="007345D4">
        <w:rPr>
          <w:lang w:val="en-GB"/>
        </w:rPr>
        <w:t xml:space="preserve"> </w:t>
      </w:r>
      <w:r w:rsidRPr="007345D4">
        <w:rPr>
          <w:lang w:val="en-GB"/>
        </w:rPr>
        <w:t>the Refugee Appeals Board.</w:t>
      </w:r>
    </w:p>
    <w:p w14:paraId="0C57CD5A" w14:textId="77777777" w:rsidR="00E01AF0" w:rsidRPr="007345D4" w:rsidRDefault="00E01AF0" w:rsidP="00095CDF">
      <w:pPr>
        <w:pStyle w:val="SingleTxtG"/>
        <w:spacing w:line="240" w:lineRule="auto"/>
        <w:rPr>
          <w:lang w:val="en-GB"/>
        </w:rPr>
      </w:pPr>
      <w:r w:rsidRPr="007345D4">
        <w:rPr>
          <w:lang w:val="en-GB"/>
        </w:rPr>
        <w:lastRenderedPageBreak/>
        <w:t>2.5</w:t>
      </w:r>
      <w:r w:rsidRPr="007345D4">
        <w:rPr>
          <w:lang w:val="en-GB"/>
        </w:rPr>
        <w:tab/>
        <w:t xml:space="preserve">On 2 July 2010, the Ministry of Justice refused </w:t>
      </w:r>
      <w:r w:rsidRPr="00095CDF">
        <w:rPr>
          <w:lang w:val="en-GB"/>
        </w:rPr>
        <w:t xml:space="preserve">the applications </w:t>
      </w:r>
      <w:r w:rsidR="002C3591" w:rsidRPr="00095CDF">
        <w:rPr>
          <w:lang w:val="en-GB"/>
        </w:rPr>
        <w:t xml:space="preserve">of the authors </w:t>
      </w:r>
      <w:r w:rsidRPr="00095CDF">
        <w:rPr>
          <w:lang w:val="en-GB"/>
        </w:rPr>
        <w:t>for residence permit</w:t>
      </w:r>
      <w:r w:rsidR="002C3591" w:rsidRPr="00095CDF">
        <w:rPr>
          <w:lang w:val="en-GB"/>
        </w:rPr>
        <w:t>s</w:t>
      </w:r>
      <w:r w:rsidRPr="00095CDF">
        <w:rPr>
          <w:lang w:val="en-GB"/>
        </w:rPr>
        <w:t xml:space="preserve"> on humanitarian grounds under section 9b</w:t>
      </w:r>
      <w:r w:rsidR="00F10AFF" w:rsidRPr="009B3BE6">
        <w:rPr>
          <w:lang w:val="en-GB"/>
        </w:rPr>
        <w:t> </w:t>
      </w:r>
      <w:r w:rsidRPr="00095CDF">
        <w:rPr>
          <w:lang w:val="en-GB"/>
        </w:rPr>
        <w:t>(1) of the Aliens Act</w:t>
      </w:r>
      <w:r w:rsidRPr="007345D4">
        <w:rPr>
          <w:lang w:val="en-GB"/>
        </w:rPr>
        <w:t xml:space="preserve">. </w:t>
      </w:r>
    </w:p>
    <w:p w14:paraId="1F6DA547" w14:textId="77777777" w:rsidR="00E01AF0" w:rsidRPr="007345D4" w:rsidRDefault="00A53621">
      <w:pPr>
        <w:pStyle w:val="SingleTxtG"/>
        <w:spacing w:line="240" w:lineRule="auto"/>
        <w:rPr>
          <w:lang w:val="en-GB"/>
        </w:rPr>
      </w:pPr>
      <w:r w:rsidRPr="007345D4">
        <w:rPr>
          <w:lang w:val="en-GB"/>
        </w:rPr>
        <w:t>2.6</w:t>
      </w:r>
      <w:r w:rsidR="00E01AF0" w:rsidRPr="007345D4">
        <w:rPr>
          <w:lang w:val="en-GB"/>
        </w:rPr>
        <w:tab/>
        <w:t xml:space="preserve">On 22 September 2010, the </w:t>
      </w:r>
      <w:r w:rsidR="00C32EEC">
        <w:rPr>
          <w:lang w:val="en-GB"/>
        </w:rPr>
        <w:t>Refugee Appeals Board</w:t>
      </w:r>
      <w:r w:rsidR="00C32EEC" w:rsidRPr="007345D4">
        <w:rPr>
          <w:lang w:val="en-GB"/>
        </w:rPr>
        <w:t xml:space="preserve"> </w:t>
      </w:r>
      <w:r w:rsidR="00E01AF0" w:rsidRPr="007345D4">
        <w:rPr>
          <w:lang w:val="en-GB"/>
        </w:rPr>
        <w:t xml:space="preserve">rejected the </w:t>
      </w:r>
      <w:r w:rsidR="00E01AF0" w:rsidRPr="00095CDF">
        <w:rPr>
          <w:lang w:val="en-GB"/>
        </w:rPr>
        <w:t>authors’ appeal</w:t>
      </w:r>
      <w:r w:rsidR="00AD0CCA" w:rsidRPr="00095CDF">
        <w:rPr>
          <w:lang w:val="en-GB"/>
        </w:rPr>
        <w:t>.</w:t>
      </w:r>
      <w:r w:rsidR="00E01AF0" w:rsidRPr="00095CDF">
        <w:rPr>
          <w:lang w:val="en-GB"/>
        </w:rPr>
        <w:t xml:space="preserve"> The </w:t>
      </w:r>
      <w:r w:rsidR="00C32EEC" w:rsidRPr="00095CDF">
        <w:rPr>
          <w:lang w:val="en-GB"/>
        </w:rPr>
        <w:t xml:space="preserve">Board </w:t>
      </w:r>
      <w:r w:rsidR="00E01AF0" w:rsidRPr="00095CDF">
        <w:rPr>
          <w:lang w:val="en-GB"/>
        </w:rPr>
        <w:t>stated that</w:t>
      </w:r>
      <w:r w:rsidR="006B452B" w:rsidRPr="00095CDF">
        <w:rPr>
          <w:lang w:val="en-GB"/>
        </w:rPr>
        <w:t xml:space="preserve"> it had found the following </w:t>
      </w:r>
      <w:r w:rsidR="00F10AFF" w:rsidRPr="00095CDF">
        <w:rPr>
          <w:lang w:val="en-GB"/>
        </w:rPr>
        <w:t xml:space="preserve">accounts given by the authors </w:t>
      </w:r>
      <w:r w:rsidR="006B452B" w:rsidRPr="00095CDF">
        <w:rPr>
          <w:lang w:val="en-GB"/>
        </w:rPr>
        <w:t>as fact:</w:t>
      </w:r>
      <w:r w:rsidR="00E01AF0" w:rsidRPr="007345D4">
        <w:rPr>
          <w:lang w:val="en-GB"/>
        </w:rPr>
        <w:t xml:space="preserve"> </w:t>
      </w:r>
      <w:r w:rsidR="005A7470" w:rsidRPr="009B3BE6">
        <w:rPr>
          <w:lang w:val="en-GB"/>
        </w:rPr>
        <w:t>the</w:t>
      </w:r>
      <w:r w:rsidR="005A7470" w:rsidRPr="007345D4">
        <w:rPr>
          <w:lang w:val="en-GB"/>
        </w:rPr>
        <w:t>y</w:t>
      </w:r>
      <w:r w:rsidR="005A7470" w:rsidRPr="009B3BE6">
        <w:rPr>
          <w:lang w:val="en-GB"/>
        </w:rPr>
        <w:t xml:space="preserve"> were ethnic Tamils from the Vanni area; they had not been politically active; their father </w:t>
      </w:r>
      <w:r w:rsidR="006B452B">
        <w:rPr>
          <w:lang w:val="en-GB"/>
        </w:rPr>
        <w:t xml:space="preserve">had been </w:t>
      </w:r>
      <w:r w:rsidR="005A7470" w:rsidRPr="009B3BE6">
        <w:rPr>
          <w:lang w:val="en-GB"/>
        </w:rPr>
        <w:t xml:space="preserve">taken by </w:t>
      </w:r>
      <w:r w:rsidR="00213875">
        <w:rPr>
          <w:lang w:val="en-GB"/>
        </w:rPr>
        <w:t>LTTE</w:t>
      </w:r>
      <w:r w:rsidR="005A7470" w:rsidRPr="009B3BE6">
        <w:rPr>
          <w:lang w:val="en-GB"/>
        </w:rPr>
        <w:t xml:space="preserve"> sometime in 2009; they </w:t>
      </w:r>
      <w:r w:rsidR="006B452B">
        <w:rPr>
          <w:lang w:val="en-GB"/>
        </w:rPr>
        <w:t xml:space="preserve">had </w:t>
      </w:r>
      <w:r w:rsidR="005A7470" w:rsidRPr="009B3BE6">
        <w:rPr>
          <w:lang w:val="en-GB"/>
        </w:rPr>
        <w:t xml:space="preserve">fled to Mullivaikal; they </w:t>
      </w:r>
      <w:r w:rsidR="006B452B">
        <w:rPr>
          <w:lang w:val="en-GB"/>
        </w:rPr>
        <w:t xml:space="preserve">had </w:t>
      </w:r>
      <w:r w:rsidR="005A7470" w:rsidRPr="009B3BE6">
        <w:rPr>
          <w:lang w:val="en-GB"/>
        </w:rPr>
        <w:t xml:space="preserve">lost contact with their mother and sister; and they </w:t>
      </w:r>
      <w:r w:rsidR="006B452B">
        <w:rPr>
          <w:lang w:val="en-GB"/>
        </w:rPr>
        <w:t xml:space="preserve">had been </w:t>
      </w:r>
      <w:r w:rsidR="005A7470" w:rsidRPr="009B3BE6">
        <w:rPr>
          <w:lang w:val="en-GB"/>
        </w:rPr>
        <w:t xml:space="preserve">driven by the military to a camp in Vavuniya, where they </w:t>
      </w:r>
      <w:r w:rsidR="006B452B">
        <w:rPr>
          <w:lang w:val="en-GB"/>
        </w:rPr>
        <w:t xml:space="preserve">had </w:t>
      </w:r>
      <w:r w:rsidR="006B452B" w:rsidRPr="00095CDF">
        <w:rPr>
          <w:lang w:val="en-GB"/>
        </w:rPr>
        <w:t xml:space="preserve">been </w:t>
      </w:r>
      <w:r w:rsidR="005A7470" w:rsidRPr="009B3BE6">
        <w:rPr>
          <w:lang w:val="en-GB"/>
        </w:rPr>
        <w:t>picked up by a maternal uncle after two months</w:t>
      </w:r>
      <w:r w:rsidR="005A7470" w:rsidRPr="00095CDF">
        <w:rPr>
          <w:lang w:val="en-GB"/>
        </w:rPr>
        <w:t>. However,</w:t>
      </w:r>
      <w:r w:rsidR="00E01AF0" w:rsidRPr="00095CDF">
        <w:rPr>
          <w:lang w:val="en-GB"/>
        </w:rPr>
        <w:t xml:space="preserve"> the fact that their father </w:t>
      </w:r>
      <w:r w:rsidR="006B452B" w:rsidRPr="00095CDF">
        <w:rPr>
          <w:lang w:val="en-GB"/>
        </w:rPr>
        <w:t xml:space="preserve">had been an </w:t>
      </w:r>
      <w:r w:rsidR="00E01AF0" w:rsidRPr="00095CDF">
        <w:rPr>
          <w:lang w:val="en-GB"/>
        </w:rPr>
        <w:t xml:space="preserve">active member of </w:t>
      </w:r>
      <w:r w:rsidR="00213875">
        <w:rPr>
          <w:lang w:val="en-GB"/>
        </w:rPr>
        <w:t>LTTE</w:t>
      </w:r>
      <w:r w:rsidR="00E01AF0" w:rsidRPr="00095CDF">
        <w:rPr>
          <w:lang w:val="en-GB"/>
        </w:rPr>
        <w:t xml:space="preserve"> could not lead to </w:t>
      </w:r>
      <w:r w:rsidR="00F10AFF" w:rsidRPr="00095CDF">
        <w:rPr>
          <w:lang w:val="en-GB"/>
        </w:rPr>
        <w:t xml:space="preserve">the conclusion </w:t>
      </w:r>
      <w:r w:rsidR="00E01AF0" w:rsidRPr="00095CDF">
        <w:rPr>
          <w:lang w:val="en-GB"/>
        </w:rPr>
        <w:t xml:space="preserve">that the authors were at risk of persecution. It noted that their father’s membership </w:t>
      </w:r>
      <w:r w:rsidR="00F10AFF" w:rsidRPr="00095CDF">
        <w:rPr>
          <w:lang w:val="en-GB"/>
        </w:rPr>
        <w:t>in</w:t>
      </w:r>
      <w:r w:rsidR="00E01AF0" w:rsidRPr="00095CDF">
        <w:rPr>
          <w:lang w:val="en-GB"/>
        </w:rPr>
        <w:t xml:space="preserve"> th</w:t>
      </w:r>
      <w:r w:rsidR="002C3591" w:rsidRPr="00095CDF">
        <w:rPr>
          <w:lang w:val="en-GB"/>
        </w:rPr>
        <w:t>at</w:t>
      </w:r>
      <w:r w:rsidR="00E01AF0" w:rsidRPr="00095CDF">
        <w:rPr>
          <w:lang w:val="en-GB"/>
        </w:rPr>
        <w:t xml:space="preserve"> organization </w:t>
      </w:r>
      <w:r w:rsidR="00F10AFF" w:rsidRPr="00095CDF">
        <w:rPr>
          <w:lang w:val="en-GB"/>
        </w:rPr>
        <w:t xml:space="preserve">had </w:t>
      </w:r>
      <w:r w:rsidR="002C3591" w:rsidRPr="00095CDF">
        <w:rPr>
          <w:lang w:val="en-GB"/>
        </w:rPr>
        <w:t xml:space="preserve">ended </w:t>
      </w:r>
      <w:r w:rsidR="00E01AF0" w:rsidRPr="00095CDF">
        <w:rPr>
          <w:lang w:val="en-GB"/>
        </w:rPr>
        <w:t>when he got married</w:t>
      </w:r>
      <w:r w:rsidR="00557BBD" w:rsidRPr="00095CDF">
        <w:rPr>
          <w:lang w:val="en-GB"/>
        </w:rPr>
        <w:t xml:space="preserve"> and</w:t>
      </w:r>
      <w:r w:rsidR="00E01AF0" w:rsidRPr="00095CDF">
        <w:rPr>
          <w:lang w:val="en-GB"/>
        </w:rPr>
        <w:t xml:space="preserve"> after that he </w:t>
      </w:r>
      <w:r w:rsidR="00F10AFF" w:rsidRPr="00095CDF">
        <w:rPr>
          <w:lang w:val="en-GB"/>
        </w:rPr>
        <w:t xml:space="preserve">had been </w:t>
      </w:r>
      <w:r w:rsidR="00E01AF0" w:rsidRPr="00095CDF">
        <w:rPr>
          <w:lang w:val="en-GB"/>
        </w:rPr>
        <w:t>able to live for a long period without any</w:t>
      </w:r>
      <w:r w:rsidR="00E01AF0" w:rsidRPr="007345D4">
        <w:rPr>
          <w:lang w:val="en-GB"/>
        </w:rPr>
        <w:t xml:space="preserve"> problem</w:t>
      </w:r>
      <w:r w:rsidR="006E4BBA">
        <w:rPr>
          <w:lang w:val="en-GB"/>
        </w:rPr>
        <w:t>. The Board further noted</w:t>
      </w:r>
      <w:r w:rsidR="00E01AF0" w:rsidRPr="007345D4">
        <w:rPr>
          <w:lang w:val="en-GB"/>
        </w:rPr>
        <w:t xml:space="preserve"> that there was no basis for assuming that</w:t>
      </w:r>
      <w:r w:rsidR="00AD0CCA" w:rsidRPr="009B3BE6">
        <w:rPr>
          <w:lang w:val="en-GB"/>
        </w:rPr>
        <w:t xml:space="preserve"> </w:t>
      </w:r>
      <w:r w:rsidR="006E4BBA" w:rsidRPr="00E367D8">
        <w:rPr>
          <w:lang w:val="en-GB"/>
        </w:rPr>
        <w:t>the father</w:t>
      </w:r>
      <w:r w:rsidR="00E367D8" w:rsidRPr="009B3BE6">
        <w:rPr>
          <w:lang w:val="en-GB"/>
        </w:rPr>
        <w:t>’</w:t>
      </w:r>
      <w:r w:rsidR="006E4BBA" w:rsidRPr="00E367D8">
        <w:rPr>
          <w:lang w:val="en-GB"/>
        </w:rPr>
        <w:t xml:space="preserve">s </w:t>
      </w:r>
      <w:r w:rsidR="00E01AF0" w:rsidRPr="00E367D8">
        <w:rPr>
          <w:lang w:val="en-GB"/>
        </w:rPr>
        <w:t xml:space="preserve">activities </w:t>
      </w:r>
      <w:r w:rsidR="00E01AF0" w:rsidRPr="007345D4">
        <w:rPr>
          <w:lang w:val="en-GB"/>
        </w:rPr>
        <w:t>up to the date of the authors’ departure</w:t>
      </w:r>
      <w:r w:rsidR="00557BBD">
        <w:rPr>
          <w:lang w:val="en-GB"/>
        </w:rPr>
        <w:t xml:space="preserve"> </w:t>
      </w:r>
      <w:r w:rsidR="00557BBD" w:rsidRPr="008431F8">
        <w:rPr>
          <w:lang w:val="en-GB"/>
        </w:rPr>
        <w:t>had</w:t>
      </w:r>
      <w:r w:rsidR="00557BBD" w:rsidRPr="007345D4">
        <w:rPr>
          <w:lang w:val="en-GB"/>
        </w:rPr>
        <w:t xml:space="preserve"> been of such nature or scope that they had subsequently </w:t>
      </w:r>
      <w:r w:rsidR="00D64ED4">
        <w:rPr>
          <w:lang w:val="en-GB"/>
        </w:rPr>
        <w:t>drawn attention to</w:t>
      </w:r>
      <w:r w:rsidR="00557BBD" w:rsidRPr="00213875">
        <w:rPr>
          <w:lang w:val="en-GB"/>
        </w:rPr>
        <w:t xml:space="preserve"> him</w:t>
      </w:r>
      <w:r w:rsidR="00E01AF0" w:rsidRPr="007345D4">
        <w:rPr>
          <w:lang w:val="en-GB"/>
        </w:rPr>
        <w:t>;</w:t>
      </w:r>
      <w:r w:rsidR="00AD0CCA" w:rsidRPr="007345D4">
        <w:rPr>
          <w:lang w:val="en-GB"/>
        </w:rPr>
        <w:t xml:space="preserve"> </w:t>
      </w:r>
      <w:r w:rsidR="00E01AF0" w:rsidRPr="007345D4">
        <w:rPr>
          <w:lang w:val="en-GB"/>
        </w:rPr>
        <w:t xml:space="preserve">and that the authorities </w:t>
      </w:r>
      <w:r w:rsidR="00F10AFF">
        <w:rPr>
          <w:lang w:val="en-GB"/>
        </w:rPr>
        <w:t xml:space="preserve">of Sri Lanka </w:t>
      </w:r>
      <w:r w:rsidR="00557BBD">
        <w:rPr>
          <w:lang w:val="en-GB"/>
        </w:rPr>
        <w:t xml:space="preserve">had </w:t>
      </w:r>
      <w:r w:rsidR="00E01AF0" w:rsidRPr="007345D4">
        <w:rPr>
          <w:lang w:val="en-GB"/>
        </w:rPr>
        <w:t>not inflict</w:t>
      </w:r>
      <w:r w:rsidR="00557BBD">
        <w:rPr>
          <w:lang w:val="en-GB"/>
        </w:rPr>
        <w:t>ed</w:t>
      </w:r>
      <w:r w:rsidR="00E01AF0" w:rsidRPr="007345D4">
        <w:rPr>
          <w:lang w:val="en-GB"/>
        </w:rPr>
        <w:t xml:space="preserve"> any abuses on the authors when they were in the camp in Vavuniya, which they </w:t>
      </w:r>
      <w:r w:rsidR="00557BBD">
        <w:rPr>
          <w:lang w:val="en-GB"/>
        </w:rPr>
        <w:t xml:space="preserve">had </w:t>
      </w:r>
      <w:r w:rsidR="00E01AF0" w:rsidRPr="007345D4">
        <w:rPr>
          <w:lang w:val="en-GB"/>
        </w:rPr>
        <w:t xml:space="preserve">left without </w:t>
      </w:r>
      <w:r w:rsidR="00F10AFF">
        <w:rPr>
          <w:lang w:val="en-GB"/>
        </w:rPr>
        <w:t>difficulty</w:t>
      </w:r>
      <w:r w:rsidR="00E01AF0" w:rsidRPr="007345D4">
        <w:rPr>
          <w:lang w:val="en-GB"/>
        </w:rPr>
        <w:t xml:space="preserve">. Further, </w:t>
      </w:r>
      <w:r w:rsidR="00F10AFF">
        <w:rPr>
          <w:lang w:val="en-GB"/>
        </w:rPr>
        <w:t xml:space="preserve">according to </w:t>
      </w:r>
      <w:r w:rsidR="00E01AF0" w:rsidRPr="007345D4">
        <w:rPr>
          <w:lang w:val="en-GB"/>
        </w:rPr>
        <w:t>background information on the human rights situation in Sri Lanka</w:t>
      </w:r>
      <w:r w:rsidR="00F10AFF">
        <w:rPr>
          <w:lang w:val="en-GB"/>
        </w:rPr>
        <w:t>,</w:t>
      </w:r>
      <w:r w:rsidR="00E01AF0" w:rsidRPr="007345D4">
        <w:rPr>
          <w:lang w:val="en-GB"/>
        </w:rPr>
        <w:t xml:space="preserve"> persons suspected of being LTTE supporters but </w:t>
      </w:r>
      <w:r w:rsidR="00BA4B27">
        <w:rPr>
          <w:lang w:val="en-GB"/>
        </w:rPr>
        <w:t xml:space="preserve">who were </w:t>
      </w:r>
      <w:r w:rsidR="00E01AF0" w:rsidRPr="007345D4">
        <w:rPr>
          <w:lang w:val="en-GB"/>
        </w:rPr>
        <w:t xml:space="preserve">not high profile were generally not at risk of persecution. Therefore, the </w:t>
      </w:r>
      <w:r w:rsidR="00F10AFF" w:rsidRPr="007345D4">
        <w:rPr>
          <w:lang w:val="en-GB"/>
        </w:rPr>
        <w:t>Board</w:t>
      </w:r>
      <w:r w:rsidR="00F10AFF">
        <w:rPr>
          <w:lang w:val="en-GB"/>
        </w:rPr>
        <w:t xml:space="preserve"> </w:t>
      </w:r>
      <w:r w:rsidR="00E01AF0" w:rsidRPr="007345D4">
        <w:rPr>
          <w:lang w:val="en-GB"/>
        </w:rPr>
        <w:t xml:space="preserve">concluded that the authors’ removal to Sri Lanka would not put them at risk of persecution. The </w:t>
      </w:r>
      <w:r w:rsidR="00F10AFF">
        <w:rPr>
          <w:lang w:val="en-GB"/>
        </w:rPr>
        <w:t xml:space="preserve">Board </w:t>
      </w:r>
      <w:r w:rsidR="00E01AF0" w:rsidRPr="007345D4">
        <w:rPr>
          <w:lang w:val="en-GB"/>
        </w:rPr>
        <w:t xml:space="preserve">pointed out that no deadline to leave the State party had been established, since the Danish Immigration Service </w:t>
      </w:r>
      <w:r w:rsidR="00F10AFF">
        <w:rPr>
          <w:lang w:val="en-GB"/>
        </w:rPr>
        <w:t xml:space="preserve">had </w:t>
      </w:r>
      <w:r w:rsidR="00E01AF0" w:rsidRPr="007345D4">
        <w:rPr>
          <w:lang w:val="en-GB"/>
        </w:rPr>
        <w:t>indicated during the hearing t</w:t>
      </w:r>
      <w:r w:rsidR="00E01AF0" w:rsidRPr="00095CDF">
        <w:rPr>
          <w:lang w:val="en-GB"/>
        </w:rPr>
        <w:t>hat it would consider ex officio whether the authors’ case fell under section 9c</w:t>
      </w:r>
      <w:r w:rsidR="00F10AFF" w:rsidRPr="00095CDF">
        <w:rPr>
          <w:lang w:val="en-GB"/>
        </w:rPr>
        <w:t> </w:t>
      </w:r>
      <w:r w:rsidR="00E01AF0" w:rsidRPr="00095CDF">
        <w:rPr>
          <w:lang w:val="en-GB"/>
        </w:rPr>
        <w:t>(3)</w:t>
      </w:r>
      <w:r w:rsidR="00F10AFF" w:rsidRPr="00095CDF">
        <w:rPr>
          <w:lang w:val="en-GB"/>
        </w:rPr>
        <w:t> </w:t>
      </w:r>
      <w:r w:rsidR="00E01AF0" w:rsidRPr="00095CDF">
        <w:rPr>
          <w:lang w:val="en-GB"/>
        </w:rPr>
        <w:t xml:space="preserve">(ii) of the Aliens Act (special residence permit for </w:t>
      </w:r>
      <w:r w:rsidR="00095CDF" w:rsidRPr="009B3BE6">
        <w:rPr>
          <w:lang w:val="en-GB"/>
        </w:rPr>
        <w:t xml:space="preserve">an </w:t>
      </w:r>
      <w:r w:rsidR="00E01AF0" w:rsidRPr="00095CDF">
        <w:rPr>
          <w:lang w:val="en-GB"/>
        </w:rPr>
        <w:t xml:space="preserve">unaccompanied minor </w:t>
      </w:r>
      <w:r w:rsidR="00095CDF" w:rsidRPr="009B3BE6">
        <w:rPr>
          <w:lang w:val="en-GB"/>
        </w:rPr>
        <w:t xml:space="preserve">seeking </w:t>
      </w:r>
      <w:r w:rsidR="00E01AF0" w:rsidRPr="00095CDF">
        <w:rPr>
          <w:lang w:val="en-GB"/>
        </w:rPr>
        <w:t>asylum). However, the</w:t>
      </w:r>
      <w:r w:rsidR="00E01AF0" w:rsidRPr="007345D4">
        <w:rPr>
          <w:lang w:val="en-GB"/>
        </w:rPr>
        <w:t xml:space="preserve"> authors could be forcibly removed to Sri Lanka if they were not granted residence permit</w:t>
      </w:r>
      <w:r w:rsidR="00F10AFF">
        <w:rPr>
          <w:lang w:val="en-GB"/>
        </w:rPr>
        <w:t>s</w:t>
      </w:r>
      <w:r w:rsidR="00E01AF0" w:rsidRPr="007345D4">
        <w:rPr>
          <w:lang w:val="en-GB"/>
        </w:rPr>
        <w:t xml:space="preserve"> under th</w:t>
      </w:r>
      <w:r w:rsidR="00557BBD">
        <w:rPr>
          <w:lang w:val="en-GB"/>
        </w:rPr>
        <w:t>at</w:t>
      </w:r>
      <w:r w:rsidR="00E01AF0" w:rsidRPr="007345D4">
        <w:rPr>
          <w:lang w:val="en-GB"/>
        </w:rPr>
        <w:t xml:space="preserve"> provision.</w:t>
      </w:r>
    </w:p>
    <w:p w14:paraId="4C6A5561" w14:textId="77777777" w:rsidR="00E01AF0" w:rsidRPr="007345D4" w:rsidRDefault="00A53621" w:rsidP="009C47EA">
      <w:pPr>
        <w:pStyle w:val="SingleTxtG"/>
        <w:spacing w:line="240" w:lineRule="auto"/>
        <w:rPr>
          <w:lang w:val="en-GB"/>
        </w:rPr>
      </w:pPr>
      <w:r w:rsidRPr="007345D4">
        <w:rPr>
          <w:lang w:val="en-GB"/>
        </w:rPr>
        <w:t>2.7</w:t>
      </w:r>
      <w:r w:rsidR="00E01AF0" w:rsidRPr="007345D4">
        <w:rPr>
          <w:lang w:val="en-GB"/>
        </w:rPr>
        <w:tab/>
        <w:t>Within the proceedings before the Danish Immigration Service under section</w:t>
      </w:r>
      <w:r w:rsidR="00095CDF">
        <w:rPr>
          <w:lang w:val="en-GB"/>
        </w:rPr>
        <w:t> </w:t>
      </w:r>
      <w:r w:rsidR="00E01AF0" w:rsidRPr="007345D4">
        <w:rPr>
          <w:lang w:val="en-GB"/>
        </w:rPr>
        <w:t>9c</w:t>
      </w:r>
      <w:r w:rsidR="00C446BA">
        <w:rPr>
          <w:lang w:val="en-GB"/>
        </w:rPr>
        <w:t> </w:t>
      </w:r>
      <w:r w:rsidR="00E01AF0" w:rsidRPr="007345D4">
        <w:rPr>
          <w:lang w:val="en-GB"/>
        </w:rPr>
        <w:t>(3)</w:t>
      </w:r>
      <w:r w:rsidR="00C446BA">
        <w:rPr>
          <w:lang w:val="en-GB"/>
        </w:rPr>
        <w:t> </w:t>
      </w:r>
      <w:r w:rsidR="00E01AF0" w:rsidRPr="007345D4">
        <w:rPr>
          <w:lang w:val="en-GB"/>
        </w:rPr>
        <w:t>(ii) of the Aliens Act, the authors claimed that they had no contact with anybody in Sri Lanka</w:t>
      </w:r>
      <w:r w:rsidR="00C446BA">
        <w:rPr>
          <w:lang w:val="en-GB"/>
        </w:rPr>
        <w:t>.</w:t>
      </w:r>
      <w:r w:rsidR="00E01AF0" w:rsidRPr="007345D4">
        <w:rPr>
          <w:lang w:val="en-GB"/>
        </w:rPr>
        <w:t xml:space="preserve"> </w:t>
      </w:r>
      <w:r w:rsidR="00C446BA">
        <w:rPr>
          <w:lang w:val="en-GB"/>
        </w:rPr>
        <w:t xml:space="preserve">They also </w:t>
      </w:r>
      <w:r w:rsidR="00E01AF0" w:rsidRPr="007345D4">
        <w:rPr>
          <w:lang w:val="en-GB"/>
        </w:rPr>
        <w:t>provided psychological reports dated 8 November 2010 stating</w:t>
      </w:r>
      <w:r w:rsidR="00AD0CCA" w:rsidRPr="007345D4">
        <w:rPr>
          <w:lang w:val="en-GB"/>
        </w:rPr>
        <w:t xml:space="preserve"> </w:t>
      </w:r>
      <w:r w:rsidR="00E01AF0" w:rsidRPr="007345D4">
        <w:rPr>
          <w:lang w:val="en-GB"/>
        </w:rPr>
        <w:t>that they had learning difficulties, low self-esteem, anxiety and depression</w:t>
      </w:r>
      <w:r w:rsidR="00C446BA">
        <w:rPr>
          <w:lang w:val="en-GB"/>
        </w:rPr>
        <w:t>,</w:t>
      </w:r>
      <w:r w:rsidR="00E01AF0" w:rsidRPr="007345D4">
        <w:rPr>
          <w:lang w:val="en-GB"/>
        </w:rPr>
        <w:t xml:space="preserve"> and that they were in special need of support, guidance and care</w:t>
      </w:r>
      <w:r w:rsidR="00C446BA">
        <w:rPr>
          <w:lang w:val="en-GB"/>
        </w:rPr>
        <w:t>.</w:t>
      </w:r>
      <w:r w:rsidR="00E01AF0" w:rsidRPr="007345D4">
        <w:rPr>
          <w:lang w:val="en-GB"/>
        </w:rPr>
        <w:t xml:space="preserve"> </w:t>
      </w:r>
      <w:r w:rsidR="00C446BA">
        <w:rPr>
          <w:lang w:val="en-GB"/>
        </w:rPr>
        <w:t xml:space="preserve">They further provided </w:t>
      </w:r>
      <w:r w:rsidR="00E01AF0" w:rsidRPr="007345D4">
        <w:rPr>
          <w:lang w:val="en-GB"/>
        </w:rPr>
        <w:t xml:space="preserve">Jenarthan’s medical records dated 8 September 2011 from the Danish Red Cross, </w:t>
      </w:r>
      <w:r w:rsidR="00C446BA">
        <w:rPr>
          <w:lang w:val="en-GB"/>
        </w:rPr>
        <w:t xml:space="preserve">which </w:t>
      </w:r>
      <w:r w:rsidR="00E01AF0" w:rsidRPr="007345D4">
        <w:rPr>
          <w:lang w:val="en-GB"/>
        </w:rPr>
        <w:t>noted that he suffered from post-traumatic stress disorder and had suicidal thoughts.</w:t>
      </w:r>
      <w:r w:rsidR="0086305A" w:rsidRPr="007345D4">
        <w:rPr>
          <w:lang w:val="en-GB"/>
        </w:rPr>
        <w:t xml:space="preserve"> </w:t>
      </w:r>
    </w:p>
    <w:p w14:paraId="265A5A1C" w14:textId="77777777" w:rsidR="00E01AF0" w:rsidRPr="007345D4" w:rsidRDefault="00E01AF0">
      <w:pPr>
        <w:pStyle w:val="SingleTxtG"/>
        <w:spacing w:line="240" w:lineRule="auto"/>
        <w:rPr>
          <w:lang w:val="en-GB"/>
        </w:rPr>
      </w:pPr>
      <w:r w:rsidRPr="007345D4">
        <w:rPr>
          <w:lang w:val="en-GB"/>
        </w:rPr>
        <w:t>2.8</w:t>
      </w:r>
      <w:r w:rsidRPr="007345D4">
        <w:rPr>
          <w:lang w:val="en-GB"/>
        </w:rPr>
        <w:tab/>
        <w:t xml:space="preserve">On 5 July 2011, the Danish Immigration Service asked the Ministry of Foreign Affairs to initiate a search </w:t>
      </w:r>
      <w:r w:rsidR="00C446BA">
        <w:rPr>
          <w:lang w:val="en-GB"/>
        </w:rPr>
        <w:t>for</w:t>
      </w:r>
      <w:r w:rsidRPr="007345D4">
        <w:rPr>
          <w:lang w:val="en-GB"/>
        </w:rPr>
        <w:t xml:space="preserve"> the authors’ relatives in Sri Lanka. On 7 July 2011, the Ministry informed the Immigration Service that it </w:t>
      </w:r>
      <w:r w:rsidR="00C446BA">
        <w:rPr>
          <w:lang w:val="en-GB"/>
        </w:rPr>
        <w:t xml:space="preserve">had been </w:t>
      </w:r>
      <w:r w:rsidRPr="007345D4">
        <w:rPr>
          <w:lang w:val="en-GB"/>
        </w:rPr>
        <w:t>unable to carry out th</w:t>
      </w:r>
      <w:r w:rsidR="00C446BA">
        <w:rPr>
          <w:lang w:val="en-GB"/>
        </w:rPr>
        <w:t>e</w:t>
      </w:r>
      <w:r w:rsidRPr="007345D4">
        <w:rPr>
          <w:lang w:val="en-GB"/>
        </w:rPr>
        <w:t xml:space="preserve"> search </w:t>
      </w:r>
      <w:r w:rsidR="00C446BA">
        <w:rPr>
          <w:lang w:val="en-GB"/>
        </w:rPr>
        <w:t>owing to</w:t>
      </w:r>
      <w:r w:rsidR="00C446BA" w:rsidRPr="007345D4">
        <w:rPr>
          <w:lang w:val="en-GB"/>
        </w:rPr>
        <w:t xml:space="preserve"> </w:t>
      </w:r>
      <w:r w:rsidRPr="007345D4">
        <w:rPr>
          <w:lang w:val="en-GB"/>
        </w:rPr>
        <w:t>both security and resource reasons.</w:t>
      </w:r>
    </w:p>
    <w:p w14:paraId="733F9EEA" w14:textId="77777777" w:rsidR="00E01AF0" w:rsidRPr="007345D4" w:rsidRDefault="00E01AF0" w:rsidP="00EF16DE">
      <w:pPr>
        <w:pStyle w:val="SingleTxtG"/>
        <w:spacing w:line="240" w:lineRule="auto"/>
        <w:rPr>
          <w:lang w:val="en-GB"/>
        </w:rPr>
      </w:pPr>
      <w:r w:rsidRPr="007345D4">
        <w:rPr>
          <w:lang w:val="en-GB"/>
        </w:rPr>
        <w:t>2.9</w:t>
      </w:r>
      <w:r w:rsidRPr="007345D4">
        <w:rPr>
          <w:lang w:val="en-GB"/>
        </w:rPr>
        <w:tab/>
        <w:t xml:space="preserve">On 30 January 2012, the Immigration Service </w:t>
      </w:r>
      <w:r w:rsidR="00C446BA">
        <w:rPr>
          <w:lang w:val="en-GB"/>
        </w:rPr>
        <w:t xml:space="preserve">refused to </w:t>
      </w:r>
      <w:r w:rsidRPr="007345D4">
        <w:rPr>
          <w:lang w:val="en-GB"/>
        </w:rPr>
        <w:t>grant the authors residence permit</w:t>
      </w:r>
      <w:r w:rsidR="00C446BA">
        <w:rPr>
          <w:lang w:val="en-GB"/>
        </w:rPr>
        <w:t>s</w:t>
      </w:r>
      <w:r w:rsidRPr="007345D4">
        <w:rPr>
          <w:lang w:val="en-GB"/>
        </w:rPr>
        <w:t xml:space="preserve"> under section 9c</w:t>
      </w:r>
      <w:r w:rsidR="00C446BA">
        <w:rPr>
          <w:lang w:val="en-GB"/>
        </w:rPr>
        <w:t> </w:t>
      </w:r>
      <w:r w:rsidRPr="007345D4">
        <w:rPr>
          <w:lang w:val="en-GB"/>
        </w:rPr>
        <w:t>(3)</w:t>
      </w:r>
      <w:r w:rsidR="00C446BA">
        <w:rPr>
          <w:lang w:val="en-GB"/>
        </w:rPr>
        <w:t> </w:t>
      </w:r>
      <w:r w:rsidRPr="007345D4">
        <w:rPr>
          <w:lang w:val="en-GB"/>
        </w:rPr>
        <w:t xml:space="preserve">(ii) of the Aliens Act. It considered that they </w:t>
      </w:r>
      <w:r w:rsidR="00C446BA">
        <w:rPr>
          <w:lang w:val="en-GB"/>
        </w:rPr>
        <w:t xml:space="preserve">had </w:t>
      </w:r>
      <w:r w:rsidRPr="007345D4">
        <w:rPr>
          <w:lang w:val="en-GB"/>
        </w:rPr>
        <w:t xml:space="preserve">failed to show that their low cognitive level and psychological condition were of such severity </w:t>
      </w:r>
      <w:r w:rsidR="00C446BA">
        <w:rPr>
          <w:lang w:val="en-GB"/>
        </w:rPr>
        <w:t xml:space="preserve">as </w:t>
      </w:r>
      <w:r w:rsidR="00557BBD">
        <w:rPr>
          <w:lang w:val="en-GB"/>
        </w:rPr>
        <w:t xml:space="preserve">to </w:t>
      </w:r>
      <w:r w:rsidR="00C446BA">
        <w:rPr>
          <w:lang w:val="en-GB"/>
        </w:rPr>
        <w:t xml:space="preserve">require them to </w:t>
      </w:r>
      <w:r w:rsidR="00557BBD">
        <w:rPr>
          <w:lang w:val="en-GB"/>
        </w:rPr>
        <w:t xml:space="preserve">remain </w:t>
      </w:r>
      <w:r w:rsidRPr="007345D4">
        <w:rPr>
          <w:lang w:val="en-GB"/>
        </w:rPr>
        <w:t>in the State party</w:t>
      </w:r>
      <w:r w:rsidR="00C446BA">
        <w:rPr>
          <w:lang w:val="en-GB"/>
        </w:rPr>
        <w:t>,</w:t>
      </w:r>
      <w:r w:rsidRPr="007345D4">
        <w:rPr>
          <w:lang w:val="en-GB"/>
        </w:rPr>
        <w:t xml:space="preserve"> and that their problems could also be treated in Sri Lanka. Although the search </w:t>
      </w:r>
      <w:r w:rsidR="00C446BA">
        <w:rPr>
          <w:lang w:val="en-GB"/>
        </w:rPr>
        <w:t>for</w:t>
      </w:r>
      <w:r w:rsidRPr="007345D4">
        <w:rPr>
          <w:lang w:val="en-GB"/>
        </w:rPr>
        <w:t xml:space="preserve"> the authors’ parents through the Red Cross </w:t>
      </w:r>
      <w:r w:rsidR="00557BBD">
        <w:rPr>
          <w:lang w:val="en-GB"/>
        </w:rPr>
        <w:t xml:space="preserve">had been </w:t>
      </w:r>
      <w:r w:rsidRPr="007345D4">
        <w:rPr>
          <w:lang w:val="en-GB"/>
        </w:rPr>
        <w:t xml:space="preserve">unsuccessful and </w:t>
      </w:r>
      <w:r w:rsidRPr="00EF16DE">
        <w:rPr>
          <w:lang w:val="en-GB"/>
        </w:rPr>
        <w:t xml:space="preserve">the </w:t>
      </w:r>
      <w:r w:rsidR="00D31EE6" w:rsidRPr="00D31EE6">
        <w:rPr>
          <w:lang w:val="en-GB"/>
        </w:rPr>
        <w:t xml:space="preserve">Ministry of Foreign Affairs </w:t>
      </w:r>
      <w:r w:rsidR="00557BBD" w:rsidRPr="00D31EE6">
        <w:rPr>
          <w:lang w:val="en-GB"/>
        </w:rPr>
        <w:t xml:space="preserve">had been </w:t>
      </w:r>
      <w:r w:rsidRPr="00D31EE6">
        <w:rPr>
          <w:lang w:val="en-GB"/>
        </w:rPr>
        <w:t>unable to conduct a search in Sri Lanka, there was no evidence to conclude that their parents were no longer alive</w:t>
      </w:r>
      <w:r w:rsidRPr="007345D4">
        <w:rPr>
          <w:lang w:val="en-GB"/>
        </w:rPr>
        <w:t xml:space="preserve"> and living in Sri Lanka. The authors appealed the decision </w:t>
      </w:r>
      <w:r w:rsidR="00C446BA">
        <w:rPr>
          <w:lang w:val="en-GB"/>
        </w:rPr>
        <w:t xml:space="preserve">to </w:t>
      </w:r>
      <w:r w:rsidRPr="007345D4">
        <w:rPr>
          <w:lang w:val="en-GB"/>
        </w:rPr>
        <w:t>the Ministry of Justice.</w:t>
      </w:r>
    </w:p>
    <w:p w14:paraId="6AC0606E" w14:textId="77777777" w:rsidR="00E01AF0" w:rsidRPr="007345D4" w:rsidRDefault="00E01AF0" w:rsidP="006A24FB">
      <w:pPr>
        <w:pStyle w:val="SingleTxtG"/>
        <w:spacing w:line="240" w:lineRule="auto"/>
        <w:rPr>
          <w:lang w:val="en-GB"/>
        </w:rPr>
      </w:pPr>
      <w:r w:rsidRPr="007345D4">
        <w:rPr>
          <w:lang w:val="en-GB"/>
        </w:rPr>
        <w:t>2.10</w:t>
      </w:r>
      <w:r w:rsidRPr="007345D4">
        <w:rPr>
          <w:lang w:val="en-GB"/>
        </w:rPr>
        <w:tab/>
        <w:t xml:space="preserve">On 27 February 2013, the Ministry of Justice confirmed the 30 January 2012 </w:t>
      </w:r>
      <w:r w:rsidR="005A491E">
        <w:rPr>
          <w:lang w:val="en-GB"/>
        </w:rPr>
        <w:t xml:space="preserve">decision </w:t>
      </w:r>
      <w:r w:rsidR="00C446BA">
        <w:rPr>
          <w:lang w:val="en-GB"/>
        </w:rPr>
        <w:t xml:space="preserve">of the </w:t>
      </w:r>
      <w:r w:rsidR="00C446BA" w:rsidRPr="007345D4">
        <w:rPr>
          <w:lang w:val="en-GB"/>
        </w:rPr>
        <w:t xml:space="preserve">Immigration Service </w:t>
      </w:r>
      <w:r w:rsidRPr="007345D4">
        <w:rPr>
          <w:lang w:val="en-GB"/>
        </w:rPr>
        <w:t xml:space="preserve">and informed the authors that they should leave the </w:t>
      </w:r>
      <w:r w:rsidR="009C47EA">
        <w:rPr>
          <w:lang w:val="en-GB"/>
        </w:rPr>
        <w:t xml:space="preserve">territory of the </w:t>
      </w:r>
      <w:r w:rsidRPr="007345D4">
        <w:rPr>
          <w:lang w:val="en-GB"/>
        </w:rPr>
        <w:t xml:space="preserve">State party on 6 March 2013 at the latest. </w:t>
      </w:r>
      <w:r w:rsidR="005A491E">
        <w:rPr>
          <w:lang w:val="en-GB"/>
        </w:rPr>
        <w:t xml:space="preserve">The Ministry </w:t>
      </w:r>
      <w:r w:rsidRPr="007345D4">
        <w:rPr>
          <w:lang w:val="en-GB"/>
        </w:rPr>
        <w:t>pointed out that an unaccompanied minor who claim</w:t>
      </w:r>
      <w:r w:rsidR="00557BBD">
        <w:rPr>
          <w:lang w:val="en-GB"/>
        </w:rPr>
        <w:t>ed</w:t>
      </w:r>
      <w:r w:rsidRPr="007345D4">
        <w:rPr>
          <w:lang w:val="en-GB"/>
        </w:rPr>
        <w:t xml:space="preserve"> that he ha</w:t>
      </w:r>
      <w:r w:rsidR="00557BBD">
        <w:rPr>
          <w:lang w:val="en-GB"/>
        </w:rPr>
        <w:t>d</w:t>
      </w:r>
      <w:r w:rsidRPr="007345D4">
        <w:rPr>
          <w:lang w:val="en-GB"/>
        </w:rPr>
        <w:t xml:space="preserve"> no family network in his country of origin normally </w:t>
      </w:r>
      <w:r w:rsidR="00557BBD">
        <w:rPr>
          <w:lang w:val="en-GB"/>
        </w:rPr>
        <w:t xml:space="preserve">bore </w:t>
      </w:r>
      <w:r w:rsidRPr="007345D4">
        <w:rPr>
          <w:lang w:val="en-GB"/>
        </w:rPr>
        <w:t>the burden of proving th</w:t>
      </w:r>
      <w:r w:rsidR="00557BBD">
        <w:rPr>
          <w:lang w:val="en-GB"/>
        </w:rPr>
        <w:t>at claim</w:t>
      </w:r>
      <w:r w:rsidRPr="007345D4">
        <w:rPr>
          <w:lang w:val="en-GB"/>
        </w:rPr>
        <w:t xml:space="preserve">; that the authors </w:t>
      </w:r>
      <w:r w:rsidR="005A491E">
        <w:rPr>
          <w:lang w:val="en-GB"/>
        </w:rPr>
        <w:t xml:space="preserve">had been </w:t>
      </w:r>
      <w:r w:rsidRPr="007345D4">
        <w:rPr>
          <w:lang w:val="en-GB"/>
        </w:rPr>
        <w:t xml:space="preserve">born and raised in Sri Lanka with their parents and siblings; that it must be assumed that their parents and sister were still living in Sri Lanka; and that they </w:t>
      </w:r>
      <w:r w:rsidR="00557BBD">
        <w:rPr>
          <w:lang w:val="en-GB"/>
        </w:rPr>
        <w:t xml:space="preserve">might </w:t>
      </w:r>
      <w:r w:rsidRPr="007345D4">
        <w:rPr>
          <w:lang w:val="en-GB"/>
        </w:rPr>
        <w:t xml:space="preserve">constitute </w:t>
      </w:r>
      <w:r w:rsidR="005A491E">
        <w:rPr>
          <w:lang w:val="en-GB"/>
        </w:rPr>
        <w:t xml:space="preserve">a </w:t>
      </w:r>
      <w:r w:rsidRPr="007345D4">
        <w:rPr>
          <w:lang w:val="en-GB"/>
        </w:rPr>
        <w:t xml:space="preserve">family network for them </w:t>
      </w:r>
      <w:r w:rsidR="005A491E">
        <w:rPr>
          <w:lang w:val="en-GB"/>
        </w:rPr>
        <w:t xml:space="preserve">such </w:t>
      </w:r>
      <w:r w:rsidRPr="007345D4">
        <w:rPr>
          <w:lang w:val="en-GB"/>
        </w:rPr>
        <w:t>that they would not be placed in an emergency situation upon return. It further stated that</w:t>
      </w:r>
      <w:r w:rsidR="005A491E">
        <w:rPr>
          <w:lang w:val="en-GB"/>
        </w:rPr>
        <w:t>,</w:t>
      </w:r>
      <w:r w:rsidRPr="007345D4">
        <w:rPr>
          <w:lang w:val="en-GB"/>
        </w:rPr>
        <w:t xml:space="preserve"> even if their parents and sister had died, the authors would not meet the </w:t>
      </w:r>
      <w:r w:rsidRPr="007345D4">
        <w:rPr>
          <w:lang w:val="en-GB"/>
        </w:rPr>
        <w:lastRenderedPageBreak/>
        <w:t xml:space="preserve">conditions </w:t>
      </w:r>
      <w:r w:rsidR="00557BBD">
        <w:rPr>
          <w:lang w:val="en-GB"/>
        </w:rPr>
        <w:t xml:space="preserve">required to be </w:t>
      </w:r>
      <w:r w:rsidRPr="007345D4">
        <w:rPr>
          <w:lang w:val="en-GB"/>
        </w:rPr>
        <w:t xml:space="preserve">issued a residence permit, since they had an uncle who lived in Colombo. The fact that they did not know his exact address in Colombo could not lead to any other result. Accordingly, the Ministry of Justice found that the situation </w:t>
      </w:r>
      <w:r w:rsidR="009C47EA">
        <w:rPr>
          <w:lang w:val="en-GB"/>
        </w:rPr>
        <w:t xml:space="preserve">of the authors </w:t>
      </w:r>
      <w:r w:rsidRPr="007345D4">
        <w:rPr>
          <w:lang w:val="en-GB"/>
        </w:rPr>
        <w:t>would not be different from the situation applicable to other persons of the same age in Sri Lanka</w:t>
      </w:r>
      <w:r w:rsidR="005A491E">
        <w:rPr>
          <w:lang w:val="en-GB"/>
        </w:rPr>
        <w:t>,</w:t>
      </w:r>
      <w:r w:rsidRPr="007345D4">
        <w:rPr>
          <w:lang w:val="en-GB"/>
        </w:rPr>
        <w:t xml:space="preserve"> and that they would not in fact be placed in an emergency situation upon return to that country. Finally, it concluded that the information provided regarding the authors’ general learning difficulties, low self-esteem</w:t>
      </w:r>
      <w:r w:rsidR="005A491E">
        <w:rPr>
          <w:lang w:val="en-GB"/>
        </w:rPr>
        <w:t>,</w:t>
      </w:r>
      <w:r w:rsidR="00557BBD">
        <w:rPr>
          <w:lang w:val="en-GB"/>
        </w:rPr>
        <w:t xml:space="preserve"> </w:t>
      </w:r>
      <w:r w:rsidRPr="007345D4">
        <w:rPr>
          <w:lang w:val="en-GB"/>
        </w:rPr>
        <w:t xml:space="preserve">anxiety and depression, as well as their special need </w:t>
      </w:r>
      <w:r w:rsidR="005A491E">
        <w:rPr>
          <w:lang w:val="en-GB"/>
        </w:rPr>
        <w:t>for</w:t>
      </w:r>
      <w:r w:rsidRPr="007345D4">
        <w:rPr>
          <w:lang w:val="en-GB"/>
        </w:rPr>
        <w:t xml:space="preserve"> support and care</w:t>
      </w:r>
      <w:r w:rsidR="00557BBD">
        <w:rPr>
          <w:lang w:val="en-GB"/>
        </w:rPr>
        <w:t>,</w:t>
      </w:r>
      <w:r w:rsidRPr="007345D4">
        <w:rPr>
          <w:lang w:val="en-GB"/>
        </w:rPr>
        <w:t xml:space="preserve"> could not lead to </w:t>
      </w:r>
      <w:r w:rsidR="005A491E">
        <w:rPr>
          <w:lang w:val="en-GB"/>
        </w:rPr>
        <w:t>a different conclusion</w:t>
      </w:r>
      <w:r w:rsidRPr="007345D4">
        <w:rPr>
          <w:lang w:val="en-GB"/>
        </w:rPr>
        <w:t xml:space="preserve">. </w:t>
      </w:r>
    </w:p>
    <w:p w14:paraId="71404BAD" w14:textId="77777777" w:rsidR="00E01AF0" w:rsidRPr="007345D4" w:rsidRDefault="00E01AF0" w:rsidP="00E01AF0">
      <w:pPr>
        <w:pStyle w:val="H23G"/>
        <w:spacing w:line="240" w:lineRule="auto"/>
      </w:pPr>
      <w:r w:rsidRPr="007345D4">
        <w:rPr>
          <w:color w:val="FF0000"/>
        </w:rPr>
        <w:tab/>
      </w:r>
      <w:r w:rsidRPr="007345D4">
        <w:tab/>
        <w:t>The complaint</w:t>
      </w:r>
    </w:p>
    <w:p w14:paraId="4AA42562" w14:textId="77777777" w:rsidR="00E01AF0" w:rsidRPr="007345D4" w:rsidRDefault="00E01AF0" w:rsidP="00213875">
      <w:pPr>
        <w:pStyle w:val="SingleTxtG"/>
        <w:spacing w:line="240" w:lineRule="auto"/>
        <w:rPr>
          <w:bCs/>
          <w:lang w:val="en-GB"/>
        </w:rPr>
      </w:pPr>
      <w:r w:rsidRPr="009B3BE6">
        <w:rPr>
          <w:lang w:val="en-GB"/>
        </w:rPr>
        <w:t>3.1</w:t>
      </w:r>
      <w:r w:rsidRPr="009B3BE6">
        <w:rPr>
          <w:lang w:val="en-GB"/>
        </w:rPr>
        <w:tab/>
      </w:r>
      <w:r w:rsidRPr="005A7765">
        <w:rPr>
          <w:bCs/>
          <w:lang w:val="en-GB"/>
        </w:rPr>
        <w:t>The authors allege</w:t>
      </w:r>
      <w:r w:rsidR="005A7765" w:rsidRPr="005A7765">
        <w:rPr>
          <w:bCs/>
          <w:lang w:val="en-GB"/>
        </w:rPr>
        <w:t>d</w:t>
      </w:r>
      <w:r w:rsidRPr="005A7765">
        <w:rPr>
          <w:bCs/>
          <w:lang w:val="en-GB"/>
        </w:rPr>
        <w:t xml:space="preserve"> that their deportation to Sri Lanka would constitute a violation of article 7 of the Covenant</w:t>
      </w:r>
      <w:r w:rsidR="005A491E" w:rsidRPr="005A7765">
        <w:rPr>
          <w:bCs/>
          <w:lang w:val="en-GB"/>
        </w:rPr>
        <w:t>,</w:t>
      </w:r>
      <w:r w:rsidRPr="005A7765">
        <w:rPr>
          <w:bCs/>
          <w:lang w:val="en-GB"/>
        </w:rPr>
        <w:t xml:space="preserve"> in view of their Tamil origin, the events they </w:t>
      </w:r>
      <w:r w:rsidR="005A7765">
        <w:rPr>
          <w:bCs/>
          <w:lang w:val="en-GB"/>
        </w:rPr>
        <w:t xml:space="preserve">had gone </w:t>
      </w:r>
      <w:r w:rsidR="005A7765" w:rsidRPr="00213875">
        <w:rPr>
          <w:bCs/>
          <w:lang w:val="en-GB"/>
        </w:rPr>
        <w:t xml:space="preserve">through </w:t>
      </w:r>
      <w:r w:rsidRPr="00213875">
        <w:rPr>
          <w:bCs/>
          <w:lang w:val="en-GB"/>
        </w:rPr>
        <w:t xml:space="preserve">prior to their departure, their father’s previous membership </w:t>
      </w:r>
      <w:r w:rsidR="00213875" w:rsidRPr="009B3BE6">
        <w:rPr>
          <w:bCs/>
          <w:lang w:val="en-GB"/>
        </w:rPr>
        <w:t>in LTTE</w:t>
      </w:r>
      <w:r w:rsidRPr="00213875">
        <w:rPr>
          <w:bCs/>
          <w:lang w:val="en-GB"/>
        </w:rPr>
        <w:t xml:space="preserve"> and his disappearance</w:t>
      </w:r>
      <w:r w:rsidRPr="005A7765">
        <w:rPr>
          <w:bCs/>
          <w:lang w:val="en-GB"/>
        </w:rPr>
        <w:t>.</w:t>
      </w:r>
      <w:r w:rsidRPr="007345D4">
        <w:rPr>
          <w:bCs/>
          <w:lang w:val="en-GB"/>
        </w:rPr>
        <w:t xml:space="preserve"> </w:t>
      </w:r>
    </w:p>
    <w:p w14:paraId="163AEC0F" w14:textId="77777777" w:rsidR="00E01AF0" w:rsidRPr="007345D4" w:rsidRDefault="00AD0CCA" w:rsidP="006A24FB">
      <w:pPr>
        <w:pStyle w:val="SingleTxtG"/>
        <w:spacing w:line="240" w:lineRule="auto"/>
        <w:rPr>
          <w:lang w:val="en-GB"/>
        </w:rPr>
      </w:pPr>
      <w:r w:rsidRPr="009B3BE6">
        <w:rPr>
          <w:lang w:val="en-GB"/>
        </w:rPr>
        <w:t>3.2</w:t>
      </w:r>
      <w:r w:rsidR="00E01AF0" w:rsidRPr="007345D4">
        <w:rPr>
          <w:lang w:val="en-GB"/>
        </w:rPr>
        <w:tab/>
        <w:t xml:space="preserve">The </w:t>
      </w:r>
      <w:r w:rsidR="005A7765">
        <w:rPr>
          <w:lang w:val="en-GB"/>
        </w:rPr>
        <w:t xml:space="preserve">authors claimed that the </w:t>
      </w:r>
      <w:r w:rsidR="00E01AF0" w:rsidRPr="007345D4">
        <w:rPr>
          <w:lang w:val="en-GB"/>
        </w:rPr>
        <w:t xml:space="preserve">Danish authorities </w:t>
      </w:r>
      <w:r w:rsidR="005A7765">
        <w:rPr>
          <w:lang w:val="en-GB"/>
        </w:rPr>
        <w:t xml:space="preserve">had </w:t>
      </w:r>
      <w:r w:rsidR="00E01AF0" w:rsidRPr="007345D4">
        <w:rPr>
          <w:lang w:val="en-GB"/>
        </w:rPr>
        <w:t xml:space="preserve">not adequately </w:t>
      </w:r>
      <w:r w:rsidR="005A7765">
        <w:rPr>
          <w:lang w:val="en-GB"/>
        </w:rPr>
        <w:t xml:space="preserve">assessed </w:t>
      </w:r>
      <w:r w:rsidR="00E01AF0" w:rsidRPr="007345D4">
        <w:rPr>
          <w:lang w:val="en-GB"/>
        </w:rPr>
        <w:t xml:space="preserve">the risk </w:t>
      </w:r>
      <w:r w:rsidR="005A491E">
        <w:rPr>
          <w:lang w:val="en-GB"/>
        </w:rPr>
        <w:t xml:space="preserve">to which </w:t>
      </w:r>
      <w:r w:rsidR="005A7765">
        <w:rPr>
          <w:lang w:val="en-GB"/>
        </w:rPr>
        <w:t xml:space="preserve">they </w:t>
      </w:r>
      <w:r w:rsidR="005A491E">
        <w:rPr>
          <w:lang w:val="en-GB"/>
        </w:rPr>
        <w:t xml:space="preserve">would be subject </w:t>
      </w:r>
      <w:r w:rsidR="00E01AF0" w:rsidRPr="007345D4">
        <w:rPr>
          <w:lang w:val="en-GB"/>
        </w:rPr>
        <w:t xml:space="preserve">if returned to Sri Lanka. They </w:t>
      </w:r>
      <w:r w:rsidR="005A7765">
        <w:rPr>
          <w:lang w:val="en-GB"/>
        </w:rPr>
        <w:t>were</w:t>
      </w:r>
      <w:r w:rsidR="00E01AF0" w:rsidRPr="007345D4">
        <w:rPr>
          <w:lang w:val="en-GB"/>
        </w:rPr>
        <w:t xml:space="preserve"> at serious risk of being detained and tortured by the Sri Lankan authorities</w:t>
      </w:r>
      <w:r w:rsidR="009C47EA">
        <w:rPr>
          <w:lang w:val="en-GB"/>
        </w:rPr>
        <w:t>,</w:t>
      </w:r>
      <w:r w:rsidR="00E01AF0" w:rsidRPr="007345D4">
        <w:rPr>
          <w:lang w:val="en-GB"/>
        </w:rPr>
        <w:t xml:space="preserve"> since they </w:t>
      </w:r>
      <w:r w:rsidR="005A7765">
        <w:rPr>
          <w:lang w:val="en-GB"/>
        </w:rPr>
        <w:t>were</w:t>
      </w:r>
      <w:r w:rsidR="00E01AF0" w:rsidRPr="007345D4">
        <w:rPr>
          <w:lang w:val="en-GB"/>
        </w:rPr>
        <w:t xml:space="preserve"> young Tamils from Jaffna and their father </w:t>
      </w:r>
      <w:r w:rsidR="005A7765">
        <w:rPr>
          <w:lang w:val="en-GB"/>
        </w:rPr>
        <w:t xml:space="preserve">had been </w:t>
      </w:r>
      <w:r w:rsidR="00E01AF0" w:rsidRPr="007345D4">
        <w:rPr>
          <w:lang w:val="en-GB"/>
        </w:rPr>
        <w:t xml:space="preserve">a member of </w:t>
      </w:r>
      <w:r w:rsidR="00213875">
        <w:rPr>
          <w:lang w:val="en-GB"/>
        </w:rPr>
        <w:t>LTTE</w:t>
      </w:r>
      <w:r w:rsidR="00E01AF0" w:rsidRPr="007345D4">
        <w:rPr>
          <w:lang w:val="en-GB"/>
        </w:rPr>
        <w:t xml:space="preserve">. Tamils who </w:t>
      </w:r>
      <w:r w:rsidR="005A7765">
        <w:rPr>
          <w:lang w:val="en-GB"/>
        </w:rPr>
        <w:t>were</w:t>
      </w:r>
      <w:r w:rsidR="00E01AF0" w:rsidRPr="007345D4">
        <w:rPr>
          <w:lang w:val="en-GB"/>
        </w:rPr>
        <w:t xml:space="preserve"> returned to Sri Lanka </w:t>
      </w:r>
      <w:r w:rsidR="005A7765">
        <w:rPr>
          <w:lang w:val="en-GB"/>
        </w:rPr>
        <w:t>were</w:t>
      </w:r>
      <w:r w:rsidR="00E01AF0" w:rsidRPr="007345D4">
        <w:rPr>
          <w:lang w:val="en-GB"/>
        </w:rPr>
        <w:t xml:space="preserve"> often detained upon arrival and exposed to acts of torture.</w:t>
      </w:r>
      <w:r w:rsidR="00E01AF0" w:rsidRPr="007345D4">
        <w:rPr>
          <w:rStyle w:val="FootnoteReference"/>
          <w:lang w:val="en-GB"/>
        </w:rPr>
        <w:footnoteReference w:id="3"/>
      </w:r>
      <w:r w:rsidR="00E01AF0" w:rsidRPr="007345D4">
        <w:rPr>
          <w:lang w:val="en-GB"/>
        </w:rPr>
        <w:t xml:space="preserve"> In their case, the fact that they </w:t>
      </w:r>
      <w:r w:rsidR="005A7765">
        <w:rPr>
          <w:lang w:val="en-GB"/>
        </w:rPr>
        <w:t xml:space="preserve">had </w:t>
      </w:r>
      <w:r w:rsidR="00E01AF0" w:rsidRPr="007345D4">
        <w:rPr>
          <w:lang w:val="en-GB"/>
        </w:rPr>
        <w:t xml:space="preserve">left the country illegally and </w:t>
      </w:r>
      <w:r w:rsidR="005A7765">
        <w:rPr>
          <w:lang w:val="en-GB"/>
        </w:rPr>
        <w:t xml:space="preserve">would </w:t>
      </w:r>
      <w:r w:rsidR="00E01AF0" w:rsidRPr="007345D4">
        <w:rPr>
          <w:lang w:val="en-GB"/>
        </w:rPr>
        <w:t xml:space="preserve">be returned by the State party with temporary travel documents put them at further risk. </w:t>
      </w:r>
    </w:p>
    <w:p w14:paraId="6D7EAB8D" w14:textId="77777777" w:rsidR="00E01AF0" w:rsidRPr="007345D4" w:rsidRDefault="00AD0CCA">
      <w:pPr>
        <w:pStyle w:val="SingleTxtG"/>
        <w:spacing w:line="240" w:lineRule="auto"/>
        <w:rPr>
          <w:lang w:val="en-GB"/>
        </w:rPr>
      </w:pPr>
      <w:r w:rsidRPr="007345D4">
        <w:rPr>
          <w:lang w:val="en-GB"/>
        </w:rPr>
        <w:t>3.3</w:t>
      </w:r>
      <w:r w:rsidR="00E01AF0" w:rsidRPr="007345D4">
        <w:rPr>
          <w:lang w:val="en-GB"/>
        </w:rPr>
        <w:tab/>
      </w:r>
      <w:r w:rsidR="00E01AF0" w:rsidRPr="007345D4">
        <w:rPr>
          <w:bCs/>
          <w:lang w:val="en-GB"/>
        </w:rPr>
        <w:t>They claim</w:t>
      </w:r>
      <w:r w:rsidR="005A7765">
        <w:rPr>
          <w:bCs/>
          <w:lang w:val="en-GB"/>
        </w:rPr>
        <w:t>ed</w:t>
      </w:r>
      <w:r w:rsidR="00E01AF0" w:rsidRPr="007345D4">
        <w:rPr>
          <w:bCs/>
          <w:lang w:val="en-GB"/>
        </w:rPr>
        <w:t xml:space="preserve"> that they ha</w:t>
      </w:r>
      <w:r w:rsidR="005A7765">
        <w:rPr>
          <w:bCs/>
          <w:lang w:val="en-GB"/>
        </w:rPr>
        <w:t>d</w:t>
      </w:r>
      <w:r w:rsidR="00E01AF0" w:rsidRPr="007345D4">
        <w:rPr>
          <w:bCs/>
          <w:lang w:val="en-GB"/>
        </w:rPr>
        <w:t xml:space="preserve"> been abroad since 2009 and that they had no family or connections left in Sri Lanka. They </w:t>
      </w:r>
      <w:r w:rsidR="005A7765">
        <w:rPr>
          <w:bCs/>
          <w:lang w:val="en-GB"/>
        </w:rPr>
        <w:t>were</w:t>
      </w:r>
      <w:r w:rsidR="00E01AF0" w:rsidRPr="007345D4">
        <w:rPr>
          <w:bCs/>
          <w:lang w:val="en-GB"/>
        </w:rPr>
        <w:t xml:space="preserve"> very young, ha</w:t>
      </w:r>
      <w:r w:rsidR="005A7765">
        <w:rPr>
          <w:bCs/>
          <w:lang w:val="en-GB"/>
        </w:rPr>
        <w:t>d</w:t>
      </w:r>
      <w:r w:rsidR="00E01AF0" w:rsidRPr="007345D4">
        <w:rPr>
          <w:bCs/>
          <w:lang w:val="en-GB"/>
        </w:rPr>
        <w:t xml:space="preserve"> limited cognitive skills and need</w:t>
      </w:r>
      <w:r w:rsidR="005A7765">
        <w:rPr>
          <w:bCs/>
          <w:lang w:val="en-GB"/>
        </w:rPr>
        <w:t>ed</w:t>
      </w:r>
      <w:r w:rsidR="00E01AF0" w:rsidRPr="007345D4">
        <w:rPr>
          <w:bCs/>
          <w:lang w:val="en-GB"/>
        </w:rPr>
        <w:t xml:space="preserve"> special support</w:t>
      </w:r>
      <w:r w:rsidR="005A491E">
        <w:rPr>
          <w:bCs/>
          <w:lang w:val="en-GB"/>
        </w:rPr>
        <w:t>,</w:t>
      </w:r>
      <w:r w:rsidR="00E01AF0" w:rsidRPr="007345D4">
        <w:rPr>
          <w:bCs/>
          <w:lang w:val="en-GB"/>
        </w:rPr>
        <w:t xml:space="preserve"> as described in a report issued by a psychologist of the Danish Red Cross.</w:t>
      </w:r>
    </w:p>
    <w:p w14:paraId="2F883197" w14:textId="77777777" w:rsidR="00E01AF0" w:rsidRPr="007345D4" w:rsidRDefault="00E01AF0" w:rsidP="00EF16DE">
      <w:pPr>
        <w:pStyle w:val="H23G"/>
        <w:spacing w:line="240" w:lineRule="auto"/>
      </w:pPr>
      <w:r w:rsidRPr="007345D4">
        <w:rPr>
          <w:b w:val="0"/>
          <w:color w:val="FF0000"/>
        </w:rPr>
        <w:tab/>
      </w:r>
      <w:r w:rsidRPr="007345D4">
        <w:rPr>
          <w:b w:val="0"/>
          <w:color w:val="FF0000"/>
        </w:rPr>
        <w:tab/>
      </w:r>
      <w:r w:rsidRPr="007345D4">
        <w:t>State party’s observations on admissibility and merits</w:t>
      </w:r>
    </w:p>
    <w:p w14:paraId="16E340F4" w14:textId="77777777" w:rsidR="00E01AF0" w:rsidRPr="007345D4" w:rsidRDefault="00E01AF0" w:rsidP="006A24FB">
      <w:pPr>
        <w:pStyle w:val="SingleTxtG"/>
        <w:spacing w:line="240" w:lineRule="auto"/>
        <w:rPr>
          <w:lang w:val="en-GB"/>
        </w:rPr>
      </w:pPr>
      <w:r w:rsidRPr="007345D4">
        <w:rPr>
          <w:lang w:val="en-GB"/>
        </w:rPr>
        <w:t>4.1</w:t>
      </w:r>
      <w:r w:rsidRPr="007345D4">
        <w:rPr>
          <w:lang w:val="en-GB"/>
        </w:rPr>
        <w:tab/>
        <w:t>On 16 December 2013, the State party provided observations on the admissibility and merits of the communication. It maintain</w:t>
      </w:r>
      <w:r w:rsidR="005A491E">
        <w:rPr>
          <w:lang w:val="en-GB"/>
        </w:rPr>
        <w:t>ed</w:t>
      </w:r>
      <w:r w:rsidRPr="007345D4">
        <w:rPr>
          <w:lang w:val="en-GB"/>
        </w:rPr>
        <w:t xml:space="preserve"> that the communication should be declared inadmissible for non-substantiation. Should the Committee declare the communication admissible, the Covenant would not be violated if the authors </w:t>
      </w:r>
      <w:r w:rsidR="005A491E">
        <w:rPr>
          <w:lang w:val="en-GB"/>
        </w:rPr>
        <w:t>were</w:t>
      </w:r>
      <w:r w:rsidRPr="007345D4">
        <w:rPr>
          <w:lang w:val="en-GB"/>
        </w:rPr>
        <w:t xml:space="preserve"> returned to Sri Lanka. </w:t>
      </w:r>
    </w:p>
    <w:p w14:paraId="273F94FA" w14:textId="77777777" w:rsidR="00E01AF0" w:rsidRPr="007345D4" w:rsidRDefault="00E01AF0">
      <w:pPr>
        <w:pStyle w:val="SingleTxtG"/>
        <w:spacing w:line="240" w:lineRule="auto"/>
        <w:rPr>
          <w:lang w:val="en-GB"/>
        </w:rPr>
      </w:pPr>
      <w:r w:rsidRPr="009B3BE6">
        <w:rPr>
          <w:lang w:val="en-GB"/>
        </w:rPr>
        <w:t>4.2</w:t>
      </w:r>
      <w:r w:rsidRPr="009B3BE6">
        <w:rPr>
          <w:lang w:val="en-GB"/>
        </w:rPr>
        <w:tab/>
        <w:t>The State party inform</w:t>
      </w:r>
      <w:r w:rsidR="005A491E">
        <w:rPr>
          <w:lang w:val="en-GB"/>
        </w:rPr>
        <w:t>ed</w:t>
      </w:r>
      <w:r w:rsidRPr="009B3BE6">
        <w:rPr>
          <w:lang w:val="en-GB"/>
        </w:rPr>
        <w:t xml:space="preserve"> the Committee that on 29 August 2013 the </w:t>
      </w:r>
      <w:r w:rsidR="005A491E">
        <w:rPr>
          <w:lang w:val="en-GB"/>
        </w:rPr>
        <w:t xml:space="preserve">Refugee Appeals Board had </w:t>
      </w:r>
      <w:r w:rsidRPr="009B3BE6">
        <w:rPr>
          <w:lang w:val="en-GB"/>
        </w:rPr>
        <w:t>refused the request</w:t>
      </w:r>
      <w:r w:rsidR="004F4FEE">
        <w:rPr>
          <w:lang w:val="en-GB"/>
        </w:rPr>
        <w:t xml:space="preserve"> by the authors</w:t>
      </w:r>
      <w:r w:rsidRPr="009B3BE6">
        <w:rPr>
          <w:lang w:val="en-GB"/>
        </w:rPr>
        <w:t xml:space="preserve"> to reopen the asylum proceedings.</w:t>
      </w:r>
      <w:r w:rsidRPr="007345D4">
        <w:rPr>
          <w:lang w:val="en-GB"/>
        </w:rPr>
        <w:t xml:space="preserve"> The </w:t>
      </w:r>
      <w:r w:rsidR="005A491E">
        <w:rPr>
          <w:lang w:val="en-GB"/>
        </w:rPr>
        <w:t xml:space="preserve">Board </w:t>
      </w:r>
      <w:r w:rsidRPr="007345D4">
        <w:rPr>
          <w:lang w:val="en-GB"/>
        </w:rPr>
        <w:t>s</w:t>
      </w:r>
      <w:r w:rsidRPr="005A491E">
        <w:rPr>
          <w:lang w:val="en-GB"/>
        </w:rPr>
        <w:t>tated, inter alia, that when it considered cases in which the asylum</w:t>
      </w:r>
      <w:r w:rsidR="00B2619A">
        <w:rPr>
          <w:lang w:val="en-GB"/>
        </w:rPr>
        <w:t xml:space="preserve"> </w:t>
      </w:r>
      <w:r w:rsidRPr="009B3BE6">
        <w:rPr>
          <w:lang w:val="en-GB"/>
        </w:rPr>
        <w:t>seeker was an unaccompanied minor, it would assess the asylum</w:t>
      </w:r>
      <w:r w:rsidR="00B2619A">
        <w:rPr>
          <w:lang w:val="en-GB"/>
        </w:rPr>
        <w:t xml:space="preserve"> </w:t>
      </w:r>
      <w:r w:rsidRPr="009B3BE6">
        <w:rPr>
          <w:lang w:val="en-GB"/>
        </w:rPr>
        <w:t>seeker’s procedural capacity, including maturity. In th</w:t>
      </w:r>
      <w:r w:rsidR="005A491E">
        <w:rPr>
          <w:lang w:val="en-GB"/>
        </w:rPr>
        <w:t>at</w:t>
      </w:r>
      <w:r w:rsidRPr="009B3BE6">
        <w:rPr>
          <w:lang w:val="en-GB"/>
        </w:rPr>
        <w:t xml:space="preserve"> connection, the </w:t>
      </w:r>
      <w:r w:rsidR="004F4FEE">
        <w:rPr>
          <w:lang w:val="en-GB"/>
        </w:rPr>
        <w:t xml:space="preserve">Board </w:t>
      </w:r>
      <w:r w:rsidRPr="009B3BE6">
        <w:rPr>
          <w:lang w:val="en-GB"/>
        </w:rPr>
        <w:t xml:space="preserve">referred to its decision of 22 September 2010, in which it </w:t>
      </w:r>
      <w:r w:rsidR="004F4FEE">
        <w:rPr>
          <w:lang w:val="en-GB"/>
        </w:rPr>
        <w:t xml:space="preserve">had </w:t>
      </w:r>
      <w:r w:rsidRPr="009B3BE6">
        <w:rPr>
          <w:lang w:val="en-GB"/>
        </w:rPr>
        <w:t>assessed that the authors were sufficiently mature to undergo asylum proceedings</w:t>
      </w:r>
      <w:r w:rsidR="006A24FB">
        <w:rPr>
          <w:lang w:val="en-GB"/>
        </w:rPr>
        <w:t>,</w:t>
      </w:r>
      <w:r w:rsidRPr="009B3BE6">
        <w:rPr>
          <w:lang w:val="en-GB"/>
        </w:rPr>
        <w:t xml:space="preserve"> since they </w:t>
      </w:r>
      <w:r w:rsidR="004F4FEE">
        <w:rPr>
          <w:lang w:val="en-GB"/>
        </w:rPr>
        <w:t xml:space="preserve">had been </w:t>
      </w:r>
      <w:r w:rsidRPr="009B3BE6">
        <w:rPr>
          <w:lang w:val="en-GB"/>
        </w:rPr>
        <w:t xml:space="preserve">able to give coherent statements on their grounds for </w:t>
      </w:r>
      <w:r w:rsidR="004F4FEE">
        <w:rPr>
          <w:lang w:val="en-GB"/>
        </w:rPr>
        <w:t xml:space="preserve">seeking </w:t>
      </w:r>
      <w:r w:rsidRPr="009B3BE6">
        <w:rPr>
          <w:lang w:val="en-GB"/>
        </w:rPr>
        <w:t>asylum</w:t>
      </w:r>
      <w:r w:rsidR="004F4FEE">
        <w:rPr>
          <w:lang w:val="en-GB"/>
        </w:rPr>
        <w:t>,</w:t>
      </w:r>
      <w:r w:rsidRPr="009B3BE6">
        <w:rPr>
          <w:lang w:val="en-GB"/>
        </w:rPr>
        <w:t xml:space="preserve"> </w:t>
      </w:r>
      <w:r w:rsidR="00D64ED4">
        <w:rPr>
          <w:lang w:val="en-GB"/>
        </w:rPr>
        <w:t>as well as</w:t>
      </w:r>
      <w:r w:rsidR="00D64ED4" w:rsidRPr="009B3BE6">
        <w:rPr>
          <w:lang w:val="en-GB"/>
        </w:rPr>
        <w:t xml:space="preserve"> </w:t>
      </w:r>
      <w:r w:rsidRPr="009B3BE6">
        <w:rPr>
          <w:lang w:val="en-GB"/>
        </w:rPr>
        <w:t>during the proceedings before the Danish Immigration Service. Further</w:t>
      </w:r>
      <w:r w:rsidR="006A24FB">
        <w:rPr>
          <w:lang w:val="en-GB"/>
        </w:rPr>
        <w:t>,</w:t>
      </w:r>
      <w:r w:rsidRPr="009B3BE6">
        <w:rPr>
          <w:lang w:val="en-GB"/>
        </w:rPr>
        <w:t xml:space="preserve"> it had also found as fact the statements </w:t>
      </w:r>
      <w:r w:rsidR="005A491E">
        <w:rPr>
          <w:lang w:val="en-GB"/>
        </w:rPr>
        <w:t xml:space="preserve">of the authors regarding </w:t>
      </w:r>
      <w:r w:rsidRPr="009B3BE6">
        <w:rPr>
          <w:lang w:val="en-GB"/>
        </w:rPr>
        <w:t xml:space="preserve">their grounds for </w:t>
      </w:r>
      <w:r w:rsidR="006A24FB">
        <w:rPr>
          <w:lang w:val="en-GB"/>
        </w:rPr>
        <w:t xml:space="preserve">seeking </w:t>
      </w:r>
      <w:r w:rsidRPr="009B3BE6">
        <w:rPr>
          <w:lang w:val="en-GB"/>
        </w:rPr>
        <w:t xml:space="preserve">asylum. Against that background, the </w:t>
      </w:r>
      <w:r w:rsidR="005A491E">
        <w:rPr>
          <w:lang w:val="en-GB"/>
        </w:rPr>
        <w:t xml:space="preserve">Board had </w:t>
      </w:r>
      <w:r w:rsidRPr="009B3BE6">
        <w:rPr>
          <w:lang w:val="en-GB"/>
        </w:rPr>
        <w:t>found no basis for reopening the proceedings.</w:t>
      </w:r>
    </w:p>
    <w:p w14:paraId="4D430779" w14:textId="77777777" w:rsidR="00E01AF0" w:rsidRPr="007345D4" w:rsidRDefault="00E01AF0" w:rsidP="006A24FB">
      <w:pPr>
        <w:pStyle w:val="SingleTxtG"/>
        <w:spacing w:line="240" w:lineRule="auto"/>
        <w:rPr>
          <w:lang w:val="en-GB"/>
        </w:rPr>
      </w:pPr>
      <w:r w:rsidRPr="009B3BE6">
        <w:rPr>
          <w:lang w:val="en-GB"/>
        </w:rPr>
        <w:t>4.3</w:t>
      </w:r>
      <w:r w:rsidRPr="009B3BE6">
        <w:rPr>
          <w:lang w:val="en-GB"/>
        </w:rPr>
        <w:tab/>
        <w:t>The State party provide</w:t>
      </w:r>
      <w:r w:rsidR="005A491E">
        <w:rPr>
          <w:lang w:val="en-GB"/>
        </w:rPr>
        <w:t>d</w:t>
      </w:r>
      <w:r w:rsidRPr="009B3BE6">
        <w:rPr>
          <w:lang w:val="en-GB"/>
        </w:rPr>
        <w:t xml:space="preserve"> a detailed description of the asylum proceedings under the Aliens Act</w:t>
      </w:r>
      <w:r w:rsidR="005A491E">
        <w:rPr>
          <w:lang w:val="en-GB"/>
        </w:rPr>
        <w:t>,</w:t>
      </w:r>
      <w:r w:rsidRPr="009B3BE6">
        <w:rPr>
          <w:lang w:val="en-GB"/>
        </w:rPr>
        <w:t xml:space="preserve"> in particular the organization and competence of the </w:t>
      </w:r>
      <w:r w:rsidR="005A491E">
        <w:rPr>
          <w:lang w:val="en-GB"/>
        </w:rPr>
        <w:t>Refugee Appeals Board</w:t>
      </w:r>
      <w:r w:rsidRPr="009B3BE6">
        <w:rPr>
          <w:lang w:val="en-GB"/>
        </w:rPr>
        <w:t xml:space="preserve">. Decisions of the </w:t>
      </w:r>
      <w:r w:rsidR="005A491E">
        <w:rPr>
          <w:lang w:val="en-GB"/>
        </w:rPr>
        <w:t xml:space="preserve">Board </w:t>
      </w:r>
      <w:r w:rsidR="004F4FEE">
        <w:rPr>
          <w:lang w:val="en-GB"/>
        </w:rPr>
        <w:t>were</w:t>
      </w:r>
      <w:r w:rsidR="005A491E">
        <w:rPr>
          <w:lang w:val="en-GB"/>
        </w:rPr>
        <w:t xml:space="preserve"> </w:t>
      </w:r>
      <w:r w:rsidRPr="009B3BE6">
        <w:rPr>
          <w:lang w:val="en-GB"/>
        </w:rPr>
        <w:t xml:space="preserve">based on an individual and specific assessment of the relevant case. The </w:t>
      </w:r>
      <w:r w:rsidR="005A491E">
        <w:rPr>
          <w:lang w:val="en-GB"/>
        </w:rPr>
        <w:t xml:space="preserve">statements of an </w:t>
      </w:r>
      <w:r w:rsidRPr="009B3BE6">
        <w:rPr>
          <w:lang w:val="en-GB"/>
        </w:rPr>
        <w:t>asylum</w:t>
      </w:r>
      <w:r w:rsidR="00B2619A">
        <w:rPr>
          <w:lang w:val="en-GB"/>
        </w:rPr>
        <w:t xml:space="preserve"> </w:t>
      </w:r>
      <w:r w:rsidRPr="009B3BE6">
        <w:rPr>
          <w:lang w:val="en-GB"/>
        </w:rPr>
        <w:t xml:space="preserve">seeker regarding his </w:t>
      </w:r>
      <w:r w:rsidR="005A491E">
        <w:rPr>
          <w:lang w:val="en-GB"/>
        </w:rPr>
        <w:t xml:space="preserve">or her </w:t>
      </w:r>
      <w:r w:rsidRPr="009B3BE6">
        <w:rPr>
          <w:lang w:val="en-GB"/>
        </w:rPr>
        <w:t xml:space="preserve">grounds for seeking asylum </w:t>
      </w:r>
      <w:r w:rsidR="004F4FEE">
        <w:rPr>
          <w:lang w:val="en-GB"/>
        </w:rPr>
        <w:t>were</w:t>
      </w:r>
      <w:r w:rsidRPr="009B3BE6">
        <w:rPr>
          <w:lang w:val="en-GB"/>
        </w:rPr>
        <w:t xml:space="preserve"> assessed in </w:t>
      </w:r>
      <w:r w:rsidR="005A491E">
        <w:rPr>
          <w:lang w:val="en-GB"/>
        </w:rPr>
        <w:t xml:space="preserve">the </w:t>
      </w:r>
      <w:r w:rsidRPr="009B3BE6">
        <w:rPr>
          <w:lang w:val="en-GB"/>
        </w:rPr>
        <w:t xml:space="preserve">light of all relevant evidence, including what </w:t>
      </w:r>
      <w:r w:rsidR="004F4FEE">
        <w:rPr>
          <w:lang w:val="en-US"/>
        </w:rPr>
        <w:t>was</w:t>
      </w:r>
      <w:r w:rsidRPr="009B3BE6">
        <w:rPr>
          <w:lang w:val="en-GB"/>
        </w:rPr>
        <w:t xml:space="preserve"> known </w:t>
      </w:r>
      <w:r w:rsidR="006A24FB" w:rsidRPr="00B653AE">
        <w:rPr>
          <w:lang w:val="en-GB"/>
        </w:rPr>
        <w:t>from background material</w:t>
      </w:r>
      <w:r w:rsidR="006A24FB">
        <w:rPr>
          <w:lang w:val="en-GB"/>
        </w:rPr>
        <w:t xml:space="preserve"> </w:t>
      </w:r>
      <w:r w:rsidRPr="009B3BE6">
        <w:rPr>
          <w:lang w:val="en-GB"/>
        </w:rPr>
        <w:t xml:space="preserve">about conditions in the country of origin. The </w:t>
      </w:r>
      <w:r w:rsidR="005A491E" w:rsidRPr="00BF7847">
        <w:rPr>
          <w:lang w:val="en-GB"/>
        </w:rPr>
        <w:t xml:space="preserve">Board </w:t>
      </w:r>
      <w:r w:rsidR="004F4FEE" w:rsidRPr="00BF7847">
        <w:rPr>
          <w:lang w:val="en-GB"/>
        </w:rPr>
        <w:t>was</w:t>
      </w:r>
      <w:r w:rsidR="005A491E" w:rsidRPr="00BF7847">
        <w:rPr>
          <w:lang w:val="en-GB"/>
        </w:rPr>
        <w:t xml:space="preserve"> </w:t>
      </w:r>
      <w:r w:rsidRPr="009B3BE6">
        <w:rPr>
          <w:lang w:val="en-GB"/>
        </w:rPr>
        <w:t xml:space="preserve">responsible not only for examining and bringing out information on the specific facts of the case, but </w:t>
      </w:r>
      <w:r w:rsidRPr="009B3BE6">
        <w:rPr>
          <w:lang w:val="en-GB"/>
        </w:rPr>
        <w:lastRenderedPageBreak/>
        <w:t>also for providing the necessary background material, including information on the situation in the asylum</w:t>
      </w:r>
      <w:r w:rsidR="00B2619A">
        <w:rPr>
          <w:lang w:val="en-GB"/>
        </w:rPr>
        <w:t xml:space="preserve"> </w:t>
      </w:r>
      <w:r w:rsidRPr="009B3BE6">
        <w:rPr>
          <w:lang w:val="en-GB"/>
        </w:rPr>
        <w:t>seeker’s country of origin or first country of asylum.</w:t>
      </w:r>
      <w:r w:rsidRPr="009B3BE6">
        <w:rPr>
          <w:rStyle w:val="FootnoteReference"/>
          <w:lang w:val="en-GB"/>
        </w:rPr>
        <w:footnoteReference w:id="4"/>
      </w:r>
    </w:p>
    <w:p w14:paraId="1F827FD4" w14:textId="77777777" w:rsidR="00E01AF0" w:rsidRPr="007345D4" w:rsidRDefault="00AD0CCA" w:rsidP="00BF7847">
      <w:pPr>
        <w:pStyle w:val="SingleTxtG"/>
        <w:spacing w:line="240" w:lineRule="auto"/>
        <w:rPr>
          <w:lang w:val="en-GB"/>
        </w:rPr>
      </w:pPr>
      <w:r w:rsidRPr="00EF16DE">
        <w:rPr>
          <w:lang w:val="en-GB"/>
        </w:rPr>
        <w:t>4.4</w:t>
      </w:r>
      <w:r w:rsidR="00E01AF0" w:rsidRPr="00F854EE">
        <w:rPr>
          <w:lang w:val="en-GB"/>
        </w:rPr>
        <w:tab/>
        <w:t>The State party provide</w:t>
      </w:r>
      <w:r w:rsidR="00F430ED" w:rsidRPr="00F854EE">
        <w:rPr>
          <w:lang w:val="en-GB"/>
        </w:rPr>
        <w:t>d</w:t>
      </w:r>
      <w:r w:rsidR="00E01AF0" w:rsidRPr="00F854EE">
        <w:rPr>
          <w:lang w:val="en-GB"/>
        </w:rPr>
        <w:t xml:space="preserve"> a detailed description of the provisions of the Aliens Act that regulate</w:t>
      </w:r>
      <w:r w:rsidR="004F4FEE" w:rsidRPr="00F854EE">
        <w:rPr>
          <w:lang w:val="en-GB"/>
        </w:rPr>
        <w:t>d</w:t>
      </w:r>
      <w:r w:rsidR="00E01AF0" w:rsidRPr="00F854EE">
        <w:rPr>
          <w:lang w:val="en-GB"/>
        </w:rPr>
        <w:t xml:space="preserve"> asylum proceedings in cases </w:t>
      </w:r>
      <w:r w:rsidR="00F430ED" w:rsidRPr="00F854EE">
        <w:rPr>
          <w:lang w:val="en-GB"/>
        </w:rPr>
        <w:t>involving</w:t>
      </w:r>
      <w:r w:rsidR="00E01AF0" w:rsidRPr="00F854EE">
        <w:rPr>
          <w:lang w:val="en-GB"/>
        </w:rPr>
        <w:t xml:space="preserve"> unaccompanied minors. It maintain</w:t>
      </w:r>
      <w:r w:rsidR="004F4FEE" w:rsidRPr="00F854EE">
        <w:rPr>
          <w:lang w:val="en-GB"/>
        </w:rPr>
        <w:t>ed</w:t>
      </w:r>
      <w:r w:rsidR="00E01AF0" w:rsidRPr="00F854EE">
        <w:rPr>
          <w:lang w:val="en-GB"/>
        </w:rPr>
        <w:t xml:space="preserve"> that unaccompanied asylum-seeking minors must meet the same conditions as other asylum</w:t>
      </w:r>
      <w:r w:rsidR="00B2619A" w:rsidRPr="00F854EE">
        <w:rPr>
          <w:lang w:val="en-GB"/>
        </w:rPr>
        <w:t xml:space="preserve"> </w:t>
      </w:r>
      <w:r w:rsidR="00E01AF0" w:rsidRPr="00F854EE">
        <w:rPr>
          <w:lang w:val="en-GB"/>
        </w:rPr>
        <w:t>seekers</w:t>
      </w:r>
      <w:r w:rsidR="00F430ED" w:rsidRPr="00F854EE">
        <w:rPr>
          <w:lang w:val="en-GB"/>
        </w:rPr>
        <w:t xml:space="preserve"> in order</w:t>
      </w:r>
      <w:r w:rsidR="00E01AF0" w:rsidRPr="00F854EE">
        <w:rPr>
          <w:lang w:val="en-GB"/>
        </w:rPr>
        <w:t xml:space="preserve"> to be granted asylum.</w:t>
      </w:r>
      <w:r w:rsidRPr="009B3BE6">
        <w:rPr>
          <w:lang w:val="en-GB"/>
        </w:rPr>
        <w:t xml:space="preserve"> </w:t>
      </w:r>
      <w:r w:rsidR="00E01AF0" w:rsidRPr="009B3BE6">
        <w:rPr>
          <w:lang w:val="en-GB"/>
        </w:rPr>
        <w:t xml:space="preserve">However, children </w:t>
      </w:r>
      <w:r w:rsidR="004F4FEE" w:rsidRPr="00EF16DE">
        <w:rPr>
          <w:lang w:val="en-GB"/>
        </w:rPr>
        <w:t>were</w:t>
      </w:r>
      <w:r w:rsidR="00E01AF0" w:rsidRPr="009B3BE6">
        <w:rPr>
          <w:lang w:val="en-GB"/>
        </w:rPr>
        <w:t xml:space="preserve"> considered a particularly vulnerable group, and special guidelines therefore appl</w:t>
      </w:r>
      <w:r w:rsidR="004F4FEE" w:rsidRPr="00EF16DE">
        <w:rPr>
          <w:lang w:val="en-GB"/>
        </w:rPr>
        <w:t>ied</w:t>
      </w:r>
      <w:r w:rsidR="00E01AF0" w:rsidRPr="009B3BE6">
        <w:rPr>
          <w:lang w:val="en-GB"/>
        </w:rPr>
        <w:t xml:space="preserve"> to the examination of their applications. All unaccompanied asylum-seeking minors </w:t>
      </w:r>
      <w:r w:rsidR="004F4FEE" w:rsidRPr="00EF16DE">
        <w:rPr>
          <w:lang w:val="en-GB"/>
        </w:rPr>
        <w:t>would</w:t>
      </w:r>
      <w:r w:rsidR="004F4FEE" w:rsidRPr="009B3BE6">
        <w:rPr>
          <w:lang w:val="en-GB"/>
        </w:rPr>
        <w:t xml:space="preserve"> </w:t>
      </w:r>
      <w:r w:rsidR="00E01AF0" w:rsidRPr="009B3BE6">
        <w:rPr>
          <w:lang w:val="en-GB"/>
        </w:rPr>
        <w:t xml:space="preserve">have an appropriate adult appointed by the State Administration to </w:t>
      </w:r>
      <w:r w:rsidR="00F430ED" w:rsidRPr="00EF16DE">
        <w:rPr>
          <w:lang w:val="en-GB"/>
        </w:rPr>
        <w:t xml:space="preserve">represent them and </w:t>
      </w:r>
      <w:r w:rsidR="00E01AF0" w:rsidRPr="009B3BE6">
        <w:rPr>
          <w:lang w:val="en-GB"/>
        </w:rPr>
        <w:t>safeguard their interests until they turn</w:t>
      </w:r>
      <w:r w:rsidR="004F4FEE" w:rsidRPr="00EF16DE">
        <w:rPr>
          <w:lang w:val="en-GB"/>
        </w:rPr>
        <w:t>ed</w:t>
      </w:r>
      <w:r w:rsidR="00E01AF0" w:rsidRPr="009B3BE6">
        <w:rPr>
          <w:lang w:val="en-GB"/>
        </w:rPr>
        <w:t xml:space="preserve"> 18. The examination of the child by the </w:t>
      </w:r>
      <w:r w:rsidR="00F430ED" w:rsidRPr="00EF16DE">
        <w:rPr>
          <w:lang w:val="en-GB"/>
        </w:rPr>
        <w:t xml:space="preserve">Refugee Appeals Board </w:t>
      </w:r>
      <w:r w:rsidR="004F4FEE" w:rsidRPr="00EF16DE">
        <w:rPr>
          <w:lang w:val="en-GB"/>
        </w:rPr>
        <w:t>was</w:t>
      </w:r>
      <w:r w:rsidR="00E01AF0" w:rsidRPr="009B3BE6">
        <w:rPr>
          <w:lang w:val="en-GB"/>
        </w:rPr>
        <w:t xml:space="preserve"> adapted to the child’s age and maturity. Normally</w:t>
      </w:r>
      <w:r w:rsidR="00F430ED" w:rsidRPr="00EF16DE">
        <w:rPr>
          <w:lang w:val="en-GB"/>
        </w:rPr>
        <w:t>,</w:t>
      </w:r>
      <w:r w:rsidR="00E01AF0" w:rsidRPr="009B3BE6">
        <w:rPr>
          <w:lang w:val="en-GB"/>
        </w:rPr>
        <w:t xml:space="preserve"> </w:t>
      </w:r>
      <w:r w:rsidR="004F4FEE" w:rsidRPr="00EF16DE">
        <w:rPr>
          <w:lang w:val="en-GB"/>
        </w:rPr>
        <w:t xml:space="preserve">the Board was </w:t>
      </w:r>
      <w:r w:rsidR="00E01AF0" w:rsidRPr="009B3BE6">
        <w:rPr>
          <w:lang w:val="en-GB"/>
        </w:rPr>
        <w:t>less demanding when it c</w:t>
      </w:r>
      <w:r w:rsidR="004F4FEE" w:rsidRPr="00EF16DE">
        <w:rPr>
          <w:lang w:val="en-GB"/>
        </w:rPr>
        <w:t>ame</w:t>
      </w:r>
      <w:r w:rsidR="00E01AF0" w:rsidRPr="009B3BE6">
        <w:rPr>
          <w:lang w:val="en-GB"/>
        </w:rPr>
        <w:t xml:space="preserve"> to the burden of proof. The State party refer</w:t>
      </w:r>
      <w:r w:rsidR="004F4FEE" w:rsidRPr="00EF16DE">
        <w:rPr>
          <w:lang w:val="en-GB"/>
        </w:rPr>
        <w:t>red</w:t>
      </w:r>
      <w:r w:rsidR="00E01AF0" w:rsidRPr="009B3BE6">
        <w:rPr>
          <w:lang w:val="en-GB"/>
        </w:rPr>
        <w:t xml:space="preserve"> to </w:t>
      </w:r>
      <w:r w:rsidR="00580713">
        <w:rPr>
          <w:lang w:val="en-GB"/>
        </w:rPr>
        <w:t xml:space="preserve">paragraphs 213 to 219 of </w:t>
      </w:r>
      <w:r w:rsidR="00E01AF0" w:rsidRPr="009B3BE6">
        <w:rPr>
          <w:lang w:val="en-GB"/>
        </w:rPr>
        <w:t xml:space="preserve">the </w:t>
      </w:r>
      <w:r w:rsidR="00D31EE6" w:rsidRPr="00EF16DE">
        <w:rPr>
          <w:lang w:val="en-GB"/>
        </w:rPr>
        <w:t>Office of the United Nations High Commissioner for Refugees (</w:t>
      </w:r>
      <w:r w:rsidR="00E01AF0" w:rsidRPr="009B3BE6">
        <w:rPr>
          <w:lang w:val="en-GB"/>
        </w:rPr>
        <w:t>UNHCR</w:t>
      </w:r>
      <w:r w:rsidR="00D31EE6" w:rsidRPr="009B3BE6">
        <w:rPr>
          <w:lang w:val="en-GB"/>
        </w:rPr>
        <w:t>)</w:t>
      </w:r>
      <w:r w:rsidR="00E01AF0" w:rsidRPr="009B3BE6">
        <w:rPr>
          <w:lang w:val="en-GB"/>
        </w:rPr>
        <w:t xml:space="preserve"> Handbook on Procedures and Criteria for Determining Refugee Status</w:t>
      </w:r>
      <w:r w:rsidR="00E01AF0" w:rsidRPr="00F854EE">
        <w:rPr>
          <w:lang w:val="en-GB"/>
        </w:rPr>
        <w:t xml:space="preserve"> </w:t>
      </w:r>
      <w:r w:rsidR="00E01AF0" w:rsidRPr="00EF16DE">
        <w:rPr>
          <w:lang w:val="en-GB"/>
        </w:rPr>
        <w:t xml:space="preserve">and </w:t>
      </w:r>
      <w:r w:rsidR="00B2619A" w:rsidRPr="00F854EE">
        <w:rPr>
          <w:lang w:val="en-GB"/>
        </w:rPr>
        <w:t>h</w:t>
      </w:r>
      <w:r w:rsidR="004F4FEE" w:rsidRPr="00F854EE">
        <w:rPr>
          <w:lang w:val="en-GB"/>
        </w:rPr>
        <w:t>e</w:t>
      </w:r>
      <w:r w:rsidR="00B2619A" w:rsidRPr="00F854EE">
        <w:rPr>
          <w:lang w:val="en-GB"/>
        </w:rPr>
        <w:t>ld</w:t>
      </w:r>
      <w:r w:rsidR="00F430ED" w:rsidRPr="00F854EE">
        <w:rPr>
          <w:lang w:val="en-GB"/>
        </w:rPr>
        <w:t xml:space="preserve"> </w:t>
      </w:r>
      <w:r w:rsidR="00E01AF0" w:rsidRPr="00F854EE">
        <w:rPr>
          <w:lang w:val="en-GB"/>
        </w:rPr>
        <w:t>that</w:t>
      </w:r>
      <w:r w:rsidR="00F430ED" w:rsidRPr="00F854EE">
        <w:rPr>
          <w:lang w:val="en-GB"/>
        </w:rPr>
        <w:t>,</w:t>
      </w:r>
      <w:r w:rsidR="00E01AF0" w:rsidRPr="00F854EE">
        <w:rPr>
          <w:lang w:val="en-GB"/>
        </w:rPr>
        <w:t xml:space="preserve"> </w:t>
      </w:r>
      <w:r w:rsidR="00F430ED" w:rsidRPr="00F854EE">
        <w:rPr>
          <w:lang w:val="en-GB"/>
        </w:rPr>
        <w:t xml:space="preserve">when </w:t>
      </w:r>
      <w:r w:rsidR="00E01AF0" w:rsidRPr="00F854EE">
        <w:rPr>
          <w:lang w:val="en-GB"/>
        </w:rPr>
        <w:t>a minor ha</w:t>
      </w:r>
      <w:r w:rsidR="004F4FEE" w:rsidRPr="00F854EE">
        <w:rPr>
          <w:lang w:val="en-GB"/>
        </w:rPr>
        <w:t>d</w:t>
      </w:r>
      <w:r w:rsidR="00E01AF0" w:rsidRPr="00F854EE">
        <w:rPr>
          <w:lang w:val="en-GB"/>
        </w:rPr>
        <w:t xml:space="preserve"> not reached a sufficient degree of maturity to make it possible to establish </w:t>
      </w:r>
      <w:r w:rsidR="00F430ED" w:rsidRPr="00F854EE">
        <w:rPr>
          <w:lang w:val="en-GB"/>
        </w:rPr>
        <w:t xml:space="preserve">a </w:t>
      </w:r>
      <w:r w:rsidR="00E01AF0" w:rsidRPr="00F854EE">
        <w:rPr>
          <w:lang w:val="en-GB"/>
        </w:rPr>
        <w:t xml:space="preserve">well-founded fear of persecution in the same way </w:t>
      </w:r>
      <w:r w:rsidR="004F4FEE" w:rsidRPr="00F854EE">
        <w:rPr>
          <w:lang w:val="en-GB"/>
        </w:rPr>
        <w:t xml:space="preserve">for him or her </w:t>
      </w:r>
      <w:r w:rsidR="00E01AF0" w:rsidRPr="00F854EE">
        <w:rPr>
          <w:lang w:val="en-GB"/>
        </w:rPr>
        <w:t xml:space="preserve">as for an adult, it </w:t>
      </w:r>
      <w:r w:rsidR="004F4FEE" w:rsidRPr="00F854EE">
        <w:rPr>
          <w:lang w:val="en-GB"/>
        </w:rPr>
        <w:t xml:space="preserve">might </w:t>
      </w:r>
      <w:r w:rsidR="00E01AF0" w:rsidRPr="00F854EE">
        <w:rPr>
          <w:lang w:val="en-GB"/>
        </w:rPr>
        <w:t xml:space="preserve">be necessary to </w:t>
      </w:r>
      <w:r w:rsidR="00F430ED" w:rsidRPr="00F854EE">
        <w:rPr>
          <w:lang w:val="en-GB"/>
        </w:rPr>
        <w:t xml:space="preserve">give </w:t>
      </w:r>
      <w:r w:rsidR="00E01AF0" w:rsidRPr="00F854EE">
        <w:rPr>
          <w:lang w:val="en-GB"/>
        </w:rPr>
        <w:t>greater regard to certain objective factors.</w:t>
      </w:r>
      <w:r w:rsidR="00E01AF0" w:rsidRPr="009B3BE6">
        <w:rPr>
          <w:lang w:val="en-GB"/>
        </w:rPr>
        <w:t xml:space="preserve"> </w:t>
      </w:r>
    </w:p>
    <w:p w14:paraId="6C6EBDCE" w14:textId="77777777" w:rsidR="00E01AF0" w:rsidRPr="007345D4" w:rsidRDefault="00E01AF0" w:rsidP="00095CDF">
      <w:pPr>
        <w:pStyle w:val="SingleTxtG"/>
        <w:spacing w:line="240" w:lineRule="auto"/>
        <w:rPr>
          <w:lang w:val="en-GB"/>
        </w:rPr>
      </w:pPr>
      <w:r w:rsidRPr="007345D4">
        <w:rPr>
          <w:lang w:val="en-GB"/>
        </w:rPr>
        <w:t>4.5</w:t>
      </w:r>
      <w:r w:rsidRPr="007345D4">
        <w:rPr>
          <w:lang w:val="en-GB"/>
        </w:rPr>
        <w:tab/>
        <w:t>In the proceedings concerning the request for residence permits for unaccompanied minors under section 9c</w:t>
      </w:r>
      <w:r w:rsidR="00F430ED">
        <w:rPr>
          <w:lang w:val="en-GB"/>
        </w:rPr>
        <w:t> </w:t>
      </w:r>
      <w:r w:rsidRPr="007345D4">
        <w:rPr>
          <w:lang w:val="en-GB"/>
        </w:rPr>
        <w:t>(3)</w:t>
      </w:r>
      <w:r w:rsidR="00F430ED">
        <w:rPr>
          <w:lang w:val="en-GB"/>
        </w:rPr>
        <w:t> </w:t>
      </w:r>
      <w:r w:rsidRPr="007345D4">
        <w:rPr>
          <w:lang w:val="en-GB"/>
        </w:rPr>
        <w:t>(</w:t>
      </w:r>
      <w:r w:rsidRPr="009B3BE6">
        <w:rPr>
          <w:lang w:val="en-GB"/>
        </w:rPr>
        <w:t xml:space="preserve">i) or (ii) of the Aliens Act, children under the age of 12 </w:t>
      </w:r>
      <w:r w:rsidR="004F4FEE">
        <w:rPr>
          <w:lang w:val="en-GB"/>
        </w:rPr>
        <w:t>were</w:t>
      </w:r>
      <w:r w:rsidRPr="009B3BE6">
        <w:rPr>
          <w:lang w:val="en-GB"/>
        </w:rPr>
        <w:t xml:space="preserve"> normally not considered sufficiently mature to undergo ordinary asylum proceedings. As for children between the ages of 12 and 15, </w:t>
      </w:r>
      <w:r w:rsidR="00932487">
        <w:rPr>
          <w:lang w:val="en-GB"/>
        </w:rPr>
        <w:t xml:space="preserve">a child </w:t>
      </w:r>
      <w:r w:rsidR="004F4FEE">
        <w:rPr>
          <w:lang w:val="en-GB"/>
        </w:rPr>
        <w:t>was</w:t>
      </w:r>
      <w:r w:rsidR="00B2619A">
        <w:rPr>
          <w:lang w:val="en-GB"/>
        </w:rPr>
        <w:t xml:space="preserve"> </w:t>
      </w:r>
      <w:r w:rsidR="00932487">
        <w:rPr>
          <w:lang w:val="en-GB"/>
        </w:rPr>
        <w:t xml:space="preserve">assessed </w:t>
      </w:r>
      <w:r w:rsidR="004F4FEE">
        <w:rPr>
          <w:lang w:val="en-GB"/>
        </w:rPr>
        <w:t xml:space="preserve">individually </w:t>
      </w:r>
      <w:r w:rsidRPr="009B3BE6">
        <w:rPr>
          <w:lang w:val="en-GB"/>
        </w:rPr>
        <w:t xml:space="preserve">to determine whether </w:t>
      </w:r>
      <w:r w:rsidR="00932487">
        <w:rPr>
          <w:lang w:val="en-GB"/>
        </w:rPr>
        <w:t xml:space="preserve">he or she </w:t>
      </w:r>
      <w:r w:rsidR="004F4FEE">
        <w:rPr>
          <w:lang w:val="en-GB"/>
        </w:rPr>
        <w:t>was</w:t>
      </w:r>
      <w:r w:rsidR="00932487">
        <w:rPr>
          <w:lang w:val="en-GB"/>
        </w:rPr>
        <w:t xml:space="preserve"> </w:t>
      </w:r>
      <w:r w:rsidRPr="009B3BE6">
        <w:rPr>
          <w:lang w:val="en-GB"/>
        </w:rPr>
        <w:t xml:space="preserve">sufficiently mature to undergo asylum proceedings. Children </w:t>
      </w:r>
      <w:r w:rsidR="00932487">
        <w:rPr>
          <w:lang w:val="en-GB"/>
        </w:rPr>
        <w:t xml:space="preserve">over </w:t>
      </w:r>
      <w:r w:rsidRPr="009B3BE6">
        <w:rPr>
          <w:lang w:val="en-GB"/>
        </w:rPr>
        <w:t xml:space="preserve">the age of 15 </w:t>
      </w:r>
      <w:r w:rsidR="004F4FEE">
        <w:rPr>
          <w:lang w:val="en-GB"/>
        </w:rPr>
        <w:t>were</w:t>
      </w:r>
      <w:r w:rsidRPr="009B3BE6">
        <w:rPr>
          <w:lang w:val="en-GB"/>
        </w:rPr>
        <w:t xml:space="preserve"> normally considered sufficiently mature, but a specific determination </w:t>
      </w:r>
      <w:r w:rsidR="004F4FEE">
        <w:rPr>
          <w:lang w:val="en-GB"/>
        </w:rPr>
        <w:t>was</w:t>
      </w:r>
      <w:r w:rsidRPr="009B3BE6">
        <w:rPr>
          <w:lang w:val="en-GB"/>
        </w:rPr>
        <w:t xml:space="preserve"> made in each individual case. In the assessment of the minor’s maturity, factors taken into consideration include</w:t>
      </w:r>
      <w:r w:rsidR="004F4FEE">
        <w:rPr>
          <w:lang w:val="en-GB"/>
        </w:rPr>
        <w:t>d</w:t>
      </w:r>
      <w:r w:rsidRPr="009B3BE6">
        <w:rPr>
          <w:lang w:val="en-GB"/>
        </w:rPr>
        <w:t xml:space="preserve"> not only the minor’s age, but also other special factors, such as impaired development, illness or severe trauma. The Danish Immigration Service ma</w:t>
      </w:r>
      <w:r w:rsidR="004F4FEE">
        <w:rPr>
          <w:lang w:val="en-GB"/>
        </w:rPr>
        <w:t>de</w:t>
      </w:r>
      <w:r w:rsidRPr="009B3BE6">
        <w:rPr>
          <w:lang w:val="en-GB"/>
        </w:rPr>
        <w:t xml:space="preserve"> the decision </w:t>
      </w:r>
      <w:r w:rsidR="00932487">
        <w:rPr>
          <w:lang w:val="en-GB"/>
        </w:rPr>
        <w:t>regarding</w:t>
      </w:r>
      <w:r w:rsidRPr="009B3BE6">
        <w:rPr>
          <w:lang w:val="en-GB"/>
        </w:rPr>
        <w:t xml:space="preserve"> the child’s maturity, and the assessment </w:t>
      </w:r>
      <w:r w:rsidR="004F4FEE">
        <w:rPr>
          <w:lang w:val="en-GB"/>
        </w:rPr>
        <w:t>was</w:t>
      </w:r>
      <w:r w:rsidRPr="009B3BE6">
        <w:rPr>
          <w:lang w:val="en-GB"/>
        </w:rPr>
        <w:t xml:space="preserve"> subject to review by the </w:t>
      </w:r>
      <w:r w:rsidR="00932487">
        <w:rPr>
          <w:lang w:val="en-GB"/>
        </w:rPr>
        <w:t xml:space="preserve">Refugee Appeals Board </w:t>
      </w:r>
      <w:r w:rsidRPr="009B3BE6">
        <w:rPr>
          <w:lang w:val="en-GB"/>
        </w:rPr>
        <w:t>in connection with the consideration of a refusal of asylum, if relevant.</w:t>
      </w:r>
    </w:p>
    <w:p w14:paraId="6F748736" w14:textId="77777777" w:rsidR="00E01AF0" w:rsidRPr="009B3BE6" w:rsidRDefault="00E01AF0" w:rsidP="005252A8">
      <w:pPr>
        <w:pStyle w:val="SingleTxtG"/>
        <w:spacing w:line="240" w:lineRule="auto"/>
        <w:rPr>
          <w:lang w:val="en-GB"/>
        </w:rPr>
      </w:pPr>
      <w:r w:rsidRPr="007345D4">
        <w:rPr>
          <w:lang w:val="en-GB"/>
        </w:rPr>
        <w:t>4.6</w:t>
      </w:r>
      <w:r w:rsidRPr="007345D4">
        <w:rPr>
          <w:lang w:val="en-GB"/>
        </w:rPr>
        <w:tab/>
        <w:t>Pursuant to section 9c</w:t>
      </w:r>
      <w:r w:rsidR="00C919BB">
        <w:rPr>
          <w:lang w:val="en-GB"/>
        </w:rPr>
        <w:t> </w:t>
      </w:r>
      <w:r w:rsidRPr="007345D4">
        <w:rPr>
          <w:lang w:val="en-GB"/>
        </w:rPr>
        <w:t>(3)</w:t>
      </w:r>
      <w:r w:rsidR="00C919BB">
        <w:rPr>
          <w:lang w:val="en-GB"/>
        </w:rPr>
        <w:t> </w:t>
      </w:r>
      <w:r w:rsidRPr="007345D4">
        <w:rPr>
          <w:lang w:val="en-GB"/>
        </w:rPr>
        <w:t xml:space="preserve">(ii) of the Aliens Act, a residence permit </w:t>
      </w:r>
      <w:r w:rsidR="004F4FEE">
        <w:rPr>
          <w:lang w:val="en-GB"/>
        </w:rPr>
        <w:t xml:space="preserve">could </w:t>
      </w:r>
      <w:r w:rsidRPr="007345D4">
        <w:rPr>
          <w:lang w:val="en-GB"/>
        </w:rPr>
        <w:t>be issued to an unaccompanied alien who ha</w:t>
      </w:r>
      <w:r w:rsidR="004F4FEE">
        <w:rPr>
          <w:lang w:val="en-GB"/>
        </w:rPr>
        <w:t>d</w:t>
      </w:r>
      <w:r w:rsidRPr="007345D4">
        <w:rPr>
          <w:lang w:val="en-GB"/>
        </w:rPr>
        <w:t xml:space="preserve"> submitted an application for a residence permit pursuant to section 7 (asylum) prior to his </w:t>
      </w:r>
      <w:r w:rsidR="009503B2">
        <w:rPr>
          <w:lang w:val="en-GB"/>
        </w:rPr>
        <w:t>eighteenth</w:t>
      </w:r>
      <w:r w:rsidRPr="007345D4">
        <w:rPr>
          <w:lang w:val="en-GB"/>
        </w:rPr>
        <w:t xml:space="preserve"> birthday if there </w:t>
      </w:r>
      <w:r w:rsidR="004F4FEE">
        <w:rPr>
          <w:lang w:val="en-GB"/>
        </w:rPr>
        <w:t>was</w:t>
      </w:r>
      <w:r w:rsidRPr="007345D4">
        <w:rPr>
          <w:lang w:val="en-GB"/>
        </w:rPr>
        <w:t xml:space="preserve"> reason to assume, in cases other than those mentioned in section 7</w:t>
      </w:r>
      <w:r w:rsidR="009503B2">
        <w:rPr>
          <w:lang w:val="en-GB"/>
        </w:rPr>
        <w:t> </w:t>
      </w:r>
      <w:r w:rsidRPr="007345D4">
        <w:rPr>
          <w:lang w:val="en-GB"/>
        </w:rPr>
        <w:t xml:space="preserve">(1) and (2) of the Aliens Act, that the alien </w:t>
      </w:r>
      <w:r w:rsidR="004F4FEE">
        <w:rPr>
          <w:lang w:val="en-GB"/>
        </w:rPr>
        <w:t xml:space="preserve">would </w:t>
      </w:r>
      <w:r w:rsidRPr="007345D4">
        <w:rPr>
          <w:lang w:val="en-GB"/>
        </w:rPr>
        <w:t xml:space="preserve">in fact be placed in an emergency situation upon return to his </w:t>
      </w:r>
      <w:r w:rsidR="009503B2">
        <w:rPr>
          <w:lang w:val="en-GB"/>
        </w:rPr>
        <w:t xml:space="preserve">or her </w:t>
      </w:r>
      <w:r w:rsidRPr="007345D4">
        <w:rPr>
          <w:lang w:val="en-GB"/>
        </w:rPr>
        <w:t>country of origin. Under section 9c</w:t>
      </w:r>
      <w:r w:rsidR="009503B2">
        <w:rPr>
          <w:lang w:val="en-GB"/>
        </w:rPr>
        <w:t> </w:t>
      </w:r>
      <w:r w:rsidRPr="007345D4">
        <w:rPr>
          <w:lang w:val="en-GB"/>
        </w:rPr>
        <w:t>(3)</w:t>
      </w:r>
      <w:r w:rsidR="009503B2">
        <w:rPr>
          <w:lang w:val="en-GB"/>
        </w:rPr>
        <w:t> </w:t>
      </w:r>
      <w:r w:rsidRPr="007345D4">
        <w:rPr>
          <w:lang w:val="en-GB"/>
        </w:rPr>
        <w:t xml:space="preserve">(ii) of the Aliens Act, the assessment </w:t>
      </w:r>
      <w:r w:rsidR="009503B2">
        <w:rPr>
          <w:lang w:val="en-GB"/>
        </w:rPr>
        <w:t xml:space="preserve">by the authorities </w:t>
      </w:r>
      <w:r w:rsidR="004F4FEE">
        <w:rPr>
          <w:lang w:val="en-GB"/>
        </w:rPr>
        <w:t>took</w:t>
      </w:r>
      <w:r w:rsidR="004F4FEE" w:rsidRPr="007345D4">
        <w:rPr>
          <w:lang w:val="en-GB"/>
        </w:rPr>
        <w:t xml:space="preserve"> </w:t>
      </w:r>
      <w:r w:rsidRPr="007345D4">
        <w:rPr>
          <w:lang w:val="en-GB"/>
        </w:rPr>
        <w:t xml:space="preserve">into account both the personal circumstances </w:t>
      </w:r>
      <w:r w:rsidR="009503B2">
        <w:rPr>
          <w:lang w:val="en-GB"/>
        </w:rPr>
        <w:t>of the asylum</w:t>
      </w:r>
      <w:r w:rsidR="00B2619A">
        <w:rPr>
          <w:lang w:val="en-GB"/>
        </w:rPr>
        <w:t xml:space="preserve"> </w:t>
      </w:r>
      <w:r w:rsidR="009503B2">
        <w:rPr>
          <w:lang w:val="en-GB"/>
        </w:rPr>
        <w:t xml:space="preserve">seeker </w:t>
      </w:r>
      <w:r w:rsidRPr="007345D4">
        <w:rPr>
          <w:lang w:val="en-GB"/>
        </w:rPr>
        <w:t xml:space="preserve">and the general situation in his </w:t>
      </w:r>
      <w:r w:rsidR="004F4FEE">
        <w:rPr>
          <w:lang w:val="en-GB"/>
        </w:rPr>
        <w:t xml:space="preserve">or her </w:t>
      </w:r>
      <w:r w:rsidRPr="007345D4">
        <w:rPr>
          <w:lang w:val="en-GB"/>
        </w:rPr>
        <w:t xml:space="preserve">country of origin. For instance, a residence permit </w:t>
      </w:r>
      <w:r w:rsidR="004F4FEE">
        <w:rPr>
          <w:lang w:val="en-GB"/>
        </w:rPr>
        <w:t>was</w:t>
      </w:r>
      <w:r w:rsidRPr="007345D4">
        <w:rPr>
          <w:lang w:val="en-GB"/>
        </w:rPr>
        <w:t xml:space="preserve"> normally granted in cases </w:t>
      </w:r>
      <w:r w:rsidR="009503B2">
        <w:rPr>
          <w:lang w:val="en-GB"/>
        </w:rPr>
        <w:t xml:space="preserve">in which </w:t>
      </w:r>
      <w:r w:rsidRPr="007345D4">
        <w:rPr>
          <w:lang w:val="en-GB"/>
        </w:rPr>
        <w:t xml:space="preserve">the child’s parents </w:t>
      </w:r>
      <w:r w:rsidR="004F4FEE">
        <w:rPr>
          <w:lang w:val="en-GB"/>
        </w:rPr>
        <w:t>were</w:t>
      </w:r>
      <w:r w:rsidRPr="007345D4">
        <w:rPr>
          <w:lang w:val="en-GB"/>
        </w:rPr>
        <w:t xml:space="preserve"> dead or there </w:t>
      </w:r>
      <w:r w:rsidR="004F4FEE">
        <w:rPr>
          <w:lang w:val="en-GB"/>
        </w:rPr>
        <w:t>was</w:t>
      </w:r>
      <w:r w:rsidRPr="007345D4">
        <w:rPr>
          <w:lang w:val="en-GB"/>
        </w:rPr>
        <w:t xml:space="preserve"> reliable information that the</w:t>
      </w:r>
      <w:r w:rsidR="009503B2">
        <w:rPr>
          <w:lang w:val="en-GB"/>
        </w:rPr>
        <w:t xml:space="preserve"> parents</w:t>
      </w:r>
      <w:r w:rsidRPr="007345D4">
        <w:rPr>
          <w:lang w:val="en-GB"/>
        </w:rPr>
        <w:t xml:space="preserve"> </w:t>
      </w:r>
      <w:r w:rsidR="004F4FEE">
        <w:rPr>
          <w:lang w:val="en-GB"/>
        </w:rPr>
        <w:t xml:space="preserve">could not </w:t>
      </w:r>
      <w:r w:rsidRPr="007345D4">
        <w:rPr>
          <w:lang w:val="en-GB"/>
        </w:rPr>
        <w:t xml:space="preserve">be found; or </w:t>
      </w:r>
      <w:r w:rsidR="009503B2">
        <w:rPr>
          <w:lang w:val="en-GB"/>
        </w:rPr>
        <w:t xml:space="preserve">in which </w:t>
      </w:r>
      <w:r w:rsidRPr="007345D4">
        <w:rPr>
          <w:lang w:val="en-GB"/>
        </w:rPr>
        <w:t xml:space="preserve">there would be a serious risk that the child </w:t>
      </w:r>
      <w:r w:rsidRPr="00095CDF">
        <w:rPr>
          <w:lang w:val="en-GB"/>
        </w:rPr>
        <w:t>would in fact be placed in an emergency situation upon return</w:t>
      </w:r>
      <w:r w:rsidR="004070ED" w:rsidRPr="00095CDF">
        <w:rPr>
          <w:lang w:val="en-GB"/>
        </w:rPr>
        <w:t>.</w:t>
      </w:r>
      <w:r w:rsidRPr="009B3BE6">
        <w:rPr>
          <w:lang w:val="en-GB"/>
        </w:rPr>
        <w:t xml:space="preserve"> </w:t>
      </w:r>
      <w:r w:rsidRPr="00095CDF">
        <w:rPr>
          <w:lang w:val="en-GB"/>
        </w:rPr>
        <w:t>Pursuant to section 40</w:t>
      </w:r>
      <w:r w:rsidR="009503B2" w:rsidRPr="00095CDF">
        <w:rPr>
          <w:lang w:val="en-GB"/>
        </w:rPr>
        <w:t> </w:t>
      </w:r>
      <w:r w:rsidRPr="00095CDF">
        <w:rPr>
          <w:lang w:val="en-GB"/>
        </w:rPr>
        <w:t>(1), first sentence, of the Aliens Act, an asylum</w:t>
      </w:r>
      <w:r w:rsidR="00B2619A" w:rsidRPr="00095CDF">
        <w:rPr>
          <w:lang w:val="en-GB"/>
        </w:rPr>
        <w:t xml:space="preserve"> </w:t>
      </w:r>
      <w:r w:rsidRPr="00095CDF">
        <w:rPr>
          <w:lang w:val="en-GB"/>
        </w:rPr>
        <w:t xml:space="preserve">seeker must provide such information as </w:t>
      </w:r>
      <w:r w:rsidR="004F4FEE" w:rsidRPr="00095CDF">
        <w:rPr>
          <w:lang w:val="en-GB"/>
        </w:rPr>
        <w:t>was</w:t>
      </w:r>
      <w:r w:rsidRPr="00095CDF">
        <w:rPr>
          <w:lang w:val="en-GB"/>
        </w:rPr>
        <w:t xml:space="preserve"> required for deciding whether a</w:t>
      </w:r>
      <w:r w:rsidRPr="007345D4">
        <w:rPr>
          <w:lang w:val="en-GB"/>
        </w:rPr>
        <w:t xml:space="preserve"> residence permit </w:t>
      </w:r>
      <w:r w:rsidR="004F4FEE">
        <w:rPr>
          <w:lang w:val="en-GB"/>
        </w:rPr>
        <w:t>could</w:t>
      </w:r>
      <w:r w:rsidRPr="007345D4">
        <w:rPr>
          <w:lang w:val="en-GB"/>
        </w:rPr>
        <w:t xml:space="preserve"> be issued under the Act. Accordingly, it follow</w:t>
      </w:r>
      <w:r w:rsidR="004F4FEE">
        <w:rPr>
          <w:lang w:val="en-GB"/>
        </w:rPr>
        <w:t>ed</w:t>
      </w:r>
      <w:r w:rsidRPr="007345D4">
        <w:rPr>
          <w:lang w:val="en-GB"/>
        </w:rPr>
        <w:t xml:space="preserve"> that an unaccompanied minor who claim</w:t>
      </w:r>
      <w:r w:rsidR="004F4FEE">
        <w:rPr>
          <w:lang w:val="en-GB"/>
        </w:rPr>
        <w:t>ed</w:t>
      </w:r>
      <w:r w:rsidRPr="007345D4">
        <w:rPr>
          <w:lang w:val="en-GB"/>
        </w:rPr>
        <w:t xml:space="preserve"> that he ha</w:t>
      </w:r>
      <w:r w:rsidR="004F4FEE">
        <w:rPr>
          <w:lang w:val="en-GB"/>
        </w:rPr>
        <w:t>d</w:t>
      </w:r>
      <w:r w:rsidRPr="007345D4">
        <w:rPr>
          <w:lang w:val="en-GB"/>
        </w:rPr>
        <w:t xml:space="preserve"> no family network in his country of origin normally </w:t>
      </w:r>
      <w:r w:rsidR="004F4FEE">
        <w:rPr>
          <w:lang w:val="en-GB"/>
        </w:rPr>
        <w:t xml:space="preserve">bore </w:t>
      </w:r>
      <w:r w:rsidRPr="007345D4">
        <w:rPr>
          <w:lang w:val="en-GB"/>
        </w:rPr>
        <w:t xml:space="preserve">the burden of proving </w:t>
      </w:r>
      <w:r w:rsidR="004F4FEE">
        <w:rPr>
          <w:lang w:val="en-GB"/>
        </w:rPr>
        <w:t>such a claim</w:t>
      </w:r>
      <w:r w:rsidRPr="007345D4">
        <w:rPr>
          <w:lang w:val="en-GB"/>
        </w:rPr>
        <w:t xml:space="preserve">. </w:t>
      </w:r>
    </w:p>
    <w:p w14:paraId="64741ABA" w14:textId="77777777" w:rsidR="00E01AF0" w:rsidRPr="007345D4" w:rsidRDefault="00E01AF0">
      <w:pPr>
        <w:pStyle w:val="SingleTxtG"/>
        <w:spacing w:line="240" w:lineRule="auto"/>
        <w:rPr>
          <w:szCs w:val="23"/>
          <w:lang w:val="en-GB"/>
        </w:rPr>
      </w:pPr>
      <w:r w:rsidRPr="007345D4">
        <w:rPr>
          <w:lang w:val="en-GB"/>
        </w:rPr>
        <w:t>4.7</w:t>
      </w:r>
      <w:r w:rsidRPr="007345D4">
        <w:rPr>
          <w:lang w:val="en-GB"/>
        </w:rPr>
        <w:tab/>
        <w:t>As to the authors</w:t>
      </w:r>
      <w:r w:rsidR="004070ED">
        <w:rPr>
          <w:lang w:val="en-GB"/>
        </w:rPr>
        <w:t>’</w:t>
      </w:r>
      <w:r w:rsidRPr="007345D4">
        <w:rPr>
          <w:lang w:val="en-GB"/>
        </w:rPr>
        <w:t xml:space="preserve"> case, the State party maintain</w:t>
      </w:r>
      <w:r w:rsidR="008B4000">
        <w:rPr>
          <w:lang w:val="en-GB"/>
        </w:rPr>
        <w:t>ed</w:t>
      </w:r>
      <w:r w:rsidRPr="007345D4">
        <w:rPr>
          <w:lang w:val="en-GB"/>
        </w:rPr>
        <w:t xml:space="preserve"> that the </w:t>
      </w:r>
      <w:r w:rsidR="004070ED">
        <w:rPr>
          <w:lang w:val="en-GB"/>
        </w:rPr>
        <w:t>Refugee Appeals Board</w:t>
      </w:r>
      <w:r w:rsidR="004070ED" w:rsidRPr="007345D4">
        <w:rPr>
          <w:lang w:val="en-GB"/>
        </w:rPr>
        <w:t xml:space="preserve"> </w:t>
      </w:r>
      <w:r w:rsidR="008B4000">
        <w:rPr>
          <w:lang w:val="en-GB"/>
        </w:rPr>
        <w:t xml:space="preserve">had </w:t>
      </w:r>
      <w:r w:rsidRPr="009B3BE6">
        <w:rPr>
          <w:szCs w:val="23"/>
          <w:lang w:val="en-GB"/>
        </w:rPr>
        <w:t xml:space="preserve">based its decision of 22 September 2010 on the principles </w:t>
      </w:r>
      <w:r w:rsidR="004070ED" w:rsidRPr="00EF16DE">
        <w:rPr>
          <w:szCs w:val="23"/>
          <w:lang w:val="en-GB"/>
        </w:rPr>
        <w:t xml:space="preserve">contained </w:t>
      </w:r>
      <w:r w:rsidRPr="009B3BE6">
        <w:rPr>
          <w:szCs w:val="23"/>
          <w:lang w:val="en-GB"/>
        </w:rPr>
        <w:t>in the judg</w:t>
      </w:r>
      <w:r w:rsidR="004070ED" w:rsidRPr="00EF16DE">
        <w:rPr>
          <w:szCs w:val="23"/>
          <w:lang w:val="en-GB"/>
        </w:rPr>
        <w:t>e</w:t>
      </w:r>
      <w:r w:rsidRPr="009B3BE6">
        <w:rPr>
          <w:szCs w:val="23"/>
          <w:lang w:val="en-GB"/>
        </w:rPr>
        <w:t xml:space="preserve">ment of the European Court of Human Rights in </w:t>
      </w:r>
      <w:r w:rsidRPr="009B3BE6">
        <w:rPr>
          <w:i/>
          <w:iCs/>
          <w:szCs w:val="23"/>
          <w:lang w:val="en-GB"/>
        </w:rPr>
        <w:t>NA</w:t>
      </w:r>
      <w:r w:rsidR="00F854EE" w:rsidRPr="009B3BE6">
        <w:rPr>
          <w:i/>
          <w:iCs/>
          <w:szCs w:val="23"/>
          <w:lang w:val="en-GB"/>
        </w:rPr>
        <w:t>.</w:t>
      </w:r>
      <w:r w:rsidRPr="009B3BE6">
        <w:rPr>
          <w:i/>
          <w:iCs/>
          <w:szCs w:val="23"/>
          <w:lang w:val="en-GB"/>
        </w:rPr>
        <w:t xml:space="preserve"> v. the United Kingdom </w:t>
      </w:r>
      <w:r w:rsidRPr="009B3BE6">
        <w:rPr>
          <w:szCs w:val="23"/>
          <w:lang w:val="en-GB"/>
        </w:rPr>
        <w:t>(appl</w:t>
      </w:r>
      <w:r w:rsidR="00F854EE" w:rsidRPr="009B3BE6">
        <w:rPr>
          <w:szCs w:val="23"/>
          <w:lang w:val="en-GB"/>
        </w:rPr>
        <w:t>ication</w:t>
      </w:r>
      <w:r w:rsidRPr="009B3BE6">
        <w:rPr>
          <w:szCs w:val="23"/>
          <w:lang w:val="en-GB"/>
        </w:rPr>
        <w:t xml:space="preserve"> No. 25904/07, judg</w:t>
      </w:r>
      <w:r w:rsidR="00F854EE" w:rsidRPr="009B3BE6">
        <w:rPr>
          <w:szCs w:val="23"/>
          <w:lang w:val="en-GB"/>
        </w:rPr>
        <w:t>e</w:t>
      </w:r>
      <w:r w:rsidRPr="009B3BE6">
        <w:rPr>
          <w:szCs w:val="23"/>
          <w:lang w:val="en-GB"/>
        </w:rPr>
        <w:t>ment of 17 July 2008)</w:t>
      </w:r>
      <w:r w:rsidR="005252A8">
        <w:rPr>
          <w:szCs w:val="23"/>
          <w:lang w:val="en-GB"/>
        </w:rPr>
        <w:t xml:space="preserve"> –</w:t>
      </w:r>
      <w:r w:rsidRPr="009B3BE6">
        <w:rPr>
          <w:szCs w:val="23"/>
          <w:lang w:val="en-GB"/>
        </w:rPr>
        <w:t xml:space="preserve"> inter alia, that regardless of the deterioration of the security situation in Sri Lanka and the resulting increase in the number of human rights </w:t>
      </w:r>
      <w:r w:rsidRPr="009B3BE6">
        <w:rPr>
          <w:szCs w:val="23"/>
          <w:lang w:val="en-GB"/>
        </w:rPr>
        <w:lastRenderedPageBreak/>
        <w:t>violations</w:t>
      </w:r>
      <w:r w:rsidR="004070ED">
        <w:rPr>
          <w:szCs w:val="23"/>
          <w:lang w:val="en-GB"/>
        </w:rPr>
        <w:t>,</w:t>
      </w:r>
      <w:r w:rsidRPr="009B3BE6">
        <w:rPr>
          <w:szCs w:val="23"/>
          <w:lang w:val="en-GB"/>
        </w:rPr>
        <w:t xml:space="preserve"> th</w:t>
      </w:r>
      <w:r w:rsidR="008B4000">
        <w:rPr>
          <w:szCs w:val="23"/>
          <w:lang w:val="en-GB"/>
        </w:rPr>
        <w:t>at</w:t>
      </w:r>
      <w:r w:rsidRPr="009B3BE6">
        <w:rPr>
          <w:szCs w:val="23"/>
          <w:lang w:val="en-GB"/>
        </w:rPr>
        <w:t xml:space="preserve"> did not create a general risk </w:t>
      </w:r>
      <w:r w:rsidR="005252A8">
        <w:rPr>
          <w:szCs w:val="23"/>
          <w:lang w:val="en-GB"/>
        </w:rPr>
        <w:t>for</w:t>
      </w:r>
      <w:r w:rsidR="005252A8" w:rsidRPr="009B3BE6">
        <w:rPr>
          <w:szCs w:val="23"/>
          <w:lang w:val="en-GB"/>
        </w:rPr>
        <w:t xml:space="preserve"> </w:t>
      </w:r>
      <w:r w:rsidRPr="009B3BE6">
        <w:rPr>
          <w:szCs w:val="23"/>
          <w:lang w:val="en-GB"/>
        </w:rPr>
        <w:t>all Tamils returning to Sri Lanka.</w:t>
      </w:r>
      <w:r w:rsidRPr="009B3BE6">
        <w:rPr>
          <w:rStyle w:val="FootnoteReference"/>
          <w:sz w:val="20"/>
          <w:szCs w:val="23"/>
          <w:lang w:val="en-GB"/>
        </w:rPr>
        <w:footnoteReference w:id="5"/>
      </w:r>
      <w:r w:rsidRPr="009B3BE6">
        <w:rPr>
          <w:szCs w:val="23"/>
          <w:lang w:val="en-GB"/>
        </w:rPr>
        <w:t xml:space="preserve"> The State party point</w:t>
      </w:r>
      <w:r w:rsidR="008B4000">
        <w:rPr>
          <w:szCs w:val="23"/>
          <w:lang w:val="en-GB"/>
        </w:rPr>
        <w:t>ed</w:t>
      </w:r>
      <w:r w:rsidRPr="009B3BE6">
        <w:rPr>
          <w:szCs w:val="23"/>
          <w:lang w:val="en-GB"/>
        </w:rPr>
        <w:t xml:space="preserve"> out that</w:t>
      </w:r>
      <w:r w:rsidR="008B4000">
        <w:rPr>
          <w:szCs w:val="23"/>
          <w:lang w:val="en-GB"/>
        </w:rPr>
        <w:t>,</w:t>
      </w:r>
      <w:r w:rsidRPr="009B3BE6">
        <w:rPr>
          <w:szCs w:val="23"/>
          <w:lang w:val="en-GB"/>
        </w:rPr>
        <w:t xml:space="preserve"> in its decision of 22 September 2010, the </w:t>
      </w:r>
      <w:r w:rsidR="008B4000">
        <w:rPr>
          <w:szCs w:val="23"/>
          <w:lang w:val="en-GB"/>
        </w:rPr>
        <w:t xml:space="preserve">Refugee Appeals Board had </w:t>
      </w:r>
      <w:r w:rsidRPr="009B3BE6">
        <w:rPr>
          <w:szCs w:val="23"/>
          <w:lang w:val="en-GB"/>
        </w:rPr>
        <w:t>made a specific individual assessment and concluded</w:t>
      </w:r>
      <w:r w:rsidR="008B4000">
        <w:rPr>
          <w:szCs w:val="23"/>
          <w:lang w:val="en-GB"/>
        </w:rPr>
        <w:t>,</w:t>
      </w:r>
      <w:r w:rsidRPr="009B3BE6">
        <w:rPr>
          <w:szCs w:val="23"/>
          <w:lang w:val="en-GB"/>
        </w:rPr>
        <w:t xml:space="preserve"> inter alia</w:t>
      </w:r>
      <w:r w:rsidR="008B4000">
        <w:rPr>
          <w:szCs w:val="23"/>
          <w:lang w:val="en-GB"/>
        </w:rPr>
        <w:t>,</w:t>
      </w:r>
      <w:r w:rsidRPr="009B3BE6">
        <w:rPr>
          <w:szCs w:val="23"/>
          <w:lang w:val="en-GB"/>
        </w:rPr>
        <w:t xml:space="preserve"> that the activities carried out by the authors’ father </w:t>
      </w:r>
      <w:r w:rsidR="008B4000" w:rsidRPr="00EF16DE">
        <w:rPr>
          <w:szCs w:val="23"/>
          <w:lang w:val="en-GB"/>
        </w:rPr>
        <w:t xml:space="preserve">for </w:t>
      </w:r>
      <w:r w:rsidR="00213875">
        <w:rPr>
          <w:szCs w:val="23"/>
          <w:lang w:val="en-GB"/>
        </w:rPr>
        <w:t>LTTE</w:t>
      </w:r>
      <w:r w:rsidR="008B4000" w:rsidRPr="00EF16DE">
        <w:rPr>
          <w:szCs w:val="23"/>
          <w:lang w:val="en-GB"/>
        </w:rPr>
        <w:t xml:space="preserve"> </w:t>
      </w:r>
      <w:r w:rsidR="00F854EE">
        <w:rPr>
          <w:szCs w:val="23"/>
          <w:lang w:val="en-GB"/>
        </w:rPr>
        <w:t xml:space="preserve">had </w:t>
      </w:r>
      <w:r w:rsidR="008B4BDA" w:rsidRPr="00EF16DE">
        <w:rPr>
          <w:szCs w:val="23"/>
          <w:lang w:val="en-GB"/>
        </w:rPr>
        <w:t xml:space="preserve">occurred so long ago </w:t>
      </w:r>
      <w:r w:rsidRPr="009B3BE6">
        <w:rPr>
          <w:szCs w:val="23"/>
          <w:lang w:val="en-GB"/>
        </w:rPr>
        <w:t xml:space="preserve">and were of such scope and nature that they had not </w:t>
      </w:r>
      <w:r w:rsidR="00D64ED4">
        <w:rPr>
          <w:szCs w:val="23"/>
          <w:lang w:val="en-GB"/>
        </w:rPr>
        <w:t>drawn attention to</w:t>
      </w:r>
      <w:r w:rsidR="00D64ED4" w:rsidRPr="009B3BE6">
        <w:rPr>
          <w:szCs w:val="23"/>
          <w:lang w:val="en-GB"/>
        </w:rPr>
        <w:t xml:space="preserve"> </w:t>
      </w:r>
      <w:r w:rsidRPr="009B3BE6">
        <w:rPr>
          <w:szCs w:val="23"/>
          <w:lang w:val="en-GB"/>
        </w:rPr>
        <w:t>him (</w:t>
      </w:r>
      <w:r w:rsidR="008B4000" w:rsidRPr="00EF16DE">
        <w:rPr>
          <w:szCs w:val="23"/>
          <w:lang w:val="en-GB"/>
        </w:rPr>
        <w:t>or</w:t>
      </w:r>
      <w:r w:rsidRPr="009B3BE6">
        <w:rPr>
          <w:szCs w:val="23"/>
          <w:lang w:val="en-GB"/>
        </w:rPr>
        <w:t xml:space="preserve">, consequently, the authors), and </w:t>
      </w:r>
      <w:r w:rsidR="005252A8">
        <w:rPr>
          <w:szCs w:val="23"/>
          <w:lang w:val="en-GB"/>
        </w:rPr>
        <w:t xml:space="preserve">that </w:t>
      </w:r>
      <w:r w:rsidRPr="009B3BE6">
        <w:rPr>
          <w:szCs w:val="23"/>
          <w:lang w:val="en-GB"/>
        </w:rPr>
        <w:t xml:space="preserve">the authors had not previously been subjected to any abuse by the authorities. The </w:t>
      </w:r>
      <w:r w:rsidR="008B4000" w:rsidRPr="00EF16DE">
        <w:rPr>
          <w:szCs w:val="23"/>
          <w:lang w:val="en-GB"/>
        </w:rPr>
        <w:t xml:space="preserve">Board </w:t>
      </w:r>
      <w:r w:rsidR="008B4000" w:rsidRPr="00F854EE">
        <w:rPr>
          <w:szCs w:val="23"/>
          <w:lang w:val="en-GB"/>
        </w:rPr>
        <w:t xml:space="preserve">had </w:t>
      </w:r>
      <w:r w:rsidRPr="009B3BE6">
        <w:rPr>
          <w:szCs w:val="23"/>
          <w:lang w:val="en-GB"/>
        </w:rPr>
        <w:t>further</w:t>
      </w:r>
      <w:r w:rsidRPr="00EF16DE">
        <w:rPr>
          <w:lang w:val="en-GB"/>
        </w:rPr>
        <w:t xml:space="preserve"> state</w:t>
      </w:r>
      <w:r w:rsidRPr="00F854EE">
        <w:rPr>
          <w:lang w:val="en-GB"/>
        </w:rPr>
        <w:t>d</w:t>
      </w:r>
      <w:r w:rsidR="008B4000" w:rsidRPr="00F854EE">
        <w:rPr>
          <w:lang w:val="en-GB"/>
        </w:rPr>
        <w:t>,</w:t>
      </w:r>
      <w:r w:rsidRPr="00F854EE">
        <w:rPr>
          <w:lang w:val="en-GB"/>
        </w:rPr>
        <w:t xml:space="preserve"> inter alia</w:t>
      </w:r>
      <w:r w:rsidR="008B4000" w:rsidRPr="00F854EE">
        <w:rPr>
          <w:lang w:val="en-GB"/>
        </w:rPr>
        <w:t>,</w:t>
      </w:r>
      <w:r w:rsidRPr="00F854EE">
        <w:rPr>
          <w:lang w:val="en-GB"/>
        </w:rPr>
        <w:t xml:space="preserve"> that the authors had not been subjected to any abuse by the authorities during</w:t>
      </w:r>
      <w:r w:rsidRPr="007345D4">
        <w:rPr>
          <w:lang w:val="en-GB"/>
        </w:rPr>
        <w:t xml:space="preserve"> their stay in the camp in </w:t>
      </w:r>
      <w:r w:rsidRPr="009B3BE6">
        <w:rPr>
          <w:lang w:val="en-GB"/>
        </w:rPr>
        <w:t>Vavuniya</w:t>
      </w:r>
      <w:r w:rsidR="008B4000">
        <w:rPr>
          <w:lang w:val="en-GB"/>
        </w:rPr>
        <w:t>,</w:t>
      </w:r>
      <w:r w:rsidRPr="007345D4">
        <w:rPr>
          <w:lang w:val="en-GB"/>
        </w:rPr>
        <w:t xml:space="preserve"> that they had left the camp without any problem and that it appeared from the background information on the situation in Sri Lanka that persons suspected of being sympathetic to </w:t>
      </w:r>
      <w:r w:rsidR="00213875">
        <w:rPr>
          <w:lang w:val="en-GB"/>
        </w:rPr>
        <w:t>LTTE</w:t>
      </w:r>
      <w:r w:rsidRPr="007345D4">
        <w:rPr>
          <w:lang w:val="en-GB"/>
        </w:rPr>
        <w:t xml:space="preserve">, but </w:t>
      </w:r>
      <w:r w:rsidR="004F4FEE">
        <w:rPr>
          <w:lang w:val="en-GB"/>
        </w:rPr>
        <w:t xml:space="preserve">who were </w:t>
      </w:r>
      <w:r w:rsidRPr="007345D4">
        <w:rPr>
          <w:lang w:val="en-GB"/>
        </w:rPr>
        <w:t>not high</w:t>
      </w:r>
      <w:r w:rsidR="004F4FEE">
        <w:rPr>
          <w:lang w:val="en-GB"/>
        </w:rPr>
        <w:t xml:space="preserve"> </w:t>
      </w:r>
      <w:r w:rsidRPr="007345D4">
        <w:rPr>
          <w:lang w:val="en-GB"/>
        </w:rPr>
        <w:t>profile, were generally not at any risk of persecution</w:t>
      </w:r>
      <w:r w:rsidR="00AD0CCA" w:rsidRPr="007345D4">
        <w:rPr>
          <w:lang w:val="en-GB"/>
        </w:rPr>
        <w:t>.</w:t>
      </w:r>
      <w:r w:rsidRPr="007345D4">
        <w:rPr>
          <w:lang w:val="en-GB"/>
        </w:rPr>
        <w:t xml:space="preserve"> </w:t>
      </w:r>
      <w:r w:rsidRPr="009B3BE6">
        <w:rPr>
          <w:szCs w:val="23"/>
          <w:lang w:val="en-GB"/>
        </w:rPr>
        <w:t>The State party submit</w:t>
      </w:r>
      <w:r w:rsidR="008B4000">
        <w:rPr>
          <w:szCs w:val="23"/>
          <w:lang w:val="en-GB"/>
        </w:rPr>
        <w:t>ted</w:t>
      </w:r>
      <w:r w:rsidRPr="009B3BE6">
        <w:rPr>
          <w:szCs w:val="23"/>
          <w:lang w:val="en-GB"/>
        </w:rPr>
        <w:t xml:space="preserve"> that there </w:t>
      </w:r>
      <w:r w:rsidR="008B4000">
        <w:rPr>
          <w:szCs w:val="23"/>
          <w:lang w:val="en-GB"/>
        </w:rPr>
        <w:t>was</w:t>
      </w:r>
      <w:r w:rsidRPr="009B3BE6">
        <w:rPr>
          <w:szCs w:val="23"/>
          <w:lang w:val="en-GB"/>
        </w:rPr>
        <w:t xml:space="preserve"> no reason to question the </w:t>
      </w:r>
      <w:r w:rsidR="008B4000" w:rsidRPr="00EF16DE">
        <w:rPr>
          <w:szCs w:val="23"/>
          <w:lang w:val="en-GB"/>
        </w:rPr>
        <w:t>Board</w:t>
      </w:r>
      <w:r w:rsidR="00836A95" w:rsidRPr="009B3BE6">
        <w:rPr>
          <w:szCs w:val="23"/>
          <w:lang w:val="en-GB"/>
        </w:rPr>
        <w:t>’</w:t>
      </w:r>
      <w:r w:rsidR="008B4000" w:rsidRPr="00EF16DE">
        <w:rPr>
          <w:szCs w:val="23"/>
          <w:lang w:val="en-GB"/>
        </w:rPr>
        <w:t xml:space="preserve">s </w:t>
      </w:r>
      <w:r w:rsidRPr="009B3BE6">
        <w:rPr>
          <w:szCs w:val="23"/>
          <w:lang w:val="en-GB"/>
        </w:rPr>
        <w:t>assessment</w:t>
      </w:r>
      <w:r w:rsidR="00AD0CCA" w:rsidRPr="00EF16DE">
        <w:rPr>
          <w:szCs w:val="23"/>
          <w:lang w:val="en-GB"/>
        </w:rPr>
        <w:t xml:space="preserve"> </w:t>
      </w:r>
      <w:r w:rsidRPr="00836A95">
        <w:rPr>
          <w:szCs w:val="23"/>
          <w:lang w:val="en-GB"/>
        </w:rPr>
        <w:t xml:space="preserve">and that the authors’ individual situations </w:t>
      </w:r>
      <w:r w:rsidR="008B4000" w:rsidRPr="00836A95">
        <w:rPr>
          <w:szCs w:val="23"/>
          <w:lang w:val="en-GB"/>
        </w:rPr>
        <w:t>did</w:t>
      </w:r>
      <w:r w:rsidRPr="00836A95">
        <w:rPr>
          <w:szCs w:val="23"/>
          <w:lang w:val="en-GB"/>
        </w:rPr>
        <w:t xml:space="preserve"> not in any way indicate that they </w:t>
      </w:r>
      <w:r w:rsidR="008B4000" w:rsidRPr="00836A95">
        <w:rPr>
          <w:szCs w:val="23"/>
          <w:lang w:val="en-GB"/>
        </w:rPr>
        <w:t>would</w:t>
      </w:r>
      <w:r w:rsidR="008B4000">
        <w:rPr>
          <w:szCs w:val="23"/>
          <w:lang w:val="en-GB"/>
        </w:rPr>
        <w:t xml:space="preserve"> </w:t>
      </w:r>
      <w:r w:rsidRPr="007345D4">
        <w:rPr>
          <w:szCs w:val="23"/>
          <w:lang w:val="en-GB"/>
        </w:rPr>
        <w:t>be subjected to torture or cruel, inhuman or degrading treatment or punishment upon return to Sri Lanka.</w:t>
      </w:r>
    </w:p>
    <w:p w14:paraId="55323201" w14:textId="77777777" w:rsidR="00E01AF0" w:rsidRPr="00EF16DE" w:rsidRDefault="00AD0CCA" w:rsidP="00213875">
      <w:pPr>
        <w:pStyle w:val="SingleTxtG"/>
        <w:spacing w:line="240" w:lineRule="auto"/>
        <w:rPr>
          <w:lang w:val="en-GB"/>
        </w:rPr>
      </w:pPr>
      <w:r w:rsidRPr="007345D4">
        <w:rPr>
          <w:szCs w:val="23"/>
          <w:lang w:val="en-GB"/>
        </w:rPr>
        <w:t>4.8</w:t>
      </w:r>
      <w:r w:rsidR="00E01AF0" w:rsidRPr="007345D4">
        <w:rPr>
          <w:szCs w:val="23"/>
          <w:lang w:val="en-GB"/>
        </w:rPr>
        <w:tab/>
        <w:t>The State party maintain</w:t>
      </w:r>
      <w:r w:rsidR="008B4000">
        <w:rPr>
          <w:szCs w:val="23"/>
          <w:lang w:val="en-GB"/>
        </w:rPr>
        <w:t>ed</w:t>
      </w:r>
      <w:r w:rsidR="00E01AF0" w:rsidRPr="007345D4">
        <w:rPr>
          <w:szCs w:val="23"/>
          <w:lang w:val="en-GB"/>
        </w:rPr>
        <w:t xml:space="preserve"> that the authors </w:t>
      </w:r>
      <w:r w:rsidR="00580713">
        <w:rPr>
          <w:szCs w:val="23"/>
          <w:lang w:val="en-GB"/>
        </w:rPr>
        <w:t xml:space="preserve">were </w:t>
      </w:r>
      <w:r w:rsidR="00E01AF0" w:rsidRPr="007345D4">
        <w:rPr>
          <w:szCs w:val="23"/>
          <w:lang w:val="en-GB"/>
        </w:rPr>
        <w:t xml:space="preserve">in fact trying to use the Committee as an appellate body to have the </w:t>
      </w:r>
      <w:r w:rsidR="00E01AF0" w:rsidRPr="00A45FB0">
        <w:rPr>
          <w:szCs w:val="23"/>
          <w:lang w:val="en-GB"/>
        </w:rPr>
        <w:t xml:space="preserve">factual circumstances </w:t>
      </w:r>
      <w:r w:rsidR="005252A8">
        <w:rPr>
          <w:szCs w:val="23"/>
          <w:lang w:val="en-GB"/>
        </w:rPr>
        <w:t xml:space="preserve">presented </w:t>
      </w:r>
      <w:r w:rsidR="00E01AF0" w:rsidRPr="007345D4">
        <w:rPr>
          <w:szCs w:val="23"/>
          <w:lang w:val="en-GB"/>
        </w:rPr>
        <w:t xml:space="preserve">in support of their claim for asylum reassessed by the Committee. However, the Committee </w:t>
      </w:r>
      <w:r w:rsidR="008B4000">
        <w:rPr>
          <w:szCs w:val="23"/>
          <w:lang w:val="en-GB"/>
        </w:rPr>
        <w:t xml:space="preserve">should </w:t>
      </w:r>
      <w:r w:rsidR="00E01AF0" w:rsidRPr="007345D4">
        <w:rPr>
          <w:szCs w:val="23"/>
          <w:lang w:val="en-GB"/>
        </w:rPr>
        <w:t xml:space="preserve">give considerable weight to the findings of the </w:t>
      </w:r>
      <w:r w:rsidR="008B4000">
        <w:rPr>
          <w:szCs w:val="23"/>
          <w:lang w:val="en-GB"/>
        </w:rPr>
        <w:t>Refugee Appeals Board,</w:t>
      </w:r>
      <w:r w:rsidR="00E01AF0" w:rsidRPr="007345D4">
        <w:rPr>
          <w:szCs w:val="23"/>
          <w:lang w:val="en-GB"/>
        </w:rPr>
        <w:t xml:space="preserve"> which </w:t>
      </w:r>
      <w:r w:rsidR="008B4000">
        <w:rPr>
          <w:szCs w:val="23"/>
          <w:lang w:val="en-GB"/>
        </w:rPr>
        <w:t>was</w:t>
      </w:r>
      <w:r w:rsidR="00E01AF0" w:rsidRPr="007345D4">
        <w:rPr>
          <w:szCs w:val="23"/>
          <w:lang w:val="en-GB"/>
        </w:rPr>
        <w:t xml:space="preserve"> better placed to assess the findings of fact in the authors’ cases. In that connection, in February 2013 its authorities </w:t>
      </w:r>
      <w:r w:rsidR="008B4000">
        <w:rPr>
          <w:szCs w:val="23"/>
          <w:lang w:val="en-GB"/>
        </w:rPr>
        <w:t xml:space="preserve">had </w:t>
      </w:r>
      <w:r w:rsidR="00E01AF0" w:rsidRPr="007345D4">
        <w:rPr>
          <w:szCs w:val="23"/>
          <w:lang w:val="en-GB"/>
        </w:rPr>
        <w:t xml:space="preserve">determined that there was no specific basis in the background information on Sri Lanka for assuming that Tamils who had not themselves been affiliated with </w:t>
      </w:r>
      <w:r w:rsidR="00213875">
        <w:rPr>
          <w:szCs w:val="23"/>
          <w:lang w:val="en-GB"/>
        </w:rPr>
        <w:t>LTTE</w:t>
      </w:r>
      <w:r w:rsidR="00E01AF0" w:rsidRPr="007345D4">
        <w:rPr>
          <w:szCs w:val="23"/>
          <w:lang w:val="en-GB"/>
        </w:rPr>
        <w:t xml:space="preserve"> and whose family members were not high-profile members of </w:t>
      </w:r>
      <w:r w:rsidR="00213875">
        <w:rPr>
          <w:szCs w:val="23"/>
          <w:lang w:val="en-GB"/>
        </w:rPr>
        <w:t>LTTE</w:t>
      </w:r>
      <w:r w:rsidR="00E01AF0" w:rsidRPr="007345D4">
        <w:rPr>
          <w:szCs w:val="23"/>
          <w:lang w:val="en-GB"/>
        </w:rPr>
        <w:t xml:space="preserve"> would be at any risk of persecution or abuse </w:t>
      </w:r>
      <w:r w:rsidR="00E01AF0" w:rsidRPr="00AF4300">
        <w:rPr>
          <w:szCs w:val="23"/>
          <w:lang w:val="en-GB"/>
        </w:rPr>
        <w:t>justifying asylum merely as a consequence of their ethnicity</w:t>
      </w:r>
      <w:r w:rsidR="00E01AF0" w:rsidRPr="009B3BE6">
        <w:rPr>
          <w:lang w:val="en-GB"/>
        </w:rPr>
        <w:t>. The State party refer</w:t>
      </w:r>
      <w:r w:rsidR="008B4000" w:rsidRPr="00AF4300">
        <w:rPr>
          <w:lang w:val="en-GB"/>
        </w:rPr>
        <w:t>red</w:t>
      </w:r>
      <w:r w:rsidR="00E01AF0" w:rsidRPr="009B3BE6">
        <w:rPr>
          <w:lang w:val="en-GB"/>
        </w:rPr>
        <w:t xml:space="preserve"> to the 2012 UNHCR </w:t>
      </w:r>
      <w:r w:rsidR="00E01AF0" w:rsidRPr="009B3BE6">
        <w:rPr>
          <w:iCs/>
          <w:lang w:val="en-GB"/>
        </w:rPr>
        <w:t xml:space="preserve">Eligibility Guidelines for </w:t>
      </w:r>
      <w:r w:rsidR="00AF4300" w:rsidRPr="009B3BE6">
        <w:rPr>
          <w:iCs/>
          <w:lang w:val="en-GB"/>
        </w:rPr>
        <w:t>A</w:t>
      </w:r>
      <w:r w:rsidR="00E01AF0" w:rsidRPr="009B3BE6">
        <w:rPr>
          <w:iCs/>
          <w:lang w:val="en-GB"/>
        </w:rPr>
        <w:t>ssessing the International Protection Needs of Asylum Seekers from Sri Lanka</w:t>
      </w:r>
      <w:r w:rsidR="00E01AF0" w:rsidRPr="009B3BE6">
        <w:rPr>
          <w:lang w:val="en-GB"/>
        </w:rPr>
        <w:t>,</w:t>
      </w:r>
      <w:r w:rsidR="00E01AF0" w:rsidRPr="009B3BE6">
        <w:rPr>
          <w:rStyle w:val="FootnoteReference"/>
          <w:sz w:val="20"/>
          <w:lang w:val="en-GB"/>
        </w:rPr>
        <w:footnoteReference w:id="6"/>
      </w:r>
      <w:r w:rsidRPr="009B3BE6">
        <w:rPr>
          <w:lang w:val="en-GB"/>
        </w:rPr>
        <w:t xml:space="preserve"> </w:t>
      </w:r>
      <w:r w:rsidR="00E01AF0" w:rsidRPr="00AF4300">
        <w:rPr>
          <w:lang w:val="en-GB"/>
        </w:rPr>
        <w:t>and note</w:t>
      </w:r>
      <w:r w:rsidR="008B4000" w:rsidRPr="00AF4300">
        <w:rPr>
          <w:lang w:val="en-GB"/>
        </w:rPr>
        <w:t>d</w:t>
      </w:r>
      <w:r w:rsidR="00E01AF0" w:rsidRPr="00AF4300">
        <w:rPr>
          <w:lang w:val="en-GB"/>
        </w:rPr>
        <w:t xml:space="preserve"> that</w:t>
      </w:r>
      <w:r w:rsidR="00E01AF0" w:rsidRPr="007345D4">
        <w:rPr>
          <w:lang w:val="en-GB"/>
        </w:rPr>
        <w:t xml:space="preserve"> the authors’ father </w:t>
      </w:r>
      <w:r w:rsidR="00201D68">
        <w:rPr>
          <w:lang w:val="en-GB"/>
        </w:rPr>
        <w:t>did</w:t>
      </w:r>
      <w:r w:rsidR="00201D68" w:rsidRPr="007345D4">
        <w:rPr>
          <w:lang w:val="en-GB"/>
        </w:rPr>
        <w:t xml:space="preserve"> </w:t>
      </w:r>
      <w:r w:rsidR="00E01AF0" w:rsidRPr="007345D4">
        <w:rPr>
          <w:lang w:val="en-GB"/>
        </w:rPr>
        <w:t xml:space="preserve">not appear to have had an executive position with </w:t>
      </w:r>
      <w:r w:rsidR="00213875">
        <w:rPr>
          <w:lang w:val="en-GB"/>
        </w:rPr>
        <w:t>LTTE</w:t>
      </w:r>
      <w:r w:rsidR="001C3C6F">
        <w:rPr>
          <w:lang w:val="en-GB"/>
        </w:rPr>
        <w:t>,</w:t>
      </w:r>
      <w:r w:rsidR="00E01AF0" w:rsidRPr="007345D4">
        <w:rPr>
          <w:lang w:val="en-GB"/>
        </w:rPr>
        <w:t xml:space="preserve"> according to the authors’ own statements. </w:t>
      </w:r>
      <w:r w:rsidR="00E01AF0" w:rsidRPr="008B4BDA">
        <w:rPr>
          <w:lang w:val="en-GB"/>
        </w:rPr>
        <w:t xml:space="preserve">Moreover, their father’s involvement with </w:t>
      </w:r>
      <w:r w:rsidR="00213875">
        <w:rPr>
          <w:lang w:val="en-GB"/>
        </w:rPr>
        <w:t>LTTE</w:t>
      </w:r>
      <w:r w:rsidR="00E01AF0" w:rsidRPr="008B4BDA">
        <w:rPr>
          <w:lang w:val="en-GB"/>
        </w:rPr>
        <w:t xml:space="preserve"> </w:t>
      </w:r>
      <w:r w:rsidR="008B4BDA" w:rsidRPr="009B3BE6">
        <w:rPr>
          <w:lang w:val="en-GB"/>
        </w:rPr>
        <w:t>had occurred long ago</w:t>
      </w:r>
      <w:r w:rsidR="00E01AF0" w:rsidRPr="008B4BDA">
        <w:rPr>
          <w:lang w:val="en-GB"/>
        </w:rPr>
        <w:t xml:space="preserve">, and he </w:t>
      </w:r>
      <w:r w:rsidR="00201D68" w:rsidRPr="008B4BDA">
        <w:rPr>
          <w:lang w:val="en-GB"/>
        </w:rPr>
        <w:t xml:space="preserve">had been </w:t>
      </w:r>
      <w:r w:rsidR="00E01AF0" w:rsidRPr="008B4BDA">
        <w:rPr>
          <w:lang w:val="en-GB"/>
        </w:rPr>
        <w:t xml:space="preserve">able to </w:t>
      </w:r>
      <w:r w:rsidR="00E01AF0" w:rsidRPr="00EF16DE">
        <w:rPr>
          <w:lang w:val="en-GB"/>
        </w:rPr>
        <w:t>leave the organi</w:t>
      </w:r>
      <w:r w:rsidR="00201D68" w:rsidRPr="002C01FB">
        <w:rPr>
          <w:lang w:val="en-GB"/>
        </w:rPr>
        <w:t>z</w:t>
      </w:r>
      <w:r w:rsidR="00E01AF0" w:rsidRPr="002C01FB">
        <w:rPr>
          <w:lang w:val="en-GB"/>
        </w:rPr>
        <w:t xml:space="preserve">ation without experiencing any problem and to live in peace with his family for many years. Other </w:t>
      </w:r>
      <w:r w:rsidR="001C3C6F" w:rsidRPr="002C01FB">
        <w:rPr>
          <w:lang w:val="en-GB"/>
        </w:rPr>
        <w:t xml:space="preserve">available </w:t>
      </w:r>
      <w:r w:rsidR="00E01AF0" w:rsidRPr="002C01FB">
        <w:rPr>
          <w:lang w:val="en-GB"/>
        </w:rPr>
        <w:t>background material concerning Sri Lanka</w:t>
      </w:r>
      <w:r w:rsidR="00F854EE" w:rsidRPr="002C01FB">
        <w:rPr>
          <w:lang w:val="en-GB"/>
        </w:rPr>
        <w:t xml:space="preserve"> to which the authors had referred</w:t>
      </w:r>
      <w:r w:rsidR="00E01AF0" w:rsidRPr="002C01FB">
        <w:rPr>
          <w:lang w:val="en-GB"/>
        </w:rPr>
        <w:t>, including</w:t>
      </w:r>
      <w:r w:rsidR="00F854EE" w:rsidRPr="002C01FB">
        <w:rPr>
          <w:lang w:val="en-GB"/>
        </w:rPr>
        <w:t xml:space="preserve"> </w:t>
      </w:r>
      <w:r w:rsidR="001C3C6F">
        <w:rPr>
          <w:lang w:val="en-GB"/>
        </w:rPr>
        <w:t xml:space="preserve">reports from </w:t>
      </w:r>
      <w:r w:rsidR="00F854EE" w:rsidRPr="009B3BE6">
        <w:rPr>
          <w:lang w:val="en-GB"/>
        </w:rPr>
        <w:t xml:space="preserve">Freedom House </w:t>
      </w:r>
      <w:r w:rsidR="00E01AF0" w:rsidRPr="009B3BE6">
        <w:rPr>
          <w:lang w:val="en-GB"/>
        </w:rPr>
        <w:t xml:space="preserve">and </w:t>
      </w:r>
      <w:r w:rsidR="00F854EE" w:rsidRPr="009B3BE6">
        <w:rPr>
          <w:lang w:val="en-GB"/>
        </w:rPr>
        <w:t>Human Rights Watch</w:t>
      </w:r>
      <w:r w:rsidR="00E01AF0" w:rsidRPr="009B3BE6">
        <w:rPr>
          <w:lang w:val="en-GB"/>
        </w:rPr>
        <w:t>,</w:t>
      </w:r>
      <w:r w:rsidR="00AF4300" w:rsidRPr="009B3BE6">
        <w:rPr>
          <w:rStyle w:val="FootnoteReference"/>
          <w:lang w:val="en-GB"/>
        </w:rPr>
        <w:footnoteReference w:id="7"/>
      </w:r>
      <w:r w:rsidR="00E01AF0" w:rsidRPr="009B3BE6">
        <w:rPr>
          <w:lang w:val="en-GB"/>
        </w:rPr>
        <w:t xml:space="preserve"> </w:t>
      </w:r>
      <w:r w:rsidR="00201D68" w:rsidRPr="00EF16DE">
        <w:rPr>
          <w:lang w:val="en-GB"/>
        </w:rPr>
        <w:t xml:space="preserve">also did </w:t>
      </w:r>
      <w:r w:rsidR="00E01AF0" w:rsidRPr="009B3BE6">
        <w:rPr>
          <w:lang w:val="en-GB"/>
        </w:rPr>
        <w:t xml:space="preserve">not appear to contain information </w:t>
      </w:r>
      <w:r w:rsidR="00F854EE" w:rsidRPr="00EF16DE">
        <w:rPr>
          <w:lang w:val="en-GB"/>
        </w:rPr>
        <w:t>t</w:t>
      </w:r>
      <w:r w:rsidR="00F854EE" w:rsidRPr="002C01FB">
        <w:rPr>
          <w:lang w:val="en-GB"/>
        </w:rPr>
        <w:t xml:space="preserve">hat would support the assumption </w:t>
      </w:r>
      <w:r w:rsidR="00E01AF0" w:rsidRPr="009B3BE6">
        <w:rPr>
          <w:lang w:val="en-GB"/>
        </w:rPr>
        <w:t xml:space="preserve">that Tamils </w:t>
      </w:r>
      <w:r w:rsidR="00ED1152" w:rsidRPr="00EF16DE">
        <w:rPr>
          <w:lang w:val="en-GB"/>
        </w:rPr>
        <w:t>who were not high profile</w:t>
      </w:r>
      <w:r w:rsidR="00ED1152" w:rsidRPr="002C01FB">
        <w:rPr>
          <w:lang w:val="en-GB"/>
        </w:rPr>
        <w:t xml:space="preserve">, </w:t>
      </w:r>
      <w:r w:rsidR="00E01AF0" w:rsidRPr="009B3BE6">
        <w:rPr>
          <w:lang w:val="en-GB"/>
        </w:rPr>
        <w:t>like the authors</w:t>
      </w:r>
      <w:r w:rsidR="00ED1152" w:rsidRPr="00EF16DE">
        <w:rPr>
          <w:lang w:val="en-GB"/>
        </w:rPr>
        <w:t>,</w:t>
      </w:r>
      <w:r w:rsidR="00E01AF0" w:rsidRPr="009B3BE6">
        <w:rPr>
          <w:lang w:val="en-GB"/>
        </w:rPr>
        <w:t xml:space="preserve"> </w:t>
      </w:r>
      <w:r w:rsidR="00201D68" w:rsidRPr="00EF16DE">
        <w:rPr>
          <w:lang w:val="en-GB"/>
        </w:rPr>
        <w:t xml:space="preserve">would </w:t>
      </w:r>
      <w:r w:rsidR="00E01AF0" w:rsidRPr="009B3BE6">
        <w:rPr>
          <w:lang w:val="en-GB"/>
        </w:rPr>
        <w:t>be subjected to persecution or abuse upon their re-entry to Sri Lanka as failed asylum</w:t>
      </w:r>
      <w:r w:rsidR="00B2619A" w:rsidRPr="00EF16DE">
        <w:rPr>
          <w:lang w:val="en-GB"/>
        </w:rPr>
        <w:t xml:space="preserve"> </w:t>
      </w:r>
      <w:r w:rsidR="00E01AF0" w:rsidRPr="009B3BE6">
        <w:rPr>
          <w:lang w:val="en-GB"/>
        </w:rPr>
        <w:t>seekers.</w:t>
      </w:r>
    </w:p>
    <w:p w14:paraId="01B52171" w14:textId="77777777" w:rsidR="00E01AF0" w:rsidRPr="007345D4" w:rsidRDefault="00E01AF0" w:rsidP="008C04F0">
      <w:pPr>
        <w:pStyle w:val="SingleTxtG"/>
        <w:spacing w:line="240" w:lineRule="auto"/>
        <w:rPr>
          <w:lang w:val="en-GB"/>
        </w:rPr>
      </w:pPr>
      <w:r w:rsidRPr="002C01FB">
        <w:rPr>
          <w:lang w:val="en-GB"/>
        </w:rPr>
        <w:t>4.9</w:t>
      </w:r>
      <w:r w:rsidRPr="002C01FB">
        <w:rPr>
          <w:lang w:val="en-GB"/>
        </w:rPr>
        <w:tab/>
        <w:t>The State party point</w:t>
      </w:r>
      <w:r w:rsidR="00201D68" w:rsidRPr="002C01FB">
        <w:rPr>
          <w:lang w:val="en-GB"/>
        </w:rPr>
        <w:t>ed</w:t>
      </w:r>
      <w:r w:rsidRPr="002C01FB">
        <w:rPr>
          <w:lang w:val="en-GB"/>
        </w:rPr>
        <w:t xml:space="preserve"> out that on 27 February 2013 the Ministry of Justice </w:t>
      </w:r>
      <w:r w:rsidR="00201D68" w:rsidRPr="002C01FB">
        <w:rPr>
          <w:lang w:val="en-GB"/>
        </w:rPr>
        <w:t xml:space="preserve">had </w:t>
      </w:r>
      <w:r w:rsidRPr="002C01FB">
        <w:rPr>
          <w:lang w:val="en-GB"/>
        </w:rPr>
        <w:t>decided not to grant the authors residence permits under section 9c</w:t>
      </w:r>
      <w:r w:rsidR="00201D68" w:rsidRPr="002C01FB">
        <w:rPr>
          <w:lang w:val="en-GB"/>
        </w:rPr>
        <w:t> </w:t>
      </w:r>
      <w:r w:rsidRPr="002C01FB">
        <w:rPr>
          <w:lang w:val="en-GB"/>
        </w:rPr>
        <w:t>(3)</w:t>
      </w:r>
      <w:r w:rsidR="00201D68" w:rsidRPr="002C01FB">
        <w:rPr>
          <w:lang w:val="en-GB"/>
        </w:rPr>
        <w:t> </w:t>
      </w:r>
      <w:r w:rsidRPr="002C01FB">
        <w:rPr>
          <w:lang w:val="en-GB"/>
        </w:rPr>
        <w:t>(ii)</w:t>
      </w:r>
      <w:r w:rsidRPr="00201D68">
        <w:rPr>
          <w:lang w:val="en-GB"/>
        </w:rPr>
        <w:t xml:space="preserve"> of the Aliens Act. </w:t>
      </w:r>
      <w:r w:rsidRPr="00A45FB0">
        <w:rPr>
          <w:lang w:val="en-GB"/>
        </w:rPr>
        <w:t>It</w:t>
      </w:r>
      <w:r w:rsidRPr="00201D68">
        <w:rPr>
          <w:lang w:val="en-GB"/>
        </w:rPr>
        <w:t xml:space="preserve"> stated</w:t>
      </w:r>
      <w:r w:rsidR="00201D68" w:rsidRPr="00201D68">
        <w:rPr>
          <w:lang w:val="en-GB"/>
        </w:rPr>
        <w:t>,</w:t>
      </w:r>
      <w:r w:rsidRPr="00201D68">
        <w:rPr>
          <w:lang w:val="en-GB"/>
        </w:rPr>
        <w:t xml:space="preserve"> inter alia</w:t>
      </w:r>
      <w:r w:rsidR="00201D68" w:rsidRPr="009B3BE6">
        <w:rPr>
          <w:lang w:val="en-GB"/>
        </w:rPr>
        <w:t>,</w:t>
      </w:r>
      <w:r w:rsidRPr="00201D68">
        <w:rPr>
          <w:lang w:val="en-GB"/>
        </w:rPr>
        <w:t xml:space="preserve"> that there was </w:t>
      </w:r>
      <w:r w:rsidR="00201D68" w:rsidRPr="00201D68">
        <w:rPr>
          <w:lang w:val="en-GB"/>
        </w:rPr>
        <w:t xml:space="preserve">an </w:t>
      </w:r>
      <w:r w:rsidRPr="00201D68">
        <w:rPr>
          <w:lang w:val="en-GB"/>
        </w:rPr>
        <w:t>insufficient basis for assuming that the author’s family was not still liv</w:t>
      </w:r>
      <w:r w:rsidRPr="007345D4">
        <w:rPr>
          <w:lang w:val="en-GB"/>
        </w:rPr>
        <w:t>ing in Sri Lanka. Even if their parents and sister had died, the authors had a maternal uncle residing in Colombo</w:t>
      </w:r>
      <w:r w:rsidR="008C04F0">
        <w:rPr>
          <w:lang w:val="en-GB"/>
        </w:rPr>
        <w:t>,</w:t>
      </w:r>
      <w:r w:rsidRPr="007345D4">
        <w:rPr>
          <w:lang w:val="en-GB"/>
        </w:rPr>
        <w:t xml:space="preserve"> and he might constitute </w:t>
      </w:r>
      <w:r w:rsidR="00201D68">
        <w:rPr>
          <w:lang w:val="en-GB"/>
        </w:rPr>
        <w:t>a</w:t>
      </w:r>
      <w:r w:rsidRPr="007345D4">
        <w:rPr>
          <w:lang w:val="en-GB"/>
        </w:rPr>
        <w:t xml:space="preserve"> family network </w:t>
      </w:r>
      <w:r w:rsidR="00201D68">
        <w:rPr>
          <w:lang w:val="en-GB"/>
        </w:rPr>
        <w:t xml:space="preserve">such that </w:t>
      </w:r>
      <w:r w:rsidRPr="007345D4">
        <w:rPr>
          <w:lang w:val="en-GB"/>
        </w:rPr>
        <w:t xml:space="preserve">the authors </w:t>
      </w:r>
      <w:r w:rsidR="00201D68">
        <w:rPr>
          <w:lang w:val="en-GB"/>
        </w:rPr>
        <w:t xml:space="preserve">would </w:t>
      </w:r>
      <w:r w:rsidRPr="007345D4">
        <w:rPr>
          <w:lang w:val="en-GB"/>
        </w:rPr>
        <w:t xml:space="preserve">not be placed in an emergency situation upon return. </w:t>
      </w:r>
    </w:p>
    <w:p w14:paraId="1CD08DB2" w14:textId="77777777" w:rsidR="00E01AF0" w:rsidRPr="007345D4" w:rsidRDefault="00E01AF0">
      <w:pPr>
        <w:pStyle w:val="SingleTxtG"/>
        <w:spacing w:line="240" w:lineRule="auto"/>
        <w:rPr>
          <w:lang w:val="en-GB"/>
        </w:rPr>
      </w:pPr>
      <w:r w:rsidRPr="007345D4">
        <w:rPr>
          <w:lang w:val="en-GB"/>
        </w:rPr>
        <w:t>4.10</w:t>
      </w:r>
      <w:r w:rsidRPr="007345D4">
        <w:rPr>
          <w:lang w:val="en-GB"/>
        </w:rPr>
        <w:tab/>
        <w:t xml:space="preserve">As to the authors’ allegations that they </w:t>
      </w:r>
      <w:r w:rsidR="00201D68" w:rsidRPr="00BF7847">
        <w:rPr>
          <w:lang w:val="en-GB"/>
        </w:rPr>
        <w:t>were</w:t>
      </w:r>
      <w:r w:rsidRPr="00BF7847">
        <w:rPr>
          <w:lang w:val="en-GB"/>
        </w:rPr>
        <w:t xml:space="preserve"> vulnerable and need</w:t>
      </w:r>
      <w:r w:rsidR="00201D68" w:rsidRPr="00BF7847">
        <w:rPr>
          <w:lang w:val="en-GB"/>
        </w:rPr>
        <w:t>ed</w:t>
      </w:r>
      <w:r w:rsidRPr="00BF7847">
        <w:rPr>
          <w:lang w:val="en-GB"/>
        </w:rPr>
        <w:t xml:space="preserve"> support due to their age, </w:t>
      </w:r>
      <w:r w:rsidR="00E55E32">
        <w:rPr>
          <w:lang w:val="en-GB"/>
        </w:rPr>
        <w:t xml:space="preserve">level of </w:t>
      </w:r>
      <w:r w:rsidRPr="00BF7847">
        <w:rPr>
          <w:lang w:val="en-GB"/>
        </w:rPr>
        <w:t xml:space="preserve">maturity and health, the State party </w:t>
      </w:r>
      <w:r w:rsidR="00ED1152" w:rsidRPr="00BF7847">
        <w:rPr>
          <w:lang w:val="en-GB"/>
        </w:rPr>
        <w:t xml:space="preserve">noted </w:t>
      </w:r>
      <w:r w:rsidRPr="00BF7847">
        <w:rPr>
          <w:lang w:val="en-GB"/>
        </w:rPr>
        <w:t xml:space="preserve">the Immigration Service and </w:t>
      </w:r>
      <w:r w:rsidR="00201D68" w:rsidRPr="00BF7847">
        <w:rPr>
          <w:lang w:val="en-GB"/>
        </w:rPr>
        <w:t xml:space="preserve">Refugee Appeals Board </w:t>
      </w:r>
      <w:r w:rsidRPr="00BF7847">
        <w:rPr>
          <w:lang w:val="en-GB"/>
        </w:rPr>
        <w:t>conclusions that the</w:t>
      </w:r>
      <w:r w:rsidR="00E55E32">
        <w:rPr>
          <w:lang w:val="en-GB"/>
        </w:rPr>
        <w:t xml:space="preserve"> authors</w:t>
      </w:r>
      <w:r w:rsidRPr="00BF7847">
        <w:rPr>
          <w:lang w:val="en-GB"/>
        </w:rPr>
        <w:t xml:space="preserve"> were sufficiently</w:t>
      </w:r>
      <w:r w:rsidRPr="007345D4">
        <w:rPr>
          <w:lang w:val="en-GB"/>
        </w:rPr>
        <w:t xml:space="preserve"> mature to undergo asylum proceedings. Their situation as unaccompanied asylum-seeking minors </w:t>
      </w:r>
      <w:r w:rsidR="006015A2">
        <w:rPr>
          <w:lang w:val="en-GB"/>
        </w:rPr>
        <w:t xml:space="preserve">had been </w:t>
      </w:r>
      <w:r w:rsidRPr="007345D4">
        <w:rPr>
          <w:lang w:val="en-GB"/>
        </w:rPr>
        <w:t xml:space="preserve">duly taken into account by the authorities. After their asylum requests </w:t>
      </w:r>
      <w:r w:rsidR="00ED1152">
        <w:rPr>
          <w:lang w:val="en-GB"/>
        </w:rPr>
        <w:t xml:space="preserve">had been </w:t>
      </w:r>
      <w:r w:rsidRPr="007345D4">
        <w:rPr>
          <w:lang w:val="en-GB"/>
        </w:rPr>
        <w:t xml:space="preserve">denied by the </w:t>
      </w:r>
      <w:r w:rsidR="006015A2">
        <w:rPr>
          <w:lang w:val="en-GB"/>
        </w:rPr>
        <w:t>Refugees Appeals Board</w:t>
      </w:r>
      <w:r w:rsidRPr="007345D4">
        <w:rPr>
          <w:lang w:val="en-GB"/>
        </w:rPr>
        <w:t xml:space="preserve">, the Danish Immigration Service and the Ministry of justice </w:t>
      </w:r>
      <w:r w:rsidR="00ED1152">
        <w:rPr>
          <w:lang w:val="en-GB"/>
        </w:rPr>
        <w:t xml:space="preserve">had </w:t>
      </w:r>
      <w:r w:rsidRPr="007345D4">
        <w:rPr>
          <w:lang w:val="en-GB"/>
        </w:rPr>
        <w:t>assessed</w:t>
      </w:r>
      <w:r w:rsidRPr="00BC7713">
        <w:rPr>
          <w:iCs/>
          <w:lang w:val="en-GB"/>
        </w:rPr>
        <w:t xml:space="preserve"> ex officio whether the authors could be granted a residence permit under section 9c</w:t>
      </w:r>
      <w:r w:rsidR="006015A2">
        <w:rPr>
          <w:iCs/>
          <w:lang w:val="en-GB"/>
        </w:rPr>
        <w:t> </w:t>
      </w:r>
      <w:r w:rsidRPr="009B3BE6">
        <w:rPr>
          <w:iCs/>
          <w:lang w:val="en-GB"/>
        </w:rPr>
        <w:t>(3)</w:t>
      </w:r>
      <w:r w:rsidR="006015A2">
        <w:rPr>
          <w:iCs/>
          <w:lang w:val="en-GB"/>
        </w:rPr>
        <w:t> </w:t>
      </w:r>
      <w:r w:rsidRPr="009B3BE6">
        <w:rPr>
          <w:iCs/>
          <w:lang w:val="en-GB"/>
        </w:rPr>
        <w:t xml:space="preserve">(ii). </w:t>
      </w:r>
      <w:r w:rsidRPr="007345D4">
        <w:rPr>
          <w:szCs w:val="23"/>
          <w:lang w:val="en-GB"/>
        </w:rPr>
        <w:t xml:space="preserve">The </w:t>
      </w:r>
      <w:r w:rsidRPr="009B3BE6">
        <w:rPr>
          <w:lang w:val="en-GB"/>
        </w:rPr>
        <w:t xml:space="preserve">assessment of </w:t>
      </w:r>
      <w:r w:rsidR="006015A2">
        <w:rPr>
          <w:lang w:val="en-GB"/>
        </w:rPr>
        <w:t>an</w:t>
      </w:r>
      <w:r w:rsidR="006015A2" w:rsidRPr="009B3BE6">
        <w:rPr>
          <w:lang w:val="en-GB"/>
        </w:rPr>
        <w:t xml:space="preserve"> </w:t>
      </w:r>
      <w:r w:rsidRPr="009B3BE6">
        <w:rPr>
          <w:lang w:val="en-GB"/>
        </w:rPr>
        <w:t>asylum</w:t>
      </w:r>
      <w:r w:rsidR="00B2619A">
        <w:rPr>
          <w:lang w:val="en-GB"/>
        </w:rPr>
        <w:t xml:space="preserve"> </w:t>
      </w:r>
      <w:r w:rsidRPr="009B3BE6">
        <w:rPr>
          <w:lang w:val="en-GB"/>
        </w:rPr>
        <w:t xml:space="preserve">seeker’s procedural capacity is made on the basis of </w:t>
      </w:r>
      <w:r w:rsidR="001F15E0">
        <w:rPr>
          <w:lang w:val="en-GB"/>
        </w:rPr>
        <w:t xml:space="preserve">a </w:t>
      </w:r>
      <w:r w:rsidRPr="009B3BE6">
        <w:rPr>
          <w:lang w:val="en-GB"/>
        </w:rPr>
        <w:t xml:space="preserve">personal appearance and the ability to give relevant answers to the questions asked during </w:t>
      </w:r>
      <w:r w:rsidR="00C3335A">
        <w:rPr>
          <w:lang w:val="en-GB"/>
        </w:rPr>
        <w:t>a</w:t>
      </w:r>
      <w:r w:rsidRPr="009B3BE6">
        <w:rPr>
          <w:lang w:val="en-GB"/>
        </w:rPr>
        <w:t xml:space="preserve"> Board hearing. During the hearing of </w:t>
      </w:r>
      <w:r w:rsidR="00C3335A">
        <w:rPr>
          <w:lang w:val="en-GB"/>
        </w:rPr>
        <w:t>a</w:t>
      </w:r>
      <w:r w:rsidRPr="009B3BE6">
        <w:rPr>
          <w:lang w:val="en-GB"/>
        </w:rPr>
        <w:t xml:space="preserve"> case, the </w:t>
      </w:r>
      <w:r w:rsidR="006015A2">
        <w:rPr>
          <w:lang w:val="en-GB"/>
        </w:rPr>
        <w:t xml:space="preserve">Board </w:t>
      </w:r>
      <w:r w:rsidRPr="009B3BE6">
        <w:rPr>
          <w:lang w:val="en-GB"/>
        </w:rPr>
        <w:t>would take into special consideration the asylum</w:t>
      </w:r>
      <w:r w:rsidR="00B2619A">
        <w:rPr>
          <w:lang w:val="en-GB"/>
        </w:rPr>
        <w:t xml:space="preserve"> </w:t>
      </w:r>
      <w:r w:rsidRPr="009B3BE6">
        <w:rPr>
          <w:lang w:val="en-GB"/>
        </w:rPr>
        <w:t xml:space="preserve">seeker’s individual situation, including his </w:t>
      </w:r>
      <w:r w:rsidR="006015A2">
        <w:rPr>
          <w:lang w:val="en-GB"/>
        </w:rPr>
        <w:t xml:space="preserve">or her </w:t>
      </w:r>
      <w:r w:rsidRPr="009B3BE6">
        <w:rPr>
          <w:lang w:val="en-GB"/>
        </w:rPr>
        <w:t>age and health. The State party refer</w:t>
      </w:r>
      <w:r w:rsidR="00ED1152">
        <w:rPr>
          <w:lang w:val="en-GB"/>
        </w:rPr>
        <w:t>red</w:t>
      </w:r>
      <w:r w:rsidRPr="009B3BE6">
        <w:rPr>
          <w:lang w:val="en-GB"/>
        </w:rPr>
        <w:t xml:space="preserve"> to the UNHCR Handbook on Procedures and Criteria for Determining Refugee Status</w:t>
      </w:r>
      <w:r w:rsidRPr="009B3BE6">
        <w:rPr>
          <w:rStyle w:val="FootnoteReference"/>
          <w:sz w:val="20"/>
          <w:lang w:val="en-GB"/>
        </w:rPr>
        <w:footnoteReference w:id="8"/>
      </w:r>
      <w:r w:rsidRPr="009B3BE6">
        <w:rPr>
          <w:lang w:val="en-GB"/>
        </w:rPr>
        <w:t xml:space="preserve"> and point</w:t>
      </w:r>
      <w:r w:rsidR="00ED1152">
        <w:rPr>
          <w:lang w:val="en-GB"/>
        </w:rPr>
        <w:t>ed</w:t>
      </w:r>
      <w:r w:rsidRPr="009B3BE6">
        <w:rPr>
          <w:lang w:val="en-GB"/>
        </w:rPr>
        <w:t xml:space="preserve"> out that the B</w:t>
      </w:r>
      <w:r w:rsidR="006015A2">
        <w:rPr>
          <w:lang w:val="en-US"/>
        </w:rPr>
        <w:t>oard</w:t>
      </w:r>
      <w:r w:rsidRPr="009B3BE6">
        <w:rPr>
          <w:lang w:val="en-GB"/>
        </w:rPr>
        <w:t xml:space="preserve"> would, </w:t>
      </w:r>
      <w:r w:rsidR="001F15E0">
        <w:rPr>
          <w:lang w:val="en-GB"/>
        </w:rPr>
        <w:t>from the outset</w:t>
      </w:r>
      <w:r w:rsidRPr="009B3BE6">
        <w:rPr>
          <w:lang w:val="en-GB"/>
        </w:rPr>
        <w:t>, be less demanding when it came to the burden of proof in case</w:t>
      </w:r>
      <w:r w:rsidR="006015A2">
        <w:rPr>
          <w:lang w:val="en-GB"/>
        </w:rPr>
        <w:t>s</w:t>
      </w:r>
      <w:r w:rsidRPr="009B3BE6">
        <w:rPr>
          <w:lang w:val="en-GB"/>
        </w:rPr>
        <w:t xml:space="preserve"> </w:t>
      </w:r>
      <w:r w:rsidR="006015A2">
        <w:rPr>
          <w:lang w:val="en-GB"/>
        </w:rPr>
        <w:t>involving</w:t>
      </w:r>
      <w:r w:rsidRPr="009B3BE6">
        <w:rPr>
          <w:lang w:val="en-GB"/>
        </w:rPr>
        <w:t xml:space="preserve"> asylum</w:t>
      </w:r>
      <w:r w:rsidR="00B2619A">
        <w:rPr>
          <w:lang w:val="en-GB"/>
        </w:rPr>
        <w:t xml:space="preserve"> </w:t>
      </w:r>
      <w:r w:rsidRPr="009B3BE6">
        <w:rPr>
          <w:lang w:val="en-GB"/>
        </w:rPr>
        <w:t xml:space="preserve">seekers </w:t>
      </w:r>
      <w:r w:rsidR="006015A2">
        <w:rPr>
          <w:lang w:val="en-GB"/>
        </w:rPr>
        <w:t xml:space="preserve">who were minors or who had </w:t>
      </w:r>
      <w:r w:rsidRPr="009B3BE6">
        <w:rPr>
          <w:lang w:val="en-GB"/>
        </w:rPr>
        <w:t xml:space="preserve">a mental disorder or impairment. </w:t>
      </w:r>
    </w:p>
    <w:p w14:paraId="07D8AE80" w14:textId="77777777" w:rsidR="00E01AF0" w:rsidRPr="007345D4" w:rsidRDefault="00E01AF0" w:rsidP="00E01AF0">
      <w:pPr>
        <w:pStyle w:val="H23G"/>
        <w:spacing w:line="240" w:lineRule="auto"/>
      </w:pPr>
      <w:r w:rsidRPr="007345D4">
        <w:rPr>
          <w:color w:val="FF0000"/>
        </w:rPr>
        <w:tab/>
      </w:r>
      <w:r w:rsidRPr="007345D4">
        <w:tab/>
        <w:t>Authors’ comments on the State party’s observations</w:t>
      </w:r>
    </w:p>
    <w:p w14:paraId="1EAB1DE6" w14:textId="77777777" w:rsidR="00E01AF0" w:rsidRPr="007345D4" w:rsidRDefault="00E01AF0">
      <w:pPr>
        <w:pStyle w:val="SingleTxtG"/>
        <w:spacing w:line="240" w:lineRule="auto"/>
        <w:rPr>
          <w:lang w:val="en-GB"/>
        </w:rPr>
      </w:pPr>
      <w:r w:rsidRPr="007345D4">
        <w:rPr>
          <w:lang w:val="en-GB"/>
        </w:rPr>
        <w:t>5.1</w:t>
      </w:r>
      <w:r w:rsidRPr="007345D4">
        <w:rPr>
          <w:lang w:val="en-GB"/>
        </w:rPr>
        <w:tab/>
        <w:t>On 16 February 2014, the authors submitted their comments on the State party’s observations on admissibility and merits. They argue</w:t>
      </w:r>
      <w:r w:rsidR="00C3335A">
        <w:rPr>
          <w:lang w:val="en-GB"/>
        </w:rPr>
        <w:t>d</w:t>
      </w:r>
      <w:r w:rsidRPr="007345D4">
        <w:rPr>
          <w:lang w:val="en-GB"/>
        </w:rPr>
        <w:t xml:space="preserve"> that background material about the human rights situation in Sri Lanka published after 22 September 2010 should have been taken into account by the </w:t>
      </w:r>
      <w:r w:rsidR="00C3335A">
        <w:rPr>
          <w:lang w:val="en-GB"/>
        </w:rPr>
        <w:t xml:space="preserve">Refugee Appeals Board </w:t>
      </w:r>
      <w:r w:rsidRPr="007345D4">
        <w:rPr>
          <w:lang w:val="en-GB"/>
        </w:rPr>
        <w:t>when considering their request for reopening the asylum proceedings</w:t>
      </w:r>
      <w:r w:rsidR="00E55E32">
        <w:rPr>
          <w:lang w:val="en-GB"/>
        </w:rPr>
        <w:t>,</w:t>
      </w:r>
      <w:r w:rsidRPr="007345D4">
        <w:rPr>
          <w:lang w:val="en-GB"/>
        </w:rPr>
        <w:t xml:space="preserve"> and by the Ministry of Justice</w:t>
      </w:r>
      <w:r w:rsidR="00C3335A">
        <w:rPr>
          <w:lang w:val="en-GB"/>
        </w:rPr>
        <w:t xml:space="preserve"> in reaching its</w:t>
      </w:r>
      <w:r w:rsidRPr="007345D4">
        <w:rPr>
          <w:lang w:val="en-GB"/>
        </w:rPr>
        <w:t xml:space="preserve"> decision of 27 February 2013. </w:t>
      </w:r>
      <w:r w:rsidR="00ED1152">
        <w:rPr>
          <w:lang w:val="en-GB"/>
        </w:rPr>
        <w:t>According to t</w:t>
      </w:r>
      <w:r w:rsidRPr="007345D4">
        <w:rPr>
          <w:lang w:val="en-GB"/>
        </w:rPr>
        <w:t>h</w:t>
      </w:r>
      <w:r w:rsidR="00C3335A">
        <w:rPr>
          <w:lang w:val="en-GB"/>
        </w:rPr>
        <w:t>at</w:t>
      </w:r>
      <w:r w:rsidRPr="007345D4">
        <w:rPr>
          <w:lang w:val="en-GB"/>
        </w:rPr>
        <w:t xml:space="preserve"> </w:t>
      </w:r>
      <w:r w:rsidR="00C3335A">
        <w:rPr>
          <w:lang w:val="en-GB"/>
        </w:rPr>
        <w:t xml:space="preserve">background </w:t>
      </w:r>
      <w:r w:rsidRPr="007345D4">
        <w:rPr>
          <w:lang w:val="en-GB"/>
        </w:rPr>
        <w:t>material</w:t>
      </w:r>
      <w:r w:rsidR="00ED1152">
        <w:rPr>
          <w:lang w:val="en-GB"/>
        </w:rPr>
        <w:t>,</w:t>
      </w:r>
      <w:r w:rsidRPr="007345D4">
        <w:rPr>
          <w:lang w:val="en-GB"/>
        </w:rPr>
        <w:t xml:space="preserve"> Tamils were exposed to massive abuse and arbitrary detention in Sri Lanka</w:t>
      </w:r>
      <w:r w:rsidR="00C3335A">
        <w:rPr>
          <w:lang w:val="en-GB"/>
        </w:rPr>
        <w:t>,</w:t>
      </w:r>
      <w:r w:rsidRPr="007345D4">
        <w:rPr>
          <w:lang w:val="en-GB"/>
        </w:rPr>
        <w:t xml:space="preserve"> </w:t>
      </w:r>
      <w:r w:rsidR="00ED1152">
        <w:rPr>
          <w:lang w:val="en-GB"/>
        </w:rPr>
        <w:t xml:space="preserve">providing </w:t>
      </w:r>
      <w:r w:rsidR="00E15E54">
        <w:rPr>
          <w:lang w:val="en-GB"/>
        </w:rPr>
        <w:t xml:space="preserve">sufficient </w:t>
      </w:r>
      <w:r w:rsidRPr="007345D4">
        <w:rPr>
          <w:lang w:val="en-GB"/>
        </w:rPr>
        <w:t xml:space="preserve">ground </w:t>
      </w:r>
      <w:r w:rsidR="00E15E54">
        <w:rPr>
          <w:lang w:val="en-GB"/>
        </w:rPr>
        <w:t xml:space="preserve">for reopening </w:t>
      </w:r>
      <w:r w:rsidRPr="007345D4">
        <w:rPr>
          <w:lang w:val="en-GB"/>
        </w:rPr>
        <w:t>their asylum proceedings</w:t>
      </w:r>
      <w:r w:rsidR="00AD0CCA" w:rsidRPr="007345D4">
        <w:rPr>
          <w:lang w:val="en-GB"/>
        </w:rPr>
        <w:t>.</w:t>
      </w:r>
      <w:r w:rsidRPr="007345D4">
        <w:rPr>
          <w:rStyle w:val="FootnoteReference"/>
          <w:lang w:val="en-GB"/>
        </w:rPr>
        <w:footnoteReference w:id="9"/>
      </w:r>
      <w:r w:rsidRPr="007345D4">
        <w:rPr>
          <w:lang w:val="en-GB"/>
        </w:rPr>
        <w:t xml:space="preserve"> In the view</w:t>
      </w:r>
      <w:r w:rsidR="00ED1152">
        <w:rPr>
          <w:lang w:val="en-GB"/>
        </w:rPr>
        <w:t xml:space="preserve"> of the authors</w:t>
      </w:r>
      <w:r w:rsidRPr="007345D4">
        <w:rPr>
          <w:lang w:val="en-GB"/>
        </w:rPr>
        <w:t xml:space="preserve">, all Tamils </w:t>
      </w:r>
      <w:r w:rsidR="00C3335A">
        <w:rPr>
          <w:lang w:val="en-GB"/>
        </w:rPr>
        <w:t>were</w:t>
      </w:r>
      <w:r w:rsidRPr="007345D4">
        <w:rPr>
          <w:lang w:val="en-GB"/>
        </w:rPr>
        <w:t xml:space="preserve"> at risk in Sri Lanka.</w:t>
      </w:r>
    </w:p>
    <w:p w14:paraId="25A6B947" w14:textId="77777777" w:rsidR="00E01AF0" w:rsidRPr="007345D4" w:rsidRDefault="00AD0CCA" w:rsidP="00E55E32">
      <w:pPr>
        <w:pStyle w:val="SingleTxtG"/>
        <w:spacing w:line="240" w:lineRule="auto"/>
        <w:rPr>
          <w:lang w:val="en-GB"/>
        </w:rPr>
      </w:pPr>
      <w:r w:rsidRPr="007345D4">
        <w:rPr>
          <w:lang w:val="en-GB"/>
        </w:rPr>
        <w:t>5.2</w:t>
      </w:r>
      <w:r w:rsidR="00E01AF0" w:rsidRPr="007345D4">
        <w:rPr>
          <w:lang w:val="en-GB"/>
        </w:rPr>
        <w:tab/>
        <w:t>The authors submit</w:t>
      </w:r>
      <w:r w:rsidR="00E15E54">
        <w:rPr>
          <w:lang w:val="en-GB"/>
        </w:rPr>
        <w:t>ted</w:t>
      </w:r>
      <w:r w:rsidR="00E01AF0" w:rsidRPr="007345D4">
        <w:rPr>
          <w:lang w:val="en-GB"/>
        </w:rPr>
        <w:t xml:space="preserve"> that the 2012 UNHCR </w:t>
      </w:r>
      <w:r w:rsidR="00E01AF0" w:rsidRPr="009B3BE6">
        <w:rPr>
          <w:iCs/>
          <w:lang w:val="en-GB"/>
        </w:rPr>
        <w:t xml:space="preserve">Eligibility Guidelines for </w:t>
      </w:r>
      <w:r w:rsidR="00ED1152">
        <w:rPr>
          <w:iCs/>
          <w:lang w:val="en-GB"/>
        </w:rPr>
        <w:t>A</w:t>
      </w:r>
      <w:r w:rsidR="00E01AF0" w:rsidRPr="009B3BE6">
        <w:rPr>
          <w:iCs/>
          <w:lang w:val="en-GB"/>
        </w:rPr>
        <w:t>ssessing the International Protection Needs of Asylum Seekers from Sri Lanka</w:t>
      </w:r>
      <w:r w:rsidR="00E01AF0" w:rsidRPr="007345D4">
        <w:rPr>
          <w:lang w:val="en-GB"/>
        </w:rPr>
        <w:t xml:space="preserve"> </w:t>
      </w:r>
      <w:r w:rsidR="00E55E32">
        <w:rPr>
          <w:lang w:val="en-GB"/>
        </w:rPr>
        <w:t xml:space="preserve">indicated </w:t>
      </w:r>
      <w:r w:rsidR="00E01AF0" w:rsidRPr="007345D4">
        <w:rPr>
          <w:lang w:val="en-GB"/>
        </w:rPr>
        <w:t xml:space="preserve">that Tamils with family ties to former LTTE supporters </w:t>
      </w:r>
      <w:r w:rsidR="00E15E54">
        <w:rPr>
          <w:lang w:val="en-GB"/>
        </w:rPr>
        <w:t>were</w:t>
      </w:r>
      <w:r w:rsidR="00E01AF0" w:rsidRPr="007345D4">
        <w:rPr>
          <w:lang w:val="en-GB"/>
        </w:rPr>
        <w:t xml:space="preserve"> exposed to treatment which </w:t>
      </w:r>
      <w:r w:rsidR="00E15E54">
        <w:rPr>
          <w:lang w:val="en-GB"/>
        </w:rPr>
        <w:t>might</w:t>
      </w:r>
      <w:r w:rsidR="00E01AF0" w:rsidRPr="007345D4">
        <w:rPr>
          <w:lang w:val="en-GB"/>
        </w:rPr>
        <w:t xml:space="preserve"> give rise to a need </w:t>
      </w:r>
      <w:r w:rsidR="00E15E54">
        <w:rPr>
          <w:lang w:val="en-GB"/>
        </w:rPr>
        <w:t>for</w:t>
      </w:r>
      <w:r w:rsidR="00E01AF0" w:rsidRPr="007345D4">
        <w:rPr>
          <w:lang w:val="en-GB"/>
        </w:rPr>
        <w:t xml:space="preserve"> international protection.</w:t>
      </w:r>
    </w:p>
    <w:p w14:paraId="081E9F87" w14:textId="77777777" w:rsidR="00E01AF0" w:rsidRPr="007345D4" w:rsidRDefault="00AD0CCA">
      <w:pPr>
        <w:pStyle w:val="SingleTxtG"/>
        <w:spacing w:line="240" w:lineRule="auto"/>
        <w:rPr>
          <w:lang w:val="en-GB"/>
        </w:rPr>
      </w:pPr>
      <w:r w:rsidRPr="007345D4">
        <w:rPr>
          <w:lang w:val="en-GB"/>
        </w:rPr>
        <w:t>5.3</w:t>
      </w:r>
      <w:r w:rsidR="00E01AF0" w:rsidRPr="007345D4">
        <w:rPr>
          <w:lang w:val="en-GB"/>
        </w:rPr>
        <w:tab/>
        <w:t xml:space="preserve">The </w:t>
      </w:r>
      <w:r w:rsidR="00ED1152">
        <w:rPr>
          <w:lang w:val="en-GB"/>
        </w:rPr>
        <w:t xml:space="preserve">authors submitted that the </w:t>
      </w:r>
      <w:r w:rsidR="00E01AF0" w:rsidRPr="007345D4">
        <w:rPr>
          <w:lang w:val="en-GB"/>
        </w:rPr>
        <w:t xml:space="preserve">burden of proof should be </w:t>
      </w:r>
      <w:r w:rsidR="00646855">
        <w:rPr>
          <w:lang w:val="en-GB"/>
        </w:rPr>
        <w:t>lower</w:t>
      </w:r>
      <w:r w:rsidR="00E01AF0" w:rsidRPr="007345D4">
        <w:rPr>
          <w:lang w:val="en-GB"/>
        </w:rPr>
        <w:t xml:space="preserve"> when it </w:t>
      </w:r>
      <w:r w:rsidR="00E15E54">
        <w:rPr>
          <w:lang w:val="en-GB"/>
        </w:rPr>
        <w:t xml:space="preserve">came </w:t>
      </w:r>
      <w:r w:rsidR="00E01AF0" w:rsidRPr="007345D4">
        <w:rPr>
          <w:lang w:val="en-GB"/>
        </w:rPr>
        <w:t>to minor asylum seekers</w:t>
      </w:r>
      <w:r w:rsidR="00ED1152">
        <w:rPr>
          <w:lang w:val="en-GB"/>
        </w:rPr>
        <w:t>, and</w:t>
      </w:r>
      <w:r w:rsidR="00E01AF0" w:rsidRPr="007345D4">
        <w:rPr>
          <w:lang w:val="en-GB"/>
        </w:rPr>
        <w:t xml:space="preserve"> health problems or other vulnerabilities should also be considered. In their case, psychological examinations carried out by the Danish Red Cross </w:t>
      </w:r>
      <w:r w:rsidR="00ED1152">
        <w:rPr>
          <w:lang w:val="en-GB"/>
        </w:rPr>
        <w:t xml:space="preserve">had </w:t>
      </w:r>
      <w:r w:rsidR="00E01AF0" w:rsidRPr="007345D4">
        <w:rPr>
          <w:lang w:val="en-GB"/>
        </w:rPr>
        <w:t>indicate</w:t>
      </w:r>
      <w:r w:rsidR="00E15E54">
        <w:rPr>
          <w:lang w:val="en-GB"/>
        </w:rPr>
        <w:t>d</w:t>
      </w:r>
      <w:r w:rsidR="00E01AF0" w:rsidRPr="007345D4">
        <w:rPr>
          <w:lang w:val="en-GB"/>
        </w:rPr>
        <w:t xml:space="preserve"> that the authors ha</w:t>
      </w:r>
      <w:r w:rsidR="00E15E54">
        <w:rPr>
          <w:lang w:val="en-GB"/>
        </w:rPr>
        <w:t>d</w:t>
      </w:r>
      <w:r w:rsidR="00E01AF0" w:rsidRPr="007345D4">
        <w:rPr>
          <w:lang w:val="en-GB"/>
        </w:rPr>
        <w:t xml:space="preserve"> limited cognitive skills, suffer</w:t>
      </w:r>
      <w:r w:rsidR="00E15E54">
        <w:rPr>
          <w:lang w:val="en-GB"/>
        </w:rPr>
        <w:t>ed</w:t>
      </w:r>
      <w:r w:rsidR="00E01AF0" w:rsidRPr="007345D4">
        <w:rPr>
          <w:lang w:val="en-GB"/>
        </w:rPr>
        <w:t xml:space="preserve"> from anxiety and need</w:t>
      </w:r>
      <w:r w:rsidR="00E15E54">
        <w:rPr>
          <w:lang w:val="en-GB"/>
        </w:rPr>
        <w:t>ed</w:t>
      </w:r>
      <w:r w:rsidR="00E01AF0" w:rsidRPr="007345D4">
        <w:rPr>
          <w:lang w:val="en-GB"/>
        </w:rPr>
        <w:t xml:space="preserve"> special support.</w:t>
      </w:r>
      <w:r w:rsidR="00E01AF0" w:rsidRPr="007345D4">
        <w:rPr>
          <w:rStyle w:val="FootnoteReference"/>
          <w:lang w:val="en-GB"/>
        </w:rPr>
        <w:footnoteReference w:id="10"/>
      </w:r>
      <w:r w:rsidR="00E01AF0" w:rsidRPr="007345D4">
        <w:rPr>
          <w:lang w:val="en-GB"/>
        </w:rPr>
        <w:t xml:space="preserve"> However, the authorities ha</w:t>
      </w:r>
      <w:r w:rsidR="00E15E54">
        <w:rPr>
          <w:lang w:val="en-GB"/>
        </w:rPr>
        <w:t>d</w:t>
      </w:r>
      <w:r w:rsidR="00E01AF0" w:rsidRPr="007345D4">
        <w:rPr>
          <w:lang w:val="en-GB"/>
        </w:rPr>
        <w:t xml:space="preserve"> failed to give any special consideration to th</w:t>
      </w:r>
      <w:r w:rsidR="00E15E54">
        <w:rPr>
          <w:lang w:val="en-GB"/>
        </w:rPr>
        <w:t>at</w:t>
      </w:r>
      <w:r w:rsidR="00ED1152">
        <w:rPr>
          <w:lang w:val="en-GB"/>
        </w:rPr>
        <w:t xml:space="preserve"> information</w:t>
      </w:r>
      <w:r w:rsidR="00E01AF0" w:rsidRPr="007345D4">
        <w:rPr>
          <w:lang w:val="en-GB"/>
        </w:rPr>
        <w:t>. The Ministry of Justice ha</w:t>
      </w:r>
      <w:r w:rsidR="00E15E54">
        <w:rPr>
          <w:lang w:val="en-GB"/>
        </w:rPr>
        <w:t>d</w:t>
      </w:r>
      <w:r w:rsidR="00E01AF0" w:rsidRPr="007345D4">
        <w:rPr>
          <w:lang w:val="en-GB"/>
        </w:rPr>
        <w:t xml:space="preserve"> assumed that their mother and sister </w:t>
      </w:r>
      <w:r w:rsidR="00E15E54">
        <w:rPr>
          <w:lang w:val="en-GB"/>
        </w:rPr>
        <w:t>were</w:t>
      </w:r>
      <w:r w:rsidR="00E01AF0" w:rsidRPr="007345D4">
        <w:rPr>
          <w:lang w:val="en-GB"/>
        </w:rPr>
        <w:t xml:space="preserve"> still alive, in spite of the fact that 40,000 persons </w:t>
      </w:r>
      <w:r w:rsidR="00E15E54">
        <w:rPr>
          <w:lang w:val="en-GB"/>
        </w:rPr>
        <w:t xml:space="preserve">had been </w:t>
      </w:r>
      <w:r w:rsidR="00E01AF0" w:rsidRPr="007345D4">
        <w:rPr>
          <w:lang w:val="en-GB"/>
        </w:rPr>
        <w:t xml:space="preserve">killed at the time and place they were last seen and that the authors </w:t>
      </w:r>
      <w:r w:rsidR="00290942">
        <w:rPr>
          <w:lang w:val="en-GB"/>
        </w:rPr>
        <w:t>had heard nothing about</w:t>
      </w:r>
      <w:r w:rsidR="00E01AF0" w:rsidRPr="007345D4">
        <w:rPr>
          <w:lang w:val="en-GB"/>
        </w:rPr>
        <w:t xml:space="preserve"> them since. As to their uncle, they d</w:t>
      </w:r>
      <w:r w:rsidR="00E15E54">
        <w:rPr>
          <w:lang w:val="en-GB"/>
        </w:rPr>
        <w:t>id</w:t>
      </w:r>
      <w:r w:rsidR="00E01AF0" w:rsidRPr="007345D4">
        <w:rPr>
          <w:lang w:val="en-GB"/>
        </w:rPr>
        <w:t xml:space="preserve"> not know if he still live</w:t>
      </w:r>
      <w:r w:rsidR="00E15E54">
        <w:rPr>
          <w:lang w:val="en-GB"/>
        </w:rPr>
        <w:t>d</w:t>
      </w:r>
      <w:r w:rsidR="00E01AF0" w:rsidRPr="007345D4">
        <w:rPr>
          <w:lang w:val="en-GB"/>
        </w:rPr>
        <w:t xml:space="preserve"> in Colombo</w:t>
      </w:r>
      <w:r w:rsidR="00E15E54">
        <w:rPr>
          <w:lang w:val="en-GB"/>
        </w:rPr>
        <w:t>,</w:t>
      </w:r>
      <w:r w:rsidR="00E01AF0" w:rsidRPr="007345D4">
        <w:rPr>
          <w:lang w:val="en-GB"/>
        </w:rPr>
        <w:t xml:space="preserve"> and </w:t>
      </w:r>
      <w:r w:rsidR="00E15E54">
        <w:rPr>
          <w:lang w:val="en-GB"/>
        </w:rPr>
        <w:t xml:space="preserve">had </w:t>
      </w:r>
      <w:r w:rsidR="00E01AF0" w:rsidRPr="007345D4">
        <w:rPr>
          <w:lang w:val="en-GB"/>
        </w:rPr>
        <w:t xml:space="preserve">had no contact with him or any other relative in the </w:t>
      </w:r>
      <w:r w:rsidR="00ED1152">
        <w:rPr>
          <w:lang w:val="en-GB"/>
        </w:rPr>
        <w:t xml:space="preserve">previous </w:t>
      </w:r>
      <w:r w:rsidR="00E15E54">
        <w:rPr>
          <w:lang w:val="en-GB"/>
        </w:rPr>
        <w:t xml:space="preserve">five </w:t>
      </w:r>
      <w:r w:rsidR="00E01AF0" w:rsidRPr="007345D4">
        <w:rPr>
          <w:lang w:val="en-GB"/>
        </w:rPr>
        <w:t>years. Moreover, the authors claim</w:t>
      </w:r>
      <w:r w:rsidR="00E15E54">
        <w:rPr>
          <w:lang w:val="en-GB"/>
        </w:rPr>
        <w:t>ed</w:t>
      </w:r>
      <w:r w:rsidR="00E01AF0" w:rsidRPr="007345D4">
        <w:rPr>
          <w:lang w:val="en-GB"/>
        </w:rPr>
        <w:t xml:space="preserve"> that their uncle </w:t>
      </w:r>
      <w:r w:rsidR="00E15E54">
        <w:rPr>
          <w:lang w:val="en-GB"/>
        </w:rPr>
        <w:t xml:space="preserve">had </w:t>
      </w:r>
      <w:r w:rsidR="00E01AF0" w:rsidRPr="007345D4">
        <w:rPr>
          <w:lang w:val="en-GB"/>
        </w:rPr>
        <w:t xml:space="preserve">told them that he did not want to take care of them because he was hiding his Tamil origin. </w:t>
      </w:r>
    </w:p>
    <w:p w14:paraId="19DAC381" w14:textId="77777777" w:rsidR="00E01AF0" w:rsidRPr="007345D4" w:rsidRDefault="00AD0CCA" w:rsidP="00E55E32">
      <w:pPr>
        <w:pStyle w:val="SingleTxtG"/>
        <w:spacing w:line="240" w:lineRule="auto"/>
        <w:rPr>
          <w:lang w:val="en-GB"/>
        </w:rPr>
      </w:pPr>
      <w:r w:rsidRPr="007345D4">
        <w:rPr>
          <w:lang w:val="en-GB"/>
        </w:rPr>
        <w:t>5.4</w:t>
      </w:r>
      <w:r w:rsidR="00E01AF0" w:rsidRPr="007345D4">
        <w:rPr>
          <w:lang w:val="en-GB"/>
        </w:rPr>
        <w:tab/>
        <w:t>The authors submit</w:t>
      </w:r>
      <w:r w:rsidR="00E15E54">
        <w:rPr>
          <w:lang w:val="en-GB"/>
        </w:rPr>
        <w:t>ted</w:t>
      </w:r>
      <w:r w:rsidR="00E01AF0" w:rsidRPr="007345D4">
        <w:rPr>
          <w:lang w:val="en-GB"/>
        </w:rPr>
        <w:t xml:space="preserve"> that the State party’s observations concerning their accounts </w:t>
      </w:r>
      <w:r w:rsidR="00E15E54">
        <w:rPr>
          <w:lang w:val="en-GB"/>
        </w:rPr>
        <w:t>were</w:t>
      </w:r>
      <w:r w:rsidR="00E01AF0" w:rsidRPr="007345D4">
        <w:rPr>
          <w:lang w:val="en-GB"/>
        </w:rPr>
        <w:t xml:space="preserve"> not accurate. They highlight</w:t>
      </w:r>
      <w:r w:rsidR="00E15E54">
        <w:rPr>
          <w:lang w:val="en-GB"/>
        </w:rPr>
        <w:t>ed</w:t>
      </w:r>
      <w:r w:rsidR="00E01AF0" w:rsidRPr="007345D4">
        <w:rPr>
          <w:lang w:val="en-GB"/>
        </w:rPr>
        <w:t xml:space="preserve"> that</w:t>
      </w:r>
      <w:r w:rsidR="00E15E54">
        <w:rPr>
          <w:lang w:val="en-GB"/>
        </w:rPr>
        <w:t>,</w:t>
      </w:r>
      <w:r w:rsidR="00E01AF0" w:rsidRPr="007345D4">
        <w:rPr>
          <w:lang w:val="en-GB"/>
        </w:rPr>
        <w:t xml:space="preserve"> in the</w:t>
      </w:r>
      <w:r w:rsidR="00ED1152">
        <w:rPr>
          <w:lang w:val="en-GB"/>
        </w:rPr>
        <w:t>ir</w:t>
      </w:r>
      <w:r w:rsidR="00E01AF0" w:rsidRPr="007345D4">
        <w:rPr>
          <w:lang w:val="en-GB"/>
        </w:rPr>
        <w:t xml:space="preserve"> interviews with the Danish authorities </w:t>
      </w:r>
      <w:r w:rsidR="00E15E54">
        <w:rPr>
          <w:lang w:val="en-GB"/>
        </w:rPr>
        <w:t xml:space="preserve">as part of </w:t>
      </w:r>
      <w:r w:rsidR="00E01AF0" w:rsidRPr="007345D4">
        <w:rPr>
          <w:lang w:val="en-GB"/>
        </w:rPr>
        <w:t xml:space="preserve">the asylum proceedings, they </w:t>
      </w:r>
      <w:r w:rsidR="00E15E54">
        <w:rPr>
          <w:lang w:val="en-GB"/>
        </w:rPr>
        <w:t xml:space="preserve">had </w:t>
      </w:r>
      <w:r w:rsidR="00E01AF0" w:rsidRPr="007345D4">
        <w:rPr>
          <w:lang w:val="en-GB"/>
        </w:rPr>
        <w:t xml:space="preserve">mentioned that they </w:t>
      </w:r>
      <w:r w:rsidR="00E15E54">
        <w:rPr>
          <w:lang w:val="en-GB"/>
        </w:rPr>
        <w:t xml:space="preserve">had </w:t>
      </w:r>
      <w:r w:rsidR="00E01AF0" w:rsidRPr="007345D4">
        <w:rPr>
          <w:lang w:val="en-GB"/>
        </w:rPr>
        <w:t xml:space="preserve">left the Ramanathan camp secretly and because their uncle </w:t>
      </w:r>
      <w:r w:rsidR="00E15E54">
        <w:rPr>
          <w:lang w:val="en-GB"/>
        </w:rPr>
        <w:t xml:space="preserve">had </w:t>
      </w:r>
      <w:r w:rsidR="00E01AF0" w:rsidRPr="007345D4">
        <w:rPr>
          <w:lang w:val="en-GB"/>
        </w:rPr>
        <w:t xml:space="preserve">paid a bribe to some of the staff. The military staff </w:t>
      </w:r>
      <w:r w:rsidR="00E15E54">
        <w:rPr>
          <w:lang w:val="en-GB"/>
        </w:rPr>
        <w:t xml:space="preserve">had </w:t>
      </w:r>
      <w:r w:rsidR="00E01AF0" w:rsidRPr="007345D4">
        <w:rPr>
          <w:lang w:val="en-GB"/>
        </w:rPr>
        <w:t xml:space="preserve">accused </w:t>
      </w:r>
      <w:r w:rsidR="00E55E32">
        <w:rPr>
          <w:lang w:val="en-GB"/>
        </w:rPr>
        <w:t>the authors</w:t>
      </w:r>
      <w:r w:rsidR="00E55E32" w:rsidRPr="007345D4">
        <w:rPr>
          <w:lang w:val="en-GB"/>
        </w:rPr>
        <w:t xml:space="preserve"> </w:t>
      </w:r>
      <w:r w:rsidR="00E01AF0" w:rsidRPr="007345D4">
        <w:rPr>
          <w:lang w:val="en-GB"/>
        </w:rPr>
        <w:t xml:space="preserve">of having fought for </w:t>
      </w:r>
      <w:r w:rsidR="00213875">
        <w:rPr>
          <w:lang w:val="en-GB"/>
        </w:rPr>
        <w:t>LTTE</w:t>
      </w:r>
      <w:r w:rsidR="00E01AF0" w:rsidRPr="007345D4">
        <w:rPr>
          <w:lang w:val="en-GB"/>
        </w:rPr>
        <w:t>, interrogated them about their father and hit one of them.</w:t>
      </w:r>
      <w:r w:rsidR="0086305A" w:rsidRPr="007345D4">
        <w:rPr>
          <w:lang w:val="en-GB"/>
        </w:rPr>
        <w:t xml:space="preserve"> </w:t>
      </w:r>
    </w:p>
    <w:p w14:paraId="788AEDF2" w14:textId="77777777" w:rsidR="00E01AF0" w:rsidRPr="007345D4" w:rsidRDefault="00AD0CCA">
      <w:pPr>
        <w:pStyle w:val="SingleTxtG"/>
        <w:spacing w:line="240" w:lineRule="auto"/>
        <w:rPr>
          <w:lang w:val="en-GB"/>
        </w:rPr>
      </w:pPr>
      <w:r w:rsidRPr="007345D4">
        <w:rPr>
          <w:lang w:val="en-GB"/>
        </w:rPr>
        <w:t>5.5</w:t>
      </w:r>
      <w:r w:rsidR="00E01AF0" w:rsidRPr="007345D4">
        <w:rPr>
          <w:lang w:val="en-GB"/>
        </w:rPr>
        <w:tab/>
        <w:t>The authors reiterate</w:t>
      </w:r>
      <w:r w:rsidR="00E15E54">
        <w:rPr>
          <w:lang w:val="en-GB"/>
        </w:rPr>
        <w:t>d</w:t>
      </w:r>
      <w:r w:rsidR="00E01AF0" w:rsidRPr="007345D4">
        <w:rPr>
          <w:lang w:val="en-GB"/>
        </w:rPr>
        <w:t xml:space="preserve"> that the authorities </w:t>
      </w:r>
      <w:r w:rsidR="00E15E54">
        <w:rPr>
          <w:lang w:val="en-GB"/>
        </w:rPr>
        <w:t xml:space="preserve">had </w:t>
      </w:r>
      <w:r w:rsidR="00E01AF0" w:rsidRPr="007345D4">
        <w:rPr>
          <w:lang w:val="en-GB"/>
        </w:rPr>
        <w:t xml:space="preserve">failed to give due consideration to relevant information, such as the fact that they </w:t>
      </w:r>
      <w:r w:rsidR="00E15E54">
        <w:rPr>
          <w:lang w:val="en-GB"/>
        </w:rPr>
        <w:t>were</w:t>
      </w:r>
      <w:r w:rsidR="00E01AF0" w:rsidRPr="007345D4">
        <w:rPr>
          <w:lang w:val="en-GB"/>
        </w:rPr>
        <w:t xml:space="preserve"> Tamils, </w:t>
      </w:r>
      <w:r w:rsidR="00E15E54">
        <w:rPr>
          <w:lang w:val="en-GB"/>
        </w:rPr>
        <w:t>had been</w:t>
      </w:r>
      <w:r w:rsidR="00E01AF0" w:rsidRPr="007345D4">
        <w:rPr>
          <w:lang w:val="en-GB"/>
        </w:rPr>
        <w:t xml:space="preserve"> taken to a military camp from wh</w:t>
      </w:r>
      <w:r w:rsidR="00E15E54">
        <w:rPr>
          <w:lang w:val="en-GB"/>
        </w:rPr>
        <w:t>ich</w:t>
      </w:r>
      <w:r w:rsidR="00E01AF0" w:rsidRPr="007345D4">
        <w:rPr>
          <w:lang w:val="en-GB"/>
        </w:rPr>
        <w:t xml:space="preserve"> they </w:t>
      </w:r>
      <w:r w:rsidR="00E15E54">
        <w:rPr>
          <w:lang w:val="en-GB"/>
        </w:rPr>
        <w:t xml:space="preserve">had </w:t>
      </w:r>
      <w:r w:rsidR="00E01AF0" w:rsidRPr="007345D4">
        <w:rPr>
          <w:lang w:val="en-GB"/>
        </w:rPr>
        <w:t xml:space="preserve">escaped by paying a bribe, </w:t>
      </w:r>
      <w:r w:rsidR="00E15E54">
        <w:rPr>
          <w:lang w:val="en-GB"/>
        </w:rPr>
        <w:t xml:space="preserve">had </w:t>
      </w:r>
      <w:r w:rsidR="00E01AF0" w:rsidRPr="007345D4">
        <w:rPr>
          <w:lang w:val="en-GB"/>
        </w:rPr>
        <w:t xml:space="preserve">left the country illegally, </w:t>
      </w:r>
      <w:r w:rsidR="00E15E54">
        <w:rPr>
          <w:lang w:val="en-GB"/>
        </w:rPr>
        <w:t xml:space="preserve">had a </w:t>
      </w:r>
      <w:r w:rsidR="00E01AF0" w:rsidRPr="007345D4">
        <w:rPr>
          <w:lang w:val="en-GB"/>
        </w:rPr>
        <w:t xml:space="preserve">father </w:t>
      </w:r>
      <w:r w:rsidR="00E15E54">
        <w:rPr>
          <w:lang w:val="en-GB"/>
        </w:rPr>
        <w:t xml:space="preserve">who had been </w:t>
      </w:r>
      <w:r w:rsidR="00E01AF0" w:rsidRPr="007345D4">
        <w:rPr>
          <w:lang w:val="en-GB"/>
        </w:rPr>
        <w:t xml:space="preserve">a member of </w:t>
      </w:r>
      <w:r w:rsidR="00213875">
        <w:rPr>
          <w:lang w:val="en-GB"/>
        </w:rPr>
        <w:t>LTTE</w:t>
      </w:r>
      <w:r w:rsidR="00E01AF0" w:rsidRPr="007345D4">
        <w:rPr>
          <w:lang w:val="en-GB"/>
        </w:rPr>
        <w:t xml:space="preserve"> and </w:t>
      </w:r>
      <w:r w:rsidR="00E15E54">
        <w:rPr>
          <w:lang w:val="en-GB"/>
        </w:rPr>
        <w:t xml:space="preserve">had </w:t>
      </w:r>
      <w:r w:rsidR="00E01AF0" w:rsidRPr="007345D4">
        <w:rPr>
          <w:lang w:val="en-GB"/>
        </w:rPr>
        <w:t xml:space="preserve">come from an area that </w:t>
      </w:r>
      <w:r w:rsidR="00E15E54">
        <w:rPr>
          <w:lang w:val="en-GB"/>
        </w:rPr>
        <w:t>had been</w:t>
      </w:r>
      <w:r w:rsidR="00E15E54" w:rsidRPr="007345D4">
        <w:rPr>
          <w:lang w:val="en-GB"/>
        </w:rPr>
        <w:t xml:space="preserve"> </w:t>
      </w:r>
      <w:r w:rsidR="00E01AF0" w:rsidRPr="007345D4">
        <w:rPr>
          <w:lang w:val="en-GB"/>
        </w:rPr>
        <w:t xml:space="preserve">controlled by </w:t>
      </w:r>
      <w:r w:rsidR="00213875">
        <w:rPr>
          <w:lang w:val="en-GB"/>
        </w:rPr>
        <w:t>LTTE</w:t>
      </w:r>
      <w:r w:rsidR="00E01AF0" w:rsidRPr="007345D4">
        <w:rPr>
          <w:lang w:val="en-GB"/>
        </w:rPr>
        <w:t xml:space="preserve"> for many years.</w:t>
      </w:r>
      <w:r w:rsidRPr="007345D4">
        <w:rPr>
          <w:lang w:val="en-GB"/>
        </w:rPr>
        <w:t xml:space="preserve"> </w:t>
      </w:r>
      <w:r w:rsidR="00E15E54">
        <w:rPr>
          <w:lang w:val="en-GB"/>
        </w:rPr>
        <w:t xml:space="preserve">In addition, </w:t>
      </w:r>
      <w:r w:rsidR="00E01AF0" w:rsidRPr="007345D4">
        <w:rPr>
          <w:lang w:val="en-GB"/>
        </w:rPr>
        <w:t xml:space="preserve">the authorities </w:t>
      </w:r>
      <w:r w:rsidR="00E15E54">
        <w:rPr>
          <w:lang w:val="en-GB"/>
        </w:rPr>
        <w:t xml:space="preserve">had not </w:t>
      </w:r>
      <w:r w:rsidR="00E01AF0" w:rsidRPr="007345D4">
        <w:rPr>
          <w:lang w:val="en-GB"/>
        </w:rPr>
        <w:t>taken into account their young age, limited cognitive skills and mental health.</w:t>
      </w:r>
      <w:r w:rsidRPr="007345D4">
        <w:rPr>
          <w:lang w:val="en-GB"/>
        </w:rPr>
        <w:t xml:space="preserve"> </w:t>
      </w:r>
    </w:p>
    <w:p w14:paraId="04D76510" w14:textId="77777777" w:rsidR="00E01AF0" w:rsidRPr="007345D4" w:rsidRDefault="00E01AF0" w:rsidP="00E01AF0">
      <w:pPr>
        <w:pStyle w:val="H23G"/>
        <w:spacing w:line="240" w:lineRule="auto"/>
      </w:pPr>
      <w:r w:rsidRPr="007345D4">
        <w:tab/>
      </w:r>
      <w:r w:rsidRPr="007345D4">
        <w:tab/>
        <w:t>Issues and proceedings before the Committee</w:t>
      </w:r>
    </w:p>
    <w:p w14:paraId="564CCBF0" w14:textId="77777777" w:rsidR="00E01AF0" w:rsidRPr="007345D4" w:rsidRDefault="00E01AF0" w:rsidP="00E01AF0">
      <w:pPr>
        <w:pStyle w:val="H4G"/>
        <w:spacing w:line="240" w:lineRule="auto"/>
      </w:pPr>
      <w:r w:rsidRPr="007345D4">
        <w:tab/>
      </w:r>
      <w:r w:rsidRPr="007345D4">
        <w:tab/>
        <w:t>Consideration of admissibility</w:t>
      </w:r>
    </w:p>
    <w:p w14:paraId="5B3887B5" w14:textId="77777777" w:rsidR="00E01AF0" w:rsidRPr="007345D4" w:rsidRDefault="00E01AF0">
      <w:pPr>
        <w:pStyle w:val="SingleTxtG"/>
        <w:spacing w:line="240" w:lineRule="auto"/>
        <w:rPr>
          <w:lang w:val="en-GB"/>
        </w:rPr>
      </w:pPr>
      <w:r w:rsidRPr="007345D4">
        <w:rPr>
          <w:lang w:val="en-GB"/>
        </w:rPr>
        <w:t>6.1</w:t>
      </w:r>
      <w:r w:rsidRPr="007345D4">
        <w:rPr>
          <w:lang w:val="en-GB"/>
        </w:rPr>
        <w:tab/>
        <w:t>Before considering any claims contained in a communication, the Committee must decide, in accordance with rule 93 of its rules of procedure, whether the communication is admissible under the Optional Protocol.</w:t>
      </w:r>
    </w:p>
    <w:p w14:paraId="22BB1C92" w14:textId="77777777" w:rsidR="00E01AF0" w:rsidRPr="007345D4" w:rsidRDefault="00E01AF0">
      <w:pPr>
        <w:pStyle w:val="SingleTxtG"/>
        <w:spacing w:line="240" w:lineRule="auto"/>
        <w:rPr>
          <w:lang w:val="en-GB"/>
        </w:rPr>
      </w:pPr>
      <w:r w:rsidRPr="007345D4">
        <w:rPr>
          <w:lang w:val="en-GB"/>
        </w:rPr>
        <w:t>6.2</w:t>
      </w:r>
      <w:r w:rsidRPr="007345D4">
        <w:rPr>
          <w:lang w:val="en-GB"/>
        </w:rPr>
        <w:tab/>
        <w:t>The Committee notes, as required under article 5</w:t>
      </w:r>
      <w:r w:rsidR="00E15E54">
        <w:rPr>
          <w:lang w:val="en-GB"/>
        </w:rPr>
        <w:t> </w:t>
      </w:r>
      <w:r w:rsidRPr="007345D4">
        <w:rPr>
          <w:lang w:val="en-GB"/>
        </w:rPr>
        <w:t>2</w:t>
      </w:r>
      <w:r w:rsidR="00E15E54">
        <w:rPr>
          <w:lang w:val="en-GB"/>
        </w:rPr>
        <w:t> </w:t>
      </w:r>
      <w:r w:rsidRPr="007345D4">
        <w:rPr>
          <w:lang w:val="en-GB"/>
        </w:rPr>
        <w:t>(a) of the Optional Protocol, that the same matter is not being examined under any other procedure of international investigation or settlement.</w:t>
      </w:r>
    </w:p>
    <w:p w14:paraId="7F43E381" w14:textId="77777777" w:rsidR="00E01AF0" w:rsidRPr="007345D4" w:rsidRDefault="00E01AF0">
      <w:pPr>
        <w:pStyle w:val="SingleTxtG"/>
        <w:spacing w:line="240" w:lineRule="auto"/>
        <w:rPr>
          <w:lang w:val="en-GB"/>
        </w:rPr>
      </w:pPr>
      <w:r w:rsidRPr="00EF16DE">
        <w:rPr>
          <w:lang w:val="en-GB"/>
        </w:rPr>
        <w:t>6.3</w:t>
      </w:r>
      <w:r w:rsidRPr="00EF16DE">
        <w:rPr>
          <w:lang w:val="en-GB"/>
        </w:rPr>
        <w:tab/>
        <w:t xml:space="preserve">The Committee notes that the authors unsuccessfully appealed the </w:t>
      </w:r>
      <w:r w:rsidR="00646855">
        <w:rPr>
          <w:lang w:val="en-GB"/>
        </w:rPr>
        <w:t xml:space="preserve">refusal of their asylum claim </w:t>
      </w:r>
      <w:r w:rsidRPr="00F854EE">
        <w:rPr>
          <w:lang w:val="en-GB"/>
        </w:rPr>
        <w:t>to the Danish Refugee Appeals Board, as well as the denial of residence permit</w:t>
      </w:r>
      <w:r w:rsidR="006C5F93">
        <w:rPr>
          <w:lang w:val="en-GB"/>
        </w:rPr>
        <w:t>s</w:t>
      </w:r>
      <w:r w:rsidRPr="00F854EE">
        <w:rPr>
          <w:lang w:val="en-GB"/>
        </w:rPr>
        <w:t xml:space="preserve"> under section 9c</w:t>
      </w:r>
      <w:r w:rsidR="00E15E54" w:rsidRPr="00F854EE">
        <w:rPr>
          <w:lang w:val="en-GB"/>
        </w:rPr>
        <w:t> </w:t>
      </w:r>
      <w:r w:rsidRPr="00F854EE">
        <w:rPr>
          <w:lang w:val="en-GB"/>
        </w:rPr>
        <w:t>(3)</w:t>
      </w:r>
      <w:r w:rsidR="00E15E54" w:rsidRPr="00F854EE">
        <w:rPr>
          <w:lang w:val="en-GB"/>
        </w:rPr>
        <w:t> </w:t>
      </w:r>
      <w:r w:rsidRPr="00F854EE">
        <w:rPr>
          <w:lang w:val="en-GB"/>
        </w:rPr>
        <w:t xml:space="preserve">(ii) of the Aliens Act to the Ministry of Justice; and that the State party does not challenge the </w:t>
      </w:r>
      <w:r w:rsidR="00F854EE" w:rsidRPr="009B3BE6">
        <w:rPr>
          <w:lang w:val="en-GB"/>
        </w:rPr>
        <w:t xml:space="preserve">claim that the authors have exhausted all </w:t>
      </w:r>
      <w:r w:rsidRPr="00F854EE">
        <w:rPr>
          <w:lang w:val="en-GB"/>
        </w:rPr>
        <w:t xml:space="preserve">domestic remedies. The Committee therefore considers that domestic remedies have </w:t>
      </w:r>
      <w:r w:rsidR="00E15E54" w:rsidRPr="00F854EE">
        <w:rPr>
          <w:lang w:val="en-GB"/>
        </w:rPr>
        <w:t xml:space="preserve">been </w:t>
      </w:r>
      <w:r w:rsidRPr="00F854EE">
        <w:rPr>
          <w:lang w:val="en-GB"/>
        </w:rPr>
        <w:t>exhausted according to article 5</w:t>
      </w:r>
      <w:r w:rsidR="00E15E54" w:rsidRPr="00F854EE">
        <w:rPr>
          <w:lang w:val="en-GB"/>
        </w:rPr>
        <w:t> </w:t>
      </w:r>
      <w:r w:rsidRPr="00F854EE">
        <w:rPr>
          <w:lang w:val="en-GB"/>
        </w:rPr>
        <w:t>2</w:t>
      </w:r>
      <w:r w:rsidR="00E15E54" w:rsidRPr="00F854EE">
        <w:rPr>
          <w:lang w:val="en-GB"/>
        </w:rPr>
        <w:t> </w:t>
      </w:r>
      <w:r w:rsidRPr="00F854EE">
        <w:rPr>
          <w:lang w:val="en-GB"/>
        </w:rPr>
        <w:t>(b) of the Optional Protocol.</w:t>
      </w:r>
    </w:p>
    <w:p w14:paraId="6A7BBD3A" w14:textId="77777777" w:rsidR="00E01AF0" w:rsidRPr="009B3BE6" w:rsidRDefault="00E01AF0">
      <w:pPr>
        <w:pStyle w:val="SingleTxtG"/>
        <w:spacing w:line="240" w:lineRule="auto"/>
        <w:rPr>
          <w:lang w:val="en-GB"/>
        </w:rPr>
      </w:pPr>
      <w:r w:rsidRPr="007345D4">
        <w:rPr>
          <w:lang w:val="en-GB"/>
        </w:rPr>
        <w:t>6.4</w:t>
      </w:r>
      <w:r w:rsidRPr="007345D4">
        <w:rPr>
          <w:lang w:val="en-GB"/>
        </w:rPr>
        <w:tab/>
      </w:r>
      <w:r w:rsidRPr="007345D4">
        <w:rPr>
          <w:rFonts w:eastAsia="SimSun"/>
          <w:lang w:val="en-GB" w:eastAsia="ko-KR"/>
        </w:rPr>
        <w:t>The Committee notes the authors’ claims under article 7 of the Covenant that</w:t>
      </w:r>
      <w:r w:rsidR="00E15E54">
        <w:rPr>
          <w:rFonts w:eastAsia="SimSun"/>
          <w:lang w:val="en-GB" w:eastAsia="ko-KR"/>
        </w:rPr>
        <w:t>,</w:t>
      </w:r>
      <w:r w:rsidRPr="007345D4">
        <w:rPr>
          <w:rFonts w:eastAsia="SimSun"/>
          <w:lang w:val="en-GB" w:eastAsia="ko-KR"/>
        </w:rPr>
        <w:t xml:space="preserve"> if returned to Sri Lanka</w:t>
      </w:r>
      <w:r w:rsidR="00E15E54">
        <w:rPr>
          <w:rFonts w:eastAsia="SimSun"/>
          <w:lang w:val="en-GB" w:eastAsia="ko-KR"/>
        </w:rPr>
        <w:t>,</w:t>
      </w:r>
      <w:r w:rsidRPr="007345D4">
        <w:rPr>
          <w:rFonts w:eastAsia="SimSun"/>
          <w:lang w:val="en-GB" w:eastAsia="ko-KR"/>
        </w:rPr>
        <w:t xml:space="preserve"> they would be at risk of being tortured</w:t>
      </w:r>
      <w:r w:rsidR="006C5F93">
        <w:rPr>
          <w:rFonts w:eastAsia="SimSun"/>
          <w:lang w:val="en-GB" w:eastAsia="ko-KR"/>
        </w:rPr>
        <w:t xml:space="preserve"> or killed</w:t>
      </w:r>
      <w:r w:rsidRPr="007345D4">
        <w:rPr>
          <w:rFonts w:eastAsia="SimSun"/>
          <w:lang w:val="en-GB" w:eastAsia="ko-KR"/>
        </w:rPr>
        <w:t>.</w:t>
      </w:r>
      <w:r w:rsidRPr="007345D4">
        <w:rPr>
          <w:lang w:val="en-GB"/>
        </w:rPr>
        <w:t xml:space="preserve"> The Committee also takes note of the State party’s argument that the authors’ claims under article 7 are unsubstantiated. However, the Committee considers that, for the purpose of admissibility, the authors have provided sufficient substantiation regarding their claims. As no other obstacles to admissibility exist, the Committee declares the communication admissible and proceeds to its consideration on the merits.</w:t>
      </w:r>
    </w:p>
    <w:p w14:paraId="28175388" w14:textId="77777777" w:rsidR="00E01AF0" w:rsidRPr="009B3BE6" w:rsidRDefault="00E01AF0" w:rsidP="00E01AF0">
      <w:pPr>
        <w:pStyle w:val="H4G"/>
        <w:spacing w:line="240" w:lineRule="auto"/>
      </w:pPr>
      <w:r w:rsidRPr="009B3BE6">
        <w:tab/>
      </w:r>
      <w:r w:rsidRPr="009B3BE6">
        <w:tab/>
        <w:t>Consideration of the merits</w:t>
      </w:r>
    </w:p>
    <w:p w14:paraId="21EC4CBE" w14:textId="77777777" w:rsidR="00E01AF0" w:rsidRPr="009B3BE6" w:rsidRDefault="00E01AF0">
      <w:pPr>
        <w:pStyle w:val="SingleTxtG"/>
        <w:spacing w:line="240" w:lineRule="auto"/>
        <w:rPr>
          <w:lang w:val="en-GB"/>
        </w:rPr>
      </w:pPr>
      <w:r w:rsidRPr="009B3BE6">
        <w:rPr>
          <w:lang w:val="en-GB"/>
        </w:rPr>
        <w:t>7.1</w:t>
      </w:r>
      <w:r w:rsidRPr="009B3BE6">
        <w:rPr>
          <w:lang w:val="en-GB"/>
        </w:rPr>
        <w:tab/>
        <w:t>The Committee has considered this communication in the light of all the information received, in accordance with article 5</w:t>
      </w:r>
      <w:r w:rsidR="00E15E54">
        <w:rPr>
          <w:lang w:val="en-GB"/>
        </w:rPr>
        <w:t> (</w:t>
      </w:r>
      <w:r w:rsidRPr="009B3BE6">
        <w:rPr>
          <w:lang w:val="en-GB"/>
        </w:rPr>
        <w:t>1</w:t>
      </w:r>
      <w:r w:rsidR="00E15E54">
        <w:rPr>
          <w:lang w:val="en-GB"/>
        </w:rPr>
        <w:t>)</w:t>
      </w:r>
      <w:r w:rsidRPr="009B3BE6">
        <w:rPr>
          <w:lang w:val="en-GB"/>
        </w:rPr>
        <w:t xml:space="preserve"> of the Optional Protocol.</w:t>
      </w:r>
    </w:p>
    <w:p w14:paraId="0148E1AE" w14:textId="77777777" w:rsidR="00E01AF0" w:rsidRPr="009B3BE6" w:rsidRDefault="00E01AF0">
      <w:pPr>
        <w:pStyle w:val="SingleTxtG"/>
        <w:spacing w:line="240" w:lineRule="auto"/>
        <w:rPr>
          <w:lang w:val="en-GB"/>
        </w:rPr>
      </w:pPr>
      <w:r w:rsidRPr="009B3BE6">
        <w:rPr>
          <w:lang w:val="en-GB"/>
        </w:rPr>
        <w:t>7.2</w:t>
      </w:r>
      <w:r w:rsidRPr="009B3BE6">
        <w:rPr>
          <w:lang w:val="en-GB"/>
        </w:rPr>
        <w:tab/>
        <w:t>The Committee recalls its general comment No. 31</w:t>
      </w:r>
      <w:r w:rsidR="00423C45">
        <w:rPr>
          <w:lang w:val="en-GB"/>
        </w:rPr>
        <w:t>,</w:t>
      </w:r>
      <w:r w:rsidRPr="009B3BE6">
        <w:rPr>
          <w:lang w:val="en-GB"/>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w:t>
      </w:r>
      <w:r w:rsidRPr="009B3BE6">
        <w:rPr>
          <w:vertAlign w:val="superscript"/>
          <w:lang w:val="en-GB"/>
        </w:rPr>
        <w:footnoteReference w:id="11"/>
      </w:r>
      <w:r w:rsidRPr="009B3BE6">
        <w:rPr>
          <w:lang w:val="en-GB"/>
        </w:rPr>
        <w:t xml:space="preserve"> The Committee has indicated that </w:t>
      </w:r>
      <w:r w:rsidR="00ED1152" w:rsidRPr="006C5F93">
        <w:rPr>
          <w:lang w:val="en-GB"/>
        </w:rPr>
        <w:t>such a</w:t>
      </w:r>
      <w:r w:rsidRPr="009B3BE6">
        <w:rPr>
          <w:lang w:val="en-GB"/>
        </w:rPr>
        <w:t xml:space="preserve"> risk must be personal</w:t>
      </w:r>
      <w:r w:rsidRPr="009B3BE6">
        <w:rPr>
          <w:rStyle w:val="FootnoteReference"/>
          <w:sz w:val="20"/>
          <w:lang w:val="en-GB"/>
        </w:rPr>
        <w:footnoteReference w:id="12"/>
      </w:r>
      <w:r w:rsidRPr="009B3BE6">
        <w:rPr>
          <w:lang w:val="en-GB"/>
        </w:rPr>
        <w:t xml:space="preserve"> and that there is a high threshold for providing substantial grounds to establish that a real risk of irreparable harm exists.</w:t>
      </w:r>
      <w:r w:rsidRPr="009B3BE6">
        <w:rPr>
          <w:rStyle w:val="FootnoteReference"/>
          <w:sz w:val="20"/>
          <w:lang w:val="en-GB"/>
        </w:rPr>
        <w:footnoteReference w:id="13"/>
      </w:r>
      <w:r w:rsidRPr="009B3BE6">
        <w:rPr>
          <w:lang w:val="en-GB"/>
        </w:rPr>
        <w:t xml:space="preserve"> Thus, all relevant facts and circumstances must be considered, including the general human rights situation in the author’s country of origin.</w:t>
      </w:r>
      <w:r w:rsidRPr="009B3BE6">
        <w:rPr>
          <w:rStyle w:val="FootnoteReference"/>
          <w:sz w:val="20"/>
          <w:lang w:val="en-GB"/>
        </w:rPr>
        <w:footnoteReference w:id="14"/>
      </w:r>
      <w:r w:rsidRPr="009B3BE6">
        <w:rPr>
          <w:lang w:val="en-GB"/>
        </w:rPr>
        <w:t xml:space="preserve"> </w:t>
      </w:r>
    </w:p>
    <w:p w14:paraId="64067CB7" w14:textId="77777777" w:rsidR="00E01AF0" w:rsidRPr="009B3BE6" w:rsidRDefault="00E01AF0">
      <w:pPr>
        <w:pStyle w:val="SingleTxtG"/>
        <w:spacing w:line="240" w:lineRule="auto"/>
        <w:rPr>
          <w:lang w:val="en-GB"/>
        </w:rPr>
      </w:pPr>
      <w:r w:rsidRPr="007345D4">
        <w:rPr>
          <w:lang w:val="en-GB"/>
        </w:rPr>
        <w:t>7.3</w:t>
      </w:r>
      <w:r w:rsidRPr="009B3BE6">
        <w:rPr>
          <w:lang w:val="en-GB" w:eastAsia="en-GB"/>
        </w:rPr>
        <w:tab/>
      </w:r>
      <w:r w:rsidRPr="009B3BE6">
        <w:rPr>
          <w:lang w:val="en-GB"/>
        </w:rPr>
        <w:t xml:space="preserve">The Committee recalls its jurisprudence that </w:t>
      </w:r>
      <w:r w:rsidR="00EF33D2" w:rsidRPr="009B3BE6">
        <w:rPr>
          <w:lang w:val="en-GB"/>
        </w:rPr>
        <w:t xml:space="preserve">significant </w:t>
      </w:r>
      <w:r w:rsidRPr="009B3BE6">
        <w:rPr>
          <w:lang w:val="en-GB"/>
        </w:rPr>
        <w:t xml:space="preserve">weight should be given to the assessment conducted by the State party, and that it is generally for the organs of States parties to the Covenant to review or evaluate </w:t>
      </w:r>
      <w:r w:rsidRPr="009B3BE6">
        <w:rPr>
          <w:lang w:val="en-GB" w:eastAsia="ja-JP"/>
        </w:rPr>
        <w:t xml:space="preserve">the </w:t>
      </w:r>
      <w:r w:rsidRPr="009B3BE6">
        <w:rPr>
          <w:lang w:val="en-GB"/>
        </w:rPr>
        <w:t xml:space="preserve">facts and evidence </w:t>
      </w:r>
      <w:r w:rsidRPr="009B3BE6">
        <w:rPr>
          <w:lang w:val="en-GB" w:eastAsia="ja-JP"/>
        </w:rPr>
        <w:t xml:space="preserve">of the case </w:t>
      </w:r>
      <w:r w:rsidRPr="009B3BE6">
        <w:rPr>
          <w:lang w:val="en-GB"/>
        </w:rPr>
        <w:t xml:space="preserve">in order to determine whether such a risk exists, unless it </w:t>
      </w:r>
      <w:r w:rsidRPr="009B3BE6">
        <w:rPr>
          <w:lang w:val="en-GB" w:eastAsia="ja-JP"/>
        </w:rPr>
        <w:t xml:space="preserve">can be established </w:t>
      </w:r>
      <w:r w:rsidRPr="009B3BE6">
        <w:rPr>
          <w:lang w:val="en-GB"/>
        </w:rPr>
        <w:t xml:space="preserve">that the evaluation was clearly arbitrary or amounted to a </w:t>
      </w:r>
      <w:r w:rsidRPr="009B3BE6">
        <w:rPr>
          <w:lang w:val="en-GB" w:eastAsia="ja-JP"/>
        </w:rPr>
        <w:t xml:space="preserve">manifest error or </w:t>
      </w:r>
      <w:r w:rsidRPr="009B3BE6">
        <w:rPr>
          <w:lang w:val="en-GB"/>
        </w:rPr>
        <w:t>denial of justice.</w:t>
      </w:r>
      <w:r w:rsidRPr="009B3BE6">
        <w:rPr>
          <w:vertAlign w:val="superscript"/>
          <w:lang w:val="en-GB"/>
        </w:rPr>
        <w:footnoteReference w:id="15"/>
      </w:r>
    </w:p>
    <w:p w14:paraId="67EB74A3" w14:textId="77777777" w:rsidR="00E01AF0" w:rsidRPr="009B3BE6" w:rsidRDefault="00E01AF0">
      <w:pPr>
        <w:pStyle w:val="SingleTxtG"/>
        <w:spacing w:line="240" w:lineRule="auto"/>
        <w:rPr>
          <w:lang w:val="en-GB"/>
        </w:rPr>
      </w:pPr>
      <w:r w:rsidRPr="009B3BE6">
        <w:rPr>
          <w:lang w:val="en-GB"/>
        </w:rPr>
        <w:t>7.4</w:t>
      </w:r>
      <w:r w:rsidRPr="009B3BE6">
        <w:rPr>
          <w:lang w:val="en-GB"/>
        </w:rPr>
        <w:tab/>
        <w:t>T</w:t>
      </w:r>
      <w:r w:rsidRPr="009B3BE6">
        <w:rPr>
          <w:rFonts w:eastAsia="SimSun"/>
          <w:lang w:val="en-GB" w:eastAsia="ko-KR"/>
        </w:rPr>
        <w:t>he Committee notes the authors’ claims under article 7 that</w:t>
      </w:r>
      <w:r w:rsidR="00423C45">
        <w:rPr>
          <w:rFonts w:eastAsia="SimSun"/>
          <w:lang w:val="en-GB" w:eastAsia="ko-KR"/>
        </w:rPr>
        <w:t>,</w:t>
      </w:r>
      <w:r w:rsidRPr="009B3BE6">
        <w:rPr>
          <w:rFonts w:eastAsia="SimSun"/>
          <w:lang w:val="en-GB" w:eastAsia="ko-KR"/>
        </w:rPr>
        <w:t xml:space="preserve"> </w:t>
      </w:r>
      <w:r w:rsidRPr="009B3BE6">
        <w:rPr>
          <w:lang w:val="en-GB"/>
        </w:rPr>
        <w:t xml:space="preserve">if returned to Sri Lanka, they would face </w:t>
      </w:r>
      <w:r w:rsidR="00F77123">
        <w:rPr>
          <w:lang w:val="en-GB"/>
        </w:rPr>
        <w:t xml:space="preserve">a </w:t>
      </w:r>
      <w:r w:rsidRPr="009B3BE6">
        <w:rPr>
          <w:lang w:val="en-GB"/>
        </w:rPr>
        <w:t>risk of persecution as</w:t>
      </w:r>
      <w:r w:rsidR="00AD0CCA" w:rsidRPr="009B3BE6">
        <w:rPr>
          <w:lang w:val="en-GB"/>
        </w:rPr>
        <w:t xml:space="preserve"> </w:t>
      </w:r>
      <w:r w:rsidRPr="009B3BE6">
        <w:rPr>
          <w:lang w:val="en-GB"/>
        </w:rPr>
        <w:t>young Tamils from Jaffna whose father was a former LTTE member</w:t>
      </w:r>
      <w:r w:rsidR="00F77123">
        <w:rPr>
          <w:lang w:val="en-GB"/>
        </w:rPr>
        <w:t>,</w:t>
      </w:r>
      <w:r w:rsidRPr="009B3BE6">
        <w:rPr>
          <w:lang w:val="en-GB"/>
        </w:rPr>
        <w:t xml:space="preserve"> and as failed asylum</w:t>
      </w:r>
      <w:r w:rsidR="00B2619A">
        <w:rPr>
          <w:lang w:val="en-GB"/>
        </w:rPr>
        <w:t xml:space="preserve"> </w:t>
      </w:r>
      <w:r w:rsidRPr="009B3BE6">
        <w:rPr>
          <w:lang w:val="en-GB"/>
        </w:rPr>
        <w:t xml:space="preserve">seekers </w:t>
      </w:r>
      <w:r w:rsidR="00ED1152">
        <w:rPr>
          <w:lang w:val="en-GB"/>
        </w:rPr>
        <w:t xml:space="preserve">who </w:t>
      </w:r>
      <w:r w:rsidR="001F15E0">
        <w:rPr>
          <w:lang w:val="en-GB"/>
        </w:rPr>
        <w:t xml:space="preserve">would </w:t>
      </w:r>
      <w:r w:rsidR="006C5F93">
        <w:rPr>
          <w:lang w:val="en-GB"/>
        </w:rPr>
        <w:t>ha</w:t>
      </w:r>
      <w:r w:rsidR="001F15E0">
        <w:rPr>
          <w:lang w:val="en-GB"/>
        </w:rPr>
        <w:t>ve</w:t>
      </w:r>
      <w:r w:rsidR="006C5F93">
        <w:rPr>
          <w:lang w:val="en-GB"/>
        </w:rPr>
        <w:t xml:space="preserve"> been </w:t>
      </w:r>
      <w:r w:rsidRPr="009B3BE6">
        <w:rPr>
          <w:lang w:val="en-GB"/>
        </w:rPr>
        <w:t xml:space="preserve">returned with temporary travel documents; that the </w:t>
      </w:r>
      <w:r w:rsidR="00F77123">
        <w:rPr>
          <w:lang w:val="en-GB"/>
        </w:rPr>
        <w:t xml:space="preserve">authorities of the </w:t>
      </w:r>
      <w:r w:rsidRPr="009B3BE6">
        <w:rPr>
          <w:lang w:val="en-GB"/>
        </w:rPr>
        <w:t xml:space="preserve">State party did not give sufficient weight to the events they </w:t>
      </w:r>
      <w:r w:rsidR="00964D1F">
        <w:rPr>
          <w:lang w:val="en-GB"/>
        </w:rPr>
        <w:t xml:space="preserve">had </w:t>
      </w:r>
      <w:r w:rsidR="00F77123">
        <w:rPr>
          <w:lang w:val="en-GB"/>
        </w:rPr>
        <w:t xml:space="preserve">experienced </w:t>
      </w:r>
      <w:r w:rsidRPr="009B3BE6">
        <w:rPr>
          <w:lang w:val="en-GB"/>
        </w:rPr>
        <w:t xml:space="preserve">prior to their departure from their country of origin; and that background material </w:t>
      </w:r>
      <w:r w:rsidR="006C5F93">
        <w:rPr>
          <w:lang w:val="en-GB"/>
        </w:rPr>
        <w:t xml:space="preserve">alleges </w:t>
      </w:r>
      <w:r w:rsidRPr="009B3BE6">
        <w:rPr>
          <w:lang w:val="en-GB"/>
        </w:rPr>
        <w:t xml:space="preserve">that all Tamils </w:t>
      </w:r>
      <w:r w:rsidR="00ED1152">
        <w:rPr>
          <w:lang w:val="en-GB"/>
        </w:rPr>
        <w:t>are</w:t>
      </w:r>
      <w:r w:rsidRPr="009B3BE6">
        <w:rPr>
          <w:lang w:val="en-GB"/>
        </w:rPr>
        <w:t xml:space="preserve"> at serious risk in Sri Lanka. The</w:t>
      </w:r>
      <w:r w:rsidR="00F77123">
        <w:rPr>
          <w:lang w:val="en-GB"/>
        </w:rPr>
        <w:t xml:space="preserve"> Committee also notes the authors</w:t>
      </w:r>
      <w:r w:rsidR="00F77123" w:rsidRPr="008431F8">
        <w:rPr>
          <w:rFonts w:eastAsia="SimSun"/>
          <w:lang w:val="en-GB" w:eastAsia="ko-KR"/>
        </w:rPr>
        <w:t>’</w:t>
      </w:r>
      <w:r w:rsidR="00F77123">
        <w:rPr>
          <w:lang w:val="en-GB"/>
        </w:rPr>
        <w:t xml:space="preserve"> claims </w:t>
      </w:r>
      <w:r w:rsidRPr="009B3BE6">
        <w:rPr>
          <w:lang w:val="en-GB"/>
        </w:rPr>
        <w:t xml:space="preserve">that the authorities failed to take into </w:t>
      </w:r>
      <w:r w:rsidR="00F77123">
        <w:rPr>
          <w:lang w:val="en-GB"/>
        </w:rPr>
        <w:t xml:space="preserve">sufficient </w:t>
      </w:r>
      <w:r w:rsidRPr="009B3BE6">
        <w:rPr>
          <w:lang w:val="en-GB"/>
        </w:rPr>
        <w:t xml:space="preserve">consideration their lack of family ties in Sri Lanka, their limited cognitive skills and their need for special support. </w:t>
      </w:r>
    </w:p>
    <w:p w14:paraId="4EE675B1" w14:textId="77777777" w:rsidR="00E01AF0" w:rsidRPr="007345D4" w:rsidRDefault="00E01AF0">
      <w:pPr>
        <w:pStyle w:val="SingleTxtG"/>
        <w:spacing w:line="240" w:lineRule="auto"/>
        <w:rPr>
          <w:lang w:val="en-GB"/>
        </w:rPr>
      </w:pPr>
      <w:r w:rsidRPr="009B3BE6">
        <w:rPr>
          <w:lang w:val="en-GB"/>
        </w:rPr>
        <w:t>7.5</w:t>
      </w:r>
      <w:r w:rsidRPr="009B3BE6">
        <w:rPr>
          <w:lang w:val="en-GB"/>
        </w:rPr>
        <w:tab/>
        <w:t xml:space="preserve">The Committee </w:t>
      </w:r>
      <w:r w:rsidR="00964D1F">
        <w:rPr>
          <w:lang w:val="en-GB"/>
        </w:rPr>
        <w:t xml:space="preserve">further </w:t>
      </w:r>
      <w:r w:rsidRPr="009B3BE6">
        <w:rPr>
          <w:lang w:val="en-GB"/>
        </w:rPr>
        <w:t>notes the State party’s arguments that Tamil</w:t>
      </w:r>
      <w:r w:rsidR="00964D1F">
        <w:rPr>
          <w:lang w:val="en-GB"/>
        </w:rPr>
        <w:t>s</w:t>
      </w:r>
      <w:r w:rsidRPr="009B3BE6">
        <w:rPr>
          <w:lang w:val="en-GB"/>
        </w:rPr>
        <w:t xml:space="preserve"> </w:t>
      </w:r>
      <w:r w:rsidR="00F77123">
        <w:rPr>
          <w:lang w:val="en-GB"/>
        </w:rPr>
        <w:t>would</w:t>
      </w:r>
      <w:r w:rsidRPr="009B3BE6">
        <w:rPr>
          <w:lang w:val="en-GB"/>
        </w:rPr>
        <w:t xml:space="preserve"> not be at risk </w:t>
      </w:r>
      <w:r w:rsidR="00F77123">
        <w:rPr>
          <w:lang w:val="en-GB"/>
        </w:rPr>
        <w:t xml:space="preserve">solely </w:t>
      </w:r>
      <w:r w:rsidRPr="009B3BE6">
        <w:rPr>
          <w:lang w:val="en-GB"/>
        </w:rPr>
        <w:t>because of their ethnicity; that</w:t>
      </w:r>
      <w:r w:rsidR="00F77123">
        <w:rPr>
          <w:lang w:val="en-GB"/>
        </w:rPr>
        <w:t>,</w:t>
      </w:r>
      <w:r w:rsidRPr="009B3BE6">
        <w:rPr>
          <w:lang w:val="en-GB"/>
        </w:rPr>
        <w:t xml:space="preserve"> according to background material on the human rights situation in Sri Lanka available at the time that the </w:t>
      </w:r>
      <w:r w:rsidR="00F77123">
        <w:rPr>
          <w:lang w:val="en-GB"/>
        </w:rPr>
        <w:t xml:space="preserve">Refugee Appeals Board </w:t>
      </w:r>
      <w:r w:rsidRPr="009B3BE6">
        <w:rPr>
          <w:lang w:val="en-GB"/>
        </w:rPr>
        <w:t xml:space="preserve">denied the authors’ request for asylum, </w:t>
      </w:r>
      <w:r w:rsidRPr="007345D4">
        <w:rPr>
          <w:szCs w:val="23"/>
          <w:lang w:val="en-GB"/>
        </w:rPr>
        <w:t>p</w:t>
      </w:r>
      <w:r w:rsidRPr="007345D4">
        <w:rPr>
          <w:lang w:val="en-GB"/>
        </w:rPr>
        <w:t xml:space="preserve">ersons suspected of being sympathetic to </w:t>
      </w:r>
      <w:r w:rsidR="00213875">
        <w:rPr>
          <w:lang w:val="en-GB"/>
        </w:rPr>
        <w:t>LTTE</w:t>
      </w:r>
      <w:r w:rsidRPr="007345D4">
        <w:rPr>
          <w:lang w:val="en-GB"/>
        </w:rPr>
        <w:t>, but not high</w:t>
      </w:r>
      <w:r w:rsidR="00186A91">
        <w:rPr>
          <w:lang w:val="en-GB"/>
        </w:rPr>
        <w:t xml:space="preserve"> </w:t>
      </w:r>
      <w:r w:rsidRPr="007345D4">
        <w:rPr>
          <w:lang w:val="en-GB"/>
        </w:rPr>
        <w:t>profile, were generally not at any risk of persecution; and that further reports published before February 2013</w:t>
      </w:r>
      <w:r w:rsidRPr="009B3BE6">
        <w:rPr>
          <w:szCs w:val="23"/>
          <w:lang w:val="en-GB"/>
        </w:rPr>
        <w:t xml:space="preserve"> did not support the conclusion that Tamils who had not themselves been affiliated with </w:t>
      </w:r>
      <w:r w:rsidR="00213875">
        <w:rPr>
          <w:szCs w:val="23"/>
          <w:lang w:val="en-GB"/>
        </w:rPr>
        <w:t>LTTE</w:t>
      </w:r>
      <w:r w:rsidRPr="009B3BE6">
        <w:rPr>
          <w:szCs w:val="23"/>
          <w:lang w:val="en-GB"/>
        </w:rPr>
        <w:t xml:space="preserve"> and whose family members were not high-profile members of </w:t>
      </w:r>
      <w:r w:rsidR="00213875">
        <w:rPr>
          <w:szCs w:val="23"/>
          <w:lang w:val="en-GB"/>
        </w:rPr>
        <w:t>LTTE</w:t>
      </w:r>
      <w:r w:rsidRPr="009B3BE6">
        <w:rPr>
          <w:szCs w:val="23"/>
          <w:lang w:val="en-GB"/>
        </w:rPr>
        <w:t xml:space="preserve"> would be at any risk of persecution</w:t>
      </w:r>
      <w:r w:rsidRPr="009B3BE6">
        <w:rPr>
          <w:lang w:val="en-GB"/>
        </w:rPr>
        <w:t>. Against th</w:t>
      </w:r>
      <w:r w:rsidR="00F77123">
        <w:rPr>
          <w:lang w:val="en-GB"/>
        </w:rPr>
        <w:t>at</w:t>
      </w:r>
      <w:r w:rsidRPr="009B3BE6">
        <w:rPr>
          <w:lang w:val="en-GB"/>
        </w:rPr>
        <w:t xml:space="preserve"> background, the State party maintain</w:t>
      </w:r>
      <w:r w:rsidR="00F77123">
        <w:rPr>
          <w:lang w:val="en-GB"/>
        </w:rPr>
        <w:t>ed</w:t>
      </w:r>
      <w:r w:rsidRPr="009B3BE6">
        <w:rPr>
          <w:lang w:val="en-GB"/>
        </w:rPr>
        <w:t xml:space="preserve"> that the authors would not be a</w:t>
      </w:r>
      <w:r w:rsidR="00964D1F">
        <w:rPr>
          <w:lang w:val="en-GB"/>
        </w:rPr>
        <w:t>t</w:t>
      </w:r>
      <w:r w:rsidRPr="009B3BE6">
        <w:rPr>
          <w:lang w:val="en-GB"/>
        </w:rPr>
        <w:t xml:space="preserve"> risk of treatment contrary to article 7 of the Covenant if returned to Sri Lanka. Further, its immigration authorities, including the </w:t>
      </w:r>
      <w:r w:rsidR="00F77123">
        <w:rPr>
          <w:lang w:val="en-GB"/>
        </w:rPr>
        <w:t>Refugees Appeals Board</w:t>
      </w:r>
      <w:r w:rsidRPr="009B3BE6">
        <w:rPr>
          <w:lang w:val="en-GB"/>
        </w:rPr>
        <w:t xml:space="preserve"> and the Ministry of Justice</w:t>
      </w:r>
      <w:r w:rsidR="00F77123">
        <w:rPr>
          <w:lang w:val="en-GB"/>
        </w:rPr>
        <w:t>,</w:t>
      </w:r>
      <w:r w:rsidRPr="009B3BE6">
        <w:rPr>
          <w:lang w:val="en-GB"/>
        </w:rPr>
        <w:t xml:space="preserve"> </w:t>
      </w:r>
      <w:r w:rsidR="00F77123">
        <w:rPr>
          <w:lang w:val="en-GB"/>
        </w:rPr>
        <w:t xml:space="preserve">had also taken </w:t>
      </w:r>
      <w:r w:rsidRPr="009B3BE6">
        <w:rPr>
          <w:lang w:val="en-GB"/>
        </w:rPr>
        <w:t>into account the</w:t>
      </w:r>
      <w:r w:rsidR="00964D1F">
        <w:rPr>
          <w:lang w:val="en-GB"/>
        </w:rPr>
        <w:t xml:space="preserve"> situation of the authors</w:t>
      </w:r>
      <w:r w:rsidRPr="009B3BE6">
        <w:rPr>
          <w:lang w:val="en-GB"/>
        </w:rPr>
        <w:t xml:space="preserve"> as unaccompanied minors and concluded that they were sufficiently mature to undergo asylum proceedings; that their low cognitive level and psychological conditions were not of such severity as to </w:t>
      </w:r>
      <w:r w:rsidR="00F77123">
        <w:rPr>
          <w:lang w:val="en-GB"/>
        </w:rPr>
        <w:t xml:space="preserve">require them </w:t>
      </w:r>
      <w:r w:rsidRPr="009B3BE6">
        <w:rPr>
          <w:lang w:val="en-GB"/>
        </w:rPr>
        <w:t xml:space="preserve">to stay in the State party; and that, if returned, they would not be placed in an emergency situation. </w:t>
      </w:r>
    </w:p>
    <w:p w14:paraId="7A3DF764" w14:textId="77777777" w:rsidR="00552873" w:rsidRPr="007345D4" w:rsidRDefault="00B81931" w:rsidP="00095CDF">
      <w:pPr>
        <w:pStyle w:val="SingleTxtG"/>
        <w:spacing w:line="240" w:lineRule="auto"/>
        <w:rPr>
          <w:lang w:val="en-GB"/>
        </w:rPr>
      </w:pPr>
      <w:r w:rsidRPr="00EF16DE">
        <w:rPr>
          <w:lang w:val="en-GB"/>
        </w:rPr>
        <w:t>7.</w:t>
      </w:r>
      <w:r w:rsidRPr="002C01FB">
        <w:rPr>
          <w:lang w:val="en-GB" w:eastAsia="ja-JP"/>
        </w:rPr>
        <w:t>6</w:t>
      </w:r>
      <w:r w:rsidRPr="002C01FB">
        <w:rPr>
          <w:lang w:val="en-GB"/>
        </w:rPr>
        <w:tab/>
      </w:r>
      <w:r w:rsidR="00883BAF" w:rsidRPr="002C01FB">
        <w:rPr>
          <w:lang w:val="en-GB" w:eastAsia="ja-JP"/>
        </w:rPr>
        <w:t>T</w:t>
      </w:r>
      <w:r w:rsidRPr="002C01FB">
        <w:rPr>
          <w:lang w:val="en-GB"/>
        </w:rPr>
        <w:t xml:space="preserve">he Committee </w:t>
      </w:r>
      <w:r w:rsidR="006A14A0" w:rsidRPr="002C01FB">
        <w:rPr>
          <w:lang w:val="en-GB" w:eastAsia="ja-JP"/>
        </w:rPr>
        <w:t>observes</w:t>
      </w:r>
      <w:r w:rsidRPr="009B3BE6">
        <w:rPr>
          <w:lang w:val="en-GB"/>
        </w:rPr>
        <w:t xml:space="preserve"> that the Danish Immigration Service examined ex officio </w:t>
      </w:r>
      <w:r w:rsidRPr="00EF16DE">
        <w:rPr>
          <w:lang w:val="en-GB"/>
        </w:rPr>
        <w:t xml:space="preserve">whether </w:t>
      </w:r>
      <w:r w:rsidRPr="002C01FB">
        <w:rPr>
          <w:lang w:val="en-GB" w:eastAsia="ja-JP"/>
        </w:rPr>
        <w:t>special residence permit</w:t>
      </w:r>
      <w:r w:rsidR="00F77123" w:rsidRPr="002C01FB">
        <w:rPr>
          <w:lang w:val="en-GB" w:eastAsia="ja-JP"/>
        </w:rPr>
        <w:t>s</w:t>
      </w:r>
      <w:r w:rsidRPr="002C01FB">
        <w:rPr>
          <w:lang w:val="en-GB" w:eastAsia="ja-JP"/>
        </w:rPr>
        <w:t xml:space="preserve"> should be given to </w:t>
      </w:r>
      <w:r w:rsidRPr="002C01FB">
        <w:rPr>
          <w:lang w:val="en-GB"/>
        </w:rPr>
        <w:t>the authors as unaccompanied minors under section 9c</w:t>
      </w:r>
      <w:r w:rsidR="00F77123" w:rsidRPr="002C01FB">
        <w:rPr>
          <w:lang w:val="en-GB"/>
        </w:rPr>
        <w:t> </w:t>
      </w:r>
      <w:r w:rsidRPr="002C01FB">
        <w:rPr>
          <w:lang w:val="en-GB"/>
        </w:rPr>
        <w:t>(3)</w:t>
      </w:r>
      <w:r w:rsidR="00F77123" w:rsidRPr="002C01FB">
        <w:rPr>
          <w:lang w:val="en-GB"/>
        </w:rPr>
        <w:t> </w:t>
      </w:r>
      <w:r w:rsidRPr="002C01FB">
        <w:rPr>
          <w:lang w:val="en-GB"/>
        </w:rPr>
        <w:t>(ii) of the Aliens Act</w:t>
      </w:r>
      <w:r w:rsidR="00F77123" w:rsidRPr="002C01FB">
        <w:rPr>
          <w:lang w:val="en-GB" w:eastAsia="ja-JP"/>
        </w:rPr>
        <w:t>; that</w:t>
      </w:r>
      <w:r w:rsidRPr="002C01FB">
        <w:rPr>
          <w:lang w:val="en-GB" w:eastAsia="ja-JP"/>
        </w:rPr>
        <w:t xml:space="preserve"> the Ministry of Justice confirmed the Immigration Service </w:t>
      </w:r>
      <w:r w:rsidR="00BC6520" w:rsidRPr="002C01FB">
        <w:rPr>
          <w:lang w:val="en-GB" w:eastAsia="ja-JP"/>
        </w:rPr>
        <w:t xml:space="preserve">decision </w:t>
      </w:r>
      <w:r w:rsidR="00F77123" w:rsidRPr="002C01FB">
        <w:rPr>
          <w:lang w:val="en-GB" w:eastAsia="ja-JP"/>
        </w:rPr>
        <w:t xml:space="preserve">of 27 February 2013, when the authors were 20 years old, </w:t>
      </w:r>
      <w:r w:rsidR="00BC6520" w:rsidRPr="002C01FB">
        <w:rPr>
          <w:lang w:val="en-GB" w:eastAsia="ja-JP"/>
        </w:rPr>
        <w:t xml:space="preserve">not </w:t>
      </w:r>
      <w:r w:rsidR="009C6717" w:rsidRPr="002C01FB">
        <w:rPr>
          <w:lang w:val="en-GB" w:eastAsia="ja-JP"/>
        </w:rPr>
        <w:t xml:space="preserve">to </w:t>
      </w:r>
      <w:r w:rsidR="009C6717" w:rsidRPr="002C01FB">
        <w:rPr>
          <w:lang w:val="en-GB"/>
        </w:rPr>
        <w:t>grant the</w:t>
      </w:r>
      <w:r w:rsidR="009C6717" w:rsidRPr="002C01FB">
        <w:rPr>
          <w:lang w:val="en-GB" w:eastAsia="ja-JP"/>
        </w:rPr>
        <w:t xml:space="preserve">m </w:t>
      </w:r>
      <w:r w:rsidR="00BC6520" w:rsidRPr="002C01FB">
        <w:rPr>
          <w:lang w:val="en-GB" w:eastAsia="ja-JP"/>
        </w:rPr>
        <w:t xml:space="preserve">special </w:t>
      </w:r>
      <w:r w:rsidR="009C6717" w:rsidRPr="002C01FB">
        <w:rPr>
          <w:lang w:val="en-GB"/>
        </w:rPr>
        <w:t>residence permit</w:t>
      </w:r>
      <w:r w:rsidR="00F77123" w:rsidRPr="002C01FB">
        <w:rPr>
          <w:lang w:val="en-GB"/>
        </w:rPr>
        <w:t>s</w:t>
      </w:r>
      <w:r w:rsidR="00BC6520" w:rsidRPr="002C01FB">
        <w:rPr>
          <w:lang w:val="en-GB" w:eastAsia="ja-JP"/>
        </w:rPr>
        <w:t xml:space="preserve">; </w:t>
      </w:r>
      <w:r w:rsidR="00F77123" w:rsidRPr="002C01FB">
        <w:rPr>
          <w:lang w:val="en-GB" w:eastAsia="ja-JP"/>
        </w:rPr>
        <w:t xml:space="preserve">that </w:t>
      </w:r>
      <w:r w:rsidR="009C6717" w:rsidRPr="002C01FB">
        <w:rPr>
          <w:lang w:val="en-GB" w:eastAsia="ja-JP"/>
        </w:rPr>
        <w:t>the</w:t>
      </w:r>
      <w:r w:rsidR="002667AA" w:rsidRPr="002C01FB">
        <w:rPr>
          <w:lang w:val="en-GB" w:eastAsia="ja-JP"/>
        </w:rPr>
        <w:t xml:space="preserve"> authors</w:t>
      </w:r>
      <w:r w:rsidR="00BC6520" w:rsidRPr="002C01FB">
        <w:rPr>
          <w:lang w:val="en-GB" w:eastAsia="ja-JP"/>
        </w:rPr>
        <w:t xml:space="preserve"> </w:t>
      </w:r>
      <w:r w:rsidR="009C6717" w:rsidRPr="002C01FB">
        <w:rPr>
          <w:lang w:val="en-GB" w:eastAsia="ja-JP"/>
        </w:rPr>
        <w:t xml:space="preserve">have not </w:t>
      </w:r>
      <w:r w:rsidRPr="002C01FB">
        <w:rPr>
          <w:lang w:val="en-GB"/>
        </w:rPr>
        <w:t>provided information regarding the nature and severity of their alleged psychological difficulties</w:t>
      </w:r>
      <w:r w:rsidR="00BC6520" w:rsidRPr="002C01FB">
        <w:rPr>
          <w:lang w:val="en-GB" w:eastAsia="ja-JP"/>
        </w:rPr>
        <w:t xml:space="preserve">; </w:t>
      </w:r>
      <w:r w:rsidR="00F77123" w:rsidRPr="002C01FB">
        <w:rPr>
          <w:lang w:val="en-GB" w:eastAsia="ja-JP"/>
        </w:rPr>
        <w:t xml:space="preserve">and that the authors </w:t>
      </w:r>
      <w:r w:rsidR="006A14A0" w:rsidRPr="002C01FB">
        <w:rPr>
          <w:lang w:val="en-GB" w:eastAsia="ja-JP"/>
        </w:rPr>
        <w:t xml:space="preserve">have </w:t>
      </w:r>
      <w:r w:rsidR="00F77123" w:rsidRPr="002C01FB">
        <w:rPr>
          <w:lang w:val="en-GB" w:eastAsia="ja-JP"/>
        </w:rPr>
        <w:t xml:space="preserve">not </w:t>
      </w:r>
      <w:r w:rsidR="00BC6520" w:rsidRPr="002C01FB">
        <w:rPr>
          <w:lang w:val="en-GB"/>
        </w:rPr>
        <w:t>shown that they have necessary family or medical support in the State party that they could not receive in their country of origin.</w:t>
      </w:r>
    </w:p>
    <w:p w14:paraId="3648AD57" w14:textId="77777777" w:rsidR="00D05C86" w:rsidRPr="007345D4" w:rsidRDefault="00AD0CCA" w:rsidP="005E25F4">
      <w:pPr>
        <w:pStyle w:val="SingleTxtG"/>
        <w:rPr>
          <w:lang w:val="en-GB" w:eastAsia="ja-JP"/>
        </w:rPr>
      </w:pPr>
      <w:r w:rsidRPr="007345D4">
        <w:t>7.</w:t>
      </w:r>
      <w:r w:rsidR="00B81931" w:rsidRPr="007345D4">
        <w:rPr>
          <w:lang w:eastAsia="ja-JP"/>
        </w:rPr>
        <w:t>7</w:t>
      </w:r>
      <w:r w:rsidR="00E01AF0" w:rsidRPr="007345D4">
        <w:tab/>
      </w:r>
      <w:r w:rsidR="00113E4A" w:rsidRPr="007345D4">
        <w:rPr>
          <w:lang w:eastAsia="ja-JP"/>
        </w:rPr>
        <w:t>On the other hand, t</w:t>
      </w:r>
      <w:r w:rsidR="00E01AF0" w:rsidRPr="007345D4">
        <w:t xml:space="preserve">he Committee </w:t>
      </w:r>
      <w:r w:rsidR="00883BAF" w:rsidRPr="007345D4">
        <w:rPr>
          <w:lang w:eastAsia="ja-JP"/>
        </w:rPr>
        <w:t xml:space="preserve">also </w:t>
      </w:r>
      <w:r w:rsidR="00E01AF0" w:rsidRPr="007345D4">
        <w:t xml:space="preserve">observes that the </w:t>
      </w:r>
      <w:r w:rsidR="00F77123">
        <w:rPr>
          <w:lang w:val="en-US"/>
        </w:rPr>
        <w:t xml:space="preserve">Refugee Appeals Board </w:t>
      </w:r>
      <w:r w:rsidR="00E01AF0" w:rsidRPr="007345D4">
        <w:t xml:space="preserve">found as fact the </w:t>
      </w:r>
      <w:r w:rsidR="006A14A0" w:rsidRPr="007345D4">
        <w:rPr>
          <w:lang w:eastAsia="ja-JP"/>
        </w:rPr>
        <w:t xml:space="preserve">following </w:t>
      </w:r>
      <w:r w:rsidR="00E01AF0" w:rsidRPr="007345D4">
        <w:t>accounts given by the authors</w:t>
      </w:r>
      <w:r w:rsidR="006A14A0" w:rsidRPr="007345D4">
        <w:rPr>
          <w:lang w:eastAsia="ja-JP"/>
        </w:rPr>
        <w:t>:</w:t>
      </w:r>
      <w:r w:rsidR="00E01AF0" w:rsidRPr="007345D4">
        <w:t xml:space="preserve"> they </w:t>
      </w:r>
      <w:r w:rsidR="007E6CF3">
        <w:rPr>
          <w:lang w:val="en-US"/>
        </w:rPr>
        <w:t>are</w:t>
      </w:r>
      <w:r w:rsidR="00E01AF0" w:rsidRPr="007345D4">
        <w:t xml:space="preserve"> ethnic Tamils from the Vanni area; their father was taken away by </w:t>
      </w:r>
      <w:r w:rsidR="00213875">
        <w:t>LTTE</w:t>
      </w:r>
      <w:r w:rsidR="00E01AF0" w:rsidRPr="007345D4">
        <w:t xml:space="preserve"> in 2009; the family fled to </w:t>
      </w:r>
      <w:r w:rsidR="00E01AF0" w:rsidRPr="009C6CBA">
        <w:t>Mullivaikal</w:t>
      </w:r>
      <w:r w:rsidR="00E01AF0" w:rsidRPr="007345D4">
        <w:t xml:space="preserve">; they lost contact with their mother and sister; and they were taken by the military to a camp in Vavuniya, where they were picked up by a maternal uncle after two months. </w:t>
      </w:r>
      <w:r w:rsidR="00C219E8" w:rsidRPr="007345D4">
        <w:t xml:space="preserve">Although the authorities did not </w:t>
      </w:r>
      <w:r w:rsidR="00C219E8" w:rsidRPr="00EF16DE">
        <w:t>refute</w:t>
      </w:r>
      <w:r w:rsidR="00C219E8" w:rsidRPr="007345D4">
        <w:t xml:space="preserve"> </w:t>
      </w:r>
      <w:r w:rsidR="002C01FB">
        <w:rPr>
          <w:lang w:val="en-US"/>
        </w:rPr>
        <w:t xml:space="preserve">the claim </w:t>
      </w:r>
      <w:r w:rsidR="00C219E8" w:rsidRPr="007345D4">
        <w:t xml:space="preserve">that </w:t>
      </w:r>
      <w:r w:rsidR="008B4BDA">
        <w:rPr>
          <w:lang w:val="en-US"/>
        </w:rPr>
        <w:t xml:space="preserve">the father of the authors had been </w:t>
      </w:r>
      <w:r w:rsidR="00C219E8" w:rsidRPr="007345D4">
        <w:t xml:space="preserve">an active member of </w:t>
      </w:r>
      <w:r w:rsidR="00213875">
        <w:t>LTTE</w:t>
      </w:r>
      <w:r w:rsidR="006D7819" w:rsidRPr="007345D4">
        <w:t>, they</w:t>
      </w:r>
      <w:r w:rsidR="00E01AF0" w:rsidRPr="007345D4">
        <w:t xml:space="preserve"> denied the authors’ request for asylum mainly because their father </w:t>
      </w:r>
      <w:r w:rsidR="00E01AF0" w:rsidRPr="00EF16DE">
        <w:t>was not a high</w:t>
      </w:r>
      <w:r w:rsidR="007E6CF3" w:rsidRPr="002C01FB">
        <w:rPr>
          <w:lang w:val="en-US"/>
        </w:rPr>
        <w:t>-</w:t>
      </w:r>
      <w:r w:rsidR="00E01AF0" w:rsidRPr="002C01FB">
        <w:t xml:space="preserve">profile member of </w:t>
      </w:r>
      <w:r w:rsidR="00213875">
        <w:t>LTTE</w:t>
      </w:r>
      <w:r w:rsidR="00E01AF0" w:rsidRPr="002C01FB">
        <w:t xml:space="preserve"> and his affiliation </w:t>
      </w:r>
      <w:r w:rsidR="008B4BDA" w:rsidRPr="002C01FB">
        <w:rPr>
          <w:lang w:val="en-US"/>
        </w:rPr>
        <w:t>with</w:t>
      </w:r>
      <w:r w:rsidR="00E01AF0" w:rsidRPr="002C01FB">
        <w:t xml:space="preserve"> it had ended years </w:t>
      </w:r>
      <w:r w:rsidR="002C01FB" w:rsidRPr="002C01FB">
        <w:rPr>
          <w:lang w:val="en-US"/>
        </w:rPr>
        <w:t>earlier</w:t>
      </w:r>
      <w:r w:rsidR="00E01AF0" w:rsidRPr="002C01FB">
        <w:t xml:space="preserve">. The </w:t>
      </w:r>
      <w:r w:rsidR="007E6CF3" w:rsidRPr="002C01FB">
        <w:rPr>
          <w:lang w:val="en-US"/>
        </w:rPr>
        <w:t xml:space="preserve">Refugee Appeals Board </w:t>
      </w:r>
      <w:r w:rsidR="00E01AF0" w:rsidRPr="002C01FB">
        <w:t>referred to these findings when rejecting the authors’ request for reopening the asylum proceedings on 29 August 2013. However, the Committee observes</w:t>
      </w:r>
      <w:r w:rsidR="00E01AF0" w:rsidRPr="007345D4">
        <w:t xml:space="preserve"> that </w:t>
      </w:r>
      <w:r w:rsidR="00552873" w:rsidRPr="007345D4">
        <w:t xml:space="preserve">current </w:t>
      </w:r>
      <w:r w:rsidR="00E01AF0" w:rsidRPr="007345D4">
        <w:t xml:space="preserve">reports </w:t>
      </w:r>
      <w:r w:rsidR="006D7819" w:rsidRPr="007345D4">
        <w:t>in the public domain concerning</w:t>
      </w:r>
      <w:r w:rsidR="00E01AF0" w:rsidRPr="009B3BE6">
        <w:rPr>
          <w:lang w:val="en-GB"/>
        </w:rPr>
        <w:t xml:space="preserve"> the human rights situation in Sri Lanka,</w:t>
      </w:r>
      <w:r w:rsidR="00552873" w:rsidRPr="009B3BE6">
        <w:rPr>
          <w:rStyle w:val="FootnoteReference"/>
          <w:lang w:val="en-GB"/>
        </w:rPr>
        <w:footnoteReference w:id="16"/>
      </w:r>
      <w:r w:rsidR="00E01AF0" w:rsidRPr="009B3BE6">
        <w:rPr>
          <w:lang w:val="en-GB"/>
        </w:rPr>
        <w:t xml:space="preserve"> </w:t>
      </w:r>
      <w:r w:rsidR="00CC0C3E" w:rsidRPr="009B3BE6">
        <w:rPr>
          <w:lang w:val="en-GB"/>
        </w:rPr>
        <w:t>as</w:t>
      </w:r>
      <w:r w:rsidR="00552873" w:rsidRPr="009B3BE6">
        <w:rPr>
          <w:lang w:val="en-GB"/>
        </w:rPr>
        <w:t xml:space="preserve"> well as</w:t>
      </w:r>
      <w:r w:rsidR="006D7819" w:rsidRPr="009B3BE6">
        <w:rPr>
          <w:lang w:val="en-GB"/>
        </w:rPr>
        <w:t xml:space="preserve"> those </w:t>
      </w:r>
      <w:r w:rsidR="00E01AF0" w:rsidRPr="009B3BE6">
        <w:rPr>
          <w:lang w:val="en-GB"/>
        </w:rPr>
        <w:t>to which the parties refer,</w:t>
      </w:r>
      <w:r w:rsidR="00E01AF0" w:rsidRPr="009B3BE6">
        <w:rPr>
          <w:rStyle w:val="FootnoteReference"/>
          <w:lang w:val="en-GB"/>
        </w:rPr>
        <w:footnoteReference w:id="17"/>
      </w:r>
      <w:r w:rsidR="00E01AF0" w:rsidRPr="009B3BE6">
        <w:rPr>
          <w:lang w:val="en-GB"/>
        </w:rPr>
        <w:t xml:space="preserve"> indicate that</w:t>
      </w:r>
      <w:r w:rsidR="00E7219D">
        <w:rPr>
          <w:lang w:val="en-GB"/>
        </w:rPr>
        <w:t>,</w:t>
      </w:r>
      <w:r w:rsidR="00E01AF0" w:rsidRPr="009B3BE6">
        <w:rPr>
          <w:lang w:val="en-GB"/>
        </w:rPr>
        <w:t xml:space="preserve"> despite the change </w:t>
      </w:r>
      <w:r w:rsidR="008B4BDA">
        <w:rPr>
          <w:lang w:val="en-GB"/>
        </w:rPr>
        <w:t>in</w:t>
      </w:r>
      <w:r w:rsidR="008B4BDA" w:rsidRPr="009B3BE6">
        <w:rPr>
          <w:lang w:val="en-GB"/>
        </w:rPr>
        <w:t xml:space="preserve"> </w:t>
      </w:r>
      <w:r w:rsidR="00E01AF0" w:rsidRPr="009B3BE6">
        <w:rPr>
          <w:lang w:val="en-GB"/>
        </w:rPr>
        <w:t>conditions</w:t>
      </w:r>
      <w:r w:rsidR="00332495" w:rsidRPr="009B3BE6">
        <w:rPr>
          <w:lang w:val="en-GB"/>
        </w:rPr>
        <w:t xml:space="preserve"> in the country</w:t>
      </w:r>
      <w:r w:rsidR="00E01AF0" w:rsidRPr="009B3BE6">
        <w:rPr>
          <w:lang w:val="en-GB"/>
        </w:rPr>
        <w:t xml:space="preserve">, human rights violations, including torture, continue to </w:t>
      </w:r>
      <w:r w:rsidR="00332495" w:rsidRPr="009B3BE6">
        <w:rPr>
          <w:lang w:val="en-GB"/>
        </w:rPr>
        <w:t>occur</w:t>
      </w:r>
      <w:r w:rsidR="00E01AF0" w:rsidRPr="009B3BE6">
        <w:rPr>
          <w:lang w:val="en-GB"/>
        </w:rPr>
        <w:t xml:space="preserve"> and that</w:t>
      </w:r>
      <w:r w:rsidR="007E6CF3">
        <w:rPr>
          <w:lang w:val="en-GB"/>
        </w:rPr>
        <w:t>,</w:t>
      </w:r>
      <w:r w:rsidR="00E01AF0" w:rsidRPr="009B3BE6">
        <w:rPr>
          <w:lang w:val="en-GB"/>
        </w:rPr>
        <w:t xml:space="preserve"> inter alia</w:t>
      </w:r>
      <w:r w:rsidR="007E6CF3">
        <w:rPr>
          <w:lang w:val="en-GB"/>
        </w:rPr>
        <w:t>,</w:t>
      </w:r>
      <w:r w:rsidR="00E01AF0" w:rsidRPr="009B3BE6">
        <w:rPr>
          <w:lang w:val="en-GB"/>
        </w:rPr>
        <w:t xml:space="preserve"> certain individuals of Tamil ethnicity who are suspected of having links to </w:t>
      </w:r>
      <w:r w:rsidR="00213875">
        <w:rPr>
          <w:lang w:val="en-GB"/>
        </w:rPr>
        <w:t>LTTE</w:t>
      </w:r>
      <w:r w:rsidR="00E01AF0" w:rsidRPr="009B3BE6">
        <w:rPr>
          <w:lang w:val="en-GB"/>
        </w:rPr>
        <w:t>, such as persons with family links or who are dependent on or otherwise closely related to former LTTE combatants</w:t>
      </w:r>
      <w:r w:rsidR="00332495" w:rsidRPr="009B3BE6">
        <w:rPr>
          <w:lang w:val="en-GB"/>
        </w:rPr>
        <w:t>,</w:t>
      </w:r>
      <w:r w:rsidR="00E01AF0" w:rsidRPr="009B3BE6">
        <w:rPr>
          <w:lang w:val="en-GB"/>
        </w:rPr>
        <w:t xml:space="preserve"> “cadres” or former LTTE supporters who may never have undergone military training, may be in need of international protection.</w:t>
      </w:r>
      <w:r w:rsidR="006D7819" w:rsidRPr="009B3BE6">
        <w:rPr>
          <w:lang w:val="en-GB"/>
        </w:rPr>
        <w:t xml:space="preserve"> </w:t>
      </w:r>
      <w:r w:rsidR="00552873" w:rsidRPr="009B3BE6">
        <w:rPr>
          <w:lang w:val="en-GB"/>
        </w:rPr>
        <w:t>In the light of the information provided by the author</w:t>
      </w:r>
      <w:r w:rsidR="00552873" w:rsidRPr="00EF16DE">
        <w:t>s</w:t>
      </w:r>
      <w:r w:rsidR="00552873" w:rsidRPr="009B3BE6">
        <w:rPr>
          <w:lang w:val="en-GB"/>
        </w:rPr>
        <w:t xml:space="preserve">, the information presently available to the Committee and the record of human rights violations in Sri Lanka, the Committee considers that the </w:t>
      </w:r>
      <w:r w:rsidR="008B4BDA" w:rsidRPr="00EF16DE">
        <w:rPr>
          <w:lang w:val="en-GB"/>
        </w:rPr>
        <w:t xml:space="preserve">authorities of the </w:t>
      </w:r>
      <w:r w:rsidR="00552873" w:rsidRPr="009B3BE6">
        <w:rPr>
          <w:lang w:val="en-GB"/>
        </w:rPr>
        <w:t xml:space="preserve">State party have not given appropriate consideration to the claim </w:t>
      </w:r>
      <w:r w:rsidR="008B4BDA" w:rsidRPr="00EF16DE">
        <w:rPr>
          <w:lang w:val="en-GB"/>
        </w:rPr>
        <w:t xml:space="preserve">of the authors </w:t>
      </w:r>
      <w:r w:rsidR="00552873" w:rsidRPr="009B3BE6">
        <w:rPr>
          <w:lang w:val="en-GB"/>
        </w:rPr>
        <w:t xml:space="preserve">that </w:t>
      </w:r>
      <w:r w:rsidR="00552873" w:rsidRPr="00EF16DE">
        <w:t>t</w:t>
      </w:r>
      <w:r w:rsidR="00552873" w:rsidRPr="009B3BE6">
        <w:rPr>
          <w:lang w:val="en-GB"/>
        </w:rPr>
        <w:t>he</w:t>
      </w:r>
      <w:r w:rsidR="00552873" w:rsidRPr="00EF16DE">
        <w:t>y</w:t>
      </w:r>
      <w:r w:rsidR="00552873" w:rsidRPr="009B3BE6">
        <w:rPr>
          <w:lang w:val="en-GB"/>
        </w:rPr>
        <w:t xml:space="preserve"> would be at risk of being subject</w:t>
      </w:r>
      <w:r w:rsidR="00213875">
        <w:rPr>
          <w:lang w:val="en-GB"/>
        </w:rPr>
        <w:t>ed</w:t>
      </w:r>
      <w:r w:rsidR="00552873" w:rsidRPr="009B3BE6">
        <w:rPr>
          <w:lang w:val="en-GB"/>
        </w:rPr>
        <w:t xml:space="preserve"> to torture or ill-treatment if removed to Sri Lanka </w:t>
      </w:r>
      <w:r w:rsidR="00110F82">
        <w:rPr>
          <w:lang w:val="en-GB"/>
        </w:rPr>
        <w:t xml:space="preserve">as a result of </w:t>
      </w:r>
      <w:r w:rsidR="00552873" w:rsidRPr="009B3BE6">
        <w:rPr>
          <w:lang w:val="en-GB"/>
        </w:rPr>
        <w:t xml:space="preserve">the previous affiliation of their father </w:t>
      </w:r>
      <w:r w:rsidR="008B4BDA">
        <w:rPr>
          <w:lang w:val="en-GB"/>
        </w:rPr>
        <w:t>with</w:t>
      </w:r>
      <w:r w:rsidR="00552873" w:rsidRPr="009B3BE6">
        <w:rPr>
          <w:lang w:val="en-GB"/>
        </w:rPr>
        <w:t xml:space="preserve"> </w:t>
      </w:r>
      <w:r w:rsidR="00213875">
        <w:rPr>
          <w:lang w:val="en-GB"/>
        </w:rPr>
        <w:t>LTTE</w:t>
      </w:r>
      <w:r w:rsidR="00552873" w:rsidRPr="009B3BE6">
        <w:rPr>
          <w:lang w:val="en-GB"/>
        </w:rPr>
        <w:t xml:space="preserve">, the fact that </w:t>
      </w:r>
      <w:r w:rsidR="00552873" w:rsidRPr="007345D4">
        <w:t>they were</w:t>
      </w:r>
      <w:r w:rsidR="00552873" w:rsidRPr="009B3BE6">
        <w:rPr>
          <w:lang w:val="en-GB"/>
        </w:rPr>
        <w:t xml:space="preserve"> taken away by this organization in 2009 and the events that the authors went through prior to their departure </w:t>
      </w:r>
      <w:r w:rsidR="00747CFF">
        <w:rPr>
          <w:lang w:val="en-GB"/>
        </w:rPr>
        <w:t>from</w:t>
      </w:r>
      <w:r w:rsidR="00552873" w:rsidRPr="009B3BE6">
        <w:rPr>
          <w:lang w:val="en-GB"/>
        </w:rPr>
        <w:t xml:space="preserve"> Sri Lanka.</w:t>
      </w:r>
      <w:r w:rsidR="006C522B" w:rsidRPr="009B3BE6">
        <w:rPr>
          <w:lang w:val="en-GB"/>
        </w:rPr>
        <w:t xml:space="preserve"> </w:t>
      </w:r>
      <w:r w:rsidR="00552873" w:rsidRPr="009B3BE6">
        <w:rPr>
          <w:lang w:val="en-GB"/>
        </w:rPr>
        <w:t xml:space="preserve">Under these circumstances, </w:t>
      </w:r>
      <w:r w:rsidR="00F4398F" w:rsidRPr="007345D4">
        <w:t xml:space="preserve">the Committee is of the view that the removal </w:t>
      </w:r>
      <w:r w:rsidR="00050591" w:rsidRPr="007345D4">
        <w:rPr>
          <w:lang w:eastAsia="ja-JP"/>
        </w:rPr>
        <w:t xml:space="preserve">of </w:t>
      </w:r>
      <w:r w:rsidR="00F4398F" w:rsidRPr="007345D4">
        <w:t xml:space="preserve">the authors </w:t>
      </w:r>
      <w:r w:rsidR="00050591" w:rsidRPr="007345D4">
        <w:rPr>
          <w:lang w:eastAsia="ja-JP"/>
        </w:rPr>
        <w:t xml:space="preserve">in the absence of further consideration of their claim </w:t>
      </w:r>
      <w:r w:rsidR="00F4398F" w:rsidRPr="007345D4">
        <w:t>would</w:t>
      </w:r>
      <w:r w:rsidR="00050591" w:rsidRPr="007345D4">
        <w:rPr>
          <w:lang w:eastAsia="ja-JP"/>
        </w:rPr>
        <w:t xml:space="preserve"> </w:t>
      </w:r>
      <w:r w:rsidR="00F4398F" w:rsidRPr="007345D4">
        <w:t xml:space="preserve">put them </w:t>
      </w:r>
      <w:r w:rsidR="00386808" w:rsidRPr="007345D4">
        <w:rPr>
          <w:lang w:eastAsia="ja-JP"/>
        </w:rPr>
        <w:t>to</w:t>
      </w:r>
      <w:r w:rsidR="00F4398F" w:rsidRPr="007345D4">
        <w:t xml:space="preserve"> </w:t>
      </w:r>
      <w:r w:rsidR="00050591" w:rsidRPr="007345D4">
        <w:rPr>
          <w:lang w:eastAsia="ja-JP"/>
        </w:rPr>
        <w:t xml:space="preserve">a real </w:t>
      </w:r>
      <w:r w:rsidR="00F4398F" w:rsidRPr="007345D4">
        <w:t xml:space="preserve">risk of </w:t>
      </w:r>
      <w:r w:rsidR="00050591" w:rsidRPr="007345D4">
        <w:rPr>
          <w:lang w:eastAsia="ja-JP"/>
        </w:rPr>
        <w:t xml:space="preserve">irreparable harm such as </w:t>
      </w:r>
      <w:r w:rsidR="00110F82">
        <w:rPr>
          <w:lang w:val="en-US" w:eastAsia="ja-JP"/>
        </w:rPr>
        <w:t xml:space="preserve">that </w:t>
      </w:r>
      <w:r w:rsidR="00050591" w:rsidRPr="007345D4">
        <w:rPr>
          <w:lang w:eastAsia="ja-JP"/>
        </w:rPr>
        <w:t xml:space="preserve">contemplated in </w:t>
      </w:r>
      <w:r w:rsidR="00F4398F" w:rsidRPr="007345D4">
        <w:t>article 7 of the Covenant.</w:t>
      </w:r>
    </w:p>
    <w:p w14:paraId="1D2EBFBE" w14:textId="77777777" w:rsidR="001C2CDF" w:rsidRPr="007345D4" w:rsidRDefault="00E01AF0">
      <w:pPr>
        <w:pStyle w:val="SingleTxtG"/>
        <w:rPr>
          <w:lang w:val="en-GB"/>
        </w:rPr>
      </w:pPr>
      <w:r w:rsidRPr="007345D4">
        <w:rPr>
          <w:lang w:val="en-GB"/>
        </w:rPr>
        <w:t>8.</w:t>
      </w:r>
      <w:r w:rsidRPr="009B3BE6">
        <w:rPr>
          <w:lang w:val="en-GB"/>
        </w:rPr>
        <w:tab/>
        <w:t xml:space="preserve">The Committee, acting under article 5 </w:t>
      </w:r>
      <w:r w:rsidR="00747CFF">
        <w:rPr>
          <w:lang w:val="en-GB"/>
        </w:rPr>
        <w:t>(</w:t>
      </w:r>
      <w:r w:rsidRPr="009B3BE6">
        <w:rPr>
          <w:lang w:val="en-GB"/>
        </w:rPr>
        <w:t>4</w:t>
      </w:r>
      <w:r w:rsidR="00747CFF">
        <w:rPr>
          <w:lang w:val="en-GB"/>
        </w:rPr>
        <w:t>)</w:t>
      </w:r>
      <w:r w:rsidRPr="009B3BE6">
        <w:rPr>
          <w:lang w:val="en-GB"/>
        </w:rPr>
        <w:t xml:space="preserve"> of the Optional Protocol, is of the view that the deportation of the authors to Sri Lanka would violate their rights under article 7 of the Covenant.</w:t>
      </w:r>
    </w:p>
    <w:p w14:paraId="257EAD66" w14:textId="77777777" w:rsidR="00E01AF0" w:rsidRPr="009B3BE6" w:rsidRDefault="00E01AF0">
      <w:pPr>
        <w:pStyle w:val="SingleTxtG"/>
        <w:rPr>
          <w:lang w:val="en-GB"/>
        </w:rPr>
      </w:pPr>
      <w:r w:rsidRPr="009B3BE6">
        <w:rPr>
          <w:lang w:val="en-GB"/>
        </w:rPr>
        <w:t>9.</w:t>
      </w:r>
      <w:r w:rsidRPr="009B3BE6">
        <w:rPr>
          <w:lang w:val="en-GB"/>
        </w:rPr>
        <w:tab/>
        <w:t xml:space="preserve">In accordance with article 2 </w:t>
      </w:r>
      <w:r w:rsidR="00747CFF" w:rsidRPr="00EF16DE">
        <w:rPr>
          <w:lang w:val="en-GB"/>
        </w:rPr>
        <w:t>(</w:t>
      </w:r>
      <w:r w:rsidRPr="009B3BE6">
        <w:rPr>
          <w:lang w:val="en-GB"/>
        </w:rPr>
        <w:t>3</w:t>
      </w:r>
      <w:r w:rsidR="00747CFF" w:rsidRPr="00EF16DE">
        <w:rPr>
          <w:lang w:val="en-GB"/>
        </w:rPr>
        <w:t>) </w:t>
      </w:r>
      <w:r w:rsidRPr="009B3BE6">
        <w:rPr>
          <w:lang w:val="en-GB"/>
        </w:rPr>
        <w:t>(a) of the Covenant, the State party is under an obligation to provide the authors with an effective remedy</w:t>
      </w:r>
      <w:r w:rsidR="00603F6A" w:rsidRPr="00EF16DE">
        <w:rPr>
          <w:lang w:val="en-GB"/>
        </w:rPr>
        <w:t xml:space="preserve">. This </w:t>
      </w:r>
      <w:r w:rsidR="002667AA" w:rsidRPr="002C01FB">
        <w:rPr>
          <w:lang w:val="en-GB" w:eastAsia="ja-JP"/>
        </w:rPr>
        <w:t>re</w:t>
      </w:r>
      <w:r w:rsidR="00603F6A" w:rsidRPr="002C01FB">
        <w:rPr>
          <w:lang w:val="en-GB"/>
        </w:rPr>
        <w:t>quires it to make full reparation to individuals whose Covenant rights have been violated. Accordingly</w:t>
      </w:r>
      <w:r w:rsidRPr="009B3BE6">
        <w:rPr>
          <w:lang w:val="en-GB"/>
        </w:rPr>
        <w:t>,</w:t>
      </w:r>
      <w:r w:rsidR="00603F6A" w:rsidRPr="00EF16DE">
        <w:rPr>
          <w:lang w:val="en-GB"/>
        </w:rPr>
        <w:t xml:space="preserve"> the State party is oblig</w:t>
      </w:r>
      <w:r w:rsidR="00807661" w:rsidRPr="002C01FB">
        <w:rPr>
          <w:lang w:val="en-GB"/>
        </w:rPr>
        <w:t>at</w:t>
      </w:r>
      <w:r w:rsidR="00603F6A" w:rsidRPr="002C01FB">
        <w:rPr>
          <w:lang w:val="en-GB"/>
        </w:rPr>
        <w:t>ed</w:t>
      </w:r>
      <w:r w:rsidR="006D49A7" w:rsidRPr="002C01FB">
        <w:rPr>
          <w:lang w:val="en-GB" w:eastAsia="ja-JP"/>
        </w:rPr>
        <w:t>,</w:t>
      </w:r>
      <w:r w:rsidR="00603F6A" w:rsidRPr="002C01FB">
        <w:rPr>
          <w:lang w:val="en-GB"/>
        </w:rPr>
        <w:t xml:space="preserve"> </w:t>
      </w:r>
      <w:r w:rsidR="00F77ECD" w:rsidRPr="009B3BE6">
        <w:rPr>
          <w:lang w:val="en-GB" w:eastAsia="ja-JP"/>
        </w:rPr>
        <w:t>inter alia</w:t>
      </w:r>
      <w:r w:rsidR="006D49A7" w:rsidRPr="00EF16DE">
        <w:rPr>
          <w:lang w:val="en-GB" w:eastAsia="ja-JP"/>
        </w:rPr>
        <w:t>,</w:t>
      </w:r>
      <w:r w:rsidR="00F77ECD" w:rsidRPr="002C01FB">
        <w:rPr>
          <w:lang w:val="en-GB" w:eastAsia="ja-JP"/>
        </w:rPr>
        <w:t xml:space="preserve"> </w:t>
      </w:r>
      <w:r w:rsidR="00603F6A" w:rsidRPr="002C01FB">
        <w:rPr>
          <w:lang w:val="en-GB"/>
        </w:rPr>
        <w:t xml:space="preserve">to </w:t>
      </w:r>
      <w:r w:rsidR="00333ECA" w:rsidRPr="002C01FB">
        <w:rPr>
          <w:lang w:val="en-GB"/>
        </w:rPr>
        <w:t>proceed to a review</w:t>
      </w:r>
      <w:r w:rsidR="006C522B" w:rsidRPr="00EF16DE">
        <w:rPr>
          <w:lang w:val="en-GB" w:eastAsia="ja-JP"/>
        </w:rPr>
        <w:t xml:space="preserve"> </w:t>
      </w:r>
      <w:r w:rsidRPr="009B3BE6">
        <w:rPr>
          <w:lang w:val="en-GB"/>
        </w:rPr>
        <w:t xml:space="preserve">of their requests for asylum, taking into account the State party’s obligations under the Covenant and the present Views. The State party is also under an obligation to avoid exposing others to similar risks of violation. </w:t>
      </w:r>
    </w:p>
    <w:p w14:paraId="07CEDF93" w14:textId="77777777" w:rsidR="00E01AF0" w:rsidRPr="009B3BE6" w:rsidRDefault="00E01AF0">
      <w:pPr>
        <w:pStyle w:val="SingleTxtG"/>
        <w:rPr>
          <w:lang w:val="en-GB"/>
        </w:rPr>
      </w:pPr>
      <w:r w:rsidRPr="009B3BE6">
        <w:rPr>
          <w:lang w:val="en-GB"/>
        </w:rPr>
        <w:t>10.</w:t>
      </w:r>
      <w:r w:rsidRPr="009B3BE6">
        <w:rPr>
          <w:lang w:val="en-GB"/>
        </w:rPr>
        <w:tab/>
        <w:t>Bearing in mind that, by becoming a State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its Views. The State party is also requested to publish the Committee’s Views and to have them translated in</w:t>
      </w:r>
      <w:r w:rsidR="00747CFF">
        <w:rPr>
          <w:lang w:val="en-GB"/>
        </w:rPr>
        <w:t>to</w:t>
      </w:r>
      <w:r w:rsidRPr="009B3BE6">
        <w:rPr>
          <w:lang w:val="en-GB"/>
        </w:rPr>
        <w:t xml:space="preserve"> the official language of the State pa</w:t>
      </w:r>
      <w:r w:rsidR="001C2CDF" w:rsidRPr="009B3BE6">
        <w:rPr>
          <w:lang w:val="en-GB"/>
        </w:rPr>
        <w:t>rty and widely distributed.</w:t>
      </w:r>
    </w:p>
    <w:p w14:paraId="2663C2C0" w14:textId="77777777" w:rsidR="006C522B" w:rsidRPr="009B3BE6" w:rsidRDefault="006C522B" w:rsidP="005E25F4">
      <w:pPr>
        <w:pStyle w:val="SingleTxtG"/>
        <w:rPr>
          <w:lang w:val="en-GB"/>
        </w:rPr>
        <w:sectPr w:rsidR="006C522B" w:rsidRPr="009B3BE6" w:rsidSect="00760E3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14:paraId="5C330A01" w14:textId="77777777" w:rsidR="006C522B" w:rsidRPr="007345D4" w:rsidRDefault="006C522B" w:rsidP="006C522B">
      <w:pPr>
        <w:keepNext/>
        <w:keepLines/>
        <w:tabs>
          <w:tab w:val="right" w:pos="851"/>
        </w:tabs>
        <w:spacing w:before="360" w:after="240" w:line="300" w:lineRule="exact"/>
        <w:ind w:left="1134" w:right="1134" w:hanging="1134"/>
        <w:rPr>
          <w:rFonts w:eastAsia="Times New Roman"/>
          <w:b/>
          <w:sz w:val="28"/>
        </w:rPr>
      </w:pPr>
      <w:r w:rsidRPr="007345D4">
        <w:rPr>
          <w:rFonts w:eastAsia="Times New Roman"/>
          <w:b/>
          <w:sz w:val="28"/>
        </w:rPr>
        <w:t>Appendix</w:t>
      </w:r>
    </w:p>
    <w:p w14:paraId="2D13A26E" w14:textId="77777777" w:rsidR="006C522B" w:rsidRPr="00832EFF" w:rsidRDefault="006C522B" w:rsidP="009B3BE6">
      <w:pPr>
        <w:pStyle w:val="H1G"/>
      </w:pPr>
      <w:r w:rsidRPr="00AD2E5E">
        <w:tab/>
      </w:r>
      <w:r w:rsidRPr="00AD2E5E">
        <w:tab/>
        <w:t xml:space="preserve">Joint opinion of Committee members Yuval Shany, Anja </w:t>
      </w:r>
      <w:r w:rsidRPr="00BF0B4B">
        <w:t>Seibert-Fohr and Konstantine Vardzelashvili (</w:t>
      </w:r>
      <w:r w:rsidRPr="00832EFF">
        <w:t>dissenting)</w:t>
      </w:r>
    </w:p>
    <w:p w14:paraId="654B162C" w14:textId="77777777" w:rsidR="006C522B" w:rsidRPr="007345D4" w:rsidRDefault="006C522B" w:rsidP="009B3BE6">
      <w:pPr>
        <w:pStyle w:val="SingleTxtG"/>
      </w:pPr>
      <w:r w:rsidRPr="007345D4">
        <w:rPr>
          <w:lang w:val="en-GB"/>
        </w:rPr>
        <w:t>1.</w:t>
      </w:r>
      <w:r w:rsidRPr="007345D4">
        <w:rPr>
          <w:lang w:val="en-GB"/>
        </w:rPr>
        <w:tab/>
        <w:t>We regret that we are unable to join the majority on the Committee in finding that</w:t>
      </w:r>
      <w:r w:rsidR="00F27668">
        <w:rPr>
          <w:lang w:val="en-GB"/>
        </w:rPr>
        <w:t>,</w:t>
      </w:r>
      <w:r w:rsidRPr="007345D4">
        <w:rPr>
          <w:lang w:val="en-GB"/>
        </w:rPr>
        <w:t xml:space="preserve"> in deciding to deport the author</w:t>
      </w:r>
      <w:r w:rsidR="00F27668">
        <w:rPr>
          <w:lang w:val="en-GB"/>
        </w:rPr>
        <w:t>,</w:t>
      </w:r>
      <w:r w:rsidRPr="007345D4">
        <w:rPr>
          <w:lang w:val="en-GB"/>
        </w:rPr>
        <w:t xml:space="preserve"> Denmark would violate its obligations under article 7 of the Covenant. </w:t>
      </w:r>
    </w:p>
    <w:p w14:paraId="0C9E8961" w14:textId="77777777" w:rsidR="006C522B" w:rsidRPr="007345D4" w:rsidRDefault="006C522B" w:rsidP="009B3BE6">
      <w:pPr>
        <w:pStyle w:val="SingleTxtG"/>
      </w:pPr>
      <w:r w:rsidRPr="007345D4">
        <w:rPr>
          <w:lang w:val="en-GB"/>
        </w:rPr>
        <w:t>2.</w:t>
      </w:r>
      <w:r w:rsidRPr="007345D4">
        <w:rPr>
          <w:lang w:val="en-GB"/>
        </w:rPr>
        <w:tab/>
        <w:t>In paragraph 7.3 of the Views, the Committee recalls</w:t>
      </w:r>
      <w:r w:rsidR="00F27668">
        <w:rPr>
          <w:lang w:val="en-GB"/>
        </w:rPr>
        <w:t xml:space="preserve"> that</w:t>
      </w:r>
      <w:r w:rsidRPr="007345D4">
        <w:rPr>
          <w:lang w:val="en-GB"/>
        </w:rPr>
        <w:t xml:space="preserve"> “it is generally for the organs of States parties to the Covenant to examine the facts and evidence of the case in order to determine whether such a risk exists, unless it can be established that the assessment was arbitrary or amounted to a manifest error or denial of justice”. Yet</w:t>
      </w:r>
      <w:r w:rsidR="00F27668">
        <w:rPr>
          <w:lang w:val="en-GB"/>
        </w:rPr>
        <w:t>,</w:t>
      </w:r>
      <w:r w:rsidRPr="007345D4">
        <w:rPr>
          <w:lang w:val="en-GB"/>
        </w:rPr>
        <w:t xml:space="preserve"> in paragraph 7.7</w:t>
      </w:r>
      <w:r w:rsidR="008B4BDA">
        <w:rPr>
          <w:lang w:val="en-GB"/>
        </w:rPr>
        <w:t>,</w:t>
      </w:r>
      <w:r w:rsidRPr="007345D4">
        <w:rPr>
          <w:lang w:val="en-GB"/>
        </w:rPr>
        <w:t xml:space="preserve"> it holds that “the </w:t>
      </w:r>
      <w:r w:rsidR="00A06F4B">
        <w:rPr>
          <w:lang w:val="en-GB"/>
        </w:rPr>
        <w:t xml:space="preserve">authorities of the </w:t>
      </w:r>
      <w:r w:rsidRPr="007345D4">
        <w:rPr>
          <w:lang w:val="en-GB"/>
        </w:rPr>
        <w:t xml:space="preserve">State party have not given appropriate consideration to the claim </w:t>
      </w:r>
      <w:r w:rsidR="00A06F4B">
        <w:rPr>
          <w:lang w:val="en-GB"/>
        </w:rPr>
        <w:t xml:space="preserve">of the authors </w:t>
      </w:r>
      <w:r w:rsidRPr="007345D4">
        <w:rPr>
          <w:lang w:val="en-GB"/>
        </w:rPr>
        <w:t>that they would be at risk of being subject</w:t>
      </w:r>
      <w:r w:rsidR="00213875">
        <w:rPr>
          <w:lang w:val="en-GB"/>
        </w:rPr>
        <w:t>ed</w:t>
      </w:r>
      <w:r w:rsidRPr="007345D4">
        <w:rPr>
          <w:lang w:val="en-GB"/>
        </w:rPr>
        <w:t xml:space="preserve"> to torture or ill-treatment if removed to Sri Lanka due to the previous affiliation of their father </w:t>
      </w:r>
      <w:r w:rsidR="00A06F4B">
        <w:rPr>
          <w:lang w:val="en-GB"/>
        </w:rPr>
        <w:t>with</w:t>
      </w:r>
      <w:r w:rsidRPr="007345D4">
        <w:rPr>
          <w:lang w:val="en-GB"/>
        </w:rPr>
        <w:t xml:space="preserve"> </w:t>
      </w:r>
      <w:r w:rsidR="00213875">
        <w:rPr>
          <w:lang w:val="en-GB"/>
        </w:rPr>
        <w:t>LTTE</w:t>
      </w:r>
      <w:r w:rsidRPr="007345D4">
        <w:rPr>
          <w:lang w:val="en-GB"/>
        </w:rPr>
        <w:t xml:space="preserve">, the fact that they were taken away by this organization in 2009 and the events that the authors went through prior to their departure </w:t>
      </w:r>
      <w:r w:rsidR="00F27668">
        <w:rPr>
          <w:lang w:val="en-GB"/>
        </w:rPr>
        <w:t>from</w:t>
      </w:r>
      <w:r w:rsidRPr="007345D4">
        <w:rPr>
          <w:lang w:val="en-GB"/>
        </w:rPr>
        <w:t xml:space="preserve"> Sri Lanka”</w:t>
      </w:r>
      <w:r w:rsidR="00DF2325" w:rsidRPr="009B3BE6">
        <w:rPr>
          <w:lang w:val="en-GB"/>
        </w:rPr>
        <w:t>.</w:t>
      </w:r>
    </w:p>
    <w:p w14:paraId="3908F73A" w14:textId="77777777" w:rsidR="006C522B" w:rsidRPr="007345D4" w:rsidRDefault="006C522B" w:rsidP="009B3BE6">
      <w:pPr>
        <w:pStyle w:val="SingleTxtG"/>
      </w:pPr>
      <w:r w:rsidRPr="007345D4">
        <w:rPr>
          <w:lang w:val="en-GB"/>
        </w:rPr>
        <w:t>3.</w:t>
      </w:r>
      <w:r w:rsidRPr="007345D4">
        <w:rPr>
          <w:lang w:val="en-GB"/>
        </w:rPr>
        <w:tab/>
        <w:t xml:space="preserve">In past cases in which the decision of </w:t>
      </w:r>
      <w:r w:rsidR="00E7219D">
        <w:rPr>
          <w:lang w:val="en-GB"/>
        </w:rPr>
        <w:t>S</w:t>
      </w:r>
      <w:r w:rsidRPr="007345D4">
        <w:rPr>
          <w:lang w:val="en-GB"/>
        </w:rPr>
        <w:t xml:space="preserve">tate organs to deport an individual was found by the Committee to run contrary to the Covenant, the Committee attempted to base its position on inadequacies in the </w:t>
      </w:r>
      <w:r w:rsidRPr="002C01FB">
        <w:rPr>
          <w:lang w:val="en-GB"/>
        </w:rPr>
        <w:t xml:space="preserve">domestic decision-making process </w:t>
      </w:r>
      <w:r w:rsidR="00646855">
        <w:rPr>
          <w:lang w:val="en-GB"/>
        </w:rPr>
        <w:t xml:space="preserve">of </w:t>
      </w:r>
      <w:r w:rsidRPr="002C01FB">
        <w:rPr>
          <w:lang w:val="en-GB"/>
        </w:rPr>
        <w:t>the domestic organs of the State party</w:t>
      </w:r>
      <w:r w:rsidR="00646855">
        <w:rPr>
          <w:lang w:val="en-GB"/>
        </w:rPr>
        <w:t xml:space="preserve"> that had led</w:t>
      </w:r>
      <w:r w:rsidRPr="002C01FB">
        <w:rPr>
          <w:lang w:val="en-GB"/>
        </w:rPr>
        <w:t xml:space="preserve"> to the decision to the deport</w:t>
      </w:r>
      <w:r w:rsidR="00E7219D" w:rsidRPr="002C01FB">
        <w:rPr>
          <w:lang w:val="en-GB"/>
        </w:rPr>
        <w:t>;</w:t>
      </w:r>
      <w:r w:rsidRPr="002C01FB">
        <w:rPr>
          <w:lang w:val="en-GB"/>
        </w:rPr>
        <w:t xml:space="preserve"> or </w:t>
      </w:r>
      <w:r w:rsidR="002C01FB" w:rsidRPr="002C01FB">
        <w:rPr>
          <w:lang w:val="en-GB"/>
        </w:rPr>
        <w:t>indications that</w:t>
      </w:r>
      <w:r w:rsidRPr="007345D4">
        <w:rPr>
          <w:lang w:val="en-GB"/>
        </w:rPr>
        <w:t xml:space="preserve"> the final decision was manifestly unreasonable or arbitrary in nature because available evidence was not </w:t>
      </w:r>
      <w:r w:rsidR="008B4BDA" w:rsidRPr="007345D4">
        <w:rPr>
          <w:lang w:val="en-GB"/>
        </w:rPr>
        <w:t xml:space="preserve">properly </w:t>
      </w:r>
      <w:r w:rsidRPr="007345D4">
        <w:rPr>
          <w:lang w:val="en-GB"/>
        </w:rPr>
        <w:t>taken into account or inadequate consideration was given in domestic proceedings to the specific rights of the author under the Covenant.</w:t>
      </w:r>
      <w:r w:rsidRPr="007345D4">
        <w:rPr>
          <w:rStyle w:val="FootnoteReference"/>
          <w:lang w:val="en-GB"/>
        </w:rPr>
        <w:footnoteReference w:id="18"/>
      </w:r>
      <w:r w:rsidRPr="007345D4">
        <w:rPr>
          <w:lang w:val="en-GB"/>
        </w:rPr>
        <w:t xml:space="preserve"> Procedural inadequacies consisted, at times, of serious procedural flaws in the conduct of the domestic review proceeding</w:t>
      </w:r>
      <w:r w:rsidRPr="007345D4">
        <w:rPr>
          <w:rStyle w:val="FootnoteReference"/>
          <w:lang w:val="en-GB"/>
        </w:rPr>
        <w:footnoteReference w:id="19"/>
      </w:r>
      <w:r w:rsidRPr="007345D4">
        <w:rPr>
          <w:lang w:val="en-GB"/>
        </w:rPr>
        <w:t xml:space="preserve"> or o</w:t>
      </w:r>
      <w:r w:rsidR="00E7219D">
        <w:rPr>
          <w:lang w:val="en-GB"/>
        </w:rPr>
        <w:t>f</w:t>
      </w:r>
      <w:r w:rsidRPr="007345D4">
        <w:rPr>
          <w:lang w:val="en-GB"/>
        </w:rPr>
        <w:t xml:space="preserve"> the inability of the State party to provide a reasonable justification for its decision.</w:t>
      </w:r>
      <w:r w:rsidRPr="007345D4">
        <w:rPr>
          <w:rStyle w:val="FootnoteReference"/>
          <w:lang w:val="en-GB"/>
        </w:rPr>
        <w:footnoteReference w:id="20"/>
      </w:r>
    </w:p>
    <w:p w14:paraId="28012D42" w14:textId="77777777" w:rsidR="006C522B" w:rsidRPr="007345D4" w:rsidRDefault="006C522B" w:rsidP="009B3BE6">
      <w:pPr>
        <w:pStyle w:val="SingleTxtG"/>
      </w:pPr>
      <w:r w:rsidRPr="007345D4">
        <w:rPr>
          <w:lang w:val="en-GB"/>
        </w:rPr>
        <w:t>4.</w:t>
      </w:r>
      <w:r w:rsidRPr="007345D4">
        <w:rPr>
          <w:lang w:val="en-GB"/>
        </w:rPr>
        <w:tab/>
        <w:t>Still, in the present case, the Committee merely notes that “current reports in the public domain concerning the human rights situation in Sri Lanka, as well as those to which the parties refer, indicate that</w:t>
      </w:r>
      <w:r w:rsidR="00E7219D">
        <w:rPr>
          <w:lang w:val="en-GB"/>
        </w:rPr>
        <w:t>,</w:t>
      </w:r>
      <w:r w:rsidRPr="007345D4">
        <w:rPr>
          <w:lang w:val="en-GB"/>
        </w:rPr>
        <w:t xml:space="preserve"> despite the change </w:t>
      </w:r>
      <w:r w:rsidR="00A06F4B">
        <w:rPr>
          <w:lang w:val="en-GB"/>
        </w:rPr>
        <w:t>in</w:t>
      </w:r>
      <w:r w:rsidRPr="007345D4">
        <w:rPr>
          <w:lang w:val="en-GB"/>
        </w:rPr>
        <w:t xml:space="preserve"> conditions in the country, human rights violations, including torture, continue to occur and that</w:t>
      </w:r>
      <w:r w:rsidR="00E7219D">
        <w:rPr>
          <w:lang w:val="en-GB"/>
        </w:rPr>
        <w:t>,</w:t>
      </w:r>
      <w:r w:rsidRPr="007345D4">
        <w:rPr>
          <w:lang w:val="en-GB"/>
        </w:rPr>
        <w:t xml:space="preserve"> inter alia</w:t>
      </w:r>
      <w:r w:rsidR="00E7219D">
        <w:rPr>
          <w:lang w:val="en-GB"/>
        </w:rPr>
        <w:t>,</w:t>
      </w:r>
      <w:r w:rsidRPr="007345D4">
        <w:rPr>
          <w:lang w:val="en-GB"/>
        </w:rPr>
        <w:t xml:space="preserve"> certain individuals of Tamil ethnicity who are suspected of having links to </w:t>
      </w:r>
      <w:r w:rsidR="00213875">
        <w:rPr>
          <w:lang w:val="en-GB"/>
        </w:rPr>
        <w:t>LTTE</w:t>
      </w:r>
      <w:r w:rsidRPr="007345D4">
        <w:rPr>
          <w:lang w:val="en-GB"/>
        </w:rPr>
        <w:t xml:space="preserve">, such as persons with family links or who are dependent on or otherwise closely related to former LTTE combatants, </w:t>
      </w:r>
      <w:r w:rsidR="00E7219D">
        <w:rPr>
          <w:lang w:val="en-GB"/>
        </w:rPr>
        <w:t>‘</w:t>
      </w:r>
      <w:r w:rsidRPr="007345D4">
        <w:rPr>
          <w:lang w:val="en-GB"/>
        </w:rPr>
        <w:t>cadres</w:t>
      </w:r>
      <w:r w:rsidR="00E7219D">
        <w:rPr>
          <w:lang w:val="en-GB"/>
        </w:rPr>
        <w:t>’</w:t>
      </w:r>
      <w:r w:rsidRPr="007345D4">
        <w:rPr>
          <w:lang w:val="en-GB"/>
        </w:rPr>
        <w:t xml:space="preserve"> or former LTTE supporters who may never have undergone military training, may be in need of international protection”</w:t>
      </w:r>
      <w:r w:rsidR="00E7219D">
        <w:rPr>
          <w:lang w:val="en-GB"/>
        </w:rPr>
        <w:t>.</w:t>
      </w:r>
      <w:r w:rsidRPr="007345D4">
        <w:rPr>
          <w:lang w:val="en-GB"/>
        </w:rPr>
        <w:t xml:space="preserve"> Note that </w:t>
      </w:r>
      <w:r w:rsidRPr="00DE5430">
        <w:rPr>
          <w:lang w:val="en-GB"/>
        </w:rPr>
        <w:t>the</w:t>
      </w:r>
      <w:r w:rsidRPr="007345D4">
        <w:rPr>
          <w:lang w:val="en-GB"/>
        </w:rPr>
        <w:t xml:space="preserve"> said “current reports” in the public domain, which were published only after asylum proceedings in the State party had been concluded (and therefore could not have been considered by the State </w:t>
      </w:r>
      <w:r w:rsidRPr="002C01FB">
        <w:rPr>
          <w:lang w:val="en-GB"/>
        </w:rPr>
        <w:t xml:space="preserve">party’s authorities), do not suggest a worsening of the human rights situation in Sri Lanka, nor do they establish a new personal risk to the authors which was not included in the information </w:t>
      </w:r>
      <w:r w:rsidR="002C01FB" w:rsidRPr="002C01FB">
        <w:rPr>
          <w:lang w:val="en-GB"/>
        </w:rPr>
        <w:t xml:space="preserve">that </w:t>
      </w:r>
      <w:r w:rsidRPr="002C01FB">
        <w:rPr>
          <w:lang w:val="en-GB"/>
        </w:rPr>
        <w:t>was before the State party’s authorities when reviewing the authors’ request for asylum.</w:t>
      </w:r>
      <w:r w:rsidRPr="007345D4">
        <w:rPr>
          <w:lang w:val="en-GB"/>
        </w:rPr>
        <w:t xml:space="preserve"> </w:t>
      </w:r>
    </w:p>
    <w:p w14:paraId="503217DD" w14:textId="77777777" w:rsidR="006C522B" w:rsidRPr="007345D4" w:rsidRDefault="006C522B" w:rsidP="009B3BE6">
      <w:pPr>
        <w:pStyle w:val="SingleTxtG"/>
      </w:pPr>
      <w:r w:rsidRPr="007345D4">
        <w:rPr>
          <w:lang w:val="en-GB"/>
        </w:rPr>
        <w:t>5.</w:t>
      </w:r>
      <w:r w:rsidRPr="007345D4">
        <w:rPr>
          <w:lang w:val="en-GB"/>
        </w:rPr>
        <w:tab/>
        <w:t xml:space="preserve">The majority of the Committee did not point to any procedural flaw, failure to consider an important piece of information or lack of motivation of the decision to deport. More specifically, we do not find a basis in the case file, including in the current reports found in the public domain cited in paragraph 7.7 of the Views, to regard the conclusion </w:t>
      </w:r>
      <w:r w:rsidR="002E2684">
        <w:rPr>
          <w:lang w:val="en-GB"/>
        </w:rPr>
        <w:t xml:space="preserve">of the authorities of the State party </w:t>
      </w:r>
      <w:r w:rsidRPr="007345D4">
        <w:rPr>
          <w:lang w:val="en-GB"/>
        </w:rPr>
        <w:t>that individuals such as the authors, who were not high-profile LTTE activists and were not related to such high-profile activists, as arbitrary or amounting to a manifest error or denial of justice</w:t>
      </w:r>
      <w:r w:rsidR="008B4BDA">
        <w:rPr>
          <w:lang w:val="en-GB"/>
        </w:rPr>
        <w:t>.</w:t>
      </w:r>
      <w:r w:rsidRPr="007345D4">
        <w:rPr>
          <w:lang w:val="en-GB"/>
        </w:rPr>
        <w:t xml:space="preserve"> In fact, we are of the view that</w:t>
      </w:r>
      <w:r w:rsidR="002E2684">
        <w:rPr>
          <w:lang w:val="en-GB"/>
        </w:rPr>
        <w:t>,</w:t>
      </w:r>
      <w:r w:rsidRPr="007345D4">
        <w:rPr>
          <w:lang w:val="en-GB"/>
        </w:rPr>
        <w:t xml:space="preserve"> had there been new relevant information in the current reports, the proper course of action for the Committee would have been to suspend its proceedings and request the parties’ comments on </w:t>
      </w:r>
      <w:r w:rsidRPr="00DE5430">
        <w:rPr>
          <w:lang w:val="en-GB"/>
        </w:rPr>
        <w:t>the</w:t>
      </w:r>
      <w:r w:rsidRPr="007345D4">
        <w:rPr>
          <w:lang w:val="en-GB"/>
        </w:rPr>
        <w:t xml:space="preserve"> said reports before drawing any factual conclusions therefrom. </w:t>
      </w:r>
    </w:p>
    <w:p w14:paraId="2CCA5FCA" w14:textId="77777777" w:rsidR="006C522B" w:rsidRPr="009B3BE6" w:rsidRDefault="006C522B">
      <w:pPr>
        <w:pStyle w:val="SingleTxtG"/>
        <w:rPr>
          <w:lang w:val="en-GB"/>
        </w:rPr>
      </w:pPr>
      <w:r w:rsidRPr="009B3BE6">
        <w:rPr>
          <w:lang w:val="en-GB"/>
        </w:rPr>
        <w:t>6.</w:t>
      </w:r>
      <w:r w:rsidRPr="009B3BE6">
        <w:rPr>
          <w:lang w:val="en-GB"/>
        </w:rPr>
        <w:tab/>
        <w:t>We therefore respectfully dissent from the position taken by the majority o</w:t>
      </w:r>
      <w:r w:rsidR="002E2684">
        <w:rPr>
          <w:lang w:val="en-GB"/>
        </w:rPr>
        <w:t>f</w:t>
      </w:r>
      <w:r w:rsidRPr="009B3BE6">
        <w:rPr>
          <w:lang w:val="en-GB"/>
        </w:rPr>
        <w:t xml:space="preserve"> the Committee in </w:t>
      </w:r>
      <w:r w:rsidR="00186E4C">
        <w:rPr>
          <w:lang w:val="en-GB"/>
        </w:rPr>
        <w:t>the present</w:t>
      </w:r>
      <w:r w:rsidRPr="009B3BE6">
        <w:rPr>
          <w:lang w:val="en-GB"/>
        </w:rPr>
        <w:t xml:space="preserve"> case.</w:t>
      </w:r>
    </w:p>
    <w:p w14:paraId="6AC98E70" w14:textId="77777777" w:rsidR="00E01AF0" w:rsidRPr="007345D4" w:rsidRDefault="00E01AF0" w:rsidP="00E01AF0">
      <w:pPr>
        <w:pStyle w:val="SingleTxtG"/>
        <w:spacing w:before="240" w:after="0" w:line="480" w:lineRule="auto"/>
        <w:jc w:val="center"/>
        <w:rPr>
          <w:u w:val="single"/>
          <w:lang w:val="en-GB"/>
        </w:rPr>
      </w:pPr>
      <w:r w:rsidRPr="007345D4">
        <w:rPr>
          <w:u w:val="single"/>
          <w:lang w:val="en-GB"/>
        </w:rPr>
        <w:tab/>
      </w:r>
      <w:r w:rsidRPr="007345D4">
        <w:rPr>
          <w:u w:val="single"/>
          <w:lang w:val="en-GB"/>
        </w:rPr>
        <w:tab/>
      </w:r>
      <w:r w:rsidRPr="007345D4">
        <w:rPr>
          <w:u w:val="single"/>
          <w:lang w:val="en-GB"/>
        </w:rPr>
        <w:tab/>
      </w:r>
    </w:p>
    <w:sectPr w:rsidR="00E01AF0" w:rsidRPr="007345D4" w:rsidSect="009B3BE6">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6-01-11T09:16:00Z" w:initials="Start">
    <w:p w14:paraId="6D27F8EC" w14:textId="77777777" w:rsidR="00F81DEA" w:rsidRDefault="00F81D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NO&gt;&gt;N1600251E&lt;&lt;ODS JOB NO&gt;&gt;</w:t>
      </w:r>
    </w:p>
    <w:p w14:paraId="318568C0" w14:textId="77777777" w:rsidR="00F81DEA" w:rsidRPr="00760E3D" w:rsidRDefault="00F81DEA">
      <w:pPr>
        <w:pStyle w:val="CommentText"/>
        <w:rPr>
          <w:lang w:val="fr-CH"/>
        </w:rPr>
      </w:pPr>
      <w:r w:rsidRPr="00760E3D">
        <w:rPr>
          <w:lang w:val="fr-CH"/>
        </w:rPr>
        <w:t>&lt;&lt;ODS DOC SYMBOL1&gt;&gt;CCPR/C/115/D/2258/2013&lt;&lt;ODS DOC SYMBOL1&gt;&gt;</w:t>
      </w:r>
    </w:p>
    <w:p w14:paraId="661060B2" w14:textId="77777777" w:rsidR="00F81DEA" w:rsidRDefault="00F81DEA">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060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F941D" w14:textId="77777777" w:rsidR="008F5D58" w:rsidRDefault="008F5D58"/>
  </w:endnote>
  <w:endnote w:type="continuationSeparator" w:id="0">
    <w:p w14:paraId="11380CBF" w14:textId="77777777" w:rsidR="008F5D58" w:rsidRDefault="008F5D58"/>
  </w:endnote>
  <w:endnote w:type="continuationNotice" w:id="1">
    <w:p w14:paraId="771D103A" w14:textId="77777777" w:rsidR="008F5D58" w:rsidRDefault="008F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altName w:val="Trebuchet M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961E" w14:textId="77777777" w:rsidR="00290942" w:rsidRPr="00E0440B" w:rsidRDefault="00290942" w:rsidP="00E01AF0">
    <w:pPr>
      <w:pStyle w:val="Footer"/>
      <w:tabs>
        <w:tab w:val="right" w:pos="9638"/>
      </w:tabs>
    </w:pPr>
    <w:r w:rsidRPr="00E0440B">
      <w:rPr>
        <w:b/>
        <w:sz w:val="18"/>
      </w:rPr>
      <w:fldChar w:fldCharType="begin"/>
    </w:r>
    <w:r w:rsidRPr="00E0440B">
      <w:rPr>
        <w:b/>
        <w:sz w:val="18"/>
      </w:rPr>
      <w:instrText xml:space="preserve"> </w:instrText>
    </w:r>
    <w:r>
      <w:rPr>
        <w:b/>
        <w:sz w:val="18"/>
      </w:rPr>
      <w:instrText>PAGE</w:instrText>
    </w:r>
    <w:r w:rsidRPr="00E0440B">
      <w:rPr>
        <w:b/>
        <w:sz w:val="18"/>
      </w:rPr>
      <w:instrText xml:space="preserve">  \* MERGEFORMAT </w:instrText>
    </w:r>
    <w:r w:rsidRPr="00E0440B">
      <w:rPr>
        <w:b/>
        <w:sz w:val="18"/>
      </w:rPr>
      <w:fldChar w:fldCharType="separate"/>
    </w:r>
    <w:r w:rsidR="00163A94">
      <w:rPr>
        <w:b/>
        <w:noProof/>
        <w:sz w:val="18"/>
      </w:rPr>
      <w:t>2</w:t>
    </w:r>
    <w:r w:rsidRPr="00E0440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098F4" w14:textId="77777777" w:rsidR="00290942" w:rsidRPr="00E0440B" w:rsidRDefault="00290942" w:rsidP="00E01AF0">
    <w:pPr>
      <w:pStyle w:val="Footer"/>
      <w:tabs>
        <w:tab w:val="right" w:pos="9638"/>
      </w:tabs>
      <w:rPr>
        <w:b/>
        <w:sz w:val="18"/>
      </w:rPr>
    </w:pPr>
    <w:r>
      <w:tab/>
    </w:r>
    <w:r w:rsidRPr="00E0440B">
      <w:rPr>
        <w:b/>
        <w:sz w:val="18"/>
      </w:rPr>
      <w:fldChar w:fldCharType="begin"/>
    </w:r>
    <w:r w:rsidRPr="00E0440B">
      <w:rPr>
        <w:b/>
        <w:sz w:val="18"/>
      </w:rPr>
      <w:instrText xml:space="preserve"> </w:instrText>
    </w:r>
    <w:r>
      <w:rPr>
        <w:b/>
        <w:sz w:val="18"/>
      </w:rPr>
      <w:instrText>PAGE</w:instrText>
    </w:r>
    <w:r w:rsidRPr="00E0440B">
      <w:rPr>
        <w:b/>
        <w:sz w:val="18"/>
      </w:rPr>
      <w:instrText xml:space="preserve">  \* MERGEFORMAT </w:instrText>
    </w:r>
    <w:r w:rsidRPr="00E0440B">
      <w:rPr>
        <w:b/>
        <w:sz w:val="18"/>
      </w:rPr>
      <w:fldChar w:fldCharType="separate"/>
    </w:r>
    <w:r w:rsidR="00163A94">
      <w:rPr>
        <w:b/>
        <w:noProof/>
        <w:sz w:val="18"/>
      </w:rPr>
      <w:t>3</w:t>
    </w:r>
    <w:r w:rsidRPr="00E0440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81DEA" w14:paraId="21442B58" w14:textId="77777777" w:rsidTr="00760E3D">
      <w:tc>
        <w:tcPr>
          <w:tcW w:w="3614" w:type="dxa"/>
          <w:shd w:val="clear" w:color="auto" w:fill="auto"/>
        </w:tcPr>
        <w:p w14:paraId="1B61725B" w14:textId="77777777" w:rsidR="00F81DEA" w:rsidRDefault="00F81DEA" w:rsidP="00F81DEA">
          <w:pPr>
            <w:pStyle w:val="Footer"/>
            <w:rPr>
              <w:sz w:val="20"/>
            </w:rPr>
          </w:pPr>
          <w:r>
            <w:rPr>
              <w:noProof/>
              <w:sz w:val="20"/>
              <w:lang w:val="en-US"/>
            </w:rPr>
            <w:drawing>
              <wp:anchor distT="0" distB="0" distL="114300" distR="114300" simplePos="0" relativeHeight="251658240" behindDoc="0" locked="0" layoutInCell="1" allowOverlap="1" wp14:anchorId="39E30D52" wp14:editId="5682D8E1">
                <wp:simplePos x="0" y="0"/>
                <wp:positionH relativeFrom="column">
                  <wp:posOffset>5312410</wp:posOffset>
                </wp:positionH>
                <wp:positionV relativeFrom="paragraph">
                  <wp:posOffset>-365760</wp:posOffset>
                </wp:positionV>
                <wp:extent cx="694690" cy="694690"/>
                <wp:effectExtent l="0" t="0" r="0" b="0"/>
                <wp:wrapNone/>
                <wp:docPr id="3" name="Picture 3" descr="http://undocs.org/m2/QRCode2.ashx?DS=CCPR/C/115/D/2258/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258/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GE.16-00193(E)</w:t>
          </w:r>
        </w:p>
        <w:p w14:paraId="046CD3CB" w14:textId="77777777" w:rsidR="00F81DEA" w:rsidRPr="00760E3D" w:rsidRDefault="00F81DEA" w:rsidP="00F81DEA">
          <w:pPr>
            <w:pStyle w:val="Footer"/>
            <w:rPr>
              <w:rFonts w:ascii="Barcode 3 of 9 by request" w:hAnsi="Barcode 3 of 9 by request"/>
              <w:sz w:val="24"/>
            </w:rPr>
          </w:pPr>
          <w:r>
            <w:rPr>
              <w:rFonts w:ascii="Barcode 3 of 9 by request" w:hAnsi="Barcode 3 of 9 by request" w:hint="eastAsia"/>
              <w:sz w:val="24"/>
            </w:rPr>
            <w:t>*1600193*</w:t>
          </w:r>
        </w:p>
      </w:tc>
      <w:tc>
        <w:tcPr>
          <w:tcW w:w="4752" w:type="dxa"/>
          <w:shd w:val="clear" w:color="auto" w:fill="auto"/>
        </w:tcPr>
        <w:p w14:paraId="5E05D834" w14:textId="77777777" w:rsidR="00F81DEA" w:rsidRDefault="00F81DEA" w:rsidP="00760E3D">
          <w:pPr>
            <w:pStyle w:val="Footer"/>
            <w:spacing w:line="240" w:lineRule="atLeast"/>
            <w:jc w:val="right"/>
            <w:rPr>
              <w:sz w:val="20"/>
            </w:rPr>
          </w:pPr>
          <w:r>
            <w:rPr>
              <w:noProof/>
              <w:sz w:val="20"/>
              <w:lang w:val="en-US"/>
            </w:rPr>
            <w:drawing>
              <wp:inline distT="0" distB="0" distL="0" distR="0" wp14:anchorId="74C724A0" wp14:editId="16D4F5C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F3F8A63" w14:textId="77777777" w:rsidR="00F81DEA" w:rsidRPr="00760E3D" w:rsidRDefault="00F81DEA" w:rsidP="00F81DE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A5F25" w14:textId="77777777" w:rsidR="008F5D58" w:rsidRPr="000B175B" w:rsidRDefault="008F5D58" w:rsidP="00E01AF0">
      <w:pPr>
        <w:tabs>
          <w:tab w:val="right" w:pos="2155"/>
        </w:tabs>
        <w:spacing w:after="80"/>
        <w:ind w:left="680"/>
        <w:rPr>
          <w:u w:val="single"/>
        </w:rPr>
      </w:pPr>
      <w:r>
        <w:rPr>
          <w:u w:val="single"/>
        </w:rPr>
        <w:tab/>
      </w:r>
    </w:p>
  </w:footnote>
  <w:footnote w:type="continuationSeparator" w:id="0">
    <w:p w14:paraId="04A30E4F" w14:textId="77777777" w:rsidR="008F5D58" w:rsidRPr="00FC68B7" w:rsidRDefault="008F5D58" w:rsidP="00E01AF0">
      <w:pPr>
        <w:tabs>
          <w:tab w:val="left" w:pos="2155"/>
        </w:tabs>
        <w:spacing w:after="80"/>
        <w:ind w:left="680"/>
        <w:rPr>
          <w:u w:val="single"/>
        </w:rPr>
      </w:pPr>
      <w:r>
        <w:rPr>
          <w:u w:val="single"/>
        </w:rPr>
        <w:tab/>
      </w:r>
    </w:p>
  </w:footnote>
  <w:footnote w:type="continuationNotice" w:id="1">
    <w:p w14:paraId="0D0CA496" w14:textId="77777777" w:rsidR="008F5D58" w:rsidRDefault="008F5D58"/>
  </w:footnote>
  <w:footnote w:id="2">
    <w:p w14:paraId="02E4A8AF" w14:textId="77777777" w:rsidR="00290942" w:rsidRPr="009B3BE6" w:rsidRDefault="00290942" w:rsidP="006A24FB">
      <w:pPr>
        <w:pStyle w:val="FootnoteText"/>
      </w:pPr>
      <w:r>
        <w:rPr>
          <w:rStyle w:val="FootnoteReference"/>
        </w:rPr>
        <w:tab/>
      </w:r>
      <w:r w:rsidRPr="00D46534">
        <w:rPr>
          <w:rStyle w:val="FootnoteReference"/>
          <w:sz w:val="20"/>
          <w:vertAlign w:val="baseline"/>
        </w:rPr>
        <w:t>*</w:t>
      </w:r>
      <w:r w:rsidRPr="00D46534">
        <w:rPr>
          <w:rStyle w:val="FootnoteReference"/>
          <w:sz w:val="20"/>
          <w:vertAlign w:val="baseline"/>
        </w:rPr>
        <w:tab/>
      </w:r>
      <w:bookmarkStart w:id="2" w:name="OLE_LINK2"/>
      <w:bookmarkStart w:id="3" w:name="OLE_LINK1"/>
      <w:r w:rsidRPr="00D46534">
        <w:t xml:space="preserve">The following members of the Committee participated in the consideration of the present communication: </w:t>
      </w:r>
      <w:bookmarkEnd w:id="2"/>
      <w:bookmarkEnd w:id="3"/>
      <w:r w:rsidRPr="00D46534">
        <w:t>Yadh Ben Achour, Lazhari Bouzid, Sarah Cleveland, Ahmed Amin Fathalla, Yuji Iwasawa, Ivana Jeli</w:t>
      </w:r>
      <w:r w:rsidRPr="009B3BE6">
        <w:t>ć</w:t>
      </w:r>
      <w:r w:rsidRPr="00D46534">
        <w:t>, Duncan Laki Muhumuza, Photini Pazartzis, Mauro Politi, Sir Nigel Rodley, V</w:t>
      </w:r>
      <w:r w:rsidRPr="009B3BE6">
        <w:t>í</w:t>
      </w:r>
      <w:r w:rsidRPr="00D46534">
        <w:t>ctor Manuel Rodríguez-Rescia, Fabián Omar Salvioli, Dheerujlall Seetulsingh, Anja Seibert-Fohr, Yuval Shany, Konstantine Vardzelashvili and Margo Waterval.</w:t>
      </w:r>
      <w:r>
        <w:t xml:space="preserve"> </w:t>
      </w:r>
      <w:r w:rsidRPr="009B3BE6">
        <w:t>A</w:t>
      </w:r>
      <w:r w:rsidRPr="009B3BE6">
        <w:rPr>
          <w:lang w:val="x-none"/>
        </w:rPr>
        <w:t xml:space="preserve"> joint</w:t>
      </w:r>
      <w:r w:rsidRPr="00685E45">
        <w:t xml:space="preserve"> opinion </w:t>
      </w:r>
      <w:r w:rsidRPr="009B3BE6">
        <w:t>by</w:t>
      </w:r>
      <w:r w:rsidRPr="00685E45">
        <w:t xml:space="preserve"> Committee member</w:t>
      </w:r>
      <w:r>
        <w:t>s</w:t>
      </w:r>
      <w:r w:rsidRPr="00685E45">
        <w:t xml:space="preserve"> </w:t>
      </w:r>
      <w:r w:rsidRPr="00FA0D00">
        <w:t>Yuval Shany</w:t>
      </w:r>
      <w:r w:rsidRPr="009B3BE6">
        <w:t>,</w:t>
      </w:r>
      <w:r w:rsidRPr="006C522B">
        <w:t xml:space="preserve"> </w:t>
      </w:r>
      <w:r>
        <w:t>Anja Seibert-Fohr</w:t>
      </w:r>
      <w:r w:rsidRPr="00FA0D00">
        <w:t xml:space="preserve"> and Konstantine Vardzelashvili </w:t>
      </w:r>
      <w:r w:rsidRPr="00E70667">
        <w:t>(</w:t>
      </w:r>
      <w:r w:rsidRPr="009B3BE6">
        <w:t>dissent</w:t>
      </w:r>
      <w:r>
        <w:t>ing</w:t>
      </w:r>
      <w:r w:rsidRPr="00E70667">
        <w:t>)</w:t>
      </w:r>
      <w:r w:rsidRPr="00685E45">
        <w:t xml:space="preserve"> </w:t>
      </w:r>
      <w:r>
        <w:t>is</w:t>
      </w:r>
      <w:r w:rsidRPr="00685E45">
        <w:t xml:space="preserve"> appended to the present Views</w:t>
      </w:r>
      <w:r>
        <w:t>.</w:t>
      </w:r>
    </w:p>
  </w:footnote>
  <w:footnote w:id="3">
    <w:p w14:paraId="19280490" w14:textId="77777777" w:rsidR="00290942" w:rsidRPr="00F579BB" w:rsidRDefault="00290942" w:rsidP="009B3BE6">
      <w:pPr>
        <w:pStyle w:val="FootnoteText"/>
        <w:rPr>
          <w:lang w:val="en-GB"/>
        </w:rPr>
      </w:pPr>
      <w:r w:rsidRPr="00CE6241">
        <w:rPr>
          <w:lang w:val="en-GB"/>
        </w:rPr>
        <w:tab/>
      </w:r>
      <w:r w:rsidRPr="00BF7847">
        <w:rPr>
          <w:rStyle w:val="FootnoteReference"/>
          <w:szCs w:val="18"/>
        </w:rPr>
        <w:footnoteRef/>
      </w:r>
      <w:r w:rsidRPr="00BF7847">
        <w:rPr>
          <w:lang w:val="en-GB"/>
        </w:rPr>
        <w:tab/>
        <w:t xml:space="preserve">The </w:t>
      </w:r>
      <w:r w:rsidRPr="00BF7847">
        <w:t>authors</w:t>
      </w:r>
      <w:r w:rsidRPr="00BF7847">
        <w:rPr>
          <w:lang w:val="en-GB"/>
        </w:rPr>
        <w:t xml:space="preserve"> refer to the Human Rights Watch report </w:t>
      </w:r>
      <w:r w:rsidRPr="009B3BE6">
        <w:rPr>
          <w:i/>
          <w:iCs/>
          <w:lang w:val="en-GB"/>
        </w:rPr>
        <w:t>“We Will Teach You a Lesson”: Sexual Violence against Tamils by Sri Lankan Security Forces</w:t>
      </w:r>
      <w:r w:rsidRPr="00BF7847">
        <w:rPr>
          <w:lang w:val="en-GB"/>
        </w:rPr>
        <w:t xml:space="preserve"> (February 2013). </w:t>
      </w:r>
    </w:p>
  </w:footnote>
  <w:footnote w:id="4">
    <w:p w14:paraId="2F43CAA1" w14:textId="77777777" w:rsidR="00290942" w:rsidRPr="000514EF" w:rsidRDefault="00290942">
      <w:pPr>
        <w:pStyle w:val="FootnoteText"/>
      </w:pPr>
      <w:r w:rsidRPr="00CE6241">
        <w:rPr>
          <w:lang w:val="en-GB"/>
        </w:rPr>
        <w:tab/>
      </w:r>
      <w:r>
        <w:rPr>
          <w:rStyle w:val="FootnoteReference"/>
        </w:rPr>
        <w:footnoteRef/>
      </w:r>
      <w:r w:rsidRPr="00CE6241">
        <w:rPr>
          <w:lang w:val="en-GB"/>
        </w:rPr>
        <w:tab/>
      </w:r>
      <w:r w:rsidRPr="000514EF">
        <w:t>A</w:t>
      </w:r>
      <w:r>
        <w:t>s to the background material regarding Sri Lanka, the State party referred to the website of the Refugee Appeals Board (www.fln.dk).</w:t>
      </w:r>
    </w:p>
  </w:footnote>
  <w:footnote w:id="5">
    <w:p w14:paraId="56C14373" w14:textId="77777777" w:rsidR="00290942" w:rsidRPr="004628B7" w:rsidRDefault="00290942" w:rsidP="00BF7847">
      <w:pPr>
        <w:pStyle w:val="FootnoteText"/>
        <w:rPr>
          <w:lang w:val="en-GB"/>
        </w:rPr>
      </w:pPr>
      <w:r w:rsidRPr="00CE6241">
        <w:rPr>
          <w:lang w:val="en-GB"/>
        </w:rPr>
        <w:tab/>
      </w:r>
      <w:r w:rsidRPr="00CC498C">
        <w:rPr>
          <w:rStyle w:val="FootnoteReference"/>
          <w:szCs w:val="18"/>
        </w:rPr>
        <w:footnoteRef/>
      </w:r>
      <w:r w:rsidRPr="00CE6241">
        <w:rPr>
          <w:lang w:val="en-GB"/>
        </w:rPr>
        <w:tab/>
      </w:r>
      <w:r w:rsidRPr="00CC498C">
        <w:rPr>
          <w:lang w:val="en-GB"/>
        </w:rPr>
        <w:t xml:space="preserve">The State party also refers </w:t>
      </w:r>
      <w:r w:rsidRPr="00BF7847">
        <w:rPr>
          <w:lang w:val="en-GB"/>
        </w:rPr>
        <w:t xml:space="preserve">to </w:t>
      </w:r>
      <w:r w:rsidRPr="00BF7847">
        <w:rPr>
          <w:szCs w:val="23"/>
          <w:lang w:val="en-GB"/>
        </w:rPr>
        <w:t xml:space="preserve">European Court of Human Rights </w:t>
      </w:r>
      <w:r w:rsidRPr="00BF7847">
        <w:rPr>
          <w:lang w:val="en-GB"/>
        </w:rPr>
        <w:t xml:space="preserve">jurisprudence in </w:t>
      </w:r>
      <w:r w:rsidRPr="00BF7847">
        <w:rPr>
          <w:i/>
          <w:iCs/>
        </w:rPr>
        <w:t xml:space="preserve">N.S. v. Denmark </w:t>
      </w:r>
      <w:r w:rsidRPr="00BF7847">
        <w:t>(appl</w:t>
      </w:r>
      <w:r w:rsidRPr="009B3BE6">
        <w:t>ication</w:t>
      </w:r>
      <w:r w:rsidRPr="00BF7847">
        <w:t xml:space="preserve"> No. 58359/08), </w:t>
      </w:r>
      <w:r w:rsidRPr="00BF7847">
        <w:rPr>
          <w:i/>
          <w:iCs/>
        </w:rPr>
        <w:t xml:space="preserve">P.K. v. Denmark </w:t>
      </w:r>
      <w:r w:rsidRPr="00BF7847">
        <w:t>(appl</w:t>
      </w:r>
      <w:r w:rsidRPr="009B3BE6">
        <w:t>ication</w:t>
      </w:r>
      <w:r w:rsidRPr="00BF7847">
        <w:t xml:space="preserve"> No. 54705/08), </w:t>
      </w:r>
      <w:r w:rsidRPr="00BF7847">
        <w:rPr>
          <w:i/>
          <w:iCs/>
        </w:rPr>
        <w:t xml:space="preserve">S.S. and Others v. Denmark </w:t>
      </w:r>
      <w:r w:rsidRPr="00BF7847">
        <w:t>(appl</w:t>
      </w:r>
      <w:r w:rsidRPr="009B3BE6">
        <w:t>ication</w:t>
      </w:r>
      <w:r w:rsidRPr="00BF7847">
        <w:t xml:space="preserve"> No. 54703/08), </w:t>
      </w:r>
      <w:r w:rsidRPr="00BF7847">
        <w:rPr>
          <w:i/>
          <w:iCs/>
        </w:rPr>
        <w:t xml:space="preserve">T.N. and S.N. v. Denmark </w:t>
      </w:r>
      <w:r w:rsidRPr="00BF7847">
        <w:t>(appl</w:t>
      </w:r>
      <w:r w:rsidRPr="009B3BE6">
        <w:t>ication</w:t>
      </w:r>
      <w:r w:rsidRPr="00BF7847">
        <w:t xml:space="preserve"> No. 36517/08) and </w:t>
      </w:r>
      <w:r w:rsidRPr="00BF7847">
        <w:rPr>
          <w:i/>
          <w:iCs/>
        </w:rPr>
        <w:t xml:space="preserve">T.N. v. Denmark </w:t>
      </w:r>
      <w:r w:rsidRPr="00BF7847">
        <w:t>(appl</w:t>
      </w:r>
      <w:r w:rsidRPr="009B3BE6">
        <w:t>ication</w:t>
      </w:r>
      <w:r w:rsidRPr="00BF7847">
        <w:t xml:space="preserve"> No. 20594</w:t>
      </w:r>
      <w:r w:rsidRPr="009B3BE6">
        <w:t>/08</w:t>
      </w:r>
      <w:r w:rsidRPr="00BF7847">
        <w:t>)</w:t>
      </w:r>
      <w:r w:rsidRPr="00BF7847">
        <w:rPr>
          <w:lang w:val="en-GB"/>
        </w:rPr>
        <w:t>.</w:t>
      </w:r>
    </w:p>
  </w:footnote>
  <w:footnote w:id="6">
    <w:p w14:paraId="4F457F1F" w14:textId="77777777" w:rsidR="00290942" w:rsidRPr="00BF7847" w:rsidRDefault="00290942" w:rsidP="009B3BE6">
      <w:pPr>
        <w:pStyle w:val="FootnoteText"/>
        <w:rPr>
          <w:szCs w:val="18"/>
        </w:rPr>
      </w:pPr>
      <w:r w:rsidRPr="00AF4300">
        <w:tab/>
      </w:r>
      <w:r w:rsidRPr="00DA68DC">
        <w:rPr>
          <w:rStyle w:val="FootnoteReference"/>
          <w:szCs w:val="18"/>
        </w:rPr>
        <w:footnoteRef/>
      </w:r>
      <w:r w:rsidRPr="00DA68DC">
        <w:tab/>
        <w:t>See UNHCR Eligibility Guidelines for A</w:t>
      </w:r>
      <w:r w:rsidRPr="009B3BE6">
        <w:t>ssessing the International Protection Needs of Asylum Seekers from Sri Lanka</w:t>
      </w:r>
      <w:r w:rsidRPr="00DA68DC">
        <w:t xml:space="preserve"> (21 December 2012), sect. III.A.1. </w:t>
      </w:r>
    </w:p>
  </w:footnote>
  <w:footnote w:id="7">
    <w:p w14:paraId="382ABB21" w14:textId="77777777" w:rsidR="00290942" w:rsidRPr="00DA68DC" w:rsidRDefault="00290942" w:rsidP="00E55E32">
      <w:pPr>
        <w:pStyle w:val="FootnoteText"/>
      </w:pPr>
      <w:r w:rsidRPr="00DA68DC">
        <w:tab/>
      </w:r>
      <w:r w:rsidRPr="00DA68DC">
        <w:rPr>
          <w:rStyle w:val="FootnoteReference"/>
        </w:rPr>
        <w:footnoteRef/>
      </w:r>
      <w:r w:rsidRPr="00DA68DC">
        <w:tab/>
        <w:t xml:space="preserve">Freedom House, </w:t>
      </w:r>
      <w:r w:rsidRPr="009B3BE6">
        <w:rPr>
          <w:i/>
          <w:iCs/>
        </w:rPr>
        <w:t>Freedom in the World 2013</w:t>
      </w:r>
      <w:r w:rsidRPr="00DA68DC">
        <w:t>, analysis of Sri Lanka</w:t>
      </w:r>
      <w:r>
        <w:t xml:space="preserve"> </w:t>
      </w:r>
      <w:r w:rsidRPr="00DA68DC">
        <w:t>(10 June 2013); and Human Rights Watch, “</w:t>
      </w:r>
      <w:r w:rsidRPr="009B3BE6">
        <w:rPr>
          <w:i/>
          <w:iCs/>
        </w:rPr>
        <w:t>We Will Teach You a Lesson</w:t>
      </w:r>
      <w:r w:rsidRPr="00DA68DC">
        <w:rPr>
          <w:i/>
          <w:iCs/>
        </w:rPr>
        <w:t>”</w:t>
      </w:r>
      <w:r w:rsidRPr="00DA68DC">
        <w:t>.</w:t>
      </w:r>
    </w:p>
  </w:footnote>
  <w:footnote w:id="8">
    <w:p w14:paraId="5A59A5EC" w14:textId="77777777" w:rsidR="00290942" w:rsidRPr="00DA68DC" w:rsidRDefault="00290942">
      <w:pPr>
        <w:pStyle w:val="FootnoteText"/>
        <w:rPr>
          <w:lang w:val="en-GB"/>
        </w:rPr>
      </w:pPr>
      <w:r w:rsidRPr="00DA68DC">
        <w:rPr>
          <w:lang w:val="en-GB"/>
        </w:rPr>
        <w:tab/>
      </w:r>
      <w:r w:rsidRPr="00DA68DC">
        <w:rPr>
          <w:rStyle w:val="FootnoteReference"/>
        </w:rPr>
        <w:footnoteRef/>
      </w:r>
      <w:r w:rsidRPr="00DA68DC">
        <w:rPr>
          <w:lang w:val="en-GB"/>
        </w:rPr>
        <w:tab/>
        <w:t xml:space="preserve">Specifically to </w:t>
      </w:r>
      <w:r w:rsidRPr="00DA68DC">
        <w:t>paras</w:t>
      </w:r>
      <w:r w:rsidRPr="00DA68DC">
        <w:rPr>
          <w:lang w:val="en-GB"/>
        </w:rPr>
        <w:t>. 206-219 of the Handbook.</w:t>
      </w:r>
    </w:p>
  </w:footnote>
  <w:footnote w:id="9">
    <w:p w14:paraId="3C3F2CC5" w14:textId="77777777" w:rsidR="00290942" w:rsidRPr="00DA68DC" w:rsidRDefault="00290942">
      <w:pPr>
        <w:pStyle w:val="FootnoteText"/>
      </w:pPr>
      <w:r w:rsidRPr="00DA68DC">
        <w:rPr>
          <w:lang w:val="en-GB"/>
        </w:rPr>
        <w:tab/>
      </w:r>
      <w:r w:rsidRPr="00DA68DC">
        <w:rPr>
          <w:rStyle w:val="FootnoteReference"/>
          <w:szCs w:val="18"/>
        </w:rPr>
        <w:footnoteRef/>
      </w:r>
      <w:r w:rsidRPr="00DA68DC">
        <w:rPr>
          <w:lang w:val="en-GB"/>
        </w:rPr>
        <w:tab/>
      </w:r>
      <w:r w:rsidRPr="00DA68DC">
        <w:t>The auth</w:t>
      </w:r>
      <w:r w:rsidRPr="00DA68DC">
        <w:rPr>
          <w:rStyle w:val="FootnoteTextChar"/>
        </w:rPr>
        <w:t>o</w:t>
      </w:r>
      <w:r w:rsidRPr="00DA68DC">
        <w:t xml:space="preserve">rs refer to the UNHCR Eligibility Guidelines for </w:t>
      </w:r>
      <w:r w:rsidRPr="009B3BE6">
        <w:t>Assessing the International Protection Needs of Asylum Seekers from Sri Lanka</w:t>
      </w:r>
      <w:r w:rsidRPr="00DA68DC">
        <w:t xml:space="preserve">; and Human Rights Watch, </w:t>
      </w:r>
      <w:r w:rsidRPr="009B3BE6">
        <w:rPr>
          <w:i/>
          <w:iCs/>
        </w:rPr>
        <w:t xml:space="preserve">“We </w:t>
      </w:r>
      <w:r>
        <w:rPr>
          <w:i/>
          <w:iCs/>
        </w:rPr>
        <w:t>W</w:t>
      </w:r>
      <w:r w:rsidRPr="009B3BE6">
        <w:rPr>
          <w:i/>
          <w:iCs/>
        </w:rPr>
        <w:t xml:space="preserve">ill </w:t>
      </w:r>
      <w:r>
        <w:rPr>
          <w:i/>
          <w:iCs/>
        </w:rPr>
        <w:t>T</w:t>
      </w:r>
      <w:r w:rsidRPr="009B3BE6">
        <w:rPr>
          <w:i/>
          <w:iCs/>
        </w:rPr>
        <w:t xml:space="preserve">each </w:t>
      </w:r>
      <w:r>
        <w:rPr>
          <w:i/>
          <w:iCs/>
        </w:rPr>
        <w:t>Y</w:t>
      </w:r>
      <w:r w:rsidRPr="009B3BE6">
        <w:rPr>
          <w:i/>
          <w:iCs/>
        </w:rPr>
        <w:t xml:space="preserve">ou a </w:t>
      </w:r>
      <w:r>
        <w:rPr>
          <w:i/>
          <w:iCs/>
        </w:rPr>
        <w:t>L</w:t>
      </w:r>
      <w:r w:rsidRPr="009B3BE6">
        <w:rPr>
          <w:i/>
          <w:iCs/>
        </w:rPr>
        <w:t>esson”</w:t>
      </w:r>
      <w:r w:rsidRPr="009B3BE6">
        <w:rPr>
          <w:lang w:val="en-GB"/>
        </w:rPr>
        <w:t>.</w:t>
      </w:r>
    </w:p>
  </w:footnote>
  <w:footnote w:id="10">
    <w:p w14:paraId="5EA559D5" w14:textId="77777777" w:rsidR="00290942" w:rsidRPr="00DA68DC" w:rsidRDefault="00290942">
      <w:pPr>
        <w:pStyle w:val="FootnoteText"/>
        <w:rPr>
          <w:lang w:val="en-GB"/>
        </w:rPr>
      </w:pPr>
      <w:r w:rsidRPr="00DA68DC">
        <w:rPr>
          <w:lang w:val="en-GB"/>
        </w:rPr>
        <w:tab/>
      </w:r>
      <w:r w:rsidRPr="00DA68DC">
        <w:rPr>
          <w:rStyle w:val="FootnoteReference"/>
        </w:rPr>
        <w:footnoteRef/>
      </w:r>
      <w:r w:rsidRPr="00DA68DC">
        <w:rPr>
          <w:lang w:val="en-GB"/>
        </w:rPr>
        <w:tab/>
        <w:t xml:space="preserve">The </w:t>
      </w:r>
      <w:r w:rsidRPr="00DA68DC">
        <w:t>authors</w:t>
      </w:r>
      <w:r w:rsidRPr="00DA68DC">
        <w:rPr>
          <w:lang w:val="en-GB"/>
        </w:rPr>
        <w:t xml:space="preserve"> did not provide any documentation. It appears that they were referring to the report provided by the Red Cross as part of the proceedings to determine if they met the conditions for being granted residence permits under section 9c (3) (ii) of the Aliens Act.</w:t>
      </w:r>
    </w:p>
  </w:footnote>
  <w:footnote w:id="11">
    <w:p w14:paraId="0874192C" w14:textId="77777777" w:rsidR="00290942" w:rsidRPr="00DA68DC" w:rsidRDefault="00290942" w:rsidP="00140AEF">
      <w:pPr>
        <w:pStyle w:val="FootnoteText"/>
      </w:pPr>
      <w:r w:rsidRPr="00DA68DC">
        <w:rPr>
          <w:lang w:val="en-GB"/>
        </w:rPr>
        <w:tab/>
      </w:r>
      <w:r w:rsidRPr="00DA68DC">
        <w:rPr>
          <w:rStyle w:val="FootnoteReference"/>
        </w:rPr>
        <w:footnoteRef/>
      </w:r>
      <w:r w:rsidRPr="00DA68DC">
        <w:rPr>
          <w:lang w:val="en-GB"/>
        </w:rPr>
        <w:tab/>
      </w:r>
      <w:r w:rsidRPr="00DA68DC">
        <w:t>See general comment No. 31 (2004) on the nature of the general legal obligation imposed on States parties to the Covenant, para. 12.</w:t>
      </w:r>
    </w:p>
  </w:footnote>
  <w:footnote w:id="12">
    <w:p w14:paraId="68F669D3" w14:textId="77777777" w:rsidR="00290942" w:rsidRPr="001039AE" w:rsidRDefault="00290942">
      <w:pPr>
        <w:pStyle w:val="FootnoteText"/>
      </w:pPr>
      <w:r w:rsidRPr="00DA68DC">
        <w:rPr>
          <w:lang w:val="en-GB"/>
        </w:rPr>
        <w:tab/>
      </w:r>
      <w:r w:rsidRPr="00DA68DC">
        <w:rPr>
          <w:rStyle w:val="FootnoteReference"/>
          <w:szCs w:val="18"/>
        </w:rPr>
        <w:footnoteRef/>
      </w:r>
      <w:r w:rsidRPr="00DA68DC">
        <w:rPr>
          <w:lang w:val="en-GB"/>
        </w:rPr>
        <w:tab/>
        <w:t>See c</w:t>
      </w:r>
      <w:r w:rsidRPr="00DA68DC">
        <w:t xml:space="preserve">ommunications No. 2007/2010, </w:t>
      </w:r>
      <w:r w:rsidRPr="00DA68DC">
        <w:rPr>
          <w:i/>
        </w:rPr>
        <w:t xml:space="preserve">X v. </w:t>
      </w:r>
      <w:r w:rsidRPr="001039AE">
        <w:rPr>
          <w:i/>
        </w:rPr>
        <w:t>Denmark</w:t>
      </w:r>
      <w:r w:rsidRPr="001039AE">
        <w:t xml:space="preserve">, Views adopted on 26 March 2014, para. 9.2; </w:t>
      </w:r>
      <w:r w:rsidRPr="009B3BE6">
        <w:t xml:space="preserve">and No. 692/1996, </w:t>
      </w:r>
      <w:r w:rsidRPr="009B3BE6">
        <w:rPr>
          <w:i/>
          <w:iCs/>
        </w:rPr>
        <w:t xml:space="preserve">A.R.J. v. Australia, </w:t>
      </w:r>
      <w:r w:rsidRPr="009B3BE6">
        <w:t>Views adopted on 28 July 1997, para. 6.6</w:t>
      </w:r>
      <w:r>
        <w:t>;</w:t>
      </w:r>
      <w:r w:rsidRPr="009B3BE6">
        <w:t xml:space="preserve"> as well as the following decisions of the Committee against Torture: </w:t>
      </w:r>
      <w:r w:rsidRPr="001039AE">
        <w:t xml:space="preserve">No. 282/2005, </w:t>
      </w:r>
      <w:r w:rsidRPr="001039AE">
        <w:rPr>
          <w:i/>
        </w:rPr>
        <w:t>S.P.A. v. Canada</w:t>
      </w:r>
      <w:r w:rsidRPr="001039AE">
        <w:t xml:space="preserve">, decision adopted on 7 November 2006; No. 333/2007, </w:t>
      </w:r>
      <w:r w:rsidRPr="001039AE">
        <w:rPr>
          <w:i/>
        </w:rPr>
        <w:t xml:space="preserve">T.I. </w:t>
      </w:r>
      <w:r w:rsidRPr="009B3BE6">
        <w:rPr>
          <w:i/>
          <w:iCs/>
        </w:rPr>
        <w:t>v.</w:t>
      </w:r>
      <w:r w:rsidRPr="001039AE">
        <w:rPr>
          <w:i/>
        </w:rPr>
        <w:t xml:space="preserve"> Canada</w:t>
      </w:r>
      <w:r w:rsidRPr="001039AE">
        <w:t xml:space="preserve">, decision adopted on 15 November 2010; and No. 344/2008, </w:t>
      </w:r>
      <w:r w:rsidRPr="001039AE">
        <w:rPr>
          <w:i/>
        </w:rPr>
        <w:t>A.M.A. v. Switzerland</w:t>
      </w:r>
      <w:r w:rsidRPr="001039AE">
        <w:t>, decision adopted on 12 November 2010. </w:t>
      </w:r>
    </w:p>
  </w:footnote>
  <w:footnote w:id="13">
    <w:p w14:paraId="5046B05F" w14:textId="77777777" w:rsidR="00290942" w:rsidRPr="001039AE" w:rsidRDefault="00290942">
      <w:pPr>
        <w:pStyle w:val="FootnoteText"/>
      </w:pPr>
      <w:r w:rsidRPr="001039AE">
        <w:rPr>
          <w:lang w:val="en-GB"/>
        </w:rPr>
        <w:tab/>
      </w:r>
      <w:r w:rsidRPr="001039AE">
        <w:rPr>
          <w:rStyle w:val="FootnoteReference"/>
          <w:szCs w:val="18"/>
        </w:rPr>
        <w:footnoteRef/>
      </w:r>
      <w:r w:rsidRPr="001039AE">
        <w:rPr>
          <w:lang w:val="en-GB"/>
        </w:rPr>
        <w:tab/>
        <w:t xml:space="preserve">See </w:t>
      </w:r>
      <w:r w:rsidRPr="001039AE">
        <w:rPr>
          <w:i/>
          <w:lang w:val="en-GB"/>
        </w:rPr>
        <w:t>X</w:t>
      </w:r>
      <w:r w:rsidRPr="001039AE">
        <w:rPr>
          <w:i/>
        </w:rPr>
        <w:t xml:space="preserve"> v. Denmark</w:t>
      </w:r>
      <w:r w:rsidRPr="001039AE">
        <w:t xml:space="preserve">, para. 9.2; </w:t>
      </w:r>
      <w:r w:rsidRPr="001039AE">
        <w:rPr>
          <w:lang w:val="en-GB"/>
        </w:rPr>
        <w:t>and communication N</w:t>
      </w:r>
      <w:r w:rsidRPr="001039AE">
        <w:t>o. 1833/2008</w:t>
      </w:r>
      <w:r w:rsidRPr="001039AE">
        <w:rPr>
          <w:i/>
        </w:rPr>
        <w:t>, X. v. Sweden</w:t>
      </w:r>
      <w:r w:rsidRPr="001039AE">
        <w:t>, Views adopted on 1</w:t>
      </w:r>
      <w:r w:rsidRPr="009B3BE6">
        <w:t> </w:t>
      </w:r>
      <w:r w:rsidRPr="001039AE">
        <w:t xml:space="preserve">November 2011, para. 5.18. </w:t>
      </w:r>
    </w:p>
  </w:footnote>
  <w:footnote w:id="14">
    <w:p w14:paraId="42E91BDB" w14:textId="77777777" w:rsidR="00290942" w:rsidRPr="00DA68DC" w:rsidRDefault="00290942" w:rsidP="00140AEF">
      <w:pPr>
        <w:pStyle w:val="FootnoteText"/>
      </w:pPr>
      <w:r w:rsidRPr="001039AE">
        <w:rPr>
          <w:lang w:val="en-GB"/>
        </w:rPr>
        <w:tab/>
      </w:r>
      <w:r w:rsidRPr="001039AE">
        <w:rPr>
          <w:rStyle w:val="FootnoteReference"/>
          <w:szCs w:val="18"/>
        </w:rPr>
        <w:footnoteRef/>
      </w:r>
      <w:r w:rsidRPr="001039AE">
        <w:rPr>
          <w:lang w:val="en-GB"/>
        </w:rPr>
        <w:tab/>
      </w:r>
      <w:r w:rsidRPr="001039AE">
        <w:t>Ibid.</w:t>
      </w:r>
    </w:p>
  </w:footnote>
  <w:footnote w:id="15">
    <w:p w14:paraId="03DE7741" w14:textId="77777777" w:rsidR="00290942" w:rsidRPr="004206C8" w:rsidRDefault="00290942">
      <w:pPr>
        <w:pStyle w:val="FootnoteText"/>
      </w:pPr>
      <w:r w:rsidRPr="00DA68DC">
        <w:rPr>
          <w:lang w:val="en-GB"/>
        </w:rPr>
        <w:tab/>
      </w:r>
      <w:r w:rsidRPr="00DA68DC">
        <w:rPr>
          <w:rStyle w:val="FootnoteReference"/>
        </w:rPr>
        <w:footnoteRef/>
      </w:r>
      <w:r w:rsidRPr="00DA68DC">
        <w:rPr>
          <w:lang w:val="en-GB"/>
        </w:rPr>
        <w:tab/>
      </w:r>
      <w:r w:rsidRPr="00DA68DC">
        <w:t>See</w:t>
      </w:r>
      <w:r w:rsidRPr="00DA68DC">
        <w:rPr>
          <w:lang w:eastAsia="ja-JP"/>
        </w:rPr>
        <w:t>, inter alia,</w:t>
      </w:r>
      <w:r w:rsidRPr="00DA68DC">
        <w:t xml:space="preserve"> communications No. 2393/2014, </w:t>
      </w:r>
      <w:r w:rsidRPr="00DA68DC">
        <w:rPr>
          <w:i/>
        </w:rPr>
        <w:t>K</w:t>
      </w:r>
      <w:r w:rsidRPr="00DA68DC">
        <w:rPr>
          <w:i/>
          <w:lang w:eastAsia="ja-JP"/>
        </w:rPr>
        <w:t xml:space="preserve"> v.</w:t>
      </w:r>
      <w:r w:rsidRPr="00DA68DC">
        <w:rPr>
          <w:i/>
        </w:rPr>
        <w:t xml:space="preserve"> Denmark</w:t>
      </w:r>
      <w:r w:rsidRPr="00DA68DC">
        <w:t xml:space="preserve">, Views adopted on 16 July 2015, para. 7.4; and No. 1957/2010, </w:t>
      </w:r>
      <w:r w:rsidRPr="00DA68DC">
        <w:rPr>
          <w:i/>
        </w:rPr>
        <w:t xml:space="preserve">Lin </w:t>
      </w:r>
      <w:r w:rsidRPr="00DA68DC">
        <w:rPr>
          <w:i/>
          <w:iCs/>
        </w:rPr>
        <w:t>v.</w:t>
      </w:r>
      <w:r w:rsidRPr="00DA68DC">
        <w:rPr>
          <w:i/>
        </w:rPr>
        <w:t xml:space="preserve"> </w:t>
      </w:r>
      <w:r w:rsidRPr="004206C8">
        <w:rPr>
          <w:i/>
        </w:rPr>
        <w:t>Australia</w:t>
      </w:r>
      <w:r w:rsidRPr="004206C8">
        <w:t>, Views adopted on 21 March 2013, para. 9.3.</w:t>
      </w:r>
    </w:p>
  </w:footnote>
  <w:footnote w:id="16">
    <w:p w14:paraId="0891B229" w14:textId="77777777" w:rsidR="00290942" w:rsidRPr="00552873" w:rsidRDefault="00290942" w:rsidP="009B3BE6">
      <w:pPr>
        <w:pStyle w:val="FootnoteText"/>
      </w:pPr>
      <w:r w:rsidRPr="009B3BE6">
        <w:tab/>
      </w:r>
      <w:r w:rsidRPr="001039AE">
        <w:rPr>
          <w:rStyle w:val="FootnoteReference"/>
        </w:rPr>
        <w:footnoteRef/>
      </w:r>
      <w:r w:rsidRPr="009B3BE6">
        <w:tab/>
      </w:r>
      <w:r w:rsidRPr="001039AE">
        <w:rPr>
          <w:lang w:val="en-GB"/>
        </w:rPr>
        <w:t>See</w:t>
      </w:r>
      <w:r w:rsidRPr="001039AE">
        <w:rPr>
          <w:lang w:val="en-GB" w:eastAsia="ja-JP"/>
        </w:rPr>
        <w:t>,</w:t>
      </w:r>
      <w:r w:rsidRPr="001039AE">
        <w:rPr>
          <w:lang w:val="en-GB"/>
        </w:rPr>
        <w:t xml:space="preserve"> for </w:t>
      </w:r>
      <w:r w:rsidRPr="009B3BE6">
        <w:rPr>
          <w:lang w:val="x-none"/>
        </w:rPr>
        <w:t>instance</w:t>
      </w:r>
      <w:r w:rsidRPr="001039AE">
        <w:rPr>
          <w:lang w:val="en-GB" w:eastAsia="ja-JP"/>
        </w:rPr>
        <w:t>,</w:t>
      </w:r>
      <w:r w:rsidRPr="001039AE">
        <w:rPr>
          <w:lang w:val="en-GB"/>
        </w:rPr>
        <w:t xml:space="preserve"> United States of America </w:t>
      </w:r>
      <w:r w:rsidRPr="009B3BE6">
        <w:rPr>
          <w:lang w:val="en-GB"/>
        </w:rPr>
        <w:t xml:space="preserve">Department of State, </w:t>
      </w:r>
      <w:r w:rsidRPr="001039AE">
        <w:rPr>
          <w:lang w:val="en-GB"/>
        </w:rPr>
        <w:t xml:space="preserve">country reports on human rights practices for Sri Lanka (Washington, D.C., 25 June 2015); Immigration and Refugee Board of Canada, </w:t>
      </w:r>
      <w:r w:rsidRPr="009B3BE6">
        <w:rPr>
          <w:lang w:val="en-GB"/>
        </w:rPr>
        <w:t>“</w:t>
      </w:r>
      <w:r w:rsidRPr="001039AE">
        <w:rPr>
          <w:lang w:val="en-GB"/>
        </w:rPr>
        <w:t xml:space="preserve">Sri Lanka: </w:t>
      </w:r>
      <w:r w:rsidRPr="009B3BE6">
        <w:rPr>
          <w:lang w:val="en-GB"/>
        </w:rPr>
        <w:t>t</w:t>
      </w:r>
      <w:r w:rsidRPr="001039AE">
        <w:rPr>
          <w:lang w:val="en-GB"/>
        </w:rPr>
        <w:t>reatment of suspected members or supporters of the Liberation Tigers of Tamil Eelam (LTTE), including information about how many are in detention; whether the government continues to screen Tamils in an attempt to identify LTTE suspects – 2011-January 2015</w:t>
      </w:r>
      <w:r w:rsidRPr="009B3BE6">
        <w:rPr>
          <w:lang w:val="en-GB"/>
        </w:rPr>
        <w:t>”</w:t>
      </w:r>
      <w:r w:rsidRPr="001039AE">
        <w:rPr>
          <w:lang w:val="en-GB"/>
        </w:rPr>
        <w:t xml:space="preserve"> (</w:t>
      </w:r>
      <w:r w:rsidRPr="009B3BE6">
        <w:rPr>
          <w:lang w:val="en-GB"/>
        </w:rPr>
        <w:t xml:space="preserve">Ottawa, </w:t>
      </w:r>
      <w:r w:rsidRPr="001039AE">
        <w:rPr>
          <w:lang w:val="en-GB"/>
        </w:rPr>
        <w:t xml:space="preserve">11 February 2015); Freedom from Torture, </w:t>
      </w:r>
      <w:r w:rsidRPr="009B3BE6">
        <w:rPr>
          <w:lang w:val="en-GB"/>
        </w:rPr>
        <w:t>“</w:t>
      </w:r>
      <w:r w:rsidRPr="001039AE">
        <w:rPr>
          <w:lang w:val="en-GB"/>
        </w:rPr>
        <w:t xml:space="preserve">Tainted </w:t>
      </w:r>
      <w:r w:rsidRPr="009B3BE6">
        <w:rPr>
          <w:lang w:val="en-GB"/>
        </w:rPr>
        <w:t>p</w:t>
      </w:r>
      <w:r w:rsidRPr="001039AE">
        <w:rPr>
          <w:lang w:val="en-GB"/>
        </w:rPr>
        <w:t>eace</w:t>
      </w:r>
      <w:r w:rsidRPr="009B3BE6">
        <w:rPr>
          <w:lang w:val="en-GB"/>
        </w:rPr>
        <w:t>:</w:t>
      </w:r>
      <w:r w:rsidRPr="001039AE">
        <w:rPr>
          <w:lang w:val="en-GB"/>
        </w:rPr>
        <w:t xml:space="preserve"> </w:t>
      </w:r>
      <w:r w:rsidRPr="009B3BE6">
        <w:rPr>
          <w:lang w:val="en-GB"/>
        </w:rPr>
        <w:t>t</w:t>
      </w:r>
      <w:r w:rsidRPr="001039AE">
        <w:rPr>
          <w:lang w:val="en-GB"/>
        </w:rPr>
        <w:t>orture in Sri Lanka since May 2009</w:t>
      </w:r>
      <w:r w:rsidRPr="009B3BE6">
        <w:rPr>
          <w:lang w:val="en-GB"/>
        </w:rPr>
        <w:t>”</w:t>
      </w:r>
      <w:r w:rsidRPr="001039AE">
        <w:rPr>
          <w:lang w:val="en-GB"/>
        </w:rPr>
        <w:t xml:space="preserve"> (</w:t>
      </w:r>
      <w:r w:rsidRPr="009B3BE6">
        <w:rPr>
          <w:lang w:val="en-GB"/>
        </w:rPr>
        <w:t xml:space="preserve">London, </w:t>
      </w:r>
      <w:r w:rsidRPr="001039AE">
        <w:rPr>
          <w:lang w:val="en-GB"/>
        </w:rPr>
        <w:t>August 2015)</w:t>
      </w:r>
      <w:r w:rsidRPr="009B3BE6">
        <w:rPr>
          <w:lang w:val="en-GB"/>
        </w:rPr>
        <w:t>;</w:t>
      </w:r>
      <w:r w:rsidRPr="001039AE">
        <w:rPr>
          <w:lang w:val="en-GB"/>
        </w:rPr>
        <w:t xml:space="preserve"> and International Crisis Group, </w:t>
      </w:r>
      <w:r w:rsidRPr="009B3BE6">
        <w:rPr>
          <w:lang w:val="en-GB"/>
        </w:rPr>
        <w:t>“</w:t>
      </w:r>
      <w:r w:rsidRPr="001039AE">
        <w:rPr>
          <w:lang w:val="en-GB"/>
        </w:rPr>
        <w:t>Sri Lanka between elections</w:t>
      </w:r>
      <w:r w:rsidRPr="009B3BE6">
        <w:rPr>
          <w:lang w:val="en-GB"/>
        </w:rPr>
        <w:t>”, Asia report No. 272</w:t>
      </w:r>
      <w:r w:rsidRPr="001039AE">
        <w:rPr>
          <w:lang w:val="en-GB"/>
        </w:rPr>
        <w:t xml:space="preserve"> (</w:t>
      </w:r>
      <w:r w:rsidRPr="009B3BE6">
        <w:rPr>
          <w:lang w:val="en-GB"/>
        </w:rPr>
        <w:t xml:space="preserve">Brussels, </w:t>
      </w:r>
      <w:r w:rsidRPr="001039AE">
        <w:rPr>
          <w:lang w:val="en-GB"/>
        </w:rPr>
        <w:t>12 August 2015).</w:t>
      </w:r>
    </w:p>
  </w:footnote>
  <w:footnote w:id="17">
    <w:p w14:paraId="586C958D" w14:textId="77777777" w:rsidR="00290942" w:rsidRPr="00C02566" w:rsidRDefault="00290942" w:rsidP="00095CDF">
      <w:pPr>
        <w:pStyle w:val="FootnoteText"/>
        <w:jc w:val="both"/>
        <w:rPr>
          <w:lang w:val="en-GB"/>
        </w:rPr>
      </w:pPr>
      <w:r w:rsidRPr="00695CFE">
        <w:rPr>
          <w:lang w:val="en-GB"/>
        </w:rPr>
        <w:tab/>
      </w:r>
      <w:r w:rsidRPr="00181FB3">
        <w:rPr>
          <w:rStyle w:val="FootnoteReference"/>
        </w:rPr>
        <w:footnoteRef/>
      </w:r>
      <w:r w:rsidRPr="00181FB3">
        <w:rPr>
          <w:lang w:val="en-GB"/>
        </w:rPr>
        <w:tab/>
        <w:t>See footnotes 4 and 5 above.</w:t>
      </w:r>
    </w:p>
  </w:footnote>
  <w:footnote w:id="18">
    <w:p w14:paraId="58B22713" w14:textId="77777777" w:rsidR="00290942" w:rsidRPr="00DA68DC" w:rsidRDefault="00290942" w:rsidP="009B3BE6">
      <w:pPr>
        <w:pStyle w:val="FootnoteText"/>
        <w:widowControl w:val="0"/>
      </w:pPr>
      <w:r>
        <w:tab/>
      </w:r>
      <w:r w:rsidRPr="00DA68DC">
        <w:rPr>
          <w:rStyle w:val="FootnoteReference"/>
        </w:rPr>
        <w:footnoteRef/>
      </w:r>
      <w:r w:rsidRPr="00DA68DC">
        <w:tab/>
      </w:r>
      <w:r w:rsidRPr="00DA68DC">
        <w:rPr>
          <w:rFonts w:eastAsia="Times New Roman"/>
          <w:lang w:val="en-GB" w:bidi="he-IL"/>
        </w:rPr>
        <w:t xml:space="preserve">See e.g. </w:t>
      </w:r>
      <w:r w:rsidRPr="00DA68DC">
        <w:rPr>
          <w:lang w:val="en-GB"/>
        </w:rPr>
        <w:t>communication No.</w:t>
      </w:r>
      <w:r w:rsidRPr="00DA68DC">
        <w:rPr>
          <w:rFonts w:eastAsia="Times New Roman"/>
          <w:lang w:val="en-GB" w:bidi="he-IL"/>
        </w:rPr>
        <w:t xml:space="preserve"> 1544</w:t>
      </w:r>
      <w:r w:rsidRPr="00DA68DC">
        <w:rPr>
          <w:lang w:val="en-GB" w:bidi="he-IL"/>
        </w:rPr>
        <w:t>/200</w:t>
      </w:r>
      <w:r w:rsidRPr="00DA68DC">
        <w:rPr>
          <w:rFonts w:eastAsia="Times New Roman"/>
          <w:lang w:val="en-GB" w:bidi="he-IL"/>
        </w:rPr>
        <w:t xml:space="preserve">7, </w:t>
      </w:r>
      <w:r w:rsidRPr="00DA68DC">
        <w:rPr>
          <w:rFonts w:eastAsia="Times New Roman"/>
          <w:i/>
          <w:lang w:val="en-GB" w:bidi="he-IL"/>
        </w:rPr>
        <w:t xml:space="preserve">Hamida v. Canada, </w:t>
      </w:r>
      <w:r w:rsidRPr="00DA68DC">
        <w:rPr>
          <w:lang w:val="en-GB" w:bidi="he-IL"/>
        </w:rPr>
        <w:t>Views adopted on 18 March 2010, paras. 8.4-8.6</w:t>
      </w:r>
      <w:r w:rsidRPr="009B3BE6">
        <w:t>.</w:t>
      </w:r>
    </w:p>
  </w:footnote>
  <w:footnote w:id="19">
    <w:p w14:paraId="4591F079" w14:textId="77777777" w:rsidR="00290942" w:rsidRPr="00DA68DC" w:rsidRDefault="00290942" w:rsidP="009B3BE6">
      <w:pPr>
        <w:pStyle w:val="FootnoteText"/>
        <w:widowControl w:val="0"/>
      </w:pPr>
      <w:r w:rsidRPr="00DA68DC">
        <w:tab/>
      </w:r>
      <w:r w:rsidRPr="00DA68DC">
        <w:rPr>
          <w:rStyle w:val="FootnoteReference"/>
        </w:rPr>
        <w:footnoteRef/>
      </w:r>
      <w:r w:rsidRPr="00DA68DC">
        <w:tab/>
      </w:r>
      <w:r w:rsidRPr="00DA68DC">
        <w:rPr>
          <w:bCs/>
        </w:rPr>
        <w:t xml:space="preserve">See e.g. </w:t>
      </w:r>
      <w:r w:rsidRPr="00DA68DC">
        <w:t xml:space="preserve">communication No. 1908/2009, </w:t>
      </w:r>
      <w:r w:rsidRPr="009B3BE6">
        <w:rPr>
          <w:i/>
        </w:rPr>
        <w:t>X</w:t>
      </w:r>
      <w:r w:rsidRPr="00DA68DC">
        <w:rPr>
          <w:i/>
        </w:rPr>
        <w:t>.</w:t>
      </w:r>
      <w:r w:rsidRPr="009B3BE6">
        <w:rPr>
          <w:i/>
        </w:rPr>
        <w:t xml:space="preserve"> v. Republic of Korea, </w:t>
      </w:r>
      <w:r w:rsidRPr="00DA68DC">
        <w:t xml:space="preserve">Views adopted on 25 March 2014, para. 11.5. </w:t>
      </w:r>
    </w:p>
  </w:footnote>
  <w:footnote w:id="20">
    <w:p w14:paraId="0AC3335E" w14:textId="77777777" w:rsidR="00290942" w:rsidRPr="00C735E5" w:rsidRDefault="00290942" w:rsidP="009B3BE6">
      <w:pPr>
        <w:pStyle w:val="FootnoteText"/>
        <w:widowControl w:val="0"/>
      </w:pPr>
      <w:r w:rsidRPr="00DA68DC">
        <w:tab/>
      </w:r>
      <w:r w:rsidRPr="00DA68DC">
        <w:rPr>
          <w:rStyle w:val="FootnoteReference"/>
        </w:rPr>
        <w:footnoteRef/>
      </w:r>
      <w:r w:rsidRPr="00DA68DC">
        <w:tab/>
      </w:r>
      <w:r w:rsidRPr="00DA68DC">
        <w:rPr>
          <w:bCs/>
        </w:rPr>
        <w:t xml:space="preserve">See e.g. communication No. 1222/2003, </w:t>
      </w:r>
      <w:r w:rsidRPr="009B3BE6">
        <w:rPr>
          <w:bCs/>
          <w:i/>
        </w:rPr>
        <w:t>Byahuranga v. Denmark,</w:t>
      </w:r>
      <w:r w:rsidRPr="00DA68DC">
        <w:rPr>
          <w:bCs/>
        </w:rPr>
        <w:t xml:space="preserve"> Views adopted on 1 November 2004, para</w:t>
      </w:r>
      <w:r w:rsidRPr="009B3BE6">
        <w:rPr>
          <w:bCs/>
        </w:rPr>
        <w:t>s</w:t>
      </w:r>
      <w:r w:rsidRPr="00DA68DC">
        <w:rPr>
          <w:bCs/>
        </w:rPr>
        <w:t>. 11.3</w:t>
      </w:r>
      <w:r w:rsidRPr="009B3BE6">
        <w:rPr>
          <w:bCs/>
        </w:rPr>
        <w:t xml:space="preserve"> and </w:t>
      </w:r>
      <w:r w:rsidRPr="00DA68DC">
        <w:rPr>
          <w:bCs/>
        </w:rPr>
        <w:t>11.4.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65BC" w14:textId="77777777" w:rsidR="00290942" w:rsidRPr="006A5FDB" w:rsidRDefault="00290942">
    <w:pPr>
      <w:pStyle w:val="Header"/>
    </w:pPr>
    <w:r w:rsidRPr="006A5FDB">
      <w:t>CCPR/C</w:t>
    </w:r>
    <w:r>
      <w:t>/</w:t>
    </w:r>
    <w:r w:rsidRPr="006A5FDB">
      <w:t>11</w:t>
    </w:r>
    <w:r>
      <w:t>5</w:t>
    </w:r>
    <w:r w:rsidRPr="006A5FDB">
      <w:t>/D/22</w:t>
    </w:r>
    <w:r>
      <w:t>5</w:t>
    </w:r>
    <w:r w:rsidRPr="006A5FDB">
      <w:t>8/2013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7DC5" w14:textId="77777777" w:rsidR="00290942" w:rsidRPr="00E0440B" w:rsidRDefault="00290942" w:rsidP="00E01AF0">
    <w:pPr>
      <w:pStyle w:val="Header"/>
      <w:jc w:val="right"/>
    </w:pPr>
    <w:r>
      <w:t>CCPR/C/115/D/2258/2013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0B"/>
    <w:rsid w:val="000504FA"/>
    <w:rsid w:val="00050591"/>
    <w:rsid w:val="000752CF"/>
    <w:rsid w:val="000864D4"/>
    <w:rsid w:val="00095CDF"/>
    <w:rsid w:val="000A0108"/>
    <w:rsid w:val="000D76AE"/>
    <w:rsid w:val="000E734F"/>
    <w:rsid w:val="000F0228"/>
    <w:rsid w:val="001039AE"/>
    <w:rsid w:val="00110F82"/>
    <w:rsid w:val="00113A9C"/>
    <w:rsid w:val="00113E4A"/>
    <w:rsid w:val="00133753"/>
    <w:rsid w:val="00140AEF"/>
    <w:rsid w:val="00161065"/>
    <w:rsid w:val="00163A94"/>
    <w:rsid w:val="00165CC5"/>
    <w:rsid w:val="00171A84"/>
    <w:rsid w:val="00181FB3"/>
    <w:rsid w:val="00186A91"/>
    <w:rsid w:val="00186E4C"/>
    <w:rsid w:val="001C2CDF"/>
    <w:rsid w:val="001C3C6F"/>
    <w:rsid w:val="001E22B3"/>
    <w:rsid w:val="001F05FA"/>
    <w:rsid w:val="001F15E0"/>
    <w:rsid w:val="00201D68"/>
    <w:rsid w:val="00206EFC"/>
    <w:rsid w:val="00213875"/>
    <w:rsid w:val="00223438"/>
    <w:rsid w:val="002667AA"/>
    <w:rsid w:val="00281D1D"/>
    <w:rsid w:val="00290942"/>
    <w:rsid w:val="00294F69"/>
    <w:rsid w:val="002B26ED"/>
    <w:rsid w:val="002C01FB"/>
    <w:rsid w:val="002C3591"/>
    <w:rsid w:val="002D12B0"/>
    <w:rsid w:val="002E2684"/>
    <w:rsid w:val="002E2CF8"/>
    <w:rsid w:val="002E5616"/>
    <w:rsid w:val="00306BB2"/>
    <w:rsid w:val="00332495"/>
    <w:rsid w:val="00333ECA"/>
    <w:rsid w:val="00356FBA"/>
    <w:rsid w:val="00385EF3"/>
    <w:rsid w:val="00386808"/>
    <w:rsid w:val="00390340"/>
    <w:rsid w:val="003E028A"/>
    <w:rsid w:val="003E2DDD"/>
    <w:rsid w:val="004070ED"/>
    <w:rsid w:val="00407810"/>
    <w:rsid w:val="004079E8"/>
    <w:rsid w:val="004206C8"/>
    <w:rsid w:val="00423C45"/>
    <w:rsid w:val="0044440A"/>
    <w:rsid w:val="00456397"/>
    <w:rsid w:val="004717C9"/>
    <w:rsid w:val="004732FC"/>
    <w:rsid w:val="00484D66"/>
    <w:rsid w:val="00496235"/>
    <w:rsid w:val="004C2B1E"/>
    <w:rsid w:val="004F4FEE"/>
    <w:rsid w:val="005252A8"/>
    <w:rsid w:val="0053657C"/>
    <w:rsid w:val="00552873"/>
    <w:rsid w:val="00557BBD"/>
    <w:rsid w:val="0057195C"/>
    <w:rsid w:val="00580713"/>
    <w:rsid w:val="005A491E"/>
    <w:rsid w:val="005A7470"/>
    <w:rsid w:val="005A7765"/>
    <w:rsid w:val="005B0112"/>
    <w:rsid w:val="005E25F4"/>
    <w:rsid w:val="006015A2"/>
    <w:rsid w:val="00603F6A"/>
    <w:rsid w:val="00604D2E"/>
    <w:rsid w:val="006141F3"/>
    <w:rsid w:val="00615CE7"/>
    <w:rsid w:val="00646855"/>
    <w:rsid w:val="00660D73"/>
    <w:rsid w:val="0067753F"/>
    <w:rsid w:val="00691EC0"/>
    <w:rsid w:val="00695CFE"/>
    <w:rsid w:val="006A1423"/>
    <w:rsid w:val="006A14A0"/>
    <w:rsid w:val="006A24FB"/>
    <w:rsid w:val="006B452B"/>
    <w:rsid w:val="006C4DCA"/>
    <w:rsid w:val="006C522B"/>
    <w:rsid w:val="006C5F93"/>
    <w:rsid w:val="006C7AF0"/>
    <w:rsid w:val="006D1E23"/>
    <w:rsid w:val="006D49A7"/>
    <w:rsid w:val="006D7819"/>
    <w:rsid w:val="006E4BBA"/>
    <w:rsid w:val="00715DB6"/>
    <w:rsid w:val="007345D4"/>
    <w:rsid w:val="00747CFF"/>
    <w:rsid w:val="00754BDB"/>
    <w:rsid w:val="00760E3D"/>
    <w:rsid w:val="00790278"/>
    <w:rsid w:val="007A656F"/>
    <w:rsid w:val="007B2A9D"/>
    <w:rsid w:val="007C7218"/>
    <w:rsid w:val="007E47AF"/>
    <w:rsid w:val="007E6CF3"/>
    <w:rsid w:val="00807661"/>
    <w:rsid w:val="00832EFF"/>
    <w:rsid w:val="00836A95"/>
    <w:rsid w:val="008371A6"/>
    <w:rsid w:val="0086305A"/>
    <w:rsid w:val="00883BAF"/>
    <w:rsid w:val="008A1F41"/>
    <w:rsid w:val="008B4000"/>
    <w:rsid w:val="008B4BDA"/>
    <w:rsid w:val="008C04F0"/>
    <w:rsid w:val="008C718F"/>
    <w:rsid w:val="008E471D"/>
    <w:rsid w:val="008F5D58"/>
    <w:rsid w:val="00910D2B"/>
    <w:rsid w:val="00912BB8"/>
    <w:rsid w:val="009231FB"/>
    <w:rsid w:val="00932487"/>
    <w:rsid w:val="00941F6A"/>
    <w:rsid w:val="009503B2"/>
    <w:rsid w:val="00953534"/>
    <w:rsid w:val="00964D1F"/>
    <w:rsid w:val="009751A0"/>
    <w:rsid w:val="00987A2B"/>
    <w:rsid w:val="009A54A1"/>
    <w:rsid w:val="009B3BE6"/>
    <w:rsid w:val="009C47EA"/>
    <w:rsid w:val="009C6717"/>
    <w:rsid w:val="009C6CBA"/>
    <w:rsid w:val="009E5AEC"/>
    <w:rsid w:val="009F6D20"/>
    <w:rsid w:val="00A00696"/>
    <w:rsid w:val="00A06F4B"/>
    <w:rsid w:val="00A160DC"/>
    <w:rsid w:val="00A177C6"/>
    <w:rsid w:val="00A31FF8"/>
    <w:rsid w:val="00A45FB0"/>
    <w:rsid w:val="00A53192"/>
    <w:rsid w:val="00A53621"/>
    <w:rsid w:val="00A92C42"/>
    <w:rsid w:val="00AB52C9"/>
    <w:rsid w:val="00AC76CE"/>
    <w:rsid w:val="00AD0CCA"/>
    <w:rsid w:val="00AD2E5E"/>
    <w:rsid w:val="00AD3B02"/>
    <w:rsid w:val="00AF4300"/>
    <w:rsid w:val="00B10BB3"/>
    <w:rsid w:val="00B2619A"/>
    <w:rsid w:val="00B372F5"/>
    <w:rsid w:val="00B81931"/>
    <w:rsid w:val="00BA4B27"/>
    <w:rsid w:val="00BA5E22"/>
    <w:rsid w:val="00BC525A"/>
    <w:rsid w:val="00BC6520"/>
    <w:rsid w:val="00BC7713"/>
    <w:rsid w:val="00BD3392"/>
    <w:rsid w:val="00BD7CCA"/>
    <w:rsid w:val="00BF0B4B"/>
    <w:rsid w:val="00BF5F80"/>
    <w:rsid w:val="00BF6111"/>
    <w:rsid w:val="00BF7847"/>
    <w:rsid w:val="00C02566"/>
    <w:rsid w:val="00C04FB4"/>
    <w:rsid w:val="00C06BE6"/>
    <w:rsid w:val="00C12CF7"/>
    <w:rsid w:val="00C219E8"/>
    <w:rsid w:val="00C23BB4"/>
    <w:rsid w:val="00C30A6A"/>
    <w:rsid w:val="00C32EEC"/>
    <w:rsid w:val="00C3335A"/>
    <w:rsid w:val="00C446BA"/>
    <w:rsid w:val="00C735E5"/>
    <w:rsid w:val="00C7627B"/>
    <w:rsid w:val="00C91733"/>
    <w:rsid w:val="00C919BB"/>
    <w:rsid w:val="00CC0C3E"/>
    <w:rsid w:val="00CD6CC9"/>
    <w:rsid w:val="00CE6241"/>
    <w:rsid w:val="00D05C86"/>
    <w:rsid w:val="00D17173"/>
    <w:rsid w:val="00D31EE6"/>
    <w:rsid w:val="00D4255A"/>
    <w:rsid w:val="00D46534"/>
    <w:rsid w:val="00D64ED4"/>
    <w:rsid w:val="00D71DF1"/>
    <w:rsid w:val="00D725DE"/>
    <w:rsid w:val="00DA1883"/>
    <w:rsid w:val="00DA68DC"/>
    <w:rsid w:val="00DE344F"/>
    <w:rsid w:val="00DE5430"/>
    <w:rsid w:val="00DE609F"/>
    <w:rsid w:val="00DF2325"/>
    <w:rsid w:val="00E01AF0"/>
    <w:rsid w:val="00E0440B"/>
    <w:rsid w:val="00E15E54"/>
    <w:rsid w:val="00E3624D"/>
    <w:rsid w:val="00E367D8"/>
    <w:rsid w:val="00E503F4"/>
    <w:rsid w:val="00E55E32"/>
    <w:rsid w:val="00E6458F"/>
    <w:rsid w:val="00E67420"/>
    <w:rsid w:val="00E7219D"/>
    <w:rsid w:val="00E94E80"/>
    <w:rsid w:val="00EA3D41"/>
    <w:rsid w:val="00EC74B2"/>
    <w:rsid w:val="00ED0470"/>
    <w:rsid w:val="00ED1152"/>
    <w:rsid w:val="00ED6414"/>
    <w:rsid w:val="00EF16DE"/>
    <w:rsid w:val="00EF33D2"/>
    <w:rsid w:val="00F02C78"/>
    <w:rsid w:val="00F10AFF"/>
    <w:rsid w:val="00F27668"/>
    <w:rsid w:val="00F430ED"/>
    <w:rsid w:val="00F4398F"/>
    <w:rsid w:val="00F77123"/>
    <w:rsid w:val="00F77ECD"/>
    <w:rsid w:val="00F81DEA"/>
    <w:rsid w:val="00F854EE"/>
    <w:rsid w:val="00F86291"/>
    <w:rsid w:val="00F86AAF"/>
    <w:rsid w:val="00FA07A9"/>
    <w:rsid w:val="00FB3F46"/>
    <w:rsid w:val="00FC62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41B36"/>
  <w15:docId w15:val="{0EA4ED9B-032E-4213-9BFD-E21AFEBE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C23BB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C23BB4"/>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CC3666"/>
    <w:rPr>
      <w:rFonts w:eastAsia="SimSun"/>
      <w:sz w:val="18"/>
      <w:lang w:val="en-US" w:eastAsia="zh-CN"/>
    </w:rPr>
  </w:style>
  <w:style w:type="paragraph" w:styleId="BalloonText">
    <w:name w:val="Balloon Text"/>
    <w:basedOn w:val="Normal"/>
    <w:link w:val="BalloonTextChar"/>
    <w:rsid w:val="00CC3666"/>
    <w:pPr>
      <w:spacing w:line="240" w:lineRule="auto"/>
    </w:pPr>
    <w:rPr>
      <w:rFonts w:ascii="Tahoma" w:hAnsi="Tahoma"/>
      <w:sz w:val="16"/>
      <w:szCs w:val="16"/>
      <w:lang w:val="x-none"/>
    </w:rPr>
  </w:style>
  <w:style w:type="character" w:customStyle="1" w:styleId="BalloonTextChar">
    <w:name w:val="Balloon Text Char"/>
    <w:link w:val="BalloonText"/>
    <w:rsid w:val="00CC3666"/>
    <w:rPr>
      <w:rFonts w:ascii="Tahoma" w:hAnsi="Tahoma"/>
      <w:sz w:val="16"/>
      <w:szCs w:val="16"/>
      <w:lang w:eastAsia="en-US"/>
    </w:rPr>
  </w:style>
  <w:style w:type="character" w:customStyle="1" w:styleId="SingleTxtGChar">
    <w:name w:val="_ Single Txt_G Char"/>
    <w:link w:val="SingleTxtG"/>
    <w:rsid w:val="00CC3666"/>
    <w:rPr>
      <w:lang w:eastAsia="en-US"/>
    </w:rPr>
  </w:style>
  <w:style w:type="character" w:customStyle="1" w:styleId="sectionlabel">
    <w:name w:val="sectionlabel"/>
    <w:rsid w:val="00CC3666"/>
  </w:style>
  <w:style w:type="character" w:customStyle="1" w:styleId="canliisectionwithsubsection">
    <w:name w:val="canlii_section_with_subsection"/>
    <w:rsid w:val="00CC3666"/>
  </w:style>
  <w:style w:type="character" w:styleId="Emphasis">
    <w:name w:val="Emphasis"/>
    <w:uiPriority w:val="20"/>
    <w:qFormat/>
    <w:rsid w:val="00CC3666"/>
    <w:rPr>
      <w:b/>
      <w:bCs/>
      <w:i w:val="0"/>
      <w:iCs w:val="0"/>
    </w:rPr>
  </w:style>
  <w:style w:type="character" w:customStyle="1" w:styleId="st">
    <w:name w:val="st"/>
    <w:rsid w:val="00CC3666"/>
  </w:style>
  <w:style w:type="paragraph" w:customStyle="1" w:styleId="Default">
    <w:name w:val="Default"/>
    <w:rsid w:val="004F5D49"/>
    <w:pPr>
      <w:autoSpaceDE w:val="0"/>
      <w:autoSpaceDN w:val="0"/>
      <w:adjustRightInd w:val="0"/>
    </w:pPr>
    <w:rPr>
      <w:rFonts w:eastAsia="Calibri"/>
      <w:color w:val="000000"/>
      <w:sz w:val="24"/>
      <w:szCs w:val="24"/>
    </w:rPr>
  </w:style>
  <w:style w:type="paragraph" w:customStyle="1" w:styleId="MediumGrid2-Accent11">
    <w:name w:val="Medium Grid 2 - Accent 11"/>
    <w:uiPriority w:val="1"/>
    <w:qFormat/>
    <w:rsid w:val="00860970"/>
    <w:rPr>
      <w:rFonts w:ascii="Calibri" w:eastAsia="Calibri" w:hAnsi="Calibri"/>
      <w:sz w:val="22"/>
      <w:szCs w:val="22"/>
      <w:lang w:eastAsia="en-US"/>
    </w:rPr>
  </w:style>
  <w:style w:type="paragraph" w:styleId="NormalWeb">
    <w:name w:val="Normal (Web)"/>
    <w:basedOn w:val="Normal"/>
    <w:unhideWhenUsed/>
    <w:rsid w:val="00BE7B83"/>
    <w:pPr>
      <w:suppressAutoHyphens w:val="0"/>
      <w:spacing w:before="100" w:beforeAutospacing="1" w:after="100" w:afterAutospacing="1" w:line="240" w:lineRule="auto"/>
    </w:pPr>
    <w:rPr>
      <w:sz w:val="24"/>
      <w:szCs w:val="24"/>
      <w:lang w:eastAsia="en-GB"/>
    </w:rPr>
  </w:style>
  <w:style w:type="character" w:styleId="CommentReference">
    <w:name w:val="annotation reference"/>
    <w:rsid w:val="00083582"/>
    <w:rPr>
      <w:sz w:val="18"/>
      <w:szCs w:val="18"/>
    </w:rPr>
  </w:style>
  <w:style w:type="paragraph" w:styleId="CommentText">
    <w:name w:val="annotation text"/>
    <w:basedOn w:val="Normal"/>
    <w:link w:val="CommentTextChar"/>
    <w:rsid w:val="00083582"/>
  </w:style>
  <w:style w:type="character" w:customStyle="1" w:styleId="CommentTextChar">
    <w:name w:val="Comment Text Char"/>
    <w:link w:val="CommentText"/>
    <w:rsid w:val="00083582"/>
    <w:rPr>
      <w:lang w:val="en-GB" w:eastAsia="en-US"/>
    </w:rPr>
  </w:style>
  <w:style w:type="paragraph" w:styleId="CommentSubject">
    <w:name w:val="annotation subject"/>
    <w:basedOn w:val="CommentText"/>
    <w:next w:val="CommentText"/>
    <w:link w:val="CommentSubjectChar"/>
    <w:rsid w:val="00083582"/>
    <w:rPr>
      <w:b/>
      <w:bCs/>
    </w:rPr>
  </w:style>
  <w:style w:type="character" w:customStyle="1" w:styleId="CommentSubjectChar">
    <w:name w:val="Comment Subject Char"/>
    <w:link w:val="CommentSubject"/>
    <w:rsid w:val="00083582"/>
    <w:rPr>
      <w:b/>
      <w:bCs/>
      <w:lang w:val="en-GB" w:eastAsia="en-US"/>
    </w:rPr>
  </w:style>
  <w:style w:type="paragraph" w:styleId="Revision">
    <w:name w:val="Revision"/>
    <w:hidden/>
    <w:uiPriority w:val="99"/>
    <w:semiHidden/>
    <w:rsid w:val="00832EF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6328">
      <w:bodyDiv w:val="1"/>
      <w:marLeft w:val="0"/>
      <w:marRight w:val="0"/>
      <w:marTop w:val="0"/>
      <w:marBottom w:val="0"/>
      <w:divBdr>
        <w:top w:val="none" w:sz="0" w:space="0" w:color="auto"/>
        <w:left w:val="none" w:sz="0" w:space="0" w:color="auto"/>
        <w:bottom w:val="none" w:sz="0" w:space="0" w:color="auto"/>
        <w:right w:val="none" w:sz="0" w:space="0" w:color="auto"/>
      </w:divBdr>
    </w:div>
    <w:div w:id="420176596">
      <w:bodyDiv w:val="1"/>
      <w:marLeft w:val="0"/>
      <w:marRight w:val="0"/>
      <w:marTop w:val="0"/>
      <w:marBottom w:val="0"/>
      <w:divBdr>
        <w:top w:val="none" w:sz="0" w:space="0" w:color="auto"/>
        <w:left w:val="none" w:sz="0" w:space="0" w:color="auto"/>
        <w:bottom w:val="none" w:sz="0" w:space="0" w:color="auto"/>
        <w:right w:val="none" w:sz="0" w:space="0" w:color="auto"/>
      </w:divBdr>
    </w:div>
    <w:div w:id="438644678">
      <w:bodyDiv w:val="1"/>
      <w:marLeft w:val="0"/>
      <w:marRight w:val="0"/>
      <w:marTop w:val="0"/>
      <w:marBottom w:val="0"/>
      <w:divBdr>
        <w:top w:val="none" w:sz="0" w:space="0" w:color="auto"/>
        <w:left w:val="none" w:sz="0" w:space="0" w:color="auto"/>
        <w:bottom w:val="none" w:sz="0" w:space="0" w:color="auto"/>
        <w:right w:val="none" w:sz="0" w:space="0" w:color="auto"/>
      </w:divBdr>
    </w:div>
    <w:div w:id="586764692">
      <w:bodyDiv w:val="1"/>
      <w:marLeft w:val="0"/>
      <w:marRight w:val="0"/>
      <w:marTop w:val="0"/>
      <w:marBottom w:val="0"/>
      <w:divBdr>
        <w:top w:val="none" w:sz="0" w:space="0" w:color="auto"/>
        <w:left w:val="none" w:sz="0" w:space="0" w:color="auto"/>
        <w:bottom w:val="none" w:sz="0" w:space="0" w:color="auto"/>
        <w:right w:val="none" w:sz="0" w:space="0" w:color="auto"/>
      </w:divBdr>
    </w:div>
    <w:div w:id="1023939288">
      <w:bodyDiv w:val="1"/>
      <w:marLeft w:val="0"/>
      <w:marRight w:val="0"/>
      <w:marTop w:val="0"/>
      <w:marBottom w:val="0"/>
      <w:divBdr>
        <w:top w:val="none" w:sz="0" w:space="0" w:color="auto"/>
        <w:left w:val="none" w:sz="0" w:space="0" w:color="auto"/>
        <w:bottom w:val="none" w:sz="0" w:space="0" w:color="auto"/>
        <w:right w:val="none" w:sz="0" w:space="0" w:color="auto"/>
      </w:divBdr>
    </w:div>
    <w:div w:id="1177647170">
      <w:bodyDiv w:val="1"/>
      <w:marLeft w:val="0"/>
      <w:marRight w:val="0"/>
      <w:marTop w:val="0"/>
      <w:marBottom w:val="0"/>
      <w:divBdr>
        <w:top w:val="none" w:sz="0" w:space="0" w:color="auto"/>
        <w:left w:val="none" w:sz="0" w:space="0" w:color="auto"/>
        <w:bottom w:val="none" w:sz="0" w:space="0" w:color="auto"/>
        <w:right w:val="none" w:sz="0" w:space="0" w:color="auto"/>
      </w:divBdr>
    </w:div>
    <w:div w:id="1182864525">
      <w:bodyDiv w:val="1"/>
      <w:marLeft w:val="0"/>
      <w:marRight w:val="0"/>
      <w:marTop w:val="0"/>
      <w:marBottom w:val="0"/>
      <w:divBdr>
        <w:top w:val="none" w:sz="0" w:space="0" w:color="auto"/>
        <w:left w:val="none" w:sz="0" w:space="0" w:color="auto"/>
        <w:bottom w:val="none" w:sz="0" w:space="0" w:color="auto"/>
        <w:right w:val="none" w:sz="0" w:space="0" w:color="auto"/>
      </w:divBdr>
    </w:div>
    <w:div w:id="1374160402">
      <w:bodyDiv w:val="1"/>
      <w:marLeft w:val="0"/>
      <w:marRight w:val="0"/>
      <w:marTop w:val="0"/>
      <w:marBottom w:val="0"/>
      <w:divBdr>
        <w:top w:val="none" w:sz="0" w:space="0" w:color="auto"/>
        <w:left w:val="none" w:sz="0" w:space="0" w:color="auto"/>
        <w:bottom w:val="none" w:sz="0" w:space="0" w:color="auto"/>
        <w:right w:val="none" w:sz="0" w:space="0" w:color="auto"/>
      </w:divBdr>
    </w:div>
    <w:div w:id="1399137251">
      <w:bodyDiv w:val="1"/>
      <w:marLeft w:val="0"/>
      <w:marRight w:val="0"/>
      <w:marTop w:val="0"/>
      <w:marBottom w:val="0"/>
      <w:divBdr>
        <w:top w:val="none" w:sz="0" w:space="0" w:color="auto"/>
        <w:left w:val="none" w:sz="0" w:space="0" w:color="auto"/>
        <w:bottom w:val="none" w:sz="0" w:space="0" w:color="auto"/>
        <w:right w:val="none" w:sz="0" w:space="0" w:color="auto"/>
      </w:divBdr>
    </w:div>
    <w:div w:id="1403523849">
      <w:bodyDiv w:val="1"/>
      <w:marLeft w:val="0"/>
      <w:marRight w:val="0"/>
      <w:marTop w:val="0"/>
      <w:marBottom w:val="0"/>
      <w:divBdr>
        <w:top w:val="none" w:sz="0" w:space="0" w:color="auto"/>
        <w:left w:val="none" w:sz="0" w:space="0" w:color="auto"/>
        <w:bottom w:val="none" w:sz="0" w:space="0" w:color="auto"/>
        <w:right w:val="none" w:sz="0" w:space="0" w:color="auto"/>
      </w:divBdr>
    </w:div>
    <w:div w:id="1606306813">
      <w:bodyDiv w:val="1"/>
      <w:marLeft w:val="0"/>
      <w:marRight w:val="0"/>
      <w:marTop w:val="0"/>
      <w:marBottom w:val="0"/>
      <w:divBdr>
        <w:top w:val="none" w:sz="0" w:space="0" w:color="auto"/>
        <w:left w:val="none" w:sz="0" w:space="0" w:color="auto"/>
        <w:bottom w:val="none" w:sz="0" w:space="0" w:color="auto"/>
        <w:right w:val="none" w:sz="0" w:space="0" w:color="auto"/>
      </w:divBdr>
    </w:div>
    <w:div w:id="1691682439">
      <w:bodyDiv w:val="1"/>
      <w:marLeft w:val="0"/>
      <w:marRight w:val="0"/>
      <w:marTop w:val="0"/>
      <w:marBottom w:val="0"/>
      <w:divBdr>
        <w:top w:val="none" w:sz="0" w:space="0" w:color="auto"/>
        <w:left w:val="none" w:sz="0" w:space="0" w:color="auto"/>
        <w:bottom w:val="none" w:sz="0" w:space="0" w:color="auto"/>
        <w:right w:val="none" w:sz="0" w:space="0" w:color="auto"/>
      </w:divBdr>
    </w:div>
    <w:div w:id="1697460618">
      <w:bodyDiv w:val="1"/>
      <w:marLeft w:val="0"/>
      <w:marRight w:val="0"/>
      <w:marTop w:val="0"/>
      <w:marBottom w:val="0"/>
      <w:divBdr>
        <w:top w:val="none" w:sz="0" w:space="0" w:color="auto"/>
        <w:left w:val="none" w:sz="0" w:space="0" w:color="auto"/>
        <w:bottom w:val="none" w:sz="0" w:space="0" w:color="auto"/>
        <w:right w:val="none" w:sz="0" w:space="0" w:color="auto"/>
      </w:divBdr>
    </w:div>
    <w:div w:id="20055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87A7-E122-4050-AE68-6643A05A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7</Pages>
  <Words>6079</Words>
  <Characters>34652</Characters>
  <Application>Microsoft Office Word</Application>
  <DocSecurity>0</DocSecurity>
  <Lines>288</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United Nations</vt:lpstr>
      <vt:lpstr>United Nations</vt:lpstr>
    </vt:vector>
  </TitlesOfParts>
  <Company>CSD</Company>
  <LinksUpToDate>false</LinksUpToDate>
  <CharactersWithSpaces>40650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2015-12-22T09:21:00Z</cp:lastPrinted>
  <dcterms:created xsi:type="dcterms:W3CDTF">2017-01-24T21:20:00Z</dcterms:created>
  <dcterms:modified xsi:type="dcterms:W3CDTF">2017-01-24T21:20:00Z</dcterms:modified>
</cp:coreProperties>
</file>