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330447" w:rsidTr="00B6553F">
        <w:trPr>
          <w:cantSplit/>
          <w:trHeight w:hRule="exact" w:val="851"/>
        </w:trPr>
        <w:tc>
          <w:tcPr>
            <w:tcW w:w="1276" w:type="dxa"/>
            <w:tcBorders>
              <w:bottom w:val="single" w:sz="4" w:space="0" w:color="auto"/>
            </w:tcBorders>
            <w:vAlign w:val="bottom"/>
          </w:tcPr>
          <w:p w:rsidR="00B56E9C" w:rsidRPr="00D677C6" w:rsidRDefault="00B56E9C" w:rsidP="00B6553F">
            <w:pPr>
              <w:spacing w:after="80"/>
            </w:pPr>
            <w:bookmarkStart w:id="0" w:name="_GoBack"/>
            <w:bookmarkEnd w:id="0"/>
          </w:p>
        </w:tc>
        <w:tc>
          <w:tcPr>
            <w:tcW w:w="2268" w:type="dxa"/>
            <w:tcBorders>
              <w:bottom w:val="single" w:sz="4" w:space="0" w:color="auto"/>
            </w:tcBorders>
            <w:vAlign w:val="bottom"/>
          </w:tcPr>
          <w:p w:rsidR="00B56E9C" w:rsidRPr="00D677C6" w:rsidRDefault="00B56E9C" w:rsidP="00B6553F">
            <w:pPr>
              <w:spacing w:after="80" w:line="300" w:lineRule="exact"/>
              <w:rPr>
                <w:b/>
                <w:sz w:val="24"/>
                <w:szCs w:val="24"/>
              </w:rPr>
            </w:pPr>
            <w:r w:rsidRPr="00D677C6">
              <w:rPr>
                <w:sz w:val="28"/>
                <w:szCs w:val="28"/>
              </w:rPr>
              <w:t>United Nations</w:t>
            </w:r>
          </w:p>
        </w:tc>
        <w:tc>
          <w:tcPr>
            <w:tcW w:w="6095" w:type="dxa"/>
            <w:gridSpan w:val="2"/>
            <w:tcBorders>
              <w:bottom w:val="single" w:sz="4" w:space="0" w:color="auto"/>
            </w:tcBorders>
            <w:vAlign w:val="bottom"/>
          </w:tcPr>
          <w:p w:rsidR="00B56E9C" w:rsidRPr="00134CC0" w:rsidRDefault="008216A5" w:rsidP="00DB2FE1">
            <w:pPr>
              <w:jc w:val="right"/>
            </w:pPr>
            <w:r w:rsidRPr="00D677C6">
              <w:rPr>
                <w:sz w:val="40"/>
              </w:rPr>
              <w:t>CCPR</w:t>
            </w:r>
            <w:r w:rsidRPr="00D677C6">
              <w:t>/C/1</w:t>
            </w:r>
            <w:r w:rsidR="00711F00" w:rsidRPr="00473037">
              <w:t>1</w:t>
            </w:r>
            <w:r w:rsidR="00540F02" w:rsidRPr="00473037">
              <w:t>3</w:t>
            </w:r>
            <w:r w:rsidRPr="00473037">
              <w:t>/D</w:t>
            </w:r>
            <w:r w:rsidRPr="003E789E">
              <w:t>/</w:t>
            </w:r>
            <w:r w:rsidR="00540F02" w:rsidRPr="003E789E">
              <w:t>22</w:t>
            </w:r>
            <w:r w:rsidR="00EF3514" w:rsidRPr="003E789E">
              <w:t>7</w:t>
            </w:r>
            <w:r w:rsidR="00540F02" w:rsidRPr="00342B0A">
              <w:t>2</w:t>
            </w:r>
            <w:r w:rsidRPr="00342B0A">
              <w:t>/</w:t>
            </w:r>
            <w:r w:rsidR="00AE50CE" w:rsidRPr="00342B0A">
              <w:t>20</w:t>
            </w:r>
            <w:r w:rsidR="00540F02" w:rsidRPr="00134CC0">
              <w:t>13</w:t>
            </w:r>
          </w:p>
        </w:tc>
      </w:tr>
      <w:tr w:rsidR="00B56E9C" w:rsidRPr="00330447" w:rsidTr="00B6553F">
        <w:trPr>
          <w:cantSplit/>
          <w:trHeight w:hRule="exact" w:val="2835"/>
        </w:trPr>
        <w:tc>
          <w:tcPr>
            <w:tcW w:w="1276" w:type="dxa"/>
            <w:tcBorders>
              <w:top w:val="single" w:sz="4" w:space="0" w:color="auto"/>
              <w:bottom w:val="single" w:sz="12" w:space="0" w:color="auto"/>
            </w:tcBorders>
          </w:tcPr>
          <w:p w:rsidR="00B56E9C" w:rsidRPr="00473037" w:rsidRDefault="004D398C" w:rsidP="00B6553F">
            <w:pPr>
              <w:spacing w:before="120"/>
            </w:pPr>
            <w:r>
              <w:rPr>
                <w:noProof/>
                <w:lang w:val="en-US"/>
              </w:rPr>
              <w:drawing>
                <wp:inline distT="0" distB="0" distL="0" distR="0" wp14:anchorId="142AAE85" wp14:editId="4475DFBC">
                  <wp:extent cx="716280" cy="594360"/>
                  <wp:effectExtent l="0" t="0" r="762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B56E9C" w:rsidRPr="00342B0A" w:rsidRDefault="00B56E9C" w:rsidP="00267F5F">
            <w:pPr>
              <w:spacing w:before="120" w:line="380" w:lineRule="exact"/>
              <w:rPr>
                <w:b/>
                <w:sz w:val="34"/>
                <w:szCs w:val="40"/>
              </w:rPr>
            </w:pPr>
            <w:r w:rsidRPr="003E789E">
              <w:rPr>
                <w:b/>
                <w:sz w:val="34"/>
                <w:szCs w:val="40"/>
              </w:rPr>
              <w:t xml:space="preserve">International </w:t>
            </w:r>
            <w:r w:rsidR="00060C3A" w:rsidRPr="003E789E">
              <w:rPr>
                <w:b/>
                <w:sz w:val="34"/>
                <w:szCs w:val="40"/>
              </w:rPr>
              <w:t>Covenant on</w:t>
            </w:r>
            <w:r w:rsidR="00060C3A" w:rsidRPr="003E789E">
              <w:rPr>
                <w:b/>
                <w:sz w:val="34"/>
                <w:szCs w:val="40"/>
              </w:rPr>
              <w:br/>
              <w:t>Civil and Political R</w:t>
            </w:r>
            <w:r w:rsidR="00703577" w:rsidRPr="00342B0A">
              <w:rPr>
                <w:b/>
                <w:sz w:val="34"/>
                <w:szCs w:val="40"/>
              </w:rPr>
              <w:t>ights</w:t>
            </w:r>
          </w:p>
          <w:p w:rsidR="00DB2FE1" w:rsidRPr="00134CC0" w:rsidRDefault="00DB2FE1" w:rsidP="00267F5F">
            <w:pPr>
              <w:spacing w:before="120" w:line="380" w:lineRule="exact"/>
              <w:rPr>
                <w:sz w:val="34"/>
              </w:rPr>
            </w:pPr>
          </w:p>
        </w:tc>
        <w:tc>
          <w:tcPr>
            <w:tcW w:w="2835" w:type="dxa"/>
            <w:tcBorders>
              <w:top w:val="single" w:sz="4" w:space="0" w:color="auto"/>
              <w:bottom w:val="single" w:sz="12" w:space="0" w:color="auto"/>
            </w:tcBorders>
          </w:tcPr>
          <w:p w:rsidR="00B56E9C" w:rsidRPr="00330447" w:rsidRDefault="008216A5" w:rsidP="008216A5">
            <w:pPr>
              <w:spacing w:before="240" w:line="240" w:lineRule="exact"/>
            </w:pPr>
            <w:r w:rsidRPr="00330447">
              <w:t xml:space="preserve">Distr.: </w:t>
            </w:r>
            <w:r w:rsidR="00ED0E22" w:rsidRPr="00330447">
              <w:t>General</w:t>
            </w:r>
          </w:p>
          <w:p w:rsidR="008216A5" w:rsidRPr="00330447" w:rsidRDefault="00720D47" w:rsidP="0097141D">
            <w:pPr>
              <w:spacing w:line="240" w:lineRule="exact"/>
            </w:pPr>
            <w:r>
              <w:t>5</w:t>
            </w:r>
            <w:r w:rsidR="001439BC" w:rsidRPr="00330447">
              <w:t xml:space="preserve"> </w:t>
            </w:r>
            <w:r>
              <w:t>June</w:t>
            </w:r>
            <w:r w:rsidR="005A1775" w:rsidRPr="00330447">
              <w:t xml:space="preserve"> 2015</w:t>
            </w:r>
          </w:p>
          <w:p w:rsidR="008216A5" w:rsidRPr="00330447" w:rsidRDefault="008216A5" w:rsidP="008216A5">
            <w:pPr>
              <w:spacing w:line="240" w:lineRule="exact"/>
            </w:pPr>
          </w:p>
          <w:p w:rsidR="008216A5" w:rsidRPr="00330447" w:rsidRDefault="008216A5" w:rsidP="008216A5">
            <w:pPr>
              <w:spacing w:line="240" w:lineRule="exact"/>
            </w:pPr>
            <w:r w:rsidRPr="00330447">
              <w:t>Original: English</w:t>
            </w:r>
          </w:p>
          <w:p w:rsidR="005A1775" w:rsidRPr="00330447" w:rsidRDefault="005A1775" w:rsidP="008216A5">
            <w:pPr>
              <w:spacing w:line="240" w:lineRule="exact"/>
            </w:pPr>
          </w:p>
        </w:tc>
      </w:tr>
    </w:tbl>
    <w:p w:rsidR="008216A5" w:rsidRPr="00330447" w:rsidRDefault="008216A5" w:rsidP="008216A5">
      <w:pPr>
        <w:spacing w:before="120"/>
        <w:rPr>
          <w:b/>
          <w:sz w:val="24"/>
          <w:szCs w:val="24"/>
        </w:rPr>
      </w:pPr>
      <w:r w:rsidRPr="00330447">
        <w:rPr>
          <w:b/>
          <w:sz w:val="24"/>
          <w:szCs w:val="24"/>
        </w:rPr>
        <w:t>Human Rights Committee</w:t>
      </w:r>
    </w:p>
    <w:p w:rsidR="003134AC" w:rsidRPr="00330447" w:rsidRDefault="003134AC" w:rsidP="003134AC">
      <w:pPr>
        <w:pStyle w:val="HChG"/>
      </w:pPr>
      <w:r w:rsidRPr="00473037">
        <w:tab/>
      </w:r>
      <w:r w:rsidRPr="00473037">
        <w:tab/>
        <w:t>Communication</w:t>
      </w:r>
      <w:r w:rsidR="00502CC1" w:rsidRPr="003E789E">
        <w:t xml:space="preserve"> No. </w:t>
      </w:r>
      <w:r w:rsidR="00540F02" w:rsidRPr="00342B0A">
        <w:t>22</w:t>
      </w:r>
      <w:r w:rsidR="00EF3514" w:rsidRPr="00342B0A">
        <w:t>7</w:t>
      </w:r>
      <w:r w:rsidR="00540F02" w:rsidRPr="00134CC0">
        <w:t>2</w:t>
      </w:r>
      <w:r w:rsidRPr="00134CC0">
        <w:t>/20</w:t>
      </w:r>
      <w:r w:rsidR="00540F02" w:rsidRPr="00134CC0">
        <w:t>13</w:t>
      </w:r>
    </w:p>
    <w:p w:rsidR="00ED0E22" w:rsidRPr="00473037" w:rsidRDefault="003134AC" w:rsidP="00330447">
      <w:pPr>
        <w:pStyle w:val="H1G"/>
      </w:pPr>
      <w:r w:rsidRPr="00330447">
        <w:tab/>
      </w:r>
      <w:r w:rsidRPr="00330447">
        <w:tab/>
      </w:r>
      <w:r w:rsidR="00ED0E22" w:rsidRPr="00330447">
        <w:t>Views adopted by the Committee at its 113</w:t>
      </w:r>
      <w:r w:rsidR="00330447">
        <w:t>th</w:t>
      </w:r>
      <w:r w:rsidR="00ED0E22" w:rsidRPr="00330447">
        <w:t xml:space="preserve"> session</w:t>
      </w:r>
      <w:r w:rsidR="00ED0E22" w:rsidRPr="00330447">
        <w:br/>
        <w:t>(</w:t>
      </w:r>
      <w:r w:rsidR="00ED0E22" w:rsidRPr="00330447">
        <w:rPr>
          <w:bCs/>
        </w:rPr>
        <w:t>16 March–2 April 2015)</w:t>
      </w:r>
    </w:p>
    <w:p w:rsidR="003134AC" w:rsidRPr="00330447" w:rsidRDefault="003134AC" w:rsidP="00330447">
      <w:pPr>
        <w:pStyle w:val="SingleTxtG"/>
        <w:ind w:left="4536" w:hanging="3402"/>
        <w:jc w:val="left"/>
        <w:rPr>
          <w:lang w:val="en-GB"/>
        </w:rPr>
      </w:pPr>
      <w:r w:rsidRPr="00330447">
        <w:rPr>
          <w:i/>
          <w:lang w:val="en-GB"/>
        </w:rPr>
        <w:t>Submitted by:</w:t>
      </w:r>
      <w:r w:rsidRPr="00330447">
        <w:rPr>
          <w:lang w:val="en-GB"/>
        </w:rPr>
        <w:tab/>
      </w:r>
      <w:r w:rsidR="00EF3514" w:rsidRPr="00473037">
        <w:rPr>
          <w:lang w:val="en-GB"/>
        </w:rPr>
        <w:t>P.T. (</w:t>
      </w:r>
      <w:r w:rsidR="003C20E5">
        <w:rPr>
          <w:lang w:val="en-GB"/>
        </w:rPr>
        <w:t>r</w:t>
      </w:r>
      <w:r w:rsidR="00EF3514" w:rsidRPr="00473037">
        <w:rPr>
          <w:lang w:val="en-GB"/>
        </w:rPr>
        <w:t>epresented by counsel, the Danish Re</w:t>
      </w:r>
      <w:r w:rsidR="005B6047" w:rsidRPr="00473037">
        <w:rPr>
          <w:lang w:val="en-GB"/>
        </w:rPr>
        <w:t>fugee C</w:t>
      </w:r>
      <w:r w:rsidR="00EF3514" w:rsidRPr="003E789E">
        <w:rPr>
          <w:lang w:val="en-GB"/>
        </w:rPr>
        <w:t>ouncil)</w:t>
      </w:r>
    </w:p>
    <w:p w:rsidR="003134AC" w:rsidRPr="00473037" w:rsidRDefault="003134AC" w:rsidP="00330447">
      <w:pPr>
        <w:pStyle w:val="SingleTxtG"/>
        <w:ind w:left="4536" w:hanging="3402"/>
        <w:jc w:val="left"/>
        <w:rPr>
          <w:lang w:val="en-GB"/>
        </w:rPr>
      </w:pPr>
      <w:r w:rsidRPr="00330447">
        <w:rPr>
          <w:i/>
          <w:lang w:val="en-GB"/>
        </w:rPr>
        <w:t>Alleged victim:</w:t>
      </w:r>
      <w:r w:rsidRPr="00330447">
        <w:rPr>
          <w:lang w:val="en-GB"/>
        </w:rPr>
        <w:tab/>
        <w:t>The author</w:t>
      </w:r>
    </w:p>
    <w:p w:rsidR="003134AC" w:rsidRPr="00473037" w:rsidRDefault="003134AC" w:rsidP="00330447">
      <w:pPr>
        <w:pStyle w:val="SingleTxtG"/>
        <w:ind w:left="4536" w:hanging="3402"/>
        <w:jc w:val="left"/>
        <w:rPr>
          <w:lang w:val="en-GB"/>
        </w:rPr>
      </w:pPr>
      <w:r w:rsidRPr="00330447">
        <w:rPr>
          <w:i/>
          <w:lang w:val="en-GB"/>
        </w:rPr>
        <w:t>State party:</w:t>
      </w:r>
      <w:r w:rsidRPr="00330447">
        <w:rPr>
          <w:lang w:val="en-GB"/>
        </w:rPr>
        <w:tab/>
      </w:r>
      <w:r w:rsidR="00EF3514" w:rsidRPr="00473037">
        <w:rPr>
          <w:lang w:val="en-GB"/>
        </w:rPr>
        <w:t>Denmark</w:t>
      </w:r>
    </w:p>
    <w:p w:rsidR="003134AC" w:rsidRPr="00330447" w:rsidRDefault="003134AC" w:rsidP="00330447">
      <w:pPr>
        <w:pStyle w:val="SingleTxtG"/>
        <w:ind w:left="4536" w:hanging="3402"/>
        <w:jc w:val="left"/>
        <w:rPr>
          <w:lang w:val="en-GB"/>
        </w:rPr>
      </w:pPr>
      <w:r w:rsidRPr="00330447">
        <w:rPr>
          <w:i/>
          <w:lang w:val="en-GB"/>
        </w:rPr>
        <w:t>Date of communication:</w:t>
      </w:r>
      <w:r w:rsidRPr="00330447">
        <w:rPr>
          <w:lang w:val="en-GB"/>
        </w:rPr>
        <w:tab/>
      </w:r>
      <w:r w:rsidR="00EF3514" w:rsidRPr="00473037">
        <w:rPr>
          <w:lang w:val="en-GB"/>
        </w:rPr>
        <w:t>15 July</w:t>
      </w:r>
      <w:r w:rsidR="001844A0" w:rsidRPr="00473037">
        <w:rPr>
          <w:lang w:val="en-GB"/>
        </w:rPr>
        <w:t xml:space="preserve"> 2013</w:t>
      </w:r>
      <w:r w:rsidR="00335DD7" w:rsidRPr="00330447">
        <w:rPr>
          <w:lang w:val="en-GB"/>
        </w:rPr>
        <w:t xml:space="preserve"> (initial submission)</w:t>
      </w:r>
    </w:p>
    <w:p w:rsidR="003134AC" w:rsidRPr="00330447" w:rsidRDefault="003134AC" w:rsidP="00542F54">
      <w:pPr>
        <w:pStyle w:val="SingleTxtG"/>
        <w:ind w:left="4536" w:hanging="3402"/>
        <w:jc w:val="left"/>
        <w:rPr>
          <w:lang w:val="en-GB"/>
        </w:rPr>
      </w:pPr>
      <w:r w:rsidRPr="00330447">
        <w:rPr>
          <w:i/>
          <w:lang w:val="en-GB"/>
        </w:rPr>
        <w:t>Document references:</w:t>
      </w:r>
      <w:r w:rsidRPr="00330447">
        <w:rPr>
          <w:lang w:val="en-GB"/>
        </w:rPr>
        <w:tab/>
        <w:t>Special Rapporteur’s decision</w:t>
      </w:r>
      <w:r w:rsidR="00330447">
        <w:rPr>
          <w:lang w:val="en-GB"/>
        </w:rPr>
        <w:t xml:space="preserve"> under </w:t>
      </w:r>
      <w:r w:rsidR="00330447" w:rsidRPr="00290234">
        <w:rPr>
          <w:lang w:val="en-GB"/>
        </w:rPr>
        <w:t>rule</w:t>
      </w:r>
      <w:r w:rsidR="00330447">
        <w:rPr>
          <w:lang w:val="en-GB"/>
        </w:rPr>
        <w:t>s</w:t>
      </w:r>
      <w:r w:rsidR="00330447" w:rsidRPr="00473037">
        <w:rPr>
          <w:lang w:val="en-GB"/>
        </w:rPr>
        <w:t xml:space="preserve"> 92 and </w:t>
      </w:r>
      <w:r w:rsidR="00330447" w:rsidRPr="00290234">
        <w:rPr>
          <w:lang w:val="en-GB"/>
        </w:rPr>
        <w:t>97</w:t>
      </w:r>
      <w:r w:rsidRPr="00330447">
        <w:rPr>
          <w:lang w:val="en-GB"/>
        </w:rPr>
        <w:t xml:space="preserve">, transmitted to the State party on </w:t>
      </w:r>
      <w:r w:rsidR="00EF3514" w:rsidRPr="00473037">
        <w:rPr>
          <w:lang w:val="en-GB"/>
        </w:rPr>
        <w:t>17 July</w:t>
      </w:r>
      <w:r w:rsidR="001844A0" w:rsidRPr="00473037">
        <w:rPr>
          <w:lang w:val="en-GB"/>
        </w:rPr>
        <w:t xml:space="preserve"> 2013</w:t>
      </w:r>
      <w:r w:rsidRPr="00330447">
        <w:rPr>
          <w:lang w:val="en-GB"/>
        </w:rPr>
        <w:t xml:space="preserve"> (not issued in a document form)</w:t>
      </w:r>
    </w:p>
    <w:p w:rsidR="00335DD7" w:rsidRPr="00473037" w:rsidRDefault="003134AC" w:rsidP="00330447">
      <w:pPr>
        <w:pStyle w:val="SingleTxtG"/>
        <w:ind w:left="4536" w:hanging="3402"/>
        <w:jc w:val="left"/>
        <w:rPr>
          <w:lang w:val="en-GB"/>
        </w:rPr>
      </w:pPr>
      <w:r w:rsidRPr="00330447">
        <w:rPr>
          <w:i/>
          <w:lang w:val="en-GB"/>
        </w:rPr>
        <w:t>Date of adoption of Views:</w:t>
      </w:r>
      <w:r w:rsidRPr="00330447">
        <w:rPr>
          <w:lang w:val="en-GB"/>
        </w:rPr>
        <w:tab/>
      </w:r>
      <w:r w:rsidR="00ED0E22" w:rsidRPr="00330447">
        <w:rPr>
          <w:lang w:val="en-GB"/>
        </w:rPr>
        <w:t>1 April</w:t>
      </w:r>
      <w:r w:rsidRPr="00330447">
        <w:rPr>
          <w:lang w:val="en-GB"/>
        </w:rPr>
        <w:t xml:space="preserve"> 201</w:t>
      </w:r>
      <w:r w:rsidR="001844A0" w:rsidRPr="00473037">
        <w:rPr>
          <w:lang w:val="en-GB"/>
        </w:rPr>
        <w:t>5</w:t>
      </w:r>
    </w:p>
    <w:p w:rsidR="003134AC" w:rsidRPr="00330447" w:rsidRDefault="002910EC" w:rsidP="00330447">
      <w:pPr>
        <w:pStyle w:val="SingleTxtG"/>
        <w:ind w:left="4536" w:hanging="3402"/>
        <w:jc w:val="left"/>
        <w:rPr>
          <w:lang w:val="en-GB"/>
        </w:rPr>
      </w:pPr>
      <w:r w:rsidRPr="00330447">
        <w:rPr>
          <w:i/>
          <w:iCs/>
          <w:lang w:val="en-GB"/>
        </w:rPr>
        <w:t>Subject matter:</w:t>
      </w:r>
      <w:r w:rsidRPr="00330447">
        <w:rPr>
          <w:lang w:val="en-GB"/>
        </w:rPr>
        <w:tab/>
      </w:r>
      <w:r w:rsidRPr="00473037">
        <w:rPr>
          <w:lang w:val="en-GB"/>
        </w:rPr>
        <w:t>Deportation to Sri Lanka</w:t>
      </w:r>
    </w:p>
    <w:p w:rsidR="003134AC" w:rsidRPr="003E789E" w:rsidRDefault="003134AC" w:rsidP="00330447">
      <w:pPr>
        <w:pStyle w:val="SingleTxtG"/>
        <w:ind w:left="4536" w:hanging="3402"/>
        <w:jc w:val="left"/>
        <w:rPr>
          <w:lang w:val="en-GB"/>
        </w:rPr>
      </w:pPr>
      <w:r w:rsidRPr="00330447">
        <w:rPr>
          <w:i/>
          <w:iCs/>
          <w:lang w:val="en-GB"/>
        </w:rPr>
        <w:t xml:space="preserve">Substantive issues: </w:t>
      </w:r>
      <w:r w:rsidRPr="00330447">
        <w:rPr>
          <w:i/>
          <w:iCs/>
          <w:lang w:val="en-GB"/>
        </w:rPr>
        <w:tab/>
      </w:r>
      <w:r w:rsidR="005C11C1" w:rsidRPr="00473037">
        <w:rPr>
          <w:iCs/>
          <w:lang w:val="en-GB"/>
        </w:rPr>
        <w:t>Risk of t</w:t>
      </w:r>
      <w:r w:rsidR="00726A48" w:rsidRPr="00473037">
        <w:rPr>
          <w:iCs/>
          <w:lang w:val="en-GB"/>
        </w:rPr>
        <w:t>orture and ill-treatment</w:t>
      </w:r>
    </w:p>
    <w:p w:rsidR="003134AC" w:rsidRPr="00330447" w:rsidRDefault="003134AC" w:rsidP="00330447">
      <w:pPr>
        <w:pStyle w:val="SingleTxtG"/>
        <w:ind w:left="4536" w:hanging="3402"/>
        <w:jc w:val="left"/>
        <w:rPr>
          <w:lang w:val="en-GB"/>
        </w:rPr>
      </w:pPr>
      <w:r w:rsidRPr="00330447">
        <w:rPr>
          <w:i/>
          <w:iCs/>
          <w:lang w:val="en-GB"/>
        </w:rPr>
        <w:t xml:space="preserve">Procedural issues: </w:t>
      </w:r>
      <w:r w:rsidRPr="00330447">
        <w:rPr>
          <w:i/>
          <w:iCs/>
          <w:lang w:val="en-GB"/>
        </w:rPr>
        <w:tab/>
      </w:r>
      <w:r w:rsidR="00BE26B2" w:rsidRPr="00473037">
        <w:rPr>
          <w:iCs/>
          <w:lang w:val="en-GB"/>
        </w:rPr>
        <w:t>I</w:t>
      </w:r>
      <w:r w:rsidR="00726A48" w:rsidRPr="00473037">
        <w:rPr>
          <w:iCs/>
          <w:lang w:val="en-GB"/>
        </w:rPr>
        <w:t>nsuffi</w:t>
      </w:r>
      <w:r w:rsidR="005B6047" w:rsidRPr="003E789E">
        <w:rPr>
          <w:iCs/>
          <w:lang w:val="en-GB"/>
        </w:rPr>
        <w:t>cient substantiation of claims</w:t>
      </w:r>
    </w:p>
    <w:p w:rsidR="005C11C1" w:rsidRPr="00473037" w:rsidRDefault="003134AC" w:rsidP="00330447">
      <w:pPr>
        <w:pStyle w:val="SingleTxtG"/>
        <w:ind w:left="4536" w:hanging="3402"/>
        <w:jc w:val="left"/>
        <w:rPr>
          <w:lang w:val="en-GB"/>
        </w:rPr>
      </w:pPr>
      <w:r w:rsidRPr="00330447">
        <w:rPr>
          <w:i/>
          <w:iCs/>
          <w:lang w:val="en-GB"/>
        </w:rPr>
        <w:t>Articles of the Covenant:</w:t>
      </w:r>
      <w:r w:rsidRPr="00330447">
        <w:rPr>
          <w:lang w:val="en-GB"/>
        </w:rPr>
        <w:t xml:space="preserve"> </w:t>
      </w:r>
      <w:r w:rsidRPr="00330447">
        <w:rPr>
          <w:lang w:val="en-GB"/>
        </w:rPr>
        <w:tab/>
      </w:r>
      <w:r w:rsidR="006E5A29" w:rsidRPr="00330447">
        <w:rPr>
          <w:lang w:val="en-GB"/>
        </w:rPr>
        <w:t xml:space="preserve">7 </w:t>
      </w:r>
    </w:p>
    <w:p w:rsidR="003134AC" w:rsidRPr="00473037" w:rsidRDefault="003134AC" w:rsidP="00330447">
      <w:pPr>
        <w:pStyle w:val="SingleTxtG"/>
        <w:ind w:left="4536" w:hanging="3402"/>
        <w:jc w:val="left"/>
        <w:rPr>
          <w:lang w:val="en-GB"/>
        </w:rPr>
      </w:pPr>
      <w:r w:rsidRPr="00330447">
        <w:rPr>
          <w:i/>
          <w:iCs/>
          <w:lang w:val="en-GB"/>
        </w:rPr>
        <w:t>Articles of the Optional Protocol:</w:t>
      </w:r>
      <w:r w:rsidR="00735F4E" w:rsidRPr="00473037">
        <w:rPr>
          <w:i/>
          <w:iCs/>
          <w:lang w:val="en-GB"/>
        </w:rPr>
        <w:tab/>
      </w:r>
      <w:r w:rsidRPr="00330447">
        <w:rPr>
          <w:iCs/>
          <w:lang w:val="en-GB"/>
        </w:rPr>
        <w:t>2</w:t>
      </w:r>
      <w:r w:rsidR="00330447">
        <w:rPr>
          <w:iCs/>
          <w:lang w:val="en-GB"/>
        </w:rPr>
        <w:t xml:space="preserve"> and</w:t>
      </w:r>
      <w:r w:rsidRPr="00330447">
        <w:rPr>
          <w:iCs/>
          <w:lang w:val="en-GB"/>
        </w:rPr>
        <w:t xml:space="preserve"> </w:t>
      </w:r>
      <w:r w:rsidR="00A777CF" w:rsidRPr="00330447">
        <w:rPr>
          <w:lang w:val="en-GB"/>
        </w:rPr>
        <w:t xml:space="preserve">5 </w:t>
      </w:r>
      <w:r w:rsidR="00330447">
        <w:rPr>
          <w:lang w:val="en-GB"/>
        </w:rPr>
        <w:t>(</w:t>
      </w:r>
      <w:r w:rsidR="00A777CF" w:rsidRPr="00330447">
        <w:rPr>
          <w:lang w:val="en-GB"/>
        </w:rPr>
        <w:t>2</w:t>
      </w:r>
      <w:r w:rsidR="00330447">
        <w:rPr>
          <w:lang w:val="en-GB"/>
        </w:rPr>
        <w:t>)</w:t>
      </w:r>
      <w:r w:rsidR="00A777CF" w:rsidRPr="00330447">
        <w:rPr>
          <w:lang w:val="en-GB"/>
        </w:rPr>
        <w:t xml:space="preserve"> (b)</w:t>
      </w:r>
    </w:p>
    <w:p w:rsidR="003134AC" w:rsidRPr="00330447" w:rsidRDefault="003134AC" w:rsidP="00542F54">
      <w:pPr>
        <w:pStyle w:val="SingleTxtG"/>
        <w:rPr>
          <w:bCs/>
          <w:iCs/>
          <w:lang w:val="en-GB"/>
        </w:rPr>
      </w:pPr>
      <w:r w:rsidRPr="00330447">
        <w:rPr>
          <w:lang w:val="en-GB"/>
        </w:rPr>
        <w:tab/>
      </w:r>
    </w:p>
    <w:p w:rsidR="003134AC" w:rsidRPr="00473037" w:rsidRDefault="006A0890" w:rsidP="003134AC">
      <w:pPr>
        <w:pStyle w:val="HChG"/>
      </w:pPr>
      <w:r>
        <w:rPr>
          <w:noProof/>
          <w:lang w:val="en-US"/>
        </w:rPr>
        <w:drawing>
          <wp:anchor distT="0" distB="0" distL="114300" distR="114300" simplePos="0" relativeHeight="251658240" behindDoc="0" locked="0" layoutInCell="1" allowOverlap="1" wp14:anchorId="1AA16BD3" wp14:editId="3DB23613">
            <wp:simplePos x="0" y="0"/>
            <wp:positionH relativeFrom="margin">
              <wp:posOffset>5471795</wp:posOffset>
            </wp:positionH>
            <wp:positionV relativeFrom="paragraph">
              <wp:posOffset>1791335</wp:posOffset>
            </wp:positionV>
            <wp:extent cx="640080" cy="640080"/>
            <wp:effectExtent l="0" t="0" r="7620" b="7620"/>
            <wp:wrapNone/>
            <wp:docPr id="3" name="Picture 2" descr="http://undocs.org/m2/QRCode.ashx?DS=CCPR/C/113/D/2272/2013&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docs.org/m2/QRCode.ashx?DS=CCPR/C/113/D/2272/2013&amp;Size=2 &amp;Lan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3134AC" w:rsidRPr="00473037">
        <w:br w:type="page"/>
      </w:r>
      <w:r w:rsidR="003134AC" w:rsidRPr="00473037">
        <w:lastRenderedPageBreak/>
        <w:t>Annex</w:t>
      </w:r>
    </w:p>
    <w:p w:rsidR="003134AC" w:rsidRPr="00330447" w:rsidRDefault="003134AC" w:rsidP="00DB406B">
      <w:pPr>
        <w:pStyle w:val="HChG"/>
        <w:rPr>
          <w:bCs/>
        </w:rPr>
      </w:pPr>
      <w:r w:rsidRPr="00473037">
        <w:tab/>
      </w:r>
      <w:r w:rsidRPr="00473037">
        <w:tab/>
        <w:t xml:space="preserve">Views of the Human Rights Committee under </w:t>
      </w:r>
      <w:r w:rsidR="00502CC1" w:rsidRPr="003E789E">
        <w:t>article </w:t>
      </w:r>
      <w:r w:rsidRPr="003E789E">
        <w:t xml:space="preserve">5 </w:t>
      </w:r>
      <w:r w:rsidR="003C20E5">
        <w:t>(</w:t>
      </w:r>
      <w:r w:rsidRPr="003E789E">
        <w:t>4</w:t>
      </w:r>
      <w:r w:rsidR="003C20E5">
        <w:t>)</w:t>
      </w:r>
      <w:r w:rsidRPr="003E789E">
        <w:t xml:space="preserve"> of the Optional Protocol to the International Covenant on Civil and Political rights (11</w:t>
      </w:r>
      <w:r w:rsidR="001844A0" w:rsidRPr="00342B0A">
        <w:t>3</w:t>
      </w:r>
      <w:r w:rsidRPr="00134CC0">
        <w:t xml:space="preserve">th </w:t>
      </w:r>
      <w:r w:rsidRPr="00330447">
        <w:rPr>
          <w:bCs/>
        </w:rPr>
        <w:t>session)</w:t>
      </w:r>
    </w:p>
    <w:p w:rsidR="003134AC" w:rsidRPr="00330447" w:rsidRDefault="003134AC" w:rsidP="003134AC">
      <w:pPr>
        <w:pStyle w:val="SingleTxtG"/>
        <w:rPr>
          <w:b/>
          <w:bCs/>
          <w:lang w:val="en-GB"/>
        </w:rPr>
      </w:pPr>
      <w:r w:rsidRPr="00330447">
        <w:rPr>
          <w:lang w:val="en-GB"/>
        </w:rPr>
        <w:t>concerning</w:t>
      </w:r>
    </w:p>
    <w:p w:rsidR="003134AC" w:rsidRPr="00473037" w:rsidRDefault="003134AC" w:rsidP="00542F54">
      <w:pPr>
        <w:pStyle w:val="H1G"/>
        <w:rPr>
          <w:bCs/>
          <w:vertAlign w:val="superscript"/>
        </w:rPr>
      </w:pPr>
      <w:r w:rsidRPr="00473037">
        <w:tab/>
      </w:r>
      <w:r w:rsidRPr="00473037">
        <w:tab/>
        <w:t>Communication</w:t>
      </w:r>
      <w:r w:rsidR="00502CC1" w:rsidRPr="00473037">
        <w:t xml:space="preserve"> No. </w:t>
      </w:r>
      <w:r w:rsidR="001844A0" w:rsidRPr="003E789E">
        <w:t>22</w:t>
      </w:r>
      <w:r w:rsidR="00EF3514" w:rsidRPr="003E789E">
        <w:t>7</w:t>
      </w:r>
      <w:r w:rsidR="001844A0" w:rsidRPr="003E789E">
        <w:t>2</w:t>
      </w:r>
      <w:r w:rsidRPr="003E789E">
        <w:t>/20</w:t>
      </w:r>
      <w:r w:rsidR="001844A0" w:rsidRPr="00342B0A">
        <w:t>13</w:t>
      </w:r>
      <w:r w:rsidR="00ED0E22" w:rsidRPr="00330447">
        <w:rPr>
          <w:rStyle w:val="FootnoteReference"/>
          <w:rFonts w:eastAsia="Calibri"/>
          <w:b w:val="0"/>
          <w:bCs/>
          <w:sz w:val="20"/>
          <w:vertAlign w:val="baseline"/>
        </w:rPr>
        <w:footnoteReference w:customMarkFollows="1" w:id="2"/>
        <w:t>*</w:t>
      </w:r>
    </w:p>
    <w:p w:rsidR="00EF3514" w:rsidRPr="00330447" w:rsidRDefault="003134AC" w:rsidP="00330447">
      <w:pPr>
        <w:pStyle w:val="SingleTxtG"/>
        <w:ind w:left="4536" w:hanging="3402"/>
        <w:jc w:val="left"/>
        <w:rPr>
          <w:lang w:val="en-GB"/>
        </w:rPr>
      </w:pPr>
      <w:r w:rsidRPr="00330447">
        <w:rPr>
          <w:i/>
          <w:lang w:val="en-GB"/>
        </w:rPr>
        <w:t>Submitted by:</w:t>
      </w:r>
      <w:r w:rsidRPr="00330447">
        <w:rPr>
          <w:lang w:val="en-GB"/>
        </w:rPr>
        <w:tab/>
      </w:r>
      <w:r w:rsidR="00EF3514" w:rsidRPr="00473037">
        <w:rPr>
          <w:lang w:val="en-GB"/>
        </w:rPr>
        <w:t>P.T. (</w:t>
      </w:r>
      <w:r w:rsidR="00330447">
        <w:rPr>
          <w:lang w:val="en-GB"/>
        </w:rPr>
        <w:t>r</w:t>
      </w:r>
      <w:r w:rsidR="00EF3514" w:rsidRPr="00473037">
        <w:rPr>
          <w:lang w:val="en-GB"/>
        </w:rPr>
        <w:t xml:space="preserve">epresented by </w:t>
      </w:r>
      <w:r w:rsidR="00A52FFA" w:rsidRPr="00473037">
        <w:rPr>
          <w:lang w:val="en-GB"/>
        </w:rPr>
        <w:t>counsel, the Danish Refugee C</w:t>
      </w:r>
      <w:r w:rsidR="00EF3514" w:rsidRPr="00473037">
        <w:rPr>
          <w:lang w:val="en-GB"/>
        </w:rPr>
        <w:t>ouncil)</w:t>
      </w:r>
    </w:p>
    <w:p w:rsidR="003134AC" w:rsidRPr="00473037" w:rsidRDefault="003134AC" w:rsidP="00330447">
      <w:pPr>
        <w:pStyle w:val="SingleTxtG"/>
        <w:ind w:left="4536" w:hanging="3402"/>
        <w:jc w:val="left"/>
        <w:rPr>
          <w:lang w:val="en-GB"/>
        </w:rPr>
      </w:pPr>
      <w:r w:rsidRPr="00330447">
        <w:rPr>
          <w:i/>
          <w:lang w:val="en-GB"/>
        </w:rPr>
        <w:t>Alleged victim:</w:t>
      </w:r>
      <w:r w:rsidRPr="00330447">
        <w:rPr>
          <w:lang w:val="en-GB"/>
        </w:rPr>
        <w:tab/>
        <w:t>The author</w:t>
      </w:r>
    </w:p>
    <w:p w:rsidR="003134AC" w:rsidRPr="00473037" w:rsidRDefault="003134AC" w:rsidP="00330447">
      <w:pPr>
        <w:pStyle w:val="SingleTxtG"/>
        <w:ind w:left="4536" w:hanging="3402"/>
        <w:jc w:val="left"/>
        <w:rPr>
          <w:lang w:val="en-GB"/>
        </w:rPr>
      </w:pPr>
      <w:r w:rsidRPr="00330447">
        <w:rPr>
          <w:i/>
          <w:lang w:val="en-GB"/>
        </w:rPr>
        <w:t>State party:</w:t>
      </w:r>
      <w:r w:rsidRPr="00330447">
        <w:rPr>
          <w:lang w:val="en-GB"/>
        </w:rPr>
        <w:tab/>
      </w:r>
      <w:r w:rsidR="00EF3514" w:rsidRPr="00473037">
        <w:rPr>
          <w:lang w:val="en-GB"/>
        </w:rPr>
        <w:t>Denmark</w:t>
      </w:r>
    </w:p>
    <w:p w:rsidR="003134AC" w:rsidRPr="00330447" w:rsidRDefault="003134AC" w:rsidP="00330447">
      <w:pPr>
        <w:pStyle w:val="SingleTxtG"/>
        <w:ind w:left="4536" w:hanging="3402"/>
        <w:jc w:val="left"/>
        <w:rPr>
          <w:lang w:val="en-GB"/>
        </w:rPr>
      </w:pPr>
      <w:r w:rsidRPr="00330447">
        <w:rPr>
          <w:i/>
          <w:lang w:val="en-GB"/>
        </w:rPr>
        <w:t>Date of communication:</w:t>
      </w:r>
      <w:r w:rsidRPr="00330447">
        <w:rPr>
          <w:lang w:val="en-GB"/>
        </w:rPr>
        <w:tab/>
      </w:r>
      <w:r w:rsidR="00EF3514" w:rsidRPr="00473037">
        <w:rPr>
          <w:lang w:val="en-GB"/>
        </w:rPr>
        <w:t>1</w:t>
      </w:r>
      <w:r w:rsidR="001844A0" w:rsidRPr="00473037">
        <w:rPr>
          <w:lang w:val="en-GB"/>
        </w:rPr>
        <w:t xml:space="preserve">6 </w:t>
      </w:r>
      <w:r w:rsidR="00EF3514" w:rsidRPr="00473037">
        <w:rPr>
          <w:lang w:val="en-GB"/>
        </w:rPr>
        <w:t>July</w:t>
      </w:r>
      <w:r w:rsidR="001844A0" w:rsidRPr="003E789E">
        <w:rPr>
          <w:lang w:val="en-GB"/>
        </w:rPr>
        <w:t xml:space="preserve"> 2013</w:t>
      </w:r>
      <w:r w:rsidRPr="00330447">
        <w:rPr>
          <w:lang w:val="en-GB"/>
        </w:rPr>
        <w:t xml:space="preserve"> (initial submission)</w:t>
      </w:r>
    </w:p>
    <w:p w:rsidR="003134AC" w:rsidRPr="00330447" w:rsidRDefault="003134AC" w:rsidP="003134AC">
      <w:pPr>
        <w:pStyle w:val="SingleTxtG"/>
        <w:rPr>
          <w:lang w:val="en-GB"/>
        </w:rPr>
      </w:pPr>
      <w:r w:rsidRPr="00330447">
        <w:rPr>
          <w:lang w:val="en-GB"/>
        </w:rPr>
        <w:tab/>
      </w:r>
      <w:r w:rsidRPr="00330447">
        <w:rPr>
          <w:i/>
          <w:lang w:val="en-GB"/>
        </w:rPr>
        <w:t>The Human Rights Committee</w:t>
      </w:r>
      <w:r w:rsidRPr="00330447">
        <w:rPr>
          <w:lang w:val="en-GB"/>
        </w:rPr>
        <w:t xml:space="preserve">, established under </w:t>
      </w:r>
      <w:r w:rsidR="00502CC1" w:rsidRPr="00330447">
        <w:rPr>
          <w:lang w:val="en-GB"/>
        </w:rPr>
        <w:t>article </w:t>
      </w:r>
      <w:r w:rsidRPr="00330447">
        <w:rPr>
          <w:lang w:val="en-GB"/>
        </w:rPr>
        <w:t xml:space="preserve">28 of the International Covenant on Civil and Political Rights, </w:t>
      </w:r>
    </w:p>
    <w:p w:rsidR="003134AC" w:rsidRPr="00330447" w:rsidRDefault="003134AC" w:rsidP="003134AC">
      <w:pPr>
        <w:pStyle w:val="SingleTxtG"/>
        <w:rPr>
          <w:lang w:val="en-GB"/>
        </w:rPr>
      </w:pPr>
      <w:r w:rsidRPr="00330447">
        <w:rPr>
          <w:lang w:val="en-GB"/>
        </w:rPr>
        <w:tab/>
      </w:r>
      <w:r w:rsidRPr="00330447">
        <w:rPr>
          <w:i/>
          <w:lang w:val="en-GB"/>
        </w:rPr>
        <w:t xml:space="preserve">Meeting </w:t>
      </w:r>
      <w:r w:rsidRPr="00542F54">
        <w:rPr>
          <w:iCs/>
          <w:lang w:val="en-GB"/>
        </w:rPr>
        <w:t>on</w:t>
      </w:r>
      <w:r w:rsidRPr="00330447">
        <w:rPr>
          <w:lang w:val="en-GB"/>
        </w:rPr>
        <w:t xml:space="preserve"> </w:t>
      </w:r>
      <w:r w:rsidR="00DB2FE1" w:rsidRPr="00330447">
        <w:rPr>
          <w:lang w:val="en-GB"/>
        </w:rPr>
        <w:t>1 April</w:t>
      </w:r>
      <w:r w:rsidR="008B4AA3" w:rsidRPr="00330447">
        <w:rPr>
          <w:lang w:val="en-GB"/>
        </w:rPr>
        <w:t xml:space="preserve"> </w:t>
      </w:r>
      <w:r w:rsidRPr="00330447">
        <w:rPr>
          <w:lang w:val="en-GB"/>
        </w:rPr>
        <w:t>201</w:t>
      </w:r>
      <w:r w:rsidR="001844A0" w:rsidRPr="00473037">
        <w:rPr>
          <w:lang w:val="en-GB"/>
        </w:rPr>
        <w:t>5</w:t>
      </w:r>
      <w:r w:rsidRPr="00330447">
        <w:rPr>
          <w:lang w:val="en-GB"/>
        </w:rPr>
        <w:t>,</w:t>
      </w:r>
    </w:p>
    <w:p w:rsidR="003134AC" w:rsidRPr="00330447" w:rsidRDefault="003134AC" w:rsidP="003134AC">
      <w:pPr>
        <w:pStyle w:val="SingleTxtG"/>
        <w:rPr>
          <w:lang w:val="en-GB"/>
        </w:rPr>
      </w:pPr>
      <w:r w:rsidRPr="00330447">
        <w:rPr>
          <w:lang w:val="en-GB"/>
        </w:rPr>
        <w:tab/>
      </w:r>
      <w:r w:rsidRPr="00330447">
        <w:rPr>
          <w:i/>
          <w:lang w:val="en-GB"/>
        </w:rPr>
        <w:t>Having concluded</w:t>
      </w:r>
      <w:r w:rsidRPr="00330447">
        <w:rPr>
          <w:lang w:val="en-GB"/>
        </w:rPr>
        <w:t xml:space="preserve"> its consideration of communication</w:t>
      </w:r>
      <w:r w:rsidR="00502CC1" w:rsidRPr="00330447">
        <w:rPr>
          <w:lang w:val="en-GB"/>
        </w:rPr>
        <w:t xml:space="preserve"> No. </w:t>
      </w:r>
      <w:r w:rsidR="001844A0" w:rsidRPr="00473037">
        <w:rPr>
          <w:lang w:val="en-GB"/>
        </w:rPr>
        <w:t>22</w:t>
      </w:r>
      <w:r w:rsidR="00EF3514" w:rsidRPr="00473037">
        <w:rPr>
          <w:lang w:val="en-GB"/>
        </w:rPr>
        <w:t>7</w:t>
      </w:r>
      <w:r w:rsidR="001844A0" w:rsidRPr="00473037">
        <w:rPr>
          <w:lang w:val="en-GB"/>
        </w:rPr>
        <w:t>2</w:t>
      </w:r>
      <w:r w:rsidRPr="00330447">
        <w:rPr>
          <w:lang w:val="en-GB"/>
        </w:rPr>
        <w:t>/20</w:t>
      </w:r>
      <w:r w:rsidR="001844A0" w:rsidRPr="00473037">
        <w:rPr>
          <w:lang w:val="en-GB"/>
        </w:rPr>
        <w:t>13</w:t>
      </w:r>
      <w:r w:rsidRPr="00330447">
        <w:rPr>
          <w:lang w:val="en-GB"/>
        </w:rPr>
        <w:t>, submitted to the Human Rights Committee under the Optional Protocol to the International Covenant on Civil and Political Rights,</w:t>
      </w:r>
    </w:p>
    <w:p w:rsidR="003134AC" w:rsidRPr="00330447" w:rsidRDefault="003134AC" w:rsidP="003134AC">
      <w:pPr>
        <w:pStyle w:val="SingleTxtG"/>
        <w:rPr>
          <w:lang w:val="en-GB"/>
        </w:rPr>
      </w:pPr>
      <w:r w:rsidRPr="00330447">
        <w:rPr>
          <w:lang w:val="en-GB"/>
        </w:rPr>
        <w:tab/>
      </w:r>
      <w:r w:rsidRPr="00330447">
        <w:rPr>
          <w:i/>
          <w:lang w:val="en-GB"/>
        </w:rPr>
        <w:t>Having taken into account</w:t>
      </w:r>
      <w:r w:rsidRPr="00330447">
        <w:rPr>
          <w:lang w:val="en-GB"/>
        </w:rPr>
        <w:t xml:space="preserve"> all written information made available to it by the author of the communication and the State party,</w:t>
      </w:r>
    </w:p>
    <w:p w:rsidR="003134AC" w:rsidRPr="00330447" w:rsidRDefault="003134AC" w:rsidP="003134AC">
      <w:pPr>
        <w:pStyle w:val="SingleTxtG"/>
        <w:rPr>
          <w:lang w:val="en-GB"/>
        </w:rPr>
      </w:pPr>
      <w:r w:rsidRPr="00330447">
        <w:rPr>
          <w:lang w:val="en-GB"/>
        </w:rPr>
        <w:tab/>
      </w:r>
      <w:r w:rsidRPr="00330447">
        <w:rPr>
          <w:i/>
          <w:lang w:val="en-GB"/>
        </w:rPr>
        <w:t xml:space="preserve">Adopts </w:t>
      </w:r>
      <w:r w:rsidRPr="00542F54">
        <w:rPr>
          <w:iCs/>
          <w:lang w:val="en-GB"/>
        </w:rPr>
        <w:t>the following</w:t>
      </w:r>
      <w:r w:rsidRPr="00330447">
        <w:rPr>
          <w:lang w:val="en-GB"/>
        </w:rPr>
        <w:t>:</w:t>
      </w:r>
    </w:p>
    <w:p w:rsidR="003134AC" w:rsidRPr="00473037" w:rsidRDefault="003134AC" w:rsidP="006E1890">
      <w:pPr>
        <w:pStyle w:val="H1G"/>
      </w:pPr>
      <w:r w:rsidRPr="00473037">
        <w:tab/>
      </w:r>
      <w:r w:rsidRPr="00473037">
        <w:tab/>
        <w:t xml:space="preserve">Views under </w:t>
      </w:r>
      <w:r w:rsidR="00502CC1" w:rsidRPr="00473037">
        <w:t>article </w:t>
      </w:r>
      <w:r w:rsidRPr="003E789E">
        <w:t xml:space="preserve">5 </w:t>
      </w:r>
      <w:r w:rsidR="00330447">
        <w:t>(</w:t>
      </w:r>
      <w:r w:rsidRPr="003E789E">
        <w:t>4</w:t>
      </w:r>
      <w:r w:rsidR="00330447">
        <w:t>)</w:t>
      </w:r>
      <w:r w:rsidRPr="003E789E">
        <w:t xml:space="preserve"> of the Optional Protocol</w:t>
      </w:r>
      <w:r w:rsidR="00232334" w:rsidRPr="00330447">
        <w:rPr>
          <w:rStyle w:val="FootnoteReference"/>
          <w:b w:val="0"/>
          <w:bCs/>
        </w:rPr>
        <w:footnoteReference w:id="3"/>
      </w:r>
    </w:p>
    <w:p w:rsidR="00613FE0" w:rsidRPr="00330447" w:rsidRDefault="003134AC" w:rsidP="006E1890">
      <w:pPr>
        <w:pStyle w:val="SingleTxtG"/>
        <w:rPr>
          <w:lang w:val="en-GB"/>
        </w:rPr>
      </w:pPr>
      <w:r w:rsidRPr="00330447">
        <w:rPr>
          <w:lang w:val="en-GB"/>
        </w:rPr>
        <w:t>1.</w:t>
      </w:r>
      <w:r w:rsidR="00C20A72" w:rsidRPr="00473037">
        <w:rPr>
          <w:lang w:val="en-GB"/>
        </w:rPr>
        <w:t>1</w:t>
      </w:r>
      <w:r w:rsidRPr="00330447">
        <w:rPr>
          <w:lang w:val="en-GB"/>
        </w:rPr>
        <w:tab/>
      </w:r>
      <w:r w:rsidR="00B467BE" w:rsidRPr="00330447">
        <w:rPr>
          <w:lang w:val="en-GB"/>
        </w:rPr>
        <w:t>The author of the communication</w:t>
      </w:r>
      <w:r w:rsidR="00232334" w:rsidRPr="00473037">
        <w:rPr>
          <w:lang w:val="en-GB"/>
        </w:rPr>
        <w:t xml:space="preserve"> is </w:t>
      </w:r>
      <w:r w:rsidR="00232334" w:rsidRPr="00134CC0">
        <w:rPr>
          <w:lang w:val="en-GB"/>
        </w:rPr>
        <w:t>P.T</w:t>
      </w:r>
      <w:r w:rsidR="005B6047" w:rsidRPr="00330447">
        <w:rPr>
          <w:lang w:val="en-GB"/>
        </w:rPr>
        <w:t>.</w:t>
      </w:r>
      <w:r w:rsidR="00232334" w:rsidRPr="00330447">
        <w:rPr>
          <w:lang w:val="en-GB"/>
        </w:rPr>
        <w:t>, a Sri Lankan national born on 12 May 1976. He claims that by deporting him to Sri Lanka, Denmark would v</w:t>
      </w:r>
      <w:r w:rsidR="008D2A46" w:rsidRPr="00330447">
        <w:rPr>
          <w:lang w:val="en-GB"/>
        </w:rPr>
        <w:t xml:space="preserve">iolate his rights under </w:t>
      </w:r>
      <w:r w:rsidR="00502CC1" w:rsidRPr="00330447">
        <w:rPr>
          <w:lang w:val="en-GB"/>
        </w:rPr>
        <w:t>article </w:t>
      </w:r>
      <w:r w:rsidR="00232334" w:rsidRPr="00330447">
        <w:rPr>
          <w:lang w:val="en-GB"/>
        </w:rPr>
        <w:t>7 of the International Covenant on Civil and Political Rights (here</w:t>
      </w:r>
      <w:r w:rsidR="00032DE4">
        <w:rPr>
          <w:lang w:val="en-GB"/>
        </w:rPr>
        <w:t>in</w:t>
      </w:r>
      <w:r w:rsidR="00232334" w:rsidRPr="00330447">
        <w:rPr>
          <w:lang w:val="en-GB"/>
        </w:rPr>
        <w:t>after “the Covenant”)</w:t>
      </w:r>
      <w:r w:rsidR="00313386" w:rsidRPr="00330447">
        <w:rPr>
          <w:lang w:val="en-GB"/>
        </w:rPr>
        <w:t>.</w:t>
      </w:r>
      <w:r w:rsidR="00232334" w:rsidRPr="00473037">
        <w:rPr>
          <w:lang w:val="en-GB"/>
        </w:rPr>
        <w:t xml:space="preserve"> </w:t>
      </w:r>
      <w:r w:rsidR="00232334" w:rsidRPr="00330447">
        <w:rPr>
          <w:lang w:val="en-GB"/>
        </w:rPr>
        <w:t>The</w:t>
      </w:r>
      <w:r w:rsidR="00232334" w:rsidRPr="00473037">
        <w:rPr>
          <w:lang w:val="en-GB"/>
        </w:rPr>
        <w:t xml:space="preserve"> author is represented by counsel, </w:t>
      </w:r>
      <w:r w:rsidR="00232334" w:rsidRPr="00134CC0">
        <w:rPr>
          <w:lang w:val="en-GB"/>
        </w:rPr>
        <w:t>Louise Sch</w:t>
      </w:r>
      <w:r w:rsidR="00A52FFA" w:rsidRPr="00330447">
        <w:rPr>
          <w:lang w:val="en-GB"/>
        </w:rPr>
        <w:t>ø</w:t>
      </w:r>
      <w:r w:rsidR="00232334" w:rsidRPr="00330447">
        <w:rPr>
          <w:lang w:val="en-GB"/>
        </w:rPr>
        <w:t>dt</w:t>
      </w:r>
      <w:r w:rsidR="00330447">
        <w:rPr>
          <w:lang w:val="en-GB"/>
        </w:rPr>
        <w:t>,</w:t>
      </w:r>
      <w:r w:rsidR="00232334" w:rsidRPr="00330447">
        <w:rPr>
          <w:lang w:val="en-GB"/>
        </w:rPr>
        <w:t xml:space="preserve"> from the Danish Refugee Council.</w:t>
      </w:r>
    </w:p>
    <w:p w:rsidR="00232334" w:rsidRPr="00473037" w:rsidRDefault="00CF76D6" w:rsidP="00CF76D6">
      <w:pPr>
        <w:pStyle w:val="SingleTxtG"/>
        <w:rPr>
          <w:lang w:val="en-GB"/>
        </w:rPr>
      </w:pPr>
      <w:r w:rsidRPr="00330447">
        <w:rPr>
          <w:lang w:val="en-GB"/>
        </w:rPr>
        <w:t>1.2</w:t>
      </w:r>
      <w:r w:rsidRPr="00330447">
        <w:rPr>
          <w:lang w:val="en-GB"/>
        </w:rPr>
        <w:tab/>
        <w:t>When registering the communication on</w:t>
      </w:r>
      <w:r w:rsidRPr="00473037">
        <w:rPr>
          <w:lang w:val="en-GB"/>
        </w:rPr>
        <w:t xml:space="preserve"> 1</w:t>
      </w:r>
      <w:r w:rsidR="00232334" w:rsidRPr="003E789E">
        <w:rPr>
          <w:lang w:val="en-GB"/>
        </w:rPr>
        <w:t>7</w:t>
      </w:r>
      <w:r w:rsidRPr="00342B0A">
        <w:rPr>
          <w:lang w:val="en-GB"/>
        </w:rPr>
        <w:t xml:space="preserve"> </w:t>
      </w:r>
      <w:r w:rsidR="00232334" w:rsidRPr="00134CC0">
        <w:rPr>
          <w:lang w:val="en-GB"/>
        </w:rPr>
        <w:t>July</w:t>
      </w:r>
      <w:r w:rsidRPr="00330447">
        <w:rPr>
          <w:lang w:val="en-GB"/>
        </w:rPr>
        <w:t xml:space="preserve"> 2013, and pursuant to rule 92 of its rules of procedure, the Committee, acting through its Special Rapporteur on new communications and interim measures, requested the State party </w:t>
      </w:r>
      <w:r w:rsidR="008D2A46" w:rsidRPr="00473037">
        <w:rPr>
          <w:lang w:val="en-GB"/>
        </w:rPr>
        <w:t>to refrain from</w:t>
      </w:r>
      <w:r w:rsidR="005B6047" w:rsidRPr="003E789E">
        <w:rPr>
          <w:lang w:val="en-GB"/>
        </w:rPr>
        <w:t xml:space="preserve"> deport</w:t>
      </w:r>
      <w:r w:rsidR="008D2A46" w:rsidRPr="00342B0A">
        <w:rPr>
          <w:lang w:val="en-GB"/>
        </w:rPr>
        <w:t>ing</w:t>
      </w:r>
      <w:r w:rsidR="00EF3514" w:rsidRPr="00134CC0">
        <w:rPr>
          <w:lang w:val="en-GB"/>
        </w:rPr>
        <w:t xml:space="preserve"> the author</w:t>
      </w:r>
      <w:r w:rsidR="005B6047" w:rsidRPr="00330447">
        <w:rPr>
          <w:lang w:val="en-GB"/>
        </w:rPr>
        <w:t xml:space="preserve"> t</w:t>
      </w:r>
      <w:r w:rsidR="00232334" w:rsidRPr="00330447">
        <w:rPr>
          <w:lang w:val="en-GB"/>
        </w:rPr>
        <w:t>o Sri Lanka</w:t>
      </w:r>
      <w:r w:rsidRPr="00330447">
        <w:rPr>
          <w:lang w:val="en-GB"/>
        </w:rPr>
        <w:t xml:space="preserve"> while </w:t>
      </w:r>
      <w:r w:rsidR="005B6047" w:rsidRPr="00473037">
        <w:rPr>
          <w:lang w:val="en-GB"/>
        </w:rPr>
        <w:t>his</w:t>
      </w:r>
      <w:r w:rsidRPr="00330447">
        <w:rPr>
          <w:lang w:val="en-GB"/>
        </w:rPr>
        <w:t xml:space="preserve"> case </w:t>
      </w:r>
      <w:r w:rsidR="0045285D" w:rsidRPr="00473037">
        <w:rPr>
          <w:lang w:val="en-GB"/>
        </w:rPr>
        <w:t>is</w:t>
      </w:r>
      <w:r w:rsidRPr="00330447">
        <w:rPr>
          <w:lang w:val="en-GB"/>
        </w:rPr>
        <w:t xml:space="preserve"> </w:t>
      </w:r>
      <w:r w:rsidR="008D2A46" w:rsidRPr="00473037">
        <w:rPr>
          <w:lang w:val="en-GB"/>
        </w:rPr>
        <w:t>under consideration</w:t>
      </w:r>
      <w:r w:rsidRPr="00330447">
        <w:rPr>
          <w:lang w:val="en-GB"/>
        </w:rPr>
        <w:t xml:space="preserve"> by the Committee. </w:t>
      </w:r>
    </w:p>
    <w:p w:rsidR="003134AC" w:rsidRPr="00330447" w:rsidRDefault="001659EF" w:rsidP="00542F54">
      <w:pPr>
        <w:pStyle w:val="H23G"/>
      </w:pPr>
      <w:r w:rsidRPr="003E789E">
        <w:lastRenderedPageBreak/>
        <w:tab/>
      </w:r>
      <w:r w:rsidRPr="003E789E">
        <w:tab/>
      </w:r>
      <w:r w:rsidR="00883BBF" w:rsidRPr="00342B0A">
        <w:t>The f</w:t>
      </w:r>
      <w:r w:rsidR="00E17C73" w:rsidRPr="00134CC0">
        <w:t>acts as presented by the author</w:t>
      </w:r>
    </w:p>
    <w:p w:rsidR="00232334" w:rsidRPr="00330447" w:rsidRDefault="003134AC" w:rsidP="003E789E">
      <w:pPr>
        <w:pStyle w:val="SingleTxtG"/>
        <w:rPr>
          <w:lang w:val="en-GB"/>
        </w:rPr>
      </w:pPr>
      <w:r w:rsidRPr="00330447">
        <w:rPr>
          <w:lang w:val="en-GB"/>
        </w:rPr>
        <w:t>2.1</w:t>
      </w:r>
      <w:r w:rsidRPr="00330447">
        <w:rPr>
          <w:lang w:val="en-GB"/>
        </w:rPr>
        <w:tab/>
      </w:r>
      <w:r w:rsidR="00232334" w:rsidRPr="00330447">
        <w:rPr>
          <w:lang w:val="en-GB"/>
        </w:rPr>
        <w:t xml:space="preserve">The author used to live </w:t>
      </w:r>
      <w:r w:rsidR="00B76950" w:rsidRPr="00330447">
        <w:rPr>
          <w:lang w:val="en-GB"/>
        </w:rPr>
        <w:t xml:space="preserve">with his aunt </w:t>
      </w:r>
      <w:r w:rsidR="00232334" w:rsidRPr="00330447">
        <w:rPr>
          <w:lang w:val="en-GB"/>
        </w:rPr>
        <w:t xml:space="preserve">in </w:t>
      </w:r>
      <w:r w:rsidR="00232334" w:rsidRPr="00473037">
        <w:rPr>
          <w:lang w:val="en-GB"/>
        </w:rPr>
        <w:t>a village</w:t>
      </w:r>
      <w:r w:rsidR="00232334" w:rsidRPr="00330447">
        <w:rPr>
          <w:lang w:val="en-GB"/>
        </w:rPr>
        <w:t xml:space="preserve"> </w:t>
      </w:r>
      <w:r w:rsidR="008D2A46" w:rsidRPr="00473037">
        <w:rPr>
          <w:lang w:val="en-GB"/>
        </w:rPr>
        <w:t>of</w:t>
      </w:r>
      <w:r w:rsidR="00232334" w:rsidRPr="00330447">
        <w:rPr>
          <w:lang w:val="en-GB"/>
        </w:rPr>
        <w:t xml:space="preserve"> the </w:t>
      </w:r>
      <w:r w:rsidR="0011580E" w:rsidRPr="00473037">
        <w:rPr>
          <w:lang w:val="en-GB"/>
        </w:rPr>
        <w:t>Jaffna peninsul</w:t>
      </w:r>
      <w:r w:rsidR="00B76950" w:rsidRPr="003E789E">
        <w:rPr>
          <w:lang w:val="en-GB"/>
        </w:rPr>
        <w:t>a</w:t>
      </w:r>
      <w:r w:rsidR="005B6047" w:rsidRPr="00342B0A">
        <w:rPr>
          <w:lang w:val="en-GB"/>
        </w:rPr>
        <w:t xml:space="preserve"> in the</w:t>
      </w:r>
      <w:r w:rsidR="0011580E" w:rsidRPr="00134CC0">
        <w:rPr>
          <w:lang w:val="en-GB"/>
        </w:rPr>
        <w:t xml:space="preserve"> </w:t>
      </w:r>
      <w:r w:rsidR="005B6047" w:rsidRPr="00330447">
        <w:rPr>
          <w:lang w:val="en-GB"/>
        </w:rPr>
        <w:t>northern</w:t>
      </w:r>
      <w:r w:rsidR="00232334" w:rsidRPr="00330447">
        <w:rPr>
          <w:lang w:val="en-GB"/>
        </w:rPr>
        <w:t xml:space="preserve"> part of Sri Lanka. His two brothers were killed by the </w:t>
      </w:r>
      <w:r w:rsidR="00232334" w:rsidRPr="006E1890">
        <w:rPr>
          <w:lang w:val="en-GB"/>
        </w:rPr>
        <w:t>Eelam People’s Democratic Party</w:t>
      </w:r>
      <w:r w:rsidR="00232334" w:rsidRPr="00330447">
        <w:rPr>
          <w:lang w:val="en-GB"/>
        </w:rPr>
        <w:t xml:space="preserve"> (</w:t>
      </w:r>
      <w:r w:rsidR="005B6047" w:rsidRPr="00473037">
        <w:rPr>
          <w:lang w:val="en-GB"/>
        </w:rPr>
        <w:t xml:space="preserve">hereinafter </w:t>
      </w:r>
      <w:r w:rsidR="00D677C6">
        <w:rPr>
          <w:lang w:val="en-GB"/>
        </w:rPr>
        <w:t>“</w:t>
      </w:r>
      <w:r w:rsidR="00232334" w:rsidRPr="00330447">
        <w:rPr>
          <w:lang w:val="en-GB"/>
        </w:rPr>
        <w:t>EPDP</w:t>
      </w:r>
      <w:r w:rsidR="00D677C6">
        <w:rPr>
          <w:lang w:val="en-GB"/>
        </w:rPr>
        <w:t>”</w:t>
      </w:r>
      <w:r w:rsidR="00232334" w:rsidRPr="00330447">
        <w:rPr>
          <w:lang w:val="en-GB"/>
        </w:rPr>
        <w:t xml:space="preserve">) and the military in 1990. During the period </w:t>
      </w:r>
      <w:r w:rsidR="00232334" w:rsidRPr="00473037">
        <w:rPr>
          <w:lang w:val="en-GB"/>
        </w:rPr>
        <w:t>between</w:t>
      </w:r>
      <w:r w:rsidR="00232334" w:rsidRPr="00330447">
        <w:rPr>
          <w:lang w:val="en-GB"/>
        </w:rPr>
        <w:t xml:space="preserve"> 1994</w:t>
      </w:r>
      <w:r w:rsidR="00232334" w:rsidRPr="00473037">
        <w:rPr>
          <w:lang w:val="en-GB"/>
        </w:rPr>
        <w:t xml:space="preserve"> and </w:t>
      </w:r>
      <w:r w:rsidR="00232334" w:rsidRPr="00330447">
        <w:rPr>
          <w:lang w:val="en-GB"/>
        </w:rPr>
        <w:t xml:space="preserve">1997, </w:t>
      </w:r>
      <w:r w:rsidR="005B6047" w:rsidRPr="00473037">
        <w:rPr>
          <w:lang w:val="en-GB"/>
        </w:rPr>
        <w:t>he</w:t>
      </w:r>
      <w:r w:rsidR="00232334" w:rsidRPr="00330447">
        <w:rPr>
          <w:lang w:val="en-GB"/>
        </w:rPr>
        <w:t xml:space="preserve"> participated in meetings and demonstrations supporting the Liberation Tigers of Tamil Eelam (</w:t>
      </w:r>
      <w:r w:rsidR="00232334" w:rsidRPr="00473037">
        <w:rPr>
          <w:lang w:val="en-GB"/>
        </w:rPr>
        <w:t xml:space="preserve">hereinafter </w:t>
      </w:r>
      <w:r w:rsidR="00473037">
        <w:rPr>
          <w:lang w:val="en-GB"/>
        </w:rPr>
        <w:t>“</w:t>
      </w:r>
      <w:r w:rsidR="00232334" w:rsidRPr="00330447">
        <w:rPr>
          <w:lang w:val="en-GB"/>
        </w:rPr>
        <w:t>LTTE</w:t>
      </w:r>
      <w:r w:rsidR="00473037">
        <w:rPr>
          <w:lang w:val="en-GB"/>
        </w:rPr>
        <w:t>”</w:t>
      </w:r>
      <w:r w:rsidR="00CB6E28" w:rsidRPr="00330447">
        <w:rPr>
          <w:lang w:val="en-GB"/>
        </w:rPr>
        <w:t>)</w:t>
      </w:r>
      <w:r w:rsidR="00B76950" w:rsidRPr="00473037">
        <w:rPr>
          <w:lang w:val="en-GB"/>
        </w:rPr>
        <w:t>.</w:t>
      </w:r>
      <w:r w:rsidR="00CB6E28" w:rsidRPr="003E789E">
        <w:rPr>
          <w:lang w:val="en-GB"/>
        </w:rPr>
        <w:t xml:space="preserve"> </w:t>
      </w:r>
      <w:r w:rsidR="00B76950" w:rsidRPr="00342B0A">
        <w:rPr>
          <w:lang w:val="en-GB"/>
        </w:rPr>
        <w:t>A</w:t>
      </w:r>
      <w:r w:rsidR="00CB6E28" w:rsidRPr="00134CC0">
        <w:rPr>
          <w:lang w:val="en-GB"/>
        </w:rPr>
        <w:t xml:space="preserve">s </w:t>
      </w:r>
      <w:r w:rsidR="00B76950" w:rsidRPr="00330447">
        <w:rPr>
          <w:lang w:val="en-GB"/>
        </w:rPr>
        <w:t>other</w:t>
      </w:r>
      <w:r w:rsidR="00CB6E28" w:rsidRPr="00330447">
        <w:rPr>
          <w:lang w:val="en-GB"/>
        </w:rPr>
        <w:t xml:space="preserve"> Tamils</w:t>
      </w:r>
      <w:r w:rsidR="00C74B2E">
        <w:rPr>
          <w:lang w:val="en-GB"/>
        </w:rPr>
        <w:t xml:space="preserve"> were</w:t>
      </w:r>
      <w:r w:rsidR="00B76950" w:rsidRPr="00330447">
        <w:rPr>
          <w:lang w:val="en-GB"/>
        </w:rPr>
        <w:t>,</w:t>
      </w:r>
      <w:r w:rsidR="005B6047" w:rsidRPr="00330447">
        <w:rPr>
          <w:lang w:val="en-GB"/>
        </w:rPr>
        <w:t xml:space="preserve"> during this period</w:t>
      </w:r>
      <w:r w:rsidR="00CB6E28" w:rsidRPr="00330447">
        <w:rPr>
          <w:lang w:val="en-GB"/>
        </w:rPr>
        <w:t>,</w:t>
      </w:r>
      <w:r w:rsidR="00232334" w:rsidRPr="00330447">
        <w:rPr>
          <w:lang w:val="en-GB"/>
        </w:rPr>
        <w:t xml:space="preserve"> </w:t>
      </w:r>
      <w:r w:rsidR="00CB6E28" w:rsidRPr="00473037">
        <w:rPr>
          <w:lang w:val="en-GB"/>
        </w:rPr>
        <w:t xml:space="preserve">he was regularly </w:t>
      </w:r>
      <w:r w:rsidR="008C3294" w:rsidRPr="003E789E">
        <w:rPr>
          <w:lang w:val="en-GB"/>
        </w:rPr>
        <w:t xml:space="preserve">stopped and </w:t>
      </w:r>
      <w:r w:rsidR="008D2A46" w:rsidRPr="00342B0A">
        <w:rPr>
          <w:lang w:val="en-GB"/>
        </w:rPr>
        <w:t>harassed</w:t>
      </w:r>
      <w:r w:rsidR="00F82653" w:rsidRPr="00134CC0">
        <w:rPr>
          <w:lang w:val="en-GB"/>
        </w:rPr>
        <w:t xml:space="preserve"> and</w:t>
      </w:r>
      <w:r w:rsidR="008D2A46" w:rsidRPr="00330447">
        <w:rPr>
          <w:lang w:val="en-GB"/>
        </w:rPr>
        <w:t xml:space="preserve"> even beaten</w:t>
      </w:r>
      <w:r w:rsidR="00CB6E28" w:rsidRPr="00330447">
        <w:rPr>
          <w:lang w:val="en-GB"/>
        </w:rPr>
        <w:t xml:space="preserve"> at checkpoints </w:t>
      </w:r>
      <w:r w:rsidR="008C3294" w:rsidRPr="00330447">
        <w:rPr>
          <w:lang w:val="en-GB"/>
        </w:rPr>
        <w:t>established by</w:t>
      </w:r>
      <w:r w:rsidR="00CB6E28" w:rsidRPr="00330447">
        <w:rPr>
          <w:lang w:val="en-GB"/>
        </w:rPr>
        <w:t xml:space="preserve"> the </w:t>
      </w:r>
      <w:r w:rsidR="008D2A46" w:rsidRPr="00330447">
        <w:rPr>
          <w:lang w:val="en-GB"/>
        </w:rPr>
        <w:t>Sri Lankan Army</w:t>
      </w:r>
      <w:r w:rsidR="00CB6E28" w:rsidRPr="00330447">
        <w:rPr>
          <w:lang w:val="en-GB"/>
        </w:rPr>
        <w:t xml:space="preserve"> and EPDP. </w:t>
      </w:r>
    </w:p>
    <w:p w:rsidR="00232334" w:rsidRPr="00473037" w:rsidRDefault="00232334" w:rsidP="0097141D">
      <w:pPr>
        <w:pStyle w:val="SingleTxtG"/>
        <w:rPr>
          <w:lang w:val="en-GB"/>
        </w:rPr>
      </w:pPr>
      <w:r w:rsidRPr="00330447">
        <w:rPr>
          <w:lang w:val="en-GB"/>
        </w:rPr>
        <w:t>2.2</w:t>
      </w:r>
      <w:r w:rsidRPr="00330447">
        <w:rPr>
          <w:lang w:val="en-GB"/>
        </w:rPr>
        <w:tab/>
      </w:r>
      <w:r w:rsidR="00A52FFA" w:rsidRPr="00473037">
        <w:rPr>
          <w:lang w:val="en-GB"/>
        </w:rPr>
        <w:t xml:space="preserve">In </w:t>
      </w:r>
      <w:r w:rsidR="00A52FFA" w:rsidRPr="003E789E">
        <w:rPr>
          <w:lang w:val="en-GB"/>
        </w:rPr>
        <w:t>2007, t</w:t>
      </w:r>
      <w:r w:rsidR="00CB6E28" w:rsidRPr="00342B0A">
        <w:rPr>
          <w:lang w:val="en-GB"/>
        </w:rPr>
        <w:t>he author was</w:t>
      </w:r>
      <w:r w:rsidR="00CB6E28" w:rsidRPr="00330447">
        <w:rPr>
          <w:lang w:val="en-GB"/>
        </w:rPr>
        <w:t xml:space="preserve"> </w:t>
      </w:r>
      <w:r w:rsidR="008D2A46" w:rsidRPr="00473037">
        <w:rPr>
          <w:lang w:val="en-GB"/>
        </w:rPr>
        <w:t>working in</w:t>
      </w:r>
      <w:r w:rsidR="00CB6E28" w:rsidRPr="00330447">
        <w:rPr>
          <w:lang w:val="en-GB"/>
        </w:rPr>
        <w:t xml:space="preserve"> his cousin</w:t>
      </w:r>
      <w:r w:rsidR="008D2A46" w:rsidRPr="00473037">
        <w:rPr>
          <w:lang w:val="en-GB"/>
        </w:rPr>
        <w:t>’s</w:t>
      </w:r>
      <w:r w:rsidR="00CB6E28" w:rsidRPr="00330447">
        <w:rPr>
          <w:lang w:val="en-GB"/>
        </w:rPr>
        <w:t xml:space="preserve"> tailor shop</w:t>
      </w:r>
      <w:r w:rsidR="00CB6E28" w:rsidRPr="00473037">
        <w:rPr>
          <w:lang w:val="en-GB"/>
        </w:rPr>
        <w:t xml:space="preserve"> and</w:t>
      </w:r>
      <w:r w:rsidR="00DB406B">
        <w:rPr>
          <w:lang w:val="en-GB"/>
        </w:rPr>
        <w:t>,</w:t>
      </w:r>
      <w:r w:rsidR="00CB6E28" w:rsidRPr="00473037">
        <w:rPr>
          <w:lang w:val="en-GB"/>
        </w:rPr>
        <w:t xml:space="preserve"> </w:t>
      </w:r>
      <w:r w:rsidR="00B76950" w:rsidRPr="003E789E">
        <w:rPr>
          <w:lang w:val="en-GB"/>
        </w:rPr>
        <w:t>during</w:t>
      </w:r>
      <w:r w:rsidR="00CB6E28" w:rsidRPr="00342B0A">
        <w:rPr>
          <w:lang w:val="en-GB"/>
        </w:rPr>
        <w:t xml:space="preserve"> the conflict between LTTE and the Sri Lankan </w:t>
      </w:r>
      <w:r w:rsidR="002B4B7F">
        <w:rPr>
          <w:lang w:val="en-GB"/>
        </w:rPr>
        <w:t>A</w:t>
      </w:r>
      <w:r w:rsidR="00CB6E28" w:rsidRPr="00342B0A">
        <w:rPr>
          <w:lang w:val="en-GB"/>
        </w:rPr>
        <w:t xml:space="preserve">rmy, </w:t>
      </w:r>
      <w:r w:rsidR="008D2A46" w:rsidRPr="00134CC0">
        <w:rPr>
          <w:lang w:val="en-GB"/>
        </w:rPr>
        <w:t>they</w:t>
      </w:r>
      <w:r w:rsidR="00CB6E28" w:rsidRPr="00330447">
        <w:rPr>
          <w:lang w:val="en-GB"/>
        </w:rPr>
        <w:t xml:space="preserve"> provided clothes and food </w:t>
      </w:r>
      <w:r w:rsidR="004A2789" w:rsidRPr="00473037">
        <w:rPr>
          <w:lang w:val="en-GB"/>
        </w:rPr>
        <w:t xml:space="preserve">free of charge </w:t>
      </w:r>
      <w:r w:rsidR="00CB6E28" w:rsidRPr="00330447">
        <w:rPr>
          <w:lang w:val="en-GB"/>
        </w:rPr>
        <w:t xml:space="preserve">to </w:t>
      </w:r>
      <w:r w:rsidR="004A2789" w:rsidRPr="00473037">
        <w:rPr>
          <w:lang w:val="en-GB"/>
        </w:rPr>
        <w:t>some</w:t>
      </w:r>
      <w:r w:rsidR="00CB6E28" w:rsidRPr="00330447">
        <w:rPr>
          <w:lang w:val="en-GB"/>
        </w:rPr>
        <w:t xml:space="preserve"> LTTE</w:t>
      </w:r>
      <w:r w:rsidR="004A2789" w:rsidRPr="00473037">
        <w:rPr>
          <w:lang w:val="en-GB"/>
        </w:rPr>
        <w:t xml:space="preserve"> members</w:t>
      </w:r>
      <w:r w:rsidR="00CB6E28" w:rsidRPr="00330447">
        <w:rPr>
          <w:lang w:val="en-GB"/>
        </w:rPr>
        <w:t>.</w:t>
      </w:r>
      <w:r w:rsidR="00CB6E28" w:rsidRPr="00473037">
        <w:rPr>
          <w:lang w:val="en-GB"/>
        </w:rPr>
        <w:t xml:space="preserve"> </w:t>
      </w:r>
      <w:r w:rsidR="00A52FFA" w:rsidRPr="003E789E">
        <w:rPr>
          <w:lang w:val="en-GB"/>
        </w:rPr>
        <w:t>One night</w:t>
      </w:r>
      <w:r w:rsidR="00313386" w:rsidRPr="00342B0A">
        <w:rPr>
          <w:lang w:val="en-GB"/>
        </w:rPr>
        <w:t>,</w:t>
      </w:r>
      <w:r w:rsidRPr="00330447">
        <w:rPr>
          <w:lang w:val="en-GB"/>
        </w:rPr>
        <w:t xml:space="preserve"> EPDP </w:t>
      </w:r>
      <w:r w:rsidR="00CB6E28" w:rsidRPr="00473037">
        <w:rPr>
          <w:lang w:val="en-GB"/>
        </w:rPr>
        <w:t xml:space="preserve">paramilitaries </w:t>
      </w:r>
      <w:r w:rsidRPr="00330447">
        <w:rPr>
          <w:lang w:val="en-GB"/>
        </w:rPr>
        <w:t>burn</w:t>
      </w:r>
      <w:r w:rsidR="0011580E" w:rsidRPr="00330447">
        <w:rPr>
          <w:lang w:val="en-GB"/>
        </w:rPr>
        <w:t>t down his cousin’s shop</w:t>
      </w:r>
      <w:r w:rsidR="0011580E" w:rsidRPr="00473037">
        <w:rPr>
          <w:lang w:val="en-GB"/>
        </w:rPr>
        <w:t xml:space="preserve"> </w:t>
      </w:r>
      <w:r w:rsidR="002B4B7F">
        <w:rPr>
          <w:lang w:val="en-GB"/>
        </w:rPr>
        <w:t>and</w:t>
      </w:r>
      <w:r w:rsidR="004A2789" w:rsidRPr="00342B0A">
        <w:rPr>
          <w:lang w:val="en-GB"/>
        </w:rPr>
        <w:t xml:space="preserve"> other shops </w:t>
      </w:r>
      <w:r w:rsidR="00A52FFA" w:rsidRPr="00134CC0">
        <w:rPr>
          <w:lang w:val="en-GB"/>
        </w:rPr>
        <w:t>in the same neighbourhood</w:t>
      </w:r>
      <w:r w:rsidR="004A2789" w:rsidRPr="00330447">
        <w:rPr>
          <w:lang w:val="en-GB"/>
        </w:rPr>
        <w:t xml:space="preserve"> </w:t>
      </w:r>
      <w:r w:rsidR="0011580E" w:rsidRPr="00330447">
        <w:rPr>
          <w:lang w:val="en-GB"/>
        </w:rPr>
        <w:t xml:space="preserve">and </w:t>
      </w:r>
      <w:r w:rsidRPr="00330447">
        <w:rPr>
          <w:lang w:val="en-GB"/>
        </w:rPr>
        <w:t xml:space="preserve">shot at people. The </w:t>
      </w:r>
      <w:r w:rsidR="00A52FFA" w:rsidRPr="00473037">
        <w:rPr>
          <w:lang w:val="en-GB"/>
        </w:rPr>
        <w:t xml:space="preserve">following morning, the </w:t>
      </w:r>
      <w:r w:rsidRPr="00330447">
        <w:rPr>
          <w:lang w:val="en-GB"/>
        </w:rPr>
        <w:t xml:space="preserve">author and his cousin went to the local police </w:t>
      </w:r>
      <w:r w:rsidR="00B76950" w:rsidRPr="00473037">
        <w:rPr>
          <w:lang w:val="en-GB"/>
        </w:rPr>
        <w:t xml:space="preserve">station </w:t>
      </w:r>
      <w:r w:rsidRPr="00330447">
        <w:rPr>
          <w:lang w:val="en-GB"/>
        </w:rPr>
        <w:t>to complain</w:t>
      </w:r>
      <w:r w:rsidR="00A52FFA" w:rsidRPr="00473037">
        <w:rPr>
          <w:lang w:val="en-GB"/>
        </w:rPr>
        <w:t xml:space="preserve"> about the arson</w:t>
      </w:r>
      <w:r w:rsidR="00B76950" w:rsidRPr="003E789E">
        <w:rPr>
          <w:lang w:val="en-GB"/>
        </w:rPr>
        <w:t>. T</w:t>
      </w:r>
      <w:r w:rsidRPr="00330447">
        <w:rPr>
          <w:lang w:val="en-GB"/>
        </w:rPr>
        <w:t xml:space="preserve">he police made a report but did not take </w:t>
      </w:r>
      <w:r w:rsidR="005B6047" w:rsidRPr="00473037">
        <w:rPr>
          <w:lang w:val="en-GB"/>
        </w:rPr>
        <w:t xml:space="preserve">further </w:t>
      </w:r>
      <w:r w:rsidRPr="00330447">
        <w:rPr>
          <w:lang w:val="en-GB"/>
        </w:rPr>
        <w:t>action. The author’s cousin reopen</w:t>
      </w:r>
      <w:r w:rsidR="005B6047" w:rsidRPr="00473037">
        <w:rPr>
          <w:lang w:val="en-GB"/>
        </w:rPr>
        <w:t>ed</w:t>
      </w:r>
      <w:r w:rsidRPr="00330447">
        <w:rPr>
          <w:lang w:val="en-GB"/>
        </w:rPr>
        <w:t xml:space="preserve"> </w:t>
      </w:r>
      <w:r w:rsidR="005B6047" w:rsidRPr="00473037">
        <w:rPr>
          <w:lang w:val="en-GB"/>
        </w:rPr>
        <w:t>his</w:t>
      </w:r>
      <w:r w:rsidRPr="00330447">
        <w:rPr>
          <w:lang w:val="en-GB"/>
        </w:rPr>
        <w:t xml:space="preserve"> shop </w:t>
      </w:r>
      <w:r w:rsidR="004A2789" w:rsidRPr="00473037">
        <w:rPr>
          <w:lang w:val="en-GB"/>
        </w:rPr>
        <w:t>a few</w:t>
      </w:r>
      <w:r w:rsidRPr="00330447">
        <w:rPr>
          <w:lang w:val="en-GB"/>
        </w:rPr>
        <w:t xml:space="preserve"> </w:t>
      </w:r>
      <w:r w:rsidRPr="00473037">
        <w:rPr>
          <w:lang w:val="en-GB"/>
        </w:rPr>
        <w:t>weeks</w:t>
      </w:r>
      <w:r w:rsidR="004A2789" w:rsidRPr="003E789E">
        <w:rPr>
          <w:lang w:val="en-GB"/>
        </w:rPr>
        <w:t xml:space="preserve"> later</w:t>
      </w:r>
      <w:r w:rsidR="002D76B1" w:rsidRPr="00342B0A">
        <w:rPr>
          <w:lang w:val="en-GB"/>
        </w:rPr>
        <w:t>. H</w:t>
      </w:r>
      <w:r w:rsidRPr="00134CC0">
        <w:rPr>
          <w:lang w:val="en-GB"/>
        </w:rPr>
        <w:t>owever,</w:t>
      </w:r>
      <w:r w:rsidRPr="00330447">
        <w:rPr>
          <w:lang w:val="en-GB"/>
        </w:rPr>
        <w:t xml:space="preserve"> </w:t>
      </w:r>
      <w:r w:rsidR="008C3294" w:rsidRPr="00473037">
        <w:rPr>
          <w:lang w:val="en-GB"/>
        </w:rPr>
        <w:t>shortly after</w:t>
      </w:r>
      <w:r w:rsidRPr="00330447">
        <w:rPr>
          <w:lang w:val="en-GB"/>
        </w:rPr>
        <w:t>, two persons, whom the author identifie</w:t>
      </w:r>
      <w:r w:rsidR="0011580E" w:rsidRPr="00473037">
        <w:rPr>
          <w:lang w:val="en-GB"/>
        </w:rPr>
        <w:t>d</w:t>
      </w:r>
      <w:r w:rsidRPr="00330447">
        <w:rPr>
          <w:lang w:val="en-GB"/>
        </w:rPr>
        <w:t xml:space="preserve"> as EPDP</w:t>
      </w:r>
      <w:r w:rsidRPr="00473037">
        <w:rPr>
          <w:lang w:val="en-GB"/>
        </w:rPr>
        <w:t xml:space="preserve"> members</w:t>
      </w:r>
      <w:r w:rsidRPr="00330447">
        <w:rPr>
          <w:lang w:val="en-GB"/>
        </w:rPr>
        <w:t xml:space="preserve">, came to the shop and asked the author’s cousin to </w:t>
      </w:r>
      <w:r w:rsidR="0011580E" w:rsidRPr="00473037">
        <w:rPr>
          <w:lang w:val="en-GB"/>
        </w:rPr>
        <w:t xml:space="preserve">close </w:t>
      </w:r>
      <w:r w:rsidR="004A2789" w:rsidRPr="003E789E">
        <w:rPr>
          <w:lang w:val="en-GB"/>
        </w:rPr>
        <w:t>it</w:t>
      </w:r>
      <w:r w:rsidR="0011580E" w:rsidRPr="00342B0A">
        <w:rPr>
          <w:lang w:val="en-GB"/>
        </w:rPr>
        <w:t xml:space="preserve"> and </w:t>
      </w:r>
      <w:r w:rsidR="00B76950" w:rsidRPr="00134CC0">
        <w:rPr>
          <w:lang w:val="en-GB"/>
        </w:rPr>
        <w:t xml:space="preserve">to </w:t>
      </w:r>
      <w:r w:rsidRPr="00330447">
        <w:rPr>
          <w:lang w:val="en-GB"/>
        </w:rPr>
        <w:t>follow them. The author was told by his cousin to go home</w:t>
      </w:r>
      <w:r w:rsidR="004A2789" w:rsidRPr="00473037">
        <w:rPr>
          <w:lang w:val="en-GB"/>
        </w:rPr>
        <w:t>. O</w:t>
      </w:r>
      <w:r w:rsidR="004A2789" w:rsidRPr="00330447">
        <w:rPr>
          <w:lang w:val="en-GB"/>
        </w:rPr>
        <w:t>n</w:t>
      </w:r>
      <w:r w:rsidRPr="00330447">
        <w:rPr>
          <w:lang w:val="en-GB"/>
        </w:rPr>
        <w:t xml:space="preserve"> his way</w:t>
      </w:r>
      <w:r w:rsidR="008C3294" w:rsidRPr="00473037">
        <w:rPr>
          <w:lang w:val="en-GB"/>
        </w:rPr>
        <w:t xml:space="preserve"> acro</w:t>
      </w:r>
      <w:r w:rsidR="008C3294" w:rsidRPr="003E789E">
        <w:rPr>
          <w:lang w:val="en-GB"/>
        </w:rPr>
        <w:t>ss the fields</w:t>
      </w:r>
      <w:r w:rsidRPr="00330447">
        <w:rPr>
          <w:lang w:val="en-GB"/>
        </w:rPr>
        <w:t xml:space="preserve">, </w:t>
      </w:r>
      <w:r w:rsidR="004A2789" w:rsidRPr="00473037">
        <w:rPr>
          <w:lang w:val="en-GB"/>
        </w:rPr>
        <w:t>the author</w:t>
      </w:r>
      <w:r w:rsidRPr="00330447">
        <w:rPr>
          <w:lang w:val="en-GB"/>
        </w:rPr>
        <w:t xml:space="preserve"> saw his cousin being shot dead. </w:t>
      </w:r>
      <w:r w:rsidR="008C3294" w:rsidRPr="00473037">
        <w:rPr>
          <w:lang w:val="en-GB"/>
        </w:rPr>
        <w:t>Shortly after</w:t>
      </w:r>
      <w:r w:rsidRPr="00330447">
        <w:rPr>
          <w:lang w:val="en-GB"/>
        </w:rPr>
        <w:t xml:space="preserve"> his cousin’s death, the author was approached by</w:t>
      </w:r>
      <w:r w:rsidRPr="00473037">
        <w:rPr>
          <w:lang w:val="en-GB"/>
        </w:rPr>
        <w:t xml:space="preserve"> some</w:t>
      </w:r>
      <w:r w:rsidR="000C695D" w:rsidRPr="003E789E">
        <w:rPr>
          <w:lang w:val="en-GB"/>
        </w:rPr>
        <w:t xml:space="preserve"> people</w:t>
      </w:r>
      <w:r w:rsidRPr="00342B0A">
        <w:rPr>
          <w:lang w:val="en-GB"/>
        </w:rPr>
        <w:t xml:space="preserve"> </w:t>
      </w:r>
      <w:r w:rsidRPr="00330447">
        <w:rPr>
          <w:lang w:val="en-GB"/>
        </w:rPr>
        <w:t>in a grocery store</w:t>
      </w:r>
      <w:r w:rsidR="0011580E" w:rsidRPr="00473037">
        <w:rPr>
          <w:lang w:val="en-GB"/>
        </w:rPr>
        <w:t xml:space="preserve"> who </w:t>
      </w:r>
      <w:r w:rsidRPr="00330447">
        <w:rPr>
          <w:lang w:val="en-GB"/>
        </w:rPr>
        <w:t xml:space="preserve">asked </w:t>
      </w:r>
      <w:r w:rsidR="0011580E" w:rsidRPr="00473037">
        <w:rPr>
          <w:lang w:val="en-GB"/>
        </w:rPr>
        <w:t xml:space="preserve">him </w:t>
      </w:r>
      <w:r w:rsidRPr="00330447">
        <w:rPr>
          <w:lang w:val="en-GB"/>
        </w:rPr>
        <w:t>if he knew who had killed his cousin</w:t>
      </w:r>
      <w:r w:rsidR="0011580E" w:rsidRPr="00473037">
        <w:rPr>
          <w:lang w:val="en-GB"/>
        </w:rPr>
        <w:t>. The author</w:t>
      </w:r>
      <w:r w:rsidRPr="00330447">
        <w:rPr>
          <w:lang w:val="en-GB"/>
        </w:rPr>
        <w:t xml:space="preserve"> </w:t>
      </w:r>
      <w:r w:rsidR="000C695D" w:rsidRPr="00473037">
        <w:rPr>
          <w:lang w:val="en-GB"/>
        </w:rPr>
        <w:t xml:space="preserve">assumed they were </w:t>
      </w:r>
      <w:r w:rsidR="000C695D" w:rsidRPr="00330447">
        <w:rPr>
          <w:lang w:val="en-GB"/>
        </w:rPr>
        <w:t xml:space="preserve">EPDP </w:t>
      </w:r>
      <w:r w:rsidR="000C695D" w:rsidRPr="00473037">
        <w:rPr>
          <w:lang w:val="en-GB"/>
        </w:rPr>
        <w:t xml:space="preserve">members and </w:t>
      </w:r>
      <w:r w:rsidR="005B6047" w:rsidRPr="003E789E">
        <w:rPr>
          <w:lang w:val="en-GB"/>
        </w:rPr>
        <w:t>denied any knowledge about the murder and</w:t>
      </w:r>
      <w:r w:rsidRPr="00330447">
        <w:rPr>
          <w:lang w:val="en-GB"/>
        </w:rPr>
        <w:t xml:space="preserve"> </w:t>
      </w:r>
      <w:r w:rsidR="005B6047" w:rsidRPr="00473037">
        <w:rPr>
          <w:lang w:val="en-GB"/>
        </w:rPr>
        <w:t>stressed</w:t>
      </w:r>
      <w:r w:rsidRPr="00330447">
        <w:rPr>
          <w:lang w:val="en-GB"/>
        </w:rPr>
        <w:t xml:space="preserve"> that he had not complained </w:t>
      </w:r>
      <w:r w:rsidR="00F53F5C" w:rsidRPr="00473037">
        <w:rPr>
          <w:lang w:val="en-GB"/>
        </w:rPr>
        <w:t xml:space="preserve">about it </w:t>
      </w:r>
      <w:r w:rsidRPr="00330447">
        <w:rPr>
          <w:lang w:val="en-GB"/>
        </w:rPr>
        <w:t xml:space="preserve">to the police. </w:t>
      </w:r>
    </w:p>
    <w:p w:rsidR="00232334" w:rsidRPr="00330447" w:rsidRDefault="00232334" w:rsidP="00AA72B2">
      <w:pPr>
        <w:pStyle w:val="SingleTxtG"/>
        <w:rPr>
          <w:lang w:val="en-GB"/>
        </w:rPr>
      </w:pPr>
      <w:r w:rsidRPr="00330447">
        <w:rPr>
          <w:lang w:val="en-GB"/>
        </w:rPr>
        <w:t>2.3</w:t>
      </w:r>
      <w:r w:rsidRPr="00330447">
        <w:rPr>
          <w:lang w:val="en-GB"/>
        </w:rPr>
        <w:tab/>
        <w:t xml:space="preserve">Following this incident, </w:t>
      </w:r>
      <w:r w:rsidR="0011580E" w:rsidRPr="00473037">
        <w:rPr>
          <w:lang w:val="en-GB"/>
        </w:rPr>
        <w:t>f</w:t>
      </w:r>
      <w:r w:rsidR="0011580E" w:rsidRPr="00330447">
        <w:rPr>
          <w:lang w:val="en-GB"/>
        </w:rPr>
        <w:t>earing harass</w:t>
      </w:r>
      <w:r w:rsidR="002B4B7F">
        <w:rPr>
          <w:lang w:val="en-GB"/>
        </w:rPr>
        <w:t>ment</w:t>
      </w:r>
      <w:r w:rsidR="0011580E" w:rsidRPr="00330447">
        <w:rPr>
          <w:lang w:val="en-GB"/>
        </w:rPr>
        <w:t xml:space="preserve"> by EPDP</w:t>
      </w:r>
      <w:r w:rsidR="0011580E" w:rsidRPr="00473037">
        <w:rPr>
          <w:lang w:val="en-GB"/>
        </w:rPr>
        <w:t>,</w:t>
      </w:r>
      <w:r w:rsidR="0011580E" w:rsidRPr="00330447">
        <w:rPr>
          <w:lang w:val="en-GB"/>
        </w:rPr>
        <w:t xml:space="preserve"> </w:t>
      </w:r>
      <w:r w:rsidRPr="00330447">
        <w:rPr>
          <w:lang w:val="en-GB"/>
        </w:rPr>
        <w:t xml:space="preserve">the author moved </w:t>
      </w:r>
      <w:r w:rsidR="004A2789" w:rsidRPr="00330447">
        <w:rPr>
          <w:lang w:val="en-GB"/>
        </w:rPr>
        <w:t xml:space="preserve">with his </w:t>
      </w:r>
      <w:r w:rsidR="002D76B1" w:rsidRPr="00473037">
        <w:rPr>
          <w:lang w:val="en-GB"/>
        </w:rPr>
        <w:t>wife and two daughters</w:t>
      </w:r>
      <w:r w:rsidR="004A2789" w:rsidRPr="00330447">
        <w:rPr>
          <w:lang w:val="en-GB"/>
        </w:rPr>
        <w:t xml:space="preserve"> </w:t>
      </w:r>
      <w:r w:rsidRPr="00330447">
        <w:rPr>
          <w:lang w:val="en-GB"/>
        </w:rPr>
        <w:t xml:space="preserve">to </w:t>
      </w:r>
      <w:r w:rsidRPr="00473037">
        <w:rPr>
          <w:lang w:val="en-GB"/>
        </w:rPr>
        <w:t xml:space="preserve">another village, </w:t>
      </w:r>
      <w:r w:rsidR="00F53F5C" w:rsidRPr="003E789E">
        <w:rPr>
          <w:lang w:val="en-GB"/>
        </w:rPr>
        <w:t>Point</w:t>
      </w:r>
      <w:r w:rsidRPr="00330447">
        <w:rPr>
          <w:lang w:val="en-GB"/>
        </w:rPr>
        <w:t xml:space="preserve"> Pedro</w:t>
      </w:r>
      <w:r w:rsidRPr="00473037">
        <w:rPr>
          <w:lang w:val="en-GB"/>
        </w:rPr>
        <w:t>,</w:t>
      </w:r>
      <w:r w:rsidRPr="00330447">
        <w:rPr>
          <w:lang w:val="en-GB"/>
        </w:rPr>
        <w:t xml:space="preserve"> where no one knew him. After </w:t>
      </w:r>
      <w:r w:rsidR="008C3294" w:rsidRPr="00473037">
        <w:rPr>
          <w:lang w:val="en-GB"/>
        </w:rPr>
        <w:t xml:space="preserve">one year in Point Pedro, </w:t>
      </w:r>
      <w:r w:rsidRPr="00330447">
        <w:rPr>
          <w:lang w:val="en-GB"/>
        </w:rPr>
        <w:t xml:space="preserve">hearing that someone had </w:t>
      </w:r>
      <w:r w:rsidR="002B4B7F">
        <w:rPr>
          <w:lang w:val="en-GB"/>
        </w:rPr>
        <w:t>e</w:t>
      </w:r>
      <w:r w:rsidRPr="00330447">
        <w:rPr>
          <w:lang w:val="en-GB"/>
        </w:rPr>
        <w:t xml:space="preserve">nquired </w:t>
      </w:r>
      <w:r w:rsidR="002D76B1" w:rsidRPr="00473037">
        <w:rPr>
          <w:lang w:val="en-GB"/>
        </w:rPr>
        <w:t>with</w:t>
      </w:r>
      <w:r w:rsidR="002D76B1" w:rsidRPr="00330447">
        <w:rPr>
          <w:lang w:val="en-GB"/>
        </w:rPr>
        <w:t xml:space="preserve"> </w:t>
      </w:r>
      <w:r w:rsidRPr="00330447">
        <w:rPr>
          <w:lang w:val="en-GB"/>
        </w:rPr>
        <w:t>his aunt</w:t>
      </w:r>
      <w:r w:rsidR="002D76B1" w:rsidRPr="00473037">
        <w:rPr>
          <w:lang w:val="en-GB"/>
        </w:rPr>
        <w:t xml:space="preserve"> as to his whereabouts</w:t>
      </w:r>
      <w:r w:rsidRPr="00330447">
        <w:rPr>
          <w:lang w:val="en-GB"/>
        </w:rPr>
        <w:t xml:space="preserve">, the author moved with his family to </w:t>
      </w:r>
      <w:r w:rsidRPr="00473037">
        <w:rPr>
          <w:lang w:val="en-GB"/>
        </w:rPr>
        <w:t xml:space="preserve">another </w:t>
      </w:r>
      <w:r w:rsidR="00F53F5C" w:rsidRPr="003E789E">
        <w:rPr>
          <w:lang w:val="en-GB"/>
        </w:rPr>
        <w:t>village</w:t>
      </w:r>
      <w:r w:rsidRPr="00342B0A">
        <w:rPr>
          <w:lang w:val="en-GB"/>
        </w:rPr>
        <w:t xml:space="preserve">, </w:t>
      </w:r>
      <w:r w:rsidRPr="00330447">
        <w:rPr>
          <w:lang w:val="en-GB"/>
        </w:rPr>
        <w:t>Palai</w:t>
      </w:r>
      <w:r w:rsidRPr="00473037">
        <w:rPr>
          <w:lang w:val="en-GB"/>
        </w:rPr>
        <w:t>,</w:t>
      </w:r>
      <w:r w:rsidRPr="00330447">
        <w:rPr>
          <w:lang w:val="en-GB"/>
        </w:rPr>
        <w:t xml:space="preserve"> </w:t>
      </w:r>
      <w:r w:rsidR="00A52FFA" w:rsidRPr="00473037">
        <w:rPr>
          <w:lang w:val="en-GB"/>
        </w:rPr>
        <w:t xml:space="preserve">located at </w:t>
      </w:r>
      <w:r w:rsidR="000673A3" w:rsidRPr="003E789E">
        <w:rPr>
          <w:lang w:val="en-GB"/>
        </w:rPr>
        <w:t>r</w:t>
      </w:r>
      <w:r w:rsidR="00A52FFA" w:rsidRPr="00342B0A">
        <w:rPr>
          <w:lang w:val="en-GB"/>
        </w:rPr>
        <w:t>oughly two hours by bus f</w:t>
      </w:r>
      <w:r w:rsidR="000673A3" w:rsidRPr="00134CC0">
        <w:rPr>
          <w:lang w:val="en-GB"/>
        </w:rPr>
        <w:t>r</w:t>
      </w:r>
      <w:r w:rsidR="00A52FFA" w:rsidRPr="00330447">
        <w:rPr>
          <w:lang w:val="en-GB"/>
        </w:rPr>
        <w:t>o</w:t>
      </w:r>
      <w:r w:rsidR="000673A3" w:rsidRPr="00330447">
        <w:rPr>
          <w:lang w:val="en-GB"/>
        </w:rPr>
        <w:t xml:space="preserve">m his village of origin. He settled in Palai </w:t>
      </w:r>
      <w:r w:rsidRPr="00330447">
        <w:rPr>
          <w:lang w:val="en-GB"/>
        </w:rPr>
        <w:t xml:space="preserve">with his </w:t>
      </w:r>
      <w:r w:rsidR="00EA0822" w:rsidRPr="00473037">
        <w:rPr>
          <w:lang w:val="en-GB"/>
        </w:rPr>
        <w:t>family</w:t>
      </w:r>
      <w:r w:rsidR="008379A8" w:rsidRPr="003E789E">
        <w:rPr>
          <w:lang w:val="en-GB"/>
        </w:rPr>
        <w:t>,</w:t>
      </w:r>
      <w:r w:rsidR="00EA0822" w:rsidRPr="00342B0A">
        <w:rPr>
          <w:lang w:val="en-GB"/>
        </w:rPr>
        <w:t xml:space="preserve"> at his </w:t>
      </w:r>
      <w:r w:rsidRPr="00330447">
        <w:rPr>
          <w:lang w:val="en-GB"/>
        </w:rPr>
        <w:t>in-laws</w:t>
      </w:r>
      <w:r w:rsidR="008379A8" w:rsidRPr="00473037">
        <w:rPr>
          <w:lang w:val="en-GB"/>
        </w:rPr>
        <w:t>’ house</w:t>
      </w:r>
      <w:r w:rsidR="002D76B1" w:rsidRPr="003E789E">
        <w:rPr>
          <w:lang w:val="en-GB"/>
        </w:rPr>
        <w:t>,</w:t>
      </w:r>
      <w:r w:rsidRPr="00330447">
        <w:rPr>
          <w:lang w:val="en-GB"/>
        </w:rPr>
        <w:t xml:space="preserve"> </w:t>
      </w:r>
      <w:r w:rsidR="008379A8" w:rsidRPr="00473037">
        <w:rPr>
          <w:lang w:val="en-GB"/>
        </w:rPr>
        <w:t>where</w:t>
      </w:r>
      <w:r w:rsidR="00EA0822" w:rsidRPr="003E789E">
        <w:rPr>
          <w:lang w:val="en-GB"/>
        </w:rPr>
        <w:t xml:space="preserve"> </w:t>
      </w:r>
      <w:r w:rsidRPr="00330447">
        <w:rPr>
          <w:lang w:val="en-GB"/>
        </w:rPr>
        <w:t xml:space="preserve">his wife and children </w:t>
      </w:r>
      <w:r w:rsidR="0011580E" w:rsidRPr="00473037">
        <w:rPr>
          <w:lang w:val="en-GB"/>
        </w:rPr>
        <w:t xml:space="preserve">are </w:t>
      </w:r>
      <w:r w:rsidRPr="00330447">
        <w:rPr>
          <w:lang w:val="en-GB"/>
        </w:rPr>
        <w:t>still liv</w:t>
      </w:r>
      <w:r w:rsidR="0011580E" w:rsidRPr="00473037">
        <w:rPr>
          <w:lang w:val="en-GB"/>
        </w:rPr>
        <w:t>ing</w:t>
      </w:r>
      <w:r w:rsidR="008379A8" w:rsidRPr="003E789E">
        <w:rPr>
          <w:lang w:val="en-GB"/>
        </w:rPr>
        <w:t>.</w:t>
      </w:r>
      <w:r w:rsidR="000673A3" w:rsidRPr="00342B0A">
        <w:rPr>
          <w:lang w:val="en-GB"/>
        </w:rPr>
        <w:t xml:space="preserve"> </w:t>
      </w:r>
      <w:r w:rsidR="00A52FFA" w:rsidRPr="00134CC0">
        <w:rPr>
          <w:lang w:val="en-GB"/>
        </w:rPr>
        <w:t>T</w:t>
      </w:r>
      <w:r w:rsidR="004A2789" w:rsidRPr="00330447">
        <w:rPr>
          <w:lang w:val="en-GB"/>
        </w:rPr>
        <w:t>he author alleges that</w:t>
      </w:r>
      <w:r w:rsidR="002B4B7F">
        <w:rPr>
          <w:lang w:val="en-GB"/>
        </w:rPr>
        <w:t>,</w:t>
      </w:r>
      <w:r w:rsidR="000673A3" w:rsidRPr="00330447">
        <w:rPr>
          <w:lang w:val="en-GB"/>
        </w:rPr>
        <w:t xml:space="preserve"> in spite of the distance from his village, </w:t>
      </w:r>
      <w:r w:rsidR="004A2789" w:rsidRPr="00330447">
        <w:rPr>
          <w:lang w:val="en-GB"/>
        </w:rPr>
        <w:t>he did not feel safe and</w:t>
      </w:r>
      <w:r w:rsidR="000673A3" w:rsidRPr="00330447">
        <w:rPr>
          <w:lang w:val="en-GB"/>
        </w:rPr>
        <w:t xml:space="preserve"> </w:t>
      </w:r>
      <w:r w:rsidR="004A2789" w:rsidRPr="00330447">
        <w:rPr>
          <w:lang w:val="en-GB"/>
        </w:rPr>
        <w:t>still wished to leave the country</w:t>
      </w:r>
      <w:r w:rsidR="002B4B7F">
        <w:rPr>
          <w:lang w:val="en-GB"/>
        </w:rPr>
        <w:t>.</w:t>
      </w:r>
      <w:r w:rsidR="000673A3" w:rsidRPr="00330447">
        <w:rPr>
          <w:lang w:val="en-GB"/>
        </w:rPr>
        <w:t xml:space="preserve"> </w:t>
      </w:r>
      <w:r w:rsidR="002B4B7F">
        <w:rPr>
          <w:lang w:val="en-GB"/>
        </w:rPr>
        <w:t>He</w:t>
      </w:r>
      <w:r w:rsidR="002B4B7F" w:rsidRPr="00330447">
        <w:rPr>
          <w:lang w:val="en-GB"/>
        </w:rPr>
        <w:t xml:space="preserve"> </w:t>
      </w:r>
      <w:r w:rsidR="000673A3" w:rsidRPr="00330447">
        <w:rPr>
          <w:lang w:val="en-GB"/>
        </w:rPr>
        <w:t>tried to save enough money</w:t>
      </w:r>
      <w:r w:rsidR="002B4B7F">
        <w:rPr>
          <w:lang w:val="en-GB"/>
        </w:rPr>
        <w:t xml:space="preserve"> to do so, but</w:t>
      </w:r>
      <w:r w:rsidR="004A2789" w:rsidRPr="00330447">
        <w:rPr>
          <w:lang w:val="en-GB"/>
        </w:rPr>
        <w:t xml:space="preserve"> </w:t>
      </w:r>
      <w:r w:rsidR="0011580E" w:rsidRPr="00330447">
        <w:rPr>
          <w:lang w:val="en-GB"/>
        </w:rPr>
        <w:t xml:space="preserve">did not </w:t>
      </w:r>
      <w:r w:rsidR="000673A3" w:rsidRPr="00330447">
        <w:rPr>
          <w:lang w:val="en-GB"/>
        </w:rPr>
        <w:t>manage to save</w:t>
      </w:r>
      <w:r w:rsidRPr="00330447">
        <w:rPr>
          <w:lang w:val="en-GB"/>
        </w:rPr>
        <w:t xml:space="preserve"> </w:t>
      </w:r>
      <w:r w:rsidR="0011580E" w:rsidRPr="00473037">
        <w:rPr>
          <w:lang w:val="en-GB"/>
        </w:rPr>
        <w:t xml:space="preserve">enough to </w:t>
      </w:r>
      <w:r w:rsidR="006160CB" w:rsidRPr="003E789E">
        <w:rPr>
          <w:lang w:val="en-GB"/>
        </w:rPr>
        <w:t>buy</w:t>
      </w:r>
      <w:r w:rsidR="004A2789" w:rsidRPr="00342B0A">
        <w:rPr>
          <w:lang w:val="en-GB"/>
        </w:rPr>
        <w:t xml:space="preserve"> a plane ticket</w:t>
      </w:r>
      <w:r w:rsidR="00F53F5C" w:rsidRPr="00134CC0">
        <w:rPr>
          <w:lang w:val="en-GB"/>
        </w:rPr>
        <w:t xml:space="preserve">, </w:t>
      </w:r>
      <w:r w:rsidR="002B4B7F">
        <w:rPr>
          <w:lang w:val="en-GB"/>
        </w:rPr>
        <w:t xml:space="preserve">so </w:t>
      </w:r>
      <w:r w:rsidR="00A52FFA" w:rsidRPr="00330447">
        <w:rPr>
          <w:lang w:val="en-GB"/>
        </w:rPr>
        <w:t>he</w:t>
      </w:r>
      <w:r w:rsidRPr="00330447">
        <w:rPr>
          <w:lang w:val="en-GB"/>
        </w:rPr>
        <w:t xml:space="preserve"> </w:t>
      </w:r>
      <w:r w:rsidR="004A2789" w:rsidRPr="00473037">
        <w:rPr>
          <w:lang w:val="en-GB"/>
        </w:rPr>
        <w:t>went</w:t>
      </w:r>
      <w:r w:rsidRPr="00330447">
        <w:rPr>
          <w:lang w:val="en-GB"/>
        </w:rPr>
        <w:t xml:space="preserve"> to</w:t>
      </w:r>
      <w:r w:rsidR="006160CB" w:rsidRPr="00473037">
        <w:rPr>
          <w:lang w:val="en-GB"/>
        </w:rPr>
        <w:t xml:space="preserve"> his native village</w:t>
      </w:r>
      <w:r w:rsidRPr="00330447">
        <w:rPr>
          <w:lang w:val="en-GB"/>
        </w:rPr>
        <w:t xml:space="preserve"> </w:t>
      </w:r>
      <w:r w:rsidR="006160CB" w:rsidRPr="00473037">
        <w:rPr>
          <w:lang w:val="en-GB"/>
        </w:rPr>
        <w:t xml:space="preserve">at the beginning of 2012 to </w:t>
      </w:r>
      <w:r w:rsidRPr="00330447">
        <w:rPr>
          <w:lang w:val="en-GB"/>
        </w:rPr>
        <w:t>borrow money from his aunt</w:t>
      </w:r>
      <w:r w:rsidR="007435F7" w:rsidRPr="00473037">
        <w:rPr>
          <w:lang w:val="en-GB"/>
        </w:rPr>
        <w:t xml:space="preserve"> </w:t>
      </w:r>
      <w:r w:rsidR="004A2789" w:rsidRPr="003E789E">
        <w:rPr>
          <w:lang w:val="en-GB"/>
        </w:rPr>
        <w:t>who was still living</w:t>
      </w:r>
      <w:r w:rsidR="007435F7" w:rsidRPr="00342B0A">
        <w:rPr>
          <w:lang w:val="en-GB"/>
        </w:rPr>
        <w:t xml:space="preserve"> there</w:t>
      </w:r>
      <w:r w:rsidR="00313386" w:rsidRPr="00134CC0">
        <w:rPr>
          <w:lang w:val="en-GB"/>
        </w:rPr>
        <w:t>.</w:t>
      </w:r>
      <w:r w:rsidRPr="00330447">
        <w:rPr>
          <w:lang w:val="en-GB"/>
        </w:rPr>
        <w:t xml:space="preserve"> </w:t>
      </w:r>
      <w:r w:rsidR="00F53F5C" w:rsidRPr="00473037">
        <w:rPr>
          <w:lang w:val="en-GB"/>
        </w:rPr>
        <w:t>O</w:t>
      </w:r>
      <w:r w:rsidR="00F53F5C" w:rsidRPr="00330447">
        <w:rPr>
          <w:lang w:val="en-GB"/>
        </w:rPr>
        <w:t>n 1 February 2012</w:t>
      </w:r>
      <w:r w:rsidR="00F53F5C" w:rsidRPr="00473037">
        <w:rPr>
          <w:lang w:val="en-GB"/>
        </w:rPr>
        <w:t>,</w:t>
      </w:r>
      <w:r w:rsidR="00F53F5C" w:rsidRPr="00330447">
        <w:rPr>
          <w:lang w:val="en-GB"/>
        </w:rPr>
        <w:t xml:space="preserve"> </w:t>
      </w:r>
      <w:r w:rsidR="00F53F5C" w:rsidRPr="00473037">
        <w:rPr>
          <w:lang w:val="en-GB"/>
        </w:rPr>
        <w:t>t</w:t>
      </w:r>
      <w:r w:rsidRPr="00330447">
        <w:rPr>
          <w:lang w:val="en-GB"/>
        </w:rPr>
        <w:t xml:space="preserve">he author left Sri Lanka </w:t>
      </w:r>
      <w:r w:rsidR="000C695D" w:rsidRPr="00473037">
        <w:rPr>
          <w:lang w:val="en-GB"/>
        </w:rPr>
        <w:t xml:space="preserve">via </w:t>
      </w:r>
      <w:r w:rsidR="002B4B7F">
        <w:rPr>
          <w:lang w:val="en-GB"/>
        </w:rPr>
        <w:t>Bandaranaike International Airport</w:t>
      </w:r>
      <w:r w:rsidR="00A52FFA" w:rsidRPr="003E789E">
        <w:rPr>
          <w:lang w:val="en-GB"/>
        </w:rPr>
        <w:t>,</w:t>
      </w:r>
      <w:r w:rsidR="000C695D" w:rsidRPr="00342B0A">
        <w:rPr>
          <w:lang w:val="en-GB"/>
        </w:rPr>
        <w:t xml:space="preserve"> </w:t>
      </w:r>
      <w:r w:rsidRPr="006E1890">
        <w:rPr>
          <w:lang w:val="en-GB"/>
        </w:rPr>
        <w:t xml:space="preserve">with </w:t>
      </w:r>
      <w:r w:rsidR="00F53F5C" w:rsidRPr="00AA72B2">
        <w:rPr>
          <w:lang w:val="en-GB"/>
        </w:rPr>
        <w:t>a passport obta</w:t>
      </w:r>
      <w:r w:rsidR="00F53F5C" w:rsidRPr="003C20E5">
        <w:rPr>
          <w:lang w:val="en-GB"/>
        </w:rPr>
        <w:t xml:space="preserve">ined from an </w:t>
      </w:r>
      <w:r w:rsidRPr="00DB406B">
        <w:rPr>
          <w:lang w:val="en-GB"/>
        </w:rPr>
        <w:t>agent</w:t>
      </w:r>
      <w:r w:rsidR="008C3294" w:rsidRPr="0097141D">
        <w:rPr>
          <w:lang w:val="en-GB"/>
        </w:rPr>
        <w:t xml:space="preserve"> paid by the author</w:t>
      </w:r>
      <w:r w:rsidRPr="00330447">
        <w:rPr>
          <w:lang w:val="en-GB"/>
        </w:rPr>
        <w:t>. The author’s aunt subsequently reported that</w:t>
      </w:r>
      <w:r w:rsidR="002B4B7F">
        <w:rPr>
          <w:lang w:val="en-GB"/>
        </w:rPr>
        <w:t>,</w:t>
      </w:r>
      <w:r w:rsidRPr="00330447">
        <w:rPr>
          <w:lang w:val="en-GB"/>
        </w:rPr>
        <w:t xml:space="preserve"> </w:t>
      </w:r>
      <w:r w:rsidR="0011580E" w:rsidRPr="00473037">
        <w:rPr>
          <w:lang w:val="en-GB"/>
        </w:rPr>
        <w:t xml:space="preserve">following his </w:t>
      </w:r>
      <w:r w:rsidR="000673A3" w:rsidRPr="003E789E">
        <w:rPr>
          <w:lang w:val="en-GB"/>
        </w:rPr>
        <w:t xml:space="preserve">last </w:t>
      </w:r>
      <w:r w:rsidR="0011580E" w:rsidRPr="00342B0A">
        <w:rPr>
          <w:lang w:val="en-GB"/>
        </w:rPr>
        <w:t>visit</w:t>
      </w:r>
      <w:r w:rsidR="000673A3" w:rsidRPr="00134CC0">
        <w:rPr>
          <w:lang w:val="en-GB"/>
        </w:rPr>
        <w:t xml:space="preserve"> in 2012</w:t>
      </w:r>
      <w:r w:rsidR="0011580E" w:rsidRPr="00134CC0">
        <w:rPr>
          <w:lang w:val="en-GB"/>
        </w:rPr>
        <w:t xml:space="preserve">, </w:t>
      </w:r>
      <w:r w:rsidR="0011580E" w:rsidRPr="00330447">
        <w:rPr>
          <w:lang w:val="en-GB"/>
        </w:rPr>
        <w:t>two persons came</w:t>
      </w:r>
      <w:r w:rsidR="0011580E" w:rsidRPr="00473037">
        <w:rPr>
          <w:lang w:val="en-GB"/>
        </w:rPr>
        <w:t xml:space="preserve"> to </w:t>
      </w:r>
      <w:r w:rsidR="000673A3" w:rsidRPr="003E789E">
        <w:rPr>
          <w:lang w:val="en-GB"/>
        </w:rPr>
        <w:t>look</w:t>
      </w:r>
      <w:r w:rsidR="0011580E" w:rsidRPr="00342B0A">
        <w:rPr>
          <w:lang w:val="en-GB"/>
        </w:rPr>
        <w:t xml:space="preserve"> for</w:t>
      </w:r>
      <w:r w:rsidRPr="00330447">
        <w:rPr>
          <w:lang w:val="en-GB"/>
        </w:rPr>
        <w:t xml:space="preserve"> </w:t>
      </w:r>
      <w:r w:rsidR="00F53F5C" w:rsidRPr="00473037">
        <w:rPr>
          <w:lang w:val="en-GB"/>
        </w:rPr>
        <w:t>him</w:t>
      </w:r>
      <w:r w:rsidR="00313386" w:rsidRPr="003E789E">
        <w:rPr>
          <w:lang w:val="en-GB"/>
        </w:rPr>
        <w:t>.</w:t>
      </w:r>
      <w:r w:rsidR="000673A3" w:rsidRPr="00473037">
        <w:rPr>
          <w:rStyle w:val="FootnoteReference"/>
          <w:lang w:val="en-GB"/>
        </w:rPr>
        <w:footnoteReference w:id="4"/>
      </w:r>
    </w:p>
    <w:p w:rsidR="00232334" w:rsidRPr="00473037" w:rsidRDefault="00232334" w:rsidP="00232334">
      <w:pPr>
        <w:pStyle w:val="SingleTxtG"/>
        <w:rPr>
          <w:lang w:val="en-GB"/>
        </w:rPr>
      </w:pPr>
      <w:r w:rsidRPr="00330447">
        <w:rPr>
          <w:lang w:val="en-GB"/>
        </w:rPr>
        <w:t>2.4</w:t>
      </w:r>
      <w:r w:rsidRPr="00330447">
        <w:rPr>
          <w:lang w:val="en-GB"/>
        </w:rPr>
        <w:tab/>
        <w:t>The author arrived in Denmark on 30 May 2012</w:t>
      </w:r>
      <w:r w:rsidR="00313386" w:rsidRPr="00473037">
        <w:rPr>
          <w:lang w:val="en-GB"/>
        </w:rPr>
        <w:t>.</w:t>
      </w:r>
      <w:r w:rsidR="00F53F5C" w:rsidRPr="00330447">
        <w:rPr>
          <w:rStyle w:val="FootnoteReference"/>
          <w:lang w:val="en-GB"/>
        </w:rPr>
        <w:footnoteReference w:id="5"/>
      </w:r>
      <w:r w:rsidRPr="00330447">
        <w:rPr>
          <w:lang w:val="en-GB"/>
        </w:rPr>
        <w:t xml:space="preserve"> He was interviewed by the police on 8 June</w:t>
      </w:r>
      <w:r w:rsidR="00BA5934" w:rsidRPr="00473037">
        <w:rPr>
          <w:lang w:val="en-GB"/>
        </w:rPr>
        <w:t xml:space="preserve"> 2012 and applied for asylum on 11 June 2012</w:t>
      </w:r>
      <w:r w:rsidR="00313386" w:rsidRPr="003E789E">
        <w:rPr>
          <w:lang w:val="en-GB"/>
        </w:rPr>
        <w:t>.</w:t>
      </w:r>
      <w:r w:rsidR="00F53F5C" w:rsidRPr="00473037">
        <w:rPr>
          <w:rStyle w:val="FootnoteReference"/>
          <w:lang w:val="en-GB"/>
        </w:rPr>
        <w:footnoteReference w:id="6"/>
      </w:r>
      <w:r w:rsidRPr="00330447">
        <w:rPr>
          <w:lang w:val="en-GB"/>
        </w:rPr>
        <w:t xml:space="preserve"> The author was interviewed by the Danish Immigration </w:t>
      </w:r>
      <w:r w:rsidRPr="00473037">
        <w:rPr>
          <w:lang w:val="en-GB"/>
        </w:rPr>
        <w:t>S</w:t>
      </w:r>
      <w:r w:rsidRPr="00330447">
        <w:rPr>
          <w:lang w:val="en-GB"/>
        </w:rPr>
        <w:t>ervice on 16 November 2012. On 18 December 2012, the author’s asylum request was rejected. On 13 May 2013, the Refugee Appeals Board rejected his appeal</w:t>
      </w:r>
      <w:r w:rsidR="005E021C" w:rsidRPr="00473037">
        <w:rPr>
          <w:lang w:val="en-GB"/>
        </w:rPr>
        <w:t xml:space="preserve"> and confirmed the decision of the Danish Immigration Service not to grant him asylum</w:t>
      </w:r>
      <w:r w:rsidRPr="00330447">
        <w:rPr>
          <w:lang w:val="en-GB"/>
        </w:rPr>
        <w:t>.</w:t>
      </w:r>
      <w:r w:rsidR="005E021C" w:rsidRPr="00473037">
        <w:rPr>
          <w:lang w:val="en-GB"/>
        </w:rPr>
        <w:t xml:space="preserve"> On 10 June 2012, the Ministry of </w:t>
      </w:r>
      <w:r w:rsidR="00A52FFA" w:rsidRPr="003E789E">
        <w:rPr>
          <w:lang w:val="en-GB"/>
        </w:rPr>
        <w:t>J</w:t>
      </w:r>
      <w:r w:rsidR="005E021C" w:rsidRPr="00342B0A">
        <w:rPr>
          <w:lang w:val="en-GB"/>
        </w:rPr>
        <w:t>ustice refused to grant him a residence permit on humanitarian grounds.</w:t>
      </w:r>
      <w:r w:rsidRPr="00330447">
        <w:rPr>
          <w:lang w:val="en-GB"/>
        </w:rPr>
        <w:t xml:space="preserve"> </w:t>
      </w:r>
    </w:p>
    <w:p w:rsidR="003134AC" w:rsidRPr="00342B0A" w:rsidRDefault="007B3302" w:rsidP="007B3302">
      <w:pPr>
        <w:pStyle w:val="H23G"/>
      </w:pPr>
      <w:r w:rsidRPr="003E789E">
        <w:lastRenderedPageBreak/>
        <w:tab/>
      </w:r>
      <w:r w:rsidRPr="003E789E">
        <w:tab/>
      </w:r>
      <w:r w:rsidR="003134AC" w:rsidRPr="00342B0A">
        <w:t>The complaint</w:t>
      </w:r>
    </w:p>
    <w:p w:rsidR="00232334" w:rsidRPr="00330447" w:rsidRDefault="00E17C73" w:rsidP="0097141D">
      <w:pPr>
        <w:pStyle w:val="SingleTxtG"/>
        <w:rPr>
          <w:lang w:val="en-GB"/>
        </w:rPr>
      </w:pPr>
      <w:r w:rsidRPr="00330447">
        <w:rPr>
          <w:lang w:val="en-GB"/>
        </w:rPr>
        <w:t>3</w:t>
      </w:r>
      <w:r w:rsidR="005C176E" w:rsidRPr="00330447">
        <w:rPr>
          <w:lang w:val="en-GB"/>
        </w:rPr>
        <w:t>.</w:t>
      </w:r>
      <w:r w:rsidR="007F098E" w:rsidRPr="00473037">
        <w:rPr>
          <w:lang w:val="en-GB"/>
        </w:rPr>
        <w:t>1</w:t>
      </w:r>
      <w:r w:rsidRPr="00330447">
        <w:rPr>
          <w:lang w:val="en-GB"/>
        </w:rPr>
        <w:tab/>
      </w:r>
      <w:r w:rsidR="00232334" w:rsidRPr="00330447">
        <w:rPr>
          <w:lang w:val="en-GB"/>
        </w:rPr>
        <w:t>The author alleges that</w:t>
      </w:r>
      <w:r w:rsidR="00D95A58">
        <w:rPr>
          <w:lang w:val="en-GB"/>
        </w:rPr>
        <w:t>,</w:t>
      </w:r>
      <w:r w:rsidR="00232334" w:rsidRPr="00330447">
        <w:rPr>
          <w:lang w:val="en-GB"/>
        </w:rPr>
        <w:t xml:space="preserve"> by deporting him to Sri Lanka, Denmark would violate his rights under </w:t>
      </w:r>
      <w:r w:rsidR="00502CC1" w:rsidRPr="00330447">
        <w:rPr>
          <w:lang w:val="en-GB"/>
        </w:rPr>
        <w:t>article </w:t>
      </w:r>
      <w:r w:rsidR="00232334" w:rsidRPr="00330447">
        <w:rPr>
          <w:lang w:val="en-GB"/>
        </w:rPr>
        <w:t xml:space="preserve">7 </w:t>
      </w:r>
      <w:r w:rsidR="005C11C1" w:rsidRPr="00330447">
        <w:rPr>
          <w:lang w:val="en-GB"/>
        </w:rPr>
        <w:t>of the Covenant</w:t>
      </w:r>
      <w:r w:rsidR="00313386" w:rsidRPr="00473037">
        <w:rPr>
          <w:lang w:val="en-GB"/>
        </w:rPr>
        <w:t>.</w:t>
      </w:r>
      <w:r w:rsidR="00232334" w:rsidRPr="00330447">
        <w:rPr>
          <w:lang w:val="en-GB"/>
        </w:rPr>
        <w:t xml:space="preserve"> </w:t>
      </w:r>
      <w:r w:rsidR="00CB6E28" w:rsidRPr="00473037">
        <w:rPr>
          <w:lang w:val="en-GB"/>
        </w:rPr>
        <w:t xml:space="preserve">He claims that he fears </w:t>
      </w:r>
      <w:r w:rsidR="003A1A3C">
        <w:rPr>
          <w:lang w:val="en-GB"/>
        </w:rPr>
        <w:t>he will</w:t>
      </w:r>
      <w:r w:rsidR="003A1A3C" w:rsidRPr="00473037">
        <w:rPr>
          <w:lang w:val="en-GB"/>
        </w:rPr>
        <w:t xml:space="preserve"> </w:t>
      </w:r>
      <w:r w:rsidR="00CB6E28" w:rsidRPr="00473037">
        <w:rPr>
          <w:lang w:val="en-GB"/>
        </w:rPr>
        <w:t xml:space="preserve">be killed by </w:t>
      </w:r>
      <w:r w:rsidR="00871750" w:rsidRPr="003E789E">
        <w:rPr>
          <w:lang w:val="en-GB"/>
        </w:rPr>
        <w:t>EPDP</w:t>
      </w:r>
      <w:r w:rsidR="00D95A58">
        <w:rPr>
          <w:lang w:val="en-GB"/>
        </w:rPr>
        <w:t>,</w:t>
      </w:r>
      <w:r w:rsidR="00CB6E28" w:rsidRPr="00342B0A">
        <w:rPr>
          <w:lang w:val="en-GB"/>
        </w:rPr>
        <w:t xml:space="preserve"> as his two brothers and his cousin</w:t>
      </w:r>
      <w:r w:rsidR="00D95A58">
        <w:rPr>
          <w:lang w:val="en-GB"/>
        </w:rPr>
        <w:t xml:space="preserve"> were</w:t>
      </w:r>
      <w:r w:rsidR="00CB6E28" w:rsidRPr="00342B0A">
        <w:rPr>
          <w:lang w:val="en-GB"/>
        </w:rPr>
        <w:t>. He also fears that</w:t>
      </w:r>
      <w:r w:rsidR="000673A3" w:rsidRPr="00134CC0">
        <w:rPr>
          <w:lang w:val="en-GB"/>
        </w:rPr>
        <w:t>,</w:t>
      </w:r>
      <w:r w:rsidR="00CB6E28" w:rsidRPr="00134CC0">
        <w:rPr>
          <w:lang w:val="en-GB"/>
        </w:rPr>
        <w:t xml:space="preserve"> as he witnesse</w:t>
      </w:r>
      <w:r w:rsidR="00CB6E28" w:rsidRPr="00330447">
        <w:rPr>
          <w:lang w:val="en-GB"/>
        </w:rPr>
        <w:t xml:space="preserve">d the murder of his cousin by </w:t>
      </w:r>
      <w:r w:rsidR="000673A3" w:rsidRPr="00330447">
        <w:rPr>
          <w:lang w:val="en-GB"/>
        </w:rPr>
        <w:t xml:space="preserve">two </w:t>
      </w:r>
      <w:r w:rsidR="00CB6E28" w:rsidRPr="00330447">
        <w:rPr>
          <w:lang w:val="en-GB"/>
        </w:rPr>
        <w:t xml:space="preserve">EPDP paramilitaries, </w:t>
      </w:r>
      <w:r w:rsidR="000673A3" w:rsidRPr="00330447">
        <w:rPr>
          <w:lang w:val="en-GB"/>
        </w:rPr>
        <w:t xml:space="preserve">EPDP </w:t>
      </w:r>
      <w:r w:rsidR="007435F7" w:rsidRPr="00330447">
        <w:rPr>
          <w:lang w:val="en-GB"/>
        </w:rPr>
        <w:t>ha</w:t>
      </w:r>
      <w:r w:rsidR="00D95A58">
        <w:rPr>
          <w:lang w:val="en-GB"/>
        </w:rPr>
        <w:t>s</w:t>
      </w:r>
      <w:r w:rsidR="007435F7" w:rsidRPr="00330447">
        <w:rPr>
          <w:lang w:val="en-GB"/>
        </w:rPr>
        <w:t xml:space="preserve"> an interest </w:t>
      </w:r>
      <w:r w:rsidR="00D95A58">
        <w:rPr>
          <w:lang w:val="en-GB"/>
        </w:rPr>
        <w:t>in</w:t>
      </w:r>
      <w:r w:rsidR="00D95A58" w:rsidRPr="00330447">
        <w:rPr>
          <w:lang w:val="en-GB"/>
        </w:rPr>
        <w:t xml:space="preserve"> </w:t>
      </w:r>
      <w:r w:rsidR="007435F7" w:rsidRPr="00330447">
        <w:rPr>
          <w:lang w:val="en-GB"/>
        </w:rPr>
        <w:t>prevent</w:t>
      </w:r>
      <w:r w:rsidR="00D95A58">
        <w:rPr>
          <w:lang w:val="en-GB"/>
        </w:rPr>
        <w:t>ing</w:t>
      </w:r>
      <w:r w:rsidR="007435F7" w:rsidRPr="00330447">
        <w:rPr>
          <w:lang w:val="en-GB"/>
        </w:rPr>
        <w:t xml:space="preserve"> him from identifying the perpetrators, and </w:t>
      </w:r>
      <w:r w:rsidR="00CB6E28" w:rsidRPr="00330447">
        <w:rPr>
          <w:lang w:val="en-GB"/>
        </w:rPr>
        <w:t>will</w:t>
      </w:r>
      <w:r w:rsidR="007435F7" w:rsidRPr="00330447">
        <w:rPr>
          <w:lang w:val="en-GB"/>
        </w:rPr>
        <w:t xml:space="preserve"> therefore</w:t>
      </w:r>
      <w:r w:rsidR="00CB6E28" w:rsidRPr="00330447">
        <w:rPr>
          <w:lang w:val="en-GB"/>
        </w:rPr>
        <w:t xml:space="preserve"> look for h</w:t>
      </w:r>
      <w:r w:rsidR="00871750" w:rsidRPr="00330447">
        <w:rPr>
          <w:lang w:val="en-GB"/>
        </w:rPr>
        <w:t>i</w:t>
      </w:r>
      <w:r w:rsidR="00CB6E28" w:rsidRPr="00330447">
        <w:rPr>
          <w:lang w:val="en-GB"/>
        </w:rPr>
        <w:t>m</w:t>
      </w:r>
      <w:r w:rsidR="007435F7" w:rsidRPr="00330447">
        <w:rPr>
          <w:lang w:val="en-GB"/>
        </w:rPr>
        <w:t xml:space="preserve"> if he </w:t>
      </w:r>
      <w:r w:rsidR="00D95A58">
        <w:rPr>
          <w:lang w:val="en-GB"/>
        </w:rPr>
        <w:t>returns</w:t>
      </w:r>
      <w:r w:rsidR="007435F7" w:rsidRPr="00330447">
        <w:rPr>
          <w:lang w:val="en-GB"/>
        </w:rPr>
        <w:t xml:space="preserve"> to Sri Lanka</w:t>
      </w:r>
      <w:r w:rsidR="00CB6E28" w:rsidRPr="00330447">
        <w:rPr>
          <w:lang w:val="en-GB"/>
        </w:rPr>
        <w:t>.</w:t>
      </w:r>
      <w:r w:rsidR="00871750" w:rsidRPr="00330447">
        <w:rPr>
          <w:lang w:val="en-GB"/>
        </w:rPr>
        <w:t xml:space="preserve"> He also alleges that</w:t>
      </w:r>
      <w:r w:rsidR="00D95A58">
        <w:rPr>
          <w:lang w:val="en-GB"/>
        </w:rPr>
        <w:t>,</w:t>
      </w:r>
      <w:r w:rsidR="00871750" w:rsidRPr="00330447">
        <w:rPr>
          <w:lang w:val="en-GB"/>
        </w:rPr>
        <w:t xml:space="preserve"> in the light of the </w:t>
      </w:r>
      <w:r w:rsidR="00F53F5C" w:rsidRPr="00330447">
        <w:rPr>
          <w:lang w:val="en-GB"/>
        </w:rPr>
        <w:t>human rights situation</w:t>
      </w:r>
      <w:r w:rsidR="00871750" w:rsidRPr="00330447">
        <w:rPr>
          <w:lang w:val="en-GB"/>
        </w:rPr>
        <w:t xml:space="preserve"> in Sri Lanka and</w:t>
      </w:r>
      <w:r w:rsidR="00067CCE" w:rsidRPr="00330447">
        <w:rPr>
          <w:lang w:val="en-GB"/>
        </w:rPr>
        <w:t xml:space="preserve"> of</w:t>
      </w:r>
      <w:r w:rsidR="00871750" w:rsidRPr="00330447">
        <w:rPr>
          <w:lang w:val="en-GB"/>
        </w:rPr>
        <w:t xml:space="preserve"> his </w:t>
      </w:r>
      <w:r w:rsidR="00F53F5C" w:rsidRPr="00330447">
        <w:rPr>
          <w:lang w:val="en-GB"/>
        </w:rPr>
        <w:t xml:space="preserve">Tamil </w:t>
      </w:r>
      <w:r w:rsidR="00871750" w:rsidRPr="00330447">
        <w:rPr>
          <w:lang w:val="en-GB"/>
        </w:rPr>
        <w:t>origins, he cannot seek protection from the State party authorities against EPDP.</w:t>
      </w:r>
    </w:p>
    <w:p w:rsidR="00C73736" w:rsidRPr="00330447" w:rsidRDefault="00CB6E28" w:rsidP="00C73736">
      <w:pPr>
        <w:pStyle w:val="SingleTxtG"/>
        <w:rPr>
          <w:lang w:val="en-GB"/>
        </w:rPr>
      </w:pPr>
      <w:r w:rsidRPr="00330447">
        <w:rPr>
          <w:lang w:val="en-GB"/>
        </w:rPr>
        <w:t>3.2</w:t>
      </w:r>
      <w:r w:rsidRPr="00330447">
        <w:rPr>
          <w:lang w:val="en-GB"/>
        </w:rPr>
        <w:tab/>
      </w:r>
      <w:r w:rsidR="00871750" w:rsidRPr="00473037">
        <w:rPr>
          <w:lang w:val="en-GB"/>
        </w:rPr>
        <w:t xml:space="preserve">The author also alleges that </w:t>
      </w:r>
      <w:r w:rsidR="00871750" w:rsidRPr="00330447">
        <w:rPr>
          <w:lang w:val="en-GB"/>
        </w:rPr>
        <w:t xml:space="preserve">any Tamil </w:t>
      </w:r>
      <w:r w:rsidR="00871750" w:rsidRPr="00473037">
        <w:rPr>
          <w:lang w:val="en-GB"/>
        </w:rPr>
        <w:t xml:space="preserve">perceived to have been </w:t>
      </w:r>
      <w:r w:rsidR="00871750" w:rsidRPr="00330447">
        <w:rPr>
          <w:lang w:val="en-GB"/>
        </w:rPr>
        <w:t>linked to LTTE</w:t>
      </w:r>
      <w:r w:rsidR="004A2789" w:rsidRPr="00473037">
        <w:rPr>
          <w:lang w:val="en-GB"/>
        </w:rPr>
        <w:t>,</w:t>
      </w:r>
      <w:r w:rsidR="00C73736" w:rsidRPr="003E789E">
        <w:rPr>
          <w:lang w:val="en-GB"/>
        </w:rPr>
        <w:t xml:space="preserve"> even in </w:t>
      </w:r>
      <w:r w:rsidR="004A2789" w:rsidRPr="00342B0A">
        <w:rPr>
          <w:lang w:val="en-GB"/>
        </w:rPr>
        <w:t xml:space="preserve">a </w:t>
      </w:r>
      <w:r w:rsidR="00C73736" w:rsidRPr="00134CC0">
        <w:rPr>
          <w:lang w:val="en-GB"/>
        </w:rPr>
        <w:t xml:space="preserve">very tenuous </w:t>
      </w:r>
      <w:r w:rsidR="004A2789" w:rsidRPr="00134CC0">
        <w:rPr>
          <w:lang w:val="en-GB"/>
        </w:rPr>
        <w:t>manner</w:t>
      </w:r>
      <w:r w:rsidR="00871750" w:rsidRPr="00330447">
        <w:rPr>
          <w:lang w:val="en-GB"/>
        </w:rPr>
        <w:t xml:space="preserve">, </w:t>
      </w:r>
      <w:r w:rsidR="00F53F5C" w:rsidRPr="00473037">
        <w:rPr>
          <w:lang w:val="en-GB"/>
        </w:rPr>
        <w:t>is</w:t>
      </w:r>
      <w:r w:rsidR="00871750" w:rsidRPr="00330447">
        <w:rPr>
          <w:lang w:val="en-GB"/>
        </w:rPr>
        <w:t xml:space="preserve"> at risk</w:t>
      </w:r>
      <w:r w:rsidR="000673A3" w:rsidRPr="00473037">
        <w:rPr>
          <w:lang w:val="en-GB"/>
        </w:rPr>
        <w:t>,</w:t>
      </w:r>
      <w:r w:rsidR="00871750" w:rsidRPr="00330447">
        <w:rPr>
          <w:lang w:val="en-GB"/>
        </w:rPr>
        <w:t xml:space="preserve"> upon return</w:t>
      </w:r>
      <w:r w:rsidR="00871750" w:rsidRPr="00473037">
        <w:rPr>
          <w:lang w:val="en-GB"/>
        </w:rPr>
        <w:t xml:space="preserve"> to Sri Lanka,</w:t>
      </w:r>
      <w:r w:rsidR="00871750" w:rsidRPr="00330447">
        <w:rPr>
          <w:lang w:val="en-GB"/>
        </w:rPr>
        <w:t xml:space="preserve"> of being subjected to torture or ill-treatment</w:t>
      </w:r>
      <w:r w:rsidR="00871750" w:rsidRPr="00473037">
        <w:rPr>
          <w:lang w:val="en-GB"/>
        </w:rPr>
        <w:t xml:space="preserve"> by the State party</w:t>
      </w:r>
      <w:r w:rsidR="00776AD6">
        <w:rPr>
          <w:lang w:val="en-US"/>
        </w:rPr>
        <w:t>’s</w:t>
      </w:r>
      <w:r w:rsidR="00F53F5C" w:rsidRPr="003E789E">
        <w:rPr>
          <w:lang w:val="en-GB"/>
        </w:rPr>
        <w:t xml:space="preserve"> security forces</w:t>
      </w:r>
      <w:r w:rsidR="00871750" w:rsidRPr="00342B0A">
        <w:rPr>
          <w:lang w:val="en-GB"/>
        </w:rPr>
        <w:t>.</w:t>
      </w:r>
      <w:r w:rsidR="00C73736" w:rsidRPr="00134CC0">
        <w:rPr>
          <w:lang w:val="en-GB"/>
        </w:rPr>
        <w:t xml:space="preserve"> He recalls that he had provided food and clothes </w:t>
      </w:r>
      <w:r w:rsidR="007C55BE" w:rsidRPr="00330447">
        <w:rPr>
          <w:lang w:val="en-GB"/>
        </w:rPr>
        <w:t xml:space="preserve">free of charge </w:t>
      </w:r>
      <w:r w:rsidR="00C73736" w:rsidRPr="00330447">
        <w:rPr>
          <w:lang w:val="en-GB"/>
        </w:rPr>
        <w:t>to</w:t>
      </w:r>
      <w:r w:rsidR="000673A3" w:rsidRPr="00330447">
        <w:rPr>
          <w:lang w:val="en-GB"/>
        </w:rPr>
        <w:t xml:space="preserve"> some</w:t>
      </w:r>
      <w:r w:rsidR="00C73736" w:rsidRPr="00330447">
        <w:rPr>
          <w:lang w:val="en-GB"/>
        </w:rPr>
        <w:t xml:space="preserve"> LTTE </w:t>
      </w:r>
      <w:r w:rsidR="007C55BE" w:rsidRPr="00330447">
        <w:rPr>
          <w:lang w:val="en-GB"/>
        </w:rPr>
        <w:t xml:space="preserve">members </w:t>
      </w:r>
      <w:r w:rsidR="00C73736" w:rsidRPr="00330447">
        <w:rPr>
          <w:lang w:val="en-GB"/>
        </w:rPr>
        <w:t>while assisting his cousin in his shop</w:t>
      </w:r>
      <w:r w:rsidR="00690DCB" w:rsidRPr="00330447">
        <w:rPr>
          <w:lang w:val="en-GB"/>
        </w:rPr>
        <w:t>, and that his brothers and cousin were killed</w:t>
      </w:r>
      <w:r w:rsidR="002E316E" w:rsidRPr="00330447">
        <w:rPr>
          <w:lang w:val="en-GB"/>
        </w:rPr>
        <w:t xml:space="preserve"> by EPDP</w:t>
      </w:r>
      <w:r w:rsidR="00C73736" w:rsidRPr="00330447">
        <w:rPr>
          <w:lang w:val="en-GB"/>
        </w:rPr>
        <w:t>.</w:t>
      </w:r>
    </w:p>
    <w:p w:rsidR="00232334" w:rsidRPr="00330447" w:rsidRDefault="00C73736" w:rsidP="0097141D">
      <w:pPr>
        <w:pStyle w:val="SingleTxtG"/>
        <w:rPr>
          <w:lang w:val="en-GB"/>
        </w:rPr>
      </w:pPr>
      <w:r w:rsidRPr="00330447">
        <w:rPr>
          <w:lang w:val="en-GB"/>
        </w:rPr>
        <w:t>3.3</w:t>
      </w:r>
      <w:r w:rsidRPr="00330447">
        <w:rPr>
          <w:lang w:val="en-GB"/>
        </w:rPr>
        <w:tab/>
        <w:t>T</w:t>
      </w:r>
      <w:r w:rsidR="00F53F5C" w:rsidRPr="00330447">
        <w:rPr>
          <w:lang w:val="en-GB"/>
        </w:rPr>
        <w:t>he</w:t>
      </w:r>
      <w:r w:rsidR="00232334" w:rsidRPr="00330447">
        <w:rPr>
          <w:lang w:val="en-GB"/>
        </w:rPr>
        <w:t xml:space="preserve"> </w:t>
      </w:r>
      <w:r w:rsidRPr="00473037">
        <w:rPr>
          <w:lang w:val="en-GB"/>
        </w:rPr>
        <w:t xml:space="preserve">author also </w:t>
      </w:r>
      <w:r w:rsidR="00871750" w:rsidRPr="003E789E">
        <w:rPr>
          <w:lang w:val="en-GB"/>
        </w:rPr>
        <w:t>stresses that</w:t>
      </w:r>
      <w:r w:rsidR="00232334" w:rsidRPr="00330447">
        <w:rPr>
          <w:lang w:val="en-GB"/>
        </w:rPr>
        <w:t xml:space="preserve"> </w:t>
      </w:r>
      <w:r w:rsidR="008C3294" w:rsidRPr="00473037">
        <w:rPr>
          <w:lang w:val="en-GB"/>
        </w:rPr>
        <w:t>recent</w:t>
      </w:r>
      <w:r w:rsidR="00067CCE" w:rsidRPr="003E789E">
        <w:rPr>
          <w:lang w:val="en-GB"/>
        </w:rPr>
        <w:t xml:space="preserve"> reports refer to</w:t>
      </w:r>
      <w:r w:rsidR="008C3294" w:rsidRPr="00342B0A">
        <w:rPr>
          <w:lang w:val="en-GB"/>
        </w:rPr>
        <w:t xml:space="preserve"> cases of former Sri Lankan (in particular Tamil) asylum</w:t>
      </w:r>
      <w:r w:rsidR="00164781">
        <w:rPr>
          <w:lang w:val="en-GB"/>
        </w:rPr>
        <w:t xml:space="preserve"> </w:t>
      </w:r>
      <w:r w:rsidR="008C3294" w:rsidRPr="00342B0A">
        <w:rPr>
          <w:lang w:val="en-GB"/>
        </w:rPr>
        <w:t>seekers who were detained and ill-treated or tortured after having been forcibly returned to Sri Lanka u</w:t>
      </w:r>
      <w:r w:rsidR="008C3294" w:rsidRPr="00134CC0">
        <w:rPr>
          <w:lang w:val="en-GB"/>
        </w:rPr>
        <w:t>pon rejection of their asylum claims</w:t>
      </w:r>
      <w:r w:rsidR="00067CCE" w:rsidRPr="00134CC0">
        <w:rPr>
          <w:lang w:val="en-GB"/>
        </w:rPr>
        <w:t>,</w:t>
      </w:r>
      <w:r w:rsidR="008C3294" w:rsidRPr="00330447">
        <w:rPr>
          <w:lang w:val="en-GB"/>
        </w:rPr>
        <w:t xml:space="preserve"> or </w:t>
      </w:r>
      <w:r w:rsidR="007C55BE" w:rsidRPr="00330447">
        <w:rPr>
          <w:lang w:val="en-GB"/>
        </w:rPr>
        <w:t>after</w:t>
      </w:r>
      <w:r w:rsidR="008C3294" w:rsidRPr="00330447">
        <w:rPr>
          <w:lang w:val="en-GB"/>
        </w:rPr>
        <w:t xml:space="preserve"> </w:t>
      </w:r>
      <w:r w:rsidR="00351398" w:rsidRPr="00330447">
        <w:rPr>
          <w:lang w:val="en-GB"/>
        </w:rPr>
        <w:t xml:space="preserve">their </w:t>
      </w:r>
      <w:r w:rsidR="008C3294" w:rsidRPr="00330447">
        <w:rPr>
          <w:lang w:val="en-GB"/>
        </w:rPr>
        <w:t>voluntary return to Sri Lanka</w:t>
      </w:r>
      <w:r w:rsidR="00313386" w:rsidRPr="00330447">
        <w:rPr>
          <w:lang w:val="en-GB"/>
        </w:rPr>
        <w:t>.</w:t>
      </w:r>
      <w:r w:rsidR="008C3294" w:rsidRPr="00473037">
        <w:rPr>
          <w:rStyle w:val="FootnoteReference"/>
          <w:lang w:val="en-GB"/>
        </w:rPr>
        <w:footnoteReference w:id="7"/>
      </w:r>
      <w:r w:rsidR="008C3294" w:rsidRPr="00473037">
        <w:rPr>
          <w:lang w:val="en-GB"/>
        </w:rPr>
        <w:t xml:space="preserve"> </w:t>
      </w:r>
      <w:r w:rsidR="00F53F5C" w:rsidRPr="003E789E">
        <w:rPr>
          <w:lang w:val="en-GB"/>
        </w:rPr>
        <w:t>T</w:t>
      </w:r>
      <w:r w:rsidR="00232334" w:rsidRPr="00330447">
        <w:rPr>
          <w:lang w:val="en-GB"/>
        </w:rPr>
        <w:t xml:space="preserve">hese </w:t>
      </w:r>
      <w:r w:rsidR="009F03D3" w:rsidRPr="00473037">
        <w:rPr>
          <w:lang w:val="en-GB"/>
        </w:rPr>
        <w:t xml:space="preserve">persons </w:t>
      </w:r>
      <w:r w:rsidR="00232334" w:rsidRPr="00330447">
        <w:rPr>
          <w:lang w:val="en-GB"/>
        </w:rPr>
        <w:t xml:space="preserve">were questioned </w:t>
      </w:r>
      <w:r w:rsidR="009F03D3" w:rsidRPr="00473037">
        <w:rPr>
          <w:lang w:val="en-GB"/>
        </w:rPr>
        <w:t xml:space="preserve">by the Sri Lankan authorities </w:t>
      </w:r>
      <w:r w:rsidR="00232334" w:rsidRPr="00330447">
        <w:rPr>
          <w:lang w:val="en-GB"/>
        </w:rPr>
        <w:t xml:space="preserve">about </w:t>
      </w:r>
      <w:r w:rsidR="009F03D3" w:rsidRPr="00473037">
        <w:rPr>
          <w:lang w:val="en-GB"/>
        </w:rPr>
        <w:t xml:space="preserve">their </w:t>
      </w:r>
      <w:r w:rsidR="00232334" w:rsidRPr="00330447">
        <w:rPr>
          <w:lang w:val="en-GB"/>
        </w:rPr>
        <w:t xml:space="preserve">activities abroad, including </w:t>
      </w:r>
      <w:r w:rsidR="00690DCB" w:rsidRPr="00330447">
        <w:rPr>
          <w:lang w:val="en-GB"/>
        </w:rPr>
        <w:t xml:space="preserve">alleged </w:t>
      </w:r>
      <w:r w:rsidR="00232334" w:rsidRPr="00330447">
        <w:rPr>
          <w:lang w:val="en-GB"/>
        </w:rPr>
        <w:t xml:space="preserve">peaceful criticism of the </w:t>
      </w:r>
      <w:r w:rsidR="002F185B">
        <w:rPr>
          <w:lang w:val="en-GB"/>
        </w:rPr>
        <w:t>G</w:t>
      </w:r>
      <w:r w:rsidR="00232334" w:rsidRPr="00330447">
        <w:rPr>
          <w:lang w:val="en-GB"/>
        </w:rPr>
        <w:t>overnment</w:t>
      </w:r>
      <w:r w:rsidR="003A1A3C">
        <w:rPr>
          <w:lang w:val="en-GB"/>
        </w:rPr>
        <w:t xml:space="preserve"> of Sri Lanka</w:t>
      </w:r>
      <w:r w:rsidR="00232334" w:rsidRPr="00330447">
        <w:rPr>
          <w:lang w:val="en-GB"/>
        </w:rPr>
        <w:t>.</w:t>
      </w:r>
      <w:r w:rsidR="00F53F5C" w:rsidRPr="00473037">
        <w:rPr>
          <w:lang w:val="en-GB"/>
        </w:rPr>
        <w:t xml:space="preserve"> </w:t>
      </w:r>
      <w:r w:rsidR="007C55BE" w:rsidRPr="003E789E">
        <w:rPr>
          <w:lang w:val="en-GB"/>
        </w:rPr>
        <w:t xml:space="preserve">He adds that </w:t>
      </w:r>
      <w:r w:rsidR="007C55BE" w:rsidRPr="00330447">
        <w:rPr>
          <w:lang w:val="en-GB"/>
        </w:rPr>
        <w:t>the United Kingdom of Great Britain</w:t>
      </w:r>
      <w:r w:rsidR="002F185B">
        <w:rPr>
          <w:lang w:val="en-GB"/>
        </w:rPr>
        <w:t xml:space="preserve"> and Northern Ireland</w:t>
      </w:r>
      <w:r w:rsidR="007C55BE" w:rsidRPr="00330447">
        <w:rPr>
          <w:lang w:val="en-GB"/>
        </w:rPr>
        <w:t xml:space="preserve"> has suspended the removal of a group of </w:t>
      </w:r>
      <w:r w:rsidR="002F185B" w:rsidRPr="00330447">
        <w:rPr>
          <w:lang w:val="en-GB"/>
        </w:rPr>
        <w:t xml:space="preserve">failed </w:t>
      </w:r>
      <w:r w:rsidR="007C55BE" w:rsidRPr="00330447">
        <w:rPr>
          <w:lang w:val="en-GB"/>
        </w:rPr>
        <w:t xml:space="preserve">Tamil asylum seekers to Sri Lanka as it was concerned </w:t>
      </w:r>
      <w:r w:rsidR="002F185B">
        <w:rPr>
          <w:lang w:val="en-GB"/>
        </w:rPr>
        <w:t>about</w:t>
      </w:r>
      <w:r w:rsidR="002F185B" w:rsidRPr="00330447">
        <w:rPr>
          <w:lang w:val="en-GB"/>
        </w:rPr>
        <w:t xml:space="preserve"> </w:t>
      </w:r>
      <w:r w:rsidR="007C55BE" w:rsidRPr="00330447">
        <w:rPr>
          <w:lang w:val="en-GB"/>
        </w:rPr>
        <w:t>the</w:t>
      </w:r>
      <w:r w:rsidR="00351398" w:rsidRPr="00473037">
        <w:rPr>
          <w:lang w:val="en-GB"/>
        </w:rPr>
        <w:t>ir</w:t>
      </w:r>
      <w:r w:rsidR="007C55BE" w:rsidRPr="00330447">
        <w:rPr>
          <w:lang w:val="en-GB"/>
        </w:rPr>
        <w:t xml:space="preserve"> safety</w:t>
      </w:r>
      <w:r w:rsidR="00313386" w:rsidRPr="00473037">
        <w:rPr>
          <w:lang w:val="en-GB"/>
        </w:rPr>
        <w:t>.</w:t>
      </w:r>
      <w:r w:rsidR="007C55BE" w:rsidRPr="00330447">
        <w:rPr>
          <w:lang w:val="en-GB"/>
        </w:rPr>
        <w:t xml:space="preserve"> </w:t>
      </w:r>
      <w:r w:rsidRPr="00473037">
        <w:rPr>
          <w:lang w:val="en-GB"/>
        </w:rPr>
        <w:t>He claims that</w:t>
      </w:r>
      <w:r w:rsidR="003A1A3C">
        <w:rPr>
          <w:lang w:val="en-GB"/>
        </w:rPr>
        <w:t>,</w:t>
      </w:r>
      <w:r w:rsidRPr="00473037">
        <w:rPr>
          <w:lang w:val="en-GB"/>
        </w:rPr>
        <w:t xml:space="preserve"> </w:t>
      </w:r>
      <w:r w:rsidR="00861599" w:rsidRPr="003E789E">
        <w:rPr>
          <w:lang w:val="en-GB"/>
        </w:rPr>
        <w:t xml:space="preserve">by </w:t>
      </w:r>
      <w:r w:rsidRPr="00342B0A">
        <w:rPr>
          <w:lang w:val="en-GB"/>
        </w:rPr>
        <w:t>forcibly returning him to Sri Lanka</w:t>
      </w:r>
      <w:r w:rsidR="00861599" w:rsidRPr="00134CC0">
        <w:rPr>
          <w:lang w:val="en-GB"/>
        </w:rPr>
        <w:t>, the State party would</w:t>
      </w:r>
      <w:r w:rsidRPr="00134CC0">
        <w:rPr>
          <w:lang w:val="en-GB"/>
        </w:rPr>
        <w:t xml:space="preserve"> put him at risk</w:t>
      </w:r>
      <w:r w:rsidR="00861599" w:rsidRPr="00330447">
        <w:rPr>
          <w:lang w:val="en-GB"/>
        </w:rPr>
        <w:t>, as failed asylum seeker,</w:t>
      </w:r>
      <w:r w:rsidR="007C55BE" w:rsidRPr="00330447">
        <w:rPr>
          <w:lang w:val="en-GB"/>
        </w:rPr>
        <w:t xml:space="preserve"> </w:t>
      </w:r>
      <w:r w:rsidR="002F185B">
        <w:rPr>
          <w:lang w:val="en-GB"/>
        </w:rPr>
        <w:t>of</w:t>
      </w:r>
      <w:r w:rsidR="002F185B" w:rsidRPr="00330447">
        <w:rPr>
          <w:lang w:val="en-GB"/>
        </w:rPr>
        <w:t xml:space="preserve"> </w:t>
      </w:r>
      <w:r w:rsidR="00861599" w:rsidRPr="00330447">
        <w:rPr>
          <w:lang w:val="en-GB"/>
        </w:rPr>
        <w:t>be</w:t>
      </w:r>
      <w:r w:rsidR="002F185B">
        <w:rPr>
          <w:lang w:val="en-GB"/>
        </w:rPr>
        <w:t>ing</w:t>
      </w:r>
      <w:r w:rsidR="007C55BE" w:rsidRPr="00330447">
        <w:rPr>
          <w:lang w:val="en-GB"/>
        </w:rPr>
        <w:t xml:space="preserve"> detained, interrogated and ill-treated or tortured by the Sri Lankan authorities upon his arrival</w:t>
      </w:r>
      <w:r w:rsidRPr="00330447">
        <w:rPr>
          <w:lang w:val="en-GB"/>
        </w:rPr>
        <w:t>.</w:t>
      </w:r>
    </w:p>
    <w:p w:rsidR="003134AC" w:rsidRPr="00330447" w:rsidRDefault="007B3302" w:rsidP="007B3302">
      <w:pPr>
        <w:pStyle w:val="H23G"/>
      </w:pPr>
      <w:r w:rsidRPr="00330447">
        <w:tab/>
      </w:r>
      <w:r w:rsidRPr="00330447">
        <w:tab/>
      </w:r>
      <w:r w:rsidR="003134AC" w:rsidRPr="00330447">
        <w:t>State party</w:t>
      </w:r>
      <w:r w:rsidR="008B4AA3" w:rsidRPr="00330447">
        <w:t>’</w:t>
      </w:r>
      <w:r w:rsidR="003134AC" w:rsidRPr="00330447">
        <w:t>s observations on admissibility</w:t>
      </w:r>
      <w:r w:rsidR="00EF3514" w:rsidRPr="00330447">
        <w:t xml:space="preserve"> and merits</w:t>
      </w:r>
      <w:r w:rsidR="007A212F" w:rsidRPr="00330447">
        <w:t xml:space="preserve"> </w:t>
      </w:r>
    </w:p>
    <w:p w:rsidR="00CB351A" w:rsidRPr="00330447" w:rsidRDefault="00776E5E" w:rsidP="00BA5934">
      <w:pPr>
        <w:pStyle w:val="SingleTxtG"/>
        <w:rPr>
          <w:lang w:val="en-GB"/>
        </w:rPr>
      </w:pPr>
      <w:r w:rsidRPr="00330447">
        <w:rPr>
          <w:lang w:val="en-GB"/>
        </w:rPr>
        <w:t>4.1</w:t>
      </w:r>
      <w:r w:rsidRPr="00330447">
        <w:rPr>
          <w:lang w:val="en-GB"/>
        </w:rPr>
        <w:tab/>
      </w:r>
      <w:r w:rsidR="00DF0799" w:rsidRPr="00473037">
        <w:rPr>
          <w:lang w:val="en-GB"/>
        </w:rPr>
        <w:t xml:space="preserve">On </w:t>
      </w:r>
      <w:r w:rsidR="00F24F92" w:rsidRPr="003E789E">
        <w:rPr>
          <w:lang w:val="en-GB"/>
        </w:rPr>
        <w:t xml:space="preserve">21 January 2014, the State party submitted its observations on </w:t>
      </w:r>
      <w:r w:rsidR="002F185B">
        <w:rPr>
          <w:lang w:val="en-GB"/>
        </w:rPr>
        <w:t xml:space="preserve">the </w:t>
      </w:r>
      <w:r w:rsidR="00F24F92" w:rsidRPr="003E789E">
        <w:rPr>
          <w:lang w:val="en-GB"/>
        </w:rPr>
        <w:t>ad</w:t>
      </w:r>
      <w:r w:rsidR="00F24F92" w:rsidRPr="00342B0A">
        <w:rPr>
          <w:lang w:val="en-GB"/>
        </w:rPr>
        <w:t>missibility and merits of the communication.</w:t>
      </w:r>
      <w:r w:rsidR="00BA5934" w:rsidRPr="00134CC0">
        <w:rPr>
          <w:lang w:val="en-GB"/>
        </w:rPr>
        <w:t xml:space="preserve"> </w:t>
      </w:r>
      <w:r w:rsidR="00CB351A" w:rsidRPr="00134CC0">
        <w:rPr>
          <w:lang w:val="en-GB"/>
        </w:rPr>
        <w:t xml:space="preserve">The State party submits that the author has failed to establish a </w:t>
      </w:r>
      <w:r w:rsidR="00CB351A" w:rsidRPr="00542F54">
        <w:rPr>
          <w:lang w:val="en-GB"/>
        </w:rPr>
        <w:t>prima facie</w:t>
      </w:r>
      <w:r w:rsidR="00CB351A" w:rsidRPr="00330447">
        <w:rPr>
          <w:lang w:val="en-GB"/>
        </w:rPr>
        <w:t xml:space="preserve"> case for the purpose of admissibility of his communication under </w:t>
      </w:r>
      <w:r w:rsidR="00502CC1" w:rsidRPr="00330447">
        <w:rPr>
          <w:lang w:val="en-GB"/>
        </w:rPr>
        <w:t>article </w:t>
      </w:r>
      <w:r w:rsidR="00CB351A" w:rsidRPr="00330447">
        <w:rPr>
          <w:lang w:val="en-GB"/>
        </w:rPr>
        <w:t>7 of the Covenant</w:t>
      </w:r>
      <w:r w:rsidR="0081043C" w:rsidRPr="00330447">
        <w:rPr>
          <w:lang w:val="en-GB"/>
        </w:rPr>
        <w:t>. It considers that</w:t>
      </w:r>
      <w:r w:rsidR="00CB351A" w:rsidRPr="00330447">
        <w:rPr>
          <w:lang w:val="en-GB"/>
        </w:rPr>
        <w:t xml:space="preserve"> </w:t>
      </w:r>
      <w:r w:rsidR="0081043C" w:rsidRPr="00330447">
        <w:rPr>
          <w:lang w:val="en-GB"/>
        </w:rPr>
        <w:t>the author</w:t>
      </w:r>
      <w:r w:rsidR="00CB351A" w:rsidRPr="00330447">
        <w:rPr>
          <w:lang w:val="en-GB"/>
        </w:rPr>
        <w:t xml:space="preserve"> has not established that there are substantial grounds for believing that he will be in danger of being subjected to torture if returned to Sri Lanka. </w:t>
      </w:r>
      <w:r w:rsidR="0081043C" w:rsidRPr="00330447">
        <w:rPr>
          <w:lang w:val="en-GB"/>
        </w:rPr>
        <w:t>The State party</w:t>
      </w:r>
      <w:r w:rsidR="00CB351A" w:rsidRPr="00330447">
        <w:rPr>
          <w:lang w:val="en-GB"/>
        </w:rPr>
        <w:t xml:space="preserve"> </w:t>
      </w:r>
      <w:r w:rsidR="00861599" w:rsidRPr="00330447">
        <w:rPr>
          <w:lang w:val="en-GB"/>
        </w:rPr>
        <w:t xml:space="preserve">therefore </w:t>
      </w:r>
      <w:r w:rsidR="00CB351A" w:rsidRPr="00330447">
        <w:rPr>
          <w:lang w:val="en-GB"/>
        </w:rPr>
        <w:t>considers that the communication is inadmissible.</w:t>
      </w:r>
    </w:p>
    <w:p w:rsidR="00CB351A" w:rsidRPr="00330447" w:rsidRDefault="00CB351A" w:rsidP="00BA5934">
      <w:pPr>
        <w:pStyle w:val="SingleTxtG"/>
        <w:rPr>
          <w:lang w:val="en-GB"/>
        </w:rPr>
      </w:pPr>
      <w:r w:rsidRPr="00330447">
        <w:rPr>
          <w:lang w:val="en-GB"/>
        </w:rPr>
        <w:t>4.</w:t>
      </w:r>
      <w:r w:rsidR="00DC465A" w:rsidRPr="00330447">
        <w:rPr>
          <w:lang w:val="en-GB"/>
        </w:rPr>
        <w:t>2</w:t>
      </w:r>
      <w:r w:rsidRPr="00330447">
        <w:rPr>
          <w:lang w:val="en-GB"/>
        </w:rPr>
        <w:tab/>
        <w:t xml:space="preserve">The State party notes that the </w:t>
      </w:r>
      <w:r w:rsidR="007C55BE" w:rsidRPr="00330447">
        <w:rPr>
          <w:lang w:val="en-GB"/>
        </w:rPr>
        <w:t xml:space="preserve">torture and assaults cases to which </w:t>
      </w:r>
      <w:r w:rsidRPr="00330447">
        <w:rPr>
          <w:lang w:val="en-GB"/>
        </w:rPr>
        <w:t>the author refer</w:t>
      </w:r>
      <w:r w:rsidR="007C55BE" w:rsidRPr="00330447">
        <w:rPr>
          <w:lang w:val="en-GB"/>
        </w:rPr>
        <w:t>s concern</w:t>
      </w:r>
      <w:r w:rsidRPr="00330447">
        <w:rPr>
          <w:lang w:val="en-GB"/>
        </w:rPr>
        <w:t xml:space="preserve"> persons suspected of having links to LTTE, possibly through family members, </w:t>
      </w:r>
      <w:r w:rsidR="00DC465A" w:rsidRPr="00330447">
        <w:rPr>
          <w:lang w:val="en-GB"/>
        </w:rPr>
        <w:t xml:space="preserve">and that </w:t>
      </w:r>
      <w:r w:rsidR="0081043C" w:rsidRPr="00330447">
        <w:rPr>
          <w:lang w:val="en-GB"/>
        </w:rPr>
        <w:t>it is not</w:t>
      </w:r>
      <w:r w:rsidRPr="00330447">
        <w:rPr>
          <w:lang w:val="en-GB"/>
        </w:rPr>
        <w:t xml:space="preserve"> the author’s case.</w:t>
      </w:r>
    </w:p>
    <w:p w:rsidR="00341E55" w:rsidRPr="00330447" w:rsidRDefault="00CB351A" w:rsidP="00BA5934">
      <w:pPr>
        <w:pStyle w:val="SingleTxtG"/>
        <w:rPr>
          <w:lang w:val="en-GB"/>
        </w:rPr>
      </w:pPr>
      <w:r w:rsidRPr="00330447">
        <w:rPr>
          <w:lang w:val="en-GB"/>
        </w:rPr>
        <w:t>4.</w:t>
      </w:r>
      <w:r w:rsidR="00DC465A" w:rsidRPr="00330447">
        <w:rPr>
          <w:lang w:val="en-GB"/>
        </w:rPr>
        <w:t>3</w:t>
      </w:r>
      <w:r w:rsidRPr="00330447">
        <w:rPr>
          <w:lang w:val="en-GB"/>
        </w:rPr>
        <w:tab/>
        <w:t xml:space="preserve">The State party observes that the Refugee Appeals </w:t>
      </w:r>
      <w:r w:rsidR="00DC465A" w:rsidRPr="00330447">
        <w:rPr>
          <w:lang w:val="en-GB"/>
        </w:rPr>
        <w:t>Board</w:t>
      </w:r>
      <w:r w:rsidRPr="00330447">
        <w:rPr>
          <w:lang w:val="en-GB"/>
        </w:rPr>
        <w:t xml:space="preserve"> based its decision </w:t>
      </w:r>
      <w:r w:rsidR="0081043C" w:rsidRPr="00330447">
        <w:rPr>
          <w:lang w:val="en-GB"/>
        </w:rPr>
        <w:t>o</w:t>
      </w:r>
      <w:r w:rsidRPr="00330447">
        <w:rPr>
          <w:lang w:val="en-GB"/>
        </w:rPr>
        <w:t xml:space="preserve">n the principles stressed in the </w:t>
      </w:r>
      <w:r w:rsidR="00DC465A" w:rsidRPr="006E1890">
        <w:rPr>
          <w:lang w:val="en-GB"/>
        </w:rPr>
        <w:t>European C</w:t>
      </w:r>
      <w:r w:rsidRPr="00AA72B2">
        <w:rPr>
          <w:lang w:val="en-GB"/>
        </w:rPr>
        <w:t>ourt of Human Rights judg</w:t>
      </w:r>
      <w:r w:rsidR="00107235" w:rsidRPr="00542F54">
        <w:rPr>
          <w:lang w:val="en-GB"/>
        </w:rPr>
        <w:t>e</w:t>
      </w:r>
      <w:r w:rsidRPr="006E1890">
        <w:rPr>
          <w:lang w:val="en-GB"/>
        </w:rPr>
        <w:t xml:space="preserve">ment, </w:t>
      </w:r>
      <w:r w:rsidRPr="00AA72B2">
        <w:rPr>
          <w:i/>
          <w:lang w:val="en-GB"/>
        </w:rPr>
        <w:t>N.</w:t>
      </w:r>
      <w:r w:rsidR="0081043C" w:rsidRPr="00DB406B">
        <w:rPr>
          <w:i/>
          <w:lang w:val="en-GB"/>
        </w:rPr>
        <w:t xml:space="preserve"> </w:t>
      </w:r>
      <w:r w:rsidRPr="0097141D">
        <w:rPr>
          <w:i/>
          <w:lang w:val="en-GB"/>
        </w:rPr>
        <w:t>A. v</w:t>
      </w:r>
      <w:r w:rsidR="00DC465A" w:rsidRPr="00542F54">
        <w:rPr>
          <w:i/>
          <w:lang w:val="en-GB"/>
        </w:rPr>
        <w:t>.</w:t>
      </w:r>
      <w:r w:rsidRPr="00542F54">
        <w:rPr>
          <w:i/>
          <w:lang w:val="en-GB"/>
        </w:rPr>
        <w:t xml:space="preserve"> the United Kingdom</w:t>
      </w:r>
      <w:r w:rsidR="00313386" w:rsidRPr="00330447">
        <w:rPr>
          <w:iCs/>
          <w:lang w:val="en-GB"/>
        </w:rPr>
        <w:t>,</w:t>
      </w:r>
      <w:r w:rsidR="00DC465A" w:rsidRPr="00473037">
        <w:rPr>
          <w:rStyle w:val="FootnoteReference"/>
          <w:lang w:val="en-GB"/>
        </w:rPr>
        <w:footnoteReference w:id="8"/>
      </w:r>
      <w:r w:rsidRPr="00473037">
        <w:rPr>
          <w:lang w:val="en-GB"/>
        </w:rPr>
        <w:t xml:space="preserve"> in which the Court state</w:t>
      </w:r>
      <w:r w:rsidR="007C55BE" w:rsidRPr="003E789E">
        <w:rPr>
          <w:lang w:val="en-GB"/>
        </w:rPr>
        <w:t>d</w:t>
      </w:r>
      <w:r w:rsidRPr="00342B0A">
        <w:rPr>
          <w:lang w:val="en-GB"/>
        </w:rPr>
        <w:t xml:space="preserve"> </w:t>
      </w:r>
      <w:r w:rsidRPr="00542F54">
        <w:rPr>
          <w:lang w:val="en-GB"/>
        </w:rPr>
        <w:t>inter alia</w:t>
      </w:r>
      <w:r w:rsidRPr="00134CC0">
        <w:rPr>
          <w:lang w:val="en-GB"/>
        </w:rPr>
        <w:t xml:space="preserve"> that the </w:t>
      </w:r>
      <w:r w:rsidR="00DC465A" w:rsidRPr="00330447">
        <w:rPr>
          <w:lang w:val="en-GB"/>
        </w:rPr>
        <w:t>deterioration</w:t>
      </w:r>
      <w:r w:rsidRPr="00330447">
        <w:rPr>
          <w:lang w:val="en-GB"/>
        </w:rPr>
        <w:t xml:space="preserve"> of the security situation in Sri Lanka resulting in an increase in th</w:t>
      </w:r>
      <w:r w:rsidR="00DC465A" w:rsidRPr="00330447">
        <w:rPr>
          <w:lang w:val="en-GB"/>
        </w:rPr>
        <w:t xml:space="preserve">e number of human rights violations did not create a general risk to all Tamils returning to Sri Lanka. The Court further observed that both the assessment of the risk to ethnic Tamils with certain profiles and the assessment of whether individual acts of harassment would cumulatively amount to serious violations of human rights could be made only on a specific and individual basis. </w:t>
      </w:r>
      <w:r w:rsidR="00341E55" w:rsidRPr="00330447">
        <w:rPr>
          <w:lang w:val="en-GB"/>
        </w:rPr>
        <w:t>The State party also refers to five c</w:t>
      </w:r>
      <w:r w:rsidR="00DD2848" w:rsidRPr="00330447">
        <w:rPr>
          <w:lang w:val="en-GB"/>
        </w:rPr>
        <w:t>ases submitted to the European C</w:t>
      </w:r>
      <w:r w:rsidR="00341E55" w:rsidRPr="00330447">
        <w:rPr>
          <w:lang w:val="en-GB"/>
        </w:rPr>
        <w:t xml:space="preserve">ourt by ethnic Tamils </w:t>
      </w:r>
      <w:r w:rsidR="007C55BE" w:rsidRPr="00330447">
        <w:rPr>
          <w:lang w:val="en-GB"/>
        </w:rPr>
        <w:t>challenging the</w:t>
      </w:r>
      <w:r w:rsidR="0081043C" w:rsidRPr="00330447">
        <w:rPr>
          <w:lang w:val="en-GB"/>
        </w:rPr>
        <w:t xml:space="preserve"> decision</w:t>
      </w:r>
      <w:r w:rsidR="007C55BE" w:rsidRPr="00330447">
        <w:rPr>
          <w:lang w:val="en-GB"/>
        </w:rPr>
        <w:t xml:space="preserve">s of </w:t>
      </w:r>
      <w:r w:rsidR="007C55BE" w:rsidRPr="00330447">
        <w:rPr>
          <w:lang w:val="en-GB"/>
        </w:rPr>
        <w:lastRenderedPageBreak/>
        <w:t>the Danish authorities</w:t>
      </w:r>
      <w:r w:rsidR="0081043C" w:rsidRPr="00330447">
        <w:rPr>
          <w:lang w:val="en-GB"/>
        </w:rPr>
        <w:t xml:space="preserve"> to</w:t>
      </w:r>
      <w:r w:rsidR="00341E55" w:rsidRPr="00330447">
        <w:rPr>
          <w:lang w:val="en-GB"/>
        </w:rPr>
        <w:t xml:space="preserve"> deport</w:t>
      </w:r>
      <w:r w:rsidR="0081043C" w:rsidRPr="00330447">
        <w:rPr>
          <w:lang w:val="en-GB"/>
        </w:rPr>
        <w:t xml:space="preserve"> them</w:t>
      </w:r>
      <w:r w:rsidR="00341E55" w:rsidRPr="00330447">
        <w:rPr>
          <w:lang w:val="en-GB"/>
        </w:rPr>
        <w:t xml:space="preserve"> to Sri Lanka. In all th</w:t>
      </w:r>
      <w:r w:rsidR="002F185B">
        <w:rPr>
          <w:lang w:val="en-GB"/>
        </w:rPr>
        <w:t>o</w:t>
      </w:r>
      <w:r w:rsidR="00341E55" w:rsidRPr="00330447">
        <w:rPr>
          <w:lang w:val="en-GB"/>
        </w:rPr>
        <w:t>se decisions</w:t>
      </w:r>
      <w:r w:rsidR="0081043C" w:rsidRPr="00330447">
        <w:rPr>
          <w:lang w:val="en-GB"/>
        </w:rPr>
        <w:t>,</w:t>
      </w:r>
      <w:r w:rsidR="00341E55" w:rsidRPr="00330447">
        <w:rPr>
          <w:lang w:val="en-GB"/>
        </w:rPr>
        <w:t xml:space="preserve"> dated 20 January 2011, the </w:t>
      </w:r>
      <w:r w:rsidR="0081043C" w:rsidRPr="00330447">
        <w:rPr>
          <w:lang w:val="en-GB"/>
        </w:rPr>
        <w:t xml:space="preserve">European </w:t>
      </w:r>
      <w:r w:rsidR="00341E55" w:rsidRPr="00330447">
        <w:rPr>
          <w:lang w:val="en-GB"/>
        </w:rPr>
        <w:t xml:space="preserve">Court held that returning them to their country of origin would not constitute a violation of the European </w:t>
      </w:r>
      <w:r w:rsidR="00DD2848" w:rsidRPr="00330447">
        <w:rPr>
          <w:lang w:val="en-GB"/>
        </w:rPr>
        <w:t>C</w:t>
      </w:r>
      <w:r w:rsidR="00341E55" w:rsidRPr="00330447">
        <w:rPr>
          <w:lang w:val="en-GB"/>
        </w:rPr>
        <w:t>onvention</w:t>
      </w:r>
      <w:r w:rsidR="0081043C" w:rsidRPr="00330447">
        <w:rPr>
          <w:lang w:val="en-GB"/>
        </w:rPr>
        <w:t>,</w:t>
      </w:r>
      <w:r w:rsidR="00341E55" w:rsidRPr="00330447">
        <w:rPr>
          <w:lang w:val="en-GB"/>
        </w:rPr>
        <w:t xml:space="preserve"> as ethnic Tamils </w:t>
      </w:r>
      <w:r w:rsidR="0081043C" w:rsidRPr="00330447">
        <w:rPr>
          <w:lang w:val="en-GB"/>
        </w:rPr>
        <w:t xml:space="preserve">returned to Sri Lanka </w:t>
      </w:r>
      <w:r w:rsidR="00341E55" w:rsidRPr="00330447">
        <w:rPr>
          <w:lang w:val="en-GB"/>
        </w:rPr>
        <w:t>could not be considered to risk ill-treatment on the sole ground of their ethnic origin</w:t>
      </w:r>
      <w:r w:rsidR="00313386" w:rsidRPr="00330447">
        <w:rPr>
          <w:lang w:val="en-GB"/>
        </w:rPr>
        <w:t>.</w:t>
      </w:r>
      <w:r w:rsidR="00341E55" w:rsidRPr="00473037">
        <w:rPr>
          <w:rStyle w:val="FootnoteReference"/>
          <w:lang w:val="en-GB"/>
        </w:rPr>
        <w:footnoteReference w:id="9"/>
      </w:r>
      <w:r w:rsidR="00341E55" w:rsidRPr="00473037">
        <w:rPr>
          <w:lang w:val="en-GB"/>
        </w:rPr>
        <w:t xml:space="preserve"> The State party affirms that the situation in Sri Lanka at the time </w:t>
      </w:r>
      <w:r w:rsidR="0081043C" w:rsidRPr="003E789E">
        <w:rPr>
          <w:lang w:val="en-GB"/>
        </w:rPr>
        <w:t>that the Board took its decision</w:t>
      </w:r>
      <w:r w:rsidR="00341E55" w:rsidRPr="00342B0A">
        <w:rPr>
          <w:lang w:val="en-GB"/>
        </w:rPr>
        <w:t xml:space="preserve"> </w:t>
      </w:r>
      <w:r w:rsidR="0081043C" w:rsidRPr="00134CC0">
        <w:rPr>
          <w:lang w:val="en-GB"/>
        </w:rPr>
        <w:t xml:space="preserve">on the author’s asylum </w:t>
      </w:r>
      <w:r w:rsidR="00341E55" w:rsidRPr="00134CC0">
        <w:rPr>
          <w:lang w:val="en-GB"/>
        </w:rPr>
        <w:t>was not of a different nature</w:t>
      </w:r>
      <w:r w:rsidR="00937F60" w:rsidRPr="00330447">
        <w:rPr>
          <w:lang w:val="en-GB"/>
        </w:rPr>
        <w:t>,</w:t>
      </w:r>
      <w:r w:rsidR="00341E55" w:rsidRPr="00330447">
        <w:rPr>
          <w:lang w:val="en-GB"/>
        </w:rPr>
        <w:t xml:space="preserve"> and that a specific assessment of the author’s situation and personal risk was required.</w:t>
      </w:r>
    </w:p>
    <w:p w:rsidR="00DD2848" w:rsidRPr="00330447" w:rsidRDefault="00DC465A" w:rsidP="0097141D">
      <w:pPr>
        <w:pStyle w:val="SingleTxtG"/>
        <w:rPr>
          <w:lang w:val="en-GB"/>
        </w:rPr>
      </w:pPr>
      <w:r w:rsidRPr="00330447">
        <w:rPr>
          <w:lang w:val="en-GB"/>
        </w:rPr>
        <w:t>4.4</w:t>
      </w:r>
      <w:r w:rsidRPr="00330447">
        <w:rPr>
          <w:lang w:val="en-GB"/>
        </w:rPr>
        <w:tab/>
      </w:r>
      <w:r w:rsidR="001F08A3" w:rsidRPr="00330447">
        <w:rPr>
          <w:lang w:val="en-GB"/>
        </w:rPr>
        <w:t xml:space="preserve">The State party </w:t>
      </w:r>
      <w:r w:rsidR="00937F60" w:rsidRPr="00330447">
        <w:rPr>
          <w:lang w:val="en-GB"/>
        </w:rPr>
        <w:t xml:space="preserve">further </w:t>
      </w:r>
      <w:r w:rsidR="001F08A3" w:rsidRPr="00330447">
        <w:rPr>
          <w:lang w:val="en-GB"/>
        </w:rPr>
        <w:t>notes that the Refugee Appeal</w:t>
      </w:r>
      <w:r w:rsidR="002F185B">
        <w:rPr>
          <w:lang w:val="en-GB"/>
        </w:rPr>
        <w:t>s</w:t>
      </w:r>
      <w:r w:rsidR="001F08A3" w:rsidRPr="00330447">
        <w:rPr>
          <w:lang w:val="en-GB"/>
        </w:rPr>
        <w:t xml:space="preserve"> Board made the requi</w:t>
      </w:r>
      <w:r w:rsidR="002F185B">
        <w:rPr>
          <w:lang w:val="en-GB"/>
        </w:rPr>
        <w:t>site</w:t>
      </w:r>
      <w:r w:rsidR="001F08A3" w:rsidRPr="00330447">
        <w:rPr>
          <w:lang w:val="en-GB"/>
        </w:rPr>
        <w:t xml:space="preserve"> specific and individual assessment of the author’s situation against background material concerning the situation of ethnic Tamils in Sri Lanka. As a result, the Board concluded that</w:t>
      </w:r>
      <w:r w:rsidR="002F185B">
        <w:rPr>
          <w:lang w:val="en-GB"/>
        </w:rPr>
        <w:t>,</w:t>
      </w:r>
      <w:r w:rsidR="001F08A3" w:rsidRPr="00473037">
        <w:rPr>
          <w:lang w:val="en-GB"/>
        </w:rPr>
        <w:t xml:space="preserve"> prior</w:t>
      </w:r>
      <w:r w:rsidR="002F185B">
        <w:rPr>
          <w:lang w:val="en-GB"/>
        </w:rPr>
        <w:t xml:space="preserve"> to</w:t>
      </w:r>
      <w:r w:rsidR="001F08A3" w:rsidRPr="00473037">
        <w:rPr>
          <w:lang w:val="en-GB"/>
        </w:rPr>
        <w:t xml:space="preserve"> leaving his country of origin,</w:t>
      </w:r>
      <w:r w:rsidR="001F08A3" w:rsidRPr="00330447">
        <w:rPr>
          <w:lang w:val="en-GB"/>
        </w:rPr>
        <w:t xml:space="preserve"> the author ha</w:t>
      </w:r>
      <w:r w:rsidR="001F08A3" w:rsidRPr="00473037">
        <w:rPr>
          <w:lang w:val="en-GB"/>
        </w:rPr>
        <w:t>d</w:t>
      </w:r>
      <w:r w:rsidR="001F08A3" w:rsidRPr="00330447">
        <w:rPr>
          <w:lang w:val="en-GB"/>
        </w:rPr>
        <w:t xml:space="preserve"> lived an </w:t>
      </w:r>
      <w:r w:rsidR="00473037">
        <w:rPr>
          <w:lang w:val="en-GB"/>
        </w:rPr>
        <w:t>“</w:t>
      </w:r>
      <w:r w:rsidR="001F08A3" w:rsidRPr="00330447">
        <w:rPr>
          <w:lang w:val="en-GB"/>
        </w:rPr>
        <w:t>unremarkable and non-profiled life</w:t>
      </w:r>
      <w:r w:rsidR="00473037">
        <w:rPr>
          <w:lang w:val="en-GB"/>
        </w:rPr>
        <w:t>”</w:t>
      </w:r>
      <w:r w:rsidR="001F08A3" w:rsidRPr="00330447">
        <w:rPr>
          <w:lang w:val="en-GB"/>
        </w:rPr>
        <w:t>, without affiliation with or activity for LTTE</w:t>
      </w:r>
      <w:r w:rsidR="001F08A3" w:rsidRPr="00473037">
        <w:rPr>
          <w:lang w:val="en-GB"/>
        </w:rPr>
        <w:t>. The Board observed</w:t>
      </w:r>
      <w:r w:rsidR="001F08A3" w:rsidRPr="00330447">
        <w:rPr>
          <w:lang w:val="en-GB"/>
        </w:rPr>
        <w:t xml:space="preserve"> that </w:t>
      </w:r>
      <w:r w:rsidR="001F08A3" w:rsidRPr="00473037">
        <w:rPr>
          <w:lang w:val="en-GB"/>
        </w:rPr>
        <w:t xml:space="preserve">neither </w:t>
      </w:r>
      <w:r w:rsidR="001F08A3" w:rsidRPr="00330447">
        <w:rPr>
          <w:lang w:val="en-GB"/>
        </w:rPr>
        <w:t>the author</w:t>
      </w:r>
      <w:r w:rsidR="001F08A3" w:rsidRPr="00473037">
        <w:rPr>
          <w:lang w:val="en-GB"/>
        </w:rPr>
        <w:t xml:space="preserve"> nor </w:t>
      </w:r>
      <w:r w:rsidR="00AC4B52" w:rsidRPr="003E789E">
        <w:rPr>
          <w:lang w:val="en-GB"/>
        </w:rPr>
        <w:t xml:space="preserve">any </w:t>
      </w:r>
      <w:r w:rsidR="001F08A3" w:rsidRPr="00342B0A">
        <w:rPr>
          <w:lang w:val="en-GB"/>
        </w:rPr>
        <w:t>of his close relatives</w:t>
      </w:r>
      <w:r w:rsidR="001F08A3" w:rsidRPr="00330447">
        <w:rPr>
          <w:lang w:val="en-GB"/>
        </w:rPr>
        <w:t xml:space="preserve"> had </w:t>
      </w:r>
      <w:r w:rsidR="003A1A3C">
        <w:rPr>
          <w:lang w:val="en-GB"/>
        </w:rPr>
        <w:t>joined</w:t>
      </w:r>
      <w:r w:rsidR="003A1A3C" w:rsidRPr="00330447">
        <w:rPr>
          <w:lang w:val="en-GB"/>
        </w:rPr>
        <w:t xml:space="preserve"> </w:t>
      </w:r>
      <w:r w:rsidR="001F08A3" w:rsidRPr="00330447">
        <w:rPr>
          <w:lang w:val="en-GB"/>
        </w:rPr>
        <w:t>political or religious associations or organi</w:t>
      </w:r>
      <w:r w:rsidR="002F185B">
        <w:rPr>
          <w:lang w:val="en-GB"/>
        </w:rPr>
        <w:t>z</w:t>
      </w:r>
      <w:r w:rsidR="001F08A3" w:rsidRPr="00330447">
        <w:rPr>
          <w:lang w:val="en-GB"/>
        </w:rPr>
        <w:t>ations or been politically active</w:t>
      </w:r>
      <w:r w:rsidR="001F08A3" w:rsidRPr="00473037">
        <w:rPr>
          <w:lang w:val="en-GB"/>
        </w:rPr>
        <w:t xml:space="preserve"> </w:t>
      </w:r>
      <w:r w:rsidR="00AC4B52" w:rsidRPr="003E789E">
        <w:rPr>
          <w:lang w:val="en-GB"/>
        </w:rPr>
        <w:t xml:space="preserve">in a way that </w:t>
      </w:r>
      <w:r w:rsidR="002F185B">
        <w:rPr>
          <w:lang w:val="en-GB"/>
        </w:rPr>
        <w:t xml:space="preserve">would make </w:t>
      </w:r>
      <w:r w:rsidR="00AC4B52" w:rsidRPr="003E789E">
        <w:rPr>
          <w:lang w:val="en-GB"/>
        </w:rPr>
        <w:t>the author</w:t>
      </w:r>
      <w:r w:rsidR="001F08A3" w:rsidRPr="00342B0A">
        <w:rPr>
          <w:lang w:val="en-GB"/>
        </w:rPr>
        <w:t xml:space="preserve"> </w:t>
      </w:r>
      <w:r w:rsidR="002F185B">
        <w:rPr>
          <w:lang w:val="en-GB"/>
        </w:rPr>
        <w:t>remarkable</w:t>
      </w:r>
      <w:r w:rsidR="001F08A3" w:rsidRPr="00342B0A">
        <w:rPr>
          <w:lang w:val="en-GB"/>
        </w:rPr>
        <w:t xml:space="preserve"> in the eyes of the Sri Lankan authorities or other groups, including </w:t>
      </w:r>
      <w:r w:rsidR="001F08A3" w:rsidRPr="00134CC0">
        <w:rPr>
          <w:lang w:val="en-GB"/>
        </w:rPr>
        <w:t>EPDP</w:t>
      </w:r>
      <w:r w:rsidR="001F08A3" w:rsidRPr="00330447">
        <w:rPr>
          <w:lang w:val="en-GB"/>
        </w:rPr>
        <w:t xml:space="preserve">. The Board </w:t>
      </w:r>
      <w:r w:rsidR="001F08A3" w:rsidRPr="00473037">
        <w:rPr>
          <w:lang w:val="en-GB"/>
        </w:rPr>
        <w:t>also</w:t>
      </w:r>
      <w:r w:rsidR="00335DD7" w:rsidRPr="003E789E">
        <w:rPr>
          <w:lang w:val="en-GB"/>
        </w:rPr>
        <w:t xml:space="preserve"> </w:t>
      </w:r>
      <w:r w:rsidR="00AC4B52" w:rsidRPr="00342B0A">
        <w:rPr>
          <w:lang w:val="en-GB"/>
        </w:rPr>
        <w:t>raised</w:t>
      </w:r>
      <w:r w:rsidR="002F185B">
        <w:rPr>
          <w:lang w:val="en-GB"/>
        </w:rPr>
        <w:t xml:space="preserve"> the fact</w:t>
      </w:r>
      <w:r w:rsidR="001F08A3" w:rsidRPr="00330447">
        <w:rPr>
          <w:lang w:val="en-GB"/>
        </w:rPr>
        <w:t xml:space="preserve"> </w:t>
      </w:r>
      <w:r w:rsidR="001F08A3" w:rsidRPr="00473037">
        <w:rPr>
          <w:lang w:val="en-GB"/>
        </w:rPr>
        <w:t>th</w:t>
      </w:r>
      <w:r w:rsidR="001F08A3" w:rsidRPr="003E789E">
        <w:rPr>
          <w:lang w:val="en-GB"/>
        </w:rPr>
        <w:t>at</w:t>
      </w:r>
      <w:r w:rsidR="002F185B">
        <w:rPr>
          <w:lang w:val="en-GB"/>
        </w:rPr>
        <w:t>,</w:t>
      </w:r>
      <w:r w:rsidR="001F08A3" w:rsidRPr="003E789E">
        <w:rPr>
          <w:lang w:val="en-GB"/>
        </w:rPr>
        <w:t xml:space="preserve"> </w:t>
      </w:r>
      <w:r w:rsidR="002F185B">
        <w:rPr>
          <w:lang w:val="en-GB"/>
        </w:rPr>
        <w:t>al</w:t>
      </w:r>
      <w:r w:rsidR="00AC4B52" w:rsidRPr="00342B0A">
        <w:rPr>
          <w:lang w:val="en-GB"/>
        </w:rPr>
        <w:t xml:space="preserve">though </w:t>
      </w:r>
      <w:r w:rsidR="001F08A3" w:rsidRPr="00330447">
        <w:rPr>
          <w:lang w:val="en-GB"/>
        </w:rPr>
        <w:t>the author</w:t>
      </w:r>
      <w:r w:rsidR="001F08A3" w:rsidRPr="00473037">
        <w:rPr>
          <w:lang w:val="en-GB"/>
        </w:rPr>
        <w:t xml:space="preserve"> and his </w:t>
      </w:r>
      <w:r w:rsidR="001F08A3" w:rsidRPr="00330447">
        <w:rPr>
          <w:lang w:val="en-GB"/>
        </w:rPr>
        <w:t xml:space="preserve">cousin provided food and clothes </w:t>
      </w:r>
      <w:r w:rsidR="001F08A3" w:rsidRPr="00473037">
        <w:rPr>
          <w:lang w:val="en-GB"/>
        </w:rPr>
        <w:t xml:space="preserve">free of charge </w:t>
      </w:r>
      <w:r w:rsidR="001F08A3" w:rsidRPr="00330447">
        <w:rPr>
          <w:lang w:val="en-GB"/>
        </w:rPr>
        <w:t xml:space="preserve">to </w:t>
      </w:r>
      <w:r w:rsidR="001F08A3" w:rsidRPr="00473037">
        <w:rPr>
          <w:lang w:val="en-GB"/>
        </w:rPr>
        <w:t>some</w:t>
      </w:r>
      <w:r w:rsidR="001F08A3" w:rsidRPr="00330447">
        <w:rPr>
          <w:lang w:val="en-GB"/>
        </w:rPr>
        <w:t xml:space="preserve"> LTTE </w:t>
      </w:r>
      <w:r w:rsidR="001F08A3" w:rsidRPr="00473037">
        <w:rPr>
          <w:lang w:val="en-GB"/>
        </w:rPr>
        <w:t>members</w:t>
      </w:r>
      <w:r w:rsidR="00F31242" w:rsidRPr="003E789E">
        <w:rPr>
          <w:lang w:val="en-GB"/>
        </w:rPr>
        <w:t xml:space="preserve"> during the civil war</w:t>
      </w:r>
      <w:r w:rsidR="001F08A3" w:rsidRPr="00342B0A">
        <w:rPr>
          <w:lang w:val="en-GB"/>
        </w:rPr>
        <w:t xml:space="preserve">, </w:t>
      </w:r>
      <w:r w:rsidR="00AC4B52" w:rsidRPr="00134CC0">
        <w:rPr>
          <w:lang w:val="en-GB"/>
        </w:rPr>
        <w:t>this</w:t>
      </w:r>
      <w:r w:rsidR="001F08A3" w:rsidRPr="00330447">
        <w:rPr>
          <w:lang w:val="en-GB"/>
        </w:rPr>
        <w:t xml:space="preserve"> </w:t>
      </w:r>
      <w:r w:rsidR="001F08A3" w:rsidRPr="00473037">
        <w:rPr>
          <w:lang w:val="en-GB"/>
        </w:rPr>
        <w:t>was not sufficient for the author to be perceived as affiliated to LTTE</w:t>
      </w:r>
      <w:r w:rsidR="00316B96">
        <w:rPr>
          <w:lang w:val="en-GB"/>
        </w:rPr>
        <w:t>,</w:t>
      </w:r>
      <w:r w:rsidR="00CE736B" w:rsidRPr="003E789E">
        <w:rPr>
          <w:lang w:val="en-GB"/>
        </w:rPr>
        <w:t xml:space="preserve"> as this was a common</w:t>
      </w:r>
      <w:r w:rsidR="00CE736B" w:rsidRPr="00342B0A">
        <w:rPr>
          <w:lang w:val="en-GB"/>
        </w:rPr>
        <w:t xml:space="preserve"> practice for retailers in the region</w:t>
      </w:r>
      <w:r w:rsidR="00AC4B52" w:rsidRPr="00134CC0">
        <w:rPr>
          <w:lang w:val="en-GB"/>
        </w:rPr>
        <w:t xml:space="preserve">, and </w:t>
      </w:r>
      <w:r w:rsidR="00CE736B" w:rsidRPr="00134CC0">
        <w:rPr>
          <w:lang w:val="en-GB"/>
        </w:rPr>
        <w:t>therefore</w:t>
      </w:r>
      <w:r w:rsidR="00AC4B52" w:rsidRPr="00330447">
        <w:rPr>
          <w:lang w:val="en-GB"/>
        </w:rPr>
        <w:t xml:space="preserve"> did not give rise to a personal risk for the authors</w:t>
      </w:r>
      <w:r w:rsidR="001F08A3" w:rsidRPr="00330447">
        <w:rPr>
          <w:lang w:val="en-GB"/>
        </w:rPr>
        <w:t xml:space="preserve">. The </w:t>
      </w:r>
      <w:r w:rsidR="001F08A3" w:rsidRPr="00473037">
        <w:rPr>
          <w:lang w:val="en-GB"/>
        </w:rPr>
        <w:t>Board noted</w:t>
      </w:r>
      <w:r w:rsidR="001F08A3" w:rsidRPr="00330447">
        <w:rPr>
          <w:lang w:val="en-GB"/>
        </w:rPr>
        <w:t xml:space="preserve"> that</w:t>
      </w:r>
      <w:r w:rsidR="001E4617" w:rsidRPr="00473037">
        <w:rPr>
          <w:lang w:val="en-GB"/>
        </w:rPr>
        <w:t>,</w:t>
      </w:r>
      <w:r w:rsidR="001F08A3" w:rsidRPr="00330447">
        <w:rPr>
          <w:lang w:val="en-GB"/>
        </w:rPr>
        <w:t xml:space="preserve"> </w:t>
      </w:r>
      <w:r w:rsidR="001E4617" w:rsidRPr="00473037">
        <w:rPr>
          <w:lang w:val="en-GB"/>
        </w:rPr>
        <w:t>at the end of the civil war</w:t>
      </w:r>
      <w:r w:rsidR="001E4617" w:rsidRPr="00330447">
        <w:rPr>
          <w:lang w:val="en-GB"/>
        </w:rPr>
        <w:t xml:space="preserve"> in 2009</w:t>
      </w:r>
      <w:r w:rsidR="001E4617" w:rsidRPr="00473037">
        <w:rPr>
          <w:lang w:val="en-GB"/>
        </w:rPr>
        <w:t xml:space="preserve">, </w:t>
      </w:r>
      <w:r w:rsidR="001F08A3" w:rsidRPr="00330447">
        <w:rPr>
          <w:lang w:val="en-GB"/>
        </w:rPr>
        <w:t>the author</w:t>
      </w:r>
      <w:r w:rsidR="00F31242" w:rsidRPr="00473037">
        <w:rPr>
          <w:lang w:val="en-GB"/>
        </w:rPr>
        <w:t xml:space="preserve"> </w:t>
      </w:r>
      <w:r w:rsidR="00316B96">
        <w:rPr>
          <w:lang w:val="en-GB"/>
        </w:rPr>
        <w:t>had</w:t>
      </w:r>
      <w:r w:rsidR="001F08A3" w:rsidRPr="00330447">
        <w:rPr>
          <w:lang w:val="en-GB"/>
        </w:rPr>
        <w:t xml:space="preserve"> difficult </w:t>
      </w:r>
      <w:r w:rsidR="00F31242" w:rsidRPr="00473037">
        <w:rPr>
          <w:lang w:val="en-GB"/>
        </w:rPr>
        <w:t>experiences,</w:t>
      </w:r>
      <w:r w:rsidR="001F08A3" w:rsidRPr="00330447">
        <w:rPr>
          <w:lang w:val="en-GB"/>
        </w:rPr>
        <w:t xml:space="preserve"> </w:t>
      </w:r>
      <w:r w:rsidR="00F31242" w:rsidRPr="00473037">
        <w:rPr>
          <w:lang w:val="en-GB"/>
        </w:rPr>
        <w:t xml:space="preserve">including </w:t>
      </w:r>
      <w:r w:rsidR="00F31242" w:rsidRPr="00330447">
        <w:rPr>
          <w:lang w:val="en-GB"/>
        </w:rPr>
        <w:t xml:space="preserve">harassment at </w:t>
      </w:r>
      <w:r w:rsidR="00316B96">
        <w:rPr>
          <w:lang w:val="en-GB"/>
        </w:rPr>
        <w:t xml:space="preserve">a </w:t>
      </w:r>
      <w:r w:rsidR="00F31242" w:rsidRPr="00330447">
        <w:rPr>
          <w:lang w:val="en-GB"/>
        </w:rPr>
        <w:t>checkpoint</w:t>
      </w:r>
      <w:r w:rsidR="00F31242" w:rsidRPr="00473037">
        <w:rPr>
          <w:lang w:val="en-GB"/>
        </w:rPr>
        <w:t xml:space="preserve">, as all other Tamils </w:t>
      </w:r>
      <w:r w:rsidR="001E4617" w:rsidRPr="003E789E">
        <w:rPr>
          <w:lang w:val="en-GB"/>
        </w:rPr>
        <w:t xml:space="preserve">did </w:t>
      </w:r>
      <w:r w:rsidR="001F08A3" w:rsidRPr="00342B0A">
        <w:rPr>
          <w:lang w:val="en-GB"/>
        </w:rPr>
        <w:t xml:space="preserve">when </w:t>
      </w:r>
      <w:r w:rsidR="00F31242" w:rsidRPr="00134CC0">
        <w:rPr>
          <w:lang w:val="en-GB"/>
        </w:rPr>
        <w:t xml:space="preserve">the </w:t>
      </w:r>
      <w:r w:rsidR="001F08A3" w:rsidRPr="00134CC0">
        <w:rPr>
          <w:lang w:val="en-GB"/>
        </w:rPr>
        <w:t>Sri Lankan authorities</w:t>
      </w:r>
      <w:r w:rsidR="001F08A3" w:rsidRPr="00330447">
        <w:rPr>
          <w:lang w:val="en-GB"/>
        </w:rPr>
        <w:t xml:space="preserve"> </w:t>
      </w:r>
      <w:r w:rsidR="001F08A3" w:rsidRPr="00473037">
        <w:rPr>
          <w:lang w:val="en-GB"/>
        </w:rPr>
        <w:t>crack</w:t>
      </w:r>
      <w:r w:rsidR="00316B96">
        <w:rPr>
          <w:lang w:val="en-GB"/>
        </w:rPr>
        <w:t xml:space="preserve">ed </w:t>
      </w:r>
      <w:r w:rsidR="001F08A3" w:rsidRPr="00473037">
        <w:rPr>
          <w:lang w:val="en-GB"/>
        </w:rPr>
        <w:t>down on</w:t>
      </w:r>
      <w:r w:rsidR="001F08A3" w:rsidRPr="00330447">
        <w:rPr>
          <w:lang w:val="en-GB"/>
        </w:rPr>
        <w:t xml:space="preserve"> LTTE</w:t>
      </w:r>
      <w:r w:rsidR="001F08A3" w:rsidRPr="00473037">
        <w:rPr>
          <w:lang w:val="en-GB"/>
        </w:rPr>
        <w:t xml:space="preserve">. However, </w:t>
      </w:r>
      <w:r w:rsidR="001E4617" w:rsidRPr="003E789E">
        <w:rPr>
          <w:lang w:val="en-GB"/>
        </w:rPr>
        <w:t xml:space="preserve">the </w:t>
      </w:r>
      <w:r w:rsidR="00EA0822" w:rsidRPr="00342B0A">
        <w:rPr>
          <w:lang w:val="en-GB"/>
        </w:rPr>
        <w:t xml:space="preserve">Board </w:t>
      </w:r>
      <w:r w:rsidR="001E4617" w:rsidRPr="00134CC0">
        <w:rPr>
          <w:lang w:val="en-GB"/>
        </w:rPr>
        <w:t xml:space="preserve">considered that </w:t>
      </w:r>
      <w:r w:rsidR="001F08A3" w:rsidRPr="00134CC0">
        <w:rPr>
          <w:lang w:val="en-GB"/>
        </w:rPr>
        <w:t>this did not create a specific risk for the author if return</w:t>
      </w:r>
      <w:r w:rsidR="00316B96">
        <w:rPr>
          <w:lang w:val="en-GB"/>
        </w:rPr>
        <w:t>ed</w:t>
      </w:r>
      <w:r w:rsidR="001F08A3" w:rsidRPr="00134CC0">
        <w:rPr>
          <w:lang w:val="en-GB"/>
        </w:rPr>
        <w:t xml:space="preserve"> to Sri Lanka.</w:t>
      </w:r>
    </w:p>
    <w:p w:rsidR="00DD2848" w:rsidRPr="00330447" w:rsidRDefault="00313386" w:rsidP="00DC465A">
      <w:pPr>
        <w:pStyle w:val="SingleTxtG"/>
        <w:rPr>
          <w:lang w:val="en-GB"/>
        </w:rPr>
      </w:pPr>
      <w:r w:rsidRPr="00330447">
        <w:rPr>
          <w:lang w:val="en-GB"/>
        </w:rPr>
        <w:t>4.5</w:t>
      </w:r>
      <w:r w:rsidR="00DD2848" w:rsidRPr="00330447">
        <w:rPr>
          <w:lang w:val="en-GB"/>
        </w:rPr>
        <w:tab/>
      </w:r>
      <w:r w:rsidR="001F08A3" w:rsidRPr="00330447">
        <w:rPr>
          <w:lang w:val="en-GB"/>
        </w:rPr>
        <w:t>With regard to the author’s allegations that</w:t>
      </w:r>
      <w:r w:rsidR="00316B96">
        <w:rPr>
          <w:lang w:val="en-GB"/>
        </w:rPr>
        <w:t>,</w:t>
      </w:r>
      <w:r w:rsidR="001F08A3" w:rsidRPr="00330447">
        <w:rPr>
          <w:lang w:val="en-GB"/>
        </w:rPr>
        <w:t xml:space="preserve"> having witnessed his cousin’s murder, he would be at risk of being persecuted by EPDP, the Board noted that the EPDP </w:t>
      </w:r>
      <w:r w:rsidR="001F08A3" w:rsidRPr="00473037">
        <w:rPr>
          <w:lang w:val="en-GB"/>
        </w:rPr>
        <w:t xml:space="preserve">members who killed his cousin </w:t>
      </w:r>
      <w:r w:rsidR="001F08A3" w:rsidRPr="00330447">
        <w:rPr>
          <w:lang w:val="en-GB"/>
        </w:rPr>
        <w:t xml:space="preserve">let the author go. The author was not visited at his home </w:t>
      </w:r>
      <w:r w:rsidR="001F08A3" w:rsidRPr="00473037">
        <w:rPr>
          <w:lang w:val="en-GB"/>
        </w:rPr>
        <w:t xml:space="preserve">by EPDP members </w:t>
      </w:r>
      <w:r w:rsidR="001F08A3" w:rsidRPr="00330447">
        <w:rPr>
          <w:lang w:val="en-GB"/>
        </w:rPr>
        <w:t>but was questioned</w:t>
      </w:r>
      <w:r w:rsidR="00F31242" w:rsidRPr="00473037">
        <w:rPr>
          <w:lang w:val="en-GB"/>
        </w:rPr>
        <w:t>,</w:t>
      </w:r>
      <w:r w:rsidR="001F08A3" w:rsidRPr="00330447">
        <w:rPr>
          <w:lang w:val="en-GB"/>
        </w:rPr>
        <w:t xml:space="preserve"> </w:t>
      </w:r>
      <w:r w:rsidR="001F08A3" w:rsidRPr="00473037">
        <w:rPr>
          <w:lang w:val="en-GB"/>
        </w:rPr>
        <w:t>shortly after the murder</w:t>
      </w:r>
      <w:r w:rsidR="00F31242" w:rsidRPr="003E789E">
        <w:rPr>
          <w:lang w:val="en-GB"/>
        </w:rPr>
        <w:t>,</w:t>
      </w:r>
      <w:r w:rsidR="001F08A3" w:rsidRPr="00342B0A">
        <w:rPr>
          <w:lang w:val="en-GB"/>
        </w:rPr>
        <w:t xml:space="preserve"> </w:t>
      </w:r>
      <w:r w:rsidR="001F08A3" w:rsidRPr="00330447">
        <w:rPr>
          <w:lang w:val="en-GB"/>
        </w:rPr>
        <w:t>at a grocery store</w:t>
      </w:r>
      <w:r w:rsidR="001F08A3" w:rsidRPr="00473037">
        <w:rPr>
          <w:lang w:val="en-GB"/>
        </w:rPr>
        <w:t xml:space="preserve"> by some persons w</w:t>
      </w:r>
      <w:r w:rsidR="001F08A3" w:rsidRPr="003E789E">
        <w:rPr>
          <w:lang w:val="en-GB"/>
        </w:rPr>
        <w:t xml:space="preserve">ho </w:t>
      </w:r>
      <w:r w:rsidR="001E4617" w:rsidRPr="00342B0A">
        <w:rPr>
          <w:lang w:val="en-GB"/>
        </w:rPr>
        <w:t>he</w:t>
      </w:r>
      <w:r w:rsidR="001F08A3" w:rsidRPr="00134CC0">
        <w:rPr>
          <w:lang w:val="en-GB"/>
        </w:rPr>
        <w:t xml:space="preserve"> assumed to be EPDP members. However, during this incident, t</w:t>
      </w:r>
      <w:r w:rsidR="001F08A3" w:rsidRPr="00330447">
        <w:rPr>
          <w:lang w:val="en-GB"/>
        </w:rPr>
        <w:t xml:space="preserve">he author </w:t>
      </w:r>
      <w:r w:rsidR="001E4617" w:rsidRPr="00473037">
        <w:rPr>
          <w:lang w:val="en-GB"/>
        </w:rPr>
        <w:t>stated that he had no information</w:t>
      </w:r>
      <w:r w:rsidR="001F08A3" w:rsidRPr="00330447">
        <w:rPr>
          <w:lang w:val="en-GB"/>
        </w:rPr>
        <w:t xml:space="preserve"> </w:t>
      </w:r>
      <w:r w:rsidR="001E4617" w:rsidRPr="00473037">
        <w:rPr>
          <w:lang w:val="en-GB"/>
        </w:rPr>
        <w:t>as to</w:t>
      </w:r>
      <w:r w:rsidR="001F08A3" w:rsidRPr="00330447">
        <w:rPr>
          <w:lang w:val="en-GB"/>
        </w:rPr>
        <w:t xml:space="preserve"> his cousin’s murder</w:t>
      </w:r>
      <w:r w:rsidR="001F08A3" w:rsidRPr="00473037">
        <w:rPr>
          <w:lang w:val="en-GB"/>
        </w:rPr>
        <w:t xml:space="preserve"> and no action </w:t>
      </w:r>
      <w:r w:rsidR="001E4617" w:rsidRPr="003E789E">
        <w:rPr>
          <w:lang w:val="en-GB"/>
        </w:rPr>
        <w:t xml:space="preserve">has been taken </w:t>
      </w:r>
      <w:r w:rsidR="001F08A3" w:rsidRPr="00342B0A">
        <w:rPr>
          <w:lang w:val="en-GB"/>
        </w:rPr>
        <w:t xml:space="preserve">against the author following this incident. </w:t>
      </w:r>
      <w:r w:rsidR="001F08A3" w:rsidRPr="00330447">
        <w:rPr>
          <w:lang w:val="en-GB"/>
        </w:rPr>
        <w:t>The Board also noted that</w:t>
      </w:r>
      <w:r w:rsidR="00337F17">
        <w:rPr>
          <w:lang w:val="en-GB"/>
        </w:rPr>
        <w:t>,</w:t>
      </w:r>
      <w:r w:rsidR="001F08A3" w:rsidRPr="00330447">
        <w:rPr>
          <w:lang w:val="en-GB"/>
        </w:rPr>
        <w:t xml:space="preserve"> during the nine months</w:t>
      </w:r>
      <w:r w:rsidR="001F08A3" w:rsidRPr="00473037">
        <w:rPr>
          <w:lang w:val="en-GB"/>
        </w:rPr>
        <w:t xml:space="preserve"> between</w:t>
      </w:r>
      <w:r w:rsidR="001F08A3" w:rsidRPr="00330447">
        <w:rPr>
          <w:lang w:val="en-GB"/>
        </w:rPr>
        <w:t xml:space="preserve"> his cousin’s murder</w:t>
      </w:r>
      <w:r w:rsidR="001F08A3" w:rsidRPr="00473037">
        <w:rPr>
          <w:lang w:val="en-GB"/>
        </w:rPr>
        <w:t xml:space="preserve"> and his move to Point Pedro</w:t>
      </w:r>
      <w:r w:rsidR="001F08A3" w:rsidRPr="00330447">
        <w:rPr>
          <w:lang w:val="en-GB"/>
        </w:rPr>
        <w:t>, the author was not approached by EPDP or the Sri Lankan authorities</w:t>
      </w:r>
      <w:r w:rsidR="001F08A3" w:rsidRPr="00473037">
        <w:rPr>
          <w:lang w:val="en-GB"/>
        </w:rPr>
        <w:t xml:space="preserve">. </w:t>
      </w:r>
      <w:r w:rsidR="001F08A3" w:rsidRPr="00330447">
        <w:rPr>
          <w:lang w:val="en-GB"/>
        </w:rPr>
        <w:t xml:space="preserve">The Board concluded that there was no link between </w:t>
      </w:r>
      <w:r w:rsidR="001F08A3" w:rsidRPr="00473037">
        <w:rPr>
          <w:lang w:val="en-GB"/>
        </w:rPr>
        <w:t xml:space="preserve">the </w:t>
      </w:r>
      <w:r w:rsidR="001F08A3" w:rsidRPr="00330447">
        <w:rPr>
          <w:lang w:val="en-GB"/>
        </w:rPr>
        <w:t xml:space="preserve">alleged harassment and his departure from his village of origin. </w:t>
      </w:r>
      <w:r w:rsidR="001F08A3" w:rsidRPr="00473037">
        <w:rPr>
          <w:lang w:val="en-GB"/>
        </w:rPr>
        <w:t>F</w:t>
      </w:r>
      <w:r w:rsidR="001F08A3" w:rsidRPr="003E789E">
        <w:rPr>
          <w:lang w:val="en-GB"/>
        </w:rPr>
        <w:t xml:space="preserve">urthermore, </w:t>
      </w:r>
      <w:r w:rsidR="00337F17">
        <w:rPr>
          <w:lang w:val="en-GB"/>
        </w:rPr>
        <w:t>between</w:t>
      </w:r>
      <w:r w:rsidR="00337F17" w:rsidRPr="00134CC0">
        <w:rPr>
          <w:lang w:val="en-GB"/>
        </w:rPr>
        <w:t xml:space="preserve"> </w:t>
      </w:r>
      <w:r w:rsidR="001F08A3" w:rsidRPr="00134CC0">
        <w:rPr>
          <w:lang w:val="en-GB"/>
        </w:rPr>
        <w:t xml:space="preserve">the questioning in 2007 at the grocery store </w:t>
      </w:r>
      <w:r w:rsidR="00337F17">
        <w:rPr>
          <w:lang w:val="en-GB"/>
        </w:rPr>
        <w:t>and</w:t>
      </w:r>
      <w:r w:rsidR="00337F17" w:rsidRPr="00134CC0">
        <w:rPr>
          <w:lang w:val="en-GB"/>
        </w:rPr>
        <w:t xml:space="preserve"> </w:t>
      </w:r>
      <w:r w:rsidR="001F08A3" w:rsidRPr="00134CC0">
        <w:rPr>
          <w:lang w:val="en-GB"/>
        </w:rPr>
        <w:t xml:space="preserve">his departure from Sri Lanka in 2012, the author has not been contacted by anyone about the murder. While the author mentioned that some persons tried to </w:t>
      </w:r>
      <w:r w:rsidR="001F08A3" w:rsidRPr="00330447">
        <w:rPr>
          <w:lang w:val="en-GB"/>
        </w:rPr>
        <w:t>contact him after his visit to his aunt in 2012, there is no information about the purpose of their visit.</w:t>
      </w:r>
    </w:p>
    <w:p w:rsidR="00DC465A" w:rsidRPr="00330447" w:rsidRDefault="00C73736" w:rsidP="00DC465A">
      <w:pPr>
        <w:pStyle w:val="SingleTxtG"/>
        <w:rPr>
          <w:lang w:val="en-GB"/>
        </w:rPr>
      </w:pPr>
      <w:r w:rsidRPr="00330447">
        <w:rPr>
          <w:lang w:val="en-GB"/>
        </w:rPr>
        <w:t>4.</w:t>
      </w:r>
      <w:r w:rsidR="001F08A3" w:rsidRPr="00330447">
        <w:rPr>
          <w:lang w:val="en-GB"/>
        </w:rPr>
        <w:t>6</w:t>
      </w:r>
      <w:r w:rsidRPr="00330447">
        <w:rPr>
          <w:lang w:val="en-GB"/>
        </w:rPr>
        <w:tab/>
        <w:t>T</w:t>
      </w:r>
      <w:r w:rsidRPr="00473037">
        <w:rPr>
          <w:lang w:val="en-GB"/>
        </w:rPr>
        <w:t>he State party finally considers that there is no reason to question the thorough assessment of the author’s situation made by the Refugee Appeals Board, which concluded that the</w:t>
      </w:r>
      <w:r w:rsidRPr="003E789E">
        <w:rPr>
          <w:lang w:val="en-GB"/>
        </w:rPr>
        <w:t xml:space="preserve">re is no indication that he will be subjected to torture or to cruel, inhuman or degrading treatment or punishment upon return to Sri Lanka. </w:t>
      </w:r>
      <w:r w:rsidR="00C819E8" w:rsidRPr="00342B0A">
        <w:rPr>
          <w:lang w:val="en-GB"/>
        </w:rPr>
        <w:t>T</w:t>
      </w:r>
      <w:r w:rsidRPr="00134CC0">
        <w:rPr>
          <w:lang w:val="en-GB"/>
        </w:rPr>
        <w:t>he</w:t>
      </w:r>
      <w:r w:rsidR="00BE4F3F" w:rsidRPr="00134CC0">
        <w:rPr>
          <w:lang w:val="en-GB"/>
        </w:rPr>
        <w:t xml:space="preserve"> State party</w:t>
      </w:r>
      <w:r w:rsidR="00C819E8" w:rsidRPr="00330447">
        <w:rPr>
          <w:lang w:val="en-GB"/>
        </w:rPr>
        <w:t xml:space="preserve"> finally</w:t>
      </w:r>
      <w:r w:rsidR="00BE4F3F" w:rsidRPr="00330447">
        <w:rPr>
          <w:lang w:val="en-GB"/>
        </w:rPr>
        <w:t xml:space="preserve"> </w:t>
      </w:r>
      <w:r w:rsidRPr="00330447">
        <w:rPr>
          <w:lang w:val="en-GB"/>
        </w:rPr>
        <w:t>reiterates</w:t>
      </w:r>
      <w:r w:rsidR="00BE4F3F" w:rsidRPr="00330447">
        <w:rPr>
          <w:lang w:val="en-GB"/>
        </w:rPr>
        <w:t xml:space="preserve"> that the cur</w:t>
      </w:r>
      <w:r w:rsidR="009002FE" w:rsidRPr="00330447">
        <w:rPr>
          <w:lang w:val="en-GB"/>
        </w:rPr>
        <w:t>rent background material on Sri</w:t>
      </w:r>
      <w:r w:rsidR="00BE4F3F" w:rsidRPr="00330447">
        <w:rPr>
          <w:lang w:val="en-GB"/>
        </w:rPr>
        <w:t xml:space="preserve"> Lanka </w:t>
      </w:r>
      <w:r w:rsidR="00C819E8" w:rsidRPr="00330447">
        <w:rPr>
          <w:lang w:val="en-GB"/>
        </w:rPr>
        <w:t xml:space="preserve">does not </w:t>
      </w:r>
      <w:r w:rsidR="008F0E3C" w:rsidRPr="00330447">
        <w:rPr>
          <w:lang w:val="en-GB"/>
        </w:rPr>
        <w:t xml:space="preserve">contain any basis which enables </w:t>
      </w:r>
      <w:r w:rsidR="00337F17">
        <w:rPr>
          <w:lang w:val="en-GB"/>
        </w:rPr>
        <w:t xml:space="preserve">it </w:t>
      </w:r>
      <w:r w:rsidR="008F0E3C" w:rsidRPr="00330447">
        <w:rPr>
          <w:lang w:val="en-GB"/>
        </w:rPr>
        <w:t>to assume</w:t>
      </w:r>
      <w:r w:rsidR="00BE4F3F" w:rsidRPr="00330447">
        <w:rPr>
          <w:lang w:val="en-GB"/>
        </w:rPr>
        <w:t xml:space="preserve"> that Tamils who </w:t>
      </w:r>
      <w:r w:rsidR="0028489A" w:rsidRPr="00330447">
        <w:rPr>
          <w:lang w:val="en-GB"/>
        </w:rPr>
        <w:t xml:space="preserve">did </w:t>
      </w:r>
      <w:r w:rsidR="004E4254" w:rsidRPr="00330447">
        <w:rPr>
          <w:lang w:val="en-GB"/>
        </w:rPr>
        <w:t>not</w:t>
      </w:r>
      <w:r w:rsidR="0028489A" w:rsidRPr="00330447">
        <w:rPr>
          <w:lang w:val="en-GB"/>
        </w:rPr>
        <w:t xml:space="preserve"> have</w:t>
      </w:r>
      <w:r w:rsidR="00BE4F3F" w:rsidRPr="00330447">
        <w:rPr>
          <w:lang w:val="en-GB"/>
        </w:rPr>
        <w:t xml:space="preserve"> links to LTTE</w:t>
      </w:r>
      <w:r w:rsidR="0028489A" w:rsidRPr="00330447">
        <w:rPr>
          <w:lang w:val="en-GB"/>
        </w:rPr>
        <w:t>,</w:t>
      </w:r>
      <w:r w:rsidR="00BE4F3F" w:rsidRPr="00330447">
        <w:rPr>
          <w:lang w:val="en-GB"/>
        </w:rPr>
        <w:t xml:space="preserve"> or whose family members are not high-profile members of LTTE</w:t>
      </w:r>
      <w:r w:rsidR="0028489A" w:rsidRPr="00330447">
        <w:rPr>
          <w:lang w:val="en-GB"/>
        </w:rPr>
        <w:t>,</w:t>
      </w:r>
      <w:r w:rsidR="00BE4F3F" w:rsidRPr="00330447">
        <w:rPr>
          <w:lang w:val="en-GB"/>
        </w:rPr>
        <w:t xml:space="preserve"> will be at risk of persecution as a </w:t>
      </w:r>
      <w:r w:rsidR="00BE4F3F" w:rsidRPr="00330447">
        <w:rPr>
          <w:lang w:val="en-GB"/>
        </w:rPr>
        <w:lastRenderedPageBreak/>
        <w:t>consequence of their ethnicity</w:t>
      </w:r>
      <w:r w:rsidR="00313386" w:rsidRPr="00330447">
        <w:rPr>
          <w:lang w:val="en-GB"/>
        </w:rPr>
        <w:t>.</w:t>
      </w:r>
      <w:r w:rsidR="00BE4F3F" w:rsidRPr="00473037">
        <w:rPr>
          <w:rStyle w:val="FootnoteReference"/>
          <w:lang w:val="en-GB"/>
        </w:rPr>
        <w:footnoteReference w:id="10"/>
      </w:r>
      <w:r w:rsidRPr="00473037">
        <w:rPr>
          <w:lang w:val="en-GB"/>
        </w:rPr>
        <w:t xml:space="preserve"> </w:t>
      </w:r>
      <w:r w:rsidR="00C04639" w:rsidRPr="003E789E">
        <w:rPr>
          <w:lang w:val="en-GB"/>
        </w:rPr>
        <w:t>The State party conclude</w:t>
      </w:r>
      <w:r w:rsidR="00C04639" w:rsidRPr="00342B0A">
        <w:rPr>
          <w:lang w:val="en-GB"/>
        </w:rPr>
        <w:t xml:space="preserve">s that returning the author to Sri Lanka would not constitute a violation of the </w:t>
      </w:r>
      <w:r w:rsidR="00502CC1" w:rsidRPr="00134CC0">
        <w:rPr>
          <w:lang w:val="en-GB"/>
        </w:rPr>
        <w:t>article </w:t>
      </w:r>
      <w:r w:rsidR="00C04639" w:rsidRPr="00330447">
        <w:rPr>
          <w:lang w:val="en-GB"/>
        </w:rPr>
        <w:t>7 of the Covenant.</w:t>
      </w:r>
    </w:p>
    <w:p w:rsidR="007740F1" w:rsidRPr="00330447" w:rsidRDefault="004C4D76" w:rsidP="004C4D76">
      <w:pPr>
        <w:pStyle w:val="H23G"/>
      </w:pPr>
      <w:r w:rsidRPr="00330447">
        <w:tab/>
      </w:r>
      <w:r w:rsidRPr="00330447">
        <w:tab/>
      </w:r>
      <w:r w:rsidR="00431396" w:rsidRPr="00330447">
        <w:t>Author’</w:t>
      </w:r>
      <w:r w:rsidR="00446ABC" w:rsidRPr="00330447">
        <w:t>s</w:t>
      </w:r>
      <w:r w:rsidR="009A19F8" w:rsidRPr="00330447">
        <w:t xml:space="preserve"> comments on the State party</w:t>
      </w:r>
      <w:r w:rsidR="008B4AA3" w:rsidRPr="00330447">
        <w:t>’</w:t>
      </w:r>
      <w:r w:rsidR="009A19F8" w:rsidRPr="00330447">
        <w:t>s observations</w:t>
      </w:r>
      <w:r w:rsidR="000A2EE4" w:rsidRPr="00330447">
        <w:t xml:space="preserve"> </w:t>
      </w:r>
    </w:p>
    <w:p w:rsidR="009002FE" w:rsidRPr="00330447" w:rsidRDefault="009A19F8" w:rsidP="004C4D76">
      <w:pPr>
        <w:pStyle w:val="SingleTxtG"/>
        <w:rPr>
          <w:lang w:val="en-GB"/>
        </w:rPr>
      </w:pPr>
      <w:r w:rsidRPr="00330447">
        <w:rPr>
          <w:bCs/>
          <w:lang w:val="en-GB"/>
        </w:rPr>
        <w:t>5.</w:t>
      </w:r>
      <w:r w:rsidR="008730D5" w:rsidRPr="00473037">
        <w:rPr>
          <w:bCs/>
          <w:lang w:val="en-GB"/>
        </w:rPr>
        <w:t>1</w:t>
      </w:r>
      <w:r w:rsidRPr="00330447">
        <w:rPr>
          <w:bCs/>
          <w:lang w:val="en-GB"/>
        </w:rPr>
        <w:tab/>
      </w:r>
      <w:r w:rsidR="000A2EE4" w:rsidRPr="00473037">
        <w:rPr>
          <w:lang w:val="en-GB"/>
        </w:rPr>
        <w:t xml:space="preserve">On </w:t>
      </w:r>
      <w:r w:rsidR="009002FE" w:rsidRPr="003E789E">
        <w:rPr>
          <w:lang w:val="en-GB"/>
        </w:rPr>
        <w:t>20 March 2014, the author submitted his comments on the State party’s observa</w:t>
      </w:r>
      <w:r w:rsidR="009002FE" w:rsidRPr="00342B0A">
        <w:rPr>
          <w:lang w:val="en-GB"/>
        </w:rPr>
        <w:t xml:space="preserve">tions. He stresses that it was indeed EPDP members who questioned him about his cousin’s murder at the grocery shop and that it was again EPDP members who were looking for him at his aunt’s house after he visited her in 2012. He thinks that his </w:t>
      </w:r>
      <w:r w:rsidR="00746750" w:rsidRPr="00134CC0">
        <w:rPr>
          <w:lang w:val="en-GB"/>
        </w:rPr>
        <w:t xml:space="preserve">cousin was </w:t>
      </w:r>
      <w:r w:rsidR="00746750" w:rsidRPr="00330447">
        <w:rPr>
          <w:lang w:val="en-GB"/>
        </w:rPr>
        <w:t xml:space="preserve">murdered because of his support </w:t>
      </w:r>
      <w:r w:rsidR="00CC3226">
        <w:rPr>
          <w:lang w:val="en-GB"/>
        </w:rPr>
        <w:t>for</w:t>
      </w:r>
      <w:r w:rsidR="00CC3226" w:rsidRPr="00330447">
        <w:rPr>
          <w:lang w:val="en-GB"/>
        </w:rPr>
        <w:t xml:space="preserve"> </w:t>
      </w:r>
      <w:r w:rsidR="00746750" w:rsidRPr="00330447">
        <w:rPr>
          <w:lang w:val="en-GB"/>
        </w:rPr>
        <w:t>LTTE and their joint activit</w:t>
      </w:r>
      <w:r w:rsidR="00446ABC" w:rsidRPr="00330447">
        <w:rPr>
          <w:lang w:val="en-GB"/>
        </w:rPr>
        <w:t>ies</w:t>
      </w:r>
      <w:r w:rsidR="00746750" w:rsidRPr="00330447">
        <w:rPr>
          <w:lang w:val="en-GB"/>
        </w:rPr>
        <w:t xml:space="preserve"> to help </w:t>
      </w:r>
      <w:r w:rsidR="0028489A" w:rsidRPr="00330447">
        <w:rPr>
          <w:lang w:val="en-GB"/>
        </w:rPr>
        <w:t xml:space="preserve">some </w:t>
      </w:r>
      <w:r w:rsidR="00746750" w:rsidRPr="00330447">
        <w:rPr>
          <w:lang w:val="en-GB"/>
        </w:rPr>
        <w:t>LTTE</w:t>
      </w:r>
      <w:r w:rsidR="0028489A" w:rsidRPr="00330447">
        <w:rPr>
          <w:lang w:val="en-GB"/>
        </w:rPr>
        <w:t xml:space="preserve"> members</w:t>
      </w:r>
      <w:r w:rsidR="00746750" w:rsidRPr="00330447">
        <w:rPr>
          <w:lang w:val="en-GB"/>
        </w:rPr>
        <w:t xml:space="preserve">. He reiterates that as a </w:t>
      </w:r>
      <w:r w:rsidR="009002FE" w:rsidRPr="00330447">
        <w:rPr>
          <w:lang w:val="en-GB"/>
        </w:rPr>
        <w:t xml:space="preserve">former </w:t>
      </w:r>
      <w:r w:rsidR="0028489A" w:rsidRPr="00330447">
        <w:rPr>
          <w:lang w:val="en-GB"/>
        </w:rPr>
        <w:t xml:space="preserve">LTTE </w:t>
      </w:r>
      <w:r w:rsidR="009002FE" w:rsidRPr="00330447">
        <w:rPr>
          <w:lang w:val="en-GB"/>
        </w:rPr>
        <w:t>support</w:t>
      </w:r>
      <w:r w:rsidR="00746750" w:rsidRPr="00330447">
        <w:rPr>
          <w:lang w:val="en-GB"/>
        </w:rPr>
        <w:t>er</w:t>
      </w:r>
      <w:r w:rsidR="009002FE" w:rsidRPr="00330447">
        <w:rPr>
          <w:lang w:val="en-GB"/>
        </w:rPr>
        <w:t xml:space="preserve"> </w:t>
      </w:r>
      <w:r w:rsidR="00746750" w:rsidRPr="00330447">
        <w:rPr>
          <w:lang w:val="en-GB"/>
        </w:rPr>
        <w:t>who witness</w:t>
      </w:r>
      <w:r w:rsidR="00446ABC" w:rsidRPr="00330447">
        <w:rPr>
          <w:lang w:val="en-GB"/>
        </w:rPr>
        <w:t>ed his cousin’s murder by EPDP</w:t>
      </w:r>
      <w:r w:rsidR="0028489A" w:rsidRPr="00330447">
        <w:rPr>
          <w:lang w:val="en-GB"/>
        </w:rPr>
        <w:t xml:space="preserve"> paramilitaries</w:t>
      </w:r>
      <w:r w:rsidR="00746750" w:rsidRPr="00330447">
        <w:rPr>
          <w:lang w:val="en-GB"/>
        </w:rPr>
        <w:t>, he is at risk of being persecute</w:t>
      </w:r>
      <w:r w:rsidR="00B42976" w:rsidRPr="00330447">
        <w:rPr>
          <w:lang w:val="en-GB"/>
        </w:rPr>
        <w:t>d</w:t>
      </w:r>
      <w:r w:rsidR="00746750" w:rsidRPr="00330447">
        <w:rPr>
          <w:lang w:val="en-GB"/>
        </w:rPr>
        <w:t xml:space="preserve"> </w:t>
      </w:r>
      <w:r w:rsidR="0028489A" w:rsidRPr="00330447">
        <w:rPr>
          <w:lang w:val="en-GB"/>
        </w:rPr>
        <w:t>if he returns to Sri Lanka</w:t>
      </w:r>
      <w:r w:rsidR="008F0E3C" w:rsidRPr="00330447">
        <w:rPr>
          <w:lang w:val="en-GB"/>
        </w:rPr>
        <w:t>,</w:t>
      </w:r>
      <w:r w:rsidR="0028489A" w:rsidRPr="00330447">
        <w:rPr>
          <w:lang w:val="en-GB"/>
        </w:rPr>
        <w:t xml:space="preserve"> </w:t>
      </w:r>
      <w:r w:rsidR="008F0E3C" w:rsidRPr="00330447">
        <w:rPr>
          <w:lang w:val="en-GB"/>
        </w:rPr>
        <w:t xml:space="preserve">both </w:t>
      </w:r>
      <w:r w:rsidR="00746750" w:rsidRPr="00330447">
        <w:rPr>
          <w:lang w:val="en-GB"/>
        </w:rPr>
        <w:t>by the Sri Lankan authorities and EPDP.</w:t>
      </w:r>
    </w:p>
    <w:p w:rsidR="00746750" w:rsidRPr="00473037" w:rsidRDefault="00446ABC" w:rsidP="00EF3514">
      <w:pPr>
        <w:pStyle w:val="SingleTxtG"/>
        <w:rPr>
          <w:lang w:val="en-GB"/>
        </w:rPr>
      </w:pPr>
      <w:r w:rsidRPr="00330447">
        <w:rPr>
          <w:lang w:val="en-GB"/>
        </w:rPr>
        <w:t>5.2</w:t>
      </w:r>
      <w:r w:rsidRPr="00330447">
        <w:rPr>
          <w:lang w:val="en-GB"/>
        </w:rPr>
        <w:tab/>
      </w:r>
      <w:r w:rsidR="00746750" w:rsidRPr="00330447">
        <w:rPr>
          <w:lang w:val="en-GB"/>
        </w:rPr>
        <w:t xml:space="preserve">The author </w:t>
      </w:r>
      <w:r w:rsidR="008F0E3C" w:rsidRPr="00330447">
        <w:rPr>
          <w:lang w:val="en-GB"/>
        </w:rPr>
        <w:t>refers</w:t>
      </w:r>
      <w:r w:rsidR="00746750" w:rsidRPr="00330447">
        <w:rPr>
          <w:lang w:val="en-GB"/>
        </w:rPr>
        <w:t xml:space="preserve"> to the </w:t>
      </w:r>
      <w:r w:rsidRPr="006E1890">
        <w:rPr>
          <w:lang w:val="en-GB"/>
        </w:rPr>
        <w:t>UNHCR</w:t>
      </w:r>
      <w:r w:rsidR="00746750" w:rsidRPr="00AA72B2">
        <w:rPr>
          <w:lang w:val="en-GB"/>
        </w:rPr>
        <w:t xml:space="preserve"> guidelines</w:t>
      </w:r>
      <w:r w:rsidR="00CC3226">
        <w:rPr>
          <w:lang w:val="en-GB"/>
        </w:rPr>
        <w:t>,</w:t>
      </w:r>
      <w:r w:rsidR="008F0E3C" w:rsidRPr="00330447">
        <w:rPr>
          <w:lang w:val="en-GB"/>
        </w:rPr>
        <w:t xml:space="preserve"> according to which </w:t>
      </w:r>
      <w:r w:rsidR="00746750" w:rsidRPr="00330447">
        <w:rPr>
          <w:lang w:val="en-GB"/>
        </w:rPr>
        <w:t>former LTTE supporter</w:t>
      </w:r>
      <w:r w:rsidRPr="00330447">
        <w:rPr>
          <w:lang w:val="en-GB"/>
        </w:rPr>
        <w:t>s</w:t>
      </w:r>
      <w:r w:rsidR="00746750" w:rsidRPr="00330447">
        <w:rPr>
          <w:lang w:val="en-GB"/>
        </w:rPr>
        <w:t xml:space="preserve"> who may never have undergone military training but were involved in sheltering or transporting LTTE personnel</w:t>
      </w:r>
      <w:r w:rsidR="00C73736" w:rsidRPr="00330447">
        <w:rPr>
          <w:lang w:val="en-GB"/>
        </w:rPr>
        <w:t>,</w:t>
      </w:r>
      <w:r w:rsidR="00746750" w:rsidRPr="00330447">
        <w:rPr>
          <w:lang w:val="en-GB"/>
        </w:rPr>
        <w:t xml:space="preserve"> o</w:t>
      </w:r>
      <w:r w:rsidRPr="00330447">
        <w:rPr>
          <w:lang w:val="en-GB"/>
        </w:rPr>
        <w:t xml:space="preserve">r </w:t>
      </w:r>
      <w:r w:rsidR="00A647C7" w:rsidRPr="00330447">
        <w:rPr>
          <w:lang w:val="en-GB"/>
        </w:rPr>
        <w:t xml:space="preserve">the </w:t>
      </w:r>
      <w:r w:rsidR="00746750" w:rsidRPr="00330447">
        <w:rPr>
          <w:lang w:val="en-GB"/>
        </w:rPr>
        <w:t>supply and transport</w:t>
      </w:r>
      <w:r w:rsidR="00C73736" w:rsidRPr="00330447">
        <w:rPr>
          <w:lang w:val="en-GB"/>
        </w:rPr>
        <w:t xml:space="preserve"> of</w:t>
      </w:r>
      <w:r w:rsidR="00746750" w:rsidRPr="00330447">
        <w:rPr>
          <w:lang w:val="en-GB"/>
        </w:rPr>
        <w:t xml:space="preserve"> goods for LTTE</w:t>
      </w:r>
      <w:r w:rsidRPr="00330447">
        <w:rPr>
          <w:lang w:val="en-GB"/>
        </w:rPr>
        <w:t>,</w:t>
      </w:r>
      <w:r w:rsidR="00746750" w:rsidRPr="00330447">
        <w:rPr>
          <w:lang w:val="en-GB"/>
        </w:rPr>
        <w:t xml:space="preserve"> are recognized as individuals </w:t>
      </w:r>
      <w:r w:rsidR="00C73736" w:rsidRPr="00330447">
        <w:rPr>
          <w:lang w:val="en-GB"/>
        </w:rPr>
        <w:t>at</w:t>
      </w:r>
      <w:r w:rsidRPr="00330447">
        <w:rPr>
          <w:lang w:val="en-GB"/>
        </w:rPr>
        <w:t xml:space="preserve"> risk of persecution in Sri Lanka</w:t>
      </w:r>
      <w:r w:rsidR="00313386" w:rsidRPr="00330447">
        <w:rPr>
          <w:lang w:val="en-GB"/>
        </w:rPr>
        <w:t>.</w:t>
      </w:r>
      <w:r w:rsidR="00F31242" w:rsidRPr="00473037">
        <w:rPr>
          <w:rStyle w:val="FootnoteReference"/>
          <w:lang w:val="en-GB"/>
        </w:rPr>
        <w:footnoteReference w:id="11"/>
      </w:r>
    </w:p>
    <w:p w:rsidR="00DC465A" w:rsidRPr="00473037" w:rsidRDefault="00446ABC" w:rsidP="00EF3514">
      <w:pPr>
        <w:pStyle w:val="SingleTxtG"/>
        <w:rPr>
          <w:lang w:val="en-GB"/>
        </w:rPr>
      </w:pPr>
      <w:r w:rsidRPr="003E789E">
        <w:rPr>
          <w:lang w:val="en-GB"/>
        </w:rPr>
        <w:t>5.3</w:t>
      </w:r>
      <w:r w:rsidRPr="003E789E">
        <w:rPr>
          <w:lang w:val="en-GB"/>
        </w:rPr>
        <w:tab/>
      </w:r>
      <w:r w:rsidR="00746750" w:rsidRPr="00342B0A">
        <w:rPr>
          <w:lang w:val="en-GB"/>
        </w:rPr>
        <w:t xml:space="preserve">The author </w:t>
      </w:r>
      <w:r w:rsidR="008F0E3C" w:rsidRPr="00134CC0">
        <w:rPr>
          <w:lang w:val="en-GB"/>
        </w:rPr>
        <w:t xml:space="preserve">further considers </w:t>
      </w:r>
      <w:r w:rsidR="00B42976" w:rsidRPr="00134CC0">
        <w:rPr>
          <w:lang w:val="en-GB"/>
        </w:rPr>
        <w:t>that</w:t>
      </w:r>
      <w:r w:rsidR="00E46A08">
        <w:rPr>
          <w:lang w:val="en-GB"/>
        </w:rPr>
        <w:t>,</w:t>
      </w:r>
      <w:r w:rsidR="00B42976" w:rsidRPr="00134CC0">
        <w:rPr>
          <w:lang w:val="en-GB"/>
        </w:rPr>
        <w:t xml:space="preserve"> since the European Court’s decision</w:t>
      </w:r>
      <w:r w:rsidR="0028489A" w:rsidRPr="00330447">
        <w:rPr>
          <w:lang w:val="en-GB"/>
        </w:rPr>
        <w:t xml:space="preserve"> </w:t>
      </w:r>
      <w:r w:rsidR="0028489A" w:rsidRPr="006E1890">
        <w:rPr>
          <w:i/>
          <w:iCs/>
          <w:lang w:val="en-GB"/>
        </w:rPr>
        <w:t>N</w:t>
      </w:r>
      <w:r w:rsidR="0028489A" w:rsidRPr="00AA72B2">
        <w:rPr>
          <w:i/>
          <w:lang w:val="en-GB"/>
        </w:rPr>
        <w:t>.A. v</w:t>
      </w:r>
      <w:r w:rsidR="00473037" w:rsidRPr="003C20E5">
        <w:rPr>
          <w:i/>
          <w:lang w:val="en-GB"/>
        </w:rPr>
        <w:t>.</w:t>
      </w:r>
      <w:r w:rsidR="0028489A" w:rsidRPr="00DB406B">
        <w:rPr>
          <w:i/>
          <w:lang w:val="en-GB"/>
        </w:rPr>
        <w:t xml:space="preserve"> the United Kingdom</w:t>
      </w:r>
      <w:r w:rsidR="0028489A" w:rsidRPr="00342B0A">
        <w:rPr>
          <w:lang w:val="en-GB"/>
        </w:rPr>
        <w:t xml:space="preserve"> of 2008</w:t>
      </w:r>
      <w:r w:rsidR="00B42976" w:rsidRPr="00134CC0">
        <w:rPr>
          <w:lang w:val="en-GB"/>
        </w:rPr>
        <w:t xml:space="preserve">, the situation </w:t>
      </w:r>
      <w:r w:rsidRPr="00134CC0">
        <w:rPr>
          <w:lang w:val="en-GB"/>
        </w:rPr>
        <w:t>of</w:t>
      </w:r>
      <w:r w:rsidR="00B42976" w:rsidRPr="00330447">
        <w:rPr>
          <w:lang w:val="en-GB"/>
        </w:rPr>
        <w:t xml:space="preserve"> ethnic Tamils in Sri Lanka has </w:t>
      </w:r>
      <w:r w:rsidR="00C73736" w:rsidRPr="00330447">
        <w:rPr>
          <w:lang w:val="en-GB"/>
        </w:rPr>
        <w:t xml:space="preserve">further </w:t>
      </w:r>
      <w:r w:rsidR="00B42976" w:rsidRPr="00330447">
        <w:rPr>
          <w:lang w:val="en-GB"/>
        </w:rPr>
        <w:t>deteriorated and</w:t>
      </w:r>
      <w:r w:rsidR="00E46A08">
        <w:rPr>
          <w:lang w:val="en-GB"/>
        </w:rPr>
        <w:t>,</w:t>
      </w:r>
      <w:r w:rsidR="00B42976" w:rsidRPr="00330447">
        <w:rPr>
          <w:lang w:val="en-GB"/>
        </w:rPr>
        <w:t xml:space="preserve"> as of today, even a small link to LTTE put</w:t>
      </w:r>
      <w:r w:rsidRPr="00330447">
        <w:rPr>
          <w:lang w:val="en-GB"/>
        </w:rPr>
        <w:t>s</w:t>
      </w:r>
      <w:r w:rsidR="00B42976" w:rsidRPr="00330447">
        <w:rPr>
          <w:lang w:val="en-GB"/>
        </w:rPr>
        <w:t xml:space="preserve"> Tamil returnees at risk of being subjected to torture or </w:t>
      </w:r>
      <w:r w:rsidR="00C73736" w:rsidRPr="00330447">
        <w:rPr>
          <w:lang w:val="en-GB"/>
        </w:rPr>
        <w:t>ill-</w:t>
      </w:r>
      <w:r w:rsidR="00B42976" w:rsidRPr="00330447">
        <w:rPr>
          <w:lang w:val="en-GB"/>
        </w:rPr>
        <w:t>treatment</w:t>
      </w:r>
      <w:r w:rsidR="00C73736" w:rsidRPr="00330447">
        <w:rPr>
          <w:lang w:val="en-GB"/>
        </w:rPr>
        <w:t xml:space="preserve"> by the Sri Lankan security forces</w:t>
      </w:r>
      <w:r w:rsidRPr="00330447">
        <w:rPr>
          <w:lang w:val="en-GB"/>
        </w:rPr>
        <w:t>.</w:t>
      </w:r>
      <w:r w:rsidR="00B42976" w:rsidRPr="00330447">
        <w:rPr>
          <w:lang w:val="en-GB"/>
        </w:rPr>
        <w:t xml:space="preserve"> </w:t>
      </w:r>
      <w:r w:rsidR="00B8190A" w:rsidRPr="00330447">
        <w:rPr>
          <w:lang w:val="en-GB"/>
        </w:rPr>
        <w:t>H</w:t>
      </w:r>
      <w:r w:rsidR="00B42976" w:rsidRPr="00330447">
        <w:rPr>
          <w:lang w:val="en-GB"/>
        </w:rPr>
        <w:t xml:space="preserve">e </w:t>
      </w:r>
      <w:r w:rsidRPr="00330447">
        <w:rPr>
          <w:lang w:val="en-GB"/>
        </w:rPr>
        <w:t>stresses that Swiss authorities have decided</w:t>
      </w:r>
      <w:r w:rsidR="00DC465A" w:rsidRPr="00330447">
        <w:rPr>
          <w:lang w:val="en-GB"/>
        </w:rPr>
        <w:t xml:space="preserve"> to stop all deportations to Sri Lanka because of the numerous reports of arrest and torture of Sri Lankan</w:t>
      </w:r>
      <w:r w:rsidR="00E46A08">
        <w:rPr>
          <w:lang w:val="en-GB"/>
        </w:rPr>
        <w:t>s</w:t>
      </w:r>
      <w:r w:rsidR="00DC465A" w:rsidRPr="00330447">
        <w:rPr>
          <w:lang w:val="en-GB"/>
        </w:rPr>
        <w:t xml:space="preserve"> who returned to their country</w:t>
      </w:r>
      <w:r w:rsidR="008E0CFD" w:rsidRPr="00330447">
        <w:rPr>
          <w:lang w:val="en-GB"/>
        </w:rPr>
        <w:t xml:space="preserve"> after a few years abroad</w:t>
      </w:r>
      <w:r w:rsidR="002C06BA" w:rsidRPr="00330447">
        <w:rPr>
          <w:lang w:val="en-GB"/>
        </w:rPr>
        <w:t xml:space="preserve">, including </w:t>
      </w:r>
      <w:r w:rsidR="008E0CFD" w:rsidRPr="00330447">
        <w:rPr>
          <w:lang w:val="en-GB"/>
        </w:rPr>
        <w:t xml:space="preserve">when they did so </w:t>
      </w:r>
      <w:r w:rsidR="002C06BA" w:rsidRPr="00330447">
        <w:rPr>
          <w:lang w:val="en-GB"/>
        </w:rPr>
        <w:t>on a voluntary basis</w:t>
      </w:r>
      <w:r w:rsidR="00313386" w:rsidRPr="00330447">
        <w:rPr>
          <w:lang w:val="en-GB"/>
        </w:rPr>
        <w:t>.</w:t>
      </w:r>
      <w:r w:rsidR="00136DE8" w:rsidRPr="00473037">
        <w:rPr>
          <w:rStyle w:val="FootnoteReference"/>
          <w:lang w:val="en-GB"/>
        </w:rPr>
        <w:footnoteReference w:id="12"/>
      </w:r>
      <w:r w:rsidR="00DC465A" w:rsidRPr="00473037">
        <w:rPr>
          <w:lang w:val="en-GB"/>
        </w:rPr>
        <w:t xml:space="preserve"> </w:t>
      </w:r>
      <w:r w:rsidR="00A647C7" w:rsidRPr="003E789E">
        <w:rPr>
          <w:lang w:val="en-GB"/>
        </w:rPr>
        <w:t xml:space="preserve">He also mentions some other cases where Sri Lankan returnees </w:t>
      </w:r>
      <w:r w:rsidR="00F908D7" w:rsidRPr="00342B0A">
        <w:rPr>
          <w:lang w:val="en-GB"/>
        </w:rPr>
        <w:t>of</w:t>
      </w:r>
      <w:r w:rsidR="00F908D7" w:rsidRPr="00134CC0">
        <w:rPr>
          <w:lang w:val="en-GB"/>
        </w:rPr>
        <w:t xml:space="preserve"> Tamil origins </w:t>
      </w:r>
      <w:r w:rsidR="00A647C7" w:rsidRPr="00134CC0">
        <w:rPr>
          <w:lang w:val="en-GB"/>
        </w:rPr>
        <w:t>have been arrested and subsequently tortured by the Sri Lankan security forces</w:t>
      </w:r>
      <w:r w:rsidR="00313386" w:rsidRPr="00330447">
        <w:rPr>
          <w:lang w:val="en-GB"/>
        </w:rPr>
        <w:t>.</w:t>
      </w:r>
      <w:r w:rsidR="00930548" w:rsidRPr="00473037">
        <w:rPr>
          <w:rStyle w:val="FootnoteReference"/>
          <w:lang w:val="en-GB"/>
        </w:rPr>
        <w:footnoteReference w:id="13"/>
      </w:r>
      <w:r w:rsidR="00A647C7" w:rsidRPr="00473037">
        <w:rPr>
          <w:lang w:val="en-GB"/>
        </w:rPr>
        <w:t xml:space="preserve"> He </w:t>
      </w:r>
      <w:r w:rsidR="00930548" w:rsidRPr="003E789E">
        <w:rPr>
          <w:lang w:val="en-GB"/>
        </w:rPr>
        <w:t>states that t</w:t>
      </w:r>
      <w:r w:rsidRPr="00342B0A">
        <w:rPr>
          <w:lang w:val="en-GB"/>
        </w:rPr>
        <w:t xml:space="preserve">he </w:t>
      </w:r>
      <w:r w:rsidR="00DC465A" w:rsidRPr="00134CC0">
        <w:rPr>
          <w:lang w:val="en-GB"/>
        </w:rPr>
        <w:t xml:space="preserve">Swiss Refugee Council </w:t>
      </w:r>
      <w:r w:rsidR="002C06BA" w:rsidRPr="00330447">
        <w:rPr>
          <w:lang w:val="en-GB"/>
        </w:rPr>
        <w:t xml:space="preserve">highlighted </w:t>
      </w:r>
      <w:r w:rsidR="00DC465A" w:rsidRPr="00330447">
        <w:rPr>
          <w:lang w:val="en-GB"/>
        </w:rPr>
        <w:t xml:space="preserve">that the Sri Lankan authorities are extremely paranoid and try to contain by </w:t>
      </w:r>
      <w:r w:rsidR="00E46A08">
        <w:rPr>
          <w:lang w:val="en-GB"/>
        </w:rPr>
        <w:t>any</w:t>
      </w:r>
      <w:r w:rsidR="00E46A08" w:rsidRPr="00330447">
        <w:rPr>
          <w:lang w:val="en-GB"/>
        </w:rPr>
        <w:t xml:space="preserve"> </w:t>
      </w:r>
      <w:r w:rsidR="00DC465A" w:rsidRPr="00330447">
        <w:rPr>
          <w:lang w:val="en-GB"/>
        </w:rPr>
        <w:t xml:space="preserve">means any possible resurgence of LTTE, directing their suspicions to all Tamils, even those without a high profile or direct links with LTTE. </w:t>
      </w:r>
      <w:r w:rsidR="00B8190A" w:rsidRPr="00330447">
        <w:rPr>
          <w:lang w:val="en-GB"/>
        </w:rPr>
        <w:t>Therefore, a</w:t>
      </w:r>
      <w:r w:rsidR="00DC465A" w:rsidRPr="00330447">
        <w:rPr>
          <w:lang w:val="en-GB"/>
        </w:rPr>
        <w:t>ny person returning from abroad is</w:t>
      </w:r>
      <w:r w:rsidRPr="00330447">
        <w:rPr>
          <w:lang w:val="en-GB"/>
        </w:rPr>
        <w:t xml:space="preserve"> </w:t>
      </w:r>
      <w:r w:rsidR="00DC465A" w:rsidRPr="00330447">
        <w:rPr>
          <w:lang w:val="en-GB"/>
        </w:rPr>
        <w:t xml:space="preserve">likely to be suspected by the authorities of maintaining links </w:t>
      </w:r>
      <w:r w:rsidR="002C06BA" w:rsidRPr="00330447">
        <w:rPr>
          <w:lang w:val="en-GB"/>
        </w:rPr>
        <w:t xml:space="preserve">with </w:t>
      </w:r>
      <w:r w:rsidR="00505D08" w:rsidRPr="00330447">
        <w:rPr>
          <w:lang w:val="en-GB"/>
        </w:rPr>
        <w:t xml:space="preserve">the </w:t>
      </w:r>
      <w:r w:rsidR="002C06BA" w:rsidRPr="00330447">
        <w:rPr>
          <w:lang w:val="en-GB"/>
        </w:rPr>
        <w:t>LTTE diaspora and suffer per</w:t>
      </w:r>
      <w:r w:rsidR="00DC465A" w:rsidRPr="00330447">
        <w:rPr>
          <w:lang w:val="en-GB"/>
        </w:rPr>
        <w:t>secution</w:t>
      </w:r>
      <w:r w:rsidR="00313386" w:rsidRPr="00330447">
        <w:rPr>
          <w:lang w:val="en-GB"/>
        </w:rPr>
        <w:t>.</w:t>
      </w:r>
      <w:r w:rsidR="00746750" w:rsidRPr="00473037">
        <w:rPr>
          <w:rStyle w:val="FootnoteReference"/>
          <w:lang w:val="en-GB"/>
        </w:rPr>
        <w:footnoteReference w:id="14"/>
      </w:r>
    </w:p>
    <w:p w:rsidR="00446ABC" w:rsidRPr="00330447" w:rsidRDefault="00446ABC" w:rsidP="00EF3514">
      <w:pPr>
        <w:pStyle w:val="SingleTxtG"/>
        <w:rPr>
          <w:lang w:val="en-GB"/>
        </w:rPr>
      </w:pPr>
      <w:r w:rsidRPr="003E789E">
        <w:rPr>
          <w:lang w:val="en-GB"/>
        </w:rPr>
        <w:t>5.4</w:t>
      </w:r>
      <w:r w:rsidRPr="003E789E">
        <w:rPr>
          <w:lang w:val="en-GB"/>
        </w:rPr>
        <w:tab/>
        <w:t xml:space="preserve">The author reiterates that his deportation to Sri Lanka by Denmark would constitute a violation of the </w:t>
      </w:r>
      <w:r w:rsidR="00502CC1" w:rsidRPr="00134CC0">
        <w:rPr>
          <w:lang w:val="en-GB"/>
        </w:rPr>
        <w:t>article </w:t>
      </w:r>
      <w:r w:rsidRPr="00330447">
        <w:rPr>
          <w:lang w:val="en-GB"/>
        </w:rPr>
        <w:t>7 of the Covenant.</w:t>
      </w:r>
    </w:p>
    <w:p w:rsidR="00F35149" w:rsidRPr="00330447" w:rsidRDefault="003134AC" w:rsidP="00F35149">
      <w:pPr>
        <w:pStyle w:val="H23G"/>
      </w:pPr>
      <w:r w:rsidRPr="00330447">
        <w:lastRenderedPageBreak/>
        <w:tab/>
      </w:r>
      <w:r w:rsidRPr="00330447">
        <w:tab/>
      </w:r>
      <w:r w:rsidR="00F35149" w:rsidRPr="00330447">
        <w:t>Issues and proceedings before the Committee</w:t>
      </w:r>
    </w:p>
    <w:p w:rsidR="00F35149" w:rsidRPr="00542F54" w:rsidRDefault="00F35149" w:rsidP="00F35149">
      <w:pPr>
        <w:pStyle w:val="H4G"/>
        <w:rPr>
          <w:b/>
          <w:i w:val="0"/>
        </w:rPr>
      </w:pPr>
      <w:r w:rsidRPr="00330447">
        <w:tab/>
      </w:r>
      <w:r w:rsidRPr="00330447">
        <w:tab/>
      </w:r>
      <w:r w:rsidRPr="00542F54">
        <w:rPr>
          <w:b/>
          <w:i w:val="0"/>
        </w:rPr>
        <w:t>Consideration of admissibility</w:t>
      </w:r>
    </w:p>
    <w:p w:rsidR="00F35149" w:rsidRPr="00330447" w:rsidRDefault="00446ABC" w:rsidP="00F35149">
      <w:pPr>
        <w:pStyle w:val="SingleTxtG"/>
        <w:rPr>
          <w:bCs/>
          <w:lang w:val="en-GB"/>
        </w:rPr>
      </w:pPr>
      <w:r w:rsidRPr="00330447">
        <w:rPr>
          <w:bCs/>
          <w:lang w:val="en-GB"/>
        </w:rPr>
        <w:t>6</w:t>
      </w:r>
      <w:r w:rsidR="00F35149" w:rsidRPr="00330447">
        <w:rPr>
          <w:bCs/>
          <w:lang w:val="en-GB"/>
        </w:rPr>
        <w:t>.1</w:t>
      </w:r>
      <w:r w:rsidR="00F35149" w:rsidRPr="00330447">
        <w:rPr>
          <w:bCs/>
          <w:lang w:val="en-GB"/>
        </w:rPr>
        <w:tab/>
        <w:t>Before considering any claims contained in a communication, the Committee must, in accordance with rule 93 of its rules of procedure, decide whether or not it is admissible under the Optional Protocol to the Covenant.</w:t>
      </w:r>
    </w:p>
    <w:p w:rsidR="00F35149" w:rsidRPr="00330447" w:rsidRDefault="00446ABC" w:rsidP="00F35149">
      <w:pPr>
        <w:pStyle w:val="SingleTxtG"/>
        <w:rPr>
          <w:bCs/>
          <w:lang w:val="en-GB"/>
        </w:rPr>
      </w:pPr>
      <w:r w:rsidRPr="00473037">
        <w:rPr>
          <w:bCs/>
          <w:lang w:val="en-GB"/>
        </w:rPr>
        <w:t>6</w:t>
      </w:r>
      <w:r w:rsidR="00F35149" w:rsidRPr="00330447">
        <w:rPr>
          <w:bCs/>
          <w:lang w:val="en-GB"/>
        </w:rPr>
        <w:t>.2</w:t>
      </w:r>
      <w:r w:rsidR="00F35149" w:rsidRPr="00330447">
        <w:rPr>
          <w:bCs/>
          <w:lang w:val="en-GB"/>
        </w:rPr>
        <w:tab/>
        <w:t xml:space="preserve">The Committee has ascertained, as required under </w:t>
      </w:r>
      <w:r w:rsidR="00502CC1" w:rsidRPr="00330447">
        <w:rPr>
          <w:bCs/>
          <w:lang w:val="en-GB"/>
        </w:rPr>
        <w:t>article </w:t>
      </w:r>
      <w:r w:rsidR="00F35149" w:rsidRPr="00330447">
        <w:rPr>
          <w:bCs/>
          <w:lang w:val="en-GB"/>
        </w:rPr>
        <w:t xml:space="preserve">5 </w:t>
      </w:r>
      <w:r w:rsidR="00E46A08">
        <w:rPr>
          <w:bCs/>
          <w:lang w:val="en-GB"/>
        </w:rPr>
        <w:t>(</w:t>
      </w:r>
      <w:r w:rsidR="00F35149" w:rsidRPr="00330447">
        <w:rPr>
          <w:bCs/>
          <w:lang w:val="en-GB"/>
        </w:rPr>
        <w:t>2</w:t>
      </w:r>
      <w:r w:rsidR="00E46A08">
        <w:rPr>
          <w:bCs/>
          <w:lang w:val="en-GB"/>
        </w:rPr>
        <w:t>)</w:t>
      </w:r>
      <w:r w:rsidR="00F35149" w:rsidRPr="00330447">
        <w:rPr>
          <w:bCs/>
          <w:lang w:val="en-GB"/>
        </w:rPr>
        <w:t xml:space="preserve"> (a) of the Optional Protocol, that the same matter is not being examined under another procedure of international investigation or settlement.</w:t>
      </w:r>
    </w:p>
    <w:p w:rsidR="00F60C3B" w:rsidRPr="00473037" w:rsidRDefault="00F60C3B" w:rsidP="00F60C3B">
      <w:pPr>
        <w:pStyle w:val="SingleTxtG"/>
        <w:rPr>
          <w:lang w:val="en-GB"/>
        </w:rPr>
      </w:pPr>
      <w:r w:rsidRPr="00473037">
        <w:rPr>
          <w:lang w:val="en-GB"/>
        </w:rPr>
        <w:t>6.3</w:t>
      </w:r>
      <w:r w:rsidRPr="00473037">
        <w:rPr>
          <w:lang w:val="en-GB"/>
        </w:rPr>
        <w:tab/>
      </w:r>
      <w:r w:rsidRPr="00330447">
        <w:rPr>
          <w:lang w:val="en-GB"/>
        </w:rPr>
        <w:t xml:space="preserve">The Committee recalls its jurisprudence to the effect that authors must avail themselves of all domestic remedies in order to fulfil the requirement of </w:t>
      </w:r>
      <w:r w:rsidR="00502CC1" w:rsidRPr="00330447">
        <w:rPr>
          <w:lang w:val="en-GB"/>
        </w:rPr>
        <w:t>article </w:t>
      </w:r>
      <w:r w:rsidRPr="00330447">
        <w:rPr>
          <w:lang w:val="en-GB"/>
        </w:rPr>
        <w:t xml:space="preserve">5 </w:t>
      </w:r>
      <w:r w:rsidR="00E46A08">
        <w:rPr>
          <w:lang w:val="en-GB"/>
        </w:rPr>
        <w:t>(</w:t>
      </w:r>
      <w:r w:rsidRPr="00330447">
        <w:rPr>
          <w:lang w:val="en-GB"/>
        </w:rPr>
        <w:t>2</w:t>
      </w:r>
      <w:r w:rsidR="00E46A08">
        <w:rPr>
          <w:lang w:val="en-GB"/>
        </w:rPr>
        <w:t>)</w:t>
      </w:r>
      <w:r w:rsidRPr="00330447">
        <w:rPr>
          <w:lang w:val="en-GB"/>
        </w:rPr>
        <w:t xml:space="preserve"> (b) of the Optional Protocol, in</w:t>
      </w:r>
      <w:r w:rsidR="00E46A08">
        <w:rPr>
          <w:lang w:val="en-GB"/>
        </w:rPr>
        <w:t xml:space="preserve"> </w:t>
      </w:r>
      <w:r w:rsidRPr="00330447">
        <w:rPr>
          <w:lang w:val="en-GB"/>
        </w:rPr>
        <w:t>so</w:t>
      </w:r>
      <w:r w:rsidR="00E46A08">
        <w:rPr>
          <w:lang w:val="en-GB"/>
        </w:rPr>
        <w:t xml:space="preserve"> </w:t>
      </w:r>
      <w:r w:rsidRPr="00330447">
        <w:rPr>
          <w:lang w:val="en-GB"/>
        </w:rPr>
        <w:t xml:space="preserve">far as such remedies appear to be effective in the given case and are </w:t>
      </w:r>
      <w:r w:rsidRPr="00330447">
        <w:rPr>
          <w:iCs/>
          <w:lang w:val="en-GB"/>
        </w:rPr>
        <w:t>de facto</w:t>
      </w:r>
      <w:r w:rsidRPr="00330447">
        <w:rPr>
          <w:lang w:val="en-GB"/>
        </w:rPr>
        <w:t xml:space="preserve"> available to the author.</w:t>
      </w:r>
      <w:r w:rsidRPr="00330447">
        <w:rPr>
          <w:vertAlign w:val="superscript"/>
          <w:lang w:val="en-GB"/>
        </w:rPr>
        <w:footnoteReference w:id="15"/>
      </w:r>
      <w:r w:rsidRPr="00330447">
        <w:rPr>
          <w:lang w:val="en-GB"/>
        </w:rPr>
        <w:t xml:space="preserve"> The Committee has noted that the author unsuccessfully appealed the decision </w:t>
      </w:r>
      <w:r w:rsidR="00E46A08">
        <w:rPr>
          <w:lang w:val="en-GB"/>
        </w:rPr>
        <w:t xml:space="preserve">to refuse asylum </w:t>
      </w:r>
      <w:r w:rsidR="00495A34" w:rsidRPr="00473037">
        <w:rPr>
          <w:lang w:val="en-GB"/>
        </w:rPr>
        <w:t>of</w:t>
      </w:r>
      <w:r w:rsidRPr="00330447">
        <w:rPr>
          <w:lang w:val="en-GB"/>
        </w:rPr>
        <w:t xml:space="preserve"> the Danish </w:t>
      </w:r>
      <w:r w:rsidRPr="00473037">
        <w:rPr>
          <w:lang w:val="en-GB"/>
        </w:rPr>
        <w:t>Immigration Services to the Refugee Appeals Board</w:t>
      </w:r>
      <w:r w:rsidRPr="00330447">
        <w:rPr>
          <w:lang w:val="en-GB"/>
        </w:rPr>
        <w:t xml:space="preserve"> and that the State party does not challenge the exhaustion of domestic remedies by the author.</w:t>
      </w:r>
    </w:p>
    <w:p w:rsidR="00F60C3B" w:rsidRPr="00330447" w:rsidRDefault="00F60C3B" w:rsidP="00F60C3B">
      <w:pPr>
        <w:pStyle w:val="SingleTxtG"/>
        <w:rPr>
          <w:lang w:val="en-GB"/>
        </w:rPr>
      </w:pPr>
      <w:r w:rsidRPr="003E789E">
        <w:rPr>
          <w:lang w:val="en-GB"/>
        </w:rPr>
        <w:t>6.4</w:t>
      </w:r>
      <w:r w:rsidRPr="003E789E">
        <w:rPr>
          <w:lang w:val="en-GB"/>
        </w:rPr>
        <w:tab/>
      </w:r>
      <w:r w:rsidRPr="00330447">
        <w:rPr>
          <w:lang w:val="en-GB"/>
        </w:rPr>
        <w:t xml:space="preserve">The Committee notes the State party’s argument that the author’s claim with respect to </w:t>
      </w:r>
      <w:r w:rsidR="00502CC1" w:rsidRPr="00330447">
        <w:rPr>
          <w:lang w:val="en-GB"/>
        </w:rPr>
        <w:t>article </w:t>
      </w:r>
      <w:r w:rsidRPr="00330447">
        <w:rPr>
          <w:lang w:val="en-GB"/>
        </w:rPr>
        <w:t xml:space="preserve">7 of the Covenant should be held inadmissible owing to insufficient substantiation. However, the Committee considers that the author has adequately explained the reasons for which he fears that forcible return to </w:t>
      </w:r>
      <w:r w:rsidRPr="00473037">
        <w:rPr>
          <w:lang w:val="en-GB"/>
        </w:rPr>
        <w:t>Sri Lanka</w:t>
      </w:r>
      <w:r w:rsidRPr="00330447">
        <w:rPr>
          <w:lang w:val="en-GB"/>
        </w:rPr>
        <w:t xml:space="preserve"> would result in a risk of treatment incompatible with </w:t>
      </w:r>
      <w:r w:rsidR="00502CC1" w:rsidRPr="00330447">
        <w:rPr>
          <w:lang w:val="en-GB"/>
        </w:rPr>
        <w:t>article </w:t>
      </w:r>
      <w:r w:rsidRPr="00330447">
        <w:rPr>
          <w:lang w:val="en-GB"/>
        </w:rPr>
        <w:t xml:space="preserve">7 of </w:t>
      </w:r>
      <w:r w:rsidR="00F31242" w:rsidRPr="00330447">
        <w:rPr>
          <w:lang w:val="en-GB"/>
        </w:rPr>
        <w:t>the Covenant. The Committee is</w:t>
      </w:r>
      <w:r w:rsidR="008F0E3C" w:rsidRPr="00473037">
        <w:rPr>
          <w:lang w:val="en-GB"/>
        </w:rPr>
        <w:t xml:space="preserve"> therefore</w:t>
      </w:r>
      <w:r w:rsidRPr="00330447">
        <w:rPr>
          <w:lang w:val="en-GB"/>
        </w:rPr>
        <w:t xml:space="preserve"> of the opinion that, for the purposes of admissibility, the author has sufficiently substantiated his allegations under </w:t>
      </w:r>
      <w:r w:rsidR="00502CC1" w:rsidRPr="00330447">
        <w:rPr>
          <w:lang w:val="en-GB"/>
        </w:rPr>
        <w:t>article </w:t>
      </w:r>
      <w:r w:rsidRPr="00330447">
        <w:rPr>
          <w:lang w:val="en-GB"/>
        </w:rPr>
        <w:t xml:space="preserve">7 with plausible arguments in support thereof. </w:t>
      </w:r>
    </w:p>
    <w:p w:rsidR="00F60C3B" w:rsidRPr="00330447" w:rsidRDefault="0018481A" w:rsidP="00F60C3B">
      <w:pPr>
        <w:pStyle w:val="SingleTxtG"/>
        <w:rPr>
          <w:lang w:val="en-GB"/>
        </w:rPr>
      </w:pPr>
      <w:r w:rsidRPr="00473037">
        <w:rPr>
          <w:lang w:val="en-GB"/>
        </w:rPr>
        <w:t>6.5</w:t>
      </w:r>
      <w:r w:rsidRPr="00473037">
        <w:rPr>
          <w:lang w:val="en-GB"/>
        </w:rPr>
        <w:tab/>
      </w:r>
      <w:r w:rsidRPr="00330447">
        <w:rPr>
          <w:lang w:val="en-GB"/>
        </w:rPr>
        <w:t xml:space="preserve">In the light of the foregoing, the Committee considers that, under </w:t>
      </w:r>
      <w:r w:rsidR="00502CC1" w:rsidRPr="00330447">
        <w:rPr>
          <w:lang w:val="en-GB"/>
        </w:rPr>
        <w:t>article </w:t>
      </w:r>
      <w:r w:rsidRPr="00330447">
        <w:rPr>
          <w:lang w:val="en-GB"/>
        </w:rPr>
        <w:t xml:space="preserve">5 </w:t>
      </w:r>
      <w:r w:rsidR="00E46A08">
        <w:rPr>
          <w:lang w:val="en-GB"/>
        </w:rPr>
        <w:t>(</w:t>
      </w:r>
      <w:r w:rsidRPr="00330447">
        <w:rPr>
          <w:lang w:val="en-GB"/>
        </w:rPr>
        <w:t>2</w:t>
      </w:r>
      <w:r w:rsidR="00E46A08">
        <w:rPr>
          <w:lang w:val="en-GB"/>
        </w:rPr>
        <w:t>)</w:t>
      </w:r>
      <w:r w:rsidRPr="00330447">
        <w:rPr>
          <w:lang w:val="en-GB"/>
        </w:rPr>
        <w:t xml:space="preserve"> (b) of the Optional Protocol, the communication is admissible in</w:t>
      </w:r>
      <w:r w:rsidR="00E46A08">
        <w:rPr>
          <w:lang w:val="en-GB"/>
        </w:rPr>
        <w:t xml:space="preserve"> </w:t>
      </w:r>
      <w:r w:rsidRPr="00330447">
        <w:rPr>
          <w:lang w:val="en-GB"/>
        </w:rPr>
        <w:t>so</w:t>
      </w:r>
      <w:r w:rsidR="00E46A08">
        <w:rPr>
          <w:lang w:val="en-GB"/>
        </w:rPr>
        <w:t xml:space="preserve"> </w:t>
      </w:r>
      <w:r w:rsidRPr="00330447">
        <w:rPr>
          <w:lang w:val="en-GB"/>
        </w:rPr>
        <w:t xml:space="preserve">far as it raises issues relating to </w:t>
      </w:r>
      <w:r w:rsidR="00502CC1" w:rsidRPr="00330447">
        <w:rPr>
          <w:lang w:val="en-GB"/>
        </w:rPr>
        <w:t>article </w:t>
      </w:r>
      <w:r w:rsidRPr="00330447">
        <w:rPr>
          <w:lang w:val="en-GB"/>
        </w:rPr>
        <w:t>7 of the Covenant.</w:t>
      </w:r>
    </w:p>
    <w:p w:rsidR="00F35149" w:rsidRPr="00542F54" w:rsidRDefault="00F35149" w:rsidP="00F35149">
      <w:pPr>
        <w:pStyle w:val="H4G"/>
        <w:rPr>
          <w:b/>
          <w:i w:val="0"/>
        </w:rPr>
      </w:pPr>
      <w:r w:rsidRPr="00473037">
        <w:tab/>
      </w:r>
      <w:r w:rsidRPr="00473037">
        <w:tab/>
      </w:r>
      <w:r w:rsidRPr="00542F54">
        <w:rPr>
          <w:b/>
          <w:i w:val="0"/>
        </w:rPr>
        <w:t>Consideration of the merits</w:t>
      </w:r>
    </w:p>
    <w:p w:rsidR="0018481A" w:rsidRPr="00330447" w:rsidRDefault="00446ABC" w:rsidP="0018481A">
      <w:pPr>
        <w:pStyle w:val="SingleTxtG"/>
        <w:rPr>
          <w:lang w:val="en-GB"/>
        </w:rPr>
      </w:pPr>
      <w:r w:rsidRPr="003E789E">
        <w:rPr>
          <w:lang w:val="en-GB"/>
        </w:rPr>
        <w:t>7</w:t>
      </w:r>
      <w:r w:rsidR="00F35149" w:rsidRPr="00330447">
        <w:rPr>
          <w:lang w:val="en-GB"/>
        </w:rPr>
        <w:t>.</w:t>
      </w:r>
      <w:r w:rsidR="0018481A" w:rsidRPr="00473037">
        <w:rPr>
          <w:lang w:val="en-GB"/>
        </w:rPr>
        <w:t>1</w:t>
      </w:r>
      <w:r w:rsidR="00F35149" w:rsidRPr="00330447">
        <w:rPr>
          <w:lang w:val="en-GB"/>
        </w:rPr>
        <w:tab/>
      </w:r>
      <w:r w:rsidR="0018481A" w:rsidRPr="00330447">
        <w:rPr>
          <w:lang w:val="en-GB"/>
        </w:rPr>
        <w:t xml:space="preserve">The Human Rights Committee has considered the present communication in the light of all the information made available to it by the parties, as required under </w:t>
      </w:r>
      <w:r w:rsidR="00502CC1" w:rsidRPr="00330447">
        <w:rPr>
          <w:lang w:val="en-GB"/>
        </w:rPr>
        <w:t>article </w:t>
      </w:r>
      <w:r w:rsidR="0018481A" w:rsidRPr="00330447">
        <w:rPr>
          <w:lang w:val="en-GB"/>
        </w:rPr>
        <w:t xml:space="preserve">5 </w:t>
      </w:r>
      <w:r w:rsidR="00E46A08">
        <w:rPr>
          <w:lang w:val="en-GB"/>
        </w:rPr>
        <w:t>(</w:t>
      </w:r>
      <w:r w:rsidR="0018481A" w:rsidRPr="00330447">
        <w:rPr>
          <w:lang w:val="en-GB"/>
        </w:rPr>
        <w:t>1</w:t>
      </w:r>
      <w:r w:rsidR="00E46A08">
        <w:rPr>
          <w:lang w:val="en-GB"/>
        </w:rPr>
        <w:t>)</w:t>
      </w:r>
      <w:r w:rsidR="0018481A" w:rsidRPr="00330447">
        <w:rPr>
          <w:lang w:val="en-GB"/>
        </w:rPr>
        <w:t xml:space="preserve"> of the Optional Protocol.</w:t>
      </w:r>
    </w:p>
    <w:p w:rsidR="0018481A" w:rsidRPr="00330447" w:rsidRDefault="0018481A" w:rsidP="0018481A">
      <w:pPr>
        <w:pStyle w:val="SingleTxtG"/>
        <w:rPr>
          <w:lang w:val="en-GB"/>
        </w:rPr>
      </w:pPr>
      <w:r w:rsidRPr="00473037">
        <w:rPr>
          <w:lang w:val="en-GB"/>
        </w:rPr>
        <w:t>7</w:t>
      </w:r>
      <w:r w:rsidRPr="00330447">
        <w:rPr>
          <w:lang w:val="en-GB"/>
        </w:rPr>
        <w:t>.2</w:t>
      </w:r>
      <w:r w:rsidRPr="00330447">
        <w:rPr>
          <w:lang w:val="en-GB"/>
        </w:rPr>
        <w:tab/>
      </w:r>
      <w:r w:rsidR="00FD7CD0" w:rsidRPr="00330447">
        <w:rPr>
          <w:bCs/>
          <w:lang w:val="en-GB"/>
        </w:rPr>
        <w:t xml:space="preserve">The Committee recalls its </w:t>
      </w:r>
      <w:r w:rsidR="00FD7CD0" w:rsidRPr="006E1890">
        <w:rPr>
          <w:bCs/>
          <w:lang w:val="en-GB"/>
        </w:rPr>
        <w:t>general comment</w:t>
      </w:r>
      <w:r w:rsidR="00502CC1" w:rsidRPr="00AA72B2">
        <w:rPr>
          <w:bCs/>
          <w:lang w:val="en-GB"/>
        </w:rPr>
        <w:t xml:space="preserve"> No. </w:t>
      </w:r>
      <w:r w:rsidR="00FD7CD0" w:rsidRPr="00DB406B">
        <w:rPr>
          <w:bCs/>
          <w:lang w:val="en-GB"/>
        </w:rPr>
        <w:t>31</w:t>
      </w:r>
      <w:r w:rsidR="00FD7CD0" w:rsidRPr="00330447">
        <w:rPr>
          <w:bCs/>
          <w:lang w:val="en-GB"/>
        </w:rPr>
        <w:t xml:space="preserve"> in which it refers to the obligation of States parties not to extradite, deport, expel or otherwise remove a person from their territory when there are substantial grounds for believing that there is a real risk of irreparable harm such as that contemplated by </w:t>
      </w:r>
      <w:r w:rsidR="00502CC1" w:rsidRPr="00330447">
        <w:rPr>
          <w:bCs/>
          <w:lang w:val="en-GB"/>
        </w:rPr>
        <w:t>article </w:t>
      </w:r>
      <w:r w:rsidR="00FD7CD0" w:rsidRPr="00330447">
        <w:rPr>
          <w:bCs/>
          <w:lang w:val="en-GB"/>
        </w:rPr>
        <w:t>7 of the Covenant.</w:t>
      </w:r>
      <w:r w:rsidR="00FD7CD0" w:rsidRPr="00330447">
        <w:rPr>
          <w:bCs/>
          <w:vertAlign w:val="superscript"/>
          <w:lang w:val="en-GB"/>
        </w:rPr>
        <w:footnoteReference w:id="16"/>
      </w:r>
      <w:r w:rsidR="00FD7CD0" w:rsidRPr="00330447">
        <w:rPr>
          <w:bCs/>
          <w:lang w:val="en-GB"/>
        </w:rPr>
        <w:t xml:space="preserve"> </w:t>
      </w:r>
      <w:r w:rsidRPr="00330447">
        <w:rPr>
          <w:lang w:val="en-GB"/>
        </w:rPr>
        <w:t>The Committee has also indicated that the risk must be personal</w:t>
      </w:r>
      <w:r w:rsidRPr="00330447">
        <w:rPr>
          <w:rStyle w:val="FootnoteReference"/>
          <w:lang w:val="en-GB"/>
        </w:rPr>
        <w:footnoteReference w:id="17"/>
      </w:r>
      <w:r w:rsidRPr="00330447">
        <w:rPr>
          <w:lang w:val="en-GB"/>
        </w:rPr>
        <w:t xml:space="preserve"> and that there is a high threshold for providing substantial grounds to establish that a real risk of irreparable harm exists.</w:t>
      </w:r>
      <w:r w:rsidRPr="00330447">
        <w:rPr>
          <w:rStyle w:val="FootnoteReference"/>
          <w:lang w:val="en-GB"/>
        </w:rPr>
        <w:footnoteReference w:id="18"/>
      </w:r>
      <w:r w:rsidRPr="00330447">
        <w:rPr>
          <w:lang w:val="en-GB"/>
        </w:rPr>
        <w:t xml:space="preserve"> Thus, all relevant facts and circumstances must be considered, including the general human rights situation in the author</w:t>
      </w:r>
      <w:r w:rsidR="008B4AA3" w:rsidRPr="00330447">
        <w:rPr>
          <w:lang w:val="en-GB"/>
        </w:rPr>
        <w:t>’</w:t>
      </w:r>
      <w:r w:rsidRPr="00330447">
        <w:rPr>
          <w:lang w:val="en-GB"/>
        </w:rPr>
        <w:t>s country of origin.</w:t>
      </w:r>
      <w:r w:rsidRPr="00330447">
        <w:rPr>
          <w:rStyle w:val="FootnoteReference"/>
          <w:lang w:val="en-GB"/>
        </w:rPr>
        <w:footnoteReference w:id="19"/>
      </w:r>
      <w:r w:rsidRPr="00330447">
        <w:rPr>
          <w:lang w:val="en-GB"/>
        </w:rPr>
        <w:t xml:space="preserve"> </w:t>
      </w:r>
    </w:p>
    <w:p w:rsidR="00D35B7F" w:rsidRPr="00134CC0" w:rsidRDefault="00495A34" w:rsidP="0018481A">
      <w:pPr>
        <w:pStyle w:val="SingleTxtG"/>
        <w:rPr>
          <w:lang w:val="en-GB"/>
        </w:rPr>
      </w:pPr>
      <w:r w:rsidRPr="003E789E">
        <w:rPr>
          <w:lang w:val="en-GB"/>
        </w:rPr>
        <w:t>7</w:t>
      </w:r>
      <w:r w:rsidR="0018481A" w:rsidRPr="00330447">
        <w:rPr>
          <w:lang w:val="en-GB"/>
        </w:rPr>
        <w:t>.3</w:t>
      </w:r>
      <w:r w:rsidR="0018481A" w:rsidRPr="00330447">
        <w:rPr>
          <w:lang w:val="en-GB"/>
        </w:rPr>
        <w:tab/>
        <w:t>The Committee</w:t>
      </w:r>
      <w:r w:rsidR="00436E7E" w:rsidRPr="00330447">
        <w:rPr>
          <w:lang w:val="en-GB"/>
        </w:rPr>
        <w:t xml:space="preserve"> recalls its jurisprudence that</w:t>
      </w:r>
      <w:r w:rsidR="0018481A" w:rsidRPr="00330447">
        <w:rPr>
          <w:lang w:val="en-GB"/>
        </w:rPr>
        <w:t xml:space="preserve"> important weight should be given to the assessment conducted by the State party, </w:t>
      </w:r>
      <w:r w:rsidR="00436E7E" w:rsidRPr="00330447">
        <w:rPr>
          <w:lang w:val="en-GB"/>
        </w:rPr>
        <w:t>unless it is found that the evaluation was clearly arbitrary or amounted to a denial of justice</w:t>
      </w:r>
      <w:r w:rsidR="00313386" w:rsidRPr="00473037">
        <w:rPr>
          <w:lang w:val="en-GB"/>
        </w:rPr>
        <w:t>,</w:t>
      </w:r>
      <w:r w:rsidR="00436E7E" w:rsidRPr="00330447">
        <w:rPr>
          <w:vertAlign w:val="superscript"/>
          <w:lang w:val="en-GB"/>
        </w:rPr>
        <w:footnoteReference w:id="20"/>
      </w:r>
      <w:r w:rsidR="00577E84" w:rsidRPr="00473037">
        <w:rPr>
          <w:lang w:val="en-GB"/>
        </w:rPr>
        <w:t xml:space="preserve"> and </w:t>
      </w:r>
      <w:r w:rsidR="00F31242" w:rsidRPr="003E789E">
        <w:rPr>
          <w:lang w:val="en-GB"/>
        </w:rPr>
        <w:t xml:space="preserve">that </w:t>
      </w:r>
      <w:r w:rsidR="00577E84" w:rsidRPr="00330447">
        <w:rPr>
          <w:lang w:val="en-GB"/>
        </w:rPr>
        <w:t xml:space="preserve">it is </w:t>
      </w:r>
      <w:r w:rsidR="00577E84" w:rsidRPr="00473037">
        <w:rPr>
          <w:lang w:val="en-GB"/>
        </w:rPr>
        <w:t xml:space="preserve">generally </w:t>
      </w:r>
      <w:r w:rsidR="00577E84" w:rsidRPr="00330447">
        <w:rPr>
          <w:lang w:val="en-GB"/>
        </w:rPr>
        <w:t>for the organs of States parties to the Covenant to review or evaluate facts and evidence in order to determine whether such a risk exists</w:t>
      </w:r>
      <w:r w:rsidR="00313386" w:rsidRPr="00473037">
        <w:rPr>
          <w:lang w:val="en-GB"/>
        </w:rPr>
        <w:t>.</w:t>
      </w:r>
      <w:r w:rsidR="00577E84" w:rsidRPr="00330447">
        <w:rPr>
          <w:vertAlign w:val="superscript"/>
          <w:lang w:val="en-GB"/>
        </w:rPr>
        <w:footnoteReference w:id="21"/>
      </w:r>
      <w:r w:rsidR="00436E7E" w:rsidRPr="00473037">
        <w:rPr>
          <w:lang w:val="en-GB"/>
        </w:rPr>
        <w:t xml:space="preserve"> </w:t>
      </w:r>
      <w:r w:rsidR="00C00E63" w:rsidRPr="003E789E">
        <w:rPr>
          <w:lang w:val="en-GB"/>
        </w:rPr>
        <w:t xml:space="preserve">In this connection, the </w:t>
      </w:r>
      <w:r w:rsidR="008F6145" w:rsidRPr="00342B0A">
        <w:rPr>
          <w:lang w:val="en-GB"/>
        </w:rPr>
        <w:t xml:space="preserve">Committee notes </w:t>
      </w:r>
      <w:r w:rsidR="008F6145" w:rsidRPr="00330447">
        <w:rPr>
          <w:lang w:val="en-GB"/>
        </w:rPr>
        <w:t xml:space="preserve">the </w:t>
      </w:r>
      <w:r w:rsidR="008F6145" w:rsidRPr="00473037">
        <w:rPr>
          <w:lang w:val="en-GB"/>
        </w:rPr>
        <w:t xml:space="preserve">assessment made by the </w:t>
      </w:r>
      <w:r w:rsidR="008F6145" w:rsidRPr="00330447">
        <w:rPr>
          <w:lang w:val="en-GB"/>
        </w:rPr>
        <w:t xml:space="preserve">State party authorities </w:t>
      </w:r>
      <w:r w:rsidR="008F6145" w:rsidRPr="00473037">
        <w:rPr>
          <w:lang w:val="en-GB"/>
        </w:rPr>
        <w:t>that the author did not face pe</w:t>
      </w:r>
      <w:r w:rsidR="008F6145" w:rsidRPr="003E789E">
        <w:rPr>
          <w:lang w:val="en-GB"/>
        </w:rPr>
        <w:t>rsonal risk if returned to Sri Lanka, which is based</w:t>
      </w:r>
      <w:r w:rsidR="00BE3D5F" w:rsidRPr="00342B0A">
        <w:rPr>
          <w:lang w:val="en-GB"/>
        </w:rPr>
        <w:t xml:space="preserve"> on</w:t>
      </w:r>
      <w:r w:rsidR="008F6145" w:rsidRPr="00134CC0">
        <w:rPr>
          <w:lang w:val="en-GB"/>
        </w:rPr>
        <w:t xml:space="preserve"> </w:t>
      </w:r>
      <w:r w:rsidR="00EC36A2" w:rsidRPr="00330447">
        <w:rPr>
          <w:lang w:val="en-GB"/>
        </w:rPr>
        <w:t xml:space="preserve">the lack of evidence of his affiliation with or activity for LTTE, and of </w:t>
      </w:r>
      <w:r w:rsidR="00BE3D5F" w:rsidRPr="00330447">
        <w:rPr>
          <w:lang w:val="en-GB"/>
        </w:rPr>
        <w:t>indication</w:t>
      </w:r>
      <w:r w:rsidR="008F6145" w:rsidRPr="00330447">
        <w:rPr>
          <w:lang w:val="en-GB"/>
        </w:rPr>
        <w:t xml:space="preserve"> that the Sri Lanka authorities </w:t>
      </w:r>
      <w:r w:rsidR="008F6145" w:rsidRPr="00473037">
        <w:rPr>
          <w:lang w:val="en-GB"/>
        </w:rPr>
        <w:t>o</w:t>
      </w:r>
      <w:r w:rsidR="00F31242" w:rsidRPr="003E789E">
        <w:rPr>
          <w:lang w:val="en-GB"/>
        </w:rPr>
        <w:t>r</w:t>
      </w:r>
      <w:r w:rsidR="008F6145" w:rsidRPr="00342B0A">
        <w:rPr>
          <w:lang w:val="en-GB"/>
        </w:rPr>
        <w:t xml:space="preserve"> EPDP </w:t>
      </w:r>
      <w:r w:rsidR="00EC36A2" w:rsidRPr="00134CC0">
        <w:rPr>
          <w:lang w:val="en-GB"/>
        </w:rPr>
        <w:t xml:space="preserve">would </w:t>
      </w:r>
      <w:r w:rsidR="008F0E3C" w:rsidRPr="00330447">
        <w:rPr>
          <w:lang w:val="en-GB"/>
        </w:rPr>
        <w:t>ha</w:t>
      </w:r>
      <w:r w:rsidR="008F0E3C" w:rsidRPr="00473037">
        <w:rPr>
          <w:lang w:val="en-GB"/>
        </w:rPr>
        <w:t>ve</w:t>
      </w:r>
      <w:r w:rsidR="008F0E3C" w:rsidRPr="00330447">
        <w:rPr>
          <w:lang w:val="en-GB"/>
        </w:rPr>
        <w:t xml:space="preserve"> </w:t>
      </w:r>
      <w:r w:rsidR="008F6145" w:rsidRPr="00330447">
        <w:rPr>
          <w:lang w:val="en-GB"/>
        </w:rPr>
        <w:t>been</w:t>
      </w:r>
      <w:r w:rsidR="008F6145" w:rsidRPr="00473037">
        <w:rPr>
          <w:lang w:val="en-GB"/>
        </w:rPr>
        <w:t xml:space="preserve"> </w:t>
      </w:r>
      <w:r w:rsidR="008F6145" w:rsidRPr="00330447">
        <w:rPr>
          <w:lang w:val="en-GB"/>
        </w:rPr>
        <w:t xml:space="preserve">looking for </w:t>
      </w:r>
      <w:r w:rsidR="008F6145" w:rsidRPr="00473037">
        <w:rPr>
          <w:lang w:val="en-GB"/>
        </w:rPr>
        <w:t>him</w:t>
      </w:r>
      <w:r w:rsidR="00EC36A2" w:rsidRPr="003E789E">
        <w:rPr>
          <w:lang w:val="en-GB"/>
        </w:rPr>
        <w:t>.</w:t>
      </w:r>
      <w:r w:rsidR="008F6145" w:rsidRPr="00342B0A">
        <w:rPr>
          <w:lang w:val="en-GB"/>
        </w:rPr>
        <w:t xml:space="preserve"> </w:t>
      </w:r>
    </w:p>
    <w:p w:rsidR="00B8190A" w:rsidRPr="00330447" w:rsidRDefault="00D35B7F" w:rsidP="0018481A">
      <w:pPr>
        <w:pStyle w:val="SingleTxtG"/>
        <w:rPr>
          <w:lang w:val="en-GB"/>
        </w:rPr>
      </w:pPr>
      <w:r w:rsidRPr="00330447">
        <w:rPr>
          <w:lang w:val="en-GB"/>
        </w:rPr>
        <w:t>7.4</w:t>
      </w:r>
      <w:r w:rsidRPr="00330447">
        <w:rPr>
          <w:lang w:val="en-GB"/>
        </w:rPr>
        <w:tab/>
      </w:r>
      <w:r w:rsidR="00392947" w:rsidRPr="00330447">
        <w:rPr>
          <w:lang w:val="en-GB"/>
        </w:rPr>
        <w:t>The Committee also notes that</w:t>
      </w:r>
      <w:r w:rsidRPr="00330447">
        <w:rPr>
          <w:lang w:val="en-GB"/>
        </w:rPr>
        <w:t xml:space="preserve"> the author </w:t>
      </w:r>
      <w:r w:rsidR="00212837" w:rsidRPr="00330447">
        <w:rPr>
          <w:lang w:val="en-GB"/>
        </w:rPr>
        <w:t>remained in Sri Lanka from 2007, when his cousin was murdered, until 2012</w:t>
      </w:r>
      <w:r w:rsidR="00B67C99" w:rsidRPr="00330447">
        <w:rPr>
          <w:lang w:val="en-GB"/>
        </w:rPr>
        <w:t>,</w:t>
      </w:r>
      <w:r w:rsidR="00212837" w:rsidRPr="00330447">
        <w:rPr>
          <w:lang w:val="en-GB"/>
        </w:rPr>
        <w:t xml:space="preserve"> and that</w:t>
      </w:r>
      <w:r w:rsidR="00EC36A2" w:rsidRPr="00330447">
        <w:rPr>
          <w:lang w:val="en-GB"/>
        </w:rPr>
        <w:t xml:space="preserve"> he</w:t>
      </w:r>
      <w:r w:rsidR="00212837" w:rsidRPr="00330447">
        <w:rPr>
          <w:lang w:val="en-GB"/>
        </w:rPr>
        <w:t xml:space="preserve"> </w:t>
      </w:r>
      <w:r w:rsidRPr="00330447">
        <w:rPr>
          <w:lang w:val="en-GB"/>
        </w:rPr>
        <w:t>did not indicate that he had any kind of political activity while abroad or that he could be perceived as having a link, even tenuous, with LTTE, that would go beyond the contact that any retailer had with LTTE members in the Jaffna Peninsula during the civil war</w:t>
      </w:r>
      <w:r w:rsidR="00392947" w:rsidRPr="00330447">
        <w:rPr>
          <w:lang w:val="en-GB"/>
        </w:rPr>
        <w:t xml:space="preserve">. </w:t>
      </w:r>
      <w:r w:rsidR="000E7A9F" w:rsidRPr="00330447">
        <w:rPr>
          <w:lang w:val="en-GB"/>
        </w:rPr>
        <w:t xml:space="preserve">The </w:t>
      </w:r>
      <w:r w:rsidR="00013BAF" w:rsidRPr="00330447">
        <w:rPr>
          <w:lang w:val="en-GB"/>
        </w:rPr>
        <w:t xml:space="preserve">author disagrees with the </w:t>
      </w:r>
      <w:r w:rsidR="000E7A9F" w:rsidRPr="00330447">
        <w:rPr>
          <w:lang w:val="en-GB"/>
        </w:rPr>
        <w:t xml:space="preserve">factual </w:t>
      </w:r>
      <w:r w:rsidR="00013BAF" w:rsidRPr="00330447">
        <w:rPr>
          <w:lang w:val="en-GB"/>
        </w:rPr>
        <w:t>conclusion</w:t>
      </w:r>
      <w:r w:rsidR="000E7A9F" w:rsidRPr="00330447">
        <w:rPr>
          <w:lang w:val="en-GB"/>
        </w:rPr>
        <w:t>s</w:t>
      </w:r>
      <w:r w:rsidR="00013BAF" w:rsidRPr="00330447">
        <w:rPr>
          <w:lang w:val="en-GB"/>
        </w:rPr>
        <w:t xml:space="preserve"> of the State party, but does not demonstrate that they are manifestly unreasonable. In</w:t>
      </w:r>
      <w:r w:rsidR="00E46A08">
        <w:rPr>
          <w:lang w:val="en-GB"/>
        </w:rPr>
        <w:t xml:space="preserve"> the</w:t>
      </w:r>
      <w:r w:rsidR="00013BAF" w:rsidRPr="00330447">
        <w:rPr>
          <w:lang w:val="en-GB"/>
        </w:rPr>
        <w:t xml:space="preserve"> light of the above, the Committee </w:t>
      </w:r>
      <w:r w:rsidR="000E7A9F" w:rsidRPr="00330447">
        <w:rPr>
          <w:lang w:val="en-GB"/>
        </w:rPr>
        <w:t>cannot conclude</w:t>
      </w:r>
      <w:r w:rsidR="00013BAF" w:rsidRPr="00330447">
        <w:rPr>
          <w:lang w:val="en-GB"/>
        </w:rPr>
        <w:t xml:space="preserve"> that the information before it show</w:t>
      </w:r>
      <w:r w:rsidR="000E7A9F" w:rsidRPr="00330447">
        <w:rPr>
          <w:lang w:val="en-GB"/>
        </w:rPr>
        <w:t>s</w:t>
      </w:r>
      <w:r w:rsidR="00013BAF" w:rsidRPr="00330447">
        <w:rPr>
          <w:lang w:val="en-GB"/>
        </w:rPr>
        <w:t xml:space="preserve"> that the author </w:t>
      </w:r>
      <w:r w:rsidR="00BE3D5F" w:rsidRPr="00330447">
        <w:rPr>
          <w:lang w:val="en-GB"/>
        </w:rPr>
        <w:t xml:space="preserve">will </w:t>
      </w:r>
      <w:r w:rsidR="00013BAF" w:rsidRPr="00330447">
        <w:rPr>
          <w:lang w:val="en-GB"/>
        </w:rPr>
        <w:t xml:space="preserve">face </w:t>
      </w:r>
      <w:r w:rsidR="000E7A9F" w:rsidRPr="00330447">
        <w:rPr>
          <w:lang w:val="en-GB"/>
        </w:rPr>
        <w:t xml:space="preserve">a </w:t>
      </w:r>
      <w:r w:rsidR="00BE3D5F" w:rsidRPr="00330447">
        <w:rPr>
          <w:lang w:val="en-GB"/>
        </w:rPr>
        <w:t xml:space="preserve">real </w:t>
      </w:r>
      <w:r w:rsidR="000E7A9F" w:rsidRPr="00330447">
        <w:rPr>
          <w:lang w:val="en-GB"/>
        </w:rPr>
        <w:t>risk o</w:t>
      </w:r>
      <w:r w:rsidR="00567426" w:rsidRPr="00330447">
        <w:rPr>
          <w:lang w:val="en-GB"/>
        </w:rPr>
        <w:t>f</w:t>
      </w:r>
      <w:r w:rsidR="000E7A9F" w:rsidRPr="00330447">
        <w:rPr>
          <w:lang w:val="en-GB"/>
        </w:rPr>
        <w:t xml:space="preserve"> treatment</w:t>
      </w:r>
      <w:r w:rsidR="00013BAF" w:rsidRPr="00330447">
        <w:rPr>
          <w:lang w:val="en-GB"/>
        </w:rPr>
        <w:t xml:space="preserve"> contrary to </w:t>
      </w:r>
      <w:r w:rsidR="00502CC1" w:rsidRPr="00330447">
        <w:rPr>
          <w:lang w:val="en-GB"/>
        </w:rPr>
        <w:t>article </w:t>
      </w:r>
      <w:r w:rsidR="00013BAF" w:rsidRPr="00330447">
        <w:rPr>
          <w:lang w:val="en-GB"/>
        </w:rPr>
        <w:t xml:space="preserve">7 of the Covenant if he </w:t>
      </w:r>
      <w:r w:rsidR="000E7A9F" w:rsidRPr="00330447">
        <w:rPr>
          <w:lang w:val="en-GB"/>
        </w:rPr>
        <w:t>were</w:t>
      </w:r>
      <w:r w:rsidR="00013BAF" w:rsidRPr="00330447">
        <w:rPr>
          <w:lang w:val="en-GB"/>
        </w:rPr>
        <w:t xml:space="preserve"> removed to Sri Lanka. </w:t>
      </w:r>
    </w:p>
    <w:p w:rsidR="00BE3D5F" w:rsidRPr="00473037" w:rsidRDefault="00E67325" w:rsidP="00577E84">
      <w:pPr>
        <w:pStyle w:val="SingleTxtG"/>
        <w:rPr>
          <w:lang w:val="en-GB"/>
        </w:rPr>
      </w:pPr>
      <w:r w:rsidRPr="00330447">
        <w:rPr>
          <w:lang w:val="en-GB"/>
        </w:rPr>
        <w:t>8.</w:t>
      </w:r>
      <w:r w:rsidRPr="00330447">
        <w:rPr>
          <w:lang w:val="en-GB"/>
        </w:rPr>
        <w:tab/>
        <w:t>The</w:t>
      </w:r>
      <w:r w:rsidR="00376720" w:rsidRPr="00330447">
        <w:rPr>
          <w:lang w:val="en-GB"/>
        </w:rPr>
        <w:t xml:space="preserve"> Committee</w:t>
      </w:r>
      <w:r w:rsidR="00E46A08">
        <w:rPr>
          <w:lang w:val="en-GB"/>
        </w:rPr>
        <w:t>,</w:t>
      </w:r>
      <w:r w:rsidR="00376720" w:rsidRPr="00330447">
        <w:rPr>
          <w:lang w:val="en-GB"/>
        </w:rPr>
        <w:t xml:space="preserve"> </w:t>
      </w:r>
      <w:r w:rsidR="00577E84" w:rsidRPr="00330447">
        <w:rPr>
          <w:lang w:val="en-GB"/>
        </w:rPr>
        <w:t xml:space="preserve">acting under </w:t>
      </w:r>
      <w:r w:rsidR="00502CC1" w:rsidRPr="00330447">
        <w:rPr>
          <w:lang w:val="en-GB"/>
        </w:rPr>
        <w:t>article </w:t>
      </w:r>
      <w:r w:rsidR="00577E84" w:rsidRPr="00330447">
        <w:rPr>
          <w:lang w:val="en-GB"/>
        </w:rPr>
        <w:t xml:space="preserve">5 </w:t>
      </w:r>
      <w:r w:rsidR="00E46A08">
        <w:rPr>
          <w:lang w:val="en-GB"/>
        </w:rPr>
        <w:t>(</w:t>
      </w:r>
      <w:r w:rsidR="00577E84" w:rsidRPr="00330447">
        <w:rPr>
          <w:lang w:val="en-GB"/>
        </w:rPr>
        <w:t>4</w:t>
      </w:r>
      <w:r w:rsidR="00E46A08">
        <w:rPr>
          <w:lang w:val="en-GB"/>
        </w:rPr>
        <w:t>)</w:t>
      </w:r>
      <w:r w:rsidR="00577E84" w:rsidRPr="00330447">
        <w:rPr>
          <w:lang w:val="en-GB"/>
        </w:rPr>
        <w:t xml:space="preserve"> of the Optional</w:t>
      </w:r>
      <w:r w:rsidR="00577E84" w:rsidRPr="00473037">
        <w:rPr>
          <w:lang w:val="en-GB"/>
        </w:rPr>
        <w:t xml:space="preserve"> </w:t>
      </w:r>
      <w:r w:rsidR="00577E84" w:rsidRPr="00330447">
        <w:rPr>
          <w:lang w:val="en-GB"/>
        </w:rPr>
        <w:t>Protocol to the International Covenant on Civil and Political Rights,</w:t>
      </w:r>
      <w:r w:rsidR="00577E84" w:rsidRPr="00473037">
        <w:rPr>
          <w:lang w:val="en-GB"/>
        </w:rPr>
        <w:t xml:space="preserve"> </w:t>
      </w:r>
      <w:r w:rsidR="00376720" w:rsidRPr="00330447">
        <w:rPr>
          <w:lang w:val="en-GB"/>
        </w:rPr>
        <w:t xml:space="preserve">is of the view </w:t>
      </w:r>
      <w:r w:rsidR="00C47927" w:rsidRPr="00330447">
        <w:rPr>
          <w:lang w:val="en-GB"/>
        </w:rPr>
        <w:t xml:space="preserve">that the </w:t>
      </w:r>
      <w:r w:rsidR="00577E84" w:rsidRPr="00473037">
        <w:rPr>
          <w:lang w:val="en-GB"/>
        </w:rPr>
        <w:t>removal of</w:t>
      </w:r>
      <w:r w:rsidR="00C47927" w:rsidRPr="00330447">
        <w:rPr>
          <w:lang w:val="en-GB"/>
        </w:rPr>
        <w:t xml:space="preserve"> the </w:t>
      </w:r>
      <w:r w:rsidR="00577E84" w:rsidRPr="00473037">
        <w:rPr>
          <w:lang w:val="en-GB"/>
        </w:rPr>
        <w:t>author</w:t>
      </w:r>
      <w:r w:rsidR="00577E84" w:rsidRPr="00330447">
        <w:rPr>
          <w:lang w:val="en-GB"/>
        </w:rPr>
        <w:t xml:space="preserve"> to Sri Lanka</w:t>
      </w:r>
      <w:r w:rsidR="00577E84" w:rsidRPr="00473037">
        <w:rPr>
          <w:lang w:val="en-GB"/>
        </w:rPr>
        <w:t xml:space="preserve">, would not violate his rights under </w:t>
      </w:r>
      <w:r w:rsidR="00502CC1" w:rsidRPr="00330447">
        <w:rPr>
          <w:lang w:val="en-GB"/>
        </w:rPr>
        <w:t>article </w:t>
      </w:r>
      <w:r w:rsidR="00C47927" w:rsidRPr="00473037">
        <w:rPr>
          <w:lang w:val="en-GB"/>
        </w:rPr>
        <w:t>7</w:t>
      </w:r>
      <w:r w:rsidR="00C47927" w:rsidRPr="00330447">
        <w:rPr>
          <w:lang w:val="en-GB"/>
        </w:rPr>
        <w:t xml:space="preserve"> of the Coven</w:t>
      </w:r>
      <w:r w:rsidR="00C47927" w:rsidRPr="00473037">
        <w:rPr>
          <w:lang w:val="en-GB"/>
        </w:rPr>
        <w:t>ant</w:t>
      </w:r>
      <w:r w:rsidR="00C47927" w:rsidRPr="00330447">
        <w:rPr>
          <w:lang w:val="en-GB"/>
        </w:rPr>
        <w:t>.</w:t>
      </w:r>
    </w:p>
    <w:p w:rsidR="001439BC" w:rsidRPr="00330447" w:rsidRDefault="001439BC" w:rsidP="004A03AC">
      <w:pPr>
        <w:pStyle w:val="SingleTxtG"/>
        <w:spacing w:before="240" w:after="0"/>
        <w:jc w:val="center"/>
        <w:rPr>
          <w:u w:val="single"/>
          <w:lang w:val="en-GB"/>
        </w:rPr>
        <w:sectPr w:rsidR="001439BC" w:rsidRPr="00330447" w:rsidSect="00AE31B8">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701" w:gutter="0"/>
          <w:cols w:space="720"/>
          <w:titlePg/>
          <w:docGrid w:linePitch="272"/>
        </w:sectPr>
      </w:pPr>
    </w:p>
    <w:p w:rsidR="001439BC" w:rsidRPr="00330447" w:rsidRDefault="001439BC" w:rsidP="001439BC">
      <w:pPr>
        <w:pStyle w:val="HChG"/>
      </w:pPr>
      <w:r w:rsidRPr="00330447">
        <w:t>Appendices</w:t>
      </w:r>
    </w:p>
    <w:p w:rsidR="001439BC" w:rsidRPr="00330447" w:rsidRDefault="001439BC" w:rsidP="00542F54">
      <w:pPr>
        <w:pStyle w:val="HChG"/>
      </w:pPr>
      <w:r w:rsidRPr="00330447">
        <w:t>Appendix I</w:t>
      </w:r>
    </w:p>
    <w:p w:rsidR="001439BC" w:rsidRPr="00342B0A" w:rsidRDefault="001439BC" w:rsidP="001439BC">
      <w:pPr>
        <w:pStyle w:val="H1G"/>
      </w:pPr>
      <w:r w:rsidRPr="00473037">
        <w:tab/>
      </w:r>
      <w:r w:rsidRPr="00473037">
        <w:tab/>
        <w:t xml:space="preserve">Joint opinion of Committee members Sarah Cleveland, </w:t>
      </w:r>
      <w:r w:rsidR="00CB4B5C" w:rsidRPr="003E789E">
        <w:br/>
      </w:r>
      <w:r w:rsidRPr="00342B0A">
        <w:t>Sir Nigel Rodley, and V</w:t>
      </w:r>
      <w:r w:rsidR="0052470D">
        <w:t>í</w:t>
      </w:r>
      <w:r w:rsidRPr="00342B0A">
        <w:t>ctor Rodríguez-Rescia (dissenting)</w:t>
      </w:r>
    </w:p>
    <w:p w:rsidR="001439BC" w:rsidRPr="00330447" w:rsidRDefault="001439BC" w:rsidP="00542F54">
      <w:pPr>
        <w:pStyle w:val="SingleTxtG"/>
        <w:rPr>
          <w:lang w:val="en-GB"/>
        </w:rPr>
      </w:pPr>
      <w:r w:rsidRPr="00330447">
        <w:rPr>
          <w:lang w:val="en-GB"/>
        </w:rPr>
        <w:t>1.</w:t>
      </w:r>
      <w:r w:rsidRPr="00330447">
        <w:rPr>
          <w:lang w:val="en-GB"/>
        </w:rPr>
        <w:tab/>
        <w:t>The author alleges that he is an ethnic Tamil from the North of Sri Lanka whose two brothers and cousin were killed by EPDP, and that he participated in various activities of LTTE.</w:t>
      </w:r>
      <w:r w:rsidR="008B4AA3" w:rsidRPr="00330447">
        <w:rPr>
          <w:lang w:val="en-GB"/>
        </w:rPr>
        <w:t xml:space="preserve"> </w:t>
      </w:r>
      <w:r w:rsidRPr="00330447">
        <w:rPr>
          <w:lang w:val="en-GB"/>
        </w:rPr>
        <w:t>The State party has presented a detailed assessment of this evidence in its observations.</w:t>
      </w:r>
      <w:r w:rsidR="008B4AA3" w:rsidRPr="00330447">
        <w:rPr>
          <w:lang w:val="en-GB"/>
        </w:rPr>
        <w:t xml:space="preserve"> </w:t>
      </w:r>
    </w:p>
    <w:p w:rsidR="001439BC" w:rsidRPr="00330447" w:rsidRDefault="001439BC" w:rsidP="00542F54">
      <w:pPr>
        <w:pStyle w:val="SingleTxtG"/>
        <w:rPr>
          <w:lang w:val="en-GB"/>
        </w:rPr>
      </w:pPr>
      <w:r w:rsidRPr="00330447">
        <w:rPr>
          <w:lang w:val="en-GB"/>
        </w:rPr>
        <w:t>2.</w:t>
      </w:r>
      <w:r w:rsidRPr="00330447">
        <w:rPr>
          <w:lang w:val="en-GB"/>
        </w:rPr>
        <w:tab/>
        <w:t xml:space="preserve">However, the author also presented recent evidence that returned Tamil asylum seekers who are perceived to have a link with LTTE continue to face a real risk of torture or ill-treatment contrary to </w:t>
      </w:r>
      <w:r w:rsidR="00502CC1" w:rsidRPr="00330447">
        <w:rPr>
          <w:lang w:val="en-GB"/>
        </w:rPr>
        <w:t>article </w:t>
      </w:r>
      <w:r w:rsidRPr="00330447">
        <w:rPr>
          <w:lang w:val="en-GB"/>
        </w:rPr>
        <w:t>7 upon return to Sri Lanka (see paras.</w:t>
      </w:r>
      <w:r w:rsidR="00CB4B5C" w:rsidRPr="00330447">
        <w:rPr>
          <w:lang w:val="en-GB"/>
        </w:rPr>
        <w:t> </w:t>
      </w:r>
      <w:r w:rsidRPr="00330447">
        <w:rPr>
          <w:lang w:val="en-GB"/>
        </w:rPr>
        <w:t>3.3</w:t>
      </w:r>
      <w:r w:rsidR="00E46A08">
        <w:rPr>
          <w:lang w:val="en-GB"/>
        </w:rPr>
        <w:t xml:space="preserve"> and</w:t>
      </w:r>
      <w:r w:rsidRPr="00330447">
        <w:rPr>
          <w:lang w:val="en-GB"/>
        </w:rPr>
        <w:t xml:space="preserve"> 5.3). Reports available at the time when State authorities examined the author’s asylum request, as well as more recent reports, indicate that rejected asylum seekers and returnees may be at risk of torture if believed to have real or perceived links to LTTE. This evidence includes guidelines issued by UNHCR in December 2012 that documented </w:t>
      </w:r>
      <w:r w:rsidRPr="00542F54">
        <w:rPr>
          <w:lang w:val="en-GB"/>
        </w:rPr>
        <w:t>“recent cases of former Sri Lankan (in particular Tamil) asylum-seekers who were allegedly detained and ill-treated or tortured after having been forcibly returned to Sri Lanka upon rejection of their asylum claims or who voluntarily returned to Sri Lanka”</w:t>
      </w:r>
      <w:r w:rsidR="00E46A08" w:rsidRPr="00542F54">
        <w:rPr>
          <w:lang w:val="en-GB"/>
        </w:rPr>
        <w:t>.</w:t>
      </w:r>
      <w:r w:rsidRPr="00542F54">
        <w:rPr>
          <w:vertAlign w:val="superscript"/>
          <w:lang w:val="en-GB"/>
        </w:rPr>
        <w:footnoteReference w:id="22"/>
      </w:r>
      <w:r w:rsidR="008B4AA3" w:rsidRPr="00330447">
        <w:rPr>
          <w:lang w:val="en-GB"/>
        </w:rPr>
        <w:t xml:space="preserve"> </w:t>
      </w:r>
      <w:r w:rsidRPr="00330447">
        <w:rPr>
          <w:lang w:val="en-GB"/>
        </w:rPr>
        <w:t>The information available to the Committee indicates that these concerns continue.</w:t>
      </w:r>
      <w:r w:rsidRPr="00330447">
        <w:rPr>
          <w:vertAlign w:val="superscript"/>
          <w:lang w:val="en-GB"/>
        </w:rPr>
        <w:footnoteReference w:id="23"/>
      </w:r>
      <w:r w:rsidRPr="00330447">
        <w:rPr>
          <w:lang w:val="en-GB"/>
        </w:rPr>
        <w:t xml:space="preserve"> </w:t>
      </w:r>
    </w:p>
    <w:p w:rsidR="001439BC" w:rsidRPr="00330447" w:rsidRDefault="001439BC" w:rsidP="00542F54">
      <w:pPr>
        <w:pStyle w:val="SingleTxtG"/>
        <w:rPr>
          <w:lang w:val="en-GB"/>
        </w:rPr>
      </w:pPr>
      <w:r w:rsidRPr="00330447">
        <w:rPr>
          <w:lang w:val="en-GB"/>
        </w:rPr>
        <w:t>3.</w:t>
      </w:r>
      <w:r w:rsidRPr="00330447">
        <w:rPr>
          <w:lang w:val="en-GB"/>
        </w:rPr>
        <w:tab/>
        <w:t>The State party’s observations in the case under review never meaningfully engage with the risk attached to being a failed asylum seeker.</w:t>
      </w:r>
      <w:r w:rsidR="008B4AA3" w:rsidRPr="00330447">
        <w:rPr>
          <w:lang w:val="en-GB"/>
        </w:rPr>
        <w:t xml:space="preserve"> </w:t>
      </w:r>
      <w:r w:rsidRPr="00330447">
        <w:rPr>
          <w:lang w:val="en-GB"/>
        </w:rPr>
        <w:t xml:space="preserve">In evaluating a case alleging a real risk of treatment contrary to </w:t>
      </w:r>
      <w:r w:rsidR="00502CC1" w:rsidRPr="00330447">
        <w:rPr>
          <w:lang w:val="en-GB"/>
        </w:rPr>
        <w:t>article </w:t>
      </w:r>
      <w:r w:rsidRPr="00330447">
        <w:rPr>
          <w:lang w:val="en-GB"/>
        </w:rPr>
        <w:t>7 upon return to another country, the Committee takes into account relevant and available information at the time that it makes its decision.</w:t>
      </w:r>
      <w:r w:rsidR="008B4AA3" w:rsidRPr="00330447">
        <w:rPr>
          <w:lang w:val="en-GB"/>
        </w:rPr>
        <w:t xml:space="preserve"> </w:t>
      </w:r>
      <w:r w:rsidRPr="00330447">
        <w:rPr>
          <w:lang w:val="en-GB"/>
        </w:rPr>
        <w:t xml:space="preserve">In </w:t>
      </w:r>
      <w:r w:rsidR="00E46A08">
        <w:rPr>
          <w:lang w:val="en-GB"/>
        </w:rPr>
        <w:t xml:space="preserve">the </w:t>
      </w:r>
      <w:r w:rsidRPr="00330447">
        <w:rPr>
          <w:lang w:val="en-GB"/>
        </w:rPr>
        <w:t xml:space="preserve">light of the information provided by the author, the information presently available to the Committee, and the lengthy record of human rights violations in Sri Lanka, we believe that the State party’s authorities have not given appropriate consideration to the author’s claim that he would be at risk of being subject to torture or ill-treatment if returned to his country of origin because of his failed asylum seeker status, both by itself and in conjunction with the other evidence presented by the author. </w:t>
      </w:r>
    </w:p>
    <w:p w:rsidR="001439BC" w:rsidRPr="00330447" w:rsidRDefault="001439BC" w:rsidP="00542F54">
      <w:pPr>
        <w:pStyle w:val="SingleTxtG"/>
        <w:rPr>
          <w:lang w:val="en-GB"/>
        </w:rPr>
      </w:pPr>
      <w:r w:rsidRPr="00330447">
        <w:rPr>
          <w:lang w:val="en-GB"/>
        </w:rPr>
        <w:t>4.</w:t>
      </w:r>
      <w:r w:rsidRPr="00330447">
        <w:rPr>
          <w:lang w:val="en-GB"/>
        </w:rPr>
        <w:tab/>
        <w:t xml:space="preserve">Under these circumstances, we believe that the author’s removal to Sri Lanka in the absence of further consideration of his claim that he faces a real risk of ill-treatment as a failed asylum seeker would violate </w:t>
      </w:r>
      <w:r w:rsidR="00502CC1" w:rsidRPr="00330447">
        <w:rPr>
          <w:lang w:val="en-GB"/>
        </w:rPr>
        <w:t>article </w:t>
      </w:r>
      <w:r w:rsidRPr="00330447">
        <w:rPr>
          <w:lang w:val="en-GB"/>
        </w:rPr>
        <w:t>7 of the Covenant.</w:t>
      </w:r>
    </w:p>
    <w:p w:rsidR="001659EF" w:rsidRPr="00330447" w:rsidRDefault="001659EF" w:rsidP="004A03AC">
      <w:pPr>
        <w:pStyle w:val="SingleTxtG"/>
        <w:spacing w:before="240" w:after="0"/>
        <w:jc w:val="center"/>
        <w:rPr>
          <w:u w:val="single"/>
          <w:lang w:val="en-GB"/>
        </w:rPr>
        <w:sectPr w:rsidR="001659EF" w:rsidRPr="00330447" w:rsidSect="001439BC">
          <w:footnotePr>
            <w:numRestart w:val="eachSect"/>
          </w:footnotePr>
          <w:endnotePr>
            <w:numFmt w:val="decimal"/>
          </w:endnotePr>
          <w:pgSz w:w="11907" w:h="16840" w:code="9"/>
          <w:pgMar w:top="1701" w:right="1134" w:bottom="2268" w:left="1134" w:header="1134" w:footer="1701" w:gutter="0"/>
          <w:cols w:space="720"/>
          <w:docGrid w:linePitch="272"/>
        </w:sectPr>
      </w:pPr>
    </w:p>
    <w:p w:rsidR="001659EF" w:rsidRPr="00330447" w:rsidRDefault="001659EF" w:rsidP="00330447">
      <w:pPr>
        <w:pStyle w:val="HChG"/>
      </w:pPr>
      <w:r w:rsidRPr="00330447">
        <w:t>Appendix II</w:t>
      </w:r>
    </w:p>
    <w:p w:rsidR="001659EF" w:rsidRPr="00330447" w:rsidRDefault="001659EF" w:rsidP="001659EF">
      <w:pPr>
        <w:spacing w:after="120"/>
        <w:ind w:left="1134" w:right="1134"/>
        <w:jc w:val="right"/>
      </w:pPr>
      <w:r w:rsidRPr="00330447">
        <w:t>[Original: Spanish]</w:t>
      </w:r>
    </w:p>
    <w:p w:rsidR="00C82CB8" w:rsidRPr="00342B0A" w:rsidRDefault="001659EF" w:rsidP="00542F54">
      <w:pPr>
        <w:pStyle w:val="H1G"/>
      </w:pPr>
      <w:r w:rsidRPr="00473037">
        <w:tab/>
      </w:r>
      <w:r w:rsidRPr="00473037">
        <w:tab/>
      </w:r>
      <w:r w:rsidRPr="003E789E">
        <w:t>Individual opinion of Committee member Fabián Salvioli</w:t>
      </w:r>
    </w:p>
    <w:p w:rsidR="001659EF" w:rsidRPr="00330447" w:rsidRDefault="001659EF" w:rsidP="001659EF">
      <w:pPr>
        <w:pStyle w:val="SingleTxtG"/>
        <w:rPr>
          <w:lang w:val="en-GB"/>
        </w:rPr>
      </w:pPr>
      <w:r w:rsidRPr="00330447">
        <w:rPr>
          <w:lang w:val="en-GB"/>
        </w:rPr>
        <w:t>1.</w:t>
      </w:r>
      <w:r w:rsidRPr="00330447">
        <w:rPr>
          <w:lang w:val="en-GB"/>
        </w:rPr>
        <w:tab/>
        <w:t xml:space="preserve">I understand that in the present communication the Committee could have found that the author would still face a risk if deported from Denmark to Sri Lanka, in which case deportation would be in violation of </w:t>
      </w:r>
      <w:r w:rsidR="00502CC1" w:rsidRPr="00330447">
        <w:rPr>
          <w:lang w:val="en-GB"/>
        </w:rPr>
        <w:t>article </w:t>
      </w:r>
      <w:r w:rsidRPr="00330447">
        <w:rPr>
          <w:lang w:val="en-GB"/>
        </w:rPr>
        <w:t>7 of the Covenant.</w:t>
      </w:r>
    </w:p>
    <w:p w:rsidR="001659EF" w:rsidRPr="00330447" w:rsidRDefault="001659EF" w:rsidP="001659EF">
      <w:pPr>
        <w:pStyle w:val="SingleTxtG"/>
        <w:rPr>
          <w:lang w:val="en-GB"/>
        </w:rPr>
      </w:pPr>
      <w:r w:rsidRPr="00330447">
        <w:rPr>
          <w:lang w:val="en-GB"/>
        </w:rPr>
        <w:t>2.</w:t>
      </w:r>
      <w:r w:rsidRPr="00330447">
        <w:rPr>
          <w:lang w:val="en-GB"/>
        </w:rPr>
        <w:tab/>
        <w:t xml:space="preserve">While the present situation in Sri Lanka is different from the one that existed when the author left the country, change is still in its early stages </w:t>
      </w:r>
      <w:r w:rsidR="00E46A08">
        <w:rPr>
          <w:lang w:val="en-GB"/>
        </w:rPr>
        <w:t>—</w:t>
      </w:r>
      <w:r w:rsidRPr="00330447">
        <w:rPr>
          <w:lang w:val="en-GB"/>
        </w:rPr>
        <w:t xml:space="preserve"> as in all post-conflict transition situations. It is therefore premature to rule out the possibility that a person such as the author could face a real and serious risk if deported to Sri Lanka, given his proven link with the Tamils and the killing of two members of his family by </w:t>
      </w:r>
      <w:r w:rsidR="008A5BF6">
        <w:rPr>
          <w:lang w:val="en-GB"/>
        </w:rPr>
        <w:t>EPDP</w:t>
      </w:r>
      <w:r w:rsidRPr="00330447">
        <w:rPr>
          <w:lang w:val="en-GB"/>
        </w:rPr>
        <w:t>.</w:t>
      </w:r>
    </w:p>
    <w:p w:rsidR="001659EF" w:rsidRPr="00330447" w:rsidRDefault="001659EF" w:rsidP="00542F54">
      <w:pPr>
        <w:pStyle w:val="SingleTxtG"/>
        <w:rPr>
          <w:lang w:val="en-GB"/>
        </w:rPr>
      </w:pPr>
      <w:r w:rsidRPr="00330447">
        <w:rPr>
          <w:lang w:val="en-GB"/>
        </w:rPr>
        <w:t>3.</w:t>
      </w:r>
      <w:r w:rsidRPr="00330447">
        <w:rPr>
          <w:lang w:val="en-GB"/>
        </w:rPr>
        <w:tab/>
        <w:t xml:space="preserve">I understand that, as a general approach to interpreting the matters submitted to it, the Committee must decide for the option most favourable to the alleged victim in case of doubt. This is an example of a borderline case that warranted being considered from a </w:t>
      </w:r>
      <w:r w:rsidRPr="00330447">
        <w:rPr>
          <w:i/>
          <w:iCs/>
          <w:lang w:val="en-GB"/>
        </w:rPr>
        <w:t>pro persona</w:t>
      </w:r>
      <w:r w:rsidRPr="00330447">
        <w:rPr>
          <w:lang w:val="en-GB"/>
        </w:rPr>
        <w:t xml:space="preserve"> perspective.</w:t>
      </w:r>
    </w:p>
    <w:p w:rsidR="001659EF" w:rsidRPr="00473037" w:rsidRDefault="001659EF" w:rsidP="001659EF">
      <w:pPr>
        <w:pStyle w:val="SingleTxtG"/>
        <w:spacing w:before="240" w:after="0"/>
        <w:jc w:val="center"/>
        <w:rPr>
          <w:u w:val="single"/>
          <w:lang w:val="en-GB"/>
        </w:rPr>
      </w:pPr>
      <w:r w:rsidRPr="00330447">
        <w:rPr>
          <w:u w:val="single"/>
          <w:lang w:val="en-GB"/>
        </w:rPr>
        <w:tab/>
      </w:r>
      <w:r w:rsidRPr="00330447">
        <w:rPr>
          <w:u w:val="single"/>
          <w:lang w:val="en-GB"/>
        </w:rPr>
        <w:tab/>
      </w:r>
      <w:r w:rsidRPr="00330447">
        <w:rPr>
          <w:u w:val="single"/>
          <w:lang w:val="en-GB"/>
        </w:rPr>
        <w:tab/>
      </w:r>
    </w:p>
    <w:sectPr w:rsidR="001659EF" w:rsidRPr="00473037" w:rsidSect="00542F54">
      <w:footnotePr>
        <w:numRestart w:val="eachSect"/>
      </w:footnotePr>
      <w:endnotePr>
        <w:numFmt w:val="decimal"/>
      </w:endnotePr>
      <w:pgSz w:w="11907" w:h="16840" w:code="9"/>
      <w:pgMar w:top="1701" w:right="1134" w:bottom="2268" w:left="1134"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ECA" w:rsidRDefault="00870ECA"/>
  </w:endnote>
  <w:endnote w:type="continuationSeparator" w:id="0">
    <w:p w:rsidR="00870ECA" w:rsidRDefault="00870ECA"/>
  </w:endnote>
  <w:endnote w:type="continuationNotice" w:id="1">
    <w:p w:rsidR="00870ECA" w:rsidRDefault="00870E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7C7" w:rsidRPr="00781C83" w:rsidRDefault="00A647C7" w:rsidP="00781C83">
    <w:pPr>
      <w:pStyle w:val="Footer"/>
      <w:tabs>
        <w:tab w:val="right" w:pos="9638"/>
      </w:tabs>
    </w:pPr>
    <w:r w:rsidRPr="00781C83">
      <w:rPr>
        <w:b/>
        <w:sz w:val="18"/>
      </w:rPr>
      <w:fldChar w:fldCharType="begin"/>
    </w:r>
    <w:r w:rsidRPr="00781C83">
      <w:rPr>
        <w:b/>
        <w:sz w:val="18"/>
      </w:rPr>
      <w:instrText xml:space="preserve"> PAGE  \* MERGEFORMAT </w:instrText>
    </w:r>
    <w:r w:rsidRPr="00781C83">
      <w:rPr>
        <w:b/>
        <w:sz w:val="18"/>
      </w:rPr>
      <w:fldChar w:fldCharType="separate"/>
    </w:r>
    <w:r w:rsidR="002B6C1A">
      <w:rPr>
        <w:b/>
        <w:noProof/>
        <w:sz w:val="18"/>
      </w:rPr>
      <w:t>2</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7C7" w:rsidRPr="00330447" w:rsidRDefault="00A647C7" w:rsidP="00781C83">
    <w:pPr>
      <w:pStyle w:val="Footer"/>
      <w:tabs>
        <w:tab w:val="right" w:pos="9638"/>
      </w:tabs>
      <w:rPr>
        <w:b/>
        <w:bCs/>
        <w:sz w:val="18"/>
      </w:rPr>
    </w:pPr>
    <w:r>
      <w:rPr>
        <w:b/>
        <w:sz w:val="18"/>
      </w:rPr>
      <w:tab/>
    </w:r>
    <w:r w:rsidRPr="00330447">
      <w:rPr>
        <w:b/>
        <w:bCs/>
        <w:sz w:val="18"/>
      </w:rPr>
      <w:fldChar w:fldCharType="begin"/>
    </w:r>
    <w:r w:rsidRPr="00330447">
      <w:rPr>
        <w:b/>
        <w:bCs/>
        <w:sz w:val="18"/>
      </w:rPr>
      <w:instrText xml:space="preserve"> PAGE  \* MERGEFORMAT </w:instrText>
    </w:r>
    <w:r w:rsidRPr="00330447">
      <w:rPr>
        <w:b/>
        <w:bCs/>
        <w:sz w:val="18"/>
      </w:rPr>
      <w:fldChar w:fldCharType="separate"/>
    </w:r>
    <w:r w:rsidR="002B6C1A">
      <w:rPr>
        <w:b/>
        <w:bCs/>
        <w:noProof/>
        <w:sz w:val="18"/>
      </w:rPr>
      <w:t>3</w:t>
    </w:r>
    <w:r w:rsidRPr="00330447">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7C7" w:rsidRDefault="006A0890">
    <w:r>
      <w:rPr>
        <w:noProof/>
        <w:lang w:val="en-US"/>
      </w:rPr>
      <w:drawing>
        <wp:anchor distT="0" distB="0" distL="114300" distR="114300" simplePos="0" relativeHeight="251659264" behindDoc="0" locked="0" layoutInCell="1" allowOverlap="1" wp14:anchorId="2206AD6D" wp14:editId="7537E5AB">
          <wp:simplePos x="0" y="0"/>
          <wp:positionH relativeFrom="margin">
            <wp:posOffset>4283710</wp:posOffset>
          </wp:positionH>
          <wp:positionV relativeFrom="margin">
            <wp:posOffset>8207375</wp:posOffset>
          </wp:positionV>
          <wp:extent cx="937260" cy="228600"/>
          <wp:effectExtent l="0" t="0" r="0" b="0"/>
          <wp:wrapNone/>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260" cy="228600"/>
                  </a:xfrm>
                  <a:prstGeom prst="rect">
                    <a:avLst/>
                  </a:prstGeom>
                  <a:noFill/>
                </pic:spPr>
              </pic:pic>
            </a:graphicData>
          </a:graphic>
          <wp14:sizeRelH relativeFrom="page">
            <wp14:pctWidth>0</wp14:pctWidth>
          </wp14:sizeRelH>
          <wp14:sizeRelV relativeFrom="page">
            <wp14:pctHeight>0</wp14:pctHeight>
          </wp14:sizeRelV>
        </wp:anchor>
      </w:drawing>
    </w:r>
    <w:r w:rsidR="00A647C7">
      <w:t>GE.15-</w:t>
    </w:r>
    <w:r w:rsidR="007B6C46">
      <w:t>11474</w:t>
    </w:r>
    <w:r>
      <w:t xml:space="preserve">  (E)</w:t>
    </w:r>
    <w:r w:rsidR="005A0C5C">
      <w:br/>
    </w:r>
    <w:r w:rsidR="005A0C5C" w:rsidRPr="005A0C5C">
      <w:rPr>
        <w:rFonts w:ascii="C39T30Lfz" w:hAnsi="C39T30Lfz"/>
        <w:sz w:val="56"/>
      </w:rPr>
      <w:t></w:t>
    </w:r>
    <w:r w:rsidR="005A0C5C" w:rsidRPr="005A0C5C">
      <w:rPr>
        <w:rFonts w:ascii="C39T30Lfz" w:hAnsi="C39T30Lfz"/>
        <w:sz w:val="56"/>
      </w:rPr>
      <w:t></w:t>
    </w:r>
    <w:r w:rsidR="005A0C5C" w:rsidRPr="005A0C5C">
      <w:rPr>
        <w:rFonts w:ascii="C39T30Lfz" w:hAnsi="C39T30Lfz"/>
        <w:sz w:val="56"/>
      </w:rPr>
      <w:t></w:t>
    </w:r>
    <w:r w:rsidR="005A0C5C" w:rsidRPr="005A0C5C">
      <w:rPr>
        <w:rFonts w:ascii="C39T30Lfz" w:hAnsi="C39T30Lfz"/>
        <w:sz w:val="56"/>
      </w:rPr>
      <w:t></w:t>
    </w:r>
    <w:r w:rsidR="005A0C5C" w:rsidRPr="005A0C5C">
      <w:rPr>
        <w:rFonts w:ascii="C39T30Lfz" w:hAnsi="C39T30Lfz"/>
        <w:sz w:val="56"/>
      </w:rPr>
      <w:t></w:t>
    </w:r>
    <w:r w:rsidR="005A0C5C" w:rsidRPr="005A0C5C">
      <w:rPr>
        <w:rFonts w:ascii="C39T30Lfz" w:hAnsi="C39T30Lfz"/>
        <w:sz w:val="56"/>
      </w:rPr>
      <w:t></w:t>
    </w:r>
    <w:r w:rsidR="005A0C5C" w:rsidRPr="005A0C5C">
      <w:rPr>
        <w:rFonts w:ascii="C39T30Lfz" w:hAnsi="C39T30Lfz"/>
        <w:sz w:val="56"/>
      </w:rPr>
      <w:t></w:t>
    </w:r>
    <w:r w:rsidR="005A0C5C" w:rsidRPr="005A0C5C">
      <w:rPr>
        <w:rFonts w:ascii="C39T30Lfz" w:hAnsi="C39T30Lfz"/>
        <w:sz w:val="56"/>
      </w:rPr>
      <w:t></w:t>
    </w:r>
    <w:r w:rsidR="005A0C5C" w:rsidRPr="005A0C5C">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ECA" w:rsidRPr="000B175B" w:rsidRDefault="00870ECA" w:rsidP="000B175B">
      <w:pPr>
        <w:tabs>
          <w:tab w:val="right" w:pos="2155"/>
        </w:tabs>
        <w:spacing w:after="80"/>
        <w:ind w:left="680"/>
        <w:rPr>
          <w:u w:val="single"/>
        </w:rPr>
      </w:pPr>
      <w:r>
        <w:rPr>
          <w:u w:val="single"/>
        </w:rPr>
        <w:tab/>
      </w:r>
    </w:p>
  </w:footnote>
  <w:footnote w:type="continuationSeparator" w:id="0">
    <w:p w:rsidR="00870ECA" w:rsidRPr="00FC68B7" w:rsidRDefault="00870ECA" w:rsidP="00FC68B7">
      <w:pPr>
        <w:tabs>
          <w:tab w:val="left" w:pos="2155"/>
        </w:tabs>
        <w:spacing w:after="80"/>
        <w:ind w:left="680"/>
        <w:rPr>
          <w:u w:val="single"/>
        </w:rPr>
      </w:pPr>
      <w:r>
        <w:rPr>
          <w:u w:val="single"/>
        </w:rPr>
        <w:tab/>
      </w:r>
    </w:p>
  </w:footnote>
  <w:footnote w:type="continuationNotice" w:id="1">
    <w:p w:rsidR="00870ECA" w:rsidRDefault="00870ECA"/>
  </w:footnote>
  <w:footnote w:id="2">
    <w:p w:rsidR="00ED0E22" w:rsidRDefault="00ED0E22" w:rsidP="00032DE4">
      <w:pPr>
        <w:pStyle w:val="FootnoteText"/>
      </w:pPr>
      <w:r>
        <w:rPr>
          <w:rStyle w:val="FootnoteReference"/>
        </w:rPr>
        <w:tab/>
      </w:r>
      <w:r w:rsidRPr="00473037">
        <w:rPr>
          <w:rStyle w:val="FootnoteReference"/>
          <w:sz w:val="20"/>
          <w:vertAlign w:val="baseline"/>
        </w:rPr>
        <w:t>*</w:t>
      </w:r>
      <w:r w:rsidRPr="003E789E">
        <w:rPr>
          <w:rStyle w:val="FootnoteReference"/>
          <w:sz w:val="20"/>
          <w:vertAlign w:val="baseline"/>
        </w:rPr>
        <w:tab/>
      </w:r>
      <w:r w:rsidRPr="006E1890">
        <w:rPr>
          <w:szCs w:val="18"/>
        </w:rPr>
        <w:t xml:space="preserve">The following members of the Committee participated in the examination of the present communication: Yadh Ben Achour, Lazhari Bouzid, Sarah Cleveland, </w:t>
      </w:r>
      <w:r w:rsidR="00032DE4" w:rsidRPr="00661948">
        <w:rPr>
          <w:szCs w:val="18"/>
          <w:lang w:val="en-GB"/>
        </w:rPr>
        <w:t>Ahmed</w:t>
      </w:r>
      <w:r w:rsidR="00032DE4" w:rsidRPr="006E1890">
        <w:rPr>
          <w:szCs w:val="18"/>
          <w:lang w:val="en-GB"/>
        </w:rPr>
        <w:t> </w:t>
      </w:r>
      <w:r w:rsidR="00032DE4" w:rsidRPr="00661948">
        <w:rPr>
          <w:szCs w:val="18"/>
          <w:lang w:val="en-GB"/>
        </w:rPr>
        <w:t xml:space="preserve">Amin Fathalla, </w:t>
      </w:r>
      <w:r w:rsidRPr="006E1890">
        <w:rPr>
          <w:szCs w:val="18"/>
        </w:rPr>
        <w:t xml:space="preserve">Olivier </w:t>
      </w:r>
      <w:r w:rsidR="00032DE4">
        <w:rPr>
          <w:szCs w:val="18"/>
        </w:rPr>
        <w:t>d</w:t>
      </w:r>
      <w:r w:rsidRPr="006E1890">
        <w:rPr>
          <w:szCs w:val="18"/>
        </w:rPr>
        <w:t>e Frouville, Yuji Iwasawa, Ivana Jeli</w:t>
      </w:r>
      <w:r w:rsidR="00032DE4">
        <w:rPr>
          <w:szCs w:val="18"/>
        </w:rPr>
        <w:t>ć</w:t>
      </w:r>
      <w:r w:rsidRPr="006E1890">
        <w:rPr>
          <w:szCs w:val="18"/>
        </w:rPr>
        <w:t>, Duncan Laki</w:t>
      </w:r>
      <w:r w:rsidR="00107235" w:rsidRPr="00107235">
        <w:rPr>
          <w:szCs w:val="18"/>
        </w:rPr>
        <w:t xml:space="preserve"> </w:t>
      </w:r>
      <w:r w:rsidR="00107235" w:rsidRPr="00E203F8">
        <w:rPr>
          <w:szCs w:val="18"/>
        </w:rPr>
        <w:t>Muhumuza</w:t>
      </w:r>
      <w:r w:rsidRPr="006E1890">
        <w:rPr>
          <w:szCs w:val="18"/>
        </w:rPr>
        <w:t xml:space="preserve">, Photini Pazartzis, </w:t>
      </w:r>
      <w:r w:rsidRPr="006E1890">
        <w:rPr>
          <w:bCs/>
          <w:szCs w:val="18"/>
        </w:rPr>
        <w:t>Sir</w:t>
      </w:r>
      <w:r w:rsidR="00E556B3" w:rsidRPr="006E1890">
        <w:rPr>
          <w:szCs w:val="18"/>
        </w:rPr>
        <w:t> </w:t>
      </w:r>
      <w:r w:rsidRPr="00AA72B2">
        <w:rPr>
          <w:szCs w:val="18"/>
        </w:rPr>
        <w:t>Nigel Rodley, V</w:t>
      </w:r>
      <w:r w:rsidR="00107235">
        <w:rPr>
          <w:szCs w:val="18"/>
        </w:rPr>
        <w:t>í</w:t>
      </w:r>
      <w:r w:rsidRPr="006E1890">
        <w:rPr>
          <w:szCs w:val="18"/>
        </w:rPr>
        <w:t>ctor Manuel Rodríguez-Rescia, Fabián Omar Salvioli, Anja Seibert-Fohr, Yuval</w:t>
      </w:r>
      <w:r w:rsidR="00E556B3" w:rsidRPr="00AA72B2">
        <w:rPr>
          <w:szCs w:val="18"/>
        </w:rPr>
        <w:t> </w:t>
      </w:r>
      <w:r w:rsidRPr="00DB406B">
        <w:rPr>
          <w:szCs w:val="18"/>
        </w:rPr>
        <w:t>Shany, Konstantine Vardzelashvili and Margo Waterval</w:t>
      </w:r>
      <w:r w:rsidRPr="00DB406B">
        <w:rPr>
          <w:bCs/>
          <w:szCs w:val="18"/>
        </w:rPr>
        <w:t>.</w:t>
      </w:r>
    </w:p>
  </w:footnote>
  <w:footnote w:id="3">
    <w:p w:rsidR="00A647C7" w:rsidRPr="00232334" w:rsidRDefault="00335DD7" w:rsidP="00335DD7">
      <w:pPr>
        <w:pStyle w:val="FootnoteText"/>
        <w:rPr>
          <w:lang w:val="en-GB"/>
        </w:rPr>
      </w:pPr>
      <w:r>
        <w:rPr>
          <w:lang w:val="en-GB"/>
        </w:rPr>
        <w:tab/>
      </w:r>
      <w:r w:rsidR="00A647C7">
        <w:rPr>
          <w:rStyle w:val="FootnoteReference"/>
        </w:rPr>
        <w:footnoteRef/>
      </w:r>
      <w:r>
        <w:rPr>
          <w:lang w:val="en-GB"/>
        </w:rPr>
        <w:tab/>
      </w:r>
      <w:r w:rsidR="00A647C7" w:rsidRPr="00232334">
        <w:rPr>
          <w:lang w:val="en-GB"/>
        </w:rPr>
        <w:t xml:space="preserve">The Optional Protocol entered </w:t>
      </w:r>
      <w:r w:rsidR="00A647C7" w:rsidRPr="00335DD7">
        <w:t>into</w:t>
      </w:r>
      <w:r w:rsidR="00A647C7" w:rsidRPr="00232334">
        <w:rPr>
          <w:lang w:val="en-GB"/>
        </w:rPr>
        <w:t xml:space="preserve"> force for Denmark on 6 April 1972.</w:t>
      </w:r>
    </w:p>
  </w:footnote>
  <w:footnote w:id="4">
    <w:p w:rsidR="000673A3" w:rsidRPr="000673A3" w:rsidRDefault="00335DD7" w:rsidP="00335DD7">
      <w:pPr>
        <w:pStyle w:val="FootnoteText"/>
        <w:rPr>
          <w:lang w:val="en-GB"/>
        </w:rPr>
      </w:pPr>
      <w:r>
        <w:rPr>
          <w:lang w:val="fr-CH"/>
        </w:rPr>
        <w:tab/>
      </w:r>
      <w:r w:rsidR="000673A3">
        <w:rPr>
          <w:rStyle w:val="FootnoteReference"/>
        </w:rPr>
        <w:footnoteRef/>
      </w:r>
      <w:r>
        <w:rPr>
          <w:lang w:val="fr-CH"/>
        </w:rPr>
        <w:tab/>
      </w:r>
      <w:r w:rsidR="000673A3" w:rsidRPr="000673A3">
        <w:rPr>
          <w:lang w:val="en-GB"/>
        </w:rPr>
        <w:t xml:space="preserve">The author </w:t>
      </w:r>
      <w:r w:rsidR="000673A3" w:rsidRPr="00B76950">
        <w:rPr>
          <w:lang w:val="en-GB"/>
        </w:rPr>
        <w:t>does not specify the date</w:t>
      </w:r>
      <w:r w:rsidR="000673A3">
        <w:rPr>
          <w:lang w:val="en-GB"/>
        </w:rPr>
        <w:t>. He</w:t>
      </w:r>
      <w:r w:rsidR="000673A3" w:rsidRPr="000673A3">
        <w:rPr>
          <w:lang w:val="en-GB"/>
        </w:rPr>
        <w:t xml:space="preserve"> states that </w:t>
      </w:r>
      <w:r w:rsidR="000673A3" w:rsidRPr="00335DD7">
        <w:t>his</w:t>
      </w:r>
      <w:r w:rsidR="000673A3" w:rsidRPr="000673A3">
        <w:rPr>
          <w:lang w:val="en-GB"/>
        </w:rPr>
        <w:t xml:space="preserve"> aunt reported that two persons came to see her</w:t>
      </w:r>
      <w:r w:rsidR="000673A3">
        <w:rPr>
          <w:lang w:val="en-GB"/>
        </w:rPr>
        <w:t xml:space="preserve"> and asked for him but “without mentioning </w:t>
      </w:r>
      <w:r w:rsidR="000673A3" w:rsidRPr="00335DD7">
        <w:t>his</w:t>
      </w:r>
      <w:r w:rsidR="000673A3">
        <w:rPr>
          <w:lang w:val="en-GB"/>
        </w:rPr>
        <w:t xml:space="preserve"> name”</w:t>
      </w:r>
      <w:r w:rsidR="00473037">
        <w:rPr>
          <w:lang w:val="en-GB"/>
        </w:rPr>
        <w:t>.</w:t>
      </w:r>
    </w:p>
  </w:footnote>
  <w:footnote w:id="5">
    <w:p w:rsidR="00A647C7" w:rsidRPr="00F53F5C" w:rsidRDefault="00313386" w:rsidP="00335DD7">
      <w:pPr>
        <w:pStyle w:val="FootnoteText"/>
        <w:rPr>
          <w:lang w:val="en-GB"/>
        </w:rPr>
      </w:pPr>
      <w:r w:rsidRPr="00542F54">
        <w:tab/>
      </w:r>
      <w:r w:rsidR="00A647C7">
        <w:rPr>
          <w:rStyle w:val="FootnoteReference"/>
        </w:rPr>
        <w:footnoteRef/>
      </w:r>
      <w:r>
        <w:rPr>
          <w:lang w:val="fr-CH"/>
        </w:rPr>
        <w:tab/>
      </w:r>
      <w:r w:rsidR="00A647C7" w:rsidRPr="00F53F5C">
        <w:rPr>
          <w:lang w:val="en-GB"/>
        </w:rPr>
        <w:t xml:space="preserve">The author does not provide </w:t>
      </w:r>
      <w:r w:rsidR="004A2789">
        <w:rPr>
          <w:lang w:val="en-GB"/>
        </w:rPr>
        <w:t xml:space="preserve">further </w:t>
      </w:r>
      <w:r w:rsidR="00A647C7" w:rsidRPr="00F53F5C">
        <w:rPr>
          <w:lang w:val="en-GB"/>
        </w:rPr>
        <w:t>detail</w:t>
      </w:r>
      <w:r w:rsidR="00A647C7">
        <w:rPr>
          <w:lang w:val="en-GB"/>
        </w:rPr>
        <w:t>s</w:t>
      </w:r>
      <w:r w:rsidR="00A647C7" w:rsidRPr="00F53F5C">
        <w:rPr>
          <w:lang w:val="en-GB"/>
        </w:rPr>
        <w:t xml:space="preserve"> about his </w:t>
      </w:r>
      <w:r w:rsidR="00A647C7" w:rsidRPr="00335DD7">
        <w:t>journey</w:t>
      </w:r>
      <w:r w:rsidR="00A647C7" w:rsidRPr="00F53F5C">
        <w:rPr>
          <w:lang w:val="en-GB"/>
        </w:rPr>
        <w:t xml:space="preserve"> between Sri Lanka and Denmark.</w:t>
      </w:r>
    </w:p>
  </w:footnote>
  <w:footnote w:id="6">
    <w:p w:rsidR="00A647C7" w:rsidRPr="00F53F5C" w:rsidRDefault="00313386" w:rsidP="00335DD7">
      <w:pPr>
        <w:pStyle w:val="FootnoteText"/>
        <w:rPr>
          <w:lang w:val="en-GB"/>
        </w:rPr>
      </w:pPr>
      <w:r>
        <w:rPr>
          <w:lang w:val="en-GB"/>
        </w:rPr>
        <w:tab/>
      </w:r>
      <w:r w:rsidR="00A647C7">
        <w:rPr>
          <w:rStyle w:val="FootnoteReference"/>
        </w:rPr>
        <w:footnoteRef/>
      </w:r>
      <w:r>
        <w:rPr>
          <w:lang w:val="en-GB"/>
        </w:rPr>
        <w:tab/>
      </w:r>
      <w:r w:rsidR="00A647C7" w:rsidRPr="00F53F5C">
        <w:rPr>
          <w:lang w:val="en-GB"/>
        </w:rPr>
        <w:t xml:space="preserve">In its observations, the State party indicates that the author filed his </w:t>
      </w:r>
      <w:r w:rsidR="00A647C7" w:rsidRPr="00335DD7">
        <w:t>asylum</w:t>
      </w:r>
      <w:r w:rsidR="00A647C7" w:rsidRPr="00F53F5C">
        <w:rPr>
          <w:lang w:val="en-GB"/>
        </w:rPr>
        <w:t xml:space="preserve"> application on the day of his arrival, 30 May 2012</w:t>
      </w:r>
      <w:r w:rsidR="00473037">
        <w:rPr>
          <w:lang w:val="en-GB"/>
        </w:rPr>
        <w:t>.</w:t>
      </w:r>
    </w:p>
  </w:footnote>
  <w:footnote w:id="7">
    <w:p w:rsidR="00A647C7" w:rsidRPr="00542F54" w:rsidRDefault="00313386" w:rsidP="00313386">
      <w:pPr>
        <w:pStyle w:val="FootnoteText"/>
        <w:rPr>
          <w:highlight w:val="yellow"/>
          <w:lang w:val="en-GB"/>
        </w:rPr>
      </w:pPr>
      <w:r w:rsidRPr="00542F54">
        <w:tab/>
      </w:r>
      <w:r w:rsidR="00A647C7">
        <w:rPr>
          <w:rStyle w:val="FootnoteReference"/>
        </w:rPr>
        <w:footnoteRef/>
      </w:r>
      <w:r w:rsidRPr="00542F54">
        <w:tab/>
      </w:r>
      <w:r w:rsidR="00A647C7" w:rsidRPr="006E1890">
        <w:rPr>
          <w:lang w:val="en-GB"/>
        </w:rPr>
        <w:t xml:space="preserve">The authors refers to the </w:t>
      </w:r>
      <w:r w:rsidR="00107235">
        <w:rPr>
          <w:lang w:val="en-GB"/>
        </w:rPr>
        <w:t>Office of the United Nations High Commissioner for Refugees (</w:t>
      </w:r>
      <w:r w:rsidR="00A647C7" w:rsidRPr="006E1890">
        <w:rPr>
          <w:lang w:val="en-GB"/>
        </w:rPr>
        <w:t>UNHCR</w:t>
      </w:r>
      <w:r w:rsidR="00107235">
        <w:rPr>
          <w:lang w:val="en-GB"/>
        </w:rPr>
        <w:t>)</w:t>
      </w:r>
      <w:r w:rsidR="00A647C7" w:rsidRPr="006E1890">
        <w:rPr>
          <w:lang w:val="en-GB"/>
        </w:rPr>
        <w:t xml:space="preserve"> </w:t>
      </w:r>
      <w:r w:rsidR="00A647C7" w:rsidRPr="00AA72B2">
        <w:t>Eligibility</w:t>
      </w:r>
      <w:r w:rsidR="00A647C7" w:rsidRPr="00DB406B">
        <w:rPr>
          <w:lang w:val="en-GB"/>
        </w:rPr>
        <w:t xml:space="preserve"> Guidelines for Assessing the International Protection Needs of Asylum Seekers f</w:t>
      </w:r>
      <w:r w:rsidR="00107235">
        <w:rPr>
          <w:lang w:val="en-GB"/>
        </w:rPr>
        <w:t>r</w:t>
      </w:r>
      <w:r w:rsidR="00A647C7" w:rsidRPr="006E1890">
        <w:rPr>
          <w:lang w:val="en-GB"/>
        </w:rPr>
        <w:t>o</w:t>
      </w:r>
      <w:r w:rsidR="00A647C7" w:rsidRPr="00DB406B">
        <w:rPr>
          <w:lang w:val="en-GB"/>
        </w:rPr>
        <w:t>m Sri Lanka, 21 December 2012</w:t>
      </w:r>
      <w:r w:rsidR="00107235">
        <w:rPr>
          <w:lang w:val="en-GB"/>
        </w:rPr>
        <w:t>,</w:t>
      </w:r>
      <w:r w:rsidR="00A647C7" w:rsidRPr="006E1890">
        <w:rPr>
          <w:lang w:val="en-GB"/>
        </w:rPr>
        <w:t xml:space="preserve"> </w:t>
      </w:r>
      <w:r w:rsidR="00A647C7" w:rsidRPr="00DB406B">
        <w:rPr>
          <w:lang w:val="en-GB"/>
        </w:rPr>
        <w:t>p.</w:t>
      </w:r>
      <w:r w:rsidR="00473037" w:rsidRPr="0097141D">
        <w:rPr>
          <w:lang w:val="en-GB"/>
        </w:rPr>
        <w:t> </w:t>
      </w:r>
      <w:r w:rsidR="00A647C7" w:rsidRPr="00542F54">
        <w:rPr>
          <w:lang w:val="en-GB"/>
        </w:rPr>
        <w:t>8</w:t>
      </w:r>
      <w:r w:rsidR="00473037" w:rsidRPr="00542F54">
        <w:rPr>
          <w:lang w:val="en-GB"/>
        </w:rPr>
        <w:t>.</w:t>
      </w:r>
    </w:p>
  </w:footnote>
  <w:footnote w:id="8">
    <w:p w:rsidR="00A647C7" w:rsidRPr="00DC465A" w:rsidRDefault="00313386" w:rsidP="00313386">
      <w:pPr>
        <w:pStyle w:val="FootnoteText"/>
        <w:rPr>
          <w:lang w:val="en-GB"/>
        </w:rPr>
      </w:pPr>
      <w:r w:rsidRPr="0097141D">
        <w:rPr>
          <w:lang w:val="en-GB"/>
        </w:rPr>
        <w:tab/>
      </w:r>
      <w:r w:rsidR="00A647C7" w:rsidRPr="00DB406B">
        <w:rPr>
          <w:rStyle w:val="FootnoteReference"/>
        </w:rPr>
        <w:footnoteRef/>
      </w:r>
      <w:r w:rsidRPr="00DB406B">
        <w:rPr>
          <w:lang w:val="en-GB"/>
        </w:rPr>
        <w:tab/>
      </w:r>
      <w:r w:rsidR="00A647C7" w:rsidRPr="0097141D">
        <w:rPr>
          <w:lang w:val="en-GB"/>
        </w:rPr>
        <w:t>Application</w:t>
      </w:r>
      <w:r w:rsidR="00502CC1" w:rsidRPr="00542F54">
        <w:rPr>
          <w:lang w:val="en-GB"/>
        </w:rPr>
        <w:t xml:space="preserve"> No. </w:t>
      </w:r>
      <w:r w:rsidR="00A647C7" w:rsidRPr="00542F54">
        <w:rPr>
          <w:lang w:val="en-GB"/>
        </w:rPr>
        <w:t>25904/07, judg</w:t>
      </w:r>
      <w:r w:rsidR="00107235">
        <w:rPr>
          <w:lang w:val="en-GB"/>
        </w:rPr>
        <w:t>e</w:t>
      </w:r>
      <w:r w:rsidR="00A647C7" w:rsidRPr="006E1890">
        <w:rPr>
          <w:lang w:val="en-GB"/>
        </w:rPr>
        <w:t>ment of 17 July 2008.</w:t>
      </w:r>
    </w:p>
  </w:footnote>
  <w:footnote w:id="9">
    <w:p w:rsidR="00A647C7" w:rsidRPr="00341E55" w:rsidRDefault="00313386" w:rsidP="00313386">
      <w:pPr>
        <w:pStyle w:val="FootnoteText"/>
        <w:rPr>
          <w:lang w:val="en-GB"/>
        </w:rPr>
      </w:pPr>
      <w:r>
        <w:rPr>
          <w:i/>
          <w:lang w:val="en-GB"/>
        </w:rPr>
        <w:tab/>
      </w:r>
      <w:r w:rsidR="00A647C7">
        <w:rPr>
          <w:rStyle w:val="FootnoteReference"/>
        </w:rPr>
        <w:footnoteRef/>
      </w:r>
      <w:r>
        <w:rPr>
          <w:i/>
          <w:lang w:val="en-GB"/>
        </w:rPr>
        <w:tab/>
      </w:r>
      <w:r w:rsidR="00A647C7" w:rsidRPr="006E1890">
        <w:rPr>
          <w:i/>
          <w:lang w:val="en-GB"/>
        </w:rPr>
        <w:t>T.N. v. Denmark</w:t>
      </w:r>
      <w:r w:rsidR="00A647C7" w:rsidRPr="00AA72B2">
        <w:rPr>
          <w:lang w:val="en-GB"/>
        </w:rPr>
        <w:t xml:space="preserve">, application </w:t>
      </w:r>
      <w:r w:rsidR="003A1A3C">
        <w:rPr>
          <w:lang w:val="en-GB"/>
        </w:rPr>
        <w:t>N</w:t>
      </w:r>
      <w:r w:rsidR="00A647C7" w:rsidRPr="00AA72B2">
        <w:rPr>
          <w:lang w:val="en-GB"/>
        </w:rPr>
        <w:t>o</w:t>
      </w:r>
      <w:r w:rsidR="003A1A3C">
        <w:rPr>
          <w:lang w:val="en-GB"/>
        </w:rPr>
        <w:t>.</w:t>
      </w:r>
      <w:r w:rsidR="00A647C7" w:rsidRPr="00AA72B2">
        <w:rPr>
          <w:lang w:val="en-GB"/>
        </w:rPr>
        <w:t xml:space="preserve"> 20594/08; </w:t>
      </w:r>
      <w:r w:rsidR="00A647C7" w:rsidRPr="00DB406B">
        <w:rPr>
          <w:i/>
          <w:lang w:val="en-GB"/>
        </w:rPr>
        <w:t>T. N. and S.N. v. Denmark</w:t>
      </w:r>
      <w:r w:rsidR="00A647C7" w:rsidRPr="0097141D">
        <w:rPr>
          <w:lang w:val="en-GB"/>
        </w:rPr>
        <w:t>, application</w:t>
      </w:r>
      <w:r w:rsidR="00502CC1" w:rsidRPr="00542F54">
        <w:rPr>
          <w:lang w:val="en-GB"/>
        </w:rPr>
        <w:t xml:space="preserve"> No. </w:t>
      </w:r>
      <w:r w:rsidR="00A647C7" w:rsidRPr="00542F54">
        <w:rPr>
          <w:lang w:val="en-GB"/>
        </w:rPr>
        <w:t xml:space="preserve">36517/08; </w:t>
      </w:r>
      <w:r w:rsidR="00A647C7" w:rsidRPr="00542F54">
        <w:rPr>
          <w:i/>
          <w:lang w:val="en-GB"/>
        </w:rPr>
        <w:t>S.S.</w:t>
      </w:r>
      <w:r w:rsidR="00865721" w:rsidRPr="00542F54">
        <w:rPr>
          <w:i/>
          <w:lang w:val="en-GB"/>
        </w:rPr>
        <w:t> </w:t>
      </w:r>
      <w:r w:rsidR="00A647C7" w:rsidRPr="00542F54">
        <w:rPr>
          <w:i/>
          <w:lang w:val="en-GB"/>
        </w:rPr>
        <w:t>and others v. Denmark</w:t>
      </w:r>
      <w:r w:rsidR="00A647C7" w:rsidRPr="00542F54">
        <w:rPr>
          <w:lang w:val="en-GB"/>
        </w:rPr>
        <w:t>, application</w:t>
      </w:r>
      <w:r w:rsidR="00502CC1" w:rsidRPr="00542F54">
        <w:rPr>
          <w:lang w:val="en-GB"/>
        </w:rPr>
        <w:t xml:space="preserve"> No. </w:t>
      </w:r>
      <w:r w:rsidR="00A647C7" w:rsidRPr="00542F54">
        <w:rPr>
          <w:lang w:val="en-GB"/>
        </w:rPr>
        <w:t xml:space="preserve">54703/08; </w:t>
      </w:r>
      <w:r w:rsidR="00A647C7" w:rsidRPr="00542F54">
        <w:rPr>
          <w:i/>
          <w:lang w:val="en-GB"/>
        </w:rPr>
        <w:t>P.K. v. Denmark</w:t>
      </w:r>
      <w:r w:rsidR="00A647C7" w:rsidRPr="00542F54">
        <w:rPr>
          <w:lang w:val="en-GB"/>
        </w:rPr>
        <w:t>, application</w:t>
      </w:r>
      <w:r w:rsidR="00502CC1" w:rsidRPr="00542F54">
        <w:rPr>
          <w:lang w:val="en-GB"/>
        </w:rPr>
        <w:t xml:space="preserve"> No. </w:t>
      </w:r>
      <w:r w:rsidR="00A647C7" w:rsidRPr="00542F54">
        <w:rPr>
          <w:lang w:val="en-GB"/>
        </w:rPr>
        <w:t xml:space="preserve">54705/08 and </w:t>
      </w:r>
      <w:r w:rsidR="00A647C7" w:rsidRPr="00542F54">
        <w:rPr>
          <w:i/>
          <w:lang w:val="en-GB"/>
        </w:rPr>
        <w:t>N.S. v. Denmark</w:t>
      </w:r>
      <w:r w:rsidR="00A647C7" w:rsidRPr="00542F54">
        <w:rPr>
          <w:lang w:val="en-GB"/>
        </w:rPr>
        <w:t>, application</w:t>
      </w:r>
      <w:r w:rsidR="00502CC1" w:rsidRPr="00542F54">
        <w:rPr>
          <w:lang w:val="en-GB"/>
        </w:rPr>
        <w:t xml:space="preserve"> No. </w:t>
      </w:r>
      <w:r w:rsidR="00A647C7" w:rsidRPr="00542F54">
        <w:rPr>
          <w:lang w:val="en-GB"/>
        </w:rPr>
        <w:t>58359/08.</w:t>
      </w:r>
    </w:p>
  </w:footnote>
  <w:footnote w:id="10">
    <w:p w:rsidR="00A647C7" w:rsidRPr="00542F54" w:rsidRDefault="00313386" w:rsidP="00313386">
      <w:pPr>
        <w:pStyle w:val="FootnoteText"/>
        <w:rPr>
          <w:highlight w:val="yellow"/>
          <w:lang w:val="en-GB"/>
        </w:rPr>
      </w:pPr>
      <w:r w:rsidRPr="00542F54">
        <w:tab/>
      </w:r>
      <w:r w:rsidR="00A647C7">
        <w:rPr>
          <w:rStyle w:val="FootnoteReference"/>
        </w:rPr>
        <w:footnoteRef/>
      </w:r>
      <w:r w:rsidRPr="00542F54">
        <w:tab/>
      </w:r>
      <w:r w:rsidR="00A647C7" w:rsidRPr="006E1890">
        <w:rPr>
          <w:lang w:val="en-GB"/>
        </w:rPr>
        <w:t xml:space="preserve">The State party </w:t>
      </w:r>
      <w:r w:rsidR="00A647C7" w:rsidRPr="00AA72B2">
        <w:t>refers</w:t>
      </w:r>
      <w:r w:rsidR="00A647C7" w:rsidRPr="003C20E5">
        <w:rPr>
          <w:lang w:val="en-GB"/>
        </w:rPr>
        <w:t xml:space="preserve"> in this respect to the UNHCR Eligibility Guidelines for Assessing the International Protection Needs of Asylum Seekers f</w:t>
      </w:r>
      <w:r w:rsidR="00107235">
        <w:rPr>
          <w:lang w:val="en-GB"/>
        </w:rPr>
        <w:t>r</w:t>
      </w:r>
      <w:r w:rsidR="00A647C7" w:rsidRPr="006E1890">
        <w:rPr>
          <w:lang w:val="en-GB"/>
        </w:rPr>
        <w:t>o</w:t>
      </w:r>
      <w:r w:rsidR="00A647C7" w:rsidRPr="003C20E5">
        <w:rPr>
          <w:lang w:val="en-GB"/>
        </w:rPr>
        <w:t>m Sri Lanka</w:t>
      </w:r>
      <w:r w:rsidR="00505D08" w:rsidRPr="00DB406B">
        <w:rPr>
          <w:lang w:val="en-GB"/>
        </w:rPr>
        <w:t>, dated 21 December 2012.</w:t>
      </w:r>
      <w:r w:rsidR="00A647C7" w:rsidRPr="0097141D">
        <w:rPr>
          <w:lang w:val="en-GB"/>
        </w:rPr>
        <w:t xml:space="preserve"> </w:t>
      </w:r>
    </w:p>
  </w:footnote>
  <w:footnote w:id="11">
    <w:p w:rsidR="00F31242" w:rsidRPr="00F31242" w:rsidRDefault="00313386" w:rsidP="00313386">
      <w:pPr>
        <w:pStyle w:val="FootnoteText"/>
      </w:pPr>
      <w:r w:rsidRPr="00542F54">
        <w:tab/>
      </w:r>
      <w:r w:rsidR="00F31242" w:rsidRPr="00AA72B2">
        <w:rPr>
          <w:rStyle w:val="FootnoteReference"/>
        </w:rPr>
        <w:footnoteRef/>
      </w:r>
      <w:r w:rsidRPr="00542F54">
        <w:tab/>
      </w:r>
      <w:r w:rsidR="00107235">
        <w:rPr>
          <w:lang w:val="en-GB"/>
        </w:rPr>
        <w:t>Ibid</w:t>
      </w:r>
      <w:r w:rsidR="004E4254" w:rsidRPr="006E1890">
        <w:rPr>
          <w:lang w:val="en-GB"/>
        </w:rPr>
        <w:t>.</w:t>
      </w:r>
    </w:p>
  </w:footnote>
  <w:footnote w:id="12">
    <w:p w:rsidR="00A647C7" w:rsidRPr="00136DE8" w:rsidRDefault="00313386" w:rsidP="00313386">
      <w:pPr>
        <w:pStyle w:val="FootnoteText"/>
        <w:rPr>
          <w:lang w:val="en-GB"/>
        </w:rPr>
      </w:pPr>
      <w:r w:rsidRPr="00542F54">
        <w:tab/>
      </w:r>
      <w:r w:rsidR="00A647C7">
        <w:rPr>
          <w:rStyle w:val="FootnoteReference"/>
        </w:rPr>
        <w:footnoteRef/>
      </w:r>
      <w:r>
        <w:rPr>
          <w:lang w:val="fr-CH"/>
        </w:rPr>
        <w:tab/>
      </w:r>
      <w:r w:rsidR="00A647C7" w:rsidRPr="00136DE8">
        <w:rPr>
          <w:lang w:val="en-GB"/>
        </w:rPr>
        <w:t xml:space="preserve">The Federal Department of Migration </w:t>
      </w:r>
      <w:r w:rsidR="00A647C7" w:rsidRPr="00313386">
        <w:t>suspended</w:t>
      </w:r>
      <w:r w:rsidR="00A647C7" w:rsidRPr="00136DE8">
        <w:rPr>
          <w:lang w:val="en-GB"/>
        </w:rPr>
        <w:t xml:space="preserve"> all deportations to Sri Lanka on </w:t>
      </w:r>
      <w:r w:rsidR="00A647C7">
        <w:rPr>
          <w:lang w:val="en-GB"/>
        </w:rPr>
        <w:t>26 August 2013</w:t>
      </w:r>
      <w:r w:rsidR="00505D08">
        <w:rPr>
          <w:lang w:val="en-GB"/>
        </w:rPr>
        <w:t>. O</w:t>
      </w:r>
      <w:r w:rsidR="00A647C7">
        <w:rPr>
          <w:lang w:val="en-GB"/>
        </w:rPr>
        <w:t>n 26 May 2014</w:t>
      </w:r>
      <w:r w:rsidR="00505D08">
        <w:rPr>
          <w:lang w:val="en-GB"/>
        </w:rPr>
        <w:t>, it announced</w:t>
      </w:r>
      <w:r w:rsidR="00A647C7">
        <w:rPr>
          <w:lang w:val="en-GB"/>
        </w:rPr>
        <w:t xml:space="preserve"> that this measure was lifted and that all asylum requests presented by Sri Lanka nationals would be reviewed on the basis of update</w:t>
      </w:r>
      <w:r w:rsidR="00505D08">
        <w:rPr>
          <w:lang w:val="en-GB"/>
        </w:rPr>
        <w:t>d</w:t>
      </w:r>
      <w:r w:rsidR="00A647C7">
        <w:rPr>
          <w:lang w:val="en-GB"/>
        </w:rPr>
        <w:t xml:space="preserve"> criteria enabling the determination of t</w:t>
      </w:r>
      <w:r w:rsidR="00505D08">
        <w:rPr>
          <w:lang w:val="en-GB"/>
        </w:rPr>
        <w:t xml:space="preserve">heir current level of risk and </w:t>
      </w:r>
      <w:r w:rsidR="00A647C7">
        <w:rPr>
          <w:lang w:val="en-GB"/>
        </w:rPr>
        <w:t xml:space="preserve">in line with the </w:t>
      </w:r>
      <w:r w:rsidR="00A647C7" w:rsidRPr="006E1890">
        <w:t>UNHCR</w:t>
      </w:r>
      <w:r w:rsidR="00A647C7" w:rsidRPr="00AA72B2">
        <w:rPr>
          <w:lang w:val="en-GB"/>
        </w:rPr>
        <w:t xml:space="preserve"> </w:t>
      </w:r>
      <w:r w:rsidR="00107235" w:rsidRPr="003C20E5">
        <w:rPr>
          <w:lang w:val="en-GB"/>
        </w:rPr>
        <w:t>g</w:t>
      </w:r>
      <w:r w:rsidR="00A647C7" w:rsidRPr="0097141D">
        <w:rPr>
          <w:lang w:val="en-GB"/>
        </w:rPr>
        <w:t>uidelines</w:t>
      </w:r>
      <w:r w:rsidR="00A647C7">
        <w:rPr>
          <w:lang w:val="en-GB"/>
        </w:rPr>
        <w:t xml:space="preserve">. </w:t>
      </w:r>
    </w:p>
  </w:footnote>
  <w:footnote w:id="13">
    <w:p w:rsidR="00930548" w:rsidRPr="00930548" w:rsidRDefault="00313386" w:rsidP="00313386">
      <w:pPr>
        <w:pStyle w:val="FootnoteText"/>
        <w:rPr>
          <w:lang w:val="en-GB"/>
        </w:rPr>
      </w:pPr>
      <w:r>
        <w:rPr>
          <w:lang w:val="en-GB"/>
        </w:rPr>
        <w:tab/>
      </w:r>
      <w:r w:rsidR="00930548">
        <w:rPr>
          <w:rStyle w:val="FootnoteReference"/>
        </w:rPr>
        <w:footnoteRef/>
      </w:r>
      <w:r>
        <w:rPr>
          <w:lang w:val="en-GB"/>
        </w:rPr>
        <w:tab/>
      </w:r>
      <w:r w:rsidR="00930548">
        <w:rPr>
          <w:lang w:val="en-GB"/>
        </w:rPr>
        <w:t>He refers to the cases of two</w:t>
      </w:r>
      <w:r w:rsidR="00930548" w:rsidRPr="00930548">
        <w:rPr>
          <w:lang w:val="en-GB"/>
        </w:rPr>
        <w:t xml:space="preserve"> rejected Tamil asylum </w:t>
      </w:r>
      <w:r w:rsidR="00930548" w:rsidRPr="00313386">
        <w:t>see</w:t>
      </w:r>
      <w:r w:rsidR="00505D08" w:rsidRPr="00313386">
        <w:t>kers</w:t>
      </w:r>
      <w:r w:rsidR="00505D08">
        <w:rPr>
          <w:lang w:val="en-GB"/>
        </w:rPr>
        <w:t xml:space="preserve"> from the Netherlands </w:t>
      </w:r>
      <w:r w:rsidR="00930548">
        <w:rPr>
          <w:lang w:val="en-GB"/>
        </w:rPr>
        <w:t>expel</w:t>
      </w:r>
      <w:r w:rsidR="00930548" w:rsidRPr="00930548">
        <w:rPr>
          <w:lang w:val="en-GB"/>
        </w:rPr>
        <w:t>led to Sri Lanka in August 2012 and one</w:t>
      </w:r>
      <w:r w:rsidR="00930548">
        <w:rPr>
          <w:lang w:val="en-GB"/>
        </w:rPr>
        <w:t xml:space="preserve"> from Cyprus (no date). Two of the three</w:t>
      </w:r>
      <w:r w:rsidR="00505D08">
        <w:rPr>
          <w:lang w:val="en-GB"/>
        </w:rPr>
        <w:t xml:space="preserve"> persons </w:t>
      </w:r>
      <w:r w:rsidR="00930548">
        <w:rPr>
          <w:lang w:val="en-GB"/>
        </w:rPr>
        <w:t>were subsequently granted asylum when they managed to flee again fr</w:t>
      </w:r>
      <w:r w:rsidR="00505D08">
        <w:rPr>
          <w:lang w:val="en-GB"/>
        </w:rPr>
        <w:t>o</w:t>
      </w:r>
      <w:r w:rsidR="00930548">
        <w:rPr>
          <w:lang w:val="en-GB"/>
        </w:rPr>
        <w:t>m Sri Lanka.</w:t>
      </w:r>
      <w:r w:rsidR="00930548" w:rsidRPr="00930548">
        <w:rPr>
          <w:lang w:val="en-GB"/>
        </w:rPr>
        <w:t xml:space="preserve"> </w:t>
      </w:r>
    </w:p>
  </w:footnote>
  <w:footnote w:id="14">
    <w:p w:rsidR="00A647C7" w:rsidRPr="00746750" w:rsidRDefault="00313386" w:rsidP="00313386">
      <w:pPr>
        <w:pStyle w:val="FootnoteText"/>
        <w:rPr>
          <w:lang w:val="en-GB"/>
        </w:rPr>
      </w:pPr>
      <w:r>
        <w:rPr>
          <w:lang w:val="fr-CH"/>
        </w:rPr>
        <w:tab/>
      </w:r>
      <w:r w:rsidR="00A647C7">
        <w:rPr>
          <w:rStyle w:val="FootnoteReference"/>
        </w:rPr>
        <w:footnoteRef/>
      </w:r>
      <w:r w:rsidRPr="00542F54">
        <w:tab/>
      </w:r>
      <w:r w:rsidR="00A647C7" w:rsidRPr="006E1890">
        <w:rPr>
          <w:lang w:val="en-GB"/>
        </w:rPr>
        <w:t>The Swiss Refu</w:t>
      </w:r>
      <w:r w:rsidR="00A647C7" w:rsidRPr="00AA72B2">
        <w:rPr>
          <w:lang w:val="en-GB"/>
        </w:rPr>
        <w:t xml:space="preserve">gee Council, </w:t>
      </w:r>
      <w:r w:rsidR="00A647C7" w:rsidRPr="00542F54">
        <w:rPr>
          <w:i/>
          <w:lang w:val="en-GB"/>
        </w:rPr>
        <w:t>Sri Lanka</w:t>
      </w:r>
      <w:r w:rsidR="00A177AB" w:rsidRPr="00542F54">
        <w:rPr>
          <w:i/>
          <w:lang w:val="en-GB"/>
        </w:rPr>
        <w:t>:</w:t>
      </w:r>
      <w:r w:rsidR="00A647C7" w:rsidRPr="00542F54">
        <w:rPr>
          <w:i/>
          <w:lang w:val="en-GB"/>
        </w:rPr>
        <w:t xml:space="preserve"> current situation </w:t>
      </w:r>
      <w:r w:rsidR="00A177AB" w:rsidRPr="00542F54">
        <w:rPr>
          <w:i/>
          <w:lang w:val="en-GB"/>
        </w:rPr>
        <w:t xml:space="preserve"> update</w:t>
      </w:r>
      <w:r w:rsidR="00A177AB">
        <w:rPr>
          <w:lang w:val="en-GB"/>
        </w:rPr>
        <w:t xml:space="preserve">, </w:t>
      </w:r>
      <w:r w:rsidR="00A647C7" w:rsidRPr="00AA72B2">
        <w:t>15</w:t>
      </w:r>
      <w:r w:rsidR="00A647C7" w:rsidRPr="003C20E5">
        <w:rPr>
          <w:lang w:val="en-GB"/>
        </w:rPr>
        <w:t xml:space="preserve"> November 2012, 4.4 Profile of risk groups.</w:t>
      </w:r>
    </w:p>
  </w:footnote>
  <w:footnote w:id="15">
    <w:p w:rsidR="00A647C7" w:rsidRPr="00542F54" w:rsidRDefault="00A647C7" w:rsidP="00313386">
      <w:pPr>
        <w:pStyle w:val="FootnoteText"/>
        <w:rPr>
          <w:highlight w:val="yellow"/>
          <w:lang w:eastAsia="en-GB"/>
        </w:rPr>
      </w:pPr>
      <w:r>
        <w:tab/>
      </w:r>
      <w:r>
        <w:rPr>
          <w:rStyle w:val="FootnoteReference"/>
          <w:sz w:val="20"/>
        </w:rPr>
        <w:footnoteRef/>
      </w:r>
      <w:r>
        <w:tab/>
      </w:r>
      <w:r w:rsidRPr="006E1890">
        <w:rPr>
          <w:lang w:eastAsia="en-GB"/>
        </w:rPr>
        <w:t>See communication</w:t>
      </w:r>
      <w:r w:rsidR="003714CE">
        <w:rPr>
          <w:lang w:eastAsia="en-GB"/>
        </w:rPr>
        <w:t>s</w:t>
      </w:r>
      <w:r w:rsidR="00502CC1" w:rsidRPr="006E1890">
        <w:rPr>
          <w:lang w:eastAsia="en-GB"/>
        </w:rPr>
        <w:t xml:space="preserve"> No. </w:t>
      </w:r>
      <w:r w:rsidRPr="00AA72B2">
        <w:rPr>
          <w:lang w:eastAsia="en-GB"/>
        </w:rPr>
        <w:t xml:space="preserve">1959/2010, </w:t>
      </w:r>
      <w:r w:rsidRPr="003C20E5">
        <w:rPr>
          <w:i/>
          <w:lang w:eastAsia="en-GB"/>
        </w:rPr>
        <w:t>Warsame v. Canada</w:t>
      </w:r>
      <w:r w:rsidRPr="00DB406B">
        <w:rPr>
          <w:lang w:eastAsia="en-GB"/>
        </w:rPr>
        <w:t xml:space="preserve">, Views adopted on 21 July 2011, </w:t>
      </w:r>
      <w:r w:rsidR="004E4254" w:rsidRPr="0097141D">
        <w:rPr>
          <w:lang w:eastAsia="en-GB"/>
        </w:rPr>
        <w:t>para. </w:t>
      </w:r>
      <w:r w:rsidRPr="00542F54">
        <w:rPr>
          <w:lang w:eastAsia="en-GB"/>
        </w:rPr>
        <w:t>7.4</w:t>
      </w:r>
      <w:r w:rsidR="003714CE">
        <w:rPr>
          <w:lang w:eastAsia="en-GB"/>
        </w:rPr>
        <w:t>, and</w:t>
      </w:r>
      <w:r w:rsidRPr="00AA72B2">
        <w:rPr>
          <w:lang w:eastAsia="en-GB"/>
        </w:rPr>
        <w:t xml:space="preserve"> </w:t>
      </w:r>
      <w:r w:rsidR="00502CC1" w:rsidRPr="0097141D">
        <w:rPr>
          <w:lang w:eastAsia="en-GB"/>
        </w:rPr>
        <w:t>No. </w:t>
      </w:r>
      <w:r w:rsidRPr="00542F54">
        <w:rPr>
          <w:lang w:eastAsia="en-GB"/>
        </w:rPr>
        <w:t xml:space="preserve">1003/2001, </w:t>
      </w:r>
      <w:r w:rsidRPr="00542F54">
        <w:rPr>
          <w:i/>
          <w:lang w:eastAsia="en-GB"/>
        </w:rPr>
        <w:t>P.L. v. Germany</w:t>
      </w:r>
      <w:r w:rsidRPr="00542F54">
        <w:rPr>
          <w:lang w:eastAsia="en-GB"/>
        </w:rPr>
        <w:t xml:space="preserve">, </w:t>
      </w:r>
      <w:r w:rsidRPr="00542F54">
        <w:t>inadmissibility</w:t>
      </w:r>
      <w:r w:rsidRPr="00542F54">
        <w:rPr>
          <w:lang w:eastAsia="en-GB"/>
        </w:rPr>
        <w:t xml:space="preserve"> decision adopted on 22 October 2003, </w:t>
      </w:r>
      <w:r w:rsidR="004E4254" w:rsidRPr="00542F54">
        <w:rPr>
          <w:lang w:eastAsia="en-GB"/>
        </w:rPr>
        <w:t>para. </w:t>
      </w:r>
      <w:r w:rsidRPr="00542F54">
        <w:rPr>
          <w:lang w:eastAsia="en-GB"/>
        </w:rPr>
        <w:t>6.5.</w:t>
      </w:r>
    </w:p>
  </w:footnote>
  <w:footnote w:id="16">
    <w:p w:rsidR="00FD7CD0" w:rsidRPr="00542F54" w:rsidRDefault="00FD7CD0" w:rsidP="00313386">
      <w:pPr>
        <w:pStyle w:val="FootnoteText"/>
        <w:rPr>
          <w:highlight w:val="yellow"/>
          <w:lang w:val="en-GB"/>
        </w:rPr>
      </w:pPr>
      <w:r w:rsidRPr="006E1890">
        <w:rPr>
          <w:lang w:val="en-GB"/>
        </w:rPr>
        <w:tab/>
      </w:r>
      <w:r w:rsidRPr="00AA72B2">
        <w:rPr>
          <w:rStyle w:val="FootnoteReference"/>
          <w:lang w:val="en-GB"/>
        </w:rPr>
        <w:footnoteRef/>
      </w:r>
      <w:r w:rsidRPr="00DB406B">
        <w:rPr>
          <w:lang w:val="en-GB"/>
        </w:rPr>
        <w:tab/>
        <w:t>See general comment</w:t>
      </w:r>
      <w:r w:rsidR="00502CC1" w:rsidRPr="0097141D">
        <w:rPr>
          <w:lang w:val="en-GB"/>
        </w:rPr>
        <w:t xml:space="preserve"> No. </w:t>
      </w:r>
      <w:r w:rsidRPr="00542F54">
        <w:rPr>
          <w:lang w:val="en-GB"/>
        </w:rPr>
        <w:t xml:space="preserve">31 (2004) on the nature of the general legal obligation imposed on States parties to the Covenant, </w:t>
      </w:r>
      <w:r w:rsidR="004E4254" w:rsidRPr="00542F54">
        <w:rPr>
          <w:lang w:val="en-GB"/>
        </w:rPr>
        <w:t>para. </w:t>
      </w:r>
      <w:r w:rsidRPr="00542F54">
        <w:t>12</w:t>
      </w:r>
      <w:r w:rsidRPr="00542F54">
        <w:rPr>
          <w:lang w:val="en-GB"/>
        </w:rPr>
        <w:t>.</w:t>
      </w:r>
    </w:p>
  </w:footnote>
  <w:footnote w:id="17">
    <w:p w:rsidR="00A647C7" w:rsidRDefault="00A647C7" w:rsidP="00313386">
      <w:pPr>
        <w:pStyle w:val="FootnoteText"/>
      </w:pPr>
      <w:r w:rsidRPr="006E1890">
        <w:tab/>
      </w:r>
      <w:r w:rsidRPr="00AA72B2">
        <w:rPr>
          <w:rStyle w:val="FootnoteReference"/>
          <w:sz w:val="20"/>
        </w:rPr>
        <w:footnoteRef/>
      </w:r>
      <w:r w:rsidRPr="00DB406B">
        <w:tab/>
        <w:t>Communication</w:t>
      </w:r>
      <w:r w:rsidRPr="0097141D">
        <w:rPr>
          <w:lang w:val="en-GB"/>
        </w:rPr>
        <w:t>s</w:t>
      </w:r>
      <w:r w:rsidR="00502CC1" w:rsidRPr="00542F54">
        <w:t xml:space="preserve"> No. </w:t>
      </w:r>
      <w:r w:rsidRPr="00542F54">
        <w:rPr>
          <w:lang w:val="en-GB"/>
        </w:rPr>
        <w:t xml:space="preserve">2007/2010, </w:t>
      </w:r>
      <w:r w:rsidRPr="00542F54">
        <w:rPr>
          <w:i/>
          <w:lang w:val="en-GB"/>
        </w:rPr>
        <w:t>J.J.</w:t>
      </w:r>
      <w:r w:rsidR="00435CC9">
        <w:rPr>
          <w:i/>
          <w:lang w:val="en-GB"/>
        </w:rPr>
        <w:t>M</w:t>
      </w:r>
      <w:r w:rsidRPr="00AA72B2">
        <w:rPr>
          <w:i/>
          <w:lang w:val="en-GB"/>
        </w:rPr>
        <w:t>. v. Denmark</w:t>
      </w:r>
      <w:r w:rsidRPr="00DB406B">
        <w:rPr>
          <w:lang w:val="en-GB"/>
        </w:rPr>
        <w:t>, Views ad</w:t>
      </w:r>
      <w:r w:rsidRPr="0097141D">
        <w:rPr>
          <w:lang w:val="en-GB"/>
        </w:rPr>
        <w:t xml:space="preserve">opted on 26 March 2014, </w:t>
      </w:r>
      <w:r w:rsidR="004E4254" w:rsidRPr="00542F54">
        <w:rPr>
          <w:lang w:val="en-GB"/>
        </w:rPr>
        <w:t>para. </w:t>
      </w:r>
      <w:r w:rsidRPr="00542F54">
        <w:rPr>
          <w:lang w:val="en-GB"/>
        </w:rPr>
        <w:t>9.2</w:t>
      </w:r>
      <w:r w:rsidR="00ED0A30">
        <w:rPr>
          <w:lang w:val="en-GB"/>
        </w:rPr>
        <w:t>, and</w:t>
      </w:r>
      <w:r w:rsidR="00ED0A30" w:rsidRPr="00ED0A30">
        <w:t xml:space="preserve"> </w:t>
      </w:r>
      <w:r w:rsidR="00ED0A30" w:rsidRPr="00FB0E01">
        <w:t xml:space="preserve">No. 692/1996, </w:t>
      </w:r>
      <w:r w:rsidR="00ED0A30" w:rsidRPr="00FB0E01">
        <w:rPr>
          <w:i/>
          <w:iCs/>
        </w:rPr>
        <w:t xml:space="preserve">A.R.J. v. Australia, </w:t>
      </w:r>
      <w:r w:rsidR="00ED0A30" w:rsidRPr="00FB0E01">
        <w:t>Views adopted on 28 July 1997, para. 6.6</w:t>
      </w:r>
      <w:r w:rsidR="00ED0A30">
        <w:rPr>
          <w:lang w:val="en-GB"/>
        </w:rPr>
        <w:t>.</w:t>
      </w:r>
      <w:r w:rsidR="00502CC1" w:rsidRPr="00AA72B2">
        <w:rPr>
          <w:lang w:val="en-GB"/>
        </w:rPr>
        <w:t xml:space="preserve"> </w:t>
      </w:r>
      <w:r w:rsidR="00ED0A30">
        <w:rPr>
          <w:lang w:val="en-GB"/>
        </w:rPr>
        <w:t xml:space="preserve">See also Committee against Torture, communications </w:t>
      </w:r>
      <w:r w:rsidR="00502CC1" w:rsidRPr="006E1890">
        <w:rPr>
          <w:lang w:val="en-GB"/>
        </w:rPr>
        <w:t>No. </w:t>
      </w:r>
      <w:r w:rsidRPr="00AA72B2">
        <w:t xml:space="preserve">282/2005, </w:t>
      </w:r>
      <w:r w:rsidRPr="00DB406B">
        <w:rPr>
          <w:i/>
        </w:rPr>
        <w:t xml:space="preserve">S.P.A. </w:t>
      </w:r>
      <w:r w:rsidRPr="0097141D">
        <w:rPr>
          <w:i/>
          <w:iCs/>
        </w:rPr>
        <w:t>v.</w:t>
      </w:r>
      <w:r w:rsidRPr="00542F54">
        <w:rPr>
          <w:i/>
        </w:rPr>
        <w:t xml:space="preserve"> Canada</w:t>
      </w:r>
      <w:r w:rsidRPr="00542F54">
        <w:t>, decision adopted on 7 November 2006;</w:t>
      </w:r>
      <w:r w:rsidR="00502CC1" w:rsidRPr="00542F54">
        <w:t xml:space="preserve"> No. </w:t>
      </w:r>
      <w:r w:rsidRPr="00542F54">
        <w:t xml:space="preserve">333/2007, </w:t>
      </w:r>
      <w:r w:rsidRPr="00542F54">
        <w:rPr>
          <w:i/>
        </w:rPr>
        <w:t xml:space="preserve">T.I. </w:t>
      </w:r>
      <w:r w:rsidRPr="00542F54">
        <w:rPr>
          <w:i/>
          <w:iCs/>
        </w:rPr>
        <w:t>v.</w:t>
      </w:r>
      <w:r w:rsidRPr="00542F54">
        <w:rPr>
          <w:i/>
        </w:rPr>
        <w:t xml:space="preserve"> Canada</w:t>
      </w:r>
      <w:r w:rsidRPr="00542F54">
        <w:t>, decision adopted on 15 November 2010; and</w:t>
      </w:r>
      <w:r w:rsidR="00502CC1" w:rsidRPr="00542F54">
        <w:t xml:space="preserve"> No. </w:t>
      </w:r>
      <w:r w:rsidRPr="00542F54">
        <w:t xml:space="preserve">344/2008, </w:t>
      </w:r>
      <w:r w:rsidRPr="00542F54">
        <w:rPr>
          <w:i/>
        </w:rPr>
        <w:t xml:space="preserve">A.M.A. </w:t>
      </w:r>
      <w:r w:rsidRPr="00542F54">
        <w:rPr>
          <w:i/>
          <w:iCs/>
        </w:rPr>
        <w:t>v.</w:t>
      </w:r>
      <w:r w:rsidRPr="00542F54">
        <w:rPr>
          <w:i/>
        </w:rPr>
        <w:t> Switzerland</w:t>
      </w:r>
      <w:r w:rsidRPr="00542F54">
        <w:t>, decision adopted on 12 November 2010</w:t>
      </w:r>
      <w:r w:rsidRPr="00542F54">
        <w:rPr>
          <w:lang w:val="en-GB"/>
        </w:rPr>
        <w:t>.</w:t>
      </w:r>
    </w:p>
  </w:footnote>
  <w:footnote w:id="18">
    <w:p w:rsidR="00A647C7" w:rsidRPr="00542F54" w:rsidRDefault="00A647C7" w:rsidP="0018481A">
      <w:pPr>
        <w:pStyle w:val="FootnoteText"/>
        <w:rPr>
          <w:highlight w:val="yellow"/>
        </w:rPr>
      </w:pPr>
      <w:r>
        <w:tab/>
      </w:r>
      <w:r>
        <w:rPr>
          <w:rStyle w:val="FootnoteReference"/>
          <w:sz w:val="20"/>
        </w:rPr>
        <w:footnoteRef/>
      </w:r>
      <w:r>
        <w:tab/>
      </w:r>
      <w:r w:rsidRPr="006E1890">
        <w:t>Communication</w:t>
      </w:r>
      <w:r w:rsidRPr="00AA72B2">
        <w:rPr>
          <w:lang w:val="en-GB"/>
        </w:rPr>
        <w:t>s</w:t>
      </w:r>
      <w:r w:rsidR="00502CC1" w:rsidRPr="00DB406B">
        <w:rPr>
          <w:lang w:val="en-GB"/>
        </w:rPr>
        <w:t xml:space="preserve"> No. </w:t>
      </w:r>
      <w:r w:rsidRPr="0097141D">
        <w:rPr>
          <w:lang w:val="en-GB"/>
        </w:rPr>
        <w:t xml:space="preserve">2007/2010, </w:t>
      </w:r>
      <w:r w:rsidRPr="00542F54">
        <w:rPr>
          <w:i/>
          <w:iCs/>
          <w:lang w:val="en-GB"/>
        </w:rPr>
        <w:t xml:space="preserve">J.J.N. </w:t>
      </w:r>
      <w:r w:rsidR="00E67325" w:rsidRPr="00542F54">
        <w:rPr>
          <w:i/>
          <w:iCs/>
          <w:lang w:val="en-GB"/>
        </w:rPr>
        <w:t>v</w:t>
      </w:r>
      <w:r w:rsidRPr="00542F54">
        <w:rPr>
          <w:i/>
          <w:iCs/>
          <w:lang w:val="en-GB"/>
        </w:rPr>
        <w:t>. Denmark</w:t>
      </w:r>
      <w:r w:rsidRPr="00542F54">
        <w:rPr>
          <w:lang w:val="en-GB"/>
        </w:rPr>
        <w:t xml:space="preserve">, </w:t>
      </w:r>
      <w:r w:rsidR="004E4254" w:rsidRPr="00542F54">
        <w:rPr>
          <w:lang w:val="en-GB"/>
        </w:rPr>
        <w:t>para. </w:t>
      </w:r>
      <w:r w:rsidRPr="00542F54">
        <w:rPr>
          <w:lang w:val="en-GB"/>
        </w:rPr>
        <w:t>9.2</w:t>
      </w:r>
      <w:r w:rsidR="00435CC9">
        <w:rPr>
          <w:lang w:val="en-GB"/>
        </w:rPr>
        <w:t>,</w:t>
      </w:r>
      <w:r w:rsidR="00502CC1" w:rsidRPr="00AA72B2">
        <w:rPr>
          <w:lang w:val="en-GB"/>
        </w:rPr>
        <w:t xml:space="preserve"> </w:t>
      </w:r>
      <w:r w:rsidR="00435CC9">
        <w:rPr>
          <w:lang w:val="en-GB"/>
        </w:rPr>
        <w:t xml:space="preserve">and </w:t>
      </w:r>
      <w:r w:rsidR="00502CC1" w:rsidRPr="006E1890">
        <w:rPr>
          <w:lang w:val="en-GB"/>
        </w:rPr>
        <w:t>No. </w:t>
      </w:r>
      <w:r w:rsidRPr="00AA72B2">
        <w:t>1833/2008</w:t>
      </w:r>
      <w:r w:rsidRPr="00DB406B">
        <w:rPr>
          <w:i/>
        </w:rPr>
        <w:t>, X. v. Sweden</w:t>
      </w:r>
      <w:r w:rsidRPr="0097141D">
        <w:t xml:space="preserve">, Views adopted on 1 November 2011, </w:t>
      </w:r>
      <w:r w:rsidR="004E4254" w:rsidRPr="00542F54">
        <w:t>para. </w:t>
      </w:r>
      <w:r w:rsidRPr="00542F54">
        <w:t xml:space="preserve">5.18. </w:t>
      </w:r>
    </w:p>
  </w:footnote>
  <w:footnote w:id="19">
    <w:p w:rsidR="00A647C7" w:rsidRPr="00542F54" w:rsidRDefault="00A647C7" w:rsidP="0018481A">
      <w:pPr>
        <w:pStyle w:val="FootnoteText"/>
        <w:rPr>
          <w:highlight w:val="yellow"/>
        </w:rPr>
      </w:pPr>
      <w:r w:rsidRPr="006E1890">
        <w:tab/>
      </w:r>
      <w:r w:rsidRPr="00AA72B2">
        <w:rPr>
          <w:rStyle w:val="FootnoteReference"/>
          <w:sz w:val="20"/>
        </w:rPr>
        <w:footnoteRef/>
      </w:r>
      <w:r w:rsidRPr="00DB406B">
        <w:tab/>
      </w:r>
      <w:r w:rsidRPr="0097141D">
        <w:rPr>
          <w:iCs/>
        </w:rPr>
        <w:t>Ibid.</w:t>
      </w:r>
    </w:p>
  </w:footnote>
  <w:footnote w:id="20">
    <w:p w:rsidR="00A647C7" w:rsidRPr="00542F54" w:rsidRDefault="00A647C7" w:rsidP="00313386">
      <w:pPr>
        <w:pStyle w:val="FootnoteText"/>
        <w:rPr>
          <w:highlight w:val="yellow"/>
        </w:rPr>
      </w:pPr>
      <w:r w:rsidRPr="006E1890">
        <w:tab/>
      </w:r>
      <w:r w:rsidRPr="00AA72B2">
        <w:rPr>
          <w:rStyle w:val="FootnoteReference"/>
          <w:sz w:val="20"/>
        </w:rPr>
        <w:footnoteRef/>
      </w:r>
      <w:r w:rsidRPr="00DB406B">
        <w:tab/>
        <w:t>See, inter alia, i</w:t>
      </w:r>
      <w:r w:rsidRPr="0097141D">
        <w:rPr>
          <w:iCs/>
        </w:rPr>
        <w:t xml:space="preserve">bid. </w:t>
      </w:r>
      <w:r w:rsidRPr="00542F54">
        <w:t>and communication</w:t>
      </w:r>
      <w:r w:rsidR="00502CC1" w:rsidRPr="00542F54">
        <w:t xml:space="preserve"> No. </w:t>
      </w:r>
      <w:r w:rsidRPr="00542F54">
        <w:t xml:space="preserve">541/1993, </w:t>
      </w:r>
      <w:r w:rsidRPr="00542F54">
        <w:rPr>
          <w:i/>
        </w:rPr>
        <w:t>Simms v. Jamaica</w:t>
      </w:r>
      <w:r w:rsidRPr="00542F54">
        <w:t xml:space="preserve">, inadmissibility decision adopted on 3 April 1995, </w:t>
      </w:r>
      <w:r w:rsidR="004E4254" w:rsidRPr="00542F54">
        <w:t>para. </w:t>
      </w:r>
      <w:r w:rsidRPr="00542F54">
        <w:t>6.2.</w:t>
      </w:r>
    </w:p>
  </w:footnote>
  <w:footnote w:id="21">
    <w:p w:rsidR="00577E84" w:rsidRPr="00C86957" w:rsidRDefault="00577E84" w:rsidP="00313386">
      <w:pPr>
        <w:pStyle w:val="FootnoteText"/>
        <w:rPr>
          <w:lang w:val="en-GB"/>
        </w:rPr>
      </w:pPr>
      <w:r w:rsidRPr="006E1890">
        <w:rPr>
          <w:lang w:val="en-GB"/>
        </w:rPr>
        <w:tab/>
      </w:r>
      <w:r w:rsidRPr="00AA72B2">
        <w:rPr>
          <w:rStyle w:val="FootnoteReference"/>
          <w:lang w:val="en-GB"/>
        </w:rPr>
        <w:footnoteRef/>
      </w:r>
      <w:r w:rsidRPr="00DB406B">
        <w:rPr>
          <w:lang w:val="en-GB"/>
        </w:rPr>
        <w:tab/>
        <w:t>See communications</w:t>
      </w:r>
      <w:r w:rsidR="00502CC1" w:rsidRPr="0097141D">
        <w:rPr>
          <w:lang w:val="en-GB"/>
        </w:rPr>
        <w:t xml:space="preserve"> No. </w:t>
      </w:r>
      <w:r w:rsidRPr="00542F54">
        <w:rPr>
          <w:lang w:val="en-GB"/>
        </w:rPr>
        <w:t xml:space="preserve">1763/2008, </w:t>
      </w:r>
      <w:r w:rsidRPr="00542F54">
        <w:rPr>
          <w:i/>
          <w:lang w:val="en-GB"/>
        </w:rPr>
        <w:t>Pillai et al. v.</w:t>
      </w:r>
      <w:r w:rsidRPr="00542F54">
        <w:rPr>
          <w:lang w:val="en-GB"/>
        </w:rPr>
        <w:t xml:space="preserve"> </w:t>
      </w:r>
      <w:smartTag w:uri="urn:schemas-microsoft-com:office:smarttags" w:element="place">
        <w:smartTag w:uri="urn:schemas-microsoft-com:office:smarttags" w:element="country-region">
          <w:r w:rsidRPr="00542F54">
            <w:rPr>
              <w:i/>
              <w:lang w:val="en-GB"/>
            </w:rPr>
            <w:t>Canada</w:t>
          </w:r>
        </w:smartTag>
      </w:smartTag>
      <w:r w:rsidRPr="00542F54">
        <w:rPr>
          <w:lang w:val="en-GB"/>
        </w:rPr>
        <w:t xml:space="preserve">, Views adopted on 25 March 2011, </w:t>
      </w:r>
      <w:r w:rsidR="004E4254" w:rsidRPr="00542F54">
        <w:rPr>
          <w:lang w:val="en-GB"/>
        </w:rPr>
        <w:t>para. </w:t>
      </w:r>
      <w:r w:rsidRPr="00542F54">
        <w:rPr>
          <w:lang w:val="en-GB"/>
        </w:rPr>
        <w:t>11.4</w:t>
      </w:r>
      <w:r w:rsidR="00435CC9">
        <w:rPr>
          <w:lang w:val="en-GB"/>
        </w:rPr>
        <w:t>,</w:t>
      </w:r>
      <w:r w:rsidRPr="006E1890">
        <w:rPr>
          <w:lang w:val="en-GB"/>
        </w:rPr>
        <w:t xml:space="preserve"> and</w:t>
      </w:r>
      <w:r w:rsidR="00502CC1" w:rsidRPr="00AA72B2">
        <w:rPr>
          <w:lang w:val="en-GB"/>
        </w:rPr>
        <w:t xml:space="preserve"> </w:t>
      </w:r>
      <w:r w:rsidR="00502CC1" w:rsidRPr="00DB406B">
        <w:rPr>
          <w:lang w:val="en-GB"/>
        </w:rPr>
        <w:t>No. </w:t>
      </w:r>
      <w:r w:rsidRPr="0097141D">
        <w:rPr>
          <w:lang w:val="en-GB"/>
        </w:rPr>
        <w:t xml:space="preserve">1957/2010, </w:t>
      </w:r>
      <w:r w:rsidRPr="00542F54">
        <w:rPr>
          <w:i/>
          <w:lang w:val="en-GB"/>
        </w:rPr>
        <w:t>Lin v. Australia</w:t>
      </w:r>
      <w:r w:rsidRPr="00542F54">
        <w:rPr>
          <w:lang w:val="en-GB"/>
        </w:rPr>
        <w:t xml:space="preserve">, </w:t>
      </w:r>
      <w:r w:rsidRPr="00542F54">
        <w:t>Views</w:t>
      </w:r>
      <w:r w:rsidRPr="00542F54">
        <w:rPr>
          <w:lang w:val="en-GB"/>
        </w:rPr>
        <w:t xml:space="preserve"> adopted on 21 March 2013, </w:t>
      </w:r>
      <w:r w:rsidR="004E4254" w:rsidRPr="00542F54">
        <w:rPr>
          <w:lang w:val="en-GB"/>
        </w:rPr>
        <w:t>para. </w:t>
      </w:r>
      <w:r w:rsidRPr="00542F54">
        <w:rPr>
          <w:lang w:val="en-GB"/>
        </w:rPr>
        <w:t>9.3.</w:t>
      </w:r>
    </w:p>
  </w:footnote>
  <w:footnote w:id="22">
    <w:p w:rsidR="001439BC" w:rsidRPr="00542F54" w:rsidRDefault="001439BC" w:rsidP="001439BC">
      <w:pPr>
        <w:pStyle w:val="FootnoteText"/>
        <w:rPr>
          <w:highlight w:val="yellow"/>
        </w:rPr>
      </w:pPr>
      <w:r w:rsidRPr="00542F54">
        <w:rPr>
          <w:rStyle w:val="FootnoteReference"/>
          <w:color w:val="000000"/>
          <w:sz w:val="20"/>
          <w:lang w:val="en-GB"/>
        </w:rPr>
        <w:tab/>
      </w:r>
      <w:r w:rsidRPr="001439BC">
        <w:rPr>
          <w:rStyle w:val="FootnoteReference"/>
          <w:color w:val="000000"/>
          <w:sz w:val="20"/>
        </w:rPr>
        <w:footnoteRef/>
      </w:r>
      <w:r w:rsidRPr="00542F54">
        <w:rPr>
          <w:rStyle w:val="FootnoteReference"/>
          <w:color w:val="000000"/>
          <w:sz w:val="20"/>
          <w:lang w:val="en-GB"/>
        </w:rPr>
        <w:tab/>
      </w:r>
      <w:r w:rsidRPr="006E1890">
        <w:t>See UNHCR Eligibility Guidelines for Assessing the International Protection Needs of Asylum Seekers from Sri Lanka, 21 December 2012, p</w:t>
      </w:r>
      <w:r w:rsidR="00107235">
        <w:t>p</w:t>
      </w:r>
      <w:r w:rsidRPr="006E1890">
        <w:t>.</w:t>
      </w:r>
      <w:r w:rsidR="00CB4B5C" w:rsidRPr="00542F54">
        <w:t> </w:t>
      </w:r>
      <w:r w:rsidRPr="006E1890">
        <w:t xml:space="preserve">8 </w:t>
      </w:r>
      <w:r w:rsidR="00107235">
        <w:t>and</w:t>
      </w:r>
      <w:r w:rsidRPr="00AA72B2">
        <w:t xml:space="preserve"> 18.</w:t>
      </w:r>
    </w:p>
  </w:footnote>
  <w:footnote w:id="23">
    <w:p w:rsidR="001439BC" w:rsidRPr="00B4032D" w:rsidRDefault="001439BC" w:rsidP="00542F54">
      <w:pPr>
        <w:pStyle w:val="FootnoteText"/>
      </w:pPr>
      <w:r w:rsidRPr="00542F54">
        <w:rPr>
          <w:lang w:val="en-GB"/>
        </w:rPr>
        <w:tab/>
      </w:r>
      <w:r w:rsidRPr="006E1890">
        <w:rPr>
          <w:rStyle w:val="FootnoteReference"/>
          <w:sz w:val="20"/>
        </w:rPr>
        <w:footnoteRef/>
      </w:r>
      <w:r w:rsidRPr="00542F54">
        <w:rPr>
          <w:lang w:val="en-GB"/>
        </w:rPr>
        <w:tab/>
      </w:r>
      <w:r w:rsidRPr="006E1890">
        <w:t>See UNHCR</w:t>
      </w:r>
      <w:r w:rsidR="00261893">
        <w:t>,</w:t>
      </w:r>
      <w:r w:rsidRPr="006E1890">
        <w:t xml:space="preserve"> </w:t>
      </w:r>
      <w:r w:rsidR="00261893">
        <w:t>“</w:t>
      </w:r>
      <w:r w:rsidR="00261893" w:rsidRPr="00261893">
        <w:rPr>
          <w:lang w:val="en-GB"/>
        </w:rPr>
        <w:t>Sri Lanka: Country Of Origin Information Relating To The Targeting Of Ex-LTTE Members/Combatants</w:t>
      </w:r>
      <w:r w:rsidR="00261893">
        <w:rPr>
          <w:lang w:val="en-GB"/>
        </w:rPr>
        <w:t xml:space="preserve">”, </w:t>
      </w:r>
      <w:r w:rsidR="00261893" w:rsidRPr="00AA72B2">
        <w:t xml:space="preserve">3 </w:t>
      </w:r>
      <w:r w:rsidRPr="003C20E5">
        <w:t xml:space="preserve">February 2014; Human Rights Watch, </w:t>
      </w:r>
      <w:r w:rsidRPr="00542F54">
        <w:rPr>
          <w:i/>
        </w:rPr>
        <w:t>World Report</w:t>
      </w:r>
      <w:r w:rsidR="00261893">
        <w:t>,</w:t>
      </w:r>
      <w:r w:rsidRPr="00542F54">
        <w:rPr>
          <w:i/>
        </w:rPr>
        <w:t xml:space="preserve"> </w:t>
      </w:r>
      <w:r w:rsidRPr="00AA72B2">
        <w:t>20 February 2015:</w:t>
      </w:r>
      <w:r w:rsidR="008B4AA3" w:rsidRPr="003C20E5">
        <w:t xml:space="preserve"> </w:t>
      </w:r>
      <w:r w:rsidRPr="00DB406B">
        <w:t>“The</w:t>
      </w:r>
      <w:r w:rsidRPr="0097141D">
        <w:t xml:space="preserve"> government’s treatment of Tamils forcibly returned to Sri Lanka after being denied asylum overseas continues to be a significant concern </w:t>
      </w:r>
      <w:r w:rsidR="00B315D2" w:rsidRPr="00542F54">
        <w:t>…</w:t>
      </w:r>
      <w:r w:rsidRPr="00542F54">
        <w:t xml:space="preserve"> Human Rights Watch and others have documented the authorities’ use of torture against people suspected of links to the LTTE, including those returned as failed asylum seekers from the United Kingdom and other countries.” A Human Rights Law Centre report of 30 September 2014</w:t>
      </w:r>
      <w:r w:rsidR="00261893">
        <w:t xml:space="preserve"> (“</w:t>
      </w:r>
      <w:r w:rsidR="00261893" w:rsidRPr="00542F54">
        <w:rPr>
          <w:bCs/>
        </w:rPr>
        <w:t>Australia’s hasty return of Sri Lankan asylum seekers puts them at risk of torture, rape and other mistreatment</w:t>
      </w:r>
      <w:r w:rsidR="00261893">
        <w:t>”)</w:t>
      </w:r>
      <w:r w:rsidRPr="006E1890">
        <w:t xml:space="preserve"> documented the serious risk of torture that failed asylum seekers suspected of links to </w:t>
      </w:r>
      <w:r w:rsidRPr="003C20E5">
        <w:t>LTTE may continue to encounter when returned to Sri Lanka, as did</w:t>
      </w:r>
      <w:r w:rsidR="001253B7">
        <w:rPr>
          <w:lang w:val="en-GB"/>
        </w:rPr>
        <w:t xml:space="preserve"> </w:t>
      </w:r>
      <w:r w:rsidRPr="006E1890">
        <w:t>Freedom from Torture’s up</w:t>
      </w:r>
      <w:r w:rsidRPr="003C20E5">
        <w:t>dated submission to the Human Rights Committee fo</w:t>
      </w:r>
      <w:r w:rsidRPr="00DB406B">
        <w:t xml:space="preserve">r the </w:t>
      </w:r>
      <w:r w:rsidR="001253B7">
        <w:t>fif</w:t>
      </w:r>
      <w:r w:rsidRPr="00AA72B2">
        <w:t xml:space="preserve">th periodic review of Sri Lanka in October 2014, which observed that “people of Tamil ethnicity with even minimal or merely suspected links to the LTTE have been detained and tortured and that these practices continue in the </w:t>
      </w:r>
      <w:r w:rsidRPr="003C20E5">
        <w:rPr>
          <w:i/>
          <w:iCs/>
        </w:rPr>
        <w:t xml:space="preserve">post-conflict </w:t>
      </w:r>
      <w:r w:rsidRPr="00DB406B">
        <w:t>period</w:t>
      </w:r>
      <w:r w:rsidRPr="00542F54">
        <w:t>”</w:t>
      </w:r>
      <w:r w:rsidR="008B4AA3" w:rsidRPr="00542F54">
        <w:t xml:space="preserve"> </w:t>
      </w:r>
      <w:r w:rsidRPr="00542F54">
        <w:t>(</w:t>
      </w:r>
      <w:r w:rsidR="00261893">
        <w:t>e</w:t>
      </w:r>
      <w:r w:rsidRPr="00AA72B2">
        <w:t>mphasis in original).</w:t>
      </w:r>
      <w:r w:rsidR="008B4AA3" w:rsidRPr="003C20E5">
        <w:t xml:space="preserve"> </w:t>
      </w:r>
      <w:r w:rsidRPr="00DB406B">
        <w:t xml:space="preserve">See also </w:t>
      </w:r>
      <w:r w:rsidRPr="0097141D">
        <w:rPr>
          <w:i/>
          <w:iCs/>
          <w:color w:val="222222"/>
          <w:shd w:val="clear" w:color="auto" w:fill="FFFFFF"/>
        </w:rPr>
        <w:t>Gaksakuman</w:t>
      </w:r>
      <w:r w:rsidRPr="00542F54">
        <w:rPr>
          <w:color w:val="222222"/>
          <w:shd w:val="clear" w:color="auto" w:fill="FFFFFF"/>
        </w:rPr>
        <w:t xml:space="preserve"> </w:t>
      </w:r>
      <w:r w:rsidRPr="00542F54">
        <w:rPr>
          <w:i/>
          <w:iCs/>
          <w:color w:val="222222"/>
          <w:shd w:val="clear" w:color="auto" w:fill="FFFFFF"/>
        </w:rPr>
        <w:t>v.</w:t>
      </w:r>
      <w:r w:rsidRPr="00542F54">
        <w:rPr>
          <w:color w:val="222222"/>
          <w:shd w:val="clear" w:color="auto" w:fill="FFFFFF"/>
        </w:rPr>
        <w:t xml:space="preserve"> </w:t>
      </w:r>
      <w:r w:rsidRPr="00542F54">
        <w:rPr>
          <w:i/>
          <w:iCs/>
          <w:color w:val="222222"/>
          <w:shd w:val="clear" w:color="auto" w:fill="FFFFFF"/>
        </w:rPr>
        <w:t>US Attorney General</w:t>
      </w:r>
      <w:r w:rsidRPr="00542F54">
        <w:rPr>
          <w:color w:val="222222"/>
          <w:shd w:val="clear" w:color="auto" w:fill="FFFFFF"/>
        </w:rPr>
        <w:t>, 767 F.3d 1164, 1170</w:t>
      </w:r>
      <w:r w:rsidR="003714CE">
        <w:rPr>
          <w:color w:val="222222"/>
          <w:shd w:val="clear" w:color="auto" w:fill="FFFFFF"/>
        </w:rPr>
        <w:t xml:space="preserve">, </w:t>
      </w:r>
      <w:r w:rsidR="00261893">
        <w:rPr>
          <w:color w:val="222222"/>
          <w:shd w:val="clear" w:color="auto" w:fill="FFFFFF"/>
        </w:rPr>
        <w:t>United States Court of Appeals, Eleven</w:t>
      </w:r>
      <w:r w:rsidRPr="00AA72B2">
        <w:rPr>
          <w:color w:val="222222"/>
          <w:shd w:val="clear" w:color="auto" w:fill="FFFFFF"/>
        </w:rPr>
        <w:t>th Cir</w:t>
      </w:r>
      <w:r w:rsidR="00261893">
        <w:rPr>
          <w:color w:val="222222"/>
          <w:shd w:val="clear" w:color="auto" w:fill="FFFFFF"/>
        </w:rPr>
        <w:t>cuit,</w:t>
      </w:r>
      <w:r w:rsidRPr="00AA72B2">
        <w:rPr>
          <w:color w:val="222222"/>
          <w:shd w:val="clear" w:color="auto" w:fill="FFFFFF"/>
        </w:rPr>
        <w:t xml:space="preserve"> 2014</w:t>
      </w:r>
      <w:r w:rsidR="003714CE">
        <w:rPr>
          <w:color w:val="222222"/>
          <w:shd w:val="clear" w:color="auto" w:fill="FFFFFF"/>
        </w:rPr>
        <w:t xml:space="preserve"> </w:t>
      </w:r>
      <w:r w:rsidRPr="00AA72B2">
        <w:t>(“</w:t>
      </w:r>
      <w:r w:rsidR="00261893">
        <w:rPr>
          <w:color w:val="222222"/>
          <w:shd w:val="clear" w:color="auto" w:fill="FFFFFF"/>
        </w:rPr>
        <w:t>t</w:t>
      </w:r>
      <w:r w:rsidRPr="00AA72B2">
        <w:rPr>
          <w:color w:val="222222"/>
          <w:shd w:val="clear" w:color="auto" w:fill="FFFFFF"/>
        </w:rPr>
        <w:t>he evidence tended to prove that officials in Sri Lanka tortured at least some failed asylum seeke</w:t>
      </w:r>
      <w:r w:rsidRPr="003C20E5">
        <w:rPr>
          <w:color w:val="222222"/>
          <w:shd w:val="clear" w:color="auto" w:fill="FFFFFF"/>
        </w:rPr>
        <w:t>rs, particularly if they had an actual or perceived association with the Liberation Tigers”).</w:t>
      </w:r>
      <w:r w:rsidR="008B4AA3">
        <w:rPr>
          <w:color w:val="222222"/>
          <w:shd w:val="clear" w:color="auto" w:fill="FFFFFF"/>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7C7" w:rsidRPr="00781C83" w:rsidRDefault="00A647C7" w:rsidP="00781C83">
    <w:pPr>
      <w:pStyle w:val="Header"/>
    </w:pPr>
    <w:r>
      <w:t>CCPR/C/113/D/2272/2013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7C7" w:rsidRPr="00781C83" w:rsidRDefault="00A647C7" w:rsidP="00781C83">
    <w:pPr>
      <w:pStyle w:val="Header"/>
      <w:jc w:val="right"/>
    </w:pPr>
    <w:r>
      <w:t>CCPR/C/113/D/2272/2013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A5"/>
    <w:rsid w:val="00001C66"/>
    <w:rsid w:val="000044E2"/>
    <w:rsid w:val="00013BAF"/>
    <w:rsid w:val="0001627B"/>
    <w:rsid w:val="000170C3"/>
    <w:rsid w:val="00023024"/>
    <w:rsid w:val="00024522"/>
    <w:rsid w:val="00025D41"/>
    <w:rsid w:val="0002635B"/>
    <w:rsid w:val="000272B3"/>
    <w:rsid w:val="00032DE4"/>
    <w:rsid w:val="0003387B"/>
    <w:rsid w:val="00033CD0"/>
    <w:rsid w:val="000362C0"/>
    <w:rsid w:val="00036F3F"/>
    <w:rsid w:val="000371A1"/>
    <w:rsid w:val="000377A5"/>
    <w:rsid w:val="0004092D"/>
    <w:rsid w:val="00041994"/>
    <w:rsid w:val="00050F6B"/>
    <w:rsid w:val="00053142"/>
    <w:rsid w:val="00055FFE"/>
    <w:rsid w:val="0005782B"/>
    <w:rsid w:val="00057E97"/>
    <w:rsid w:val="00060C3A"/>
    <w:rsid w:val="00066476"/>
    <w:rsid w:val="000673A3"/>
    <w:rsid w:val="00067CCE"/>
    <w:rsid w:val="000707D1"/>
    <w:rsid w:val="00072C8C"/>
    <w:rsid w:val="000733B5"/>
    <w:rsid w:val="00081815"/>
    <w:rsid w:val="00081BF7"/>
    <w:rsid w:val="0008245C"/>
    <w:rsid w:val="00090022"/>
    <w:rsid w:val="00090758"/>
    <w:rsid w:val="00091F15"/>
    <w:rsid w:val="000931C0"/>
    <w:rsid w:val="0009642A"/>
    <w:rsid w:val="000970C1"/>
    <w:rsid w:val="000A2EE4"/>
    <w:rsid w:val="000A310C"/>
    <w:rsid w:val="000A5559"/>
    <w:rsid w:val="000A69CF"/>
    <w:rsid w:val="000B02C3"/>
    <w:rsid w:val="000B175B"/>
    <w:rsid w:val="000B1788"/>
    <w:rsid w:val="000B3A0F"/>
    <w:rsid w:val="000B3D5D"/>
    <w:rsid w:val="000B4EF7"/>
    <w:rsid w:val="000C2AB9"/>
    <w:rsid w:val="000C2C03"/>
    <w:rsid w:val="000C2D2E"/>
    <w:rsid w:val="000C2E06"/>
    <w:rsid w:val="000C46B7"/>
    <w:rsid w:val="000C4875"/>
    <w:rsid w:val="000C4DA0"/>
    <w:rsid w:val="000C695D"/>
    <w:rsid w:val="000D0ABB"/>
    <w:rsid w:val="000D3D17"/>
    <w:rsid w:val="000D6E0C"/>
    <w:rsid w:val="000E0415"/>
    <w:rsid w:val="000E07B1"/>
    <w:rsid w:val="000E0E8E"/>
    <w:rsid w:val="000E20F8"/>
    <w:rsid w:val="000E29B9"/>
    <w:rsid w:val="000E7A9F"/>
    <w:rsid w:val="000F39F9"/>
    <w:rsid w:val="000F6A6B"/>
    <w:rsid w:val="000F7E69"/>
    <w:rsid w:val="00102617"/>
    <w:rsid w:val="001037D9"/>
    <w:rsid w:val="00107235"/>
    <w:rsid w:val="001103AA"/>
    <w:rsid w:val="00110F83"/>
    <w:rsid w:val="00112792"/>
    <w:rsid w:val="00112984"/>
    <w:rsid w:val="001133DB"/>
    <w:rsid w:val="0011580E"/>
    <w:rsid w:val="00117506"/>
    <w:rsid w:val="0011787A"/>
    <w:rsid w:val="001223A2"/>
    <w:rsid w:val="00123712"/>
    <w:rsid w:val="001253B7"/>
    <w:rsid w:val="0012664D"/>
    <w:rsid w:val="001306DD"/>
    <w:rsid w:val="00130D48"/>
    <w:rsid w:val="0013113A"/>
    <w:rsid w:val="00131B64"/>
    <w:rsid w:val="0013235B"/>
    <w:rsid w:val="001340B3"/>
    <w:rsid w:val="00134CC0"/>
    <w:rsid w:val="00136DE8"/>
    <w:rsid w:val="00137249"/>
    <w:rsid w:val="001375A9"/>
    <w:rsid w:val="00142286"/>
    <w:rsid w:val="00142B9B"/>
    <w:rsid w:val="001439BC"/>
    <w:rsid w:val="0015032B"/>
    <w:rsid w:val="00154DA5"/>
    <w:rsid w:val="00155117"/>
    <w:rsid w:val="00157820"/>
    <w:rsid w:val="00161364"/>
    <w:rsid w:val="00162DB2"/>
    <w:rsid w:val="00164781"/>
    <w:rsid w:val="001647C3"/>
    <w:rsid w:val="00164C92"/>
    <w:rsid w:val="0016580F"/>
    <w:rsid w:val="001659EF"/>
    <w:rsid w:val="00165F3A"/>
    <w:rsid w:val="00166183"/>
    <w:rsid w:val="00170DDB"/>
    <w:rsid w:val="001721A9"/>
    <w:rsid w:val="0017277A"/>
    <w:rsid w:val="00174528"/>
    <w:rsid w:val="001756D6"/>
    <w:rsid w:val="001758E2"/>
    <w:rsid w:val="00176D6B"/>
    <w:rsid w:val="00181F7C"/>
    <w:rsid w:val="00183968"/>
    <w:rsid w:val="001844A0"/>
    <w:rsid w:val="0018481A"/>
    <w:rsid w:val="001905FB"/>
    <w:rsid w:val="001912DB"/>
    <w:rsid w:val="00191845"/>
    <w:rsid w:val="001965C0"/>
    <w:rsid w:val="00196CDF"/>
    <w:rsid w:val="001A09DE"/>
    <w:rsid w:val="001A2C08"/>
    <w:rsid w:val="001A32CB"/>
    <w:rsid w:val="001A4429"/>
    <w:rsid w:val="001A6461"/>
    <w:rsid w:val="001A660B"/>
    <w:rsid w:val="001A6686"/>
    <w:rsid w:val="001A67B5"/>
    <w:rsid w:val="001A723C"/>
    <w:rsid w:val="001A7E43"/>
    <w:rsid w:val="001B4041"/>
    <w:rsid w:val="001B4485"/>
    <w:rsid w:val="001B4B04"/>
    <w:rsid w:val="001B7D22"/>
    <w:rsid w:val="001C4471"/>
    <w:rsid w:val="001C5BED"/>
    <w:rsid w:val="001C657F"/>
    <w:rsid w:val="001C6663"/>
    <w:rsid w:val="001C7895"/>
    <w:rsid w:val="001C7D37"/>
    <w:rsid w:val="001D0C8C"/>
    <w:rsid w:val="001D26DF"/>
    <w:rsid w:val="001D3743"/>
    <w:rsid w:val="001D3A03"/>
    <w:rsid w:val="001D6813"/>
    <w:rsid w:val="001E10EC"/>
    <w:rsid w:val="001E2B4C"/>
    <w:rsid w:val="001E4617"/>
    <w:rsid w:val="001E48A9"/>
    <w:rsid w:val="001E6148"/>
    <w:rsid w:val="001E718D"/>
    <w:rsid w:val="001E7AF9"/>
    <w:rsid w:val="001F0720"/>
    <w:rsid w:val="001F08A3"/>
    <w:rsid w:val="001F0F1A"/>
    <w:rsid w:val="001F11EA"/>
    <w:rsid w:val="00202DA8"/>
    <w:rsid w:val="002069CC"/>
    <w:rsid w:val="00211E0B"/>
    <w:rsid w:val="00212837"/>
    <w:rsid w:val="00213E21"/>
    <w:rsid w:val="00217D74"/>
    <w:rsid w:val="00220677"/>
    <w:rsid w:val="00222689"/>
    <w:rsid w:val="00224AED"/>
    <w:rsid w:val="0022501D"/>
    <w:rsid w:val="002256A1"/>
    <w:rsid w:val="002314F8"/>
    <w:rsid w:val="0023210C"/>
    <w:rsid w:val="00232334"/>
    <w:rsid w:val="00233707"/>
    <w:rsid w:val="002361D0"/>
    <w:rsid w:val="00240564"/>
    <w:rsid w:val="00240F4B"/>
    <w:rsid w:val="0025162E"/>
    <w:rsid w:val="0025487E"/>
    <w:rsid w:val="00261893"/>
    <w:rsid w:val="002633B3"/>
    <w:rsid w:val="002650C2"/>
    <w:rsid w:val="002656E9"/>
    <w:rsid w:val="00265CF8"/>
    <w:rsid w:val="00266EB7"/>
    <w:rsid w:val="00267F5F"/>
    <w:rsid w:val="00271484"/>
    <w:rsid w:val="00273B14"/>
    <w:rsid w:val="00281144"/>
    <w:rsid w:val="00282027"/>
    <w:rsid w:val="00282899"/>
    <w:rsid w:val="0028489A"/>
    <w:rsid w:val="002863A9"/>
    <w:rsid w:val="00286775"/>
    <w:rsid w:val="00286B4D"/>
    <w:rsid w:val="002910EC"/>
    <w:rsid w:val="00292F7D"/>
    <w:rsid w:val="0029307E"/>
    <w:rsid w:val="0029365C"/>
    <w:rsid w:val="00293B90"/>
    <w:rsid w:val="002A0E62"/>
    <w:rsid w:val="002A1243"/>
    <w:rsid w:val="002A13DE"/>
    <w:rsid w:val="002A3CBA"/>
    <w:rsid w:val="002A4B67"/>
    <w:rsid w:val="002A728F"/>
    <w:rsid w:val="002B3B76"/>
    <w:rsid w:val="002B3F1E"/>
    <w:rsid w:val="002B4B7F"/>
    <w:rsid w:val="002B6C1A"/>
    <w:rsid w:val="002C06BA"/>
    <w:rsid w:val="002C1D3F"/>
    <w:rsid w:val="002C5BCD"/>
    <w:rsid w:val="002D18B7"/>
    <w:rsid w:val="002D3AF5"/>
    <w:rsid w:val="002D4185"/>
    <w:rsid w:val="002D4CB1"/>
    <w:rsid w:val="002D76B1"/>
    <w:rsid w:val="002E1084"/>
    <w:rsid w:val="002E316E"/>
    <w:rsid w:val="002E52B1"/>
    <w:rsid w:val="002E5C99"/>
    <w:rsid w:val="002E69AE"/>
    <w:rsid w:val="002F039C"/>
    <w:rsid w:val="002F175C"/>
    <w:rsid w:val="002F185B"/>
    <w:rsid w:val="002F1942"/>
    <w:rsid w:val="002F4557"/>
    <w:rsid w:val="002F5159"/>
    <w:rsid w:val="002F582A"/>
    <w:rsid w:val="0030138D"/>
    <w:rsid w:val="0030177E"/>
    <w:rsid w:val="00306124"/>
    <w:rsid w:val="00307164"/>
    <w:rsid w:val="00313386"/>
    <w:rsid w:val="003134AC"/>
    <w:rsid w:val="00316B96"/>
    <w:rsid w:val="0031721B"/>
    <w:rsid w:val="00317544"/>
    <w:rsid w:val="00320E07"/>
    <w:rsid w:val="0032230D"/>
    <w:rsid w:val="003229D8"/>
    <w:rsid w:val="00323632"/>
    <w:rsid w:val="00327502"/>
    <w:rsid w:val="00330447"/>
    <w:rsid w:val="00331F5B"/>
    <w:rsid w:val="00335DD7"/>
    <w:rsid w:val="00337F17"/>
    <w:rsid w:val="00340A69"/>
    <w:rsid w:val="00341E55"/>
    <w:rsid w:val="00342B0A"/>
    <w:rsid w:val="00345647"/>
    <w:rsid w:val="003461FB"/>
    <w:rsid w:val="00351398"/>
    <w:rsid w:val="00352709"/>
    <w:rsid w:val="00354AA8"/>
    <w:rsid w:val="00363415"/>
    <w:rsid w:val="00363A98"/>
    <w:rsid w:val="0036645D"/>
    <w:rsid w:val="003667AD"/>
    <w:rsid w:val="00367567"/>
    <w:rsid w:val="003705C9"/>
    <w:rsid w:val="00371095"/>
    <w:rsid w:val="00371178"/>
    <w:rsid w:val="003714CE"/>
    <w:rsid w:val="0037301C"/>
    <w:rsid w:val="003730DD"/>
    <w:rsid w:val="0037429D"/>
    <w:rsid w:val="00375119"/>
    <w:rsid w:val="00376720"/>
    <w:rsid w:val="00377828"/>
    <w:rsid w:val="003823CB"/>
    <w:rsid w:val="0038336C"/>
    <w:rsid w:val="00384F90"/>
    <w:rsid w:val="00386624"/>
    <w:rsid w:val="00387ECB"/>
    <w:rsid w:val="003903FC"/>
    <w:rsid w:val="00392947"/>
    <w:rsid w:val="0039347E"/>
    <w:rsid w:val="003954DB"/>
    <w:rsid w:val="003A1602"/>
    <w:rsid w:val="003A1A3C"/>
    <w:rsid w:val="003A325A"/>
    <w:rsid w:val="003A6810"/>
    <w:rsid w:val="003A6EFA"/>
    <w:rsid w:val="003A70FC"/>
    <w:rsid w:val="003A7AF2"/>
    <w:rsid w:val="003C02AB"/>
    <w:rsid w:val="003C20E5"/>
    <w:rsid w:val="003C2CC4"/>
    <w:rsid w:val="003C730E"/>
    <w:rsid w:val="003D1C5A"/>
    <w:rsid w:val="003D2795"/>
    <w:rsid w:val="003D3E59"/>
    <w:rsid w:val="003D4B23"/>
    <w:rsid w:val="003D52B0"/>
    <w:rsid w:val="003E2BA4"/>
    <w:rsid w:val="003E38E2"/>
    <w:rsid w:val="003E4173"/>
    <w:rsid w:val="003E6A36"/>
    <w:rsid w:val="003E6F7E"/>
    <w:rsid w:val="003E789E"/>
    <w:rsid w:val="00405473"/>
    <w:rsid w:val="00410C89"/>
    <w:rsid w:val="00414931"/>
    <w:rsid w:val="00414B35"/>
    <w:rsid w:val="00414F92"/>
    <w:rsid w:val="004227C0"/>
    <w:rsid w:val="0042677A"/>
    <w:rsid w:val="00426B9B"/>
    <w:rsid w:val="0043003F"/>
    <w:rsid w:val="00431396"/>
    <w:rsid w:val="004325CB"/>
    <w:rsid w:val="00435CC9"/>
    <w:rsid w:val="00436B33"/>
    <w:rsid w:val="00436E7E"/>
    <w:rsid w:val="00437253"/>
    <w:rsid w:val="00442A83"/>
    <w:rsid w:val="00442C9D"/>
    <w:rsid w:val="00442EB6"/>
    <w:rsid w:val="00444305"/>
    <w:rsid w:val="00445A57"/>
    <w:rsid w:val="00446ABC"/>
    <w:rsid w:val="00450D0E"/>
    <w:rsid w:val="0045285D"/>
    <w:rsid w:val="0045495B"/>
    <w:rsid w:val="00455C43"/>
    <w:rsid w:val="004607BF"/>
    <w:rsid w:val="00464446"/>
    <w:rsid w:val="004653C7"/>
    <w:rsid w:val="00466B4C"/>
    <w:rsid w:val="00466FA4"/>
    <w:rsid w:val="00467A53"/>
    <w:rsid w:val="0047173A"/>
    <w:rsid w:val="00473037"/>
    <w:rsid w:val="00473963"/>
    <w:rsid w:val="00476073"/>
    <w:rsid w:val="00481CB1"/>
    <w:rsid w:val="00487488"/>
    <w:rsid w:val="00487FB8"/>
    <w:rsid w:val="0049219B"/>
    <w:rsid w:val="00492557"/>
    <w:rsid w:val="0049418F"/>
    <w:rsid w:val="00495A34"/>
    <w:rsid w:val="00497CBC"/>
    <w:rsid w:val="004A03AC"/>
    <w:rsid w:val="004A2789"/>
    <w:rsid w:val="004A28A7"/>
    <w:rsid w:val="004A4E56"/>
    <w:rsid w:val="004A4E95"/>
    <w:rsid w:val="004A6347"/>
    <w:rsid w:val="004C0D5D"/>
    <w:rsid w:val="004C4D76"/>
    <w:rsid w:val="004C55DD"/>
    <w:rsid w:val="004D0446"/>
    <w:rsid w:val="004D398C"/>
    <w:rsid w:val="004D49EB"/>
    <w:rsid w:val="004D5BD1"/>
    <w:rsid w:val="004D6C5F"/>
    <w:rsid w:val="004E15CC"/>
    <w:rsid w:val="004E4254"/>
    <w:rsid w:val="004E601E"/>
    <w:rsid w:val="004F1D45"/>
    <w:rsid w:val="004F5078"/>
    <w:rsid w:val="004F56B6"/>
    <w:rsid w:val="00502CC1"/>
    <w:rsid w:val="0050328D"/>
    <w:rsid w:val="00505D08"/>
    <w:rsid w:val="005125F0"/>
    <w:rsid w:val="005167F1"/>
    <w:rsid w:val="00520400"/>
    <w:rsid w:val="0052136D"/>
    <w:rsid w:val="005232E6"/>
    <w:rsid w:val="0052470D"/>
    <w:rsid w:val="00525395"/>
    <w:rsid w:val="0052775E"/>
    <w:rsid w:val="00533FA3"/>
    <w:rsid w:val="005409DC"/>
    <w:rsid w:val="00540F02"/>
    <w:rsid w:val="0054109A"/>
    <w:rsid w:val="0054150C"/>
    <w:rsid w:val="005420F2"/>
    <w:rsid w:val="00542F54"/>
    <w:rsid w:val="00546665"/>
    <w:rsid w:val="00550D3B"/>
    <w:rsid w:val="00555470"/>
    <w:rsid w:val="00560BA5"/>
    <w:rsid w:val="00561B68"/>
    <w:rsid w:val="005628B6"/>
    <w:rsid w:val="005640D1"/>
    <w:rsid w:val="00564714"/>
    <w:rsid w:val="00565BE7"/>
    <w:rsid w:val="0056624F"/>
    <w:rsid w:val="0056660F"/>
    <w:rsid w:val="00567426"/>
    <w:rsid w:val="005722B3"/>
    <w:rsid w:val="0057585A"/>
    <w:rsid w:val="00575BA3"/>
    <w:rsid w:val="00577E84"/>
    <w:rsid w:val="005848B3"/>
    <w:rsid w:val="00590F87"/>
    <w:rsid w:val="00592C4A"/>
    <w:rsid w:val="005A0415"/>
    <w:rsid w:val="005A0C5C"/>
    <w:rsid w:val="005A1775"/>
    <w:rsid w:val="005A2ACD"/>
    <w:rsid w:val="005B09AE"/>
    <w:rsid w:val="005B15AD"/>
    <w:rsid w:val="005B38A5"/>
    <w:rsid w:val="005B3DB3"/>
    <w:rsid w:val="005B4F61"/>
    <w:rsid w:val="005B6047"/>
    <w:rsid w:val="005C11C1"/>
    <w:rsid w:val="005C176E"/>
    <w:rsid w:val="005C1C11"/>
    <w:rsid w:val="005C2131"/>
    <w:rsid w:val="005C223E"/>
    <w:rsid w:val="005C413D"/>
    <w:rsid w:val="005C4A9E"/>
    <w:rsid w:val="005C5103"/>
    <w:rsid w:val="005D0679"/>
    <w:rsid w:val="005D45F4"/>
    <w:rsid w:val="005D5721"/>
    <w:rsid w:val="005D5AF5"/>
    <w:rsid w:val="005D7CB5"/>
    <w:rsid w:val="005E021C"/>
    <w:rsid w:val="005E2F71"/>
    <w:rsid w:val="005E5805"/>
    <w:rsid w:val="005E783D"/>
    <w:rsid w:val="005F5699"/>
    <w:rsid w:val="005F7717"/>
    <w:rsid w:val="005F7B75"/>
    <w:rsid w:val="005F7F93"/>
    <w:rsid w:val="006001B0"/>
    <w:rsid w:val="006001EE"/>
    <w:rsid w:val="00602DB6"/>
    <w:rsid w:val="006033A2"/>
    <w:rsid w:val="00605042"/>
    <w:rsid w:val="00607BC1"/>
    <w:rsid w:val="006108E0"/>
    <w:rsid w:val="00611FC4"/>
    <w:rsid w:val="00613FE0"/>
    <w:rsid w:val="006148AF"/>
    <w:rsid w:val="006160CB"/>
    <w:rsid w:val="006176FB"/>
    <w:rsid w:val="006239C9"/>
    <w:rsid w:val="00623FD3"/>
    <w:rsid w:val="0062462D"/>
    <w:rsid w:val="0062630E"/>
    <w:rsid w:val="006274AD"/>
    <w:rsid w:val="00627FB0"/>
    <w:rsid w:val="00631C31"/>
    <w:rsid w:val="00632E25"/>
    <w:rsid w:val="0063379B"/>
    <w:rsid w:val="00640B26"/>
    <w:rsid w:val="00640C76"/>
    <w:rsid w:val="00645379"/>
    <w:rsid w:val="00645949"/>
    <w:rsid w:val="006507CD"/>
    <w:rsid w:val="00652D0A"/>
    <w:rsid w:val="00653DBF"/>
    <w:rsid w:val="00654447"/>
    <w:rsid w:val="00660559"/>
    <w:rsid w:val="00662BB6"/>
    <w:rsid w:val="006637A4"/>
    <w:rsid w:val="006709EC"/>
    <w:rsid w:val="00671948"/>
    <w:rsid w:val="00672110"/>
    <w:rsid w:val="006743E9"/>
    <w:rsid w:val="00674D65"/>
    <w:rsid w:val="00681702"/>
    <w:rsid w:val="00682284"/>
    <w:rsid w:val="006838C8"/>
    <w:rsid w:val="00684C21"/>
    <w:rsid w:val="00685FA6"/>
    <w:rsid w:val="0068743C"/>
    <w:rsid w:val="00690DCB"/>
    <w:rsid w:val="00692BBE"/>
    <w:rsid w:val="00694AE6"/>
    <w:rsid w:val="006954C6"/>
    <w:rsid w:val="00695991"/>
    <w:rsid w:val="0069763E"/>
    <w:rsid w:val="00697F3E"/>
    <w:rsid w:val="006A0890"/>
    <w:rsid w:val="006B120F"/>
    <w:rsid w:val="006B346D"/>
    <w:rsid w:val="006B4FA2"/>
    <w:rsid w:val="006B58E5"/>
    <w:rsid w:val="006C0435"/>
    <w:rsid w:val="006C05C1"/>
    <w:rsid w:val="006C3AD1"/>
    <w:rsid w:val="006C65A6"/>
    <w:rsid w:val="006D37AF"/>
    <w:rsid w:val="006D51D0"/>
    <w:rsid w:val="006D53C0"/>
    <w:rsid w:val="006E1890"/>
    <w:rsid w:val="006E212F"/>
    <w:rsid w:val="006E564B"/>
    <w:rsid w:val="006E5A29"/>
    <w:rsid w:val="006E7191"/>
    <w:rsid w:val="006E7196"/>
    <w:rsid w:val="006F0147"/>
    <w:rsid w:val="006F30DF"/>
    <w:rsid w:val="006F464F"/>
    <w:rsid w:val="006F52C5"/>
    <w:rsid w:val="006F6515"/>
    <w:rsid w:val="00703577"/>
    <w:rsid w:val="00705625"/>
    <w:rsid w:val="0071171F"/>
    <w:rsid w:val="00711F00"/>
    <w:rsid w:val="00712BDB"/>
    <w:rsid w:val="00713C74"/>
    <w:rsid w:val="00715DDD"/>
    <w:rsid w:val="00716EC7"/>
    <w:rsid w:val="00717ADC"/>
    <w:rsid w:val="00720D47"/>
    <w:rsid w:val="007214F1"/>
    <w:rsid w:val="0072328C"/>
    <w:rsid w:val="00724496"/>
    <w:rsid w:val="0072632A"/>
    <w:rsid w:val="00726A48"/>
    <w:rsid w:val="00727C31"/>
    <w:rsid w:val="00730BE9"/>
    <w:rsid w:val="00732542"/>
    <w:rsid w:val="007327D5"/>
    <w:rsid w:val="00732CC7"/>
    <w:rsid w:val="0073425C"/>
    <w:rsid w:val="00734ABE"/>
    <w:rsid w:val="00735CA1"/>
    <w:rsid w:val="00735F4E"/>
    <w:rsid w:val="00736EAD"/>
    <w:rsid w:val="007435F7"/>
    <w:rsid w:val="007449A6"/>
    <w:rsid w:val="00746750"/>
    <w:rsid w:val="00746D61"/>
    <w:rsid w:val="007509EB"/>
    <w:rsid w:val="00750FC5"/>
    <w:rsid w:val="0075395D"/>
    <w:rsid w:val="00760B80"/>
    <w:rsid w:val="00760D5A"/>
    <w:rsid w:val="00762878"/>
    <w:rsid w:val="00762922"/>
    <w:rsid w:val="007629C8"/>
    <w:rsid w:val="00762E39"/>
    <w:rsid w:val="007635DF"/>
    <w:rsid w:val="00764972"/>
    <w:rsid w:val="007661CD"/>
    <w:rsid w:val="007734FC"/>
    <w:rsid w:val="007740F1"/>
    <w:rsid w:val="00776A37"/>
    <w:rsid w:val="00776AD6"/>
    <w:rsid w:val="00776E5E"/>
    <w:rsid w:val="00777322"/>
    <w:rsid w:val="00781C83"/>
    <w:rsid w:val="0078300D"/>
    <w:rsid w:val="0078493A"/>
    <w:rsid w:val="00785DB2"/>
    <w:rsid w:val="0078601B"/>
    <w:rsid w:val="0078676D"/>
    <w:rsid w:val="00787E5D"/>
    <w:rsid w:val="0079034E"/>
    <w:rsid w:val="00792116"/>
    <w:rsid w:val="0079681E"/>
    <w:rsid w:val="007A212F"/>
    <w:rsid w:val="007A26D2"/>
    <w:rsid w:val="007A36C9"/>
    <w:rsid w:val="007B3302"/>
    <w:rsid w:val="007B6BA5"/>
    <w:rsid w:val="007B6C46"/>
    <w:rsid w:val="007C1241"/>
    <w:rsid w:val="007C2455"/>
    <w:rsid w:val="007C3390"/>
    <w:rsid w:val="007C3FFB"/>
    <w:rsid w:val="007C4F4B"/>
    <w:rsid w:val="007C55BE"/>
    <w:rsid w:val="007C784F"/>
    <w:rsid w:val="007D00CF"/>
    <w:rsid w:val="007D2684"/>
    <w:rsid w:val="007D564F"/>
    <w:rsid w:val="007E0B2D"/>
    <w:rsid w:val="007E0ED5"/>
    <w:rsid w:val="007E4594"/>
    <w:rsid w:val="007E4BBE"/>
    <w:rsid w:val="007E533F"/>
    <w:rsid w:val="007E5EA4"/>
    <w:rsid w:val="007F098E"/>
    <w:rsid w:val="007F12FC"/>
    <w:rsid w:val="007F2D0D"/>
    <w:rsid w:val="007F3A2C"/>
    <w:rsid w:val="007F4853"/>
    <w:rsid w:val="007F6611"/>
    <w:rsid w:val="0081043C"/>
    <w:rsid w:val="008105B8"/>
    <w:rsid w:val="00811D06"/>
    <w:rsid w:val="008123D2"/>
    <w:rsid w:val="00812971"/>
    <w:rsid w:val="00813327"/>
    <w:rsid w:val="008146B2"/>
    <w:rsid w:val="00816972"/>
    <w:rsid w:val="00816E23"/>
    <w:rsid w:val="00816EE0"/>
    <w:rsid w:val="00817A02"/>
    <w:rsid w:val="008216A5"/>
    <w:rsid w:val="00821A8D"/>
    <w:rsid w:val="008242D7"/>
    <w:rsid w:val="00824C73"/>
    <w:rsid w:val="00824FE2"/>
    <w:rsid w:val="00825659"/>
    <w:rsid w:val="008257B1"/>
    <w:rsid w:val="00825BEB"/>
    <w:rsid w:val="00830FF4"/>
    <w:rsid w:val="0083185A"/>
    <w:rsid w:val="00831DB4"/>
    <w:rsid w:val="008322C5"/>
    <w:rsid w:val="00833370"/>
    <w:rsid w:val="008379A8"/>
    <w:rsid w:val="008406D2"/>
    <w:rsid w:val="0084126F"/>
    <w:rsid w:val="00843767"/>
    <w:rsid w:val="00846666"/>
    <w:rsid w:val="00847B18"/>
    <w:rsid w:val="00851F2A"/>
    <w:rsid w:val="00856F01"/>
    <w:rsid w:val="00861599"/>
    <w:rsid w:val="00864797"/>
    <w:rsid w:val="00864BFF"/>
    <w:rsid w:val="008655A1"/>
    <w:rsid w:val="00865721"/>
    <w:rsid w:val="008679D9"/>
    <w:rsid w:val="00870ECA"/>
    <w:rsid w:val="00871051"/>
    <w:rsid w:val="00871750"/>
    <w:rsid w:val="00872F86"/>
    <w:rsid w:val="008730D5"/>
    <w:rsid w:val="00875FE5"/>
    <w:rsid w:val="00880AF2"/>
    <w:rsid w:val="00883BBF"/>
    <w:rsid w:val="00884FCB"/>
    <w:rsid w:val="0088719B"/>
    <w:rsid w:val="00891792"/>
    <w:rsid w:val="00891C2B"/>
    <w:rsid w:val="00894F53"/>
    <w:rsid w:val="00896597"/>
    <w:rsid w:val="008979B1"/>
    <w:rsid w:val="00897F0A"/>
    <w:rsid w:val="008A09B5"/>
    <w:rsid w:val="008A1DB2"/>
    <w:rsid w:val="008A5BF6"/>
    <w:rsid w:val="008A6B25"/>
    <w:rsid w:val="008A6C4F"/>
    <w:rsid w:val="008B012F"/>
    <w:rsid w:val="008B2335"/>
    <w:rsid w:val="008B4AA3"/>
    <w:rsid w:val="008B629E"/>
    <w:rsid w:val="008C0D17"/>
    <w:rsid w:val="008C22CC"/>
    <w:rsid w:val="008C3223"/>
    <w:rsid w:val="008C3294"/>
    <w:rsid w:val="008C4B5A"/>
    <w:rsid w:val="008C4EDC"/>
    <w:rsid w:val="008C6E58"/>
    <w:rsid w:val="008C77CB"/>
    <w:rsid w:val="008D0C03"/>
    <w:rsid w:val="008D1459"/>
    <w:rsid w:val="008D2A46"/>
    <w:rsid w:val="008D35B6"/>
    <w:rsid w:val="008E0678"/>
    <w:rsid w:val="008E0CFD"/>
    <w:rsid w:val="008E2A8E"/>
    <w:rsid w:val="008E4C4F"/>
    <w:rsid w:val="008E5A83"/>
    <w:rsid w:val="008E5FF6"/>
    <w:rsid w:val="008E6067"/>
    <w:rsid w:val="008F0336"/>
    <w:rsid w:val="008F0E3C"/>
    <w:rsid w:val="008F16E4"/>
    <w:rsid w:val="008F1FA8"/>
    <w:rsid w:val="008F6145"/>
    <w:rsid w:val="00900036"/>
    <w:rsid w:val="009002FE"/>
    <w:rsid w:val="00903876"/>
    <w:rsid w:val="009062A7"/>
    <w:rsid w:val="0090637F"/>
    <w:rsid w:val="00910F40"/>
    <w:rsid w:val="00912C08"/>
    <w:rsid w:val="00913616"/>
    <w:rsid w:val="0091377B"/>
    <w:rsid w:val="009177A3"/>
    <w:rsid w:val="009223CA"/>
    <w:rsid w:val="00930548"/>
    <w:rsid w:val="009377CE"/>
    <w:rsid w:val="00937F60"/>
    <w:rsid w:val="0094095A"/>
    <w:rsid w:val="00940F93"/>
    <w:rsid w:val="00946696"/>
    <w:rsid w:val="00951EAC"/>
    <w:rsid w:val="0095347F"/>
    <w:rsid w:val="009568BE"/>
    <w:rsid w:val="0096073F"/>
    <w:rsid w:val="00960911"/>
    <w:rsid w:val="009633D7"/>
    <w:rsid w:val="00967F59"/>
    <w:rsid w:val="009701C4"/>
    <w:rsid w:val="0097141D"/>
    <w:rsid w:val="00972C38"/>
    <w:rsid w:val="009735A8"/>
    <w:rsid w:val="00973F26"/>
    <w:rsid w:val="00974EF5"/>
    <w:rsid w:val="009760F3"/>
    <w:rsid w:val="009800FA"/>
    <w:rsid w:val="00980EA8"/>
    <w:rsid w:val="009817F4"/>
    <w:rsid w:val="009873ED"/>
    <w:rsid w:val="009909F5"/>
    <w:rsid w:val="00990FCA"/>
    <w:rsid w:val="0099515D"/>
    <w:rsid w:val="009A01F8"/>
    <w:rsid w:val="009A0E8D"/>
    <w:rsid w:val="009A19F8"/>
    <w:rsid w:val="009B0FC5"/>
    <w:rsid w:val="009B26E7"/>
    <w:rsid w:val="009C162C"/>
    <w:rsid w:val="009C4FB2"/>
    <w:rsid w:val="009C60EB"/>
    <w:rsid w:val="009C6DFE"/>
    <w:rsid w:val="009D1E8D"/>
    <w:rsid w:val="009E2F54"/>
    <w:rsid w:val="009E7D26"/>
    <w:rsid w:val="009F03D3"/>
    <w:rsid w:val="009F2AC1"/>
    <w:rsid w:val="009F5182"/>
    <w:rsid w:val="009F7636"/>
    <w:rsid w:val="00A00A3F"/>
    <w:rsid w:val="00A01489"/>
    <w:rsid w:val="00A018AB"/>
    <w:rsid w:val="00A03ED0"/>
    <w:rsid w:val="00A12715"/>
    <w:rsid w:val="00A177AB"/>
    <w:rsid w:val="00A206FC"/>
    <w:rsid w:val="00A230A0"/>
    <w:rsid w:val="00A232DB"/>
    <w:rsid w:val="00A31B81"/>
    <w:rsid w:val="00A338F1"/>
    <w:rsid w:val="00A343D0"/>
    <w:rsid w:val="00A377A8"/>
    <w:rsid w:val="00A415BD"/>
    <w:rsid w:val="00A41A5C"/>
    <w:rsid w:val="00A42B98"/>
    <w:rsid w:val="00A44487"/>
    <w:rsid w:val="00A44615"/>
    <w:rsid w:val="00A447CC"/>
    <w:rsid w:val="00A4728C"/>
    <w:rsid w:val="00A47874"/>
    <w:rsid w:val="00A52D4F"/>
    <w:rsid w:val="00A52FFA"/>
    <w:rsid w:val="00A569FB"/>
    <w:rsid w:val="00A647C7"/>
    <w:rsid w:val="00A647F2"/>
    <w:rsid w:val="00A65032"/>
    <w:rsid w:val="00A70C53"/>
    <w:rsid w:val="00A70EA1"/>
    <w:rsid w:val="00A72C70"/>
    <w:rsid w:val="00A72F22"/>
    <w:rsid w:val="00A7360F"/>
    <w:rsid w:val="00A74548"/>
    <w:rsid w:val="00A748A6"/>
    <w:rsid w:val="00A75355"/>
    <w:rsid w:val="00A76648"/>
    <w:rsid w:val="00A769F4"/>
    <w:rsid w:val="00A776B4"/>
    <w:rsid w:val="00A777C5"/>
    <w:rsid w:val="00A777CF"/>
    <w:rsid w:val="00A81D4E"/>
    <w:rsid w:val="00A85EA0"/>
    <w:rsid w:val="00A91A32"/>
    <w:rsid w:val="00A94361"/>
    <w:rsid w:val="00A96BCF"/>
    <w:rsid w:val="00AA2435"/>
    <w:rsid w:val="00AA293C"/>
    <w:rsid w:val="00AA2D0D"/>
    <w:rsid w:val="00AA56FB"/>
    <w:rsid w:val="00AA672A"/>
    <w:rsid w:val="00AA6FA4"/>
    <w:rsid w:val="00AA72B2"/>
    <w:rsid w:val="00AB0648"/>
    <w:rsid w:val="00AB19FA"/>
    <w:rsid w:val="00AB2855"/>
    <w:rsid w:val="00AB45A3"/>
    <w:rsid w:val="00AB4CA5"/>
    <w:rsid w:val="00AC4B52"/>
    <w:rsid w:val="00AC505B"/>
    <w:rsid w:val="00AC6A0A"/>
    <w:rsid w:val="00AD46B8"/>
    <w:rsid w:val="00AE1A18"/>
    <w:rsid w:val="00AE1CFF"/>
    <w:rsid w:val="00AE31B8"/>
    <w:rsid w:val="00AE3A93"/>
    <w:rsid w:val="00AE4730"/>
    <w:rsid w:val="00AE50CE"/>
    <w:rsid w:val="00AE55CB"/>
    <w:rsid w:val="00AE673B"/>
    <w:rsid w:val="00AF0BB7"/>
    <w:rsid w:val="00AF1A44"/>
    <w:rsid w:val="00AF3148"/>
    <w:rsid w:val="00AF34D9"/>
    <w:rsid w:val="00AF5CCF"/>
    <w:rsid w:val="00AF7286"/>
    <w:rsid w:val="00B03884"/>
    <w:rsid w:val="00B04543"/>
    <w:rsid w:val="00B10640"/>
    <w:rsid w:val="00B1156E"/>
    <w:rsid w:val="00B11BC2"/>
    <w:rsid w:val="00B13E9B"/>
    <w:rsid w:val="00B16852"/>
    <w:rsid w:val="00B174D5"/>
    <w:rsid w:val="00B2280C"/>
    <w:rsid w:val="00B23D94"/>
    <w:rsid w:val="00B25D3D"/>
    <w:rsid w:val="00B2683D"/>
    <w:rsid w:val="00B30179"/>
    <w:rsid w:val="00B315D2"/>
    <w:rsid w:val="00B339A7"/>
    <w:rsid w:val="00B33ABD"/>
    <w:rsid w:val="00B41A37"/>
    <w:rsid w:val="00B41ACB"/>
    <w:rsid w:val="00B42976"/>
    <w:rsid w:val="00B46514"/>
    <w:rsid w:val="00B467BE"/>
    <w:rsid w:val="00B46DF7"/>
    <w:rsid w:val="00B47DB8"/>
    <w:rsid w:val="00B503FD"/>
    <w:rsid w:val="00B55522"/>
    <w:rsid w:val="00B56E4A"/>
    <w:rsid w:val="00B56E9C"/>
    <w:rsid w:val="00B60748"/>
    <w:rsid w:val="00B64B1F"/>
    <w:rsid w:val="00B6524C"/>
    <w:rsid w:val="00B6553F"/>
    <w:rsid w:val="00B65B50"/>
    <w:rsid w:val="00B66E5E"/>
    <w:rsid w:val="00B67C99"/>
    <w:rsid w:val="00B721EC"/>
    <w:rsid w:val="00B74B0B"/>
    <w:rsid w:val="00B76950"/>
    <w:rsid w:val="00B77D05"/>
    <w:rsid w:val="00B81206"/>
    <w:rsid w:val="00B8190A"/>
    <w:rsid w:val="00B81E12"/>
    <w:rsid w:val="00B85756"/>
    <w:rsid w:val="00B85AF8"/>
    <w:rsid w:val="00B86C63"/>
    <w:rsid w:val="00B9067B"/>
    <w:rsid w:val="00B915E0"/>
    <w:rsid w:val="00B94491"/>
    <w:rsid w:val="00B95A99"/>
    <w:rsid w:val="00B96623"/>
    <w:rsid w:val="00B968B5"/>
    <w:rsid w:val="00B97074"/>
    <w:rsid w:val="00B97AFE"/>
    <w:rsid w:val="00BA0869"/>
    <w:rsid w:val="00BA434C"/>
    <w:rsid w:val="00BA5934"/>
    <w:rsid w:val="00BB22D5"/>
    <w:rsid w:val="00BB6283"/>
    <w:rsid w:val="00BC01E3"/>
    <w:rsid w:val="00BC2C23"/>
    <w:rsid w:val="00BC48F3"/>
    <w:rsid w:val="00BC5363"/>
    <w:rsid w:val="00BC6E5E"/>
    <w:rsid w:val="00BC74E9"/>
    <w:rsid w:val="00BD6CE9"/>
    <w:rsid w:val="00BE26B2"/>
    <w:rsid w:val="00BE3D5F"/>
    <w:rsid w:val="00BE4F3F"/>
    <w:rsid w:val="00BE62B5"/>
    <w:rsid w:val="00BF0311"/>
    <w:rsid w:val="00BF4613"/>
    <w:rsid w:val="00BF61C5"/>
    <w:rsid w:val="00BF68A8"/>
    <w:rsid w:val="00BF72FD"/>
    <w:rsid w:val="00C00E63"/>
    <w:rsid w:val="00C02E7A"/>
    <w:rsid w:val="00C04639"/>
    <w:rsid w:val="00C051E4"/>
    <w:rsid w:val="00C05713"/>
    <w:rsid w:val="00C065DB"/>
    <w:rsid w:val="00C11207"/>
    <w:rsid w:val="00C11870"/>
    <w:rsid w:val="00C11A03"/>
    <w:rsid w:val="00C144EC"/>
    <w:rsid w:val="00C15E6E"/>
    <w:rsid w:val="00C20A72"/>
    <w:rsid w:val="00C22439"/>
    <w:rsid w:val="00C2284D"/>
    <w:rsid w:val="00C2345A"/>
    <w:rsid w:val="00C34926"/>
    <w:rsid w:val="00C418BB"/>
    <w:rsid w:val="00C42190"/>
    <w:rsid w:val="00C44D49"/>
    <w:rsid w:val="00C45900"/>
    <w:rsid w:val="00C463DD"/>
    <w:rsid w:val="00C46474"/>
    <w:rsid w:val="00C4724C"/>
    <w:rsid w:val="00C47927"/>
    <w:rsid w:val="00C50356"/>
    <w:rsid w:val="00C50ECF"/>
    <w:rsid w:val="00C53963"/>
    <w:rsid w:val="00C55779"/>
    <w:rsid w:val="00C56114"/>
    <w:rsid w:val="00C57A10"/>
    <w:rsid w:val="00C606D3"/>
    <w:rsid w:val="00C61C48"/>
    <w:rsid w:val="00C629A0"/>
    <w:rsid w:val="00C73736"/>
    <w:rsid w:val="00C745C3"/>
    <w:rsid w:val="00C74B2E"/>
    <w:rsid w:val="00C76890"/>
    <w:rsid w:val="00C7728B"/>
    <w:rsid w:val="00C80234"/>
    <w:rsid w:val="00C803EC"/>
    <w:rsid w:val="00C819E8"/>
    <w:rsid w:val="00C82CB8"/>
    <w:rsid w:val="00C8504E"/>
    <w:rsid w:val="00C85113"/>
    <w:rsid w:val="00CB351A"/>
    <w:rsid w:val="00CB4B5C"/>
    <w:rsid w:val="00CB6E28"/>
    <w:rsid w:val="00CC0BB4"/>
    <w:rsid w:val="00CC3226"/>
    <w:rsid w:val="00CE4A8F"/>
    <w:rsid w:val="00CE736B"/>
    <w:rsid w:val="00CF1984"/>
    <w:rsid w:val="00CF2621"/>
    <w:rsid w:val="00CF76D6"/>
    <w:rsid w:val="00D02C2A"/>
    <w:rsid w:val="00D06AB9"/>
    <w:rsid w:val="00D06B7E"/>
    <w:rsid w:val="00D12158"/>
    <w:rsid w:val="00D1315B"/>
    <w:rsid w:val="00D13268"/>
    <w:rsid w:val="00D141CF"/>
    <w:rsid w:val="00D15A5F"/>
    <w:rsid w:val="00D2031B"/>
    <w:rsid w:val="00D257E7"/>
    <w:rsid w:val="00D25FE2"/>
    <w:rsid w:val="00D2637A"/>
    <w:rsid w:val="00D3001F"/>
    <w:rsid w:val="00D30034"/>
    <w:rsid w:val="00D35B7F"/>
    <w:rsid w:val="00D35FCA"/>
    <w:rsid w:val="00D43252"/>
    <w:rsid w:val="00D43E06"/>
    <w:rsid w:val="00D46C27"/>
    <w:rsid w:val="00D47EEA"/>
    <w:rsid w:val="00D501D0"/>
    <w:rsid w:val="00D509AE"/>
    <w:rsid w:val="00D51D6E"/>
    <w:rsid w:val="00D526EC"/>
    <w:rsid w:val="00D53BAD"/>
    <w:rsid w:val="00D543C9"/>
    <w:rsid w:val="00D6148A"/>
    <w:rsid w:val="00D677C6"/>
    <w:rsid w:val="00D729E4"/>
    <w:rsid w:val="00D73CB8"/>
    <w:rsid w:val="00D80EDF"/>
    <w:rsid w:val="00D864CC"/>
    <w:rsid w:val="00D86D0E"/>
    <w:rsid w:val="00D90F93"/>
    <w:rsid w:val="00D913B0"/>
    <w:rsid w:val="00D94BB8"/>
    <w:rsid w:val="00D94CDD"/>
    <w:rsid w:val="00D95303"/>
    <w:rsid w:val="00D95A58"/>
    <w:rsid w:val="00D96E57"/>
    <w:rsid w:val="00D97597"/>
    <w:rsid w:val="00D975A7"/>
    <w:rsid w:val="00D978C6"/>
    <w:rsid w:val="00DA3111"/>
    <w:rsid w:val="00DA3C1C"/>
    <w:rsid w:val="00DA4BBB"/>
    <w:rsid w:val="00DB0C79"/>
    <w:rsid w:val="00DB2CE7"/>
    <w:rsid w:val="00DB2FE1"/>
    <w:rsid w:val="00DB406B"/>
    <w:rsid w:val="00DB5B2F"/>
    <w:rsid w:val="00DC0714"/>
    <w:rsid w:val="00DC465A"/>
    <w:rsid w:val="00DD2848"/>
    <w:rsid w:val="00DD471E"/>
    <w:rsid w:val="00DD593B"/>
    <w:rsid w:val="00DE1DF6"/>
    <w:rsid w:val="00DE79A8"/>
    <w:rsid w:val="00DE7F59"/>
    <w:rsid w:val="00DF0799"/>
    <w:rsid w:val="00DF528D"/>
    <w:rsid w:val="00E02288"/>
    <w:rsid w:val="00E11BE2"/>
    <w:rsid w:val="00E138E6"/>
    <w:rsid w:val="00E142AF"/>
    <w:rsid w:val="00E15CC1"/>
    <w:rsid w:val="00E17C73"/>
    <w:rsid w:val="00E209FD"/>
    <w:rsid w:val="00E21400"/>
    <w:rsid w:val="00E25E54"/>
    <w:rsid w:val="00E27346"/>
    <w:rsid w:val="00E31E79"/>
    <w:rsid w:val="00E34156"/>
    <w:rsid w:val="00E40A07"/>
    <w:rsid w:val="00E41BFE"/>
    <w:rsid w:val="00E4363C"/>
    <w:rsid w:val="00E46A08"/>
    <w:rsid w:val="00E53D02"/>
    <w:rsid w:val="00E556B3"/>
    <w:rsid w:val="00E6074E"/>
    <w:rsid w:val="00E61088"/>
    <w:rsid w:val="00E632CC"/>
    <w:rsid w:val="00E64123"/>
    <w:rsid w:val="00E65396"/>
    <w:rsid w:val="00E67325"/>
    <w:rsid w:val="00E71BC8"/>
    <w:rsid w:val="00E7260F"/>
    <w:rsid w:val="00E74206"/>
    <w:rsid w:val="00E77185"/>
    <w:rsid w:val="00E779FC"/>
    <w:rsid w:val="00E848D3"/>
    <w:rsid w:val="00E849B2"/>
    <w:rsid w:val="00E85728"/>
    <w:rsid w:val="00E86349"/>
    <w:rsid w:val="00E921CF"/>
    <w:rsid w:val="00E94466"/>
    <w:rsid w:val="00E96630"/>
    <w:rsid w:val="00EA0822"/>
    <w:rsid w:val="00EA31F7"/>
    <w:rsid w:val="00EB11F3"/>
    <w:rsid w:val="00EB2581"/>
    <w:rsid w:val="00EB5373"/>
    <w:rsid w:val="00EC14EF"/>
    <w:rsid w:val="00EC36A2"/>
    <w:rsid w:val="00EC4B91"/>
    <w:rsid w:val="00ED00FD"/>
    <w:rsid w:val="00ED0A30"/>
    <w:rsid w:val="00ED0E22"/>
    <w:rsid w:val="00ED6970"/>
    <w:rsid w:val="00ED7A2A"/>
    <w:rsid w:val="00ED7E6E"/>
    <w:rsid w:val="00EE5C7E"/>
    <w:rsid w:val="00EE6929"/>
    <w:rsid w:val="00EF0235"/>
    <w:rsid w:val="00EF0C54"/>
    <w:rsid w:val="00EF1D7A"/>
    <w:rsid w:val="00EF1D7F"/>
    <w:rsid w:val="00EF3514"/>
    <w:rsid w:val="00EF560D"/>
    <w:rsid w:val="00F03190"/>
    <w:rsid w:val="00F03A99"/>
    <w:rsid w:val="00F0403F"/>
    <w:rsid w:val="00F04CDE"/>
    <w:rsid w:val="00F075CC"/>
    <w:rsid w:val="00F17BD5"/>
    <w:rsid w:val="00F20C3D"/>
    <w:rsid w:val="00F21FE3"/>
    <w:rsid w:val="00F22E3E"/>
    <w:rsid w:val="00F24F92"/>
    <w:rsid w:val="00F2653D"/>
    <w:rsid w:val="00F3026E"/>
    <w:rsid w:val="00F31056"/>
    <w:rsid w:val="00F31242"/>
    <w:rsid w:val="00F34D48"/>
    <w:rsid w:val="00F35149"/>
    <w:rsid w:val="00F373CD"/>
    <w:rsid w:val="00F41576"/>
    <w:rsid w:val="00F41B9F"/>
    <w:rsid w:val="00F41F7D"/>
    <w:rsid w:val="00F4204E"/>
    <w:rsid w:val="00F4291D"/>
    <w:rsid w:val="00F43E9E"/>
    <w:rsid w:val="00F44820"/>
    <w:rsid w:val="00F52BE2"/>
    <w:rsid w:val="00F53964"/>
    <w:rsid w:val="00F53F5C"/>
    <w:rsid w:val="00F546EA"/>
    <w:rsid w:val="00F60C3B"/>
    <w:rsid w:val="00F70D30"/>
    <w:rsid w:val="00F72A4B"/>
    <w:rsid w:val="00F748B6"/>
    <w:rsid w:val="00F7660A"/>
    <w:rsid w:val="00F82653"/>
    <w:rsid w:val="00F82F23"/>
    <w:rsid w:val="00F8467B"/>
    <w:rsid w:val="00F85733"/>
    <w:rsid w:val="00F86121"/>
    <w:rsid w:val="00F86FB4"/>
    <w:rsid w:val="00F8772A"/>
    <w:rsid w:val="00F9057C"/>
    <w:rsid w:val="00F9059A"/>
    <w:rsid w:val="00F906D7"/>
    <w:rsid w:val="00F908D7"/>
    <w:rsid w:val="00F90FD3"/>
    <w:rsid w:val="00F92CB6"/>
    <w:rsid w:val="00F93781"/>
    <w:rsid w:val="00F9653B"/>
    <w:rsid w:val="00F9682C"/>
    <w:rsid w:val="00F96BA5"/>
    <w:rsid w:val="00FA1718"/>
    <w:rsid w:val="00FB148B"/>
    <w:rsid w:val="00FB2745"/>
    <w:rsid w:val="00FB45D9"/>
    <w:rsid w:val="00FB5EB5"/>
    <w:rsid w:val="00FB613B"/>
    <w:rsid w:val="00FB78D7"/>
    <w:rsid w:val="00FC0622"/>
    <w:rsid w:val="00FC68B7"/>
    <w:rsid w:val="00FC77D8"/>
    <w:rsid w:val="00FD0381"/>
    <w:rsid w:val="00FD28AF"/>
    <w:rsid w:val="00FD4F04"/>
    <w:rsid w:val="00FD4FB8"/>
    <w:rsid w:val="00FD61DA"/>
    <w:rsid w:val="00FD7CD0"/>
    <w:rsid w:val="00FE106A"/>
    <w:rsid w:val="00FE2B82"/>
    <w:rsid w:val="00FE5BA0"/>
    <w:rsid w:val="00FF0000"/>
    <w:rsid w:val="00FF4BF4"/>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27BD2270-FFA7-463D-AA31-2E38E598E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rPr>
      <w:lang w:val="x-none"/>
    </w:r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2910EC"/>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2910EC"/>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8216A5"/>
    <w:rPr>
      <w:rFonts w:eastAsia="SimSun"/>
      <w:sz w:val="18"/>
    </w:rPr>
  </w:style>
  <w:style w:type="paragraph" w:styleId="BalloonText">
    <w:name w:val="Balloon Text"/>
    <w:basedOn w:val="Normal"/>
    <w:link w:val="BalloonTextChar"/>
    <w:rsid w:val="006743E9"/>
    <w:pPr>
      <w:spacing w:line="240" w:lineRule="auto"/>
    </w:pPr>
    <w:rPr>
      <w:rFonts w:ascii="Tahoma" w:hAnsi="Tahoma"/>
      <w:sz w:val="16"/>
      <w:szCs w:val="16"/>
      <w:lang w:val="x-none"/>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character" w:customStyle="1" w:styleId="SingleTxtGChar">
    <w:name w:val="_ Single Txt_G Char"/>
    <w:link w:val="SingleTxtG"/>
    <w:rsid w:val="003134AC"/>
    <w:rPr>
      <w:lang w:eastAsia="en-US"/>
    </w:rPr>
  </w:style>
  <w:style w:type="character" w:styleId="CommentReference">
    <w:name w:val="annotation reference"/>
    <w:rsid w:val="00824FE2"/>
    <w:rPr>
      <w:sz w:val="16"/>
      <w:szCs w:val="16"/>
    </w:rPr>
  </w:style>
  <w:style w:type="paragraph" w:styleId="CommentText">
    <w:name w:val="annotation text"/>
    <w:basedOn w:val="Normal"/>
    <w:link w:val="CommentTextChar"/>
    <w:rsid w:val="00824FE2"/>
    <w:rPr>
      <w:lang w:val="x-none"/>
    </w:rPr>
  </w:style>
  <w:style w:type="character" w:customStyle="1" w:styleId="CommentTextChar">
    <w:name w:val="Comment Text Char"/>
    <w:link w:val="CommentText"/>
    <w:rsid w:val="00824FE2"/>
    <w:rPr>
      <w:lang w:eastAsia="en-US"/>
    </w:rPr>
  </w:style>
  <w:style w:type="paragraph" w:styleId="CommentSubject">
    <w:name w:val="annotation subject"/>
    <w:basedOn w:val="CommentText"/>
    <w:next w:val="CommentText"/>
    <w:link w:val="CommentSubjectChar"/>
    <w:rsid w:val="00824FE2"/>
    <w:rPr>
      <w:b/>
      <w:bCs/>
    </w:rPr>
  </w:style>
  <w:style w:type="character" w:customStyle="1" w:styleId="CommentSubjectChar">
    <w:name w:val="Comment Subject Char"/>
    <w:link w:val="CommentSubject"/>
    <w:rsid w:val="00824FE2"/>
    <w:rPr>
      <w:b/>
      <w:bCs/>
      <w:lang w:eastAsia="en-US"/>
    </w:rPr>
  </w:style>
  <w:style w:type="paragraph" w:styleId="Revision">
    <w:name w:val="Revision"/>
    <w:hidden/>
    <w:uiPriority w:val="99"/>
    <w:semiHidden/>
    <w:rsid w:val="00B67C9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7236">
      <w:bodyDiv w:val="1"/>
      <w:marLeft w:val="0"/>
      <w:marRight w:val="0"/>
      <w:marTop w:val="0"/>
      <w:marBottom w:val="0"/>
      <w:divBdr>
        <w:top w:val="none" w:sz="0" w:space="0" w:color="auto"/>
        <w:left w:val="none" w:sz="0" w:space="0" w:color="auto"/>
        <w:bottom w:val="none" w:sz="0" w:space="0" w:color="auto"/>
        <w:right w:val="none" w:sz="0" w:space="0" w:color="auto"/>
      </w:divBdr>
    </w:div>
    <w:div w:id="180440984">
      <w:bodyDiv w:val="1"/>
      <w:marLeft w:val="0"/>
      <w:marRight w:val="0"/>
      <w:marTop w:val="0"/>
      <w:marBottom w:val="0"/>
      <w:divBdr>
        <w:top w:val="none" w:sz="0" w:space="0" w:color="auto"/>
        <w:left w:val="none" w:sz="0" w:space="0" w:color="auto"/>
        <w:bottom w:val="none" w:sz="0" w:space="0" w:color="auto"/>
        <w:right w:val="none" w:sz="0" w:space="0" w:color="auto"/>
      </w:divBdr>
    </w:div>
    <w:div w:id="257325199">
      <w:bodyDiv w:val="1"/>
      <w:marLeft w:val="0"/>
      <w:marRight w:val="0"/>
      <w:marTop w:val="0"/>
      <w:marBottom w:val="0"/>
      <w:divBdr>
        <w:top w:val="none" w:sz="0" w:space="0" w:color="auto"/>
        <w:left w:val="none" w:sz="0" w:space="0" w:color="auto"/>
        <w:bottom w:val="none" w:sz="0" w:space="0" w:color="auto"/>
        <w:right w:val="none" w:sz="0" w:space="0" w:color="auto"/>
      </w:divBdr>
    </w:div>
    <w:div w:id="261882214">
      <w:bodyDiv w:val="1"/>
      <w:marLeft w:val="0"/>
      <w:marRight w:val="0"/>
      <w:marTop w:val="0"/>
      <w:marBottom w:val="0"/>
      <w:divBdr>
        <w:top w:val="none" w:sz="0" w:space="0" w:color="auto"/>
        <w:left w:val="none" w:sz="0" w:space="0" w:color="auto"/>
        <w:bottom w:val="none" w:sz="0" w:space="0" w:color="auto"/>
        <w:right w:val="none" w:sz="0" w:space="0" w:color="auto"/>
      </w:divBdr>
    </w:div>
    <w:div w:id="399137938">
      <w:bodyDiv w:val="1"/>
      <w:marLeft w:val="0"/>
      <w:marRight w:val="0"/>
      <w:marTop w:val="0"/>
      <w:marBottom w:val="0"/>
      <w:divBdr>
        <w:top w:val="none" w:sz="0" w:space="0" w:color="auto"/>
        <w:left w:val="none" w:sz="0" w:space="0" w:color="auto"/>
        <w:bottom w:val="none" w:sz="0" w:space="0" w:color="auto"/>
        <w:right w:val="none" w:sz="0" w:space="0" w:color="auto"/>
      </w:divBdr>
    </w:div>
    <w:div w:id="411247176">
      <w:bodyDiv w:val="1"/>
      <w:marLeft w:val="0"/>
      <w:marRight w:val="0"/>
      <w:marTop w:val="0"/>
      <w:marBottom w:val="0"/>
      <w:divBdr>
        <w:top w:val="none" w:sz="0" w:space="0" w:color="auto"/>
        <w:left w:val="none" w:sz="0" w:space="0" w:color="auto"/>
        <w:bottom w:val="none" w:sz="0" w:space="0" w:color="auto"/>
        <w:right w:val="none" w:sz="0" w:space="0" w:color="auto"/>
      </w:divBdr>
    </w:div>
    <w:div w:id="524637426">
      <w:bodyDiv w:val="1"/>
      <w:marLeft w:val="0"/>
      <w:marRight w:val="0"/>
      <w:marTop w:val="0"/>
      <w:marBottom w:val="0"/>
      <w:divBdr>
        <w:top w:val="none" w:sz="0" w:space="0" w:color="auto"/>
        <w:left w:val="none" w:sz="0" w:space="0" w:color="auto"/>
        <w:bottom w:val="none" w:sz="0" w:space="0" w:color="auto"/>
        <w:right w:val="none" w:sz="0" w:space="0" w:color="auto"/>
      </w:divBdr>
    </w:div>
    <w:div w:id="594825917">
      <w:bodyDiv w:val="1"/>
      <w:marLeft w:val="0"/>
      <w:marRight w:val="0"/>
      <w:marTop w:val="0"/>
      <w:marBottom w:val="0"/>
      <w:divBdr>
        <w:top w:val="none" w:sz="0" w:space="0" w:color="auto"/>
        <w:left w:val="none" w:sz="0" w:space="0" w:color="auto"/>
        <w:bottom w:val="none" w:sz="0" w:space="0" w:color="auto"/>
        <w:right w:val="none" w:sz="0" w:space="0" w:color="auto"/>
      </w:divBdr>
    </w:div>
    <w:div w:id="599604541">
      <w:bodyDiv w:val="1"/>
      <w:marLeft w:val="0"/>
      <w:marRight w:val="0"/>
      <w:marTop w:val="0"/>
      <w:marBottom w:val="0"/>
      <w:divBdr>
        <w:top w:val="none" w:sz="0" w:space="0" w:color="auto"/>
        <w:left w:val="none" w:sz="0" w:space="0" w:color="auto"/>
        <w:bottom w:val="none" w:sz="0" w:space="0" w:color="auto"/>
        <w:right w:val="none" w:sz="0" w:space="0" w:color="auto"/>
      </w:divBdr>
    </w:div>
    <w:div w:id="698431879">
      <w:bodyDiv w:val="1"/>
      <w:marLeft w:val="0"/>
      <w:marRight w:val="0"/>
      <w:marTop w:val="0"/>
      <w:marBottom w:val="0"/>
      <w:divBdr>
        <w:top w:val="none" w:sz="0" w:space="0" w:color="auto"/>
        <w:left w:val="none" w:sz="0" w:space="0" w:color="auto"/>
        <w:bottom w:val="none" w:sz="0" w:space="0" w:color="auto"/>
        <w:right w:val="none" w:sz="0" w:space="0" w:color="auto"/>
      </w:divBdr>
    </w:div>
    <w:div w:id="704060177">
      <w:bodyDiv w:val="1"/>
      <w:marLeft w:val="0"/>
      <w:marRight w:val="0"/>
      <w:marTop w:val="0"/>
      <w:marBottom w:val="0"/>
      <w:divBdr>
        <w:top w:val="none" w:sz="0" w:space="0" w:color="auto"/>
        <w:left w:val="none" w:sz="0" w:space="0" w:color="auto"/>
        <w:bottom w:val="none" w:sz="0" w:space="0" w:color="auto"/>
        <w:right w:val="none" w:sz="0" w:space="0" w:color="auto"/>
      </w:divBdr>
    </w:div>
    <w:div w:id="849757263">
      <w:bodyDiv w:val="1"/>
      <w:marLeft w:val="0"/>
      <w:marRight w:val="0"/>
      <w:marTop w:val="0"/>
      <w:marBottom w:val="0"/>
      <w:divBdr>
        <w:top w:val="none" w:sz="0" w:space="0" w:color="auto"/>
        <w:left w:val="none" w:sz="0" w:space="0" w:color="auto"/>
        <w:bottom w:val="none" w:sz="0" w:space="0" w:color="auto"/>
        <w:right w:val="none" w:sz="0" w:space="0" w:color="auto"/>
      </w:divBdr>
    </w:div>
    <w:div w:id="932130737">
      <w:bodyDiv w:val="1"/>
      <w:marLeft w:val="0"/>
      <w:marRight w:val="0"/>
      <w:marTop w:val="0"/>
      <w:marBottom w:val="0"/>
      <w:divBdr>
        <w:top w:val="none" w:sz="0" w:space="0" w:color="auto"/>
        <w:left w:val="none" w:sz="0" w:space="0" w:color="auto"/>
        <w:bottom w:val="none" w:sz="0" w:space="0" w:color="auto"/>
        <w:right w:val="none" w:sz="0" w:space="0" w:color="auto"/>
      </w:divBdr>
    </w:div>
    <w:div w:id="948706033">
      <w:bodyDiv w:val="1"/>
      <w:marLeft w:val="0"/>
      <w:marRight w:val="0"/>
      <w:marTop w:val="0"/>
      <w:marBottom w:val="0"/>
      <w:divBdr>
        <w:top w:val="none" w:sz="0" w:space="0" w:color="auto"/>
        <w:left w:val="none" w:sz="0" w:space="0" w:color="auto"/>
        <w:bottom w:val="none" w:sz="0" w:space="0" w:color="auto"/>
        <w:right w:val="none" w:sz="0" w:space="0" w:color="auto"/>
      </w:divBdr>
    </w:div>
    <w:div w:id="1072578059">
      <w:bodyDiv w:val="1"/>
      <w:marLeft w:val="0"/>
      <w:marRight w:val="0"/>
      <w:marTop w:val="0"/>
      <w:marBottom w:val="0"/>
      <w:divBdr>
        <w:top w:val="none" w:sz="0" w:space="0" w:color="auto"/>
        <w:left w:val="none" w:sz="0" w:space="0" w:color="auto"/>
        <w:bottom w:val="none" w:sz="0" w:space="0" w:color="auto"/>
        <w:right w:val="none" w:sz="0" w:space="0" w:color="auto"/>
      </w:divBdr>
    </w:div>
    <w:div w:id="1454205690">
      <w:bodyDiv w:val="1"/>
      <w:marLeft w:val="0"/>
      <w:marRight w:val="0"/>
      <w:marTop w:val="0"/>
      <w:marBottom w:val="0"/>
      <w:divBdr>
        <w:top w:val="none" w:sz="0" w:space="0" w:color="auto"/>
        <w:left w:val="none" w:sz="0" w:space="0" w:color="auto"/>
        <w:bottom w:val="none" w:sz="0" w:space="0" w:color="auto"/>
        <w:right w:val="none" w:sz="0" w:space="0" w:color="auto"/>
      </w:divBdr>
    </w:div>
    <w:div w:id="1561867311">
      <w:bodyDiv w:val="1"/>
      <w:marLeft w:val="0"/>
      <w:marRight w:val="0"/>
      <w:marTop w:val="0"/>
      <w:marBottom w:val="0"/>
      <w:divBdr>
        <w:top w:val="none" w:sz="0" w:space="0" w:color="auto"/>
        <w:left w:val="none" w:sz="0" w:space="0" w:color="auto"/>
        <w:bottom w:val="none" w:sz="0" w:space="0" w:color="auto"/>
        <w:right w:val="none" w:sz="0" w:space="0" w:color="auto"/>
      </w:divBdr>
    </w:div>
    <w:div w:id="1622110907">
      <w:bodyDiv w:val="1"/>
      <w:marLeft w:val="0"/>
      <w:marRight w:val="0"/>
      <w:marTop w:val="0"/>
      <w:marBottom w:val="0"/>
      <w:divBdr>
        <w:top w:val="none" w:sz="0" w:space="0" w:color="auto"/>
        <w:left w:val="none" w:sz="0" w:space="0" w:color="auto"/>
        <w:bottom w:val="none" w:sz="0" w:space="0" w:color="auto"/>
        <w:right w:val="none" w:sz="0" w:space="0" w:color="auto"/>
      </w:divBdr>
    </w:div>
    <w:div w:id="183405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6FD4E-2D2F-4EDB-9911-C412DDA64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7</Pages>
  <Words>3550</Words>
  <Characters>20236</Characters>
  <Application>Microsoft Office Word</Application>
  <DocSecurity>0</DocSecurity>
  <Lines>168</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23739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2015-05-22T08:47:00Z</cp:lastPrinted>
  <dcterms:created xsi:type="dcterms:W3CDTF">2017-01-24T21:22:00Z</dcterms:created>
  <dcterms:modified xsi:type="dcterms:W3CDTF">2017-01-24T21:22:00Z</dcterms:modified>
</cp:coreProperties>
</file>