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A40224" w:rsidP="008E3EAB">
            <w:pPr>
              <w:jc w:val="right"/>
            </w:pPr>
            <w:r w:rsidRPr="00A40224">
              <w:rPr>
                <w:sz w:val="40"/>
              </w:rPr>
              <w:t>CCPR</w:t>
            </w:r>
            <w:r w:rsidR="005E4716">
              <w:t>/C/117</w:t>
            </w:r>
            <w:r>
              <w:t>/D/2</w:t>
            </w:r>
            <w:r w:rsidR="000439AB">
              <w:t>291</w:t>
            </w:r>
            <w:r w:rsidR="009F01D7">
              <w:t>/</w:t>
            </w:r>
            <w:r w:rsidR="000439AB">
              <w:t>2013</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A40224" w:rsidP="00B6553F">
            <w:pPr>
              <w:spacing w:before="120"/>
            </w:pPr>
            <w:r>
              <w:rPr>
                <w:noProof/>
                <w:lang w:val="en-US"/>
              </w:rPr>
              <w:drawing>
                <wp:inline distT="0" distB="0" distL="0" distR="0" wp14:anchorId="72E0E996" wp14:editId="396E0E29">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C26201" w:rsidRPr="00C03B36"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956AF0" w:rsidRPr="00B12E1C" w:rsidRDefault="00956AF0" w:rsidP="00956AF0">
            <w:pPr>
              <w:spacing w:before="240" w:line="240" w:lineRule="exact"/>
            </w:pPr>
            <w:r>
              <w:t>Distr.:</w:t>
            </w:r>
            <w:r w:rsidRPr="00463B9A">
              <w:t xml:space="preserve"> </w:t>
            </w:r>
            <w:r w:rsidR="00C26201">
              <w:t>General</w:t>
            </w:r>
          </w:p>
          <w:p w:rsidR="00956AF0" w:rsidRPr="0074691A" w:rsidRDefault="002F2AFD" w:rsidP="001E45C7">
            <w:pPr>
              <w:spacing w:line="240" w:lineRule="exact"/>
            </w:pPr>
            <w:r>
              <w:t>9</w:t>
            </w:r>
            <w:r w:rsidR="00B86139">
              <w:t xml:space="preserve"> </w:t>
            </w:r>
            <w:r w:rsidR="00E55C9B">
              <w:t>September</w:t>
            </w:r>
            <w:r w:rsidR="00956AF0">
              <w:t xml:space="preserve"> 2016</w:t>
            </w:r>
          </w:p>
          <w:p w:rsidR="00956AF0" w:rsidRPr="00B12E1C" w:rsidRDefault="00956AF0" w:rsidP="00956AF0">
            <w:pPr>
              <w:spacing w:line="240" w:lineRule="exact"/>
            </w:pPr>
          </w:p>
          <w:p w:rsidR="00956AF0" w:rsidRPr="00463B9A" w:rsidRDefault="00956AF0" w:rsidP="00956AF0">
            <w:pPr>
              <w:spacing w:line="240" w:lineRule="exact"/>
            </w:pPr>
            <w:r w:rsidRPr="00463B9A">
              <w:t xml:space="preserve">Original: </w:t>
            </w:r>
            <w:r w:rsidRPr="0074691A">
              <w:t>English</w:t>
            </w:r>
          </w:p>
          <w:p w:rsidR="00A40224" w:rsidRDefault="00A40224" w:rsidP="00956AF0">
            <w:pPr>
              <w:spacing w:line="240" w:lineRule="exact"/>
            </w:pPr>
          </w:p>
        </w:tc>
      </w:tr>
    </w:tbl>
    <w:p w:rsidR="00A40224" w:rsidRPr="00A36331" w:rsidRDefault="00A40224" w:rsidP="00A40224">
      <w:pPr>
        <w:spacing w:before="120"/>
        <w:rPr>
          <w:b/>
          <w:sz w:val="24"/>
          <w:szCs w:val="24"/>
        </w:rPr>
      </w:pPr>
      <w:r w:rsidRPr="00A36331">
        <w:rPr>
          <w:b/>
          <w:sz w:val="24"/>
          <w:szCs w:val="24"/>
        </w:rPr>
        <w:t>Human Rights Committee</w:t>
      </w:r>
    </w:p>
    <w:p w:rsidR="00A40224" w:rsidRPr="00475C4F" w:rsidRDefault="00A40224" w:rsidP="00C03B36">
      <w:pPr>
        <w:pStyle w:val="HChG"/>
      </w:pPr>
      <w:r w:rsidRPr="00475C4F">
        <w:tab/>
      </w:r>
      <w:r w:rsidRPr="00475C4F">
        <w:tab/>
      </w:r>
      <w:r w:rsidR="00C26201" w:rsidRPr="00C26201">
        <w:rPr>
          <w:rFonts w:eastAsiaTheme="minorEastAsia"/>
        </w:rPr>
        <w:t>Views adopted by the Committee under article 5</w:t>
      </w:r>
      <w:r w:rsidR="00B83F15">
        <w:rPr>
          <w:rFonts w:eastAsiaTheme="minorEastAsia"/>
        </w:rPr>
        <w:t xml:space="preserve"> </w:t>
      </w:r>
      <w:r w:rsidR="00C26201" w:rsidRPr="00C26201">
        <w:rPr>
          <w:rFonts w:eastAsiaTheme="minorEastAsia"/>
        </w:rPr>
        <w:t xml:space="preserve">(4) of the Optional Protocol, concerning communication </w:t>
      </w:r>
      <w:r w:rsidR="00E6384B">
        <w:rPr>
          <w:rFonts w:eastAsiaTheme="minorEastAsia"/>
        </w:rPr>
        <w:br/>
      </w:r>
      <w:r w:rsidR="00C26201" w:rsidRPr="00C26201">
        <w:rPr>
          <w:rFonts w:eastAsiaTheme="minorEastAsia"/>
        </w:rPr>
        <w:t xml:space="preserve">No. </w:t>
      </w:r>
      <w:r w:rsidR="00C26201">
        <w:rPr>
          <w:rFonts w:eastAsiaTheme="minorEastAsia"/>
        </w:rPr>
        <w:t>2291/2013</w:t>
      </w:r>
      <w:r w:rsidR="00C26201" w:rsidRPr="00C03B36">
        <w:rPr>
          <w:rStyle w:val="FootnoteReference"/>
          <w:rFonts w:eastAsiaTheme="minorEastAsia"/>
          <w:b w:val="0"/>
          <w:bCs/>
          <w:sz w:val="20"/>
          <w:vertAlign w:val="baseline"/>
        </w:rPr>
        <w:footnoteReference w:customMarkFollows="1" w:id="2"/>
        <w:t>*</w:t>
      </w:r>
      <w:r w:rsidR="00E6384B" w:rsidRPr="00C03B36">
        <w:rPr>
          <w:rFonts w:eastAsiaTheme="minorEastAsia"/>
          <w:b w:val="0"/>
          <w:bCs/>
          <w:position w:val="4"/>
          <w:sz w:val="20"/>
        </w:rPr>
        <w:t>,</w:t>
      </w:r>
      <w:r w:rsidR="00C26201" w:rsidRPr="00C03B36">
        <w:rPr>
          <w:rFonts w:eastAsiaTheme="minorEastAsia"/>
          <w:b w:val="0"/>
          <w:bCs/>
          <w:sz w:val="20"/>
        </w:rPr>
        <w:t xml:space="preserve"> </w:t>
      </w:r>
      <w:r w:rsidR="00C26201" w:rsidRPr="00C03B36">
        <w:rPr>
          <w:rStyle w:val="FootnoteReference"/>
          <w:rFonts w:eastAsiaTheme="minorEastAsia"/>
          <w:b w:val="0"/>
          <w:bCs/>
          <w:sz w:val="20"/>
          <w:vertAlign w:val="baseline"/>
        </w:rPr>
        <w:footnoteReference w:customMarkFollows="1" w:id="3"/>
        <w:t>**</w:t>
      </w:r>
      <w:r w:rsidR="00A35864">
        <w:rPr>
          <w:rFonts w:eastAsiaTheme="minorEastAsia"/>
          <w:b w:val="0"/>
          <w:bCs/>
          <w:sz w:val="20"/>
        </w:rPr>
        <w:t xml:space="preserve"> </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A40224" w:rsidRPr="00DF7F92" w:rsidTr="00C03B36">
        <w:tc>
          <w:tcPr>
            <w:tcW w:w="3402" w:type="dxa"/>
            <w:shd w:val="clear" w:color="auto" w:fill="auto"/>
          </w:tcPr>
          <w:p w:rsidR="00A40224" w:rsidRPr="00DF7F92" w:rsidRDefault="00E6384B" w:rsidP="00C03B36">
            <w:pPr>
              <w:pStyle w:val="SingleTxtG"/>
              <w:ind w:left="0" w:right="0"/>
              <w:jc w:val="left"/>
              <w:rPr>
                <w:i/>
              </w:rPr>
            </w:pPr>
            <w:r>
              <w:rPr>
                <w:i/>
              </w:rPr>
              <w:t>Communication s</w:t>
            </w:r>
            <w:r w:rsidR="00A40224" w:rsidRPr="00DF7F92">
              <w:rPr>
                <w:i/>
              </w:rPr>
              <w:t>ubmitted by:</w:t>
            </w:r>
          </w:p>
        </w:tc>
        <w:tc>
          <w:tcPr>
            <w:tcW w:w="3969" w:type="dxa"/>
            <w:shd w:val="clear" w:color="auto" w:fill="auto"/>
          </w:tcPr>
          <w:p w:rsidR="0087336B" w:rsidRPr="00DF7F92" w:rsidRDefault="000439AB" w:rsidP="00C03B36">
            <w:pPr>
              <w:spacing w:after="120"/>
            </w:pPr>
            <w:r>
              <w:t>A and B</w:t>
            </w:r>
            <w:r w:rsidR="00A40224" w:rsidRPr="00DF7F92">
              <w:t xml:space="preserve"> (represented by</w:t>
            </w:r>
            <w:r w:rsidR="009F01D7">
              <w:t xml:space="preserve"> counsel, </w:t>
            </w:r>
            <w:r w:rsidR="00E87469">
              <w:br/>
            </w:r>
            <w:r>
              <w:t>Niels Erik-Hansen</w:t>
            </w:r>
            <w:r w:rsidR="00A40224" w:rsidRPr="00DF7F92">
              <w:t>)</w:t>
            </w:r>
          </w:p>
        </w:tc>
      </w:tr>
      <w:tr w:rsidR="00A40224" w:rsidRPr="00DF7F92" w:rsidTr="00C03B36">
        <w:tc>
          <w:tcPr>
            <w:tcW w:w="3402" w:type="dxa"/>
            <w:shd w:val="clear" w:color="auto" w:fill="auto"/>
          </w:tcPr>
          <w:p w:rsidR="00A40224" w:rsidRPr="00DF7F92" w:rsidRDefault="00A40224" w:rsidP="00C03B36">
            <w:pPr>
              <w:pStyle w:val="SingleTxtG"/>
              <w:ind w:left="0" w:right="0"/>
              <w:jc w:val="left"/>
              <w:rPr>
                <w:i/>
              </w:rPr>
            </w:pPr>
            <w:r w:rsidRPr="00DF7F92">
              <w:rPr>
                <w:i/>
              </w:rPr>
              <w:t>Alleged victim</w:t>
            </w:r>
            <w:r w:rsidR="000439AB">
              <w:rPr>
                <w:i/>
              </w:rPr>
              <w:t>s</w:t>
            </w:r>
            <w:r w:rsidRPr="00DF7F92">
              <w:rPr>
                <w:i/>
              </w:rPr>
              <w:t>:</w:t>
            </w:r>
          </w:p>
        </w:tc>
        <w:tc>
          <w:tcPr>
            <w:tcW w:w="3969" w:type="dxa"/>
            <w:shd w:val="clear" w:color="auto" w:fill="auto"/>
          </w:tcPr>
          <w:p w:rsidR="00A40224" w:rsidRPr="00DF7F92" w:rsidRDefault="000439AB" w:rsidP="00C03B36">
            <w:pPr>
              <w:pStyle w:val="SingleTxtG"/>
              <w:ind w:left="0" w:right="0"/>
              <w:jc w:val="left"/>
            </w:pPr>
            <w:r>
              <w:t>A and B</w:t>
            </w:r>
          </w:p>
        </w:tc>
      </w:tr>
      <w:tr w:rsidR="00A40224" w:rsidRPr="00DF7F92" w:rsidTr="00C03B36">
        <w:tc>
          <w:tcPr>
            <w:tcW w:w="3402" w:type="dxa"/>
            <w:shd w:val="clear" w:color="auto" w:fill="auto"/>
          </w:tcPr>
          <w:p w:rsidR="00A40224" w:rsidRPr="00DF7F92" w:rsidRDefault="00A40224" w:rsidP="00C03B36">
            <w:pPr>
              <w:pStyle w:val="SingleTxtG"/>
              <w:ind w:left="0" w:right="0"/>
              <w:jc w:val="left"/>
              <w:rPr>
                <w:i/>
              </w:rPr>
            </w:pPr>
            <w:r w:rsidRPr="00DF7F92">
              <w:rPr>
                <w:i/>
              </w:rPr>
              <w:t>State party:</w:t>
            </w:r>
          </w:p>
        </w:tc>
        <w:tc>
          <w:tcPr>
            <w:tcW w:w="3969" w:type="dxa"/>
            <w:shd w:val="clear" w:color="auto" w:fill="auto"/>
          </w:tcPr>
          <w:p w:rsidR="00A40224" w:rsidRPr="00DF7F92" w:rsidRDefault="000439AB" w:rsidP="00C03B36">
            <w:pPr>
              <w:pStyle w:val="SingleTxtG"/>
              <w:ind w:left="0" w:right="0"/>
              <w:jc w:val="left"/>
            </w:pPr>
            <w:r>
              <w:t>Denmark</w:t>
            </w:r>
          </w:p>
        </w:tc>
      </w:tr>
      <w:tr w:rsidR="00A40224" w:rsidRPr="00DF7F92" w:rsidTr="00C03B36">
        <w:tc>
          <w:tcPr>
            <w:tcW w:w="3402" w:type="dxa"/>
            <w:shd w:val="clear" w:color="auto" w:fill="auto"/>
          </w:tcPr>
          <w:p w:rsidR="00A40224" w:rsidRPr="00DF7F92" w:rsidRDefault="00A40224" w:rsidP="00C03B36">
            <w:pPr>
              <w:pStyle w:val="SingleTxtG"/>
              <w:ind w:left="0" w:right="0"/>
              <w:jc w:val="left"/>
              <w:rPr>
                <w:i/>
              </w:rPr>
            </w:pPr>
            <w:r w:rsidRPr="00DF7F92">
              <w:rPr>
                <w:i/>
              </w:rPr>
              <w:t>Date of communication:</w:t>
            </w:r>
          </w:p>
        </w:tc>
        <w:tc>
          <w:tcPr>
            <w:tcW w:w="3969" w:type="dxa"/>
            <w:shd w:val="clear" w:color="auto" w:fill="auto"/>
          </w:tcPr>
          <w:p w:rsidR="00A40224" w:rsidRPr="00DF7F92" w:rsidRDefault="007C26F5" w:rsidP="00C03B36">
            <w:pPr>
              <w:pStyle w:val="SingleTxtG"/>
              <w:ind w:left="0" w:right="0"/>
              <w:jc w:val="left"/>
            </w:pPr>
            <w:r>
              <w:rPr>
                <w:lang w:val="en-US"/>
              </w:rPr>
              <w:t>1 October</w:t>
            </w:r>
            <w:r w:rsidR="000439AB" w:rsidRPr="000439AB">
              <w:rPr>
                <w:lang w:val="en-US"/>
              </w:rPr>
              <w:t xml:space="preserve"> 2013</w:t>
            </w:r>
            <w:r w:rsidR="00A40224" w:rsidRPr="00DF7F92">
              <w:t xml:space="preserve"> (initial submission)</w:t>
            </w:r>
          </w:p>
        </w:tc>
      </w:tr>
      <w:tr w:rsidR="00A40224" w:rsidRPr="00DF7F92" w:rsidTr="00C03B36">
        <w:tc>
          <w:tcPr>
            <w:tcW w:w="3402" w:type="dxa"/>
            <w:shd w:val="clear" w:color="auto" w:fill="auto"/>
          </w:tcPr>
          <w:p w:rsidR="00A40224" w:rsidRPr="00DF7F92" w:rsidRDefault="00A40224" w:rsidP="00C03B36">
            <w:pPr>
              <w:pStyle w:val="SingleTxtG"/>
              <w:ind w:left="0" w:right="0"/>
              <w:jc w:val="left"/>
              <w:rPr>
                <w:i/>
              </w:rPr>
            </w:pPr>
            <w:r w:rsidRPr="00DF7F92">
              <w:rPr>
                <w:i/>
              </w:rPr>
              <w:t>Document references:</w:t>
            </w:r>
          </w:p>
        </w:tc>
        <w:tc>
          <w:tcPr>
            <w:tcW w:w="3969" w:type="dxa"/>
            <w:shd w:val="clear" w:color="auto" w:fill="auto"/>
          </w:tcPr>
          <w:p w:rsidR="009F01D7" w:rsidRPr="00DF7F92" w:rsidRDefault="00777F4B" w:rsidP="00C03B36">
            <w:pPr>
              <w:spacing w:after="120"/>
            </w:pPr>
            <w:r>
              <w:rPr>
                <w:lang w:val="en-US"/>
              </w:rPr>
              <w:t>Decision taken pursuant to rules 92 and 97 of the Committee’s rules of procedure</w:t>
            </w:r>
            <w:r w:rsidR="00A40224" w:rsidRPr="00DF7F92">
              <w:t xml:space="preserve">, transmitted to the State party on </w:t>
            </w:r>
            <w:r w:rsidR="000439AB">
              <w:t>23 October 2013 (</w:t>
            </w:r>
            <w:r w:rsidR="00A40224" w:rsidRPr="00DF7F92">
              <w:t xml:space="preserve">not issued </w:t>
            </w:r>
            <w:r w:rsidR="00A35864">
              <w:br/>
            </w:r>
            <w:r w:rsidR="00A40224" w:rsidRPr="00DF7F92">
              <w:t>in document form)</w:t>
            </w:r>
          </w:p>
        </w:tc>
      </w:tr>
      <w:tr w:rsidR="00A40224" w:rsidRPr="00DF7F92" w:rsidTr="00C03B36">
        <w:tc>
          <w:tcPr>
            <w:tcW w:w="3402" w:type="dxa"/>
            <w:shd w:val="clear" w:color="auto" w:fill="auto"/>
          </w:tcPr>
          <w:p w:rsidR="00A40224" w:rsidRPr="00DF7F92" w:rsidRDefault="00A40224" w:rsidP="00C03B36">
            <w:pPr>
              <w:pStyle w:val="SingleTxtG"/>
              <w:ind w:left="0" w:right="0"/>
              <w:jc w:val="left"/>
              <w:rPr>
                <w:i/>
              </w:rPr>
            </w:pPr>
            <w:r w:rsidRPr="00DF7F92">
              <w:rPr>
                <w:i/>
              </w:rPr>
              <w:t xml:space="preserve">Date of adoption of </w:t>
            </w:r>
            <w:r w:rsidR="00956AF0">
              <w:rPr>
                <w:i/>
              </w:rPr>
              <w:t>V</w:t>
            </w:r>
            <w:r>
              <w:rPr>
                <w:i/>
              </w:rPr>
              <w:t>iews</w:t>
            </w:r>
            <w:r w:rsidRPr="00DF7F92">
              <w:rPr>
                <w:i/>
              </w:rPr>
              <w:t>:</w:t>
            </w:r>
          </w:p>
        </w:tc>
        <w:tc>
          <w:tcPr>
            <w:tcW w:w="3969" w:type="dxa"/>
            <w:shd w:val="clear" w:color="auto" w:fill="auto"/>
            <w:vAlign w:val="bottom"/>
          </w:tcPr>
          <w:p w:rsidR="00A40224" w:rsidRPr="00DF7F92" w:rsidRDefault="008E3EAB" w:rsidP="00C03B36">
            <w:pPr>
              <w:pStyle w:val="SingleTxtG"/>
              <w:ind w:left="0" w:right="0"/>
              <w:jc w:val="left"/>
            </w:pPr>
            <w:r>
              <w:t>13 July</w:t>
            </w:r>
            <w:r w:rsidR="00A40224" w:rsidRPr="00DF7F92">
              <w:t xml:space="preserve"> </w:t>
            </w:r>
            <w:r w:rsidR="009F01D7">
              <w:t>2016</w:t>
            </w:r>
          </w:p>
        </w:tc>
      </w:tr>
      <w:tr w:rsidR="00A40224" w:rsidRPr="00DF7F92" w:rsidTr="00C03B36">
        <w:tc>
          <w:tcPr>
            <w:tcW w:w="3402" w:type="dxa"/>
            <w:shd w:val="clear" w:color="auto" w:fill="auto"/>
          </w:tcPr>
          <w:p w:rsidR="00A40224" w:rsidRPr="00D63CA5" w:rsidRDefault="00A40224" w:rsidP="00C03B36">
            <w:pPr>
              <w:pStyle w:val="SingleTxtG"/>
              <w:ind w:left="0" w:right="0"/>
              <w:jc w:val="left"/>
            </w:pPr>
            <w:r w:rsidRPr="00475C4F">
              <w:br w:type="page"/>
            </w:r>
            <w:r w:rsidRPr="00DF7F92">
              <w:rPr>
                <w:i/>
                <w:iCs/>
              </w:rPr>
              <w:t>Subject matter:</w:t>
            </w:r>
          </w:p>
        </w:tc>
        <w:tc>
          <w:tcPr>
            <w:tcW w:w="3969" w:type="dxa"/>
            <w:shd w:val="clear" w:color="auto" w:fill="auto"/>
          </w:tcPr>
          <w:p w:rsidR="00A40224" w:rsidRPr="00DF7F92" w:rsidRDefault="00EE7F67" w:rsidP="00C03B36">
            <w:pPr>
              <w:spacing w:after="120"/>
            </w:pPr>
            <w:r>
              <w:t>Removal</w:t>
            </w:r>
            <w:r w:rsidR="00A40224" w:rsidRPr="00DF7F92">
              <w:t xml:space="preserve"> of </w:t>
            </w:r>
            <w:r>
              <w:t xml:space="preserve">the </w:t>
            </w:r>
            <w:r w:rsidR="000439AB">
              <w:t>authors to Pakistan</w:t>
            </w:r>
          </w:p>
        </w:tc>
      </w:tr>
      <w:tr w:rsidR="00A40224" w:rsidRPr="00DF7F92" w:rsidTr="00C03B36">
        <w:tc>
          <w:tcPr>
            <w:tcW w:w="3402" w:type="dxa"/>
            <w:shd w:val="clear" w:color="auto" w:fill="auto"/>
          </w:tcPr>
          <w:p w:rsidR="00A40224" w:rsidRPr="00DF7F92" w:rsidRDefault="00A40224" w:rsidP="00C03B36">
            <w:pPr>
              <w:pStyle w:val="SingleTxtG"/>
              <w:ind w:left="0" w:right="0"/>
              <w:jc w:val="left"/>
              <w:rPr>
                <w:i/>
                <w:iCs/>
              </w:rPr>
            </w:pPr>
            <w:r w:rsidRPr="00DF7F92">
              <w:rPr>
                <w:i/>
                <w:iCs/>
              </w:rPr>
              <w:t>Procedural issues</w:t>
            </w:r>
            <w:r w:rsidRPr="00DF7F92">
              <w:rPr>
                <w:i/>
              </w:rPr>
              <w:t>:</w:t>
            </w:r>
          </w:p>
        </w:tc>
        <w:tc>
          <w:tcPr>
            <w:tcW w:w="3969" w:type="dxa"/>
            <w:shd w:val="clear" w:color="auto" w:fill="auto"/>
          </w:tcPr>
          <w:p w:rsidR="009F01D7" w:rsidRPr="007D7097" w:rsidRDefault="009B2CC1" w:rsidP="00C03B36">
            <w:pPr>
              <w:spacing w:after="120"/>
            </w:pPr>
            <w:r w:rsidRPr="00E94FB9">
              <w:t>A</w:t>
            </w:r>
            <w:r w:rsidR="007D7097" w:rsidRPr="00E94FB9">
              <w:t>dmissibility – manifestly ill-founded</w:t>
            </w:r>
            <w:r w:rsidR="00E94FB9" w:rsidRPr="00E94FB9">
              <w:t xml:space="preserve">; admissibility – </w:t>
            </w:r>
            <w:r w:rsidR="00E94FB9" w:rsidRPr="00E94FB9">
              <w:rPr>
                <w:i/>
              </w:rPr>
              <w:t>ratione materiae</w:t>
            </w:r>
          </w:p>
        </w:tc>
      </w:tr>
      <w:tr w:rsidR="00A40224" w:rsidRPr="00514279" w:rsidTr="00C03B36">
        <w:tc>
          <w:tcPr>
            <w:tcW w:w="3402" w:type="dxa"/>
            <w:shd w:val="clear" w:color="auto" w:fill="auto"/>
          </w:tcPr>
          <w:p w:rsidR="00A40224" w:rsidRPr="00DF7F92" w:rsidRDefault="00A40224" w:rsidP="00C03B36">
            <w:pPr>
              <w:pStyle w:val="SingleTxtG"/>
              <w:ind w:left="0" w:right="0"/>
              <w:jc w:val="left"/>
              <w:rPr>
                <w:i/>
                <w:iCs/>
              </w:rPr>
            </w:pPr>
            <w:r w:rsidRPr="00DF7F92">
              <w:rPr>
                <w:i/>
                <w:iCs/>
              </w:rPr>
              <w:t>Substantive issues:</w:t>
            </w:r>
          </w:p>
        </w:tc>
        <w:tc>
          <w:tcPr>
            <w:tcW w:w="3969" w:type="dxa"/>
            <w:shd w:val="clear" w:color="auto" w:fill="auto"/>
          </w:tcPr>
          <w:p w:rsidR="007D7097" w:rsidRPr="00514279" w:rsidRDefault="005923DE" w:rsidP="00C03B36">
            <w:pPr>
              <w:spacing w:after="120"/>
              <w:rPr>
                <w:lang w:val="en-US"/>
              </w:rPr>
            </w:pPr>
            <w:r>
              <w:rPr>
                <w:lang w:val="en-US"/>
              </w:rPr>
              <w:t>Risk of torture</w:t>
            </w:r>
            <w:r w:rsidR="00DB1AAD">
              <w:rPr>
                <w:lang w:val="en-US"/>
              </w:rPr>
              <w:t xml:space="preserve"> and violation of</w:t>
            </w:r>
            <w:r w:rsidR="00EC7F2F" w:rsidRPr="00E94FB9">
              <w:rPr>
                <w:lang w:val="en-US"/>
              </w:rPr>
              <w:t xml:space="preserve"> freedom of religion</w:t>
            </w:r>
            <w:r w:rsidR="00DB1AAD">
              <w:rPr>
                <w:lang w:val="en-US"/>
              </w:rPr>
              <w:t xml:space="preserve"> in case of return to country of origin</w:t>
            </w:r>
            <w:r w:rsidR="005113A9" w:rsidRPr="00E94FB9">
              <w:rPr>
                <w:lang w:val="en-US"/>
              </w:rPr>
              <w:t>;</w:t>
            </w:r>
            <w:r w:rsidR="00DB1AAD">
              <w:rPr>
                <w:lang w:val="en-US"/>
              </w:rPr>
              <w:t xml:space="preserve"> </w:t>
            </w:r>
            <w:r w:rsidR="00A35864">
              <w:rPr>
                <w:lang w:val="en-US"/>
              </w:rPr>
              <w:br/>
            </w:r>
            <w:r w:rsidR="00DB1AAD">
              <w:rPr>
                <w:lang w:val="en-US"/>
              </w:rPr>
              <w:t>fair trial</w:t>
            </w:r>
          </w:p>
        </w:tc>
      </w:tr>
      <w:tr w:rsidR="00A40224" w:rsidRPr="00DF7F92" w:rsidTr="00C03B36">
        <w:tc>
          <w:tcPr>
            <w:tcW w:w="3402" w:type="dxa"/>
            <w:shd w:val="clear" w:color="auto" w:fill="auto"/>
          </w:tcPr>
          <w:p w:rsidR="00A40224" w:rsidRPr="00DF7F92" w:rsidRDefault="00A40224" w:rsidP="00C03B36">
            <w:pPr>
              <w:pStyle w:val="SingleTxtG"/>
              <w:ind w:left="0" w:right="0"/>
              <w:jc w:val="left"/>
              <w:rPr>
                <w:i/>
                <w:iCs/>
              </w:rPr>
            </w:pPr>
            <w:r w:rsidRPr="00DF7F92">
              <w:rPr>
                <w:i/>
                <w:iCs/>
              </w:rPr>
              <w:t>Articles of the Covenant</w:t>
            </w:r>
            <w:r w:rsidRPr="00DF7F92">
              <w:rPr>
                <w:i/>
              </w:rPr>
              <w:t>:</w:t>
            </w:r>
          </w:p>
        </w:tc>
        <w:tc>
          <w:tcPr>
            <w:tcW w:w="3969" w:type="dxa"/>
            <w:shd w:val="clear" w:color="auto" w:fill="auto"/>
          </w:tcPr>
          <w:p w:rsidR="00A40224" w:rsidRPr="00DF7F92" w:rsidRDefault="008B056B" w:rsidP="00C03B36">
            <w:pPr>
              <w:pStyle w:val="SingleTxtG"/>
              <w:ind w:left="0" w:right="0"/>
              <w:jc w:val="left"/>
            </w:pPr>
            <w:r>
              <w:t xml:space="preserve">6, </w:t>
            </w:r>
            <w:r w:rsidR="000439AB">
              <w:t xml:space="preserve">7, </w:t>
            </w:r>
            <w:r>
              <w:t xml:space="preserve">13, </w:t>
            </w:r>
            <w:r w:rsidR="000439AB">
              <w:t>14 and 18</w:t>
            </w:r>
          </w:p>
        </w:tc>
      </w:tr>
      <w:tr w:rsidR="00A40224" w:rsidRPr="00DF7F92" w:rsidTr="00C03B36">
        <w:tc>
          <w:tcPr>
            <w:tcW w:w="3402" w:type="dxa"/>
            <w:shd w:val="clear" w:color="auto" w:fill="auto"/>
          </w:tcPr>
          <w:p w:rsidR="00A40224" w:rsidRPr="00DF7F92" w:rsidRDefault="00A40224" w:rsidP="00C03B36">
            <w:pPr>
              <w:pStyle w:val="SingleTxtG"/>
              <w:ind w:left="0" w:right="0"/>
              <w:jc w:val="left"/>
              <w:rPr>
                <w:i/>
                <w:iCs/>
              </w:rPr>
            </w:pPr>
            <w:r w:rsidRPr="00DF7F92">
              <w:rPr>
                <w:i/>
                <w:iCs/>
              </w:rPr>
              <w:t>Article</w:t>
            </w:r>
            <w:r w:rsidR="00C03875">
              <w:rPr>
                <w:i/>
                <w:iCs/>
              </w:rPr>
              <w:t>s</w:t>
            </w:r>
            <w:r w:rsidRPr="00DF7F92">
              <w:rPr>
                <w:i/>
                <w:iCs/>
              </w:rPr>
              <w:t xml:space="preserve"> of the Optional Protocol:</w:t>
            </w:r>
          </w:p>
        </w:tc>
        <w:tc>
          <w:tcPr>
            <w:tcW w:w="3969" w:type="dxa"/>
            <w:shd w:val="clear" w:color="auto" w:fill="auto"/>
          </w:tcPr>
          <w:p w:rsidR="00A40224" w:rsidRPr="00DF7F92" w:rsidRDefault="00476887" w:rsidP="00C03B36">
            <w:pPr>
              <w:pStyle w:val="SingleTxtG"/>
              <w:ind w:left="0" w:right="0"/>
              <w:jc w:val="left"/>
            </w:pPr>
            <w:r>
              <w:t xml:space="preserve">2 and </w:t>
            </w:r>
            <w:r w:rsidR="00E94FB9" w:rsidRPr="00E94FB9">
              <w:t>3</w:t>
            </w:r>
          </w:p>
        </w:tc>
      </w:tr>
    </w:tbl>
    <w:p w:rsidR="00A40224" w:rsidRDefault="00A40224" w:rsidP="00C03B36">
      <w:pPr>
        <w:pStyle w:val="SingleTxtG"/>
        <w:keepLines/>
        <w:spacing w:before="240"/>
      </w:pPr>
      <w:r w:rsidRPr="00475C4F">
        <w:lastRenderedPageBreak/>
        <w:t>1.1</w:t>
      </w:r>
      <w:r w:rsidRPr="00475C4F">
        <w:tab/>
        <w:t>The author</w:t>
      </w:r>
      <w:r w:rsidR="002B75C9">
        <w:t>s</w:t>
      </w:r>
      <w:r w:rsidRPr="00475C4F">
        <w:t xml:space="preserve"> of the communication </w:t>
      </w:r>
      <w:r w:rsidR="002B75C9">
        <w:t>are</w:t>
      </w:r>
      <w:r w:rsidRPr="00475C4F">
        <w:t xml:space="preserve"> </w:t>
      </w:r>
      <w:r w:rsidR="00BD3745">
        <w:t xml:space="preserve">A and B, </w:t>
      </w:r>
      <w:r w:rsidR="00DB7EE0">
        <w:t xml:space="preserve">born in 1935 and 1945, respectively. They are </w:t>
      </w:r>
      <w:r w:rsidR="002455F6">
        <w:t>nationals of Pakistan</w:t>
      </w:r>
      <w:r w:rsidR="00BD3745">
        <w:t xml:space="preserve"> </w:t>
      </w:r>
      <w:r w:rsidR="00DB7EE0">
        <w:t>and currently reside</w:t>
      </w:r>
      <w:r w:rsidR="00BD3745">
        <w:t xml:space="preserve"> in Denmark</w:t>
      </w:r>
      <w:r w:rsidRPr="00475C4F">
        <w:t xml:space="preserve">. </w:t>
      </w:r>
      <w:r w:rsidR="00356549">
        <w:t>F</w:t>
      </w:r>
      <w:r w:rsidRPr="002A4C40">
        <w:t xml:space="preserve">ollowing the rejection of </w:t>
      </w:r>
      <w:r w:rsidR="00300BC0">
        <w:t>their</w:t>
      </w:r>
      <w:r w:rsidRPr="002A4C40">
        <w:t xml:space="preserve"> </w:t>
      </w:r>
      <w:r w:rsidRPr="00777F4B">
        <w:t>application</w:t>
      </w:r>
      <w:r w:rsidRPr="002A4C40">
        <w:t xml:space="preserve"> for refugee status in </w:t>
      </w:r>
      <w:r w:rsidR="00300BC0">
        <w:t>Denmark</w:t>
      </w:r>
      <w:r w:rsidR="00356549">
        <w:t xml:space="preserve">, they are subject to removal. </w:t>
      </w:r>
      <w:r w:rsidR="00300BC0">
        <w:t>They assert that</w:t>
      </w:r>
      <w:r w:rsidR="009548EA">
        <w:t>,</w:t>
      </w:r>
      <w:r w:rsidR="00300BC0">
        <w:t xml:space="preserve"> by removing them</w:t>
      </w:r>
      <w:r>
        <w:t xml:space="preserve"> to </w:t>
      </w:r>
      <w:r w:rsidR="00300BC0">
        <w:t>Pakistan</w:t>
      </w:r>
      <w:r>
        <w:t xml:space="preserve">, the State party would violate </w:t>
      </w:r>
      <w:r w:rsidR="00300BC0">
        <w:t>their</w:t>
      </w:r>
      <w:r>
        <w:t xml:space="preserve"> rights under articles </w:t>
      </w:r>
      <w:r w:rsidR="00BD3745">
        <w:t>7, 14 and 18</w:t>
      </w:r>
      <w:r>
        <w:t xml:space="preserve"> of the </w:t>
      </w:r>
      <w:r w:rsidR="00684444">
        <w:t>Covenant</w:t>
      </w:r>
      <w:r w:rsidRPr="00475C4F">
        <w:t>.</w:t>
      </w:r>
      <w:r w:rsidR="00777F4B" w:rsidRPr="00777F4B">
        <w:t xml:space="preserve"> </w:t>
      </w:r>
      <w:r w:rsidR="00777F4B" w:rsidRPr="003B65C5">
        <w:t>The Optional Protocol entered into force for Denmark on 23</w:t>
      </w:r>
      <w:r w:rsidR="00A35864">
        <w:t> </w:t>
      </w:r>
      <w:r w:rsidR="00777F4B" w:rsidRPr="003B65C5">
        <w:t>March 1976.</w:t>
      </w:r>
    </w:p>
    <w:p w:rsidR="00A40224" w:rsidRPr="00475C4F" w:rsidRDefault="00A40224" w:rsidP="00777F4B">
      <w:pPr>
        <w:pStyle w:val="SingleTxtG"/>
      </w:pPr>
      <w:r w:rsidRPr="00475C4F">
        <w:t>1.2</w:t>
      </w:r>
      <w:r w:rsidRPr="00475C4F">
        <w:tab/>
      </w:r>
      <w:r w:rsidRPr="007D438F">
        <w:t xml:space="preserve">On </w:t>
      </w:r>
      <w:r w:rsidR="00483396">
        <w:t>23 October 2013</w:t>
      </w:r>
      <w:r w:rsidRPr="007D438F">
        <w:t>, pursuant to rule</w:t>
      </w:r>
      <w:r>
        <w:t>s 92</w:t>
      </w:r>
      <w:r w:rsidRPr="007D438F">
        <w:t xml:space="preserve"> </w:t>
      </w:r>
      <w:r>
        <w:t xml:space="preserve">and 97 </w:t>
      </w:r>
      <w:r w:rsidRPr="007D438F">
        <w:t xml:space="preserve">of its rules of procedure, the Committee, acting through its Special Rapporteur on new communications and interim measures, requested </w:t>
      </w:r>
      <w:r>
        <w:t>that the</w:t>
      </w:r>
      <w:r w:rsidRPr="007D438F">
        <w:t xml:space="preserve"> State party not remove the author</w:t>
      </w:r>
      <w:r w:rsidR="00483396">
        <w:t xml:space="preserve">s to Pakistan </w:t>
      </w:r>
      <w:r w:rsidRPr="007D438F">
        <w:t xml:space="preserve">while the communication </w:t>
      </w:r>
      <w:r w:rsidR="00E6384B">
        <w:t>wa</w:t>
      </w:r>
      <w:r>
        <w:t>s</w:t>
      </w:r>
      <w:r w:rsidRPr="007D438F">
        <w:t xml:space="preserve"> under consideration by the Committee.</w:t>
      </w:r>
      <w:r>
        <w:t xml:space="preserve"> </w:t>
      </w:r>
      <w:r w:rsidRPr="009969F7">
        <w:t xml:space="preserve">On </w:t>
      </w:r>
      <w:r w:rsidR="00483396">
        <w:t>24 September 2014 and 18</w:t>
      </w:r>
      <w:r w:rsidR="00A35864">
        <w:t> </w:t>
      </w:r>
      <w:r w:rsidR="00483396">
        <w:t>September 2015</w:t>
      </w:r>
      <w:r w:rsidRPr="009969F7">
        <w:t>,</w:t>
      </w:r>
      <w:r>
        <w:t xml:space="preserve"> the Committee denied the State party’s </w:t>
      </w:r>
      <w:r w:rsidRPr="008B6497">
        <w:t>request</w:t>
      </w:r>
      <w:r w:rsidR="00483396" w:rsidRPr="008B6497">
        <w:t>s</w:t>
      </w:r>
      <w:r w:rsidRPr="008B6497">
        <w:t xml:space="preserve"> to lift interim measures.</w:t>
      </w:r>
      <w:r w:rsidRPr="00A82A3D">
        <w:t xml:space="preserve"> </w:t>
      </w:r>
      <w:r>
        <w:t xml:space="preserve">The </w:t>
      </w:r>
      <w:r w:rsidR="00483396">
        <w:t>authors remain</w:t>
      </w:r>
      <w:r w:rsidR="00DB1AAD">
        <w:t>ed</w:t>
      </w:r>
      <w:r w:rsidR="00483396">
        <w:t xml:space="preserve"> in Denmark</w:t>
      </w:r>
      <w:r>
        <w:t>.</w:t>
      </w:r>
    </w:p>
    <w:p w:rsidR="00A40224" w:rsidRPr="00475C4F" w:rsidRDefault="00B61233" w:rsidP="00B61233">
      <w:pPr>
        <w:pStyle w:val="H23G"/>
      </w:pPr>
      <w:r>
        <w:tab/>
      </w:r>
      <w:r>
        <w:tab/>
      </w:r>
      <w:r w:rsidR="00A40224" w:rsidRPr="00FE7D96">
        <w:t>Facts as presented by the author</w:t>
      </w:r>
      <w:r w:rsidR="005D4E58">
        <w:t>s</w:t>
      </w:r>
      <w:r w:rsidR="00C33A2B">
        <w:rPr>
          <w:rStyle w:val="FootnoteReference"/>
          <w:b w:val="0"/>
          <w:bCs/>
        </w:rPr>
        <w:t xml:space="preserve"> </w:t>
      </w:r>
    </w:p>
    <w:p w:rsidR="00A023D9" w:rsidRDefault="00A40224" w:rsidP="00777F4B">
      <w:pPr>
        <w:pStyle w:val="SingleTxtG"/>
        <w:rPr>
          <w:lang w:val="en-US"/>
        </w:rPr>
      </w:pPr>
      <w:r w:rsidRPr="00475C4F">
        <w:rPr>
          <w:lang w:val="en-US"/>
        </w:rPr>
        <w:t>2.1</w:t>
      </w:r>
      <w:r w:rsidRPr="00475C4F">
        <w:rPr>
          <w:lang w:val="en-US"/>
        </w:rPr>
        <w:tab/>
      </w:r>
      <w:r w:rsidR="00F67E96" w:rsidRPr="00F67E96">
        <w:rPr>
          <w:lang w:val="en-US"/>
        </w:rPr>
        <w:t>The authors</w:t>
      </w:r>
      <w:r w:rsidR="002C4263">
        <w:rPr>
          <w:lang w:val="en-US"/>
        </w:rPr>
        <w:t xml:space="preserve">, </w:t>
      </w:r>
      <w:r w:rsidR="00C53883">
        <w:rPr>
          <w:lang w:val="en-US"/>
        </w:rPr>
        <w:t>who are married to each other,</w:t>
      </w:r>
      <w:r w:rsidR="00F67E96" w:rsidRPr="00F67E96">
        <w:rPr>
          <w:lang w:val="en-US"/>
        </w:rPr>
        <w:t xml:space="preserve"> </w:t>
      </w:r>
      <w:r w:rsidR="000969DF">
        <w:rPr>
          <w:lang w:val="en-US"/>
        </w:rPr>
        <w:t>assert</w:t>
      </w:r>
      <w:r w:rsidR="00F67E96" w:rsidRPr="00F67E96">
        <w:rPr>
          <w:lang w:val="en-US"/>
        </w:rPr>
        <w:t xml:space="preserve"> that they fled Pakistan </w:t>
      </w:r>
      <w:r w:rsidR="000969DF">
        <w:rPr>
          <w:lang w:val="en-US"/>
        </w:rPr>
        <w:t xml:space="preserve">on account of their faith as </w:t>
      </w:r>
      <w:r w:rsidR="00F93314">
        <w:rPr>
          <w:lang w:val="en-US"/>
        </w:rPr>
        <w:t>Ahmadi</w:t>
      </w:r>
      <w:r w:rsidR="000969DF">
        <w:rPr>
          <w:lang w:val="en-US"/>
        </w:rPr>
        <w:t xml:space="preserve"> </w:t>
      </w:r>
      <w:r w:rsidR="00DF038E">
        <w:rPr>
          <w:lang w:val="en-US"/>
        </w:rPr>
        <w:t xml:space="preserve">(Ahmadiyya) </w:t>
      </w:r>
      <w:r w:rsidR="000969DF">
        <w:rPr>
          <w:lang w:val="en-US"/>
        </w:rPr>
        <w:t>Muslims</w:t>
      </w:r>
      <w:r w:rsidR="00664B53">
        <w:rPr>
          <w:lang w:val="en-US"/>
        </w:rPr>
        <w:t>.</w:t>
      </w:r>
      <w:r w:rsidR="0081173C" w:rsidRPr="00A35864">
        <w:rPr>
          <w:rStyle w:val="FootnoteReference"/>
        </w:rPr>
        <w:footnoteReference w:id="4"/>
      </w:r>
      <w:r w:rsidR="005529FF">
        <w:rPr>
          <w:lang w:val="en-CA"/>
        </w:rPr>
        <w:t xml:space="preserve"> </w:t>
      </w:r>
      <w:r w:rsidR="000947BA">
        <w:rPr>
          <w:lang w:val="en-CA"/>
        </w:rPr>
        <w:t>Certain i</w:t>
      </w:r>
      <w:r w:rsidR="00FB469C">
        <w:rPr>
          <w:lang w:val="en-CA"/>
        </w:rPr>
        <w:t>ndividuals threatened to kill the</w:t>
      </w:r>
      <w:r w:rsidR="00EF1A6F">
        <w:rPr>
          <w:lang w:val="en-CA"/>
        </w:rPr>
        <w:t>m</w:t>
      </w:r>
      <w:r w:rsidR="00FB469C">
        <w:rPr>
          <w:lang w:val="en-CA"/>
        </w:rPr>
        <w:t xml:space="preserve"> if they did not leave their country</w:t>
      </w:r>
      <w:r w:rsidR="00F67E96" w:rsidRPr="00F67E96">
        <w:rPr>
          <w:lang w:val="en-US"/>
        </w:rPr>
        <w:t xml:space="preserve"> or abandon their faith. </w:t>
      </w:r>
      <w:r w:rsidR="00EF1A6F">
        <w:rPr>
          <w:lang w:val="en-US"/>
        </w:rPr>
        <w:t>A</w:t>
      </w:r>
      <w:r w:rsidR="00F67E96" w:rsidRPr="00F67E96">
        <w:rPr>
          <w:lang w:val="en-US"/>
        </w:rPr>
        <w:t xml:space="preserve"> m</w:t>
      </w:r>
      <w:r w:rsidR="00DC3FA8">
        <w:rPr>
          <w:lang w:val="en-US"/>
        </w:rPr>
        <w:t>a</w:t>
      </w:r>
      <w:r w:rsidR="00DF35DB">
        <w:rPr>
          <w:lang w:val="en-US"/>
        </w:rPr>
        <w:t>rk was put on their front door</w:t>
      </w:r>
      <w:r w:rsidR="00EF1A6F">
        <w:rPr>
          <w:lang w:val="en-US"/>
        </w:rPr>
        <w:t xml:space="preserve"> and </w:t>
      </w:r>
      <w:r w:rsidR="00DC3FA8">
        <w:rPr>
          <w:lang w:val="en-US"/>
        </w:rPr>
        <w:t xml:space="preserve">they </w:t>
      </w:r>
      <w:r w:rsidR="0021391D">
        <w:rPr>
          <w:lang w:val="en-US"/>
        </w:rPr>
        <w:t xml:space="preserve">received oral threats. They feared the </w:t>
      </w:r>
      <w:r w:rsidR="00184B97">
        <w:rPr>
          <w:lang w:val="en-US"/>
        </w:rPr>
        <w:t xml:space="preserve">Muslim fundamentalist </w:t>
      </w:r>
      <w:r w:rsidR="0021391D">
        <w:rPr>
          <w:lang w:val="en-US"/>
        </w:rPr>
        <w:t xml:space="preserve">groups </w:t>
      </w:r>
      <w:r w:rsidR="0021391D" w:rsidRPr="00C067D0">
        <w:rPr>
          <w:lang w:val="en-US"/>
        </w:rPr>
        <w:t>Ahle Suntal and Ah</w:t>
      </w:r>
      <w:r w:rsidR="00C067D0" w:rsidRPr="00C03B36">
        <w:rPr>
          <w:lang w:val="en-US"/>
        </w:rPr>
        <w:t>l</w:t>
      </w:r>
      <w:r w:rsidR="0021391D" w:rsidRPr="00C067D0">
        <w:rPr>
          <w:lang w:val="en-US"/>
        </w:rPr>
        <w:t>e Hadees</w:t>
      </w:r>
      <w:r w:rsidR="0021391D">
        <w:rPr>
          <w:lang w:val="en-US"/>
        </w:rPr>
        <w:t>, which conduct “targeted killings”</w:t>
      </w:r>
      <w:r w:rsidR="007E57CE">
        <w:rPr>
          <w:lang w:val="en-US"/>
        </w:rPr>
        <w:t>.</w:t>
      </w:r>
    </w:p>
    <w:p w:rsidR="00D73BA8" w:rsidRDefault="00A023D9" w:rsidP="00051600">
      <w:pPr>
        <w:pStyle w:val="SingleTxtG"/>
        <w:rPr>
          <w:lang w:val="en-US"/>
        </w:rPr>
      </w:pPr>
      <w:r>
        <w:rPr>
          <w:lang w:val="en-US"/>
        </w:rPr>
        <w:t>2.2</w:t>
      </w:r>
      <w:r>
        <w:rPr>
          <w:lang w:val="en-US"/>
        </w:rPr>
        <w:tab/>
      </w:r>
      <w:r w:rsidR="00356549" w:rsidRPr="00F67E96">
        <w:rPr>
          <w:lang w:val="en-US"/>
        </w:rPr>
        <w:t xml:space="preserve">Ahmadis in Pakistan </w:t>
      </w:r>
      <w:r w:rsidR="00356549">
        <w:rPr>
          <w:lang w:val="en-US"/>
        </w:rPr>
        <w:t xml:space="preserve">face </w:t>
      </w:r>
      <w:r w:rsidR="005D6036">
        <w:rPr>
          <w:lang w:val="en-US"/>
        </w:rPr>
        <w:t>various forms of discrimination. For example, t</w:t>
      </w:r>
      <w:r w:rsidR="00356549">
        <w:rPr>
          <w:lang w:val="en-US"/>
        </w:rPr>
        <w:t>hey</w:t>
      </w:r>
      <w:r w:rsidR="00356549" w:rsidRPr="00F67E96">
        <w:rPr>
          <w:lang w:val="en-US"/>
        </w:rPr>
        <w:t xml:space="preserve"> </w:t>
      </w:r>
      <w:r w:rsidR="00CD257D">
        <w:rPr>
          <w:lang w:val="en-US"/>
        </w:rPr>
        <w:t>are not permitted to work with other Ahmadis or be buried after death.</w:t>
      </w:r>
      <w:r w:rsidR="00356549" w:rsidRPr="00F67E96">
        <w:rPr>
          <w:lang w:val="en-US"/>
        </w:rPr>
        <w:t xml:space="preserve"> </w:t>
      </w:r>
      <w:r w:rsidR="00664B53">
        <w:rPr>
          <w:lang w:val="en-US"/>
        </w:rPr>
        <w:t>A</w:t>
      </w:r>
      <w:r w:rsidR="00D359B0">
        <w:rPr>
          <w:lang w:val="en-US"/>
        </w:rPr>
        <w:t>hmadis</w:t>
      </w:r>
      <w:r w:rsidR="00356549">
        <w:rPr>
          <w:lang w:val="en-US"/>
        </w:rPr>
        <w:t xml:space="preserve"> also</w:t>
      </w:r>
      <w:r w:rsidR="00D359B0">
        <w:rPr>
          <w:lang w:val="en-US"/>
        </w:rPr>
        <w:t xml:space="preserve"> risk being </w:t>
      </w:r>
      <w:r w:rsidR="00F67E96" w:rsidRPr="00F67E96">
        <w:rPr>
          <w:lang w:val="en-US"/>
        </w:rPr>
        <w:t xml:space="preserve">subjected to violence. </w:t>
      </w:r>
      <w:r w:rsidR="00DF35DB">
        <w:rPr>
          <w:lang w:val="en-US"/>
        </w:rPr>
        <w:t>I</w:t>
      </w:r>
      <w:r w:rsidR="00F67E96" w:rsidRPr="00F67E96">
        <w:rPr>
          <w:lang w:val="en-US"/>
        </w:rPr>
        <w:t>mams vandalized an Ahmadi graveyard in Lahore and “target killings” of Ahmadis by fundamentalist Muslim groups are known to occur in Pa</w:t>
      </w:r>
      <w:r w:rsidR="00D359B0">
        <w:rPr>
          <w:lang w:val="en-US"/>
        </w:rPr>
        <w:t xml:space="preserve">kistan. </w:t>
      </w:r>
      <w:r w:rsidR="00FA5430">
        <w:rPr>
          <w:lang w:val="en-US"/>
        </w:rPr>
        <w:t>In separate incidents, a</w:t>
      </w:r>
      <w:r w:rsidR="00F67E96" w:rsidRPr="00F67E96">
        <w:rPr>
          <w:lang w:val="en-US"/>
        </w:rPr>
        <w:t xml:space="preserve"> young </w:t>
      </w:r>
      <w:r w:rsidR="00D359B0">
        <w:rPr>
          <w:lang w:val="en-US"/>
        </w:rPr>
        <w:t xml:space="preserve">Ahmadi </w:t>
      </w:r>
      <w:r w:rsidR="00F67E96" w:rsidRPr="00F67E96">
        <w:rPr>
          <w:lang w:val="en-US"/>
        </w:rPr>
        <w:t xml:space="preserve">man </w:t>
      </w:r>
      <w:r w:rsidR="00FA5430">
        <w:rPr>
          <w:lang w:val="en-US"/>
        </w:rPr>
        <w:t xml:space="preserve">and his brother were both killed while </w:t>
      </w:r>
      <w:r w:rsidR="000F4D16">
        <w:rPr>
          <w:lang w:val="en-US"/>
        </w:rPr>
        <w:t>on their way to</w:t>
      </w:r>
      <w:r w:rsidR="00FB7B41">
        <w:rPr>
          <w:lang w:val="en-US"/>
        </w:rPr>
        <w:t xml:space="preserve"> the</w:t>
      </w:r>
      <w:r w:rsidR="00FA5430">
        <w:rPr>
          <w:lang w:val="en-US"/>
        </w:rPr>
        <w:t xml:space="preserve"> mosque. </w:t>
      </w:r>
      <w:r w:rsidR="000F4D16">
        <w:rPr>
          <w:lang w:val="en-US"/>
        </w:rPr>
        <w:t>In addition, three days after an Ahmadi couple married, the bride’s husband, father and father-in-law were all killed due to their faith.</w:t>
      </w:r>
      <w:r w:rsidR="00F67E96" w:rsidRPr="00F67E96">
        <w:rPr>
          <w:lang w:val="en-US"/>
        </w:rPr>
        <w:t xml:space="preserve"> </w:t>
      </w:r>
      <w:r w:rsidR="00664B53">
        <w:rPr>
          <w:lang w:val="en-US"/>
        </w:rPr>
        <w:t>B</w:t>
      </w:r>
      <w:r w:rsidR="00D359B0">
        <w:rPr>
          <w:lang w:val="en-US"/>
        </w:rPr>
        <w:t>ecause “</w:t>
      </w:r>
      <w:r w:rsidR="00F67E96" w:rsidRPr="00F67E96">
        <w:rPr>
          <w:lang w:val="en-US"/>
        </w:rPr>
        <w:t>the situation was getting worse</w:t>
      </w:r>
      <w:r w:rsidR="00F67E96">
        <w:rPr>
          <w:lang w:val="en-US"/>
        </w:rPr>
        <w:t>”</w:t>
      </w:r>
      <w:r w:rsidR="00FB7B41">
        <w:rPr>
          <w:lang w:val="en-US"/>
        </w:rPr>
        <w:t>,</w:t>
      </w:r>
      <w:r w:rsidR="00F67E96" w:rsidRPr="00F67E96">
        <w:rPr>
          <w:lang w:val="en-US"/>
        </w:rPr>
        <w:t xml:space="preserve"> </w:t>
      </w:r>
      <w:r w:rsidR="005529FF">
        <w:rPr>
          <w:lang w:val="en-US"/>
        </w:rPr>
        <w:t>the authors</w:t>
      </w:r>
      <w:r w:rsidR="00F67E96" w:rsidRPr="00F67E96">
        <w:rPr>
          <w:lang w:val="en-US"/>
        </w:rPr>
        <w:t xml:space="preserve"> de</w:t>
      </w:r>
      <w:r w:rsidR="00D359B0">
        <w:rPr>
          <w:lang w:val="en-US"/>
        </w:rPr>
        <w:t>cided to leave Pakistan in 2012.</w:t>
      </w:r>
      <w:r w:rsidR="00664B53" w:rsidRPr="00A35864">
        <w:rPr>
          <w:rStyle w:val="FootnoteReference"/>
        </w:rPr>
        <w:footnoteReference w:id="5"/>
      </w:r>
      <w:r w:rsidR="00D359B0">
        <w:rPr>
          <w:lang w:val="en-US"/>
        </w:rPr>
        <w:t xml:space="preserve"> </w:t>
      </w:r>
    </w:p>
    <w:p w:rsidR="00C63ADF" w:rsidRPr="00B7766D" w:rsidRDefault="00D73BA8" w:rsidP="00D73BA8">
      <w:pPr>
        <w:pStyle w:val="SingleTxtG"/>
      </w:pPr>
      <w:r>
        <w:rPr>
          <w:lang w:val="en-US"/>
        </w:rPr>
        <w:t>2.</w:t>
      </w:r>
      <w:r w:rsidR="00AF27E7">
        <w:rPr>
          <w:lang w:val="en-US"/>
        </w:rPr>
        <w:t>3</w:t>
      </w:r>
      <w:r>
        <w:rPr>
          <w:lang w:val="en-US"/>
        </w:rPr>
        <w:tab/>
      </w:r>
      <w:r w:rsidR="000947BA">
        <w:rPr>
          <w:lang w:val="en-US"/>
        </w:rPr>
        <w:t>T</w:t>
      </w:r>
      <w:r w:rsidR="0084573D">
        <w:rPr>
          <w:lang w:val="en-US"/>
        </w:rPr>
        <w:t>he authors</w:t>
      </w:r>
      <w:r w:rsidR="005704C8">
        <w:rPr>
          <w:lang w:val="en-US"/>
        </w:rPr>
        <w:t xml:space="preserve"> </w:t>
      </w:r>
      <w:r w:rsidR="00F67E96" w:rsidRPr="00F67E96">
        <w:rPr>
          <w:lang w:val="en-US"/>
        </w:rPr>
        <w:t>entered</w:t>
      </w:r>
      <w:r w:rsidR="005704C8">
        <w:rPr>
          <w:lang w:val="en-US"/>
        </w:rPr>
        <w:t xml:space="preserve"> </w:t>
      </w:r>
      <w:r w:rsidR="000947BA">
        <w:rPr>
          <w:lang w:val="en-US"/>
        </w:rPr>
        <w:t>Denmark</w:t>
      </w:r>
      <w:r w:rsidR="00F67E96" w:rsidRPr="00F67E96">
        <w:rPr>
          <w:lang w:val="en-US"/>
        </w:rPr>
        <w:t xml:space="preserve"> on a family visit visa</w:t>
      </w:r>
      <w:r w:rsidR="000947BA">
        <w:rPr>
          <w:lang w:val="en-US"/>
        </w:rPr>
        <w:t>, as one of their sons resides there</w:t>
      </w:r>
      <w:r w:rsidR="00D359B0">
        <w:rPr>
          <w:lang w:val="en-US"/>
        </w:rPr>
        <w:t>.</w:t>
      </w:r>
      <w:r>
        <w:rPr>
          <w:lang w:val="en-US"/>
        </w:rPr>
        <w:t xml:space="preserve"> </w:t>
      </w:r>
      <w:r w:rsidR="0084573D">
        <w:t>Concerning the exhaustion of domestic remedies, t</w:t>
      </w:r>
      <w:r w:rsidR="00BA32EC">
        <w:t>he authors’ asylum application was denied and</w:t>
      </w:r>
      <w:r w:rsidR="00FB7B41">
        <w:t>,</w:t>
      </w:r>
      <w:r w:rsidR="00BA32EC">
        <w:t xml:space="preserve"> o</w:t>
      </w:r>
      <w:r w:rsidR="00F624B7">
        <w:t xml:space="preserve">n 19 August 2013, the </w:t>
      </w:r>
      <w:r w:rsidR="00C63ADF">
        <w:t xml:space="preserve">Refugee Appeals Board </w:t>
      </w:r>
      <w:r w:rsidR="007C1291">
        <w:t>denied</w:t>
      </w:r>
      <w:r w:rsidR="00C63ADF">
        <w:t xml:space="preserve"> </w:t>
      </w:r>
      <w:r w:rsidR="00BA32EC">
        <w:t>their appeal of th</w:t>
      </w:r>
      <w:r w:rsidR="00FB7B41">
        <w:t>at</w:t>
      </w:r>
      <w:r w:rsidR="00BA32EC">
        <w:t xml:space="preserve"> decision.</w:t>
      </w:r>
      <w:r w:rsidR="00377C0B">
        <w:t xml:space="preserve"> </w:t>
      </w:r>
      <w:r w:rsidR="000947BA">
        <w:rPr>
          <w:lang w:val="en-US"/>
        </w:rPr>
        <w:t>Danish law does not currently permit permanent residence on the basis of family reunification.</w:t>
      </w:r>
    </w:p>
    <w:p w:rsidR="00A40224" w:rsidRPr="00475C4F" w:rsidRDefault="00B61233" w:rsidP="00B61233">
      <w:pPr>
        <w:pStyle w:val="H23G"/>
      </w:pPr>
      <w:r>
        <w:tab/>
      </w:r>
      <w:r>
        <w:tab/>
      </w:r>
      <w:r w:rsidR="00A40224" w:rsidRPr="00475C4F">
        <w:t>The complaint</w:t>
      </w:r>
    </w:p>
    <w:p w:rsidR="00C63ADF" w:rsidRPr="00A766BB" w:rsidRDefault="00A40224" w:rsidP="00051600">
      <w:pPr>
        <w:pStyle w:val="SingleTxtG"/>
        <w:rPr>
          <w:b/>
        </w:rPr>
      </w:pPr>
      <w:r w:rsidRPr="00475C4F">
        <w:rPr>
          <w:lang w:val="en-US"/>
        </w:rPr>
        <w:t>3.1</w:t>
      </w:r>
      <w:r w:rsidRPr="00475C4F">
        <w:rPr>
          <w:lang w:val="en-US"/>
        </w:rPr>
        <w:tab/>
      </w:r>
      <w:r w:rsidR="00CA4135" w:rsidRPr="00CA4135">
        <w:t xml:space="preserve">The authors </w:t>
      </w:r>
      <w:r w:rsidR="00BA32EC">
        <w:t>assert</w:t>
      </w:r>
      <w:r w:rsidR="00CA4135" w:rsidRPr="00CA4135">
        <w:t xml:space="preserve"> that Denmark would violate their rights under article 7 of the Covenant by forcibly returning them to Pakistan, </w:t>
      </w:r>
      <w:r w:rsidR="00C052ED">
        <w:t>where they would</w:t>
      </w:r>
      <w:r w:rsidR="00CA4135" w:rsidRPr="00CA4135">
        <w:t xml:space="preserve"> be p</w:t>
      </w:r>
      <w:r w:rsidR="00C052ED">
        <w:t xml:space="preserve">ersecuted because </w:t>
      </w:r>
      <w:r w:rsidR="00C052ED">
        <w:lastRenderedPageBreak/>
        <w:t xml:space="preserve">they </w:t>
      </w:r>
      <w:r w:rsidR="00BB13C2">
        <w:t>are Ahmadi Muslims. T</w:t>
      </w:r>
      <w:r w:rsidR="00CA4135" w:rsidRPr="00CA4135">
        <w:t xml:space="preserve">he rights of </w:t>
      </w:r>
      <w:r w:rsidR="005516AE">
        <w:t>Ahmadis</w:t>
      </w:r>
      <w:r w:rsidR="00CA4135" w:rsidRPr="00CA4135">
        <w:t xml:space="preserve"> are systematically violated in Pakistan.</w:t>
      </w:r>
      <w:r w:rsidR="00CA4135" w:rsidRPr="00A35864">
        <w:rPr>
          <w:rStyle w:val="FootnoteReference"/>
        </w:rPr>
        <w:footnoteReference w:id="6"/>
      </w:r>
      <w:r w:rsidR="00CA4135" w:rsidRPr="00CA4135">
        <w:t xml:space="preserve"> </w:t>
      </w:r>
      <w:r w:rsidR="00FF0380" w:rsidRPr="00CA4135">
        <w:t xml:space="preserve">The authors </w:t>
      </w:r>
      <w:r w:rsidR="00FF0380">
        <w:t>fear that</w:t>
      </w:r>
      <w:r w:rsidR="007E57CE">
        <w:t>,</w:t>
      </w:r>
      <w:r w:rsidR="00FF0380" w:rsidRPr="00CA4135">
        <w:t xml:space="preserve"> </w:t>
      </w:r>
      <w:r w:rsidR="00FF0380">
        <w:t xml:space="preserve">due to their faith, </w:t>
      </w:r>
      <w:r w:rsidR="00C33602">
        <w:t>the authorities in Pakistan</w:t>
      </w:r>
      <w:r w:rsidR="00FF0380" w:rsidRPr="00CA4135">
        <w:t xml:space="preserve"> </w:t>
      </w:r>
      <w:r w:rsidR="00FF0380">
        <w:t>would</w:t>
      </w:r>
      <w:r w:rsidR="00FF0380" w:rsidRPr="00CA4135">
        <w:t xml:space="preserve"> not protect them </w:t>
      </w:r>
      <w:r w:rsidR="00FF0380">
        <w:t>from persecution.</w:t>
      </w:r>
      <w:r w:rsidR="00FF0380" w:rsidRPr="00425EF1">
        <w:rPr>
          <w:rFonts w:ascii="Calibri-Bold" w:hAnsi="Calibri-Bold" w:cs="Calibri-Bold"/>
          <w:sz w:val="21"/>
          <w:szCs w:val="21"/>
          <w:lang w:val="en-US" w:eastAsia="en-GB"/>
        </w:rPr>
        <w:t xml:space="preserve"> </w:t>
      </w:r>
      <w:r w:rsidR="00CA4135" w:rsidRPr="00CA4135">
        <w:t xml:space="preserve">The authors </w:t>
      </w:r>
      <w:r w:rsidR="00C33602">
        <w:t>dispute</w:t>
      </w:r>
      <w:r w:rsidR="00796CA7">
        <w:t xml:space="preserve"> the conclusion</w:t>
      </w:r>
      <w:r w:rsidR="00FF0380">
        <w:t xml:space="preserve"> of the Refugee Appeals Board</w:t>
      </w:r>
      <w:r w:rsidR="00796CA7">
        <w:t xml:space="preserve"> that </w:t>
      </w:r>
      <w:r w:rsidR="00CA4135" w:rsidRPr="00CA4135">
        <w:t xml:space="preserve">generally difficult conditions for </w:t>
      </w:r>
      <w:r w:rsidR="00C052ED">
        <w:t>Ahmadis</w:t>
      </w:r>
      <w:r w:rsidR="00CA4135" w:rsidRPr="00CA4135">
        <w:t xml:space="preserve"> cannot </w:t>
      </w:r>
      <w:r w:rsidR="00FF0380">
        <w:t>serve as a ground for asylum</w:t>
      </w:r>
      <w:r w:rsidR="00796CA7">
        <w:t>.</w:t>
      </w:r>
      <w:r w:rsidR="00796CA7">
        <w:rPr>
          <w:vertAlign w:val="superscript"/>
        </w:rPr>
        <w:t xml:space="preserve"> </w:t>
      </w:r>
      <w:r w:rsidR="00FF0380">
        <w:t>The Board</w:t>
      </w:r>
      <w:r w:rsidR="00FF0380" w:rsidRPr="00CA4135">
        <w:t xml:space="preserve"> </w:t>
      </w:r>
      <w:r w:rsidR="00FF0380">
        <w:t xml:space="preserve">acknowledged </w:t>
      </w:r>
      <w:r w:rsidR="00FF0380" w:rsidRPr="00CA4135">
        <w:t xml:space="preserve">that </w:t>
      </w:r>
      <w:r w:rsidR="00FF0380">
        <w:t>Ahmadis</w:t>
      </w:r>
      <w:r w:rsidR="00FF0380" w:rsidRPr="00CA4135">
        <w:t xml:space="preserve"> </w:t>
      </w:r>
      <w:r w:rsidR="00FF0380">
        <w:t xml:space="preserve">in Pakistan </w:t>
      </w:r>
      <w:r w:rsidR="00FF0380" w:rsidRPr="00CA4135">
        <w:t>are subjected to threats, harassment and significant li</w:t>
      </w:r>
      <w:r w:rsidR="00FF0380">
        <w:t>mitations on the exercise of their faith</w:t>
      </w:r>
      <w:r w:rsidR="00FF0380" w:rsidRPr="00CA4135">
        <w:t xml:space="preserve">. </w:t>
      </w:r>
      <w:r w:rsidR="00137533">
        <w:t>T</w:t>
      </w:r>
      <w:r w:rsidR="00C8394D">
        <w:t xml:space="preserve">he </w:t>
      </w:r>
      <w:r w:rsidR="00CA4135" w:rsidRPr="00CA4135">
        <w:t xml:space="preserve">European </w:t>
      </w:r>
      <w:r w:rsidR="00664B53">
        <w:t>Court of Justice</w:t>
      </w:r>
      <w:r w:rsidR="00C8394D">
        <w:t xml:space="preserve"> has </w:t>
      </w:r>
      <w:r w:rsidR="00137533">
        <w:t>noted</w:t>
      </w:r>
      <w:r w:rsidR="00C8394D">
        <w:t xml:space="preserve"> that</w:t>
      </w:r>
      <w:r w:rsidR="00450F22">
        <w:t>,</w:t>
      </w:r>
      <w:r w:rsidR="00C8394D">
        <w:t xml:space="preserve"> </w:t>
      </w:r>
      <w:r w:rsidR="00CB58D3">
        <w:t xml:space="preserve">under </w:t>
      </w:r>
      <w:r w:rsidR="00EB643E">
        <w:t>the Penal Code in Pakistan</w:t>
      </w:r>
      <w:r w:rsidR="00CB58D3">
        <w:t>, t</w:t>
      </w:r>
      <w:r w:rsidR="00C8394D">
        <w:t xml:space="preserve">he </w:t>
      </w:r>
      <w:r w:rsidR="00F93314">
        <w:t>Ahmadi</w:t>
      </w:r>
      <w:r w:rsidR="00C8394D">
        <w:t xml:space="preserve"> Muslim </w:t>
      </w:r>
      <w:r w:rsidR="00BB13C2">
        <w:t>religion</w:t>
      </w:r>
      <w:r w:rsidR="00C8394D">
        <w:t xml:space="preserve"> </w:t>
      </w:r>
      <w:r w:rsidR="00CB58D3">
        <w:t>is</w:t>
      </w:r>
      <w:r w:rsidR="00C8394D">
        <w:t xml:space="preserve"> punishable by three years of imprisonment</w:t>
      </w:r>
      <w:r w:rsidR="00CB58D3">
        <w:t xml:space="preserve"> and proselytizing the religion i</w:t>
      </w:r>
      <w:r w:rsidR="00662ADC">
        <w:t>s p</w:t>
      </w:r>
      <w:r w:rsidR="00C8394D">
        <w:t>unishable by death</w:t>
      </w:r>
      <w:r w:rsidR="00CA4135" w:rsidRPr="00CA4135">
        <w:t>.</w:t>
      </w:r>
      <w:r w:rsidR="00CA4135" w:rsidRPr="00A35864">
        <w:rPr>
          <w:rStyle w:val="FootnoteReference"/>
        </w:rPr>
        <w:footnoteReference w:id="7"/>
      </w:r>
    </w:p>
    <w:p w:rsidR="00CA4135" w:rsidRPr="00CA4135" w:rsidRDefault="000C4972" w:rsidP="00CA4135">
      <w:pPr>
        <w:pStyle w:val="SingleTxtG"/>
      </w:pPr>
      <w:r>
        <w:t>3.2</w:t>
      </w:r>
      <w:r>
        <w:tab/>
      </w:r>
      <w:r w:rsidR="00730436">
        <w:t>T</w:t>
      </w:r>
      <w:r>
        <w:t>he authors’ removal</w:t>
      </w:r>
      <w:r w:rsidR="00CA4135" w:rsidRPr="00CA4135">
        <w:t xml:space="preserve"> to Pakistan would </w:t>
      </w:r>
      <w:r w:rsidR="00730436">
        <w:t xml:space="preserve">also </w:t>
      </w:r>
      <w:r w:rsidR="00CA4135" w:rsidRPr="00CA4135">
        <w:t xml:space="preserve">constitute a violation of article 18 of the Covenant, because </w:t>
      </w:r>
      <w:r w:rsidR="00B07DC4">
        <w:t>they</w:t>
      </w:r>
      <w:r w:rsidR="00CA4135" w:rsidRPr="00CA4135">
        <w:t xml:space="preserve"> would be unable to display their religion in public without fear of </w:t>
      </w:r>
      <w:r w:rsidR="00C33602">
        <w:t>persecution</w:t>
      </w:r>
      <w:r w:rsidR="00777F4B">
        <w:t>.</w:t>
      </w:r>
    </w:p>
    <w:p w:rsidR="00CA4135" w:rsidRPr="00CA4135" w:rsidRDefault="00CA4135" w:rsidP="00051600">
      <w:pPr>
        <w:pStyle w:val="SingleTxtG"/>
      </w:pPr>
      <w:r w:rsidRPr="00CA4135">
        <w:t>3.3</w:t>
      </w:r>
      <w:r w:rsidRPr="00CA4135">
        <w:tab/>
      </w:r>
      <w:r w:rsidR="00C33602">
        <w:t>Further</w:t>
      </w:r>
      <w:r w:rsidR="00450F22">
        <w:t>more</w:t>
      </w:r>
      <w:r w:rsidR="00C33602">
        <w:t>, th</w:t>
      </w:r>
      <w:r w:rsidR="00AE45D2">
        <w:t>e State</w:t>
      </w:r>
      <w:r w:rsidRPr="00CA4135">
        <w:t xml:space="preserve"> party has violated</w:t>
      </w:r>
      <w:r>
        <w:t xml:space="preserve"> </w:t>
      </w:r>
      <w:r w:rsidR="000C4972">
        <w:t>the authors’</w:t>
      </w:r>
      <w:r>
        <w:t xml:space="preserve"> rights under</w:t>
      </w:r>
      <w:r w:rsidRPr="00CA4135">
        <w:t xml:space="preserve"> article 14 of the Covenant </w:t>
      </w:r>
      <w:r w:rsidR="00B07DC4">
        <w:t xml:space="preserve">by failing to </w:t>
      </w:r>
      <w:r w:rsidR="00730436">
        <w:t xml:space="preserve">provide a procedural mechanism to appeal </w:t>
      </w:r>
      <w:r w:rsidR="000C4972">
        <w:t xml:space="preserve">negative decisions of the Refugee Appeals Board. </w:t>
      </w:r>
      <w:r w:rsidR="0034300F">
        <w:t>Certain other countries allow</w:t>
      </w:r>
      <w:r w:rsidRPr="00CA4135">
        <w:t xml:space="preserve"> appeal</w:t>
      </w:r>
      <w:r w:rsidR="0034300F">
        <w:t>s of</w:t>
      </w:r>
      <w:r w:rsidR="00847AB6">
        <w:t xml:space="preserve"> negative asylum decisions</w:t>
      </w:r>
      <w:r w:rsidRPr="00CA4135">
        <w:t xml:space="preserve"> </w:t>
      </w:r>
      <w:r w:rsidR="00450F22">
        <w:t xml:space="preserve">before </w:t>
      </w:r>
      <w:r w:rsidR="00847AB6">
        <w:t>judicial</w:t>
      </w:r>
      <w:r w:rsidRPr="00CA4135">
        <w:t xml:space="preserve"> courts and even the </w:t>
      </w:r>
      <w:r>
        <w:t xml:space="preserve">European </w:t>
      </w:r>
      <w:r w:rsidR="00366D6A">
        <w:t xml:space="preserve">Court of </w:t>
      </w:r>
      <w:r w:rsidR="00366D6A" w:rsidRPr="00B60510">
        <w:t>Justice.</w:t>
      </w:r>
    </w:p>
    <w:p w:rsidR="00A40224" w:rsidRPr="00B47483" w:rsidRDefault="00B61233" w:rsidP="00051600">
      <w:pPr>
        <w:pStyle w:val="H23G"/>
      </w:pPr>
      <w:r>
        <w:tab/>
      </w:r>
      <w:r>
        <w:tab/>
      </w:r>
      <w:r w:rsidR="00A40224" w:rsidRPr="00475C4F">
        <w:t xml:space="preserve">State party’s observations </w:t>
      </w:r>
      <w:r w:rsidR="00A40224">
        <w:t xml:space="preserve">on </w:t>
      </w:r>
      <w:r w:rsidR="000B4C5A">
        <w:t xml:space="preserve">admissibility and </w:t>
      </w:r>
      <w:r w:rsidR="00450F22">
        <w:t xml:space="preserve">the </w:t>
      </w:r>
      <w:r w:rsidR="00A40224">
        <w:t>merits</w:t>
      </w:r>
    </w:p>
    <w:p w:rsidR="00D71E90" w:rsidRDefault="00A40224" w:rsidP="00051600">
      <w:pPr>
        <w:pStyle w:val="SingleTxtG"/>
        <w:rPr>
          <w:lang w:val="en-US"/>
        </w:rPr>
      </w:pPr>
      <w:r w:rsidRPr="00475C4F">
        <w:rPr>
          <w:lang w:val="en-US"/>
        </w:rPr>
        <w:t>4.1</w:t>
      </w:r>
      <w:r w:rsidRPr="00475C4F">
        <w:rPr>
          <w:lang w:val="en-US"/>
        </w:rPr>
        <w:tab/>
      </w:r>
      <w:r w:rsidR="008E7D45">
        <w:t>In its observations dated</w:t>
      </w:r>
      <w:r w:rsidR="00DD7FB0" w:rsidRPr="00DD7FB0">
        <w:t xml:space="preserve"> 23 April 2014, the State party </w:t>
      </w:r>
      <w:r w:rsidR="003F17D3">
        <w:t>indicates</w:t>
      </w:r>
      <w:r w:rsidR="003F17D3">
        <w:rPr>
          <w:lang w:val="en-US"/>
        </w:rPr>
        <w:t xml:space="preserve"> that</w:t>
      </w:r>
      <w:r w:rsidR="006602D9">
        <w:rPr>
          <w:lang w:val="en-US"/>
        </w:rPr>
        <w:t xml:space="preserve"> </w:t>
      </w:r>
      <w:r w:rsidR="00DC459C">
        <w:rPr>
          <w:lang w:val="en-US"/>
        </w:rPr>
        <w:t xml:space="preserve">the authors entered </w:t>
      </w:r>
      <w:r w:rsidR="003F17D3">
        <w:rPr>
          <w:lang w:val="en-US"/>
        </w:rPr>
        <w:t>Denmark</w:t>
      </w:r>
      <w:r w:rsidR="006602D9">
        <w:rPr>
          <w:lang w:val="en-US"/>
        </w:rPr>
        <w:t xml:space="preserve"> on 16 November 2012</w:t>
      </w:r>
      <w:r w:rsidR="00DC459C">
        <w:rPr>
          <w:lang w:val="en-US"/>
        </w:rPr>
        <w:t xml:space="preserve"> using valid national passports with one-month Schengen visas issued at the Danish Embassy in Islamabad. On 1 December 2012, they applied for asylum. </w:t>
      </w:r>
      <w:r w:rsidR="00873C33">
        <w:rPr>
          <w:lang w:val="en-US"/>
        </w:rPr>
        <w:t xml:space="preserve">In their application, they stated that they </w:t>
      </w:r>
      <w:r w:rsidR="00DF6601">
        <w:rPr>
          <w:lang w:val="en-US"/>
        </w:rPr>
        <w:t>had obtained</w:t>
      </w:r>
      <w:r w:rsidR="00873C33">
        <w:rPr>
          <w:lang w:val="en-US"/>
        </w:rPr>
        <w:t xml:space="preserve"> </w:t>
      </w:r>
      <w:r w:rsidR="006602D9">
        <w:rPr>
          <w:lang w:val="en-US"/>
        </w:rPr>
        <w:t xml:space="preserve">the </w:t>
      </w:r>
      <w:r w:rsidR="00873C33">
        <w:rPr>
          <w:lang w:val="en-US"/>
        </w:rPr>
        <w:t xml:space="preserve">visas because they </w:t>
      </w:r>
      <w:r w:rsidR="004005C9">
        <w:rPr>
          <w:lang w:val="en-US"/>
        </w:rPr>
        <w:t xml:space="preserve">had </w:t>
      </w:r>
      <w:r w:rsidR="00873C33">
        <w:rPr>
          <w:lang w:val="en-US"/>
        </w:rPr>
        <w:t xml:space="preserve">wished to visit their son. </w:t>
      </w:r>
      <w:r w:rsidR="00534314">
        <w:rPr>
          <w:lang w:val="en-US"/>
        </w:rPr>
        <w:t xml:space="preserve">During his interview with the Danish Immigration Service, the male author stated that it was only during his stay in Denmark that he </w:t>
      </w:r>
      <w:r w:rsidR="00450F22">
        <w:rPr>
          <w:lang w:val="en-US"/>
        </w:rPr>
        <w:t xml:space="preserve">had </w:t>
      </w:r>
      <w:r w:rsidR="00534314">
        <w:rPr>
          <w:lang w:val="en-US"/>
        </w:rPr>
        <w:t>bec</w:t>
      </w:r>
      <w:r w:rsidR="00450F22">
        <w:rPr>
          <w:lang w:val="en-US"/>
        </w:rPr>
        <w:t>o</w:t>
      </w:r>
      <w:r w:rsidR="00534314">
        <w:rPr>
          <w:lang w:val="en-US"/>
        </w:rPr>
        <w:t xml:space="preserve">me aware that the female author intended to apply for asylum </w:t>
      </w:r>
      <w:r w:rsidR="00DF6601">
        <w:rPr>
          <w:lang w:val="en-US"/>
        </w:rPr>
        <w:t xml:space="preserve">there and </w:t>
      </w:r>
      <w:r w:rsidR="00534314">
        <w:rPr>
          <w:lang w:val="en-US"/>
        </w:rPr>
        <w:t>that</w:t>
      </w:r>
      <w:r w:rsidR="00450F22">
        <w:rPr>
          <w:lang w:val="en-US"/>
        </w:rPr>
        <w:t>,</w:t>
      </w:r>
      <w:r w:rsidR="00534314">
        <w:rPr>
          <w:lang w:val="en-US"/>
        </w:rPr>
        <w:t xml:space="preserve"> after discussing the situation in Pakistan with their son, they</w:t>
      </w:r>
      <w:r w:rsidR="00450F22">
        <w:rPr>
          <w:lang w:val="en-US"/>
        </w:rPr>
        <w:t xml:space="preserve"> had</w:t>
      </w:r>
      <w:r w:rsidR="00534314">
        <w:rPr>
          <w:lang w:val="en-US"/>
        </w:rPr>
        <w:t xml:space="preserve"> agreed </w:t>
      </w:r>
      <w:r w:rsidR="00DF6601">
        <w:rPr>
          <w:lang w:val="en-US"/>
        </w:rPr>
        <w:t>on th</w:t>
      </w:r>
      <w:r w:rsidR="00450F22">
        <w:rPr>
          <w:lang w:val="en-US"/>
        </w:rPr>
        <w:t>at</w:t>
      </w:r>
      <w:r w:rsidR="00DF6601">
        <w:rPr>
          <w:lang w:val="en-US"/>
        </w:rPr>
        <w:t xml:space="preserve"> course of action. </w:t>
      </w:r>
      <w:r w:rsidR="00534314">
        <w:rPr>
          <w:lang w:val="en-US"/>
        </w:rPr>
        <w:t xml:space="preserve">The female author </w:t>
      </w:r>
      <w:r w:rsidR="00CC4558">
        <w:rPr>
          <w:lang w:val="en-US"/>
        </w:rPr>
        <w:t xml:space="preserve">also </w:t>
      </w:r>
      <w:r w:rsidR="00534314">
        <w:rPr>
          <w:lang w:val="en-US"/>
        </w:rPr>
        <w:t xml:space="preserve">stated that </w:t>
      </w:r>
      <w:r w:rsidR="00CC4558">
        <w:rPr>
          <w:lang w:val="en-US"/>
        </w:rPr>
        <w:t xml:space="preserve">they did not apply for asylum immediately because </w:t>
      </w:r>
      <w:r w:rsidR="00534314">
        <w:rPr>
          <w:lang w:val="en-US"/>
        </w:rPr>
        <w:t xml:space="preserve">she had not informed the male author of her intention to </w:t>
      </w:r>
      <w:r w:rsidR="00CF7B21">
        <w:rPr>
          <w:lang w:val="en-US"/>
        </w:rPr>
        <w:t>do so</w:t>
      </w:r>
      <w:r w:rsidR="00534314">
        <w:rPr>
          <w:lang w:val="en-US"/>
        </w:rPr>
        <w:t xml:space="preserve"> </w:t>
      </w:r>
      <w:r w:rsidR="00CC4558">
        <w:rPr>
          <w:lang w:val="en-US"/>
        </w:rPr>
        <w:t xml:space="preserve">until after their arrival </w:t>
      </w:r>
      <w:r w:rsidR="00450F22">
        <w:rPr>
          <w:lang w:val="en-US"/>
        </w:rPr>
        <w:t xml:space="preserve">in </w:t>
      </w:r>
      <w:r w:rsidR="00CC4558">
        <w:rPr>
          <w:lang w:val="en-US"/>
        </w:rPr>
        <w:t>Denmark</w:t>
      </w:r>
      <w:r w:rsidR="00534314">
        <w:rPr>
          <w:lang w:val="en-US"/>
        </w:rPr>
        <w:t xml:space="preserve">. </w:t>
      </w:r>
      <w:r w:rsidR="006602D9">
        <w:rPr>
          <w:lang w:val="en-US"/>
        </w:rPr>
        <w:t xml:space="preserve">When asked if it was correct that the male author had no intention of applying for asylum in Denmark when they left </w:t>
      </w:r>
      <w:r w:rsidR="00D6002A">
        <w:rPr>
          <w:lang w:val="en-US"/>
        </w:rPr>
        <w:t>Pakistan</w:t>
      </w:r>
      <w:r w:rsidR="006602D9">
        <w:rPr>
          <w:lang w:val="en-US"/>
        </w:rPr>
        <w:t>, the female author confirmed</w:t>
      </w:r>
      <w:r w:rsidR="00450F22">
        <w:rPr>
          <w:lang w:val="en-US"/>
        </w:rPr>
        <w:t xml:space="preserve"> that</w:t>
      </w:r>
      <w:r w:rsidR="006602D9">
        <w:rPr>
          <w:lang w:val="en-US"/>
        </w:rPr>
        <w:t xml:space="preserve"> and </w:t>
      </w:r>
      <w:r w:rsidR="00534314">
        <w:rPr>
          <w:lang w:val="en-US"/>
        </w:rPr>
        <w:t xml:space="preserve">stated that she </w:t>
      </w:r>
      <w:r w:rsidR="00CC4558">
        <w:rPr>
          <w:lang w:val="en-US"/>
        </w:rPr>
        <w:t xml:space="preserve">had </w:t>
      </w:r>
      <w:r w:rsidR="00534314">
        <w:rPr>
          <w:lang w:val="en-US"/>
        </w:rPr>
        <w:t xml:space="preserve">needed time to </w:t>
      </w:r>
      <w:r w:rsidR="00D6002A">
        <w:rPr>
          <w:lang w:val="en-US"/>
        </w:rPr>
        <w:t xml:space="preserve">persuade the male author to agree to </w:t>
      </w:r>
      <w:r w:rsidR="00450F22">
        <w:rPr>
          <w:lang w:val="en-US"/>
        </w:rPr>
        <w:t>it</w:t>
      </w:r>
      <w:r w:rsidR="00D6002A">
        <w:rPr>
          <w:lang w:val="en-US"/>
        </w:rPr>
        <w:t>.</w:t>
      </w:r>
      <w:r w:rsidR="00534314">
        <w:rPr>
          <w:lang w:val="en-US"/>
        </w:rPr>
        <w:t xml:space="preserve"> </w:t>
      </w:r>
    </w:p>
    <w:p w:rsidR="002241D1" w:rsidRDefault="00D71E90" w:rsidP="00051600">
      <w:pPr>
        <w:pStyle w:val="SingleTxtG"/>
        <w:rPr>
          <w:lang w:val="en-US"/>
        </w:rPr>
      </w:pPr>
      <w:r w:rsidRPr="00A71FA9">
        <w:rPr>
          <w:lang w:val="en-US"/>
        </w:rPr>
        <w:t>4.2</w:t>
      </w:r>
      <w:r w:rsidRPr="00A71FA9">
        <w:rPr>
          <w:lang w:val="en-US"/>
        </w:rPr>
        <w:tab/>
      </w:r>
      <w:r w:rsidR="00CA4AE0">
        <w:rPr>
          <w:lang w:val="en-US"/>
        </w:rPr>
        <w:t>Concerning the authors’ reasons for leaving Pakistan, on</w:t>
      </w:r>
      <w:r w:rsidR="00490501">
        <w:rPr>
          <w:lang w:val="en-US"/>
        </w:rPr>
        <w:t xml:space="preserve"> his asylum application, t</w:t>
      </w:r>
      <w:r w:rsidR="00CA4AE0">
        <w:rPr>
          <w:lang w:val="en-US"/>
        </w:rPr>
        <w:t>he male author</w:t>
      </w:r>
      <w:r w:rsidR="00765D73">
        <w:rPr>
          <w:lang w:val="en-US"/>
        </w:rPr>
        <w:t xml:space="preserve"> </w:t>
      </w:r>
      <w:r w:rsidR="00576D81">
        <w:rPr>
          <w:lang w:val="en-US"/>
        </w:rPr>
        <w:t>claimed</w:t>
      </w:r>
      <w:r w:rsidR="00765D73">
        <w:rPr>
          <w:lang w:val="en-US"/>
        </w:rPr>
        <w:t xml:space="preserve"> that imams </w:t>
      </w:r>
      <w:r w:rsidR="002241D1">
        <w:rPr>
          <w:lang w:val="en-US"/>
        </w:rPr>
        <w:t>were turning people</w:t>
      </w:r>
      <w:r w:rsidR="00765D73">
        <w:rPr>
          <w:lang w:val="en-US"/>
        </w:rPr>
        <w:t xml:space="preserve"> against Ahmadis. He stated that he had encountered problems with the authorities and </w:t>
      </w:r>
      <w:r w:rsidR="00490501">
        <w:rPr>
          <w:lang w:val="en-US"/>
        </w:rPr>
        <w:t xml:space="preserve">unspecified </w:t>
      </w:r>
      <w:r w:rsidR="00765D73">
        <w:rPr>
          <w:lang w:val="en-US"/>
        </w:rPr>
        <w:t xml:space="preserve">private individuals in </w:t>
      </w:r>
      <w:r w:rsidR="002241D1">
        <w:rPr>
          <w:lang w:val="en-US"/>
        </w:rPr>
        <w:t>Pakistan and had been subjected to harassment.</w:t>
      </w:r>
      <w:r w:rsidR="00765D73">
        <w:rPr>
          <w:lang w:val="en-US"/>
        </w:rPr>
        <w:t xml:space="preserve"> </w:t>
      </w:r>
      <w:r w:rsidR="002241D1">
        <w:rPr>
          <w:lang w:val="en-US"/>
        </w:rPr>
        <w:t>On her asylum application, t</w:t>
      </w:r>
      <w:r w:rsidR="007267F8">
        <w:rPr>
          <w:lang w:val="en-US"/>
        </w:rPr>
        <w:t>he female author stated that mullahs in Pakistan ha</w:t>
      </w:r>
      <w:r w:rsidR="004B0B46">
        <w:rPr>
          <w:lang w:val="en-US"/>
        </w:rPr>
        <w:t xml:space="preserve">d damned the authors in mosques, </w:t>
      </w:r>
      <w:r w:rsidR="007267F8">
        <w:rPr>
          <w:lang w:val="en-US"/>
        </w:rPr>
        <w:t>spoken ill of them, instructed the authors’ employees</w:t>
      </w:r>
      <w:r w:rsidR="00DE5BA6">
        <w:rPr>
          <w:lang w:val="en-US"/>
        </w:rPr>
        <w:t xml:space="preserve"> to quit their jobs</w:t>
      </w:r>
      <w:r w:rsidR="007267F8">
        <w:rPr>
          <w:lang w:val="en-US"/>
        </w:rPr>
        <w:t xml:space="preserve"> and told others not to patronize the authors’ </w:t>
      </w:r>
      <w:r w:rsidR="000870FC">
        <w:rPr>
          <w:lang w:val="en-US"/>
        </w:rPr>
        <w:t>business</w:t>
      </w:r>
      <w:r w:rsidR="007267F8">
        <w:rPr>
          <w:lang w:val="en-US"/>
        </w:rPr>
        <w:t xml:space="preserve">. </w:t>
      </w:r>
      <w:r w:rsidR="008C24EC">
        <w:rPr>
          <w:lang w:val="en-US"/>
        </w:rPr>
        <w:t>Both authors claimed</w:t>
      </w:r>
      <w:r w:rsidR="0074664B">
        <w:rPr>
          <w:lang w:val="en-US"/>
        </w:rPr>
        <w:t xml:space="preserve"> on their applications</w:t>
      </w:r>
      <w:r w:rsidR="008C24EC">
        <w:rPr>
          <w:lang w:val="en-US"/>
        </w:rPr>
        <w:t xml:space="preserve"> </w:t>
      </w:r>
      <w:r w:rsidR="00765D73">
        <w:rPr>
          <w:lang w:val="en-US"/>
        </w:rPr>
        <w:t xml:space="preserve">that they </w:t>
      </w:r>
      <w:r w:rsidR="008C24EC">
        <w:rPr>
          <w:lang w:val="en-US"/>
        </w:rPr>
        <w:t xml:space="preserve">had received </w:t>
      </w:r>
      <w:r w:rsidR="002241D1">
        <w:rPr>
          <w:lang w:val="en-US"/>
        </w:rPr>
        <w:t>threats that they would be killed if they did not leave the country or renounce their religion</w:t>
      </w:r>
      <w:r w:rsidR="00594377" w:rsidRPr="00CD4BDD">
        <w:rPr>
          <w:lang w:val="en-US"/>
        </w:rPr>
        <w:t>.</w:t>
      </w:r>
      <w:r w:rsidR="00777F4B">
        <w:rPr>
          <w:lang w:val="en-US"/>
        </w:rPr>
        <w:t xml:space="preserve"> </w:t>
      </w:r>
      <w:r w:rsidR="00CD3313">
        <w:rPr>
          <w:lang w:val="en-US"/>
        </w:rPr>
        <w:t>During their interviews with the</w:t>
      </w:r>
      <w:r w:rsidR="00450F22">
        <w:rPr>
          <w:lang w:val="en-US"/>
        </w:rPr>
        <w:t xml:space="preserve"> Danish Immigration</w:t>
      </w:r>
      <w:r w:rsidR="00CD3313">
        <w:rPr>
          <w:lang w:val="en-US"/>
        </w:rPr>
        <w:t xml:space="preserve"> Service, the male author stated that the authors had received </w:t>
      </w:r>
      <w:r w:rsidR="00B359D6">
        <w:rPr>
          <w:lang w:val="en-US"/>
        </w:rPr>
        <w:t>anonymous</w:t>
      </w:r>
      <w:r w:rsidR="00450F22">
        <w:rPr>
          <w:lang w:val="en-US"/>
        </w:rPr>
        <w:t>,</w:t>
      </w:r>
      <w:r w:rsidR="00B359D6">
        <w:rPr>
          <w:lang w:val="en-US"/>
        </w:rPr>
        <w:t xml:space="preserve"> </w:t>
      </w:r>
      <w:r w:rsidR="00CD3313">
        <w:rPr>
          <w:lang w:val="en-US"/>
        </w:rPr>
        <w:t>threatening letters every 10 to 15 days, beginning approximately four to six months before their departure. The female author stated that the first letter had arrived in June 2012 (i.e.</w:t>
      </w:r>
      <w:r w:rsidR="00450F22">
        <w:rPr>
          <w:lang w:val="en-US"/>
        </w:rPr>
        <w:t>,</w:t>
      </w:r>
      <w:r w:rsidR="00CD3313">
        <w:rPr>
          <w:lang w:val="en-US"/>
        </w:rPr>
        <w:t xml:space="preserve"> about four to five months before their departure) and that subsequent letters had arrived thereafter about once or twice a month. She further stated that the letters had been placed in their garage </w:t>
      </w:r>
      <w:r w:rsidR="00B359D6">
        <w:rPr>
          <w:lang w:val="en-US"/>
        </w:rPr>
        <w:t>at night</w:t>
      </w:r>
      <w:r w:rsidR="00450F22">
        <w:rPr>
          <w:lang w:val="en-US"/>
        </w:rPr>
        <w:t>,</w:t>
      </w:r>
      <w:r w:rsidR="00B359D6">
        <w:rPr>
          <w:lang w:val="en-US"/>
        </w:rPr>
        <w:t xml:space="preserve"> </w:t>
      </w:r>
      <w:r w:rsidR="00CD3313">
        <w:rPr>
          <w:lang w:val="en-US"/>
        </w:rPr>
        <w:t xml:space="preserve">the authors had also received </w:t>
      </w:r>
      <w:r w:rsidR="00CD3313">
        <w:rPr>
          <w:lang w:val="en-US"/>
        </w:rPr>
        <w:lastRenderedPageBreak/>
        <w:t>them a</w:t>
      </w:r>
      <w:r w:rsidR="00B359D6">
        <w:rPr>
          <w:lang w:val="en-US"/>
        </w:rPr>
        <w:t>t their business and the last letter</w:t>
      </w:r>
      <w:r w:rsidR="00450F22">
        <w:rPr>
          <w:lang w:val="en-US"/>
        </w:rPr>
        <w:t xml:space="preserve"> had</w:t>
      </w:r>
      <w:r w:rsidR="00B359D6">
        <w:rPr>
          <w:lang w:val="en-US"/>
        </w:rPr>
        <w:t xml:space="preserve"> arrived about 10 days before they left Pakistan.</w:t>
      </w:r>
      <w:r w:rsidR="00CD3313">
        <w:rPr>
          <w:lang w:val="en-US"/>
        </w:rPr>
        <w:t xml:space="preserve"> </w:t>
      </w:r>
      <w:r w:rsidR="00FE1B0C">
        <w:rPr>
          <w:lang w:val="en-US"/>
        </w:rPr>
        <w:t xml:space="preserve">During the hearing before the Refugee Appeals Board, the female author stated that the first threat had arrived in early 2012, in the </w:t>
      </w:r>
      <w:r w:rsidR="00B2725E">
        <w:rPr>
          <w:lang w:val="en-US"/>
        </w:rPr>
        <w:t>form of a folded piece of paper</w:t>
      </w:r>
      <w:r w:rsidR="00FE1B0C">
        <w:rPr>
          <w:lang w:val="en-US"/>
        </w:rPr>
        <w:t xml:space="preserve"> left in front of their front door, and that several identical letters had arrived thereafter every </w:t>
      </w:r>
      <w:r w:rsidR="00450F22">
        <w:rPr>
          <w:lang w:val="en-US"/>
        </w:rPr>
        <w:t xml:space="preserve">7 </w:t>
      </w:r>
      <w:r w:rsidR="00FE1B0C">
        <w:rPr>
          <w:lang w:val="en-US"/>
        </w:rPr>
        <w:t xml:space="preserve">to 14 days. </w:t>
      </w:r>
    </w:p>
    <w:p w:rsidR="00D002AA" w:rsidRDefault="002241D1" w:rsidP="00392574">
      <w:pPr>
        <w:pStyle w:val="SingleTxtG"/>
        <w:rPr>
          <w:lang w:val="en-US"/>
        </w:rPr>
      </w:pPr>
      <w:r>
        <w:rPr>
          <w:lang w:val="en-US"/>
        </w:rPr>
        <w:t>4.3</w:t>
      </w:r>
      <w:r>
        <w:rPr>
          <w:lang w:val="en-US"/>
        </w:rPr>
        <w:tab/>
        <w:t xml:space="preserve">On her asylum application, the </w:t>
      </w:r>
      <w:r w:rsidR="004437EC" w:rsidRPr="00CD4BDD">
        <w:rPr>
          <w:lang w:val="en-US"/>
        </w:rPr>
        <w:t>female author stated that a cross had been put on the wall of the</w:t>
      </w:r>
      <w:r w:rsidR="00FC3141">
        <w:rPr>
          <w:lang w:val="en-US"/>
        </w:rPr>
        <w:t>ir</w:t>
      </w:r>
      <w:r w:rsidR="004437EC" w:rsidRPr="00CD4BDD">
        <w:rPr>
          <w:lang w:val="en-US"/>
        </w:rPr>
        <w:t xml:space="preserve"> house at night one day, about four or five months before they left Pakistan. She stated that</w:t>
      </w:r>
      <w:r w:rsidR="003F6FD9">
        <w:rPr>
          <w:lang w:val="en-US"/>
        </w:rPr>
        <w:t>,</w:t>
      </w:r>
      <w:r w:rsidR="004437EC" w:rsidRPr="00CD4BDD">
        <w:rPr>
          <w:lang w:val="en-US"/>
        </w:rPr>
        <w:t xml:space="preserve"> thereafter, crosses were regularly put on the wall of the house, sometimes every day, and at other times once a month.</w:t>
      </w:r>
      <w:r w:rsidR="004437EC">
        <w:rPr>
          <w:lang w:val="en-US"/>
        </w:rPr>
        <w:t xml:space="preserve"> </w:t>
      </w:r>
      <w:r>
        <w:rPr>
          <w:lang w:val="en-US"/>
        </w:rPr>
        <w:t xml:space="preserve">During his interview with the Service, the male author alleged that a cross on a house wall signified that an Ahmadi lived </w:t>
      </w:r>
      <w:r w:rsidR="00FC3141">
        <w:rPr>
          <w:lang w:val="en-US"/>
        </w:rPr>
        <w:t>there</w:t>
      </w:r>
      <w:r>
        <w:rPr>
          <w:lang w:val="en-US"/>
        </w:rPr>
        <w:t xml:space="preserve"> and was a target for killing. The male author did not know if the cross had been put on the house wall once or several times, but stated that “it” had occurred about six months before the authors’ departure. He did not know who had done it.</w:t>
      </w:r>
      <w:r w:rsidR="008E3D40">
        <w:rPr>
          <w:lang w:val="en-US"/>
        </w:rPr>
        <w:t xml:space="preserve"> </w:t>
      </w:r>
      <w:r w:rsidR="00CA4AE0">
        <w:rPr>
          <w:lang w:val="en-US"/>
        </w:rPr>
        <w:t xml:space="preserve">During their interview with the Service, the </w:t>
      </w:r>
      <w:r w:rsidR="00CA4AE0" w:rsidRPr="00CD4BDD">
        <w:rPr>
          <w:lang w:val="en-US"/>
        </w:rPr>
        <w:t>a</w:t>
      </w:r>
      <w:r w:rsidR="00CA4AE0">
        <w:rPr>
          <w:lang w:val="en-US"/>
        </w:rPr>
        <w:t>uthors further</w:t>
      </w:r>
      <w:r w:rsidR="00CA4AE0" w:rsidRPr="00CD4BDD">
        <w:rPr>
          <w:lang w:val="en-US"/>
        </w:rPr>
        <w:t xml:space="preserve"> stated that the male author’s nephew had been killed during an attack on a mosque</w:t>
      </w:r>
      <w:r w:rsidR="00CA4AE0">
        <w:rPr>
          <w:lang w:val="en-US"/>
        </w:rPr>
        <w:t xml:space="preserve"> </w:t>
      </w:r>
      <w:r w:rsidR="00CA4AE0" w:rsidRPr="00CD4BDD">
        <w:rPr>
          <w:lang w:val="en-US"/>
        </w:rPr>
        <w:t>on 28 May 2010.</w:t>
      </w:r>
      <w:r w:rsidR="00CA4AE0" w:rsidRPr="00A35864">
        <w:rPr>
          <w:rStyle w:val="FootnoteReference"/>
        </w:rPr>
        <w:footnoteReference w:id="8"/>
      </w:r>
      <w:r w:rsidR="00E536FE">
        <w:rPr>
          <w:lang w:val="en-US"/>
        </w:rPr>
        <w:t xml:space="preserve"> </w:t>
      </w:r>
      <w:r w:rsidR="002B5B93">
        <w:rPr>
          <w:lang w:val="en-US"/>
        </w:rPr>
        <w:t xml:space="preserve">During his interview with the Service, the male author further stated that he had left Pakistan for health reasons and due to the general situation for Ahmadis; that </w:t>
      </w:r>
      <w:r w:rsidR="002B5B93" w:rsidRPr="00C067D0">
        <w:rPr>
          <w:lang w:val="en-US"/>
        </w:rPr>
        <w:t>Ahle Suntal and Ahle Hadees</w:t>
      </w:r>
      <w:r w:rsidR="002B5B93">
        <w:rPr>
          <w:lang w:val="en-US"/>
        </w:rPr>
        <w:t xml:space="preserve">, groups opposed to the Ahmadi religion, </w:t>
      </w:r>
      <w:r w:rsidR="002B5B93" w:rsidRPr="00CD4BDD">
        <w:rPr>
          <w:lang w:val="en-US"/>
        </w:rPr>
        <w:t>were pursuing the authors due to their faith</w:t>
      </w:r>
      <w:r w:rsidR="002B5B93">
        <w:rPr>
          <w:lang w:val="en-US"/>
        </w:rPr>
        <w:t>;</w:t>
      </w:r>
      <w:r w:rsidR="002B5B93" w:rsidRPr="00CD4BDD">
        <w:rPr>
          <w:lang w:val="en-US"/>
        </w:rPr>
        <w:t xml:space="preserve"> and</w:t>
      </w:r>
      <w:r w:rsidR="002B5B93">
        <w:rPr>
          <w:lang w:val="en-US"/>
        </w:rPr>
        <w:t xml:space="preserve"> that</w:t>
      </w:r>
      <w:r w:rsidR="002B5B93" w:rsidRPr="00CD4BDD">
        <w:rPr>
          <w:lang w:val="en-US"/>
        </w:rPr>
        <w:t xml:space="preserve"> he feared being killed by </w:t>
      </w:r>
      <w:r w:rsidR="002B5B93">
        <w:rPr>
          <w:lang w:val="en-US"/>
        </w:rPr>
        <w:t>members of those groups or</w:t>
      </w:r>
      <w:r w:rsidR="002B5B93" w:rsidRPr="00CD4BDD">
        <w:rPr>
          <w:lang w:val="en-US"/>
        </w:rPr>
        <w:t xml:space="preserve"> the Taliban.</w:t>
      </w:r>
      <w:r w:rsidR="002B5B93">
        <w:rPr>
          <w:lang w:val="en-US"/>
        </w:rPr>
        <w:t xml:space="preserve"> </w:t>
      </w:r>
      <w:r w:rsidR="008F2DBD">
        <w:rPr>
          <w:lang w:val="en-US"/>
        </w:rPr>
        <w:t>The authors stated that no further incidents had occurred since</w:t>
      </w:r>
      <w:r w:rsidR="00777F4B">
        <w:rPr>
          <w:lang w:val="en-US"/>
        </w:rPr>
        <w:t xml:space="preserve"> their departure from Pakistan.</w:t>
      </w:r>
    </w:p>
    <w:p w:rsidR="00EF2E45" w:rsidRDefault="00D002AA" w:rsidP="00392574">
      <w:pPr>
        <w:pStyle w:val="SingleTxtG"/>
        <w:rPr>
          <w:lang w:val="en-US"/>
        </w:rPr>
      </w:pPr>
      <w:r>
        <w:rPr>
          <w:lang w:val="en-US"/>
        </w:rPr>
        <w:t>4.4</w:t>
      </w:r>
      <w:r>
        <w:rPr>
          <w:lang w:val="en-US"/>
        </w:rPr>
        <w:tab/>
      </w:r>
      <w:r w:rsidR="00DC459C">
        <w:rPr>
          <w:lang w:val="en-US"/>
        </w:rPr>
        <w:t xml:space="preserve">On 8 May 2013, the Service denied </w:t>
      </w:r>
      <w:r w:rsidR="00D71E90">
        <w:rPr>
          <w:lang w:val="en-US"/>
        </w:rPr>
        <w:t>the authors’</w:t>
      </w:r>
      <w:r w:rsidR="00DC459C">
        <w:rPr>
          <w:lang w:val="en-US"/>
        </w:rPr>
        <w:t xml:space="preserve"> asylum application. </w:t>
      </w:r>
      <w:r w:rsidR="00D6363E">
        <w:rPr>
          <w:lang w:val="en-US"/>
        </w:rPr>
        <w:t>During their hearing before the Re</w:t>
      </w:r>
      <w:r w:rsidR="00EF2E45">
        <w:rPr>
          <w:lang w:val="en-US"/>
        </w:rPr>
        <w:t xml:space="preserve">fugee Appeals Board, the </w:t>
      </w:r>
      <w:r w:rsidR="00D6363E">
        <w:rPr>
          <w:lang w:val="en-US"/>
        </w:rPr>
        <w:t>authors reiterated their alle</w:t>
      </w:r>
      <w:r w:rsidR="00F36CB6">
        <w:rPr>
          <w:lang w:val="en-US"/>
        </w:rPr>
        <w:t>gations concerning the letters and the cross. The female author stated that other Ahmadis had received threats similar to the</w:t>
      </w:r>
      <w:r w:rsidR="00777F4B">
        <w:rPr>
          <w:lang w:val="en-US"/>
        </w:rPr>
        <w:t xml:space="preserve"> ones the authors had received.</w:t>
      </w:r>
    </w:p>
    <w:p w:rsidR="00392574" w:rsidRPr="00392574" w:rsidRDefault="007E5E89" w:rsidP="00103354">
      <w:pPr>
        <w:pStyle w:val="SingleTxtG"/>
      </w:pPr>
      <w:r>
        <w:rPr>
          <w:lang w:val="en-US"/>
        </w:rPr>
        <w:t>4.5</w:t>
      </w:r>
      <w:r w:rsidR="002241D1">
        <w:rPr>
          <w:lang w:val="en-US"/>
        </w:rPr>
        <w:tab/>
      </w:r>
      <w:r w:rsidR="00392574" w:rsidRPr="00BF7711">
        <w:t>The State party provides a translation of the decisi</w:t>
      </w:r>
      <w:r w:rsidR="00392574">
        <w:t xml:space="preserve">on of the </w:t>
      </w:r>
      <w:r w:rsidR="000B7B17">
        <w:t xml:space="preserve">Refugee Appeals </w:t>
      </w:r>
      <w:r w:rsidR="00392574">
        <w:t>Board.</w:t>
      </w:r>
      <w:r w:rsidR="00392574" w:rsidRPr="00BF7711">
        <w:t xml:space="preserve"> </w:t>
      </w:r>
      <w:r w:rsidR="00244A63">
        <w:t>The</w:t>
      </w:r>
      <w:r w:rsidR="00392574" w:rsidRPr="00BF7711">
        <w:t xml:space="preserve"> Board accepted that the authors </w:t>
      </w:r>
      <w:r w:rsidR="00103354">
        <w:t>we</w:t>
      </w:r>
      <w:r w:rsidR="00392574">
        <w:t>re</w:t>
      </w:r>
      <w:r w:rsidR="000B7B17">
        <w:t xml:space="preserve"> Ahmadis and</w:t>
      </w:r>
      <w:r w:rsidR="00392574" w:rsidRPr="00BF7711">
        <w:t xml:space="preserve"> </w:t>
      </w:r>
      <w:r w:rsidR="00FB23E7">
        <w:t>took note of</w:t>
      </w:r>
      <w:r w:rsidR="00392574" w:rsidRPr="00BF7711">
        <w:t xml:space="preserve"> the</w:t>
      </w:r>
      <w:r w:rsidR="00103354">
        <w:t>ir</w:t>
      </w:r>
      <w:r w:rsidR="00392574" w:rsidRPr="00BF7711">
        <w:t xml:space="preserve"> </w:t>
      </w:r>
      <w:r w:rsidR="00FB23E7">
        <w:t>claim that their nephew</w:t>
      </w:r>
      <w:r w:rsidR="00392574" w:rsidRPr="00BF7711">
        <w:t xml:space="preserve"> had been killed on 28 May 2010 </w:t>
      </w:r>
      <w:r w:rsidR="00392574">
        <w:t>during</w:t>
      </w:r>
      <w:r w:rsidR="00392574" w:rsidRPr="00BF7711">
        <w:t xml:space="preserve"> an attack </w:t>
      </w:r>
      <w:r w:rsidR="00392574">
        <w:t>at</w:t>
      </w:r>
      <w:r w:rsidR="00392574" w:rsidRPr="00BF7711">
        <w:t xml:space="preserve"> an Ahmadi mosque. It accepted the authors’ allegations that they </w:t>
      </w:r>
      <w:r w:rsidR="00F36CB6">
        <w:t>had received threatening letters beginning in June 2012</w:t>
      </w:r>
      <w:r w:rsidR="00392574" w:rsidRPr="00BF7711">
        <w:t xml:space="preserve"> and that </w:t>
      </w:r>
      <w:r w:rsidR="000125B4">
        <w:t>unknown</w:t>
      </w:r>
      <w:r w:rsidR="00392574" w:rsidRPr="00BF7711">
        <w:t xml:space="preserve"> individuals had painted a cross on the wall of their house </w:t>
      </w:r>
      <w:r w:rsidR="00F36CB6">
        <w:t>around the same time</w:t>
      </w:r>
      <w:r w:rsidR="00392574" w:rsidRPr="00BF7711">
        <w:t xml:space="preserve">. The authors </w:t>
      </w:r>
      <w:r w:rsidR="00B7097D">
        <w:t xml:space="preserve">had </w:t>
      </w:r>
      <w:r w:rsidR="00392574" w:rsidRPr="00BF7711">
        <w:t>alleged that the threatening letters each contained three lines of Urdu</w:t>
      </w:r>
      <w:r w:rsidR="00103354">
        <w:t>,</w:t>
      </w:r>
      <w:r w:rsidR="00392574" w:rsidRPr="00BF7711">
        <w:t xml:space="preserve"> all stating that the authors would be killed if they did not convert to </w:t>
      </w:r>
      <w:r w:rsidR="00103354" w:rsidRPr="00BF7711">
        <w:t xml:space="preserve">Sunni </w:t>
      </w:r>
      <w:r w:rsidR="00392574" w:rsidRPr="00BF7711">
        <w:t>Islam or leave Pakistan. The Board noted that</w:t>
      </w:r>
      <w:r w:rsidR="00156F4B">
        <w:t>,</w:t>
      </w:r>
      <w:r w:rsidR="00392574" w:rsidRPr="00BF7711">
        <w:t xml:space="preserve"> beyond this, the authors </w:t>
      </w:r>
      <w:r w:rsidR="00B7097D">
        <w:t>had not been</w:t>
      </w:r>
      <w:r w:rsidR="00392574" w:rsidRPr="00BF7711">
        <w:t xml:space="preserve"> subjected to abuse. The Board observed that there </w:t>
      </w:r>
      <w:r w:rsidR="00B7097D">
        <w:t>were</w:t>
      </w:r>
      <w:r w:rsidR="00392574" w:rsidRPr="00BF7711">
        <w:t xml:space="preserve"> between </w:t>
      </w:r>
      <w:r w:rsidR="00103354">
        <w:t>2</w:t>
      </w:r>
      <w:r w:rsidR="00103354" w:rsidRPr="00BF7711">
        <w:t xml:space="preserve"> </w:t>
      </w:r>
      <w:r w:rsidR="00103354">
        <w:t>and</w:t>
      </w:r>
      <w:r w:rsidR="00103354" w:rsidRPr="00BF7711">
        <w:t xml:space="preserve"> </w:t>
      </w:r>
      <w:r w:rsidR="00103354">
        <w:t>4</w:t>
      </w:r>
      <w:r w:rsidR="00103354" w:rsidRPr="00BF7711">
        <w:t xml:space="preserve"> </w:t>
      </w:r>
      <w:r w:rsidR="00392574" w:rsidRPr="00BF7711">
        <w:t xml:space="preserve">million Ahmadis in Pakistan and that Pakistani legislation </w:t>
      </w:r>
      <w:r w:rsidR="00B7097D">
        <w:t>had</w:t>
      </w:r>
      <w:r w:rsidR="00392574" w:rsidRPr="00BF7711">
        <w:t xml:space="preserve"> significantly restricted their ability to practi</w:t>
      </w:r>
      <w:r w:rsidR="00103354">
        <w:t>s</w:t>
      </w:r>
      <w:r w:rsidR="00392574" w:rsidRPr="00BF7711">
        <w:t xml:space="preserve">e their faith. As a result, Ahmadis </w:t>
      </w:r>
      <w:r w:rsidR="00B7097D">
        <w:t>were</w:t>
      </w:r>
      <w:r w:rsidR="00392574" w:rsidRPr="00BF7711">
        <w:t xml:space="preserve"> often threatened and harassed by unspecified other groups. </w:t>
      </w:r>
      <w:r w:rsidR="00392574" w:rsidRPr="00BF7711">
        <w:lastRenderedPageBreak/>
        <w:t xml:space="preserve">However, </w:t>
      </w:r>
      <w:r w:rsidR="00B7097D">
        <w:t xml:space="preserve">the Board found that </w:t>
      </w:r>
      <w:r w:rsidR="00392574" w:rsidRPr="00BF7711">
        <w:t xml:space="preserve">the authors had not substantiated their claim that they would face a specific and individualized risk of persecution or abuse in Pakistan. The Board reasoned that the persecution endured by the authors </w:t>
      </w:r>
      <w:r w:rsidR="00B7097D">
        <w:t>had been</w:t>
      </w:r>
      <w:r w:rsidR="00392574" w:rsidRPr="00BF7711">
        <w:t xml:space="preserve"> of “limited severity”</w:t>
      </w:r>
      <w:r w:rsidR="00103354">
        <w:t>,</w:t>
      </w:r>
      <w:r w:rsidR="00392574" w:rsidRPr="00BF7711">
        <w:t xml:space="preserve"> as they </w:t>
      </w:r>
      <w:r w:rsidR="00B7097D">
        <w:t>had only been</w:t>
      </w:r>
      <w:r w:rsidR="00392574" w:rsidRPr="00BF7711">
        <w:t xml:space="preserve"> subjected to threats for a short period of time before their departure</w:t>
      </w:r>
      <w:r w:rsidR="00690602">
        <w:t xml:space="preserve">. Moreover, these anonymous threats were “of a </w:t>
      </w:r>
      <w:r w:rsidR="00392574" w:rsidRPr="00BF7711">
        <w:t>nature</w:t>
      </w:r>
      <w:r w:rsidR="00690602">
        <w:t xml:space="preserve"> similar to the nature of anonymous threats to which many [Ahmadis] have been subjected”</w:t>
      </w:r>
      <w:r w:rsidR="00103354">
        <w:t>.</w:t>
      </w:r>
      <w:r w:rsidR="00392574" w:rsidRPr="00BF7711">
        <w:t xml:space="preserve"> The Board also took into account </w:t>
      </w:r>
      <w:r w:rsidR="006602D9">
        <w:t>the female authors’ statement that the</w:t>
      </w:r>
      <w:r w:rsidR="00392574" w:rsidRPr="00BF7711">
        <w:t xml:space="preserve"> authors’ sons still lived in the same house</w:t>
      </w:r>
      <w:r w:rsidR="00103354">
        <w:t xml:space="preserve"> </w:t>
      </w:r>
      <w:r w:rsidR="00103354" w:rsidRPr="00BF7711">
        <w:t xml:space="preserve">in </w:t>
      </w:r>
      <w:r w:rsidR="00103354">
        <w:t>Lahore in which</w:t>
      </w:r>
      <w:r w:rsidR="00392574" w:rsidRPr="00BF7711">
        <w:t xml:space="preserve"> the authors had lived</w:t>
      </w:r>
      <w:r w:rsidR="00851A89">
        <w:t>,</w:t>
      </w:r>
      <w:r w:rsidR="00392574" w:rsidRPr="00BF7711">
        <w:t xml:space="preserve"> continued to work in the family business and had not been subjected to harassment following the authors’ departure. The Board stated that the generally difficult situation for Ahmadis in Pakistan could not in itself justify granting a residence permit to the authors.</w:t>
      </w:r>
    </w:p>
    <w:p w:rsidR="00DB7EE0" w:rsidRPr="00DB7EE0" w:rsidRDefault="00392574" w:rsidP="00DD7FB0">
      <w:pPr>
        <w:pStyle w:val="SingleTxtG"/>
        <w:rPr>
          <w:lang w:val="en-US"/>
        </w:rPr>
      </w:pPr>
      <w:r>
        <w:rPr>
          <w:lang w:val="en-US"/>
        </w:rPr>
        <w:t>4.</w:t>
      </w:r>
      <w:r w:rsidR="007E5E89">
        <w:rPr>
          <w:lang w:val="en-US"/>
        </w:rPr>
        <w:t>6</w:t>
      </w:r>
      <w:r>
        <w:rPr>
          <w:lang w:val="en-US"/>
        </w:rPr>
        <w:tab/>
      </w:r>
      <w:r w:rsidR="0092126B">
        <w:rPr>
          <w:lang w:val="en-US"/>
        </w:rPr>
        <w:t>O</w:t>
      </w:r>
      <w:r w:rsidR="0092126B" w:rsidRPr="00DD7FB0">
        <w:rPr>
          <w:lang w:val="en-US"/>
        </w:rPr>
        <w:t xml:space="preserve">n 25 April 2013, </w:t>
      </w:r>
      <w:r w:rsidR="005C15FF">
        <w:rPr>
          <w:lang w:val="en-US"/>
        </w:rPr>
        <w:t>in</w:t>
      </w:r>
      <w:r w:rsidR="00332BDA">
        <w:rPr>
          <w:lang w:val="en-US"/>
        </w:rPr>
        <w:t xml:space="preserve"> a separate procedure, the authors </w:t>
      </w:r>
      <w:r w:rsidR="00DC459C">
        <w:rPr>
          <w:lang w:val="en-US"/>
        </w:rPr>
        <w:t>a</w:t>
      </w:r>
      <w:r w:rsidR="0092126B" w:rsidRPr="00DD7FB0">
        <w:rPr>
          <w:lang w:val="en-US"/>
        </w:rPr>
        <w:t xml:space="preserve">pplied for residence </w:t>
      </w:r>
      <w:r w:rsidR="007C1291">
        <w:rPr>
          <w:lang w:val="en-US"/>
        </w:rPr>
        <w:t xml:space="preserve">permits on humanitarian grounds. </w:t>
      </w:r>
      <w:r w:rsidR="005C58DB">
        <w:rPr>
          <w:lang w:val="en-US"/>
        </w:rPr>
        <w:t>Their humanitarian application</w:t>
      </w:r>
      <w:r w:rsidR="00B63B42">
        <w:rPr>
          <w:lang w:val="en-US"/>
        </w:rPr>
        <w:t xml:space="preserve"> was denied, but</w:t>
      </w:r>
      <w:r w:rsidR="00103354">
        <w:rPr>
          <w:lang w:val="en-US"/>
        </w:rPr>
        <w:t>,</w:t>
      </w:r>
      <w:r w:rsidR="00B63B42">
        <w:rPr>
          <w:lang w:val="en-US"/>
        </w:rPr>
        <w:t xml:space="preserve"> on 2 September 2013, the authors applied to have it </w:t>
      </w:r>
      <w:r w:rsidR="00B63B42" w:rsidRPr="00DB7EE0">
        <w:rPr>
          <w:lang w:val="en-US"/>
        </w:rPr>
        <w:t>reopened.</w:t>
      </w:r>
      <w:r w:rsidR="0092126B" w:rsidRPr="00DB7EE0">
        <w:rPr>
          <w:lang w:val="en-US"/>
        </w:rPr>
        <w:t xml:space="preserve"> </w:t>
      </w:r>
    </w:p>
    <w:p w:rsidR="0092126B" w:rsidRDefault="00DB7EE0" w:rsidP="00DD7FB0">
      <w:pPr>
        <w:pStyle w:val="SingleTxtG"/>
        <w:rPr>
          <w:lang w:val="en-US"/>
        </w:rPr>
      </w:pPr>
      <w:r w:rsidRPr="00DB7EE0">
        <w:rPr>
          <w:lang w:val="en-US"/>
        </w:rPr>
        <w:t>4.</w:t>
      </w:r>
      <w:r w:rsidR="007E5E89">
        <w:rPr>
          <w:lang w:val="en-US"/>
        </w:rPr>
        <w:t>7</w:t>
      </w:r>
      <w:r w:rsidRPr="00DB7EE0">
        <w:rPr>
          <w:lang w:val="en-US"/>
        </w:rPr>
        <w:tab/>
      </w:r>
      <w:r w:rsidR="0092126B" w:rsidRPr="00DB7EE0">
        <w:rPr>
          <w:lang w:val="en-US"/>
        </w:rPr>
        <w:t>On 25 October 2013, the Immigration Service approved the authors’ application</w:t>
      </w:r>
      <w:r w:rsidR="0092126B" w:rsidRPr="00DD7FB0">
        <w:rPr>
          <w:lang w:val="en-US"/>
        </w:rPr>
        <w:t xml:space="preserve"> for financial support for assisted voluntary return to Pakistan. By letter dated 10 January 2014, the authors stated that they no longer wished to avail themselves of the financial support scheme for the purpo</w:t>
      </w:r>
      <w:r w:rsidR="007259A2">
        <w:rPr>
          <w:lang w:val="en-US"/>
        </w:rPr>
        <w:t xml:space="preserve">se of assisted voluntary return. Accordingly, </w:t>
      </w:r>
      <w:r w:rsidR="0092126B" w:rsidRPr="00DD7FB0">
        <w:rPr>
          <w:lang w:val="en-US"/>
        </w:rPr>
        <w:t>on 29 January 2014, the Immigration Service withdrew its app</w:t>
      </w:r>
      <w:r w:rsidR="00A24A9E">
        <w:rPr>
          <w:lang w:val="en-US"/>
        </w:rPr>
        <w:t xml:space="preserve">roval of this financial support. </w:t>
      </w:r>
    </w:p>
    <w:p w:rsidR="00DD7FB0" w:rsidRPr="00DD7FB0" w:rsidRDefault="00D8607A" w:rsidP="00D06048">
      <w:pPr>
        <w:pStyle w:val="SingleTxtG"/>
      </w:pPr>
      <w:r>
        <w:rPr>
          <w:lang w:val="en-US"/>
        </w:rPr>
        <w:t>4.</w:t>
      </w:r>
      <w:r w:rsidR="007E5E89">
        <w:rPr>
          <w:lang w:val="en-US"/>
        </w:rPr>
        <w:t>8</w:t>
      </w:r>
      <w:r w:rsidR="0092126B">
        <w:rPr>
          <w:lang w:val="en-US"/>
        </w:rPr>
        <w:tab/>
        <w:t xml:space="preserve">The State party </w:t>
      </w:r>
      <w:r w:rsidR="00DD7FB0" w:rsidRPr="00DD7FB0">
        <w:t>considers that the communication is</w:t>
      </w:r>
      <w:r w:rsidR="00AD3B53">
        <w:t xml:space="preserve"> manifestly unfounded and is therefore</w:t>
      </w:r>
      <w:r w:rsidR="00DD7FB0" w:rsidRPr="00DD7FB0">
        <w:t xml:space="preserve"> inadmissible </w:t>
      </w:r>
      <w:r w:rsidR="00AD3B53">
        <w:t>and devoid of merit</w:t>
      </w:r>
      <w:r w:rsidR="00DD7FB0" w:rsidRPr="00DD7FB0">
        <w:t xml:space="preserve">. </w:t>
      </w:r>
      <w:r w:rsidR="000374D7">
        <w:t xml:space="preserve">The authors have not established </w:t>
      </w:r>
      <w:r w:rsidR="00D552E4">
        <w:t xml:space="preserve">substantial grounds </w:t>
      </w:r>
      <w:r w:rsidR="00781E83">
        <w:t>for believing</w:t>
      </w:r>
      <w:r w:rsidR="000374D7">
        <w:t xml:space="preserve"> that they </w:t>
      </w:r>
      <w:r w:rsidR="000E7ADD">
        <w:t xml:space="preserve">would </w:t>
      </w:r>
      <w:r w:rsidR="00781E83">
        <w:t>face</w:t>
      </w:r>
      <w:r w:rsidR="000E7ADD">
        <w:t xml:space="preserve"> a</w:t>
      </w:r>
      <w:r w:rsidR="000374D7">
        <w:t xml:space="preserve"> specific and individual</w:t>
      </w:r>
      <w:r w:rsidR="000E7ADD">
        <w:t>ized</w:t>
      </w:r>
      <w:r w:rsidR="000374D7">
        <w:t xml:space="preserve"> risk of </w:t>
      </w:r>
      <w:r w:rsidR="009A0A71">
        <w:t>treatment contrary to article 7</w:t>
      </w:r>
      <w:r w:rsidR="000374D7">
        <w:t xml:space="preserve"> </w:t>
      </w:r>
      <w:r w:rsidR="00D552E4">
        <w:t xml:space="preserve">in Pakistan </w:t>
      </w:r>
      <w:r w:rsidR="000374D7">
        <w:t xml:space="preserve">due to their religious beliefs. </w:t>
      </w:r>
      <w:r w:rsidR="00DD7FB0" w:rsidRPr="00DD7FB0">
        <w:t xml:space="preserve">There is no evidence </w:t>
      </w:r>
      <w:r w:rsidR="00AD3B53">
        <w:t>indicating that</w:t>
      </w:r>
      <w:r w:rsidR="00DD7FB0" w:rsidRPr="00DD7FB0">
        <w:t xml:space="preserve"> they were particularly singled out or that the crosses on their </w:t>
      </w:r>
      <w:r w:rsidR="003E04A7">
        <w:t>house</w:t>
      </w:r>
      <w:r w:rsidR="00DD7FB0" w:rsidRPr="00DD7FB0">
        <w:t xml:space="preserve"> </w:t>
      </w:r>
      <w:r w:rsidR="009B4B7E">
        <w:t>were followed by verbal threats. T</w:t>
      </w:r>
      <w:r w:rsidR="00DD7FB0" w:rsidRPr="00DD7FB0">
        <w:t xml:space="preserve">he authors stated several times to the Danish authorities that they </w:t>
      </w:r>
      <w:r w:rsidR="009B4B7E">
        <w:t>had been</w:t>
      </w:r>
      <w:r w:rsidR="00DD7FB0" w:rsidRPr="00DD7FB0">
        <w:t xml:space="preserve"> harassed in the same way as other </w:t>
      </w:r>
      <w:r w:rsidR="003B65C5">
        <w:t>Ahmadis</w:t>
      </w:r>
      <w:r w:rsidR="00DD7FB0" w:rsidRPr="00DD7FB0">
        <w:t xml:space="preserve"> and had not received any verbal threats. </w:t>
      </w:r>
      <w:r w:rsidR="00D80035">
        <w:t>On 25 April 2013, t</w:t>
      </w:r>
      <w:r w:rsidR="00DD7FB0" w:rsidRPr="00DD7FB0">
        <w:t xml:space="preserve">he male author stated </w:t>
      </w:r>
      <w:r w:rsidR="00033443">
        <w:t>during</w:t>
      </w:r>
      <w:r w:rsidR="00DD7FB0" w:rsidRPr="00DD7FB0">
        <w:t xml:space="preserve"> his interview with th</w:t>
      </w:r>
      <w:r w:rsidR="00033443">
        <w:t>e</w:t>
      </w:r>
      <w:r w:rsidR="00DD7FB0" w:rsidRPr="00DD7FB0">
        <w:t xml:space="preserve"> Service that no one had ever sought </w:t>
      </w:r>
      <w:r w:rsidR="009B4B7E">
        <w:t xml:space="preserve">the authors out </w:t>
      </w:r>
      <w:r w:rsidR="009364BD">
        <w:t xml:space="preserve">in person, </w:t>
      </w:r>
      <w:r w:rsidR="00563996">
        <w:t>face</w:t>
      </w:r>
      <w:r w:rsidR="00103354">
        <w:t xml:space="preserve"> </w:t>
      </w:r>
      <w:r w:rsidR="00563996">
        <w:t>to</w:t>
      </w:r>
      <w:r w:rsidR="00103354">
        <w:t xml:space="preserve"> </w:t>
      </w:r>
      <w:r w:rsidR="00563996">
        <w:t>face</w:t>
      </w:r>
      <w:r w:rsidR="009B4B7E">
        <w:t xml:space="preserve">. </w:t>
      </w:r>
      <w:r w:rsidR="00D80035">
        <w:t>On 19 August 2013, t</w:t>
      </w:r>
      <w:r w:rsidR="00DD7FB0" w:rsidRPr="00DD7FB0">
        <w:t xml:space="preserve">he female author stated </w:t>
      </w:r>
      <w:r w:rsidR="00033443">
        <w:t>during</w:t>
      </w:r>
      <w:r w:rsidR="00DD7FB0" w:rsidRPr="00DD7FB0">
        <w:t xml:space="preserve"> her hearing</w:t>
      </w:r>
      <w:r w:rsidR="00D80035">
        <w:t xml:space="preserve"> before the Board</w:t>
      </w:r>
      <w:r w:rsidR="00DD7FB0" w:rsidRPr="00DD7FB0">
        <w:t xml:space="preserve"> that </w:t>
      </w:r>
      <w:r w:rsidR="00D80035">
        <w:t>the authors</w:t>
      </w:r>
      <w:r w:rsidR="00DD7FB0" w:rsidRPr="00DD7FB0">
        <w:t xml:space="preserve"> had not received any direct verbal threat. </w:t>
      </w:r>
      <w:r w:rsidR="009A0A71">
        <w:t>The decision of the Refugee Appeals Board</w:t>
      </w:r>
      <w:r w:rsidR="009A0A71" w:rsidRPr="00DD7FB0">
        <w:t xml:space="preserve"> was well</w:t>
      </w:r>
      <w:r w:rsidR="00D06048">
        <w:t xml:space="preserve"> </w:t>
      </w:r>
      <w:r w:rsidR="009A0A71" w:rsidRPr="00DD7FB0">
        <w:t xml:space="preserve">founded and </w:t>
      </w:r>
      <w:r w:rsidR="009A0A71">
        <w:t>based on a comprehensive and thorough examination of the evidence in the case and on current background material on the situation of Ahmadis in Pakistan.</w:t>
      </w:r>
      <w:r w:rsidR="00777F4B">
        <w:t xml:space="preserve"> </w:t>
      </w:r>
    </w:p>
    <w:p w:rsidR="00DD7FB0" w:rsidRPr="00DD7FB0" w:rsidRDefault="00DD7FB0" w:rsidP="00C004F1">
      <w:pPr>
        <w:pStyle w:val="SingleTxtG"/>
      </w:pPr>
      <w:r w:rsidRPr="00DD7FB0">
        <w:t>4</w:t>
      </w:r>
      <w:r w:rsidR="007E5E89">
        <w:t>.9</w:t>
      </w:r>
      <w:r w:rsidRPr="00DD7FB0">
        <w:tab/>
      </w:r>
      <w:r w:rsidR="009B4B7E">
        <w:t>Concerning</w:t>
      </w:r>
      <w:r w:rsidRPr="00DD7FB0">
        <w:t xml:space="preserve"> </w:t>
      </w:r>
      <w:r w:rsidR="000D2DAB">
        <w:t xml:space="preserve">their </w:t>
      </w:r>
      <w:r w:rsidR="00E71687">
        <w:t xml:space="preserve">claim under </w:t>
      </w:r>
      <w:r w:rsidRPr="00DD7FB0">
        <w:t>article 18</w:t>
      </w:r>
      <w:r w:rsidR="0058610A">
        <w:t xml:space="preserve"> of the Covenant</w:t>
      </w:r>
      <w:r w:rsidRPr="00DD7FB0">
        <w:t xml:space="preserve">, the authors were born in 1935 and 1945, respectively, have always </w:t>
      </w:r>
      <w:r w:rsidR="002063E9">
        <w:t xml:space="preserve">been Ahmadis, and </w:t>
      </w:r>
      <w:r w:rsidR="00D80035">
        <w:t xml:space="preserve">had </w:t>
      </w:r>
      <w:r w:rsidR="00E36F10">
        <w:t>always lived</w:t>
      </w:r>
      <w:r w:rsidRPr="00DD7FB0">
        <w:t xml:space="preserve"> in Pakistan </w:t>
      </w:r>
      <w:r w:rsidR="00D8607A">
        <w:t xml:space="preserve">until </w:t>
      </w:r>
      <w:r w:rsidRPr="00DD7FB0">
        <w:t xml:space="preserve">November </w:t>
      </w:r>
      <w:r w:rsidRPr="003E00B9">
        <w:t xml:space="preserve">2012. </w:t>
      </w:r>
      <w:r w:rsidR="00D026B3" w:rsidRPr="003E00B9">
        <w:t xml:space="preserve">The authors cannot be required to hide their religious beliefs in order to avoid encountering problems in Pakistan. However, </w:t>
      </w:r>
      <w:r w:rsidR="003E00B9" w:rsidRPr="003E00B9">
        <w:t>the Board found that the situation that they risk</w:t>
      </w:r>
      <w:r w:rsidR="00C004F1">
        <w:t>ed</w:t>
      </w:r>
      <w:r w:rsidR="003E00B9" w:rsidRPr="003E00B9">
        <w:t xml:space="preserve"> facing </w:t>
      </w:r>
      <w:r w:rsidR="002063E9">
        <w:t>there</w:t>
      </w:r>
      <w:r w:rsidR="003E00B9" w:rsidRPr="003E00B9">
        <w:t xml:space="preserve"> </w:t>
      </w:r>
      <w:r w:rsidR="00C004F1">
        <w:t>wa</w:t>
      </w:r>
      <w:r w:rsidR="003E00B9" w:rsidRPr="003E00B9">
        <w:t xml:space="preserve">s </w:t>
      </w:r>
      <w:r w:rsidR="00E86DED">
        <w:t>not so severe as to indicate</w:t>
      </w:r>
      <w:r w:rsidR="003E00B9" w:rsidRPr="003E00B9">
        <w:t xml:space="preserve"> a well-founded fear </w:t>
      </w:r>
      <w:r w:rsidR="00607A34">
        <w:t xml:space="preserve">of </w:t>
      </w:r>
      <w:r w:rsidR="00D026B3" w:rsidRPr="003E00B9">
        <w:t xml:space="preserve">persecution by authorities or private individuals as a result of their religious </w:t>
      </w:r>
      <w:r w:rsidR="00615ED0" w:rsidRPr="003E00B9">
        <w:t>beliefs.</w:t>
      </w:r>
    </w:p>
    <w:p w:rsidR="00A40224" w:rsidRPr="00475C4F" w:rsidRDefault="00B61233" w:rsidP="00B61233">
      <w:pPr>
        <w:pStyle w:val="H23G"/>
        <w:rPr>
          <w:lang w:val="en-US"/>
        </w:rPr>
      </w:pPr>
      <w:r>
        <w:rPr>
          <w:lang w:val="en-US"/>
        </w:rPr>
        <w:tab/>
      </w:r>
      <w:r>
        <w:rPr>
          <w:lang w:val="en-US"/>
        </w:rPr>
        <w:tab/>
      </w:r>
      <w:r w:rsidR="00A40224" w:rsidRPr="00475C4F">
        <w:rPr>
          <w:lang w:val="en-US"/>
        </w:rPr>
        <w:t xml:space="preserve">Author’s comments on the State party’s </w:t>
      </w:r>
      <w:r w:rsidR="00A40224">
        <w:rPr>
          <w:lang w:val="en-US"/>
        </w:rPr>
        <w:t>observations</w:t>
      </w:r>
      <w:r w:rsidR="00CC7C1E">
        <w:rPr>
          <w:rStyle w:val="FootnoteReference"/>
          <w:b w:val="0"/>
          <w:lang w:val="en-US"/>
        </w:rPr>
        <w:t xml:space="preserve"> </w:t>
      </w:r>
    </w:p>
    <w:p w:rsidR="00401537" w:rsidRPr="00B60510" w:rsidRDefault="00A40224" w:rsidP="0059472C">
      <w:pPr>
        <w:pStyle w:val="SingleTxtG"/>
      </w:pPr>
      <w:r w:rsidRPr="00475C4F">
        <w:t>5.1</w:t>
      </w:r>
      <w:r w:rsidRPr="00475C4F">
        <w:tab/>
      </w:r>
      <w:r w:rsidR="00B60510" w:rsidRPr="00B60510">
        <w:t xml:space="preserve">In submissions dated 26 and 27 August 2014, the authors </w:t>
      </w:r>
      <w:r w:rsidR="00B60510">
        <w:t>inform the Committee</w:t>
      </w:r>
      <w:r w:rsidR="00B60510" w:rsidRPr="00B60510">
        <w:t xml:space="preserve"> that</w:t>
      </w:r>
      <w:r w:rsidR="00C004F1">
        <w:t>,</w:t>
      </w:r>
      <w:r w:rsidR="00B60510" w:rsidRPr="00B60510">
        <w:t xml:space="preserve"> on </w:t>
      </w:r>
      <w:r w:rsidR="00013D02">
        <w:t xml:space="preserve">22 May 2014, the Ministry of Justice </w:t>
      </w:r>
      <w:r w:rsidR="00B60510" w:rsidRPr="00B60510">
        <w:t>decided to reopen the authors’ application for a residence permit on humanitarian grounds</w:t>
      </w:r>
      <w:r w:rsidR="00586159">
        <w:t>.</w:t>
      </w:r>
      <w:r w:rsidR="00B60510" w:rsidRPr="00B60510">
        <w:t xml:space="preserve"> </w:t>
      </w:r>
      <w:r w:rsidR="00586159">
        <w:t>T</w:t>
      </w:r>
      <w:r w:rsidR="00B60510" w:rsidRPr="00B60510">
        <w:t xml:space="preserve">heir deportation </w:t>
      </w:r>
      <w:r w:rsidR="00586159">
        <w:t xml:space="preserve">was stayed </w:t>
      </w:r>
      <w:r w:rsidR="00B60510" w:rsidRPr="00B60510">
        <w:t>pending a determination on these proceedings.</w:t>
      </w:r>
      <w:r w:rsidR="0061362B">
        <w:t xml:space="preserve"> </w:t>
      </w:r>
    </w:p>
    <w:p w:rsidR="00B60510" w:rsidRPr="00B60510" w:rsidRDefault="0059472C" w:rsidP="00F54EE7">
      <w:pPr>
        <w:pStyle w:val="SingleTxtG"/>
      </w:pPr>
      <w:r>
        <w:t>5.2</w:t>
      </w:r>
      <w:r w:rsidR="00B60510" w:rsidRPr="00B60510">
        <w:tab/>
      </w:r>
      <w:r w:rsidR="0061362B">
        <w:t xml:space="preserve">Concerning the State party’s observation on their </w:t>
      </w:r>
      <w:r w:rsidR="00664B53">
        <w:t>application for</w:t>
      </w:r>
      <w:r w:rsidR="00B60510" w:rsidRPr="00B60510">
        <w:t xml:space="preserve"> financial support for </w:t>
      </w:r>
      <w:r w:rsidR="00664B53">
        <w:t xml:space="preserve">assisted </w:t>
      </w:r>
      <w:r w:rsidR="00B60510" w:rsidRPr="00B60510">
        <w:t>voluntary return</w:t>
      </w:r>
      <w:r w:rsidR="00664B53">
        <w:t xml:space="preserve"> to Pakistan</w:t>
      </w:r>
      <w:r w:rsidR="0061362B">
        <w:t>, the authors maintain that</w:t>
      </w:r>
      <w:r w:rsidR="00C47C44">
        <w:t>,</w:t>
      </w:r>
      <w:r w:rsidR="0061362B">
        <w:t xml:space="preserve"> </w:t>
      </w:r>
      <w:r w:rsidR="00B60510" w:rsidRPr="00B60510">
        <w:t xml:space="preserve">when they were summoned to an interview with the </w:t>
      </w:r>
      <w:r w:rsidR="00664B53">
        <w:t xml:space="preserve">Danish </w:t>
      </w:r>
      <w:r w:rsidR="00B60510" w:rsidRPr="00B60510">
        <w:t xml:space="preserve">police, they </w:t>
      </w:r>
      <w:r w:rsidR="00B01A91">
        <w:t>were motivated to sign documents,</w:t>
      </w:r>
      <w:r w:rsidR="00B60510" w:rsidRPr="00B60510">
        <w:t xml:space="preserve"> including </w:t>
      </w:r>
      <w:r w:rsidR="00B01A91">
        <w:t>a form for voluntary return</w:t>
      </w:r>
      <w:r w:rsidR="00B60510" w:rsidRPr="00B60510">
        <w:t xml:space="preserve"> </w:t>
      </w:r>
      <w:r w:rsidR="00664B53">
        <w:t>assistance</w:t>
      </w:r>
      <w:r w:rsidR="00B01A91">
        <w:t>,</w:t>
      </w:r>
      <w:r w:rsidR="00664B53">
        <w:t xml:space="preserve"> out of a fear of being detained and removed to Pakistan. </w:t>
      </w:r>
      <w:r w:rsidR="00401537">
        <w:t>T</w:t>
      </w:r>
      <w:r w:rsidR="00B60510" w:rsidRPr="00B60510">
        <w:t xml:space="preserve">here was nothing voluntary about </w:t>
      </w:r>
      <w:r w:rsidR="0061362B">
        <w:t>th</w:t>
      </w:r>
      <w:r w:rsidR="00C47C44">
        <w:t>e</w:t>
      </w:r>
      <w:r w:rsidR="00777F4B">
        <w:t xml:space="preserve"> situation.</w:t>
      </w:r>
    </w:p>
    <w:p w:rsidR="00A40224" w:rsidRDefault="0059472C" w:rsidP="00A62D64">
      <w:pPr>
        <w:pStyle w:val="SingleTxtG"/>
      </w:pPr>
      <w:r>
        <w:lastRenderedPageBreak/>
        <w:t>5.3</w:t>
      </w:r>
      <w:r w:rsidR="00B60510" w:rsidRPr="00B60510">
        <w:tab/>
      </w:r>
      <w:r w:rsidR="00CE10A7">
        <w:t>The</w:t>
      </w:r>
      <w:r w:rsidR="00B60510" w:rsidRPr="00B60510">
        <w:t xml:space="preserve"> State party erroneously </w:t>
      </w:r>
      <w:r w:rsidR="00356D8E">
        <w:t>refers to the situation of Ahmadis in Pakistan as a generally difficult situation. A</w:t>
      </w:r>
      <w:r w:rsidR="00D60F18">
        <w:t>hmadis</w:t>
      </w:r>
      <w:r w:rsidR="00B60510" w:rsidRPr="00B60510">
        <w:t xml:space="preserve"> are</w:t>
      </w:r>
      <w:r w:rsidR="00D63335">
        <w:t xml:space="preserve"> the target of religious o</w:t>
      </w:r>
      <w:r w:rsidR="00F54EE7">
        <w:t>r ethnic cleansing in Pakistan and t</w:t>
      </w:r>
      <w:r w:rsidR="00F54EE7" w:rsidRPr="00B60510">
        <w:t xml:space="preserve">he situation for </w:t>
      </w:r>
      <w:r w:rsidR="00F54EE7">
        <w:t xml:space="preserve">Ahmadis </w:t>
      </w:r>
      <w:r w:rsidR="00F54EE7" w:rsidRPr="00B60510">
        <w:t xml:space="preserve">in Pakistan has been deteriorating since 2012. </w:t>
      </w:r>
      <w:r w:rsidR="00B310AB">
        <w:t>The authors</w:t>
      </w:r>
      <w:r w:rsidR="002D66FE">
        <w:t xml:space="preserve"> are unable to</w:t>
      </w:r>
      <w:r w:rsidR="00B60510" w:rsidRPr="00B60510">
        <w:t xml:space="preserve"> seek protection</w:t>
      </w:r>
      <w:r w:rsidR="002D66FE">
        <w:t xml:space="preserve"> from the Pakistani authorities, who might accuse them </w:t>
      </w:r>
      <w:r w:rsidR="00803B3C">
        <w:t xml:space="preserve">of </w:t>
      </w:r>
      <w:r w:rsidR="00B60510" w:rsidRPr="00B60510">
        <w:t xml:space="preserve">violating the law against blasphemy. </w:t>
      </w:r>
      <w:r w:rsidR="00CE10A7">
        <w:t>In</w:t>
      </w:r>
      <w:r w:rsidR="00B60510" w:rsidRPr="00B60510">
        <w:t xml:space="preserve"> 2013, </w:t>
      </w:r>
      <w:r w:rsidR="00B32ACE">
        <w:t>approximately</w:t>
      </w:r>
      <w:r w:rsidR="00B60510" w:rsidRPr="00B60510">
        <w:t xml:space="preserve"> 100 </w:t>
      </w:r>
      <w:r w:rsidR="00051EB0">
        <w:t>individuals</w:t>
      </w:r>
      <w:r w:rsidR="00B60510" w:rsidRPr="00B60510">
        <w:t xml:space="preserve"> were accused of </w:t>
      </w:r>
      <w:r w:rsidR="00F54A92">
        <w:t>violating th</w:t>
      </w:r>
      <w:r w:rsidR="00C47C44">
        <w:t>at</w:t>
      </w:r>
      <w:r w:rsidR="00F54A92">
        <w:t xml:space="preserve"> law</w:t>
      </w:r>
      <w:r w:rsidR="00B60510" w:rsidRPr="00B60510">
        <w:t>.</w:t>
      </w:r>
      <w:r w:rsidR="00777F4B">
        <w:t xml:space="preserve"> </w:t>
      </w:r>
    </w:p>
    <w:p w:rsidR="00464EE3" w:rsidRDefault="0059472C" w:rsidP="00C47C44">
      <w:pPr>
        <w:pStyle w:val="SingleTxtG"/>
      </w:pPr>
      <w:r>
        <w:t>5.4</w:t>
      </w:r>
      <w:r w:rsidR="00464EE3">
        <w:tab/>
        <w:t>In</w:t>
      </w:r>
      <w:r w:rsidR="006141FD">
        <w:t xml:space="preserve"> further</w:t>
      </w:r>
      <w:r w:rsidR="00464EE3">
        <w:t xml:space="preserve"> comment</w:t>
      </w:r>
      <w:r w:rsidR="00791A1A">
        <w:t>s</w:t>
      </w:r>
      <w:r w:rsidR="00464EE3">
        <w:t xml:space="preserve"> dated 15 September 2015, the authors add </w:t>
      </w:r>
      <w:r w:rsidR="00464EE3" w:rsidRPr="00A62D64">
        <w:t xml:space="preserve">that the State party has violated </w:t>
      </w:r>
      <w:r w:rsidR="00464EE3">
        <w:t>their rights under articles</w:t>
      </w:r>
      <w:r w:rsidR="00464EE3" w:rsidRPr="00A62D64">
        <w:t xml:space="preserve"> 6 and 13 of the Covenant. The female author </w:t>
      </w:r>
      <w:r w:rsidR="00823875">
        <w:t>was</w:t>
      </w:r>
      <w:r w:rsidR="00464EE3" w:rsidRPr="00A62D64">
        <w:t xml:space="preserve"> unable to </w:t>
      </w:r>
      <w:r w:rsidR="003B29A5">
        <w:t>attend</w:t>
      </w:r>
      <w:r w:rsidR="00464EE3" w:rsidRPr="00A62D64">
        <w:t xml:space="preserve"> religious gatherings</w:t>
      </w:r>
      <w:r w:rsidR="00823875">
        <w:t xml:space="preserve"> in Pakistan</w:t>
      </w:r>
      <w:r w:rsidR="00464EE3" w:rsidRPr="00A62D64">
        <w:t xml:space="preserve"> </w:t>
      </w:r>
      <w:r w:rsidR="00823875">
        <w:t>because it was</w:t>
      </w:r>
      <w:r w:rsidR="002F58F8">
        <w:t xml:space="preserve"> too dangerous </w:t>
      </w:r>
      <w:r w:rsidR="005808F6">
        <w:t xml:space="preserve">for her </w:t>
      </w:r>
      <w:r w:rsidR="002F58F8">
        <w:t>to do so</w:t>
      </w:r>
      <w:r w:rsidR="00823875">
        <w:t xml:space="preserve">, while the male author </w:t>
      </w:r>
      <w:r w:rsidR="00464EE3" w:rsidRPr="00A62D64">
        <w:t>risked his life while “gather[ing] with other male members of the community”</w:t>
      </w:r>
      <w:r w:rsidR="00C47C44">
        <w:t>.</w:t>
      </w:r>
      <w:r w:rsidR="002F58F8">
        <w:t xml:space="preserve"> The authors’ </w:t>
      </w:r>
      <w:r w:rsidR="00464EE3" w:rsidRPr="00A62D64">
        <w:t>daughter has obtained refugee status in the United Kingdom</w:t>
      </w:r>
      <w:r w:rsidR="00C47C44">
        <w:t xml:space="preserve"> of Great Britain and Northern Ireland</w:t>
      </w:r>
      <w:r w:rsidR="00464EE3" w:rsidRPr="00A62D64">
        <w:t xml:space="preserve"> and one of their sons had to flee Pakistan after the authors</w:t>
      </w:r>
      <w:r w:rsidR="00C47C44">
        <w:t xml:space="preserve"> had</w:t>
      </w:r>
      <w:r w:rsidR="00464EE3" w:rsidRPr="00A62D64">
        <w:t xml:space="preserve"> left. More recently, another of </w:t>
      </w:r>
      <w:r w:rsidR="002E6F69">
        <w:t>the authors’</w:t>
      </w:r>
      <w:r w:rsidR="00464EE3" w:rsidRPr="00A62D64">
        <w:t xml:space="preserve"> </w:t>
      </w:r>
      <w:r w:rsidR="00CC0EF6">
        <w:t>relatives</w:t>
      </w:r>
      <w:r w:rsidR="00464EE3" w:rsidRPr="00A62D64">
        <w:t xml:space="preserve"> was attacked </w:t>
      </w:r>
      <w:r w:rsidR="002F58F8">
        <w:t>because he is an Ahmadi.</w:t>
      </w:r>
      <w:r w:rsidR="00920568">
        <w:t xml:space="preserve"> Some individuals believe that killing Ahmadis will allow them to access heaven.</w:t>
      </w:r>
      <w:r w:rsidR="00464EE3" w:rsidRPr="00A62D64">
        <w:t xml:space="preserve"> </w:t>
      </w:r>
      <w:r w:rsidR="005E59F1">
        <w:t>Thus, the authors have a well-founded</w:t>
      </w:r>
      <w:r w:rsidR="00920568">
        <w:t xml:space="preserve"> fear</w:t>
      </w:r>
      <w:r w:rsidR="0049712B">
        <w:t xml:space="preserve"> of </w:t>
      </w:r>
      <w:r w:rsidR="00B310AB">
        <w:t>being subjected to violence</w:t>
      </w:r>
      <w:r w:rsidR="005E59F1">
        <w:t xml:space="preserve"> on account of their faith</w:t>
      </w:r>
      <w:r w:rsidR="00920568">
        <w:t>.</w:t>
      </w:r>
      <w:r w:rsidR="007C3DA5">
        <w:t xml:space="preserve"> </w:t>
      </w:r>
    </w:p>
    <w:p w:rsidR="00C03875" w:rsidRPr="00C03875" w:rsidRDefault="00777F4B" w:rsidP="00777F4B">
      <w:pPr>
        <w:pStyle w:val="H23G"/>
      </w:pPr>
      <w:r>
        <w:tab/>
      </w:r>
      <w:r>
        <w:tab/>
      </w:r>
      <w:r w:rsidR="00C03875" w:rsidRPr="00C03875">
        <w:t>State party’s further observation</w:t>
      </w:r>
      <w:r>
        <w:t>s</w:t>
      </w:r>
    </w:p>
    <w:p w:rsidR="004D34B5" w:rsidRDefault="00A62D64" w:rsidP="00A62D64">
      <w:pPr>
        <w:pStyle w:val="SingleTxtG"/>
      </w:pPr>
      <w:r>
        <w:t>6</w:t>
      </w:r>
      <w:r w:rsidR="00C03875" w:rsidRPr="00C03875">
        <w:t>.1</w:t>
      </w:r>
      <w:r w:rsidR="00C03875" w:rsidRPr="00C03875">
        <w:tab/>
      </w:r>
      <w:r w:rsidR="00C66CE9">
        <w:t>On</w:t>
      </w:r>
      <w:r w:rsidRPr="00A62D64">
        <w:t xml:space="preserve"> 17 June 2015</w:t>
      </w:r>
      <w:r w:rsidR="00D567A4">
        <w:t xml:space="preserve"> and 11 February 2016</w:t>
      </w:r>
      <w:r w:rsidRPr="00A62D64">
        <w:t>, the State party</w:t>
      </w:r>
      <w:r w:rsidR="00C66CE9">
        <w:t xml:space="preserve"> reiterate</w:t>
      </w:r>
      <w:r w:rsidR="00F03CBB">
        <w:t>s</w:t>
      </w:r>
      <w:r w:rsidR="00C66CE9">
        <w:t xml:space="preserve"> its prior </w:t>
      </w:r>
      <w:r w:rsidR="00243982">
        <w:t>observations and informs the</w:t>
      </w:r>
      <w:r w:rsidR="00F778A1">
        <w:t xml:space="preserve"> Committee that</w:t>
      </w:r>
      <w:r w:rsidR="00C47C44">
        <w:t>,</w:t>
      </w:r>
      <w:r w:rsidR="00F778A1">
        <w:t xml:space="preserve"> on</w:t>
      </w:r>
      <w:r w:rsidRPr="00A62D64">
        <w:t xml:space="preserve"> 29 October 2014, the authors’ </w:t>
      </w:r>
      <w:r w:rsidR="00BB369A">
        <w:t xml:space="preserve">reopened </w:t>
      </w:r>
      <w:r w:rsidRPr="00A62D64">
        <w:t xml:space="preserve">application for </w:t>
      </w:r>
      <w:r w:rsidR="00613D94">
        <w:t>a residence permit</w:t>
      </w:r>
      <w:r w:rsidR="00382912">
        <w:t xml:space="preserve"> on humanitarian grounds</w:t>
      </w:r>
      <w:r w:rsidRPr="00A62D64">
        <w:t xml:space="preserve"> was denied by the </w:t>
      </w:r>
      <w:r w:rsidR="008A0F2E">
        <w:t>Danish Immigration Service. O</w:t>
      </w:r>
      <w:r w:rsidRPr="00A62D64">
        <w:t xml:space="preserve">n 27 April 2015, the </w:t>
      </w:r>
      <w:r w:rsidR="00E63E44">
        <w:t>Immigration</w:t>
      </w:r>
      <w:r w:rsidR="008A0F2E">
        <w:t xml:space="preserve"> </w:t>
      </w:r>
      <w:r w:rsidRPr="00A62D64">
        <w:t>Appeals Board upheld th</w:t>
      </w:r>
      <w:r w:rsidR="00C47C44">
        <w:t>at</w:t>
      </w:r>
      <w:r w:rsidRPr="00A62D64">
        <w:t xml:space="preserve"> decision. </w:t>
      </w:r>
    </w:p>
    <w:p w:rsidR="00A62D64" w:rsidRDefault="004D34B5" w:rsidP="00A62D64">
      <w:pPr>
        <w:pStyle w:val="SingleTxtG"/>
      </w:pPr>
      <w:r>
        <w:t>6.2</w:t>
      </w:r>
      <w:r>
        <w:tab/>
      </w:r>
      <w:r w:rsidR="008A0F2E">
        <w:t>T</w:t>
      </w:r>
      <w:r w:rsidR="00A62D64" w:rsidRPr="00A62D64">
        <w:t xml:space="preserve">he authors’ comments contain no information on their alleged personal risk of harm. </w:t>
      </w:r>
      <w:r w:rsidR="003F326C">
        <w:t>Concerning the situation of Ahmadis in Pakistan, t</w:t>
      </w:r>
      <w:r w:rsidR="008A0F2E">
        <w:t>he</w:t>
      </w:r>
      <w:r w:rsidR="00A62D64" w:rsidRPr="00A62D64">
        <w:t xml:space="preserve"> </w:t>
      </w:r>
      <w:r w:rsidR="008A0F2E">
        <w:t xml:space="preserve">State party refers to </w:t>
      </w:r>
      <w:r w:rsidR="003A717A">
        <w:t>a</w:t>
      </w:r>
      <w:r w:rsidR="00A62D64" w:rsidRPr="00A62D64">
        <w:t xml:space="preserve"> </w:t>
      </w:r>
      <w:r w:rsidR="007C1291">
        <w:t>report</w:t>
      </w:r>
      <w:r w:rsidR="0044063F">
        <w:t xml:space="preserve"> by LandInfo, dated 3 July 2014 and</w:t>
      </w:r>
      <w:r w:rsidR="007C1291">
        <w:t xml:space="preserve"> available on the </w:t>
      </w:r>
      <w:r w:rsidR="003076DF">
        <w:t>Refugee Appeals Board website</w:t>
      </w:r>
      <w:r w:rsidR="007C1291">
        <w:t>.</w:t>
      </w:r>
      <w:r w:rsidR="00A62D64" w:rsidRPr="00A35864">
        <w:rPr>
          <w:rStyle w:val="FootnoteReference"/>
        </w:rPr>
        <w:footnoteReference w:id="9"/>
      </w:r>
    </w:p>
    <w:p w:rsidR="00C640E4" w:rsidRDefault="00F778A1" w:rsidP="00891C07">
      <w:pPr>
        <w:pStyle w:val="SingleTxtG"/>
      </w:pPr>
      <w:r>
        <w:t>6.</w:t>
      </w:r>
      <w:r w:rsidR="004D34B5">
        <w:t>3</w:t>
      </w:r>
      <w:r>
        <w:tab/>
      </w:r>
      <w:r w:rsidR="00271A05">
        <w:t>A</w:t>
      </w:r>
      <w:r w:rsidR="00906FC9">
        <w:t xml:space="preserve">sylum proceedings fall outside the scope </w:t>
      </w:r>
      <w:r w:rsidR="00271A05">
        <w:t>of article 14 of the Covenant</w:t>
      </w:r>
      <w:r w:rsidR="00906FC9">
        <w:t xml:space="preserve">. </w:t>
      </w:r>
      <w:r w:rsidR="00271A05">
        <w:t>The authors’ claim under article 14</w:t>
      </w:r>
      <w:r w:rsidR="00906FC9">
        <w:t xml:space="preserve"> </w:t>
      </w:r>
      <w:r w:rsidR="00470ACE">
        <w:t>is therefore</w:t>
      </w:r>
      <w:r w:rsidR="00906FC9">
        <w:t xml:space="preserve"> inadmissible </w:t>
      </w:r>
      <w:r w:rsidR="00906FC9" w:rsidRPr="00906FC9">
        <w:rPr>
          <w:i/>
        </w:rPr>
        <w:t>ratione materiae</w:t>
      </w:r>
      <w:r w:rsidR="00906FC9">
        <w:t>.</w:t>
      </w:r>
    </w:p>
    <w:p w:rsidR="00B84D91" w:rsidRDefault="00B84D91" w:rsidP="0053319B">
      <w:pPr>
        <w:pStyle w:val="SingleTxtG"/>
      </w:pPr>
      <w:r>
        <w:t>6.</w:t>
      </w:r>
      <w:r w:rsidR="004D34B5">
        <w:t>4</w:t>
      </w:r>
      <w:r>
        <w:tab/>
      </w:r>
      <w:r w:rsidR="008F2390">
        <w:t>Prior to their comments dated 15 September 2015, the</w:t>
      </w:r>
      <w:r>
        <w:t xml:space="preserve"> authors had not previou</w:t>
      </w:r>
      <w:r w:rsidR="006F4145">
        <w:t>sly invoked articles 6 or 13 of the Covenant</w:t>
      </w:r>
      <w:r>
        <w:t xml:space="preserve"> and </w:t>
      </w:r>
      <w:r w:rsidR="00331861">
        <w:t xml:space="preserve">they </w:t>
      </w:r>
      <w:r>
        <w:t xml:space="preserve">have not substantiated these claims. The </w:t>
      </w:r>
      <w:r>
        <w:lastRenderedPageBreak/>
        <w:t xml:space="preserve">allegation that </w:t>
      </w:r>
      <w:r w:rsidR="00243982">
        <w:t>one of the</w:t>
      </w:r>
      <w:r>
        <w:t xml:space="preserve"> authors’ relative</w:t>
      </w:r>
      <w:r w:rsidR="00243982">
        <w:t>s</w:t>
      </w:r>
      <w:r>
        <w:t xml:space="preserve"> has been granted asylum in the United Kingdom cannot lead t</w:t>
      </w:r>
      <w:r w:rsidR="00243982">
        <w:t>o a different assessment of their asylum application</w:t>
      </w:r>
      <w:r>
        <w:t xml:space="preserve">. No further information about the specific circumstances of the relative’s </w:t>
      </w:r>
      <w:r w:rsidR="00076E9E">
        <w:t>asylum claim</w:t>
      </w:r>
      <w:r>
        <w:t xml:space="preserve"> is available. The authors’ non-specific information about the assault of a family member and their son’s escape from Pakistan cannot lead to a different assessment of the authors’ asylum case either.</w:t>
      </w:r>
      <w:r w:rsidR="000374D7">
        <w:t xml:space="preserve"> </w:t>
      </w:r>
    </w:p>
    <w:p w:rsidR="00A40224" w:rsidRPr="00475C4F" w:rsidRDefault="00A40224" w:rsidP="00A40224">
      <w:pPr>
        <w:pStyle w:val="H23G"/>
      </w:pPr>
      <w:r w:rsidRPr="00475C4F">
        <w:tab/>
      </w:r>
      <w:r w:rsidRPr="00475C4F">
        <w:tab/>
        <w:t>Issues and proceedings before the Committee</w:t>
      </w:r>
    </w:p>
    <w:p w:rsidR="002E62DA" w:rsidRDefault="00777F4B" w:rsidP="00777F4B">
      <w:pPr>
        <w:pStyle w:val="H4G"/>
        <w:rPr>
          <w:rFonts w:eastAsia="MS Mincho"/>
        </w:rPr>
      </w:pPr>
      <w:r>
        <w:rPr>
          <w:rFonts w:eastAsia="MS Mincho"/>
        </w:rPr>
        <w:tab/>
      </w:r>
      <w:r>
        <w:rPr>
          <w:rFonts w:eastAsia="MS Mincho"/>
        </w:rPr>
        <w:tab/>
      </w:r>
      <w:r w:rsidR="00364D0B">
        <w:rPr>
          <w:rFonts w:eastAsia="MS Mincho"/>
        </w:rPr>
        <w:t>Consideration of a</w:t>
      </w:r>
      <w:r w:rsidR="002E62DA" w:rsidRPr="002E62DA">
        <w:rPr>
          <w:rFonts w:eastAsia="MS Mincho"/>
        </w:rPr>
        <w:t>dmissibility</w:t>
      </w:r>
    </w:p>
    <w:p w:rsidR="006F1676" w:rsidRPr="009F2EC1" w:rsidRDefault="00A6161D" w:rsidP="0053319B">
      <w:pPr>
        <w:pStyle w:val="SingleTxtG"/>
        <w:rPr>
          <w:rFonts w:eastAsia="MS Mincho"/>
        </w:rPr>
      </w:pPr>
      <w:r>
        <w:rPr>
          <w:rFonts w:eastAsia="MS Mincho"/>
        </w:rPr>
        <w:t>7</w:t>
      </w:r>
      <w:r w:rsidR="006F1676" w:rsidRPr="009F2EC1">
        <w:rPr>
          <w:rFonts w:eastAsia="MS Mincho"/>
        </w:rPr>
        <w:t>.1</w:t>
      </w:r>
      <w:r w:rsidR="006F1676" w:rsidRPr="009F2EC1">
        <w:rPr>
          <w:rFonts w:eastAsia="MS Mincho"/>
        </w:rPr>
        <w:tab/>
        <w:t>Before considering any claims contained in a communication, the Human Rights Committee must decide, in accordance with rule 93 of its rules of procedure, whether the claim is admissible under the Optional Protocol.</w:t>
      </w:r>
    </w:p>
    <w:p w:rsidR="006F1676" w:rsidRDefault="00A6161D" w:rsidP="0053319B">
      <w:pPr>
        <w:spacing w:after="120"/>
        <w:ind w:left="1134" w:right="1134"/>
        <w:jc w:val="both"/>
      </w:pPr>
      <w:r>
        <w:rPr>
          <w:rFonts w:eastAsia="MS Mincho"/>
        </w:rPr>
        <w:t>7</w:t>
      </w:r>
      <w:r w:rsidR="006F1676" w:rsidRPr="009F2EC1">
        <w:rPr>
          <w:rFonts w:eastAsia="MS Mincho"/>
        </w:rPr>
        <w:t>.2</w:t>
      </w:r>
      <w:r w:rsidR="006F1676" w:rsidRPr="009F2EC1">
        <w:rPr>
          <w:rFonts w:eastAsia="MS Mincho"/>
        </w:rPr>
        <w:tab/>
      </w:r>
      <w:r w:rsidR="006F1676" w:rsidRPr="009F2EC1">
        <w:rPr>
          <w:rFonts w:eastAsia="MS Mincho"/>
          <w:bCs/>
        </w:rPr>
        <w:t xml:space="preserve">The Committee notes, as required </w:t>
      </w:r>
      <w:r w:rsidR="0053319B">
        <w:rPr>
          <w:rFonts w:eastAsia="MS Mincho"/>
          <w:bCs/>
        </w:rPr>
        <w:t>under</w:t>
      </w:r>
      <w:r w:rsidR="0053319B" w:rsidRPr="009F2EC1">
        <w:rPr>
          <w:rFonts w:eastAsia="MS Mincho"/>
          <w:bCs/>
        </w:rPr>
        <w:t xml:space="preserve"> </w:t>
      </w:r>
      <w:r w:rsidR="006F1676" w:rsidRPr="009F2EC1">
        <w:rPr>
          <w:rFonts w:eastAsia="MS Mincho"/>
          <w:bCs/>
        </w:rPr>
        <w:t>article 5</w:t>
      </w:r>
      <w:r w:rsidR="002F391C">
        <w:rPr>
          <w:rFonts w:eastAsia="MS Mincho"/>
          <w:bCs/>
        </w:rPr>
        <w:t xml:space="preserve"> </w:t>
      </w:r>
      <w:r w:rsidR="006F1676" w:rsidRPr="009F2EC1">
        <w:rPr>
          <w:rFonts w:eastAsia="MS Mincho"/>
          <w:bCs/>
        </w:rPr>
        <w:t>(2)</w:t>
      </w:r>
      <w:r w:rsidR="0053319B">
        <w:rPr>
          <w:rFonts w:eastAsia="MS Mincho"/>
          <w:bCs/>
        </w:rPr>
        <w:t xml:space="preserve"> </w:t>
      </w:r>
      <w:r w:rsidR="006F1676" w:rsidRPr="009F2EC1">
        <w:rPr>
          <w:rFonts w:eastAsia="MS Mincho"/>
          <w:bCs/>
        </w:rPr>
        <w:t xml:space="preserve">(a) of the Optional Protocol, that the same matter is not being examined </w:t>
      </w:r>
      <w:r w:rsidR="00D51D8B">
        <w:rPr>
          <w:rFonts w:eastAsia="MS Mincho"/>
          <w:bCs/>
        </w:rPr>
        <w:t xml:space="preserve">and has not been examined </w:t>
      </w:r>
      <w:r w:rsidR="006F1676" w:rsidRPr="009F2EC1">
        <w:rPr>
          <w:rFonts w:eastAsia="MS Mincho"/>
          <w:bCs/>
        </w:rPr>
        <w:t>under another procedure of international investigation or settlement.</w:t>
      </w:r>
      <w:r w:rsidR="00286900" w:rsidRPr="00286900">
        <w:t xml:space="preserve"> </w:t>
      </w:r>
      <w:r w:rsidR="00286900" w:rsidRPr="00E20506">
        <w:t xml:space="preserve">The Committee </w:t>
      </w:r>
      <w:r w:rsidR="00286900">
        <w:t xml:space="preserve">also </w:t>
      </w:r>
      <w:r w:rsidR="00286900" w:rsidRPr="00E20506">
        <w:t>notes that it is undisputed that the author</w:t>
      </w:r>
      <w:r w:rsidR="00286900">
        <w:t>s</w:t>
      </w:r>
      <w:r w:rsidR="00286900" w:rsidRPr="00E20506">
        <w:t xml:space="preserve"> ha</w:t>
      </w:r>
      <w:r w:rsidR="00286900">
        <w:t>ve</w:t>
      </w:r>
      <w:r w:rsidR="00286900" w:rsidRPr="00E20506">
        <w:t xml:space="preserve"> exhausted all available domestic reme</w:t>
      </w:r>
      <w:r w:rsidR="00286900">
        <w:t xml:space="preserve">dies, as required </w:t>
      </w:r>
      <w:r w:rsidR="0053319B">
        <w:t xml:space="preserve">under </w:t>
      </w:r>
      <w:r w:rsidR="00286900">
        <w:t>article 5 (2)</w:t>
      </w:r>
      <w:r w:rsidR="0053319B">
        <w:t xml:space="preserve"> </w:t>
      </w:r>
      <w:r w:rsidR="00286900">
        <w:t xml:space="preserve">(b) </w:t>
      </w:r>
      <w:r w:rsidR="00286900" w:rsidRPr="00E20506">
        <w:t>of the Optional Protocol.</w:t>
      </w:r>
    </w:p>
    <w:p w:rsidR="00C22A00" w:rsidRDefault="00A6161D" w:rsidP="00C03B36">
      <w:pPr>
        <w:pStyle w:val="SingleTxtG"/>
      </w:pPr>
      <w:r>
        <w:t>7</w:t>
      </w:r>
      <w:r w:rsidR="006D3013">
        <w:t>.</w:t>
      </w:r>
      <w:r w:rsidR="00C22A00">
        <w:t>3</w:t>
      </w:r>
      <w:r w:rsidR="006D3013">
        <w:tab/>
        <w:t xml:space="preserve">Concerning the authors’ claim </w:t>
      </w:r>
      <w:r w:rsidR="009C336D">
        <w:t xml:space="preserve">under </w:t>
      </w:r>
      <w:r w:rsidR="006D3013">
        <w:t>article 14 of the Covenant</w:t>
      </w:r>
      <w:r w:rsidR="009C336D">
        <w:t xml:space="preserve"> that they were unable to appeal the negative decision of the Refugee Appeals Board to a judicial body</w:t>
      </w:r>
      <w:r w:rsidR="006D3013">
        <w:t>, the Committee refers to its jurisprudence that proceedings relating to aliens’ expulsion do not fall within the ambit of a determination of “rights and obligations in a suit at law” wi</w:t>
      </w:r>
      <w:r w:rsidR="004B4BBE">
        <w:t xml:space="preserve">thin the meaning of article 14 (1) </w:t>
      </w:r>
      <w:r w:rsidR="006D3013">
        <w:t>but are governed by article 13 of the Covenant.</w:t>
      </w:r>
      <w:r w:rsidR="006D3013" w:rsidRPr="00A35864">
        <w:rPr>
          <w:rStyle w:val="FootnoteReference"/>
        </w:rPr>
        <w:footnoteReference w:id="10"/>
      </w:r>
      <w:r w:rsidR="002F2AFD">
        <w:t xml:space="preserve"> </w:t>
      </w:r>
      <w:r w:rsidR="00851C6A">
        <w:t>Furthermore, t</w:t>
      </w:r>
      <w:r w:rsidR="00B2725E">
        <w:t>he latter</w:t>
      </w:r>
      <w:r w:rsidR="002C1AE4">
        <w:t xml:space="preserve"> </w:t>
      </w:r>
      <w:r w:rsidR="009C336D">
        <w:t>provision</w:t>
      </w:r>
      <w:r w:rsidR="009C336D" w:rsidRPr="009C336D">
        <w:t xml:space="preserve"> offers </w:t>
      </w:r>
      <w:r w:rsidR="00EB4CCD">
        <w:t xml:space="preserve">asylum seekers </w:t>
      </w:r>
      <w:r w:rsidR="009C336D" w:rsidRPr="009C336D">
        <w:t>some of the protection afforded under article 14 of the Covenant</w:t>
      </w:r>
      <w:r w:rsidR="009C336D">
        <w:t>, but not the right of appeal</w:t>
      </w:r>
      <w:r w:rsidR="00EB4CCD">
        <w:t xml:space="preserve"> to judicial courts</w:t>
      </w:r>
      <w:r w:rsidR="009C336D">
        <w:t>.</w:t>
      </w:r>
      <w:r w:rsidR="009C336D" w:rsidRPr="00A35864">
        <w:rPr>
          <w:rStyle w:val="FootnoteReference"/>
        </w:rPr>
        <w:footnoteReference w:id="11"/>
      </w:r>
      <w:r w:rsidR="009C336D">
        <w:t xml:space="preserve"> </w:t>
      </w:r>
      <w:r w:rsidR="007C55C3">
        <w:t>On this basis</w:t>
      </w:r>
      <w:r w:rsidR="000F7801">
        <w:t>,</w:t>
      </w:r>
      <w:r w:rsidR="007C55C3">
        <w:t xml:space="preserve"> the Committee concludes that the authors’ claim is inadmissible </w:t>
      </w:r>
      <w:r w:rsidR="007C55C3" w:rsidRPr="0048265C">
        <w:rPr>
          <w:i/>
        </w:rPr>
        <w:t>ratione materiae</w:t>
      </w:r>
      <w:r w:rsidR="007C55C3">
        <w:t xml:space="preserve"> under article 3 of the Optional Protocol. </w:t>
      </w:r>
      <w:r w:rsidR="00614221">
        <w:t>As to the authors’ claim that their rights under article 13 were violated</w:t>
      </w:r>
      <w:r w:rsidR="000F7801">
        <w:t>,</w:t>
      </w:r>
      <w:r w:rsidR="00614221">
        <w:t xml:space="preserve"> </w:t>
      </w:r>
      <w:r w:rsidR="007C55C3">
        <w:t>t</w:t>
      </w:r>
      <w:r w:rsidR="009326E2">
        <w:t>he Committee observes that the authors have not alleged that they were unable to effectively present their case</w:t>
      </w:r>
      <w:r w:rsidR="00076E9E">
        <w:t xml:space="preserve"> before </w:t>
      </w:r>
      <w:r w:rsidR="00F14977">
        <w:t>competent</w:t>
      </w:r>
      <w:r w:rsidR="00076E9E">
        <w:t xml:space="preserve"> Danish authorities</w:t>
      </w:r>
      <w:r w:rsidR="009326E2">
        <w:t xml:space="preserve"> as to why </w:t>
      </w:r>
      <w:r w:rsidR="00076E9E">
        <w:t>they should not be removed</w:t>
      </w:r>
      <w:r w:rsidR="002C1AE4">
        <w:t>,</w:t>
      </w:r>
      <w:r w:rsidR="00F14977" w:rsidRPr="00A35864">
        <w:rPr>
          <w:rStyle w:val="FootnoteReference"/>
        </w:rPr>
        <w:footnoteReference w:id="12"/>
      </w:r>
      <w:r w:rsidR="00076E9E">
        <w:t xml:space="preserve"> </w:t>
      </w:r>
      <w:r w:rsidR="00B2725E">
        <w:t>and</w:t>
      </w:r>
      <w:r w:rsidR="009326E2">
        <w:t xml:space="preserve"> that</w:t>
      </w:r>
      <w:r w:rsidR="00851C6A">
        <w:t>,</w:t>
      </w:r>
      <w:r w:rsidR="009326E2">
        <w:t xml:space="preserve"> in addition to </w:t>
      </w:r>
      <w:r w:rsidR="002C1AE4">
        <w:t>their</w:t>
      </w:r>
      <w:r w:rsidR="00B3721B">
        <w:t xml:space="preserve"> asylum claim</w:t>
      </w:r>
      <w:r w:rsidR="009326E2">
        <w:t>, the authors filed a humanitarian application for residence that was evaluated twice by the State party’s authorities.</w:t>
      </w:r>
      <w:r w:rsidR="00E13CC9">
        <w:t xml:space="preserve"> </w:t>
      </w:r>
      <w:r w:rsidR="00B3721B">
        <w:t>T</w:t>
      </w:r>
      <w:r w:rsidR="00723E1F" w:rsidRPr="00723E1F">
        <w:t xml:space="preserve">he Committee </w:t>
      </w:r>
      <w:r w:rsidR="00B3721B">
        <w:t xml:space="preserve">therefore </w:t>
      </w:r>
      <w:r w:rsidR="00723E1F" w:rsidRPr="00723E1F">
        <w:t xml:space="preserve">considers that the </w:t>
      </w:r>
      <w:r w:rsidR="009051EE">
        <w:t>authors have</w:t>
      </w:r>
      <w:r w:rsidR="00723E1F" w:rsidRPr="00723E1F">
        <w:t xml:space="preserve"> not sufficiently substantiated </w:t>
      </w:r>
      <w:r w:rsidR="009051EE">
        <w:t xml:space="preserve">their claim </w:t>
      </w:r>
      <w:r w:rsidR="00614221">
        <w:t>under article 13</w:t>
      </w:r>
      <w:r w:rsidR="002C1AE4">
        <w:t xml:space="preserve"> </w:t>
      </w:r>
      <w:r w:rsidR="00851C6A">
        <w:t xml:space="preserve">and </w:t>
      </w:r>
      <w:r w:rsidR="00B2725E">
        <w:t>concludes that</w:t>
      </w:r>
      <w:r w:rsidR="00E13CC9">
        <w:t xml:space="preserve"> </w:t>
      </w:r>
      <w:r w:rsidR="00614221">
        <w:t>such claim is inadmissible</w:t>
      </w:r>
      <w:r w:rsidR="00851C6A">
        <w:t xml:space="preserve"> </w:t>
      </w:r>
      <w:r w:rsidR="00723E1F">
        <w:t xml:space="preserve">under </w:t>
      </w:r>
      <w:r w:rsidR="00723E1F" w:rsidRPr="00723E1F">
        <w:t>article</w:t>
      </w:r>
      <w:r w:rsidR="00851C6A">
        <w:t xml:space="preserve"> </w:t>
      </w:r>
      <w:r w:rsidR="00723E1F" w:rsidRPr="00723E1F">
        <w:t>2</w:t>
      </w:r>
      <w:r w:rsidR="00851C6A">
        <w:t xml:space="preserve"> </w:t>
      </w:r>
      <w:r w:rsidR="00723E1F" w:rsidRPr="00723E1F">
        <w:t>of the Optional Protocol</w:t>
      </w:r>
      <w:r w:rsidR="00614221">
        <w:t xml:space="preserve"> for lack of substantiation</w:t>
      </w:r>
      <w:r w:rsidR="00723E1F" w:rsidRPr="00723E1F">
        <w:t>.</w:t>
      </w:r>
    </w:p>
    <w:p w:rsidR="000F7801" w:rsidRDefault="00A6161D" w:rsidP="00C03B36">
      <w:pPr>
        <w:pStyle w:val="SingleTxtG"/>
        <w:rPr>
          <w:rFonts w:eastAsia="MS Mincho"/>
        </w:rPr>
      </w:pPr>
      <w:r>
        <w:rPr>
          <w:rFonts w:eastAsia="MS Mincho"/>
        </w:rPr>
        <w:t>7</w:t>
      </w:r>
      <w:r w:rsidR="006F1676" w:rsidRPr="009F2EC1">
        <w:rPr>
          <w:rFonts w:eastAsia="MS Mincho"/>
        </w:rPr>
        <w:t>.</w:t>
      </w:r>
      <w:r w:rsidR="00F67166">
        <w:rPr>
          <w:rFonts w:eastAsia="MS Mincho"/>
        </w:rPr>
        <w:t>4</w:t>
      </w:r>
      <w:r w:rsidR="006F1676" w:rsidRPr="007B0628">
        <w:rPr>
          <w:rFonts w:eastAsia="MS Mincho"/>
        </w:rPr>
        <w:tab/>
      </w:r>
      <w:r w:rsidR="00C4227C">
        <w:rPr>
          <w:rFonts w:eastAsia="MS Mincho"/>
        </w:rPr>
        <w:t xml:space="preserve">As for </w:t>
      </w:r>
      <w:r w:rsidR="006965AE" w:rsidRPr="007B0628">
        <w:rPr>
          <w:rFonts w:eastAsia="MS Mincho"/>
        </w:rPr>
        <w:t xml:space="preserve">the authors’ claim </w:t>
      </w:r>
      <w:r w:rsidR="00C4227C">
        <w:rPr>
          <w:rFonts w:eastAsia="MS Mincho"/>
        </w:rPr>
        <w:t xml:space="preserve">regarding the risk they would face in case of return to </w:t>
      </w:r>
      <w:r w:rsidR="007B0628" w:rsidRPr="007B0628">
        <w:rPr>
          <w:rFonts w:eastAsia="MS Mincho"/>
        </w:rPr>
        <w:t>Pakistan</w:t>
      </w:r>
      <w:r w:rsidR="003D62B8">
        <w:rPr>
          <w:rFonts w:eastAsia="MS Mincho"/>
        </w:rPr>
        <w:t xml:space="preserve"> due to their adherence to the </w:t>
      </w:r>
      <w:r w:rsidR="00F93314">
        <w:rPr>
          <w:rFonts w:eastAsia="MS Mincho"/>
        </w:rPr>
        <w:t>Ahmadi</w:t>
      </w:r>
      <w:r w:rsidR="003D62B8">
        <w:rPr>
          <w:rFonts w:eastAsia="MS Mincho"/>
        </w:rPr>
        <w:t xml:space="preserve"> Muslim faith</w:t>
      </w:r>
      <w:r w:rsidR="00C4227C">
        <w:rPr>
          <w:rFonts w:eastAsia="MS Mincho"/>
        </w:rPr>
        <w:t>, the</w:t>
      </w:r>
      <w:r w:rsidR="00B2725E">
        <w:rPr>
          <w:rFonts w:eastAsia="MS Mincho"/>
          <w:lang w:val="x-none"/>
        </w:rPr>
        <w:t xml:space="preserve"> Committee</w:t>
      </w:r>
      <w:r w:rsidR="003E6221" w:rsidRPr="007B0628">
        <w:rPr>
          <w:rFonts w:eastAsia="MS Mincho"/>
          <w:lang w:val="en-US"/>
        </w:rPr>
        <w:t xml:space="preserve"> </w:t>
      </w:r>
      <w:r w:rsidR="005234B9" w:rsidRPr="007B0628">
        <w:rPr>
          <w:rFonts w:eastAsia="MS Mincho"/>
          <w:lang w:val="x-none"/>
        </w:rPr>
        <w:t xml:space="preserve">considers that </w:t>
      </w:r>
      <w:r w:rsidR="005234B9" w:rsidRPr="007B0628">
        <w:rPr>
          <w:rFonts w:eastAsia="MS Mincho"/>
          <w:lang w:val="en-US"/>
        </w:rPr>
        <w:t>th</w:t>
      </w:r>
      <w:r w:rsidR="003E6221" w:rsidRPr="007B0628">
        <w:rPr>
          <w:rFonts w:eastAsia="MS Mincho"/>
          <w:lang w:val="en-US"/>
        </w:rPr>
        <w:t>e</w:t>
      </w:r>
      <w:r w:rsidR="00C4227C">
        <w:rPr>
          <w:rFonts w:eastAsia="MS Mincho"/>
          <w:lang w:val="en-US"/>
        </w:rPr>
        <w:t xml:space="preserve"> claim has been sufficiently substantiated</w:t>
      </w:r>
      <w:r w:rsidR="00B2725E">
        <w:rPr>
          <w:rFonts w:eastAsia="MS Mincho"/>
          <w:lang w:val="en-US"/>
        </w:rPr>
        <w:t xml:space="preserve"> for purposes of admissibility</w:t>
      </w:r>
      <w:r w:rsidR="00B7536C">
        <w:rPr>
          <w:rFonts w:eastAsia="MS Mincho"/>
          <w:lang w:val="en-US"/>
        </w:rPr>
        <w:t xml:space="preserve"> in connection with articles 6 and 7</w:t>
      </w:r>
      <w:r w:rsidR="009B529E">
        <w:rPr>
          <w:rFonts w:eastAsia="MS Mincho"/>
          <w:lang w:val="en-US"/>
        </w:rPr>
        <w:t>,</w:t>
      </w:r>
      <w:r w:rsidR="00B7536C">
        <w:rPr>
          <w:rFonts w:eastAsia="MS Mincho"/>
          <w:lang w:val="en-US"/>
        </w:rPr>
        <w:t xml:space="preserve"> and that article 18</w:t>
      </w:r>
      <w:r w:rsidR="009B529E">
        <w:rPr>
          <w:rFonts w:eastAsia="MS Mincho"/>
          <w:lang w:val="en-US"/>
        </w:rPr>
        <w:t xml:space="preserve"> </w:t>
      </w:r>
      <w:r w:rsidR="009B529E" w:rsidRPr="005A1296">
        <w:t>cannot be</w:t>
      </w:r>
      <w:r w:rsidR="009B529E">
        <w:t xml:space="preserve"> </w:t>
      </w:r>
      <w:r w:rsidR="009B529E" w:rsidRPr="005A1296">
        <w:t>dissociated from the author’s allegations under article</w:t>
      </w:r>
      <w:r w:rsidR="009B529E">
        <w:t>s 6 and</w:t>
      </w:r>
      <w:r w:rsidR="009B529E" w:rsidRPr="005A1296">
        <w:t xml:space="preserve"> 7</w:t>
      </w:r>
      <w:r w:rsidR="00B2725E">
        <w:rPr>
          <w:rFonts w:eastAsia="MS Mincho"/>
          <w:lang w:val="en-US"/>
        </w:rPr>
        <w:t>.</w:t>
      </w:r>
      <w:r w:rsidR="00527B02" w:rsidRPr="00A35864">
        <w:rPr>
          <w:rStyle w:val="FootnoteReference"/>
          <w:rFonts w:eastAsia="MS Mincho"/>
        </w:rPr>
        <w:footnoteReference w:id="13"/>
      </w:r>
      <w:r w:rsidR="00B2725E">
        <w:rPr>
          <w:rFonts w:eastAsia="MS Mincho"/>
          <w:lang w:val="en-US"/>
        </w:rPr>
        <w:t xml:space="preserve"> </w:t>
      </w:r>
      <w:r w:rsidR="005234B9" w:rsidRPr="007B0628">
        <w:rPr>
          <w:rFonts w:eastAsia="MS Mincho"/>
          <w:lang w:val="en-US"/>
        </w:rPr>
        <w:t xml:space="preserve">Accordingly, the Committee </w:t>
      </w:r>
      <w:r w:rsidR="006F1676" w:rsidRPr="007B0628">
        <w:rPr>
          <w:rFonts w:eastAsia="MS Mincho"/>
        </w:rPr>
        <w:t>declares th</w:t>
      </w:r>
      <w:r w:rsidR="00C4227C">
        <w:rPr>
          <w:rFonts w:eastAsia="MS Mincho"/>
        </w:rPr>
        <w:t xml:space="preserve">is claim </w:t>
      </w:r>
      <w:r w:rsidR="006F1676" w:rsidRPr="007B0628">
        <w:rPr>
          <w:rFonts w:eastAsia="MS Mincho"/>
        </w:rPr>
        <w:t xml:space="preserve">admissible and proceeds to </w:t>
      </w:r>
      <w:r w:rsidR="00C4227C">
        <w:rPr>
          <w:rFonts w:eastAsia="MS Mincho"/>
        </w:rPr>
        <w:t>its examination</w:t>
      </w:r>
      <w:r w:rsidR="006F1676" w:rsidRPr="007B0628">
        <w:rPr>
          <w:rFonts w:eastAsia="MS Mincho"/>
        </w:rPr>
        <w:t xml:space="preserve"> o</w:t>
      </w:r>
      <w:r w:rsidR="00C4227C">
        <w:rPr>
          <w:rFonts w:eastAsia="MS Mincho"/>
        </w:rPr>
        <w:t>n</w:t>
      </w:r>
      <w:r w:rsidR="006F1676" w:rsidRPr="007B0628">
        <w:rPr>
          <w:rFonts w:eastAsia="MS Mincho"/>
        </w:rPr>
        <w:t xml:space="preserve"> the merits.</w:t>
      </w:r>
      <w:r w:rsidR="006F1676">
        <w:rPr>
          <w:rFonts w:eastAsia="MS Mincho"/>
        </w:rPr>
        <w:tab/>
      </w:r>
    </w:p>
    <w:p w:rsidR="006F1676" w:rsidRPr="009F2EC1" w:rsidRDefault="000F7801" w:rsidP="006F1676">
      <w:pPr>
        <w:pStyle w:val="H4G"/>
        <w:rPr>
          <w:rFonts w:eastAsia="MS Mincho"/>
        </w:rPr>
      </w:pPr>
      <w:r>
        <w:rPr>
          <w:rFonts w:eastAsia="MS Mincho"/>
        </w:rPr>
        <w:lastRenderedPageBreak/>
        <w:tab/>
      </w:r>
      <w:r>
        <w:rPr>
          <w:rFonts w:eastAsia="MS Mincho"/>
        </w:rPr>
        <w:tab/>
      </w:r>
      <w:r w:rsidR="006F1676" w:rsidRPr="009F2EC1">
        <w:rPr>
          <w:rFonts w:eastAsia="MS Mincho"/>
        </w:rPr>
        <w:t>Consideration of the merits</w:t>
      </w:r>
    </w:p>
    <w:p w:rsidR="006F1676" w:rsidRPr="009F2EC1" w:rsidRDefault="00A6161D" w:rsidP="000F7801">
      <w:pPr>
        <w:pStyle w:val="SingleTxtG"/>
        <w:rPr>
          <w:rFonts w:eastAsia="MS Mincho"/>
        </w:rPr>
      </w:pPr>
      <w:r>
        <w:rPr>
          <w:rFonts w:eastAsia="MS Mincho"/>
          <w:iCs/>
        </w:rPr>
        <w:t>8</w:t>
      </w:r>
      <w:r w:rsidR="006F1676" w:rsidRPr="009F2EC1">
        <w:rPr>
          <w:rFonts w:eastAsia="MS Mincho"/>
          <w:iCs/>
        </w:rPr>
        <w:t>.1</w:t>
      </w:r>
      <w:r w:rsidR="006F1676" w:rsidRPr="009F2EC1">
        <w:rPr>
          <w:rFonts w:eastAsia="MS Mincho"/>
          <w:iCs/>
        </w:rPr>
        <w:tab/>
      </w:r>
      <w:r w:rsidR="006F1676" w:rsidRPr="009F2EC1">
        <w:rPr>
          <w:rFonts w:eastAsia="MS Mincho"/>
        </w:rPr>
        <w:t xml:space="preserve">The Human Rights Committee has considered the communication in the light of all the information made available to it by the parties, </w:t>
      </w:r>
      <w:r w:rsidR="000F7801">
        <w:rPr>
          <w:rFonts w:eastAsia="MS Mincho"/>
        </w:rPr>
        <w:t>in accordance with</w:t>
      </w:r>
      <w:r w:rsidR="006F1676" w:rsidRPr="009F2EC1">
        <w:rPr>
          <w:rFonts w:eastAsia="MS Mincho"/>
        </w:rPr>
        <w:t xml:space="preserve"> article 5</w:t>
      </w:r>
      <w:r w:rsidR="00FB5B26">
        <w:rPr>
          <w:rFonts w:eastAsia="MS Mincho"/>
        </w:rPr>
        <w:t xml:space="preserve"> </w:t>
      </w:r>
      <w:r w:rsidR="006F1676" w:rsidRPr="009F2EC1">
        <w:rPr>
          <w:rFonts w:eastAsia="MS Mincho"/>
        </w:rPr>
        <w:t xml:space="preserve">(1) of the Optional Protocol. </w:t>
      </w:r>
    </w:p>
    <w:p w:rsidR="006F1676" w:rsidRPr="004C04C0" w:rsidRDefault="00A6161D" w:rsidP="004C04C0">
      <w:pPr>
        <w:pStyle w:val="SingleTxtG"/>
      </w:pPr>
      <w:r>
        <w:rPr>
          <w:rFonts w:eastAsia="MS Mincho"/>
        </w:rPr>
        <w:t>8</w:t>
      </w:r>
      <w:r w:rsidR="006F1676">
        <w:rPr>
          <w:rFonts w:eastAsia="MS Mincho"/>
        </w:rPr>
        <w:t>.2</w:t>
      </w:r>
      <w:r w:rsidR="006F1676" w:rsidRPr="009F2EC1">
        <w:rPr>
          <w:rFonts w:eastAsia="MS Mincho"/>
        </w:rPr>
        <w:tab/>
        <w:t xml:space="preserve">The Committee notes the </w:t>
      </w:r>
      <w:r w:rsidR="00EF1AFF">
        <w:rPr>
          <w:rFonts w:eastAsia="MS Mincho"/>
        </w:rPr>
        <w:t>authors’</w:t>
      </w:r>
      <w:r w:rsidR="006F1676" w:rsidRPr="009F2EC1">
        <w:rPr>
          <w:rFonts w:eastAsia="MS Mincho"/>
        </w:rPr>
        <w:t xml:space="preserve"> claim that </w:t>
      </w:r>
      <w:r w:rsidR="00EF1AFF">
        <w:rPr>
          <w:rFonts w:eastAsia="MS Mincho"/>
        </w:rPr>
        <w:t>they</w:t>
      </w:r>
      <w:r w:rsidR="006F1676" w:rsidRPr="009F2EC1">
        <w:rPr>
          <w:rFonts w:eastAsia="MS Mincho"/>
        </w:rPr>
        <w:t xml:space="preserve"> would face ill-treatment </w:t>
      </w:r>
      <w:r w:rsidR="00854273">
        <w:rPr>
          <w:rFonts w:eastAsia="MS Mincho"/>
        </w:rPr>
        <w:t xml:space="preserve">or death </w:t>
      </w:r>
      <w:r w:rsidR="006F1676" w:rsidRPr="009F2EC1">
        <w:rPr>
          <w:rFonts w:eastAsia="MS Mincho"/>
        </w:rPr>
        <w:t xml:space="preserve">if </w:t>
      </w:r>
      <w:r w:rsidR="00EF1AFF">
        <w:rPr>
          <w:rFonts w:eastAsia="MS Mincho"/>
        </w:rPr>
        <w:t>they</w:t>
      </w:r>
      <w:r w:rsidR="006F1676" w:rsidRPr="009F2EC1">
        <w:rPr>
          <w:rFonts w:eastAsia="MS Mincho"/>
        </w:rPr>
        <w:t xml:space="preserve"> were removed to </w:t>
      </w:r>
      <w:r w:rsidR="00EF1AFF">
        <w:rPr>
          <w:rFonts w:eastAsia="MS Mincho"/>
        </w:rPr>
        <w:t>Pakistan</w:t>
      </w:r>
      <w:r w:rsidR="006F1676" w:rsidRPr="009F2EC1">
        <w:rPr>
          <w:rFonts w:eastAsia="MS Mincho"/>
        </w:rPr>
        <w:t xml:space="preserve"> </w:t>
      </w:r>
      <w:r w:rsidR="006F1676" w:rsidRPr="004B64A3">
        <w:rPr>
          <w:rFonts w:eastAsia="MS Mincho"/>
        </w:rPr>
        <w:t xml:space="preserve">due to </w:t>
      </w:r>
      <w:r w:rsidR="003207EE">
        <w:rPr>
          <w:rFonts w:eastAsia="MS Mincho"/>
        </w:rPr>
        <w:t xml:space="preserve">threats they received </w:t>
      </w:r>
      <w:r w:rsidR="00F033D7">
        <w:rPr>
          <w:rFonts w:eastAsia="MS Mincho"/>
        </w:rPr>
        <w:t>because they are Ahmadis</w:t>
      </w:r>
      <w:r w:rsidR="0034636E">
        <w:rPr>
          <w:rFonts w:eastAsia="MS Mincho"/>
        </w:rPr>
        <w:t xml:space="preserve">; and </w:t>
      </w:r>
      <w:r w:rsidR="00323D35">
        <w:rPr>
          <w:rFonts w:eastAsia="MS Mincho"/>
        </w:rPr>
        <w:t xml:space="preserve">that the government authorities in Pakistan would not be able to </w:t>
      </w:r>
      <w:r w:rsidR="00A12D30">
        <w:rPr>
          <w:rFonts w:eastAsia="MS Mincho"/>
        </w:rPr>
        <w:t>shield them from persecution</w:t>
      </w:r>
      <w:r w:rsidR="00323D35">
        <w:rPr>
          <w:rFonts w:eastAsia="MS Mincho"/>
        </w:rPr>
        <w:t xml:space="preserve">, as the Ahmadi </w:t>
      </w:r>
      <w:r w:rsidR="00F033D7">
        <w:rPr>
          <w:rFonts w:eastAsia="MS Mincho"/>
        </w:rPr>
        <w:t>religion</w:t>
      </w:r>
      <w:r w:rsidR="00323D35">
        <w:rPr>
          <w:rFonts w:eastAsia="MS Mincho"/>
        </w:rPr>
        <w:t xml:space="preserve"> is criminalized under domestic law. </w:t>
      </w:r>
      <w:r w:rsidR="0034636E">
        <w:rPr>
          <w:rFonts w:eastAsia="MS Mincho"/>
        </w:rPr>
        <w:t>The Committee</w:t>
      </w:r>
      <w:r w:rsidR="006F1676" w:rsidRPr="009F2EC1">
        <w:rPr>
          <w:rFonts w:eastAsia="MS Mincho"/>
        </w:rPr>
        <w:t xml:space="preserve"> also notes the State party’s observations</w:t>
      </w:r>
      <w:r w:rsidR="0034636E">
        <w:rPr>
          <w:rFonts w:eastAsia="MS Mincho"/>
        </w:rPr>
        <w:t>, inter alia,</w:t>
      </w:r>
      <w:r w:rsidR="006F1676" w:rsidRPr="009F2EC1">
        <w:rPr>
          <w:rFonts w:eastAsia="MS Mincho"/>
        </w:rPr>
        <w:t xml:space="preserve"> that </w:t>
      </w:r>
      <w:r w:rsidR="006F1676" w:rsidRPr="009F2EC1">
        <w:rPr>
          <w:rFonts w:eastAsia="MS Mincho"/>
          <w:lang w:val="en-US"/>
        </w:rPr>
        <w:t>the</w:t>
      </w:r>
      <w:r w:rsidR="0034636E">
        <w:rPr>
          <w:rFonts w:eastAsia="MS Mincho"/>
          <w:lang w:val="en-US"/>
        </w:rPr>
        <w:t>re is no evidence indicating that the authors were particularly singled out in Pakistan</w:t>
      </w:r>
      <w:r w:rsidR="007C41BC">
        <w:rPr>
          <w:rFonts w:eastAsia="MS Mincho"/>
          <w:lang w:val="en-US"/>
        </w:rPr>
        <w:t xml:space="preserve"> and</w:t>
      </w:r>
      <w:r w:rsidR="0034636E">
        <w:rPr>
          <w:rFonts w:eastAsia="MS Mincho"/>
          <w:lang w:val="en-US"/>
        </w:rPr>
        <w:t xml:space="preserve"> that the decision of the Refugee Appeals Board was well</w:t>
      </w:r>
      <w:r w:rsidR="000F7801">
        <w:rPr>
          <w:rFonts w:eastAsia="MS Mincho"/>
          <w:lang w:val="en-US"/>
        </w:rPr>
        <w:t xml:space="preserve"> </w:t>
      </w:r>
      <w:r w:rsidR="0034636E">
        <w:rPr>
          <w:rFonts w:eastAsia="MS Mincho"/>
          <w:lang w:val="en-US"/>
        </w:rPr>
        <w:t>founded and based on a comprehensive and thorough examination of the evidence in the case and on current background material on the situation of Ahmadis in Pakistan</w:t>
      </w:r>
      <w:r w:rsidR="007C41BC">
        <w:rPr>
          <w:rFonts w:eastAsia="MS Mincho"/>
          <w:lang w:val="en-US"/>
        </w:rPr>
        <w:t xml:space="preserve">. </w:t>
      </w:r>
    </w:p>
    <w:p w:rsidR="006F1676" w:rsidRDefault="00A6161D" w:rsidP="00C77996">
      <w:pPr>
        <w:pStyle w:val="SingleTxtG"/>
        <w:rPr>
          <w:rFonts w:eastAsia="MS Mincho"/>
          <w:lang w:val="en-US"/>
        </w:rPr>
      </w:pPr>
      <w:r>
        <w:rPr>
          <w:rFonts w:eastAsia="MS Mincho"/>
        </w:rPr>
        <w:t>8</w:t>
      </w:r>
      <w:r w:rsidR="006F1676" w:rsidRPr="009F2EC1">
        <w:rPr>
          <w:rFonts w:eastAsia="MS Mincho"/>
        </w:rPr>
        <w:t>.3</w:t>
      </w:r>
      <w:r w:rsidR="006F1676" w:rsidRPr="009F2EC1">
        <w:rPr>
          <w:rFonts w:eastAsia="MS Mincho"/>
        </w:rPr>
        <w:tab/>
        <w:t>The Committee recalls its general comment No. 31</w:t>
      </w:r>
      <w:r w:rsidR="00DA3FC8">
        <w:rPr>
          <w:rFonts w:eastAsia="MS Mincho"/>
        </w:rPr>
        <w:t>,</w:t>
      </w:r>
      <w:r w:rsidR="006F1676" w:rsidRPr="009F2EC1">
        <w:rPr>
          <w:rFonts w:eastAsia="MS Mincho"/>
        </w:rPr>
        <w:t xml:space="preserve"> in which it refers to the obligation of States parties not to extradite, deport, expel or otherwise remove a person from their territory when there are substantial grounds for believing that there is a real risk of irreparable harm such as that contemplated </w:t>
      </w:r>
      <w:r w:rsidR="00C77996">
        <w:rPr>
          <w:rFonts w:eastAsia="MS Mincho"/>
        </w:rPr>
        <w:t>in</w:t>
      </w:r>
      <w:r w:rsidR="00C77996" w:rsidRPr="009F2EC1">
        <w:rPr>
          <w:rFonts w:eastAsia="MS Mincho"/>
        </w:rPr>
        <w:t xml:space="preserve"> </w:t>
      </w:r>
      <w:r w:rsidR="006F1676" w:rsidRPr="009F2EC1">
        <w:rPr>
          <w:rFonts w:eastAsia="MS Mincho"/>
        </w:rPr>
        <w:t>articles 6 and 7 of the Covenant.</w:t>
      </w:r>
      <w:r w:rsidR="006F1676" w:rsidRPr="00A35864">
        <w:rPr>
          <w:rStyle w:val="FootnoteReference"/>
          <w:rFonts w:eastAsia="MS Mincho"/>
        </w:rPr>
        <w:footnoteReference w:id="14"/>
      </w:r>
      <w:r w:rsidR="006F1676" w:rsidRPr="009F2EC1">
        <w:rPr>
          <w:rFonts w:eastAsia="MS Mincho"/>
        </w:rPr>
        <w:t xml:space="preserve"> The Committee has also indicated that the risk must be personal</w:t>
      </w:r>
      <w:r w:rsidR="006F1676" w:rsidRPr="00A35864">
        <w:rPr>
          <w:rStyle w:val="FootnoteReference"/>
          <w:rFonts w:eastAsia="MS Mincho"/>
        </w:rPr>
        <w:footnoteReference w:id="15"/>
      </w:r>
      <w:r w:rsidR="006F1676" w:rsidRPr="009F2EC1">
        <w:rPr>
          <w:rFonts w:eastAsia="MS Mincho"/>
        </w:rPr>
        <w:t xml:space="preserve"> and that there is a high threshold for providing substantial grounds to establish that a real risk of irreparable harm exists. Thus, all relevant facts and circumstances must be considered, including the general human </w:t>
      </w:r>
      <w:r w:rsidR="004F4323">
        <w:rPr>
          <w:rFonts w:eastAsia="MS Mincho"/>
        </w:rPr>
        <w:t>rights situation in the author’s</w:t>
      </w:r>
      <w:r w:rsidR="006F1676" w:rsidRPr="009F2EC1">
        <w:rPr>
          <w:rFonts w:eastAsia="MS Mincho"/>
        </w:rPr>
        <w:t xml:space="preserve"> country of origin.</w:t>
      </w:r>
      <w:r w:rsidR="006F1676" w:rsidRPr="00A35864">
        <w:rPr>
          <w:rStyle w:val="FootnoteReference"/>
          <w:rFonts w:eastAsia="MS Mincho"/>
        </w:rPr>
        <w:footnoteReference w:id="16"/>
      </w:r>
      <w:r w:rsidR="006F1676" w:rsidRPr="009F2EC1">
        <w:rPr>
          <w:rFonts w:eastAsia="MS Mincho"/>
        </w:rPr>
        <w:t xml:space="preserve"> </w:t>
      </w:r>
      <w:r w:rsidR="006F1676" w:rsidRPr="009F2EC1">
        <w:rPr>
          <w:rFonts w:eastAsia="MS Mincho"/>
          <w:lang w:val="en-US"/>
        </w:rPr>
        <w:t>The Committee recalls that it is generally for the organs of States parties to examine the facts and evidence of the case</w:t>
      </w:r>
      <w:r w:rsidR="006F1676" w:rsidRPr="009F2EC1">
        <w:rPr>
          <w:rFonts w:eastAsia="MS Mincho"/>
          <w:b/>
          <w:lang w:val="en-US"/>
        </w:rPr>
        <w:t xml:space="preserve"> </w:t>
      </w:r>
      <w:r w:rsidR="006F1676" w:rsidRPr="009F2EC1">
        <w:rPr>
          <w:rFonts w:eastAsia="MS Mincho"/>
          <w:lang w:val="en-US"/>
        </w:rPr>
        <w:t>in order to determine whether such a risk exists, unless it can be established that the assessment was arbitrary or amounted to a manifest error or denial of justice.</w:t>
      </w:r>
      <w:r w:rsidR="00D0333A" w:rsidRPr="00A35864">
        <w:rPr>
          <w:rStyle w:val="FootnoteReference"/>
          <w:rFonts w:eastAsia="MS Mincho"/>
        </w:rPr>
        <w:footnoteReference w:id="17"/>
      </w:r>
    </w:p>
    <w:p w:rsidR="007C41BC" w:rsidRPr="00392574" w:rsidRDefault="00A6161D" w:rsidP="00C77996">
      <w:pPr>
        <w:pStyle w:val="SingleTxtG"/>
      </w:pPr>
      <w:r>
        <w:rPr>
          <w:rFonts w:eastAsia="MS Mincho"/>
          <w:lang w:val="en-US"/>
        </w:rPr>
        <w:t>8</w:t>
      </w:r>
      <w:r w:rsidR="00286900">
        <w:rPr>
          <w:rFonts w:eastAsia="MS Mincho"/>
          <w:lang w:val="en-US"/>
        </w:rPr>
        <w:t>.4</w:t>
      </w:r>
      <w:r w:rsidR="00286900">
        <w:rPr>
          <w:rFonts w:eastAsia="MS Mincho"/>
          <w:lang w:val="en-US"/>
        </w:rPr>
        <w:tab/>
      </w:r>
      <w:r w:rsidR="00286900" w:rsidRPr="00463B9A">
        <w:rPr>
          <w:rFonts w:eastAsia="MS Mincho"/>
          <w:lang w:val="en-US"/>
        </w:rPr>
        <w:t>The Committee takes note that the State party’s authorities, after examining the evidence provided by the author</w:t>
      </w:r>
      <w:r w:rsidR="00286900">
        <w:rPr>
          <w:rFonts w:eastAsia="MS Mincho"/>
          <w:lang w:val="en-US"/>
        </w:rPr>
        <w:t>s</w:t>
      </w:r>
      <w:r w:rsidR="00286900" w:rsidRPr="00463B9A">
        <w:rPr>
          <w:rFonts w:eastAsia="MS Mincho"/>
          <w:lang w:val="en-US"/>
        </w:rPr>
        <w:t xml:space="preserve"> </w:t>
      </w:r>
      <w:r w:rsidR="003207EE">
        <w:rPr>
          <w:rFonts w:eastAsia="MS Mincho"/>
          <w:lang w:val="en-US"/>
        </w:rPr>
        <w:t>in their asylum application</w:t>
      </w:r>
      <w:r w:rsidR="00BB7331">
        <w:rPr>
          <w:rFonts w:eastAsia="MS Mincho"/>
          <w:lang w:val="en-US"/>
        </w:rPr>
        <w:t xml:space="preserve">, </w:t>
      </w:r>
      <w:r w:rsidR="0058568A">
        <w:rPr>
          <w:rFonts w:eastAsia="MS Mincho"/>
          <w:lang w:val="en-US"/>
        </w:rPr>
        <w:t xml:space="preserve">including </w:t>
      </w:r>
      <w:r w:rsidR="00BB7331">
        <w:rPr>
          <w:rFonts w:eastAsia="MS Mincho"/>
          <w:lang w:val="en-US"/>
        </w:rPr>
        <w:t>interviews and oral hearing</w:t>
      </w:r>
      <w:r w:rsidR="0058568A">
        <w:rPr>
          <w:rFonts w:eastAsia="MS Mincho"/>
          <w:lang w:val="en-US"/>
        </w:rPr>
        <w:t>s</w:t>
      </w:r>
      <w:r w:rsidR="00BB7331">
        <w:rPr>
          <w:rFonts w:eastAsia="MS Mincho"/>
          <w:lang w:val="en-US"/>
        </w:rPr>
        <w:t xml:space="preserve">, </w:t>
      </w:r>
      <w:r w:rsidR="00286900" w:rsidRPr="00463B9A">
        <w:rPr>
          <w:rFonts w:eastAsia="MS Mincho"/>
          <w:lang w:val="en-US"/>
        </w:rPr>
        <w:t>found that the author</w:t>
      </w:r>
      <w:r w:rsidR="00BB7331">
        <w:rPr>
          <w:rFonts w:eastAsia="MS Mincho"/>
          <w:lang w:val="en-US"/>
        </w:rPr>
        <w:t>s</w:t>
      </w:r>
      <w:r w:rsidR="00286900" w:rsidRPr="00463B9A">
        <w:rPr>
          <w:rFonts w:eastAsia="MS Mincho"/>
          <w:lang w:val="en-US"/>
        </w:rPr>
        <w:t xml:space="preserve"> had not shown that </w:t>
      </w:r>
      <w:r w:rsidR="00BB7331">
        <w:rPr>
          <w:rFonts w:eastAsia="MS Mincho"/>
          <w:lang w:val="en-US"/>
        </w:rPr>
        <w:t xml:space="preserve">they would be at </w:t>
      </w:r>
      <w:r w:rsidR="0040671A">
        <w:rPr>
          <w:rFonts w:eastAsia="MS Mincho"/>
          <w:lang w:val="en-US"/>
        </w:rPr>
        <w:t xml:space="preserve">a personal </w:t>
      </w:r>
      <w:r w:rsidR="00BB7331">
        <w:rPr>
          <w:rFonts w:eastAsia="MS Mincho"/>
          <w:lang w:val="en-US"/>
        </w:rPr>
        <w:t xml:space="preserve">risk </w:t>
      </w:r>
      <w:r w:rsidR="0040671A">
        <w:rPr>
          <w:rFonts w:eastAsia="MS Mincho"/>
          <w:lang w:val="en-US"/>
        </w:rPr>
        <w:t>of harm upon return to</w:t>
      </w:r>
      <w:r w:rsidR="00BB7331">
        <w:rPr>
          <w:rFonts w:eastAsia="MS Mincho"/>
          <w:lang w:val="en-US"/>
        </w:rPr>
        <w:t xml:space="preserve"> Pakistan. </w:t>
      </w:r>
      <w:r w:rsidR="007C41BC">
        <w:rPr>
          <w:rFonts w:eastAsia="MS Mincho"/>
          <w:lang w:val="en-US"/>
        </w:rPr>
        <w:t>The Committee notes in particular that t</w:t>
      </w:r>
      <w:r w:rsidR="00BB7331">
        <w:rPr>
          <w:rFonts w:eastAsia="MS Mincho"/>
          <w:lang w:val="en-US"/>
        </w:rPr>
        <w:t xml:space="preserve">he Refugee Appeals Board </w:t>
      </w:r>
      <w:r w:rsidR="0058568A">
        <w:rPr>
          <w:rFonts w:eastAsia="MS Mincho"/>
          <w:lang w:val="en-US"/>
        </w:rPr>
        <w:t>accepted the authors’ allegations that they had received threatening letters</w:t>
      </w:r>
      <w:r w:rsidR="00C77996">
        <w:rPr>
          <w:rFonts w:eastAsia="MS Mincho"/>
          <w:lang w:val="en-US"/>
        </w:rPr>
        <w:t>,</w:t>
      </w:r>
      <w:r w:rsidR="0058568A">
        <w:rPr>
          <w:rFonts w:eastAsia="MS Mincho"/>
          <w:lang w:val="en-US"/>
        </w:rPr>
        <w:t xml:space="preserve"> beginning in June 2012, and that unknown individuals had painted a cross on the wall of their house around the same time. </w:t>
      </w:r>
      <w:r w:rsidR="007C41BC">
        <w:rPr>
          <w:rFonts w:eastAsia="MS Mincho"/>
          <w:lang w:val="en-US"/>
        </w:rPr>
        <w:t xml:space="preserve">The Board found that the situation that the authors risk facing </w:t>
      </w:r>
      <w:r w:rsidR="00C77996">
        <w:rPr>
          <w:rFonts w:eastAsia="MS Mincho"/>
          <w:lang w:val="en-US"/>
        </w:rPr>
        <w:t>wa</w:t>
      </w:r>
      <w:r w:rsidR="007C41BC">
        <w:rPr>
          <w:rFonts w:eastAsia="MS Mincho"/>
          <w:lang w:val="en-US"/>
        </w:rPr>
        <w:t>s not so severe as to indicate a well-founded fear of persecution by authorities or private individuals as a result of their religious beliefs. It</w:t>
      </w:r>
      <w:r w:rsidR="007C41BC" w:rsidRPr="00BF7711">
        <w:t xml:space="preserve"> observed that there </w:t>
      </w:r>
      <w:r w:rsidR="007C41BC">
        <w:t>were</w:t>
      </w:r>
      <w:r w:rsidR="007C41BC" w:rsidRPr="00BF7711">
        <w:t xml:space="preserve"> between </w:t>
      </w:r>
      <w:r w:rsidR="00C77996">
        <w:t>2</w:t>
      </w:r>
      <w:r w:rsidR="00C77996" w:rsidRPr="00BF7711">
        <w:t xml:space="preserve"> </w:t>
      </w:r>
      <w:r w:rsidR="00C77996">
        <w:t>and</w:t>
      </w:r>
      <w:r w:rsidR="00C77996" w:rsidRPr="00BF7711">
        <w:t xml:space="preserve"> </w:t>
      </w:r>
      <w:r w:rsidR="00C77996">
        <w:t>4</w:t>
      </w:r>
      <w:r w:rsidR="00A35864">
        <w:t> </w:t>
      </w:r>
      <w:r w:rsidR="007C41BC" w:rsidRPr="00BF7711">
        <w:t xml:space="preserve">million Ahmadis in Pakistan, and that Pakistani legislation </w:t>
      </w:r>
      <w:r w:rsidR="007C41BC">
        <w:t>had</w:t>
      </w:r>
      <w:r w:rsidR="007C41BC" w:rsidRPr="00BF7711">
        <w:t xml:space="preserve"> significantly restricted their ability to practi</w:t>
      </w:r>
      <w:r w:rsidR="0090016F">
        <w:t>s</w:t>
      </w:r>
      <w:r w:rsidR="007C41BC" w:rsidRPr="00BF7711">
        <w:t xml:space="preserve">e their faith. As a result, Ahmadis </w:t>
      </w:r>
      <w:r w:rsidR="007C41BC">
        <w:t>were</w:t>
      </w:r>
      <w:r w:rsidR="007C41BC" w:rsidRPr="00BF7711">
        <w:t xml:space="preserve"> often threatened and harassed by unspecified other groups. However, </w:t>
      </w:r>
      <w:r w:rsidR="007C41BC">
        <w:t xml:space="preserve">the Board found that </w:t>
      </w:r>
      <w:r w:rsidR="007C41BC" w:rsidRPr="00BF7711">
        <w:t xml:space="preserve">the authors had not substantiated their claim that they would face a specific and individualized risk of persecution or abuse in Pakistan. The persecution endured by the authors </w:t>
      </w:r>
      <w:r w:rsidR="007C41BC">
        <w:t>had been</w:t>
      </w:r>
      <w:r w:rsidR="007C41BC" w:rsidRPr="00BF7711">
        <w:t xml:space="preserve"> of “limited severity”</w:t>
      </w:r>
      <w:r w:rsidR="00C77996">
        <w:t>,</w:t>
      </w:r>
      <w:r w:rsidR="007C41BC" w:rsidRPr="00BF7711">
        <w:t xml:space="preserve"> as they </w:t>
      </w:r>
      <w:r w:rsidR="007C41BC">
        <w:t>had only been</w:t>
      </w:r>
      <w:r w:rsidR="007C41BC" w:rsidRPr="00BF7711">
        <w:t xml:space="preserve"> subjected to threats for a short period of time before their departure</w:t>
      </w:r>
      <w:r w:rsidR="007C41BC">
        <w:t xml:space="preserve">. Moreover, these anonymous threats were of a </w:t>
      </w:r>
      <w:r w:rsidR="007C41BC" w:rsidRPr="00BF7711">
        <w:t>nature</w:t>
      </w:r>
      <w:r w:rsidR="007C41BC">
        <w:t xml:space="preserve"> similar to the nature of anonymous threats to which many Ahmadis had been subjected.</w:t>
      </w:r>
      <w:r w:rsidR="007C41BC" w:rsidRPr="00BF7711">
        <w:t xml:space="preserve"> The Board also </w:t>
      </w:r>
      <w:r w:rsidR="007C41BC" w:rsidRPr="00BF7711">
        <w:lastRenderedPageBreak/>
        <w:t xml:space="preserve">took into account </w:t>
      </w:r>
      <w:r w:rsidR="007C41BC">
        <w:t>the female authors’ statement that the</w:t>
      </w:r>
      <w:r w:rsidR="007C41BC" w:rsidRPr="00BF7711">
        <w:t xml:space="preserve"> authors’ sons still lived in the same house the authors had lived in in </w:t>
      </w:r>
      <w:r w:rsidR="007C41BC">
        <w:t>Lahore,</w:t>
      </w:r>
      <w:r w:rsidR="007C41BC" w:rsidRPr="00BF7711">
        <w:t xml:space="preserve"> continued to work in the family business and had not been subjected to harassment following the authors’ departure. </w:t>
      </w:r>
    </w:p>
    <w:p w:rsidR="004552D9" w:rsidRDefault="00AC5955" w:rsidP="00C067D0">
      <w:pPr>
        <w:pStyle w:val="SingleTxtG"/>
        <w:rPr>
          <w:rFonts w:eastAsia="MS Mincho"/>
          <w:lang w:val="en-US"/>
        </w:rPr>
      </w:pPr>
      <w:r>
        <w:rPr>
          <w:rFonts w:eastAsia="MS Mincho"/>
          <w:lang w:val="en-US"/>
        </w:rPr>
        <w:t>8.5</w:t>
      </w:r>
      <w:r>
        <w:rPr>
          <w:rFonts w:eastAsia="MS Mincho"/>
          <w:lang w:val="en-US"/>
        </w:rPr>
        <w:tab/>
      </w:r>
      <w:r w:rsidR="005C33B4">
        <w:rPr>
          <w:rFonts w:eastAsia="MS Mincho"/>
          <w:lang w:val="en-US"/>
        </w:rPr>
        <w:t xml:space="preserve">The Committee </w:t>
      </w:r>
      <w:r w:rsidR="007C41BC">
        <w:rPr>
          <w:rFonts w:eastAsia="MS Mincho"/>
          <w:lang w:val="en-US"/>
        </w:rPr>
        <w:t xml:space="preserve">further </w:t>
      </w:r>
      <w:r w:rsidR="005C33B4">
        <w:rPr>
          <w:rFonts w:eastAsia="MS Mincho"/>
          <w:lang w:val="en-US"/>
        </w:rPr>
        <w:t xml:space="preserve">takes note of </w:t>
      </w:r>
      <w:r w:rsidR="004552D9">
        <w:rPr>
          <w:rFonts w:eastAsia="MS Mincho"/>
          <w:lang w:val="en-US"/>
        </w:rPr>
        <w:t>the Board’s findings that</w:t>
      </w:r>
      <w:r w:rsidR="00C77996">
        <w:rPr>
          <w:rFonts w:eastAsia="MS Mincho"/>
          <w:lang w:val="en-US"/>
        </w:rPr>
        <w:t>,</w:t>
      </w:r>
      <w:r w:rsidR="004552D9">
        <w:rPr>
          <w:rFonts w:eastAsia="MS Mincho"/>
          <w:lang w:val="en-US"/>
        </w:rPr>
        <w:t xml:space="preserve"> </w:t>
      </w:r>
      <w:r w:rsidR="001A0423">
        <w:rPr>
          <w:rFonts w:eastAsia="MS Mincho"/>
          <w:lang w:val="en-US"/>
        </w:rPr>
        <w:t xml:space="preserve">while Ahmadis in Pakistan </w:t>
      </w:r>
      <w:r w:rsidR="00C77996">
        <w:rPr>
          <w:rFonts w:eastAsia="MS Mincho"/>
          <w:lang w:val="en-US"/>
        </w:rPr>
        <w:t>we</w:t>
      </w:r>
      <w:r w:rsidR="00007562">
        <w:rPr>
          <w:rFonts w:eastAsia="MS Mincho"/>
          <w:lang w:val="en-US"/>
        </w:rPr>
        <w:t xml:space="preserve">re often subjected to threats and harassment by other groups, </w:t>
      </w:r>
      <w:r w:rsidR="00173E0D">
        <w:rPr>
          <w:rFonts w:eastAsia="MS Mincho"/>
          <w:lang w:val="en-US"/>
        </w:rPr>
        <w:t>both authors</w:t>
      </w:r>
      <w:r w:rsidR="004552D9">
        <w:rPr>
          <w:rFonts w:eastAsia="MS Mincho"/>
          <w:lang w:val="en-US"/>
        </w:rPr>
        <w:t xml:space="preserve"> stated during domestic proceedings that no one had verbally threatened them or approached them </w:t>
      </w:r>
      <w:r w:rsidR="00C77996">
        <w:rPr>
          <w:rFonts w:eastAsia="MS Mincho"/>
          <w:lang w:val="en-US"/>
        </w:rPr>
        <w:t>in person</w:t>
      </w:r>
      <w:r w:rsidR="004552D9">
        <w:rPr>
          <w:rFonts w:eastAsia="MS Mincho"/>
          <w:lang w:val="en-US"/>
        </w:rPr>
        <w:t>.</w:t>
      </w:r>
      <w:r w:rsidR="00883A5F">
        <w:rPr>
          <w:rFonts w:eastAsia="MS Mincho"/>
          <w:lang w:val="en-US"/>
        </w:rPr>
        <w:t xml:space="preserve"> </w:t>
      </w:r>
      <w:r w:rsidR="007C41BC">
        <w:rPr>
          <w:rFonts w:eastAsia="MS Mincho"/>
          <w:lang w:val="en-US"/>
        </w:rPr>
        <w:t>The Committee</w:t>
      </w:r>
      <w:r w:rsidR="00173E0D">
        <w:rPr>
          <w:rFonts w:eastAsia="MS Mincho"/>
          <w:lang w:val="en-US"/>
        </w:rPr>
        <w:t xml:space="preserve"> </w:t>
      </w:r>
      <w:r w:rsidR="008E4BD9">
        <w:rPr>
          <w:rFonts w:eastAsia="MS Mincho"/>
          <w:lang w:val="en-US"/>
        </w:rPr>
        <w:t xml:space="preserve">also </w:t>
      </w:r>
      <w:r w:rsidR="00173E0D">
        <w:rPr>
          <w:rFonts w:eastAsia="MS Mincho"/>
          <w:lang w:val="en-US"/>
        </w:rPr>
        <w:t>notes the authors’ statements in</w:t>
      </w:r>
      <w:r w:rsidR="00A23F96">
        <w:rPr>
          <w:rFonts w:eastAsia="MS Mincho"/>
          <w:lang w:val="en-US"/>
        </w:rPr>
        <w:t xml:space="preserve"> their </w:t>
      </w:r>
      <w:r w:rsidR="00173E0D">
        <w:rPr>
          <w:rFonts w:eastAsia="MS Mincho"/>
          <w:lang w:val="en-US"/>
        </w:rPr>
        <w:t xml:space="preserve">asylum application and </w:t>
      </w:r>
      <w:r w:rsidR="00A23F96">
        <w:rPr>
          <w:rFonts w:eastAsia="MS Mincho"/>
          <w:lang w:val="en-US"/>
        </w:rPr>
        <w:t xml:space="preserve">communication that they </w:t>
      </w:r>
      <w:r w:rsidR="00C067D0">
        <w:rPr>
          <w:rFonts w:eastAsia="MS Mincho"/>
          <w:lang w:val="en-US"/>
        </w:rPr>
        <w:t xml:space="preserve">had been </w:t>
      </w:r>
      <w:r w:rsidR="00A23F96">
        <w:rPr>
          <w:rFonts w:eastAsia="MS Mincho"/>
          <w:lang w:val="en-US"/>
        </w:rPr>
        <w:t xml:space="preserve">the target of </w:t>
      </w:r>
      <w:r w:rsidR="00A116D4">
        <w:rPr>
          <w:rFonts w:eastAsia="MS Mincho"/>
          <w:lang w:val="en-US"/>
        </w:rPr>
        <w:t xml:space="preserve">three </w:t>
      </w:r>
      <w:r w:rsidR="00A23F96">
        <w:rPr>
          <w:rFonts w:eastAsia="MS Mincho"/>
          <w:lang w:val="en-US"/>
        </w:rPr>
        <w:t xml:space="preserve">incidents in </w:t>
      </w:r>
      <w:r w:rsidR="00A116D4">
        <w:rPr>
          <w:rFonts w:eastAsia="MS Mincho"/>
          <w:lang w:val="en-US"/>
        </w:rPr>
        <w:t xml:space="preserve">three </w:t>
      </w:r>
      <w:r w:rsidR="00A23F96">
        <w:rPr>
          <w:rFonts w:eastAsia="MS Mincho"/>
          <w:lang w:val="en-US"/>
        </w:rPr>
        <w:t xml:space="preserve">areas outside of Lahore, but </w:t>
      </w:r>
      <w:r w:rsidR="00173E0D">
        <w:rPr>
          <w:rFonts w:eastAsia="MS Mincho"/>
          <w:lang w:val="en-US"/>
        </w:rPr>
        <w:t>observes that they</w:t>
      </w:r>
      <w:r w:rsidR="00A116D4">
        <w:rPr>
          <w:rFonts w:eastAsia="MS Mincho"/>
          <w:lang w:val="en-US"/>
        </w:rPr>
        <w:t xml:space="preserve"> did not provide further </w:t>
      </w:r>
      <w:r w:rsidR="00A23F96">
        <w:rPr>
          <w:rFonts w:eastAsia="MS Mincho"/>
          <w:lang w:val="en-US"/>
        </w:rPr>
        <w:t>details on this either to the Committee or the Danish autho</w:t>
      </w:r>
      <w:r>
        <w:rPr>
          <w:rFonts w:eastAsia="MS Mincho"/>
          <w:lang w:val="en-US"/>
        </w:rPr>
        <w:t>rities.</w:t>
      </w:r>
      <w:r w:rsidR="007C41BC">
        <w:rPr>
          <w:rFonts w:eastAsia="MS Mincho"/>
          <w:lang w:val="en-US"/>
        </w:rPr>
        <w:t xml:space="preserve"> W</w:t>
      </w:r>
      <w:r w:rsidR="004552D9">
        <w:rPr>
          <w:rFonts w:eastAsia="MS Mincho"/>
          <w:lang w:val="en-US"/>
        </w:rPr>
        <w:t>hile the authors allege that one of their sons had to flee Pakistan, th</w:t>
      </w:r>
      <w:r w:rsidR="00C067D0">
        <w:rPr>
          <w:rFonts w:eastAsia="MS Mincho"/>
          <w:lang w:val="en-US"/>
        </w:rPr>
        <w:t>at</w:t>
      </w:r>
      <w:r w:rsidR="004552D9">
        <w:rPr>
          <w:rFonts w:eastAsia="MS Mincho"/>
          <w:lang w:val="en-US"/>
        </w:rPr>
        <w:t xml:space="preserve"> assertion </w:t>
      </w:r>
      <w:r w:rsidR="009C7C19">
        <w:rPr>
          <w:rFonts w:eastAsia="MS Mincho"/>
          <w:lang w:val="en-US"/>
        </w:rPr>
        <w:t>was not</w:t>
      </w:r>
      <w:r w:rsidR="004552D9">
        <w:rPr>
          <w:rFonts w:eastAsia="MS Mincho"/>
          <w:lang w:val="en-US"/>
        </w:rPr>
        <w:t xml:space="preserve"> presented before the domestic authorities and the authors provide</w:t>
      </w:r>
      <w:r w:rsidR="00C067D0">
        <w:rPr>
          <w:rFonts w:eastAsia="MS Mincho"/>
          <w:lang w:val="en-US"/>
        </w:rPr>
        <w:t xml:space="preserve"> no</w:t>
      </w:r>
      <w:r w:rsidR="004552D9">
        <w:rPr>
          <w:rFonts w:eastAsia="MS Mincho"/>
          <w:lang w:val="en-US"/>
        </w:rPr>
        <w:t xml:space="preserve"> furthe</w:t>
      </w:r>
      <w:r w:rsidR="004E4EF3">
        <w:rPr>
          <w:rFonts w:eastAsia="MS Mincho"/>
          <w:lang w:val="en-US"/>
        </w:rPr>
        <w:t xml:space="preserve">r information on the </w:t>
      </w:r>
      <w:r w:rsidR="008E4BD9">
        <w:rPr>
          <w:rFonts w:eastAsia="MS Mincho"/>
          <w:lang w:val="en-US"/>
        </w:rPr>
        <w:t>circumstances surrounding</w:t>
      </w:r>
      <w:r w:rsidR="004552D9">
        <w:rPr>
          <w:rFonts w:eastAsia="MS Mincho"/>
          <w:lang w:val="en-US"/>
        </w:rPr>
        <w:t xml:space="preserve"> their son’s departure.</w:t>
      </w:r>
      <w:r w:rsidR="002C11FB" w:rsidRPr="002C11FB">
        <w:rPr>
          <w:rFonts w:eastAsia="MS Mincho"/>
          <w:highlight w:val="yellow"/>
          <w:lang w:val="en-US"/>
        </w:rPr>
        <w:t xml:space="preserve"> </w:t>
      </w:r>
    </w:p>
    <w:p w:rsidR="004552D9" w:rsidRPr="00C03B36" w:rsidRDefault="004552D9" w:rsidP="00C067D0">
      <w:pPr>
        <w:pStyle w:val="SingleTxtG"/>
        <w:rPr>
          <w:rFonts w:eastAsia="MS Mincho"/>
        </w:rPr>
      </w:pPr>
      <w:r>
        <w:rPr>
          <w:rFonts w:eastAsia="MS Mincho"/>
        </w:rPr>
        <w:t>8</w:t>
      </w:r>
      <w:r w:rsidR="00125D1A">
        <w:rPr>
          <w:rFonts w:eastAsia="MS Mincho"/>
        </w:rPr>
        <w:t>.</w:t>
      </w:r>
      <w:r w:rsidR="001B35D2">
        <w:rPr>
          <w:rFonts w:eastAsia="MS Mincho"/>
        </w:rPr>
        <w:t>6</w:t>
      </w:r>
      <w:r w:rsidRPr="00463B9A">
        <w:rPr>
          <w:rFonts w:eastAsia="MS Mincho"/>
        </w:rPr>
        <w:tab/>
      </w:r>
      <w:r w:rsidR="007C41BC">
        <w:rPr>
          <w:rFonts w:eastAsia="MS Mincho"/>
        </w:rPr>
        <w:t>T</w:t>
      </w:r>
      <w:r w:rsidRPr="00463B9A">
        <w:rPr>
          <w:rFonts w:eastAsia="MS Mincho"/>
        </w:rPr>
        <w:t xml:space="preserve">he Committee considers that the </w:t>
      </w:r>
      <w:r>
        <w:rPr>
          <w:rFonts w:eastAsia="MS Mincho"/>
        </w:rPr>
        <w:t>authors have</w:t>
      </w:r>
      <w:r w:rsidRPr="00463B9A">
        <w:rPr>
          <w:rFonts w:eastAsia="MS Mincho"/>
          <w:lang w:val="en-US"/>
        </w:rPr>
        <w:t xml:space="preserve"> not identified any irregularity in the decision-making process or any risk factor that the State party’s authorities failed to take properly into account. </w:t>
      </w:r>
      <w:r w:rsidR="0081602C">
        <w:rPr>
          <w:rFonts w:eastAsia="MS Mincho"/>
          <w:lang w:val="en-US"/>
        </w:rPr>
        <w:t>W</w:t>
      </w:r>
      <w:r w:rsidRPr="00463B9A">
        <w:rPr>
          <w:rFonts w:eastAsia="MS Mincho"/>
          <w:lang w:val="en-US"/>
        </w:rPr>
        <w:t xml:space="preserve">hile the </w:t>
      </w:r>
      <w:r>
        <w:rPr>
          <w:rFonts w:eastAsia="MS Mincho"/>
          <w:lang w:val="en-US"/>
        </w:rPr>
        <w:t>authors disagree</w:t>
      </w:r>
      <w:r w:rsidRPr="00463B9A">
        <w:rPr>
          <w:rFonts w:eastAsia="MS Mincho"/>
          <w:lang w:val="en-US"/>
        </w:rPr>
        <w:t xml:space="preserve"> with the factual conclusions of the State party’s authorities, </w:t>
      </w:r>
      <w:r>
        <w:rPr>
          <w:rFonts w:eastAsia="MS Mincho"/>
          <w:lang w:val="en-US"/>
        </w:rPr>
        <w:t>they have not</w:t>
      </w:r>
      <w:r w:rsidRPr="00463B9A">
        <w:rPr>
          <w:rFonts w:eastAsia="MS Mincho"/>
          <w:lang w:val="en-US"/>
        </w:rPr>
        <w:t xml:space="preserve"> shown that </w:t>
      </w:r>
      <w:r>
        <w:rPr>
          <w:rFonts w:eastAsia="MS Mincho"/>
          <w:lang w:val="en-US"/>
        </w:rPr>
        <w:t>th</w:t>
      </w:r>
      <w:r w:rsidR="00C067D0">
        <w:rPr>
          <w:rFonts w:eastAsia="MS Mincho"/>
          <w:lang w:val="en-US"/>
        </w:rPr>
        <w:t>o</w:t>
      </w:r>
      <w:r>
        <w:rPr>
          <w:rFonts w:eastAsia="MS Mincho"/>
          <w:lang w:val="en-US"/>
        </w:rPr>
        <w:t>se conclusions</w:t>
      </w:r>
      <w:r w:rsidRPr="00463B9A">
        <w:rPr>
          <w:rFonts w:eastAsia="MS Mincho"/>
          <w:lang w:val="en-US"/>
        </w:rPr>
        <w:t xml:space="preserve"> were arbitrary or manifestly erroneous, or amounted to a denial of justice. </w:t>
      </w:r>
      <w:r w:rsidRPr="00463B9A">
        <w:rPr>
          <w:rFonts w:eastAsia="MS Mincho"/>
          <w:lang w:val="x-none"/>
        </w:rPr>
        <w:t xml:space="preserve">In the light of the above, the Committee cannot conclude that the information before it shows that the </w:t>
      </w:r>
      <w:r>
        <w:rPr>
          <w:rFonts w:eastAsia="MS Mincho"/>
          <w:lang w:val="en-US"/>
        </w:rPr>
        <w:t>authors</w:t>
      </w:r>
      <w:r w:rsidRPr="00463B9A">
        <w:rPr>
          <w:rFonts w:eastAsia="MS Mincho"/>
          <w:lang w:val="x-none"/>
        </w:rPr>
        <w:t xml:space="preserve"> would face a</w:t>
      </w:r>
      <w:r w:rsidRPr="00463B9A">
        <w:rPr>
          <w:rFonts w:eastAsia="MS Mincho"/>
        </w:rPr>
        <w:t xml:space="preserve"> personal and</w:t>
      </w:r>
      <w:r w:rsidRPr="00463B9A">
        <w:rPr>
          <w:rFonts w:eastAsia="MS Mincho"/>
          <w:lang w:val="x-none"/>
        </w:rPr>
        <w:t xml:space="preserve"> real risk of treatment contrary to article</w:t>
      </w:r>
      <w:r w:rsidR="001B4440">
        <w:rPr>
          <w:rFonts w:eastAsia="MS Mincho"/>
          <w:lang w:val="en-US"/>
        </w:rPr>
        <w:t>s 6</w:t>
      </w:r>
      <w:r w:rsidR="00C067D0">
        <w:rPr>
          <w:rFonts w:eastAsia="MS Mincho"/>
          <w:lang w:val="en-US"/>
        </w:rPr>
        <w:t xml:space="preserve"> </w:t>
      </w:r>
      <w:r w:rsidRPr="00463B9A">
        <w:rPr>
          <w:rFonts w:eastAsia="MS Mincho"/>
          <w:lang w:val="en-US"/>
        </w:rPr>
        <w:t>(1) or</w:t>
      </w:r>
      <w:r w:rsidRPr="00463B9A">
        <w:rPr>
          <w:rFonts w:eastAsia="MS Mincho"/>
          <w:lang w:val="x-none"/>
        </w:rPr>
        <w:t xml:space="preserve"> 7 of the Covenant if </w:t>
      </w:r>
      <w:r>
        <w:rPr>
          <w:rFonts w:eastAsia="MS Mincho"/>
          <w:lang w:val="en-US"/>
        </w:rPr>
        <w:t>they were removed to Pakistan</w:t>
      </w:r>
      <w:r w:rsidRPr="00463B9A">
        <w:rPr>
          <w:rFonts w:eastAsia="MS Mincho"/>
          <w:lang w:val="x-none"/>
        </w:rPr>
        <w:t>.</w:t>
      </w:r>
      <w:r w:rsidR="00527B02" w:rsidRPr="00C03B36">
        <w:rPr>
          <w:rFonts w:eastAsia="MS Mincho"/>
        </w:rPr>
        <w:t xml:space="preserve"> I</w:t>
      </w:r>
      <w:r w:rsidR="00527B02">
        <w:rPr>
          <w:rFonts w:eastAsia="MS Mincho"/>
        </w:rPr>
        <w:t>n the light of this conclusion</w:t>
      </w:r>
      <w:r w:rsidR="00C067D0">
        <w:rPr>
          <w:rFonts w:eastAsia="MS Mincho"/>
        </w:rPr>
        <w:t>,</w:t>
      </w:r>
      <w:r w:rsidR="00527B02">
        <w:rPr>
          <w:rFonts w:eastAsia="MS Mincho"/>
        </w:rPr>
        <w:t xml:space="preserve"> the Committee will not examine the authors claim under article 18, </w:t>
      </w:r>
      <w:r w:rsidR="00C067D0">
        <w:rPr>
          <w:rFonts w:eastAsia="MS Mincho"/>
        </w:rPr>
        <w:t>in conjunction with</w:t>
      </w:r>
      <w:r w:rsidR="00527B02">
        <w:rPr>
          <w:rFonts w:eastAsia="MS Mincho"/>
        </w:rPr>
        <w:t xml:space="preserve"> articles 6</w:t>
      </w:r>
      <w:r w:rsidR="00C067D0">
        <w:rPr>
          <w:rFonts w:eastAsia="MS Mincho"/>
        </w:rPr>
        <w:t xml:space="preserve"> </w:t>
      </w:r>
      <w:r w:rsidR="00527B02">
        <w:rPr>
          <w:rFonts w:eastAsia="MS Mincho"/>
        </w:rPr>
        <w:t>(1) and 7.</w:t>
      </w:r>
    </w:p>
    <w:p w:rsidR="007B5323" w:rsidRDefault="004552D9" w:rsidP="004552D9">
      <w:pPr>
        <w:pStyle w:val="SingleTxtG"/>
        <w:rPr>
          <w:rFonts w:eastAsia="MS Mincho"/>
        </w:rPr>
      </w:pPr>
      <w:r>
        <w:rPr>
          <w:rFonts w:eastAsia="MS Mincho"/>
        </w:rPr>
        <w:t>9</w:t>
      </w:r>
      <w:r w:rsidRPr="009F2EC1">
        <w:rPr>
          <w:rFonts w:eastAsia="MS Mincho"/>
        </w:rPr>
        <w:t>.</w:t>
      </w:r>
      <w:r w:rsidRPr="009F2EC1">
        <w:rPr>
          <w:rFonts w:eastAsia="MS Mincho"/>
        </w:rPr>
        <w:tab/>
        <w:t>The Committee, acting under article 5</w:t>
      </w:r>
      <w:r w:rsidR="00C067D0">
        <w:rPr>
          <w:rFonts w:eastAsia="MS Mincho"/>
        </w:rPr>
        <w:t xml:space="preserve"> </w:t>
      </w:r>
      <w:r w:rsidRPr="009F2EC1">
        <w:rPr>
          <w:rFonts w:eastAsia="MS Mincho"/>
        </w:rPr>
        <w:t xml:space="preserve">(4) of the Optional Protocol, is of the view that the </w:t>
      </w:r>
      <w:r>
        <w:rPr>
          <w:rFonts w:eastAsia="MS Mincho"/>
        </w:rPr>
        <w:t xml:space="preserve">authors’ removal to Pakistan </w:t>
      </w:r>
      <w:r w:rsidRPr="009F2EC1">
        <w:rPr>
          <w:rFonts w:eastAsia="MS Mincho"/>
        </w:rPr>
        <w:t xml:space="preserve">would not violate </w:t>
      </w:r>
      <w:r>
        <w:rPr>
          <w:rFonts w:eastAsia="MS Mincho"/>
        </w:rPr>
        <w:t>their</w:t>
      </w:r>
      <w:r w:rsidRPr="009F2EC1">
        <w:rPr>
          <w:rFonts w:eastAsia="MS Mincho"/>
        </w:rPr>
        <w:t xml:space="preserve"> rights under articles 6</w:t>
      </w:r>
      <w:r>
        <w:rPr>
          <w:rFonts w:eastAsia="MS Mincho"/>
        </w:rPr>
        <w:t xml:space="preserve"> </w:t>
      </w:r>
      <w:r w:rsidR="009528A5">
        <w:rPr>
          <w:rFonts w:eastAsia="MS Mincho"/>
        </w:rPr>
        <w:t xml:space="preserve">(1), 7 or 18 </w:t>
      </w:r>
      <w:r w:rsidRPr="009F2EC1">
        <w:rPr>
          <w:rFonts w:eastAsia="MS Mincho"/>
        </w:rPr>
        <w:t>of the Covenant.</w:t>
      </w:r>
    </w:p>
    <w:p w:rsidR="00B61233" w:rsidRPr="002E62DA" w:rsidRDefault="007B5323" w:rsidP="002E62DA">
      <w:pPr>
        <w:pStyle w:val="SingleTxtG"/>
        <w:spacing w:before="240" w:after="0"/>
        <w:jc w:val="center"/>
        <w:rPr>
          <w:rFonts w:eastAsia="MS Mincho"/>
          <w:u w:val="single"/>
        </w:rPr>
      </w:pPr>
      <w:r>
        <w:rPr>
          <w:rFonts w:eastAsia="MS Mincho"/>
          <w:u w:val="single"/>
        </w:rPr>
        <w:tab/>
      </w:r>
      <w:r>
        <w:rPr>
          <w:rFonts w:eastAsia="MS Mincho"/>
          <w:u w:val="single"/>
        </w:rPr>
        <w:tab/>
      </w:r>
      <w:r>
        <w:rPr>
          <w:rFonts w:eastAsia="MS Mincho"/>
          <w:u w:val="single"/>
        </w:rPr>
        <w:tab/>
      </w:r>
    </w:p>
    <w:sectPr w:rsidR="00B61233" w:rsidRPr="002E62DA" w:rsidSect="00425EF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DAB" w:rsidRDefault="00E72DAB"/>
  </w:endnote>
  <w:endnote w:type="continuationSeparator" w:id="0">
    <w:p w:rsidR="00E72DAB" w:rsidRDefault="00E72DAB"/>
  </w:endnote>
  <w:endnote w:type="continuationNotice" w:id="1">
    <w:p w:rsidR="00E72DAB" w:rsidRDefault="00E72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D0" w:rsidRPr="00A40224" w:rsidRDefault="00C067D0" w:rsidP="00A40224">
    <w:pPr>
      <w:pStyle w:val="Footer"/>
      <w:tabs>
        <w:tab w:val="right" w:pos="9638"/>
      </w:tabs>
    </w:pPr>
    <w:r w:rsidRPr="00A40224">
      <w:rPr>
        <w:b/>
        <w:sz w:val="18"/>
      </w:rPr>
      <w:fldChar w:fldCharType="begin"/>
    </w:r>
    <w:r w:rsidRPr="00A40224">
      <w:rPr>
        <w:b/>
        <w:sz w:val="18"/>
      </w:rPr>
      <w:instrText xml:space="preserve"> PAGE  \* MERGEFORMAT </w:instrText>
    </w:r>
    <w:r w:rsidRPr="00A40224">
      <w:rPr>
        <w:b/>
        <w:sz w:val="18"/>
      </w:rPr>
      <w:fldChar w:fldCharType="separate"/>
    </w:r>
    <w:r w:rsidR="006A25E2">
      <w:rPr>
        <w:b/>
        <w:noProof/>
        <w:sz w:val="18"/>
      </w:rPr>
      <w:t>2</w:t>
    </w:r>
    <w:r w:rsidRPr="00A4022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D0" w:rsidRPr="00A40224" w:rsidRDefault="00C067D0" w:rsidP="00A40224">
    <w:pPr>
      <w:pStyle w:val="Footer"/>
      <w:tabs>
        <w:tab w:val="right" w:pos="9638"/>
      </w:tabs>
      <w:rPr>
        <w:b/>
        <w:sz w:val="18"/>
      </w:rPr>
    </w:pPr>
    <w:r>
      <w:tab/>
    </w:r>
    <w:r w:rsidRPr="00A40224">
      <w:rPr>
        <w:b/>
        <w:sz w:val="18"/>
      </w:rPr>
      <w:fldChar w:fldCharType="begin"/>
    </w:r>
    <w:r w:rsidRPr="00A40224">
      <w:rPr>
        <w:b/>
        <w:sz w:val="18"/>
      </w:rPr>
      <w:instrText xml:space="preserve"> PAGE  \* MERGEFORMAT </w:instrText>
    </w:r>
    <w:r w:rsidRPr="00A40224">
      <w:rPr>
        <w:b/>
        <w:sz w:val="18"/>
      </w:rPr>
      <w:fldChar w:fldCharType="separate"/>
    </w:r>
    <w:r w:rsidR="006A25E2">
      <w:rPr>
        <w:b/>
        <w:noProof/>
        <w:sz w:val="18"/>
      </w:rPr>
      <w:t>3</w:t>
    </w:r>
    <w:r w:rsidRPr="00A4022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D0" w:rsidRDefault="00E61FF1" w:rsidP="00E61FF1">
    <w:pPr>
      <w:pStyle w:val="Footer"/>
      <w:rPr>
        <w:rFonts w:ascii="C39T30Lfz" w:hAnsi="C39T30Lfz"/>
        <w:sz w:val="20"/>
      </w:rPr>
    </w:pPr>
    <w:r w:rsidRPr="00E61FF1">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E61FF1" w:rsidRPr="00E61FF1" w:rsidRDefault="00E61FF1" w:rsidP="00E61FF1">
    <w:pPr>
      <w:pStyle w:val="Footer"/>
      <w:ind w:right="1134"/>
      <w:rPr>
        <w:sz w:val="20"/>
      </w:rPr>
    </w:pPr>
    <w:r w:rsidRPr="00E61FF1">
      <w:rPr>
        <w:sz w:val="20"/>
      </w:rPr>
      <w:t>GE.16-15573(E)</w:t>
    </w:r>
  </w:p>
  <w:p w:rsidR="00E61FF1" w:rsidRPr="00E61FF1" w:rsidRDefault="00E61FF1" w:rsidP="00E61FF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0080" cy="640080"/>
          <wp:effectExtent l="0" t="0" r="7620" b="7620"/>
          <wp:wrapNone/>
          <wp:docPr id="2" name="Picture 1" descr="http://undocs.org/m2/QRCode.ashx?DS=CCPR/C/117/D/2291/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291/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DAB" w:rsidRPr="000B175B" w:rsidRDefault="00E72DAB" w:rsidP="000B175B">
      <w:pPr>
        <w:tabs>
          <w:tab w:val="right" w:pos="2155"/>
        </w:tabs>
        <w:spacing w:after="80"/>
        <w:ind w:left="680"/>
        <w:rPr>
          <w:u w:val="single"/>
        </w:rPr>
      </w:pPr>
      <w:r>
        <w:rPr>
          <w:u w:val="single"/>
        </w:rPr>
        <w:tab/>
      </w:r>
    </w:p>
  </w:footnote>
  <w:footnote w:type="continuationSeparator" w:id="0">
    <w:p w:rsidR="00E72DAB" w:rsidRPr="00FC68B7" w:rsidRDefault="00E72DAB" w:rsidP="00FC68B7">
      <w:pPr>
        <w:tabs>
          <w:tab w:val="left" w:pos="2155"/>
        </w:tabs>
        <w:spacing w:after="80"/>
        <w:ind w:left="680"/>
        <w:rPr>
          <w:u w:val="single"/>
        </w:rPr>
      </w:pPr>
      <w:r>
        <w:rPr>
          <w:u w:val="single"/>
        </w:rPr>
        <w:tab/>
      </w:r>
    </w:p>
  </w:footnote>
  <w:footnote w:type="continuationNotice" w:id="1">
    <w:p w:rsidR="00E72DAB" w:rsidRDefault="00E72DAB"/>
  </w:footnote>
  <w:footnote w:id="2">
    <w:p w:rsidR="00C067D0" w:rsidRPr="001E52C7" w:rsidRDefault="00C067D0" w:rsidP="00B83F15">
      <w:pPr>
        <w:pStyle w:val="FootnoteText"/>
      </w:pPr>
      <w:r w:rsidRPr="00C03B36">
        <w:rPr>
          <w:rStyle w:val="FootnoteReference"/>
          <w:sz w:val="20"/>
          <w:vertAlign w:val="baseline"/>
        </w:rPr>
        <w:tab/>
        <w:t>*</w:t>
      </w:r>
      <w:r>
        <w:rPr>
          <w:rStyle w:val="FootnoteReference"/>
          <w:sz w:val="20"/>
        </w:rPr>
        <w:tab/>
      </w:r>
      <w:r>
        <w:t xml:space="preserve">Adopted by the Committee </w:t>
      </w:r>
      <w:r w:rsidRPr="009E4187">
        <w:t xml:space="preserve">at its </w:t>
      </w:r>
      <w:r w:rsidRPr="001E52C7">
        <w:t>11</w:t>
      </w:r>
      <w:r>
        <w:t xml:space="preserve">7th </w:t>
      </w:r>
      <w:r w:rsidRPr="009E4187">
        <w:t>session (</w:t>
      </w:r>
      <w:r>
        <w:t>20 June</w:t>
      </w:r>
      <w:r w:rsidRPr="001E52C7">
        <w:t>-</w:t>
      </w:r>
      <w:r>
        <w:t>15 July</w:t>
      </w:r>
      <w:r w:rsidRPr="001E52C7">
        <w:t xml:space="preserve"> 2016</w:t>
      </w:r>
      <w:r w:rsidRPr="009E4187">
        <w:t>).</w:t>
      </w:r>
    </w:p>
  </w:footnote>
  <w:footnote w:id="3">
    <w:p w:rsidR="00C067D0" w:rsidRPr="000E50E7" w:rsidRDefault="00C067D0" w:rsidP="00C26201">
      <w:pPr>
        <w:pStyle w:val="FootnoteText"/>
      </w:pPr>
      <w:r>
        <w:rPr>
          <w:rStyle w:val="FootnoteReference"/>
        </w:rPr>
        <w:tab/>
      </w:r>
      <w:r w:rsidRPr="00C03B36">
        <w:rPr>
          <w:rStyle w:val="FootnoteReference"/>
          <w:sz w:val="20"/>
          <w:vertAlign w:val="baseline"/>
        </w:rPr>
        <w:t>**</w:t>
      </w:r>
      <w:r w:rsidRPr="000E50E7">
        <w:tab/>
      </w:r>
      <w:r w:rsidRPr="004256A1">
        <w:t xml:space="preserve">The </w:t>
      </w:r>
      <w:r w:rsidRPr="00E56497">
        <w:t>following</w:t>
      </w:r>
      <w:r w:rsidRPr="004256A1">
        <w:t xml:space="preserve"> members of the Committee participated in the examination of the present communication: </w:t>
      </w:r>
      <w:r w:rsidRPr="00051600">
        <w:t xml:space="preserve">Yadh Ben Achour, Lazhari Bouzid, Sarah Cleveland, Olivier de Frouville, </w:t>
      </w:r>
      <w:r w:rsidRPr="00DC7AA0">
        <w:t>Ahmed</w:t>
      </w:r>
      <w:r w:rsidR="002F2AFD">
        <w:t> </w:t>
      </w:r>
      <w:r w:rsidRPr="00DC7AA0">
        <w:t xml:space="preserve">Amin Fathalla, </w:t>
      </w:r>
      <w:r w:rsidRPr="00051600">
        <w:t xml:space="preserve">Yuji Iwasawa, Ivana Jelić, Photini Pazartzis, Mauro Politi, </w:t>
      </w:r>
      <w:r w:rsidRPr="00051600">
        <w:rPr>
          <w:bCs/>
        </w:rPr>
        <w:t>Sir</w:t>
      </w:r>
      <w:r w:rsidRPr="00051600">
        <w:t xml:space="preserve"> Nigel Rodley, V</w:t>
      </w:r>
      <w:r>
        <w:t>í</w:t>
      </w:r>
      <w:r w:rsidRPr="00051600">
        <w:t>ctor Manuel Rodríguez-Rescia, Fabián Omar Salvioli, Dheerujlall Seetulsingh, Anja Seibert-Fohr, Yuval Shany, Konstantine Vardzelashvili and Margo Waterval</w:t>
      </w:r>
      <w:r w:rsidRPr="004256A1">
        <w:rPr>
          <w:bCs/>
          <w:lang w:val="en-US"/>
        </w:rPr>
        <w:t>.</w:t>
      </w:r>
    </w:p>
  </w:footnote>
  <w:footnote w:id="4">
    <w:p w:rsidR="00C067D0" w:rsidRPr="0081173C" w:rsidRDefault="00C067D0" w:rsidP="00051600">
      <w:pPr>
        <w:pStyle w:val="FootnoteText"/>
      </w:pPr>
      <w:r>
        <w:tab/>
      </w:r>
      <w:r w:rsidRPr="00A35864">
        <w:rPr>
          <w:rStyle w:val="FootnoteReference"/>
        </w:rPr>
        <w:footnoteRef/>
      </w:r>
      <w:r>
        <w:tab/>
        <w:t xml:space="preserve">On his asylum application, the male author stated that there had been two to three incidents against them, in Hafizabad, Dunyapur and then Multan. The female author’s application did not mention those incidents and neither author mentioned them during their interviews with the Danish Immigration Service or at the hearing before the Refugee Appeals Board, although the authors were asked whether any further incidents against them had taken place. The incidents were mentioned in the communication; no further details were provided. </w:t>
      </w:r>
    </w:p>
  </w:footnote>
  <w:footnote w:id="5">
    <w:p w:rsidR="00C067D0" w:rsidRPr="003B65C5" w:rsidRDefault="00C067D0" w:rsidP="00777F4B">
      <w:pPr>
        <w:pStyle w:val="FootnoteText"/>
      </w:pPr>
      <w:r>
        <w:tab/>
      </w:r>
      <w:r w:rsidRPr="00A35864">
        <w:rPr>
          <w:rStyle w:val="FootnoteReference"/>
        </w:rPr>
        <w:footnoteRef/>
      </w:r>
      <w:r>
        <w:tab/>
        <w:t>The communication does not</w:t>
      </w:r>
      <w:r w:rsidRPr="003B65C5">
        <w:t xml:space="preserve"> provide further details on </w:t>
      </w:r>
      <w:r>
        <w:t>the assertions in this paragraph</w:t>
      </w:r>
      <w:r w:rsidRPr="003B65C5">
        <w:t>.</w:t>
      </w:r>
      <w:r>
        <w:t xml:space="preserve"> During his interview with the Danish Immigration Service, the male author stated that his son living in Denmark had sent them an invitation in September 2012 because he wanted to show his parents where he lived. When asked if it was then correct that the authors had begun to plan their departure before receiving threatening letters, the male author stated that he did not know because it was his wife who had been planning their departure.</w:t>
      </w:r>
    </w:p>
  </w:footnote>
  <w:footnote w:id="6">
    <w:p w:rsidR="00C067D0" w:rsidRPr="003B65C5" w:rsidRDefault="00C067D0" w:rsidP="00051600">
      <w:pPr>
        <w:pStyle w:val="FootnoteText"/>
      </w:pPr>
      <w:r>
        <w:tab/>
      </w:r>
      <w:r w:rsidRPr="00A35864">
        <w:rPr>
          <w:rStyle w:val="FootnoteReference"/>
        </w:rPr>
        <w:footnoteRef/>
      </w:r>
      <w:r>
        <w:tab/>
      </w:r>
      <w:r w:rsidRPr="003B65C5">
        <w:t xml:space="preserve">The authors </w:t>
      </w:r>
      <w:r>
        <w:t>refer generally</w:t>
      </w:r>
      <w:r w:rsidRPr="003B65C5">
        <w:t xml:space="preserve"> to the United States</w:t>
      </w:r>
      <w:r w:rsidR="007E57CE">
        <w:t xml:space="preserve"> of America</w:t>
      </w:r>
      <w:r>
        <w:t>,</w:t>
      </w:r>
      <w:r w:rsidRPr="003B65C5">
        <w:t xml:space="preserve"> </w:t>
      </w:r>
      <w:r>
        <w:t>Department of State,</w:t>
      </w:r>
      <w:r w:rsidRPr="003B65C5">
        <w:t xml:space="preserve"> </w:t>
      </w:r>
      <w:r>
        <w:t>“International religious freedom r</w:t>
      </w:r>
      <w:r w:rsidRPr="003B65C5">
        <w:t>eport</w:t>
      </w:r>
      <w:r>
        <w:t xml:space="preserve">”. </w:t>
      </w:r>
    </w:p>
  </w:footnote>
  <w:footnote w:id="7">
    <w:p w:rsidR="00C067D0" w:rsidRPr="003B65C5" w:rsidRDefault="00C067D0" w:rsidP="00777F4B">
      <w:pPr>
        <w:pStyle w:val="FootnoteText"/>
      </w:pPr>
      <w:r>
        <w:tab/>
      </w:r>
      <w:r w:rsidRPr="00A35864">
        <w:rPr>
          <w:rStyle w:val="FootnoteReference"/>
        </w:rPr>
        <w:footnoteRef/>
      </w:r>
      <w:r>
        <w:tab/>
      </w:r>
      <w:r w:rsidRPr="003B65C5">
        <w:t xml:space="preserve">The authors cite the European Court of Justice, </w:t>
      </w:r>
      <w:r>
        <w:t xml:space="preserve">cases </w:t>
      </w:r>
      <w:r w:rsidRPr="003B65C5">
        <w:t>C-71/11 and C-99/11 (</w:t>
      </w:r>
      <w:r w:rsidRPr="003B65C5">
        <w:rPr>
          <w:i/>
        </w:rPr>
        <w:t>X and Y v. Germany</w:t>
      </w:r>
      <w:r w:rsidRPr="003B65C5">
        <w:t xml:space="preserve">), </w:t>
      </w:r>
      <w:r w:rsidR="003F6FD9">
        <w:t>judg</w:t>
      </w:r>
      <w:r>
        <w:t xml:space="preserve">ment of 5 September 2012 </w:t>
      </w:r>
      <w:r w:rsidRPr="003B65C5">
        <w:t>concerning the application of EU Directive 2004/83/EF; and sections 298 and 295 of the Pakistan Penal Code.</w:t>
      </w:r>
    </w:p>
  </w:footnote>
  <w:footnote w:id="8">
    <w:p w:rsidR="00C067D0" w:rsidRPr="009364BD" w:rsidRDefault="00C067D0" w:rsidP="00777F4B">
      <w:pPr>
        <w:pStyle w:val="FootnoteText"/>
      </w:pPr>
      <w:r>
        <w:tab/>
      </w:r>
      <w:r w:rsidRPr="00A35864">
        <w:rPr>
          <w:rStyle w:val="FootnoteReference"/>
        </w:rPr>
        <w:footnoteRef/>
      </w:r>
      <w:r>
        <w:tab/>
        <w:t xml:space="preserve">According to the transcript of the authors’ interview with the Danish Immigration Service, the male author stated that his nephew had died instantly during this attack in </w:t>
      </w:r>
      <w:r w:rsidRPr="00C067D0">
        <w:t>Allama</w:t>
      </w:r>
      <w:r>
        <w:t xml:space="preserve"> Iqbal, Lahore, and that </w:t>
      </w:r>
      <w:r w:rsidRPr="00CD369B">
        <w:t>he had not gone to mo</w:t>
      </w:r>
      <w:r>
        <w:t>sque services that day for Friday prayers because he had been very ill</w:t>
      </w:r>
      <w:r w:rsidRPr="00CD369B">
        <w:t>. He further stated that the female author and the</w:t>
      </w:r>
      <w:r>
        <w:t>ir</w:t>
      </w:r>
      <w:r w:rsidRPr="00CD369B">
        <w:t xml:space="preserve"> children had not gone</w:t>
      </w:r>
      <w:r>
        <w:t xml:space="preserve"> to the mosque that day</w:t>
      </w:r>
      <w:r w:rsidRPr="00CD369B">
        <w:t xml:space="preserve"> either, because they were not allowed to. </w:t>
      </w:r>
      <w:r>
        <w:t>He</w:t>
      </w:r>
      <w:r w:rsidRPr="00CD369B">
        <w:t xml:space="preserve"> had </w:t>
      </w:r>
      <w:r>
        <w:t xml:space="preserve">learned of the attack from a police officer with whom he was smoking in a café. </w:t>
      </w:r>
      <w:r w:rsidRPr="00CD369B">
        <w:t xml:space="preserve">Later, at about 8 p.m. that evening, his sister’s son </w:t>
      </w:r>
      <w:r>
        <w:t>had come</w:t>
      </w:r>
      <w:r w:rsidRPr="00CD369B">
        <w:t xml:space="preserve"> to the</w:t>
      </w:r>
      <w:r>
        <w:t>ir</w:t>
      </w:r>
      <w:r w:rsidRPr="00CD369B">
        <w:t xml:space="preserve"> home and informed them of th</w:t>
      </w:r>
      <w:r>
        <w:t>e death</w:t>
      </w:r>
      <w:r w:rsidRPr="00CD369B">
        <w:t>. The female author told the Danish Immigration Service that</w:t>
      </w:r>
      <w:r>
        <w:t>,</w:t>
      </w:r>
      <w:r w:rsidRPr="00CD369B">
        <w:t xml:space="preserve"> </w:t>
      </w:r>
      <w:r>
        <w:t xml:space="preserve">on the day of </w:t>
      </w:r>
      <w:r w:rsidRPr="00CD369B">
        <w:t>the attack</w:t>
      </w:r>
      <w:r>
        <w:t>,</w:t>
      </w:r>
      <w:r w:rsidRPr="00CD369B">
        <w:t xml:space="preserve"> </w:t>
      </w:r>
      <w:r>
        <w:t xml:space="preserve">the authors were being driven by their driver to the mosque for Friday prayers </w:t>
      </w:r>
      <w:r w:rsidRPr="00CD369B">
        <w:t xml:space="preserve">when their son called </w:t>
      </w:r>
      <w:r>
        <w:t>to say</w:t>
      </w:r>
      <w:r w:rsidRPr="00CD369B">
        <w:t xml:space="preserve"> that there</w:t>
      </w:r>
      <w:r>
        <w:t xml:space="preserve"> were armed individuals in the mosque nearby. According to the female author, the authors had run to the mosque to try to bring their nephew to safety, but had not entered because of the presence of armed individuals and a suicide bomber. They had remained outside the mosque for about three hours and had heard shots being fired. When asked about the inconsistency in the authors’ statements on this issue, the female author maintained that she had been present outside the mosque with the male author on the day of the attack. During the hearing before the Refugee Appeals Board, the male author stated that he had learned of the attack on the mosque while sitting outside his home and talking to acquaintances. Both he and one of the acquaintances had received phone calls regarding the attack. The authors had then taken a rickshaw to the mosque.</w:t>
      </w:r>
    </w:p>
  </w:footnote>
  <w:footnote w:id="9">
    <w:p w:rsidR="00C067D0" w:rsidRPr="003B65C5" w:rsidRDefault="00C067D0" w:rsidP="00816EC2">
      <w:pPr>
        <w:pStyle w:val="FootnoteText"/>
      </w:pPr>
      <w:r>
        <w:tab/>
      </w:r>
      <w:r w:rsidRPr="00A35864">
        <w:rPr>
          <w:rStyle w:val="FootnoteReference"/>
        </w:rPr>
        <w:footnoteRef/>
      </w:r>
      <w:r>
        <w:tab/>
        <w:t>In the report, entitled “</w:t>
      </w:r>
      <w:r w:rsidRPr="00C067D0">
        <w:t>Thematic memorandum – Pakistan: the situation of Ahmadis</w:t>
      </w:r>
      <w:r w:rsidRPr="003B65C5">
        <w:t>”</w:t>
      </w:r>
      <w:r>
        <w:t>, it is</w:t>
      </w:r>
      <w:r w:rsidRPr="003B65C5">
        <w:t xml:space="preserve"> state</w:t>
      </w:r>
      <w:r>
        <w:t>d</w:t>
      </w:r>
      <w:r w:rsidRPr="003B65C5">
        <w:t xml:space="preserve">, inter alia, </w:t>
      </w:r>
      <w:r>
        <w:t>that, according to statistics provided by Ahmadi leaders, between 2005 and the end of 2012, 60</w:t>
      </w:r>
      <w:r w:rsidR="00A35864">
        <w:t> </w:t>
      </w:r>
      <w:r>
        <w:t xml:space="preserve">Ahmadis were charged with blasphemy under section 295-C of the Pakistan Penal Code, and therefore faced the death penalty. A historical study published by the Center for Research and Security Studies indicated that during the 50-year period from 1953 to 2012, five Ahmadis were killed for blasphemy. The report also cites guidelines published in 2012 by the United Nations High Commissioner for Refugees as stating, “Blasphemy cases carry a mandatory capital punishment since 1991, although no death sentence has reportedly been </w:t>
      </w:r>
      <w:r w:rsidRPr="00B32959">
        <w:t>carried out”</w:t>
      </w:r>
      <w:r>
        <w:t>.</w:t>
      </w:r>
      <w:r w:rsidRPr="00B32959">
        <w:t xml:space="preserve"> </w:t>
      </w:r>
      <w:r>
        <w:t xml:space="preserve">The report also cites </w:t>
      </w:r>
      <w:r w:rsidRPr="00B32959">
        <w:t>Ahmadi</w:t>
      </w:r>
      <w:r>
        <w:t xml:space="preserve"> leaders as stating in 2014 that a legislative amendment requiring senior police officials to investigate and approve a blasphemy charge before a report can be taken has not had the intended effect, and cases of false charges against Ahmadis can still occur. However, relatively few cases are brought before the courts and adjudicated. Nevertheless, there is always a risk that individuals who have been charged will be remanded in custody and subjected to proceedings that do not comply with due process. Concerning violence, the report states that Ahmadis endure desecration of graves, violent demonstrations and, in relatively few cases, killings. The authorities show little will to protect Ahmadis, whether by making legislative amendments or taking measures against abuse and abusers. This means that “serious discrimination, harassment and violence against Ahmadis take place without any countermeasures being taken by the authorities”. Persons enjoying local status and esteem are those who are most often exposed to targeted killings. “Low-profile or ordinary Ahmadis are only exposed to targeted killing if they have been charged with blasphemy”.</w:t>
      </w:r>
    </w:p>
  </w:footnote>
  <w:footnote w:id="10">
    <w:p w:rsidR="00C067D0" w:rsidRPr="00C03B36" w:rsidRDefault="00C067D0" w:rsidP="00C03B36">
      <w:pPr>
        <w:pStyle w:val="FootnoteText"/>
        <w:rPr>
          <w:rFonts w:eastAsia="Times New Roman"/>
          <w:szCs w:val="18"/>
          <w:highlight w:val="yellow"/>
        </w:rPr>
      </w:pPr>
      <w:r>
        <w:tab/>
      </w:r>
      <w:r w:rsidRPr="00A35864">
        <w:rPr>
          <w:rStyle w:val="FootnoteReference"/>
        </w:rPr>
        <w:footnoteRef/>
      </w:r>
      <w:r>
        <w:tab/>
      </w:r>
      <w:r w:rsidRPr="00C067D0">
        <w:t>See communications No. 2007/2010</w:t>
      </w:r>
      <w:r w:rsidRPr="006B591F">
        <w:t xml:space="preserve">, </w:t>
      </w:r>
      <w:r w:rsidRPr="006B591F">
        <w:rPr>
          <w:i/>
        </w:rPr>
        <w:t>J.J.M. v. Denmark</w:t>
      </w:r>
      <w:r w:rsidRPr="006B591F">
        <w:t>,</w:t>
      </w:r>
      <w:r w:rsidRPr="00C067D0">
        <w:t xml:space="preserve"> Views adopted on 26 March 2014, para. 8.5; </w:t>
      </w:r>
      <w:r>
        <w:t>No.</w:t>
      </w:r>
      <w:r w:rsidR="0085760F">
        <w:rPr>
          <w:szCs w:val="18"/>
        </w:rPr>
        <w:t xml:space="preserve"> </w:t>
      </w:r>
      <w:r w:rsidRPr="00C067D0">
        <w:rPr>
          <w:szCs w:val="18"/>
        </w:rPr>
        <w:t xml:space="preserve">1494/2006, </w:t>
      </w:r>
      <w:r w:rsidRPr="00C067D0">
        <w:rPr>
          <w:i/>
          <w:szCs w:val="18"/>
        </w:rPr>
        <w:t>A.C. and her children, S., M. and E.B. v. Netherlands</w:t>
      </w:r>
      <w:r w:rsidRPr="00C067D0">
        <w:rPr>
          <w:szCs w:val="18"/>
        </w:rPr>
        <w:t xml:space="preserve">, decision of inadmissibility adopted on 22 July 2008, para 8.4; </w:t>
      </w:r>
      <w:r w:rsidR="006B591F">
        <w:rPr>
          <w:szCs w:val="18"/>
        </w:rPr>
        <w:t xml:space="preserve">and </w:t>
      </w:r>
      <w:r>
        <w:rPr>
          <w:szCs w:val="18"/>
        </w:rPr>
        <w:t xml:space="preserve">No. </w:t>
      </w:r>
      <w:r w:rsidRPr="0085760F">
        <w:rPr>
          <w:szCs w:val="18"/>
        </w:rPr>
        <w:t xml:space="preserve">1234/2003, </w:t>
      </w:r>
      <w:r w:rsidRPr="0085760F">
        <w:rPr>
          <w:i/>
          <w:iCs/>
          <w:szCs w:val="18"/>
        </w:rPr>
        <w:t>P.K. v. Canada</w:t>
      </w:r>
      <w:r w:rsidRPr="0085760F">
        <w:rPr>
          <w:szCs w:val="18"/>
        </w:rPr>
        <w:t>, decision of inadmissibility adopted on 20 March 2007, paras. 7.4 and 7.5.</w:t>
      </w:r>
    </w:p>
  </w:footnote>
  <w:footnote w:id="11">
    <w:p w:rsidR="00C067D0" w:rsidRPr="00C03B36" w:rsidRDefault="00C067D0" w:rsidP="0085760F">
      <w:pPr>
        <w:pStyle w:val="FootnoteText"/>
        <w:rPr>
          <w:highlight w:val="yellow"/>
        </w:rPr>
      </w:pPr>
      <w:r w:rsidRPr="0085760F">
        <w:tab/>
      </w:r>
      <w:r w:rsidRPr="00A35864">
        <w:rPr>
          <w:rStyle w:val="FootnoteReference"/>
        </w:rPr>
        <w:footnoteRef/>
      </w:r>
      <w:r w:rsidRPr="0085760F">
        <w:tab/>
        <w:t>See communication No. 2288/2013</w:t>
      </w:r>
      <w:r w:rsidR="0085760F">
        <w:t xml:space="preserve">, </w:t>
      </w:r>
      <w:r w:rsidR="0085760F" w:rsidRPr="00C03B36">
        <w:rPr>
          <w:i/>
          <w:iCs/>
        </w:rPr>
        <w:t>Y</w:t>
      </w:r>
      <w:r w:rsidRPr="0085760F">
        <w:rPr>
          <w:i/>
        </w:rPr>
        <w:t xml:space="preserve"> v. Denmark</w:t>
      </w:r>
      <w:r w:rsidRPr="0085760F">
        <w:t>, Views adopted on 2</w:t>
      </w:r>
      <w:r w:rsidR="0085760F" w:rsidRPr="00C03B36">
        <w:t>2</w:t>
      </w:r>
      <w:r w:rsidRPr="0085760F">
        <w:t xml:space="preserve"> July 2015, para. 6.4; </w:t>
      </w:r>
      <w:r w:rsidR="006B591F">
        <w:t xml:space="preserve">and </w:t>
      </w:r>
      <w:r w:rsidRPr="0085760F">
        <w:t>g</w:t>
      </w:r>
      <w:r w:rsidRPr="0085760F">
        <w:rPr>
          <w:color w:val="000000"/>
          <w:lang w:val="en-US" w:eastAsia="en-GB"/>
        </w:rPr>
        <w:t xml:space="preserve">eneral comment No. 32 (2007) on the right to equality before courts and tribunals and to a fair trial, paras. 17 and 62. </w:t>
      </w:r>
    </w:p>
  </w:footnote>
  <w:footnote w:id="12">
    <w:p w:rsidR="00C067D0" w:rsidRPr="00F14977" w:rsidRDefault="00C067D0" w:rsidP="0085760F">
      <w:pPr>
        <w:pStyle w:val="FootnoteText"/>
      </w:pPr>
      <w:r w:rsidRPr="0085760F">
        <w:tab/>
      </w:r>
      <w:r w:rsidRPr="00A35864">
        <w:rPr>
          <w:rStyle w:val="FootnoteReference"/>
        </w:rPr>
        <w:footnoteRef/>
      </w:r>
      <w:r w:rsidRPr="0085760F">
        <w:tab/>
        <w:t>See general comment No. 15</w:t>
      </w:r>
      <w:r w:rsidR="0085760F" w:rsidRPr="00C03B36">
        <w:t xml:space="preserve"> on</w:t>
      </w:r>
      <w:r w:rsidRPr="0085760F">
        <w:t xml:space="preserve"> </w:t>
      </w:r>
      <w:r w:rsidR="0085760F" w:rsidRPr="00C03B36">
        <w:t>t</w:t>
      </w:r>
      <w:r w:rsidRPr="0085760F">
        <w:t>he position of aliens under the Covenant, para. 10.</w:t>
      </w:r>
      <w:r>
        <w:t xml:space="preserve"> </w:t>
      </w:r>
    </w:p>
  </w:footnote>
  <w:footnote w:id="13">
    <w:p w:rsidR="00C067D0" w:rsidRPr="00C03B36" w:rsidRDefault="00C067D0">
      <w:pPr>
        <w:pStyle w:val="FootnoteText"/>
        <w:rPr>
          <w:highlight w:val="yellow"/>
        </w:rPr>
      </w:pPr>
      <w:r>
        <w:tab/>
      </w:r>
      <w:r w:rsidRPr="00A35864">
        <w:rPr>
          <w:rStyle w:val="FootnoteReference"/>
        </w:rPr>
        <w:footnoteRef/>
      </w:r>
      <w:r>
        <w:tab/>
      </w:r>
      <w:r w:rsidRPr="00C03B36">
        <w:t xml:space="preserve">See communication No. 2329/2014, </w:t>
      </w:r>
      <w:r w:rsidRPr="00C03B36">
        <w:rPr>
          <w:i/>
        </w:rPr>
        <w:t>Z v. Denmark</w:t>
      </w:r>
      <w:r w:rsidRPr="0085760F">
        <w:t>, Views adopted on 15 July 2015, para. 6.4.</w:t>
      </w:r>
    </w:p>
  </w:footnote>
  <w:footnote w:id="14">
    <w:p w:rsidR="00C067D0" w:rsidRPr="00C03B36" w:rsidRDefault="00C067D0" w:rsidP="00777F4B">
      <w:pPr>
        <w:pStyle w:val="FootnoteText"/>
        <w:rPr>
          <w:highlight w:val="yellow"/>
        </w:rPr>
      </w:pPr>
      <w:r w:rsidRPr="00C77996">
        <w:tab/>
      </w:r>
      <w:r w:rsidRPr="00A35864">
        <w:rPr>
          <w:rStyle w:val="FootnoteReference"/>
        </w:rPr>
        <w:footnoteRef/>
      </w:r>
      <w:r w:rsidRPr="00C77996">
        <w:tab/>
        <w:t>See general comment No. 31 (2004) on the nature of the general legal obligation imposed on States parties to the Covenant, para. 12.</w:t>
      </w:r>
    </w:p>
  </w:footnote>
  <w:footnote w:id="15">
    <w:p w:rsidR="00C067D0" w:rsidRPr="00C03B36" w:rsidRDefault="00C067D0" w:rsidP="00777F4B">
      <w:pPr>
        <w:pStyle w:val="FootnoteText"/>
        <w:rPr>
          <w:highlight w:val="yellow"/>
        </w:rPr>
      </w:pPr>
      <w:r w:rsidRPr="0085760F">
        <w:tab/>
      </w:r>
      <w:r w:rsidRPr="00A35864">
        <w:rPr>
          <w:rStyle w:val="FootnoteReference"/>
        </w:rPr>
        <w:footnoteRef/>
      </w:r>
      <w:r w:rsidRPr="0085760F">
        <w:tab/>
        <w:t>See</w:t>
      </w:r>
      <w:r w:rsidR="006B591F">
        <w:t>,</w:t>
      </w:r>
      <w:r w:rsidRPr="0085760F">
        <w:t xml:space="preserve"> inter alia</w:t>
      </w:r>
      <w:r w:rsidR="006B591F">
        <w:t>,</w:t>
      </w:r>
      <w:r w:rsidRPr="0085760F">
        <w:t xml:space="preserve"> communications No. 2393/2014, </w:t>
      </w:r>
      <w:r w:rsidRPr="0085760F">
        <w:rPr>
          <w:i/>
        </w:rPr>
        <w:t>K v. Denmark</w:t>
      </w:r>
      <w:r w:rsidRPr="0085760F">
        <w:t>, Views adopted on 16 July 2015, para.</w:t>
      </w:r>
      <w:r w:rsidR="00A35864">
        <w:t> </w:t>
      </w:r>
      <w:r w:rsidRPr="0085760F">
        <w:t xml:space="preserve">7.3; </w:t>
      </w:r>
      <w:r w:rsidR="0085760F">
        <w:t xml:space="preserve">No. </w:t>
      </w:r>
      <w:r w:rsidRPr="0085760F">
        <w:t xml:space="preserve">2272/2013, </w:t>
      </w:r>
      <w:r w:rsidRPr="0085760F">
        <w:rPr>
          <w:i/>
        </w:rPr>
        <w:t>P.T. v. Denmark</w:t>
      </w:r>
      <w:r w:rsidRPr="0085760F">
        <w:t xml:space="preserve">, Views adopted on 1 April 2015, para. 7.2; </w:t>
      </w:r>
      <w:r w:rsidR="0085760F">
        <w:t xml:space="preserve">and </w:t>
      </w:r>
      <w:r w:rsidRPr="0085760F">
        <w:t>No.</w:t>
      </w:r>
      <w:r w:rsidR="00345290">
        <w:t> </w:t>
      </w:r>
      <w:r w:rsidRPr="0085760F">
        <w:t xml:space="preserve">2007/2010, </w:t>
      </w:r>
      <w:r w:rsidR="0085760F" w:rsidRPr="00E55C9B">
        <w:rPr>
          <w:i/>
        </w:rPr>
        <w:t>J.J.M.</w:t>
      </w:r>
      <w:r w:rsidRPr="00E55C9B">
        <w:rPr>
          <w:i/>
        </w:rPr>
        <w:t xml:space="preserve"> v. Denmark</w:t>
      </w:r>
      <w:r w:rsidRPr="0085760F">
        <w:t>, Views adopted on 26 March 2014, para. 9.2.</w:t>
      </w:r>
    </w:p>
  </w:footnote>
  <w:footnote w:id="16">
    <w:p w:rsidR="00C067D0" w:rsidRPr="0085760F" w:rsidRDefault="00C067D0" w:rsidP="0085760F">
      <w:pPr>
        <w:pStyle w:val="FootnoteText"/>
      </w:pPr>
      <w:r w:rsidRPr="0085760F">
        <w:tab/>
      </w:r>
      <w:r w:rsidRPr="00A35864">
        <w:rPr>
          <w:rStyle w:val="FootnoteReference"/>
        </w:rPr>
        <w:footnoteRef/>
      </w:r>
      <w:r w:rsidRPr="0085760F">
        <w:tab/>
        <w:t>See communications No. 2007/2010,</w:t>
      </w:r>
      <w:r w:rsidRPr="0085760F">
        <w:rPr>
          <w:i/>
          <w:iCs/>
        </w:rPr>
        <w:t xml:space="preserve"> </w:t>
      </w:r>
      <w:r w:rsidR="0085760F" w:rsidRPr="00C03B36">
        <w:rPr>
          <w:i/>
          <w:iCs/>
        </w:rPr>
        <w:t>J.J.M.</w:t>
      </w:r>
      <w:r w:rsidRPr="00E55C9B">
        <w:rPr>
          <w:i/>
          <w:iCs/>
        </w:rPr>
        <w:t xml:space="preserve"> v.</w:t>
      </w:r>
      <w:r w:rsidRPr="0085760F">
        <w:rPr>
          <w:i/>
          <w:iCs/>
        </w:rPr>
        <w:t xml:space="preserve"> Denmark</w:t>
      </w:r>
      <w:r w:rsidRPr="0085760F">
        <w:t>, Views adopted on 26 March 2014, para. 9.2;</w:t>
      </w:r>
      <w:r w:rsidR="0085760F">
        <w:t xml:space="preserve"> and</w:t>
      </w:r>
      <w:r w:rsidRPr="0085760F">
        <w:t xml:space="preserve"> </w:t>
      </w:r>
      <w:r w:rsidR="0085760F">
        <w:t xml:space="preserve">No. </w:t>
      </w:r>
      <w:r w:rsidRPr="0085760F">
        <w:t>1833/2008</w:t>
      </w:r>
      <w:r w:rsidRPr="00C03B36">
        <w:rPr>
          <w:iCs/>
        </w:rPr>
        <w:t>,</w:t>
      </w:r>
      <w:r w:rsidRPr="0085760F">
        <w:rPr>
          <w:i/>
        </w:rPr>
        <w:t xml:space="preserve"> X. v. Sweden</w:t>
      </w:r>
      <w:r w:rsidRPr="0085760F">
        <w:t xml:space="preserve">, Views adopted on 1 November 2011, para. 5.18. </w:t>
      </w:r>
    </w:p>
  </w:footnote>
  <w:footnote w:id="17">
    <w:p w:rsidR="00C067D0" w:rsidRPr="00D0333A" w:rsidRDefault="00C067D0" w:rsidP="0085760F">
      <w:pPr>
        <w:pStyle w:val="FootnoteText"/>
        <w:rPr>
          <w:lang w:val="en-US"/>
        </w:rPr>
      </w:pPr>
      <w:r w:rsidRPr="0085760F">
        <w:rPr>
          <w:lang w:val="en-US"/>
        </w:rPr>
        <w:tab/>
      </w:r>
      <w:r w:rsidRPr="00A35864">
        <w:rPr>
          <w:rStyle w:val="FootnoteReference"/>
        </w:rPr>
        <w:footnoteRef/>
      </w:r>
      <w:r w:rsidRPr="0085760F">
        <w:rPr>
          <w:lang w:val="en-US"/>
        </w:rPr>
        <w:tab/>
        <w:t>See</w:t>
      </w:r>
      <w:r w:rsidR="0085760F" w:rsidRPr="00C03B36">
        <w:rPr>
          <w:lang w:val="en-US"/>
        </w:rPr>
        <w:t>,</w:t>
      </w:r>
      <w:r w:rsidRPr="0085760F">
        <w:rPr>
          <w:lang w:val="en-US"/>
        </w:rPr>
        <w:t xml:space="preserve"> inter alia</w:t>
      </w:r>
      <w:r w:rsidR="0085760F" w:rsidRPr="00C03B36">
        <w:rPr>
          <w:lang w:val="en-US"/>
        </w:rPr>
        <w:t>,</w:t>
      </w:r>
      <w:r w:rsidRPr="0085760F">
        <w:rPr>
          <w:lang w:val="en-US"/>
        </w:rPr>
        <w:t xml:space="preserve"> communications No. 2327/2014, </w:t>
      </w:r>
      <w:r w:rsidRPr="0085760F">
        <w:rPr>
          <w:i/>
          <w:lang w:val="en-US"/>
        </w:rPr>
        <w:t>Y v. Canada</w:t>
      </w:r>
      <w:r w:rsidRPr="0085760F">
        <w:rPr>
          <w:lang w:val="en-US"/>
        </w:rPr>
        <w:t>, Views adopted on 1</w:t>
      </w:r>
      <w:r w:rsidR="0085760F" w:rsidRPr="00C03B36">
        <w:rPr>
          <w:lang w:val="en-US"/>
        </w:rPr>
        <w:t>0</w:t>
      </w:r>
      <w:r w:rsidRPr="0085760F">
        <w:rPr>
          <w:lang w:val="en-US"/>
        </w:rPr>
        <w:t xml:space="preserve"> March 2016, para.</w:t>
      </w:r>
      <w:r w:rsidR="00A35864">
        <w:rPr>
          <w:lang w:val="en-US"/>
        </w:rPr>
        <w:t> </w:t>
      </w:r>
      <w:r w:rsidRPr="0085760F">
        <w:rPr>
          <w:lang w:val="en-US"/>
        </w:rPr>
        <w:t xml:space="preserve">10.3; </w:t>
      </w:r>
      <w:r w:rsidR="0085760F">
        <w:rPr>
          <w:lang w:val="en-US"/>
        </w:rPr>
        <w:t xml:space="preserve">and </w:t>
      </w:r>
      <w:r w:rsidR="0085760F" w:rsidRPr="00C03B36">
        <w:rPr>
          <w:lang w:val="en-US"/>
        </w:rPr>
        <w:t xml:space="preserve">No. </w:t>
      </w:r>
      <w:r w:rsidRPr="00344366">
        <w:rPr>
          <w:lang w:val="en-US"/>
        </w:rPr>
        <w:t xml:space="preserve">2474/2014, </w:t>
      </w:r>
      <w:r w:rsidRPr="00344366">
        <w:rPr>
          <w:i/>
          <w:lang w:val="en-US"/>
        </w:rPr>
        <w:t>X v. Norway</w:t>
      </w:r>
      <w:r w:rsidRPr="00344366">
        <w:rPr>
          <w:lang w:val="en-US"/>
        </w:rPr>
        <w:t>, Views adopted on 5 November 2015, para.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D0" w:rsidRPr="00A40224" w:rsidRDefault="00C067D0">
    <w:pPr>
      <w:pStyle w:val="Header"/>
    </w:pPr>
    <w:r>
      <w:t>CCPR/C/117/D/2291/2013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D0" w:rsidRPr="00A40224" w:rsidRDefault="00C067D0" w:rsidP="00956AF0">
    <w:pPr>
      <w:pStyle w:val="Header"/>
      <w:tabs>
        <w:tab w:val="left" w:pos="6984"/>
        <w:tab w:val="right" w:pos="9639"/>
      </w:tabs>
      <w:jc w:val="right"/>
    </w:pPr>
    <w:r>
      <w:t>CCPR/C/117/D/2291/2013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D0" w:rsidRDefault="00C067D0" w:rsidP="001B4440">
    <w:pPr>
      <w:pStyle w:val="Header"/>
      <w:tabs>
        <w:tab w:val="left" w:pos="80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D07A0"/>
    <w:multiLevelType w:val="hybridMultilevel"/>
    <w:tmpl w:val="7A06A01A"/>
    <w:lvl w:ilvl="0" w:tplc="B29CB2FC">
      <w:start w:val="2"/>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C1CF5"/>
    <w:multiLevelType w:val="hybridMultilevel"/>
    <w:tmpl w:val="0E4CBC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12674"/>
    <w:multiLevelType w:val="hybridMultilevel"/>
    <w:tmpl w:val="8E56F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164DB5"/>
    <w:multiLevelType w:val="hybridMultilevel"/>
    <w:tmpl w:val="D51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238BC"/>
    <w:multiLevelType w:val="hybridMultilevel"/>
    <w:tmpl w:val="2856F49E"/>
    <w:lvl w:ilvl="0" w:tplc="04090019">
      <w:start w:val="1"/>
      <w:numFmt w:val="lowerLetter"/>
      <w:lvlText w:val="%1."/>
      <w:lvlJc w:val="left"/>
      <w:pPr>
        <w:ind w:left="814" w:hanging="360"/>
      </w:pPr>
    </w:lvl>
    <w:lvl w:ilvl="1" w:tplc="04090019">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10D61548"/>
    <w:multiLevelType w:val="hybridMultilevel"/>
    <w:tmpl w:val="DA6857B2"/>
    <w:lvl w:ilvl="0" w:tplc="9F9481C6">
      <w:start w:val="1"/>
      <w:numFmt w:val="lowerLetter"/>
      <w:lvlText w:val="%1."/>
      <w:lvlJc w:val="left"/>
      <w:pPr>
        <w:ind w:left="814" w:hanging="360"/>
      </w:pPr>
      <w:rPr>
        <w:b/>
      </w:rPr>
    </w:lvl>
    <w:lvl w:ilvl="1" w:tplc="04090019">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15:restartNumberingAfterBreak="0">
    <w:nsid w:val="112A22C1"/>
    <w:multiLevelType w:val="hybridMultilevel"/>
    <w:tmpl w:val="5B58D7D4"/>
    <w:lvl w:ilvl="0" w:tplc="5B96F89C">
      <w:start w:val="1"/>
      <w:numFmt w:val="decimal"/>
      <w:lvlText w:val="%1."/>
      <w:lvlJc w:val="left"/>
      <w:pPr>
        <w:ind w:left="1080" w:hanging="360"/>
      </w:pPr>
      <w:rPr>
        <w:sz w:val="24"/>
        <w:szCs w:val="24"/>
        <w:vertAlign w:val="baseli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29C0C35"/>
    <w:multiLevelType w:val="hybridMultilevel"/>
    <w:tmpl w:val="32ECFF14"/>
    <w:lvl w:ilvl="0" w:tplc="B922FA7E">
      <w:start w:val="1"/>
      <w:numFmt w:val="decimal"/>
      <w:lvlText w:val="%1."/>
      <w:lvlJc w:val="left"/>
      <w:pPr>
        <w:tabs>
          <w:tab w:val="num" w:pos="454"/>
        </w:tabs>
        <w:ind w:left="454" w:hanging="454"/>
      </w:pPr>
      <w:rPr>
        <w:rFonts w:hint="default"/>
        <w:b w:val="0"/>
        <w:i w:val="0"/>
        <w:strike w:val="0"/>
        <w:dstrike w:val="0"/>
      </w:rPr>
    </w:lvl>
    <w:lvl w:ilvl="1" w:tplc="74C41906">
      <w:start w:val="1"/>
      <w:numFmt w:val="decimal"/>
      <w:lvlText w:val="%2."/>
      <w:lvlJc w:val="left"/>
      <w:pPr>
        <w:tabs>
          <w:tab w:val="num" w:pos="1440"/>
        </w:tabs>
        <w:ind w:left="1440" w:hanging="360"/>
      </w:pPr>
      <w:rPr>
        <w:rFonts w:hint="default"/>
        <w:b w:val="0"/>
      </w:rPr>
    </w:lvl>
    <w:lvl w:ilvl="2" w:tplc="84E26ED0">
      <w:start w:val="1"/>
      <w:numFmt w:val="upperRoman"/>
      <w:lvlText w:val="%3."/>
      <w:lvlJc w:val="right"/>
      <w:pPr>
        <w:tabs>
          <w:tab w:val="num" w:pos="2340"/>
        </w:tabs>
        <w:ind w:left="1980" w:firstLine="0"/>
      </w:pPr>
      <w:rPr>
        <w:rFonts w:hint="default"/>
      </w:rPr>
    </w:lvl>
    <w:lvl w:ilvl="3" w:tplc="822409B8" w:tentative="1">
      <w:start w:val="1"/>
      <w:numFmt w:val="decimal"/>
      <w:lvlText w:val="%4."/>
      <w:lvlJc w:val="left"/>
      <w:pPr>
        <w:tabs>
          <w:tab w:val="num" w:pos="2880"/>
        </w:tabs>
        <w:ind w:left="2880" w:hanging="360"/>
      </w:pPr>
    </w:lvl>
    <w:lvl w:ilvl="4" w:tplc="1346A7EA" w:tentative="1">
      <w:start w:val="1"/>
      <w:numFmt w:val="lowerLetter"/>
      <w:lvlText w:val="%5."/>
      <w:lvlJc w:val="left"/>
      <w:pPr>
        <w:tabs>
          <w:tab w:val="num" w:pos="3600"/>
        </w:tabs>
        <w:ind w:left="3600" w:hanging="360"/>
      </w:pPr>
    </w:lvl>
    <w:lvl w:ilvl="5" w:tplc="301858CA" w:tentative="1">
      <w:start w:val="1"/>
      <w:numFmt w:val="lowerRoman"/>
      <w:lvlText w:val="%6."/>
      <w:lvlJc w:val="right"/>
      <w:pPr>
        <w:tabs>
          <w:tab w:val="num" w:pos="4320"/>
        </w:tabs>
        <w:ind w:left="4320" w:hanging="180"/>
      </w:pPr>
    </w:lvl>
    <w:lvl w:ilvl="6" w:tplc="8EDADA28" w:tentative="1">
      <w:start w:val="1"/>
      <w:numFmt w:val="decimal"/>
      <w:lvlText w:val="%7."/>
      <w:lvlJc w:val="left"/>
      <w:pPr>
        <w:tabs>
          <w:tab w:val="num" w:pos="5040"/>
        </w:tabs>
        <w:ind w:left="5040" w:hanging="360"/>
      </w:pPr>
    </w:lvl>
    <w:lvl w:ilvl="7" w:tplc="CE5EAB24" w:tentative="1">
      <w:start w:val="1"/>
      <w:numFmt w:val="lowerLetter"/>
      <w:lvlText w:val="%8."/>
      <w:lvlJc w:val="left"/>
      <w:pPr>
        <w:tabs>
          <w:tab w:val="num" w:pos="5760"/>
        </w:tabs>
        <w:ind w:left="5760" w:hanging="360"/>
      </w:pPr>
    </w:lvl>
    <w:lvl w:ilvl="8" w:tplc="383003B0" w:tentative="1">
      <w:start w:val="1"/>
      <w:numFmt w:val="lowerRoman"/>
      <w:lvlText w:val="%9."/>
      <w:lvlJc w:val="right"/>
      <w:pPr>
        <w:tabs>
          <w:tab w:val="num" w:pos="6480"/>
        </w:tabs>
        <w:ind w:left="6480" w:hanging="180"/>
      </w:pPr>
    </w:lvl>
  </w:abstractNum>
  <w:abstractNum w:abstractNumId="9" w15:restartNumberingAfterBreak="0">
    <w:nsid w:val="1DE102CF"/>
    <w:multiLevelType w:val="singleLevel"/>
    <w:tmpl w:val="F9CA68C0"/>
    <w:lvl w:ilvl="0">
      <w:start w:val="1"/>
      <w:numFmt w:val="decimal"/>
      <w:lvlText w:val="%1."/>
      <w:lvlJc w:val="left"/>
      <w:pPr>
        <w:tabs>
          <w:tab w:val="num" w:pos="1080"/>
        </w:tabs>
        <w:ind w:left="1080" w:hanging="360"/>
      </w:pPr>
      <w:rPr>
        <w:rFonts w:ascii="Times New Roman" w:hAnsi="Times New Roman" w:hint="default"/>
        <w:sz w:val="20"/>
      </w:rPr>
    </w:lvl>
  </w:abstractNum>
  <w:abstractNum w:abstractNumId="10" w15:restartNumberingAfterBreak="0">
    <w:nsid w:val="29FD16C0"/>
    <w:multiLevelType w:val="hybridMultilevel"/>
    <w:tmpl w:val="600648E0"/>
    <w:lvl w:ilvl="0" w:tplc="3F68CBF8">
      <w:start w:val="1"/>
      <w:numFmt w:val="lowerLetter"/>
      <w:lvlText w:val="(%1)"/>
      <w:lvlJc w:val="left"/>
      <w:pPr>
        <w:tabs>
          <w:tab w:val="num" w:pos="1080"/>
        </w:tabs>
        <w:ind w:left="1080" w:hanging="360"/>
      </w:pPr>
      <w:rPr>
        <w:rFonts w:hint="default"/>
      </w:rPr>
    </w:lvl>
    <w:lvl w:ilvl="1" w:tplc="7D3AA5DC" w:tentative="1">
      <w:start w:val="1"/>
      <w:numFmt w:val="lowerLetter"/>
      <w:lvlText w:val="%2."/>
      <w:lvlJc w:val="left"/>
      <w:pPr>
        <w:tabs>
          <w:tab w:val="num" w:pos="1800"/>
        </w:tabs>
        <w:ind w:left="1800" w:hanging="360"/>
      </w:pPr>
    </w:lvl>
    <w:lvl w:ilvl="2" w:tplc="5712C78E" w:tentative="1">
      <w:start w:val="1"/>
      <w:numFmt w:val="lowerRoman"/>
      <w:lvlText w:val="%3."/>
      <w:lvlJc w:val="right"/>
      <w:pPr>
        <w:tabs>
          <w:tab w:val="num" w:pos="2520"/>
        </w:tabs>
        <w:ind w:left="2520" w:hanging="180"/>
      </w:pPr>
    </w:lvl>
    <w:lvl w:ilvl="3" w:tplc="48C63C38" w:tentative="1">
      <w:start w:val="1"/>
      <w:numFmt w:val="decimal"/>
      <w:lvlText w:val="%4."/>
      <w:lvlJc w:val="left"/>
      <w:pPr>
        <w:tabs>
          <w:tab w:val="num" w:pos="3240"/>
        </w:tabs>
        <w:ind w:left="3240" w:hanging="360"/>
      </w:pPr>
    </w:lvl>
    <w:lvl w:ilvl="4" w:tplc="8654BBF2" w:tentative="1">
      <w:start w:val="1"/>
      <w:numFmt w:val="lowerLetter"/>
      <w:lvlText w:val="%5."/>
      <w:lvlJc w:val="left"/>
      <w:pPr>
        <w:tabs>
          <w:tab w:val="num" w:pos="3960"/>
        </w:tabs>
        <w:ind w:left="3960" w:hanging="360"/>
      </w:pPr>
    </w:lvl>
    <w:lvl w:ilvl="5" w:tplc="EDD47BDA" w:tentative="1">
      <w:start w:val="1"/>
      <w:numFmt w:val="lowerRoman"/>
      <w:lvlText w:val="%6."/>
      <w:lvlJc w:val="right"/>
      <w:pPr>
        <w:tabs>
          <w:tab w:val="num" w:pos="4680"/>
        </w:tabs>
        <w:ind w:left="4680" w:hanging="180"/>
      </w:pPr>
    </w:lvl>
    <w:lvl w:ilvl="6" w:tplc="0222319C" w:tentative="1">
      <w:start w:val="1"/>
      <w:numFmt w:val="decimal"/>
      <w:lvlText w:val="%7."/>
      <w:lvlJc w:val="left"/>
      <w:pPr>
        <w:tabs>
          <w:tab w:val="num" w:pos="5400"/>
        </w:tabs>
        <w:ind w:left="5400" w:hanging="360"/>
      </w:pPr>
    </w:lvl>
    <w:lvl w:ilvl="7" w:tplc="AD5C1510" w:tentative="1">
      <w:start w:val="1"/>
      <w:numFmt w:val="lowerLetter"/>
      <w:lvlText w:val="%8."/>
      <w:lvlJc w:val="left"/>
      <w:pPr>
        <w:tabs>
          <w:tab w:val="num" w:pos="6120"/>
        </w:tabs>
        <w:ind w:left="6120" w:hanging="360"/>
      </w:pPr>
    </w:lvl>
    <w:lvl w:ilvl="8" w:tplc="6E788392" w:tentative="1">
      <w:start w:val="1"/>
      <w:numFmt w:val="lowerRoman"/>
      <w:lvlText w:val="%9."/>
      <w:lvlJc w:val="right"/>
      <w:pPr>
        <w:tabs>
          <w:tab w:val="num" w:pos="6840"/>
        </w:tabs>
        <w:ind w:left="6840" w:hanging="180"/>
      </w:pPr>
    </w:lvl>
  </w:abstractNum>
  <w:abstractNum w:abstractNumId="11" w15:restartNumberingAfterBreak="0">
    <w:nsid w:val="2BCA131B"/>
    <w:multiLevelType w:val="hybridMultilevel"/>
    <w:tmpl w:val="5072B6C0"/>
    <w:lvl w:ilvl="0" w:tplc="33547D46">
      <w:start w:val="1"/>
      <w:numFmt w:val="lowerRoman"/>
      <w:lvlText w:val="%1."/>
      <w:lvlJc w:val="right"/>
      <w:pPr>
        <w:ind w:left="360" w:hanging="360"/>
      </w:pPr>
      <w:rPr>
        <w:rFonts w:hint="default"/>
      </w:rPr>
    </w:lvl>
    <w:lvl w:ilvl="1" w:tplc="5A90CFAC" w:tentative="1">
      <w:start w:val="1"/>
      <w:numFmt w:val="lowerLetter"/>
      <w:lvlText w:val="%2."/>
      <w:lvlJc w:val="left"/>
      <w:pPr>
        <w:ind w:left="1440" w:hanging="360"/>
      </w:pPr>
    </w:lvl>
    <w:lvl w:ilvl="2" w:tplc="9628FF38" w:tentative="1">
      <w:start w:val="1"/>
      <w:numFmt w:val="lowerRoman"/>
      <w:lvlText w:val="%3."/>
      <w:lvlJc w:val="right"/>
      <w:pPr>
        <w:ind w:left="2160" w:hanging="180"/>
      </w:pPr>
    </w:lvl>
    <w:lvl w:ilvl="3" w:tplc="8DCC60F6" w:tentative="1">
      <w:start w:val="1"/>
      <w:numFmt w:val="decimal"/>
      <w:lvlText w:val="%4."/>
      <w:lvlJc w:val="left"/>
      <w:pPr>
        <w:ind w:left="2880" w:hanging="360"/>
      </w:pPr>
    </w:lvl>
    <w:lvl w:ilvl="4" w:tplc="47A62806" w:tentative="1">
      <w:start w:val="1"/>
      <w:numFmt w:val="lowerLetter"/>
      <w:lvlText w:val="%5."/>
      <w:lvlJc w:val="left"/>
      <w:pPr>
        <w:ind w:left="3600" w:hanging="360"/>
      </w:pPr>
    </w:lvl>
    <w:lvl w:ilvl="5" w:tplc="F4CE1B1C" w:tentative="1">
      <w:start w:val="1"/>
      <w:numFmt w:val="lowerRoman"/>
      <w:lvlText w:val="%6."/>
      <w:lvlJc w:val="right"/>
      <w:pPr>
        <w:ind w:left="4320" w:hanging="180"/>
      </w:pPr>
    </w:lvl>
    <w:lvl w:ilvl="6" w:tplc="7FD20142" w:tentative="1">
      <w:start w:val="1"/>
      <w:numFmt w:val="decimal"/>
      <w:lvlText w:val="%7."/>
      <w:lvlJc w:val="left"/>
      <w:pPr>
        <w:ind w:left="5040" w:hanging="360"/>
      </w:pPr>
    </w:lvl>
    <w:lvl w:ilvl="7" w:tplc="BF74696E" w:tentative="1">
      <w:start w:val="1"/>
      <w:numFmt w:val="lowerLetter"/>
      <w:lvlText w:val="%8."/>
      <w:lvlJc w:val="left"/>
      <w:pPr>
        <w:ind w:left="5760" w:hanging="360"/>
      </w:pPr>
    </w:lvl>
    <w:lvl w:ilvl="8" w:tplc="37FE6126" w:tentative="1">
      <w:start w:val="1"/>
      <w:numFmt w:val="lowerRoman"/>
      <w:lvlText w:val="%9."/>
      <w:lvlJc w:val="right"/>
      <w:pPr>
        <w:ind w:left="6480" w:hanging="180"/>
      </w:pPr>
    </w:lvl>
  </w:abstractNum>
  <w:abstractNum w:abstractNumId="12" w15:restartNumberingAfterBreak="0">
    <w:nsid w:val="3F5B54A5"/>
    <w:multiLevelType w:val="hybridMultilevel"/>
    <w:tmpl w:val="FE04A330"/>
    <w:lvl w:ilvl="0" w:tplc="74926768">
      <w:start w:val="3"/>
      <w:numFmt w:val="upperRoman"/>
      <w:lvlText w:val="%1."/>
      <w:lvlJc w:val="left"/>
      <w:pPr>
        <w:tabs>
          <w:tab w:val="num" w:pos="720"/>
        </w:tabs>
        <w:ind w:left="720" w:hanging="720"/>
      </w:pPr>
      <w:rPr>
        <w:rFonts w:hint="default"/>
        <w:b/>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58FD397A"/>
    <w:multiLevelType w:val="hybridMultilevel"/>
    <w:tmpl w:val="86362780"/>
    <w:lvl w:ilvl="0" w:tplc="A3D48B10">
      <w:start w:val="1"/>
      <w:numFmt w:val="upperLetter"/>
      <w:lvlText w:val="%1."/>
      <w:lvlJc w:val="left"/>
      <w:pPr>
        <w:ind w:left="360" w:hanging="360"/>
      </w:pPr>
    </w:lvl>
    <w:lvl w:ilvl="1" w:tplc="6708093C" w:tentative="1">
      <w:start w:val="1"/>
      <w:numFmt w:val="lowerLetter"/>
      <w:lvlText w:val="%2."/>
      <w:lvlJc w:val="left"/>
      <w:pPr>
        <w:ind w:left="1080" w:hanging="360"/>
      </w:pPr>
    </w:lvl>
    <w:lvl w:ilvl="2" w:tplc="BF546EB4" w:tentative="1">
      <w:start w:val="1"/>
      <w:numFmt w:val="lowerRoman"/>
      <w:lvlText w:val="%3."/>
      <w:lvlJc w:val="right"/>
      <w:pPr>
        <w:ind w:left="1800" w:hanging="180"/>
      </w:pPr>
    </w:lvl>
    <w:lvl w:ilvl="3" w:tplc="6FF81506" w:tentative="1">
      <w:start w:val="1"/>
      <w:numFmt w:val="decimal"/>
      <w:lvlText w:val="%4."/>
      <w:lvlJc w:val="left"/>
      <w:pPr>
        <w:ind w:left="2520" w:hanging="360"/>
      </w:pPr>
    </w:lvl>
    <w:lvl w:ilvl="4" w:tplc="00506838" w:tentative="1">
      <w:start w:val="1"/>
      <w:numFmt w:val="lowerLetter"/>
      <w:lvlText w:val="%5."/>
      <w:lvlJc w:val="left"/>
      <w:pPr>
        <w:ind w:left="3240" w:hanging="360"/>
      </w:pPr>
    </w:lvl>
    <w:lvl w:ilvl="5" w:tplc="8926E70C" w:tentative="1">
      <w:start w:val="1"/>
      <w:numFmt w:val="lowerRoman"/>
      <w:lvlText w:val="%6."/>
      <w:lvlJc w:val="right"/>
      <w:pPr>
        <w:ind w:left="3960" w:hanging="180"/>
      </w:pPr>
    </w:lvl>
    <w:lvl w:ilvl="6" w:tplc="6C72CC7C" w:tentative="1">
      <w:start w:val="1"/>
      <w:numFmt w:val="decimal"/>
      <w:lvlText w:val="%7."/>
      <w:lvlJc w:val="left"/>
      <w:pPr>
        <w:ind w:left="4680" w:hanging="360"/>
      </w:pPr>
    </w:lvl>
    <w:lvl w:ilvl="7" w:tplc="4F68B31C" w:tentative="1">
      <w:start w:val="1"/>
      <w:numFmt w:val="lowerLetter"/>
      <w:lvlText w:val="%8."/>
      <w:lvlJc w:val="left"/>
      <w:pPr>
        <w:ind w:left="5400" w:hanging="360"/>
      </w:pPr>
    </w:lvl>
    <w:lvl w:ilvl="8" w:tplc="C7E8BF60" w:tentative="1">
      <w:start w:val="1"/>
      <w:numFmt w:val="lowerRoman"/>
      <w:lvlText w:val="%9."/>
      <w:lvlJc w:val="right"/>
      <w:pPr>
        <w:ind w:left="6120" w:hanging="180"/>
      </w:pPr>
    </w:lvl>
  </w:abstractNum>
  <w:abstractNum w:abstractNumId="14" w15:restartNumberingAfterBreak="0">
    <w:nsid w:val="5C43310E"/>
    <w:multiLevelType w:val="hybridMultilevel"/>
    <w:tmpl w:val="F6FE0890"/>
    <w:lvl w:ilvl="0" w:tplc="82E033F4">
      <w:start w:val="1"/>
      <w:numFmt w:val="bullet"/>
      <w:lvlText w:val=""/>
      <w:lvlJc w:val="left"/>
      <w:pPr>
        <w:ind w:left="720" w:hanging="360"/>
      </w:pPr>
      <w:rPr>
        <w:rFonts w:ascii="Symbol" w:hAnsi="Symbol" w:hint="default"/>
        <w:vertAlign w:val="baseline"/>
      </w:rPr>
    </w:lvl>
    <w:lvl w:ilvl="1" w:tplc="8794C78C" w:tentative="1">
      <w:start w:val="1"/>
      <w:numFmt w:val="bullet"/>
      <w:lvlText w:val="o"/>
      <w:lvlJc w:val="left"/>
      <w:pPr>
        <w:ind w:left="1440" w:hanging="360"/>
      </w:pPr>
      <w:rPr>
        <w:rFonts w:ascii="Courier New" w:hAnsi="Courier New" w:cs="Courier New" w:hint="default"/>
      </w:rPr>
    </w:lvl>
    <w:lvl w:ilvl="2" w:tplc="D7FC62E2" w:tentative="1">
      <w:start w:val="1"/>
      <w:numFmt w:val="bullet"/>
      <w:lvlText w:val=""/>
      <w:lvlJc w:val="left"/>
      <w:pPr>
        <w:ind w:left="2160" w:hanging="360"/>
      </w:pPr>
      <w:rPr>
        <w:rFonts w:ascii="Wingdings" w:hAnsi="Wingdings" w:hint="default"/>
      </w:rPr>
    </w:lvl>
    <w:lvl w:ilvl="3" w:tplc="0C7E90A2" w:tentative="1">
      <w:start w:val="1"/>
      <w:numFmt w:val="bullet"/>
      <w:lvlText w:val=""/>
      <w:lvlJc w:val="left"/>
      <w:pPr>
        <w:ind w:left="2880" w:hanging="360"/>
      </w:pPr>
      <w:rPr>
        <w:rFonts w:ascii="Symbol" w:hAnsi="Symbol" w:hint="default"/>
      </w:rPr>
    </w:lvl>
    <w:lvl w:ilvl="4" w:tplc="3A88ED52" w:tentative="1">
      <w:start w:val="1"/>
      <w:numFmt w:val="bullet"/>
      <w:lvlText w:val="o"/>
      <w:lvlJc w:val="left"/>
      <w:pPr>
        <w:ind w:left="3600" w:hanging="360"/>
      </w:pPr>
      <w:rPr>
        <w:rFonts w:ascii="Courier New" w:hAnsi="Courier New" w:cs="Courier New" w:hint="default"/>
      </w:rPr>
    </w:lvl>
    <w:lvl w:ilvl="5" w:tplc="0E0ADC16" w:tentative="1">
      <w:start w:val="1"/>
      <w:numFmt w:val="bullet"/>
      <w:lvlText w:val=""/>
      <w:lvlJc w:val="left"/>
      <w:pPr>
        <w:ind w:left="4320" w:hanging="360"/>
      </w:pPr>
      <w:rPr>
        <w:rFonts w:ascii="Wingdings" w:hAnsi="Wingdings" w:hint="default"/>
      </w:rPr>
    </w:lvl>
    <w:lvl w:ilvl="6" w:tplc="B6A098DE" w:tentative="1">
      <w:start w:val="1"/>
      <w:numFmt w:val="bullet"/>
      <w:lvlText w:val=""/>
      <w:lvlJc w:val="left"/>
      <w:pPr>
        <w:ind w:left="5040" w:hanging="360"/>
      </w:pPr>
      <w:rPr>
        <w:rFonts w:ascii="Symbol" w:hAnsi="Symbol" w:hint="default"/>
      </w:rPr>
    </w:lvl>
    <w:lvl w:ilvl="7" w:tplc="F93AEB7A" w:tentative="1">
      <w:start w:val="1"/>
      <w:numFmt w:val="bullet"/>
      <w:lvlText w:val="o"/>
      <w:lvlJc w:val="left"/>
      <w:pPr>
        <w:ind w:left="5760" w:hanging="360"/>
      </w:pPr>
      <w:rPr>
        <w:rFonts w:ascii="Courier New" w:hAnsi="Courier New" w:cs="Courier New" w:hint="default"/>
      </w:rPr>
    </w:lvl>
    <w:lvl w:ilvl="8" w:tplc="684CC5F8" w:tentative="1">
      <w:start w:val="1"/>
      <w:numFmt w:val="bullet"/>
      <w:lvlText w:val=""/>
      <w:lvlJc w:val="left"/>
      <w:pPr>
        <w:ind w:left="6480" w:hanging="360"/>
      </w:pPr>
      <w:rPr>
        <w:rFonts w:ascii="Wingdings" w:hAnsi="Wingdings" w:hint="default"/>
      </w:rPr>
    </w:lvl>
  </w:abstractNum>
  <w:abstractNum w:abstractNumId="15" w15:restartNumberingAfterBreak="0">
    <w:nsid w:val="5E5B00EE"/>
    <w:multiLevelType w:val="hybridMultilevel"/>
    <w:tmpl w:val="CE3C6686"/>
    <w:lvl w:ilvl="0" w:tplc="DCE4992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C52163"/>
    <w:multiLevelType w:val="hybridMultilevel"/>
    <w:tmpl w:val="B442F464"/>
    <w:lvl w:ilvl="0" w:tplc="E2D21898">
      <w:start w:val="1"/>
      <w:numFmt w:val="lowerRoman"/>
      <w:lvlText w:val="%1."/>
      <w:lvlJc w:val="right"/>
      <w:pPr>
        <w:ind w:left="360" w:hanging="360"/>
      </w:pPr>
    </w:lvl>
    <w:lvl w:ilvl="1" w:tplc="D974DEF4" w:tentative="1">
      <w:start w:val="1"/>
      <w:numFmt w:val="lowerLetter"/>
      <w:lvlText w:val="%2."/>
      <w:lvlJc w:val="left"/>
      <w:pPr>
        <w:ind w:left="1080" w:hanging="360"/>
      </w:pPr>
    </w:lvl>
    <w:lvl w:ilvl="2" w:tplc="E5AEBFC4" w:tentative="1">
      <w:start w:val="1"/>
      <w:numFmt w:val="lowerRoman"/>
      <w:lvlText w:val="%3."/>
      <w:lvlJc w:val="right"/>
      <w:pPr>
        <w:ind w:left="1800" w:hanging="180"/>
      </w:pPr>
    </w:lvl>
    <w:lvl w:ilvl="3" w:tplc="765C37FA" w:tentative="1">
      <w:start w:val="1"/>
      <w:numFmt w:val="decimal"/>
      <w:lvlText w:val="%4."/>
      <w:lvlJc w:val="left"/>
      <w:pPr>
        <w:ind w:left="2520" w:hanging="360"/>
      </w:pPr>
    </w:lvl>
    <w:lvl w:ilvl="4" w:tplc="D94A9928" w:tentative="1">
      <w:start w:val="1"/>
      <w:numFmt w:val="lowerLetter"/>
      <w:lvlText w:val="%5."/>
      <w:lvlJc w:val="left"/>
      <w:pPr>
        <w:ind w:left="3240" w:hanging="360"/>
      </w:pPr>
    </w:lvl>
    <w:lvl w:ilvl="5" w:tplc="1F5EC6FE" w:tentative="1">
      <w:start w:val="1"/>
      <w:numFmt w:val="lowerRoman"/>
      <w:lvlText w:val="%6."/>
      <w:lvlJc w:val="right"/>
      <w:pPr>
        <w:ind w:left="3960" w:hanging="180"/>
      </w:pPr>
    </w:lvl>
    <w:lvl w:ilvl="6" w:tplc="70B0B1C8" w:tentative="1">
      <w:start w:val="1"/>
      <w:numFmt w:val="decimal"/>
      <w:lvlText w:val="%7."/>
      <w:lvlJc w:val="left"/>
      <w:pPr>
        <w:ind w:left="4680" w:hanging="360"/>
      </w:pPr>
    </w:lvl>
    <w:lvl w:ilvl="7" w:tplc="B5B2EF2E" w:tentative="1">
      <w:start w:val="1"/>
      <w:numFmt w:val="lowerLetter"/>
      <w:lvlText w:val="%8."/>
      <w:lvlJc w:val="left"/>
      <w:pPr>
        <w:ind w:left="5400" w:hanging="360"/>
      </w:pPr>
    </w:lvl>
    <w:lvl w:ilvl="8" w:tplc="358C9F52" w:tentative="1">
      <w:start w:val="1"/>
      <w:numFmt w:val="lowerRoman"/>
      <w:lvlText w:val="%9."/>
      <w:lvlJc w:val="right"/>
      <w:pPr>
        <w:ind w:left="6120" w:hanging="180"/>
      </w:pPr>
    </w:lvl>
  </w:abstractNum>
  <w:abstractNum w:abstractNumId="17" w15:restartNumberingAfterBreak="0">
    <w:nsid w:val="61DD17E6"/>
    <w:multiLevelType w:val="hybridMultilevel"/>
    <w:tmpl w:val="E4F4F8D8"/>
    <w:lvl w:ilvl="0" w:tplc="0409001B">
      <w:start w:val="1"/>
      <w:numFmt w:val="decimal"/>
      <w:lvlText w:val="%1."/>
      <w:lvlJc w:val="left"/>
      <w:pPr>
        <w:ind w:left="720" w:hanging="360"/>
      </w:pPr>
      <w:rPr>
        <w:rFonts w:hint="default"/>
      </w:rPr>
    </w:lvl>
    <w:lvl w:ilvl="1" w:tplc="04090019">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D444C"/>
    <w:multiLevelType w:val="hybridMultilevel"/>
    <w:tmpl w:val="9838014C"/>
    <w:lvl w:ilvl="0" w:tplc="1009000F">
      <w:start w:val="1"/>
      <w:numFmt w:val="bullet"/>
      <w:lvlText w:val=""/>
      <w:lvlJc w:val="left"/>
      <w:pPr>
        <w:ind w:left="720" w:hanging="360"/>
      </w:pPr>
      <w:rPr>
        <w:rFonts w:ascii="Symbol" w:hAnsi="Symbol" w:hint="default"/>
      </w:rPr>
    </w:lvl>
    <w:lvl w:ilvl="1" w:tplc="10090001" w:tentative="1">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19" w15:restartNumberingAfterBreak="0">
    <w:nsid w:val="65CE67C7"/>
    <w:multiLevelType w:val="singleLevel"/>
    <w:tmpl w:val="BCCEB138"/>
    <w:lvl w:ilvl="0">
      <w:start w:val="1"/>
      <w:numFmt w:val="upperRoman"/>
      <w:lvlText w:val="%1."/>
      <w:lvlJc w:val="left"/>
      <w:pPr>
        <w:tabs>
          <w:tab w:val="num" w:pos="720"/>
        </w:tabs>
        <w:ind w:left="720" w:hanging="720"/>
      </w:pPr>
      <w:rPr>
        <w:rFonts w:hint="default"/>
        <w:b/>
      </w:r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AC20B8"/>
    <w:multiLevelType w:val="hybridMultilevel"/>
    <w:tmpl w:val="7D301ED4"/>
    <w:lvl w:ilvl="0" w:tplc="A844D202">
      <w:start w:val="1"/>
      <w:numFmt w:val="lowerRoman"/>
      <w:lvlText w:val="%1."/>
      <w:lvlJc w:val="right"/>
      <w:pPr>
        <w:ind w:left="360" w:hanging="360"/>
      </w:pPr>
      <w:rPr>
        <w:i w:val="0"/>
      </w:rPr>
    </w:lvl>
    <w:lvl w:ilvl="1" w:tplc="15E2044A" w:tentative="1">
      <w:start w:val="1"/>
      <w:numFmt w:val="lowerLetter"/>
      <w:lvlText w:val="%2."/>
      <w:lvlJc w:val="left"/>
      <w:pPr>
        <w:ind w:left="1080" w:hanging="360"/>
      </w:pPr>
    </w:lvl>
    <w:lvl w:ilvl="2" w:tplc="E1B442E4" w:tentative="1">
      <w:start w:val="1"/>
      <w:numFmt w:val="lowerRoman"/>
      <w:lvlText w:val="%3."/>
      <w:lvlJc w:val="right"/>
      <w:pPr>
        <w:ind w:left="1800" w:hanging="180"/>
      </w:pPr>
    </w:lvl>
    <w:lvl w:ilvl="3" w:tplc="73EED636" w:tentative="1">
      <w:start w:val="1"/>
      <w:numFmt w:val="decimal"/>
      <w:lvlText w:val="%4."/>
      <w:lvlJc w:val="left"/>
      <w:pPr>
        <w:ind w:left="2520" w:hanging="360"/>
      </w:pPr>
    </w:lvl>
    <w:lvl w:ilvl="4" w:tplc="4F1A3294" w:tentative="1">
      <w:start w:val="1"/>
      <w:numFmt w:val="lowerLetter"/>
      <w:lvlText w:val="%5."/>
      <w:lvlJc w:val="left"/>
      <w:pPr>
        <w:ind w:left="3240" w:hanging="360"/>
      </w:pPr>
    </w:lvl>
    <w:lvl w:ilvl="5" w:tplc="D32834A0" w:tentative="1">
      <w:start w:val="1"/>
      <w:numFmt w:val="lowerRoman"/>
      <w:lvlText w:val="%6."/>
      <w:lvlJc w:val="right"/>
      <w:pPr>
        <w:ind w:left="3960" w:hanging="180"/>
      </w:pPr>
    </w:lvl>
    <w:lvl w:ilvl="6" w:tplc="6B2C1436" w:tentative="1">
      <w:start w:val="1"/>
      <w:numFmt w:val="decimal"/>
      <w:lvlText w:val="%7."/>
      <w:lvlJc w:val="left"/>
      <w:pPr>
        <w:ind w:left="4680" w:hanging="360"/>
      </w:pPr>
    </w:lvl>
    <w:lvl w:ilvl="7" w:tplc="D05274E0" w:tentative="1">
      <w:start w:val="1"/>
      <w:numFmt w:val="lowerLetter"/>
      <w:lvlText w:val="%8."/>
      <w:lvlJc w:val="left"/>
      <w:pPr>
        <w:ind w:left="5400" w:hanging="360"/>
      </w:pPr>
    </w:lvl>
    <w:lvl w:ilvl="8" w:tplc="2A0C9064" w:tentative="1">
      <w:start w:val="1"/>
      <w:numFmt w:val="lowerRoman"/>
      <w:lvlText w:val="%9."/>
      <w:lvlJc w:val="right"/>
      <w:pPr>
        <w:ind w:left="6120" w:hanging="180"/>
      </w:pPr>
    </w:lvl>
  </w:abstractNum>
  <w:abstractNum w:abstractNumId="22" w15:restartNumberingAfterBreak="0">
    <w:nsid w:val="6E0D4305"/>
    <w:multiLevelType w:val="hybridMultilevel"/>
    <w:tmpl w:val="32ECFF14"/>
    <w:lvl w:ilvl="0" w:tplc="EF506D4C">
      <w:start w:val="1"/>
      <w:numFmt w:val="decimal"/>
      <w:lvlText w:val="%1."/>
      <w:lvlJc w:val="left"/>
      <w:pPr>
        <w:tabs>
          <w:tab w:val="num" w:pos="454"/>
        </w:tabs>
        <w:ind w:left="454" w:hanging="454"/>
      </w:pPr>
      <w:rPr>
        <w:rFonts w:hint="default"/>
        <w:b w:val="0"/>
        <w:i w:val="0"/>
        <w:strike w:val="0"/>
        <w:dstrike w:val="0"/>
      </w:rPr>
    </w:lvl>
    <w:lvl w:ilvl="1" w:tplc="04090019">
      <w:start w:val="1"/>
      <w:numFmt w:val="decimal"/>
      <w:lvlText w:val="%2."/>
      <w:lvlJc w:val="left"/>
      <w:pPr>
        <w:tabs>
          <w:tab w:val="num" w:pos="1440"/>
        </w:tabs>
        <w:ind w:left="1440" w:hanging="360"/>
      </w:pPr>
      <w:rPr>
        <w:rFonts w:hint="default"/>
        <w:b w:val="0"/>
      </w:rPr>
    </w:lvl>
    <w:lvl w:ilvl="2" w:tplc="0409001B">
      <w:start w:val="1"/>
      <w:numFmt w:val="upperRoman"/>
      <w:lvlText w:val="%3."/>
      <w:lvlJc w:val="right"/>
      <w:pPr>
        <w:tabs>
          <w:tab w:val="num" w:pos="2340"/>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9234D4"/>
    <w:multiLevelType w:val="hybridMultilevel"/>
    <w:tmpl w:val="CDD883AE"/>
    <w:lvl w:ilvl="0" w:tplc="B922FA7E">
      <w:start w:val="1"/>
      <w:numFmt w:val="bullet"/>
      <w:lvlText w:val=""/>
      <w:lvlJc w:val="left"/>
      <w:pPr>
        <w:ind w:left="720" w:hanging="360"/>
      </w:pPr>
      <w:rPr>
        <w:rFonts w:ascii="Symbol" w:hAnsi="Symbol" w:hint="default"/>
      </w:rPr>
    </w:lvl>
    <w:lvl w:ilvl="1" w:tplc="74C41906" w:tentative="1">
      <w:start w:val="1"/>
      <w:numFmt w:val="bullet"/>
      <w:lvlText w:val="o"/>
      <w:lvlJc w:val="left"/>
      <w:pPr>
        <w:ind w:left="1440" w:hanging="360"/>
      </w:pPr>
      <w:rPr>
        <w:rFonts w:ascii="Courier New" w:hAnsi="Courier New" w:cs="Courier New" w:hint="default"/>
      </w:rPr>
    </w:lvl>
    <w:lvl w:ilvl="2" w:tplc="84E26ED0" w:tentative="1">
      <w:start w:val="1"/>
      <w:numFmt w:val="bullet"/>
      <w:lvlText w:val=""/>
      <w:lvlJc w:val="left"/>
      <w:pPr>
        <w:ind w:left="2160" w:hanging="360"/>
      </w:pPr>
      <w:rPr>
        <w:rFonts w:ascii="Wingdings" w:hAnsi="Wingdings" w:hint="default"/>
      </w:rPr>
    </w:lvl>
    <w:lvl w:ilvl="3" w:tplc="822409B8" w:tentative="1">
      <w:start w:val="1"/>
      <w:numFmt w:val="bullet"/>
      <w:lvlText w:val=""/>
      <w:lvlJc w:val="left"/>
      <w:pPr>
        <w:ind w:left="2880" w:hanging="360"/>
      </w:pPr>
      <w:rPr>
        <w:rFonts w:ascii="Symbol" w:hAnsi="Symbol" w:hint="default"/>
      </w:rPr>
    </w:lvl>
    <w:lvl w:ilvl="4" w:tplc="1346A7EA" w:tentative="1">
      <w:start w:val="1"/>
      <w:numFmt w:val="bullet"/>
      <w:lvlText w:val="o"/>
      <w:lvlJc w:val="left"/>
      <w:pPr>
        <w:ind w:left="3600" w:hanging="360"/>
      </w:pPr>
      <w:rPr>
        <w:rFonts w:ascii="Courier New" w:hAnsi="Courier New" w:cs="Courier New" w:hint="default"/>
      </w:rPr>
    </w:lvl>
    <w:lvl w:ilvl="5" w:tplc="301858CA" w:tentative="1">
      <w:start w:val="1"/>
      <w:numFmt w:val="bullet"/>
      <w:lvlText w:val=""/>
      <w:lvlJc w:val="left"/>
      <w:pPr>
        <w:ind w:left="4320" w:hanging="360"/>
      </w:pPr>
      <w:rPr>
        <w:rFonts w:ascii="Wingdings" w:hAnsi="Wingdings" w:hint="default"/>
      </w:rPr>
    </w:lvl>
    <w:lvl w:ilvl="6" w:tplc="8EDADA28" w:tentative="1">
      <w:start w:val="1"/>
      <w:numFmt w:val="bullet"/>
      <w:lvlText w:val=""/>
      <w:lvlJc w:val="left"/>
      <w:pPr>
        <w:ind w:left="5040" w:hanging="360"/>
      </w:pPr>
      <w:rPr>
        <w:rFonts w:ascii="Symbol" w:hAnsi="Symbol" w:hint="default"/>
      </w:rPr>
    </w:lvl>
    <w:lvl w:ilvl="7" w:tplc="CE5EAB24" w:tentative="1">
      <w:start w:val="1"/>
      <w:numFmt w:val="bullet"/>
      <w:lvlText w:val="o"/>
      <w:lvlJc w:val="left"/>
      <w:pPr>
        <w:ind w:left="5760" w:hanging="360"/>
      </w:pPr>
      <w:rPr>
        <w:rFonts w:ascii="Courier New" w:hAnsi="Courier New" w:cs="Courier New" w:hint="default"/>
      </w:rPr>
    </w:lvl>
    <w:lvl w:ilvl="8" w:tplc="383003B0" w:tentative="1">
      <w:start w:val="1"/>
      <w:numFmt w:val="bullet"/>
      <w:lvlText w:val=""/>
      <w:lvlJc w:val="left"/>
      <w:pPr>
        <w:ind w:left="6480" w:hanging="360"/>
      </w:pPr>
      <w:rPr>
        <w:rFonts w:ascii="Wingdings" w:hAnsi="Wingdings" w:hint="default"/>
      </w:rPr>
    </w:lvl>
  </w:abstractNum>
  <w:abstractNum w:abstractNumId="24" w15:restartNumberingAfterBreak="0">
    <w:nsid w:val="772F250F"/>
    <w:multiLevelType w:val="hybridMultilevel"/>
    <w:tmpl w:val="D0A4B322"/>
    <w:lvl w:ilvl="0" w:tplc="8FE823EC">
      <w:start w:val="1"/>
      <w:numFmt w:val="decimal"/>
      <w:lvlText w:val="%1."/>
      <w:lvlJc w:val="left"/>
      <w:pPr>
        <w:ind w:left="360" w:hanging="360"/>
      </w:pPr>
      <w:rPr>
        <w:b w:val="0"/>
      </w:rPr>
    </w:lvl>
    <w:lvl w:ilvl="1" w:tplc="A198C61A">
      <w:numFmt w:val="bullet"/>
      <w:lvlText w:val="-"/>
      <w:lvlJc w:val="left"/>
      <w:pPr>
        <w:ind w:left="1080" w:hanging="360"/>
      </w:pPr>
      <w:rPr>
        <w:rFonts w:ascii="Times New Roman" w:eastAsia="Times New Roman" w:hAnsi="Times New Roman" w:cs="Times New Roman" w:hint="default"/>
      </w:rPr>
    </w:lvl>
    <w:lvl w:ilvl="2" w:tplc="4B2438BE" w:tentative="1">
      <w:start w:val="1"/>
      <w:numFmt w:val="lowerRoman"/>
      <w:lvlText w:val="%3."/>
      <w:lvlJc w:val="right"/>
      <w:pPr>
        <w:ind w:left="1800" w:hanging="180"/>
      </w:pPr>
    </w:lvl>
    <w:lvl w:ilvl="3" w:tplc="4C78FC26" w:tentative="1">
      <w:start w:val="1"/>
      <w:numFmt w:val="decimal"/>
      <w:lvlText w:val="%4."/>
      <w:lvlJc w:val="left"/>
      <w:pPr>
        <w:ind w:left="2520" w:hanging="360"/>
      </w:pPr>
    </w:lvl>
    <w:lvl w:ilvl="4" w:tplc="D4706FF6" w:tentative="1">
      <w:start w:val="1"/>
      <w:numFmt w:val="lowerLetter"/>
      <w:lvlText w:val="%5."/>
      <w:lvlJc w:val="left"/>
      <w:pPr>
        <w:ind w:left="3240" w:hanging="360"/>
      </w:pPr>
    </w:lvl>
    <w:lvl w:ilvl="5" w:tplc="BD7248BA" w:tentative="1">
      <w:start w:val="1"/>
      <w:numFmt w:val="lowerRoman"/>
      <w:lvlText w:val="%6."/>
      <w:lvlJc w:val="right"/>
      <w:pPr>
        <w:ind w:left="3960" w:hanging="180"/>
      </w:pPr>
    </w:lvl>
    <w:lvl w:ilvl="6" w:tplc="5792EDB8" w:tentative="1">
      <w:start w:val="1"/>
      <w:numFmt w:val="decimal"/>
      <w:lvlText w:val="%7."/>
      <w:lvlJc w:val="left"/>
      <w:pPr>
        <w:ind w:left="4680" w:hanging="360"/>
      </w:pPr>
    </w:lvl>
    <w:lvl w:ilvl="7" w:tplc="52F4C118" w:tentative="1">
      <w:start w:val="1"/>
      <w:numFmt w:val="lowerLetter"/>
      <w:lvlText w:val="%8."/>
      <w:lvlJc w:val="left"/>
      <w:pPr>
        <w:ind w:left="5400" w:hanging="360"/>
      </w:pPr>
    </w:lvl>
    <w:lvl w:ilvl="8" w:tplc="68BECCDC" w:tentative="1">
      <w:start w:val="1"/>
      <w:numFmt w:val="lowerRoman"/>
      <w:lvlText w:val="%9."/>
      <w:lvlJc w:val="right"/>
      <w:pPr>
        <w:ind w:left="6120" w:hanging="180"/>
      </w:pPr>
    </w:lvl>
  </w:abstractNum>
  <w:num w:numId="1">
    <w:abstractNumId w:val="0"/>
  </w:num>
  <w:num w:numId="2">
    <w:abstractNumId w:val="20"/>
  </w:num>
  <w:num w:numId="3">
    <w:abstractNumId w:val="14"/>
  </w:num>
  <w:num w:numId="4">
    <w:abstractNumId w:val="22"/>
  </w:num>
  <w:num w:numId="5">
    <w:abstractNumId w:val="19"/>
  </w:num>
  <w:num w:numId="6">
    <w:abstractNumId w:val="9"/>
  </w:num>
  <w:num w:numId="7">
    <w:abstractNumId w:val="10"/>
  </w:num>
  <w:num w:numId="8">
    <w:abstractNumId w:val="12"/>
  </w:num>
  <w:num w:numId="9">
    <w:abstractNumId w:val="24"/>
  </w:num>
  <w:num w:numId="10">
    <w:abstractNumId w:val="18"/>
  </w:num>
  <w:num w:numId="11">
    <w:abstractNumId w:val="15"/>
  </w:num>
  <w:num w:numId="12">
    <w:abstractNumId w:val="13"/>
  </w:num>
  <w:num w:numId="13">
    <w:abstractNumId w:val="23"/>
  </w:num>
  <w:num w:numId="14">
    <w:abstractNumId w:val="3"/>
  </w:num>
  <w:num w:numId="15">
    <w:abstractNumId w:val="17"/>
  </w:num>
  <w:num w:numId="16">
    <w:abstractNumId w:val="16"/>
  </w:num>
  <w:num w:numId="17">
    <w:abstractNumId w:val="5"/>
  </w:num>
  <w:num w:numId="18">
    <w:abstractNumId w:val="21"/>
  </w:num>
  <w:num w:numId="19">
    <w:abstractNumId w:val="6"/>
  </w:num>
  <w:num w:numId="20">
    <w:abstractNumId w:val="2"/>
  </w:num>
  <w:num w:numId="21">
    <w:abstractNumId w:val="1"/>
  </w:num>
  <w:num w:numId="22">
    <w:abstractNumId w:val="7"/>
  </w:num>
  <w:num w:numId="23">
    <w:abstractNumId w:val="11"/>
  </w:num>
  <w:num w:numId="24">
    <w:abstractNumId w:val="4"/>
  </w:num>
  <w:num w:numId="2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24"/>
    <w:rsid w:val="00001AF4"/>
    <w:rsid w:val="000025C3"/>
    <w:rsid w:val="00003881"/>
    <w:rsid w:val="000047AA"/>
    <w:rsid w:val="00004ED3"/>
    <w:rsid w:val="0000613A"/>
    <w:rsid w:val="00007562"/>
    <w:rsid w:val="00011131"/>
    <w:rsid w:val="000125B4"/>
    <w:rsid w:val="00013D02"/>
    <w:rsid w:val="00014E28"/>
    <w:rsid w:val="00020E74"/>
    <w:rsid w:val="00023D2B"/>
    <w:rsid w:val="000241E0"/>
    <w:rsid w:val="000272B3"/>
    <w:rsid w:val="0002788D"/>
    <w:rsid w:val="00027C1B"/>
    <w:rsid w:val="00033443"/>
    <w:rsid w:val="00035BBE"/>
    <w:rsid w:val="000374D7"/>
    <w:rsid w:val="00041F4C"/>
    <w:rsid w:val="000439AB"/>
    <w:rsid w:val="00050F6B"/>
    <w:rsid w:val="00051600"/>
    <w:rsid w:val="00051962"/>
    <w:rsid w:val="00051EB0"/>
    <w:rsid w:val="00057CA5"/>
    <w:rsid w:val="00057E97"/>
    <w:rsid w:val="00060C3A"/>
    <w:rsid w:val="00065E69"/>
    <w:rsid w:val="0006711A"/>
    <w:rsid w:val="00072AEA"/>
    <w:rsid w:val="00072C8C"/>
    <w:rsid w:val="000733B5"/>
    <w:rsid w:val="00076E9E"/>
    <w:rsid w:val="00081815"/>
    <w:rsid w:val="00083BA7"/>
    <w:rsid w:val="000864FB"/>
    <w:rsid w:val="000870FC"/>
    <w:rsid w:val="00087FEF"/>
    <w:rsid w:val="00090709"/>
    <w:rsid w:val="000931C0"/>
    <w:rsid w:val="000947BA"/>
    <w:rsid w:val="0009590A"/>
    <w:rsid w:val="000959DD"/>
    <w:rsid w:val="000969DF"/>
    <w:rsid w:val="00096CA9"/>
    <w:rsid w:val="00097458"/>
    <w:rsid w:val="000A2F36"/>
    <w:rsid w:val="000A656F"/>
    <w:rsid w:val="000A66D6"/>
    <w:rsid w:val="000B022C"/>
    <w:rsid w:val="000B175B"/>
    <w:rsid w:val="000B1932"/>
    <w:rsid w:val="000B3A0F"/>
    <w:rsid w:val="000B4C5A"/>
    <w:rsid w:val="000B4E0A"/>
    <w:rsid w:val="000B4EF7"/>
    <w:rsid w:val="000B7B17"/>
    <w:rsid w:val="000B7D98"/>
    <w:rsid w:val="000C2043"/>
    <w:rsid w:val="000C240C"/>
    <w:rsid w:val="000C2C03"/>
    <w:rsid w:val="000C2D2E"/>
    <w:rsid w:val="000C4972"/>
    <w:rsid w:val="000D24B8"/>
    <w:rsid w:val="000D257F"/>
    <w:rsid w:val="000D2DAB"/>
    <w:rsid w:val="000D5B7B"/>
    <w:rsid w:val="000D629C"/>
    <w:rsid w:val="000E02C3"/>
    <w:rsid w:val="000E0415"/>
    <w:rsid w:val="000E0E73"/>
    <w:rsid w:val="000E1038"/>
    <w:rsid w:val="000E5BA6"/>
    <w:rsid w:val="000E6E7D"/>
    <w:rsid w:val="000E7ADD"/>
    <w:rsid w:val="000E7B42"/>
    <w:rsid w:val="000F1BFD"/>
    <w:rsid w:val="000F2455"/>
    <w:rsid w:val="000F2B2A"/>
    <w:rsid w:val="000F45AD"/>
    <w:rsid w:val="000F4D16"/>
    <w:rsid w:val="000F6F06"/>
    <w:rsid w:val="000F7801"/>
    <w:rsid w:val="000F7AEE"/>
    <w:rsid w:val="00102A38"/>
    <w:rsid w:val="00102EF3"/>
    <w:rsid w:val="00103354"/>
    <w:rsid w:val="0010785E"/>
    <w:rsid w:val="001103AA"/>
    <w:rsid w:val="001120C3"/>
    <w:rsid w:val="0011702D"/>
    <w:rsid w:val="0012081A"/>
    <w:rsid w:val="00125D1A"/>
    <w:rsid w:val="00126297"/>
    <w:rsid w:val="00126D39"/>
    <w:rsid w:val="0013121E"/>
    <w:rsid w:val="00132ACC"/>
    <w:rsid w:val="00135897"/>
    <w:rsid w:val="00135AC9"/>
    <w:rsid w:val="00137533"/>
    <w:rsid w:val="00146381"/>
    <w:rsid w:val="00147A72"/>
    <w:rsid w:val="00151173"/>
    <w:rsid w:val="00153353"/>
    <w:rsid w:val="00154A74"/>
    <w:rsid w:val="00156F4B"/>
    <w:rsid w:val="001623A7"/>
    <w:rsid w:val="00164611"/>
    <w:rsid w:val="00165F3A"/>
    <w:rsid w:val="001664CF"/>
    <w:rsid w:val="00172B06"/>
    <w:rsid w:val="00173321"/>
    <w:rsid w:val="00173E0D"/>
    <w:rsid w:val="00174C14"/>
    <w:rsid w:val="001759F9"/>
    <w:rsid w:val="00177505"/>
    <w:rsid w:val="001825DD"/>
    <w:rsid w:val="00182F56"/>
    <w:rsid w:val="00183360"/>
    <w:rsid w:val="00183968"/>
    <w:rsid w:val="00183B8F"/>
    <w:rsid w:val="00184B97"/>
    <w:rsid w:val="0018581E"/>
    <w:rsid w:val="00190418"/>
    <w:rsid w:val="001914E7"/>
    <w:rsid w:val="0019233A"/>
    <w:rsid w:val="001926C6"/>
    <w:rsid w:val="0019359B"/>
    <w:rsid w:val="001949A0"/>
    <w:rsid w:val="00195709"/>
    <w:rsid w:val="00197734"/>
    <w:rsid w:val="001A0423"/>
    <w:rsid w:val="001A060C"/>
    <w:rsid w:val="001A10B7"/>
    <w:rsid w:val="001A163C"/>
    <w:rsid w:val="001A2D64"/>
    <w:rsid w:val="001A2F6D"/>
    <w:rsid w:val="001A49DD"/>
    <w:rsid w:val="001A4FD2"/>
    <w:rsid w:val="001A6686"/>
    <w:rsid w:val="001A6FC2"/>
    <w:rsid w:val="001B04D5"/>
    <w:rsid w:val="001B107A"/>
    <w:rsid w:val="001B130D"/>
    <w:rsid w:val="001B35D2"/>
    <w:rsid w:val="001B363A"/>
    <w:rsid w:val="001B4440"/>
    <w:rsid w:val="001B4B04"/>
    <w:rsid w:val="001B72CE"/>
    <w:rsid w:val="001C037B"/>
    <w:rsid w:val="001C5714"/>
    <w:rsid w:val="001C6663"/>
    <w:rsid w:val="001C68A2"/>
    <w:rsid w:val="001C7895"/>
    <w:rsid w:val="001D0C8C"/>
    <w:rsid w:val="001D159A"/>
    <w:rsid w:val="001D26DF"/>
    <w:rsid w:val="001D356E"/>
    <w:rsid w:val="001D3A03"/>
    <w:rsid w:val="001D460C"/>
    <w:rsid w:val="001D7ACB"/>
    <w:rsid w:val="001E12F5"/>
    <w:rsid w:val="001E45C7"/>
    <w:rsid w:val="001E4B0B"/>
    <w:rsid w:val="001E59A2"/>
    <w:rsid w:val="001E5E9A"/>
    <w:rsid w:val="001F1F1F"/>
    <w:rsid w:val="001F46D6"/>
    <w:rsid w:val="001F692D"/>
    <w:rsid w:val="001F70B8"/>
    <w:rsid w:val="001F7C57"/>
    <w:rsid w:val="00202DA8"/>
    <w:rsid w:val="00203828"/>
    <w:rsid w:val="00204322"/>
    <w:rsid w:val="002046E9"/>
    <w:rsid w:val="002054AB"/>
    <w:rsid w:val="00205D01"/>
    <w:rsid w:val="002063E9"/>
    <w:rsid w:val="00211264"/>
    <w:rsid w:val="00211E0B"/>
    <w:rsid w:val="0021391D"/>
    <w:rsid w:val="00214BA4"/>
    <w:rsid w:val="002155DC"/>
    <w:rsid w:val="002207CC"/>
    <w:rsid w:val="002241D1"/>
    <w:rsid w:val="00226137"/>
    <w:rsid w:val="00230424"/>
    <w:rsid w:val="00230FF2"/>
    <w:rsid w:val="002318B5"/>
    <w:rsid w:val="0023210C"/>
    <w:rsid w:val="00233816"/>
    <w:rsid w:val="002356FD"/>
    <w:rsid w:val="00235765"/>
    <w:rsid w:val="002366C7"/>
    <w:rsid w:val="00243982"/>
    <w:rsid w:val="00244A63"/>
    <w:rsid w:val="002455F6"/>
    <w:rsid w:val="00247CA4"/>
    <w:rsid w:val="00251117"/>
    <w:rsid w:val="00251871"/>
    <w:rsid w:val="00252EB5"/>
    <w:rsid w:val="00253371"/>
    <w:rsid w:val="00253529"/>
    <w:rsid w:val="00253F6A"/>
    <w:rsid w:val="002547C6"/>
    <w:rsid w:val="0025504B"/>
    <w:rsid w:val="00256C3B"/>
    <w:rsid w:val="00257DD4"/>
    <w:rsid w:val="002641C4"/>
    <w:rsid w:val="002665EC"/>
    <w:rsid w:val="00267F5F"/>
    <w:rsid w:val="002714BE"/>
    <w:rsid w:val="00271A05"/>
    <w:rsid w:val="00273DFD"/>
    <w:rsid w:val="00274490"/>
    <w:rsid w:val="002770DE"/>
    <w:rsid w:val="0027748B"/>
    <w:rsid w:val="002807B3"/>
    <w:rsid w:val="00281D9A"/>
    <w:rsid w:val="00282672"/>
    <w:rsid w:val="00283D01"/>
    <w:rsid w:val="00284DB4"/>
    <w:rsid w:val="002856C9"/>
    <w:rsid w:val="00286900"/>
    <w:rsid w:val="00286B4D"/>
    <w:rsid w:val="00287DE9"/>
    <w:rsid w:val="002901EE"/>
    <w:rsid w:val="00290220"/>
    <w:rsid w:val="002908D9"/>
    <w:rsid w:val="002910CF"/>
    <w:rsid w:val="00291E0D"/>
    <w:rsid w:val="00293715"/>
    <w:rsid w:val="00294312"/>
    <w:rsid w:val="00294BB0"/>
    <w:rsid w:val="002A0328"/>
    <w:rsid w:val="002A33D4"/>
    <w:rsid w:val="002A37F4"/>
    <w:rsid w:val="002A550E"/>
    <w:rsid w:val="002A6992"/>
    <w:rsid w:val="002B2E72"/>
    <w:rsid w:val="002B2F41"/>
    <w:rsid w:val="002B5B93"/>
    <w:rsid w:val="002B640D"/>
    <w:rsid w:val="002B75C9"/>
    <w:rsid w:val="002B76D4"/>
    <w:rsid w:val="002C02D2"/>
    <w:rsid w:val="002C0B52"/>
    <w:rsid w:val="002C0C3F"/>
    <w:rsid w:val="002C0EBB"/>
    <w:rsid w:val="002C10A1"/>
    <w:rsid w:val="002C11FB"/>
    <w:rsid w:val="002C1AE4"/>
    <w:rsid w:val="002C4263"/>
    <w:rsid w:val="002C6428"/>
    <w:rsid w:val="002D0B2A"/>
    <w:rsid w:val="002D1F8F"/>
    <w:rsid w:val="002D234F"/>
    <w:rsid w:val="002D5C43"/>
    <w:rsid w:val="002D66FE"/>
    <w:rsid w:val="002E62DA"/>
    <w:rsid w:val="002E6F69"/>
    <w:rsid w:val="002F1356"/>
    <w:rsid w:val="002F175C"/>
    <w:rsid w:val="002F25D7"/>
    <w:rsid w:val="002F2AFD"/>
    <w:rsid w:val="002F391C"/>
    <w:rsid w:val="002F3CFC"/>
    <w:rsid w:val="002F3F60"/>
    <w:rsid w:val="002F58F8"/>
    <w:rsid w:val="00300BC0"/>
    <w:rsid w:val="00304016"/>
    <w:rsid w:val="003076DF"/>
    <w:rsid w:val="00313DCE"/>
    <w:rsid w:val="003147BC"/>
    <w:rsid w:val="00315A5A"/>
    <w:rsid w:val="00317251"/>
    <w:rsid w:val="003207EE"/>
    <w:rsid w:val="00321C6A"/>
    <w:rsid w:val="00322221"/>
    <w:rsid w:val="003229D8"/>
    <w:rsid w:val="00323D35"/>
    <w:rsid w:val="00324D67"/>
    <w:rsid w:val="00325DC4"/>
    <w:rsid w:val="00326C21"/>
    <w:rsid w:val="003277EB"/>
    <w:rsid w:val="00327A5A"/>
    <w:rsid w:val="00331861"/>
    <w:rsid w:val="003320A7"/>
    <w:rsid w:val="00332BDA"/>
    <w:rsid w:val="003415A7"/>
    <w:rsid w:val="00342ADA"/>
    <w:rsid w:val="0034300F"/>
    <w:rsid w:val="00344366"/>
    <w:rsid w:val="00345290"/>
    <w:rsid w:val="0034636E"/>
    <w:rsid w:val="00351F4D"/>
    <w:rsid w:val="00352709"/>
    <w:rsid w:val="00353222"/>
    <w:rsid w:val="00356091"/>
    <w:rsid w:val="00356549"/>
    <w:rsid w:val="00356D8E"/>
    <w:rsid w:val="00364D0B"/>
    <w:rsid w:val="00365051"/>
    <w:rsid w:val="0036553B"/>
    <w:rsid w:val="003664A4"/>
    <w:rsid w:val="00366D6A"/>
    <w:rsid w:val="00366F90"/>
    <w:rsid w:val="00367567"/>
    <w:rsid w:val="00367BE3"/>
    <w:rsid w:val="00371178"/>
    <w:rsid w:val="0037343E"/>
    <w:rsid w:val="00373BB8"/>
    <w:rsid w:val="00374865"/>
    <w:rsid w:val="00375DD9"/>
    <w:rsid w:val="003774D5"/>
    <w:rsid w:val="00377C0B"/>
    <w:rsid w:val="00381541"/>
    <w:rsid w:val="00382912"/>
    <w:rsid w:val="0038336C"/>
    <w:rsid w:val="00391059"/>
    <w:rsid w:val="003914FE"/>
    <w:rsid w:val="00392574"/>
    <w:rsid w:val="00393D51"/>
    <w:rsid w:val="003965B5"/>
    <w:rsid w:val="00396A47"/>
    <w:rsid w:val="0039780E"/>
    <w:rsid w:val="00397A9E"/>
    <w:rsid w:val="003A0D6E"/>
    <w:rsid w:val="003A222E"/>
    <w:rsid w:val="003A4D92"/>
    <w:rsid w:val="003A4DE3"/>
    <w:rsid w:val="003A6810"/>
    <w:rsid w:val="003A717A"/>
    <w:rsid w:val="003A7CD6"/>
    <w:rsid w:val="003B106F"/>
    <w:rsid w:val="003B108F"/>
    <w:rsid w:val="003B29A5"/>
    <w:rsid w:val="003B4185"/>
    <w:rsid w:val="003B65C5"/>
    <w:rsid w:val="003C2CC4"/>
    <w:rsid w:val="003C3D11"/>
    <w:rsid w:val="003C7C9B"/>
    <w:rsid w:val="003D02FF"/>
    <w:rsid w:val="003D071B"/>
    <w:rsid w:val="003D1DC7"/>
    <w:rsid w:val="003D2108"/>
    <w:rsid w:val="003D22BF"/>
    <w:rsid w:val="003D4473"/>
    <w:rsid w:val="003D4B23"/>
    <w:rsid w:val="003D5579"/>
    <w:rsid w:val="003D62B8"/>
    <w:rsid w:val="003D7391"/>
    <w:rsid w:val="003E00B9"/>
    <w:rsid w:val="003E04A7"/>
    <w:rsid w:val="003E213A"/>
    <w:rsid w:val="003E2D37"/>
    <w:rsid w:val="003E6221"/>
    <w:rsid w:val="003F17D3"/>
    <w:rsid w:val="003F1EC0"/>
    <w:rsid w:val="003F326C"/>
    <w:rsid w:val="003F6FD9"/>
    <w:rsid w:val="004005C9"/>
    <w:rsid w:val="00401537"/>
    <w:rsid w:val="00401BD6"/>
    <w:rsid w:val="004057B6"/>
    <w:rsid w:val="00405DA3"/>
    <w:rsid w:val="0040671A"/>
    <w:rsid w:val="00410C89"/>
    <w:rsid w:val="0041267D"/>
    <w:rsid w:val="00413977"/>
    <w:rsid w:val="00414915"/>
    <w:rsid w:val="004156EB"/>
    <w:rsid w:val="00415D20"/>
    <w:rsid w:val="00423A63"/>
    <w:rsid w:val="00425B62"/>
    <w:rsid w:val="00425EF1"/>
    <w:rsid w:val="00426B9B"/>
    <w:rsid w:val="004325CB"/>
    <w:rsid w:val="00432B7F"/>
    <w:rsid w:val="00433315"/>
    <w:rsid w:val="00435C7E"/>
    <w:rsid w:val="00436B33"/>
    <w:rsid w:val="0044063F"/>
    <w:rsid w:val="00442A83"/>
    <w:rsid w:val="0044374B"/>
    <w:rsid w:val="004437EC"/>
    <w:rsid w:val="0044553D"/>
    <w:rsid w:val="00450423"/>
    <w:rsid w:val="00450F22"/>
    <w:rsid w:val="00452CC0"/>
    <w:rsid w:val="0045495B"/>
    <w:rsid w:val="00454CF9"/>
    <w:rsid w:val="004552D9"/>
    <w:rsid w:val="00455990"/>
    <w:rsid w:val="00455EF0"/>
    <w:rsid w:val="00457B21"/>
    <w:rsid w:val="0046029E"/>
    <w:rsid w:val="004619E6"/>
    <w:rsid w:val="00461E4F"/>
    <w:rsid w:val="00462B97"/>
    <w:rsid w:val="00464EE3"/>
    <w:rsid w:val="00465707"/>
    <w:rsid w:val="00467886"/>
    <w:rsid w:val="004678E8"/>
    <w:rsid w:val="00467C5E"/>
    <w:rsid w:val="004700F3"/>
    <w:rsid w:val="00470ACE"/>
    <w:rsid w:val="00473676"/>
    <w:rsid w:val="004741A5"/>
    <w:rsid w:val="00476887"/>
    <w:rsid w:val="00476E63"/>
    <w:rsid w:val="00480506"/>
    <w:rsid w:val="00480C4B"/>
    <w:rsid w:val="00483396"/>
    <w:rsid w:val="0048461E"/>
    <w:rsid w:val="00485287"/>
    <w:rsid w:val="00486112"/>
    <w:rsid w:val="00486EBD"/>
    <w:rsid w:val="00487488"/>
    <w:rsid w:val="00487D32"/>
    <w:rsid w:val="00490501"/>
    <w:rsid w:val="00490828"/>
    <w:rsid w:val="004933D6"/>
    <w:rsid w:val="00495550"/>
    <w:rsid w:val="004966BE"/>
    <w:rsid w:val="0049712B"/>
    <w:rsid w:val="004A5F2A"/>
    <w:rsid w:val="004A6468"/>
    <w:rsid w:val="004A6CD0"/>
    <w:rsid w:val="004A70C1"/>
    <w:rsid w:val="004A796A"/>
    <w:rsid w:val="004B00C5"/>
    <w:rsid w:val="004B033A"/>
    <w:rsid w:val="004B03C1"/>
    <w:rsid w:val="004B0B46"/>
    <w:rsid w:val="004B2E8A"/>
    <w:rsid w:val="004B4BBE"/>
    <w:rsid w:val="004B64A3"/>
    <w:rsid w:val="004B7D02"/>
    <w:rsid w:val="004C04C0"/>
    <w:rsid w:val="004C3E44"/>
    <w:rsid w:val="004C40A9"/>
    <w:rsid w:val="004C69FB"/>
    <w:rsid w:val="004D34B5"/>
    <w:rsid w:val="004D57D5"/>
    <w:rsid w:val="004E05A2"/>
    <w:rsid w:val="004E1B25"/>
    <w:rsid w:val="004E2DE9"/>
    <w:rsid w:val="004E3F52"/>
    <w:rsid w:val="004E4EF3"/>
    <w:rsid w:val="004E58FE"/>
    <w:rsid w:val="004E5E12"/>
    <w:rsid w:val="004F2940"/>
    <w:rsid w:val="004F4323"/>
    <w:rsid w:val="004F4472"/>
    <w:rsid w:val="004F6977"/>
    <w:rsid w:val="00502301"/>
    <w:rsid w:val="00506196"/>
    <w:rsid w:val="0051027F"/>
    <w:rsid w:val="005113A9"/>
    <w:rsid w:val="005141A4"/>
    <w:rsid w:val="00514279"/>
    <w:rsid w:val="0052136D"/>
    <w:rsid w:val="00521376"/>
    <w:rsid w:val="005222E3"/>
    <w:rsid w:val="005233BB"/>
    <w:rsid w:val="005234B9"/>
    <w:rsid w:val="00524768"/>
    <w:rsid w:val="00524E4A"/>
    <w:rsid w:val="0052775E"/>
    <w:rsid w:val="00527B02"/>
    <w:rsid w:val="0053319B"/>
    <w:rsid w:val="00534314"/>
    <w:rsid w:val="00536EB9"/>
    <w:rsid w:val="005374E3"/>
    <w:rsid w:val="005420F2"/>
    <w:rsid w:val="0054227A"/>
    <w:rsid w:val="00542B36"/>
    <w:rsid w:val="0054675F"/>
    <w:rsid w:val="005476D9"/>
    <w:rsid w:val="005516AE"/>
    <w:rsid w:val="005529FF"/>
    <w:rsid w:val="0055584A"/>
    <w:rsid w:val="00555E98"/>
    <w:rsid w:val="00560092"/>
    <w:rsid w:val="00560D14"/>
    <w:rsid w:val="00561A70"/>
    <w:rsid w:val="005628B6"/>
    <w:rsid w:val="00563996"/>
    <w:rsid w:val="00570102"/>
    <w:rsid w:val="005704C8"/>
    <w:rsid w:val="005706A9"/>
    <w:rsid w:val="00570E36"/>
    <w:rsid w:val="00571608"/>
    <w:rsid w:val="0057185C"/>
    <w:rsid w:val="005748C5"/>
    <w:rsid w:val="00576D81"/>
    <w:rsid w:val="00576EC7"/>
    <w:rsid w:val="005777C3"/>
    <w:rsid w:val="005808F6"/>
    <w:rsid w:val="00581D72"/>
    <w:rsid w:val="005848B3"/>
    <w:rsid w:val="00585634"/>
    <w:rsid w:val="0058568A"/>
    <w:rsid w:val="0058610A"/>
    <w:rsid w:val="00586159"/>
    <w:rsid w:val="00586263"/>
    <w:rsid w:val="00587D1B"/>
    <w:rsid w:val="0059010D"/>
    <w:rsid w:val="00590A3F"/>
    <w:rsid w:val="00590F87"/>
    <w:rsid w:val="00591910"/>
    <w:rsid w:val="005923DE"/>
    <w:rsid w:val="00592C4A"/>
    <w:rsid w:val="00594092"/>
    <w:rsid w:val="00594377"/>
    <w:rsid w:val="0059472C"/>
    <w:rsid w:val="00597828"/>
    <w:rsid w:val="005A1442"/>
    <w:rsid w:val="005A49B9"/>
    <w:rsid w:val="005A700C"/>
    <w:rsid w:val="005A75FA"/>
    <w:rsid w:val="005A7BB3"/>
    <w:rsid w:val="005B3DB3"/>
    <w:rsid w:val="005C0C99"/>
    <w:rsid w:val="005C15FF"/>
    <w:rsid w:val="005C1D69"/>
    <w:rsid w:val="005C2126"/>
    <w:rsid w:val="005C33B4"/>
    <w:rsid w:val="005C58DB"/>
    <w:rsid w:val="005D190A"/>
    <w:rsid w:val="005D3735"/>
    <w:rsid w:val="005D4E58"/>
    <w:rsid w:val="005D5358"/>
    <w:rsid w:val="005D6036"/>
    <w:rsid w:val="005E462B"/>
    <w:rsid w:val="005E4716"/>
    <w:rsid w:val="005E59F1"/>
    <w:rsid w:val="005F165E"/>
    <w:rsid w:val="005F26AC"/>
    <w:rsid w:val="005F3072"/>
    <w:rsid w:val="005F4259"/>
    <w:rsid w:val="005F624E"/>
    <w:rsid w:val="005F7717"/>
    <w:rsid w:val="005F7B75"/>
    <w:rsid w:val="006001EE"/>
    <w:rsid w:val="00601E0C"/>
    <w:rsid w:val="00603713"/>
    <w:rsid w:val="00603C59"/>
    <w:rsid w:val="00605042"/>
    <w:rsid w:val="00607A34"/>
    <w:rsid w:val="0061087F"/>
    <w:rsid w:val="00611168"/>
    <w:rsid w:val="00611A72"/>
    <w:rsid w:val="00611FC4"/>
    <w:rsid w:val="00612323"/>
    <w:rsid w:val="0061362B"/>
    <w:rsid w:val="00613728"/>
    <w:rsid w:val="00613D94"/>
    <w:rsid w:val="006141FD"/>
    <w:rsid w:val="00614221"/>
    <w:rsid w:val="00615ED0"/>
    <w:rsid w:val="006176FB"/>
    <w:rsid w:val="006177BA"/>
    <w:rsid w:val="00617C67"/>
    <w:rsid w:val="00621DE3"/>
    <w:rsid w:val="00624945"/>
    <w:rsid w:val="006261A6"/>
    <w:rsid w:val="0063023A"/>
    <w:rsid w:val="00636F4A"/>
    <w:rsid w:val="00640B26"/>
    <w:rsid w:val="00640EA9"/>
    <w:rsid w:val="006462FE"/>
    <w:rsid w:val="0065035F"/>
    <w:rsid w:val="0065075F"/>
    <w:rsid w:val="00652208"/>
    <w:rsid w:val="00652D0A"/>
    <w:rsid w:val="006548EB"/>
    <w:rsid w:val="006556B3"/>
    <w:rsid w:val="006575E7"/>
    <w:rsid w:val="006602D9"/>
    <w:rsid w:val="0066048A"/>
    <w:rsid w:val="00662ADC"/>
    <w:rsid w:val="00662BB6"/>
    <w:rsid w:val="00664B53"/>
    <w:rsid w:val="0066682A"/>
    <w:rsid w:val="00667028"/>
    <w:rsid w:val="00672AA5"/>
    <w:rsid w:val="00674533"/>
    <w:rsid w:val="00674B7B"/>
    <w:rsid w:val="0068158A"/>
    <w:rsid w:val="00681C0F"/>
    <w:rsid w:val="0068224E"/>
    <w:rsid w:val="00682651"/>
    <w:rsid w:val="0068359D"/>
    <w:rsid w:val="00684444"/>
    <w:rsid w:val="00684C21"/>
    <w:rsid w:val="006876C9"/>
    <w:rsid w:val="00690602"/>
    <w:rsid w:val="006965AE"/>
    <w:rsid w:val="00697ACD"/>
    <w:rsid w:val="006A007C"/>
    <w:rsid w:val="006A140D"/>
    <w:rsid w:val="006A25E2"/>
    <w:rsid w:val="006A3B1A"/>
    <w:rsid w:val="006B1124"/>
    <w:rsid w:val="006B4DF4"/>
    <w:rsid w:val="006B508E"/>
    <w:rsid w:val="006B54CB"/>
    <w:rsid w:val="006B5529"/>
    <w:rsid w:val="006B591F"/>
    <w:rsid w:val="006B7800"/>
    <w:rsid w:val="006B7F55"/>
    <w:rsid w:val="006C46CF"/>
    <w:rsid w:val="006C7004"/>
    <w:rsid w:val="006D0E3D"/>
    <w:rsid w:val="006D0FFD"/>
    <w:rsid w:val="006D3013"/>
    <w:rsid w:val="006D37AF"/>
    <w:rsid w:val="006D51D0"/>
    <w:rsid w:val="006D68FE"/>
    <w:rsid w:val="006E0C81"/>
    <w:rsid w:val="006E1AB4"/>
    <w:rsid w:val="006E42B9"/>
    <w:rsid w:val="006E564B"/>
    <w:rsid w:val="006E7191"/>
    <w:rsid w:val="006F1676"/>
    <w:rsid w:val="006F2855"/>
    <w:rsid w:val="006F4145"/>
    <w:rsid w:val="006F495A"/>
    <w:rsid w:val="006F7B67"/>
    <w:rsid w:val="007018F4"/>
    <w:rsid w:val="00703577"/>
    <w:rsid w:val="00706647"/>
    <w:rsid w:val="007067F4"/>
    <w:rsid w:val="00707821"/>
    <w:rsid w:val="00713A10"/>
    <w:rsid w:val="007147B8"/>
    <w:rsid w:val="00715E61"/>
    <w:rsid w:val="0072102C"/>
    <w:rsid w:val="00723A94"/>
    <w:rsid w:val="00723E1F"/>
    <w:rsid w:val="00725551"/>
    <w:rsid w:val="007259A2"/>
    <w:rsid w:val="007260A3"/>
    <w:rsid w:val="0072632A"/>
    <w:rsid w:val="007267F8"/>
    <w:rsid w:val="00726975"/>
    <w:rsid w:val="00730436"/>
    <w:rsid w:val="007309B1"/>
    <w:rsid w:val="00730BD7"/>
    <w:rsid w:val="007327D5"/>
    <w:rsid w:val="00733634"/>
    <w:rsid w:val="00733F1A"/>
    <w:rsid w:val="0074664B"/>
    <w:rsid w:val="00747F42"/>
    <w:rsid w:val="00754A43"/>
    <w:rsid w:val="007554EF"/>
    <w:rsid w:val="00756119"/>
    <w:rsid w:val="00756468"/>
    <w:rsid w:val="007629C8"/>
    <w:rsid w:val="00762A5F"/>
    <w:rsid w:val="00763911"/>
    <w:rsid w:val="00764280"/>
    <w:rsid w:val="00765D73"/>
    <w:rsid w:val="00766230"/>
    <w:rsid w:val="00772C94"/>
    <w:rsid w:val="00773432"/>
    <w:rsid w:val="00777F4B"/>
    <w:rsid w:val="00781E83"/>
    <w:rsid w:val="00782FC8"/>
    <w:rsid w:val="00787D34"/>
    <w:rsid w:val="007908FF"/>
    <w:rsid w:val="00791A1A"/>
    <w:rsid w:val="00791BFA"/>
    <w:rsid w:val="00792382"/>
    <w:rsid w:val="0079305C"/>
    <w:rsid w:val="007945DA"/>
    <w:rsid w:val="00796CA7"/>
    <w:rsid w:val="00797691"/>
    <w:rsid w:val="007A0C87"/>
    <w:rsid w:val="007A2A78"/>
    <w:rsid w:val="007A30E6"/>
    <w:rsid w:val="007A42A3"/>
    <w:rsid w:val="007A5894"/>
    <w:rsid w:val="007B0628"/>
    <w:rsid w:val="007B3D06"/>
    <w:rsid w:val="007B4ECE"/>
    <w:rsid w:val="007B5323"/>
    <w:rsid w:val="007B612A"/>
    <w:rsid w:val="007B697E"/>
    <w:rsid w:val="007B6BA5"/>
    <w:rsid w:val="007B741E"/>
    <w:rsid w:val="007C1291"/>
    <w:rsid w:val="007C20EC"/>
    <w:rsid w:val="007C26F5"/>
    <w:rsid w:val="007C31E3"/>
    <w:rsid w:val="007C3390"/>
    <w:rsid w:val="007C3A76"/>
    <w:rsid w:val="007C3D77"/>
    <w:rsid w:val="007C3DA5"/>
    <w:rsid w:val="007C41BC"/>
    <w:rsid w:val="007C4F4B"/>
    <w:rsid w:val="007C55C3"/>
    <w:rsid w:val="007C784F"/>
    <w:rsid w:val="007D3B49"/>
    <w:rsid w:val="007D4882"/>
    <w:rsid w:val="007D533C"/>
    <w:rsid w:val="007D5D91"/>
    <w:rsid w:val="007D5E2F"/>
    <w:rsid w:val="007D7097"/>
    <w:rsid w:val="007D7ED6"/>
    <w:rsid w:val="007E030F"/>
    <w:rsid w:val="007E0B2D"/>
    <w:rsid w:val="007E15D1"/>
    <w:rsid w:val="007E3A0D"/>
    <w:rsid w:val="007E3C72"/>
    <w:rsid w:val="007E4A7D"/>
    <w:rsid w:val="007E57CE"/>
    <w:rsid w:val="007E588D"/>
    <w:rsid w:val="007E5E89"/>
    <w:rsid w:val="007F0478"/>
    <w:rsid w:val="007F3B04"/>
    <w:rsid w:val="007F6580"/>
    <w:rsid w:val="007F6611"/>
    <w:rsid w:val="007F7B32"/>
    <w:rsid w:val="00803706"/>
    <w:rsid w:val="00803B3C"/>
    <w:rsid w:val="00805C6E"/>
    <w:rsid w:val="008072C8"/>
    <w:rsid w:val="008105B8"/>
    <w:rsid w:val="0081173C"/>
    <w:rsid w:val="00813939"/>
    <w:rsid w:val="00813A4C"/>
    <w:rsid w:val="0081602C"/>
    <w:rsid w:val="00816EC2"/>
    <w:rsid w:val="00823875"/>
    <w:rsid w:val="008242D7"/>
    <w:rsid w:val="00825079"/>
    <w:rsid w:val="008257B1"/>
    <w:rsid w:val="00826A47"/>
    <w:rsid w:val="00833C3F"/>
    <w:rsid w:val="00834A6D"/>
    <w:rsid w:val="008356B4"/>
    <w:rsid w:val="00840A52"/>
    <w:rsid w:val="008422A3"/>
    <w:rsid w:val="00843767"/>
    <w:rsid w:val="008439D8"/>
    <w:rsid w:val="00844AC7"/>
    <w:rsid w:val="0084573D"/>
    <w:rsid w:val="00846007"/>
    <w:rsid w:val="00847582"/>
    <w:rsid w:val="00847AB6"/>
    <w:rsid w:val="00851A89"/>
    <w:rsid w:val="00851C6A"/>
    <w:rsid w:val="00852D70"/>
    <w:rsid w:val="00853AE8"/>
    <w:rsid w:val="00854273"/>
    <w:rsid w:val="00854A88"/>
    <w:rsid w:val="0085760F"/>
    <w:rsid w:val="00860DA6"/>
    <w:rsid w:val="00861EC0"/>
    <w:rsid w:val="0086253C"/>
    <w:rsid w:val="00865231"/>
    <w:rsid w:val="008660D2"/>
    <w:rsid w:val="008661A6"/>
    <w:rsid w:val="008676C9"/>
    <w:rsid w:val="008679D9"/>
    <w:rsid w:val="00870B2F"/>
    <w:rsid w:val="00872861"/>
    <w:rsid w:val="00872B96"/>
    <w:rsid w:val="008730D0"/>
    <w:rsid w:val="0087336B"/>
    <w:rsid w:val="00873C33"/>
    <w:rsid w:val="00874F74"/>
    <w:rsid w:val="00875D38"/>
    <w:rsid w:val="00875E2E"/>
    <w:rsid w:val="008777F5"/>
    <w:rsid w:val="008777F6"/>
    <w:rsid w:val="00883A5F"/>
    <w:rsid w:val="00891C07"/>
    <w:rsid w:val="0089371C"/>
    <w:rsid w:val="00897699"/>
    <w:rsid w:val="008979B1"/>
    <w:rsid w:val="008A0F2E"/>
    <w:rsid w:val="008A1DB2"/>
    <w:rsid w:val="008A46C0"/>
    <w:rsid w:val="008A6B25"/>
    <w:rsid w:val="008A6C4F"/>
    <w:rsid w:val="008A719B"/>
    <w:rsid w:val="008A7898"/>
    <w:rsid w:val="008A78D8"/>
    <w:rsid w:val="008B056B"/>
    <w:rsid w:val="008B2335"/>
    <w:rsid w:val="008B4FF8"/>
    <w:rsid w:val="008B539F"/>
    <w:rsid w:val="008B6497"/>
    <w:rsid w:val="008C11BA"/>
    <w:rsid w:val="008C24EC"/>
    <w:rsid w:val="008D3289"/>
    <w:rsid w:val="008E0678"/>
    <w:rsid w:val="008E3710"/>
    <w:rsid w:val="008E3D40"/>
    <w:rsid w:val="008E3EAB"/>
    <w:rsid w:val="008E4BD9"/>
    <w:rsid w:val="008E7D45"/>
    <w:rsid w:val="008E7D83"/>
    <w:rsid w:val="008F18AE"/>
    <w:rsid w:val="008F2390"/>
    <w:rsid w:val="008F2DBD"/>
    <w:rsid w:val="008F5B49"/>
    <w:rsid w:val="008F710D"/>
    <w:rsid w:val="0090016F"/>
    <w:rsid w:val="00900557"/>
    <w:rsid w:val="00901BAB"/>
    <w:rsid w:val="009036C0"/>
    <w:rsid w:val="009038B5"/>
    <w:rsid w:val="00904924"/>
    <w:rsid w:val="009051EE"/>
    <w:rsid w:val="009068FF"/>
    <w:rsid w:val="00906FC9"/>
    <w:rsid w:val="009075C5"/>
    <w:rsid w:val="00910F40"/>
    <w:rsid w:val="00912C08"/>
    <w:rsid w:val="00913E9D"/>
    <w:rsid w:val="00915878"/>
    <w:rsid w:val="009170B8"/>
    <w:rsid w:val="0092040D"/>
    <w:rsid w:val="00920568"/>
    <w:rsid w:val="0092126B"/>
    <w:rsid w:val="0092214B"/>
    <w:rsid w:val="009223CA"/>
    <w:rsid w:val="00922D44"/>
    <w:rsid w:val="00931B0F"/>
    <w:rsid w:val="00932248"/>
    <w:rsid w:val="009326D2"/>
    <w:rsid w:val="009326E2"/>
    <w:rsid w:val="009337E7"/>
    <w:rsid w:val="009345DA"/>
    <w:rsid w:val="00935D6E"/>
    <w:rsid w:val="009364BD"/>
    <w:rsid w:val="00940A07"/>
    <w:rsid w:val="00940F93"/>
    <w:rsid w:val="00945B80"/>
    <w:rsid w:val="00951D7D"/>
    <w:rsid w:val="009528A5"/>
    <w:rsid w:val="0095321C"/>
    <w:rsid w:val="0095347F"/>
    <w:rsid w:val="009548EA"/>
    <w:rsid w:val="0095512F"/>
    <w:rsid w:val="00956AF0"/>
    <w:rsid w:val="009623C2"/>
    <w:rsid w:val="0096630B"/>
    <w:rsid w:val="00970830"/>
    <w:rsid w:val="009715DD"/>
    <w:rsid w:val="00971861"/>
    <w:rsid w:val="009760F3"/>
    <w:rsid w:val="00977DCA"/>
    <w:rsid w:val="009803DB"/>
    <w:rsid w:val="00981ACF"/>
    <w:rsid w:val="009820C8"/>
    <w:rsid w:val="0098625F"/>
    <w:rsid w:val="00987426"/>
    <w:rsid w:val="00987431"/>
    <w:rsid w:val="009909F5"/>
    <w:rsid w:val="009933EB"/>
    <w:rsid w:val="009940DE"/>
    <w:rsid w:val="0099427E"/>
    <w:rsid w:val="009969F7"/>
    <w:rsid w:val="00996D1E"/>
    <w:rsid w:val="00996FB4"/>
    <w:rsid w:val="00997115"/>
    <w:rsid w:val="009A0A71"/>
    <w:rsid w:val="009A0E8D"/>
    <w:rsid w:val="009A1E04"/>
    <w:rsid w:val="009A2408"/>
    <w:rsid w:val="009A40F1"/>
    <w:rsid w:val="009A4A8B"/>
    <w:rsid w:val="009A5C1F"/>
    <w:rsid w:val="009B26E7"/>
    <w:rsid w:val="009B2CC1"/>
    <w:rsid w:val="009B4853"/>
    <w:rsid w:val="009B48CD"/>
    <w:rsid w:val="009B4B7E"/>
    <w:rsid w:val="009B529E"/>
    <w:rsid w:val="009B5501"/>
    <w:rsid w:val="009B6F2C"/>
    <w:rsid w:val="009C09B7"/>
    <w:rsid w:val="009C336D"/>
    <w:rsid w:val="009C743C"/>
    <w:rsid w:val="009C7C19"/>
    <w:rsid w:val="009D0CDC"/>
    <w:rsid w:val="009D1D67"/>
    <w:rsid w:val="009D478C"/>
    <w:rsid w:val="009D5D7F"/>
    <w:rsid w:val="009D6052"/>
    <w:rsid w:val="009E0905"/>
    <w:rsid w:val="009E114D"/>
    <w:rsid w:val="009E1804"/>
    <w:rsid w:val="009E342C"/>
    <w:rsid w:val="009E3A8A"/>
    <w:rsid w:val="009E6F73"/>
    <w:rsid w:val="009F01D7"/>
    <w:rsid w:val="009F02B8"/>
    <w:rsid w:val="009F24CD"/>
    <w:rsid w:val="009F58A6"/>
    <w:rsid w:val="009F62E3"/>
    <w:rsid w:val="009F6C96"/>
    <w:rsid w:val="009F7FE6"/>
    <w:rsid w:val="00A00A3F"/>
    <w:rsid w:val="00A01489"/>
    <w:rsid w:val="00A01C59"/>
    <w:rsid w:val="00A02166"/>
    <w:rsid w:val="00A023D9"/>
    <w:rsid w:val="00A050FD"/>
    <w:rsid w:val="00A116D4"/>
    <w:rsid w:val="00A11748"/>
    <w:rsid w:val="00A12D30"/>
    <w:rsid w:val="00A17338"/>
    <w:rsid w:val="00A22CD3"/>
    <w:rsid w:val="00A23615"/>
    <w:rsid w:val="00A23E4B"/>
    <w:rsid w:val="00A23F96"/>
    <w:rsid w:val="00A24A9E"/>
    <w:rsid w:val="00A271C7"/>
    <w:rsid w:val="00A301C9"/>
    <w:rsid w:val="00A313AC"/>
    <w:rsid w:val="00A31BEC"/>
    <w:rsid w:val="00A32917"/>
    <w:rsid w:val="00A338F1"/>
    <w:rsid w:val="00A34A1F"/>
    <w:rsid w:val="00A35864"/>
    <w:rsid w:val="00A35E9D"/>
    <w:rsid w:val="00A35F0B"/>
    <w:rsid w:val="00A36475"/>
    <w:rsid w:val="00A40224"/>
    <w:rsid w:val="00A428EF"/>
    <w:rsid w:val="00A43232"/>
    <w:rsid w:val="00A44615"/>
    <w:rsid w:val="00A45242"/>
    <w:rsid w:val="00A47DB6"/>
    <w:rsid w:val="00A47DE5"/>
    <w:rsid w:val="00A6161D"/>
    <w:rsid w:val="00A62D64"/>
    <w:rsid w:val="00A632F7"/>
    <w:rsid w:val="00A63497"/>
    <w:rsid w:val="00A64940"/>
    <w:rsid w:val="00A70A8D"/>
    <w:rsid w:val="00A71F16"/>
    <w:rsid w:val="00A71FA9"/>
    <w:rsid w:val="00A7221D"/>
    <w:rsid w:val="00A72F22"/>
    <w:rsid w:val="00A7360F"/>
    <w:rsid w:val="00A748A6"/>
    <w:rsid w:val="00A766BB"/>
    <w:rsid w:val="00A769F4"/>
    <w:rsid w:val="00A77021"/>
    <w:rsid w:val="00A776B4"/>
    <w:rsid w:val="00A81662"/>
    <w:rsid w:val="00A82A3D"/>
    <w:rsid w:val="00A85118"/>
    <w:rsid w:val="00A86774"/>
    <w:rsid w:val="00A93677"/>
    <w:rsid w:val="00A94361"/>
    <w:rsid w:val="00A94D94"/>
    <w:rsid w:val="00A97A3D"/>
    <w:rsid w:val="00AA293C"/>
    <w:rsid w:val="00AB1182"/>
    <w:rsid w:val="00AC091F"/>
    <w:rsid w:val="00AC3E90"/>
    <w:rsid w:val="00AC5955"/>
    <w:rsid w:val="00AC5EF9"/>
    <w:rsid w:val="00AC6865"/>
    <w:rsid w:val="00AD11FE"/>
    <w:rsid w:val="00AD1CB7"/>
    <w:rsid w:val="00AD3B53"/>
    <w:rsid w:val="00AD3D2C"/>
    <w:rsid w:val="00AD436B"/>
    <w:rsid w:val="00AD6FEA"/>
    <w:rsid w:val="00AE2C55"/>
    <w:rsid w:val="00AE45D2"/>
    <w:rsid w:val="00AF0885"/>
    <w:rsid w:val="00AF0D85"/>
    <w:rsid w:val="00AF1B3D"/>
    <w:rsid w:val="00AF27E7"/>
    <w:rsid w:val="00AF6312"/>
    <w:rsid w:val="00AF73A3"/>
    <w:rsid w:val="00B01A91"/>
    <w:rsid w:val="00B0218F"/>
    <w:rsid w:val="00B02F74"/>
    <w:rsid w:val="00B0407E"/>
    <w:rsid w:val="00B04DFD"/>
    <w:rsid w:val="00B07DC4"/>
    <w:rsid w:val="00B11AE4"/>
    <w:rsid w:val="00B13E47"/>
    <w:rsid w:val="00B13E9B"/>
    <w:rsid w:val="00B16668"/>
    <w:rsid w:val="00B1698F"/>
    <w:rsid w:val="00B22BCB"/>
    <w:rsid w:val="00B26B45"/>
    <w:rsid w:val="00B270B9"/>
    <w:rsid w:val="00B2725E"/>
    <w:rsid w:val="00B30179"/>
    <w:rsid w:val="00B305CA"/>
    <w:rsid w:val="00B30785"/>
    <w:rsid w:val="00B30D80"/>
    <w:rsid w:val="00B30D9F"/>
    <w:rsid w:val="00B310AB"/>
    <w:rsid w:val="00B313EF"/>
    <w:rsid w:val="00B320DC"/>
    <w:rsid w:val="00B32959"/>
    <w:rsid w:val="00B32ACE"/>
    <w:rsid w:val="00B339A7"/>
    <w:rsid w:val="00B33E58"/>
    <w:rsid w:val="00B34CEC"/>
    <w:rsid w:val="00B358B5"/>
    <w:rsid w:val="00B359D6"/>
    <w:rsid w:val="00B3721B"/>
    <w:rsid w:val="00B4204F"/>
    <w:rsid w:val="00B441D6"/>
    <w:rsid w:val="00B458C5"/>
    <w:rsid w:val="00B505D2"/>
    <w:rsid w:val="00B506E5"/>
    <w:rsid w:val="00B54B86"/>
    <w:rsid w:val="00B54D4D"/>
    <w:rsid w:val="00B5529C"/>
    <w:rsid w:val="00B55DD4"/>
    <w:rsid w:val="00B56E4A"/>
    <w:rsid w:val="00B56E9C"/>
    <w:rsid w:val="00B60213"/>
    <w:rsid w:val="00B60510"/>
    <w:rsid w:val="00B61233"/>
    <w:rsid w:val="00B63109"/>
    <w:rsid w:val="00B635DD"/>
    <w:rsid w:val="00B63B42"/>
    <w:rsid w:val="00B64B1F"/>
    <w:rsid w:val="00B6553F"/>
    <w:rsid w:val="00B66E5E"/>
    <w:rsid w:val="00B7097D"/>
    <w:rsid w:val="00B74E1E"/>
    <w:rsid w:val="00B7536C"/>
    <w:rsid w:val="00B76473"/>
    <w:rsid w:val="00B7708E"/>
    <w:rsid w:val="00B7766D"/>
    <w:rsid w:val="00B77D05"/>
    <w:rsid w:val="00B81206"/>
    <w:rsid w:val="00B81E12"/>
    <w:rsid w:val="00B8210A"/>
    <w:rsid w:val="00B8211F"/>
    <w:rsid w:val="00B8386A"/>
    <w:rsid w:val="00B83F15"/>
    <w:rsid w:val="00B849AD"/>
    <w:rsid w:val="00B84D91"/>
    <w:rsid w:val="00B85B2C"/>
    <w:rsid w:val="00B86139"/>
    <w:rsid w:val="00B9067B"/>
    <w:rsid w:val="00B95E2B"/>
    <w:rsid w:val="00B96243"/>
    <w:rsid w:val="00BA2C2A"/>
    <w:rsid w:val="00BA32EC"/>
    <w:rsid w:val="00BA33A1"/>
    <w:rsid w:val="00BA6F6A"/>
    <w:rsid w:val="00BB118C"/>
    <w:rsid w:val="00BB13C2"/>
    <w:rsid w:val="00BB32C4"/>
    <w:rsid w:val="00BB369A"/>
    <w:rsid w:val="00BB55BE"/>
    <w:rsid w:val="00BB59EF"/>
    <w:rsid w:val="00BB6B52"/>
    <w:rsid w:val="00BB7331"/>
    <w:rsid w:val="00BB73D9"/>
    <w:rsid w:val="00BB7E8B"/>
    <w:rsid w:val="00BC0BCE"/>
    <w:rsid w:val="00BC1C7C"/>
    <w:rsid w:val="00BC2C23"/>
    <w:rsid w:val="00BC46DE"/>
    <w:rsid w:val="00BC5759"/>
    <w:rsid w:val="00BC624D"/>
    <w:rsid w:val="00BC7471"/>
    <w:rsid w:val="00BC74E9"/>
    <w:rsid w:val="00BD1024"/>
    <w:rsid w:val="00BD121F"/>
    <w:rsid w:val="00BD3745"/>
    <w:rsid w:val="00BD5430"/>
    <w:rsid w:val="00BD5B4B"/>
    <w:rsid w:val="00BE37C6"/>
    <w:rsid w:val="00BE513A"/>
    <w:rsid w:val="00BF028F"/>
    <w:rsid w:val="00BF1198"/>
    <w:rsid w:val="00BF68A8"/>
    <w:rsid w:val="00BF6D94"/>
    <w:rsid w:val="00BF7711"/>
    <w:rsid w:val="00C004DB"/>
    <w:rsid w:val="00C004F1"/>
    <w:rsid w:val="00C00732"/>
    <w:rsid w:val="00C03875"/>
    <w:rsid w:val="00C03B36"/>
    <w:rsid w:val="00C0448F"/>
    <w:rsid w:val="00C052ED"/>
    <w:rsid w:val="00C067D0"/>
    <w:rsid w:val="00C1187B"/>
    <w:rsid w:val="00C118D0"/>
    <w:rsid w:val="00C11A03"/>
    <w:rsid w:val="00C11F78"/>
    <w:rsid w:val="00C129D4"/>
    <w:rsid w:val="00C152C9"/>
    <w:rsid w:val="00C160B3"/>
    <w:rsid w:val="00C206BE"/>
    <w:rsid w:val="00C22A00"/>
    <w:rsid w:val="00C23D75"/>
    <w:rsid w:val="00C26201"/>
    <w:rsid w:val="00C31D6E"/>
    <w:rsid w:val="00C3209F"/>
    <w:rsid w:val="00C33602"/>
    <w:rsid w:val="00C33A2B"/>
    <w:rsid w:val="00C34558"/>
    <w:rsid w:val="00C4227C"/>
    <w:rsid w:val="00C42914"/>
    <w:rsid w:val="00C42A1D"/>
    <w:rsid w:val="00C45B74"/>
    <w:rsid w:val="00C463DD"/>
    <w:rsid w:val="00C46B5A"/>
    <w:rsid w:val="00C47176"/>
    <w:rsid w:val="00C4724C"/>
    <w:rsid w:val="00C47C44"/>
    <w:rsid w:val="00C50600"/>
    <w:rsid w:val="00C50F48"/>
    <w:rsid w:val="00C52743"/>
    <w:rsid w:val="00C53883"/>
    <w:rsid w:val="00C54FE3"/>
    <w:rsid w:val="00C56E8A"/>
    <w:rsid w:val="00C61BD0"/>
    <w:rsid w:val="00C629A0"/>
    <w:rsid w:val="00C63ADF"/>
    <w:rsid w:val="00C640E4"/>
    <w:rsid w:val="00C64F6D"/>
    <w:rsid w:val="00C66717"/>
    <w:rsid w:val="00C66CE9"/>
    <w:rsid w:val="00C73510"/>
    <w:rsid w:val="00C73DFF"/>
    <w:rsid w:val="00C740A2"/>
    <w:rsid w:val="00C745C3"/>
    <w:rsid w:val="00C758FB"/>
    <w:rsid w:val="00C76C9A"/>
    <w:rsid w:val="00C77996"/>
    <w:rsid w:val="00C8270E"/>
    <w:rsid w:val="00C8394D"/>
    <w:rsid w:val="00C83B66"/>
    <w:rsid w:val="00C8458E"/>
    <w:rsid w:val="00C848CE"/>
    <w:rsid w:val="00C85647"/>
    <w:rsid w:val="00C867D9"/>
    <w:rsid w:val="00C8745A"/>
    <w:rsid w:val="00C876F4"/>
    <w:rsid w:val="00C914E9"/>
    <w:rsid w:val="00C926BA"/>
    <w:rsid w:val="00C962A6"/>
    <w:rsid w:val="00C96E7A"/>
    <w:rsid w:val="00C97691"/>
    <w:rsid w:val="00CA0DF2"/>
    <w:rsid w:val="00CA3279"/>
    <w:rsid w:val="00CA4135"/>
    <w:rsid w:val="00CA4AE0"/>
    <w:rsid w:val="00CA5268"/>
    <w:rsid w:val="00CA6514"/>
    <w:rsid w:val="00CB58D3"/>
    <w:rsid w:val="00CB7D7B"/>
    <w:rsid w:val="00CC0EF6"/>
    <w:rsid w:val="00CC4558"/>
    <w:rsid w:val="00CC4DF1"/>
    <w:rsid w:val="00CC525C"/>
    <w:rsid w:val="00CC6E93"/>
    <w:rsid w:val="00CC74D6"/>
    <w:rsid w:val="00CC76F1"/>
    <w:rsid w:val="00CC7C1E"/>
    <w:rsid w:val="00CD257D"/>
    <w:rsid w:val="00CD3313"/>
    <w:rsid w:val="00CD369B"/>
    <w:rsid w:val="00CD4BDD"/>
    <w:rsid w:val="00CD6C40"/>
    <w:rsid w:val="00CD7B66"/>
    <w:rsid w:val="00CE10A7"/>
    <w:rsid w:val="00CE112A"/>
    <w:rsid w:val="00CE26D5"/>
    <w:rsid w:val="00CE4A8F"/>
    <w:rsid w:val="00CE68E6"/>
    <w:rsid w:val="00CF1584"/>
    <w:rsid w:val="00CF3572"/>
    <w:rsid w:val="00CF3FFF"/>
    <w:rsid w:val="00CF6E7A"/>
    <w:rsid w:val="00CF7B21"/>
    <w:rsid w:val="00D002AA"/>
    <w:rsid w:val="00D026B3"/>
    <w:rsid w:val="00D0333A"/>
    <w:rsid w:val="00D038FF"/>
    <w:rsid w:val="00D04044"/>
    <w:rsid w:val="00D04A53"/>
    <w:rsid w:val="00D05098"/>
    <w:rsid w:val="00D06048"/>
    <w:rsid w:val="00D075FF"/>
    <w:rsid w:val="00D10E1D"/>
    <w:rsid w:val="00D14622"/>
    <w:rsid w:val="00D14D39"/>
    <w:rsid w:val="00D14FFC"/>
    <w:rsid w:val="00D15E6B"/>
    <w:rsid w:val="00D1703F"/>
    <w:rsid w:val="00D17F97"/>
    <w:rsid w:val="00D2031B"/>
    <w:rsid w:val="00D204F9"/>
    <w:rsid w:val="00D21CA9"/>
    <w:rsid w:val="00D21E76"/>
    <w:rsid w:val="00D237FE"/>
    <w:rsid w:val="00D25FE2"/>
    <w:rsid w:val="00D2676C"/>
    <w:rsid w:val="00D301A6"/>
    <w:rsid w:val="00D31DD2"/>
    <w:rsid w:val="00D32812"/>
    <w:rsid w:val="00D355A1"/>
    <w:rsid w:val="00D359B0"/>
    <w:rsid w:val="00D376D1"/>
    <w:rsid w:val="00D43252"/>
    <w:rsid w:val="00D443ED"/>
    <w:rsid w:val="00D47E94"/>
    <w:rsid w:val="00D47EEA"/>
    <w:rsid w:val="00D500EC"/>
    <w:rsid w:val="00D50335"/>
    <w:rsid w:val="00D51D8B"/>
    <w:rsid w:val="00D52E02"/>
    <w:rsid w:val="00D53954"/>
    <w:rsid w:val="00D54C66"/>
    <w:rsid w:val="00D552E4"/>
    <w:rsid w:val="00D567A4"/>
    <w:rsid w:val="00D5736C"/>
    <w:rsid w:val="00D576F8"/>
    <w:rsid w:val="00D6002A"/>
    <w:rsid w:val="00D60F18"/>
    <w:rsid w:val="00D63335"/>
    <w:rsid w:val="00D6363E"/>
    <w:rsid w:val="00D637F2"/>
    <w:rsid w:val="00D64785"/>
    <w:rsid w:val="00D674BC"/>
    <w:rsid w:val="00D71E90"/>
    <w:rsid w:val="00D73BA8"/>
    <w:rsid w:val="00D7493A"/>
    <w:rsid w:val="00D74FBA"/>
    <w:rsid w:val="00D77FCB"/>
    <w:rsid w:val="00D80035"/>
    <w:rsid w:val="00D82FB8"/>
    <w:rsid w:val="00D83A38"/>
    <w:rsid w:val="00D8607A"/>
    <w:rsid w:val="00D90E0F"/>
    <w:rsid w:val="00D92080"/>
    <w:rsid w:val="00D93BE3"/>
    <w:rsid w:val="00D95303"/>
    <w:rsid w:val="00D956ED"/>
    <w:rsid w:val="00D978C6"/>
    <w:rsid w:val="00DA3111"/>
    <w:rsid w:val="00DA37E4"/>
    <w:rsid w:val="00DA3C1C"/>
    <w:rsid w:val="00DA3FC8"/>
    <w:rsid w:val="00DA7942"/>
    <w:rsid w:val="00DA7D88"/>
    <w:rsid w:val="00DB0C79"/>
    <w:rsid w:val="00DB1AAD"/>
    <w:rsid w:val="00DB292D"/>
    <w:rsid w:val="00DB304D"/>
    <w:rsid w:val="00DB556F"/>
    <w:rsid w:val="00DB5E60"/>
    <w:rsid w:val="00DB7EE0"/>
    <w:rsid w:val="00DC2882"/>
    <w:rsid w:val="00DC30BC"/>
    <w:rsid w:val="00DC3FA8"/>
    <w:rsid w:val="00DC459C"/>
    <w:rsid w:val="00DC7AA0"/>
    <w:rsid w:val="00DD3066"/>
    <w:rsid w:val="00DD7FB0"/>
    <w:rsid w:val="00DE5BA6"/>
    <w:rsid w:val="00DE654C"/>
    <w:rsid w:val="00DF038E"/>
    <w:rsid w:val="00DF35DB"/>
    <w:rsid w:val="00DF4B81"/>
    <w:rsid w:val="00DF624E"/>
    <w:rsid w:val="00DF6601"/>
    <w:rsid w:val="00DF7FE6"/>
    <w:rsid w:val="00E00265"/>
    <w:rsid w:val="00E06BFF"/>
    <w:rsid w:val="00E11B76"/>
    <w:rsid w:val="00E138B1"/>
    <w:rsid w:val="00E13CC9"/>
    <w:rsid w:val="00E16BA8"/>
    <w:rsid w:val="00E237CD"/>
    <w:rsid w:val="00E27346"/>
    <w:rsid w:val="00E30E2D"/>
    <w:rsid w:val="00E33360"/>
    <w:rsid w:val="00E336C7"/>
    <w:rsid w:val="00E34A3D"/>
    <w:rsid w:val="00E34E19"/>
    <w:rsid w:val="00E35B2F"/>
    <w:rsid w:val="00E369E4"/>
    <w:rsid w:val="00E36E6E"/>
    <w:rsid w:val="00E36F10"/>
    <w:rsid w:val="00E40A66"/>
    <w:rsid w:val="00E44637"/>
    <w:rsid w:val="00E44A23"/>
    <w:rsid w:val="00E47731"/>
    <w:rsid w:val="00E50765"/>
    <w:rsid w:val="00E5105C"/>
    <w:rsid w:val="00E51DBA"/>
    <w:rsid w:val="00E536FE"/>
    <w:rsid w:val="00E53D7E"/>
    <w:rsid w:val="00E55C9B"/>
    <w:rsid w:val="00E610FB"/>
    <w:rsid w:val="00E61C39"/>
    <w:rsid w:val="00E61FF1"/>
    <w:rsid w:val="00E6384B"/>
    <w:rsid w:val="00E63E44"/>
    <w:rsid w:val="00E66084"/>
    <w:rsid w:val="00E67B7A"/>
    <w:rsid w:val="00E67BC9"/>
    <w:rsid w:val="00E71687"/>
    <w:rsid w:val="00E71BC8"/>
    <w:rsid w:val="00E71E33"/>
    <w:rsid w:val="00E725D6"/>
    <w:rsid w:val="00E7260F"/>
    <w:rsid w:val="00E72DAB"/>
    <w:rsid w:val="00E779FC"/>
    <w:rsid w:val="00E81BF1"/>
    <w:rsid w:val="00E83A50"/>
    <w:rsid w:val="00E86DED"/>
    <w:rsid w:val="00E87469"/>
    <w:rsid w:val="00E94EEA"/>
    <w:rsid w:val="00E94FB9"/>
    <w:rsid w:val="00E95B83"/>
    <w:rsid w:val="00E965D8"/>
    <w:rsid w:val="00E96630"/>
    <w:rsid w:val="00EA20CC"/>
    <w:rsid w:val="00EA32AB"/>
    <w:rsid w:val="00EA3A40"/>
    <w:rsid w:val="00EB0885"/>
    <w:rsid w:val="00EB1A4D"/>
    <w:rsid w:val="00EB2581"/>
    <w:rsid w:val="00EB26CC"/>
    <w:rsid w:val="00EB4CCD"/>
    <w:rsid w:val="00EB6120"/>
    <w:rsid w:val="00EB643E"/>
    <w:rsid w:val="00EB6806"/>
    <w:rsid w:val="00EC7F2F"/>
    <w:rsid w:val="00ED23F2"/>
    <w:rsid w:val="00ED53E0"/>
    <w:rsid w:val="00ED541F"/>
    <w:rsid w:val="00ED592A"/>
    <w:rsid w:val="00ED7A2A"/>
    <w:rsid w:val="00EE0AEB"/>
    <w:rsid w:val="00EE1CBF"/>
    <w:rsid w:val="00EE366B"/>
    <w:rsid w:val="00EE3FE7"/>
    <w:rsid w:val="00EE59B9"/>
    <w:rsid w:val="00EE73FE"/>
    <w:rsid w:val="00EE7F67"/>
    <w:rsid w:val="00EF0A4E"/>
    <w:rsid w:val="00EF1A6F"/>
    <w:rsid w:val="00EF1AFF"/>
    <w:rsid w:val="00EF1D7F"/>
    <w:rsid w:val="00EF1DE8"/>
    <w:rsid w:val="00EF26CA"/>
    <w:rsid w:val="00EF2E45"/>
    <w:rsid w:val="00EF4098"/>
    <w:rsid w:val="00EF52F2"/>
    <w:rsid w:val="00F012CF"/>
    <w:rsid w:val="00F014A4"/>
    <w:rsid w:val="00F033D7"/>
    <w:rsid w:val="00F03CBB"/>
    <w:rsid w:val="00F12E52"/>
    <w:rsid w:val="00F130E7"/>
    <w:rsid w:val="00F1392B"/>
    <w:rsid w:val="00F13A80"/>
    <w:rsid w:val="00F14977"/>
    <w:rsid w:val="00F16E77"/>
    <w:rsid w:val="00F20546"/>
    <w:rsid w:val="00F20C3D"/>
    <w:rsid w:val="00F21C66"/>
    <w:rsid w:val="00F2349E"/>
    <w:rsid w:val="00F24D26"/>
    <w:rsid w:val="00F279EF"/>
    <w:rsid w:val="00F30145"/>
    <w:rsid w:val="00F32F09"/>
    <w:rsid w:val="00F3379B"/>
    <w:rsid w:val="00F35E7D"/>
    <w:rsid w:val="00F36851"/>
    <w:rsid w:val="00F36CB6"/>
    <w:rsid w:val="00F40692"/>
    <w:rsid w:val="00F43DD4"/>
    <w:rsid w:val="00F43E9E"/>
    <w:rsid w:val="00F444A0"/>
    <w:rsid w:val="00F4624E"/>
    <w:rsid w:val="00F4685E"/>
    <w:rsid w:val="00F4754E"/>
    <w:rsid w:val="00F47D7D"/>
    <w:rsid w:val="00F526A2"/>
    <w:rsid w:val="00F5356F"/>
    <w:rsid w:val="00F53828"/>
    <w:rsid w:val="00F54A92"/>
    <w:rsid w:val="00F54EE7"/>
    <w:rsid w:val="00F579AA"/>
    <w:rsid w:val="00F60300"/>
    <w:rsid w:val="00F624B7"/>
    <w:rsid w:val="00F65BE6"/>
    <w:rsid w:val="00F65E00"/>
    <w:rsid w:val="00F67166"/>
    <w:rsid w:val="00F67878"/>
    <w:rsid w:val="00F67E96"/>
    <w:rsid w:val="00F72FAE"/>
    <w:rsid w:val="00F735F1"/>
    <w:rsid w:val="00F73665"/>
    <w:rsid w:val="00F73DBA"/>
    <w:rsid w:val="00F75AC4"/>
    <w:rsid w:val="00F76D46"/>
    <w:rsid w:val="00F778A1"/>
    <w:rsid w:val="00F8319B"/>
    <w:rsid w:val="00F85F06"/>
    <w:rsid w:val="00F87588"/>
    <w:rsid w:val="00F9057C"/>
    <w:rsid w:val="00F906D7"/>
    <w:rsid w:val="00F91B1A"/>
    <w:rsid w:val="00F92EF7"/>
    <w:rsid w:val="00F93314"/>
    <w:rsid w:val="00F93781"/>
    <w:rsid w:val="00F93D4B"/>
    <w:rsid w:val="00F9436B"/>
    <w:rsid w:val="00F961F2"/>
    <w:rsid w:val="00F974D5"/>
    <w:rsid w:val="00FA025A"/>
    <w:rsid w:val="00FA075A"/>
    <w:rsid w:val="00FA3FBD"/>
    <w:rsid w:val="00FA5430"/>
    <w:rsid w:val="00FA6F15"/>
    <w:rsid w:val="00FB05A2"/>
    <w:rsid w:val="00FB185A"/>
    <w:rsid w:val="00FB23E7"/>
    <w:rsid w:val="00FB3616"/>
    <w:rsid w:val="00FB469C"/>
    <w:rsid w:val="00FB49C2"/>
    <w:rsid w:val="00FB5B26"/>
    <w:rsid w:val="00FB5E22"/>
    <w:rsid w:val="00FB613B"/>
    <w:rsid w:val="00FB7B41"/>
    <w:rsid w:val="00FB7FE6"/>
    <w:rsid w:val="00FC24CD"/>
    <w:rsid w:val="00FC3141"/>
    <w:rsid w:val="00FC6894"/>
    <w:rsid w:val="00FC68B7"/>
    <w:rsid w:val="00FD3098"/>
    <w:rsid w:val="00FD4989"/>
    <w:rsid w:val="00FD7E17"/>
    <w:rsid w:val="00FE106A"/>
    <w:rsid w:val="00FE1B0C"/>
    <w:rsid w:val="00FE1CDE"/>
    <w:rsid w:val="00FE20D1"/>
    <w:rsid w:val="00FE3BE9"/>
    <w:rsid w:val="00FE64B7"/>
    <w:rsid w:val="00FF0380"/>
    <w:rsid w:val="00FF31BC"/>
    <w:rsid w:val="00FF4B81"/>
    <w:rsid w:val="00FF68CE"/>
    <w:rsid w:val="00FF7041"/>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1E5107-1245-4CAA-A0E2-DE21458D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uiPriority w:val="59"/>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2F2AF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qFormat/>
    <w:rsid w:val="002F2AFD"/>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A40224"/>
    <w:rPr>
      <w:lang w:eastAsia="en-US"/>
    </w:rPr>
  </w:style>
  <w:style w:type="paragraph" w:styleId="NoSpacing">
    <w:name w:val="No Spacing"/>
    <w:uiPriority w:val="1"/>
    <w:qFormat/>
    <w:rsid w:val="00A40224"/>
    <w:pPr>
      <w:suppressAutoHyphens/>
    </w:pPr>
    <w:rPr>
      <w:rFonts w:eastAsia="MS Mincho"/>
      <w:lang w:eastAsia="en-US"/>
    </w:rPr>
  </w:style>
  <w:style w:type="character" w:customStyle="1" w:styleId="FootnoteTextChar">
    <w:name w:val="Footnote Text Char"/>
    <w:aliases w:val="5_G Char"/>
    <w:link w:val="FootnoteText"/>
    <w:rsid w:val="00A40224"/>
    <w:rPr>
      <w:rFonts w:eastAsia="SimSun"/>
      <w:sz w:val="18"/>
      <w:lang w:eastAsia="zh-CN"/>
    </w:rPr>
  </w:style>
  <w:style w:type="paragraph" w:styleId="BalloonText">
    <w:name w:val="Balloon Text"/>
    <w:basedOn w:val="Normal"/>
    <w:link w:val="BalloonTextChar"/>
    <w:uiPriority w:val="99"/>
    <w:rsid w:val="00B612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1233"/>
    <w:rPr>
      <w:rFonts w:ascii="Tahoma" w:hAnsi="Tahoma" w:cs="Tahoma"/>
      <w:sz w:val="16"/>
      <w:szCs w:val="16"/>
      <w:lang w:eastAsia="en-US"/>
    </w:rPr>
  </w:style>
  <w:style w:type="paragraph" w:styleId="NormalWeb">
    <w:name w:val="Normal (Web)"/>
    <w:basedOn w:val="Normal"/>
    <w:uiPriority w:val="99"/>
    <w:rsid w:val="008356B4"/>
    <w:rPr>
      <w:sz w:val="24"/>
      <w:szCs w:val="24"/>
    </w:rPr>
  </w:style>
  <w:style w:type="character" w:customStyle="1" w:styleId="Heading1Char">
    <w:name w:val="Heading 1 Char"/>
    <w:aliases w:val="Table_G Char"/>
    <w:basedOn w:val="DefaultParagraphFont"/>
    <w:link w:val="Heading1"/>
    <w:rsid w:val="00F73665"/>
    <w:rPr>
      <w:lang w:eastAsia="en-US"/>
    </w:rPr>
  </w:style>
  <w:style w:type="character" w:customStyle="1" w:styleId="Heading2Char">
    <w:name w:val="Heading 2 Char"/>
    <w:basedOn w:val="DefaultParagraphFont"/>
    <w:link w:val="Heading2"/>
    <w:rsid w:val="00F73665"/>
    <w:rPr>
      <w:lang w:eastAsia="en-US"/>
    </w:rPr>
  </w:style>
  <w:style w:type="paragraph" w:customStyle="1" w:styleId="doubledouble">
    <w:name w:val="double double"/>
    <w:basedOn w:val="Normal"/>
    <w:rsid w:val="00F73665"/>
    <w:pPr>
      <w:suppressAutoHyphens w:val="0"/>
      <w:spacing w:after="240" w:line="240" w:lineRule="auto"/>
      <w:ind w:left="2160" w:right="2160"/>
      <w:jc w:val="both"/>
    </w:pPr>
    <w:rPr>
      <w:sz w:val="24"/>
      <w:lang w:val="en-CA"/>
    </w:rPr>
  </w:style>
  <w:style w:type="paragraph" w:customStyle="1" w:styleId="submissionhead1">
    <w:name w:val="submissionhead1"/>
    <w:basedOn w:val="Normal"/>
    <w:rsid w:val="00F73665"/>
    <w:pPr>
      <w:widowControl w:val="0"/>
      <w:suppressAutoHyphens w:val="0"/>
      <w:spacing w:line="240" w:lineRule="auto"/>
    </w:pPr>
    <w:rPr>
      <w:b/>
      <w:caps/>
      <w:snapToGrid w:val="0"/>
      <w:sz w:val="24"/>
      <w:lang w:val="en-CA"/>
    </w:rPr>
  </w:style>
  <w:style w:type="character" w:customStyle="1" w:styleId="HeaderChar">
    <w:name w:val="Header Char"/>
    <w:aliases w:val="6_G Char"/>
    <w:basedOn w:val="DefaultParagraphFont"/>
    <w:link w:val="Header"/>
    <w:uiPriority w:val="99"/>
    <w:rsid w:val="00F73665"/>
    <w:rPr>
      <w:b/>
      <w:sz w:val="18"/>
      <w:lang w:eastAsia="en-US"/>
    </w:rPr>
  </w:style>
  <w:style w:type="character" w:customStyle="1" w:styleId="FooterChar">
    <w:name w:val="Footer Char"/>
    <w:aliases w:val="3_G Char"/>
    <w:basedOn w:val="DefaultParagraphFont"/>
    <w:link w:val="Footer"/>
    <w:rsid w:val="00F73665"/>
    <w:rPr>
      <w:sz w:val="16"/>
      <w:lang w:eastAsia="en-US"/>
    </w:rPr>
  </w:style>
  <w:style w:type="paragraph" w:customStyle="1" w:styleId="Blockquote">
    <w:name w:val="Blockquote"/>
    <w:basedOn w:val="Normal"/>
    <w:rsid w:val="00F73665"/>
    <w:pPr>
      <w:suppressAutoHyphens w:val="0"/>
      <w:spacing w:before="100" w:after="100" w:line="240" w:lineRule="auto"/>
      <w:ind w:left="360" w:right="360"/>
    </w:pPr>
    <w:rPr>
      <w:snapToGrid w:val="0"/>
      <w:sz w:val="24"/>
      <w:lang w:val="en-CA"/>
    </w:rPr>
  </w:style>
  <w:style w:type="paragraph" w:styleId="ListParagraph">
    <w:name w:val="List Paragraph"/>
    <w:basedOn w:val="Normal"/>
    <w:link w:val="ListParagraphChar"/>
    <w:uiPriority w:val="99"/>
    <w:qFormat/>
    <w:rsid w:val="00F73665"/>
    <w:pPr>
      <w:suppressAutoHyphens w:val="0"/>
      <w:spacing w:line="240" w:lineRule="auto"/>
      <w:ind w:left="720"/>
      <w:contextualSpacing/>
    </w:pPr>
    <w:rPr>
      <w:sz w:val="24"/>
      <w:szCs w:val="24"/>
      <w:lang w:val="en-CA" w:eastAsia="en-CA"/>
    </w:rPr>
  </w:style>
  <w:style w:type="character" w:customStyle="1" w:styleId="ListParagraphChar">
    <w:name w:val="List Paragraph Char"/>
    <w:basedOn w:val="DefaultParagraphFont"/>
    <w:link w:val="ListParagraph"/>
    <w:uiPriority w:val="99"/>
    <w:rsid w:val="00F73665"/>
    <w:rPr>
      <w:sz w:val="24"/>
      <w:szCs w:val="24"/>
      <w:lang w:val="en-CA" w:eastAsia="en-CA"/>
    </w:rPr>
  </w:style>
  <w:style w:type="character" w:styleId="CommentReference">
    <w:name w:val="annotation reference"/>
    <w:basedOn w:val="DefaultParagraphFont"/>
    <w:uiPriority w:val="99"/>
    <w:unhideWhenUsed/>
    <w:rsid w:val="00F73665"/>
    <w:rPr>
      <w:sz w:val="16"/>
      <w:szCs w:val="16"/>
    </w:rPr>
  </w:style>
  <w:style w:type="paragraph" w:styleId="CommentText">
    <w:name w:val="annotation text"/>
    <w:basedOn w:val="Normal"/>
    <w:link w:val="CommentTextChar"/>
    <w:uiPriority w:val="99"/>
    <w:unhideWhenUsed/>
    <w:rsid w:val="00F73665"/>
    <w:pPr>
      <w:suppressAutoHyphens w:val="0"/>
      <w:spacing w:line="240" w:lineRule="auto"/>
    </w:pPr>
    <w:rPr>
      <w:lang w:val="en-CA"/>
    </w:rPr>
  </w:style>
  <w:style w:type="character" w:customStyle="1" w:styleId="CommentTextChar">
    <w:name w:val="Comment Text Char"/>
    <w:basedOn w:val="DefaultParagraphFont"/>
    <w:link w:val="CommentText"/>
    <w:uiPriority w:val="99"/>
    <w:rsid w:val="00F73665"/>
    <w:rPr>
      <w:lang w:val="en-CA" w:eastAsia="en-US"/>
    </w:rPr>
  </w:style>
  <w:style w:type="paragraph" w:styleId="CommentSubject">
    <w:name w:val="annotation subject"/>
    <w:basedOn w:val="CommentText"/>
    <w:next w:val="CommentText"/>
    <w:link w:val="CommentSubjectChar"/>
    <w:uiPriority w:val="99"/>
    <w:unhideWhenUsed/>
    <w:rsid w:val="00F73665"/>
    <w:rPr>
      <w:b/>
      <w:bCs/>
    </w:rPr>
  </w:style>
  <w:style w:type="character" w:customStyle="1" w:styleId="CommentSubjectChar">
    <w:name w:val="Comment Subject Char"/>
    <w:basedOn w:val="CommentTextChar"/>
    <w:link w:val="CommentSubject"/>
    <w:uiPriority w:val="99"/>
    <w:rsid w:val="00F73665"/>
    <w:rPr>
      <w:b/>
      <w:bCs/>
      <w:lang w:val="en-CA" w:eastAsia="en-US"/>
    </w:rPr>
  </w:style>
  <w:style w:type="character" w:customStyle="1" w:styleId="c2">
    <w:name w:val="c2"/>
    <w:basedOn w:val="DefaultParagraphFont"/>
    <w:rsid w:val="00F73665"/>
  </w:style>
  <w:style w:type="paragraph" w:styleId="Revision">
    <w:name w:val="Revision"/>
    <w:hidden/>
    <w:uiPriority w:val="99"/>
    <w:semiHidden/>
    <w:rsid w:val="00247CA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6164">
      <w:bodyDiv w:val="1"/>
      <w:marLeft w:val="0"/>
      <w:marRight w:val="0"/>
      <w:marTop w:val="0"/>
      <w:marBottom w:val="0"/>
      <w:divBdr>
        <w:top w:val="none" w:sz="0" w:space="0" w:color="auto"/>
        <w:left w:val="none" w:sz="0" w:space="0" w:color="auto"/>
        <w:bottom w:val="none" w:sz="0" w:space="0" w:color="auto"/>
        <w:right w:val="none" w:sz="0" w:space="0" w:color="auto"/>
      </w:divBdr>
    </w:div>
    <w:div w:id="1275554862">
      <w:bodyDiv w:val="1"/>
      <w:marLeft w:val="0"/>
      <w:marRight w:val="0"/>
      <w:marTop w:val="0"/>
      <w:marBottom w:val="0"/>
      <w:divBdr>
        <w:top w:val="none" w:sz="0" w:space="0" w:color="auto"/>
        <w:left w:val="none" w:sz="0" w:space="0" w:color="auto"/>
        <w:bottom w:val="none" w:sz="0" w:space="0" w:color="auto"/>
        <w:right w:val="none" w:sz="0" w:space="0" w:color="auto"/>
      </w:divBdr>
    </w:div>
    <w:div w:id="1839033943">
      <w:bodyDiv w:val="1"/>
      <w:marLeft w:val="0"/>
      <w:marRight w:val="0"/>
      <w:marTop w:val="0"/>
      <w:marBottom w:val="0"/>
      <w:divBdr>
        <w:top w:val="none" w:sz="0" w:space="0" w:color="auto"/>
        <w:left w:val="none" w:sz="0" w:space="0" w:color="auto"/>
        <w:bottom w:val="none" w:sz="0" w:space="0" w:color="auto"/>
        <w:right w:val="none" w:sz="0" w:space="0" w:color="auto"/>
      </w:divBdr>
    </w:div>
    <w:div w:id="18397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C27CF-14E2-462E-B48D-A2F0CADE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9</Pages>
  <Words>3756</Words>
  <Characters>21415</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1615573</vt:lpstr>
      <vt:lpstr>United Nations</vt:lpstr>
    </vt:vector>
  </TitlesOfParts>
  <Company>CSD</Company>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1615573</dc:title>
  <dc:subject>CCPR/C/117/D/2291/2013</dc:subject>
  <dc:creator>Viktoria Saprykina-Houdemer</dc:creator>
  <cp:keywords/>
  <dc:description/>
  <cp:lastModifiedBy>Sarah Willig</cp:lastModifiedBy>
  <cp:revision>2</cp:revision>
  <cp:lastPrinted>2016-05-04T07:56:00Z</cp:lastPrinted>
  <dcterms:created xsi:type="dcterms:W3CDTF">2017-03-28T16:58:00Z</dcterms:created>
  <dcterms:modified xsi:type="dcterms:W3CDTF">2017-03-28T16:58:00Z</dcterms:modified>
</cp:coreProperties>
</file>