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915C7" w:rsidTr="00B6553F">
        <w:trPr>
          <w:cantSplit/>
          <w:trHeight w:hRule="exact" w:val="851"/>
        </w:trPr>
        <w:tc>
          <w:tcPr>
            <w:tcW w:w="1276" w:type="dxa"/>
            <w:tcBorders>
              <w:bottom w:val="single" w:sz="4" w:space="0" w:color="auto"/>
            </w:tcBorders>
            <w:vAlign w:val="bottom"/>
          </w:tcPr>
          <w:p w:rsidR="00B56E9C" w:rsidRPr="00FB4167" w:rsidRDefault="006D79CF" w:rsidP="00FB4167">
            <w:pPr>
              <w:spacing w:line="20" w:lineRule="exact"/>
              <w:rPr>
                <w:sz w:val="2"/>
              </w:rPr>
            </w:pPr>
            <w:r>
              <w:rPr>
                <w:rStyle w:val="CommentReference"/>
                <w:lang w:val="x-none"/>
              </w:rPr>
              <w:commentReference w:id="0"/>
            </w:r>
            <w:bookmarkStart w:id="1" w:name="_GoBack"/>
            <w:bookmarkEnd w:id="1"/>
          </w:p>
          <w:p w:rsidR="006D79CF" w:rsidRDefault="006D79CF" w:rsidP="00B6553F">
            <w:pPr>
              <w:spacing w:after="80"/>
            </w:pPr>
          </w:p>
        </w:tc>
        <w:tc>
          <w:tcPr>
            <w:tcW w:w="2268" w:type="dxa"/>
            <w:tcBorders>
              <w:bottom w:val="single" w:sz="4" w:space="0" w:color="auto"/>
            </w:tcBorders>
            <w:vAlign w:val="bottom"/>
          </w:tcPr>
          <w:p w:rsidR="00B56E9C" w:rsidRPr="003915C7" w:rsidRDefault="00B56E9C" w:rsidP="00B6553F">
            <w:pPr>
              <w:spacing w:after="80" w:line="300" w:lineRule="exact"/>
              <w:rPr>
                <w:b/>
                <w:sz w:val="24"/>
                <w:szCs w:val="24"/>
              </w:rPr>
            </w:pPr>
            <w:r w:rsidRPr="003915C7">
              <w:rPr>
                <w:sz w:val="28"/>
                <w:szCs w:val="28"/>
              </w:rPr>
              <w:t>United Nations</w:t>
            </w:r>
          </w:p>
        </w:tc>
        <w:tc>
          <w:tcPr>
            <w:tcW w:w="6095" w:type="dxa"/>
            <w:gridSpan w:val="2"/>
            <w:tcBorders>
              <w:bottom w:val="single" w:sz="4" w:space="0" w:color="auto"/>
            </w:tcBorders>
            <w:vAlign w:val="bottom"/>
          </w:tcPr>
          <w:p w:rsidR="00B56E9C" w:rsidRPr="003915C7" w:rsidRDefault="008216A5" w:rsidP="007B2AA3">
            <w:pPr>
              <w:jc w:val="right"/>
            </w:pPr>
            <w:r w:rsidRPr="003915C7">
              <w:rPr>
                <w:sz w:val="40"/>
              </w:rPr>
              <w:t>CCPR</w:t>
            </w:r>
            <w:r w:rsidRPr="003915C7">
              <w:t>/C/1</w:t>
            </w:r>
            <w:r w:rsidR="00711F00" w:rsidRPr="003915C7">
              <w:t>1</w:t>
            </w:r>
            <w:r w:rsidR="0003383A" w:rsidRPr="003915C7">
              <w:t>4</w:t>
            </w:r>
            <w:r w:rsidRPr="003915C7">
              <w:t>/D/</w:t>
            </w:r>
            <w:r w:rsidR="0003383A" w:rsidRPr="003915C7">
              <w:t>2343</w:t>
            </w:r>
            <w:r w:rsidRPr="003915C7">
              <w:t>/</w:t>
            </w:r>
            <w:r w:rsidR="00AE50CE" w:rsidRPr="003915C7">
              <w:t>20</w:t>
            </w:r>
            <w:r w:rsidR="00540F02" w:rsidRPr="003915C7">
              <w:t>1</w:t>
            </w:r>
            <w:r w:rsidR="0003383A" w:rsidRPr="003915C7">
              <w:t>4</w:t>
            </w:r>
          </w:p>
        </w:tc>
      </w:tr>
      <w:tr w:rsidR="00B56E9C" w:rsidRPr="003915C7" w:rsidTr="00B6553F">
        <w:trPr>
          <w:cantSplit/>
          <w:trHeight w:hRule="exact" w:val="2835"/>
        </w:trPr>
        <w:tc>
          <w:tcPr>
            <w:tcW w:w="1276" w:type="dxa"/>
            <w:tcBorders>
              <w:top w:val="single" w:sz="4" w:space="0" w:color="auto"/>
              <w:bottom w:val="single" w:sz="12" w:space="0" w:color="auto"/>
            </w:tcBorders>
          </w:tcPr>
          <w:p w:rsidR="00B56E9C" w:rsidRPr="003915C7" w:rsidRDefault="00C45829" w:rsidP="00B6553F">
            <w:pPr>
              <w:spacing w:before="120"/>
            </w:pPr>
            <w:r w:rsidRPr="003915C7">
              <w:rPr>
                <w:noProof/>
                <w:lang w:val="en-US" w:eastAsia="zh-CN"/>
              </w:rPr>
              <w:drawing>
                <wp:inline distT="0" distB="0" distL="0" distR="0" wp14:anchorId="5C6FE3C8" wp14:editId="4B825F69">
                  <wp:extent cx="717550" cy="590550"/>
                  <wp:effectExtent l="0" t="0" r="635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B2AA3" w:rsidRPr="008A1525" w:rsidRDefault="00B56E9C" w:rsidP="00267F5F">
            <w:pPr>
              <w:spacing w:before="120" w:line="380" w:lineRule="exact"/>
              <w:rPr>
                <w:b/>
                <w:sz w:val="34"/>
                <w:szCs w:val="40"/>
              </w:rPr>
            </w:pPr>
            <w:r w:rsidRPr="003915C7">
              <w:rPr>
                <w:b/>
                <w:sz w:val="34"/>
                <w:szCs w:val="40"/>
              </w:rPr>
              <w:t xml:space="preserve">International </w:t>
            </w:r>
            <w:r w:rsidR="00060C3A" w:rsidRPr="003915C7">
              <w:rPr>
                <w:b/>
                <w:sz w:val="34"/>
                <w:szCs w:val="40"/>
              </w:rPr>
              <w:t>Covenant on</w:t>
            </w:r>
            <w:r w:rsidR="00060C3A" w:rsidRPr="003915C7">
              <w:rPr>
                <w:b/>
                <w:sz w:val="34"/>
                <w:szCs w:val="40"/>
              </w:rPr>
              <w:br/>
              <w:t>Civil and Political R</w:t>
            </w:r>
            <w:r w:rsidR="00703577" w:rsidRPr="003915C7">
              <w:rPr>
                <w:b/>
                <w:sz w:val="34"/>
                <w:szCs w:val="40"/>
              </w:rPr>
              <w:t>ights</w:t>
            </w:r>
          </w:p>
        </w:tc>
        <w:tc>
          <w:tcPr>
            <w:tcW w:w="2835" w:type="dxa"/>
            <w:tcBorders>
              <w:top w:val="single" w:sz="4" w:space="0" w:color="auto"/>
              <w:bottom w:val="single" w:sz="12" w:space="0" w:color="auto"/>
            </w:tcBorders>
          </w:tcPr>
          <w:p w:rsidR="00B56E9C" w:rsidRPr="003915C7" w:rsidRDefault="008216A5" w:rsidP="008216A5">
            <w:pPr>
              <w:spacing w:before="240" w:line="240" w:lineRule="exact"/>
            </w:pPr>
            <w:r w:rsidRPr="003915C7">
              <w:t xml:space="preserve">Distr.: </w:t>
            </w:r>
            <w:r w:rsidR="00B021AA" w:rsidRPr="003915C7">
              <w:t>General</w:t>
            </w:r>
          </w:p>
          <w:p w:rsidR="008216A5" w:rsidRPr="003915C7" w:rsidRDefault="003915C7" w:rsidP="008216A5">
            <w:pPr>
              <w:spacing w:line="240" w:lineRule="exact"/>
            </w:pPr>
            <w:r>
              <w:t>2</w:t>
            </w:r>
            <w:r w:rsidR="00EA2515" w:rsidRPr="003915C7">
              <w:t>4</w:t>
            </w:r>
            <w:r w:rsidR="00A058D4" w:rsidRPr="003915C7">
              <w:t xml:space="preserve"> September</w:t>
            </w:r>
            <w:r w:rsidR="004556B9" w:rsidRPr="003915C7">
              <w:t xml:space="preserve"> </w:t>
            </w:r>
            <w:r w:rsidR="008216A5" w:rsidRPr="003915C7">
              <w:t>201</w:t>
            </w:r>
            <w:r w:rsidR="0003383A" w:rsidRPr="003915C7">
              <w:t>5</w:t>
            </w:r>
          </w:p>
          <w:p w:rsidR="008216A5" w:rsidRPr="003915C7" w:rsidRDefault="008216A5" w:rsidP="008216A5">
            <w:pPr>
              <w:spacing w:line="240" w:lineRule="exact"/>
            </w:pPr>
          </w:p>
          <w:p w:rsidR="008216A5" w:rsidRPr="003915C7" w:rsidRDefault="008216A5" w:rsidP="008216A5">
            <w:pPr>
              <w:spacing w:line="240" w:lineRule="exact"/>
            </w:pPr>
            <w:r w:rsidRPr="003915C7">
              <w:t>Original: English</w:t>
            </w:r>
          </w:p>
          <w:p w:rsidR="00994E66" w:rsidRPr="003915C7" w:rsidRDefault="00994E66" w:rsidP="008216A5">
            <w:pPr>
              <w:spacing w:line="240" w:lineRule="exact"/>
            </w:pPr>
          </w:p>
        </w:tc>
      </w:tr>
    </w:tbl>
    <w:p w:rsidR="008216A5" w:rsidRPr="003915C7" w:rsidRDefault="008216A5" w:rsidP="008216A5">
      <w:pPr>
        <w:spacing w:before="120"/>
        <w:rPr>
          <w:b/>
          <w:sz w:val="24"/>
          <w:szCs w:val="24"/>
          <w:lang w:val="en-US"/>
        </w:rPr>
      </w:pPr>
      <w:r w:rsidRPr="003915C7">
        <w:rPr>
          <w:b/>
          <w:sz w:val="24"/>
          <w:szCs w:val="24"/>
          <w:lang w:val="en-US"/>
        </w:rPr>
        <w:t>Human Rights Committee</w:t>
      </w:r>
    </w:p>
    <w:p w:rsidR="003134AC" w:rsidRPr="003915C7" w:rsidRDefault="003134AC" w:rsidP="001173CF">
      <w:pPr>
        <w:pStyle w:val="HChG"/>
      </w:pPr>
      <w:r w:rsidRPr="003915C7">
        <w:tab/>
      </w:r>
      <w:r w:rsidRPr="003915C7">
        <w:tab/>
        <w:t xml:space="preserve">Communication No. </w:t>
      </w:r>
      <w:r w:rsidR="0003383A" w:rsidRPr="003915C7">
        <w:t>2343</w:t>
      </w:r>
      <w:r w:rsidRPr="003915C7">
        <w:t>/20</w:t>
      </w:r>
      <w:r w:rsidR="0003383A" w:rsidRPr="003915C7">
        <w:t>14</w:t>
      </w:r>
    </w:p>
    <w:p w:rsidR="003134AC" w:rsidRPr="003915C7" w:rsidRDefault="003134AC" w:rsidP="00994E66">
      <w:pPr>
        <w:pStyle w:val="H1G"/>
      </w:pPr>
      <w:r w:rsidRPr="003915C7">
        <w:tab/>
      </w:r>
      <w:r w:rsidRPr="003915C7">
        <w:tab/>
      </w:r>
      <w:r w:rsidR="00BB0933" w:rsidRPr="003915C7">
        <w:t xml:space="preserve">Views adopted by the Committee at its 114th Session </w:t>
      </w:r>
      <w:r w:rsidR="007B2AA3" w:rsidRPr="003915C7">
        <w:br/>
      </w:r>
      <w:r w:rsidR="00BB0933" w:rsidRPr="003915C7">
        <w:t>(29 June</w:t>
      </w:r>
      <w:r w:rsidR="001173CF" w:rsidRPr="003915C7">
        <w:t>-</w:t>
      </w:r>
      <w:r w:rsidR="00BB0933" w:rsidRPr="003915C7">
        <w:t>24 July 2015)</w:t>
      </w:r>
    </w:p>
    <w:p w:rsidR="003134AC" w:rsidRPr="003915C7" w:rsidRDefault="003134AC" w:rsidP="008A1525">
      <w:pPr>
        <w:pStyle w:val="SingleTxtG"/>
        <w:ind w:left="4536" w:hanging="3402"/>
        <w:jc w:val="left"/>
      </w:pPr>
      <w:r w:rsidRPr="003915C7">
        <w:rPr>
          <w:i/>
        </w:rPr>
        <w:t>Submitted by:</w:t>
      </w:r>
      <w:r w:rsidRPr="003915C7">
        <w:tab/>
      </w:r>
      <w:r w:rsidR="0003383A" w:rsidRPr="003915C7">
        <w:rPr>
          <w:lang w:val="en-GB"/>
        </w:rPr>
        <w:t>H</w:t>
      </w:r>
      <w:r w:rsidR="00EF3514" w:rsidRPr="003915C7">
        <w:rPr>
          <w:lang w:val="en-GB"/>
        </w:rPr>
        <w:t>.</w:t>
      </w:r>
      <w:r w:rsidR="0003383A" w:rsidRPr="003915C7">
        <w:rPr>
          <w:lang w:val="en-GB"/>
        </w:rPr>
        <w:t>E</w:t>
      </w:r>
      <w:r w:rsidR="00EF3514" w:rsidRPr="003915C7">
        <w:rPr>
          <w:lang w:val="en-GB"/>
        </w:rPr>
        <w:t>.</w:t>
      </w:r>
      <w:r w:rsidR="0003383A" w:rsidRPr="003915C7">
        <w:rPr>
          <w:lang w:val="en-GB"/>
        </w:rPr>
        <w:t>A.K.</w:t>
      </w:r>
      <w:r w:rsidR="00EF3514" w:rsidRPr="003915C7">
        <w:rPr>
          <w:lang w:val="en-GB"/>
        </w:rPr>
        <w:t xml:space="preserve"> (Represented by counsel, </w:t>
      </w:r>
      <w:r w:rsidR="0003383A" w:rsidRPr="003915C7">
        <w:rPr>
          <w:lang w:val="en-GB"/>
        </w:rPr>
        <w:t>Anna Akuo Bakmand Bernthsen</w:t>
      </w:r>
      <w:r w:rsidR="00EF3514" w:rsidRPr="003915C7">
        <w:rPr>
          <w:lang w:val="en-GB"/>
        </w:rPr>
        <w:t>)</w:t>
      </w:r>
    </w:p>
    <w:p w:rsidR="003134AC" w:rsidRPr="003915C7" w:rsidRDefault="003134AC" w:rsidP="008A1525">
      <w:pPr>
        <w:pStyle w:val="SingleTxtG"/>
        <w:ind w:left="4536" w:hanging="3402"/>
        <w:jc w:val="left"/>
        <w:rPr>
          <w:lang w:val="en-GB"/>
        </w:rPr>
      </w:pPr>
      <w:r w:rsidRPr="003915C7">
        <w:rPr>
          <w:i/>
        </w:rPr>
        <w:t>Alleged victim:</w:t>
      </w:r>
      <w:r w:rsidRPr="003915C7">
        <w:tab/>
        <w:t>The author</w:t>
      </w:r>
    </w:p>
    <w:p w:rsidR="003134AC" w:rsidRPr="003915C7" w:rsidRDefault="003134AC" w:rsidP="008A1525">
      <w:pPr>
        <w:pStyle w:val="SingleTxtG"/>
        <w:ind w:left="4536" w:hanging="3402"/>
        <w:jc w:val="left"/>
        <w:rPr>
          <w:lang w:val="en-GB"/>
        </w:rPr>
      </w:pPr>
      <w:r w:rsidRPr="003915C7">
        <w:rPr>
          <w:i/>
        </w:rPr>
        <w:t>State party:</w:t>
      </w:r>
      <w:r w:rsidRPr="003915C7">
        <w:tab/>
      </w:r>
      <w:r w:rsidR="00EF3514" w:rsidRPr="003915C7">
        <w:rPr>
          <w:lang w:val="en-GB"/>
        </w:rPr>
        <w:t>Denmark</w:t>
      </w:r>
    </w:p>
    <w:p w:rsidR="003134AC" w:rsidRPr="003915C7" w:rsidRDefault="003134AC" w:rsidP="008A1525">
      <w:pPr>
        <w:pStyle w:val="SingleTxtG"/>
        <w:ind w:left="4536" w:hanging="3402"/>
        <w:jc w:val="left"/>
        <w:rPr>
          <w:lang w:val="en-GB"/>
        </w:rPr>
      </w:pPr>
      <w:r w:rsidRPr="003915C7">
        <w:rPr>
          <w:i/>
        </w:rPr>
        <w:t>Date of communication:</w:t>
      </w:r>
      <w:r w:rsidRPr="003915C7">
        <w:tab/>
      </w:r>
      <w:r w:rsidR="00F06D31" w:rsidRPr="003915C7">
        <w:rPr>
          <w:lang w:val="en-GB"/>
        </w:rPr>
        <w:t xml:space="preserve">26 January </w:t>
      </w:r>
      <w:r w:rsidR="001844A0" w:rsidRPr="003915C7">
        <w:rPr>
          <w:lang w:val="en-GB"/>
        </w:rPr>
        <w:t>201</w:t>
      </w:r>
      <w:r w:rsidR="00F06D31" w:rsidRPr="003915C7">
        <w:rPr>
          <w:lang w:val="en-GB"/>
        </w:rPr>
        <w:t>4</w:t>
      </w:r>
      <w:r w:rsidR="00335DD7" w:rsidRPr="003915C7">
        <w:t xml:space="preserve"> (initial submission)</w:t>
      </w:r>
    </w:p>
    <w:p w:rsidR="003134AC" w:rsidRPr="003915C7" w:rsidRDefault="003134AC" w:rsidP="008A1525">
      <w:pPr>
        <w:pStyle w:val="SingleTxtG"/>
        <w:ind w:left="4536" w:hanging="3402"/>
        <w:jc w:val="left"/>
      </w:pPr>
      <w:r w:rsidRPr="003915C7">
        <w:rPr>
          <w:i/>
        </w:rPr>
        <w:t>Document references:</w:t>
      </w:r>
      <w:r w:rsidRPr="003915C7">
        <w:tab/>
        <w:t>Special Rapporteur’s rule</w:t>
      </w:r>
      <w:r w:rsidR="00D46C27" w:rsidRPr="003915C7">
        <w:rPr>
          <w:lang w:val="en-GB"/>
        </w:rPr>
        <w:t xml:space="preserve"> 92 and rule</w:t>
      </w:r>
      <w:r w:rsidRPr="003915C7">
        <w:t xml:space="preserve"> 97 decision, transmitted to the State party on </w:t>
      </w:r>
      <w:r w:rsidR="00C01DD5" w:rsidRPr="003915C7">
        <w:rPr>
          <w:lang w:val="en-GB"/>
        </w:rPr>
        <w:t xml:space="preserve">6 February 2014 </w:t>
      </w:r>
      <w:r w:rsidRPr="003915C7">
        <w:t>(not issued in a document form)</w:t>
      </w:r>
    </w:p>
    <w:p w:rsidR="00335DD7" w:rsidRPr="003915C7" w:rsidRDefault="003134AC" w:rsidP="008A1525">
      <w:pPr>
        <w:pStyle w:val="SingleTxtG"/>
        <w:ind w:left="4536" w:hanging="3402"/>
        <w:jc w:val="left"/>
        <w:rPr>
          <w:lang w:val="en-GB"/>
        </w:rPr>
      </w:pPr>
      <w:r w:rsidRPr="003915C7">
        <w:rPr>
          <w:i/>
        </w:rPr>
        <w:t>Date of adoption of Views:</w:t>
      </w:r>
      <w:r w:rsidRPr="003915C7">
        <w:tab/>
      </w:r>
      <w:r w:rsidR="00BB0933" w:rsidRPr="003915C7">
        <w:rPr>
          <w:lang w:val="en-GB"/>
        </w:rPr>
        <w:t>23</w:t>
      </w:r>
      <w:r w:rsidR="00C01DD5" w:rsidRPr="003915C7">
        <w:rPr>
          <w:lang w:val="en-GB"/>
        </w:rPr>
        <w:t xml:space="preserve"> </w:t>
      </w:r>
      <w:r w:rsidR="006427DB" w:rsidRPr="003915C7">
        <w:rPr>
          <w:lang w:val="en-GB"/>
        </w:rPr>
        <w:t>Ju</w:t>
      </w:r>
      <w:r w:rsidR="00494976" w:rsidRPr="003915C7">
        <w:rPr>
          <w:lang w:val="en-GB"/>
        </w:rPr>
        <w:t>ly</w:t>
      </w:r>
      <w:r w:rsidR="006427DB" w:rsidRPr="003915C7">
        <w:rPr>
          <w:lang w:val="en-GB"/>
        </w:rPr>
        <w:t xml:space="preserve"> </w:t>
      </w:r>
      <w:r w:rsidRPr="003915C7">
        <w:t>201</w:t>
      </w:r>
      <w:r w:rsidR="001844A0" w:rsidRPr="003915C7">
        <w:rPr>
          <w:lang w:val="en-GB"/>
        </w:rPr>
        <w:t>5</w:t>
      </w:r>
    </w:p>
    <w:p w:rsidR="003134AC" w:rsidRPr="003915C7" w:rsidRDefault="00E73146" w:rsidP="008A1525">
      <w:pPr>
        <w:pStyle w:val="SingleTxtG"/>
        <w:ind w:left="4536" w:hanging="3402"/>
        <w:jc w:val="left"/>
      </w:pPr>
      <w:r w:rsidRPr="003915C7">
        <w:rPr>
          <w:i/>
          <w:iCs/>
        </w:rPr>
        <w:t>Subject matter:</w:t>
      </w:r>
      <w:r w:rsidRPr="003915C7">
        <w:tab/>
      </w:r>
      <w:r w:rsidRPr="003915C7">
        <w:rPr>
          <w:lang w:val="en-GB"/>
        </w:rPr>
        <w:t xml:space="preserve">Deportation to Egypt </w:t>
      </w:r>
    </w:p>
    <w:p w:rsidR="003134AC" w:rsidRPr="003915C7" w:rsidRDefault="003134AC" w:rsidP="008A1525">
      <w:pPr>
        <w:pStyle w:val="SingleTxtG"/>
        <w:ind w:left="4536" w:hanging="3402"/>
        <w:jc w:val="left"/>
      </w:pPr>
      <w:r w:rsidRPr="003915C7">
        <w:rPr>
          <w:i/>
          <w:iCs/>
        </w:rPr>
        <w:t>Procedural issue</w:t>
      </w:r>
      <w:r w:rsidR="0051013F" w:rsidRPr="008A1525">
        <w:rPr>
          <w:i/>
          <w:iCs/>
          <w:lang w:val="en-GB"/>
        </w:rPr>
        <w:t>s</w:t>
      </w:r>
      <w:r w:rsidRPr="003915C7">
        <w:rPr>
          <w:i/>
          <w:iCs/>
        </w:rPr>
        <w:t xml:space="preserve">: </w:t>
      </w:r>
      <w:r w:rsidRPr="003915C7">
        <w:rPr>
          <w:i/>
          <w:iCs/>
        </w:rPr>
        <w:tab/>
      </w:r>
      <w:r w:rsidR="0051013F" w:rsidRPr="008A1525">
        <w:rPr>
          <w:iCs/>
          <w:lang w:val="en-GB"/>
        </w:rPr>
        <w:t xml:space="preserve">Admissibility </w:t>
      </w:r>
      <w:r w:rsidR="001173CF" w:rsidRPr="003915C7">
        <w:rPr>
          <w:iCs/>
          <w:lang w:val="en-GB"/>
        </w:rPr>
        <w:t>—</w:t>
      </w:r>
      <w:r w:rsidR="0051013F" w:rsidRPr="008A1525">
        <w:rPr>
          <w:iCs/>
          <w:lang w:val="en-GB"/>
        </w:rPr>
        <w:t xml:space="preserve"> </w:t>
      </w:r>
      <w:r w:rsidR="0051013F" w:rsidRPr="008A1525">
        <w:rPr>
          <w:i/>
          <w:lang w:val="en-GB"/>
        </w:rPr>
        <w:t>ratione materiae</w:t>
      </w:r>
      <w:r w:rsidR="0051013F" w:rsidRPr="008A1525">
        <w:rPr>
          <w:iCs/>
          <w:lang w:val="en-GB"/>
        </w:rPr>
        <w:t xml:space="preserve">, </w:t>
      </w:r>
      <w:r w:rsidR="0051013F" w:rsidRPr="003915C7">
        <w:rPr>
          <w:iCs/>
          <w:lang w:val="en-GB"/>
        </w:rPr>
        <w:t xml:space="preserve">admissibility </w:t>
      </w:r>
      <w:r w:rsidR="001173CF" w:rsidRPr="003915C7">
        <w:rPr>
          <w:iCs/>
          <w:lang w:val="en-GB"/>
        </w:rPr>
        <w:t>—</w:t>
      </w:r>
      <w:r w:rsidR="0051013F" w:rsidRPr="003915C7">
        <w:rPr>
          <w:iCs/>
          <w:lang w:val="en-GB"/>
        </w:rPr>
        <w:t xml:space="preserve"> incompatibility, l</w:t>
      </w:r>
      <w:r w:rsidR="00551883" w:rsidRPr="003915C7">
        <w:rPr>
          <w:iCs/>
          <w:lang w:val="en-GB"/>
        </w:rPr>
        <w:t>evel of</w:t>
      </w:r>
      <w:r w:rsidR="005B6047" w:rsidRPr="003915C7">
        <w:rPr>
          <w:iCs/>
          <w:lang w:val="en-GB"/>
        </w:rPr>
        <w:t xml:space="preserve"> substantiation of claims</w:t>
      </w:r>
    </w:p>
    <w:p w:rsidR="00994E66" w:rsidRPr="003915C7" w:rsidRDefault="00994E66" w:rsidP="008A1525">
      <w:pPr>
        <w:pStyle w:val="SingleTxtG"/>
        <w:ind w:left="4536" w:hanging="3402"/>
        <w:jc w:val="left"/>
        <w:rPr>
          <w:lang w:val="en-GB"/>
        </w:rPr>
      </w:pPr>
      <w:r w:rsidRPr="003915C7">
        <w:rPr>
          <w:i/>
          <w:iCs/>
        </w:rPr>
        <w:t xml:space="preserve">Substantive issues: </w:t>
      </w:r>
      <w:r w:rsidRPr="003915C7">
        <w:rPr>
          <w:i/>
          <w:iCs/>
        </w:rPr>
        <w:tab/>
      </w:r>
      <w:r w:rsidRPr="003915C7">
        <w:rPr>
          <w:iCs/>
          <w:lang w:val="en-GB"/>
        </w:rPr>
        <w:t>Non-discrimination; risk of torture and ill-treatment; arbitrary arrest and detention; freedom of expression.</w:t>
      </w:r>
    </w:p>
    <w:p w:rsidR="005C11C1" w:rsidRPr="003915C7" w:rsidRDefault="003134AC" w:rsidP="008A1525">
      <w:pPr>
        <w:pStyle w:val="SingleTxtG"/>
        <w:ind w:left="4536" w:hanging="3402"/>
        <w:jc w:val="left"/>
        <w:rPr>
          <w:lang w:val="en-GB"/>
        </w:rPr>
      </w:pPr>
      <w:r w:rsidRPr="003915C7">
        <w:rPr>
          <w:i/>
          <w:iCs/>
        </w:rPr>
        <w:t>Articles of the Covenant:</w:t>
      </w:r>
      <w:r w:rsidRPr="003915C7">
        <w:t xml:space="preserve"> </w:t>
      </w:r>
      <w:r w:rsidRPr="003915C7">
        <w:tab/>
      </w:r>
      <w:r w:rsidR="00F06D31" w:rsidRPr="003915C7">
        <w:rPr>
          <w:lang w:val="en-GB"/>
        </w:rPr>
        <w:t>1</w:t>
      </w:r>
      <w:r w:rsidR="00045BE1" w:rsidRPr="003915C7">
        <w:rPr>
          <w:lang w:val="en-GB"/>
        </w:rPr>
        <w:t>;</w:t>
      </w:r>
      <w:r w:rsidR="00F06D31" w:rsidRPr="003915C7">
        <w:rPr>
          <w:lang w:val="en-GB"/>
        </w:rPr>
        <w:t xml:space="preserve"> 2</w:t>
      </w:r>
      <w:r w:rsidR="00045BE1" w:rsidRPr="003915C7">
        <w:rPr>
          <w:lang w:val="en-GB"/>
        </w:rPr>
        <w:t>;</w:t>
      </w:r>
      <w:r w:rsidR="00F06D31" w:rsidRPr="003915C7">
        <w:rPr>
          <w:lang w:val="en-GB"/>
        </w:rPr>
        <w:t xml:space="preserve"> </w:t>
      </w:r>
      <w:r w:rsidR="006E5A29" w:rsidRPr="003915C7">
        <w:t>7</w:t>
      </w:r>
      <w:r w:rsidR="00045BE1" w:rsidRPr="003915C7">
        <w:rPr>
          <w:lang w:val="en-GB"/>
        </w:rPr>
        <w:t>;</w:t>
      </w:r>
      <w:r w:rsidR="00F06D31" w:rsidRPr="003915C7">
        <w:rPr>
          <w:lang w:val="en-GB"/>
        </w:rPr>
        <w:t xml:space="preserve"> 9</w:t>
      </w:r>
      <w:r w:rsidR="00045BE1" w:rsidRPr="003915C7">
        <w:rPr>
          <w:lang w:val="en-GB"/>
        </w:rPr>
        <w:t>;</w:t>
      </w:r>
      <w:r w:rsidR="00F06D31" w:rsidRPr="003915C7">
        <w:rPr>
          <w:lang w:val="en-GB"/>
        </w:rPr>
        <w:t xml:space="preserve"> and 19</w:t>
      </w:r>
      <w:r w:rsidR="006E5A29" w:rsidRPr="003915C7">
        <w:t xml:space="preserve"> </w:t>
      </w:r>
    </w:p>
    <w:p w:rsidR="003134AC" w:rsidRPr="003915C7" w:rsidRDefault="003134AC" w:rsidP="008A1525">
      <w:pPr>
        <w:pStyle w:val="SingleTxtG"/>
        <w:ind w:left="4536" w:hanging="3402"/>
        <w:jc w:val="left"/>
        <w:rPr>
          <w:lang w:val="en-GB"/>
        </w:rPr>
      </w:pPr>
      <w:r w:rsidRPr="003915C7">
        <w:rPr>
          <w:i/>
          <w:iCs/>
        </w:rPr>
        <w:t>Articles of the Optional Protocol:</w:t>
      </w:r>
      <w:r w:rsidR="00735F4E" w:rsidRPr="003915C7">
        <w:rPr>
          <w:i/>
          <w:iCs/>
          <w:lang w:val="en-GB"/>
        </w:rPr>
        <w:tab/>
      </w:r>
      <w:r w:rsidR="0051013F" w:rsidRPr="003915C7">
        <w:rPr>
          <w:iCs/>
          <w:lang w:val="en-GB"/>
        </w:rPr>
        <w:t xml:space="preserve">1; </w:t>
      </w:r>
      <w:r w:rsidRPr="003915C7">
        <w:rPr>
          <w:iCs/>
        </w:rPr>
        <w:t>2;</w:t>
      </w:r>
      <w:r w:rsidR="0051013F" w:rsidRPr="008A1525">
        <w:rPr>
          <w:iCs/>
          <w:lang w:val="en-GB"/>
        </w:rPr>
        <w:t xml:space="preserve"> </w:t>
      </w:r>
      <w:r w:rsidR="00045BE1" w:rsidRPr="003915C7">
        <w:rPr>
          <w:iCs/>
          <w:lang w:val="en-GB"/>
        </w:rPr>
        <w:t xml:space="preserve">and </w:t>
      </w:r>
      <w:r w:rsidR="0051013F" w:rsidRPr="008A1525">
        <w:rPr>
          <w:iCs/>
          <w:lang w:val="en-GB"/>
        </w:rPr>
        <w:t>3</w:t>
      </w:r>
    </w:p>
    <w:p w:rsidR="003134AC" w:rsidRPr="003915C7" w:rsidRDefault="003134AC" w:rsidP="003134AC">
      <w:pPr>
        <w:pStyle w:val="SingleTxtG"/>
      </w:pPr>
      <w:r w:rsidRPr="003915C7">
        <w:tab/>
      </w:r>
    </w:p>
    <w:p w:rsidR="003134AC" w:rsidRPr="003915C7" w:rsidRDefault="003134AC" w:rsidP="003134AC">
      <w:pPr>
        <w:pStyle w:val="HChG"/>
      </w:pPr>
      <w:r w:rsidRPr="003915C7">
        <w:br w:type="page"/>
      </w:r>
      <w:r w:rsidRPr="003915C7">
        <w:lastRenderedPageBreak/>
        <w:t>Annex</w:t>
      </w:r>
    </w:p>
    <w:p w:rsidR="003134AC" w:rsidRPr="003915C7" w:rsidRDefault="003134AC" w:rsidP="008A1525">
      <w:pPr>
        <w:pStyle w:val="HChG"/>
        <w:rPr>
          <w:bCs/>
        </w:rPr>
      </w:pPr>
      <w:r w:rsidRPr="003915C7">
        <w:tab/>
      </w:r>
      <w:r w:rsidRPr="003915C7">
        <w:tab/>
        <w:t xml:space="preserve">Views of the Human Rights Committee under article 5 </w:t>
      </w:r>
      <w:r w:rsidR="00653537">
        <w:t>(</w:t>
      </w:r>
      <w:r w:rsidRPr="003915C7">
        <w:t>4</w:t>
      </w:r>
      <w:r w:rsidR="00653537">
        <w:t>)</w:t>
      </w:r>
      <w:r w:rsidRPr="003915C7">
        <w:t xml:space="preserve"> of the Optional Protocol to the International Covenant on Civil and Political </w:t>
      </w:r>
      <w:r w:rsidR="005F2AE1" w:rsidRPr="003915C7">
        <w:t>R</w:t>
      </w:r>
      <w:r w:rsidRPr="003915C7">
        <w:t>ights (11</w:t>
      </w:r>
      <w:r w:rsidR="008360B7" w:rsidRPr="003915C7">
        <w:t>4</w:t>
      </w:r>
      <w:r w:rsidRPr="003915C7">
        <w:t xml:space="preserve">th </w:t>
      </w:r>
      <w:r w:rsidRPr="003915C7">
        <w:rPr>
          <w:bCs/>
        </w:rPr>
        <w:t>session)</w:t>
      </w:r>
    </w:p>
    <w:p w:rsidR="003134AC" w:rsidRPr="003915C7" w:rsidRDefault="003134AC" w:rsidP="003134AC">
      <w:pPr>
        <w:pStyle w:val="SingleTxtG"/>
        <w:rPr>
          <w:b/>
          <w:bCs/>
        </w:rPr>
      </w:pPr>
      <w:r w:rsidRPr="003915C7">
        <w:t>concerning</w:t>
      </w:r>
    </w:p>
    <w:p w:rsidR="003134AC" w:rsidRPr="003915C7" w:rsidRDefault="003134AC" w:rsidP="00045BE1">
      <w:pPr>
        <w:pStyle w:val="H1G"/>
      </w:pPr>
      <w:r w:rsidRPr="003915C7">
        <w:tab/>
      </w:r>
      <w:r w:rsidRPr="003915C7">
        <w:tab/>
        <w:t xml:space="preserve">Communication No. </w:t>
      </w:r>
      <w:r w:rsidR="001844A0" w:rsidRPr="003915C7">
        <w:t>2</w:t>
      </w:r>
      <w:r w:rsidR="008360B7" w:rsidRPr="003915C7">
        <w:t>343</w:t>
      </w:r>
      <w:r w:rsidRPr="003915C7">
        <w:t>/20</w:t>
      </w:r>
      <w:r w:rsidR="001844A0" w:rsidRPr="003915C7">
        <w:t>1</w:t>
      </w:r>
      <w:r w:rsidR="008360B7" w:rsidRPr="003915C7">
        <w:t>4</w:t>
      </w:r>
      <w:r w:rsidR="00045BE1" w:rsidRPr="003915C7">
        <w:rPr>
          <w:rStyle w:val="FootnoteReference"/>
          <w:b w:val="0"/>
          <w:bCs/>
        </w:rPr>
        <w:footnoteReference w:customMarkFollows="1" w:id="2"/>
        <w:t>*</w:t>
      </w:r>
    </w:p>
    <w:p w:rsidR="008360B7" w:rsidRPr="003915C7" w:rsidRDefault="003134AC" w:rsidP="008A1525">
      <w:pPr>
        <w:pStyle w:val="SingleTxtG"/>
        <w:ind w:left="4536" w:hanging="3402"/>
        <w:jc w:val="left"/>
        <w:rPr>
          <w:lang w:val="en-GB"/>
        </w:rPr>
      </w:pPr>
      <w:r w:rsidRPr="003915C7">
        <w:rPr>
          <w:i/>
        </w:rPr>
        <w:t>Submitted by:</w:t>
      </w:r>
      <w:r w:rsidRPr="003915C7">
        <w:tab/>
      </w:r>
      <w:r w:rsidR="008360B7" w:rsidRPr="003915C7">
        <w:rPr>
          <w:lang w:val="en-GB"/>
        </w:rPr>
        <w:t>H.E.A.K. (</w:t>
      </w:r>
      <w:r w:rsidR="0095271E" w:rsidRPr="003915C7">
        <w:rPr>
          <w:lang w:val="en-GB"/>
        </w:rPr>
        <w:t>r</w:t>
      </w:r>
      <w:r w:rsidR="008360B7" w:rsidRPr="003915C7">
        <w:rPr>
          <w:lang w:val="en-GB"/>
        </w:rPr>
        <w:t>epresented by counsel, Anna Akuo Bakmand Bernthsen)</w:t>
      </w:r>
    </w:p>
    <w:p w:rsidR="003134AC" w:rsidRPr="003915C7" w:rsidRDefault="003134AC" w:rsidP="008A1525">
      <w:pPr>
        <w:pStyle w:val="SingleTxtG"/>
        <w:ind w:left="4536" w:hanging="3402"/>
        <w:jc w:val="left"/>
        <w:rPr>
          <w:lang w:val="en-GB"/>
        </w:rPr>
      </w:pPr>
      <w:r w:rsidRPr="003915C7">
        <w:rPr>
          <w:i/>
        </w:rPr>
        <w:t>Alleged victim:</w:t>
      </w:r>
      <w:r w:rsidRPr="003915C7">
        <w:tab/>
        <w:t>The author</w:t>
      </w:r>
    </w:p>
    <w:p w:rsidR="003134AC" w:rsidRPr="003915C7" w:rsidRDefault="003134AC" w:rsidP="008A1525">
      <w:pPr>
        <w:pStyle w:val="SingleTxtG"/>
        <w:ind w:left="4536" w:hanging="3402"/>
        <w:jc w:val="left"/>
        <w:rPr>
          <w:lang w:val="en-GB"/>
        </w:rPr>
      </w:pPr>
      <w:r w:rsidRPr="003915C7">
        <w:rPr>
          <w:i/>
        </w:rPr>
        <w:t>State party:</w:t>
      </w:r>
      <w:r w:rsidRPr="003915C7">
        <w:tab/>
      </w:r>
      <w:r w:rsidR="00EF3514" w:rsidRPr="003915C7">
        <w:rPr>
          <w:lang w:val="en-GB"/>
        </w:rPr>
        <w:t>Denmark</w:t>
      </w:r>
    </w:p>
    <w:p w:rsidR="003134AC" w:rsidRPr="003915C7" w:rsidRDefault="003134AC" w:rsidP="008A1525">
      <w:pPr>
        <w:pStyle w:val="SingleTxtG"/>
        <w:ind w:left="4536" w:hanging="3402"/>
        <w:jc w:val="left"/>
      </w:pPr>
      <w:r w:rsidRPr="003915C7">
        <w:rPr>
          <w:i/>
        </w:rPr>
        <w:t>Date of communication:</w:t>
      </w:r>
      <w:r w:rsidRPr="003915C7">
        <w:tab/>
      </w:r>
      <w:r w:rsidR="008360B7" w:rsidRPr="003915C7">
        <w:rPr>
          <w:lang w:val="en-GB"/>
        </w:rPr>
        <w:t xml:space="preserve">26 January 2014 </w:t>
      </w:r>
      <w:r w:rsidRPr="003915C7">
        <w:t>(initial submission)</w:t>
      </w:r>
    </w:p>
    <w:p w:rsidR="003134AC" w:rsidRPr="003915C7" w:rsidRDefault="003134AC" w:rsidP="003134AC">
      <w:pPr>
        <w:pStyle w:val="SingleTxtG"/>
      </w:pPr>
      <w:r w:rsidRPr="003915C7">
        <w:tab/>
      </w:r>
      <w:r w:rsidRPr="003915C7">
        <w:rPr>
          <w:i/>
        </w:rPr>
        <w:t>The Human Rights Committee</w:t>
      </w:r>
      <w:r w:rsidRPr="003915C7">
        <w:t xml:space="preserve">, established under article 28 of the International Covenant on Civil and Political Rights, </w:t>
      </w:r>
    </w:p>
    <w:p w:rsidR="003134AC" w:rsidRPr="003915C7" w:rsidRDefault="003134AC" w:rsidP="003134AC">
      <w:pPr>
        <w:pStyle w:val="SingleTxtG"/>
      </w:pPr>
      <w:r w:rsidRPr="003915C7">
        <w:tab/>
      </w:r>
      <w:r w:rsidRPr="003915C7">
        <w:rPr>
          <w:i/>
        </w:rPr>
        <w:t xml:space="preserve">Meeting </w:t>
      </w:r>
      <w:r w:rsidRPr="008A1525">
        <w:rPr>
          <w:iCs/>
        </w:rPr>
        <w:t>on</w:t>
      </w:r>
      <w:r w:rsidRPr="003915C7">
        <w:t xml:space="preserve"> </w:t>
      </w:r>
      <w:r w:rsidR="00C915FE" w:rsidRPr="003915C7">
        <w:rPr>
          <w:lang w:val="en-GB"/>
        </w:rPr>
        <w:t>23</w:t>
      </w:r>
      <w:r w:rsidRPr="003915C7">
        <w:t xml:space="preserve"> </w:t>
      </w:r>
      <w:r w:rsidR="008360B7" w:rsidRPr="003915C7">
        <w:rPr>
          <w:lang w:val="en-GB"/>
        </w:rPr>
        <w:t xml:space="preserve">July </w:t>
      </w:r>
      <w:r w:rsidRPr="003915C7">
        <w:t>201</w:t>
      </w:r>
      <w:r w:rsidR="001844A0" w:rsidRPr="003915C7">
        <w:rPr>
          <w:lang w:val="en-GB"/>
        </w:rPr>
        <w:t>5</w:t>
      </w:r>
      <w:r w:rsidRPr="003915C7">
        <w:t>,</w:t>
      </w:r>
    </w:p>
    <w:p w:rsidR="003134AC" w:rsidRPr="003915C7" w:rsidRDefault="003134AC" w:rsidP="003134AC">
      <w:pPr>
        <w:pStyle w:val="SingleTxtG"/>
      </w:pPr>
      <w:r w:rsidRPr="003915C7">
        <w:tab/>
      </w:r>
      <w:r w:rsidRPr="003915C7">
        <w:rPr>
          <w:i/>
        </w:rPr>
        <w:t>Having concluded</w:t>
      </w:r>
      <w:r w:rsidRPr="003915C7">
        <w:t xml:space="preserve"> its consideration of communication No. </w:t>
      </w:r>
      <w:r w:rsidR="001844A0" w:rsidRPr="003915C7">
        <w:rPr>
          <w:lang w:val="en-GB"/>
        </w:rPr>
        <w:t>2</w:t>
      </w:r>
      <w:r w:rsidR="008360B7" w:rsidRPr="003915C7">
        <w:rPr>
          <w:lang w:val="en-GB"/>
        </w:rPr>
        <w:t>343</w:t>
      </w:r>
      <w:r w:rsidRPr="003915C7">
        <w:t>/20</w:t>
      </w:r>
      <w:r w:rsidR="001844A0" w:rsidRPr="003915C7">
        <w:rPr>
          <w:lang w:val="en-GB"/>
        </w:rPr>
        <w:t>1</w:t>
      </w:r>
      <w:r w:rsidR="008360B7" w:rsidRPr="003915C7">
        <w:rPr>
          <w:lang w:val="en-GB"/>
        </w:rPr>
        <w:t>4</w:t>
      </w:r>
      <w:r w:rsidRPr="003915C7">
        <w:t>, submitted to the Human Rights Committee under the Optional Protocol to the International Covenant on Civil and Political Rights,</w:t>
      </w:r>
    </w:p>
    <w:p w:rsidR="003134AC" w:rsidRPr="003915C7" w:rsidRDefault="003134AC" w:rsidP="003134AC">
      <w:pPr>
        <w:pStyle w:val="SingleTxtG"/>
      </w:pPr>
      <w:r w:rsidRPr="003915C7">
        <w:tab/>
      </w:r>
      <w:r w:rsidRPr="003915C7">
        <w:rPr>
          <w:i/>
        </w:rPr>
        <w:t>Having taken into account</w:t>
      </w:r>
      <w:r w:rsidRPr="003915C7">
        <w:t xml:space="preserve"> all written information made available to it by the author of the communication and the State party,</w:t>
      </w:r>
    </w:p>
    <w:p w:rsidR="003134AC" w:rsidRPr="003915C7" w:rsidRDefault="003134AC" w:rsidP="003134AC">
      <w:pPr>
        <w:pStyle w:val="SingleTxtG"/>
      </w:pPr>
      <w:r w:rsidRPr="003915C7">
        <w:tab/>
      </w:r>
      <w:r w:rsidRPr="003915C7">
        <w:rPr>
          <w:i/>
        </w:rPr>
        <w:t xml:space="preserve">Adopts </w:t>
      </w:r>
      <w:r w:rsidRPr="008A1525">
        <w:rPr>
          <w:iCs/>
        </w:rPr>
        <w:t>the following</w:t>
      </w:r>
      <w:r w:rsidRPr="003915C7">
        <w:t>:</w:t>
      </w:r>
    </w:p>
    <w:p w:rsidR="003134AC" w:rsidRPr="008A1525" w:rsidRDefault="003134AC" w:rsidP="008A1525">
      <w:pPr>
        <w:pStyle w:val="H1G"/>
      </w:pPr>
      <w:r w:rsidRPr="003915C7">
        <w:tab/>
      </w:r>
      <w:r w:rsidRPr="003915C7">
        <w:tab/>
        <w:t xml:space="preserve">Views under article 5 </w:t>
      </w:r>
      <w:r w:rsidR="00653537">
        <w:t>(</w:t>
      </w:r>
      <w:r w:rsidRPr="003915C7">
        <w:t>4</w:t>
      </w:r>
      <w:r w:rsidR="00653537">
        <w:t>)</w:t>
      </w:r>
      <w:r w:rsidRPr="003915C7">
        <w:t xml:space="preserve"> of the Optional Protocol</w:t>
      </w:r>
    </w:p>
    <w:p w:rsidR="00F571D9" w:rsidRPr="003915C7" w:rsidRDefault="00F571D9">
      <w:pPr>
        <w:pStyle w:val="SingleTxtG"/>
        <w:rPr>
          <w:lang w:val="en-GB"/>
        </w:rPr>
      </w:pPr>
      <w:r w:rsidRPr="003915C7">
        <w:rPr>
          <w:lang w:val="en-GB"/>
        </w:rPr>
        <w:t>1.1</w:t>
      </w:r>
      <w:r w:rsidRPr="003915C7">
        <w:rPr>
          <w:lang w:val="en-GB"/>
        </w:rPr>
        <w:tab/>
        <w:t xml:space="preserve">The author of the communication is H.E.A.K., an Egyptian national born </w:t>
      </w:r>
      <w:r w:rsidR="002F4621" w:rsidRPr="003915C7">
        <w:rPr>
          <w:lang w:val="en-GB"/>
        </w:rPr>
        <w:t xml:space="preserve">in </w:t>
      </w:r>
      <w:r w:rsidRPr="003915C7">
        <w:rPr>
          <w:lang w:val="en-GB"/>
        </w:rPr>
        <w:t>1984. He unsuccessfully sought asylum in Denmark and</w:t>
      </w:r>
      <w:r w:rsidR="007A2130" w:rsidRPr="003915C7">
        <w:rPr>
          <w:lang w:val="en-GB"/>
        </w:rPr>
        <w:t>,</w:t>
      </w:r>
      <w:r w:rsidRPr="003915C7">
        <w:rPr>
          <w:lang w:val="en-GB"/>
        </w:rPr>
        <w:t xml:space="preserve"> on 17 December 2013, </w:t>
      </w:r>
      <w:r w:rsidR="000A39B4" w:rsidRPr="003915C7">
        <w:rPr>
          <w:lang w:val="en-GB"/>
        </w:rPr>
        <w:t>was</w:t>
      </w:r>
      <w:r w:rsidRPr="003915C7">
        <w:rPr>
          <w:lang w:val="en-GB"/>
        </w:rPr>
        <w:t xml:space="preserve"> requested to leave the country within 15 days</w:t>
      </w:r>
      <w:r w:rsidR="00F22A52" w:rsidRPr="003915C7">
        <w:rPr>
          <w:lang w:val="en-GB"/>
        </w:rPr>
        <w:t xml:space="preserve">, </w:t>
      </w:r>
      <w:r w:rsidR="00567011" w:rsidRPr="003915C7">
        <w:rPr>
          <w:lang w:val="en-GB"/>
        </w:rPr>
        <w:t>a</w:t>
      </w:r>
      <w:r w:rsidR="00272A54" w:rsidRPr="003915C7">
        <w:rPr>
          <w:lang w:val="en-GB"/>
        </w:rPr>
        <w:t xml:space="preserve">s per the decision of </w:t>
      </w:r>
      <w:r w:rsidR="00567011" w:rsidRPr="003915C7">
        <w:rPr>
          <w:lang w:val="en-GB"/>
        </w:rPr>
        <w:t>the Danish Refugee</w:t>
      </w:r>
      <w:r w:rsidR="00F22A52" w:rsidRPr="003915C7">
        <w:rPr>
          <w:lang w:val="en-GB"/>
        </w:rPr>
        <w:t xml:space="preserve"> Appeal</w:t>
      </w:r>
      <w:r w:rsidR="00567011" w:rsidRPr="003915C7">
        <w:rPr>
          <w:lang w:val="en-GB"/>
        </w:rPr>
        <w:t>s</w:t>
      </w:r>
      <w:r w:rsidR="00F22A52" w:rsidRPr="003915C7">
        <w:rPr>
          <w:lang w:val="en-GB"/>
        </w:rPr>
        <w:t xml:space="preserve"> Board</w:t>
      </w:r>
      <w:r w:rsidR="00567011" w:rsidRPr="003915C7">
        <w:rPr>
          <w:lang w:val="en-GB"/>
        </w:rPr>
        <w:t>.</w:t>
      </w:r>
      <w:r w:rsidR="00272A54" w:rsidRPr="003915C7">
        <w:rPr>
          <w:lang w:val="en-GB"/>
        </w:rPr>
        <w:t xml:space="preserve"> </w:t>
      </w:r>
      <w:r w:rsidR="00C915FE" w:rsidRPr="003915C7">
        <w:rPr>
          <w:lang w:val="en-GB"/>
        </w:rPr>
        <w:t xml:space="preserve">On 6 January 2014, the author requested that the Board reopen the asylum proceedings. </w:t>
      </w:r>
      <w:r w:rsidR="00D057DF" w:rsidRPr="003915C7">
        <w:rPr>
          <w:lang w:val="en-GB"/>
        </w:rPr>
        <w:t xml:space="preserve">On 10 February 2014, the Board refused to reopen the asylum proceedings and reaffirmed </w:t>
      </w:r>
      <w:r w:rsidR="00B34082" w:rsidRPr="003915C7">
        <w:rPr>
          <w:lang w:val="en-GB"/>
        </w:rPr>
        <w:t xml:space="preserve">its </w:t>
      </w:r>
      <w:r w:rsidR="00D057DF" w:rsidRPr="003915C7">
        <w:rPr>
          <w:lang w:val="en-GB"/>
        </w:rPr>
        <w:t xml:space="preserve">decision of 17 December 2013. </w:t>
      </w:r>
      <w:r w:rsidRPr="003915C7">
        <w:rPr>
          <w:lang w:val="en-GB"/>
        </w:rPr>
        <w:t xml:space="preserve">As </w:t>
      </w:r>
      <w:r w:rsidR="00D057DF" w:rsidRPr="003915C7">
        <w:rPr>
          <w:lang w:val="en-GB"/>
        </w:rPr>
        <w:t>the author</w:t>
      </w:r>
      <w:r w:rsidRPr="003915C7">
        <w:rPr>
          <w:lang w:val="en-GB"/>
        </w:rPr>
        <w:t xml:space="preserve"> </w:t>
      </w:r>
      <w:r w:rsidR="007A2130" w:rsidRPr="003915C7">
        <w:rPr>
          <w:lang w:val="en-GB"/>
        </w:rPr>
        <w:t xml:space="preserve">had not complied </w:t>
      </w:r>
      <w:r w:rsidRPr="003915C7">
        <w:rPr>
          <w:lang w:val="en-GB"/>
        </w:rPr>
        <w:t>with th</w:t>
      </w:r>
      <w:r w:rsidR="00C915FE" w:rsidRPr="003915C7">
        <w:rPr>
          <w:lang w:val="en-GB"/>
        </w:rPr>
        <w:t>e</w:t>
      </w:r>
      <w:r w:rsidRPr="003915C7">
        <w:rPr>
          <w:lang w:val="en-GB"/>
        </w:rPr>
        <w:t xml:space="preserve"> order</w:t>
      </w:r>
      <w:r w:rsidR="00C915FE" w:rsidRPr="003915C7">
        <w:rPr>
          <w:lang w:val="en-GB"/>
        </w:rPr>
        <w:t xml:space="preserve"> to leave the country</w:t>
      </w:r>
      <w:r w:rsidRPr="003915C7">
        <w:rPr>
          <w:lang w:val="en-GB"/>
        </w:rPr>
        <w:t xml:space="preserve">, he </w:t>
      </w:r>
      <w:r w:rsidR="00272A54" w:rsidRPr="003915C7">
        <w:rPr>
          <w:lang w:val="en-GB"/>
        </w:rPr>
        <w:t xml:space="preserve">was </w:t>
      </w:r>
      <w:r w:rsidR="007A2130" w:rsidRPr="003915C7">
        <w:rPr>
          <w:lang w:val="en-GB"/>
        </w:rPr>
        <w:t xml:space="preserve">scheduled </w:t>
      </w:r>
      <w:r w:rsidR="00272A54" w:rsidRPr="003915C7">
        <w:rPr>
          <w:lang w:val="en-GB"/>
        </w:rPr>
        <w:t>to b</w:t>
      </w:r>
      <w:r w:rsidR="00F43AA5" w:rsidRPr="003915C7">
        <w:rPr>
          <w:lang w:val="en-GB"/>
        </w:rPr>
        <w:t>e</w:t>
      </w:r>
      <w:r w:rsidR="00272A54" w:rsidRPr="003915C7">
        <w:rPr>
          <w:lang w:val="en-GB"/>
        </w:rPr>
        <w:t xml:space="preserve"> </w:t>
      </w:r>
      <w:r w:rsidRPr="003915C7">
        <w:rPr>
          <w:lang w:val="en-GB"/>
        </w:rPr>
        <w:t>deport</w:t>
      </w:r>
      <w:r w:rsidR="00F43AA5" w:rsidRPr="003915C7">
        <w:rPr>
          <w:lang w:val="en-GB"/>
        </w:rPr>
        <w:t xml:space="preserve">ed </w:t>
      </w:r>
      <w:r w:rsidRPr="003915C7">
        <w:rPr>
          <w:lang w:val="en-GB"/>
        </w:rPr>
        <w:t>to Egypt</w:t>
      </w:r>
      <w:r w:rsidR="00272A54" w:rsidRPr="003915C7">
        <w:rPr>
          <w:lang w:val="en-GB"/>
        </w:rPr>
        <w:t xml:space="preserve"> on </w:t>
      </w:r>
      <w:r w:rsidR="00951E0D" w:rsidRPr="003915C7">
        <w:rPr>
          <w:lang w:val="en-GB"/>
        </w:rPr>
        <w:t xml:space="preserve">12 February </w:t>
      </w:r>
      <w:r w:rsidRPr="003915C7">
        <w:rPr>
          <w:lang w:val="en-GB"/>
        </w:rPr>
        <w:t>2014. The author claims that</w:t>
      </w:r>
      <w:r w:rsidR="007A2130" w:rsidRPr="003915C7">
        <w:rPr>
          <w:lang w:val="en-GB"/>
        </w:rPr>
        <w:t>,</w:t>
      </w:r>
      <w:r w:rsidRPr="003915C7">
        <w:rPr>
          <w:lang w:val="en-GB"/>
        </w:rPr>
        <w:t xml:space="preserve"> if Denmark proceeds with his deportation, this would amount to a violation of his rights under articles 1, 2, 7, 9 and 19 of the Covenant. The author is represented by counsel, Anna Akuo Bakmand Bernthsen. The Optional Protocol entered into force for Denmark on </w:t>
      </w:r>
      <w:r w:rsidR="002F4621" w:rsidRPr="003915C7">
        <w:rPr>
          <w:lang w:val="en-GB"/>
        </w:rPr>
        <w:t>23 March 1976</w:t>
      </w:r>
      <w:r w:rsidRPr="003915C7">
        <w:rPr>
          <w:lang w:val="en-GB"/>
        </w:rPr>
        <w:t xml:space="preserve">. </w:t>
      </w:r>
    </w:p>
    <w:p w:rsidR="0084521F" w:rsidRPr="003915C7" w:rsidRDefault="00F571D9">
      <w:pPr>
        <w:pStyle w:val="SingleTxtG"/>
        <w:rPr>
          <w:lang w:val="en-GB"/>
        </w:rPr>
      </w:pPr>
      <w:r w:rsidRPr="003915C7">
        <w:lastRenderedPageBreak/>
        <w:t>1.2</w:t>
      </w:r>
      <w:r w:rsidRPr="003915C7">
        <w:tab/>
        <w:t xml:space="preserve">On 6 February 2014, </w:t>
      </w:r>
      <w:r w:rsidR="002F4621" w:rsidRPr="003915C7">
        <w:t>w</w:t>
      </w:r>
      <w:r w:rsidR="00BC7809" w:rsidRPr="003915C7">
        <w:t xml:space="preserve">hen registering the communication, and pursuant to rule 92 of its rules of procedure, the Committee, acting through its Special Rapporteur on </w:t>
      </w:r>
      <w:r w:rsidR="007A2130" w:rsidRPr="003915C7">
        <w:rPr>
          <w:lang w:val="en-US"/>
        </w:rPr>
        <w:t>n</w:t>
      </w:r>
      <w:r w:rsidR="00BC7809" w:rsidRPr="003915C7">
        <w:t xml:space="preserve">ew </w:t>
      </w:r>
      <w:r w:rsidR="007A2130" w:rsidRPr="003915C7">
        <w:rPr>
          <w:lang w:val="en-US"/>
        </w:rPr>
        <w:t>c</w:t>
      </w:r>
      <w:r w:rsidR="00BC7809" w:rsidRPr="003915C7">
        <w:t xml:space="preserve">ommunications and </w:t>
      </w:r>
      <w:r w:rsidR="007A2130" w:rsidRPr="003915C7">
        <w:rPr>
          <w:lang w:val="en-US"/>
        </w:rPr>
        <w:t>i</w:t>
      </w:r>
      <w:r w:rsidR="00BC7809" w:rsidRPr="003915C7">
        <w:t xml:space="preserve">nterim </w:t>
      </w:r>
      <w:r w:rsidR="007A2130" w:rsidRPr="003915C7">
        <w:rPr>
          <w:lang w:val="en-US"/>
        </w:rPr>
        <w:t>m</w:t>
      </w:r>
      <w:r w:rsidR="00BC7809" w:rsidRPr="003915C7">
        <w:t xml:space="preserve">easures, requested the State party to refrain from deporting the author while his case </w:t>
      </w:r>
      <w:r w:rsidR="007A2130" w:rsidRPr="003915C7">
        <w:rPr>
          <w:lang w:val="en-US"/>
        </w:rPr>
        <w:t xml:space="preserve">was </w:t>
      </w:r>
      <w:r w:rsidR="00BC7809" w:rsidRPr="003915C7">
        <w:t xml:space="preserve">under </w:t>
      </w:r>
      <w:r w:rsidR="00B410C3" w:rsidRPr="003915C7">
        <w:t xml:space="preserve">consideration by the Committee. </w:t>
      </w:r>
      <w:r w:rsidRPr="003915C7">
        <w:t xml:space="preserve">By </w:t>
      </w:r>
      <w:r w:rsidR="007A2130" w:rsidRPr="003915C7">
        <w:rPr>
          <w:lang w:val="en-US"/>
        </w:rPr>
        <w:t>a n</w:t>
      </w:r>
      <w:r w:rsidRPr="003915C7">
        <w:t xml:space="preserve">ote verbale </w:t>
      </w:r>
      <w:r w:rsidR="007A2130" w:rsidRPr="003915C7">
        <w:rPr>
          <w:lang w:val="en-US"/>
        </w:rPr>
        <w:t xml:space="preserve">dated </w:t>
      </w:r>
      <w:r w:rsidRPr="003915C7">
        <w:t xml:space="preserve">6 August 2014, the State party requested the Committee </w:t>
      </w:r>
      <w:r w:rsidR="00D51E4A" w:rsidRPr="003915C7">
        <w:t xml:space="preserve">to </w:t>
      </w:r>
      <w:r w:rsidRPr="003915C7">
        <w:t>review its request for interim measures</w:t>
      </w:r>
      <w:r w:rsidR="0043043F" w:rsidRPr="003915C7">
        <w:rPr>
          <w:lang w:val="en-GB"/>
        </w:rPr>
        <w:t xml:space="preserve"> and informed the Committee that</w:t>
      </w:r>
      <w:r w:rsidR="007A2130" w:rsidRPr="003915C7">
        <w:rPr>
          <w:lang w:val="en-GB"/>
        </w:rPr>
        <w:t>,</w:t>
      </w:r>
      <w:r w:rsidR="0043043F" w:rsidRPr="003915C7">
        <w:rPr>
          <w:lang w:val="en-GB"/>
        </w:rPr>
        <w:t xml:space="preserve"> on 14 February 2014</w:t>
      </w:r>
      <w:r w:rsidR="007A2130" w:rsidRPr="003915C7">
        <w:rPr>
          <w:lang w:val="en-GB"/>
        </w:rPr>
        <w:t>,</w:t>
      </w:r>
      <w:r w:rsidR="0043043F" w:rsidRPr="003915C7">
        <w:rPr>
          <w:lang w:val="en-GB"/>
        </w:rPr>
        <w:t xml:space="preserve"> </w:t>
      </w:r>
      <w:r w:rsidR="007A2130" w:rsidRPr="003915C7">
        <w:rPr>
          <w:lang w:val="en-GB"/>
        </w:rPr>
        <w:t xml:space="preserve">the Board had </w:t>
      </w:r>
      <w:r w:rsidR="0043043F" w:rsidRPr="003915C7">
        <w:rPr>
          <w:lang w:val="en-GB"/>
        </w:rPr>
        <w:t>suspended the time limit for the author’s deportation until further notice</w:t>
      </w:r>
      <w:r w:rsidRPr="003915C7">
        <w:t xml:space="preserve">. </w:t>
      </w:r>
      <w:r w:rsidR="00D51E4A" w:rsidRPr="003915C7">
        <w:t xml:space="preserve">On </w:t>
      </w:r>
      <w:r w:rsidRPr="003915C7">
        <w:t xml:space="preserve">3 September 2014, counsel provided comments </w:t>
      </w:r>
      <w:r w:rsidR="00D51E4A" w:rsidRPr="003915C7">
        <w:t>there</w:t>
      </w:r>
      <w:r w:rsidRPr="003915C7">
        <w:t>on.</w:t>
      </w:r>
      <w:r w:rsidR="00A81971" w:rsidRPr="003915C7">
        <w:t xml:space="preserve"> On 30 September 2014, the Committee denied the State party’s request to lift </w:t>
      </w:r>
      <w:r w:rsidR="00D51E4A" w:rsidRPr="003915C7">
        <w:t xml:space="preserve">its initial </w:t>
      </w:r>
      <w:r w:rsidR="00A81971" w:rsidRPr="003915C7">
        <w:t>interim measures</w:t>
      </w:r>
      <w:r w:rsidR="00D51E4A" w:rsidRPr="003915C7">
        <w:t xml:space="preserve"> request</w:t>
      </w:r>
      <w:r w:rsidR="00A81971" w:rsidRPr="003915C7">
        <w:t>.</w:t>
      </w:r>
      <w:r w:rsidR="00994E66" w:rsidRPr="003915C7">
        <w:t xml:space="preserve"> </w:t>
      </w:r>
      <w:r w:rsidR="003C3543" w:rsidRPr="003915C7">
        <w:t xml:space="preserve">The author currently </w:t>
      </w:r>
      <w:r w:rsidR="0084521F" w:rsidRPr="003915C7">
        <w:t xml:space="preserve">remains </w:t>
      </w:r>
      <w:r w:rsidR="003C3543" w:rsidRPr="003915C7">
        <w:t>in Denmark.</w:t>
      </w:r>
    </w:p>
    <w:p w:rsidR="003134AC" w:rsidRPr="003915C7" w:rsidRDefault="0084521F" w:rsidP="00065182">
      <w:pPr>
        <w:pStyle w:val="H23G"/>
      </w:pPr>
      <w:r w:rsidRPr="003915C7">
        <w:tab/>
      </w:r>
      <w:r w:rsidR="004556B9" w:rsidRPr="003915C7">
        <w:tab/>
      </w:r>
      <w:r w:rsidR="00883BBF" w:rsidRPr="003915C7">
        <w:t>The f</w:t>
      </w:r>
      <w:r w:rsidR="00E17C73" w:rsidRPr="003915C7">
        <w:t>acts as presented by the author</w:t>
      </w:r>
    </w:p>
    <w:p w:rsidR="003E75F0" w:rsidRPr="003915C7" w:rsidRDefault="003134AC">
      <w:pPr>
        <w:pStyle w:val="SingleTxtG"/>
        <w:rPr>
          <w:lang w:val="en-GB"/>
        </w:rPr>
      </w:pPr>
      <w:r w:rsidRPr="003915C7">
        <w:t>2.1</w:t>
      </w:r>
      <w:r w:rsidR="00B73070" w:rsidRPr="003915C7">
        <w:rPr>
          <w:lang w:val="en-GB"/>
        </w:rPr>
        <w:tab/>
        <w:t xml:space="preserve">The author was born and raised in Cairo by his mother. He worked </w:t>
      </w:r>
      <w:r w:rsidR="007463A2" w:rsidRPr="003915C7">
        <w:rPr>
          <w:lang w:val="en-GB"/>
        </w:rPr>
        <w:t xml:space="preserve">in Cairo </w:t>
      </w:r>
      <w:r w:rsidR="00B73070" w:rsidRPr="003915C7">
        <w:rPr>
          <w:lang w:val="en-GB"/>
        </w:rPr>
        <w:t xml:space="preserve">from 2007 to 2012 as an </w:t>
      </w:r>
      <w:r w:rsidR="007A2130" w:rsidRPr="003915C7">
        <w:rPr>
          <w:lang w:val="en-GB"/>
        </w:rPr>
        <w:t xml:space="preserve">information technology </w:t>
      </w:r>
      <w:r w:rsidR="00B73070" w:rsidRPr="003915C7">
        <w:rPr>
          <w:lang w:val="en-GB"/>
        </w:rPr>
        <w:t>manager</w:t>
      </w:r>
      <w:r w:rsidR="007463A2" w:rsidRPr="003915C7">
        <w:rPr>
          <w:lang w:val="en-GB"/>
        </w:rPr>
        <w:t xml:space="preserve"> and</w:t>
      </w:r>
      <w:r w:rsidR="00D51E4A" w:rsidRPr="003915C7">
        <w:rPr>
          <w:lang w:val="en-GB"/>
        </w:rPr>
        <w:t>,</w:t>
      </w:r>
      <w:r w:rsidR="007463A2" w:rsidRPr="003915C7">
        <w:rPr>
          <w:lang w:val="en-GB"/>
        </w:rPr>
        <w:t xml:space="preserve"> in </w:t>
      </w:r>
      <w:r w:rsidR="003E75F0" w:rsidRPr="003915C7">
        <w:rPr>
          <w:lang w:val="en-GB"/>
        </w:rPr>
        <w:t>parallel</w:t>
      </w:r>
      <w:r w:rsidR="00D51E4A" w:rsidRPr="003915C7">
        <w:rPr>
          <w:lang w:val="en-GB"/>
        </w:rPr>
        <w:t xml:space="preserve">, </w:t>
      </w:r>
      <w:r w:rsidR="003E75F0" w:rsidRPr="003915C7">
        <w:rPr>
          <w:lang w:val="en-GB"/>
        </w:rPr>
        <w:t xml:space="preserve">from 2010 to 2012, as an </w:t>
      </w:r>
      <w:r w:rsidR="007A2130" w:rsidRPr="003915C7">
        <w:rPr>
          <w:lang w:val="en-GB"/>
        </w:rPr>
        <w:t xml:space="preserve">information technology </w:t>
      </w:r>
      <w:r w:rsidR="003E75F0" w:rsidRPr="003915C7">
        <w:rPr>
          <w:lang w:val="en-GB"/>
        </w:rPr>
        <w:t xml:space="preserve">customer support </w:t>
      </w:r>
      <w:r w:rsidR="007A2130" w:rsidRPr="003915C7">
        <w:rPr>
          <w:lang w:val="en-GB"/>
        </w:rPr>
        <w:t xml:space="preserve">provider </w:t>
      </w:r>
      <w:r w:rsidR="003E75F0" w:rsidRPr="003915C7">
        <w:rPr>
          <w:lang w:val="en-GB"/>
        </w:rPr>
        <w:t>in a company based in London</w:t>
      </w:r>
      <w:r w:rsidR="00B73070" w:rsidRPr="003915C7">
        <w:rPr>
          <w:lang w:val="en-GB"/>
        </w:rPr>
        <w:t xml:space="preserve">. </w:t>
      </w:r>
      <w:r w:rsidR="003E75F0" w:rsidRPr="003915C7">
        <w:rPr>
          <w:lang w:val="en-GB"/>
        </w:rPr>
        <w:t xml:space="preserve">From October 2012 until January 2014, he </w:t>
      </w:r>
      <w:r w:rsidR="000A39B4" w:rsidRPr="003915C7">
        <w:rPr>
          <w:lang w:val="en-GB"/>
        </w:rPr>
        <w:t>was</w:t>
      </w:r>
      <w:r w:rsidR="003E75F0" w:rsidRPr="003915C7">
        <w:rPr>
          <w:lang w:val="en-GB"/>
        </w:rPr>
        <w:t xml:space="preserve"> unemployed and d</w:t>
      </w:r>
      <w:r w:rsidR="000A39B4" w:rsidRPr="003915C7">
        <w:rPr>
          <w:lang w:val="en-GB"/>
        </w:rPr>
        <w:t>id</w:t>
      </w:r>
      <w:r w:rsidR="003E75F0" w:rsidRPr="003915C7">
        <w:rPr>
          <w:lang w:val="en-GB"/>
        </w:rPr>
        <w:t xml:space="preserve"> volunteer work as social media officer and webmaster in Cairo and as social media officer for </w:t>
      </w:r>
      <w:r w:rsidR="007A2130" w:rsidRPr="003915C7">
        <w:rPr>
          <w:lang w:val="en-GB"/>
        </w:rPr>
        <w:t>the m</w:t>
      </w:r>
      <w:r w:rsidR="003E75F0" w:rsidRPr="003915C7">
        <w:rPr>
          <w:lang w:val="en-GB"/>
        </w:rPr>
        <w:t>agazine</w:t>
      </w:r>
      <w:r w:rsidR="007A2130" w:rsidRPr="003915C7">
        <w:rPr>
          <w:lang w:val="en-GB"/>
        </w:rPr>
        <w:t xml:space="preserve"> </w:t>
      </w:r>
      <w:r w:rsidR="007A2130" w:rsidRPr="008A1525">
        <w:rPr>
          <w:i/>
          <w:iCs/>
          <w:lang w:val="en-GB"/>
        </w:rPr>
        <w:t>newtimes.dk</w:t>
      </w:r>
      <w:r w:rsidR="003E75F0" w:rsidRPr="003915C7">
        <w:rPr>
          <w:lang w:val="en-GB"/>
        </w:rPr>
        <w:t xml:space="preserve">, a project run by the Danish Red Cross. </w:t>
      </w:r>
    </w:p>
    <w:p w:rsidR="00B73070" w:rsidRPr="003915C7" w:rsidRDefault="003E75F0">
      <w:pPr>
        <w:pStyle w:val="SingleTxtG"/>
        <w:rPr>
          <w:lang w:val="en-GB"/>
        </w:rPr>
      </w:pPr>
      <w:r w:rsidRPr="003915C7">
        <w:rPr>
          <w:lang w:val="en-GB"/>
        </w:rPr>
        <w:t>2.2</w:t>
      </w:r>
      <w:r w:rsidRPr="003915C7">
        <w:rPr>
          <w:lang w:val="en-GB"/>
        </w:rPr>
        <w:tab/>
      </w:r>
      <w:r w:rsidR="00B73070" w:rsidRPr="003915C7">
        <w:rPr>
          <w:lang w:val="en-GB"/>
        </w:rPr>
        <w:t xml:space="preserve">On </w:t>
      </w:r>
      <w:r w:rsidR="00EF4740" w:rsidRPr="003915C7">
        <w:rPr>
          <w:lang w:val="en-GB"/>
        </w:rPr>
        <w:t xml:space="preserve">15 </w:t>
      </w:r>
      <w:r w:rsidR="00B73070" w:rsidRPr="003915C7">
        <w:rPr>
          <w:lang w:val="en-GB"/>
        </w:rPr>
        <w:t xml:space="preserve">October 2012, </w:t>
      </w:r>
      <w:r w:rsidR="006D1875" w:rsidRPr="003915C7">
        <w:rPr>
          <w:lang w:val="en-GB"/>
        </w:rPr>
        <w:t xml:space="preserve">the author </w:t>
      </w:r>
      <w:r w:rsidR="00B73070" w:rsidRPr="003915C7">
        <w:rPr>
          <w:lang w:val="en-GB"/>
        </w:rPr>
        <w:t>went to Denmark to visit his half-brother (</w:t>
      </w:r>
      <w:r w:rsidR="006D1875" w:rsidRPr="003915C7">
        <w:rPr>
          <w:lang w:val="en-GB"/>
        </w:rPr>
        <w:t xml:space="preserve">the </w:t>
      </w:r>
      <w:r w:rsidR="00B73070" w:rsidRPr="003915C7">
        <w:rPr>
          <w:lang w:val="en-GB"/>
        </w:rPr>
        <w:t xml:space="preserve">son of his father) </w:t>
      </w:r>
      <w:r w:rsidR="00EF4740" w:rsidRPr="003915C7">
        <w:rPr>
          <w:lang w:val="en-GB"/>
        </w:rPr>
        <w:t>on a valid tourist visa</w:t>
      </w:r>
      <w:r w:rsidR="00911E57" w:rsidRPr="003915C7">
        <w:rPr>
          <w:lang w:val="en-GB"/>
        </w:rPr>
        <w:t>.</w:t>
      </w:r>
      <w:r w:rsidR="00911E57" w:rsidRPr="003915C7">
        <w:rPr>
          <w:rStyle w:val="FootnoteReference"/>
          <w:lang w:val="en-GB"/>
        </w:rPr>
        <w:footnoteReference w:id="3"/>
      </w:r>
      <w:r w:rsidR="00EF4740" w:rsidRPr="003915C7">
        <w:rPr>
          <w:lang w:val="en-GB"/>
        </w:rPr>
        <w:t xml:space="preserve"> On </w:t>
      </w:r>
      <w:r w:rsidR="00B73070" w:rsidRPr="003915C7">
        <w:rPr>
          <w:lang w:val="en-GB"/>
        </w:rPr>
        <w:t xml:space="preserve">7 January 2013, </w:t>
      </w:r>
      <w:r w:rsidR="00EF4740" w:rsidRPr="003915C7">
        <w:rPr>
          <w:lang w:val="en-GB"/>
        </w:rPr>
        <w:t>in the light of the political turmoil in December 2012 in Egypt</w:t>
      </w:r>
      <w:r w:rsidR="00911E57" w:rsidRPr="003915C7">
        <w:rPr>
          <w:lang w:val="en-GB"/>
        </w:rPr>
        <w:t>,</w:t>
      </w:r>
      <w:r w:rsidR="00EF4740" w:rsidRPr="003915C7">
        <w:rPr>
          <w:lang w:val="en-GB"/>
        </w:rPr>
        <w:t xml:space="preserve"> </w:t>
      </w:r>
      <w:r w:rsidR="00B73070" w:rsidRPr="003915C7">
        <w:rPr>
          <w:lang w:val="en-GB"/>
        </w:rPr>
        <w:t xml:space="preserve">and </w:t>
      </w:r>
      <w:r w:rsidR="006D1875" w:rsidRPr="003915C7">
        <w:rPr>
          <w:lang w:val="en-GB"/>
        </w:rPr>
        <w:t xml:space="preserve">on the </w:t>
      </w:r>
      <w:r w:rsidR="00B73070" w:rsidRPr="003915C7">
        <w:rPr>
          <w:lang w:val="en-GB"/>
        </w:rPr>
        <w:t xml:space="preserve">advice of his half-brother, he applied for asylum. </w:t>
      </w:r>
      <w:r w:rsidR="00EF4740" w:rsidRPr="003915C7">
        <w:rPr>
          <w:lang w:val="en-GB"/>
        </w:rPr>
        <w:t>On 24 and 25 January 2013</w:t>
      </w:r>
      <w:r w:rsidR="00F22A52" w:rsidRPr="003915C7">
        <w:rPr>
          <w:lang w:val="en-GB"/>
        </w:rPr>
        <w:t xml:space="preserve">, he submitted </w:t>
      </w:r>
      <w:r w:rsidR="00D51E4A" w:rsidRPr="003915C7">
        <w:rPr>
          <w:lang w:val="en-GB"/>
        </w:rPr>
        <w:t xml:space="preserve">the </w:t>
      </w:r>
      <w:r w:rsidR="00F22A52" w:rsidRPr="003915C7">
        <w:rPr>
          <w:lang w:val="en-GB"/>
        </w:rPr>
        <w:t xml:space="preserve">necessary documentation and was interviewed by the </w:t>
      </w:r>
      <w:r w:rsidR="00272A54" w:rsidRPr="003915C7">
        <w:rPr>
          <w:lang w:val="en-GB"/>
        </w:rPr>
        <w:t>p</w:t>
      </w:r>
      <w:r w:rsidR="00F22A52" w:rsidRPr="003915C7">
        <w:rPr>
          <w:lang w:val="en-GB"/>
        </w:rPr>
        <w:t xml:space="preserve">olice. </w:t>
      </w:r>
      <w:r w:rsidR="00B73070" w:rsidRPr="003915C7">
        <w:rPr>
          <w:lang w:val="en-GB"/>
        </w:rPr>
        <w:t xml:space="preserve">On 22 April 2013, he was interviewed by the </w:t>
      </w:r>
      <w:r w:rsidR="00F22A52" w:rsidRPr="003915C7">
        <w:rPr>
          <w:lang w:val="en-GB"/>
        </w:rPr>
        <w:t xml:space="preserve">Danish </w:t>
      </w:r>
      <w:r w:rsidR="00B73070" w:rsidRPr="003915C7">
        <w:rPr>
          <w:lang w:val="en-GB"/>
        </w:rPr>
        <w:t xml:space="preserve">Immigration Service, which rejected his asylum request on 2 May 2013. His appeal to the </w:t>
      </w:r>
      <w:r w:rsidR="007A2130" w:rsidRPr="003915C7">
        <w:rPr>
          <w:lang w:val="en-GB"/>
        </w:rPr>
        <w:t xml:space="preserve">Danish Refugee Appeals </w:t>
      </w:r>
      <w:r w:rsidR="00B73070" w:rsidRPr="003915C7">
        <w:rPr>
          <w:lang w:val="en-GB"/>
        </w:rPr>
        <w:t>Board was rejected on 17 December 2013</w:t>
      </w:r>
      <w:r w:rsidR="001D32E3" w:rsidRPr="003915C7">
        <w:rPr>
          <w:lang w:val="en-GB"/>
        </w:rPr>
        <w:t xml:space="preserve">, </w:t>
      </w:r>
      <w:r w:rsidR="00C1683C" w:rsidRPr="003915C7">
        <w:rPr>
          <w:lang w:val="en-GB"/>
        </w:rPr>
        <w:t xml:space="preserve">and a decision made by the Danish Immigration Service refusing </w:t>
      </w:r>
      <w:r w:rsidR="00D51E4A" w:rsidRPr="003915C7">
        <w:rPr>
          <w:lang w:val="en-GB"/>
        </w:rPr>
        <w:t xml:space="preserve">his </w:t>
      </w:r>
      <w:r w:rsidR="00C1683C" w:rsidRPr="003915C7">
        <w:rPr>
          <w:lang w:val="en-GB"/>
        </w:rPr>
        <w:t xml:space="preserve">application for a residence permit was upheld. At the same time, he was ordered to leave </w:t>
      </w:r>
      <w:r w:rsidR="00D51E4A" w:rsidRPr="003915C7">
        <w:rPr>
          <w:lang w:val="en-GB"/>
        </w:rPr>
        <w:t xml:space="preserve">the country </w:t>
      </w:r>
      <w:r w:rsidR="00C1683C" w:rsidRPr="003915C7">
        <w:rPr>
          <w:lang w:val="en-GB"/>
        </w:rPr>
        <w:t xml:space="preserve">within 15 days </w:t>
      </w:r>
      <w:r w:rsidR="00F9249C" w:rsidRPr="003915C7">
        <w:rPr>
          <w:lang w:val="en-GB"/>
        </w:rPr>
        <w:t>from</w:t>
      </w:r>
      <w:r w:rsidR="00C1683C" w:rsidRPr="003915C7">
        <w:rPr>
          <w:lang w:val="en-GB"/>
        </w:rPr>
        <w:t xml:space="preserve"> the date of the decision.</w:t>
      </w:r>
    </w:p>
    <w:p w:rsidR="00ED74C0" w:rsidRPr="003915C7" w:rsidRDefault="00ED74C0">
      <w:pPr>
        <w:pStyle w:val="SingleTxtG"/>
        <w:rPr>
          <w:lang w:val="en-GB"/>
        </w:rPr>
      </w:pPr>
      <w:r w:rsidRPr="003915C7">
        <w:rPr>
          <w:lang w:val="en-GB"/>
        </w:rPr>
        <w:t>2.</w:t>
      </w:r>
      <w:r w:rsidR="003E75F0" w:rsidRPr="003915C7">
        <w:rPr>
          <w:lang w:val="en-GB"/>
        </w:rPr>
        <w:t>3</w:t>
      </w:r>
      <w:r w:rsidRPr="003915C7">
        <w:rPr>
          <w:lang w:val="en-GB"/>
        </w:rPr>
        <w:tab/>
        <w:t>The author states that</w:t>
      </w:r>
      <w:r w:rsidR="006D1875" w:rsidRPr="003915C7">
        <w:rPr>
          <w:lang w:val="en-GB"/>
        </w:rPr>
        <w:t>,</w:t>
      </w:r>
      <w:r w:rsidRPr="003915C7">
        <w:rPr>
          <w:lang w:val="en-GB"/>
        </w:rPr>
        <w:t xml:space="preserve"> in 2007, </w:t>
      </w:r>
      <w:r w:rsidR="00D51E4A" w:rsidRPr="003915C7">
        <w:rPr>
          <w:lang w:val="en-GB"/>
        </w:rPr>
        <w:t xml:space="preserve">together with two friends, </w:t>
      </w:r>
      <w:r w:rsidRPr="003915C7">
        <w:rPr>
          <w:lang w:val="en-GB"/>
        </w:rPr>
        <w:t>he founded a soccer fan club called Ultras Ahlawy</w:t>
      </w:r>
      <w:r w:rsidR="008B0D62" w:rsidRPr="003915C7">
        <w:rPr>
          <w:lang w:val="en-GB"/>
        </w:rPr>
        <w:t xml:space="preserve"> for peaceful soccer fans</w:t>
      </w:r>
      <w:r w:rsidR="00272A54" w:rsidRPr="003915C7">
        <w:rPr>
          <w:lang w:val="en-GB"/>
        </w:rPr>
        <w:t xml:space="preserve">. It </w:t>
      </w:r>
      <w:r w:rsidRPr="003915C7">
        <w:rPr>
          <w:lang w:val="en-GB"/>
        </w:rPr>
        <w:t xml:space="preserve">became one of the main sport fan clubs in the country, with almost one million of members and supporters. </w:t>
      </w:r>
      <w:r w:rsidR="008B0D62" w:rsidRPr="003915C7">
        <w:rPr>
          <w:lang w:val="en-GB"/>
        </w:rPr>
        <w:t xml:space="preserve">Although initially </w:t>
      </w:r>
      <w:r w:rsidR="00D51E4A" w:rsidRPr="003915C7">
        <w:rPr>
          <w:lang w:val="en-GB"/>
        </w:rPr>
        <w:t xml:space="preserve">it was </w:t>
      </w:r>
      <w:r w:rsidR="008B0D62" w:rsidRPr="003915C7">
        <w:rPr>
          <w:lang w:val="en-GB"/>
        </w:rPr>
        <w:t xml:space="preserve">only a sport club, Ultras Ahlawy eventually took a political approach, having participated actively in all major occasions during the Egyptian revolution, and played an important role at </w:t>
      </w:r>
      <w:r w:rsidR="00D51E4A" w:rsidRPr="003915C7">
        <w:rPr>
          <w:lang w:val="en-GB"/>
        </w:rPr>
        <w:t xml:space="preserve">the </w:t>
      </w:r>
      <w:r w:rsidR="006D1875" w:rsidRPr="003915C7">
        <w:rPr>
          <w:lang w:val="en-GB"/>
        </w:rPr>
        <w:t>“</w:t>
      </w:r>
      <w:r w:rsidR="008B0D62" w:rsidRPr="003915C7">
        <w:rPr>
          <w:lang w:val="en-GB"/>
        </w:rPr>
        <w:t>Camel Battle Day</w:t>
      </w:r>
      <w:r w:rsidR="006D1875" w:rsidRPr="003915C7">
        <w:rPr>
          <w:lang w:val="en-GB"/>
        </w:rPr>
        <w:t>”,</w:t>
      </w:r>
      <w:r w:rsidR="008B0D62" w:rsidRPr="003915C7">
        <w:rPr>
          <w:lang w:val="en-GB"/>
        </w:rPr>
        <w:t xml:space="preserve"> whe</w:t>
      </w:r>
      <w:r w:rsidR="008A270D" w:rsidRPr="003915C7">
        <w:rPr>
          <w:lang w:val="en-GB"/>
        </w:rPr>
        <w:t>n</w:t>
      </w:r>
      <w:r w:rsidR="008B0D62" w:rsidRPr="003915C7">
        <w:rPr>
          <w:lang w:val="en-GB"/>
        </w:rPr>
        <w:t xml:space="preserve"> 18 million people in Egypt demonstrated. </w:t>
      </w:r>
      <w:r w:rsidRPr="003915C7">
        <w:rPr>
          <w:lang w:val="en-GB"/>
        </w:rPr>
        <w:t xml:space="preserve">The author was </w:t>
      </w:r>
      <w:r w:rsidR="0080502F" w:rsidRPr="003915C7">
        <w:rPr>
          <w:lang w:val="en-GB"/>
        </w:rPr>
        <w:t xml:space="preserve">solely responsible for </w:t>
      </w:r>
      <w:r w:rsidRPr="003915C7">
        <w:rPr>
          <w:lang w:val="en-GB"/>
        </w:rPr>
        <w:t xml:space="preserve">the </w:t>
      </w:r>
      <w:r w:rsidR="00274F7C" w:rsidRPr="003915C7">
        <w:rPr>
          <w:lang w:val="en-GB"/>
        </w:rPr>
        <w:t>information technology</w:t>
      </w:r>
      <w:r w:rsidRPr="003915C7">
        <w:rPr>
          <w:lang w:val="en-GB"/>
        </w:rPr>
        <w:t xml:space="preserve"> and communication of this club, including the administration of its Facebook page and Twitter account</w:t>
      </w:r>
      <w:r w:rsidR="0080502F" w:rsidRPr="003915C7">
        <w:rPr>
          <w:lang w:val="en-GB"/>
        </w:rPr>
        <w:t xml:space="preserve">, </w:t>
      </w:r>
      <w:r w:rsidR="00274F7C" w:rsidRPr="003915C7">
        <w:rPr>
          <w:lang w:val="en-GB"/>
        </w:rPr>
        <w:t xml:space="preserve">owing </w:t>
      </w:r>
      <w:r w:rsidR="0080502F" w:rsidRPr="003915C7">
        <w:rPr>
          <w:lang w:val="en-GB"/>
        </w:rPr>
        <w:t xml:space="preserve">to which his name was known by the authorities </w:t>
      </w:r>
      <w:r w:rsidR="00274F7C" w:rsidRPr="003915C7">
        <w:rPr>
          <w:lang w:val="en-GB"/>
        </w:rPr>
        <w:t xml:space="preserve">and </w:t>
      </w:r>
      <w:r w:rsidR="00D51E4A" w:rsidRPr="003915C7">
        <w:rPr>
          <w:lang w:val="en-GB"/>
        </w:rPr>
        <w:t xml:space="preserve">by </w:t>
      </w:r>
      <w:r w:rsidR="0080502F" w:rsidRPr="003915C7">
        <w:rPr>
          <w:lang w:val="en-GB"/>
        </w:rPr>
        <w:t>most political organizations in the country</w:t>
      </w:r>
      <w:r w:rsidRPr="003915C7">
        <w:rPr>
          <w:lang w:val="en-GB"/>
        </w:rPr>
        <w:t>. Inspired by the revolution</w:t>
      </w:r>
      <w:r w:rsidR="00274F7C" w:rsidRPr="003915C7">
        <w:rPr>
          <w:lang w:val="en-GB"/>
        </w:rPr>
        <w:t xml:space="preserve"> in Tunisia</w:t>
      </w:r>
      <w:r w:rsidRPr="003915C7">
        <w:rPr>
          <w:lang w:val="en-GB"/>
        </w:rPr>
        <w:t xml:space="preserve">, he was </w:t>
      </w:r>
      <w:r w:rsidR="008B0D62" w:rsidRPr="003915C7">
        <w:rPr>
          <w:lang w:val="en-GB"/>
        </w:rPr>
        <w:t xml:space="preserve">reportedly </w:t>
      </w:r>
      <w:r w:rsidRPr="003915C7">
        <w:rPr>
          <w:lang w:val="en-GB"/>
        </w:rPr>
        <w:t xml:space="preserve">one of the first to call </w:t>
      </w:r>
      <w:r w:rsidR="00D51E4A" w:rsidRPr="003915C7">
        <w:rPr>
          <w:lang w:val="en-GB"/>
        </w:rPr>
        <w:t xml:space="preserve">through online media </w:t>
      </w:r>
      <w:r w:rsidRPr="003915C7">
        <w:rPr>
          <w:lang w:val="en-GB"/>
        </w:rPr>
        <w:t xml:space="preserve">for a revolution in Egypt, as </w:t>
      </w:r>
      <w:r w:rsidR="00274F7C" w:rsidRPr="003915C7">
        <w:rPr>
          <w:lang w:val="en-GB"/>
        </w:rPr>
        <w:t xml:space="preserve">early </w:t>
      </w:r>
      <w:r w:rsidRPr="003915C7">
        <w:rPr>
          <w:lang w:val="en-GB"/>
        </w:rPr>
        <w:t xml:space="preserve">as 25 January 2011. After the Government started to kill demonstrators </w:t>
      </w:r>
      <w:r w:rsidR="00D51E4A" w:rsidRPr="003915C7">
        <w:rPr>
          <w:lang w:val="en-GB"/>
        </w:rPr>
        <w:t xml:space="preserve">in an attempt </w:t>
      </w:r>
      <w:r w:rsidRPr="003915C7">
        <w:rPr>
          <w:lang w:val="en-GB"/>
        </w:rPr>
        <w:t xml:space="preserve">to stay in power, the author announced on the website of the club that the Ultras Ahlawy would take part in the revolution. Thus, the members </w:t>
      </w:r>
      <w:r w:rsidR="00274F7C" w:rsidRPr="003915C7">
        <w:rPr>
          <w:lang w:val="en-GB"/>
        </w:rPr>
        <w:t xml:space="preserve">of the club </w:t>
      </w:r>
      <w:r w:rsidRPr="003915C7">
        <w:rPr>
          <w:lang w:val="en-GB"/>
        </w:rPr>
        <w:t>became significantly involved in the revolution</w:t>
      </w:r>
      <w:r w:rsidR="00D51E4A" w:rsidRPr="003915C7">
        <w:rPr>
          <w:lang w:val="en-GB"/>
        </w:rPr>
        <w:t>,</w:t>
      </w:r>
      <w:r w:rsidRPr="003915C7">
        <w:rPr>
          <w:lang w:val="en-GB"/>
        </w:rPr>
        <w:t xml:space="preserve"> even if the club </w:t>
      </w:r>
      <w:r w:rsidR="00274F7C" w:rsidRPr="003915C7">
        <w:rPr>
          <w:lang w:val="en-GB"/>
        </w:rPr>
        <w:t xml:space="preserve">itself </w:t>
      </w:r>
      <w:r w:rsidRPr="003915C7">
        <w:rPr>
          <w:lang w:val="en-GB"/>
        </w:rPr>
        <w:t xml:space="preserve">did not have a direct </w:t>
      </w:r>
      <w:r w:rsidR="00274F7C" w:rsidRPr="003915C7">
        <w:rPr>
          <w:lang w:val="en-GB"/>
        </w:rPr>
        <w:t xml:space="preserve">or </w:t>
      </w:r>
      <w:r w:rsidRPr="003915C7">
        <w:rPr>
          <w:lang w:val="en-GB"/>
        </w:rPr>
        <w:t xml:space="preserve">official political agenda besides a general </w:t>
      </w:r>
      <w:r w:rsidR="00274F7C" w:rsidRPr="003915C7">
        <w:rPr>
          <w:lang w:val="en-GB"/>
        </w:rPr>
        <w:t xml:space="preserve">opposition to </w:t>
      </w:r>
      <w:r w:rsidRPr="003915C7">
        <w:rPr>
          <w:lang w:val="en-GB"/>
        </w:rPr>
        <w:t xml:space="preserve">corruption in Egypt. The author explains that his involvement </w:t>
      </w:r>
      <w:r w:rsidR="00274F7C" w:rsidRPr="003915C7">
        <w:rPr>
          <w:lang w:val="en-GB"/>
        </w:rPr>
        <w:t xml:space="preserve">included </w:t>
      </w:r>
      <w:r w:rsidRPr="003915C7">
        <w:rPr>
          <w:lang w:val="en-GB"/>
        </w:rPr>
        <w:t>the mobili</w:t>
      </w:r>
      <w:r w:rsidR="00274F7C" w:rsidRPr="003915C7">
        <w:rPr>
          <w:lang w:val="en-GB"/>
        </w:rPr>
        <w:t>z</w:t>
      </w:r>
      <w:r w:rsidRPr="003915C7">
        <w:rPr>
          <w:lang w:val="en-GB"/>
        </w:rPr>
        <w:t xml:space="preserve">ation of hundreds of thousands of people through the </w:t>
      </w:r>
      <w:r w:rsidR="00274F7C" w:rsidRPr="003915C7">
        <w:rPr>
          <w:lang w:val="en-GB"/>
        </w:rPr>
        <w:t>I</w:t>
      </w:r>
      <w:r w:rsidRPr="003915C7">
        <w:rPr>
          <w:lang w:val="en-GB"/>
        </w:rPr>
        <w:t>nternet and the organi</w:t>
      </w:r>
      <w:r w:rsidR="00274F7C" w:rsidRPr="003915C7">
        <w:rPr>
          <w:lang w:val="en-GB"/>
        </w:rPr>
        <w:t>z</w:t>
      </w:r>
      <w:r w:rsidRPr="003915C7">
        <w:rPr>
          <w:lang w:val="en-GB"/>
        </w:rPr>
        <w:t xml:space="preserve">ation of </w:t>
      </w:r>
      <w:r w:rsidR="0080502F" w:rsidRPr="003915C7">
        <w:rPr>
          <w:lang w:val="en-GB"/>
        </w:rPr>
        <w:t xml:space="preserve">large </w:t>
      </w:r>
      <w:r w:rsidRPr="003915C7">
        <w:rPr>
          <w:lang w:val="en-GB"/>
        </w:rPr>
        <w:t xml:space="preserve">meetings and demonstrations. He himself directly participated </w:t>
      </w:r>
      <w:r w:rsidR="00616D0B" w:rsidRPr="003915C7">
        <w:rPr>
          <w:lang w:val="en-GB"/>
        </w:rPr>
        <w:t>in</w:t>
      </w:r>
      <w:r w:rsidRPr="003915C7">
        <w:rPr>
          <w:lang w:val="en-GB"/>
        </w:rPr>
        <w:t xml:space="preserve"> </w:t>
      </w:r>
      <w:r w:rsidR="00274F7C" w:rsidRPr="003915C7">
        <w:rPr>
          <w:lang w:val="en-GB"/>
        </w:rPr>
        <w:t xml:space="preserve">only </w:t>
      </w:r>
      <w:r w:rsidRPr="003915C7">
        <w:rPr>
          <w:lang w:val="en-GB"/>
        </w:rPr>
        <w:t xml:space="preserve">a few non-violent demonstrations. </w:t>
      </w:r>
    </w:p>
    <w:p w:rsidR="00ED74C0" w:rsidRPr="003915C7" w:rsidRDefault="00ED74C0">
      <w:pPr>
        <w:pStyle w:val="SingleTxtG"/>
        <w:rPr>
          <w:lang w:val="en-GB"/>
        </w:rPr>
      </w:pPr>
      <w:r w:rsidRPr="003915C7">
        <w:rPr>
          <w:lang w:val="en-GB"/>
        </w:rPr>
        <w:t>2.</w:t>
      </w:r>
      <w:r w:rsidR="003E75F0" w:rsidRPr="003915C7">
        <w:rPr>
          <w:lang w:val="en-GB"/>
        </w:rPr>
        <w:t>4</w:t>
      </w:r>
      <w:r w:rsidR="00994E66" w:rsidRPr="003915C7">
        <w:rPr>
          <w:lang w:val="en-GB"/>
        </w:rPr>
        <w:tab/>
      </w:r>
      <w:r w:rsidR="00D60DC1" w:rsidRPr="003915C7">
        <w:rPr>
          <w:lang w:val="en-GB"/>
        </w:rPr>
        <w:t xml:space="preserve">The author </w:t>
      </w:r>
      <w:r w:rsidR="00D51E4A" w:rsidRPr="003915C7">
        <w:rPr>
          <w:lang w:val="en-GB"/>
        </w:rPr>
        <w:t>adds</w:t>
      </w:r>
      <w:r w:rsidR="00D60DC1" w:rsidRPr="003915C7">
        <w:rPr>
          <w:lang w:val="en-GB"/>
        </w:rPr>
        <w:t xml:space="preserve"> that, together with the Ultra</w:t>
      </w:r>
      <w:r w:rsidR="00F231DB" w:rsidRPr="003915C7">
        <w:rPr>
          <w:lang w:val="en-GB"/>
        </w:rPr>
        <w:t>s</w:t>
      </w:r>
      <w:r w:rsidR="00D60DC1" w:rsidRPr="003915C7">
        <w:rPr>
          <w:lang w:val="en-GB"/>
        </w:rPr>
        <w:t xml:space="preserve"> Ahlawy club, he helped to organize the electoral campaign </w:t>
      </w:r>
      <w:r w:rsidR="008A270D" w:rsidRPr="003915C7">
        <w:rPr>
          <w:lang w:val="en-GB"/>
        </w:rPr>
        <w:t>of</w:t>
      </w:r>
      <w:r w:rsidR="00D60DC1" w:rsidRPr="003915C7">
        <w:rPr>
          <w:lang w:val="en-GB"/>
        </w:rPr>
        <w:t xml:space="preserve"> Hamdeen Sabahy from the Al</w:t>
      </w:r>
      <w:r w:rsidR="00884B9F" w:rsidRPr="003915C7">
        <w:rPr>
          <w:lang w:val="en-GB"/>
        </w:rPr>
        <w:t>-</w:t>
      </w:r>
      <w:r w:rsidR="00D60DC1" w:rsidRPr="003915C7">
        <w:rPr>
          <w:lang w:val="en-GB"/>
        </w:rPr>
        <w:t xml:space="preserve">Karama opposition party during the presidential elections. However, </w:t>
      </w:r>
      <w:r w:rsidR="00274F7C" w:rsidRPr="003915C7">
        <w:rPr>
          <w:lang w:val="en-GB"/>
        </w:rPr>
        <w:t xml:space="preserve">he states that </w:t>
      </w:r>
      <w:r w:rsidR="00D60DC1" w:rsidRPr="003915C7">
        <w:rPr>
          <w:lang w:val="en-GB"/>
        </w:rPr>
        <w:t xml:space="preserve">the club is </w:t>
      </w:r>
      <w:r w:rsidR="00274F7C" w:rsidRPr="003915C7">
        <w:rPr>
          <w:lang w:val="en-GB"/>
        </w:rPr>
        <w:t xml:space="preserve">neither </w:t>
      </w:r>
      <w:r w:rsidR="00D60DC1" w:rsidRPr="003915C7">
        <w:rPr>
          <w:lang w:val="en-GB"/>
        </w:rPr>
        <w:t xml:space="preserve">directly against the current </w:t>
      </w:r>
      <w:r w:rsidR="00274F7C" w:rsidRPr="003915C7">
        <w:rPr>
          <w:lang w:val="en-GB"/>
        </w:rPr>
        <w:t>G</w:t>
      </w:r>
      <w:r w:rsidR="00D60DC1" w:rsidRPr="003915C7">
        <w:rPr>
          <w:lang w:val="en-GB"/>
        </w:rPr>
        <w:t xml:space="preserve">overnment, even if it does not approve its authoritarian methods, </w:t>
      </w:r>
      <w:r w:rsidR="00274F7C" w:rsidRPr="003915C7">
        <w:rPr>
          <w:lang w:val="en-GB"/>
        </w:rPr>
        <w:t xml:space="preserve">nor in agreement </w:t>
      </w:r>
      <w:r w:rsidR="00D60DC1" w:rsidRPr="003915C7">
        <w:rPr>
          <w:lang w:val="en-GB"/>
        </w:rPr>
        <w:t xml:space="preserve">with the agenda of the main opposition party, the Muslim </w:t>
      </w:r>
      <w:r w:rsidR="00B67FC8" w:rsidRPr="003915C7">
        <w:rPr>
          <w:lang w:val="en-GB"/>
        </w:rPr>
        <w:t>B</w:t>
      </w:r>
      <w:r w:rsidR="00D60DC1" w:rsidRPr="003915C7">
        <w:rPr>
          <w:lang w:val="en-GB"/>
        </w:rPr>
        <w:t xml:space="preserve">rotherhood. </w:t>
      </w:r>
      <w:r w:rsidR="00B707C0" w:rsidRPr="003915C7">
        <w:rPr>
          <w:lang w:val="en-GB"/>
        </w:rPr>
        <w:t>N</w:t>
      </w:r>
      <w:r w:rsidR="00D60DC1" w:rsidRPr="003915C7">
        <w:rPr>
          <w:lang w:val="en-GB"/>
        </w:rPr>
        <w:t>evertheless, the club has experienced several confrontations with the Egyptian authorities</w:t>
      </w:r>
      <w:r w:rsidR="008A270D" w:rsidRPr="003915C7">
        <w:rPr>
          <w:lang w:val="en-GB"/>
        </w:rPr>
        <w:t xml:space="preserve">. The author also refers to </w:t>
      </w:r>
      <w:r w:rsidR="00D60DC1" w:rsidRPr="003915C7">
        <w:rPr>
          <w:lang w:val="en-GB"/>
        </w:rPr>
        <w:t>the Port Said massacre of 1 February 2012</w:t>
      </w:r>
      <w:r w:rsidR="00274F7C" w:rsidRPr="003915C7">
        <w:rPr>
          <w:lang w:val="en-GB"/>
        </w:rPr>
        <w:t>,</w:t>
      </w:r>
      <w:r w:rsidR="00D60DC1" w:rsidRPr="003915C7">
        <w:rPr>
          <w:lang w:val="en-GB"/>
        </w:rPr>
        <w:t xml:space="preserve"> during which 70 Ultras Ahlawy members were killed by members of another fan club on the occasion of a football match.</w:t>
      </w:r>
      <w:r w:rsidR="00C53316" w:rsidRPr="003915C7">
        <w:rPr>
          <w:rStyle w:val="FootnoteReference"/>
          <w:lang w:val="en-GB"/>
        </w:rPr>
        <w:footnoteReference w:id="4"/>
      </w:r>
      <w:r w:rsidR="00D60DC1" w:rsidRPr="003915C7">
        <w:rPr>
          <w:lang w:val="en-GB"/>
        </w:rPr>
        <w:t xml:space="preserve"> The author claims that the police watched passively what was going on, demonstrating that this massacre had taken a political dimension.</w:t>
      </w:r>
      <w:r w:rsidR="00D60DC1" w:rsidRPr="003915C7">
        <w:rPr>
          <w:rStyle w:val="FootnoteReference"/>
          <w:lang w:val="en-GB"/>
        </w:rPr>
        <w:footnoteReference w:id="5"/>
      </w:r>
    </w:p>
    <w:p w:rsidR="009B4E6F" w:rsidRPr="003915C7" w:rsidRDefault="009B4E6F">
      <w:pPr>
        <w:pStyle w:val="SingleTxtG"/>
        <w:rPr>
          <w:lang w:val="en-GB"/>
        </w:rPr>
      </w:pPr>
      <w:r w:rsidRPr="003915C7">
        <w:rPr>
          <w:lang w:val="en-GB"/>
        </w:rPr>
        <w:t>2.</w:t>
      </w:r>
      <w:r w:rsidR="003E75F0" w:rsidRPr="003915C7">
        <w:rPr>
          <w:lang w:val="en-GB"/>
        </w:rPr>
        <w:t>5</w:t>
      </w:r>
      <w:r w:rsidRPr="003915C7">
        <w:rPr>
          <w:lang w:val="en-GB"/>
        </w:rPr>
        <w:tab/>
        <w:t xml:space="preserve">The author </w:t>
      </w:r>
      <w:r w:rsidR="00884B9F" w:rsidRPr="003915C7">
        <w:rPr>
          <w:lang w:val="en-GB"/>
        </w:rPr>
        <w:t xml:space="preserve">states </w:t>
      </w:r>
      <w:r w:rsidRPr="003915C7">
        <w:rPr>
          <w:lang w:val="en-GB"/>
        </w:rPr>
        <w:t>that the Ultras Ahlawy members were a target of the Muslim Brotherhood regime, which kidnapped, tortured and killed some members in December 2012.</w:t>
      </w:r>
      <w:r w:rsidRPr="003915C7">
        <w:rPr>
          <w:rStyle w:val="FootnoteReference"/>
          <w:lang w:val="en-GB"/>
        </w:rPr>
        <w:footnoteReference w:id="6"/>
      </w:r>
      <w:r w:rsidRPr="003915C7">
        <w:rPr>
          <w:lang w:val="en-GB"/>
        </w:rPr>
        <w:t xml:space="preserve"> </w:t>
      </w:r>
      <w:r w:rsidR="00884B9F" w:rsidRPr="003915C7">
        <w:rPr>
          <w:lang w:val="en-GB"/>
        </w:rPr>
        <w:t xml:space="preserve">He also states that the members of the club are </w:t>
      </w:r>
      <w:r w:rsidRPr="003915C7">
        <w:rPr>
          <w:lang w:val="en-GB"/>
        </w:rPr>
        <w:t xml:space="preserve">increasingly harassed and followed closely by the police of the </w:t>
      </w:r>
      <w:r w:rsidR="007334A8" w:rsidRPr="003915C7">
        <w:rPr>
          <w:lang w:val="en-GB"/>
        </w:rPr>
        <w:t xml:space="preserve">current </w:t>
      </w:r>
      <w:r w:rsidRPr="003915C7">
        <w:rPr>
          <w:lang w:val="en-GB"/>
        </w:rPr>
        <w:t>military regime</w:t>
      </w:r>
      <w:r w:rsidR="00884B9F" w:rsidRPr="003915C7">
        <w:rPr>
          <w:lang w:val="en-GB"/>
        </w:rPr>
        <w:t>;</w:t>
      </w:r>
      <w:r w:rsidRPr="003915C7">
        <w:rPr>
          <w:lang w:val="en-GB"/>
        </w:rPr>
        <w:t xml:space="preserve"> </w:t>
      </w:r>
      <w:r w:rsidR="00884B9F" w:rsidRPr="003915C7">
        <w:rPr>
          <w:lang w:val="en-GB"/>
        </w:rPr>
        <w:t>that o</w:t>
      </w:r>
      <w:r w:rsidRPr="003915C7">
        <w:rPr>
          <w:lang w:val="en-GB"/>
        </w:rPr>
        <w:t>ne of the local club leader</w:t>
      </w:r>
      <w:r w:rsidR="00D625E3" w:rsidRPr="003915C7">
        <w:rPr>
          <w:lang w:val="en-GB"/>
        </w:rPr>
        <w:t>s</w:t>
      </w:r>
      <w:r w:rsidRPr="003915C7">
        <w:rPr>
          <w:lang w:val="en-GB"/>
        </w:rPr>
        <w:t xml:space="preserve"> </w:t>
      </w:r>
      <w:r w:rsidR="00884B9F" w:rsidRPr="003915C7">
        <w:rPr>
          <w:lang w:val="en-GB"/>
        </w:rPr>
        <w:t xml:space="preserve">was </w:t>
      </w:r>
      <w:r w:rsidRPr="003915C7">
        <w:rPr>
          <w:lang w:val="en-GB"/>
        </w:rPr>
        <w:t xml:space="preserve">recently </w:t>
      </w:r>
      <w:r w:rsidR="00884B9F" w:rsidRPr="003915C7">
        <w:rPr>
          <w:lang w:val="en-GB"/>
        </w:rPr>
        <w:t xml:space="preserve">killed </w:t>
      </w:r>
      <w:r w:rsidRPr="003915C7">
        <w:rPr>
          <w:lang w:val="en-GB"/>
        </w:rPr>
        <w:t>by the police</w:t>
      </w:r>
      <w:r w:rsidR="00884B9F" w:rsidRPr="003915C7">
        <w:rPr>
          <w:lang w:val="en-GB"/>
        </w:rPr>
        <w:t>;</w:t>
      </w:r>
      <w:r w:rsidR="008933B1" w:rsidRPr="003915C7">
        <w:rPr>
          <w:rStyle w:val="FootnoteReference"/>
          <w:lang w:val="en-GB"/>
        </w:rPr>
        <w:footnoteReference w:id="7"/>
      </w:r>
      <w:r w:rsidRPr="003915C7">
        <w:rPr>
          <w:lang w:val="en-GB"/>
        </w:rPr>
        <w:t xml:space="preserve"> and another local leader was arrested and accused of having participated in the Port Said massacre</w:t>
      </w:r>
      <w:r w:rsidR="00910AD7" w:rsidRPr="003915C7">
        <w:rPr>
          <w:lang w:val="en-GB"/>
        </w:rPr>
        <w:t>,</w:t>
      </w:r>
      <w:r w:rsidRPr="003915C7">
        <w:rPr>
          <w:lang w:val="en-GB"/>
        </w:rPr>
        <w:t xml:space="preserve"> but was released the following day. The author further states that all </w:t>
      </w:r>
      <w:r w:rsidR="00884B9F" w:rsidRPr="003915C7">
        <w:rPr>
          <w:lang w:val="en-GB"/>
        </w:rPr>
        <w:t xml:space="preserve">forms of communication </w:t>
      </w:r>
      <w:r w:rsidRPr="003915C7">
        <w:rPr>
          <w:lang w:val="en-GB"/>
        </w:rPr>
        <w:t xml:space="preserve">of the </w:t>
      </w:r>
      <w:r w:rsidR="00884B9F" w:rsidRPr="003915C7">
        <w:rPr>
          <w:lang w:val="en-GB"/>
        </w:rPr>
        <w:t>c</w:t>
      </w:r>
      <w:r w:rsidRPr="003915C7">
        <w:rPr>
          <w:lang w:val="en-GB"/>
        </w:rPr>
        <w:t>lub seem to have been monitored and/or interfered with</w:t>
      </w:r>
      <w:r w:rsidR="007334A8" w:rsidRPr="003915C7">
        <w:rPr>
          <w:lang w:val="en-GB"/>
        </w:rPr>
        <w:t>,</w:t>
      </w:r>
      <w:r w:rsidRPr="003915C7">
        <w:rPr>
          <w:lang w:val="en-GB"/>
        </w:rPr>
        <w:t xml:space="preserve"> </w:t>
      </w:r>
      <w:r w:rsidR="007334A8" w:rsidRPr="003915C7">
        <w:rPr>
          <w:lang w:val="en-GB"/>
        </w:rPr>
        <w:t xml:space="preserve">including </w:t>
      </w:r>
      <w:r w:rsidR="00884B9F" w:rsidRPr="003915C7">
        <w:rPr>
          <w:lang w:val="en-GB"/>
        </w:rPr>
        <w:t xml:space="preserve">the closing </w:t>
      </w:r>
      <w:r w:rsidR="007334A8" w:rsidRPr="003915C7">
        <w:rPr>
          <w:lang w:val="en-GB"/>
        </w:rPr>
        <w:t xml:space="preserve">of the group’s webpage and hacking of the administrator’s password </w:t>
      </w:r>
      <w:r w:rsidRPr="003915C7">
        <w:rPr>
          <w:lang w:val="en-GB"/>
        </w:rPr>
        <w:t xml:space="preserve">by the Egyptian authorities, who are well aware of </w:t>
      </w:r>
      <w:r w:rsidR="00884B9F" w:rsidRPr="003915C7">
        <w:rPr>
          <w:lang w:val="en-GB"/>
        </w:rPr>
        <w:t xml:space="preserve">the author’s </w:t>
      </w:r>
      <w:r w:rsidRPr="003915C7">
        <w:rPr>
          <w:lang w:val="en-GB"/>
        </w:rPr>
        <w:t xml:space="preserve">identity and role as the </w:t>
      </w:r>
      <w:r w:rsidR="00274F7C" w:rsidRPr="003915C7">
        <w:rPr>
          <w:lang w:val="en-GB"/>
        </w:rPr>
        <w:t>information technology</w:t>
      </w:r>
      <w:r w:rsidRPr="003915C7">
        <w:rPr>
          <w:lang w:val="en-GB"/>
        </w:rPr>
        <w:t xml:space="preserve"> and communication manager of the </w:t>
      </w:r>
      <w:r w:rsidR="00884B9F" w:rsidRPr="003915C7">
        <w:rPr>
          <w:lang w:val="en-GB"/>
        </w:rPr>
        <w:t>c</w:t>
      </w:r>
      <w:r w:rsidRPr="003915C7">
        <w:rPr>
          <w:lang w:val="en-GB"/>
        </w:rPr>
        <w:t>lub.</w:t>
      </w:r>
      <w:r w:rsidR="007334A8" w:rsidRPr="003915C7">
        <w:rPr>
          <w:lang w:val="en-GB"/>
        </w:rPr>
        <w:t xml:space="preserve"> </w:t>
      </w:r>
      <w:r w:rsidR="0000756B" w:rsidRPr="003915C7">
        <w:rPr>
          <w:lang w:val="en-GB"/>
        </w:rPr>
        <w:t>He</w:t>
      </w:r>
      <w:r w:rsidR="007334A8" w:rsidRPr="003915C7">
        <w:rPr>
          <w:lang w:val="en-GB"/>
        </w:rPr>
        <w:t xml:space="preserve"> maintains that the Government </w:t>
      </w:r>
      <w:r w:rsidR="00274F7C" w:rsidRPr="003915C7">
        <w:rPr>
          <w:lang w:val="en-GB"/>
        </w:rPr>
        <w:t xml:space="preserve">of Egypt </w:t>
      </w:r>
      <w:r w:rsidR="007334A8" w:rsidRPr="003915C7">
        <w:rPr>
          <w:lang w:val="en-GB"/>
        </w:rPr>
        <w:t>considered all expressions of opposition and dissent as acts of terror, linking those to the activities of the Muslim Brotherhood.</w:t>
      </w:r>
      <w:r w:rsidR="001173CF" w:rsidRPr="003915C7">
        <w:rPr>
          <w:lang w:val="en-GB"/>
        </w:rPr>
        <w:t xml:space="preserve"> </w:t>
      </w:r>
    </w:p>
    <w:p w:rsidR="00B77EC5" w:rsidRPr="003915C7" w:rsidRDefault="00B77EC5">
      <w:pPr>
        <w:pStyle w:val="SingleTxtG"/>
        <w:rPr>
          <w:lang w:val="en-GB"/>
        </w:rPr>
      </w:pPr>
      <w:r w:rsidRPr="003915C7">
        <w:rPr>
          <w:lang w:val="en-GB"/>
        </w:rPr>
        <w:t>2.</w:t>
      </w:r>
      <w:r w:rsidR="003E75F0" w:rsidRPr="003915C7">
        <w:rPr>
          <w:lang w:val="en-GB"/>
        </w:rPr>
        <w:t>6</w:t>
      </w:r>
      <w:r w:rsidRPr="003915C7">
        <w:rPr>
          <w:lang w:val="en-GB"/>
        </w:rPr>
        <w:tab/>
        <w:t xml:space="preserve">The author explains that the Board wrongly </w:t>
      </w:r>
      <w:r w:rsidR="0000756B" w:rsidRPr="003915C7">
        <w:rPr>
          <w:lang w:val="en-GB"/>
        </w:rPr>
        <w:t xml:space="preserve">concluded </w:t>
      </w:r>
      <w:r w:rsidRPr="003915C7">
        <w:rPr>
          <w:lang w:val="en-GB"/>
        </w:rPr>
        <w:t xml:space="preserve">that he was only “at risk” if returned to Egypt but not at “high risk”. In this regard, he explains that he applied for asylum when the Muslim </w:t>
      </w:r>
      <w:r w:rsidR="007334A8" w:rsidRPr="003915C7">
        <w:rPr>
          <w:lang w:val="en-GB"/>
        </w:rPr>
        <w:t>B</w:t>
      </w:r>
      <w:r w:rsidRPr="003915C7">
        <w:rPr>
          <w:lang w:val="en-GB"/>
        </w:rPr>
        <w:t>rotherhood began to kill and target</w:t>
      </w:r>
      <w:r w:rsidR="00CB4608" w:rsidRPr="003915C7">
        <w:rPr>
          <w:lang w:val="en-GB"/>
        </w:rPr>
        <w:t xml:space="preserve"> </w:t>
      </w:r>
      <w:r w:rsidRPr="003915C7">
        <w:rPr>
          <w:lang w:val="en-GB"/>
        </w:rPr>
        <w:t xml:space="preserve">journalists and </w:t>
      </w:r>
      <w:r w:rsidR="00884B9F" w:rsidRPr="003915C7">
        <w:rPr>
          <w:lang w:val="en-GB"/>
        </w:rPr>
        <w:t xml:space="preserve">Facebook account administrators </w:t>
      </w:r>
      <w:r w:rsidRPr="003915C7">
        <w:rPr>
          <w:lang w:val="en-GB"/>
        </w:rPr>
        <w:t>who were against their regime</w:t>
      </w:r>
      <w:r w:rsidR="000569F0" w:rsidRPr="003915C7">
        <w:rPr>
          <w:lang w:val="en-GB"/>
        </w:rPr>
        <w:t>,</w:t>
      </w:r>
      <w:r w:rsidR="000569F0" w:rsidRPr="003915C7">
        <w:t xml:space="preserve"> </w:t>
      </w:r>
      <w:r w:rsidR="000569F0" w:rsidRPr="003915C7">
        <w:rPr>
          <w:lang w:val="en-GB"/>
        </w:rPr>
        <w:t>as well as supporter</w:t>
      </w:r>
      <w:r w:rsidR="00616D0B" w:rsidRPr="003915C7">
        <w:rPr>
          <w:lang w:val="en-GB"/>
        </w:rPr>
        <w:t>s</w:t>
      </w:r>
      <w:r w:rsidR="000569F0" w:rsidRPr="003915C7">
        <w:rPr>
          <w:lang w:val="en-GB"/>
        </w:rPr>
        <w:t xml:space="preserve"> of Hamdeen Sabahy</w:t>
      </w:r>
      <w:r w:rsidR="00616D0B" w:rsidRPr="003915C7">
        <w:t xml:space="preserve"> </w:t>
      </w:r>
      <w:r w:rsidR="00616D0B" w:rsidRPr="003915C7">
        <w:rPr>
          <w:lang w:val="en-GB"/>
        </w:rPr>
        <w:t>from the Al</w:t>
      </w:r>
      <w:r w:rsidR="00884B9F" w:rsidRPr="003915C7">
        <w:rPr>
          <w:lang w:val="en-GB"/>
        </w:rPr>
        <w:t>-</w:t>
      </w:r>
      <w:r w:rsidR="00616D0B" w:rsidRPr="003915C7">
        <w:rPr>
          <w:lang w:val="en-GB"/>
        </w:rPr>
        <w:t>Karama opposition party</w:t>
      </w:r>
      <w:r w:rsidRPr="003915C7">
        <w:rPr>
          <w:lang w:val="en-GB"/>
        </w:rPr>
        <w:t>. He notes that</w:t>
      </w:r>
      <w:r w:rsidR="00884B9F" w:rsidRPr="003915C7">
        <w:rPr>
          <w:lang w:val="en-GB"/>
        </w:rPr>
        <w:t>,</w:t>
      </w:r>
      <w:r w:rsidRPr="003915C7">
        <w:rPr>
          <w:lang w:val="en-GB"/>
        </w:rPr>
        <w:t xml:space="preserve"> at that time, some administrators of fan </w:t>
      </w:r>
      <w:r w:rsidR="005007C9" w:rsidRPr="003915C7">
        <w:rPr>
          <w:lang w:val="en-GB"/>
        </w:rPr>
        <w:t>club</w:t>
      </w:r>
      <w:r w:rsidR="00910AD7" w:rsidRPr="003915C7">
        <w:rPr>
          <w:lang w:val="en-GB"/>
        </w:rPr>
        <w:t xml:space="preserve"> </w:t>
      </w:r>
      <w:r w:rsidR="00884B9F" w:rsidRPr="003915C7">
        <w:rPr>
          <w:lang w:val="en-GB"/>
        </w:rPr>
        <w:t>web</w:t>
      </w:r>
      <w:r w:rsidRPr="003915C7">
        <w:rPr>
          <w:lang w:val="en-GB"/>
        </w:rPr>
        <w:t xml:space="preserve">pages with a far more limited audience than </w:t>
      </w:r>
      <w:r w:rsidR="00884B9F" w:rsidRPr="003915C7">
        <w:rPr>
          <w:lang w:val="en-GB"/>
        </w:rPr>
        <w:t xml:space="preserve">that of </w:t>
      </w:r>
      <w:r w:rsidRPr="003915C7">
        <w:rPr>
          <w:lang w:val="en-GB"/>
        </w:rPr>
        <w:t>the author were killed. Thus</w:t>
      </w:r>
      <w:r w:rsidR="00884B9F" w:rsidRPr="003915C7">
        <w:rPr>
          <w:lang w:val="en-GB"/>
        </w:rPr>
        <w:t>,</w:t>
      </w:r>
      <w:r w:rsidRPr="003915C7">
        <w:rPr>
          <w:lang w:val="en-GB"/>
        </w:rPr>
        <w:t xml:space="preserve"> he was already at high risk when he applied for asylum. Since then, the new military regime has enacted new legislation granting the authorities full power and the ability to arrest anyone for any reason. Thus, the author is still at high risk because of his capacity to reach and mobili</w:t>
      </w:r>
      <w:r w:rsidR="00884B9F" w:rsidRPr="003915C7">
        <w:rPr>
          <w:lang w:val="en-GB"/>
        </w:rPr>
        <w:t>z</w:t>
      </w:r>
      <w:r w:rsidRPr="003915C7">
        <w:rPr>
          <w:lang w:val="en-GB"/>
        </w:rPr>
        <w:t xml:space="preserve">e </w:t>
      </w:r>
      <w:r w:rsidR="000A39B4" w:rsidRPr="003915C7">
        <w:rPr>
          <w:lang w:val="en-GB"/>
        </w:rPr>
        <w:t xml:space="preserve">a large </w:t>
      </w:r>
      <w:r w:rsidRPr="003915C7">
        <w:rPr>
          <w:lang w:val="en-GB"/>
        </w:rPr>
        <w:t xml:space="preserve">number of people for political reasons against the authorities through </w:t>
      </w:r>
      <w:r w:rsidR="00884B9F" w:rsidRPr="003915C7">
        <w:rPr>
          <w:lang w:val="en-GB"/>
        </w:rPr>
        <w:t>the I</w:t>
      </w:r>
      <w:r w:rsidRPr="003915C7">
        <w:rPr>
          <w:lang w:val="en-GB"/>
        </w:rPr>
        <w:t xml:space="preserve">nternet, as </w:t>
      </w:r>
      <w:r w:rsidR="00884B9F" w:rsidRPr="003915C7">
        <w:rPr>
          <w:lang w:val="en-GB"/>
        </w:rPr>
        <w:t xml:space="preserve">demonstrated </w:t>
      </w:r>
      <w:r w:rsidRPr="003915C7">
        <w:rPr>
          <w:lang w:val="en-GB"/>
        </w:rPr>
        <w:t xml:space="preserve">by his intense activity on political and social media during the revolution. </w:t>
      </w:r>
    </w:p>
    <w:p w:rsidR="00B73070" w:rsidRPr="003915C7" w:rsidRDefault="00B77EC5">
      <w:pPr>
        <w:pStyle w:val="SingleTxtG"/>
        <w:rPr>
          <w:lang w:val="en-GB"/>
        </w:rPr>
      </w:pPr>
      <w:r w:rsidRPr="003915C7">
        <w:rPr>
          <w:lang w:val="en-GB"/>
        </w:rPr>
        <w:t>2.</w:t>
      </w:r>
      <w:r w:rsidR="003E75F0" w:rsidRPr="003915C7">
        <w:rPr>
          <w:lang w:val="en-GB"/>
        </w:rPr>
        <w:t>7</w:t>
      </w:r>
      <w:r w:rsidRPr="003915C7">
        <w:rPr>
          <w:lang w:val="en-GB"/>
        </w:rPr>
        <w:tab/>
      </w:r>
      <w:r w:rsidR="0000756B" w:rsidRPr="003915C7">
        <w:rPr>
          <w:lang w:val="en-GB"/>
        </w:rPr>
        <w:t>T</w:t>
      </w:r>
      <w:r w:rsidRPr="003915C7">
        <w:rPr>
          <w:lang w:val="en-GB"/>
        </w:rPr>
        <w:t>he author stresses that</w:t>
      </w:r>
      <w:r w:rsidR="00884B9F" w:rsidRPr="003915C7">
        <w:rPr>
          <w:lang w:val="en-GB"/>
        </w:rPr>
        <w:t>,</w:t>
      </w:r>
      <w:r w:rsidRPr="003915C7">
        <w:rPr>
          <w:lang w:val="en-GB"/>
        </w:rPr>
        <w:t xml:space="preserve"> following the Board</w:t>
      </w:r>
      <w:r w:rsidR="000A39B4" w:rsidRPr="003915C7">
        <w:rPr>
          <w:lang w:val="en-GB"/>
        </w:rPr>
        <w:t>’s</w:t>
      </w:r>
      <w:r w:rsidRPr="003915C7">
        <w:rPr>
          <w:lang w:val="en-GB"/>
        </w:rPr>
        <w:t xml:space="preserve"> negative decision with regard to his asylum application, he published on 17 December 2013 on his Facebook page that he would return to Egypt shortly. Immediately afterwards, the police went to the house of the author’s mother to look for him and returned five more times thereafter, </w:t>
      </w:r>
      <w:r w:rsidR="00884B9F" w:rsidRPr="003915C7">
        <w:rPr>
          <w:lang w:val="en-GB"/>
        </w:rPr>
        <w:t xml:space="preserve">despite the fact that </w:t>
      </w:r>
      <w:r w:rsidRPr="003915C7">
        <w:rPr>
          <w:lang w:val="en-GB"/>
        </w:rPr>
        <w:t xml:space="preserve">the author </w:t>
      </w:r>
      <w:r w:rsidR="00884B9F" w:rsidRPr="003915C7">
        <w:rPr>
          <w:lang w:val="en-GB"/>
        </w:rPr>
        <w:t xml:space="preserve">had no </w:t>
      </w:r>
      <w:r w:rsidR="00230D7F" w:rsidRPr="003915C7">
        <w:rPr>
          <w:lang w:val="en-GB"/>
        </w:rPr>
        <w:t xml:space="preserve">previous police, </w:t>
      </w:r>
      <w:r w:rsidRPr="003915C7">
        <w:rPr>
          <w:lang w:val="en-GB"/>
        </w:rPr>
        <w:t xml:space="preserve">judicial </w:t>
      </w:r>
      <w:r w:rsidR="00230D7F" w:rsidRPr="003915C7">
        <w:rPr>
          <w:lang w:val="en-GB"/>
        </w:rPr>
        <w:t>or other official records. During one of the visit</w:t>
      </w:r>
      <w:r w:rsidR="0000756B" w:rsidRPr="003915C7">
        <w:rPr>
          <w:lang w:val="en-GB"/>
        </w:rPr>
        <w:t>s</w:t>
      </w:r>
      <w:r w:rsidR="00230D7F" w:rsidRPr="003915C7">
        <w:rPr>
          <w:lang w:val="en-GB"/>
        </w:rPr>
        <w:t xml:space="preserve">, the author’s mother was attacked and received a death threat from a police officer for taking a photograph of the house search. Further to that, the author’s mother </w:t>
      </w:r>
      <w:r w:rsidRPr="003915C7">
        <w:rPr>
          <w:lang w:val="en-GB"/>
        </w:rPr>
        <w:t>received a written death threat addressed to the author.</w:t>
      </w:r>
      <w:r w:rsidRPr="003915C7">
        <w:rPr>
          <w:rStyle w:val="FootnoteReference"/>
          <w:lang w:val="en-GB"/>
        </w:rPr>
        <w:footnoteReference w:id="8"/>
      </w:r>
    </w:p>
    <w:p w:rsidR="005007C9" w:rsidRPr="003915C7" w:rsidRDefault="001D32E3" w:rsidP="00CB0915">
      <w:pPr>
        <w:pStyle w:val="SingleTxtG"/>
        <w:rPr>
          <w:lang w:val="en-GB"/>
        </w:rPr>
      </w:pPr>
      <w:r w:rsidRPr="003915C7">
        <w:rPr>
          <w:lang w:val="en-GB"/>
        </w:rPr>
        <w:t>2.</w:t>
      </w:r>
      <w:r w:rsidR="003E75F0" w:rsidRPr="003915C7">
        <w:rPr>
          <w:lang w:val="en-GB"/>
        </w:rPr>
        <w:t>8</w:t>
      </w:r>
      <w:r w:rsidRPr="003915C7">
        <w:rPr>
          <w:lang w:val="en-GB"/>
        </w:rPr>
        <w:tab/>
      </w:r>
      <w:r w:rsidR="005007C9" w:rsidRPr="003915C7">
        <w:t>The author considers that</w:t>
      </w:r>
      <w:r w:rsidR="00FB3D21" w:rsidRPr="003915C7">
        <w:rPr>
          <w:lang w:val="en-US"/>
        </w:rPr>
        <w:t>,</w:t>
      </w:r>
      <w:r w:rsidR="005007C9" w:rsidRPr="003915C7">
        <w:t xml:space="preserve"> as no </w:t>
      </w:r>
      <w:r w:rsidR="005007C9" w:rsidRPr="003915C7">
        <w:rPr>
          <w:lang w:val="en-GB"/>
        </w:rPr>
        <w:t xml:space="preserve">judicial </w:t>
      </w:r>
      <w:r w:rsidR="005007C9" w:rsidRPr="003915C7">
        <w:t>review of the Board</w:t>
      </w:r>
      <w:r w:rsidR="00FB3D21" w:rsidRPr="003915C7">
        <w:rPr>
          <w:lang w:val="en-GB"/>
        </w:rPr>
        <w:t>’s</w:t>
      </w:r>
      <w:r w:rsidR="005007C9" w:rsidRPr="003915C7">
        <w:t xml:space="preserve"> decision is available</w:t>
      </w:r>
      <w:r w:rsidR="00FB3D21" w:rsidRPr="003915C7">
        <w:rPr>
          <w:lang w:val="en-US"/>
        </w:rPr>
        <w:t>,</w:t>
      </w:r>
      <w:r w:rsidR="005007C9" w:rsidRPr="003915C7">
        <w:rPr>
          <w:lang w:val="en-GB"/>
        </w:rPr>
        <w:t xml:space="preserve"> </w:t>
      </w:r>
      <w:r w:rsidR="005007C9" w:rsidRPr="003915C7">
        <w:t>all domestic remedies have been exhausted.</w:t>
      </w:r>
      <w:r w:rsidR="005007C9" w:rsidRPr="003915C7">
        <w:rPr>
          <w:lang w:val="en-GB"/>
        </w:rPr>
        <w:t xml:space="preserve"> The author’s communication is not being examined under another procedure of international investigation or settlement.</w:t>
      </w:r>
      <w:r w:rsidR="001173CF" w:rsidRPr="003915C7">
        <w:rPr>
          <w:lang w:val="en-GB"/>
        </w:rPr>
        <w:t xml:space="preserve"> </w:t>
      </w:r>
    </w:p>
    <w:p w:rsidR="003134AC" w:rsidRPr="003915C7" w:rsidRDefault="007B3302" w:rsidP="007B3302">
      <w:pPr>
        <w:pStyle w:val="H23G"/>
      </w:pPr>
      <w:r w:rsidRPr="003915C7">
        <w:tab/>
      </w:r>
      <w:r w:rsidRPr="003915C7">
        <w:tab/>
      </w:r>
      <w:r w:rsidR="003134AC" w:rsidRPr="003915C7">
        <w:t>The complaint</w:t>
      </w:r>
    </w:p>
    <w:p w:rsidR="00707DC0" w:rsidRPr="003915C7" w:rsidRDefault="00E17C73">
      <w:pPr>
        <w:pStyle w:val="SingleTxtG"/>
        <w:rPr>
          <w:lang w:val="en-GB"/>
        </w:rPr>
      </w:pPr>
      <w:r w:rsidRPr="003915C7">
        <w:t>3</w:t>
      </w:r>
      <w:r w:rsidR="005C176E" w:rsidRPr="003915C7">
        <w:t>.</w:t>
      </w:r>
      <w:r w:rsidR="007F098E" w:rsidRPr="003915C7">
        <w:rPr>
          <w:lang w:val="en-GB"/>
        </w:rPr>
        <w:t>1</w:t>
      </w:r>
      <w:r w:rsidRPr="003915C7">
        <w:tab/>
      </w:r>
      <w:r w:rsidR="00232334" w:rsidRPr="003915C7">
        <w:t xml:space="preserve">The author </w:t>
      </w:r>
      <w:r w:rsidR="0000756B" w:rsidRPr="003915C7">
        <w:rPr>
          <w:lang w:val="en-GB"/>
        </w:rPr>
        <w:t>claims</w:t>
      </w:r>
      <w:r w:rsidR="00232334" w:rsidRPr="003915C7">
        <w:t xml:space="preserve"> that</w:t>
      </w:r>
      <w:r w:rsidR="009F416E" w:rsidRPr="003915C7">
        <w:rPr>
          <w:lang w:val="en-US"/>
        </w:rPr>
        <w:t>,</w:t>
      </w:r>
      <w:r w:rsidR="00232334" w:rsidRPr="003915C7">
        <w:t xml:space="preserve"> by </w:t>
      </w:r>
      <w:r w:rsidR="00B67FC8" w:rsidRPr="003915C7">
        <w:rPr>
          <w:lang w:val="en-GB"/>
        </w:rPr>
        <w:t xml:space="preserve">forcibly returning </w:t>
      </w:r>
      <w:r w:rsidR="00232334" w:rsidRPr="003915C7">
        <w:t xml:space="preserve">him to </w:t>
      </w:r>
      <w:r w:rsidR="00CB0915" w:rsidRPr="003915C7">
        <w:rPr>
          <w:lang w:val="en-GB"/>
        </w:rPr>
        <w:t xml:space="preserve">Egypt, </w:t>
      </w:r>
      <w:r w:rsidR="00232334" w:rsidRPr="003915C7">
        <w:t>Denmark would violate his rights under article</w:t>
      </w:r>
      <w:r w:rsidR="007E7E46" w:rsidRPr="003915C7">
        <w:rPr>
          <w:lang w:val="en-GB"/>
        </w:rPr>
        <w:t>s</w:t>
      </w:r>
      <w:r w:rsidR="00232334" w:rsidRPr="003915C7">
        <w:t xml:space="preserve"> </w:t>
      </w:r>
      <w:r w:rsidR="007E7E46" w:rsidRPr="003915C7">
        <w:rPr>
          <w:lang w:val="en-GB"/>
        </w:rPr>
        <w:t xml:space="preserve">1, 2, </w:t>
      </w:r>
      <w:r w:rsidR="00232334" w:rsidRPr="003915C7">
        <w:t>7</w:t>
      </w:r>
      <w:r w:rsidR="007E7E46" w:rsidRPr="003915C7">
        <w:rPr>
          <w:lang w:val="en-GB"/>
        </w:rPr>
        <w:t>, 9 and 19</w:t>
      </w:r>
      <w:r w:rsidR="00232334" w:rsidRPr="003915C7">
        <w:t xml:space="preserve"> </w:t>
      </w:r>
      <w:r w:rsidR="005C11C1" w:rsidRPr="003915C7">
        <w:t>of the Covenant</w:t>
      </w:r>
      <w:r w:rsidR="00313386" w:rsidRPr="003915C7">
        <w:rPr>
          <w:lang w:val="en-GB"/>
        </w:rPr>
        <w:t>.</w:t>
      </w:r>
      <w:r w:rsidR="00232334" w:rsidRPr="003915C7">
        <w:t xml:space="preserve"> </w:t>
      </w:r>
      <w:r w:rsidR="00CB6E28" w:rsidRPr="003915C7">
        <w:rPr>
          <w:lang w:val="en-GB"/>
        </w:rPr>
        <w:t xml:space="preserve">He claims that he fears </w:t>
      </w:r>
      <w:r w:rsidR="002E595E" w:rsidRPr="003915C7">
        <w:rPr>
          <w:lang w:val="en-GB"/>
        </w:rPr>
        <w:t>fac</w:t>
      </w:r>
      <w:r w:rsidR="000A39B4" w:rsidRPr="003915C7">
        <w:rPr>
          <w:lang w:val="en-GB"/>
        </w:rPr>
        <w:t>ing</w:t>
      </w:r>
      <w:r w:rsidR="002E595E" w:rsidRPr="003915C7">
        <w:rPr>
          <w:lang w:val="en-GB"/>
        </w:rPr>
        <w:t xml:space="preserve"> a considerable </w:t>
      </w:r>
      <w:r w:rsidR="007E7E46" w:rsidRPr="003915C7">
        <w:rPr>
          <w:lang w:val="en-GB"/>
        </w:rPr>
        <w:t>risk of being arrested, kidnapped, tortured and even killed as he is a well-known member and founder of the Ultra</w:t>
      </w:r>
      <w:r w:rsidR="000B1998" w:rsidRPr="003915C7">
        <w:rPr>
          <w:lang w:val="en-GB"/>
        </w:rPr>
        <w:t>s</w:t>
      </w:r>
      <w:r w:rsidR="007E7E46" w:rsidRPr="003915C7">
        <w:rPr>
          <w:lang w:val="en-GB"/>
        </w:rPr>
        <w:t xml:space="preserve"> Ahlawy club</w:t>
      </w:r>
      <w:r w:rsidR="009E3B88" w:rsidRPr="003915C7">
        <w:rPr>
          <w:lang w:val="en-GB"/>
        </w:rPr>
        <w:t xml:space="preserve">, </w:t>
      </w:r>
      <w:r w:rsidR="000B1998" w:rsidRPr="003915C7">
        <w:rPr>
          <w:lang w:val="en-GB"/>
        </w:rPr>
        <w:t xml:space="preserve">and </w:t>
      </w:r>
      <w:r w:rsidR="009E3B88" w:rsidRPr="003915C7">
        <w:rPr>
          <w:lang w:val="en-GB"/>
        </w:rPr>
        <w:t xml:space="preserve">also </w:t>
      </w:r>
      <w:r w:rsidR="009F416E" w:rsidRPr="003915C7">
        <w:rPr>
          <w:lang w:val="en-GB"/>
        </w:rPr>
        <w:t xml:space="preserve">owing </w:t>
      </w:r>
      <w:r w:rsidR="000B1998" w:rsidRPr="003915C7">
        <w:rPr>
          <w:lang w:val="en-GB"/>
        </w:rPr>
        <w:t>to the club’s political agenda</w:t>
      </w:r>
      <w:r w:rsidR="007E7E46" w:rsidRPr="003915C7">
        <w:rPr>
          <w:lang w:val="en-GB"/>
        </w:rPr>
        <w:t xml:space="preserve">. The author’s fears are linked to the fact that he has personally campaigned for a different political party than the current Government and </w:t>
      </w:r>
      <w:r w:rsidR="009E3B88" w:rsidRPr="003915C7">
        <w:rPr>
          <w:lang w:val="en-GB"/>
        </w:rPr>
        <w:t xml:space="preserve">has </w:t>
      </w:r>
      <w:r w:rsidR="007E7E46" w:rsidRPr="003915C7">
        <w:rPr>
          <w:lang w:val="en-GB"/>
        </w:rPr>
        <w:t>express</w:t>
      </w:r>
      <w:r w:rsidR="009F416E" w:rsidRPr="003915C7">
        <w:rPr>
          <w:lang w:val="en-GB"/>
        </w:rPr>
        <w:t>ed</w:t>
      </w:r>
      <w:r w:rsidR="007E7E46" w:rsidRPr="003915C7">
        <w:rPr>
          <w:lang w:val="en-GB"/>
        </w:rPr>
        <w:t xml:space="preserve"> opinions against </w:t>
      </w:r>
      <w:r w:rsidR="00274F7C" w:rsidRPr="003915C7">
        <w:rPr>
          <w:lang w:val="en-GB"/>
        </w:rPr>
        <w:t xml:space="preserve">its </w:t>
      </w:r>
      <w:r w:rsidR="007E7E46" w:rsidRPr="003915C7">
        <w:rPr>
          <w:lang w:val="en-GB"/>
        </w:rPr>
        <w:t xml:space="preserve">authoritarian methods, which </w:t>
      </w:r>
      <w:r w:rsidR="00274F7C" w:rsidRPr="003915C7">
        <w:rPr>
          <w:lang w:val="en-GB"/>
        </w:rPr>
        <w:t xml:space="preserve">have been </w:t>
      </w:r>
      <w:r w:rsidR="007E7E46" w:rsidRPr="003915C7">
        <w:rPr>
          <w:lang w:val="en-GB"/>
        </w:rPr>
        <w:t>widely disseminated in various online media</w:t>
      </w:r>
      <w:r w:rsidR="00274F7C" w:rsidRPr="003915C7">
        <w:rPr>
          <w:lang w:val="en-GB"/>
        </w:rPr>
        <w:t xml:space="preserve"> and </w:t>
      </w:r>
      <w:r w:rsidR="007E7E46" w:rsidRPr="003915C7">
        <w:rPr>
          <w:lang w:val="en-GB"/>
        </w:rPr>
        <w:t xml:space="preserve">social </w:t>
      </w:r>
      <w:r w:rsidR="00274F7C" w:rsidRPr="003915C7">
        <w:rPr>
          <w:lang w:val="en-GB"/>
        </w:rPr>
        <w:t xml:space="preserve">media </w:t>
      </w:r>
      <w:r w:rsidR="007E7E46" w:rsidRPr="003915C7">
        <w:rPr>
          <w:lang w:val="en-GB"/>
        </w:rPr>
        <w:t>network</w:t>
      </w:r>
      <w:r w:rsidR="0000756B" w:rsidRPr="003915C7">
        <w:rPr>
          <w:lang w:val="en-GB"/>
        </w:rPr>
        <w:t>s</w:t>
      </w:r>
      <w:r w:rsidR="007E7E46" w:rsidRPr="003915C7">
        <w:rPr>
          <w:lang w:val="en-GB"/>
        </w:rPr>
        <w:t xml:space="preserve">. </w:t>
      </w:r>
      <w:r w:rsidR="00CB6E28" w:rsidRPr="003915C7">
        <w:rPr>
          <w:lang w:val="en-GB"/>
        </w:rPr>
        <w:t xml:space="preserve">He </w:t>
      </w:r>
      <w:r w:rsidR="007E7E46" w:rsidRPr="003915C7">
        <w:rPr>
          <w:lang w:val="en-GB"/>
        </w:rPr>
        <w:t>adds that his capacity to mobili</w:t>
      </w:r>
      <w:r w:rsidR="009F416E" w:rsidRPr="003915C7">
        <w:rPr>
          <w:lang w:val="en-GB"/>
        </w:rPr>
        <w:t>z</w:t>
      </w:r>
      <w:r w:rsidR="007E7E46" w:rsidRPr="003915C7">
        <w:rPr>
          <w:lang w:val="en-GB"/>
        </w:rPr>
        <w:t xml:space="preserve">e people against the authorities has been considered as a threat by all the regimes, including </w:t>
      </w:r>
      <w:r w:rsidR="0000756B" w:rsidRPr="003915C7">
        <w:rPr>
          <w:lang w:val="en-GB"/>
        </w:rPr>
        <w:t xml:space="preserve">by </w:t>
      </w:r>
      <w:r w:rsidR="007E7E46" w:rsidRPr="003915C7">
        <w:rPr>
          <w:lang w:val="en-GB"/>
        </w:rPr>
        <w:t>the current one.</w:t>
      </w:r>
    </w:p>
    <w:p w:rsidR="00707DC0" w:rsidRPr="003915C7" w:rsidRDefault="00994E66">
      <w:pPr>
        <w:pStyle w:val="SingleTxtG"/>
        <w:rPr>
          <w:lang w:val="en-GB"/>
        </w:rPr>
      </w:pPr>
      <w:r w:rsidRPr="003915C7">
        <w:rPr>
          <w:lang w:val="en-GB"/>
        </w:rPr>
        <w:t>3.2</w:t>
      </w:r>
      <w:r w:rsidR="00707DC0" w:rsidRPr="003915C7">
        <w:rPr>
          <w:lang w:val="en-GB"/>
        </w:rPr>
        <w:tab/>
        <w:t>He also alleges that</w:t>
      </w:r>
      <w:r w:rsidR="009F416E" w:rsidRPr="003915C7">
        <w:rPr>
          <w:lang w:val="en-GB"/>
        </w:rPr>
        <w:t>,</w:t>
      </w:r>
      <w:r w:rsidR="00707DC0" w:rsidRPr="003915C7">
        <w:rPr>
          <w:lang w:val="en-GB"/>
        </w:rPr>
        <w:t xml:space="preserve"> in the light of the human rights situation in Egypt, he cannot </w:t>
      </w:r>
      <w:r w:rsidR="004222B5" w:rsidRPr="003915C7">
        <w:rPr>
          <w:lang w:val="en-GB"/>
        </w:rPr>
        <w:t xml:space="preserve">be protected </w:t>
      </w:r>
      <w:r w:rsidR="00707DC0" w:rsidRPr="003915C7">
        <w:rPr>
          <w:lang w:val="en-GB"/>
        </w:rPr>
        <w:t xml:space="preserve">from the authorities </w:t>
      </w:r>
      <w:r w:rsidR="0000756B" w:rsidRPr="003915C7">
        <w:rPr>
          <w:lang w:val="en-GB"/>
        </w:rPr>
        <w:t>there</w:t>
      </w:r>
      <w:r w:rsidR="004222B5" w:rsidRPr="003915C7">
        <w:rPr>
          <w:lang w:val="en-GB"/>
        </w:rPr>
        <w:t>,</w:t>
      </w:r>
      <w:r w:rsidR="0000756B" w:rsidRPr="003915C7">
        <w:rPr>
          <w:lang w:val="en-GB"/>
        </w:rPr>
        <w:t xml:space="preserve"> </w:t>
      </w:r>
      <w:r w:rsidR="004222B5" w:rsidRPr="003915C7">
        <w:rPr>
          <w:lang w:val="en-GB"/>
        </w:rPr>
        <w:t xml:space="preserve">and faces </w:t>
      </w:r>
      <w:r w:rsidR="00707DC0" w:rsidRPr="003915C7">
        <w:rPr>
          <w:lang w:val="en-GB"/>
        </w:rPr>
        <w:t xml:space="preserve">the risk of being </w:t>
      </w:r>
      <w:r w:rsidR="009E3B88" w:rsidRPr="003915C7">
        <w:rPr>
          <w:lang w:val="en-GB"/>
        </w:rPr>
        <w:t>arrested without a proper reason, kidnappe</w:t>
      </w:r>
      <w:r w:rsidR="0000756B" w:rsidRPr="003915C7">
        <w:rPr>
          <w:lang w:val="en-GB"/>
        </w:rPr>
        <w:t>d</w:t>
      </w:r>
      <w:r w:rsidR="009E3B88" w:rsidRPr="003915C7">
        <w:rPr>
          <w:lang w:val="en-GB"/>
        </w:rPr>
        <w:t xml:space="preserve">, tortured </w:t>
      </w:r>
      <w:r w:rsidR="0000756B" w:rsidRPr="003915C7">
        <w:rPr>
          <w:lang w:val="en-GB"/>
        </w:rPr>
        <w:t>or</w:t>
      </w:r>
      <w:r w:rsidR="009E3B88" w:rsidRPr="003915C7">
        <w:rPr>
          <w:lang w:val="en-GB"/>
        </w:rPr>
        <w:t xml:space="preserve"> even killed </w:t>
      </w:r>
      <w:r w:rsidR="00707DC0" w:rsidRPr="003915C7">
        <w:rPr>
          <w:lang w:val="en-GB"/>
        </w:rPr>
        <w:t>by the State party</w:t>
      </w:r>
      <w:r w:rsidR="003840FD" w:rsidRPr="003915C7">
        <w:rPr>
          <w:lang w:val="en-GB"/>
        </w:rPr>
        <w:t>’s</w:t>
      </w:r>
      <w:r w:rsidR="00707DC0" w:rsidRPr="003915C7">
        <w:rPr>
          <w:lang w:val="en-GB"/>
        </w:rPr>
        <w:t xml:space="preserve"> security forces</w:t>
      </w:r>
      <w:r w:rsidR="009E3B88" w:rsidRPr="003915C7">
        <w:t xml:space="preserve"> </w:t>
      </w:r>
      <w:r w:rsidR="009E3B88" w:rsidRPr="003915C7">
        <w:rPr>
          <w:lang w:val="en-GB"/>
        </w:rPr>
        <w:t xml:space="preserve">upon his arrival, </w:t>
      </w:r>
      <w:r w:rsidR="004222B5" w:rsidRPr="003915C7">
        <w:rPr>
          <w:lang w:val="en-GB"/>
        </w:rPr>
        <w:t xml:space="preserve">owing to his political opinions, </w:t>
      </w:r>
      <w:r w:rsidR="009E3B88" w:rsidRPr="003915C7">
        <w:rPr>
          <w:lang w:val="en-GB"/>
        </w:rPr>
        <w:t>contrary to the relevant provisions of the Covenant.</w:t>
      </w:r>
      <w:r w:rsidR="00707DC0" w:rsidRPr="003915C7">
        <w:rPr>
          <w:lang w:val="en-GB"/>
        </w:rPr>
        <w:t xml:space="preserve"> In particular, the author refers to </w:t>
      </w:r>
      <w:r w:rsidR="00B67FC8" w:rsidRPr="003915C7">
        <w:rPr>
          <w:lang w:val="en-GB"/>
        </w:rPr>
        <w:t>i</w:t>
      </w:r>
      <w:r w:rsidR="00707DC0" w:rsidRPr="003915C7">
        <w:rPr>
          <w:lang w:val="en-GB"/>
        </w:rPr>
        <w:t xml:space="preserve">nternational </w:t>
      </w:r>
      <w:r w:rsidR="004222B5" w:rsidRPr="003915C7">
        <w:rPr>
          <w:lang w:val="en-GB"/>
        </w:rPr>
        <w:t xml:space="preserve">non-governmental organization </w:t>
      </w:r>
      <w:r w:rsidR="00707DC0" w:rsidRPr="003915C7">
        <w:rPr>
          <w:lang w:val="en-GB"/>
        </w:rPr>
        <w:t xml:space="preserve">reports on the situation in Egypt, that </w:t>
      </w:r>
      <w:r w:rsidR="0000756B" w:rsidRPr="003915C7">
        <w:rPr>
          <w:lang w:val="en-GB"/>
        </w:rPr>
        <w:t xml:space="preserve">the </w:t>
      </w:r>
      <w:r w:rsidR="00707DC0" w:rsidRPr="003915C7">
        <w:rPr>
          <w:lang w:val="en-GB"/>
        </w:rPr>
        <w:t xml:space="preserve">police and military have used excessive lethal force and </w:t>
      </w:r>
      <w:r w:rsidR="004222B5" w:rsidRPr="003915C7">
        <w:rPr>
          <w:lang w:val="en-GB"/>
        </w:rPr>
        <w:t xml:space="preserve">have </w:t>
      </w:r>
      <w:r w:rsidR="00707DC0" w:rsidRPr="003915C7">
        <w:rPr>
          <w:lang w:val="en-GB"/>
        </w:rPr>
        <w:t xml:space="preserve">killed </w:t>
      </w:r>
      <w:r w:rsidR="004222B5" w:rsidRPr="003915C7">
        <w:rPr>
          <w:lang w:val="en-GB"/>
        </w:rPr>
        <w:t xml:space="preserve">or </w:t>
      </w:r>
      <w:r w:rsidR="00707DC0" w:rsidRPr="003915C7">
        <w:rPr>
          <w:lang w:val="en-GB"/>
        </w:rPr>
        <w:t xml:space="preserve">arrested thousands of political opponents to the </w:t>
      </w:r>
      <w:r w:rsidR="00274F7C" w:rsidRPr="003915C7">
        <w:rPr>
          <w:lang w:val="en-GB"/>
        </w:rPr>
        <w:t>G</w:t>
      </w:r>
      <w:r w:rsidR="00707DC0" w:rsidRPr="003915C7">
        <w:rPr>
          <w:lang w:val="en-GB"/>
        </w:rPr>
        <w:t>overnment and military</w:t>
      </w:r>
      <w:r w:rsidR="004222B5" w:rsidRPr="003915C7">
        <w:rPr>
          <w:lang w:val="en-GB"/>
        </w:rPr>
        <w:t>,</w:t>
      </w:r>
      <w:r w:rsidR="00707DC0" w:rsidRPr="003915C7">
        <w:rPr>
          <w:lang w:val="en-GB"/>
        </w:rPr>
        <w:t xml:space="preserve"> and that the current authorities are using all possible means to silence political opposition.</w:t>
      </w:r>
    </w:p>
    <w:p w:rsidR="003134AC" w:rsidRPr="003915C7" w:rsidRDefault="007E7E46" w:rsidP="007B3302">
      <w:pPr>
        <w:pStyle w:val="H23G"/>
      </w:pPr>
      <w:r w:rsidRPr="003915C7">
        <w:tab/>
      </w:r>
      <w:r w:rsidRPr="003915C7">
        <w:tab/>
      </w:r>
      <w:r w:rsidR="003134AC" w:rsidRPr="003915C7">
        <w:t>State party</w:t>
      </w:r>
      <w:r w:rsidR="001173CF" w:rsidRPr="003915C7">
        <w:t>’</w:t>
      </w:r>
      <w:r w:rsidR="003134AC" w:rsidRPr="003915C7">
        <w:t>s observations on admissibility</w:t>
      </w:r>
      <w:r w:rsidR="00E0216D" w:rsidRPr="003915C7">
        <w:t xml:space="preserve"> </w:t>
      </w:r>
      <w:r w:rsidR="00EF3514" w:rsidRPr="003915C7">
        <w:t>and merits</w:t>
      </w:r>
      <w:r w:rsidR="007A212F" w:rsidRPr="003915C7">
        <w:t xml:space="preserve"> </w:t>
      </w:r>
    </w:p>
    <w:p w:rsidR="00E0216D" w:rsidRPr="003915C7" w:rsidRDefault="00776E5E" w:rsidP="00BA5934">
      <w:pPr>
        <w:pStyle w:val="SingleTxtG"/>
        <w:rPr>
          <w:lang w:val="en-GB"/>
        </w:rPr>
      </w:pPr>
      <w:r w:rsidRPr="003915C7">
        <w:t>4.1</w:t>
      </w:r>
      <w:r w:rsidRPr="003915C7">
        <w:tab/>
      </w:r>
      <w:r w:rsidR="00DF0799" w:rsidRPr="003915C7">
        <w:rPr>
          <w:lang w:val="en-GB"/>
        </w:rPr>
        <w:t xml:space="preserve">On </w:t>
      </w:r>
      <w:r w:rsidR="00E0216D" w:rsidRPr="003915C7">
        <w:rPr>
          <w:lang w:val="en-GB"/>
        </w:rPr>
        <w:t xml:space="preserve">6 August 2014, </w:t>
      </w:r>
      <w:r w:rsidR="00F24F92" w:rsidRPr="003915C7">
        <w:rPr>
          <w:lang w:val="en-GB"/>
        </w:rPr>
        <w:t>the State party submitted its observations on admissibility and merits of the communication.</w:t>
      </w:r>
      <w:r w:rsidR="00BA5934" w:rsidRPr="003915C7">
        <w:rPr>
          <w:lang w:val="en-GB"/>
        </w:rPr>
        <w:t xml:space="preserve"> </w:t>
      </w:r>
      <w:r w:rsidR="0000756B" w:rsidRPr="003915C7">
        <w:rPr>
          <w:lang w:val="en-GB"/>
        </w:rPr>
        <w:t xml:space="preserve">It </w:t>
      </w:r>
      <w:r w:rsidR="00E0216D" w:rsidRPr="003915C7">
        <w:rPr>
          <w:lang w:val="en-GB"/>
        </w:rPr>
        <w:t xml:space="preserve">considers that the author has failed to substantiate a risk of irreparable </w:t>
      </w:r>
      <w:r w:rsidR="00E25B12" w:rsidRPr="003915C7">
        <w:rPr>
          <w:lang w:val="en-GB"/>
        </w:rPr>
        <w:t>harm</w:t>
      </w:r>
      <w:r w:rsidR="00E0216D" w:rsidRPr="003915C7">
        <w:rPr>
          <w:lang w:val="en-GB"/>
        </w:rPr>
        <w:t xml:space="preserve"> if returned to Egypt, and for the same reasons considers the communication inadmissible as manifestly </w:t>
      </w:r>
      <w:r w:rsidR="0000756B" w:rsidRPr="003915C7">
        <w:rPr>
          <w:lang w:val="en-GB"/>
        </w:rPr>
        <w:t>ill-</w:t>
      </w:r>
      <w:r w:rsidR="00E0216D" w:rsidRPr="003915C7">
        <w:rPr>
          <w:lang w:val="en-GB"/>
        </w:rPr>
        <w:t xml:space="preserve">founded due to a lack of substantiation. </w:t>
      </w:r>
    </w:p>
    <w:p w:rsidR="00E0216D" w:rsidRPr="003915C7" w:rsidRDefault="00E0216D">
      <w:pPr>
        <w:pStyle w:val="SingleTxtG"/>
        <w:rPr>
          <w:lang w:val="en-GB"/>
        </w:rPr>
      </w:pPr>
      <w:r w:rsidRPr="003915C7">
        <w:rPr>
          <w:lang w:val="en-GB"/>
        </w:rPr>
        <w:t>4.2</w:t>
      </w:r>
      <w:r w:rsidRPr="003915C7">
        <w:rPr>
          <w:lang w:val="en-GB"/>
        </w:rPr>
        <w:tab/>
        <w:t>Regarding his claims under articles 1 and 2, the State party submits that the author “has not elaborated in any way on the circumstances on which this part of the communication is based”</w:t>
      </w:r>
      <w:r w:rsidR="00285A26" w:rsidRPr="003915C7">
        <w:rPr>
          <w:lang w:val="en-GB"/>
        </w:rPr>
        <w:t>.</w:t>
      </w:r>
      <w:r w:rsidRPr="003915C7">
        <w:rPr>
          <w:lang w:val="en-GB"/>
        </w:rPr>
        <w:t xml:space="preserve"> Regarding his claims under articles 7 and 9, it is the State party’s views that the author is trying to use the Committee as an appellate body to re-evaluate the facts and circumstances of the asylum claim that was adjudicated by national authorities. The State party requests the Committee </w:t>
      </w:r>
      <w:r w:rsidR="00285A26" w:rsidRPr="003915C7">
        <w:rPr>
          <w:lang w:val="en-GB"/>
        </w:rPr>
        <w:t xml:space="preserve">to </w:t>
      </w:r>
      <w:r w:rsidRPr="003915C7">
        <w:rPr>
          <w:lang w:val="en-GB"/>
        </w:rPr>
        <w:t xml:space="preserve">give considerable weight to the factual findings of the </w:t>
      </w:r>
      <w:r w:rsidR="007A2130" w:rsidRPr="003915C7">
        <w:rPr>
          <w:lang w:val="en-GB"/>
        </w:rPr>
        <w:t xml:space="preserve">Danish Refugee Appeals </w:t>
      </w:r>
      <w:r w:rsidR="00B67FC8" w:rsidRPr="003915C7">
        <w:rPr>
          <w:lang w:val="en-GB"/>
        </w:rPr>
        <w:t>Board</w:t>
      </w:r>
      <w:r w:rsidRPr="003915C7">
        <w:rPr>
          <w:lang w:val="en-GB"/>
        </w:rPr>
        <w:t xml:space="preserve">, which found that the author had failed to substantiate that he would risk persecution by the Muslim Brotherhood, or that he would be in a position of conflict </w:t>
      </w:r>
      <w:r w:rsidR="00491B1C" w:rsidRPr="003915C7">
        <w:rPr>
          <w:lang w:val="en-GB"/>
        </w:rPr>
        <w:t xml:space="preserve">relevant under asylum law vis-à-vis the military, police security forces or other authorities in case of his return to Egypt. </w:t>
      </w:r>
      <w:r w:rsidRPr="003915C7">
        <w:rPr>
          <w:lang w:val="en-GB"/>
        </w:rPr>
        <w:t xml:space="preserve">Furthermore, </w:t>
      </w:r>
      <w:r w:rsidR="00C95B84" w:rsidRPr="003915C7">
        <w:rPr>
          <w:lang w:val="en-GB"/>
        </w:rPr>
        <w:t xml:space="preserve">the State party pointed out that </w:t>
      </w:r>
      <w:r w:rsidRPr="003915C7">
        <w:rPr>
          <w:lang w:val="en-GB"/>
        </w:rPr>
        <w:t xml:space="preserve">the </w:t>
      </w:r>
      <w:r w:rsidR="00B67FC8" w:rsidRPr="003915C7">
        <w:rPr>
          <w:lang w:val="en-GB"/>
        </w:rPr>
        <w:t>Board</w:t>
      </w:r>
      <w:r w:rsidRPr="003915C7">
        <w:rPr>
          <w:lang w:val="en-GB"/>
        </w:rPr>
        <w:t xml:space="preserve"> considered that neither the author nor his family </w:t>
      </w:r>
      <w:r w:rsidR="00C95B84" w:rsidRPr="003915C7">
        <w:rPr>
          <w:lang w:val="en-GB"/>
        </w:rPr>
        <w:t xml:space="preserve">had been </w:t>
      </w:r>
      <w:r w:rsidRPr="003915C7">
        <w:rPr>
          <w:lang w:val="en-GB"/>
        </w:rPr>
        <w:t xml:space="preserve">contacted by the authorities. Moreover, the information on the arrests of other members of Ultras Ahlawy in connection with disturbances at an airport was also, in itself, found not to indicate any risk of persecution </w:t>
      </w:r>
      <w:r w:rsidR="00C95B84" w:rsidRPr="003915C7">
        <w:rPr>
          <w:lang w:val="en-GB"/>
        </w:rPr>
        <w:t xml:space="preserve">of </w:t>
      </w:r>
      <w:r w:rsidRPr="003915C7">
        <w:rPr>
          <w:lang w:val="en-GB"/>
        </w:rPr>
        <w:t xml:space="preserve">the author. </w:t>
      </w:r>
      <w:r w:rsidR="00641231" w:rsidRPr="003915C7">
        <w:rPr>
          <w:lang w:val="en-GB"/>
        </w:rPr>
        <w:t>Accordingly, the Board found no basis for giving the applicant Convention status under section 7</w:t>
      </w:r>
      <w:r w:rsidR="009C78B0" w:rsidRPr="003915C7">
        <w:rPr>
          <w:lang w:val="en-GB"/>
        </w:rPr>
        <w:t> </w:t>
      </w:r>
      <w:r w:rsidR="00641231" w:rsidRPr="003915C7">
        <w:rPr>
          <w:lang w:val="en-GB"/>
        </w:rPr>
        <w:t>(1) of the Aliens Act or protection status under section 7</w:t>
      </w:r>
      <w:r w:rsidR="009C78B0" w:rsidRPr="003915C7">
        <w:rPr>
          <w:lang w:val="en-GB"/>
        </w:rPr>
        <w:t> </w:t>
      </w:r>
      <w:r w:rsidR="00641231" w:rsidRPr="003915C7">
        <w:rPr>
          <w:lang w:val="en-GB"/>
        </w:rPr>
        <w:t>(2) of the Aliens Act.</w:t>
      </w:r>
      <w:r w:rsidR="00994E66" w:rsidRPr="003915C7">
        <w:rPr>
          <w:lang w:val="en-GB"/>
        </w:rPr>
        <w:t xml:space="preserve"> </w:t>
      </w:r>
    </w:p>
    <w:p w:rsidR="00D027F2" w:rsidRPr="003915C7" w:rsidRDefault="00E0216D">
      <w:pPr>
        <w:pStyle w:val="SingleTxtG"/>
        <w:rPr>
          <w:lang w:val="en-GB"/>
        </w:rPr>
      </w:pPr>
      <w:r w:rsidRPr="003915C7">
        <w:rPr>
          <w:lang w:val="en-GB"/>
        </w:rPr>
        <w:t>4.3</w:t>
      </w:r>
      <w:r w:rsidRPr="003915C7">
        <w:rPr>
          <w:lang w:val="en-GB"/>
        </w:rPr>
        <w:tab/>
        <w:t xml:space="preserve">The State party adds that the </w:t>
      </w:r>
      <w:r w:rsidR="00B67FC8" w:rsidRPr="003915C7">
        <w:rPr>
          <w:lang w:val="en-GB"/>
        </w:rPr>
        <w:t>Board</w:t>
      </w:r>
      <w:r w:rsidRPr="003915C7">
        <w:rPr>
          <w:lang w:val="en-GB"/>
        </w:rPr>
        <w:t xml:space="preserve"> found that the author had not been able either to support </w:t>
      </w:r>
      <w:r w:rsidR="009C78B0" w:rsidRPr="003915C7">
        <w:rPr>
          <w:lang w:val="en-GB"/>
        </w:rPr>
        <w:t xml:space="preserve">with </w:t>
      </w:r>
      <w:r w:rsidRPr="003915C7">
        <w:rPr>
          <w:lang w:val="en-GB"/>
        </w:rPr>
        <w:t xml:space="preserve">evidence the information about the Egyptian authorities having turned up at his mother’s home, or to substantiate why the authorities would visit his mother to look for him. In this regard, the </w:t>
      </w:r>
      <w:r w:rsidR="00B67FC8" w:rsidRPr="003915C7">
        <w:rPr>
          <w:lang w:val="en-GB"/>
        </w:rPr>
        <w:t>Board</w:t>
      </w:r>
      <w:r w:rsidRPr="003915C7">
        <w:rPr>
          <w:lang w:val="en-GB"/>
        </w:rPr>
        <w:t xml:space="preserve"> also observe</w:t>
      </w:r>
      <w:r w:rsidR="00C95B84" w:rsidRPr="003915C7">
        <w:rPr>
          <w:lang w:val="en-GB"/>
        </w:rPr>
        <w:t xml:space="preserve">d that the author had </w:t>
      </w:r>
      <w:r w:rsidR="00CC3D39" w:rsidRPr="003915C7">
        <w:rPr>
          <w:lang w:val="en-GB"/>
        </w:rPr>
        <w:t xml:space="preserve">left Egypt </w:t>
      </w:r>
      <w:r w:rsidRPr="003915C7">
        <w:rPr>
          <w:lang w:val="en-GB"/>
        </w:rPr>
        <w:t>legally on 15 October 2012</w:t>
      </w:r>
      <w:r w:rsidR="00641231" w:rsidRPr="003915C7">
        <w:rPr>
          <w:lang w:val="en-GB"/>
        </w:rPr>
        <w:t xml:space="preserve"> and </w:t>
      </w:r>
      <w:r w:rsidR="009C78B0" w:rsidRPr="003915C7">
        <w:rPr>
          <w:lang w:val="en-GB"/>
        </w:rPr>
        <w:t xml:space="preserve">had not </w:t>
      </w:r>
      <w:r w:rsidR="00CC3D39" w:rsidRPr="003915C7">
        <w:rPr>
          <w:lang w:val="en-GB"/>
        </w:rPr>
        <w:t>return</w:t>
      </w:r>
      <w:r w:rsidR="009C78B0" w:rsidRPr="003915C7">
        <w:rPr>
          <w:lang w:val="en-GB"/>
        </w:rPr>
        <w:t>ed</w:t>
      </w:r>
      <w:r w:rsidR="00CC3D39" w:rsidRPr="003915C7">
        <w:rPr>
          <w:lang w:val="en-GB"/>
        </w:rPr>
        <w:t xml:space="preserve"> there since</w:t>
      </w:r>
      <w:r w:rsidRPr="003915C7">
        <w:rPr>
          <w:lang w:val="en-GB"/>
        </w:rPr>
        <w:t xml:space="preserve">. The </w:t>
      </w:r>
      <w:r w:rsidR="00B67FC8" w:rsidRPr="003915C7">
        <w:rPr>
          <w:lang w:val="en-GB"/>
        </w:rPr>
        <w:t>Board</w:t>
      </w:r>
      <w:r w:rsidRPr="003915C7">
        <w:rPr>
          <w:lang w:val="en-GB"/>
        </w:rPr>
        <w:t xml:space="preserve"> also observed that the general reports and articles produced by the author did not contain information substantiating the allegation that he </w:t>
      </w:r>
      <w:r w:rsidR="009C78B0" w:rsidRPr="003915C7">
        <w:rPr>
          <w:lang w:val="en-GB"/>
        </w:rPr>
        <w:t xml:space="preserve">had been </w:t>
      </w:r>
      <w:r w:rsidRPr="003915C7">
        <w:rPr>
          <w:lang w:val="en-GB"/>
        </w:rPr>
        <w:t>personally persecuted by the authorities or anyone</w:t>
      </w:r>
      <w:r w:rsidR="00C2007A" w:rsidRPr="003915C7">
        <w:rPr>
          <w:lang w:val="en-GB"/>
        </w:rPr>
        <w:t xml:space="preserve"> else in his country of origin. As a result, the </w:t>
      </w:r>
      <w:r w:rsidR="00B67FC8" w:rsidRPr="003915C7">
        <w:rPr>
          <w:lang w:val="en-GB"/>
        </w:rPr>
        <w:t>Board</w:t>
      </w:r>
      <w:r w:rsidR="00C2007A" w:rsidRPr="003915C7">
        <w:rPr>
          <w:lang w:val="en-GB"/>
        </w:rPr>
        <w:t xml:space="preserve"> found that he did not meet the conditions for being granted a residence permit under section 7 of the Aliens Act. </w:t>
      </w:r>
      <w:r w:rsidRPr="003915C7">
        <w:rPr>
          <w:lang w:val="en-GB"/>
        </w:rPr>
        <w:t xml:space="preserve">Although the </w:t>
      </w:r>
      <w:r w:rsidR="00B67FC8" w:rsidRPr="003915C7">
        <w:rPr>
          <w:lang w:val="en-GB"/>
        </w:rPr>
        <w:t>Board</w:t>
      </w:r>
      <w:r w:rsidRPr="003915C7">
        <w:rPr>
          <w:lang w:val="en-GB"/>
        </w:rPr>
        <w:t xml:space="preserve"> accepted the author’s information that he had been one of the founders of Ultras Ahlawy and that he had been in charge of the group’s </w:t>
      </w:r>
      <w:r w:rsidR="00274F7C" w:rsidRPr="003915C7">
        <w:rPr>
          <w:lang w:val="en-GB"/>
        </w:rPr>
        <w:t>information technology</w:t>
      </w:r>
      <w:r w:rsidRPr="003915C7">
        <w:rPr>
          <w:lang w:val="en-GB"/>
        </w:rPr>
        <w:t xml:space="preserve">, it did not and still does not find that, solely by being one of the founders of Ultras Ahlawy and in charge of the group’s </w:t>
      </w:r>
      <w:r w:rsidR="00274F7C" w:rsidRPr="003915C7">
        <w:rPr>
          <w:lang w:val="en-GB"/>
        </w:rPr>
        <w:t>information technology</w:t>
      </w:r>
      <w:r w:rsidRPr="003915C7">
        <w:rPr>
          <w:lang w:val="en-GB"/>
        </w:rPr>
        <w:t xml:space="preserve">, considering that the group was originally an apolitical fan club </w:t>
      </w:r>
      <w:r w:rsidR="009C78B0" w:rsidRPr="003915C7">
        <w:rPr>
          <w:lang w:val="en-GB"/>
        </w:rPr>
        <w:t xml:space="preserve">that </w:t>
      </w:r>
      <w:r w:rsidRPr="003915C7">
        <w:rPr>
          <w:lang w:val="en-GB"/>
        </w:rPr>
        <w:t xml:space="preserve">later developed into one with a political objective, the author has become a high-profile figure to the extent that he will be at risk of persecution. In this connection, the </w:t>
      </w:r>
      <w:r w:rsidR="00B67FC8" w:rsidRPr="003915C7">
        <w:rPr>
          <w:lang w:val="en-GB"/>
        </w:rPr>
        <w:t>Board</w:t>
      </w:r>
      <w:r w:rsidRPr="003915C7">
        <w:rPr>
          <w:lang w:val="en-GB"/>
        </w:rPr>
        <w:t xml:space="preserve"> referred to the statement of the author that he had neither been present during the Port Said incident nor during any of the other clashes between the authorities and demonstrators. </w:t>
      </w:r>
    </w:p>
    <w:p w:rsidR="00151470" w:rsidRPr="003915C7" w:rsidRDefault="00D027F2">
      <w:pPr>
        <w:pStyle w:val="SingleTxtG"/>
        <w:rPr>
          <w:lang w:val="en-GB"/>
        </w:rPr>
      </w:pPr>
      <w:r w:rsidRPr="003915C7">
        <w:rPr>
          <w:lang w:val="en-GB"/>
        </w:rPr>
        <w:t>4.4</w:t>
      </w:r>
      <w:r w:rsidRPr="003915C7">
        <w:rPr>
          <w:lang w:val="en-GB"/>
        </w:rPr>
        <w:tab/>
        <w:t>The State party further notes that t</w:t>
      </w:r>
      <w:r w:rsidR="00E0216D" w:rsidRPr="003915C7">
        <w:rPr>
          <w:lang w:val="en-GB"/>
        </w:rPr>
        <w:t xml:space="preserve">he </w:t>
      </w:r>
      <w:r w:rsidR="00B67FC8" w:rsidRPr="003915C7">
        <w:rPr>
          <w:lang w:val="en-GB"/>
        </w:rPr>
        <w:t>Board</w:t>
      </w:r>
      <w:r w:rsidR="00E0216D" w:rsidRPr="003915C7">
        <w:rPr>
          <w:lang w:val="en-GB"/>
        </w:rPr>
        <w:t xml:space="preserve"> referred to the author’s statement </w:t>
      </w:r>
      <w:r w:rsidR="00C02623" w:rsidRPr="003915C7">
        <w:rPr>
          <w:lang w:val="en-GB"/>
        </w:rPr>
        <w:t>that</w:t>
      </w:r>
      <w:r w:rsidR="009C78B0" w:rsidRPr="003915C7">
        <w:rPr>
          <w:lang w:val="en-GB"/>
        </w:rPr>
        <w:t>,</w:t>
      </w:r>
      <w:r w:rsidR="00C02623" w:rsidRPr="003915C7">
        <w:rPr>
          <w:lang w:val="en-GB"/>
        </w:rPr>
        <w:t xml:space="preserve"> </w:t>
      </w:r>
      <w:r w:rsidR="00E0216D" w:rsidRPr="003915C7">
        <w:rPr>
          <w:lang w:val="en-GB"/>
        </w:rPr>
        <w:t>prior to his l</w:t>
      </w:r>
      <w:r w:rsidR="00C02623" w:rsidRPr="003915C7">
        <w:rPr>
          <w:lang w:val="en-GB"/>
        </w:rPr>
        <w:t>awful</w:t>
      </w:r>
      <w:r w:rsidR="00E0216D" w:rsidRPr="003915C7">
        <w:rPr>
          <w:lang w:val="en-GB"/>
        </w:rPr>
        <w:t xml:space="preserve"> departure from Egypt, he had not had any conflicts with the </w:t>
      </w:r>
      <w:r w:rsidR="00274F7C" w:rsidRPr="003915C7">
        <w:rPr>
          <w:lang w:val="en-GB"/>
        </w:rPr>
        <w:t>G</w:t>
      </w:r>
      <w:r w:rsidR="00E0216D" w:rsidRPr="003915C7">
        <w:rPr>
          <w:lang w:val="en-GB"/>
        </w:rPr>
        <w:t xml:space="preserve">overnment or other groupings in Egypt. Moreover, the </w:t>
      </w:r>
      <w:r w:rsidR="00B67FC8" w:rsidRPr="003915C7">
        <w:rPr>
          <w:lang w:val="en-GB"/>
        </w:rPr>
        <w:t>Board</w:t>
      </w:r>
      <w:r w:rsidR="00E0216D" w:rsidRPr="003915C7">
        <w:rPr>
          <w:lang w:val="en-GB"/>
        </w:rPr>
        <w:t xml:space="preserve"> did not accept as a fact the author’s information about the Egyptian authorities having turned up at his mother’s home</w:t>
      </w:r>
      <w:r w:rsidR="009C78B0" w:rsidRPr="003915C7">
        <w:rPr>
          <w:lang w:val="en-GB"/>
        </w:rPr>
        <w:t>,</w:t>
      </w:r>
      <w:r w:rsidR="00E0216D" w:rsidRPr="003915C7">
        <w:rPr>
          <w:lang w:val="en-GB"/>
        </w:rPr>
        <w:t xml:space="preserve"> because this information was not supported by evidence. As regards the author’s statement that the </w:t>
      </w:r>
      <w:r w:rsidR="00B67FC8" w:rsidRPr="003915C7">
        <w:rPr>
          <w:lang w:val="en-GB"/>
        </w:rPr>
        <w:t>Board</w:t>
      </w:r>
      <w:r w:rsidR="006321A4" w:rsidRPr="003915C7">
        <w:rPr>
          <w:lang w:val="en-GB"/>
        </w:rPr>
        <w:t>’s</w:t>
      </w:r>
      <w:r w:rsidR="00E0216D" w:rsidRPr="003915C7">
        <w:rPr>
          <w:lang w:val="en-GB"/>
        </w:rPr>
        <w:t xml:space="preserve"> background material on the situation in Egypt had not been updated since 26 June 2013, the State party observes that Egypt is one of the countries in “</w:t>
      </w:r>
      <w:r w:rsidR="00953563" w:rsidRPr="003915C7">
        <w:rPr>
          <w:lang w:val="en-GB"/>
        </w:rPr>
        <w:t>G</w:t>
      </w:r>
      <w:r w:rsidR="00E0216D" w:rsidRPr="003915C7">
        <w:rPr>
          <w:lang w:val="en-GB"/>
        </w:rPr>
        <w:t>roup II”, and that the background material is only updated when a person from that country applies for asylum in Denmark.</w:t>
      </w:r>
      <w:r w:rsidR="00151470" w:rsidRPr="003915C7">
        <w:rPr>
          <w:rStyle w:val="FootnoteReference"/>
          <w:lang w:val="en-GB"/>
        </w:rPr>
        <w:footnoteReference w:id="9"/>
      </w:r>
      <w:r w:rsidR="00E0216D" w:rsidRPr="003915C7">
        <w:rPr>
          <w:lang w:val="en-GB"/>
        </w:rPr>
        <w:t xml:space="preserve"> Before its decision, the </w:t>
      </w:r>
      <w:r w:rsidR="00B67FC8" w:rsidRPr="003915C7">
        <w:rPr>
          <w:lang w:val="en-GB"/>
        </w:rPr>
        <w:t>Board</w:t>
      </w:r>
      <w:r w:rsidR="00E0216D" w:rsidRPr="003915C7">
        <w:rPr>
          <w:lang w:val="en-GB"/>
        </w:rPr>
        <w:t xml:space="preserve"> had updated its background material on Egypt and was therefore aware of the most recent development</w:t>
      </w:r>
      <w:r w:rsidR="00C02623" w:rsidRPr="003915C7">
        <w:rPr>
          <w:lang w:val="en-GB"/>
        </w:rPr>
        <w:t>s</w:t>
      </w:r>
      <w:r w:rsidR="00E0216D" w:rsidRPr="003915C7">
        <w:rPr>
          <w:lang w:val="en-GB"/>
        </w:rPr>
        <w:t xml:space="preserve"> in the country, including the fact that the Muslim Broth</w:t>
      </w:r>
      <w:r w:rsidRPr="003915C7">
        <w:rPr>
          <w:lang w:val="en-GB"/>
        </w:rPr>
        <w:t>erhood lost power in July 2013.</w:t>
      </w:r>
      <w:r w:rsidR="00151470" w:rsidRPr="003915C7">
        <w:rPr>
          <w:rStyle w:val="FootnoteReference"/>
          <w:lang w:val="en-GB"/>
        </w:rPr>
        <w:footnoteReference w:id="10"/>
      </w:r>
      <w:r w:rsidRPr="003915C7">
        <w:rPr>
          <w:lang w:val="en-GB"/>
        </w:rPr>
        <w:t xml:space="preserve"> </w:t>
      </w:r>
    </w:p>
    <w:p w:rsidR="00D027F2" w:rsidRPr="003915C7" w:rsidRDefault="00151470">
      <w:pPr>
        <w:pStyle w:val="SingleTxtG"/>
        <w:rPr>
          <w:lang w:val="en-GB"/>
        </w:rPr>
      </w:pPr>
      <w:r w:rsidRPr="003915C7">
        <w:rPr>
          <w:lang w:val="en-GB"/>
        </w:rPr>
        <w:t>4.5</w:t>
      </w:r>
      <w:r w:rsidRPr="003915C7">
        <w:rPr>
          <w:lang w:val="en-GB"/>
        </w:rPr>
        <w:tab/>
      </w:r>
      <w:r w:rsidR="00E0216D" w:rsidRPr="003915C7">
        <w:rPr>
          <w:lang w:val="en-GB"/>
        </w:rPr>
        <w:t xml:space="preserve">As regards the author’s statement that </w:t>
      </w:r>
      <w:r w:rsidR="00C02623" w:rsidRPr="003915C7">
        <w:rPr>
          <w:lang w:val="en-GB"/>
        </w:rPr>
        <w:t>a</w:t>
      </w:r>
      <w:r w:rsidR="00E0216D" w:rsidRPr="003915C7">
        <w:rPr>
          <w:lang w:val="en-GB"/>
        </w:rPr>
        <w:t xml:space="preserve"> member of Ultras Ahlawy had been killed by the police while another member of the group had been arrested and charged with having participated in the Port Said massacre, the </w:t>
      </w:r>
      <w:r w:rsidRPr="003915C7">
        <w:rPr>
          <w:lang w:val="en-GB"/>
        </w:rPr>
        <w:t xml:space="preserve">State party </w:t>
      </w:r>
      <w:r w:rsidR="00E0216D" w:rsidRPr="003915C7">
        <w:rPr>
          <w:lang w:val="en-GB"/>
        </w:rPr>
        <w:t xml:space="preserve">observes that this information has </w:t>
      </w:r>
      <w:r w:rsidRPr="003915C7">
        <w:rPr>
          <w:lang w:val="en-GB"/>
        </w:rPr>
        <w:t xml:space="preserve">not been supported by evidence. </w:t>
      </w:r>
      <w:r w:rsidR="00E0216D" w:rsidRPr="003915C7">
        <w:rPr>
          <w:lang w:val="en-GB"/>
        </w:rPr>
        <w:t xml:space="preserve">This finding is supported by the author’s own statement that he and the other founders were not well-known figures. </w:t>
      </w:r>
      <w:r w:rsidR="00D027F2" w:rsidRPr="003915C7">
        <w:rPr>
          <w:lang w:val="en-GB"/>
        </w:rPr>
        <w:t>According to the State party, n</w:t>
      </w:r>
      <w:r w:rsidR="00E0216D" w:rsidRPr="003915C7">
        <w:rPr>
          <w:lang w:val="en-GB"/>
        </w:rPr>
        <w:t xml:space="preserve">one of the current background information on Egypt gives any basis for assuming that members of Ultras Ahlawy are generally at any particular risk of being subjected to abuse from the authorities or from supporters of the Muslim Brotherhood. The </w:t>
      </w:r>
      <w:r w:rsidR="00A74283" w:rsidRPr="003915C7">
        <w:rPr>
          <w:lang w:val="en-GB"/>
        </w:rPr>
        <w:t>Board</w:t>
      </w:r>
      <w:r w:rsidR="00E0216D" w:rsidRPr="003915C7">
        <w:rPr>
          <w:lang w:val="en-GB"/>
        </w:rPr>
        <w:t xml:space="preserve"> included all relevant information in its decisions, and the communication has not brought to light any information substantiating that the author will risk persecution or asylum-relevant abuse upon return to Egypt. </w:t>
      </w:r>
      <w:r w:rsidR="00A50E5F" w:rsidRPr="003915C7">
        <w:rPr>
          <w:lang w:val="en-GB"/>
        </w:rPr>
        <w:t xml:space="preserve">The State party </w:t>
      </w:r>
      <w:r w:rsidR="003D342A" w:rsidRPr="003915C7">
        <w:rPr>
          <w:lang w:val="en-GB"/>
        </w:rPr>
        <w:t xml:space="preserve">observes </w:t>
      </w:r>
      <w:r w:rsidR="00A50E5F" w:rsidRPr="003915C7">
        <w:rPr>
          <w:lang w:val="en-GB"/>
        </w:rPr>
        <w:t>that</w:t>
      </w:r>
      <w:r w:rsidR="003D342A" w:rsidRPr="003915C7">
        <w:rPr>
          <w:lang w:val="en-GB"/>
        </w:rPr>
        <w:t>,</w:t>
      </w:r>
      <w:r w:rsidR="00A50E5F" w:rsidRPr="003915C7">
        <w:rPr>
          <w:lang w:val="en-GB"/>
        </w:rPr>
        <w:t xml:space="preserve"> </w:t>
      </w:r>
      <w:r w:rsidR="00F145D4" w:rsidRPr="003915C7">
        <w:rPr>
          <w:lang w:val="en-GB"/>
        </w:rPr>
        <w:t>on 6 January 2014</w:t>
      </w:r>
      <w:r w:rsidR="003D342A" w:rsidRPr="003915C7">
        <w:rPr>
          <w:lang w:val="en-GB"/>
        </w:rPr>
        <w:t>,</w:t>
      </w:r>
      <w:r w:rsidR="00F145D4" w:rsidRPr="003915C7">
        <w:rPr>
          <w:lang w:val="en-GB"/>
        </w:rPr>
        <w:t xml:space="preserve"> the author submitted an </w:t>
      </w:r>
      <w:r w:rsidR="00A50E5F" w:rsidRPr="003915C7">
        <w:rPr>
          <w:lang w:val="en-GB"/>
        </w:rPr>
        <w:t xml:space="preserve">e-mail request </w:t>
      </w:r>
      <w:r w:rsidR="00F145D4" w:rsidRPr="003915C7">
        <w:rPr>
          <w:lang w:val="en-GB"/>
        </w:rPr>
        <w:t xml:space="preserve">that the Board reopen the asylum proceedings. As a reason for his request, the author referred to, </w:t>
      </w:r>
      <w:r w:rsidR="00F145D4" w:rsidRPr="003915C7">
        <w:rPr>
          <w:iCs/>
          <w:lang w:val="en-GB"/>
        </w:rPr>
        <w:t>inter alia</w:t>
      </w:r>
      <w:r w:rsidR="00F145D4" w:rsidRPr="003915C7">
        <w:rPr>
          <w:lang w:val="en-GB"/>
        </w:rPr>
        <w:t>, his fears that, as a co-founder of Ultras Ahlawy, he would be killed or imprisoned by the Egyptian authorities if he returned to Egypt. The author also referred to the fact that his mother had been contacted at her home by the police and the military</w:t>
      </w:r>
      <w:r w:rsidR="003D342A" w:rsidRPr="003915C7">
        <w:rPr>
          <w:lang w:val="en-GB"/>
        </w:rPr>
        <w:t>,</w:t>
      </w:r>
      <w:r w:rsidR="00F145D4" w:rsidRPr="003915C7">
        <w:rPr>
          <w:lang w:val="en-GB"/>
        </w:rPr>
        <w:t xml:space="preserve"> who had asked for the author and searched her home, and presented several general articles and reports from the </w:t>
      </w:r>
      <w:r w:rsidR="003D342A" w:rsidRPr="003915C7">
        <w:rPr>
          <w:lang w:val="en-GB"/>
        </w:rPr>
        <w:t>I</w:t>
      </w:r>
      <w:r w:rsidR="00F145D4" w:rsidRPr="003915C7">
        <w:rPr>
          <w:lang w:val="en-GB"/>
        </w:rPr>
        <w:t xml:space="preserve">nternet </w:t>
      </w:r>
      <w:r w:rsidR="003D342A" w:rsidRPr="003915C7">
        <w:rPr>
          <w:lang w:val="en-GB"/>
        </w:rPr>
        <w:t xml:space="preserve">and </w:t>
      </w:r>
      <w:r w:rsidR="00F145D4" w:rsidRPr="003915C7">
        <w:rPr>
          <w:lang w:val="en-GB"/>
        </w:rPr>
        <w:t>a printout of his Facebook profile</w:t>
      </w:r>
      <w:r w:rsidR="003D342A" w:rsidRPr="003915C7">
        <w:rPr>
          <w:lang w:val="en-GB"/>
        </w:rPr>
        <w:t>,</w:t>
      </w:r>
      <w:r w:rsidR="00F145D4" w:rsidRPr="003915C7">
        <w:rPr>
          <w:lang w:val="en-GB"/>
        </w:rPr>
        <w:t xml:space="preserve"> </w:t>
      </w:r>
      <w:r w:rsidR="003D342A" w:rsidRPr="003915C7">
        <w:rPr>
          <w:lang w:val="en-GB"/>
        </w:rPr>
        <w:t xml:space="preserve">on which </w:t>
      </w:r>
      <w:r w:rsidR="00F145D4" w:rsidRPr="003915C7">
        <w:rPr>
          <w:lang w:val="en-GB"/>
        </w:rPr>
        <w:t xml:space="preserve">he had posted that he would be returned to Egypt on 12 February 2014. </w:t>
      </w:r>
      <w:r w:rsidR="002E141A" w:rsidRPr="003915C7">
        <w:rPr>
          <w:lang w:val="en-GB"/>
        </w:rPr>
        <w:t xml:space="preserve">On </w:t>
      </w:r>
      <w:r w:rsidR="00F145D4" w:rsidRPr="003915C7">
        <w:rPr>
          <w:lang w:val="en-GB"/>
        </w:rPr>
        <w:t>10 February 2014</w:t>
      </w:r>
      <w:r w:rsidR="002E141A" w:rsidRPr="003915C7">
        <w:rPr>
          <w:lang w:val="en-GB"/>
        </w:rPr>
        <w:t xml:space="preserve">, the Board </w:t>
      </w:r>
      <w:r w:rsidR="00F145D4" w:rsidRPr="003915C7">
        <w:rPr>
          <w:lang w:val="en-GB"/>
        </w:rPr>
        <w:t>dismissed the request</w:t>
      </w:r>
      <w:r w:rsidR="002E141A" w:rsidRPr="003915C7">
        <w:rPr>
          <w:lang w:val="en-GB"/>
        </w:rPr>
        <w:t xml:space="preserve"> to reopen the asylum proceedings stating, </w:t>
      </w:r>
      <w:r w:rsidR="002E141A" w:rsidRPr="003915C7">
        <w:rPr>
          <w:iCs/>
          <w:lang w:val="en-GB"/>
        </w:rPr>
        <w:t>inter alia</w:t>
      </w:r>
      <w:r w:rsidR="002E141A" w:rsidRPr="003915C7">
        <w:rPr>
          <w:lang w:val="en-GB"/>
        </w:rPr>
        <w:t>, that it had not found any grounds for reopening the case or extending the time limit for the author’s departure</w:t>
      </w:r>
      <w:r w:rsidR="00F145D4" w:rsidRPr="003915C7">
        <w:rPr>
          <w:lang w:val="en-GB"/>
        </w:rPr>
        <w:t>.</w:t>
      </w:r>
      <w:r w:rsidR="002E141A" w:rsidRPr="003915C7">
        <w:rPr>
          <w:lang w:val="en-GB"/>
        </w:rPr>
        <w:t xml:space="preserve"> The Board took into consideration that no substantial new information or views beyond the information available at the original hearing by the Board had been submitted. The Board thus relied on its decision of 17 December 2013 and observed that the author had not been able either to support by evidence the information about the Egyptian authorities having turned up at his mother’s home or to substantiate why the authorities would visit his mother to look for him. The Board also observed that the author had departed from his country of origin legally on 15 October 2012. The Board </w:t>
      </w:r>
      <w:r w:rsidR="003D342A" w:rsidRPr="003915C7">
        <w:rPr>
          <w:lang w:val="en-GB"/>
        </w:rPr>
        <w:t xml:space="preserve">further </w:t>
      </w:r>
      <w:r w:rsidR="002E141A" w:rsidRPr="003915C7">
        <w:rPr>
          <w:lang w:val="en-GB"/>
        </w:rPr>
        <w:t xml:space="preserve">observed that the general reports and articles produced by the author did not contain information substantiating the allegation that the author was personally persecuted by the authorities or anyone else in his country of origin. Accordingly, the Board found that the author did not meet the conditions for being granted </w:t>
      </w:r>
      <w:r w:rsidR="0005610D" w:rsidRPr="003915C7">
        <w:rPr>
          <w:lang w:val="en-GB"/>
        </w:rPr>
        <w:t>a residence permit under section 7 of the Aliens Act.</w:t>
      </w:r>
      <w:r w:rsidR="001173CF" w:rsidRPr="003915C7">
        <w:rPr>
          <w:lang w:val="en-GB"/>
        </w:rPr>
        <w:t xml:space="preserve"> </w:t>
      </w:r>
    </w:p>
    <w:p w:rsidR="00C773F4" w:rsidRPr="003915C7" w:rsidRDefault="00D027F2">
      <w:pPr>
        <w:pStyle w:val="SingleTxtG"/>
        <w:rPr>
          <w:lang w:val="en-GB"/>
        </w:rPr>
      </w:pPr>
      <w:r w:rsidRPr="003915C7">
        <w:rPr>
          <w:lang w:val="en-GB"/>
        </w:rPr>
        <w:t>4.</w:t>
      </w:r>
      <w:r w:rsidR="00151470" w:rsidRPr="003915C7">
        <w:rPr>
          <w:lang w:val="en-GB"/>
        </w:rPr>
        <w:t>6</w:t>
      </w:r>
      <w:r w:rsidRPr="003915C7">
        <w:rPr>
          <w:lang w:val="en-GB"/>
        </w:rPr>
        <w:tab/>
      </w:r>
      <w:r w:rsidR="00E0216D" w:rsidRPr="003915C7">
        <w:rPr>
          <w:lang w:val="en-GB"/>
        </w:rPr>
        <w:t xml:space="preserve">Concerning article 19, </w:t>
      </w:r>
      <w:r w:rsidRPr="003915C7">
        <w:rPr>
          <w:lang w:val="en-GB"/>
        </w:rPr>
        <w:t xml:space="preserve">the State party considers that </w:t>
      </w:r>
      <w:r w:rsidR="00E0216D" w:rsidRPr="003915C7">
        <w:rPr>
          <w:lang w:val="en-GB"/>
        </w:rPr>
        <w:t>the author’s claim is insufficiently substantiated because he submitted that he had not previously had any conflicts with the Egyptian authorities, and that he had only availed himself of his right to freedom of expression.</w:t>
      </w:r>
      <w:r w:rsidR="00C773F4" w:rsidRPr="003915C7">
        <w:t xml:space="preserve"> </w:t>
      </w:r>
      <w:r w:rsidR="00C773F4" w:rsidRPr="003915C7">
        <w:rPr>
          <w:lang w:val="en-GB"/>
        </w:rPr>
        <w:t xml:space="preserve">The State party further considers that the author’s claim under article 19 is inadmissible as incompatible with the provisions of the Covenant because article 19 does not have extraterritorial application. The author’s allegations of a violation of this provision do not rest on any treatment that he has suffered in Denmark, but rather on consequences that he will allegedly suffer if returned to Egypt. The European Court of Human Rights has clearly stressed the exceptional character of the right of extraterritorial protection contained in the </w:t>
      </w:r>
      <w:r w:rsidR="00176A61" w:rsidRPr="003915C7">
        <w:rPr>
          <w:lang w:val="en-GB"/>
        </w:rPr>
        <w:t>Convention for the Protection of Human Rights and Fundamental Freedoms</w:t>
      </w:r>
      <w:r w:rsidR="00C773F4" w:rsidRPr="003915C7">
        <w:rPr>
          <w:lang w:val="en-GB"/>
        </w:rPr>
        <w:t>.</w:t>
      </w:r>
      <w:r w:rsidR="00C773F4" w:rsidRPr="003915C7">
        <w:rPr>
          <w:rStyle w:val="FootnoteReference"/>
          <w:lang w:val="en-GB"/>
        </w:rPr>
        <w:footnoteReference w:id="11"/>
      </w:r>
      <w:r w:rsidR="00C773F4" w:rsidRPr="003915C7">
        <w:rPr>
          <w:lang w:val="en-GB"/>
        </w:rPr>
        <w:t xml:space="preserve"> </w:t>
      </w:r>
      <w:r w:rsidR="0056473A" w:rsidRPr="003915C7">
        <w:rPr>
          <w:lang w:val="en-GB"/>
        </w:rPr>
        <w:t>The State party in this regard argues that t</w:t>
      </w:r>
      <w:r w:rsidR="00C773F4" w:rsidRPr="003915C7">
        <w:rPr>
          <w:lang w:val="en-GB"/>
        </w:rPr>
        <w:t xml:space="preserve">he Committee has never considered a complaint on its merits regarding the deportation of a person who feared violation of other provisions than articles 6 and 7 of the Covenant in the receiving </w:t>
      </w:r>
      <w:r w:rsidR="00176A61" w:rsidRPr="003915C7">
        <w:rPr>
          <w:lang w:val="en-GB"/>
        </w:rPr>
        <w:t>S</w:t>
      </w:r>
      <w:r w:rsidR="00C773F4" w:rsidRPr="003915C7">
        <w:rPr>
          <w:lang w:val="en-GB"/>
        </w:rPr>
        <w:t xml:space="preserve">tate. </w:t>
      </w:r>
    </w:p>
    <w:p w:rsidR="00491B1C" w:rsidRPr="003915C7" w:rsidRDefault="00C773F4" w:rsidP="00491B1C">
      <w:pPr>
        <w:pStyle w:val="SingleTxtG"/>
        <w:spacing w:after="240"/>
        <w:rPr>
          <w:lang w:val="en-GB"/>
        </w:rPr>
      </w:pPr>
      <w:r w:rsidRPr="003915C7">
        <w:rPr>
          <w:lang w:val="en-GB"/>
        </w:rPr>
        <w:t>4.</w:t>
      </w:r>
      <w:r w:rsidR="0056473A" w:rsidRPr="003915C7">
        <w:rPr>
          <w:lang w:val="en-GB"/>
        </w:rPr>
        <w:t>7</w:t>
      </w:r>
      <w:r w:rsidRPr="003915C7">
        <w:rPr>
          <w:lang w:val="en-GB"/>
        </w:rPr>
        <w:tab/>
        <w:t>For the foregoing reasons, the State party considers that the communication is also without merit.</w:t>
      </w:r>
    </w:p>
    <w:p w:rsidR="007740F1" w:rsidRPr="003915C7" w:rsidRDefault="00784D0F" w:rsidP="008A1525">
      <w:pPr>
        <w:pStyle w:val="H23G"/>
      </w:pPr>
      <w:r w:rsidRPr="003915C7">
        <w:tab/>
      </w:r>
      <w:r w:rsidRPr="003915C7">
        <w:tab/>
      </w:r>
      <w:r w:rsidR="00431396" w:rsidRPr="003915C7">
        <w:t>Author’</w:t>
      </w:r>
      <w:r w:rsidR="00446ABC" w:rsidRPr="003915C7">
        <w:t>s</w:t>
      </w:r>
      <w:r w:rsidR="009A19F8" w:rsidRPr="003915C7">
        <w:t xml:space="preserve"> comments on the State party</w:t>
      </w:r>
      <w:r w:rsidR="001173CF" w:rsidRPr="008A1525">
        <w:t>’</w:t>
      </w:r>
      <w:r w:rsidR="009A19F8" w:rsidRPr="003915C7">
        <w:t>s observations</w:t>
      </w:r>
      <w:r w:rsidR="000A2EE4" w:rsidRPr="003915C7">
        <w:t xml:space="preserve"> </w:t>
      </w:r>
    </w:p>
    <w:p w:rsidR="00795788" w:rsidRPr="003915C7" w:rsidRDefault="009A19F8">
      <w:pPr>
        <w:pStyle w:val="SingleTxtG"/>
        <w:rPr>
          <w:lang w:val="en-GB"/>
        </w:rPr>
      </w:pPr>
      <w:r w:rsidRPr="003915C7">
        <w:rPr>
          <w:bCs/>
        </w:rPr>
        <w:t>5.</w:t>
      </w:r>
      <w:r w:rsidR="008730D5" w:rsidRPr="003915C7">
        <w:rPr>
          <w:bCs/>
          <w:lang w:val="en-GB"/>
        </w:rPr>
        <w:t>1</w:t>
      </w:r>
      <w:r w:rsidRPr="003915C7">
        <w:rPr>
          <w:bCs/>
        </w:rPr>
        <w:tab/>
      </w:r>
      <w:r w:rsidR="000A2EE4" w:rsidRPr="003915C7">
        <w:rPr>
          <w:lang w:val="en-GB"/>
        </w:rPr>
        <w:t xml:space="preserve">On </w:t>
      </w:r>
      <w:r w:rsidR="00795788" w:rsidRPr="003915C7">
        <w:rPr>
          <w:lang w:val="en-GB"/>
        </w:rPr>
        <w:t xml:space="preserve">3 September </w:t>
      </w:r>
      <w:r w:rsidR="009002FE" w:rsidRPr="003915C7">
        <w:rPr>
          <w:lang w:val="en-GB"/>
        </w:rPr>
        <w:t>2014, the author submitted his comments on the State party’s observations</w:t>
      </w:r>
      <w:r w:rsidR="006321A4" w:rsidRPr="003915C7">
        <w:rPr>
          <w:lang w:val="en-GB"/>
        </w:rPr>
        <w:t>. H</w:t>
      </w:r>
      <w:r w:rsidR="00795788" w:rsidRPr="003915C7">
        <w:rPr>
          <w:lang w:val="en-GB"/>
        </w:rPr>
        <w:t xml:space="preserve">e maintains that his claims under articles 1 and 2 of the Covenant are well-substantiated with a vast amount of documentation relating to his activities with </w:t>
      </w:r>
      <w:r w:rsidR="006321A4" w:rsidRPr="003915C7">
        <w:rPr>
          <w:lang w:val="en-GB"/>
        </w:rPr>
        <w:t xml:space="preserve">the </w:t>
      </w:r>
      <w:r w:rsidR="00795788" w:rsidRPr="003915C7">
        <w:rPr>
          <w:lang w:val="en-GB"/>
        </w:rPr>
        <w:t>Ultras Ahlawy</w:t>
      </w:r>
      <w:r w:rsidR="00176A61" w:rsidRPr="003915C7">
        <w:rPr>
          <w:lang w:val="en-GB"/>
        </w:rPr>
        <w:t>,</w:t>
      </w:r>
      <w:r w:rsidR="00795788" w:rsidRPr="003915C7">
        <w:rPr>
          <w:lang w:val="en-GB"/>
        </w:rPr>
        <w:t xml:space="preserve"> both presenting his status and function in the group and the group’s opinions and work. He stresses that</w:t>
      </w:r>
      <w:r w:rsidR="00176A61" w:rsidRPr="003915C7">
        <w:rPr>
          <w:lang w:val="en-GB"/>
        </w:rPr>
        <w:t>,</w:t>
      </w:r>
      <w:r w:rsidR="00795788" w:rsidRPr="003915C7">
        <w:rPr>
          <w:lang w:val="en-GB"/>
        </w:rPr>
        <w:t xml:space="preserve"> although the State party has noted that the author stated he was not a member of any political party or organi</w:t>
      </w:r>
      <w:r w:rsidR="00274F7C" w:rsidRPr="003915C7">
        <w:rPr>
          <w:lang w:val="en-GB"/>
        </w:rPr>
        <w:t>z</w:t>
      </w:r>
      <w:r w:rsidR="00795788" w:rsidRPr="003915C7">
        <w:rPr>
          <w:lang w:val="en-GB"/>
        </w:rPr>
        <w:t>ation, he thereafter pointed out that he is the “brain</w:t>
      </w:r>
      <w:r w:rsidR="00176A61" w:rsidRPr="003915C7">
        <w:rPr>
          <w:lang w:val="en-GB"/>
        </w:rPr>
        <w:t>s</w:t>
      </w:r>
      <w:r w:rsidR="000F0AB6" w:rsidRPr="003915C7">
        <w:rPr>
          <w:lang w:val="en-GB"/>
        </w:rPr>
        <w:t>”</w:t>
      </w:r>
      <w:r w:rsidR="00176A61" w:rsidRPr="003915C7">
        <w:rPr>
          <w:lang w:val="en-GB"/>
        </w:rPr>
        <w:t xml:space="preserve"> </w:t>
      </w:r>
      <w:r w:rsidR="00795788" w:rsidRPr="003915C7">
        <w:rPr>
          <w:lang w:val="en-GB"/>
        </w:rPr>
        <w:t>behind Ultras Ahlawy</w:t>
      </w:r>
      <w:r w:rsidR="00176A61" w:rsidRPr="003915C7">
        <w:rPr>
          <w:lang w:val="en-GB"/>
        </w:rPr>
        <w:t>,</w:t>
      </w:r>
      <w:r w:rsidR="00795788" w:rsidRPr="003915C7">
        <w:rPr>
          <w:lang w:val="en-GB"/>
        </w:rPr>
        <w:t xml:space="preserve"> together with three other friends, and explained how this group developed from focusing </w:t>
      </w:r>
      <w:r w:rsidR="00176A61" w:rsidRPr="003915C7">
        <w:rPr>
          <w:lang w:val="en-GB"/>
        </w:rPr>
        <w:t xml:space="preserve">only </w:t>
      </w:r>
      <w:r w:rsidR="00795788" w:rsidRPr="003915C7">
        <w:rPr>
          <w:lang w:val="en-GB"/>
        </w:rPr>
        <w:t xml:space="preserve">on sport to later </w:t>
      </w:r>
      <w:r w:rsidR="00176A61" w:rsidRPr="003915C7">
        <w:rPr>
          <w:lang w:val="en-GB"/>
        </w:rPr>
        <w:t xml:space="preserve">including </w:t>
      </w:r>
      <w:r w:rsidR="00795788" w:rsidRPr="003915C7">
        <w:rPr>
          <w:lang w:val="en-GB"/>
        </w:rPr>
        <w:t>participation in political activities. The author argues that the State party does not understand how a group that was initially cultural could later become political without affiliating itself wi</w:t>
      </w:r>
      <w:r w:rsidR="0062645D" w:rsidRPr="003915C7">
        <w:rPr>
          <w:lang w:val="en-GB"/>
        </w:rPr>
        <w:t>th any political organi</w:t>
      </w:r>
      <w:r w:rsidR="00274F7C" w:rsidRPr="003915C7">
        <w:rPr>
          <w:lang w:val="en-GB"/>
        </w:rPr>
        <w:t>z</w:t>
      </w:r>
      <w:r w:rsidR="0062645D" w:rsidRPr="003915C7">
        <w:rPr>
          <w:lang w:val="en-GB"/>
        </w:rPr>
        <w:t xml:space="preserve">ations. </w:t>
      </w:r>
      <w:r w:rsidR="00D44984" w:rsidRPr="003915C7">
        <w:rPr>
          <w:lang w:val="en-GB"/>
        </w:rPr>
        <w:t xml:space="preserve">He </w:t>
      </w:r>
      <w:r w:rsidR="00795788" w:rsidRPr="003915C7">
        <w:rPr>
          <w:lang w:val="en-GB"/>
        </w:rPr>
        <w:t xml:space="preserve">maintains that Ultras Ahlawy is mainly a sport fan club, but that it also fights against corruption and stands for freedom of speech, which are typical political views. It is these political views, together with the group’s power of gathering thousands of people, that makes </w:t>
      </w:r>
      <w:r w:rsidR="00176A61" w:rsidRPr="003915C7">
        <w:rPr>
          <w:lang w:val="en-GB"/>
        </w:rPr>
        <w:t>it</w:t>
      </w:r>
      <w:r w:rsidR="00795788" w:rsidRPr="003915C7">
        <w:rPr>
          <w:lang w:val="en-GB"/>
        </w:rPr>
        <w:t xml:space="preserve"> unwanted and hunted by both the Egyptian authorities and the opposition (the Muslim Brotherhood)</w:t>
      </w:r>
      <w:r w:rsidR="00C02623" w:rsidRPr="003915C7">
        <w:rPr>
          <w:lang w:val="en-GB"/>
        </w:rPr>
        <w:t>.</w:t>
      </w:r>
      <w:r w:rsidR="00795788" w:rsidRPr="003915C7">
        <w:rPr>
          <w:lang w:val="en-GB"/>
        </w:rPr>
        <w:t xml:space="preserve"> The author asserts that he </w:t>
      </w:r>
      <w:r w:rsidR="00176A61" w:rsidRPr="003915C7">
        <w:rPr>
          <w:lang w:val="en-GB"/>
        </w:rPr>
        <w:t xml:space="preserve">is unable either to </w:t>
      </w:r>
      <w:r w:rsidR="00795788" w:rsidRPr="003915C7">
        <w:rPr>
          <w:lang w:val="en-GB"/>
        </w:rPr>
        <w:t xml:space="preserve">seek protection anywhere in Egypt, </w:t>
      </w:r>
      <w:r w:rsidR="00176A61" w:rsidRPr="003915C7">
        <w:rPr>
          <w:lang w:val="en-GB"/>
        </w:rPr>
        <w:t xml:space="preserve">or to </w:t>
      </w:r>
      <w:r w:rsidR="00795788" w:rsidRPr="003915C7">
        <w:rPr>
          <w:lang w:val="en-GB"/>
        </w:rPr>
        <w:t xml:space="preserve">freely determine his political status or </w:t>
      </w:r>
      <w:r w:rsidR="00176A61" w:rsidRPr="003915C7">
        <w:rPr>
          <w:lang w:val="en-GB"/>
        </w:rPr>
        <w:t xml:space="preserve">to </w:t>
      </w:r>
      <w:r w:rsidR="00795788" w:rsidRPr="003915C7">
        <w:rPr>
          <w:lang w:val="en-GB"/>
        </w:rPr>
        <w:t>freely pursue the social and cultural development of Ultras Ahlawy in Egypt without risking persecution.</w:t>
      </w:r>
      <w:r w:rsidR="00994E66" w:rsidRPr="003915C7">
        <w:rPr>
          <w:lang w:val="en-GB"/>
        </w:rPr>
        <w:t xml:space="preserve"> </w:t>
      </w:r>
    </w:p>
    <w:p w:rsidR="00CB4608" w:rsidRPr="003915C7" w:rsidRDefault="00FA6B7C">
      <w:pPr>
        <w:pStyle w:val="SingleTxtG"/>
        <w:rPr>
          <w:lang w:val="en-GB"/>
        </w:rPr>
      </w:pPr>
      <w:r w:rsidRPr="003915C7">
        <w:rPr>
          <w:lang w:val="en-GB"/>
        </w:rPr>
        <w:t>5.</w:t>
      </w:r>
      <w:r w:rsidR="00D747CE" w:rsidRPr="003915C7">
        <w:rPr>
          <w:lang w:val="en-GB"/>
        </w:rPr>
        <w:t>2</w:t>
      </w:r>
      <w:r w:rsidRPr="003915C7">
        <w:rPr>
          <w:lang w:val="en-GB"/>
        </w:rPr>
        <w:tab/>
        <w:t>With regard to his claims under articles 7 and 9</w:t>
      </w:r>
      <w:r w:rsidR="00D44984" w:rsidRPr="003915C7">
        <w:rPr>
          <w:lang w:val="en-GB"/>
        </w:rPr>
        <w:t xml:space="preserve"> of the Covenant</w:t>
      </w:r>
      <w:r w:rsidRPr="003915C7">
        <w:rPr>
          <w:lang w:val="en-GB"/>
        </w:rPr>
        <w:t xml:space="preserve">, the author asserts that he presented evidence to substantiate </w:t>
      </w:r>
      <w:r w:rsidR="00D44984" w:rsidRPr="003915C7">
        <w:rPr>
          <w:lang w:val="en-GB"/>
        </w:rPr>
        <w:t>his</w:t>
      </w:r>
      <w:r w:rsidRPr="003915C7">
        <w:rPr>
          <w:lang w:val="en-GB"/>
        </w:rPr>
        <w:t xml:space="preserve"> </w:t>
      </w:r>
      <w:r w:rsidR="00D44984" w:rsidRPr="003915C7">
        <w:rPr>
          <w:lang w:val="en-GB"/>
        </w:rPr>
        <w:t>allegations</w:t>
      </w:r>
      <w:r w:rsidR="00176A61" w:rsidRPr="003915C7">
        <w:rPr>
          <w:lang w:val="en-GB"/>
        </w:rPr>
        <w:t>,</w:t>
      </w:r>
      <w:r w:rsidRPr="003915C7">
        <w:rPr>
          <w:lang w:val="en-GB"/>
        </w:rPr>
        <w:t xml:space="preserve"> </w:t>
      </w:r>
      <w:r w:rsidR="00176A61" w:rsidRPr="003915C7">
        <w:rPr>
          <w:lang w:val="en-GB"/>
        </w:rPr>
        <w:t xml:space="preserve">namely, </w:t>
      </w:r>
      <w:r w:rsidRPr="003915C7">
        <w:rPr>
          <w:lang w:val="en-GB"/>
        </w:rPr>
        <w:t xml:space="preserve">a threatening letter sent to his mother’s house, pictures of Egyptians who </w:t>
      </w:r>
      <w:r w:rsidR="00176A61" w:rsidRPr="003915C7">
        <w:rPr>
          <w:lang w:val="en-GB"/>
        </w:rPr>
        <w:t xml:space="preserve">had </w:t>
      </w:r>
      <w:r w:rsidRPr="003915C7">
        <w:rPr>
          <w:lang w:val="en-GB"/>
        </w:rPr>
        <w:t xml:space="preserve">been killed and tortured and who </w:t>
      </w:r>
      <w:r w:rsidR="00176A61" w:rsidRPr="003915C7">
        <w:rPr>
          <w:lang w:val="en-GB"/>
        </w:rPr>
        <w:t xml:space="preserve">had </w:t>
      </w:r>
      <w:r w:rsidR="00CB4608" w:rsidRPr="003915C7">
        <w:rPr>
          <w:lang w:val="en-GB"/>
        </w:rPr>
        <w:t xml:space="preserve">been similarly active political opponents, </w:t>
      </w:r>
      <w:r w:rsidRPr="003915C7">
        <w:rPr>
          <w:lang w:val="en-GB"/>
        </w:rPr>
        <w:t xml:space="preserve">and various articles explaining how the current regime enacts laws giving </w:t>
      </w:r>
      <w:r w:rsidR="00176A61" w:rsidRPr="003915C7">
        <w:rPr>
          <w:lang w:val="en-GB"/>
        </w:rPr>
        <w:t xml:space="preserve">it </w:t>
      </w:r>
      <w:r w:rsidRPr="003915C7">
        <w:rPr>
          <w:lang w:val="en-GB"/>
        </w:rPr>
        <w:t xml:space="preserve">the power to control social media for Ultras Ahlawy. </w:t>
      </w:r>
      <w:r w:rsidR="00152045" w:rsidRPr="003915C7">
        <w:rPr>
          <w:lang w:val="en-GB"/>
        </w:rPr>
        <w:t xml:space="preserve">The author reiterates </w:t>
      </w:r>
      <w:r w:rsidRPr="003915C7">
        <w:rPr>
          <w:lang w:val="en-GB"/>
        </w:rPr>
        <w:t xml:space="preserve">that the authorities have searched his mother’s house several times after he was ordered to return to Egypt. </w:t>
      </w:r>
      <w:r w:rsidR="00152045" w:rsidRPr="003915C7">
        <w:rPr>
          <w:lang w:val="en-GB"/>
        </w:rPr>
        <w:t xml:space="preserve">He </w:t>
      </w:r>
      <w:r w:rsidRPr="003915C7">
        <w:rPr>
          <w:lang w:val="en-GB"/>
        </w:rPr>
        <w:t>adds that</w:t>
      </w:r>
      <w:r w:rsidR="00176A61" w:rsidRPr="003915C7">
        <w:rPr>
          <w:lang w:val="en-GB"/>
        </w:rPr>
        <w:t>,</w:t>
      </w:r>
      <w:r w:rsidRPr="003915C7">
        <w:rPr>
          <w:lang w:val="en-GB"/>
        </w:rPr>
        <w:t xml:space="preserve"> although the State party claims that the </w:t>
      </w:r>
      <w:r w:rsidR="007A2130" w:rsidRPr="003915C7">
        <w:rPr>
          <w:lang w:val="en-GB"/>
        </w:rPr>
        <w:t xml:space="preserve">Danish Refugee Appeals </w:t>
      </w:r>
      <w:r w:rsidRPr="003915C7">
        <w:rPr>
          <w:lang w:val="en-GB"/>
        </w:rPr>
        <w:t>B</w:t>
      </w:r>
      <w:r w:rsidR="00D06F74" w:rsidRPr="003915C7">
        <w:rPr>
          <w:lang w:val="en-GB"/>
        </w:rPr>
        <w:t>oard</w:t>
      </w:r>
      <w:r w:rsidRPr="003915C7">
        <w:rPr>
          <w:lang w:val="en-GB"/>
        </w:rPr>
        <w:t xml:space="preserve"> is better placed to assess the factual circumstances of his case, it does not explain why the B</w:t>
      </w:r>
      <w:r w:rsidR="00D06F74" w:rsidRPr="003915C7">
        <w:rPr>
          <w:lang w:val="en-GB"/>
        </w:rPr>
        <w:t>oard</w:t>
      </w:r>
      <w:r w:rsidRPr="003915C7">
        <w:rPr>
          <w:lang w:val="en-GB"/>
        </w:rPr>
        <w:t>’s background material on Egypt</w:t>
      </w:r>
      <w:r w:rsidR="00176A61" w:rsidRPr="003915C7">
        <w:rPr>
          <w:lang w:val="en-GB"/>
        </w:rPr>
        <w:t>,</w:t>
      </w:r>
      <w:r w:rsidRPr="003915C7">
        <w:rPr>
          <w:lang w:val="en-GB"/>
        </w:rPr>
        <w:t xml:space="preserve"> </w:t>
      </w:r>
      <w:r w:rsidR="00176A61" w:rsidRPr="003915C7">
        <w:rPr>
          <w:lang w:val="en-GB"/>
        </w:rPr>
        <w:t xml:space="preserve">namely, </w:t>
      </w:r>
      <w:r w:rsidR="00127619" w:rsidRPr="003915C7">
        <w:rPr>
          <w:lang w:val="en-GB"/>
        </w:rPr>
        <w:t xml:space="preserve">the database </w:t>
      </w:r>
      <w:r w:rsidR="00176A61" w:rsidRPr="003915C7">
        <w:rPr>
          <w:lang w:val="en-GB"/>
        </w:rPr>
        <w:t xml:space="preserve">on </w:t>
      </w:r>
      <w:r w:rsidR="00127619" w:rsidRPr="003915C7">
        <w:rPr>
          <w:lang w:val="en-GB"/>
        </w:rPr>
        <w:t>G</w:t>
      </w:r>
      <w:r w:rsidR="0062645D" w:rsidRPr="003915C7">
        <w:rPr>
          <w:lang w:val="en-GB"/>
        </w:rPr>
        <w:t>roup II countries</w:t>
      </w:r>
      <w:r w:rsidR="00C07DD8" w:rsidRPr="003915C7">
        <w:rPr>
          <w:lang w:val="en-GB"/>
        </w:rPr>
        <w:t xml:space="preserve">, </w:t>
      </w:r>
      <w:r w:rsidRPr="003915C7">
        <w:rPr>
          <w:lang w:val="en-GB"/>
        </w:rPr>
        <w:t xml:space="preserve">was still not updated in January 2014. </w:t>
      </w:r>
      <w:r w:rsidR="00152045" w:rsidRPr="003915C7">
        <w:rPr>
          <w:lang w:val="en-GB"/>
        </w:rPr>
        <w:t xml:space="preserve">He </w:t>
      </w:r>
      <w:r w:rsidRPr="003915C7">
        <w:rPr>
          <w:lang w:val="en-GB"/>
        </w:rPr>
        <w:t>maintains that the B</w:t>
      </w:r>
      <w:r w:rsidR="00D06F74" w:rsidRPr="003915C7">
        <w:rPr>
          <w:lang w:val="en-GB"/>
        </w:rPr>
        <w:t>oard</w:t>
      </w:r>
      <w:r w:rsidR="00EF5AED" w:rsidRPr="003915C7">
        <w:rPr>
          <w:lang w:val="en-GB"/>
        </w:rPr>
        <w:t>’s</w:t>
      </w:r>
      <w:r w:rsidRPr="003915C7">
        <w:rPr>
          <w:lang w:val="en-GB"/>
        </w:rPr>
        <w:t xml:space="preserve"> background material available online today, which is updated, supports his claims. </w:t>
      </w:r>
      <w:r w:rsidR="00235021" w:rsidRPr="003915C7">
        <w:rPr>
          <w:lang w:val="en-GB"/>
        </w:rPr>
        <w:t xml:space="preserve">He </w:t>
      </w:r>
      <w:r w:rsidRPr="003915C7">
        <w:rPr>
          <w:lang w:val="en-GB"/>
        </w:rPr>
        <w:t>argues that the 2014 Freedom House Report and the 2014 Human Rights Watch World Report on Egypt both clearly indicate that there is widespread torture and inhuman</w:t>
      </w:r>
      <w:r w:rsidR="00127619" w:rsidRPr="003915C7">
        <w:rPr>
          <w:lang w:val="en-GB"/>
        </w:rPr>
        <w:t xml:space="preserve">e treatment </w:t>
      </w:r>
      <w:r w:rsidRPr="003915C7">
        <w:rPr>
          <w:lang w:val="en-GB"/>
        </w:rPr>
        <w:t xml:space="preserve">in Egypt, and that there are clashes between different political groups and the current regime. In </w:t>
      </w:r>
      <w:r w:rsidR="00235021" w:rsidRPr="003915C7">
        <w:rPr>
          <w:lang w:val="en-GB"/>
        </w:rPr>
        <w:t xml:space="preserve">the </w:t>
      </w:r>
      <w:r w:rsidRPr="003915C7">
        <w:rPr>
          <w:lang w:val="en-GB"/>
        </w:rPr>
        <w:t>view of the author, the B</w:t>
      </w:r>
      <w:r w:rsidR="00235021" w:rsidRPr="003915C7">
        <w:rPr>
          <w:lang w:val="en-GB"/>
        </w:rPr>
        <w:t>oard’s</w:t>
      </w:r>
      <w:r w:rsidRPr="003915C7">
        <w:rPr>
          <w:lang w:val="en-GB"/>
        </w:rPr>
        <w:t xml:space="preserve"> database contain</w:t>
      </w:r>
      <w:r w:rsidR="00235021" w:rsidRPr="003915C7">
        <w:rPr>
          <w:lang w:val="en-GB"/>
        </w:rPr>
        <w:t>s no</w:t>
      </w:r>
      <w:r w:rsidRPr="003915C7">
        <w:rPr>
          <w:lang w:val="en-GB"/>
        </w:rPr>
        <w:t xml:space="preserve"> information about </w:t>
      </w:r>
      <w:r w:rsidR="00235021" w:rsidRPr="003915C7">
        <w:rPr>
          <w:lang w:val="en-GB"/>
        </w:rPr>
        <w:t xml:space="preserve">the </w:t>
      </w:r>
      <w:r w:rsidRPr="003915C7">
        <w:rPr>
          <w:lang w:val="en-GB"/>
        </w:rPr>
        <w:t xml:space="preserve">Ultras Ahlawy. Since individuals who occupied the same or lower hierarchical positions in Ultras Ahlawy have been kidnapped, tortured or killed, the author asserts that he risks </w:t>
      </w:r>
      <w:r w:rsidR="008C7622" w:rsidRPr="003915C7">
        <w:rPr>
          <w:lang w:val="en-GB"/>
        </w:rPr>
        <w:t xml:space="preserve">similar </w:t>
      </w:r>
      <w:r w:rsidRPr="003915C7">
        <w:rPr>
          <w:lang w:val="en-GB"/>
        </w:rPr>
        <w:t>fate if returned to Egypt.</w:t>
      </w:r>
    </w:p>
    <w:p w:rsidR="00FA6B7C" w:rsidRPr="003915C7" w:rsidRDefault="00FA6B7C" w:rsidP="00FA6B7C">
      <w:pPr>
        <w:pStyle w:val="SingleTxtG"/>
        <w:rPr>
          <w:lang w:val="en-GB"/>
        </w:rPr>
      </w:pPr>
      <w:r w:rsidRPr="003915C7">
        <w:rPr>
          <w:lang w:val="en-GB"/>
        </w:rPr>
        <w:t>5.</w:t>
      </w:r>
      <w:r w:rsidR="00463A2A" w:rsidRPr="003915C7">
        <w:rPr>
          <w:lang w:val="en-GB"/>
        </w:rPr>
        <w:t>3</w:t>
      </w:r>
      <w:r w:rsidRPr="003915C7">
        <w:rPr>
          <w:lang w:val="en-GB"/>
        </w:rPr>
        <w:tab/>
        <w:t>Regarding his claim under article 19</w:t>
      </w:r>
      <w:r w:rsidR="008C7622" w:rsidRPr="003915C7">
        <w:rPr>
          <w:lang w:val="en-GB"/>
        </w:rPr>
        <w:t xml:space="preserve"> of the Covenant</w:t>
      </w:r>
      <w:r w:rsidRPr="003915C7">
        <w:rPr>
          <w:lang w:val="en-GB"/>
        </w:rPr>
        <w:t>, the author considers that</w:t>
      </w:r>
      <w:r w:rsidR="00176A61" w:rsidRPr="003915C7">
        <w:rPr>
          <w:lang w:val="en-GB"/>
        </w:rPr>
        <w:t>,</w:t>
      </w:r>
      <w:r w:rsidRPr="003915C7">
        <w:rPr>
          <w:lang w:val="en-GB"/>
        </w:rPr>
        <w:t xml:space="preserve"> because the Egyptian </w:t>
      </w:r>
      <w:r w:rsidR="00152045" w:rsidRPr="003915C7">
        <w:rPr>
          <w:lang w:val="en-GB"/>
        </w:rPr>
        <w:t xml:space="preserve">authorities </w:t>
      </w:r>
      <w:r w:rsidRPr="003915C7">
        <w:rPr>
          <w:lang w:val="en-GB"/>
        </w:rPr>
        <w:t>h</w:t>
      </w:r>
      <w:r w:rsidR="00152045" w:rsidRPr="003915C7">
        <w:rPr>
          <w:lang w:val="en-GB"/>
        </w:rPr>
        <w:t>ave</w:t>
      </w:r>
      <w:r w:rsidRPr="003915C7">
        <w:rPr>
          <w:lang w:val="en-GB"/>
        </w:rPr>
        <w:t xml:space="preserve"> recently enacted laws limiting freedom of expression, they are able to arrest anyone who is politically against the regime</w:t>
      </w:r>
      <w:r w:rsidR="00152045" w:rsidRPr="003915C7">
        <w:rPr>
          <w:lang w:val="en-GB"/>
        </w:rPr>
        <w:t xml:space="preserve"> and thus he may risk persecution on these grounds</w:t>
      </w:r>
      <w:r w:rsidRPr="003915C7">
        <w:rPr>
          <w:lang w:val="en-GB"/>
        </w:rPr>
        <w:t xml:space="preserve">. </w:t>
      </w:r>
    </w:p>
    <w:p w:rsidR="00FA6B7C" w:rsidRPr="003915C7" w:rsidRDefault="00FA6B7C">
      <w:pPr>
        <w:pStyle w:val="SingleTxtG"/>
        <w:rPr>
          <w:lang w:val="en-GB"/>
        </w:rPr>
      </w:pPr>
      <w:r w:rsidRPr="003915C7">
        <w:rPr>
          <w:lang w:val="en-GB"/>
        </w:rPr>
        <w:t>5.</w:t>
      </w:r>
      <w:r w:rsidR="00463A2A" w:rsidRPr="003915C7">
        <w:rPr>
          <w:lang w:val="en-GB"/>
        </w:rPr>
        <w:t>4</w:t>
      </w:r>
      <w:r w:rsidRPr="003915C7">
        <w:rPr>
          <w:lang w:val="en-GB"/>
        </w:rPr>
        <w:tab/>
        <w:t xml:space="preserve">The author presents new evidence in the form of an Arabic-language online video purporting to depict Ahmed Abdelaziz Shobeir, former </w:t>
      </w:r>
      <w:r w:rsidR="001B11A6" w:rsidRPr="003915C7">
        <w:rPr>
          <w:lang w:val="en-GB"/>
        </w:rPr>
        <w:t>V</w:t>
      </w:r>
      <w:r w:rsidRPr="003915C7">
        <w:rPr>
          <w:lang w:val="en-GB"/>
        </w:rPr>
        <w:t>ice-</w:t>
      </w:r>
      <w:r w:rsidR="001B11A6" w:rsidRPr="003915C7">
        <w:rPr>
          <w:lang w:val="en-GB"/>
        </w:rPr>
        <w:t>P</w:t>
      </w:r>
      <w:r w:rsidRPr="003915C7">
        <w:rPr>
          <w:lang w:val="en-GB"/>
        </w:rPr>
        <w:t>resident of the Egyptian Football Association.</w:t>
      </w:r>
      <w:r w:rsidR="00E66A0C" w:rsidRPr="003915C7">
        <w:rPr>
          <w:rStyle w:val="FootnoteReference"/>
          <w:lang w:val="en-GB"/>
        </w:rPr>
        <w:footnoteReference w:id="12"/>
      </w:r>
      <w:r w:rsidRPr="003915C7">
        <w:rPr>
          <w:lang w:val="en-GB"/>
        </w:rPr>
        <w:t xml:space="preserve"> The author asserts that Mr. Shobeir has high-level political connections and that he stated on 21 February 2014</w:t>
      </w:r>
      <w:r w:rsidR="008C7622" w:rsidRPr="003915C7">
        <w:rPr>
          <w:lang w:val="en-GB"/>
        </w:rPr>
        <w:t xml:space="preserve"> that </w:t>
      </w:r>
      <w:r w:rsidRPr="003915C7">
        <w:rPr>
          <w:lang w:val="en-GB"/>
        </w:rPr>
        <w:t>“Captain Ahmad Shobeir swears to God multiple times that Ultras Ahlawy is a terrorist group”</w:t>
      </w:r>
      <w:r w:rsidR="008C7622" w:rsidRPr="003915C7">
        <w:rPr>
          <w:lang w:val="en-GB"/>
        </w:rPr>
        <w:t>.</w:t>
      </w:r>
      <w:r w:rsidRPr="003915C7">
        <w:rPr>
          <w:lang w:val="en-GB"/>
        </w:rPr>
        <w:t xml:space="preserve"> The author provides a detailed description of the contents of the video in English, alleging that Mr. Shobeir states that Ultras Ahlawy should be banned, that it was an ally in terrorism with the Muslim Brotherhood and that the </w:t>
      </w:r>
      <w:r w:rsidR="00274F7C" w:rsidRPr="003915C7">
        <w:rPr>
          <w:lang w:val="en-GB"/>
        </w:rPr>
        <w:t>G</w:t>
      </w:r>
      <w:r w:rsidRPr="003915C7">
        <w:rPr>
          <w:lang w:val="en-GB"/>
        </w:rPr>
        <w:t xml:space="preserve">overnment </w:t>
      </w:r>
      <w:r w:rsidR="00274F7C" w:rsidRPr="003915C7">
        <w:rPr>
          <w:lang w:val="en-GB"/>
        </w:rPr>
        <w:t xml:space="preserve">of Egypt </w:t>
      </w:r>
      <w:r w:rsidRPr="003915C7">
        <w:rPr>
          <w:lang w:val="en-GB"/>
        </w:rPr>
        <w:t>should stop Ultras Ahlawy.</w:t>
      </w:r>
    </w:p>
    <w:p w:rsidR="00795788" w:rsidRPr="003915C7" w:rsidRDefault="00FA6B7C">
      <w:pPr>
        <w:pStyle w:val="SingleTxtG"/>
        <w:spacing w:after="240"/>
        <w:rPr>
          <w:lang w:val="en-GB"/>
        </w:rPr>
      </w:pPr>
      <w:r w:rsidRPr="003915C7">
        <w:rPr>
          <w:lang w:val="en-GB"/>
        </w:rPr>
        <w:t>5.</w:t>
      </w:r>
      <w:r w:rsidR="00463A2A" w:rsidRPr="003915C7">
        <w:rPr>
          <w:lang w:val="en-GB"/>
        </w:rPr>
        <w:t>5</w:t>
      </w:r>
      <w:r w:rsidRPr="003915C7">
        <w:rPr>
          <w:lang w:val="en-GB"/>
        </w:rPr>
        <w:tab/>
        <w:t>The author asserts that he had interpretation problems during “the interview”.</w:t>
      </w:r>
      <w:r w:rsidR="00B52C14" w:rsidRPr="003915C7">
        <w:rPr>
          <w:rStyle w:val="FootnoteReference"/>
          <w:lang w:val="en-GB"/>
        </w:rPr>
        <w:footnoteReference w:id="13"/>
      </w:r>
      <w:r w:rsidR="00994E66" w:rsidRPr="003915C7">
        <w:rPr>
          <w:lang w:val="en-GB"/>
        </w:rPr>
        <w:t xml:space="preserve"> </w:t>
      </w:r>
      <w:r w:rsidRPr="003915C7">
        <w:rPr>
          <w:lang w:val="en-GB"/>
        </w:rPr>
        <w:t>He states that the interpreter was unable to properly translate computer</w:t>
      </w:r>
      <w:r w:rsidR="00274F7C" w:rsidRPr="003915C7">
        <w:rPr>
          <w:lang w:val="en-GB"/>
        </w:rPr>
        <w:t>-</w:t>
      </w:r>
      <w:r w:rsidRPr="003915C7">
        <w:rPr>
          <w:lang w:val="en-GB"/>
        </w:rPr>
        <w:t>related issues and was therefore unable to convey the author’s explanation about how he knows with certainty that the Egyptian authorities have tried to hack Ultras Ahlawy’s Facebook page and shut down the webpage. He asserts that his argument was based on computer science knowledge and was not translated by the interpreter. The author further maintains that</w:t>
      </w:r>
      <w:r w:rsidR="00905825" w:rsidRPr="003915C7">
        <w:rPr>
          <w:lang w:val="en-GB"/>
        </w:rPr>
        <w:t>,</w:t>
      </w:r>
      <w:r w:rsidRPr="003915C7">
        <w:rPr>
          <w:lang w:val="en-GB"/>
        </w:rPr>
        <w:t xml:space="preserve"> contrary to the State party’s assertion, he never stated that the purpose of Ultras Ahlawy was to support Hamdeen Sabahi’s party, Al-Karama. Finally, he argues that he was not allowed to present his evidence as he had planned at any of his interviews with the Danish </w:t>
      </w:r>
      <w:r w:rsidR="008C7622" w:rsidRPr="003915C7">
        <w:rPr>
          <w:lang w:val="en-GB"/>
        </w:rPr>
        <w:t>authorities</w:t>
      </w:r>
      <w:r w:rsidRPr="003915C7">
        <w:rPr>
          <w:lang w:val="en-GB"/>
        </w:rPr>
        <w:t>, although he was very well</w:t>
      </w:r>
      <w:r w:rsidR="00905825" w:rsidRPr="003915C7">
        <w:rPr>
          <w:lang w:val="en-GB"/>
        </w:rPr>
        <w:t xml:space="preserve"> </w:t>
      </w:r>
      <w:r w:rsidRPr="003915C7">
        <w:rPr>
          <w:lang w:val="en-GB"/>
        </w:rPr>
        <w:t>prepared.</w:t>
      </w:r>
    </w:p>
    <w:p w:rsidR="00286B36" w:rsidRPr="003915C7" w:rsidRDefault="007B2AA3" w:rsidP="008A1525">
      <w:pPr>
        <w:pStyle w:val="H23G"/>
      </w:pPr>
      <w:r w:rsidRPr="003915C7">
        <w:tab/>
      </w:r>
      <w:r w:rsidRPr="003915C7">
        <w:tab/>
      </w:r>
      <w:r w:rsidR="00286B36" w:rsidRPr="003915C7">
        <w:t>State party’s additional observations</w:t>
      </w:r>
    </w:p>
    <w:p w:rsidR="00286B36" w:rsidRPr="003915C7" w:rsidRDefault="00286B36" w:rsidP="008A1525">
      <w:pPr>
        <w:pStyle w:val="SingleTxtG"/>
      </w:pPr>
      <w:r w:rsidRPr="003915C7">
        <w:t>6.1</w:t>
      </w:r>
      <w:r w:rsidRPr="003915C7">
        <w:tab/>
        <w:t xml:space="preserve">On 30 June 2015, the State party submitted additional observations, in which it reiterated its main observations on the admissibility and merits of the communication of 6 August 2014. The State party maintains that the author has failed to establish a </w:t>
      </w:r>
      <w:r w:rsidRPr="003915C7">
        <w:rPr>
          <w:i/>
        </w:rPr>
        <w:t>prima facie</w:t>
      </w:r>
      <w:r w:rsidRPr="003915C7">
        <w:t xml:space="preserve"> case for the purpose of admissibility of his communication under articles 1, 2, 7, 9 and 19 of the Covenant, and that the communication is therefore manifestly unfounded and should be considered inadmissible. Furthermore, the State party maintains that the part of the communication referring to article 19 should be rejected as inadmissible </w:t>
      </w:r>
      <w:r w:rsidRPr="003915C7">
        <w:rPr>
          <w:i/>
          <w:iCs/>
        </w:rPr>
        <w:t xml:space="preserve">ratione loci </w:t>
      </w:r>
      <w:r w:rsidRPr="003915C7">
        <w:t xml:space="preserve">and </w:t>
      </w:r>
      <w:r w:rsidRPr="003915C7">
        <w:rPr>
          <w:i/>
          <w:iCs/>
        </w:rPr>
        <w:t>ratione materiae</w:t>
      </w:r>
      <w:r w:rsidRPr="003915C7">
        <w:rPr>
          <w:iCs/>
        </w:rPr>
        <w:t xml:space="preserve">, pursuant to article 2 of the Optional Protocol to the Covenant. The State party also submits </w:t>
      </w:r>
      <w:r w:rsidRPr="003915C7">
        <w:t xml:space="preserve">that, in case the Committee were to find the communication admissible, it had not been established that there were substantial grounds for believing that the return of the author to Egypt would constitute a violation of articles 1, 2, 7, 9 and 19 of the Covenant. </w:t>
      </w:r>
    </w:p>
    <w:p w:rsidR="00286B36" w:rsidRPr="003915C7" w:rsidRDefault="00286B36" w:rsidP="008A1525">
      <w:pPr>
        <w:pStyle w:val="SingleTxtG"/>
      </w:pPr>
      <w:r w:rsidRPr="003915C7">
        <w:t xml:space="preserve">6.2 </w:t>
      </w:r>
      <w:r w:rsidRPr="003915C7">
        <w:tab/>
        <w:t xml:space="preserve">In </w:t>
      </w:r>
      <w:r w:rsidR="003C389B" w:rsidRPr="003915C7">
        <w:rPr>
          <w:lang w:val="en-US"/>
        </w:rPr>
        <w:t xml:space="preserve">its </w:t>
      </w:r>
      <w:r w:rsidRPr="003915C7">
        <w:t xml:space="preserve">observations, the State party responds to the author’s comments of 3 September 2014 and adds that the author has maintained that article 1 of the Covenant would be violated if the author is returned to Egypt as </w:t>
      </w:r>
      <w:r w:rsidR="003C389B" w:rsidRPr="008A1525">
        <w:rPr>
          <w:lang w:val="en-GB"/>
        </w:rPr>
        <w:t xml:space="preserve">he is unable either to </w:t>
      </w:r>
      <w:r w:rsidRPr="003915C7">
        <w:t xml:space="preserve">seek protection from any parts in Egypt, </w:t>
      </w:r>
      <w:r w:rsidR="003C389B" w:rsidRPr="003915C7">
        <w:rPr>
          <w:lang w:val="en-US"/>
        </w:rPr>
        <w:t xml:space="preserve">or to </w:t>
      </w:r>
      <w:r w:rsidRPr="003915C7">
        <w:t xml:space="preserve">freely determine his political status or </w:t>
      </w:r>
      <w:r w:rsidR="003C389B" w:rsidRPr="003915C7">
        <w:rPr>
          <w:lang w:val="en-US"/>
        </w:rPr>
        <w:t xml:space="preserve">to </w:t>
      </w:r>
      <w:r w:rsidRPr="003915C7">
        <w:t xml:space="preserve">freely pursue his social and cultural development of Ultras Ahlawy in Egypt without risking persecution, torture </w:t>
      </w:r>
      <w:r w:rsidR="00084428" w:rsidRPr="003915C7">
        <w:t>and/</w:t>
      </w:r>
      <w:r w:rsidRPr="003915C7">
        <w:t>or assassination</w:t>
      </w:r>
      <w:r w:rsidR="00084428" w:rsidRPr="003915C7">
        <w:t xml:space="preserve">. </w:t>
      </w:r>
      <w:r w:rsidRPr="003915C7">
        <w:t>The State party observes on this matter that the risk of persecution or other abuse justifying asylum falls within the ambit of article 7 of the Covenant and not article 1. As regards article 1 of the Covenant, the State party submits that the author is seeking to apply the obligations under article 1 in an extraterritorial manner in his communication. The author’s allegations of a violation of article 1 of the Covenant do not rest on any treatment that he has suffered in Denmark</w:t>
      </w:r>
      <w:r w:rsidR="003C389B" w:rsidRPr="003915C7">
        <w:rPr>
          <w:lang w:val="en-US"/>
        </w:rPr>
        <w:t>,</w:t>
      </w:r>
      <w:r w:rsidRPr="003915C7">
        <w:t xml:space="preserve"> </w:t>
      </w:r>
      <w:r w:rsidR="003C389B" w:rsidRPr="003915C7">
        <w:rPr>
          <w:lang w:val="en-US"/>
        </w:rPr>
        <w:t xml:space="preserve">and are neither </w:t>
      </w:r>
      <w:r w:rsidRPr="003915C7">
        <w:t xml:space="preserve">in an area where Danish authorities are in effective control </w:t>
      </w:r>
      <w:r w:rsidR="003C389B" w:rsidRPr="003915C7">
        <w:rPr>
          <w:lang w:val="en-US"/>
        </w:rPr>
        <w:t xml:space="preserve">nor owing </w:t>
      </w:r>
      <w:r w:rsidRPr="003915C7">
        <w:t xml:space="preserve">to the conduct of Danish authorities, but rather on consequences that he will allegedly suffer if returned to Egypt. The State party thereby claims that the Committee accordingly lacks jurisdiction over the relevant violation in respect of Denmark, and this part of the communication is accordingly incompatible with the provisions of the Covenant. In the State party’s view, extraditing, deporting, expelling or otherwise removing a person </w:t>
      </w:r>
      <w:r w:rsidR="003C389B" w:rsidRPr="003915C7">
        <w:rPr>
          <w:lang w:val="en-US"/>
        </w:rPr>
        <w:t xml:space="preserve">who is </w:t>
      </w:r>
      <w:r w:rsidRPr="003915C7">
        <w:t xml:space="preserve">in fear of having his </w:t>
      </w:r>
      <w:r w:rsidR="003C389B" w:rsidRPr="003915C7">
        <w:rPr>
          <w:lang w:val="en-US"/>
        </w:rPr>
        <w:t xml:space="preserve">or her </w:t>
      </w:r>
      <w:r w:rsidRPr="003915C7">
        <w:t xml:space="preserve">rights under, </w:t>
      </w:r>
      <w:r w:rsidR="003C389B" w:rsidRPr="008A1525">
        <w:rPr>
          <w:lang w:val="en-US"/>
        </w:rPr>
        <w:t>for example</w:t>
      </w:r>
      <w:r w:rsidRPr="003915C7">
        <w:t xml:space="preserve">, article 1 of the Covenant violated by another State party will therefore not cause such irreparable harm as is contemplated by articles 6 and 7 of the Covenant. For those reasons, the State party submits that this part of the communication should </w:t>
      </w:r>
      <w:r w:rsidR="003C389B" w:rsidRPr="003915C7">
        <w:t xml:space="preserve">also </w:t>
      </w:r>
      <w:r w:rsidRPr="003915C7">
        <w:t xml:space="preserve">be rejected as inadmissible </w:t>
      </w:r>
      <w:r w:rsidRPr="003915C7">
        <w:rPr>
          <w:i/>
          <w:iCs/>
        </w:rPr>
        <w:t xml:space="preserve">ratione loci </w:t>
      </w:r>
      <w:r w:rsidRPr="003915C7">
        <w:t xml:space="preserve">and </w:t>
      </w:r>
      <w:r w:rsidRPr="003915C7">
        <w:rPr>
          <w:i/>
          <w:iCs/>
        </w:rPr>
        <w:t xml:space="preserve">ratione materiae, </w:t>
      </w:r>
      <w:r w:rsidRPr="003915C7">
        <w:t>pursuant to article 2 of the Optional Protocol.</w:t>
      </w:r>
    </w:p>
    <w:p w:rsidR="00286B36" w:rsidRPr="003915C7" w:rsidRDefault="00286B36" w:rsidP="008A1525">
      <w:pPr>
        <w:pStyle w:val="SingleTxtG"/>
      </w:pPr>
      <w:r w:rsidRPr="003915C7">
        <w:t>6.3</w:t>
      </w:r>
      <w:r w:rsidRPr="003915C7">
        <w:tab/>
        <w:t xml:space="preserve">As regards the author’s submission, in relation to articles 7 and 9 of the Covenant, that the background material of the </w:t>
      </w:r>
      <w:r w:rsidR="007A2130" w:rsidRPr="008A1525">
        <w:rPr>
          <w:lang w:val="en-GB"/>
        </w:rPr>
        <w:t xml:space="preserve">Danish Refugee Appeals </w:t>
      </w:r>
      <w:r w:rsidRPr="003915C7">
        <w:t xml:space="preserve">Board on Egypt had not been updated, the State party reiterates its observations of 6 August 2014. Accordingly, the State party maintains that </w:t>
      </w:r>
      <w:r w:rsidR="00CE5C86" w:rsidRPr="003915C7">
        <w:rPr>
          <w:lang w:val="en-US"/>
        </w:rPr>
        <w:t xml:space="preserve">the assertion </w:t>
      </w:r>
      <w:r w:rsidRPr="003915C7">
        <w:t>that the background material was not sufficiently updated when the Board made its decision</w:t>
      </w:r>
      <w:r w:rsidR="00CE5C86" w:rsidRPr="003915C7">
        <w:rPr>
          <w:lang w:val="en-US"/>
        </w:rPr>
        <w:t xml:space="preserve"> </w:t>
      </w:r>
      <w:r w:rsidR="00CE5C86" w:rsidRPr="003915C7">
        <w:t>it is not correct</w:t>
      </w:r>
      <w:r w:rsidRPr="003915C7">
        <w:t xml:space="preserve">. </w:t>
      </w:r>
    </w:p>
    <w:p w:rsidR="00286B36" w:rsidRPr="003915C7" w:rsidRDefault="00286B36" w:rsidP="008A1525">
      <w:pPr>
        <w:pStyle w:val="SingleTxtG"/>
      </w:pPr>
      <w:r w:rsidRPr="003915C7">
        <w:t>6.4</w:t>
      </w:r>
      <w:r w:rsidRPr="003915C7">
        <w:tab/>
        <w:t xml:space="preserve">As </w:t>
      </w:r>
      <w:r w:rsidR="00CE5C86" w:rsidRPr="003915C7">
        <w:rPr>
          <w:lang w:val="en-US"/>
        </w:rPr>
        <w:t xml:space="preserve">regards </w:t>
      </w:r>
      <w:r w:rsidRPr="003915C7">
        <w:t xml:space="preserve">the information provided by the author on other named individuals who had been involved in other fan clubs in Egypt, the State party submits that the Board makes an individual and specific assessment in all asylum proceedings. Furthermore, it claims that the author’s information on other named individuals is of no significance to the author’s application for asylum as the author has failed to substantiate that he has been or will be subjected to abuse that would justify asylum in case of his return to Egypt. As regards the author’s submission concerning interpretation, the State party observes that, when interviewed by the Danish Immigration Service, the author was guided about his duty to speak out if he experienced any interpreting problems. The report was also read out to the author after the interview, and the author made comments on the report and confirmed that he had understood everything said by the interpreter during the interview. The State party also observes that the author and the interpreter confirmed at the beginning of the hearing before the Board on 17 December 2013 that they understood each other. Finally, the State party submits that the two issues mentioned by the author in relation to interpretation appear not to have had any impact on the assessment made by the Board that the author had not substantiated that he risked persecution in case of his return to Egypt that would justify asylum. The State party thereby maintains that there is no basis for doubting, let alone setting aside, the assessment made by the Board in its decisions of 17 December 2013 and 10 February 2014 in the author’s case. </w:t>
      </w:r>
    </w:p>
    <w:p w:rsidR="00286B36" w:rsidRPr="003915C7" w:rsidRDefault="00286B36" w:rsidP="008A1525">
      <w:pPr>
        <w:pStyle w:val="SingleTxtG"/>
      </w:pPr>
      <w:r w:rsidRPr="003915C7">
        <w:rPr>
          <w:bCs/>
        </w:rPr>
        <w:t>6.5</w:t>
      </w:r>
      <w:r w:rsidRPr="003915C7">
        <w:rPr>
          <w:bCs/>
        </w:rPr>
        <w:tab/>
      </w:r>
      <w:r w:rsidRPr="003915C7">
        <w:t xml:space="preserve">The State party also requests the Committee </w:t>
      </w:r>
      <w:r w:rsidR="00CE5C86" w:rsidRPr="003915C7">
        <w:rPr>
          <w:lang w:val="en-US"/>
        </w:rPr>
        <w:t xml:space="preserve">to </w:t>
      </w:r>
      <w:r w:rsidRPr="003915C7">
        <w:t>review its request for interim measures in the present case.</w:t>
      </w:r>
    </w:p>
    <w:p w:rsidR="00F35149" w:rsidRPr="003915C7" w:rsidRDefault="003134AC" w:rsidP="008A1525">
      <w:pPr>
        <w:pStyle w:val="H23G"/>
        <w:spacing w:before="0"/>
        <w:ind w:left="0" w:firstLine="0"/>
      </w:pPr>
      <w:r w:rsidRPr="003915C7">
        <w:tab/>
      </w:r>
      <w:r w:rsidRPr="003915C7">
        <w:tab/>
      </w:r>
      <w:r w:rsidR="00F35149" w:rsidRPr="003915C7">
        <w:t>Issues and proceedings before the Committee</w:t>
      </w:r>
    </w:p>
    <w:p w:rsidR="00F35149" w:rsidRPr="003915C7" w:rsidRDefault="00F35149" w:rsidP="00F35149">
      <w:pPr>
        <w:pStyle w:val="H4G"/>
      </w:pPr>
      <w:r w:rsidRPr="003915C7">
        <w:tab/>
      </w:r>
      <w:r w:rsidRPr="003915C7">
        <w:tab/>
        <w:t>Consideration of admissibility</w:t>
      </w:r>
    </w:p>
    <w:p w:rsidR="00F35149" w:rsidRPr="003915C7" w:rsidRDefault="00054A52" w:rsidP="00994E66">
      <w:pPr>
        <w:pStyle w:val="SingleTxtG"/>
      </w:pPr>
      <w:r w:rsidRPr="003915C7">
        <w:rPr>
          <w:lang w:val="en-GB"/>
        </w:rPr>
        <w:t>7</w:t>
      </w:r>
      <w:r w:rsidR="00F35149" w:rsidRPr="003915C7">
        <w:t>.1</w:t>
      </w:r>
      <w:r w:rsidR="00F35149" w:rsidRPr="003915C7">
        <w:tab/>
        <w:t>Before considering any claims contained in a communication, the Human Rights Committee must, in accordance with rule 93 of its rules of procedure, decide whether or not it is admissible under the Optional Protocol to the Covenant.</w:t>
      </w:r>
    </w:p>
    <w:p w:rsidR="00F60C3B" w:rsidRPr="003915C7" w:rsidRDefault="00054A52">
      <w:pPr>
        <w:pStyle w:val="SingleTxtG"/>
        <w:rPr>
          <w:lang w:val="en-GB"/>
        </w:rPr>
      </w:pPr>
      <w:r w:rsidRPr="003915C7">
        <w:rPr>
          <w:bCs/>
          <w:lang w:val="en-GB"/>
        </w:rPr>
        <w:t>7</w:t>
      </w:r>
      <w:r w:rsidR="00F35149" w:rsidRPr="003915C7">
        <w:rPr>
          <w:bCs/>
        </w:rPr>
        <w:t>.2</w:t>
      </w:r>
      <w:r w:rsidR="00F35149" w:rsidRPr="003915C7">
        <w:rPr>
          <w:bCs/>
        </w:rPr>
        <w:tab/>
      </w:r>
      <w:r w:rsidR="00F35149" w:rsidRPr="003915C7">
        <w:rPr>
          <w:bCs/>
          <w:lang w:val="en-GB"/>
        </w:rPr>
        <w:t xml:space="preserve">The Committee has ascertained, as required under article 5 </w:t>
      </w:r>
      <w:r w:rsidR="007E6B0E" w:rsidRPr="003915C7">
        <w:rPr>
          <w:bCs/>
          <w:lang w:val="en-GB"/>
        </w:rPr>
        <w:t>(</w:t>
      </w:r>
      <w:r w:rsidR="00F35149" w:rsidRPr="003915C7">
        <w:rPr>
          <w:bCs/>
          <w:lang w:val="en-GB"/>
        </w:rPr>
        <w:t>2</w:t>
      </w:r>
      <w:r w:rsidR="007E6B0E" w:rsidRPr="003915C7">
        <w:rPr>
          <w:bCs/>
          <w:lang w:val="en-GB"/>
        </w:rPr>
        <w:t>)</w:t>
      </w:r>
      <w:r w:rsidR="00F35149" w:rsidRPr="003915C7">
        <w:rPr>
          <w:bCs/>
          <w:lang w:val="en-GB"/>
        </w:rPr>
        <w:t xml:space="preserve"> (a), of the Optional Protocol, that the same matter is not being examined under another procedure of international investigation or settlement.</w:t>
      </w:r>
      <w:r w:rsidR="00F573E7" w:rsidRPr="003915C7">
        <w:rPr>
          <w:bCs/>
          <w:lang w:val="en-GB"/>
        </w:rPr>
        <w:t xml:space="preserve"> It also notes that it is undisputed that the author has exhausted all available domestic remedies, as </w:t>
      </w:r>
      <w:r w:rsidR="008C7622" w:rsidRPr="003915C7">
        <w:rPr>
          <w:lang w:val="en-GB"/>
        </w:rPr>
        <w:t xml:space="preserve">required by </w:t>
      </w:r>
      <w:r w:rsidR="00F60C3B" w:rsidRPr="003915C7">
        <w:rPr>
          <w:lang w:val="en-GB"/>
        </w:rPr>
        <w:t>article 5</w:t>
      </w:r>
      <w:r w:rsidR="007E6B0E" w:rsidRPr="003915C7">
        <w:rPr>
          <w:lang w:val="en-GB"/>
        </w:rPr>
        <w:t xml:space="preserve"> (2)</w:t>
      </w:r>
      <w:r w:rsidR="00F60C3B" w:rsidRPr="003915C7">
        <w:rPr>
          <w:lang w:val="en-GB"/>
        </w:rPr>
        <w:t xml:space="preserve"> (b) of the Optional Protocol.</w:t>
      </w:r>
      <w:r w:rsidR="00F573E7" w:rsidRPr="003915C7">
        <w:rPr>
          <w:lang w:val="en-GB"/>
        </w:rPr>
        <w:t xml:space="preserve"> </w:t>
      </w:r>
    </w:p>
    <w:p w:rsidR="00892347" w:rsidRPr="003915C7" w:rsidRDefault="00054A52">
      <w:pPr>
        <w:pStyle w:val="SingleTxtG"/>
        <w:rPr>
          <w:lang w:val="en-GB"/>
        </w:rPr>
      </w:pPr>
      <w:r w:rsidRPr="003915C7">
        <w:rPr>
          <w:lang w:val="en-GB"/>
        </w:rPr>
        <w:t>7</w:t>
      </w:r>
      <w:r w:rsidR="00E93CC4" w:rsidRPr="003915C7">
        <w:rPr>
          <w:lang w:val="en-GB"/>
        </w:rPr>
        <w:t>.</w:t>
      </w:r>
      <w:r w:rsidR="00D06EEA" w:rsidRPr="003915C7">
        <w:rPr>
          <w:lang w:val="en-GB"/>
        </w:rPr>
        <w:t>3</w:t>
      </w:r>
      <w:r w:rsidR="00D06EEA" w:rsidRPr="003915C7">
        <w:rPr>
          <w:lang w:val="en-GB"/>
        </w:rPr>
        <w:tab/>
      </w:r>
      <w:r w:rsidR="00FE64FF" w:rsidRPr="003915C7">
        <w:rPr>
          <w:lang w:val="en-GB"/>
        </w:rPr>
        <w:t xml:space="preserve">The Committee notes the author’s claim that his rights under article 1 of the </w:t>
      </w:r>
      <w:r w:rsidR="004736B4" w:rsidRPr="003915C7">
        <w:rPr>
          <w:lang w:val="en-GB"/>
        </w:rPr>
        <w:t>Covenant</w:t>
      </w:r>
      <w:r w:rsidR="00FE64FF" w:rsidRPr="003915C7">
        <w:rPr>
          <w:lang w:val="en-GB"/>
        </w:rPr>
        <w:t xml:space="preserve"> have been violated. In this regard, </w:t>
      </w:r>
      <w:r w:rsidR="00ED483F" w:rsidRPr="003915C7">
        <w:rPr>
          <w:lang w:val="en-GB"/>
        </w:rPr>
        <w:t>the State party submits that the author “has not elaborated in any way on the circumstances on which this part of the communication is based”</w:t>
      </w:r>
      <w:r w:rsidR="00E77625" w:rsidRPr="003915C7">
        <w:rPr>
          <w:lang w:val="en-GB"/>
        </w:rPr>
        <w:t xml:space="preserve"> and that this part of the communication should be rejected as inadmissible </w:t>
      </w:r>
      <w:r w:rsidR="00E77625" w:rsidRPr="008A1525">
        <w:rPr>
          <w:i/>
          <w:lang w:val="en-GB"/>
        </w:rPr>
        <w:t>ratione loci</w:t>
      </w:r>
      <w:r w:rsidR="00E77625" w:rsidRPr="003915C7">
        <w:rPr>
          <w:lang w:val="en-GB"/>
        </w:rPr>
        <w:t xml:space="preserve"> and </w:t>
      </w:r>
      <w:r w:rsidR="00E77625" w:rsidRPr="008A1525">
        <w:rPr>
          <w:i/>
          <w:lang w:val="en-GB"/>
        </w:rPr>
        <w:t>ratione materiae</w:t>
      </w:r>
      <w:r w:rsidR="00ED483F" w:rsidRPr="003915C7">
        <w:rPr>
          <w:lang w:val="en-GB"/>
        </w:rPr>
        <w:t xml:space="preserve">. </w:t>
      </w:r>
      <w:r w:rsidR="000B4907" w:rsidRPr="003915C7">
        <w:rPr>
          <w:lang w:val="en-GB"/>
        </w:rPr>
        <w:t>The Committee recalls that it does not have competence under the Optional Protocol to consider claims alleging a violation of the right to self-determination protected in article 1 of the Covenant.</w:t>
      </w:r>
      <w:r w:rsidR="000B4907" w:rsidRPr="003915C7">
        <w:rPr>
          <w:rStyle w:val="FootnoteReference"/>
          <w:lang w:val="en-GB"/>
        </w:rPr>
        <w:footnoteReference w:id="14"/>
      </w:r>
      <w:r w:rsidR="004257BF" w:rsidRPr="003915C7">
        <w:rPr>
          <w:lang w:val="en-GB"/>
        </w:rPr>
        <w:t xml:space="preserve"> It reiterates that the Optional Protocol provides a procedure under which individuals can claim that their individual rights have been violated and recalls that these rights are set out in part III (</w:t>
      </w:r>
      <w:r w:rsidR="007E6B0E" w:rsidRPr="003915C7">
        <w:rPr>
          <w:lang w:val="en-GB"/>
        </w:rPr>
        <w:t xml:space="preserve">arts. </w:t>
      </w:r>
      <w:r w:rsidR="004257BF" w:rsidRPr="003915C7">
        <w:rPr>
          <w:lang w:val="en-GB"/>
        </w:rPr>
        <w:t>6</w:t>
      </w:r>
      <w:r w:rsidR="007E6B0E" w:rsidRPr="003915C7">
        <w:rPr>
          <w:lang w:val="en-GB"/>
        </w:rPr>
        <w:t>-</w:t>
      </w:r>
      <w:r w:rsidR="004257BF" w:rsidRPr="003915C7">
        <w:rPr>
          <w:lang w:val="en-GB"/>
        </w:rPr>
        <w:t>27) of the Covenant</w:t>
      </w:r>
      <w:r w:rsidR="004D6913" w:rsidRPr="003915C7">
        <w:rPr>
          <w:lang w:val="en-GB"/>
        </w:rPr>
        <w:t>.</w:t>
      </w:r>
      <w:r w:rsidR="00120FDB" w:rsidRPr="003915C7">
        <w:rPr>
          <w:rStyle w:val="FootnoteReference"/>
          <w:lang w:val="en-GB"/>
        </w:rPr>
        <w:footnoteReference w:id="15"/>
      </w:r>
      <w:r w:rsidR="004D6913" w:rsidRPr="003915C7">
        <w:rPr>
          <w:lang w:val="en-GB"/>
        </w:rPr>
        <w:t xml:space="preserve"> </w:t>
      </w:r>
      <w:r w:rsidR="00892347" w:rsidRPr="003915C7">
        <w:rPr>
          <w:lang w:val="en-GB"/>
        </w:rPr>
        <w:t>It follows that this part of the communication is inadmissible under article 1 of the Optional Protocol.</w:t>
      </w:r>
      <w:r w:rsidR="00892347" w:rsidRPr="003915C7">
        <w:rPr>
          <w:rStyle w:val="FootnoteReference"/>
          <w:lang w:val="en-GB"/>
        </w:rPr>
        <w:footnoteReference w:id="16"/>
      </w:r>
    </w:p>
    <w:p w:rsidR="005D32AF" w:rsidRPr="003915C7" w:rsidRDefault="00054A52">
      <w:pPr>
        <w:pStyle w:val="SingleTxtG"/>
        <w:rPr>
          <w:lang w:val="en-GB"/>
        </w:rPr>
      </w:pPr>
      <w:r w:rsidRPr="003915C7">
        <w:rPr>
          <w:lang w:val="en-GB"/>
        </w:rPr>
        <w:t>7</w:t>
      </w:r>
      <w:r w:rsidR="00994E66" w:rsidRPr="003915C7">
        <w:rPr>
          <w:lang w:val="en-GB"/>
        </w:rPr>
        <w:t>.4</w:t>
      </w:r>
      <w:r w:rsidR="00B129BE" w:rsidRPr="003915C7">
        <w:rPr>
          <w:lang w:val="en-GB"/>
        </w:rPr>
        <w:tab/>
      </w:r>
      <w:r w:rsidR="006509F9" w:rsidRPr="003915C7">
        <w:rPr>
          <w:lang w:val="en-GB"/>
        </w:rPr>
        <w:t xml:space="preserve">The Committee further notes, regarding </w:t>
      </w:r>
      <w:r w:rsidR="00B129BE" w:rsidRPr="003915C7">
        <w:rPr>
          <w:lang w:val="en-GB"/>
        </w:rPr>
        <w:t xml:space="preserve">the author’s claim under article 2 of the Covenant in relation to the </w:t>
      </w:r>
      <w:r w:rsidR="005D32AF" w:rsidRPr="003915C7">
        <w:rPr>
          <w:lang w:val="en-GB"/>
        </w:rPr>
        <w:t xml:space="preserve">decision on forced return, </w:t>
      </w:r>
      <w:r w:rsidR="006509F9" w:rsidRPr="003915C7">
        <w:rPr>
          <w:lang w:val="en-GB"/>
        </w:rPr>
        <w:t xml:space="preserve">that </w:t>
      </w:r>
      <w:r w:rsidR="00A03ABA" w:rsidRPr="003915C7">
        <w:rPr>
          <w:lang w:val="en-GB"/>
        </w:rPr>
        <w:t>the State party submits that the author “has not elaborated in any way on the circumstances on which this part of the communication is based”. T</w:t>
      </w:r>
      <w:r w:rsidR="00B129BE" w:rsidRPr="003915C7">
        <w:rPr>
          <w:lang w:val="en-GB"/>
        </w:rPr>
        <w:t>he Committee recall</w:t>
      </w:r>
      <w:r w:rsidR="005D32AF" w:rsidRPr="003915C7">
        <w:rPr>
          <w:lang w:val="en-GB"/>
        </w:rPr>
        <w:t>s</w:t>
      </w:r>
      <w:r w:rsidR="00B129BE" w:rsidRPr="003915C7">
        <w:rPr>
          <w:lang w:val="en-GB"/>
        </w:rPr>
        <w:t xml:space="preserve"> its jurisprudence</w:t>
      </w:r>
      <w:r w:rsidR="0043469F" w:rsidRPr="003915C7">
        <w:rPr>
          <w:lang w:val="en-GB"/>
        </w:rPr>
        <w:t xml:space="preserve"> that the provisions of article 2 of the Convention lay down general obligations for State parties and they cannot give rise, when invoked separately, to a claim in a communication under the Optional Protocol.</w:t>
      </w:r>
      <w:r w:rsidR="0043469F" w:rsidRPr="003915C7">
        <w:rPr>
          <w:rStyle w:val="FootnoteReference"/>
          <w:lang w:val="en-GB"/>
        </w:rPr>
        <w:footnoteReference w:id="17"/>
      </w:r>
      <w:r w:rsidR="00D06EEA" w:rsidRPr="003915C7">
        <w:rPr>
          <w:lang w:val="en-GB"/>
        </w:rPr>
        <w:t xml:space="preserve"> </w:t>
      </w:r>
      <w:r w:rsidR="005D32AF" w:rsidRPr="003915C7">
        <w:rPr>
          <w:lang w:val="en-GB"/>
        </w:rPr>
        <w:t>The Committee th</w:t>
      </w:r>
      <w:r w:rsidR="009C4519" w:rsidRPr="003915C7">
        <w:rPr>
          <w:lang w:val="en-GB"/>
        </w:rPr>
        <w:t xml:space="preserve">us </w:t>
      </w:r>
      <w:r w:rsidR="005D32AF" w:rsidRPr="003915C7">
        <w:rPr>
          <w:lang w:val="en-GB"/>
        </w:rPr>
        <w:t xml:space="preserve">considers that the author’s claims in that regard are incompatible with article 2 of the Covenant, and inadmissible under article 3 of the Optional Protocol. </w:t>
      </w:r>
    </w:p>
    <w:p w:rsidR="00A44916" w:rsidRPr="003915C7" w:rsidRDefault="00C87BA3">
      <w:pPr>
        <w:pStyle w:val="SingleTxtG"/>
        <w:rPr>
          <w:lang w:val="en-GB"/>
        </w:rPr>
      </w:pPr>
      <w:r w:rsidRPr="003915C7">
        <w:rPr>
          <w:lang w:val="en-GB"/>
        </w:rPr>
        <w:t>7</w:t>
      </w:r>
      <w:r w:rsidR="00994E66" w:rsidRPr="003915C7">
        <w:rPr>
          <w:lang w:val="en-GB"/>
        </w:rPr>
        <w:t>.5</w:t>
      </w:r>
      <w:r w:rsidR="005D32AF" w:rsidRPr="003915C7">
        <w:rPr>
          <w:lang w:val="en-GB"/>
        </w:rPr>
        <w:tab/>
        <w:t xml:space="preserve">The Committee </w:t>
      </w:r>
      <w:r w:rsidR="00717F03" w:rsidRPr="003915C7">
        <w:rPr>
          <w:lang w:val="en-GB"/>
        </w:rPr>
        <w:t xml:space="preserve">further </w:t>
      </w:r>
      <w:r w:rsidR="005D32AF" w:rsidRPr="003915C7">
        <w:rPr>
          <w:lang w:val="en-GB"/>
        </w:rPr>
        <w:t>notes the State party</w:t>
      </w:r>
      <w:r w:rsidR="00717F03" w:rsidRPr="003915C7">
        <w:rPr>
          <w:lang w:val="en-GB"/>
        </w:rPr>
        <w:t xml:space="preserve">’s </w:t>
      </w:r>
      <w:r w:rsidR="005D32AF" w:rsidRPr="003915C7">
        <w:rPr>
          <w:lang w:val="en-GB"/>
        </w:rPr>
        <w:t>object</w:t>
      </w:r>
      <w:r w:rsidR="00717F03" w:rsidRPr="003915C7">
        <w:rPr>
          <w:lang w:val="en-GB"/>
        </w:rPr>
        <w:t xml:space="preserve">ions </w:t>
      </w:r>
      <w:r w:rsidR="005D32AF" w:rsidRPr="003915C7">
        <w:rPr>
          <w:lang w:val="en-GB"/>
        </w:rPr>
        <w:t>to the admissibility of the communication</w:t>
      </w:r>
      <w:r w:rsidR="00717F03" w:rsidRPr="003915C7">
        <w:rPr>
          <w:lang w:val="en-GB"/>
        </w:rPr>
        <w:t xml:space="preserve"> as regards </w:t>
      </w:r>
      <w:r w:rsidR="005F1320" w:rsidRPr="003915C7">
        <w:rPr>
          <w:lang w:val="en-GB"/>
        </w:rPr>
        <w:t xml:space="preserve">the author’s </w:t>
      </w:r>
      <w:r w:rsidR="00717F03" w:rsidRPr="003915C7">
        <w:rPr>
          <w:lang w:val="en-GB"/>
        </w:rPr>
        <w:t>claims under article 9</w:t>
      </w:r>
      <w:r w:rsidR="007E6B0E" w:rsidRPr="003915C7">
        <w:rPr>
          <w:lang w:val="en-GB"/>
        </w:rPr>
        <w:t>,</w:t>
      </w:r>
      <w:r w:rsidR="00717F03" w:rsidRPr="003915C7">
        <w:rPr>
          <w:lang w:val="en-GB"/>
        </w:rPr>
        <w:t xml:space="preserve"> as </w:t>
      </w:r>
      <w:r w:rsidR="005F1320" w:rsidRPr="003915C7">
        <w:rPr>
          <w:lang w:val="en-GB"/>
        </w:rPr>
        <w:t xml:space="preserve">he reportedly </w:t>
      </w:r>
      <w:r w:rsidR="00717F03" w:rsidRPr="003915C7">
        <w:rPr>
          <w:lang w:val="en-GB"/>
        </w:rPr>
        <w:t xml:space="preserve">tried to use the Committee as an appellate body to re-evaluate the facts and circumstances of the asylum claim that was adjudicated by national authorities. </w:t>
      </w:r>
      <w:r w:rsidR="009C4519" w:rsidRPr="003915C7">
        <w:rPr>
          <w:lang w:val="en-GB"/>
        </w:rPr>
        <w:t>The State party also submits, as regards the author’s statement that one member of Ultras Ahlawy ha</w:t>
      </w:r>
      <w:r w:rsidR="00A24657" w:rsidRPr="003915C7">
        <w:rPr>
          <w:lang w:val="en-GB"/>
        </w:rPr>
        <w:t>d</w:t>
      </w:r>
      <w:r w:rsidR="009C4519" w:rsidRPr="003915C7">
        <w:rPr>
          <w:lang w:val="en-GB"/>
        </w:rPr>
        <w:t xml:space="preserve"> been killed by the police while another member of the group had been arrested and charged with having participated in the Port Said massacre, that this information has not been supported by evidence. </w:t>
      </w:r>
      <w:r w:rsidR="00A24657" w:rsidRPr="003915C7">
        <w:rPr>
          <w:lang w:val="en-GB"/>
        </w:rPr>
        <w:t>The Committee notes that</w:t>
      </w:r>
      <w:r w:rsidR="007E6B0E" w:rsidRPr="003915C7">
        <w:rPr>
          <w:lang w:val="en-GB"/>
        </w:rPr>
        <w:t>,</w:t>
      </w:r>
      <w:r w:rsidR="00A24657" w:rsidRPr="003915C7">
        <w:rPr>
          <w:lang w:val="en-GB"/>
        </w:rPr>
        <w:t xml:space="preserve"> according to the State party, </w:t>
      </w:r>
      <w:r w:rsidR="0084732F" w:rsidRPr="003915C7">
        <w:rPr>
          <w:lang w:val="en-GB"/>
        </w:rPr>
        <w:t xml:space="preserve">the author’s </w:t>
      </w:r>
      <w:r w:rsidR="00A24657" w:rsidRPr="003915C7">
        <w:rPr>
          <w:lang w:val="en-GB"/>
        </w:rPr>
        <w:t xml:space="preserve">claim </w:t>
      </w:r>
      <w:r w:rsidR="0084521F" w:rsidRPr="003915C7">
        <w:rPr>
          <w:lang w:val="en-GB"/>
        </w:rPr>
        <w:t xml:space="preserve">that he would risk an arrest is contradicted by the author’s </w:t>
      </w:r>
      <w:r w:rsidR="00A24657" w:rsidRPr="003915C7">
        <w:rPr>
          <w:lang w:val="en-GB"/>
        </w:rPr>
        <w:t>own statement that he and the other founders were not well-known figures. The Committee also notes the State party’s argument that none of the</w:t>
      </w:r>
      <w:r w:rsidR="0084732F" w:rsidRPr="003915C7">
        <w:rPr>
          <w:lang w:val="en-GB"/>
        </w:rPr>
        <w:t xml:space="preserve"> current information on Egypt gives any basis for assuming that </w:t>
      </w:r>
      <w:r w:rsidR="00F53988" w:rsidRPr="003915C7">
        <w:rPr>
          <w:lang w:val="en-GB"/>
        </w:rPr>
        <w:t>members</w:t>
      </w:r>
      <w:r w:rsidR="0084732F" w:rsidRPr="003915C7">
        <w:rPr>
          <w:lang w:val="en-GB"/>
        </w:rPr>
        <w:t xml:space="preserve"> of Ultras Ahlawy are generally at any particular risk of being subjected to abuse from the authorities or from supporters of the Muslim Brotherhood. </w:t>
      </w:r>
      <w:r w:rsidR="006509F9" w:rsidRPr="003915C7">
        <w:rPr>
          <w:lang w:val="en-GB"/>
        </w:rPr>
        <w:t xml:space="preserve">The Committee further notes that </w:t>
      </w:r>
      <w:r w:rsidR="005F1320" w:rsidRPr="003915C7">
        <w:rPr>
          <w:lang w:val="en-GB"/>
        </w:rPr>
        <w:t xml:space="preserve">the </w:t>
      </w:r>
      <w:r w:rsidR="007A2130" w:rsidRPr="003915C7">
        <w:rPr>
          <w:lang w:val="en-GB"/>
        </w:rPr>
        <w:t xml:space="preserve">Danish Refugee Appeals </w:t>
      </w:r>
      <w:r w:rsidR="005F1320" w:rsidRPr="003915C7">
        <w:rPr>
          <w:lang w:val="en-GB"/>
        </w:rPr>
        <w:t xml:space="preserve">Board found </w:t>
      </w:r>
      <w:r w:rsidR="00EF5AED" w:rsidRPr="003915C7">
        <w:rPr>
          <w:lang w:val="en-GB"/>
        </w:rPr>
        <w:t xml:space="preserve">that </w:t>
      </w:r>
      <w:r w:rsidR="005F1320" w:rsidRPr="003915C7">
        <w:rPr>
          <w:lang w:val="en-GB"/>
        </w:rPr>
        <w:t xml:space="preserve">the information on the arrests of other members of Ultras Ahlawy in connection with disturbances at an airport </w:t>
      </w:r>
      <w:r w:rsidR="006509F9" w:rsidRPr="003915C7">
        <w:rPr>
          <w:lang w:val="en-GB"/>
        </w:rPr>
        <w:t xml:space="preserve">does not </w:t>
      </w:r>
      <w:r w:rsidR="005F1320" w:rsidRPr="003915C7">
        <w:rPr>
          <w:lang w:val="en-GB"/>
        </w:rPr>
        <w:t>indicate any risk of persecution of the author</w:t>
      </w:r>
      <w:r w:rsidR="006509F9" w:rsidRPr="003915C7">
        <w:rPr>
          <w:lang w:val="en-GB"/>
        </w:rPr>
        <w:t>, personally. In these circumstances, and in the absence of any other pertinent information on file</w:t>
      </w:r>
      <w:r w:rsidR="005F1320" w:rsidRPr="003915C7">
        <w:rPr>
          <w:lang w:val="en-GB"/>
        </w:rPr>
        <w:t xml:space="preserve">, the Committee considers that the author </w:t>
      </w:r>
      <w:r w:rsidR="00A44916" w:rsidRPr="003915C7">
        <w:rPr>
          <w:lang w:val="en-GB"/>
        </w:rPr>
        <w:t xml:space="preserve">has not </w:t>
      </w:r>
      <w:r w:rsidR="005D32AF" w:rsidRPr="003915C7">
        <w:rPr>
          <w:lang w:val="en-GB"/>
        </w:rPr>
        <w:t xml:space="preserve">sufficiently substantiated </w:t>
      </w:r>
      <w:r w:rsidR="00A44916" w:rsidRPr="003915C7">
        <w:rPr>
          <w:lang w:val="en-GB"/>
        </w:rPr>
        <w:t xml:space="preserve">his claim and consequently finds that this part of the communication is inadmissible under article 2 of the Optional Protocol. </w:t>
      </w:r>
    </w:p>
    <w:p w:rsidR="007C296F" w:rsidRPr="003915C7" w:rsidRDefault="00C87BA3">
      <w:pPr>
        <w:pStyle w:val="SingleTxtG"/>
        <w:rPr>
          <w:lang w:val="en-GB"/>
        </w:rPr>
      </w:pPr>
      <w:r w:rsidRPr="003915C7">
        <w:rPr>
          <w:lang w:val="en-GB"/>
        </w:rPr>
        <w:t>7</w:t>
      </w:r>
      <w:r w:rsidR="00686C0D" w:rsidRPr="003915C7">
        <w:rPr>
          <w:lang w:val="en-GB"/>
        </w:rPr>
        <w:t>.6</w:t>
      </w:r>
      <w:r w:rsidR="00686C0D" w:rsidRPr="003915C7">
        <w:rPr>
          <w:lang w:val="en-GB"/>
        </w:rPr>
        <w:tab/>
        <w:t xml:space="preserve">Concerning </w:t>
      </w:r>
      <w:r w:rsidR="006509F9" w:rsidRPr="003915C7">
        <w:rPr>
          <w:lang w:val="en-GB"/>
        </w:rPr>
        <w:t xml:space="preserve">the author’s </w:t>
      </w:r>
      <w:r w:rsidR="00686C0D" w:rsidRPr="003915C7">
        <w:rPr>
          <w:lang w:val="en-GB"/>
        </w:rPr>
        <w:t xml:space="preserve">claim </w:t>
      </w:r>
      <w:r w:rsidR="006509F9" w:rsidRPr="003915C7">
        <w:rPr>
          <w:lang w:val="en-GB"/>
        </w:rPr>
        <w:t>under</w:t>
      </w:r>
      <w:r w:rsidR="00686C0D" w:rsidRPr="003915C7">
        <w:rPr>
          <w:lang w:val="en-GB"/>
        </w:rPr>
        <w:t xml:space="preserve"> article 19, the Committee notes the State party’s argument that the auth</w:t>
      </w:r>
      <w:r w:rsidR="00A01A63" w:rsidRPr="003915C7">
        <w:rPr>
          <w:lang w:val="en-GB"/>
        </w:rPr>
        <w:t>or’s claim is insufficiently su</w:t>
      </w:r>
      <w:r w:rsidR="00686C0D" w:rsidRPr="003915C7">
        <w:rPr>
          <w:lang w:val="en-GB"/>
        </w:rPr>
        <w:t xml:space="preserve">bstantiated because he submitted that he had not previously had any conflicts with the Egyptian authorities, and that he had only availed himself of his right to freedom of expression. </w:t>
      </w:r>
      <w:r w:rsidR="006509F9" w:rsidRPr="003915C7">
        <w:rPr>
          <w:lang w:val="en-GB"/>
        </w:rPr>
        <w:t xml:space="preserve">In this connection, the Committee notes that </w:t>
      </w:r>
      <w:r w:rsidR="007C296F" w:rsidRPr="003915C7">
        <w:rPr>
          <w:lang w:val="en-GB"/>
        </w:rPr>
        <w:t xml:space="preserve">the </w:t>
      </w:r>
      <w:r w:rsidR="00C57758" w:rsidRPr="003915C7">
        <w:rPr>
          <w:lang w:val="en-GB"/>
        </w:rPr>
        <w:t xml:space="preserve">State party has argued that </w:t>
      </w:r>
      <w:r w:rsidR="007C296F" w:rsidRPr="003915C7">
        <w:rPr>
          <w:lang w:val="en-GB"/>
        </w:rPr>
        <w:t>autho</w:t>
      </w:r>
      <w:r w:rsidR="00E25B12" w:rsidRPr="003915C7">
        <w:rPr>
          <w:lang w:val="en-GB"/>
        </w:rPr>
        <w:t>r</w:t>
      </w:r>
      <w:r w:rsidR="007E6B0E" w:rsidRPr="003915C7">
        <w:rPr>
          <w:lang w:val="en-GB"/>
        </w:rPr>
        <w:t>’</w:t>
      </w:r>
      <w:r w:rsidR="007C296F" w:rsidRPr="003915C7">
        <w:rPr>
          <w:lang w:val="en-GB"/>
        </w:rPr>
        <w:t xml:space="preserve">s claim under article 19 is inadmissible </w:t>
      </w:r>
      <w:r w:rsidRPr="008A1525">
        <w:rPr>
          <w:i/>
          <w:lang w:val="en-GB"/>
        </w:rPr>
        <w:t xml:space="preserve">ratione loci </w:t>
      </w:r>
      <w:r w:rsidRPr="003915C7">
        <w:rPr>
          <w:lang w:val="en-GB"/>
        </w:rPr>
        <w:t xml:space="preserve">and </w:t>
      </w:r>
      <w:r w:rsidRPr="008A1525">
        <w:rPr>
          <w:i/>
          <w:lang w:val="en-GB"/>
        </w:rPr>
        <w:t>ratione materiae</w:t>
      </w:r>
      <w:r w:rsidRPr="003915C7">
        <w:rPr>
          <w:lang w:val="en-GB"/>
        </w:rPr>
        <w:t xml:space="preserve"> </w:t>
      </w:r>
      <w:r w:rsidR="007C296F" w:rsidRPr="003915C7">
        <w:rPr>
          <w:lang w:val="en-GB"/>
        </w:rPr>
        <w:t>as incompatible with the provisions of the Covenant because article 19 does not have extraterritorial application, and that the author’s allegations of a violation of this provision do not rest on any treatment that he has suffered in Denmark, but rather on consequences that he will allegedly suffer if returned to Egypt</w:t>
      </w:r>
      <w:r w:rsidR="00C57758" w:rsidRPr="003915C7">
        <w:rPr>
          <w:lang w:val="en-GB"/>
        </w:rPr>
        <w:t>.</w:t>
      </w:r>
      <w:r w:rsidR="0051013F" w:rsidRPr="003915C7">
        <w:rPr>
          <w:lang w:val="en-GB"/>
        </w:rPr>
        <w:t xml:space="preserve"> </w:t>
      </w:r>
      <w:r w:rsidR="00DF0AD1" w:rsidRPr="003915C7">
        <w:rPr>
          <w:lang w:val="en-GB"/>
        </w:rPr>
        <w:t>T</w:t>
      </w:r>
      <w:r w:rsidR="00982BAC" w:rsidRPr="003915C7">
        <w:rPr>
          <w:lang w:val="en-GB"/>
        </w:rPr>
        <w:t xml:space="preserve">he Committee also notes that the author has not provided further information to substantiate his claim, </w:t>
      </w:r>
      <w:r w:rsidR="00DF0AD1" w:rsidRPr="003915C7">
        <w:rPr>
          <w:lang w:val="en-GB"/>
        </w:rPr>
        <w:t>and</w:t>
      </w:r>
      <w:r w:rsidR="00C56108" w:rsidRPr="003915C7">
        <w:rPr>
          <w:lang w:val="en-GB"/>
        </w:rPr>
        <w:t xml:space="preserve"> </w:t>
      </w:r>
      <w:r w:rsidR="00DF0AD1" w:rsidRPr="003915C7">
        <w:rPr>
          <w:lang w:val="en-GB"/>
        </w:rPr>
        <w:t xml:space="preserve">therefore </w:t>
      </w:r>
      <w:r w:rsidR="00982BAC" w:rsidRPr="003915C7">
        <w:rPr>
          <w:lang w:val="en-GB"/>
        </w:rPr>
        <w:t xml:space="preserve">it </w:t>
      </w:r>
      <w:r w:rsidR="007C296F" w:rsidRPr="003915C7">
        <w:rPr>
          <w:lang w:val="en-GB"/>
        </w:rPr>
        <w:t>considers that the author has</w:t>
      </w:r>
      <w:r w:rsidR="00A01A63" w:rsidRPr="003915C7">
        <w:rPr>
          <w:lang w:val="en-GB"/>
        </w:rPr>
        <w:t xml:space="preserve"> </w:t>
      </w:r>
      <w:r w:rsidR="00C57758" w:rsidRPr="003915C7">
        <w:rPr>
          <w:lang w:val="en-GB"/>
        </w:rPr>
        <w:t xml:space="preserve">failed to </w:t>
      </w:r>
      <w:r w:rsidR="00A01A63" w:rsidRPr="003915C7">
        <w:rPr>
          <w:lang w:val="en-GB"/>
        </w:rPr>
        <w:t xml:space="preserve">sufficiently substantiate </w:t>
      </w:r>
      <w:r w:rsidR="007C296F" w:rsidRPr="003915C7">
        <w:rPr>
          <w:lang w:val="en-GB"/>
        </w:rPr>
        <w:t>his claim</w:t>
      </w:r>
      <w:r w:rsidR="00C57758" w:rsidRPr="003915C7">
        <w:rPr>
          <w:lang w:val="en-GB"/>
        </w:rPr>
        <w:t xml:space="preserve"> for purposes of admissibility, </w:t>
      </w:r>
      <w:r w:rsidR="007C296F" w:rsidRPr="003915C7">
        <w:rPr>
          <w:lang w:val="en-GB"/>
        </w:rPr>
        <w:t xml:space="preserve">and </w:t>
      </w:r>
      <w:r w:rsidR="00C57758" w:rsidRPr="003915C7">
        <w:rPr>
          <w:lang w:val="en-GB"/>
        </w:rPr>
        <w:t>that</w:t>
      </w:r>
      <w:r w:rsidR="00DF4252" w:rsidRPr="003915C7">
        <w:rPr>
          <w:lang w:val="en-GB"/>
        </w:rPr>
        <w:t>,</w:t>
      </w:r>
      <w:r w:rsidR="00E25B12" w:rsidRPr="003915C7">
        <w:rPr>
          <w:lang w:val="en-GB"/>
        </w:rPr>
        <w:t xml:space="preserve"> </w:t>
      </w:r>
      <w:r w:rsidR="00C57758" w:rsidRPr="003915C7">
        <w:rPr>
          <w:lang w:val="en-GB"/>
        </w:rPr>
        <w:t xml:space="preserve">accordingly, </w:t>
      </w:r>
      <w:r w:rsidR="007C296F" w:rsidRPr="003915C7">
        <w:rPr>
          <w:lang w:val="en-GB"/>
        </w:rPr>
        <w:t xml:space="preserve">this part of the communication is inadmissible under article 2 of the Optional Protocol. </w:t>
      </w:r>
    </w:p>
    <w:p w:rsidR="00E93CC4" w:rsidRPr="003915C7" w:rsidRDefault="00667211" w:rsidP="00E93CC4">
      <w:pPr>
        <w:pStyle w:val="SingleTxtG"/>
        <w:rPr>
          <w:lang w:val="en-GB"/>
        </w:rPr>
      </w:pPr>
      <w:r w:rsidRPr="003915C7">
        <w:rPr>
          <w:lang w:val="en-GB"/>
        </w:rPr>
        <w:t>7</w:t>
      </w:r>
      <w:r w:rsidR="00686C0D" w:rsidRPr="003915C7">
        <w:rPr>
          <w:lang w:val="en-GB"/>
        </w:rPr>
        <w:t>.7</w:t>
      </w:r>
      <w:r w:rsidR="00686C0D" w:rsidRPr="003915C7">
        <w:rPr>
          <w:lang w:val="en-GB"/>
        </w:rPr>
        <w:tab/>
      </w:r>
      <w:r w:rsidR="00E93CC4" w:rsidRPr="003915C7">
        <w:t xml:space="preserve">The Committee notes the State party’s argument that the author’s claim </w:t>
      </w:r>
      <w:r w:rsidR="00C57758" w:rsidRPr="003915C7">
        <w:rPr>
          <w:lang w:val="en-GB"/>
        </w:rPr>
        <w:t>under</w:t>
      </w:r>
      <w:r w:rsidR="00E93CC4" w:rsidRPr="003915C7">
        <w:t xml:space="preserve"> article 7 of the Covenant should be held inadmissible owing to insufficient substantiation. However, the Committee considers that the author has adequately explained the reasons </w:t>
      </w:r>
      <w:r w:rsidR="00C56108" w:rsidRPr="003915C7">
        <w:rPr>
          <w:lang w:val="en-GB"/>
        </w:rPr>
        <w:t>why</w:t>
      </w:r>
      <w:r w:rsidR="00E93CC4" w:rsidRPr="003915C7">
        <w:t xml:space="preserve"> he fears that forcible return to </w:t>
      </w:r>
      <w:r w:rsidR="00A44916" w:rsidRPr="003915C7">
        <w:rPr>
          <w:lang w:val="en-GB"/>
        </w:rPr>
        <w:t xml:space="preserve">Egypt </w:t>
      </w:r>
      <w:r w:rsidR="00E93CC4" w:rsidRPr="003915C7">
        <w:t>would result in a risk of treatment incompatible with article 7 of the Covenant. The Committee is</w:t>
      </w:r>
      <w:r w:rsidR="00E93CC4" w:rsidRPr="003915C7">
        <w:rPr>
          <w:lang w:val="en-GB"/>
        </w:rPr>
        <w:t xml:space="preserve"> therefore</w:t>
      </w:r>
      <w:r w:rsidR="00E93CC4" w:rsidRPr="003915C7">
        <w:t xml:space="preserve"> of the opinion that</w:t>
      </w:r>
      <w:r w:rsidR="00C57758" w:rsidRPr="003915C7">
        <w:rPr>
          <w:lang w:val="en-GB"/>
        </w:rPr>
        <w:t xml:space="preserve"> this part of the communication, raising issues under article 7 of the Covenant, has been sufficiently substantiated for purposes of admissibi</w:t>
      </w:r>
      <w:r w:rsidR="00DF4252" w:rsidRPr="003915C7">
        <w:rPr>
          <w:lang w:val="en-GB"/>
        </w:rPr>
        <w:t>li</w:t>
      </w:r>
      <w:r w:rsidR="00C57758" w:rsidRPr="003915C7">
        <w:rPr>
          <w:lang w:val="en-GB"/>
        </w:rPr>
        <w:t>ty</w:t>
      </w:r>
      <w:r w:rsidR="00E93CC4" w:rsidRPr="003915C7">
        <w:rPr>
          <w:lang w:val="en-GB"/>
        </w:rPr>
        <w:t xml:space="preserve">. </w:t>
      </w:r>
    </w:p>
    <w:p w:rsidR="00E93CC4" w:rsidRPr="003915C7" w:rsidRDefault="00667211" w:rsidP="00E93CC4">
      <w:pPr>
        <w:pStyle w:val="SingleTxtG"/>
      </w:pPr>
      <w:r w:rsidRPr="003915C7">
        <w:rPr>
          <w:lang w:val="en-GB"/>
        </w:rPr>
        <w:t>7</w:t>
      </w:r>
      <w:r w:rsidR="00E93CC4" w:rsidRPr="003915C7">
        <w:rPr>
          <w:lang w:val="en-GB"/>
        </w:rPr>
        <w:t>.</w:t>
      </w:r>
      <w:r w:rsidR="00686C0D" w:rsidRPr="003915C7">
        <w:rPr>
          <w:lang w:val="en-GB"/>
        </w:rPr>
        <w:t>8</w:t>
      </w:r>
      <w:r w:rsidR="00E93CC4" w:rsidRPr="003915C7">
        <w:rPr>
          <w:lang w:val="en-GB"/>
        </w:rPr>
        <w:tab/>
      </w:r>
      <w:r w:rsidR="00E93CC4" w:rsidRPr="003915C7">
        <w:t xml:space="preserve">In the light of the foregoing, the Committee considers that the communication is admissible insofar as it raises issues </w:t>
      </w:r>
      <w:r w:rsidR="00C57758" w:rsidRPr="003915C7">
        <w:rPr>
          <w:lang w:val="en-GB"/>
        </w:rPr>
        <w:t xml:space="preserve">under </w:t>
      </w:r>
      <w:r w:rsidR="00E93CC4" w:rsidRPr="003915C7">
        <w:t>article 7 of the Covenant</w:t>
      </w:r>
      <w:r w:rsidR="00686C0D" w:rsidRPr="003915C7">
        <w:rPr>
          <w:lang w:val="en-GB"/>
        </w:rPr>
        <w:t xml:space="preserve"> </w:t>
      </w:r>
      <w:r w:rsidR="00C57758" w:rsidRPr="003915C7">
        <w:rPr>
          <w:lang w:val="en-GB"/>
        </w:rPr>
        <w:t xml:space="preserve">and proceeds with its examination </w:t>
      </w:r>
      <w:r w:rsidR="00686C0D" w:rsidRPr="003915C7">
        <w:rPr>
          <w:lang w:val="en-GB"/>
        </w:rPr>
        <w:t>on the merits</w:t>
      </w:r>
      <w:r w:rsidR="00E93CC4" w:rsidRPr="003915C7">
        <w:t>.</w:t>
      </w:r>
    </w:p>
    <w:p w:rsidR="00E93CC4" w:rsidRPr="003915C7" w:rsidRDefault="00E93CC4" w:rsidP="00994E66">
      <w:pPr>
        <w:pStyle w:val="H4G"/>
      </w:pPr>
      <w:r w:rsidRPr="003915C7">
        <w:tab/>
      </w:r>
      <w:r w:rsidRPr="003915C7">
        <w:tab/>
        <w:t>Consideration of the merits</w:t>
      </w:r>
    </w:p>
    <w:p w:rsidR="00E93CC4" w:rsidRPr="003915C7" w:rsidRDefault="00AE1B07">
      <w:pPr>
        <w:pStyle w:val="SingleTxtG"/>
      </w:pPr>
      <w:r w:rsidRPr="003915C7">
        <w:rPr>
          <w:lang w:val="en-GB"/>
        </w:rPr>
        <w:t>8</w:t>
      </w:r>
      <w:r w:rsidR="00E93CC4" w:rsidRPr="003915C7">
        <w:t>.</w:t>
      </w:r>
      <w:r w:rsidR="00E93CC4" w:rsidRPr="003915C7">
        <w:rPr>
          <w:lang w:val="en-GB"/>
        </w:rPr>
        <w:t>1</w:t>
      </w:r>
      <w:r w:rsidR="00E93CC4" w:rsidRPr="003915C7">
        <w:tab/>
        <w:t xml:space="preserve">The Human Rights Committee has considered the present communication in the light of all the information made available to it by the parties, as required under article 5 </w:t>
      </w:r>
      <w:r w:rsidR="00803D26" w:rsidRPr="003915C7">
        <w:rPr>
          <w:lang w:val="en-US"/>
        </w:rPr>
        <w:t>(</w:t>
      </w:r>
      <w:r w:rsidR="00E93CC4" w:rsidRPr="003915C7">
        <w:t>1</w:t>
      </w:r>
      <w:r w:rsidR="00803D26" w:rsidRPr="003915C7">
        <w:rPr>
          <w:lang w:val="en-US"/>
        </w:rPr>
        <w:t>)</w:t>
      </w:r>
      <w:r w:rsidR="00E93CC4" w:rsidRPr="003915C7">
        <w:t xml:space="preserve"> of the Optional Protocol.</w:t>
      </w:r>
    </w:p>
    <w:p w:rsidR="00E93CC4" w:rsidRPr="003915C7" w:rsidRDefault="00AE1B07">
      <w:pPr>
        <w:pStyle w:val="SingleTxtG"/>
      </w:pPr>
      <w:r w:rsidRPr="003915C7">
        <w:rPr>
          <w:lang w:val="en-GB"/>
        </w:rPr>
        <w:t>8</w:t>
      </w:r>
      <w:r w:rsidR="00E93CC4" w:rsidRPr="003915C7">
        <w:t>.2</w:t>
      </w:r>
      <w:r w:rsidR="00E93CC4" w:rsidRPr="003915C7">
        <w:tab/>
      </w:r>
      <w:r w:rsidR="00E93CC4" w:rsidRPr="003915C7">
        <w:rPr>
          <w:bCs/>
        </w:rPr>
        <w:t>The Committee recalls its general comment No. 31</w:t>
      </w:r>
      <w:r w:rsidR="00803D26" w:rsidRPr="003915C7">
        <w:rPr>
          <w:bCs/>
          <w:lang w:val="en-US"/>
        </w:rPr>
        <w:t>,</w:t>
      </w:r>
      <w:r w:rsidR="00E93CC4" w:rsidRPr="003915C7">
        <w:rPr>
          <w:bCs/>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 7 of the Covenant.</w:t>
      </w:r>
      <w:r w:rsidR="00E93CC4" w:rsidRPr="003915C7">
        <w:rPr>
          <w:bCs/>
          <w:vertAlign w:val="superscript"/>
        </w:rPr>
        <w:footnoteReference w:id="18"/>
      </w:r>
      <w:r w:rsidR="00E93CC4" w:rsidRPr="003915C7">
        <w:rPr>
          <w:bCs/>
        </w:rPr>
        <w:t xml:space="preserve"> </w:t>
      </w:r>
      <w:r w:rsidR="00E93CC4" w:rsidRPr="003915C7">
        <w:t>The Committee has also indicated that the risk must be personal</w:t>
      </w:r>
      <w:r w:rsidR="00E93CC4" w:rsidRPr="003915C7">
        <w:rPr>
          <w:rStyle w:val="FootnoteReference"/>
        </w:rPr>
        <w:footnoteReference w:id="19"/>
      </w:r>
      <w:r w:rsidR="00E93CC4" w:rsidRPr="003915C7">
        <w:t xml:space="preserve"> and that there is a high threshold for providing substantial grounds to establish that a real risk of irreparable harm exists. Thus, all relevant facts and circumstances must be considered, including the general human rights situation in the author</w:t>
      </w:r>
      <w:r w:rsidR="001173CF" w:rsidRPr="008A1525">
        <w:rPr>
          <w:lang w:val="en-GB"/>
        </w:rPr>
        <w:t>’</w:t>
      </w:r>
      <w:r w:rsidR="00E93CC4" w:rsidRPr="003915C7">
        <w:t>s country of origin.</w:t>
      </w:r>
      <w:r w:rsidR="00E93CC4" w:rsidRPr="003915C7">
        <w:rPr>
          <w:rStyle w:val="FootnoteReference"/>
        </w:rPr>
        <w:footnoteReference w:id="20"/>
      </w:r>
      <w:r w:rsidR="00E93CC4" w:rsidRPr="003915C7">
        <w:t xml:space="preserve"> </w:t>
      </w:r>
    </w:p>
    <w:p w:rsidR="00E93CC4" w:rsidRPr="003915C7" w:rsidRDefault="00AE1B07">
      <w:pPr>
        <w:pStyle w:val="SingleTxtG"/>
        <w:rPr>
          <w:lang w:val="en-GB"/>
        </w:rPr>
      </w:pPr>
      <w:r w:rsidRPr="003915C7">
        <w:rPr>
          <w:lang w:val="en-GB"/>
        </w:rPr>
        <w:t>8</w:t>
      </w:r>
      <w:r w:rsidR="00E93CC4" w:rsidRPr="003915C7">
        <w:t>.3</w:t>
      </w:r>
      <w:r w:rsidR="00E93CC4" w:rsidRPr="003915C7">
        <w:tab/>
        <w:t>The Committee recalls its jurisprudence that important weight should be given to the assessment conducted by the State party, unless it is found that the evaluation was clearly arbitrary or amounted to a denial of justice</w:t>
      </w:r>
      <w:r w:rsidR="00E93CC4" w:rsidRPr="003915C7">
        <w:rPr>
          <w:lang w:val="en-GB"/>
        </w:rPr>
        <w:t>,</w:t>
      </w:r>
      <w:r w:rsidR="00E93CC4" w:rsidRPr="003915C7">
        <w:rPr>
          <w:vertAlign w:val="superscript"/>
        </w:rPr>
        <w:footnoteReference w:id="21"/>
      </w:r>
      <w:r w:rsidR="00E93CC4" w:rsidRPr="003915C7">
        <w:rPr>
          <w:lang w:val="en-GB"/>
        </w:rPr>
        <w:t xml:space="preserve"> and that </w:t>
      </w:r>
      <w:r w:rsidR="00E93CC4" w:rsidRPr="003915C7">
        <w:t xml:space="preserve">it is </w:t>
      </w:r>
      <w:r w:rsidR="00E93CC4" w:rsidRPr="003915C7">
        <w:rPr>
          <w:lang w:val="en-GB"/>
        </w:rPr>
        <w:t xml:space="preserve">generally </w:t>
      </w:r>
      <w:r w:rsidR="00E93CC4" w:rsidRPr="003915C7">
        <w:t>for the organs of States parties to the Covenant to review or evaluate facts and evidence in order to determine whether such a risk exists</w:t>
      </w:r>
      <w:r w:rsidR="00E93CC4" w:rsidRPr="003915C7">
        <w:rPr>
          <w:lang w:val="en-GB"/>
        </w:rPr>
        <w:t>.</w:t>
      </w:r>
      <w:r w:rsidR="00E93CC4" w:rsidRPr="003915C7">
        <w:rPr>
          <w:vertAlign w:val="superscript"/>
        </w:rPr>
        <w:footnoteReference w:id="22"/>
      </w:r>
      <w:r w:rsidR="00E93CC4" w:rsidRPr="003915C7">
        <w:rPr>
          <w:lang w:val="en-GB"/>
        </w:rPr>
        <w:t xml:space="preserve"> The Committee notes </w:t>
      </w:r>
      <w:r w:rsidR="00E93CC4" w:rsidRPr="003915C7">
        <w:t xml:space="preserve">the </w:t>
      </w:r>
      <w:r w:rsidR="00E93CC4" w:rsidRPr="003915C7">
        <w:rPr>
          <w:lang w:val="en-GB"/>
        </w:rPr>
        <w:t xml:space="preserve">assessment made by the </w:t>
      </w:r>
      <w:r w:rsidR="00E93CC4" w:rsidRPr="003915C7">
        <w:t>State party</w:t>
      </w:r>
      <w:r w:rsidR="00C57758" w:rsidRPr="003915C7">
        <w:rPr>
          <w:lang w:val="en-GB"/>
        </w:rPr>
        <w:t>’s</w:t>
      </w:r>
      <w:r w:rsidR="00E93CC4" w:rsidRPr="003915C7">
        <w:t xml:space="preserve"> authorities</w:t>
      </w:r>
      <w:r w:rsidR="007A2130" w:rsidRPr="003915C7">
        <w:rPr>
          <w:lang w:val="en-US"/>
        </w:rPr>
        <w:t>, namely,</w:t>
      </w:r>
      <w:r w:rsidR="00E93CC4" w:rsidRPr="003915C7">
        <w:t xml:space="preserve"> </w:t>
      </w:r>
      <w:r w:rsidR="00CB4608" w:rsidRPr="003915C7">
        <w:rPr>
          <w:lang w:val="en-GB"/>
        </w:rPr>
        <w:t xml:space="preserve">the </w:t>
      </w:r>
      <w:r w:rsidR="007A2130" w:rsidRPr="003915C7">
        <w:rPr>
          <w:lang w:val="en-GB"/>
        </w:rPr>
        <w:t xml:space="preserve">Danish Refugee Appeals </w:t>
      </w:r>
      <w:r w:rsidR="00115BC0" w:rsidRPr="003915C7">
        <w:rPr>
          <w:lang w:val="en-GB"/>
        </w:rPr>
        <w:t>Board</w:t>
      </w:r>
      <w:r w:rsidR="007A2130" w:rsidRPr="003915C7">
        <w:rPr>
          <w:lang w:val="en-GB"/>
        </w:rPr>
        <w:t>,</w:t>
      </w:r>
      <w:r w:rsidR="00C56108" w:rsidRPr="003915C7">
        <w:rPr>
          <w:lang w:val="en-GB"/>
        </w:rPr>
        <w:t xml:space="preserve"> </w:t>
      </w:r>
      <w:r w:rsidR="00115BC0" w:rsidRPr="003915C7">
        <w:rPr>
          <w:lang w:val="en-GB"/>
        </w:rPr>
        <w:t xml:space="preserve">including the information by the author that he had been one of the founders of Ultras Ahlawy and that he had been in charge of the group’s </w:t>
      </w:r>
      <w:r w:rsidR="00274F7C" w:rsidRPr="003915C7">
        <w:rPr>
          <w:lang w:val="en-GB"/>
        </w:rPr>
        <w:t>information technology</w:t>
      </w:r>
      <w:r w:rsidR="00115BC0" w:rsidRPr="003915C7">
        <w:rPr>
          <w:lang w:val="en-GB"/>
        </w:rPr>
        <w:t>. The Committee</w:t>
      </w:r>
      <w:r w:rsidR="00222950" w:rsidRPr="003915C7">
        <w:rPr>
          <w:lang w:val="en-GB"/>
        </w:rPr>
        <w:t>,</w:t>
      </w:r>
      <w:r w:rsidR="00115BC0" w:rsidRPr="003915C7">
        <w:rPr>
          <w:lang w:val="en-GB"/>
        </w:rPr>
        <w:t xml:space="preserve"> however</w:t>
      </w:r>
      <w:r w:rsidR="00222950" w:rsidRPr="003915C7">
        <w:rPr>
          <w:lang w:val="en-GB"/>
        </w:rPr>
        <w:t>,</w:t>
      </w:r>
      <w:r w:rsidR="00115BC0" w:rsidRPr="003915C7">
        <w:rPr>
          <w:lang w:val="en-GB"/>
        </w:rPr>
        <w:t xml:space="preserve"> notes that the State party has not found that, solely by being one of the founders of Ultras </w:t>
      </w:r>
      <w:r w:rsidR="00C57758" w:rsidRPr="003915C7">
        <w:rPr>
          <w:lang w:val="en-GB"/>
        </w:rPr>
        <w:t xml:space="preserve">Ahlawy group </w:t>
      </w:r>
      <w:r w:rsidR="00115BC0" w:rsidRPr="003915C7">
        <w:rPr>
          <w:lang w:val="en-GB"/>
        </w:rPr>
        <w:t xml:space="preserve">and in charge of the group’s </w:t>
      </w:r>
      <w:r w:rsidR="00274F7C" w:rsidRPr="003915C7">
        <w:rPr>
          <w:lang w:val="en-GB"/>
        </w:rPr>
        <w:t>information technology</w:t>
      </w:r>
      <w:r w:rsidR="00115BC0" w:rsidRPr="003915C7">
        <w:rPr>
          <w:lang w:val="en-GB"/>
        </w:rPr>
        <w:t xml:space="preserve">, </w:t>
      </w:r>
      <w:r w:rsidR="00222950" w:rsidRPr="003915C7">
        <w:rPr>
          <w:lang w:val="en-GB"/>
        </w:rPr>
        <w:t xml:space="preserve">and </w:t>
      </w:r>
      <w:r w:rsidR="00115BC0" w:rsidRPr="003915C7">
        <w:rPr>
          <w:lang w:val="en-GB"/>
        </w:rPr>
        <w:t>considering that the group was originally an apolitical fan club which later developed into one with a political objective, the author has</w:t>
      </w:r>
      <w:r w:rsidR="00C57758" w:rsidRPr="003915C7">
        <w:rPr>
          <w:lang w:val="en-GB"/>
        </w:rPr>
        <w:t xml:space="preserve"> developed such </w:t>
      </w:r>
      <w:r w:rsidR="00115BC0" w:rsidRPr="003915C7">
        <w:rPr>
          <w:lang w:val="en-GB"/>
        </w:rPr>
        <w:t>a high</w:t>
      </w:r>
      <w:r w:rsidR="00222950" w:rsidRPr="003915C7">
        <w:rPr>
          <w:lang w:val="en-GB"/>
        </w:rPr>
        <w:t xml:space="preserve"> </w:t>
      </w:r>
      <w:r w:rsidR="00115BC0" w:rsidRPr="003915C7">
        <w:rPr>
          <w:lang w:val="en-GB"/>
        </w:rPr>
        <w:t>profile</w:t>
      </w:r>
      <w:r w:rsidR="00C56108" w:rsidRPr="003915C7">
        <w:rPr>
          <w:lang w:val="en-GB"/>
        </w:rPr>
        <w:t xml:space="preserve"> as</w:t>
      </w:r>
      <w:r w:rsidR="00C57758" w:rsidRPr="003915C7">
        <w:rPr>
          <w:lang w:val="en-GB"/>
        </w:rPr>
        <w:t xml:space="preserve"> </w:t>
      </w:r>
      <w:r w:rsidR="00115BC0" w:rsidRPr="003915C7">
        <w:rPr>
          <w:lang w:val="en-GB"/>
        </w:rPr>
        <w:t xml:space="preserve">to </w:t>
      </w:r>
      <w:r w:rsidR="00C57758" w:rsidRPr="003915C7">
        <w:rPr>
          <w:lang w:val="en-GB"/>
        </w:rPr>
        <w:t>be placed at personal risk of persecution in case of return to Egypt</w:t>
      </w:r>
      <w:r w:rsidR="00115BC0" w:rsidRPr="003915C7">
        <w:rPr>
          <w:lang w:val="en-GB"/>
        </w:rPr>
        <w:t>. In this connection, the State party referred to the statement of the author that he had neither been present during the Port Said incident nor during any of the other clashes between the authorities and demonstrators,</w:t>
      </w:r>
      <w:r w:rsidR="007E2CC8" w:rsidRPr="003915C7">
        <w:rPr>
          <w:lang w:val="en-GB"/>
        </w:rPr>
        <w:t xml:space="preserve"> therefore </w:t>
      </w:r>
      <w:r w:rsidR="00115BC0" w:rsidRPr="003915C7">
        <w:rPr>
          <w:lang w:val="en-GB"/>
        </w:rPr>
        <w:t xml:space="preserve">considering that the author </w:t>
      </w:r>
      <w:r w:rsidR="00E93CC4" w:rsidRPr="003915C7">
        <w:rPr>
          <w:lang w:val="en-GB"/>
        </w:rPr>
        <w:t>did not face personal risk if returned to Egypt</w:t>
      </w:r>
      <w:r w:rsidR="00D33493" w:rsidRPr="003915C7">
        <w:rPr>
          <w:lang w:val="en-GB"/>
        </w:rPr>
        <w:t xml:space="preserve">. The State party </w:t>
      </w:r>
      <w:r w:rsidR="003C0A8D" w:rsidRPr="003915C7">
        <w:rPr>
          <w:lang w:val="en-GB"/>
        </w:rPr>
        <w:t xml:space="preserve">made </w:t>
      </w:r>
      <w:r w:rsidR="00D33493" w:rsidRPr="003915C7">
        <w:rPr>
          <w:lang w:val="en-GB"/>
        </w:rPr>
        <w:t xml:space="preserve">its assessment </w:t>
      </w:r>
      <w:r w:rsidR="00E93CC4" w:rsidRPr="003915C7">
        <w:rPr>
          <w:lang w:val="en-GB"/>
        </w:rPr>
        <w:t xml:space="preserve">on </w:t>
      </w:r>
      <w:r w:rsidR="000166B9" w:rsidRPr="003915C7">
        <w:rPr>
          <w:lang w:val="en-GB"/>
        </w:rPr>
        <w:t xml:space="preserve">the </w:t>
      </w:r>
      <w:r w:rsidR="003C0A8D" w:rsidRPr="003915C7">
        <w:rPr>
          <w:lang w:val="en-GB"/>
        </w:rPr>
        <w:t xml:space="preserve">basis of </w:t>
      </w:r>
      <w:r w:rsidR="000166B9" w:rsidRPr="003915C7">
        <w:rPr>
          <w:lang w:val="en-GB"/>
        </w:rPr>
        <w:t xml:space="preserve">author’s failure to present evidence that he would risk persecution by the Muslim Brotherhood, that he would be in a position of conflict relevant under asylum law vis-à-vis the military, police security forces or other authorities in case of his return to Egypt, or that the author or his </w:t>
      </w:r>
      <w:r w:rsidR="001762F0" w:rsidRPr="003915C7">
        <w:rPr>
          <w:lang w:val="en-GB"/>
        </w:rPr>
        <w:t xml:space="preserve">mother </w:t>
      </w:r>
      <w:r w:rsidR="000166B9" w:rsidRPr="003915C7">
        <w:rPr>
          <w:lang w:val="en-GB"/>
        </w:rPr>
        <w:t>had been contacted by the Egyptian authoritie</w:t>
      </w:r>
      <w:r w:rsidR="001762F0" w:rsidRPr="003915C7">
        <w:rPr>
          <w:lang w:val="en-GB"/>
        </w:rPr>
        <w:t>s</w:t>
      </w:r>
      <w:r w:rsidR="001762F0" w:rsidRPr="003915C7">
        <w:t xml:space="preserve"> </w:t>
      </w:r>
      <w:r w:rsidR="001762F0" w:rsidRPr="003915C7">
        <w:rPr>
          <w:lang w:val="en-GB"/>
        </w:rPr>
        <w:t>to look for the author</w:t>
      </w:r>
      <w:r w:rsidR="000166B9" w:rsidRPr="003915C7">
        <w:rPr>
          <w:lang w:val="en-GB"/>
        </w:rPr>
        <w:t xml:space="preserve">. </w:t>
      </w:r>
    </w:p>
    <w:p w:rsidR="00B94CD2" w:rsidRPr="003915C7" w:rsidRDefault="00B84285">
      <w:pPr>
        <w:pStyle w:val="SingleTxtG"/>
        <w:rPr>
          <w:lang w:val="en-GB"/>
        </w:rPr>
      </w:pPr>
      <w:r w:rsidRPr="003915C7">
        <w:rPr>
          <w:lang w:val="en-GB"/>
        </w:rPr>
        <w:t>8</w:t>
      </w:r>
      <w:r w:rsidR="00E93CC4" w:rsidRPr="003915C7">
        <w:rPr>
          <w:lang w:val="en-GB"/>
        </w:rPr>
        <w:t>.4</w:t>
      </w:r>
      <w:r w:rsidR="00E93CC4" w:rsidRPr="003915C7">
        <w:rPr>
          <w:lang w:val="en-GB"/>
        </w:rPr>
        <w:tab/>
      </w:r>
      <w:r w:rsidR="00D33493" w:rsidRPr="003915C7">
        <w:rPr>
          <w:lang w:val="en-GB"/>
        </w:rPr>
        <w:t>The Committee notes the author’s assertions of evidence presented to substantiate his allegations</w:t>
      </w:r>
      <w:r w:rsidR="003C0A8D" w:rsidRPr="003915C7">
        <w:rPr>
          <w:lang w:val="en-GB"/>
        </w:rPr>
        <w:t>,</w:t>
      </w:r>
      <w:r w:rsidR="00D33493" w:rsidRPr="003915C7">
        <w:rPr>
          <w:lang w:val="en-GB"/>
        </w:rPr>
        <w:t xml:space="preserve"> </w:t>
      </w:r>
      <w:r w:rsidR="003C0A8D" w:rsidRPr="003915C7">
        <w:rPr>
          <w:lang w:val="en-GB"/>
        </w:rPr>
        <w:t xml:space="preserve">namely, </w:t>
      </w:r>
      <w:r w:rsidR="00D33493" w:rsidRPr="003915C7">
        <w:rPr>
          <w:lang w:val="en-GB"/>
        </w:rPr>
        <w:t>a threatening letter sent to his mother’s house, pictures of Egyptians who have been ki</w:t>
      </w:r>
      <w:r w:rsidR="00635DDA" w:rsidRPr="003915C7">
        <w:rPr>
          <w:lang w:val="en-GB"/>
        </w:rPr>
        <w:t>l</w:t>
      </w:r>
      <w:r w:rsidR="00D33493" w:rsidRPr="003915C7">
        <w:rPr>
          <w:lang w:val="en-GB"/>
        </w:rPr>
        <w:t xml:space="preserve">led and tortured for the free </w:t>
      </w:r>
      <w:r w:rsidR="00635DDA" w:rsidRPr="003915C7">
        <w:rPr>
          <w:lang w:val="en-GB"/>
        </w:rPr>
        <w:t xml:space="preserve">determination of political status and </w:t>
      </w:r>
      <w:r w:rsidR="00D33493" w:rsidRPr="003915C7">
        <w:rPr>
          <w:lang w:val="en-GB"/>
        </w:rPr>
        <w:t xml:space="preserve">pursuit of </w:t>
      </w:r>
      <w:r w:rsidR="00635DDA" w:rsidRPr="003915C7">
        <w:rPr>
          <w:lang w:val="en-GB"/>
        </w:rPr>
        <w:t xml:space="preserve">the social and cultural development of Ultras Ahlawy in Egypt without risking persecution, and various articles explaining how the current regime enacts laws empowering the authorities to control social media for Ultras Ahlawy, including by attempts to hack </w:t>
      </w:r>
      <w:r w:rsidR="00D96673" w:rsidRPr="003915C7">
        <w:rPr>
          <w:lang w:val="en-GB"/>
        </w:rPr>
        <w:t xml:space="preserve">the group’s </w:t>
      </w:r>
      <w:r w:rsidR="00635DDA" w:rsidRPr="003915C7">
        <w:rPr>
          <w:lang w:val="en-GB"/>
        </w:rPr>
        <w:t xml:space="preserve">Facebook page and shutting down </w:t>
      </w:r>
      <w:r w:rsidR="00D96673" w:rsidRPr="003915C7">
        <w:rPr>
          <w:lang w:val="en-GB"/>
        </w:rPr>
        <w:t>its</w:t>
      </w:r>
      <w:r w:rsidR="00635DDA" w:rsidRPr="003915C7">
        <w:rPr>
          <w:lang w:val="en-GB"/>
        </w:rPr>
        <w:t xml:space="preserve"> webpage. The Committee further notes the author’s assertions that the Egyptian authorities have searched his mother’s house several times after he was ordered to return to Egypt</w:t>
      </w:r>
      <w:r w:rsidR="00B34082" w:rsidRPr="003915C7">
        <w:rPr>
          <w:lang w:val="en-GB"/>
        </w:rPr>
        <w:t>.</w:t>
      </w:r>
      <w:r w:rsidR="00635DDA" w:rsidRPr="003915C7">
        <w:rPr>
          <w:lang w:val="en-GB"/>
        </w:rPr>
        <w:t xml:space="preserve"> </w:t>
      </w:r>
      <w:r w:rsidR="001C09D8" w:rsidRPr="003915C7">
        <w:rPr>
          <w:lang w:val="en-GB"/>
        </w:rPr>
        <w:t xml:space="preserve">The State party </w:t>
      </w:r>
      <w:r w:rsidR="003F2CA6" w:rsidRPr="003915C7">
        <w:rPr>
          <w:lang w:val="en-GB"/>
        </w:rPr>
        <w:t>dismiss</w:t>
      </w:r>
      <w:r w:rsidR="001C09D8" w:rsidRPr="003915C7">
        <w:rPr>
          <w:lang w:val="en-GB"/>
        </w:rPr>
        <w:t xml:space="preserve">ed </w:t>
      </w:r>
      <w:r w:rsidR="003F2CA6" w:rsidRPr="003915C7">
        <w:rPr>
          <w:lang w:val="en-GB"/>
        </w:rPr>
        <w:t>the allegations that the Egyptian authorities hav</w:t>
      </w:r>
      <w:r w:rsidR="00B34082" w:rsidRPr="003915C7">
        <w:rPr>
          <w:lang w:val="en-GB"/>
        </w:rPr>
        <w:t>e</w:t>
      </w:r>
      <w:r w:rsidR="003F2CA6" w:rsidRPr="003915C7">
        <w:rPr>
          <w:lang w:val="en-GB"/>
        </w:rPr>
        <w:t xml:space="preserve"> turned up at the author’s home for lack of evidence </w:t>
      </w:r>
      <w:r w:rsidR="001C09D8" w:rsidRPr="003915C7">
        <w:rPr>
          <w:lang w:val="en-GB"/>
        </w:rPr>
        <w:t>and f</w:t>
      </w:r>
      <w:r w:rsidR="003F2CA6" w:rsidRPr="003915C7">
        <w:rPr>
          <w:lang w:val="en-GB"/>
        </w:rPr>
        <w:t xml:space="preserve">or lack of substantiation </w:t>
      </w:r>
      <w:r w:rsidR="0049072C" w:rsidRPr="003915C7">
        <w:rPr>
          <w:lang w:val="en-GB"/>
        </w:rPr>
        <w:t xml:space="preserve">as to the reason why </w:t>
      </w:r>
      <w:r w:rsidR="003F2CA6" w:rsidRPr="003915C7">
        <w:rPr>
          <w:lang w:val="en-GB"/>
        </w:rPr>
        <w:t>the authorities would visit the author’s mother to look for him</w:t>
      </w:r>
      <w:r w:rsidR="00B34082" w:rsidRPr="003915C7">
        <w:rPr>
          <w:lang w:val="en-GB"/>
        </w:rPr>
        <w:t>.</w:t>
      </w:r>
      <w:r w:rsidR="009F67B4" w:rsidRPr="003915C7">
        <w:rPr>
          <w:lang w:val="en-GB"/>
        </w:rPr>
        <w:t xml:space="preserve"> </w:t>
      </w:r>
      <w:r w:rsidR="0049072C" w:rsidRPr="003915C7">
        <w:rPr>
          <w:lang w:val="en-GB"/>
        </w:rPr>
        <w:t>T</w:t>
      </w:r>
      <w:r w:rsidR="00E93CC4" w:rsidRPr="003915C7">
        <w:rPr>
          <w:lang w:val="en-GB"/>
        </w:rPr>
        <w:t>he Committee</w:t>
      </w:r>
      <w:r w:rsidR="00E93CC4" w:rsidRPr="003915C7">
        <w:t xml:space="preserve"> </w:t>
      </w:r>
      <w:r w:rsidR="0049072C" w:rsidRPr="008A1525">
        <w:rPr>
          <w:lang w:val="en-GB"/>
        </w:rPr>
        <w:t xml:space="preserve">also </w:t>
      </w:r>
      <w:r w:rsidR="00D96673" w:rsidRPr="003915C7">
        <w:rPr>
          <w:lang w:val="en-GB"/>
        </w:rPr>
        <w:t xml:space="preserve">notes the persistent reports raising serious concerns </w:t>
      </w:r>
      <w:r w:rsidR="00E93CC4" w:rsidRPr="003915C7">
        <w:t xml:space="preserve">about </w:t>
      </w:r>
      <w:r w:rsidR="00E93CC4" w:rsidRPr="003915C7">
        <w:rPr>
          <w:lang w:val="en-GB"/>
        </w:rPr>
        <w:t>the general human rights situation</w:t>
      </w:r>
      <w:r w:rsidR="00E93CC4" w:rsidRPr="003915C7">
        <w:t xml:space="preserve"> </w:t>
      </w:r>
      <w:r w:rsidR="00E93CC4" w:rsidRPr="003915C7">
        <w:rPr>
          <w:lang w:val="en-GB"/>
        </w:rPr>
        <w:t>in Egypt</w:t>
      </w:r>
      <w:r w:rsidR="009F67B4" w:rsidRPr="003915C7">
        <w:rPr>
          <w:lang w:val="en-GB"/>
        </w:rPr>
        <w:t>,</w:t>
      </w:r>
      <w:r w:rsidR="00E93CC4" w:rsidRPr="003915C7">
        <w:rPr>
          <w:lang w:val="en-GB"/>
        </w:rPr>
        <w:t xml:space="preserve"> and note</w:t>
      </w:r>
      <w:r w:rsidR="009F67B4" w:rsidRPr="003915C7">
        <w:rPr>
          <w:lang w:val="en-GB"/>
        </w:rPr>
        <w:t>s</w:t>
      </w:r>
      <w:r w:rsidR="00E93CC4" w:rsidRPr="003915C7">
        <w:rPr>
          <w:lang w:val="en-GB"/>
        </w:rPr>
        <w:t xml:space="preserve"> </w:t>
      </w:r>
      <w:r w:rsidR="00D96673" w:rsidRPr="003915C7">
        <w:rPr>
          <w:lang w:val="en-GB"/>
        </w:rPr>
        <w:t xml:space="preserve">in particular </w:t>
      </w:r>
      <w:r w:rsidR="00E93CC4" w:rsidRPr="003915C7">
        <w:rPr>
          <w:lang w:val="en-GB"/>
        </w:rPr>
        <w:t xml:space="preserve">of the reported cases of </w:t>
      </w:r>
      <w:r w:rsidR="007104CB" w:rsidRPr="003915C7">
        <w:rPr>
          <w:lang w:val="en-GB"/>
        </w:rPr>
        <w:t xml:space="preserve">marginalization of the opposition </w:t>
      </w:r>
      <w:r w:rsidR="00667C61" w:rsidRPr="003915C7">
        <w:rPr>
          <w:lang w:val="en-GB"/>
        </w:rPr>
        <w:t>to supress all dissent</w:t>
      </w:r>
      <w:r w:rsidR="009F67B4" w:rsidRPr="003915C7">
        <w:rPr>
          <w:lang w:val="en-GB"/>
        </w:rPr>
        <w:t>;</w:t>
      </w:r>
      <w:r w:rsidR="00667C61" w:rsidRPr="003915C7">
        <w:rPr>
          <w:lang w:val="en-GB"/>
        </w:rPr>
        <w:t xml:space="preserve"> </w:t>
      </w:r>
      <w:r w:rsidR="009F67B4" w:rsidRPr="003915C7">
        <w:rPr>
          <w:lang w:val="en-GB"/>
        </w:rPr>
        <w:t>the S</w:t>
      </w:r>
      <w:r w:rsidR="007104CB" w:rsidRPr="003915C7">
        <w:rPr>
          <w:lang w:val="en-GB"/>
        </w:rPr>
        <w:t>tate surveillance of electronic communications</w:t>
      </w:r>
      <w:r w:rsidR="009F67B4" w:rsidRPr="003915C7">
        <w:rPr>
          <w:lang w:val="en-GB"/>
        </w:rPr>
        <w:t>;</w:t>
      </w:r>
      <w:r w:rsidR="007104CB" w:rsidRPr="003915C7">
        <w:rPr>
          <w:lang w:val="en-GB"/>
        </w:rPr>
        <w:t xml:space="preserve"> </w:t>
      </w:r>
      <w:r w:rsidR="009F67B4" w:rsidRPr="003915C7">
        <w:rPr>
          <w:lang w:val="en-GB"/>
        </w:rPr>
        <w:t xml:space="preserve">the </w:t>
      </w:r>
      <w:r w:rsidR="00667C61" w:rsidRPr="003915C7">
        <w:rPr>
          <w:lang w:val="en-GB"/>
        </w:rPr>
        <w:t>mass arrests of suspected supporters of the Muslim Brotherhood</w:t>
      </w:r>
      <w:r w:rsidR="009F67B4" w:rsidRPr="003915C7">
        <w:rPr>
          <w:lang w:val="en-GB"/>
        </w:rPr>
        <w:t>;</w:t>
      </w:r>
      <w:r w:rsidR="00667C61" w:rsidRPr="003915C7">
        <w:rPr>
          <w:lang w:val="en-GB"/>
        </w:rPr>
        <w:t xml:space="preserve"> </w:t>
      </w:r>
      <w:r w:rsidR="009F67B4" w:rsidRPr="003915C7">
        <w:rPr>
          <w:lang w:val="en-GB"/>
        </w:rPr>
        <w:t xml:space="preserve">the </w:t>
      </w:r>
      <w:r w:rsidR="00781373" w:rsidRPr="003915C7">
        <w:rPr>
          <w:lang w:val="en-GB"/>
        </w:rPr>
        <w:t xml:space="preserve">torture and </w:t>
      </w:r>
      <w:r w:rsidR="00E93CC4" w:rsidRPr="003915C7">
        <w:rPr>
          <w:lang w:val="en-GB"/>
        </w:rPr>
        <w:t>ill-treatmen</w:t>
      </w:r>
      <w:r w:rsidR="00781373" w:rsidRPr="003915C7">
        <w:rPr>
          <w:lang w:val="en-GB"/>
        </w:rPr>
        <w:t>t</w:t>
      </w:r>
      <w:r w:rsidR="007104CB" w:rsidRPr="003915C7">
        <w:rPr>
          <w:lang w:val="en-GB"/>
        </w:rPr>
        <w:t xml:space="preserve"> of those arrested and detained</w:t>
      </w:r>
      <w:r w:rsidR="009F67B4" w:rsidRPr="003915C7">
        <w:rPr>
          <w:lang w:val="en-GB"/>
        </w:rPr>
        <w:t>;</w:t>
      </w:r>
      <w:r w:rsidR="00667C61" w:rsidRPr="003915C7">
        <w:rPr>
          <w:lang w:val="en-GB"/>
        </w:rPr>
        <w:t xml:space="preserve"> </w:t>
      </w:r>
      <w:r w:rsidR="009F67B4" w:rsidRPr="003915C7">
        <w:rPr>
          <w:lang w:val="en-GB"/>
        </w:rPr>
        <w:t xml:space="preserve">the </w:t>
      </w:r>
      <w:r w:rsidR="00667C61" w:rsidRPr="003915C7">
        <w:rPr>
          <w:lang w:val="en-GB"/>
        </w:rPr>
        <w:t>killing of protesters</w:t>
      </w:r>
      <w:r w:rsidR="009F67B4" w:rsidRPr="003915C7">
        <w:rPr>
          <w:lang w:val="en-GB"/>
        </w:rPr>
        <w:t>;</w:t>
      </w:r>
      <w:r w:rsidR="00667C61" w:rsidRPr="003915C7">
        <w:rPr>
          <w:lang w:val="en-GB"/>
        </w:rPr>
        <w:t xml:space="preserve"> </w:t>
      </w:r>
      <w:r w:rsidR="009F67B4" w:rsidRPr="003915C7">
        <w:rPr>
          <w:lang w:val="en-GB"/>
        </w:rPr>
        <w:t xml:space="preserve">the </w:t>
      </w:r>
      <w:r w:rsidR="007104CB" w:rsidRPr="003915C7">
        <w:rPr>
          <w:lang w:val="en-GB"/>
        </w:rPr>
        <w:t xml:space="preserve">widespread </w:t>
      </w:r>
      <w:r w:rsidR="009F67B4" w:rsidRPr="003915C7">
        <w:rPr>
          <w:lang w:val="en-GB"/>
        </w:rPr>
        <w:t xml:space="preserve">use of the </w:t>
      </w:r>
      <w:r w:rsidR="00667C61" w:rsidRPr="003915C7">
        <w:rPr>
          <w:lang w:val="en-GB"/>
        </w:rPr>
        <w:t>death sentence</w:t>
      </w:r>
      <w:r w:rsidR="009F67B4" w:rsidRPr="003915C7">
        <w:rPr>
          <w:lang w:val="en-GB"/>
        </w:rPr>
        <w:t>;</w:t>
      </w:r>
      <w:r w:rsidR="00667C61" w:rsidRPr="003915C7">
        <w:rPr>
          <w:lang w:val="en-GB"/>
        </w:rPr>
        <w:t xml:space="preserve"> </w:t>
      </w:r>
      <w:r w:rsidR="009F67B4" w:rsidRPr="003915C7">
        <w:rPr>
          <w:lang w:val="en-GB"/>
        </w:rPr>
        <w:t xml:space="preserve">the </w:t>
      </w:r>
      <w:r w:rsidR="00667C61" w:rsidRPr="003915C7">
        <w:rPr>
          <w:lang w:val="en-GB"/>
        </w:rPr>
        <w:t>clamp-down</w:t>
      </w:r>
      <w:r w:rsidR="009F67B4" w:rsidRPr="003915C7">
        <w:rPr>
          <w:lang w:val="en-GB"/>
        </w:rPr>
        <w:t>s</w:t>
      </w:r>
      <w:r w:rsidR="00667C61" w:rsidRPr="003915C7">
        <w:rPr>
          <w:lang w:val="en-GB"/>
        </w:rPr>
        <w:t xml:space="preserve"> on freedom of expression</w:t>
      </w:r>
      <w:r w:rsidR="007104CB" w:rsidRPr="003915C7">
        <w:rPr>
          <w:lang w:val="en-GB"/>
        </w:rPr>
        <w:t xml:space="preserve"> and </w:t>
      </w:r>
      <w:r w:rsidR="00667C61" w:rsidRPr="003915C7">
        <w:rPr>
          <w:lang w:val="en-GB"/>
        </w:rPr>
        <w:t>violations of rights of refugees, asylum seekers and migrants</w:t>
      </w:r>
      <w:r w:rsidR="00781373" w:rsidRPr="003915C7">
        <w:rPr>
          <w:lang w:val="en-GB"/>
        </w:rPr>
        <w:t xml:space="preserve">, according to </w:t>
      </w:r>
      <w:r w:rsidR="001B11A6" w:rsidRPr="003915C7">
        <w:rPr>
          <w:lang w:val="en-GB"/>
        </w:rPr>
        <w:t xml:space="preserve">reports on Egypt of </w:t>
      </w:r>
      <w:r w:rsidR="00781373" w:rsidRPr="003915C7">
        <w:rPr>
          <w:lang w:val="en-GB"/>
        </w:rPr>
        <w:t xml:space="preserve">the </w:t>
      </w:r>
      <w:r w:rsidR="00564C5D" w:rsidRPr="003915C7">
        <w:rPr>
          <w:lang w:val="en-GB"/>
        </w:rPr>
        <w:t xml:space="preserve">human rights mechanisms </w:t>
      </w:r>
      <w:r w:rsidR="001B11A6" w:rsidRPr="003915C7">
        <w:rPr>
          <w:lang w:val="en-GB"/>
        </w:rPr>
        <w:t xml:space="preserve">of the United Nations </w:t>
      </w:r>
      <w:r w:rsidR="00564C5D" w:rsidRPr="003915C7">
        <w:rPr>
          <w:lang w:val="en-GB"/>
        </w:rPr>
        <w:t xml:space="preserve">and </w:t>
      </w:r>
      <w:r w:rsidR="001D5F2D" w:rsidRPr="003915C7">
        <w:rPr>
          <w:lang w:val="en-GB"/>
        </w:rPr>
        <w:t>international non-governmental organi</w:t>
      </w:r>
      <w:r w:rsidR="00274F7C" w:rsidRPr="003915C7">
        <w:rPr>
          <w:lang w:val="en-GB"/>
        </w:rPr>
        <w:t>z</w:t>
      </w:r>
      <w:r w:rsidR="001D5F2D" w:rsidRPr="003915C7">
        <w:rPr>
          <w:lang w:val="en-GB"/>
        </w:rPr>
        <w:t>ations</w:t>
      </w:r>
      <w:r w:rsidR="009F67B4" w:rsidRPr="003915C7">
        <w:rPr>
          <w:lang w:val="en-GB"/>
        </w:rPr>
        <w:t>;</w:t>
      </w:r>
      <w:r w:rsidR="004A3E34" w:rsidRPr="003915C7">
        <w:rPr>
          <w:rStyle w:val="FootnoteReference"/>
          <w:lang w:val="en-GB"/>
        </w:rPr>
        <w:footnoteReference w:id="23"/>
      </w:r>
      <w:r w:rsidR="00781373" w:rsidRPr="003915C7">
        <w:rPr>
          <w:lang w:val="en-GB"/>
        </w:rPr>
        <w:t xml:space="preserve"> </w:t>
      </w:r>
      <w:r w:rsidR="009F67B4" w:rsidRPr="003915C7">
        <w:rPr>
          <w:lang w:val="en-GB"/>
        </w:rPr>
        <w:t xml:space="preserve">and the </w:t>
      </w:r>
      <w:r w:rsidR="001B11A6" w:rsidRPr="003915C7">
        <w:rPr>
          <w:lang w:val="en-GB"/>
        </w:rPr>
        <w:t xml:space="preserve">author’s allegations of </w:t>
      </w:r>
      <w:r w:rsidR="00781373" w:rsidRPr="003915C7">
        <w:rPr>
          <w:lang w:val="en-GB"/>
        </w:rPr>
        <w:t xml:space="preserve">kidnapping, torture or killing of individuals who occupied </w:t>
      </w:r>
      <w:r w:rsidR="00B94CD2" w:rsidRPr="003915C7">
        <w:rPr>
          <w:lang w:val="en-GB"/>
        </w:rPr>
        <w:t xml:space="preserve">the </w:t>
      </w:r>
      <w:r w:rsidR="001B11A6" w:rsidRPr="003915C7">
        <w:rPr>
          <w:lang w:val="en-GB"/>
        </w:rPr>
        <w:t xml:space="preserve">same </w:t>
      </w:r>
      <w:r w:rsidR="00B94CD2" w:rsidRPr="003915C7">
        <w:rPr>
          <w:lang w:val="en-GB"/>
        </w:rPr>
        <w:t xml:space="preserve">or lower hierarchical positions in </w:t>
      </w:r>
      <w:r w:rsidR="001B11A6" w:rsidRPr="003915C7">
        <w:rPr>
          <w:lang w:val="en-GB"/>
        </w:rPr>
        <w:t xml:space="preserve">the group </w:t>
      </w:r>
      <w:r w:rsidR="00B94CD2" w:rsidRPr="003915C7">
        <w:rPr>
          <w:lang w:val="en-GB"/>
        </w:rPr>
        <w:t xml:space="preserve">Ultras Ahlawy </w:t>
      </w:r>
      <w:r w:rsidR="005619D1" w:rsidRPr="003915C7">
        <w:rPr>
          <w:lang w:val="en-GB"/>
        </w:rPr>
        <w:t xml:space="preserve">as </w:t>
      </w:r>
      <w:r w:rsidR="001B11A6" w:rsidRPr="003915C7">
        <w:rPr>
          <w:lang w:val="en-GB"/>
        </w:rPr>
        <w:t>him</w:t>
      </w:r>
      <w:r w:rsidR="00B94CD2" w:rsidRPr="003915C7">
        <w:rPr>
          <w:lang w:val="en-GB"/>
        </w:rPr>
        <w:t xml:space="preserve">, on </w:t>
      </w:r>
      <w:r w:rsidR="001B11A6" w:rsidRPr="003915C7">
        <w:rPr>
          <w:lang w:val="en-GB"/>
        </w:rPr>
        <w:t xml:space="preserve">the basis of </w:t>
      </w:r>
      <w:r w:rsidR="00B94CD2" w:rsidRPr="003915C7">
        <w:rPr>
          <w:lang w:val="en-GB"/>
        </w:rPr>
        <w:t xml:space="preserve">which he asserts that he risks </w:t>
      </w:r>
      <w:r w:rsidR="001B11A6" w:rsidRPr="003915C7">
        <w:rPr>
          <w:lang w:val="en-GB"/>
        </w:rPr>
        <w:t xml:space="preserve">a </w:t>
      </w:r>
      <w:r w:rsidR="00B94CD2" w:rsidRPr="003915C7">
        <w:rPr>
          <w:lang w:val="en-GB"/>
        </w:rPr>
        <w:t xml:space="preserve">similar fate if returned to Egypt. </w:t>
      </w:r>
    </w:p>
    <w:p w:rsidR="00E93CC4" w:rsidRPr="003915C7" w:rsidRDefault="00B84285">
      <w:pPr>
        <w:pStyle w:val="SingleTxtG"/>
        <w:rPr>
          <w:lang w:val="en-GB"/>
        </w:rPr>
      </w:pPr>
      <w:r w:rsidRPr="003915C7">
        <w:rPr>
          <w:lang w:val="en-GB"/>
        </w:rPr>
        <w:t>8</w:t>
      </w:r>
      <w:r w:rsidR="00131D2D" w:rsidRPr="003915C7">
        <w:rPr>
          <w:lang w:val="en-GB"/>
        </w:rPr>
        <w:t>.5</w:t>
      </w:r>
      <w:r w:rsidR="00131D2D" w:rsidRPr="003915C7">
        <w:rPr>
          <w:lang w:val="en-GB"/>
        </w:rPr>
        <w:tab/>
      </w:r>
      <w:r w:rsidR="00B94CD2" w:rsidRPr="003915C7">
        <w:rPr>
          <w:lang w:val="en-GB"/>
        </w:rPr>
        <w:t xml:space="preserve">The Committee also notes the new evidence by the author in the form of an Arabic-language online video purporting to depict Ahmed Abdelaziz Shobeir, </w:t>
      </w:r>
      <w:r w:rsidR="00D96673" w:rsidRPr="003915C7">
        <w:rPr>
          <w:lang w:val="en-GB"/>
        </w:rPr>
        <w:t xml:space="preserve">the </w:t>
      </w:r>
      <w:r w:rsidR="00B94CD2" w:rsidRPr="003915C7">
        <w:rPr>
          <w:lang w:val="en-GB"/>
        </w:rPr>
        <w:t xml:space="preserve">former </w:t>
      </w:r>
      <w:r w:rsidR="001B11A6" w:rsidRPr="003915C7">
        <w:rPr>
          <w:lang w:val="en-GB"/>
        </w:rPr>
        <w:t>V</w:t>
      </w:r>
      <w:r w:rsidR="00B94CD2" w:rsidRPr="003915C7">
        <w:rPr>
          <w:lang w:val="en-GB"/>
        </w:rPr>
        <w:t>ice-</w:t>
      </w:r>
      <w:r w:rsidR="001B11A6" w:rsidRPr="003915C7">
        <w:rPr>
          <w:lang w:val="en-GB"/>
        </w:rPr>
        <w:t>P</w:t>
      </w:r>
      <w:r w:rsidR="00B94CD2" w:rsidRPr="003915C7">
        <w:rPr>
          <w:lang w:val="en-GB"/>
        </w:rPr>
        <w:t>resident of the Egyptian Footba</w:t>
      </w:r>
      <w:r w:rsidR="00915F13" w:rsidRPr="003915C7">
        <w:rPr>
          <w:lang w:val="en-GB"/>
        </w:rPr>
        <w:t>ll Association</w:t>
      </w:r>
      <w:r w:rsidR="001B11A6" w:rsidRPr="003915C7">
        <w:rPr>
          <w:lang w:val="en-GB"/>
        </w:rPr>
        <w:t>,</w:t>
      </w:r>
      <w:r w:rsidR="00915F13" w:rsidRPr="003915C7">
        <w:rPr>
          <w:lang w:val="en-GB"/>
        </w:rPr>
        <w:t xml:space="preserve"> in whi</w:t>
      </w:r>
      <w:r w:rsidR="00B94CD2" w:rsidRPr="003915C7">
        <w:rPr>
          <w:lang w:val="en-GB"/>
        </w:rPr>
        <w:t xml:space="preserve">ch he stated on 21 February 2014 that “Captain Ahmad Shobeir swears to God multiple times that Ultras Ahlawy is a terrorist group”, </w:t>
      </w:r>
      <w:r w:rsidR="00915F13" w:rsidRPr="003915C7">
        <w:rPr>
          <w:lang w:val="en-GB"/>
        </w:rPr>
        <w:t xml:space="preserve">contemplating </w:t>
      </w:r>
      <w:r w:rsidR="00B94CD2" w:rsidRPr="003915C7">
        <w:rPr>
          <w:lang w:val="en-GB"/>
        </w:rPr>
        <w:t xml:space="preserve">that Ultras Ahlawy </w:t>
      </w:r>
      <w:r w:rsidR="00915F13" w:rsidRPr="003915C7">
        <w:rPr>
          <w:lang w:val="en-GB"/>
        </w:rPr>
        <w:t>s</w:t>
      </w:r>
      <w:r w:rsidR="00B94CD2" w:rsidRPr="003915C7">
        <w:rPr>
          <w:lang w:val="en-GB"/>
        </w:rPr>
        <w:t xml:space="preserve">hould be banned as it was purportedly an ally in terrorism with </w:t>
      </w:r>
      <w:r w:rsidR="00915F13" w:rsidRPr="003915C7">
        <w:rPr>
          <w:lang w:val="en-GB"/>
        </w:rPr>
        <w:t>t</w:t>
      </w:r>
      <w:r w:rsidR="00B94CD2" w:rsidRPr="003915C7">
        <w:rPr>
          <w:lang w:val="en-GB"/>
        </w:rPr>
        <w:t xml:space="preserve">he Muslim Brotherhood, and </w:t>
      </w:r>
      <w:r w:rsidR="00915F13" w:rsidRPr="003915C7">
        <w:rPr>
          <w:lang w:val="en-GB"/>
        </w:rPr>
        <w:t xml:space="preserve">that </w:t>
      </w:r>
      <w:r w:rsidR="00B94CD2" w:rsidRPr="003915C7">
        <w:rPr>
          <w:lang w:val="en-GB"/>
        </w:rPr>
        <w:t xml:space="preserve">the </w:t>
      </w:r>
      <w:r w:rsidR="00274F7C" w:rsidRPr="003915C7">
        <w:rPr>
          <w:lang w:val="en-GB"/>
        </w:rPr>
        <w:t>G</w:t>
      </w:r>
      <w:r w:rsidR="00B94CD2" w:rsidRPr="003915C7">
        <w:rPr>
          <w:lang w:val="en-GB"/>
        </w:rPr>
        <w:t xml:space="preserve">overnment </w:t>
      </w:r>
      <w:r w:rsidR="00274F7C" w:rsidRPr="003915C7">
        <w:rPr>
          <w:lang w:val="en-GB"/>
        </w:rPr>
        <w:t xml:space="preserve">of Egypt </w:t>
      </w:r>
      <w:r w:rsidR="00B94CD2" w:rsidRPr="003915C7">
        <w:rPr>
          <w:lang w:val="en-GB"/>
        </w:rPr>
        <w:t xml:space="preserve">should stop </w:t>
      </w:r>
      <w:r w:rsidR="00D96673" w:rsidRPr="003915C7">
        <w:rPr>
          <w:lang w:val="en-GB"/>
        </w:rPr>
        <w:t xml:space="preserve">the </w:t>
      </w:r>
      <w:r w:rsidR="00B94CD2" w:rsidRPr="003915C7">
        <w:rPr>
          <w:lang w:val="en-GB"/>
        </w:rPr>
        <w:t xml:space="preserve">Ultras Ahlawy. </w:t>
      </w:r>
      <w:r w:rsidR="001C09D8" w:rsidRPr="003915C7">
        <w:rPr>
          <w:lang w:val="en-GB"/>
        </w:rPr>
        <w:t xml:space="preserve">The Committee also notes that </w:t>
      </w:r>
      <w:r w:rsidR="00B57426" w:rsidRPr="003915C7">
        <w:rPr>
          <w:lang w:val="en-GB"/>
        </w:rPr>
        <w:t xml:space="preserve">the </w:t>
      </w:r>
      <w:r w:rsidR="001C09D8" w:rsidRPr="003915C7">
        <w:rPr>
          <w:lang w:val="en-GB"/>
        </w:rPr>
        <w:t xml:space="preserve">designation </w:t>
      </w:r>
      <w:r w:rsidR="00491C25" w:rsidRPr="003915C7">
        <w:rPr>
          <w:lang w:val="en-GB"/>
        </w:rPr>
        <w:t xml:space="preserve">of Ultras Ahlawy </w:t>
      </w:r>
      <w:r w:rsidRPr="003915C7">
        <w:rPr>
          <w:lang w:val="en-GB"/>
        </w:rPr>
        <w:t xml:space="preserve">as </w:t>
      </w:r>
      <w:r w:rsidR="00491C25" w:rsidRPr="003915C7">
        <w:rPr>
          <w:lang w:val="en-GB"/>
        </w:rPr>
        <w:t xml:space="preserve">a terrorist group has not been contested by the State party and that </w:t>
      </w:r>
      <w:r w:rsidRPr="003915C7">
        <w:rPr>
          <w:lang w:val="en-GB"/>
        </w:rPr>
        <w:t xml:space="preserve">the State party </w:t>
      </w:r>
      <w:r w:rsidR="00491C25" w:rsidRPr="003915C7">
        <w:rPr>
          <w:lang w:val="en-GB"/>
        </w:rPr>
        <w:t xml:space="preserve">failed to address </w:t>
      </w:r>
      <w:r w:rsidR="004A1789" w:rsidRPr="003915C7">
        <w:rPr>
          <w:lang w:val="en-GB"/>
        </w:rPr>
        <w:t xml:space="preserve">in its replies </w:t>
      </w:r>
      <w:r w:rsidR="00491C25" w:rsidRPr="003915C7">
        <w:rPr>
          <w:lang w:val="en-GB"/>
        </w:rPr>
        <w:t xml:space="preserve">the impact of such designation on the risk for the author upon his return to Egypt. </w:t>
      </w:r>
      <w:r w:rsidR="00915F13" w:rsidRPr="003915C7">
        <w:rPr>
          <w:lang w:val="en-GB"/>
        </w:rPr>
        <w:t>Since the author reliably indicate</w:t>
      </w:r>
      <w:r w:rsidR="00E93CC4" w:rsidRPr="003915C7">
        <w:rPr>
          <w:lang w:val="en-GB"/>
        </w:rPr>
        <w:t xml:space="preserve">d that he could be perceived as having a </w:t>
      </w:r>
      <w:r w:rsidR="00915F13" w:rsidRPr="003915C7">
        <w:rPr>
          <w:lang w:val="en-GB"/>
        </w:rPr>
        <w:t xml:space="preserve">close </w:t>
      </w:r>
      <w:r w:rsidR="00E93CC4" w:rsidRPr="003915C7">
        <w:rPr>
          <w:lang w:val="en-GB"/>
        </w:rPr>
        <w:t>link</w:t>
      </w:r>
      <w:r w:rsidR="00915F13" w:rsidRPr="003915C7">
        <w:rPr>
          <w:lang w:val="en-GB"/>
        </w:rPr>
        <w:t xml:space="preserve"> with </w:t>
      </w:r>
      <w:r w:rsidR="00D96673" w:rsidRPr="003915C7">
        <w:rPr>
          <w:lang w:val="en-GB"/>
        </w:rPr>
        <w:t xml:space="preserve">the </w:t>
      </w:r>
      <w:r w:rsidR="00915F13" w:rsidRPr="003915C7">
        <w:rPr>
          <w:lang w:val="en-GB"/>
        </w:rPr>
        <w:t>Ultras Ahlawy</w:t>
      </w:r>
      <w:r w:rsidR="00D96673" w:rsidRPr="003915C7">
        <w:rPr>
          <w:lang w:val="en-GB"/>
        </w:rPr>
        <w:t xml:space="preserve"> group</w:t>
      </w:r>
      <w:r w:rsidRPr="003915C7">
        <w:rPr>
          <w:lang w:val="en-GB"/>
        </w:rPr>
        <w:t xml:space="preserve">, </w:t>
      </w:r>
      <w:r w:rsidR="00491C25" w:rsidRPr="003915C7">
        <w:rPr>
          <w:lang w:val="en-GB"/>
        </w:rPr>
        <w:t>which he co-founded</w:t>
      </w:r>
      <w:r w:rsidR="008E56DB" w:rsidRPr="003915C7">
        <w:rPr>
          <w:lang w:val="en-GB"/>
        </w:rPr>
        <w:t>,</w:t>
      </w:r>
      <w:r w:rsidRPr="003915C7">
        <w:rPr>
          <w:lang w:val="en-GB"/>
        </w:rPr>
        <w:t xml:space="preserve"> and</w:t>
      </w:r>
      <w:r w:rsidR="00915F13" w:rsidRPr="003915C7">
        <w:rPr>
          <w:lang w:val="en-GB"/>
        </w:rPr>
        <w:t xml:space="preserve"> </w:t>
      </w:r>
      <w:r w:rsidR="008E56DB" w:rsidRPr="003915C7">
        <w:rPr>
          <w:lang w:val="en-GB"/>
        </w:rPr>
        <w:t xml:space="preserve">on </w:t>
      </w:r>
      <w:r w:rsidR="001B11A6" w:rsidRPr="003915C7">
        <w:rPr>
          <w:lang w:val="en-GB"/>
        </w:rPr>
        <w:t xml:space="preserve">whose </w:t>
      </w:r>
      <w:r w:rsidR="00915F13" w:rsidRPr="003915C7">
        <w:rPr>
          <w:lang w:val="en-GB"/>
        </w:rPr>
        <w:t xml:space="preserve">activities the </w:t>
      </w:r>
      <w:r w:rsidR="00274F7C" w:rsidRPr="003915C7">
        <w:rPr>
          <w:lang w:val="en-GB"/>
        </w:rPr>
        <w:t xml:space="preserve">Government of Egypt </w:t>
      </w:r>
      <w:r w:rsidR="001B11A6" w:rsidRPr="003915C7">
        <w:rPr>
          <w:lang w:val="en-GB"/>
        </w:rPr>
        <w:t xml:space="preserve">has </w:t>
      </w:r>
      <w:r w:rsidR="00915F13" w:rsidRPr="003915C7">
        <w:rPr>
          <w:lang w:val="en-GB"/>
        </w:rPr>
        <w:t>repeatedly tried to clamp down</w:t>
      </w:r>
      <w:r w:rsidR="00E93CC4" w:rsidRPr="003915C7">
        <w:rPr>
          <w:lang w:val="en-GB"/>
        </w:rPr>
        <w:t>, the Committee consider</w:t>
      </w:r>
      <w:r w:rsidR="00915F13" w:rsidRPr="003915C7">
        <w:rPr>
          <w:lang w:val="en-GB"/>
        </w:rPr>
        <w:t>s</w:t>
      </w:r>
      <w:r w:rsidR="00E93CC4" w:rsidRPr="003915C7">
        <w:rPr>
          <w:lang w:val="en-GB"/>
        </w:rPr>
        <w:t xml:space="preserve"> that the author </w:t>
      </w:r>
      <w:r w:rsidR="00D96673" w:rsidRPr="003915C7">
        <w:rPr>
          <w:lang w:val="en-GB"/>
        </w:rPr>
        <w:t xml:space="preserve">has </w:t>
      </w:r>
      <w:r w:rsidR="00E93CC4" w:rsidRPr="003915C7">
        <w:rPr>
          <w:lang w:val="en-GB"/>
        </w:rPr>
        <w:t xml:space="preserve">sufficiently substantiated </w:t>
      </w:r>
      <w:r w:rsidR="00D96673" w:rsidRPr="003915C7">
        <w:rPr>
          <w:lang w:val="en-GB"/>
        </w:rPr>
        <w:t xml:space="preserve">his claim </w:t>
      </w:r>
      <w:r w:rsidR="00E93CC4" w:rsidRPr="003915C7">
        <w:rPr>
          <w:lang w:val="en-GB"/>
        </w:rPr>
        <w:t>that the State party</w:t>
      </w:r>
      <w:r w:rsidR="00D96673" w:rsidRPr="003915C7">
        <w:rPr>
          <w:lang w:val="en-GB"/>
        </w:rPr>
        <w:t>’s</w:t>
      </w:r>
      <w:r w:rsidR="00E93CC4" w:rsidRPr="003915C7">
        <w:rPr>
          <w:lang w:val="en-GB"/>
        </w:rPr>
        <w:t xml:space="preserve"> authorities </w:t>
      </w:r>
      <w:r w:rsidR="00D96673" w:rsidRPr="003915C7">
        <w:rPr>
          <w:lang w:val="en-GB"/>
        </w:rPr>
        <w:t>have failed in th</w:t>
      </w:r>
      <w:r w:rsidR="005619D1" w:rsidRPr="003915C7">
        <w:rPr>
          <w:lang w:val="en-GB"/>
        </w:rPr>
        <w:t>e</w:t>
      </w:r>
      <w:r w:rsidR="00D96673" w:rsidRPr="003915C7">
        <w:rPr>
          <w:lang w:val="en-GB"/>
        </w:rPr>
        <w:t xml:space="preserve"> duty </w:t>
      </w:r>
      <w:r w:rsidR="00E93CC4" w:rsidRPr="003915C7">
        <w:rPr>
          <w:lang w:val="en-GB"/>
        </w:rPr>
        <w:t xml:space="preserve">to </w:t>
      </w:r>
      <w:r w:rsidR="00131D2D" w:rsidRPr="003915C7">
        <w:rPr>
          <w:lang w:val="en-GB"/>
        </w:rPr>
        <w:t xml:space="preserve">duly </w:t>
      </w:r>
      <w:r w:rsidR="00E93CC4" w:rsidRPr="003915C7">
        <w:rPr>
          <w:lang w:val="en-GB"/>
        </w:rPr>
        <w:t xml:space="preserve">assess the risk faced by </w:t>
      </w:r>
      <w:r w:rsidR="00D96673" w:rsidRPr="003915C7">
        <w:rPr>
          <w:lang w:val="en-GB"/>
        </w:rPr>
        <w:t xml:space="preserve">him in case of </w:t>
      </w:r>
      <w:r w:rsidR="00E93CC4" w:rsidRPr="003915C7">
        <w:rPr>
          <w:lang w:val="en-GB"/>
        </w:rPr>
        <w:t>return</w:t>
      </w:r>
      <w:r w:rsidR="008E56DB" w:rsidRPr="003915C7">
        <w:rPr>
          <w:lang w:val="en-GB"/>
        </w:rPr>
        <w:t xml:space="preserve"> </w:t>
      </w:r>
      <w:r w:rsidR="00E93CC4" w:rsidRPr="003915C7">
        <w:rPr>
          <w:lang w:val="en-GB"/>
        </w:rPr>
        <w:t>to Egypt</w:t>
      </w:r>
      <w:r w:rsidR="00D96673" w:rsidRPr="003915C7">
        <w:rPr>
          <w:lang w:val="en-GB"/>
        </w:rPr>
        <w:t xml:space="preserve">, and thus </w:t>
      </w:r>
      <w:r w:rsidR="00E93CC4" w:rsidRPr="003915C7">
        <w:rPr>
          <w:lang w:val="en-GB"/>
        </w:rPr>
        <w:t>the initial risk assessment by the S</w:t>
      </w:r>
      <w:r w:rsidR="00131D2D" w:rsidRPr="003915C7">
        <w:rPr>
          <w:lang w:val="en-GB"/>
        </w:rPr>
        <w:t xml:space="preserve">tate party </w:t>
      </w:r>
      <w:r w:rsidR="00D96673" w:rsidRPr="003915C7">
        <w:rPr>
          <w:lang w:val="en-GB"/>
        </w:rPr>
        <w:t xml:space="preserve">is to </w:t>
      </w:r>
      <w:r w:rsidR="00131D2D" w:rsidRPr="003915C7">
        <w:rPr>
          <w:lang w:val="en-GB"/>
        </w:rPr>
        <w:t xml:space="preserve">be considered </w:t>
      </w:r>
      <w:r w:rsidR="00E93CC4" w:rsidRPr="003915C7">
        <w:rPr>
          <w:lang w:val="en-GB"/>
        </w:rPr>
        <w:t xml:space="preserve">unreasonable. The Committee </w:t>
      </w:r>
      <w:r w:rsidR="00131D2D" w:rsidRPr="003915C7">
        <w:rPr>
          <w:lang w:val="en-GB"/>
        </w:rPr>
        <w:t xml:space="preserve">therefore </w:t>
      </w:r>
      <w:r w:rsidR="00E93CC4" w:rsidRPr="003915C7">
        <w:rPr>
          <w:lang w:val="en-GB"/>
        </w:rPr>
        <w:t>consider</w:t>
      </w:r>
      <w:r w:rsidR="00131D2D" w:rsidRPr="003915C7">
        <w:rPr>
          <w:lang w:val="en-GB"/>
        </w:rPr>
        <w:t>s</w:t>
      </w:r>
      <w:r w:rsidR="00E93CC4" w:rsidRPr="003915C7">
        <w:rPr>
          <w:lang w:val="en-GB"/>
        </w:rPr>
        <w:t xml:space="preserve"> that, in the specific circumstances of the case</w:t>
      </w:r>
      <w:r w:rsidR="00131D2D" w:rsidRPr="003915C7">
        <w:rPr>
          <w:lang w:val="en-GB"/>
        </w:rPr>
        <w:t xml:space="preserve">, </w:t>
      </w:r>
      <w:r w:rsidR="00A03A0A" w:rsidRPr="003915C7">
        <w:rPr>
          <w:lang w:val="en-GB"/>
        </w:rPr>
        <w:t xml:space="preserve">the facts as submitted, and </w:t>
      </w:r>
      <w:r w:rsidR="00131D2D" w:rsidRPr="003915C7">
        <w:rPr>
          <w:lang w:val="en-GB"/>
        </w:rPr>
        <w:t xml:space="preserve">in particular </w:t>
      </w:r>
      <w:r w:rsidR="00A03A0A" w:rsidRPr="003915C7">
        <w:rPr>
          <w:lang w:val="en-GB"/>
        </w:rPr>
        <w:t xml:space="preserve">in </w:t>
      </w:r>
      <w:r w:rsidR="001B11A6" w:rsidRPr="003915C7">
        <w:rPr>
          <w:lang w:val="en-GB"/>
        </w:rPr>
        <w:t xml:space="preserve">the </w:t>
      </w:r>
      <w:r w:rsidR="00A03A0A" w:rsidRPr="003915C7">
        <w:rPr>
          <w:lang w:val="en-GB"/>
        </w:rPr>
        <w:t xml:space="preserve">light of </w:t>
      </w:r>
      <w:r w:rsidR="00131D2D" w:rsidRPr="003915C7">
        <w:rPr>
          <w:lang w:val="en-GB"/>
        </w:rPr>
        <w:t xml:space="preserve">the </w:t>
      </w:r>
      <w:r w:rsidR="00A03A0A" w:rsidRPr="003915C7">
        <w:rPr>
          <w:lang w:val="en-GB"/>
        </w:rPr>
        <w:t xml:space="preserve">involvement </w:t>
      </w:r>
      <w:r w:rsidR="00131D2D" w:rsidRPr="003915C7">
        <w:rPr>
          <w:lang w:val="en-GB"/>
        </w:rPr>
        <w:t xml:space="preserve">of the author </w:t>
      </w:r>
      <w:r w:rsidR="00A03A0A" w:rsidRPr="003915C7">
        <w:rPr>
          <w:lang w:val="en-GB"/>
        </w:rPr>
        <w:t xml:space="preserve">in the work of </w:t>
      </w:r>
      <w:r w:rsidR="00D96673" w:rsidRPr="003915C7">
        <w:rPr>
          <w:lang w:val="en-GB"/>
        </w:rPr>
        <w:t xml:space="preserve">the </w:t>
      </w:r>
      <w:r w:rsidR="00131D2D" w:rsidRPr="003915C7">
        <w:rPr>
          <w:lang w:val="en-GB"/>
        </w:rPr>
        <w:t>Ultras Ahlawy</w:t>
      </w:r>
      <w:r w:rsidR="00A03A0A" w:rsidRPr="003915C7">
        <w:rPr>
          <w:lang w:val="en-GB"/>
        </w:rPr>
        <w:t xml:space="preserve"> group</w:t>
      </w:r>
      <w:r w:rsidR="00E93CC4" w:rsidRPr="003915C7">
        <w:rPr>
          <w:lang w:val="en-GB"/>
        </w:rPr>
        <w:t xml:space="preserve">, </w:t>
      </w:r>
      <w:r w:rsidR="00A03A0A" w:rsidRPr="003915C7">
        <w:rPr>
          <w:lang w:val="en-GB"/>
        </w:rPr>
        <w:t xml:space="preserve">reveal the existence, for </w:t>
      </w:r>
      <w:r w:rsidR="00E93CC4" w:rsidRPr="003915C7">
        <w:t>the author</w:t>
      </w:r>
      <w:r w:rsidR="00A03A0A" w:rsidRPr="003915C7">
        <w:rPr>
          <w:lang w:val="en-GB"/>
        </w:rPr>
        <w:t xml:space="preserve">, of a </w:t>
      </w:r>
      <w:r w:rsidR="00E93CC4" w:rsidRPr="003915C7">
        <w:rPr>
          <w:lang w:val="en-GB"/>
        </w:rPr>
        <w:t>personal</w:t>
      </w:r>
      <w:r w:rsidR="00E93CC4" w:rsidRPr="003915C7">
        <w:t xml:space="preserve"> risk </w:t>
      </w:r>
      <w:r w:rsidR="00E93CC4" w:rsidRPr="003915C7">
        <w:rPr>
          <w:lang w:val="en-GB"/>
        </w:rPr>
        <w:t xml:space="preserve">to be subjected to torture or ill-treatment if removed to Egypt, </w:t>
      </w:r>
      <w:r w:rsidR="00A03A0A" w:rsidRPr="003915C7">
        <w:rPr>
          <w:lang w:val="en-GB"/>
        </w:rPr>
        <w:t>in</w:t>
      </w:r>
      <w:r w:rsidR="00E93CC4" w:rsidRPr="003915C7">
        <w:rPr>
          <w:lang w:val="en-GB"/>
        </w:rPr>
        <w:t xml:space="preserve"> violation of </w:t>
      </w:r>
      <w:r w:rsidR="00A03A0A" w:rsidRPr="003915C7">
        <w:rPr>
          <w:lang w:val="en-GB"/>
        </w:rPr>
        <w:t xml:space="preserve">his rights under </w:t>
      </w:r>
      <w:r w:rsidR="00E93CC4" w:rsidRPr="003915C7">
        <w:rPr>
          <w:lang w:val="en-GB"/>
        </w:rPr>
        <w:t>article 7 of the Covenant.</w:t>
      </w:r>
    </w:p>
    <w:p w:rsidR="00131D2D" w:rsidRPr="003915C7" w:rsidRDefault="00B84285" w:rsidP="008A1525">
      <w:pPr>
        <w:pStyle w:val="SingleTxtG"/>
        <w:rPr>
          <w:lang w:val="en-GB"/>
        </w:rPr>
      </w:pPr>
      <w:r w:rsidRPr="008A1525">
        <w:rPr>
          <w:lang w:val="en-US"/>
        </w:rPr>
        <w:t>9</w:t>
      </w:r>
      <w:r w:rsidR="00E93CC4" w:rsidRPr="008A1525">
        <w:rPr>
          <w:lang w:val="en-US"/>
        </w:rPr>
        <w:t>.</w:t>
      </w:r>
      <w:r w:rsidR="00E93CC4" w:rsidRPr="008A1525">
        <w:rPr>
          <w:lang w:val="en-US"/>
        </w:rPr>
        <w:tab/>
        <w:t>The</w:t>
      </w:r>
      <w:r w:rsidR="00E93CC4" w:rsidRPr="008A1525">
        <w:t xml:space="preserve"> Committee</w:t>
      </w:r>
      <w:r w:rsidR="001B11A6" w:rsidRPr="008A1525">
        <w:rPr>
          <w:lang w:val="en-US"/>
        </w:rPr>
        <w:t>,</w:t>
      </w:r>
      <w:r w:rsidR="00E93CC4" w:rsidRPr="008A1525">
        <w:t xml:space="preserve"> acting under article 5 </w:t>
      </w:r>
      <w:r w:rsidR="00653537" w:rsidRPr="008A1525">
        <w:rPr>
          <w:lang w:val="en-US"/>
        </w:rPr>
        <w:t>(</w:t>
      </w:r>
      <w:r w:rsidR="00E93CC4" w:rsidRPr="008A1525">
        <w:t>4</w:t>
      </w:r>
      <w:r w:rsidR="00653537" w:rsidRPr="008A1525">
        <w:rPr>
          <w:lang w:val="en-US"/>
        </w:rPr>
        <w:t>)</w:t>
      </w:r>
      <w:r w:rsidR="00E93CC4" w:rsidRPr="008A1525">
        <w:t xml:space="preserve"> of the Optional</w:t>
      </w:r>
      <w:r w:rsidR="00E93CC4" w:rsidRPr="008A1525">
        <w:rPr>
          <w:lang w:val="en-GB"/>
        </w:rPr>
        <w:t xml:space="preserve"> </w:t>
      </w:r>
      <w:r w:rsidR="00E93CC4" w:rsidRPr="008A1525">
        <w:t>Protocol to the International Covenant on Civil and Political Rights,</w:t>
      </w:r>
      <w:r w:rsidR="00E93CC4" w:rsidRPr="008A1525">
        <w:rPr>
          <w:lang w:val="en-GB"/>
        </w:rPr>
        <w:t xml:space="preserve"> </w:t>
      </w:r>
      <w:r w:rsidR="00E93CC4" w:rsidRPr="008A1525">
        <w:t xml:space="preserve">is of the view that the </w:t>
      </w:r>
      <w:r w:rsidR="00E93CC4" w:rsidRPr="008A1525">
        <w:rPr>
          <w:lang w:val="en-GB"/>
        </w:rPr>
        <w:t>removal of</w:t>
      </w:r>
      <w:r w:rsidR="00E93CC4" w:rsidRPr="008A1525">
        <w:t xml:space="preserve"> the </w:t>
      </w:r>
      <w:r w:rsidR="00E93CC4" w:rsidRPr="008A1525">
        <w:rPr>
          <w:lang w:val="en-GB"/>
        </w:rPr>
        <w:t>author</w:t>
      </w:r>
      <w:r w:rsidR="00E93CC4" w:rsidRPr="008A1525">
        <w:t xml:space="preserve"> to </w:t>
      </w:r>
      <w:r w:rsidR="00E93CC4" w:rsidRPr="008A1525">
        <w:rPr>
          <w:lang w:val="en-GB"/>
        </w:rPr>
        <w:t xml:space="preserve">Egypt would violate his rights under </w:t>
      </w:r>
      <w:r w:rsidR="00E93CC4" w:rsidRPr="008A1525">
        <w:t xml:space="preserve">article </w:t>
      </w:r>
      <w:r w:rsidR="00E93CC4" w:rsidRPr="008A1525">
        <w:rPr>
          <w:lang w:val="en-GB"/>
        </w:rPr>
        <w:t>7</w:t>
      </w:r>
      <w:r w:rsidR="00E93CC4" w:rsidRPr="008A1525">
        <w:t xml:space="preserve"> of the Coven</w:t>
      </w:r>
      <w:r w:rsidR="00E93CC4" w:rsidRPr="008A1525">
        <w:rPr>
          <w:lang w:val="en-GB"/>
        </w:rPr>
        <w:t>ant</w:t>
      </w:r>
      <w:r w:rsidR="00E93CC4" w:rsidRPr="008A1525">
        <w:t>.</w:t>
      </w:r>
      <w:r w:rsidR="00131D2D" w:rsidRPr="003915C7">
        <w:rPr>
          <w:lang w:val="en-GB"/>
        </w:rPr>
        <w:t xml:space="preserve"> </w:t>
      </w:r>
    </w:p>
    <w:p w:rsidR="00AF71E0" w:rsidRPr="003915C7" w:rsidRDefault="00B84285">
      <w:pPr>
        <w:pStyle w:val="SingleTxtG"/>
        <w:rPr>
          <w:lang w:val="en-GB"/>
        </w:rPr>
      </w:pPr>
      <w:r w:rsidRPr="003915C7">
        <w:rPr>
          <w:lang w:val="en-GB"/>
        </w:rPr>
        <w:t>10</w:t>
      </w:r>
      <w:r w:rsidR="00994E66" w:rsidRPr="003915C7">
        <w:rPr>
          <w:lang w:val="en-GB"/>
        </w:rPr>
        <w:t>.</w:t>
      </w:r>
      <w:r w:rsidR="00131D2D" w:rsidRPr="003915C7">
        <w:rPr>
          <w:lang w:val="en-GB"/>
        </w:rPr>
        <w:tab/>
        <w:t xml:space="preserve">In accordance with article 2 </w:t>
      </w:r>
      <w:r w:rsidR="005E12C6" w:rsidRPr="003915C7">
        <w:rPr>
          <w:lang w:val="en-GB"/>
        </w:rPr>
        <w:t>(</w:t>
      </w:r>
      <w:r w:rsidR="00131D2D" w:rsidRPr="003915C7">
        <w:rPr>
          <w:lang w:val="en-GB"/>
        </w:rPr>
        <w:t>3</w:t>
      </w:r>
      <w:r w:rsidR="005E12C6" w:rsidRPr="003915C7">
        <w:rPr>
          <w:lang w:val="en-GB"/>
        </w:rPr>
        <w:t>)</w:t>
      </w:r>
      <w:r w:rsidR="00131D2D" w:rsidRPr="003915C7">
        <w:rPr>
          <w:lang w:val="en-GB"/>
        </w:rPr>
        <w:t xml:space="preserve"> (a) of the Covenant, the State party is under the obligation to provide the author with an effective remedy by proceeding to a review of the decision </w:t>
      </w:r>
      <w:r w:rsidR="00AF71E0" w:rsidRPr="003915C7">
        <w:rPr>
          <w:lang w:val="en-GB"/>
        </w:rPr>
        <w:t xml:space="preserve">to forcibly remove him to Egypt, taking into account the State party’s obligations under the Covenant. The State party is also under an obligation to take steps to prevent similar violations in the future. </w:t>
      </w:r>
    </w:p>
    <w:p w:rsidR="00E93CC4" w:rsidRPr="00131D2D" w:rsidRDefault="00B84285" w:rsidP="00994E66">
      <w:pPr>
        <w:pStyle w:val="SingleTxtG"/>
        <w:rPr>
          <w:lang w:val="en-GB"/>
        </w:rPr>
      </w:pPr>
      <w:r w:rsidRPr="003915C7">
        <w:rPr>
          <w:lang w:val="en-GB"/>
        </w:rPr>
        <w:t>1</w:t>
      </w:r>
      <w:r w:rsidR="00994E66" w:rsidRPr="003915C7">
        <w:rPr>
          <w:lang w:val="en-GB"/>
        </w:rPr>
        <w:t>1.</w:t>
      </w:r>
      <w:r w:rsidR="00AF71E0" w:rsidRPr="003915C7">
        <w:rPr>
          <w:lang w:val="en-GB"/>
        </w:rPr>
        <w:tab/>
        <w:t xml:space="preserve">By becoming a party to the Optional Protocol, the State party has recognized the competence of the Committee to determine whether or not there has been a violation of the Covenant. In addition, pursuant to article 2 of the Covenant, the State party has undertaken to guarantee to all individuals within its territory and subject to its jurisdiction the rights recognized in the Covenant, and to provide an effective and enforceable remedy where it has been determined that a </w:t>
      </w:r>
      <w:r w:rsidR="00AF71E0" w:rsidRPr="003915C7">
        <w:t>violation</w:t>
      </w:r>
      <w:r w:rsidR="00AF71E0" w:rsidRPr="003915C7">
        <w:rPr>
          <w:lang w:val="en-GB"/>
        </w:rPr>
        <w:t xml:space="preserve"> has occurred. The Committee therefore requests the State party to provide, within 180 days, information about the measures taken to give effect to the present Views. The State party is also requested to publish the present Views, to have them translated into the official language of the State party, and to ensure that they are widely disseminated.</w:t>
      </w:r>
    </w:p>
    <w:p w:rsidR="00E93CC4" w:rsidRPr="00B40914" w:rsidRDefault="00E93CC4" w:rsidP="008A1525">
      <w:pPr>
        <w:pStyle w:val="SingleTxtG"/>
        <w:spacing w:after="0" w:line="240" w:lineRule="auto"/>
        <w:jc w:val="center"/>
        <w:rPr>
          <w:u w:val="single"/>
        </w:rPr>
      </w:pPr>
      <w:r>
        <w:rPr>
          <w:u w:val="single"/>
        </w:rPr>
        <w:tab/>
      </w:r>
      <w:r>
        <w:rPr>
          <w:u w:val="single"/>
        </w:rPr>
        <w:tab/>
      </w:r>
      <w:r>
        <w:rPr>
          <w:u w:val="single"/>
        </w:rPr>
        <w:tab/>
      </w:r>
    </w:p>
    <w:sectPr w:rsidR="00E93CC4" w:rsidRPr="00B40914" w:rsidSect="00FB416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28T10:44:00Z" w:initials="Start">
    <w:p w:rsidR="006D79CF" w:rsidRDefault="006D79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NO&gt;&gt;N1521681E&lt;&lt;ODS JOB NO&gt;&gt;</w:t>
      </w:r>
    </w:p>
    <w:p w:rsidR="006D79CF" w:rsidRDefault="006D79CF">
      <w:pPr>
        <w:pStyle w:val="CommentText"/>
      </w:pPr>
      <w:r>
        <w:t>&lt;&lt;ODS DOC SYMBOL1&gt;&gt;CCPR/C/114/D/2343/2014&lt;&lt;ODS DOC SYMBOL1&gt;&gt;</w:t>
      </w:r>
    </w:p>
    <w:p w:rsidR="006D79CF" w:rsidRDefault="006D79C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73" w:rsidRDefault="00061A73"/>
  </w:endnote>
  <w:endnote w:type="continuationSeparator" w:id="0">
    <w:p w:rsidR="00061A73" w:rsidRDefault="00061A73"/>
  </w:endnote>
  <w:endnote w:type="continuationNotice" w:id="1">
    <w:p w:rsidR="00061A73" w:rsidRDefault="00061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6E" w:rsidRPr="00781C83" w:rsidRDefault="009F416E"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D97D91">
      <w:rPr>
        <w:b/>
        <w:noProof/>
        <w:sz w:val="18"/>
      </w:rPr>
      <w:t>14</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6E" w:rsidRPr="00865C89" w:rsidRDefault="009F416E" w:rsidP="00781C83">
    <w:pPr>
      <w:pStyle w:val="Footer"/>
      <w:tabs>
        <w:tab w:val="right" w:pos="9638"/>
      </w:tabs>
      <w:rPr>
        <w:b/>
        <w:sz w:val="18"/>
      </w:rPr>
    </w:pPr>
    <w:r>
      <w:rPr>
        <w:b/>
        <w:sz w:val="18"/>
      </w:rPr>
      <w:tab/>
    </w:r>
    <w:r w:rsidRPr="00865C89">
      <w:rPr>
        <w:b/>
        <w:sz w:val="18"/>
      </w:rPr>
      <w:fldChar w:fldCharType="begin"/>
    </w:r>
    <w:r w:rsidRPr="00865C89">
      <w:rPr>
        <w:b/>
        <w:sz w:val="18"/>
      </w:rPr>
      <w:instrText xml:space="preserve"> PAGE  \* MERGEFORMAT </w:instrText>
    </w:r>
    <w:r w:rsidRPr="00865C89">
      <w:rPr>
        <w:b/>
        <w:sz w:val="18"/>
      </w:rPr>
      <w:fldChar w:fldCharType="separate"/>
    </w:r>
    <w:r w:rsidR="00D97D91">
      <w:rPr>
        <w:b/>
        <w:noProof/>
        <w:sz w:val="18"/>
      </w:rPr>
      <w:t>13</w:t>
    </w:r>
    <w:r w:rsidRPr="00865C8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D79CF" w:rsidTr="00FB4167">
      <w:tc>
        <w:tcPr>
          <w:tcW w:w="3614" w:type="dxa"/>
          <w:shd w:val="clear" w:color="auto" w:fill="auto"/>
        </w:tcPr>
        <w:p w:rsidR="006D79CF" w:rsidRDefault="006D79CF" w:rsidP="006D79CF">
          <w:pPr>
            <w:pStyle w:val="Footer"/>
          </w:pPr>
          <w:r>
            <w:rPr>
              <w:noProof/>
              <w:lang w:val="en-US" w:eastAsia="zh-CN"/>
            </w:rPr>
            <w:drawing>
              <wp:anchor distT="0" distB="0" distL="114300" distR="114300" simplePos="0" relativeHeight="251660800" behindDoc="0" locked="0" layoutInCell="1" allowOverlap="1" wp14:anchorId="399ECD74" wp14:editId="1C3CBD13">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343/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343/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GE.15-15600(E)</w:t>
          </w:r>
        </w:p>
        <w:p w:rsidR="006D79CF" w:rsidRPr="00FB4167" w:rsidRDefault="006D79CF" w:rsidP="006D79CF">
          <w:pPr>
            <w:pStyle w:val="Footer"/>
            <w:rPr>
              <w:rFonts w:ascii="Barcode 3 of 9 by request" w:hAnsi="Barcode 3 of 9 by request"/>
              <w:sz w:val="24"/>
            </w:rPr>
          </w:pPr>
          <w:r>
            <w:rPr>
              <w:rFonts w:ascii="Barcode 3 of 9 by request" w:hAnsi="Barcode 3 of 9 by request"/>
              <w:sz w:val="24"/>
            </w:rPr>
            <w:t>*1515600*</w:t>
          </w:r>
        </w:p>
      </w:tc>
      <w:tc>
        <w:tcPr>
          <w:tcW w:w="4752" w:type="dxa"/>
          <w:shd w:val="clear" w:color="auto" w:fill="auto"/>
        </w:tcPr>
        <w:p w:rsidR="006D79CF" w:rsidRDefault="006D79CF" w:rsidP="00FB4167">
          <w:pPr>
            <w:pStyle w:val="Footer"/>
            <w:spacing w:line="240" w:lineRule="atLeast"/>
            <w:jc w:val="right"/>
          </w:pPr>
          <w:r>
            <w:rPr>
              <w:noProof/>
              <w:lang w:val="en-US" w:eastAsia="zh-CN"/>
            </w:rPr>
            <w:drawing>
              <wp:inline distT="0" distB="0" distL="0" distR="0" wp14:anchorId="37F4B571" wp14:editId="41E16EB1">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9F416E" w:rsidRDefault="009F416E" w:rsidP="00FB4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73" w:rsidRPr="000B175B" w:rsidRDefault="00061A73" w:rsidP="000B175B">
      <w:pPr>
        <w:tabs>
          <w:tab w:val="right" w:pos="2155"/>
        </w:tabs>
        <w:spacing w:after="80"/>
        <w:ind w:left="680"/>
        <w:rPr>
          <w:u w:val="single"/>
        </w:rPr>
      </w:pPr>
      <w:r>
        <w:rPr>
          <w:u w:val="single"/>
        </w:rPr>
        <w:tab/>
      </w:r>
    </w:p>
  </w:footnote>
  <w:footnote w:type="continuationSeparator" w:id="0">
    <w:p w:rsidR="00061A73" w:rsidRPr="00FC68B7" w:rsidRDefault="00061A73" w:rsidP="00FC68B7">
      <w:pPr>
        <w:tabs>
          <w:tab w:val="left" w:pos="2155"/>
        </w:tabs>
        <w:spacing w:after="80"/>
        <w:ind w:left="680"/>
        <w:rPr>
          <w:u w:val="single"/>
        </w:rPr>
      </w:pPr>
      <w:r>
        <w:rPr>
          <w:u w:val="single"/>
        </w:rPr>
        <w:tab/>
      </w:r>
    </w:p>
  </w:footnote>
  <w:footnote w:type="continuationNotice" w:id="1">
    <w:p w:rsidR="00061A73" w:rsidRDefault="00061A73"/>
  </w:footnote>
  <w:footnote w:id="2">
    <w:p w:rsidR="009F416E" w:rsidRDefault="009F416E">
      <w:pPr>
        <w:pStyle w:val="FootnoteText"/>
      </w:pPr>
      <w:r>
        <w:rPr>
          <w:rStyle w:val="FootnoteReference"/>
        </w:rPr>
        <w:tab/>
        <w:t>*</w:t>
      </w:r>
      <w:r>
        <w:rPr>
          <w:rStyle w:val="FootnoteReference"/>
        </w:rPr>
        <w:tab/>
      </w:r>
      <w:r w:rsidRPr="007B2AA3">
        <w:t>The following members of the Committee participated in the examination of the present</w:t>
      </w:r>
      <w:r w:rsidRPr="008A1525">
        <w:rPr>
          <w:lang w:val="en-GB"/>
        </w:rPr>
        <w:t xml:space="preserve"> </w:t>
      </w:r>
      <w:r w:rsidRPr="007B2AA3">
        <w:t xml:space="preserve">communication: Yadh Ben Achour, Lazhari Bouzid, </w:t>
      </w:r>
      <w:r>
        <w:t xml:space="preserve">Sarah Cleveland, </w:t>
      </w:r>
      <w:r w:rsidRPr="007B2AA3">
        <w:t xml:space="preserve">Olivier </w:t>
      </w:r>
      <w:r w:rsidRPr="008A1525">
        <w:rPr>
          <w:lang w:val="en-GB"/>
        </w:rPr>
        <w:t>d</w:t>
      </w:r>
      <w:r w:rsidRPr="007B2AA3">
        <w:t>e</w:t>
      </w:r>
      <w:r>
        <w:t xml:space="preserve"> </w:t>
      </w:r>
      <w:r w:rsidRPr="007B2AA3">
        <w:t>Frouville,</w:t>
      </w:r>
      <w:r>
        <w:t xml:space="preserve"> </w:t>
      </w:r>
      <w:r w:rsidRPr="007B2AA3">
        <w:t>Yuji Iwasawa, Ivana Jeli</w:t>
      </w:r>
      <w:r w:rsidRPr="00ED22CB">
        <w:rPr>
          <w:lang w:val="en-GB"/>
        </w:rPr>
        <w:t>ć</w:t>
      </w:r>
      <w:r w:rsidRPr="007B2AA3">
        <w:t xml:space="preserve">, Duncan Muhumuza Laki, Photini Pazartzis, Mauro Politi, </w:t>
      </w:r>
      <w:r w:rsidRPr="007B2AA3">
        <w:rPr>
          <w:bCs/>
        </w:rPr>
        <w:t>Sir</w:t>
      </w:r>
      <w:r w:rsidRPr="007B2AA3">
        <w:t xml:space="preserve"> Nigel</w:t>
      </w:r>
      <w:r>
        <w:t xml:space="preserve"> </w:t>
      </w:r>
      <w:r w:rsidRPr="007B2AA3">
        <w:t>Rodley, Victor Manuel Rodríguez-Rescia, Fabián Omar Salvioli, Dheerujlall Seetulsingh,</w:t>
      </w:r>
      <w:r>
        <w:t xml:space="preserve"> </w:t>
      </w:r>
      <w:r w:rsidRPr="007B2AA3">
        <w:t>Yuval Shany, Konstantine Vardzelashvili and Margo Waterval</w:t>
      </w:r>
      <w:r w:rsidRPr="007B2AA3">
        <w:rPr>
          <w:bCs/>
        </w:rPr>
        <w:t>.</w:t>
      </w:r>
    </w:p>
  </w:footnote>
  <w:footnote w:id="3">
    <w:p w:rsidR="009F416E" w:rsidRPr="00911E57" w:rsidRDefault="009F416E" w:rsidP="00994E66">
      <w:pPr>
        <w:pStyle w:val="FootnoteText"/>
        <w:rPr>
          <w:lang w:val="en-GB"/>
        </w:rPr>
      </w:pPr>
      <w:r>
        <w:rPr>
          <w:lang w:val="en-GB"/>
        </w:rPr>
        <w:tab/>
      </w:r>
      <w:r>
        <w:rPr>
          <w:rStyle w:val="FootnoteReference"/>
        </w:rPr>
        <w:footnoteRef/>
      </w:r>
      <w:r>
        <w:rPr>
          <w:lang w:val="en-GB"/>
        </w:rPr>
        <w:tab/>
        <w:t xml:space="preserve">His visa expired on </w:t>
      </w:r>
      <w:r w:rsidRPr="00911E57">
        <w:rPr>
          <w:lang w:val="en-GB"/>
        </w:rPr>
        <w:t>12 January 2013.</w:t>
      </w:r>
    </w:p>
  </w:footnote>
  <w:footnote w:id="4">
    <w:p w:rsidR="009F416E" w:rsidRPr="00C53316" w:rsidRDefault="009F416E" w:rsidP="00994E66">
      <w:pPr>
        <w:pStyle w:val="FootnoteText"/>
        <w:rPr>
          <w:lang w:val="en-GB"/>
        </w:rPr>
      </w:pPr>
      <w:r>
        <w:rPr>
          <w:lang w:val="en-GB"/>
        </w:rPr>
        <w:tab/>
      </w:r>
      <w:r>
        <w:rPr>
          <w:rStyle w:val="FootnoteReference"/>
        </w:rPr>
        <w:footnoteRef/>
      </w:r>
      <w:r>
        <w:rPr>
          <w:lang w:val="en-GB"/>
        </w:rPr>
        <w:tab/>
      </w:r>
      <w:r w:rsidRPr="00C53316">
        <w:t xml:space="preserve">At that time, the </w:t>
      </w:r>
      <w:r w:rsidRPr="00994E66">
        <w:t>transitional</w:t>
      </w:r>
      <w:r w:rsidRPr="00C53316">
        <w:t xml:space="preserve"> government established by the Army was in power (from February </w:t>
      </w:r>
      <w:r>
        <w:t>2011</w:t>
      </w:r>
      <w:r>
        <w:rPr>
          <w:lang w:val="en-GB"/>
        </w:rPr>
        <w:t xml:space="preserve"> </w:t>
      </w:r>
      <w:r w:rsidRPr="00C53316">
        <w:t>to June 2012).</w:t>
      </w:r>
    </w:p>
  </w:footnote>
  <w:footnote w:id="5">
    <w:p w:rsidR="009F416E" w:rsidRPr="00D60DC1" w:rsidRDefault="009F416E" w:rsidP="00994E66">
      <w:pPr>
        <w:pStyle w:val="FootnoteText"/>
        <w:rPr>
          <w:lang w:val="en-GB"/>
        </w:rPr>
      </w:pPr>
      <w:r>
        <w:rPr>
          <w:lang w:val="en-GB"/>
        </w:rPr>
        <w:tab/>
      </w:r>
      <w:r>
        <w:rPr>
          <w:rStyle w:val="FootnoteReference"/>
        </w:rPr>
        <w:footnoteRef/>
      </w:r>
      <w:r>
        <w:rPr>
          <w:lang w:val="en-GB"/>
        </w:rPr>
        <w:tab/>
      </w:r>
      <w:r>
        <w:t>The author</w:t>
      </w:r>
      <w:r w:rsidRPr="00D60DC1">
        <w:t xml:space="preserve"> </w:t>
      </w:r>
      <w:r w:rsidRPr="00994E66">
        <w:t>states</w:t>
      </w:r>
      <w:r w:rsidRPr="00D60DC1">
        <w:t xml:space="preserve"> that some officers took part in the massacre. On 26 January 2013, 21 persons were sentenced to death in connection with this event.</w:t>
      </w:r>
    </w:p>
  </w:footnote>
  <w:footnote w:id="6">
    <w:p w:rsidR="009F416E" w:rsidRPr="009B4E6F" w:rsidRDefault="009F416E">
      <w:pPr>
        <w:pStyle w:val="FootnoteText"/>
        <w:rPr>
          <w:lang w:val="en-GB"/>
        </w:rPr>
      </w:pPr>
      <w:r>
        <w:rPr>
          <w:lang w:val="en-GB"/>
        </w:rPr>
        <w:tab/>
      </w:r>
      <w:r>
        <w:rPr>
          <w:rStyle w:val="FootnoteReference"/>
        </w:rPr>
        <w:footnoteRef/>
      </w:r>
      <w:r>
        <w:rPr>
          <w:lang w:val="en-GB"/>
        </w:rPr>
        <w:tab/>
      </w:r>
      <w:r w:rsidRPr="00994E66">
        <w:t>Mohamed</w:t>
      </w:r>
      <w:r w:rsidRPr="009B4E6F">
        <w:rPr>
          <w:lang w:val="en-GB"/>
        </w:rPr>
        <w:t xml:space="preserve"> Morsi from the Muslim </w:t>
      </w:r>
      <w:r>
        <w:rPr>
          <w:lang w:val="en-GB"/>
        </w:rPr>
        <w:t>B</w:t>
      </w:r>
      <w:r w:rsidRPr="009B4E6F">
        <w:rPr>
          <w:lang w:val="en-GB"/>
        </w:rPr>
        <w:t>rotherhood was President of Egypt from June 2012 to July 2013.</w:t>
      </w:r>
    </w:p>
  </w:footnote>
  <w:footnote w:id="7">
    <w:p w:rsidR="009F416E" w:rsidRPr="008933B1" w:rsidRDefault="009F416E" w:rsidP="00994E66">
      <w:pPr>
        <w:pStyle w:val="FootnoteText"/>
        <w:rPr>
          <w:lang w:val="en-GB"/>
        </w:rPr>
      </w:pPr>
      <w:r>
        <w:rPr>
          <w:lang w:val="en-GB"/>
        </w:rPr>
        <w:tab/>
      </w:r>
      <w:r>
        <w:rPr>
          <w:rStyle w:val="FootnoteReference"/>
        </w:rPr>
        <w:footnoteRef/>
      </w:r>
      <w:r w:rsidRPr="003C3543">
        <w:rPr>
          <w:lang w:val="en-GB"/>
        </w:rPr>
        <w:tab/>
      </w:r>
      <w:r w:rsidRPr="008933B1">
        <w:rPr>
          <w:lang w:val="en-GB"/>
        </w:rPr>
        <w:t xml:space="preserve">The </w:t>
      </w:r>
      <w:r>
        <w:rPr>
          <w:lang w:val="en-GB"/>
        </w:rPr>
        <w:t xml:space="preserve">author </w:t>
      </w:r>
      <w:r w:rsidRPr="008933B1">
        <w:rPr>
          <w:lang w:val="en-GB"/>
        </w:rPr>
        <w:t xml:space="preserve">does not specify the </w:t>
      </w:r>
      <w:r w:rsidRPr="00994E66">
        <w:t>circumstances</w:t>
      </w:r>
      <w:r w:rsidRPr="008933B1">
        <w:rPr>
          <w:lang w:val="en-GB"/>
        </w:rPr>
        <w:t>.</w:t>
      </w:r>
    </w:p>
  </w:footnote>
  <w:footnote w:id="8">
    <w:p w:rsidR="009F416E" w:rsidRPr="00B77EC5" w:rsidRDefault="009F416E">
      <w:pPr>
        <w:pStyle w:val="FootnoteText"/>
      </w:pPr>
      <w:r w:rsidRPr="003C3543">
        <w:rPr>
          <w:lang w:val="en-GB"/>
        </w:rPr>
        <w:tab/>
      </w:r>
      <w:r>
        <w:rPr>
          <w:rStyle w:val="FootnoteReference"/>
        </w:rPr>
        <w:footnoteRef/>
      </w:r>
      <w:r>
        <w:rPr>
          <w:lang w:val="en-GB"/>
        </w:rPr>
        <w:tab/>
        <w:t xml:space="preserve">A </w:t>
      </w:r>
      <w:r w:rsidRPr="00B77EC5">
        <w:t xml:space="preserve">copy of the note in Arabic was </w:t>
      </w:r>
      <w:r w:rsidRPr="00994E66">
        <w:t>submitted</w:t>
      </w:r>
      <w:r>
        <w:t>,</w:t>
      </w:r>
      <w:r>
        <w:rPr>
          <w:lang w:val="en-GB"/>
        </w:rPr>
        <w:t xml:space="preserve"> which contained </w:t>
      </w:r>
      <w:r w:rsidRPr="00B77EC5">
        <w:t xml:space="preserve">a death threat </w:t>
      </w:r>
      <w:r>
        <w:rPr>
          <w:lang w:val="en-GB"/>
        </w:rPr>
        <w:t xml:space="preserve">as </w:t>
      </w:r>
      <w:r w:rsidRPr="00B77EC5">
        <w:t xml:space="preserve">the author was qualified as </w:t>
      </w:r>
      <w:r>
        <w:t>“t</w:t>
      </w:r>
      <w:r w:rsidRPr="00B77EC5">
        <w:t>raitor</w:t>
      </w:r>
      <w:r>
        <w:t>”</w:t>
      </w:r>
      <w:r w:rsidRPr="00B77EC5">
        <w:t>.</w:t>
      </w:r>
    </w:p>
  </w:footnote>
  <w:footnote w:id="9">
    <w:p w:rsidR="009F416E" w:rsidRPr="00151470" w:rsidRDefault="009F416E">
      <w:pPr>
        <w:pStyle w:val="FootnoteText"/>
        <w:rPr>
          <w:lang w:val="en-GB"/>
        </w:rPr>
      </w:pPr>
      <w:r>
        <w:rPr>
          <w:lang w:val="en-GB"/>
        </w:rPr>
        <w:tab/>
      </w:r>
      <w:r>
        <w:rPr>
          <w:rStyle w:val="FootnoteReference"/>
        </w:rPr>
        <w:footnoteRef/>
      </w:r>
      <w:r>
        <w:rPr>
          <w:lang w:val="en-GB"/>
        </w:rPr>
        <w:tab/>
      </w:r>
      <w:r w:rsidRPr="00151470">
        <w:t xml:space="preserve">The State party explains that </w:t>
      </w:r>
      <w:r w:rsidR="009C78B0">
        <w:t xml:space="preserve">it keeps </w:t>
      </w:r>
      <w:r w:rsidRPr="00151470">
        <w:t xml:space="preserve">background material on countries </w:t>
      </w:r>
      <w:r w:rsidR="009C78B0">
        <w:t xml:space="preserve">whose nationals apply to </w:t>
      </w:r>
      <w:r w:rsidRPr="00151470">
        <w:t xml:space="preserve">Denmark </w:t>
      </w:r>
      <w:r w:rsidR="009C78B0">
        <w:t xml:space="preserve">for </w:t>
      </w:r>
      <w:r w:rsidRPr="00151470">
        <w:t>asylum</w:t>
      </w:r>
      <w:r w:rsidR="009C78B0">
        <w:t>.</w:t>
      </w:r>
      <w:r w:rsidRPr="00151470">
        <w:t xml:space="preserve"> </w:t>
      </w:r>
      <w:r w:rsidR="009C78B0">
        <w:t xml:space="preserve">The countries are </w:t>
      </w:r>
      <w:r w:rsidRPr="00151470">
        <w:t xml:space="preserve">divided into </w:t>
      </w:r>
      <w:r w:rsidRPr="00994E66">
        <w:t>Groups</w:t>
      </w:r>
      <w:r w:rsidRPr="00151470">
        <w:t xml:space="preserve"> I and II</w:t>
      </w:r>
      <w:r w:rsidR="009C78B0">
        <w:t>:</w:t>
      </w:r>
      <w:r w:rsidRPr="00151470">
        <w:t xml:space="preserve"> </w:t>
      </w:r>
      <w:r w:rsidR="009C78B0">
        <w:t>t</w:t>
      </w:r>
      <w:r w:rsidRPr="00151470">
        <w:t xml:space="preserve">he countries in </w:t>
      </w:r>
      <w:r>
        <w:rPr>
          <w:lang w:val="en-GB"/>
        </w:rPr>
        <w:t>G</w:t>
      </w:r>
      <w:r w:rsidRPr="00151470">
        <w:t>roup I are those from which Denmark receives or has received a considerable number of asylum seekers</w:t>
      </w:r>
      <w:r w:rsidR="009C78B0">
        <w:t>,</w:t>
      </w:r>
      <w:r w:rsidRPr="00151470">
        <w:t xml:space="preserve"> </w:t>
      </w:r>
      <w:r w:rsidR="009C78B0">
        <w:t xml:space="preserve">and for which </w:t>
      </w:r>
      <w:r w:rsidRPr="00151470">
        <w:t>background material is continually updated and supplemented</w:t>
      </w:r>
      <w:r w:rsidR="009C78B0">
        <w:t>;</w:t>
      </w:r>
      <w:r w:rsidRPr="00151470">
        <w:t xml:space="preserve"> </w:t>
      </w:r>
      <w:r w:rsidR="009C78B0">
        <w:t>t</w:t>
      </w:r>
      <w:r w:rsidRPr="00151470">
        <w:t xml:space="preserve">he countries in </w:t>
      </w:r>
      <w:r>
        <w:rPr>
          <w:lang w:val="en-GB"/>
        </w:rPr>
        <w:t>G</w:t>
      </w:r>
      <w:r w:rsidRPr="00151470">
        <w:t>roup II are those from which Denmark receives or has received only a few asylum seekers</w:t>
      </w:r>
      <w:r w:rsidR="009C78B0">
        <w:t>,</w:t>
      </w:r>
      <w:r w:rsidRPr="00151470">
        <w:t xml:space="preserve"> </w:t>
      </w:r>
      <w:r w:rsidR="009C78B0">
        <w:t xml:space="preserve">and for which </w:t>
      </w:r>
      <w:r w:rsidRPr="00151470">
        <w:t>material is updated only if a person from one of them applies for a</w:t>
      </w:r>
      <w:r>
        <w:t>sylum in Denmark. Consequently,</w:t>
      </w:r>
      <w:r w:rsidRPr="00C75F86">
        <w:rPr>
          <w:lang w:val="en-GB"/>
        </w:rPr>
        <w:t xml:space="preserve"> </w:t>
      </w:r>
      <w:r>
        <w:t>some</w:t>
      </w:r>
      <w:r w:rsidRPr="00C75F86">
        <w:rPr>
          <w:lang w:val="en-GB"/>
        </w:rPr>
        <w:t xml:space="preserve"> </w:t>
      </w:r>
      <w:r>
        <w:t>time</w:t>
      </w:r>
      <w:r w:rsidRPr="00C75F86">
        <w:rPr>
          <w:lang w:val="en-GB"/>
        </w:rPr>
        <w:t xml:space="preserve"> </w:t>
      </w:r>
      <w:r w:rsidRPr="00151470">
        <w:t xml:space="preserve">may pass between updates. The </w:t>
      </w:r>
      <w:r w:rsidR="009C78B0">
        <w:t xml:space="preserve">Danish </w:t>
      </w:r>
      <w:r w:rsidRPr="00151470">
        <w:t>R</w:t>
      </w:r>
      <w:r>
        <w:rPr>
          <w:lang w:val="en-GB"/>
        </w:rPr>
        <w:t xml:space="preserve">efugee </w:t>
      </w:r>
      <w:r w:rsidRPr="00151470">
        <w:t>A</w:t>
      </w:r>
      <w:r>
        <w:rPr>
          <w:lang w:val="en-GB"/>
        </w:rPr>
        <w:t xml:space="preserve">ppeals </w:t>
      </w:r>
      <w:r w:rsidRPr="00151470">
        <w:t>B</w:t>
      </w:r>
      <w:r>
        <w:rPr>
          <w:lang w:val="en-GB"/>
        </w:rPr>
        <w:t xml:space="preserve">oard </w:t>
      </w:r>
      <w:r w:rsidRPr="00151470">
        <w:t xml:space="preserve">considers it very important that the background material </w:t>
      </w:r>
      <w:r w:rsidR="009C78B0">
        <w:t xml:space="preserve">be </w:t>
      </w:r>
      <w:r w:rsidRPr="00151470">
        <w:t xml:space="preserve">of a high quality and enable the </w:t>
      </w:r>
      <w:r>
        <w:rPr>
          <w:lang w:val="en-GB"/>
        </w:rPr>
        <w:t>Board</w:t>
      </w:r>
      <w:r w:rsidRPr="00151470">
        <w:t xml:space="preserve"> to form a correct and objective impression of conditions in the individual countries.</w:t>
      </w:r>
    </w:p>
  </w:footnote>
  <w:footnote w:id="10">
    <w:p w:rsidR="009F416E" w:rsidRPr="00151470" w:rsidRDefault="009F416E" w:rsidP="00953563">
      <w:pPr>
        <w:pStyle w:val="FootnoteText"/>
        <w:tabs>
          <w:tab w:val="clear" w:pos="1021"/>
          <w:tab w:val="right" w:pos="993"/>
        </w:tabs>
        <w:rPr>
          <w:lang w:val="en-GB"/>
        </w:rPr>
      </w:pPr>
      <w:r>
        <w:rPr>
          <w:lang w:val="en-GB"/>
        </w:rPr>
        <w:tab/>
      </w:r>
      <w:r>
        <w:rPr>
          <w:rStyle w:val="FootnoteReference"/>
        </w:rPr>
        <w:footnoteRef/>
      </w:r>
      <w:r w:rsidRPr="003C3543">
        <w:rPr>
          <w:lang w:val="en-GB"/>
        </w:rPr>
        <w:tab/>
      </w:r>
      <w:r w:rsidRPr="00151470">
        <w:rPr>
          <w:lang w:val="en-GB"/>
        </w:rPr>
        <w:t>The State party does not provide further information on this.</w:t>
      </w:r>
    </w:p>
  </w:footnote>
  <w:footnote w:id="11">
    <w:p w:rsidR="009F416E" w:rsidRPr="00C773F4" w:rsidRDefault="009F416E" w:rsidP="00C773F4">
      <w:pPr>
        <w:pStyle w:val="FootnoteText"/>
        <w:tabs>
          <w:tab w:val="clear" w:pos="1021"/>
          <w:tab w:val="right" w:pos="993"/>
        </w:tabs>
        <w:rPr>
          <w:lang w:val="en-GB"/>
        </w:rPr>
      </w:pPr>
      <w:r>
        <w:rPr>
          <w:lang w:val="en-GB"/>
        </w:rPr>
        <w:tab/>
      </w:r>
      <w:r>
        <w:rPr>
          <w:rStyle w:val="FootnoteReference"/>
        </w:rPr>
        <w:footnoteRef/>
      </w:r>
      <w:r w:rsidRPr="003C3543">
        <w:rPr>
          <w:lang w:val="en-GB"/>
        </w:rPr>
        <w:tab/>
      </w:r>
      <w:r w:rsidRPr="00C773F4">
        <w:t xml:space="preserve">The State party cites, </w:t>
      </w:r>
      <w:r w:rsidRPr="00065182">
        <w:t>inter alia</w:t>
      </w:r>
      <w:r w:rsidRPr="00C773F4">
        <w:t xml:space="preserve">, </w:t>
      </w:r>
      <w:r w:rsidRPr="00C773F4">
        <w:rPr>
          <w:i/>
        </w:rPr>
        <w:t>Soering v. the United Kingdom</w:t>
      </w:r>
      <w:r w:rsidRPr="00C773F4">
        <w:t>, application No. 14038/88.</w:t>
      </w:r>
    </w:p>
  </w:footnote>
  <w:footnote w:id="12">
    <w:p w:rsidR="009F416E" w:rsidRPr="00E66A0C" w:rsidRDefault="009F416E" w:rsidP="00994E66">
      <w:pPr>
        <w:pStyle w:val="FootnoteText"/>
        <w:rPr>
          <w:lang w:val="en-GB"/>
        </w:rPr>
      </w:pPr>
      <w:r w:rsidRPr="003C3543">
        <w:rPr>
          <w:lang w:val="en-GB"/>
        </w:rPr>
        <w:tab/>
      </w:r>
      <w:r>
        <w:rPr>
          <w:rStyle w:val="FootnoteReference"/>
        </w:rPr>
        <w:footnoteRef/>
      </w:r>
      <w:r w:rsidRPr="003C3543">
        <w:rPr>
          <w:lang w:val="en-GB"/>
        </w:rPr>
        <w:tab/>
      </w:r>
      <w:r w:rsidR="00176A61">
        <w:rPr>
          <w:lang w:val="en-GB"/>
        </w:rPr>
        <w:t xml:space="preserve">See </w:t>
      </w:r>
      <w:r w:rsidRPr="00E66A0C">
        <w:t>www.youtube.com/watch?v=zT4PhgHBpO0</w:t>
      </w:r>
      <w:r>
        <w:rPr>
          <w:lang w:val="en-GB"/>
        </w:rPr>
        <w:t>.</w:t>
      </w:r>
    </w:p>
  </w:footnote>
  <w:footnote w:id="13">
    <w:p w:rsidR="009F416E" w:rsidRPr="00B52C14" w:rsidRDefault="009F416E" w:rsidP="008A1525">
      <w:pPr>
        <w:pStyle w:val="FootnoteText"/>
        <w:rPr>
          <w:lang w:val="en-GB"/>
        </w:rPr>
      </w:pPr>
      <w:r>
        <w:rPr>
          <w:lang w:val="en-GB"/>
        </w:rPr>
        <w:tab/>
      </w:r>
      <w:r>
        <w:rPr>
          <w:rStyle w:val="FootnoteReference"/>
        </w:rPr>
        <w:footnoteRef/>
      </w:r>
      <w:r>
        <w:rPr>
          <w:lang w:val="en-GB"/>
        </w:rPr>
        <w:tab/>
      </w:r>
      <w:r w:rsidRPr="00B52C14">
        <w:rPr>
          <w:lang w:val="en-GB"/>
        </w:rPr>
        <w:t>The author does not specify which interview is at issue.</w:t>
      </w:r>
    </w:p>
  </w:footnote>
  <w:footnote w:id="14">
    <w:p w:rsidR="009F416E" w:rsidRPr="000B4907" w:rsidRDefault="009F416E">
      <w:pPr>
        <w:pStyle w:val="FootnoteText"/>
        <w:rPr>
          <w:lang w:val="en-GB"/>
        </w:rPr>
      </w:pPr>
      <w:r>
        <w:rPr>
          <w:lang w:val="en-GB"/>
        </w:rPr>
        <w:tab/>
      </w:r>
      <w:r>
        <w:rPr>
          <w:rStyle w:val="FootnoteReference"/>
        </w:rPr>
        <w:footnoteRef/>
      </w:r>
      <w:r w:rsidRPr="003C3543">
        <w:rPr>
          <w:lang w:val="en-GB"/>
        </w:rPr>
        <w:tab/>
      </w:r>
      <w:r>
        <w:rPr>
          <w:lang w:val="en-GB"/>
        </w:rPr>
        <w:t xml:space="preserve">See, for example communication No. 932/2000, </w:t>
      </w:r>
      <w:r w:rsidRPr="000B4907">
        <w:rPr>
          <w:i/>
          <w:lang w:val="en-GB"/>
        </w:rPr>
        <w:t>Gillot v. France</w:t>
      </w:r>
      <w:r>
        <w:rPr>
          <w:lang w:val="en-GB"/>
        </w:rPr>
        <w:t xml:space="preserve">, Views adopted on 15 July 2002, para. 13.4. </w:t>
      </w:r>
    </w:p>
  </w:footnote>
  <w:footnote w:id="15">
    <w:p w:rsidR="009F416E" w:rsidRPr="00120FDB" w:rsidRDefault="009F416E">
      <w:pPr>
        <w:pStyle w:val="FootnoteText"/>
        <w:rPr>
          <w:lang w:val="en-GB"/>
        </w:rPr>
      </w:pPr>
      <w:r>
        <w:rPr>
          <w:lang w:val="en-GB"/>
        </w:rPr>
        <w:tab/>
      </w:r>
      <w:r>
        <w:rPr>
          <w:rStyle w:val="FootnoteReference"/>
        </w:rPr>
        <w:footnoteRef/>
      </w:r>
      <w:r w:rsidRPr="002F2C3A">
        <w:tab/>
      </w:r>
      <w:r>
        <w:rPr>
          <w:lang w:val="en-GB"/>
        </w:rPr>
        <w:t xml:space="preserve">See, for example </w:t>
      </w:r>
      <w:r w:rsidRPr="00994E66">
        <w:t>communication</w:t>
      </w:r>
      <w:r>
        <w:rPr>
          <w:lang w:val="en-GB"/>
        </w:rPr>
        <w:t xml:space="preserve"> No. 167/1984, </w:t>
      </w:r>
      <w:r w:rsidRPr="000319D6">
        <w:rPr>
          <w:i/>
          <w:lang w:val="en-GB"/>
        </w:rPr>
        <w:t>Bernard Ominayak et al. v. Canada</w:t>
      </w:r>
      <w:r>
        <w:rPr>
          <w:lang w:val="en-GB"/>
        </w:rPr>
        <w:t xml:space="preserve">, Views adopted on 26 March 1990, para. 32.1. </w:t>
      </w:r>
    </w:p>
  </w:footnote>
  <w:footnote w:id="16">
    <w:p w:rsidR="009F416E" w:rsidRPr="00892347" w:rsidRDefault="009F416E">
      <w:pPr>
        <w:pStyle w:val="FootnoteText"/>
        <w:rPr>
          <w:lang w:val="en-GB"/>
        </w:rPr>
      </w:pPr>
      <w:r>
        <w:rPr>
          <w:lang w:val="en-GB"/>
        </w:rPr>
        <w:tab/>
      </w:r>
      <w:r>
        <w:rPr>
          <w:rStyle w:val="FootnoteReference"/>
        </w:rPr>
        <w:footnoteRef/>
      </w:r>
      <w:r>
        <w:rPr>
          <w:lang w:val="en-GB"/>
        </w:rPr>
        <w:tab/>
        <w:t xml:space="preserve">See communication No. 1134/2002, </w:t>
      </w:r>
      <w:r w:rsidRPr="00892347">
        <w:rPr>
          <w:i/>
          <w:lang w:val="en-GB"/>
        </w:rPr>
        <w:t>Fongum Gorji-Dinka v. Cameroon</w:t>
      </w:r>
      <w:r>
        <w:rPr>
          <w:lang w:val="en-GB"/>
        </w:rPr>
        <w:t xml:space="preserve">, Views adopted on 17 March 2005, para. 4.4. </w:t>
      </w:r>
    </w:p>
  </w:footnote>
  <w:footnote w:id="17">
    <w:p w:rsidR="009F416E" w:rsidRPr="0043469F" w:rsidRDefault="009F416E" w:rsidP="00994E66">
      <w:pPr>
        <w:pStyle w:val="FootnoteText"/>
        <w:rPr>
          <w:lang w:val="en-GB"/>
        </w:rPr>
      </w:pPr>
      <w:r>
        <w:rPr>
          <w:lang w:val="en-GB"/>
        </w:rPr>
        <w:tab/>
      </w:r>
      <w:r>
        <w:rPr>
          <w:rStyle w:val="FootnoteReference"/>
        </w:rPr>
        <w:footnoteRef/>
      </w:r>
      <w:r w:rsidRPr="003C3543">
        <w:rPr>
          <w:lang w:val="en-GB"/>
        </w:rPr>
        <w:tab/>
      </w:r>
      <w:r>
        <w:rPr>
          <w:lang w:val="en-GB"/>
        </w:rPr>
        <w:t xml:space="preserve">See, for example, </w:t>
      </w:r>
      <w:r w:rsidRPr="00994E66">
        <w:t>communications</w:t>
      </w:r>
      <w:r>
        <w:rPr>
          <w:lang w:val="en-GB"/>
        </w:rPr>
        <w:t xml:space="preserve"> No. 2202/2012, </w:t>
      </w:r>
      <w:r w:rsidRPr="0043469F">
        <w:rPr>
          <w:i/>
          <w:lang w:val="en-GB"/>
        </w:rPr>
        <w:t>Castaneda v. Mexico</w:t>
      </w:r>
      <w:r>
        <w:rPr>
          <w:lang w:val="en-GB"/>
        </w:rPr>
        <w:t xml:space="preserve">, decision adopted on 29 August 2013, para. 6.8; No. 1834/2008, </w:t>
      </w:r>
      <w:r w:rsidRPr="0043469F">
        <w:rPr>
          <w:i/>
          <w:lang w:val="en-GB"/>
        </w:rPr>
        <w:t>A.P. v. Ukraine</w:t>
      </w:r>
      <w:r>
        <w:rPr>
          <w:lang w:val="en-GB"/>
        </w:rPr>
        <w:t xml:space="preserve">, decision adopted on 23 July 2012, para. 8.5; and No. 1887/2009, </w:t>
      </w:r>
      <w:r w:rsidRPr="00E25B12">
        <w:rPr>
          <w:i/>
          <w:lang w:val="en-GB"/>
        </w:rPr>
        <w:t>Peirano Basso v. Uruguay</w:t>
      </w:r>
      <w:r>
        <w:rPr>
          <w:lang w:val="en-GB"/>
        </w:rPr>
        <w:t xml:space="preserve">, Views adopted on 19 October 2010, para. 9.4. </w:t>
      </w:r>
    </w:p>
  </w:footnote>
  <w:footnote w:id="18">
    <w:p w:rsidR="009F416E" w:rsidRPr="00C86957" w:rsidRDefault="009F416E" w:rsidP="00994E66">
      <w:pPr>
        <w:pStyle w:val="FootnoteText"/>
        <w:rPr>
          <w:lang w:val="en-GB"/>
        </w:rPr>
      </w:pPr>
      <w:r w:rsidRPr="00C86957">
        <w:rPr>
          <w:lang w:val="en-GB"/>
        </w:rPr>
        <w:tab/>
      </w:r>
      <w:r w:rsidRPr="00C86957">
        <w:rPr>
          <w:rStyle w:val="FootnoteReference"/>
          <w:lang w:val="en-GB"/>
        </w:rPr>
        <w:footnoteRef/>
      </w:r>
      <w:r w:rsidRPr="00C86957">
        <w:rPr>
          <w:lang w:val="en-GB"/>
        </w:rPr>
        <w:tab/>
        <w:t xml:space="preserve">See general </w:t>
      </w:r>
      <w:r w:rsidRPr="00994E66">
        <w:t>comment</w:t>
      </w:r>
      <w:r w:rsidRPr="00C86957">
        <w:rPr>
          <w:lang w:val="en-GB"/>
        </w:rPr>
        <w:t xml:space="preserve"> No. 31 (2004) on the nature of the general legal obligation imposed on States parties to the Covenant, para. </w:t>
      </w:r>
      <w:r w:rsidRPr="00313386">
        <w:t>12</w:t>
      </w:r>
      <w:r w:rsidRPr="00C86957">
        <w:rPr>
          <w:lang w:val="en-GB"/>
        </w:rPr>
        <w:t>.</w:t>
      </w:r>
    </w:p>
  </w:footnote>
  <w:footnote w:id="19">
    <w:p w:rsidR="009F416E" w:rsidRDefault="009F416E">
      <w:pPr>
        <w:pStyle w:val="FootnoteText"/>
      </w:pPr>
      <w:r>
        <w:tab/>
      </w:r>
      <w:r>
        <w:rPr>
          <w:rStyle w:val="FootnoteReference"/>
          <w:sz w:val="20"/>
        </w:rPr>
        <w:footnoteRef/>
      </w:r>
      <w:r>
        <w:tab/>
      </w:r>
      <w:r w:rsidRPr="004736B4">
        <w:rPr>
          <w:lang w:val="en-GB"/>
        </w:rPr>
        <w:t>See, for example, c</w:t>
      </w:r>
      <w:r>
        <w:t>ommunication</w:t>
      </w:r>
      <w:r w:rsidRPr="00436E7E">
        <w:rPr>
          <w:lang w:val="en-GB"/>
        </w:rPr>
        <w:t>s</w:t>
      </w:r>
      <w:r>
        <w:t xml:space="preserve"> </w:t>
      </w:r>
      <w:r w:rsidR="009F67B4">
        <w:rPr>
          <w:lang w:val="en-GB"/>
        </w:rPr>
        <w:t>N</w:t>
      </w:r>
      <w:r w:rsidRPr="00436E7E">
        <w:rPr>
          <w:lang w:val="en-GB"/>
        </w:rPr>
        <w:t>o.</w:t>
      </w:r>
      <w:r>
        <w:t xml:space="preserve"> </w:t>
      </w:r>
      <w:r w:rsidRPr="00436E7E">
        <w:rPr>
          <w:lang w:val="en-GB"/>
        </w:rPr>
        <w:t xml:space="preserve">2007/2010, </w:t>
      </w:r>
      <w:r w:rsidRPr="00973F26">
        <w:rPr>
          <w:i/>
          <w:lang w:val="en-GB"/>
        </w:rPr>
        <w:t xml:space="preserve">J.J. </w:t>
      </w:r>
      <w:r>
        <w:rPr>
          <w:i/>
          <w:lang w:val="en-GB"/>
        </w:rPr>
        <w:t>M</w:t>
      </w:r>
      <w:r w:rsidRPr="00973F26">
        <w:rPr>
          <w:i/>
          <w:lang w:val="en-GB"/>
        </w:rPr>
        <w:t>. v. Denmark</w:t>
      </w:r>
      <w:r>
        <w:rPr>
          <w:lang w:val="en-GB"/>
        </w:rPr>
        <w:t>, Views adopted on 26 March 2014, para. 9.2;</w:t>
      </w:r>
      <w:r w:rsidRPr="00973F26">
        <w:rPr>
          <w:lang w:val="en-GB"/>
        </w:rPr>
        <w:t xml:space="preserve"> </w:t>
      </w:r>
      <w:r w:rsidRPr="00AD13B3">
        <w:t xml:space="preserve">No. 282/2005, </w:t>
      </w:r>
      <w:r w:rsidRPr="00AD13B3">
        <w:rPr>
          <w:i/>
        </w:rPr>
        <w:t xml:space="preserve">S.P.A. </w:t>
      </w:r>
      <w:r w:rsidRPr="008A1525">
        <w:rPr>
          <w:i/>
          <w:iCs/>
        </w:rPr>
        <w:t>v.</w:t>
      </w:r>
      <w:r w:rsidRPr="00AD13B3">
        <w:rPr>
          <w:i/>
        </w:rPr>
        <w:t xml:space="preserve"> Canada</w:t>
      </w:r>
      <w:r>
        <w:t>,</w:t>
      </w:r>
      <w:r w:rsidRPr="00AD13B3">
        <w:t xml:space="preserve"> decision adopted on 7 November 2006; No.</w:t>
      </w:r>
      <w:r>
        <w:t> </w:t>
      </w:r>
      <w:r w:rsidRPr="00AD13B3">
        <w:t xml:space="preserve">333/2007, </w:t>
      </w:r>
      <w:r w:rsidRPr="00AD13B3">
        <w:rPr>
          <w:i/>
        </w:rPr>
        <w:t xml:space="preserve">T.I. </w:t>
      </w:r>
      <w:r w:rsidRPr="008A1525">
        <w:rPr>
          <w:i/>
          <w:iCs/>
        </w:rPr>
        <w:t>v.</w:t>
      </w:r>
      <w:r w:rsidRPr="00AD13B3">
        <w:rPr>
          <w:i/>
        </w:rPr>
        <w:t xml:space="preserve"> Canada</w:t>
      </w:r>
      <w:r w:rsidRPr="00AD13B3">
        <w:t>,</w:t>
      </w:r>
      <w:r>
        <w:t xml:space="preserve"> </w:t>
      </w:r>
      <w:r w:rsidRPr="00AD13B3">
        <w:t xml:space="preserve">decision adopted on 15 November 2010; No. 344/2008, </w:t>
      </w:r>
      <w:r w:rsidRPr="00AD13B3">
        <w:rPr>
          <w:i/>
        </w:rPr>
        <w:t xml:space="preserve">A.M.A. </w:t>
      </w:r>
      <w:r w:rsidRPr="008A1525">
        <w:rPr>
          <w:i/>
          <w:iCs/>
        </w:rPr>
        <w:t>v.</w:t>
      </w:r>
      <w:r>
        <w:rPr>
          <w:i/>
        </w:rPr>
        <w:t> </w:t>
      </w:r>
      <w:r w:rsidRPr="00AD13B3">
        <w:rPr>
          <w:i/>
        </w:rPr>
        <w:t>Switzerland</w:t>
      </w:r>
      <w:r w:rsidRPr="00AD13B3">
        <w:t>,</w:t>
      </w:r>
      <w:r>
        <w:t xml:space="preserve"> </w:t>
      </w:r>
      <w:r w:rsidRPr="00AD13B3">
        <w:t>decision adopted on 12 November 2010</w:t>
      </w:r>
      <w:r w:rsidR="009F67B4">
        <w:t>;</w:t>
      </w:r>
      <w:r>
        <w:t> </w:t>
      </w:r>
      <w:r w:rsidR="009F67B4">
        <w:t xml:space="preserve">and </w:t>
      </w:r>
      <w:r>
        <w:t xml:space="preserve">No. 692/1996, </w:t>
      </w:r>
      <w:r>
        <w:rPr>
          <w:i/>
          <w:iCs/>
        </w:rPr>
        <w:t xml:space="preserve">A.R.J. v. Australia, </w:t>
      </w:r>
      <w:r>
        <w:t>Views adopted on 28 July 1997, para. 6.6</w:t>
      </w:r>
      <w:r w:rsidRPr="00E67325">
        <w:rPr>
          <w:lang w:val="en-GB"/>
        </w:rPr>
        <w:t>.</w:t>
      </w:r>
    </w:p>
  </w:footnote>
  <w:footnote w:id="20">
    <w:p w:rsidR="009F416E" w:rsidRDefault="009F416E">
      <w:pPr>
        <w:pStyle w:val="FootnoteText"/>
      </w:pPr>
      <w:r>
        <w:tab/>
      </w:r>
      <w:r>
        <w:rPr>
          <w:rStyle w:val="FootnoteReference"/>
          <w:sz w:val="20"/>
        </w:rPr>
        <w:footnoteRef/>
      </w:r>
      <w:r>
        <w:tab/>
      </w:r>
      <w:r w:rsidR="009F67B4" w:rsidRPr="004736B4">
        <w:rPr>
          <w:lang w:val="en-GB"/>
        </w:rPr>
        <w:t>See, for example, c</w:t>
      </w:r>
      <w:r w:rsidR="009F67B4">
        <w:t>ommunication</w:t>
      </w:r>
      <w:r w:rsidR="009F67B4" w:rsidRPr="00436E7E">
        <w:rPr>
          <w:lang w:val="en-GB"/>
        </w:rPr>
        <w:t xml:space="preserve">s </w:t>
      </w:r>
      <w:r w:rsidR="009F67B4">
        <w:rPr>
          <w:lang w:val="en-GB"/>
        </w:rPr>
        <w:t>N</w:t>
      </w:r>
      <w:r w:rsidR="009F67B4" w:rsidRPr="00436E7E">
        <w:rPr>
          <w:lang w:val="en-GB"/>
        </w:rPr>
        <w:t>o.</w:t>
      </w:r>
      <w:r w:rsidR="009F67B4">
        <w:t xml:space="preserve"> </w:t>
      </w:r>
      <w:r w:rsidR="009F67B4" w:rsidRPr="00436E7E">
        <w:rPr>
          <w:lang w:val="en-GB"/>
        </w:rPr>
        <w:t xml:space="preserve">2007/2010, </w:t>
      </w:r>
      <w:r w:rsidR="009F67B4" w:rsidRPr="0073614E">
        <w:rPr>
          <w:i/>
          <w:iCs/>
          <w:lang w:val="en-GB"/>
        </w:rPr>
        <w:t>J.J. M. v. Denmark</w:t>
      </w:r>
      <w:r w:rsidR="009F67B4">
        <w:rPr>
          <w:lang w:val="en-GB"/>
        </w:rPr>
        <w:t xml:space="preserve">, Views adopted on 26 March </w:t>
      </w:r>
      <w:r w:rsidR="009F67B4" w:rsidRPr="00313386">
        <w:t>2</w:t>
      </w:r>
      <w:r w:rsidR="009F67B4">
        <w:rPr>
          <w:lang w:val="en-GB"/>
        </w:rPr>
        <w:t xml:space="preserve">014, para. 9.2; and No. </w:t>
      </w:r>
      <w:r w:rsidR="009F67B4">
        <w:t>1833/2008</w:t>
      </w:r>
      <w:r w:rsidR="009F67B4">
        <w:rPr>
          <w:i/>
        </w:rPr>
        <w:t>, X. v. Sweden</w:t>
      </w:r>
      <w:r w:rsidR="009F67B4">
        <w:t>, Views adopted on 1 November 2011, para</w:t>
      </w:r>
      <w:r w:rsidR="009F67B4">
        <w:rPr>
          <w:lang w:val="en-GB"/>
        </w:rPr>
        <w:t xml:space="preserve">. </w:t>
      </w:r>
      <w:r w:rsidR="009F67B4">
        <w:t>5.18.</w:t>
      </w:r>
    </w:p>
  </w:footnote>
  <w:footnote w:id="21">
    <w:p w:rsidR="009F416E" w:rsidRPr="00313386" w:rsidRDefault="009F416E" w:rsidP="00E93CC4">
      <w:pPr>
        <w:pStyle w:val="FootnoteText"/>
      </w:pPr>
      <w:r>
        <w:tab/>
      </w:r>
      <w:r>
        <w:rPr>
          <w:rStyle w:val="FootnoteReference"/>
          <w:sz w:val="20"/>
        </w:rPr>
        <w:footnoteRef/>
      </w:r>
      <w:r>
        <w:tab/>
        <w:t>See, inter alia, i</w:t>
      </w:r>
      <w:r>
        <w:rPr>
          <w:iCs/>
        </w:rPr>
        <w:t xml:space="preserve">bid. </w:t>
      </w:r>
      <w:r>
        <w:t xml:space="preserve">and communication No. 541/1993, </w:t>
      </w:r>
      <w:r>
        <w:rPr>
          <w:i/>
        </w:rPr>
        <w:t>Errol Simms v. Jamaica</w:t>
      </w:r>
      <w:r>
        <w:t>, inadmissibility decision adopted on 3 April 1995, para. 6.2.</w:t>
      </w:r>
    </w:p>
  </w:footnote>
  <w:footnote w:id="22">
    <w:p w:rsidR="009F416E" w:rsidRPr="00C86957" w:rsidRDefault="009F416E" w:rsidP="00E93CC4">
      <w:pPr>
        <w:pStyle w:val="FootnoteText"/>
        <w:rPr>
          <w:lang w:val="en-GB"/>
        </w:rPr>
      </w:pPr>
      <w:r w:rsidRPr="00C86957">
        <w:rPr>
          <w:lang w:val="en-GB"/>
        </w:rPr>
        <w:tab/>
      </w:r>
      <w:r w:rsidRPr="00C86957">
        <w:rPr>
          <w:rStyle w:val="FootnoteReference"/>
          <w:lang w:val="en-GB"/>
        </w:rPr>
        <w:footnoteRef/>
      </w:r>
      <w:r w:rsidRPr="00C86957">
        <w:rPr>
          <w:lang w:val="en-GB"/>
        </w:rPr>
        <w:tab/>
        <w:t>See communication</w:t>
      </w:r>
      <w:r>
        <w:rPr>
          <w:lang w:val="en-GB"/>
        </w:rPr>
        <w:t>s</w:t>
      </w:r>
      <w:r w:rsidRPr="00C86957">
        <w:rPr>
          <w:lang w:val="en-GB"/>
        </w:rPr>
        <w:t xml:space="preserve"> No. 1763/2008, </w:t>
      </w:r>
      <w:r w:rsidRPr="00C86957">
        <w:rPr>
          <w:i/>
          <w:lang w:val="en-GB"/>
        </w:rPr>
        <w:t>Pillai et al.</w:t>
      </w:r>
      <w:r w:rsidRPr="00C86957">
        <w:rPr>
          <w:lang w:val="en-GB"/>
        </w:rPr>
        <w:t xml:space="preserve"> </w:t>
      </w:r>
      <w:r w:rsidRPr="008A1525">
        <w:rPr>
          <w:i/>
          <w:lang w:val="en-GB"/>
        </w:rPr>
        <w:t>v.</w:t>
      </w:r>
      <w:r w:rsidRPr="00C86957">
        <w:rPr>
          <w:lang w:val="en-GB"/>
        </w:rPr>
        <w:t xml:space="preserve"> </w:t>
      </w:r>
      <w:smartTag w:uri="urn:schemas-microsoft-com:office:smarttags" w:element="place">
        <w:smartTag w:uri="urn:schemas-microsoft-com:office:smarttags" w:element="country-region">
          <w:r w:rsidRPr="00C86957">
            <w:rPr>
              <w:i/>
              <w:lang w:val="en-GB"/>
            </w:rPr>
            <w:t>Canada</w:t>
          </w:r>
        </w:smartTag>
      </w:smartTag>
      <w:r w:rsidRPr="00C86957">
        <w:rPr>
          <w:lang w:val="en-GB"/>
        </w:rPr>
        <w:t>, Views adopted on 25 March 2011, para. 11.4</w:t>
      </w:r>
      <w:r w:rsidR="009F67B4">
        <w:rPr>
          <w:lang w:val="en-GB"/>
        </w:rPr>
        <w:t>;</w:t>
      </w:r>
      <w:r>
        <w:rPr>
          <w:lang w:val="en-GB"/>
        </w:rPr>
        <w:t xml:space="preserve"> and </w:t>
      </w:r>
      <w:r w:rsidRPr="00C86957">
        <w:rPr>
          <w:lang w:val="en-GB"/>
        </w:rPr>
        <w:t xml:space="preserve">No. 1957/2010, </w:t>
      </w:r>
      <w:r w:rsidRPr="00C86957">
        <w:rPr>
          <w:i/>
          <w:lang w:val="en-GB"/>
        </w:rPr>
        <w:t xml:space="preserve">Lin </w:t>
      </w:r>
      <w:r w:rsidRPr="008A1525">
        <w:rPr>
          <w:i/>
          <w:lang w:val="en-GB"/>
        </w:rPr>
        <w:t>v.</w:t>
      </w:r>
      <w:r w:rsidRPr="00C86957">
        <w:rPr>
          <w:i/>
          <w:lang w:val="en-GB"/>
        </w:rPr>
        <w:t xml:space="preserve"> Australia</w:t>
      </w:r>
      <w:r w:rsidRPr="00C86957">
        <w:rPr>
          <w:lang w:val="en-GB"/>
        </w:rPr>
        <w:t xml:space="preserve">, </w:t>
      </w:r>
      <w:r w:rsidRPr="00313386">
        <w:t>Views</w:t>
      </w:r>
      <w:r w:rsidRPr="00C86957">
        <w:rPr>
          <w:lang w:val="en-GB"/>
        </w:rPr>
        <w:t xml:space="preserve"> adopted on 21 March 2013, para. 9.3.</w:t>
      </w:r>
    </w:p>
  </w:footnote>
  <w:footnote w:id="23">
    <w:p w:rsidR="009F416E" w:rsidRPr="004A3E34" w:rsidRDefault="009F416E">
      <w:pPr>
        <w:pStyle w:val="FootnoteText"/>
        <w:rPr>
          <w:lang w:val="en-GB"/>
        </w:rPr>
      </w:pPr>
      <w:r>
        <w:rPr>
          <w:lang w:val="en-GB"/>
        </w:rPr>
        <w:tab/>
      </w:r>
      <w:r>
        <w:rPr>
          <w:rStyle w:val="FootnoteReference"/>
        </w:rPr>
        <w:footnoteRef/>
      </w:r>
      <w:r>
        <w:rPr>
          <w:lang w:val="en-GB"/>
        </w:rPr>
        <w:tab/>
        <w:t>See</w:t>
      </w:r>
      <w:r w:rsidR="001B11A6">
        <w:rPr>
          <w:lang w:val="en-GB"/>
        </w:rPr>
        <w:t>,</w:t>
      </w:r>
      <w:r>
        <w:rPr>
          <w:lang w:val="en-GB"/>
        </w:rPr>
        <w:t xml:space="preserve"> </w:t>
      </w:r>
      <w:r w:rsidR="001B11A6">
        <w:rPr>
          <w:lang w:val="en-GB"/>
        </w:rPr>
        <w:t>for example,</w:t>
      </w:r>
      <w:r>
        <w:rPr>
          <w:lang w:val="en-GB"/>
        </w:rPr>
        <w:t xml:space="preserve"> </w:t>
      </w:r>
      <w:r w:rsidRPr="00564C5D">
        <w:rPr>
          <w:lang w:val="en-GB"/>
        </w:rPr>
        <w:t>A/HRC/19/61/Add.4</w:t>
      </w:r>
      <w:r w:rsidR="001B11A6">
        <w:rPr>
          <w:lang w:val="en-GB"/>
        </w:rPr>
        <w:t>,</w:t>
      </w:r>
      <w:r>
        <w:rPr>
          <w:lang w:val="en-GB"/>
        </w:rPr>
        <w:t xml:space="preserve"> paras. 47-52</w:t>
      </w:r>
      <w:r w:rsidR="001B11A6">
        <w:rPr>
          <w:lang w:val="en-GB"/>
        </w:rPr>
        <w:t>.</w:t>
      </w:r>
      <w:r>
        <w:rPr>
          <w:lang w:val="en-GB"/>
        </w:rPr>
        <w:t xml:space="preserve"> </w:t>
      </w:r>
      <w:r w:rsidR="001B11A6">
        <w:rPr>
          <w:lang w:val="en-GB"/>
        </w:rPr>
        <w:t xml:space="preserve">See also </w:t>
      </w:r>
      <w:hyperlink r:id="rId1" w:history="1">
        <w:r w:rsidRPr="00770EE5">
          <w:rPr>
            <w:rStyle w:val="Hyperlink"/>
            <w:lang w:val="en-GB"/>
          </w:rPr>
          <w:t>www.freedomhouse.org/report/freedom-world/freedom-world-2015</w:t>
        </w:r>
      </w:hyperlink>
      <w:r>
        <w:rPr>
          <w:lang w:val="en-GB"/>
        </w:rPr>
        <w:t xml:space="preserve">, </w:t>
      </w:r>
      <w:r w:rsidRPr="005619D1">
        <w:rPr>
          <w:lang w:val="en-GB"/>
        </w:rPr>
        <w:t xml:space="preserve">and </w:t>
      </w:r>
      <w:r w:rsidRPr="006E0DD8">
        <w:rPr>
          <w:lang w:val="en-GB"/>
        </w:rPr>
        <w:t>www.hrw.org/sites/default/files/wr2015</w:t>
      </w:r>
      <w:r>
        <w:rPr>
          <w:lang w:val="en-GB"/>
        </w:rPr>
        <w:t>_</w:t>
      </w:r>
      <w:r w:rsidRPr="006E0DD8">
        <w:rPr>
          <w:lang w:val="en-GB"/>
        </w:rPr>
        <w:t>web.pdf</w:t>
      </w:r>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6E" w:rsidRPr="00781C83" w:rsidRDefault="009F416E" w:rsidP="00781C83">
    <w:pPr>
      <w:pStyle w:val="Header"/>
    </w:pPr>
    <w:r>
      <w:t>CCPR/C/114/D/2343/2014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6E" w:rsidRPr="00781C83" w:rsidRDefault="009F416E" w:rsidP="00781C83">
    <w:pPr>
      <w:pStyle w:val="Header"/>
      <w:jc w:val="right"/>
    </w:pPr>
    <w:r>
      <w:t>CCPR/C/114/D/2343/2014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0392689"/>
    <w:multiLevelType w:val="hybridMultilevel"/>
    <w:tmpl w:val="5CD60E38"/>
    <w:lvl w:ilvl="0" w:tplc="ABE62EBC">
      <w:start w:val="2330"/>
      <w:numFmt w:val="bullet"/>
      <w:lvlText w:val=""/>
      <w:lvlJc w:val="left"/>
      <w:pPr>
        <w:ind w:left="1260" w:hanging="360"/>
      </w:pPr>
      <w:rPr>
        <w:rFonts w:ascii="Symbol" w:eastAsia="Times New Roman" w:hAnsi="Symbol" w:cs="Times New Roman" w:hint="default"/>
        <w:sz w:val="18"/>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F897269"/>
    <w:multiLevelType w:val="hybridMultilevel"/>
    <w:tmpl w:val="2B54B9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6EA"/>
    <w:rsid w:val="000044E2"/>
    <w:rsid w:val="00005379"/>
    <w:rsid w:val="0000756B"/>
    <w:rsid w:val="000150F6"/>
    <w:rsid w:val="0001627B"/>
    <w:rsid w:val="000166B9"/>
    <w:rsid w:val="000170C3"/>
    <w:rsid w:val="00023024"/>
    <w:rsid w:val="00024522"/>
    <w:rsid w:val="00025D41"/>
    <w:rsid w:val="0002635B"/>
    <w:rsid w:val="000272B3"/>
    <w:rsid w:val="000319D6"/>
    <w:rsid w:val="0003383A"/>
    <w:rsid w:val="0003387B"/>
    <w:rsid w:val="00033CD0"/>
    <w:rsid w:val="00036F3F"/>
    <w:rsid w:val="000377A5"/>
    <w:rsid w:val="000379E0"/>
    <w:rsid w:val="0004092D"/>
    <w:rsid w:val="000414AE"/>
    <w:rsid w:val="00041994"/>
    <w:rsid w:val="00045BE1"/>
    <w:rsid w:val="00050F6B"/>
    <w:rsid w:val="00054A52"/>
    <w:rsid w:val="00055FFE"/>
    <w:rsid w:val="0005610D"/>
    <w:rsid w:val="000569F0"/>
    <w:rsid w:val="00057074"/>
    <w:rsid w:val="0005782B"/>
    <w:rsid w:val="00057E97"/>
    <w:rsid w:val="00060C3A"/>
    <w:rsid w:val="00061A73"/>
    <w:rsid w:val="00065182"/>
    <w:rsid w:val="00066476"/>
    <w:rsid w:val="000673A3"/>
    <w:rsid w:val="00067CCE"/>
    <w:rsid w:val="000707D1"/>
    <w:rsid w:val="00072C8C"/>
    <w:rsid w:val="000733B5"/>
    <w:rsid w:val="00075D36"/>
    <w:rsid w:val="00081392"/>
    <w:rsid w:val="00081815"/>
    <w:rsid w:val="00081BF7"/>
    <w:rsid w:val="0008245C"/>
    <w:rsid w:val="00084428"/>
    <w:rsid w:val="00090022"/>
    <w:rsid w:val="0009063A"/>
    <w:rsid w:val="00090758"/>
    <w:rsid w:val="00091F15"/>
    <w:rsid w:val="000931C0"/>
    <w:rsid w:val="0009642A"/>
    <w:rsid w:val="000970C1"/>
    <w:rsid w:val="000A2EE4"/>
    <w:rsid w:val="000A310C"/>
    <w:rsid w:val="000A39B4"/>
    <w:rsid w:val="000A5559"/>
    <w:rsid w:val="000A69CF"/>
    <w:rsid w:val="000B02C3"/>
    <w:rsid w:val="000B175B"/>
    <w:rsid w:val="000B1788"/>
    <w:rsid w:val="000B1998"/>
    <w:rsid w:val="000B3A0F"/>
    <w:rsid w:val="000B4907"/>
    <w:rsid w:val="000B4EF7"/>
    <w:rsid w:val="000C2AB9"/>
    <w:rsid w:val="000C2C03"/>
    <w:rsid w:val="000C2D2E"/>
    <w:rsid w:val="000C2E06"/>
    <w:rsid w:val="000C46B7"/>
    <w:rsid w:val="000C4DA0"/>
    <w:rsid w:val="000C695D"/>
    <w:rsid w:val="000D0ABB"/>
    <w:rsid w:val="000D362D"/>
    <w:rsid w:val="000D3D17"/>
    <w:rsid w:val="000D6E0C"/>
    <w:rsid w:val="000E0415"/>
    <w:rsid w:val="000E07B1"/>
    <w:rsid w:val="000E0E8E"/>
    <w:rsid w:val="000E20F8"/>
    <w:rsid w:val="000E29B9"/>
    <w:rsid w:val="000E483F"/>
    <w:rsid w:val="000F0AB6"/>
    <w:rsid w:val="000F39F9"/>
    <w:rsid w:val="000F6A6B"/>
    <w:rsid w:val="000F7458"/>
    <w:rsid w:val="000F7E69"/>
    <w:rsid w:val="00102617"/>
    <w:rsid w:val="00102718"/>
    <w:rsid w:val="001037D9"/>
    <w:rsid w:val="0010720A"/>
    <w:rsid w:val="001103AA"/>
    <w:rsid w:val="00110F83"/>
    <w:rsid w:val="00112792"/>
    <w:rsid w:val="00112984"/>
    <w:rsid w:val="001133DB"/>
    <w:rsid w:val="0011580E"/>
    <w:rsid w:val="00115BC0"/>
    <w:rsid w:val="001173CF"/>
    <w:rsid w:val="00117506"/>
    <w:rsid w:val="0011787A"/>
    <w:rsid w:val="00120FDB"/>
    <w:rsid w:val="001223A2"/>
    <w:rsid w:val="00123712"/>
    <w:rsid w:val="00127619"/>
    <w:rsid w:val="001306DD"/>
    <w:rsid w:val="00130D48"/>
    <w:rsid w:val="0013113A"/>
    <w:rsid w:val="00131B64"/>
    <w:rsid w:val="00131D2D"/>
    <w:rsid w:val="0013235B"/>
    <w:rsid w:val="001340B3"/>
    <w:rsid w:val="00136DE8"/>
    <w:rsid w:val="00137249"/>
    <w:rsid w:val="001375A9"/>
    <w:rsid w:val="00142286"/>
    <w:rsid w:val="00151470"/>
    <w:rsid w:val="00152045"/>
    <w:rsid w:val="001547CC"/>
    <w:rsid w:val="00154DA5"/>
    <w:rsid w:val="00157820"/>
    <w:rsid w:val="00157D19"/>
    <w:rsid w:val="00161364"/>
    <w:rsid w:val="00162DB2"/>
    <w:rsid w:val="00164C92"/>
    <w:rsid w:val="00165F3A"/>
    <w:rsid w:val="00166183"/>
    <w:rsid w:val="00170DDB"/>
    <w:rsid w:val="001721A9"/>
    <w:rsid w:val="0017277A"/>
    <w:rsid w:val="00174528"/>
    <w:rsid w:val="001756D6"/>
    <w:rsid w:val="001758E2"/>
    <w:rsid w:val="001762F0"/>
    <w:rsid w:val="00176A61"/>
    <w:rsid w:val="00176D6B"/>
    <w:rsid w:val="00181F7C"/>
    <w:rsid w:val="00183968"/>
    <w:rsid w:val="001844A0"/>
    <w:rsid w:val="0018481A"/>
    <w:rsid w:val="001905FB"/>
    <w:rsid w:val="001912DB"/>
    <w:rsid w:val="00191845"/>
    <w:rsid w:val="001965C0"/>
    <w:rsid w:val="00196CDF"/>
    <w:rsid w:val="00197F4F"/>
    <w:rsid w:val="001A09DE"/>
    <w:rsid w:val="001A2C08"/>
    <w:rsid w:val="001A32CB"/>
    <w:rsid w:val="001A4429"/>
    <w:rsid w:val="001A6461"/>
    <w:rsid w:val="001A660B"/>
    <w:rsid w:val="001A6686"/>
    <w:rsid w:val="001A67B5"/>
    <w:rsid w:val="001A723C"/>
    <w:rsid w:val="001A7E43"/>
    <w:rsid w:val="001B11A6"/>
    <w:rsid w:val="001B4041"/>
    <w:rsid w:val="001B4485"/>
    <w:rsid w:val="001B4B04"/>
    <w:rsid w:val="001B7D22"/>
    <w:rsid w:val="001C09D8"/>
    <w:rsid w:val="001C4471"/>
    <w:rsid w:val="001C5BED"/>
    <w:rsid w:val="001C657F"/>
    <w:rsid w:val="001C6663"/>
    <w:rsid w:val="001C7895"/>
    <w:rsid w:val="001C7D37"/>
    <w:rsid w:val="001D0C8C"/>
    <w:rsid w:val="001D26DF"/>
    <w:rsid w:val="001D32E3"/>
    <w:rsid w:val="001D3743"/>
    <w:rsid w:val="001D3A03"/>
    <w:rsid w:val="001D5F2D"/>
    <w:rsid w:val="001D6813"/>
    <w:rsid w:val="001E10EC"/>
    <w:rsid w:val="001E2B4C"/>
    <w:rsid w:val="001E4617"/>
    <w:rsid w:val="001E48A9"/>
    <w:rsid w:val="001E6148"/>
    <w:rsid w:val="001E718D"/>
    <w:rsid w:val="001E7AF9"/>
    <w:rsid w:val="001F0720"/>
    <w:rsid w:val="001F08A3"/>
    <w:rsid w:val="001F0F1A"/>
    <w:rsid w:val="001F11EA"/>
    <w:rsid w:val="00202DA8"/>
    <w:rsid w:val="002069CC"/>
    <w:rsid w:val="00211E0B"/>
    <w:rsid w:val="00213E21"/>
    <w:rsid w:val="00217D74"/>
    <w:rsid w:val="00220677"/>
    <w:rsid w:val="00222689"/>
    <w:rsid w:val="00222950"/>
    <w:rsid w:val="00223C0D"/>
    <w:rsid w:val="00224AED"/>
    <w:rsid w:val="0022501D"/>
    <w:rsid w:val="002256A1"/>
    <w:rsid w:val="00230D7F"/>
    <w:rsid w:val="002314F8"/>
    <w:rsid w:val="0023210C"/>
    <w:rsid w:val="00232334"/>
    <w:rsid w:val="00232447"/>
    <w:rsid w:val="00233707"/>
    <w:rsid w:val="00235021"/>
    <w:rsid w:val="002361D0"/>
    <w:rsid w:val="00240564"/>
    <w:rsid w:val="00240F4B"/>
    <w:rsid w:val="00250292"/>
    <w:rsid w:val="0025162E"/>
    <w:rsid w:val="0025487E"/>
    <w:rsid w:val="002633B3"/>
    <w:rsid w:val="002650C2"/>
    <w:rsid w:val="002656E9"/>
    <w:rsid w:val="00265CF8"/>
    <w:rsid w:val="00266EB7"/>
    <w:rsid w:val="00267F5F"/>
    <w:rsid w:val="00271484"/>
    <w:rsid w:val="00272A54"/>
    <w:rsid w:val="00273B14"/>
    <w:rsid w:val="00274F7C"/>
    <w:rsid w:val="00281144"/>
    <w:rsid w:val="00282899"/>
    <w:rsid w:val="0028489A"/>
    <w:rsid w:val="00285A26"/>
    <w:rsid w:val="002863A9"/>
    <w:rsid w:val="00286B36"/>
    <w:rsid w:val="00286B4D"/>
    <w:rsid w:val="00286FB9"/>
    <w:rsid w:val="00292F7D"/>
    <w:rsid w:val="0029365C"/>
    <w:rsid w:val="00293B90"/>
    <w:rsid w:val="002A0E62"/>
    <w:rsid w:val="002A1243"/>
    <w:rsid w:val="002A3CBA"/>
    <w:rsid w:val="002A4B67"/>
    <w:rsid w:val="002A728F"/>
    <w:rsid w:val="002B3B76"/>
    <w:rsid w:val="002B3F1E"/>
    <w:rsid w:val="002C06BA"/>
    <w:rsid w:val="002C07F5"/>
    <w:rsid w:val="002C5BCD"/>
    <w:rsid w:val="002D18B7"/>
    <w:rsid w:val="002D3AF5"/>
    <w:rsid w:val="002D4CB1"/>
    <w:rsid w:val="002D76B1"/>
    <w:rsid w:val="002E1084"/>
    <w:rsid w:val="002E141A"/>
    <w:rsid w:val="002E52B1"/>
    <w:rsid w:val="002E595E"/>
    <w:rsid w:val="002E5C99"/>
    <w:rsid w:val="002E69AE"/>
    <w:rsid w:val="002F039C"/>
    <w:rsid w:val="002F175C"/>
    <w:rsid w:val="002F1942"/>
    <w:rsid w:val="002F2C3A"/>
    <w:rsid w:val="002F4557"/>
    <w:rsid w:val="002F4621"/>
    <w:rsid w:val="002F5159"/>
    <w:rsid w:val="002F582A"/>
    <w:rsid w:val="0030138D"/>
    <w:rsid w:val="00306124"/>
    <w:rsid w:val="00307164"/>
    <w:rsid w:val="00307884"/>
    <w:rsid w:val="00313386"/>
    <w:rsid w:val="003134AC"/>
    <w:rsid w:val="003146F0"/>
    <w:rsid w:val="0031721B"/>
    <w:rsid w:val="00317544"/>
    <w:rsid w:val="00320E07"/>
    <w:rsid w:val="0032230D"/>
    <w:rsid w:val="003229D8"/>
    <w:rsid w:val="00323632"/>
    <w:rsid w:val="00327502"/>
    <w:rsid w:val="00331F5B"/>
    <w:rsid w:val="00333A3C"/>
    <w:rsid w:val="00335DD7"/>
    <w:rsid w:val="00340A69"/>
    <w:rsid w:val="00341E55"/>
    <w:rsid w:val="00344919"/>
    <w:rsid w:val="00345647"/>
    <w:rsid w:val="00351398"/>
    <w:rsid w:val="00352709"/>
    <w:rsid w:val="00354AA8"/>
    <w:rsid w:val="00360AF6"/>
    <w:rsid w:val="00363A98"/>
    <w:rsid w:val="0036645D"/>
    <w:rsid w:val="003667AD"/>
    <w:rsid w:val="00367567"/>
    <w:rsid w:val="003705C9"/>
    <w:rsid w:val="00371095"/>
    <w:rsid w:val="00371178"/>
    <w:rsid w:val="0037301C"/>
    <w:rsid w:val="003730DD"/>
    <w:rsid w:val="0037429D"/>
    <w:rsid w:val="00375119"/>
    <w:rsid w:val="00376720"/>
    <w:rsid w:val="00377828"/>
    <w:rsid w:val="003823CB"/>
    <w:rsid w:val="0038336C"/>
    <w:rsid w:val="003840FD"/>
    <w:rsid w:val="00384F90"/>
    <w:rsid w:val="00386624"/>
    <w:rsid w:val="00387ECB"/>
    <w:rsid w:val="003903FC"/>
    <w:rsid w:val="003909E7"/>
    <w:rsid w:val="003915C7"/>
    <w:rsid w:val="00392947"/>
    <w:rsid w:val="0039347E"/>
    <w:rsid w:val="003954DB"/>
    <w:rsid w:val="003A1602"/>
    <w:rsid w:val="003A325A"/>
    <w:rsid w:val="003A65FD"/>
    <w:rsid w:val="003A6810"/>
    <w:rsid w:val="003A6EFA"/>
    <w:rsid w:val="003A70FC"/>
    <w:rsid w:val="003A7AF2"/>
    <w:rsid w:val="003C02AB"/>
    <w:rsid w:val="003C0A8D"/>
    <w:rsid w:val="003C2CC4"/>
    <w:rsid w:val="003C3543"/>
    <w:rsid w:val="003C389B"/>
    <w:rsid w:val="003C730E"/>
    <w:rsid w:val="003D1C5A"/>
    <w:rsid w:val="003D2795"/>
    <w:rsid w:val="003D342A"/>
    <w:rsid w:val="003D3E59"/>
    <w:rsid w:val="003D4B23"/>
    <w:rsid w:val="003D52B0"/>
    <w:rsid w:val="003E2BA4"/>
    <w:rsid w:val="003E4173"/>
    <w:rsid w:val="003E6A36"/>
    <w:rsid w:val="003E6F7E"/>
    <w:rsid w:val="003E75F0"/>
    <w:rsid w:val="003E79B5"/>
    <w:rsid w:val="003F2CA6"/>
    <w:rsid w:val="00405473"/>
    <w:rsid w:val="004071AB"/>
    <w:rsid w:val="00410C89"/>
    <w:rsid w:val="00414167"/>
    <w:rsid w:val="00414931"/>
    <w:rsid w:val="00414B35"/>
    <w:rsid w:val="00414F92"/>
    <w:rsid w:val="004222B5"/>
    <w:rsid w:val="004227C0"/>
    <w:rsid w:val="004257BF"/>
    <w:rsid w:val="00426B9B"/>
    <w:rsid w:val="0043003F"/>
    <w:rsid w:val="0043043F"/>
    <w:rsid w:val="00431396"/>
    <w:rsid w:val="004325CB"/>
    <w:rsid w:val="0043469F"/>
    <w:rsid w:val="00436972"/>
    <w:rsid w:val="00436B33"/>
    <w:rsid w:val="00436E7E"/>
    <w:rsid w:val="00437253"/>
    <w:rsid w:val="00442A83"/>
    <w:rsid w:val="00442C9D"/>
    <w:rsid w:val="00442EB6"/>
    <w:rsid w:val="00445A57"/>
    <w:rsid w:val="00446ABC"/>
    <w:rsid w:val="00450D0E"/>
    <w:rsid w:val="0045285D"/>
    <w:rsid w:val="0045495B"/>
    <w:rsid w:val="004556B9"/>
    <w:rsid w:val="00455C43"/>
    <w:rsid w:val="004607BF"/>
    <w:rsid w:val="00463A2A"/>
    <w:rsid w:val="00464446"/>
    <w:rsid w:val="004653C7"/>
    <w:rsid w:val="00466B4C"/>
    <w:rsid w:val="00466FA4"/>
    <w:rsid w:val="00467A53"/>
    <w:rsid w:val="0047173A"/>
    <w:rsid w:val="004736B4"/>
    <w:rsid w:val="00473963"/>
    <w:rsid w:val="00474A73"/>
    <w:rsid w:val="00476073"/>
    <w:rsid w:val="00481CB1"/>
    <w:rsid w:val="004831D7"/>
    <w:rsid w:val="00487488"/>
    <w:rsid w:val="00487FB8"/>
    <w:rsid w:val="0049072C"/>
    <w:rsid w:val="00491B1C"/>
    <w:rsid w:val="00491C25"/>
    <w:rsid w:val="0049219B"/>
    <w:rsid w:val="0049418F"/>
    <w:rsid w:val="00494976"/>
    <w:rsid w:val="00495924"/>
    <w:rsid w:val="00495A34"/>
    <w:rsid w:val="00497CBC"/>
    <w:rsid w:val="004A1789"/>
    <w:rsid w:val="004A2789"/>
    <w:rsid w:val="004A28A7"/>
    <w:rsid w:val="004A3E34"/>
    <w:rsid w:val="004A4406"/>
    <w:rsid w:val="004A4E95"/>
    <w:rsid w:val="004C55DD"/>
    <w:rsid w:val="004C578B"/>
    <w:rsid w:val="004D0446"/>
    <w:rsid w:val="004D5BD1"/>
    <w:rsid w:val="004D6913"/>
    <w:rsid w:val="004E15CC"/>
    <w:rsid w:val="004E7047"/>
    <w:rsid w:val="004F1D45"/>
    <w:rsid w:val="004F286C"/>
    <w:rsid w:val="004F5078"/>
    <w:rsid w:val="004F56B6"/>
    <w:rsid w:val="005007C9"/>
    <w:rsid w:val="0050328D"/>
    <w:rsid w:val="00505D08"/>
    <w:rsid w:val="00507DE8"/>
    <w:rsid w:val="0051013F"/>
    <w:rsid w:val="005125F0"/>
    <w:rsid w:val="005140CE"/>
    <w:rsid w:val="005167F1"/>
    <w:rsid w:val="00520190"/>
    <w:rsid w:val="00520400"/>
    <w:rsid w:val="0052136D"/>
    <w:rsid w:val="005232E6"/>
    <w:rsid w:val="00525395"/>
    <w:rsid w:val="0052775E"/>
    <w:rsid w:val="00533FA3"/>
    <w:rsid w:val="005409DC"/>
    <w:rsid w:val="00540F02"/>
    <w:rsid w:val="0054109A"/>
    <w:rsid w:val="0054150C"/>
    <w:rsid w:val="005420F2"/>
    <w:rsid w:val="00546665"/>
    <w:rsid w:val="00550D3B"/>
    <w:rsid w:val="00551883"/>
    <w:rsid w:val="00555470"/>
    <w:rsid w:val="00560BA5"/>
    <w:rsid w:val="005619D1"/>
    <w:rsid w:val="00561B68"/>
    <w:rsid w:val="005628B6"/>
    <w:rsid w:val="005640D1"/>
    <w:rsid w:val="00564714"/>
    <w:rsid w:val="0056473A"/>
    <w:rsid w:val="00564C5D"/>
    <w:rsid w:val="00565BE7"/>
    <w:rsid w:val="0056624F"/>
    <w:rsid w:val="00567011"/>
    <w:rsid w:val="005722B3"/>
    <w:rsid w:val="00572E29"/>
    <w:rsid w:val="0057585A"/>
    <w:rsid w:val="0057598A"/>
    <w:rsid w:val="00575BA3"/>
    <w:rsid w:val="005770B9"/>
    <w:rsid w:val="00577E84"/>
    <w:rsid w:val="005848B3"/>
    <w:rsid w:val="00590F87"/>
    <w:rsid w:val="00591A9E"/>
    <w:rsid w:val="00592C4A"/>
    <w:rsid w:val="005A0415"/>
    <w:rsid w:val="005A2ACD"/>
    <w:rsid w:val="005A2C35"/>
    <w:rsid w:val="005A6D15"/>
    <w:rsid w:val="005B09AE"/>
    <w:rsid w:val="005B15AD"/>
    <w:rsid w:val="005B2E24"/>
    <w:rsid w:val="005B38A5"/>
    <w:rsid w:val="005B3DB3"/>
    <w:rsid w:val="005B4F61"/>
    <w:rsid w:val="005B6047"/>
    <w:rsid w:val="005B77B6"/>
    <w:rsid w:val="005C068E"/>
    <w:rsid w:val="005C11C1"/>
    <w:rsid w:val="005C176E"/>
    <w:rsid w:val="005C1C11"/>
    <w:rsid w:val="005C2131"/>
    <w:rsid w:val="005C223E"/>
    <w:rsid w:val="005C413D"/>
    <w:rsid w:val="005C4A9E"/>
    <w:rsid w:val="005C5103"/>
    <w:rsid w:val="005D0679"/>
    <w:rsid w:val="005D32AF"/>
    <w:rsid w:val="005D5721"/>
    <w:rsid w:val="005D5AF5"/>
    <w:rsid w:val="005D7CB5"/>
    <w:rsid w:val="005E021C"/>
    <w:rsid w:val="005E12C6"/>
    <w:rsid w:val="005E2F71"/>
    <w:rsid w:val="005E5805"/>
    <w:rsid w:val="005E783D"/>
    <w:rsid w:val="005F1320"/>
    <w:rsid w:val="005F2AE1"/>
    <w:rsid w:val="005F5699"/>
    <w:rsid w:val="005F59B9"/>
    <w:rsid w:val="005F7717"/>
    <w:rsid w:val="005F7B75"/>
    <w:rsid w:val="005F7F93"/>
    <w:rsid w:val="006001B0"/>
    <w:rsid w:val="006001EE"/>
    <w:rsid w:val="00605042"/>
    <w:rsid w:val="00607BC1"/>
    <w:rsid w:val="006108E0"/>
    <w:rsid w:val="00611FC4"/>
    <w:rsid w:val="00613FE0"/>
    <w:rsid w:val="006148AF"/>
    <w:rsid w:val="006160CB"/>
    <w:rsid w:val="00616972"/>
    <w:rsid w:val="00616D0B"/>
    <w:rsid w:val="006176FB"/>
    <w:rsid w:val="0062108F"/>
    <w:rsid w:val="006239C9"/>
    <w:rsid w:val="00623FD3"/>
    <w:rsid w:val="0062462D"/>
    <w:rsid w:val="0062630E"/>
    <w:rsid w:val="0062645D"/>
    <w:rsid w:val="006274AD"/>
    <w:rsid w:val="00627FB0"/>
    <w:rsid w:val="00631C31"/>
    <w:rsid w:val="006321A4"/>
    <w:rsid w:val="00632E25"/>
    <w:rsid w:val="0063379B"/>
    <w:rsid w:val="00635DDA"/>
    <w:rsid w:val="00640B26"/>
    <w:rsid w:val="00640C76"/>
    <w:rsid w:val="00641231"/>
    <w:rsid w:val="006427DB"/>
    <w:rsid w:val="00645379"/>
    <w:rsid w:val="00645949"/>
    <w:rsid w:val="006507CD"/>
    <w:rsid w:val="006509F9"/>
    <w:rsid w:val="00652D0A"/>
    <w:rsid w:val="00653537"/>
    <w:rsid w:val="00653DBF"/>
    <w:rsid w:val="00654447"/>
    <w:rsid w:val="00660559"/>
    <w:rsid w:val="00662BB6"/>
    <w:rsid w:val="006637A4"/>
    <w:rsid w:val="00667211"/>
    <w:rsid w:val="00667C61"/>
    <w:rsid w:val="00671948"/>
    <w:rsid w:val="00672110"/>
    <w:rsid w:val="006743E9"/>
    <w:rsid w:val="00674D65"/>
    <w:rsid w:val="00676FBF"/>
    <w:rsid w:val="00681678"/>
    <w:rsid w:val="00681702"/>
    <w:rsid w:val="00682284"/>
    <w:rsid w:val="00683323"/>
    <w:rsid w:val="006838C8"/>
    <w:rsid w:val="00684C21"/>
    <w:rsid w:val="00685FA6"/>
    <w:rsid w:val="00686C0D"/>
    <w:rsid w:val="0068743C"/>
    <w:rsid w:val="00692BBE"/>
    <w:rsid w:val="00694AE6"/>
    <w:rsid w:val="006954C6"/>
    <w:rsid w:val="00695991"/>
    <w:rsid w:val="0069763E"/>
    <w:rsid w:val="00697F3E"/>
    <w:rsid w:val="006B346D"/>
    <w:rsid w:val="006B4FA2"/>
    <w:rsid w:val="006B51FE"/>
    <w:rsid w:val="006B58E5"/>
    <w:rsid w:val="006C0435"/>
    <w:rsid w:val="006C05C1"/>
    <w:rsid w:val="006C3AD1"/>
    <w:rsid w:val="006C65A6"/>
    <w:rsid w:val="006D0125"/>
    <w:rsid w:val="006D025A"/>
    <w:rsid w:val="006D1875"/>
    <w:rsid w:val="006D37AF"/>
    <w:rsid w:val="006D51D0"/>
    <w:rsid w:val="006D53C0"/>
    <w:rsid w:val="006D79CF"/>
    <w:rsid w:val="006E0DD8"/>
    <w:rsid w:val="006E212F"/>
    <w:rsid w:val="006E564B"/>
    <w:rsid w:val="006E5A29"/>
    <w:rsid w:val="006E7191"/>
    <w:rsid w:val="006E7196"/>
    <w:rsid w:val="006F30DF"/>
    <w:rsid w:val="006F464F"/>
    <w:rsid w:val="006F4B86"/>
    <w:rsid w:val="006F52C5"/>
    <w:rsid w:val="006F6515"/>
    <w:rsid w:val="00703577"/>
    <w:rsid w:val="00705625"/>
    <w:rsid w:val="00707DC0"/>
    <w:rsid w:val="007103E8"/>
    <w:rsid w:val="007104CB"/>
    <w:rsid w:val="0071171F"/>
    <w:rsid w:val="00711F00"/>
    <w:rsid w:val="00713C74"/>
    <w:rsid w:val="00715DDD"/>
    <w:rsid w:val="00716EC7"/>
    <w:rsid w:val="00717ADC"/>
    <w:rsid w:val="00717CAD"/>
    <w:rsid w:val="00717F03"/>
    <w:rsid w:val="0072328C"/>
    <w:rsid w:val="0072632A"/>
    <w:rsid w:val="00726A48"/>
    <w:rsid w:val="00727C31"/>
    <w:rsid w:val="007327D5"/>
    <w:rsid w:val="007334A8"/>
    <w:rsid w:val="00734ABE"/>
    <w:rsid w:val="00735CA1"/>
    <w:rsid w:val="00735F4E"/>
    <w:rsid w:val="00736EAD"/>
    <w:rsid w:val="007435F7"/>
    <w:rsid w:val="007449A6"/>
    <w:rsid w:val="0074537D"/>
    <w:rsid w:val="007463A2"/>
    <w:rsid w:val="00746750"/>
    <w:rsid w:val="00746D61"/>
    <w:rsid w:val="007509EB"/>
    <w:rsid w:val="00750FC5"/>
    <w:rsid w:val="0075395D"/>
    <w:rsid w:val="00760B80"/>
    <w:rsid w:val="00762878"/>
    <w:rsid w:val="00762922"/>
    <w:rsid w:val="007629C8"/>
    <w:rsid w:val="00762E39"/>
    <w:rsid w:val="007635DF"/>
    <w:rsid w:val="00764972"/>
    <w:rsid w:val="007661CD"/>
    <w:rsid w:val="007734FC"/>
    <w:rsid w:val="007740F1"/>
    <w:rsid w:val="00776E5E"/>
    <w:rsid w:val="00777322"/>
    <w:rsid w:val="00781373"/>
    <w:rsid w:val="00781C83"/>
    <w:rsid w:val="007826F4"/>
    <w:rsid w:val="0078300D"/>
    <w:rsid w:val="00784D0F"/>
    <w:rsid w:val="00785DB2"/>
    <w:rsid w:val="0078601B"/>
    <w:rsid w:val="0078676D"/>
    <w:rsid w:val="00787E5D"/>
    <w:rsid w:val="0079034E"/>
    <w:rsid w:val="00792116"/>
    <w:rsid w:val="00795788"/>
    <w:rsid w:val="0079681E"/>
    <w:rsid w:val="007A212F"/>
    <w:rsid w:val="007A2130"/>
    <w:rsid w:val="007A36C9"/>
    <w:rsid w:val="007A6642"/>
    <w:rsid w:val="007B2AA3"/>
    <w:rsid w:val="007B3302"/>
    <w:rsid w:val="007B4956"/>
    <w:rsid w:val="007B6311"/>
    <w:rsid w:val="007B6BA5"/>
    <w:rsid w:val="007C1241"/>
    <w:rsid w:val="007C296F"/>
    <w:rsid w:val="007C3390"/>
    <w:rsid w:val="007C3FFB"/>
    <w:rsid w:val="007C4F4B"/>
    <w:rsid w:val="007C55BE"/>
    <w:rsid w:val="007C784F"/>
    <w:rsid w:val="007D00CF"/>
    <w:rsid w:val="007D2684"/>
    <w:rsid w:val="007D564F"/>
    <w:rsid w:val="007E0B2D"/>
    <w:rsid w:val="007E0ED5"/>
    <w:rsid w:val="007E2CC8"/>
    <w:rsid w:val="007E4594"/>
    <w:rsid w:val="007E4BBE"/>
    <w:rsid w:val="007E533F"/>
    <w:rsid w:val="007E5EA4"/>
    <w:rsid w:val="007E6B0E"/>
    <w:rsid w:val="007E7E46"/>
    <w:rsid w:val="007F098E"/>
    <w:rsid w:val="007F12FC"/>
    <w:rsid w:val="007F2D0D"/>
    <w:rsid w:val="007F3A2C"/>
    <w:rsid w:val="007F4853"/>
    <w:rsid w:val="007F6611"/>
    <w:rsid w:val="00803D26"/>
    <w:rsid w:val="0080502F"/>
    <w:rsid w:val="0081043C"/>
    <w:rsid w:val="008105B8"/>
    <w:rsid w:val="0081060C"/>
    <w:rsid w:val="0081064D"/>
    <w:rsid w:val="00811D06"/>
    <w:rsid w:val="008123D2"/>
    <w:rsid w:val="00812971"/>
    <w:rsid w:val="008131BA"/>
    <w:rsid w:val="00813327"/>
    <w:rsid w:val="008146B2"/>
    <w:rsid w:val="00816972"/>
    <w:rsid w:val="00816E23"/>
    <w:rsid w:val="00816EE0"/>
    <w:rsid w:val="00817A02"/>
    <w:rsid w:val="008216A5"/>
    <w:rsid w:val="00821A8D"/>
    <w:rsid w:val="008242D7"/>
    <w:rsid w:val="00824C73"/>
    <w:rsid w:val="00824FE2"/>
    <w:rsid w:val="00825659"/>
    <w:rsid w:val="008257B1"/>
    <w:rsid w:val="00830FF4"/>
    <w:rsid w:val="0083185A"/>
    <w:rsid w:val="00833370"/>
    <w:rsid w:val="008360B7"/>
    <w:rsid w:val="008379A8"/>
    <w:rsid w:val="008406D2"/>
    <w:rsid w:val="0084126F"/>
    <w:rsid w:val="00843767"/>
    <w:rsid w:val="0084521F"/>
    <w:rsid w:val="00846666"/>
    <w:rsid w:val="0084732F"/>
    <w:rsid w:val="00847B18"/>
    <w:rsid w:val="00851F2A"/>
    <w:rsid w:val="00856F01"/>
    <w:rsid w:val="00861599"/>
    <w:rsid w:val="00864797"/>
    <w:rsid w:val="008655A1"/>
    <w:rsid w:val="00865C89"/>
    <w:rsid w:val="008679D9"/>
    <w:rsid w:val="00871051"/>
    <w:rsid w:val="00871750"/>
    <w:rsid w:val="00872F86"/>
    <w:rsid w:val="008730D5"/>
    <w:rsid w:val="00875FE5"/>
    <w:rsid w:val="00880AF2"/>
    <w:rsid w:val="00883BBF"/>
    <w:rsid w:val="00884B9F"/>
    <w:rsid w:val="00884FCB"/>
    <w:rsid w:val="0088719B"/>
    <w:rsid w:val="00891792"/>
    <w:rsid w:val="00891C2B"/>
    <w:rsid w:val="00892347"/>
    <w:rsid w:val="008933B1"/>
    <w:rsid w:val="00894F53"/>
    <w:rsid w:val="00896597"/>
    <w:rsid w:val="008979B1"/>
    <w:rsid w:val="00897F0A"/>
    <w:rsid w:val="008A09B5"/>
    <w:rsid w:val="008A1525"/>
    <w:rsid w:val="008A1DB2"/>
    <w:rsid w:val="008A270D"/>
    <w:rsid w:val="008A6B25"/>
    <w:rsid w:val="008A6C4F"/>
    <w:rsid w:val="008B012F"/>
    <w:rsid w:val="008B0D62"/>
    <w:rsid w:val="008B2335"/>
    <w:rsid w:val="008B629E"/>
    <w:rsid w:val="008C0D17"/>
    <w:rsid w:val="008C22CC"/>
    <w:rsid w:val="008C3223"/>
    <w:rsid w:val="008C3294"/>
    <w:rsid w:val="008C4B5A"/>
    <w:rsid w:val="008C4EDC"/>
    <w:rsid w:val="008C6E58"/>
    <w:rsid w:val="008C7622"/>
    <w:rsid w:val="008C77CB"/>
    <w:rsid w:val="008C7A7D"/>
    <w:rsid w:val="008D083C"/>
    <w:rsid w:val="008D0C03"/>
    <w:rsid w:val="008D1459"/>
    <w:rsid w:val="008D2A46"/>
    <w:rsid w:val="008E0678"/>
    <w:rsid w:val="008E0CFD"/>
    <w:rsid w:val="008E4C4F"/>
    <w:rsid w:val="008E56DB"/>
    <w:rsid w:val="008E5A83"/>
    <w:rsid w:val="008E5FF6"/>
    <w:rsid w:val="008E6067"/>
    <w:rsid w:val="008F0336"/>
    <w:rsid w:val="008F0E3C"/>
    <w:rsid w:val="008F16E4"/>
    <w:rsid w:val="008F1FA8"/>
    <w:rsid w:val="008F6145"/>
    <w:rsid w:val="00900036"/>
    <w:rsid w:val="009002FE"/>
    <w:rsid w:val="00903876"/>
    <w:rsid w:val="00905825"/>
    <w:rsid w:val="009062A7"/>
    <w:rsid w:val="0090637F"/>
    <w:rsid w:val="00910AD7"/>
    <w:rsid w:val="00910F40"/>
    <w:rsid w:val="00911E57"/>
    <w:rsid w:val="00912C08"/>
    <w:rsid w:val="00913616"/>
    <w:rsid w:val="0091377B"/>
    <w:rsid w:val="00915F13"/>
    <w:rsid w:val="009223CA"/>
    <w:rsid w:val="00930548"/>
    <w:rsid w:val="00930FFC"/>
    <w:rsid w:val="009377CE"/>
    <w:rsid w:val="00937F60"/>
    <w:rsid w:val="0094095A"/>
    <w:rsid w:val="00940F93"/>
    <w:rsid w:val="00946696"/>
    <w:rsid w:val="00951E0D"/>
    <w:rsid w:val="00951EAC"/>
    <w:rsid w:val="0095271E"/>
    <w:rsid w:val="00952C29"/>
    <w:rsid w:val="00953224"/>
    <w:rsid w:val="0095347F"/>
    <w:rsid w:val="00953563"/>
    <w:rsid w:val="009568BE"/>
    <w:rsid w:val="0096073F"/>
    <w:rsid w:val="00960911"/>
    <w:rsid w:val="009633D7"/>
    <w:rsid w:val="00965519"/>
    <w:rsid w:val="00967F59"/>
    <w:rsid w:val="009701C4"/>
    <w:rsid w:val="00972C38"/>
    <w:rsid w:val="009735A8"/>
    <w:rsid w:val="00973F26"/>
    <w:rsid w:val="00974EF5"/>
    <w:rsid w:val="009760F3"/>
    <w:rsid w:val="009800FA"/>
    <w:rsid w:val="00980EA8"/>
    <w:rsid w:val="009817F4"/>
    <w:rsid w:val="00982BAC"/>
    <w:rsid w:val="009873ED"/>
    <w:rsid w:val="009909F5"/>
    <w:rsid w:val="00990FCA"/>
    <w:rsid w:val="00994E66"/>
    <w:rsid w:val="0099515D"/>
    <w:rsid w:val="009A0E8D"/>
    <w:rsid w:val="009A19F8"/>
    <w:rsid w:val="009A2EA4"/>
    <w:rsid w:val="009B0FC5"/>
    <w:rsid w:val="009B1780"/>
    <w:rsid w:val="009B26E7"/>
    <w:rsid w:val="009B4E6F"/>
    <w:rsid w:val="009C162C"/>
    <w:rsid w:val="009C4519"/>
    <w:rsid w:val="009C4FB2"/>
    <w:rsid w:val="009C60EB"/>
    <w:rsid w:val="009C6DFE"/>
    <w:rsid w:val="009C78B0"/>
    <w:rsid w:val="009D0E30"/>
    <w:rsid w:val="009D1E8D"/>
    <w:rsid w:val="009D3AF8"/>
    <w:rsid w:val="009E2F54"/>
    <w:rsid w:val="009E3B88"/>
    <w:rsid w:val="009E7D26"/>
    <w:rsid w:val="009F03D3"/>
    <w:rsid w:val="009F2AC1"/>
    <w:rsid w:val="009F416E"/>
    <w:rsid w:val="009F5182"/>
    <w:rsid w:val="009F5D68"/>
    <w:rsid w:val="009F67B4"/>
    <w:rsid w:val="009F7636"/>
    <w:rsid w:val="00A00A3F"/>
    <w:rsid w:val="00A01489"/>
    <w:rsid w:val="00A018AB"/>
    <w:rsid w:val="00A01A63"/>
    <w:rsid w:val="00A0336A"/>
    <w:rsid w:val="00A03A0A"/>
    <w:rsid w:val="00A03ABA"/>
    <w:rsid w:val="00A03ED0"/>
    <w:rsid w:val="00A058D4"/>
    <w:rsid w:val="00A206FC"/>
    <w:rsid w:val="00A230A0"/>
    <w:rsid w:val="00A232DB"/>
    <w:rsid w:val="00A24657"/>
    <w:rsid w:val="00A31B81"/>
    <w:rsid w:val="00A338F1"/>
    <w:rsid w:val="00A343D0"/>
    <w:rsid w:val="00A377A8"/>
    <w:rsid w:val="00A41A5C"/>
    <w:rsid w:val="00A41A85"/>
    <w:rsid w:val="00A42B98"/>
    <w:rsid w:val="00A44487"/>
    <w:rsid w:val="00A44615"/>
    <w:rsid w:val="00A447CC"/>
    <w:rsid w:val="00A44916"/>
    <w:rsid w:val="00A4728C"/>
    <w:rsid w:val="00A47874"/>
    <w:rsid w:val="00A50E5F"/>
    <w:rsid w:val="00A52FFA"/>
    <w:rsid w:val="00A647C7"/>
    <w:rsid w:val="00A65032"/>
    <w:rsid w:val="00A67B44"/>
    <w:rsid w:val="00A70EA1"/>
    <w:rsid w:val="00A72C70"/>
    <w:rsid w:val="00A72F22"/>
    <w:rsid w:val="00A7360F"/>
    <w:rsid w:val="00A74283"/>
    <w:rsid w:val="00A748A6"/>
    <w:rsid w:val="00A75355"/>
    <w:rsid w:val="00A76648"/>
    <w:rsid w:val="00A769F4"/>
    <w:rsid w:val="00A776B4"/>
    <w:rsid w:val="00A777C5"/>
    <w:rsid w:val="00A777CF"/>
    <w:rsid w:val="00A81971"/>
    <w:rsid w:val="00A81D4E"/>
    <w:rsid w:val="00A85EA0"/>
    <w:rsid w:val="00A9120C"/>
    <w:rsid w:val="00A918E9"/>
    <w:rsid w:val="00A91A32"/>
    <w:rsid w:val="00A94361"/>
    <w:rsid w:val="00A96BCF"/>
    <w:rsid w:val="00AA175A"/>
    <w:rsid w:val="00AA293C"/>
    <w:rsid w:val="00AA2D0D"/>
    <w:rsid w:val="00AA56FB"/>
    <w:rsid w:val="00AA672A"/>
    <w:rsid w:val="00AA6FA4"/>
    <w:rsid w:val="00AB0648"/>
    <w:rsid w:val="00AB19FA"/>
    <w:rsid w:val="00AB2855"/>
    <w:rsid w:val="00AB45A3"/>
    <w:rsid w:val="00AB4CA5"/>
    <w:rsid w:val="00AB6D0B"/>
    <w:rsid w:val="00AC27B8"/>
    <w:rsid w:val="00AC4B52"/>
    <w:rsid w:val="00AC505B"/>
    <w:rsid w:val="00AC6A0A"/>
    <w:rsid w:val="00AD10F9"/>
    <w:rsid w:val="00AD46B8"/>
    <w:rsid w:val="00AE1A18"/>
    <w:rsid w:val="00AE1B07"/>
    <w:rsid w:val="00AE1CFF"/>
    <w:rsid w:val="00AE3A93"/>
    <w:rsid w:val="00AE4730"/>
    <w:rsid w:val="00AE50CE"/>
    <w:rsid w:val="00AE55CB"/>
    <w:rsid w:val="00AE5BCF"/>
    <w:rsid w:val="00AE673B"/>
    <w:rsid w:val="00AF0BB7"/>
    <w:rsid w:val="00AF1A44"/>
    <w:rsid w:val="00AF3148"/>
    <w:rsid w:val="00AF34D9"/>
    <w:rsid w:val="00AF5CCF"/>
    <w:rsid w:val="00AF71E0"/>
    <w:rsid w:val="00AF7286"/>
    <w:rsid w:val="00B021AA"/>
    <w:rsid w:val="00B03884"/>
    <w:rsid w:val="00B04543"/>
    <w:rsid w:val="00B10640"/>
    <w:rsid w:val="00B1156E"/>
    <w:rsid w:val="00B11BC2"/>
    <w:rsid w:val="00B129BE"/>
    <w:rsid w:val="00B13E9B"/>
    <w:rsid w:val="00B16852"/>
    <w:rsid w:val="00B174D5"/>
    <w:rsid w:val="00B2280C"/>
    <w:rsid w:val="00B23D94"/>
    <w:rsid w:val="00B25D3D"/>
    <w:rsid w:val="00B2683D"/>
    <w:rsid w:val="00B30179"/>
    <w:rsid w:val="00B339A7"/>
    <w:rsid w:val="00B33ABD"/>
    <w:rsid w:val="00B34082"/>
    <w:rsid w:val="00B410C3"/>
    <w:rsid w:val="00B41A37"/>
    <w:rsid w:val="00B41ACB"/>
    <w:rsid w:val="00B42976"/>
    <w:rsid w:val="00B46514"/>
    <w:rsid w:val="00B467BE"/>
    <w:rsid w:val="00B46DF7"/>
    <w:rsid w:val="00B47DB8"/>
    <w:rsid w:val="00B503FD"/>
    <w:rsid w:val="00B52C14"/>
    <w:rsid w:val="00B5441C"/>
    <w:rsid w:val="00B55522"/>
    <w:rsid w:val="00B56E4A"/>
    <w:rsid w:val="00B56E9C"/>
    <w:rsid w:val="00B57426"/>
    <w:rsid w:val="00B60748"/>
    <w:rsid w:val="00B64B1F"/>
    <w:rsid w:val="00B64E33"/>
    <w:rsid w:val="00B6524C"/>
    <w:rsid w:val="00B6553F"/>
    <w:rsid w:val="00B66E5E"/>
    <w:rsid w:val="00B67FC8"/>
    <w:rsid w:val="00B707C0"/>
    <w:rsid w:val="00B73070"/>
    <w:rsid w:val="00B76950"/>
    <w:rsid w:val="00B77D05"/>
    <w:rsid w:val="00B77EC5"/>
    <w:rsid w:val="00B81206"/>
    <w:rsid w:val="00B8190A"/>
    <w:rsid w:val="00B81E12"/>
    <w:rsid w:val="00B84285"/>
    <w:rsid w:val="00B85756"/>
    <w:rsid w:val="00B85AF8"/>
    <w:rsid w:val="00B86C63"/>
    <w:rsid w:val="00B87A91"/>
    <w:rsid w:val="00B9067B"/>
    <w:rsid w:val="00B915E0"/>
    <w:rsid w:val="00B94491"/>
    <w:rsid w:val="00B94CD2"/>
    <w:rsid w:val="00B95A99"/>
    <w:rsid w:val="00B96623"/>
    <w:rsid w:val="00B968B5"/>
    <w:rsid w:val="00B97074"/>
    <w:rsid w:val="00B97AFE"/>
    <w:rsid w:val="00BA0869"/>
    <w:rsid w:val="00BA434C"/>
    <w:rsid w:val="00BA5934"/>
    <w:rsid w:val="00BB040D"/>
    <w:rsid w:val="00BB0933"/>
    <w:rsid w:val="00BB22D5"/>
    <w:rsid w:val="00BB6283"/>
    <w:rsid w:val="00BC01E3"/>
    <w:rsid w:val="00BC2C23"/>
    <w:rsid w:val="00BC48F3"/>
    <w:rsid w:val="00BC5363"/>
    <w:rsid w:val="00BC6E5E"/>
    <w:rsid w:val="00BC74E9"/>
    <w:rsid w:val="00BC7809"/>
    <w:rsid w:val="00BD6CE9"/>
    <w:rsid w:val="00BE26B2"/>
    <w:rsid w:val="00BE4F3F"/>
    <w:rsid w:val="00BE62B5"/>
    <w:rsid w:val="00BF0311"/>
    <w:rsid w:val="00BF3A1F"/>
    <w:rsid w:val="00BF4613"/>
    <w:rsid w:val="00BF61C5"/>
    <w:rsid w:val="00BF68A8"/>
    <w:rsid w:val="00BF72FD"/>
    <w:rsid w:val="00C01DD5"/>
    <w:rsid w:val="00C02623"/>
    <w:rsid w:val="00C02E7A"/>
    <w:rsid w:val="00C04639"/>
    <w:rsid w:val="00C055EB"/>
    <w:rsid w:val="00C065DB"/>
    <w:rsid w:val="00C07DD8"/>
    <w:rsid w:val="00C11207"/>
    <w:rsid w:val="00C11870"/>
    <w:rsid w:val="00C11A03"/>
    <w:rsid w:val="00C144EC"/>
    <w:rsid w:val="00C1683C"/>
    <w:rsid w:val="00C2007A"/>
    <w:rsid w:val="00C20A72"/>
    <w:rsid w:val="00C2284D"/>
    <w:rsid w:val="00C23095"/>
    <w:rsid w:val="00C34926"/>
    <w:rsid w:val="00C34DBA"/>
    <w:rsid w:val="00C36A62"/>
    <w:rsid w:val="00C418BB"/>
    <w:rsid w:val="00C42190"/>
    <w:rsid w:val="00C44D49"/>
    <w:rsid w:val="00C45829"/>
    <w:rsid w:val="00C463DD"/>
    <w:rsid w:val="00C46474"/>
    <w:rsid w:val="00C4724C"/>
    <w:rsid w:val="00C47927"/>
    <w:rsid w:val="00C50356"/>
    <w:rsid w:val="00C50ECF"/>
    <w:rsid w:val="00C52B15"/>
    <w:rsid w:val="00C53316"/>
    <w:rsid w:val="00C53963"/>
    <w:rsid w:val="00C55779"/>
    <w:rsid w:val="00C56108"/>
    <w:rsid w:val="00C56114"/>
    <w:rsid w:val="00C57758"/>
    <w:rsid w:val="00C57A10"/>
    <w:rsid w:val="00C606D3"/>
    <w:rsid w:val="00C60E92"/>
    <w:rsid w:val="00C61C48"/>
    <w:rsid w:val="00C629A0"/>
    <w:rsid w:val="00C62CCD"/>
    <w:rsid w:val="00C73736"/>
    <w:rsid w:val="00C745C3"/>
    <w:rsid w:val="00C75F86"/>
    <w:rsid w:val="00C76890"/>
    <w:rsid w:val="00C7728B"/>
    <w:rsid w:val="00C773F4"/>
    <w:rsid w:val="00C80234"/>
    <w:rsid w:val="00C803EC"/>
    <w:rsid w:val="00C819E8"/>
    <w:rsid w:val="00C8504E"/>
    <w:rsid w:val="00C85113"/>
    <w:rsid w:val="00C87BA3"/>
    <w:rsid w:val="00C915FE"/>
    <w:rsid w:val="00C95B84"/>
    <w:rsid w:val="00CA1116"/>
    <w:rsid w:val="00CA5731"/>
    <w:rsid w:val="00CB0915"/>
    <w:rsid w:val="00CB1F0A"/>
    <w:rsid w:val="00CB351A"/>
    <w:rsid w:val="00CB4608"/>
    <w:rsid w:val="00CB480D"/>
    <w:rsid w:val="00CB4BFC"/>
    <w:rsid w:val="00CB6E28"/>
    <w:rsid w:val="00CC0BB4"/>
    <w:rsid w:val="00CC3D39"/>
    <w:rsid w:val="00CE4A8F"/>
    <w:rsid w:val="00CE5C86"/>
    <w:rsid w:val="00CE736B"/>
    <w:rsid w:val="00CF1984"/>
    <w:rsid w:val="00CF2393"/>
    <w:rsid w:val="00CF2621"/>
    <w:rsid w:val="00CF587D"/>
    <w:rsid w:val="00CF76D6"/>
    <w:rsid w:val="00D027F2"/>
    <w:rsid w:val="00D02C2A"/>
    <w:rsid w:val="00D057DF"/>
    <w:rsid w:val="00D06AB9"/>
    <w:rsid w:val="00D06B7E"/>
    <w:rsid w:val="00D06EEA"/>
    <w:rsid w:val="00D06F74"/>
    <w:rsid w:val="00D12158"/>
    <w:rsid w:val="00D125C2"/>
    <w:rsid w:val="00D1315B"/>
    <w:rsid w:val="00D13268"/>
    <w:rsid w:val="00D141CF"/>
    <w:rsid w:val="00D2031B"/>
    <w:rsid w:val="00D257E7"/>
    <w:rsid w:val="00D25FE2"/>
    <w:rsid w:val="00D2637A"/>
    <w:rsid w:val="00D3001F"/>
    <w:rsid w:val="00D30034"/>
    <w:rsid w:val="00D33493"/>
    <w:rsid w:val="00D35B7F"/>
    <w:rsid w:val="00D35FCA"/>
    <w:rsid w:val="00D43252"/>
    <w:rsid w:val="00D43E06"/>
    <w:rsid w:val="00D44984"/>
    <w:rsid w:val="00D46C27"/>
    <w:rsid w:val="00D47EEA"/>
    <w:rsid w:val="00D501D0"/>
    <w:rsid w:val="00D509AE"/>
    <w:rsid w:val="00D51D6E"/>
    <w:rsid w:val="00D51E4A"/>
    <w:rsid w:val="00D53BAD"/>
    <w:rsid w:val="00D543C9"/>
    <w:rsid w:val="00D60DC1"/>
    <w:rsid w:val="00D6148A"/>
    <w:rsid w:val="00D625E3"/>
    <w:rsid w:val="00D729E4"/>
    <w:rsid w:val="00D73CB8"/>
    <w:rsid w:val="00D747CE"/>
    <w:rsid w:val="00D75895"/>
    <w:rsid w:val="00D80EDF"/>
    <w:rsid w:val="00D864CC"/>
    <w:rsid w:val="00D90F93"/>
    <w:rsid w:val="00D913B0"/>
    <w:rsid w:val="00D94BB8"/>
    <w:rsid w:val="00D94CDD"/>
    <w:rsid w:val="00D95303"/>
    <w:rsid w:val="00D96673"/>
    <w:rsid w:val="00D96E57"/>
    <w:rsid w:val="00D97597"/>
    <w:rsid w:val="00D975A7"/>
    <w:rsid w:val="00D978C6"/>
    <w:rsid w:val="00D97D91"/>
    <w:rsid w:val="00DA3111"/>
    <w:rsid w:val="00DA3C1C"/>
    <w:rsid w:val="00DA4BBB"/>
    <w:rsid w:val="00DB0C79"/>
    <w:rsid w:val="00DB2CE7"/>
    <w:rsid w:val="00DB5B2F"/>
    <w:rsid w:val="00DC0714"/>
    <w:rsid w:val="00DC465A"/>
    <w:rsid w:val="00DC786B"/>
    <w:rsid w:val="00DD0B04"/>
    <w:rsid w:val="00DD2848"/>
    <w:rsid w:val="00DD471E"/>
    <w:rsid w:val="00DD593B"/>
    <w:rsid w:val="00DE1DF6"/>
    <w:rsid w:val="00DE79A8"/>
    <w:rsid w:val="00DE7F59"/>
    <w:rsid w:val="00DF0799"/>
    <w:rsid w:val="00DF0AD1"/>
    <w:rsid w:val="00DF4252"/>
    <w:rsid w:val="00DF528D"/>
    <w:rsid w:val="00E0216D"/>
    <w:rsid w:val="00E142AF"/>
    <w:rsid w:val="00E15CC1"/>
    <w:rsid w:val="00E17C73"/>
    <w:rsid w:val="00E209FD"/>
    <w:rsid w:val="00E21400"/>
    <w:rsid w:val="00E25B12"/>
    <w:rsid w:val="00E25E54"/>
    <w:rsid w:val="00E27346"/>
    <w:rsid w:val="00E31E79"/>
    <w:rsid w:val="00E34156"/>
    <w:rsid w:val="00E40A07"/>
    <w:rsid w:val="00E41BFE"/>
    <w:rsid w:val="00E433E3"/>
    <w:rsid w:val="00E4363C"/>
    <w:rsid w:val="00E51DD5"/>
    <w:rsid w:val="00E53D02"/>
    <w:rsid w:val="00E57B1D"/>
    <w:rsid w:val="00E6074E"/>
    <w:rsid w:val="00E61088"/>
    <w:rsid w:val="00E632CC"/>
    <w:rsid w:val="00E64123"/>
    <w:rsid w:val="00E65396"/>
    <w:rsid w:val="00E66A0C"/>
    <w:rsid w:val="00E67325"/>
    <w:rsid w:val="00E71BC8"/>
    <w:rsid w:val="00E7260F"/>
    <w:rsid w:val="00E73146"/>
    <w:rsid w:val="00E74206"/>
    <w:rsid w:val="00E77185"/>
    <w:rsid w:val="00E77625"/>
    <w:rsid w:val="00E779FC"/>
    <w:rsid w:val="00E848D3"/>
    <w:rsid w:val="00E849B2"/>
    <w:rsid w:val="00E85728"/>
    <w:rsid w:val="00E86349"/>
    <w:rsid w:val="00E9050A"/>
    <w:rsid w:val="00E921CF"/>
    <w:rsid w:val="00E93CC4"/>
    <w:rsid w:val="00E94466"/>
    <w:rsid w:val="00E96630"/>
    <w:rsid w:val="00EA0822"/>
    <w:rsid w:val="00EA2515"/>
    <w:rsid w:val="00EA31F7"/>
    <w:rsid w:val="00EB11F3"/>
    <w:rsid w:val="00EB2581"/>
    <w:rsid w:val="00EB5373"/>
    <w:rsid w:val="00EC12AD"/>
    <w:rsid w:val="00EC14EF"/>
    <w:rsid w:val="00EC4B91"/>
    <w:rsid w:val="00ED00FD"/>
    <w:rsid w:val="00ED1FD4"/>
    <w:rsid w:val="00ED30D6"/>
    <w:rsid w:val="00ED483F"/>
    <w:rsid w:val="00ED6970"/>
    <w:rsid w:val="00ED74C0"/>
    <w:rsid w:val="00ED7A2A"/>
    <w:rsid w:val="00ED7E6E"/>
    <w:rsid w:val="00EE06DA"/>
    <w:rsid w:val="00EE5C7E"/>
    <w:rsid w:val="00EE6929"/>
    <w:rsid w:val="00EF0235"/>
    <w:rsid w:val="00EF0C54"/>
    <w:rsid w:val="00EF1837"/>
    <w:rsid w:val="00EF1D7A"/>
    <w:rsid w:val="00EF1D7F"/>
    <w:rsid w:val="00EF3514"/>
    <w:rsid w:val="00EF4740"/>
    <w:rsid w:val="00EF560D"/>
    <w:rsid w:val="00EF5AED"/>
    <w:rsid w:val="00F03190"/>
    <w:rsid w:val="00F03A99"/>
    <w:rsid w:val="00F0403F"/>
    <w:rsid w:val="00F04CDE"/>
    <w:rsid w:val="00F06D31"/>
    <w:rsid w:val="00F075CC"/>
    <w:rsid w:val="00F145D4"/>
    <w:rsid w:val="00F17BD5"/>
    <w:rsid w:val="00F20B7E"/>
    <w:rsid w:val="00F20C3D"/>
    <w:rsid w:val="00F21FE3"/>
    <w:rsid w:val="00F22A52"/>
    <w:rsid w:val="00F22E3E"/>
    <w:rsid w:val="00F231DB"/>
    <w:rsid w:val="00F24F92"/>
    <w:rsid w:val="00F2653D"/>
    <w:rsid w:val="00F3026E"/>
    <w:rsid w:val="00F31056"/>
    <w:rsid w:val="00F31242"/>
    <w:rsid w:val="00F34D48"/>
    <w:rsid w:val="00F35149"/>
    <w:rsid w:val="00F373CD"/>
    <w:rsid w:val="00F41576"/>
    <w:rsid w:val="00F41B9F"/>
    <w:rsid w:val="00F41F7D"/>
    <w:rsid w:val="00F4204E"/>
    <w:rsid w:val="00F42744"/>
    <w:rsid w:val="00F43AA5"/>
    <w:rsid w:val="00F43E9E"/>
    <w:rsid w:val="00F44820"/>
    <w:rsid w:val="00F52BE2"/>
    <w:rsid w:val="00F53964"/>
    <w:rsid w:val="00F53988"/>
    <w:rsid w:val="00F53F5C"/>
    <w:rsid w:val="00F54653"/>
    <w:rsid w:val="00F546EA"/>
    <w:rsid w:val="00F54B74"/>
    <w:rsid w:val="00F55F0C"/>
    <w:rsid w:val="00F571D9"/>
    <w:rsid w:val="00F573E7"/>
    <w:rsid w:val="00F60C3B"/>
    <w:rsid w:val="00F70D30"/>
    <w:rsid w:val="00F72A4B"/>
    <w:rsid w:val="00F748B6"/>
    <w:rsid w:val="00F82653"/>
    <w:rsid w:val="00F82F23"/>
    <w:rsid w:val="00F8467B"/>
    <w:rsid w:val="00F85733"/>
    <w:rsid w:val="00F86121"/>
    <w:rsid w:val="00F8772A"/>
    <w:rsid w:val="00F9057C"/>
    <w:rsid w:val="00F906D7"/>
    <w:rsid w:val="00F908D7"/>
    <w:rsid w:val="00F90FD3"/>
    <w:rsid w:val="00F9249C"/>
    <w:rsid w:val="00F92CB6"/>
    <w:rsid w:val="00F93781"/>
    <w:rsid w:val="00F9653B"/>
    <w:rsid w:val="00F9682C"/>
    <w:rsid w:val="00F96BA5"/>
    <w:rsid w:val="00FA1718"/>
    <w:rsid w:val="00FA57D4"/>
    <w:rsid w:val="00FA6B7C"/>
    <w:rsid w:val="00FB148B"/>
    <w:rsid w:val="00FB2745"/>
    <w:rsid w:val="00FB3D21"/>
    <w:rsid w:val="00FB4167"/>
    <w:rsid w:val="00FB45D9"/>
    <w:rsid w:val="00FB5EB5"/>
    <w:rsid w:val="00FB613B"/>
    <w:rsid w:val="00FB78D7"/>
    <w:rsid w:val="00FC0622"/>
    <w:rsid w:val="00FC2D1E"/>
    <w:rsid w:val="00FC68B7"/>
    <w:rsid w:val="00FD0381"/>
    <w:rsid w:val="00FD28AF"/>
    <w:rsid w:val="00FD4F04"/>
    <w:rsid w:val="00FD4FB8"/>
    <w:rsid w:val="00FD61DA"/>
    <w:rsid w:val="00FD7CD0"/>
    <w:rsid w:val="00FE106A"/>
    <w:rsid w:val="00FE11D6"/>
    <w:rsid w:val="00FE2530"/>
    <w:rsid w:val="00FE2B82"/>
    <w:rsid w:val="00FE5BA0"/>
    <w:rsid w:val="00FE64FF"/>
    <w:rsid w:val="00FE6A13"/>
    <w:rsid w:val="00FF0000"/>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360AF6"/>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360AF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ListParagraph">
    <w:name w:val="List Paragraph"/>
    <w:basedOn w:val="Normal"/>
    <w:uiPriority w:val="34"/>
    <w:qFormat/>
    <w:rsid w:val="000E483F"/>
    <w:pPr>
      <w:ind w:left="720"/>
      <w:contextualSpacing/>
    </w:pPr>
  </w:style>
  <w:style w:type="paragraph" w:customStyle="1" w:styleId="Default">
    <w:name w:val="Default"/>
    <w:rsid w:val="00286B36"/>
    <w:pPr>
      <w:autoSpaceDE w:val="0"/>
      <w:autoSpaceDN w:val="0"/>
      <w:adjustRightInd w:val="0"/>
    </w:pPr>
    <w:rPr>
      <w:color w:val="000000"/>
      <w:sz w:val="24"/>
      <w:szCs w:val="24"/>
    </w:rPr>
  </w:style>
  <w:style w:type="paragraph" w:styleId="Revision">
    <w:name w:val="Revision"/>
    <w:hidden/>
    <w:uiPriority w:val="99"/>
    <w:semiHidden/>
    <w:rsid w:val="003915C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360AF6"/>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360AF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ListParagraph">
    <w:name w:val="List Paragraph"/>
    <w:basedOn w:val="Normal"/>
    <w:uiPriority w:val="34"/>
    <w:qFormat/>
    <w:rsid w:val="000E483F"/>
    <w:pPr>
      <w:ind w:left="720"/>
      <w:contextualSpacing/>
    </w:pPr>
  </w:style>
  <w:style w:type="paragraph" w:customStyle="1" w:styleId="Default">
    <w:name w:val="Default"/>
    <w:rsid w:val="00286B36"/>
    <w:pPr>
      <w:autoSpaceDE w:val="0"/>
      <w:autoSpaceDN w:val="0"/>
      <w:adjustRightInd w:val="0"/>
    </w:pPr>
    <w:rPr>
      <w:color w:val="000000"/>
      <w:sz w:val="24"/>
      <w:szCs w:val="24"/>
    </w:rPr>
  </w:style>
  <w:style w:type="paragraph" w:styleId="Revision">
    <w:name w:val="Revision"/>
    <w:hidden/>
    <w:uiPriority w:val="99"/>
    <w:semiHidden/>
    <w:rsid w:val="003915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freedomhouse.org/report/freedom-world/freedom-world-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E958-CBEF-49E5-959A-35CE7A5E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14</Pages>
  <Words>6611</Words>
  <Characters>37688</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44211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pdfeng</cp:lastModifiedBy>
  <cp:revision>3</cp:revision>
  <cp:lastPrinted>2015-09-28T08:44:00Z</cp:lastPrinted>
  <dcterms:created xsi:type="dcterms:W3CDTF">2015-09-28T08:44:00Z</dcterms:created>
  <dcterms:modified xsi:type="dcterms:W3CDTF">2015-09-28T08:44:00Z</dcterms:modified>
</cp:coreProperties>
</file>