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A826B6" w14:paraId="6A364D4B" w14:textId="77777777" w:rsidTr="00B6553F">
        <w:trPr>
          <w:cantSplit/>
          <w:trHeight w:hRule="exact" w:val="851"/>
        </w:trPr>
        <w:tc>
          <w:tcPr>
            <w:tcW w:w="1276" w:type="dxa"/>
            <w:tcBorders>
              <w:bottom w:val="single" w:sz="4" w:space="0" w:color="auto"/>
            </w:tcBorders>
            <w:vAlign w:val="bottom"/>
          </w:tcPr>
          <w:p w14:paraId="2D0F5BFF" w14:textId="77777777" w:rsidR="00B56E9C" w:rsidRPr="003E78AE" w:rsidRDefault="003E78AE" w:rsidP="003E78AE">
            <w:pPr>
              <w:spacing w:line="20" w:lineRule="exact"/>
              <w:rPr>
                <w:sz w:val="2"/>
              </w:rPr>
            </w:pPr>
            <w:r>
              <w:rPr>
                <w:rStyle w:val="CommentReference"/>
                <w:lang w:val="x-none"/>
              </w:rPr>
              <w:commentReference w:id="0"/>
            </w:r>
            <w:bookmarkStart w:id="1" w:name="_GoBack"/>
            <w:bookmarkEnd w:id="1"/>
          </w:p>
          <w:p w14:paraId="3057DE91" w14:textId="199CBD1A" w:rsidR="003E78AE" w:rsidRPr="00173E64" w:rsidRDefault="003E78AE" w:rsidP="00B6553F">
            <w:pPr>
              <w:spacing w:after="80"/>
            </w:pPr>
          </w:p>
        </w:tc>
        <w:tc>
          <w:tcPr>
            <w:tcW w:w="2268" w:type="dxa"/>
            <w:tcBorders>
              <w:bottom w:val="single" w:sz="4" w:space="0" w:color="auto"/>
            </w:tcBorders>
            <w:vAlign w:val="bottom"/>
          </w:tcPr>
          <w:p w14:paraId="360235DF" w14:textId="77777777" w:rsidR="00B56E9C" w:rsidRPr="00A826B6" w:rsidRDefault="00B56E9C" w:rsidP="00B6553F">
            <w:pPr>
              <w:spacing w:after="80" w:line="300" w:lineRule="exact"/>
              <w:rPr>
                <w:b/>
                <w:sz w:val="24"/>
                <w:szCs w:val="24"/>
              </w:rPr>
            </w:pPr>
            <w:r w:rsidRPr="00A826B6">
              <w:rPr>
                <w:sz w:val="28"/>
                <w:szCs w:val="28"/>
              </w:rPr>
              <w:t>United Nations</w:t>
            </w:r>
          </w:p>
        </w:tc>
        <w:tc>
          <w:tcPr>
            <w:tcW w:w="6095" w:type="dxa"/>
            <w:gridSpan w:val="2"/>
            <w:tcBorders>
              <w:bottom w:val="single" w:sz="4" w:space="0" w:color="auto"/>
            </w:tcBorders>
            <w:vAlign w:val="bottom"/>
          </w:tcPr>
          <w:p w14:paraId="0DD973A6" w14:textId="7014B679" w:rsidR="00B56E9C" w:rsidRPr="00A826B6" w:rsidRDefault="008216A5" w:rsidP="001F1037">
            <w:pPr>
              <w:jc w:val="right"/>
            </w:pPr>
            <w:r w:rsidRPr="00A826B6">
              <w:rPr>
                <w:sz w:val="40"/>
              </w:rPr>
              <w:t>CCPR</w:t>
            </w:r>
            <w:r w:rsidRPr="00A826B6">
              <w:t>/C/1</w:t>
            </w:r>
            <w:r w:rsidR="00711F00" w:rsidRPr="00A826B6">
              <w:t>1</w:t>
            </w:r>
            <w:r w:rsidR="005B4229" w:rsidRPr="00A826B6">
              <w:t>5</w:t>
            </w:r>
            <w:r w:rsidRPr="00A826B6">
              <w:t>/D/</w:t>
            </w:r>
            <w:r w:rsidR="005B4229" w:rsidRPr="00A826B6">
              <w:t>2344</w:t>
            </w:r>
            <w:r w:rsidRPr="00A826B6">
              <w:t>/</w:t>
            </w:r>
            <w:r w:rsidR="00AE50CE" w:rsidRPr="00A826B6">
              <w:t>20</w:t>
            </w:r>
            <w:r w:rsidR="005B4229" w:rsidRPr="00A826B6">
              <w:t>14</w:t>
            </w:r>
          </w:p>
        </w:tc>
      </w:tr>
      <w:tr w:rsidR="00B56E9C" w:rsidRPr="00A826B6" w14:paraId="3D090899" w14:textId="77777777" w:rsidTr="00B6553F">
        <w:trPr>
          <w:cantSplit/>
          <w:trHeight w:hRule="exact" w:val="2835"/>
        </w:trPr>
        <w:tc>
          <w:tcPr>
            <w:tcW w:w="1276" w:type="dxa"/>
            <w:tcBorders>
              <w:top w:val="single" w:sz="4" w:space="0" w:color="auto"/>
              <w:bottom w:val="single" w:sz="12" w:space="0" w:color="auto"/>
            </w:tcBorders>
          </w:tcPr>
          <w:p w14:paraId="4040139B" w14:textId="77777777" w:rsidR="00B56E9C" w:rsidRPr="00A826B6" w:rsidRDefault="00A33D13" w:rsidP="00B6553F">
            <w:pPr>
              <w:spacing w:before="120"/>
            </w:pPr>
            <w:r w:rsidRPr="00A826B6">
              <w:rPr>
                <w:noProof/>
                <w:lang w:val="en-US"/>
              </w:rPr>
              <w:drawing>
                <wp:inline distT="0" distB="0" distL="0" distR="0" wp14:anchorId="0F3725DA" wp14:editId="51B3D54A">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53D0795" w14:textId="00D6E609" w:rsidR="00B24475" w:rsidRPr="00A826B6" w:rsidRDefault="00B56E9C" w:rsidP="00267F5F">
            <w:pPr>
              <w:spacing w:before="120" w:line="380" w:lineRule="exact"/>
              <w:rPr>
                <w:b/>
                <w:sz w:val="34"/>
                <w:szCs w:val="40"/>
              </w:rPr>
            </w:pPr>
            <w:r w:rsidRPr="00A826B6">
              <w:rPr>
                <w:b/>
                <w:sz w:val="34"/>
                <w:szCs w:val="40"/>
              </w:rPr>
              <w:t xml:space="preserve">International </w:t>
            </w:r>
            <w:r w:rsidR="00060C3A" w:rsidRPr="00A826B6">
              <w:rPr>
                <w:b/>
                <w:sz w:val="34"/>
                <w:szCs w:val="40"/>
              </w:rPr>
              <w:t>Covenant on</w:t>
            </w:r>
            <w:r w:rsidR="00060C3A" w:rsidRPr="00A826B6">
              <w:rPr>
                <w:b/>
                <w:sz w:val="34"/>
                <w:szCs w:val="40"/>
              </w:rPr>
              <w:br/>
              <w:t>Civil and Political R</w:t>
            </w:r>
            <w:r w:rsidR="00703577" w:rsidRPr="00A826B6">
              <w:rPr>
                <w:b/>
                <w:sz w:val="34"/>
                <w:szCs w:val="40"/>
              </w:rPr>
              <w:t>ights</w:t>
            </w:r>
          </w:p>
        </w:tc>
        <w:tc>
          <w:tcPr>
            <w:tcW w:w="2835" w:type="dxa"/>
            <w:tcBorders>
              <w:top w:val="single" w:sz="4" w:space="0" w:color="auto"/>
              <w:bottom w:val="single" w:sz="12" w:space="0" w:color="auto"/>
            </w:tcBorders>
          </w:tcPr>
          <w:p w14:paraId="4158DD02" w14:textId="14A915BF" w:rsidR="00B56E9C" w:rsidRPr="00A826B6" w:rsidRDefault="008216A5" w:rsidP="008216A5">
            <w:pPr>
              <w:spacing w:before="240" w:line="240" w:lineRule="exact"/>
            </w:pPr>
            <w:r w:rsidRPr="00A826B6">
              <w:t xml:space="preserve">Distr.: </w:t>
            </w:r>
            <w:r w:rsidR="001F1037" w:rsidRPr="00A826B6">
              <w:t>General</w:t>
            </w:r>
          </w:p>
          <w:p w14:paraId="09237590" w14:textId="6E7F626D" w:rsidR="008216A5" w:rsidRPr="00A826B6" w:rsidRDefault="00AC46CA" w:rsidP="008216A5">
            <w:pPr>
              <w:spacing w:line="240" w:lineRule="exact"/>
            </w:pPr>
            <w:r>
              <w:t>10</w:t>
            </w:r>
            <w:r w:rsidR="00A826B6" w:rsidRPr="00A826B6">
              <w:t xml:space="preserve"> </w:t>
            </w:r>
            <w:r w:rsidR="00D52427" w:rsidRPr="00A826B6">
              <w:t>December</w:t>
            </w:r>
            <w:r w:rsidR="005B4229" w:rsidRPr="00A826B6">
              <w:t xml:space="preserve"> 2015</w:t>
            </w:r>
          </w:p>
          <w:p w14:paraId="3061D501" w14:textId="77777777" w:rsidR="008216A5" w:rsidRPr="00A826B6" w:rsidRDefault="008216A5" w:rsidP="008216A5">
            <w:pPr>
              <w:spacing w:line="240" w:lineRule="exact"/>
            </w:pPr>
          </w:p>
          <w:p w14:paraId="343549FA" w14:textId="77777777" w:rsidR="008216A5" w:rsidRPr="00A826B6" w:rsidRDefault="008216A5" w:rsidP="008216A5">
            <w:pPr>
              <w:spacing w:line="240" w:lineRule="exact"/>
            </w:pPr>
            <w:r w:rsidRPr="00A826B6">
              <w:t>Original: English</w:t>
            </w:r>
          </w:p>
          <w:p w14:paraId="7B63C1A6" w14:textId="5BB75045" w:rsidR="00170C01" w:rsidRPr="00A826B6" w:rsidRDefault="00170C01" w:rsidP="008216A5">
            <w:pPr>
              <w:spacing w:line="240" w:lineRule="exact"/>
            </w:pPr>
          </w:p>
        </w:tc>
      </w:tr>
    </w:tbl>
    <w:p w14:paraId="150CCFD9" w14:textId="3CCDD44B" w:rsidR="008216A5" w:rsidRPr="00A826B6" w:rsidRDefault="008216A5" w:rsidP="00A826B6">
      <w:pPr>
        <w:spacing w:before="120"/>
        <w:rPr>
          <w:bCs/>
        </w:rPr>
      </w:pPr>
      <w:r w:rsidRPr="00A826B6">
        <w:rPr>
          <w:b/>
          <w:sz w:val="24"/>
          <w:szCs w:val="24"/>
        </w:rPr>
        <w:t>Human Rights Committee</w:t>
      </w:r>
    </w:p>
    <w:p w14:paraId="278E6A30" w14:textId="0229D117" w:rsidR="003134AC" w:rsidRPr="00A826B6" w:rsidRDefault="003134AC" w:rsidP="00D90E42">
      <w:pPr>
        <w:pStyle w:val="HChG"/>
      </w:pPr>
      <w:r w:rsidRPr="00A826B6">
        <w:tab/>
      </w:r>
      <w:r w:rsidRPr="00A826B6">
        <w:tab/>
        <w:t xml:space="preserve">Communication No. </w:t>
      </w:r>
      <w:r w:rsidR="00540F02" w:rsidRPr="00A826B6">
        <w:t>2</w:t>
      </w:r>
      <w:r w:rsidR="005B4229" w:rsidRPr="00A826B6">
        <w:t>344</w:t>
      </w:r>
      <w:r w:rsidRPr="00A826B6">
        <w:t>/20</w:t>
      </w:r>
      <w:r w:rsidR="005B4229" w:rsidRPr="00A826B6">
        <w:t>14</w:t>
      </w:r>
    </w:p>
    <w:p w14:paraId="1D8C6950" w14:textId="22D49AAE" w:rsidR="003134AC" w:rsidRPr="00A826B6" w:rsidRDefault="003134AC" w:rsidP="00D90E42">
      <w:pPr>
        <w:pStyle w:val="H1G"/>
      </w:pPr>
      <w:r w:rsidRPr="00A826B6">
        <w:tab/>
      </w:r>
      <w:r w:rsidRPr="00A826B6">
        <w:tab/>
      </w:r>
      <w:r w:rsidR="001F1037" w:rsidRPr="00A826B6">
        <w:rPr>
          <w:rFonts w:eastAsia="MS Mincho"/>
        </w:rPr>
        <w:t xml:space="preserve">Decision adopted by the Committee at its 115th session </w:t>
      </w:r>
      <w:r w:rsidR="001F1037" w:rsidRPr="00A826B6">
        <w:rPr>
          <w:rFonts w:eastAsia="MS Mincho"/>
        </w:rPr>
        <w:br/>
        <w:t>(</w:t>
      </w:r>
      <w:r w:rsidR="001F1037" w:rsidRPr="00A826B6">
        <w:rPr>
          <w:rFonts w:eastAsia="MS Mincho"/>
          <w:bCs/>
        </w:rPr>
        <w:t>19 October-6 November 2015)</w:t>
      </w:r>
    </w:p>
    <w:p w14:paraId="2EB0EC8B" w14:textId="513EDB3A" w:rsidR="003134AC" w:rsidRPr="00A826B6" w:rsidRDefault="003134AC" w:rsidP="00A826B6">
      <w:pPr>
        <w:pStyle w:val="SingleTxtG"/>
        <w:ind w:left="4536" w:hanging="3402"/>
        <w:jc w:val="left"/>
        <w:rPr>
          <w:color w:val="000000" w:themeColor="text1"/>
          <w:lang w:val="en-GB"/>
        </w:rPr>
      </w:pPr>
      <w:r w:rsidRPr="00A826B6">
        <w:rPr>
          <w:i/>
          <w:lang w:val="en-GB"/>
        </w:rPr>
        <w:t>Submitted by:</w:t>
      </w:r>
      <w:r w:rsidRPr="00A826B6">
        <w:rPr>
          <w:lang w:val="en-GB"/>
        </w:rPr>
        <w:tab/>
      </w:r>
      <w:r w:rsidR="008F7E32" w:rsidRPr="00A826B6">
        <w:rPr>
          <w:lang w:val="en-GB"/>
        </w:rPr>
        <w:t>E.P.</w:t>
      </w:r>
      <w:r w:rsidR="005B4229" w:rsidRPr="00A826B6">
        <w:rPr>
          <w:lang w:val="en-GB"/>
        </w:rPr>
        <w:t xml:space="preserve"> and </w:t>
      </w:r>
      <w:r w:rsidR="008F7E32" w:rsidRPr="00A826B6">
        <w:rPr>
          <w:lang w:val="en-GB"/>
        </w:rPr>
        <w:t>F.P.</w:t>
      </w:r>
      <w:r w:rsidR="00EF3514" w:rsidRPr="00A826B6">
        <w:rPr>
          <w:lang w:val="en-GB"/>
        </w:rPr>
        <w:t xml:space="preserve"> (</w:t>
      </w:r>
      <w:r w:rsidR="008D63A7" w:rsidRPr="00A826B6">
        <w:rPr>
          <w:lang w:val="en-GB"/>
        </w:rPr>
        <w:t>r</w:t>
      </w:r>
      <w:r w:rsidR="00EF3514" w:rsidRPr="00A826B6">
        <w:rPr>
          <w:lang w:val="en-GB"/>
        </w:rPr>
        <w:t xml:space="preserve">epresented by </w:t>
      </w:r>
      <w:r w:rsidR="005B4229" w:rsidRPr="00A826B6">
        <w:rPr>
          <w:lang w:val="en-GB"/>
        </w:rPr>
        <w:t>Helge Nørrung</w:t>
      </w:r>
      <w:r w:rsidR="005B4229" w:rsidRPr="00A826B6">
        <w:rPr>
          <w:color w:val="000000" w:themeColor="text1"/>
          <w:lang w:val="en-GB"/>
        </w:rPr>
        <w:t>)</w:t>
      </w:r>
    </w:p>
    <w:p w14:paraId="546F591A" w14:textId="77777777" w:rsidR="003134AC" w:rsidRPr="00A826B6" w:rsidRDefault="003134AC" w:rsidP="00A826B6">
      <w:pPr>
        <w:pStyle w:val="SingleTxtG"/>
        <w:ind w:left="4536" w:hanging="3402"/>
        <w:jc w:val="left"/>
        <w:rPr>
          <w:lang w:val="en-GB"/>
        </w:rPr>
      </w:pPr>
      <w:r w:rsidRPr="00A826B6">
        <w:rPr>
          <w:i/>
          <w:lang w:val="en-GB"/>
        </w:rPr>
        <w:t>Alleged victim:</w:t>
      </w:r>
      <w:r w:rsidRPr="00A826B6">
        <w:rPr>
          <w:lang w:val="en-GB"/>
        </w:rPr>
        <w:tab/>
        <w:t>The author</w:t>
      </w:r>
    </w:p>
    <w:p w14:paraId="4EBA14A9" w14:textId="77777777" w:rsidR="003134AC" w:rsidRPr="00A826B6" w:rsidRDefault="003134AC" w:rsidP="00A826B6">
      <w:pPr>
        <w:pStyle w:val="SingleTxtG"/>
        <w:ind w:left="4536" w:hanging="3402"/>
        <w:jc w:val="left"/>
        <w:rPr>
          <w:lang w:val="en-GB"/>
        </w:rPr>
      </w:pPr>
      <w:r w:rsidRPr="00A826B6">
        <w:rPr>
          <w:i/>
          <w:lang w:val="en-GB"/>
        </w:rPr>
        <w:t>State party:</w:t>
      </w:r>
      <w:r w:rsidRPr="00A826B6">
        <w:rPr>
          <w:lang w:val="en-GB"/>
        </w:rPr>
        <w:tab/>
      </w:r>
      <w:r w:rsidR="00EF3514" w:rsidRPr="00A826B6">
        <w:rPr>
          <w:lang w:val="en-GB"/>
        </w:rPr>
        <w:t>Denmark</w:t>
      </w:r>
    </w:p>
    <w:p w14:paraId="53B7658B" w14:textId="77777777" w:rsidR="003134AC" w:rsidRPr="00A826B6" w:rsidRDefault="003134AC" w:rsidP="00A826B6">
      <w:pPr>
        <w:pStyle w:val="SingleTxtG"/>
        <w:ind w:left="4536" w:hanging="3402"/>
        <w:jc w:val="left"/>
        <w:rPr>
          <w:lang w:val="en-GB"/>
        </w:rPr>
      </w:pPr>
      <w:r w:rsidRPr="00A826B6">
        <w:rPr>
          <w:i/>
          <w:lang w:val="en-GB"/>
        </w:rPr>
        <w:t>Date of communication:</w:t>
      </w:r>
      <w:r w:rsidRPr="00A826B6">
        <w:rPr>
          <w:lang w:val="en-GB"/>
        </w:rPr>
        <w:tab/>
      </w:r>
      <w:r w:rsidR="005B4229" w:rsidRPr="00A826B6">
        <w:rPr>
          <w:lang w:val="en-GB"/>
        </w:rPr>
        <w:t>6 February 2014</w:t>
      </w:r>
      <w:r w:rsidR="00335DD7" w:rsidRPr="00A826B6">
        <w:rPr>
          <w:lang w:val="en-GB"/>
        </w:rPr>
        <w:t xml:space="preserve"> (initial submission)</w:t>
      </w:r>
    </w:p>
    <w:p w14:paraId="3DBF70A5" w14:textId="77777777" w:rsidR="003134AC" w:rsidRPr="00A826B6" w:rsidRDefault="003134AC" w:rsidP="00A826B6">
      <w:pPr>
        <w:pStyle w:val="SingleTxtG"/>
        <w:ind w:left="4536" w:hanging="3402"/>
        <w:jc w:val="left"/>
        <w:rPr>
          <w:lang w:val="en-GB"/>
        </w:rPr>
      </w:pPr>
      <w:r w:rsidRPr="00A826B6">
        <w:rPr>
          <w:i/>
          <w:lang w:val="en-GB"/>
        </w:rPr>
        <w:t>Document references:</w:t>
      </w:r>
      <w:r w:rsidRPr="00A826B6">
        <w:rPr>
          <w:lang w:val="en-GB"/>
        </w:rPr>
        <w:tab/>
        <w:t>Special Rapporteur’s rule</w:t>
      </w:r>
      <w:r w:rsidR="00D46C27" w:rsidRPr="00A826B6">
        <w:rPr>
          <w:lang w:val="en-GB"/>
        </w:rPr>
        <w:t xml:space="preserve"> 92 and rule</w:t>
      </w:r>
      <w:r w:rsidRPr="00A826B6">
        <w:rPr>
          <w:lang w:val="en-GB"/>
        </w:rPr>
        <w:t xml:space="preserve"> 97 decision, transmitted to the State party on </w:t>
      </w:r>
      <w:r w:rsidR="00EF3514" w:rsidRPr="00A826B6">
        <w:rPr>
          <w:lang w:val="en-GB"/>
        </w:rPr>
        <w:t>17 July</w:t>
      </w:r>
      <w:r w:rsidR="001844A0" w:rsidRPr="00A826B6">
        <w:rPr>
          <w:lang w:val="en-GB"/>
        </w:rPr>
        <w:t xml:space="preserve"> 2013</w:t>
      </w:r>
      <w:r w:rsidRPr="00A826B6">
        <w:rPr>
          <w:lang w:val="en-GB"/>
        </w:rPr>
        <w:t xml:space="preserve"> (not issued in a document form)</w:t>
      </w:r>
    </w:p>
    <w:p w14:paraId="74513A09" w14:textId="0E7BBB7F" w:rsidR="00335DD7" w:rsidRPr="00A826B6" w:rsidRDefault="003134AC" w:rsidP="00A826B6">
      <w:pPr>
        <w:pStyle w:val="SingleTxtG"/>
        <w:ind w:left="4536" w:hanging="3402"/>
        <w:jc w:val="left"/>
        <w:rPr>
          <w:lang w:val="en-GB"/>
        </w:rPr>
      </w:pPr>
      <w:r w:rsidRPr="00A826B6">
        <w:rPr>
          <w:i/>
          <w:lang w:val="en-GB"/>
        </w:rPr>
        <w:t xml:space="preserve">Date of adoption of </w:t>
      </w:r>
      <w:r w:rsidR="00170C01" w:rsidRPr="00A826B6">
        <w:rPr>
          <w:i/>
          <w:lang w:val="en-GB"/>
        </w:rPr>
        <w:t>decision</w:t>
      </w:r>
      <w:r w:rsidRPr="00A826B6">
        <w:rPr>
          <w:i/>
          <w:lang w:val="en-GB"/>
        </w:rPr>
        <w:t>:</w:t>
      </w:r>
      <w:r w:rsidRPr="00A826B6">
        <w:rPr>
          <w:lang w:val="en-GB"/>
        </w:rPr>
        <w:tab/>
      </w:r>
      <w:r w:rsidR="001F1037" w:rsidRPr="00A826B6">
        <w:rPr>
          <w:lang w:val="en-GB"/>
        </w:rPr>
        <w:t>2 November</w:t>
      </w:r>
      <w:r w:rsidR="00FD369A" w:rsidRPr="00A826B6">
        <w:rPr>
          <w:lang w:val="en-GB"/>
        </w:rPr>
        <w:t xml:space="preserve"> </w:t>
      </w:r>
      <w:r w:rsidRPr="00A826B6">
        <w:rPr>
          <w:lang w:val="en-GB"/>
        </w:rPr>
        <w:t>201</w:t>
      </w:r>
      <w:r w:rsidR="001844A0" w:rsidRPr="00A826B6">
        <w:rPr>
          <w:lang w:val="en-GB"/>
        </w:rPr>
        <w:t>5</w:t>
      </w:r>
    </w:p>
    <w:p w14:paraId="6B2C7223" w14:textId="124E0966" w:rsidR="003134AC" w:rsidRPr="00A826B6" w:rsidRDefault="002E25D3" w:rsidP="00A826B6">
      <w:pPr>
        <w:pStyle w:val="SingleTxtG"/>
        <w:ind w:left="4536" w:hanging="3402"/>
        <w:jc w:val="left"/>
        <w:rPr>
          <w:lang w:val="en-GB"/>
        </w:rPr>
      </w:pPr>
      <w:r w:rsidRPr="00A826B6">
        <w:rPr>
          <w:i/>
          <w:iCs/>
          <w:lang w:val="en-GB"/>
        </w:rPr>
        <w:t>Subject matter:</w:t>
      </w:r>
      <w:r w:rsidRPr="00A826B6">
        <w:rPr>
          <w:lang w:val="en-GB"/>
        </w:rPr>
        <w:tab/>
        <w:t>Deportation to Albania</w:t>
      </w:r>
    </w:p>
    <w:p w14:paraId="2323A71F" w14:textId="77777777" w:rsidR="003134AC" w:rsidRPr="00A826B6" w:rsidRDefault="003134AC" w:rsidP="00A826B6">
      <w:pPr>
        <w:pStyle w:val="SingleTxtG"/>
        <w:ind w:left="4536" w:hanging="3402"/>
        <w:jc w:val="left"/>
        <w:rPr>
          <w:lang w:val="en-GB"/>
        </w:rPr>
      </w:pPr>
      <w:r w:rsidRPr="00A826B6">
        <w:rPr>
          <w:i/>
          <w:iCs/>
          <w:lang w:val="en-GB"/>
        </w:rPr>
        <w:t xml:space="preserve">Substantive issues: </w:t>
      </w:r>
      <w:r w:rsidRPr="00A826B6">
        <w:rPr>
          <w:i/>
          <w:iCs/>
          <w:lang w:val="en-GB"/>
        </w:rPr>
        <w:tab/>
      </w:r>
      <w:r w:rsidR="005C11C1" w:rsidRPr="00A826B6">
        <w:rPr>
          <w:iCs/>
          <w:lang w:val="en-GB"/>
        </w:rPr>
        <w:t>Risk of t</w:t>
      </w:r>
      <w:r w:rsidR="00726A48" w:rsidRPr="00A826B6">
        <w:rPr>
          <w:iCs/>
          <w:lang w:val="en-GB"/>
        </w:rPr>
        <w:t>orture and ill-treatment</w:t>
      </w:r>
    </w:p>
    <w:p w14:paraId="29CF1439" w14:textId="77777777" w:rsidR="003134AC" w:rsidRPr="00A826B6" w:rsidRDefault="003134AC" w:rsidP="00A826B6">
      <w:pPr>
        <w:pStyle w:val="SingleTxtG"/>
        <w:ind w:left="4536" w:hanging="3402"/>
        <w:jc w:val="left"/>
        <w:rPr>
          <w:lang w:val="en-GB"/>
        </w:rPr>
      </w:pPr>
      <w:r w:rsidRPr="00A826B6">
        <w:rPr>
          <w:i/>
          <w:iCs/>
          <w:lang w:val="en-GB"/>
        </w:rPr>
        <w:t xml:space="preserve">Procedural issues: </w:t>
      </w:r>
      <w:r w:rsidRPr="00A826B6">
        <w:rPr>
          <w:i/>
          <w:iCs/>
          <w:lang w:val="en-GB"/>
        </w:rPr>
        <w:tab/>
      </w:r>
      <w:r w:rsidR="00BE26B2" w:rsidRPr="00A826B6">
        <w:rPr>
          <w:iCs/>
          <w:lang w:val="en-GB"/>
        </w:rPr>
        <w:t>I</w:t>
      </w:r>
      <w:r w:rsidR="00726A48" w:rsidRPr="00A826B6">
        <w:rPr>
          <w:iCs/>
          <w:lang w:val="en-GB"/>
        </w:rPr>
        <w:t>nsuffi</w:t>
      </w:r>
      <w:r w:rsidR="005B6047" w:rsidRPr="00A826B6">
        <w:rPr>
          <w:iCs/>
          <w:lang w:val="en-GB"/>
        </w:rPr>
        <w:t>cient substantiation of claims</w:t>
      </w:r>
    </w:p>
    <w:p w14:paraId="08479EE2" w14:textId="77777777" w:rsidR="005C11C1" w:rsidRPr="00A826B6" w:rsidRDefault="003134AC" w:rsidP="00A826B6">
      <w:pPr>
        <w:pStyle w:val="SingleTxtG"/>
        <w:ind w:left="4536" w:hanging="3402"/>
        <w:jc w:val="left"/>
        <w:rPr>
          <w:lang w:val="en-GB"/>
        </w:rPr>
      </w:pPr>
      <w:r w:rsidRPr="00A826B6">
        <w:rPr>
          <w:i/>
          <w:iCs/>
          <w:lang w:val="en-GB"/>
        </w:rPr>
        <w:t>Articles of the Covenant:</w:t>
      </w:r>
      <w:r w:rsidRPr="00A826B6">
        <w:rPr>
          <w:lang w:val="en-GB"/>
        </w:rPr>
        <w:t xml:space="preserve"> </w:t>
      </w:r>
      <w:r w:rsidRPr="00A826B6">
        <w:rPr>
          <w:lang w:val="en-GB"/>
        </w:rPr>
        <w:tab/>
      </w:r>
      <w:r w:rsidR="006E5A29" w:rsidRPr="00A826B6">
        <w:rPr>
          <w:lang w:val="en-GB"/>
        </w:rPr>
        <w:t xml:space="preserve">7 </w:t>
      </w:r>
    </w:p>
    <w:p w14:paraId="3EA70537" w14:textId="4DC639C7" w:rsidR="003134AC" w:rsidRPr="00A826B6" w:rsidRDefault="003134AC" w:rsidP="00A826B6">
      <w:pPr>
        <w:pStyle w:val="SingleTxtG"/>
        <w:ind w:left="4536" w:hanging="3402"/>
        <w:jc w:val="left"/>
        <w:rPr>
          <w:lang w:val="en-GB"/>
        </w:rPr>
      </w:pPr>
      <w:r w:rsidRPr="00A826B6">
        <w:rPr>
          <w:i/>
          <w:iCs/>
          <w:lang w:val="en-GB"/>
        </w:rPr>
        <w:t>Articles of the Optional Protocol:</w:t>
      </w:r>
      <w:r w:rsidR="00735F4E" w:rsidRPr="00A826B6">
        <w:rPr>
          <w:i/>
          <w:iCs/>
          <w:lang w:val="en-GB"/>
        </w:rPr>
        <w:tab/>
      </w:r>
      <w:r w:rsidRPr="00A826B6">
        <w:rPr>
          <w:iCs/>
          <w:lang w:val="en-GB"/>
        </w:rPr>
        <w:t xml:space="preserve">2 </w:t>
      </w:r>
      <w:r w:rsidR="00FD369A" w:rsidRPr="00A826B6">
        <w:rPr>
          <w:iCs/>
          <w:lang w:val="en-GB"/>
        </w:rPr>
        <w:t xml:space="preserve">and </w:t>
      </w:r>
      <w:r w:rsidR="00A777CF" w:rsidRPr="00A826B6">
        <w:rPr>
          <w:lang w:val="en-GB"/>
        </w:rPr>
        <w:t xml:space="preserve">5 </w:t>
      </w:r>
      <w:r w:rsidR="00FD369A" w:rsidRPr="00A826B6">
        <w:rPr>
          <w:lang w:val="en-GB"/>
        </w:rPr>
        <w:t>(</w:t>
      </w:r>
      <w:r w:rsidR="00A777CF" w:rsidRPr="00A826B6">
        <w:rPr>
          <w:lang w:val="en-GB"/>
        </w:rPr>
        <w:t>2</w:t>
      </w:r>
      <w:r w:rsidR="00FD369A" w:rsidRPr="00A826B6">
        <w:rPr>
          <w:lang w:val="en-GB"/>
        </w:rPr>
        <w:t>)</w:t>
      </w:r>
      <w:r w:rsidR="00A777CF" w:rsidRPr="00A826B6">
        <w:rPr>
          <w:lang w:val="en-GB"/>
        </w:rPr>
        <w:t xml:space="preserve"> (b)</w:t>
      </w:r>
    </w:p>
    <w:p w14:paraId="5818B665" w14:textId="77777777" w:rsidR="003134AC" w:rsidRPr="00A826B6" w:rsidRDefault="003134AC" w:rsidP="003134AC">
      <w:pPr>
        <w:pStyle w:val="HChG"/>
      </w:pPr>
      <w:r w:rsidRPr="00A826B6">
        <w:br w:type="page"/>
      </w:r>
      <w:r w:rsidRPr="00A826B6">
        <w:lastRenderedPageBreak/>
        <w:t>Annex</w:t>
      </w:r>
    </w:p>
    <w:p w14:paraId="471A17AF" w14:textId="67C32320" w:rsidR="003134AC" w:rsidRPr="00A826B6" w:rsidRDefault="003134AC" w:rsidP="003134AC">
      <w:pPr>
        <w:pStyle w:val="HChG"/>
        <w:rPr>
          <w:bCs/>
        </w:rPr>
      </w:pPr>
      <w:r w:rsidRPr="00A826B6">
        <w:tab/>
      </w:r>
      <w:r w:rsidRPr="00A826B6">
        <w:tab/>
      </w:r>
      <w:r w:rsidR="001F1037" w:rsidRPr="00A826B6">
        <w:t xml:space="preserve">Decision of the Human Rights Committee under the Optional Protocol to the International Covenant on Civil and Political Rights (115th </w:t>
      </w:r>
      <w:r w:rsidR="001F1037" w:rsidRPr="00A826B6">
        <w:rPr>
          <w:bCs/>
        </w:rPr>
        <w:t>session)</w:t>
      </w:r>
    </w:p>
    <w:p w14:paraId="4F0B69FE" w14:textId="77777777" w:rsidR="003134AC" w:rsidRPr="00A826B6" w:rsidRDefault="003134AC" w:rsidP="003134AC">
      <w:pPr>
        <w:pStyle w:val="SingleTxtG"/>
        <w:rPr>
          <w:b/>
          <w:bCs/>
          <w:lang w:val="en-GB"/>
        </w:rPr>
      </w:pPr>
      <w:r w:rsidRPr="00A826B6">
        <w:rPr>
          <w:lang w:val="en-GB"/>
        </w:rPr>
        <w:t>concerning</w:t>
      </w:r>
    </w:p>
    <w:p w14:paraId="03EE11D0" w14:textId="44277351" w:rsidR="00CD6EA5" w:rsidRPr="00A826B6" w:rsidRDefault="003134AC" w:rsidP="00CD6EA5">
      <w:pPr>
        <w:pStyle w:val="H1G"/>
      </w:pPr>
      <w:r w:rsidRPr="00A826B6">
        <w:tab/>
      </w:r>
      <w:r w:rsidRPr="00A826B6">
        <w:tab/>
        <w:t xml:space="preserve">Communication No. </w:t>
      </w:r>
      <w:r w:rsidR="005B4229" w:rsidRPr="00A826B6">
        <w:t>2344</w:t>
      </w:r>
      <w:r w:rsidRPr="00A826B6">
        <w:t>/20</w:t>
      </w:r>
      <w:r w:rsidR="005B4229" w:rsidRPr="00A826B6">
        <w:t>14</w:t>
      </w:r>
      <w:r w:rsidR="001F1037" w:rsidRPr="00A826B6">
        <w:rPr>
          <w:rStyle w:val="FootnoteReference"/>
          <w:b w:val="0"/>
          <w:bCs/>
          <w:sz w:val="20"/>
          <w:vertAlign w:val="baseline"/>
        </w:rPr>
        <w:footnoteReference w:customMarkFollows="1" w:id="2"/>
        <w:t>*</w:t>
      </w:r>
    </w:p>
    <w:p w14:paraId="0670B7B6" w14:textId="387FCB75" w:rsidR="00EF3514" w:rsidRPr="00A826B6" w:rsidRDefault="003134AC" w:rsidP="00A826B6">
      <w:pPr>
        <w:pStyle w:val="SingleTxtG"/>
        <w:ind w:left="4536" w:hanging="3402"/>
        <w:jc w:val="left"/>
        <w:rPr>
          <w:lang w:val="en-GB"/>
        </w:rPr>
      </w:pPr>
      <w:r w:rsidRPr="00A826B6">
        <w:rPr>
          <w:i/>
          <w:lang w:val="en-GB"/>
        </w:rPr>
        <w:t>Submitted by:</w:t>
      </w:r>
      <w:r w:rsidRPr="00A826B6">
        <w:rPr>
          <w:lang w:val="en-GB"/>
        </w:rPr>
        <w:tab/>
      </w:r>
      <w:r w:rsidR="008F7E32" w:rsidRPr="00A826B6">
        <w:rPr>
          <w:lang w:val="en-GB"/>
        </w:rPr>
        <w:t>E.P.</w:t>
      </w:r>
      <w:r w:rsidR="005B4229" w:rsidRPr="00A826B6">
        <w:rPr>
          <w:lang w:val="en-GB"/>
        </w:rPr>
        <w:t xml:space="preserve"> and </w:t>
      </w:r>
      <w:r w:rsidR="008F7E32" w:rsidRPr="00A826B6">
        <w:rPr>
          <w:lang w:val="en-GB"/>
        </w:rPr>
        <w:t>F.P.</w:t>
      </w:r>
      <w:r w:rsidR="005B4229" w:rsidRPr="00A826B6">
        <w:rPr>
          <w:lang w:val="en-GB"/>
        </w:rPr>
        <w:t xml:space="preserve"> </w:t>
      </w:r>
      <w:r w:rsidR="00EF3514" w:rsidRPr="00A826B6">
        <w:rPr>
          <w:lang w:val="en-GB"/>
        </w:rPr>
        <w:t>(</w:t>
      </w:r>
      <w:r w:rsidR="00FD369A" w:rsidRPr="00A826B6">
        <w:rPr>
          <w:lang w:val="en-GB"/>
        </w:rPr>
        <w:t>r</w:t>
      </w:r>
      <w:r w:rsidR="00EF3514" w:rsidRPr="00A826B6">
        <w:rPr>
          <w:lang w:val="en-GB"/>
        </w:rPr>
        <w:t xml:space="preserve">epresented by </w:t>
      </w:r>
      <w:r w:rsidR="005B4229" w:rsidRPr="00A826B6">
        <w:rPr>
          <w:lang w:val="en-GB"/>
        </w:rPr>
        <w:t>Helge Nørrung</w:t>
      </w:r>
      <w:r w:rsidR="00EF3514" w:rsidRPr="00A826B6">
        <w:rPr>
          <w:lang w:val="en-GB"/>
        </w:rPr>
        <w:t>)</w:t>
      </w:r>
    </w:p>
    <w:p w14:paraId="2D447678" w14:textId="77777777" w:rsidR="003134AC" w:rsidRPr="00A826B6" w:rsidRDefault="003134AC" w:rsidP="00A826B6">
      <w:pPr>
        <w:pStyle w:val="SingleTxtG"/>
        <w:ind w:left="4536" w:hanging="3402"/>
        <w:jc w:val="left"/>
        <w:rPr>
          <w:lang w:val="en-GB"/>
        </w:rPr>
      </w:pPr>
      <w:r w:rsidRPr="00A826B6">
        <w:rPr>
          <w:i/>
          <w:lang w:val="en-GB"/>
        </w:rPr>
        <w:t>Alleged victim:</w:t>
      </w:r>
      <w:r w:rsidRPr="00A826B6">
        <w:rPr>
          <w:lang w:val="en-GB"/>
        </w:rPr>
        <w:tab/>
        <w:t>The author</w:t>
      </w:r>
    </w:p>
    <w:p w14:paraId="368199A9" w14:textId="77777777" w:rsidR="003134AC" w:rsidRPr="00A826B6" w:rsidRDefault="003134AC" w:rsidP="00A826B6">
      <w:pPr>
        <w:pStyle w:val="SingleTxtG"/>
        <w:ind w:left="4536" w:hanging="3402"/>
        <w:jc w:val="left"/>
        <w:rPr>
          <w:lang w:val="en-GB"/>
        </w:rPr>
      </w:pPr>
      <w:r w:rsidRPr="00A826B6">
        <w:rPr>
          <w:i/>
          <w:lang w:val="en-GB"/>
        </w:rPr>
        <w:t>State party:</w:t>
      </w:r>
      <w:r w:rsidRPr="00A826B6">
        <w:rPr>
          <w:lang w:val="en-GB"/>
        </w:rPr>
        <w:tab/>
      </w:r>
      <w:r w:rsidR="00EF3514" w:rsidRPr="00A826B6">
        <w:rPr>
          <w:lang w:val="en-GB"/>
        </w:rPr>
        <w:t>Denmark</w:t>
      </w:r>
    </w:p>
    <w:p w14:paraId="24F0A77C" w14:textId="77777777" w:rsidR="003134AC" w:rsidRPr="00A826B6" w:rsidRDefault="003134AC" w:rsidP="00A826B6">
      <w:pPr>
        <w:pStyle w:val="SingleTxtG"/>
        <w:ind w:left="4536" w:hanging="3402"/>
        <w:jc w:val="left"/>
        <w:rPr>
          <w:lang w:val="en-GB"/>
        </w:rPr>
      </w:pPr>
      <w:r w:rsidRPr="00A826B6">
        <w:rPr>
          <w:i/>
          <w:lang w:val="en-GB"/>
        </w:rPr>
        <w:t>Date of communication:</w:t>
      </w:r>
      <w:r w:rsidRPr="00A826B6">
        <w:rPr>
          <w:lang w:val="en-GB"/>
        </w:rPr>
        <w:tab/>
      </w:r>
      <w:r w:rsidR="005B4229" w:rsidRPr="00A826B6">
        <w:rPr>
          <w:lang w:val="en-GB"/>
        </w:rPr>
        <w:t>6 February 2014</w:t>
      </w:r>
      <w:r w:rsidRPr="00A826B6">
        <w:rPr>
          <w:lang w:val="en-GB"/>
        </w:rPr>
        <w:t xml:space="preserve"> (initial submission)</w:t>
      </w:r>
    </w:p>
    <w:p w14:paraId="3F5617A3" w14:textId="77777777" w:rsidR="003134AC" w:rsidRPr="00A826B6" w:rsidRDefault="003134AC" w:rsidP="003134AC">
      <w:pPr>
        <w:pStyle w:val="SingleTxtG"/>
        <w:rPr>
          <w:lang w:val="en-GB"/>
        </w:rPr>
      </w:pPr>
      <w:r w:rsidRPr="00A826B6">
        <w:rPr>
          <w:lang w:val="en-GB"/>
        </w:rPr>
        <w:tab/>
      </w:r>
      <w:r w:rsidRPr="00A826B6">
        <w:rPr>
          <w:i/>
          <w:lang w:val="en-GB"/>
        </w:rPr>
        <w:t>The Human Rights Committee</w:t>
      </w:r>
      <w:r w:rsidRPr="00A826B6">
        <w:rPr>
          <w:lang w:val="en-GB"/>
        </w:rPr>
        <w:t xml:space="preserve">, established under article 28 of the International Covenant on Civil and Political Rights, </w:t>
      </w:r>
    </w:p>
    <w:p w14:paraId="64D5AF04" w14:textId="232F8FC5" w:rsidR="003134AC" w:rsidRPr="00A826B6" w:rsidRDefault="003134AC" w:rsidP="003134AC">
      <w:pPr>
        <w:pStyle w:val="SingleTxtG"/>
        <w:rPr>
          <w:lang w:val="en-GB"/>
        </w:rPr>
      </w:pPr>
      <w:r w:rsidRPr="00A826B6">
        <w:rPr>
          <w:lang w:val="en-GB"/>
        </w:rPr>
        <w:tab/>
      </w:r>
      <w:r w:rsidRPr="00A826B6">
        <w:rPr>
          <w:i/>
          <w:lang w:val="en-GB"/>
        </w:rPr>
        <w:t xml:space="preserve">Meeting </w:t>
      </w:r>
      <w:r w:rsidRPr="00A826B6">
        <w:rPr>
          <w:iCs/>
          <w:lang w:val="en-GB"/>
        </w:rPr>
        <w:t>on</w:t>
      </w:r>
      <w:r w:rsidRPr="00A826B6">
        <w:rPr>
          <w:lang w:val="en-GB"/>
        </w:rPr>
        <w:t xml:space="preserve"> </w:t>
      </w:r>
      <w:r w:rsidR="001F1037" w:rsidRPr="00A826B6">
        <w:rPr>
          <w:lang w:val="en-GB"/>
        </w:rPr>
        <w:t>2 November</w:t>
      </w:r>
      <w:r w:rsidRPr="00A826B6">
        <w:rPr>
          <w:lang w:val="en-GB"/>
        </w:rPr>
        <w:t xml:space="preserve"> 201</w:t>
      </w:r>
      <w:r w:rsidR="001844A0" w:rsidRPr="00A826B6">
        <w:rPr>
          <w:lang w:val="en-GB"/>
        </w:rPr>
        <w:t>5</w:t>
      </w:r>
      <w:r w:rsidRPr="00A826B6">
        <w:rPr>
          <w:lang w:val="en-GB"/>
        </w:rPr>
        <w:t>,</w:t>
      </w:r>
    </w:p>
    <w:p w14:paraId="74A80E62" w14:textId="77777777" w:rsidR="003134AC" w:rsidRPr="00A826B6" w:rsidRDefault="003134AC" w:rsidP="003134AC">
      <w:pPr>
        <w:pStyle w:val="SingleTxtG"/>
        <w:rPr>
          <w:lang w:val="en-GB"/>
        </w:rPr>
      </w:pPr>
      <w:r w:rsidRPr="00A826B6">
        <w:rPr>
          <w:lang w:val="en-GB"/>
        </w:rPr>
        <w:tab/>
      </w:r>
      <w:r w:rsidRPr="00A826B6">
        <w:rPr>
          <w:i/>
          <w:lang w:val="en-GB"/>
        </w:rPr>
        <w:t>Having concluded</w:t>
      </w:r>
      <w:r w:rsidRPr="00A826B6">
        <w:rPr>
          <w:lang w:val="en-GB"/>
        </w:rPr>
        <w:t xml:space="preserve"> its consideration of communication No. </w:t>
      </w:r>
      <w:r w:rsidR="001844A0" w:rsidRPr="00A826B6">
        <w:rPr>
          <w:lang w:val="en-GB"/>
        </w:rPr>
        <w:t>2</w:t>
      </w:r>
      <w:r w:rsidR="005B4229" w:rsidRPr="00A826B6">
        <w:rPr>
          <w:lang w:val="en-GB"/>
        </w:rPr>
        <w:t>344</w:t>
      </w:r>
      <w:r w:rsidRPr="00A826B6">
        <w:rPr>
          <w:lang w:val="en-GB"/>
        </w:rPr>
        <w:t>/20</w:t>
      </w:r>
      <w:r w:rsidR="001844A0" w:rsidRPr="00A826B6">
        <w:rPr>
          <w:lang w:val="en-GB"/>
        </w:rPr>
        <w:t>1</w:t>
      </w:r>
      <w:r w:rsidR="005B4229" w:rsidRPr="00A826B6">
        <w:rPr>
          <w:lang w:val="en-GB"/>
        </w:rPr>
        <w:t>4</w:t>
      </w:r>
      <w:r w:rsidRPr="00A826B6">
        <w:rPr>
          <w:lang w:val="en-GB"/>
        </w:rPr>
        <w:t>, submitted to the Human Rights Committee under the Optional Protocol to the International Covenant on Civil and Political Rights,</w:t>
      </w:r>
    </w:p>
    <w:p w14:paraId="6E3CAEF3" w14:textId="77777777" w:rsidR="003134AC" w:rsidRPr="00A826B6" w:rsidRDefault="003134AC" w:rsidP="003134AC">
      <w:pPr>
        <w:pStyle w:val="SingleTxtG"/>
        <w:rPr>
          <w:lang w:val="en-GB"/>
        </w:rPr>
      </w:pPr>
      <w:r w:rsidRPr="00A826B6">
        <w:rPr>
          <w:lang w:val="en-GB"/>
        </w:rPr>
        <w:tab/>
      </w:r>
      <w:r w:rsidRPr="00A826B6">
        <w:rPr>
          <w:i/>
          <w:lang w:val="en-GB"/>
        </w:rPr>
        <w:t>Having taken into account</w:t>
      </w:r>
      <w:r w:rsidRPr="00A826B6">
        <w:rPr>
          <w:lang w:val="en-GB"/>
        </w:rPr>
        <w:t xml:space="preserve"> all written information made available to it by the author of the communication and the State party,</w:t>
      </w:r>
    </w:p>
    <w:p w14:paraId="2910891B" w14:textId="77777777" w:rsidR="003134AC" w:rsidRPr="00A826B6" w:rsidRDefault="003134AC" w:rsidP="00313457">
      <w:pPr>
        <w:pStyle w:val="SingleTxtG"/>
        <w:rPr>
          <w:lang w:val="en-GB"/>
        </w:rPr>
      </w:pPr>
      <w:r w:rsidRPr="00A826B6">
        <w:rPr>
          <w:lang w:val="en-GB"/>
        </w:rPr>
        <w:tab/>
      </w:r>
      <w:r w:rsidRPr="00A826B6">
        <w:rPr>
          <w:i/>
          <w:lang w:val="en-GB"/>
        </w:rPr>
        <w:t xml:space="preserve">Adopts </w:t>
      </w:r>
      <w:r w:rsidRPr="00A826B6">
        <w:rPr>
          <w:iCs/>
          <w:lang w:val="en-GB"/>
        </w:rPr>
        <w:t>the following</w:t>
      </w:r>
      <w:r w:rsidRPr="00A826B6">
        <w:rPr>
          <w:lang w:val="en-GB"/>
        </w:rPr>
        <w:t>:</w:t>
      </w:r>
    </w:p>
    <w:p w14:paraId="7A6888C7" w14:textId="2F6BA9A3" w:rsidR="003134AC" w:rsidRPr="00A826B6" w:rsidRDefault="003134AC" w:rsidP="003134AC">
      <w:pPr>
        <w:pStyle w:val="H1G"/>
      </w:pPr>
      <w:r w:rsidRPr="00A826B6">
        <w:tab/>
      </w:r>
      <w:r w:rsidRPr="00A826B6">
        <w:tab/>
      </w:r>
      <w:r w:rsidR="00170C01" w:rsidRPr="00A826B6">
        <w:t>Decision</w:t>
      </w:r>
      <w:r w:rsidR="005F6121" w:rsidRPr="00A826B6">
        <w:t xml:space="preserve"> </w:t>
      </w:r>
      <w:r w:rsidR="00B24475" w:rsidRPr="00A826B6">
        <w:t>on admissibility</w:t>
      </w:r>
    </w:p>
    <w:p w14:paraId="138620C8" w14:textId="0423857F" w:rsidR="00613FE0" w:rsidRPr="00A826B6" w:rsidRDefault="003134AC" w:rsidP="00313457">
      <w:pPr>
        <w:pStyle w:val="SingleTxtG"/>
        <w:rPr>
          <w:lang w:val="en-GB"/>
        </w:rPr>
      </w:pPr>
      <w:r w:rsidRPr="00A826B6">
        <w:rPr>
          <w:lang w:val="en-GB"/>
        </w:rPr>
        <w:t>1.</w:t>
      </w:r>
      <w:r w:rsidR="00C20A72" w:rsidRPr="00A826B6">
        <w:rPr>
          <w:lang w:val="en-GB"/>
        </w:rPr>
        <w:t>1</w:t>
      </w:r>
      <w:r w:rsidRPr="00A826B6">
        <w:rPr>
          <w:lang w:val="en-GB"/>
        </w:rPr>
        <w:tab/>
      </w:r>
      <w:r w:rsidR="00B467BE" w:rsidRPr="00A826B6">
        <w:rPr>
          <w:lang w:val="en-GB"/>
        </w:rPr>
        <w:t>The author</w:t>
      </w:r>
      <w:r w:rsidR="005B4229" w:rsidRPr="00A826B6">
        <w:rPr>
          <w:lang w:val="en-GB"/>
        </w:rPr>
        <w:t>s</w:t>
      </w:r>
      <w:r w:rsidR="00B467BE" w:rsidRPr="00A826B6">
        <w:rPr>
          <w:lang w:val="en-GB"/>
        </w:rPr>
        <w:t xml:space="preserve"> of the communication</w:t>
      </w:r>
      <w:r w:rsidR="00232334" w:rsidRPr="00A826B6">
        <w:rPr>
          <w:lang w:val="en-GB"/>
        </w:rPr>
        <w:t xml:space="preserve"> </w:t>
      </w:r>
      <w:r w:rsidR="005B4229" w:rsidRPr="00A826B6">
        <w:rPr>
          <w:lang w:val="en-GB"/>
        </w:rPr>
        <w:t xml:space="preserve">are Mr. </w:t>
      </w:r>
      <w:r w:rsidR="008F7E32" w:rsidRPr="00A826B6">
        <w:rPr>
          <w:lang w:val="en-GB"/>
        </w:rPr>
        <w:t>E.P.</w:t>
      </w:r>
      <w:r w:rsidR="005B4229" w:rsidRPr="00A826B6">
        <w:rPr>
          <w:lang w:val="en-GB"/>
        </w:rPr>
        <w:t xml:space="preserve"> and his wife, Ms. </w:t>
      </w:r>
      <w:r w:rsidR="008F7E32" w:rsidRPr="00A826B6">
        <w:rPr>
          <w:lang w:val="en-GB"/>
        </w:rPr>
        <w:t>F.P.</w:t>
      </w:r>
      <w:r w:rsidR="005B4229" w:rsidRPr="00A826B6">
        <w:rPr>
          <w:lang w:val="en-GB"/>
        </w:rPr>
        <w:t>, born respectively on 28 September 1967 and 19 May 1977</w:t>
      </w:r>
      <w:r w:rsidR="00232334" w:rsidRPr="00A826B6">
        <w:rPr>
          <w:lang w:val="en-GB"/>
        </w:rPr>
        <w:t xml:space="preserve">. </w:t>
      </w:r>
      <w:r w:rsidR="00054CEF" w:rsidRPr="00A826B6">
        <w:rPr>
          <w:lang w:val="en-GB"/>
        </w:rPr>
        <w:t xml:space="preserve">They claim </w:t>
      </w:r>
      <w:r w:rsidR="00232334" w:rsidRPr="00A826B6">
        <w:rPr>
          <w:lang w:val="en-GB"/>
        </w:rPr>
        <w:t>that</w:t>
      </w:r>
      <w:r w:rsidR="004B2C86" w:rsidRPr="00A826B6">
        <w:rPr>
          <w:lang w:val="en-GB"/>
        </w:rPr>
        <w:t>,</w:t>
      </w:r>
      <w:r w:rsidR="00232334" w:rsidRPr="00A826B6">
        <w:rPr>
          <w:lang w:val="en-GB"/>
        </w:rPr>
        <w:t xml:space="preserve"> by deporting </w:t>
      </w:r>
      <w:r w:rsidR="00054CEF" w:rsidRPr="00A826B6">
        <w:rPr>
          <w:lang w:val="en-GB"/>
        </w:rPr>
        <w:t>them to Albania</w:t>
      </w:r>
      <w:r w:rsidR="00232334" w:rsidRPr="00A826B6">
        <w:rPr>
          <w:lang w:val="en-GB"/>
        </w:rPr>
        <w:t>, Denmark would v</w:t>
      </w:r>
      <w:r w:rsidR="008D2A46" w:rsidRPr="00A826B6">
        <w:rPr>
          <w:lang w:val="en-GB"/>
        </w:rPr>
        <w:t xml:space="preserve">iolate </w:t>
      </w:r>
      <w:r w:rsidR="00054CEF" w:rsidRPr="00A826B6">
        <w:rPr>
          <w:lang w:val="en-GB"/>
        </w:rPr>
        <w:t>their</w:t>
      </w:r>
      <w:r w:rsidR="008D2A46" w:rsidRPr="00A826B6">
        <w:rPr>
          <w:lang w:val="en-GB"/>
        </w:rPr>
        <w:t xml:space="preserve"> rights under article</w:t>
      </w:r>
      <w:r w:rsidR="00054CEF" w:rsidRPr="00A826B6">
        <w:rPr>
          <w:lang w:val="en-GB"/>
        </w:rPr>
        <w:t>s 6, 14 and 26</w:t>
      </w:r>
      <w:r w:rsidR="00232334" w:rsidRPr="00A826B6">
        <w:rPr>
          <w:lang w:val="en-GB"/>
        </w:rPr>
        <w:t xml:space="preserve"> of the International Covenant on Civil and Political Rights</w:t>
      </w:r>
      <w:r w:rsidR="00313386" w:rsidRPr="00A826B6">
        <w:rPr>
          <w:lang w:val="en-GB"/>
        </w:rPr>
        <w:t>.</w:t>
      </w:r>
      <w:r w:rsidR="00232334" w:rsidRPr="00A826B6">
        <w:rPr>
          <w:lang w:val="en-GB"/>
        </w:rPr>
        <w:t xml:space="preserve"> The author</w:t>
      </w:r>
      <w:r w:rsidR="00054CEF" w:rsidRPr="00A826B6">
        <w:rPr>
          <w:lang w:val="en-GB"/>
        </w:rPr>
        <w:t>s are</w:t>
      </w:r>
      <w:r w:rsidR="00232334" w:rsidRPr="00A826B6">
        <w:rPr>
          <w:lang w:val="en-GB"/>
        </w:rPr>
        <w:t xml:space="preserve"> represented.</w:t>
      </w:r>
      <w:r w:rsidR="001F1037" w:rsidRPr="00A826B6">
        <w:rPr>
          <w:lang w:val="en-GB"/>
        </w:rPr>
        <w:t xml:space="preserve"> The Optional Protocol entered into force for Denmark on 6 April 1972.</w:t>
      </w:r>
    </w:p>
    <w:p w14:paraId="1BA464F0" w14:textId="705EFA38" w:rsidR="00232334" w:rsidRPr="00A826B6" w:rsidRDefault="00CF76D6" w:rsidP="00313457">
      <w:pPr>
        <w:pStyle w:val="SingleTxtG"/>
        <w:rPr>
          <w:lang w:val="en-GB"/>
        </w:rPr>
      </w:pPr>
      <w:r w:rsidRPr="00A826B6">
        <w:rPr>
          <w:lang w:val="en-GB"/>
        </w:rPr>
        <w:t>1.2</w:t>
      </w:r>
      <w:r w:rsidRPr="00A826B6">
        <w:rPr>
          <w:lang w:val="en-GB"/>
        </w:rPr>
        <w:tab/>
        <w:t xml:space="preserve">When registering the communication on </w:t>
      </w:r>
      <w:r w:rsidR="00054CEF" w:rsidRPr="00A826B6">
        <w:rPr>
          <w:lang w:val="en-GB"/>
        </w:rPr>
        <w:t>7 February 2014</w:t>
      </w:r>
      <w:r w:rsidRPr="00A826B6">
        <w:rPr>
          <w:lang w:val="en-GB"/>
        </w:rPr>
        <w:t xml:space="preserve">, and pursuant to rule 92 of its rules of procedure, the Committee, acting through its Special Rapporteur on new communications and interim measures, requested the State party </w:t>
      </w:r>
      <w:r w:rsidR="008D2A46" w:rsidRPr="00A826B6">
        <w:rPr>
          <w:lang w:val="en-GB"/>
        </w:rPr>
        <w:t>to refrain from</w:t>
      </w:r>
      <w:r w:rsidR="005B6047" w:rsidRPr="00A826B6">
        <w:rPr>
          <w:lang w:val="en-GB"/>
        </w:rPr>
        <w:t xml:space="preserve"> deport</w:t>
      </w:r>
      <w:r w:rsidR="008D2A46" w:rsidRPr="00A826B6">
        <w:rPr>
          <w:lang w:val="en-GB"/>
        </w:rPr>
        <w:t>ing</w:t>
      </w:r>
      <w:r w:rsidR="00EF3514" w:rsidRPr="00A826B6">
        <w:rPr>
          <w:lang w:val="en-GB"/>
        </w:rPr>
        <w:t xml:space="preserve"> the author</w:t>
      </w:r>
      <w:r w:rsidR="00054CEF" w:rsidRPr="00A826B6">
        <w:rPr>
          <w:lang w:val="en-GB"/>
        </w:rPr>
        <w:t xml:space="preserve">s </w:t>
      </w:r>
      <w:r w:rsidR="005B6047" w:rsidRPr="00A826B6">
        <w:rPr>
          <w:lang w:val="en-GB"/>
        </w:rPr>
        <w:t>t</w:t>
      </w:r>
      <w:r w:rsidR="00054CEF" w:rsidRPr="00A826B6">
        <w:rPr>
          <w:lang w:val="en-GB"/>
        </w:rPr>
        <w:t>o Albania</w:t>
      </w:r>
      <w:r w:rsidRPr="00A826B6">
        <w:rPr>
          <w:lang w:val="en-GB"/>
        </w:rPr>
        <w:t xml:space="preserve"> while </w:t>
      </w:r>
      <w:r w:rsidR="00F77CB0" w:rsidRPr="00A826B6">
        <w:rPr>
          <w:lang w:val="en-GB"/>
        </w:rPr>
        <w:t>their</w:t>
      </w:r>
      <w:r w:rsidRPr="00A826B6">
        <w:rPr>
          <w:lang w:val="en-GB"/>
        </w:rPr>
        <w:t xml:space="preserve"> case </w:t>
      </w:r>
      <w:r w:rsidR="004B2C86" w:rsidRPr="00A826B6">
        <w:rPr>
          <w:lang w:val="en-GB"/>
        </w:rPr>
        <w:t xml:space="preserve">was </w:t>
      </w:r>
      <w:r w:rsidR="008D2A46" w:rsidRPr="00A826B6">
        <w:rPr>
          <w:lang w:val="en-GB"/>
        </w:rPr>
        <w:t>under consideration</w:t>
      </w:r>
      <w:r w:rsidRPr="00A826B6">
        <w:rPr>
          <w:lang w:val="en-GB"/>
        </w:rPr>
        <w:t xml:space="preserve"> by the Committee. </w:t>
      </w:r>
    </w:p>
    <w:p w14:paraId="0CC0FB38" w14:textId="3FBE9103" w:rsidR="004250EA" w:rsidRPr="00A826B6" w:rsidRDefault="004250EA" w:rsidP="00313457">
      <w:pPr>
        <w:pStyle w:val="SingleTxtG"/>
        <w:rPr>
          <w:lang w:val="en-GB"/>
        </w:rPr>
      </w:pPr>
      <w:r w:rsidRPr="00A826B6">
        <w:rPr>
          <w:lang w:val="en-GB"/>
        </w:rPr>
        <w:lastRenderedPageBreak/>
        <w:t>1.3</w:t>
      </w:r>
      <w:r w:rsidRPr="00A826B6">
        <w:rPr>
          <w:lang w:val="en-GB"/>
        </w:rPr>
        <w:tab/>
        <w:t xml:space="preserve">On 24 June 2014, the Committee, acting through </w:t>
      </w:r>
      <w:r w:rsidR="004B2C86" w:rsidRPr="00A826B6">
        <w:rPr>
          <w:lang w:val="en-GB"/>
        </w:rPr>
        <w:t xml:space="preserve">the </w:t>
      </w:r>
      <w:r w:rsidRPr="00A826B6">
        <w:rPr>
          <w:lang w:val="en-GB"/>
        </w:rPr>
        <w:t xml:space="preserve">Special Rapporteur under </w:t>
      </w:r>
      <w:r w:rsidR="004B2C86" w:rsidRPr="00A826B6">
        <w:rPr>
          <w:lang w:val="en-GB"/>
        </w:rPr>
        <w:t>r</w:t>
      </w:r>
      <w:r w:rsidRPr="00A826B6">
        <w:rPr>
          <w:lang w:val="en-GB"/>
        </w:rPr>
        <w:t>ule 97, paragraph 3</w:t>
      </w:r>
      <w:r w:rsidR="004B2C86" w:rsidRPr="00A826B6">
        <w:rPr>
          <w:lang w:val="en-GB"/>
        </w:rPr>
        <w:t>,</w:t>
      </w:r>
      <w:r w:rsidRPr="00A826B6">
        <w:rPr>
          <w:lang w:val="en-GB"/>
        </w:rPr>
        <w:t xml:space="preserve"> of its rules of procedure, decided to examine the admissibility of the communication together with its merits. </w:t>
      </w:r>
    </w:p>
    <w:p w14:paraId="62725760" w14:textId="568C5F07" w:rsidR="004250EA" w:rsidRPr="00A826B6" w:rsidRDefault="004250EA" w:rsidP="00313457">
      <w:pPr>
        <w:pStyle w:val="SingleTxtG"/>
        <w:rPr>
          <w:lang w:val="en-GB"/>
        </w:rPr>
      </w:pPr>
      <w:r w:rsidRPr="00A826B6">
        <w:rPr>
          <w:lang w:val="en-GB"/>
        </w:rPr>
        <w:t>1.4</w:t>
      </w:r>
      <w:r w:rsidRPr="00A826B6">
        <w:rPr>
          <w:lang w:val="en-GB"/>
        </w:rPr>
        <w:tab/>
        <w:t xml:space="preserve">On 19 December 2014, the Committee, acting through </w:t>
      </w:r>
      <w:r w:rsidR="004B2C86" w:rsidRPr="00A826B6">
        <w:rPr>
          <w:lang w:val="en-GB"/>
        </w:rPr>
        <w:t xml:space="preserve">the </w:t>
      </w:r>
      <w:r w:rsidRPr="00A826B6">
        <w:rPr>
          <w:lang w:val="en-GB"/>
        </w:rPr>
        <w:t>Special Rapporteur, decided to deny the State party’s request dated 5 August 2014 to lift the interim measures.</w:t>
      </w:r>
    </w:p>
    <w:p w14:paraId="578EFB61" w14:textId="6226676F" w:rsidR="003134AC" w:rsidRPr="00A826B6" w:rsidRDefault="00D90E42" w:rsidP="00313457">
      <w:pPr>
        <w:pStyle w:val="H23G"/>
      </w:pPr>
      <w:r w:rsidRPr="00A826B6">
        <w:tab/>
      </w:r>
      <w:r w:rsidRPr="00A826B6">
        <w:tab/>
      </w:r>
      <w:r w:rsidR="00883BBF" w:rsidRPr="00A826B6">
        <w:t>The f</w:t>
      </w:r>
      <w:r w:rsidR="00E17C73" w:rsidRPr="00A826B6">
        <w:t xml:space="preserve">acts as </w:t>
      </w:r>
      <w:r w:rsidR="004B2C86" w:rsidRPr="00A826B6">
        <w:t xml:space="preserve">submitted </w:t>
      </w:r>
      <w:r w:rsidR="00E17C73" w:rsidRPr="00A826B6">
        <w:t>by the author</w:t>
      </w:r>
      <w:r w:rsidR="00F77CB0" w:rsidRPr="00A826B6">
        <w:t>s</w:t>
      </w:r>
    </w:p>
    <w:p w14:paraId="234E9B98" w14:textId="22A65B36" w:rsidR="00F77CB0" w:rsidRPr="00A826B6" w:rsidRDefault="003134AC" w:rsidP="00313457">
      <w:pPr>
        <w:pStyle w:val="SingleTxtG"/>
        <w:rPr>
          <w:lang w:val="en-GB"/>
        </w:rPr>
      </w:pPr>
      <w:r w:rsidRPr="00A826B6">
        <w:rPr>
          <w:lang w:val="en-GB"/>
        </w:rPr>
        <w:t>2.1</w:t>
      </w:r>
      <w:r w:rsidRPr="00A826B6">
        <w:rPr>
          <w:lang w:val="en-GB"/>
        </w:rPr>
        <w:tab/>
      </w:r>
      <w:r w:rsidR="00F77CB0" w:rsidRPr="00A826B6">
        <w:rPr>
          <w:lang w:val="en-GB"/>
        </w:rPr>
        <w:t xml:space="preserve">In </w:t>
      </w:r>
      <w:r w:rsidR="004B2C86" w:rsidRPr="00A826B6">
        <w:rPr>
          <w:lang w:val="en-GB"/>
        </w:rPr>
        <w:t xml:space="preserve">the </w:t>
      </w:r>
      <w:r w:rsidR="00F77CB0" w:rsidRPr="00A826B6">
        <w:rPr>
          <w:lang w:val="en-GB"/>
        </w:rPr>
        <w:t xml:space="preserve">1990s, the authors’ family </w:t>
      </w:r>
      <w:r w:rsidR="004B2C86" w:rsidRPr="00A826B6">
        <w:rPr>
          <w:lang w:val="en-GB"/>
        </w:rPr>
        <w:t xml:space="preserve">engaged in </w:t>
      </w:r>
      <w:r w:rsidR="00F77CB0" w:rsidRPr="00A826B6">
        <w:rPr>
          <w:lang w:val="en-GB"/>
        </w:rPr>
        <w:t xml:space="preserve">a land dispute with the Shtjefni family in Albania. In 2008, the authors’ family was </w:t>
      </w:r>
      <w:r w:rsidR="004B2C86" w:rsidRPr="00A826B6">
        <w:rPr>
          <w:lang w:val="en-GB"/>
        </w:rPr>
        <w:t xml:space="preserve">accused of killing a member of the Shtjefni family and </w:t>
      </w:r>
      <w:r w:rsidR="00F77CB0" w:rsidRPr="00A826B6">
        <w:rPr>
          <w:lang w:val="en-GB"/>
        </w:rPr>
        <w:t xml:space="preserve">threatened. Consequently, </w:t>
      </w:r>
      <w:r w:rsidR="008F7E32" w:rsidRPr="00A826B6">
        <w:rPr>
          <w:lang w:val="en-GB"/>
        </w:rPr>
        <w:t>F.P.</w:t>
      </w:r>
      <w:r w:rsidR="00F77CB0" w:rsidRPr="00A826B6">
        <w:rPr>
          <w:lang w:val="en-GB"/>
        </w:rPr>
        <w:t xml:space="preserve"> moved with her two children</w:t>
      </w:r>
      <w:r w:rsidR="004B2C86" w:rsidRPr="00A826B6">
        <w:rPr>
          <w:lang w:val="en-GB"/>
        </w:rPr>
        <w:t>,</w:t>
      </w:r>
      <w:r w:rsidR="00F77CB0" w:rsidRPr="00A826B6">
        <w:rPr>
          <w:lang w:val="en-GB"/>
        </w:rPr>
        <w:t xml:space="preserve"> born in 2002 and 2005</w:t>
      </w:r>
      <w:r w:rsidR="004B2C86" w:rsidRPr="00A826B6">
        <w:rPr>
          <w:lang w:val="en-GB"/>
        </w:rPr>
        <w:t>,</w:t>
      </w:r>
      <w:r w:rsidR="00F77CB0" w:rsidRPr="00A826B6">
        <w:rPr>
          <w:lang w:val="en-GB"/>
        </w:rPr>
        <w:t xml:space="preserve"> to </w:t>
      </w:r>
      <w:r w:rsidR="00F16B5D" w:rsidRPr="00A826B6">
        <w:rPr>
          <w:lang w:val="en-GB"/>
        </w:rPr>
        <w:t xml:space="preserve">the city of </w:t>
      </w:r>
      <w:r w:rsidR="00F77CB0" w:rsidRPr="00A826B6">
        <w:rPr>
          <w:lang w:val="en-GB"/>
        </w:rPr>
        <w:t xml:space="preserve">Skhoder, while </w:t>
      </w:r>
      <w:r w:rsidR="008F7E32" w:rsidRPr="00A826B6">
        <w:rPr>
          <w:lang w:val="en-GB"/>
        </w:rPr>
        <w:t>E.P.</w:t>
      </w:r>
      <w:r w:rsidR="00F77CB0" w:rsidRPr="00A826B6">
        <w:rPr>
          <w:lang w:val="en-GB"/>
        </w:rPr>
        <w:t xml:space="preserve"> </w:t>
      </w:r>
      <w:r w:rsidR="004B2C86" w:rsidRPr="00A826B6">
        <w:rPr>
          <w:lang w:val="en-GB"/>
        </w:rPr>
        <w:t xml:space="preserve">hid </w:t>
      </w:r>
      <w:r w:rsidR="00F77CB0" w:rsidRPr="00A826B6">
        <w:rPr>
          <w:lang w:val="en-GB"/>
        </w:rPr>
        <w:t xml:space="preserve">in different villages. </w:t>
      </w:r>
      <w:r w:rsidR="004B2C86" w:rsidRPr="00A826B6">
        <w:rPr>
          <w:lang w:val="en-GB"/>
        </w:rPr>
        <w:t xml:space="preserve">F.P. </w:t>
      </w:r>
      <w:r w:rsidR="00F77CB0" w:rsidRPr="00A826B6">
        <w:rPr>
          <w:lang w:val="en-GB"/>
        </w:rPr>
        <w:t xml:space="preserve">experienced verbal threats and inquiries by unknown persons and a probable attempt to kidnap her son in Skhoder. Both children had to be accompanied to school and the son was later taken out of school to stay with </w:t>
      </w:r>
      <w:r w:rsidR="004B2C86" w:rsidRPr="00A826B6">
        <w:rPr>
          <w:lang w:val="en-GB"/>
        </w:rPr>
        <w:t>F.P.</w:t>
      </w:r>
      <w:r w:rsidR="00F77CB0" w:rsidRPr="00A826B6">
        <w:rPr>
          <w:lang w:val="en-GB"/>
        </w:rPr>
        <w:t xml:space="preserve"> in order to ensure h</w:t>
      </w:r>
      <w:r w:rsidR="00AF2605" w:rsidRPr="00A826B6">
        <w:rPr>
          <w:lang w:val="en-GB"/>
        </w:rPr>
        <w:t>is better protection. In 2012, the</w:t>
      </w:r>
      <w:r w:rsidR="00F77CB0" w:rsidRPr="00A826B6">
        <w:rPr>
          <w:lang w:val="en-GB"/>
        </w:rPr>
        <w:t xml:space="preserve"> killing of another member of the Shtjefni family in Italy led to additional threats and searches for the authors’ family by the Shtjefni family. Consequentl</w:t>
      </w:r>
      <w:r w:rsidR="00AF2605" w:rsidRPr="00A826B6">
        <w:rPr>
          <w:lang w:val="en-GB"/>
        </w:rPr>
        <w:t xml:space="preserve">y, </w:t>
      </w:r>
      <w:r w:rsidR="004B2C86" w:rsidRPr="00A826B6">
        <w:rPr>
          <w:lang w:val="en-GB"/>
        </w:rPr>
        <w:t>F.P.</w:t>
      </w:r>
      <w:r w:rsidR="00AF2605" w:rsidRPr="00A826B6">
        <w:rPr>
          <w:lang w:val="en-GB"/>
        </w:rPr>
        <w:t xml:space="preserve"> changed</w:t>
      </w:r>
      <w:r w:rsidR="00F77CB0" w:rsidRPr="00A826B6">
        <w:rPr>
          <w:lang w:val="en-GB"/>
        </w:rPr>
        <w:t xml:space="preserve"> location </w:t>
      </w:r>
      <w:r w:rsidR="00AF2605" w:rsidRPr="00A826B6">
        <w:rPr>
          <w:lang w:val="en-GB"/>
        </w:rPr>
        <w:t xml:space="preserve">again and settled in </w:t>
      </w:r>
      <w:r w:rsidR="00F77CB0" w:rsidRPr="00A826B6">
        <w:rPr>
          <w:lang w:val="en-GB"/>
        </w:rPr>
        <w:t>another village, Urae Shtrejt. The authors’ reconciliation attempts with the Shtjefni family through the police and the national reconcilia</w:t>
      </w:r>
      <w:r w:rsidR="00F16B5D" w:rsidRPr="00A826B6">
        <w:rPr>
          <w:lang w:val="en-GB"/>
        </w:rPr>
        <w:t>tion committee were to no avail</w:t>
      </w:r>
      <w:r w:rsidR="00F77CB0" w:rsidRPr="00A826B6">
        <w:rPr>
          <w:lang w:val="en-GB"/>
        </w:rPr>
        <w:t>. Consequently, the authors decided to leave Albania.</w:t>
      </w:r>
    </w:p>
    <w:p w14:paraId="19B3EA84" w14:textId="6E6B1857" w:rsidR="00F77CB0" w:rsidRPr="00A826B6" w:rsidRDefault="005F6121" w:rsidP="00313457">
      <w:pPr>
        <w:pStyle w:val="SingleTxtG"/>
        <w:rPr>
          <w:lang w:val="en-GB"/>
        </w:rPr>
      </w:pPr>
      <w:r w:rsidRPr="00A826B6">
        <w:rPr>
          <w:lang w:val="en-GB"/>
        </w:rPr>
        <w:t>2.2</w:t>
      </w:r>
      <w:r w:rsidR="00AF29E9" w:rsidRPr="00A826B6">
        <w:rPr>
          <w:lang w:val="en-GB"/>
        </w:rPr>
        <w:tab/>
      </w:r>
      <w:r w:rsidR="00F77CB0" w:rsidRPr="00A826B6">
        <w:rPr>
          <w:lang w:val="en-GB"/>
        </w:rPr>
        <w:t xml:space="preserve">On 30 June 2012, the authors and their children arrived </w:t>
      </w:r>
      <w:r w:rsidR="00FE5A28" w:rsidRPr="00A826B6">
        <w:rPr>
          <w:lang w:val="en-GB"/>
        </w:rPr>
        <w:t xml:space="preserve">in </w:t>
      </w:r>
      <w:r w:rsidR="00F77CB0" w:rsidRPr="00A826B6">
        <w:rPr>
          <w:lang w:val="en-GB"/>
        </w:rPr>
        <w:t xml:space="preserve">Denmark. On 3 July 2012, they claimed asylum on the grounds of </w:t>
      </w:r>
      <w:r w:rsidR="00FE5A28" w:rsidRPr="00A826B6">
        <w:rPr>
          <w:lang w:val="en-GB"/>
        </w:rPr>
        <w:t xml:space="preserve">a </w:t>
      </w:r>
      <w:r w:rsidR="00F77CB0" w:rsidRPr="00A826B6">
        <w:rPr>
          <w:lang w:val="en-GB"/>
        </w:rPr>
        <w:t>blood feud in Albania</w:t>
      </w:r>
      <w:r w:rsidR="00FE5A28" w:rsidRPr="00A826B6">
        <w:rPr>
          <w:lang w:val="en-GB"/>
        </w:rPr>
        <w:t xml:space="preserve"> that threatened their lives</w:t>
      </w:r>
      <w:r w:rsidR="00F77CB0" w:rsidRPr="00A826B6">
        <w:rPr>
          <w:lang w:val="en-GB"/>
        </w:rPr>
        <w:t xml:space="preserve">. On 18 July 2012, the Danish </w:t>
      </w:r>
      <w:r w:rsidR="00FE5A28" w:rsidRPr="00A826B6">
        <w:rPr>
          <w:lang w:val="en-GB"/>
        </w:rPr>
        <w:t>i</w:t>
      </w:r>
      <w:r w:rsidR="00F77CB0" w:rsidRPr="00A826B6">
        <w:rPr>
          <w:lang w:val="en-GB"/>
        </w:rPr>
        <w:t xml:space="preserve">mmigration </w:t>
      </w:r>
      <w:r w:rsidR="00FE5A28" w:rsidRPr="00A826B6">
        <w:rPr>
          <w:lang w:val="en-GB"/>
        </w:rPr>
        <w:t>s</w:t>
      </w:r>
      <w:r w:rsidR="00F77CB0" w:rsidRPr="00A826B6">
        <w:rPr>
          <w:lang w:val="en-GB"/>
        </w:rPr>
        <w:t xml:space="preserve">ervice </w:t>
      </w:r>
      <w:r w:rsidR="00D86497" w:rsidRPr="00A826B6">
        <w:rPr>
          <w:lang w:val="en-GB"/>
        </w:rPr>
        <w:t>rejected the</w:t>
      </w:r>
      <w:r w:rsidR="00361487" w:rsidRPr="00A826B6">
        <w:rPr>
          <w:lang w:val="en-GB"/>
        </w:rPr>
        <w:t>ir</w:t>
      </w:r>
      <w:r w:rsidR="00D86497" w:rsidRPr="00A826B6">
        <w:rPr>
          <w:lang w:val="en-GB"/>
        </w:rPr>
        <w:t xml:space="preserve"> application for</w:t>
      </w:r>
      <w:r w:rsidR="00F77CB0" w:rsidRPr="00A826B6">
        <w:rPr>
          <w:lang w:val="en-GB"/>
        </w:rPr>
        <w:t xml:space="preserve"> asylum and ordered the</w:t>
      </w:r>
      <w:r w:rsidR="00D86497" w:rsidRPr="00A826B6">
        <w:rPr>
          <w:lang w:val="en-GB"/>
        </w:rPr>
        <w:t>m</w:t>
      </w:r>
      <w:r w:rsidR="00F77CB0" w:rsidRPr="00A826B6">
        <w:rPr>
          <w:lang w:val="en-GB"/>
        </w:rPr>
        <w:t xml:space="preserve"> to leave Denmark. The </w:t>
      </w:r>
      <w:r w:rsidR="00FE5A28" w:rsidRPr="00A826B6">
        <w:rPr>
          <w:lang w:val="en-GB"/>
        </w:rPr>
        <w:t>i</w:t>
      </w:r>
      <w:r w:rsidR="00D86497" w:rsidRPr="00A826B6">
        <w:rPr>
          <w:lang w:val="en-GB"/>
        </w:rPr>
        <w:t xml:space="preserve">mmigration </w:t>
      </w:r>
      <w:r w:rsidR="00FE5A28" w:rsidRPr="00A826B6">
        <w:rPr>
          <w:lang w:val="en-GB"/>
        </w:rPr>
        <w:t>s</w:t>
      </w:r>
      <w:r w:rsidR="00D86497" w:rsidRPr="00A826B6">
        <w:rPr>
          <w:lang w:val="en-GB"/>
        </w:rPr>
        <w:t>ervice determined that</w:t>
      </w:r>
      <w:r w:rsidR="00361487" w:rsidRPr="00A826B6">
        <w:rPr>
          <w:lang w:val="en-GB"/>
        </w:rPr>
        <w:t xml:space="preserve"> the verbal threats and </w:t>
      </w:r>
      <w:r w:rsidR="00F77CB0" w:rsidRPr="00A826B6">
        <w:rPr>
          <w:lang w:val="en-GB"/>
        </w:rPr>
        <w:t>the conf</w:t>
      </w:r>
      <w:r w:rsidR="00361487" w:rsidRPr="00A826B6">
        <w:rPr>
          <w:lang w:val="en-GB"/>
        </w:rPr>
        <w:t>lict with the Shtjefni family was</w:t>
      </w:r>
      <w:r w:rsidR="00F77CB0" w:rsidRPr="00A826B6">
        <w:rPr>
          <w:lang w:val="en-GB"/>
        </w:rPr>
        <w:t xml:space="preserve"> </w:t>
      </w:r>
      <w:r w:rsidR="00361487" w:rsidRPr="00A826B6">
        <w:rPr>
          <w:lang w:val="en-GB"/>
        </w:rPr>
        <w:t>“</w:t>
      </w:r>
      <w:r w:rsidR="00F77CB0" w:rsidRPr="00A826B6">
        <w:rPr>
          <w:lang w:val="en-GB"/>
        </w:rPr>
        <w:t>not of an intensity and character that it is comparable with asylum</w:t>
      </w:r>
      <w:r w:rsidR="00FE5A28" w:rsidRPr="00A826B6">
        <w:rPr>
          <w:lang w:val="en-GB"/>
        </w:rPr>
        <w:t>-</w:t>
      </w:r>
      <w:r w:rsidR="00F77CB0" w:rsidRPr="00A826B6">
        <w:rPr>
          <w:lang w:val="en-GB"/>
        </w:rPr>
        <w:t xml:space="preserve">relevant persecution under article 7 of the Alien’s Act”. </w:t>
      </w:r>
      <w:r w:rsidR="00D86497" w:rsidRPr="00A826B6">
        <w:rPr>
          <w:lang w:val="en-GB"/>
        </w:rPr>
        <w:t xml:space="preserve">Since the decision was issued </w:t>
      </w:r>
      <w:r w:rsidR="00AF6192" w:rsidRPr="00A826B6">
        <w:rPr>
          <w:lang w:val="en-GB"/>
        </w:rPr>
        <w:t>as</w:t>
      </w:r>
      <w:r w:rsidR="00F77CB0" w:rsidRPr="00A826B6">
        <w:rPr>
          <w:lang w:val="en-GB"/>
        </w:rPr>
        <w:t xml:space="preserve"> “manifestly unfounded” </w:t>
      </w:r>
      <w:r w:rsidR="00AF6192" w:rsidRPr="00A826B6">
        <w:rPr>
          <w:lang w:val="en-GB"/>
        </w:rPr>
        <w:t>under section 53</w:t>
      </w:r>
      <w:r w:rsidR="00FE5A28" w:rsidRPr="00A826B6">
        <w:rPr>
          <w:lang w:val="en-GB"/>
        </w:rPr>
        <w:t> </w:t>
      </w:r>
      <w:r w:rsidR="00AF6192" w:rsidRPr="00A826B6">
        <w:rPr>
          <w:lang w:val="en-GB"/>
        </w:rPr>
        <w:t>(b) (1) of the Aliens Act</w:t>
      </w:r>
      <w:r w:rsidR="00F77CB0" w:rsidRPr="00A826B6">
        <w:rPr>
          <w:lang w:val="en-GB"/>
        </w:rPr>
        <w:t xml:space="preserve">, no appeal </w:t>
      </w:r>
      <w:r w:rsidR="00D86497" w:rsidRPr="00A826B6">
        <w:rPr>
          <w:lang w:val="en-GB"/>
        </w:rPr>
        <w:t>could be filed before</w:t>
      </w:r>
      <w:r w:rsidR="00F77CB0" w:rsidRPr="00A826B6">
        <w:rPr>
          <w:lang w:val="en-GB"/>
        </w:rPr>
        <w:t xml:space="preserve"> the Danish </w:t>
      </w:r>
      <w:r w:rsidR="00FE5A28" w:rsidRPr="00A826B6">
        <w:rPr>
          <w:lang w:val="en-GB"/>
        </w:rPr>
        <w:t>r</w:t>
      </w:r>
      <w:r w:rsidR="00F77CB0" w:rsidRPr="00A826B6">
        <w:rPr>
          <w:lang w:val="en-GB"/>
        </w:rPr>
        <w:t xml:space="preserve">efugee </w:t>
      </w:r>
      <w:r w:rsidR="00FE5A28" w:rsidRPr="00A826B6">
        <w:rPr>
          <w:lang w:val="en-GB"/>
        </w:rPr>
        <w:t>b</w:t>
      </w:r>
      <w:r w:rsidR="00F77CB0" w:rsidRPr="00A826B6">
        <w:rPr>
          <w:lang w:val="en-GB"/>
        </w:rPr>
        <w:t xml:space="preserve">oard. </w:t>
      </w:r>
    </w:p>
    <w:p w14:paraId="26388AB1" w14:textId="752C9CDA" w:rsidR="00B415E4" w:rsidRPr="00A826B6" w:rsidRDefault="005F6121" w:rsidP="00313457">
      <w:pPr>
        <w:pStyle w:val="SingleTxtG"/>
        <w:rPr>
          <w:lang w:val="en-GB"/>
        </w:rPr>
      </w:pPr>
      <w:r w:rsidRPr="00A826B6">
        <w:rPr>
          <w:lang w:val="en-GB"/>
        </w:rPr>
        <w:t>2.3</w:t>
      </w:r>
      <w:r w:rsidR="00AF29E9" w:rsidRPr="00A826B6">
        <w:rPr>
          <w:lang w:val="en-GB"/>
        </w:rPr>
        <w:tab/>
      </w:r>
      <w:r w:rsidR="00F77CB0" w:rsidRPr="00A826B6">
        <w:rPr>
          <w:lang w:val="en-GB"/>
        </w:rPr>
        <w:t>On an unspecified date, the authors applied</w:t>
      </w:r>
      <w:r w:rsidR="001B1B55" w:rsidRPr="00A826B6">
        <w:rPr>
          <w:lang w:val="en-GB"/>
        </w:rPr>
        <w:t xml:space="preserve"> before the Ministry of Justice</w:t>
      </w:r>
      <w:r w:rsidR="00F77CB0" w:rsidRPr="00A826B6">
        <w:rPr>
          <w:lang w:val="en-GB"/>
        </w:rPr>
        <w:t xml:space="preserve"> for a residence permit on humanitarian grounds</w:t>
      </w:r>
      <w:r w:rsidR="001B1B55" w:rsidRPr="00A826B6">
        <w:rPr>
          <w:lang w:val="en-GB"/>
        </w:rPr>
        <w:t xml:space="preserve">, </w:t>
      </w:r>
      <w:r w:rsidR="00C12A55" w:rsidRPr="00A826B6">
        <w:rPr>
          <w:lang w:val="en-GB"/>
        </w:rPr>
        <w:t xml:space="preserve">according to </w:t>
      </w:r>
      <w:r w:rsidR="001B1B55" w:rsidRPr="00A826B6">
        <w:rPr>
          <w:lang w:val="en-GB"/>
        </w:rPr>
        <w:t>section 9</w:t>
      </w:r>
      <w:r w:rsidR="00C12A55" w:rsidRPr="00A826B6">
        <w:rPr>
          <w:lang w:val="en-GB"/>
        </w:rPr>
        <w:t> </w:t>
      </w:r>
      <w:r w:rsidR="001B1B55" w:rsidRPr="00A826B6">
        <w:rPr>
          <w:lang w:val="en-GB"/>
        </w:rPr>
        <w:t>(b)</w:t>
      </w:r>
      <w:r w:rsidR="00C12A55" w:rsidRPr="00A826B6">
        <w:rPr>
          <w:lang w:val="en-GB"/>
        </w:rPr>
        <w:t> </w:t>
      </w:r>
      <w:r w:rsidR="001B1B55" w:rsidRPr="00A826B6">
        <w:rPr>
          <w:lang w:val="en-GB"/>
        </w:rPr>
        <w:t>(1) of the Aliens Act</w:t>
      </w:r>
      <w:r w:rsidR="00F77CB0" w:rsidRPr="00A826B6">
        <w:rPr>
          <w:lang w:val="en-GB"/>
        </w:rPr>
        <w:t xml:space="preserve">. On 7 June 2013, the Ministry rejected the application and ordered the authors and their children to leave Denmark on 22 June 2013. </w:t>
      </w:r>
    </w:p>
    <w:p w14:paraId="622D7FBE" w14:textId="50DD56FB" w:rsidR="00361487" w:rsidRPr="00A826B6" w:rsidRDefault="00B415E4" w:rsidP="00980DDD">
      <w:pPr>
        <w:pStyle w:val="SingleTxtG"/>
        <w:rPr>
          <w:lang w:val="en-GB"/>
        </w:rPr>
      </w:pPr>
      <w:r w:rsidRPr="00A826B6">
        <w:rPr>
          <w:lang w:val="en-GB"/>
        </w:rPr>
        <w:t>2.4</w:t>
      </w:r>
      <w:r w:rsidRPr="00A826B6">
        <w:rPr>
          <w:lang w:val="en-GB"/>
        </w:rPr>
        <w:tab/>
      </w:r>
      <w:r w:rsidR="00F77CB0" w:rsidRPr="00A826B6">
        <w:rPr>
          <w:lang w:val="en-GB"/>
        </w:rPr>
        <w:t xml:space="preserve">On 21 June 2013, the authors’ counsel </w:t>
      </w:r>
      <w:r w:rsidRPr="00A826B6">
        <w:rPr>
          <w:lang w:val="en-GB"/>
        </w:rPr>
        <w:t>filed an action</w:t>
      </w:r>
      <w:r w:rsidR="00F77CB0" w:rsidRPr="00A826B6">
        <w:rPr>
          <w:lang w:val="en-GB"/>
        </w:rPr>
        <w:t xml:space="preserve"> </w:t>
      </w:r>
      <w:r w:rsidR="00313457" w:rsidRPr="00A826B6">
        <w:rPr>
          <w:lang w:val="en-GB"/>
        </w:rPr>
        <w:t xml:space="preserve">before the District Court of Copenhagen </w:t>
      </w:r>
      <w:r w:rsidR="00F77CB0" w:rsidRPr="00A826B6">
        <w:rPr>
          <w:lang w:val="en-GB"/>
        </w:rPr>
        <w:t xml:space="preserve">against the decision of the </w:t>
      </w:r>
      <w:r w:rsidR="00FE5A28" w:rsidRPr="00A826B6">
        <w:rPr>
          <w:lang w:val="en-GB"/>
        </w:rPr>
        <w:t>i</w:t>
      </w:r>
      <w:r w:rsidR="00F77CB0" w:rsidRPr="00A826B6">
        <w:rPr>
          <w:lang w:val="en-GB"/>
        </w:rPr>
        <w:t xml:space="preserve">mmigration </w:t>
      </w:r>
      <w:r w:rsidR="00FE5A28" w:rsidRPr="00A826B6">
        <w:rPr>
          <w:lang w:val="en-GB"/>
        </w:rPr>
        <w:t>s</w:t>
      </w:r>
      <w:r w:rsidR="00F77CB0" w:rsidRPr="00A826B6">
        <w:rPr>
          <w:lang w:val="en-GB"/>
        </w:rPr>
        <w:t>ervice</w:t>
      </w:r>
      <w:r w:rsidR="00D520E0" w:rsidRPr="00A826B6">
        <w:rPr>
          <w:lang w:val="en-GB"/>
        </w:rPr>
        <w:t xml:space="preserve"> </w:t>
      </w:r>
      <w:r w:rsidR="00313457" w:rsidRPr="00A826B6">
        <w:rPr>
          <w:lang w:val="en-GB"/>
        </w:rPr>
        <w:t>to reject the asylum claim.</w:t>
      </w:r>
      <w:r w:rsidR="00D520E0" w:rsidRPr="00A826B6">
        <w:rPr>
          <w:lang w:val="en-GB"/>
        </w:rPr>
        <w:t xml:space="preserve"> </w:t>
      </w:r>
      <w:r w:rsidR="00F77CB0" w:rsidRPr="00A826B6">
        <w:rPr>
          <w:lang w:val="en-GB"/>
        </w:rPr>
        <w:t xml:space="preserve"> </w:t>
      </w:r>
      <w:r w:rsidR="00313457" w:rsidRPr="00A826B6">
        <w:rPr>
          <w:lang w:val="en-GB"/>
        </w:rPr>
        <w:t xml:space="preserve">The action, to </w:t>
      </w:r>
      <w:r w:rsidRPr="00A826B6">
        <w:rPr>
          <w:lang w:val="en-GB"/>
        </w:rPr>
        <w:t>claim</w:t>
      </w:r>
      <w:r w:rsidR="00F77CB0" w:rsidRPr="00A826B6">
        <w:rPr>
          <w:lang w:val="en-GB"/>
        </w:rPr>
        <w:t xml:space="preserve"> asylum in Denmark and suspend</w:t>
      </w:r>
      <w:r w:rsidR="00994835" w:rsidRPr="00A826B6">
        <w:rPr>
          <w:lang w:val="en-GB"/>
        </w:rPr>
        <w:t xml:space="preserve"> </w:t>
      </w:r>
      <w:r w:rsidR="00313457" w:rsidRPr="00A826B6">
        <w:rPr>
          <w:lang w:val="en-GB"/>
        </w:rPr>
        <w:t xml:space="preserve">the authors’ </w:t>
      </w:r>
      <w:r w:rsidR="00F77CB0" w:rsidRPr="00A826B6">
        <w:rPr>
          <w:lang w:val="en-GB"/>
        </w:rPr>
        <w:t xml:space="preserve">expulsion </w:t>
      </w:r>
      <w:r w:rsidR="00994835" w:rsidRPr="00A826B6">
        <w:rPr>
          <w:lang w:val="en-GB"/>
        </w:rPr>
        <w:t>to Albania</w:t>
      </w:r>
      <w:r w:rsidR="00F77CB0" w:rsidRPr="00A826B6">
        <w:rPr>
          <w:lang w:val="en-GB"/>
        </w:rPr>
        <w:t xml:space="preserve"> in the meantime</w:t>
      </w:r>
      <w:r w:rsidR="00313457" w:rsidRPr="00A826B6">
        <w:rPr>
          <w:lang w:val="en-GB"/>
        </w:rPr>
        <w:t>,</w:t>
      </w:r>
      <w:r w:rsidR="00F77CB0" w:rsidRPr="00A826B6">
        <w:rPr>
          <w:lang w:val="en-GB"/>
        </w:rPr>
        <w:t xml:space="preserve"> </w:t>
      </w:r>
      <w:r w:rsidR="00313457" w:rsidRPr="00A826B6">
        <w:rPr>
          <w:lang w:val="en-GB"/>
        </w:rPr>
        <w:t>was rejected by the Court o</w:t>
      </w:r>
      <w:r w:rsidR="00F77CB0" w:rsidRPr="00A826B6">
        <w:rPr>
          <w:lang w:val="en-GB"/>
        </w:rPr>
        <w:t>n 18 September 2013, on the grounds that</w:t>
      </w:r>
      <w:r w:rsidR="00EA61C5" w:rsidRPr="00A826B6">
        <w:rPr>
          <w:lang w:val="en-GB"/>
        </w:rPr>
        <w:t xml:space="preserve"> the</w:t>
      </w:r>
      <w:r w:rsidR="00F77CB0" w:rsidRPr="00A826B6">
        <w:rPr>
          <w:lang w:val="en-GB"/>
        </w:rPr>
        <w:t xml:space="preserve"> authors’ </w:t>
      </w:r>
      <w:r w:rsidR="00313457" w:rsidRPr="00A826B6">
        <w:rPr>
          <w:lang w:val="en-GB"/>
        </w:rPr>
        <w:t xml:space="preserve">interest in </w:t>
      </w:r>
      <w:r w:rsidR="00F77CB0" w:rsidRPr="00A826B6">
        <w:rPr>
          <w:lang w:val="en-GB"/>
        </w:rPr>
        <w:t xml:space="preserve">staying in the country during the </w:t>
      </w:r>
      <w:r w:rsidR="00361487" w:rsidRPr="00A826B6">
        <w:rPr>
          <w:lang w:val="en-GB"/>
        </w:rPr>
        <w:t xml:space="preserve">judicial </w:t>
      </w:r>
      <w:r w:rsidR="00F77CB0" w:rsidRPr="00A826B6">
        <w:rPr>
          <w:lang w:val="en-GB"/>
        </w:rPr>
        <w:t>proceedings d</w:t>
      </w:r>
      <w:r w:rsidR="00EA61C5" w:rsidRPr="00A826B6">
        <w:rPr>
          <w:lang w:val="en-GB"/>
        </w:rPr>
        <w:t>id not outweigh</w:t>
      </w:r>
      <w:r w:rsidR="00F77CB0" w:rsidRPr="00A826B6">
        <w:rPr>
          <w:lang w:val="en-GB"/>
        </w:rPr>
        <w:t xml:space="preserve"> the </w:t>
      </w:r>
      <w:r w:rsidR="00FE5A28" w:rsidRPr="00A826B6">
        <w:rPr>
          <w:lang w:val="en-GB"/>
        </w:rPr>
        <w:t>i</w:t>
      </w:r>
      <w:r w:rsidR="00F77CB0" w:rsidRPr="00A826B6">
        <w:rPr>
          <w:lang w:val="en-GB"/>
        </w:rPr>
        <w:t xml:space="preserve">mmigration </w:t>
      </w:r>
      <w:r w:rsidR="00FE5A28" w:rsidRPr="00A826B6">
        <w:rPr>
          <w:lang w:val="en-GB"/>
        </w:rPr>
        <w:t>s</w:t>
      </w:r>
      <w:r w:rsidR="00F77CB0" w:rsidRPr="00A826B6">
        <w:rPr>
          <w:lang w:val="en-GB"/>
        </w:rPr>
        <w:t>ervice’s interest in enforcing immigration legislation</w:t>
      </w:r>
      <w:r w:rsidR="00361487" w:rsidRPr="00A826B6">
        <w:rPr>
          <w:lang w:val="en-GB"/>
        </w:rPr>
        <w:t xml:space="preserve">. The Court further established </w:t>
      </w:r>
      <w:r w:rsidR="00F77CB0" w:rsidRPr="00A826B6">
        <w:rPr>
          <w:lang w:val="en-GB"/>
        </w:rPr>
        <w:t>tha</w:t>
      </w:r>
      <w:r w:rsidR="00361487" w:rsidRPr="00A826B6">
        <w:rPr>
          <w:lang w:val="en-GB"/>
        </w:rPr>
        <w:t>t the information available did</w:t>
      </w:r>
      <w:r w:rsidR="00F77CB0" w:rsidRPr="00A826B6">
        <w:rPr>
          <w:lang w:val="en-GB"/>
        </w:rPr>
        <w:t xml:space="preserve"> not disclose</w:t>
      </w:r>
      <w:r w:rsidR="00EA61C5" w:rsidRPr="00A826B6">
        <w:rPr>
          <w:lang w:val="en-GB"/>
        </w:rPr>
        <w:t xml:space="preserve"> a risk of</w:t>
      </w:r>
      <w:r w:rsidR="00F77CB0" w:rsidRPr="00A826B6">
        <w:rPr>
          <w:lang w:val="en-GB"/>
        </w:rPr>
        <w:t xml:space="preserve"> persecution</w:t>
      </w:r>
      <w:r w:rsidR="00EA61C5" w:rsidRPr="00A826B6">
        <w:rPr>
          <w:lang w:val="en-GB"/>
        </w:rPr>
        <w:t xml:space="preserve"> for the authors</w:t>
      </w:r>
      <w:r w:rsidR="00F77CB0" w:rsidRPr="00A826B6">
        <w:rPr>
          <w:lang w:val="en-GB"/>
        </w:rPr>
        <w:t xml:space="preserve"> in their home country </w:t>
      </w:r>
      <w:r w:rsidR="00361487" w:rsidRPr="00A826B6">
        <w:rPr>
          <w:lang w:val="en-GB"/>
        </w:rPr>
        <w:t>such as to</w:t>
      </w:r>
      <w:r w:rsidR="00F77CB0" w:rsidRPr="00A826B6">
        <w:rPr>
          <w:lang w:val="en-GB"/>
        </w:rPr>
        <w:t xml:space="preserve"> justify </w:t>
      </w:r>
      <w:r w:rsidR="00313457" w:rsidRPr="00A826B6">
        <w:rPr>
          <w:lang w:val="en-GB"/>
        </w:rPr>
        <w:t xml:space="preserve">suspending </w:t>
      </w:r>
      <w:r w:rsidR="00F77CB0" w:rsidRPr="00A826B6">
        <w:rPr>
          <w:lang w:val="en-GB"/>
        </w:rPr>
        <w:t xml:space="preserve">the court proceedings. </w:t>
      </w:r>
    </w:p>
    <w:p w14:paraId="068A74E4" w14:textId="0DA076E1" w:rsidR="00F77CB0" w:rsidRPr="00A826B6" w:rsidRDefault="00361487" w:rsidP="0079182D">
      <w:pPr>
        <w:pStyle w:val="SingleTxtG"/>
        <w:rPr>
          <w:lang w:val="en-GB"/>
        </w:rPr>
      </w:pPr>
      <w:r w:rsidRPr="00A826B6">
        <w:rPr>
          <w:lang w:val="en-GB"/>
        </w:rPr>
        <w:t>2.5</w:t>
      </w:r>
      <w:r w:rsidRPr="00A826B6">
        <w:rPr>
          <w:lang w:val="en-GB"/>
        </w:rPr>
        <w:tab/>
      </w:r>
      <w:r w:rsidR="00F77CB0" w:rsidRPr="00A826B6">
        <w:rPr>
          <w:lang w:val="en-GB"/>
        </w:rPr>
        <w:t xml:space="preserve">On an unspecified date, the authors’ counsel appealed against the decision of the District Court of Copenhagen </w:t>
      </w:r>
      <w:r w:rsidR="00EA61C5" w:rsidRPr="00A826B6">
        <w:rPr>
          <w:lang w:val="en-GB"/>
        </w:rPr>
        <w:t>before</w:t>
      </w:r>
      <w:r w:rsidR="00F77CB0" w:rsidRPr="00A826B6">
        <w:rPr>
          <w:lang w:val="en-GB"/>
        </w:rPr>
        <w:t xml:space="preserve"> the High Court</w:t>
      </w:r>
      <w:r w:rsidR="00F94D72" w:rsidRPr="00A826B6">
        <w:rPr>
          <w:lang w:val="en-GB"/>
        </w:rPr>
        <w:t xml:space="preserve"> of Eastern Denmark</w:t>
      </w:r>
      <w:r w:rsidR="00F77CB0" w:rsidRPr="00A826B6">
        <w:rPr>
          <w:lang w:val="en-GB"/>
        </w:rPr>
        <w:t>. On 15 November 2013, the High Court</w:t>
      </w:r>
      <w:r w:rsidR="008A61AB" w:rsidRPr="00A826B6">
        <w:rPr>
          <w:lang w:val="en-GB"/>
        </w:rPr>
        <w:t xml:space="preserve"> of Eastern Denmark</w:t>
      </w:r>
      <w:r w:rsidR="00F77CB0" w:rsidRPr="00A826B6">
        <w:rPr>
          <w:lang w:val="en-GB"/>
        </w:rPr>
        <w:t xml:space="preserve"> upheld the decision of the District Court of Copenhagen. On an unspeci</w:t>
      </w:r>
      <w:r w:rsidRPr="00A826B6">
        <w:rPr>
          <w:lang w:val="en-GB"/>
        </w:rPr>
        <w:t xml:space="preserve">fied date, the authors </w:t>
      </w:r>
      <w:r w:rsidR="00F77CB0" w:rsidRPr="00A826B6">
        <w:rPr>
          <w:lang w:val="en-GB"/>
        </w:rPr>
        <w:t>applied</w:t>
      </w:r>
      <w:r w:rsidR="00EA61C5" w:rsidRPr="00A826B6">
        <w:rPr>
          <w:lang w:val="en-GB"/>
        </w:rPr>
        <w:t xml:space="preserve"> </w:t>
      </w:r>
      <w:r w:rsidR="00F77CB0" w:rsidRPr="00A826B6">
        <w:rPr>
          <w:lang w:val="en-GB"/>
        </w:rPr>
        <w:t xml:space="preserve">for </w:t>
      </w:r>
      <w:r w:rsidR="00EA61C5" w:rsidRPr="00A826B6">
        <w:rPr>
          <w:lang w:val="en-GB"/>
        </w:rPr>
        <w:t>permission</w:t>
      </w:r>
      <w:r w:rsidR="00F77CB0" w:rsidRPr="00A826B6">
        <w:rPr>
          <w:lang w:val="en-GB"/>
        </w:rPr>
        <w:t xml:space="preserve"> to appeal against the decision of the High Court</w:t>
      </w:r>
      <w:r w:rsidR="008A61AB" w:rsidRPr="00A826B6">
        <w:rPr>
          <w:lang w:val="en-GB"/>
        </w:rPr>
        <w:t xml:space="preserve"> of Eastern Denmark</w:t>
      </w:r>
      <w:r w:rsidR="00F77CB0" w:rsidRPr="00A826B6">
        <w:rPr>
          <w:lang w:val="en-GB"/>
        </w:rPr>
        <w:t xml:space="preserve"> to the Supreme Court. On 20 December 2013, the </w:t>
      </w:r>
      <w:r w:rsidR="00D05077" w:rsidRPr="00A826B6">
        <w:rPr>
          <w:lang w:val="en-GB"/>
        </w:rPr>
        <w:t>a</w:t>
      </w:r>
      <w:r w:rsidR="00BB6923" w:rsidRPr="00A826B6">
        <w:rPr>
          <w:lang w:val="en-GB"/>
        </w:rPr>
        <w:t>ppeals permission</w:t>
      </w:r>
      <w:r w:rsidR="00F77CB0" w:rsidRPr="00A826B6">
        <w:rPr>
          <w:lang w:val="en-GB"/>
        </w:rPr>
        <w:t xml:space="preserve"> </w:t>
      </w:r>
      <w:r w:rsidR="00D05077" w:rsidRPr="00A826B6">
        <w:rPr>
          <w:lang w:val="en-GB"/>
        </w:rPr>
        <w:t>b</w:t>
      </w:r>
      <w:r w:rsidR="00F77CB0" w:rsidRPr="00A826B6">
        <w:rPr>
          <w:lang w:val="en-GB"/>
        </w:rPr>
        <w:t xml:space="preserve">oard denied </w:t>
      </w:r>
      <w:r w:rsidRPr="00A826B6">
        <w:rPr>
          <w:lang w:val="en-GB"/>
        </w:rPr>
        <w:t xml:space="preserve">leave to </w:t>
      </w:r>
      <w:r w:rsidR="00F77CB0" w:rsidRPr="00A826B6">
        <w:rPr>
          <w:lang w:val="en-GB"/>
        </w:rPr>
        <w:t>appeal to the Supreme Court</w:t>
      </w:r>
      <w:r w:rsidR="00EA61C5" w:rsidRPr="00A826B6">
        <w:rPr>
          <w:lang w:val="en-GB"/>
        </w:rPr>
        <w:t>,</w:t>
      </w:r>
      <w:r w:rsidR="00F77CB0" w:rsidRPr="00A826B6">
        <w:rPr>
          <w:lang w:val="en-GB"/>
        </w:rPr>
        <w:t xml:space="preserve"> on </w:t>
      </w:r>
      <w:r w:rsidR="003B3D48" w:rsidRPr="00A826B6">
        <w:rPr>
          <w:lang w:val="en-GB"/>
        </w:rPr>
        <w:t>the ground</w:t>
      </w:r>
      <w:r w:rsidR="00D05077" w:rsidRPr="00A826B6">
        <w:rPr>
          <w:lang w:val="en-GB"/>
        </w:rPr>
        <w:t>s</w:t>
      </w:r>
      <w:r w:rsidR="00D5188E" w:rsidRPr="00A826B6">
        <w:rPr>
          <w:lang w:val="en-GB"/>
        </w:rPr>
        <w:t xml:space="preserve"> that the appeal did</w:t>
      </w:r>
      <w:r w:rsidR="00F77CB0" w:rsidRPr="00A826B6">
        <w:rPr>
          <w:lang w:val="en-GB"/>
        </w:rPr>
        <w:t xml:space="preserve"> not involve any matter of principle.</w:t>
      </w:r>
    </w:p>
    <w:p w14:paraId="08B312A4" w14:textId="77777777" w:rsidR="00F77CB0" w:rsidRPr="00A826B6" w:rsidRDefault="00361487" w:rsidP="005F6121">
      <w:pPr>
        <w:pStyle w:val="SingleTxtG"/>
        <w:rPr>
          <w:lang w:val="en-GB"/>
        </w:rPr>
      </w:pPr>
      <w:r w:rsidRPr="00A826B6">
        <w:rPr>
          <w:lang w:val="en-GB"/>
        </w:rPr>
        <w:t>2.6</w:t>
      </w:r>
      <w:r w:rsidR="00AF29E9" w:rsidRPr="00A826B6">
        <w:rPr>
          <w:lang w:val="en-GB"/>
        </w:rPr>
        <w:tab/>
      </w:r>
      <w:r w:rsidR="00F77CB0" w:rsidRPr="00A826B6">
        <w:rPr>
          <w:lang w:val="en-GB"/>
        </w:rPr>
        <w:t xml:space="preserve">The authors submit that they have exhausted all available and effective domestic remedies. </w:t>
      </w:r>
    </w:p>
    <w:p w14:paraId="58DEDFD0" w14:textId="77777777" w:rsidR="00F77CB0" w:rsidRPr="00A826B6" w:rsidRDefault="005F6121" w:rsidP="005F6121">
      <w:pPr>
        <w:pStyle w:val="H23G"/>
      </w:pPr>
      <w:r w:rsidRPr="00A826B6">
        <w:lastRenderedPageBreak/>
        <w:tab/>
      </w:r>
      <w:r w:rsidRPr="00A826B6">
        <w:tab/>
      </w:r>
      <w:r w:rsidR="00F77CB0" w:rsidRPr="00A826B6">
        <w:t>The complaint</w:t>
      </w:r>
    </w:p>
    <w:p w14:paraId="793D1E47" w14:textId="23D5A40E" w:rsidR="00F77CB0" w:rsidRPr="00A826B6" w:rsidRDefault="005F6121" w:rsidP="005F6121">
      <w:pPr>
        <w:pStyle w:val="SingleTxtG"/>
        <w:rPr>
          <w:lang w:val="en-GB"/>
        </w:rPr>
      </w:pPr>
      <w:r w:rsidRPr="00A826B6">
        <w:rPr>
          <w:lang w:val="en-GB"/>
        </w:rPr>
        <w:t>3.1</w:t>
      </w:r>
      <w:r w:rsidRPr="00A826B6">
        <w:rPr>
          <w:lang w:val="en-GB"/>
        </w:rPr>
        <w:tab/>
      </w:r>
      <w:r w:rsidR="00F77CB0" w:rsidRPr="00A826B6">
        <w:rPr>
          <w:lang w:val="en-GB"/>
        </w:rPr>
        <w:t xml:space="preserve">The authors claim that, if returned to Albania, the threat of blood feud will put their lives at risk amounting to a violation of article 6 of the Covenant. </w:t>
      </w:r>
    </w:p>
    <w:p w14:paraId="38BF8354" w14:textId="5AD17221" w:rsidR="00F77CB0" w:rsidRPr="00A826B6" w:rsidRDefault="005F6121" w:rsidP="00221877">
      <w:pPr>
        <w:pStyle w:val="SingleTxtG"/>
        <w:rPr>
          <w:lang w:val="en-GB"/>
        </w:rPr>
      </w:pPr>
      <w:r w:rsidRPr="00A826B6">
        <w:rPr>
          <w:lang w:val="en-GB"/>
        </w:rPr>
        <w:t>3.2</w:t>
      </w:r>
      <w:r w:rsidRPr="00A826B6">
        <w:rPr>
          <w:lang w:val="en-GB"/>
        </w:rPr>
        <w:tab/>
      </w:r>
      <w:r w:rsidR="00F77CB0" w:rsidRPr="00A826B6">
        <w:rPr>
          <w:lang w:val="en-GB"/>
        </w:rPr>
        <w:t xml:space="preserve">The authors </w:t>
      </w:r>
      <w:r w:rsidR="00D05077" w:rsidRPr="00A826B6">
        <w:rPr>
          <w:lang w:val="en-GB"/>
        </w:rPr>
        <w:t xml:space="preserve">also </w:t>
      </w:r>
      <w:r w:rsidR="00F77CB0" w:rsidRPr="00A826B6">
        <w:rPr>
          <w:lang w:val="en-GB"/>
        </w:rPr>
        <w:t>claim that the rejection of their asylum application as “manifestly unfounded”</w:t>
      </w:r>
      <w:r w:rsidR="00D05077" w:rsidRPr="00A826B6">
        <w:rPr>
          <w:lang w:val="en-GB"/>
        </w:rPr>
        <w:t>,</w:t>
      </w:r>
      <w:r w:rsidR="00F77CB0" w:rsidRPr="00A826B6">
        <w:rPr>
          <w:lang w:val="en-GB"/>
        </w:rPr>
        <w:t xml:space="preserve"> without a proper investigation </w:t>
      </w:r>
      <w:r w:rsidR="00221877" w:rsidRPr="00A826B6">
        <w:rPr>
          <w:lang w:val="en-GB"/>
        </w:rPr>
        <w:t xml:space="preserve">or </w:t>
      </w:r>
      <w:r w:rsidR="00F77CB0" w:rsidRPr="00A826B6">
        <w:rPr>
          <w:lang w:val="en-GB"/>
        </w:rPr>
        <w:t xml:space="preserve">a possibility of an effective appeal to the </w:t>
      </w:r>
      <w:r w:rsidR="00C12A55" w:rsidRPr="00A826B6">
        <w:rPr>
          <w:lang w:val="en-GB"/>
        </w:rPr>
        <w:t>r</w:t>
      </w:r>
      <w:r w:rsidR="00F77CB0" w:rsidRPr="00A826B6">
        <w:rPr>
          <w:lang w:val="en-GB"/>
        </w:rPr>
        <w:t xml:space="preserve">efugee </w:t>
      </w:r>
      <w:r w:rsidR="00C12A55" w:rsidRPr="00A826B6">
        <w:rPr>
          <w:lang w:val="en-GB"/>
        </w:rPr>
        <w:t>b</w:t>
      </w:r>
      <w:r w:rsidR="00F77CB0" w:rsidRPr="00A826B6">
        <w:rPr>
          <w:lang w:val="en-GB"/>
        </w:rPr>
        <w:t>oard or the courts</w:t>
      </w:r>
      <w:r w:rsidR="00221877" w:rsidRPr="00A826B6">
        <w:rPr>
          <w:lang w:val="en-GB"/>
        </w:rPr>
        <w:t>;</w:t>
      </w:r>
      <w:r w:rsidR="00F77CB0" w:rsidRPr="00A826B6">
        <w:rPr>
          <w:lang w:val="en-GB"/>
        </w:rPr>
        <w:t xml:space="preserve"> </w:t>
      </w:r>
      <w:r w:rsidR="00D455BF" w:rsidRPr="00A826B6">
        <w:rPr>
          <w:lang w:val="en-GB"/>
        </w:rPr>
        <w:t xml:space="preserve">the </w:t>
      </w:r>
      <w:r w:rsidR="00F77CB0" w:rsidRPr="00A826B6">
        <w:rPr>
          <w:lang w:val="en-GB"/>
        </w:rPr>
        <w:t xml:space="preserve">failure to </w:t>
      </w:r>
      <w:r w:rsidR="00D455BF" w:rsidRPr="00A826B6">
        <w:rPr>
          <w:lang w:val="en-GB"/>
        </w:rPr>
        <w:t xml:space="preserve">be </w:t>
      </w:r>
      <w:r w:rsidR="00F77CB0" w:rsidRPr="00A826B6">
        <w:rPr>
          <w:lang w:val="en-GB"/>
        </w:rPr>
        <w:t>provide</w:t>
      </w:r>
      <w:r w:rsidR="00D455BF" w:rsidRPr="00A826B6">
        <w:rPr>
          <w:lang w:val="en-GB"/>
        </w:rPr>
        <w:t>d</w:t>
      </w:r>
      <w:r w:rsidR="00F77CB0" w:rsidRPr="00A826B6">
        <w:rPr>
          <w:lang w:val="en-GB"/>
        </w:rPr>
        <w:t xml:space="preserve"> with a lawyer</w:t>
      </w:r>
      <w:r w:rsidR="00221877" w:rsidRPr="00A826B6">
        <w:rPr>
          <w:lang w:val="en-GB"/>
        </w:rPr>
        <w:t>;</w:t>
      </w:r>
      <w:r w:rsidR="00F77CB0" w:rsidRPr="00A826B6">
        <w:rPr>
          <w:lang w:val="en-GB"/>
        </w:rPr>
        <w:t xml:space="preserve"> </w:t>
      </w:r>
      <w:r w:rsidR="00D455BF" w:rsidRPr="00A826B6">
        <w:rPr>
          <w:lang w:val="en-GB"/>
        </w:rPr>
        <w:t xml:space="preserve">and the </w:t>
      </w:r>
      <w:r w:rsidR="00F77CB0" w:rsidRPr="00A826B6">
        <w:rPr>
          <w:lang w:val="en-GB"/>
        </w:rPr>
        <w:t xml:space="preserve">denial </w:t>
      </w:r>
      <w:r w:rsidR="00D455BF" w:rsidRPr="00A826B6">
        <w:rPr>
          <w:lang w:val="en-GB"/>
        </w:rPr>
        <w:t xml:space="preserve">to suspend </w:t>
      </w:r>
      <w:r w:rsidR="00F77CB0" w:rsidRPr="00A826B6">
        <w:rPr>
          <w:lang w:val="en-GB"/>
        </w:rPr>
        <w:t xml:space="preserve">the </w:t>
      </w:r>
      <w:r w:rsidR="00D455BF" w:rsidRPr="00A826B6">
        <w:rPr>
          <w:lang w:val="en-GB"/>
        </w:rPr>
        <w:t xml:space="preserve">decision of the </w:t>
      </w:r>
      <w:r w:rsidR="00FE5A28" w:rsidRPr="00A826B6">
        <w:rPr>
          <w:lang w:val="en-GB"/>
        </w:rPr>
        <w:t>i</w:t>
      </w:r>
      <w:r w:rsidR="00F77CB0" w:rsidRPr="00A826B6">
        <w:rPr>
          <w:lang w:val="en-GB"/>
        </w:rPr>
        <w:t xml:space="preserve">mmigration </w:t>
      </w:r>
      <w:r w:rsidR="00FE5A28" w:rsidRPr="00A826B6">
        <w:rPr>
          <w:lang w:val="en-GB"/>
        </w:rPr>
        <w:t>s</w:t>
      </w:r>
      <w:r w:rsidR="00F77CB0" w:rsidRPr="00A826B6">
        <w:rPr>
          <w:lang w:val="en-GB"/>
        </w:rPr>
        <w:t xml:space="preserve">ervice </w:t>
      </w:r>
      <w:r w:rsidR="00D455BF" w:rsidRPr="00A826B6">
        <w:rPr>
          <w:lang w:val="en-GB"/>
        </w:rPr>
        <w:t xml:space="preserve">that prevented </w:t>
      </w:r>
      <w:r w:rsidR="00F77CB0" w:rsidRPr="00A826B6">
        <w:rPr>
          <w:lang w:val="en-GB"/>
        </w:rPr>
        <w:t xml:space="preserve">them </w:t>
      </w:r>
      <w:r w:rsidR="00D455BF" w:rsidRPr="00A826B6">
        <w:rPr>
          <w:lang w:val="en-GB"/>
        </w:rPr>
        <w:t xml:space="preserve">from </w:t>
      </w:r>
      <w:r w:rsidR="00F77CB0" w:rsidRPr="00A826B6">
        <w:rPr>
          <w:lang w:val="en-GB"/>
        </w:rPr>
        <w:t>defend</w:t>
      </w:r>
      <w:r w:rsidR="00D455BF" w:rsidRPr="00A826B6">
        <w:rPr>
          <w:lang w:val="en-GB"/>
        </w:rPr>
        <w:t>ing</w:t>
      </w:r>
      <w:r w:rsidR="00F77CB0" w:rsidRPr="00A826B6">
        <w:rPr>
          <w:lang w:val="en-GB"/>
        </w:rPr>
        <w:t xml:space="preserve"> themselves before the court, constitute a violation of their rights under article 14 of the Covenant.</w:t>
      </w:r>
    </w:p>
    <w:p w14:paraId="261DF8F8" w14:textId="678B598A" w:rsidR="00232334" w:rsidRPr="00A826B6" w:rsidRDefault="00F77CB0" w:rsidP="00D455BF">
      <w:pPr>
        <w:pStyle w:val="SingleTxtG"/>
        <w:rPr>
          <w:lang w:val="en-GB"/>
        </w:rPr>
      </w:pPr>
      <w:r w:rsidRPr="00A826B6">
        <w:rPr>
          <w:lang w:val="en-GB"/>
        </w:rPr>
        <w:t>3.3</w:t>
      </w:r>
      <w:r w:rsidR="005F6121" w:rsidRPr="00A826B6">
        <w:rPr>
          <w:lang w:val="en-GB"/>
        </w:rPr>
        <w:tab/>
      </w:r>
      <w:r w:rsidRPr="00A826B6">
        <w:rPr>
          <w:lang w:val="en-GB"/>
        </w:rPr>
        <w:t xml:space="preserve">The authors </w:t>
      </w:r>
      <w:r w:rsidR="00D455BF" w:rsidRPr="00A826B6">
        <w:rPr>
          <w:lang w:val="en-GB"/>
        </w:rPr>
        <w:t xml:space="preserve">further </w:t>
      </w:r>
      <w:r w:rsidRPr="00A826B6">
        <w:rPr>
          <w:lang w:val="en-GB"/>
        </w:rPr>
        <w:t>claim that</w:t>
      </w:r>
      <w:r w:rsidR="00D455BF" w:rsidRPr="00A826B6">
        <w:rPr>
          <w:lang w:val="en-GB"/>
        </w:rPr>
        <w:t>,</w:t>
      </w:r>
      <w:r w:rsidRPr="00A826B6">
        <w:rPr>
          <w:lang w:val="en-GB"/>
        </w:rPr>
        <w:t xml:space="preserve"> since other asylum seekers in similar cases </w:t>
      </w:r>
      <w:r w:rsidR="00D455BF" w:rsidRPr="00A826B6">
        <w:rPr>
          <w:lang w:val="en-GB"/>
        </w:rPr>
        <w:t xml:space="preserve">have been </w:t>
      </w:r>
      <w:r w:rsidRPr="00A826B6">
        <w:rPr>
          <w:lang w:val="en-GB"/>
        </w:rPr>
        <w:t xml:space="preserve">given the right to appeal to the </w:t>
      </w:r>
      <w:r w:rsidR="00C12A55" w:rsidRPr="00A826B6">
        <w:rPr>
          <w:lang w:val="en-GB"/>
        </w:rPr>
        <w:t>r</w:t>
      </w:r>
      <w:r w:rsidRPr="00A826B6">
        <w:rPr>
          <w:lang w:val="en-GB"/>
        </w:rPr>
        <w:t xml:space="preserve">efugee </w:t>
      </w:r>
      <w:r w:rsidR="00C12A55" w:rsidRPr="00A826B6">
        <w:rPr>
          <w:lang w:val="en-GB"/>
        </w:rPr>
        <w:t>b</w:t>
      </w:r>
      <w:r w:rsidRPr="00A826B6">
        <w:rPr>
          <w:lang w:val="en-GB"/>
        </w:rPr>
        <w:t>oard, the</w:t>
      </w:r>
      <w:r w:rsidR="00D455BF" w:rsidRPr="00A826B6">
        <w:rPr>
          <w:lang w:val="en-GB"/>
        </w:rPr>
        <w:t>ir</w:t>
      </w:r>
      <w:r w:rsidRPr="00A826B6">
        <w:rPr>
          <w:lang w:val="en-GB"/>
        </w:rPr>
        <w:t xml:space="preserve"> denial of </w:t>
      </w:r>
      <w:r w:rsidR="00D455BF" w:rsidRPr="00A826B6">
        <w:rPr>
          <w:lang w:val="en-GB"/>
        </w:rPr>
        <w:t xml:space="preserve">that </w:t>
      </w:r>
      <w:r w:rsidRPr="00A826B6">
        <w:rPr>
          <w:lang w:val="en-GB"/>
        </w:rPr>
        <w:t>right was discriminatory, contrary to article 26 of the Covenant.</w:t>
      </w:r>
    </w:p>
    <w:p w14:paraId="66E5188F" w14:textId="67F6F46C" w:rsidR="003134AC" w:rsidRPr="00A826B6" w:rsidRDefault="007B3302" w:rsidP="007B3302">
      <w:pPr>
        <w:pStyle w:val="H23G"/>
      </w:pPr>
      <w:r w:rsidRPr="00A826B6">
        <w:tab/>
      </w:r>
      <w:r w:rsidRPr="00A826B6">
        <w:tab/>
      </w:r>
      <w:r w:rsidR="003134AC" w:rsidRPr="00A826B6">
        <w:t>State party</w:t>
      </w:r>
      <w:r w:rsidR="002E25D3" w:rsidRPr="00A826B6">
        <w:t>’</w:t>
      </w:r>
      <w:r w:rsidR="003134AC" w:rsidRPr="00A826B6">
        <w:t>s observations on admissibility</w:t>
      </w:r>
      <w:r w:rsidR="00EF3514" w:rsidRPr="00A826B6">
        <w:t xml:space="preserve"> </w:t>
      </w:r>
    </w:p>
    <w:p w14:paraId="7DEC1750" w14:textId="620E377A" w:rsidR="00F32CF3" w:rsidRPr="00A826B6" w:rsidRDefault="00776E5E" w:rsidP="00D455BF">
      <w:pPr>
        <w:pStyle w:val="SingleTxtG"/>
        <w:rPr>
          <w:lang w:val="en-GB"/>
        </w:rPr>
      </w:pPr>
      <w:r w:rsidRPr="00A826B6">
        <w:rPr>
          <w:lang w:val="en-GB"/>
        </w:rPr>
        <w:t>4.1</w:t>
      </w:r>
      <w:r w:rsidRPr="00A826B6">
        <w:rPr>
          <w:lang w:val="en-GB"/>
        </w:rPr>
        <w:tab/>
      </w:r>
      <w:r w:rsidR="00DF0799" w:rsidRPr="00A826B6">
        <w:rPr>
          <w:lang w:val="en-GB"/>
        </w:rPr>
        <w:t xml:space="preserve">On </w:t>
      </w:r>
      <w:r w:rsidR="00F77CB0" w:rsidRPr="00A826B6">
        <w:rPr>
          <w:lang w:val="en-GB"/>
        </w:rPr>
        <w:t>7 April 2014</w:t>
      </w:r>
      <w:r w:rsidR="00F24F92" w:rsidRPr="00A826B6">
        <w:rPr>
          <w:lang w:val="en-GB"/>
        </w:rPr>
        <w:t xml:space="preserve">, the State party </w:t>
      </w:r>
      <w:r w:rsidR="00996F62" w:rsidRPr="00A826B6">
        <w:rPr>
          <w:lang w:val="en-GB"/>
        </w:rPr>
        <w:t>present</w:t>
      </w:r>
      <w:r w:rsidR="00F24F92" w:rsidRPr="00A826B6">
        <w:rPr>
          <w:lang w:val="en-GB"/>
        </w:rPr>
        <w:t xml:space="preserve">ed </w:t>
      </w:r>
      <w:r w:rsidR="00D455BF" w:rsidRPr="00A826B6">
        <w:rPr>
          <w:lang w:val="en-GB"/>
        </w:rPr>
        <w:t xml:space="preserve">its </w:t>
      </w:r>
      <w:r w:rsidR="00F24F92" w:rsidRPr="00A826B6">
        <w:rPr>
          <w:lang w:val="en-GB"/>
        </w:rPr>
        <w:t>observations on admissibility.</w:t>
      </w:r>
      <w:r w:rsidR="00BA5934" w:rsidRPr="00A826B6">
        <w:rPr>
          <w:lang w:val="en-GB"/>
        </w:rPr>
        <w:t xml:space="preserve"> </w:t>
      </w:r>
      <w:r w:rsidR="00996F62" w:rsidRPr="00A826B6">
        <w:rPr>
          <w:lang w:val="en-GB"/>
        </w:rPr>
        <w:t>It submitted</w:t>
      </w:r>
      <w:r w:rsidR="00F32CF3" w:rsidRPr="00A826B6">
        <w:rPr>
          <w:lang w:val="en-GB"/>
        </w:rPr>
        <w:t xml:space="preserve"> that the authors </w:t>
      </w:r>
      <w:r w:rsidR="00D455BF" w:rsidRPr="00A826B6">
        <w:rPr>
          <w:lang w:val="en-GB"/>
        </w:rPr>
        <w:t xml:space="preserve">had </w:t>
      </w:r>
      <w:r w:rsidR="00F32CF3" w:rsidRPr="00A826B6">
        <w:rPr>
          <w:lang w:val="en-GB"/>
        </w:rPr>
        <w:t xml:space="preserve">failed to </w:t>
      </w:r>
      <w:r w:rsidR="00DF616D" w:rsidRPr="00A826B6">
        <w:rPr>
          <w:lang w:val="en-GB"/>
        </w:rPr>
        <w:t xml:space="preserve">sufficiently substantiate </w:t>
      </w:r>
      <w:r w:rsidR="00F32CF3" w:rsidRPr="00A826B6">
        <w:rPr>
          <w:lang w:val="en-GB"/>
        </w:rPr>
        <w:t xml:space="preserve">their claims </w:t>
      </w:r>
      <w:r w:rsidR="00A81CFF" w:rsidRPr="00A826B6">
        <w:rPr>
          <w:lang w:val="en-GB"/>
        </w:rPr>
        <w:t xml:space="preserve">to be regarded as </w:t>
      </w:r>
      <w:r w:rsidR="004015BC" w:rsidRPr="00A826B6">
        <w:rPr>
          <w:lang w:val="en-GB"/>
        </w:rPr>
        <w:t>“</w:t>
      </w:r>
      <w:r w:rsidR="00A81CFF" w:rsidRPr="00A826B6">
        <w:rPr>
          <w:lang w:val="en-GB"/>
        </w:rPr>
        <w:t>victims</w:t>
      </w:r>
      <w:r w:rsidR="004015BC" w:rsidRPr="00A826B6">
        <w:rPr>
          <w:lang w:val="en-GB"/>
        </w:rPr>
        <w:t>”</w:t>
      </w:r>
      <w:r w:rsidR="00A81CFF" w:rsidRPr="00A826B6">
        <w:rPr>
          <w:lang w:val="en-GB"/>
        </w:rPr>
        <w:t xml:space="preserve"> and that the communication should therefore be declared inadmissible.</w:t>
      </w:r>
      <w:r w:rsidR="007116D8" w:rsidRPr="00A826B6">
        <w:rPr>
          <w:lang w:val="en-GB"/>
        </w:rPr>
        <w:t xml:space="preserve"> </w:t>
      </w:r>
    </w:p>
    <w:p w14:paraId="65475172" w14:textId="314A403D" w:rsidR="007116D8" w:rsidRPr="00A826B6" w:rsidRDefault="00DF616D" w:rsidP="00D455BF">
      <w:pPr>
        <w:pStyle w:val="SingleTxtG"/>
        <w:rPr>
          <w:lang w:val="en-GB"/>
        </w:rPr>
      </w:pPr>
      <w:r w:rsidRPr="00A826B6">
        <w:rPr>
          <w:lang w:val="en-GB"/>
        </w:rPr>
        <w:t>4.2</w:t>
      </w:r>
      <w:r w:rsidRPr="00A826B6">
        <w:rPr>
          <w:lang w:val="en-GB"/>
        </w:rPr>
        <w:tab/>
      </w:r>
      <w:r w:rsidR="00F32CF3" w:rsidRPr="00A826B6">
        <w:rPr>
          <w:lang w:val="en-GB"/>
        </w:rPr>
        <w:t xml:space="preserve">The State party recalls that the authors’ case was determined on the </w:t>
      </w:r>
      <w:r w:rsidR="00D455BF" w:rsidRPr="00A826B6">
        <w:rPr>
          <w:lang w:val="en-GB"/>
        </w:rPr>
        <w:t xml:space="preserve">basis of the </w:t>
      </w:r>
      <w:r w:rsidR="007116D8" w:rsidRPr="00A826B6">
        <w:rPr>
          <w:lang w:val="en-GB"/>
        </w:rPr>
        <w:t xml:space="preserve">shortened procedure intended for the examination of asylum applications </w:t>
      </w:r>
      <w:r w:rsidR="00D455BF" w:rsidRPr="00A826B6">
        <w:rPr>
          <w:lang w:val="en-GB"/>
        </w:rPr>
        <w:t xml:space="preserve">that </w:t>
      </w:r>
      <w:r w:rsidR="007116D8" w:rsidRPr="00A826B6">
        <w:rPr>
          <w:lang w:val="en-GB"/>
        </w:rPr>
        <w:t>are deemed manifestly unfounded.</w:t>
      </w:r>
      <w:r w:rsidR="007116D8" w:rsidRPr="00A826B6">
        <w:rPr>
          <w:color w:val="000000"/>
          <w:lang w:val="en-GB"/>
        </w:rPr>
        <w:t xml:space="preserve"> </w:t>
      </w:r>
      <w:r w:rsidR="00E334FC" w:rsidRPr="00A826B6">
        <w:rPr>
          <w:lang w:val="en-GB"/>
        </w:rPr>
        <w:t xml:space="preserve">For the purposes of asylum law, the immigration authorities consider Albania to be a safe third country, which implies that asylum applications from Albanian nationals will usually be examined under the so-called </w:t>
      </w:r>
      <w:r w:rsidR="004015BC" w:rsidRPr="00A826B6">
        <w:rPr>
          <w:lang w:val="en-GB"/>
        </w:rPr>
        <w:t>“</w:t>
      </w:r>
      <w:r w:rsidR="00E334FC" w:rsidRPr="00A826B6">
        <w:rPr>
          <w:lang w:val="en-GB"/>
        </w:rPr>
        <w:t>manifestly unfounded</w:t>
      </w:r>
      <w:r w:rsidR="004015BC" w:rsidRPr="00A826B6">
        <w:rPr>
          <w:lang w:val="en-GB"/>
        </w:rPr>
        <w:t>”</w:t>
      </w:r>
      <w:r w:rsidR="00E334FC" w:rsidRPr="00A826B6">
        <w:rPr>
          <w:lang w:val="en-GB"/>
        </w:rPr>
        <w:t xml:space="preserve"> procedure</w:t>
      </w:r>
      <w:r w:rsidR="00996F62" w:rsidRPr="00A826B6">
        <w:rPr>
          <w:lang w:val="en-GB"/>
        </w:rPr>
        <w:t>.</w:t>
      </w:r>
    </w:p>
    <w:p w14:paraId="7C0C6624" w14:textId="3B22923A" w:rsidR="00996F62" w:rsidRPr="00A826B6" w:rsidRDefault="00CA5A30" w:rsidP="00980DDD">
      <w:pPr>
        <w:pStyle w:val="SingleTxtG"/>
        <w:rPr>
          <w:lang w:val="en-GB"/>
        </w:rPr>
      </w:pPr>
      <w:r w:rsidRPr="00A826B6">
        <w:rPr>
          <w:lang w:val="en-GB"/>
        </w:rPr>
        <w:t>4.3</w:t>
      </w:r>
      <w:r w:rsidRPr="00A826B6">
        <w:rPr>
          <w:lang w:val="en-GB"/>
        </w:rPr>
        <w:tab/>
      </w:r>
      <w:r w:rsidR="007116D8" w:rsidRPr="00A826B6">
        <w:rPr>
          <w:lang w:val="en-GB"/>
        </w:rPr>
        <w:t xml:space="preserve">If the </w:t>
      </w:r>
      <w:r w:rsidR="00FE5A28" w:rsidRPr="00A826B6">
        <w:rPr>
          <w:lang w:val="en-GB"/>
        </w:rPr>
        <w:t>i</w:t>
      </w:r>
      <w:r w:rsidR="007116D8" w:rsidRPr="00A826B6">
        <w:rPr>
          <w:lang w:val="en-GB"/>
        </w:rPr>
        <w:t xml:space="preserve">mmigration </w:t>
      </w:r>
      <w:r w:rsidR="00FE5A28" w:rsidRPr="00A826B6">
        <w:rPr>
          <w:lang w:val="en-GB"/>
        </w:rPr>
        <w:t>s</w:t>
      </w:r>
      <w:r w:rsidR="007116D8" w:rsidRPr="00A826B6">
        <w:rPr>
          <w:lang w:val="en-GB"/>
        </w:rPr>
        <w:t>ervice finds that an application for a residence permit under section 7 of the Aliens Act is manifestly unfounded, the case is submitte</w:t>
      </w:r>
      <w:r w:rsidR="00996F62" w:rsidRPr="00A826B6">
        <w:rPr>
          <w:lang w:val="en-GB"/>
        </w:rPr>
        <w:t xml:space="preserve">d to the Danish Refugee Council, </w:t>
      </w:r>
      <w:r w:rsidR="007116D8" w:rsidRPr="00A826B6">
        <w:rPr>
          <w:lang w:val="en-GB"/>
        </w:rPr>
        <w:t>a humanitarian, non-governmental organi</w:t>
      </w:r>
      <w:r w:rsidR="00980DDD" w:rsidRPr="00A826B6">
        <w:rPr>
          <w:lang w:val="en-GB"/>
        </w:rPr>
        <w:t>z</w:t>
      </w:r>
      <w:r w:rsidR="007116D8" w:rsidRPr="00A826B6">
        <w:rPr>
          <w:lang w:val="en-GB"/>
        </w:rPr>
        <w:t>ation. The Council issues an opinion on the case after a personal interview with the asylum</w:t>
      </w:r>
      <w:r w:rsidR="00980DDD" w:rsidRPr="00A826B6">
        <w:rPr>
          <w:lang w:val="en-GB"/>
        </w:rPr>
        <w:t xml:space="preserve"> </w:t>
      </w:r>
      <w:r w:rsidR="007116D8" w:rsidRPr="00A826B6">
        <w:rPr>
          <w:lang w:val="en-GB"/>
        </w:rPr>
        <w:t xml:space="preserve">seeker(s). If the Council agrees with the assessment of the </w:t>
      </w:r>
      <w:r w:rsidR="00FE5A28" w:rsidRPr="00A826B6">
        <w:rPr>
          <w:lang w:val="en-GB"/>
        </w:rPr>
        <w:t>i</w:t>
      </w:r>
      <w:r w:rsidR="007116D8" w:rsidRPr="00A826B6">
        <w:rPr>
          <w:lang w:val="en-GB"/>
        </w:rPr>
        <w:t xml:space="preserve">mmigration </w:t>
      </w:r>
      <w:r w:rsidR="00FE5A28" w:rsidRPr="00A826B6">
        <w:rPr>
          <w:lang w:val="en-GB"/>
        </w:rPr>
        <w:t>s</w:t>
      </w:r>
      <w:r w:rsidR="007116D8" w:rsidRPr="00A826B6">
        <w:rPr>
          <w:lang w:val="en-GB"/>
        </w:rPr>
        <w:t xml:space="preserve">ervice to the effect that the application is manifestly unfounded, the application is refused. </w:t>
      </w:r>
      <w:r w:rsidR="00980DDD" w:rsidRPr="00A826B6">
        <w:rPr>
          <w:lang w:val="en-GB"/>
        </w:rPr>
        <w:t xml:space="preserve">That </w:t>
      </w:r>
      <w:r w:rsidR="007116D8" w:rsidRPr="00A826B6">
        <w:rPr>
          <w:lang w:val="en-GB"/>
        </w:rPr>
        <w:t xml:space="preserve">decision cannot be appealed to the </w:t>
      </w:r>
      <w:r w:rsidR="00C12A55" w:rsidRPr="00A826B6">
        <w:rPr>
          <w:lang w:val="en-GB"/>
        </w:rPr>
        <w:t>r</w:t>
      </w:r>
      <w:r w:rsidR="007116D8" w:rsidRPr="00A826B6">
        <w:rPr>
          <w:lang w:val="en-GB"/>
        </w:rPr>
        <w:t xml:space="preserve">efugee </w:t>
      </w:r>
      <w:r w:rsidR="00C12A55" w:rsidRPr="00A826B6">
        <w:rPr>
          <w:lang w:val="en-GB"/>
        </w:rPr>
        <w:t>a</w:t>
      </w:r>
      <w:r w:rsidR="007116D8" w:rsidRPr="00A826B6">
        <w:rPr>
          <w:lang w:val="en-GB"/>
        </w:rPr>
        <w:t xml:space="preserve">ppeals </w:t>
      </w:r>
      <w:r w:rsidR="00C12A55" w:rsidRPr="00A826B6">
        <w:rPr>
          <w:lang w:val="en-GB"/>
        </w:rPr>
        <w:t>b</w:t>
      </w:r>
      <w:r w:rsidR="007116D8" w:rsidRPr="00A826B6">
        <w:rPr>
          <w:lang w:val="en-GB"/>
        </w:rPr>
        <w:t xml:space="preserve">oard. If, by contrast, the Council disagrees with the assessment of the </w:t>
      </w:r>
      <w:r w:rsidR="00FE5A28" w:rsidRPr="00A826B6">
        <w:rPr>
          <w:lang w:val="en-GB"/>
        </w:rPr>
        <w:t>i</w:t>
      </w:r>
      <w:r w:rsidR="007116D8" w:rsidRPr="00A826B6">
        <w:rPr>
          <w:lang w:val="en-GB"/>
        </w:rPr>
        <w:t xml:space="preserve">mmigration </w:t>
      </w:r>
      <w:r w:rsidR="00FE5A28" w:rsidRPr="00A826B6">
        <w:rPr>
          <w:lang w:val="en-GB"/>
        </w:rPr>
        <w:t>s</w:t>
      </w:r>
      <w:r w:rsidR="007116D8" w:rsidRPr="00A826B6">
        <w:rPr>
          <w:lang w:val="en-GB"/>
        </w:rPr>
        <w:t>ervice, the application is processed according to the normal procedure</w:t>
      </w:r>
      <w:r w:rsidRPr="00A826B6">
        <w:rPr>
          <w:lang w:val="en-GB"/>
        </w:rPr>
        <w:t xml:space="preserve">, and </w:t>
      </w:r>
      <w:r w:rsidR="007116D8" w:rsidRPr="00A826B6">
        <w:rPr>
          <w:lang w:val="en-GB"/>
        </w:rPr>
        <w:t>the decision is automatically appeal</w:t>
      </w:r>
      <w:r w:rsidRPr="00A826B6">
        <w:rPr>
          <w:lang w:val="en-GB"/>
        </w:rPr>
        <w:t xml:space="preserve">ed to the </w:t>
      </w:r>
      <w:r w:rsidR="00C12A55" w:rsidRPr="00A826B6">
        <w:rPr>
          <w:lang w:val="en-GB"/>
        </w:rPr>
        <w:t>b</w:t>
      </w:r>
      <w:r w:rsidRPr="00A826B6">
        <w:rPr>
          <w:lang w:val="en-GB"/>
        </w:rPr>
        <w:t xml:space="preserve">oard, </w:t>
      </w:r>
      <w:r w:rsidR="007116D8" w:rsidRPr="00A826B6">
        <w:rPr>
          <w:lang w:val="en-GB"/>
        </w:rPr>
        <w:t>which make</w:t>
      </w:r>
      <w:r w:rsidR="00996F62" w:rsidRPr="00A826B6">
        <w:rPr>
          <w:lang w:val="en-GB"/>
        </w:rPr>
        <w:t>s</w:t>
      </w:r>
      <w:r w:rsidR="007116D8" w:rsidRPr="00A826B6">
        <w:rPr>
          <w:lang w:val="en-GB"/>
        </w:rPr>
        <w:t xml:space="preserve"> the final decision in the case.</w:t>
      </w:r>
      <w:r w:rsidR="00B57FA6" w:rsidRPr="00A826B6">
        <w:rPr>
          <w:lang w:val="en-GB"/>
        </w:rPr>
        <w:t xml:space="preserve"> </w:t>
      </w:r>
      <w:r w:rsidR="00996F62" w:rsidRPr="00A826B6">
        <w:rPr>
          <w:lang w:val="en-GB"/>
        </w:rPr>
        <w:t>The State party further explains that it follows from section 53</w:t>
      </w:r>
      <w:r w:rsidR="00D50395" w:rsidRPr="00A826B6">
        <w:rPr>
          <w:lang w:val="en-GB"/>
        </w:rPr>
        <w:t> (</w:t>
      </w:r>
      <w:r w:rsidR="00996F62" w:rsidRPr="00A826B6">
        <w:rPr>
          <w:lang w:val="en-GB"/>
        </w:rPr>
        <w:t>b</w:t>
      </w:r>
      <w:r w:rsidR="00D50395" w:rsidRPr="00A826B6">
        <w:rPr>
          <w:lang w:val="en-GB"/>
        </w:rPr>
        <w:t>)</w:t>
      </w:r>
      <w:r w:rsidR="00980DDD" w:rsidRPr="00A826B6">
        <w:rPr>
          <w:lang w:val="en-GB"/>
        </w:rPr>
        <w:t> </w:t>
      </w:r>
      <w:r w:rsidR="00996F62" w:rsidRPr="00A826B6">
        <w:rPr>
          <w:lang w:val="en-GB"/>
        </w:rPr>
        <w:t xml:space="preserve">(1) of the Aliens Act that, upon submission to the Council, the </w:t>
      </w:r>
      <w:r w:rsidR="00FE5A28" w:rsidRPr="00A826B6">
        <w:rPr>
          <w:lang w:val="en-GB"/>
        </w:rPr>
        <w:t>i</w:t>
      </w:r>
      <w:r w:rsidR="00996F62" w:rsidRPr="00A826B6">
        <w:rPr>
          <w:lang w:val="en-GB"/>
        </w:rPr>
        <w:t xml:space="preserve">mmigration </w:t>
      </w:r>
      <w:r w:rsidR="00FE5A28" w:rsidRPr="00A826B6">
        <w:rPr>
          <w:lang w:val="en-GB"/>
        </w:rPr>
        <w:t>s</w:t>
      </w:r>
      <w:r w:rsidR="00996F62" w:rsidRPr="00A826B6">
        <w:rPr>
          <w:lang w:val="en-GB"/>
        </w:rPr>
        <w:t xml:space="preserve">ervice may determine that a decision </w:t>
      </w:r>
      <w:r w:rsidR="00980DDD" w:rsidRPr="00A826B6">
        <w:rPr>
          <w:lang w:val="en-GB"/>
        </w:rPr>
        <w:t xml:space="preserve">to </w:t>
      </w:r>
      <w:r w:rsidR="00996F62" w:rsidRPr="00A826B6">
        <w:rPr>
          <w:lang w:val="en-GB"/>
        </w:rPr>
        <w:t>refus</w:t>
      </w:r>
      <w:r w:rsidR="00980DDD" w:rsidRPr="00A826B6">
        <w:rPr>
          <w:lang w:val="en-GB"/>
        </w:rPr>
        <w:t>e</w:t>
      </w:r>
      <w:r w:rsidR="00996F62" w:rsidRPr="00A826B6">
        <w:rPr>
          <w:lang w:val="en-GB"/>
        </w:rPr>
        <w:t xml:space="preserve"> a residence permit under section 7 cannot be appealed to the </w:t>
      </w:r>
      <w:r w:rsidR="00C12A55" w:rsidRPr="00A826B6">
        <w:rPr>
          <w:lang w:val="en-GB"/>
        </w:rPr>
        <w:t>b</w:t>
      </w:r>
      <w:r w:rsidR="00996F62" w:rsidRPr="00A826B6">
        <w:rPr>
          <w:lang w:val="en-GB"/>
        </w:rPr>
        <w:t>oard if the application must be considered manifestly unfounded under section 53</w:t>
      </w:r>
      <w:r w:rsidR="00D50395" w:rsidRPr="00A826B6">
        <w:rPr>
          <w:lang w:val="en-GB"/>
        </w:rPr>
        <w:t> (</w:t>
      </w:r>
      <w:r w:rsidR="00996F62" w:rsidRPr="00A826B6">
        <w:rPr>
          <w:lang w:val="en-GB"/>
        </w:rPr>
        <w:t>b</w:t>
      </w:r>
      <w:r w:rsidR="00D50395" w:rsidRPr="00A826B6">
        <w:rPr>
          <w:lang w:val="en-GB"/>
        </w:rPr>
        <w:t>)</w:t>
      </w:r>
      <w:r w:rsidR="00980DDD" w:rsidRPr="00A826B6">
        <w:rPr>
          <w:lang w:val="en-GB"/>
        </w:rPr>
        <w:t> </w:t>
      </w:r>
      <w:r w:rsidR="00996F62" w:rsidRPr="00A826B6">
        <w:rPr>
          <w:lang w:val="en-GB"/>
        </w:rPr>
        <w:t>(1) of the Aliens Act.</w:t>
      </w:r>
      <w:r w:rsidR="00996F62" w:rsidRPr="00A826B6">
        <w:rPr>
          <w:rStyle w:val="FootnoteReference"/>
          <w:lang w:val="en-GB"/>
        </w:rPr>
        <w:footnoteReference w:id="3"/>
      </w:r>
    </w:p>
    <w:p w14:paraId="02B76A38" w14:textId="27182EA5" w:rsidR="006153F3" w:rsidRPr="00A826B6" w:rsidRDefault="00B57FA6" w:rsidP="00D50395">
      <w:pPr>
        <w:pStyle w:val="SingleTxtG"/>
        <w:rPr>
          <w:lang w:val="en-GB"/>
        </w:rPr>
      </w:pPr>
      <w:r w:rsidRPr="00A826B6">
        <w:rPr>
          <w:lang w:val="en-GB"/>
        </w:rPr>
        <w:lastRenderedPageBreak/>
        <w:t>4.4</w:t>
      </w:r>
      <w:r w:rsidR="00FF01AB" w:rsidRPr="00A826B6">
        <w:rPr>
          <w:lang w:val="en-GB"/>
        </w:rPr>
        <w:tab/>
      </w:r>
      <w:r w:rsidR="004B1202" w:rsidRPr="00A826B6">
        <w:rPr>
          <w:lang w:val="en-GB"/>
        </w:rPr>
        <w:t>On 13 July 2012, t</w:t>
      </w:r>
      <w:r w:rsidR="006153F3" w:rsidRPr="00A826B6">
        <w:rPr>
          <w:lang w:val="en-GB"/>
        </w:rPr>
        <w:t xml:space="preserve">he </w:t>
      </w:r>
      <w:r w:rsidR="00FE5A28" w:rsidRPr="00A826B6">
        <w:rPr>
          <w:lang w:val="en-GB"/>
        </w:rPr>
        <w:t>i</w:t>
      </w:r>
      <w:r w:rsidR="006153F3" w:rsidRPr="00A826B6">
        <w:rPr>
          <w:lang w:val="en-GB"/>
        </w:rPr>
        <w:t xml:space="preserve">mmigration </w:t>
      </w:r>
      <w:r w:rsidR="00FE5A28" w:rsidRPr="00A826B6">
        <w:rPr>
          <w:lang w:val="en-GB"/>
        </w:rPr>
        <w:t>s</w:t>
      </w:r>
      <w:r w:rsidR="006153F3" w:rsidRPr="00A826B6">
        <w:rPr>
          <w:lang w:val="en-GB"/>
        </w:rPr>
        <w:t>ervice recommended to the Danish Refugee Council that the authors’ asylum applications be considered manifestly</w:t>
      </w:r>
      <w:r w:rsidR="0049727F" w:rsidRPr="00A826B6">
        <w:rPr>
          <w:lang w:val="en-GB"/>
        </w:rPr>
        <w:t xml:space="preserve"> unfounded and thus </w:t>
      </w:r>
      <w:r w:rsidR="004B1202" w:rsidRPr="00A826B6">
        <w:rPr>
          <w:lang w:val="en-GB"/>
        </w:rPr>
        <w:t xml:space="preserve">ineligible for </w:t>
      </w:r>
      <w:r w:rsidR="0049727F" w:rsidRPr="00A826B6">
        <w:rPr>
          <w:lang w:val="en-GB"/>
        </w:rPr>
        <w:t xml:space="preserve">appeal to the </w:t>
      </w:r>
      <w:r w:rsidR="00C12A55" w:rsidRPr="00A826B6">
        <w:rPr>
          <w:lang w:val="en-GB"/>
        </w:rPr>
        <w:t>r</w:t>
      </w:r>
      <w:r w:rsidR="0049727F" w:rsidRPr="00A826B6">
        <w:rPr>
          <w:lang w:val="en-GB"/>
        </w:rPr>
        <w:t xml:space="preserve">efugee </w:t>
      </w:r>
      <w:r w:rsidR="00C12A55" w:rsidRPr="00A826B6">
        <w:rPr>
          <w:lang w:val="en-GB"/>
        </w:rPr>
        <w:t>a</w:t>
      </w:r>
      <w:r w:rsidR="0049727F" w:rsidRPr="00A826B6">
        <w:rPr>
          <w:lang w:val="en-GB"/>
        </w:rPr>
        <w:t xml:space="preserve">ppeals </w:t>
      </w:r>
      <w:r w:rsidR="00C12A55" w:rsidRPr="00A826B6">
        <w:rPr>
          <w:lang w:val="en-GB"/>
        </w:rPr>
        <w:t>b</w:t>
      </w:r>
      <w:r w:rsidR="0049727F" w:rsidRPr="00A826B6">
        <w:rPr>
          <w:lang w:val="en-GB"/>
        </w:rPr>
        <w:t xml:space="preserve">oard. On the same day, following a personal interview with the authors, the Council endorsed </w:t>
      </w:r>
      <w:r w:rsidR="004B1202" w:rsidRPr="00A826B6">
        <w:rPr>
          <w:lang w:val="en-GB"/>
        </w:rPr>
        <w:t xml:space="preserve">that </w:t>
      </w:r>
      <w:r w:rsidR="0049727F" w:rsidRPr="00A826B6">
        <w:rPr>
          <w:lang w:val="en-GB"/>
        </w:rPr>
        <w:t xml:space="preserve">recommendation. </w:t>
      </w:r>
      <w:r w:rsidR="00045346" w:rsidRPr="00A826B6">
        <w:rPr>
          <w:lang w:val="en-GB"/>
        </w:rPr>
        <w:t>Accordingly, in two decis</w:t>
      </w:r>
      <w:r w:rsidR="00661A7D" w:rsidRPr="00A826B6">
        <w:rPr>
          <w:lang w:val="en-GB"/>
        </w:rPr>
        <w:t xml:space="preserve">ions dated 18 July 2012, the </w:t>
      </w:r>
      <w:r w:rsidR="00FE5A28" w:rsidRPr="00A826B6">
        <w:rPr>
          <w:lang w:val="en-GB"/>
        </w:rPr>
        <w:t>i</w:t>
      </w:r>
      <w:r w:rsidR="00661A7D" w:rsidRPr="00A826B6">
        <w:rPr>
          <w:lang w:val="en-GB"/>
        </w:rPr>
        <w:t xml:space="preserve">mmigration </w:t>
      </w:r>
      <w:r w:rsidR="00FE5A28" w:rsidRPr="00A826B6">
        <w:rPr>
          <w:lang w:val="en-GB"/>
        </w:rPr>
        <w:t>s</w:t>
      </w:r>
      <w:r w:rsidR="00661A7D" w:rsidRPr="00A826B6">
        <w:rPr>
          <w:lang w:val="en-GB"/>
        </w:rPr>
        <w:t>ervice rejected the authors’ asylum application as manifestly unfounded under section 53</w:t>
      </w:r>
      <w:r w:rsidR="00D50395" w:rsidRPr="00A826B6">
        <w:rPr>
          <w:lang w:val="en-GB"/>
        </w:rPr>
        <w:t> </w:t>
      </w:r>
      <w:r w:rsidR="00661A7D" w:rsidRPr="00A826B6">
        <w:rPr>
          <w:lang w:val="en-GB"/>
        </w:rPr>
        <w:t>(b</w:t>
      </w:r>
      <w:r w:rsidR="00D50395" w:rsidRPr="00A826B6">
        <w:rPr>
          <w:lang w:val="en-GB"/>
        </w:rPr>
        <w:t>) </w:t>
      </w:r>
      <w:r w:rsidR="003B3D48" w:rsidRPr="00A826B6">
        <w:rPr>
          <w:lang w:val="en-GB"/>
        </w:rPr>
        <w:t>(1</w:t>
      </w:r>
      <w:r w:rsidR="00661A7D" w:rsidRPr="00A826B6">
        <w:rPr>
          <w:lang w:val="en-GB"/>
        </w:rPr>
        <w:t xml:space="preserve">) of the Aliens Act. </w:t>
      </w:r>
    </w:p>
    <w:p w14:paraId="517292A0" w14:textId="7FD64A8F" w:rsidR="00996F62" w:rsidRPr="00A826B6" w:rsidRDefault="00996F62" w:rsidP="00D50395">
      <w:pPr>
        <w:pStyle w:val="SingleTxtG"/>
        <w:rPr>
          <w:color w:val="000000"/>
          <w:lang w:val="en-GB"/>
        </w:rPr>
      </w:pPr>
      <w:r w:rsidRPr="00A826B6">
        <w:rPr>
          <w:lang w:val="en-GB"/>
        </w:rPr>
        <w:t>4.</w:t>
      </w:r>
      <w:r w:rsidR="00B57FA6" w:rsidRPr="00A826B6">
        <w:rPr>
          <w:lang w:val="en-GB"/>
        </w:rPr>
        <w:t>5</w:t>
      </w:r>
      <w:r w:rsidRPr="00A826B6">
        <w:rPr>
          <w:lang w:val="en-GB"/>
        </w:rPr>
        <w:tab/>
        <w:t xml:space="preserve">Cases examined under the </w:t>
      </w:r>
      <w:r w:rsidR="004015BC" w:rsidRPr="00A826B6">
        <w:rPr>
          <w:lang w:val="en-GB"/>
        </w:rPr>
        <w:t>“</w:t>
      </w:r>
      <w:r w:rsidRPr="00A826B6">
        <w:rPr>
          <w:lang w:val="en-GB"/>
        </w:rPr>
        <w:t>manifestly unfounded</w:t>
      </w:r>
      <w:r w:rsidR="004015BC" w:rsidRPr="00A826B6">
        <w:rPr>
          <w:lang w:val="en-GB"/>
        </w:rPr>
        <w:t>”</w:t>
      </w:r>
      <w:r w:rsidRPr="00A826B6">
        <w:rPr>
          <w:lang w:val="en-GB"/>
        </w:rPr>
        <w:t xml:space="preserve"> procedure are</w:t>
      </w:r>
      <w:r w:rsidR="00D50395" w:rsidRPr="00A826B6">
        <w:rPr>
          <w:lang w:val="en-GB"/>
        </w:rPr>
        <w:t>,</w:t>
      </w:r>
      <w:r w:rsidRPr="00A826B6">
        <w:rPr>
          <w:lang w:val="en-GB"/>
        </w:rPr>
        <w:t xml:space="preserve"> however</w:t>
      </w:r>
      <w:r w:rsidR="00D50395" w:rsidRPr="00A826B6">
        <w:rPr>
          <w:lang w:val="en-GB"/>
        </w:rPr>
        <w:t>,</w:t>
      </w:r>
      <w:r w:rsidRPr="00A826B6">
        <w:rPr>
          <w:lang w:val="en-GB"/>
        </w:rPr>
        <w:t xml:space="preserve"> systematically reported to the </w:t>
      </w:r>
      <w:r w:rsidR="00C12A55" w:rsidRPr="00A826B6">
        <w:rPr>
          <w:lang w:val="en-GB"/>
        </w:rPr>
        <w:t>r</w:t>
      </w:r>
      <w:r w:rsidRPr="00A826B6">
        <w:rPr>
          <w:lang w:val="en-GB"/>
        </w:rPr>
        <w:t xml:space="preserve">efugee </w:t>
      </w:r>
      <w:r w:rsidR="00C12A55" w:rsidRPr="00A826B6">
        <w:rPr>
          <w:lang w:val="en-GB"/>
        </w:rPr>
        <w:t>a</w:t>
      </w:r>
      <w:r w:rsidRPr="00A826B6">
        <w:rPr>
          <w:lang w:val="en-GB"/>
        </w:rPr>
        <w:t xml:space="preserve">ppeals </w:t>
      </w:r>
      <w:r w:rsidR="00C12A55" w:rsidRPr="00A826B6">
        <w:rPr>
          <w:lang w:val="en-GB"/>
        </w:rPr>
        <w:t>b</w:t>
      </w:r>
      <w:r w:rsidRPr="00A826B6">
        <w:rPr>
          <w:lang w:val="en-GB"/>
        </w:rPr>
        <w:t xml:space="preserve">oard. Accordingly, the refusal of asylum issued to the authors by the </w:t>
      </w:r>
      <w:r w:rsidR="00FE5A28" w:rsidRPr="00A826B6">
        <w:rPr>
          <w:lang w:val="en-GB"/>
        </w:rPr>
        <w:t>i</w:t>
      </w:r>
      <w:r w:rsidRPr="00A826B6">
        <w:rPr>
          <w:lang w:val="en-GB"/>
        </w:rPr>
        <w:t xml:space="preserve">mmigration </w:t>
      </w:r>
      <w:r w:rsidR="00FE5A28" w:rsidRPr="00A826B6">
        <w:rPr>
          <w:lang w:val="en-GB"/>
        </w:rPr>
        <w:t>s</w:t>
      </w:r>
      <w:r w:rsidRPr="00A826B6">
        <w:rPr>
          <w:lang w:val="en-GB"/>
        </w:rPr>
        <w:t xml:space="preserve">ervice was reported to the </w:t>
      </w:r>
      <w:r w:rsidR="00C12A55" w:rsidRPr="00A826B6">
        <w:rPr>
          <w:lang w:val="en-GB"/>
        </w:rPr>
        <w:t>b</w:t>
      </w:r>
      <w:r w:rsidRPr="00A826B6">
        <w:rPr>
          <w:lang w:val="en-GB"/>
        </w:rPr>
        <w:t>oard</w:t>
      </w:r>
      <w:r w:rsidR="00D50395" w:rsidRPr="00A826B6">
        <w:rPr>
          <w:lang w:val="en-GB"/>
        </w:rPr>
        <w:t>,</w:t>
      </w:r>
      <w:r w:rsidRPr="00A826B6">
        <w:rPr>
          <w:lang w:val="en-GB"/>
        </w:rPr>
        <w:t xml:space="preserve"> together with the other cases determined as manifestly unfounded in the third quarter of 2012.</w:t>
      </w:r>
      <w:r w:rsidRPr="00A826B6">
        <w:rPr>
          <w:color w:val="000000"/>
          <w:lang w:val="en-GB"/>
        </w:rPr>
        <w:t xml:space="preserve"> </w:t>
      </w:r>
      <w:r w:rsidR="00D50395" w:rsidRPr="00A826B6">
        <w:rPr>
          <w:color w:val="000000"/>
          <w:lang w:val="en-GB"/>
        </w:rPr>
        <w:t xml:space="preserve">That </w:t>
      </w:r>
      <w:r w:rsidRPr="00A826B6">
        <w:rPr>
          <w:color w:val="000000"/>
          <w:lang w:val="en-GB"/>
        </w:rPr>
        <w:t xml:space="preserve">report, which contained a specific description of the case, was considered at the meeting on 30 January 2013 held by the </w:t>
      </w:r>
      <w:r w:rsidR="00D50395" w:rsidRPr="00A826B6">
        <w:rPr>
          <w:color w:val="000000"/>
          <w:lang w:val="en-GB"/>
        </w:rPr>
        <w:t>c</w:t>
      </w:r>
      <w:r w:rsidRPr="00A826B6">
        <w:rPr>
          <w:color w:val="000000"/>
          <w:lang w:val="en-GB"/>
        </w:rPr>
        <w:t xml:space="preserve">oordination </w:t>
      </w:r>
      <w:r w:rsidR="00D50395" w:rsidRPr="00A826B6">
        <w:rPr>
          <w:color w:val="000000"/>
          <w:lang w:val="en-GB"/>
        </w:rPr>
        <w:t>c</w:t>
      </w:r>
      <w:r w:rsidRPr="00A826B6">
        <w:rPr>
          <w:color w:val="000000"/>
          <w:lang w:val="en-GB"/>
        </w:rPr>
        <w:t xml:space="preserve">ommittee of the </w:t>
      </w:r>
      <w:r w:rsidR="00C12A55" w:rsidRPr="00A826B6">
        <w:rPr>
          <w:color w:val="000000"/>
          <w:lang w:val="en-GB"/>
        </w:rPr>
        <w:t>b</w:t>
      </w:r>
      <w:r w:rsidRPr="00A826B6">
        <w:rPr>
          <w:color w:val="000000"/>
          <w:lang w:val="en-GB"/>
        </w:rPr>
        <w:t xml:space="preserve">oard and did not give rise to comments from the </w:t>
      </w:r>
      <w:r w:rsidR="00C12A55" w:rsidRPr="00A826B6">
        <w:rPr>
          <w:color w:val="000000"/>
          <w:lang w:val="en-GB"/>
        </w:rPr>
        <w:t>b</w:t>
      </w:r>
      <w:r w:rsidRPr="00A826B6">
        <w:rPr>
          <w:color w:val="000000"/>
          <w:lang w:val="en-GB"/>
        </w:rPr>
        <w:t xml:space="preserve">oard or to the application of the so-called call-in powers, according to which the </w:t>
      </w:r>
      <w:r w:rsidR="00C12A55" w:rsidRPr="00A826B6">
        <w:rPr>
          <w:color w:val="000000"/>
          <w:lang w:val="en-GB"/>
        </w:rPr>
        <w:t>b</w:t>
      </w:r>
      <w:r w:rsidRPr="00A826B6">
        <w:rPr>
          <w:color w:val="000000"/>
          <w:lang w:val="en-GB"/>
        </w:rPr>
        <w:t>oard may decide that certain groups of cases can be appeale</w:t>
      </w:r>
      <w:r w:rsidR="00FF0312" w:rsidRPr="00A826B6">
        <w:rPr>
          <w:color w:val="000000"/>
          <w:lang w:val="en-GB"/>
        </w:rPr>
        <w:t xml:space="preserve">d to </w:t>
      </w:r>
      <w:r w:rsidR="00C12A55" w:rsidRPr="00A826B6">
        <w:rPr>
          <w:color w:val="000000"/>
          <w:lang w:val="en-GB"/>
        </w:rPr>
        <w:t xml:space="preserve">it. </w:t>
      </w:r>
    </w:p>
    <w:p w14:paraId="336FEB61" w14:textId="5BB3E662" w:rsidR="00572F28" w:rsidRPr="00A826B6" w:rsidRDefault="00B57FA6" w:rsidP="003B32D5">
      <w:pPr>
        <w:pStyle w:val="SingleTxtG"/>
        <w:rPr>
          <w:color w:val="000000"/>
          <w:lang w:val="en-GB"/>
        </w:rPr>
      </w:pPr>
      <w:r w:rsidRPr="00A826B6">
        <w:rPr>
          <w:color w:val="000000"/>
          <w:lang w:val="en-GB"/>
        </w:rPr>
        <w:t>4.6</w:t>
      </w:r>
      <w:r w:rsidR="00572F28" w:rsidRPr="00A826B6">
        <w:rPr>
          <w:color w:val="000000"/>
          <w:lang w:val="en-GB"/>
        </w:rPr>
        <w:tab/>
      </w:r>
      <w:r w:rsidR="00572F28" w:rsidRPr="00A826B6">
        <w:rPr>
          <w:lang w:val="en-GB"/>
        </w:rPr>
        <w:t>When served with the refusal of asylum, the authors applied to the Ministry of Justice for residence on humanitarian grounds under section 9</w:t>
      </w:r>
      <w:r w:rsidR="002A3FEB" w:rsidRPr="00A826B6">
        <w:rPr>
          <w:lang w:val="en-GB"/>
        </w:rPr>
        <w:t> (</w:t>
      </w:r>
      <w:r w:rsidR="00572F28" w:rsidRPr="00A826B6">
        <w:rPr>
          <w:lang w:val="en-GB"/>
        </w:rPr>
        <w:t>b</w:t>
      </w:r>
      <w:r w:rsidR="002A3FEB" w:rsidRPr="00A826B6">
        <w:rPr>
          <w:lang w:val="en-GB"/>
        </w:rPr>
        <w:t>) </w:t>
      </w:r>
      <w:r w:rsidR="00572F28" w:rsidRPr="00A826B6">
        <w:rPr>
          <w:lang w:val="en-GB"/>
        </w:rPr>
        <w:t>(1) of the Aliens Act.</w:t>
      </w:r>
      <w:r w:rsidR="00572F28" w:rsidRPr="00A826B6">
        <w:rPr>
          <w:color w:val="000000"/>
          <w:lang w:val="en-GB"/>
        </w:rPr>
        <w:t xml:space="preserve"> The Ministry stayed the execution of the return of the authors from Denmark pending the determination of the applications. On 7 June 2013, the Ministry refused to grant res</w:t>
      </w:r>
      <w:r w:rsidR="00C84984" w:rsidRPr="00A826B6">
        <w:rPr>
          <w:color w:val="000000"/>
          <w:lang w:val="en-GB"/>
        </w:rPr>
        <w:t>idence on humanitarian grounds.</w:t>
      </w:r>
    </w:p>
    <w:p w14:paraId="67A5BE41" w14:textId="4235DF4C" w:rsidR="00045346" w:rsidRPr="00A826B6" w:rsidRDefault="00996F62" w:rsidP="00C73FA2">
      <w:pPr>
        <w:pStyle w:val="SingleTxtG"/>
        <w:rPr>
          <w:lang w:val="en-GB"/>
        </w:rPr>
      </w:pPr>
      <w:r w:rsidRPr="00A826B6">
        <w:rPr>
          <w:lang w:val="en-GB"/>
        </w:rPr>
        <w:t>4.</w:t>
      </w:r>
      <w:r w:rsidR="00B57FA6" w:rsidRPr="00A826B6">
        <w:rPr>
          <w:lang w:val="en-GB"/>
        </w:rPr>
        <w:t>7</w:t>
      </w:r>
      <w:r w:rsidR="00045346" w:rsidRPr="00A826B6">
        <w:rPr>
          <w:lang w:val="en-GB"/>
        </w:rPr>
        <w:tab/>
        <w:t xml:space="preserve">The State party recalls the authors’ factual grounds for seeking asylum and states that the </w:t>
      </w:r>
      <w:r w:rsidR="00FE5A28" w:rsidRPr="00A826B6">
        <w:rPr>
          <w:lang w:val="en-GB"/>
        </w:rPr>
        <w:t>i</w:t>
      </w:r>
      <w:r w:rsidR="00045346" w:rsidRPr="00A826B6">
        <w:rPr>
          <w:lang w:val="en-GB"/>
        </w:rPr>
        <w:t xml:space="preserve">mmigration </w:t>
      </w:r>
      <w:r w:rsidR="00FE5A28" w:rsidRPr="00A826B6">
        <w:rPr>
          <w:lang w:val="en-GB"/>
        </w:rPr>
        <w:t>s</w:t>
      </w:r>
      <w:r w:rsidR="00045346" w:rsidRPr="00A826B6">
        <w:rPr>
          <w:lang w:val="en-GB"/>
        </w:rPr>
        <w:t xml:space="preserve">ervice considered in this respect that even if those </w:t>
      </w:r>
      <w:r w:rsidR="00C73FA2" w:rsidRPr="00A826B6">
        <w:rPr>
          <w:lang w:val="en-GB"/>
        </w:rPr>
        <w:t xml:space="preserve">grounds </w:t>
      </w:r>
      <w:r w:rsidR="00045346" w:rsidRPr="00A826B6">
        <w:rPr>
          <w:lang w:val="en-GB"/>
        </w:rPr>
        <w:t xml:space="preserve">were to be admitted as facts, they could not lead to the recognition of asylum or protection status in Denmark. The </w:t>
      </w:r>
      <w:r w:rsidR="00FE5A28" w:rsidRPr="00A826B6">
        <w:rPr>
          <w:lang w:val="en-GB"/>
        </w:rPr>
        <w:t>i</w:t>
      </w:r>
      <w:r w:rsidR="00045346" w:rsidRPr="00A826B6">
        <w:rPr>
          <w:lang w:val="en-GB"/>
        </w:rPr>
        <w:t xml:space="preserve">mmigration </w:t>
      </w:r>
      <w:r w:rsidR="00FE5A28" w:rsidRPr="00A826B6">
        <w:rPr>
          <w:lang w:val="en-GB"/>
        </w:rPr>
        <w:t>s</w:t>
      </w:r>
      <w:r w:rsidR="00045346" w:rsidRPr="00A826B6">
        <w:rPr>
          <w:lang w:val="en-GB"/>
        </w:rPr>
        <w:t xml:space="preserve">ervice determined that </w:t>
      </w:r>
      <w:r w:rsidR="004B2C86" w:rsidRPr="00A826B6">
        <w:rPr>
          <w:lang w:val="en-GB"/>
        </w:rPr>
        <w:t xml:space="preserve">the </w:t>
      </w:r>
      <w:r w:rsidR="00045346" w:rsidRPr="00A826B6">
        <w:rPr>
          <w:lang w:val="en-GB"/>
        </w:rPr>
        <w:t xml:space="preserve">grandfather </w:t>
      </w:r>
      <w:r w:rsidR="004B2C86" w:rsidRPr="00A826B6">
        <w:rPr>
          <w:lang w:val="en-GB"/>
        </w:rPr>
        <w:t xml:space="preserve">of E.P. </w:t>
      </w:r>
      <w:r w:rsidR="00045346" w:rsidRPr="00A826B6">
        <w:rPr>
          <w:lang w:val="en-GB"/>
        </w:rPr>
        <w:t xml:space="preserve">only received verbal threats and that </w:t>
      </w:r>
      <w:r w:rsidR="004B2C86" w:rsidRPr="00A826B6">
        <w:rPr>
          <w:lang w:val="en-GB"/>
        </w:rPr>
        <w:t xml:space="preserve">E.P. </w:t>
      </w:r>
      <w:r w:rsidR="00045346" w:rsidRPr="00A826B6">
        <w:rPr>
          <w:lang w:val="en-GB"/>
        </w:rPr>
        <w:t xml:space="preserve">had not been subjected to physical abuse; that </w:t>
      </w:r>
      <w:r w:rsidR="00C73FA2" w:rsidRPr="00A826B6">
        <w:rPr>
          <w:lang w:val="en-GB"/>
        </w:rPr>
        <w:t xml:space="preserve">there had been no search for </w:t>
      </w:r>
      <w:r w:rsidR="004B2C86" w:rsidRPr="00A826B6">
        <w:rPr>
          <w:lang w:val="en-GB"/>
        </w:rPr>
        <w:t>E.P.</w:t>
      </w:r>
      <w:r w:rsidR="00045346" w:rsidRPr="00A826B6">
        <w:rPr>
          <w:lang w:val="en-GB"/>
        </w:rPr>
        <w:t xml:space="preserve"> during the conflict with the Shtjefni family, except on one occasion, two years ago, when two men reportedly asked for him; </w:t>
      </w:r>
      <w:r w:rsidR="00C73FA2" w:rsidRPr="00A826B6">
        <w:rPr>
          <w:lang w:val="en-GB"/>
        </w:rPr>
        <w:t xml:space="preserve">that </w:t>
      </w:r>
      <w:r w:rsidR="00045346" w:rsidRPr="00A826B6">
        <w:rPr>
          <w:lang w:val="en-GB"/>
        </w:rPr>
        <w:t xml:space="preserve">the </w:t>
      </w:r>
      <w:r w:rsidR="00FE5A28" w:rsidRPr="00A826B6">
        <w:rPr>
          <w:lang w:val="en-GB"/>
        </w:rPr>
        <w:t>i</w:t>
      </w:r>
      <w:r w:rsidR="00045346" w:rsidRPr="00A826B6">
        <w:rPr>
          <w:lang w:val="en-GB"/>
        </w:rPr>
        <w:t xml:space="preserve">mmigration </w:t>
      </w:r>
      <w:r w:rsidR="00FE5A28" w:rsidRPr="00A826B6">
        <w:rPr>
          <w:lang w:val="en-GB"/>
        </w:rPr>
        <w:t>s</w:t>
      </w:r>
      <w:r w:rsidR="00045346" w:rsidRPr="00A826B6">
        <w:rPr>
          <w:lang w:val="en-GB"/>
        </w:rPr>
        <w:t xml:space="preserve">ervice qualified </w:t>
      </w:r>
      <w:r w:rsidR="00C73FA2" w:rsidRPr="00A826B6">
        <w:rPr>
          <w:lang w:val="en-GB"/>
        </w:rPr>
        <w:t xml:space="preserve">the incident </w:t>
      </w:r>
      <w:r w:rsidR="00045346" w:rsidRPr="00A826B6">
        <w:rPr>
          <w:lang w:val="en-GB"/>
        </w:rPr>
        <w:t xml:space="preserve">as isolated and now obsolete; as </w:t>
      </w:r>
      <w:r w:rsidR="00C73FA2" w:rsidRPr="00A826B6">
        <w:rPr>
          <w:lang w:val="en-GB"/>
        </w:rPr>
        <w:t>that F.P.</w:t>
      </w:r>
      <w:r w:rsidR="00045346" w:rsidRPr="00A826B6">
        <w:rPr>
          <w:lang w:val="en-GB"/>
        </w:rPr>
        <w:t xml:space="preserve"> was able to pursue her job as </w:t>
      </w:r>
      <w:r w:rsidR="00C73FA2" w:rsidRPr="00A826B6">
        <w:rPr>
          <w:lang w:val="en-GB"/>
        </w:rPr>
        <w:t xml:space="preserve">a </w:t>
      </w:r>
      <w:r w:rsidR="00045346" w:rsidRPr="00A826B6">
        <w:rPr>
          <w:lang w:val="en-GB"/>
        </w:rPr>
        <w:t xml:space="preserve">schoolteacher between 2008 and 2012 without </w:t>
      </w:r>
      <w:r w:rsidR="00C73FA2" w:rsidRPr="00A826B6">
        <w:rPr>
          <w:lang w:val="en-GB"/>
        </w:rPr>
        <w:t xml:space="preserve">any </w:t>
      </w:r>
      <w:r w:rsidR="00045346" w:rsidRPr="00A826B6">
        <w:rPr>
          <w:lang w:val="en-GB"/>
        </w:rPr>
        <w:t xml:space="preserve">search </w:t>
      </w:r>
      <w:r w:rsidR="00C73FA2" w:rsidRPr="00A826B6">
        <w:rPr>
          <w:lang w:val="en-GB"/>
        </w:rPr>
        <w:t xml:space="preserve">being made </w:t>
      </w:r>
      <w:r w:rsidR="00045346" w:rsidRPr="00A826B6">
        <w:rPr>
          <w:lang w:val="en-GB"/>
        </w:rPr>
        <w:t>for</w:t>
      </w:r>
      <w:r w:rsidR="00C73FA2" w:rsidRPr="00A826B6">
        <w:rPr>
          <w:lang w:val="en-GB"/>
        </w:rPr>
        <w:t xml:space="preserve"> her</w:t>
      </w:r>
      <w:r w:rsidR="00045346" w:rsidRPr="00A826B6">
        <w:rPr>
          <w:lang w:val="en-GB"/>
        </w:rPr>
        <w:t xml:space="preserve">. </w:t>
      </w:r>
    </w:p>
    <w:p w14:paraId="50279A27" w14:textId="7D40BDBB" w:rsidR="00DE4495" w:rsidRPr="00A826B6" w:rsidRDefault="00B57FA6" w:rsidP="00C73FA2">
      <w:pPr>
        <w:pStyle w:val="SingleTxtG"/>
        <w:rPr>
          <w:lang w:val="en-GB"/>
        </w:rPr>
      </w:pPr>
      <w:r w:rsidRPr="00A826B6">
        <w:rPr>
          <w:lang w:val="en-GB"/>
        </w:rPr>
        <w:t>4.8</w:t>
      </w:r>
      <w:r w:rsidR="00DE4495" w:rsidRPr="00A826B6">
        <w:rPr>
          <w:lang w:val="en-GB"/>
        </w:rPr>
        <w:tab/>
      </w:r>
      <w:r w:rsidR="00C73FA2" w:rsidRPr="00A826B6">
        <w:rPr>
          <w:lang w:val="en-GB"/>
        </w:rPr>
        <w:t>Furthermore, t</w:t>
      </w:r>
      <w:r w:rsidR="00DE4495" w:rsidRPr="00A826B6">
        <w:rPr>
          <w:lang w:val="en-GB"/>
        </w:rPr>
        <w:t xml:space="preserve">he </w:t>
      </w:r>
      <w:r w:rsidR="00FE5A28" w:rsidRPr="00A826B6">
        <w:rPr>
          <w:lang w:val="en-GB"/>
        </w:rPr>
        <w:t>i</w:t>
      </w:r>
      <w:r w:rsidR="00DE4495" w:rsidRPr="00A826B6">
        <w:rPr>
          <w:lang w:val="en-GB"/>
        </w:rPr>
        <w:t xml:space="preserve">mmigration </w:t>
      </w:r>
      <w:r w:rsidR="00FE5A28" w:rsidRPr="00A826B6">
        <w:rPr>
          <w:lang w:val="en-GB"/>
        </w:rPr>
        <w:t>s</w:t>
      </w:r>
      <w:r w:rsidR="00DE4495" w:rsidRPr="00A826B6">
        <w:rPr>
          <w:lang w:val="en-GB"/>
        </w:rPr>
        <w:t>ervice determined that</w:t>
      </w:r>
      <w:r w:rsidR="00C73FA2" w:rsidRPr="00A826B6">
        <w:rPr>
          <w:lang w:val="en-GB"/>
        </w:rPr>
        <w:t>,</w:t>
      </w:r>
      <w:r w:rsidR="00DE4495" w:rsidRPr="00A826B6">
        <w:rPr>
          <w:lang w:val="en-GB"/>
        </w:rPr>
        <w:t xml:space="preserve"> if the authors felt persecuted, they could take up residence somewhere else in Albania where </w:t>
      </w:r>
      <w:r w:rsidR="009F2E73" w:rsidRPr="00A826B6">
        <w:rPr>
          <w:lang w:val="en-GB"/>
        </w:rPr>
        <w:t xml:space="preserve">it can be assumed that </w:t>
      </w:r>
      <w:r w:rsidR="00DE4495" w:rsidRPr="00A826B6">
        <w:rPr>
          <w:lang w:val="en-GB"/>
        </w:rPr>
        <w:t>persons from the Sh</w:t>
      </w:r>
      <w:r w:rsidR="009F2E73" w:rsidRPr="00A826B6">
        <w:rPr>
          <w:lang w:val="en-GB"/>
        </w:rPr>
        <w:t xml:space="preserve">tjefni family would not be able to locate them. </w:t>
      </w:r>
      <w:r w:rsidR="00E70D9D" w:rsidRPr="00A826B6">
        <w:rPr>
          <w:lang w:val="en-GB"/>
        </w:rPr>
        <w:t xml:space="preserve">The </w:t>
      </w:r>
      <w:r w:rsidR="00FE5A28" w:rsidRPr="00A826B6">
        <w:rPr>
          <w:lang w:val="en-GB"/>
        </w:rPr>
        <w:t>i</w:t>
      </w:r>
      <w:r w:rsidR="00E70D9D" w:rsidRPr="00A826B6">
        <w:rPr>
          <w:lang w:val="en-GB"/>
        </w:rPr>
        <w:t xml:space="preserve">mmigration </w:t>
      </w:r>
      <w:r w:rsidR="00FE5A28" w:rsidRPr="00A826B6">
        <w:rPr>
          <w:lang w:val="en-GB"/>
        </w:rPr>
        <w:t>s</w:t>
      </w:r>
      <w:r w:rsidR="00E70D9D" w:rsidRPr="00A826B6">
        <w:rPr>
          <w:lang w:val="en-GB"/>
        </w:rPr>
        <w:t xml:space="preserve">ervice </w:t>
      </w:r>
      <w:r w:rsidR="00204B3F" w:rsidRPr="00A826B6">
        <w:rPr>
          <w:lang w:val="en-GB"/>
        </w:rPr>
        <w:t>concluded</w:t>
      </w:r>
      <w:r w:rsidR="00E70D9D" w:rsidRPr="00A826B6">
        <w:rPr>
          <w:lang w:val="en-GB"/>
        </w:rPr>
        <w:t xml:space="preserve"> that the severity and nature of the conflict did not amount to persecution, within the meaning of section 7 of the Aliens Act. </w:t>
      </w:r>
    </w:p>
    <w:p w14:paraId="1A51ABA7" w14:textId="57EE48FE" w:rsidR="00EE092E" w:rsidRPr="00A826B6" w:rsidRDefault="00FF01AB" w:rsidP="00C74D3D">
      <w:pPr>
        <w:pStyle w:val="SingleTxtG"/>
        <w:rPr>
          <w:color w:val="000000"/>
          <w:lang w:val="en-GB"/>
        </w:rPr>
      </w:pPr>
      <w:r w:rsidRPr="00A826B6">
        <w:rPr>
          <w:lang w:val="en-GB"/>
        </w:rPr>
        <w:t>4.</w:t>
      </w:r>
      <w:r w:rsidR="00241D82" w:rsidRPr="00A826B6">
        <w:rPr>
          <w:lang w:val="en-GB"/>
        </w:rPr>
        <w:t>9</w:t>
      </w:r>
      <w:r w:rsidRPr="00A826B6">
        <w:rPr>
          <w:lang w:val="en-GB"/>
        </w:rPr>
        <w:tab/>
      </w:r>
      <w:r w:rsidR="00BB6923" w:rsidRPr="00A826B6">
        <w:rPr>
          <w:lang w:val="en-GB"/>
        </w:rPr>
        <w:t>According to the</w:t>
      </w:r>
      <w:r w:rsidRPr="00A826B6">
        <w:rPr>
          <w:lang w:val="en-GB"/>
        </w:rPr>
        <w:t xml:space="preserve"> State party</w:t>
      </w:r>
      <w:r w:rsidR="00BB6923" w:rsidRPr="00A826B6">
        <w:rPr>
          <w:lang w:val="en-GB"/>
        </w:rPr>
        <w:t>,</w:t>
      </w:r>
      <w:r w:rsidRPr="00A826B6">
        <w:rPr>
          <w:lang w:val="en-GB"/>
        </w:rPr>
        <w:t xml:space="preserve"> the author</w:t>
      </w:r>
      <w:r w:rsidR="00C74D3D" w:rsidRPr="00A826B6">
        <w:rPr>
          <w:lang w:val="en-GB"/>
        </w:rPr>
        <w:t>s</w:t>
      </w:r>
      <w:r w:rsidRPr="00A826B6">
        <w:rPr>
          <w:lang w:val="en-GB"/>
        </w:rPr>
        <w:t>’ statement that the</w:t>
      </w:r>
      <w:r w:rsidR="007116D8" w:rsidRPr="00A826B6">
        <w:rPr>
          <w:lang w:val="en-GB"/>
        </w:rPr>
        <w:t xml:space="preserve"> potential risk </w:t>
      </w:r>
      <w:r w:rsidRPr="00A826B6">
        <w:rPr>
          <w:lang w:val="en-GB"/>
        </w:rPr>
        <w:t xml:space="preserve">for </w:t>
      </w:r>
      <w:r w:rsidR="0059470F" w:rsidRPr="00A826B6">
        <w:rPr>
          <w:lang w:val="en-GB"/>
        </w:rPr>
        <w:t>their lives</w:t>
      </w:r>
      <w:r w:rsidR="007116D8" w:rsidRPr="00A826B6">
        <w:rPr>
          <w:lang w:val="en-GB"/>
        </w:rPr>
        <w:t xml:space="preserve"> in case of return to Albania </w:t>
      </w:r>
      <w:r w:rsidR="00C74D3D" w:rsidRPr="00A826B6">
        <w:rPr>
          <w:lang w:val="en-GB"/>
        </w:rPr>
        <w:t xml:space="preserve">was only </w:t>
      </w:r>
      <w:r w:rsidR="007116D8" w:rsidRPr="00A826B6">
        <w:rPr>
          <w:lang w:val="en-GB"/>
        </w:rPr>
        <w:t>assessed by one administrative authority</w:t>
      </w:r>
      <w:r w:rsidR="00C74D3D" w:rsidRPr="00A826B6">
        <w:rPr>
          <w:lang w:val="en-GB"/>
        </w:rPr>
        <w:t>,</w:t>
      </w:r>
      <w:r w:rsidR="007116D8" w:rsidRPr="00A826B6">
        <w:rPr>
          <w:lang w:val="en-GB"/>
        </w:rPr>
        <w:t xml:space="preserve"> without the possibility of judicial review prior to the implementation of the return</w:t>
      </w:r>
      <w:r w:rsidRPr="00A826B6">
        <w:rPr>
          <w:lang w:val="en-GB"/>
        </w:rPr>
        <w:t>, is inaccurate</w:t>
      </w:r>
      <w:r w:rsidR="00C74D3D" w:rsidRPr="00A826B6">
        <w:rPr>
          <w:lang w:val="en-GB"/>
        </w:rPr>
        <w:t>.</w:t>
      </w:r>
      <w:r w:rsidRPr="00A826B6">
        <w:rPr>
          <w:lang w:val="en-GB"/>
        </w:rPr>
        <w:t xml:space="preserve"> </w:t>
      </w:r>
      <w:r w:rsidR="007116D8" w:rsidRPr="00A826B6">
        <w:rPr>
          <w:lang w:val="en-GB"/>
        </w:rPr>
        <w:t xml:space="preserve">The </w:t>
      </w:r>
      <w:r w:rsidRPr="00A826B6">
        <w:rPr>
          <w:lang w:val="en-GB"/>
        </w:rPr>
        <w:t xml:space="preserve">non-refoulement aspect of the case </w:t>
      </w:r>
      <w:r w:rsidR="007116D8" w:rsidRPr="00A826B6">
        <w:rPr>
          <w:lang w:val="en-GB"/>
        </w:rPr>
        <w:t xml:space="preserve">was first assessed by the </w:t>
      </w:r>
      <w:r w:rsidR="00FE5A28" w:rsidRPr="00A826B6">
        <w:rPr>
          <w:lang w:val="en-GB"/>
        </w:rPr>
        <w:t>i</w:t>
      </w:r>
      <w:r w:rsidR="007116D8" w:rsidRPr="00A826B6">
        <w:rPr>
          <w:lang w:val="en-GB"/>
        </w:rPr>
        <w:t xml:space="preserve">mmigration </w:t>
      </w:r>
      <w:r w:rsidR="00FE5A28" w:rsidRPr="00A826B6">
        <w:rPr>
          <w:lang w:val="en-GB"/>
        </w:rPr>
        <w:t>s</w:t>
      </w:r>
      <w:r w:rsidR="00572F28" w:rsidRPr="00A826B6">
        <w:rPr>
          <w:lang w:val="en-GB"/>
        </w:rPr>
        <w:t xml:space="preserve">ervice. </w:t>
      </w:r>
      <w:r w:rsidR="00BB6923" w:rsidRPr="00A826B6">
        <w:rPr>
          <w:lang w:val="en-GB"/>
        </w:rPr>
        <w:t>F</w:t>
      </w:r>
      <w:r w:rsidR="007116D8" w:rsidRPr="00A826B6">
        <w:rPr>
          <w:lang w:val="en-GB"/>
        </w:rPr>
        <w:t xml:space="preserve">ollowing a specific assessment, </w:t>
      </w:r>
      <w:r w:rsidR="00BB6923" w:rsidRPr="00A826B6">
        <w:rPr>
          <w:lang w:val="en-GB"/>
        </w:rPr>
        <w:t xml:space="preserve">the Danish Refugee Council </w:t>
      </w:r>
      <w:r w:rsidR="007116D8" w:rsidRPr="00A826B6">
        <w:rPr>
          <w:lang w:val="en-GB"/>
        </w:rPr>
        <w:t>endorsed the examin</w:t>
      </w:r>
      <w:r w:rsidRPr="00A826B6">
        <w:rPr>
          <w:lang w:val="en-GB"/>
        </w:rPr>
        <w:t>ation of the asylum application</w:t>
      </w:r>
      <w:r w:rsidR="007116D8" w:rsidRPr="00A826B6">
        <w:rPr>
          <w:lang w:val="en-GB"/>
        </w:rPr>
        <w:t xml:space="preserve"> in accordance with the </w:t>
      </w:r>
      <w:r w:rsidR="004015BC" w:rsidRPr="00A826B6">
        <w:rPr>
          <w:lang w:val="en-GB"/>
        </w:rPr>
        <w:t>“</w:t>
      </w:r>
      <w:r w:rsidR="007116D8" w:rsidRPr="00A826B6">
        <w:rPr>
          <w:lang w:val="en-GB"/>
        </w:rPr>
        <w:t>manifestly unfounded</w:t>
      </w:r>
      <w:r w:rsidR="004015BC" w:rsidRPr="00A826B6">
        <w:rPr>
          <w:lang w:val="en-GB"/>
        </w:rPr>
        <w:t>”</w:t>
      </w:r>
      <w:r w:rsidR="007116D8" w:rsidRPr="00A826B6">
        <w:rPr>
          <w:lang w:val="en-GB"/>
        </w:rPr>
        <w:t xml:space="preserve"> procedure.</w:t>
      </w:r>
      <w:r w:rsidR="00EE092E" w:rsidRPr="00A826B6">
        <w:rPr>
          <w:lang w:val="en-GB"/>
        </w:rPr>
        <w:t xml:space="preserve"> Moreover, the </w:t>
      </w:r>
      <w:r w:rsidR="00BB6923" w:rsidRPr="00A826B6">
        <w:rPr>
          <w:lang w:val="en-GB"/>
        </w:rPr>
        <w:t xml:space="preserve">referral of the case to the </w:t>
      </w:r>
      <w:r w:rsidR="00C12A55" w:rsidRPr="00A826B6">
        <w:rPr>
          <w:lang w:val="en-GB"/>
        </w:rPr>
        <w:t>r</w:t>
      </w:r>
      <w:r w:rsidR="00BB6923" w:rsidRPr="00A826B6">
        <w:rPr>
          <w:lang w:val="en-GB"/>
        </w:rPr>
        <w:t xml:space="preserve">efugee </w:t>
      </w:r>
      <w:r w:rsidR="00C12A55" w:rsidRPr="00A826B6">
        <w:rPr>
          <w:lang w:val="en-GB"/>
        </w:rPr>
        <w:t>a</w:t>
      </w:r>
      <w:r w:rsidR="00BB6923" w:rsidRPr="00A826B6">
        <w:rPr>
          <w:lang w:val="en-GB"/>
        </w:rPr>
        <w:t xml:space="preserve">ppeals </w:t>
      </w:r>
      <w:r w:rsidR="00C12A55" w:rsidRPr="00A826B6">
        <w:rPr>
          <w:lang w:val="en-GB"/>
        </w:rPr>
        <w:t>b</w:t>
      </w:r>
      <w:r w:rsidR="00BB6923" w:rsidRPr="00A826B6">
        <w:rPr>
          <w:lang w:val="en-GB"/>
        </w:rPr>
        <w:t xml:space="preserve">oard by the </w:t>
      </w:r>
      <w:r w:rsidR="00FE5A28" w:rsidRPr="00A826B6">
        <w:rPr>
          <w:lang w:val="en-GB"/>
        </w:rPr>
        <w:t>i</w:t>
      </w:r>
      <w:r w:rsidR="00EE092E" w:rsidRPr="00A826B6">
        <w:rPr>
          <w:lang w:val="en-GB"/>
        </w:rPr>
        <w:t xml:space="preserve">mmigration </w:t>
      </w:r>
      <w:r w:rsidR="00FE5A28" w:rsidRPr="00A826B6">
        <w:rPr>
          <w:lang w:val="en-GB"/>
        </w:rPr>
        <w:t>s</w:t>
      </w:r>
      <w:r w:rsidR="00EE092E" w:rsidRPr="00A826B6">
        <w:rPr>
          <w:lang w:val="en-GB"/>
        </w:rPr>
        <w:t>ervice</w:t>
      </w:r>
      <w:r w:rsidR="00BB6923" w:rsidRPr="00A826B6">
        <w:rPr>
          <w:lang w:val="en-GB"/>
        </w:rPr>
        <w:t>, as per standard procedure, did not give</w:t>
      </w:r>
      <w:r w:rsidR="00EE092E" w:rsidRPr="00A826B6">
        <w:rPr>
          <w:color w:val="000000"/>
          <w:lang w:val="en-GB"/>
        </w:rPr>
        <w:t xml:space="preserve"> rise to any comments from the </w:t>
      </w:r>
      <w:r w:rsidR="00C12A55" w:rsidRPr="00A826B6">
        <w:rPr>
          <w:color w:val="000000"/>
          <w:lang w:val="en-GB"/>
        </w:rPr>
        <w:t>b</w:t>
      </w:r>
      <w:r w:rsidR="00EE092E" w:rsidRPr="00A826B6">
        <w:rPr>
          <w:color w:val="000000"/>
          <w:lang w:val="en-GB"/>
        </w:rPr>
        <w:t>oard or to any application</w:t>
      </w:r>
      <w:r w:rsidR="00CE5E70" w:rsidRPr="00A826B6">
        <w:rPr>
          <w:color w:val="000000"/>
          <w:lang w:val="en-GB"/>
        </w:rPr>
        <w:t xml:space="preserve"> of </w:t>
      </w:r>
      <w:r w:rsidR="00C74D3D" w:rsidRPr="00A826B6">
        <w:rPr>
          <w:color w:val="000000"/>
          <w:lang w:val="en-GB"/>
        </w:rPr>
        <w:t xml:space="preserve">its </w:t>
      </w:r>
      <w:r w:rsidR="00CE5E70" w:rsidRPr="00A826B6">
        <w:rPr>
          <w:color w:val="000000"/>
          <w:lang w:val="en-GB"/>
        </w:rPr>
        <w:t xml:space="preserve">call-in powers. </w:t>
      </w:r>
    </w:p>
    <w:p w14:paraId="4A32E535" w14:textId="392BACF7" w:rsidR="007116D8" w:rsidRPr="00A826B6" w:rsidRDefault="00A73D1B" w:rsidP="00221877">
      <w:pPr>
        <w:pStyle w:val="SingleTxtG"/>
        <w:rPr>
          <w:color w:val="000000"/>
          <w:lang w:val="en-GB"/>
        </w:rPr>
      </w:pPr>
      <w:r w:rsidRPr="00A826B6">
        <w:rPr>
          <w:lang w:val="en-GB"/>
        </w:rPr>
        <w:t>4.</w:t>
      </w:r>
      <w:r w:rsidR="00C84984" w:rsidRPr="00A826B6">
        <w:rPr>
          <w:lang w:val="en-GB"/>
        </w:rPr>
        <w:t>1</w:t>
      </w:r>
      <w:r w:rsidR="00241D82" w:rsidRPr="00A826B6">
        <w:rPr>
          <w:lang w:val="en-GB"/>
        </w:rPr>
        <w:t>0</w:t>
      </w:r>
      <w:r w:rsidR="00FF01AB" w:rsidRPr="00A826B6">
        <w:rPr>
          <w:lang w:val="en-GB"/>
        </w:rPr>
        <w:tab/>
        <w:t>The State party adds that</w:t>
      </w:r>
      <w:r w:rsidR="007116D8" w:rsidRPr="00A826B6">
        <w:rPr>
          <w:lang w:val="en-GB"/>
        </w:rPr>
        <w:t xml:space="preserve"> </w:t>
      </w:r>
      <w:r w:rsidR="00BB6923" w:rsidRPr="00A826B6">
        <w:rPr>
          <w:lang w:val="en-GB"/>
        </w:rPr>
        <w:t>the issue of the risk in case of return was again considered as part of proceedings introduced by the author for a stay of execution before the District Court of Copenhagen and the High Court of Eastern Denmark.</w:t>
      </w:r>
      <w:r w:rsidR="00BB6923" w:rsidRPr="00A826B6">
        <w:rPr>
          <w:color w:val="000000"/>
          <w:lang w:val="en-GB"/>
        </w:rPr>
        <w:t xml:space="preserve"> </w:t>
      </w:r>
      <w:r w:rsidR="00FF01AB" w:rsidRPr="00A826B6">
        <w:rPr>
          <w:color w:val="000000"/>
          <w:lang w:val="en-GB"/>
        </w:rPr>
        <w:t>Therefore</w:t>
      </w:r>
      <w:r w:rsidR="007116D8" w:rsidRPr="00A826B6">
        <w:rPr>
          <w:lang w:val="en-GB"/>
        </w:rPr>
        <w:t>, the issue of the</w:t>
      </w:r>
      <w:r w:rsidR="00BB6923" w:rsidRPr="00A826B6">
        <w:rPr>
          <w:lang w:val="en-GB"/>
        </w:rPr>
        <w:t>ir</w:t>
      </w:r>
      <w:r w:rsidR="007116D8" w:rsidRPr="00A826B6">
        <w:rPr>
          <w:lang w:val="en-GB"/>
        </w:rPr>
        <w:t xml:space="preserve"> </w:t>
      </w:r>
      <w:r w:rsidR="007116D8" w:rsidRPr="00A826B6">
        <w:rPr>
          <w:lang w:val="en-GB"/>
        </w:rPr>
        <w:lastRenderedPageBreak/>
        <w:t>return has been the subject of review by both an administrative authority and two court instances.</w:t>
      </w:r>
      <w:r w:rsidR="002B3833" w:rsidRPr="00A826B6">
        <w:rPr>
          <w:lang w:val="en-GB"/>
        </w:rPr>
        <w:t xml:space="preserve"> The </w:t>
      </w:r>
      <w:r w:rsidR="00BB6923" w:rsidRPr="00A826B6">
        <w:rPr>
          <w:lang w:val="en-GB"/>
        </w:rPr>
        <w:t xml:space="preserve">State party recalls that the </w:t>
      </w:r>
      <w:r w:rsidR="002B3833" w:rsidRPr="00A826B6">
        <w:rPr>
          <w:lang w:val="en-GB"/>
        </w:rPr>
        <w:t>District Court refused to grant a stay of execution pending the completion of court proceedings</w:t>
      </w:r>
      <w:r w:rsidR="00BB6923" w:rsidRPr="00A826B6">
        <w:rPr>
          <w:lang w:val="en-GB"/>
        </w:rPr>
        <w:t>, a decision later upheld by</w:t>
      </w:r>
      <w:r w:rsidR="002B3833" w:rsidRPr="00A826B6">
        <w:rPr>
          <w:lang w:val="en-GB"/>
        </w:rPr>
        <w:t xml:space="preserve"> the </w:t>
      </w:r>
      <w:r w:rsidR="00BB6923" w:rsidRPr="00A826B6">
        <w:rPr>
          <w:lang w:val="en-GB"/>
        </w:rPr>
        <w:t>High Court of Eastern Denmark o</w:t>
      </w:r>
      <w:r w:rsidR="002B3833" w:rsidRPr="00A826B6">
        <w:rPr>
          <w:lang w:val="en-GB"/>
        </w:rPr>
        <w:t xml:space="preserve">n 15 November 2013. On 20 December 2013, the </w:t>
      </w:r>
      <w:r w:rsidR="0079182D" w:rsidRPr="00A826B6">
        <w:rPr>
          <w:lang w:val="en-GB"/>
        </w:rPr>
        <w:t>a</w:t>
      </w:r>
      <w:r w:rsidR="002B3833" w:rsidRPr="00A826B6">
        <w:rPr>
          <w:lang w:val="en-GB"/>
        </w:rPr>
        <w:t xml:space="preserve">ppeals permission </w:t>
      </w:r>
      <w:r w:rsidR="0079182D" w:rsidRPr="00A826B6">
        <w:rPr>
          <w:lang w:val="en-GB"/>
        </w:rPr>
        <w:t>b</w:t>
      </w:r>
      <w:r w:rsidR="002B3833" w:rsidRPr="00A826B6">
        <w:rPr>
          <w:lang w:val="en-GB"/>
        </w:rPr>
        <w:t xml:space="preserve">oard dismissed the </w:t>
      </w:r>
      <w:r w:rsidR="00BB6923" w:rsidRPr="00A826B6">
        <w:rPr>
          <w:lang w:val="en-GB"/>
        </w:rPr>
        <w:t xml:space="preserve">authors’ </w:t>
      </w:r>
      <w:r w:rsidR="002B3833" w:rsidRPr="00A826B6">
        <w:rPr>
          <w:lang w:val="en-GB"/>
        </w:rPr>
        <w:t>application</w:t>
      </w:r>
      <w:r w:rsidR="00BB6923" w:rsidRPr="00A826B6">
        <w:rPr>
          <w:lang w:val="en-GB"/>
        </w:rPr>
        <w:t xml:space="preserve"> to file an appeal before the Supreme Court.</w:t>
      </w:r>
      <w:r w:rsidR="002B3833" w:rsidRPr="00A826B6">
        <w:rPr>
          <w:lang w:val="en-GB"/>
        </w:rPr>
        <w:t xml:space="preserve"> </w:t>
      </w:r>
    </w:p>
    <w:p w14:paraId="1D8FFD4B" w14:textId="3C18E557" w:rsidR="00EE092E" w:rsidRPr="00A826B6" w:rsidRDefault="00A73D1B" w:rsidP="0079182D">
      <w:pPr>
        <w:pStyle w:val="SingleTxtG"/>
        <w:rPr>
          <w:color w:val="000000"/>
          <w:lang w:val="en-GB"/>
        </w:rPr>
      </w:pPr>
      <w:r w:rsidRPr="00A826B6">
        <w:rPr>
          <w:lang w:val="en-GB"/>
        </w:rPr>
        <w:t>4.</w:t>
      </w:r>
      <w:r w:rsidR="00C84984" w:rsidRPr="00A826B6">
        <w:rPr>
          <w:lang w:val="en-GB"/>
        </w:rPr>
        <w:t>1</w:t>
      </w:r>
      <w:r w:rsidR="00241D82" w:rsidRPr="00A826B6">
        <w:rPr>
          <w:lang w:val="en-GB"/>
        </w:rPr>
        <w:t>1</w:t>
      </w:r>
      <w:r w:rsidR="0059470F" w:rsidRPr="00A826B6">
        <w:rPr>
          <w:lang w:val="en-GB"/>
        </w:rPr>
        <w:tab/>
      </w:r>
      <w:r w:rsidR="00EE092E" w:rsidRPr="00A826B6">
        <w:rPr>
          <w:lang w:val="en-GB"/>
        </w:rPr>
        <w:t xml:space="preserve">The </w:t>
      </w:r>
      <w:r w:rsidR="00241D82" w:rsidRPr="00A826B6">
        <w:rPr>
          <w:lang w:val="en-GB"/>
        </w:rPr>
        <w:t>hearing</w:t>
      </w:r>
      <w:r w:rsidR="00EE092E" w:rsidRPr="00A826B6">
        <w:rPr>
          <w:lang w:val="en-GB"/>
        </w:rPr>
        <w:t xml:space="preserve"> on the merits of the</w:t>
      </w:r>
      <w:r w:rsidR="006A57F2" w:rsidRPr="00A826B6">
        <w:rPr>
          <w:lang w:val="en-GB"/>
        </w:rPr>
        <w:t xml:space="preserve"> authors’</w:t>
      </w:r>
      <w:r w:rsidR="00EE092E" w:rsidRPr="00A826B6">
        <w:rPr>
          <w:lang w:val="en-GB"/>
        </w:rPr>
        <w:t xml:space="preserve"> case</w:t>
      </w:r>
      <w:r w:rsidR="006A57F2" w:rsidRPr="00A826B6">
        <w:rPr>
          <w:lang w:val="en-GB"/>
        </w:rPr>
        <w:t xml:space="preserve">, which will assess </w:t>
      </w:r>
      <w:r w:rsidR="0079182D" w:rsidRPr="00A826B6">
        <w:rPr>
          <w:lang w:val="en-GB"/>
        </w:rPr>
        <w:t xml:space="preserve">their </w:t>
      </w:r>
      <w:r w:rsidR="00EE092E" w:rsidRPr="00A826B6">
        <w:rPr>
          <w:lang w:val="en-GB"/>
        </w:rPr>
        <w:t xml:space="preserve">asylum </w:t>
      </w:r>
      <w:r w:rsidR="006A57F2" w:rsidRPr="00A826B6">
        <w:rPr>
          <w:lang w:val="en-GB"/>
        </w:rPr>
        <w:t xml:space="preserve">application </w:t>
      </w:r>
      <w:r w:rsidR="0079182D" w:rsidRPr="00A826B6">
        <w:rPr>
          <w:lang w:val="en-GB"/>
        </w:rPr>
        <w:t xml:space="preserve">and </w:t>
      </w:r>
      <w:r w:rsidR="006A57F2" w:rsidRPr="00A826B6">
        <w:rPr>
          <w:lang w:val="en-GB"/>
        </w:rPr>
        <w:t>their right</w:t>
      </w:r>
      <w:r w:rsidR="00EE092E" w:rsidRPr="00A826B6">
        <w:rPr>
          <w:lang w:val="en-GB"/>
        </w:rPr>
        <w:t xml:space="preserve"> to appeal </w:t>
      </w:r>
      <w:r w:rsidR="006A57F2" w:rsidRPr="00A826B6">
        <w:rPr>
          <w:lang w:val="en-GB"/>
        </w:rPr>
        <w:t xml:space="preserve">to the </w:t>
      </w:r>
      <w:r w:rsidR="00C12A55" w:rsidRPr="00A826B6">
        <w:rPr>
          <w:lang w:val="en-GB"/>
        </w:rPr>
        <w:t>r</w:t>
      </w:r>
      <w:r w:rsidR="006A57F2" w:rsidRPr="00A826B6">
        <w:rPr>
          <w:lang w:val="en-GB"/>
        </w:rPr>
        <w:t xml:space="preserve">efugee </w:t>
      </w:r>
      <w:r w:rsidR="00C12A55" w:rsidRPr="00A826B6">
        <w:rPr>
          <w:lang w:val="en-GB"/>
        </w:rPr>
        <w:t>a</w:t>
      </w:r>
      <w:r w:rsidR="006A57F2" w:rsidRPr="00A826B6">
        <w:rPr>
          <w:lang w:val="en-GB"/>
        </w:rPr>
        <w:t xml:space="preserve">ppeals </w:t>
      </w:r>
      <w:r w:rsidR="00C12A55" w:rsidRPr="00A826B6">
        <w:rPr>
          <w:lang w:val="en-GB"/>
        </w:rPr>
        <w:t>b</w:t>
      </w:r>
      <w:r w:rsidR="006A57F2" w:rsidRPr="00A826B6">
        <w:rPr>
          <w:lang w:val="en-GB"/>
        </w:rPr>
        <w:t>oard,</w:t>
      </w:r>
      <w:r w:rsidR="00EE092E" w:rsidRPr="00A826B6">
        <w:rPr>
          <w:lang w:val="en-GB"/>
        </w:rPr>
        <w:t xml:space="preserve"> has been scheduled for 24 April 2014 by the District Court of Copenhagen.</w:t>
      </w:r>
      <w:r w:rsidR="00EE092E" w:rsidRPr="00A826B6">
        <w:rPr>
          <w:color w:val="000000"/>
          <w:lang w:val="en-GB"/>
        </w:rPr>
        <w:t xml:space="preserve"> </w:t>
      </w:r>
    </w:p>
    <w:p w14:paraId="37F4F452" w14:textId="7F9DBFA1" w:rsidR="00DD1299" w:rsidRPr="00A826B6" w:rsidRDefault="00241D82" w:rsidP="00455D04">
      <w:pPr>
        <w:pStyle w:val="SingleTxtG"/>
        <w:rPr>
          <w:lang w:val="en-GB"/>
        </w:rPr>
      </w:pPr>
      <w:r w:rsidRPr="00A826B6">
        <w:rPr>
          <w:lang w:val="en-GB"/>
        </w:rPr>
        <w:t>4.12</w:t>
      </w:r>
      <w:r w:rsidR="00A73D1B" w:rsidRPr="00A826B6">
        <w:rPr>
          <w:lang w:val="en-GB"/>
        </w:rPr>
        <w:tab/>
      </w:r>
      <w:r w:rsidR="00E81178" w:rsidRPr="00A826B6">
        <w:rPr>
          <w:lang w:val="en-GB"/>
        </w:rPr>
        <w:t>The State party considers</w:t>
      </w:r>
      <w:r w:rsidR="00DD1299" w:rsidRPr="00A826B6">
        <w:rPr>
          <w:lang w:val="en-GB"/>
        </w:rPr>
        <w:t xml:space="preserve"> the authors’ claim under article 6</w:t>
      </w:r>
      <w:r w:rsidR="00E81178" w:rsidRPr="00A826B6">
        <w:rPr>
          <w:lang w:val="en-GB"/>
        </w:rPr>
        <w:t xml:space="preserve"> to be</w:t>
      </w:r>
      <w:r w:rsidR="00DD1299" w:rsidRPr="00A826B6">
        <w:rPr>
          <w:lang w:val="en-GB"/>
        </w:rPr>
        <w:t xml:space="preserve"> manifestly unsubstantiated</w:t>
      </w:r>
      <w:r w:rsidR="00E334FC" w:rsidRPr="00A826B6">
        <w:rPr>
          <w:lang w:val="en-GB"/>
        </w:rPr>
        <w:t xml:space="preserve">. </w:t>
      </w:r>
      <w:r w:rsidR="00A07911" w:rsidRPr="00A826B6">
        <w:rPr>
          <w:lang w:val="en-GB"/>
        </w:rPr>
        <w:t>It</w:t>
      </w:r>
      <w:r w:rsidR="00E334FC" w:rsidRPr="00A826B6">
        <w:rPr>
          <w:lang w:val="en-GB"/>
        </w:rPr>
        <w:t xml:space="preserve"> adds that</w:t>
      </w:r>
      <w:r w:rsidR="0079182D" w:rsidRPr="00A826B6">
        <w:rPr>
          <w:lang w:val="en-GB"/>
        </w:rPr>
        <w:t>,</w:t>
      </w:r>
      <w:r w:rsidR="00E334FC" w:rsidRPr="00A826B6">
        <w:rPr>
          <w:lang w:val="en-GB"/>
        </w:rPr>
        <w:t xml:space="preserve"> th</w:t>
      </w:r>
      <w:r w:rsidR="00A07911" w:rsidRPr="00A826B6">
        <w:rPr>
          <w:lang w:val="en-GB"/>
        </w:rPr>
        <w:t>r</w:t>
      </w:r>
      <w:r w:rsidR="00E334FC" w:rsidRPr="00A826B6">
        <w:rPr>
          <w:lang w:val="en-GB"/>
        </w:rPr>
        <w:t xml:space="preserve">ough the interim measures </w:t>
      </w:r>
      <w:r w:rsidR="00434DE7" w:rsidRPr="00A826B6">
        <w:rPr>
          <w:lang w:val="en-GB" w:bidi="he-IL"/>
        </w:rPr>
        <w:t>issued</w:t>
      </w:r>
      <w:r w:rsidR="00434DE7" w:rsidRPr="00A826B6">
        <w:rPr>
          <w:lang w:val="en-GB"/>
        </w:rPr>
        <w:t xml:space="preserve"> </w:t>
      </w:r>
      <w:r w:rsidR="00E334FC" w:rsidRPr="00A826B6">
        <w:rPr>
          <w:lang w:val="en-GB"/>
        </w:rPr>
        <w:t xml:space="preserve">by the </w:t>
      </w:r>
      <w:r w:rsidR="0079182D" w:rsidRPr="00A826B6">
        <w:rPr>
          <w:lang w:val="en-GB"/>
        </w:rPr>
        <w:t>C</w:t>
      </w:r>
      <w:r w:rsidR="00E334FC" w:rsidRPr="00A826B6">
        <w:rPr>
          <w:lang w:val="en-GB"/>
        </w:rPr>
        <w:t xml:space="preserve">ommittee, the authors have </w:t>
      </w:r>
      <w:r w:rsidR="00455D04" w:rsidRPr="00A826B6">
        <w:rPr>
          <w:lang w:val="en-GB"/>
        </w:rPr>
        <w:t xml:space="preserve">managed to continue their </w:t>
      </w:r>
      <w:r w:rsidR="00E334FC" w:rsidRPr="00A826B6">
        <w:rPr>
          <w:lang w:val="en-GB"/>
        </w:rPr>
        <w:t xml:space="preserve">stay in Denmark until completion of the legal proceedings concerning their residence permits. </w:t>
      </w:r>
    </w:p>
    <w:p w14:paraId="4B4DD1F8" w14:textId="5CFF6A39" w:rsidR="00F32CF3" w:rsidRPr="00A826B6" w:rsidRDefault="00C84984" w:rsidP="00455D04">
      <w:pPr>
        <w:pStyle w:val="SingleTxtG"/>
        <w:rPr>
          <w:color w:val="000000"/>
          <w:lang w:val="en-GB"/>
        </w:rPr>
      </w:pPr>
      <w:r w:rsidRPr="00A826B6">
        <w:rPr>
          <w:lang w:val="en-GB"/>
        </w:rPr>
        <w:t>4.1</w:t>
      </w:r>
      <w:r w:rsidR="00241D82" w:rsidRPr="00A826B6">
        <w:rPr>
          <w:lang w:val="en-GB"/>
        </w:rPr>
        <w:t>3</w:t>
      </w:r>
      <w:r w:rsidR="00E334FC" w:rsidRPr="00A826B6">
        <w:rPr>
          <w:lang w:val="en-GB"/>
        </w:rPr>
        <w:tab/>
      </w:r>
      <w:r w:rsidR="00F32CF3" w:rsidRPr="00A826B6">
        <w:rPr>
          <w:lang w:val="en-GB"/>
        </w:rPr>
        <w:t xml:space="preserve">Concerning article 14 of the Covenant, the State party </w:t>
      </w:r>
      <w:r w:rsidR="00D520E0" w:rsidRPr="00A826B6">
        <w:rPr>
          <w:lang w:val="en-GB"/>
        </w:rPr>
        <w:t xml:space="preserve">refers to </w:t>
      </w:r>
      <w:r w:rsidR="00455D04" w:rsidRPr="00A826B6">
        <w:rPr>
          <w:lang w:val="en-GB"/>
        </w:rPr>
        <w:t xml:space="preserve">paragraphs 16 and 17 of </w:t>
      </w:r>
      <w:r w:rsidR="00D520E0" w:rsidRPr="00A826B6">
        <w:rPr>
          <w:lang w:val="en-GB"/>
        </w:rPr>
        <w:t xml:space="preserve">the </w:t>
      </w:r>
      <w:r w:rsidR="00455D04" w:rsidRPr="00A826B6">
        <w:rPr>
          <w:lang w:val="en-GB"/>
        </w:rPr>
        <w:t>C</w:t>
      </w:r>
      <w:r w:rsidR="00D520E0" w:rsidRPr="00A826B6">
        <w:rPr>
          <w:lang w:val="en-GB"/>
        </w:rPr>
        <w:t xml:space="preserve">ommittee’s </w:t>
      </w:r>
      <w:r w:rsidR="00455D04" w:rsidRPr="00A826B6">
        <w:rPr>
          <w:lang w:val="en-GB"/>
        </w:rPr>
        <w:t>g</w:t>
      </w:r>
      <w:r w:rsidR="00D520E0" w:rsidRPr="00A826B6">
        <w:rPr>
          <w:lang w:val="en-GB"/>
        </w:rPr>
        <w:t xml:space="preserve">eneral </w:t>
      </w:r>
      <w:r w:rsidR="00455D04" w:rsidRPr="00A826B6">
        <w:rPr>
          <w:lang w:val="en-GB"/>
        </w:rPr>
        <w:t>c</w:t>
      </w:r>
      <w:r w:rsidR="00D520E0" w:rsidRPr="00A826B6">
        <w:rPr>
          <w:lang w:val="en-GB"/>
        </w:rPr>
        <w:t>omment No. 32</w:t>
      </w:r>
      <w:r w:rsidR="00D90E42" w:rsidRPr="00A826B6">
        <w:rPr>
          <w:lang w:val="en-GB"/>
        </w:rPr>
        <w:t xml:space="preserve"> </w:t>
      </w:r>
      <w:r w:rsidR="00D520E0" w:rsidRPr="00A826B6">
        <w:rPr>
          <w:lang w:val="en-GB"/>
        </w:rPr>
        <w:t xml:space="preserve">and </w:t>
      </w:r>
      <w:r w:rsidR="00F32CF3" w:rsidRPr="00A826B6">
        <w:rPr>
          <w:lang w:val="en-GB"/>
        </w:rPr>
        <w:t>notes that asylum proceedings do not constitute civil rights and obligations and</w:t>
      </w:r>
      <w:r w:rsidR="00D520E0" w:rsidRPr="00A826B6">
        <w:rPr>
          <w:lang w:val="en-GB"/>
        </w:rPr>
        <w:t xml:space="preserve"> thus fall outside the scope of a</w:t>
      </w:r>
      <w:r w:rsidR="00F32CF3" w:rsidRPr="00A826B6">
        <w:rPr>
          <w:lang w:val="en-GB"/>
        </w:rPr>
        <w:t>rticle 14.</w:t>
      </w:r>
      <w:r w:rsidR="00D520E0" w:rsidRPr="00A826B6">
        <w:rPr>
          <w:color w:val="000000"/>
          <w:lang w:val="en-GB"/>
        </w:rPr>
        <w:t xml:space="preserve"> </w:t>
      </w:r>
      <w:r w:rsidR="00F32CF3" w:rsidRPr="00A826B6">
        <w:rPr>
          <w:lang w:val="en-GB"/>
        </w:rPr>
        <w:t>Should the Committee nonetheless find that asylum proceedin</w:t>
      </w:r>
      <w:r w:rsidR="00D520E0" w:rsidRPr="00A826B6">
        <w:rPr>
          <w:lang w:val="en-GB"/>
        </w:rPr>
        <w:t>gs do fall within the scope of a</w:t>
      </w:r>
      <w:r w:rsidR="00F32CF3" w:rsidRPr="00A826B6">
        <w:rPr>
          <w:lang w:val="en-GB"/>
        </w:rPr>
        <w:t xml:space="preserve">rticle 14, the </w:t>
      </w:r>
      <w:r w:rsidR="00D520E0" w:rsidRPr="00A826B6">
        <w:rPr>
          <w:lang w:val="en-GB"/>
        </w:rPr>
        <w:t>State party</w:t>
      </w:r>
      <w:r w:rsidR="00F32CF3" w:rsidRPr="00A826B6">
        <w:rPr>
          <w:lang w:val="en-GB"/>
        </w:rPr>
        <w:t xml:space="preserve"> submits that the authors have failed to establish that they have been deprived of their rights under </w:t>
      </w:r>
      <w:r w:rsidR="00D520E0" w:rsidRPr="00A826B6">
        <w:rPr>
          <w:lang w:val="en-GB"/>
        </w:rPr>
        <w:t>this provision</w:t>
      </w:r>
      <w:r w:rsidR="00F32CF3" w:rsidRPr="00A826B6">
        <w:rPr>
          <w:lang w:val="en-GB"/>
        </w:rPr>
        <w:t xml:space="preserve">. </w:t>
      </w:r>
    </w:p>
    <w:p w14:paraId="037CEB51" w14:textId="633F3C75" w:rsidR="007116D8" w:rsidRPr="00A826B6" w:rsidRDefault="00E334FC" w:rsidP="00221877">
      <w:pPr>
        <w:pStyle w:val="SingleTxtG"/>
        <w:rPr>
          <w:lang w:val="en-GB"/>
        </w:rPr>
      </w:pPr>
      <w:r w:rsidRPr="00A826B6">
        <w:rPr>
          <w:lang w:val="en-GB"/>
        </w:rPr>
        <w:t>4.1</w:t>
      </w:r>
      <w:r w:rsidR="00241D82" w:rsidRPr="00A826B6">
        <w:rPr>
          <w:lang w:val="en-GB"/>
        </w:rPr>
        <w:t>4</w:t>
      </w:r>
      <w:r w:rsidR="00E81178" w:rsidRPr="00A826B6">
        <w:rPr>
          <w:lang w:val="en-GB"/>
        </w:rPr>
        <w:tab/>
        <w:t>Regarding the author</w:t>
      </w:r>
      <w:r w:rsidR="00D520E0" w:rsidRPr="00A826B6">
        <w:rPr>
          <w:lang w:val="en-GB"/>
        </w:rPr>
        <w:t>s</w:t>
      </w:r>
      <w:r w:rsidR="00E81178" w:rsidRPr="00A826B6">
        <w:rPr>
          <w:lang w:val="en-GB"/>
        </w:rPr>
        <w:t>’</w:t>
      </w:r>
      <w:r w:rsidR="00D520E0" w:rsidRPr="00A826B6">
        <w:rPr>
          <w:lang w:val="en-GB"/>
        </w:rPr>
        <w:t xml:space="preserve"> claim under article 14 that they were not provided with a lawyer, the State party stresses that a</w:t>
      </w:r>
      <w:r w:rsidR="007116D8" w:rsidRPr="00A826B6">
        <w:rPr>
          <w:lang w:val="en-GB"/>
        </w:rPr>
        <w:t>rticle 14</w:t>
      </w:r>
      <w:r w:rsidR="00455D04" w:rsidRPr="00A826B6">
        <w:rPr>
          <w:lang w:val="en-GB"/>
        </w:rPr>
        <w:t> </w:t>
      </w:r>
      <w:r w:rsidR="007116D8" w:rsidRPr="00A826B6">
        <w:rPr>
          <w:lang w:val="en-GB"/>
        </w:rPr>
        <w:t>(3)</w:t>
      </w:r>
      <w:r w:rsidR="00455D04" w:rsidRPr="00A826B6">
        <w:rPr>
          <w:lang w:val="en-GB"/>
        </w:rPr>
        <w:t> </w:t>
      </w:r>
      <w:r w:rsidR="007116D8" w:rsidRPr="00A826B6">
        <w:rPr>
          <w:lang w:val="en-GB"/>
        </w:rPr>
        <w:t>(d) only applies to criminal cases.</w:t>
      </w:r>
      <w:r w:rsidR="007116D8" w:rsidRPr="00A826B6">
        <w:rPr>
          <w:color w:val="000000"/>
          <w:lang w:val="en-GB"/>
        </w:rPr>
        <w:t xml:space="preserve"> The</w:t>
      </w:r>
      <w:r w:rsidR="00D520E0" w:rsidRPr="00A826B6">
        <w:rPr>
          <w:color w:val="000000"/>
          <w:lang w:val="en-GB"/>
        </w:rPr>
        <w:t xml:space="preserve">refore, </w:t>
      </w:r>
      <w:r w:rsidR="007116D8" w:rsidRPr="00A826B6">
        <w:rPr>
          <w:color w:val="000000"/>
          <w:lang w:val="en-GB"/>
        </w:rPr>
        <w:t>whether or not asylum procee</w:t>
      </w:r>
      <w:r w:rsidR="00D520E0" w:rsidRPr="00A826B6">
        <w:rPr>
          <w:color w:val="000000"/>
          <w:lang w:val="en-GB"/>
        </w:rPr>
        <w:t>dings fall within the scope of a</w:t>
      </w:r>
      <w:r w:rsidR="007116D8" w:rsidRPr="00A826B6">
        <w:rPr>
          <w:color w:val="000000"/>
          <w:lang w:val="en-GB"/>
        </w:rPr>
        <w:t>rticle 14</w:t>
      </w:r>
      <w:r w:rsidR="00D520E0" w:rsidRPr="00A826B6">
        <w:rPr>
          <w:color w:val="000000"/>
          <w:lang w:val="en-GB"/>
        </w:rPr>
        <w:t xml:space="preserve">, </w:t>
      </w:r>
      <w:r w:rsidR="00455D04" w:rsidRPr="00A826B6">
        <w:rPr>
          <w:color w:val="000000"/>
          <w:lang w:val="en-GB"/>
        </w:rPr>
        <w:t xml:space="preserve">the authors’ arguments </w:t>
      </w:r>
      <w:r w:rsidR="00D520E0" w:rsidRPr="00A826B6">
        <w:rPr>
          <w:color w:val="000000"/>
          <w:lang w:val="en-GB"/>
        </w:rPr>
        <w:t>fall outside the scope of this provision</w:t>
      </w:r>
      <w:r w:rsidR="007116D8" w:rsidRPr="00A826B6">
        <w:rPr>
          <w:color w:val="000000"/>
          <w:lang w:val="en-GB"/>
        </w:rPr>
        <w:t>.</w:t>
      </w:r>
    </w:p>
    <w:p w14:paraId="6A5C3C31" w14:textId="2798EDE1" w:rsidR="007116D8" w:rsidRPr="00A826B6" w:rsidRDefault="00892120" w:rsidP="00455D04">
      <w:pPr>
        <w:pStyle w:val="SingleTxtG"/>
        <w:rPr>
          <w:lang w:val="en-GB"/>
        </w:rPr>
      </w:pPr>
      <w:r w:rsidRPr="00A826B6">
        <w:rPr>
          <w:lang w:val="en-GB"/>
        </w:rPr>
        <w:t>4.1</w:t>
      </w:r>
      <w:r w:rsidR="00241D82" w:rsidRPr="00A826B6">
        <w:rPr>
          <w:lang w:val="en-GB"/>
        </w:rPr>
        <w:t>5</w:t>
      </w:r>
      <w:r w:rsidRPr="00A826B6">
        <w:rPr>
          <w:lang w:val="en-GB"/>
        </w:rPr>
        <w:tab/>
        <w:t>Concerning article 26 and the authors’ contention that</w:t>
      </w:r>
      <w:r w:rsidR="00455D04" w:rsidRPr="00A826B6">
        <w:rPr>
          <w:lang w:val="en-GB"/>
        </w:rPr>
        <w:t>,</w:t>
      </w:r>
      <w:r w:rsidRPr="00A826B6">
        <w:rPr>
          <w:lang w:val="en-GB"/>
        </w:rPr>
        <w:t xml:space="preserve"> by giving </w:t>
      </w:r>
      <w:r w:rsidR="00455D04" w:rsidRPr="00A826B6">
        <w:rPr>
          <w:lang w:val="en-GB"/>
        </w:rPr>
        <w:t xml:space="preserve">access to appeal </w:t>
      </w:r>
      <w:r w:rsidRPr="00A826B6">
        <w:rPr>
          <w:lang w:val="en-GB"/>
        </w:rPr>
        <w:t xml:space="preserve">to </w:t>
      </w:r>
      <w:r w:rsidR="00455D04" w:rsidRPr="00A826B6">
        <w:rPr>
          <w:lang w:val="en-GB"/>
        </w:rPr>
        <w:t xml:space="preserve">other </w:t>
      </w:r>
      <w:r w:rsidRPr="00A826B6">
        <w:rPr>
          <w:lang w:val="en-GB"/>
        </w:rPr>
        <w:t>asylum</w:t>
      </w:r>
      <w:r w:rsidR="00980DDD" w:rsidRPr="00A826B6">
        <w:rPr>
          <w:lang w:val="en-GB"/>
        </w:rPr>
        <w:t xml:space="preserve"> </w:t>
      </w:r>
      <w:r w:rsidRPr="00A826B6">
        <w:rPr>
          <w:lang w:val="en-GB"/>
        </w:rPr>
        <w:t xml:space="preserve">seekers in </w:t>
      </w:r>
      <w:r w:rsidR="00455D04" w:rsidRPr="00A826B6">
        <w:rPr>
          <w:lang w:val="en-GB"/>
        </w:rPr>
        <w:t xml:space="preserve">a </w:t>
      </w:r>
      <w:r w:rsidRPr="00A826B6">
        <w:rPr>
          <w:lang w:val="en-GB"/>
        </w:rPr>
        <w:t>comparable situation the State party discriminated against them, the State party</w:t>
      </w:r>
      <w:r w:rsidR="007116D8" w:rsidRPr="00A826B6">
        <w:rPr>
          <w:lang w:val="en-GB"/>
        </w:rPr>
        <w:t xml:space="preserve"> </w:t>
      </w:r>
      <w:r w:rsidRPr="00A826B6">
        <w:rPr>
          <w:lang w:val="en-GB"/>
        </w:rPr>
        <w:t>acknowledges that</w:t>
      </w:r>
      <w:r w:rsidR="007116D8" w:rsidRPr="00A826B6">
        <w:rPr>
          <w:lang w:val="en-GB"/>
        </w:rPr>
        <w:t xml:space="preserve"> access to appeal to the </w:t>
      </w:r>
      <w:r w:rsidR="00C12A55" w:rsidRPr="00A826B6">
        <w:rPr>
          <w:lang w:val="en-GB"/>
        </w:rPr>
        <w:t>r</w:t>
      </w:r>
      <w:r w:rsidR="007116D8" w:rsidRPr="00A826B6">
        <w:rPr>
          <w:lang w:val="en-GB"/>
        </w:rPr>
        <w:t xml:space="preserve">efugee </w:t>
      </w:r>
      <w:r w:rsidR="00C12A55" w:rsidRPr="00A826B6">
        <w:rPr>
          <w:lang w:val="en-GB"/>
        </w:rPr>
        <w:t>a</w:t>
      </w:r>
      <w:r w:rsidR="007116D8" w:rsidRPr="00A826B6">
        <w:rPr>
          <w:lang w:val="en-GB"/>
        </w:rPr>
        <w:t xml:space="preserve">ppeals </w:t>
      </w:r>
      <w:r w:rsidR="00C12A55" w:rsidRPr="00A826B6">
        <w:rPr>
          <w:lang w:val="en-GB"/>
        </w:rPr>
        <w:t>b</w:t>
      </w:r>
      <w:r w:rsidR="007116D8" w:rsidRPr="00A826B6">
        <w:rPr>
          <w:lang w:val="en-GB"/>
        </w:rPr>
        <w:t>oard has been granted in a few cases concerning Albanian asylum</w:t>
      </w:r>
      <w:r w:rsidR="00980DDD" w:rsidRPr="00A826B6">
        <w:rPr>
          <w:lang w:val="en-GB"/>
        </w:rPr>
        <w:t xml:space="preserve"> </w:t>
      </w:r>
      <w:r w:rsidR="007116D8" w:rsidRPr="00A826B6">
        <w:rPr>
          <w:lang w:val="en-GB"/>
        </w:rPr>
        <w:t xml:space="preserve">seekers </w:t>
      </w:r>
      <w:r w:rsidR="00455D04" w:rsidRPr="00A826B6">
        <w:rPr>
          <w:lang w:val="en-GB"/>
        </w:rPr>
        <w:t xml:space="preserve">who claimed </w:t>
      </w:r>
      <w:r w:rsidR="007116D8" w:rsidRPr="00A826B6">
        <w:rPr>
          <w:lang w:val="en-GB"/>
        </w:rPr>
        <w:t>fear of blood revenge as their grounds for seeking asylum.</w:t>
      </w:r>
      <w:r w:rsidRPr="00A826B6">
        <w:rPr>
          <w:lang w:val="en-GB"/>
        </w:rPr>
        <w:t xml:space="preserve"> However, such </w:t>
      </w:r>
      <w:r w:rsidR="007116D8" w:rsidRPr="00A826B6">
        <w:rPr>
          <w:lang w:val="en-GB"/>
        </w:rPr>
        <w:t>cases naturall</w:t>
      </w:r>
      <w:r w:rsidRPr="00A826B6">
        <w:rPr>
          <w:lang w:val="en-GB"/>
        </w:rPr>
        <w:t>y vary in intensity and nature. I</w:t>
      </w:r>
      <w:r w:rsidR="00E81178" w:rsidRPr="00A826B6">
        <w:rPr>
          <w:lang w:val="en-GB"/>
        </w:rPr>
        <w:t>n any event, it can</w:t>
      </w:r>
      <w:r w:rsidRPr="00A826B6">
        <w:rPr>
          <w:lang w:val="en-GB"/>
        </w:rPr>
        <w:t>not be stated that the procedure implied discrimination</w:t>
      </w:r>
      <w:r w:rsidR="00E334FC" w:rsidRPr="00A826B6">
        <w:rPr>
          <w:lang w:val="en-GB"/>
        </w:rPr>
        <w:t xml:space="preserve"> or</w:t>
      </w:r>
      <w:r w:rsidRPr="00A826B6">
        <w:rPr>
          <w:lang w:val="en-GB"/>
        </w:rPr>
        <w:t xml:space="preserve"> </w:t>
      </w:r>
      <w:r w:rsidR="00212AC2" w:rsidRPr="00A826B6">
        <w:rPr>
          <w:lang w:val="en-GB"/>
        </w:rPr>
        <w:t xml:space="preserve">a </w:t>
      </w:r>
      <w:r w:rsidR="00E81178" w:rsidRPr="00A826B6">
        <w:rPr>
          <w:lang w:val="en-GB"/>
        </w:rPr>
        <w:t>lack of equality before the law with respect to the authors.</w:t>
      </w:r>
      <w:r w:rsidRPr="00A826B6">
        <w:rPr>
          <w:lang w:val="en-GB"/>
        </w:rPr>
        <w:t xml:space="preserve"> </w:t>
      </w:r>
    </w:p>
    <w:p w14:paraId="6F7E25B9" w14:textId="30EA8590" w:rsidR="007116D8" w:rsidRPr="00A826B6" w:rsidRDefault="00C84984" w:rsidP="00455D04">
      <w:pPr>
        <w:pStyle w:val="SingleTxtG"/>
        <w:rPr>
          <w:lang w:val="en-GB"/>
        </w:rPr>
      </w:pPr>
      <w:r w:rsidRPr="00A826B6">
        <w:rPr>
          <w:lang w:val="en-GB"/>
        </w:rPr>
        <w:t>4.1</w:t>
      </w:r>
      <w:r w:rsidR="00241D82" w:rsidRPr="00A826B6">
        <w:rPr>
          <w:lang w:val="en-GB"/>
        </w:rPr>
        <w:t>6</w:t>
      </w:r>
      <w:r w:rsidR="00E334FC" w:rsidRPr="00A826B6">
        <w:rPr>
          <w:lang w:val="en-GB"/>
        </w:rPr>
        <w:tab/>
      </w:r>
      <w:r w:rsidR="00262E85" w:rsidRPr="00A826B6">
        <w:rPr>
          <w:lang w:val="en-GB"/>
        </w:rPr>
        <w:t>Against this</w:t>
      </w:r>
      <w:r w:rsidR="007116D8" w:rsidRPr="00A826B6">
        <w:rPr>
          <w:lang w:val="en-GB"/>
        </w:rPr>
        <w:t xml:space="preserve"> background, the </w:t>
      </w:r>
      <w:r w:rsidR="00E334FC" w:rsidRPr="00A826B6">
        <w:rPr>
          <w:lang w:val="en-GB"/>
        </w:rPr>
        <w:t xml:space="preserve">State party concludes that </w:t>
      </w:r>
      <w:r w:rsidR="00CA6303" w:rsidRPr="00A826B6">
        <w:rPr>
          <w:lang w:val="en-GB"/>
        </w:rPr>
        <w:t xml:space="preserve">the </w:t>
      </w:r>
      <w:r w:rsidR="00262E85" w:rsidRPr="00A826B6">
        <w:rPr>
          <w:lang w:val="en-GB"/>
        </w:rPr>
        <w:t xml:space="preserve">authors’ </w:t>
      </w:r>
      <w:r w:rsidR="00CA6303" w:rsidRPr="00A826B6">
        <w:rPr>
          <w:lang w:val="en-GB"/>
        </w:rPr>
        <w:t>communication</w:t>
      </w:r>
      <w:r w:rsidR="007116D8" w:rsidRPr="00A826B6">
        <w:rPr>
          <w:lang w:val="en-GB"/>
        </w:rPr>
        <w:t xml:space="preserve"> constitutes an abuse of the right of submission and that </w:t>
      </w:r>
      <w:r w:rsidR="00E334FC" w:rsidRPr="00A826B6">
        <w:rPr>
          <w:lang w:val="en-GB"/>
        </w:rPr>
        <w:t>it</w:t>
      </w:r>
      <w:r w:rsidR="007116D8" w:rsidRPr="00A826B6">
        <w:rPr>
          <w:lang w:val="en-GB"/>
        </w:rPr>
        <w:t xml:space="preserve"> should be declared inadmissible.</w:t>
      </w:r>
    </w:p>
    <w:p w14:paraId="557A290F" w14:textId="3012C153" w:rsidR="007740F1" w:rsidRPr="00A826B6" w:rsidRDefault="00A33D13" w:rsidP="00A33D13">
      <w:pPr>
        <w:pStyle w:val="H23G"/>
      </w:pPr>
      <w:r w:rsidRPr="00A826B6">
        <w:tab/>
      </w:r>
      <w:r w:rsidRPr="00A826B6">
        <w:tab/>
      </w:r>
      <w:r w:rsidR="00431396" w:rsidRPr="00A826B6">
        <w:t>Author’</w:t>
      </w:r>
      <w:r w:rsidR="00446ABC" w:rsidRPr="00A826B6">
        <w:t>s</w:t>
      </w:r>
      <w:r w:rsidR="009A19F8" w:rsidRPr="00A826B6">
        <w:t xml:space="preserve"> comments on the State party</w:t>
      </w:r>
      <w:r w:rsidR="002E25D3" w:rsidRPr="00A826B6">
        <w:t>’</w:t>
      </w:r>
      <w:r w:rsidR="009A19F8" w:rsidRPr="00A826B6">
        <w:t>s observations</w:t>
      </w:r>
      <w:r w:rsidR="000A2EE4" w:rsidRPr="00A826B6">
        <w:t xml:space="preserve"> </w:t>
      </w:r>
    </w:p>
    <w:p w14:paraId="4A861238" w14:textId="4ABF6C53" w:rsidR="00621F31" w:rsidRPr="00A826B6" w:rsidRDefault="009A19F8" w:rsidP="00D62F0B">
      <w:pPr>
        <w:pStyle w:val="SingleTxtG"/>
        <w:rPr>
          <w:lang w:val="en-GB"/>
        </w:rPr>
      </w:pPr>
      <w:r w:rsidRPr="00A826B6">
        <w:rPr>
          <w:lang w:val="en-GB"/>
        </w:rPr>
        <w:t>5.</w:t>
      </w:r>
      <w:r w:rsidR="008730D5" w:rsidRPr="00A826B6">
        <w:rPr>
          <w:lang w:val="en-GB"/>
        </w:rPr>
        <w:t>1</w:t>
      </w:r>
      <w:r w:rsidRPr="00A826B6">
        <w:rPr>
          <w:lang w:val="en-GB"/>
        </w:rPr>
        <w:tab/>
      </w:r>
      <w:r w:rsidR="00053039" w:rsidRPr="00A826B6">
        <w:rPr>
          <w:lang w:val="en-GB"/>
        </w:rPr>
        <w:t>On 12 May 2014, t</w:t>
      </w:r>
      <w:r w:rsidR="00621F31" w:rsidRPr="00A826B6">
        <w:rPr>
          <w:lang w:val="en-GB"/>
        </w:rPr>
        <w:t>he authors submit</w:t>
      </w:r>
      <w:r w:rsidR="00414A7B" w:rsidRPr="00A826B6">
        <w:rPr>
          <w:lang w:val="en-GB"/>
        </w:rPr>
        <w:t>ted</w:t>
      </w:r>
      <w:r w:rsidR="00621F31" w:rsidRPr="00A826B6">
        <w:rPr>
          <w:lang w:val="en-GB"/>
        </w:rPr>
        <w:t xml:space="preserve"> that</w:t>
      </w:r>
      <w:r w:rsidR="00D62F0B" w:rsidRPr="00A826B6">
        <w:rPr>
          <w:lang w:val="en-GB"/>
        </w:rPr>
        <w:t>,</w:t>
      </w:r>
      <w:r w:rsidR="00621F31" w:rsidRPr="00A826B6">
        <w:rPr>
          <w:lang w:val="en-GB"/>
        </w:rPr>
        <w:t xml:space="preserve"> thanks to the interim measures demanded by the</w:t>
      </w:r>
      <w:r w:rsidR="00D90E42" w:rsidRPr="00A826B6">
        <w:rPr>
          <w:lang w:val="en-GB"/>
        </w:rPr>
        <w:t xml:space="preserve"> </w:t>
      </w:r>
      <w:r w:rsidR="00621F31" w:rsidRPr="00A826B6">
        <w:rPr>
          <w:lang w:val="en-GB"/>
        </w:rPr>
        <w:t xml:space="preserve">Committee and respected by the State party, they could attend the hearing held on 24 April 2014 by the </w:t>
      </w:r>
      <w:r w:rsidR="00D62F0B" w:rsidRPr="00A826B6">
        <w:rPr>
          <w:lang w:val="en-GB"/>
        </w:rPr>
        <w:t xml:space="preserve">District </w:t>
      </w:r>
      <w:r w:rsidR="00621F31" w:rsidRPr="00A826B6">
        <w:rPr>
          <w:lang w:val="en-GB"/>
        </w:rPr>
        <w:t>Court of Copenhagen. A verdict is expected on 22 May 2014.</w:t>
      </w:r>
      <w:r w:rsidR="00FB0169" w:rsidRPr="00A826B6">
        <w:rPr>
          <w:lang w:val="en-GB"/>
        </w:rPr>
        <w:t xml:space="preserve"> </w:t>
      </w:r>
    </w:p>
    <w:p w14:paraId="1475CC28" w14:textId="2A2F2466" w:rsidR="00FB0169" w:rsidRPr="00A826B6" w:rsidRDefault="00FB0169" w:rsidP="005D13DD">
      <w:pPr>
        <w:pStyle w:val="SingleTxtG"/>
        <w:rPr>
          <w:lang w:val="en-GB"/>
        </w:rPr>
      </w:pPr>
      <w:r w:rsidRPr="00A826B6">
        <w:rPr>
          <w:lang w:val="en-GB"/>
        </w:rPr>
        <w:t>5.2</w:t>
      </w:r>
      <w:r w:rsidRPr="00A826B6">
        <w:rPr>
          <w:lang w:val="en-GB"/>
        </w:rPr>
        <w:tab/>
        <w:t xml:space="preserve">The authors reiterate their previous submission. They </w:t>
      </w:r>
      <w:r w:rsidR="00DD7965" w:rsidRPr="00A826B6">
        <w:rPr>
          <w:lang w:val="en-GB"/>
        </w:rPr>
        <w:t>also note</w:t>
      </w:r>
      <w:r w:rsidRPr="00A826B6">
        <w:rPr>
          <w:lang w:val="en-GB"/>
        </w:rPr>
        <w:t xml:space="preserve"> that it is unclear </w:t>
      </w:r>
      <w:r w:rsidR="005D13DD" w:rsidRPr="00A826B6">
        <w:rPr>
          <w:lang w:val="en-GB"/>
        </w:rPr>
        <w:t xml:space="preserve">as to </w:t>
      </w:r>
      <w:r w:rsidR="00D62F0B" w:rsidRPr="00A826B6">
        <w:rPr>
          <w:lang w:val="en-GB"/>
        </w:rPr>
        <w:t xml:space="preserve">which </w:t>
      </w:r>
      <w:r w:rsidRPr="00A826B6">
        <w:rPr>
          <w:lang w:val="en-GB"/>
        </w:rPr>
        <w:t>specific ground of section 53</w:t>
      </w:r>
      <w:r w:rsidR="00D50395" w:rsidRPr="00A826B6">
        <w:rPr>
          <w:lang w:val="en-GB"/>
        </w:rPr>
        <w:t> </w:t>
      </w:r>
      <w:r w:rsidR="00DC0393" w:rsidRPr="00A826B6">
        <w:rPr>
          <w:lang w:val="en-GB"/>
        </w:rPr>
        <w:t>(</w:t>
      </w:r>
      <w:r w:rsidRPr="00A826B6">
        <w:rPr>
          <w:lang w:val="en-GB"/>
        </w:rPr>
        <w:t>b</w:t>
      </w:r>
      <w:r w:rsidR="00DC0393" w:rsidRPr="00A826B6">
        <w:rPr>
          <w:lang w:val="en-GB"/>
        </w:rPr>
        <w:t>)</w:t>
      </w:r>
      <w:r w:rsidR="00D50395" w:rsidRPr="00A826B6">
        <w:rPr>
          <w:lang w:val="en-GB"/>
        </w:rPr>
        <w:t> </w:t>
      </w:r>
      <w:r w:rsidRPr="00A826B6">
        <w:rPr>
          <w:lang w:val="en-GB"/>
        </w:rPr>
        <w:t>(1) the negative decision in their case was taken</w:t>
      </w:r>
      <w:r w:rsidR="00DC0393" w:rsidRPr="00A826B6">
        <w:rPr>
          <w:lang w:val="en-GB"/>
        </w:rPr>
        <w:t xml:space="preserve">, as the preliminary proposal to the Danish Refugee Council </w:t>
      </w:r>
      <w:r w:rsidR="00414A7B" w:rsidRPr="00A826B6">
        <w:rPr>
          <w:lang w:val="en-GB"/>
        </w:rPr>
        <w:t xml:space="preserve">referred to </w:t>
      </w:r>
      <w:r w:rsidR="00DC0393" w:rsidRPr="00A826B6">
        <w:rPr>
          <w:lang w:val="en-GB"/>
        </w:rPr>
        <w:t>subsection (ii), (iii) and (vi).</w:t>
      </w:r>
      <w:r w:rsidR="00DC0393" w:rsidRPr="00A826B6">
        <w:rPr>
          <w:rStyle w:val="FootnoteReference"/>
          <w:lang w:val="en-GB"/>
        </w:rPr>
        <w:footnoteReference w:id="4"/>
      </w:r>
    </w:p>
    <w:p w14:paraId="0625DDE5" w14:textId="2FE03E0B" w:rsidR="006D28F8" w:rsidRPr="00A826B6" w:rsidRDefault="006D28F8" w:rsidP="008A61AB">
      <w:pPr>
        <w:pStyle w:val="SingleTxtG"/>
        <w:rPr>
          <w:bCs/>
          <w:lang w:val="en-GB"/>
        </w:rPr>
      </w:pPr>
      <w:r w:rsidRPr="00A826B6">
        <w:rPr>
          <w:bCs/>
          <w:lang w:val="en-GB"/>
        </w:rPr>
        <w:t>5.3</w:t>
      </w:r>
      <w:r w:rsidRPr="00A826B6">
        <w:rPr>
          <w:bCs/>
          <w:lang w:val="en-GB"/>
        </w:rPr>
        <w:tab/>
        <w:t xml:space="preserve">The authors </w:t>
      </w:r>
      <w:r w:rsidR="00C82EB3" w:rsidRPr="00A826B6">
        <w:rPr>
          <w:bCs/>
          <w:lang w:val="en-GB" w:bidi="he-IL"/>
        </w:rPr>
        <w:t>contest the decision</w:t>
      </w:r>
      <w:r w:rsidR="00C82EB3" w:rsidRPr="00A826B6">
        <w:rPr>
          <w:lang w:val="en-GB"/>
        </w:rPr>
        <w:t xml:space="preserve"> of the District Court of</w:t>
      </w:r>
      <w:r w:rsidR="00363BD6" w:rsidRPr="00A826B6">
        <w:rPr>
          <w:lang w:val="en-GB" w:bidi="he-IL"/>
        </w:rPr>
        <w:t xml:space="preserve"> Co</w:t>
      </w:r>
      <w:r w:rsidR="00C82EB3" w:rsidRPr="00A826B6">
        <w:rPr>
          <w:lang w:val="en-GB" w:bidi="he-IL"/>
        </w:rPr>
        <w:t>pe</w:t>
      </w:r>
      <w:r w:rsidR="00363BD6" w:rsidRPr="00A826B6">
        <w:rPr>
          <w:lang w:val="en-GB" w:bidi="he-IL"/>
        </w:rPr>
        <w:t>n</w:t>
      </w:r>
      <w:r w:rsidR="00C82EB3" w:rsidRPr="00A826B6">
        <w:rPr>
          <w:lang w:val="en-GB" w:bidi="he-IL"/>
        </w:rPr>
        <w:t xml:space="preserve">hagen of </w:t>
      </w:r>
      <w:r w:rsidR="00C82EB3" w:rsidRPr="00A826B6">
        <w:rPr>
          <w:lang w:val="en-GB"/>
        </w:rPr>
        <w:t>18 September 2013</w:t>
      </w:r>
      <w:r w:rsidR="00C82EB3" w:rsidRPr="00A826B6">
        <w:rPr>
          <w:lang w:val="en-GB" w:bidi="he-IL"/>
        </w:rPr>
        <w:t xml:space="preserve"> and the appeal decision of </w:t>
      </w:r>
      <w:r w:rsidR="00C82EB3" w:rsidRPr="00A826B6">
        <w:rPr>
          <w:lang w:val="en-GB"/>
        </w:rPr>
        <w:t>the High Court</w:t>
      </w:r>
      <w:r w:rsidR="008A61AB" w:rsidRPr="00A826B6">
        <w:rPr>
          <w:lang w:val="en-GB"/>
        </w:rPr>
        <w:t xml:space="preserve"> of Eastern Denmark</w:t>
      </w:r>
      <w:r w:rsidR="00C82EB3" w:rsidRPr="00A826B6">
        <w:rPr>
          <w:lang w:val="en-GB" w:bidi="he-IL"/>
        </w:rPr>
        <w:t xml:space="preserve"> of</w:t>
      </w:r>
      <w:r w:rsidR="00C82EB3" w:rsidRPr="00A826B6">
        <w:rPr>
          <w:bCs/>
          <w:lang w:val="en-GB" w:bidi="he-IL"/>
        </w:rPr>
        <w:t xml:space="preserve"> </w:t>
      </w:r>
      <w:r w:rsidR="00C82EB3" w:rsidRPr="00A826B6">
        <w:rPr>
          <w:lang w:val="en-GB"/>
        </w:rPr>
        <w:t>15 November 2013</w:t>
      </w:r>
      <w:r w:rsidR="00363BD6" w:rsidRPr="00A826B6">
        <w:rPr>
          <w:lang w:val="en-GB" w:bidi="he-IL"/>
        </w:rPr>
        <w:t xml:space="preserve"> not to su</w:t>
      </w:r>
      <w:r w:rsidR="00C82EB3" w:rsidRPr="00A826B6">
        <w:rPr>
          <w:lang w:val="en-GB" w:bidi="he-IL"/>
        </w:rPr>
        <w:t>spend their deportations while their legal cases on the merits are still pending before Danish courts</w:t>
      </w:r>
      <w:r w:rsidR="00596181" w:rsidRPr="00A826B6">
        <w:rPr>
          <w:lang w:val="en-GB"/>
        </w:rPr>
        <w:t>.</w:t>
      </w:r>
      <w:r w:rsidR="00C82EB3" w:rsidRPr="00A826B6">
        <w:rPr>
          <w:lang w:val="en-GB" w:bidi="he-IL"/>
        </w:rPr>
        <w:t xml:space="preserve"> </w:t>
      </w:r>
      <w:r w:rsidR="00596181" w:rsidRPr="00A826B6">
        <w:rPr>
          <w:lang w:val="en-GB" w:bidi="he-IL"/>
        </w:rPr>
        <w:t xml:space="preserve">They </w:t>
      </w:r>
      <w:r w:rsidRPr="00A826B6">
        <w:rPr>
          <w:bCs/>
          <w:lang w:val="en-GB"/>
        </w:rPr>
        <w:t xml:space="preserve">add that </w:t>
      </w:r>
      <w:r w:rsidR="00414A7B" w:rsidRPr="00A826B6">
        <w:rPr>
          <w:bCs/>
          <w:lang w:val="en-GB"/>
        </w:rPr>
        <w:t>a s</w:t>
      </w:r>
      <w:r w:rsidRPr="00A826B6">
        <w:rPr>
          <w:bCs/>
          <w:lang w:val="en-GB"/>
        </w:rPr>
        <w:t xml:space="preserve">tay of execution </w:t>
      </w:r>
      <w:r w:rsidR="00C82EB3" w:rsidRPr="00A826B6">
        <w:rPr>
          <w:bCs/>
          <w:lang w:val="en-GB"/>
        </w:rPr>
        <w:t xml:space="preserve">is often issued in </w:t>
      </w:r>
      <w:r w:rsidRPr="00A826B6">
        <w:rPr>
          <w:bCs/>
          <w:lang w:val="en-GB"/>
        </w:rPr>
        <w:t xml:space="preserve">cases </w:t>
      </w:r>
      <w:r w:rsidRPr="00A826B6">
        <w:rPr>
          <w:bCs/>
          <w:lang w:val="en-GB"/>
        </w:rPr>
        <w:lastRenderedPageBreak/>
        <w:t>in which the potential harm at stake is relatively limited, such as actions for monetary payment or removal of unlawful constructions. In the present case</w:t>
      </w:r>
      <w:r w:rsidR="00596181" w:rsidRPr="00A826B6">
        <w:rPr>
          <w:bCs/>
          <w:lang w:val="en-GB"/>
        </w:rPr>
        <w:t>,</w:t>
      </w:r>
      <w:r w:rsidRPr="00A826B6">
        <w:rPr>
          <w:bCs/>
          <w:lang w:val="en-GB"/>
        </w:rPr>
        <w:t xml:space="preserve"> however, the consequences </w:t>
      </w:r>
      <w:r w:rsidR="00712AC3" w:rsidRPr="00A826B6">
        <w:rPr>
          <w:bCs/>
          <w:lang w:val="en-GB" w:bidi="he-IL"/>
        </w:rPr>
        <w:t xml:space="preserve">of refusal to stay execution </w:t>
      </w:r>
      <w:r w:rsidRPr="00A826B6">
        <w:rPr>
          <w:bCs/>
          <w:lang w:val="en-GB"/>
        </w:rPr>
        <w:t>would be irreparable</w:t>
      </w:r>
      <w:r w:rsidR="00596181" w:rsidRPr="00A826B6">
        <w:rPr>
          <w:bCs/>
          <w:lang w:val="en-GB"/>
        </w:rPr>
        <w:t>,</w:t>
      </w:r>
      <w:r w:rsidRPr="00A826B6">
        <w:rPr>
          <w:bCs/>
          <w:lang w:val="en-GB"/>
        </w:rPr>
        <w:t xml:space="preserve"> as the execution of the administrative decision entails removing the authors to Albania, thus exposing them to the risk </w:t>
      </w:r>
      <w:r w:rsidR="00596181" w:rsidRPr="00A826B6">
        <w:rPr>
          <w:bCs/>
          <w:lang w:val="en-GB"/>
        </w:rPr>
        <w:t xml:space="preserve">that they may </w:t>
      </w:r>
      <w:r w:rsidRPr="00A826B6">
        <w:rPr>
          <w:bCs/>
          <w:lang w:val="en-GB"/>
        </w:rPr>
        <w:t xml:space="preserve">lose their lives. A second risk is that of preventing them from attending the hearing in their case. </w:t>
      </w:r>
    </w:p>
    <w:p w14:paraId="75BE58FA" w14:textId="5B20C3EE" w:rsidR="009F66D9" w:rsidRPr="00A826B6" w:rsidRDefault="009F66D9" w:rsidP="00596181">
      <w:pPr>
        <w:pStyle w:val="SingleTxtG"/>
        <w:rPr>
          <w:lang w:val="en-GB"/>
        </w:rPr>
      </w:pPr>
      <w:r w:rsidRPr="00A826B6">
        <w:rPr>
          <w:lang w:val="en-GB"/>
        </w:rPr>
        <w:t>5.4</w:t>
      </w:r>
      <w:r w:rsidRPr="00A826B6">
        <w:rPr>
          <w:lang w:val="en-GB"/>
        </w:rPr>
        <w:tab/>
        <w:t>On the admissibility arguments raised by the State party, the authors reiterate their previous argument that</w:t>
      </w:r>
      <w:r w:rsidR="00724A16" w:rsidRPr="00A826B6">
        <w:rPr>
          <w:lang w:val="en-GB"/>
        </w:rPr>
        <w:t xml:space="preserve"> they would be deprived of their right to a fair</w:t>
      </w:r>
      <w:r w:rsidR="00414A7B" w:rsidRPr="00A826B6">
        <w:rPr>
          <w:lang w:val="en-GB"/>
        </w:rPr>
        <w:t xml:space="preserve"> trial</w:t>
      </w:r>
      <w:r w:rsidR="00724A16" w:rsidRPr="00A826B6">
        <w:rPr>
          <w:lang w:val="en-GB"/>
        </w:rPr>
        <w:t xml:space="preserve"> if they were prevented from attending the hearing in their case</w:t>
      </w:r>
      <w:r w:rsidR="00596181" w:rsidRPr="00A826B6">
        <w:rPr>
          <w:lang w:val="en-GB"/>
        </w:rPr>
        <w:t>,</w:t>
      </w:r>
      <w:r w:rsidR="00DD7965" w:rsidRPr="00A826B6">
        <w:rPr>
          <w:lang w:val="en-GB"/>
        </w:rPr>
        <w:t xml:space="preserve"> </w:t>
      </w:r>
      <w:r w:rsidR="00596181" w:rsidRPr="00A826B6">
        <w:rPr>
          <w:lang w:val="en-GB"/>
        </w:rPr>
        <w:t xml:space="preserve">namely, the </w:t>
      </w:r>
      <w:r w:rsidR="00DD7965" w:rsidRPr="00A826B6">
        <w:rPr>
          <w:lang w:val="en-GB"/>
        </w:rPr>
        <w:t xml:space="preserve">appeal against the </w:t>
      </w:r>
      <w:r w:rsidR="00596181" w:rsidRPr="00A826B6">
        <w:rPr>
          <w:lang w:val="en-GB"/>
        </w:rPr>
        <w:t xml:space="preserve">unfavourable </w:t>
      </w:r>
      <w:r w:rsidR="00DD7965" w:rsidRPr="00A826B6">
        <w:rPr>
          <w:lang w:val="en-GB"/>
        </w:rPr>
        <w:t>administrative decision in their asylum proceedings.</w:t>
      </w:r>
    </w:p>
    <w:p w14:paraId="22687744" w14:textId="3B48D8BB" w:rsidR="00414A7B" w:rsidRPr="00A826B6" w:rsidRDefault="00DD7965" w:rsidP="002567BC">
      <w:pPr>
        <w:pStyle w:val="SingleTxtG"/>
        <w:rPr>
          <w:lang w:val="en-GB"/>
        </w:rPr>
      </w:pPr>
      <w:r w:rsidRPr="00A826B6">
        <w:rPr>
          <w:lang w:val="en-GB"/>
        </w:rPr>
        <w:t>5.5</w:t>
      </w:r>
      <w:r w:rsidRPr="00A826B6">
        <w:rPr>
          <w:lang w:val="en-GB"/>
        </w:rPr>
        <w:tab/>
        <w:t xml:space="preserve">The authors reject the State party’s statement that their claims are unsubstantiated under articles 6, 14 and 26 of the Covenant. Regarding article 26, they reiterate that several Albanian asylum seekers in comparable circumstances </w:t>
      </w:r>
      <w:r w:rsidR="002567BC" w:rsidRPr="00A826B6">
        <w:rPr>
          <w:lang w:val="en-GB"/>
        </w:rPr>
        <w:t xml:space="preserve">have been </w:t>
      </w:r>
      <w:r w:rsidRPr="00A826B6">
        <w:rPr>
          <w:lang w:val="en-GB"/>
        </w:rPr>
        <w:t xml:space="preserve">given access to appeals proceedings before </w:t>
      </w:r>
      <w:r w:rsidR="002567BC" w:rsidRPr="00A826B6">
        <w:rPr>
          <w:lang w:val="en-GB"/>
        </w:rPr>
        <w:t xml:space="preserve">the </w:t>
      </w:r>
      <w:r w:rsidR="00C12A55" w:rsidRPr="00A826B6">
        <w:rPr>
          <w:lang w:val="en-GB"/>
        </w:rPr>
        <w:t>r</w:t>
      </w:r>
      <w:r w:rsidRPr="00A826B6">
        <w:rPr>
          <w:lang w:val="en-GB"/>
        </w:rPr>
        <w:t xml:space="preserve">efugee </w:t>
      </w:r>
      <w:r w:rsidR="00C12A55" w:rsidRPr="00A826B6">
        <w:rPr>
          <w:lang w:val="en-GB"/>
        </w:rPr>
        <w:t>a</w:t>
      </w:r>
      <w:r w:rsidR="00414A7B" w:rsidRPr="00A826B6">
        <w:rPr>
          <w:lang w:val="en-GB"/>
        </w:rPr>
        <w:t xml:space="preserve">ppeals </w:t>
      </w:r>
      <w:r w:rsidR="00C12A55" w:rsidRPr="00A826B6">
        <w:rPr>
          <w:lang w:val="en-GB"/>
        </w:rPr>
        <w:t>b</w:t>
      </w:r>
      <w:r w:rsidRPr="00A826B6">
        <w:rPr>
          <w:lang w:val="en-GB"/>
        </w:rPr>
        <w:t>oard in cases of blood feuds, which amounts to dis</w:t>
      </w:r>
      <w:r w:rsidR="00414A7B" w:rsidRPr="00A826B6">
        <w:rPr>
          <w:lang w:val="en-GB"/>
        </w:rPr>
        <w:t xml:space="preserve">crimination in their regard. </w:t>
      </w:r>
    </w:p>
    <w:p w14:paraId="1CB43CB4" w14:textId="77777777" w:rsidR="004030BF" w:rsidRPr="00A826B6" w:rsidRDefault="00A33D13" w:rsidP="00A33D13">
      <w:pPr>
        <w:pStyle w:val="H23G"/>
      </w:pPr>
      <w:r w:rsidRPr="00A826B6">
        <w:tab/>
      </w:r>
      <w:r w:rsidRPr="00A826B6">
        <w:tab/>
      </w:r>
      <w:r w:rsidR="004030BF" w:rsidRPr="00A826B6">
        <w:t>State party’s observations on the merits</w:t>
      </w:r>
    </w:p>
    <w:p w14:paraId="4989866E" w14:textId="40C31B14" w:rsidR="00C12BC1" w:rsidRPr="00A826B6" w:rsidRDefault="00C12BC1" w:rsidP="004B4947">
      <w:pPr>
        <w:pStyle w:val="SingleTxtG"/>
        <w:rPr>
          <w:lang w:val="en-GB"/>
        </w:rPr>
      </w:pPr>
      <w:r w:rsidRPr="00A826B6">
        <w:rPr>
          <w:lang w:val="en-GB"/>
        </w:rPr>
        <w:t>6.1</w:t>
      </w:r>
      <w:r w:rsidRPr="00A826B6">
        <w:rPr>
          <w:lang w:val="en-GB"/>
        </w:rPr>
        <w:tab/>
        <w:t>On 5 August 2014, the State party submitted observations on the merits of the case. It first noted that</w:t>
      </w:r>
      <w:r w:rsidR="00DD1BDC" w:rsidRPr="00A826B6">
        <w:rPr>
          <w:lang w:val="en-GB"/>
        </w:rPr>
        <w:t>,</w:t>
      </w:r>
      <w:r w:rsidRPr="00A826B6">
        <w:rPr>
          <w:lang w:val="en-GB"/>
        </w:rPr>
        <w:t xml:space="preserve"> contrary to the authors’ </w:t>
      </w:r>
      <w:r w:rsidR="000E692F" w:rsidRPr="00A826B6">
        <w:rPr>
          <w:lang w:val="en-GB"/>
        </w:rPr>
        <w:t>claim on discrimination</w:t>
      </w:r>
      <w:r w:rsidRPr="00A826B6">
        <w:rPr>
          <w:lang w:val="en-GB"/>
        </w:rPr>
        <w:t xml:space="preserve">, </w:t>
      </w:r>
      <w:r w:rsidR="000E692F" w:rsidRPr="00A826B6">
        <w:rPr>
          <w:lang w:val="en-GB"/>
        </w:rPr>
        <w:t>s</w:t>
      </w:r>
      <w:r w:rsidRPr="00A826B6">
        <w:rPr>
          <w:lang w:val="en-GB"/>
        </w:rPr>
        <w:t xml:space="preserve">ince the </w:t>
      </w:r>
      <w:r w:rsidR="00FE5A28" w:rsidRPr="00A826B6">
        <w:rPr>
          <w:lang w:val="en-GB"/>
        </w:rPr>
        <w:t>i</w:t>
      </w:r>
      <w:r w:rsidRPr="00A826B6">
        <w:rPr>
          <w:lang w:val="en-GB"/>
        </w:rPr>
        <w:t xml:space="preserve">mmigration </w:t>
      </w:r>
      <w:r w:rsidR="00FE5A28" w:rsidRPr="00A826B6">
        <w:rPr>
          <w:lang w:val="en-GB"/>
        </w:rPr>
        <w:t>s</w:t>
      </w:r>
      <w:r w:rsidRPr="00A826B6">
        <w:rPr>
          <w:lang w:val="en-GB"/>
        </w:rPr>
        <w:t>ervice refused the authors’ claim for as</w:t>
      </w:r>
      <w:r w:rsidR="000E692F" w:rsidRPr="00A826B6">
        <w:rPr>
          <w:lang w:val="en-GB"/>
        </w:rPr>
        <w:t>y</w:t>
      </w:r>
      <w:r w:rsidRPr="00A826B6">
        <w:rPr>
          <w:lang w:val="en-GB"/>
        </w:rPr>
        <w:t xml:space="preserve">lum in July 2012, the </w:t>
      </w:r>
      <w:r w:rsidR="00C12A55" w:rsidRPr="00A826B6">
        <w:rPr>
          <w:lang w:val="en-GB"/>
        </w:rPr>
        <w:t>r</w:t>
      </w:r>
      <w:r w:rsidRPr="00A826B6">
        <w:rPr>
          <w:lang w:val="en-GB"/>
        </w:rPr>
        <w:t xml:space="preserve">efugee </w:t>
      </w:r>
      <w:r w:rsidR="00C12A55" w:rsidRPr="00A826B6">
        <w:rPr>
          <w:lang w:val="en-GB"/>
        </w:rPr>
        <w:t>a</w:t>
      </w:r>
      <w:r w:rsidRPr="00A826B6">
        <w:rPr>
          <w:lang w:val="en-GB"/>
        </w:rPr>
        <w:t xml:space="preserve">ppeals </w:t>
      </w:r>
      <w:r w:rsidR="00C12A55" w:rsidRPr="00A826B6">
        <w:rPr>
          <w:lang w:val="en-GB"/>
        </w:rPr>
        <w:t>b</w:t>
      </w:r>
      <w:r w:rsidRPr="00A826B6">
        <w:rPr>
          <w:lang w:val="en-GB"/>
        </w:rPr>
        <w:t>oard has</w:t>
      </w:r>
      <w:r w:rsidR="000E692F" w:rsidRPr="00A826B6">
        <w:rPr>
          <w:lang w:val="en-GB"/>
        </w:rPr>
        <w:t xml:space="preserve"> not granted asylum in any case</w:t>
      </w:r>
      <w:r w:rsidRPr="00A826B6">
        <w:rPr>
          <w:lang w:val="en-GB"/>
        </w:rPr>
        <w:t xml:space="preserve"> concerning Albanian asylum</w:t>
      </w:r>
      <w:r w:rsidR="00980DDD" w:rsidRPr="00A826B6">
        <w:rPr>
          <w:lang w:val="en-GB"/>
        </w:rPr>
        <w:t xml:space="preserve"> </w:t>
      </w:r>
      <w:r w:rsidRPr="00A826B6">
        <w:rPr>
          <w:lang w:val="en-GB"/>
        </w:rPr>
        <w:t>se</w:t>
      </w:r>
      <w:r w:rsidR="000E692F" w:rsidRPr="00A826B6">
        <w:rPr>
          <w:lang w:val="en-GB"/>
        </w:rPr>
        <w:t>ekers claiming fear of blood re</w:t>
      </w:r>
      <w:r w:rsidRPr="00A826B6">
        <w:rPr>
          <w:lang w:val="en-GB"/>
        </w:rPr>
        <w:t xml:space="preserve">venge. As a matter of fact, the </w:t>
      </w:r>
      <w:r w:rsidR="00C12A55" w:rsidRPr="00A826B6">
        <w:rPr>
          <w:lang w:val="en-GB"/>
        </w:rPr>
        <w:t>b</w:t>
      </w:r>
      <w:r w:rsidRPr="00A826B6">
        <w:rPr>
          <w:lang w:val="en-GB"/>
        </w:rPr>
        <w:t>oard has not granted asylum to any Albanian asylum</w:t>
      </w:r>
      <w:r w:rsidR="00980DDD" w:rsidRPr="00A826B6">
        <w:rPr>
          <w:lang w:val="en-GB"/>
        </w:rPr>
        <w:t xml:space="preserve"> </w:t>
      </w:r>
      <w:r w:rsidRPr="00A826B6">
        <w:rPr>
          <w:lang w:val="en-GB"/>
        </w:rPr>
        <w:t>seekers at all since 2003.</w:t>
      </w:r>
    </w:p>
    <w:p w14:paraId="3BF6F6EA" w14:textId="63663F23" w:rsidR="00C12BC1" w:rsidRPr="00A826B6" w:rsidRDefault="00A22226" w:rsidP="00DD1BDC">
      <w:pPr>
        <w:pStyle w:val="SingleTxtG"/>
        <w:rPr>
          <w:lang w:val="en-GB"/>
        </w:rPr>
      </w:pPr>
      <w:r w:rsidRPr="00A826B6">
        <w:rPr>
          <w:lang w:val="en-GB"/>
        </w:rPr>
        <w:t>6.2</w:t>
      </w:r>
      <w:r w:rsidRPr="00A826B6">
        <w:rPr>
          <w:lang w:val="en-GB"/>
        </w:rPr>
        <w:tab/>
        <w:t>The State party recalls that</w:t>
      </w:r>
      <w:r w:rsidR="00DD1BDC" w:rsidRPr="00A826B6">
        <w:rPr>
          <w:lang w:val="en-GB"/>
        </w:rPr>
        <w:t>,</w:t>
      </w:r>
      <w:r w:rsidRPr="00A826B6">
        <w:rPr>
          <w:lang w:val="en-GB"/>
        </w:rPr>
        <w:t xml:space="preserve"> when the au</w:t>
      </w:r>
      <w:r w:rsidR="00C12BC1" w:rsidRPr="00A826B6">
        <w:rPr>
          <w:lang w:val="en-GB"/>
        </w:rPr>
        <w:t xml:space="preserve">thors instituted proceedings before the District Court of Copenhagen, their primary claim was </w:t>
      </w:r>
      <w:r w:rsidR="00F906D2" w:rsidRPr="00A826B6">
        <w:rPr>
          <w:lang w:val="en-GB"/>
        </w:rPr>
        <w:t>to be granted asylum</w:t>
      </w:r>
      <w:r w:rsidR="00C12BC1" w:rsidRPr="00A826B6">
        <w:rPr>
          <w:lang w:val="en-GB"/>
        </w:rPr>
        <w:t xml:space="preserve"> and their alternative claim was </w:t>
      </w:r>
      <w:r w:rsidR="00DD1BDC" w:rsidRPr="00A826B6">
        <w:rPr>
          <w:lang w:val="en-GB"/>
        </w:rPr>
        <w:t xml:space="preserve">for </w:t>
      </w:r>
      <w:r w:rsidR="00C12BC1" w:rsidRPr="00A826B6">
        <w:rPr>
          <w:lang w:val="en-GB"/>
        </w:rPr>
        <w:t xml:space="preserve">access to appeal the </w:t>
      </w:r>
      <w:r w:rsidR="00C12A55" w:rsidRPr="00A826B6">
        <w:rPr>
          <w:lang w:val="en-GB"/>
        </w:rPr>
        <w:t>r</w:t>
      </w:r>
      <w:r w:rsidR="00C12BC1" w:rsidRPr="00A826B6">
        <w:rPr>
          <w:lang w:val="en-GB"/>
        </w:rPr>
        <w:t xml:space="preserve">efugee </w:t>
      </w:r>
      <w:r w:rsidR="00C12A55" w:rsidRPr="00A826B6">
        <w:rPr>
          <w:lang w:val="en-GB"/>
        </w:rPr>
        <w:t>a</w:t>
      </w:r>
      <w:r w:rsidR="00C12BC1" w:rsidRPr="00A826B6">
        <w:rPr>
          <w:lang w:val="en-GB"/>
        </w:rPr>
        <w:t xml:space="preserve">ppeals </w:t>
      </w:r>
      <w:r w:rsidR="00C12A55" w:rsidRPr="00A826B6">
        <w:rPr>
          <w:lang w:val="en-GB"/>
        </w:rPr>
        <w:t>b</w:t>
      </w:r>
      <w:r w:rsidR="00C12BC1" w:rsidRPr="00A826B6">
        <w:rPr>
          <w:lang w:val="en-GB"/>
        </w:rPr>
        <w:t>oard. On 22 May 2014, the District Court of Copenhagen delivered a judg</w:t>
      </w:r>
      <w:r w:rsidR="00DD1BDC" w:rsidRPr="00A826B6">
        <w:rPr>
          <w:lang w:val="en-GB"/>
        </w:rPr>
        <w:t>e</w:t>
      </w:r>
      <w:r w:rsidR="00C12BC1" w:rsidRPr="00A826B6">
        <w:rPr>
          <w:lang w:val="en-GB"/>
        </w:rPr>
        <w:t xml:space="preserve">ment in the case, finding in favour of the </w:t>
      </w:r>
      <w:r w:rsidR="00FE5A28" w:rsidRPr="00A826B6">
        <w:rPr>
          <w:lang w:val="en-GB"/>
        </w:rPr>
        <w:t>i</w:t>
      </w:r>
      <w:r w:rsidR="00C12BC1" w:rsidRPr="00A826B6">
        <w:rPr>
          <w:lang w:val="en-GB"/>
        </w:rPr>
        <w:t xml:space="preserve">mmigration </w:t>
      </w:r>
      <w:r w:rsidR="00FE5A28" w:rsidRPr="00A826B6">
        <w:rPr>
          <w:lang w:val="en-GB"/>
        </w:rPr>
        <w:t>s</w:t>
      </w:r>
      <w:r w:rsidR="00C12BC1" w:rsidRPr="00A826B6">
        <w:rPr>
          <w:lang w:val="en-GB"/>
        </w:rPr>
        <w:t xml:space="preserve">ervice. </w:t>
      </w:r>
      <w:r w:rsidRPr="00A826B6">
        <w:rPr>
          <w:lang w:val="en-GB"/>
        </w:rPr>
        <w:t xml:space="preserve">The District Court determined that </w:t>
      </w:r>
      <w:r w:rsidR="00C12BC1" w:rsidRPr="00A826B6">
        <w:rPr>
          <w:lang w:val="en-GB"/>
        </w:rPr>
        <w:t xml:space="preserve">it </w:t>
      </w:r>
      <w:r w:rsidR="00DD1BDC" w:rsidRPr="00A826B6">
        <w:rPr>
          <w:lang w:val="en-GB"/>
        </w:rPr>
        <w:t xml:space="preserve">had </w:t>
      </w:r>
      <w:r w:rsidR="00C12BC1" w:rsidRPr="00A826B6">
        <w:rPr>
          <w:lang w:val="en-GB"/>
        </w:rPr>
        <w:t xml:space="preserve">not </w:t>
      </w:r>
      <w:r w:rsidR="00DD1BDC" w:rsidRPr="00A826B6">
        <w:rPr>
          <w:lang w:val="en-GB"/>
        </w:rPr>
        <w:t xml:space="preserve">been </w:t>
      </w:r>
      <w:r w:rsidR="00C12BC1" w:rsidRPr="00A826B6">
        <w:rPr>
          <w:lang w:val="en-GB"/>
        </w:rPr>
        <w:t>substantiated t</w:t>
      </w:r>
      <w:r w:rsidRPr="00A826B6">
        <w:rPr>
          <w:lang w:val="en-GB"/>
        </w:rPr>
        <w:t xml:space="preserve">hat the </w:t>
      </w:r>
      <w:r w:rsidR="00FE5A28" w:rsidRPr="00A826B6">
        <w:rPr>
          <w:lang w:val="en-GB"/>
        </w:rPr>
        <w:t>i</w:t>
      </w:r>
      <w:r w:rsidRPr="00A826B6">
        <w:rPr>
          <w:lang w:val="en-GB"/>
        </w:rPr>
        <w:t xml:space="preserve">mmigration </w:t>
      </w:r>
      <w:r w:rsidR="00FE5A28" w:rsidRPr="00A826B6">
        <w:rPr>
          <w:lang w:val="en-GB"/>
        </w:rPr>
        <w:t>s</w:t>
      </w:r>
      <w:r w:rsidRPr="00A826B6">
        <w:rPr>
          <w:lang w:val="en-GB"/>
        </w:rPr>
        <w:t>ervice had</w:t>
      </w:r>
      <w:r w:rsidR="00C12BC1" w:rsidRPr="00A826B6">
        <w:rPr>
          <w:lang w:val="en-GB"/>
        </w:rPr>
        <w:t xml:space="preserve"> made</w:t>
      </w:r>
      <w:r w:rsidRPr="00A826B6">
        <w:rPr>
          <w:lang w:val="en-GB"/>
        </w:rPr>
        <w:t xml:space="preserve"> any procedural error</w:t>
      </w:r>
      <w:r w:rsidR="00C12BC1" w:rsidRPr="00A826B6">
        <w:rPr>
          <w:lang w:val="en-GB"/>
        </w:rPr>
        <w:t xml:space="preserve"> or that there </w:t>
      </w:r>
      <w:r w:rsidRPr="00A826B6">
        <w:rPr>
          <w:lang w:val="en-GB"/>
        </w:rPr>
        <w:t xml:space="preserve">were any </w:t>
      </w:r>
      <w:r w:rsidR="00C12BC1" w:rsidRPr="00A826B6">
        <w:rPr>
          <w:lang w:val="en-GB"/>
        </w:rPr>
        <w:t xml:space="preserve">defects </w:t>
      </w:r>
      <w:r w:rsidRPr="00A826B6">
        <w:rPr>
          <w:lang w:val="en-GB"/>
        </w:rPr>
        <w:t>in the decision. Consequently, the Court found no ba</w:t>
      </w:r>
      <w:r w:rsidR="00C12BC1" w:rsidRPr="00A826B6">
        <w:rPr>
          <w:lang w:val="en-GB"/>
        </w:rPr>
        <w:t xml:space="preserve">sis for disregarding the discretionary conclusion of the </w:t>
      </w:r>
      <w:r w:rsidR="00FE5A28" w:rsidRPr="00A826B6">
        <w:rPr>
          <w:lang w:val="en-GB"/>
        </w:rPr>
        <w:t>i</w:t>
      </w:r>
      <w:r w:rsidRPr="00A826B6">
        <w:rPr>
          <w:lang w:val="en-GB"/>
        </w:rPr>
        <w:t xml:space="preserve">mmigration </w:t>
      </w:r>
      <w:r w:rsidR="00FE5A28" w:rsidRPr="00A826B6">
        <w:rPr>
          <w:lang w:val="en-GB"/>
        </w:rPr>
        <w:t>s</w:t>
      </w:r>
      <w:r w:rsidRPr="00A826B6">
        <w:rPr>
          <w:lang w:val="en-GB"/>
        </w:rPr>
        <w:t>ervice, which determined the authors’ claim under the</w:t>
      </w:r>
      <w:r w:rsidR="00C12BC1" w:rsidRPr="00A826B6">
        <w:rPr>
          <w:lang w:val="en-GB"/>
        </w:rPr>
        <w:t xml:space="preserve"> </w:t>
      </w:r>
      <w:r w:rsidRPr="00A826B6">
        <w:rPr>
          <w:lang w:val="en-GB"/>
        </w:rPr>
        <w:t>“mani</w:t>
      </w:r>
      <w:r w:rsidR="00C12BC1" w:rsidRPr="00A826B6">
        <w:rPr>
          <w:lang w:val="en-GB"/>
        </w:rPr>
        <w:t>festly unfounded</w:t>
      </w:r>
      <w:r w:rsidR="00DD1BDC" w:rsidRPr="00A826B6">
        <w:rPr>
          <w:lang w:val="en-GB"/>
        </w:rPr>
        <w:t>”</w:t>
      </w:r>
      <w:r w:rsidR="00C12BC1" w:rsidRPr="00A826B6">
        <w:rPr>
          <w:lang w:val="en-GB"/>
        </w:rPr>
        <w:t xml:space="preserve"> procedure</w:t>
      </w:r>
      <w:r w:rsidR="00F7177B" w:rsidRPr="00A826B6">
        <w:rPr>
          <w:lang w:val="en-GB"/>
        </w:rPr>
        <w:t xml:space="preserve">, a conclusion </w:t>
      </w:r>
      <w:r w:rsidR="00DD1BDC" w:rsidRPr="00A826B6">
        <w:rPr>
          <w:lang w:val="en-GB"/>
        </w:rPr>
        <w:t xml:space="preserve">that </w:t>
      </w:r>
      <w:r w:rsidR="00F7177B" w:rsidRPr="00A826B6">
        <w:rPr>
          <w:lang w:val="en-GB"/>
        </w:rPr>
        <w:t>was endorsed</w:t>
      </w:r>
      <w:r w:rsidRPr="00A826B6">
        <w:rPr>
          <w:lang w:val="en-GB"/>
        </w:rPr>
        <w:t xml:space="preserve"> by the Danish Refu</w:t>
      </w:r>
      <w:r w:rsidR="00C12BC1" w:rsidRPr="00A826B6">
        <w:rPr>
          <w:lang w:val="en-GB"/>
        </w:rPr>
        <w:t xml:space="preserve">gee Council. </w:t>
      </w:r>
    </w:p>
    <w:p w14:paraId="0C6B3764" w14:textId="16EFD26A" w:rsidR="00C12BC1" w:rsidRPr="00A826B6" w:rsidRDefault="00A22226" w:rsidP="00221877">
      <w:pPr>
        <w:pStyle w:val="SingleTxtG"/>
        <w:rPr>
          <w:lang w:val="en-GB"/>
        </w:rPr>
      </w:pPr>
      <w:r w:rsidRPr="00A826B6">
        <w:rPr>
          <w:lang w:val="en-GB"/>
        </w:rPr>
        <w:t>6.3</w:t>
      </w:r>
      <w:r w:rsidRPr="00A826B6">
        <w:rPr>
          <w:lang w:val="en-GB"/>
        </w:rPr>
        <w:tab/>
      </w:r>
      <w:r w:rsidR="00C12BC1" w:rsidRPr="00A826B6">
        <w:rPr>
          <w:lang w:val="en-GB"/>
        </w:rPr>
        <w:t xml:space="preserve">On 3 June 2014, the authors appealed the </w:t>
      </w:r>
      <w:r w:rsidR="00BF66E5" w:rsidRPr="00A826B6">
        <w:rPr>
          <w:lang w:val="en-GB"/>
        </w:rPr>
        <w:t xml:space="preserve">decision of the District Court of Copenhagen </w:t>
      </w:r>
      <w:r w:rsidR="00C12BC1" w:rsidRPr="00A826B6">
        <w:rPr>
          <w:lang w:val="en-GB"/>
        </w:rPr>
        <w:t>to th</w:t>
      </w:r>
      <w:r w:rsidRPr="00A826B6">
        <w:rPr>
          <w:lang w:val="en-GB"/>
        </w:rPr>
        <w:t xml:space="preserve">e High Court of Eastern Denmark. </w:t>
      </w:r>
    </w:p>
    <w:p w14:paraId="0838BCA4" w14:textId="2DFFD4FA" w:rsidR="00C12BC1" w:rsidRPr="00A826B6" w:rsidRDefault="00A22226" w:rsidP="00DD1BDC">
      <w:pPr>
        <w:pStyle w:val="SingleTxtG"/>
        <w:rPr>
          <w:lang w:val="en-GB"/>
        </w:rPr>
      </w:pPr>
      <w:r w:rsidRPr="00A826B6">
        <w:rPr>
          <w:lang w:val="en-GB"/>
        </w:rPr>
        <w:t>6.4</w:t>
      </w:r>
      <w:r w:rsidRPr="00A826B6">
        <w:rPr>
          <w:lang w:val="en-GB"/>
        </w:rPr>
        <w:tab/>
        <w:t>Concerning the authors’ claim under article 14 of the Covenant, the State party refers to its previous observations on admissibility and reiterates that</w:t>
      </w:r>
      <w:r w:rsidR="00C12BC1" w:rsidRPr="00A826B6">
        <w:rPr>
          <w:lang w:val="en-GB"/>
        </w:rPr>
        <w:t xml:space="preserve"> asylum proceedings d</w:t>
      </w:r>
      <w:r w:rsidRPr="00A826B6">
        <w:rPr>
          <w:lang w:val="en-GB"/>
        </w:rPr>
        <w:t>o not fall within the scope of a</w:t>
      </w:r>
      <w:r w:rsidR="00C12BC1" w:rsidRPr="00A826B6">
        <w:rPr>
          <w:lang w:val="en-GB"/>
        </w:rPr>
        <w:t>rticle 14</w:t>
      </w:r>
      <w:r w:rsidRPr="00A826B6">
        <w:rPr>
          <w:lang w:val="en-GB"/>
        </w:rPr>
        <w:t xml:space="preserve"> </w:t>
      </w:r>
      <w:r w:rsidR="00D8476C" w:rsidRPr="00A826B6">
        <w:rPr>
          <w:lang w:val="en-GB"/>
        </w:rPr>
        <w:t xml:space="preserve">and </w:t>
      </w:r>
      <w:r w:rsidR="00C12BC1" w:rsidRPr="00A826B6">
        <w:rPr>
          <w:lang w:val="en-GB"/>
        </w:rPr>
        <w:t xml:space="preserve">that this part of the communication should therefore be considered inadmissible </w:t>
      </w:r>
      <w:r w:rsidR="00702BF8" w:rsidRPr="00A826B6">
        <w:rPr>
          <w:i/>
          <w:lang w:val="en-GB"/>
        </w:rPr>
        <w:t>ratione mate</w:t>
      </w:r>
      <w:r w:rsidR="00C12BC1" w:rsidRPr="00A826B6">
        <w:rPr>
          <w:i/>
          <w:lang w:val="en-GB"/>
        </w:rPr>
        <w:t>riae</w:t>
      </w:r>
      <w:r w:rsidR="00C12BC1" w:rsidRPr="00A826B6">
        <w:rPr>
          <w:lang w:val="en-GB"/>
        </w:rPr>
        <w:t xml:space="preserve"> pursuant to </w:t>
      </w:r>
      <w:r w:rsidR="00DD1BDC" w:rsidRPr="00A826B6">
        <w:rPr>
          <w:lang w:val="en-GB"/>
        </w:rPr>
        <w:t>a</w:t>
      </w:r>
      <w:r w:rsidR="00C12BC1" w:rsidRPr="00A826B6">
        <w:rPr>
          <w:lang w:val="en-GB"/>
        </w:rPr>
        <w:t xml:space="preserve">rticle 3 of the Optional Protocol. </w:t>
      </w:r>
    </w:p>
    <w:p w14:paraId="03A993BB" w14:textId="4A9A47B2" w:rsidR="00F254DA" w:rsidRPr="00A826B6" w:rsidRDefault="00702BF8" w:rsidP="00DD1BDC">
      <w:pPr>
        <w:pStyle w:val="SingleTxtG"/>
        <w:rPr>
          <w:lang w:val="en-GB"/>
        </w:rPr>
      </w:pPr>
      <w:r w:rsidRPr="00A826B6">
        <w:rPr>
          <w:lang w:val="en-GB"/>
        </w:rPr>
        <w:t>6.5</w:t>
      </w:r>
      <w:r w:rsidRPr="00A826B6">
        <w:rPr>
          <w:lang w:val="en-GB"/>
        </w:rPr>
        <w:tab/>
        <w:t>On the merits, the State party</w:t>
      </w:r>
      <w:r w:rsidR="00C12BC1" w:rsidRPr="00A826B6">
        <w:rPr>
          <w:lang w:val="en-GB"/>
        </w:rPr>
        <w:t xml:space="preserve"> dismisses the </w:t>
      </w:r>
      <w:r w:rsidRPr="00A826B6">
        <w:rPr>
          <w:lang w:val="en-GB"/>
        </w:rPr>
        <w:t xml:space="preserve">authors’ </w:t>
      </w:r>
      <w:r w:rsidR="00C12BC1" w:rsidRPr="00A826B6">
        <w:rPr>
          <w:lang w:val="en-GB"/>
        </w:rPr>
        <w:t>allegation</w:t>
      </w:r>
      <w:r w:rsidRPr="00A826B6">
        <w:rPr>
          <w:lang w:val="en-GB"/>
        </w:rPr>
        <w:t>s under a</w:t>
      </w:r>
      <w:r w:rsidR="00C12BC1" w:rsidRPr="00A826B6">
        <w:rPr>
          <w:lang w:val="en-GB"/>
        </w:rPr>
        <w:t>rticle</w:t>
      </w:r>
      <w:r w:rsidRPr="00A826B6">
        <w:rPr>
          <w:lang w:val="en-GB"/>
        </w:rPr>
        <w:t>s</w:t>
      </w:r>
      <w:r w:rsidR="00C12BC1" w:rsidRPr="00A826B6">
        <w:rPr>
          <w:lang w:val="en-GB"/>
        </w:rPr>
        <w:t xml:space="preserve"> 6, 14 </w:t>
      </w:r>
      <w:r w:rsidRPr="00A826B6">
        <w:rPr>
          <w:lang w:val="en-GB"/>
        </w:rPr>
        <w:t>and</w:t>
      </w:r>
      <w:r w:rsidR="00C12BC1" w:rsidRPr="00A826B6">
        <w:rPr>
          <w:lang w:val="en-GB"/>
        </w:rPr>
        <w:t xml:space="preserve"> 26 of the </w:t>
      </w:r>
      <w:r w:rsidRPr="00A826B6">
        <w:rPr>
          <w:lang w:val="en-GB"/>
        </w:rPr>
        <w:t>Covenant by referring to its previous submissions on admissibility</w:t>
      </w:r>
      <w:r w:rsidR="00C12BC1" w:rsidRPr="00A826B6">
        <w:rPr>
          <w:lang w:val="en-GB"/>
        </w:rPr>
        <w:t xml:space="preserve">. </w:t>
      </w:r>
      <w:r w:rsidRPr="00A826B6">
        <w:rPr>
          <w:lang w:val="en-GB"/>
        </w:rPr>
        <w:t xml:space="preserve">It concludes that </w:t>
      </w:r>
      <w:r w:rsidR="00C12BC1" w:rsidRPr="00A826B6">
        <w:rPr>
          <w:lang w:val="en-GB"/>
        </w:rPr>
        <w:t xml:space="preserve">the authors have failed to establish a </w:t>
      </w:r>
      <w:r w:rsidRPr="00A826B6">
        <w:rPr>
          <w:iCs/>
          <w:lang w:val="en-GB"/>
        </w:rPr>
        <w:t>pri</w:t>
      </w:r>
      <w:r w:rsidR="00C12BC1" w:rsidRPr="00A826B6">
        <w:rPr>
          <w:iCs/>
          <w:lang w:val="en-GB"/>
        </w:rPr>
        <w:t>ma facie</w:t>
      </w:r>
      <w:r w:rsidR="00C12BC1" w:rsidRPr="00A826B6">
        <w:rPr>
          <w:lang w:val="en-GB"/>
        </w:rPr>
        <w:t xml:space="preserve"> case and that the</w:t>
      </w:r>
      <w:r w:rsidRPr="00A826B6">
        <w:rPr>
          <w:lang w:val="en-GB"/>
        </w:rPr>
        <w:t>ir</w:t>
      </w:r>
      <w:r w:rsidR="00C12BC1" w:rsidRPr="00A826B6">
        <w:rPr>
          <w:lang w:val="en-GB"/>
        </w:rPr>
        <w:t xml:space="preserve"> communication </w:t>
      </w:r>
      <w:r w:rsidRPr="00A826B6">
        <w:rPr>
          <w:lang w:val="en-GB"/>
        </w:rPr>
        <w:t>should</w:t>
      </w:r>
      <w:r w:rsidR="00C12BC1" w:rsidRPr="00A826B6">
        <w:rPr>
          <w:lang w:val="en-GB"/>
        </w:rPr>
        <w:t xml:space="preserve"> therefore</w:t>
      </w:r>
      <w:r w:rsidRPr="00A826B6">
        <w:rPr>
          <w:lang w:val="en-GB"/>
        </w:rPr>
        <w:t xml:space="preserve"> be found</w:t>
      </w:r>
      <w:r w:rsidR="00C12BC1" w:rsidRPr="00A826B6">
        <w:rPr>
          <w:lang w:val="en-GB"/>
        </w:rPr>
        <w:t xml:space="preserve"> </w:t>
      </w:r>
      <w:r w:rsidRPr="00A826B6">
        <w:rPr>
          <w:lang w:val="en-GB"/>
        </w:rPr>
        <w:t>mani</w:t>
      </w:r>
      <w:r w:rsidR="00C12BC1" w:rsidRPr="00A826B6">
        <w:rPr>
          <w:lang w:val="en-GB"/>
        </w:rPr>
        <w:t xml:space="preserve">festly unfounded and </w:t>
      </w:r>
      <w:r w:rsidRPr="00A826B6">
        <w:rPr>
          <w:lang w:val="en-GB"/>
        </w:rPr>
        <w:t xml:space="preserve">accordingly declared inadmissible. </w:t>
      </w:r>
      <w:r w:rsidR="00C12BC1" w:rsidRPr="00A826B6">
        <w:rPr>
          <w:lang w:val="en-GB"/>
        </w:rPr>
        <w:t xml:space="preserve">Furthermore, the </w:t>
      </w:r>
      <w:r w:rsidRPr="00A826B6">
        <w:rPr>
          <w:lang w:val="en-GB"/>
        </w:rPr>
        <w:t xml:space="preserve">State party </w:t>
      </w:r>
      <w:r w:rsidR="00C12BC1" w:rsidRPr="00A826B6">
        <w:rPr>
          <w:lang w:val="en-GB"/>
        </w:rPr>
        <w:t>maintains that the communication constitutes an abuse of the right of submission</w:t>
      </w:r>
      <w:r w:rsidRPr="00A826B6">
        <w:rPr>
          <w:lang w:val="en-GB"/>
        </w:rPr>
        <w:t>.</w:t>
      </w:r>
    </w:p>
    <w:p w14:paraId="1B953099" w14:textId="77777777" w:rsidR="00C12BC1" w:rsidRPr="00A826B6" w:rsidRDefault="00A33D13" w:rsidP="00A33D13">
      <w:pPr>
        <w:pStyle w:val="H23G"/>
      </w:pPr>
      <w:r w:rsidRPr="00A826B6">
        <w:lastRenderedPageBreak/>
        <w:tab/>
      </w:r>
      <w:r w:rsidRPr="00A826B6">
        <w:tab/>
      </w:r>
      <w:r w:rsidR="00F254DA" w:rsidRPr="00A826B6">
        <w:t>Additional submission</w:t>
      </w:r>
      <w:r w:rsidR="009A2D87" w:rsidRPr="00A826B6">
        <w:t>s</w:t>
      </w:r>
      <w:r w:rsidR="00F254DA" w:rsidRPr="00A826B6">
        <w:t xml:space="preserve"> from the authors</w:t>
      </w:r>
    </w:p>
    <w:p w14:paraId="457611E2" w14:textId="32C01CE6" w:rsidR="00F254DA" w:rsidRPr="00A826B6" w:rsidRDefault="00F254DA" w:rsidP="00221877">
      <w:pPr>
        <w:pStyle w:val="SingleTxtG"/>
        <w:rPr>
          <w:lang w:val="en-GB"/>
        </w:rPr>
      </w:pPr>
      <w:r w:rsidRPr="00A826B6">
        <w:rPr>
          <w:lang w:val="en-GB"/>
        </w:rPr>
        <w:t>7.1</w:t>
      </w:r>
      <w:r w:rsidRPr="00A826B6">
        <w:rPr>
          <w:lang w:val="en-GB"/>
        </w:rPr>
        <w:tab/>
        <w:t>On 3 November 2014</w:t>
      </w:r>
      <w:r w:rsidR="00363BD6" w:rsidRPr="00A826B6">
        <w:rPr>
          <w:lang w:val="en-GB"/>
        </w:rPr>
        <w:t>,</w:t>
      </w:r>
      <w:r w:rsidRPr="00A826B6">
        <w:rPr>
          <w:lang w:val="en-GB"/>
        </w:rPr>
        <w:t xml:space="preserve"> the authors reiterated that cases involving asylum seekers involved in blood feuds in Albania </w:t>
      </w:r>
      <w:r w:rsidR="00DD1BDC" w:rsidRPr="00A826B6">
        <w:rPr>
          <w:lang w:val="en-GB"/>
        </w:rPr>
        <w:t xml:space="preserve">had been </w:t>
      </w:r>
      <w:r w:rsidRPr="00A826B6">
        <w:rPr>
          <w:lang w:val="en-GB"/>
        </w:rPr>
        <w:t>appealed</w:t>
      </w:r>
      <w:r w:rsidR="00DD1BDC" w:rsidRPr="00A826B6">
        <w:rPr>
          <w:lang w:val="en-GB"/>
        </w:rPr>
        <w:t>.</w:t>
      </w:r>
      <w:r w:rsidRPr="00A826B6">
        <w:rPr>
          <w:lang w:val="en-GB"/>
        </w:rPr>
        <w:t xml:space="preserve"> </w:t>
      </w:r>
      <w:r w:rsidR="00221877" w:rsidRPr="00A826B6">
        <w:rPr>
          <w:lang w:val="en-GB"/>
        </w:rPr>
        <w:t>They claimed that, o</w:t>
      </w:r>
      <w:r w:rsidRPr="00A826B6">
        <w:rPr>
          <w:lang w:val="en-GB"/>
        </w:rPr>
        <w:t>ut of nine cases of Albanian asylum</w:t>
      </w:r>
      <w:r w:rsidR="00980DDD" w:rsidRPr="00A826B6">
        <w:rPr>
          <w:lang w:val="en-GB"/>
        </w:rPr>
        <w:t xml:space="preserve"> </w:t>
      </w:r>
      <w:r w:rsidRPr="00A826B6">
        <w:rPr>
          <w:lang w:val="en-GB"/>
        </w:rPr>
        <w:t xml:space="preserve">seekers handled by the Danish Refugee Council in 2013 in which fear of blood revenge was part of the asylum motive, the Council </w:t>
      </w:r>
      <w:r w:rsidR="00221877" w:rsidRPr="00A826B6">
        <w:rPr>
          <w:lang w:val="en-GB"/>
        </w:rPr>
        <w:t xml:space="preserve">had </w:t>
      </w:r>
      <w:r w:rsidRPr="00A826B6">
        <w:rPr>
          <w:lang w:val="en-GB"/>
        </w:rPr>
        <w:t xml:space="preserve">exercised its discretionary power in eight. </w:t>
      </w:r>
      <w:r w:rsidR="00221877" w:rsidRPr="00A826B6">
        <w:rPr>
          <w:lang w:val="en-GB"/>
        </w:rPr>
        <w:t xml:space="preserve">That </w:t>
      </w:r>
      <w:r w:rsidRPr="00A826B6">
        <w:rPr>
          <w:lang w:val="en-GB"/>
        </w:rPr>
        <w:t xml:space="preserve">means that the Council </w:t>
      </w:r>
      <w:r w:rsidR="00221877" w:rsidRPr="00A826B6">
        <w:rPr>
          <w:lang w:val="en-GB"/>
        </w:rPr>
        <w:t xml:space="preserve">had </w:t>
      </w:r>
      <w:r w:rsidRPr="00A826B6">
        <w:rPr>
          <w:lang w:val="en-GB"/>
        </w:rPr>
        <w:t>refused the use of the “manifestly unfounded</w:t>
      </w:r>
      <w:r w:rsidR="00221877" w:rsidRPr="00A826B6">
        <w:rPr>
          <w:lang w:val="en-GB"/>
        </w:rPr>
        <w:t>”</w:t>
      </w:r>
      <w:r w:rsidRPr="00A826B6">
        <w:rPr>
          <w:lang w:val="en-GB"/>
        </w:rPr>
        <w:t xml:space="preserve"> procedure in those eight cases, which were then sent for appeal before the </w:t>
      </w:r>
      <w:r w:rsidR="00C12A55" w:rsidRPr="00A826B6">
        <w:rPr>
          <w:lang w:val="en-GB"/>
        </w:rPr>
        <w:t>r</w:t>
      </w:r>
      <w:r w:rsidRPr="00A826B6">
        <w:rPr>
          <w:lang w:val="en-GB"/>
        </w:rPr>
        <w:t xml:space="preserve">efugee </w:t>
      </w:r>
      <w:r w:rsidR="00C12A55" w:rsidRPr="00A826B6">
        <w:rPr>
          <w:lang w:val="en-GB"/>
        </w:rPr>
        <w:t>a</w:t>
      </w:r>
      <w:r w:rsidRPr="00A826B6">
        <w:rPr>
          <w:lang w:val="en-GB"/>
        </w:rPr>
        <w:t xml:space="preserve">ppeals </w:t>
      </w:r>
      <w:r w:rsidR="00C12A55" w:rsidRPr="00A826B6">
        <w:rPr>
          <w:lang w:val="en-GB"/>
        </w:rPr>
        <w:t>b</w:t>
      </w:r>
      <w:r w:rsidRPr="00A826B6">
        <w:rPr>
          <w:lang w:val="en-GB"/>
        </w:rPr>
        <w:t xml:space="preserve">oard. </w:t>
      </w:r>
    </w:p>
    <w:p w14:paraId="5D98DCB2" w14:textId="0F217707" w:rsidR="00082267" w:rsidRPr="00A826B6" w:rsidRDefault="00A33D13" w:rsidP="00221877">
      <w:pPr>
        <w:pStyle w:val="SingleTxtG"/>
        <w:rPr>
          <w:lang w:val="en-GB"/>
        </w:rPr>
      </w:pPr>
      <w:r w:rsidRPr="00A826B6">
        <w:rPr>
          <w:lang w:val="en-GB"/>
        </w:rPr>
        <w:t>7.2</w:t>
      </w:r>
      <w:r w:rsidR="005D7DBF" w:rsidRPr="00A826B6">
        <w:rPr>
          <w:lang w:val="en-GB"/>
        </w:rPr>
        <w:tab/>
      </w:r>
      <w:r w:rsidR="00082267" w:rsidRPr="00A826B6">
        <w:rPr>
          <w:lang w:val="en-GB"/>
        </w:rPr>
        <w:t>With respect to the risk faced in Albania in case of forcible return, the authors refer to their initial submission. They reiterate that proceedings are pending in their case before the High Court of Eastern Denmark</w:t>
      </w:r>
      <w:r w:rsidR="00F710EA" w:rsidRPr="00A826B6">
        <w:rPr>
          <w:lang w:val="en-GB"/>
        </w:rPr>
        <w:t xml:space="preserve">. </w:t>
      </w:r>
    </w:p>
    <w:p w14:paraId="4C579173" w14:textId="11E0085C" w:rsidR="00850601" w:rsidRPr="00A826B6" w:rsidRDefault="003040C6" w:rsidP="00221877">
      <w:pPr>
        <w:pStyle w:val="SingleTxtG"/>
        <w:rPr>
          <w:lang w:val="en-GB"/>
        </w:rPr>
      </w:pPr>
      <w:r w:rsidRPr="00A826B6">
        <w:rPr>
          <w:lang w:val="en-GB"/>
        </w:rPr>
        <w:t>7.3</w:t>
      </w:r>
      <w:r w:rsidRPr="00A826B6">
        <w:rPr>
          <w:lang w:val="en-GB"/>
        </w:rPr>
        <w:tab/>
        <w:t xml:space="preserve">Concerning article 14, the authors stress that the procedure in their case </w:t>
      </w:r>
      <w:r w:rsidR="004C6FF1" w:rsidRPr="00A826B6">
        <w:rPr>
          <w:lang w:val="en-GB"/>
        </w:rPr>
        <w:t xml:space="preserve">does not directly involve matters of expulsion of aliens, such as to fall under article 13, </w:t>
      </w:r>
      <w:r w:rsidR="00221877" w:rsidRPr="00A826B6">
        <w:rPr>
          <w:lang w:val="en-GB"/>
        </w:rPr>
        <w:t xml:space="preserve">as </w:t>
      </w:r>
      <w:r w:rsidR="004C6FF1" w:rsidRPr="00A826B6">
        <w:rPr>
          <w:lang w:val="en-GB"/>
        </w:rPr>
        <w:t xml:space="preserve">the State party suggests. Rather, the authors’ allegation focuses on the formality of the lawsuit, more specifically the denial of suspensive effects in the proceeding. </w:t>
      </w:r>
      <w:r w:rsidR="005C0AD0" w:rsidRPr="00A826B6">
        <w:rPr>
          <w:lang w:val="en-GB"/>
        </w:rPr>
        <w:t xml:space="preserve">As such, it falls under article 14 of the Covenant. </w:t>
      </w:r>
    </w:p>
    <w:p w14:paraId="5673BB1F" w14:textId="1F8F89FB" w:rsidR="009A2D87" w:rsidRPr="00A826B6" w:rsidRDefault="009A2D87" w:rsidP="008A61AB">
      <w:pPr>
        <w:pStyle w:val="SingleTxtG"/>
        <w:rPr>
          <w:lang w:val="en-GB"/>
        </w:rPr>
      </w:pPr>
      <w:r w:rsidRPr="00A826B6">
        <w:rPr>
          <w:lang w:val="en-GB"/>
        </w:rPr>
        <w:t>7.4</w:t>
      </w:r>
      <w:r w:rsidRPr="00A826B6">
        <w:rPr>
          <w:lang w:val="en-GB"/>
        </w:rPr>
        <w:tab/>
        <w:t>On 7 September 2015, the authors informed the Committee that</w:t>
      </w:r>
      <w:r w:rsidR="00221877" w:rsidRPr="00A826B6">
        <w:rPr>
          <w:lang w:val="en-GB"/>
        </w:rPr>
        <w:t>,</w:t>
      </w:r>
      <w:r w:rsidRPr="00A826B6">
        <w:rPr>
          <w:lang w:val="en-GB"/>
        </w:rPr>
        <w:t xml:space="preserve"> by </w:t>
      </w:r>
      <w:r w:rsidR="00221877" w:rsidRPr="00A826B6">
        <w:rPr>
          <w:lang w:val="en-GB"/>
        </w:rPr>
        <w:t xml:space="preserve">its </w:t>
      </w:r>
      <w:r w:rsidRPr="00A826B6">
        <w:rPr>
          <w:lang w:val="en-GB"/>
        </w:rPr>
        <w:t>decision of 2 September 2015, the High Court</w:t>
      </w:r>
      <w:r w:rsidR="008A61AB" w:rsidRPr="00A826B6">
        <w:rPr>
          <w:lang w:val="en-GB"/>
        </w:rPr>
        <w:t xml:space="preserve"> of Eastern Denmark</w:t>
      </w:r>
      <w:r w:rsidRPr="00A826B6">
        <w:rPr>
          <w:lang w:val="en-GB"/>
        </w:rPr>
        <w:t xml:space="preserve"> upheld the decision of the District Court of Copenhagen</w:t>
      </w:r>
      <w:r w:rsidR="00C51BCE" w:rsidRPr="00A826B6">
        <w:rPr>
          <w:lang w:val="en-GB"/>
        </w:rPr>
        <w:t xml:space="preserve"> of 22 May 2014 (</w:t>
      </w:r>
      <w:r w:rsidR="00221877" w:rsidRPr="00A826B6">
        <w:rPr>
          <w:lang w:val="en-GB"/>
        </w:rPr>
        <w:t xml:space="preserve">see </w:t>
      </w:r>
      <w:r w:rsidR="00C51BCE" w:rsidRPr="00A826B6">
        <w:rPr>
          <w:lang w:val="en-GB"/>
        </w:rPr>
        <w:t>par</w:t>
      </w:r>
      <w:r w:rsidR="00C41B82" w:rsidRPr="00A826B6">
        <w:rPr>
          <w:lang w:val="en-GB"/>
        </w:rPr>
        <w:t>a</w:t>
      </w:r>
      <w:r w:rsidR="00C51BCE" w:rsidRPr="00A826B6">
        <w:rPr>
          <w:lang w:val="en-GB"/>
        </w:rPr>
        <w:t>. 6.2)</w:t>
      </w:r>
      <w:r w:rsidR="00250196" w:rsidRPr="00A826B6">
        <w:rPr>
          <w:lang w:val="en-GB"/>
        </w:rPr>
        <w:t>. The High Court</w:t>
      </w:r>
      <w:r w:rsidR="008A61AB" w:rsidRPr="00A826B6">
        <w:rPr>
          <w:lang w:val="en-GB"/>
        </w:rPr>
        <w:t xml:space="preserve"> of Eastern Denmark</w:t>
      </w:r>
      <w:r w:rsidR="00250196" w:rsidRPr="00A826B6">
        <w:rPr>
          <w:lang w:val="en-GB"/>
        </w:rPr>
        <w:t xml:space="preserve"> determined</w:t>
      </w:r>
      <w:r w:rsidR="00C51BCE" w:rsidRPr="00A826B6">
        <w:rPr>
          <w:lang w:val="en-GB"/>
        </w:rPr>
        <w:t xml:space="preserve"> that it found no basis for overriding the </w:t>
      </w:r>
      <w:r w:rsidR="00FE5A28" w:rsidRPr="00A826B6">
        <w:rPr>
          <w:lang w:val="en-GB"/>
        </w:rPr>
        <w:t>i</w:t>
      </w:r>
      <w:r w:rsidR="00C51BCE" w:rsidRPr="00A826B6">
        <w:rPr>
          <w:lang w:val="en-GB"/>
        </w:rPr>
        <w:t xml:space="preserve">mmigration </w:t>
      </w:r>
      <w:r w:rsidR="00FE5A28" w:rsidRPr="00A826B6">
        <w:rPr>
          <w:lang w:val="en-GB"/>
        </w:rPr>
        <w:t>s</w:t>
      </w:r>
      <w:r w:rsidR="00C51BCE" w:rsidRPr="00A826B6">
        <w:rPr>
          <w:lang w:val="en-GB"/>
        </w:rPr>
        <w:t xml:space="preserve">ervices’ assessment. </w:t>
      </w:r>
    </w:p>
    <w:p w14:paraId="30DE8601" w14:textId="77777777" w:rsidR="00F35149" w:rsidRPr="00A826B6" w:rsidRDefault="003134AC" w:rsidP="00F35149">
      <w:pPr>
        <w:pStyle w:val="H23G"/>
      </w:pPr>
      <w:r w:rsidRPr="00A826B6">
        <w:tab/>
      </w:r>
      <w:r w:rsidRPr="00A826B6">
        <w:tab/>
      </w:r>
      <w:r w:rsidR="00F35149" w:rsidRPr="00A826B6">
        <w:t>Issues and proceedings before the Committee</w:t>
      </w:r>
    </w:p>
    <w:p w14:paraId="63C7A3DC" w14:textId="77777777" w:rsidR="00F35149" w:rsidRPr="00A826B6" w:rsidRDefault="00F35149" w:rsidP="00F35149">
      <w:pPr>
        <w:pStyle w:val="H4G"/>
      </w:pPr>
      <w:r w:rsidRPr="00A826B6">
        <w:tab/>
      </w:r>
      <w:r w:rsidRPr="00A826B6">
        <w:tab/>
        <w:t>Consideration of admissibility</w:t>
      </w:r>
    </w:p>
    <w:p w14:paraId="7CE62468" w14:textId="73623E9E" w:rsidR="00F35149" w:rsidRPr="00A826B6" w:rsidRDefault="00250196" w:rsidP="00F35149">
      <w:pPr>
        <w:pStyle w:val="SingleTxtG"/>
        <w:rPr>
          <w:bCs/>
          <w:lang w:val="en-GB"/>
        </w:rPr>
      </w:pPr>
      <w:r w:rsidRPr="00A826B6">
        <w:rPr>
          <w:bCs/>
          <w:lang w:val="en-GB"/>
        </w:rPr>
        <w:t>8.1</w:t>
      </w:r>
      <w:r w:rsidR="00F35149" w:rsidRPr="00A826B6">
        <w:rPr>
          <w:bCs/>
          <w:lang w:val="en-GB"/>
        </w:rPr>
        <w:tab/>
        <w:t>Before considering any claims contained in a communication, the Human Rights Committee must, in accordance with rule 93 of its rules of procedure, decide whether or not it is admissible under the Optional Protocol to the Covenant.</w:t>
      </w:r>
    </w:p>
    <w:p w14:paraId="240FA2CB" w14:textId="702C8C20" w:rsidR="00F35149" w:rsidRPr="00A826B6" w:rsidRDefault="00250196" w:rsidP="00CC0C5B">
      <w:pPr>
        <w:pStyle w:val="SingleTxtG"/>
        <w:rPr>
          <w:bCs/>
          <w:lang w:val="en-GB"/>
        </w:rPr>
      </w:pPr>
      <w:r w:rsidRPr="00A826B6">
        <w:rPr>
          <w:bCs/>
          <w:lang w:val="en-GB"/>
        </w:rPr>
        <w:t>8.2</w:t>
      </w:r>
      <w:r w:rsidR="00F35149" w:rsidRPr="00A826B6">
        <w:rPr>
          <w:bCs/>
          <w:lang w:val="en-GB"/>
        </w:rPr>
        <w:tab/>
      </w:r>
      <w:r w:rsidR="00CC0C5B" w:rsidRPr="00A826B6">
        <w:t xml:space="preserve">As required under article 5 </w:t>
      </w:r>
      <w:r w:rsidR="00CC0C5B" w:rsidRPr="00A826B6">
        <w:rPr>
          <w:lang w:val="en-US"/>
        </w:rPr>
        <w:t>(</w:t>
      </w:r>
      <w:r w:rsidR="00CC0C5B" w:rsidRPr="00A826B6">
        <w:t>2</w:t>
      </w:r>
      <w:r w:rsidR="00CC0C5B" w:rsidRPr="00A826B6">
        <w:rPr>
          <w:lang w:val="en-US"/>
        </w:rPr>
        <w:t>)</w:t>
      </w:r>
      <w:r w:rsidR="00CC0C5B" w:rsidRPr="00A826B6">
        <w:t xml:space="preserve"> (a) of the Optional Protocol, </w:t>
      </w:r>
      <w:r w:rsidR="00CC0C5B" w:rsidRPr="00A826B6">
        <w:rPr>
          <w:bCs/>
          <w:lang w:val="en-GB"/>
        </w:rPr>
        <w:t>t</w:t>
      </w:r>
      <w:r w:rsidR="00F35149" w:rsidRPr="00A826B6">
        <w:rPr>
          <w:bCs/>
          <w:lang w:val="en-GB"/>
        </w:rPr>
        <w:t>he Committee has ascertained that the same matter is not being examined under another procedure of international investigation or settlement.</w:t>
      </w:r>
    </w:p>
    <w:p w14:paraId="06E506B6" w14:textId="2C75C1ED" w:rsidR="00F34E2D" w:rsidRPr="00A826B6" w:rsidRDefault="00FD2085" w:rsidP="00CC0C5B">
      <w:pPr>
        <w:pStyle w:val="SingleTxtG"/>
        <w:rPr>
          <w:lang w:val="en-GB"/>
        </w:rPr>
      </w:pPr>
      <w:r w:rsidRPr="00A826B6">
        <w:rPr>
          <w:lang w:val="en-GB"/>
        </w:rPr>
        <w:t>8.3</w:t>
      </w:r>
      <w:r w:rsidRPr="00A826B6">
        <w:rPr>
          <w:lang w:val="en-GB"/>
        </w:rPr>
        <w:tab/>
      </w:r>
      <w:r w:rsidR="00F34E2D" w:rsidRPr="00A826B6">
        <w:rPr>
          <w:lang w:val="en-GB"/>
        </w:rPr>
        <w:t>The Committee notes that the author</w:t>
      </w:r>
      <w:r w:rsidR="00F34E2D" w:rsidRPr="00A826B6">
        <w:rPr>
          <w:lang w:val="en-GB" w:bidi="he-IL"/>
        </w:rPr>
        <w:t>s</w:t>
      </w:r>
      <w:r w:rsidR="00F34E2D" w:rsidRPr="00A826B6">
        <w:rPr>
          <w:lang w:val="en-GB"/>
        </w:rPr>
        <w:t xml:space="preserve"> ha</w:t>
      </w:r>
      <w:r w:rsidR="00F34E2D" w:rsidRPr="00A826B6">
        <w:rPr>
          <w:lang w:val="en-GB" w:bidi="he-IL"/>
        </w:rPr>
        <w:t>ve</w:t>
      </w:r>
      <w:r w:rsidR="00F34E2D" w:rsidRPr="00A826B6">
        <w:rPr>
          <w:lang w:val="en-GB"/>
        </w:rPr>
        <w:t xml:space="preserve"> exhausted all available domestic remedies, as required by article 5 </w:t>
      </w:r>
      <w:r w:rsidR="00CC0C5B" w:rsidRPr="00A826B6">
        <w:rPr>
          <w:lang w:val="en-GB"/>
        </w:rPr>
        <w:t>(</w:t>
      </w:r>
      <w:r w:rsidR="00F34E2D" w:rsidRPr="00A826B6">
        <w:rPr>
          <w:lang w:val="en-GB"/>
        </w:rPr>
        <w:t>2</w:t>
      </w:r>
      <w:r w:rsidR="00CC0C5B" w:rsidRPr="00A826B6">
        <w:rPr>
          <w:lang w:val="en-GB"/>
        </w:rPr>
        <w:t>)</w:t>
      </w:r>
      <w:r w:rsidR="00F34E2D" w:rsidRPr="00A826B6">
        <w:rPr>
          <w:lang w:val="en-GB"/>
        </w:rPr>
        <w:t xml:space="preserve"> (b) of the Optional Protocol. </w:t>
      </w:r>
    </w:p>
    <w:p w14:paraId="63A4C3F2" w14:textId="3C9D7E62" w:rsidR="00FD2085" w:rsidRPr="00A826B6" w:rsidRDefault="00F34E2D" w:rsidP="00D90E42">
      <w:pPr>
        <w:pStyle w:val="SingleTxtG"/>
        <w:rPr>
          <w:lang w:val="en-GB" w:bidi="he-IL"/>
        </w:rPr>
      </w:pPr>
      <w:r w:rsidRPr="00A826B6">
        <w:rPr>
          <w:lang w:val="en-GB"/>
        </w:rPr>
        <w:t>8.4</w:t>
      </w:r>
      <w:r w:rsidRPr="00A826B6">
        <w:rPr>
          <w:lang w:val="en-GB"/>
        </w:rPr>
        <w:tab/>
      </w:r>
      <w:r w:rsidR="00FD2085" w:rsidRPr="00A826B6">
        <w:rPr>
          <w:lang w:val="en-GB"/>
        </w:rPr>
        <w:t>The Committee recalls its general comment No. 31</w:t>
      </w:r>
      <w:r w:rsidR="00CC0C5B" w:rsidRPr="00A826B6">
        <w:rPr>
          <w:lang w:val="en-GB"/>
        </w:rPr>
        <w:t>,</w:t>
      </w:r>
      <w:r w:rsidR="00FD2085" w:rsidRPr="00A826B6">
        <w:rPr>
          <w:lang w:val="en-GB"/>
        </w:rPr>
        <w:t xml:space="preserve"> in which it refers to the obligation of States parties not to extradite, deport, expel or otherwise remove a person from their territory when there are substantial grounds for believing that there is a real risk of irreparable harm</w:t>
      </w:r>
      <w:r w:rsidR="00CC0C5B" w:rsidRPr="00A826B6">
        <w:rPr>
          <w:lang w:val="en-GB"/>
        </w:rPr>
        <w:t>,</w:t>
      </w:r>
      <w:r w:rsidR="00FD2085" w:rsidRPr="00A826B6">
        <w:rPr>
          <w:lang w:val="en-GB"/>
        </w:rPr>
        <w:t xml:space="preserve"> such as that contemplated by articles 6 and 7 of the Covenant.</w:t>
      </w:r>
      <w:r w:rsidR="00FD2085" w:rsidRPr="00A826B6">
        <w:rPr>
          <w:rStyle w:val="FootnoteReference"/>
          <w:lang w:val="en-GB"/>
        </w:rPr>
        <w:footnoteReference w:id="5"/>
      </w:r>
      <w:r w:rsidR="00FD2085" w:rsidRPr="00A826B6">
        <w:rPr>
          <w:lang w:val="en-GB"/>
        </w:rPr>
        <w:t xml:space="preserve"> The Committee has also indicated that the risk must be personal</w:t>
      </w:r>
      <w:r w:rsidR="00FD2085" w:rsidRPr="00A826B6">
        <w:rPr>
          <w:rStyle w:val="FootnoteReference"/>
          <w:lang w:val="en-GB"/>
        </w:rPr>
        <w:footnoteReference w:id="6"/>
      </w:r>
      <w:r w:rsidR="00FD2085" w:rsidRPr="00A826B6">
        <w:rPr>
          <w:lang w:val="en-GB"/>
        </w:rPr>
        <w:t xml:space="preserve"> and that there is a high threshold for providing substantial grounds to establish that a real risk of irreparable harm exists.</w:t>
      </w:r>
      <w:r w:rsidR="00FD2085" w:rsidRPr="00A826B6">
        <w:rPr>
          <w:rStyle w:val="FootnoteReference"/>
          <w:lang w:val="en-GB"/>
        </w:rPr>
        <w:footnoteReference w:id="7"/>
      </w:r>
      <w:r w:rsidR="00FD2085" w:rsidRPr="00A826B6">
        <w:rPr>
          <w:lang w:val="en-GB"/>
        </w:rPr>
        <w:t xml:space="preserve"> </w:t>
      </w:r>
      <w:r w:rsidR="00FD2085" w:rsidRPr="00A826B6">
        <w:rPr>
          <w:lang w:val="en-GB" w:bidi="he-IL"/>
        </w:rPr>
        <w:t>In making this assessment</w:t>
      </w:r>
      <w:r w:rsidR="00FD2085" w:rsidRPr="00A826B6">
        <w:rPr>
          <w:lang w:val="en-GB"/>
        </w:rPr>
        <w:t xml:space="preserve">, all relevant facts and circumstances must be considered, </w:t>
      </w:r>
      <w:r w:rsidR="00FD2085" w:rsidRPr="00A826B6">
        <w:rPr>
          <w:lang w:val="en-GB"/>
        </w:rPr>
        <w:lastRenderedPageBreak/>
        <w:t>including the general human rights situation in the author</w:t>
      </w:r>
      <w:r w:rsidR="002E25D3" w:rsidRPr="00A826B6">
        <w:rPr>
          <w:lang w:val="en-GB"/>
        </w:rPr>
        <w:t>’</w:t>
      </w:r>
      <w:r w:rsidR="00FD2085" w:rsidRPr="00A826B6">
        <w:rPr>
          <w:lang w:val="en-GB"/>
        </w:rPr>
        <w:t>s country of origin.</w:t>
      </w:r>
      <w:r w:rsidR="00FD2085" w:rsidRPr="00A826B6">
        <w:rPr>
          <w:rStyle w:val="FootnoteReference"/>
          <w:lang w:val="en-GB"/>
        </w:rPr>
        <w:footnoteReference w:id="8"/>
      </w:r>
      <w:r w:rsidR="00FD2085" w:rsidRPr="00A826B6">
        <w:rPr>
          <w:lang w:val="en-GB"/>
        </w:rPr>
        <w:t xml:space="preserve"> The Committee </w:t>
      </w:r>
      <w:r w:rsidR="00FD2085" w:rsidRPr="00A826B6">
        <w:rPr>
          <w:lang w:val="en-GB" w:bidi="he-IL"/>
        </w:rPr>
        <w:t>further</w:t>
      </w:r>
      <w:r w:rsidR="00FD2085" w:rsidRPr="00A826B6">
        <w:rPr>
          <w:lang w:val="en-GB"/>
        </w:rPr>
        <w:t xml:space="preserve"> recalls its jurisprudence that </w:t>
      </w:r>
      <w:r w:rsidR="00FD2085" w:rsidRPr="00A826B6">
        <w:rPr>
          <w:lang w:val="en-GB" w:bidi="he-IL"/>
        </w:rPr>
        <w:t>considerable</w:t>
      </w:r>
      <w:r w:rsidR="00FD2085" w:rsidRPr="00A826B6">
        <w:rPr>
          <w:lang w:val="en-GB"/>
        </w:rPr>
        <w:t xml:space="preserve"> weight should be given to the assessment conducted by the State party, unless it is found that the evaluation was clearly arbitrary or amounted to a denial of justice,</w:t>
      </w:r>
      <w:r w:rsidR="00FD2085" w:rsidRPr="00A826B6">
        <w:rPr>
          <w:rStyle w:val="FootnoteReference"/>
          <w:lang w:val="en-GB"/>
        </w:rPr>
        <w:footnoteReference w:id="9"/>
      </w:r>
      <w:r w:rsidR="00FD2085" w:rsidRPr="00A826B6">
        <w:rPr>
          <w:lang w:val="en-GB"/>
        </w:rPr>
        <w:t xml:space="preserve"> and that it is generally for organs of States parties to the Covenant to review or evaluate facts and evidence in order to determine whether such a risk exists.</w:t>
      </w:r>
      <w:r w:rsidR="00FD2085" w:rsidRPr="00A826B6">
        <w:rPr>
          <w:rStyle w:val="FootnoteReference"/>
          <w:lang w:val="en-GB"/>
        </w:rPr>
        <w:footnoteReference w:id="10"/>
      </w:r>
      <w:r w:rsidR="00FD2085" w:rsidRPr="00A826B6">
        <w:rPr>
          <w:lang w:val="en-GB"/>
        </w:rPr>
        <w:t xml:space="preserve"> </w:t>
      </w:r>
    </w:p>
    <w:p w14:paraId="2C0195EF" w14:textId="0C3BC766" w:rsidR="00357FEC" w:rsidRPr="00A826B6" w:rsidRDefault="00250196" w:rsidP="00181452">
      <w:pPr>
        <w:pStyle w:val="SingleTxtG"/>
        <w:rPr>
          <w:lang w:val="en-GB"/>
        </w:rPr>
      </w:pPr>
      <w:r w:rsidRPr="00A826B6">
        <w:rPr>
          <w:rFonts w:eastAsia="SimSun"/>
          <w:lang w:val="en-GB" w:eastAsia="ko-KR"/>
        </w:rPr>
        <w:t>8.</w:t>
      </w:r>
      <w:r w:rsidR="00FD2085" w:rsidRPr="00A826B6">
        <w:rPr>
          <w:rFonts w:eastAsia="SimSun"/>
          <w:lang w:val="en-GB" w:eastAsia="ko-KR"/>
        </w:rPr>
        <w:t>5</w:t>
      </w:r>
      <w:r w:rsidR="000C7588" w:rsidRPr="00A826B6">
        <w:rPr>
          <w:rFonts w:eastAsia="SimSun"/>
          <w:lang w:val="en-GB" w:eastAsia="ko-KR"/>
        </w:rPr>
        <w:tab/>
        <w:t xml:space="preserve">The Committee notes the </w:t>
      </w:r>
      <w:r w:rsidR="000C7588" w:rsidRPr="00A826B6">
        <w:rPr>
          <w:rFonts w:eastAsia="SimSun"/>
          <w:lang w:val="en-GB"/>
        </w:rPr>
        <w:t>authors’</w:t>
      </w:r>
      <w:r w:rsidR="000C7588" w:rsidRPr="00A826B6">
        <w:rPr>
          <w:rFonts w:eastAsia="SimSun"/>
          <w:lang w:val="en-GB" w:eastAsia="ko-KR"/>
        </w:rPr>
        <w:t xml:space="preserve"> claim that </w:t>
      </w:r>
      <w:r w:rsidR="00357FEC" w:rsidRPr="00A826B6">
        <w:rPr>
          <w:lang w:val="en-GB"/>
        </w:rPr>
        <w:t>their asylum application</w:t>
      </w:r>
      <w:r w:rsidR="00181452" w:rsidRPr="00A826B6">
        <w:rPr>
          <w:lang w:val="en-GB"/>
        </w:rPr>
        <w:t>,</w:t>
      </w:r>
      <w:r w:rsidR="00357FEC" w:rsidRPr="00A826B6">
        <w:rPr>
          <w:lang w:val="en-GB"/>
        </w:rPr>
        <w:t xml:space="preserve"> decided under the “manifestly unfounded” procedure without a possibility of an effective appeal to the </w:t>
      </w:r>
      <w:r w:rsidR="00C12A55" w:rsidRPr="00A826B6">
        <w:rPr>
          <w:lang w:val="en-GB"/>
        </w:rPr>
        <w:t>r</w:t>
      </w:r>
      <w:r w:rsidR="00357FEC" w:rsidRPr="00A826B6">
        <w:rPr>
          <w:lang w:val="en-GB"/>
        </w:rPr>
        <w:t xml:space="preserve">efugee </w:t>
      </w:r>
      <w:r w:rsidR="00C12A55" w:rsidRPr="00A826B6">
        <w:rPr>
          <w:lang w:val="en-GB"/>
        </w:rPr>
        <w:t>a</w:t>
      </w:r>
      <w:r w:rsidR="00DF6F0D" w:rsidRPr="00A826B6">
        <w:rPr>
          <w:lang w:val="en-GB"/>
        </w:rPr>
        <w:t xml:space="preserve">ppeals </w:t>
      </w:r>
      <w:r w:rsidR="00C12A55" w:rsidRPr="00A826B6">
        <w:rPr>
          <w:lang w:val="en-GB"/>
        </w:rPr>
        <w:t>b</w:t>
      </w:r>
      <w:r w:rsidR="00357FEC" w:rsidRPr="00A826B6">
        <w:rPr>
          <w:lang w:val="en-GB"/>
        </w:rPr>
        <w:t>oard</w:t>
      </w:r>
      <w:r w:rsidR="00181452" w:rsidRPr="00A826B6">
        <w:rPr>
          <w:lang w:val="en-GB"/>
        </w:rPr>
        <w:t>;</w:t>
      </w:r>
      <w:r w:rsidR="00357FEC" w:rsidRPr="00A826B6">
        <w:rPr>
          <w:lang w:val="en-GB"/>
        </w:rPr>
        <w:t xml:space="preserve"> </w:t>
      </w:r>
      <w:r w:rsidR="00181452" w:rsidRPr="00A826B6">
        <w:rPr>
          <w:lang w:val="en-GB"/>
        </w:rPr>
        <w:t xml:space="preserve">the </w:t>
      </w:r>
      <w:r w:rsidR="00357FEC" w:rsidRPr="00A826B6">
        <w:rPr>
          <w:lang w:val="en-GB"/>
        </w:rPr>
        <w:t>failure to provide them with a lawyer</w:t>
      </w:r>
      <w:r w:rsidR="00181452" w:rsidRPr="00A826B6">
        <w:rPr>
          <w:lang w:val="en-GB"/>
        </w:rPr>
        <w:t>;</w:t>
      </w:r>
      <w:r w:rsidR="00357FEC" w:rsidRPr="00A826B6">
        <w:rPr>
          <w:lang w:val="en-GB"/>
        </w:rPr>
        <w:t xml:space="preserve"> </w:t>
      </w:r>
      <w:r w:rsidR="00181452" w:rsidRPr="00A826B6">
        <w:rPr>
          <w:lang w:val="en-GB"/>
        </w:rPr>
        <w:t xml:space="preserve">and the </w:t>
      </w:r>
      <w:r w:rsidR="00357FEC" w:rsidRPr="00A826B6">
        <w:rPr>
          <w:lang w:val="en-GB"/>
        </w:rPr>
        <w:t xml:space="preserve">denial of suspensory effect of the </w:t>
      </w:r>
      <w:r w:rsidR="00FE5A28" w:rsidRPr="00A826B6">
        <w:rPr>
          <w:lang w:val="en-GB"/>
        </w:rPr>
        <w:t>i</w:t>
      </w:r>
      <w:r w:rsidR="00357FEC" w:rsidRPr="00A826B6">
        <w:rPr>
          <w:lang w:val="en-GB"/>
        </w:rPr>
        <w:t xml:space="preserve">mmigration </w:t>
      </w:r>
      <w:r w:rsidR="00FE5A28" w:rsidRPr="00A826B6">
        <w:rPr>
          <w:lang w:val="en-GB"/>
        </w:rPr>
        <w:t>s</w:t>
      </w:r>
      <w:r w:rsidR="00357FEC" w:rsidRPr="00A826B6">
        <w:rPr>
          <w:lang w:val="en-GB"/>
        </w:rPr>
        <w:t>ervice decision</w:t>
      </w:r>
      <w:r w:rsidR="00DF6F0D" w:rsidRPr="00A826B6">
        <w:rPr>
          <w:lang w:val="en-GB"/>
        </w:rPr>
        <w:t>,</w:t>
      </w:r>
      <w:r w:rsidR="00357FEC" w:rsidRPr="00A826B6">
        <w:rPr>
          <w:lang w:val="en-GB"/>
        </w:rPr>
        <w:t xml:space="preserve"> </w:t>
      </w:r>
      <w:r w:rsidR="00DF6F0D" w:rsidRPr="00A826B6">
        <w:rPr>
          <w:lang w:val="en-GB"/>
        </w:rPr>
        <w:t>have</w:t>
      </w:r>
      <w:r w:rsidR="00357FEC" w:rsidRPr="00A826B6">
        <w:rPr>
          <w:lang w:val="en-GB"/>
        </w:rPr>
        <w:t xml:space="preserve"> constituted a violation of article 14 of the Covenant. The Committee </w:t>
      </w:r>
      <w:r w:rsidR="00181452" w:rsidRPr="00A826B6">
        <w:rPr>
          <w:lang w:val="en-GB"/>
        </w:rPr>
        <w:t xml:space="preserve">also notes </w:t>
      </w:r>
      <w:r w:rsidR="00357FEC" w:rsidRPr="00A826B6">
        <w:rPr>
          <w:lang w:val="en-GB"/>
        </w:rPr>
        <w:t>the authors’ claim that</w:t>
      </w:r>
      <w:r w:rsidR="00181452" w:rsidRPr="00A826B6">
        <w:rPr>
          <w:lang w:val="en-GB"/>
        </w:rPr>
        <w:t>,</w:t>
      </w:r>
      <w:r w:rsidR="00357FEC" w:rsidRPr="00A826B6">
        <w:rPr>
          <w:lang w:val="en-GB"/>
        </w:rPr>
        <w:t xml:space="preserve"> since other Albanian asylum seekers in similar situations of threats on account of blood-feud revenge </w:t>
      </w:r>
      <w:r w:rsidR="00181452" w:rsidRPr="00A826B6">
        <w:rPr>
          <w:lang w:val="en-GB"/>
        </w:rPr>
        <w:t xml:space="preserve">have been </w:t>
      </w:r>
      <w:r w:rsidR="00357FEC" w:rsidRPr="00A826B6">
        <w:rPr>
          <w:lang w:val="en-GB"/>
        </w:rPr>
        <w:t xml:space="preserve">given the right to appeal to the </w:t>
      </w:r>
      <w:r w:rsidR="00C12A55" w:rsidRPr="00A826B6">
        <w:rPr>
          <w:lang w:val="en-GB"/>
        </w:rPr>
        <w:t>b</w:t>
      </w:r>
      <w:r w:rsidR="00357FEC" w:rsidRPr="00A826B6">
        <w:rPr>
          <w:lang w:val="en-GB"/>
        </w:rPr>
        <w:t xml:space="preserve">oard, </w:t>
      </w:r>
      <w:r w:rsidR="00181452" w:rsidRPr="00A826B6">
        <w:rPr>
          <w:lang w:val="en-GB"/>
        </w:rPr>
        <w:t xml:space="preserve">they consider that </w:t>
      </w:r>
      <w:r w:rsidR="00357FEC" w:rsidRPr="00A826B6">
        <w:rPr>
          <w:lang w:val="en-GB"/>
        </w:rPr>
        <w:t>their rights under article 26</w:t>
      </w:r>
      <w:r w:rsidR="00A33D13" w:rsidRPr="00A826B6">
        <w:rPr>
          <w:lang w:val="en-GB"/>
        </w:rPr>
        <w:t xml:space="preserve"> of the Covenant </w:t>
      </w:r>
      <w:r w:rsidR="00181452" w:rsidRPr="00A826B6">
        <w:rPr>
          <w:lang w:val="en-GB"/>
        </w:rPr>
        <w:t xml:space="preserve">have been </w:t>
      </w:r>
      <w:r w:rsidR="00A33D13" w:rsidRPr="00A826B6">
        <w:rPr>
          <w:lang w:val="en-GB"/>
        </w:rPr>
        <w:t>violated.</w:t>
      </w:r>
    </w:p>
    <w:p w14:paraId="53E1CA9D" w14:textId="0E975FA3" w:rsidR="00357FEC" w:rsidRPr="00A826B6" w:rsidRDefault="00250196" w:rsidP="00181452">
      <w:pPr>
        <w:pStyle w:val="SingleTxtG"/>
        <w:rPr>
          <w:rFonts w:eastAsia="SimSun"/>
          <w:lang w:val="en-GB" w:eastAsia="ko-KR" w:bidi="he-IL"/>
        </w:rPr>
      </w:pPr>
      <w:r w:rsidRPr="00A826B6">
        <w:rPr>
          <w:rFonts w:eastAsia="SimSun"/>
          <w:lang w:val="en-GB" w:eastAsia="ko-KR"/>
        </w:rPr>
        <w:t>8.</w:t>
      </w:r>
      <w:r w:rsidR="00FD2085" w:rsidRPr="00A826B6">
        <w:rPr>
          <w:rFonts w:eastAsia="SimSun"/>
          <w:lang w:val="en-GB" w:eastAsia="ko-KR"/>
        </w:rPr>
        <w:t>6</w:t>
      </w:r>
      <w:r w:rsidR="00357FEC" w:rsidRPr="00A826B6">
        <w:rPr>
          <w:rFonts w:eastAsia="SimSun"/>
          <w:lang w:val="en-GB" w:eastAsia="ko-KR"/>
        </w:rPr>
        <w:tab/>
        <w:t>T</w:t>
      </w:r>
      <w:r w:rsidR="000C7588" w:rsidRPr="00A826B6">
        <w:rPr>
          <w:rFonts w:eastAsia="SimSun"/>
          <w:lang w:val="en-GB" w:eastAsia="ko-KR"/>
        </w:rPr>
        <w:t>he Committee refers to its jurisprudence</w:t>
      </w:r>
      <w:r w:rsidR="00357FEC" w:rsidRPr="00A826B6">
        <w:rPr>
          <w:rFonts w:eastAsia="SimSun"/>
          <w:lang w:val="en-GB" w:eastAsia="ko-KR"/>
        </w:rPr>
        <w:t xml:space="preserve"> in which it determined</w:t>
      </w:r>
      <w:r w:rsidR="000C7588" w:rsidRPr="00A826B6">
        <w:rPr>
          <w:rFonts w:eastAsia="SimSun"/>
          <w:lang w:val="en-GB" w:eastAsia="ko-KR"/>
        </w:rPr>
        <w:t xml:space="preserve"> that proceedings relating to the expulsion of aliens do not fall within the ambit of a determination of “rights and obligations in a suit at law” within the meaning of article 14</w:t>
      </w:r>
      <w:r w:rsidR="00181452" w:rsidRPr="00A826B6">
        <w:rPr>
          <w:rFonts w:eastAsia="SimSun"/>
          <w:lang w:val="en-GB" w:eastAsia="ko-KR"/>
        </w:rPr>
        <w:t> (1)</w:t>
      </w:r>
      <w:r w:rsidR="000C7588" w:rsidRPr="00A826B6">
        <w:rPr>
          <w:rFonts w:eastAsia="SimSun"/>
          <w:lang w:val="en-GB" w:eastAsia="ko-KR"/>
        </w:rPr>
        <w:t xml:space="preserve"> but are governed by article 13 of the Covenant.</w:t>
      </w:r>
      <w:r w:rsidR="000C7588" w:rsidRPr="00A826B6">
        <w:rPr>
          <w:rStyle w:val="FootnoteReference"/>
          <w:rFonts w:eastAsia="SimSun"/>
          <w:lang w:val="en-GB"/>
        </w:rPr>
        <w:footnoteReference w:id="11"/>
      </w:r>
      <w:r w:rsidR="000C7588" w:rsidRPr="00A826B6">
        <w:rPr>
          <w:rFonts w:eastAsia="SimSun"/>
          <w:lang w:val="en-GB" w:eastAsia="ko-KR"/>
        </w:rPr>
        <w:t xml:space="preserve"> </w:t>
      </w:r>
      <w:r w:rsidR="000C7588" w:rsidRPr="00A826B6">
        <w:rPr>
          <w:lang w:val="en-GB" w:eastAsia="ko-KR"/>
        </w:rPr>
        <w:t>A</w:t>
      </w:r>
      <w:r w:rsidR="000C7588" w:rsidRPr="00A826B6">
        <w:rPr>
          <w:rFonts w:eastAsia="SimSun"/>
          <w:lang w:val="en-GB" w:eastAsia="ko-KR"/>
        </w:rPr>
        <w:t>rticle 13 of the Covenant</w:t>
      </w:r>
      <w:r w:rsidR="000C7588" w:rsidRPr="00A826B6">
        <w:rPr>
          <w:lang w:val="en-GB" w:eastAsia="ko-KR"/>
        </w:rPr>
        <w:t xml:space="preserve"> offers some of protection afforded by article 14</w:t>
      </w:r>
      <w:r w:rsidR="00181452" w:rsidRPr="00A826B6">
        <w:rPr>
          <w:lang w:val="en-GB" w:eastAsia="ko-KR"/>
        </w:rPr>
        <w:t> (1)</w:t>
      </w:r>
      <w:r w:rsidR="000C7588" w:rsidRPr="00A826B6">
        <w:rPr>
          <w:rFonts w:eastAsia="SimSun"/>
          <w:lang w:val="en-GB" w:eastAsia="ko-KR"/>
        </w:rPr>
        <w:t xml:space="preserve"> </w:t>
      </w:r>
      <w:r w:rsidR="000C7588" w:rsidRPr="00A826B6">
        <w:rPr>
          <w:lang w:val="en-GB" w:eastAsia="ko-KR"/>
        </w:rPr>
        <w:t>of the Covenant but not the right of appeal</w:t>
      </w:r>
      <w:r w:rsidR="00A33D13" w:rsidRPr="00A826B6">
        <w:rPr>
          <w:lang w:val="en-GB" w:eastAsia="ko-KR"/>
        </w:rPr>
        <w:t>.</w:t>
      </w:r>
      <w:r w:rsidR="000C7588" w:rsidRPr="00A826B6">
        <w:rPr>
          <w:rStyle w:val="FootnoteReference"/>
          <w:rFonts w:eastAsia="SimSun"/>
          <w:lang w:val="en-GB"/>
        </w:rPr>
        <w:footnoteReference w:id="12"/>
      </w:r>
      <w:r w:rsidR="00F96C0A" w:rsidRPr="00A826B6">
        <w:rPr>
          <w:lang w:val="en-GB" w:eastAsia="ko-KR" w:bidi="he-IL"/>
        </w:rPr>
        <w:t xml:space="preserve"> </w:t>
      </w:r>
      <w:r w:rsidR="000C7588" w:rsidRPr="00A826B6">
        <w:rPr>
          <w:rFonts w:eastAsia="SimSun"/>
          <w:lang w:val="en-GB" w:eastAsia="ko-KR"/>
        </w:rPr>
        <w:t>The Committee therefore considers that the authors’ claim under article 14</w:t>
      </w:r>
      <w:r w:rsidR="002F01C2" w:rsidRPr="00A826B6">
        <w:rPr>
          <w:rFonts w:eastAsia="SimSun"/>
          <w:lang w:val="en-GB" w:eastAsia="ko-KR" w:bidi="he-IL"/>
        </w:rPr>
        <w:t>, concerning the right of appeal,</w:t>
      </w:r>
      <w:r w:rsidR="000C7588" w:rsidRPr="00A826B6">
        <w:rPr>
          <w:rFonts w:eastAsia="SimSun"/>
          <w:lang w:val="en-GB" w:eastAsia="ko-KR"/>
        </w:rPr>
        <w:t xml:space="preserve"> is inadmissible </w:t>
      </w:r>
      <w:r w:rsidR="000C7588" w:rsidRPr="00A826B6">
        <w:rPr>
          <w:rFonts w:eastAsia="SimSun"/>
          <w:i/>
          <w:lang w:val="en-GB" w:eastAsia="ko-KR"/>
        </w:rPr>
        <w:t>ratione materiae</w:t>
      </w:r>
      <w:r w:rsidR="000C7588" w:rsidRPr="00A826B6">
        <w:rPr>
          <w:rFonts w:eastAsia="SimSun"/>
          <w:lang w:val="en-GB" w:eastAsia="ko-KR"/>
        </w:rPr>
        <w:t xml:space="preserve"> pursuant to article 3 of the Optional Protocol. </w:t>
      </w:r>
    </w:p>
    <w:p w14:paraId="1826CC3E" w14:textId="50F0F191" w:rsidR="002F01C2" w:rsidRPr="00A826B6" w:rsidRDefault="00250196" w:rsidP="00A826B6">
      <w:pPr>
        <w:pStyle w:val="SingleTxtG"/>
        <w:spacing w:after="100"/>
        <w:rPr>
          <w:rFonts w:eastAsia="SimSun"/>
          <w:lang w:val="en-GB" w:eastAsia="ko-KR" w:bidi="he-IL"/>
        </w:rPr>
      </w:pPr>
      <w:r w:rsidRPr="00A826B6">
        <w:rPr>
          <w:rFonts w:eastAsia="SimSun"/>
          <w:lang w:val="en-GB" w:eastAsia="ko-KR" w:bidi="he-IL"/>
        </w:rPr>
        <w:t>8.</w:t>
      </w:r>
      <w:r w:rsidR="00FD2085" w:rsidRPr="00A826B6">
        <w:rPr>
          <w:rFonts w:eastAsia="SimSun"/>
          <w:lang w:val="en-GB" w:eastAsia="ko-KR" w:bidi="he-IL"/>
        </w:rPr>
        <w:t>7</w:t>
      </w:r>
      <w:r w:rsidR="00363BD6" w:rsidRPr="00A826B6">
        <w:rPr>
          <w:rFonts w:eastAsia="SimSun"/>
          <w:lang w:val="en-GB" w:eastAsia="ko-KR" w:bidi="he-IL"/>
        </w:rPr>
        <w:tab/>
      </w:r>
      <w:r w:rsidR="002F01C2" w:rsidRPr="00A826B6">
        <w:rPr>
          <w:rFonts w:eastAsia="SimSun"/>
          <w:lang w:val="en-GB" w:eastAsia="ko-KR" w:bidi="he-IL"/>
        </w:rPr>
        <w:t xml:space="preserve">The Committee also notes that </w:t>
      </w:r>
      <w:r w:rsidR="002F01C2" w:rsidRPr="00A826B6">
        <w:rPr>
          <w:lang w:val="en-GB" w:eastAsia="ko-KR"/>
        </w:rPr>
        <w:t>article 14</w:t>
      </w:r>
      <w:r w:rsidR="00181452" w:rsidRPr="00A826B6">
        <w:rPr>
          <w:lang w:val="en-GB" w:eastAsia="ko-KR"/>
        </w:rPr>
        <w:t> (1)</w:t>
      </w:r>
      <w:r w:rsidR="002F01C2" w:rsidRPr="00A826B6">
        <w:rPr>
          <w:rFonts w:eastAsia="SimSun"/>
          <w:lang w:val="en-GB" w:eastAsia="ko-KR"/>
        </w:rPr>
        <w:t xml:space="preserve"> </w:t>
      </w:r>
      <w:r w:rsidR="002F01C2" w:rsidRPr="00A826B6">
        <w:rPr>
          <w:lang w:val="en-GB" w:eastAsia="ko-KR"/>
        </w:rPr>
        <w:t>of the Covenant</w:t>
      </w:r>
      <w:r w:rsidR="002F01C2" w:rsidRPr="00A826B6">
        <w:rPr>
          <w:lang w:val="en-GB" w:eastAsia="ko-KR" w:bidi="he-IL"/>
        </w:rPr>
        <w:t xml:space="preserve"> does not oblige State</w:t>
      </w:r>
      <w:r w:rsidR="000B70DD" w:rsidRPr="00A826B6">
        <w:rPr>
          <w:lang w:val="en-GB" w:eastAsia="ko-KR" w:bidi="he-IL"/>
        </w:rPr>
        <w:t>s</w:t>
      </w:r>
      <w:r w:rsidR="002F01C2" w:rsidRPr="00A826B6">
        <w:rPr>
          <w:lang w:val="en-GB" w:eastAsia="ko-KR" w:bidi="he-IL"/>
        </w:rPr>
        <w:t xml:space="preserve"> parties to </w:t>
      </w:r>
      <w:r w:rsidR="00A7395B" w:rsidRPr="00A826B6">
        <w:rPr>
          <w:lang w:val="en-GB" w:eastAsia="ko-KR" w:bidi="he-IL"/>
        </w:rPr>
        <w:t>provide</w:t>
      </w:r>
      <w:r w:rsidR="00840E0D" w:rsidRPr="00A826B6">
        <w:rPr>
          <w:lang w:val="en-GB" w:eastAsia="ko-KR" w:bidi="he-IL"/>
        </w:rPr>
        <w:t xml:space="preserve"> </w:t>
      </w:r>
      <w:r w:rsidR="002F01C2" w:rsidRPr="00A826B6">
        <w:rPr>
          <w:lang w:val="en-GB" w:eastAsia="ko-KR" w:bidi="he-IL"/>
        </w:rPr>
        <w:t>asylum applicants with a lawyer, except where it would otherwise be impossible to conduct a hearing</w:t>
      </w:r>
      <w:r w:rsidR="000B5059" w:rsidRPr="00A826B6">
        <w:rPr>
          <w:lang w:val="en-GB" w:eastAsia="ko-KR" w:bidi="he-IL"/>
        </w:rPr>
        <w:t xml:space="preserve"> that meets principles of impartiality, fairness and equality of arms</w:t>
      </w:r>
      <w:r w:rsidR="002F01C2" w:rsidRPr="00A826B6">
        <w:rPr>
          <w:lang w:val="en-GB" w:eastAsia="ko-KR" w:bidi="he-IL"/>
        </w:rPr>
        <w:t>.</w:t>
      </w:r>
      <w:r w:rsidR="000B5059" w:rsidRPr="00A826B6">
        <w:rPr>
          <w:rStyle w:val="FootnoteReference"/>
          <w:lang w:val="en-GB"/>
        </w:rPr>
        <w:footnoteReference w:id="13"/>
      </w:r>
      <w:r w:rsidR="002F01C2" w:rsidRPr="00A826B6">
        <w:rPr>
          <w:lang w:val="en-GB" w:eastAsia="ko-KR" w:bidi="he-IL"/>
        </w:rPr>
        <w:t xml:space="preserve"> The authors have not explained how their right </w:t>
      </w:r>
      <w:r w:rsidR="000B5059" w:rsidRPr="00A826B6">
        <w:rPr>
          <w:lang w:val="en-GB" w:eastAsia="ko-KR" w:bidi="he-IL"/>
        </w:rPr>
        <w:t>under</w:t>
      </w:r>
      <w:r w:rsidR="002F01C2" w:rsidRPr="00A826B6">
        <w:rPr>
          <w:lang w:val="en-GB" w:eastAsia="ko-KR" w:bidi="he-IL"/>
        </w:rPr>
        <w:t xml:space="preserve"> </w:t>
      </w:r>
      <w:r w:rsidR="000B5059" w:rsidRPr="00A826B6">
        <w:rPr>
          <w:lang w:val="en-GB" w:eastAsia="ko-KR" w:bidi="he-IL"/>
        </w:rPr>
        <w:t xml:space="preserve">article </w:t>
      </w:r>
      <w:r w:rsidR="0050698C" w:rsidRPr="00A826B6">
        <w:rPr>
          <w:lang w:val="en-GB" w:eastAsia="ko-KR" w:bidi="he-IL"/>
        </w:rPr>
        <w:t>14</w:t>
      </w:r>
      <w:r w:rsidR="000B70DD" w:rsidRPr="00A826B6">
        <w:rPr>
          <w:lang w:val="en-GB" w:eastAsia="ko-KR" w:bidi="he-IL"/>
        </w:rPr>
        <w:t> (1)</w:t>
      </w:r>
      <w:r w:rsidR="0050698C" w:rsidRPr="00A826B6">
        <w:rPr>
          <w:lang w:val="en-GB" w:eastAsia="ko-KR" w:bidi="he-IL"/>
        </w:rPr>
        <w:t xml:space="preserve"> </w:t>
      </w:r>
      <w:r w:rsidR="002F01C2" w:rsidRPr="00A826B6">
        <w:rPr>
          <w:lang w:val="en-GB" w:eastAsia="ko-KR" w:bidi="he-IL"/>
        </w:rPr>
        <w:t xml:space="preserve">was </w:t>
      </w:r>
      <w:r w:rsidR="0050698C" w:rsidRPr="00A826B6">
        <w:rPr>
          <w:lang w:val="en-GB" w:eastAsia="ko-KR" w:bidi="he-IL"/>
        </w:rPr>
        <w:t>violated</w:t>
      </w:r>
      <w:r w:rsidR="002F01C2" w:rsidRPr="00A826B6">
        <w:rPr>
          <w:lang w:val="en-GB" w:eastAsia="ko-KR" w:bidi="he-IL"/>
        </w:rPr>
        <w:t xml:space="preserve"> in the circumstances of the case, especially in </w:t>
      </w:r>
      <w:r w:rsidR="000B70DD" w:rsidRPr="00A826B6">
        <w:rPr>
          <w:lang w:val="en-GB" w:eastAsia="ko-KR" w:bidi="he-IL"/>
        </w:rPr>
        <w:t xml:space="preserve">the </w:t>
      </w:r>
      <w:r w:rsidR="002F01C2" w:rsidRPr="00A826B6">
        <w:rPr>
          <w:lang w:val="en-GB" w:eastAsia="ko-KR" w:bidi="he-IL"/>
        </w:rPr>
        <w:t xml:space="preserve">light of the fact that they were represented </w:t>
      </w:r>
      <w:r w:rsidR="000B70DD" w:rsidRPr="00A826B6">
        <w:rPr>
          <w:lang w:val="en-GB" w:eastAsia="ko-KR" w:bidi="he-IL"/>
        </w:rPr>
        <w:t xml:space="preserve">at </w:t>
      </w:r>
      <w:r w:rsidR="002F01C2" w:rsidRPr="00A826B6">
        <w:rPr>
          <w:lang w:val="en-GB" w:eastAsia="ko-KR" w:bidi="he-IL"/>
        </w:rPr>
        <w:t xml:space="preserve">all stages of the proceedings in Denmark, other than the initial appearance before the </w:t>
      </w:r>
      <w:r w:rsidR="00FE5A28" w:rsidRPr="00A826B6">
        <w:rPr>
          <w:lang w:val="en-GB" w:eastAsia="ko-KR" w:bidi="he-IL"/>
        </w:rPr>
        <w:t>i</w:t>
      </w:r>
      <w:r w:rsidR="002F01C2" w:rsidRPr="00A826B6">
        <w:rPr>
          <w:lang w:val="en-GB" w:eastAsia="ko-KR" w:bidi="he-IL"/>
        </w:rPr>
        <w:t xml:space="preserve">mmigration </w:t>
      </w:r>
      <w:r w:rsidR="00FE5A28" w:rsidRPr="00A826B6">
        <w:rPr>
          <w:lang w:val="en-GB" w:eastAsia="ko-KR" w:bidi="he-IL"/>
        </w:rPr>
        <w:t>s</w:t>
      </w:r>
      <w:r w:rsidR="002F01C2" w:rsidRPr="00A826B6">
        <w:rPr>
          <w:lang w:val="en-GB" w:eastAsia="ko-KR" w:bidi="he-IL"/>
        </w:rPr>
        <w:t xml:space="preserve">ervice. The Committee therefore finds this part of the authors’ claim </w:t>
      </w:r>
      <w:r w:rsidR="002F01C2" w:rsidRPr="00A826B6">
        <w:rPr>
          <w:rFonts w:eastAsia="SimSun"/>
          <w:lang w:val="en-GB" w:eastAsia="ko-KR"/>
        </w:rPr>
        <w:t xml:space="preserve">insufficiently substantiated for purposes of admissibility and declares </w:t>
      </w:r>
      <w:r w:rsidR="002F01C2" w:rsidRPr="00A826B6">
        <w:rPr>
          <w:rFonts w:eastAsia="SimSun"/>
          <w:lang w:val="en-GB" w:eastAsia="ko-KR" w:bidi="he-IL"/>
        </w:rPr>
        <w:t>it</w:t>
      </w:r>
      <w:r w:rsidR="002F01C2" w:rsidRPr="00A826B6">
        <w:rPr>
          <w:rFonts w:eastAsia="SimSun"/>
          <w:lang w:val="en-GB" w:eastAsia="ko-KR"/>
        </w:rPr>
        <w:t xml:space="preserve"> inadmissible under article 2 of the Optional Protocol</w:t>
      </w:r>
      <w:r w:rsidR="00C71836" w:rsidRPr="00A826B6">
        <w:rPr>
          <w:rFonts w:eastAsia="SimSun"/>
          <w:lang w:val="en-GB" w:eastAsia="ko-KR"/>
        </w:rPr>
        <w:t>.</w:t>
      </w:r>
    </w:p>
    <w:p w14:paraId="23762CE2" w14:textId="46703778" w:rsidR="000C7588" w:rsidRPr="00A826B6" w:rsidRDefault="00250196" w:rsidP="00A826B6">
      <w:pPr>
        <w:pStyle w:val="SingleTxtG"/>
        <w:spacing w:after="100"/>
        <w:rPr>
          <w:rFonts w:eastAsia="SimSun"/>
          <w:lang w:val="en-GB" w:eastAsia="ko-KR"/>
        </w:rPr>
      </w:pPr>
      <w:r w:rsidRPr="00A826B6">
        <w:rPr>
          <w:rFonts w:eastAsia="SimSun"/>
          <w:lang w:val="en-GB" w:eastAsia="ko-KR"/>
        </w:rPr>
        <w:t>8.</w:t>
      </w:r>
      <w:r w:rsidR="00FD2085" w:rsidRPr="00A826B6">
        <w:rPr>
          <w:rFonts w:eastAsia="SimSun"/>
          <w:lang w:val="en-GB" w:eastAsia="ko-KR"/>
        </w:rPr>
        <w:t>8</w:t>
      </w:r>
      <w:r w:rsidR="00357FEC" w:rsidRPr="00A826B6">
        <w:rPr>
          <w:rFonts w:eastAsia="SimSun"/>
          <w:lang w:val="en-GB" w:eastAsia="ko-KR"/>
        </w:rPr>
        <w:tab/>
      </w:r>
      <w:r w:rsidR="000C7588" w:rsidRPr="00A826B6">
        <w:rPr>
          <w:rFonts w:eastAsia="SimSun"/>
          <w:lang w:val="en-GB" w:eastAsia="ko-KR"/>
        </w:rPr>
        <w:t>The Committee furthermo</w:t>
      </w:r>
      <w:r w:rsidR="00357FEC" w:rsidRPr="00A826B6">
        <w:rPr>
          <w:rFonts w:eastAsia="SimSun"/>
          <w:lang w:val="en-GB" w:eastAsia="ko-KR"/>
        </w:rPr>
        <w:t>re considers the authors’ claim</w:t>
      </w:r>
      <w:r w:rsidR="000C7588" w:rsidRPr="00A826B6">
        <w:rPr>
          <w:rFonts w:eastAsia="SimSun"/>
          <w:lang w:val="en-GB" w:eastAsia="ko-KR"/>
        </w:rPr>
        <w:t xml:space="preserve"> with respect to article 26 of the Covenant</w:t>
      </w:r>
      <w:r w:rsidR="002F01C2" w:rsidRPr="00A826B6">
        <w:rPr>
          <w:rFonts w:eastAsia="SimSun"/>
          <w:lang w:val="en-GB" w:eastAsia="ko-KR" w:bidi="he-IL"/>
        </w:rPr>
        <w:t xml:space="preserve"> is general in nature and fails to address the State party’s position that the other cases </w:t>
      </w:r>
      <w:r w:rsidR="00363BD6" w:rsidRPr="00A826B6">
        <w:rPr>
          <w:rFonts w:eastAsia="SimSun"/>
          <w:lang w:val="en-GB" w:eastAsia="ko-KR" w:bidi="he-IL"/>
        </w:rPr>
        <w:t>of Albanian asylum seekers diff</w:t>
      </w:r>
      <w:r w:rsidR="002F01C2" w:rsidRPr="00A826B6">
        <w:rPr>
          <w:rFonts w:eastAsia="SimSun"/>
          <w:lang w:val="en-GB" w:eastAsia="ko-KR" w:bidi="he-IL"/>
        </w:rPr>
        <w:t>er</w:t>
      </w:r>
      <w:r w:rsidR="00363BD6" w:rsidRPr="00A826B6">
        <w:rPr>
          <w:rFonts w:eastAsia="SimSun"/>
          <w:lang w:val="en-GB" w:eastAsia="ko-KR" w:bidi="he-IL"/>
        </w:rPr>
        <w:t xml:space="preserve"> from the authors’</w:t>
      </w:r>
      <w:r w:rsidR="002F01C2" w:rsidRPr="00A826B6">
        <w:rPr>
          <w:rFonts w:eastAsia="SimSun"/>
          <w:lang w:val="en-GB" w:eastAsia="ko-KR" w:bidi="he-IL"/>
        </w:rPr>
        <w:t xml:space="preserve"> in their intensity. As a result</w:t>
      </w:r>
      <w:r w:rsidR="00363BD6" w:rsidRPr="00A826B6">
        <w:rPr>
          <w:rFonts w:eastAsia="SimSun"/>
          <w:lang w:val="en-GB" w:eastAsia="ko-KR" w:bidi="he-IL"/>
        </w:rPr>
        <w:t>,</w:t>
      </w:r>
      <w:r w:rsidR="002F01C2" w:rsidRPr="00A826B6">
        <w:rPr>
          <w:rFonts w:eastAsia="SimSun"/>
          <w:lang w:val="en-GB" w:eastAsia="ko-KR" w:bidi="he-IL"/>
        </w:rPr>
        <w:t xml:space="preserve"> this claim is also</w:t>
      </w:r>
      <w:r w:rsidR="000C7588" w:rsidRPr="00A826B6">
        <w:rPr>
          <w:rFonts w:eastAsia="SimSun"/>
          <w:lang w:val="en-GB" w:eastAsia="ko-KR"/>
        </w:rPr>
        <w:t xml:space="preserve"> insufficiently substantiated for purposes of admissibility</w:t>
      </w:r>
      <w:r w:rsidR="00357FEC" w:rsidRPr="00A826B6">
        <w:rPr>
          <w:rFonts w:eastAsia="SimSun"/>
          <w:lang w:val="en-GB" w:eastAsia="ko-KR"/>
        </w:rPr>
        <w:t>,</w:t>
      </w:r>
      <w:r w:rsidR="000C7588" w:rsidRPr="00A826B6">
        <w:rPr>
          <w:rFonts w:eastAsia="SimSun"/>
          <w:lang w:val="en-GB" w:eastAsia="ko-KR"/>
        </w:rPr>
        <w:t xml:space="preserve"> and </w:t>
      </w:r>
      <w:r w:rsidR="002F01C2" w:rsidRPr="00A826B6">
        <w:rPr>
          <w:rFonts w:eastAsia="SimSun"/>
          <w:lang w:val="en-GB" w:eastAsia="ko-KR" w:bidi="he-IL"/>
        </w:rPr>
        <w:t xml:space="preserve">the Committee </w:t>
      </w:r>
      <w:r w:rsidR="000C7588" w:rsidRPr="00A826B6">
        <w:rPr>
          <w:rFonts w:eastAsia="SimSun"/>
          <w:lang w:val="en-GB" w:eastAsia="ko-KR"/>
        </w:rPr>
        <w:t xml:space="preserve">declares </w:t>
      </w:r>
      <w:r w:rsidR="002F01C2" w:rsidRPr="00A826B6">
        <w:rPr>
          <w:rFonts w:eastAsia="SimSun"/>
          <w:lang w:val="en-GB" w:eastAsia="ko-KR" w:bidi="he-IL"/>
        </w:rPr>
        <w:t>it</w:t>
      </w:r>
      <w:r w:rsidR="00357FEC" w:rsidRPr="00A826B6">
        <w:rPr>
          <w:rFonts w:eastAsia="SimSun"/>
          <w:lang w:val="en-GB" w:eastAsia="ko-KR"/>
        </w:rPr>
        <w:t xml:space="preserve"> </w:t>
      </w:r>
      <w:r w:rsidR="000C7588" w:rsidRPr="00A826B6">
        <w:rPr>
          <w:rFonts w:eastAsia="SimSun"/>
          <w:lang w:val="en-GB" w:eastAsia="ko-KR"/>
        </w:rPr>
        <w:t xml:space="preserve">inadmissible under article 2 of the Optional Protocol. </w:t>
      </w:r>
    </w:p>
    <w:p w14:paraId="07A4A316" w14:textId="446A85AA" w:rsidR="00840E0D" w:rsidRPr="00A826B6" w:rsidRDefault="00250196" w:rsidP="00A826B6">
      <w:pPr>
        <w:pStyle w:val="SingleTxtG"/>
        <w:spacing w:after="100"/>
        <w:rPr>
          <w:lang w:val="en-GB" w:bidi="he-IL"/>
        </w:rPr>
      </w:pPr>
      <w:r w:rsidRPr="00A826B6">
        <w:rPr>
          <w:lang w:val="en-GB"/>
        </w:rPr>
        <w:lastRenderedPageBreak/>
        <w:t>8.</w:t>
      </w:r>
      <w:r w:rsidR="00FD2085" w:rsidRPr="00A826B6">
        <w:rPr>
          <w:lang w:val="en-GB"/>
        </w:rPr>
        <w:t>9</w:t>
      </w:r>
      <w:r w:rsidR="001D7A7B" w:rsidRPr="00A826B6">
        <w:rPr>
          <w:lang w:val="en-GB"/>
        </w:rPr>
        <w:tab/>
        <w:t>With regard to th</w:t>
      </w:r>
      <w:r w:rsidR="00C448CD" w:rsidRPr="00A826B6">
        <w:rPr>
          <w:lang w:val="en-GB"/>
        </w:rPr>
        <w:t>e authors’ claim under article 6</w:t>
      </w:r>
      <w:r w:rsidR="001D7A7B" w:rsidRPr="00A826B6">
        <w:rPr>
          <w:lang w:val="en-GB"/>
        </w:rPr>
        <w:t xml:space="preserve">, the Committee notes the State party’s challenge </w:t>
      </w:r>
      <w:r w:rsidR="006226C4" w:rsidRPr="00A826B6">
        <w:rPr>
          <w:lang w:val="en-GB"/>
        </w:rPr>
        <w:t xml:space="preserve">as </w:t>
      </w:r>
      <w:r w:rsidR="001D7A7B" w:rsidRPr="00A826B6">
        <w:rPr>
          <w:lang w:val="en-GB"/>
        </w:rPr>
        <w:t xml:space="preserve">to the admissibility of such </w:t>
      </w:r>
      <w:r w:rsidR="006226C4" w:rsidRPr="00A826B6">
        <w:rPr>
          <w:lang w:val="en-GB"/>
        </w:rPr>
        <w:t xml:space="preserve">a </w:t>
      </w:r>
      <w:r w:rsidR="001D7A7B" w:rsidRPr="00A826B6">
        <w:rPr>
          <w:lang w:val="en-GB"/>
        </w:rPr>
        <w:t>claim for lack of sufficient sub</w:t>
      </w:r>
      <w:r w:rsidR="005A1273" w:rsidRPr="00A826B6">
        <w:rPr>
          <w:lang w:val="en-GB"/>
        </w:rPr>
        <w:t xml:space="preserve">stantiation. The Committee </w:t>
      </w:r>
      <w:r w:rsidR="006226C4" w:rsidRPr="00A826B6">
        <w:rPr>
          <w:lang w:val="en-GB"/>
        </w:rPr>
        <w:t xml:space="preserve">notes </w:t>
      </w:r>
      <w:r w:rsidR="001D7A7B" w:rsidRPr="00A826B6">
        <w:rPr>
          <w:lang w:val="en-GB"/>
        </w:rPr>
        <w:t>the author</w:t>
      </w:r>
      <w:r w:rsidR="00C448CD" w:rsidRPr="00A826B6">
        <w:rPr>
          <w:lang w:val="en-GB"/>
        </w:rPr>
        <w:t>s</w:t>
      </w:r>
      <w:r w:rsidR="005A1273" w:rsidRPr="00A826B6">
        <w:rPr>
          <w:lang w:val="en-GB"/>
        </w:rPr>
        <w:t>’</w:t>
      </w:r>
      <w:r w:rsidR="00C448CD" w:rsidRPr="00A826B6">
        <w:rPr>
          <w:lang w:val="en-GB"/>
        </w:rPr>
        <w:t xml:space="preserve"> </w:t>
      </w:r>
      <w:r w:rsidR="005A1273" w:rsidRPr="00A826B6">
        <w:rPr>
          <w:lang w:val="en-GB"/>
        </w:rPr>
        <w:t xml:space="preserve">claim that they fear for their </w:t>
      </w:r>
      <w:r w:rsidR="006226C4" w:rsidRPr="00A826B6">
        <w:rPr>
          <w:lang w:val="en-GB"/>
        </w:rPr>
        <w:t xml:space="preserve">lives </w:t>
      </w:r>
      <w:r w:rsidR="005A1273" w:rsidRPr="00A826B6">
        <w:rPr>
          <w:lang w:val="en-GB"/>
        </w:rPr>
        <w:t xml:space="preserve">in </w:t>
      </w:r>
      <w:r w:rsidR="006226C4" w:rsidRPr="00A826B6">
        <w:rPr>
          <w:lang w:val="en-GB"/>
        </w:rPr>
        <w:t xml:space="preserve">the event </w:t>
      </w:r>
      <w:r w:rsidR="005A1273" w:rsidRPr="00A826B6">
        <w:rPr>
          <w:lang w:val="en-GB"/>
        </w:rPr>
        <w:t>of a forcible</w:t>
      </w:r>
      <w:r w:rsidR="001D7A7B" w:rsidRPr="00A826B6">
        <w:rPr>
          <w:lang w:val="en-GB"/>
        </w:rPr>
        <w:t xml:space="preserve"> return to </w:t>
      </w:r>
      <w:r w:rsidR="00C448CD" w:rsidRPr="00A826B6">
        <w:rPr>
          <w:lang w:val="en-GB"/>
        </w:rPr>
        <w:t>Albania</w:t>
      </w:r>
      <w:r w:rsidR="005A1273" w:rsidRPr="00A826B6">
        <w:rPr>
          <w:lang w:val="en-GB"/>
        </w:rPr>
        <w:t xml:space="preserve"> on account of the blood-feud </w:t>
      </w:r>
      <w:r w:rsidR="002D196D" w:rsidRPr="00A826B6">
        <w:rPr>
          <w:lang w:val="en-GB"/>
        </w:rPr>
        <w:t>dispute</w:t>
      </w:r>
      <w:r w:rsidR="005A1273" w:rsidRPr="00A826B6">
        <w:rPr>
          <w:lang w:val="en-GB"/>
        </w:rPr>
        <w:t xml:space="preserve"> </w:t>
      </w:r>
      <w:r w:rsidR="006226C4" w:rsidRPr="00A826B6">
        <w:rPr>
          <w:lang w:val="en-GB"/>
        </w:rPr>
        <w:t xml:space="preserve">that </w:t>
      </w:r>
      <w:r w:rsidR="005A1273" w:rsidRPr="00A826B6">
        <w:rPr>
          <w:lang w:val="en-GB"/>
        </w:rPr>
        <w:t xml:space="preserve">has </w:t>
      </w:r>
      <w:r w:rsidR="00DF6F0D" w:rsidRPr="00A826B6">
        <w:rPr>
          <w:lang w:val="en-GB"/>
        </w:rPr>
        <w:t xml:space="preserve">long </w:t>
      </w:r>
      <w:r w:rsidR="005A1273" w:rsidRPr="00A826B6">
        <w:rPr>
          <w:lang w:val="en-GB"/>
        </w:rPr>
        <w:t xml:space="preserve">opposed them to the Shtjefni family </w:t>
      </w:r>
      <w:r w:rsidR="006226C4" w:rsidRPr="00A826B6">
        <w:rPr>
          <w:lang w:val="en-GB"/>
        </w:rPr>
        <w:t xml:space="preserve">and </w:t>
      </w:r>
      <w:r w:rsidR="005A1273" w:rsidRPr="00A826B6">
        <w:rPr>
          <w:lang w:val="en-GB"/>
        </w:rPr>
        <w:t>the related threats</w:t>
      </w:r>
      <w:r w:rsidR="00DF6F0D" w:rsidRPr="00A826B6">
        <w:rPr>
          <w:lang w:val="en-GB"/>
        </w:rPr>
        <w:t xml:space="preserve"> and searches</w:t>
      </w:r>
      <w:r w:rsidR="005A1273" w:rsidRPr="00A826B6">
        <w:rPr>
          <w:lang w:val="en-GB"/>
        </w:rPr>
        <w:t xml:space="preserve"> for the authors’ family members, which</w:t>
      </w:r>
      <w:r w:rsidR="00DF6F0D" w:rsidRPr="00A826B6">
        <w:rPr>
          <w:lang w:val="en-GB"/>
        </w:rPr>
        <w:t xml:space="preserve"> prompted </w:t>
      </w:r>
      <w:r w:rsidR="004B2C86" w:rsidRPr="00A826B6">
        <w:rPr>
          <w:lang w:val="en-GB"/>
        </w:rPr>
        <w:t xml:space="preserve">F.P. </w:t>
      </w:r>
      <w:r w:rsidR="00DF6F0D" w:rsidRPr="00A826B6">
        <w:rPr>
          <w:lang w:val="en-GB"/>
        </w:rPr>
        <w:t>to move to</w:t>
      </w:r>
      <w:r w:rsidR="005A1273" w:rsidRPr="00A826B6">
        <w:rPr>
          <w:lang w:val="en-GB"/>
        </w:rPr>
        <w:t xml:space="preserve"> the village of</w:t>
      </w:r>
      <w:r w:rsidR="002731D6" w:rsidRPr="00A826B6">
        <w:rPr>
          <w:lang w:val="en-GB"/>
        </w:rPr>
        <w:t xml:space="preserve"> Skhoder and later to</w:t>
      </w:r>
      <w:r w:rsidR="005A1273" w:rsidRPr="00A826B6">
        <w:rPr>
          <w:lang w:val="en-GB"/>
        </w:rPr>
        <w:t xml:space="preserve"> Urae Shtrejt</w:t>
      </w:r>
      <w:r w:rsidR="00DF6F0D" w:rsidRPr="00A826B6">
        <w:rPr>
          <w:lang w:val="en-GB"/>
        </w:rPr>
        <w:t xml:space="preserve"> with her children</w:t>
      </w:r>
      <w:r w:rsidR="005A1273" w:rsidRPr="00A826B6">
        <w:rPr>
          <w:lang w:val="en-GB"/>
        </w:rPr>
        <w:t xml:space="preserve">. </w:t>
      </w:r>
      <w:r w:rsidR="004A58A1" w:rsidRPr="00A826B6">
        <w:rPr>
          <w:rFonts w:eastAsia="SimSun"/>
          <w:lang w:val="en-GB" w:eastAsia="ko-KR"/>
        </w:rPr>
        <w:t xml:space="preserve">The Committee </w:t>
      </w:r>
      <w:r w:rsidR="006226C4" w:rsidRPr="00A826B6">
        <w:rPr>
          <w:rFonts w:eastAsia="SimSun"/>
          <w:lang w:val="en-GB" w:eastAsia="ko-KR"/>
        </w:rPr>
        <w:t xml:space="preserve">also </w:t>
      </w:r>
      <w:r w:rsidR="004A58A1" w:rsidRPr="00A826B6">
        <w:rPr>
          <w:rFonts w:eastAsia="SimSun"/>
          <w:lang w:val="en-GB" w:eastAsia="ko-KR"/>
        </w:rPr>
        <w:t>notes that the authors</w:t>
      </w:r>
      <w:r w:rsidR="00F10CD2" w:rsidRPr="00A826B6">
        <w:rPr>
          <w:rFonts w:eastAsia="SimSun"/>
          <w:lang w:val="en-GB" w:eastAsia="ko-KR" w:bidi="he-IL"/>
        </w:rPr>
        <w:t xml:space="preserve"> </w:t>
      </w:r>
      <w:r w:rsidR="00F10CD2" w:rsidRPr="00A826B6">
        <w:rPr>
          <w:rFonts w:eastAsia="SimSun"/>
          <w:lang w:val="en-GB" w:eastAsia="ko-KR"/>
        </w:rPr>
        <w:t>allege fear of death at the hands of private individuals</w:t>
      </w:r>
      <w:r w:rsidR="00F10CD2" w:rsidRPr="00A826B6">
        <w:rPr>
          <w:rFonts w:eastAsia="SimSun"/>
          <w:lang w:val="en-GB" w:eastAsia="ko-KR" w:bidi="he-IL"/>
        </w:rPr>
        <w:t xml:space="preserve"> located in Skhoder</w:t>
      </w:r>
      <w:r w:rsidR="00F10CD2" w:rsidRPr="00A826B6">
        <w:rPr>
          <w:rFonts w:eastAsia="SimSun"/>
          <w:lang w:val="en-GB" w:eastAsia="ko-KR"/>
        </w:rPr>
        <w:t xml:space="preserve"> </w:t>
      </w:r>
      <w:r w:rsidR="00F10CD2" w:rsidRPr="00A826B6">
        <w:rPr>
          <w:rFonts w:eastAsia="SimSun"/>
          <w:lang w:val="en-GB" w:eastAsia="ko-KR" w:bidi="he-IL"/>
        </w:rPr>
        <w:t>but</w:t>
      </w:r>
      <w:r w:rsidR="00FD2085" w:rsidRPr="00A826B6">
        <w:rPr>
          <w:rFonts w:eastAsia="SimSun"/>
          <w:lang w:val="en-GB" w:eastAsia="ko-KR" w:bidi="he-IL"/>
        </w:rPr>
        <w:t xml:space="preserve"> that they have failed to</w:t>
      </w:r>
      <w:r w:rsidR="00F10CD2" w:rsidRPr="00A826B6">
        <w:rPr>
          <w:rFonts w:eastAsia="SimSun"/>
          <w:lang w:val="en-GB" w:eastAsia="ko-KR" w:bidi="he-IL"/>
        </w:rPr>
        <w:t xml:space="preserve"> </w:t>
      </w:r>
      <w:r w:rsidR="00FD2085" w:rsidRPr="00A826B6">
        <w:rPr>
          <w:rFonts w:eastAsia="SimSun"/>
          <w:lang w:val="en-GB" w:eastAsia="ko-KR" w:bidi="he-IL"/>
        </w:rPr>
        <w:t xml:space="preserve">provide convincing evidence </w:t>
      </w:r>
      <w:r w:rsidR="00FD2085" w:rsidRPr="00A826B6">
        <w:rPr>
          <w:rFonts w:eastAsia="SimSun"/>
          <w:lang w:val="en-GB" w:eastAsia="ko-KR"/>
        </w:rPr>
        <w:t>that the Albanian authorities are unwilling or unable to protect them</w:t>
      </w:r>
      <w:r w:rsidR="00FD2085" w:rsidRPr="00A826B6">
        <w:rPr>
          <w:rFonts w:eastAsia="SimSun"/>
          <w:lang w:val="en-GB" w:eastAsia="ko-KR" w:bidi="he-IL"/>
        </w:rPr>
        <w:t xml:space="preserve"> in all locations throughout Albania</w:t>
      </w:r>
      <w:r w:rsidR="00FD2085" w:rsidRPr="00A826B6">
        <w:rPr>
          <w:rFonts w:eastAsia="SimSun"/>
          <w:lang w:val="en-GB" w:eastAsia="ko-KR"/>
        </w:rPr>
        <w:t xml:space="preserve">. Nor have </w:t>
      </w:r>
      <w:r w:rsidR="00F10CD2" w:rsidRPr="00A826B6">
        <w:rPr>
          <w:rFonts w:eastAsia="SimSun"/>
          <w:lang w:val="en-GB" w:eastAsia="ko-KR" w:bidi="he-IL"/>
        </w:rPr>
        <w:t>they</w:t>
      </w:r>
      <w:r w:rsidR="004A58A1" w:rsidRPr="00A826B6">
        <w:rPr>
          <w:rFonts w:eastAsia="SimSun"/>
          <w:lang w:val="en-GB" w:eastAsia="ko-KR"/>
        </w:rPr>
        <w:t xml:space="preserve"> presented </w:t>
      </w:r>
      <w:r w:rsidR="00DF6F0D" w:rsidRPr="00A826B6">
        <w:rPr>
          <w:lang w:val="en-GB"/>
        </w:rPr>
        <w:t>any reason</w:t>
      </w:r>
      <w:r w:rsidR="004A58A1" w:rsidRPr="00A826B6">
        <w:rPr>
          <w:lang w:val="en-GB"/>
        </w:rPr>
        <w:t xml:space="preserve"> as to why it would be unreasonable for them to live in </w:t>
      </w:r>
      <w:r w:rsidR="00670A93" w:rsidRPr="00A826B6">
        <w:rPr>
          <w:lang w:val="en-GB" w:bidi="he-IL"/>
        </w:rPr>
        <w:t>other</w:t>
      </w:r>
      <w:r w:rsidR="004A58A1" w:rsidRPr="00A826B6">
        <w:rPr>
          <w:lang w:val="en-GB"/>
        </w:rPr>
        <w:t xml:space="preserve"> location</w:t>
      </w:r>
      <w:r w:rsidR="00670A93" w:rsidRPr="00A826B6">
        <w:rPr>
          <w:lang w:val="en-GB" w:bidi="he-IL"/>
        </w:rPr>
        <w:t xml:space="preserve">s in Albania, far removed from </w:t>
      </w:r>
      <w:r w:rsidR="004A58A1" w:rsidRPr="00A826B6">
        <w:rPr>
          <w:lang w:val="en-GB"/>
        </w:rPr>
        <w:t>Skhoder or Urae Shtrejt</w:t>
      </w:r>
      <w:r w:rsidR="00670A93" w:rsidRPr="00A826B6">
        <w:rPr>
          <w:lang w:val="en-GB" w:bidi="he-IL"/>
        </w:rPr>
        <w:t>, where they would be safer</w:t>
      </w:r>
      <w:r w:rsidR="004A58A1" w:rsidRPr="00A826B6">
        <w:rPr>
          <w:lang w:val="en-GB"/>
        </w:rPr>
        <w:t>.</w:t>
      </w:r>
      <w:r w:rsidR="00F10CD2" w:rsidRPr="00A826B6">
        <w:rPr>
          <w:lang w:val="en-GB" w:bidi="he-IL"/>
        </w:rPr>
        <w:t xml:space="preserve"> </w:t>
      </w:r>
    </w:p>
    <w:p w14:paraId="78EAB0B2" w14:textId="2E812FE0" w:rsidR="004A58A1" w:rsidRPr="00A826B6" w:rsidRDefault="00250196" w:rsidP="00A826B6">
      <w:pPr>
        <w:pStyle w:val="SingleTxtG"/>
        <w:spacing w:after="100"/>
        <w:rPr>
          <w:lang w:val="en-GB" w:eastAsia="ko-KR"/>
        </w:rPr>
      </w:pPr>
      <w:r w:rsidRPr="00A826B6">
        <w:rPr>
          <w:rFonts w:eastAsia="SimSun"/>
          <w:lang w:val="en-GB" w:eastAsia="ko-KR"/>
        </w:rPr>
        <w:t>8.</w:t>
      </w:r>
      <w:r w:rsidR="00FD2085" w:rsidRPr="00A826B6">
        <w:rPr>
          <w:rFonts w:eastAsia="SimSun"/>
          <w:lang w:val="en-GB" w:eastAsia="ko-KR"/>
        </w:rPr>
        <w:t>10</w:t>
      </w:r>
      <w:r w:rsidR="00664213" w:rsidRPr="00A826B6">
        <w:rPr>
          <w:rFonts w:eastAsia="SimSun"/>
          <w:lang w:val="en-GB" w:eastAsia="ko-KR"/>
        </w:rPr>
        <w:tab/>
      </w:r>
      <w:r w:rsidR="004A58A1" w:rsidRPr="00A826B6">
        <w:rPr>
          <w:rFonts w:eastAsia="SimSun"/>
          <w:lang w:val="en-GB" w:eastAsia="ko-KR"/>
        </w:rPr>
        <w:t>The Committee</w:t>
      </w:r>
      <w:r w:rsidR="002731D6" w:rsidRPr="00A826B6">
        <w:rPr>
          <w:rFonts w:eastAsia="SimSun"/>
          <w:lang w:val="en-GB" w:eastAsia="ko-KR"/>
        </w:rPr>
        <w:t xml:space="preserve"> </w:t>
      </w:r>
      <w:r w:rsidR="002731D6" w:rsidRPr="00A826B6">
        <w:rPr>
          <w:rFonts w:eastAsia="SimSun"/>
          <w:lang w:val="en-GB"/>
        </w:rPr>
        <w:t>n</w:t>
      </w:r>
      <w:r w:rsidR="004A58A1" w:rsidRPr="00A826B6">
        <w:rPr>
          <w:rFonts w:eastAsia="SimSun"/>
          <w:lang w:val="en-GB"/>
        </w:rPr>
        <w:t>otes</w:t>
      </w:r>
      <w:r w:rsidR="004A58A1" w:rsidRPr="00A826B6">
        <w:rPr>
          <w:rFonts w:eastAsia="SimSun"/>
          <w:lang w:val="en-GB" w:eastAsia="ko-KR"/>
        </w:rPr>
        <w:t xml:space="preserve"> that the </w:t>
      </w:r>
      <w:r w:rsidR="00FE5A28" w:rsidRPr="00A826B6">
        <w:rPr>
          <w:lang w:val="en-GB"/>
        </w:rPr>
        <w:t>i</w:t>
      </w:r>
      <w:r w:rsidR="004A58A1" w:rsidRPr="00A826B6">
        <w:rPr>
          <w:lang w:val="en-GB"/>
        </w:rPr>
        <w:t xml:space="preserve">mmigration </w:t>
      </w:r>
      <w:r w:rsidR="00FE5A28" w:rsidRPr="00A826B6">
        <w:rPr>
          <w:lang w:val="en-GB"/>
        </w:rPr>
        <w:t>s</w:t>
      </w:r>
      <w:r w:rsidR="004A58A1" w:rsidRPr="00A826B6">
        <w:rPr>
          <w:lang w:val="en-GB"/>
        </w:rPr>
        <w:t>ervice determined that the conflict opposing the authors to the Shtjefni family was not of an intensity and character such as to fall into the ambit of article 7 of the Aliens Act, which provides for persecution grounds entitling applicants to asylum</w:t>
      </w:r>
      <w:r w:rsidR="00670A93" w:rsidRPr="00A826B6">
        <w:rPr>
          <w:lang w:val="en-GB" w:bidi="he-IL"/>
        </w:rPr>
        <w:t xml:space="preserve">, </w:t>
      </w:r>
      <w:r w:rsidR="00E375B1" w:rsidRPr="00A826B6">
        <w:rPr>
          <w:lang w:val="en-GB" w:bidi="he-IL"/>
        </w:rPr>
        <w:t xml:space="preserve">and </w:t>
      </w:r>
      <w:r w:rsidR="0012601C" w:rsidRPr="00A826B6">
        <w:rPr>
          <w:lang w:val="en-GB" w:bidi="he-IL"/>
        </w:rPr>
        <w:t xml:space="preserve">which </w:t>
      </w:r>
      <w:r w:rsidR="000B5059" w:rsidRPr="00A826B6">
        <w:rPr>
          <w:lang w:val="en-GB" w:bidi="he-IL"/>
        </w:rPr>
        <w:t>partly overlap with articles 6 and 7 of the Covenant</w:t>
      </w:r>
      <w:r w:rsidR="004A58A1" w:rsidRPr="00A826B6">
        <w:rPr>
          <w:lang w:val="en-GB"/>
        </w:rPr>
        <w:t>.</w:t>
      </w:r>
      <w:r w:rsidR="004A58A1" w:rsidRPr="00A826B6">
        <w:rPr>
          <w:rFonts w:eastAsia="SimSun"/>
          <w:lang w:val="en-GB" w:eastAsia="ko-KR"/>
        </w:rPr>
        <w:t xml:space="preserve"> </w:t>
      </w:r>
      <w:r w:rsidR="004A58A1" w:rsidRPr="00A826B6">
        <w:rPr>
          <w:color w:val="000000"/>
          <w:lang w:val="en-GB"/>
        </w:rPr>
        <w:t xml:space="preserve">The </w:t>
      </w:r>
      <w:r w:rsidR="00FE5A28" w:rsidRPr="00A826B6">
        <w:rPr>
          <w:color w:val="000000"/>
          <w:lang w:val="en-GB"/>
        </w:rPr>
        <w:t>i</w:t>
      </w:r>
      <w:r w:rsidR="004A58A1" w:rsidRPr="00A826B6">
        <w:rPr>
          <w:color w:val="000000"/>
          <w:lang w:val="en-GB"/>
        </w:rPr>
        <w:t xml:space="preserve">mmigration </w:t>
      </w:r>
      <w:r w:rsidR="00FE5A28" w:rsidRPr="00A826B6">
        <w:rPr>
          <w:color w:val="000000"/>
          <w:lang w:val="en-GB"/>
        </w:rPr>
        <w:t>s</w:t>
      </w:r>
      <w:r w:rsidR="004A58A1" w:rsidRPr="00A826B6">
        <w:rPr>
          <w:color w:val="000000"/>
          <w:lang w:val="en-GB"/>
        </w:rPr>
        <w:t xml:space="preserve">ervice further determined that the authors could settle in a different location in Albania, where the Shtjefni family would not be able to locate them. </w:t>
      </w:r>
      <w:r w:rsidR="004A58A1" w:rsidRPr="00A826B6">
        <w:rPr>
          <w:rFonts w:eastAsia="SimSun"/>
          <w:lang w:val="en-GB" w:eastAsia="zh-CN"/>
        </w:rPr>
        <w:t xml:space="preserve">The authors disagree with the factual conclusions of the State party’s authorities, but the information before the Committee does not show that </w:t>
      </w:r>
      <w:r w:rsidR="00E375B1" w:rsidRPr="00A826B6">
        <w:rPr>
          <w:rFonts w:eastAsia="SimSun"/>
          <w:lang w:val="en-GB" w:eastAsia="zh-CN"/>
        </w:rPr>
        <w:t xml:space="preserve">those </w:t>
      </w:r>
      <w:r w:rsidR="004A58A1" w:rsidRPr="00A826B6">
        <w:rPr>
          <w:rFonts w:eastAsia="SimSun"/>
          <w:lang w:val="en-GB" w:eastAsia="zh-CN"/>
        </w:rPr>
        <w:t xml:space="preserve">findings are manifestly unreasonable. </w:t>
      </w:r>
    </w:p>
    <w:p w14:paraId="5E8989AF" w14:textId="2D166C62" w:rsidR="00664213" w:rsidRPr="00A826B6" w:rsidRDefault="00250196" w:rsidP="00A826B6">
      <w:pPr>
        <w:pStyle w:val="SingleTxtG"/>
        <w:spacing w:after="100"/>
        <w:rPr>
          <w:lang w:val="en-GB"/>
        </w:rPr>
      </w:pPr>
      <w:r w:rsidRPr="00A826B6">
        <w:rPr>
          <w:lang w:val="en-GB" w:eastAsia="ko-KR"/>
        </w:rPr>
        <w:t>8.1</w:t>
      </w:r>
      <w:r w:rsidR="00FD2085" w:rsidRPr="00A826B6">
        <w:rPr>
          <w:lang w:val="en-GB" w:eastAsia="ko-KR"/>
        </w:rPr>
        <w:t>1</w:t>
      </w:r>
      <w:r w:rsidR="00664213" w:rsidRPr="00A826B6">
        <w:rPr>
          <w:lang w:val="en-GB" w:eastAsia="ko-KR"/>
        </w:rPr>
        <w:tab/>
      </w:r>
      <w:r w:rsidR="004A58A1" w:rsidRPr="00A826B6">
        <w:rPr>
          <w:lang w:val="en-GB" w:eastAsia="ko-KR"/>
        </w:rPr>
        <w:t>T</w:t>
      </w:r>
      <w:r w:rsidR="004A58A1" w:rsidRPr="00A826B6">
        <w:rPr>
          <w:lang w:val="en-GB"/>
        </w:rPr>
        <w:t>he authors have not convincingly identified any irregularity in the decision-making process or any risk factor that the State party’s authorities failed to take properly into account.</w:t>
      </w:r>
      <w:r w:rsidR="004A58A1" w:rsidRPr="00A826B6">
        <w:rPr>
          <w:lang w:val="en-GB" w:eastAsia="ko-KR"/>
        </w:rPr>
        <w:t xml:space="preserve"> </w:t>
      </w:r>
      <w:r w:rsidR="004A58A1" w:rsidRPr="00A826B6">
        <w:rPr>
          <w:rFonts w:eastAsia="SimSun"/>
          <w:lang w:val="en-GB" w:eastAsia="zh-CN"/>
        </w:rPr>
        <w:t xml:space="preserve">In the light of the above, the </w:t>
      </w:r>
      <w:r w:rsidR="00664213" w:rsidRPr="00A826B6">
        <w:rPr>
          <w:lang w:val="en-GB"/>
        </w:rPr>
        <w:t xml:space="preserve">Committee considers that the authors have failed to sufficiently substantiate their claim that their return to Albania would breach article 6 of the Covenant. </w:t>
      </w:r>
    </w:p>
    <w:p w14:paraId="5D73E380" w14:textId="3BEA2C66" w:rsidR="00F90D91" w:rsidRPr="00A826B6" w:rsidRDefault="00250196" w:rsidP="00A826B6">
      <w:pPr>
        <w:pStyle w:val="SingleTxtG"/>
        <w:spacing w:after="100"/>
        <w:rPr>
          <w:lang w:val="en-GB"/>
        </w:rPr>
      </w:pPr>
      <w:r w:rsidRPr="00A826B6">
        <w:rPr>
          <w:lang w:val="en-GB"/>
        </w:rPr>
        <w:t>9</w:t>
      </w:r>
      <w:r w:rsidR="00F90D91" w:rsidRPr="00A826B6">
        <w:rPr>
          <w:lang w:val="en-GB"/>
        </w:rPr>
        <w:t>.</w:t>
      </w:r>
      <w:r w:rsidR="00F90D91" w:rsidRPr="00A826B6">
        <w:rPr>
          <w:lang w:val="en-GB"/>
        </w:rPr>
        <w:tab/>
        <w:t xml:space="preserve">The Human Rights Committee therefore decides: </w:t>
      </w:r>
    </w:p>
    <w:p w14:paraId="41EB990A" w14:textId="77777777" w:rsidR="00F90D91" w:rsidRPr="00A826B6" w:rsidRDefault="005F6121" w:rsidP="00A826B6">
      <w:pPr>
        <w:pStyle w:val="SingleTxtG"/>
        <w:spacing w:after="100"/>
        <w:rPr>
          <w:lang w:val="en-GB"/>
        </w:rPr>
      </w:pPr>
      <w:r w:rsidRPr="00A826B6">
        <w:rPr>
          <w:lang w:val="en-GB"/>
        </w:rPr>
        <w:tab/>
      </w:r>
      <w:r w:rsidR="00F90D91" w:rsidRPr="00A826B6">
        <w:rPr>
          <w:lang w:val="en-GB"/>
        </w:rPr>
        <w:t>(a)</w:t>
      </w:r>
      <w:r w:rsidR="00F90D91" w:rsidRPr="00A826B6">
        <w:rPr>
          <w:lang w:val="en-GB"/>
        </w:rPr>
        <w:tab/>
        <w:t xml:space="preserve">That the communication is inadmissible under article 2 of the Optional Protocol; </w:t>
      </w:r>
    </w:p>
    <w:p w14:paraId="065AF1EC" w14:textId="77777777" w:rsidR="00F90D91" w:rsidRPr="00173E64" w:rsidRDefault="005F6121" w:rsidP="00A826B6">
      <w:pPr>
        <w:pStyle w:val="SingleTxtG"/>
        <w:spacing w:after="100"/>
        <w:rPr>
          <w:lang w:val="en-GB"/>
        </w:rPr>
      </w:pPr>
      <w:r w:rsidRPr="00A826B6">
        <w:rPr>
          <w:lang w:val="en-GB"/>
        </w:rPr>
        <w:tab/>
      </w:r>
      <w:r w:rsidR="00F90D91" w:rsidRPr="00A826B6">
        <w:rPr>
          <w:lang w:val="en-GB"/>
        </w:rPr>
        <w:t>(b)</w:t>
      </w:r>
      <w:r w:rsidR="00F90D91" w:rsidRPr="00A826B6">
        <w:rPr>
          <w:lang w:val="en-GB"/>
        </w:rPr>
        <w:tab/>
        <w:t>That this decision shall be communicated to the State party and to the author</w:t>
      </w:r>
      <w:r w:rsidR="00664213" w:rsidRPr="00A826B6">
        <w:rPr>
          <w:lang w:val="en-GB"/>
        </w:rPr>
        <w:t>s</w:t>
      </w:r>
      <w:r w:rsidR="00F90D91" w:rsidRPr="00A826B6">
        <w:rPr>
          <w:lang w:val="en-GB"/>
        </w:rPr>
        <w:t>.</w:t>
      </w:r>
    </w:p>
    <w:p w14:paraId="69FFA3AD" w14:textId="77777777" w:rsidR="00415C74" w:rsidRPr="00173E64" w:rsidRDefault="00415C74" w:rsidP="00A826B6">
      <w:pPr>
        <w:pStyle w:val="SingleTxtG"/>
        <w:spacing w:after="0" w:line="240" w:lineRule="auto"/>
        <w:jc w:val="center"/>
        <w:rPr>
          <w:u w:val="single"/>
          <w:lang w:val="en-GB"/>
        </w:rPr>
      </w:pPr>
      <w:r w:rsidRPr="00173E64">
        <w:rPr>
          <w:u w:val="single"/>
          <w:lang w:val="en-GB"/>
        </w:rPr>
        <w:tab/>
      </w:r>
      <w:r w:rsidRPr="00173E64">
        <w:rPr>
          <w:u w:val="single"/>
          <w:lang w:val="en-GB"/>
        </w:rPr>
        <w:tab/>
      </w:r>
      <w:r w:rsidRPr="00173E64">
        <w:rPr>
          <w:u w:val="single"/>
          <w:lang w:val="en-GB"/>
        </w:rPr>
        <w:tab/>
      </w:r>
    </w:p>
    <w:sectPr w:rsidR="00415C74" w:rsidRPr="00173E64" w:rsidSect="003E78AE">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0T11:42:00Z" w:initials="Start">
    <w:p w14:paraId="78B1A6F8" w14:textId="77777777" w:rsidR="003E78AE" w:rsidRDefault="003E78A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NO&gt;&gt;N1528205E&lt;&lt;ODS JOB NO&gt;&gt;</w:t>
      </w:r>
    </w:p>
    <w:p w14:paraId="34C77FA6" w14:textId="77777777" w:rsidR="003E78AE" w:rsidRDefault="003E78AE">
      <w:pPr>
        <w:pStyle w:val="CommentText"/>
      </w:pPr>
      <w:r>
        <w:t>&lt;&lt;ODS DOC SYMBOL1&gt;&gt;CCPR/C/115/D/2344/2014&lt;&lt;ODS DOC SYMBOL1&gt;&gt;</w:t>
      </w:r>
    </w:p>
    <w:p w14:paraId="2D467D1F" w14:textId="6478D4D3" w:rsidR="003E78AE" w:rsidRDefault="003E78AE">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67D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9E36" w14:textId="77777777" w:rsidR="00B370CD" w:rsidRDefault="00B370CD"/>
  </w:endnote>
  <w:endnote w:type="continuationSeparator" w:id="0">
    <w:p w14:paraId="659CE9FB" w14:textId="77777777" w:rsidR="00B370CD" w:rsidRDefault="00B370CD"/>
  </w:endnote>
  <w:endnote w:type="continuationNotice" w:id="1">
    <w:p w14:paraId="750218C8" w14:textId="77777777" w:rsidR="00B370CD" w:rsidRDefault="00B37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AD1D" w14:textId="77777777" w:rsidR="00DD1BDC" w:rsidRPr="00781C83" w:rsidRDefault="00DD1BDC"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0D509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6370" w14:textId="77777777" w:rsidR="00DD1BDC" w:rsidRPr="00A826B6" w:rsidRDefault="00DD1BDC" w:rsidP="00781C83">
    <w:pPr>
      <w:pStyle w:val="Footer"/>
      <w:tabs>
        <w:tab w:val="right" w:pos="9638"/>
      </w:tabs>
      <w:rPr>
        <w:b/>
        <w:bCs/>
        <w:sz w:val="18"/>
      </w:rPr>
    </w:pPr>
    <w:r>
      <w:rPr>
        <w:b/>
        <w:sz w:val="18"/>
      </w:rPr>
      <w:tab/>
    </w:r>
    <w:r w:rsidRPr="00A826B6">
      <w:rPr>
        <w:b/>
        <w:bCs/>
        <w:sz w:val="18"/>
      </w:rPr>
      <w:fldChar w:fldCharType="begin"/>
    </w:r>
    <w:r w:rsidRPr="00A826B6">
      <w:rPr>
        <w:b/>
        <w:bCs/>
        <w:sz w:val="18"/>
      </w:rPr>
      <w:instrText xml:space="preserve"> PAGE  \* MERGEFORMAT </w:instrText>
    </w:r>
    <w:r w:rsidRPr="00A826B6">
      <w:rPr>
        <w:b/>
        <w:bCs/>
        <w:sz w:val="18"/>
      </w:rPr>
      <w:fldChar w:fldCharType="separate"/>
    </w:r>
    <w:r w:rsidR="000D509B">
      <w:rPr>
        <w:b/>
        <w:bCs/>
        <w:noProof/>
        <w:sz w:val="18"/>
      </w:rPr>
      <w:t>3</w:t>
    </w:r>
    <w:r w:rsidRPr="00A826B6">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E78AE" w14:paraId="4EDCCCBE" w14:textId="77777777" w:rsidTr="003E78AE">
      <w:tc>
        <w:tcPr>
          <w:tcW w:w="3614" w:type="dxa"/>
          <w:shd w:val="clear" w:color="auto" w:fill="auto"/>
        </w:tcPr>
        <w:p w14:paraId="619D72B9" w14:textId="20BCB184" w:rsidR="003E78AE" w:rsidRDefault="003E78AE" w:rsidP="003E78AE">
          <w:pPr>
            <w:pStyle w:val="Footer"/>
            <w:rPr>
              <w:sz w:val="20"/>
            </w:rPr>
          </w:pPr>
          <w:r>
            <w:rPr>
              <w:noProof/>
              <w:sz w:val="20"/>
              <w:lang w:val="en-US"/>
            </w:rPr>
            <w:drawing>
              <wp:anchor distT="0" distB="0" distL="114300" distR="114300" simplePos="0" relativeHeight="251658240" behindDoc="0" locked="0" layoutInCell="1" allowOverlap="1" wp14:anchorId="1312878E" wp14:editId="2E19F3F7">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344/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344/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GE.15-21710(E)</w:t>
          </w:r>
        </w:p>
        <w:p w14:paraId="7A60F116" w14:textId="70471D56" w:rsidR="003E78AE" w:rsidRPr="003E78AE" w:rsidRDefault="003E78AE" w:rsidP="003E78AE">
          <w:pPr>
            <w:pStyle w:val="Footer"/>
            <w:rPr>
              <w:rFonts w:ascii="Barcode 3 of 9 by request" w:hAnsi="Barcode 3 of 9 by request"/>
              <w:sz w:val="24"/>
            </w:rPr>
          </w:pPr>
          <w:r>
            <w:rPr>
              <w:rFonts w:ascii="Barcode 3 of 9 by request" w:hAnsi="Barcode 3 of 9 by request"/>
              <w:sz w:val="24"/>
            </w:rPr>
            <w:t>*1521710*</w:t>
          </w:r>
        </w:p>
      </w:tc>
      <w:tc>
        <w:tcPr>
          <w:tcW w:w="4752" w:type="dxa"/>
          <w:shd w:val="clear" w:color="auto" w:fill="auto"/>
        </w:tcPr>
        <w:p w14:paraId="740DC21D" w14:textId="59555AF6" w:rsidR="003E78AE" w:rsidRDefault="003E78AE" w:rsidP="003E78AE">
          <w:pPr>
            <w:pStyle w:val="Footer"/>
            <w:spacing w:line="240" w:lineRule="atLeast"/>
            <w:jc w:val="right"/>
            <w:rPr>
              <w:sz w:val="20"/>
            </w:rPr>
          </w:pPr>
          <w:r>
            <w:rPr>
              <w:noProof/>
              <w:sz w:val="20"/>
              <w:lang w:val="en-US"/>
            </w:rPr>
            <w:drawing>
              <wp:inline distT="0" distB="0" distL="0" distR="0" wp14:anchorId="3A8F68AF" wp14:editId="34B8634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D799EFA" w14:textId="77777777" w:rsidR="003E78AE" w:rsidRPr="003E78AE" w:rsidRDefault="003E78AE" w:rsidP="003E78A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7D551" w14:textId="77777777" w:rsidR="00B370CD" w:rsidRPr="000B175B" w:rsidRDefault="00B370CD" w:rsidP="000B175B">
      <w:pPr>
        <w:tabs>
          <w:tab w:val="right" w:pos="2155"/>
        </w:tabs>
        <w:spacing w:after="80"/>
        <w:ind w:left="680"/>
        <w:rPr>
          <w:u w:val="single"/>
        </w:rPr>
      </w:pPr>
      <w:r>
        <w:rPr>
          <w:u w:val="single"/>
        </w:rPr>
        <w:tab/>
      </w:r>
    </w:p>
  </w:footnote>
  <w:footnote w:type="continuationSeparator" w:id="0">
    <w:p w14:paraId="4FF32334" w14:textId="77777777" w:rsidR="00B370CD" w:rsidRPr="00FC68B7" w:rsidRDefault="00B370CD" w:rsidP="00FC68B7">
      <w:pPr>
        <w:tabs>
          <w:tab w:val="left" w:pos="2155"/>
        </w:tabs>
        <w:spacing w:after="80"/>
        <w:ind w:left="680"/>
        <w:rPr>
          <w:u w:val="single"/>
        </w:rPr>
      </w:pPr>
      <w:r>
        <w:rPr>
          <w:u w:val="single"/>
        </w:rPr>
        <w:tab/>
      </w:r>
    </w:p>
  </w:footnote>
  <w:footnote w:type="continuationNotice" w:id="1">
    <w:p w14:paraId="63F7BB09" w14:textId="77777777" w:rsidR="00B370CD" w:rsidRDefault="00B370CD"/>
  </w:footnote>
  <w:footnote w:id="2">
    <w:p w14:paraId="26E43C61" w14:textId="1FA8BD39" w:rsidR="00DD1BDC" w:rsidRPr="00A826B6" w:rsidRDefault="00DD1BDC" w:rsidP="00FD369A">
      <w:pPr>
        <w:pStyle w:val="FootnoteText"/>
        <w:rPr>
          <w:lang w:val="en-GB"/>
        </w:rPr>
      </w:pPr>
      <w:r>
        <w:rPr>
          <w:rStyle w:val="FootnoteReference"/>
        </w:rPr>
        <w:tab/>
      </w:r>
      <w:r w:rsidRPr="00173E64">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Olivier de Frouville, </w:t>
      </w:r>
      <w:r w:rsidRPr="00C455EA">
        <w:rPr>
          <w:szCs w:val="18"/>
        </w:rPr>
        <w:t>Ahmed</w:t>
      </w:r>
      <w:r>
        <w:rPr>
          <w:szCs w:val="18"/>
        </w:rPr>
        <w:t> </w:t>
      </w:r>
      <w:r w:rsidRPr="00C455EA">
        <w:rPr>
          <w:szCs w:val="18"/>
        </w:rPr>
        <w:t>Amin Fathalla</w:t>
      </w:r>
      <w:r>
        <w:rPr>
          <w:szCs w:val="18"/>
        </w:rPr>
        <w:t xml:space="preserve">, </w:t>
      </w:r>
      <w:r w:rsidRPr="00C455EA">
        <w:rPr>
          <w:szCs w:val="18"/>
        </w:rPr>
        <w:t>Yuji Iwasawa</w:t>
      </w:r>
      <w:r>
        <w:rPr>
          <w:szCs w:val="18"/>
        </w:rPr>
        <w:t>, Ivana Jeli</w:t>
      </w:r>
      <w:r w:rsidRPr="00ED22CB">
        <w:rPr>
          <w:lang w:val="en-GB"/>
        </w:rPr>
        <w:t>ć</w:t>
      </w:r>
      <w:r>
        <w:rPr>
          <w:szCs w:val="18"/>
        </w:rPr>
        <w:t xml:space="preserve">, </w:t>
      </w:r>
      <w:r w:rsidRPr="00C455EA">
        <w:rPr>
          <w:szCs w:val="18"/>
        </w:rPr>
        <w:t>Duncan Muhumuza Laki</w:t>
      </w:r>
      <w:r>
        <w:rPr>
          <w:szCs w:val="18"/>
        </w:rPr>
        <w:t xml:space="preserve">, </w:t>
      </w:r>
      <w:r w:rsidRPr="00C455EA">
        <w:rPr>
          <w:szCs w:val="18"/>
        </w:rPr>
        <w:t>Photini Pazartzis</w:t>
      </w:r>
      <w:r>
        <w:rPr>
          <w:szCs w:val="18"/>
        </w:rPr>
        <w:t xml:space="preserve">, </w:t>
      </w:r>
      <w:r w:rsidRPr="00C455EA">
        <w:rPr>
          <w:szCs w:val="18"/>
        </w:rPr>
        <w:t>Mauro</w:t>
      </w:r>
      <w:r>
        <w:rPr>
          <w:szCs w:val="18"/>
        </w:rPr>
        <w:t> </w:t>
      </w:r>
      <w:r w:rsidRPr="00C455EA">
        <w:rPr>
          <w:szCs w:val="18"/>
        </w:rPr>
        <w:t>Politi</w:t>
      </w:r>
      <w:r>
        <w:rPr>
          <w:szCs w:val="18"/>
        </w:rPr>
        <w:t xml:space="preserve">, </w:t>
      </w:r>
      <w:r>
        <w:rPr>
          <w:bCs/>
          <w:szCs w:val="18"/>
        </w:rPr>
        <w:t>Sir</w:t>
      </w:r>
      <w:r>
        <w:rPr>
          <w:szCs w:val="18"/>
        </w:rPr>
        <w:t xml:space="preserve"> Nigel Rodley, </w:t>
      </w:r>
      <w:r w:rsidRPr="00C455EA">
        <w:rPr>
          <w:szCs w:val="18"/>
        </w:rPr>
        <w:t>Victor 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footnote>
  <w:footnote w:id="3">
    <w:p w14:paraId="57704E61" w14:textId="276FE922" w:rsidR="00DD1BDC" w:rsidRPr="00F32CF3" w:rsidRDefault="00DD1BDC" w:rsidP="00980DDD">
      <w:pPr>
        <w:pStyle w:val="FootnoteText"/>
        <w:ind w:hanging="567"/>
      </w:pPr>
      <w:r w:rsidRPr="00E9782F">
        <w:rPr>
          <w:lang w:val="en-GB"/>
        </w:rPr>
        <w:tab/>
      </w:r>
      <w:r w:rsidRPr="00153AD1">
        <w:rPr>
          <w:rStyle w:val="FootnoteReference"/>
        </w:rPr>
        <w:footnoteRef/>
      </w:r>
      <w:r w:rsidRPr="00E9782F">
        <w:rPr>
          <w:lang w:val="en-GB"/>
        </w:rPr>
        <w:tab/>
      </w:r>
      <w:r w:rsidRPr="00F32CF3">
        <w:t>An application is considered manifestly unfounded where</w:t>
      </w:r>
      <w:r>
        <w:t>:</w:t>
      </w:r>
      <w:r w:rsidRPr="00F32CF3">
        <w:t xml:space="preserve"> </w:t>
      </w:r>
    </w:p>
    <w:p w14:paraId="0A7BBEB3" w14:textId="049684F0" w:rsidR="00DD1BDC" w:rsidRPr="00F32CF3" w:rsidRDefault="00DD1BDC" w:rsidP="00A826B6">
      <w:pPr>
        <w:pStyle w:val="FootnoteText"/>
        <w:numPr>
          <w:ilvl w:val="0"/>
          <w:numId w:val="6"/>
        </w:numPr>
        <w:ind w:left="1304" w:hanging="170"/>
        <w:rPr>
          <w:color w:val="000000"/>
        </w:rPr>
      </w:pPr>
      <w:r w:rsidRPr="00F32CF3">
        <w:t>The identity claimed by the applicant is manifestly incorrect (para</w:t>
      </w:r>
      <w:r>
        <w:t>.</w:t>
      </w:r>
      <w:r w:rsidRPr="00F32CF3">
        <w:t xml:space="preserve"> (i)) </w:t>
      </w:r>
    </w:p>
    <w:p w14:paraId="484F9C3D" w14:textId="6A69D4A9" w:rsidR="00DD1BDC" w:rsidRPr="00F32CF3" w:rsidRDefault="00DD1BDC" w:rsidP="00A826B6">
      <w:pPr>
        <w:pStyle w:val="FootnoteText"/>
        <w:numPr>
          <w:ilvl w:val="0"/>
          <w:numId w:val="6"/>
        </w:numPr>
        <w:ind w:left="1304" w:hanging="170"/>
        <w:rPr>
          <w:color w:val="000000"/>
        </w:rPr>
      </w:pPr>
      <w:r w:rsidRPr="00F32CF3">
        <w:t>It is manifest that the circumstances invoked by the applicant cannot lead to the issuance of a residence permit under section 7 (para</w:t>
      </w:r>
      <w:r>
        <w:t>.</w:t>
      </w:r>
      <w:r w:rsidRPr="00F32CF3">
        <w:t xml:space="preserve"> (ii)) </w:t>
      </w:r>
    </w:p>
    <w:p w14:paraId="3129A761" w14:textId="3CE45857" w:rsidR="00DD1BDC" w:rsidRPr="00F32CF3" w:rsidRDefault="00DD1BDC" w:rsidP="00A826B6">
      <w:pPr>
        <w:pStyle w:val="FootnoteText"/>
        <w:numPr>
          <w:ilvl w:val="0"/>
          <w:numId w:val="6"/>
        </w:numPr>
        <w:ind w:left="1304" w:hanging="170"/>
        <w:rPr>
          <w:color w:val="000000"/>
        </w:rPr>
      </w:pPr>
      <w:r w:rsidRPr="00F32CF3">
        <w:rPr>
          <w:color w:val="000000"/>
        </w:rPr>
        <w:t xml:space="preserve">It is manifest that the circumstances invoked by the applicant cannot lead to the issuance of a residence permit under section 7 according to the practice of the </w:t>
      </w:r>
      <w:r>
        <w:rPr>
          <w:color w:val="000000"/>
        </w:rPr>
        <w:t>r</w:t>
      </w:r>
      <w:r w:rsidRPr="00F32CF3">
        <w:rPr>
          <w:color w:val="000000"/>
        </w:rPr>
        <w:t xml:space="preserve">efugee </w:t>
      </w:r>
      <w:r>
        <w:rPr>
          <w:color w:val="000000"/>
        </w:rPr>
        <w:t>a</w:t>
      </w:r>
      <w:r w:rsidRPr="00F32CF3">
        <w:rPr>
          <w:color w:val="000000"/>
        </w:rPr>
        <w:t xml:space="preserve">ppeals </w:t>
      </w:r>
      <w:r>
        <w:rPr>
          <w:color w:val="000000"/>
        </w:rPr>
        <w:t>b</w:t>
      </w:r>
      <w:r w:rsidRPr="00F32CF3">
        <w:rPr>
          <w:color w:val="000000"/>
        </w:rPr>
        <w:t>oard (para</w:t>
      </w:r>
      <w:r>
        <w:rPr>
          <w:color w:val="000000"/>
        </w:rPr>
        <w:t>.</w:t>
      </w:r>
      <w:r w:rsidRPr="00F32CF3">
        <w:rPr>
          <w:color w:val="000000"/>
        </w:rPr>
        <w:t xml:space="preserve"> (iii))</w:t>
      </w:r>
    </w:p>
    <w:p w14:paraId="2606F833" w14:textId="5841AD08" w:rsidR="00DD1BDC" w:rsidRPr="00F32CF3" w:rsidRDefault="00DD1BDC" w:rsidP="00A826B6">
      <w:pPr>
        <w:pStyle w:val="FootnoteText"/>
        <w:numPr>
          <w:ilvl w:val="0"/>
          <w:numId w:val="6"/>
        </w:numPr>
        <w:ind w:left="1304" w:hanging="170"/>
        <w:rPr>
          <w:color w:val="000000"/>
        </w:rPr>
      </w:pPr>
      <w:r w:rsidRPr="00F32CF3">
        <w:t>The circumstances invoked by the applicant are in manifest disagreement with general background information on the situation in the applicant’s country of origin or former country of residence (para</w:t>
      </w:r>
      <w:r>
        <w:t>.</w:t>
      </w:r>
      <w:r w:rsidRPr="00F32CF3">
        <w:t xml:space="preserve"> (iv)) </w:t>
      </w:r>
    </w:p>
    <w:p w14:paraId="746C8CB3" w14:textId="63078305" w:rsidR="00DD1BDC" w:rsidRPr="00F32CF3" w:rsidRDefault="00DD1BDC" w:rsidP="00A826B6">
      <w:pPr>
        <w:pStyle w:val="FootnoteText"/>
        <w:numPr>
          <w:ilvl w:val="0"/>
          <w:numId w:val="6"/>
        </w:numPr>
        <w:ind w:left="1304" w:hanging="170"/>
        <w:rPr>
          <w:color w:val="000000"/>
        </w:rPr>
      </w:pPr>
      <w:r w:rsidRPr="00F32CF3">
        <w:t>The circumstances invoked by the applicant are in manifest disagreement with other specific information on the applicant’s situation (para</w:t>
      </w:r>
      <w:r>
        <w:t>.</w:t>
      </w:r>
      <w:r w:rsidRPr="00F32CF3">
        <w:t xml:space="preserve"> (v))</w:t>
      </w:r>
    </w:p>
    <w:p w14:paraId="035E9682" w14:textId="7E9A20FE" w:rsidR="00DD1BDC" w:rsidRPr="00A33D13" w:rsidRDefault="00DD1BDC" w:rsidP="00A826B6">
      <w:pPr>
        <w:pStyle w:val="FootnoteText"/>
        <w:numPr>
          <w:ilvl w:val="0"/>
          <w:numId w:val="6"/>
        </w:numPr>
        <w:ind w:left="1304" w:hanging="170"/>
        <w:rPr>
          <w:lang w:val="en-GB"/>
        </w:rPr>
      </w:pPr>
      <w:r w:rsidRPr="00A33D13">
        <w:rPr>
          <w:color w:val="000000"/>
        </w:rPr>
        <w:t>The circumstances invoked by the applicant must be deemed manifestly to lack credibility, including as a consequence of the applicant’s changing, contradictory or improbable statements (para</w:t>
      </w:r>
      <w:r>
        <w:rPr>
          <w:color w:val="000000"/>
        </w:rPr>
        <w:t xml:space="preserve">. </w:t>
      </w:r>
      <w:r w:rsidRPr="00A33D13">
        <w:rPr>
          <w:color w:val="000000"/>
        </w:rPr>
        <w:t>(vi))</w:t>
      </w:r>
    </w:p>
  </w:footnote>
  <w:footnote w:id="4">
    <w:p w14:paraId="7DF8CB4C" w14:textId="0AEA48EC" w:rsidR="00DD1BDC" w:rsidRPr="00DC0393" w:rsidRDefault="00DD1BDC" w:rsidP="00A826B6">
      <w:pPr>
        <w:pStyle w:val="FootnoteText"/>
        <w:rPr>
          <w:lang w:val="en-GB"/>
        </w:rPr>
      </w:pPr>
      <w:r>
        <w:rPr>
          <w:lang w:val="en-GB"/>
        </w:rPr>
        <w:tab/>
      </w:r>
      <w:r w:rsidRPr="00A826B6">
        <w:rPr>
          <w:rStyle w:val="FootnoteReference"/>
        </w:rPr>
        <w:footnoteRef/>
      </w:r>
      <w:r w:rsidRPr="00A826B6">
        <w:rPr>
          <w:lang w:val="en-GB"/>
        </w:rPr>
        <w:tab/>
        <w:t xml:space="preserve">See note </w:t>
      </w:r>
      <w:r w:rsidR="00A826B6" w:rsidRPr="00A826B6">
        <w:rPr>
          <w:lang w:val="en-GB"/>
        </w:rPr>
        <w:t xml:space="preserve">1 </w:t>
      </w:r>
      <w:r w:rsidRPr="00A826B6">
        <w:rPr>
          <w:lang w:val="en-GB"/>
        </w:rPr>
        <w:t>above reproducing section 53 (b) (1) of the Aliens Act.</w:t>
      </w:r>
    </w:p>
  </w:footnote>
  <w:footnote w:id="5">
    <w:p w14:paraId="222A79A6" w14:textId="66AC61AE" w:rsidR="00DD1BDC" w:rsidRPr="00C86957" w:rsidRDefault="00DD1BDC" w:rsidP="00A826B6">
      <w:pPr>
        <w:pStyle w:val="FootnoteText"/>
        <w:rPr>
          <w:lang w:val="en-GB"/>
        </w:rPr>
      </w:pPr>
      <w:r w:rsidRPr="00C86957">
        <w:rPr>
          <w:lang w:val="en-GB"/>
        </w:rPr>
        <w:tab/>
      </w:r>
      <w:r w:rsidRPr="00153AD1">
        <w:rPr>
          <w:rStyle w:val="FootnoteReference"/>
        </w:rPr>
        <w:footnoteRef/>
      </w:r>
      <w:r w:rsidRPr="00C86957">
        <w:rPr>
          <w:lang w:val="en-GB"/>
        </w:rPr>
        <w:tab/>
        <w:t xml:space="preserve">See </w:t>
      </w:r>
      <w:r w:rsidR="00CC0C5B" w:rsidRPr="00A826B6">
        <w:t>the Committee’s</w:t>
      </w:r>
      <w:r w:rsidR="00CC0C5B" w:rsidRPr="00474D18">
        <w:rPr>
          <w:sz w:val="22"/>
          <w:szCs w:val="22"/>
        </w:rPr>
        <w:t xml:space="preserve"> </w:t>
      </w:r>
      <w:r w:rsidRPr="00C86957">
        <w:rPr>
          <w:lang w:val="en-GB"/>
        </w:rPr>
        <w:t xml:space="preserve">general </w:t>
      </w:r>
      <w:r w:rsidRPr="00994E66">
        <w:t>comment</w:t>
      </w:r>
      <w:r w:rsidRPr="00C86957">
        <w:rPr>
          <w:lang w:val="en-GB"/>
        </w:rPr>
        <w:t xml:space="preserve"> No. 31 (2004) on the nature of the general legal obligation imposed on States parties to the Covenant, para. </w:t>
      </w:r>
      <w:r w:rsidRPr="00313386">
        <w:t>12</w:t>
      </w:r>
      <w:r w:rsidRPr="00C86957">
        <w:rPr>
          <w:lang w:val="en-GB"/>
        </w:rPr>
        <w:t>.</w:t>
      </w:r>
    </w:p>
  </w:footnote>
  <w:footnote w:id="6">
    <w:p w14:paraId="52899E0F" w14:textId="5B218429" w:rsidR="00DD1BDC" w:rsidRDefault="00DD1BDC" w:rsidP="00A826B6">
      <w:pPr>
        <w:pStyle w:val="FootnoteText"/>
      </w:pPr>
      <w:r>
        <w:tab/>
      </w:r>
      <w:r w:rsidRPr="00153AD1">
        <w:rPr>
          <w:rStyle w:val="FootnoteReference"/>
        </w:rPr>
        <w:footnoteRef/>
      </w:r>
      <w:r>
        <w:tab/>
      </w:r>
      <w:r w:rsidRPr="004736B4">
        <w:rPr>
          <w:lang w:val="en-GB"/>
        </w:rPr>
        <w:t>See, for example, c</w:t>
      </w:r>
      <w:r>
        <w:t>ommunication</w:t>
      </w:r>
      <w:r w:rsidRPr="00436E7E">
        <w:rPr>
          <w:lang w:val="en-GB"/>
        </w:rPr>
        <w:t>s</w:t>
      </w:r>
      <w:r>
        <w:t xml:space="preserve"> </w:t>
      </w:r>
      <w:r w:rsidRPr="00436E7E">
        <w:rPr>
          <w:lang w:val="en-GB"/>
        </w:rPr>
        <w:t>no.</w:t>
      </w:r>
      <w:r>
        <w:t xml:space="preserve"> </w:t>
      </w:r>
      <w:r w:rsidRPr="00436E7E">
        <w:rPr>
          <w:lang w:val="en-GB"/>
        </w:rPr>
        <w:t xml:space="preserve">2007/2010, </w:t>
      </w:r>
      <w:r w:rsidRPr="00201ACC">
        <w:rPr>
          <w:i/>
          <w:lang w:val="en-GB"/>
        </w:rPr>
        <w:t>X v</w:t>
      </w:r>
      <w:r w:rsidRPr="00973F26">
        <w:rPr>
          <w:i/>
          <w:lang w:val="en-GB"/>
        </w:rPr>
        <w:t>. Denmark</w:t>
      </w:r>
      <w:r>
        <w:rPr>
          <w:lang w:val="en-GB"/>
        </w:rPr>
        <w:t>, Views adopted on 26 March 2014, para. 9.2;</w:t>
      </w:r>
      <w:r w:rsidRPr="00973F26">
        <w:rPr>
          <w:lang w:val="en-GB"/>
        </w:rPr>
        <w:t xml:space="preserve"> </w:t>
      </w:r>
      <w:r w:rsidRPr="00AD13B3">
        <w:t xml:space="preserve">No. 282/2005, </w:t>
      </w:r>
      <w:r w:rsidRPr="00AD13B3">
        <w:rPr>
          <w:i/>
        </w:rPr>
        <w:t xml:space="preserve">S.P.A. </w:t>
      </w:r>
      <w:r w:rsidRPr="00A826B6">
        <w:rPr>
          <w:i/>
          <w:iCs/>
        </w:rPr>
        <w:t>v.</w:t>
      </w:r>
      <w:r w:rsidRPr="00AD13B3">
        <w:rPr>
          <w:i/>
        </w:rPr>
        <w:t xml:space="preserve"> Canada</w:t>
      </w:r>
      <w:r>
        <w:t>,</w:t>
      </w:r>
      <w:r w:rsidRPr="00AD13B3">
        <w:t xml:space="preserve"> decision adopted on 7 November 2006; No.</w:t>
      </w:r>
      <w:r>
        <w:t> </w:t>
      </w:r>
      <w:r w:rsidRPr="00AD13B3">
        <w:t xml:space="preserve">333/2007, </w:t>
      </w:r>
      <w:r w:rsidRPr="00AD13B3">
        <w:rPr>
          <w:i/>
        </w:rPr>
        <w:t>T.I.</w:t>
      </w:r>
      <w:r>
        <w:rPr>
          <w:i/>
        </w:rPr>
        <w:t> </w:t>
      </w:r>
      <w:r w:rsidRPr="00A826B6">
        <w:rPr>
          <w:i/>
          <w:iCs/>
        </w:rPr>
        <w:t>v.</w:t>
      </w:r>
      <w:r w:rsidRPr="00AD13B3">
        <w:rPr>
          <w:i/>
        </w:rPr>
        <w:t xml:space="preserve"> Canada</w:t>
      </w:r>
      <w:r w:rsidRPr="00AD13B3">
        <w:t>,</w:t>
      </w:r>
      <w:r>
        <w:t xml:space="preserve"> </w:t>
      </w:r>
      <w:r w:rsidRPr="00AD13B3">
        <w:t xml:space="preserve">decision adopted on 15 November 2010; No. 344/2008, </w:t>
      </w:r>
      <w:r w:rsidRPr="00AD13B3">
        <w:rPr>
          <w:i/>
        </w:rPr>
        <w:t xml:space="preserve">A.M.A. </w:t>
      </w:r>
      <w:r w:rsidRPr="00A826B6">
        <w:rPr>
          <w:i/>
          <w:iCs/>
        </w:rPr>
        <w:t>v.</w:t>
      </w:r>
      <w:r>
        <w:rPr>
          <w:i/>
        </w:rPr>
        <w:t xml:space="preserve"> </w:t>
      </w:r>
      <w:r w:rsidRPr="00AD13B3">
        <w:rPr>
          <w:i/>
        </w:rPr>
        <w:t>Switzerland</w:t>
      </w:r>
      <w:r w:rsidRPr="00AD13B3">
        <w:t>,</w:t>
      </w:r>
      <w:r>
        <w:t xml:space="preserve"> </w:t>
      </w:r>
      <w:r w:rsidRPr="00AD13B3">
        <w:t>decision adopted on 12 November 2010</w:t>
      </w:r>
      <w:r>
        <w:t xml:space="preserve">; </w:t>
      </w:r>
      <w:r w:rsidR="00454CFF">
        <w:t xml:space="preserve">and </w:t>
      </w:r>
      <w:r>
        <w:t xml:space="preserve">No. 692/1996, </w:t>
      </w:r>
      <w:r>
        <w:rPr>
          <w:i/>
          <w:iCs/>
        </w:rPr>
        <w:t>A.R.J. v. Australia</w:t>
      </w:r>
      <w:r w:rsidRPr="00A826B6">
        <w:t xml:space="preserve">, </w:t>
      </w:r>
      <w:r>
        <w:t>Views adopted on 28 July 1997, para. 6.6</w:t>
      </w:r>
      <w:r w:rsidRPr="00E67325">
        <w:rPr>
          <w:lang w:val="en-GB"/>
        </w:rPr>
        <w:t>.</w:t>
      </w:r>
    </w:p>
  </w:footnote>
  <w:footnote w:id="7">
    <w:p w14:paraId="04818D9A" w14:textId="58FC3B02" w:rsidR="00DD1BDC" w:rsidRDefault="00DD1BDC" w:rsidP="00A826B6">
      <w:pPr>
        <w:pStyle w:val="FootnoteText"/>
      </w:pPr>
      <w:r>
        <w:tab/>
      </w:r>
      <w:r w:rsidRPr="00153AD1">
        <w:rPr>
          <w:rStyle w:val="FootnoteReference"/>
        </w:rPr>
        <w:footnoteRef/>
      </w:r>
      <w:r>
        <w:tab/>
      </w:r>
      <w:r w:rsidRPr="004736B4">
        <w:rPr>
          <w:lang w:val="en-GB"/>
        </w:rPr>
        <w:t xml:space="preserve">See, for example, </w:t>
      </w:r>
      <w:r w:rsidRPr="00201ACC">
        <w:rPr>
          <w:i/>
          <w:lang w:val="en-GB"/>
        </w:rPr>
        <w:t>X. v.</w:t>
      </w:r>
      <w:r w:rsidRPr="0070096D">
        <w:rPr>
          <w:i/>
          <w:lang w:val="en-GB"/>
        </w:rPr>
        <w:t xml:space="preserve"> Denmark</w:t>
      </w:r>
      <w:r w:rsidR="00454CFF" w:rsidRPr="00A826B6">
        <w:rPr>
          <w:iCs/>
          <w:lang w:val="en-GB"/>
        </w:rPr>
        <w:t xml:space="preserve"> (note </w:t>
      </w:r>
      <w:r w:rsidR="00A826B6" w:rsidRPr="00A826B6">
        <w:rPr>
          <w:iCs/>
          <w:lang w:val="en-GB"/>
        </w:rPr>
        <w:t xml:space="preserve">4 </w:t>
      </w:r>
      <w:r w:rsidR="00454CFF" w:rsidRPr="00A826B6">
        <w:rPr>
          <w:iCs/>
          <w:lang w:val="en-GB"/>
        </w:rPr>
        <w:t>above)</w:t>
      </w:r>
      <w:r w:rsidRPr="00A826B6">
        <w:rPr>
          <w:lang w:val="en-GB"/>
        </w:rPr>
        <w:t>,</w:t>
      </w:r>
      <w:r>
        <w:rPr>
          <w:lang w:val="en-GB"/>
        </w:rPr>
        <w:t xml:space="preserve"> para. 9.2; no. </w:t>
      </w:r>
      <w:r>
        <w:t>1833/2008</w:t>
      </w:r>
      <w:r>
        <w:rPr>
          <w:i/>
        </w:rPr>
        <w:t>, X v. Sweden</w:t>
      </w:r>
      <w:r>
        <w:t>, Views adopted on 1 November 2011, para</w:t>
      </w:r>
      <w:r>
        <w:rPr>
          <w:lang w:val="en-GB"/>
        </w:rPr>
        <w:t xml:space="preserve">. </w:t>
      </w:r>
      <w:r>
        <w:t xml:space="preserve">5.18. </w:t>
      </w:r>
    </w:p>
  </w:footnote>
  <w:footnote w:id="8">
    <w:p w14:paraId="792212DA" w14:textId="77777777" w:rsidR="00DD1BDC" w:rsidRDefault="00DD1BDC" w:rsidP="00A826B6">
      <w:pPr>
        <w:pStyle w:val="FootnoteText"/>
      </w:pPr>
      <w:r>
        <w:tab/>
      </w:r>
      <w:r w:rsidRPr="00153AD1">
        <w:rPr>
          <w:rStyle w:val="FootnoteReference"/>
        </w:rPr>
        <w:footnoteRef/>
      </w:r>
      <w:r>
        <w:tab/>
      </w:r>
      <w:r>
        <w:rPr>
          <w:iCs/>
        </w:rPr>
        <w:t>Ibid.</w:t>
      </w:r>
    </w:p>
  </w:footnote>
  <w:footnote w:id="9">
    <w:p w14:paraId="2B3A2118" w14:textId="77777777" w:rsidR="00DD1BDC" w:rsidRPr="00313386" w:rsidRDefault="00DD1BDC">
      <w:pPr>
        <w:pStyle w:val="FootnoteText"/>
      </w:pPr>
      <w:r>
        <w:tab/>
      </w:r>
      <w:r w:rsidRPr="00153AD1">
        <w:rPr>
          <w:rStyle w:val="FootnoteReference"/>
        </w:rPr>
        <w:footnoteRef/>
      </w:r>
      <w:r>
        <w:tab/>
        <w:t>See, inter alia, i</w:t>
      </w:r>
      <w:r>
        <w:rPr>
          <w:iCs/>
        </w:rPr>
        <w:t xml:space="preserve">bid. </w:t>
      </w:r>
      <w:r>
        <w:t xml:space="preserve">and communication No. 541/1993, </w:t>
      </w:r>
      <w:r>
        <w:rPr>
          <w:i/>
        </w:rPr>
        <w:t>Errol Simms v. Jamaica</w:t>
      </w:r>
      <w:r>
        <w:t>, inadmissibility decision adopted on 3 April 1995, para. 6.2.</w:t>
      </w:r>
    </w:p>
  </w:footnote>
  <w:footnote w:id="10">
    <w:p w14:paraId="70145EC5" w14:textId="69B9434A" w:rsidR="00DD1BDC" w:rsidRPr="00C86957" w:rsidRDefault="00DD1BDC">
      <w:pPr>
        <w:pStyle w:val="FootnoteText"/>
        <w:rPr>
          <w:lang w:val="en-GB"/>
        </w:rPr>
      </w:pPr>
      <w:r w:rsidRPr="00C86957">
        <w:rPr>
          <w:lang w:val="en-GB"/>
        </w:rPr>
        <w:tab/>
      </w:r>
      <w:r w:rsidRPr="00153AD1">
        <w:rPr>
          <w:rStyle w:val="FootnoteReference"/>
        </w:rPr>
        <w:footnoteRef/>
      </w:r>
      <w:r w:rsidRPr="00C86957">
        <w:rPr>
          <w:lang w:val="en-GB"/>
        </w:rPr>
        <w:tab/>
        <w:t>See communication</w:t>
      </w:r>
      <w:r>
        <w:rPr>
          <w:lang w:val="en-GB"/>
        </w:rPr>
        <w:t>s</w:t>
      </w:r>
      <w:r w:rsidRPr="00C86957">
        <w:rPr>
          <w:lang w:val="en-GB"/>
        </w:rPr>
        <w:t xml:space="preserve"> No. 1763/2008, </w:t>
      </w:r>
      <w:r w:rsidRPr="00C86957">
        <w:rPr>
          <w:i/>
          <w:lang w:val="en-GB"/>
        </w:rPr>
        <w:t>Pillai et al.</w:t>
      </w:r>
      <w:r w:rsidRPr="00C86957">
        <w:rPr>
          <w:lang w:val="en-GB"/>
        </w:rPr>
        <w:t xml:space="preserve"> </w:t>
      </w:r>
      <w:r w:rsidRPr="00A826B6">
        <w:rPr>
          <w:i/>
          <w:lang w:val="en-GB"/>
        </w:rPr>
        <w:t>v.</w:t>
      </w:r>
      <w:r w:rsidRPr="00C86957">
        <w:rPr>
          <w:lang w:val="en-GB"/>
        </w:rPr>
        <w:t xml:space="preserve"> </w:t>
      </w:r>
      <w:r w:rsidRPr="00C86957">
        <w:rPr>
          <w:i/>
          <w:lang w:val="en-GB"/>
        </w:rPr>
        <w:t>Canada</w:t>
      </w:r>
      <w:r w:rsidRPr="00C86957">
        <w:rPr>
          <w:lang w:val="en-GB"/>
        </w:rPr>
        <w:t>, Views adopted on 25 March 2011, para.</w:t>
      </w:r>
      <w:r>
        <w:rPr>
          <w:lang w:val="en-GB"/>
        </w:rPr>
        <w:t> </w:t>
      </w:r>
      <w:r w:rsidRPr="00C86957">
        <w:rPr>
          <w:lang w:val="en-GB"/>
        </w:rPr>
        <w:t>11.4</w:t>
      </w:r>
      <w:r w:rsidR="00454CFF">
        <w:rPr>
          <w:lang w:val="en-GB"/>
        </w:rPr>
        <w:t>;</w:t>
      </w:r>
      <w:r>
        <w:rPr>
          <w:lang w:val="en-GB"/>
        </w:rPr>
        <w:t xml:space="preserve"> and </w:t>
      </w:r>
      <w:r w:rsidRPr="00C86957">
        <w:rPr>
          <w:lang w:val="en-GB"/>
        </w:rPr>
        <w:t xml:space="preserve">No. 1957/2010, </w:t>
      </w:r>
      <w:r w:rsidRPr="00C86957">
        <w:rPr>
          <w:i/>
          <w:lang w:val="en-GB"/>
        </w:rPr>
        <w:t xml:space="preserve">Lin </w:t>
      </w:r>
      <w:r w:rsidRPr="00A826B6">
        <w:rPr>
          <w:i/>
          <w:lang w:val="en-GB"/>
        </w:rPr>
        <w:t>v.</w:t>
      </w:r>
      <w:r w:rsidRPr="00C86957">
        <w:rPr>
          <w:i/>
          <w:lang w:val="en-GB"/>
        </w:rPr>
        <w:t xml:space="preserve"> Australia</w:t>
      </w:r>
      <w:r w:rsidRPr="00C86957">
        <w:rPr>
          <w:lang w:val="en-GB"/>
        </w:rPr>
        <w:t xml:space="preserve">, </w:t>
      </w:r>
      <w:r w:rsidRPr="00313386">
        <w:t>Views</w:t>
      </w:r>
      <w:r w:rsidRPr="00C86957">
        <w:rPr>
          <w:lang w:val="en-GB"/>
        </w:rPr>
        <w:t xml:space="preserve"> adopted on 21 March 2013, para. 9.3.</w:t>
      </w:r>
    </w:p>
  </w:footnote>
  <w:footnote w:id="11">
    <w:p w14:paraId="75510FCA" w14:textId="10E025CE" w:rsidR="00DD1BDC" w:rsidRDefault="00DD1BDC">
      <w:pPr>
        <w:pStyle w:val="FootnoteText"/>
        <w:rPr>
          <w:rFonts w:eastAsia="Malgun Gothic"/>
        </w:rPr>
      </w:pPr>
      <w:r>
        <w:tab/>
      </w:r>
      <w:r w:rsidRPr="00153AD1">
        <w:rPr>
          <w:rStyle w:val="FootnoteReference"/>
        </w:rPr>
        <w:footnoteRef/>
      </w:r>
      <w:r>
        <w:tab/>
        <w:t xml:space="preserve">See, inter alia, communication No. 1494/2006, </w:t>
      </w:r>
      <w:r>
        <w:rPr>
          <w:i/>
        </w:rPr>
        <w:t>A.C. and her children, S., M. and E.B. v. The Netherlands</w:t>
      </w:r>
      <w:r>
        <w:t xml:space="preserve">, inadmissibility decision adopted on 22 July 2008, para. 8.4: “The Committee refers to its jurisprudence that deportation proceedings did not involve either ‘the determination of any criminal charge’ or ‘rights and obligations in a suit at law’ within the meaning of article 14” (citing communication No. 1234/2003, </w:t>
      </w:r>
      <w:r>
        <w:rPr>
          <w:i/>
        </w:rPr>
        <w:t>P.K. v. Canada</w:t>
      </w:r>
      <w:r>
        <w:t>, inadmissibility decision of 20 March 2007, paras. 7.4 and 7.5).</w:t>
      </w:r>
    </w:p>
  </w:footnote>
  <w:footnote w:id="12">
    <w:p w14:paraId="41D7B3B7" w14:textId="47761995" w:rsidR="00DD1BDC" w:rsidRDefault="00DD1BDC" w:rsidP="00A826B6">
      <w:pPr>
        <w:pStyle w:val="FootnoteText"/>
        <w:rPr>
          <w:lang w:eastAsia="ko-KR"/>
        </w:rPr>
      </w:pPr>
      <w:r>
        <w:rPr>
          <w:lang w:eastAsia="ko-KR"/>
        </w:rPr>
        <w:tab/>
      </w:r>
      <w:r w:rsidRPr="00153AD1">
        <w:rPr>
          <w:rStyle w:val="FootnoteReference"/>
        </w:rPr>
        <w:footnoteRef/>
      </w:r>
      <w:r w:rsidRPr="000C7588">
        <w:rPr>
          <w:lang w:val="en-GB"/>
        </w:rPr>
        <w:tab/>
      </w:r>
      <w:r>
        <w:rPr>
          <w:lang w:val="en-GB"/>
        </w:rPr>
        <w:t>See general comment No. 32 (2007) on article 14: right to equality before courts and tribunals and to a fair trial, para</w:t>
      </w:r>
      <w:r>
        <w:rPr>
          <w:lang w:eastAsia="ko-KR"/>
        </w:rPr>
        <w:t>s</w:t>
      </w:r>
      <w:r>
        <w:rPr>
          <w:lang w:val="en-GB"/>
        </w:rPr>
        <w:t>.</w:t>
      </w:r>
      <w:r>
        <w:rPr>
          <w:lang w:eastAsia="ko-KR"/>
        </w:rPr>
        <w:t xml:space="preserve"> 17 and 62</w:t>
      </w:r>
      <w:r w:rsidRPr="000C7588">
        <w:rPr>
          <w:lang w:val="en-GB" w:eastAsia="ko-KR"/>
        </w:rPr>
        <w:t xml:space="preserve">; </w:t>
      </w:r>
      <w:r w:rsidR="00181452">
        <w:rPr>
          <w:lang w:val="en-GB" w:eastAsia="ko-KR"/>
        </w:rPr>
        <w:t xml:space="preserve">and </w:t>
      </w:r>
      <w:r w:rsidRPr="000C7588">
        <w:rPr>
          <w:lang w:val="en-GB" w:eastAsia="ko-KR"/>
        </w:rPr>
        <w:t xml:space="preserve">communication No. </w:t>
      </w:r>
      <w:r>
        <w:rPr>
          <w:lang w:val="en-GB" w:eastAsia="ko-KR"/>
        </w:rPr>
        <w:t xml:space="preserve">2186/2012, </w:t>
      </w:r>
      <w:r w:rsidRPr="00F710EA">
        <w:rPr>
          <w:i/>
          <w:lang w:val="en-GB" w:eastAsia="ko-KR"/>
        </w:rPr>
        <w:t>X</w:t>
      </w:r>
      <w:r>
        <w:rPr>
          <w:lang w:val="en-GB" w:eastAsia="ko-KR"/>
        </w:rPr>
        <w:t xml:space="preserve"> </w:t>
      </w:r>
      <w:r w:rsidRPr="00A826B6">
        <w:rPr>
          <w:i/>
          <w:iCs/>
          <w:lang w:val="en-GB" w:eastAsia="ko-KR"/>
        </w:rPr>
        <w:t>v.</w:t>
      </w:r>
      <w:r>
        <w:rPr>
          <w:lang w:val="en-GB" w:eastAsia="ko-KR"/>
        </w:rPr>
        <w:t xml:space="preserve"> </w:t>
      </w:r>
      <w:r w:rsidRPr="00F710EA">
        <w:rPr>
          <w:i/>
          <w:lang w:val="en-GB" w:eastAsia="ko-KR"/>
        </w:rPr>
        <w:t>Denmark</w:t>
      </w:r>
      <w:r>
        <w:rPr>
          <w:lang w:val="en-GB" w:eastAsia="ko-KR"/>
        </w:rPr>
        <w:t>, Views adopted on 22 October 2014, para. 6.3</w:t>
      </w:r>
      <w:r>
        <w:rPr>
          <w:lang w:eastAsia="ko-KR"/>
        </w:rPr>
        <w:t>.</w:t>
      </w:r>
    </w:p>
  </w:footnote>
  <w:footnote w:id="13">
    <w:p w14:paraId="0B164CB9" w14:textId="5F709B2F" w:rsidR="00DD1BDC" w:rsidRDefault="00DD1BDC" w:rsidP="00A826B6">
      <w:pPr>
        <w:pStyle w:val="FootnoteText"/>
        <w:rPr>
          <w:lang w:bidi="he-IL"/>
        </w:rPr>
      </w:pPr>
      <w:r w:rsidRPr="00E9782F">
        <w:rPr>
          <w:lang w:val="en-GB" w:bidi="he-IL"/>
        </w:rPr>
        <w:tab/>
      </w:r>
      <w:r w:rsidRPr="00153AD1">
        <w:rPr>
          <w:rStyle w:val="FootnoteReference"/>
        </w:rPr>
        <w:footnoteRef/>
      </w:r>
      <w:r>
        <w:rPr>
          <w:lang w:bidi="he-IL"/>
        </w:rPr>
        <w:tab/>
      </w:r>
      <w:r>
        <w:rPr>
          <w:lang w:val="en-GB"/>
        </w:rPr>
        <w:t xml:space="preserve">See </w:t>
      </w:r>
      <w:r w:rsidRPr="00A33D13">
        <w:t>general</w:t>
      </w:r>
      <w:r>
        <w:rPr>
          <w:lang w:val="en-GB"/>
        </w:rPr>
        <w:t xml:space="preserve"> comment No. 32 (</w:t>
      </w:r>
      <w:r w:rsidR="00181452" w:rsidRPr="00A826B6">
        <w:rPr>
          <w:lang w:val="en-GB"/>
        </w:rPr>
        <w:t xml:space="preserve">note </w:t>
      </w:r>
      <w:r w:rsidR="00A826B6" w:rsidRPr="00A826B6">
        <w:rPr>
          <w:lang w:val="en-GB"/>
        </w:rPr>
        <w:t xml:space="preserve">10 </w:t>
      </w:r>
      <w:r w:rsidR="00181452" w:rsidRPr="00A826B6">
        <w:rPr>
          <w:lang w:val="en-GB"/>
        </w:rPr>
        <w:t>above</w:t>
      </w:r>
      <w:r w:rsidRPr="00A826B6">
        <w:rPr>
          <w:lang w:val="en-GB"/>
        </w:rPr>
        <w:t>)</w:t>
      </w:r>
      <w:r w:rsidR="00181452" w:rsidRPr="00A826B6">
        <w:rPr>
          <w:lang w:val="en-GB"/>
        </w:rPr>
        <w:t>,</w:t>
      </w:r>
      <w:r w:rsidRPr="00A826B6">
        <w:rPr>
          <w:lang w:val="en-GB"/>
        </w:rPr>
        <w:t xml:space="preserve"> para</w:t>
      </w:r>
      <w:r>
        <w:rPr>
          <w:lang w:val="en-GB"/>
        </w:rPr>
        <w:t>.</w:t>
      </w:r>
      <w:r>
        <w:rPr>
          <w:lang w:eastAsia="ko-KR"/>
        </w:rPr>
        <w:t xml:space="preserve">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5371" w14:textId="5048B46E" w:rsidR="00DD1BDC" w:rsidRPr="00781C83" w:rsidRDefault="00DD1BDC" w:rsidP="00781C83">
    <w:pPr>
      <w:pStyle w:val="Header"/>
    </w:pPr>
    <w:r>
      <w:t>CCPR/C/115/D/2344/2014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8B9C6" w14:textId="103ECF15" w:rsidR="00DD1BDC" w:rsidRPr="00781C83" w:rsidRDefault="00DD1BDC" w:rsidP="00781C83">
    <w:pPr>
      <w:pStyle w:val="Header"/>
      <w:jc w:val="right"/>
    </w:pPr>
    <w:r>
      <w:t>CCPR/C/115/D/2344/2014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FCF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B7CD3"/>
    <w:multiLevelType w:val="hybridMultilevel"/>
    <w:tmpl w:val="4D2E2E24"/>
    <w:lvl w:ilvl="0" w:tplc="B4E2D11A">
      <w:start w:val="3"/>
      <w:numFmt w:val="bullet"/>
      <w:lvlText w:val="-"/>
      <w:lvlJc w:val="left"/>
      <w:pPr>
        <w:ind w:left="1488" w:hanging="360"/>
      </w:pPr>
      <w:rPr>
        <w:rFonts w:ascii="Times New Roman" w:eastAsia="Times New Roman" w:hAnsi="Times New Roman" w:cs="Times New Roman" w:hint="default"/>
        <w:color w:val="auto"/>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 w15:restartNumberingAfterBreak="0">
    <w:nsid w:val="213059F3"/>
    <w:multiLevelType w:val="hybridMultilevel"/>
    <w:tmpl w:val="37A8B7B2"/>
    <w:lvl w:ilvl="0" w:tplc="5D088FA6">
      <w:numFmt w:val="bullet"/>
      <w:lvlText w:val="-"/>
      <w:lvlJc w:val="left"/>
      <w:pPr>
        <w:ind w:left="360" w:hanging="360"/>
      </w:pPr>
      <w:rPr>
        <w:rFonts w:ascii="Times New Roman" w:eastAsia="Times New Roman" w:hAnsi="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652EE1"/>
    <w:multiLevelType w:val="hybridMultilevel"/>
    <w:tmpl w:val="65CE08C6"/>
    <w:lvl w:ilvl="0" w:tplc="9836F39E">
      <w:start w:val="1"/>
      <w:numFmt w:val="bullet"/>
      <w:lvlText w:val="•"/>
      <w:lvlJc w:val="left"/>
      <w:pPr>
        <w:ind w:left="1488" w:hanging="360"/>
      </w:pPr>
      <w:rPr>
        <w:rFonts w:ascii="Times New Roman" w:hAnsi="Times New Roman" w:cs="Times New Roman" w:hint="default"/>
        <w:color w:val="auto"/>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44E2"/>
    <w:rsid w:val="00007AC9"/>
    <w:rsid w:val="0001627B"/>
    <w:rsid w:val="000170C3"/>
    <w:rsid w:val="00021A22"/>
    <w:rsid w:val="00023024"/>
    <w:rsid w:val="00024522"/>
    <w:rsid w:val="00025D41"/>
    <w:rsid w:val="0002635B"/>
    <w:rsid w:val="000272B3"/>
    <w:rsid w:val="00032300"/>
    <w:rsid w:val="0003387B"/>
    <w:rsid w:val="00033CD0"/>
    <w:rsid w:val="00036F3F"/>
    <w:rsid w:val="000377A5"/>
    <w:rsid w:val="0004092D"/>
    <w:rsid w:val="00041994"/>
    <w:rsid w:val="00045346"/>
    <w:rsid w:val="00050F6B"/>
    <w:rsid w:val="00053039"/>
    <w:rsid w:val="00054CEF"/>
    <w:rsid w:val="00055FFE"/>
    <w:rsid w:val="0005782B"/>
    <w:rsid w:val="00057E97"/>
    <w:rsid w:val="00060C3A"/>
    <w:rsid w:val="00066476"/>
    <w:rsid w:val="000673A3"/>
    <w:rsid w:val="00067CCE"/>
    <w:rsid w:val="000707D1"/>
    <w:rsid w:val="00072C8C"/>
    <w:rsid w:val="000733B5"/>
    <w:rsid w:val="000762FB"/>
    <w:rsid w:val="00081815"/>
    <w:rsid w:val="00081BF7"/>
    <w:rsid w:val="00082267"/>
    <w:rsid w:val="0008245C"/>
    <w:rsid w:val="00090022"/>
    <w:rsid w:val="00090758"/>
    <w:rsid w:val="00091F15"/>
    <w:rsid w:val="000931C0"/>
    <w:rsid w:val="0009642A"/>
    <w:rsid w:val="000970C1"/>
    <w:rsid w:val="000A2EE4"/>
    <w:rsid w:val="000A310C"/>
    <w:rsid w:val="000A5559"/>
    <w:rsid w:val="000A69CF"/>
    <w:rsid w:val="000B02C3"/>
    <w:rsid w:val="000B175B"/>
    <w:rsid w:val="000B1788"/>
    <w:rsid w:val="000B3A0F"/>
    <w:rsid w:val="000B4EF7"/>
    <w:rsid w:val="000B5059"/>
    <w:rsid w:val="000B70DD"/>
    <w:rsid w:val="000C2AB9"/>
    <w:rsid w:val="000C2C03"/>
    <w:rsid w:val="000C2D2E"/>
    <w:rsid w:val="000C2E06"/>
    <w:rsid w:val="000C46B7"/>
    <w:rsid w:val="000C4DA0"/>
    <w:rsid w:val="000C695D"/>
    <w:rsid w:val="000C7588"/>
    <w:rsid w:val="000D0ABB"/>
    <w:rsid w:val="000D25EC"/>
    <w:rsid w:val="000D3D17"/>
    <w:rsid w:val="000D509B"/>
    <w:rsid w:val="000D6E0C"/>
    <w:rsid w:val="000E0415"/>
    <w:rsid w:val="000E07B1"/>
    <w:rsid w:val="000E0E8E"/>
    <w:rsid w:val="000E20F8"/>
    <w:rsid w:val="000E29B9"/>
    <w:rsid w:val="000E692F"/>
    <w:rsid w:val="000F39F9"/>
    <w:rsid w:val="000F6A6B"/>
    <w:rsid w:val="000F7E69"/>
    <w:rsid w:val="00102617"/>
    <w:rsid w:val="001037D9"/>
    <w:rsid w:val="001103AA"/>
    <w:rsid w:val="00110F83"/>
    <w:rsid w:val="001118C3"/>
    <w:rsid w:val="00112792"/>
    <w:rsid w:val="00112984"/>
    <w:rsid w:val="001133DB"/>
    <w:rsid w:val="0011580E"/>
    <w:rsid w:val="00117506"/>
    <w:rsid w:val="0011787A"/>
    <w:rsid w:val="001223A2"/>
    <w:rsid w:val="00123712"/>
    <w:rsid w:val="0012601C"/>
    <w:rsid w:val="001306DD"/>
    <w:rsid w:val="00130D48"/>
    <w:rsid w:val="0013113A"/>
    <w:rsid w:val="00131B64"/>
    <w:rsid w:val="0013235B"/>
    <w:rsid w:val="001340B3"/>
    <w:rsid w:val="00136DE8"/>
    <w:rsid w:val="00137249"/>
    <w:rsid w:val="001375A9"/>
    <w:rsid w:val="00142286"/>
    <w:rsid w:val="00153AD1"/>
    <w:rsid w:val="00154DA5"/>
    <w:rsid w:val="00157820"/>
    <w:rsid w:val="00160AA2"/>
    <w:rsid w:val="00161364"/>
    <w:rsid w:val="00162DB2"/>
    <w:rsid w:val="00164C92"/>
    <w:rsid w:val="00165F3A"/>
    <w:rsid w:val="00166183"/>
    <w:rsid w:val="00170C01"/>
    <w:rsid w:val="00170DDB"/>
    <w:rsid w:val="001721A9"/>
    <w:rsid w:val="0017277A"/>
    <w:rsid w:val="00173E64"/>
    <w:rsid w:val="00174528"/>
    <w:rsid w:val="001756D6"/>
    <w:rsid w:val="001758E2"/>
    <w:rsid w:val="00176D6B"/>
    <w:rsid w:val="00181452"/>
    <w:rsid w:val="00181F7C"/>
    <w:rsid w:val="00183968"/>
    <w:rsid w:val="001844A0"/>
    <w:rsid w:val="0018481A"/>
    <w:rsid w:val="001905FB"/>
    <w:rsid w:val="001912DB"/>
    <w:rsid w:val="00191845"/>
    <w:rsid w:val="001965C0"/>
    <w:rsid w:val="00196CDF"/>
    <w:rsid w:val="001A09DE"/>
    <w:rsid w:val="001A2C08"/>
    <w:rsid w:val="001A32CB"/>
    <w:rsid w:val="001A3432"/>
    <w:rsid w:val="001A4429"/>
    <w:rsid w:val="001A6461"/>
    <w:rsid w:val="001A660B"/>
    <w:rsid w:val="001A6686"/>
    <w:rsid w:val="001A67B5"/>
    <w:rsid w:val="001A723C"/>
    <w:rsid w:val="001A7E43"/>
    <w:rsid w:val="001B1B55"/>
    <w:rsid w:val="001B4041"/>
    <w:rsid w:val="001B4485"/>
    <w:rsid w:val="001B4B04"/>
    <w:rsid w:val="001B7D22"/>
    <w:rsid w:val="001C4471"/>
    <w:rsid w:val="001C5BED"/>
    <w:rsid w:val="001C657F"/>
    <w:rsid w:val="001C6663"/>
    <w:rsid w:val="001C7895"/>
    <w:rsid w:val="001C7D37"/>
    <w:rsid w:val="001D0C8C"/>
    <w:rsid w:val="001D26DF"/>
    <w:rsid w:val="001D3743"/>
    <w:rsid w:val="001D3A03"/>
    <w:rsid w:val="001D6813"/>
    <w:rsid w:val="001D7934"/>
    <w:rsid w:val="001D7A7B"/>
    <w:rsid w:val="001E10EC"/>
    <w:rsid w:val="001E2B4C"/>
    <w:rsid w:val="001E4617"/>
    <w:rsid w:val="001E48A9"/>
    <w:rsid w:val="001E6148"/>
    <w:rsid w:val="001E718D"/>
    <w:rsid w:val="001E7AF9"/>
    <w:rsid w:val="001F0720"/>
    <w:rsid w:val="001F08A3"/>
    <w:rsid w:val="001F0F1A"/>
    <w:rsid w:val="001F1037"/>
    <w:rsid w:val="001F11EA"/>
    <w:rsid w:val="00202DA8"/>
    <w:rsid w:val="00204B3F"/>
    <w:rsid w:val="00204E86"/>
    <w:rsid w:val="00206012"/>
    <w:rsid w:val="002069CC"/>
    <w:rsid w:val="00211E0B"/>
    <w:rsid w:val="00212AC2"/>
    <w:rsid w:val="00213E21"/>
    <w:rsid w:val="00217D74"/>
    <w:rsid w:val="00220677"/>
    <w:rsid w:val="00221877"/>
    <w:rsid w:val="00222689"/>
    <w:rsid w:val="00224AED"/>
    <w:rsid w:val="0022501D"/>
    <w:rsid w:val="002256A1"/>
    <w:rsid w:val="002314F8"/>
    <w:rsid w:val="0023210C"/>
    <w:rsid w:val="00232334"/>
    <w:rsid w:val="00233707"/>
    <w:rsid w:val="002361D0"/>
    <w:rsid w:val="00240564"/>
    <w:rsid w:val="00240F4B"/>
    <w:rsid w:val="00241D82"/>
    <w:rsid w:val="00250196"/>
    <w:rsid w:val="0025162E"/>
    <w:rsid w:val="0025487E"/>
    <w:rsid w:val="002567BC"/>
    <w:rsid w:val="00262E85"/>
    <w:rsid w:val="002633B3"/>
    <w:rsid w:val="002634FD"/>
    <w:rsid w:val="002650C2"/>
    <w:rsid w:val="002656E9"/>
    <w:rsid w:val="00265CF8"/>
    <w:rsid w:val="00266EB7"/>
    <w:rsid w:val="00267F5F"/>
    <w:rsid w:val="00271484"/>
    <w:rsid w:val="002731D6"/>
    <w:rsid w:val="00273B14"/>
    <w:rsid w:val="00281144"/>
    <w:rsid w:val="00282899"/>
    <w:rsid w:val="0028489A"/>
    <w:rsid w:val="002863A9"/>
    <w:rsid w:val="00286B4D"/>
    <w:rsid w:val="00292F7D"/>
    <w:rsid w:val="0029365C"/>
    <w:rsid w:val="00293B90"/>
    <w:rsid w:val="002A0E62"/>
    <w:rsid w:val="002A1243"/>
    <w:rsid w:val="002A2C34"/>
    <w:rsid w:val="002A3CBA"/>
    <w:rsid w:val="002A3FEB"/>
    <w:rsid w:val="002A4B67"/>
    <w:rsid w:val="002A728F"/>
    <w:rsid w:val="002B3833"/>
    <w:rsid w:val="002B3B76"/>
    <w:rsid w:val="002B3F1E"/>
    <w:rsid w:val="002C06BA"/>
    <w:rsid w:val="002C5BCD"/>
    <w:rsid w:val="002D18B7"/>
    <w:rsid w:val="002D196D"/>
    <w:rsid w:val="002D3AF5"/>
    <w:rsid w:val="002D4CB1"/>
    <w:rsid w:val="002D5FDD"/>
    <w:rsid w:val="002D76B1"/>
    <w:rsid w:val="002E1084"/>
    <w:rsid w:val="002E25D3"/>
    <w:rsid w:val="002E52B1"/>
    <w:rsid w:val="002E5C99"/>
    <w:rsid w:val="002E69AE"/>
    <w:rsid w:val="002F01C2"/>
    <w:rsid w:val="002F039C"/>
    <w:rsid w:val="002F175C"/>
    <w:rsid w:val="002F1942"/>
    <w:rsid w:val="002F4557"/>
    <w:rsid w:val="002F5159"/>
    <w:rsid w:val="002F582A"/>
    <w:rsid w:val="0030138D"/>
    <w:rsid w:val="003040C6"/>
    <w:rsid w:val="00306124"/>
    <w:rsid w:val="00307164"/>
    <w:rsid w:val="003071ED"/>
    <w:rsid w:val="0030729A"/>
    <w:rsid w:val="00313386"/>
    <w:rsid w:val="00313457"/>
    <w:rsid w:val="003134AC"/>
    <w:rsid w:val="0031721B"/>
    <w:rsid w:val="00317544"/>
    <w:rsid w:val="00320E07"/>
    <w:rsid w:val="0032230D"/>
    <w:rsid w:val="003229D8"/>
    <w:rsid w:val="00323632"/>
    <w:rsid w:val="00327502"/>
    <w:rsid w:val="00331F5B"/>
    <w:rsid w:val="00335DD7"/>
    <w:rsid w:val="00340A69"/>
    <w:rsid w:val="00341E55"/>
    <w:rsid w:val="00345647"/>
    <w:rsid w:val="00351398"/>
    <w:rsid w:val="00352709"/>
    <w:rsid w:val="00354AA8"/>
    <w:rsid w:val="00357FEC"/>
    <w:rsid w:val="00361487"/>
    <w:rsid w:val="00363A98"/>
    <w:rsid w:val="00363BD6"/>
    <w:rsid w:val="0036645D"/>
    <w:rsid w:val="003667AD"/>
    <w:rsid w:val="00367567"/>
    <w:rsid w:val="003705C9"/>
    <w:rsid w:val="00371095"/>
    <w:rsid w:val="00371178"/>
    <w:rsid w:val="0037301C"/>
    <w:rsid w:val="003730DD"/>
    <w:rsid w:val="0037429D"/>
    <w:rsid w:val="00375119"/>
    <w:rsid w:val="0037668A"/>
    <w:rsid w:val="00376720"/>
    <w:rsid w:val="00377828"/>
    <w:rsid w:val="003823CB"/>
    <w:rsid w:val="0038336C"/>
    <w:rsid w:val="00384F90"/>
    <w:rsid w:val="00386624"/>
    <w:rsid w:val="00387ECB"/>
    <w:rsid w:val="003903FC"/>
    <w:rsid w:val="00392947"/>
    <w:rsid w:val="0039347E"/>
    <w:rsid w:val="003954DB"/>
    <w:rsid w:val="003A1602"/>
    <w:rsid w:val="003A325A"/>
    <w:rsid w:val="003A6810"/>
    <w:rsid w:val="003A6EFA"/>
    <w:rsid w:val="003A70FC"/>
    <w:rsid w:val="003A7AF2"/>
    <w:rsid w:val="003B32D5"/>
    <w:rsid w:val="003B3D48"/>
    <w:rsid w:val="003C02AB"/>
    <w:rsid w:val="003C2CC4"/>
    <w:rsid w:val="003C730E"/>
    <w:rsid w:val="003D1C5A"/>
    <w:rsid w:val="003D2795"/>
    <w:rsid w:val="003D3E59"/>
    <w:rsid w:val="003D4B23"/>
    <w:rsid w:val="003D52B0"/>
    <w:rsid w:val="003D7425"/>
    <w:rsid w:val="003E2BA4"/>
    <w:rsid w:val="003E4173"/>
    <w:rsid w:val="003E6A36"/>
    <w:rsid w:val="003E6F7E"/>
    <w:rsid w:val="003E78AE"/>
    <w:rsid w:val="00400C60"/>
    <w:rsid w:val="004015BC"/>
    <w:rsid w:val="004030BF"/>
    <w:rsid w:val="00405473"/>
    <w:rsid w:val="00410C89"/>
    <w:rsid w:val="00414931"/>
    <w:rsid w:val="00414A7B"/>
    <w:rsid w:val="00414B35"/>
    <w:rsid w:val="00414F92"/>
    <w:rsid w:val="00415C74"/>
    <w:rsid w:val="00415FA3"/>
    <w:rsid w:val="004227C0"/>
    <w:rsid w:val="004250EA"/>
    <w:rsid w:val="00426B9B"/>
    <w:rsid w:val="0043003F"/>
    <w:rsid w:val="00431396"/>
    <w:rsid w:val="004325CB"/>
    <w:rsid w:val="00434DE7"/>
    <w:rsid w:val="00436B33"/>
    <w:rsid w:val="00436E7E"/>
    <w:rsid w:val="00437253"/>
    <w:rsid w:val="00441A3B"/>
    <w:rsid w:val="00442A83"/>
    <w:rsid w:val="00442C9D"/>
    <w:rsid w:val="00442EB6"/>
    <w:rsid w:val="00445A57"/>
    <w:rsid w:val="00445B43"/>
    <w:rsid w:val="00446ABC"/>
    <w:rsid w:val="00450D0E"/>
    <w:rsid w:val="0045285D"/>
    <w:rsid w:val="0045495B"/>
    <w:rsid w:val="00454CFF"/>
    <w:rsid w:val="00455C43"/>
    <w:rsid w:val="00455D04"/>
    <w:rsid w:val="004607BF"/>
    <w:rsid w:val="0046285C"/>
    <w:rsid w:val="00464446"/>
    <w:rsid w:val="004653C7"/>
    <w:rsid w:val="00466B4C"/>
    <w:rsid w:val="00466FA4"/>
    <w:rsid w:val="00467A53"/>
    <w:rsid w:val="0047173A"/>
    <w:rsid w:val="00473963"/>
    <w:rsid w:val="00476073"/>
    <w:rsid w:val="00481CB1"/>
    <w:rsid w:val="00487488"/>
    <w:rsid w:val="00487FB8"/>
    <w:rsid w:val="0049219B"/>
    <w:rsid w:val="0049418F"/>
    <w:rsid w:val="00495A34"/>
    <w:rsid w:val="0049727F"/>
    <w:rsid w:val="00497CBC"/>
    <w:rsid w:val="004A2789"/>
    <w:rsid w:val="004A28A7"/>
    <w:rsid w:val="004A4E95"/>
    <w:rsid w:val="004A58A1"/>
    <w:rsid w:val="004A706C"/>
    <w:rsid w:val="004B1202"/>
    <w:rsid w:val="004B2C86"/>
    <w:rsid w:val="004B4947"/>
    <w:rsid w:val="004C55DD"/>
    <w:rsid w:val="004C6FF1"/>
    <w:rsid w:val="004D0446"/>
    <w:rsid w:val="004D5BD1"/>
    <w:rsid w:val="004E15CC"/>
    <w:rsid w:val="004F1D45"/>
    <w:rsid w:val="004F21CF"/>
    <w:rsid w:val="004F5078"/>
    <w:rsid w:val="004F56B6"/>
    <w:rsid w:val="005019B1"/>
    <w:rsid w:val="0050328D"/>
    <w:rsid w:val="00505D08"/>
    <w:rsid w:val="0050698C"/>
    <w:rsid w:val="0051050E"/>
    <w:rsid w:val="005125F0"/>
    <w:rsid w:val="005133C8"/>
    <w:rsid w:val="005167F1"/>
    <w:rsid w:val="00520400"/>
    <w:rsid w:val="0052136D"/>
    <w:rsid w:val="005232E6"/>
    <w:rsid w:val="0052355E"/>
    <w:rsid w:val="00525395"/>
    <w:rsid w:val="0052775E"/>
    <w:rsid w:val="00533FA3"/>
    <w:rsid w:val="005409DC"/>
    <w:rsid w:val="00540F02"/>
    <w:rsid w:val="0054109A"/>
    <w:rsid w:val="0054150C"/>
    <w:rsid w:val="005420F2"/>
    <w:rsid w:val="00546665"/>
    <w:rsid w:val="00550D3B"/>
    <w:rsid w:val="00555470"/>
    <w:rsid w:val="00560BA5"/>
    <w:rsid w:val="00561B68"/>
    <w:rsid w:val="005628B6"/>
    <w:rsid w:val="00563F6C"/>
    <w:rsid w:val="005640D1"/>
    <w:rsid w:val="00564714"/>
    <w:rsid w:val="00565BE7"/>
    <w:rsid w:val="00565DFA"/>
    <w:rsid w:val="0056624F"/>
    <w:rsid w:val="005722B3"/>
    <w:rsid w:val="00572F28"/>
    <w:rsid w:val="0057585A"/>
    <w:rsid w:val="00575BA3"/>
    <w:rsid w:val="00577E84"/>
    <w:rsid w:val="005848B3"/>
    <w:rsid w:val="00590F87"/>
    <w:rsid w:val="00592C4A"/>
    <w:rsid w:val="0059470F"/>
    <w:rsid w:val="0059496C"/>
    <w:rsid w:val="00596181"/>
    <w:rsid w:val="005A0415"/>
    <w:rsid w:val="005A1273"/>
    <w:rsid w:val="005A2ACD"/>
    <w:rsid w:val="005B09AE"/>
    <w:rsid w:val="005B15AD"/>
    <w:rsid w:val="005B38A5"/>
    <w:rsid w:val="005B3DB3"/>
    <w:rsid w:val="005B4229"/>
    <w:rsid w:val="005B4F61"/>
    <w:rsid w:val="005B6047"/>
    <w:rsid w:val="005C0AD0"/>
    <w:rsid w:val="005C11C1"/>
    <w:rsid w:val="005C176E"/>
    <w:rsid w:val="005C1C11"/>
    <w:rsid w:val="005C2131"/>
    <w:rsid w:val="005C223E"/>
    <w:rsid w:val="005C3884"/>
    <w:rsid w:val="005C413D"/>
    <w:rsid w:val="005C4A9E"/>
    <w:rsid w:val="005C5103"/>
    <w:rsid w:val="005D0679"/>
    <w:rsid w:val="005D13DD"/>
    <w:rsid w:val="005D5721"/>
    <w:rsid w:val="005D5AF5"/>
    <w:rsid w:val="005D7CB5"/>
    <w:rsid w:val="005D7DBF"/>
    <w:rsid w:val="005E021C"/>
    <w:rsid w:val="005E2F71"/>
    <w:rsid w:val="005E5805"/>
    <w:rsid w:val="005E783D"/>
    <w:rsid w:val="005F5699"/>
    <w:rsid w:val="005F6121"/>
    <w:rsid w:val="005F7717"/>
    <w:rsid w:val="005F7B75"/>
    <w:rsid w:val="005F7F93"/>
    <w:rsid w:val="006001B0"/>
    <w:rsid w:val="006001EE"/>
    <w:rsid w:val="00600B91"/>
    <w:rsid w:val="00605042"/>
    <w:rsid w:val="00607BC1"/>
    <w:rsid w:val="006108E0"/>
    <w:rsid w:val="00611FC4"/>
    <w:rsid w:val="00613FE0"/>
    <w:rsid w:val="006148AF"/>
    <w:rsid w:val="006153B5"/>
    <w:rsid w:val="006153F3"/>
    <w:rsid w:val="006160CB"/>
    <w:rsid w:val="006176FB"/>
    <w:rsid w:val="00621F31"/>
    <w:rsid w:val="006226C4"/>
    <w:rsid w:val="006239C9"/>
    <w:rsid w:val="00623FD3"/>
    <w:rsid w:val="0062462D"/>
    <w:rsid w:val="0062630E"/>
    <w:rsid w:val="006274AD"/>
    <w:rsid w:val="00627FB0"/>
    <w:rsid w:val="00631C31"/>
    <w:rsid w:val="00632E25"/>
    <w:rsid w:val="0063379B"/>
    <w:rsid w:val="00636763"/>
    <w:rsid w:val="00640B26"/>
    <w:rsid w:val="00640C76"/>
    <w:rsid w:val="00641048"/>
    <w:rsid w:val="00645379"/>
    <w:rsid w:val="00645949"/>
    <w:rsid w:val="006507CD"/>
    <w:rsid w:val="00652D0A"/>
    <w:rsid w:val="00653DBF"/>
    <w:rsid w:val="00654447"/>
    <w:rsid w:val="00660559"/>
    <w:rsid w:val="00661A7D"/>
    <w:rsid w:val="00662BB6"/>
    <w:rsid w:val="006637A4"/>
    <w:rsid w:val="00664213"/>
    <w:rsid w:val="00670A93"/>
    <w:rsid w:val="00671948"/>
    <w:rsid w:val="00672110"/>
    <w:rsid w:val="006743E9"/>
    <w:rsid w:val="00674D65"/>
    <w:rsid w:val="006815CD"/>
    <w:rsid w:val="00681702"/>
    <w:rsid w:val="00682284"/>
    <w:rsid w:val="006838C8"/>
    <w:rsid w:val="00684C21"/>
    <w:rsid w:val="00685FA6"/>
    <w:rsid w:val="0068743C"/>
    <w:rsid w:val="00692BBE"/>
    <w:rsid w:val="00694AE6"/>
    <w:rsid w:val="006954C6"/>
    <w:rsid w:val="00695991"/>
    <w:rsid w:val="0069763E"/>
    <w:rsid w:val="00697F3E"/>
    <w:rsid w:val="006A57F2"/>
    <w:rsid w:val="006B1CE7"/>
    <w:rsid w:val="006B346D"/>
    <w:rsid w:val="006B4FA2"/>
    <w:rsid w:val="006B51FE"/>
    <w:rsid w:val="006B58E5"/>
    <w:rsid w:val="006C0435"/>
    <w:rsid w:val="006C05C1"/>
    <w:rsid w:val="006C3AD1"/>
    <w:rsid w:val="006C65A6"/>
    <w:rsid w:val="006D28F8"/>
    <w:rsid w:val="006D37AF"/>
    <w:rsid w:val="006D51D0"/>
    <w:rsid w:val="006D53C0"/>
    <w:rsid w:val="006D6CD8"/>
    <w:rsid w:val="006E212F"/>
    <w:rsid w:val="006E564B"/>
    <w:rsid w:val="006E5A29"/>
    <w:rsid w:val="006E7191"/>
    <w:rsid w:val="006E7196"/>
    <w:rsid w:val="006F30DF"/>
    <w:rsid w:val="006F464F"/>
    <w:rsid w:val="006F52C5"/>
    <w:rsid w:val="006F6515"/>
    <w:rsid w:val="00702BF8"/>
    <w:rsid w:val="00703577"/>
    <w:rsid w:val="00705625"/>
    <w:rsid w:val="007116D8"/>
    <w:rsid w:val="0071171F"/>
    <w:rsid w:val="00711F00"/>
    <w:rsid w:val="00712AC3"/>
    <w:rsid w:val="00713C74"/>
    <w:rsid w:val="00715DDD"/>
    <w:rsid w:val="00716EC7"/>
    <w:rsid w:val="00717ADC"/>
    <w:rsid w:val="0072328C"/>
    <w:rsid w:val="007232F3"/>
    <w:rsid w:val="00724A16"/>
    <w:rsid w:val="0072632A"/>
    <w:rsid w:val="00726A48"/>
    <w:rsid w:val="00727C31"/>
    <w:rsid w:val="007327D5"/>
    <w:rsid w:val="00734ABE"/>
    <w:rsid w:val="00735CA1"/>
    <w:rsid w:val="00735F4E"/>
    <w:rsid w:val="00736EAD"/>
    <w:rsid w:val="007370A1"/>
    <w:rsid w:val="007435F7"/>
    <w:rsid w:val="007449A6"/>
    <w:rsid w:val="00746750"/>
    <w:rsid w:val="00746D61"/>
    <w:rsid w:val="007509EB"/>
    <w:rsid w:val="00750FC5"/>
    <w:rsid w:val="0075395D"/>
    <w:rsid w:val="00760B80"/>
    <w:rsid w:val="00762878"/>
    <w:rsid w:val="00762922"/>
    <w:rsid w:val="007629C8"/>
    <w:rsid w:val="00762E39"/>
    <w:rsid w:val="007635DF"/>
    <w:rsid w:val="00764972"/>
    <w:rsid w:val="007661CD"/>
    <w:rsid w:val="007734FC"/>
    <w:rsid w:val="007740F1"/>
    <w:rsid w:val="00776494"/>
    <w:rsid w:val="00776E5E"/>
    <w:rsid w:val="00777322"/>
    <w:rsid w:val="00781C83"/>
    <w:rsid w:val="0078300D"/>
    <w:rsid w:val="00785DB2"/>
    <w:rsid w:val="0078601B"/>
    <w:rsid w:val="0078676D"/>
    <w:rsid w:val="00787E5D"/>
    <w:rsid w:val="0079034E"/>
    <w:rsid w:val="0079182D"/>
    <w:rsid w:val="00792116"/>
    <w:rsid w:val="0079681E"/>
    <w:rsid w:val="007A212F"/>
    <w:rsid w:val="007A36C9"/>
    <w:rsid w:val="007B3302"/>
    <w:rsid w:val="007B38BE"/>
    <w:rsid w:val="007B6BA5"/>
    <w:rsid w:val="007C1241"/>
    <w:rsid w:val="007C3390"/>
    <w:rsid w:val="007C3FFB"/>
    <w:rsid w:val="007C4F4B"/>
    <w:rsid w:val="007C55BE"/>
    <w:rsid w:val="007C784F"/>
    <w:rsid w:val="007D00CF"/>
    <w:rsid w:val="007D2684"/>
    <w:rsid w:val="007D564F"/>
    <w:rsid w:val="007E0B2D"/>
    <w:rsid w:val="007E0ED5"/>
    <w:rsid w:val="007E4594"/>
    <w:rsid w:val="007E4BBE"/>
    <w:rsid w:val="007E533F"/>
    <w:rsid w:val="007E5EA4"/>
    <w:rsid w:val="007F098E"/>
    <w:rsid w:val="007F1181"/>
    <w:rsid w:val="007F12FC"/>
    <w:rsid w:val="007F2D0D"/>
    <w:rsid w:val="007F3A2C"/>
    <w:rsid w:val="007F4853"/>
    <w:rsid w:val="007F6611"/>
    <w:rsid w:val="0081043C"/>
    <w:rsid w:val="008105B8"/>
    <w:rsid w:val="00811D06"/>
    <w:rsid w:val="008123D2"/>
    <w:rsid w:val="00812971"/>
    <w:rsid w:val="00813327"/>
    <w:rsid w:val="008146B2"/>
    <w:rsid w:val="00816972"/>
    <w:rsid w:val="00816E23"/>
    <w:rsid w:val="00816EE0"/>
    <w:rsid w:val="00817A02"/>
    <w:rsid w:val="008216A5"/>
    <w:rsid w:val="00821A8D"/>
    <w:rsid w:val="008242D7"/>
    <w:rsid w:val="00824C73"/>
    <w:rsid w:val="00824FE2"/>
    <w:rsid w:val="00825659"/>
    <w:rsid w:val="008257B1"/>
    <w:rsid w:val="00830FF4"/>
    <w:rsid w:val="0083185A"/>
    <w:rsid w:val="00833370"/>
    <w:rsid w:val="008379A8"/>
    <w:rsid w:val="008406D2"/>
    <w:rsid w:val="00840E0D"/>
    <w:rsid w:val="0084126F"/>
    <w:rsid w:val="00843767"/>
    <w:rsid w:val="00846666"/>
    <w:rsid w:val="00847B18"/>
    <w:rsid w:val="00850601"/>
    <w:rsid w:val="00851F2A"/>
    <w:rsid w:val="00856F01"/>
    <w:rsid w:val="00857917"/>
    <w:rsid w:val="00861599"/>
    <w:rsid w:val="00864797"/>
    <w:rsid w:val="008655A1"/>
    <w:rsid w:val="008671B8"/>
    <w:rsid w:val="008679D9"/>
    <w:rsid w:val="00871051"/>
    <w:rsid w:val="00871750"/>
    <w:rsid w:val="00872F86"/>
    <w:rsid w:val="008730D5"/>
    <w:rsid w:val="00875FE5"/>
    <w:rsid w:val="00880575"/>
    <w:rsid w:val="00880AF2"/>
    <w:rsid w:val="00883BBF"/>
    <w:rsid w:val="00884FCB"/>
    <w:rsid w:val="0088719B"/>
    <w:rsid w:val="00891792"/>
    <w:rsid w:val="00891C2B"/>
    <w:rsid w:val="00892120"/>
    <w:rsid w:val="008924FA"/>
    <w:rsid w:val="00894F53"/>
    <w:rsid w:val="00896597"/>
    <w:rsid w:val="008979B1"/>
    <w:rsid w:val="00897F0A"/>
    <w:rsid w:val="008A09B5"/>
    <w:rsid w:val="008A1DB2"/>
    <w:rsid w:val="008A61AB"/>
    <w:rsid w:val="008A6B25"/>
    <w:rsid w:val="008A6C4F"/>
    <w:rsid w:val="008B012F"/>
    <w:rsid w:val="008B2335"/>
    <w:rsid w:val="008B32F6"/>
    <w:rsid w:val="008B51B0"/>
    <w:rsid w:val="008B629E"/>
    <w:rsid w:val="008C0D17"/>
    <w:rsid w:val="008C22CC"/>
    <w:rsid w:val="008C3223"/>
    <w:rsid w:val="008C3294"/>
    <w:rsid w:val="008C4B5A"/>
    <w:rsid w:val="008C4EDC"/>
    <w:rsid w:val="008C6E58"/>
    <w:rsid w:val="008C77CB"/>
    <w:rsid w:val="008D0C03"/>
    <w:rsid w:val="008D1459"/>
    <w:rsid w:val="008D2A46"/>
    <w:rsid w:val="008D63A7"/>
    <w:rsid w:val="008E0678"/>
    <w:rsid w:val="008E0CFD"/>
    <w:rsid w:val="008E4C4F"/>
    <w:rsid w:val="008E5A83"/>
    <w:rsid w:val="008E5FF6"/>
    <w:rsid w:val="008E6067"/>
    <w:rsid w:val="008F0336"/>
    <w:rsid w:val="008F0E3C"/>
    <w:rsid w:val="008F16E4"/>
    <w:rsid w:val="008F1FA8"/>
    <w:rsid w:val="008F6145"/>
    <w:rsid w:val="008F7E32"/>
    <w:rsid w:val="00900036"/>
    <w:rsid w:val="009002FE"/>
    <w:rsid w:val="009018E4"/>
    <w:rsid w:val="00902523"/>
    <w:rsid w:val="00903876"/>
    <w:rsid w:val="009062A7"/>
    <w:rsid w:val="0090637F"/>
    <w:rsid w:val="00910F40"/>
    <w:rsid w:val="00912C08"/>
    <w:rsid w:val="00913616"/>
    <w:rsid w:val="0091377B"/>
    <w:rsid w:val="009161E2"/>
    <w:rsid w:val="009223CA"/>
    <w:rsid w:val="00930548"/>
    <w:rsid w:val="00934040"/>
    <w:rsid w:val="00934D47"/>
    <w:rsid w:val="009377CE"/>
    <w:rsid w:val="00937F60"/>
    <w:rsid w:val="0094095A"/>
    <w:rsid w:val="00940F93"/>
    <w:rsid w:val="00946696"/>
    <w:rsid w:val="00951EAC"/>
    <w:rsid w:val="0095347F"/>
    <w:rsid w:val="009568BE"/>
    <w:rsid w:val="0096073F"/>
    <w:rsid w:val="00960911"/>
    <w:rsid w:val="009633D7"/>
    <w:rsid w:val="00967F59"/>
    <w:rsid w:val="009701C4"/>
    <w:rsid w:val="009722A5"/>
    <w:rsid w:val="00972C38"/>
    <w:rsid w:val="009735A8"/>
    <w:rsid w:val="00973F26"/>
    <w:rsid w:val="00974EF5"/>
    <w:rsid w:val="009760F3"/>
    <w:rsid w:val="009800FA"/>
    <w:rsid w:val="00980DDD"/>
    <w:rsid w:val="00980EA8"/>
    <w:rsid w:val="009817F4"/>
    <w:rsid w:val="009873ED"/>
    <w:rsid w:val="009909F5"/>
    <w:rsid w:val="00990FCA"/>
    <w:rsid w:val="00994835"/>
    <w:rsid w:val="0099515D"/>
    <w:rsid w:val="00996F62"/>
    <w:rsid w:val="009A0E8D"/>
    <w:rsid w:val="009A19F8"/>
    <w:rsid w:val="009A2D87"/>
    <w:rsid w:val="009B0FC5"/>
    <w:rsid w:val="009B26E7"/>
    <w:rsid w:val="009B5F73"/>
    <w:rsid w:val="009C162C"/>
    <w:rsid w:val="009C4FB2"/>
    <w:rsid w:val="009C60EB"/>
    <w:rsid w:val="009C6DFE"/>
    <w:rsid w:val="009D1E8D"/>
    <w:rsid w:val="009E27DA"/>
    <w:rsid w:val="009E2F54"/>
    <w:rsid w:val="009E6AFB"/>
    <w:rsid w:val="009E7D26"/>
    <w:rsid w:val="009F03D3"/>
    <w:rsid w:val="009F2AC1"/>
    <w:rsid w:val="009F2E73"/>
    <w:rsid w:val="009F5182"/>
    <w:rsid w:val="009F66D9"/>
    <w:rsid w:val="009F7636"/>
    <w:rsid w:val="00A00A3F"/>
    <w:rsid w:val="00A01489"/>
    <w:rsid w:val="00A018AB"/>
    <w:rsid w:val="00A03ED0"/>
    <w:rsid w:val="00A07911"/>
    <w:rsid w:val="00A11783"/>
    <w:rsid w:val="00A16904"/>
    <w:rsid w:val="00A206FC"/>
    <w:rsid w:val="00A22226"/>
    <w:rsid w:val="00A230A0"/>
    <w:rsid w:val="00A232DB"/>
    <w:rsid w:val="00A31B81"/>
    <w:rsid w:val="00A338F1"/>
    <w:rsid w:val="00A33D13"/>
    <w:rsid w:val="00A343D0"/>
    <w:rsid w:val="00A377A8"/>
    <w:rsid w:val="00A41A5C"/>
    <w:rsid w:val="00A42B98"/>
    <w:rsid w:val="00A44487"/>
    <w:rsid w:val="00A44615"/>
    <w:rsid w:val="00A447CC"/>
    <w:rsid w:val="00A4728C"/>
    <w:rsid w:val="00A47874"/>
    <w:rsid w:val="00A52FFA"/>
    <w:rsid w:val="00A647C7"/>
    <w:rsid w:val="00A65032"/>
    <w:rsid w:val="00A70EA1"/>
    <w:rsid w:val="00A72C70"/>
    <w:rsid w:val="00A72F22"/>
    <w:rsid w:val="00A7360F"/>
    <w:rsid w:val="00A7395B"/>
    <w:rsid w:val="00A73D1B"/>
    <w:rsid w:val="00A748A6"/>
    <w:rsid w:val="00A75355"/>
    <w:rsid w:val="00A76648"/>
    <w:rsid w:val="00A769F4"/>
    <w:rsid w:val="00A776B4"/>
    <w:rsid w:val="00A777C5"/>
    <w:rsid w:val="00A777CF"/>
    <w:rsid w:val="00A81CFF"/>
    <w:rsid w:val="00A81D4E"/>
    <w:rsid w:val="00A826B6"/>
    <w:rsid w:val="00A85EA0"/>
    <w:rsid w:val="00A86BAC"/>
    <w:rsid w:val="00A91A32"/>
    <w:rsid w:val="00A94361"/>
    <w:rsid w:val="00A96BCF"/>
    <w:rsid w:val="00AA293C"/>
    <w:rsid w:val="00AA2D0D"/>
    <w:rsid w:val="00AA2F94"/>
    <w:rsid w:val="00AA56FB"/>
    <w:rsid w:val="00AA672A"/>
    <w:rsid w:val="00AA6FA4"/>
    <w:rsid w:val="00AB0648"/>
    <w:rsid w:val="00AB19FA"/>
    <w:rsid w:val="00AB2855"/>
    <w:rsid w:val="00AB45A3"/>
    <w:rsid w:val="00AB4CA5"/>
    <w:rsid w:val="00AC46CA"/>
    <w:rsid w:val="00AC4B52"/>
    <w:rsid w:val="00AC505B"/>
    <w:rsid w:val="00AC6A0A"/>
    <w:rsid w:val="00AC6B5B"/>
    <w:rsid w:val="00AD46B8"/>
    <w:rsid w:val="00AE1A18"/>
    <w:rsid w:val="00AE1CFF"/>
    <w:rsid w:val="00AE3A93"/>
    <w:rsid w:val="00AE4730"/>
    <w:rsid w:val="00AE50CE"/>
    <w:rsid w:val="00AE55CB"/>
    <w:rsid w:val="00AE673B"/>
    <w:rsid w:val="00AF0BB7"/>
    <w:rsid w:val="00AF1A44"/>
    <w:rsid w:val="00AF2605"/>
    <w:rsid w:val="00AF29E9"/>
    <w:rsid w:val="00AF3148"/>
    <w:rsid w:val="00AF34D9"/>
    <w:rsid w:val="00AF5CCF"/>
    <w:rsid w:val="00AF6192"/>
    <w:rsid w:val="00AF7286"/>
    <w:rsid w:val="00B03884"/>
    <w:rsid w:val="00B04543"/>
    <w:rsid w:val="00B10640"/>
    <w:rsid w:val="00B1156E"/>
    <w:rsid w:val="00B11BC2"/>
    <w:rsid w:val="00B13E9B"/>
    <w:rsid w:val="00B16852"/>
    <w:rsid w:val="00B174D5"/>
    <w:rsid w:val="00B21134"/>
    <w:rsid w:val="00B2280C"/>
    <w:rsid w:val="00B23D94"/>
    <w:rsid w:val="00B24475"/>
    <w:rsid w:val="00B25D3D"/>
    <w:rsid w:val="00B2683D"/>
    <w:rsid w:val="00B30179"/>
    <w:rsid w:val="00B339A7"/>
    <w:rsid w:val="00B33ABD"/>
    <w:rsid w:val="00B370CD"/>
    <w:rsid w:val="00B415E4"/>
    <w:rsid w:val="00B41A37"/>
    <w:rsid w:val="00B41ACB"/>
    <w:rsid w:val="00B42976"/>
    <w:rsid w:val="00B46514"/>
    <w:rsid w:val="00B467BE"/>
    <w:rsid w:val="00B46DF7"/>
    <w:rsid w:val="00B47DB8"/>
    <w:rsid w:val="00B503FD"/>
    <w:rsid w:val="00B55522"/>
    <w:rsid w:val="00B56E4A"/>
    <w:rsid w:val="00B56E9C"/>
    <w:rsid w:val="00B57FA6"/>
    <w:rsid w:val="00B60748"/>
    <w:rsid w:val="00B64B1F"/>
    <w:rsid w:val="00B6524C"/>
    <w:rsid w:val="00B6553F"/>
    <w:rsid w:val="00B66E5E"/>
    <w:rsid w:val="00B76950"/>
    <w:rsid w:val="00B77D05"/>
    <w:rsid w:val="00B81206"/>
    <w:rsid w:val="00B8190A"/>
    <w:rsid w:val="00B81E12"/>
    <w:rsid w:val="00B85756"/>
    <w:rsid w:val="00B85AF8"/>
    <w:rsid w:val="00B86C63"/>
    <w:rsid w:val="00B9067B"/>
    <w:rsid w:val="00B915E0"/>
    <w:rsid w:val="00B94491"/>
    <w:rsid w:val="00B95A99"/>
    <w:rsid w:val="00B96623"/>
    <w:rsid w:val="00B968B5"/>
    <w:rsid w:val="00B97074"/>
    <w:rsid w:val="00B97AFE"/>
    <w:rsid w:val="00BA0869"/>
    <w:rsid w:val="00BA39DE"/>
    <w:rsid w:val="00BA434C"/>
    <w:rsid w:val="00BA5934"/>
    <w:rsid w:val="00BB22D5"/>
    <w:rsid w:val="00BB2518"/>
    <w:rsid w:val="00BB6283"/>
    <w:rsid w:val="00BB6923"/>
    <w:rsid w:val="00BC01E3"/>
    <w:rsid w:val="00BC2C23"/>
    <w:rsid w:val="00BC48F3"/>
    <w:rsid w:val="00BC5363"/>
    <w:rsid w:val="00BC6E5E"/>
    <w:rsid w:val="00BC74E9"/>
    <w:rsid w:val="00BD6CE9"/>
    <w:rsid w:val="00BE26B2"/>
    <w:rsid w:val="00BE4F3F"/>
    <w:rsid w:val="00BE62B5"/>
    <w:rsid w:val="00BF0311"/>
    <w:rsid w:val="00BF351E"/>
    <w:rsid w:val="00BF4613"/>
    <w:rsid w:val="00BF5DDA"/>
    <w:rsid w:val="00BF61C5"/>
    <w:rsid w:val="00BF66E5"/>
    <w:rsid w:val="00BF68A8"/>
    <w:rsid w:val="00BF72FD"/>
    <w:rsid w:val="00C02E7A"/>
    <w:rsid w:val="00C04639"/>
    <w:rsid w:val="00C065DB"/>
    <w:rsid w:val="00C11207"/>
    <w:rsid w:val="00C11870"/>
    <w:rsid w:val="00C11A03"/>
    <w:rsid w:val="00C12A55"/>
    <w:rsid w:val="00C12BC1"/>
    <w:rsid w:val="00C144EC"/>
    <w:rsid w:val="00C20A72"/>
    <w:rsid w:val="00C2284D"/>
    <w:rsid w:val="00C255DB"/>
    <w:rsid w:val="00C34926"/>
    <w:rsid w:val="00C35FE9"/>
    <w:rsid w:val="00C418BB"/>
    <w:rsid w:val="00C41B82"/>
    <w:rsid w:val="00C41CF7"/>
    <w:rsid w:val="00C42190"/>
    <w:rsid w:val="00C448CD"/>
    <w:rsid w:val="00C44D49"/>
    <w:rsid w:val="00C463DD"/>
    <w:rsid w:val="00C46474"/>
    <w:rsid w:val="00C4724C"/>
    <w:rsid w:val="00C47927"/>
    <w:rsid w:val="00C50356"/>
    <w:rsid w:val="00C50ECF"/>
    <w:rsid w:val="00C51BCE"/>
    <w:rsid w:val="00C53963"/>
    <w:rsid w:val="00C55779"/>
    <w:rsid w:val="00C56114"/>
    <w:rsid w:val="00C57A10"/>
    <w:rsid w:val="00C606D3"/>
    <w:rsid w:val="00C61C48"/>
    <w:rsid w:val="00C629A0"/>
    <w:rsid w:val="00C71836"/>
    <w:rsid w:val="00C73736"/>
    <w:rsid w:val="00C73FA2"/>
    <w:rsid w:val="00C745C3"/>
    <w:rsid w:val="00C74D3D"/>
    <w:rsid w:val="00C76890"/>
    <w:rsid w:val="00C7728B"/>
    <w:rsid w:val="00C80234"/>
    <w:rsid w:val="00C803EC"/>
    <w:rsid w:val="00C819E8"/>
    <w:rsid w:val="00C82EB3"/>
    <w:rsid w:val="00C84984"/>
    <w:rsid w:val="00C8504E"/>
    <w:rsid w:val="00C85113"/>
    <w:rsid w:val="00C86E52"/>
    <w:rsid w:val="00CA5A30"/>
    <w:rsid w:val="00CA6303"/>
    <w:rsid w:val="00CB2724"/>
    <w:rsid w:val="00CB351A"/>
    <w:rsid w:val="00CB6E28"/>
    <w:rsid w:val="00CC0BB4"/>
    <w:rsid w:val="00CC0C5B"/>
    <w:rsid w:val="00CD6EA5"/>
    <w:rsid w:val="00CE1E1F"/>
    <w:rsid w:val="00CE4A8F"/>
    <w:rsid w:val="00CE5E70"/>
    <w:rsid w:val="00CE736B"/>
    <w:rsid w:val="00CF1984"/>
    <w:rsid w:val="00CF2621"/>
    <w:rsid w:val="00CF76D6"/>
    <w:rsid w:val="00D02C2A"/>
    <w:rsid w:val="00D05077"/>
    <w:rsid w:val="00D06AB9"/>
    <w:rsid w:val="00D06B7E"/>
    <w:rsid w:val="00D12158"/>
    <w:rsid w:val="00D1315B"/>
    <w:rsid w:val="00D13268"/>
    <w:rsid w:val="00D141CF"/>
    <w:rsid w:val="00D2031B"/>
    <w:rsid w:val="00D257E7"/>
    <w:rsid w:val="00D25FE2"/>
    <w:rsid w:val="00D2637A"/>
    <w:rsid w:val="00D3001F"/>
    <w:rsid w:val="00D30034"/>
    <w:rsid w:val="00D35B7F"/>
    <w:rsid w:val="00D35FCA"/>
    <w:rsid w:val="00D425CC"/>
    <w:rsid w:val="00D43252"/>
    <w:rsid w:val="00D43E06"/>
    <w:rsid w:val="00D455BF"/>
    <w:rsid w:val="00D46C27"/>
    <w:rsid w:val="00D47EEA"/>
    <w:rsid w:val="00D501D0"/>
    <w:rsid w:val="00D50395"/>
    <w:rsid w:val="00D5086E"/>
    <w:rsid w:val="00D509AE"/>
    <w:rsid w:val="00D5166F"/>
    <w:rsid w:val="00D5188E"/>
    <w:rsid w:val="00D51D6E"/>
    <w:rsid w:val="00D520E0"/>
    <w:rsid w:val="00D52427"/>
    <w:rsid w:val="00D53BAD"/>
    <w:rsid w:val="00D543C9"/>
    <w:rsid w:val="00D6148A"/>
    <w:rsid w:val="00D62F0B"/>
    <w:rsid w:val="00D729E4"/>
    <w:rsid w:val="00D73CB8"/>
    <w:rsid w:val="00D80EDF"/>
    <w:rsid w:val="00D8476C"/>
    <w:rsid w:val="00D86497"/>
    <w:rsid w:val="00D864CC"/>
    <w:rsid w:val="00D86AB1"/>
    <w:rsid w:val="00D90E42"/>
    <w:rsid w:val="00D90F93"/>
    <w:rsid w:val="00D913B0"/>
    <w:rsid w:val="00D94BB8"/>
    <w:rsid w:val="00D94CDD"/>
    <w:rsid w:val="00D95303"/>
    <w:rsid w:val="00D96A12"/>
    <w:rsid w:val="00D96E57"/>
    <w:rsid w:val="00D97597"/>
    <w:rsid w:val="00D975A7"/>
    <w:rsid w:val="00D978C6"/>
    <w:rsid w:val="00DA3111"/>
    <w:rsid w:val="00DA3C1C"/>
    <w:rsid w:val="00DA4BBB"/>
    <w:rsid w:val="00DB0C79"/>
    <w:rsid w:val="00DB2CE7"/>
    <w:rsid w:val="00DB5B2F"/>
    <w:rsid w:val="00DC0393"/>
    <w:rsid w:val="00DC0714"/>
    <w:rsid w:val="00DC465A"/>
    <w:rsid w:val="00DD1299"/>
    <w:rsid w:val="00DD1BDC"/>
    <w:rsid w:val="00DD2848"/>
    <w:rsid w:val="00DD471E"/>
    <w:rsid w:val="00DD593B"/>
    <w:rsid w:val="00DD7965"/>
    <w:rsid w:val="00DE1DF6"/>
    <w:rsid w:val="00DE4495"/>
    <w:rsid w:val="00DE79A8"/>
    <w:rsid w:val="00DE7F59"/>
    <w:rsid w:val="00DF0799"/>
    <w:rsid w:val="00DF528D"/>
    <w:rsid w:val="00DF616D"/>
    <w:rsid w:val="00DF6F0D"/>
    <w:rsid w:val="00E142AF"/>
    <w:rsid w:val="00E15122"/>
    <w:rsid w:val="00E15CC1"/>
    <w:rsid w:val="00E1797B"/>
    <w:rsid w:val="00E17C73"/>
    <w:rsid w:val="00E209FD"/>
    <w:rsid w:val="00E21400"/>
    <w:rsid w:val="00E25E54"/>
    <w:rsid w:val="00E27346"/>
    <w:rsid w:val="00E31E79"/>
    <w:rsid w:val="00E334FC"/>
    <w:rsid w:val="00E34156"/>
    <w:rsid w:val="00E375B1"/>
    <w:rsid w:val="00E40A07"/>
    <w:rsid w:val="00E41BFE"/>
    <w:rsid w:val="00E4363C"/>
    <w:rsid w:val="00E53D02"/>
    <w:rsid w:val="00E56B0D"/>
    <w:rsid w:val="00E6074E"/>
    <w:rsid w:val="00E61088"/>
    <w:rsid w:val="00E632CC"/>
    <w:rsid w:val="00E64123"/>
    <w:rsid w:val="00E65396"/>
    <w:rsid w:val="00E67325"/>
    <w:rsid w:val="00E70D9D"/>
    <w:rsid w:val="00E71BC8"/>
    <w:rsid w:val="00E7260F"/>
    <w:rsid w:val="00E74206"/>
    <w:rsid w:val="00E77185"/>
    <w:rsid w:val="00E779FC"/>
    <w:rsid w:val="00E81178"/>
    <w:rsid w:val="00E848D3"/>
    <w:rsid w:val="00E849B2"/>
    <w:rsid w:val="00E85728"/>
    <w:rsid w:val="00E86349"/>
    <w:rsid w:val="00E921CF"/>
    <w:rsid w:val="00E92E07"/>
    <w:rsid w:val="00E94466"/>
    <w:rsid w:val="00E96630"/>
    <w:rsid w:val="00E9782F"/>
    <w:rsid w:val="00EA0822"/>
    <w:rsid w:val="00EA31F7"/>
    <w:rsid w:val="00EA448E"/>
    <w:rsid w:val="00EA6143"/>
    <w:rsid w:val="00EA61C5"/>
    <w:rsid w:val="00EB11F3"/>
    <w:rsid w:val="00EB2581"/>
    <w:rsid w:val="00EB5373"/>
    <w:rsid w:val="00EC14EF"/>
    <w:rsid w:val="00EC4B91"/>
    <w:rsid w:val="00ED00FD"/>
    <w:rsid w:val="00ED0783"/>
    <w:rsid w:val="00ED6970"/>
    <w:rsid w:val="00ED7A2A"/>
    <w:rsid w:val="00ED7E6E"/>
    <w:rsid w:val="00EE092E"/>
    <w:rsid w:val="00EE5C7E"/>
    <w:rsid w:val="00EE6929"/>
    <w:rsid w:val="00EF0235"/>
    <w:rsid w:val="00EF0C54"/>
    <w:rsid w:val="00EF1D7A"/>
    <w:rsid w:val="00EF1D7F"/>
    <w:rsid w:val="00EF3514"/>
    <w:rsid w:val="00EF560D"/>
    <w:rsid w:val="00F03190"/>
    <w:rsid w:val="00F03A99"/>
    <w:rsid w:val="00F0403F"/>
    <w:rsid w:val="00F04CDE"/>
    <w:rsid w:val="00F075CC"/>
    <w:rsid w:val="00F10CD2"/>
    <w:rsid w:val="00F16B5D"/>
    <w:rsid w:val="00F17BD5"/>
    <w:rsid w:val="00F20C3D"/>
    <w:rsid w:val="00F21FE3"/>
    <w:rsid w:val="00F22E3E"/>
    <w:rsid w:val="00F24F92"/>
    <w:rsid w:val="00F254DA"/>
    <w:rsid w:val="00F2653D"/>
    <w:rsid w:val="00F3026E"/>
    <w:rsid w:val="00F31056"/>
    <w:rsid w:val="00F31242"/>
    <w:rsid w:val="00F32CF3"/>
    <w:rsid w:val="00F34D48"/>
    <w:rsid w:val="00F34E2D"/>
    <w:rsid w:val="00F35149"/>
    <w:rsid w:val="00F373CD"/>
    <w:rsid w:val="00F41576"/>
    <w:rsid w:val="00F41B9F"/>
    <w:rsid w:val="00F41F7D"/>
    <w:rsid w:val="00F4204E"/>
    <w:rsid w:val="00F43E9E"/>
    <w:rsid w:val="00F44820"/>
    <w:rsid w:val="00F52BE2"/>
    <w:rsid w:val="00F53964"/>
    <w:rsid w:val="00F53F5C"/>
    <w:rsid w:val="00F546EA"/>
    <w:rsid w:val="00F60C3B"/>
    <w:rsid w:val="00F70D30"/>
    <w:rsid w:val="00F710EA"/>
    <w:rsid w:val="00F7177B"/>
    <w:rsid w:val="00F72A4B"/>
    <w:rsid w:val="00F748B6"/>
    <w:rsid w:val="00F77CB0"/>
    <w:rsid w:val="00F82653"/>
    <w:rsid w:val="00F82F23"/>
    <w:rsid w:val="00F8467B"/>
    <w:rsid w:val="00F85733"/>
    <w:rsid w:val="00F86121"/>
    <w:rsid w:val="00F8772A"/>
    <w:rsid w:val="00F9057C"/>
    <w:rsid w:val="00F906D2"/>
    <w:rsid w:val="00F906D7"/>
    <w:rsid w:val="00F908D7"/>
    <w:rsid w:val="00F90D91"/>
    <w:rsid w:val="00F90FD3"/>
    <w:rsid w:val="00F92CB6"/>
    <w:rsid w:val="00F93781"/>
    <w:rsid w:val="00F94D72"/>
    <w:rsid w:val="00F9653B"/>
    <w:rsid w:val="00F9682C"/>
    <w:rsid w:val="00F96BA5"/>
    <w:rsid w:val="00F96C0A"/>
    <w:rsid w:val="00FA1718"/>
    <w:rsid w:val="00FA2BC4"/>
    <w:rsid w:val="00FB0169"/>
    <w:rsid w:val="00FB148B"/>
    <w:rsid w:val="00FB2745"/>
    <w:rsid w:val="00FB3462"/>
    <w:rsid w:val="00FB45D9"/>
    <w:rsid w:val="00FB5EB5"/>
    <w:rsid w:val="00FB613B"/>
    <w:rsid w:val="00FB78D7"/>
    <w:rsid w:val="00FC0622"/>
    <w:rsid w:val="00FC68B7"/>
    <w:rsid w:val="00FD0381"/>
    <w:rsid w:val="00FD2085"/>
    <w:rsid w:val="00FD28AF"/>
    <w:rsid w:val="00FD369A"/>
    <w:rsid w:val="00FD4F04"/>
    <w:rsid w:val="00FD4FB8"/>
    <w:rsid w:val="00FD61DA"/>
    <w:rsid w:val="00FD7CD0"/>
    <w:rsid w:val="00FE0B02"/>
    <w:rsid w:val="00FE106A"/>
    <w:rsid w:val="00FE2B82"/>
    <w:rsid w:val="00FE5A28"/>
    <w:rsid w:val="00FE5BA0"/>
    <w:rsid w:val="00FF0000"/>
    <w:rsid w:val="00FF01AB"/>
    <w:rsid w:val="00FF0312"/>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1918F"/>
  <w15:docId w15:val="{6EAD08F1-F69B-42EC-95F0-1C73BC08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E25D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E25D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erChar">
    <w:name w:val="Header Char"/>
    <w:aliases w:val="6_G Char"/>
    <w:link w:val="Header"/>
    <w:rsid w:val="00A81CFF"/>
    <w:rPr>
      <w:b/>
      <w:sz w:val="18"/>
      <w:lang w:eastAsia="en-US"/>
    </w:rPr>
  </w:style>
  <w:style w:type="paragraph" w:styleId="Revision">
    <w:name w:val="Revision"/>
    <w:hidden/>
    <w:uiPriority w:val="99"/>
    <w:semiHidden/>
    <w:rsid w:val="003134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68907200">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115561207">
      <w:bodyDiv w:val="1"/>
      <w:marLeft w:val="0"/>
      <w:marRight w:val="0"/>
      <w:marTop w:val="0"/>
      <w:marBottom w:val="0"/>
      <w:divBdr>
        <w:top w:val="none" w:sz="0" w:space="0" w:color="auto"/>
        <w:left w:val="none" w:sz="0" w:space="0" w:color="auto"/>
        <w:bottom w:val="none" w:sz="0" w:space="0" w:color="auto"/>
        <w:right w:val="none" w:sz="0" w:space="0" w:color="auto"/>
      </w:divBdr>
    </w:div>
    <w:div w:id="1411463058">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4310-7156-48C0-BABC-3922EC69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10</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2015-12-10T10:42:00Z</cp:lastPrinted>
  <dcterms:created xsi:type="dcterms:W3CDTF">2017-04-05T18:43:00Z</dcterms:created>
  <dcterms:modified xsi:type="dcterms:W3CDTF">2017-04-05T18:43:00Z</dcterms:modified>
</cp:coreProperties>
</file>