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58B7CAC5" w14:textId="77777777" w:rsidTr="00B6553F">
        <w:trPr>
          <w:cantSplit/>
          <w:trHeight w:hRule="exact" w:val="851"/>
        </w:trPr>
        <w:tc>
          <w:tcPr>
            <w:tcW w:w="1276" w:type="dxa"/>
            <w:tcBorders>
              <w:bottom w:val="single" w:sz="4" w:space="0" w:color="auto"/>
            </w:tcBorders>
            <w:vAlign w:val="bottom"/>
          </w:tcPr>
          <w:p w14:paraId="31F9BFF6" w14:textId="77777777" w:rsidR="00B56E9C" w:rsidRPr="00243C13" w:rsidRDefault="00B56E9C" w:rsidP="00B6553F">
            <w:pPr>
              <w:spacing w:after="80"/>
              <w:rPr>
                <w:lang w:val="en-US"/>
              </w:rPr>
            </w:pPr>
            <w:bookmarkStart w:id="0" w:name="_GoBack"/>
            <w:bookmarkEnd w:id="0"/>
          </w:p>
        </w:tc>
        <w:tc>
          <w:tcPr>
            <w:tcW w:w="2268" w:type="dxa"/>
            <w:tcBorders>
              <w:bottom w:val="single" w:sz="4" w:space="0" w:color="auto"/>
            </w:tcBorders>
            <w:vAlign w:val="bottom"/>
          </w:tcPr>
          <w:p w14:paraId="5546218C"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E81E840" w14:textId="77777777" w:rsidR="00B56E9C" w:rsidRPr="00D47EEA" w:rsidRDefault="008216A5" w:rsidP="002148EF">
            <w:pPr>
              <w:jc w:val="right"/>
            </w:pPr>
            <w:r w:rsidRPr="008216A5">
              <w:rPr>
                <w:sz w:val="40"/>
              </w:rPr>
              <w:t>CCPR</w:t>
            </w:r>
            <w:r>
              <w:t>/C/1</w:t>
            </w:r>
            <w:r w:rsidR="00711F00">
              <w:t>1</w:t>
            </w:r>
            <w:r w:rsidR="006312B5">
              <w:t>5</w:t>
            </w:r>
            <w:r>
              <w:t>/D/</w:t>
            </w:r>
            <w:r w:rsidR="0003383A">
              <w:t>23</w:t>
            </w:r>
            <w:r w:rsidR="006312B5">
              <w:t>51</w:t>
            </w:r>
            <w:r>
              <w:t>/</w:t>
            </w:r>
            <w:r w:rsidR="00AE50CE">
              <w:t>20</w:t>
            </w:r>
            <w:r w:rsidR="00540F02">
              <w:t>1</w:t>
            </w:r>
            <w:r w:rsidR="0003383A">
              <w:t>4</w:t>
            </w:r>
          </w:p>
        </w:tc>
      </w:tr>
      <w:tr w:rsidR="00B56E9C" w14:paraId="0EBA82FE" w14:textId="77777777" w:rsidTr="00B6553F">
        <w:trPr>
          <w:cantSplit/>
          <w:trHeight w:hRule="exact" w:val="2835"/>
        </w:trPr>
        <w:tc>
          <w:tcPr>
            <w:tcW w:w="1276" w:type="dxa"/>
            <w:tcBorders>
              <w:top w:val="single" w:sz="4" w:space="0" w:color="auto"/>
              <w:bottom w:val="single" w:sz="12" w:space="0" w:color="auto"/>
            </w:tcBorders>
          </w:tcPr>
          <w:p w14:paraId="1DEADA95" w14:textId="77777777" w:rsidR="00B56E9C" w:rsidRDefault="00C45829" w:rsidP="00B6553F">
            <w:pPr>
              <w:spacing w:before="120"/>
            </w:pPr>
            <w:r>
              <w:rPr>
                <w:noProof/>
                <w:lang w:val="en-US"/>
              </w:rPr>
              <w:drawing>
                <wp:inline distT="0" distB="0" distL="0" distR="0" wp14:anchorId="62A16195" wp14:editId="64297A7A">
                  <wp:extent cx="717550" cy="590550"/>
                  <wp:effectExtent l="0" t="0" r="635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5D05900" w14:textId="77777777" w:rsidR="002148EF" w:rsidRPr="00F40A73"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14:paraId="34F32ACB" w14:textId="77777777" w:rsidR="00B56E9C" w:rsidRDefault="008216A5" w:rsidP="008216A5">
            <w:pPr>
              <w:spacing w:before="240" w:line="240" w:lineRule="exact"/>
            </w:pPr>
            <w:r>
              <w:t xml:space="preserve">Distr.: </w:t>
            </w:r>
            <w:r w:rsidR="002148EF">
              <w:t>General</w:t>
            </w:r>
          </w:p>
          <w:p w14:paraId="6FBD86C2" w14:textId="77777777" w:rsidR="008216A5" w:rsidRDefault="002942E3" w:rsidP="008216A5">
            <w:pPr>
              <w:spacing w:line="240" w:lineRule="exact"/>
            </w:pPr>
            <w:r>
              <w:t>23</w:t>
            </w:r>
            <w:r w:rsidR="002148EF">
              <w:t xml:space="preserve"> December</w:t>
            </w:r>
            <w:r w:rsidR="000E6292">
              <w:t xml:space="preserve"> </w:t>
            </w:r>
            <w:r w:rsidR="008216A5">
              <w:t>201</w:t>
            </w:r>
            <w:r w:rsidR="0003383A">
              <w:t>5</w:t>
            </w:r>
          </w:p>
          <w:p w14:paraId="54E7B896" w14:textId="77777777" w:rsidR="008216A5" w:rsidRDefault="008216A5" w:rsidP="008216A5">
            <w:pPr>
              <w:spacing w:line="240" w:lineRule="exact"/>
            </w:pPr>
          </w:p>
          <w:p w14:paraId="58A132EC" w14:textId="77777777" w:rsidR="008216A5" w:rsidRDefault="008216A5" w:rsidP="008216A5">
            <w:pPr>
              <w:spacing w:line="240" w:lineRule="exact"/>
            </w:pPr>
            <w:r>
              <w:t>Original: English</w:t>
            </w:r>
          </w:p>
          <w:p w14:paraId="3B2B7F2C" w14:textId="77777777" w:rsidR="00994E66" w:rsidRDefault="00994E66" w:rsidP="008216A5">
            <w:pPr>
              <w:spacing w:line="240" w:lineRule="exact"/>
            </w:pPr>
          </w:p>
        </w:tc>
      </w:tr>
    </w:tbl>
    <w:p w14:paraId="2440131B" w14:textId="77777777" w:rsidR="00ED3BEB" w:rsidRPr="00ED3BEB" w:rsidRDefault="00ED3BEB" w:rsidP="00ED3BEB">
      <w:pPr>
        <w:spacing w:line="20" w:lineRule="exact"/>
        <w:rPr>
          <w:b/>
          <w:sz w:val="2"/>
          <w:szCs w:val="24"/>
          <w:lang w:val="en-US"/>
        </w:rPr>
      </w:pPr>
      <w:r>
        <w:rPr>
          <w:rStyle w:val="CommentReference"/>
          <w:lang w:val="x-none"/>
        </w:rPr>
        <w:commentReference w:id="1"/>
      </w:r>
    </w:p>
    <w:p w14:paraId="4929BB90" w14:textId="77777777" w:rsidR="008216A5" w:rsidRPr="008216A5" w:rsidRDefault="008216A5" w:rsidP="008216A5">
      <w:pPr>
        <w:spacing w:before="120"/>
        <w:rPr>
          <w:b/>
          <w:sz w:val="24"/>
          <w:szCs w:val="24"/>
          <w:lang w:val="en-US"/>
        </w:rPr>
      </w:pPr>
      <w:r w:rsidRPr="008216A5">
        <w:rPr>
          <w:b/>
          <w:sz w:val="24"/>
          <w:szCs w:val="24"/>
          <w:lang w:val="en-US"/>
        </w:rPr>
        <w:t>Human Rights Committee</w:t>
      </w:r>
    </w:p>
    <w:p w14:paraId="610D6B76" w14:textId="77777777" w:rsidR="003134AC" w:rsidRDefault="003134AC" w:rsidP="003134AC">
      <w:pPr>
        <w:pStyle w:val="HChG"/>
      </w:pPr>
      <w:r w:rsidRPr="009E31DB">
        <w:tab/>
      </w:r>
      <w:r w:rsidRPr="009E31DB">
        <w:tab/>
        <w:t xml:space="preserve">Communication No. </w:t>
      </w:r>
      <w:r w:rsidR="0003383A">
        <w:t>23</w:t>
      </w:r>
      <w:r w:rsidR="006312B5">
        <w:t>51</w:t>
      </w:r>
      <w:r>
        <w:t>/20</w:t>
      </w:r>
      <w:r w:rsidR="0003383A">
        <w:t>14</w:t>
      </w:r>
    </w:p>
    <w:p w14:paraId="5AE07A23" w14:textId="77777777" w:rsidR="003134AC" w:rsidRPr="009E31DB" w:rsidRDefault="003134AC" w:rsidP="00994E66">
      <w:pPr>
        <w:pStyle w:val="H1G"/>
      </w:pPr>
      <w:r>
        <w:tab/>
      </w:r>
      <w:r>
        <w:tab/>
      </w:r>
      <w:r w:rsidR="002148EF">
        <w:rPr>
          <w:rFonts w:eastAsia="MS Mincho"/>
        </w:rPr>
        <w:t>Decision</w:t>
      </w:r>
      <w:r w:rsidR="002148EF" w:rsidRPr="00E16A81">
        <w:rPr>
          <w:rFonts w:eastAsia="MS Mincho"/>
        </w:rPr>
        <w:t xml:space="preserve"> adopted by the Committee at its 115th session </w:t>
      </w:r>
      <w:r w:rsidR="002148EF" w:rsidRPr="00E16A81">
        <w:rPr>
          <w:rFonts w:eastAsia="MS Mincho"/>
        </w:rPr>
        <w:br/>
        <w:t>(</w:t>
      </w:r>
      <w:r w:rsidR="002148EF" w:rsidRPr="00E16A81">
        <w:rPr>
          <w:rFonts w:eastAsia="MS Mincho"/>
          <w:bCs/>
          <w:lang w:val="en-US"/>
        </w:rPr>
        <w:t>19 October-6 November 2015)</w:t>
      </w:r>
    </w:p>
    <w:p w14:paraId="70BA7C9C" w14:textId="77777777" w:rsidR="003134AC" w:rsidRPr="009E31DB" w:rsidRDefault="003134AC" w:rsidP="00F40A73">
      <w:pPr>
        <w:pStyle w:val="SingleTxtG"/>
        <w:ind w:left="4536" w:hanging="3402"/>
        <w:jc w:val="left"/>
      </w:pPr>
      <w:r w:rsidRPr="009707F5">
        <w:rPr>
          <w:i/>
        </w:rPr>
        <w:t>Submitted by:</w:t>
      </w:r>
      <w:r w:rsidRPr="009E31DB">
        <w:tab/>
      </w:r>
      <w:r w:rsidR="00B63272">
        <w:rPr>
          <w:lang w:val="en-GB"/>
        </w:rPr>
        <w:t>R.G.</w:t>
      </w:r>
      <w:r w:rsidR="00537ED4">
        <w:rPr>
          <w:lang w:val="en-GB"/>
        </w:rPr>
        <w:t xml:space="preserve"> et al. </w:t>
      </w:r>
      <w:r w:rsidR="00EF3514">
        <w:rPr>
          <w:lang w:val="en-GB"/>
        </w:rPr>
        <w:t>(</w:t>
      </w:r>
      <w:r w:rsidR="00D311F9">
        <w:rPr>
          <w:lang w:val="en-GB"/>
        </w:rPr>
        <w:t>r</w:t>
      </w:r>
      <w:r w:rsidR="00EF3514">
        <w:rPr>
          <w:lang w:val="en-GB"/>
        </w:rPr>
        <w:t xml:space="preserve">epresented by counsel, </w:t>
      </w:r>
      <w:r w:rsidR="00B63272">
        <w:rPr>
          <w:lang w:val="en-GB"/>
        </w:rPr>
        <w:t>Helge</w:t>
      </w:r>
      <w:r w:rsidR="00A57788">
        <w:rPr>
          <w:lang w:val="en-GB"/>
        </w:rPr>
        <w:t> </w:t>
      </w:r>
      <w:r w:rsidR="00B63272" w:rsidRPr="00B63272">
        <w:rPr>
          <w:lang w:val="en-GB"/>
        </w:rPr>
        <w:t>Nørrung</w:t>
      </w:r>
      <w:r w:rsidR="00EF3514">
        <w:rPr>
          <w:lang w:val="en-GB"/>
        </w:rPr>
        <w:t>)</w:t>
      </w:r>
    </w:p>
    <w:p w14:paraId="3D4B5C17" w14:textId="77777777" w:rsidR="003134AC" w:rsidRPr="00134F55" w:rsidRDefault="003134AC" w:rsidP="00F40A73">
      <w:pPr>
        <w:pStyle w:val="SingleTxtG"/>
        <w:ind w:left="4536" w:hanging="3402"/>
        <w:jc w:val="left"/>
        <w:rPr>
          <w:lang w:val="en-GB"/>
        </w:rPr>
      </w:pPr>
      <w:r w:rsidRPr="009707F5">
        <w:rPr>
          <w:i/>
        </w:rPr>
        <w:t>Alleged victim:</w:t>
      </w:r>
      <w:r w:rsidRPr="009E31DB">
        <w:tab/>
        <w:t>The author</w:t>
      </w:r>
      <w:r w:rsidR="00134F55">
        <w:rPr>
          <w:lang w:val="en-GB"/>
        </w:rPr>
        <w:t>s</w:t>
      </w:r>
    </w:p>
    <w:p w14:paraId="0F18BC18" w14:textId="77777777" w:rsidR="003134AC" w:rsidRPr="001844A0" w:rsidRDefault="003134AC" w:rsidP="00F40A73">
      <w:pPr>
        <w:pStyle w:val="SingleTxtG"/>
        <w:ind w:left="4536" w:hanging="3402"/>
        <w:jc w:val="left"/>
        <w:rPr>
          <w:lang w:val="en-GB"/>
        </w:rPr>
      </w:pPr>
      <w:r w:rsidRPr="009707F5">
        <w:rPr>
          <w:i/>
        </w:rPr>
        <w:t>State party:</w:t>
      </w:r>
      <w:r w:rsidRPr="009E31DB">
        <w:tab/>
      </w:r>
      <w:r w:rsidR="00EF3514">
        <w:rPr>
          <w:lang w:val="en-GB"/>
        </w:rPr>
        <w:t>Denmark</w:t>
      </w:r>
    </w:p>
    <w:p w14:paraId="42F4A11C" w14:textId="77777777" w:rsidR="003134AC" w:rsidRPr="00F06D31" w:rsidRDefault="003134AC" w:rsidP="00F40A73">
      <w:pPr>
        <w:pStyle w:val="SingleTxtG"/>
        <w:ind w:left="4536" w:hanging="3402"/>
        <w:jc w:val="left"/>
        <w:rPr>
          <w:lang w:val="en-GB"/>
        </w:rPr>
      </w:pPr>
      <w:r w:rsidRPr="009707F5">
        <w:rPr>
          <w:i/>
        </w:rPr>
        <w:t>Date of communication:</w:t>
      </w:r>
      <w:r w:rsidRPr="009E31DB">
        <w:tab/>
      </w:r>
      <w:r w:rsidR="00537ED4">
        <w:rPr>
          <w:lang w:val="en-GB"/>
        </w:rPr>
        <w:t xml:space="preserve">4 March </w:t>
      </w:r>
      <w:r w:rsidR="001844A0">
        <w:rPr>
          <w:lang w:val="en-GB"/>
        </w:rPr>
        <w:t>201</w:t>
      </w:r>
      <w:r w:rsidR="00F06D31">
        <w:rPr>
          <w:lang w:val="en-GB"/>
        </w:rPr>
        <w:t>4</w:t>
      </w:r>
      <w:r w:rsidR="00335DD7">
        <w:t xml:space="preserve"> (initial submission)</w:t>
      </w:r>
    </w:p>
    <w:p w14:paraId="3DD59872" w14:textId="77777777" w:rsidR="003134AC" w:rsidRPr="009E31DB" w:rsidRDefault="003134AC" w:rsidP="00F40A73">
      <w:pPr>
        <w:pStyle w:val="SingleTxtG"/>
        <w:ind w:left="4536" w:hanging="3402"/>
        <w:jc w:val="left"/>
      </w:pPr>
      <w:r w:rsidRPr="009707F5">
        <w:rPr>
          <w:i/>
        </w:rPr>
        <w:t>Document references:</w:t>
      </w:r>
      <w:r w:rsidRPr="009E31DB">
        <w:tab/>
        <w:t xml:space="preserve">Special Rapporteur’s </w:t>
      </w:r>
      <w:r w:rsidR="00994D1B">
        <w:rPr>
          <w:lang w:val="en-US"/>
        </w:rPr>
        <w:t xml:space="preserve">decision under </w:t>
      </w:r>
      <w:r w:rsidRPr="009E31DB">
        <w:t>rule</w:t>
      </w:r>
      <w:r w:rsidR="00994D1B">
        <w:rPr>
          <w:lang w:val="en-US"/>
        </w:rPr>
        <w:t>s</w:t>
      </w:r>
      <w:r w:rsidR="00D46C27">
        <w:rPr>
          <w:lang w:val="en-GB"/>
        </w:rPr>
        <w:t xml:space="preserve"> 92 and </w:t>
      </w:r>
      <w:r w:rsidRPr="009E31DB">
        <w:t xml:space="preserve">97, transmitted to the State party on </w:t>
      </w:r>
      <w:r w:rsidR="00537ED4">
        <w:rPr>
          <w:lang w:val="en-GB"/>
        </w:rPr>
        <w:t>5</w:t>
      </w:r>
      <w:r w:rsidR="00A57788">
        <w:rPr>
          <w:lang w:val="en-GB"/>
        </w:rPr>
        <w:t> </w:t>
      </w:r>
      <w:r w:rsidR="00537ED4">
        <w:rPr>
          <w:lang w:val="en-GB"/>
        </w:rPr>
        <w:t xml:space="preserve">March </w:t>
      </w:r>
      <w:r w:rsidR="00C01DD5">
        <w:rPr>
          <w:lang w:val="en-GB"/>
        </w:rPr>
        <w:t xml:space="preserve">2014 </w:t>
      </w:r>
      <w:r w:rsidRPr="009E31DB">
        <w:t xml:space="preserve">(not issued in </w:t>
      </w:r>
      <w:r>
        <w:t xml:space="preserve">a </w:t>
      </w:r>
      <w:r w:rsidRPr="009E31DB">
        <w:t>document form)</w:t>
      </w:r>
    </w:p>
    <w:p w14:paraId="46462F1F" w14:textId="77777777" w:rsidR="00335DD7" w:rsidRDefault="003134AC" w:rsidP="00F40A73">
      <w:pPr>
        <w:pStyle w:val="SingleTxtG"/>
        <w:ind w:left="4536" w:hanging="3402"/>
        <w:jc w:val="left"/>
        <w:rPr>
          <w:lang w:val="en-GB"/>
        </w:rPr>
      </w:pPr>
      <w:r w:rsidRPr="009707F5">
        <w:rPr>
          <w:i/>
        </w:rPr>
        <w:t xml:space="preserve">Date of adoption of </w:t>
      </w:r>
      <w:r w:rsidR="003C44AD">
        <w:rPr>
          <w:i/>
          <w:lang w:val="en-GB"/>
        </w:rPr>
        <w:t>d</w:t>
      </w:r>
      <w:r w:rsidR="00E716E5">
        <w:rPr>
          <w:i/>
          <w:lang w:val="en-GB"/>
        </w:rPr>
        <w:t>ecision</w:t>
      </w:r>
      <w:r w:rsidRPr="009707F5">
        <w:rPr>
          <w:i/>
        </w:rPr>
        <w:t>:</w:t>
      </w:r>
      <w:r w:rsidRPr="009E31DB">
        <w:tab/>
      </w:r>
      <w:r w:rsidR="002148EF">
        <w:rPr>
          <w:lang w:val="en-GB"/>
        </w:rPr>
        <w:t>2 November</w:t>
      </w:r>
      <w:r w:rsidR="00537ED4">
        <w:rPr>
          <w:lang w:val="en-GB"/>
        </w:rPr>
        <w:t xml:space="preserve"> </w:t>
      </w:r>
      <w:r w:rsidRPr="009E31DB">
        <w:t>201</w:t>
      </w:r>
      <w:r w:rsidR="001844A0" w:rsidRPr="001844A0">
        <w:rPr>
          <w:lang w:val="en-GB"/>
        </w:rPr>
        <w:t>5</w:t>
      </w:r>
    </w:p>
    <w:p w14:paraId="0D8A8CB6" w14:textId="77777777" w:rsidR="00A57788" w:rsidRDefault="00A57788" w:rsidP="00F40A73">
      <w:pPr>
        <w:pStyle w:val="SingleTxtG"/>
        <w:ind w:left="4536" w:hanging="3402"/>
        <w:jc w:val="left"/>
        <w:rPr>
          <w:lang w:val="en-GB"/>
        </w:rPr>
      </w:pPr>
      <w:r w:rsidRPr="009E31DB">
        <w:rPr>
          <w:i/>
          <w:iCs/>
        </w:rPr>
        <w:t>Subject matter:</w:t>
      </w:r>
      <w:r w:rsidRPr="009E31DB">
        <w:tab/>
      </w:r>
      <w:r>
        <w:rPr>
          <w:lang w:val="en-GB"/>
        </w:rPr>
        <w:t>Deportation to Pakistan</w:t>
      </w:r>
    </w:p>
    <w:p w14:paraId="1744CA6E" w14:textId="77777777" w:rsidR="003134AC" w:rsidRPr="005B6047" w:rsidRDefault="003134AC" w:rsidP="00F40A73">
      <w:pPr>
        <w:pStyle w:val="SingleTxtG"/>
        <w:ind w:left="4536" w:hanging="3402"/>
        <w:jc w:val="left"/>
      </w:pPr>
      <w:r w:rsidRPr="005B6047">
        <w:rPr>
          <w:i/>
          <w:iCs/>
        </w:rPr>
        <w:t>Procedural issue</w:t>
      </w:r>
      <w:r w:rsidR="00B13B64">
        <w:rPr>
          <w:i/>
          <w:iCs/>
          <w:lang w:val="en-US"/>
        </w:rPr>
        <w:t>s</w:t>
      </w:r>
      <w:r w:rsidRPr="005B6047">
        <w:rPr>
          <w:i/>
          <w:iCs/>
        </w:rPr>
        <w:t xml:space="preserve">: </w:t>
      </w:r>
      <w:r w:rsidRPr="005B6047">
        <w:rPr>
          <w:i/>
          <w:iCs/>
        </w:rPr>
        <w:tab/>
      </w:r>
      <w:r w:rsidR="00551883">
        <w:rPr>
          <w:iCs/>
          <w:lang w:val="en-GB"/>
        </w:rPr>
        <w:t>Level of</w:t>
      </w:r>
      <w:r w:rsidR="005B6047" w:rsidRPr="005B6047">
        <w:rPr>
          <w:iCs/>
          <w:lang w:val="en-GB"/>
        </w:rPr>
        <w:t xml:space="preserve"> substantiation of claims</w:t>
      </w:r>
    </w:p>
    <w:p w14:paraId="4516AD29" w14:textId="77777777" w:rsidR="00994E66" w:rsidRPr="005B6047" w:rsidRDefault="00994E66" w:rsidP="00F40A73">
      <w:pPr>
        <w:pStyle w:val="SingleTxtG"/>
        <w:ind w:left="4536" w:hanging="3402"/>
        <w:jc w:val="left"/>
        <w:rPr>
          <w:lang w:val="en-GB"/>
        </w:rPr>
      </w:pPr>
      <w:r w:rsidRPr="005B6047">
        <w:rPr>
          <w:i/>
          <w:iCs/>
        </w:rPr>
        <w:t xml:space="preserve">Substantive issues: </w:t>
      </w:r>
      <w:r w:rsidRPr="005B6047">
        <w:rPr>
          <w:i/>
          <w:iCs/>
        </w:rPr>
        <w:tab/>
      </w:r>
      <w:r w:rsidR="00134F55" w:rsidRPr="00134F55">
        <w:rPr>
          <w:iCs/>
          <w:lang w:val="en-GB"/>
        </w:rPr>
        <w:t>Right to life</w:t>
      </w:r>
      <w:r>
        <w:rPr>
          <w:iCs/>
          <w:lang w:val="en-GB"/>
        </w:rPr>
        <w:t>;</w:t>
      </w:r>
      <w:r w:rsidRPr="00B410C3">
        <w:rPr>
          <w:iCs/>
          <w:lang w:val="en-GB"/>
        </w:rPr>
        <w:t xml:space="preserve"> risk of torture and ill-treatment</w:t>
      </w:r>
      <w:r>
        <w:rPr>
          <w:iCs/>
          <w:lang w:val="en-GB"/>
        </w:rPr>
        <w:t xml:space="preserve">; freedom of </w:t>
      </w:r>
      <w:r w:rsidR="00134F55">
        <w:rPr>
          <w:iCs/>
          <w:lang w:val="en-GB"/>
        </w:rPr>
        <w:t>religion</w:t>
      </w:r>
      <w:r>
        <w:rPr>
          <w:iCs/>
          <w:lang w:val="en-GB"/>
        </w:rPr>
        <w:t>.</w:t>
      </w:r>
    </w:p>
    <w:p w14:paraId="11FDD783" w14:textId="77777777" w:rsidR="005C11C1" w:rsidRPr="005C11C1" w:rsidRDefault="003134AC" w:rsidP="00F40A73">
      <w:pPr>
        <w:pStyle w:val="SingleTxtG"/>
        <w:ind w:left="4536" w:hanging="3402"/>
        <w:jc w:val="left"/>
        <w:rPr>
          <w:lang w:val="en-GB"/>
        </w:rPr>
      </w:pPr>
      <w:r w:rsidRPr="005C11C1">
        <w:rPr>
          <w:i/>
          <w:iCs/>
        </w:rPr>
        <w:t>Articles of the Covenant:</w:t>
      </w:r>
      <w:r w:rsidRPr="005C11C1">
        <w:tab/>
      </w:r>
      <w:r w:rsidR="00134F55">
        <w:rPr>
          <w:lang w:val="en-GB"/>
        </w:rPr>
        <w:t>6, 7 and 18</w:t>
      </w:r>
      <w:r w:rsidR="006E5A29" w:rsidRPr="005C11C1">
        <w:t xml:space="preserve"> </w:t>
      </w:r>
    </w:p>
    <w:p w14:paraId="5241795B" w14:textId="77777777" w:rsidR="003134AC" w:rsidRPr="00A777CF" w:rsidRDefault="003134AC" w:rsidP="00F40A73">
      <w:pPr>
        <w:pStyle w:val="SingleTxtG"/>
        <w:ind w:left="4536" w:hanging="3402"/>
        <w:jc w:val="left"/>
        <w:rPr>
          <w:lang w:val="en-GB"/>
        </w:rPr>
      </w:pPr>
      <w:r w:rsidRPr="009E31DB">
        <w:rPr>
          <w:i/>
          <w:iCs/>
        </w:rPr>
        <w:t>Art</w:t>
      </w:r>
      <w:r>
        <w:rPr>
          <w:i/>
          <w:iCs/>
        </w:rPr>
        <w:t>icle</w:t>
      </w:r>
      <w:r w:rsidR="00B13B64">
        <w:rPr>
          <w:i/>
          <w:iCs/>
          <w:lang w:val="en-US"/>
        </w:rPr>
        <w:t>s</w:t>
      </w:r>
      <w:r>
        <w:rPr>
          <w:i/>
          <w:iCs/>
        </w:rPr>
        <w:t xml:space="preserve"> of the Optional Protocol:</w:t>
      </w:r>
      <w:r w:rsidR="00735F4E" w:rsidRPr="00735F4E">
        <w:rPr>
          <w:i/>
          <w:iCs/>
          <w:lang w:val="en-GB"/>
        </w:rPr>
        <w:tab/>
      </w:r>
      <w:r w:rsidR="00A915B3">
        <w:rPr>
          <w:iCs/>
        </w:rPr>
        <w:t>2</w:t>
      </w:r>
    </w:p>
    <w:p w14:paraId="34D97DD0" w14:textId="77777777" w:rsidR="003134AC" w:rsidRPr="009E31DB" w:rsidRDefault="003134AC" w:rsidP="003134AC">
      <w:pPr>
        <w:pStyle w:val="HChG"/>
      </w:pPr>
      <w:r w:rsidRPr="009E31DB">
        <w:br w:type="page"/>
      </w:r>
      <w:r w:rsidRPr="009E31DB">
        <w:lastRenderedPageBreak/>
        <w:t>Annex</w:t>
      </w:r>
    </w:p>
    <w:p w14:paraId="16BC61AB" w14:textId="77777777" w:rsidR="003134AC" w:rsidRPr="009E31DB" w:rsidRDefault="003134AC" w:rsidP="003134AC">
      <w:pPr>
        <w:pStyle w:val="HChG"/>
        <w:rPr>
          <w:bCs/>
        </w:rPr>
      </w:pPr>
      <w:r w:rsidRPr="009E31DB">
        <w:tab/>
      </w:r>
      <w:r w:rsidRPr="009E31DB">
        <w:tab/>
      </w:r>
      <w:r w:rsidR="009D391B">
        <w:t>Decision</w:t>
      </w:r>
      <w:r w:rsidRPr="009E31DB">
        <w:t xml:space="preserve"> of the Human Rights Committee under the Optional Protocol to the International Covenant on Civil and Political </w:t>
      </w:r>
      <w:r w:rsidR="005F2AE1">
        <w:t>R</w:t>
      </w:r>
      <w:r w:rsidRPr="009E31DB">
        <w:t>ights (</w:t>
      </w:r>
      <w:r>
        <w:t>11</w:t>
      </w:r>
      <w:r w:rsidR="00EA1FB7">
        <w:t>5</w:t>
      </w:r>
      <w:r>
        <w:t xml:space="preserve">th </w:t>
      </w:r>
      <w:r w:rsidRPr="009E31DB">
        <w:rPr>
          <w:bCs/>
        </w:rPr>
        <w:t>session)</w:t>
      </w:r>
    </w:p>
    <w:p w14:paraId="53FB8D13" w14:textId="77777777" w:rsidR="003134AC" w:rsidRPr="009E31DB" w:rsidRDefault="003134AC" w:rsidP="003134AC">
      <w:pPr>
        <w:pStyle w:val="SingleTxtG"/>
        <w:rPr>
          <w:b/>
          <w:bCs/>
        </w:rPr>
      </w:pPr>
      <w:r w:rsidRPr="009E31DB">
        <w:t>concerning</w:t>
      </w:r>
    </w:p>
    <w:p w14:paraId="745FF554" w14:textId="77777777" w:rsidR="003134AC" w:rsidRPr="00F40A73" w:rsidRDefault="003134AC" w:rsidP="003134AC">
      <w:pPr>
        <w:pStyle w:val="H1G"/>
        <w:rPr>
          <w:b w:val="0"/>
          <w:bCs/>
        </w:rPr>
      </w:pPr>
      <w:r w:rsidRPr="009E31DB">
        <w:tab/>
      </w:r>
      <w:r w:rsidRPr="009E31DB">
        <w:tab/>
        <w:t xml:space="preserve">Communication No. </w:t>
      </w:r>
      <w:r w:rsidR="001844A0">
        <w:t>2</w:t>
      </w:r>
      <w:r w:rsidR="00EA1FB7">
        <w:t>351</w:t>
      </w:r>
      <w:r>
        <w:t>/20</w:t>
      </w:r>
      <w:r w:rsidR="001844A0">
        <w:t>1</w:t>
      </w:r>
      <w:r w:rsidR="008360B7">
        <w:t>4</w:t>
      </w:r>
      <w:r w:rsidR="002148EF" w:rsidRPr="00F40A73">
        <w:rPr>
          <w:rStyle w:val="FootnoteReference"/>
          <w:b w:val="0"/>
          <w:bCs/>
          <w:sz w:val="20"/>
          <w:vertAlign w:val="baseline"/>
        </w:rPr>
        <w:footnoteReference w:customMarkFollows="1" w:id="2"/>
        <w:t>*</w:t>
      </w:r>
    </w:p>
    <w:p w14:paraId="20539925" w14:textId="77777777" w:rsidR="00B47032" w:rsidRPr="00B47032" w:rsidRDefault="003134AC" w:rsidP="00F40A73">
      <w:pPr>
        <w:pStyle w:val="SingleTxtG"/>
        <w:ind w:left="4536" w:hanging="3402"/>
        <w:jc w:val="left"/>
      </w:pPr>
      <w:r w:rsidRPr="009707F5">
        <w:rPr>
          <w:i/>
        </w:rPr>
        <w:t>Submitted by:</w:t>
      </w:r>
      <w:r w:rsidRPr="009E31DB">
        <w:tab/>
      </w:r>
      <w:r w:rsidR="00B47032" w:rsidRPr="00B47032">
        <w:rPr>
          <w:lang w:val="en-GB"/>
        </w:rPr>
        <w:t>R.G. et al. (</w:t>
      </w:r>
      <w:r w:rsidR="00D311F9">
        <w:rPr>
          <w:lang w:val="en-GB"/>
        </w:rPr>
        <w:t>r</w:t>
      </w:r>
      <w:r w:rsidR="00B47032" w:rsidRPr="00B47032">
        <w:rPr>
          <w:lang w:val="en-GB"/>
        </w:rPr>
        <w:t>epresented by counsel, Helge</w:t>
      </w:r>
      <w:r w:rsidR="00792AAA">
        <w:rPr>
          <w:lang w:val="en-GB"/>
        </w:rPr>
        <w:t> </w:t>
      </w:r>
      <w:r w:rsidR="00B47032" w:rsidRPr="00B47032">
        <w:rPr>
          <w:lang w:val="en-GB"/>
        </w:rPr>
        <w:t>Nørrung)</w:t>
      </w:r>
    </w:p>
    <w:p w14:paraId="4226DD35" w14:textId="77777777" w:rsidR="003134AC" w:rsidRPr="00134F55" w:rsidRDefault="003134AC" w:rsidP="00F40A73">
      <w:pPr>
        <w:pStyle w:val="SingleTxtG"/>
        <w:ind w:left="4536" w:hanging="3402"/>
        <w:jc w:val="left"/>
        <w:rPr>
          <w:lang w:val="en-GB"/>
        </w:rPr>
      </w:pPr>
      <w:r w:rsidRPr="009707F5">
        <w:rPr>
          <w:i/>
        </w:rPr>
        <w:t>Alleged victim:</w:t>
      </w:r>
      <w:r w:rsidRPr="009E31DB">
        <w:tab/>
        <w:t>The author</w:t>
      </w:r>
      <w:r w:rsidR="00134F55">
        <w:rPr>
          <w:lang w:val="en-GB"/>
        </w:rPr>
        <w:t>s</w:t>
      </w:r>
    </w:p>
    <w:p w14:paraId="68012001" w14:textId="77777777" w:rsidR="003134AC" w:rsidRPr="001844A0" w:rsidRDefault="003134AC" w:rsidP="00F40A73">
      <w:pPr>
        <w:pStyle w:val="SingleTxtG"/>
        <w:ind w:left="4536" w:hanging="3402"/>
        <w:jc w:val="left"/>
        <w:rPr>
          <w:lang w:val="en-GB"/>
        </w:rPr>
      </w:pPr>
      <w:r w:rsidRPr="009707F5">
        <w:rPr>
          <w:i/>
        </w:rPr>
        <w:t>State party:</w:t>
      </w:r>
      <w:r w:rsidRPr="009E31DB">
        <w:tab/>
      </w:r>
      <w:r w:rsidR="00EF3514">
        <w:rPr>
          <w:lang w:val="en-GB"/>
        </w:rPr>
        <w:t>Denmark</w:t>
      </w:r>
    </w:p>
    <w:p w14:paraId="0E35B9D5" w14:textId="77777777" w:rsidR="003134AC" w:rsidRPr="009E31DB" w:rsidRDefault="003134AC" w:rsidP="00F40A73">
      <w:pPr>
        <w:pStyle w:val="SingleTxtG"/>
        <w:ind w:left="4536" w:hanging="3402"/>
        <w:jc w:val="left"/>
      </w:pPr>
      <w:r w:rsidRPr="009707F5">
        <w:rPr>
          <w:i/>
        </w:rPr>
        <w:t>Date of communication:</w:t>
      </w:r>
      <w:r w:rsidRPr="009E31DB">
        <w:tab/>
      </w:r>
      <w:r w:rsidR="00B47032" w:rsidRPr="00B47032">
        <w:rPr>
          <w:lang w:val="en-GB"/>
        </w:rPr>
        <w:t xml:space="preserve">4 March 2014 </w:t>
      </w:r>
      <w:r w:rsidRPr="00E76216">
        <w:t>(initial submission)</w:t>
      </w:r>
    </w:p>
    <w:p w14:paraId="3E26D055" w14:textId="77777777" w:rsidR="003134AC" w:rsidRPr="009E31DB" w:rsidRDefault="003134AC" w:rsidP="003134AC">
      <w:pPr>
        <w:pStyle w:val="SingleTxtG"/>
      </w:pPr>
      <w:r w:rsidRPr="009E31DB">
        <w:tab/>
      </w:r>
      <w:r w:rsidRPr="009707F5">
        <w:rPr>
          <w:i/>
        </w:rPr>
        <w:t>The Human Rights Committee</w:t>
      </w:r>
      <w:r w:rsidRPr="009E31DB">
        <w:t xml:space="preserve">, established under article 28 of the International Covenant on Civil and Political Rights, </w:t>
      </w:r>
    </w:p>
    <w:p w14:paraId="7213304E" w14:textId="77777777" w:rsidR="003134AC" w:rsidRPr="009E31DB" w:rsidRDefault="003134AC" w:rsidP="003134AC">
      <w:pPr>
        <w:pStyle w:val="SingleTxtG"/>
      </w:pPr>
      <w:r w:rsidRPr="009E31DB">
        <w:tab/>
      </w:r>
      <w:r w:rsidRPr="009707F5">
        <w:rPr>
          <w:i/>
        </w:rPr>
        <w:t xml:space="preserve">Meeting </w:t>
      </w:r>
      <w:r w:rsidRPr="00F40A73">
        <w:t>on</w:t>
      </w:r>
      <w:r w:rsidRPr="009E31DB">
        <w:t xml:space="preserve"> </w:t>
      </w:r>
      <w:r w:rsidR="002148EF">
        <w:rPr>
          <w:lang w:val="en-GB"/>
        </w:rPr>
        <w:t>2 November</w:t>
      </w:r>
      <w:r w:rsidR="00B47032">
        <w:rPr>
          <w:lang w:val="en-GB"/>
        </w:rPr>
        <w:t xml:space="preserve"> </w:t>
      </w:r>
      <w:r w:rsidRPr="009E31DB">
        <w:t>201</w:t>
      </w:r>
      <w:r w:rsidR="001844A0" w:rsidRPr="001844A0">
        <w:rPr>
          <w:lang w:val="en-GB"/>
        </w:rPr>
        <w:t>5</w:t>
      </w:r>
      <w:r w:rsidRPr="009E31DB">
        <w:t>,</w:t>
      </w:r>
    </w:p>
    <w:p w14:paraId="653121F6" w14:textId="77777777" w:rsidR="003134AC" w:rsidRPr="009E31DB" w:rsidRDefault="003134AC" w:rsidP="003134AC">
      <w:pPr>
        <w:pStyle w:val="SingleTxtG"/>
      </w:pPr>
      <w:r w:rsidRPr="009E31DB">
        <w:tab/>
      </w:r>
      <w:r w:rsidRPr="009707F5">
        <w:rPr>
          <w:i/>
        </w:rPr>
        <w:t>Having concluded</w:t>
      </w:r>
      <w:r w:rsidRPr="009E31DB">
        <w:t xml:space="preserve"> its consideration of communication No. </w:t>
      </w:r>
      <w:r w:rsidR="001844A0" w:rsidRPr="001844A0">
        <w:rPr>
          <w:lang w:val="en-GB"/>
        </w:rPr>
        <w:t>2</w:t>
      </w:r>
      <w:r w:rsidR="008360B7">
        <w:rPr>
          <w:lang w:val="en-GB"/>
        </w:rPr>
        <w:t>3</w:t>
      </w:r>
      <w:r w:rsidR="00B47032">
        <w:rPr>
          <w:lang w:val="en-GB"/>
        </w:rPr>
        <w:t>51</w:t>
      </w:r>
      <w:r>
        <w:t>/20</w:t>
      </w:r>
      <w:r w:rsidR="001844A0" w:rsidRPr="001844A0">
        <w:rPr>
          <w:lang w:val="en-GB"/>
        </w:rPr>
        <w:t>1</w:t>
      </w:r>
      <w:r w:rsidR="008360B7">
        <w:rPr>
          <w:lang w:val="en-GB"/>
        </w:rPr>
        <w:t>4</w:t>
      </w:r>
      <w:r w:rsidRPr="009E31DB">
        <w:t xml:space="preserve">, submitted to </w:t>
      </w:r>
      <w:r w:rsidR="00B13B64">
        <w:rPr>
          <w:lang w:val="en-US"/>
        </w:rPr>
        <w:t>it</w:t>
      </w:r>
      <w:r>
        <w:t xml:space="preserve"> </w:t>
      </w:r>
      <w:r w:rsidRPr="009E31DB">
        <w:t>under the Optional Protocol to the International Covenant on Civil and Political Rights,</w:t>
      </w:r>
    </w:p>
    <w:p w14:paraId="28F0BD80" w14:textId="77777777" w:rsidR="003134AC" w:rsidRPr="009E31DB" w:rsidRDefault="003134AC" w:rsidP="003134AC">
      <w:pPr>
        <w:pStyle w:val="SingleTxtG"/>
      </w:pPr>
      <w:r w:rsidRPr="009E31DB">
        <w:tab/>
      </w:r>
      <w:r w:rsidRPr="009707F5">
        <w:rPr>
          <w:i/>
        </w:rPr>
        <w:t>Having taken into account</w:t>
      </w:r>
      <w:r w:rsidRPr="009E31DB">
        <w:t xml:space="preserve"> all written information made available to it by the author</w:t>
      </w:r>
      <w:r w:rsidR="00134F55">
        <w:rPr>
          <w:lang w:val="en-GB"/>
        </w:rPr>
        <w:t>s</w:t>
      </w:r>
      <w:r w:rsidRPr="009E31DB">
        <w:t xml:space="preserve"> of the communication and the State party,</w:t>
      </w:r>
    </w:p>
    <w:p w14:paraId="36A296E4" w14:textId="77777777" w:rsidR="003134AC" w:rsidRPr="009E31DB" w:rsidRDefault="003134AC" w:rsidP="003134AC">
      <w:pPr>
        <w:pStyle w:val="SingleTxtG"/>
      </w:pPr>
      <w:r w:rsidRPr="009E31DB">
        <w:tab/>
      </w:r>
      <w:r w:rsidRPr="009707F5">
        <w:rPr>
          <w:i/>
        </w:rPr>
        <w:t xml:space="preserve">Adopts </w:t>
      </w:r>
      <w:r w:rsidRPr="00F40A73">
        <w:rPr>
          <w:iCs/>
        </w:rPr>
        <w:t>the following</w:t>
      </w:r>
      <w:r w:rsidRPr="009E31DB">
        <w:t>:</w:t>
      </w:r>
    </w:p>
    <w:p w14:paraId="168375EF" w14:textId="77777777" w:rsidR="003134AC" w:rsidRPr="00B73070" w:rsidRDefault="003134AC" w:rsidP="003134AC">
      <w:pPr>
        <w:pStyle w:val="H1G"/>
        <w:rPr>
          <w:highlight w:val="yellow"/>
        </w:rPr>
      </w:pPr>
      <w:r w:rsidRPr="009E31DB">
        <w:tab/>
      </w:r>
      <w:r w:rsidRPr="009E31DB">
        <w:tab/>
      </w:r>
      <w:r w:rsidR="009D391B">
        <w:t>Decision</w:t>
      </w:r>
      <w:r w:rsidRPr="00BC7809">
        <w:t xml:space="preserve"> </w:t>
      </w:r>
      <w:r w:rsidR="00E00B8F">
        <w:t>on admissibility</w:t>
      </w:r>
    </w:p>
    <w:p w14:paraId="4C5001C7" w14:textId="77777777" w:rsidR="00BC7F82" w:rsidRPr="00B0020F" w:rsidDel="001B405B" w:rsidRDefault="00F571D9" w:rsidP="00BC7F82">
      <w:pPr>
        <w:pStyle w:val="SingleTxtG"/>
        <w:rPr>
          <w:lang w:val="en-GB"/>
        </w:rPr>
      </w:pPr>
      <w:r w:rsidRPr="00F571D9">
        <w:rPr>
          <w:lang w:val="en-GB"/>
        </w:rPr>
        <w:t>1.1</w:t>
      </w:r>
      <w:r w:rsidRPr="00F571D9">
        <w:rPr>
          <w:lang w:val="en-GB"/>
        </w:rPr>
        <w:tab/>
        <w:t>The author</w:t>
      </w:r>
      <w:r w:rsidR="00BC2814">
        <w:rPr>
          <w:lang w:val="en-GB"/>
        </w:rPr>
        <w:t>s</w:t>
      </w:r>
      <w:r w:rsidRPr="00F571D9">
        <w:rPr>
          <w:lang w:val="en-GB"/>
        </w:rPr>
        <w:t xml:space="preserve"> of the communication </w:t>
      </w:r>
      <w:r w:rsidR="00B1697F">
        <w:rPr>
          <w:lang w:val="en-GB"/>
        </w:rPr>
        <w:t>are R.</w:t>
      </w:r>
      <w:r w:rsidR="00BC2814">
        <w:rPr>
          <w:lang w:val="en-GB"/>
        </w:rPr>
        <w:t>G.</w:t>
      </w:r>
      <w:r w:rsidR="00FC6EA3">
        <w:rPr>
          <w:lang w:val="en-GB"/>
        </w:rPr>
        <w:t xml:space="preserve"> and</w:t>
      </w:r>
      <w:r w:rsidR="00BC2814">
        <w:rPr>
          <w:lang w:val="en-GB"/>
        </w:rPr>
        <w:t xml:space="preserve"> her adult son</w:t>
      </w:r>
      <w:r w:rsidR="00B13B64">
        <w:rPr>
          <w:lang w:val="en-GB"/>
        </w:rPr>
        <w:t>,</w:t>
      </w:r>
      <w:r w:rsidR="00BC2814">
        <w:rPr>
          <w:lang w:val="en-GB"/>
        </w:rPr>
        <w:t xml:space="preserve"> I</w:t>
      </w:r>
      <w:r w:rsidR="00B1697F">
        <w:rPr>
          <w:lang w:val="en-GB"/>
        </w:rPr>
        <w:t>.G.</w:t>
      </w:r>
      <w:r w:rsidR="00BC2814">
        <w:rPr>
          <w:lang w:val="en-GB"/>
        </w:rPr>
        <w:t xml:space="preserve">, </w:t>
      </w:r>
      <w:r w:rsidR="00CC2C27" w:rsidRPr="00CC2C27">
        <w:rPr>
          <w:lang w:val="en-GB"/>
        </w:rPr>
        <w:t>born in 1966 and 1994</w:t>
      </w:r>
      <w:r w:rsidR="00B13B64">
        <w:rPr>
          <w:lang w:val="en-GB"/>
        </w:rPr>
        <w:t>,</w:t>
      </w:r>
      <w:r w:rsidR="00CC2C27" w:rsidRPr="00CC2C27">
        <w:rPr>
          <w:lang w:val="en-GB"/>
        </w:rPr>
        <w:t xml:space="preserve"> respectively</w:t>
      </w:r>
      <w:r w:rsidR="00FC6EA3">
        <w:rPr>
          <w:lang w:val="en-GB"/>
        </w:rPr>
        <w:t xml:space="preserve">. They submit the complaint on their </w:t>
      </w:r>
      <w:r w:rsidR="00B13B64">
        <w:rPr>
          <w:lang w:val="en-GB"/>
        </w:rPr>
        <w:t xml:space="preserve">own </w:t>
      </w:r>
      <w:r w:rsidR="00FC6EA3">
        <w:rPr>
          <w:lang w:val="en-GB"/>
        </w:rPr>
        <w:t>behalf and on behalf of R.G.’s</w:t>
      </w:r>
      <w:r w:rsidR="003069CB">
        <w:rPr>
          <w:lang w:val="en-GB"/>
        </w:rPr>
        <w:t xml:space="preserve"> </w:t>
      </w:r>
      <w:r w:rsidR="00BC2814" w:rsidRPr="00CC2C27">
        <w:rPr>
          <w:lang w:val="en-GB"/>
        </w:rPr>
        <w:t>two minor daughters</w:t>
      </w:r>
      <w:r w:rsidR="00CC2C27" w:rsidRPr="00CC2C27">
        <w:rPr>
          <w:lang w:val="en-GB"/>
        </w:rPr>
        <w:t>.</w:t>
      </w:r>
      <w:r w:rsidR="00CC2C27">
        <w:rPr>
          <w:lang w:val="en-GB"/>
        </w:rPr>
        <w:t xml:space="preserve"> The authors are </w:t>
      </w:r>
      <w:r w:rsidR="00BC2814">
        <w:rPr>
          <w:lang w:val="en-GB"/>
        </w:rPr>
        <w:t>nationals</w:t>
      </w:r>
      <w:r w:rsidR="00B13B64">
        <w:rPr>
          <w:lang w:val="en-GB"/>
        </w:rPr>
        <w:t xml:space="preserve"> of Pakistan</w:t>
      </w:r>
      <w:r w:rsidR="00BC2814">
        <w:rPr>
          <w:lang w:val="en-GB"/>
        </w:rPr>
        <w:t xml:space="preserve">, members of the Christian minority. </w:t>
      </w:r>
      <w:r w:rsidR="00BC63B5" w:rsidRPr="00BC63B5">
        <w:rPr>
          <w:lang w:val="en-GB"/>
        </w:rPr>
        <w:t>The authors claim that if Denmark proceeds with their deportation</w:t>
      </w:r>
      <w:r w:rsidR="00BC63B5">
        <w:rPr>
          <w:lang w:val="en-GB"/>
        </w:rPr>
        <w:t xml:space="preserve"> to Pakistan</w:t>
      </w:r>
      <w:r w:rsidR="00BC63B5" w:rsidRPr="00BC63B5">
        <w:rPr>
          <w:lang w:val="en-GB"/>
        </w:rPr>
        <w:t xml:space="preserve">, </w:t>
      </w:r>
      <w:r w:rsidR="00B13B64">
        <w:rPr>
          <w:lang w:val="en-GB"/>
        </w:rPr>
        <w:t>it</w:t>
      </w:r>
      <w:r w:rsidR="00B13B64" w:rsidRPr="00BC63B5">
        <w:rPr>
          <w:lang w:val="en-GB"/>
        </w:rPr>
        <w:t xml:space="preserve"> </w:t>
      </w:r>
      <w:r w:rsidR="00BC63B5" w:rsidRPr="00BC63B5">
        <w:rPr>
          <w:lang w:val="en-GB"/>
        </w:rPr>
        <w:t xml:space="preserve">would amount to a violation of their rights under articles 6, 7 and 18 of the Covenant, as they fear </w:t>
      </w:r>
      <w:r w:rsidR="00B13B64">
        <w:rPr>
          <w:lang w:val="en-GB"/>
        </w:rPr>
        <w:t>being</w:t>
      </w:r>
      <w:r w:rsidR="00BC63B5" w:rsidRPr="00BC63B5">
        <w:rPr>
          <w:lang w:val="en-GB"/>
        </w:rPr>
        <w:t xml:space="preserve"> exposed to threats to their lives</w:t>
      </w:r>
      <w:r w:rsidR="00B27106">
        <w:rPr>
          <w:lang w:val="en-GB"/>
        </w:rPr>
        <w:t xml:space="preserve">. </w:t>
      </w:r>
      <w:r w:rsidR="00B27106" w:rsidRPr="00D94D25">
        <w:rPr>
          <w:lang w:val="en-GB"/>
        </w:rPr>
        <w:t>The aut</w:t>
      </w:r>
      <w:r w:rsidR="00B27106">
        <w:rPr>
          <w:lang w:val="en-GB"/>
        </w:rPr>
        <w:t xml:space="preserve">hors are represented by counsel. </w:t>
      </w:r>
      <w:r w:rsidR="00B27106" w:rsidRPr="00BC2814">
        <w:rPr>
          <w:lang w:val="en-GB"/>
        </w:rPr>
        <w:t>The Optional Protocol entered into for</w:t>
      </w:r>
      <w:r w:rsidR="00B27106">
        <w:rPr>
          <w:lang w:val="en-GB"/>
        </w:rPr>
        <w:t>ce for Denmark on 23 March 1976</w:t>
      </w:r>
      <w:r w:rsidR="00BC7F82">
        <w:rPr>
          <w:lang w:val="en-GB"/>
        </w:rPr>
        <w:t>.</w:t>
      </w:r>
    </w:p>
    <w:p w14:paraId="346112B9" w14:textId="77777777" w:rsidR="0084521F" w:rsidRPr="00815623" w:rsidRDefault="00F571D9" w:rsidP="00065182">
      <w:pPr>
        <w:pStyle w:val="SingleTxtG"/>
        <w:rPr>
          <w:lang w:val="en-GB"/>
        </w:rPr>
      </w:pPr>
      <w:r w:rsidRPr="00353633">
        <w:t>1.</w:t>
      </w:r>
      <w:r w:rsidR="00B0020F">
        <w:rPr>
          <w:lang w:val="en-GB"/>
        </w:rPr>
        <w:t>2</w:t>
      </w:r>
      <w:r w:rsidRPr="00C45829">
        <w:tab/>
      </w:r>
      <w:r w:rsidR="001B405B" w:rsidRPr="00815623">
        <w:rPr>
          <w:lang w:val="en-GB"/>
        </w:rPr>
        <w:t>The communication was register</w:t>
      </w:r>
      <w:r w:rsidR="00815623" w:rsidRPr="00815623">
        <w:rPr>
          <w:lang w:val="en-GB"/>
        </w:rPr>
        <w:t>e</w:t>
      </w:r>
      <w:r w:rsidR="001B405B" w:rsidRPr="00815623">
        <w:rPr>
          <w:lang w:val="en-GB"/>
        </w:rPr>
        <w:t xml:space="preserve">d on </w:t>
      </w:r>
      <w:r w:rsidR="005C1678" w:rsidRPr="00815623">
        <w:rPr>
          <w:lang w:val="en-GB"/>
        </w:rPr>
        <w:t xml:space="preserve">5 March </w:t>
      </w:r>
      <w:r w:rsidRPr="00815623">
        <w:rPr>
          <w:lang w:val="en-GB"/>
        </w:rPr>
        <w:t>2014</w:t>
      </w:r>
      <w:r w:rsidR="001B405B" w:rsidRPr="00815623">
        <w:rPr>
          <w:lang w:val="en-GB"/>
        </w:rPr>
        <w:t>.</w:t>
      </w:r>
      <w:r w:rsidR="00BC7809" w:rsidRPr="00815623">
        <w:rPr>
          <w:lang w:val="en-GB"/>
        </w:rPr>
        <w:t xml:space="preserve"> </w:t>
      </w:r>
      <w:r w:rsidR="001B405B" w:rsidRPr="00815623">
        <w:rPr>
          <w:lang w:val="en-GB"/>
        </w:rPr>
        <w:t xml:space="preserve">Pursuant </w:t>
      </w:r>
      <w:r w:rsidR="00815623" w:rsidRPr="00815623">
        <w:rPr>
          <w:lang w:val="en-GB"/>
        </w:rPr>
        <w:t xml:space="preserve">to </w:t>
      </w:r>
      <w:r w:rsidR="00BC7809" w:rsidRPr="00815623">
        <w:rPr>
          <w:lang w:val="en-GB"/>
        </w:rPr>
        <w:t xml:space="preserve">rule 92 of its rules of procedure, the Committee, acting through its Special Rapporteur on </w:t>
      </w:r>
      <w:r w:rsidR="0034683D">
        <w:rPr>
          <w:lang w:val="en-GB"/>
        </w:rPr>
        <w:t>n</w:t>
      </w:r>
      <w:r w:rsidR="00BC7809" w:rsidRPr="00815623">
        <w:rPr>
          <w:lang w:val="en-GB"/>
        </w:rPr>
        <w:t xml:space="preserve">ew </w:t>
      </w:r>
      <w:r w:rsidR="0034683D">
        <w:rPr>
          <w:lang w:val="en-GB"/>
        </w:rPr>
        <w:t>c</w:t>
      </w:r>
      <w:r w:rsidR="00BC7809" w:rsidRPr="00815623">
        <w:rPr>
          <w:lang w:val="en-GB"/>
        </w:rPr>
        <w:t xml:space="preserve">ommunications and </w:t>
      </w:r>
      <w:r w:rsidR="00B13B64">
        <w:rPr>
          <w:lang w:val="en-GB"/>
        </w:rPr>
        <w:t>i</w:t>
      </w:r>
      <w:r w:rsidR="00BC7809" w:rsidRPr="00815623">
        <w:rPr>
          <w:lang w:val="en-GB"/>
        </w:rPr>
        <w:t xml:space="preserve">nterim </w:t>
      </w:r>
      <w:r w:rsidR="00B13B64">
        <w:rPr>
          <w:lang w:val="en-GB"/>
        </w:rPr>
        <w:t>m</w:t>
      </w:r>
      <w:r w:rsidR="00BC7809" w:rsidRPr="00815623">
        <w:rPr>
          <w:lang w:val="en-GB"/>
        </w:rPr>
        <w:t>easures, requested the State party to refrain from deporting the author</w:t>
      </w:r>
      <w:r w:rsidR="00BE17FC" w:rsidRPr="00815623">
        <w:rPr>
          <w:lang w:val="en-GB"/>
        </w:rPr>
        <w:t>s to Pakistan</w:t>
      </w:r>
      <w:r w:rsidR="00BE17FC" w:rsidRPr="00815623">
        <w:rPr>
          <w:rStyle w:val="CommentReference"/>
          <w:lang w:val="en-GB"/>
        </w:rPr>
        <w:t xml:space="preserve"> </w:t>
      </w:r>
      <w:r w:rsidR="00006F7C" w:rsidRPr="00815623">
        <w:rPr>
          <w:lang w:val="en-GB"/>
        </w:rPr>
        <w:t xml:space="preserve">while their </w:t>
      </w:r>
      <w:r w:rsidR="00BC7809" w:rsidRPr="00815623">
        <w:rPr>
          <w:lang w:val="en-GB"/>
        </w:rPr>
        <w:t xml:space="preserve">case is under </w:t>
      </w:r>
      <w:r w:rsidR="00B410C3" w:rsidRPr="00815623">
        <w:rPr>
          <w:lang w:val="en-GB"/>
        </w:rPr>
        <w:t>consideration by the Committee.</w:t>
      </w:r>
      <w:r w:rsidR="003069CB" w:rsidRPr="00815623">
        <w:rPr>
          <w:lang w:val="en-GB"/>
        </w:rPr>
        <w:t xml:space="preserve"> </w:t>
      </w:r>
      <w:r w:rsidR="00D33C15" w:rsidRPr="00D33C15">
        <w:rPr>
          <w:lang w:val="en-GB"/>
        </w:rPr>
        <w:t xml:space="preserve">On 10 March 2014, the Danish Refugee Appeals Board suspended the time limit for the authors’ </w:t>
      </w:r>
      <w:r w:rsidR="00D33C15" w:rsidRPr="00D33C15">
        <w:rPr>
          <w:lang w:val="en-GB"/>
        </w:rPr>
        <w:lastRenderedPageBreak/>
        <w:t>departure until further notice</w:t>
      </w:r>
      <w:r w:rsidR="00B13B64">
        <w:rPr>
          <w:lang w:val="en-GB"/>
        </w:rPr>
        <w:t>,</w:t>
      </w:r>
      <w:r w:rsidR="00D33C15" w:rsidRPr="00D33C15">
        <w:rPr>
          <w:lang w:val="en-GB"/>
        </w:rPr>
        <w:t xml:space="preserve"> in accordance with the Committee’s request. </w:t>
      </w:r>
      <w:r w:rsidR="005C1678" w:rsidRPr="00815623">
        <w:rPr>
          <w:lang w:val="en-GB"/>
        </w:rPr>
        <w:t xml:space="preserve">On 5 September 2014, the State party requested the Committee </w:t>
      </w:r>
      <w:r w:rsidR="001B405B" w:rsidRPr="00815623">
        <w:rPr>
          <w:lang w:val="en-GB"/>
        </w:rPr>
        <w:t xml:space="preserve">to </w:t>
      </w:r>
      <w:r w:rsidR="005C1678" w:rsidRPr="00815623">
        <w:rPr>
          <w:lang w:val="en-GB"/>
        </w:rPr>
        <w:t xml:space="preserve">lift the interim measures with respect to the authors, arguing that </w:t>
      </w:r>
      <w:r w:rsidR="001B405B" w:rsidRPr="00815623">
        <w:rPr>
          <w:lang w:val="en-GB"/>
        </w:rPr>
        <w:t>they had</w:t>
      </w:r>
      <w:r w:rsidR="005C1678" w:rsidRPr="00815623">
        <w:rPr>
          <w:lang w:val="en-GB"/>
        </w:rPr>
        <w:t xml:space="preserve"> failed to establish a </w:t>
      </w:r>
      <w:r w:rsidR="005C1678" w:rsidRPr="00F40A73">
        <w:rPr>
          <w:lang w:val="en-GB"/>
        </w:rPr>
        <w:t>prima facie</w:t>
      </w:r>
      <w:r w:rsidR="005C1678" w:rsidRPr="00815623">
        <w:rPr>
          <w:lang w:val="en-GB"/>
        </w:rPr>
        <w:t xml:space="preserve"> case for the purpose of admissibility and that the communication </w:t>
      </w:r>
      <w:r w:rsidR="001B405B" w:rsidRPr="00815623">
        <w:rPr>
          <w:lang w:val="en-GB"/>
        </w:rPr>
        <w:t xml:space="preserve">was </w:t>
      </w:r>
      <w:r w:rsidR="005C1678" w:rsidRPr="00815623">
        <w:rPr>
          <w:lang w:val="en-GB"/>
        </w:rPr>
        <w:t xml:space="preserve">not sufficiently substantiated. </w:t>
      </w:r>
      <w:r w:rsidR="00A81971" w:rsidRPr="00815623">
        <w:rPr>
          <w:lang w:val="en-GB"/>
        </w:rPr>
        <w:t xml:space="preserve">On </w:t>
      </w:r>
      <w:r w:rsidR="00C1156E" w:rsidRPr="00815623">
        <w:rPr>
          <w:lang w:val="en-GB"/>
        </w:rPr>
        <w:t xml:space="preserve">24 November 2014, </w:t>
      </w:r>
      <w:r w:rsidR="00A81971" w:rsidRPr="00815623">
        <w:rPr>
          <w:lang w:val="en-GB"/>
        </w:rPr>
        <w:t xml:space="preserve">the Committee denied the State party’s request to lift </w:t>
      </w:r>
      <w:r w:rsidR="001B405B" w:rsidRPr="00815623">
        <w:rPr>
          <w:lang w:val="en-GB"/>
        </w:rPr>
        <w:t>the</w:t>
      </w:r>
      <w:r w:rsidR="00815623">
        <w:rPr>
          <w:lang w:val="en-GB"/>
        </w:rPr>
        <w:t xml:space="preserve"> </w:t>
      </w:r>
      <w:r w:rsidR="00A81971" w:rsidRPr="00815623">
        <w:rPr>
          <w:lang w:val="en-GB"/>
        </w:rPr>
        <w:t>interim measures</w:t>
      </w:r>
      <w:r w:rsidR="006339C1" w:rsidRPr="00815623">
        <w:rPr>
          <w:lang w:val="en-GB"/>
        </w:rPr>
        <w:t>.</w:t>
      </w:r>
      <w:r w:rsidR="006339C1" w:rsidRPr="00815623">
        <w:rPr>
          <w:rStyle w:val="FootnoteReference"/>
          <w:lang w:val="en-GB"/>
        </w:rPr>
        <w:footnoteReference w:id="3"/>
      </w:r>
      <w:r w:rsidR="006339C1" w:rsidRPr="00815623">
        <w:rPr>
          <w:lang w:val="en-GB"/>
        </w:rPr>
        <w:t xml:space="preserve"> </w:t>
      </w:r>
      <w:r w:rsidR="003C3543" w:rsidRPr="00815623">
        <w:rPr>
          <w:lang w:val="en-GB"/>
        </w:rPr>
        <w:t>The author</w:t>
      </w:r>
      <w:r w:rsidR="005C1678" w:rsidRPr="00815623">
        <w:rPr>
          <w:lang w:val="en-GB"/>
        </w:rPr>
        <w:t>s</w:t>
      </w:r>
      <w:r w:rsidR="003C3543" w:rsidRPr="00815623">
        <w:rPr>
          <w:lang w:val="en-GB"/>
        </w:rPr>
        <w:t xml:space="preserve"> currently </w:t>
      </w:r>
      <w:r w:rsidR="0084521F" w:rsidRPr="00815623">
        <w:rPr>
          <w:lang w:val="en-GB"/>
        </w:rPr>
        <w:t>re</w:t>
      </w:r>
      <w:r w:rsidR="005C1678" w:rsidRPr="00815623">
        <w:rPr>
          <w:lang w:val="en-GB"/>
        </w:rPr>
        <w:t xml:space="preserve">side </w:t>
      </w:r>
      <w:r w:rsidR="003C3543" w:rsidRPr="00815623">
        <w:rPr>
          <w:lang w:val="en-GB"/>
        </w:rPr>
        <w:t>in Denmark.</w:t>
      </w:r>
    </w:p>
    <w:p w14:paraId="0B181E79" w14:textId="77777777" w:rsidR="003134AC" w:rsidRPr="006239C9" w:rsidRDefault="0084521F" w:rsidP="005C1678">
      <w:pPr>
        <w:pStyle w:val="H23G"/>
        <w:jc w:val="both"/>
      </w:pPr>
      <w:r>
        <w:tab/>
      </w:r>
      <w:r w:rsidR="004556B9">
        <w:tab/>
      </w:r>
      <w:r w:rsidR="00883BBF" w:rsidRPr="00CF76D6">
        <w:t>The f</w:t>
      </w:r>
      <w:r w:rsidR="00E17C73" w:rsidRPr="00CF76D6">
        <w:t xml:space="preserve">acts as </w:t>
      </w:r>
      <w:r w:rsidR="00994D1B">
        <w:t>submitted</w:t>
      </w:r>
      <w:r w:rsidR="00994D1B" w:rsidRPr="00CF76D6">
        <w:t xml:space="preserve"> </w:t>
      </w:r>
      <w:r w:rsidR="00E17C73" w:rsidRPr="00CF76D6">
        <w:t>by the author</w:t>
      </w:r>
    </w:p>
    <w:p w14:paraId="3755C493" w14:textId="77777777" w:rsidR="009E769D" w:rsidRDefault="003134AC" w:rsidP="00F22A52">
      <w:pPr>
        <w:pStyle w:val="SingleTxtG"/>
        <w:rPr>
          <w:lang w:val="en-GB"/>
        </w:rPr>
      </w:pPr>
      <w:r w:rsidRPr="000A44BA">
        <w:t>2.1</w:t>
      </w:r>
      <w:r w:rsidR="00B73070">
        <w:rPr>
          <w:lang w:val="en-GB"/>
        </w:rPr>
        <w:tab/>
      </w:r>
      <w:r w:rsidR="009E769D" w:rsidRPr="009E769D">
        <w:rPr>
          <w:lang w:val="en-GB"/>
        </w:rPr>
        <w:t xml:space="preserve">The authors claim </w:t>
      </w:r>
      <w:r w:rsidR="001B405B">
        <w:rPr>
          <w:lang w:val="en-GB"/>
        </w:rPr>
        <w:t>that they</w:t>
      </w:r>
      <w:r w:rsidR="001B405B" w:rsidRPr="009E769D">
        <w:rPr>
          <w:lang w:val="en-GB"/>
        </w:rPr>
        <w:t xml:space="preserve"> </w:t>
      </w:r>
      <w:r w:rsidR="0034683D">
        <w:rPr>
          <w:lang w:val="en-GB"/>
        </w:rPr>
        <w:t>were</w:t>
      </w:r>
      <w:r w:rsidR="009E769D" w:rsidRPr="009E769D">
        <w:rPr>
          <w:lang w:val="en-GB"/>
        </w:rPr>
        <w:t xml:space="preserve"> subject</w:t>
      </w:r>
      <w:r w:rsidR="001B405B">
        <w:rPr>
          <w:lang w:val="en-GB"/>
        </w:rPr>
        <w:t>ed</w:t>
      </w:r>
      <w:r w:rsidR="009E769D" w:rsidRPr="009E769D">
        <w:rPr>
          <w:lang w:val="en-GB"/>
        </w:rPr>
        <w:t xml:space="preserve"> </w:t>
      </w:r>
      <w:r w:rsidR="001B405B">
        <w:rPr>
          <w:lang w:val="en-GB"/>
        </w:rPr>
        <w:t>to</w:t>
      </w:r>
      <w:r w:rsidR="001B405B" w:rsidRPr="009E769D">
        <w:rPr>
          <w:lang w:val="en-GB"/>
        </w:rPr>
        <w:t xml:space="preserve"> </w:t>
      </w:r>
      <w:r w:rsidR="009E769D" w:rsidRPr="009E769D">
        <w:rPr>
          <w:lang w:val="en-GB"/>
        </w:rPr>
        <w:t xml:space="preserve">harassment in Pakistan </w:t>
      </w:r>
      <w:r w:rsidR="0034683D">
        <w:rPr>
          <w:lang w:val="en-GB"/>
        </w:rPr>
        <w:t>because of</w:t>
      </w:r>
      <w:r w:rsidR="009E769D" w:rsidRPr="009E769D">
        <w:rPr>
          <w:lang w:val="en-GB"/>
        </w:rPr>
        <w:t xml:space="preserve"> their Christian background. They claim that on 25 May 2012, I</w:t>
      </w:r>
      <w:r w:rsidR="00B1697F">
        <w:rPr>
          <w:lang w:val="en-GB"/>
        </w:rPr>
        <w:t>.G.</w:t>
      </w:r>
      <w:r w:rsidR="00B13B64">
        <w:rPr>
          <w:lang w:val="en-GB"/>
        </w:rPr>
        <w:t xml:space="preserve"> </w:t>
      </w:r>
      <w:r w:rsidR="009E769D" w:rsidRPr="009E769D">
        <w:rPr>
          <w:lang w:val="en-GB"/>
        </w:rPr>
        <w:t xml:space="preserve">was </w:t>
      </w:r>
      <w:r w:rsidR="00961FAD" w:rsidRPr="009E769D">
        <w:rPr>
          <w:lang w:val="en-GB"/>
        </w:rPr>
        <w:t>accused of preaching Christianity</w:t>
      </w:r>
      <w:r w:rsidR="00961FAD">
        <w:rPr>
          <w:lang w:val="en-GB"/>
        </w:rPr>
        <w:t xml:space="preserve"> to Muslims and </w:t>
      </w:r>
      <w:r w:rsidR="005C4CEC">
        <w:rPr>
          <w:lang w:val="en-GB"/>
        </w:rPr>
        <w:t xml:space="preserve">beaten by </w:t>
      </w:r>
      <w:r w:rsidR="005C4CEC" w:rsidRPr="005C4CEC">
        <w:rPr>
          <w:lang w:val="en-GB"/>
        </w:rPr>
        <w:t xml:space="preserve">older </w:t>
      </w:r>
      <w:r w:rsidR="005C4CEC">
        <w:rPr>
          <w:lang w:val="en-GB"/>
        </w:rPr>
        <w:t xml:space="preserve">Muslim schoolmates </w:t>
      </w:r>
      <w:r w:rsidR="009E769D" w:rsidRPr="009E769D">
        <w:rPr>
          <w:lang w:val="en-GB"/>
        </w:rPr>
        <w:t xml:space="preserve">while </w:t>
      </w:r>
      <w:r w:rsidR="00D90518">
        <w:rPr>
          <w:lang w:val="en-GB"/>
        </w:rPr>
        <w:t xml:space="preserve">in </w:t>
      </w:r>
      <w:r w:rsidR="009E769D" w:rsidRPr="009E769D">
        <w:rPr>
          <w:lang w:val="en-GB"/>
        </w:rPr>
        <w:t>school. The</w:t>
      </w:r>
      <w:r w:rsidR="008C406F">
        <w:rPr>
          <w:lang w:val="en-GB"/>
        </w:rPr>
        <w:t xml:space="preserve"> following Sunday, </w:t>
      </w:r>
      <w:r w:rsidR="009E769D" w:rsidRPr="009E769D">
        <w:rPr>
          <w:lang w:val="en-GB"/>
        </w:rPr>
        <w:t>27 May</w:t>
      </w:r>
      <w:r w:rsidR="008C406F">
        <w:rPr>
          <w:lang w:val="en-GB"/>
        </w:rPr>
        <w:t xml:space="preserve"> 2012, </w:t>
      </w:r>
      <w:r w:rsidR="009E769D" w:rsidRPr="009E769D">
        <w:rPr>
          <w:lang w:val="en-GB"/>
        </w:rPr>
        <w:t>the whole family was attacked by four young men</w:t>
      </w:r>
      <w:r w:rsidR="00B13B64">
        <w:rPr>
          <w:lang w:val="en-GB"/>
        </w:rPr>
        <w:t>,</w:t>
      </w:r>
      <w:r w:rsidR="00FB4507">
        <w:rPr>
          <w:lang w:val="en-GB"/>
        </w:rPr>
        <w:t xml:space="preserve"> </w:t>
      </w:r>
      <w:r w:rsidR="00EC6C29" w:rsidRPr="00EC6C29">
        <w:rPr>
          <w:lang w:val="en-GB"/>
        </w:rPr>
        <w:t xml:space="preserve">two of </w:t>
      </w:r>
      <w:r w:rsidR="00432C41">
        <w:rPr>
          <w:lang w:val="en-GB"/>
        </w:rPr>
        <w:t xml:space="preserve">whom were </w:t>
      </w:r>
      <w:r w:rsidR="00961FAD">
        <w:rPr>
          <w:lang w:val="en-GB"/>
        </w:rPr>
        <w:t xml:space="preserve">among the </w:t>
      </w:r>
      <w:r w:rsidR="00EC6C29" w:rsidRPr="00EC6C29">
        <w:rPr>
          <w:lang w:val="en-GB"/>
        </w:rPr>
        <w:t xml:space="preserve">older </w:t>
      </w:r>
      <w:r w:rsidR="00432C41">
        <w:rPr>
          <w:lang w:val="en-GB"/>
        </w:rPr>
        <w:t>schoolmates of</w:t>
      </w:r>
      <w:r w:rsidR="00362BEC">
        <w:rPr>
          <w:lang w:val="en-GB"/>
        </w:rPr>
        <w:t xml:space="preserve"> </w:t>
      </w:r>
      <w:r w:rsidR="00432C41">
        <w:rPr>
          <w:lang w:val="en-GB"/>
        </w:rPr>
        <w:t xml:space="preserve">I.G. who </w:t>
      </w:r>
      <w:r w:rsidR="0034683D">
        <w:rPr>
          <w:lang w:val="en-GB"/>
        </w:rPr>
        <w:t xml:space="preserve">had </w:t>
      </w:r>
      <w:r w:rsidR="00432C41">
        <w:rPr>
          <w:lang w:val="en-GB"/>
        </w:rPr>
        <w:t>attacked him at school</w:t>
      </w:r>
      <w:r w:rsidR="0030374C">
        <w:rPr>
          <w:lang w:val="en-GB" w:bidi="he-IL"/>
        </w:rPr>
        <w:t>,</w:t>
      </w:r>
      <w:r w:rsidR="00432C41">
        <w:rPr>
          <w:lang w:val="en-GB"/>
        </w:rPr>
        <w:t xml:space="preserve"> </w:t>
      </w:r>
      <w:r w:rsidR="00EC6C29" w:rsidRPr="00EC6C29">
        <w:rPr>
          <w:lang w:val="en-GB"/>
        </w:rPr>
        <w:t xml:space="preserve">and two other, slightly older men, </w:t>
      </w:r>
      <w:r w:rsidR="0030374C">
        <w:rPr>
          <w:lang w:val="en-GB" w:bidi="he-IL"/>
        </w:rPr>
        <w:t xml:space="preserve">who attacked </w:t>
      </w:r>
      <w:r w:rsidR="009E769D" w:rsidRPr="009E769D">
        <w:rPr>
          <w:lang w:val="en-GB"/>
        </w:rPr>
        <w:t xml:space="preserve">the family </w:t>
      </w:r>
      <w:r w:rsidR="00B13B64">
        <w:rPr>
          <w:lang w:val="en-GB"/>
        </w:rPr>
        <w:t>as they were</w:t>
      </w:r>
      <w:r w:rsidR="00B13B64" w:rsidRPr="009E769D">
        <w:rPr>
          <w:lang w:val="en-GB"/>
        </w:rPr>
        <w:t xml:space="preserve"> </w:t>
      </w:r>
      <w:r w:rsidR="009E769D" w:rsidRPr="009E769D">
        <w:rPr>
          <w:lang w:val="en-GB"/>
        </w:rPr>
        <w:t xml:space="preserve">on </w:t>
      </w:r>
      <w:r w:rsidR="00B13B64">
        <w:rPr>
          <w:lang w:val="en-GB"/>
        </w:rPr>
        <w:t>their</w:t>
      </w:r>
      <w:r w:rsidR="00B13B64" w:rsidRPr="009E769D">
        <w:rPr>
          <w:lang w:val="en-GB"/>
        </w:rPr>
        <w:t xml:space="preserve"> </w:t>
      </w:r>
      <w:r w:rsidR="009E769D" w:rsidRPr="009E769D">
        <w:rPr>
          <w:lang w:val="en-GB"/>
        </w:rPr>
        <w:t>way home from church</w:t>
      </w:r>
      <w:r w:rsidR="00B13B64">
        <w:rPr>
          <w:lang w:val="en-GB"/>
        </w:rPr>
        <w:t>.</w:t>
      </w:r>
      <w:r w:rsidR="00D90518">
        <w:rPr>
          <w:lang w:val="en-GB"/>
        </w:rPr>
        <w:t xml:space="preserve"> </w:t>
      </w:r>
      <w:r w:rsidR="00B13B64">
        <w:rPr>
          <w:lang w:val="en-GB"/>
        </w:rPr>
        <w:t>O</w:t>
      </w:r>
      <w:r w:rsidR="005C0595">
        <w:rPr>
          <w:lang w:val="en-GB"/>
        </w:rPr>
        <w:t xml:space="preserve">ne of </w:t>
      </w:r>
      <w:r w:rsidR="0030374C">
        <w:rPr>
          <w:lang w:val="en-GB" w:bidi="he-IL"/>
        </w:rPr>
        <w:t>I.G.’</w:t>
      </w:r>
      <w:r w:rsidR="0030374C">
        <w:rPr>
          <w:rFonts w:hint="cs"/>
          <w:lang w:val="en-GB" w:bidi="he-IL"/>
        </w:rPr>
        <w:t>s</w:t>
      </w:r>
      <w:r w:rsidR="0030374C">
        <w:rPr>
          <w:lang w:val="en-GB"/>
        </w:rPr>
        <w:t xml:space="preserve"> </w:t>
      </w:r>
      <w:r w:rsidR="001B405B">
        <w:rPr>
          <w:lang w:val="en-GB"/>
        </w:rPr>
        <w:t xml:space="preserve">minor </w:t>
      </w:r>
      <w:r w:rsidR="005C0595">
        <w:rPr>
          <w:lang w:val="en-GB"/>
        </w:rPr>
        <w:t>sisters</w:t>
      </w:r>
      <w:r w:rsidR="009E769D" w:rsidRPr="009E769D">
        <w:rPr>
          <w:lang w:val="en-GB"/>
        </w:rPr>
        <w:t xml:space="preserve"> </w:t>
      </w:r>
      <w:r w:rsidR="00B13B64">
        <w:rPr>
          <w:lang w:val="en-GB"/>
        </w:rPr>
        <w:t xml:space="preserve">was </w:t>
      </w:r>
      <w:r w:rsidR="0034683D">
        <w:rPr>
          <w:lang w:val="en-GB"/>
        </w:rPr>
        <w:t>bleeding as a result of the beating</w:t>
      </w:r>
      <w:r w:rsidR="005C0595">
        <w:rPr>
          <w:lang w:val="en-GB"/>
        </w:rPr>
        <w:t xml:space="preserve">. The men </w:t>
      </w:r>
      <w:r w:rsidR="009E769D" w:rsidRPr="009E769D">
        <w:rPr>
          <w:lang w:val="en-GB"/>
        </w:rPr>
        <w:t xml:space="preserve">threatened to </w:t>
      </w:r>
      <w:r w:rsidR="005C0595">
        <w:rPr>
          <w:lang w:val="en-GB"/>
        </w:rPr>
        <w:t xml:space="preserve">kill </w:t>
      </w:r>
      <w:r w:rsidR="006A17D5">
        <w:rPr>
          <w:lang w:val="en-GB"/>
        </w:rPr>
        <w:t xml:space="preserve">I.G. </w:t>
      </w:r>
      <w:r w:rsidR="005C0595">
        <w:rPr>
          <w:lang w:val="en-GB"/>
        </w:rPr>
        <w:t>and to kidnap</w:t>
      </w:r>
      <w:r w:rsidR="009E769D" w:rsidRPr="009E769D">
        <w:rPr>
          <w:lang w:val="en-GB"/>
        </w:rPr>
        <w:t xml:space="preserve"> his sisters. Later the same night, </w:t>
      </w:r>
      <w:r w:rsidR="00B13B64">
        <w:rPr>
          <w:lang w:val="en-GB"/>
        </w:rPr>
        <w:t xml:space="preserve">the authors’ house was set on </w:t>
      </w:r>
      <w:r w:rsidR="009E769D" w:rsidRPr="009E769D">
        <w:rPr>
          <w:lang w:val="en-GB"/>
        </w:rPr>
        <w:t>fire</w:t>
      </w:r>
      <w:r w:rsidR="005C0595">
        <w:rPr>
          <w:lang w:val="en-GB"/>
        </w:rPr>
        <w:t>. T</w:t>
      </w:r>
      <w:r w:rsidR="009E769D" w:rsidRPr="009E769D">
        <w:rPr>
          <w:lang w:val="en-GB"/>
        </w:rPr>
        <w:t>he family</w:t>
      </w:r>
      <w:r w:rsidR="005C0595">
        <w:rPr>
          <w:lang w:val="en-GB"/>
        </w:rPr>
        <w:t xml:space="preserve"> immediately</w:t>
      </w:r>
      <w:r w:rsidR="009E769D" w:rsidRPr="009E769D">
        <w:rPr>
          <w:lang w:val="en-GB"/>
        </w:rPr>
        <w:t xml:space="preserve"> fled to the mother’s cousin</w:t>
      </w:r>
      <w:r w:rsidR="004A0AD8">
        <w:rPr>
          <w:lang w:val="en-GB"/>
        </w:rPr>
        <w:t xml:space="preserve"> in Karachi</w:t>
      </w:r>
      <w:r w:rsidR="009E769D" w:rsidRPr="009E769D">
        <w:rPr>
          <w:lang w:val="en-GB"/>
        </w:rPr>
        <w:t xml:space="preserve">, </w:t>
      </w:r>
      <w:r w:rsidR="005C0595">
        <w:rPr>
          <w:lang w:val="en-GB"/>
        </w:rPr>
        <w:t>who</w:t>
      </w:r>
      <w:r w:rsidR="009E769D" w:rsidRPr="009E769D">
        <w:rPr>
          <w:lang w:val="en-GB"/>
        </w:rPr>
        <w:t xml:space="preserve"> help</w:t>
      </w:r>
      <w:r w:rsidR="005C0595">
        <w:rPr>
          <w:lang w:val="en-GB"/>
        </w:rPr>
        <w:t>ed</w:t>
      </w:r>
      <w:r w:rsidR="009E769D" w:rsidRPr="009E769D">
        <w:rPr>
          <w:lang w:val="en-GB"/>
        </w:rPr>
        <w:t xml:space="preserve"> </w:t>
      </w:r>
      <w:r w:rsidR="005C0595">
        <w:rPr>
          <w:lang w:val="en-GB"/>
        </w:rPr>
        <w:t>them to leave</w:t>
      </w:r>
      <w:r w:rsidR="009E769D" w:rsidRPr="009E769D">
        <w:rPr>
          <w:lang w:val="en-GB"/>
        </w:rPr>
        <w:t xml:space="preserve"> the country on 18 June 2012 </w:t>
      </w:r>
      <w:r w:rsidR="00E76986">
        <w:rPr>
          <w:lang w:val="en-GB"/>
        </w:rPr>
        <w:t>for</w:t>
      </w:r>
      <w:r w:rsidR="00E76986" w:rsidRPr="009E769D">
        <w:rPr>
          <w:lang w:val="en-GB"/>
        </w:rPr>
        <w:t xml:space="preserve"> </w:t>
      </w:r>
      <w:r w:rsidR="009E769D" w:rsidRPr="009E769D">
        <w:rPr>
          <w:lang w:val="en-GB"/>
        </w:rPr>
        <w:t>Denmark.</w:t>
      </w:r>
      <w:r w:rsidR="00362BEC">
        <w:rPr>
          <w:lang w:val="en-GB"/>
        </w:rPr>
        <w:t xml:space="preserve"> </w:t>
      </w:r>
    </w:p>
    <w:p w14:paraId="70631337" w14:textId="77777777" w:rsidR="00B0020F" w:rsidRDefault="00B0020F" w:rsidP="00F22A52">
      <w:pPr>
        <w:pStyle w:val="SingleTxtG"/>
        <w:rPr>
          <w:lang w:val="en-GB"/>
        </w:rPr>
      </w:pPr>
      <w:r>
        <w:rPr>
          <w:lang w:val="en-GB"/>
        </w:rPr>
        <w:t>2.2</w:t>
      </w:r>
      <w:r>
        <w:rPr>
          <w:lang w:val="en-GB"/>
        </w:rPr>
        <w:tab/>
      </w:r>
      <w:r w:rsidRPr="00B0020F">
        <w:rPr>
          <w:lang w:val="en-GB"/>
        </w:rPr>
        <w:t xml:space="preserve">The authors did not file a complaint </w:t>
      </w:r>
      <w:r w:rsidR="00E76986">
        <w:rPr>
          <w:lang w:val="en-GB"/>
        </w:rPr>
        <w:t>with</w:t>
      </w:r>
      <w:r w:rsidR="00E76986" w:rsidRPr="00B0020F">
        <w:rPr>
          <w:lang w:val="en-GB"/>
        </w:rPr>
        <w:t xml:space="preserve"> </w:t>
      </w:r>
      <w:r w:rsidRPr="00B0020F">
        <w:rPr>
          <w:lang w:val="en-GB"/>
        </w:rPr>
        <w:t>the police</w:t>
      </w:r>
      <w:r w:rsidR="005C0595">
        <w:rPr>
          <w:lang w:val="en-GB"/>
        </w:rPr>
        <w:t xml:space="preserve"> in Pakistan</w:t>
      </w:r>
      <w:r w:rsidRPr="00B0020F">
        <w:rPr>
          <w:lang w:val="en-GB"/>
        </w:rPr>
        <w:t xml:space="preserve"> as they had no confidence in the authorities and feared reprisals. They also claim that </w:t>
      </w:r>
      <w:r w:rsidR="00994D1B">
        <w:rPr>
          <w:lang w:val="en-GB"/>
        </w:rPr>
        <w:t xml:space="preserve">although </w:t>
      </w:r>
      <w:r w:rsidR="00994D1B" w:rsidRPr="00B0020F">
        <w:rPr>
          <w:lang w:val="en-GB"/>
        </w:rPr>
        <w:t xml:space="preserve">they were not harassed </w:t>
      </w:r>
      <w:r w:rsidRPr="00B0020F">
        <w:rPr>
          <w:lang w:val="en-GB"/>
        </w:rPr>
        <w:t>because of their religious beliefs</w:t>
      </w:r>
      <w:r w:rsidR="00994D1B">
        <w:rPr>
          <w:lang w:val="en-GB"/>
        </w:rPr>
        <w:t xml:space="preserve"> </w:t>
      </w:r>
      <w:r w:rsidR="00994D1B" w:rsidRPr="00B0020F">
        <w:rPr>
          <w:lang w:val="en-GB"/>
        </w:rPr>
        <w:t>prior to these events</w:t>
      </w:r>
      <w:r w:rsidR="005C0595">
        <w:rPr>
          <w:lang w:val="en-GB"/>
        </w:rPr>
        <w:t>, public reports</w:t>
      </w:r>
      <w:r w:rsidR="00FB4507">
        <w:rPr>
          <w:lang w:val="en-GB"/>
        </w:rPr>
        <w:t xml:space="preserve"> </w:t>
      </w:r>
      <w:r w:rsidR="005C0595">
        <w:rPr>
          <w:lang w:val="en-GB"/>
        </w:rPr>
        <w:t>refer</w:t>
      </w:r>
      <w:r w:rsidR="00E76986">
        <w:rPr>
          <w:lang w:val="en-GB"/>
        </w:rPr>
        <w:t>ring</w:t>
      </w:r>
      <w:r w:rsidR="005C0595">
        <w:rPr>
          <w:lang w:val="en-GB"/>
        </w:rPr>
        <w:t xml:space="preserve"> to </w:t>
      </w:r>
      <w:r w:rsidRPr="00B0020F">
        <w:rPr>
          <w:lang w:val="en-GB"/>
        </w:rPr>
        <w:t xml:space="preserve">other attacks around </w:t>
      </w:r>
      <w:r w:rsidR="00E76986">
        <w:rPr>
          <w:lang w:val="en-GB"/>
        </w:rPr>
        <w:t>the country demonstrate</w:t>
      </w:r>
      <w:r w:rsidRPr="00B0020F">
        <w:rPr>
          <w:lang w:val="en-GB"/>
        </w:rPr>
        <w:t xml:space="preserve"> that Muslim militants will not shy away from killing</w:t>
      </w:r>
      <w:r w:rsidR="005C0595">
        <w:rPr>
          <w:lang w:val="en-GB"/>
        </w:rPr>
        <w:t xml:space="preserve"> non-Muslims who</w:t>
      </w:r>
      <w:r w:rsidRPr="00B0020F">
        <w:rPr>
          <w:lang w:val="en-GB"/>
        </w:rPr>
        <w:t xml:space="preserve"> have</w:t>
      </w:r>
      <w:r w:rsidR="005C0595">
        <w:rPr>
          <w:lang w:val="en-GB"/>
        </w:rPr>
        <w:t xml:space="preserve"> been</w:t>
      </w:r>
      <w:r w:rsidRPr="00B0020F">
        <w:rPr>
          <w:lang w:val="en-GB"/>
        </w:rPr>
        <w:t xml:space="preserve"> </w:t>
      </w:r>
      <w:r w:rsidR="00E76986">
        <w:rPr>
          <w:lang w:val="en-GB"/>
        </w:rPr>
        <w:t>targeted</w:t>
      </w:r>
      <w:r w:rsidRPr="00B0020F">
        <w:rPr>
          <w:lang w:val="en-GB"/>
        </w:rPr>
        <w:t>.</w:t>
      </w:r>
      <w:r w:rsidR="006A17D5">
        <w:rPr>
          <w:lang w:val="en-GB"/>
        </w:rPr>
        <w:t xml:space="preserve"> </w:t>
      </w:r>
      <w:r w:rsidR="00E52424">
        <w:rPr>
          <w:lang w:val="en-GB"/>
        </w:rPr>
        <w:t>In th</w:t>
      </w:r>
      <w:r w:rsidR="00E76986">
        <w:rPr>
          <w:lang w:val="en-GB"/>
        </w:rPr>
        <w:t>is</w:t>
      </w:r>
      <w:r w:rsidR="00E52424">
        <w:rPr>
          <w:lang w:val="en-GB"/>
        </w:rPr>
        <w:t xml:space="preserve"> connection, </w:t>
      </w:r>
      <w:r w:rsidR="006A17D5">
        <w:rPr>
          <w:lang w:val="en-GB"/>
        </w:rPr>
        <w:t xml:space="preserve">the authors claim that the risks described </w:t>
      </w:r>
      <w:r w:rsidR="0030374C">
        <w:rPr>
          <w:lang w:val="en-GB" w:bidi="he-IL"/>
        </w:rPr>
        <w:t xml:space="preserve">stem from </w:t>
      </w:r>
      <w:r w:rsidR="006A17D5">
        <w:rPr>
          <w:lang w:val="en-GB"/>
        </w:rPr>
        <w:t xml:space="preserve">their religious beliefs </w:t>
      </w:r>
      <w:r w:rsidR="005017E0">
        <w:rPr>
          <w:lang w:val="en-GB" w:bidi="he-IL"/>
        </w:rPr>
        <w:t>and that</w:t>
      </w:r>
      <w:r w:rsidR="006A17D5">
        <w:rPr>
          <w:lang w:val="en-GB"/>
        </w:rPr>
        <w:t>, if returned</w:t>
      </w:r>
      <w:r w:rsidR="00E76986">
        <w:rPr>
          <w:lang w:val="en-GB"/>
        </w:rPr>
        <w:t xml:space="preserve"> to Pakistan</w:t>
      </w:r>
      <w:r w:rsidR="006A17D5">
        <w:rPr>
          <w:lang w:val="en-GB"/>
        </w:rPr>
        <w:t xml:space="preserve">, </w:t>
      </w:r>
      <w:r w:rsidR="0030374C">
        <w:rPr>
          <w:lang w:val="en-GB" w:bidi="he-IL"/>
        </w:rPr>
        <w:t xml:space="preserve">they will </w:t>
      </w:r>
      <w:r w:rsidR="006A17D5">
        <w:rPr>
          <w:lang w:val="en-GB"/>
        </w:rPr>
        <w:t>be forced to hid</w:t>
      </w:r>
      <w:r w:rsidR="00665D56">
        <w:rPr>
          <w:lang w:val="en-GB" w:bidi="he-IL"/>
        </w:rPr>
        <w:t xml:space="preserve">e their beliefs </w:t>
      </w:r>
      <w:r w:rsidR="006A17D5">
        <w:rPr>
          <w:lang w:val="en-GB"/>
        </w:rPr>
        <w:t xml:space="preserve">and </w:t>
      </w:r>
      <w:r w:rsidR="00E76986">
        <w:rPr>
          <w:lang w:val="en-GB"/>
        </w:rPr>
        <w:t xml:space="preserve">will </w:t>
      </w:r>
      <w:r w:rsidR="006A17D5">
        <w:rPr>
          <w:lang w:val="en-GB"/>
        </w:rPr>
        <w:t>be hindered in the free exercise of their religion.</w:t>
      </w:r>
      <w:r w:rsidR="00362BEC">
        <w:rPr>
          <w:lang w:val="en-GB"/>
        </w:rPr>
        <w:t xml:space="preserve"> </w:t>
      </w:r>
    </w:p>
    <w:p w14:paraId="23E520B0" w14:textId="77777777" w:rsidR="00B0020F" w:rsidRDefault="003E75F0" w:rsidP="00F22A52">
      <w:pPr>
        <w:pStyle w:val="SingleTxtG"/>
        <w:rPr>
          <w:lang w:val="en-GB"/>
        </w:rPr>
      </w:pPr>
      <w:r>
        <w:rPr>
          <w:lang w:val="en-GB"/>
        </w:rPr>
        <w:t>2.</w:t>
      </w:r>
      <w:r w:rsidR="00B0020F">
        <w:rPr>
          <w:lang w:val="en-GB"/>
        </w:rPr>
        <w:t>3</w:t>
      </w:r>
      <w:r>
        <w:rPr>
          <w:lang w:val="en-GB"/>
        </w:rPr>
        <w:tab/>
      </w:r>
      <w:r w:rsidR="00B0020F" w:rsidRPr="00B0020F">
        <w:rPr>
          <w:lang w:val="en-GB"/>
        </w:rPr>
        <w:t>The authors entered Denmark on 9 July 2012</w:t>
      </w:r>
      <w:r w:rsidR="00E76986">
        <w:rPr>
          <w:lang w:val="en-GB"/>
        </w:rPr>
        <w:t>,</w:t>
      </w:r>
      <w:r w:rsidR="00B0020F" w:rsidRPr="00B0020F">
        <w:rPr>
          <w:lang w:val="en-GB"/>
        </w:rPr>
        <w:t xml:space="preserve"> without valid travel documents.</w:t>
      </w:r>
      <w:r w:rsidR="00FB4507" w:rsidRPr="00FB4507">
        <w:t xml:space="preserve"> </w:t>
      </w:r>
      <w:r w:rsidR="00FB4507">
        <w:rPr>
          <w:lang w:val="en-GB"/>
        </w:rPr>
        <w:t xml:space="preserve">They </w:t>
      </w:r>
      <w:r w:rsidR="00FB4507" w:rsidRPr="00FB4507">
        <w:rPr>
          <w:lang w:val="en-GB"/>
        </w:rPr>
        <w:t>applied for asylum</w:t>
      </w:r>
      <w:r w:rsidR="00E76986">
        <w:rPr>
          <w:lang w:val="en-GB"/>
        </w:rPr>
        <w:t>,</w:t>
      </w:r>
      <w:r w:rsidR="00FB4507" w:rsidRPr="00FB4507">
        <w:rPr>
          <w:lang w:val="en-GB"/>
        </w:rPr>
        <w:t xml:space="preserve"> </w:t>
      </w:r>
      <w:r w:rsidR="00E76986">
        <w:rPr>
          <w:lang w:val="en-GB"/>
        </w:rPr>
        <w:t>but</w:t>
      </w:r>
      <w:r w:rsidR="00E76986" w:rsidRPr="00FB4507">
        <w:rPr>
          <w:lang w:val="en-GB"/>
        </w:rPr>
        <w:t xml:space="preserve"> </w:t>
      </w:r>
      <w:r w:rsidR="00FB4507" w:rsidRPr="00FB4507">
        <w:rPr>
          <w:lang w:val="en-GB"/>
        </w:rPr>
        <w:t xml:space="preserve">their request for </w:t>
      </w:r>
      <w:r w:rsidR="00FB4507">
        <w:rPr>
          <w:lang w:val="en-GB"/>
        </w:rPr>
        <w:t xml:space="preserve">a </w:t>
      </w:r>
      <w:r w:rsidR="00FB4507" w:rsidRPr="00FB4507">
        <w:rPr>
          <w:lang w:val="en-GB"/>
        </w:rPr>
        <w:t xml:space="preserve">residence permit under </w:t>
      </w:r>
      <w:r w:rsidR="00961FAD">
        <w:rPr>
          <w:lang w:val="en-GB"/>
        </w:rPr>
        <w:t xml:space="preserve">section 7 of </w:t>
      </w:r>
      <w:r w:rsidR="00FB4507" w:rsidRPr="00FB4507">
        <w:rPr>
          <w:lang w:val="en-GB"/>
        </w:rPr>
        <w:t>the Aliens Act was refused by the Danish Immigration Service on 22 March 2013.</w:t>
      </w:r>
      <w:r w:rsidR="00FB4507">
        <w:rPr>
          <w:lang w:val="en-GB"/>
        </w:rPr>
        <w:t xml:space="preserve"> </w:t>
      </w:r>
      <w:r w:rsidR="00FB4507" w:rsidRPr="00FB4507">
        <w:rPr>
          <w:lang w:val="en-GB"/>
        </w:rPr>
        <w:t>On 13 June 2013, the Danish Refugee Appeals Board upheld the refusal of the Danish Immig</w:t>
      </w:r>
      <w:r w:rsidR="00FB4507">
        <w:rPr>
          <w:lang w:val="en-GB"/>
        </w:rPr>
        <w:t>ration Service to grant asylum to the authors.</w:t>
      </w:r>
      <w:r w:rsidR="00FB4507">
        <w:rPr>
          <w:rStyle w:val="FootnoteReference"/>
          <w:lang w:val="en-GB"/>
        </w:rPr>
        <w:footnoteReference w:id="4"/>
      </w:r>
      <w:r w:rsidR="00FB4507">
        <w:rPr>
          <w:lang w:val="en-GB"/>
        </w:rPr>
        <w:t xml:space="preserve"> </w:t>
      </w:r>
      <w:r w:rsidR="00132C82">
        <w:rPr>
          <w:lang w:val="en-GB"/>
        </w:rPr>
        <w:t>The author</w:t>
      </w:r>
      <w:r w:rsidR="00B1697F">
        <w:rPr>
          <w:lang w:val="en-GB"/>
        </w:rPr>
        <w:t>s</w:t>
      </w:r>
      <w:r w:rsidR="00132C82">
        <w:rPr>
          <w:lang w:val="en-GB"/>
        </w:rPr>
        <w:t xml:space="preserve"> ha</w:t>
      </w:r>
      <w:r w:rsidR="00B1697F">
        <w:rPr>
          <w:lang w:val="en-GB"/>
        </w:rPr>
        <w:t xml:space="preserve">ve </w:t>
      </w:r>
      <w:r w:rsidR="00D54532">
        <w:rPr>
          <w:lang w:val="en-GB"/>
        </w:rPr>
        <w:t xml:space="preserve">indicated </w:t>
      </w:r>
      <w:r w:rsidR="00132C82">
        <w:rPr>
          <w:lang w:val="en-GB"/>
        </w:rPr>
        <w:t>as</w:t>
      </w:r>
      <w:r w:rsidR="00FC6EA3">
        <w:rPr>
          <w:lang w:val="en-GB"/>
        </w:rPr>
        <w:t xml:space="preserve"> ground</w:t>
      </w:r>
      <w:r w:rsidR="005664E5">
        <w:rPr>
          <w:lang w:val="en-GB" w:bidi="he-IL"/>
        </w:rPr>
        <w:t>s</w:t>
      </w:r>
      <w:r w:rsidR="00FC6EA3">
        <w:rPr>
          <w:lang w:val="en-GB"/>
        </w:rPr>
        <w:t xml:space="preserve"> for</w:t>
      </w:r>
      <w:r w:rsidR="00132C82">
        <w:rPr>
          <w:lang w:val="en-GB"/>
        </w:rPr>
        <w:t xml:space="preserve"> asylum </w:t>
      </w:r>
      <w:r w:rsidR="00994D1B">
        <w:rPr>
          <w:lang w:val="en-GB"/>
        </w:rPr>
        <w:t xml:space="preserve">their fear </w:t>
      </w:r>
      <w:r w:rsidR="00132C82">
        <w:rPr>
          <w:lang w:val="en-GB"/>
        </w:rPr>
        <w:t>that</w:t>
      </w:r>
      <w:r w:rsidR="00994D1B">
        <w:rPr>
          <w:lang w:val="en-GB"/>
        </w:rPr>
        <w:t xml:space="preserve"> </w:t>
      </w:r>
      <w:r w:rsidR="00FC6EA3">
        <w:rPr>
          <w:lang w:val="en-GB"/>
        </w:rPr>
        <w:t xml:space="preserve">if they are returned </w:t>
      </w:r>
      <w:r w:rsidR="00132C82">
        <w:rPr>
          <w:lang w:val="en-GB"/>
        </w:rPr>
        <w:t xml:space="preserve">to Pakistan </w:t>
      </w:r>
      <w:r w:rsidR="00B1697F">
        <w:rPr>
          <w:lang w:val="en-GB"/>
        </w:rPr>
        <w:t xml:space="preserve">they </w:t>
      </w:r>
      <w:r w:rsidR="00132C82">
        <w:rPr>
          <w:lang w:val="en-GB"/>
        </w:rPr>
        <w:t xml:space="preserve">will be killed by </w:t>
      </w:r>
      <w:r w:rsidR="00E76986">
        <w:rPr>
          <w:lang w:val="en-GB"/>
        </w:rPr>
        <w:t xml:space="preserve">the </w:t>
      </w:r>
      <w:r w:rsidR="00132C82">
        <w:rPr>
          <w:lang w:val="en-GB"/>
        </w:rPr>
        <w:t xml:space="preserve">group of young Muslim men who had threatened </w:t>
      </w:r>
      <w:r w:rsidR="00B1697F">
        <w:rPr>
          <w:lang w:val="en-GB"/>
        </w:rPr>
        <w:t xml:space="preserve">I.G. </w:t>
      </w:r>
      <w:r w:rsidR="00132C82">
        <w:rPr>
          <w:lang w:val="en-GB"/>
        </w:rPr>
        <w:t xml:space="preserve">and his family. </w:t>
      </w:r>
      <w:r w:rsidR="00B1697F">
        <w:rPr>
          <w:lang w:val="en-GB"/>
        </w:rPr>
        <w:t xml:space="preserve">They </w:t>
      </w:r>
      <w:r w:rsidR="00132C82">
        <w:rPr>
          <w:lang w:val="en-GB"/>
        </w:rPr>
        <w:t>further fear</w:t>
      </w:r>
      <w:r w:rsidR="00B1697F">
        <w:rPr>
          <w:lang w:val="en-GB"/>
        </w:rPr>
        <w:t xml:space="preserve"> </w:t>
      </w:r>
      <w:r w:rsidR="00132C82">
        <w:rPr>
          <w:lang w:val="en-GB"/>
        </w:rPr>
        <w:t xml:space="preserve">that </w:t>
      </w:r>
      <w:r w:rsidR="00B1697F">
        <w:rPr>
          <w:lang w:val="en-GB"/>
        </w:rPr>
        <w:t xml:space="preserve">the minor daughters </w:t>
      </w:r>
      <w:r w:rsidR="00132C82">
        <w:rPr>
          <w:lang w:val="en-GB"/>
        </w:rPr>
        <w:t xml:space="preserve">will be assaulted and raped. </w:t>
      </w:r>
      <w:r w:rsidR="00E76986">
        <w:rPr>
          <w:lang w:val="en-GB"/>
        </w:rPr>
        <w:t>In a</w:t>
      </w:r>
      <w:r w:rsidR="00E76986" w:rsidRPr="00FB4507">
        <w:rPr>
          <w:lang w:val="en-GB"/>
        </w:rPr>
        <w:t xml:space="preserve"> </w:t>
      </w:r>
      <w:r w:rsidR="00FB4507" w:rsidRPr="00FB4507">
        <w:rPr>
          <w:lang w:val="en-GB"/>
        </w:rPr>
        <w:t xml:space="preserve">letter </w:t>
      </w:r>
      <w:r w:rsidR="00E76986">
        <w:rPr>
          <w:lang w:val="en-GB"/>
        </w:rPr>
        <w:t>dated</w:t>
      </w:r>
      <w:r w:rsidR="00E76986" w:rsidRPr="00FB4507">
        <w:rPr>
          <w:lang w:val="en-GB"/>
        </w:rPr>
        <w:t xml:space="preserve"> </w:t>
      </w:r>
      <w:r w:rsidR="00B0020F" w:rsidRPr="00B0020F">
        <w:rPr>
          <w:lang w:val="en-GB"/>
        </w:rPr>
        <w:t xml:space="preserve">12 August 2013, the author’s counsel </w:t>
      </w:r>
      <w:r w:rsidR="00D94D25">
        <w:rPr>
          <w:lang w:val="en-GB"/>
        </w:rPr>
        <w:t xml:space="preserve">requested the Board to reopen the authors’ asylum proceedings. </w:t>
      </w:r>
      <w:r w:rsidR="00B1697F" w:rsidRPr="00B1697F">
        <w:rPr>
          <w:lang w:val="en-GB"/>
        </w:rPr>
        <w:t xml:space="preserve">The authors were called to the police </w:t>
      </w:r>
      <w:r w:rsidR="00E76986">
        <w:rPr>
          <w:lang w:val="en-GB"/>
        </w:rPr>
        <w:t xml:space="preserve">station </w:t>
      </w:r>
      <w:r w:rsidR="00B1697F" w:rsidRPr="00B1697F">
        <w:rPr>
          <w:lang w:val="en-GB"/>
        </w:rPr>
        <w:t>on 12 February 2014</w:t>
      </w:r>
      <w:r w:rsidR="00E76986">
        <w:rPr>
          <w:lang w:val="en-GB"/>
        </w:rPr>
        <w:t>,</w:t>
      </w:r>
      <w:r w:rsidR="00B1697F" w:rsidRPr="00B1697F">
        <w:rPr>
          <w:lang w:val="en-GB"/>
        </w:rPr>
        <w:t xml:space="preserve"> where they decided to </w:t>
      </w:r>
      <w:r w:rsidR="00E76986">
        <w:rPr>
          <w:lang w:val="en-GB"/>
        </w:rPr>
        <w:t>agree in writing</w:t>
      </w:r>
      <w:r w:rsidR="00E76986" w:rsidRPr="00B1697F">
        <w:rPr>
          <w:lang w:val="en-GB"/>
        </w:rPr>
        <w:t xml:space="preserve"> </w:t>
      </w:r>
      <w:r w:rsidR="00E76986">
        <w:rPr>
          <w:lang w:val="en-GB"/>
        </w:rPr>
        <w:t>to</w:t>
      </w:r>
      <w:r w:rsidR="00E76986" w:rsidRPr="00B1697F">
        <w:rPr>
          <w:lang w:val="en-GB"/>
        </w:rPr>
        <w:t xml:space="preserve"> </w:t>
      </w:r>
      <w:r w:rsidR="00B1697F" w:rsidRPr="00B1697F">
        <w:rPr>
          <w:lang w:val="en-GB"/>
        </w:rPr>
        <w:t xml:space="preserve">a voluntary return in order to avoid being </w:t>
      </w:r>
      <w:r w:rsidR="0034683D">
        <w:rPr>
          <w:lang w:val="en-GB"/>
        </w:rPr>
        <w:t>detained</w:t>
      </w:r>
      <w:r w:rsidR="0034683D" w:rsidRPr="00B1697F">
        <w:rPr>
          <w:lang w:val="en-GB"/>
        </w:rPr>
        <w:t xml:space="preserve"> </w:t>
      </w:r>
      <w:r w:rsidR="00B1697F" w:rsidRPr="00B1697F">
        <w:rPr>
          <w:lang w:val="en-GB"/>
        </w:rPr>
        <w:t xml:space="preserve">at the Ellebæk detention centre </w:t>
      </w:r>
      <w:r w:rsidR="005664E5">
        <w:rPr>
          <w:lang w:val="en-GB" w:bidi="he-IL"/>
        </w:rPr>
        <w:t>prior to their</w:t>
      </w:r>
      <w:r w:rsidR="00B1697F" w:rsidRPr="00B1697F">
        <w:rPr>
          <w:lang w:val="en-GB"/>
        </w:rPr>
        <w:t xml:space="preserve"> deportation</w:t>
      </w:r>
      <w:r w:rsidR="00E76986">
        <w:rPr>
          <w:lang w:val="en-GB"/>
        </w:rPr>
        <w:t>,</w:t>
      </w:r>
      <w:r w:rsidR="00E752FE">
        <w:rPr>
          <w:lang w:val="en-GB"/>
        </w:rPr>
        <w:t xml:space="preserve"> which was planned </w:t>
      </w:r>
      <w:r w:rsidR="00E752FE" w:rsidRPr="00E752FE">
        <w:rPr>
          <w:lang w:val="en-GB"/>
        </w:rPr>
        <w:t xml:space="preserve">for 5 March 2014, </w:t>
      </w:r>
      <w:r w:rsidR="0034683D">
        <w:rPr>
          <w:lang w:val="en-GB"/>
        </w:rPr>
        <w:t xml:space="preserve">on </w:t>
      </w:r>
      <w:r w:rsidR="005664E5">
        <w:rPr>
          <w:lang w:val="en-GB" w:bidi="he-IL"/>
        </w:rPr>
        <w:t>a</w:t>
      </w:r>
      <w:r w:rsidR="005664E5" w:rsidRPr="00E752FE">
        <w:rPr>
          <w:lang w:val="en-GB"/>
        </w:rPr>
        <w:t xml:space="preserve"> </w:t>
      </w:r>
      <w:r w:rsidR="00E752FE" w:rsidRPr="00E752FE">
        <w:rPr>
          <w:lang w:val="en-GB"/>
        </w:rPr>
        <w:t>flight departing at 7</w:t>
      </w:r>
      <w:r w:rsidR="00E76986">
        <w:rPr>
          <w:lang w:val="en-GB"/>
        </w:rPr>
        <w:t>.</w:t>
      </w:r>
      <w:r w:rsidR="00E752FE" w:rsidRPr="00E752FE">
        <w:rPr>
          <w:lang w:val="en-GB"/>
        </w:rPr>
        <w:t>10 p</w:t>
      </w:r>
      <w:r w:rsidR="00E76986">
        <w:rPr>
          <w:lang w:val="en-GB"/>
        </w:rPr>
        <w:t>.</w:t>
      </w:r>
      <w:r w:rsidR="00E752FE" w:rsidRPr="00E752FE">
        <w:rPr>
          <w:lang w:val="en-GB"/>
        </w:rPr>
        <w:t>m.</w:t>
      </w:r>
      <w:r w:rsidR="00BC7F82">
        <w:rPr>
          <w:rStyle w:val="FootnoteReference"/>
          <w:lang w:val="en-GB"/>
        </w:rPr>
        <w:footnoteReference w:id="5"/>
      </w:r>
      <w:r w:rsidR="00E752FE">
        <w:rPr>
          <w:lang w:val="en-GB"/>
        </w:rPr>
        <w:t xml:space="preserve"> </w:t>
      </w:r>
      <w:r w:rsidR="00FB4507" w:rsidRPr="00FB4507">
        <w:rPr>
          <w:lang w:val="en-GB"/>
        </w:rPr>
        <w:t xml:space="preserve">On 3 March 2014, the Board decided that it </w:t>
      </w:r>
      <w:r w:rsidR="0034683D">
        <w:rPr>
          <w:lang w:val="en-GB"/>
        </w:rPr>
        <w:t xml:space="preserve">had </w:t>
      </w:r>
      <w:r w:rsidR="00E76986">
        <w:rPr>
          <w:lang w:val="en-GB"/>
        </w:rPr>
        <w:t>found</w:t>
      </w:r>
      <w:r w:rsidR="00E76986" w:rsidRPr="00FB4507">
        <w:rPr>
          <w:lang w:val="en-GB"/>
        </w:rPr>
        <w:t xml:space="preserve"> </w:t>
      </w:r>
      <w:r w:rsidR="00FB4507" w:rsidRPr="00FB4507">
        <w:rPr>
          <w:lang w:val="en-GB"/>
        </w:rPr>
        <w:t xml:space="preserve">no basis for reopening the asylum proceedings, nor </w:t>
      </w:r>
      <w:r w:rsidR="00E76986">
        <w:rPr>
          <w:lang w:val="en-GB"/>
        </w:rPr>
        <w:t>did</w:t>
      </w:r>
      <w:r w:rsidR="00E76986" w:rsidRPr="00FB4507">
        <w:rPr>
          <w:lang w:val="en-GB"/>
        </w:rPr>
        <w:t xml:space="preserve"> </w:t>
      </w:r>
      <w:r w:rsidR="00FB4507" w:rsidRPr="00FB4507">
        <w:rPr>
          <w:lang w:val="en-GB"/>
        </w:rPr>
        <w:t>it find any reasons for extending the time limit for the authors’ departure</w:t>
      </w:r>
      <w:r w:rsidR="005664E5">
        <w:rPr>
          <w:lang w:val="en-GB" w:bidi="he-IL"/>
        </w:rPr>
        <w:t>,</w:t>
      </w:r>
      <w:r w:rsidR="00FB4507" w:rsidRPr="00FB4507">
        <w:rPr>
          <w:lang w:val="en-GB"/>
        </w:rPr>
        <w:t xml:space="preserve"> as no substantial new information or views had been submitted beyond the information available at the initial hearing by the Board</w:t>
      </w:r>
      <w:r w:rsidR="00BC7F82">
        <w:rPr>
          <w:lang w:val="en-GB"/>
        </w:rPr>
        <w:t xml:space="preserve">. The Board </w:t>
      </w:r>
      <w:r w:rsidR="00FB4507">
        <w:rPr>
          <w:lang w:val="en-GB"/>
        </w:rPr>
        <w:t>reaffirm</w:t>
      </w:r>
      <w:r w:rsidR="00BC7F82">
        <w:rPr>
          <w:lang w:val="en-GB"/>
        </w:rPr>
        <w:t xml:space="preserve">ed </w:t>
      </w:r>
      <w:r w:rsidR="00B0020F" w:rsidRPr="00B0020F">
        <w:rPr>
          <w:lang w:val="en-GB"/>
        </w:rPr>
        <w:t xml:space="preserve">its negative decision </w:t>
      </w:r>
      <w:r w:rsidR="00D94D25">
        <w:rPr>
          <w:lang w:val="en-GB"/>
        </w:rPr>
        <w:t>of 1</w:t>
      </w:r>
      <w:r w:rsidR="00B0020F" w:rsidRPr="00B0020F">
        <w:rPr>
          <w:lang w:val="en-GB"/>
        </w:rPr>
        <w:t xml:space="preserve">3 June 2013. </w:t>
      </w:r>
    </w:p>
    <w:p w14:paraId="2823D595" w14:textId="77777777" w:rsidR="000336D4" w:rsidRDefault="00594B71">
      <w:pPr>
        <w:pStyle w:val="SingleTxtG"/>
        <w:rPr>
          <w:lang w:val="en-GB"/>
        </w:rPr>
      </w:pPr>
      <w:r>
        <w:rPr>
          <w:lang w:val="en-GB"/>
        </w:rPr>
        <w:t>2.</w:t>
      </w:r>
      <w:r w:rsidR="006B0052">
        <w:rPr>
          <w:lang w:val="en-GB"/>
        </w:rPr>
        <w:t>4</w:t>
      </w:r>
      <w:r>
        <w:rPr>
          <w:lang w:val="en-GB"/>
        </w:rPr>
        <w:tab/>
      </w:r>
      <w:r w:rsidR="00D6192D">
        <w:rPr>
          <w:lang w:val="en-GB"/>
        </w:rPr>
        <w:t xml:space="preserve">In </w:t>
      </w:r>
      <w:r w:rsidR="00994D1B">
        <w:rPr>
          <w:lang w:val="en-GB"/>
        </w:rPr>
        <w:t xml:space="preserve">its </w:t>
      </w:r>
      <w:r w:rsidR="00D6192D">
        <w:rPr>
          <w:lang w:val="en-GB"/>
        </w:rPr>
        <w:t>decision</w:t>
      </w:r>
      <w:r w:rsidR="00994D1B">
        <w:rPr>
          <w:lang w:val="en-GB"/>
        </w:rPr>
        <w:t xml:space="preserve"> of 13 June 2013</w:t>
      </w:r>
      <w:r w:rsidR="00D6192D">
        <w:rPr>
          <w:lang w:val="en-GB"/>
        </w:rPr>
        <w:t xml:space="preserve">, </w:t>
      </w:r>
      <w:r w:rsidR="0068591F">
        <w:rPr>
          <w:lang w:val="en-GB"/>
        </w:rPr>
        <w:t>t</w:t>
      </w:r>
      <w:r w:rsidR="009B7D58">
        <w:rPr>
          <w:lang w:val="en-GB"/>
        </w:rPr>
        <w:t xml:space="preserve">he Board </w:t>
      </w:r>
      <w:r w:rsidR="006B0052">
        <w:rPr>
          <w:lang w:val="en-GB"/>
        </w:rPr>
        <w:t xml:space="preserve">noted </w:t>
      </w:r>
      <w:r w:rsidR="00EA214A">
        <w:rPr>
          <w:lang w:val="en-GB"/>
        </w:rPr>
        <w:t>that the author</w:t>
      </w:r>
      <w:r w:rsidR="009B7D58">
        <w:rPr>
          <w:lang w:val="en-GB"/>
        </w:rPr>
        <w:t>s</w:t>
      </w:r>
      <w:r w:rsidR="00EA214A">
        <w:rPr>
          <w:lang w:val="en-GB"/>
        </w:rPr>
        <w:t xml:space="preserve"> and </w:t>
      </w:r>
      <w:r w:rsidR="009B7D58">
        <w:rPr>
          <w:lang w:val="en-GB"/>
        </w:rPr>
        <w:t xml:space="preserve">their </w:t>
      </w:r>
      <w:r w:rsidR="00EA214A">
        <w:rPr>
          <w:lang w:val="en-GB"/>
        </w:rPr>
        <w:t xml:space="preserve">family </w:t>
      </w:r>
      <w:r w:rsidR="006B0052">
        <w:rPr>
          <w:lang w:val="en-GB"/>
        </w:rPr>
        <w:t>had</w:t>
      </w:r>
      <w:r w:rsidR="006B0052" w:rsidRPr="00D6192D">
        <w:rPr>
          <w:lang w:val="en-GB"/>
        </w:rPr>
        <w:t xml:space="preserve"> </w:t>
      </w:r>
      <w:r w:rsidR="00D6192D" w:rsidRPr="00D6192D">
        <w:rPr>
          <w:lang w:val="en-GB"/>
        </w:rPr>
        <w:t>not been members of any political or religious associations or organi</w:t>
      </w:r>
      <w:r w:rsidR="006B0052">
        <w:rPr>
          <w:lang w:val="en-GB"/>
        </w:rPr>
        <w:t>z</w:t>
      </w:r>
      <w:r w:rsidR="00D6192D" w:rsidRPr="00D6192D">
        <w:rPr>
          <w:lang w:val="en-GB"/>
        </w:rPr>
        <w:t xml:space="preserve">ations, nor </w:t>
      </w:r>
      <w:r w:rsidR="006B0052">
        <w:rPr>
          <w:lang w:val="en-GB"/>
        </w:rPr>
        <w:t>had</w:t>
      </w:r>
      <w:r w:rsidR="006B0052" w:rsidRPr="00D6192D">
        <w:rPr>
          <w:lang w:val="en-GB"/>
        </w:rPr>
        <w:t xml:space="preserve"> </w:t>
      </w:r>
      <w:r w:rsidR="00D6192D" w:rsidRPr="00D6192D">
        <w:rPr>
          <w:lang w:val="en-GB"/>
        </w:rPr>
        <w:t xml:space="preserve">they been politically active in any other way. </w:t>
      </w:r>
      <w:r w:rsidR="00D6192D">
        <w:rPr>
          <w:lang w:val="en-GB"/>
        </w:rPr>
        <w:t>The</w:t>
      </w:r>
      <w:r w:rsidR="006B0052">
        <w:rPr>
          <w:lang w:val="en-GB"/>
        </w:rPr>
        <w:t>y</w:t>
      </w:r>
      <w:r w:rsidR="00D6192D">
        <w:rPr>
          <w:lang w:val="en-GB"/>
        </w:rPr>
        <w:t xml:space="preserve"> </w:t>
      </w:r>
      <w:r w:rsidR="00EA214A">
        <w:rPr>
          <w:lang w:val="en-GB"/>
        </w:rPr>
        <w:t>ha</w:t>
      </w:r>
      <w:r w:rsidR="000336D4">
        <w:rPr>
          <w:lang w:val="en-GB"/>
        </w:rPr>
        <w:t xml:space="preserve">d </w:t>
      </w:r>
      <w:r w:rsidR="00D6192D">
        <w:rPr>
          <w:lang w:val="en-GB"/>
        </w:rPr>
        <w:t xml:space="preserve">not had </w:t>
      </w:r>
      <w:r w:rsidR="000336D4">
        <w:rPr>
          <w:lang w:val="en-GB"/>
        </w:rPr>
        <w:t xml:space="preserve">any </w:t>
      </w:r>
      <w:r w:rsidR="00EA214A">
        <w:rPr>
          <w:lang w:val="en-GB"/>
        </w:rPr>
        <w:t xml:space="preserve">conflicts with the Pakistani </w:t>
      </w:r>
      <w:r w:rsidR="00EA214A">
        <w:rPr>
          <w:lang w:val="en-GB"/>
        </w:rPr>
        <w:lastRenderedPageBreak/>
        <w:t xml:space="preserve">authorities. </w:t>
      </w:r>
      <w:r w:rsidR="000336D4" w:rsidRPr="000336D4">
        <w:rPr>
          <w:lang w:val="en-GB"/>
        </w:rPr>
        <w:t>The Board found no basis for rejecting the statement of the applicant’s son</w:t>
      </w:r>
      <w:r w:rsidR="005664E5">
        <w:rPr>
          <w:lang w:val="en-GB" w:bidi="he-IL"/>
        </w:rPr>
        <w:t>,</w:t>
      </w:r>
      <w:r w:rsidR="000336D4" w:rsidRPr="000336D4">
        <w:rPr>
          <w:lang w:val="en-GB"/>
        </w:rPr>
        <w:t xml:space="preserve"> I.G.</w:t>
      </w:r>
      <w:r w:rsidR="005017E0">
        <w:rPr>
          <w:lang w:val="en-GB"/>
        </w:rPr>
        <w:t>,</w:t>
      </w:r>
      <w:r w:rsidR="000336D4" w:rsidRPr="000336D4">
        <w:rPr>
          <w:lang w:val="en-GB"/>
        </w:rPr>
        <w:t xml:space="preserve"> that he had been accosted and beaten by older boys from the same school</w:t>
      </w:r>
      <w:r>
        <w:rPr>
          <w:lang w:val="en-GB"/>
        </w:rPr>
        <w:t xml:space="preserve">, </w:t>
      </w:r>
      <w:r w:rsidR="006B0052">
        <w:rPr>
          <w:lang w:val="en-GB"/>
        </w:rPr>
        <w:t>or</w:t>
      </w:r>
      <w:r w:rsidR="006B0052" w:rsidRPr="000336D4">
        <w:rPr>
          <w:lang w:val="en-GB"/>
        </w:rPr>
        <w:t xml:space="preserve"> </w:t>
      </w:r>
      <w:r w:rsidR="000336D4" w:rsidRPr="000336D4">
        <w:rPr>
          <w:lang w:val="en-GB"/>
        </w:rPr>
        <w:t>for rejecting the applicant</w:t>
      </w:r>
      <w:r>
        <w:rPr>
          <w:lang w:val="en-GB"/>
        </w:rPr>
        <w:t>s</w:t>
      </w:r>
      <w:r w:rsidR="000336D4" w:rsidRPr="000336D4">
        <w:rPr>
          <w:lang w:val="en-GB"/>
        </w:rPr>
        <w:t xml:space="preserve">’ statement to the effect that, on leaving church </w:t>
      </w:r>
      <w:r w:rsidR="006B0052">
        <w:rPr>
          <w:lang w:val="en-GB"/>
        </w:rPr>
        <w:t>the following</w:t>
      </w:r>
      <w:r w:rsidR="006B0052" w:rsidRPr="000336D4">
        <w:rPr>
          <w:lang w:val="en-GB"/>
        </w:rPr>
        <w:t xml:space="preserve"> </w:t>
      </w:r>
      <w:r w:rsidR="000336D4" w:rsidRPr="000336D4">
        <w:rPr>
          <w:lang w:val="en-GB"/>
        </w:rPr>
        <w:t xml:space="preserve">Sunday, the family had been sought </w:t>
      </w:r>
      <w:r w:rsidR="006B0052">
        <w:rPr>
          <w:lang w:val="en-GB"/>
        </w:rPr>
        <w:t xml:space="preserve">out </w:t>
      </w:r>
      <w:r w:rsidR="000336D4" w:rsidRPr="000336D4">
        <w:rPr>
          <w:lang w:val="en-GB"/>
        </w:rPr>
        <w:t>by two of the older pupils and two other, slightly older</w:t>
      </w:r>
      <w:r w:rsidR="006B0052">
        <w:rPr>
          <w:lang w:val="en-GB"/>
        </w:rPr>
        <w:t>,</w:t>
      </w:r>
      <w:r w:rsidR="000336D4" w:rsidRPr="000336D4">
        <w:rPr>
          <w:lang w:val="en-GB"/>
        </w:rPr>
        <w:t xml:space="preserve"> men, </w:t>
      </w:r>
      <w:r w:rsidR="00C265C6">
        <w:rPr>
          <w:lang w:val="en-GB"/>
        </w:rPr>
        <w:t xml:space="preserve">who </w:t>
      </w:r>
      <w:r w:rsidR="000336D4" w:rsidRPr="000336D4">
        <w:rPr>
          <w:lang w:val="en-GB"/>
        </w:rPr>
        <w:t>had hit R.G. and I.G. an</w:t>
      </w:r>
      <w:r w:rsidR="000B31C5">
        <w:rPr>
          <w:lang w:val="en-GB"/>
        </w:rPr>
        <w:t xml:space="preserve">d pushed </w:t>
      </w:r>
      <w:r w:rsidR="005C4CEC">
        <w:rPr>
          <w:lang w:val="en-GB"/>
        </w:rPr>
        <w:t xml:space="preserve">R.G.’s </w:t>
      </w:r>
      <w:r w:rsidR="00432C41">
        <w:rPr>
          <w:lang w:val="en-GB"/>
        </w:rPr>
        <w:t xml:space="preserve">daughters. </w:t>
      </w:r>
      <w:r w:rsidR="000B31C5">
        <w:rPr>
          <w:lang w:val="en-GB"/>
        </w:rPr>
        <w:t>The</w:t>
      </w:r>
      <w:r>
        <w:rPr>
          <w:lang w:val="en-GB"/>
        </w:rPr>
        <w:t xml:space="preserve"> Board </w:t>
      </w:r>
      <w:r w:rsidR="00432C41">
        <w:rPr>
          <w:lang w:val="en-GB"/>
        </w:rPr>
        <w:t>stated</w:t>
      </w:r>
      <w:r w:rsidR="006B0052">
        <w:rPr>
          <w:lang w:val="en-GB"/>
        </w:rPr>
        <w:t>, however,</w:t>
      </w:r>
      <w:r w:rsidR="00432C41">
        <w:rPr>
          <w:lang w:val="en-GB"/>
        </w:rPr>
        <w:t xml:space="preserve"> </w:t>
      </w:r>
      <w:r>
        <w:rPr>
          <w:lang w:val="en-GB"/>
        </w:rPr>
        <w:t xml:space="preserve">that </w:t>
      </w:r>
      <w:r w:rsidR="000336D4" w:rsidRPr="000336D4">
        <w:rPr>
          <w:lang w:val="en-GB"/>
        </w:rPr>
        <w:t>R.G.’s statement about the fire</w:t>
      </w:r>
      <w:r>
        <w:rPr>
          <w:lang w:val="en-GB"/>
        </w:rPr>
        <w:t xml:space="preserve"> </w:t>
      </w:r>
      <w:r w:rsidR="000336D4" w:rsidRPr="000336D4">
        <w:rPr>
          <w:lang w:val="en-GB"/>
        </w:rPr>
        <w:t xml:space="preserve">appeared uncertain and fabricated for the occasion. The Board </w:t>
      </w:r>
      <w:r w:rsidR="00C265C6">
        <w:rPr>
          <w:lang w:val="en-GB"/>
        </w:rPr>
        <w:t>took</w:t>
      </w:r>
      <w:r w:rsidR="006B0052" w:rsidRPr="000336D4">
        <w:rPr>
          <w:lang w:val="en-GB"/>
        </w:rPr>
        <w:t xml:space="preserve"> </w:t>
      </w:r>
      <w:r w:rsidR="000336D4" w:rsidRPr="000336D4">
        <w:rPr>
          <w:lang w:val="en-GB"/>
        </w:rPr>
        <w:t xml:space="preserve">into account that it </w:t>
      </w:r>
      <w:r w:rsidR="00961FAD">
        <w:rPr>
          <w:lang w:val="en-GB"/>
        </w:rPr>
        <w:t>was</w:t>
      </w:r>
      <w:r w:rsidR="000336D4" w:rsidRPr="000336D4">
        <w:rPr>
          <w:lang w:val="en-GB"/>
        </w:rPr>
        <w:t xml:space="preserve"> difficult for </w:t>
      </w:r>
      <w:r>
        <w:rPr>
          <w:lang w:val="en-GB"/>
        </w:rPr>
        <w:t>R.G.</w:t>
      </w:r>
      <w:r w:rsidR="000336D4" w:rsidRPr="000336D4">
        <w:rPr>
          <w:lang w:val="en-GB"/>
        </w:rPr>
        <w:t xml:space="preserve"> to determine exactly </w:t>
      </w:r>
      <w:r w:rsidR="00D6192D">
        <w:rPr>
          <w:lang w:val="en-GB"/>
        </w:rPr>
        <w:t xml:space="preserve">and consistently </w:t>
      </w:r>
      <w:r w:rsidR="000336D4" w:rsidRPr="000336D4">
        <w:rPr>
          <w:lang w:val="en-GB"/>
        </w:rPr>
        <w:t>when</w:t>
      </w:r>
      <w:r>
        <w:rPr>
          <w:lang w:val="en-GB"/>
        </w:rPr>
        <w:t xml:space="preserve"> and how</w:t>
      </w:r>
      <w:r w:rsidR="000336D4" w:rsidRPr="000336D4">
        <w:rPr>
          <w:lang w:val="en-GB"/>
        </w:rPr>
        <w:t xml:space="preserve"> she </w:t>
      </w:r>
      <w:r w:rsidR="00C265C6">
        <w:rPr>
          <w:lang w:val="en-GB"/>
        </w:rPr>
        <w:t xml:space="preserve">had </w:t>
      </w:r>
      <w:r w:rsidR="000336D4" w:rsidRPr="000336D4">
        <w:rPr>
          <w:lang w:val="en-GB"/>
        </w:rPr>
        <w:t xml:space="preserve">discovered that one of the rooms </w:t>
      </w:r>
      <w:r w:rsidR="006B0052">
        <w:rPr>
          <w:lang w:val="en-GB"/>
        </w:rPr>
        <w:t xml:space="preserve">in the house </w:t>
      </w:r>
      <w:r w:rsidR="000336D4" w:rsidRPr="000336D4">
        <w:rPr>
          <w:lang w:val="en-GB"/>
        </w:rPr>
        <w:t>was on fire</w:t>
      </w:r>
      <w:r w:rsidR="006B0052">
        <w:rPr>
          <w:lang w:val="en-GB"/>
        </w:rPr>
        <w:t>, but it</w:t>
      </w:r>
      <w:r w:rsidR="004D4342">
        <w:rPr>
          <w:lang w:val="en-GB"/>
        </w:rPr>
        <w:t xml:space="preserve"> </w:t>
      </w:r>
      <w:r w:rsidR="000336D4" w:rsidRPr="000336D4">
        <w:rPr>
          <w:lang w:val="en-GB"/>
        </w:rPr>
        <w:t xml:space="preserve">could not </w:t>
      </w:r>
      <w:r>
        <w:rPr>
          <w:lang w:val="en-GB"/>
        </w:rPr>
        <w:t>consider</w:t>
      </w:r>
      <w:r w:rsidRPr="000336D4">
        <w:rPr>
          <w:lang w:val="en-GB"/>
        </w:rPr>
        <w:t xml:space="preserve"> </w:t>
      </w:r>
      <w:r w:rsidR="006B0052">
        <w:rPr>
          <w:lang w:val="en-GB"/>
        </w:rPr>
        <w:t xml:space="preserve">it to </w:t>
      </w:r>
      <w:r w:rsidR="0034683D">
        <w:rPr>
          <w:lang w:val="en-GB"/>
        </w:rPr>
        <w:t>have been established as</w:t>
      </w:r>
      <w:r w:rsidR="000336D4" w:rsidRPr="000336D4">
        <w:rPr>
          <w:lang w:val="en-GB"/>
        </w:rPr>
        <w:t xml:space="preserve"> fact that the applicant’s home was set on fire on 27 May 2012.</w:t>
      </w:r>
      <w:r w:rsidR="000B31C5">
        <w:rPr>
          <w:rStyle w:val="FootnoteReference"/>
          <w:lang w:val="en-GB"/>
        </w:rPr>
        <w:footnoteReference w:id="6"/>
      </w:r>
      <w:r w:rsidR="000336D4" w:rsidRPr="000336D4">
        <w:rPr>
          <w:lang w:val="en-GB"/>
        </w:rPr>
        <w:t xml:space="preserve"> </w:t>
      </w:r>
      <w:r w:rsidR="00D6192D">
        <w:rPr>
          <w:lang w:val="en-GB"/>
        </w:rPr>
        <w:t xml:space="preserve">The Board also noted that the </w:t>
      </w:r>
      <w:r w:rsidR="000336D4" w:rsidRPr="000336D4">
        <w:rPr>
          <w:lang w:val="en-GB"/>
        </w:rPr>
        <w:t>authors ha</w:t>
      </w:r>
      <w:r w:rsidR="00D6192D">
        <w:rPr>
          <w:lang w:val="en-GB"/>
        </w:rPr>
        <w:t xml:space="preserve">d </w:t>
      </w:r>
      <w:r w:rsidR="000336D4" w:rsidRPr="000336D4">
        <w:rPr>
          <w:lang w:val="en-GB"/>
        </w:rPr>
        <w:t xml:space="preserve">not reported the incidents at the school and outside the church to the authorities. </w:t>
      </w:r>
      <w:r w:rsidR="006B0052">
        <w:rPr>
          <w:lang w:val="en-GB"/>
        </w:rPr>
        <w:t>It</w:t>
      </w:r>
      <w:r w:rsidR="000336D4" w:rsidRPr="000336D4">
        <w:rPr>
          <w:lang w:val="en-GB"/>
        </w:rPr>
        <w:t xml:space="preserve"> found that the isolated incidents</w:t>
      </w:r>
      <w:r w:rsidR="00690E18">
        <w:rPr>
          <w:lang w:val="en-GB"/>
        </w:rPr>
        <w:t xml:space="preserve"> referred to by the authors</w:t>
      </w:r>
      <w:r w:rsidR="000336D4" w:rsidRPr="000336D4">
        <w:rPr>
          <w:lang w:val="en-GB"/>
        </w:rPr>
        <w:t xml:space="preserve"> related to disagreement</w:t>
      </w:r>
      <w:r w:rsidR="00690E18">
        <w:rPr>
          <w:lang w:val="en-GB"/>
        </w:rPr>
        <w:t>s</w:t>
      </w:r>
      <w:r w:rsidR="000336D4" w:rsidRPr="000336D4">
        <w:rPr>
          <w:lang w:val="en-GB"/>
        </w:rPr>
        <w:t xml:space="preserve"> between the a</w:t>
      </w:r>
      <w:r w:rsidR="000336D4">
        <w:rPr>
          <w:lang w:val="en-GB"/>
        </w:rPr>
        <w:t xml:space="preserve">uthor’s </w:t>
      </w:r>
      <w:r w:rsidR="000336D4" w:rsidRPr="000336D4">
        <w:rPr>
          <w:lang w:val="en-GB"/>
        </w:rPr>
        <w:t>son and some</w:t>
      </w:r>
      <w:r w:rsidR="006B0052">
        <w:rPr>
          <w:lang w:val="en-GB"/>
        </w:rPr>
        <w:t xml:space="preserve"> of his</w:t>
      </w:r>
      <w:r w:rsidR="000336D4" w:rsidRPr="000336D4">
        <w:rPr>
          <w:lang w:val="en-GB"/>
        </w:rPr>
        <w:t xml:space="preserve"> schoolmates</w:t>
      </w:r>
      <w:r w:rsidR="00690E18">
        <w:rPr>
          <w:lang w:val="en-GB"/>
        </w:rPr>
        <w:t xml:space="preserve"> </w:t>
      </w:r>
      <w:r w:rsidR="00C265C6">
        <w:rPr>
          <w:lang w:val="en-GB"/>
        </w:rPr>
        <w:t xml:space="preserve">and </w:t>
      </w:r>
      <w:r w:rsidR="00690E18">
        <w:rPr>
          <w:lang w:val="en-GB"/>
        </w:rPr>
        <w:t xml:space="preserve">could not be the basis </w:t>
      </w:r>
      <w:r w:rsidR="00C265C6">
        <w:rPr>
          <w:lang w:val="en-GB"/>
        </w:rPr>
        <w:t xml:space="preserve">for </w:t>
      </w:r>
      <w:r w:rsidR="00690E18">
        <w:rPr>
          <w:lang w:val="en-GB"/>
        </w:rPr>
        <w:t>grant</w:t>
      </w:r>
      <w:r w:rsidR="00C265C6">
        <w:rPr>
          <w:lang w:val="en-GB"/>
        </w:rPr>
        <w:t>ing</w:t>
      </w:r>
      <w:r w:rsidR="00690E18">
        <w:rPr>
          <w:lang w:val="en-GB"/>
        </w:rPr>
        <w:t xml:space="preserve"> the authors </w:t>
      </w:r>
      <w:r w:rsidR="000336D4" w:rsidRPr="000336D4">
        <w:rPr>
          <w:lang w:val="en-GB"/>
        </w:rPr>
        <w:t>protection status under section 7 of the Aliens Act</w:t>
      </w:r>
      <w:r w:rsidR="00690E18">
        <w:rPr>
          <w:lang w:val="en-GB"/>
        </w:rPr>
        <w:t>. The Board considered that</w:t>
      </w:r>
      <w:r w:rsidR="000B31C5">
        <w:rPr>
          <w:lang w:val="en-GB"/>
        </w:rPr>
        <w:t xml:space="preserve"> the</w:t>
      </w:r>
      <w:r w:rsidR="00C265C6">
        <w:rPr>
          <w:lang w:val="en-GB"/>
        </w:rPr>
        <w:t xml:space="preserve"> issue</w:t>
      </w:r>
      <w:r w:rsidR="00690E18">
        <w:rPr>
          <w:lang w:val="en-GB"/>
        </w:rPr>
        <w:t xml:space="preserve"> </w:t>
      </w:r>
      <w:r w:rsidR="00C265C6">
        <w:rPr>
          <w:lang w:val="en-GB"/>
        </w:rPr>
        <w:t>was</w:t>
      </w:r>
      <w:r w:rsidR="000336D4" w:rsidRPr="000336D4">
        <w:rPr>
          <w:lang w:val="en-GB"/>
        </w:rPr>
        <w:t xml:space="preserve"> a private</w:t>
      </w:r>
      <w:r w:rsidR="0034683D">
        <w:rPr>
          <w:lang w:val="en-GB"/>
        </w:rPr>
        <w:t xml:space="preserve"> </w:t>
      </w:r>
      <w:r w:rsidR="000336D4" w:rsidRPr="000336D4">
        <w:rPr>
          <w:lang w:val="en-GB"/>
        </w:rPr>
        <w:t xml:space="preserve">law conflict </w:t>
      </w:r>
      <w:r w:rsidR="00961FAD">
        <w:rPr>
          <w:lang w:val="en-GB"/>
        </w:rPr>
        <w:t>that</w:t>
      </w:r>
      <w:r w:rsidR="00961FAD" w:rsidRPr="000336D4">
        <w:rPr>
          <w:lang w:val="en-GB"/>
        </w:rPr>
        <w:t xml:space="preserve"> </w:t>
      </w:r>
      <w:r w:rsidR="00C265C6">
        <w:rPr>
          <w:lang w:val="en-GB"/>
        </w:rPr>
        <w:t>was</w:t>
      </w:r>
      <w:r w:rsidR="00C265C6" w:rsidRPr="000336D4">
        <w:rPr>
          <w:lang w:val="en-GB"/>
        </w:rPr>
        <w:t xml:space="preserve"> </w:t>
      </w:r>
      <w:r w:rsidR="000336D4" w:rsidRPr="000336D4">
        <w:rPr>
          <w:lang w:val="en-GB"/>
        </w:rPr>
        <w:t xml:space="preserve">not of </w:t>
      </w:r>
      <w:r w:rsidR="00C265C6">
        <w:rPr>
          <w:lang w:val="en-GB"/>
        </w:rPr>
        <w:t>an</w:t>
      </w:r>
      <w:r w:rsidR="00C265C6" w:rsidRPr="000336D4">
        <w:rPr>
          <w:lang w:val="en-GB"/>
        </w:rPr>
        <w:t xml:space="preserve"> </w:t>
      </w:r>
      <w:r w:rsidR="000336D4" w:rsidRPr="000336D4">
        <w:rPr>
          <w:lang w:val="en-GB"/>
        </w:rPr>
        <w:t xml:space="preserve">intensity or nature that </w:t>
      </w:r>
      <w:r w:rsidR="00690E18" w:rsidRPr="000336D4">
        <w:rPr>
          <w:lang w:val="en-GB"/>
        </w:rPr>
        <w:t>c</w:t>
      </w:r>
      <w:r w:rsidR="00690E18">
        <w:rPr>
          <w:lang w:val="en-GB"/>
        </w:rPr>
        <w:t>ould</w:t>
      </w:r>
      <w:r w:rsidR="00690E18" w:rsidRPr="000336D4">
        <w:rPr>
          <w:lang w:val="en-GB"/>
        </w:rPr>
        <w:t xml:space="preserve"> </w:t>
      </w:r>
      <w:r w:rsidR="000336D4" w:rsidRPr="000336D4">
        <w:rPr>
          <w:lang w:val="en-GB"/>
        </w:rPr>
        <w:t xml:space="preserve">justify </w:t>
      </w:r>
      <w:r w:rsidR="00C265C6">
        <w:rPr>
          <w:lang w:val="en-GB"/>
        </w:rPr>
        <w:t xml:space="preserve">the granting of </w:t>
      </w:r>
      <w:r w:rsidR="000336D4" w:rsidRPr="000336D4">
        <w:rPr>
          <w:lang w:val="en-GB"/>
        </w:rPr>
        <w:t>asylum</w:t>
      </w:r>
      <w:r w:rsidR="00690E18">
        <w:rPr>
          <w:lang w:val="en-GB"/>
        </w:rPr>
        <w:t xml:space="preserve"> </w:t>
      </w:r>
      <w:r w:rsidR="00C265C6">
        <w:rPr>
          <w:lang w:val="en-GB"/>
        </w:rPr>
        <w:t xml:space="preserve">on the basis of a </w:t>
      </w:r>
      <w:r w:rsidR="00690E18">
        <w:rPr>
          <w:lang w:val="en-GB"/>
        </w:rPr>
        <w:t>risk of p</w:t>
      </w:r>
      <w:r w:rsidR="004D4342">
        <w:rPr>
          <w:lang w:val="en-GB"/>
        </w:rPr>
        <w:t>e</w:t>
      </w:r>
      <w:r w:rsidR="00690E18">
        <w:rPr>
          <w:lang w:val="en-GB"/>
        </w:rPr>
        <w:t>rsecution or abuse</w:t>
      </w:r>
      <w:r w:rsidR="000336D4" w:rsidRPr="000336D4">
        <w:rPr>
          <w:lang w:val="en-GB"/>
        </w:rPr>
        <w:t xml:space="preserve"> under section</w:t>
      </w:r>
      <w:r w:rsidR="00690E18">
        <w:rPr>
          <w:lang w:val="en-GB"/>
        </w:rPr>
        <w:t>s</w:t>
      </w:r>
      <w:r w:rsidR="000336D4" w:rsidRPr="000336D4">
        <w:rPr>
          <w:lang w:val="en-GB"/>
        </w:rPr>
        <w:t xml:space="preserve"> 7</w:t>
      </w:r>
      <w:r w:rsidR="00C265C6">
        <w:rPr>
          <w:lang w:val="en-GB"/>
        </w:rPr>
        <w:t xml:space="preserve"> </w:t>
      </w:r>
      <w:r w:rsidR="000336D4" w:rsidRPr="000336D4">
        <w:rPr>
          <w:lang w:val="en-GB"/>
        </w:rPr>
        <w:t xml:space="preserve">(1) </w:t>
      </w:r>
      <w:r w:rsidR="00690E18">
        <w:rPr>
          <w:lang w:val="en-GB"/>
        </w:rPr>
        <w:t>or 7</w:t>
      </w:r>
      <w:r w:rsidR="00C265C6">
        <w:rPr>
          <w:lang w:val="en-GB"/>
        </w:rPr>
        <w:t xml:space="preserve"> </w:t>
      </w:r>
      <w:r w:rsidR="00690E18">
        <w:rPr>
          <w:lang w:val="en-GB"/>
        </w:rPr>
        <w:t xml:space="preserve">(2) </w:t>
      </w:r>
      <w:r w:rsidR="000336D4" w:rsidRPr="000336D4">
        <w:rPr>
          <w:lang w:val="en-GB"/>
        </w:rPr>
        <w:t>of the Aliens Act</w:t>
      </w:r>
      <w:r w:rsidR="004D4342">
        <w:rPr>
          <w:lang w:val="en-GB"/>
        </w:rPr>
        <w:t xml:space="preserve">, </w:t>
      </w:r>
      <w:r w:rsidR="00C265C6">
        <w:rPr>
          <w:lang w:val="en-GB"/>
        </w:rPr>
        <w:t xml:space="preserve">should </w:t>
      </w:r>
      <w:r w:rsidR="0034683D">
        <w:rPr>
          <w:lang w:val="en-GB"/>
        </w:rPr>
        <w:t>the authors</w:t>
      </w:r>
      <w:r w:rsidR="00C265C6">
        <w:rPr>
          <w:lang w:val="en-GB"/>
        </w:rPr>
        <w:t xml:space="preserve"> be returned</w:t>
      </w:r>
      <w:r w:rsidR="000336D4" w:rsidRPr="000336D4">
        <w:rPr>
          <w:lang w:val="en-GB"/>
        </w:rPr>
        <w:t xml:space="preserve"> to Pakistan</w:t>
      </w:r>
      <w:r w:rsidR="004D4342">
        <w:rPr>
          <w:lang w:val="en-GB"/>
        </w:rPr>
        <w:t xml:space="preserve">. </w:t>
      </w:r>
      <w:r w:rsidR="000336D4" w:rsidRPr="000336D4">
        <w:rPr>
          <w:lang w:val="en-GB"/>
        </w:rPr>
        <w:t>The Board therefore upheld the decision of the Danish Immigration Service of 22</w:t>
      </w:r>
      <w:r w:rsidR="00B770B5">
        <w:rPr>
          <w:lang w:val="en-GB"/>
        </w:rPr>
        <w:t> </w:t>
      </w:r>
      <w:r w:rsidR="000336D4" w:rsidRPr="000336D4">
        <w:rPr>
          <w:lang w:val="en-GB"/>
        </w:rPr>
        <w:t>March 2013.</w:t>
      </w:r>
    </w:p>
    <w:p w14:paraId="01C58036" w14:textId="77777777" w:rsidR="00D868D3" w:rsidRDefault="00ED74C0" w:rsidP="00232334">
      <w:pPr>
        <w:pStyle w:val="SingleTxtG"/>
        <w:rPr>
          <w:lang w:val="en-GB"/>
        </w:rPr>
      </w:pPr>
      <w:r>
        <w:rPr>
          <w:lang w:val="en-GB"/>
        </w:rPr>
        <w:t>2.</w:t>
      </w:r>
      <w:r w:rsidR="00E2703B">
        <w:rPr>
          <w:lang w:val="en-GB"/>
        </w:rPr>
        <w:t>5</w:t>
      </w:r>
      <w:r w:rsidR="00994E66">
        <w:rPr>
          <w:lang w:val="en-GB"/>
        </w:rPr>
        <w:tab/>
      </w:r>
      <w:r w:rsidR="00690E18">
        <w:rPr>
          <w:lang w:val="en-GB"/>
        </w:rPr>
        <w:t xml:space="preserve">The authors further </w:t>
      </w:r>
      <w:r w:rsidR="00C265C6">
        <w:rPr>
          <w:lang w:val="en-GB"/>
        </w:rPr>
        <w:t xml:space="preserve">report </w:t>
      </w:r>
      <w:r w:rsidR="00690E18">
        <w:rPr>
          <w:lang w:val="en-GB"/>
        </w:rPr>
        <w:t xml:space="preserve">that </w:t>
      </w:r>
      <w:r w:rsidR="00690E18" w:rsidRPr="00D868D3">
        <w:rPr>
          <w:lang w:val="en-GB"/>
        </w:rPr>
        <w:t>in April 2012</w:t>
      </w:r>
      <w:r w:rsidR="00690E18">
        <w:rPr>
          <w:lang w:val="en-GB"/>
        </w:rPr>
        <w:t>, G</w:t>
      </w:r>
      <w:r w:rsidR="00DD3FBE">
        <w:rPr>
          <w:lang w:val="en-GB"/>
        </w:rPr>
        <w:t xml:space="preserve">, </w:t>
      </w:r>
      <w:r w:rsidR="00690E18">
        <w:rPr>
          <w:lang w:val="en-GB"/>
        </w:rPr>
        <w:t>a</w:t>
      </w:r>
      <w:r w:rsidR="00690E18" w:rsidRPr="00D868D3">
        <w:rPr>
          <w:lang w:val="en-GB"/>
        </w:rPr>
        <w:t xml:space="preserve">nother </w:t>
      </w:r>
      <w:r w:rsidR="00961FAD">
        <w:rPr>
          <w:lang w:val="en-GB"/>
        </w:rPr>
        <w:t xml:space="preserve">of R.G.’s </w:t>
      </w:r>
      <w:r w:rsidR="00D868D3" w:rsidRPr="00D868D3">
        <w:rPr>
          <w:lang w:val="en-GB"/>
        </w:rPr>
        <w:t>son</w:t>
      </w:r>
      <w:r w:rsidR="00961FAD">
        <w:rPr>
          <w:lang w:val="en-GB"/>
        </w:rPr>
        <w:t>s</w:t>
      </w:r>
      <w:r w:rsidR="00DD3FBE">
        <w:rPr>
          <w:lang w:val="en-GB"/>
        </w:rPr>
        <w:t xml:space="preserve">, </w:t>
      </w:r>
      <w:r w:rsidR="00690E18">
        <w:rPr>
          <w:lang w:val="en-GB"/>
        </w:rPr>
        <w:t xml:space="preserve">had </w:t>
      </w:r>
      <w:r w:rsidR="00D868D3" w:rsidRPr="00D868D3">
        <w:rPr>
          <w:lang w:val="en-GB"/>
        </w:rPr>
        <w:t>married a Muslim woman</w:t>
      </w:r>
      <w:r w:rsidR="00D66BC3">
        <w:rPr>
          <w:lang w:val="en-GB"/>
        </w:rPr>
        <w:t xml:space="preserve">, </w:t>
      </w:r>
      <w:r w:rsidR="00D868D3" w:rsidRPr="00D868D3">
        <w:rPr>
          <w:lang w:val="en-GB"/>
        </w:rPr>
        <w:t xml:space="preserve">who </w:t>
      </w:r>
      <w:r w:rsidR="00C265C6">
        <w:rPr>
          <w:lang w:val="en-GB"/>
        </w:rPr>
        <w:t xml:space="preserve">later </w:t>
      </w:r>
      <w:r w:rsidR="00D868D3" w:rsidRPr="00D868D3">
        <w:rPr>
          <w:lang w:val="en-GB"/>
        </w:rPr>
        <w:t xml:space="preserve">converted to Christianity. </w:t>
      </w:r>
      <w:r w:rsidR="004B5612">
        <w:rPr>
          <w:lang w:val="en-GB"/>
        </w:rPr>
        <w:t>T</w:t>
      </w:r>
      <w:r w:rsidR="00D66BC3">
        <w:rPr>
          <w:lang w:val="en-GB"/>
        </w:rPr>
        <w:t xml:space="preserve">he authors’ family </w:t>
      </w:r>
      <w:r w:rsidR="004B5612">
        <w:rPr>
          <w:lang w:val="en-GB"/>
        </w:rPr>
        <w:t xml:space="preserve">broke off </w:t>
      </w:r>
      <w:r w:rsidR="00B01B95">
        <w:rPr>
          <w:lang w:val="en-GB" w:bidi="he-IL"/>
        </w:rPr>
        <w:t xml:space="preserve">its </w:t>
      </w:r>
      <w:r w:rsidR="00690E18">
        <w:rPr>
          <w:lang w:val="en-GB"/>
        </w:rPr>
        <w:t>relation</w:t>
      </w:r>
      <w:r w:rsidR="00DD3FBE">
        <w:rPr>
          <w:lang w:val="en-GB"/>
        </w:rPr>
        <w:t>s</w:t>
      </w:r>
      <w:r w:rsidR="00D868D3" w:rsidRPr="00D868D3">
        <w:rPr>
          <w:lang w:val="en-GB"/>
        </w:rPr>
        <w:t xml:space="preserve"> with </w:t>
      </w:r>
      <w:r w:rsidR="004B5612">
        <w:rPr>
          <w:lang w:val="en-GB"/>
        </w:rPr>
        <w:t>G in</w:t>
      </w:r>
      <w:r w:rsidR="004B5612" w:rsidRPr="00D868D3">
        <w:rPr>
          <w:lang w:val="en-GB"/>
        </w:rPr>
        <w:t xml:space="preserve"> </w:t>
      </w:r>
      <w:r w:rsidR="00D868D3" w:rsidRPr="00D868D3">
        <w:rPr>
          <w:lang w:val="en-GB"/>
        </w:rPr>
        <w:t>2011</w:t>
      </w:r>
      <w:r w:rsidR="003B0742">
        <w:rPr>
          <w:lang w:val="en-GB"/>
        </w:rPr>
        <w:t xml:space="preserve"> because they were</w:t>
      </w:r>
      <w:r w:rsidR="008A5352">
        <w:rPr>
          <w:lang w:val="en-GB"/>
        </w:rPr>
        <w:t xml:space="preserve"> offended </w:t>
      </w:r>
      <w:r w:rsidR="003B0742">
        <w:rPr>
          <w:lang w:val="en-GB"/>
        </w:rPr>
        <w:t>that he would have a relationship with a non-Christian woman</w:t>
      </w:r>
      <w:r w:rsidR="00D868D3" w:rsidRPr="00D868D3">
        <w:rPr>
          <w:lang w:val="en-GB"/>
        </w:rPr>
        <w:t xml:space="preserve">. </w:t>
      </w:r>
      <w:r w:rsidR="003B0742">
        <w:rPr>
          <w:lang w:val="en-GB"/>
        </w:rPr>
        <w:t>The authors claim</w:t>
      </w:r>
      <w:r w:rsidR="00D868D3" w:rsidRPr="00D868D3">
        <w:rPr>
          <w:lang w:val="en-GB"/>
        </w:rPr>
        <w:t xml:space="preserve"> that in May and November 2011</w:t>
      </w:r>
      <w:r w:rsidR="00A94070">
        <w:rPr>
          <w:lang w:val="en-GB"/>
        </w:rPr>
        <w:t xml:space="preserve">, </w:t>
      </w:r>
      <w:r w:rsidR="003B0742">
        <w:rPr>
          <w:lang w:val="en-GB"/>
        </w:rPr>
        <w:t>G</w:t>
      </w:r>
      <w:r w:rsidR="003B0742" w:rsidRPr="00D868D3">
        <w:rPr>
          <w:lang w:val="en-GB"/>
        </w:rPr>
        <w:t xml:space="preserve"> </w:t>
      </w:r>
      <w:r w:rsidR="00D868D3" w:rsidRPr="00D868D3">
        <w:rPr>
          <w:lang w:val="en-GB"/>
        </w:rPr>
        <w:t xml:space="preserve">was </w:t>
      </w:r>
      <w:r w:rsidR="00C265C6">
        <w:rPr>
          <w:lang w:val="en-GB"/>
        </w:rPr>
        <w:t xml:space="preserve">shot at on several occasions </w:t>
      </w:r>
      <w:r w:rsidR="003B0742">
        <w:rPr>
          <w:lang w:val="en-GB"/>
        </w:rPr>
        <w:t>because of</w:t>
      </w:r>
      <w:r w:rsidR="00D868D3" w:rsidRPr="00D868D3">
        <w:rPr>
          <w:lang w:val="en-GB"/>
        </w:rPr>
        <w:t xml:space="preserve"> </w:t>
      </w:r>
      <w:r w:rsidR="00C265C6">
        <w:rPr>
          <w:lang w:val="en-GB"/>
        </w:rPr>
        <w:t>the</w:t>
      </w:r>
      <w:r w:rsidR="00C265C6" w:rsidRPr="00D868D3">
        <w:rPr>
          <w:lang w:val="en-GB"/>
        </w:rPr>
        <w:t xml:space="preserve"> </w:t>
      </w:r>
      <w:r w:rsidR="00D868D3" w:rsidRPr="00D868D3">
        <w:rPr>
          <w:lang w:val="en-GB"/>
        </w:rPr>
        <w:t>relationship</w:t>
      </w:r>
      <w:r w:rsidR="003B0742">
        <w:rPr>
          <w:lang w:val="en-GB"/>
        </w:rPr>
        <w:t>. He therefore left Pakistan with the woman on</w:t>
      </w:r>
      <w:r w:rsidR="003B0742" w:rsidRPr="00D868D3">
        <w:rPr>
          <w:lang w:val="en-GB"/>
        </w:rPr>
        <w:t xml:space="preserve"> an unspecified date</w:t>
      </w:r>
      <w:r w:rsidR="0034683D">
        <w:rPr>
          <w:lang w:val="en-GB"/>
        </w:rPr>
        <w:t>,</w:t>
      </w:r>
      <w:r w:rsidR="00D868D3" w:rsidRPr="00D868D3">
        <w:rPr>
          <w:lang w:val="en-GB"/>
        </w:rPr>
        <w:t xml:space="preserve"> after </w:t>
      </w:r>
      <w:r w:rsidR="00C265C6">
        <w:rPr>
          <w:lang w:val="en-GB"/>
        </w:rPr>
        <w:t>marrying</w:t>
      </w:r>
      <w:r w:rsidR="003B0742">
        <w:rPr>
          <w:lang w:val="en-GB"/>
        </w:rPr>
        <w:t xml:space="preserve"> her. O</w:t>
      </w:r>
      <w:r w:rsidR="00D868D3" w:rsidRPr="00D868D3">
        <w:rPr>
          <w:lang w:val="en-GB"/>
        </w:rPr>
        <w:t>n 24 June 2013</w:t>
      </w:r>
      <w:r w:rsidR="003B0742">
        <w:rPr>
          <w:lang w:val="en-GB"/>
        </w:rPr>
        <w:t>,</w:t>
      </w:r>
      <w:r w:rsidR="00D868D3" w:rsidRPr="00D868D3">
        <w:rPr>
          <w:lang w:val="en-GB"/>
        </w:rPr>
        <w:t xml:space="preserve"> the couple was granted </w:t>
      </w:r>
      <w:r w:rsidR="009F7508" w:rsidRPr="006339C1">
        <w:rPr>
          <w:lang w:val="en-GB"/>
        </w:rPr>
        <w:t>asylum</w:t>
      </w:r>
      <w:r w:rsidR="009F7508">
        <w:rPr>
          <w:lang w:val="en-GB"/>
        </w:rPr>
        <w:t xml:space="preserve"> </w:t>
      </w:r>
      <w:r w:rsidR="00D868D3" w:rsidRPr="00D868D3">
        <w:rPr>
          <w:lang w:val="en-GB"/>
        </w:rPr>
        <w:t>in Denmark</w:t>
      </w:r>
      <w:r w:rsidR="006339C1">
        <w:rPr>
          <w:lang w:val="en-GB"/>
        </w:rPr>
        <w:t xml:space="preserve"> under section 7 (1) of the Danish Aliens Act</w:t>
      </w:r>
      <w:r w:rsidR="003B0742">
        <w:rPr>
          <w:lang w:val="en-GB"/>
        </w:rPr>
        <w:t xml:space="preserve"> because of the harassment they had suffered from </w:t>
      </w:r>
      <w:r w:rsidR="000B7ADE">
        <w:rPr>
          <w:lang w:val="en-GB"/>
        </w:rPr>
        <w:t xml:space="preserve">the woman’s family and the local population </w:t>
      </w:r>
      <w:r w:rsidR="00961FAD">
        <w:rPr>
          <w:lang w:val="en-GB"/>
        </w:rPr>
        <w:t xml:space="preserve">in </w:t>
      </w:r>
      <w:r w:rsidR="000B7ADE">
        <w:rPr>
          <w:lang w:val="en-GB"/>
        </w:rPr>
        <w:t>Islamabad</w:t>
      </w:r>
      <w:r w:rsidR="00DD3FBE">
        <w:rPr>
          <w:lang w:val="en-GB"/>
        </w:rPr>
        <w:t xml:space="preserve">, where they lived, </w:t>
      </w:r>
      <w:r w:rsidR="000B7ADE">
        <w:rPr>
          <w:lang w:val="en-GB"/>
        </w:rPr>
        <w:t>after her conversion to Christianity</w:t>
      </w:r>
      <w:r w:rsidR="006339C1">
        <w:rPr>
          <w:lang w:val="en-GB"/>
        </w:rPr>
        <w:t>.</w:t>
      </w:r>
      <w:r w:rsidR="006339C1">
        <w:rPr>
          <w:rStyle w:val="FootnoteReference"/>
          <w:lang w:val="en-GB"/>
        </w:rPr>
        <w:footnoteReference w:id="7"/>
      </w:r>
      <w:r w:rsidR="004F0156">
        <w:rPr>
          <w:lang w:val="en-GB"/>
        </w:rPr>
        <w:t xml:space="preserve"> </w:t>
      </w:r>
      <w:r w:rsidR="00D868D3" w:rsidRPr="00D868D3">
        <w:rPr>
          <w:lang w:val="en-GB"/>
        </w:rPr>
        <w:t xml:space="preserve">In deliberating on the couple’s application for asylum, the Board </w:t>
      </w:r>
      <w:r w:rsidR="000B7ADE">
        <w:rPr>
          <w:lang w:val="en-GB"/>
        </w:rPr>
        <w:t xml:space="preserve">accepted the assumption that the </w:t>
      </w:r>
      <w:r w:rsidR="00D868D3" w:rsidRPr="00D868D3">
        <w:rPr>
          <w:lang w:val="en-GB"/>
        </w:rPr>
        <w:t>father</w:t>
      </w:r>
      <w:r w:rsidR="000B7ADE">
        <w:rPr>
          <w:lang w:val="en-GB"/>
        </w:rPr>
        <w:t xml:space="preserve"> of G’s wife</w:t>
      </w:r>
      <w:r w:rsidR="00D868D3" w:rsidRPr="00D868D3">
        <w:rPr>
          <w:lang w:val="en-GB"/>
        </w:rPr>
        <w:t xml:space="preserve"> was </w:t>
      </w:r>
      <w:r w:rsidR="004F0156">
        <w:rPr>
          <w:lang w:val="en-GB"/>
        </w:rPr>
        <w:t xml:space="preserve">probably </w:t>
      </w:r>
      <w:r w:rsidR="00D868D3" w:rsidRPr="00D868D3">
        <w:rPr>
          <w:lang w:val="en-GB"/>
        </w:rPr>
        <w:t>behind the shooting attacks of 2011.</w:t>
      </w:r>
    </w:p>
    <w:p w14:paraId="10D44B3F" w14:textId="77777777" w:rsidR="00D868D3" w:rsidRDefault="009B4E6F" w:rsidP="00232334">
      <w:pPr>
        <w:pStyle w:val="SingleTxtG"/>
        <w:rPr>
          <w:lang w:val="en-GB"/>
        </w:rPr>
      </w:pPr>
      <w:r>
        <w:rPr>
          <w:lang w:val="en-GB"/>
        </w:rPr>
        <w:t>2.</w:t>
      </w:r>
      <w:r w:rsidR="00E2703B">
        <w:rPr>
          <w:lang w:val="en-GB"/>
        </w:rPr>
        <w:t>6</w:t>
      </w:r>
      <w:r>
        <w:rPr>
          <w:lang w:val="en-GB"/>
        </w:rPr>
        <w:tab/>
      </w:r>
      <w:r w:rsidR="006418CC">
        <w:rPr>
          <w:lang w:val="en-GB"/>
        </w:rPr>
        <w:t xml:space="preserve">It </w:t>
      </w:r>
      <w:r w:rsidR="00961FAD">
        <w:rPr>
          <w:lang w:val="en-GB"/>
        </w:rPr>
        <w:t xml:space="preserve">was </w:t>
      </w:r>
      <w:r w:rsidR="006418CC">
        <w:rPr>
          <w:lang w:val="en-GB"/>
        </w:rPr>
        <w:t>o</w:t>
      </w:r>
      <w:r w:rsidR="006418CC" w:rsidRPr="00D868D3">
        <w:rPr>
          <w:lang w:val="en-GB"/>
        </w:rPr>
        <w:t xml:space="preserve">nly </w:t>
      </w:r>
      <w:r w:rsidR="00D868D3" w:rsidRPr="00D868D3">
        <w:rPr>
          <w:lang w:val="en-GB"/>
        </w:rPr>
        <w:t xml:space="preserve">after </w:t>
      </w:r>
      <w:r w:rsidR="006418CC">
        <w:rPr>
          <w:lang w:val="en-GB"/>
        </w:rPr>
        <w:t>G.</w:t>
      </w:r>
      <w:r w:rsidR="006418CC" w:rsidRPr="00D868D3">
        <w:rPr>
          <w:lang w:val="en-GB"/>
        </w:rPr>
        <w:t xml:space="preserve"> </w:t>
      </w:r>
      <w:r w:rsidR="00D868D3" w:rsidRPr="00D868D3">
        <w:rPr>
          <w:lang w:val="en-GB"/>
        </w:rPr>
        <w:t xml:space="preserve">and his wife </w:t>
      </w:r>
      <w:r w:rsidR="00961FAD">
        <w:rPr>
          <w:lang w:val="en-GB"/>
        </w:rPr>
        <w:t>were</w:t>
      </w:r>
      <w:r w:rsidR="00961FAD" w:rsidRPr="00D868D3">
        <w:rPr>
          <w:lang w:val="en-GB"/>
        </w:rPr>
        <w:t xml:space="preserve"> </w:t>
      </w:r>
      <w:r w:rsidR="00D868D3" w:rsidRPr="00D868D3">
        <w:rPr>
          <w:lang w:val="en-GB"/>
        </w:rPr>
        <w:t>granted a residence permit</w:t>
      </w:r>
      <w:r w:rsidR="006418CC">
        <w:rPr>
          <w:lang w:val="en-GB"/>
        </w:rPr>
        <w:t xml:space="preserve"> that</w:t>
      </w:r>
      <w:r w:rsidR="006418CC" w:rsidRPr="00D868D3">
        <w:rPr>
          <w:lang w:val="en-GB"/>
        </w:rPr>
        <w:t xml:space="preserve"> </w:t>
      </w:r>
      <w:r w:rsidR="00D868D3" w:rsidRPr="00D868D3">
        <w:rPr>
          <w:lang w:val="en-GB"/>
        </w:rPr>
        <w:t>the authors reconciled with them in Denmark</w:t>
      </w:r>
      <w:r w:rsidR="00D37489">
        <w:rPr>
          <w:lang w:val="en-GB"/>
        </w:rPr>
        <w:t xml:space="preserve">, and the whole family </w:t>
      </w:r>
      <w:r w:rsidR="00C265C6">
        <w:rPr>
          <w:lang w:val="en-GB"/>
        </w:rPr>
        <w:t xml:space="preserve">was </w:t>
      </w:r>
      <w:r w:rsidR="00D37489">
        <w:rPr>
          <w:lang w:val="en-GB"/>
        </w:rPr>
        <w:t>reunited.</w:t>
      </w:r>
      <w:r w:rsidR="00E91BA6">
        <w:rPr>
          <w:lang w:val="en-GB"/>
        </w:rPr>
        <w:t xml:space="preserve"> </w:t>
      </w:r>
      <w:r w:rsidR="00961FAD">
        <w:rPr>
          <w:lang w:val="en-GB"/>
        </w:rPr>
        <w:t xml:space="preserve">The reconciliation made it possible for the counsels of the authors and of G and his wife, and the asylum authorities, to compare information relating to the two cases. </w:t>
      </w:r>
      <w:r w:rsidR="00A94070">
        <w:rPr>
          <w:lang w:val="en-GB"/>
        </w:rPr>
        <w:t xml:space="preserve">The authors submit </w:t>
      </w:r>
      <w:r w:rsidR="00C42DC3">
        <w:rPr>
          <w:lang w:val="en-GB"/>
        </w:rPr>
        <w:t>that there is a great risk that</w:t>
      </w:r>
      <w:r w:rsidR="006418CC">
        <w:rPr>
          <w:lang w:val="en-GB"/>
        </w:rPr>
        <w:t xml:space="preserve"> the</w:t>
      </w:r>
      <w:r w:rsidR="00C42DC3">
        <w:rPr>
          <w:lang w:val="en-GB"/>
        </w:rPr>
        <w:t xml:space="preserve"> situation</w:t>
      </w:r>
      <w:r w:rsidR="006418CC">
        <w:rPr>
          <w:lang w:val="en-GB"/>
        </w:rPr>
        <w:t xml:space="preserve"> of G and his wife</w:t>
      </w:r>
      <w:r w:rsidR="00C42DC3">
        <w:rPr>
          <w:lang w:val="en-GB"/>
        </w:rPr>
        <w:t xml:space="preserve"> </w:t>
      </w:r>
      <w:r w:rsidR="00E55966">
        <w:rPr>
          <w:lang w:val="en-GB"/>
        </w:rPr>
        <w:t xml:space="preserve">could </w:t>
      </w:r>
      <w:r w:rsidR="00C42DC3">
        <w:rPr>
          <w:lang w:val="en-GB"/>
        </w:rPr>
        <w:t xml:space="preserve">have </w:t>
      </w:r>
      <w:r w:rsidR="006418CC">
        <w:rPr>
          <w:lang w:val="en-GB"/>
        </w:rPr>
        <w:t>a negative impact</w:t>
      </w:r>
      <w:r w:rsidR="00C42DC3">
        <w:rPr>
          <w:lang w:val="en-GB"/>
        </w:rPr>
        <w:t xml:space="preserve"> on </w:t>
      </w:r>
      <w:r w:rsidR="006418CC">
        <w:rPr>
          <w:lang w:val="en-GB"/>
        </w:rPr>
        <w:t>their own</w:t>
      </w:r>
      <w:r w:rsidR="00C42DC3">
        <w:rPr>
          <w:lang w:val="en-GB"/>
        </w:rPr>
        <w:t xml:space="preserve"> situation if </w:t>
      </w:r>
      <w:r w:rsidR="00E55966">
        <w:rPr>
          <w:lang w:val="en-GB"/>
        </w:rPr>
        <w:t xml:space="preserve">they were </w:t>
      </w:r>
      <w:r w:rsidR="00C42DC3">
        <w:rPr>
          <w:lang w:val="en-GB"/>
        </w:rPr>
        <w:t>return</w:t>
      </w:r>
      <w:r w:rsidR="00B01B95">
        <w:rPr>
          <w:lang w:val="en-GB" w:bidi="he-IL"/>
        </w:rPr>
        <w:t>ed</w:t>
      </w:r>
      <w:r w:rsidR="006418CC">
        <w:rPr>
          <w:lang w:val="en-GB"/>
        </w:rPr>
        <w:t xml:space="preserve"> to Pakistan</w:t>
      </w:r>
      <w:r w:rsidR="00C42DC3">
        <w:rPr>
          <w:lang w:val="en-GB"/>
        </w:rPr>
        <w:t xml:space="preserve"> because the authors, including the</w:t>
      </w:r>
      <w:r w:rsidR="00AF5745">
        <w:rPr>
          <w:lang w:val="en-GB"/>
        </w:rPr>
        <w:t xml:space="preserve"> </w:t>
      </w:r>
      <w:r w:rsidR="00C42DC3">
        <w:rPr>
          <w:lang w:val="en-GB"/>
        </w:rPr>
        <w:t xml:space="preserve">young </w:t>
      </w:r>
      <w:r w:rsidR="006418CC">
        <w:rPr>
          <w:lang w:val="en-GB"/>
        </w:rPr>
        <w:t>daughters</w:t>
      </w:r>
      <w:r w:rsidR="00C42DC3">
        <w:rPr>
          <w:lang w:val="en-GB"/>
        </w:rPr>
        <w:t xml:space="preserve">, would be </w:t>
      </w:r>
      <w:r w:rsidR="006418CC">
        <w:rPr>
          <w:lang w:val="en-GB"/>
        </w:rPr>
        <w:t xml:space="preserve">at </w:t>
      </w:r>
      <w:r w:rsidR="00C42DC3">
        <w:rPr>
          <w:lang w:val="en-GB"/>
        </w:rPr>
        <w:t xml:space="preserve">risk of escalated harassment, threats, violence and even rape. </w:t>
      </w:r>
      <w:r w:rsidR="006418CC">
        <w:rPr>
          <w:lang w:val="en-GB"/>
        </w:rPr>
        <w:t>T</w:t>
      </w:r>
      <w:r w:rsidR="00A94070">
        <w:rPr>
          <w:lang w:val="en-GB"/>
        </w:rPr>
        <w:t>he authors</w:t>
      </w:r>
      <w:r w:rsidR="00AF5745">
        <w:rPr>
          <w:lang w:val="en-GB"/>
        </w:rPr>
        <w:t xml:space="preserve"> also </w:t>
      </w:r>
      <w:r w:rsidR="00A94070">
        <w:rPr>
          <w:lang w:val="en-GB"/>
        </w:rPr>
        <w:t xml:space="preserve">claim </w:t>
      </w:r>
      <w:r w:rsidR="00C42DC3">
        <w:rPr>
          <w:lang w:val="en-GB"/>
        </w:rPr>
        <w:t xml:space="preserve">that the harassment </w:t>
      </w:r>
      <w:r w:rsidR="006418CC">
        <w:rPr>
          <w:lang w:val="en-GB"/>
        </w:rPr>
        <w:t>they suffered</w:t>
      </w:r>
      <w:r w:rsidR="00C42DC3">
        <w:rPr>
          <w:lang w:val="en-GB"/>
        </w:rPr>
        <w:t xml:space="preserve"> in May 2012 </w:t>
      </w:r>
      <w:r w:rsidR="006418CC">
        <w:rPr>
          <w:lang w:val="en-GB"/>
        </w:rPr>
        <w:t>was connected</w:t>
      </w:r>
      <w:r w:rsidR="00C42DC3">
        <w:rPr>
          <w:lang w:val="en-GB"/>
        </w:rPr>
        <w:t xml:space="preserve"> to the persecution </w:t>
      </w:r>
      <w:r w:rsidR="006418CC">
        <w:rPr>
          <w:lang w:val="en-GB"/>
        </w:rPr>
        <w:t xml:space="preserve">suffered by G </w:t>
      </w:r>
      <w:r w:rsidR="00C42DC3">
        <w:rPr>
          <w:lang w:val="en-GB"/>
        </w:rPr>
        <w:t xml:space="preserve">and his wife in 2011 </w:t>
      </w:r>
      <w:r w:rsidR="00E55966">
        <w:rPr>
          <w:lang w:val="en-GB"/>
        </w:rPr>
        <w:t>as a result of their relationship and</w:t>
      </w:r>
      <w:r w:rsidR="00C42DC3">
        <w:rPr>
          <w:lang w:val="en-GB"/>
        </w:rPr>
        <w:t xml:space="preserve"> marriage in April 2012, only one month before the author’s family</w:t>
      </w:r>
      <w:r w:rsidR="006418CC">
        <w:rPr>
          <w:lang w:val="en-GB"/>
        </w:rPr>
        <w:t xml:space="preserve"> was attacked</w:t>
      </w:r>
      <w:r w:rsidR="00C42DC3">
        <w:rPr>
          <w:lang w:val="en-GB"/>
        </w:rPr>
        <w:t>.</w:t>
      </w:r>
      <w:r w:rsidR="00A57788">
        <w:rPr>
          <w:lang w:val="en-GB"/>
        </w:rPr>
        <w:t xml:space="preserve"> </w:t>
      </w:r>
    </w:p>
    <w:p w14:paraId="3B576923" w14:textId="77777777" w:rsidR="00D868D3" w:rsidRDefault="00B77EC5" w:rsidP="00B77EC5">
      <w:pPr>
        <w:pStyle w:val="SingleTxtG"/>
        <w:rPr>
          <w:lang w:val="en-GB"/>
        </w:rPr>
      </w:pPr>
      <w:r w:rsidRPr="00B77EC5">
        <w:rPr>
          <w:lang w:val="en-GB"/>
        </w:rPr>
        <w:t>2.</w:t>
      </w:r>
      <w:r w:rsidR="00E2703B">
        <w:rPr>
          <w:lang w:val="en-GB"/>
        </w:rPr>
        <w:t>7</w:t>
      </w:r>
      <w:r w:rsidR="00D868D3">
        <w:rPr>
          <w:lang w:val="en-GB"/>
        </w:rPr>
        <w:tab/>
      </w:r>
      <w:r w:rsidR="00D868D3" w:rsidRPr="00D868D3">
        <w:rPr>
          <w:lang w:val="en-GB"/>
        </w:rPr>
        <w:t xml:space="preserve">On 12 August 2013, the authors </w:t>
      </w:r>
      <w:r w:rsidR="00B55DD9">
        <w:rPr>
          <w:lang w:val="en-GB"/>
        </w:rPr>
        <w:t>requested t</w:t>
      </w:r>
      <w:r w:rsidR="00D868D3" w:rsidRPr="00D868D3">
        <w:rPr>
          <w:lang w:val="en-GB"/>
        </w:rPr>
        <w:t xml:space="preserve">he Board to reconsider its </w:t>
      </w:r>
      <w:r w:rsidR="006418CC">
        <w:rPr>
          <w:lang w:val="en-GB"/>
        </w:rPr>
        <w:t>decision to reject</w:t>
      </w:r>
      <w:r w:rsidR="006418CC" w:rsidRPr="00D868D3">
        <w:rPr>
          <w:lang w:val="en-GB"/>
        </w:rPr>
        <w:t xml:space="preserve"> </w:t>
      </w:r>
      <w:r w:rsidR="006418CC">
        <w:rPr>
          <w:lang w:val="en-GB"/>
        </w:rPr>
        <w:t>their</w:t>
      </w:r>
      <w:r w:rsidR="00B55DD9">
        <w:rPr>
          <w:lang w:val="en-GB"/>
        </w:rPr>
        <w:t xml:space="preserve"> asylum application. </w:t>
      </w:r>
      <w:r w:rsidR="00D868D3" w:rsidRPr="00D868D3">
        <w:rPr>
          <w:lang w:val="en-GB"/>
        </w:rPr>
        <w:t>In their request</w:t>
      </w:r>
      <w:r w:rsidR="00B55DD9">
        <w:rPr>
          <w:lang w:val="en-GB"/>
        </w:rPr>
        <w:t xml:space="preserve">, </w:t>
      </w:r>
      <w:r w:rsidR="00D868D3" w:rsidRPr="00D868D3">
        <w:rPr>
          <w:lang w:val="en-GB"/>
        </w:rPr>
        <w:t xml:space="preserve">they </w:t>
      </w:r>
      <w:r w:rsidR="00F930AA">
        <w:rPr>
          <w:lang w:val="en-GB"/>
        </w:rPr>
        <w:t>recount</w:t>
      </w:r>
      <w:r w:rsidR="004A1B96">
        <w:rPr>
          <w:lang w:val="en-GB"/>
        </w:rPr>
        <w:t>ed</w:t>
      </w:r>
      <w:r w:rsidR="00E55966" w:rsidRPr="00D868D3">
        <w:rPr>
          <w:lang w:val="en-GB"/>
        </w:rPr>
        <w:t xml:space="preserve"> </w:t>
      </w:r>
      <w:r w:rsidR="00D868D3" w:rsidRPr="00D868D3">
        <w:rPr>
          <w:lang w:val="en-GB"/>
        </w:rPr>
        <w:t xml:space="preserve">for the first time the story of </w:t>
      </w:r>
      <w:r w:rsidR="006418CC">
        <w:rPr>
          <w:lang w:val="en-GB"/>
        </w:rPr>
        <w:t>G</w:t>
      </w:r>
      <w:r w:rsidR="006418CC" w:rsidRPr="00D868D3">
        <w:rPr>
          <w:lang w:val="en-GB"/>
        </w:rPr>
        <w:t xml:space="preserve"> </w:t>
      </w:r>
      <w:r w:rsidR="00D868D3" w:rsidRPr="00D868D3">
        <w:rPr>
          <w:lang w:val="en-GB"/>
        </w:rPr>
        <w:t xml:space="preserve">and his </w:t>
      </w:r>
      <w:r w:rsidR="006418CC">
        <w:rPr>
          <w:lang w:val="en-GB"/>
        </w:rPr>
        <w:t>wife, and</w:t>
      </w:r>
      <w:r w:rsidR="00D868D3" w:rsidRPr="00D868D3">
        <w:rPr>
          <w:lang w:val="en-GB"/>
        </w:rPr>
        <w:t xml:space="preserve"> claimed that it </w:t>
      </w:r>
      <w:r w:rsidR="004A1B96">
        <w:rPr>
          <w:lang w:val="en-GB"/>
        </w:rPr>
        <w:t xml:space="preserve">could </w:t>
      </w:r>
      <w:r w:rsidR="00D868D3" w:rsidRPr="00D868D3">
        <w:rPr>
          <w:lang w:val="en-GB"/>
        </w:rPr>
        <w:t xml:space="preserve">not be excluded that the attacks </w:t>
      </w:r>
      <w:r w:rsidR="006418CC">
        <w:rPr>
          <w:lang w:val="en-GB"/>
        </w:rPr>
        <w:t>they suffered were</w:t>
      </w:r>
      <w:r w:rsidR="00D868D3" w:rsidRPr="00D868D3">
        <w:rPr>
          <w:lang w:val="en-GB"/>
        </w:rPr>
        <w:t xml:space="preserve"> </w:t>
      </w:r>
      <w:r w:rsidR="00E55966">
        <w:rPr>
          <w:lang w:val="en-GB"/>
        </w:rPr>
        <w:t>because of</w:t>
      </w:r>
      <w:r w:rsidR="00D868D3" w:rsidRPr="00D868D3">
        <w:rPr>
          <w:lang w:val="en-GB"/>
        </w:rPr>
        <w:t xml:space="preserve"> </w:t>
      </w:r>
      <w:r w:rsidR="006418CC" w:rsidRPr="00D868D3">
        <w:rPr>
          <w:lang w:val="en-GB"/>
        </w:rPr>
        <w:t xml:space="preserve">G’s </w:t>
      </w:r>
      <w:r w:rsidR="00D868D3" w:rsidRPr="00D868D3">
        <w:rPr>
          <w:lang w:val="en-GB"/>
        </w:rPr>
        <w:t>marriage</w:t>
      </w:r>
      <w:r w:rsidR="006418CC">
        <w:rPr>
          <w:lang w:val="en-GB"/>
        </w:rPr>
        <w:t>. The authors also argued that</w:t>
      </w:r>
      <w:r w:rsidR="00D868D3" w:rsidRPr="00D868D3">
        <w:rPr>
          <w:lang w:val="en-GB"/>
        </w:rPr>
        <w:t xml:space="preserve"> the fact that </w:t>
      </w:r>
      <w:r w:rsidR="006418CC">
        <w:rPr>
          <w:lang w:val="en-GB"/>
        </w:rPr>
        <w:t xml:space="preserve">G </w:t>
      </w:r>
      <w:r w:rsidR="00E55966">
        <w:rPr>
          <w:lang w:val="en-GB"/>
        </w:rPr>
        <w:t>had been</w:t>
      </w:r>
      <w:r w:rsidR="00E55966" w:rsidRPr="00D868D3">
        <w:rPr>
          <w:lang w:val="en-GB"/>
        </w:rPr>
        <w:t xml:space="preserve"> </w:t>
      </w:r>
      <w:r w:rsidR="00D868D3" w:rsidRPr="00D868D3">
        <w:rPr>
          <w:lang w:val="en-GB"/>
        </w:rPr>
        <w:t xml:space="preserve">persecuted </w:t>
      </w:r>
      <w:r w:rsidR="00D868D3" w:rsidRPr="00D868D3">
        <w:rPr>
          <w:lang w:val="en-GB"/>
        </w:rPr>
        <w:lastRenderedPageBreak/>
        <w:t xml:space="preserve">before leaving Pakistan </w:t>
      </w:r>
      <w:r w:rsidR="006418CC">
        <w:rPr>
          <w:lang w:val="en-GB"/>
        </w:rPr>
        <w:t>demonstrate</w:t>
      </w:r>
      <w:r w:rsidR="00E55966">
        <w:rPr>
          <w:lang w:val="en-GB"/>
        </w:rPr>
        <w:t>d</w:t>
      </w:r>
      <w:r w:rsidR="006418CC" w:rsidRPr="00D868D3">
        <w:rPr>
          <w:lang w:val="en-GB"/>
        </w:rPr>
        <w:t xml:space="preserve"> </w:t>
      </w:r>
      <w:r w:rsidR="00D868D3" w:rsidRPr="00D868D3">
        <w:rPr>
          <w:lang w:val="en-GB"/>
        </w:rPr>
        <w:t xml:space="preserve">that </w:t>
      </w:r>
      <w:r w:rsidR="00E55966">
        <w:rPr>
          <w:lang w:val="en-GB"/>
        </w:rPr>
        <w:t xml:space="preserve">there was </w:t>
      </w:r>
      <w:r w:rsidR="006418CC">
        <w:rPr>
          <w:lang w:val="en-GB"/>
        </w:rPr>
        <w:t xml:space="preserve">a real risk </w:t>
      </w:r>
      <w:r w:rsidR="00E55966">
        <w:rPr>
          <w:lang w:val="en-GB"/>
        </w:rPr>
        <w:t>that they would be persecuted</w:t>
      </w:r>
      <w:r w:rsidR="006418CC">
        <w:rPr>
          <w:lang w:val="en-GB"/>
        </w:rPr>
        <w:t xml:space="preserve"> if they </w:t>
      </w:r>
      <w:r w:rsidR="00E55966">
        <w:rPr>
          <w:lang w:val="en-GB"/>
        </w:rPr>
        <w:t>were</w:t>
      </w:r>
      <w:r w:rsidR="00E55966" w:rsidRPr="00D868D3">
        <w:rPr>
          <w:lang w:val="en-GB"/>
        </w:rPr>
        <w:t xml:space="preserve"> </w:t>
      </w:r>
      <w:r w:rsidR="00D868D3" w:rsidRPr="00D868D3">
        <w:rPr>
          <w:lang w:val="en-GB"/>
        </w:rPr>
        <w:t>returned to Pakistan.</w:t>
      </w:r>
    </w:p>
    <w:p w14:paraId="23692581" w14:textId="77777777" w:rsidR="00AC6DF4" w:rsidRDefault="00B77EC5" w:rsidP="00B77EC5">
      <w:pPr>
        <w:pStyle w:val="SingleTxtG"/>
        <w:rPr>
          <w:lang w:val="en-GB"/>
        </w:rPr>
      </w:pPr>
      <w:r w:rsidRPr="00B77EC5">
        <w:rPr>
          <w:lang w:val="en-GB"/>
        </w:rPr>
        <w:t>2.</w:t>
      </w:r>
      <w:r w:rsidR="00E2703B">
        <w:rPr>
          <w:lang w:val="en-GB"/>
        </w:rPr>
        <w:t>8</w:t>
      </w:r>
      <w:r w:rsidR="00D868D3">
        <w:rPr>
          <w:lang w:val="en-GB"/>
        </w:rPr>
        <w:tab/>
      </w:r>
      <w:r w:rsidR="00D868D3" w:rsidRPr="00D868D3">
        <w:rPr>
          <w:lang w:val="en-GB"/>
        </w:rPr>
        <w:t xml:space="preserve">In </w:t>
      </w:r>
      <w:r w:rsidR="00844ED6">
        <w:rPr>
          <w:lang w:val="en-GB"/>
        </w:rPr>
        <w:t xml:space="preserve">its </w:t>
      </w:r>
      <w:r w:rsidR="00D868D3" w:rsidRPr="00D868D3">
        <w:rPr>
          <w:lang w:val="en-GB"/>
        </w:rPr>
        <w:t>decision</w:t>
      </w:r>
      <w:r w:rsidR="00950A5A">
        <w:rPr>
          <w:lang w:val="en-GB"/>
        </w:rPr>
        <w:t xml:space="preserve"> of </w:t>
      </w:r>
      <w:r w:rsidR="00D868D3" w:rsidRPr="00D868D3">
        <w:rPr>
          <w:lang w:val="en-GB"/>
        </w:rPr>
        <w:t xml:space="preserve">3 March 2014, the Board </w:t>
      </w:r>
      <w:r w:rsidR="00844ED6">
        <w:rPr>
          <w:lang w:val="en-GB"/>
        </w:rPr>
        <w:t xml:space="preserve">stated that it had </w:t>
      </w:r>
      <w:r w:rsidR="00D868D3" w:rsidRPr="00D868D3">
        <w:rPr>
          <w:lang w:val="en-GB"/>
        </w:rPr>
        <w:t xml:space="preserve">found it </w:t>
      </w:r>
      <w:r w:rsidR="00950A5A">
        <w:rPr>
          <w:lang w:val="en-GB"/>
        </w:rPr>
        <w:t xml:space="preserve">surprising </w:t>
      </w:r>
      <w:r w:rsidR="00D868D3" w:rsidRPr="00D868D3">
        <w:rPr>
          <w:lang w:val="en-GB"/>
        </w:rPr>
        <w:t>that only after two refusals</w:t>
      </w:r>
      <w:r w:rsidR="00C24952">
        <w:rPr>
          <w:lang w:val="en-GB"/>
        </w:rPr>
        <w:t>,</w:t>
      </w:r>
      <w:r w:rsidR="00D868D3" w:rsidRPr="00D868D3">
        <w:rPr>
          <w:lang w:val="en-GB"/>
        </w:rPr>
        <w:t xml:space="preserve"> in two instances</w:t>
      </w:r>
      <w:r w:rsidR="00C24952">
        <w:rPr>
          <w:lang w:val="en-GB"/>
        </w:rPr>
        <w:t>,</w:t>
      </w:r>
      <w:r w:rsidR="00D868D3" w:rsidRPr="00D868D3">
        <w:rPr>
          <w:lang w:val="en-GB"/>
        </w:rPr>
        <w:t xml:space="preserve"> and only after </w:t>
      </w:r>
      <w:r w:rsidR="004A6D79">
        <w:rPr>
          <w:lang w:val="en-GB"/>
        </w:rPr>
        <w:t>G</w:t>
      </w:r>
      <w:r w:rsidR="004A6D79" w:rsidRPr="00D868D3">
        <w:rPr>
          <w:lang w:val="en-GB"/>
        </w:rPr>
        <w:t xml:space="preserve"> </w:t>
      </w:r>
      <w:r w:rsidR="00D868D3" w:rsidRPr="00D868D3">
        <w:rPr>
          <w:lang w:val="en-GB"/>
        </w:rPr>
        <w:t xml:space="preserve">and his wife </w:t>
      </w:r>
      <w:r w:rsidR="00844ED6">
        <w:rPr>
          <w:lang w:val="en-GB"/>
        </w:rPr>
        <w:t xml:space="preserve">had been </w:t>
      </w:r>
      <w:r w:rsidR="00D868D3" w:rsidRPr="00D868D3">
        <w:rPr>
          <w:lang w:val="en-GB"/>
        </w:rPr>
        <w:t xml:space="preserve">granted a residence permit, </w:t>
      </w:r>
      <w:r w:rsidR="00844ED6">
        <w:rPr>
          <w:lang w:val="en-GB"/>
        </w:rPr>
        <w:t xml:space="preserve">did </w:t>
      </w:r>
      <w:r w:rsidR="00D868D3" w:rsidRPr="00D868D3">
        <w:rPr>
          <w:lang w:val="en-GB"/>
        </w:rPr>
        <w:t xml:space="preserve">the authors </w:t>
      </w:r>
      <w:r w:rsidR="00B55DD9">
        <w:rPr>
          <w:lang w:val="en-GB"/>
        </w:rPr>
        <w:t>decide</w:t>
      </w:r>
      <w:r w:rsidR="00844ED6">
        <w:rPr>
          <w:lang w:val="en-GB"/>
        </w:rPr>
        <w:t xml:space="preserve"> </w:t>
      </w:r>
      <w:r w:rsidR="00D868D3" w:rsidRPr="00D868D3">
        <w:rPr>
          <w:lang w:val="en-GB"/>
        </w:rPr>
        <w:t xml:space="preserve">to refer to </w:t>
      </w:r>
      <w:r w:rsidR="004A6D79">
        <w:rPr>
          <w:lang w:val="en-GB"/>
        </w:rPr>
        <w:t>their situation</w:t>
      </w:r>
      <w:r w:rsidR="0002469A">
        <w:rPr>
          <w:lang w:val="en-GB"/>
        </w:rPr>
        <w:t xml:space="preserve"> in the request </w:t>
      </w:r>
      <w:r w:rsidR="00844ED6">
        <w:rPr>
          <w:lang w:val="en-GB"/>
        </w:rPr>
        <w:t xml:space="preserve">to </w:t>
      </w:r>
      <w:r w:rsidR="0002469A">
        <w:rPr>
          <w:lang w:val="en-GB"/>
        </w:rPr>
        <w:t xml:space="preserve">reopen the asylum proceedings. </w:t>
      </w:r>
      <w:r w:rsidR="004A6D79">
        <w:rPr>
          <w:lang w:val="en-GB"/>
        </w:rPr>
        <w:t>T</w:t>
      </w:r>
      <w:r w:rsidR="00D868D3" w:rsidRPr="00D868D3">
        <w:rPr>
          <w:lang w:val="en-GB"/>
        </w:rPr>
        <w:t xml:space="preserve">he Board </w:t>
      </w:r>
      <w:r w:rsidR="004A6D79">
        <w:rPr>
          <w:lang w:val="en-GB"/>
        </w:rPr>
        <w:t xml:space="preserve">further </w:t>
      </w:r>
      <w:r w:rsidR="00D868D3" w:rsidRPr="00D868D3">
        <w:rPr>
          <w:lang w:val="en-GB"/>
        </w:rPr>
        <w:t xml:space="preserve">recalled that </w:t>
      </w:r>
      <w:r w:rsidR="004A6D79">
        <w:rPr>
          <w:lang w:val="en-GB"/>
        </w:rPr>
        <w:t>G</w:t>
      </w:r>
      <w:r w:rsidR="00817C3E">
        <w:rPr>
          <w:lang w:val="en-GB"/>
        </w:rPr>
        <w:t xml:space="preserve"> had</w:t>
      </w:r>
      <w:r w:rsidR="004A6D79" w:rsidRPr="00D868D3">
        <w:rPr>
          <w:lang w:val="en-GB"/>
        </w:rPr>
        <w:t xml:space="preserve"> </w:t>
      </w:r>
      <w:r w:rsidR="00D868D3" w:rsidRPr="00D868D3">
        <w:rPr>
          <w:lang w:val="en-GB"/>
        </w:rPr>
        <w:t>had no relation</w:t>
      </w:r>
      <w:r w:rsidR="00C24952">
        <w:rPr>
          <w:lang w:val="en-GB"/>
        </w:rPr>
        <w:t>ship</w:t>
      </w:r>
      <w:r w:rsidR="00D868D3" w:rsidRPr="00D868D3">
        <w:rPr>
          <w:lang w:val="en-GB"/>
        </w:rPr>
        <w:t xml:space="preserve"> with the authors since 2011 and that </w:t>
      </w:r>
      <w:r w:rsidR="00817C3E" w:rsidRPr="00D868D3">
        <w:rPr>
          <w:lang w:val="en-GB"/>
        </w:rPr>
        <w:t>G’s wife</w:t>
      </w:r>
      <w:r w:rsidR="00817C3E">
        <w:rPr>
          <w:lang w:val="en-GB"/>
        </w:rPr>
        <w:t>’s</w:t>
      </w:r>
      <w:r w:rsidR="00817C3E" w:rsidRPr="00D868D3">
        <w:rPr>
          <w:lang w:val="en-GB"/>
        </w:rPr>
        <w:t xml:space="preserve"> family </w:t>
      </w:r>
      <w:r w:rsidR="00817C3E">
        <w:rPr>
          <w:lang w:val="en-GB"/>
        </w:rPr>
        <w:t>had never</w:t>
      </w:r>
      <w:r w:rsidR="00817C3E" w:rsidRPr="00D868D3">
        <w:rPr>
          <w:lang w:val="en-GB"/>
        </w:rPr>
        <w:t xml:space="preserve"> visited </w:t>
      </w:r>
      <w:r w:rsidR="00D868D3" w:rsidRPr="00D868D3">
        <w:rPr>
          <w:lang w:val="en-GB"/>
        </w:rPr>
        <w:t xml:space="preserve">the authors </w:t>
      </w:r>
      <w:r w:rsidR="00817C3E">
        <w:rPr>
          <w:lang w:val="en-GB"/>
        </w:rPr>
        <w:t>prior to</w:t>
      </w:r>
      <w:r w:rsidR="00D868D3" w:rsidRPr="00D868D3">
        <w:rPr>
          <w:lang w:val="en-GB"/>
        </w:rPr>
        <w:t xml:space="preserve"> their departure </w:t>
      </w:r>
      <w:r w:rsidR="00817C3E">
        <w:rPr>
          <w:lang w:val="en-GB"/>
        </w:rPr>
        <w:t xml:space="preserve">from Pakistan </w:t>
      </w:r>
      <w:r w:rsidR="00D868D3" w:rsidRPr="00D868D3">
        <w:rPr>
          <w:lang w:val="en-GB"/>
        </w:rPr>
        <w:t xml:space="preserve">in June 2012. Lastly, the Board noted that being a Christian in Pakistan </w:t>
      </w:r>
      <w:r w:rsidR="00817C3E">
        <w:rPr>
          <w:lang w:val="en-GB"/>
        </w:rPr>
        <w:t xml:space="preserve">was </w:t>
      </w:r>
      <w:r w:rsidR="0095611D">
        <w:rPr>
          <w:lang w:val="en-GB"/>
        </w:rPr>
        <w:t xml:space="preserve">not in itself </w:t>
      </w:r>
      <w:r w:rsidR="0002469A">
        <w:rPr>
          <w:lang w:val="en-GB"/>
        </w:rPr>
        <w:t xml:space="preserve">a </w:t>
      </w:r>
      <w:r w:rsidR="0095611D">
        <w:rPr>
          <w:lang w:val="en-GB"/>
        </w:rPr>
        <w:t xml:space="preserve">sufficient </w:t>
      </w:r>
      <w:r w:rsidR="0002469A">
        <w:rPr>
          <w:lang w:val="en-GB"/>
        </w:rPr>
        <w:t xml:space="preserve">ground </w:t>
      </w:r>
      <w:r w:rsidR="00817C3E">
        <w:rPr>
          <w:lang w:val="en-GB"/>
        </w:rPr>
        <w:t xml:space="preserve">for </w:t>
      </w:r>
      <w:r w:rsidR="00D868D3" w:rsidRPr="00D868D3">
        <w:rPr>
          <w:lang w:val="en-GB"/>
        </w:rPr>
        <w:t>protection under the Danish Aliens Act</w:t>
      </w:r>
      <w:r w:rsidR="0095611D">
        <w:rPr>
          <w:lang w:val="en-GB"/>
        </w:rPr>
        <w:t>; that the authors had not had any conflicts with the Pakistani authorities; and that</w:t>
      </w:r>
      <w:r w:rsidR="00D868D3" w:rsidRPr="00D868D3">
        <w:rPr>
          <w:lang w:val="en-GB"/>
        </w:rPr>
        <w:t xml:space="preserve"> the general situation in Pakistan </w:t>
      </w:r>
      <w:r w:rsidR="00817C3E">
        <w:rPr>
          <w:lang w:val="en-GB"/>
        </w:rPr>
        <w:t xml:space="preserve">did </w:t>
      </w:r>
      <w:r w:rsidR="0095611D">
        <w:rPr>
          <w:lang w:val="en-GB"/>
        </w:rPr>
        <w:t>not have</w:t>
      </w:r>
      <w:r w:rsidR="0095611D" w:rsidRPr="00D868D3">
        <w:rPr>
          <w:lang w:val="en-GB"/>
        </w:rPr>
        <w:t xml:space="preserve"> </w:t>
      </w:r>
      <w:r w:rsidR="00D868D3" w:rsidRPr="00D868D3">
        <w:rPr>
          <w:lang w:val="en-GB"/>
        </w:rPr>
        <w:t xml:space="preserve">any impact on </w:t>
      </w:r>
      <w:r w:rsidR="00817C3E">
        <w:rPr>
          <w:lang w:val="en-GB"/>
        </w:rPr>
        <w:t>its</w:t>
      </w:r>
      <w:r w:rsidR="00D868D3" w:rsidRPr="00D868D3">
        <w:rPr>
          <w:lang w:val="en-GB"/>
        </w:rPr>
        <w:t xml:space="preserve"> decision. </w:t>
      </w:r>
      <w:r w:rsidR="0095611D">
        <w:rPr>
          <w:lang w:val="en-GB"/>
        </w:rPr>
        <w:t>I</w:t>
      </w:r>
      <w:r w:rsidR="0095611D" w:rsidRPr="00D868D3">
        <w:rPr>
          <w:lang w:val="en-GB"/>
        </w:rPr>
        <w:t>n accordance with the Board’s decision of 13 June 2013</w:t>
      </w:r>
      <w:r w:rsidR="0095611D">
        <w:rPr>
          <w:lang w:val="en-GB"/>
        </w:rPr>
        <w:t>,</w:t>
      </w:r>
      <w:r w:rsidR="00D868D3" w:rsidRPr="00D868D3">
        <w:rPr>
          <w:lang w:val="en-GB"/>
        </w:rPr>
        <w:t xml:space="preserve"> the authors were</w:t>
      </w:r>
      <w:r w:rsidR="0095611D">
        <w:rPr>
          <w:lang w:val="en-GB"/>
        </w:rPr>
        <w:t xml:space="preserve"> therefore</w:t>
      </w:r>
      <w:r w:rsidR="00D868D3" w:rsidRPr="00D868D3">
        <w:rPr>
          <w:lang w:val="en-GB"/>
        </w:rPr>
        <w:t xml:space="preserve"> under </w:t>
      </w:r>
      <w:r w:rsidR="00B55DD9">
        <w:rPr>
          <w:lang w:val="en-GB"/>
        </w:rPr>
        <w:t xml:space="preserve">the </w:t>
      </w:r>
      <w:r w:rsidR="00D868D3" w:rsidRPr="00D868D3">
        <w:rPr>
          <w:lang w:val="en-GB"/>
        </w:rPr>
        <w:t>obligation to leave the country</w:t>
      </w:r>
      <w:r w:rsidR="00EE374E">
        <w:rPr>
          <w:lang w:val="en-GB"/>
        </w:rPr>
        <w:t xml:space="preserve">. </w:t>
      </w:r>
    </w:p>
    <w:p w14:paraId="13D08BC6" w14:textId="77777777" w:rsidR="00D868D3" w:rsidRDefault="004B4D50" w:rsidP="00B77EC5">
      <w:pPr>
        <w:pStyle w:val="SingleTxtG"/>
        <w:rPr>
          <w:lang w:val="en-GB"/>
        </w:rPr>
      </w:pPr>
      <w:r>
        <w:rPr>
          <w:lang w:val="en-GB"/>
        </w:rPr>
        <w:t>2.</w:t>
      </w:r>
      <w:r w:rsidR="00E2703B">
        <w:rPr>
          <w:lang w:val="en-GB"/>
        </w:rPr>
        <w:t>9</w:t>
      </w:r>
      <w:r>
        <w:rPr>
          <w:lang w:val="en-GB"/>
        </w:rPr>
        <w:tab/>
      </w:r>
      <w:r w:rsidR="0095611D">
        <w:rPr>
          <w:lang w:val="en-GB"/>
        </w:rPr>
        <w:t>The authors further argue</w:t>
      </w:r>
      <w:r w:rsidR="0002469A">
        <w:rPr>
          <w:lang w:val="en-GB"/>
        </w:rPr>
        <w:t xml:space="preserve"> </w:t>
      </w:r>
      <w:r w:rsidR="00AC6DF4">
        <w:rPr>
          <w:lang w:val="en-GB"/>
        </w:rPr>
        <w:t>that the Board</w:t>
      </w:r>
      <w:r w:rsidR="0095611D">
        <w:rPr>
          <w:lang w:val="en-GB"/>
        </w:rPr>
        <w:t xml:space="preserve"> did not call</w:t>
      </w:r>
      <w:r w:rsidR="00AC6DF4">
        <w:rPr>
          <w:lang w:val="en-GB"/>
        </w:rPr>
        <w:t xml:space="preserve"> </w:t>
      </w:r>
      <w:r w:rsidR="0095611D">
        <w:rPr>
          <w:lang w:val="en-GB"/>
        </w:rPr>
        <w:t>them</w:t>
      </w:r>
      <w:r w:rsidR="00AC6DF4">
        <w:rPr>
          <w:lang w:val="en-GB"/>
        </w:rPr>
        <w:t xml:space="preserve"> for a </w:t>
      </w:r>
      <w:r w:rsidR="0095611D">
        <w:rPr>
          <w:lang w:val="en-GB"/>
        </w:rPr>
        <w:t xml:space="preserve">new </w:t>
      </w:r>
      <w:r w:rsidR="00AC6DF4">
        <w:rPr>
          <w:lang w:val="en-GB"/>
        </w:rPr>
        <w:t xml:space="preserve">hearing but only </w:t>
      </w:r>
      <w:r w:rsidR="0095611D">
        <w:rPr>
          <w:lang w:val="en-GB"/>
        </w:rPr>
        <w:t xml:space="preserve">adopted </w:t>
      </w:r>
      <w:r w:rsidR="00AC6DF4">
        <w:rPr>
          <w:lang w:val="en-GB"/>
        </w:rPr>
        <w:t xml:space="preserve">a written decision, </w:t>
      </w:r>
      <w:r w:rsidR="0095611D" w:rsidRPr="004A1B96">
        <w:rPr>
          <w:lang w:val="en-GB"/>
        </w:rPr>
        <w:t xml:space="preserve">thereby </w:t>
      </w:r>
      <w:r w:rsidR="00AC6DF4" w:rsidRPr="00293C92">
        <w:rPr>
          <w:lang w:val="en-GB"/>
        </w:rPr>
        <w:t>jumping</w:t>
      </w:r>
      <w:r w:rsidR="00AC6DF4">
        <w:rPr>
          <w:lang w:val="en-GB"/>
        </w:rPr>
        <w:t xml:space="preserve"> to a hasty conclusion concerning the</w:t>
      </w:r>
      <w:r w:rsidR="0095611D">
        <w:rPr>
          <w:lang w:val="en-GB"/>
        </w:rPr>
        <w:t>ir</w:t>
      </w:r>
      <w:r w:rsidR="00AC6DF4">
        <w:rPr>
          <w:lang w:val="en-GB"/>
        </w:rPr>
        <w:t xml:space="preserve"> sincerity and credibility. </w:t>
      </w:r>
      <w:r w:rsidR="002763CB">
        <w:rPr>
          <w:lang w:val="en-GB"/>
        </w:rPr>
        <w:t>The author</w:t>
      </w:r>
      <w:r w:rsidR="00E744A6">
        <w:rPr>
          <w:lang w:val="en-GB"/>
        </w:rPr>
        <w:t>s submit that the Board acknowledge</w:t>
      </w:r>
      <w:r w:rsidR="00A21C11">
        <w:rPr>
          <w:lang w:val="en-GB"/>
        </w:rPr>
        <w:t>d</w:t>
      </w:r>
      <w:r w:rsidR="00E744A6">
        <w:rPr>
          <w:lang w:val="en-GB"/>
        </w:rPr>
        <w:t xml:space="preserve"> that the attacks at I</w:t>
      </w:r>
      <w:r w:rsidR="002763CB">
        <w:rPr>
          <w:lang w:val="en-GB"/>
        </w:rPr>
        <w:t>.G.</w:t>
      </w:r>
      <w:r w:rsidR="00E744A6">
        <w:rPr>
          <w:lang w:val="en-GB"/>
        </w:rPr>
        <w:t xml:space="preserve">’s school </w:t>
      </w:r>
      <w:r w:rsidR="00A21C11">
        <w:rPr>
          <w:lang w:val="en-GB"/>
        </w:rPr>
        <w:t xml:space="preserve">had taken </w:t>
      </w:r>
      <w:r w:rsidR="00E744A6">
        <w:rPr>
          <w:lang w:val="en-GB"/>
        </w:rPr>
        <w:t xml:space="preserve">place </w:t>
      </w:r>
      <w:r w:rsidR="0030076C">
        <w:rPr>
          <w:lang w:val="en-GB"/>
        </w:rPr>
        <w:t xml:space="preserve">on 25 </w:t>
      </w:r>
      <w:r w:rsidR="00E744A6">
        <w:rPr>
          <w:lang w:val="en-GB"/>
        </w:rPr>
        <w:t xml:space="preserve">May 2012; that the attack on the authors on their way home from church </w:t>
      </w:r>
      <w:r w:rsidR="00A21C11">
        <w:rPr>
          <w:lang w:val="en-GB"/>
        </w:rPr>
        <w:t xml:space="preserve">had taken </w:t>
      </w:r>
      <w:r w:rsidR="0057373C">
        <w:rPr>
          <w:lang w:val="en-GB"/>
        </w:rPr>
        <w:t xml:space="preserve">place </w:t>
      </w:r>
      <w:r w:rsidR="00E744A6">
        <w:rPr>
          <w:lang w:val="en-GB"/>
        </w:rPr>
        <w:t>on Sunday</w:t>
      </w:r>
      <w:r w:rsidR="00A21C11">
        <w:rPr>
          <w:lang w:val="en-GB"/>
        </w:rPr>
        <w:t>,</w:t>
      </w:r>
      <w:r w:rsidR="00E744A6">
        <w:rPr>
          <w:lang w:val="en-GB"/>
        </w:rPr>
        <w:t xml:space="preserve"> 27 May 2012; </w:t>
      </w:r>
      <w:r w:rsidR="00973F23">
        <w:rPr>
          <w:lang w:val="en-GB"/>
        </w:rPr>
        <w:t xml:space="preserve">and </w:t>
      </w:r>
      <w:r w:rsidR="00E744A6">
        <w:rPr>
          <w:lang w:val="en-GB"/>
        </w:rPr>
        <w:t xml:space="preserve">that </w:t>
      </w:r>
      <w:r w:rsidR="005F41B4">
        <w:rPr>
          <w:lang w:val="en-GB"/>
        </w:rPr>
        <w:t xml:space="preserve">the attempted </w:t>
      </w:r>
      <w:r w:rsidR="00E744A6">
        <w:rPr>
          <w:lang w:val="en-GB"/>
        </w:rPr>
        <w:t xml:space="preserve">shooting </w:t>
      </w:r>
      <w:r w:rsidR="005F41B4">
        <w:rPr>
          <w:lang w:val="en-GB"/>
        </w:rPr>
        <w:t xml:space="preserve">of </w:t>
      </w:r>
      <w:r w:rsidR="00E744A6">
        <w:rPr>
          <w:lang w:val="en-GB"/>
        </w:rPr>
        <w:t xml:space="preserve">the </w:t>
      </w:r>
      <w:r w:rsidR="00973F23">
        <w:rPr>
          <w:lang w:val="en-GB"/>
        </w:rPr>
        <w:t xml:space="preserve">son </w:t>
      </w:r>
      <w:r w:rsidR="0095611D">
        <w:rPr>
          <w:lang w:val="en-GB"/>
        </w:rPr>
        <w:t xml:space="preserve">G </w:t>
      </w:r>
      <w:r w:rsidR="00E744A6">
        <w:rPr>
          <w:lang w:val="en-GB"/>
        </w:rPr>
        <w:t xml:space="preserve">in May and </w:t>
      </w:r>
      <w:r w:rsidR="002763CB">
        <w:rPr>
          <w:lang w:val="en-GB"/>
        </w:rPr>
        <w:t>Novem</w:t>
      </w:r>
      <w:r w:rsidR="00326BD4">
        <w:rPr>
          <w:lang w:val="en-GB"/>
        </w:rPr>
        <w:t xml:space="preserve">ber </w:t>
      </w:r>
      <w:r w:rsidR="00E744A6">
        <w:rPr>
          <w:lang w:val="en-GB"/>
        </w:rPr>
        <w:t>2011</w:t>
      </w:r>
      <w:r w:rsidR="005F41B4">
        <w:rPr>
          <w:lang w:val="en-GB"/>
        </w:rPr>
        <w:t xml:space="preserve">, on the basis of which the Board had decided to grant asylum to G and his wife, </w:t>
      </w:r>
      <w:r w:rsidR="006E1F0D">
        <w:rPr>
          <w:lang w:val="en-GB"/>
        </w:rPr>
        <w:t xml:space="preserve">had </w:t>
      </w:r>
      <w:r w:rsidR="005F41B4">
        <w:rPr>
          <w:lang w:val="en-GB"/>
        </w:rPr>
        <w:t xml:space="preserve">probably </w:t>
      </w:r>
      <w:r w:rsidR="006E1F0D">
        <w:rPr>
          <w:lang w:val="en-GB"/>
        </w:rPr>
        <w:t xml:space="preserve">been </w:t>
      </w:r>
      <w:r w:rsidR="005F41B4">
        <w:rPr>
          <w:lang w:val="en-GB"/>
        </w:rPr>
        <w:t xml:space="preserve">initiated by </w:t>
      </w:r>
      <w:r w:rsidR="00C24952">
        <w:rPr>
          <w:lang w:val="en-GB"/>
        </w:rPr>
        <w:t>the</w:t>
      </w:r>
      <w:r w:rsidR="005F41B4">
        <w:rPr>
          <w:lang w:val="en-GB"/>
        </w:rPr>
        <w:t xml:space="preserve"> wife’s father, who resided in England</w:t>
      </w:r>
      <w:r w:rsidR="006E1F0D">
        <w:rPr>
          <w:lang w:val="en-GB"/>
        </w:rPr>
        <w:t>.</w:t>
      </w:r>
      <w:r w:rsidR="005F41B4">
        <w:rPr>
          <w:lang w:val="en-GB"/>
        </w:rPr>
        <w:t xml:space="preserve"> In </w:t>
      </w:r>
      <w:r w:rsidR="00FE650C">
        <w:rPr>
          <w:lang w:val="en-GB"/>
        </w:rPr>
        <w:t xml:space="preserve">the </w:t>
      </w:r>
      <w:r w:rsidR="005F41B4">
        <w:rPr>
          <w:lang w:val="en-GB"/>
        </w:rPr>
        <w:t xml:space="preserve">light of </w:t>
      </w:r>
      <w:r w:rsidR="006E1F0D">
        <w:rPr>
          <w:lang w:val="en-GB"/>
        </w:rPr>
        <w:t>the foregoing</w:t>
      </w:r>
      <w:r w:rsidR="005F41B4">
        <w:rPr>
          <w:lang w:val="en-GB"/>
        </w:rPr>
        <w:t xml:space="preserve">, the authors argue that they would </w:t>
      </w:r>
      <w:r w:rsidR="006E1F0D">
        <w:rPr>
          <w:lang w:val="en-GB"/>
        </w:rPr>
        <w:t xml:space="preserve">be at </w:t>
      </w:r>
      <w:r w:rsidR="005F41B4">
        <w:rPr>
          <w:lang w:val="en-GB"/>
        </w:rPr>
        <w:t xml:space="preserve">even greater risk upon their return </w:t>
      </w:r>
      <w:r w:rsidR="006E1F0D">
        <w:rPr>
          <w:lang w:val="en-GB"/>
        </w:rPr>
        <w:t xml:space="preserve">to Pakistan because G’s wife’s family would probably harass them </w:t>
      </w:r>
      <w:r w:rsidR="00973F23">
        <w:rPr>
          <w:lang w:val="en-GB"/>
        </w:rPr>
        <w:t>i</w:t>
      </w:r>
      <w:r w:rsidR="00E744A6">
        <w:rPr>
          <w:lang w:val="en-GB"/>
        </w:rPr>
        <w:t xml:space="preserve">n order </w:t>
      </w:r>
      <w:r w:rsidR="006E1F0D">
        <w:rPr>
          <w:lang w:val="en-GB"/>
        </w:rPr>
        <w:t>to discover</w:t>
      </w:r>
      <w:r w:rsidR="00973F23">
        <w:rPr>
          <w:lang w:val="en-GB"/>
        </w:rPr>
        <w:t xml:space="preserve"> </w:t>
      </w:r>
      <w:r w:rsidR="00A8395F">
        <w:rPr>
          <w:lang w:val="en-GB"/>
        </w:rPr>
        <w:t xml:space="preserve">her </w:t>
      </w:r>
      <w:r w:rsidR="00E744A6">
        <w:rPr>
          <w:lang w:val="en-GB"/>
        </w:rPr>
        <w:t>whereabouts</w:t>
      </w:r>
      <w:r w:rsidR="006E1F0D">
        <w:rPr>
          <w:lang w:val="en-GB"/>
        </w:rPr>
        <w:t>,</w:t>
      </w:r>
      <w:r w:rsidR="00973F23">
        <w:rPr>
          <w:lang w:val="en-GB"/>
        </w:rPr>
        <w:t xml:space="preserve"> </w:t>
      </w:r>
      <w:r w:rsidR="006E1F0D">
        <w:rPr>
          <w:lang w:val="en-GB" w:bidi="he-IL"/>
        </w:rPr>
        <w:t>as</w:t>
      </w:r>
      <w:r w:rsidR="006E1F0D">
        <w:rPr>
          <w:lang w:val="en-GB"/>
        </w:rPr>
        <w:t xml:space="preserve"> </w:t>
      </w:r>
      <w:r w:rsidR="00973F23">
        <w:rPr>
          <w:lang w:val="en-GB"/>
        </w:rPr>
        <w:t xml:space="preserve">G’s </w:t>
      </w:r>
      <w:r w:rsidR="006E1F0D">
        <w:rPr>
          <w:lang w:val="en-GB"/>
        </w:rPr>
        <w:t>location</w:t>
      </w:r>
      <w:r w:rsidR="00973F23">
        <w:rPr>
          <w:lang w:val="en-GB"/>
        </w:rPr>
        <w:t xml:space="preserve"> in Denmark </w:t>
      </w:r>
      <w:r w:rsidR="006E1F0D">
        <w:rPr>
          <w:lang w:val="en-GB"/>
        </w:rPr>
        <w:t xml:space="preserve">had been </w:t>
      </w:r>
      <w:r w:rsidR="00973F23">
        <w:rPr>
          <w:lang w:val="en-GB"/>
        </w:rPr>
        <w:t xml:space="preserve">kept secret. </w:t>
      </w:r>
      <w:r w:rsidR="00B77A22">
        <w:rPr>
          <w:lang w:val="en-GB"/>
        </w:rPr>
        <w:t>The authors further argue that</w:t>
      </w:r>
      <w:r w:rsidR="00E744A6">
        <w:rPr>
          <w:lang w:val="en-GB"/>
        </w:rPr>
        <w:t xml:space="preserve"> the background </w:t>
      </w:r>
      <w:r w:rsidR="00733EB9">
        <w:rPr>
          <w:lang w:val="en-GB"/>
        </w:rPr>
        <w:t xml:space="preserve">information on </w:t>
      </w:r>
      <w:r w:rsidR="00B77A22">
        <w:rPr>
          <w:lang w:val="en-GB"/>
        </w:rPr>
        <w:t xml:space="preserve">the situation in Pakistan </w:t>
      </w:r>
      <w:r w:rsidR="006E1F0D">
        <w:rPr>
          <w:lang w:val="en-GB"/>
        </w:rPr>
        <w:t xml:space="preserve">with regard to </w:t>
      </w:r>
      <w:r w:rsidR="00733EB9">
        <w:rPr>
          <w:lang w:val="en-GB"/>
        </w:rPr>
        <w:t>Christian</w:t>
      </w:r>
      <w:r w:rsidR="006E1F0D">
        <w:rPr>
          <w:lang w:val="en-GB"/>
        </w:rPr>
        <w:t>s</w:t>
      </w:r>
      <w:r w:rsidR="00733EB9">
        <w:rPr>
          <w:lang w:val="en-GB"/>
        </w:rPr>
        <w:t xml:space="preserve"> in general</w:t>
      </w:r>
      <w:r w:rsidR="00B77A22">
        <w:rPr>
          <w:lang w:val="en-GB"/>
        </w:rPr>
        <w:t>,</w:t>
      </w:r>
      <w:r w:rsidR="00733EB9">
        <w:rPr>
          <w:lang w:val="en-GB"/>
        </w:rPr>
        <w:t xml:space="preserve"> and convert</w:t>
      </w:r>
      <w:r w:rsidR="00B77A22">
        <w:rPr>
          <w:lang w:val="en-GB"/>
        </w:rPr>
        <w:t>s</w:t>
      </w:r>
      <w:r w:rsidR="00733EB9">
        <w:rPr>
          <w:lang w:val="en-GB"/>
        </w:rPr>
        <w:t xml:space="preserve"> in particular, support</w:t>
      </w:r>
      <w:r w:rsidR="00B77A22">
        <w:rPr>
          <w:lang w:val="en-GB"/>
        </w:rPr>
        <w:t>s</w:t>
      </w:r>
      <w:r w:rsidR="00733EB9">
        <w:rPr>
          <w:lang w:val="en-GB"/>
        </w:rPr>
        <w:t xml:space="preserve"> the real</w:t>
      </w:r>
      <w:r w:rsidR="006E1F0D">
        <w:rPr>
          <w:lang w:val="en-GB"/>
        </w:rPr>
        <w:t xml:space="preserve"> basis</w:t>
      </w:r>
      <w:r w:rsidR="00733EB9">
        <w:rPr>
          <w:lang w:val="en-GB"/>
        </w:rPr>
        <w:t xml:space="preserve"> of </w:t>
      </w:r>
      <w:r w:rsidR="00B77A22">
        <w:rPr>
          <w:lang w:val="en-GB"/>
        </w:rPr>
        <w:t xml:space="preserve">their </w:t>
      </w:r>
      <w:r w:rsidR="00733EB9">
        <w:rPr>
          <w:lang w:val="en-GB"/>
        </w:rPr>
        <w:t>fears.</w:t>
      </w:r>
    </w:p>
    <w:p w14:paraId="428EF077" w14:textId="77777777" w:rsidR="005007C9" w:rsidRPr="000026EA" w:rsidRDefault="001D32E3" w:rsidP="00CB0915">
      <w:pPr>
        <w:pStyle w:val="SingleTxtG"/>
        <w:rPr>
          <w:lang w:val="en-GB"/>
        </w:rPr>
      </w:pPr>
      <w:r w:rsidRPr="001D32E3">
        <w:rPr>
          <w:lang w:val="en-GB"/>
        </w:rPr>
        <w:t>2.</w:t>
      </w:r>
      <w:r w:rsidR="00326BD4">
        <w:rPr>
          <w:lang w:val="en-GB"/>
        </w:rPr>
        <w:t>1</w:t>
      </w:r>
      <w:r w:rsidR="00E2703B">
        <w:rPr>
          <w:lang w:val="en-GB"/>
        </w:rPr>
        <w:t>0</w:t>
      </w:r>
      <w:r w:rsidRPr="001D32E3">
        <w:rPr>
          <w:lang w:val="en-GB"/>
        </w:rPr>
        <w:tab/>
      </w:r>
      <w:r w:rsidR="00D868D3" w:rsidRPr="00D868D3">
        <w:rPr>
          <w:lang w:val="en-GB"/>
        </w:rPr>
        <w:t>The authors submit that they have exhausted all available domestic remedies</w:t>
      </w:r>
      <w:r w:rsidR="0064091B">
        <w:rPr>
          <w:lang w:val="en-GB"/>
        </w:rPr>
        <w:t xml:space="preserve"> as no judicial review of the Board</w:t>
      </w:r>
      <w:r w:rsidR="00D4541C">
        <w:rPr>
          <w:lang w:val="en-GB"/>
        </w:rPr>
        <w:t>’s</w:t>
      </w:r>
      <w:r w:rsidR="0064091B">
        <w:rPr>
          <w:lang w:val="en-GB"/>
        </w:rPr>
        <w:t xml:space="preserve"> decision is available</w:t>
      </w:r>
      <w:r w:rsidR="00A837F7">
        <w:rPr>
          <w:lang w:val="en-GB"/>
        </w:rPr>
        <w:t>. They also indicate that</w:t>
      </w:r>
      <w:r w:rsidR="00D868D3" w:rsidRPr="00D868D3">
        <w:rPr>
          <w:lang w:val="en-GB"/>
        </w:rPr>
        <w:t xml:space="preserve"> the same subject</w:t>
      </w:r>
      <w:r w:rsidR="006E1F0D">
        <w:rPr>
          <w:lang w:val="en-GB"/>
        </w:rPr>
        <w:t xml:space="preserve"> </w:t>
      </w:r>
      <w:r w:rsidR="00D868D3" w:rsidRPr="00D868D3">
        <w:rPr>
          <w:lang w:val="en-GB"/>
        </w:rPr>
        <w:t>matter is not being examined under another procedure of international investigation or settlement.</w:t>
      </w:r>
      <w:r w:rsidR="00362BEC">
        <w:rPr>
          <w:lang w:val="en-GB"/>
        </w:rPr>
        <w:t xml:space="preserve"> </w:t>
      </w:r>
    </w:p>
    <w:p w14:paraId="00ABCE4A" w14:textId="77777777" w:rsidR="003134AC" w:rsidRDefault="007B3302" w:rsidP="007B3302">
      <w:pPr>
        <w:pStyle w:val="H23G"/>
      </w:pPr>
      <w:r>
        <w:tab/>
      </w:r>
      <w:r>
        <w:tab/>
      </w:r>
      <w:r w:rsidR="003134AC" w:rsidRPr="009666E1">
        <w:t>The complaint</w:t>
      </w:r>
    </w:p>
    <w:p w14:paraId="5A15A42E" w14:textId="77777777" w:rsidR="00DB2642" w:rsidRPr="00DB2642" w:rsidRDefault="00E17C73" w:rsidP="00DB2642">
      <w:pPr>
        <w:pStyle w:val="SingleTxtG"/>
        <w:rPr>
          <w:lang w:val="en-GB"/>
        </w:rPr>
      </w:pPr>
      <w:r>
        <w:t>3</w:t>
      </w:r>
      <w:r w:rsidR="005C176E">
        <w:t>.</w:t>
      </w:r>
      <w:r w:rsidR="007F098E" w:rsidRPr="007F098E">
        <w:rPr>
          <w:lang w:val="en-GB"/>
        </w:rPr>
        <w:t>1</w:t>
      </w:r>
      <w:r w:rsidR="00DB2642">
        <w:rPr>
          <w:lang w:val="en-GB"/>
        </w:rPr>
        <w:tab/>
      </w:r>
      <w:r w:rsidR="001228BA" w:rsidRPr="001228BA">
        <w:rPr>
          <w:lang w:val="en-GB"/>
        </w:rPr>
        <w:t>The author</w:t>
      </w:r>
      <w:r w:rsidR="001228BA">
        <w:rPr>
          <w:lang w:val="en-GB"/>
        </w:rPr>
        <w:t>s</w:t>
      </w:r>
      <w:r w:rsidR="001228BA" w:rsidRPr="001228BA">
        <w:rPr>
          <w:lang w:val="en-GB"/>
        </w:rPr>
        <w:t xml:space="preserve"> claim</w:t>
      </w:r>
      <w:r w:rsidR="001228BA">
        <w:rPr>
          <w:lang w:val="en-GB"/>
        </w:rPr>
        <w:t xml:space="preserve"> </w:t>
      </w:r>
      <w:r w:rsidR="001228BA" w:rsidRPr="001228BA">
        <w:rPr>
          <w:lang w:val="en-GB"/>
        </w:rPr>
        <w:t xml:space="preserve">that by forcibly returning </w:t>
      </w:r>
      <w:r w:rsidR="001228BA">
        <w:rPr>
          <w:lang w:val="en-GB"/>
        </w:rPr>
        <w:t xml:space="preserve">them </w:t>
      </w:r>
      <w:r w:rsidR="001228BA" w:rsidRPr="001228BA">
        <w:rPr>
          <w:lang w:val="en-GB"/>
        </w:rPr>
        <w:t xml:space="preserve">to </w:t>
      </w:r>
      <w:r w:rsidR="001228BA">
        <w:rPr>
          <w:lang w:val="en-GB"/>
        </w:rPr>
        <w:t>Pakistan</w:t>
      </w:r>
      <w:r w:rsidR="001228BA" w:rsidRPr="001228BA">
        <w:rPr>
          <w:lang w:val="en-GB"/>
        </w:rPr>
        <w:t xml:space="preserve">, Denmark would violate </w:t>
      </w:r>
      <w:r w:rsidR="001228BA">
        <w:rPr>
          <w:lang w:val="en-GB"/>
        </w:rPr>
        <w:t xml:space="preserve">their </w:t>
      </w:r>
      <w:r w:rsidR="001228BA" w:rsidRPr="001228BA">
        <w:rPr>
          <w:lang w:val="en-GB"/>
        </w:rPr>
        <w:t xml:space="preserve">rights under articles </w:t>
      </w:r>
      <w:r w:rsidR="001228BA">
        <w:rPr>
          <w:lang w:val="en-GB"/>
        </w:rPr>
        <w:t>6</w:t>
      </w:r>
      <w:r w:rsidR="001228BA" w:rsidRPr="001228BA">
        <w:rPr>
          <w:lang w:val="en-GB"/>
        </w:rPr>
        <w:t xml:space="preserve">, </w:t>
      </w:r>
      <w:r w:rsidR="001228BA">
        <w:rPr>
          <w:lang w:val="en-GB"/>
        </w:rPr>
        <w:t xml:space="preserve">7 and </w:t>
      </w:r>
      <w:r w:rsidR="001228BA" w:rsidRPr="001228BA">
        <w:rPr>
          <w:lang w:val="en-GB"/>
        </w:rPr>
        <w:t>1</w:t>
      </w:r>
      <w:r w:rsidR="001228BA">
        <w:rPr>
          <w:lang w:val="en-GB"/>
        </w:rPr>
        <w:t xml:space="preserve">8 of the Covenant as they would </w:t>
      </w:r>
      <w:r w:rsidR="00DB2642" w:rsidRPr="00DB2642">
        <w:rPr>
          <w:lang w:val="en-GB"/>
        </w:rPr>
        <w:t xml:space="preserve">again be exposed to threats </w:t>
      </w:r>
      <w:r w:rsidR="00AF2EE0">
        <w:rPr>
          <w:lang w:val="en-GB"/>
        </w:rPr>
        <w:t xml:space="preserve">to </w:t>
      </w:r>
      <w:r w:rsidR="00DB2642" w:rsidRPr="00DB2642">
        <w:rPr>
          <w:lang w:val="en-GB"/>
        </w:rPr>
        <w:t xml:space="preserve">their lives </w:t>
      </w:r>
      <w:r w:rsidR="00ED2881">
        <w:rPr>
          <w:lang w:val="en-GB"/>
        </w:rPr>
        <w:t>because they are</w:t>
      </w:r>
      <w:r w:rsidR="00DB2642" w:rsidRPr="00DB2642">
        <w:rPr>
          <w:lang w:val="en-GB"/>
        </w:rPr>
        <w:t xml:space="preserve"> Christian</w:t>
      </w:r>
      <w:r w:rsidR="001228BA">
        <w:rPr>
          <w:lang w:val="en-GB"/>
        </w:rPr>
        <w:t>s</w:t>
      </w:r>
      <w:r w:rsidR="00ED2881">
        <w:rPr>
          <w:lang w:val="en-GB"/>
        </w:rPr>
        <w:t xml:space="preserve"> and because of their family links with G and his wife</w:t>
      </w:r>
      <w:r w:rsidR="00665D56">
        <w:rPr>
          <w:lang w:val="en-GB" w:bidi="he-IL"/>
        </w:rPr>
        <w:t>,</w:t>
      </w:r>
      <w:r w:rsidR="00B2476F">
        <w:rPr>
          <w:lang w:val="en-GB"/>
        </w:rPr>
        <w:t xml:space="preserve"> who were </w:t>
      </w:r>
      <w:r w:rsidR="00665D56">
        <w:rPr>
          <w:lang w:val="en-GB" w:bidi="he-IL"/>
        </w:rPr>
        <w:t>subject</w:t>
      </w:r>
      <w:r w:rsidR="004E3C1F">
        <w:rPr>
          <w:lang w:val="en-GB" w:bidi="he-IL"/>
        </w:rPr>
        <w:t>ed</w:t>
      </w:r>
      <w:r w:rsidR="00665D56">
        <w:rPr>
          <w:lang w:val="en-GB" w:bidi="he-IL"/>
        </w:rPr>
        <w:t xml:space="preserve"> to violent attacks </w:t>
      </w:r>
      <w:r w:rsidR="00B2476F">
        <w:rPr>
          <w:lang w:val="en-GB"/>
        </w:rPr>
        <w:t>in 2011</w:t>
      </w:r>
      <w:r w:rsidR="00DB2642" w:rsidRPr="00DB2642">
        <w:rPr>
          <w:lang w:val="en-GB"/>
        </w:rPr>
        <w:t xml:space="preserve">. They claim that </w:t>
      </w:r>
      <w:r w:rsidR="00ED2881">
        <w:rPr>
          <w:lang w:val="en-GB"/>
        </w:rPr>
        <w:t xml:space="preserve">the risk of </w:t>
      </w:r>
      <w:r w:rsidR="00DB2642" w:rsidRPr="00DB2642">
        <w:rPr>
          <w:lang w:val="en-GB"/>
        </w:rPr>
        <w:t>harassment</w:t>
      </w:r>
      <w:r w:rsidR="00ED2881">
        <w:rPr>
          <w:lang w:val="en-GB"/>
        </w:rPr>
        <w:t xml:space="preserve"> they would face</w:t>
      </w:r>
      <w:r w:rsidR="00DB2642" w:rsidRPr="00DB2642">
        <w:rPr>
          <w:lang w:val="en-GB"/>
        </w:rPr>
        <w:t xml:space="preserve"> upon</w:t>
      </w:r>
      <w:r w:rsidR="00ED2881">
        <w:rPr>
          <w:lang w:val="en-GB"/>
        </w:rPr>
        <w:t xml:space="preserve"> their</w:t>
      </w:r>
      <w:r w:rsidR="00DB2642" w:rsidRPr="00DB2642">
        <w:rPr>
          <w:lang w:val="en-GB"/>
        </w:rPr>
        <w:t xml:space="preserve"> return to Pakistan </w:t>
      </w:r>
      <w:r w:rsidR="00ED2881">
        <w:rPr>
          <w:lang w:val="en-GB"/>
        </w:rPr>
        <w:t>is higher than the one they faced</w:t>
      </w:r>
      <w:r w:rsidR="00DB2642" w:rsidRPr="00DB2642">
        <w:rPr>
          <w:lang w:val="en-GB"/>
        </w:rPr>
        <w:t xml:space="preserve"> before </w:t>
      </w:r>
      <w:r w:rsidR="00ED2881">
        <w:rPr>
          <w:lang w:val="en-GB"/>
        </w:rPr>
        <w:t>leaving</w:t>
      </w:r>
      <w:r w:rsidR="00A837F7">
        <w:rPr>
          <w:lang w:val="en-GB"/>
        </w:rPr>
        <w:t xml:space="preserve"> the country</w:t>
      </w:r>
      <w:r w:rsidR="00DB2642" w:rsidRPr="00DB2642">
        <w:rPr>
          <w:lang w:val="en-GB"/>
        </w:rPr>
        <w:t xml:space="preserve">. </w:t>
      </w:r>
    </w:p>
    <w:p w14:paraId="0B485481" w14:textId="77777777" w:rsidR="00DB2642" w:rsidRPr="00DB2642" w:rsidRDefault="00F942E0" w:rsidP="00DB2642">
      <w:pPr>
        <w:pStyle w:val="SingleTxtG"/>
        <w:rPr>
          <w:lang w:val="en-GB"/>
        </w:rPr>
      </w:pPr>
      <w:r>
        <w:rPr>
          <w:lang w:val="en-GB"/>
        </w:rPr>
        <w:t>3.2</w:t>
      </w:r>
      <w:r w:rsidR="00DB2642">
        <w:rPr>
          <w:lang w:val="en-GB"/>
        </w:rPr>
        <w:tab/>
      </w:r>
      <w:r w:rsidR="00ED2881" w:rsidRPr="00DB2642">
        <w:rPr>
          <w:lang w:val="en-GB"/>
        </w:rPr>
        <w:t>The</w:t>
      </w:r>
      <w:r w:rsidR="00ED2881">
        <w:rPr>
          <w:lang w:val="en-GB"/>
        </w:rPr>
        <w:t xml:space="preserve"> authors</w:t>
      </w:r>
      <w:r w:rsidR="00ED2881" w:rsidRPr="00DB2642">
        <w:rPr>
          <w:lang w:val="en-GB"/>
        </w:rPr>
        <w:t xml:space="preserve"> </w:t>
      </w:r>
      <w:r w:rsidR="00DB2642">
        <w:rPr>
          <w:lang w:val="en-GB"/>
        </w:rPr>
        <w:t xml:space="preserve">also </w:t>
      </w:r>
      <w:r w:rsidR="00DB2642" w:rsidRPr="00DB2642">
        <w:rPr>
          <w:lang w:val="en-GB"/>
        </w:rPr>
        <w:t xml:space="preserve">claim </w:t>
      </w:r>
      <w:r w:rsidR="00ED2881">
        <w:rPr>
          <w:lang w:val="en-GB"/>
        </w:rPr>
        <w:t>that the</w:t>
      </w:r>
      <w:r w:rsidR="00DB2642" w:rsidRPr="00DB2642">
        <w:rPr>
          <w:lang w:val="en-GB"/>
        </w:rPr>
        <w:t xml:space="preserve"> violent attacks</w:t>
      </w:r>
      <w:r w:rsidR="00ED2881">
        <w:rPr>
          <w:lang w:val="en-GB"/>
        </w:rPr>
        <w:t xml:space="preserve"> they </w:t>
      </w:r>
      <w:r w:rsidR="00665D56">
        <w:rPr>
          <w:lang w:val="en-GB" w:bidi="he-IL"/>
        </w:rPr>
        <w:t xml:space="preserve">themselves </w:t>
      </w:r>
      <w:r w:rsidR="004E3C1F">
        <w:rPr>
          <w:lang w:val="en-GB"/>
        </w:rPr>
        <w:t>suffered</w:t>
      </w:r>
      <w:r w:rsidR="004E3C1F" w:rsidRPr="00DB2642">
        <w:rPr>
          <w:lang w:val="en-GB"/>
        </w:rPr>
        <w:t xml:space="preserve"> </w:t>
      </w:r>
      <w:r w:rsidR="00DB2642" w:rsidRPr="00DB2642">
        <w:rPr>
          <w:lang w:val="en-GB"/>
        </w:rPr>
        <w:t>in May 2012</w:t>
      </w:r>
      <w:r w:rsidR="00ED2881">
        <w:rPr>
          <w:lang w:val="en-GB"/>
        </w:rPr>
        <w:t xml:space="preserve"> and</w:t>
      </w:r>
      <w:r w:rsidR="00DB2642" w:rsidRPr="00DB2642">
        <w:rPr>
          <w:lang w:val="en-GB"/>
        </w:rPr>
        <w:t xml:space="preserve"> the shooting inciden</w:t>
      </w:r>
      <w:r w:rsidR="0064091B">
        <w:rPr>
          <w:lang w:val="en-GB"/>
        </w:rPr>
        <w:t xml:space="preserve">ts </w:t>
      </w:r>
      <w:r w:rsidR="00DB2642" w:rsidRPr="00DB2642">
        <w:rPr>
          <w:lang w:val="en-GB"/>
        </w:rPr>
        <w:t xml:space="preserve">of May and November 2011 </w:t>
      </w:r>
      <w:r w:rsidR="004E3C1F">
        <w:rPr>
          <w:lang w:val="en-GB"/>
        </w:rPr>
        <w:t xml:space="preserve">involving </w:t>
      </w:r>
      <w:r w:rsidR="00ED2881">
        <w:rPr>
          <w:lang w:val="en-GB"/>
        </w:rPr>
        <w:t>G</w:t>
      </w:r>
      <w:r w:rsidR="00DB2642" w:rsidRPr="00DB2642">
        <w:rPr>
          <w:lang w:val="en-GB"/>
        </w:rPr>
        <w:t xml:space="preserve"> </w:t>
      </w:r>
      <w:r w:rsidR="00ED2881">
        <w:rPr>
          <w:lang w:val="en-GB"/>
        </w:rPr>
        <w:t xml:space="preserve">demonstrate that they face a real risk </w:t>
      </w:r>
      <w:r w:rsidR="00B2476F">
        <w:rPr>
          <w:lang w:val="en-GB"/>
        </w:rPr>
        <w:t xml:space="preserve">of </w:t>
      </w:r>
      <w:r w:rsidR="00ED2881">
        <w:rPr>
          <w:lang w:val="en-GB"/>
        </w:rPr>
        <w:t>los</w:t>
      </w:r>
      <w:r w:rsidR="00B2476F">
        <w:rPr>
          <w:lang w:val="en-GB"/>
        </w:rPr>
        <w:t xml:space="preserve">ing </w:t>
      </w:r>
      <w:r w:rsidR="00DB2642" w:rsidRPr="00DB2642">
        <w:rPr>
          <w:lang w:val="en-GB"/>
        </w:rPr>
        <w:t xml:space="preserve">their lives </w:t>
      </w:r>
      <w:r w:rsidR="004E3C1F">
        <w:rPr>
          <w:lang w:val="en-GB"/>
        </w:rPr>
        <w:t>or</w:t>
      </w:r>
      <w:r w:rsidR="004E3C1F" w:rsidRPr="00DB2642">
        <w:rPr>
          <w:lang w:val="en-GB"/>
        </w:rPr>
        <w:t xml:space="preserve"> </w:t>
      </w:r>
      <w:r w:rsidR="00B2476F">
        <w:rPr>
          <w:lang w:val="en-GB"/>
        </w:rPr>
        <w:t xml:space="preserve">being </w:t>
      </w:r>
      <w:r w:rsidR="00DB2642" w:rsidRPr="00DB2642">
        <w:rPr>
          <w:lang w:val="en-GB"/>
        </w:rPr>
        <w:t xml:space="preserve">exposed to </w:t>
      </w:r>
      <w:r w:rsidR="00ED2881">
        <w:rPr>
          <w:lang w:val="en-GB"/>
        </w:rPr>
        <w:t>inhuman</w:t>
      </w:r>
      <w:r w:rsidR="00DB2642" w:rsidRPr="00DB2642">
        <w:rPr>
          <w:lang w:val="en-GB"/>
        </w:rPr>
        <w:t xml:space="preserve"> and degrading treatment, in violation of articles 6</w:t>
      </w:r>
      <w:r w:rsidR="004E3C1F">
        <w:rPr>
          <w:lang w:val="en-GB"/>
        </w:rPr>
        <w:t xml:space="preserve"> (</w:t>
      </w:r>
      <w:r w:rsidR="00DB2642" w:rsidRPr="00DB2642">
        <w:rPr>
          <w:lang w:val="en-GB"/>
        </w:rPr>
        <w:t>1</w:t>
      </w:r>
      <w:r w:rsidR="004E3C1F">
        <w:rPr>
          <w:lang w:val="en-GB"/>
        </w:rPr>
        <w:t>)</w:t>
      </w:r>
      <w:r w:rsidR="00DB2642" w:rsidRPr="00DB2642">
        <w:rPr>
          <w:lang w:val="en-GB"/>
        </w:rPr>
        <w:t xml:space="preserve"> and 7 of the Covenant, if deported to Pakistan. The authors </w:t>
      </w:r>
      <w:r w:rsidR="00ED2881">
        <w:rPr>
          <w:lang w:val="en-GB"/>
        </w:rPr>
        <w:t>argue that their fears are supported by the</w:t>
      </w:r>
      <w:r w:rsidR="00DB2642" w:rsidRPr="00DB2642">
        <w:rPr>
          <w:lang w:val="en-GB"/>
        </w:rPr>
        <w:t xml:space="preserve"> background information </w:t>
      </w:r>
      <w:r w:rsidR="00B2476F">
        <w:rPr>
          <w:lang w:val="en-GB"/>
        </w:rPr>
        <w:t xml:space="preserve">available </w:t>
      </w:r>
      <w:r w:rsidR="00ED2881">
        <w:rPr>
          <w:lang w:val="en-GB"/>
        </w:rPr>
        <w:t>on the situation of</w:t>
      </w:r>
      <w:r w:rsidR="00DB2642" w:rsidRPr="00DB2642">
        <w:rPr>
          <w:lang w:val="en-GB"/>
        </w:rPr>
        <w:t xml:space="preserve"> Christian</w:t>
      </w:r>
      <w:r w:rsidR="004E3C1F">
        <w:rPr>
          <w:lang w:val="en-GB"/>
        </w:rPr>
        <w:t>s,</w:t>
      </w:r>
      <w:r w:rsidR="00DB2642" w:rsidRPr="00DB2642">
        <w:rPr>
          <w:lang w:val="en-GB"/>
        </w:rPr>
        <w:t xml:space="preserve"> </w:t>
      </w:r>
      <w:r w:rsidR="004E3C1F">
        <w:rPr>
          <w:lang w:val="en-GB"/>
        </w:rPr>
        <w:t>especially</w:t>
      </w:r>
      <w:r w:rsidR="00B2476F">
        <w:rPr>
          <w:lang w:val="en-GB"/>
        </w:rPr>
        <w:t xml:space="preserve"> </w:t>
      </w:r>
      <w:r w:rsidR="00ED2881" w:rsidRPr="00DB2642">
        <w:rPr>
          <w:lang w:val="en-GB"/>
        </w:rPr>
        <w:t>convert</w:t>
      </w:r>
      <w:r w:rsidR="00ED2881">
        <w:rPr>
          <w:lang w:val="en-GB"/>
        </w:rPr>
        <w:t>s</w:t>
      </w:r>
      <w:r w:rsidR="004E3C1F">
        <w:rPr>
          <w:lang w:val="en-GB"/>
        </w:rPr>
        <w:t>,</w:t>
      </w:r>
      <w:r w:rsidR="00ED2881" w:rsidRPr="00DB2642">
        <w:rPr>
          <w:lang w:val="en-GB"/>
        </w:rPr>
        <w:t xml:space="preserve"> </w:t>
      </w:r>
      <w:r w:rsidR="00ED2881">
        <w:rPr>
          <w:lang w:val="en-GB"/>
        </w:rPr>
        <w:t>in</w:t>
      </w:r>
      <w:r w:rsidR="00B2476F">
        <w:rPr>
          <w:lang w:val="en-GB"/>
        </w:rPr>
        <w:t xml:space="preserve"> Pakistan. </w:t>
      </w:r>
      <w:r w:rsidR="00ED2881">
        <w:rPr>
          <w:lang w:val="en-GB"/>
        </w:rPr>
        <w:t>The authors further argue that,</w:t>
      </w:r>
      <w:r w:rsidR="00DB2642" w:rsidRPr="00DB2642">
        <w:rPr>
          <w:lang w:val="en-GB"/>
        </w:rPr>
        <w:t xml:space="preserve"> if returned</w:t>
      </w:r>
      <w:r w:rsidR="001F1F1F">
        <w:rPr>
          <w:lang w:val="en-GB"/>
        </w:rPr>
        <w:t xml:space="preserve"> to Pakistan</w:t>
      </w:r>
      <w:r w:rsidR="00DB2642" w:rsidRPr="00DB2642">
        <w:rPr>
          <w:lang w:val="en-GB"/>
        </w:rPr>
        <w:t>,</w:t>
      </w:r>
      <w:r w:rsidR="00ED2881">
        <w:rPr>
          <w:lang w:val="en-GB"/>
        </w:rPr>
        <w:t xml:space="preserve"> they will</w:t>
      </w:r>
      <w:r w:rsidR="00DB2642" w:rsidRPr="00DB2642">
        <w:rPr>
          <w:lang w:val="en-GB"/>
        </w:rPr>
        <w:t xml:space="preserve"> be </w:t>
      </w:r>
      <w:r w:rsidR="00ED2881">
        <w:rPr>
          <w:lang w:val="en-GB"/>
        </w:rPr>
        <w:t>obliged</w:t>
      </w:r>
      <w:r w:rsidR="00ED2881" w:rsidRPr="00DB2642">
        <w:rPr>
          <w:lang w:val="en-GB"/>
        </w:rPr>
        <w:t xml:space="preserve"> </w:t>
      </w:r>
      <w:r w:rsidR="00DB2642" w:rsidRPr="00DB2642">
        <w:rPr>
          <w:lang w:val="en-GB"/>
        </w:rPr>
        <w:t xml:space="preserve">to hide </w:t>
      </w:r>
      <w:r w:rsidR="00ED2881">
        <w:rPr>
          <w:lang w:val="en-GB"/>
        </w:rPr>
        <w:t>their religious conviction</w:t>
      </w:r>
      <w:r w:rsidR="004E3C1F">
        <w:rPr>
          <w:lang w:val="en-GB"/>
        </w:rPr>
        <w:t>s</w:t>
      </w:r>
      <w:r w:rsidR="00ED2881" w:rsidRPr="00DB2642">
        <w:rPr>
          <w:lang w:val="en-GB"/>
        </w:rPr>
        <w:t xml:space="preserve"> </w:t>
      </w:r>
      <w:r w:rsidR="00DB2642" w:rsidRPr="00DB2642">
        <w:rPr>
          <w:lang w:val="en-GB"/>
        </w:rPr>
        <w:t xml:space="preserve">and thus be hindered </w:t>
      </w:r>
      <w:r w:rsidR="00FE650C">
        <w:rPr>
          <w:lang w:val="en-GB"/>
        </w:rPr>
        <w:t xml:space="preserve">in the </w:t>
      </w:r>
      <w:r w:rsidR="00ED2881">
        <w:rPr>
          <w:lang w:val="en-GB"/>
        </w:rPr>
        <w:t>free exercis</w:t>
      </w:r>
      <w:r w:rsidR="00FE650C">
        <w:rPr>
          <w:lang w:val="en-GB"/>
        </w:rPr>
        <w:t>e of</w:t>
      </w:r>
      <w:r w:rsidR="00DB2642" w:rsidRPr="00DB2642">
        <w:rPr>
          <w:lang w:val="en-GB"/>
        </w:rPr>
        <w:t xml:space="preserve"> their religion, in violation of article 18</w:t>
      </w:r>
      <w:r w:rsidR="007D5C64">
        <w:rPr>
          <w:lang w:val="en-GB"/>
        </w:rPr>
        <w:t xml:space="preserve"> of the Covenant</w:t>
      </w:r>
      <w:r w:rsidR="00DB2642" w:rsidRPr="00DB2642">
        <w:rPr>
          <w:lang w:val="en-GB"/>
        </w:rPr>
        <w:t xml:space="preserve">. </w:t>
      </w:r>
    </w:p>
    <w:p w14:paraId="70DE84FE" w14:textId="77777777" w:rsidR="00DB2642" w:rsidRPr="00F40A73" w:rsidRDefault="00F942E0" w:rsidP="00DB2642">
      <w:pPr>
        <w:pStyle w:val="SingleTxtG"/>
        <w:rPr>
          <w:lang w:val="en-GB"/>
        </w:rPr>
      </w:pPr>
      <w:r>
        <w:rPr>
          <w:lang w:val="en-GB"/>
        </w:rPr>
        <w:t>3.3</w:t>
      </w:r>
      <w:r w:rsidR="00DB2642">
        <w:rPr>
          <w:lang w:val="en-GB"/>
        </w:rPr>
        <w:tab/>
      </w:r>
      <w:r w:rsidR="00BA32C2">
        <w:rPr>
          <w:lang w:val="en-GB"/>
        </w:rPr>
        <w:t>The authors finally argue that</w:t>
      </w:r>
      <w:r w:rsidR="00DB2642" w:rsidRPr="00DB2642">
        <w:rPr>
          <w:lang w:val="en-GB"/>
        </w:rPr>
        <w:t xml:space="preserve"> the risk </w:t>
      </w:r>
      <w:r w:rsidR="004E3C1F">
        <w:rPr>
          <w:lang w:val="en-GB"/>
        </w:rPr>
        <w:t>of their being harassed</w:t>
      </w:r>
      <w:r w:rsidR="00DB2642" w:rsidRPr="00DB2642">
        <w:rPr>
          <w:lang w:val="en-GB"/>
        </w:rPr>
        <w:t xml:space="preserve"> </w:t>
      </w:r>
      <w:r w:rsidR="00A837F7">
        <w:rPr>
          <w:lang w:val="en-GB"/>
        </w:rPr>
        <w:t>upon their return to Pakistan</w:t>
      </w:r>
      <w:r w:rsidR="00DB2642" w:rsidRPr="00DB2642">
        <w:rPr>
          <w:lang w:val="en-GB"/>
        </w:rPr>
        <w:t xml:space="preserve"> is </w:t>
      </w:r>
      <w:r w:rsidR="004E3C1F">
        <w:rPr>
          <w:lang w:val="en-GB"/>
        </w:rPr>
        <w:t>greater because of</w:t>
      </w:r>
      <w:r w:rsidR="00DB2642" w:rsidRPr="00DB2642">
        <w:rPr>
          <w:lang w:val="en-GB"/>
        </w:rPr>
        <w:t xml:space="preserve"> the deteriorating overall situation in </w:t>
      </w:r>
      <w:r w:rsidR="00A837F7">
        <w:rPr>
          <w:lang w:val="en-GB"/>
        </w:rPr>
        <w:t>the country,</w:t>
      </w:r>
      <w:r w:rsidR="00DB2642" w:rsidRPr="00DB2642">
        <w:rPr>
          <w:lang w:val="en-GB"/>
        </w:rPr>
        <w:t xml:space="preserve"> </w:t>
      </w:r>
      <w:r w:rsidR="004E3C1F">
        <w:rPr>
          <w:lang w:val="en-GB"/>
        </w:rPr>
        <w:t>a result of</w:t>
      </w:r>
      <w:r w:rsidR="00DB2642" w:rsidRPr="00DB2642">
        <w:rPr>
          <w:lang w:val="en-GB"/>
        </w:rPr>
        <w:t xml:space="preserve"> the recent </w:t>
      </w:r>
      <w:r w:rsidR="00A837F7">
        <w:rPr>
          <w:lang w:val="en-GB"/>
        </w:rPr>
        <w:t>amendments</w:t>
      </w:r>
      <w:r w:rsidR="00DB2642" w:rsidRPr="00DB2642">
        <w:rPr>
          <w:lang w:val="en-GB"/>
        </w:rPr>
        <w:t xml:space="preserve"> </w:t>
      </w:r>
      <w:r w:rsidR="004E3C1F">
        <w:rPr>
          <w:lang w:val="en-GB"/>
        </w:rPr>
        <w:t>to</w:t>
      </w:r>
      <w:r w:rsidR="004E3C1F" w:rsidRPr="00DB2642">
        <w:rPr>
          <w:lang w:val="en-GB"/>
        </w:rPr>
        <w:t xml:space="preserve"> </w:t>
      </w:r>
      <w:r w:rsidR="00DB2642" w:rsidRPr="00DB2642">
        <w:rPr>
          <w:lang w:val="en-GB"/>
        </w:rPr>
        <w:t>the country’s blasphemy laws.</w:t>
      </w:r>
    </w:p>
    <w:p w14:paraId="23A103F4" w14:textId="77777777" w:rsidR="003134AC" w:rsidRDefault="007E7E46" w:rsidP="007B3302">
      <w:pPr>
        <w:pStyle w:val="H23G"/>
      </w:pPr>
      <w:r>
        <w:lastRenderedPageBreak/>
        <w:tab/>
      </w:r>
      <w:r>
        <w:tab/>
      </w:r>
      <w:r w:rsidR="003134AC" w:rsidRPr="00574BC4">
        <w:t>State party</w:t>
      </w:r>
      <w:r w:rsidR="00A57788">
        <w:t>’</w:t>
      </w:r>
      <w:r w:rsidR="003134AC" w:rsidRPr="00574BC4">
        <w:t>s observations on admissibility</w:t>
      </w:r>
      <w:r w:rsidR="00FE650C">
        <w:t xml:space="preserve"> </w:t>
      </w:r>
      <w:r w:rsidR="00EF3514">
        <w:t xml:space="preserve">and </w:t>
      </w:r>
      <w:r w:rsidR="004E3C1F">
        <w:t xml:space="preserve">the </w:t>
      </w:r>
      <w:r w:rsidR="00EF3514">
        <w:t>merits</w:t>
      </w:r>
      <w:r w:rsidR="007A212F">
        <w:t xml:space="preserve"> </w:t>
      </w:r>
    </w:p>
    <w:p w14:paraId="73216EE5" w14:textId="77777777" w:rsidR="00E0216D" w:rsidRDefault="00776E5E" w:rsidP="00BA5934">
      <w:pPr>
        <w:pStyle w:val="SingleTxtG"/>
        <w:rPr>
          <w:lang w:val="en-GB"/>
        </w:rPr>
      </w:pPr>
      <w:r w:rsidRPr="003C1635">
        <w:t>4.1</w:t>
      </w:r>
      <w:r>
        <w:tab/>
      </w:r>
      <w:r w:rsidR="00DF0799" w:rsidRPr="00DF0799">
        <w:rPr>
          <w:lang w:val="en-GB"/>
        </w:rPr>
        <w:t xml:space="preserve">On </w:t>
      </w:r>
      <w:r w:rsidR="0024139E">
        <w:rPr>
          <w:lang w:val="en-GB"/>
        </w:rPr>
        <w:t xml:space="preserve">5 September </w:t>
      </w:r>
      <w:r w:rsidR="00E0216D">
        <w:rPr>
          <w:lang w:val="en-GB"/>
        </w:rPr>
        <w:t xml:space="preserve">2014, </w:t>
      </w:r>
      <w:r w:rsidR="00F24F92">
        <w:rPr>
          <w:lang w:val="en-GB"/>
        </w:rPr>
        <w:t xml:space="preserve">the State party submitted its observations on </w:t>
      </w:r>
      <w:r w:rsidR="007D4B0C">
        <w:rPr>
          <w:lang w:val="en-GB"/>
        </w:rPr>
        <w:t xml:space="preserve">the </w:t>
      </w:r>
      <w:r w:rsidR="00F24F92">
        <w:rPr>
          <w:lang w:val="en-GB"/>
        </w:rPr>
        <w:t xml:space="preserve">admissibility and </w:t>
      </w:r>
      <w:r w:rsidR="004E3C1F">
        <w:rPr>
          <w:lang w:val="en-GB"/>
        </w:rPr>
        <w:t xml:space="preserve">the </w:t>
      </w:r>
      <w:r w:rsidR="00F24F92">
        <w:rPr>
          <w:lang w:val="en-GB"/>
        </w:rPr>
        <w:t>merits of the communication.</w:t>
      </w:r>
      <w:r w:rsidR="00BA5934">
        <w:rPr>
          <w:lang w:val="en-GB"/>
        </w:rPr>
        <w:t xml:space="preserve"> </w:t>
      </w:r>
      <w:r w:rsidR="007D4B0C">
        <w:rPr>
          <w:lang w:val="en-GB"/>
        </w:rPr>
        <w:t xml:space="preserve">The State party </w:t>
      </w:r>
      <w:r w:rsidR="00E0216D" w:rsidRPr="00E0216D">
        <w:rPr>
          <w:lang w:val="en-GB"/>
        </w:rPr>
        <w:t>considers that the author</w:t>
      </w:r>
      <w:r w:rsidR="007D4B0C">
        <w:rPr>
          <w:lang w:val="en-GB"/>
        </w:rPr>
        <w:t>s</w:t>
      </w:r>
      <w:r w:rsidR="00E0216D" w:rsidRPr="00E0216D">
        <w:rPr>
          <w:lang w:val="en-GB"/>
        </w:rPr>
        <w:t xml:space="preserve"> ha</w:t>
      </w:r>
      <w:r w:rsidR="003C1635">
        <w:rPr>
          <w:lang w:val="en-GB"/>
        </w:rPr>
        <w:t xml:space="preserve">ve </w:t>
      </w:r>
      <w:r w:rsidR="00E0216D" w:rsidRPr="00E0216D">
        <w:rPr>
          <w:lang w:val="en-GB"/>
        </w:rPr>
        <w:t xml:space="preserve">failed to substantiate a risk of irreparable </w:t>
      </w:r>
      <w:r w:rsidR="00E25B12">
        <w:rPr>
          <w:lang w:val="en-GB"/>
        </w:rPr>
        <w:t>harm</w:t>
      </w:r>
      <w:r w:rsidR="00E0216D" w:rsidRPr="00E0216D">
        <w:rPr>
          <w:lang w:val="en-GB"/>
        </w:rPr>
        <w:t xml:space="preserve"> if returned to </w:t>
      </w:r>
      <w:r w:rsidR="003C1635">
        <w:rPr>
          <w:lang w:val="en-GB"/>
        </w:rPr>
        <w:t xml:space="preserve">Pakistan, </w:t>
      </w:r>
      <w:r w:rsidR="00E0216D" w:rsidRPr="00E0216D">
        <w:rPr>
          <w:lang w:val="en-GB"/>
        </w:rPr>
        <w:t xml:space="preserve">and for the same reasons considers the communication inadmissible as manifestly </w:t>
      </w:r>
      <w:r w:rsidR="0000756B">
        <w:rPr>
          <w:lang w:val="en-GB"/>
        </w:rPr>
        <w:t>ill-</w:t>
      </w:r>
      <w:r w:rsidR="00E0216D" w:rsidRPr="00E0216D">
        <w:rPr>
          <w:lang w:val="en-GB"/>
        </w:rPr>
        <w:t xml:space="preserve">founded due to a lack of substantiation. </w:t>
      </w:r>
    </w:p>
    <w:p w14:paraId="64A83D6D" w14:textId="77777777" w:rsidR="006D78C5" w:rsidRDefault="00E0216D" w:rsidP="00BA5934">
      <w:pPr>
        <w:pStyle w:val="SingleTxtG"/>
        <w:rPr>
          <w:lang w:val="en-GB"/>
        </w:rPr>
      </w:pPr>
      <w:r w:rsidRPr="003C1635">
        <w:rPr>
          <w:lang w:val="en-GB"/>
        </w:rPr>
        <w:t>4.2</w:t>
      </w:r>
      <w:r>
        <w:rPr>
          <w:lang w:val="en-GB"/>
        </w:rPr>
        <w:tab/>
      </w:r>
      <w:r w:rsidRPr="00E0216D">
        <w:rPr>
          <w:lang w:val="en-GB"/>
        </w:rPr>
        <w:t xml:space="preserve">Regarding </w:t>
      </w:r>
      <w:r w:rsidR="003C1635">
        <w:rPr>
          <w:lang w:val="en-GB"/>
        </w:rPr>
        <w:t xml:space="preserve">the </w:t>
      </w:r>
      <w:r w:rsidRPr="00E0216D">
        <w:rPr>
          <w:lang w:val="en-GB"/>
        </w:rPr>
        <w:t>claims under article</w:t>
      </w:r>
      <w:r w:rsidR="003C1635">
        <w:rPr>
          <w:lang w:val="en-GB"/>
        </w:rPr>
        <w:t xml:space="preserve"> 6 of the Covenant, t</w:t>
      </w:r>
      <w:r w:rsidRPr="00E0216D">
        <w:rPr>
          <w:lang w:val="en-GB"/>
        </w:rPr>
        <w:t xml:space="preserve">he </w:t>
      </w:r>
      <w:r>
        <w:rPr>
          <w:lang w:val="en-GB"/>
        </w:rPr>
        <w:t xml:space="preserve">State party submits that </w:t>
      </w:r>
      <w:r w:rsidR="002C2755">
        <w:rPr>
          <w:lang w:val="en-GB"/>
        </w:rPr>
        <w:t xml:space="preserve">this </w:t>
      </w:r>
      <w:r w:rsidR="00AE65D3">
        <w:rPr>
          <w:lang w:val="en-GB"/>
        </w:rPr>
        <w:t xml:space="preserve">provision </w:t>
      </w:r>
      <w:r w:rsidR="002C2755">
        <w:rPr>
          <w:lang w:val="en-GB"/>
        </w:rPr>
        <w:t>includes the</w:t>
      </w:r>
      <w:r w:rsidR="007D4B0C">
        <w:rPr>
          <w:lang w:val="en-GB"/>
        </w:rPr>
        <w:t xml:space="preserve"> right of </w:t>
      </w:r>
      <w:r w:rsidR="003C1635">
        <w:rPr>
          <w:lang w:val="en-GB"/>
        </w:rPr>
        <w:t xml:space="preserve">a person not to be deprived of his life arbitrarily or unlawfully by the State or its agents, </w:t>
      </w:r>
      <w:r w:rsidR="00665D56">
        <w:rPr>
          <w:lang w:val="en-GB" w:bidi="he-IL"/>
        </w:rPr>
        <w:t>or by private persons or non-</w:t>
      </w:r>
      <w:r w:rsidR="004E3C1F">
        <w:rPr>
          <w:lang w:val="en-GB" w:bidi="he-IL"/>
        </w:rPr>
        <w:t>S</w:t>
      </w:r>
      <w:r w:rsidR="00665D56">
        <w:rPr>
          <w:lang w:val="en-GB" w:bidi="he-IL"/>
        </w:rPr>
        <w:t>tate entities in violation of</w:t>
      </w:r>
      <w:r w:rsidR="00665D56">
        <w:rPr>
          <w:lang w:val="en-GB"/>
        </w:rPr>
        <w:t xml:space="preserve"> </w:t>
      </w:r>
      <w:r w:rsidR="002C2755">
        <w:rPr>
          <w:lang w:val="en-GB"/>
        </w:rPr>
        <w:t xml:space="preserve">the positive obligation </w:t>
      </w:r>
      <w:r w:rsidR="004E3C1F">
        <w:rPr>
          <w:lang w:val="en-GB"/>
        </w:rPr>
        <w:t xml:space="preserve">that </w:t>
      </w:r>
      <w:r w:rsidR="003C1635">
        <w:rPr>
          <w:lang w:val="en-GB"/>
        </w:rPr>
        <w:t xml:space="preserve">States parties </w:t>
      </w:r>
      <w:r w:rsidR="00665D56">
        <w:rPr>
          <w:lang w:val="en-GB" w:bidi="he-IL"/>
        </w:rPr>
        <w:t xml:space="preserve">incur </w:t>
      </w:r>
      <w:r w:rsidR="002C2755">
        <w:rPr>
          <w:lang w:val="en-GB"/>
        </w:rPr>
        <w:t xml:space="preserve">to </w:t>
      </w:r>
      <w:r w:rsidR="003C1635">
        <w:rPr>
          <w:lang w:val="en-GB"/>
        </w:rPr>
        <w:t xml:space="preserve">adopt measures to </w:t>
      </w:r>
      <w:r w:rsidR="002C2755">
        <w:rPr>
          <w:lang w:val="en-GB"/>
        </w:rPr>
        <w:t>protect the life of the people</w:t>
      </w:r>
      <w:r w:rsidR="003C1635">
        <w:rPr>
          <w:lang w:val="en-GB"/>
        </w:rPr>
        <w:t>.</w:t>
      </w:r>
      <w:r w:rsidR="003C1635">
        <w:rPr>
          <w:rStyle w:val="FootnoteReference"/>
          <w:lang w:val="en-GB"/>
        </w:rPr>
        <w:footnoteReference w:id="8"/>
      </w:r>
      <w:r w:rsidR="003C1635">
        <w:rPr>
          <w:lang w:val="en-GB"/>
        </w:rPr>
        <w:t xml:space="preserve"> </w:t>
      </w:r>
    </w:p>
    <w:p w14:paraId="254970B7" w14:textId="77777777" w:rsidR="009058F1" w:rsidRDefault="00F942E0" w:rsidP="00BA5934">
      <w:pPr>
        <w:pStyle w:val="SingleTxtG"/>
        <w:rPr>
          <w:lang w:val="en-GB"/>
        </w:rPr>
      </w:pPr>
      <w:r>
        <w:rPr>
          <w:lang w:val="en-GB"/>
        </w:rPr>
        <w:t>4.3</w:t>
      </w:r>
      <w:r w:rsidR="006D78C5">
        <w:rPr>
          <w:lang w:val="en-GB"/>
        </w:rPr>
        <w:tab/>
        <w:t xml:space="preserve">Concerning article 7 of the Covenant, </w:t>
      </w:r>
      <w:r w:rsidR="007D4B0C">
        <w:rPr>
          <w:lang w:val="en-GB"/>
        </w:rPr>
        <w:t xml:space="preserve">the State party </w:t>
      </w:r>
      <w:r w:rsidR="002C2755">
        <w:rPr>
          <w:lang w:val="en-GB"/>
        </w:rPr>
        <w:t>refers to the jurisprudence</w:t>
      </w:r>
      <w:r w:rsidR="006D78C5">
        <w:rPr>
          <w:lang w:val="en-GB"/>
        </w:rPr>
        <w:t xml:space="preserve"> of the Committee</w:t>
      </w:r>
      <w:r w:rsidR="002C2755">
        <w:rPr>
          <w:lang w:val="en-GB"/>
        </w:rPr>
        <w:t xml:space="preserve"> according to which</w:t>
      </w:r>
      <w:r w:rsidR="006D78C5">
        <w:rPr>
          <w:lang w:val="en-GB"/>
        </w:rPr>
        <w:t xml:space="preserve"> States parties are under an obligation not to extradite, deport, expel or otherwise remove a person from their territory where the necessary and foreseeable consequence of the deportation would be a real risk of irreparable harm, such as that contemplated by article 7 of the Covenant, whether</w:t>
      </w:r>
      <w:r w:rsidR="003C1635">
        <w:rPr>
          <w:lang w:val="en-GB"/>
        </w:rPr>
        <w:t xml:space="preserve"> </w:t>
      </w:r>
      <w:r w:rsidR="006D78C5">
        <w:rPr>
          <w:lang w:val="en-GB"/>
        </w:rPr>
        <w:t>in the country to which removal is to be effected</w:t>
      </w:r>
      <w:r w:rsidR="002C2755">
        <w:rPr>
          <w:lang w:val="en-GB"/>
        </w:rPr>
        <w:t>,</w:t>
      </w:r>
      <w:r w:rsidR="006D78C5">
        <w:rPr>
          <w:lang w:val="en-GB"/>
        </w:rPr>
        <w:t xml:space="preserve"> or in any country to which the person may subsequently be removed</w:t>
      </w:r>
      <w:r w:rsidR="007D4B0C">
        <w:rPr>
          <w:lang w:val="en-GB"/>
        </w:rPr>
        <w:t xml:space="preserve">. </w:t>
      </w:r>
      <w:r w:rsidR="002C2755">
        <w:rPr>
          <w:lang w:val="en-GB"/>
        </w:rPr>
        <w:t>The State party recalls that under</w:t>
      </w:r>
      <w:r w:rsidR="006D78C5">
        <w:rPr>
          <w:lang w:val="en-GB"/>
        </w:rPr>
        <w:t xml:space="preserve"> the Committee’s jurisprudence</w:t>
      </w:r>
      <w:r w:rsidR="002C2755">
        <w:rPr>
          <w:lang w:val="en-GB"/>
        </w:rPr>
        <w:t>,</w:t>
      </w:r>
      <w:r w:rsidR="006D78C5">
        <w:rPr>
          <w:lang w:val="en-GB"/>
        </w:rPr>
        <w:t xml:space="preserve"> the risk must be personal, and that there is a high threshold for providing substantial grounds to establish that a real risk or irreparable harm exists.</w:t>
      </w:r>
      <w:r w:rsidR="006D78C5">
        <w:rPr>
          <w:rStyle w:val="FootnoteReference"/>
          <w:lang w:val="en-GB"/>
        </w:rPr>
        <w:footnoteReference w:id="9"/>
      </w:r>
      <w:r w:rsidR="006D78C5">
        <w:rPr>
          <w:lang w:val="en-GB"/>
        </w:rPr>
        <w:t xml:space="preserve"> The State party </w:t>
      </w:r>
      <w:r w:rsidR="004E3C1F">
        <w:rPr>
          <w:lang w:val="en-GB"/>
        </w:rPr>
        <w:t xml:space="preserve">notes </w:t>
      </w:r>
      <w:r w:rsidR="006D78C5">
        <w:rPr>
          <w:lang w:val="en-GB"/>
        </w:rPr>
        <w:t>that its obligations under articles 6 and 7 of the Covenant are reflected in section 7 (2) of the Aliens Act, under which a residence permit will be issued to an alien upon application</w:t>
      </w:r>
      <w:r w:rsidR="009F688B">
        <w:rPr>
          <w:lang w:val="en-GB"/>
        </w:rPr>
        <w:t xml:space="preserve"> </w:t>
      </w:r>
      <w:r w:rsidR="006D78C5">
        <w:rPr>
          <w:lang w:val="en-GB"/>
        </w:rPr>
        <w:t xml:space="preserve">if the alien risks the death penalty or being subjected to torture or inhuman or degrading treatment or punishment </w:t>
      </w:r>
      <w:r w:rsidR="004E3C1F">
        <w:rPr>
          <w:lang w:val="en-GB"/>
        </w:rPr>
        <w:t>should he be</w:t>
      </w:r>
      <w:r w:rsidR="006D78C5">
        <w:rPr>
          <w:lang w:val="en-GB"/>
        </w:rPr>
        <w:t xml:space="preserve"> return</w:t>
      </w:r>
      <w:r w:rsidR="004E3C1F">
        <w:rPr>
          <w:lang w:val="en-GB"/>
        </w:rPr>
        <w:t>ed</w:t>
      </w:r>
      <w:r w:rsidR="006D78C5">
        <w:rPr>
          <w:lang w:val="en-GB"/>
        </w:rPr>
        <w:t xml:space="preserve"> to his country of origin. </w:t>
      </w:r>
    </w:p>
    <w:p w14:paraId="0D75E876" w14:textId="77777777" w:rsidR="009058F1" w:rsidRDefault="009058F1" w:rsidP="00BA5934">
      <w:pPr>
        <w:pStyle w:val="SingleTxtG"/>
        <w:rPr>
          <w:lang w:val="en-GB"/>
        </w:rPr>
      </w:pPr>
      <w:r>
        <w:rPr>
          <w:lang w:val="en-GB"/>
        </w:rPr>
        <w:t>4.4</w:t>
      </w:r>
      <w:r>
        <w:rPr>
          <w:lang w:val="en-GB"/>
        </w:rPr>
        <w:tab/>
        <w:t xml:space="preserve">As regards articles 6 and 7 of the Covenant, the </w:t>
      </w:r>
      <w:r w:rsidR="009F688B">
        <w:rPr>
          <w:lang w:val="en-GB"/>
        </w:rPr>
        <w:t xml:space="preserve">State party also </w:t>
      </w:r>
      <w:r>
        <w:rPr>
          <w:lang w:val="en-GB"/>
        </w:rPr>
        <w:t>submits</w:t>
      </w:r>
      <w:r w:rsidR="0077374B">
        <w:rPr>
          <w:lang w:val="en-GB"/>
        </w:rPr>
        <w:t>,</w:t>
      </w:r>
      <w:r>
        <w:rPr>
          <w:lang w:val="en-GB"/>
        </w:rPr>
        <w:t xml:space="preserve"> for the reasons stated below</w:t>
      </w:r>
      <w:r w:rsidR="00FE650C">
        <w:rPr>
          <w:lang w:val="en-GB"/>
        </w:rPr>
        <w:t>,</w:t>
      </w:r>
      <w:r>
        <w:rPr>
          <w:lang w:val="en-GB"/>
        </w:rPr>
        <w:t xml:space="preserve"> that the authors have failed to establish a </w:t>
      </w:r>
      <w:r w:rsidRPr="00F40A73">
        <w:rPr>
          <w:lang w:val="en-GB"/>
        </w:rPr>
        <w:t>prima facie</w:t>
      </w:r>
      <w:r>
        <w:rPr>
          <w:lang w:val="en-GB"/>
        </w:rPr>
        <w:t xml:space="preserve"> case for the purpose of admissibility of their communication because it has not been established that there are substantial grounds for believing that the authors will be in danger of being deprived of their lives or subjected to torture or cruel, inhuman or degrading treatment or punishment </w:t>
      </w:r>
      <w:r w:rsidR="0077374B">
        <w:rPr>
          <w:lang w:val="en-GB"/>
        </w:rPr>
        <w:t xml:space="preserve">if </w:t>
      </w:r>
      <w:r>
        <w:rPr>
          <w:lang w:val="en-GB"/>
        </w:rPr>
        <w:t xml:space="preserve">returned to Pakistan. </w:t>
      </w:r>
      <w:r w:rsidR="002C2755">
        <w:rPr>
          <w:lang w:val="en-GB"/>
        </w:rPr>
        <w:t xml:space="preserve">The State party therefore considers that this </w:t>
      </w:r>
      <w:r>
        <w:rPr>
          <w:lang w:val="en-GB"/>
        </w:rPr>
        <w:t xml:space="preserve">part of the communication is not sufficiently substantiated and should be declared inadmissible. </w:t>
      </w:r>
    </w:p>
    <w:p w14:paraId="7F63B162" w14:textId="77777777" w:rsidR="003539AC" w:rsidRDefault="009058F1" w:rsidP="00BA5934">
      <w:pPr>
        <w:pStyle w:val="SingleTxtG"/>
        <w:rPr>
          <w:lang w:val="en-GB"/>
        </w:rPr>
      </w:pPr>
      <w:r>
        <w:rPr>
          <w:lang w:val="en-GB"/>
        </w:rPr>
        <w:t>4.5</w:t>
      </w:r>
      <w:r>
        <w:rPr>
          <w:lang w:val="en-GB"/>
        </w:rPr>
        <w:tab/>
      </w:r>
      <w:r w:rsidR="009F688B">
        <w:rPr>
          <w:lang w:val="en-GB"/>
        </w:rPr>
        <w:t xml:space="preserve">Concerning </w:t>
      </w:r>
      <w:r>
        <w:rPr>
          <w:lang w:val="en-GB"/>
        </w:rPr>
        <w:t xml:space="preserve">article 18 of the Covenant, the State party submits that the authors have failed to establish a </w:t>
      </w:r>
      <w:r w:rsidRPr="00F40A73">
        <w:rPr>
          <w:lang w:val="en-GB"/>
        </w:rPr>
        <w:t>prima facie</w:t>
      </w:r>
      <w:r>
        <w:rPr>
          <w:lang w:val="en-GB"/>
        </w:rPr>
        <w:t xml:space="preserve"> case for the purpose of admissibility of their communication under article 18 of the Covenant because </w:t>
      </w:r>
      <w:r w:rsidR="002C2755">
        <w:rPr>
          <w:lang w:val="en-GB"/>
        </w:rPr>
        <w:t>they have</w:t>
      </w:r>
      <w:r>
        <w:rPr>
          <w:lang w:val="en-GB"/>
        </w:rPr>
        <w:t xml:space="preserve"> not </w:t>
      </w:r>
      <w:r w:rsidR="002C2755">
        <w:rPr>
          <w:lang w:val="en-GB"/>
        </w:rPr>
        <w:t>demonstrated</w:t>
      </w:r>
      <w:r>
        <w:rPr>
          <w:lang w:val="en-GB"/>
        </w:rPr>
        <w:t xml:space="preserve"> that there are substantial grounds for believing that </w:t>
      </w:r>
      <w:r w:rsidR="002C2755">
        <w:rPr>
          <w:lang w:val="en-GB"/>
        </w:rPr>
        <w:t xml:space="preserve">their </w:t>
      </w:r>
      <w:r>
        <w:rPr>
          <w:lang w:val="en-GB"/>
        </w:rPr>
        <w:t>rights in this regard have been violated. Thus,</w:t>
      </w:r>
      <w:r w:rsidR="002C2755">
        <w:rPr>
          <w:lang w:val="en-GB"/>
        </w:rPr>
        <w:t xml:space="preserve"> the State party considers that</w:t>
      </w:r>
      <w:r>
        <w:rPr>
          <w:lang w:val="en-GB"/>
        </w:rPr>
        <w:t xml:space="preserve"> this part of the communication should also be </w:t>
      </w:r>
      <w:r w:rsidR="002C2755">
        <w:rPr>
          <w:lang w:val="en-GB"/>
        </w:rPr>
        <w:t xml:space="preserve">held </w:t>
      </w:r>
      <w:r>
        <w:rPr>
          <w:lang w:val="en-GB"/>
        </w:rPr>
        <w:t>inadmissi</w:t>
      </w:r>
      <w:r w:rsidR="0070588D">
        <w:rPr>
          <w:lang w:val="en-GB"/>
        </w:rPr>
        <w:t xml:space="preserve">ble. </w:t>
      </w:r>
    </w:p>
    <w:p w14:paraId="2E98F77C" w14:textId="77777777" w:rsidR="00DB0AB8" w:rsidRDefault="00F942E0" w:rsidP="00BA5934">
      <w:pPr>
        <w:pStyle w:val="SingleTxtG"/>
        <w:rPr>
          <w:lang w:val="en-GB"/>
        </w:rPr>
      </w:pPr>
      <w:r>
        <w:rPr>
          <w:lang w:val="en-GB"/>
        </w:rPr>
        <w:t>4.6</w:t>
      </w:r>
      <w:r w:rsidR="003539AC">
        <w:rPr>
          <w:lang w:val="en-GB"/>
        </w:rPr>
        <w:tab/>
      </w:r>
      <w:r w:rsidR="004E3C1F">
        <w:rPr>
          <w:lang w:val="en-GB"/>
        </w:rPr>
        <w:t xml:space="preserve">Should </w:t>
      </w:r>
      <w:r w:rsidR="003539AC">
        <w:rPr>
          <w:lang w:val="en-GB"/>
        </w:rPr>
        <w:t xml:space="preserve">the Committee </w:t>
      </w:r>
      <w:r w:rsidR="004E3C1F">
        <w:rPr>
          <w:lang w:val="en-GB"/>
        </w:rPr>
        <w:t xml:space="preserve">find </w:t>
      </w:r>
      <w:r w:rsidR="003539AC">
        <w:rPr>
          <w:lang w:val="en-GB"/>
        </w:rPr>
        <w:t xml:space="preserve">the communication admissible, the State party submits that the authors have not sufficiently established that </w:t>
      </w:r>
      <w:r w:rsidR="002C2755">
        <w:rPr>
          <w:lang w:val="en-GB"/>
        </w:rPr>
        <w:t>the</w:t>
      </w:r>
      <w:r w:rsidR="005F48BE">
        <w:rPr>
          <w:lang w:val="en-GB" w:bidi="he-IL"/>
        </w:rPr>
        <w:t>ir</w:t>
      </w:r>
      <w:r w:rsidR="002C2755">
        <w:rPr>
          <w:lang w:val="en-GB"/>
        </w:rPr>
        <w:t xml:space="preserve"> deportation to Pakistan </w:t>
      </w:r>
      <w:r w:rsidR="003539AC">
        <w:rPr>
          <w:lang w:val="en-GB"/>
        </w:rPr>
        <w:t xml:space="preserve">would </w:t>
      </w:r>
      <w:r w:rsidR="002C2755">
        <w:rPr>
          <w:lang w:val="en-GB"/>
        </w:rPr>
        <w:t xml:space="preserve">amount to </w:t>
      </w:r>
      <w:r w:rsidR="003539AC">
        <w:rPr>
          <w:lang w:val="en-GB"/>
        </w:rPr>
        <w:t xml:space="preserve">a violation of articles 6, 7 and 18 of the Covenant. It </w:t>
      </w:r>
      <w:r w:rsidR="002C2755">
        <w:rPr>
          <w:lang w:val="en-GB"/>
        </w:rPr>
        <w:t xml:space="preserve">argues </w:t>
      </w:r>
      <w:r w:rsidR="003539AC">
        <w:rPr>
          <w:lang w:val="en-GB"/>
        </w:rPr>
        <w:t>that the authors</w:t>
      </w:r>
      <w:r w:rsidR="004E3C1F">
        <w:rPr>
          <w:lang w:val="en-GB"/>
        </w:rPr>
        <w:t>,</w:t>
      </w:r>
      <w:r w:rsidR="003539AC">
        <w:rPr>
          <w:lang w:val="en-GB"/>
        </w:rPr>
        <w:t xml:space="preserve"> in their communication of 4 March 2014</w:t>
      </w:r>
      <w:r w:rsidR="004E3C1F">
        <w:rPr>
          <w:lang w:val="en-GB"/>
        </w:rPr>
        <w:t>,</w:t>
      </w:r>
      <w:r w:rsidR="00994B9B">
        <w:rPr>
          <w:lang w:val="en-GB"/>
        </w:rPr>
        <w:t xml:space="preserve"> </w:t>
      </w:r>
      <w:r w:rsidR="009F688B">
        <w:rPr>
          <w:lang w:val="en-GB"/>
        </w:rPr>
        <w:t xml:space="preserve">do not </w:t>
      </w:r>
      <w:r w:rsidR="002C2755">
        <w:rPr>
          <w:lang w:val="en-GB"/>
        </w:rPr>
        <w:t xml:space="preserve">provide </w:t>
      </w:r>
      <w:r w:rsidR="003539AC">
        <w:rPr>
          <w:lang w:val="en-GB"/>
        </w:rPr>
        <w:t xml:space="preserve">any essential new information or views on their circumstances beyond the information and views already relied upon in connection with their request </w:t>
      </w:r>
      <w:r w:rsidR="004E3C1F">
        <w:rPr>
          <w:lang w:val="en-GB"/>
        </w:rPr>
        <w:t>to</w:t>
      </w:r>
      <w:r w:rsidR="003539AC">
        <w:rPr>
          <w:lang w:val="en-GB"/>
        </w:rPr>
        <w:t xml:space="preserve"> reopen </w:t>
      </w:r>
      <w:r w:rsidR="002C2755">
        <w:rPr>
          <w:lang w:val="en-GB"/>
        </w:rPr>
        <w:t>their</w:t>
      </w:r>
      <w:r w:rsidR="003539AC">
        <w:rPr>
          <w:lang w:val="en-GB"/>
        </w:rPr>
        <w:t xml:space="preserve"> asylum proceedings</w:t>
      </w:r>
      <w:r w:rsidR="002C2755">
        <w:rPr>
          <w:lang w:val="en-GB"/>
        </w:rPr>
        <w:t>,</w:t>
      </w:r>
      <w:r w:rsidR="003539AC">
        <w:rPr>
          <w:lang w:val="en-GB"/>
        </w:rPr>
        <w:t xml:space="preserve"> and that the Board </w:t>
      </w:r>
      <w:r w:rsidR="003539AC">
        <w:rPr>
          <w:lang w:val="en-GB"/>
        </w:rPr>
        <w:lastRenderedPageBreak/>
        <w:t xml:space="preserve">already considered </w:t>
      </w:r>
      <w:r w:rsidR="005F48BE">
        <w:rPr>
          <w:lang w:val="en-GB" w:bidi="he-IL"/>
        </w:rPr>
        <w:t>the same</w:t>
      </w:r>
      <w:r w:rsidR="005F48BE">
        <w:rPr>
          <w:lang w:val="en-GB"/>
        </w:rPr>
        <w:t xml:space="preserve"> </w:t>
      </w:r>
      <w:r w:rsidR="002C2755">
        <w:rPr>
          <w:lang w:val="en-GB"/>
        </w:rPr>
        <w:t>information</w:t>
      </w:r>
      <w:r w:rsidR="00994B9B">
        <w:rPr>
          <w:lang w:val="en-GB"/>
        </w:rPr>
        <w:t xml:space="preserve"> and views </w:t>
      </w:r>
      <w:r w:rsidR="003539AC">
        <w:rPr>
          <w:lang w:val="en-GB"/>
        </w:rPr>
        <w:t>in its decision of 3 March 2014.</w:t>
      </w:r>
      <w:r w:rsidR="00D46CEC">
        <w:rPr>
          <w:rStyle w:val="FootnoteReference"/>
          <w:lang w:val="en-GB"/>
        </w:rPr>
        <w:footnoteReference w:id="10"/>
      </w:r>
      <w:r w:rsidR="003539AC">
        <w:rPr>
          <w:lang w:val="en-GB"/>
        </w:rPr>
        <w:t xml:space="preserve"> The </w:t>
      </w:r>
      <w:r w:rsidR="00D46CEC">
        <w:rPr>
          <w:lang w:val="en-GB"/>
        </w:rPr>
        <w:t xml:space="preserve">State party further </w:t>
      </w:r>
      <w:r w:rsidR="003539AC">
        <w:rPr>
          <w:lang w:val="en-GB"/>
        </w:rPr>
        <w:t>submits that the authors are in fact trying to use the Committee as an appellate body to have the factual circumstances of their claim for asylum reassessed</w:t>
      </w:r>
      <w:r w:rsidR="00D46CEC">
        <w:rPr>
          <w:lang w:val="en-GB"/>
        </w:rPr>
        <w:t>. The State party emphasizes that the</w:t>
      </w:r>
      <w:r w:rsidR="003539AC">
        <w:rPr>
          <w:lang w:val="en-GB"/>
        </w:rPr>
        <w:t xml:space="preserve"> Committee must give considerable weight to the findings of fact of the Board, which is better placed </w:t>
      </w:r>
      <w:r w:rsidR="00E13C7A">
        <w:rPr>
          <w:lang w:val="en-GB"/>
        </w:rPr>
        <w:t xml:space="preserve">than the Committee </w:t>
      </w:r>
      <w:r w:rsidR="003539AC">
        <w:rPr>
          <w:lang w:val="en-GB"/>
        </w:rPr>
        <w:t>to assess</w:t>
      </w:r>
      <w:r w:rsidR="009F688B">
        <w:rPr>
          <w:lang w:val="en-GB"/>
        </w:rPr>
        <w:t xml:space="preserve"> the facts in the authors’ case</w:t>
      </w:r>
      <w:r w:rsidR="00D46CEC">
        <w:rPr>
          <w:lang w:val="en-GB"/>
        </w:rPr>
        <w:t>. T</w:t>
      </w:r>
      <w:r w:rsidR="003539AC">
        <w:rPr>
          <w:lang w:val="en-GB"/>
        </w:rPr>
        <w:t>he Board is a collegial body of a quasi-judicial nature</w:t>
      </w:r>
      <w:r w:rsidR="005F48BE">
        <w:rPr>
          <w:lang w:val="en-GB" w:bidi="he-IL"/>
        </w:rPr>
        <w:t>. It</w:t>
      </w:r>
      <w:r w:rsidR="00D46CEC">
        <w:rPr>
          <w:lang w:val="en-GB"/>
        </w:rPr>
        <w:t xml:space="preserve"> </w:t>
      </w:r>
      <w:r w:rsidR="003539AC">
        <w:rPr>
          <w:lang w:val="en-GB"/>
        </w:rPr>
        <w:t xml:space="preserve">made its decisions on </w:t>
      </w:r>
      <w:r w:rsidR="00E13C7A">
        <w:rPr>
          <w:lang w:val="en-GB"/>
        </w:rPr>
        <w:t xml:space="preserve">the basis of </w:t>
      </w:r>
      <w:r w:rsidR="003539AC">
        <w:rPr>
          <w:lang w:val="en-GB"/>
        </w:rPr>
        <w:t>a procedure during which the authors had the opportunity to present their views, in writing and orally</w:t>
      </w:r>
      <w:r w:rsidR="005F48BE">
        <w:rPr>
          <w:lang w:val="en-GB" w:bidi="he-IL"/>
        </w:rPr>
        <w:t>,</w:t>
      </w:r>
      <w:r w:rsidR="003539AC">
        <w:rPr>
          <w:lang w:val="en-GB"/>
        </w:rPr>
        <w:t xml:space="preserve"> with the assistance of legal counsel</w:t>
      </w:r>
      <w:r w:rsidR="00D46CEC">
        <w:rPr>
          <w:lang w:val="en-GB"/>
        </w:rPr>
        <w:t>, and conducted a comprehensive and thorough examination of the evidence in the case</w:t>
      </w:r>
      <w:r w:rsidR="00C12DD7">
        <w:rPr>
          <w:lang w:val="en-GB"/>
        </w:rPr>
        <w:t xml:space="preserve">. </w:t>
      </w:r>
    </w:p>
    <w:p w14:paraId="3D5B25B1" w14:textId="77777777" w:rsidR="00782766" w:rsidRDefault="00DB0AB8" w:rsidP="00362BEC">
      <w:pPr>
        <w:pStyle w:val="SingleTxtG"/>
        <w:rPr>
          <w:lang w:val="en-GB"/>
        </w:rPr>
      </w:pPr>
      <w:r>
        <w:rPr>
          <w:lang w:val="en-GB"/>
        </w:rPr>
        <w:t>4.7</w:t>
      </w:r>
      <w:r>
        <w:rPr>
          <w:lang w:val="en-GB"/>
        </w:rPr>
        <w:tab/>
        <w:t xml:space="preserve">The State party submits that the criterion </w:t>
      </w:r>
      <w:r w:rsidR="005F48BE">
        <w:rPr>
          <w:lang w:val="en-GB" w:bidi="he-IL"/>
        </w:rPr>
        <w:t xml:space="preserve">according to which </w:t>
      </w:r>
      <w:r>
        <w:rPr>
          <w:lang w:val="en-GB"/>
        </w:rPr>
        <w:t>the Board considers the conditions for granting a residence permit under section 7 (1) of the Aliens Act to be met can generally be expressed as a requirement that the relevant asylum</w:t>
      </w:r>
      <w:r w:rsidR="00E13C7A">
        <w:rPr>
          <w:lang w:val="en-GB"/>
        </w:rPr>
        <w:t xml:space="preserve"> </w:t>
      </w:r>
      <w:r>
        <w:rPr>
          <w:lang w:val="en-GB"/>
        </w:rPr>
        <w:t xml:space="preserve">seeker has a well-founded fear of being subjected to specific, individual persecution of a certain severity if returned to his country of origin. </w:t>
      </w:r>
    </w:p>
    <w:p w14:paraId="6CC1C260" w14:textId="77777777" w:rsidR="00270215" w:rsidRDefault="00782766" w:rsidP="00362BEC">
      <w:pPr>
        <w:pStyle w:val="SingleTxtG"/>
        <w:rPr>
          <w:lang w:val="en-GB"/>
        </w:rPr>
      </w:pPr>
      <w:r>
        <w:rPr>
          <w:lang w:val="en-GB"/>
        </w:rPr>
        <w:t>4.8</w:t>
      </w:r>
      <w:r>
        <w:rPr>
          <w:lang w:val="en-GB"/>
        </w:rPr>
        <w:tab/>
        <w:t xml:space="preserve">As regards the harassment </w:t>
      </w:r>
      <w:r w:rsidR="00D46CEC">
        <w:rPr>
          <w:lang w:val="en-GB"/>
        </w:rPr>
        <w:t xml:space="preserve">described by </w:t>
      </w:r>
      <w:r>
        <w:rPr>
          <w:lang w:val="en-GB"/>
        </w:rPr>
        <w:t>I.G., the Board</w:t>
      </w:r>
      <w:r w:rsidR="00E13C7A">
        <w:rPr>
          <w:lang w:val="en-GB"/>
        </w:rPr>
        <w:t>,</w:t>
      </w:r>
      <w:r>
        <w:rPr>
          <w:lang w:val="en-GB"/>
        </w:rPr>
        <w:t xml:space="preserve"> in its decision of 13 June 2013</w:t>
      </w:r>
      <w:r w:rsidR="00E13C7A">
        <w:rPr>
          <w:lang w:val="en-GB"/>
        </w:rPr>
        <w:t>, found it to be a fact</w:t>
      </w:r>
      <w:r>
        <w:rPr>
          <w:lang w:val="en-GB"/>
        </w:rPr>
        <w:t xml:space="preserve"> that he had been accosted and beaten by slightly older boys from his school on Friday</w:t>
      </w:r>
      <w:r w:rsidR="00E13C7A">
        <w:rPr>
          <w:lang w:val="en-GB"/>
        </w:rPr>
        <w:t>,</w:t>
      </w:r>
      <w:r>
        <w:rPr>
          <w:lang w:val="en-GB"/>
        </w:rPr>
        <w:t xml:space="preserve"> 25 May 2012 after </w:t>
      </w:r>
      <w:r w:rsidR="00E13C7A">
        <w:rPr>
          <w:lang w:val="en-GB"/>
        </w:rPr>
        <w:t xml:space="preserve">he had </w:t>
      </w:r>
      <w:r>
        <w:rPr>
          <w:lang w:val="en-GB"/>
        </w:rPr>
        <w:t xml:space="preserve">replied to questions about Christian traditions during a school break earlier in the day. Moreover, the Board found </w:t>
      </w:r>
      <w:r w:rsidR="00E13C7A">
        <w:rPr>
          <w:lang w:val="en-GB"/>
        </w:rPr>
        <w:t>to be factual</w:t>
      </w:r>
      <w:r>
        <w:rPr>
          <w:lang w:val="en-GB"/>
        </w:rPr>
        <w:t xml:space="preserve"> the authors’ statements </w:t>
      </w:r>
      <w:r w:rsidR="00E13C7A">
        <w:rPr>
          <w:lang w:val="en-GB"/>
        </w:rPr>
        <w:t>that they had been</w:t>
      </w:r>
      <w:r>
        <w:rPr>
          <w:lang w:val="en-GB"/>
        </w:rPr>
        <w:t xml:space="preserve"> been sought out after church the following Sunday</w:t>
      </w:r>
      <w:r w:rsidR="00E13C7A">
        <w:rPr>
          <w:lang w:val="en-GB"/>
        </w:rPr>
        <w:t>,</w:t>
      </w:r>
      <w:r>
        <w:rPr>
          <w:lang w:val="en-GB"/>
        </w:rPr>
        <w:t xml:space="preserve"> 27 May 2012 by two senior pupils from the school and two slightly older men, who had hit the authors and pushed R.G.’s two minor daughters. </w:t>
      </w:r>
      <w:r w:rsidR="009F688B">
        <w:rPr>
          <w:lang w:val="en-GB"/>
        </w:rPr>
        <w:t>The State party</w:t>
      </w:r>
      <w:r w:rsidR="005F48BE">
        <w:rPr>
          <w:lang w:val="en-GB" w:bidi="he-IL"/>
        </w:rPr>
        <w:t>, however,</w:t>
      </w:r>
      <w:r w:rsidR="00D46CEC">
        <w:rPr>
          <w:lang w:val="en-GB"/>
        </w:rPr>
        <w:t xml:space="preserve"> </w:t>
      </w:r>
      <w:r w:rsidR="00E13C7A">
        <w:rPr>
          <w:lang w:val="en-GB"/>
        </w:rPr>
        <w:t xml:space="preserve">recalls </w:t>
      </w:r>
      <w:r w:rsidR="009F688B">
        <w:rPr>
          <w:lang w:val="en-GB"/>
        </w:rPr>
        <w:t>t</w:t>
      </w:r>
      <w:r>
        <w:rPr>
          <w:lang w:val="en-GB"/>
        </w:rPr>
        <w:t>he Board</w:t>
      </w:r>
      <w:r w:rsidR="004A3AAD">
        <w:rPr>
          <w:lang w:val="en-GB"/>
        </w:rPr>
        <w:t>’s conclusion</w:t>
      </w:r>
      <w:r>
        <w:rPr>
          <w:lang w:val="en-GB"/>
        </w:rPr>
        <w:t xml:space="preserve"> that the authors </w:t>
      </w:r>
      <w:r w:rsidR="00E13C7A">
        <w:rPr>
          <w:lang w:val="en-GB" w:bidi="he-IL"/>
        </w:rPr>
        <w:t>had</w:t>
      </w:r>
      <w:r w:rsidR="00E13C7A">
        <w:rPr>
          <w:lang w:val="en-GB"/>
        </w:rPr>
        <w:t xml:space="preserve"> </w:t>
      </w:r>
      <w:r>
        <w:rPr>
          <w:lang w:val="en-GB"/>
        </w:rPr>
        <w:t xml:space="preserve">not </w:t>
      </w:r>
      <w:r w:rsidR="00E13C7A">
        <w:rPr>
          <w:lang w:val="en-GB"/>
        </w:rPr>
        <w:t xml:space="preserve">had </w:t>
      </w:r>
      <w:r>
        <w:rPr>
          <w:lang w:val="en-GB"/>
        </w:rPr>
        <w:t xml:space="preserve">any conflicts with the Pakistani authorities, nor had they reported the two incidents to the authorities, </w:t>
      </w:r>
      <w:r w:rsidR="007D3F55">
        <w:rPr>
          <w:lang w:val="en-GB"/>
        </w:rPr>
        <w:t xml:space="preserve">and </w:t>
      </w:r>
      <w:r>
        <w:rPr>
          <w:lang w:val="en-GB"/>
        </w:rPr>
        <w:t>that the isolated incidents relat</w:t>
      </w:r>
      <w:r w:rsidR="00E13C7A">
        <w:rPr>
          <w:lang w:val="en-GB"/>
        </w:rPr>
        <w:t>ing</w:t>
      </w:r>
      <w:r>
        <w:rPr>
          <w:lang w:val="en-GB"/>
        </w:rPr>
        <w:t xml:space="preserve"> to I.G.’s disagreement with </w:t>
      </w:r>
      <w:r w:rsidR="00E13C7A">
        <w:rPr>
          <w:lang w:val="en-GB"/>
        </w:rPr>
        <w:t xml:space="preserve">a few </w:t>
      </w:r>
      <w:r>
        <w:rPr>
          <w:lang w:val="en-GB"/>
        </w:rPr>
        <w:t>schoolmates could not lead to the authors being granted protection status under section 7 of the Aliens Act</w:t>
      </w:r>
      <w:r w:rsidR="00E13C7A">
        <w:rPr>
          <w:lang w:val="en-GB"/>
        </w:rPr>
        <w:t xml:space="preserve"> or under the 1951 Convention relating to the Status of Refugees</w:t>
      </w:r>
      <w:r w:rsidR="005F48BE">
        <w:rPr>
          <w:lang w:val="en-GB" w:bidi="he-IL"/>
        </w:rPr>
        <w:t>,</w:t>
      </w:r>
      <w:r>
        <w:rPr>
          <w:lang w:val="en-GB"/>
        </w:rPr>
        <w:t xml:space="preserve"> since the conflict was </w:t>
      </w:r>
      <w:r w:rsidR="004A3AAD">
        <w:rPr>
          <w:lang w:val="en-GB"/>
        </w:rPr>
        <w:t>of a private nature</w:t>
      </w:r>
      <w:r w:rsidR="00270215">
        <w:rPr>
          <w:lang w:val="en-GB"/>
        </w:rPr>
        <w:t xml:space="preserve"> </w:t>
      </w:r>
      <w:r w:rsidR="004A3AAD">
        <w:rPr>
          <w:lang w:val="en-GB"/>
        </w:rPr>
        <w:t xml:space="preserve">and </w:t>
      </w:r>
      <w:r w:rsidR="00270215">
        <w:rPr>
          <w:lang w:val="en-GB"/>
        </w:rPr>
        <w:t xml:space="preserve">was not of </w:t>
      </w:r>
      <w:r w:rsidR="00E13C7A">
        <w:rPr>
          <w:lang w:val="en-GB"/>
        </w:rPr>
        <w:t xml:space="preserve">an </w:t>
      </w:r>
      <w:r w:rsidR="00270215">
        <w:rPr>
          <w:lang w:val="en-GB"/>
        </w:rPr>
        <w:t xml:space="preserve">intensity or nature that could justify asylum. </w:t>
      </w:r>
    </w:p>
    <w:p w14:paraId="604ADD3A" w14:textId="77777777" w:rsidR="00B129B9" w:rsidRDefault="00270215" w:rsidP="00BA5934">
      <w:pPr>
        <w:pStyle w:val="SingleTxtG"/>
        <w:rPr>
          <w:lang w:val="en-GB"/>
        </w:rPr>
      </w:pPr>
      <w:r>
        <w:rPr>
          <w:lang w:val="en-GB"/>
        </w:rPr>
        <w:t>4.9</w:t>
      </w:r>
      <w:r>
        <w:rPr>
          <w:lang w:val="en-GB"/>
        </w:rPr>
        <w:tab/>
      </w:r>
      <w:r w:rsidR="005F48BE">
        <w:rPr>
          <w:lang w:val="en-GB" w:bidi="he-IL"/>
        </w:rPr>
        <w:t>The</w:t>
      </w:r>
      <w:r>
        <w:rPr>
          <w:lang w:val="en-GB"/>
        </w:rPr>
        <w:t xml:space="preserve"> Board could not find </w:t>
      </w:r>
      <w:r w:rsidR="00E13C7A">
        <w:rPr>
          <w:lang w:val="en-GB"/>
        </w:rPr>
        <w:t>factual</w:t>
      </w:r>
      <w:r>
        <w:rPr>
          <w:lang w:val="en-GB"/>
        </w:rPr>
        <w:t xml:space="preserve"> the authors’ statements about the arson attack on the family’s home </w:t>
      </w:r>
      <w:r w:rsidR="00E13C7A">
        <w:rPr>
          <w:lang w:val="en-GB"/>
        </w:rPr>
        <w:t xml:space="preserve">that </w:t>
      </w:r>
      <w:r>
        <w:rPr>
          <w:lang w:val="en-GB"/>
        </w:rPr>
        <w:t>had allegedly taken place after church on 27 May 2012. The Board found that R.G.</w:t>
      </w:r>
      <w:r w:rsidR="007526A1">
        <w:rPr>
          <w:lang w:val="en-GB"/>
        </w:rPr>
        <w:t>’</w:t>
      </w:r>
      <w:r>
        <w:rPr>
          <w:lang w:val="en-GB"/>
        </w:rPr>
        <w:t xml:space="preserve">s statements about the fire </w:t>
      </w:r>
      <w:r w:rsidR="00E13C7A">
        <w:rPr>
          <w:lang w:val="en-GB"/>
        </w:rPr>
        <w:t xml:space="preserve">had </w:t>
      </w:r>
      <w:r>
        <w:rPr>
          <w:lang w:val="en-GB"/>
        </w:rPr>
        <w:t>appeared uncertain and fabricated for the occasion</w:t>
      </w:r>
      <w:r w:rsidR="001B61C7">
        <w:rPr>
          <w:lang w:val="en-GB"/>
        </w:rPr>
        <w:t>, especially because R.G.</w:t>
      </w:r>
      <w:r>
        <w:rPr>
          <w:lang w:val="en-GB"/>
        </w:rPr>
        <w:t xml:space="preserve"> </w:t>
      </w:r>
      <w:r w:rsidR="005A76D9">
        <w:rPr>
          <w:lang w:val="en-GB"/>
        </w:rPr>
        <w:t xml:space="preserve">had </w:t>
      </w:r>
      <w:r>
        <w:rPr>
          <w:lang w:val="en-GB"/>
        </w:rPr>
        <w:t xml:space="preserve">not </w:t>
      </w:r>
      <w:r w:rsidR="005A76D9">
        <w:rPr>
          <w:lang w:val="en-GB"/>
        </w:rPr>
        <w:t xml:space="preserve">been </w:t>
      </w:r>
      <w:r>
        <w:rPr>
          <w:lang w:val="en-GB"/>
        </w:rPr>
        <w:t xml:space="preserve">able </w:t>
      </w:r>
      <w:r w:rsidR="007D3F55">
        <w:rPr>
          <w:lang w:val="en-GB"/>
        </w:rPr>
        <w:t xml:space="preserve">to </w:t>
      </w:r>
      <w:r>
        <w:rPr>
          <w:lang w:val="en-GB"/>
        </w:rPr>
        <w:t xml:space="preserve">accurately and consistently explain where she was in her home when she discovered </w:t>
      </w:r>
      <w:r w:rsidR="007D3F55">
        <w:rPr>
          <w:lang w:val="en-GB"/>
        </w:rPr>
        <w:t xml:space="preserve">that one of the rooms was on </w:t>
      </w:r>
      <w:r w:rsidR="003547CD">
        <w:rPr>
          <w:lang w:val="en-GB"/>
        </w:rPr>
        <w:t>fire</w:t>
      </w:r>
      <w:r w:rsidR="002E56CE">
        <w:rPr>
          <w:lang w:val="en-GB"/>
        </w:rPr>
        <w:t>, when the fire took place</w:t>
      </w:r>
      <w:r w:rsidR="003547CD">
        <w:rPr>
          <w:lang w:val="en-GB"/>
        </w:rPr>
        <w:t xml:space="preserve">, the whereabouts of the individual family members when the fire started, whether R.G. </w:t>
      </w:r>
      <w:r w:rsidR="00E13C7A">
        <w:rPr>
          <w:lang w:val="en-GB"/>
        </w:rPr>
        <w:t>h</w:t>
      </w:r>
      <w:r w:rsidR="005A76D9">
        <w:rPr>
          <w:lang w:val="en-GB"/>
        </w:rPr>
        <w:t>a</w:t>
      </w:r>
      <w:r w:rsidR="00E13C7A">
        <w:rPr>
          <w:lang w:val="en-GB"/>
        </w:rPr>
        <w:t xml:space="preserve">d </w:t>
      </w:r>
      <w:r w:rsidR="003547CD">
        <w:rPr>
          <w:lang w:val="en-GB"/>
        </w:rPr>
        <w:t xml:space="preserve">witnessed the arson attack and whether she knew the perpetrators’ identities. </w:t>
      </w:r>
      <w:r w:rsidR="00F030F5">
        <w:rPr>
          <w:lang w:val="en-GB"/>
        </w:rPr>
        <w:t xml:space="preserve">The State party observes that both R.G. and I.G. had their statements read out to them at the interviews conducted by the Danish Immigration Service on 16 August 2012, 29 January 2013 and 11 February 2013 and that neither of them had experienced any </w:t>
      </w:r>
      <w:r w:rsidR="001B61C7">
        <w:rPr>
          <w:lang w:val="en-GB"/>
        </w:rPr>
        <w:t xml:space="preserve">problem of interpretation </w:t>
      </w:r>
      <w:r w:rsidR="00F030F5">
        <w:rPr>
          <w:lang w:val="en-GB"/>
        </w:rPr>
        <w:t xml:space="preserve">or made comments related to the inconsistencies referred to by the Board. The State party therefore relies entirely on the decisions made by the Board on 13 June 2013, </w:t>
      </w:r>
      <w:r w:rsidR="001B61C7">
        <w:rPr>
          <w:lang w:val="en-GB"/>
        </w:rPr>
        <w:t>according to which</w:t>
      </w:r>
      <w:r w:rsidR="00F030F5">
        <w:rPr>
          <w:lang w:val="en-GB"/>
        </w:rPr>
        <w:t xml:space="preserve"> R.G.’s detail</w:t>
      </w:r>
      <w:r w:rsidR="005F48BE">
        <w:rPr>
          <w:lang w:val="en-GB" w:bidi="he-IL"/>
        </w:rPr>
        <w:t>ed statement</w:t>
      </w:r>
      <w:r w:rsidR="00F030F5">
        <w:rPr>
          <w:lang w:val="en-GB"/>
        </w:rPr>
        <w:t xml:space="preserve"> </w:t>
      </w:r>
      <w:r w:rsidR="005A76D9">
        <w:rPr>
          <w:lang w:val="en-GB"/>
        </w:rPr>
        <w:t xml:space="preserve">about </w:t>
      </w:r>
      <w:r w:rsidR="00F030F5">
        <w:rPr>
          <w:lang w:val="en-GB"/>
        </w:rPr>
        <w:t>the circumstances concerning the fire, which is a crucial part of the authors’ grounds for seeking asylum, appear</w:t>
      </w:r>
      <w:r w:rsidR="005A76D9">
        <w:rPr>
          <w:lang w:val="en-GB"/>
        </w:rPr>
        <w:t>ed</w:t>
      </w:r>
      <w:r w:rsidR="00F030F5">
        <w:rPr>
          <w:lang w:val="en-GB"/>
        </w:rPr>
        <w:t xml:space="preserve"> to be so incoherent, inaccurate and on certain points inconsistent that the details could not be found </w:t>
      </w:r>
      <w:r w:rsidR="005A76D9">
        <w:rPr>
          <w:lang w:val="en-GB"/>
        </w:rPr>
        <w:t>to be factual</w:t>
      </w:r>
      <w:r w:rsidR="00F030F5">
        <w:rPr>
          <w:lang w:val="en-GB"/>
        </w:rPr>
        <w:t xml:space="preserve">. </w:t>
      </w:r>
    </w:p>
    <w:p w14:paraId="3315D9C1" w14:textId="77777777" w:rsidR="008C404A" w:rsidRDefault="00F942E0" w:rsidP="00BA5934">
      <w:pPr>
        <w:pStyle w:val="SingleTxtG"/>
        <w:rPr>
          <w:lang w:val="en-GB"/>
        </w:rPr>
      </w:pPr>
      <w:r>
        <w:rPr>
          <w:lang w:val="en-GB"/>
        </w:rPr>
        <w:t>4.10</w:t>
      </w:r>
      <w:r w:rsidR="00B129B9">
        <w:rPr>
          <w:lang w:val="en-GB"/>
        </w:rPr>
        <w:tab/>
        <w:t xml:space="preserve">In connection with </w:t>
      </w:r>
      <w:r w:rsidR="007D5E63">
        <w:rPr>
          <w:lang w:val="en-GB"/>
        </w:rPr>
        <w:t xml:space="preserve">the authors’ </w:t>
      </w:r>
      <w:r w:rsidR="00B129B9">
        <w:rPr>
          <w:lang w:val="en-GB"/>
        </w:rPr>
        <w:t xml:space="preserve">request </w:t>
      </w:r>
      <w:r w:rsidR="005A76D9">
        <w:rPr>
          <w:lang w:val="en-GB"/>
        </w:rPr>
        <w:t>to</w:t>
      </w:r>
      <w:r w:rsidR="00B129B9">
        <w:rPr>
          <w:lang w:val="en-GB"/>
        </w:rPr>
        <w:t xml:space="preserve"> </w:t>
      </w:r>
      <w:r w:rsidR="005A76D9">
        <w:rPr>
          <w:lang w:val="en-GB"/>
        </w:rPr>
        <w:t>have</w:t>
      </w:r>
      <w:r w:rsidR="00B129B9">
        <w:rPr>
          <w:lang w:val="en-GB"/>
        </w:rPr>
        <w:t xml:space="preserve"> </w:t>
      </w:r>
      <w:r w:rsidR="007D5E63">
        <w:rPr>
          <w:lang w:val="en-GB"/>
        </w:rPr>
        <w:t>their</w:t>
      </w:r>
      <w:r w:rsidR="00B129B9">
        <w:rPr>
          <w:lang w:val="en-GB"/>
        </w:rPr>
        <w:t xml:space="preserve"> asylum proceedings </w:t>
      </w:r>
      <w:r w:rsidR="005A76D9">
        <w:rPr>
          <w:lang w:val="en-GB"/>
        </w:rPr>
        <w:t xml:space="preserve">reopened </w:t>
      </w:r>
      <w:r w:rsidR="00B129B9">
        <w:rPr>
          <w:lang w:val="en-GB"/>
        </w:rPr>
        <w:t>by the Board, the</w:t>
      </w:r>
      <w:r w:rsidR="007D5E63">
        <w:rPr>
          <w:lang w:val="en-GB"/>
        </w:rPr>
        <w:t xml:space="preserve"> State party argues that the authors</w:t>
      </w:r>
      <w:r w:rsidR="00B129B9">
        <w:rPr>
          <w:lang w:val="en-GB"/>
        </w:rPr>
        <w:t xml:space="preserve"> referred to the conflict experienced by G and his </w:t>
      </w:r>
      <w:r w:rsidR="0077374B">
        <w:rPr>
          <w:lang w:val="en-GB"/>
        </w:rPr>
        <w:t>wife</w:t>
      </w:r>
      <w:r w:rsidR="00B129B9">
        <w:rPr>
          <w:lang w:val="en-GB"/>
        </w:rPr>
        <w:t>. The authors</w:t>
      </w:r>
      <w:r w:rsidR="007526A1">
        <w:rPr>
          <w:lang w:val="en-GB"/>
        </w:rPr>
        <w:t>’</w:t>
      </w:r>
      <w:r w:rsidR="00B129B9">
        <w:rPr>
          <w:lang w:val="en-GB"/>
        </w:rPr>
        <w:t xml:space="preserve"> counsel observed that the authors’ conflict in their country of origin in </w:t>
      </w:r>
      <w:r w:rsidR="007526A1">
        <w:rPr>
          <w:lang w:val="en-GB"/>
        </w:rPr>
        <w:t xml:space="preserve">May </w:t>
      </w:r>
      <w:r w:rsidR="00B129B9">
        <w:rPr>
          <w:lang w:val="en-GB"/>
        </w:rPr>
        <w:t xml:space="preserve">2012 and the wedding ceremony of G and </w:t>
      </w:r>
      <w:r w:rsidR="007D5E63">
        <w:rPr>
          <w:lang w:val="en-GB"/>
        </w:rPr>
        <w:t>his wife</w:t>
      </w:r>
      <w:r w:rsidR="00B129B9">
        <w:rPr>
          <w:lang w:val="en-GB"/>
        </w:rPr>
        <w:t xml:space="preserve"> in April 2012 </w:t>
      </w:r>
      <w:r w:rsidR="005A76D9">
        <w:rPr>
          <w:lang w:val="en-GB"/>
        </w:rPr>
        <w:t xml:space="preserve">took place at </w:t>
      </w:r>
      <w:r w:rsidR="00B129B9">
        <w:rPr>
          <w:lang w:val="en-GB"/>
        </w:rPr>
        <w:t xml:space="preserve">almost </w:t>
      </w:r>
      <w:r w:rsidR="005A76D9">
        <w:rPr>
          <w:lang w:val="en-GB"/>
        </w:rPr>
        <w:t>the same</w:t>
      </w:r>
      <w:r w:rsidR="00B129B9">
        <w:rPr>
          <w:lang w:val="en-GB"/>
        </w:rPr>
        <w:t xml:space="preserve"> time and that it could therefore not be ruled out that the authors’ conflict </w:t>
      </w:r>
      <w:r w:rsidR="00B129B9">
        <w:rPr>
          <w:lang w:val="en-GB"/>
        </w:rPr>
        <w:lastRenderedPageBreak/>
        <w:t xml:space="preserve">in Pakistan was connected with G and </w:t>
      </w:r>
      <w:r w:rsidR="007D5E63">
        <w:rPr>
          <w:lang w:val="en-GB"/>
        </w:rPr>
        <w:t>his wife</w:t>
      </w:r>
      <w:r w:rsidR="00B129B9">
        <w:rPr>
          <w:lang w:val="en-GB"/>
        </w:rPr>
        <w:t xml:space="preserve">’s conflict with </w:t>
      </w:r>
      <w:r w:rsidR="007D5E63">
        <w:rPr>
          <w:lang w:val="en-GB"/>
        </w:rPr>
        <w:t>her</w:t>
      </w:r>
      <w:r w:rsidR="00B129B9">
        <w:rPr>
          <w:lang w:val="en-GB"/>
        </w:rPr>
        <w:t xml:space="preserve"> family. </w:t>
      </w:r>
      <w:r w:rsidR="007526A1">
        <w:rPr>
          <w:lang w:val="en-GB"/>
        </w:rPr>
        <w:t>As indicated by the State party, c</w:t>
      </w:r>
      <w:r w:rsidR="00B129B9">
        <w:rPr>
          <w:lang w:val="en-GB"/>
        </w:rPr>
        <w:t xml:space="preserve">ounsel further stated that, at least </w:t>
      </w:r>
      <w:r w:rsidR="005A76D9">
        <w:rPr>
          <w:lang w:val="en-GB"/>
        </w:rPr>
        <w:t>at present</w:t>
      </w:r>
      <w:r w:rsidR="00B129B9">
        <w:rPr>
          <w:lang w:val="en-GB"/>
        </w:rPr>
        <w:t xml:space="preserve">, there was a </w:t>
      </w:r>
      <w:r w:rsidR="0077374B">
        <w:rPr>
          <w:lang w:val="en-GB"/>
        </w:rPr>
        <w:t xml:space="preserve">great </w:t>
      </w:r>
      <w:r w:rsidR="00B41199">
        <w:rPr>
          <w:lang w:val="en-GB"/>
        </w:rPr>
        <w:t xml:space="preserve">risk </w:t>
      </w:r>
      <w:r w:rsidR="005A76D9">
        <w:rPr>
          <w:lang w:val="en-GB"/>
        </w:rPr>
        <w:t>that the authors would suffer</w:t>
      </w:r>
      <w:r w:rsidR="00B129B9">
        <w:rPr>
          <w:lang w:val="en-GB"/>
        </w:rPr>
        <w:t xml:space="preserve"> abuse </w:t>
      </w:r>
      <w:r w:rsidR="005A76D9">
        <w:rPr>
          <w:lang w:val="en-GB"/>
        </w:rPr>
        <w:t>at the hands of</w:t>
      </w:r>
      <w:r w:rsidR="00B129B9">
        <w:rPr>
          <w:lang w:val="en-GB"/>
        </w:rPr>
        <w:t xml:space="preserve"> family members of G</w:t>
      </w:r>
      <w:r w:rsidR="005A76D9">
        <w:rPr>
          <w:lang w:val="en-GB"/>
        </w:rPr>
        <w:t>’s wife</w:t>
      </w:r>
      <w:r w:rsidR="00B129B9">
        <w:rPr>
          <w:lang w:val="en-GB"/>
        </w:rPr>
        <w:t xml:space="preserve"> if they returned to Pakistan. In the communication, the authors allege that they will be even more exposed than before if they return to Pakistan because G and </w:t>
      </w:r>
      <w:r w:rsidR="007D5E63">
        <w:rPr>
          <w:lang w:val="en-GB"/>
        </w:rPr>
        <w:t>his wife</w:t>
      </w:r>
      <w:r w:rsidR="00B129B9">
        <w:rPr>
          <w:lang w:val="en-GB"/>
        </w:rPr>
        <w:t xml:space="preserve"> </w:t>
      </w:r>
      <w:r w:rsidR="00293C92">
        <w:rPr>
          <w:lang w:val="en-GB"/>
        </w:rPr>
        <w:t xml:space="preserve">had </w:t>
      </w:r>
      <w:r w:rsidR="00B129B9">
        <w:rPr>
          <w:lang w:val="en-GB"/>
        </w:rPr>
        <w:t xml:space="preserve">obtained protection in Denmark as a result of their conflict with </w:t>
      </w:r>
      <w:r w:rsidR="007D5E63">
        <w:rPr>
          <w:lang w:val="en-GB"/>
        </w:rPr>
        <w:t>her</w:t>
      </w:r>
      <w:r w:rsidR="00B129B9">
        <w:rPr>
          <w:lang w:val="en-GB"/>
        </w:rPr>
        <w:t xml:space="preserve"> family. </w:t>
      </w:r>
      <w:r w:rsidR="008C404A">
        <w:rPr>
          <w:lang w:val="en-GB"/>
        </w:rPr>
        <w:t>The State party observes on this point that the Board</w:t>
      </w:r>
      <w:r w:rsidR="00293C92">
        <w:rPr>
          <w:lang w:val="en-GB"/>
        </w:rPr>
        <w:t>,</w:t>
      </w:r>
      <w:r w:rsidR="008C404A">
        <w:rPr>
          <w:lang w:val="en-GB"/>
        </w:rPr>
        <w:t xml:space="preserve"> in its decision of 3 March 2014</w:t>
      </w:r>
      <w:r w:rsidR="00293C92">
        <w:rPr>
          <w:lang w:val="en-GB"/>
        </w:rPr>
        <w:t>,</w:t>
      </w:r>
      <w:r w:rsidR="008C404A">
        <w:rPr>
          <w:lang w:val="en-GB"/>
        </w:rPr>
        <w:t xml:space="preserve"> </w:t>
      </w:r>
      <w:r w:rsidR="00293C92">
        <w:rPr>
          <w:lang w:val="en-GB"/>
        </w:rPr>
        <w:t xml:space="preserve">found </w:t>
      </w:r>
      <w:r w:rsidR="008C404A">
        <w:rPr>
          <w:lang w:val="en-GB"/>
        </w:rPr>
        <w:t xml:space="preserve">that the observation that the authors feared conflicts with </w:t>
      </w:r>
      <w:r w:rsidR="00AA1029">
        <w:rPr>
          <w:lang w:val="en-GB"/>
        </w:rPr>
        <w:t>G’s wife’s</w:t>
      </w:r>
      <w:r w:rsidR="008C404A">
        <w:rPr>
          <w:lang w:val="en-GB"/>
        </w:rPr>
        <w:t xml:space="preserve"> family </w:t>
      </w:r>
      <w:r w:rsidR="00AA1029">
        <w:rPr>
          <w:lang w:val="en-GB"/>
        </w:rPr>
        <w:t xml:space="preserve">because of </w:t>
      </w:r>
      <w:r w:rsidR="00C7587C">
        <w:rPr>
          <w:lang w:val="en-GB" w:bidi="he-IL"/>
        </w:rPr>
        <w:t>G.’</w:t>
      </w:r>
      <w:r w:rsidR="00C7587C">
        <w:rPr>
          <w:rFonts w:hint="cs"/>
          <w:lang w:val="en-GB" w:bidi="he-IL"/>
        </w:rPr>
        <w:t>s</w:t>
      </w:r>
      <w:r w:rsidR="008C404A">
        <w:rPr>
          <w:lang w:val="en-GB"/>
        </w:rPr>
        <w:t xml:space="preserve"> marriage </w:t>
      </w:r>
      <w:r w:rsidR="005A76D9">
        <w:rPr>
          <w:lang w:val="en-GB"/>
        </w:rPr>
        <w:t>w</w:t>
      </w:r>
      <w:r w:rsidR="008C404A">
        <w:rPr>
          <w:lang w:val="en-GB"/>
        </w:rPr>
        <w:t xml:space="preserve">ould not </w:t>
      </w:r>
      <w:r w:rsidR="00293C92">
        <w:rPr>
          <w:lang w:val="en-GB"/>
        </w:rPr>
        <w:t xml:space="preserve">have led </w:t>
      </w:r>
      <w:r w:rsidR="008C404A">
        <w:rPr>
          <w:lang w:val="en-GB"/>
        </w:rPr>
        <w:t xml:space="preserve">to a different assessment of the case. The Board considered it remarkable that the authors </w:t>
      </w:r>
      <w:r w:rsidR="00293C92">
        <w:rPr>
          <w:lang w:val="en-GB"/>
        </w:rPr>
        <w:t xml:space="preserve">had </w:t>
      </w:r>
      <w:r w:rsidR="008C404A">
        <w:rPr>
          <w:lang w:val="en-GB"/>
        </w:rPr>
        <w:t>not refer</w:t>
      </w:r>
      <w:r w:rsidR="00293C92">
        <w:rPr>
          <w:lang w:val="en-GB"/>
        </w:rPr>
        <w:t>red</w:t>
      </w:r>
      <w:r w:rsidR="008C404A">
        <w:rPr>
          <w:lang w:val="en-GB"/>
        </w:rPr>
        <w:t xml:space="preserve"> to </w:t>
      </w:r>
      <w:r w:rsidR="00B41199">
        <w:rPr>
          <w:lang w:val="en-GB" w:bidi="he-IL"/>
        </w:rPr>
        <w:t xml:space="preserve">the conflict with </w:t>
      </w:r>
      <w:r w:rsidR="00293C92">
        <w:rPr>
          <w:lang w:val="en-GB" w:bidi="he-IL"/>
        </w:rPr>
        <w:t>G’s wife’s</w:t>
      </w:r>
      <w:r w:rsidR="008C404A">
        <w:rPr>
          <w:lang w:val="en-GB"/>
        </w:rPr>
        <w:t xml:space="preserve"> </w:t>
      </w:r>
      <w:r w:rsidR="00B41199">
        <w:rPr>
          <w:lang w:val="en-GB" w:bidi="he-IL"/>
        </w:rPr>
        <w:t xml:space="preserve">family </w:t>
      </w:r>
      <w:r w:rsidR="008C404A">
        <w:rPr>
          <w:lang w:val="en-GB"/>
        </w:rPr>
        <w:t xml:space="preserve">until after </w:t>
      </w:r>
      <w:r w:rsidR="00C7587C">
        <w:rPr>
          <w:lang w:val="en-GB" w:bidi="he-IL"/>
        </w:rPr>
        <w:t>G and his wife</w:t>
      </w:r>
      <w:r w:rsidR="008C404A">
        <w:rPr>
          <w:lang w:val="en-GB"/>
        </w:rPr>
        <w:t xml:space="preserve"> had been granted residence under section 7 (1) of the Aliens Act. In its assessment, the Board took into account that G had not lived with the family since 2011 and that there had been no contact between them in the subsequent period. The Board </w:t>
      </w:r>
      <w:r w:rsidR="0077374B">
        <w:rPr>
          <w:lang w:val="en-GB"/>
        </w:rPr>
        <w:t xml:space="preserve">also </w:t>
      </w:r>
      <w:r w:rsidR="008C404A">
        <w:rPr>
          <w:lang w:val="en-GB"/>
        </w:rPr>
        <w:t xml:space="preserve">took into account that, according to the information available, the authors had not at any time been contacted or sought out by </w:t>
      </w:r>
      <w:r w:rsidR="00293C92">
        <w:rPr>
          <w:lang w:val="en-GB"/>
        </w:rPr>
        <w:t>G’s wife’s</w:t>
      </w:r>
      <w:r w:rsidR="008C404A">
        <w:rPr>
          <w:lang w:val="en-GB"/>
        </w:rPr>
        <w:t xml:space="preserve"> family, even after the marriage was contracted in April 2012, when the authors were still living in their home town. </w:t>
      </w:r>
    </w:p>
    <w:p w14:paraId="684F993A" w14:textId="77777777" w:rsidR="00BF7252" w:rsidRDefault="00F942E0" w:rsidP="00BA5934">
      <w:pPr>
        <w:pStyle w:val="SingleTxtG"/>
        <w:rPr>
          <w:lang w:val="en-GB"/>
        </w:rPr>
      </w:pPr>
      <w:r>
        <w:rPr>
          <w:lang w:val="en-GB"/>
        </w:rPr>
        <w:t>4.11</w:t>
      </w:r>
      <w:r w:rsidR="008C404A">
        <w:rPr>
          <w:lang w:val="en-GB"/>
        </w:rPr>
        <w:tab/>
        <w:t xml:space="preserve">The State party finds no reason to contest the assessment made by the Board. It cannot be considered </w:t>
      </w:r>
      <w:r w:rsidR="00BB48F2">
        <w:rPr>
          <w:lang w:val="en-GB" w:bidi="he-IL"/>
        </w:rPr>
        <w:t xml:space="preserve">as </w:t>
      </w:r>
      <w:r w:rsidR="008C404A">
        <w:rPr>
          <w:lang w:val="en-GB"/>
        </w:rPr>
        <w:t xml:space="preserve">a fact that the incident </w:t>
      </w:r>
      <w:r w:rsidR="00BF7252">
        <w:rPr>
          <w:lang w:val="en-GB"/>
        </w:rPr>
        <w:t xml:space="preserve">on 25 May 2012 in which I.G. was accosted by schoolmates and the incident on 27 May 2012 in which the authors were assaulted by four young men on their way home from church </w:t>
      </w:r>
      <w:r w:rsidR="00BB48F2">
        <w:rPr>
          <w:lang w:val="en-GB" w:bidi="he-IL"/>
        </w:rPr>
        <w:t xml:space="preserve">were </w:t>
      </w:r>
      <w:r w:rsidR="00BF7252">
        <w:rPr>
          <w:lang w:val="en-GB"/>
        </w:rPr>
        <w:t>in any way connected to the conflicts resulting in the grant</w:t>
      </w:r>
      <w:r w:rsidR="007526A1">
        <w:rPr>
          <w:lang w:val="en-GB"/>
        </w:rPr>
        <w:t xml:space="preserve">ing </w:t>
      </w:r>
      <w:r w:rsidR="00BF7252">
        <w:rPr>
          <w:lang w:val="en-GB"/>
        </w:rPr>
        <w:t xml:space="preserve">of asylum to </w:t>
      </w:r>
      <w:r w:rsidR="00287D5E">
        <w:rPr>
          <w:lang w:val="en-GB" w:bidi="he-IL"/>
        </w:rPr>
        <w:t xml:space="preserve">G and his </w:t>
      </w:r>
      <w:r w:rsidR="00765063">
        <w:rPr>
          <w:lang w:val="en-GB" w:bidi="he-IL"/>
        </w:rPr>
        <w:t>wife</w:t>
      </w:r>
      <w:r w:rsidR="00BF7252">
        <w:rPr>
          <w:lang w:val="en-GB"/>
        </w:rPr>
        <w:t xml:space="preserve"> or that, if they return</w:t>
      </w:r>
      <w:r w:rsidR="00293C92">
        <w:rPr>
          <w:lang w:val="en-GB"/>
        </w:rPr>
        <w:t>ed,</w:t>
      </w:r>
      <w:r w:rsidR="00BF7252">
        <w:rPr>
          <w:lang w:val="en-GB"/>
        </w:rPr>
        <w:t xml:space="preserve"> the authors would be exposed to a risk of abuse by the family</w:t>
      </w:r>
      <w:r w:rsidR="00293C92">
        <w:rPr>
          <w:lang w:val="en-GB"/>
        </w:rPr>
        <w:t xml:space="preserve"> of G’s wife</w:t>
      </w:r>
      <w:r w:rsidR="00BF7252">
        <w:rPr>
          <w:lang w:val="en-GB"/>
        </w:rPr>
        <w:t xml:space="preserve"> </w:t>
      </w:r>
      <w:r w:rsidR="00765063">
        <w:rPr>
          <w:lang w:val="en-GB"/>
        </w:rPr>
        <w:t>because</w:t>
      </w:r>
      <w:r w:rsidR="00BF7252">
        <w:rPr>
          <w:lang w:val="en-GB"/>
        </w:rPr>
        <w:t xml:space="preserve"> of the marriage. </w:t>
      </w:r>
    </w:p>
    <w:p w14:paraId="50B63749" w14:textId="77777777" w:rsidR="00ED4083" w:rsidRDefault="00F942E0" w:rsidP="00BA5934">
      <w:pPr>
        <w:pStyle w:val="SingleTxtG"/>
        <w:rPr>
          <w:lang w:val="en-GB"/>
        </w:rPr>
      </w:pPr>
      <w:r>
        <w:rPr>
          <w:lang w:val="en-GB"/>
        </w:rPr>
        <w:t>4.12</w:t>
      </w:r>
      <w:r w:rsidR="00BF7252">
        <w:rPr>
          <w:lang w:val="en-GB"/>
        </w:rPr>
        <w:tab/>
        <w:t>The State party perceive</w:t>
      </w:r>
      <w:r w:rsidR="00293C92">
        <w:rPr>
          <w:lang w:val="en-GB"/>
        </w:rPr>
        <w:t>s</w:t>
      </w:r>
      <w:r w:rsidR="00BF7252">
        <w:rPr>
          <w:lang w:val="en-GB"/>
        </w:rPr>
        <w:t xml:space="preserve"> the authors’ fear of </w:t>
      </w:r>
      <w:r w:rsidR="00293C92">
        <w:rPr>
          <w:lang w:val="en-GB"/>
        </w:rPr>
        <w:t xml:space="preserve">G’s wife’s </w:t>
      </w:r>
      <w:r w:rsidR="00BF7252">
        <w:rPr>
          <w:lang w:val="en-GB"/>
        </w:rPr>
        <w:t>family</w:t>
      </w:r>
      <w:r w:rsidR="00293C92">
        <w:rPr>
          <w:lang w:val="en-GB"/>
        </w:rPr>
        <w:t xml:space="preserve"> </w:t>
      </w:r>
      <w:r w:rsidR="00BF7252">
        <w:rPr>
          <w:lang w:val="en-GB"/>
        </w:rPr>
        <w:t xml:space="preserve">to be based solely on </w:t>
      </w:r>
      <w:r w:rsidR="00C7587C">
        <w:rPr>
          <w:lang w:val="en-GB" w:bidi="he-IL"/>
        </w:rPr>
        <w:t>speculation</w:t>
      </w:r>
      <w:r w:rsidR="00293C92">
        <w:rPr>
          <w:lang w:val="en-GB" w:bidi="he-IL"/>
        </w:rPr>
        <w:t>,</w:t>
      </w:r>
      <w:r w:rsidR="00C7587C">
        <w:rPr>
          <w:lang w:val="en-GB"/>
        </w:rPr>
        <w:t xml:space="preserve"> </w:t>
      </w:r>
      <w:r w:rsidR="00BF7252">
        <w:rPr>
          <w:lang w:val="en-GB"/>
        </w:rPr>
        <w:t xml:space="preserve">since the authors </w:t>
      </w:r>
      <w:r w:rsidR="00293C92">
        <w:rPr>
          <w:lang w:val="en-GB"/>
        </w:rPr>
        <w:t xml:space="preserve">were </w:t>
      </w:r>
      <w:r w:rsidR="00BF7252">
        <w:rPr>
          <w:lang w:val="en-GB"/>
        </w:rPr>
        <w:t>not in contact with members of th</w:t>
      </w:r>
      <w:r w:rsidR="00293C92">
        <w:rPr>
          <w:lang w:val="en-GB"/>
        </w:rPr>
        <w:t>at</w:t>
      </w:r>
      <w:r w:rsidR="00BF7252">
        <w:rPr>
          <w:lang w:val="en-GB"/>
        </w:rPr>
        <w:t xml:space="preserve"> family </w:t>
      </w:r>
      <w:r w:rsidR="00293C92">
        <w:rPr>
          <w:lang w:val="en-GB"/>
        </w:rPr>
        <w:t xml:space="preserve">either </w:t>
      </w:r>
      <w:r w:rsidR="00BF7252">
        <w:rPr>
          <w:lang w:val="en-GB"/>
        </w:rPr>
        <w:t>on the occasion of the marriage</w:t>
      </w:r>
      <w:r w:rsidR="007526A1">
        <w:rPr>
          <w:lang w:val="en-GB"/>
        </w:rPr>
        <w:t xml:space="preserve"> or </w:t>
      </w:r>
      <w:r w:rsidR="00293C92">
        <w:rPr>
          <w:lang w:val="en-GB"/>
        </w:rPr>
        <w:t xml:space="preserve">before </w:t>
      </w:r>
      <w:r w:rsidR="007526A1">
        <w:rPr>
          <w:lang w:val="en-GB"/>
        </w:rPr>
        <w:t>their departure in June 2012</w:t>
      </w:r>
      <w:r w:rsidR="00BF7252">
        <w:rPr>
          <w:lang w:val="en-GB"/>
        </w:rPr>
        <w:t xml:space="preserve">, and </w:t>
      </w:r>
      <w:r w:rsidR="00C7587C">
        <w:rPr>
          <w:lang w:val="en-GB" w:bidi="he-IL"/>
        </w:rPr>
        <w:t>since</w:t>
      </w:r>
      <w:r w:rsidR="00C7587C">
        <w:rPr>
          <w:lang w:val="en-GB"/>
        </w:rPr>
        <w:t xml:space="preserve"> </w:t>
      </w:r>
      <w:r w:rsidR="00BF7252">
        <w:rPr>
          <w:lang w:val="en-GB"/>
        </w:rPr>
        <w:t>the authors have not given any reasonable explanation of why they did not refer to their fear of abuse by th</w:t>
      </w:r>
      <w:r w:rsidR="00AA1029">
        <w:rPr>
          <w:lang w:val="en-GB"/>
        </w:rPr>
        <w:t>at</w:t>
      </w:r>
      <w:r w:rsidR="00BF7252">
        <w:rPr>
          <w:lang w:val="en-GB"/>
        </w:rPr>
        <w:t xml:space="preserve"> family </w:t>
      </w:r>
      <w:r w:rsidR="00AA1029">
        <w:rPr>
          <w:lang w:val="en-GB"/>
        </w:rPr>
        <w:t>should they</w:t>
      </w:r>
      <w:r w:rsidR="00BF7252">
        <w:rPr>
          <w:lang w:val="en-GB"/>
        </w:rPr>
        <w:t xml:space="preserve"> return to Pakistan until after the Board had decided </w:t>
      </w:r>
      <w:r w:rsidR="00AA1029">
        <w:rPr>
          <w:lang w:val="en-GB"/>
        </w:rPr>
        <w:t xml:space="preserve">to grant </w:t>
      </w:r>
      <w:r w:rsidR="00BF7252">
        <w:rPr>
          <w:lang w:val="en-GB"/>
        </w:rPr>
        <w:t xml:space="preserve">asylum </w:t>
      </w:r>
      <w:r w:rsidR="00AA1029">
        <w:rPr>
          <w:lang w:val="en-GB"/>
        </w:rPr>
        <w:t>to</w:t>
      </w:r>
      <w:r w:rsidR="00BF7252">
        <w:rPr>
          <w:lang w:val="en-GB"/>
        </w:rPr>
        <w:t xml:space="preserve"> </w:t>
      </w:r>
      <w:r w:rsidR="00287D5E">
        <w:rPr>
          <w:lang w:val="en-GB" w:bidi="he-IL"/>
        </w:rPr>
        <w:t>G and his wife</w:t>
      </w:r>
      <w:r w:rsidR="00BF7252">
        <w:rPr>
          <w:lang w:val="en-GB"/>
        </w:rPr>
        <w:t xml:space="preserve">. The State party refers to the fact that the Committee has stated on several occasions that it is generally for the courts of the States parties to evaluate facts and evidence of a particular case, unless it is found that the evaluation was clearly arbitrary or amounted to a denial of justice. The State party finds that the Board included all relevant information in its decisions and that the submission of the communication to the Committee has not brought to light any information </w:t>
      </w:r>
      <w:r w:rsidR="006E629A">
        <w:rPr>
          <w:lang w:val="en-GB"/>
        </w:rPr>
        <w:t xml:space="preserve">substantiating that </w:t>
      </w:r>
      <w:r w:rsidR="00765063">
        <w:rPr>
          <w:lang w:val="en-GB"/>
        </w:rPr>
        <w:t xml:space="preserve">upon return to Pakistan </w:t>
      </w:r>
      <w:r w:rsidR="006E629A">
        <w:rPr>
          <w:lang w:val="en-GB"/>
        </w:rPr>
        <w:t xml:space="preserve">the authors </w:t>
      </w:r>
      <w:r w:rsidR="00AA1029">
        <w:rPr>
          <w:lang w:val="en-GB"/>
        </w:rPr>
        <w:t xml:space="preserve">would </w:t>
      </w:r>
      <w:r w:rsidR="006E629A">
        <w:rPr>
          <w:lang w:val="en-GB"/>
        </w:rPr>
        <w:t xml:space="preserve">risk persecution or </w:t>
      </w:r>
      <w:r w:rsidR="00AA1029">
        <w:rPr>
          <w:lang w:val="en-GB"/>
        </w:rPr>
        <w:t xml:space="preserve">abuse relevant </w:t>
      </w:r>
      <w:r w:rsidR="00CD2046">
        <w:rPr>
          <w:lang w:val="en-GB"/>
        </w:rPr>
        <w:t xml:space="preserve">for the purpose of granting </w:t>
      </w:r>
      <w:r w:rsidR="00AA1029">
        <w:rPr>
          <w:lang w:val="en-GB"/>
        </w:rPr>
        <w:t xml:space="preserve"> </w:t>
      </w:r>
      <w:r w:rsidR="006E629A">
        <w:rPr>
          <w:lang w:val="en-GB"/>
        </w:rPr>
        <w:t>asylum</w:t>
      </w:r>
      <w:r w:rsidR="00814938">
        <w:rPr>
          <w:lang w:val="en-GB"/>
        </w:rPr>
        <w:t>.</w:t>
      </w:r>
    </w:p>
    <w:p w14:paraId="7973D6F7" w14:textId="77777777" w:rsidR="00826AD1" w:rsidRDefault="00F942E0" w:rsidP="00BA5934">
      <w:pPr>
        <w:pStyle w:val="SingleTxtG"/>
        <w:rPr>
          <w:lang w:val="en-GB"/>
        </w:rPr>
      </w:pPr>
      <w:r>
        <w:rPr>
          <w:lang w:val="en-GB"/>
        </w:rPr>
        <w:t>4.13</w:t>
      </w:r>
      <w:r w:rsidR="00ED4083">
        <w:rPr>
          <w:lang w:val="en-GB"/>
        </w:rPr>
        <w:tab/>
        <w:t>As regards the authors’ claim that, if they return to Pakistan, they will not be able to exercise their religion in public and that it will be necessary for them to hide their religion, the State party points to the preliminary ruling of the Court of Justice</w:t>
      </w:r>
      <w:r w:rsidR="00765063">
        <w:rPr>
          <w:lang w:val="en-GB"/>
        </w:rPr>
        <w:t xml:space="preserve"> of the European Union</w:t>
      </w:r>
      <w:r w:rsidR="007A44B2">
        <w:rPr>
          <w:lang w:val="en-GB"/>
        </w:rPr>
        <w:t>,</w:t>
      </w:r>
      <w:r w:rsidR="00ED4083">
        <w:rPr>
          <w:rStyle w:val="FootnoteReference"/>
          <w:lang w:val="en-GB"/>
        </w:rPr>
        <w:footnoteReference w:id="11"/>
      </w:r>
      <w:r w:rsidR="00ED4083">
        <w:rPr>
          <w:lang w:val="en-GB"/>
        </w:rPr>
        <w:t xml:space="preserve"> in which it was established </w:t>
      </w:r>
      <w:r w:rsidR="00220E65">
        <w:rPr>
          <w:lang w:val="en-GB"/>
        </w:rPr>
        <w:t>that the competent authorities must ascertain, in the light of the personal circumstances of the person concerned, whether that person, as a result of exercising his or her freedom of religion in his or her country of origin, runs a genuine risk of being p</w:t>
      </w:r>
      <w:r w:rsidR="0023185A">
        <w:rPr>
          <w:lang w:val="en-GB"/>
        </w:rPr>
        <w:t>e</w:t>
      </w:r>
      <w:r w:rsidR="00220E65">
        <w:rPr>
          <w:lang w:val="en-GB"/>
        </w:rPr>
        <w:t xml:space="preserve">rsecuted or subject to inhuman or degrading treatment or punishment justifying asylum. </w:t>
      </w:r>
      <w:r w:rsidR="00287D5E">
        <w:rPr>
          <w:lang w:val="en-GB" w:bidi="he-IL"/>
        </w:rPr>
        <w:t>P</w:t>
      </w:r>
      <w:r w:rsidR="00220E65">
        <w:rPr>
          <w:lang w:val="en-GB"/>
        </w:rPr>
        <w:t>erson</w:t>
      </w:r>
      <w:r w:rsidR="00287D5E">
        <w:rPr>
          <w:lang w:val="en-GB" w:bidi="he-IL"/>
        </w:rPr>
        <w:t>s</w:t>
      </w:r>
      <w:r w:rsidR="00220E65">
        <w:rPr>
          <w:lang w:val="en-GB"/>
        </w:rPr>
        <w:t xml:space="preserve"> concerned will thus have a well-founded fear of persecution or treatment justifying asylum if it may reasonably be thought that, upon </w:t>
      </w:r>
      <w:r w:rsidR="00287D5E">
        <w:rPr>
          <w:lang w:val="en-GB" w:bidi="he-IL"/>
        </w:rPr>
        <w:t xml:space="preserve">their </w:t>
      </w:r>
      <w:r w:rsidR="00220E65">
        <w:rPr>
          <w:lang w:val="en-GB"/>
        </w:rPr>
        <w:t xml:space="preserve">return to </w:t>
      </w:r>
      <w:r w:rsidR="00287D5E">
        <w:rPr>
          <w:lang w:val="en-GB" w:bidi="he-IL"/>
        </w:rPr>
        <w:t xml:space="preserve">their </w:t>
      </w:r>
      <w:r w:rsidR="00220E65">
        <w:rPr>
          <w:lang w:val="en-GB"/>
        </w:rPr>
        <w:t xml:space="preserve">country of origin, </w:t>
      </w:r>
      <w:r w:rsidR="00287D5E">
        <w:rPr>
          <w:lang w:val="en-GB" w:bidi="he-IL"/>
        </w:rPr>
        <w:t xml:space="preserve">they </w:t>
      </w:r>
      <w:r w:rsidR="00220E65">
        <w:rPr>
          <w:lang w:val="en-GB"/>
        </w:rPr>
        <w:t xml:space="preserve">will engage in religious practices </w:t>
      </w:r>
      <w:r w:rsidR="00D61517">
        <w:rPr>
          <w:lang w:val="en-GB"/>
        </w:rPr>
        <w:t xml:space="preserve">that </w:t>
      </w:r>
      <w:r w:rsidR="00220E65">
        <w:rPr>
          <w:lang w:val="en-GB"/>
        </w:rPr>
        <w:t xml:space="preserve">will expose </w:t>
      </w:r>
      <w:r w:rsidR="00287D5E">
        <w:rPr>
          <w:lang w:val="en-GB" w:bidi="he-IL"/>
        </w:rPr>
        <w:t>them</w:t>
      </w:r>
      <w:r w:rsidR="00220E65">
        <w:rPr>
          <w:lang w:val="en-GB"/>
        </w:rPr>
        <w:t xml:space="preserve"> to a real risk of persecution or treatment justifying asylum. </w:t>
      </w:r>
      <w:r w:rsidR="006A5218">
        <w:rPr>
          <w:lang w:val="en-GB" w:bidi="he-IL"/>
        </w:rPr>
        <w:t>Under such circumstances, t</w:t>
      </w:r>
      <w:r w:rsidR="00220E65">
        <w:rPr>
          <w:lang w:val="en-GB"/>
        </w:rPr>
        <w:t xml:space="preserve">he competent authorities cannot reasonably expect the person concerned to abstain from those religious practices. The State party observes on this point that even though the authors cannot be </w:t>
      </w:r>
      <w:r w:rsidR="00220E65">
        <w:rPr>
          <w:lang w:val="en-GB"/>
        </w:rPr>
        <w:lastRenderedPageBreak/>
        <w:t xml:space="preserve">required to hide or keep secret their religious beliefs in order to avoid problems in their country of origin as a consequence of their religious beliefs, it still remains crucial for the granting </w:t>
      </w:r>
      <w:r w:rsidR="00D61517">
        <w:rPr>
          <w:lang w:val="en-GB"/>
        </w:rPr>
        <w:t>of</w:t>
      </w:r>
      <w:r w:rsidR="00220E65">
        <w:rPr>
          <w:lang w:val="en-GB"/>
        </w:rPr>
        <w:t xml:space="preserve"> asylum to the authors </w:t>
      </w:r>
      <w:r w:rsidR="00D61517">
        <w:rPr>
          <w:lang w:val="en-GB"/>
        </w:rPr>
        <w:t xml:space="preserve">that </w:t>
      </w:r>
      <w:r w:rsidR="00220E65">
        <w:rPr>
          <w:lang w:val="en-GB"/>
        </w:rPr>
        <w:t xml:space="preserve">they have a well-founded fear of persecution by authorities or private individuals in Pakistan as a consequence of their religious beliefs. The Board found that this was not the case. </w:t>
      </w:r>
    </w:p>
    <w:p w14:paraId="6C0AADB3" w14:textId="77777777" w:rsidR="00783655" w:rsidRDefault="00826AD1">
      <w:pPr>
        <w:pStyle w:val="SingleTxtG"/>
        <w:rPr>
          <w:lang w:val="en-GB"/>
        </w:rPr>
      </w:pPr>
      <w:r>
        <w:rPr>
          <w:lang w:val="en-GB"/>
        </w:rPr>
        <w:t>4.14</w:t>
      </w:r>
      <w:r>
        <w:rPr>
          <w:lang w:val="en-GB"/>
        </w:rPr>
        <w:tab/>
      </w:r>
      <w:r w:rsidR="006A5218">
        <w:rPr>
          <w:lang w:val="en-GB"/>
        </w:rPr>
        <w:t xml:space="preserve">In </w:t>
      </w:r>
      <w:r w:rsidR="00D61517">
        <w:rPr>
          <w:lang w:val="en-GB"/>
        </w:rPr>
        <w:t xml:space="preserve">this </w:t>
      </w:r>
      <w:r w:rsidR="006A5218">
        <w:rPr>
          <w:lang w:val="en-GB"/>
        </w:rPr>
        <w:t xml:space="preserve">connection, the State party refers to the fact that, according to the Board’s background information, including the </w:t>
      </w:r>
      <w:r w:rsidR="004A1B96">
        <w:rPr>
          <w:lang w:val="en-GB"/>
        </w:rPr>
        <w:t>Country of Origin Information</w:t>
      </w:r>
      <w:r w:rsidR="00D61517">
        <w:rPr>
          <w:lang w:val="en-GB"/>
        </w:rPr>
        <w:t xml:space="preserve"> </w:t>
      </w:r>
      <w:r w:rsidR="00E96D8D">
        <w:rPr>
          <w:lang w:val="en-GB"/>
        </w:rPr>
        <w:t>published by</w:t>
      </w:r>
      <w:r w:rsidR="00D61517">
        <w:rPr>
          <w:lang w:val="en-GB"/>
        </w:rPr>
        <w:t xml:space="preserve"> the </w:t>
      </w:r>
      <w:r w:rsidR="006A5218">
        <w:rPr>
          <w:lang w:val="en-GB"/>
        </w:rPr>
        <w:t xml:space="preserve">Home Office </w:t>
      </w:r>
      <w:r w:rsidR="00E96D8D">
        <w:rPr>
          <w:lang w:val="en-GB"/>
        </w:rPr>
        <w:t>of the United Kingdom of Great Britain and Northern Ireland</w:t>
      </w:r>
      <w:r w:rsidR="006A5218">
        <w:rPr>
          <w:lang w:val="en-GB"/>
        </w:rPr>
        <w:t xml:space="preserve">, an estimated </w:t>
      </w:r>
      <w:r w:rsidR="00D61517">
        <w:rPr>
          <w:lang w:val="en-GB"/>
        </w:rPr>
        <w:t>3-4</w:t>
      </w:r>
      <w:r w:rsidR="006A5218">
        <w:rPr>
          <w:lang w:val="en-GB"/>
        </w:rPr>
        <w:t xml:space="preserve"> million Christians live in Pakistan. It also appears from the background information that </w:t>
      </w:r>
      <w:r w:rsidR="006A5218" w:rsidRPr="002E56CE">
        <w:rPr>
          <w:lang w:val="en-GB"/>
        </w:rPr>
        <w:t>discrimination and abuse are committed against the Christian community in Pakistan.</w:t>
      </w:r>
      <w:r w:rsidR="006A5218" w:rsidRPr="002E56CE">
        <w:rPr>
          <w:rStyle w:val="FootnoteReference"/>
          <w:lang w:val="en-GB"/>
        </w:rPr>
        <w:footnoteReference w:id="12"/>
      </w:r>
      <w:r w:rsidR="006A5218">
        <w:rPr>
          <w:lang w:val="en-GB"/>
        </w:rPr>
        <w:t xml:space="preserve"> </w:t>
      </w:r>
    </w:p>
    <w:p w14:paraId="70B6A27D" w14:textId="77777777" w:rsidR="00826AD1" w:rsidRDefault="00783655" w:rsidP="00BA5934">
      <w:pPr>
        <w:pStyle w:val="SingleTxtG"/>
        <w:rPr>
          <w:lang w:val="en-GB"/>
        </w:rPr>
      </w:pPr>
      <w:r>
        <w:rPr>
          <w:lang w:val="en-GB" w:bidi="he-IL"/>
        </w:rPr>
        <w:t>4.15</w:t>
      </w:r>
      <w:r>
        <w:rPr>
          <w:lang w:val="en-GB" w:bidi="he-IL"/>
        </w:rPr>
        <w:tab/>
      </w:r>
      <w:r w:rsidR="00E96D8D">
        <w:rPr>
          <w:lang w:val="en-GB" w:bidi="he-IL"/>
        </w:rPr>
        <w:t>Nevertheless</w:t>
      </w:r>
      <w:r w:rsidR="00752285">
        <w:rPr>
          <w:lang w:val="en-GB"/>
        </w:rPr>
        <w:t xml:space="preserve">, the background information available to the Board </w:t>
      </w:r>
      <w:r w:rsidR="006A5218">
        <w:rPr>
          <w:lang w:val="en-GB" w:bidi="he-IL"/>
        </w:rPr>
        <w:t xml:space="preserve">suggests </w:t>
      </w:r>
      <w:r w:rsidR="00752285">
        <w:rPr>
          <w:lang w:val="en-GB"/>
        </w:rPr>
        <w:t xml:space="preserve">that the authorities in Pakistan do not initiate court actions against persons for the sole reason that they are Christians. </w:t>
      </w:r>
      <w:r w:rsidR="00E96D8D">
        <w:rPr>
          <w:lang w:val="en-GB" w:bidi="he-IL"/>
        </w:rPr>
        <w:t>B</w:t>
      </w:r>
      <w:r w:rsidR="006A5218">
        <w:rPr>
          <w:lang w:val="en-GB" w:bidi="he-IL"/>
        </w:rPr>
        <w:t>lasphemy c</w:t>
      </w:r>
      <w:r w:rsidR="00752285">
        <w:rPr>
          <w:lang w:val="en-GB"/>
        </w:rPr>
        <w:t xml:space="preserve">ases are </w:t>
      </w:r>
      <w:r w:rsidR="00E96D8D">
        <w:rPr>
          <w:lang w:val="en-GB" w:bidi="he-IL"/>
        </w:rPr>
        <w:t xml:space="preserve">sometimes </w:t>
      </w:r>
      <w:r w:rsidR="00752285">
        <w:rPr>
          <w:lang w:val="en-GB"/>
        </w:rPr>
        <w:t xml:space="preserve">initiated by local religious communities or persons supported by such communities who are in conflict with Christians </w:t>
      </w:r>
      <w:r w:rsidR="00CB24EE">
        <w:rPr>
          <w:lang w:val="en-GB"/>
        </w:rPr>
        <w:t xml:space="preserve">at </w:t>
      </w:r>
      <w:r w:rsidR="00E96D8D">
        <w:rPr>
          <w:lang w:val="en-GB"/>
        </w:rPr>
        <w:t xml:space="preserve">the </w:t>
      </w:r>
      <w:r w:rsidR="00CB24EE">
        <w:rPr>
          <w:lang w:val="en-GB"/>
        </w:rPr>
        <w:t>local level</w:t>
      </w:r>
      <w:r w:rsidR="006A5218">
        <w:rPr>
          <w:lang w:val="en-GB" w:bidi="he-IL"/>
        </w:rPr>
        <w:t xml:space="preserve">, although the real </w:t>
      </w:r>
      <w:r w:rsidR="00E96D8D">
        <w:rPr>
          <w:lang w:val="en-GB" w:bidi="he-IL"/>
        </w:rPr>
        <w:t xml:space="preserve">motive </w:t>
      </w:r>
      <w:r w:rsidR="006A5218">
        <w:rPr>
          <w:lang w:val="en-GB" w:bidi="he-IL"/>
        </w:rPr>
        <w:t xml:space="preserve">for </w:t>
      </w:r>
      <w:r w:rsidR="00E96D8D">
        <w:rPr>
          <w:lang w:val="en-GB" w:bidi="he-IL"/>
        </w:rPr>
        <w:t xml:space="preserve">such </w:t>
      </w:r>
      <w:r w:rsidR="006A5218">
        <w:rPr>
          <w:lang w:val="en-GB" w:bidi="he-IL"/>
        </w:rPr>
        <w:t xml:space="preserve">cases </w:t>
      </w:r>
      <w:r w:rsidR="00E96D8D">
        <w:rPr>
          <w:lang w:val="en-GB" w:bidi="he-IL"/>
        </w:rPr>
        <w:t xml:space="preserve">is </w:t>
      </w:r>
      <w:r w:rsidR="006A5218">
        <w:rPr>
          <w:lang w:val="en-GB" w:bidi="he-IL"/>
        </w:rPr>
        <w:t>not</w:t>
      </w:r>
      <w:r w:rsidR="006A5218" w:rsidRPr="0023185A">
        <w:rPr>
          <w:lang w:val="en-GB"/>
        </w:rPr>
        <w:t xml:space="preserve"> </w:t>
      </w:r>
      <w:r w:rsidR="00E96D8D">
        <w:rPr>
          <w:lang w:val="en-GB"/>
        </w:rPr>
        <w:t xml:space="preserve">always </w:t>
      </w:r>
      <w:r w:rsidR="006A5218" w:rsidRPr="0023185A">
        <w:rPr>
          <w:lang w:val="en-GB"/>
        </w:rPr>
        <w:t>religio</w:t>
      </w:r>
      <w:r w:rsidR="00E96D8D">
        <w:rPr>
          <w:lang w:val="en-GB"/>
        </w:rPr>
        <w:t>us</w:t>
      </w:r>
      <w:r w:rsidR="006A5218" w:rsidRPr="0023185A">
        <w:rPr>
          <w:lang w:val="en-GB"/>
        </w:rPr>
        <w:t xml:space="preserve"> </w:t>
      </w:r>
      <w:r w:rsidR="006A5218">
        <w:rPr>
          <w:lang w:val="en-GB" w:bidi="he-IL"/>
        </w:rPr>
        <w:t xml:space="preserve">but </w:t>
      </w:r>
      <w:r w:rsidR="00E96D8D">
        <w:rPr>
          <w:lang w:val="en-GB" w:bidi="he-IL"/>
        </w:rPr>
        <w:t xml:space="preserve">the desire for </w:t>
      </w:r>
      <w:r w:rsidR="006A5218">
        <w:rPr>
          <w:lang w:val="en-GB" w:bidi="he-IL"/>
        </w:rPr>
        <w:t>private gain</w:t>
      </w:r>
      <w:r w:rsidR="00E96D8D">
        <w:rPr>
          <w:lang w:val="en-GB" w:bidi="he-IL"/>
        </w:rPr>
        <w:t>, achieved for example</w:t>
      </w:r>
      <w:r w:rsidR="006A5218" w:rsidRPr="0023185A">
        <w:rPr>
          <w:lang w:val="en-GB"/>
        </w:rPr>
        <w:t xml:space="preserve"> </w:t>
      </w:r>
      <w:r w:rsidR="00E96D8D">
        <w:rPr>
          <w:lang w:val="en-GB"/>
        </w:rPr>
        <w:t>by forcing</w:t>
      </w:r>
      <w:r w:rsidR="00E96D8D" w:rsidRPr="0023185A">
        <w:rPr>
          <w:lang w:val="en-GB"/>
        </w:rPr>
        <w:t xml:space="preserve"> </w:t>
      </w:r>
      <w:r w:rsidR="00E96D8D">
        <w:rPr>
          <w:lang w:val="en-GB"/>
        </w:rPr>
        <w:t>a</w:t>
      </w:r>
      <w:r w:rsidR="00E96D8D" w:rsidRPr="0023185A">
        <w:rPr>
          <w:lang w:val="en-GB"/>
        </w:rPr>
        <w:t xml:space="preserve"> </w:t>
      </w:r>
      <w:r w:rsidR="006A5218" w:rsidRPr="0023185A">
        <w:rPr>
          <w:lang w:val="en-GB"/>
        </w:rPr>
        <w:t>person to leave a property</w:t>
      </w:r>
      <w:r w:rsidR="00CB24EE">
        <w:rPr>
          <w:lang w:val="en-GB"/>
        </w:rPr>
        <w:t xml:space="preserve">. </w:t>
      </w:r>
      <w:r w:rsidR="00CB24EE" w:rsidRPr="0023185A">
        <w:rPr>
          <w:lang w:val="en-GB"/>
        </w:rPr>
        <w:t xml:space="preserve">According to the </w:t>
      </w:r>
      <w:r w:rsidR="006A5218">
        <w:rPr>
          <w:lang w:val="en-GB" w:bidi="he-IL"/>
        </w:rPr>
        <w:t xml:space="preserve">applicable </w:t>
      </w:r>
      <w:r w:rsidR="00CB24EE" w:rsidRPr="0023185A">
        <w:rPr>
          <w:lang w:val="en-GB"/>
        </w:rPr>
        <w:t>provisions</w:t>
      </w:r>
      <w:r w:rsidR="006A5218">
        <w:rPr>
          <w:lang w:val="en-GB" w:bidi="he-IL"/>
        </w:rPr>
        <w:t xml:space="preserve"> </w:t>
      </w:r>
      <w:r w:rsidR="00E96D8D">
        <w:rPr>
          <w:lang w:val="en-GB" w:bidi="he-IL"/>
        </w:rPr>
        <w:t xml:space="preserve">on </w:t>
      </w:r>
      <w:r w:rsidR="00E96D8D" w:rsidRPr="0023185A">
        <w:rPr>
          <w:lang w:val="en-GB"/>
        </w:rPr>
        <w:t xml:space="preserve">blasphemy </w:t>
      </w:r>
      <w:r w:rsidR="006A5218">
        <w:rPr>
          <w:lang w:val="en-GB" w:bidi="he-IL"/>
        </w:rPr>
        <w:t>under Pakistani law</w:t>
      </w:r>
      <w:r w:rsidR="00CB24EE" w:rsidRPr="0023185A">
        <w:rPr>
          <w:lang w:val="en-GB"/>
        </w:rPr>
        <w:t>, the first investigation report does not automatically result in an indictment and imprisonment.</w:t>
      </w:r>
      <w:r w:rsidR="00AB0ED1">
        <w:rPr>
          <w:rStyle w:val="FootnoteReference"/>
          <w:lang w:val="en-GB"/>
        </w:rPr>
        <w:footnoteReference w:id="13"/>
      </w:r>
      <w:r w:rsidR="00826AD1">
        <w:rPr>
          <w:lang w:val="en-GB"/>
        </w:rPr>
        <w:t xml:space="preserve"> </w:t>
      </w:r>
      <w:r w:rsidR="00E96D8D">
        <w:rPr>
          <w:lang w:val="en-GB"/>
        </w:rPr>
        <w:t xml:space="preserve"> </w:t>
      </w:r>
    </w:p>
    <w:p w14:paraId="298475FF" w14:textId="77777777" w:rsidR="003C1635" w:rsidRDefault="00826AD1">
      <w:pPr>
        <w:pStyle w:val="SingleTxtG"/>
        <w:rPr>
          <w:lang w:val="en-GB"/>
        </w:rPr>
      </w:pPr>
      <w:r>
        <w:rPr>
          <w:lang w:val="en-GB"/>
        </w:rPr>
        <w:t>4.1</w:t>
      </w:r>
      <w:r w:rsidR="00783655">
        <w:rPr>
          <w:lang w:val="en-GB"/>
        </w:rPr>
        <w:t>6</w:t>
      </w:r>
      <w:r>
        <w:rPr>
          <w:lang w:val="en-GB"/>
        </w:rPr>
        <w:tab/>
        <w:t xml:space="preserve">In that connection, the </w:t>
      </w:r>
      <w:r w:rsidR="00A24489">
        <w:rPr>
          <w:lang w:val="en-GB"/>
        </w:rPr>
        <w:t xml:space="preserve">State party </w:t>
      </w:r>
      <w:r>
        <w:rPr>
          <w:lang w:val="en-GB"/>
        </w:rPr>
        <w:t xml:space="preserve">refers to the fact that, in its decision of 3 March 2014, the Board expressly considered the importance of the general situation for Christians in Pakistan and </w:t>
      </w:r>
      <w:r w:rsidR="008C4159">
        <w:rPr>
          <w:lang w:val="en-GB"/>
        </w:rPr>
        <w:t xml:space="preserve">in that connection </w:t>
      </w:r>
      <w:r>
        <w:rPr>
          <w:lang w:val="en-GB"/>
        </w:rPr>
        <w:t xml:space="preserve">Board found that the fact that the authors were Christians did not in itself mean that they met the conditions for being granted asylum in Denmark. The State party relies on the </w:t>
      </w:r>
      <w:r w:rsidR="008C4159">
        <w:rPr>
          <w:lang w:val="en-GB"/>
        </w:rPr>
        <w:t xml:space="preserve">Board’s </w:t>
      </w:r>
      <w:r>
        <w:rPr>
          <w:lang w:val="en-GB"/>
        </w:rPr>
        <w:t xml:space="preserve">decisions of 13 June 2013 and 3 March 2014 and </w:t>
      </w:r>
      <w:r w:rsidR="00D30F22">
        <w:rPr>
          <w:lang w:val="en-GB"/>
        </w:rPr>
        <w:t>therefore</w:t>
      </w:r>
      <w:r>
        <w:rPr>
          <w:lang w:val="en-GB"/>
        </w:rPr>
        <w:t xml:space="preserve"> submits that there are no grounds for establishing that the return of the authors to Pakistan will </w:t>
      </w:r>
      <w:r w:rsidR="00D30F22">
        <w:rPr>
          <w:lang w:val="en-GB"/>
        </w:rPr>
        <w:t xml:space="preserve">amount to </w:t>
      </w:r>
      <w:r>
        <w:rPr>
          <w:lang w:val="en-GB"/>
        </w:rPr>
        <w:t>a breach of article 18 of the Covenant.</w:t>
      </w:r>
      <w:r w:rsidR="00A57788">
        <w:rPr>
          <w:lang w:val="en-GB"/>
        </w:rPr>
        <w:t xml:space="preserve"> </w:t>
      </w:r>
    </w:p>
    <w:p w14:paraId="59AF705B" w14:textId="77777777" w:rsidR="003C1635" w:rsidRDefault="00475A30" w:rsidP="001D2B4D">
      <w:pPr>
        <w:pStyle w:val="SingleTxtG"/>
        <w:spacing w:after="240"/>
        <w:rPr>
          <w:lang w:val="en-GB"/>
        </w:rPr>
      </w:pPr>
      <w:r>
        <w:rPr>
          <w:lang w:val="en-GB"/>
        </w:rPr>
        <w:t>4.1</w:t>
      </w:r>
      <w:r w:rsidR="00783655">
        <w:rPr>
          <w:lang w:val="en-GB"/>
        </w:rPr>
        <w:t>7</w:t>
      </w:r>
      <w:r>
        <w:rPr>
          <w:lang w:val="en-GB"/>
        </w:rPr>
        <w:tab/>
      </w:r>
      <w:r w:rsidRPr="00475A30">
        <w:rPr>
          <w:lang w:val="en-GB"/>
        </w:rPr>
        <w:t xml:space="preserve">The </w:t>
      </w:r>
      <w:r w:rsidR="00D30F22">
        <w:rPr>
          <w:lang w:val="en-GB"/>
        </w:rPr>
        <w:t>State party</w:t>
      </w:r>
      <w:r w:rsidR="00D30F22" w:rsidRPr="00475A30">
        <w:rPr>
          <w:lang w:val="en-GB"/>
        </w:rPr>
        <w:t xml:space="preserve"> </w:t>
      </w:r>
      <w:r w:rsidRPr="00475A30">
        <w:rPr>
          <w:lang w:val="en-GB"/>
        </w:rPr>
        <w:t>submits that the authors have failed to establish a prima facie case for the purpose of admissibility of their communication under articles 6, 7 and 18 of the Covenant,</w:t>
      </w:r>
      <w:r>
        <w:rPr>
          <w:rStyle w:val="FootnoteReference"/>
          <w:lang w:val="en-GB"/>
        </w:rPr>
        <w:footnoteReference w:id="14"/>
      </w:r>
      <w:r w:rsidRPr="00475A30">
        <w:rPr>
          <w:lang w:val="en-GB"/>
        </w:rPr>
        <w:t xml:space="preserve"> </w:t>
      </w:r>
      <w:r w:rsidR="0023185A">
        <w:rPr>
          <w:lang w:val="en-GB"/>
        </w:rPr>
        <w:t xml:space="preserve">as the communication </w:t>
      </w:r>
      <w:r w:rsidR="005F148F">
        <w:rPr>
          <w:lang w:val="en-GB" w:bidi="he-IL"/>
        </w:rPr>
        <w:t>is</w:t>
      </w:r>
      <w:r w:rsidR="005F148F">
        <w:rPr>
          <w:lang w:val="en-GB"/>
        </w:rPr>
        <w:t xml:space="preserve"> </w:t>
      </w:r>
      <w:r w:rsidRPr="00475A30">
        <w:rPr>
          <w:lang w:val="en-GB"/>
        </w:rPr>
        <w:t>not sufficiently substantiated</w:t>
      </w:r>
      <w:r w:rsidR="00E606DA">
        <w:rPr>
          <w:lang w:val="en-GB"/>
        </w:rPr>
        <w:t>.</w:t>
      </w:r>
      <w:r w:rsidRPr="00475A30">
        <w:rPr>
          <w:lang w:val="en-GB"/>
        </w:rPr>
        <w:t xml:space="preserve"> Should the Committee find the communication admissible, the Government submits that it has not been established that there are substantial grounds for believing that the authors will be in danger of being deprived of their lives or subjected to torture or to cruel, inhuman or degrading treatment or punishment if returned to Pakistan. The return of the authors to Pakistan will therefore not </w:t>
      </w:r>
      <w:r w:rsidR="00D30F22">
        <w:rPr>
          <w:lang w:val="en-GB"/>
        </w:rPr>
        <w:t>amount to</w:t>
      </w:r>
      <w:r w:rsidR="00D30F22" w:rsidRPr="00475A30">
        <w:rPr>
          <w:lang w:val="en-GB"/>
        </w:rPr>
        <w:t xml:space="preserve"> </w:t>
      </w:r>
      <w:r w:rsidRPr="00475A30">
        <w:rPr>
          <w:lang w:val="en-GB"/>
        </w:rPr>
        <w:t>a violation of article 6 or 7 of the Covenant. The</w:t>
      </w:r>
      <w:r w:rsidR="002A7B1C">
        <w:rPr>
          <w:lang w:val="en-GB"/>
        </w:rPr>
        <w:t xml:space="preserve"> State party considers that the</w:t>
      </w:r>
      <w:r w:rsidRPr="00475A30">
        <w:rPr>
          <w:lang w:val="en-GB"/>
        </w:rPr>
        <w:t xml:space="preserve"> authors have</w:t>
      </w:r>
      <w:r w:rsidR="002A7B1C">
        <w:rPr>
          <w:lang w:val="en-GB"/>
        </w:rPr>
        <w:t xml:space="preserve"> not substantiated</w:t>
      </w:r>
      <w:r w:rsidRPr="00475A30">
        <w:rPr>
          <w:lang w:val="en-GB"/>
        </w:rPr>
        <w:t xml:space="preserve"> a well-founded fear of persecution by authorities or private individuals in Pakistan as a consequence of their religious beliefs and therefore submits that the authors have failed to establish that they have been deprived of their rights under article 18 o</w:t>
      </w:r>
      <w:r w:rsidR="00F942E0">
        <w:rPr>
          <w:lang w:val="en-GB"/>
        </w:rPr>
        <w:t>f the Covenant.</w:t>
      </w:r>
    </w:p>
    <w:p w14:paraId="3A764028" w14:textId="77777777" w:rsidR="007740F1" w:rsidRPr="005E021C" w:rsidRDefault="00F942E0" w:rsidP="00F942E0">
      <w:pPr>
        <w:pStyle w:val="H23G"/>
      </w:pPr>
      <w:r>
        <w:lastRenderedPageBreak/>
        <w:tab/>
      </w:r>
      <w:r>
        <w:tab/>
      </w:r>
      <w:r w:rsidR="00431396" w:rsidRPr="005E021C">
        <w:t>Author’</w:t>
      </w:r>
      <w:r w:rsidR="00446ABC" w:rsidRPr="00446ABC">
        <w:t>s</w:t>
      </w:r>
      <w:r w:rsidR="009A19F8" w:rsidRPr="005E021C">
        <w:t xml:space="preserve"> comments on the State party</w:t>
      </w:r>
      <w:r w:rsidR="00A57788">
        <w:t>’</w:t>
      </w:r>
      <w:r w:rsidR="009A19F8" w:rsidRPr="005E021C">
        <w:t>s observations</w:t>
      </w:r>
      <w:r w:rsidR="000A2EE4" w:rsidRPr="005E021C">
        <w:t xml:space="preserve"> </w:t>
      </w:r>
    </w:p>
    <w:p w14:paraId="658803FD" w14:textId="77777777" w:rsidR="00A309BF" w:rsidRDefault="009A19F8" w:rsidP="00A309BF">
      <w:pPr>
        <w:pStyle w:val="SingleTxtG"/>
        <w:rPr>
          <w:bCs/>
          <w:lang w:val="en-GB"/>
        </w:rPr>
      </w:pPr>
      <w:r>
        <w:rPr>
          <w:bCs/>
        </w:rPr>
        <w:t>5</w:t>
      </w:r>
      <w:r w:rsidRPr="009A19F8">
        <w:rPr>
          <w:bCs/>
        </w:rPr>
        <w:t>.</w:t>
      </w:r>
      <w:r w:rsidR="008730D5">
        <w:rPr>
          <w:bCs/>
          <w:lang w:val="en-GB"/>
        </w:rPr>
        <w:t>1</w:t>
      </w:r>
      <w:r w:rsidRPr="009A19F8">
        <w:rPr>
          <w:bCs/>
        </w:rPr>
        <w:tab/>
      </w:r>
      <w:r w:rsidR="00A309BF">
        <w:rPr>
          <w:bCs/>
          <w:lang w:val="en-GB"/>
        </w:rPr>
        <w:t xml:space="preserve">On 13 October 2014, the authors’ counsel submitted his comments on the </w:t>
      </w:r>
      <w:r w:rsidR="00A309BF" w:rsidRPr="00C1117C">
        <w:rPr>
          <w:bCs/>
          <w:lang w:val="en-GB"/>
        </w:rPr>
        <w:t>State party’s observations</w:t>
      </w:r>
      <w:r w:rsidR="00A309BF">
        <w:rPr>
          <w:bCs/>
          <w:lang w:val="en-GB"/>
        </w:rPr>
        <w:t xml:space="preserve"> on the admissibility and merits. As regards the request by the State party to lift interim measures, the authors argue that their need for protection has remained unchanged since their initial submission. They reiterate that, if returned to Pakistan they will be </w:t>
      </w:r>
      <w:r w:rsidR="008C4159">
        <w:rPr>
          <w:bCs/>
          <w:lang w:val="en-GB"/>
        </w:rPr>
        <w:t xml:space="preserve">at </w:t>
      </w:r>
      <w:r w:rsidR="00A309BF">
        <w:rPr>
          <w:bCs/>
          <w:lang w:val="en-GB"/>
        </w:rPr>
        <w:t xml:space="preserve">high risk of losing their lives or being exposed to serious harm, including rape </w:t>
      </w:r>
      <w:r w:rsidR="005F148F">
        <w:rPr>
          <w:bCs/>
          <w:lang w:val="en-GB" w:bidi="he-IL"/>
        </w:rPr>
        <w:t>of</w:t>
      </w:r>
      <w:r w:rsidR="005F148F">
        <w:rPr>
          <w:bCs/>
          <w:lang w:val="en-GB"/>
        </w:rPr>
        <w:t xml:space="preserve"> </w:t>
      </w:r>
      <w:r w:rsidR="00A309BF">
        <w:rPr>
          <w:bCs/>
          <w:lang w:val="en-GB"/>
        </w:rPr>
        <w:t xml:space="preserve">the minor girls. The authors also claim that the State party does not provide any specific reason </w:t>
      </w:r>
      <w:r w:rsidR="008C4159">
        <w:rPr>
          <w:bCs/>
          <w:lang w:val="en-GB"/>
        </w:rPr>
        <w:t xml:space="preserve">to support the contention that </w:t>
      </w:r>
      <w:r w:rsidR="00A309BF">
        <w:rPr>
          <w:bCs/>
          <w:lang w:val="en-GB"/>
        </w:rPr>
        <w:t xml:space="preserve">the danger to the authors’ life is not real. </w:t>
      </w:r>
    </w:p>
    <w:p w14:paraId="2E0DE95D" w14:textId="77777777" w:rsidR="00A309BF" w:rsidRDefault="00F942E0" w:rsidP="00A309BF">
      <w:pPr>
        <w:pStyle w:val="SingleTxtG"/>
        <w:rPr>
          <w:bCs/>
          <w:lang w:val="en-GB"/>
        </w:rPr>
      </w:pPr>
      <w:r>
        <w:rPr>
          <w:bCs/>
          <w:lang w:val="en-GB"/>
        </w:rPr>
        <w:t>5.2</w:t>
      </w:r>
      <w:r w:rsidR="00A309BF">
        <w:rPr>
          <w:bCs/>
          <w:lang w:val="en-GB"/>
        </w:rPr>
        <w:tab/>
        <w:t xml:space="preserve">On 13 November 2014, the authors submitted additional comments. They claim that the domestic remedies </w:t>
      </w:r>
      <w:r w:rsidR="00492709">
        <w:rPr>
          <w:bCs/>
          <w:lang w:val="en-GB"/>
        </w:rPr>
        <w:t xml:space="preserve">were </w:t>
      </w:r>
      <w:r w:rsidR="00A309BF">
        <w:rPr>
          <w:bCs/>
          <w:lang w:val="en-GB"/>
        </w:rPr>
        <w:t xml:space="preserve">exhausted with </w:t>
      </w:r>
      <w:r w:rsidR="008C4159">
        <w:rPr>
          <w:bCs/>
          <w:lang w:val="en-GB"/>
        </w:rPr>
        <w:t>the</w:t>
      </w:r>
      <w:r w:rsidR="00A309BF">
        <w:rPr>
          <w:bCs/>
          <w:lang w:val="en-GB"/>
        </w:rPr>
        <w:t xml:space="preserve"> Board’s decision</w:t>
      </w:r>
      <w:r w:rsidR="005F148F">
        <w:rPr>
          <w:bCs/>
          <w:lang w:val="en-GB" w:bidi="he-IL"/>
        </w:rPr>
        <w:t xml:space="preserve">, since </w:t>
      </w:r>
      <w:r w:rsidR="00A309BF">
        <w:rPr>
          <w:bCs/>
          <w:lang w:val="en-GB"/>
        </w:rPr>
        <w:t xml:space="preserve">the Aliens Act does not provide for an appeal to ordinary courts. </w:t>
      </w:r>
      <w:r w:rsidR="008C4159">
        <w:rPr>
          <w:bCs/>
          <w:lang w:val="en-GB"/>
        </w:rPr>
        <w:t>C</w:t>
      </w:r>
      <w:r w:rsidR="00A309BF">
        <w:rPr>
          <w:bCs/>
          <w:lang w:val="en-GB"/>
        </w:rPr>
        <w:t xml:space="preserve">ounsel </w:t>
      </w:r>
      <w:r w:rsidR="008C4159">
        <w:rPr>
          <w:bCs/>
          <w:lang w:val="en-GB"/>
        </w:rPr>
        <w:t xml:space="preserve">raises </w:t>
      </w:r>
      <w:r w:rsidR="00A309BF">
        <w:rPr>
          <w:bCs/>
          <w:lang w:val="en-GB"/>
        </w:rPr>
        <w:t>t</w:t>
      </w:r>
      <w:r w:rsidR="00324374">
        <w:rPr>
          <w:bCs/>
          <w:lang w:val="en-GB"/>
        </w:rPr>
        <w:t>w</w:t>
      </w:r>
      <w:r w:rsidR="00A309BF">
        <w:rPr>
          <w:bCs/>
          <w:lang w:val="en-GB"/>
        </w:rPr>
        <w:t>o fair-</w:t>
      </w:r>
      <w:r w:rsidR="005F148F">
        <w:rPr>
          <w:bCs/>
          <w:lang w:val="en-GB" w:bidi="he-IL"/>
        </w:rPr>
        <w:t>hearing</w:t>
      </w:r>
      <w:r w:rsidR="005F148F">
        <w:rPr>
          <w:bCs/>
          <w:lang w:val="en-GB"/>
        </w:rPr>
        <w:t xml:space="preserve"> </w:t>
      </w:r>
      <w:r w:rsidR="00A309BF">
        <w:rPr>
          <w:bCs/>
          <w:lang w:val="en-GB"/>
        </w:rPr>
        <w:t xml:space="preserve">issues with regard to the functioning of the Board: </w:t>
      </w:r>
      <w:r w:rsidR="008C4159">
        <w:rPr>
          <w:bCs/>
          <w:lang w:val="en-GB"/>
        </w:rPr>
        <w:t xml:space="preserve">the </w:t>
      </w:r>
      <w:r w:rsidR="00A309BF">
        <w:rPr>
          <w:bCs/>
          <w:lang w:val="en-GB"/>
        </w:rPr>
        <w:t xml:space="preserve">membership of </w:t>
      </w:r>
      <w:r w:rsidR="008C4159">
        <w:rPr>
          <w:bCs/>
          <w:lang w:val="en-GB"/>
        </w:rPr>
        <w:t xml:space="preserve">an employee of the </w:t>
      </w:r>
      <w:r w:rsidR="00A309BF">
        <w:rPr>
          <w:bCs/>
          <w:lang w:val="en-GB"/>
        </w:rPr>
        <w:t xml:space="preserve">Ministry of Justice on the five-member board, which </w:t>
      </w:r>
      <w:r w:rsidR="00324374">
        <w:rPr>
          <w:bCs/>
          <w:lang w:val="en-GB" w:bidi="he-IL"/>
        </w:rPr>
        <w:t xml:space="preserve">calls </w:t>
      </w:r>
      <w:r w:rsidR="005F148F">
        <w:rPr>
          <w:bCs/>
          <w:lang w:val="en-GB" w:bidi="he-IL"/>
        </w:rPr>
        <w:t>in</w:t>
      </w:r>
      <w:r w:rsidR="00324374">
        <w:rPr>
          <w:bCs/>
          <w:lang w:val="en-GB" w:bidi="he-IL"/>
        </w:rPr>
        <w:t>to</w:t>
      </w:r>
      <w:r w:rsidR="005F148F">
        <w:rPr>
          <w:bCs/>
          <w:lang w:val="en-GB" w:bidi="he-IL"/>
        </w:rPr>
        <w:t xml:space="preserve"> question</w:t>
      </w:r>
      <w:r w:rsidR="005F148F">
        <w:rPr>
          <w:bCs/>
          <w:lang w:val="en-GB"/>
        </w:rPr>
        <w:t xml:space="preserve"> </w:t>
      </w:r>
      <w:r w:rsidR="00A309BF">
        <w:rPr>
          <w:bCs/>
          <w:lang w:val="en-GB"/>
        </w:rPr>
        <w:t xml:space="preserve">the neutrality of the Board as the </w:t>
      </w:r>
      <w:r w:rsidR="00324374">
        <w:rPr>
          <w:bCs/>
          <w:lang w:val="en-GB"/>
        </w:rPr>
        <w:t xml:space="preserve">Ministry </w:t>
      </w:r>
      <w:r w:rsidR="00A309BF">
        <w:rPr>
          <w:bCs/>
          <w:lang w:val="en-GB"/>
        </w:rPr>
        <w:t xml:space="preserve">oversees the functioning of the Danish Immigration Service; and the </w:t>
      </w:r>
      <w:r w:rsidR="00324374">
        <w:rPr>
          <w:bCs/>
          <w:lang w:val="en-GB"/>
        </w:rPr>
        <w:t xml:space="preserve">fact that the Immigration Service and the Board have no </w:t>
      </w:r>
      <w:r w:rsidR="00A309BF">
        <w:rPr>
          <w:bCs/>
          <w:lang w:val="en-GB"/>
        </w:rPr>
        <w:t xml:space="preserve">educational requirement for interpreters. Moreover, the authors argue that </w:t>
      </w:r>
      <w:r w:rsidR="00A309BF" w:rsidRPr="00173BE3">
        <w:rPr>
          <w:bCs/>
          <w:lang w:val="en-GB"/>
        </w:rPr>
        <w:t xml:space="preserve">the lack of a written </w:t>
      </w:r>
      <w:r w:rsidR="00324374">
        <w:rPr>
          <w:bCs/>
          <w:lang w:val="en-GB"/>
        </w:rPr>
        <w:t xml:space="preserve">form for them to fill out </w:t>
      </w:r>
      <w:r w:rsidR="00A309BF">
        <w:rPr>
          <w:bCs/>
          <w:lang w:val="en-GB"/>
        </w:rPr>
        <w:t>in the present asylum case mean</w:t>
      </w:r>
      <w:r w:rsidR="00324374">
        <w:rPr>
          <w:bCs/>
          <w:lang w:val="en-GB"/>
        </w:rPr>
        <w:t>t</w:t>
      </w:r>
      <w:r w:rsidR="00A309BF">
        <w:rPr>
          <w:bCs/>
          <w:lang w:val="en-GB"/>
        </w:rPr>
        <w:t xml:space="preserve"> that no direct statement, in the applicant’s own language, </w:t>
      </w:r>
      <w:r w:rsidR="005F148F">
        <w:rPr>
          <w:bCs/>
          <w:lang w:val="en-GB" w:bidi="he-IL"/>
        </w:rPr>
        <w:t>wa</w:t>
      </w:r>
      <w:r w:rsidR="00A309BF">
        <w:rPr>
          <w:bCs/>
          <w:lang w:val="en-GB"/>
        </w:rPr>
        <w:t>s available</w:t>
      </w:r>
      <w:r w:rsidR="00324374">
        <w:rPr>
          <w:bCs/>
          <w:lang w:val="en-GB" w:bidi="he-IL"/>
        </w:rPr>
        <w:t>;</w:t>
      </w:r>
      <w:r w:rsidR="005F148F">
        <w:rPr>
          <w:bCs/>
          <w:lang w:val="en-GB" w:bidi="he-IL"/>
        </w:rPr>
        <w:t xml:space="preserve"> </w:t>
      </w:r>
      <w:r w:rsidR="00324374">
        <w:rPr>
          <w:bCs/>
          <w:lang w:val="en-GB" w:bidi="he-IL"/>
        </w:rPr>
        <w:t>s</w:t>
      </w:r>
      <w:r w:rsidR="005F148F">
        <w:rPr>
          <w:bCs/>
          <w:lang w:val="en-GB" w:bidi="he-IL"/>
        </w:rPr>
        <w:t xml:space="preserve">uch </w:t>
      </w:r>
      <w:r w:rsidR="005F148F">
        <w:rPr>
          <w:rFonts w:hint="cs"/>
          <w:bCs/>
          <w:lang w:val="en-GB" w:bidi="he-IL"/>
        </w:rPr>
        <w:t>a form</w:t>
      </w:r>
      <w:r w:rsidR="00A309BF">
        <w:rPr>
          <w:bCs/>
          <w:lang w:val="en-GB"/>
        </w:rPr>
        <w:t xml:space="preserve"> </w:t>
      </w:r>
      <w:r w:rsidR="00324374">
        <w:rPr>
          <w:bCs/>
          <w:lang w:val="en-GB"/>
        </w:rPr>
        <w:t xml:space="preserve">could </w:t>
      </w:r>
      <w:r w:rsidR="00A309BF">
        <w:rPr>
          <w:bCs/>
          <w:lang w:val="en-GB"/>
        </w:rPr>
        <w:t xml:space="preserve">have eliminated </w:t>
      </w:r>
      <w:r w:rsidR="005F148F">
        <w:rPr>
          <w:bCs/>
          <w:lang w:val="en-GB" w:bidi="he-IL"/>
        </w:rPr>
        <w:t>any</w:t>
      </w:r>
      <w:r w:rsidR="005F148F">
        <w:rPr>
          <w:bCs/>
          <w:lang w:val="en-GB"/>
        </w:rPr>
        <w:t xml:space="preserve"> </w:t>
      </w:r>
      <w:r w:rsidR="005F148F">
        <w:rPr>
          <w:bCs/>
          <w:lang w:val="en-GB" w:bidi="he-IL"/>
        </w:rPr>
        <w:t xml:space="preserve">alleged </w:t>
      </w:r>
      <w:r w:rsidR="00A309BF">
        <w:rPr>
          <w:bCs/>
          <w:lang w:val="en-GB"/>
        </w:rPr>
        <w:t>credibility problems</w:t>
      </w:r>
      <w:r w:rsidR="005F148F">
        <w:rPr>
          <w:bCs/>
          <w:lang w:val="en-GB" w:bidi="he-IL"/>
        </w:rPr>
        <w:t>.</w:t>
      </w:r>
      <w:r w:rsidR="00A309BF">
        <w:rPr>
          <w:bCs/>
          <w:lang w:val="en-GB"/>
        </w:rPr>
        <w:t xml:space="preserve"> </w:t>
      </w:r>
    </w:p>
    <w:p w14:paraId="66BE5034" w14:textId="77777777" w:rsidR="00A309BF" w:rsidRDefault="00A309BF">
      <w:pPr>
        <w:pStyle w:val="SingleTxtG"/>
        <w:rPr>
          <w:bCs/>
          <w:lang w:val="en-GB"/>
        </w:rPr>
      </w:pPr>
      <w:r>
        <w:rPr>
          <w:bCs/>
          <w:lang w:val="en-GB"/>
        </w:rPr>
        <w:t>5.3</w:t>
      </w:r>
      <w:r>
        <w:rPr>
          <w:bCs/>
          <w:lang w:val="en-GB"/>
        </w:rPr>
        <w:tab/>
        <w:t xml:space="preserve">The authors also claim that the reason for R.G.’s dissociation from her son G in Pakistan was </w:t>
      </w:r>
      <w:r w:rsidR="005F148F">
        <w:rPr>
          <w:bCs/>
          <w:lang w:val="en-GB" w:bidi="he-IL"/>
        </w:rPr>
        <w:t>concern</w:t>
      </w:r>
      <w:r w:rsidR="005F148F">
        <w:rPr>
          <w:bCs/>
          <w:lang w:val="en-GB"/>
        </w:rPr>
        <w:t xml:space="preserve"> </w:t>
      </w:r>
      <w:r>
        <w:rPr>
          <w:bCs/>
          <w:lang w:val="en-GB"/>
        </w:rPr>
        <w:t xml:space="preserve">for her own and her children’s safety after G married a Muslim </w:t>
      </w:r>
      <w:r w:rsidR="002B0D53">
        <w:rPr>
          <w:bCs/>
          <w:lang w:val="en-GB"/>
        </w:rPr>
        <w:t>woman</w:t>
      </w:r>
      <w:r>
        <w:rPr>
          <w:bCs/>
          <w:lang w:val="en-GB"/>
        </w:rPr>
        <w:t>. Th</w:t>
      </w:r>
      <w:r w:rsidR="002B0D53">
        <w:rPr>
          <w:bCs/>
          <w:lang w:val="en-GB"/>
        </w:rPr>
        <w:t>at</w:t>
      </w:r>
      <w:r>
        <w:rPr>
          <w:bCs/>
          <w:lang w:val="en-GB"/>
        </w:rPr>
        <w:t xml:space="preserve"> was why the mother only knew of the shooting episode in G’s case</w:t>
      </w:r>
      <w:r w:rsidR="002B0D53">
        <w:rPr>
          <w:bCs/>
          <w:lang w:val="en-GB"/>
        </w:rPr>
        <w:t xml:space="preserve"> remotely</w:t>
      </w:r>
      <w:r>
        <w:rPr>
          <w:bCs/>
          <w:lang w:val="en-GB"/>
        </w:rPr>
        <w:t xml:space="preserve">. In fact, counsels of both families </w:t>
      </w:r>
      <w:r w:rsidR="002B0D53">
        <w:rPr>
          <w:bCs/>
          <w:lang w:val="en-GB"/>
        </w:rPr>
        <w:t xml:space="preserve">had </w:t>
      </w:r>
      <w:r w:rsidR="005F148F">
        <w:rPr>
          <w:bCs/>
          <w:lang w:val="en-GB" w:bidi="he-IL"/>
        </w:rPr>
        <w:t>facilitated</w:t>
      </w:r>
      <w:r>
        <w:rPr>
          <w:bCs/>
          <w:lang w:val="en-GB"/>
        </w:rPr>
        <w:t xml:space="preserve"> the reunification </w:t>
      </w:r>
      <w:r w:rsidR="005F148F">
        <w:rPr>
          <w:bCs/>
          <w:lang w:val="en-GB" w:bidi="he-IL"/>
        </w:rPr>
        <w:t xml:space="preserve">of the family </w:t>
      </w:r>
      <w:r>
        <w:rPr>
          <w:bCs/>
          <w:lang w:val="en-GB"/>
        </w:rPr>
        <w:t>after the Board hearing of 13 June 2013</w:t>
      </w:r>
      <w:r w:rsidR="0053596B">
        <w:rPr>
          <w:bCs/>
          <w:lang w:val="en-GB"/>
        </w:rPr>
        <w:t>,</w:t>
      </w:r>
      <w:r>
        <w:rPr>
          <w:bCs/>
          <w:lang w:val="en-GB"/>
        </w:rPr>
        <w:t xml:space="preserve"> which led to the authors’ </w:t>
      </w:r>
      <w:r w:rsidR="00324374">
        <w:rPr>
          <w:bCs/>
          <w:lang w:val="en-GB"/>
        </w:rPr>
        <w:t xml:space="preserve">acquiring </w:t>
      </w:r>
      <w:r>
        <w:rPr>
          <w:bCs/>
          <w:lang w:val="en-GB"/>
        </w:rPr>
        <w:t xml:space="preserve">more detailed knowledge of the </w:t>
      </w:r>
      <w:r w:rsidR="005F148F">
        <w:rPr>
          <w:bCs/>
          <w:lang w:val="en-GB" w:bidi="he-IL"/>
        </w:rPr>
        <w:t>attacks</w:t>
      </w:r>
      <w:r w:rsidR="005F148F">
        <w:rPr>
          <w:bCs/>
          <w:lang w:val="en-GB"/>
        </w:rPr>
        <w:t xml:space="preserve"> </w:t>
      </w:r>
      <w:r w:rsidR="002B0D53">
        <w:rPr>
          <w:bCs/>
          <w:lang w:val="en-GB"/>
        </w:rPr>
        <w:t>against</w:t>
      </w:r>
      <w:r>
        <w:rPr>
          <w:bCs/>
          <w:lang w:val="en-GB"/>
        </w:rPr>
        <w:t xml:space="preserve"> G and his wife. The authors’ counsel also claims that the general level of religious persecution in Pakistan has increased since the authors fled the country</w:t>
      </w:r>
      <w:r w:rsidR="002B0D53">
        <w:rPr>
          <w:bCs/>
          <w:lang w:val="en-GB"/>
        </w:rPr>
        <w:t xml:space="preserve"> and that</w:t>
      </w:r>
      <w:r>
        <w:rPr>
          <w:bCs/>
          <w:lang w:val="en-GB"/>
        </w:rPr>
        <w:t xml:space="preserve"> a great number of Christians have been abducted, raped and killed.</w:t>
      </w:r>
      <w:r>
        <w:rPr>
          <w:rStyle w:val="FootnoteReference"/>
          <w:bCs/>
          <w:lang w:val="en-GB"/>
        </w:rPr>
        <w:footnoteReference w:id="15"/>
      </w:r>
      <w:r>
        <w:rPr>
          <w:bCs/>
          <w:lang w:val="en-GB"/>
        </w:rPr>
        <w:t xml:space="preserve"> The authors also refer to the </w:t>
      </w:r>
      <w:r w:rsidR="00324374">
        <w:rPr>
          <w:bCs/>
          <w:lang w:val="en-GB"/>
        </w:rPr>
        <w:t xml:space="preserve">UNHCR </w:t>
      </w:r>
      <w:r>
        <w:rPr>
          <w:bCs/>
          <w:lang w:val="en-GB"/>
        </w:rPr>
        <w:t>Eligibility Guidelines for Assessing the International Protection Needs of Members of Religious Minorities from Pakistan</w:t>
      </w:r>
      <w:r w:rsidR="00324374">
        <w:rPr>
          <w:bCs/>
          <w:lang w:val="en-GB"/>
        </w:rPr>
        <w:t>,</w:t>
      </w:r>
      <w:r w:rsidR="002B0D53">
        <w:rPr>
          <w:bCs/>
          <w:lang w:val="en-GB"/>
        </w:rPr>
        <w:t xml:space="preserve"> </w:t>
      </w:r>
      <w:r w:rsidR="005F148F">
        <w:rPr>
          <w:bCs/>
          <w:lang w:val="en-GB" w:bidi="he-IL"/>
        </w:rPr>
        <w:t>which state</w:t>
      </w:r>
      <w:r>
        <w:rPr>
          <w:bCs/>
          <w:lang w:val="en-GB"/>
        </w:rPr>
        <w:t>: “The Christian minority in Pakistan is subject to recurrent discrimination and harassment, as well as acts of religiously motivated violence, at the hands of militant groups and fundamentalist elements. Criminal provisions, particularly the blasphemy laws</w:t>
      </w:r>
      <w:r w:rsidR="002B0D53">
        <w:rPr>
          <w:bCs/>
          <w:lang w:val="en-GB"/>
        </w:rPr>
        <w:t>,</w:t>
      </w:r>
      <w:r>
        <w:rPr>
          <w:bCs/>
          <w:lang w:val="en-GB"/>
        </w:rPr>
        <w:t xml:space="preserve"> are reportedly used by militant organizations and members of some Muslim communities to intimidate and harass Christians” </w:t>
      </w:r>
      <w:r w:rsidR="002B0D53">
        <w:rPr>
          <w:bCs/>
          <w:lang w:val="en-GB"/>
        </w:rPr>
        <w:t xml:space="preserve">(pp. 25-26). </w:t>
      </w:r>
      <w:r w:rsidR="001C2697">
        <w:rPr>
          <w:bCs/>
          <w:lang w:val="en-GB" w:bidi="he-IL"/>
        </w:rPr>
        <w:t>The</w:t>
      </w:r>
      <w:r w:rsidR="001C2697">
        <w:rPr>
          <w:bCs/>
          <w:lang w:val="en-GB"/>
        </w:rPr>
        <w:t xml:space="preserve"> </w:t>
      </w:r>
      <w:r>
        <w:rPr>
          <w:bCs/>
          <w:lang w:val="en-GB"/>
        </w:rPr>
        <w:t xml:space="preserve">rising level of religious persecution is </w:t>
      </w:r>
      <w:r w:rsidR="002B0D53">
        <w:rPr>
          <w:bCs/>
          <w:lang w:val="en-GB"/>
        </w:rPr>
        <w:t xml:space="preserve">due </w:t>
      </w:r>
      <w:r>
        <w:rPr>
          <w:bCs/>
          <w:lang w:val="en-GB"/>
        </w:rPr>
        <w:t xml:space="preserve">not only to the so-called blasphemy laws, but also lately to the fact that the terror group “Islamic State” </w:t>
      </w:r>
      <w:r w:rsidR="002B0D53">
        <w:rPr>
          <w:bCs/>
          <w:lang w:val="en-GB"/>
        </w:rPr>
        <w:t>has</w:t>
      </w:r>
      <w:r>
        <w:rPr>
          <w:bCs/>
          <w:lang w:val="en-GB"/>
        </w:rPr>
        <w:t xml:space="preserve"> spread </w:t>
      </w:r>
      <w:r w:rsidR="002B0D53">
        <w:rPr>
          <w:bCs/>
          <w:lang w:val="en-GB"/>
        </w:rPr>
        <w:t xml:space="preserve">its </w:t>
      </w:r>
      <w:r w:rsidR="001C2697">
        <w:rPr>
          <w:bCs/>
          <w:lang w:val="en-GB" w:bidi="he-IL"/>
        </w:rPr>
        <w:t>influence</w:t>
      </w:r>
      <w:r w:rsidR="001C2697">
        <w:rPr>
          <w:bCs/>
          <w:lang w:val="en-GB"/>
        </w:rPr>
        <w:t xml:space="preserve"> </w:t>
      </w:r>
      <w:r>
        <w:rPr>
          <w:bCs/>
          <w:lang w:val="en-GB"/>
        </w:rPr>
        <w:t xml:space="preserve">to Pakistan. </w:t>
      </w:r>
    </w:p>
    <w:p w14:paraId="2E17B64E" w14:textId="77777777" w:rsidR="00A309BF" w:rsidRDefault="00A309BF" w:rsidP="00A309BF">
      <w:pPr>
        <w:pStyle w:val="SingleTxtG"/>
        <w:rPr>
          <w:bCs/>
          <w:lang w:val="en-GB"/>
        </w:rPr>
      </w:pPr>
      <w:r>
        <w:rPr>
          <w:bCs/>
          <w:lang w:val="en-GB"/>
        </w:rPr>
        <w:t>5.4</w:t>
      </w:r>
      <w:r>
        <w:rPr>
          <w:bCs/>
          <w:lang w:val="en-GB"/>
        </w:rPr>
        <w:tab/>
        <w:t xml:space="preserve">The authors consider that they have </w:t>
      </w:r>
      <w:r w:rsidR="001C2697">
        <w:rPr>
          <w:bCs/>
          <w:lang w:val="en-GB" w:bidi="he-IL"/>
        </w:rPr>
        <w:t>established</w:t>
      </w:r>
      <w:r w:rsidR="001C2697">
        <w:rPr>
          <w:bCs/>
          <w:lang w:val="en-GB"/>
        </w:rPr>
        <w:t xml:space="preserve"> </w:t>
      </w:r>
      <w:r>
        <w:rPr>
          <w:bCs/>
          <w:lang w:val="en-GB"/>
        </w:rPr>
        <w:t xml:space="preserve">a </w:t>
      </w:r>
      <w:r w:rsidRPr="00F40A73">
        <w:rPr>
          <w:bCs/>
          <w:lang w:val="en-GB"/>
        </w:rPr>
        <w:t>prima facie</w:t>
      </w:r>
      <w:r>
        <w:rPr>
          <w:bCs/>
          <w:lang w:val="en-GB"/>
        </w:rPr>
        <w:t xml:space="preserve"> case for the purpose of admissibility of their communication under articles 6, 7 and 18 of the Covenant. They object to the observations of the State party that the Board is better placed to assess the facts of the authors’ cases, referring to the weakness of the Danish asylum system for the reasons stated above and </w:t>
      </w:r>
      <w:r w:rsidR="001C2697">
        <w:rPr>
          <w:bCs/>
          <w:lang w:val="en-GB" w:bidi="he-IL"/>
        </w:rPr>
        <w:t xml:space="preserve">alluding </w:t>
      </w:r>
      <w:r w:rsidR="002770B4">
        <w:rPr>
          <w:bCs/>
          <w:lang w:val="en-GB" w:bidi="he-IL"/>
        </w:rPr>
        <w:t xml:space="preserve">in </w:t>
      </w:r>
      <w:r w:rsidR="001C2697">
        <w:rPr>
          <w:bCs/>
          <w:lang w:val="en-GB" w:bidi="he-IL"/>
        </w:rPr>
        <w:t>particular to the way in which</w:t>
      </w:r>
      <w:r>
        <w:rPr>
          <w:bCs/>
          <w:lang w:val="en-GB"/>
        </w:rPr>
        <w:t xml:space="preserve"> these weaknesses may have undermined the assessment of the </w:t>
      </w:r>
      <w:r w:rsidR="002770B4">
        <w:rPr>
          <w:bCs/>
          <w:lang w:val="en-GB"/>
        </w:rPr>
        <w:t>authors’ credibility</w:t>
      </w:r>
      <w:r>
        <w:rPr>
          <w:bCs/>
          <w:lang w:val="en-GB"/>
        </w:rPr>
        <w:t xml:space="preserve">. Moreover, concerning credibility, counsel refers to the UNHCR </w:t>
      </w:r>
      <w:r w:rsidR="002770B4">
        <w:rPr>
          <w:bCs/>
          <w:lang w:val="en-GB"/>
        </w:rPr>
        <w:t xml:space="preserve">publication </w:t>
      </w:r>
      <w:r w:rsidRPr="00F40A73">
        <w:rPr>
          <w:bCs/>
          <w:i/>
          <w:lang w:val="en-GB"/>
        </w:rPr>
        <w:t>Beyond Proof</w:t>
      </w:r>
      <w:r w:rsidR="002770B4" w:rsidRPr="00F40A73">
        <w:rPr>
          <w:bCs/>
          <w:i/>
          <w:lang w:val="en-GB"/>
        </w:rPr>
        <w:t xml:space="preserve">: </w:t>
      </w:r>
      <w:r w:rsidRPr="00F40A73">
        <w:rPr>
          <w:bCs/>
          <w:i/>
          <w:lang w:val="en-GB"/>
        </w:rPr>
        <w:t>Credibility Assessment in EU Asylum System</w:t>
      </w:r>
      <w:r w:rsidR="004F372F">
        <w:rPr>
          <w:bCs/>
          <w:i/>
          <w:lang w:val="en-GB"/>
        </w:rPr>
        <w:t>s</w:t>
      </w:r>
      <w:r w:rsidR="002770B4">
        <w:rPr>
          <w:bCs/>
          <w:lang w:val="en-GB"/>
        </w:rPr>
        <w:t>,</w:t>
      </w:r>
      <w:r w:rsidRPr="00493CAF">
        <w:rPr>
          <w:bCs/>
          <w:lang w:val="en-GB"/>
        </w:rPr>
        <w:t xml:space="preserve"> which urges </w:t>
      </w:r>
      <w:r w:rsidR="002770B4">
        <w:rPr>
          <w:bCs/>
          <w:lang w:val="en-GB"/>
        </w:rPr>
        <w:t>the</w:t>
      </w:r>
      <w:r w:rsidR="002770B4" w:rsidRPr="00493CAF">
        <w:rPr>
          <w:bCs/>
          <w:lang w:val="en-GB"/>
        </w:rPr>
        <w:t xml:space="preserve"> </w:t>
      </w:r>
      <w:r w:rsidRPr="00493CAF">
        <w:rPr>
          <w:bCs/>
          <w:lang w:val="en-GB"/>
        </w:rPr>
        <w:t xml:space="preserve">use </w:t>
      </w:r>
      <w:r w:rsidR="002770B4">
        <w:rPr>
          <w:bCs/>
          <w:lang w:val="en-GB"/>
        </w:rPr>
        <w:t xml:space="preserve">of </w:t>
      </w:r>
      <w:r w:rsidRPr="00493CAF">
        <w:rPr>
          <w:bCs/>
          <w:lang w:val="en-GB"/>
        </w:rPr>
        <w:t xml:space="preserve">caution in credibility assessments because of geographical and cultural </w:t>
      </w:r>
      <w:r w:rsidR="002770B4">
        <w:rPr>
          <w:bCs/>
          <w:lang w:val="en-GB"/>
        </w:rPr>
        <w:t>differences</w:t>
      </w:r>
      <w:r>
        <w:rPr>
          <w:bCs/>
          <w:lang w:val="en-GB"/>
        </w:rPr>
        <w:t xml:space="preserve">. </w:t>
      </w:r>
      <w:r w:rsidR="002770B4">
        <w:rPr>
          <w:bCs/>
          <w:lang w:val="en-GB"/>
        </w:rPr>
        <w:t xml:space="preserve">With reference </w:t>
      </w:r>
      <w:r>
        <w:rPr>
          <w:bCs/>
          <w:lang w:val="en-GB"/>
        </w:rPr>
        <w:t xml:space="preserve">to the State party’s arguments </w:t>
      </w:r>
      <w:r w:rsidR="002770B4">
        <w:rPr>
          <w:bCs/>
          <w:lang w:val="en-GB"/>
        </w:rPr>
        <w:t xml:space="preserve">concerning </w:t>
      </w:r>
      <w:r w:rsidR="001C2697">
        <w:rPr>
          <w:bCs/>
          <w:lang w:val="en-GB" w:bidi="he-IL"/>
        </w:rPr>
        <w:t xml:space="preserve">the failure </w:t>
      </w:r>
      <w:r w:rsidR="002770B4">
        <w:rPr>
          <w:bCs/>
          <w:lang w:val="en-GB" w:bidi="he-IL"/>
        </w:rPr>
        <w:t xml:space="preserve">of the authors </w:t>
      </w:r>
      <w:r w:rsidR="001C2697">
        <w:rPr>
          <w:bCs/>
          <w:lang w:val="en-GB" w:bidi="he-IL"/>
        </w:rPr>
        <w:t xml:space="preserve">to report the </w:t>
      </w:r>
      <w:r w:rsidR="00880574">
        <w:rPr>
          <w:bCs/>
          <w:lang w:val="en-GB" w:bidi="he-IL"/>
        </w:rPr>
        <w:t xml:space="preserve">acts of </w:t>
      </w:r>
      <w:r>
        <w:rPr>
          <w:bCs/>
          <w:lang w:val="en-GB"/>
        </w:rPr>
        <w:t>harassment</w:t>
      </w:r>
      <w:r w:rsidR="001C2697">
        <w:rPr>
          <w:bCs/>
          <w:lang w:val="en-GB" w:bidi="he-IL"/>
        </w:rPr>
        <w:t xml:space="preserve"> </w:t>
      </w:r>
      <w:r w:rsidR="002770B4">
        <w:rPr>
          <w:bCs/>
          <w:lang w:val="en-GB" w:bidi="he-IL"/>
        </w:rPr>
        <w:t xml:space="preserve">at the school and in the streets </w:t>
      </w:r>
      <w:r w:rsidR="001C2697">
        <w:rPr>
          <w:bCs/>
          <w:lang w:val="en-GB" w:bidi="he-IL"/>
        </w:rPr>
        <w:t>to the authorities</w:t>
      </w:r>
      <w:r>
        <w:rPr>
          <w:bCs/>
          <w:lang w:val="en-GB"/>
        </w:rPr>
        <w:t xml:space="preserve">, the reason why the authors did not go to the police after the incidents was that </w:t>
      </w:r>
      <w:r w:rsidR="002770B4">
        <w:rPr>
          <w:bCs/>
          <w:lang w:val="en-GB"/>
        </w:rPr>
        <w:t xml:space="preserve">in </w:t>
      </w:r>
      <w:r>
        <w:rPr>
          <w:bCs/>
          <w:lang w:val="en-GB"/>
        </w:rPr>
        <w:t xml:space="preserve">their experience, </w:t>
      </w:r>
      <w:r w:rsidR="00880574">
        <w:rPr>
          <w:bCs/>
          <w:lang w:val="en-GB" w:bidi="he-IL"/>
        </w:rPr>
        <w:t>which is supported by</w:t>
      </w:r>
      <w:r w:rsidR="00880574">
        <w:rPr>
          <w:bCs/>
          <w:lang w:val="en-GB"/>
        </w:rPr>
        <w:t xml:space="preserve"> </w:t>
      </w:r>
      <w:r>
        <w:rPr>
          <w:bCs/>
          <w:lang w:val="en-GB"/>
        </w:rPr>
        <w:t xml:space="preserve">the general background </w:t>
      </w:r>
      <w:r>
        <w:rPr>
          <w:bCs/>
          <w:lang w:val="en-GB"/>
        </w:rPr>
        <w:lastRenderedPageBreak/>
        <w:t>material o</w:t>
      </w:r>
      <w:r w:rsidR="002770B4">
        <w:rPr>
          <w:bCs/>
          <w:lang w:val="en-GB"/>
        </w:rPr>
        <w:t xml:space="preserve">n the situation of </w:t>
      </w:r>
      <w:r>
        <w:rPr>
          <w:bCs/>
          <w:lang w:val="en-GB"/>
        </w:rPr>
        <w:t>human rights in Pakistan</w:t>
      </w:r>
      <w:r w:rsidR="00880574">
        <w:rPr>
          <w:bCs/>
          <w:lang w:val="en-GB" w:bidi="he-IL"/>
        </w:rPr>
        <w:t>,</w:t>
      </w:r>
      <w:r>
        <w:rPr>
          <w:bCs/>
          <w:lang w:val="en-GB"/>
        </w:rPr>
        <w:t xml:space="preserve"> when Christian</w:t>
      </w:r>
      <w:r w:rsidR="002770B4">
        <w:rPr>
          <w:bCs/>
          <w:lang w:val="en-GB"/>
        </w:rPr>
        <w:t>s</w:t>
      </w:r>
      <w:r>
        <w:rPr>
          <w:bCs/>
          <w:lang w:val="en-GB"/>
        </w:rPr>
        <w:t xml:space="preserve"> approach the police </w:t>
      </w:r>
      <w:r w:rsidR="002770B4">
        <w:rPr>
          <w:bCs/>
          <w:lang w:val="en-GB"/>
        </w:rPr>
        <w:t xml:space="preserve">to file </w:t>
      </w:r>
      <w:r>
        <w:rPr>
          <w:bCs/>
          <w:lang w:val="en-GB"/>
        </w:rPr>
        <w:t xml:space="preserve">complaints </w:t>
      </w:r>
      <w:r w:rsidR="002770B4">
        <w:rPr>
          <w:bCs/>
          <w:lang w:val="en-GB"/>
        </w:rPr>
        <w:t>about</w:t>
      </w:r>
      <w:r>
        <w:rPr>
          <w:bCs/>
          <w:lang w:val="en-GB"/>
        </w:rPr>
        <w:t xml:space="preserve"> religious persecution, </w:t>
      </w:r>
      <w:r w:rsidR="00880574">
        <w:rPr>
          <w:bCs/>
          <w:lang w:val="en-GB" w:bidi="he-IL"/>
        </w:rPr>
        <w:t xml:space="preserve">no assistance is provided, and the </w:t>
      </w:r>
      <w:r w:rsidR="00880574">
        <w:rPr>
          <w:rFonts w:hint="cs"/>
          <w:bCs/>
          <w:lang w:val="en-GB" w:bidi="he-IL"/>
        </w:rPr>
        <w:t xml:space="preserve">situation of </w:t>
      </w:r>
      <w:r w:rsidR="002770B4">
        <w:rPr>
          <w:bCs/>
          <w:lang w:val="en-GB" w:bidi="he-IL"/>
        </w:rPr>
        <w:t xml:space="preserve">the </w:t>
      </w:r>
      <w:r>
        <w:rPr>
          <w:bCs/>
          <w:lang w:val="en-GB"/>
        </w:rPr>
        <w:t>people reporting such harassment</w:t>
      </w:r>
      <w:r w:rsidR="00880574">
        <w:rPr>
          <w:bCs/>
          <w:lang w:val="en-GB" w:bidi="he-IL"/>
        </w:rPr>
        <w:t xml:space="preserve"> </w:t>
      </w:r>
      <w:r w:rsidR="002770B4">
        <w:rPr>
          <w:bCs/>
          <w:lang w:val="en-GB" w:bidi="he-IL"/>
        </w:rPr>
        <w:t xml:space="preserve">may even </w:t>
      </w:r>
      <w:r w:rsidR="00880574">
        <w:rPr>
          <w:bCs/>
          <w:lang w:val="en-GB" w:bidi="he-IL"/>
        </w:rPr>
        <w:t>worsen</w:t>
      </w:r>
      <w:r>
        <w:rPr>
          <w:bCs/>
          <w:lang w:val="en-GB"/>
        </w:rPr>
        <w:t xml:space="preserve">. </w:t>
      </w:r>
    </w:p>
    <w:p w14:paraId="5EB998E3" w14:textId="77777777" w:rsidR="00A309BF" w:rsidRDefault="00F942E0" w:rsidP="00A309BF">
      <w:pPr>
        <w:pStyle w:val="SingleTxtG"/>
        <w:rPr>
          <w:bCs/>
          <w:lang w:val="en-GB"/>
        </w:rPr>
      </w:pPr>
      <w:r>
        <w:rPr>
          <w:bCs/>
          <w:lang w:val="en-GB"/>
        </w:rPr>
        <w:t>5.5</w:t>
      </w:r>
      <w:r w:rsidR="00A309BF">
        <w:rPr>
          <w:bCs/>
          <w:lang w:val="en-GB"/>
        </w:rPr>
        <w:tab/>
        <w:t xml:space="preserve">In addition, the authors </w:t>
      </w:r>
      <w:r w:rsidR="00EF6629">
        <w:rPr>
          <w:bCs/>
          <w:lang w:val="en-GB" w:bidi="he-IL"/>
        </w:rPr>
        <w:t>claim that</w:t>
      </w:r>
      <w:r w:rsidR="00EF6629">
        <w:rPr>
          <w:bCs/>
          <w:lang w:val="en-GB"/>
        </w:rPr>
        <w:t xml:space="preserve"> </w:t>
      </w:r>
      <w:r w:rsidR="00A309BF">
        <w:rPr>
          <w:bCs/>
          <w:lang w:val="en-GB"/>
        </w:rPr>
        <w:t xml:space="preserve">the Board’s rejection of the information about the fire </w:t>
      </w:r>
      <w:r w:rsidR="00EF6629">
        <w:rPr>
          <w:bCs/>
          <w:lang w:val="en-GB" w:bidi="he-IL"/>
        </w:rPr>
        <w:t xml:space="preserve">rests </w:t>
      </w:r>
      <w:r w:rsidR="00A309BF">
        <w:rPr>
          <w:bCs/>
          <w:lang w:val="en-GB"/>
        </w:rPr>
        <w:t xml:space="preserve">on feeble grounds. Even though the same date of the fire </w:t>
      </w:r>
      <w:r w:rsidR="002770B4">
        <w:rPr>
          <w:bCs/>
          <w:lang w:val="en-GB"/>
        </w:rPr>
        <w:t>was</w:t>
      </w:r>
      <w:r w:rsidR="00A309BF">
        <w:rPr>
          <w:bCs/>
          <w:lang w:val="en-GB"/>
        </w:rPr>
        <w:t xml:space="preserve"> referred to throughout the proceedings, namely 27 May 2012, the State party </w:t>
      </w:r>
      <w:r w:rsidR="002770B4">
        <w:rPr>
          <w:bCs/>
          <w:lang w:val="en-GB"/>
        </w:rPr>
        <w:t xml:space="preserve">found </w:t>
      </w:r>
      <w:r w:rsidR="00A309BF">
        <w:rPr>
          <w:bCs/>
          <w:lang w:val="en-GB"/>
        </w:rPr>
        <w:t>it contradictory that one interview refer</w:t>
      </w:r>
      <w:r w:rsidR="002770B4">
        <w:rPr>
          <w:bCs/>
          <w:lang w:val="en-GB"/>
        </w:rPr>
        <w:t>red</w:t>
      </w:r>
      <w:r w:rsidR="00A309BF">
        <w:rPr>
          <w:bCs/>
          <w:lang w:val="en-GB"/>
        </w:rPr>
        <w:t xml:space="preserve"> to the “evening” while the Board’s decision mentions that it was “still light outside, and the time was about 4 p</w:t>
      </w:r>
      <w:r w:rsidR="002770B4">
        <w:rPr>
          <w:bCs/>
          <w:lang w:val="en-GB"/>
        </w:rPr>
        <w:t>.</w:t>
      </w:r>
      <w:r w:rsidR="00A309BF">
        <w:rPr>
          <w:bCs/>
          <w:lang w:val="en-GB"/>
        </w:rPr>
        <w:t>m</w:t>
      </w:r>
      <w:r w:rsidR="002770B4">
        <w:rPr>
          <w:bCs/>
          <w:lang w:val="en-GB"/>
        </w:rPr>
        <w:t>.</w:t>
      </w:r>
      <w:r w:rsidR="00A309BF">
        <w:rPr>
          <w:bCs/>
          <w:lang w:val="en-GB"/>
        </w:rPr>
        <w:t xml:space="preserve">” or “late in the day”. R.G. who made the last statement, is a relatively elderly lady </w:t>
      </w:r>
      <w:r w:rsidR="00EF6629">
        <w:rPr>
          <w:bCs/>
          <w:lang w:val="en-GB" w:bidi="he-IL"/>
        </w:rPr>
        <w:t xml:space="preserve">who suffers from </w:t>
      </w:r>
      <w:r w:rsidR="00A309BF">
        <w:rPr>
          <w:bCs/>
          <w:lang w:val="en-GB"/>
        </w:rPr>
        <w:t xml:space="preserve">psychological </w:t>
      </w:r>
      <w:r w:rsidR="00EF6629">
        <w:rPr>
          <w:bCs/>
          <w:lang w:val="en-GB" w:bidi="he-IL"/>
        </w:rPr>
        <w:t>trauma because of</w:t>
      </w:r>
      <w:r w:rsidR="00A309BF">
        <w:rPr>
          <w:bCs/>
          <w:lang w:val="en-GB"/>
        </w:rPr>
        <w:t xml:space="preserve"> her experiences. Moreover, evening in Pakistan is normally </w:t>
      </w:r>
      <w:r w:rsidR="002770B4">
        <w:rPr>
          <w:bCs/>
          <w:lang w:val="en-GB"/>
        </w:rPr>
        <w:t>considered</w:t>
      </w:r>
      <w:r w:rsidR="00EF6629">
        <w:rPr>
          <w:bCs/>
          <w:lang w:val="en-GB"/>
        </w:rPr>
        <w:t xml:space="preserve"> </w:t>
      </w:r>
      <w:r w:rsidR="002770B4">
        <w:rPr>
          <w:bCs/>
          <w:lang w:val="en-GB"/>
        </w:rPr>
        <w:t xml:space="preserve">to be </w:t>
      </w:r>
      <w:r w:rsidR="00A309BF">
        <w:rPr>
          <w:bCs/>
          <w:lang w:val="en-GB"/>
        </w:rPr>
        <w:t>between 5 and 9 p</w:t>
      </w:r>
      <w:r w:rsidR="002770B4">
        <w:rPr>
          <w:bCs/>
          <w:lang w:val="en-GB"/>
        </w:rPr>
        <w:t>.</w:t>
      </w:r>
      <w:r w:rsidR="00A309BF">
        <w:rPr>
          <w:bCs/>
          <w:lang w:val="en-GB"/>
        </w:rPr>
        <w:t>m.</w:t>
      </w:r>
      <w:r w:rsidR="002770B4">
        <w:rPr>
          <w:bCs/>
          <w:lang w:val="en-GB"/>
        </w:rPr>
        <w:t>,</w:t>
      </w:r>
      <w:r w:rsidR="00A309BF">
        <w:rPr>
          <w:bCs/>
          <w:lang w:val="en-GB"/>
        </w:rPr>
        <w:t xml:space="preserve"> </w:t>
      </w:r>
      <w:r w:rsidR="002770B4">
        <w:rPr>
          <w:bCs/>
          <w:lang w:val="en-GB"/>
        </w:rPr>
        <w:t>s</w:t>
      </w:r>
      <w:r w:rsidR="00A309BF">
        <w:rPr>
          <w:bCs/>
          <w:lang w:val="en-GB"/>
        </w:rPr>
        <w:t xml:space="preserve">o it can still be light outside when </w:t>
      </w:r>
      <w:r w:rsidR="002770B4">
        <w:rPr>
          <w:bCs/>
          <w:lang w:val="en-GB"/>
        </w:rPr>
        <w:t>“</w:t>
      </w:r>
      <w:r w:rsidR="00A309BF">
        <w:rPr>
          <w:bCs/>
          <w:lang w:val="en-GB"/>
        </w:rPr>
        <w:t>evening</w:t>
      </w:r>
      <w:r w:rsidR="002770B4">
        <w:rPr>
          <w:bCs/>
          <w:lang w:val="en-GB"/>
        </w:rPr>
        <w:t>”</w:t>
      </w:r>
      <w:r w:rsidR="00A309BF">
        <w:rPr>
          <w:bCs/>
          <w:lang w:val="en-GB"/>
        </w:rPr>
        <w:t xml:space="preserve"> begins, and </w:t>
      </w:r>
      <w:r w:rsidR="002770B4">
        <w:rPr>
          <w:bCs/>
          <w:lang w:val="en-GB"/>
        </w:rPr>
        <w:t>the</w:t>
      </w:r>
      <w:r w:rsidR="00A309BF">
        <w:rPr>
          <w:bCs/>
          <w:lang w:val="en-GB"/>
        </w:rPr>
        <w:t xml:space="preserve"> differen</w:t>
      </w:r>
      <w:r w:rsidR="00F41C68">
        <w:rPr>
          <w:bCs/>
          <w:lang w:val="en-GB"/>
        </w:rPr>
        <w:t>ce</w:t>
      </w:r>
      <w:r w:rsidR="00A309BF">
        <w:rPr>
          <w:bCs/>
          <w:lang w:val="en-GB"/>
        </w:rPr>
        <w:t xml:space="preserve"> between 4 and 5 </w:t>
      </w:r>
      <w:r w:rsidR="002770B4">
        <w:rPr>
          <w:bCs/>
          <w:lang w:val="en-GB"/>
        </w:rPr>
        <w:t xml:space="preserve">p.m. </w:t>
      </w:r>
      <w:r w:rsidR="00A309BF">
        <w:rPr>
          <w:bCs/>
          <w:lang w:val="en-GB"/>
        </w:rPr>
        <w:t xml:space="preserve">is not significant. The authors’ counsel submits that </w:t>
      </w:r>
      <w:r w:rsidR="002770B4">
        <w:rPr>
          <w:bCs/>
          <w:lang w:val="en-GB"/>
        </w:rPr>
        <w:t xml:space="preserve">R.G.’s </w:t>
      </w:r>
      <w:r w:rsidR="00A309BF">
        <w:rPr>
          <w:bCs/>
          <w:lang w:val="en-GB"/>
        </w:rPr>
        <w:t xml:space="preserve">explanations </w:t>
      </w:r>
      <w:r w:rsidR="002770B4">
        <w:rPr>
          <w:bCs/>
          <w:lang w:val="en-GB" w:bidi="he-IL"/>
        </w:rPr>
        <w:t>of</w:t>
      </w:r>
      <w:r w:rsidR="00A309BF">
        <w:rPr>
          <w:bCs/>
          <w:lang w:val="en-GB"/>
        </w:rPr>
        <w:t xml:space="preserve"> where </w:t>
      </w:r>
      <w:r w:rsidR="002770B4">
        <w:rPr>
          <w:bCs/>
          <w:lang w:val="en-GB" w:bidi="he-IL"/>
        </w:rPr>
        <w:t>she</w:t>
      </w:r>
      <w:r w:rsidR="00A309BF">
        <w:rPr>
          <w:bCs/>
          <w:lang w:val="en-GB"/>
        </w:rPr>
        <w:t xml:space="preserve"> was when she noticed the fire are not contradictory</w:t>
      </w:r>
      <w:r w:rsidR="00B719F1">
        <w:rPr>
          <w:bCs/>
          <w:lang w:val="en-GB"/>
        </w:rPr>
        <w:t>;</w:t>
      </w:r>
      <w:r w:rsidR="00A309BF">
        <w:rPr>
          <w:bCs/>
          <w:lang w:val="en-GB"/>
        </w:rPr>
        <w:t xml:space="preserve"> </w:t>
      </w:r>
      <w:r w:rsidR="00B719F1">
        <w:rPr>
          <w:bCs/>
          <w:lang w:val="en-GB"/>
        </w:rPr>
        <w:t>a</w:t>
      </w:r>
      <w:r w:rsidR="00A309BF">
        <w:rPr>
          <w:bCs/>
          <w:lang w:val="en-GB"/>
        </w:rPr>
        <w:t xml:space="preserve">ll </w:t>
      </w:r>
      <w:r w:rsidR="00B719F1">
        <w:rPr>
          <w:bCs/>
          <w:lang w:val="en-GB"/>
        </w:rPr>
        <w:t xml:space="preserve">the </w:t>
      </w:r>
      <w:r w:rsidR="00A309BF">
        <w:rPr>
          <w:bCs/>
          <w:lang w:val="en-GB"/>
        </w:rPr>
        <w:t xml:space="preserve">explanations correspond with the fact that she was with her family in their house. I.G. and one of his sisters were </w:t>
      </w:r>
      <w:r w:rsidR="00B719F1">
        <w:rPr>
          <w:bCs/>
          <w:lang w:val="en-GB"/>
        </w:rPr>
        <w:t>asleep</w:t>
      </w:r>
      <w:r w:rsidR="00A309BF">
        <w:rPr>
          <w:bCs/>
          <w:lang w:val="en-GB"/>
        </w:rPr>
        <w:t xml:space="preserve">, and the other son and daughter were awake. R.G. was the first to notice the fire, when she was in the kitchen. After that, R.G. got </w:t>
      </w:r>
      <w:r w:rsidR="00B719F1">
        <w:rPr>
          <w:bCs/>
          <w:lang w:val="en-GB" w:bidi="he-IL"/>
        </w:rPr>
        <w:t>the</w:t>
      </w:r>
      <w:r w:rsidR="00B719F1">
        <w:rPr>
          <w:bCs/>
          <w:lang w:val="en-GB"/>
        </w:rPr>
        <w:t xml:space="preserve"> </w:t>
      </w:r>
      <w:r w:rsidR="00A309BF">
        <w:rPr>
          <w:bCs/>
          <w:lang w:val="en-GB"/>
        </w:rPr>
        <w:t xml:space="preserve">son and daughter </w:t>
      </w:r>
      <w:r w:rsidR="00CF54CE">
        <w:rPr>
          <w:bCs/>
          <w:lang w:val="en-GB" w:bidi="he-IL"/>
        </w:rPr>
        <w:t xml:space="preserve">who were awake </w:t>
      </w:r>
      <w:r w:rsidR="00A309BF">
        <w:rPr>
          <w:bCs/>
          <w:lang w:val="en-GB"/>
        </w:rPr>
        <w:t>to help extinguish the fire and</w:t>
      </w:r>
      <w:r w:rsidR="00B719F1">
        <w:rPr>
          <w:bCs/>
          <w:lang w:val="en-GB"/>
        </w:rPr>
        <w:t xml:space="preserve">, </w:t>
      </w:r>
      <w:r w:rsidR="00A309BF">
        <w:rPr>
          <w:bCs/>
          <w:lang w:val="en-GB"/>
        </w:rPr>
        <w:t>in the meantime</w:t>
      </w:r>
      <w:r w:rsidR="00B719F1">
        <w:rPr>
          <w:bCs/>
          <w:lang w:val="en-GB"/>
        </w:rPr>
        <w:t>,</w:t>
      </w:r>
      <w:r w:rsidR="00A309BF">
        <w:rPr>
          <w:bCs/>
          <w:lang w:val="en-GB"/>
        </w:rPr>
        <w:t xml:space="preserve"> the other son and daughter </w:t>
      </w:r>
      <w:r w:rsidR="00B719F1">
        <w:rPr>
          <w:bCs/>
          <w:lang w:val="en-GB"/>
        </w:rPr>
        <w:t>had woken</w:t>
      </w:r>
      <w:r w:rsidR="00A309BF">
        <w:rPr>
          <w:bCs/>
          <w:lang w:val="en-GB"/>
        </w:rPr>
        <w:t xml:space="preserve"> up and helped to put out the fire. It appeared to R.G. that the fire </w:t>
      </w:r>
      <w:r w:rsidR="00B719F1">
        <w:rPr>
          <w:bCs/>
          <w:lang w:val="en-GB"/>
        </w:rPr>
        <w:t xml:space="preserve">had been </w:t>
      </w:r>
      <w:r w:rsidR="00A309BF">
        <w:rPr>
          <w:bCs/>
          <w:lang w:val="en-GB"/>
        </w:rPr>
        <w:t xml:space="preserve">started by something that was thrown in from the window, and it was an obvious assumption that this attack </w:t>
      </w:r>
      <w:r w:rsidR="00B719F1">
        <w:rPr>
          <w:bCs/>
          <w:lang w:val="en-GB"/>
        </w:rPr>
        <w:t>was carried out by</w:t>
      </w:r>
      <w:r w:rsidR="00A309BF">
        <w:rPr>
          <w:bCs/>
          <w:lang w:val="en-GB"/>
        </w:rPr>
        <w:t xml:space="preserve"> the same people who had harassed the family earlier the same Sunday, because the family had no other enemies.</w:t>
      </w:r>
      <w:r w:rsidR="00A57788">
        <w:rPr>
          <w:bCs/>
          <w:lang w:val="en-GB"/>
        </w:rPr>
        <w:t xml:space="preserve"> </w:t>
      </w:r>
    </w:p>
    <w:p w14:paraId="112B3268" w14:textId="77777777" w:rsidR="00A309BF" w:rsidRDefault="00A309BF" w:rsidP="00A309BF">
      <w:pPr>
        <w:pStyle w:val="SingleTxtG"/>
        <w:spacing w:after="240"/>
        <w:rPr>
          <w:bCs/>
          <w:lang w:val="en-GB"/>
        </w:rPr>
      </w:pPr>
      <w:r>
        <w:rPr>
          <w:bCs/>
          <w:lang w:val="en-GB"/>
        </w:rPr>
        <w:t>5.6</w:t>
      </w:r>
      <w:r>
        <w:rPr>
          <w:bCs/>
          <w:lang w:val="en-GB"/>
        </w:rPr>
        <w:tab/>
        <w:t>In conclusion, the authors maintain that the State party</w:t>
      </w:r>
      <w:r w:rsidR="00B719F1">
        <w:rPr>
          <w:bCs/>
          <w:lang w:val="en-GB"/>
        </w:rPr>
        <w:t>,</w:t>
      </w:r>
      <w:r>
        <w:rPr>
          <w:bCs/>
          <w:lang w:val="en-GB"/>
        </w:rPr>
        <w:t xml:space="preserve"> by upholding the </w:t>
      </w:r>
      <w:r w:rsidR="00CF54CE">
        <w:rPr>
          <w:bCs/>
          <w:lang w:val="en-GB" w:bidi="he-IL"/>
        </w:rPr>
        <w:t xml:space="preserve">decision to reject their </w:t>
      </w:r>
      <w:r>
        <w:rPr>
          <w:bCs/>
          <w:lang w:val="en-GB"/>
        </w:rPr>
        <w:t xml:space="preserve">asylum </w:t>
      </w:r>
      <w:r w:rsidR="00CF54CE">
        <w:rPr>
          <w:bCs/>
          <w:lang w:val="en-GB" w:bidi="he-IL"/>
        </w:rPr>
        <w:t>claim</w:t>
      </w:r>
      <w:r w:rsidR="00B719F1">
        <w:rPr>
          <w:bCs/>
          <w:lang w:val="en-GB" w:bidi="he-IL"/>
        </w:rPr>
        <w:t>,</w:t>
      </w:r>
      <w:r w:rsidR="00CF54CE">
        <w:rPr>
          <w:bCs/>
          <w:lang w:val="en-GB" w:bidi="he-IL"/>
        </w:rPr>
        <w:t xml:space="preserve"> placed</w:t>
      </w:r>
      <w:r>
        <w:rPr>
          <w:bCs/>
          <w:lang w:val="en-GB"/>
        </w:rPr>
        <w:t xml:space="preserve"> them </w:t>
      </w:r>
      <w:r w:rsidR="00B719F1">
        <w:rPr>
          <w:bCs/>
          <w:lang w:val="en-GB"/>
        </w:rPr>
        <w:t xml:space="preserve">at </w:t>
      </w:r>
      <w:r w:rsidR="00F41C68">
        <w:rPr>
          <w:bCs/>
          <w:lang w:val="en-GB"/>
        </w:rPr>
        <w:t xml:space="preserve">a </w:t>
      </w:r>
      <w:r>
        <w:rPr>
          <w:bCs/>
          <w:lang w:val="en-GB"/>
        </w:rPr>
        <w:t>great risk of being exposed to deprivation of life or to torture or other degrading treatment, and that their deportation to Pakistan would therefore amount to a breach of articles 6, 7 and 18 of the Covenant.</w:t>
      </w:r>
      <w:r w:rsidR="00A57788">
        <w:rPr>
          <w:bCs/>
          <w:lang w:val="en-GB"/>
        </w:rPr>
        <w:t xml:space="preserve"> </w:t>
      </w:r>
    </w:p>
    <w:p w14:paraId="41396F83" w14:textId="77777777" w:rsidR="00A309BF" w:rsidRPr="00DF5F1D" w:rsidRDefault="00F942E0" w:rsidP="00F942E0">
      <w:pPr>
        <w:pStyle w:val="H23G"/>
        <w:rPr>
          <w:bCs/>
        </w:rPr>
      </w:pPr>
      <w:r>
        <w:tab/>
      </w:r>
      <w:r>
        <w:tab/>
      </w:r>
      <w:r w:rsidR="00A309BF" w:rsidRPr="00D924AA">
        <w:t>State party’s additional observations</w:t>
      </w:r>
    </w:p>
    <w:p w14:paraId="5377C31D" w14:textId="77777777" w:rsidR="00A309BF" w:rsidRDefault="00A309BF" w:rsidP="00A309BF">
      <w:pPr>
        <w:pStyle w:val="Default"/>
        <w:tabs>
          <w:tab w:val="left" w:pos="1134"/>
          <w:tab w:val="left" w:pos="1701"/>
        </w:tabs>
        <w:spacing w:after="120"/>
        <w:ind w:left="1134" w:right="1134"/>
        <w:jc w:val="both"/>
        <w:rPr>
          <w:sz w:val="20"/>
          <w:szCs w:val="20"/>
        </w:rPr>
      </w:pPr>
      <w:r>
        <w:rPr>
          <w:sz w:val="20"/>
          <w:szCs w:val="20"/>
        </w:rPr>
        <w:t>6.</w:t>
      </w:r>
      <w:r>
        <w:rPr>
          <w:sz w:val="20"/>
          <w:szCs w:val="20"/>
        </w:rPr>
        <w:tab/>
        <w:t xml:space="preserve">On 7 July 2015, the State party submitted additional observations, in which it reiterated its main </w:t>
      </w:r>
      <w:r w:rsidR="00743494">
        <w:rPr>
          <w:sz w:val="20"/>
          <w:szCs w:val="20"/>
          <w:lang w:bidi="he-IL"/>
        </w:rPr>
        <w:t>claims</w:t>
      </w:r>
      <w:r w:rsidR="00743494">
        <w:rPr>
          <w:sz w:val="20"/>
          <w:szCs w:val="20"/>
        </w:rPr>
        <w:t xml:space="preserve"> </w:t>
      </w:r>
      <w:r>
        <w:rPr>
          <w:sz w:val="20"/>
          <w:szCs w:val="20"/>
        </w:rPr>
        <w:t xml:space="preserve">on the admissibility and merits of the communication of 5 September 2014, </w:t>
      </w:r>
      <w:r w:rsidR="00B719F1">
        <w:rPr>
          <w:sz w:val="20"/>
          <w:szCs w:val="20"/>
        </w:rPr>
        <w:t xml:space="preserve">reporting </w:t>
      </w:r>
      <w:r>
        <w:rPr>
          <w:sz w:val="20"/>
          <w:szCs w:val="20"/>
        </w:rPr>
        <w:t xml:space="preserve">that the authors’ submissions of 13 October 2014 and 13 November 2014 </w:t>
      </w:r>
      <w:r w:rsidR="00B719F1">
        <w:rPr>
          <w:sz w:val="20"/>
          <w:szCs w:val="20"/>
        </w:rPr>
        <w:t xml:space="preserve">did </w:t>
      </w:r>
      <w:r>
        <w:rPr>
          <w:sz w:val="20"/>
          <w:szCs w:val="20"/>
        </w:rPr>
        <w:t>not give rise to any further comments by the State party. Thus, the State party maintains, as stated in its observations of 5 September 2014</w:t>
      </w:r>
      <w:r w:rsidR="00B719F1">
        <w:rPr>
          <w:sz w:val="20"/>
          <w:szCs w:val="20"/>
        </w:rPr>
        <w:t>,</w:t>
      </w:r>
      <w:r>
        <w:rPr>
          <w:sz w:val="20"/>
          <w:szCs w:val="20"/>
        </w:rPr>
        <w:t xml:space="preserve">that the communication is not sufficiently substantiated and should be declared inadmissible. Should the Committee find the communication admissible, the State party further maintains that the return of the author to Pakistan </w:t>
      </w:r>
      <w:r w:rsidR="00B719F1">
        <w:rPr>
          <w:sz w:val="20"/>
          <w:szCs w:val="20"/>
        </w:rPr>
        <w:t xml:space="preserve">would </w:t>
      </w:r>
      <w:r>
        <w:rPr>
          <w:sz w:val="20"/>
          <w:szCs w:val="20"/>
        </w:rPr>
        <w:t>not constitute a violation of the provisions of the Covenant.</w:t>
      </w:r>
    </w:p>
    <w:p w14:paraId="34851729" w14:textId="77777777" w:rsidR="00F35149" w:rsidRPr="006C6C87" w:rsidRDefault="003134AC" w:rsidP="008F2C80">
      <w:pPr>
        <w:pStyle w:val="H23G"/>
        <w:ind w:left="0" w:firstLine="0"/>
      </w:pPr>
      <w:r w:rsidRPr="007B3302">
        <w:tab/>
      </w:r>
      <w:r w:rsidRPr="007B3302">
        <w:tab/>
      </w:r>
      <w:r w:rsidR="00F35149" w:rsidRPr="006C6C87">
        <w:t>Issues and proceedings before the Committee</w:t>
      </w:r>
    </w:p>
    <w:p w14:paraId="70D661C0" w14:textId="77777777" w:rsidR="003C44AD" w:rsidRDefault="00F35149" w:rsidP="00EA3D6D">
      <w:pPr>
        <w:pStyle w:val="H4G"/>
      </w:pPr>
      <w:r w:rsidRPr="006C6C87">
        <w:tab/>
      </w:r>
      <w:r w:rsidRPr="006C6C87">
        <w:tab/>
      </w:r>
      <w:r w:rsidR="003C44AD" w:rsidRPr="003C44AD">
        <w:t>Consideration of admissibility</w:t>
      </w:r>
    </w:p>
    <w:p w14:paraId="6B70E521" w14:textId="77777777" w:rsidR="00D61E65" w:rsidRPr="00EA3D6D" w:rsidRDefault="003C44AD" w:rsidP="00E00B8F">
      <w:pPr>
        <w:pStyle w:val="H4G"/>
        <w:spacing w:before="0"/>
        <w:jc w:val="both"/>
        <w:rPr>
          <w:i w:val="0"/>
        </w:rPr>
      </w:pPr>
      <w:r>
        <w:tab/>
      </w:r>
      <w:r>
        <w:tab/>
      </w:r>
      <w:r w:rsidR="00D61E65" w:rsidRPr="00EA3D6D">
        <w:rPr>
          <w:i w:val="0"/>
        </w:rPr>
        <w:t>7.1</w:t>
      </w:r>
      <w:r w:rsidR="00D61E65" w:rsidRPr="00EA3D6D">
        <w:rPr>
          <w:i w:val="0"/>
        </w:rPr>
        <w:tab/>
        <w:t>Before considering any claims contained in a communication, the Committee must</w:t>
      </w:r>
      <w:r w:rsidR="00B719F1">
        <w:rPr>
          <w:i w:val="0"/>
        </w:rPr>
        <w:t xml:space="preserve"> </w:t>
      </w:r>
      <w:r w:rsidR="00B719F1" w:rsidRPr="00EA3D6D">
        <w:rPr>
          <w:i w:val="0"/>
        </w:rPr>
        <w:t>decide</w:t>
      </w:r>
      <w:r w:rsidR="00D61E65" w:rsidRPr="00EA3D6D">
        <w:rPr>
          <w:i w:val="0"/>
        </w:rPr>
        <w:t>, in accordance with rule 93 of its rules of procedure, whether it is admissible under the Optional Protocol to the Covenant.</w:t>
      </w:r>
      <w:r w:rsidR="00B719F1">
        <w:rPr>
          <w:i w:val="0"/>
        </w:rPr>
        <w:t xml:space="preserve"> </w:t>
      </w:r>
    </w:p>
    <w:p w14:paraId="65130FDB" w14:textId="77777777" w:rsidR="00D61E65" w:rsidRPr="00D61E65" w:rsidRDefault="00D61E65" w:rsidP="00D61E65">
      <w:pPr>
        <w:spacing w:after="120"/>
        <w:ind w:left="1134" w:right="1134"/>
        <w:jc w:val="both"/>
      </w:pPr>
      <w:r w:rsidRPr="00D61E65">
        <w:rPr>
          <w:bCs/>
        </w:rPr>
        <w:t>7</w:t>
      </w:r>
      <w:r w:rsidRPr="00D61E65">
        <w:rPr>
          <w:bCs/>
          <w:lang w:val="x-none"/>
        </w:rPr>
        <w:t>.2</w:t>
      </w:r>
      <w:r w:rsidRPr="00D61E65">
        <w:rPr>
          <w:bCs/>
          <w:lang w:val="x-none"/>
        </w:rPr>
        <w:tab/>
      </w:r>
      <w:r w:rsidRPr="00D61E65">
        <w:rPr>
          <w:bCs/>
        </w:rPr>
        <w:t>The Committee has ascertained, as required under article 5</w:t>
      </w:r>
      <w:r w:rsidR="00B719F1">
        <w:rPr>
          <w:bCs/>
        </w:rPr>
        <w:t xml:space="preserve"> (</w:t>
      </w:r>
      <w:r w:rsidRPr="00D61E65">
        <w:rPr>
          <w:bCs/>
        </w:rPr>
        <w:t>2</w:t>
      </w:r>
      <w:r w:rsidR="00B719F1">
        <w:rPr>
          <w:bCs/>
        </w:rPr>
        <w:t>)</w:t>
      </w:r>
      <w:r w:rsidRPr="00D61E65">
        <w:rPr>
          <w:bCs/>
        </w:rPr>
        <w:t xml:space="preserve"> (a) of the Optional Protocol, that the same matter is not being examined under another procedure of international investigation or settlement. It also notes that the author</w:t>
      </w:r>
      <w:r w:rsidR="00743494">
        <w:rPr>
          <w:bCs/>
          <w:lang w:bidi="he-IL"/>
        </w:rPr>
        <w:t>s</w:t>
      </w:r>
      <w:r w:rsidRPr="00D61E65">
        <w:rPr>
          <w:bCs/>
        </w:rPr>
        <w:t xml:space="preserve"> ha</w:t>
      </w:r>
      <w:r w:rsidR="00743494">
        <w:rPr>
          <w:bCs/>
          <w:lang w:bidi="he-IL"/>
        </w:rPr>
        <w:t>ve</w:t>
      </w:r>
      <w:r w:rsidRPr="00D61E65">
        <w:rPr>
          <w:bCs/>
        </w:rPr>
        <w:t xml:space="preserve"> exhausted all available domestic remedies, as </w:t>
      </w:r>
      <w:r w:rsidRPr="00D61E65">
        <w:t>required by article 5</w:t>
      </w:r>
      <w:r w:rsidR="00B719F1">
        <w:t xml:space="preserve"> (</w:t>
      </w:r>
      <w:r w:rsidRPr="00D61E65">
        <w:t>2</w:t>
      </w:r>
      <w:r w:rsidR="00B719F1">
        <w:t>)</w:t>
      </w:r>
      <w:r w:rsidRPr="00D61E65">
        <w:t xml:space="preserve"> (b) of the Optional Protocol. </w:t>
      </w:r>
    </w:p>
    <w:p w14:paraId="275441EA" w14:textId="77777777" w:rsidR="004B72AF" w:rsidRDefault="00D61E65" w:rsidP="004B72AF">
      <w:pPr>
        <w:spacing w:after="120"/>
        <w:ind w:left="1134" w:right="1134"/>
        <w:jc w:val="both"/>
        <w:rPr>
          <w:lang w:val="x-none" w:bidi="he-IL"/>
        </w:rPr>
      </w:pPr>
      <w:r w:rsidRPr="00D61E65">
        <w:t>7.3</w:t>
      </w:r>
      <w:r w:rsidRPr="00D61E65">
        <w:tab/>
      </w:r>
      <w:r w:rsidR="00B33189">
        <w:t xml:space="preserve">The Committee notes </w:t>
      </w:r>
      <w:r w:rsidR="00B33189" w:rsidRPr="00D61E65">
        <w:t xml:space="preserve">the </w:t>
      </w:r>
      <w:r w:rsidR="00B33189">
        <w:t xml:space="preserve">authors’ </w:t>
      </w:r>
      <w:r w:rsidR="00B33189" w:rsidRPr="00D61E65">
        <w:t xml:space="preserve">allegations under articles 6 and 7 that, if returned to Pakistan, </w:t>
      </w:r>
      <w:r w:rsidR="00B33189">
        <w:t>their lives would be at risk</w:t>
      </w:r>
      <w:r w:rsidR="00B719F1">
        <w:t>, that</w:t>
      </w:r>
      <w:r w:rsidR="00B33189">
        <w:t xml:space="preserve"> they</w:t>
      </w:r>
      <w:r w:rsidR="00B33189" w:rsidRPr="00D61E65">
        <w:t xml:space="preserve"> would </w:t>
      </w:r>
      <w:r w:rsidR="00B33189">
        <w:t>also be at risk of</w:t>
      </w:r>
      <w:r w:rsidR="00B33189" w:rsidRPr="00D61E65">
        <w:t xml:space="preserve"> serious harm, </w:t>
      </w:r>
      <w:r w:rsidR="00B719F1">
        <w:t xml:space="preserve"> </w:t>
      </w:r>
      <w:r w:rsidR="00B33189" w:rsidRPr="00D61E65">
        <w:t xml:space="preserve">including rape </w:t>
      </w:r>
      <w:r w:rsidR="00B33189">
        <w:rPr>
          <w:lang w:bidi="he-IL"/>
        </w:rPr>
        <w:t>of</w:t>
      </w:r>
      <w:r w:rsidR="00B33189" w:rsidRPr="00D61E65">
        <w:t xml:space="preserve"> the minor girls</w:t>
      </w:r>
      <w:r w:rsidR="00B33189">
        <w:rPr>
          <w:lang w:bidi="he-IL"/>
        </w:rPr>
        <w:t xml:space="preserve">, and that they would be forced to hide their religious beliefs in </w:t>
      </w:r>
      <w:r w:rsidR="00B33189">
        <w:t xml:space="preserve">violation of article 18. </w:t>
      </w:r>
      <w:r w:rsidRPr="00D61E65">
        <w:t>The Committee notes</w:t>
      </w:r>
      <w:r w:rsidR="00B33189">
        <w:rPr>
          <w:lang w:bidi="he-IL"/>
        </w:rPr>
        <w:t>, however,</w:t>
      </w:r>
      <w:r w:rsidRPr="00D61E65">
        <w:t xml:space="preserve"> the State p</w:t>
      </w:r>
      <w:r w:rsidR="00EF7F82">
        <w:t xml:space="preserve">arty’s argument </w:t>
      </w:r>
      <w:r w:rsidR="00EF7F82">
        <w:lastRenderedPageBreak/>
        <w:t>that the author</w:t>
      </w:r>
      <w:r w:rsidRPr="00D61E65">
        <w:t>s</w:t>
      </w:r>
      <w:r w:rsidR="00632D09">
        <w:t>’</w:t>
      </w:r>
      <w:r w:rsidRPr="00D61E65">
        <w:t xml:space="preserve"> claims with respect to articles 6, 7 and 18 of the Covenant should be declared inadmissible</w:t>
      </w:r>
      <w:r w:rsidR="009351E9">
        <w:t xml:space="preserve"> because they</w:t>
      </w:r>
      <w:r w:rsidR="002A7B1C">
        <w:t xml:space="preserve"> </w:t>
      </w:r>
      <w:r w:rsidRPr="00D61E65">
        <w:t xml:space="preserve">have failed to establish a prima facie case for the purpose of admissibility of their communication because it has not been established that there are substantial grounds for believing that the authors will be in danger of being deprived of their lives, subjected to persecution or ill-treatment as a consequence of their religious beliefs and deprived of the right to exercise their religion in public </w:t>
      </w:r>
      <w:r w:rsidR="00FE650C">
        <w:t>if</w:t>
      </w:r>
      <w:r w:rsidR="00FE650C" w:rsidRPr="00D61E65">
        <w:t xml:space="preserve"> </w:t>
      </w:r>
      <w:r w:rsidRPr="00D61E65">
        <w:t xml:space="preserve">returned to Pakistan. The Committee furthermore notes the State party’s argument that the authors have tried to use the Committee as an appellate body to re-evaluate the facts and circumstances of the asylum claim that was adjudicated by national authorities. </w:t>
      </w:r>
    </w:p>
    <w:p w14:paraId="6671836D" w14:textId="77777777" w:rsidR="004B72AF" w:rsidRPr="00F41C68" w:rsidRDefault="00F942E0" w:rsidP="004B72AF">
      <w:pPr>
        <w:spacing w:after="120"/>
        <w:ind w:left="1134" w:right="1134"/>
        <w:jc w:val="both"/>
        <w:rPr>
          <w:lang w:val="x-none" w:bidi="he-IL"/>
        </w:rPr>
      </w:pPr>
      <w:r>
        <w:rPr>
          <w:rFonts w:hint="cs"/>
          <w:lang w:val="x-none" w:bidi="he-IL"/>
        </w:rPr>
        <w:t>7.4</w:t>
      </w:r>
      <w:r w:rsidRPr="00632D09">
        <w:rPr>
          <w:lang w:bidi="he-IL"/>
        </w:rPr>
        <w:tab/>
      </w:r>
      <w:r w:rsidR="004B72AF" w:rsidRPr="00481C19">
        <w:rPr>
          <w:bCs/>
          <w:lang w:val="x-none"/>
        </w:rPr>
        <w:t>The Committee recalls its general comment No. 31</w:t>
      </w:r>
      <w:r w:rsidR="00B719F1">
        <w:rPr>
          <w:bCs/>
          <w:lang w:val="en-US"/>
        </w:rPr>
        <w:t>(2004) on the nature of the general legal obligation imposed on States parties to the Covenant</w:t>
      </w:r>
      <w:r w:rsidR="004B72AF" w:rsidRPr="00481C19">
        <w:rPr>
          <w:bCs/>
          <w:lang w:val="x-none"/>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w:t>
      </w:r>
      <w:r w:rsidR="004B72AF" w:rsidRPr="00481C19">
        <w:rPr>
          <w:bCs/>
        </w:rPr>
        <w:t xml:space="preserve">s 6 and </w:t>
      </w:r>
      <w:r w:rsidR="004B72AF" w:rsidRPr="00481C19">
        <w:rPr>
          <w:bCs/>
          <w:lang w:val="x-none"/>
        </w:rPr>
        <w:t>7 of the Covenant.</w:t>
      </w:r>
      <w:r w:rsidR="004B72AF" w:rsidRPr="00481C19">
        <w:rPr>
          <w:bCs/>
          <w:vertAlign w:val="superscript"/>
          <w:lang w:val="x-none"/>
        </w:rPr>
        <w:footnoteReference w:id="16"/>
      </w:r>
      <w:r w:rsidR="004B72AF" w:rsidRPr="00481C19">
        <w:rPr>
          <w:bCs/>
          <w:lang w:val="x-none"/>
        </w:rPr>
        <w:t xml:space="preserve"> </w:t>
      </w:r>
      <w:r w:rsidR="004B72AF" w:rsidRPr="00481C19">
        <w:rPr>
          <w:lang w:val="x-none"/>
        </w:rPr>
        <w:t>The Committee has also indicated that the risk must be personal</w:t>
      </w:r>
      <w:r w:rsidR="004B72AF" w:rsidRPr="00481C19">
        <w:rPr>
          <w:sz w:val="18"/>
          <w:vertAlign w:val="superscript"/>
          <w:lang w:val="x-none"/>
        </w:rPr>
        <w:footnoteReference w:id="17"/>
      </w:r>
      <w:r w:rsidR="004B72AF" w:rsidRPr="00481C19">
        <w:rPr>
          <w:lang w:val="x-none"/>
        </w:rPr>
        <w:t xml:space="preserve"> and that there is a high threshold for providing substantial grounds to establish that a real risk of irreparable harm exists.</w:t>
      </w:r>
      <w:r w:rsidR="004B72AF" w:rsidRPr="00481C19">
        <w:rPr>
          <w:sz w:val="18"/>
          <w:vertAlign w:val="superscript"/>
          <w:lang w:val="x-none"/>
        </w:rPr>
        <w:footnoteReference w:id="18"/>
      </w:r>
      <w:r w:rsidR="004B72AF" w:rsidRPr="00481C19">
        <w:rPr>
          <w:lang w:val="x-none"/>
        </w:rPr>
        <w:t xml:space="preserve"> </w:t>
      </w:r>
      <w:r w:rsidR="004B72AF">
        <w:rPr>
          <w:lang w:val="x-none" w:bidi="he-IL"/>
        </w:rPr>
        <w:t>In making this assessment</w:t>
      </w:r>
      <w:r w:rsidR="004B72AF" w:rsidRPr="00481C19">
        <w:rPr>
          <w:lang w:val="x-none"/>
        </w:rPr>
        <w:t>, all relevant facts and circumstances must be considered, including the general human rights situation in the author</w:t>
      </w:r>
      <w:r w:rsidR="00A57788" w:rsidRPr="00F40A73">
        <w:rPr>
          <w:lang w:val="en-US"/>
        </w:rPr>
        <w:t>’</w:t>
      </w:r>
      <w:r w:rsidR="004B72AF" w:rsidRPr="00481C19">
        <w:rPr>
          <w:lang w:val="x-none"/>
        </w:rPr>
        <w:t>s country of origin.</w:t>
      </w:r>
      <w:r w:rsidR="004B72AF" w:rsidRPr="00481C19">
        <w:rPr>
          <w:sz w:val="18"/>
          <w:vertAlign w:val="superscript"/>
          <w:lang w:val="x-none"/>
        </w:rPr>
        <w:footnoteReference w:id="19"/>
      </w:r>
      <w:r w:rsidR="004B72AF" w:rsidRPr="00481C19">
        <w:rPr>
          <w:lang w:val="x-none"/>
        </w:rPr>
        <w:t xml:space="preserve"> The Committee </w:t>
      </w:r>
      <w:r w:rsidR="00B33189">
        <w:rPr>
          <w:lang w:bidi="he-IL"/>
        </w:rPr>
        <w:t>further</w:t>
      </w:r>
      <w:r w:rsidR="004B72AF" w:rsidRPr="00481C19">
        <w:t xml:space="preserve"> </w:t>
      </w:r>
      <w:r w:rsidR="004B72AF" w:rsidRPr="00481C19">
        <w:rPr>
          <w:lang w:val="x-none"/>
        </w:rPr>
        <w:t xml:space="preserve">recalls its jurisprudence that </w:t>
      </w:r>
      <w:r w:rsidR="006E13B7">
        <w:rPr>
          <w:lang w:val="x-none" w:bidi="he-IL"/>
        </w:rPr>
        <w:t>considerable</w:t>
      </w:r>
      <w:r w:rsidR="006E13B7" w:rsidRPr="00481C19">
        <w:rPr>
          <w:lang w:val="x-none"/>
        </w:rPr>
        <w:t xml:space="preserve"> </w:t>
      </w:r>
      <w:r w:rsidR="004B72AF" w:rsidRPr="00481C19">
        <w:rPr>
          <w:lang w:val="x-none"/>
        </w:rPr>
        <w:t>weight should be given to the assessment conducted by the State party, unless it is found that the evaluation was clearly arbitrary or amounted to a denial of justice</w:t>
      </w:r>
      <w:r w:rsidR="004B72AF" w:rsidRPr="00481C19">
        <w:t>,</w:t>
      </w:r>
      <w:r w:rsidR="004B72AF" w:rsidRPr="00481C19">
        <w:rPr>
          <w:vertAlign w:val="superscript"/>
          <w:lang w:val="x-none"/>
        </w:rPr>
        <w:footnoteReference w:id="20"/>
      </w:r>
      <w:r w:rsidR="004B72AF" w:rsidRPr="00481C19">
        <w:t xml:space="preserve"> and that </w:t>
      </w:r>
      <w:r w:rsidR="004B72AF" w:rsidRPr="00481C19">
        <w:rPr>
          <w:lang w:val="x-none"/>
        </w:rPr>
        <w:t xml:space="preserve">it is </w:t>
      </w:r>
      <w:r w:rsidR="004B72AF" w:rsidRPr="00481C19">
        <w:t xml:space="preserve">generally </w:t>
      </w:r>
      <w:r w:rsidR="004B72AF" w:rsidRPr="00481C19">
        <w:rPr>
          <w:lang w:val="x-none"/>
        </w:rPr>
        <w:t>for organs of States parties to the Covenant to review or evaluate facts and evidence in order to determine whether such a risk exists</w:t>
      </w:r>
      <w:r w:rsidR="004B72AF" w:rsidRPr="00481C19">
        <w:t>.</w:t>
      </w:r>
      <w:r w:rsidR="004B72AF" w:rsidRPr="00481C19">
        <w:rPr>
          <w:vertAlign w:val="superscript"/>
          <w:lang w:val="x-none"/>
        </w:rPr>
        <w:footnoteReference w:id="21"/>
      </w:r>
      <w:r w:rsidR="004B72AF" w:rsidRPr="00481C19">
        <w:t xml:space="preserve"> </w:t>
      </w:r>
    </w:p>
    <w:p w14:paraId="2BCBC923" w14:textId="77777777" w:rsidR="004B72AF" w:rsidRPr="00481C19" w:rsidRDefault="00AB5417" w:rsidP="004B72AF">
      <w:pPr>
        <w:spacing w:after="120"/>
        <w:ind w:left="1134" w:right="1134"/>
        <w:jc w:val="both"/>
      </w:pPr>
      <w:r>
        <w:rPr>
          <w:lang w:bidi="he-IL"/>
        </w:rPr>
        <w:t>7</w:t>
      </w:r>
      <w:r w:rsidR="004B72AF" w:rsidRPr="00481C19">
        <w:t>.5</w:t>
      </w:r>
      <w:r w:rsidR="004B72AF" w:rsidRPr="00481C19">
        <w:tab/>
        <w:t>The Committee notes the authors’ claims that</w:t>
      </w:r>
      <w:r w:rsidR="004B72AF">
        <w:t xml:space="preserve"> they</w:t>
      </w:r>
      <w:r w:rsidR="004B72AF" w:rsidRPr="00481C19">
        <w:t xml:space="preserve"> </w:t>
      </w:r>
      <w:r w:rsidR="00DB11EA">
        <w:t>were</w:t>
      </w:r>
      <w:r w:rsidR="004B72AF" w:rsidRPr="00481C19">
        <w:t xml:space="preserve"> subject</w:t>
      </w:r>
      <w:r w:rsidR="00DB11EA">
        <w:t>ed</w:t>
      </w:r>
      <w:r w:rsidR="004B72AF">
        <w:t xml:space="preserve"> </w:t>
      </w:r>
      <w:r w:rsidR="00DB11EA">
        <w:t>to</w:t>
      </w:r>
      <w:r w:rsidR="00DB11EA" w:rsidRPr="00481C19">
        <w:t xml:space="preserve"> </w:t>
      </w:r>
      <w:r w:rsidR="004B72AF" w:rsidRPr="00481C19">
        <w:t xml:space="preserve">harassment in Pakistan </w:t>
      </w:r>
      <w:r w:rsidR="00DB11EA">
        <w:t>because of</w:t>
      </w:r>
      <w:r w:rsidR="004B72AF" w:rsidRPr="00481C19">
        <w:t xml:space="preserve"> their Christian background</w:t>
      </w:r>
      <w:r w:rsidR="004B72AF">
        <w:t>. In this connection, the Committee notes that the authors</w:t>
      </w:r>
      <w:r w:rsidR="004B72AF" w:rsidRPr="00D61E65">
        <w:t xml:space="preserve"> point to the attack </w:t>
      </w:r>
      <w:r w:rsidR="004B72AF">
        <w:t>suffered by</w:t>
      </w:r>
      <w:r w:rsidR="004B72AF" w:rsidRPr="00D61E65">
        <w:t xml:space="preserve"> I.G. on 25 May 2012 </w:t>
      </w:r>
      <w:r w:rsidR="004B72AF">
        <w:t xml:space="preserve">and to the </w:t>
      </w:r>
      <w:r w:rsidR="004B72AF" w:rsidRPr="00D61E65">
        <w:t>attack</w:t>
      </w:r>
      <w:r w:rsidR="004B72AF">
        <w:t xml:space="preserve"> </w:t>
      </w:r>
      <w:r w:rsidR="00903ADD">
        <w:t xml:space="preserve">against </w:t>
      </w:r>
      <w:r w:rsidR="004B72AF">
        <w:t>the whole family</w:t>
      </w:r>
      <w:r w:rsidR="004B72AF" w:rsidRPr="00D61E65">
        <w:t xml:space="preserve"> </w:t>
      </w:r>
      <w:r w:rsidR="004B72AF">
        <w:t xml:space="preserve">by </w:t>
      </w:r>
      <w:r w:rsidR="004B72AF" w:rsidRPr="00D61E65">
        <w:t>four young men on their way home from church on Sunday</w:t>
      </w:r>
      <w:r w:rsidR="00903ADD">
        <w:t>,</w:t>
      </w:r>
      <w:r w:rsidR="004B72AF" w:rsidRPr="00D61E65">
        <w:t xml:space="preserve"> 27 May 2012</w:t>
      </w:r>
      <w:r w:rsidR="004B72AF">
        <w:t>. The authors also refer to the</w:t>
      </w:r>
      <w:r w:rsidR="004B72AF" w:rsidRPr="00D61E65">
        <w:t xml:space="preserve"> alleged arson attack on </w:t>
      </w:r>
      <w:r w:rsidR="004B72AF">
        <w:t>their</w:t>
      </w:r>
      <w:r w:rsidR="004B72AF" w:rsidRPr="00D61E65">
        <w:t xml:space="preserve"> home on 27 May 2012 and </w:t>
      </w:r>
      <w:r w:rsidR="004B72AF">
        <w:rPr>
          <w:lang w:bidi="he-IL"/>
        </w:rPr>
        <w:t xml:space="preserve">to </w:t>
      </w:r>
      <w:r w:rsidR="004B72AF" w:rsidRPr="00D61E65">
        <w:t xml:space="preserve">the </w:t>
      </w:r>
      <w:r w:rsidR="00903ADD">
        <w:t xml:space="preserve">attempted </w:t>
      </w:r>
      <w:r w:rsidR="004B72AF" w:rsidRPr="00D61E65">
        <w:t xml:space="preserve">shooting </w:t>
      </w:r>
      <w:r w:rsidR="00903ADD">
        <w:t>of</w:t>
      </w:r>
      <w:r w:rsidR="00903ADD" w:rsidRPr="00D61E65">
        <w:t xml:space="preserve"> </w:t>
      </w:r>
      <w:r w:rsidR="004B72AF" w:rsidRPr="00D61E65">
        <w:t xml:space="preserve">G in May and November 2011. </w:t>
      </w:r>
      <w:r w:rsidR="004B72AF" w:rsidRPr="00481C19">
        <w:t xml:space="preserve">The Committee </w:t>
      </w:r>
      <w:r w:rsidR="004B72AF">
        <w:rPr>
          <w:lang w:bidi="he-IL"/>
        </w:rPr>
        <w:t xml:space="preserve">further </w:t>
      </w:r>
      <w:r w:rsidR="004B72AF" w:rsidRPr="00481C19">
        <w:t xml:space="preserve">notes the authors’ fear that they will be </w:t>
      </w:r>
      <w:r w:rsidR="00903ADD">
        <w:t>at</w:t>
      </w:r>
      <w:r w:rsidR="00903ADD" w:rsidRPr="00481C19">
        <w:t xml:space="preserve"> </w:t>
      </w:r>
      <w:r w:rsidR="004B72AF" w:rsidRPr="00481C19">
        <w:t xml:space="preserve">a high risk of being exposed to threats to life and serious harm, including rape </w:t>
      </w:r>
      <w:r w:rsidR="00903ADD">
        <w:t>of</w:t>
      </w:r>
      <w:r w:rsidR="00903ADD" w:rsidRPr="00481C19">
        <w:t xml:space="preserve"> </w:t>
      </w:r>
      <w:r w:rsidR="004B72AF" w:rsidRPr="00481C19">
        <w:t xml:space="preserve">the minor girls; persecution or ill-treatment by the authorities or private individuals as a consequence of their religious beliefs; and hindrance in </w:t>
      </w:r>
      <w:r w:rsidR="00FE650C">
        <w:t xml:space="preserve">the </w:t>
      </w:r>
      <w:r w:rsidR="004B72AF" w:rsidRPr="00481C19">
        <w:t>free exercis</w:t>
      </w:r>
      <w:r w:rsidR="00FE650C">
        <w:t>e of</w:t>
      </w:r>
      <w:r w:rsidR="004B72AF" w:rsidRPr="00481C19">
        <w:t xml:space="preserve"> their religion</w:t>
      </w:r>
      <w:r w:rsidR="00903ADD">
        <w:t>,</w:t>
      </w:r>
      <w:r w:rsidR="004B72AF" w:rsidRPr="00481C19">
        <w:t xml:space="preserve"> as they will be forced to hide</w:t>
      </w:r>
      <w:r w:rsidR="00903ADD">
        <w:t>,</w:t>
      </w:r>
      <w:r w:rsidR="004B72AF" w:rsidRPr="00481C19">
        <w:t xml:space="preserve"> contrary to articles 6, 7 and 18 of the Covenant, if they were to be forcibly returned to Pakistan. </w:t>
      </w:r>
      <w:r w:rsidR="000511DC">
        <w:rPr>
          <w:lang w:bidi="he-IL"/>
        </w:rPr>
        <w:t>T</w:t>
      </w:r>
      <w:r w:rsidR="000511DC">
        <w:t>he Committee notes</w:t>
      </w:r>
      <w:r w:rsidR="000511DC">
        <w:rPr>
          <w:lang w:bidi="he-IL"/>
        </w:rPr>
        <w:t xml:space="preserve">, however, </w:t>
      </w:r>
      <w:r w:rsidR="000511DC">
        <w:t>the</w:t>
      </w:r>
      <w:r w:rsidR="00B33189">
        <w:rPr>
          <w:lang w:bidi="he-IL"/>
        </w:rPr>
        <w:t xml:space="preserve"> B</w:t>
      </w:r>
      <w:r w:rsidR="000511DC" w:rsidRPr="005F604A">
        <w:t>oard</w:t>
      </w:r>
      <w:r w:rsidR="000511DC">
        <w:t>’s finding</w:t>
      </w:r>
      <w:r w:rsidR="000511DC">
        <w:rPr>
          <w:lang w:bidi="he-IL"/>
        </w:rPr>
        <w:t>s</w:t>
      </w:r>
      <w:r w:rsidR="000511DC">
        <w:t xml:space="preserve"> that </w:t>
      </w:r>
      <w:r w:rsidR="000511DC" w:rsidRPr="005F604A">
        <w:t xml:space="preserve">R.G.’s </w:t>
      </w:r>
      <w:r w:rsidR="00B33189">
        <w:rPr>
          <w:lang w:bidi="he-IL"/>
        </w:rPr>
        <w:t xml:space="preserve">statement </w:t>
      </w:r>
      <w:r w:rsidR="000511DC" w:rsidRPr="005F604A">
        <w:t xml:space="preserve">on the circumstances concerning the fire, which is a crucial part of the authors’ grounds for seeking asylum, appear to be so incoherent, inaccurate and on certain points inconsistent that the details could not be </w:t>
      </w:r>
      <w:r w:rsidR="00903ADD">
        <w:t>established</w:t>
      </w:r>
      <w:r w:rsidR="00903ADD" w:rsidRPr="005F604A">
        <w:t xml:space="preserve"> </w:t>
      </w:r>
      <w:r w:rsidR="000511DC" w:rsidRPr="005F604A">
        <w:t>as facts</w:t>
      </w:r>
      <w:r w:rsidR="00903ADD">
        <w:rPr>
          <w:lang w:bidi="he-IL"/>
        </w:rPr>
        <w:t>;</w:t>
      </w:r>
      <w:r w:rsidR="000511DC">
        <w:rPr>
          <w:lang w:bidi="he-IL"/>
        </w:rPr>
        <w:t xml:space="preserve"> </w:t>
      </w:r>
      <w:r w:rsidR="000511DC" w:rsidRPr="005F604A">
        <w:t xml:space="preserve">that the authors did not refer to </w:t>
      </w:r>
      <w:r w:rsidR="000511DC">
        <w:rPr>
          <w:lang w:bidi="he-IL"/>
        </w:rPr>
        <w:t>G</w:t>
      </w:r>
      <w:r w:rsidR="000511DC">
        <w:rPr>
          <w:rFonts w:hint="cs"/>
          <w:lang w:bidi="he-IL"/>
        </w:rPr>
        <w:t xml:space="preserve"> and his wife</w:t>
      </w:r>
      <w:r w:rsidR="000511DC">
        <w:rPr>
          <w:lang w:bidi="he-IL"/>
        </w:rPr>
        <w:t>’</w:t>
      </w:r>
      <w:r w:rsidR="000511DC">
        <w:rPr>
          <w:rFonts w:hint="cs"/>
          <w:lang w:bidi="he-IL"/>
        </w:rPr>
        <w:t>s</w:t>
      </w:r>
      <w:r w:rsidR="000511DC" w:rsidRPr="005F604A">
        <w:t xml:space="preserve"> conflict </w:t>
      </w:r>
      <w:r w:rsidR="000511DC">
        <w:rPr>
          <w:lang w:bidi="he-IL"/>
        </w:rPr>
        <w:t xml:space="preserve">with her family </w:t>
      </w:r>
      <w:r w:rsidR="000511DC" w:rsidRPr="005F604A">
        <w:t xml:space="preserve">until after the </w:t>
      </w:r>
      <w:r w:rsidR="00903ADD">
        <w:rPr>
          <w:lang w:bidi="he-IL"/>
        </w:rPr>
        <w:t xml:space="preserve">couple </w:t>
      </w:r>
      <w:r w:rsidR="000511DC" w:rsidRPr="005F604A">
        <w:t>had been granted residence under section 7 (1) of the Aliens Act</w:t>
      </w:r>
      <w:r w:rsidR="00903ADD">
        <w:rPr>
          <w:lang w:bidi="he-IL"/>
        </w:rPr>
        <w:t>;</w:t>
      </w:r>
      <w:r w:rsidR="00483FA5">
        <w:rPr>
          <w:lang w:bidi="he-IL"/>
        </w:rPr>
        <w:t xml:space="preserve"> and that they did not establish that they </w:t>
      </w:r>
      <w:r w:rsidR="00483FA5" w:rsidRPr="005F604A">
        <w:t xml:space="preserve">would be exposed to a risk of abuse by the </w:t>
      </w:r>
      <w:r w:rsidR="00903ADD">
        <w:t xml:space="preserve">wife’s </w:t>
      </w:r>
      <w:r w:rsidR="00483FA5" w:rsidRPr="005F604A">
        <w:t xml:space="preserve">family as a consequence of </w:t>
      </w:r>
      <w:r w:rsidR="00903ADD">
        <w:t>G’s</w:t>
      </w:r>
      <w:r w:rsidR="00903ADD" w:rsidRPr="005F604A">
        <w:t xml:space="preserve"> </w:t>
      </w:r>
      <w:r w:rsidR="00483FA5" w:rsidRPr="005F604A">
        <w:t>marriage.</w:t>
      </w:r>
      <w:r w:rsidR="00B33189">
        <w:rPr>
          <w:lang w:bidi="he-IL"/>
        </w:rPr>
        <w:t xml:space="preserve"> </w:t>
      </w:r>
      <w:r w:rsidR="004B72AF" w:rsidRPr="00481C19">
        <w:t xml:space="preserve">The Committee </w:t>
      </w:r>
      <w:r w:rsidR="00483FA5">
        <w:rPr>
          <w:lang w:bidi="he-IL"/>
        </w:rPr>
        <w:t xml:space="preserve">also </w:t>
      </w:r>
      <w:r w:rsidR="004B72AF" w:rsidRPr="00481C19">
        <w:t xml:space="preserve">notes the State party’s argument that the authors allege fear </w:t>
      </w:r>
      <w:r w:rsidR="00FE650C">
        <w:t>of</w:t>
      </w:r>
      <w:r w:rsidR="00903ADD">
        <w:t xml:space="preserve"> suffering </w:t>
      </w:r>
      <w:r w:rsidR="00FE650C">
        <w:t xml:space="preserve">harm </w:t>
      </w:r>
      <w:r w:rsidR="004B72AF" w:rsidRPr="00481C19">
        <w:t xml:space="preserve">at the hands of private individuals, </w:t>
      </w:r>
      <w:r w:rsidR="004B72AF" w:rsidRPr="00481C19">
        <w:lastRenderedPageBreak/>
        <w:t>without the involvement of the State or its agents</w:t>
      </w:r>
      <w:r w:rsidR="004B72AF">
        <w:rPr>
          <w:lang w:bidi="he-IL"/>
        </w:rPr>
        <w:t xml:space="preserve">, and that it was not established </w:t>
      </w:r>
      <w:r w:rsidR="004B72AF" w:rsidRPr="00481C19">
        <w:t xml:space="preserve">that </w:t>
      </w:r>
      <w:r w:rsidR="004B72AF">
        <w:rPr>
          <w:lang w:bidi="he-IL"/>
        </w:rPr>
        <w:t xml:space="preserve">the </w:t>
      </w:r>
      <w:r w:rsidR="004B72AF" w:rsidRPr="00481C19">
        <w:t xml:space="preserve">Pakistani authorities would be unwilling or unable to protect </w:t>
      </w:r>
      <w:r w:rsidR="004B72AF">
        <w:t xml:space="preserve">the authors </w:t>
      </w:r>
      <w:r w:rsidR="004B72AF" w:rsidRPr="00481C19">
        <w:t xml:space="preserve">from such risks, taking into account that the authors did not file a complaint </w:t>
      </w:r>
      <w:r w:rsidR="00903ADD">
        <w:t>with</w:t>
      </w:r>
      <w:r w:rsidR="00903ADD" w:rsidRPr="00481C19">
        <w:t xml:space="preserve"> </w:t>
      </w:r>
      <w:r w:rsidR="004B72AF" w:rsidRPr="00481C19">
        <w:t>the police in Pakistan</w:t>
      </w:r>
      <w:r w:rsidR="004B72AF">
        <w:rPr>
          <w:lang w:bidi="he-IL"/>
        </w:rPr>
        <w:t xml:space="preserve"> after the attacks</w:t>
      </w:r>
      <w:r w:rsidR="004B72AF" w:rsidRPr="00481C19">
        <w:t xml:space="preserve">. The Committee also notes that </w:t>
      </w:r>
      <w:r w:rsidR="004B72AF">
        <w:rPr>
          <w:lang w:bidi="he-IL"/>
        </w:rPr>
        <w:t>it is uncontested that</w:t>
      </w:r>
      <w:r w:rsidR="004B72AF" w:rsidRPr="00481C19">
        <w:t xml:space="preserve"> the authors were not harassed because of their religious beliefs</w:t>
      </w:r>
      <w:r w:rsidR="004B72AF" w:rsidRPr="00D248B9">
        <w:t xml:space="preserve"> prior to </w:t>
      </w:r>
      <w:r w:rsidR="004B72AF">
        <w:rPr>
          <w:lang w:bidi="he-IL"/>
        </w:rPr>
        <w:t>the</w:t>
      </w:r>
      <w:r w:rsidR="004B72AF" w:rsidRPr="00D248B9">
        <w:t xml:space="preserve"> events</w:t>
      </w:r>
      <w:r w:rsidR="004B72AF">
        <w:rPr>
          <w:lang w:bidi="he-IL"/>
        </w:rPr>
        <w:t xml:space="preserve"> </w:t>
      </w:r>
      <w:r w:rsidR="00903ADD">
        <w:rPr>
          <w:lang w:bidi="he-IL"/>
        </w:rPr>
        <w:t xml:space="preserve">of </w:t>
      </w:r>
      <w:r w:rsidR="004B72AF">
        <w:rPr>
          <w:lang w:bidi="he-IL"/>
        </w:rPr>
        <w:t>May 2012</w:t>
      </w:r>
      <w:r w:rsidR="004B72AF" w:rsidRPr="00481C19">
        <w:t xml:space="preserve">, but </w:t>
      </w:r>
      <w:r w:rsidR="006E13B7">
        <w:rPr>
          <w:lang w:bidi="he-IL"/>
        </w:rPr>
        <w:t xml:space="preserve">that they </w:t>
      </w:r>
      <w:r w:rsidR="004B72AF" w:rsidRPr="00481C19">
        <w:t xml:space="preserve">argue that </w:t>
      </w:r>
      <w:r w:rsidR="004B72AF">
        <w:rPr>
          <w:lang w:bidi="he-IL"/>
        </w:rPr>
        <w:t>the</w:t>
      </w:r>
      <w:r w:rsidR="004B72AF" w:rsidRPr="00481C19">
        <w:t xml:space="preserve"> risk </w:t>
      </w:r>
      <w:r w:rsidR="004B72AF">
        <w:rPr>
          <w:lang w:bidi="he-IL"/>
        </w:rPr>
        <w:t xml:space="preserve">of harassment </w:t>
      </w:r>
      <w:r w:rsidR="004B72AF" w:rsidRPr="00481C19">
        <w:t xml:space="preserve">if </w:t>
      </w:r>
      <w:r w:rsidR="00903ADD">
        <w:t xml:space="preserve">they are </w:t>
      </w:r>
      <w:r w:rsidR="004B72AF" w:rsidRPr="00481C19">
        <w:t xml:space="preserve">deported is </w:t>
      </w:r>
      <w:r w:rsidR="00903ADD">
        <w:t>greater</w:t>
      </w:r>
      <w:r w:rsidR="00903ADD" w:rsidRPr="00481C19">
        <w:t xml:space="preserve"> </w:t>
      </w:r>
      <w:r w:rsidR="004B72AF">
        <w:rPr>
          <w:lang w:bidi="he-IL"/>
        </w:rPr>
        <w:t>due to</w:t>
      </w:r>
      <w:r w:rsidR="004B72AF" w:rsidRPr="00481C19">
        <w:t xml:space="preserve"> the generally deteriorating situation in Pakistan for Christians </w:t>
      </w:r>
      <w:r w:rsidR="004B72AF">
        <w:rPr>
          <w:lang w:bidi="he-IL"/>
        </w:rPr>
        <w:t>and</w:t>
      </w:r>
      <w:r w:rsidR="004B72AF" w:rsidRPr="00481C19">
        <w:t xml:space="preserve"> the </w:t>
      </w:r>
      <w:r w:rsidR="004B72AF">
        <w:rPr>
          <w:lang w:bidi="he-IL"/>
        </w:rPr>
        <w:t xml:space="preserve">increased threat posed by </w:t>
      </w:r>
      <w:r w:rsidR="004B72AF" w:rsidRPr="00481C19">
        <w:t xml:space="preserve">the country’s blasphemy laws. </w:t>
      </w:r>
    </w:p>
    <w:p w14:paraId="43F003B4" w14:textId="77777777" w:rsidR="004B72AF" w:rsidRPr="005F604A" w:rsidRDefault="004B72AF" w:rsidP="00730335">
      <w:pPr>
        <w:spacing w:after="120"/>
        <w:ind w:left="1134" w:right="1134"/>
        <w:jc w:val="both"/>
      </w:pPr>
      <w:r w:rsidRPr="00481C19">
        <w:t>7</w:t>
      </w:r>
      <w:r w:rsidR="005E7E03">
        <w:rPr>
          <w:lang w:bidi="he-IL"/>
        </w:rPr>
        <w:t>.6</w:t>
      </w:r>
      <w:r w:rsidR="000511DC">
        <w:tab/>
      </w:r>
      <w:r w:rsidR="005E7E03">
        <w:t xml:space="preserve">The Committee </w:t>
      </w:r>
      <w:r w:rsidR="000511DC">
        <w:rPr>
          <w:lang w:bidi="he-IL"/>
        </w:rPr>
        <w:t xml:space="preserve">considers </w:t>
      </w:r>
      <w:r w:rsidRPr="00481C19">
        <w:t>that the Board conducted a comprehensive and thorough examination of the evidence in the case and concluded that the authors had not had any conflict with the Pakistani authorities</w:t>
      </w:r>
      <w:r w:rsidR="00903ADD">
        <w:t>,</w:t>
      </w:r>
      <w:r w:rsidR="00903ADD">
        <w:rPr>
          <w:lang w:bidi="he-IL"/>
        </w:rPr>
        <w:t xml:space="preserve"> </w:t>
      </w:r>
      <w:r w:rsidR="009351E9">
        <w:rPr>
          <w:lang w:bidi="he-IL"/>
        </w:rPr>
        <w:t xml:space="preserve">and </w:t>
      </w:r>
      <w:r w:rsidR="000511DC">
        <w:rPr>
          <w:lang w:bidi="he-IL"/>
        </w:rPr>
        <w:t xml:space="preserve">that </w:t>
      </w:r>
      <w:r w:rsidRPr="00481C19">
        <w:t xml:space="preserve">the isolated incidents related to I.G.’s disagreement with some schoolmates </w:t>
      </w:r>
      <w:r w:rsidR="00903ADD">
        <w:t xml:space="preserve">and </w:t>
      </w:r>
      <w:r w:rsidRPr="00481C19">
        <w:t>could not lead to the authors being granted protection status under section 7 of the Aliens Act</w:t>
      </w:r>
      <w:r w:rsidR="009351E9">
        <w:t xml:space="preserve"> because </w:t>
      </w:r>
      <w:r w:rsidRPr="00481C19">
        <w:t xml:space="preserve">the conflict was not of such intensity or nature that it could justify </w:t>
      </w:r>
      <w:r w:rsidR="00903ADD">
        <w:t xml:space="preserve">the granting of </w:t>
      </w:r>
      <w:r w:rsidRPr="00481C19">
        <w:t xml:space="preserve">asylum. </w:t>
      </w:r>
      <w:r w:rsidR="000511DC">
        <w:rPr>
          <w:lang w:bidi="he-IL"/>
        </w:rPr>
        <w:t xml:space="preserve">Although </w:t>
      </w:r>
      <w:r>
        <w:t xml:space="preserve">the authors </w:t>
      </w:r>
      <w:r>
        <w:rPr>
          <w:lang w:bidi="he-IL"/>
        </w:rPr>
        <w:t>challenged</w:t>
      </w:r>
      <w:r>
        <w:t xml:space="preserve"> the Board’s </w:t>
      </w:r>
      <w:r w:rsidR="005E7E03">
        <w:rPr>
          <w:lang w:bidi="he-IL"/>
        </w:rPr>
        <w:t>composition</w:t>
      </w:r>
      <w:r w:rsidR="00903ADD">
        <w:rPr>
          <w:lang w:bidi="he-IL"/>
        </w:rPr>
        <w:t xml:space="preserve"> and</w:t>
      </w:r>
      <w:r w:rsidR="005E7E03">
        <w:rPr>
          <w:lang w:bidi="he-IL"/>
        </w:rPr>
        <w:t xml:space="preserve"> </w:t>
      </w:r>
      <w:r w:rsidR="000511DC">
        <w:rPr>
          <w:lang w:bidi="he-IL"/>
        </w:rPr>
        <w:t xml:space="preserve">the quality of the translations and </w:t>
      </w:r>
      <w:r w:rsidR="00903ADD">
        <w:rPr>
          <w:lang w:bidi="he-IL"/>
        </w:rPr>
        <w:t xml:space="preserve">the </w:t>
      </w:r>
      <w:r w:rsidR="000511DC">
        <w:rPr>
          <w:lang w:bidi="he-IL"/>
        </w:rPr>
        <w:t xml:space="preserve">interpretation of statements </w:t>
      </w:r>
      <w:r w:rsidR="00903ADD">
        <w:rPr>
          <w:lang w:bidi="he-IL"/>
        </w:rPr>
        <w:t xml:space="preserve">presented </w:t>
      </w:r>
      <w:r w:rsidR="000511DC">
        <w:rPr>
          <w:lang w:bidi="he-IL"/>
        </w:rPr>
        <w:t>to it</w:t>
      </w:r>
      <w:r w:rsidR="00903ADD">
        <w:rPr>
          <w:lang w:bidi="he-IL"/>
        </w:rPr>
        <w:t>,</w:t>
      </w:r>
      <w:r w:rsidR="000511DC">
        <w:rPr>
          <w:lang w:bidi="he-IL"/>
        </w:rPr>
        <w:t xml:space="preserve"> </w:t>
      </w:r>
      <w:r w:rsidR="00B33189">
        <w:rPr>
          <w:lang w:bidi="he-IL"/>
        </w:rPr>
        <w:t>their</w:t>
      </w:r>
      <w:r w:rsidR="000511DC">
        <w:rPr>
          <w:lang w:bidi="he-IL"/>
        </w:rPr>
        <w:t xml:space="preserve"> claims </w:t>
      </w:r>
      <w:r w:rsidR="00B33189">
        <w:rPr>
          <w:lang w:bidi="he-IL"/>
        </w:rPr>
        <w:t xml:space="preserve">in that regard </w:t>
      </w:r>
      <w:r w:rsidR="000511DC">
        <w:rPr>
          <w:lang w:bidi="he-IL"/>
        </w:rPr>
        <w:t xml:space="preserve">are of a general nature and do not establish that </w:t>
      </w:r>
      <w:r w:rsidR="000511DC" w:rsidRPr="00481C19">
        <w:rPr>
          <w:lang w:val="x-none"/>
        </w:rPr>
        <w:t xml:space="preserve">evaluation </w:t>
      </w:r>
      <w:r w:rsidR="000511DC">
        <w:rPr>
          <w:lang w:val="x-none" w:bidi="he-IL"/>
        </w:rPr>
        <w:t xml:space="preserve">of their asylum application </w:t>
      </w:r>
      <w:r w:rsidR="00B33189">
        <w:rPr>
          <w:lang w:val="x-none" w:bidi="he-IL"/>
        </w:rPr>
        <w:t>by the Danish authori</w:t>
      </w:r>
      <w:r w:rsidR="00730335">
        <w:rPr>
          <w:lang w:bidi="he-IL"/>
        </w:rPr>
        <w:t xml:space="preserve">ties </w:t>
      </w:r>
      <w:r w:rsidR="000511DC" w:rsidRPr="00481C19">
        <w:rPr>
          <w:lang w:val="x-none"/>
        </w:rPr>
        <w:t>was clearly arbitrary or amounted to a denial of justice</w:t>
      </w:r>
      <w:r>
        <w:t xml:space="preserve">. </w:t>
      </w:r>
    </w:p>
    <w:p w14:paraId="69CAEEDF" w14:textId="77777777" w:rsidR="004B72AF" w:rsidRDefault="00483FA5" w:rsidP="004B72AF">
      <w:pPr>
        <w:pStyle w:val="SingleTxtG"/>
        <w:rPr>
          <w:lang w:val="en-GB"/>
        </w:rPr>
      </w:pPr>
      <w:r>
        <w:rPr>
          <w:lang w:val="en-GB" w:bidi="he-IL"/>
        </w:rPr>
        <w:t>7.7</w:t>
      </w:r>
      <w:r w:rsidR="004B72AF">
        <w:rPr>
          <w:lang w:val="en-GB"/>
        </w:rPr>
        <w:tab/>
        <w:t>As regards</w:t>
      </w:r>
      <w:r w:rsidR="004B72AF" w:rsidRPr="00C931D2">
        <w:rPr>
          <w:lang w:val="en-GB"/>
        </w:rPr>
        <w:t xml:space="preserve"> the </w:t>
      </w:r>
      <w:r w:rsidR="004B72AF">
        <w:rPr>
          <w:lang w:val="en-GB"/>
        </w:rPr>
        <w:t xml:space="preserve">Board’s decision dated 3 March 2014 to </w:t>
      </w:r>
      <w:r w:rsidR="004B72AF" w:rsidRPr="00C931D2">
        <w:rPr>
          <w:lang w:val="en-GB"/>
        </w:rPr>
        <w:t>refus</w:t>
      </w:r>
      <w:r w:rsidR="004B72AF">
        <w:rPr>
          <w:lang w:val="en-GB"/>
        </w:rPr>
        <w:t>e</w:t>
      </w:r>
      <w:r w:rsidR="004B72AF" w:rsidRPr="00C931D2">
        <w:rPr>
          <w:lang w:val="en-GB"/>
        </w:rPr>
        <w:t xml:space="preserve"> </w:t>
      </w:r>
      <w:r w:rsidR="004B72AF">
        <w:rPr>
          <w:lang w:val="en-GB"/>
        </w:rPr>
        <w:t>to reopen the asylum proceedings</w:t>
      </w:r>
      <w:r w:rsidR="004B72AF" w:rsidRPr="00C931D2">
        <w:rPr>
          <w:lang w:val="en-GB"/>
        </w:rPr>
        <w:t>, the Committee notes the State party’s argument that the author</w:t>
      </w:r>
      <w:r w:rsidR="004B72AF">
        <w:rPr>
          <w:lang w:val="en-GB"/>
        </w:rPr>
        <w:t>s</w:t>
      </w:r>
      <w:r w:rsidR="004B72AF" w:rsidRPr="00C931D2">
        <w:rPr>
          <w:lang w:val="en-GB"/>
        </w:rPr>
        <w:t xml:space="preserve"> </w:t>
      </w:r>
      <w:r w:rsidR="004B72AF">
        <w:rPr>
          <w:lang w:val="en-GB"/>
        </w:rPr>
        <w:t>had</w:t>
      </w:r>
      <w:r w:rsidR="004B72AF" w:rsidRPr="00C931D2">
        <w:rPr>
          <w:lang w:val="en-GB"/>
        </w:rPr>
        <w:t xml:space="preserve"> substantially </w:t>
      </w:r>
      <w:r w:rsidR="00B33189">
        <w:rPr>
          <w:lang w:val="en-GB" w:bidi="he-IL"/>
        </w:rPr>
        <w:t>changed</w:t>
      </w:r>
      <w:r w:rsidR="004B72AF" w:rsidRPr="00C931D2">
        <w:rPr>
          <w:lang w:val="en-GB"/>
        </w:rPr>
        <w:t xml:space="preserve"> </w:t>
      </w:r>
      <w:r w:rsidR="004B72AF">
        <w:rPr>
          <w:lang w:val="en-GB"/>
        </w:rPr>
        <w:t xml:space="preserve">their </w:t>
      </w:r>
      <w:r w:rsidR="004B72AF" w:rsidRPr="00C931D2">
        <w:rPr>
          <w:lang w:val="en-GB"/>
        </w:rPr>
        <w:t xml:space="preserve">statements to the Danish </w:t>
      </w:r>
      <w:r w:rsidR="004B72AF">
        <w:rPr>
          <w:lang w:val="en-GB"/>
        </w:rPr>
        <w:t xml:space="preserve">Immigration Service and the Board </w:t>
      </w:r>
      <w:r w:rsidR="004B72AF" w:rsidRPr="00C931D2">
        <w:rPr>
          <w:lang w:val="en-GB"/>
        </w:rPr>
        <w:t xml:space="preserve">about a risk of abuse by </w:t>
      </w:r>
      <w:r w:rsidR="00903ADD">
        <w:rPr>
          <w:lang w:val="en-GB"/>
        </w:rPr>
        <w:t>G’s wife’s</w:t>
      </w:r>
      <w:r w:rsidR="00903ADD" w:rsidRPr="00C931D2">
        <w:rPr>
          <w:lang w:val="en-GB"/>
        </w:rPr>
        <w:t xml:space="preserve"> </w:t>
      </w:r>
      <w:r w:rsidR="004B72AF" w:rsidRPr="00C931D2">
        <w:rPr>
          <w:lang w:val="en-GB"/>
        </w:rPr>
        <w:t xml:space="preserve">family </w:t>
      </w:r>
      <w:r w:rsidR="004B72AF">
        <w:rPr>
          <w:lang w:val="en-GB"/>
        </w:rPr>
        <w:t xml:space="preserve">if </w:t>
      </w:r>
      <w:r w:rsidR="00903ADD">
        <w:rPr>
          <w:lang w:val="en-GB"/>
        </w:rPr>
        <w:t xml:space="preserve">they </w:t>
      </w:r>
      <w:r w:rsidR="004B72AF">
        <w:rPr>
          <w:lang w:val="en-GB"/>
        </w:rPr>
        <w:t xml:space="preserve">returned to Pakistan, </w:t>
      </w:r>
      <w:r w:rsidR="004B72AF">
        <w:rPr>
          <w:lang w:val="en-GB" w:bidi="he-IL"/>
        </w:rPr>
        <w:t xml:space="preserve">but </w:t>
      </w:r>
      <w:r w:rsidR="004B72AF">
        <w:rPr>
          <w:lang w:val="en-GB"/>
        </w:rPr>
        <w:t>ha</w:t>
      </w:r>
      <w:r w:rsidR="004B72AF">
        <w:rPr>
          <w:lang w:val="en-GB" w:bidi="he-IL"/>
        </w:rPr>
        <w:t>ve</w:t>
      </w:r>
      <w:r w:rsidR="004B72AF">
        <w:rPr>
          <w:lang w:val="en-GB"/>
        </w:rPr>
        <w:t xml:space="preserve"> not presented </w:t>
      </w:r>
      <w:r w:rsidR="004B72AF" w:rsidRPr="00C931D2">
        <w:rPr>
          <w:lang w:val="en-GB"/>
        </w:rPr>
        <w:t xml:space="preserve">any </w:t>
      </w:r>
      <w:r w:rsidR="004B72AF">
        <w:rPr>
          <w:lang w:val="en-GB"/>
        </w:rPr>
        <w:t xml:space="preserve">new </w:t>
      </w:r>
      <w:r w:rsidR="004B72AF" w:rsidRPr="00C931D2">
        <w:rPr>
          <w:lang w:val="en-GB"/>
        </w:rPr>
        <w:t>information substantiating that the</w:t>
      </w:r>
      <w:r w:rsidR="004B72AF">
        <w:rPr>
          <w:lang w:val="en-GB"/>
        </w:rPr>
        <w:t xml:space="preserve">y </w:t>
      </w:r>
      <w:r w:rsidR="00903ADD">
        <w:rPr>
          <w:lang w:val="en-GB"/>
        </w:rPr>
        <w:t>would</w:t>
      </w:r>
      <w:r w:rsidR="00903ADD" w:rsidRPr="00C931D2">
        <w:rPr>
          <w:lang w:val="en-GB"/>
        </w:rPr>
        <w:t xml:space="preserve"> </w:t>
      </w:r>
      <w:r w:rsidR="004B72AF" w:rsidRPr="00C931D2">
        <w:rPr>
          <w:lang w:val="en-GB"/>
        </w:rPr>
        <w:t xml:space="preserve">risk persecution or </w:t>
      </w:r>
      <w:r w:rsidR="00903ADD">
        <w:rPr>
          <w:lang w:val="en-GB"/>
        </w:rPr>
        <w:t xml:space="preserve">abuse relevant for </w:t>
      </w:r>
      <w:r w:rsidR="00CD2046">
        <w:rPr>
          <w:lang w:val="en-GB"/>
        </w:rPr>
        <w:t xml:space="preserve">the purpose of granting </w:t>
      </w:r>
      <w:r w:rsidR="004B72AF" w:rsidRPr="00C931D2">
        <w:rPr>
          <w:lang w:val="en-GB"/>
        </w:rPr>
        <w:t>asylum upon return to Pakistan.</w:t>
      </w:r>
      <w:r w:rsidR="004B72AF">
        <w:rPr>
          <w:lang w:val="en-GB"/>
        </w:rPr>
        <w:t xml:space="preserve"> The Committee observes that the authors disagree with the factual conclusions of the State party’s authorities, but the information before the Committee does not show that those findings</w:t>
      </w:r>
      <w:r w:rsidR="00F942E0">
        <w:rPr>
          <w:lang w:val="en-GB"/>
        </w:rPr>
        <w:t xml:space="preserve"> are manifestly unreasonable.</w:t>
      </w:r>
    </w:p>
    <w:p w14:paraId="293AE317" w14:textId="77777777" w:rsidR="004B72AF" w:rsidRDefault="00730335" w:rsidP="004B72AF">
      <w:pPr>
        <w:pStyle w:val="SingleTxtG"/>
        <w:rPr>
          <w:lang w:val="en-GB"/>
        </w:rPr>
      </w:pPr>
      <w:r>
        <w:rPr>
          <w:lang w:val="en-GB"/>
        </w:rPr>
        <w:t>7.</w:t>
      </w:r>
      <w:r w:rsidR="004B72AF">
        <w:rPr>
          <w:lang w:val="en-GB"/>
        </w:rPr>
        <w:t>8</w:t>
      </w:r>
      <w:r w:rsidR="004B72AF">
        <w:rPr>
          <w:lang w:val="en-GB"/>
        </w:rPr>
        <w:tab/>
      </w:r>
      <w:r w:rsidR="004B72AF" w:rsidRPr="00C931D2">
        <w:rPr>
          <w:lang w:val="en-GB"/>
        </w:rPr>
        <w:t>Consequently, the Committee considers that the author</w:t>
      </w:r>
      <w:r w:rsidR="004B72AF">
        <w:rPr>
          <w:lang w:val="en-GB"/>
        </w:rPr>
        <w:t>s</w:t>
      </w:r>
      <w:r w:rsidR="004B72AF" w:rsidRPr="00C931D2">
        <w:rPr>
          <w:lang w:val="en-GB"/>
        </w:rPr>
        <w:t xml:space="preserve"> ha</w:t>
      </w:r>
      <w:r w:rsidR="004B72AF">
        <w:rPr>
          <w:lang w:val="en-GB"/>
        </w:rPr>
        <w:t xml:space="preserve">ve </w:t>
      </w:r>
      <w:r w:rsidR="004B72AF" w:rsidRPr="00C931D2">
        <w:rPr>
          <w:lang w:val="en-GB"/>
        </w:rPr>
        <w:t xml:space="preserve">not sufficiently substantiated </w:t>
      </w:r>
      <w:r w:rsidR="004B72AF">
        <w:rPr>
          <w:lang w:val="en-GB"/>
        </w:rPr>
        <w:t xml:space="preserve">their </w:t>
      </w:r>
      <w:r w:rsidR="004B72AF" w:rsidRPr="00C931D2">
        <w:rPr>
          <w:lang w:val="en-GB"/>
        </w:rPr>
        <w:t>claim</w:t>
      </w:r>
      <w:r w:rsidR="004B72AF">
        <w:rPr>
          <w:lang w:val="en-GB"/>
        </w:rPr>
        <w:t>s</w:t>
      </w:r>
      <w:r w:rsidR="004B72AF" w:rsidRPr="00C931D2">
        <w:rPr>
          <w:lang w:val="en-GB"/>
        </w:rPr>
        <w:t xml:space="preserve"> that the State party’s authorities failed to </w:t>
      </w:r>
      <w:r w:rsidR="009351E9" w:rsidRPr="00C931D2">
        <w:rPr>
          <w:lang w:val="en-GB"/>
        </w:rPr>
        <w:t xml:space="preserve">duly </w:t>
      </w:r>
      <w:r w:rsidR="00903ADD" w:rsidRPr="00C931D2">
        <w:rPr>
          <w:lang w:val="en-GB"/>
        </w:rPr>
        <w:t xml:space="preserve">assess </w:t>
      </w:r>
      <w:r w:rsidR="004B72AF" w:rsidRPr="00C931D2">
        <w:rPr>
          <w:lang w:val="en-GB"/>
        </w:rPr>
        <w:t xml:space="preserve">the risk </w:t>
      </w:r>
      <w:r w:rsidR="00035911">
        <w:rPr>
          <w:lang w:val="en-GB"/>
        </w:rPr>
        <w:t>they would face should they</w:t>
      </w:r>
      <w:r w:rsidR="004B72AF" w:rsidRPr="00C931D2">
        <w:rPr>
          <w:lang w:val="en-GB"/>
        </w:rPr>
        <w:t xml:space="preserve"> return to </w:t>
      </w:r>
      <w:r w:rsidR="004B72AF">
        <w:rPr>
          <w:lang w:val="en-GB"/>
        </w:rPr>
        <w:t>Pakistan</w:t>
      </w:r>
      <w:r w:rsidR="004B72AF" w:rsidRPr="00C931D2">
        <w:rPr>
          <w:lang w:val="en-GB"/>
        </w:rPr>
        <w:t xml:space="preserve">. The Committee </w:t>
      </w:r>
      <w:r w:rsidR="004B72AF">
        <w:rPr>
          <w:lang w:val="en-GB"/>
        </w:rPr>
        <w:t xml:space="preserve">also considers that the </w:t>
      </w:r>
      <w:r w:rsidR="00035911">
        <w:rPr>
          <w:lang w:val="en-GB"/>
        </w:rPr>
        <w:t xml:space="preserve"> </w:t>
      </w:r>
      <w:r w:rsidR="004B72AF">
        <w:rPr>
          <w:lang w:val="en-GB"/>
        </w:rPr>
        <w:t xml:space="preserve">information before it </w:t>
      </w:r>
      <w:r w:rsidR="004B72AF" w:rsidRPr="00C931D2">
        <w:rPr>
          <w:lang w:val="en-GB"/>
        </w:rPr>
        <w:t>does not</w:t>
      </w:r>
      <w:r w:rsidR="006E13B7">
        <w:rPr>
          <w:lang w:val="en-GB" w:bidi="he-IL"/>
        </w:rPr>
        <w:t xml:space="preserve"> </w:t>
      </w:r>
      <w:r w:rsidR="006E13B7" w:rsidRPr="00F40A73">
        <w:rPr>
          <w:lang w:val="en-GB" w:bidi="he-IL"/>
        </w:rPr>
        <w:t>prima facie</w:t>
      </w:r>
      <w:r w:rsidR="004B72AF" w:rsidRPr="00C931D2">
        <w:rPr>
          <w:lang w:val="en-GB"/>
        </w:rPr>
        <w:t xml:space="preserve"> reveal the existence for the author</w:t>
      </w:r>
      <w:r w:rsidR="004B72AF">
        <w:rPr>
          <w:lang w:val="en-GB"/>
        </w:rPr>
        <w:t>s</w:t>
      </w:r>
      <w:r>
        <w:rPr>
          <w:lang w:val="en-GB"/>
        </w:rPr>
        <w:t xml:space="preserve"> of a personal risk to </w:t>
      </w:r>
      <w:r w:rsidR="00035911">
        <w:rPr>
          <w:lang w:val="en-GB"/>
        </w:rPr>
        <w:t>their</w:t>
      </w:r>
      <w:r w:rsidR="004B72AF">
        <w:rPr>
          <w:lang w:val="en-GB"/>
        </w:rPr>
        <w:t xml:space="preserve"> </w:t>
      </w:r>
      <w:r w:rsidR="00035911">
        <w:rPr>
          <w:lang w:val="en-GB"/>
        </w:rPr>
        <w:t>lives or</w:t>
      </w:r>
      <w:r w:rsidR="004B72AF">
        <w:rPr>
          <w:lang w:val="en-GB"/>
        </w:rPr>
        <w:t xml:space="preserve"> </w:t>
      </w:r>
      <w:r w:rsidR="00035911">
        <w:rPr>
          <w:lang w:val="en-GB"/>
        </w:rPr>
        <w:t xml:space="preserve">of </w:t>
      </w:r>
      <w:r w:rsidR="004B72AF" w:rsidRPr="00C931D2">
        <w:rPr>
          <w:lang w:val="en-GB"/>
        </w:rPr>
        <w:t>torture or ill-treatment</w:t>
      </w:r>
      <w:r w:rsidR="00035911">
        <w:rPr>
          <w:lang w:val="en-GB"/>
        </w:rPr>
        <w:t xml:space="preserve">, </w:t>
      </w:r>
      <w:r w:rsidR="004B72AF" w:rsidRPr="00C931D2">
        <w:rPr>
          <w:lang w:val="en-GB"/>
        </w:rPr>
        <w:t xml:space="preserve"> </w:t>
      </w:r>
      <w:r w:rsidR="004B72AF">
        <w:rPr>
          <w:lang w:val="en-GB"/>
        </w:rPr>
        <w:t xml:space="preserve">or </w:t>
      </w:r>
      <w:r w:rsidR="00035911">
        <w:rPr>
          <w:lang w:val="en-GB"/>
        </w:rPr>
        <w:t xml:space="preserve">of </w:t>
      </w:r>
      <w:r w:rsidR="004B72AF">
        <w:rPr>
          <w:lang w:val="en-GB"/>
        </w:rPr>
        <w:t xml:space="preserve">hindrance in the free exercise of their religion </w:t>
      </w:r>
      <w:r w:rsidR="004B72AF" w:rsidRPr="00C931D2">
        <w:rPr>
          <w:lang w:val="en-GB"/>
        </w:rPr>
        <w:t>following the</w:t>
      </w:r>
      <w:r w:rsidR="004B72AF">
        <w:rPr>
          <w:lang w:val="en-GB"/>
        </w:rPr>
        <w:t>ir</w:t>
      </w:r>
      <w:r w:rsidR="004B72AF" w:rsidRPr="00C931D2">
        <w:rPr>
          <w:lang w:val="en-GB"/>
        </w:rPr>
        <w:t xml:space="preserve"> return to </w:t>
      </w:r>
      <w:r w:rsidR="004B72AF">
        <w:rPr>
          <w:lang w:val="en-GB"/>
        </w:rPr>
        <w:t xml:space="preserve">Pakistan. </w:t>
      </w:r>
      <w:r w:rsidR="004B72AF" w:rsidRPr="00C931D2">
        <w:rPr>
          <w:lang w:val="en-GB"/>
        </w:rPr>
        <w:t xml:space="preserve">The Committee therefore </w:t>
      </w:r>
      <w:r w:rsidR="00EC5D0E">
        <w:rPr>
          <w:lang w:val="en-GB" w:bidi="he-IL"/>
        </w:rPr>
        <w:t xml:space="preserve">finds the claims </w:t>
      </w:r>
      <w:r w:rsidR="004B72AF" w:rsidRPr="00C931D2">
        <w:rPr>
          <w:lang w:val="en-GB"/>
        </w:rPr>
        <w:t xml:space="preserve">that the State party </w:t>
      </w:r>
      <w:r w:rsidR="004B72AF">
        <w:rPr>
          <w:lang w:val="en-GB"/>
        </w:rPr>
        <w:t xml:space="preserve">would </w:t>
      </w:r>
      <w:r w:rsidR="004B72AF" w:rsidRPr="00C931D2">
        <w:rPr>
          <w:lang w:val="en-GB"/>
        </w:rPr>
        <w:t>violate</w:t>
      </w:r>
      <w:r w:rsidR="004B72AF">
        <w:rPr>
          <w:lang w:val="en-GB"/>
        </w:rPr>
        <w:t xml:space="preserve"> </w:t>
      </w:r>
      <w:r w:rsidR="004B72AF" w:rsidRPr="00C931D2">
        <w:rPr>
          <w:lang w:val="en-GB"/>
        </w:rPr>
        <w:t>its obligations under article</w:t>
      </w:r>
      <w:r w:rsidR="004B72AF">
        <w:rPr>
          <w:lang w:val="en-GB"/>
        </w:rPr>
        <w:t xml:space="preserve">s 6, </w:t>
      </w:r>
      <w:r w:rsidR="004B72AF" w:rsidRPr="00C931D2">
        <w:rPr>
          <w:lang w:val="en-GB"/>
        </w:rPr>
        <w:t xml:space="preserve">7 </w:t>
      </w:r>
      <w:r w:rsidR="004B72AF">
        <w:rPr>
          <w:lang w:val="en-GB"/>
        </w:rPr>
        <w:t xml:space="preserve">or 18 </w:t>
      </w:r>
      <w:r w:rsidR="004B72AF" w:rsidRPr="00C931D2">
        <w:rPr>
          <w:lang w:val="en-GB"/>
        </w:rPr>
        <w:t>of the Covenant</w:t>
      </w:r>
      <w:r w:rsidR="00035911">
        <w:rPr>
          <w:lang w:val="en-GB"/>
        </w:rPr>
        <w:t xml:space="preserve"> by</w:t>
      </w:r>
      <w:r w:rsidR="004B72AF">
        <w:rPr>
          <w:lang w:val="en-GB"/>
        </w:rPr>
        <w:t xml:space="preserve"> removing </w:t>
      </w:r>
      <w:r w:rsidR="004B72AF" w:rsidRPr="00B822EB">
        <w:rPr>
          <w:lang w:val="en-GB"/>
        </w:rPr>
        <w:t>the authors to Pakistan</w:t>
      </w:r>
      <w:r w:rsidR="00EC5D0E">
        <w:rPr>
          <w:lang w:val="en-GB" w:bidi="he-IL"/>
        </w:rPr>
        <w:t xml:space="preserve"> as</w:t>
      </w:r>
      <w:r w:rsidR="00B33189">
        <w:rPr>
          <w:lang w:val="en-GB" w:bidi="he-IL"/>
        </w:rPr>
        <w:t xml:space="preserve"> not sufficiently substantiated </w:t>
      </w:r>
      <w:r w:rsidR="00EA3D6D">
        <w:rPr>
          <w:lang w:val="en-GB" w:bidi="he-IL"/>
        </w:rPr>
        <w:t xml:space="preserve">for the purposes of admissibility </w:t>
      </w:r>
      <w:r w:rsidR="00B33189">
        <w:rPr>
          <w:lang w:val="en-GB" w:bidi="he-IL"/>
        </w:rPr>
        <w:t>and</w:t>
      </w:r>
      <w:r w:rsidR="00EC5D0E">
        <w:rPr>
          <w:lang w:val="en-GB" w:bidi="he-IL"/>
        </w:rPr>
        <w:t xml:space="preserve"> </w:t>
      </w:r>
      <w:r w:rsidR="00EA3D6D">
        <w:rPr>
          <w:lang w:val="en-GB" w:bidi="he-IL"/>
        </w:rPr>
        <w:t xml:space="preserve">concludes that the present communication is </w:t>
      </w:r>
      <w:r w:rsidR="00EC5D0E">
        <w:rPr>
          <w:lang w:val="en-GB" w:bidi="he-IL"/>
        </w:rPr>
        <w:t>inadmissible under article 2 of the Optional Protocol</w:t>
      </w:r>
      <w:r w:rsidR="004B72AF" w:rsidRPr="00C931D2">
        <w:rPr>
          <w:lang w:val="en-GB"/>
        </w:rPr>
        <w:t xml:space="preserve">. </w:t>
      </w:r>
    </w:p>
    <w:p w14:paraId="5326A96B" w14:textId="77777777" w:rsidR="00EA3D6D" w:rsidRDefault="00F942E0" w:rsidP="004B72AF">
      <w:pPr>
        <w:pStyle w:val="SingleTxtG"/>
        <w:rPr>
          <w:lang w:val="en-GB"/>
        </w:rPr>
      </w:pPr>
      <w:r>
        <w:rPr>
          <w:lang w:val="en-GB"/>
        </w:rPr>
        <w:t>8.</w:t>
      </w:r>
      <w:r w:rsidR="00EA3D6D">
        <w:rPr>
          <w:lang w:val="en-GB"/>
        </w:rPr>
        <w:tab/>
        <w:t xml:space="preserve">The Committee therefore decides: </w:t>
      </w:r>
    </w:p>
    <w:p w14:paraId="0D3E5354" w14:textId="77777777" w:rsidR="00F942E0" w:rsidRDefault="00F942E0" w:rsidP="00F942E0">
      <w:pPr>
        <w:pStyle w:val="SingleTxtG"/>
        <w:rPr>
          <w:lang w:val="en-GB"/>
        </w:rPr>
      </w:pPr>
      <w:r>
        <w:rPr>
          <w:lang w:val="en-GB"/>
        </w:rPr>
        <w:tab/>
        <w:t>(a)</w:t>
      </w:r>
      <w:r w:rsidR="00EA3D6D">
        <w:rPr>
          <w:lang w:val="en-GB"/>
        </w:rPr>
        <w:tab/>
        <w:t>That the communication is inadmissible under article 2 of the Optional Protocol;</w:t>
      </w:r>
    </w:p>
    <w:p w14:paraId="2B0F6EBF" w14:textId="77777777" w:rsidR="00E93CC4" w:rsidRDefault="00F942E0" w:rsidP="00D248B9">
      <w:pPr>
        <w:pStyle w:val="SingleTxtG"/>
        <w:rPr>
          <w:lang w:val="en-GB"/>
        </w:rPr>
      </w:pPr>
      <w:r>
        <w:rPr>
          <w:lang w:val="en-GB"/>
        </w:rPr>
        <w:tab/>
      </w:r>
      <w:r w:rsidR="00EA3D6D">
        <w:rPr>
          <w:lang w:val="en-GB"/>
        </w:rPr>
        <w:t>(b)</w:t>
      </w:r>
      <w:r w:rsidR="00EA3D6D">
        <w:rPr>
          <w:lang w:val="en-GB"/>
        </w:rPr>
        <w:tab/>
        <w:t xml:space="preserve">That the decision </w:t>
      </w:r>
      <w:r w:rsidR="004F372F">
        <w:rPr>
          <w:lang w:val="en-GB"/>
        </w:rPr>
        <w:t xml:space="preserve">shall </w:t>
      </w:r>
      <w:r w:rsidR="00EA3D6D">
        <w:rPr>
          <w:lang w:val="en-GB"/>
        </w:rPr>
        <w:t>be transmitted to the S</w:t>
      </w:r>
      <w:r>
        <w:rPr>
          <w:lang w:val="en-GB"/>
        </w:rPr>
        <w:t>tate party and to the author</w:t>
      </w:r>
      <w:r w:rsidR="00632D09">
        <w:rPr>
          <w:lang w:val="en-GB"/>
        </w:rPr>
        <w:t>s</w:t>
      </w:r>
      <w:r>
        <w:rPr>
          <w:lang w:val="en-GB"/>
        </w:rPr>
        <w:t>.</w:t>
      </w:r>
    </w:p>
    <w:p w14:paraId="0A1855D4" w14:textId="77777777" w:rsidR="00F942E0" w:rsidRPr="00F942E0" w:rsidRDefault="00F942E0" w:rsidP="00F942E0">
      <w:pPr>
        <w:pStyle w:val="SingleTxtG"/>
        <w:spacing w:before="240" w:after="0"/>
        <w:jc w:val="center"/>
        <w:rPr>
          <w:u w:val="single"/>
          <w:lang w:val="en-US"/>
        </w:rPr>
      </w:pPr>
      <w:r>
        <w:rPr>
          <w:u w:val="single"/>
          <w:lang w:val="en-GB"/>
        </w:rPr>
        <w:tab/>
      </w:r>
      <w:r>
        <w:rPr>
          <w:u w:val="single"/>
          <w:lang w:val="en-GB"/>
        </w:rPr>
        <w:tab/>
      </w:r>
      <w:r>
        <w:rPr>
          <w:u w:val="single"/>
          <w:lang w:val="en-GB"/>
        </w:rPr>
        <w:tab/>
      </w:r>
    </w:p>
    <w:sectPr w:rsidR="00F942E0" w:rsidRPr="00F942E0" w:rsidSect="00ED3BEB">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12-23T14:42:00Z" w:initials="Start">
    <w:p w14:paraId="264C82FF" w14:textId="77777777" w:rsidR="00ED3BEB" w:rsidRDefault="00ED3BE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NO&gt;&gt;N1529051E&lt;&lt;ODS JOB NO&gt;&gt;</w:t>
      </w:r>
    </w:p>
    <w:p w14:paraId="604A40F5" w14:textId="77777777" w:rsidR="00ED3BEB" w:rsidRDefault="00ED3BEB">
      <w:pPr>
        <w:pStyle w:val="CommentText"/>
      </w:pPr>
      <w:r>
        <w:t>&lt;&lt;ODS DOC SYMBOL1&gt;&gt;CCPR/C/115/D/2351/2014&lt;&lt;ODS DOC SYMBOL1&gt;&gt;</w:t>
      </w:r>
    </w:p>
    <w:p w14:paraId="1BAAEC6B" w14:textId="77777777" w:rsidR="00ED3BEB" w:rsidRDefault="00ED3BEB">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AEC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B4359" w14:textId="77777777" w:rsidR="00670606" w:rsidRDefault="00670606"/>
  </w:endnote>
  <w:endnote w:type="continuationSeparator" w:id="0">
    <w:p w14:paraId="2C1776BA" w14:textId="77777777" w:rsidR="00670606" w:rsidRDefault="00670606"/>
  </w:endnote>
  <w:endnote w:type="continuationNotice" w:id="1">
    <w:p w14:paraId="7D383C36" w14:textId="77777777" w:rsidR="00670606" w:rsidRDefault="00670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CBC6F" w14:textId="77777777" w:rsidR="00DB11EA" w:rsidRPr="00781C83" w:rsidRDefault="00DB11EA"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4B3089">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F38F9" w14:textId="77777777" w:rsidR="00DB11EA" w:rsidRPr="00865C89" w:rsidRDefault="00DB11EA" w:rsidP="00781C83">
    <w:pPr>
      <w:pStyle w:val="Footer"/>
      <w:tabs>
        <w:tab w:val="right" w:pos="9638"/>
      </w:tabs>
      <w:rPr>
        <w:b/>
        <w:sz w:val="18"/>
      </w:rPr>
    </w:pPr>
    <w:r>
      <w:rPr>
        <w:b/>
        <w:sz w:val="18"/>
      </w:rPr>
      <w:tab/>
    </w:r>
    <w:r w:rsidRPr="00865C89">
      <w:rPr>
        <w:b/>
        <w:sz w:val="18"/>
      </w:rPr>
      <w:fldChar w:fldCharType="begin"/>
    </w:r>
    <w:r w:rsidRPr="00865C89">
      <w:rPr>
        <w:b/>
        <w:sz w:val="18"/>
      </w:rPr>
      <w:instrText xml:space="preserve"> PAGE  \* MERGEFORMAT </w:instrText>
    </w:r>
    <w:r w:rsidRPr="00865C89">
      <w:rPr>
        <w:b/>
        <w:sz w:val="18"/>
      </w:rPr>
      <w:fldChar w:fldCharType="separate"/>
    </w:r>
    <w:r w:rsidR="004B3089">
      <w:rPr>
        <w:b/>
        <w:noProof/>
        <w:sz w:val="18"/>
      </w:rPr>
      <w:t>3</w:t>
    </w:r>
    <w:r w:rsidRPr="00865C8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ED3BEB" w14:paraId="6E9DC64B" w14:textId="77777777" w:rsidTr="00ED3BEB">
      <w:tc>
        <w:tcPr>
          <w:tcW w:w="3614" w:type="dxa"/>
          <w:shd w:val="clear" w:color="auto" w:fill="auto"/>
        </w:tcPr>
        <w:p w14:paraId="57E464FE" w14:textId="77777777" w:rsidR="00ED3BEB" w:rsidRDefault="00ED3BEB" w:rsidP="00ED3BEB">
          <w:pPr>
            <w:pStyle w:val="Footer"/>
            <w:rPr>
              <w:sz w:val="20"/>
            </w:rPr>
          </w:pPr>
          <w:r>
            <w:rPr>
              <w:noProof/>
              <w:sz w:val="20"/>
              <w:lang w:val="en-US"/>
            </w:rPr>
            <w:drawing>
              <wp:anchor distT="0" distB="0" distL="114300" distR="114300" simplePos="0" relativeHeight="251658240" behindDoc="0" locked="0" layoutInCell="1" allowOverlap="1" wp14:anchorId="548CF20C" wp14:editId="3E2E9093">
                <wp:simplePos x="0" y="0"/>
                <wp:positionH relativeFrom="column">
                  <wp:posOffset>5312410</wp:posOffset>
                </wp:positionH>
                <wp:positionV relativeFrom="paragraph">
                  <wp:posOffset>-365760</wp:posOffset>
                </wp:positionV>
                <wp:extent cx="694690" cy="694690"/>
                <wp:effectExtent l="0" t="0" r="0" b="0"/>
                <wp:wrapNone/>
                <wp:docPr id="3" name="Picture 3" descr="http://undocs.org/m2/QRCode2.ashx?DS=CCPR/C/115/D/2351/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351/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GE.15-22127(E)</w:t>
          </w:r>
        </w:p>
        <w:p w14:paraId="700338DD" w14:textId="77777777" w:rsidR="00ED3BEB" w:rsidRPr="00ED3BEB" w:rsidRDefault="00ED3BEB" w:rsidP="00ED3BEB">
          <w:pPr>
            <w:pStyle w:val="Footer"/>
            <w:rPr>
              <w:rFonts w:ascii="Barcode 3 of 9 by request" w:hAnsi="Barcode 3 of 9 by request"/>
              <w:sz w:val="24"/>
            </w:rPr>
          </w:pPr>
          <w:r>
            <w:rPr>
              <w:rFonts w:ascii="Barcode 3 of 9 by request" w:hAnsi="Barcode 3 of 9 by request"/>
              <w:sz w:val="24"/>
            </w:rPr>
            <w:t>*1522127*</w:t>
          </w:r>
        </w:p>
      </w:tc>
      <w:tc>
        <w:tcPr>
          <w:tcW w:w="4752" w:type="dxa"/>
          <w:shd w:val="clear" w:color="auto" w:fill="auto"/>
        </w:tcPr>
        <w:p w14:paraId="46A97942" w14:textId="77777777" w:rsidR="00ED3BEB" w:rsidRDefault="00ED3BEB" w:rsidP="00ED3BEB">
          <w:pPr>
            <w:pStyle w:val="Footer"/>
            <w:spacing w:line="240" w:lineRule="atLeast"/>
            <w:jc w:val="right"/>
            <w:rPr>
              <w:sz w:val="20"/>
            </w:rPr>
          </w:pPr>
          <w:r>
            <w:rPr>
              <w:noProof/>
              <w:sz w:val="20"/>
              <w:lang w:val="en-US"/>
            </w:rPr>
            <w:drawing>
              <wp:inline distT="0" distB="0" distL="0" distR="0" wp14:anchorId="1B6D258E" wp14:editId="45467D5F">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5CD2BF9" w14:textId="77777777" w:rsidR="00ED3BEB" w:rsidRPr="00ED3BEB" w:rsidRDefault="00ED3BEB" w:rsidP="00ED3BE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8CC37" w14:textId="77777777" w:rsidR="00670606" w:rsidRPr="000B175B" w:rsidRDefault="00670606" w:rsidP="000B175B">
      <w:pPr>
        <w:tabs>
          <w:tab w:val="right" w:pos="2155"/>
        </w:tabs>
        <w:spacing w:after="80"/>
        <w:ind w:left="680"/>
        <w:rPr>
          <w:u w:val="single"/>
        </w:rPr>
      </w:pPr>
      <w:r>
        <w:rPr>
          <w:u w:val="single"/>
        </w:rPr>
        <w:tab/>
      </w:r>
    </w:p>
  </w:footnote>
  <w:footnote w:type="continuationSeparator" w:id="0">
    <w:p w14:paraId="7FE773AC" w14:textId="77777777" w:rsidR="00670606" w:rsidRPr="00FC68B7" w:rsidRDefault="00670606" w:rsidP="00FC68B7">
      <w:pPr>
        <w:tabs>
          <w:tab w:val="left" w:pos="2155"/>
        </w:tabs>
        <w:spacing w:after="80"/>
        <w:ind w:left="680"/>
        <w:rPr>
          <w:u w:val="single"/>
        </w:rPr>
      </w:pPr>
      <w:r>
        <w:rPr>
          <w:u w:val="single"/>
        </w:rPr>
        <w:tab/>
      </w:r>
    </w:p>
  </w:footnote>
  <w:footnote w:type="continuationNotice" w:id="1">
    <w:p w14:paraId="54AB9A63" w14:textId="77777777" w:rsidR="00670606" w:rsidRDefault="00670606"/>
  </w:footnote>
  <w:footnote w:id="2">
    <w:p w14:paraId="3C44759C" w14:textId="77777777" w:rsidR="00DB11EA" w:rsidRPr="00F40A73" w:rsidRDefault="00DB11EA" w:rsidP="0039676D">
      <w:pPr>
        <w:pStyle w:val="FootnoteText"/>
        <w:rPr>
          <w:lang w:val="en-GB"/>
        </w:rPr>
      </w:pPr>
      <w:r>
        <w:rPr>
          <w:rStyle w:val="FootnoteReference"/>
        </w:rPr>
        <w:tab/>
      </w:r>
      <w:r w:rsidRPr="00B13B64">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w:t>
      </w:r>
      <w:r w:rsidRPr="00C455EA">
        <w:rPr>
          <w:szCs w:val="18"/>
        </w:rPr>
        <w:t>Ahmed</w:t>
      </w:r>
      <w:r>
        <w:rPr>
          <w:szCs w:val="18"/>
        </w:rPr>
        <w:t> </w:t>
      </w:r>
      <w:r w:rsidRPr="00C455EA">
        <w:rPr>
          <w:szCs w:val="18"/>
        </w:rPr>
        <w:t>Amin Fathalla</w:t>
      </w:r>
      <w:r>
        <w:rPr>
          <w:szCs w:val="18"/>
        </w:rPr>
        <w:t xml:space="preserve">, Olivier de Frouville, </w:t>
      </w:r>
      <w:r w:rsidRPr="00C455EA">
        <w:rPr>
          <w:szCs w:val="18"/>
        </w:rPr>
        <w:t>Yuji Iwasawa</w:t>
      </w:r>
      <w:r>
        <w:rPr>
          <w:szCs w:val="18"/>
        </w:rPr>
        <w:t xml:space="preserve">, Ivana Jelić, </w:t>
      </w:r>
      <w:r w:rsidRPr="00C455EA">
        <w:rPr>
          <w:szCs w:val="18"/>
        </w:rPr>
        <w:t>Duncan Laki</w:t>
      </w:r>
      <w:r>
        <w:rPr>
          <w:szCs w:val="18"/>
        </w:rPr>
        <w:t xml:space="preserve"> </w:t>
      </w:r>
      <w:r w:rsidRPr="00C455EA">
        <w:rPr>
          <w:szCs w:val="18"/>
        </w:rPr>
        <w:t>Muhumuza</w:t>
      </w:r>
      <w:r>
        <w:rPr>
          <w:szCs w:val="18"/>
        </w:rPr>
        <w:t xml:space="preserve">, </w:t>
      </w:r>
      <w:r w:rsidRPr="00C455EA">
        <w:rPr>
          <w:szCs w:val="18"/>
        </w:rPr>
        <w:t>Photini Pazartzis</w:t>
      </w:r>
      <w:r>
        <w:rPr>
          <w:szCs w:val="18"/>
        </w:rPr>
        <w:t xml:space="preserve">, </w:t>
      </w:r>
      <w:r w:rsidRPr="00C455EA">
        <w:rPr>
          <w:szCs w:val="18"/>
        </w:rPr>
        <w:t>Mauro</w:t>
      </w:r>
      <w:r>
        <w:rPr>
          <w:szCs w:val="18"/>
        </w:rPr>
        <w:t> </w:t>
      </w:r>
      <w:r w:rsidRPr="00C455EA">
        <w:rPr>
          <w:szCs w:val="18"/>
        </w:rPr>
        <w:t>Politi</w:t>
      </w:r>
      <w:r>
        <w:rPr>
          <w:szCs w:val="18"/>
        </w:rPr>
        <w:t xml:space="preserve">, </w:t>
      </w:r>
      <w:r>
        <w:rPr>
          <w:bCs/>
          <w:szCs w:val="18"/>
        </w:rPr>
        <w:t>Sir</w:t>
      </w:r>
      <w:r>
        <w:rPr>
          <w:szCs w:val="18"/>
        </w:rPr>
        <w:t xml:space="preserve"> Nigel Rodley, </w:t>
      </w:r>
      <w:r w:rsidRPr="00C455EA">
        <w:rPr>
          <w:szCs w:val="18"/>
        </w:rPr>
        <w:t>V</w:t>
      </w:r>
      <w:r>
        <w:rPr>
          <w:szCs w:val="18"/>
        </w:rPr>
        <w:t>í</w:t>
      </w:r>
      <w:r w:rsidRPr="00C455EA">
        <w:rPr>
          <w:szCs w:val="18"/>
        </w:rPr>
        <w:t>ctor 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footnote>
  <w:footnote w:id="3">
    <w:p w14:paraId="2960C22E" w14:textId="77777777" w:rsidR="00DB11EA" w:rsidRPr="006339C1" w:rsidRDefault="00DB11EA">
      <w:pPr>
        <w:pStyle w:val="FootnoteText"/>
        <w:rPr>
          <w:lang w:val="en-GB"/>
        </w:rPr>
      </w:pPr>
      <w:r>
        <w:rPr>
          <w:lang w:val="en-GB"/>
        </w:rPr>
        <w:tab/>
      </w:r>
      <w:r>
        <w:rPr>
          <w:rStyle w:val="FootnoteReference"/>
        </w:rPr>
        <w:footnoteRef/>
      </w:r>
      <w:r w:rsidRPr="00FD6742">
        <w:rPr>
          <w:lang w:val="en-GB"/>
        </w:rPr>
        <w:tab/>
      </w:r>
      <w:r>
        <w:rPr>
          <w:lang w:val="en-GB"/>
        </w:rPr>
        <w:t>T</w:t>
      </w:r>
      <w:r w:rsidRPr="006339C1">
        <w:rPr>
          <w:lang w:val="en-GB"/>
        </w:rPr>
        <w:t xml:space="preserve">he State party requested that </w:t>
      </w:r>
      <w:r w:rsidRPr="00F942E0">
        <w:t>interim</w:t>
      </w:r>
      <w:r w:rsidRPr="006339C1">
        <w:rPr>
          <w:lang w:val="en-GB"/>
        </w:rPr>
        <w:t xml:space="preserve"> measures be lifted </w:t>
      </w:r>
      <w:r w:rsidR="009C0965">
        <w:rPr>
          <w:lang w:val="en-GB"/>
        </w:rPr>
        <w:t>because</w:t>
      </w:r>
      <w:r w:rsidRPr="006339C1">
        <w:rPr>
          <w:lang w:val="en-GB"/>
        </w:rPr>
        <w:t xml:space="preserve"> the authors</w:t>
      </w:r>
      <w:r>
        <w:rPr>
          <w:lang w:val="en-GB"/>
        </w:rPr>
        <w:t xml:space="preserve"> had </w:t>
      </w:r>
      <w:r w:rsidRPr="006339C1">
        <w:rPr>
          <w:lang w:val="en-GB"/>
        </w:rPr>
        <w:t xml:space="preserve">failed to substantiate that, if returned to Pakistan, they </w:t>
      </w:r>
      <w:r>
        <w:rPr>
          <w:lang w:val="en-GB"/>
        </w:rPr>
        <w:t>would</w:t>
      </w:r>
      <w:r w:rsidRPr="006339C1">
        <w:rPr>
          <w:lang w:val="en-GB"/>
        </w:rPr>
        <w:t xml:space="preserve"> be at risk of suffering irreparable </w:t>
      </w:r>
      <w:r>
        <w:rPr>
          <w:lang w:val="en-GB"/>
        </w:rPr>
        <w:t>harm</w:t>
      </w:r>
      <w:r w:rsidRPr="006339C1">
        <w:rPr>
          <w:lang w:val="en-GB"/>
        </w:rPr>
        <w:t>.</w:t>
      </w:r>
    </w:p>
  </w:footnote>
  <w:footnote w:id="4">
    <w:p w14:paraId="000636C2" w14:textId="77777777" w:rsidR="00DB11EA" w:rsidRPr="00FB4507" w:rsidRDefault="00DB11EA" w:rsidP="00F40A73">
      <w:pPr>
        <w:pStyle w:val="FootnoteText"/>
        <w:rPr>
          <w:lang w:val="en-GB"/>
        </w:rPr>
      </w:pPr>
      <w:r>
        <w:rPr>
          <w:lang w:val="en-GB"/>
        </w:rPr>
        <w:tab/>
      </w:r>
      <w:r>
        <w:rPr>
          <w:rStyle w:val="FootnoteReference"/>
        </w:rPr>
        <w:footnoteRef/>
      </w:r>
      <w:r w:rsidRPr="0013480A">
        <w:rPr>
          <w:lang w:val="en-GB"/>
        </w:rPr>
        <w:tab/>
      </w:r>
      <w:r w:rsidRPr="00FB4507">
        <w:t>The authors’ cases have been treated jointly by the Danish Immigration Service and the Board.</w:t>
      </w:r>
    </w:p>
  </w:footnote>
  <w:footnote w:id="5">
    <w:p w14:paraId="096F4E01" w14:textId="77777777" w:rsidR="00DB11EA" w:rsidRPr="00BC7F82" w:rsidRDefault="00DB11EA" w:rsidP="00F40A73">
      <w:pPr>
        <w:pStyle w:val="FootnoteText"/>
        <w:rPr>
          <w:lang w:val="en-GB"/>
        </w:rPr>
      </w:pPr>
      <w:r>
        <w:rPr>
          <w:lang w:val="en-GB"/>
        </w:rPr>
        <w:tab/>
      </w:r>
      <w:r>
        <w:rPr>
          <w:rStyle w:val="FootnoteReference"/>
        </w:rPr>
        <w:footnoteRef/>
      </w:r>
      <w:r w:rsidRPr="0013480A">
        <w:rPr>
          <w:lang w:val="en-GB"/>
        </w:rPr>
        <w:tab/>
      </w:r>
      <w:r w:rsidRPr="00BC7F82">
        <w:t xml:space="preserve">The deportation was scheduled within 24 hours </w:t>
      </w:r>
      <w:r>
        <w:t>after</w:t>
      </w:r>
      <w:r w:rsidRPr="00BC7F82">
        <w:t xml:space="preserve"> the receipt of the initial complaint.</w:t>
      </w:r>
      <w:r>
        <w:t xml:space="preserve"> </w:t>
      </w:r>
    </w:p>
  </w:footnote>
  <w:footnote w:id="6">
    <w:p w14:paraId="0E101F36" w14:textId="77777777" w:rsidR="00DB11EA" w:rsidRPr="000B31C5" w:rsidRDefault="00DB11EA">
      <w:pPr>
        <w:pStyle w:val="FootnoteText"/>
        <w:rPr>
          <w:lang w:val="en-GB"/>
        </w:rPr>
      </w:pPr>
      <w:r>
        <w:rPr>
          <w:lang w:val="en-GB"/>
        </w:rPr>
        <w:tab/>
      </w:r>
      <w:r>
        <w:rPr>
          <w:rStyle w:val="FootnoteReference"/>
        </w:rPr>
        <w:footnoteRef/>
      </w:r>
      <w:r>
        <w:rPr>
          <w:lang w:val="en-GB"/>
        </w:rPr>
        <w:tab/>
      </w:r>
      <w:r w:rsidRPr="000B31C5">
        <w:t xml:space="preserve">According to the Board’s assessment of facts in the context of its decision of 13 June 2013, the author </w:t>
      </w:r>
      <w:r>
        <w:t>was asleep</w:t>
      </w:r>
      <w:r w:rsidRPr="000B31C5">
        <w:t xml:space="preserve"> </w:t>
      </w:r>
      <w:r>
        <w:t>in</w:t>
      </w:r>
      <w:r w:rsidRPr="000B31C5">
        <w:t xml:space="preserve"> the afternoon or evening </w:t>
      </w:r>
      <w:r w:rsidR="0034683D">
        <w:t xml:space="preserve">when </w:t>
      </w:r>
      <w:r w:rsidRPr="000B31C5">
        <w:t xml:space="preserve">a fire was set </w:t>
      </w:r>
      <w:r>
        <w:t>in</w:t>
      </w:r>
      <w:r w:rsidRPr="000B31C5">
        <w:t xml:space="preserve"> the family’s house. The Board </w:t>
      </w:r>
      <w:r w:rsidR="0034683D">
        <w:t xml:space="preserve"> </w:t>
      </w:r>
      <w:r w:rsidRPr="000B31C5">
        <w:t xml:space="preserve">emphasized in particular that R.G. had difficulty </w:t>
      </w:r>
      <w:r>
        <w:t>in</w:t>
      </w:r>
      <w:r w:rsidRPr="000B31C5">
        <w:t xml:space="preserve"> determin</w:t>
      </w:r>
      <w:r>
        <w:t>ing</w:t>
      </w:r>
      <w:r w:rsidRPr="000B31C5">
        <w:t xml:space="preserve"> precisely when she discovered a fire in one room, as she ha</w:t>
      </w:r>
      <w:r>
        <w:t>d</w:t>
      </w:r>
      <w:r w:rsidRPr="000B31C5">
        <w:t xml:space="preserve"> not been able precisely and </w:t>
      </w:r>
      <w:r w:rsidR="0034683D">
        <w:t>consistently</w:t>
      </w:r>
      <w:r w:rsidR="0034683D" w:rsidRPr="000B31C5">
        <w:t xml:space="preserve"> </w:t>
      </w:r>
      <w:r w:rsidRPr="000B31C5">
        <w:t xml:space="preserve">to explain where in the house she was when she discovered the fire. The Board thus could not find ground </w:t>
      </w:r>
      <w:r>
        <w:t>to accept that</w:t>
      </w:r>
      <w:r w:rsidRPr="000B31C5">
        <w:t xml:space="preserve"> the authors’ home </w:t>
      </w:r>
      <w:r>
        <w:t>had been</w:t>
      </w:r>
      <w:r w:rsidRPr="000B31C5">
        <w:t xml:space="preserve"> set on fire on 27 May 2012.</w:t>
      </w:r>
    </w:p>
  </w:footnote>
  <w:footnote w:id="7">
    <w:p w14:paraId="1B8A0725" w14:textId="77777777" w:rsidR="00DB11EA" w:rsidRPr="006339C1" w:rsidRDefault="00DB11EA" w:rsidP="00F40A73">
      <w:pPr>
        <w:pStyle w:val="FootnoteText"/>
        <w:rPr>
          <w:lang w:val="en-GB"/>
        </w:rPr>
      </w:pPr>
      <w:r>
        <w:rPr>
          <w:lang w:val="en-GB"/>
        </w:rPr>
        <w:tab/>
      </w:r>
      <w:r>
        <w:rPr>
          <w:rStyle w:val="FootnoteReference"/>
        </w:rPr>
        <w:footnoteRef/>
      </w:r>
      <w:r w:rsidRPr="008F14EE">
        <w:rPr>
          <w:lang w:val="en-GB"/>
        </w:rPr>
        <w:tab/>
      </w:r>
      <w:r>
        <w:rPr>
          <w:lang w:val="en-GB"/>
        </w:rPr>
        <w:t>G and his wife entered Denmark separately from the authors.</w:t>
      </w:r>
    </w:p>
  </w:footnote>
  <w:footnote w:id="8">
    <w:p w14:paraId="1940E463" w14:textId="77777777" w:rsidR="00DB11EA" w:rsidRPr="0030076C" w:rsidRDefault="00DB11EA">
      <w:pPr>
        <w:pStyle w:val="FootnoteText"/>
        <w:rPr>
          <w:szCs w:val="18"/>
          <w:lang w:val="en-GB"/>
        </w:rPr>
      </w:pPr>
      <w:r>
        <w:rPr>
          <w:lang w:val="en-GB"/>
        </w:rPr>
        <w:tab/>
      </w:r>
      <w:r>
        <w:rPr>
          <w:rStyle w:val="FootnoteReference"/>
        </w:rPr>
        <w:footnoteRef/>
      </w:r>
      <w:r>
        <w:rPr>
          <w:lang w:val="en-GB"/>
        </w:rPr>
        <w:tab/>
      </w:r>
      <w:r w:rsidRPr="0030076C">
        <w:rPr>
          <w:szCs w:val="18"/>
          <w:lang w:val="en-GB"/>
        </w:rPr>
        <w:t xml:space="preserve">In this connection, the State party refers to paragraphs 1 and 5 of the Committee’s </w:t>
      </w:r>
      <w:r>
        <w:rPr>
          <w:szCs w:val="18"/>
          <w:lang w:val="en-GB"/>
        </w:rPr>
        <w:t>g</w:t>
      </w:r>
      <w:r w:rsidRPr="0030076C">
        <w:rPr>
          <w:szCs w:val="18"/>
          <w:lang w:val="en-GB"/>
        </w:rPr>
        <w:t xml:space="preserve">eneral </w:t>
      </w:r>
      <w:r>
        <w:rPr>
          <w:szCs w:val="18"/>
          <w:lang w:val="en-GB"/>
        </w:rPr>
        <w:t>c</w:t>
      </w:r>
      <w:r w:rsidRPr="0030076C">
        <w:rPr>
          <w:szCs w:val="18"/>
          <w:lang w:val="en-GB"/>
        </w:rPr>
        <w:t>omment No. 6</w:t>
      </w:r>
      <w:r>
        <w:rPr>
          <w:szCs w:val="18"/>
          <w:lang w:val="en-GB"/>
        </w:rPr>
        <w:t xml:space="preserve"> (1982) on the right to life</w:t>
      </w:r>
      <w:r w:rsidRPr="0030076C">
        <w:rPr>
          <w:szCs w:val="18"/>
          <w:lang w:val="en-GB"/>
        </w:rPr>
        <w:t xml:space="preserve">. </w:t>
      </w:r>
    </w:p>
  </w:footnote>
  <w:footnote w:id="9">
    <w:p w14:paraId="69867856" w14:textId="77777777" w:rsidR="00DB11EA" w:rsidRPr="0030076C" w:rsidRDefault="00DB11EA">
      <w:pPr>
        <w:pStyle w:val="FootnoteText"/>
        <w:rPr>
          <w:szCs w:val="18"/>
          <w:lang w:val="en-GB"/>
        </w:rPr>
      </w:pPr>
      <w:r w:rsidRPr="0030076C">
        <w:rPr>
          <w:szCs w:val="18"/>
          <w:lang w:val="en-GB"/>
        </w:rPr>
        <w:tab/>
      </w:r>
      <w:r w:rsidRPr="0030076C">
        <w:rPr>
          <w:rStyle w:val="FootnoteReference"/>
          <w:szCs w:val="18"/>
        </w:rPr>
        <w:footnoteRef/>
      </w:r>
      <w:r>
        <w:rPr>
          <w:szCs w:val="18"/>
          <w:lang w:val="en-GB"/>
        </w:rPr>
        <w:tab/>
      </w:r>
      <w:r w:rsidRPr="0030076C">
        <w:rPr>
          <w:szCs w:val="18"/>
          <w:lang w:val="en-GB"/>
        </w:rPr>
        <w:t xml:space="preserve">See, </w:t>
      </w:r>
      <w:r w:rsidR="004236AD">
        <w:rPr>
          <w:szCs w:val="18"/>
          <w:lang w:val="en-GB"/>
        </w:rPr>
        <w:t>for example</w:t>
      </w:r>
      <w:r w:rsidRPr="00293C92">
        <w:rPr>
          <w:szCs w:val="18"/>
          <w:lang w:val="en-GB"/>
        </w:rPr>
        <w:t>,</w:t>
      </w:r>
      <w:r w:rsidRPr="0030076C">
        <w:rPr>
          <w:szCs w:val="18"/>
          <w:lang w:val="en-GB"/>
        </w:rPr>
        <w:t xml:space="preserve"> communication No. 2007/2010, </w:t>
      </w:r>
      <w:r w:rsidRPr="00C454AD">
        <w:rPr>
          <w:i/>
          <w:szCs w:val="18"/>
          <w:lang w:val="en-GB"/>
        </w:rPr>
        <w:t>J.J.M</w:t>
      </w:r>
      <w:r w:rsidRPr="00201ACC">
        <w:rPr>
          <w:i/>
          <w:szCs w:val="18"/>
          <w:lang w:val="en-GB"/>
        </w:rPr>
        <w:t>. v. Denmark</w:t>
      </w:r>
      <w:r w:rsidRPr="0030076C">
        <w:rPr>
          <w:szCs w:val="18"/>
          <w:lang w:val="en-GB"/>
        </w:rPr>
        <w:t>, Views adopted on 26 March 2014, para. 9.2.</w:t>
      </w:r>
    </w:p>
  </w:footnote>
  <w:footnote w:id="10">
    <w:p w14:paraId="66C37B4B" w14:textId="77777777" w:rsidR="00DB11EA" w:rsidRPr="00D46CEC" w:rsidRDefault="00DB11EA">
      <w:pPr>
        <w:pStyle w:val="FootnoteText"/>
        <w:rPr>
          <w:lang w:val="en-GB"/>
        </w:rPr>
      </w:pPr>
      <w:r>
        <w:rPr>
          <w:lang w:val="en-GB"/>
        </w:rPr>
        <w:tab/>
      </w:r>
      <w:r>
        <w:rPr>
          <w:rStyle w:val="FootnoteReference"/>
        </w:rPr>
        <w:footnoteRef/>
      </w:r>
      <w:r w:rsidRPr="00FD6742">
        <w:rPr>
          <w:lang w:val="en-GB"/>
        </w:rPr>
        <w:tab/>
      </w:r>
      <w:r>
        <w:rPr>
          <w:lang w:val="en-GB"/>
        </w:rPr>
        <w:t>The d</w:t>
      </w:r>
      <w:r w:rsidRPr="00D46CEC">
        <w:rPr>
          <w:lang w:val="en-GB"/>
        </w:rPr>
        <w:t xml:space="preserve">ecision </w:t>
      </w:r>
      <w:r>
        <w:rPr>
          <w:lang w:val="en-GB"/>
        </w:rPr>
        <w:t>by which the Board refused to reopen the authors’ asylum proceedings.</w:t>
      </w:r>
    </w:p>
  </w:footnote>
  <w:footnote w:id="11">
    <w:p w14:paraId="745DD657" w14:textId="77777777" w:rsidR="00DB11EA" w:rsidRPr="00ED4083" w:rsidRDefault="00DB11EA">
      <w:pPr>
        <w:pStyle w:val="FootnoteText"/>
        <w:rPr>
          <w:lang w:val="en-GB"/>
        </w:rPr>
      </w:pPr>
      <w:r>
        <w:rPr>
          <w:lang w:val="en-GB"/>
        </w:rPr>
        <w:tab/>
      </w:r>
      <w:r>
        <w:rPr>
          <w:rStyle w:val="FootnoteReference"/>
        </w:rPr>
        <w:footnoteRef/>
      </w:r>
      <w:r>
        <w:rPr>
          <w:lang w:val="en-GB"/>
        </w:rPr>
        <w:tab/>
      </w:r>
      <w:r w:rsidR="00CD2046">
        <w:rPr>
          <w:lang w:val="en-GB"/>
        </w:rPr>
        <w:t>J</w:t>
      </w:r>
      <w:r>
        <w:rPr>
          <w:lang w:val="en-GB"/>
        </w:rPr>
        <w:t xml:space="preserve">oined cases C-71/11 and C-99/11, </w:t>
      </w:r>
      <w:r w:rsidRPr="00F40A73">
        <w:rPr>
          <w:i/>
          <w:iCs/>
          <w:lang w:val="en-GB"/>
        </w:rPr>
        <w:t>Federal Republic of Germany v. Y (C-71/11) and Z (C</w:t>
      </w:r>
      <w:r>
        <w:rPr>
          <w:i/>
          <w:iCs/>
          <w:lang w:val="en-GB"/>
        </w:rPr>
        <w:t>-</w:t>
      </w:r>
      <w:r w:rsidRPr="00F40A73">
        <w:rPr>
          <w:i/>
          <w:iCs/>
          <w:lang w:val="en-GB"/>
        </w:rPr>
        <w:t>99/11)</w:t>
      </w:r>
      <w:r w:rsidR="00765063">
        <w:rPr>
          <w:iCs/>
          <w:lang w:val="en-GB"/>
        </w:rPr>
        <w:t xml:space="preserve">, </w:t>
      </w:r>
      <w:r w:rsidR="00CD2046">
        <w:rPr>
          <w:iCs/>
          <w:lang w:val="en-GB"/>
        </w:rPr>
        <w:t>judgement of 5 September 2012</w:t>
      </w:r>
      <w:r>
        <w:rPr>
          <w:lang w:val="en-GB"/>
        </w:rPr>
        <w:t xml:space="preserve">. </w:t>
      </w:r>
    </w:p>
  </w:footnote>
  <w:footnote w:id="12">
    <w:p w14:paraId="4EF4CF9A" w14:textId="77777777" w:rsidR="00DB11EA" w:rsidRPr="003E17EE" w:rsidRDefault="00DB11EA">
      <w:pPr>
        <w:pStyle w:val="FootnoteText"/>
        <w:rPr>
          <w:lang w:val="en-GB"/>
        </w:rPr>
      </w:pPr>
      <w:r>
        <w:rPr>
          <w:lang w:val="en-GB"/>
        </w:rPr>
        <w:tab/>
      </w:r>
      <w:r>
        <w:rPr>
          <w:rStyle w:val="FootnoteReference"/>
        </w:rPr>
        <w:footnoteRef/>
      </w:r>
      <w:r w:rsidRPr="00632D09">
        <w:rPr>
          <w:lang w:val="en-GB"/>
        </w:rPr>
        <w:tab/>
      </w:r>
      <w:r>
        <w:rPr>
          <w:lang w:val="en-GB"/>
        </w:rPr>
        <w:t xml:space="preserve">See </w:t>
      </w:r>
      <w:r w:rsidR="00E96D8D">
        <w:rPr>
          <w:lang w:val="en-GB"/>
        </w:rPr>
        <w:t>United Kingdom</w:t>
      </w:r>
      <w:r>
        <w:rPr>
          <w:lang w:val="en-GB"/>
        </w:rPr>
        <w:t xml:space="preserve"> Home Office </w:t>
      </w:r>
      <w:r w:rsidR="00E96D8D">
        <w:rPr>
          <w:lang w:val="en-GB"/>
        </w:rPr>
        <w:t>,</w:t>
      </w:r>
      <w:r>
        <w:rPr>
          <w:lang w:val="en-GB"/>
        </w:rPr>
        <w:t>Country of Origin Information</w:t>
      </w:r>
      <w:r w:rsidR="00E96D8D">
        <w:rPr>
          <w:lang w:val="en-GB"/>
        </w:rPr>
        <w:t xml:space="preserve"> of</w:t>
      </w:r>
      <w:r>
        <w:rPr>
          <w:lang w:val="en-GB"/>
        </w:rPr>
        <w:t xml:space="preserve"> 9 August 2013, sect</w:t>
      </w:r>
      <w:r w:rsidR="00E96D8D">
        <w:rPr>
          <w:lang w:val="en-GB"/>
        </w:rPr>
        <w:t xml:space="preserve">. </w:t>
      </w:r>
      <w:r>
        <w:rPr>
          <w:lang w:val="en-GB"/>
        </w:rPr>
        <w:t xml:space="preserve">19.180, and </w:t>
      </w:r>
      <w:r w:rsidR="00E96D8D">
        <w:rPr>
          <w:lang w:val="en-GB"/>
        </w:rPr>
        <w:t xml:space="preserve">Landinfo – Country of Origin Information Centre (Norway), </w:t>
      </w:r>
      <w:r>
        <w:rPr>
          <w:lang w:val="en-GB"/>
        </w:rPr>
        <w:t xml:space="preserve">“Thematic </w:t>
      </w:r>
      <w:r w:rsidR="00F1401B">
        <w:rPr>
          <w:lang w:val="en-GB"/>
        </w:rPr>
        <w:t>m</w:t>
      </w:r>
      <w:r>
        <w:rPr>
          <w:lang w:val="en-GB"/>
        </w:rPr>
        <w:t xml:space="preserve">emorandum on Pakistan: </w:t>
      </w:r>
      <w:r w:rsidR="00F1401B">
        <w:rPr>
          <w:lang w:val="en-GB"/>
        </w:rPr>
        <w:t>s</w:t>
      </w:r>
      <w:r>
        <w:rPr>
          <w:lang w:val="en-GB"/>
        </w:rPr>
        <w:t>ituation for Christians”</w:t>
      </w:r>
      <w:r w:rsidR="00F1401B">
        <w:rPr>
          <w:lang w:val="en-GB"/>
        </w:rPr>
        <w:t xml:space="preserve"> (in Norwegian),</w:t>
      </w:r>
      <w:r>
        <w:rPr>
          <w:lang w:val="en-GB"/>
        </w:rPr>
        <w:t xml:space="preserve"> 20 June 2013. </w:t>
      </w:r>
    </w:p>
  </w:footnote>
  <w:footnote w:id="13">
    <w:p w14:paraId="20CD1480" w14:textId="77777777" w:rsidR="00DB11EA" w:rsidRPr="00EF4292" w:rsidRDefault="00DB11EA">
      <w:pPr>
        <w:pStyle w:val="FootnoteText"/>
        <w:rPr>
          <w:lang w:val="en-GB"/>
        </w:rPr>
      </w:pPr>
      <w:r>
        <w:rPr>
          <w:lang w:val="en-GB"/>
        </w:rPr>
        <w:tab/>
      </w:r>
      <w:r>
        <w:rPr>
          <w:rStyle w:val="FootnoteReference"/>
        </w:rPr>
        <w:footnoteRef/>
      </w:r>
      <w:r>
        <w:rPr>
          <w:lang w:val="en-GB"/>
        </w:rPr>
        <w:tab/>
      </w:r>
      <w:r>
        <w:rPr>
          <w:lang w:val="en-GB" w:bidi="he-IL"/>
        </w:rPr>
        <w:t xml:space="preserve">The State party refers in this connection to </w:t>
      </w:r>
      <w:r>
        <w:rPr>
          <w:lang w:val="en-GB"/>
        </w:rPr>
        <w:t>the Eligibility Guidelines for Assessing the International Protection Needs of Members of Religious Minorities from Pakistan of 14 May 2012</w:t>
      </w:r>
      <w:r w:rsidR="008C4159">
        <w:rPr>
          <w:lang w:val="en-GB"/>
        </w:rPr>
        <w:t xml:space="preserve"> issued by the Office of the United Nations High Commissioner for Refugees (UNHCR)</w:t>
      </w:r>
      <w:r>
        <w:rPr>
          <w:lang w:val="en-GB"/>
        </w:rPr>
        <w:t>, particularly p</w:t>
      </w:r>
      <w:r w:rsidR="004F372F">
        <w:rPr>
          <w:lang w:val="en-GB"/>
        </w:rPr>
        <w:t>p</w:t>
      </w:r>
      <w:r w:rsidR="008C4159">
        <w:rPr>
          <w:lang w:val="en-GB"/>
        </w:rPr>
        <w:t>.</w:t>
      </w:r>
      <w:r>
        <w:rPr>
          <w:lang w:val="en-GB"/>
        </w:rPr>
        <w:t xml:space="preserve"> 25 </w:t>
      </w:r>
      <w:r w:rsidRPr="00F40A73">
        <w:rPr>
          <w:lang w:val="en-GB"/>
        </w:rPr>
        <w:t>et seq</w:t>
      </w:r>
      <w:r>
        <w:rPr>
          <w:i/>
          <w:lang w:val="en-GB" w:bidi="he-IL"/>
        </w:rPr>
        <w:t xml:space="preserve">. </w:t>
      </w:r>
      <w:r>
        <w:rPr>
          <w:lang w:val="en-GB"/>
        </w:rPr>
        <w:t xml:space="preserve">The Guidelines indicate that </w:t>
      </w:r>
      <w:r>
        <w:rPr>
          <w:lang w:val="en-GB" w:bidi="he-IL"/>
        </w:rPr>
        <w:t xml:space="preserve">members of </w:t>
      </w:r>
      <w:r>
        <w:rPr>
          <w:lang w:val="en-GB"/>
        </w:rPr>
        <w:t xml:space="preserve">the </w:t>
      </w:r>
      <w:r>
        <w:t>Christian minority</w:t>
      </w:r>
      <w:r>
        <w:rPr>
          <w:lang w:val="en-GB"/>
        </w:rPr>
        <w:t xml:space="preserve"> </w:t>
      </w:r>
      <w:r>
        <w:t xml:space="preserve">in Pakistan </w:t>
      </w:r>
      <w:r>
        <w:rPr>
          <w:lang w:bidi="he-IL"/>
        </w:rPr>
        <w:t>are</w:t>
      </w:r>
      <w:r>
        <w:t xml:space="preserve"> subject to recurrent</w:t>
      </w:r>
      <w:r>
        <w:rPr>
          <w:lang w:val="en-GB"/>
        </w:rPr>
        <w:t xml:space="preserve"> discrimination </w:t>
      </w:r>
      <w:r>
        <w:t>and harassment, as well as</w:t>
      </w:r>
      <w:r>
        <w:rPr>
          <w:lang w:val="en-GB"/>
        </w:rPr>
        <w:t xml:space="preserve"> </w:t>
      </w:r>
      <w:r>
        <w:t>acts of religiously motivated violence, at the hands of militant groups and fundamentalist elements</w:t>
      </w:r>
      <w:r>
        <w:rPr>
          <w:lang w:val="en-GB"/>
        </w:rPr>
        <w:t xml:space="preserve">. </w:t>
      </w:r>
      <w:r w:rsidRPr="00EF4292">
        <w:rPr>
          <w:lang w:val="en-GB"/>
        </w:rPr>
        <w:t>Criminal provisions, particularly the blasphemy laws,</w:t>
      </w:r>
      <w:r>
        <w:rPr>
          <w:lang w:val="en-GB"/>
        </w:rPr>
        <w:t xml:space="preserve"> </w:t>
      </w:r>
      <w:r w:rsidRPr="00EF4292">
        <w:rPr>
          <w:lang w:val="en-GB"/>
        </w:rPr>
        <w:t>are reportedly used by militant organizations</w:t>
      </w:r>
      <w:r>
        <w:rPr>
          <w:lang w:val="en-GB"/>
        </w:rPr>
        <w:t xml:space="preserve"> </w:t>
      </w:r>
      <w:r w:rsidRPr="00EF4292">
        <w:rPr>
          <w:lang w:val="en-GB"/>
        </w:rPr>
        <w:t xml:space="preserve">and members of some Muslim communities to intimidate and harass </w:t>
      </w:r>
      <w:r>
        <w:rPr>
          <w:lang w:val="en-GB"/>
        </w:rPr>
        <w:t xml:space="preserve">Christians, as well as to exact </w:t>
      </w:r>
      <w:r w:rsidRPr="00EF4292">
        <w:rPr>
          <w:lang w:val="en-GB"/>
        </w:rPr>
        <w:t>revenge or settle personal or business disputes</w:t>
      </w:r>
      <w:r>
        <w:rPr>
          <w:lang w:val="en-GB"/>
        </w:rPr>
        <w:t>.</w:t>
      </w:r>
    </w:p>
  </w:footnote>
  <w:footnote w:id="14">
    <w:p w14:paraId="769825E6" w14:textId="77777777" w:rsidR="00DB11EA" w:rsidRPr="00475A30" w:rsidRDefault="00DB11EA">
      <w:pPr>
        <w:pStyle w:val="FootnoteText"/>
        <w:rPr>
          <w:lang w:val="en-GB"/>
        </w:rPr>
      </w:pPr>
      <w:r>
        <w:rPr>
          <w:lang w:val="en-GB"/>
        </w:rPr>
        <w:tab/>
      </w:r>
      <w:r>
        <w:rPr>
          <w:rStyle w:val="FootnoteReference"/>
        </w:rPr>
        <w:footnoteRef/>
      </w:r>
      <w:r w:rsidRPr="00632D09">
        <w:rPr>
          <w:lang w:val="en-GB"/>
        </w:rPr>
        <w:tab/>
      </w:r>
      <w:r w:rsidRPr="00475A30">
        <w:t xml:space="preserve">See </w:t>
      </w:r>
      <w:r w:rsidR="008C4159">
        <w:t>r</w:t>
      </w:r>
      <w:r w:rsidRPr="00475A30">
        <w:t xml:space="preserve">ule 96 (b) of the Committee’s </w:t>
      </w:r>
      <w:r>
        <w:rPr>
          <w:lang w:val="en-GB"/>
        </w:rPr>
        <w:t>r</w:t>
      </w:r>
      <w:r w:rsidRPr="00475A30">
        <w:t xml:space="preserve">ules of </w:t>
      </w:r>
      <w:r>
        <w:rPr>
          <w:lang w:val="en-GB"/>
        </w:rPr>
        <w:t>p</w:t>
      </w:r>
      <w:r w:rsidRPr="00475A30">
        <w:t>rocedure.</w:t>
      </w:r>
    </w:p>
  </w:footnote>
  <w:footnote w:id="15">
    <w:p w14:paraId="45F2D99F" w14:textId="77777777" w:rsidR="00DB11EA" w:rsidRPr="00F3424F" w:rsidRDefault="00DB11EA">
      <w:pPr>
        <w:pStyle w:val="FootnoteText"/>
        <w:rPr>
          <w:lang w:val="en-GB"/>
        </w:rPr>
      </w:pPr>
      <w:r>
        <w:rPr>
          <w:lang w:val="en-GB"/>
        </w:rPr>
        <w:tab/>
      </w:r>
      <w:r>
        <w:rPr>
          <w:rStyle w:val="FootnoteReference"/>
        </w:rPr>
        <w:footnoteRef/>
      </w:r>
      <w:r w:rsidRPr="00632D09">
        <w:rPr>
          <w:lang w:val="en-GB"/>
        </w:rPr>
        <w:tab/>
      </w:r>
      <w:hyperlink r:id="rId1" w:history="1">
        <w:r w:rsidRPr="006C1CEB">
          <w:rPr>
            <w:rStyle w:val="Hyperlink"/>
            <w:lang w:val="en-GB"/>
          </w:rPr>
          <w:t>http://voiceof</w:t>
        </w:r>
      </w:hyperlink>
      <w:r>
        <w:rPr>
          <w:lang w:val="en-GB"/>
        </w:rPr>
        <w:t>thepersecuted.wordpress.com/2013/11/20/persecuted-christians-message-to-the-west-and-the-unhcr/.</w:t>
      </w:r>
    </w:p>
  </w:footnote>
  <w:footnote w:id="16">
    <w:p w14:paraId="1093865A" w14:textId="77777777" w:rsidR="00DB11EA" w:rsidRPr="00C86957" w:rsidRDefault="00DB11EA" w:rsidP="00F40A73">
      <w:pPr>
        <w:pStyle w:val="FootnoteText"/>
        <w:rPr>
          <w:lang w:val="en-GB"/>
        </w:rPr>
      </w:pPr>
      <w:r w:rsidRPr="00C86957">
        <w:rPr>
          <w:lang w:val="en-GB"/>
        </w:rPr>
        <w:tab/>
      </w:r>
      <w:r w:rsidRPr="00C86957">
        <w:rPr>
          <w:rStyle w:val="FootnoteReference"/>
          <w:lang w:val="en-GB"/>
        </w:rPr>
        <w:footnoteRef/>
      </w:r>
      <w:r w:rsidRPr="00C86957">
        <w:rPr>
          <w:lang w:val="en-GB"/>
        </w:rPr>
        <w:tab/>
        <w:t xml:space="preserve">See general </w:t>
      </w:r>
      <w:r w:rsidRPr="00994E66">
        <w:t>comment</w:t>
      </w:r>
      <w:r w:rsidRPr="00C86957">
        <w:rPr>
          <w:lang w:val="en-GB"/>
        </w:rPr>
        <w:t xml:space="preserve"> No. 31, para. </w:t>
      </w:r>
      <w:r w:rsidRPr="00313386">
        <w:t>12</w:t>
      </w:r>
      <w:r w:rsidRPr="00C86957">
        <w:rPr>
          <w:lang w:val="en-GB"/>
        </w:rPr>
        <w:t>.</w:t>
      </w:r>
    </w:p>
  </w:footnote>
  <w:footnote w:id="17">
    <w:p w14:paraId="0695D928" w14:textId="77777777" w:rsidR="00DB11EA" w:rsidRDefault="00DB11EA" w:rsidP="00F40A73">
      <w:pPr>
        <w:pStyle w:val="FootnoteText"/>
      </w:pPr>
      <w:r>
        <w:tab/>
      </w:r>
      <w:r>
        <w:rPr>
          <w:rStyle w:val="FootnoteReference"/>
          <w:sz w:val="20"/>
        </w:rPr>
        <w:footnoteRef/>
      </w:r>
      <w:r>
        <w:tab/>
      </w:r>
      <w:r w:rsidRPr="004736B4">
        <w:rPr>
          <w:lang w:val="en-GB"/>
        </w:rPr>
        <w:t xml:space="preserve">See, for example, </w:t>
      </w:r>
      <w:r w:rsidRPr="00632D09">
        <w:rPr>
          <w:i/>
          <w:lang w:val="en-GB"/>
        </w:rPr>
        <w:t>J.J.M.</w:t>
      </w:r>
      <w:r w:rsidRPr="00201ACC">
        <w:rPr>
          <w:i/>
          <w:lang w:val="en-GB"/>
        </w:rPr>
        <w:t xml:space="preserve"> v</w:t>
      </w:r>
      <w:r w:rsidRPr="00973F26">
        <w:rPr>
          <w:i/>
          <w:lang w:val="en-GB"/>
        </w:rPr>
        <w:t>. Denmark</w:t>
      </w:r>
      <w:r>
        <w:rPr>
          <w:lang w:val="en-GB"/>
        </w:rPr>
        <w:t>, para. 9.2</w:t>
      </w:r>
      <w:r w:rsidRPr="00E67325">
        <w:rPr>
          <w:lang w:val="en-GB"/>
        </w:rPr>
        <w:t>.</w:t>
      </w:r>
      <w:r>
        <w:t> </w:t>
      </w:r>
    </w:p>
  </w:footnote>
  <w:footnote w:id="18">
    <w:p w14:paraId="3DB87852" w14:textId="77777777" w:rsidR="00DB11EA" w:rsidRDefault="00DB11EA" w:rsidP="00F40A73">
      <w:pPr>
        <w:pStyle w:val="FootnoteText"/>
      </w:pPr>
      <w:r>
        <w:tab/>
      </w:r>
      <w:r>
        <w:rPr>
          <w:rStyle w:val="FootnoteReference"/>
          <w:sz w:val="20"/>
        </w:rPr>
        <w:footnoteRef/>
      </w:r>
      <w:r>
        <w:tab/>
      </w:r>
      <w:r w:rsidRPr="004736B4">
        <w:rPr>
          <w:lang w:val="en-GB"/>
        </w:rPr>
        <w:t xml:space="preserve">See, for example, </w:t>
      </w:r>
      <w:r w:rsidRPr="00632D09">
        <w:rPr>
          <w:i/>
          <w:lang w:val="en-GB"/>
        </w:rPr>
        <w:t>J.J.M.</w:t>
      </w:r>
      <w:r w:rsidRPr="00201ACC">
        <w:rPr>
          <w:i/>
          <w:lang w:val="en-GB"/>
        </w:rPr>
        <w:t xml:space="preserve"> v.</w:t>
      </w:r>
      <w:r w:rsidRPr="0070096D">
        <w:rPr>
          <w:i/>
          <w:lang w:val="en-GB"/>
        </w:rPr>
        <w:t xml:space="preserve"> Denmark</w:t>
      </w:r>
      <w:r>
        <w:rPr>
          <w:lang w:val="en-GB"/>
        </w:rPr>
        <w:t xml:space="preserve">, para. 9.2 and communication No. </w:t>
      </w:r>
      <w:r>
        <w:t>1833/2008</w:t>
      </w:r>
      <w:r>
        <w:rPr>
          <w:i/>
        </w:rPr>
        <w:t>, X. v. Sweden</w:t>
      </w:r>
      <w:r>
        <w:t>, Views adopted on 1 November 2011, para</w:t>
      </w:r>
      <w:r>
        <w:rPr>
          <w:lang w:val="en-GB"/>
        </w:rPr>
        <w:t xml:space="preserve">. </w:t>
      </w:r>
      <w:r>
        <w:t xml:space="preserve">5.18. </w:t>
      </w:r>
    </w:p>
  </w:footnote>
  <w:footnote w:id="19">
    <w:p w14:paraId="68ECC2BE" w14:textId="77777777" w:rsidR="00DB11EA" w:rsidRDefault="00DB11EA" w:rsidP="00F40A73">
      <w:pPr>
        <w:pStyle w:val="FootnoteText"/>
      </w:pPr>
      <w:r>
        <w:tab/>
      </w:r>
      <w:r>
        <w:rPr>
          <w:rStyle w:val="FootnoteReference"/>
          <w:sz w:val="20"/>
        </w:rPr>
        <w:footnoteRef/>
      </w:r>
      <w:r>
        <w:tab/>
      </w:r>
      <w:r>
        <w:rPr>
          <w:iCs/>
        </w:rPr>
        <w:t xml:space="preserve">Ibid. </w:t>
      </w:r>
    </w:p>
  </w:footnote>
  <w:footnote w:id="20">
    <w:p w14:paraId="5DF7F4DF" w14:textId="77777777" w:rsidR="00DB11EA" w:rsidRPr="00313386" w:rsidRDefault="00DB11EA">
      <w:pPr>
        <w:pStyle w:val="FootnoteText"/>
      </w:pPr>
      <w:r>
        <w:tab/>
      </w:r>
      <w:r>
        <w:rPr>
          <w:rStyle w:val="FootnoteReference"/>
          <w:sz w:val="20"/>
        </w:rPr>
        <w:footnoteRef/>
      </w:r>
      <w:r>
        <w:tab/>
        <w:t>Ibid</w:t>
      </w:r>
      <w:r>
        <w:rPr>
          <w:iCs/>
        </w:rPr>
        <w:t xml:space="preserve">. </w:t>
      </w:r>
      <w:r>
        <w:t xml:space="preserve">See also communication No. 541/1993, </w:t>
      </w:r>
      <w:r>
        <w:rPr>
          <w:i/>
        </w:rPr>
        <w:t>Simms v. Jamaica</w:t>
      </w:r>
      <w:r>
        <w:t>, decision of inadmissibility adopted on 3 April 1995, para. 6.2.</w:t>
      </w:r>
    </w:p>
  </w:footnote>
  <w:footnote w:id="21">
    <w:p w14:paraId="0C7A06E7" w14:textId="77777777" w:rsidR="00DB11EA" w:rsidRPr="00C86957" w:rsidRDefault="00DB11EA">
      <w:pPr>
        <w:pStyle w:val="FootnoteText"/>
        <w:rPr>
          <w:lang w:val="en-GB"/>
        </w:rPr>
      </w:pPr>
      <w:r w:rsidRPr="00C86957">
        <w:rPr>
          <w:lang w:val="en-GB"/>
        </w:rPr>
        <w:tab/>
      </w:r>
      <w:r w:rsidRPr="00C86957">
        <w:rPr>
          <w:rStyle w:val="FootnoteReference"/>
          <w:lang w:val="en-GB"/>
        </w:rPr>
        <w:footnoteRef/>
      </w:r>
      <w:r w:rsidRPr="00C86957">
        <w:rPr>
          <w:lang w:val="en-GB"/>
        </w:rPr>
        <w:tab/>
        <w:t>See communication</w:t>
      </w:r>
      <w:r>
        <w:rPr>
          <w:lang w:val="en-GB"/>
        </w:rPr>
        <w:t>s</w:t>
      </w:r>
      <w:r w:rsidRPr="00C86957">
        <w:rPr>
          <w:lang w:val="en-GB"/>
        </w:rPr>
        <w:t xml:space="preserve"> No. 1763/2008, </w:t>
      </w:r>
      <w:r w:rsidRPr="00C86957">
        <w:rPr>
          <w:i/>
          <w:lang w:val="en-GB"/>
        </w:rPr>
        <w:t>Pillai et al.</w:t>
      </w:r>
      <w:r w:rsidRPr="00C86957">
        <w:rPr>
          <w:lang w:val="en-GB"/>
        </w:rPr>
        <w:t xml:space="preserve"> </w:t>
      </w:r>
      <w:r w:rsidRPr="00F40A73">
        <w:rPr>
          <w:i/>
          <w:lang w:val="en-GB"/>
        </w:rPr>
        <w:t>v.</w:t>
      </w:r>
      <w:r w:rsidRPr="00C86957">
        <w:rPr>
          <w:lang w:val="en-GB"/>
        </w:rPr>
        <w:t xml:space="preserve"> </w:t>
      </w:r>
      <w:r w:rsidRPr="00C86957">
        <w:rPr>
          <w:i/>
          <w:lang w:val="en-GB"/>
        </w:rPr>
        <w:t>Canada</w:t>
      </w:r>
      <w:r w:rsidRPr="00C86957">
        <w:rPr>
          <w:lang w:val="en-GB"/>
        </w:rPr>
        <w:t>, Views adopted on 25 March 2011, para.</w:t>
      </w:r>
      <w:r>
        <w:rPr>
          <w:lang w:val="en-GB"/>
        </w:rPr>
        <w:t> </w:t>
      </w:r>
      <w:r w:rsidRPr="00C86957">
        <w:rPr>
          <w:lang w:val="en-GB"/>
        </w:rPr>
        <w:t>11.4</w:t>
      </w:r>
      <w:r>
        <w:rPr>
          <w:lang w:val="en-GB"/>
        </w:rPr>
        <w:t xml:space="preserve"> and </w:t>
      </w:r>
      <w:r w:rsidRPr="00C86957">
        <w:rPr>
          <w:lang w:val="en-GB"/>
        </w:rPr>
        <w:t xml:space="preserve">No. 1957/2010, </w:t>
      </w:r>
      <w:r w:rsidRPr="00C86957">
        <w:rPr>
          <w:i/>
          <w:lang w:val="en-GB"/>
        </w:rPr>
        <w:t xml:space="preserve">Lin </w:t>
      </w:r>
      <w:r w:rsidRPr="00F40A73">
        <w:rPr>
          <w:i/>
          <w:lang w:val="en-GB"/>
        </w:rPr>
        <w:t>v.</w:t>
      </w:r>
      <w:r w:rsidRPr="00C86957">
        <w:rPr>
          <w:i/>
          <w:lang w:val="en-GB"/>
        </w:rPr>
        <w:t xml:space="preserve"> Australia</w:t>
      </w:r>
      <w:r w:rsidRPr="00C86957">
        <w:rPr>
          <w:lang w:val="en-GB"/>
        </w:rPr>
        <w:t xml:space="preserve">, </w:t>
      </w:r>
      <w:r w:rsidRPr="00313386">
        <w:t>Views</w:t>
      </w:r>
      <w:r w:rsidRPr="00C86957">
        <w:rPr>
          <w:lang w:val="en-GB"/>
        </w:rPr>
        <w:t xml:space="preserve"> adopted on 21 March 2013, para.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8AEBD" w14:textId="77777777" w:rsidR="00DB11EA" w:rsidRPr="00781C83" w:rsidRDefault="00DB11EA" w:rsidP="00781C83">
    <w:pPr>
      <w:pStyle w:val="Header"/>
    </w:pPr>
    <w:r>
      <w:t>CCPR/C/115/D/2351/2014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C4E97" w14:textId="77777777" w:rsidR="00DB11EA" w:rsidRPr="00781C83" w:rsidRDefault="00DB11EA" w:rsidP="00781C83">
    <w:pPr>
      <w:pStyle w:val="Header"/>
      <w:jc w:val="right"/>
    </w:pPr>
    <w:r>
      <w:t>CCPR/C/115/D/2351/2014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04EAF"/>
    <w:multiLevelType w:val="multilevel"/>
    <w:tmpl w:val="C3D8E138"/>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30392689"/>
    <w:multiLevelType w:val="hybridMultilevel"/>
    <w:tmpl w:val="5CD60E38"/>
    <w:lvl w:ilvl="0" w:tplc="ABE62EBC">
      <w:start w:val="2330"/>
      <w:numFmt w:val="bullet"/>
      <w:lvlText w:val=""/>
      <w:lvlJc w:val="left"/>
      <w:pPr>
        <w:ind w:left="1260" w:hanging="360"/>
      </w:pPr>
      <w:rPr>
        <w:rFonts w:ascii="Symbol" w:eastAsia="Times New Roman" w:hAnsi="Symbol" w:cs="Times New Roman" w:hint="default"/>
        <w:sz w:val="18"/>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6EA"/>
    <w:rsid w:val="000044E2"/>
    <w:rsid w:val="00005379"/>
    <w:rsid w:val="00006F7C"/>
    <w:rsid w:val="0000756B"/>
    <w:rsid w:val="00012836"/>
    <w:rsid w:val="000150F6"/>
    <w:rsid w:val="0001627B"/>
    <w:rsid w:val="000166B9"/>
    <w:rsid w:val="000170C3"/>
    <w:rsid w:val="00023024"/>
    <w:rsid w:val="000240AD"/>
    <w:rsid w:val="00024522"/>
    <w:rsid w:val="0002469A"/>
    <w:rsid w:val="00025D41"/>
    <w:rsid w:val="0002635B"/>
    <w:rsid w:val="000272B3"/>
    <w:rsid w:val="000319D6"/>
    <w:rsid w:val="000336D4"/>
    <w:rsid w:val="0003383A"/>
    <w:rsid w:val="0003387B"/>
    <w:rsid w:val="00033CD0"/>
    <w:rsid w:val="00035911"/>
    <w:rsid w:val="00036F3F"/>
    <w:rsid w:val="000377A5"/>
    <w:rsid w:val="0004092D"/>
    <w:rsid w:val="000414AE"/>
    <w:rsid w:val="00041994"/>
    <w:rsid w:val="00050F6B"/>
    <w:rsid w:val="000511DC"/>
    <w:rsid w:val="00054A52"/>
    <w:rsid w:val="00055FFE"/>
    <w:rsid w:val="0005610D"/>
    <w:rsid w:val="000569F0"/>
    <w:rsid w:val="0005782B"/>
    <w:rsid w:val="00057E97"/>
    <w:rsid w:val="00060C3A"/>
    <w:rsid w:val="00065182"/>
    <w:rsid w:val="000660AF"/>
    <w:rsid w:val="00066278"/>
    <w:rsid w:val="00066476"/>
    <w:rsid w:val="000673A3"/>
    <w:rsid w:val="00067CCE"/>
    <w:rsid w:val="000707D1"/>
    <w:rsid w:val="00072C8C"/>
    <w:rsid w:val="000733B5"/>
    <w:rsid w:val="00075D36"/>
    <w:rsid w:val="00081392"/>
    <w:rsid w:val="00081815"/>
    <w:rsid w:val="00081BF7"/>
    <w:rsid w:val="0008245C"/>
    <w:rsid w:val="00084428"/>
    <w:rsid w:val="00090022"/>
    <w:rsid w:val="00090758"/>
    <w:rsid w:val="00091F15"/>
    <w:rsid w:val="000931C0"/>
    <w:rsid w:val="0009642A"/>
    <w:rsid w:val="000970C1"/>
    <w:rsid w:val="000A2EE4"/>
    <w:rsid w:val="000A310C"/>
    <w:rsid w:val="000A39B4"/>
    <w:rsid w:val="000A5559"/>
    <w:rsid w:val="000A69CF"/>
    <w:rsid w:val="000B02C3"/>
    <w:rsid w:val="000B175B"/>
    <w:rsid w:val="000B1788"/>
    <w:rsid w:val="000B1998"/>
    <w:rsid w:val="000B1DEA"/>
    <w:rsid w:val="000B31C5"/>
    <w:rsid w:val="000B3A0F"/>
    <w:rsid w:val="000B4907"/>
    <w:rsid w:val="000B4EF7"/>
    <w:rsid w:val="000B7ADE"/>
    <w:rsid w:val="000C2AB9"/>
    <w:rsid w:val="000C2C03"/>
    <w:rsid w:val="000C2D2E"/>
    <w:rsid w:val="000C2E06"/>
    <w:rsid w:val="000C46B7"/>
    <w:rsid w:val="000C4DA0"/>
    <w:rsid w:val="000C695D"/>
    <w:rsid w:val="000D0ABB"/>
    <w:rsid w:val="000D362D"/>
    <w:rsid w:val="000D3D17"/>
    <w:rsid w:val="000D6E0C"/>
    <w:rsid w:val="000E0415"/>
    <w:rsid w:val="000E07B1"/>
    <w:rsid w:val="000E0E8E"/>
    <w:rsid w:val="000E20F8"/>
    <w:rsid w:val="000E29B9"/>
    <w:rsid w:val="000E483F"/>
    <w:rsid w:val="000E6292"/>
    <w:rsid w:val="000F0AB6"/>
    <w:rsid w:val="000F39F9"/>
    <w:rsid w:val="000F6A6B"/>
    <w:rsid w:val="000F7458"/>
    <w:rsid w:val="000F7E69"/>
    <w:rsid w:val="00102617"/>
    <w:rsid w:val="001037D9"/>
    <w:rsid w:val="001055E7"/>
    <w:rsid w:val="0010720A"/>
    <w:rsid w:val="001103AA"/>
    <w:rsid w:val="00110F83"/>
    <w:rsid w:val="00112792"/>
    <w:rsid w:val="00112984"/>
    <w:rsid w:val="001133DB"/>
    <w:rsid w:val="0011580E"/>
    <w:rsid w:val="00115BC0"/>
    <w:rsid w:val="00117506"/>
    <w:rsid w:val="0011787A"/>
    <w:rsid w:val="00120FDB"/>
    <w:rsid w:val="001223A2"/>
    <w:rsid w:val="001228BA"/>
    <w:rsid w:val="00123712"/>
    <w:rsid w:val="00127619"/>
    <w:rsid w:val="001306DD"/>
    <w:rsid w:val="00130D48"/>
    <w:rsid w:val="0013113A"/>
    <w:rsid w:val="00131B64"/>
    <w:rsid w:val="00131D2D"/>
    <w:rsid w:val="0013235B"/>
    <w:rsid w:val="00132C82"/>
    <w:rsid w:val="001340B3"/>
    <w:rsid w:val="0013480A"/>
    <w:rsid w:val="00134E17"/>
    <w:rsid w:val="00134F55"/>
    <w:rsid w:val="0013666B"/>
    <w:rsid w:val="00136DE8"/>
    <w:rsid w:val="00137249"/>
    <w:rsid w:val="001375A9"/>
    <w:rsid w:val="00142286"/>
    <w:rsid w:val="001448CB"/>
    <w:rsid w:val="00151470"/>
    <w:rsid w:val="00152045"/>
    <w:rsid w:val="001547CC"/>
    <w:rsid w:val="00154DA5"/>
    <w:rsid w:val="00157820"/>
    <w:rsid w:val="00157D19"/>
    <w:rsid w:val="00161351"/>
    <w:rsid w:val="00161364"/>
    <w:rsid w:val="00162DB2"/>
    <w:rsid w:val="00164C92"/>
    <w:rsid w:val="00165F3A"/>
    <w:rsid w:val="00166183"/>
    <w:rsid w:val="00170DDB"/>
    <w:rsid w:val="001721A9"/>
    <w:rsid w:val="0017277A"/>
    <w:rsid w:val="00174528"/>
    <w:rsid w:val="001756D6"/>
    <w:rsid w:val="001758E2"/>
    <w:rsid w:val="001762F0"/>
    <w:rsid w:val="00176D6B"/>
    <w:rsid w:val="001813E5"/>
    <w:rsid w:val="00181F7C"/>
    <w:rsid w:val="00183968"/>
    <w:rsid w:val="001844A0"/>
    <w:rsid w:val="0018481A"/>
    <w:rsid w:val="001905FB"/>
    <w:rsid w:val="001912DB"/>
    <w:rsid w:val="00191845"/>
    <w:rsid w:val="001965C0"/>
    <w:rsid w:val="00196CDF"/>
    <w:rsid w:val="00197F4F"/>
    <w:rsid w:val="001A09DE"/>
    <w:rsid w:val="001A2C08"/>
    <w:rsid w:val="001A2F44"/>
    <w:rsid w:val="001A32CB"/>
    <w:rsid w:val="001A4429"/>
    <w:rsid w:val="001A6461"/>
    <w:rsid w:val="001A660B"/>
    <w:rsid w:val="001A6686"/>
    <w:rsid w:val="001A67B5"/>
    <w:rsid w:val="001A723C"/>
    <w:rsid w:val="001A7E43"/>
    <w:rsid w:val="001B4041"/>
    <w:rsid w:val="001B405B"/>
    <w:rsid w:val="001B4485"/>
    <w:rsid w:val="001B4B04"/>
    <w:rsid w:val="001B61C7"/>
    <w:rsid w:val="001B7D22"/>
    <w:rsid w:val="001C09D8"/>
    <w:rsid w:val="001C2697"/>
    <w:rsid w:val="001C4471"/>
    <w:rsid w:val="001C5BED"/>
    <w:rsid w:val="001C60E1"/>
    <w:rsid w:val="001C657F"/>
    <w:rsid w:val="001C6663"/>
    <w:rsid w:val="001C7895"/>
    <w:rsid w:val="001C7D37"/>
    <w:rsid w:val="001D0C8C"/>
    <w:rsid w:val="001D26DF"/>
    <w:rsid w:val="001D2B4D"/>
    <w:rsid w:val="001D32E3"/>
    <w:rsid w:val="001D3743"/>
    <w:rsid w:val="001D3A03"/>
    <w:rsid w:val="001D4152"/>
    <w:rsid w:val="001D5F2D"/>
    <w:rsid w:val="001D6813"/>
    <w:rsid w:val="001E10EC"/>
    <w:rsid w:val="001E2B4C"/>
    <w:rsid w:val="001E4617"/>
    <w:rsid w:val="001E48A9"/>
    <w:rsid w:val="001E6148"/>
    <w:rsid w:val="001E718D"/>
    <w:rsid w:val="001E7AF9"/>
    <w:rsid w:val="001F0720"/>
    <w:rsid w:val="001F08A3"/>
    <w:rsid w:val="001F0F1A"/>
    <w:rsid w:val="001F11EA"/>
    <w:rsid w:val="001F1F1F"/>
    <w:rsid w:val="001F270E"/>
    <w:rsid w:val="001F3F99"/>
    <w:rsid w:val="00201ACC"/>
    <w:rsid w:val="00202DA8"/>
    <w:rsid w:val="00203877"/>
    <w:rsid w:val="002069CC"/>
    <w:rsid w:val="00211E0B"/>
    <w:rsid w:val="00213E21"/>
    <w:rsid w:val="002148EF"/>
    <w:rsid w:val="00217D74"/>
    <w:rsid w:val="00220677"/>
    <w:rsid w:val="00220E65"/>
    <w:rsid w:val="00221995"/>
    <w:rsid w:val="00222689"/>
    <w:rsid w:val="00223C0D"/>
    <w:rsid w:val="00224AED"/>
    <w:rsid w:val="0022501D"/>
    <w:rsid w:val="002256A1"/>
    <w:rsid w:val="00230D7F"/>
    <w:rsid w:val="002314F8"/>
    <w:rsid w:val="0023185A"/>
    <w:rsid w:val="0023210C"/>
    <w:rsid w:val="00232334"/>
    <w:rsid w:val="00232447"/>
    <w:rsid w:val="00233707"/>
    <w:rsid w:val="00235021"/>
    <w:rsid w:val="002361D0"/>
    <w:rsid w:val="00240564"/>
    <w:rsid w:val="00240F4B"/>
    <w:rsid w:val="0024139E"/>
    <w:rsid w:val="00241B39"/>
    <w:rsid w:val="00243C13"/>
    <w:rsid w:val="00250292"/>
    <w:rsid w:val="0025162E"/>
    <w:rsid w:val="0025487E"/>
    <w:rsid w:val="002618BF"/>
    <w:rsid w:val="002633B3"/>
    <w:rsid w:val="002650C2"/>
    <w:rsid w:val="002656E9"/>
    <w:rsid w:val="00265CF8"/>
    <w:rsid w:val="00266EB7"/>
    <w:rsid w:val="00267F5F"/>
    <w:rsid w:val="002701C6"/>
    <w:rsid w:val="00270215"/>
    <w:rsid w:val="00271484"/>
    <w:rsid w:val="00271BCF"/>
    <w:rsid w:val="00272A54"/>
    <w:rsid w:val="00273B14"/>
    <w:rsid w:val="00274DEA"/>
    <w:rsid w:val="002763CB"/>
    <w:rsid w:val="002770B4"/>
    <w:rsid w:val="00281144"/>
    <w:rsid w:val="00282899"/>
    <w:rsid w:val="0028489A"/>
    <w:rsid w:val="002863A9"/>
    <w:rsid w:val="00286B36"/>
    <w:rsid w:val="00286B4D"/>
    <w:rsid w:val="00286FB9"/>
    <w:rsid w:val="00287D5E"/>
    <w:rsid w:val="00292F7D"/>
    <w:rsid w:val="0029365C"/>
    <w:rsid w:val="00293B90"/>
    <w:rsid w:val="00293C92"/>
    <w:rsid w:val="002942E3"/>
    <w:rsid w:val="002A0E62"/>
    <w:rsid w:val="002A1243"/>
    <w:rsid w:val="002A2B93"/>
    <w:rsid w:val="002A3CBA"/>
    <w:rsid w:val="002A4B67"/>
    <w:rsid w:val="002A728F"/>
    <w:rsid w:val="002A7B1C"/>
    <w:rsid w:val="002B0D53"/>
    <w:rsid w:val="002B3B76"/>
    <w:rsid w:val="002B3F1E"/>
    <w:rsid w:val="002B6B05"/>
    <w:rsid w:val="002C06BA"/>
    <w:rsid w:val="002C07F5"/>
    <w:rsid w:val="002C2755"/>
    <w:rsid w:val="002C4D28"/>
    <w:rsid w:val="002C5BCD"/>
    <w:rsid w:val="002D18B7"/>
    <w:rsid w:val="002D3AF5"/>
    <w:rsid w:val="002D4CB1"/>
    <w:rsid w:val="002D76B1"/>
    <w:rsid w:val="002E0159"/>
    <w:rsid w:val="002E1084"/>
    <w:rsid w:val="002E141A"/>
    <w:rsid w:val="002E52B1"/>
    <w:rsid w:val="002E56CE"/>
    <w:rsid w:val="002E595E"/>
    <w:rsid w:val="002E5C99"/>
    <w:rsid w:val="002E69AE"/>
    <w:rsid w:val="002F039C"/>
    <w:rsid w:val="002F175C"/>
    <w:rsid w:val="002F1942"/>
    <w:rsid w:val="002F2C3A"/>
    <w:rsid w:val="002F44A3"/>
    <w:rsid w:val="002F4557"/>
    <w:rsid w:val="002F4621"/>
    <w:rsid w:val="002F5159"/>
    <w:rsid w:val="002F582A"/>
    <w:rsid w:val="0030076C"/>
    <w:rsid w:val="0030138D"/>
    <w:rsid w:val="0030374C"/>
    <w:rsid w:val="00306124"/>
    <w:rsid w:val="003069CB"/>
    <w:rsid w:val="00307164"/>
    <w:rsid w:val="003071CA"/>
    <w:rsid w:val="00307884"/>
    <w:rsid w:val="00313386"/>
    <w:rsid w:val="003134AC"/>
    <w:rsid w:val="003146F0"/>
    <w:rsid w:val="0031721B"/>
    <w:rsid w:val="00317544"/>
    <w:rsid w:val="00320E07"/>
    <w:rsid w:val="0032230D"/>
    <w:rsid w:val="003229D8"/>
    <w:rsid w:val="00323632"/>
    <w:rsid w:val="00324374"/>
    <w:rsid w:val="00326BD4"/>
    <w:rsid w:val="00327502"/>
    <w:rsid w:val="0033021C"/>
    <w:rsid w:val="00330DB1"/>
    <w:rsid w:val="00331F5B"/>
    <w:rsid w:val="00333A3C"/>
    <w:rsid w:val="00334C7F"/>
    <w:rsid w:val="003350B6"/>
    <w:rsid w:val="00335DD7"/>
    <w:rsid w:val="00340A69"/>
    <w:rsid w:val="00341E55"/>
    <w:rsid w:val="00344919"/>
    <w:rsid w:val="00345647"/>
    <w:rsid w:val="0034683D"/>
    <w:rsid w:val="00351398"/>
    <w:rsid w:val="00352709"/>
    <w:rsid w:val="00353633"/>
    <w:rsid w:val="003539AC"/>
    <w:rsid w:val="003547CD"/>
    <w:rsid w:val="00354AA8"/>
    <w:rsid w:val="00362BEC"/>
    <w:rsid w:val="00363A98"/>
    <w:rsid w:val="0036645D"/>
    <w:rsid w:val="003667AD"/>
    <w:rsid w:val="00367567"/>
    <w:rsid w:val="003705C9"/>
    <w:rsid w:val="00371095"/>
    <w:rsid w:val="00371178"/>
    <w:rsid w:val="0037301C"/>
    <w:rsid w:val="003730DD"/>
    <w:rsid w:val="0037429D"/>
    <w:rsid w:val="00375119"/>
    <w:rsid w:val="00376720"/>
    <w:rsid w:val="00377828"/>
    <w:rsid w:val="003801D5"/>
    <w:rsid w:val="003823CB"/>
    <w:rsid w:val="0038336C"/>
    <w:rsid w:val="003840FD"/>
    <w:rsid w:val="00384F90"/>
    <w:rsid w:val="00386624"/>
    <w:rsid w:val="00387ECB"/>
    <w:rsid w:val="003903FC"/>
    <w:rsid w:val="003909E7"/>
    <w:rsid w:val="00392852"/>
    <w:rsid w:val="00392947"/>
    <w:rsid w:val="0039347E"/>
    <w:rsid w:val="003954DB"/>
    <w:rsid w:val="0039676D"/>
    <w:rsid w:val="003A1602"/>
    <w:rsid w:val="003A325A"/>
    <w:rsid w:val="003A356D"/>
    <w:rsid w:val="003A6810"/>
    <w:rsid w:val="003A6EFA"/>
    <w:rsid w:val="003A70FC"/>
    <w:rsid w:val="003A7AF2"/>
    <w:rsid w:val="003B0742"/>
    <w:rsid w:val="003C02AB"/>
    <w:rsid w:val="003C1635"/>
    <w:rsid w:val="003C2CC4"/>
    <w:rsid w:val="003C3543"/>
    <w:rsid w:val="003C44AD"/>
    <w:rsid w:val="003C730E"/>
    <w:rsid w:val="003D1C5A"/>
    <w:rsid w:val="003D2795"/>
    <w:rsid w:val="003D3E59"/>
    <w:rsid w:val="003D4B23"/>
    <w:rsid w:val="003D52B0"/>
    <w:rsid w:val="003E17EE"/>
    <w:rsid w:val="003E2BA4"/>
    <w:rsid w:val="003E4173"/>
    <w:rsid w:val="003E4F24"/>
    <w:rsid w:val="003E6A36"/>
    <w:rsid w:val="003E6F7E"/>
    <w:rsid w:val="003E75F0"/>
    <w:rsid w:val="003E79B5"/>
    <w:rsid w:val="003F1DDD"/>
    <w:rsid w:val="003F2CA6"/>
    <w:rsid w:val="00405473"/>
    <w:rsid w:val="004071AB"/>
    <w:rsid w:val="00407A4C"/>
    <w:rsid w:val="00410C89"/>
    <w:rsid w:val="00414167"/>
    <w:rsid w:val="00414931"/>
    <w:rsid w:val="00414B35"/>
    <w:rsid w:val="00414F92"/>
    <w:rsid w:val="004227C0"/>
    <w:rsid w:val="004236AD"/>
    <w:rsid w:val="004247BF"/>
    <w:rsid w:val="004257BF"/>
    <w:rsid w:val="00426B9B"/>
    <w:rsid w:val="0043003F"/>
    <w:rsid w:val="0043043F"/>
    <w:rsid w:val="00431396"/>
    <w:rsid w:val="0043211D"/>
    <w:rsid w:val="004325CB"/>
    <w:rsid w:val="00432C41"/>
    <w:rsid w:val="004336A2"/>
    <w:rsid w:val="00433BF1"/>
    <w:rsid w:val="0043469F"/>
    <w:rsid w:val="00436972"/>
    <w:rsid w:val="00436B33"/>
    <w:rsid w:val="00436E7E"/>
    <w:rsid w:val="00437253"/>
    <w:rsid w:val="00442A83"/>
    <w:rsid w:val="00442C9D"/>
    <w:rsid w:val="00442EB6"/>
    <w:rsid w:val="00445A57"/>
    <w:rsid w:val="00446ABC"/>
    <w:rsid w:val="00450D0E"/>
    <w:rsid w:val="0045285D"/>
    <w:rsid w:val="0045495B"/>
    <w:rsid w:val="00454E5B"/>
    <w:rsid w:val="004556B9"/>
    <w:rsid w:val="00455C43"/>
    <w:rsid w:val="004607BF"/>
    <w:rsid w:val="00463A2A"/>
    <w:rsid w:val="00464446"/>
    <w:rsid w:val="004653C7"/>
    <w:rsid w:val="00466B4C"/>
    <w:rsid w:val="00466FA4"/>
    <w:rsid w:val="004677D0"/>
    <w:rsid w:val="00467A53"/>
    <w:rsid w:val="0047173A"/>
    <w:rsid w:val="004736B4"/>
    <w:rsid w:val="00473963"/>
    <w:rsid w:val="0047443B"/>
    <w:rsid w:val="00475A30"/>
    <w:rsid w:val="00476073"/>
    <w:rsid w:val="00481C19"/>
    <w:rsid w:val="00481CB1"/>
    <w:rsid w:val="00483FA5"/>
    <w:rsid w:val="00487488"/>
    <w:rsid w:val="00487FB8"/>
    <w:rsid w:val="0049072C"/>
    <w:rsid w:val="00491B1C"/>
    <w:rsid w:val="00491C25"/>
    <w:rsid w:val="0049219B"/>
    <w:rsid w:val="00492709"/>
    <w:rsid w:val="0049418F"/>
    <w:rsid w:val="00494976"/>
    <w:rsid w:val="00495924"/>
    <w:rsid w:val="00495A34"/>
    <w:rsid w:val="00497CBC"/>
    <w:rsid w:val="004A0AD8"/>
    <w:rsid w:val="004A1789"/>
    <w:rsid w:val="004A1B96"/>
    <w:rsid w:val="004A2789"/>
    <w:rsid w:val="004A28A7"/>
    <w:rsid w:val="004A3AAD"/>
    <w:rsid w:val="004A3E34"/>
    <w:rsid w:val="004A4406"/>
    <w:rsid w:val="004A4E95"/>
    <w:rsid w:val="004A6D79"/>
    <w:rsid w:val="004B3089"/>
    <w:rsid w:val="004B4D50"/>
    <w:rsid w:val="004B52F8"/>
    <w:rsid w:val="004B5612"/>
    <w:rsid w:val="004B72AF"/>
    <w:rsid w:val="004B792D"/>
    <w:rsid w:val="004C55DD"/>
    <w:rsid w:val="004C578B"/>
    <w:rsid w:val="004D0446"/>
    <w:rsid w:val="004D4342"/>
    <w:rsid w:val="004D48AA"/>
    <w:rsid w:val="004D5BD1"/>
    <w:rsid w:val="004D6913"/>
    <w:rsid w:val="004E15CC"/>
    <w:rsid w:val="004E3C1F"/>
    <w:rsid w:val="004E7047"/>
    <w:rsid w:val="004F0156"/>
    <w:rsid w:val="004F1D45"/>
    <w:rsid w:val="004F286C"/>
    <w:rsid w:val="004F372F"/>
    <w:rsid w:val="004F5078"/>
    <w:rsid w:val="004F56B6"/>
    <w:rsid w:val="004F6D89"/>
    <w:rsid w:val="005007C9"/>
    <w:rsid w:val="005017E0"/>
    <w:rsid w:val="0050328D"/>
    <w:rsid w:val="00505D08"/>
    <w:rsid w:val="00507DE8"/>
    <w:rsid w:val="00510DF4"/>
    <w:rsid w:val="005125F0"/>
    <w:rsid w:val="005167F1"/>
    <w:rsid w:val="00520190"/>
    <w:rsid w:val="00520400"/>
    <w:rsid w:val="0052136D"/>
    <w:rsid w:val="005232E6"/>
    <w:rsid w:val="00525395"/>
    <w:rsid w:val="0052775E"/>
    <w:rsid w:val="005334CB"/>
    <w:rsid w:val="00533FA3"/>
    <w:rsid w:val="0053596B"/>
    <w:rsid w:val="00537ED4"/>
    <w:rsid w:val="005409DC"/>
    <w:rsid w:val="00540F02"/>
    <w:rsid w:val="0054109A"/>
    <w:rsid w:val="0054150C"/>
    <w:rsid w:val="005420F2"/>
    <w:rsid w:val="00546665"/>
    <w:rsid w:val="00550D3B"/>
    <w:rsid w:val="0055166E"/>
    <w:rsid w:val="00551883"/>
    <w:rsid w:val="00555470"/>
    <w:rsid w:val="00560BA5"/>
    <w:rsid w:val="005619D1"/>
    <w:rsid w:val="00561B68"/>
    <w:rsid w:val="005628B6"/>
    <w:rsid w:val="00563E3E"/>
    <w:rsid w:val="005640D1"/>
    <w:rsid w:val="00564714"/>
    <w:rsid w:val="0056473A"/>
    <w:rsid w:val="00564C5D"/>
    <w:rsid w:val="00565BE7"/>
    <w:rsid w:val="0056624F"/>
    <w:rsid w:val="005664E5"/>
    <w:rsid w:val="00567011"/>
    <w:rsid w:val="005722B3"/>
    <w:rsid w:val="00572E29"/>
    <w:rsid w:val="0057373C"/>
    <w:rsid w:val="0057585A"/>
    <w:rsid w:val="0057598A"/>
    <w:rsid w:val="00575BA3"/>
    <w:rsid w:val="005770B9"/>
    <w:rsid w:val="00577E84"/>
    <w:rsid w:val="005848B3"/>
    <w:rsid w:val="00590F87"/>
    <w:rsid w:val="00591A9E"/>
    <w:rsid w:val="00592C4A"/>
    <w:rsid w:val="00594B71"/>
    <w:rsid w:val="00596257"/>
    <w:rsid w:val="005A0415"/>
    <w:rsid w:val="005A2ACD"/>
    <w:rsid w:val="005A2C35"/>
    <w:rsid w:val="005A4CE7"/>
    <w:rsid w:val="005A6D15"/>
    <w:rsid w:val="005A76D9"/>
    <w:rsid w:val="005B09AE"/>
    <w:rsid w:val="005B15AD"/>
    <w:rsid w:val="005B2E24"/>
    <w:rsid w:val="005B38A5"/>
    <w:rsid w:val="005B3DB3"/>
    <w:rsid w:val="005B4491"/>
    <w:rsid w:val="005B4F61"/>
    <w:rsid w:val="005B6047"/>
    <w:rsid w:val="005C0595"/>
    <w:rsid w:val="005C068E"/>
    <w:rsid w:val="005C11C1"/>
    <w:rsid w:val="005C1678"/>
    <w:rsid w:val="005C176E"/>
    <w:rsid w:val="005C1C11"/>
    <w:rsid w:val="005C2131"/>
    <w:rsid w:val="005C223E"/>
    <w:rsid w:val="005C413D"/>
    <w:rsid w:val="005C4A9E"/>
    <w:rsid w:val="005C4CEC"/>
    <w:rsid w:val="005C5103"/>
    <w:rsid w:val="005D0679"/>
    <w:rsid w:val="005D32AF"/>
    <w:rsid w:val="005D5721"/>
    <w:rsid w:val="005D5AF5"/>
    <w:rsid w:val="005D7CB5"/>
    <w:rsid w:val="005E021C"/>
    <w:rsid w:val="005E2F71"/>
    <w:rsid w:val="005E5805"/>
    <w:rsid w:val="005E783D"/>
    <w:rsid w:val="005E7E03"/>
    <w:rsid w:val="005F1320"/>
    <w:rsid w:val="005F148F"/>
    <w:rsid w:val="005F2AE1"/>
    <w:rsid w:val="005F41B4"/>
    <w:rsid w:val="005F48BE"/>
    <w:rsid w:val="005F53B6"/>
    <w:rsid w:val="005F5699"/>
    <w:rsid w:val="005F59B9"/>
    <w:rsid w:val="005F604A"/>
    <w:rsid w:val="005F7717"/>
    <w:rsid w:val="005F7B75"/>
    <w:rsid w:val="005F7F93"/>
    <w:rsid w:val="006001B0"/>
    <w:rsid w:val="006001EE"/>
    <w:rsid w:val="00605042"/>
    <w:rsid w:val="00606C4E"/>
    <w:rsid w:val="00607BC1"/>
    <w:rsid w:val="006108E0"/>
    <w:rsid w:val="00611FC4"/>
    <w:rsid w:val="00613FE0"/>
    <w:rsid w:val="006148AF"/>
    <w:rsid w:val="006160CB"/>
    <w:rsid w:val="00616972"/>
    <w:rsid w:val="00616D0B"/>
    <w:rsid w:val="006175B9"/>
    <w:rsid w:val="006176FB"/>
    <w:rsid w:val="0062108F"/>
    <w:rsid w:val="006239C9"/>
    <w:rsid w:val="00623FD3"/>
    <w:rsid w:val="0062462D"/>
    <w:rsid w:val="0062630E"/>
    <w:rsid w:val="0062645D"/>
    <w:rsid w:val="006274AD"/>
    <w:rsid w:val="00627FB0"/>
    <w:rsid w:val="00631164"/>
    <w:rsid w:val="006312B5"/>
    <w:rsid w:val="00631C31"/>
    <w:rsid w:val="006321A4"/>
    <w:rsid w:val="00632D09"/>
    <w:rsid w:val="00632E25"/>
    <w:rsid w:val="0063379B"/>
    <w:rsid w:val="006339C1"/>
    <w:rsid w:val="00635DDA"/>
    <w:rsid w:val="0064091B"/>
    <w:rsid w:val="00640B26"/>
    <w:rsid w:val="00640C76"/>
    <w:rsid w:val="00641231"/>
    <w:rsid w:val="006418CC"/>
    <w:rsid w:val="006427DB"/>
    <w:rsid w:val="00645379"/>
    <w:rsid w:val="00645949"/>
    <w:rsid w:val="006507CD"/>
    <w:rsid w:val="006509F9"/>
    <w:rsid w:val="00652D0A"/>
    <w:rsid w:val="00653DBF"/>
    <w:rsid w:val="00654447"/>
    <w:rsid w:val="0065716F"/>
    <w:rsid w:val="00660559"/>
    <w:rsid w:val="00661464"/>
    <w:rsid w:val="00662BB6"/>
    <w:rsid w:val="006637A4"/>
    <w:rsid w:val="006639CD"/>
    <w:rsid w:val="00665D56"/>
    <w:rsid w:val="00667211"/>
    <w:rsid w:val="00667C61"/>
    <w:rsid w:val="00670606"/>
    <w:rsid w:val="00671948"/>
    <w:rsid w:val="00672110"/>
    <w:rsid w:val="006743E9"/>
    <w:rsid w:val="00674D65"/>
    <w:rsid w:val="00676FBF"/>
    <w:rsid w:val="00681678"/>
    <w:rsid w:val="00681702"/>
    <w:rsid w:val="00682284"/>
    <w:rsid w:val="00683323"/>
    <w:rsid w:val="006838C8"/>
    <w:rsid w:val="00684C21"/>
    <w:rsid w:val="0068591F"/>
    <w:rsid w:val="00685FA6"/>
    <w:rsid w:val="00686C0D"/>
    <w:rsid w:val="0068743C"/>
    <w:rsid w:val="006904E1"/>
    <w:rsid w:val="00690E18"/>
    <w:rsid w:val="00692BBE"/>
    <w:rsid w:val="00694A8C"/>
    <w:rsid w:val="00694AE6"/>
    <w:rsid w:val="006954C6"/>
    <w:rsid w:val="00695991"/>
    <w:rsid w:val="0069763E"/>
    <w:rsid w:val="00697F3E"/>
    <w:rsid w:val="006A0B37"/>
    <w:rsid w:val="006A17D5"/>
    <w:rsid w:val="006A378D"/>
    <w:rsid w:val="006A5218"/>
    <w:rsid w:val="006B0052"/>
    <w:rsid w:val="006B346D"/>
    <w:rsid w:val="006B4FA2"/>
    <w:rsid w:val="006B51FE"/>
    <w:rsid w:val="006B58E5"/>
    <w:rsid w:val="006C0244"/>
    <w:rsid w:val="006C0435"/>
    <w:rsid w:val="006C05C1"/>
    <w:rsid w:val="006C3AD1"/>
    <w:rsid w:val="006C65A6"/>
    <w:rsid w:val="006C7A99"/>
    <w:rsid w:val="006C7BEF"/>
    <w:rsid w:val="006D0125"/>
    <w:rsid w:val="006D37AF"/>
    <w:rsid w:val="006D51D0"/>
    <w:rsid w:val="006D53C0"/>
    <w:rsid w:val="006D78C5"/>
    <w:rsid w:val="006E0DD8"/>
    <w:rsid w:val="006E13B7"/>
    <w:rsid w:val="006E1F0D"/>
    <w:rsid w:val="006E212F"/>
    <w:rsid w:val="006E564B"/>
    <w:rsid w:val="006E5A29"/>
    <w:rsid w:val="006E629A"/>
    <w:rsid w:val="006E7191"/>
    <w:rsid w:val="006E7196"/>
    <w:rsid w:val="006F30DF"/>
    <w:rsid w:val="006F464F"/>
    <w:rsid w:val="006F4B86"/>
    <w:rsid w:val="006F52C5"/>
    <w:rsid w:val="006F6515"/>
    <w:rsid w:val="0070096D"/>
    <w:rsid w:val="00703577"/>
    <w:rsid w:val="00703B4A"/>
    <w:rsid w:val="00705625"/>
    <w:rsid w:val="0070588D"/>
    <w:rsid w:val="00707DC0"/>
    <w:rsid w:val="007104CB"/>
    <w:rsid w:val="00710BAD"/>
    <w:rsid w:val="0071171F"/>
    <w:rsid w:val="00711BA7"/>
    <w:rsid w:val="00711F00"/>
    <w:rsid w:val="00713C74"/>
    <w:rsid w:val="00715DDD"/>
    <w:rsid w:val="00716EC7"/>
    <w:rsid w:val="00717ADC"/>
    <w:rsid w:val="00717CAD"/>
    <w:rsid w:val="00717F03"/>
    <w:rsid w:val="0072328C"/>
    <w:rsid w:val="0072632A"/>
    <w:rsid w:val="00726A48"/>
    <w:rsid w:val="00727C31"/>
    <w:rsid w:val="00730335"/>
    <w:rsid w:val="007327D5"/>
    <w:rsid w:val="007334A8"/>
    <w:rsid w:val="00733EB9"/>
    <w:rsid w:val="00734908"/>
    <w:rsid w:val="00734ABE"/>
    <w:rsid w:val="00735474"/>
    <w:rsid w:val="00735CA1"/>
    <w:rsid w:val="00735F4E"/>
    <w:rsid w:val="00736EAD"/>
    <w:rsid w:val="00743494"/>
    <w:rsid w:val="007435F7"/>
    <w:rsid w:val="007449A6"/>
    <w:rsid w:val="0074537D"/>
    <w:rsid w:val="007463A2"/>
    <w:rsid w:val="00746750"/>
    <w:rsid w:val="00746D61"/>
    <w:rsid w:val="007509EB"/>
    <w:rsid w:val="00750FC5"/>
    <w:rsid w:val="007513E9"/>
    <w:rsid w:val="00752285"/>
    <w:rsid w:val="007526A1"/>
    <w:rsid w:val="007533C5"/>
    <w:rsid w:val="0075395D"/>
    <w:rsid w:val="00760B80"/>
    <w:rsid w:val="00762878"/>
    <w:rsid w:val="00762922"/>
    <w:rsid w:val="007629C8"/>
    <w:rsid w:val="00762E39"/>
    <w:rsid w:val="007635DF"/>
    <w:rsid w:val="00764972"/>
    <w:rsid w:val="00765063"/>
    <w:rsid w:val="007651B1"/>
    <w:rsid w:val="007661CD"/>
    <w:rsid w:val="007734FC"/>
    <w:rsid w:val="0077374B"/>
    <w:rsid w:val="007740F1"/>
    <w:rsid w:val="00776E5E"/>
    <w:rsid w:val="00777322"/>
    <w:rsid w:val="00781373"/>
    <w:rsid w:val="00781C83"/>
    <w:rsid w:val="007826F4"/>
    <w:rsid w:val="00782766"/>
    <w:rsid w:val="0078300D"/>
    <w:rsid w:val="00783655"/>
    <w:rsid w:val="00785DB2"/>
    <w:rsid w:val="0078601B"/>
    <w:rsid w:val="0078676D"/>
    <w:rsid w:val="00787E5D"/>
    <w:rsid w:val="0079034E"/>
    <w:rsid w:val="00792116"/>
    <w:rsid w:val="00792AAA"/>
    <w:rsid w:val="00795788"/>
    <w:rsid w:val="0079681E"/>
    <w:rsid w:val="007A212F"/>
    <w:rsid w:val="007A2A51"/>
    <w:rsid w:val="007A36C9"/>
    <w:rsid w:val="007A44B2"/>
    <w:rsid w:val="007A6642"/>
    <w:rsid w:val="007B3302"/>
    <w:rsid w:val="007B4956"/>
    <w:rsid w:val="007B6311"/>
    <w:rsid w:val="007B6BA5"/>
    <w:rsid w:val="007C1241"/>
    <w:rsid w:val="007C296F"/>
    <w:rsid w:val="007C3390"/>
    <w:rsid w:val="007C3FFB"/>
    <w:rsid w:val="007C4F4B"/>
    <w:rsid w:val="007C55BE"/>
    <w:rsid w:val="007C585D"/>
    <w:rsid w:val="007C784F"/>
    <w:rsid w:val="007D00CF"/>
    <w:rsid w:val="007D2684"/>
    <w:rsid w:val="007D30E8"/>
    <w:rsid w:val="007D3F55"/>
    <w:rsid w:val="007D4B0C"/>
    <w:rsid w:val="007D564F"/>
    <w:rsid w:val="007D5C64"/>
    <w:rsid w:val="007D5E63"/>
    <w:rsid w:val="007E0B2D"/>
    <w:rsid w:val="007E0ED5"/>
    <w:rsid w:val="007E2CC8"/>
    <w:rsid w:val="007E4594"/>
    <w:rsid w:val="007E4BBE"/>
    <w:rsid w:val="007E533F"/>
    <w:rsid w:val="007E5EA4"/>
    <w:rsid w:val="007E62EB"/>
    <w:rsid w:val="007E7E46"/>
    <w:rsid w:val="007F098E"/>
    <w:rsid w:val="007F12FC"/>
    <w:rsid w:val="007F2D0D"/>
    <w:rsid w:val="007F3A2C"/>
    <w:rsid w:val="007F4853"/>
    <w:rsid w:val="007F6611"/>
    <w:rsid w:val="00802DD7"/>
    <w:rsid w:val="0080502F"/>
    <w:rsid w:val="00806C1C"/>
    <w:rsid w:val="0081043C"/>
    <w:rsid w:val="008105B8"/>
    <w:rsid w:val="0081060C"/>
    <w:rsid w:val="00811D06"/>
    <w:rsid w:val="008123D2"/>
    <w:rsid w:val="00812971"/>
    <w:rsid w:val="00813327"/>
    <w:rsid w:val="008146B2"/>
    <w:rsid w:val="00814938"/>
    <w:rsid w:val="00815483"/>
    <w:rsid w:val="00815623"/>
    <w:rsid w:val="00816972"/>
    <w:rsid w:val="00816E23"/>
    <w:rsid w:val="00816EE0"/>
    <w:rsid w:val="00817A02"/>
    <w:rsid w:val="00817C3E"/>
    <w:rsid w:val="00817FDC"/>
    <w:rsid w:val="008216A5"/>
    <w:rsid w:val="00821A8D"/>
    <w:rsid w:val="008242D7"/>
    <w:rsid w:val="00824C73"/>
    <w:rsid w:val="00824FE2"/>
    <w:rsid w:val="00825659"/>
    <w:rsid w:val="008257B1"/>
    <w:rsid w:val="00826AD1"/>
    <w:rsid w:val="0083034D"/>
    <w:rsid w:val="00830FF4"/>
    <w:rsid w:val="0083185A"/>
    <w:rsid w:val="00833370"/>
    <w:rsid w:val="008360B7"/>
    <w:rsid w:val="008379A8"/>
    <w:rsid w:val="008406D2"/>
    <w:rsid w:val="008411D4"/>
    <w:rsid w:val="0084126F"/>
    <w:rsid w:val="00843767"/>
    <w:rsid w:val="00844ED6"/>
    <w:rsid w:val="0084521F"/>
    <w:rsid w:val="00846666"/>
    <w:rsid w:val="0084732F"/>
    <w:rsid w:val="00847B18"/>
    <w:rsid w:val="00851F2A"/>
    <w:rsid w:val="00856F01"/>
    <w:rsid w:val="00860C1A"/>
    <w:rsid w:val="00861599"/>
    <w:rsid w:val="00863238"/>
    <w:rsid w:val="00864797"/>
    <w:rsid w:val="008655A1"/>
    <w:rsid w:val="00865C89"/>
    <w:rsid w:val="008679D9"/>
    <w:rsid w:val="00871051"/>
    <w:rsid w:val="00871750"/>
    <w:rsid w:val="00872F86"/>
    <w:rsid w:val="008730D5"/>
    <w:rsid w:val="00875FE5"/>
    <w:rsid w:val="00880242"/>
    <w:rsid w:val="00880574"/>
    <w:rsid w:val="00880AF2"/>
    <w:rsid w:val="00883BBF"/>
    <w:rsid w:val="00884FCB"/>
    <w:rsid w:val="0088719B"/>
    <w:rsid w:val="00891236"/>
    <w:rsid w:val="00891792"/>
    <w:rsid w:val="00891C2B"/>
    <w:rsid w:val="00892347"/>
    <w:rsid w:val="008933B1"/>
    <w:rsid w:val="00894B12"/>
    <w:rsid w:val="00894F53"/>
    <w:rsid w:val="00896597"/>
    <w:rsid w:val="008979B1"/>
    <w:rsid w:val="00897F0A"/>
    <w:rsid w:val="008A09B5"/>
    <w:rsid w:val="008A1DB2"/>
    <w:rsid w:val="008A270D"/>
    <w:rsid w:val="008A5352"/>
    <w:rsid w:val="008A6B25"/>
    <w:rsid w:val="008A6C4F"/>
    <w:rsid w:val="008B012F"/>
    <w:rsid w:val="008B0D62"/>
    <w:rsid w:val="008B2335"/>
    <w:rsid w:val="008B629E"/>
    <w:rsid w:val="008C0D17"/>
    <w:rsid w:val="008C1053"/>
    <w:rsid w:val="008C22CC"/>
    <w:rsid w:val="008C3223"/>
    <w:rsid w:val="008C3294"/>
    <w:rsid w:val="008C3D06"/>
    <w:rsid w:val="008C404A"/>
    <w:rsid w:val="008C406F"/>
    <w:rsid w:val="008C4159"/>
    <w:rsid w:val="008C4B5A"/>
    <w:rsid w:val="008C4EDC"/>
    <w:rsid w:val="008C5B6D"/>
    <w:rsid w:val="008C6E58"/>
    <w:rsid w:val="008C7622"/>
    <w:rsid w:val="008C77CB"/>
    <w:rsid w:val="008C7A7D"/>
    <w:rsid w:val="008D083C"/>
    <w:rsid w:val="008D0C03"/>
    <w:rsid w:val="008D1459"/>
    <w:rsid w:val="008D2A46"/>
    <w:rsid w:val="008D2F92"/>
    <w:rsid w:val="008D4087"/>
    <w:rsid w:val="008E0678"/>
    <w:rsid w:val="008E0CFD"/>
    <w:rsid w:val="008E4C4F"/>
    <w:rsid w:val="008E56DB"/>
    <w:rsid w:val="008E5A83"/>
    <w:rsid w:val="008E5FF6"/>
    <w:rsid w:val="008E6067"/>
    <w:rsid w:val="008E6693"/>
    <w:rsid w:val="008E6787"/>
    <w:rsid w:val="008F0336"/>
    <w:rsid w:val="008F0E3C"/>
    <w:rsid w:val="008F14EE"/>
    <w:rsid w:val="008F16E4"/>
    <w:rsid w:val="008F1FA8"/>
    <w:rsid w:val="008F2C80"/>
    <w:rsid w:val="008F6145"/>
    <w:rsid w:val="00900036"/>
    <w:rsid w:val="009002FE"/>
    <w:rsid w:val="00903876"/>
    <w:rsid w:val="00903ADD"/>
    <w:rsid w:val="009058F1"/>
    <w:rsid w:val="009062A7"/>
    <w:rsid w:val="0090637F"/>
    <w:rsid w:val="00910AD7"/>
    <w:rsid w:val="00910F40"/>
    <w:rsid w:val="00911E57"/>
    <w:rsid w:val="00912C08"/>
    <w:rsid w:val="00913616"/>
    <w:rsid w:val="0091377B"/>
    <w:rsid w:val="00915F13"/>
    <w:rsid w:val="009223CA"/>
    <w:rsid w:val="00923ECD"/>
    <w:rsid w:val="00930548"/>
    <w:rsid w:val="009351E9"/>
    <w:rsid w:val="009377CE"/>
    <w:rsid w:val="00937F60"/>
    <w:rsid w:val="0094095A"/>
    <w:rsid w:val="00940F93"/>
    <w:rsid w:val="00946696"/>
    <w:rsid w:val="00950A5A"/>
    <w:rsid w:val="00951E0D"/>
    <w:rsid w:val="00951EAC"/>
    <w:rsid w:val="0095282A"/>
    <w:rsid w:val="00952C29"/>
    <w:rsid w:val="00953224"/>
    <w:rsid w:val="0095347F"/>
    <w:rsid w:val="00953563"/>
    <w:rsid w:val="0095611D"/>
    <w:rsid w:val="009568BE"/>
    <w:rsid w:val="0096073F"/>
    <w:rsid w:val="00960911"/>
    <w:rsid w:val="00961FAD"/>
    <w:rsid w:val="009633D7"/>
    <w:rsid w:val="00965519"/>
    <w:rsid w:val="00965A21"/>
    <w:rsid w:val="009671DA"/>
    <w:rsid w:val="00967F59"/>
    <w:rsid w:val="009701C4"/>
    <w:rsid w:val="00972C38"/>
    <w:rsid w:val="009735A8"/>
    <w:rsid w:val="00973F23"/>
    <w:rsid w:val="00973F26"/>
    <w:rsid w:val="00974EF5"/>
    <w:rsid w:val="00975987"/>
    <w:rsid w:val="009760F3"/>
    <w:rsid w:val="009800FA"/>
    <w:rsid w:val="00980EA8"/>
    <w:rsid w:val="009817F4"/>
    <w:rsid w:val="00982BAC"/>
    <w:rsid w:val="009873ED"/>
    <w:rsid w:val="009909F5"/>
    <w:rsid w:val="00990FCA"/>
    <w:rsid w:val="00994B9B"/>
    <w:rsid w:val="00994D1B"/>
    <w:rsid w:val="00994E66"/>
    <w:rsid w:val="0099515D"/>
    <w:rsid w:val="00996924"/>
    <w:rsid w:val="009A0E8D"/>
    <w:rsid w:val="009A19F8"/>
    <w:rsid w:val="009A2EA4"/>
    <w:rsid w:val="009B0FC5"/>
    <w:rsid w:val="009B1780"/>
    <w:rsid w:val="009B26E7"/>
    <w:rsid w:val="009B3846"/>
    <w:rsid w:val="009B4E6F"/>
    <w:rsid w:val="009B7D58"/>
    <w:rsid w:val="009C0965"/>
    <w:rsid w:val="009C162C"/>
    <w:rsid w:val="009C4519"/>
    <w:rsid w:val="009C4FB2"/>
    <w:rsid w:val="009C60EB"/>
    <w:rsid w:val="009C6DFE"/>
    <w:rsid w:val="009D1528"/>
    <w:rsid w:val="009D1E8D"/>
    <w:rsid w:val="009D391B"/>
    <w:rsid w:val="009D3AF8"/>
    <w:rsid w:val="009E14FB"/>
    <w:rsid w:val="009E2F54"/>
    <w:rsid w:val="009E3B88"/>
    <w:rsid w:val="009E45E8"/>
    <w:rsid w:val="009E769D"/>
    <w:rsid w:val="009E7D26"/>
    <w:rsid w:val="009F03D3"/>
    <w:rsid w:val="009F2AC1"/>
    <w:rsid w:val="009F2C50"/>
    <w:rsid w:val="009F5182"/>
    <w:rsid w:val="009F5D68"/>
    <w:rsid w:val="009F688B"/>
    <w:rsid w:val="009F7508"/>
    <w:rsid w:val="009F7636"/>
    <w:rsid w:val="00A00A3F"/>
    <w:rsid w:val="00A01489"/>
    <w:rsid w:val="00A018AB"/>
    <w:rsid w:val="00A01A63"/>
    <w:rsid w:val="00A0336A"/>
    <w:rsid w:val="00A03A0A"/>
    <w:rsid w:val="00A03ABA"/>
    <w:rsid w:val="00A03ED0"/>
    <w:rsid w:val="00A04FEB"/>
    <w:rsid w:val="00A206FC"/>
    <w:rsid w:val="00A21C11"/>
    <w:rsid w:val="00A230A0"/>
    <w:rsid w:val="00A232DB"/>
    <w:rsid w:val="00A24489"/>
    <w:rsid w:val="00A24657"/>
    <w:rsid w:val="00A24F19"/>
    <w:rsid w:val="00A309BF"/>
    <w:rsid w:val="00A31B81"/>
    <w:rsid w:val="00A329BB"/>
    <w:rsid w:val="00A338F1"/>
    <w:rsid w:val="00A343D0"/>
    <w:rsid w:val="00A377A8"/>
    <w:rsid w:val="00A41A5C"/>
    <w:rsid w:val="00A41A85"/>
    <w:rsid w:val="00A42B98"/>
    <w:rsid w:val="00A44487"/>
    <w:rsid w:val="00A44615"/>
    <w:rsid w:val="00A447CC"/>
    <w:rsid w:val="00A44916"/>
    <w:rsid w:val="00A4728C"/>
    <w:rsid w:val="00A47874"/>
    <w:rsid w:val="00A50E5F"/>
    <w:rsid w:val="00A52FFA"/>
    <w:rsid w:val="00A54B3D"/>
    <w:rsid w:val="00A55599"/>
    <w:rsid w:val="00A563CE"/>
    <w:rsid w:val="00A57788"/>
    <w:rsid w:val="00A6271A"/>
    <w:rsid w:val="00A647C7"/>
    <w:rsid w:val="00A65032"/>
    <w:rsid w:val="00A67B44"/>
    <w:rsid w:val="00A70EA1"/>
    <w:rsid w:val="00A72C70"/>
    <w:rsid w:val="00A72F22"/>
    <w:rsid w:val="00A7360F"/>
    <w:rsid w:val="00A74283"/>
    <w:rsid w:val="00A748A6"/>
    <w:rsid w:val="00A75355"/>
    <w:rsid w:val="00A76648"/>
    <w:rsid w:val="00A769F4"/>
    <w:rsid w:val="00A76BD3"/>
    <w:rsid w:val="00A776B4"/>
    <w:rsid w:val="00A777C5"/>
    <w:rsid w:val="00A777CF"/>
    <w:rsid w:val="00A81971"/>
    <w:rsid w:val="00A81D4E"/>
    <w:rsid w:val="00A837F7"/>
    <w:rsid w:val="00A8395F"/>
    <w:rsid w:val="00A8502E"/>
    <w:rsid w:val="00A85B6A"/>
    <w:rsid w:val="00A85EA0"/>
    <w:rsid w:val="00A87461"/>
    <w:rsid w:val="00A9120C"/>
    <w:rsid w:val="00A915B3"/>
    <w:rsid w:val="00A91A32"/>
    <w:rsid w:val="00A94070"/>
    <w:rsid w:val="00A94361"/>
    <w:rsid w:val="00A96BCF"/>
    <w:rsid w:val="00AA0F93"/>
    <w:rsid w:val="00AA1029"/>
    <w:rsid w:val="00AA175A"/>
    <w:rsid w:val="00AA293C"/>
    <w:rsid w:val="00AA2D0D"/>
    <w:rsid w:val="00AA56FB"/>
    <w:rsid w:val="00AA672A"/>
    <w:rsid w:val="00AA6FA4"/>
    <w:rsid w:val="00AB0648"/>
    <w:rsid w:val="00AB0ED1"/>
    <w:rsid w:val="00AB1147"/>
    <w:rsid w:val="00AB19FA"/>
    <w:rsid w:val="00AB2855"/>
    <w:rsid w:val="00AB431D"/>
    <w:rsid w:val="00AB45A3"/>
    <w:rsid w:val="00AB4CA5"/>
    <w:rsid w:val="00AB5417"/>
    <w:rsid w:val="00AB6D0B"/>
    <w:rsid w:val="00AC1FF5"/>
    <w:rsid w:val="00AC27B8"/>
    <w:rsid w:val="00AC4B52"/>
    <w:rsid w:val="00AC505B"/>
    <w:rsid w:val="00AC6A0A"/>
    <w:rsid w:val="00AC6DF4"/>
    <w:rsid w:val="00AC7FEF"/>
    <w:rsid w:val="00AD10F9"/>
    <w:rsid w:val="00AD46B8"/>
    <w:rsid w:val="00AD7679"/>
    <w:rsid w:val="00AE1A18"/>
    <w:rsid w:val="00AE1B07"/>
    <w:rsid w:val="00AE1CFF"/>
    <w:rsid w:val="00AE3A93"/>
    <w:rsid w:val="00AE4730"/>
    <w:rsid w:val="00AE50CE"/>
    <w:rsid w:val="00AE55CB"/>
    <w:rsid w:val="00AE5BCF"/>
    <w:rsid w:val="00AE65D3"/>
    <w:rsid w:val="00AE673B"/>
    <w:rsid w:val="00AE6EC3"/>
    <w:rsid w:val="00AF0A3E"/>
    <w:rsid w:val="00AF0BB7"/>
    <w:rsid w:val="00AF1A44"/>
    <w:rsid w:val="00AF2EE0"/>
    <w:rsid w:val="00AF3148"/>
    <w:rsid w:val="00AF34D9"/>
    <w:rsid w:val="00AF40DF"/>
    <w:rsid w:val="00AF5745"/>
    <w:rsid w:val="00AF5CCF"/>
    <w:rsid w:val="00AF71E0"/>
    <w:rsid w:val="00AF7286"/>
    <w:rsid w:val="00B0020F"/>
    <w:rsid w:val="00B01B95"/>
    <w:rsid w:val="00B021AA"/>
    <w:rsid w:val="00B02797"/>
    <w:rsid w:val="00B03884"/>
    <w:rsid w:val="00B04543"/>
    <w:rsid w:val="00B10640"/>
    <w:rsid w:val="00B1156E"/>
    <w:rsid w:val="00B11BC2"/>
    <w:rsid w:val="00B129B9"/>
    <w:rsid w:val="00B129BE"/>
    <w:rsid w:val="00B13B64"/>
    <w:rsid w:val="00B13E9B"/>
    <w:rsid w:val="00B16852"/>
    <w:rsid w:val="00B1697F"/>
    <w:rsid w:val="00B174D5"/>
    <w:rsid w:val="00B225C2"/>
    <w:rsid w:val="00B2280C"/>
    <w:rsid w:val="00B23D94"/>
    <w:rsid w:val="00B2476F"/>
    <w:rsid w:val="00B25D3D"/>
    <w:rsid w:val="00B2683D"/>
    <w:rsid w:val="00B27106"/>
    <w:rsid w:val="00B30179"/>
    <w:rsid w:val="00B31D3F"/>
    <w:rsid w:val="00B33189"/>
    <w:rsid w:val="00B339A7"/>
    <w:rsid w:val="00B33ABD"/>
    <w:rsid w:val="00B34082"/>
    <w:rsid w:val="00B410C3"/>
    <w:rsid w:val="00B41199"/>
    <w:rsid w:val="00B41A37"/>
    <w:rsid w:val="00B41ACB"/>
    <w:rsid w:val="00B42976"/>
    <w:rsid w:val="00B46514"/>
    <w:rsid w:val="00B467BE"/>
    <w:rsid w:val="00B46DF7"/>
    <w:rsid w:val="00B47032"/>
    <w:rsid w:val="00B47DB8"/>
    <w:rsid w:val="00B503FD"/>
    <w:rsid w:val="00B5153A"/>
    <w:rsid w:val="00B52C14"/>
    <w:rsid w:val="00B5441C"/>
    <w:rsid w:val="00B55522"/>
    <w:rsid w:val="00B55DD9"/>
    <w:rsid w:val="00B56E4A"/>
    <w:rsid w:val="00B56E9C"/>
    <w:rsid w:val="00B57426"/>
    <w:rsid w:val="00B60748"/>
    <w:rsid w:val="00B63272"/>
    <w:rsid w:val="00B64B1F"/>
    <w:rsid w:val="00B64E33"/>
    <w:rsid w:val="00B6524C"/>
    <w:rsid w:val="00B6553F"/>
    <w:rsid w:val="00B66E5E"/>
    <w:rsid w:val="00B67FC8"/>
    <w:rsid w:val="00B707C0"/>
    <w:rsid w:val="00B719F1"/>
    <w:rsid w:val="00B73070"/>
    <w:rsid w:val="00B76950"/>
    <w:rsid w:val="00B770B5"/>
    <w:rsid w:val="00B77579"/>
    <w:rsid w:val="00B77A22"/>
    <w:rsid w:val="00B77D05"/>
    <w:rsid w:val="00B77EC5"/>
    <w:rsid w:val="00B8061D"/>
    <w:rsid w:val="00B81206"/>
    <w:rsid w:val="00B8190A"/>
    <w:rsid w:val="00B81E12"/>
    <w:rsid w:val="00B84285"/>
    <w:rsid w:val="00B85756"/>
    <w:rsid w:val="00B85AF8"/>
    <w:rsid w:val="00B86C63"/>
    <w:rsid w:val="00B87A91"/>
    <w:rsid w:val="00B9067B"/>
    <w:rsid w:val="00B915E0"/>
    <w:rsid w:val="00B94491"/>
    <w:rsid w:val="00B94CD2"/>
    <w:rsid w:val="00B95A99"/>
    <w:rsid w:val="00B96623"/>
    <w:rsid w:val="00B968B5"/>
    <w:rsid w:val="00B97074"/>
    <w:rsid w:val="00B972F2"/>
    <w:rsid w:val="00B97AFE"/>
    <w:rsid w:val="00BA0869"/>
    <w:rsid w:val="00BA32C2"/>
    <w:rsid w:val="00BA3999"/>
    <w:rsid w:val="00BA434C"/>
    <w:rsid w:val="00BA5934"/>
    <w:rsid w:val="00BB040D"/>
    <w:rsid w:val="00BB0933"/>
    <w:rsid w:val="00BB22D5"/>
    <w:rsid w:val="00BB31BB"/>
    <w:rsid w:val="00BB48F2"/>
    <w:rsid w:val="00BB6283"/>
    <w:rsid w:val="00BC01E3"/>
    <w:rsid w:val="00BC2814"/>
    <w:rsid w:val="00BC2C23"/>
    <w:rsid w:val="00BC48F3"/>
    <w:rsid w:val="00BC5363"/>
    <w:rsid w:val="00BC63B5"/>
    <w:rsid w:val="00BC6E5E"/>
    <w:rsid w:val="00BC74E9"/>
    <w:rsid w:val="00BC7809"/>
    <w:rsid w:val="00BC7F82"/>
    <w:rsid w:val="00BD6CE9"/>
    <w:rsid w:val="00BE17FC"/>
    <w:rsid w:val="00BE1BEE"/>
    <w:rsid w:val="00BE26B2"/>
    <w:rsid w:val="00BE4F3F"/>
    <w:rsid w:val="00BE62B5"/>
    <w:rsid w:val="00BE7596"/>
    <w:rsid w:val="00BF0311"/>
    <w:rsid w:val="00BF3A1F"/>
    <w:rsid w:val="00BF4613"/>
    <w:rsid w:val="00BF5A38"/>
    <w:rsid w:val="00BF61C5"/>
    <w:rsid w:val="00BF68A8"/>
    <w:rsid w:val="00BF7252"/>
    <w:rsid w:val="00BF72FD"/>
    <w:rsid w:val="00C01DD5"/>
    <w:rsid w:val="00C02623"/>
    <w:rsid w:val="00C02E7A"/>
    <w:rsid w:val="00C04639"/>
    <w:rsid w:val="00C05C39"/>
    <w:rsid w:val="00C065DB"/>
    <w:rsid w:val="00C07DD8"/>
    <w:rsid w:val="00C1117C"/>
    <w:rsid w:val="00C11207"/>
    <w:rsid w:val="00C1156E"/>
    <w:rsid w:val="00C11870"/>
    <w:rsid w:val="00C11A03"/>
    <w:rsid w:val="00C12DD7"/>
    <w:rsid w:val="00C144EC"/>
    <w:rsid w:val="00C1683C"/>
    <w:rsid w:val="00C2007A"/>
    <w:rsid w:val="00C201C3"/>
    <w:rsid w:val="00C20A72"/>
    <w:rsid w:val="00C2284D"/>
    <w:rsid w:val="00C2316A"/>
    <w:rsid w:val="00C24952"/>
    <w:rsid w:val="00C265C6"/>
    <w:rsid w:val="00C34926"/>
    <w:rsid w:val="00C34DBA"/>
    <w:rsid w:val="00C36A62"/>
    <w:rsid w:val="00C418BB"/>
    <w:rsid w:val="00C42190"/>
    <w:rsid w:val="00C42DC3"/>
    <w:rsid w:val="00C44D49"/>
    <w:rsid w:val="00C454AD"/>
    <w:rsid w:val="00C45829"/>
    <w:rsid w:val="00C463DD"/>
    <w:rsid w:val="00C46474"/>
    <w:rsid w:val="00C4724C"/>
    <w:rsid w:val="00C47927"/>
    <w:rsid w:val="00C50356"/>
    <w:rsid w:val="00C507B7"/>
    <w:rsid w:val="00C50ECF"/>
    <w:rsid w:val="00C52B15"/>
    <w:rsid w:val="00C53316"/>
    <w:rsid w:val="00C53963"/>
    <w:rsid w:val="00C55779"/>
    <w:rsid w:val="00C56108"/>
    <w:rsid w:val="00C56114"/>
    <w:rsid w:val="00C57758"/>
    <w:rsid w:val="00C578D2"/>
    <w:rsid w:val="00C57A10"/>
    <w:rsid w:val="00C606D3"/>
    <w:rsid w:val="00C60E92"/>
    <w:rsid w:val="00C61C48"/>
    <w:rsid w:val="00C629A0"/>
    <w:rsid w:val="00C62CCD"/>
    <w:rsid w:val="00C73736"/>
    <w:rsid w:val="00C745C3"/>
    <w:rsid w:val="00C7587C"/>
    <w:rsid w:val="00C75F86"/>
    <w:rsid w:val="00C76890"/>
    <w:rsid w:val="00C7728B"/>
    <w:rsid w:val="00C773F4"/>
    <w:rsid w:val="00C80234"/>
    <w:rsid w:val="00C803EC"/>
    <w:rsid w:val="00C819E8"/>
    <w:rsid w:val="00C8504E"/>
    <w:rsid w:val="00C85113"/>
    <w:rsid w:val="00C86484"/>
    <w:rsid w:val="00C87BA3"/>
    <w:rsid w:val="00C915FE"/>
    <w:rsid w:val="00C931D2"/>
    <w:rsid w:val="00C946E3"/>
    <w:rsid w:val="00C95B84"/>
    <w:rsid w:val="00CA1116"/>
    <w:rsid w:val="00CA5731"/>
    <w:rsid w:val="00CB0915"/>
    <w:rsid w:val="00CB10F3"/>
    <w:rsid w:val="00CB1F0A"/>
    <w:rsid w:val="00CB24EE"/>
    <w:rsid w:val="00CB351A"/>
    <w:rsid w:val="00CB4608"/>
    <w:rsid w:val="00CB480D"/>
    <w:rsid w:val="00CB6E28"/>
    <w:rsid w:val="00CC0BB4"/>
    <w:rsid w:val="00CC2C27"/>
    <w:rsid w:val="00CC3D39"/>
    <w:rsid w:val="00CD2046"/>
    <w:rsid w:val="00CD63E0"/>
    <w:rsid w:val="00CE159D"/>
    <w:rsid w:val="00CE4A8F"/>
    <w:rsid w:val="00CE51FE"/>
    <w:rsid w:val="00CE6ED0"/>
    <w:rsid w:val="00CE736B"/>
    <w:rsid w:val="00CF1984"/>
    <w:rsid w:val="00CF2393"/>
    <w:rsid w:val="00CF2621"/>
    <w:rsid w:val="00CF54CE"/>
    <w:rsid w:val="00CF587D"/>
    <w:rsid w:val="00CF6496"/>
    <w:rsid w:val="00CF76D6"/>
    <w:rsid w:val="00D027F2"/>
    <w:rsid w:val="00D02904"/>
    <w:rsid w:val="00D02C2A"/>
    <w:rsid w:val="00D057DF"/>
    <w:rsid w:val="00D06AB9"/>
    <w:rsid w:val="00D06B7E"/>
    <w:rsid w:val="00D06EEA"/>
    <w:rsid w:val="00D06F74"/>
    <w:rsid w:val="00D12158"/>
    <w:rsid w:val="00D125C2"/>
    <w:rsid w:val="00D1315B"/>
    <w:rsid w:val="00D13268"/>
    <w:rsid w:val="00D141CF"/>
    <w:rsid w:val="00D2031B"/>
    <w:rsid w:val="00D247D1"/>
    <w:rsid w:val="00D248B9"/>
    <w:rsid w:val="00D257E7"/>
    <w:rsid w:val="00D25FE2"/>
    <w:rsid w:val="00D2637A"/>
    <w:rsid w:val="00D3001F"/>
    <w:rsid w:val="00D30034"/>
    <w:rsid w:val="00D30F22"/>
    <w:rsid w:val="00D311F9"/>
    <w:rsid w:val="00D33493"/>
    <w:rsid w:val="00D33A81"/>
    <w:rsid w:val="00D33C15"/>
    <w:rsid w:val="00D35B7F"/>
    <w:rsid w:val="00D35FCA"/>
    <w:rsid w:val="00D37489"/>
    <w:rsid w:val="00D4225E"/>
    <w:rsid w:val="00D43252"/>
    <w:rsid w:val="00D43E06"/>
    <w:rsid w:val="00D44984"/>
    <w:rsid w:val="00D4541C"/>
    <w:rsid w:val="00D46C27"/>
    <w:rsid w:val="00D46CEC"/>
    <w:rsid w:val="00D47EEA"/>
    <w:rsid w:val="00D501D0"/>
    <w:rsid w:val="00D509AE"/>
    <w:rsid w:val="00D51D6E"/>
    <w:rsid w:val="00D51E4A"/>
    <w:rsid w:val="00D53BAD"/>
    <w:rsid w:val="00D543C9"/>
    <w:rsid w:val="00D54532"/>
    <w:rsid w:val="00D55EFF"/>
    <w:rsid w:val="00D60DC1"/>
    <w:rsid w:val="00D6148A"/>
    <w:rsid w:val="00D61517"/>
    <w:rsid w:val="00D6192D"/>
    <w:rsid w:val="00D61E65"/>
    <w:rsid w:val="00D625E3"/>
    <w:rsid w:val="00D66BC3"/>
    <w:rsid w:val="00D66F28"/>
    <w:rsid w:val="00D729E4"/>
    <w:rsid w:val="00D73CB8"/>
    <w:rsid w:val="00D747CE"/>
    <w:rsid w:val="00D77271"/>
    <w:rsid w:val="00D80EDF"/>
    <w:rsid w:val="00D864CC"/>
    <w:rsid w:val="00D86605"/>
    <w:rsid w:val="00D868D3"/>
    <w:rsid w:val="00D90518"/>
    <w:rsid w:val="00D90F93"/>
    <w:rsid w:val="00D913B0"/>
    <w:rsid w:val="00D92AEE"/>
    <w:rsid w:val="00D93FEC"/>
    <w:rsid w:val="00D94BB8"/>
    <w:rsid w:val="00D94CDD"/>
    <w:rsid w:val="00D94D25"/>
    <w:rsid w:val="00D95303"/>
    <w:rsid w:val="00D96673"/>
    <w:rsid w:val="00D96E57"/>
    <w:rsid w:val="00D97597"/>
    <w:rsid w:val="00D975A7"/>
    <w:rsid w:val="00D978C6"/>
    <w:rsid w:val="00DA3111"/>
    <w:rsid w:val="00DA3C1C"/>
    <w:rsid w:val="00DA4BBB"/>
    <w:rsid w:val="00DB0AB8"/>
    <w:rsid w:val="00DB0C79"/>
    <w:rsid w:val="00DB11EA"/>
    <w:rsid w:val="00DB2642"/>
    <w:rsid w:val="00DB2CE7"/>
    <w:rsid w:val="00DB43D3"/>
    <w:rsid w:val="00DB5B2F"/>
    <w:rsid w:val="00DC0714"/>
    <w:rsid w:val="00DC07E8"/>
    <w:rsid w:val="00DC465A"/>
    <w:rsid w:val="00DC786B"/>
    <w:rsid w:val="00DD0B04"/>
    <w:rsid w:val="00DD2848"/>
    <w:rsid w:val="00DD3FBE"/>
    <w:rsid w:val="00DD471E"/>
    <w:rsid w:val="00DD593B"/>
    <w:rsid w:val="00DE1DF6"/>
    <w:rsid w:val="00DE6B5D"/>
    <w:rsid w:val="00DE79A8"/>
    <w:rsid w:val="00DE7F59"/>
    <w:rsid w:val="00DF0799"/>
    <w:rsid w:val="00DF0AD1"/>
    <w:rsid w:val="00DF4252"/>
    <w:rsid w:val="00DF528D"/>
    <w:rsid w:val="00DF5F1D"/>
    <w:rsid w:val="00E00B8F"/>
    <w:rsid w:val="00E0216D"/>
    <w:rsid w:val="00E02A4E"/>
    <w:rsid w:val="00E06DC3"/>
    <w:rsid w:val="00E13C7A"/>
    <w:rsid w:val="00E142AF"/>
    <w:rsid w:val="00E14C1C"/>
    <w:rsid w:val="00E15CC1"/>
    <w:rsid w:val="00E17C73"/>
    <w:rsid w:val="00E209FD"/>
    <w:rsid w:val="00E21400"/>
    <w:rsid w:val="00E25B12"/>
    <w:rsid w:val="00E25E54"/>
    <w:rsid w:val="00E2703B"/>
    <w:rsid w:val="00E27346"/>
    <w:rsid w:val="00E31E79"/>
    <w:rsid w:val="00E34156"/>
    <w:rsid w:val="00E40A07"/>
    <w:rsid w:val="00E41BFE"/>
    <w:rsid w:val="00E433E3"/>
    <w:rsid w:val="00E4363C"/>
    <w:rsid w:val="00E51DD5"/>
    <w:rsid w:val="00E52424"/>
    <w:rsid w:val="00E53D02"/>
    <w:rsid w:val="00E55966"/>
    <w:rsid w:val="00E57B1D"/>
    <w:rsid w:val="00E606DA"/>
    <w:rsid w:val="00E6074E"/>
    <w:rsid w:val="00E61088"/>
    <w:rsid w:val="00E632CC"/>
    <w:rsid w:val="00E639ED"/>
    <w:rsid w:val="00E64123"/>
    <w:rsid w:val="00E65396"/>
    <w:rsid w:val="00E665C4"/>
    <w:rsid w:val="00E66A0C"/>
    <w:rsid w:val="00E66FD2"/>
    <w:rsid w:val="00E670C9"/>
    <w:rsid w:val="00E67325"/>
    <w:rsid w:val="00E716E5"/>
    <w:rsid w:val="00E71BC8"/>
    <w:rsid w:val="00E7260F"/>
    <w:rsid w:val="00E74206"/>
    <w:rsid w:val="00E744A6"/>
    <w:rsid w:val="00E752FE"/>
    <w:rsid w:val="00E76986"/>
    <w:rsid w:val="00E77185"/>
    <w:rsid w:val="00E77625"/>
    <w:rsid w:val="00E779FC"/>
    <w:rsid w:val="00E848D3"/>
    <w:rsid w:val="00E849B2"/>
    <w:rsid w:val="00E85728"/>
    <w:rsid w:val="00E86349"/>
    <w:rsid w:val="00E9050A"/>
    <w:rsid w:val="00E91BA6"/>
    <w:rsid w:val="00E921CF"/>
    <w:rsid w:val="00E93CC4"/>
    <w:rsid w:val="00E94466"/>
    <w:rsid w:val="00E96630"/>
    <w:rsid w:val="00E96D8D"/>
    <w:rsid w:val="00EA0822"/>
    <w:rsid w:val="00EA1FB7"/>
    <w:rsid w:val="00EA214A"/>
    <w:rsid w:val="00EA31F7"/>
    <w:rsid w:val="00EA3D6D"/>
    <w:rsid w:val="00EB11F3"/>
    <w:rsid w:val="00EB2581"/>
    <w:rsid w:val="00EB5373"/>
    <w:rsid w:val="00EC12AD"/>
    <w:rsid w:val="00EC14EF"/>
    <w:rsid w:val="00EC399E"/>
    <w:rsid w:val="00EC4B91"/>
    <w:rsid w:val="00EC5D0E"/>
    <w:rsid w:val="00EC6C29"/>
    <w:rsid w:val="00ED00FD"/>
    <w:rsid w:val="00ED1FD4"/>
    <w:rsid w:val="00ED2881"/>
    <w:rsid w:val="00ED30D6"/>
    <w:rsid w:val="00ED3BEB"/>
    <w:rsid w:val="00ED4083"/>
    <w:rsid w:val="00ED483F"/>
    <w:rsid w:val="00ED6970"/>
    <w:rsid w:val="00ED74C0"/>
    <w:rsid w:val="00ED7A2A"/>
    <w:rsid w:val="00ED7E6E"/>
    <w:rsid w:val="00EE06DA"/>
    <w:rsid w:val="00EE374E"/>
    <w:rsid w:val="00EE5C7E"/>
    <w:rsid w:val="00EE6929"/>
    <w:rsid w:val="00EF0235"/>
    <w:rsid w:val="00EF0C54"/>
    <w:rsid w:val="00EF10CE"/>
    <w:rsid w:val="00EF1837"/>
    <w:rsid w:val="00EF1D7A"/>
    <w:rsid w:val="00EF1D7F"/>
    <w:rsid w:val="00EF3514"/>
    <w:rsid w:val="00EF4292"/>
    <w:rsid w:val="00EF4740"/>
    <w:rsid w:val="00EF560D"/>
    <w:rsid w:val="00EF5AED"/>
    <w:rsid w:val="00EF6629"/>
    <w:rsid w:val="00EF78BA"/>
    <w:rsid w:val="00EF7F82"/>
    <w:rsid w:val="00F030F5"/>
    <w:rsid w:val="00F03190"/>
    <w:rsid w:val="00F03A99"/>
    <w:rsid w:val="00F0403F"/>
    <w:rsid w:val="00F04CDE"/>
    <w:rsid w:val="00F06D31"/>
    <w:rsid w:val="00F075CC"/>
    <w:rsid w:val="00F114EB"/>
    <w:rsid w:val="00F11BCE"/>
    <w:rsid w:val="00F1401B"/>
    <w:rsid w:val="00F145D4"/>
    <w:rsid w:val="00F17BD5"/>
    <w:rsid w:val="00F20B7E"/>
    <w:rsid w:val="00F20C3D"/>
    <w:rsid w:val="00F21FE3"/>
    <w:rsid w:val="00F22A52"/>
    <w:rsid w:val="00F22E3E"/>
    <w:rsid w:val="00F231DB"/>
    <w:rsid w:val="00F24F92"/>
    <w:rsid w:val="00F2653D"/>
    <w:rsid w:val="00F3026E"/>
    <w:rsid w:val="00F31056"/>
    <w:rsid w:val="00F31242"/>
    <w:rsid w:val="00F3424F"/>
    <w:rsid w:val="00F34D48"/>
    <w:rsid w:val="00F35014"/>
    <w:rsid w:val="00F35149"/>
    <w:rsid w:val="00F373CD"/>
    <w:rsid w:val="00F40A73"/>
    <w:rsid w:val="00F41576"/>
    <w:rsid w:val="00F41B9F"/>
    <w:rsid w:val="00F41C68"/>
    <w:rsid w:val="00F41F7D"/>
    <w:rsid w:val="00F4204E"/>
    <w:rsid w:val="00F42761"/>
    <w:rsid w:val="00F43AA5"/>
    <w:rsid w:val="00F43E9E"/>
    <w:rsid w:val="00F44820"/>
    <w:rsid w:val="00F45239"/>
    <w:rsid w:val="00F52BE2"/>
    <w:rsid w:val="00F53964"/>
    <w:rsid w:val="00F53988"/>
    <w:rsid w:val="00F53F5C"/>
    <w:rsid w:val="00F546EA"/>
    <w:rsid w:val="00F54B74"/>
    <w:rsid w:val="00F55F0C"/>
    <w:rsid w:val="00F571D9"/>
    <w:rsid w:val="00F573E7"/>
    <w:rsid w:val="00F60C3B"/>
    <w:rsid w:val="00F70D30"/>
    <w:rsid w:val="00F72A4B"/>
    <w:rsid w:val="00F748B6"/>
    <w:rsid w:val="00F765E5"/>
    <w:rsid w:val="00F82653"/>
    <w:rsid w:val="00F82F23"/>
    <w:rsid w:val="00F8467B"/>
    <w:rsid w:val="00F85733"/>
    <w:rsid w:val="00F86121"/>
    <w:rsid w:val="00F8772A"/>
    <w:rsid w:val="00F9057C"/>
    <w:rsid w:val="00F906D7"/>
    <w:rsid w:val="00F908D7"/>
    <w:rsid w:val="00F90FD3"/>
    <w:rsid w:val="00F9249C"/>
    <w:rsid w:val="00F92CB6"/>
    <w:rsid w:val="00F930AA"/>
    <w:rsid w:val="00F93781"/>
    <w:rsid w:val="00F942E0"/>
    <w:rsid w:val="00F9653B"/>
    <w:rsid w:val="00F9682C"/>
    <w:rsid w:val="00F96BA5"/>
    <w:rsid w:val="00FA1718"/>
    <w:rsid w:val="00FA57D4"/>
    <w:rsid w:val="00FA6B7C"/>
    <w:rsid w:val="00FB148B"/>
    <w:rsid w:val="00FB2745"/>
    <w:rsid w:val="00FB4507"/>
    <w:rsid w:val="00FB45D9"/>
    <w:rsid w:val="00FB5EB5"/>
    <w:rsid w:val="00FB613B"/>
    <w:rsid w:val="00FB78D7"/>
    <w:rsid w:val="00FC0622"/>
    <w:rsid w:val="00FC2D1E"/>
    <w:rsid w:val="00FC68B7"/>
    <w:rsid w:val="00FC6EA3"/>
    <w:rsid w:val="00FD0381"/>
    <w:rsid w:val="00FD13AD"/>
    <w:rsid w:val="00FD28AF"/>
    <w:rsid w:val="00FD4F04"/>
    <w:rsid w:val="00FD4FB8"/>
    <w:rsid w:val="00FD61DA"/>
    <w:rsid w:val="00FD6742"/>
    <w:rsid w:val="00FD7CD0"/>
    <w:rsid w:val="00FE106A"/>
    <w:rsid w:val="00FE11D6"/>
    <w:rsid w:val="00FE2530"/>
    <w:rsid w:val="00FE2B82"/>
    <w:rsid w:val="00FE5BA0"/>
    <w:rsid w:val="00FE64FF"/>
    <w:rsid w:val="00FE650C"/>
    <w:rsid w:val="00FE6A13"/>
    <w:rsid w:val="00FE6DF4"/>
    <w:rsid w:val="00FF0000"/>
    <w:rsid w:val="00FF1ACD"/>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0B92B"/>
  <w15:docId w15:val="{2DAA3A3B-2D9E-4C81-A305-68A0F34F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A5778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A57788"/>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ListParagraph">
    <w:name w:val="List Paragraph"/>
    <w:basedOn w:val="Normal"/>
    <w:uiPriority w:val="34"/>
    <w:qFormat/>
    <w:rsid w:val="000E483F"/>
    <w:pPr>
      <w:ind w:left="720"/>
      <w:contextualSpacing/>
    </w:pPr>
  </w:style>
  <w:style w:type="paragraph" w:customStyle="1" w:styleId="Default">
    <w:name w:val="Default"/>
    <w:rsid w:val="00286B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voiceo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423B-D202-49EA-95A9-73F00A49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13</Pages>
  <Words>6608</Words>
  <Characters>37671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2015-12-23T13:43:00Z</cp:lastPrinted>
  <dcterms:created xsi:type="dcterms:W3CDTF">2017-04-05T18:33:00Z</dcterms:created>
  <dcterms:modified xsi:type="dcterms:W3CDTF">2017-04-05T18:33:00Z</dcterms:modified>
</cp:coreProperties>
</file>