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463B9A" w14:paraId="799261B9" w14:textId="77777777" w:rsidTr="00B6553F">
        <w:trPr>
          <w:cantSplit/>
          <w:trHeight w:hRule="exact" w:val="851"/>
        </w:trPr>
        <w:tc>
          <w:tcPr>
            <w:tcW w:w="1276" w:type="dxa"/>
            <w:tcBorders>
              <w:bottom w:val="single" w:sz="4" w:space="0" w:color="auto"/>
            </w:tcBorders>
            <w:vAlign w:val="bottom"/>
          </w:tcPr>
          <w:p w14:paraId="2D5EE6D7" w14:textId="77777777" w:rsidR="00B56E9C" w:rsidRPr="00B00AAA" w:rsidRDefault="00B56E9C" w:rsidP="00B00AAA">
            <w:pPr>
              <w:spacing w:line="20" w:lineRule="exact"/>
              <w:rPr>
                <w:sz w:val="2"/>
              </w:rPr>
            </w:pPr>
            <w:bookmarkStart w:id="0" w:name="_GoBack"/>
            <w:bookmarkEnd w:id="0"/>
          </w:p>
          <w:p w14:paraId="277CD9F8" w14:textId="55DD7F06" w:rsidR="00B00AAA" w:rsidRDefault="00B00AAA" w:rsidP="00B6553F">
            <w:pPr>
              <w:spacing w:after="80"/>
            </w:pPr>
          </w:p>
        </w:tc>
        <w:tc>
          <w:tcPr>
            <w:tcW w:w="2268" w:type="dxa"/>
            <w:tcBorders>
              <w:bottom w:val="single" w:sz="4" w:space="0" w:color="auto"/>
            </w:tcBorders>
            <w:vAlign w:val="bottom"/>
          </w:tcPr>
          <w:p w14:paraId="7BC2BEDB" w14:textId="77777777" w:rsidR="00B56E9C" w:rsidRPr="00463B9A" w:rsidRDefault="00B56E9C" w:rsidP="00B6553F">
            <w:pPr>
              <w:spacing w:after="80" w:line="300" w:lineRule="exact"/>
              <w:rPr>
                <w:b/>
                <w:sz w:val="24"/>
                <w:szCs w:val="24"/>
              </w:rPr>
            </w:pPr>
            <w:r w:rsidRPr="00463B9A">
              <w:rPr>
                <w:sz w:val="28"/>
                <w:szCs w:val="28"/>
              </w:rPr>
              <w:t>United Nations</w:t>
            </w:r>
          </w:p>
        </w:tc>
        <w:tc>
          <w:tcPr>
            <w:tcW w:w="6095" w:type="dxa"/>
            <w:gridSpan w:val="2"/>
            <w:tcBorders>
              <w:bottom w:val="single" w:sz="4" w:space="0" w:color="auto"/>
            </w:tcBorders>
            <w:vAlign w:val="bottom"/>
          </w:tcPr>
          <w:p w14:paraId="7920C780" w14:textId="27775414" w:rsidR="00B56E9C" w:rsidRPr="00463B9A" w:rsidRDefault="00A40224" w:rsidP="004A1A9D">
            <w:pPr>
              <w:jc w:val="right"/>
            </w:pPr>
            <w:r w:rsidRPr="00463B9A">
              <w:rPr>
                <w:sz w:val="40"/>
              </w:rPr>
              <w:t>CCPR</w:t>
            </w:r>
            <w:r w:rsidR="009F01D7" w:rsidRPr="00463B9A">
              <w:t>/C/116</w:t>
            </w:r>
            <w:r w:rsidRPr="00463B9A">
              <w:t>/D/2</w:t>
            </w:r>
            <w:r w:rsidR="001551D0">
              <w:t>35</w:t>
            </w:r>
            <w:r w:rsidR="009F01D7" w:rsidRPr="00463B9A">
              <w:t>7/</w:t>
            </w:r>
            <w:r w:rsidRPr="00463B9A">
              <w:t>2014</w:t>
            </w:r>
          </w:p>
        </w:tc>
      </w:tr>
      <w:tr w:rsidR="00B56E9C" w:rsidRPr="00463B9A" w14:paraId="2FD89F4F" w14:textId="77777777" w:rsidTr="00B6553F">
        <w:trPr>
          <w:cantSplit/>
          <w:trHeight w:hRule="exact" w:val="2835"/>
        </w:trPr>
        <w:tc>
          <w:tcPr>
            <w:tcW w:w="1276" w:type="dxa"/>
            <w:tcBorders>
              <w:top w:val="single" w:sz="4" w:space="0" w:color="auto"/>
              <w:bottom w:val="single" w:sz="12" w:space="0" w:color="auto"/>
            </w:tcBorders>
          </w:tcPr>
          <w:p w14:paraId="5A3F89A3" w14:textId="77777777" w:rsidR="002D37E4" w:rsidRPr="002D37E4" w:rsidRDefault="002D37E4" w:rsidP="002D37E4">
            <w:pPr>
              <w:spacing w:line="20" w:lineRule="exact"/>
              <w:rPr>
                <w:sz w:val="2"/>
              </w:rPr>
            </w:pPr>
          </w:p>
          <w:p w14:paraId="7FBBE985" w14:textId="77177710" w:rsidR="00B56E9C" w:rsidRPr="00463B9A" w:rsidRDefault="00A40224" w:rsidP="00B6553F">
            <w:pPr>
              <w:spacing w:before="120"/>
            </w:pPr>
            <w:r w:rsidRPr="00463B9A">
              <w:rPr>
                <w:noProof/>
                <w:lang w:val="en-US"/>
              </w:rPr>
              <w:drawing>
                <wp:inline distT="0" distB="0" distL="0" distR="0" wp14:anchorId="7A8476A6" wp14:editId="46C8AF72">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E19A21" w14:textId="77777777" w:rsidR="00B56E9C" w:rsidRDefault="00B56E9C" w:rsidP="00267F5F">
            <w:pPr>
              <w:spacing w:before="120" w:line="380" w:lineRule="exact"/>
              <w:rPr>
                <w:b/>
                <w:sz w:val="34"/>
                <w:szCs w:val="40"/>
              </w:rPr>
            </w:pPr>
            <w:r w:rsidRPr="00463B9A">
              <w:rPr>
                <w:b/>
                <w:sz w:val="34"/>
                <w:szCs w:val="40"/>
              </w:rPr>
              <w:t xml:space="preserve">International </w:t>
            </w:r>
            <w:r w:rsidR="00060C3A" w:rsidRPr="00463B9A">
              <w:rPr>
                <w:b/>
                <w:sz w:val="34"/>
                <w:szCs w:val="40"/>
              </w:rPr>
              <w:t>Covenant on</w:t>
            </w:r>
            <w:r w:rsidR="00060C3A" w:rsidRPr="00463B9A">
              <w:rPr>
                <w:b/>
                <w:sz w:val="34"/>
                <w:szCs w:val="40"/>
              </w:rPr>
              <w:br/>
              <w:t>Civil and Political R</w:t>
            </w:r>
            <w:r w:rsidR="00703577" w:rsidRPr="00463B9A">
              <w:rPr>
                <w:b/>
                <w:sz w:val="34"/>
                <w:szCs w:val="40"/>
              </w:rPr>
              <w:t>ights</w:t>
            </w:r>
          </w:p>
          <w:p w14:paraId="66FA8222" w14:textId="565E6E91" w:rsidR="004A1A9D" w:rsidRPr="00463B9A" w:rsidRDefault="004A1A9D" w:rsidP="00267F5F">
            <w:pPr>
              <w:spacing w:before="120" w:line="380" w:lineRule="exact"/>
              <w:rPr>
                <w:sz w:val="34"/>
              </w:rPr>
            </w:pPr>
          </w:p>
        </w:tc>
        <w:tc>
          <w:tcPr>
            <w:tcW w:w="2835" w:type="dxa"/>
            <w:tcBorders>
              <w:top w:val="single" w:sz="4" w:space="0" w:color="auto"/>
              <w:bottom w:val="single" w:sz="12" w:space="0" w:color="auto"/>
            </w:tcBorders>
          </w:tcPr>
          <w:p w14:paraId="1FFDF3E4" w14:textId="0AEEAFCC" w:rsidR="005A714E" w:rsidRPr="00463B9A" w:rsidRDefault="005A714E" w:rsidP="005A714E">
            <w:pPr>
              <w:spacing w:before="240" w:line="240" w:lineRule="exact"/>
            </w:pPr>
            <w:r w:rsidRPr="00463B9A">
              <w:t xml:space="preserve">Distr.: </w:t>
            </w:r>
            <w:r w:rsidR="004A1A9D">
              <w:t>General</w:t>
            </w:r>
          </w:p>
          <w:p w14:paraId="6C82254D" w14:textId="421B9687" w:rsidR="005A714E" w:rsidRPr="00463B9A" w:rsidRDefault="003B6A07" w:rsidP="00905FFA">
            <w:pPr>
              <w:spacing w:line="240" w:lineRule="exact"/>
            </w:pPr>
            <w:r>
              <w:t xml:space="preserve">4 </w:t>
            </w:r>
            <w:r w:rsidR="00377D8A" w:rsidRPr="003B6A07">
              <w:t>Au</w:t>
            </w:r>
            <w:r w:rsidR="00377D8A">
              <w:t>gust</w:t>
            </w:r>
            <w:r w:rsidR="00DE4AED">
              <w:t xml:space="preserve"> 2016</w:t>
            </w:r>
          </w:p>
          <w:p w14:paraId="57DDF302" w14:textId="77777777" w:rsidR="005A714E" w:rsidRPr="00463B9A" w:rsidRDefault="005A714E" w:rsidP="005A714E">
            <w:pPr>
              <w:spacing w:line="240" w:lineRule="exact"/>
            </w:pPr>
          </w:p>
          <w:p w14:paraId="78C06D43" w14:textId="77777777" w:rsidR="005A714E" w:rsidRPr="00463B9A" w:rsidRDefault="005A714E" w:rsidP="005A714E">
            <w:pPr>
              <w:spacing w:line="240" w:lineRule="exact"/>
            </w:pPr>
            <w:r w:rsidRPr="00463B9A">
              <w:t>Original: English</w:t>
            </w:r>
          </w:p>
          <w:p w14:paraId="2B066836" w14:textId="0FF640BE" w:rsidR="00A40224" w:rsidRPr="00463B9A" w:rsidRDefault="00A40224" w:rsidP="005A714E">
            <w:pPr>
              <w:spacing w:line="240" w:lineRule="exact"/>
            </w:pPr>
          </w:p>
        </w:tc>
      </w:tr>
    </w:tbl>
    <w:p w14:paraId="24645C50" w14:textId="77777777" w:rsidR="00A40224" w:rsidRPr="00463B9A" w:rsidRDefault="00A40224" w:rsidP="00A40224">
      <w:pPr>
        <w:spacing w:before="120"/>
        <w:rPr>
          <w:b/>
          <w:sz w:val="24"/>
          <w:szCs w:val="24"/>
        </w:rPr>
      </w:pPr>
      <w:r w:rsidRPr="00463B9A">
        <w:rPr>
          <w:b/>
          <w:sz w:val="24"/>
          <w:szCs w:val="24"/>
        </w:rPr>
        <w:t>Human Rights Committee</w:t>
      </w:r>
    </w:p>
    <w:p w14:paraId="27A094A0" w14:textId="2296A6AE" w:rsidR="00A40224" w:rsidRPr="00463B9A" w:rsidRDefault="00A40224" w:rsidP="00905FFA">
      <w:pPr>
        <w:pStyle w:val="HChG"/>
      </w:pPr>
      <w:r w:rsidRPr="00463B9A">
        <w:tab/>
      </w:r>
      <w:r w:rsidRPr="00463B9A">
        <w:tab/>
      </w:r>
      <w:r w:rsidR="004A1A9D" w:rsidRPr="004A1A9D">
        <w:t>Decision adopted by the Committee under article 5 (4) of the Optional Protocol, concerning communication No.</w:t>
      </w:r>
      <w:r w:rsidR="00905FFA">
        <w:t> </w:t>
      </w:r>
      <w:r w:rsidR="00CD3641">
        <w:t>2357/2014</w:t>
      </w:r>
      <w:r w:rsidR="004A1A9D" w:rsidRPr="009475EF">
        <w:rPr>
          <w:rStyle w:val="FootnoteReference"/>
          <w:b w:val="0"/>
          <w:bCs/>
          <w:sz w:val="20"/>
          <w:vertAlign w:val="baseline"/>
        </w:rPr>
        <w:footnoteReference w:customMarkFollows="1" w:id="2"/>
        <w:t>*</w:t>
      </w:r>
      <w:r w:rsidR="00905FFA" w:rsidRPr="009475EF">
        <w:rPr>
          <w:b w:val="0"/>
          <w:bCs/>
          <w:position w:val="4"/>
          <w:sz w:val="20"/>
        </w:rPr>
        <w:t>,</w:t>
      </w:r>
      <w:r w:rsidR="004A1A9D" w:rsidRPr="009475EF">
        <w:rPr>
          <w:b w:val="0"/>
          <w:bCs/>
          <w:sz w:val="20"/>
        </w:rPr>
        <w:t xml:space="preserve"> </w:t>
      </w:r>
      <w:r w:rsidR="004A1A9D" w:rsidRPr="009475EF">
        <w:rPr>
          <w:rStyle w:val="FootnoteReference"/>
          <w:b w:val="0"/>
          <w:bCs/>
          <w:sz w:val="20"/>
          <w:vertAlign w:val="baseline"/>
        </w:rPr>
        <w:footnoteReference w:customMarkFollows="1" w:id="3"/>
        <w:t>**</w:t>
      </w:r>
      <w:r w:rsidR="005B4793">
        <w:rPr>
          <w:b w:val="0"/>
          <w:bCs/>
          <w:sz w:val="20"/>
        </w:rPr>
        <w:t xml:space="preserve"> </w:t>
      </w:r>
    </w:p>
    <w:tbl>
      <w:tblPr>
        <w:tblW w:w="0" w:type="auto"/>
        <w:tblInd w:w="1134" w:type="dxa"/>
        <w:tblLayout w:type="fixed"/>
        <w:tblCellMar>
          <w:left w:w="0" w:type="dxa"/>
          <w:right w:w="0" w:type="dxa"/>
        </w:tblCellMar>
        <w:tblLook w:val="01E0" w:firstRow="1" w:lastRow="1" w:firstColumn="1" w:lastColumn="1" w:noHBand="0" w:noVBand="0"/>
      </w:tblPr>
      <w:tblGrid>
        <w:gridCol w:w="3544"/>
        <w:gridCol w:w="3827"/>
      </w:tblGrid>
      <w:tr w:rsidR="00A40224" w:rsidRPr="00463B9A" w14:paraId="616E64D8" w14:textId="77777777" w:rsidTr="00FD1791">
        <w:tc>
          <w:tcPr>
            <w:tcW w:w="3544" w:type="dxa"/>
            <w:shd w:val="clear" w:color="auto" w:fill="auto"/>
          </w:tcPr>
          <w:p w14:paraId="007147A1" w14:textId="0DEECF98" w:rsidR="00A40224" w:rsidRPr="00463B9A" w:rsidRDefault="00377D8A">
            <w:pPr>
              <w:pStyle w:val="SingleTxtG"/>
              <w:tabs>
                <w:tab w:val="left" w:pos="3262"/>
              </w:tabs>
              <w:ind w:left="0" w:right="283"/>
              <w:jc w:val="left"/>
              <w:rPr>
                <w:i/>
              </w:rPr>
            </w:pPr>
            <w:r>
              <w:rPr>
                <w:i/>
              </w:rPr>
              <w:t>Communication s</w:t>
            </w:r>
            <w:r w:rsidR="00A40224" w:rsidRPr="00463B9A">
              <w:rPr>
                <w:i/>
              </w:rPr>
              <w:t>ubmitted by:</w:t>
            </w:r>
          </w:p>
        </w:tc>
        <w:tc>
          <w:tcPr>
            <w:tcW w:w="3827" w:type="dxa"/>
            <w:shd w:val="clear" w:color="auto" w:fill="auto"/>
          </w:tcPr>
          <w:p w14:paraId="14D5997F" w14:textId="3C06002E" w:rsidR="00A40224" w:rsidRPr="00463B9A" w:rsidRDefault="001551D0" w:rsidP="009475EF">
            <w:pPr>
              <w:spacing w:after="120"/>
            </w:pPr>
            <w:r>
              <w:t>A</w:t>
            </w:r>
            <w:r w:rsidR="00A40224" w:rsidRPr="00463B9A">
              <w:t xml:space="preserve"> (represented by</w:t>
            </w:r>
            <w:r w:rsidR="009F01D7" w:rsidRPr="00463B9A">
              <w:t xml:space="preserve"> counsel, Joseph W. Allen</w:t>
            </w:r>
            <w:r w:rsidR="00A40224" w:rsidRPr="00463B9A">
              <w:t>)</w:t>
            </w:r>
          </w:p>
        </w:tc>
      </w:tr>
      <w:tr w:rsidR="00A40224" w:rsidRPr="00463B9A" w14:paraId="536A1BB2" w14:textId="77777777" w:rsidTr="00FD1791">
        <w:tc>
          <w:tcPr>
            <w:tcW w:w="3544" w:type="dxa"/>
            <w:shd w:val="clear" w:color="auto" w:fill="auto"/>
          </w:tcPr>
          <w:p w14:paraId="631F914A" w14:textId="77777777" w:rsidR="00A40224" w:rsidRPr="00463B9A" w:rsidRDefault="00A40224">
            <w:pPr>
              <w:pStyle w:val="SingleTxtG"/>
              <w:tabs>
                <w:tab w:val="left" w:pos="3262"/>
              </w:tabs>
              <w:ind w:left="0"/>
              <w:jc w:val="left"/>
              <w:rPr>
                <w:i/>
              </w:rPr>
            </w:pPr>
            <w:r w:rsidRPr="00463B9A">
              <w:rPr>
                <w:i/>
              </w:rPr>
              <w:t>Alleged victim:</w:t>
            </w:r>
          </w:p>
        </w:tc>
        <w:tc>
          <w:tcPr>
            <w:tcW w:w="3827" w:type="dxa"/>
            <w:shd w:val="clear" w:color="auto" w:fill="auto"/>
          </w:tcPr>
          <w:p w14:paraId="4D15ABBC" w14:textId="6F96A91D" w:rsidR="00A40224" w:rsidRPr="00463B9A" w:rsidRDefault="001551D0">
            <w:pPr>
              <w:pStyle w:val="SingleTxtG"/>
              <w:ind w:left="0"/>
              <w:jc w:val="left"/>
            </w:pPr>
            <w:r>
              <w:t>A</w:t>
            </w:r>
          </w:p>
        </w:tc>
      </w:tr>
      <w:tr w:rsidR="00A40224" w:rsidRPr="00463B9A" w14:paraId="048CD3BD" w14:textId="77777777" w:rsidTr="00FD1791">
        <w:tc>
          <w:tcPr>
            <w:tcW w:w="3544" w:type="dxa"/>
            <w:shd w:val="clear" w:color="auto" w:fill="auto"/>
          </w:tcPr>
          <w:p w14:paraId="28B551AF" w14:textId="77777777" w:rsidR="00A40224" w:rsidRPr="00463B9A" w:rsidRDefault="00A40224">
            <w:pPr>
              <w:pStyle w:val="SingleTxtG"/>
              <w:tabs>
                <w:tab w:val="left" w:pos="3262"/>
              </w:tabs>
              <w:ind w:left="0"/>
              <w:jc w:val="left"/>
              <w:rPr>
                <w:i/>
              </w:rPr>
            </w:pPr>
            <w:r w:rsidRPr="00463B9A">
              <w:rPr>
                <w:i/>
              </w:rPr>
              <w:t>State party:</w:t>
            </w:r>
          </w:p>
        </w:tc>
        <w:tc>
          <w:tcPr>
            <w:tcW w:w="3827" w:type="dxa"/>
            <w:shd w:val="clear" w:color="auto" w:fill="auto"/>
          </w:tcPr>
          <w:p w14:paraId="4F0B6E21" w14:textId="1B514E74" w:rsidR="00A40224" w:rsidRPr="00463B9A" w:rsidRDefault="001551D0">
            <w:pPr>
              <w:pStyle w:val="SingleTxtG"/>
              <w:ind w:left="0"/>
              <w:jc w:val="left"/>
            </w:pPr>
            <w:r>
              <w:t>Denmark</w:t>
            </w:r>
          </w:p>
        </w:tc>
      </w:tr>
      <w:tr w:rsidR="00A40224" w:rsidRPr="00463B9A" w14:paraId="2A558534" w14:textId="77777777" w:rsidTr="00FD1791">
        <w:tc>
          <w:tcPr>
            <w:tcW w:w="3544" w:type="dxa"/>
            <w:shd w:val="clear" w:color="auto" w:fill="auto"/>
          </w:tcPr>
          <w:p w14:paraId="29A3B4C8" w14:textId="77777777" w:rsidR="00A40224" w:rsidRPr="00463B9A" w:rsidRDefault="00A40224">
            <w:pPr>
              <w:pStyle w:val="SingleTxtG"/>
              <w:tabs>
                <w:tab w:val="left" w:pos="3262"/>
              </w:tabs>
              <w:ind w:left="0"/>
              <w:jc w:val="left"/>
              <w:rPr>
                <w:i/>
              </w:rPr>
            </w:pPr>
            <w:r w:rsidRPr="00463B9A">
              <w:rPr>
                <w:i/>
              </w:rPr>
              <w:t>Date of communication:</w:t>
            </w:r>
          </w:p>
        </w:tc>
        <w:tc>
          <w:tcPr>
            <w:tcW w:w="3827" w:type="dxa"/>
            <w:shd w:val="clear" w:color="auto" w:fill="auto"/>
          </w:tcPr>
          <w:p w14:paraId="085B1C33" w14:textId="09B63821" w:rsidR="00A40224" w:rsidRPr="00463B9A" w:rsidRDefault="004B5D3F" w:rsidP="009475EF">
            <w:pPr>
              <w:spacing w:after="120"/>
            </w:pPr>
            <w:r>
              <w:t xml:space="preserve">17 March 2014 </w:t>
            </w:r>
            <w:r w:rsidR="00A40224" w:rsidRPr="00463B9A">
              <w:t>(initial submission)</w:t>
            </w:r>
          </w:p>
        </w:tc>
      </w:tr>
      <w:tr w:rsidR="00A40224" w:rsidRPr="00463B9A" w14:paraId="1AEEF06C" w14:textId="77777777" w:rsidTr="00FD1791">
        <w:tc>
          <w:tcPr>
            <w:tcW w:w="3544" w:type="dxa"/>
            <w:shd w:val="clear" w:color="auto" w:fill="auto"/>
          </w:tcPr>
          <w:p w14:paraId="2DE3E9F8" w14:textId="77777777" w:rsidR="00A40224" w:rsidRPr="00463B9A" w:rsidRDefault="00A40224">
            <w:pPr>
              <w:pStyle w:val="SingleTxtG"/>
              <w:tabs>
                <w:tab w:val="left" w:pos="3262"/>
              </w:tabs>
              <w:ind w:left="0"/>
              <w:jc w:val="left"/>
              <w:rPr>
                <w:i/>
              </w:rPr>
            </w:pPr>
            <w:r w:rsidRPr="00463B9A">
              <w:rPr>
                <w:i/>
              </w:rPr>
              <w:t>Document references:</w:t>
            </w:r>
          </w:p>
        </w:tc>
        <w:tc>
          <w:tcPr>
            <w:tcW w:w="3827" w:type="dxa"/>
            <w:shd w:val="clear" w:color="auto" w:fill="auto"/>
          </w:tcPr>
          <w:p w14:paraId="06919ADE" w14:textId="2A32B427" w:rsidR="009F01D7" w:rsidRPr="00463B9A" w:rsidRDefault="004A1A9D" w:rsidP="009475EF">
            <w:pPr>
              <w:spacing w:after="120"/>
            </w:pPr>
            <w:r w:rsidRPr="00686139">
              <w:t>Decision taken pursuant to</w:t>
            </w:r>
            <w:r w:rsidRPr="00463B9A">
              <w:t xml:space="preserve"> rule</w:t>
            </w:r>
            <w:r>
              <w:t>s 92 and</w:t>
            </w:r>
            <w:r w:rsidRPr="00463B9A">
              <w:t xml:space="preserve"> 97</w:t>
            </w:r>
            <w:r>
              <w:t xml:space="preserve"> of the Committee’s rules of procedure</w:t>
            </w:r>
            <w:r w:rsidR="00A40224" w:rsidRPr="00463B9A">
              <w:t>, transmitted to the State party on</w:t>
            </w:r>
            <w:r w:rsidR="004B5D3F">
              <w:t xml:space="preserve"> 17 March 2014</w:t>
            </w:r>
            <w:r w:rsidR="001551D0">
              <w:t xml:space="preserve"> </w:t>
            </w:r>
            <w:r w:rsidR="00A40224" w:rsidRPr="00463B9A">
              <w:t>(not issued in document form)</w:t>
            </w:r>
          </w:p>
        </w:tc>
      </w:tr>
      <w:tr w:rsidR="00A40224" w:rsidRPr="00463B9A" w14:paraId="112B1F43" w14:textId="77777777" w:rsidTr="00FD1791">
        <w:tc>
          <w:tcPr>
            <w:tcW w:w="3544" w:type="dxa"/>
            <w:shd w:val="clear" w:color="auto" w:fill="auto"/>
          </w:tcPr>
          <w:p w14:paraId="5B8A146F" w14:textId="074C79CF" w:rsidR="00A40224" w:rsidRPr="00463B9A" w:rsidRDefault="00A40224">
            <w:pPr>
              <w:pStyle w:val="SingleTxtG"/>
              <w:tabs>
                <w:tab w:val="left" w:pos="3262"/>
              </w:tabs>
              <w:ind w:left="0"/>
              <w:jc w:val="left"/>
              <w:rPr>
                <w:i/>
              </w:rPr>
            </w:pPr>
            <w:r w:rsidRPr="00463B9A">
              <w:rPr>
                <w:i/>
              </w:rPr>
              <w:t xml:space="preserve">Date of adoption of </w:t>
            </w:r>
            <w:r w:rsidR="00E85A84">
              <w:rPr>
                <w:i/>
              </w:rPr>
              <w:t>decision</w:t>
            </w:r>
            <w:r w:rsidRPr="00463B9A">
              <w:rPr>
                <w:i/>
              </w:rPr>
              <w:t>:</w:t>
            </w:r>
          </w:p>
        </w:tc>
        <w:tc>
          <w:tcPr>
            <w:tcW w:w="3827" w:type="dxa"/>
            <w:shd w:val="clear" w:color="auto" w:fill="auto"/>
            <w:vAlign w:val="bottom"/>
          </w:tcPr>
          <w:p w14:paraId="5B3EBED0" w14:textId="115C3A68" w:rsidR="00A40224" w:rsidRPr="00463B9A" w:rsidRDefault="004A1A9D">
            <w:pPr>
              <w:pStyle w:val="SingleTxtG"/>
              <w:ind w:left="0"/>
              <w:jc w:val="left"/>
            </w:pPr>
            <w:r>
              <w:t xml:space="preserve">30 </w:t>
            </w:r>
            <w:r w:rsidR="005A714E">
              <w:t>March</w:t>
            </w:r>
            <w:r w:rsidR="00A40224" w:rsidRPr="00463B9A">
              <w:t xml:space="preserve"> </w:t>
            </w:r>
            <w:r w:rsidR="009F01D7" w:rsidRPr="00463B9A">
              <w:t>2016</w:t>
            </w:r>
          </w:p>
        </w:tc>
      </w:tr>
      <w:tr w:rsidR="00A40224" w:rsidRPr="00463B9A" w14:paraId="1AEDFF93" w14:textId="77777777" w:rsidTr="00FD1791">
        <w:tc>
          <w:tcPr>
            <w:tcW w:w="3544" w:type="dxa"/>
            <w:shd w:val="clear" w:color="auto" w:fill="auto"/>
          </w:tcPr>
          <w:p w14:paraId="43C828C5" w14:textId="1A3957D0" w:rsidR="00A40224" w:rsidRPr="00463B9A" w:rsidRDefault="00A40224">
            <w:pPr>
              <w:pStyle w:val="SingleTxtG"/>
              <w:ind w:left="0" w:right="283"/>
              <w:jc w:val="left"/>
            </w:pPr>
            <w:r w:rsidRPr="00463B9A">
              <w:br w:type="page"/>
            </w:r>
            <w:r w:rsidRPr="00463B9A">
              <w:rPr>
                <w:i/>
                <w:iCs/>
              </w:rPr>
              <w:t>Subject matter:</w:t>
            </w:r>
          </w:p>
        </w:tc>
        <w:tc>
          <w:tcPr>
            <w:tcW w:w="3827" w:type="dxa"/>
            <w:shd w:val="clear" w:color="auto" w:fill="auto"/>
          </w:tcPr>
          <w:p w14:paraId="70D0F258" w14:textId="0A3A0AA7" w:rsidR="00A40224" w:rsidRPr="00463B9A" w:rsidRDefault="00A40224" w:rsidP="009475EF">
            <w:pPr>
              <w:spacing w:after="120"/>
            </w:pPr>
            <w:r w:rsidRPr="00463B9A">
              <w:t xml:space="preserve">Deportation of author to </w:t>
            </w:r>
            <w:r w:rsidR="001551D0">
              <w:t>Afghanistan</w:t>
            </w:r>
          </w:p>
        </w:tc>
      </w:tr>
      <w:tr w:rsidR="00A40224" w:rsidRPr="00463B9A" w14:paraId="33B4B8A1" w14:textId="77777777" w:rsidTr="00FD1791">
        <w:tc>
          <w:tcPr>
            <w:tcW w:w="3544" w:type="dxa"/>
            <w:shd w:val="clear" w:color="auto" w:fill="auto"/>
          </w:tcPr>
          <w:p w14:paraId="37726991" w14:textId="77777777" w:rsidR="00A40224" w:rsidRPr="00463B9A" w:rsidRDefault="00A40224">
            <w:pPr>
              <w:pStyle w:val="SingleTxtG"/>
              <w:ind w:left="0" w:right="283"/>
              <w:jc w:val="left"/>
              <w:rPr>
                <w:i/>
                <w:iCs/>
              </w:rPr>
            </w:pPr>
            <w:r w:rsidRPr="00463B9A">
              <w:rPr>
                <w:i/>
                <w:iCs/>
              </w:rPr>
              <w:t>Procedural issues</w:t>
            </w:r>
            <w:r w:rsidRPr="00463B9A">
              <w:rPr>
                <w:i/>
              </w:rPr>
              <w:t>:</w:t>
            </w:r>
          </w:p>
        </w:tc>
        <w:tc>
          <w:tcPr>
            <w:tcW w:w="3827" w:type="dxa"/>
            <w:shd w:val="clear" w:color="auto" w:fill="auto"/>
          </w:tcPr>
          <w:p w14:paraId="70B6E67A" w14:textId="24EA8A99" w:rsidR="009F01D7" w:rsidRPr="001551D0" w:rsidRDefault="00FB5E8E" w:rsidP="009475EF">
            <w:pPr>
              <w:spacing w:after="120"/>
              <w:rPr>
                <w:highlight w:val="yellow"/>
              </w:rPr>
            </w:pPr>
            <w:r w:rsidRPr="00C17F2B">
              <w:t>A</w:t>
            </w:r>
            <w:r w:rsidR="00D975D1" w:rsidRPr="00C17F2B">
              <w:t xml:space="preserve">dmissibility – manifestly ill-founded; admissibility – </w:t>
            </w:r>
            <w:r w:rsidR="00D975D1" w:rsidRPr="00C17F2B">
              <w:rPr>
                <w:i/>
              </w:rPr>
              <w:t>ratione materiae</w:t>
            </w:r>
          </w:p>
        </w:tc>
      </w:tr>
      <w:tr w:rsidR="00A40224" w:rsidRPr="00463B9A" w14:paraId="6857AFDD" w14:textId="77777777" w:rsidTr="00FD1791">
        <w:tc>
          <w:tcPr>
            <w:tcW w:w="3544" w:type="dxa"/>
            <w:shd w:val="clear" w:color="auto" w:fill="auto"/>
          </w:tcPr>
          <w:p w14:paraId="371BB7F4" w14:textId="77777777" w:rsidR="00A40224" w:rsidRPr="00463B9A" w:rsidRDefault="00A40224">
            <w:pPr>
              <w:pStyle w:val="SingleTxtG"/>
              <w:ind w:left="0" w:right="283"/>
              <w:jc w:val="left"/>
              <w:rPr>
                <w:i/>
                <w:iCs/>
              </w:rPr>
            </w:pPr>
            <w:r w:rsidRPr="00463B9A">
              <w:rPr>
                <w:i/>
                <w:iCs/>
              </w:rPr>
              <w:t>Substantive issues:</w:t>
            </w:r>
          </w:p>
        </w:tc>
        <w:tc>
          <w:tcPr>
            <w:tcW w:w="3827" w:type="dxa"/>
            <w:shd w:val="clear" w:color="auto" w:fill="auto"/>
          </w:tcPr>
          <w:p w14:paraId="14CF1B51" w14:textId="54D3E6B9" w:rsidR="007D7097" w:rsidRPr="001551D0" w:rsidRDefault="00872025" w:rsidP="009475EF">
            <w:pPr>
              <w:spacing w:after="120"/>
              <w:rPr>
                <w:highlight w:val="yellow"/>
                <w:lang w:val="en-US"/>
              </w:rPr>
            </w:pPr>
            <w:r>
              <w:rPr>
                <w:lang w:val="en-US"/>
              </w:rPr>
              <w:t xml:space="preserve">Aliens’ rights – expulsion; </w:t>
            </w:r>
            <w:r w:rsidRPr="009475EF">
              <w:rPr>
                <w:iCs/>
                <w:lang w:val="en-US"/>
              </w:rPr>
              <w:t>n</w:t>
            </w:r>
            <w:r w:rsidR="00A40224" w:rsidRPr="009475EF">
              <w:rPr>
                <w:iCs/>
                <w:lang w:val="en-US"/>
              </w:rPr>
              <w:t>on-refoulement</w:t>
            </w:r>
            <w:r w:rsidR="00A40224" w:rsidRPr="00C17F2B">
              <w:rPr>
                <w:lang w:val="en-US"/>
              </w:rPr>
              <w:t xml:space="preserve">; </w:t>
            </w:r>
            <w:r w:rsidR="000C7CA7">
              <w:rPr>
                <w:lang w:val="en-US"/>
              </w:rPr>
              <w:t>refugee status</w:t>
            </w:r>
            <w:r w:rsidR="00A40224" w:rsidRPr="00C17F2B">
              <w:rPr>
                <w:lang w:val="en-US"/>
              </w:rPr>
              <w:t xml:space="preserve">; </w:t>
            </w:r>
            <w:r w:rsidR="00217ED4" w:rsidRPr="00C17F2B">
              <w:rPr>
                <w:lang w:val="en-US"/>
              </w:rPr>
              <w:t>right to life</w:t>
            </w:r>
            <w:r w:rsidR="007D7097" w:rsidRPr="00C17F2B">
              <w:rPr>
                <w:lang w:val="en-US"/>
              </w:rPr>
              <w:t xml:space="preserve">; </w:t>
            </w:r>
            <w:r w:rsidR="00A40224" w:rsidRPr="00C17F2B">
              <w:rPr>
                <w:lang w:val="en-US"/>
              </w:rPr>
              <w:t>torture</w:t>
            </w:r>
            <w:r w:rsidR="00FB5E8E" w:rsidRPr="00C17F2B">
              <w:rPr>
                <w:lang w:val="en-US"/>
              </w:rPr>
              <w:t>; fair trial</w:t>
            </w:r>
            <w:r w:rsidR="007D7097" w:rsidRPr="00C17F2B">
              <w:rPr>
                <w:lang w:val="en-US"/>
              </w:rPr>
              <w:t xml:space="preserve"> </w:t>
            </w:r>
          </w:p>
        </w:tc>
      </w:tr>
      <w:tr w:rsidR="00A40224" w:rsidRPr="00463B9A" w14:paraId="218A9C15" w14:textId="77777777" w:rsidTr="00FD1791">
        <w:tc>
          <w:tcPr>
            <w:tcW w:w="3544" w:type="dxa"/>
            <w:shd w:val="clear" w:color="auto" w:fill="auto"/>
          </w:tcPr>
          <w:p w14:paraId="0702AF65" w14:textId="77777777" w:rsidR="00A40224" w:rsidRPr="00463B9A" w:rsidRDefault="00A40224">
            <w:pPr>
              <w:pStyle w:val="SingleTxtG"/>
              <w:ind w:left="0" w:right="283"/>
              <w:jc w:val="left"/>
              <w:rPr>
                <w:i/>
                <w:iCs/>
              </w:rPr>
            </w:pPr>
            <w:r w:rsidRPr="00463B9A">
              <w:rPr>
                <w:i/>
                <w:iCs/>
              </w:rPr>
              <w:t>Articles of the Covenant</w:t>
            </w:r>
            <w:r w:rsidRPr="00463B9A">
              <w:rPr>
                <w:i/>
              </w:rPr>
              <w:t>:</w:t>
            </w:r>
          </w:p>
        </w:tc>
        <w:tc>
          <w:tcPr>
            <w:tcW w:w="3827" w:type="dxa"/>
            <w:shd w:val="clear" w:color="auto" w:fill="auto"/>
          </w:tcPr>
          <w:p w14:paraId="0D0F5DB5" w14:textId="60472A8F" w:rsidR="00A40224" w:rsidRPr="001551D0" w:rsidRDefault="00FB5E8E">
            <w:pPr>
              <w:pStyle w:val="SingleTxtG"/>
              <w:ind w:left="0"/>
              <w:jc w:val="left"/>
              <w:rPr>
                <w:highlight w:val="yellow"/>
              </w:rPr>
            </w:pPr>
            <w:r w:rsidRPr="00FB5E8E">
              <w:t>6, 7</w:t>
            </w:r>
            <w:r w:rsidR="00872025">
              <w:t>, 13</w:t>
            </w:r>
            <w:r w:rsidRPr="00FB5E8E">
              <w:t xml:space="preserve"> and 14</w:t>
            </w:r>
          </w:p>
        </w:tc>
      </w:tr>
      <w:tr w:rsidR="00A40224" w:rsidRPr="00463B9A" w14:paraId="49F8C059" w14:textId="77777777" w:rsidTr="00FD1791">
        <w:tc>
          <w:tcPr>
            <w:tcW w:w="3544" w:type="dxa"/>
            <w:shd w:val="clear" w:color="auto" w:fill="auto"/>
          </w:tcPr>
          <w:p w14:paraId="5D92955D" w14:textId="77777777" w:rsidR="00A40224" w:rsidRPr="00463B9A" w:rsidRDefault="00A40224" w:rsidP="009475EF">
            <w:pPr>
              <w:pStyle w:val="SingleTxtG"/>
              <w:ind w:left="0" w:right="283"/>
              <w:jc w:val="left"/>
              <w:rPr>
                <w:i/>
                <w:iCs/>
              </w:rPr>
            </w:pPr>
            <w:r w:rsidRPr="00463B9A">
              <w:rPr>
                <w:i/>
                <w:iCs/>
              </w:rPr>
              <w:t>Article</w:t>
            </w:r>
            <w:r w:rsidR="00C03875" w:rsidRPr="00463B9A">
              <w:rPr>
                <w:i/>
                <w:iCs/>
              </w:rPr>
              <w:t>s</w:t>
            </w:r>
            <w:r w:rsidRPr="00463B9A">
              <w:rPr>
                <w:i/>
                <w:iCs/>
              </w:rPr>
              <w:t xml:space="preserve"> of the Optional Protocol:</w:t>
            </w:r>
          </w:p>
        </w:tc>
        <w:tc>
          <w:tcPr>
            <w:tcW w:w="3827" w:type="dxa"/>
            <w:shd w:val="clear" w:color="auto" w:fill="auto"/>
          </w:tcPr>
          <w:p w14:paraId="5B78F26A" w14:textId="2538AA9C" w:rsidR="00A40224" w:rsidRPr="001551D0" w:rsidRDefault="00C03875" w:rsidP="009475EF">
            <w:pPr>
              <w:pStyle w:val="SingleTxtG"/>
              <w:ind w:left="0"/>
              <w:jc w:val="left"/>
              <w:rPr>
                <w:highlight w:val="yellow"/>
              </w:rPr>
            </w:pPr>
            <w:r w:rsidRPr="00C17F2B">
              <w:t>2</w:t>
            </w:r>
            <w:r w:rsidR="00FB5E8E" w:rsidRPr="00C17F2B">
              <w:t xml:space="preserve"> and </w:t>
            </w:r>
            <w:r w:rsidR="007D7097" w:rsidRPr="00C17F2B">
              <w:t>3</w:t>
            </w:r>
          </w:p>
        </w:tc>
      </w:tr>
    </w:tbl>
    <w:p w14:paraId="5099773E" w14:textId="1783443B" w:rsidR="00B82FAD" w:rsidRDefault="00B82FAD" w:rsidP="00905FFA">
      <w:pPr>
        <w:pStyle w:val="SingleTxtG"/>
      </w:pPr>
    </w:p>
    <w:p w14:paraId="21DD3BB1" w14:textId="77777777" w:rsidR="00B82FAD" w:rsidRDefault="00B82FAD">
      <w:pPr>
        <w:suppressAutoHyphens w:val="0"/>
        <w:spacing w:line="240" w:lineRule="auto"/>
      </w:pPr>
      <w:r>
        <w:br w:type="page"/>
      </w:r>
    </w:p>
    <w:p w14:paraId="6D1003FE" w14:textId="4F1BF958" w:rsidR="00A40224" w:rsidRPr="00463B9A" w:rsidRDefault="00A40224" w:rsidP="00905FFA">
      <w:pPr>
        <w:pStyle w:val="SingleTxtG"/>
      </w:pPr>
      <w:r w:rsidRPr="00463B9A">
        <w:lastRenderedPageBreak/>
        <w:t>1.1</w:t>
      </w:r>
      <w:r w:rsidRPr="00463B9A">
        <w:tab/>
        <w:t xml:space="preserve">The author of the communication is </w:t>
      </w:r>
      <w:r w:rsidR="001551D0">
        <w:t>A</w:t>
      </w:r>
      <w:r w:rsidRPr="00463B9A">
        <w:t>, a</w:t>
      </w:r>
      <w:r w:rsidR="00B655A1">
        <w:t>n Afghan</w:t>
      </w:r>
      <w:r w:rsidR="00487D32" w:rsidRPr="00463B9A">
        <w:t xml:space="preserve"> </w:t>
      </w:r>
      <w:r w:rsidRPr="00463B9A">
        <w:t xml:space="preserve">national </w:t>
      </w:r>
      <w:r w:rsidR="00FB5E8E">
        <w:t xml:space="preserve">born on </w:t>
      </w:r>
      <w:r w:rsidR="00FB5E8E" w:rsidRPr="00FB5E8E">
        <w:t xml:space="preserve">7 February 1987 </w:t>
      </w:r>
      <w:r w:rsidRPr="00463B9A">
        <w:t xml:space="preserve">currently residing in </w:t>
      </w:r>
      <w:r w:rsidR="00FB5E8E">
        <w:t>Denmark</w:t>
      </w:r>
      <w:r w:rsidRPr="00463B9A">
        <w:t xml:space="preserve">. </w:t>
      </w:r>
      <w:r w:rsidR="00FB5E8E">
        <w:t>He</w:t>
      </w:r>
      <w:r w:rsidR="00F472DB" w:rsidRPr="00463B9A">
        <w:t xml:space="preserve"> is</w:t>
      </w:r>
      <w:r w:rsidRPr="00463B9A">
        <w:t xml:space="preserve"> subject to deportation, following the rejection of </w:t>
      </w:r>
      <w:r w:rsidR="00FB5E8E">
        <w:t>his</w:t>
      </w:r>
      <w:r w:rsidRPr="00463B9A">
        <w:t xml:space="preserve"> application for refugee status in </w:t>
      </w:r>
      <w:r w:rsidR="00FB5E8E">
        <w:t>Denmark</w:t>
      </w:r>
      <w:r w:rsidRPr="00463B9A">
        <w:t xml:space="preserve">. </w:t>
      </w:r>
      <w:r w:rsidR="00FB5E8E">
        <w:t>He</w:t>
      </w:r>
      <w:r w:rsidRPr="00463B9A">
        <w:t xml:space="preserve"> asserts that by removing </w:t>
      </w:r>
      <w:r w:rsidR="00FB5E8E">
        <w:t>him to Afghanistan</w:t>
      </w:r>
      <w:r w:rsidRPr="00463B9A">
        <w:t xml:space="preserve"> the State party would violate </w:t>
      </w:r>
      <w:r w:rsidR="00FB5E8E">
        <w:t>his</w:t>
      </w:r>
      <w:r w:rsidRPr="00463B9A">
        <w:t xml:space="preserve"> rights under articles </w:t>
      </w:r>
      <w:r w:rsidR="00FB5E8E">
        <w:t>6, 7</w:t>
      </w:r>
      <w:r w:rsidR="00961AEB">
        <w:t>, 13</w:t>
      </w:r>
      <w:r w:rsidR="00FB5E8E">
        <w:t xml:space="preserve"> and 14</w:t>
      </w:r>
      <w:r w:rsidRPr="00463B9A">
        <w:t xml:space="preserve"> of the Covenant. </w:t>
      </w:r>
      <w:r w:rsidR="003E4350" w:rsidRPr="00463B9A">
        <w:rPr>
          <w:szCs w:val="18"/>
        </w:rPr>
        <w:t xml:space="preserve">The first Optional Protocol to the Covenant entered into force for </w:t>
      </w:r>
      <w:r w:rsidR="003E4350">
        <w:rPr>
          <w:szCs w:val="18"/>
        </w:rPr>
        <w:t>Denmark</w:t>
      </w:r>
      <w:r w:rsidR="003E4350" w:rsidRPr="00463B9A">
        <w:rPr>
          <w:szCs w:val="18"/>
        </w:rPr>
        <w:t xml:space="preserve"> on </w:t>
      </w:r>
      <w:r w:rsidR="003E4350">
        <w:rPr>
          <w:szCs w:val="18"/>
        </w:rPr>
        <w:t xml:space="preserve">23 March 1976. The author </w:t>
      </w:r>
      <w:r w:rsidR="004B5D3F">
        <w:t>is represented by counsel</w:t>
      </w:r>
      <w:r w:rsidR="00487D32" w:rsidRPr="00463B9A">
        <w:t>.</w:t>
      </w:r>
      <w:r w:rsidR="000D24B8" w:rsidRPr="00463B9A">
        <w:rPr>
          <w:rStyle w:val="FootnoteReference"/>
        </w:rPr>
        <w:t xml:space="preserve"> </w:t>
      </w:r>
    </w:p>
    <w:p w14:paraId="1A761353" w14:textId="5AA329CD" w:rsidR="00A40224" w:rsidRPr="00463B9A" w:rsidRDefault="00A40224">
      <w:pPr>
        <w:pStyle w:val="SingleTxtG"/>
      </w:pPr>
      <w:r w:rsidRPr="00463B9A">
        <w:t>1.2</w:t>
      </w:r>
      <w:r w:rsidRPr="00463B9A">
        <w:tab/>
        <w:t xml:space="preserve">On </w:t>
      </w:r>
      <w:r w:rsidR="004B5D3F">
        <w:t>17 March</w:t>
      </w:r>
      <w:r w:rsidR="00487D32" w:rsidRPr="00463B9A">
        <w:t xml:space="preserve"> 2014</w:t>
      </w:r>
      <w:r w:rsidRPr="00463B9A">
        <w:t xml:space="preserve">, pursuant to rules 92 and 97 of its rules of procedure, the Committee, acting through its Special Rapporteur on new communications and interim measures, requested </w:t>
      </w:r>
      <w:r w:rsidR="00B11633" w:rsidRPr="00463B9A">
        <w:t>the</w:t>
      </w:r>
      <w:r w:rsidRPr="00463B9A">
        <w:t xml:space="preserve"> State party </w:t>
      </w:r>
      <w:r w:rsidR="00B11633" w:rsidRPr="00463B9A">
        <w:t xml:space="preserve">to </w:t>
      </w:r>
      <w:r w:rsidR="00DE6747" w:rsidRPr="00463B9A">
        <w:t>refrain from removing</w:t>
      </w:r>
      <w:r w:rsidRPr="00463B9A">
        <w:t xml:space="preserve"> the author to </w:t>
      </w:r>
      <w:r w:rsidR="004B5D3F">
        <w:t>Afghanistan</w:t>
      </w:r>
      <w:r w:rsidRPr="00463B9A">
        <w:t xml:space="preserve"> while the communication </w:t>
      </w:r>
      <w:r w:rsidR="00DB1A74">
        <w:t>wa</w:t>
      </w:r>
      <w:r w:rsidRPr="00463B9A">
        <w:t xml:space="preserve">s under consideration by the Committee. On </w:t>
      </w:r>
      <w:r w:rsidR="004B5D3F">
        <w:t>4 November 2014</w:t>
      </w:r>
      <w:r w:rsidRPr="00463B9A">
        <w:t xml:space="preserve">, the Committee </w:t>
      </w:r>
      <w:r w:rsidR="004B5D3F">
        <w:t>granted</w:t>
      </w:r>
      <w:r w:rsidRPr="00463B9A">
        <w:t xml:space="preserve"> the State party’s request to lift interim measures. </w:t>
      </w:r>
      <w:r w:rsidR="00BC2D78">
        <w:t>The author remains in Denmark.</w:t>
      </w:r>
      <w:r w:rsidR="000E179D" w:rsidRPr="00463B9A">
        <w:rPr>
          <w:rStyle w:val="FootnoteReference"/>
        </w:rPr>
        <w:t xml:space="preserve"> </w:t>
      </w:r>
    </w:p>
    <w:p w14:paraId="4DCD18D1" w14:textId="77777777" w:rsidR="00A40224" w:rsidRPr="00463B9A" w:rsidRDefault="00B61233" w:rsidP="00B61233">
      <w:pPr>
        <w:pStyle w:val="H23G"/>
      </w:pPr>
      <w:r w:rsidRPr="00463B9A">
        <w:tab/>
      </w:r>
      <w:r w:rsidRPr="00463B9A">
        <w:tab/>
      </w:r>
      <w:r w:rsidR="00A40224" w:rsidRPr="00463B9A">
        <w:t>Facts as presented by the author</w:t>
      </w:r>
      <w:r w:rsidR="00C33A2B" w:rsidRPr="00463B9A">
        <w:rPr>
          <w:rStyle w:val="FootnoteReference"/>
          <w:b w:val="0"/>
          <w:bCs/>
        </w:rPr>
        <w:t xml:space="preserve"> </w:t>
      </w:r>
    </w:p>
    <w:p w14:paraId="1E9BBFB2" w14:textId="2C2C195E" w:rsidR="001C222C" w:rsidRDefault="00A40224" w:rsidP="005E2CAA">
      <w:pPr>
        <w:pStyle w:val="SingleTxtG"/>
        <w:rPr>
          <w:lang w:val="en-US"/>
        </w:rPr>
      </w:pPr>
      <w:r w:rsidRPr="00463B9A">
        <w:rPr>
          <w:lang w:val="en-US"/>
        </w:rPr>
        <w:t>2.1</w:t>
      </w:r>
      <w:r w:rsidRPr="00463B9A">
        <w:rPr>
          <w:lang w:val="en-US"/>
        </w:rPr>
        <w:tab/>
      </w:r>
      <w:r w:rsidR="00C77976" w:rsidRPr="00C77976">
        <w:rPr>
          <w:lang w:val="en-US"/>
        </w:rPr>
        <w:t xml:space="preserve">The author’s father </w:t>
      </w:r>
      <w:r w:rsidR="00AA1B88">
        <w:rPr>
          <w:lang w:val="en-US"/>
        </w:rPr>
        <w:t>purchased</w:t>
      </w:r>
      <w:r w:rsidR="00C77976" w:rsidRPr="00C77976">
        <w:rPr>
          <w:lang w:val="en-US"/>
        </w:rPr>
        <w:t xml:space="preserve"> property from a man named </w:t>
      </w:r>
      <w:r w:rsidR="003604C3">
        <w:rPr>
          <w:lang w:val="en-US"/>
        </w:rPr>
        <w:t>Q</w:t>
      </w:r>
      <w:r w:rsidR="007044D9">
        <w:rPr>
          <w:lang w:val="en-US"/>
        </w:rPr>
        <w:t>. Shortly after th</w:t>
      </w:r>
      <w:r w:rsidR="005E2CAA">
        <w:rPr>
          <w:lang w:val="en-US"/>
        </w:rPr>
        <w:t>at</w:t>
      </w:r>
      <w:r w:rsidR="007044D9">
        <w:rPr>
          <w:lang w:val="en-US"/>
        </w:rPr>
        <w:t xml:space="preserve"> transaction, Q died of illness.</w:t>
      </w:r>
      <w:r w:rsidR="00C77976" w:rsidRPr="00C77976">
        <w:rPr>
          <w:lang w:val="en-US"/>
        </w:rPr>
        <w:t xml:space="preserve"> </w:t>
      </w:r>
      <w:r w:rsidR="00C85553">
        <w:rPr>
          <w:lang w:val="en-US"/>
        </w:rPr>
        <w:t>Thereafter</w:t>
      </w:r>
      <w:r w:rsidR="00C77976" w:rsidRPr="00C77976">
        <w:rPr>
          <w:lang w:val="en-US"/>
        </w:rPr>
        <w:t xml:space="preserve">, </w:t>
      </w:r>
      <w:r w:rsidR="003604C3">
        <w:rPr>
          <w:lang w:val="en-US"/>
        </w:rPr>
        <w:t xml:space="preserve">three of </w:t>
      </w:r>
      <w:r w:rsidR="00732020">
        <w:rPr>
          <w:lang w:val="en-US"/>
        </w:rPr>
        <w:t>Q’s</w:t>
      </w:r>
      <w:r w:rsidR="003604C3">
        <w:rPr>
          <w:lang w:val="en-US"/>
        </w:rPr>
        <w:t xml:space="preserve"> relatives, including a man named S, approached the author’s father in order to claim the property. A fight </w:t>
      </w:r>
      <w:r w:rsidR="00732020">
        <w:rPr>
          <w:lang w:val="en-US"/>
        </w:rPr>
        <w:t xml:space="preserve">ensued </w:t>
      </w:r>
      <w:r w:rsidR="003604C3">
        <w:rPr>
          <w:lang w:val="en-US"/>
        </w:rPr>
        <w:t xml:space="preserve">between the </w:t>
      </w:r>
      <w:r w:rsidR="00732020">
        <w:rPr>
          <w:lang w:val="en-US"/>
        </w:rPr>
        <w:t>author’s</w:t>
      </w:r>
      <w:r w:rsidR="00FD3110">
        <w:rPr>
          <w:lang w:val="en-US"/>
        </w:rPr>
        <w:t xml:space="preserve"> family and Q’s relatives. During the fight, </w:t>
      </w:r>
      <w:r w:rsidR="00732020">
        <w:rPr>
          <w:lang w:val="en-US"/>
        </w:rPr>
        <w:t>t</w:t>
      </w:r>
      <w:r w:rsidR="003604C3">
        <w:rPr>
          <w:lang w:val="en-US"/>
        </w:rPr>
        <w:t xml:space="preserve">he author’s brother killed S. </w:t>
      </w:r>
      <w:r w:rsidR="001C222C">
        <w:rPr>
          <w:lang w:val="en-US"/>
        </w:rPr>
        <w:t>The author and his father and brother</w:t>
      </w:r>
      <w:r w:rsidR="00AD681D">
        <w:rPr>
          <w:lang w:val="en-US"/>
        </w:rPr>
        <w:t xml:space="preserve"> fled to stay</w:t>
      </w:r>
      <w:r w:rsidR="00C77976" w:rsidRPr="00C77976">
        <w:rPr>
          <w:lang w:val="en-US"/>
        </w:rPr>
        <w:t xml:space="preserve"> with a </w:t>
      </w:r>
      <w:r w:rsidR="00AD681D">
        <w:rPr>
          <w:lang w:val="en-US"/>
        </w:rPr>
        <w:t>family friend</w:t>
      </w:r>
      <w:r w:rsidR="00C77976" w:rsidRPr="00C77976">
        <w:rPr>
          <w:lang w:val="en-US"/>
        </w:rPr>
        <w:t xml:space="preserve">. </w:t>
      </w:r>
      <w:r w:rsidR="00FD3110">
        <w:rPr>
          <w:lang w:val="en-US"/>
        </w:rPr>
        <w:t xml:space="preserve">In order to resolve the land dispute, they decided </w:t>
      </w:r>
      <w:r w:rsidR="00AD26F9">
        <w:rPr>
          <w:lang w:val="en-US"/>
        </w:rPr>
        <w:t xml:space="preserve">to let Q’s brothers keep the property. </w:t>
      </w:r>
      <w:r w:rsidR="00FD3110">
        <w:rPr>
          <w:lang w:val="en-US"/>
        </w:rPr>
        <w:t>In addition, they decided to give one of the</w:t>
      </w:r>
      <w:r w:rsidR="00AD26F9">
        <w:rPr>
          <w:lang w:val="en-US"/>
        </w:rPr>
        <w:t>ir</w:t>
      </w:r>
      <w:r w:rsidR="00FD3110">
        <w:rPr>
          <w:lang w:val="en-US"/>
        </w:rPr>
        <w:t xml:space="preserve"> family’s girls to Q’s brothers</w:t>
      </w:r>
      <w:r w:rsidR="00AA1B88">
        <w:rPr>
          <w:lang w:val="en-US"/>
        </w:rPr>
        <w:t xml:space="preserve">. However, </w:t>
      </w:r>
      <w:r w:rsidR="00FD3110">
        <w:rPr>
          <w:lang w:val="en-US"/>
        </w:rPr>
        <w:t xml:space="preserve">when they were on their way to meet with Q’s family to discuss this resolution, </w:t>
      </w:r>
      <w:r w:rsidR="00AD26F9">
        <w:rPr>
          <w:lang w:val="en-US"/>
        </w:rPr>
        <w:t>they came across Q’s brothers, who shot at them and killed the author’s father and brother.</w:t>
      </w:r>
      <w:r w:rsidR="003B2197">
        <w:rPr>
          <w:lang w:val="en-US"/>
        </w:rPr>
        <w:t xml:space="preserve"> </w:t>
      </w:r>
    </w:p>
    <w:p w14:paraId="1CA61202" w14:textId="32D5FDCC" w:rsidR="001C222C" w:rsidRDefault="001C222C" w:rsidP="001C222C">
      <w:pPr>
        <w:pStyle w:val="SingleTxtG"/>
        <w:rPr>
          <w:lang w:val="en-US"/>
        </w:rPr>
      </w:pPr>
      <w:r>
        <w:rPr>
          <w:lang w:val="en-US"/>
        </w:rPr>
        <w:t>2.2</w:t>
      </w:r>
      <w:r>
        <w:rPr>
          <w:lang w:val="en-US"/>
        </w:rPr>
        <w:tab/>
        <w:t>Fearing</w:t>
      </w:r>
      <w:r w:rsidR="00AD681D">
        <w:rPr>
          <w:lang w:val="en-US"/>
        </w:rPr>
        <w:t xml:space="preserve"> that Q’s brothers </w:t>
      </w:r>
      <w:r>
        <w:rPr>
          <w:lang w:val="en-US"/>
        </w:rPr>
        <w:t>would kill him to prevent him from testifying against them and from reclaiming the property, the author fled Afghanistan. His wife remains in Afghanistan; the couple does not have children.</w:t>
      </w:r>
    </w:p>
    <w:p w14:paraId="2917E9E0" w14:textId="775FABB1" w:rsidR="00FF2AFB" w:rsidRDefault="00FF2AFB" w:rsidP="00FF2AFB">
      <w:pPr>
        <w:pStyle w:val="SingleTxtG"/>
        <w:rPr>
          <w:lang w:val="en-US"/>
        </w:rPr>
      </w:pPr>
      <w:r>
        <w:rPr>
          <w:lang w:val="en-US"/>
        </w:rPr>
        <w:t>2.3</w:t>
      </w:r>
      <w:r>
        <w:rPr>
          <w:lang w:val="en-US"/>
        </w:rPr>
        <w:tab/>
      </w:r>
      <w:r w:rsidRPr="001C222C">
        <w:t>The author has exhausted domestic remedies in Denmark</w:t>
      </w:r>
      <w:r>
        <w:t xml:space="preserve">. His appeal of the negative asylum decision was denied by the Refugee Appeals Board on 13 January 2014. This decision is final and may not be appealed before the Danish courts. The author’s request to reopen asylum proceedings was denied on 17 March 2014. </w:t>
      </w:r>
    </w:p>
    <w:p w14:paraId="5983BC47" w14:textId="77777777" w:rsidR="00A40224" w:rsidRPr="00463B9A" w:rsidRDefault="00B61233" w:rsidP="00B61233">
      <w:pPr>
        <w:pStyle w:val="H23G"/>
      </w:pPr>
      <w:r w:rsidRPr="00463B9A">
        <w:tab/>
      </w:r>
      <w:r w:rsidRPr="00463B9A">
        <w:tab/>
      </w:r>
      <w:r w:rsidR="00A40224" w:rsidRPr="00463B9A">
        <w:t>The complaint</w:t>
      </w:r>
    </w:p>
    <w:p w14:paraId="6330080B" w14:textId="10E88B05" w:rsidR="001C222C" w:rsidRPr="00FF2AFB" w:rsidRDefault="00A40224" w:rsidP="001F623E">
      <w:pPr>
        <w:pStyle w:val="SingleTxtG"/>
        <w:rPr>
          <w:lang w:val="en-US"/>
        </w:rPr>
      </w:pPr>
      <w:r w:rsidRPr="00463B9A">
        <w:rPr>
          <w:lang w:val="en-US"/>
        </w:rPr>
        <w:t>3.1</w:t>
      </w:r>
      <w:r w:rsidRPr="00463B9A">
        <w:rPr>
          <w:lang w:val="en-US"/>
        </w:rPr>
        <w:tab/>
        <w:t xml:space="preserve">The author submits that </w:t>
      </w:r>
      <w:r w:rsidR="00C22A36" w:rsidRPr="00463B9A">
        <w:rPr>
          <w:lang w:val="en-US"/>
        </w:rPr>
        <w:t>the State party</w:t>
      </w:r>
      <w:r w:rsidRPr="00463B9A">
        <w:rPr>
          <w:lang w:val="en-US"/>
        </w:rPr>
        <w:t xml:space="preserve"> would violate </w:t>
      </w:r>
      <w:r w:rsidR="001C222C">
        <w:rPr>
          <w:lang w:val="en-US"/>
        </w:rPr>
        <w:t>his</w:t>
      </w:r>
      <w:r w:rsidRPr="00463B9A">
        <w:rPr>
          <w:lang w:val="en-US"/>
        </w:rPr>
        <w:t xml:space="preserve"> rights under</w:t>
      </w:r>
      <w:r w:rsidR="0001358C" w:rsidRPr="00463B9A">
        <w:rPr>
          <w:lang w:val="en-US"/>
        </w:rPr>
        <w:t xml:space="preserve"> articles</w:t>
      </w:r>
      <w:r w:rsidRPr="00463B9A">
        <w:rPr>
          <w:lang w:val="en-US"/>
        </w:rPr>
        <w:t xml:space="preserve"> </w:t>
      </w:r>
      <w:r w:rsidR="001C222C">
        <w:t xml:space="preserve">6, 7 and 14 </w:t>
      </w:r>
      <w:r w:rsidRPr="00463B9A">
        <w:t xml:space="preserve">of the </w:t>
      </w:r>
      <w:r w:rsidRPr="00463B9A">
        <w:rPr>
          <w:lang w:val="en-US"/>
        </w:rPr>
        <w:t xml:space="preserve">Covenant by forcibly removing </w:t>
      </w:r>
      <w:r w:rsidR="001C222C">
        <w:rPr>
          <w:lang w:val="en-US"/>
        </w:rPr>
        <w:t xml:space="preserve">him to Afghanistan, where he fears being killed by Q’s brothers, </w:t>
      </w:r>
      <w:r w:rsidR="00FF2AFB">
        <w:rPr>
          <w:lang w:val="en-US"/>
        </w:rPr>
        <w:t xml:space="preserve">who killed the author’s father and brother </w:t>
      </w:r>
      <w:r w:rsidR="00F546FB">
        <w:rPr>
          <w:lang w:val="en-US"/>
        </w:rPr>
        <w:t>over</w:t>
      </w:r>
      <w:r w:rsidR="00FF2AFB">
        <w:rPr>
          <w:lang w:val="en-US"/>
        </w:rPr>
        <w:t xml:space="preserve"> a land dispute. </w:t>
      </w:r>
      <w:r w:rsidR="00FF2AFB">
        <w:t>Neither the Danish Immigration Service nor the Refugee Appeals Board properly investigated the serious risk of harm or death that the author would face in Afghanistan.</w:t>
      </w:r>
      <w:r w:rsidR="00FF2AFB" w:rsidRPr="001314F9">
        <w:rPr>
          <w:rStyle w:val="FootnoteReference"/>
        </w:rPr>
        <w:footnoteReference w:id="4"/>
      </w:r>
      <w:r w:rsidR="005A714E">
        <w:t xml:space="preserve"> </w:t>
      </w:r>
    </w:p>
    <w:p w14:paraId="550F288D" w14:textId="78777DA9" w:rsidR="001C222C" w:rsidRPr="001C222C" w:rsidRDefault="001C222C" w:rsidP="0048783E">
      <w:pPr>
        <w:pStyle w:val="SingleTxtG"/>
      </w:pPr>
      <w:r w:rsidRPr="001C222C">
        <w:t>3.2</w:t>
      </w:r>
      <w:r w:rsidRPr="001C222C">
        <w:tab/>
      </w:r>
      <w:r w:rsidR="00FF2AFB">
        <w:t>In violation of article 14 of the Covenant, the State party planned to deport the author on the same date on which the Refugee Appeals Board issued its negative decision</w:t>
      </w:r>
      <w:r w:rsidR="00F37833">
        <w:t>, before he could submit a communication before the Committee</w:t>
      </w:r>
      <w:r w:rsidR="00FF2AFB">
        <w:t xml:space="preserve">. </w:t>
      </w:r>
      <w:r w:rsidR="002318C7">
        <w:t xml:space="preserve">Preparations for his removal were not suspended when he filed a request to reopen </w:t>
      </w:r>
      <w:r w:rsidR="0048783E">
        <w:t>asylum proceed</w:t>
      </w:r>
      <w:r w:rsidR="002318C7">
        <w:t>ings.</w:t>
      </w:r>
    </w:p>
    <w:p w14:paraId="798A905A" w14:textId="75EA8066" w:rsidR="00A40224" w:rsidRPr="002F0D68" w:rsidRDefault="005A714E" w:rsidP="005A714E">
      <w:pPr>
        <w:pStyle w:val="H23G"/>
      </w:pPr>
      <w:r>
        <w:tab/>
      </w:r>
      <w:r>
        <w:tab/>
      </w:r>
      <w:r w:rsidR="00A40224" w:rsidRPr="002F0D68">
        <w:t xml:space="preserve">State party’s observations on </w:t>
      </w:r>
      <w:r w:rsidR="00455990" w:rsidRPr="002F0D68">
        <w:t>admissibility</w:t>
      </w:r>
      <w:r w:rsidR="00E85F30">
        <w:t xml:space="preserve"> and the merits</w:t>
      </w:r>
    </w:p>
    <w:p w14:paraId="2F3D0B58" w14:textId="36F832F2" w:rsidR="000C2120" w:rsidRDefault="00A40224" w:rsidP="00F546FB">
      <w:pPr>
        <w:pStyle w:val="SingleTxtG"/>
        <w:rPr>
          <w:lang w:val="en-US"/>
        </w:rPr>
      </w:pPr>
      <w:r w:rsidRPr="00463B9A">
        <w:rPr>
          <w:lang w:val="en-US"/>
        </w:rPr>
        <w:t>4.1</w:t>
      </w:r>
      <w:r w:rsidRPr="00463B9A">
        <w:rPr>
          <w:lang w:val="en-US"/>
        </w:rPr>
        <w:tab/>
      </w:r>
      <w:r w:rsidR="00253F6A" w:rsidRPr="00463B9A">
        <w:t xml:space="preserve">In its observations dated </w:t>
      </w:r>
      <w:r w:rsidR="0091060F" w:rsidRPr="0091060F">
        <w:t xml:space="preserve">17 September 2014, the </w:t>
      </w:r>
      <w:r w:rsidR="0091060F">
        <w:t xml:space="preserve">State party </w:t>
      </w:r>
      <w:r w:rsidR="000C2120">
        <w:rPr>
          <w:lang w:val="en-US"/>
        </w:rPr>
        <w:t xml:space="preserve">considers that the Refugee Appeals Board is an independent, quasi-judicial body. The Board is considered as </w:t>
      </w:r>
      <w:r w:rsidR="000C2120">
        <w:rPr>
          <w:lang w:val="en-US"/>
        </w:rPr>
        <w:lastRenderedPageBreak/>
        <w:t>a court within the meaning of</w:t>
      </w:r>
      <w:r w:rsidR="00F546FB">
        <w:rPr>
          <w:lang w:val="en-US"/>
        </w:rPr>
        <w:t xml:space="preserve"> the directive of the Council of</w:t>
      </w:r>
      <w:r w:rsidR="000C2120">
        <w:rPr>
          <w:lang w:val="en-US"/>
        </w:rPr>
        <w:t xml:space="preserve"> the European Union on minimum standards on procedures in </w:t>
      </w:r>
      <w:r w:rsidR="00F546FB">
        <w:rPr>
          <w:lang w:val="en-US"/>
        </w:rPr>
        <w:t>m</w:t>
      </w:r>
      <w:r w:rsidR="000C2120">
        <w:rPr>
          <w:lang w:val="en-US"/>
        </w:rPr>
        <w:t>ember States for granting and withdrawing refugee status.</w:t>
      </w:r>
      <w:r w:rsidR="000C2120" w:rsidRPr="001314F9">
        <w:rPr>
          <w:rStyle w:val="FootnoteReference"/>
        </w:rPr>
        <w:footnoteReference w:id="5"/>
      </w:r>
      <w:r w:rsidR="000C2120">
        <w:rPr>
          <w:lang w:val="en-US"/>
        </w:rPr>
        <w:t xml:space="preserve"> </w:t>
      </w:r>
      <w:r w:rsidR="0059584F">
        <w:rPr>
          <w:lang w:val="en-US"/>
        </w:rPr>
        <w:t>C</w:t>
      </w:r>
      <w:r w:rsidR="000C2120">
        <w:rPr>
          <w:lang w:val="en-US"/>
        </w:rPr>
        <w:t xml:space="preserve">ases before the Board are heard by five members: one judge (the chair or the deputy chair of the Board), an attorney, a member serving with the Ministry of Justice, a member serving with the Ministry of Foreign Affairs and a member </w:t>
      </w:r>
      <w:r w:rsidR="0059584F">
        <w:rPr>
          <w:lang w:val="en-US"/>
        </w:rPr>
        <w:t>nominated</w:t>
      </w:r>
      <w:r w:rsidR="000C2120">
        <w:rPr>
          <w:lang w:val="en-US"/>
        </w:rPr>
        <w:t xml:space="preserve"> by the Danish Refugee Council as a representative of civil society organizations. After two terms of four years, Board members may not be reappointed. Under the Danish Aliens Act, Board members are independent and cannot seek directions from the appointing or nominating authority. The Board issues a written decision, which may not be appealed; under the Danish Constitution,</w:t>
      </w:r>
      <w:r w:rsidR="00F546FB">
        <w:rPr>
          <w:lang w:val="en-US"/>
        </w:rPr>
        <w:t xml:space="preserve"> however,</w:t>
      </w:r>
      <w:r w:rsidR="000C2120">
        <w:rPr>
          <w:lang w:val="en-US"/>
        </w:rPr>
        <w:t xml:space="preserve"> applicants may bring an appeal before the ordinary courts, which have authority to adjudicate any matter concerning limits on the mandate of a government body. As established by the Supreme Court, the ordinary courts’ review of decisions made by the Board is limited to a review of points of law, including any flaws in the basis for the relevant decision and the illegal exercise of discretion, whereas the Board’s assessment of evidence is not subject to review. </w:t>
      </w:r>
    </w:p>
    <w:p w14:paraId="53E8F40D" w14:textId="7B20FCE2" w:rsidR="000C2120" w:rsidRDefault="000C2120" w:rsidP="00905FFA">
      <w:pPr>
        <w:pStyle w:val="SingleTxtG"/>
      </w:pPr>
      <w:r>
        <w:t>4.</w:t>
      </w:r>
      <w:r>
        <w:rPr>
          <w:lang w:val="en-US"/>
        </w:rPr>
        <w:t>2</w:t>
      </w:r>
      <w:r>
        <w:tab/>
      </w:r>
      <w:r w:rsidR="00496127">
        <w:t>P</w:t>
      </w:r>
      <w:r w:rsidR="0059584F">
        <w:t>ursuant to section 7 (1)</w:t>
      </w:r>
      <w:r>
        <w:t xml:space="preserve"> of the Aliens Act, a residence permit </w:t>
      </w:r>
      <w:r w:rsidR="0059584F">
        <w:t xml:space="preserve">will be </w:t>
      </w:r>
      <w:r>
        <w:t xml:space="preserve">granted to </w:t>
      </w:r>
      <w:r w:rsidR="0059584F">
        <w:t>an individual who falls</w:t>
      </w:r>
      <w:r>
        <w:t xml:space="preserve"> within the provisions of the Convention relating to the Status of Refugees. For th</w:t>
      </w:r>
      <w:r w:rsidR="00F546FB">
        <w:t>at</w:t>
      </w:r>
      <w:r>
        <w:t xml:space="preserve"> purpose, article 1.A of that Convention has been incorporated into Danish law. </w:t>
      </w:r>
      <w:r w:rsidR="0059584F">
        <w:t>P</w:t>
      </w:r>
      <w:r>
        <w:t>ursuant to section 7</w:t>
      </w:r>
      <w:r w:rsidR="0059584F">
        <w:t xml:space="preserve"> (2)</w:t>
      </w:r>
      <w:r>
        <w:t xml:space="preserve"> of the Aliens Act, a residence permit </w:t>
      </w:r>
      <w:r w:rsidR="0059584F">
        <w:t>will be issued</w:t>
      </w:r>
      <w:r>
        <w:t xml:space="preserve"> to an </w:t>
      </w:r>
      <w:r w:rsidR="00100D27">
        <w:t>applicant who</w:t>
      </w:r>
      <w:r>
        <w:t xml:space="preserve"> risks </w:t>
      </w:r>
      <w:r w:rsidR="00100D27">
        <w:t>being subjected to the</w:t>
      </w:r>
      <w:r>
        <w:t xml:space="preserve"> death penalty or to torture, inhuman or degrading treatment or punishment </w:t>
      </w:r>
      <w:r w:rsidR="00100D27">
        <w:t xml:space="preserve">in </w:t>
      </w:r>
      <w:r>
        <w:t>his</w:t>
      </w:r>
      <w:r w:rsidR="00F546FB">
        <w:t xml:space="preserve"> or </w:t>
      </w:r>
      <w:r>
        <w:t xml:space="preserve">her country of origin. In practice, the Refugee Appeals Board considers that these conditions are met if there are specific and individual factors rendering it probable that the person will be exposed to </w:t>
      </w:r>
      <w:r>
        <w:rPr>
          <w:lang w:val="en-US"/>
        </w:rPr>
        <w:t xml:space="preserve">such </w:t>
      </w:r>
      <w:r>
        <w:t>a real risk.</w:t>
      </w:r>
    </w:p>
    <w:p w14:paraId="72DF8BAE" w14:textId="0F9981A4" w:rsidR="000C2120" w:rsidRPr="000C2120" w:rsidRDefault="000C2120" w:rsidP="001F623E">
      <w:pPr>
        <w:pStyle w:val="SingleTxtG"/>
        <w:rPr>
          <w:lang w:val="en-US"/>
        </w:rPr>
      </w:pPr>
      <w:r>
        <w:t>4.</w:t>
      </w:r>
      <w:r>
        <w:rPr>
          <w:lang w:val="en-US"/>
        </w:rPr>
        <w:t>3</w:t>
      </w:r>
      <w:r>
        <w:tab/>
      </w:r>
      <w:r w:rsidR="00496127" w:rsidRPr="00ED62C1">
        <w:t>D</w:t>
      </w:r>
      <w:r w:rsidRPr="003B3392">
        <w:t>ecisions</w:t>
      </w:r>
      <w:r>
        <w:t xml:space="preserve"> of the Refugee Appeals Board are based on an individual and specific assessment of the case. </w:t>
      </w:r>
      <w:r w:rsidR="00EF1858">
        <w:t xml:space="preserve">The Board applies a lower standard of proof </w:t>
      </w:r>
      <w:r w:rsidR="00BD4C4B">
        <w:t xml:space="preserve">when the applicant is a minor or has a mental disorder or impairment. </w:t>
      </w:r>
      <w:r w:rsidR="00634962">
        <w:t>When assessing inconsistent statements by the applicant, t</w:t>
      </w:r>
      <w:r w:rsidR="00BD4C4B">
        <w:t xml:space="preserve">he Board also takes into account cultural differences, age and health. Particular consideration is shown towards illiterate individuals, victims of torture and persons who have been sexually assaulted. </w:t>
      </w:r>
      <w:r>
        <w:t>The asylum seeker’s statements regarding the motive for seeking asylum are assessed in the light of all relevant evidence, including general background material on the situation and conditions in the country of origin, in particular whether systematic</w:t>
      </w:r>
      <w:r w:rsidR="00F546FB">
        <w:t>,</w:t>
      </w:r>
      <w:r>
        <w:t xml:space="preserve"> gross, flagrant or mass violations of human rights occur. Background </w:t>
      </w:r>
      <w:r>
        <w:rPr>
          <w:lang w:val="en-US"/>
        </w:rPr>
        <w:t>reports are obtained from</w:t>
      </w:r>
      <w:r>
        <w:t xml:space="preserve"> various sources, including</w:t>
      </w:r>
      <w:r>
        <w:rPr>
          <w:lang w:val="en-US"/>
        </w:rPr>
        <w:t xml:space="preserve"> the Danish Refugee Council,</w:t>
      </w:r>
      <w:r>
        <w:t xml:space="preserve"> other </w:t>
      </w:r>
      <w:r w:rsidR="00F546FB">
        <w:t>G</w:t>
      </w:r>
      <w:r>
        <w:t>overnments, the Office of the United Nations High Commissioner for Refugees (UNHCR), Amnesty International</w:t>
      </w:r>
      <w:r>
        <w:rPr>
          <w:lang w:val="en-US"/>
        </w:rPr>
        <w:t xml:space="preserve"> and</w:t>
      </w:r>
      <w:r>
        <w:t xml:space="preserve"> Human Rights Watch. </w:t>
      </w:r>
      <w:r>
        <w:rPr>
          <w:lang w:val="en-US"/>
        </w:rPr>
        <w:t xml:space="preserve">The Board is also legally obligated to take into account </w:t>
      </w:r>
      <w:r w:rsidR="00F546FB">
        <w:rPr>
          <w:lang w:val="en-US"/>
        </w:rPr>
        <w:t xml:space="preserve">the </w:t>
      </w:r>
      <w:r>
        <w:rPr>
          <w:lang w:val="en-US"/>
        </w:rPr>
        <w:t>international obligations</w:t>
      </w:r>
      <w:r w:rsidR="00F546FB">
        <w:rPr>
          <w:lang w:val="en-US"/>
        </w:rPr>
        <w:t xml:space="preserve"> of Denmark</w:t>
      </w:r>
      <w:r>
        <w:rPr>
          <w:lang w:val="en-US"/>
        </w:rPr>
        <w:t xml:space="preserve"> when exercising its powers under the Aliens Act. To ensure </w:t>
      </w:r>
      <w:r w:rsidR="00F546FB">
        <w:rPr>
          <w:lang w:val="en-US"/>
        </w:rPr>
        <w:t xml:space="preserve">that </w:t>
      </w:r>
      <w:r w:rsidR="00F06828">
        <w:rPr>
          <w:lang w:val="en-US"/>
        </w:rPr>
        <w:t>it does so</w:t>
      </w:r>
      <w:r>
        <w:rPr>
          <w:lang w:val="en-US"/>
        </w:rPr>
        <w:t>, the Board and the Danish Immigration Service have jointly drafted a number of memorand</w:t>
      </w:r>
      <w:r w:rsidR="00F06828">
        <w:rPr>
          <w:lang w:val="en-US"/>
        </w:rPr>
        <w:t>ums</w:t>
      </w:r>
      <w:r>
        <w:rPr>
          <w:lang w:val="en-US"/>
        </w:rPr>
        <w:t xml:space="preserve"> describing in detail the international legal protection offered to asylum</w:t>
      </w:r>
      <w:r w:rsidR="00F06828">
        <w:rPr>
          <w:lang w:val="en-US"/>
        </w:rPr>
        <w:t xml:space="preserve"> </w:t>
      </w:r>
      <w:r>
        <w:rPr>
          <w:lang w:val="en-US"/>
        </w:rPr>
        <w:t xml:space="preserve">seekers under, </w:t>
      </w:r>
      <w:r w:rsidRPr="009475EF">
        <w:rPr>
          <w:iCs/>
          <w:lang w:val="en-US"/>
        </w:rPr>
        <w:t>inter alia</w:t>
      </w:r>
      <w:r>
        <w:rPr>
          <w:lang w:val="en-US"/>
        </w:rPr>
        <w:t>, the Convention against Torture</w:t>
      </w:r>
      <w:r w:rsidR="00F06828" w:rsidRPr="00F06828">
        <w:rPr>
          <w:rFonts w:ascii="Helvetica" w:hAnsi="Helvetica" w:cs="Helvetica"/>
          <w:color w:val="333333"/>
          <w:sz w:val="21"/>
          <w:szCs w:val="21"/>
          <w:shd w:val="clear" w:color="auto" w:fill="FFFFFF"/>
        </w:rPr>
        <w:t xml:space="preserve"> </w:t>
      </w:r>
      <w:r w:rsidR="00F06828" w:rsidRPr="00F06828">
        <w:t>and Other Cruel, Inhuman or Degrading Treatment or Punishment</w:t>
      </w:r>
      <w:r>
        <w:rPr>
          <w:lang w:val="en-US"/>
        </w:rPr>
        <w:t xml:space="preserve">, the </w:t>
      </w:r>
      <w:r w:rsidR="00F06828">
        <w:rPr>
          <w:lang w:val="en-US"/>
        </w:rPr>
        <w:t>Convention for the Protection of Human Rights and Fundamental Freedoms (</w:t>
      </w:r>
      <w:r>
        <w:rPr>
          <w:lang w:val="en-US"/>
        </w:rPr>
        <w:t>European Convention on Human Rights</w:t>
      </w:r>
      <w:r w:rsidR="00F06828">
        <w:rPr>
          <w:lang w:val="en-US"/>
        </w:rPr>
        <w:t>)</w:t>
      </w:r>
      <w:r>
        <w:rPr>
          <w:lang w:val="en-US"/>
        </w:rPr>
        <w:t xml:space="preserve"> and the International Covenant on Civil and Political Rights. </w:t>
      </w:r>
      <w:r w:rsidR="00F06828">
        <w:rPr>
          <w:lang w:val="en-US"/>
        </w:rPr>
        <w:t>The Board takes decisions on the basis of t</w:t>
      </w:r>
      <w:r>
        <w:rPr>
          <w:lang w:val="en-US"/>
        </w:rPr>
        <w:t>h</w:t>
      </w:r>
      <w:r w:rsidR="00F06828">
        <w:rPr>
          <w:lang w:val="en-US"/>
        </w:rPr>
        <w:t>o</w:t>
      </w:r>
      <w:r>
        <w:rPr>
          <w:lang w:val="en-US"/>
        </w:rPr>
        <w:t>se memorand</w:t>
      </w:r>
      <w:r w:rsidR="00F06828">
        <w:rPr>
          <w:lang w:val="en-US"/>
        </w:rPr>
        <w:t>ums</w:t>
      </w:r>
      <w:r>
        <w:rPr>
          <w:lang w:val="en-US"/>
        </w:rPr>
        <w:t xml:space="preserve">, </w:t>
      </w:r>
      <w:r w:rsidR="00F06828">
        <w:rPr>
          <w:lang w:val="en-US"/>
        </w:rPr>
        <w:t xml:space="preserve">which </w:t>
      </w:r>
      <w:r>
        <w:rPr>
          <w:lang w:val="en-US"/>
        </w:rPr>
        <w:t>are continually updated.</w:t>
      </w:r>
    </w:p>
    <w:p w14:paraId="2B85778F" w14:textId="3C3706BB" w:rsidR="00CC4527" w:rsidRDefault="000C2120" w:rsidP="00905FFA">
      <w:pPr>
        <w:pStyle w:val="SingleTxtG"/>
      </w:pPr>
      <w:r>
        <w:t>4.4</w:t>
      </w:r>
      <w:r>
        <w:tab/>
        <w:t>The</w:t>
      </w:r>
      <w:r w:rsidR="0091060F" w:rsidRPr="0091060F">
        <w:t xml:space="preserve"> author’s claims under articles 6 and 7 of the Covenant are</w:t>
      </w:r>
      <w:r w:rsidR="0091060F">
        <w:t xml:space="preserve"> manifestly ill-founded and are therefore</w:t>
      </w:r>
      <w:r w:rsidR="0091060F" w:rsidRPr="0091060F">
        <w:t xml:space="preserve"> inadmissible. The </w:t>
      </w:r>
      <w:r w:rsidR="00954F5B">
        <w:t xml:space="preserve">author was assisted by counsel before the Refugee Appeals Board, whose </w:t>
      </w:r>
      <w:r w:rsidR="0091060F">
        <w:t>decisions were</w:t>
      </w:r>
      <w:r w:rsidR="0091060F" w:rsidRPr="0091060F">
        <w:t xml:space="preserve"> based on a comprehensive and thorough examination of the </w:t>
      </w:r>
      <w:r w:rsidR="00954F5B">
        <w:t xml:space="preserve">oral and written evidence in the case. </w:t>
      </w:r>
      <w:r w:rsidR="0091060F" w:rsidRPr="0091060F">
        <w:t xml:space="preserve">When assessing the author’s </w:t>
      </w:r>
      <w:r w:rsidR="0091060F" w:rsidRPr="0091060F">
        <w:lastRenderedPageBreak/>
        <w:t xml:space="preserve">credibility, the </w:t>
      </w:r>
      <w:r w:rsidR="0091060F">
        <w:t>Board</w:t>
      </w:r>
      <w:r w:rsidR="006B2317">
        <w:t xml:space="preserve"> considered the author’s</w:t>
      </w:r>
      <w:r w:rsidR="0091060F" w:rsidRPr="0091060F">
        <w:t xml:space="preserve"> statements and demeanour at the </w:t>
      </w:r>
      <w:r w:rsidR="0091060F">
        <w:t>Board</w:t>
      </w:r>
      <w:r w:rsidR="0091060F" w:rsidRPr="0091060F">
        <w:t xml:space="preserve"> hearing, in conjunction with the other information available in the case. Specifically, the </w:t>
      </w:r>
      <w:r w:rsidR="0091060F">
        <w:t>Board</w:t>
      </w:r>
      <w:r w:rsidR="0091060F" w:rsidRPr="0091060F">
        <w:t xml:space="preserve"> found that the author’s st</w:t>
      </w:r>
      <w:r w:rsidR="006B2317">
        <w:t xml:space="preserve">atements were lacking in detail, </w:t>
      </w:r>
      <w:r w:rsidR="0091060F" w:rsidRPr="0091060F">
        <w:t xml:space="preserve">did not seem “self-experienced” and </w:t>
      </w:r>
      <w:r w:rsidR="002A171F">
        <w:t>were implausible in several respects. It</w:t>
      </w:r>
      <w:r w:rsidR="0091060F" w:rsidRPr="0091060F">
        <w:t xml:space="preserve"> was unlikely that </w:t>
      </w:r>
      <w:r w:rsidR="0091060F">
        <w:t>Q’s</w:t>
      </w:r>
      <w:r w:rsidR="0091060F" w:rsidRPr="0091060F">
        <w:t xml:space="preserve"> brothers </w:t>
      </w:r>
      <w:r w:rsidR="006B2317">
        <w:t xml:space="preserve">were not involved in the property transaction even though, according to the author’s account, they </w:t>
      </w:r>
      <w:r w:rsidR="002A171F">
        <w:t xml:space="preserve">were aware of the negotiations. It was also </w:t>
      </w:r>
      <w:r w:rsidR="006B2317">
        <w:t xml:space="preserve">unlikely that the author physically attacked Q’s brothers even though they were angry and armed, and even though he alleged that everyone feared them </w:t>
      </w:r>
      <w:r w:rsidR="00F06828">
        <w:t>because of</w:t>
      </w:r>
      <w:r w:rsidR="006B2317">
        <w:t xml:space="preserve"> th</w:t>
      </w:r>
      <w:r w:rsidR="002A171F">
        <w:t>eir link to organized crime. In addition,</w:t>
      </w:r>
      <w:r w:rsidR="006B2317">
        <w:t xml:space="preserve"> it was unlikely that Q’s brothers did not attempt</w:t>
      </w:r>
      <w:r w:rsidR="002A171F">
        <w:t xml:space="preserve"> to visit the author’s family at their </w:t>
      </w:r>
      <w:r w:rsidR="006B2317">
        <w:t xml:space="preserve">house during the month that the family </w:t>
      </w:r>
      <w:r w:rsidR="002A171F">
        <w:t>was in Zari. Moreover,</w:t>
      </w:r>
      <w:r w:rsidR="006B2317">
        <w:t xml:space="preserve"> the author made several inconsistent statements concerning</w:t>
      </w:r>
      <w:r w:rsidR="00F06828">
        <w:t>:</w:t>
      </w:r>
      <w:r w:rsidR="006B2317">
        <w:t xml:space="preserve"> the number of rifles used in the conflict; </w:t>
      </w:r>
      <w:r w:rsidR="0091060F" w:rsidRPr="0091060F">
        <w:t>whether</w:t>
      </w:r>
      <w:r w:rsidR="00CE7504">
        <w:t xml:space="preserve"> it was</w:t>
      </w:r>
      <w:r w:rsidR="0091060F" w:rsidRPr="0091060F">
        <w:t xml:space="preserve"> </w:t>
      </w:r>
      <w:r w:rsidR="006B2317">
        <w:t xml:space="preserve">S or one of Q’s brothers </w:t>
      </w:r>
      <w:r w:rsidR="00CE7504">
        <w:t xml:space="preserve">who </w:t>
      </w:r>
      <w:r w:rsidR="006B2317">
        <w:t xml:space="preserve">hit him with the butt of a rifle; </w:t>
      </w:r>
      <w:r w:rsidR="0091060F" w:rsidRPr="0091060F">
        <w:t xml:space="preserve">whether other people were occupying the house in Zari where they had hidden; </w:t>
      </w:r>
      <w:r w:rsidR="00F06828">
        <w:t xml:space="preserve">to </w:t>
      </w:r>
      <w:r w:rsidR="0091060F" w:rsidRPr="0091060F">
        <w:t xml:space="preserve">whom the house in Zari belonged; whether </w:t>
      </w:r>
      <w:r w:rsidR="0091060F">
        <w:t>Q</w:t>
      </w:r>
      <w:r w:rsidR="0091060F" w:rsidRPr="0091060F">
        <w:t xml:space="preserve"> was in India or Pakistan; and whether the brothers visited the plot of land once or twice. </w:t>
      </w:r>
    </w:p>
    <w:p w14:paraId="383868D8" w14:textId="076A0B61" w:rsidR="00CC4527" w:rsidRDefault="00CC4527">
      <w:pPr>
        <w:pStyle w:val="SingleTxtG"/>
      </w:pPr>
      <w:r>
        <w:t>4.</w:t>
      </w:r>
      <w:r w:rsidR="00100D27">
        <w:t>5</w:t>
      </w:r>
      <w:r>
        <w:tab/>
      </w:r>
      <w:r w:rsidR="0091060F" w:rsidRPr="0091060F">
        <w:t xml:space="preserve">Furthermore, the author </w:t>
      </w:r>
      <w:r w:rsidR="006B2317">
        <w:t xml:space="preserve">made material additions to his narrative during </w:t>
      </w:r>
      <w:r w:rsidR="0091060F">
        <w:t>proceedings before the Board. I</w:t>
      </w:r>
      <w:r w:rsidR="0091060F" w:rsidRPr="0091060F">
        <w:t xml:space="preserve">n particular, he mentioned before the </w:t>
      </w:r>
      <w:r w:rsidR="0091060F">
        <w:t>Board</w:t>
      </w:r>
      <w:r w:rsidR="00DA0419">
        <w:t xml:space="preserve"> but not </w:t>
      </w:r>
      <w:r w:rsidR="00DA0419" w:rsidRPr="0091060F">
        <w:t>before the Danish Immigration Service</w:t>
      </w:r>
      <w:r w:rsidR="0091060F" w:rsidRPr="0091060F">
        <w:t xml:space="preserve"> that the land agreement involved a dowry to be given by his father to </w:t>
      </w:r>
      <w:r w:rsidR="006B2317">
        <w:t>Q’s</w:t>
      </w:r>
      <w:r w:rsidR="0091060F" w:rsidRPr="0091060F">
        <w:t xml:space="preserve"> brothers. He also stated before the Service that </w:t>
      </w:r>
      <w:r w:rsidR="006B2317">
        <w:t>Q’s</w:t>
      </w:r>
      <w:r w:rsidR="0091060F" w:rsidRPr="0091060F">
        <w:t xml:space="preserve"> brothers had gone door-to-door to look for him, whereas he stated at the </w:t>
      </w:r>
      <w:r w:rsidR="0091060F">
        <w:t>Board</w:t>
      </w:r>
      <w:r w:rsidR="0091060F" w:rsidRPr="0091060F">
        <w:t xml:space="preserve"> hearing that the brothers had searched his neighbour’s house, where the author was hiding. The author also added to his statement concerning his brother’s role during</w:t>
      </w:r>
      <w:r w:rsidR="00CD416E">
        <w:t xml:space="preserve"> the fight on the plot of land. During his interview with the Service, he stated that </w:t>
      </w:r>
      <w:r w:rsidR="0091060F" w:rsidRPr="0091060F">
        <w:t xml:space="preserve">his brother was present during the entire incident, whereas </w:t>
      </w:r>
      <w:r w:rsidR="00CD416E">
        <w:t>he</w:t>
      </w:r>
      <w:r w:rsidR="0091060F" w:rsidRPr="0091060F">
        <w:t xml:space="preserve"> stated at the </w:t>
      </w:r>
      <w:r w:rsidR="0091060F">
        <w:t>Board</w:t>
      </w:r>
      <w:r w:rsidR="0091060F" w:rsidRPr="0091060F">
        <w:t xml:space="preserve"> hearing that his brother </w:t>
      </w:r>
      <w:r w:rsidR="00CD416E">
        <w:t>was initially</w:t>
      </w:r>
      <w:r w:rsidR="0091060F" w:rsidRPr="0091060F">
        <w:t xml:space="preserve"> at home </w:t>
      </w:r>
      <w:r w:rsidR="00CD416E">
        <w:t xml:space="preserve">during the fight </w:t>
      </w:r>
      <w:r w:rsidR="0091060F" w:rsidRPr="0091060F">
        <w:t xml:space="preserve">and only arrived later. </w:t>
      </w:r>
      <w:r>
        <w:t>T</w:t>
      </w:r>
      <w:r w:rsidRPr="0091060F">
        <w:t xml:space="preserve">he </w:t>
      </w:r>
      <w:r>
        <w:t>Board</w:t>
      </w:r>
      <w:r w:rsidRPr="0091060F">
        <w:t xml:space="preserve">, in assessing the author’s statements, was aware that the author </w:t>
      </w:r>
      <w:r w:rsidR="00DA0419">
        <w:t>wa</w:t>
      </w:r>
      <w:r w:rsidRPr="0091060F">
        <w:t>s illiterate, ha</w:t>
      </w:r>
      <w:r w:rsidR="00DA0419">
        <w:t>d</w:t>
      </w:r>
      <w:r w:rsidRPr="0091060F">
        <w:t xml:space="preserve"> a special dialect and ha</w:t>
      </w:r>
      <w:r w:rsidR="00DA0419">
        <w:t>d</w:t>
      </w:r>
      <w:r w:rsidRPr="0091060F">
        <w:t xml:space="preserve"> been under medication.</w:t>
      </w:r>
      <w:r w:rsidR="008D15AE">
        <w:t xml:space="preserve"> The Board also noted that the author ha</w:t>
      </w:r>
      <w:r w:rsidR="00DA0419">
        <w:t>d</w:t>
      </w:r>
      <w:r w:rsidR="008D15AE">
        <w:t xml:space="preserve"> not been a member of any political or religious association or organi</w:t>
      </w:r>
      <w:r w:rsidR="00DA0419">
        <w:t>z</w:t>
      </w:r>
      <w:r w:rsidR="008D15AE">
        <w:t>ation and ha</w:t>
      </w:r>
      <w:r w:rsidR="00DA0419">
        <w:t>d</w:t>
      </w:r>
      <w:r w:rsidR="008D15AE">
        <w:t xml:space="preserve"> not been politically active in any way.</w:t>
      </w:r>
    </w:p>
    <w:p w14:paraId="33B145ED" w14:textId="4FD552F9" w:rsidR="00CC4527" w:rsidRDefault="00100D27">
      <w:pPr>
        <w:pStyle w:val="SingleTxtG"/>
      </w:pPr>
      <w:r>
        <w:t>4.6</w:t>
      </w:r>
      <w:r w:rsidR="00CC4527">
        <w:tab/>
      </w:r>
      <w:r w:rsidR="0091060F" w:rsidRPr="0091060F">
        <w:t xml:space="preserve">In addition, the </w:t>
      </w:r>
      <w:r w:rsidR="0091060F">
        <w:t>Board</w:t>
      </w:r>
      <w:r w:rsidR="0091060F" w:rsidRPr="0091060F">
        <w:t xml:space="preserve"> found that the documents </w:t>
      </w:r>
      <w:r w:rsidR="00CC4527">
        <w:t>the author provided with his request to reopen asylum proceedings</w:t>
      </w:r>
      <w:r w:rsidR="00C76343">
        <w:t xml:space="preserve"> were not credible</w:t>
      </w:r>
      <w:r w:rsidR="00CC4527">
        <w:t xml:space="preserve">. </w:t>
      </w:r>
      <w:r w:rsidR="0091060F" w:rsidRPr="0091060F">
        <w:t xml:space="preserve">The documents were dated January </w:t>
      </w:r>
      <w:r w:rsidR="00CC4527">
        <w:t>2014</w:t>
      </w:r>
      <w:r w:rsidR="00337BAE">
        <w:t>, when the Board considered the author’s asylum application</w:t>
      </w:r>
      <w:r w:rsidR="0091060F" w:rsidRPr="0091060F">
        <w:t xml:space="preserve">. The </w:t>
      </w:r>
      <w:r w:rsidR="0091060F">
        <w:t>Board</w:t>
      </w:r>
      <w:r w:rsidR="00F82123">
        <w:t xml:space="preserve"> also observed that</w:t>
      </w:r>
      <w:r w:rsidR="00DA0419">
        <w:t>,</w:t>
      </w:r>
      <w:r w:rsidR="0091060F" w:rsidRPr="0091060F">
        <w:t xml:space="preserve"> according to available background material, forged documents were widely used and easy to obtain in Afghanistan.</w:t>
      </w:r>
      <w:r w:rsidR="0091060F" w:rsidRPr="001314F9">
        <w:rPr>
          <w:rStyle w:val="FootnoteReference"/>
        </w:rPr>
        <w:footnoteReference w:id="6"/>
      </w:r>
      <w:r w:rsidR="0091060F" w:rsidRPr="0091060F">
        <w:t xml:space="preserve"> </w:t>
      </w:r>
      <w:r w:rsidR="00CC4527">
        <w:t xml:space="preserve">In conjunction with its finding that the author’s statements were implausible and inconsistent, the Board found it reasonable to deem that the documents were fabricated. </w:t>
      </w:r>
    </w:p>
    <w:p w14:paraId="7DDBD383" w14:textId="386075ED" w:rsidR="0091060F" w:rsidRPr="0091060F" w:rsidRDefault="00100D27" w:rsidP="0039015E">
      <w:pPr>
        <w:pStyle w:val="SingleTxtG"/>
      </w:pPr>
      <w:r>
        <w:t>4.7</w:t>
      </w:r>
      <w:r w:rsidR="00CC4527">
        <w:tab/>
        <w:t xml:space="preserve">The </w:t>
      </w:r>
      <w:r w:rsidR="0091060F" w:rsidRPr="0091060F">
        <w:t>author is attempting to use the Committee as an appellate body to have the factual circumstances of his case reassessed</w:t>
      </w:r>
      <w:r w:rsidR="00337BAE">
        <w:t xml:space="preserve">; he has not </w:t>
      </w:r>
      <w:r w:rsidR="00CC4527">
        <w:t>provide</w:t>
      </w:r>
      <w:r w:rsidR="00337BAE">
        <w:t>d</w:t>
      </w:r>
      <w:r w:rsidR="00CC4527">
        <w:t xml:space="preserve"> any new or </w:t>
      </w:r>
      <w:r w:rsidR="0091060F" w:rsidRPr="0091060F">
        <w:t xml:space="preserve">specific details about his situation. </w:t>
      </w:r>
      <w:r w:rsidR="00F37833">
        <w:t>For the foregoing reasons</w:t>
      </w:r>
      <w:r w:rsidR="0091060F" w:rsidRPr="0091060F">
        <w:t>, the author will not risk treatment contrary to articles 6 or 7 of the Covenant if returned to Afghanistan.</w:t>
      </w:r>
      <w:r w:rsidR="00F37833">
        <w:t xml:space="preserve"> Moreover, t</w:t>
      </w:r>
      <w:r w:rsidR="0039015E">
        <w:t>he author’s</w:t>
      </w:r>
      <w:r w:rsidR="0091060F" w:rsidRPr="0091060F">
        <w:t xml:space="preserve"> argument u</w:t>
      </w:r>
      <w:r w:rsidR="0039015E">
        <w:t xml:space="preserve">nder article 14 of the Covenant is inadmissible </w:t>
      </w:r>
      <w:r w:rsidR="0039015E" w:rsidRPr="0039015E">
        <w:rPr>
          <w:i/>
        </w:rPr>
        <w:t>ratione materiae</w:t>
      </w:r>
      <w:r w:rsidR="0039015E">
        <w:t xml:space="preserve">, because this provision does not apply to asylum proceedings. </w:t>
      </w:r>
      <w:r w:rsidR="00F37833">
        <w:t xml:space="preserve">For the reasons discussed above, the communication is also wholly without merit. </w:t>
      </w:r>
    </w:p>
    <w:p w14:paraId="08B0EF01" w14:textId="10DCDEA3" w:rsidR="00A40224" w:rsidRPr="00463B9A" w:rsidRDefault="0091060F" w:rsidP="009475EF">
      <w:pPr>
        <w:pStyle w:val="SingleTxtG"/>
      </w:pPr>
      <w:r w:rsidRPr="0091060F">
        <w:t>4.</w:t>
      </w:r>
      <w:r w:rsidR="00100D27">
        <w:t>8</w:t>
      </w:r>
      <w:r w:rsidRPr="0091060F">
        <w:tab/>
        <w:t xml:space="preserve">Regarding the </w:t>
      </w:r>
      <w:r w:rsidR="00F37833">
        <w:t xml:space="preserve">author’s </w:t>
      </w:r>
      <w:r w:rsidR="0039762A">
        <w:t>argument that he did not have sufficient opportunity to submit the communication before his scheduled removal</w:t>
      </w:r>
      <w:r w:rsidRPr="0091060F">
        <w:t xml:space="preserve">, </w:t>
      </w:r>
      <w:r w:rsidR="0039762A">
        <w:t>the</w:t>
      </w:r>
      <w:r w:rsidR="00F37833">
        <w:t xml:space="preserve"> Board’s decision was issued on 13 January 2014 and the author could have submitted a communication to the Committee immediately thereafter.</w:t>
      </w:r>
      <w:r w:rsidR="00DA0419">
        <w:t xml:space="preserve"> H</w:t>
      </w:r>
      <w:r w:rsidR="00F37833">
        <w:t>e did not do so</w:t>
      </w:r>
      <w:r w:rsidR="00DA0419">
        <w:t>, however,</w:t>
      </w:r>
      <w:r w:rsidR="00F37833">
        <w:t xml:space="preserve"> until 17 March 2014, just before his scheduled </w:t>
      </w:r>
      <w:r w:rsidR="009152BA">
        <w:t>involuntary</w:t>
      </w:r>
      <w:r w:rsidR="00F37833">
        <w:t xml:space="preserve"> return. He had two months to prepare his communication. </w:t>
      </w:r>
      <w:r w:rsidRPr="0091060F">
        <w:lastRenderedPageBreak/>
        <w:t xml:space="preserve">The </w:t>
      </w:r>
      <w:r w:rsidR="00F37833">
        <w:t>Board</w:t>
      </w:r>
      <w:r w:rsidRPr="0091060F">
        <w:t xml:space="preserve"> did not make its decision concerning counsel’s request for reopening until 17</w:t>
      </w:r>
      <w:r w:rsidR="001314F9">
        <w:t> </w:t>
      </w:r>
      <w:r w:rsidRPr="0091060F">
        <w:t xml:space="preserve">March 2014 </w:t>
      </w:r>
      <w:r w:rsidR="00F82123">
        <w:t>because the</w:t>
      </w:r>
      <w:r w:rsidRPr="0091060F">
        <w:t xml:space="preserve"> </w:t>
      </w:r>
      <w:r w:rsidR="00F37833">
        <w:t>Board</w:t>
      </w:r>
      <w:r w:rsidRPr="0091060F">
        <w:t xml:space="preserve"> r</w:t>
      </w:r>
      <w:r w:rsidR="00F82123">
        <w:t xml:space="preserve">eceives a high number of such requests. It processes </w:t>
      </w:r>
      <w:r w:rsidRPr="0091060F">
        <w:t xml:space="preserve">them as quickly as possible, endeavouring whenever possible to </w:t>
      </w:r>
      <w:r w:rsidR="00F82123">
        <w:t>render a</w:t>
      </w:r>
      <w:r w:rsidRPr="0091060F">
        <w:t xml:space="preserve"> decision before any </w:t>
      </w:r>
      <w:r w:rsidR="009152BA">
        <w:t>involuntary</w:t>
      </w:r>
      <w:r w:rsidRPr="0091060F">
        <w:t xml:space="preserve"> </w:t>
      </w:r>
      <w:r w:rsidR="00F82123">
        <w:t>removal</w:t>
      </w:r>
      <w:r w:rsidRPr="0091060F">
        <w:t xml:space="preserve">. </w:t>
      </w:r>
    </w:p>
    <w:p w14:paraId="06CDA0C8" w14:textId="77777777" w:rsidR="00A40224" w:rsidRPr="00463B9A" w:rsidRDefault="00B61233" w:rsidP="00B61233">
      <w:pPr>
        <w:pStyle w:val="H23G"/>
        <w:rPr>
          <w:lang w:val="en-US"/>
        </w:rPr>
      </w:pPr>
      <w:r w:rsidRPr="00463B9A">
        <w:rPr>
          <w:lang w:val="en-US"/>
        </w:rPr>
        <w:tab/>
      </w:r>
      <w:r w:rsidRPr="00463B9A">
        <w:rPr>
          <w:lang w:val="en-US"/>
        </w:rPr>
        <w:tab/>
      </w:r>
      <w:r w:rsidR="00A40224" w:rsidRPr="00463B9A">
        <w:rPr>
          <w:lang w:val="en-US"/>
        </w:rPr>
        <w:t>Author’s comments on the State party’s observations</w:t>
      </w:r>
    </w:p>
    <w:p w14:paraId="53D492BC" w14:textId="4586D89E" w:rsidR="00EB7DC5" w:rsidRDefault="00A40224" w:rsidP="00905FFA">
      <w:pPr>
        <w:pStyle w:val="SingleTxtG"/>
      </w:pPr>
      <w:r w:rsidRPr="00463B9A">
        <w:t>5.1</w:t>
      </w:r>
      <w:r w:rsidRPr="00463B9A">
        <w:tab/>
      </w:r>
      <w:r w:rsidR="00E93028">
        <w:t xml:space="preserve">In his </w:t>
      </w:r>
      <w:r w:rsidR="00E93028" w:rsidRPr="00E93028">
        <w:t xml:space="preserve">submission dated 29 October 2014, the author </w:t>
      </w:r>
      <w:r w:rsidR="00961AEB">
        <w:t>maintains that the State party also violated his rights u</w:t>
      </w:r>
      <w:r w:rsidR="00D5314D">
        <w:t>nder article 13 of the Covenant</w:t>
      </w:r>
      <w:r w:rsidR="00961AEB">
        <w:t xml:space="preserve">. </w:t>
      </w:r>
      <w:r w:rsidR="00D5314D" w:rsidRPr="00E93028">
        <w:t>The asylum determination process in Den</w:t>
      </w:r>
      <w:r w:rsidR="00D5314D">
        <w:t xml:space="preserve">mark has inherent flaws that violate the standards set forth under articles 13 and 14 of the Covenant. Negative </w:t>
      </w:r>
      <w:r w:rsidR="00D5314D" w:rsidRPr="00E93028">
        <w:t>decisions</w:t>
      </w:r>
      <w:r w:rsidR="00D5314D">
        <w:t xml:space="preserve"> of the Board</w:t>
      </w:r>
      <w:r w:rsidR="00D5314D" w:rsidRPr="00E93028">
        <w:t xml:space="preserve"> may not be appealed to ordinary courts and the </w:t>
      </w:r>
      <w:r w:rsidR="00D5314D">
        <w:t>Board</w:t>
      </w:r>
      <w:r w:rsidR="00D5314D" w:rsidRPr="00E93028">
        <w:t xml:space="preserve"> lacks many of the attributes of real courts. For </w:t>
      </w:r>
      <w:r w:rsidR="00D5314D">
        <w:t>example</w:t>
      </w:r>
      <w:r w:rsidR="00D5314D" w:rsidRPr="00E93028">
        <w:t>, meetings are never open to th</w:t>
      </w:r>
      <w:r w:rsidR="00D5314D">
        <w:t>e public and</w:t>
      </w:r>
      <w:r w:rsidR="00D5314D" w:rsidRPr="00E93028">
        <w:t xml:space="preserve"> witnesses are </w:t>
      </w:r>
      <w:r w:rsidR="00D5314D">
        <w:t>only allowed in a limited number of circumstances. Moreover, o</w:t>
      </w:r>
      <w:r w:rsidR="00D5314D" w:rsidRPr="00E93028">
        <w:t>ne member of the five-member board is appoi</w:t>
      </w:r>
      <w:r w:rsidR="00D5314D">
        <w:t>nted by the Ministry of Justice</w:t>
      </w:r>
      <w:r w:rsidR="00D5314D" w:rsidRPr="00E93028">
        <w:t xml:space="preserve"> and is usually</w:t>
      </w:r>
      <w:r w:rsidR="00D5314D">
        <w:t xml:space="preserve"> an employee of that Ministry; this </w:t>
      </w:r>
      <w:r w:rsidR="00D5314D" w:rsidRPr="00E93028">
        <w:t xml:space="preserve">can easily </w:t>
      </w:r>
      <w:r w:rsidR="00D5314D">
        <w:t>create a conflict of interest. In addition, in</w:t>
      </w:r>
      <w:r w:rsidR="00D5314D" w:rsidRPr="00E93028">
        <w:t>terpreters who are used by the</w:t>
      </w:r>
      <w:r w:rsidR="00D5314D">
        <w:t xml:space="preserve"> </w:t>
      </w:r>
      <w:r w:rsidR="001F623E">
        <w:t xml:space="preserve">Danish </w:t>
      </w:r>
      <w:r w:rsidR="00D5314D">
        <w:t>Immigration Service and the Board</w:t>
      </w:r>
      <w:r w:rsidR="00D5314D" w:rsidRPr="00E93028">
        <w:t xml:space="preserve"> are not required to </w:t>
      </w:r>
      <w:r w:rsidR="00D5314D">
        <w:t>fulfil any specific education requirements in translation or linguistics.</w:t>
      </w:r>
    </w:p>
    <w:p w14:paraId="4FC77D3F" w14:textId="21383458" w:rsidR="00E93028" w:rsidRPr="009475EF" w:rsidRDefault="00EB7DC5">
      <w:pPr>
        <w:pStyle w:val="SingleTxtG"/>
        <w:rPr>
          <w:lang w:val="en-CA"/>
        </w:rPr>
      </w:pPr>
      <w:r>
        <w:t>5.2</w:t>
      </w:r>
      <w:r>
        <w:tab/>
      </w:r>
      <w:r w:rsidR="00E85F30">
        <w:t xml:space="preserve">The </w:t>
      </w:r>
      <w:r w:rsidR="00903C1A">
        <w:t>Board’s adverse credibility determination was erroneous in several regards.</w:t>
      </w:r>
      <w:r w:rsidR="005A714E">
        <w:t xml:space="preserve"> </w:t>
      </w:r>
      <w:r w:rsidR="0061343A">
        <w:t>A</w:t>
      </w:r>
      <w:r w:rsidR="00E93028" w:rsidRPr="00E93028">
        <w:t xml:space="preserve">lthough the </w:t>
      </w:r>
      <w:r w:rsidR="00F44464">
        <w:t>Board</w:t>
      </w:r>
      <w:r w:rsidR="00E93028" w:rsidRPr="00E93028">
        <w:t xml:space="preserve"> </w:t>
      </w:r>
      <w:r w:rsidR="00F40617">
        <w:t>considered it</w:t>
      </w:r>
      <w:r w:rsidR="00E93028" w:rsidRPr="00E93028">
        <w:t xml:space="preserve"> </w:t>
      </w:r>
      <w:r w:rsidR="00F40617">
        <w:t>implausible</w:t>
      </w:r>
      <w:r w:rsidR="00E93028" w:rsidRPr="00E93028">
        <w:t xml:space="preserve"> that </w:t>
      </w:r>
      <w:r w:rsidR="007E32C6">
        <w:t>Q’s</w:t>
      </w:r>
      <w:r w:rsidR="00E93028" w:rsidRPr="00E93028">
        <w:t xml:space="preserve"> brothers were not involved in the property deal at the time of the agreement, the author could not know the reason for this lack of involvement and it is plausible that the brothers let </w:t>
      </w:r>
      <w:r w:rsidR="007E32C6">
        <w:t>Q</w:t>
      </w:r>
      <w:r w:rsidR="00E93028" w:rsidRPr="00E93028">
        <w:t xml:space="preserve"> enter into the sale without writt</w:t>
      </w:r>
      <w:r w:rsidR="0061343A">
        <w:t xml:space="preserve">en consent. </w:t>
      </w:r>
      <w:r w:rsidR="00544938">
        <w:t>Th</w:t>
      </w:r>
      <w:r w:rsidR="009165C0">
        <w:t>e Board</w:t>
      </w:r>
      <w:r w:rsidR="00E93028" w:rsidRPr="00E93028">
        <w:t xml:space="preserve"> found that it was unlikely that the author attacked one </w:t>
      </w:r>
      <w:r w:rsidR="00544938">
        <w:t>of Q’s brothers, since the brothers were armed and were known to have links with organi</w:t>
      </w:r>
      <w:r w:rsidR="001F623E">
        <w:t>z</w:t>
      </w:r>
      <w:r w:rsidR="00544938">
        <w:t>ed crime. However,</w:t>
      </w:r>
      <w:r w:rsidR="00E93028" w:rsidRPr="00E93028">
        <w:t xml:space="preserve"> the author </w:t>
      </w:r>
      <w:r w:rsidR="00544938">
        <w:t xml:space="preserve">simply </w:t>
      </w:r>
      <w:r w:rsidR="0061343A">
        <w:t>“got carried away” out of anger</w:t>
      </w:r>
      <w:r w:rsidR="00544938">
        <w:t xml:space="preserve"> when faced with the brothers’ unjust behaviour and foul language. </w:t>
      </w:r>
      <w:r w:rsidR="001F623E">
        <w:t>Q’s brothers</w:t>
      </w:r>
      <w:r w:rsidR="001F623E" w:rsidDel="001F623E">
        <w:t xml:space="preserve"> </w:t>
      </w:r>
      <w:r w:rsidR="00544938">
        <w:t>were trespassing on his family’s property and making unfair</w:t>
      </w:r>
      <w:r w:rsidR="0061343A">
        <w:t xml:space="preserve"> demands. </w:t>
      </w:r>
      <w:r w:rsidR="00544938">
        <w:t>Moreover, a</w:t>
      </w:r>
      <w:r w:rsidR="0061343A">
        <w:t xml:space="preserve">lthough </w:t>
      </w:r>
      <w:r w:rsidR="009165C0">
        <w:t xml:space="preserve">the Board </w:t>
      </w:r>
      <w:r w:rsidR="00E93028" w:rsidRPr="00E93028">
        <w:t xml:space="preserve">found it implausible that </w:t>
      </w:r>
      <w:r w:rsidR="007E32C6">
        <w:t>Q’s</w:t>
      </w:r>
      <w:r w:rsidR="00E93028" w:rsidRPr="00E93028">
        <w:t xml:space="preserve"> brothers did not try to visit the </w:t>
      </w:r>
      <w:r w:rsidR="00544938">
        <w:t>author’s family</w:t>
      </w:r>
      <w:r w:rsidR="00E93028" w:rsidRPr="00E93028">
        <w:t xml:space="preserve"> home until the day they killed the author’s father and brother, the author </w:t>
      </w:r>
      <w:r w:rsidR="0061343A">
        <w:t xml:space="preserve">cannot explain </w:t>
      </w:r>
      <w:r w:rsidR="00E34E83">
        <w:t>the</w:t>
      </w:r>
      <w:r w:rsidR="0061343A">
        <w:t xml:space="preserve"> behaviour </w:t>
      </w:r>
      <w:r w:rsidR="00E34E83">
        <w:t xml:space="preserve">of Q’s brothers </w:t>
      </w:r>
      <w:r w:rsidR="0061343A">
        <w:t>in th</w:t>
      </w:r>
      <w:r w:rsidR="001F623E">
        <w:t>at</w:t>
      </w:r>
      <w:r w:rsidR="0061343A">
        <w:t xml:space="preserve"> regard. Q’s brothers probably realized</w:t>
      </w:r>
      <w:r w:rsidR="00E93028" w:rsidRPr="00E93028">
        <w:t xml:space="preserve"> that the au</w:t>
      </w:r>
      <w:r w:rsidR="0061343A">
        <w:t>thor had fled from the scene of the attack and left the family home. A</w:t>
      </w:r>
      <w:r w:rsidR="009165C0">
        <w:t>lthough the Board</w:t>
      </w:r>
      <w:r w:rsidR="00E93028" w:rsidRPr="00E93028">
        <w:t xml:space="preserve"> found that the author </w:t>
      </w:r>
      <w:r w:rsidR="001F623E">
        <w:t xml:space="preserve">had </w:t>
      </w:r>
      <w:r w:rsidR="00E93028" w:rsidRPr="00E93028">
        <w:t>made several inconsistent statements concerning the number of rifles used in the conflict, only one weapon</w:t>
      </w:r>
      <w:r w:rsidR="0061343A">
        <w:t xml:space="preserve"> </w:t>
      </w:r>
      <w:r w:rsidR="001F623E">
        <w:t xml:space="preserve">was </w:t>
      </w:r>
      <w:r w:rsidR="0061343A">
        <w:t xml:space="preserve">used. At one point, the author </w:t>
      </w:r>
      <w:r w:rsidR="00E93028" w:rsidRPr="00E93028">
        <w:t xml:space="preserve">thought that he </w:t>
      </w:r>
      <w:r w:rsidR="0061343A">
        <w:t>had seen his brother with a weapon; later</w:t>
      </w:r>
      <w:r w:rsidR="001F623E">
        <w:t>, however, he</w:t>
      </w:r>
      <w:r w:rsidR="0061343A">
        <w:t xml:space="preserve"> realized</w:t>
      </w:r>
      <w:r w:rsidR="00E93028" w:rsidRPr="00E93028">
        <w:t xml:space="preserve"> that his brother had simply taken hold of </w:t>
      </w:r>
      <w:r w:rsidR="009165C0">
        <w:t xml:space="preserve">S’s </w:t>
      </w:r>
      <w:r w:rsidR="0061343A">
        <w:t>weapon. A</w:t>
      </w:r>
      <w:r w:rsidR="009165C0">
        <w:t>lthough the Board</w:t>
      </w:r>
      <w:r w:rsidR="00E93028" w:rsidRPr="00E93028">
        <w:t xml:space="preserve"> found that the author made inconsistent statements as to the length of time that passed from the property deal until</w:t>
      </w:r>
      <w:r w:rsidR="009165C0">
        <w:t xml:space="preserve"> the incident leading to S’s</w:t>
      </w:r>
      <w:r w:rsidR="00E93028" w:rsidRPr="00E93028">
        <w:t xml:space="preserve"> death, the author explained during his first interview that </w:t>
      </w:r>
      <w:r w:rsidR="0061343A">
        <w:t>Q’s</w:t>
      </w:r>
      <w:r w:rsidR="00E93028" w:rsidRPr="00E93028">
        <w:t xml:space="preserve"> brothers would not ha</w:t>
      </w:r>
      <w:r w:rsidR="009165C0">
        <w:t xml:space="preserve">ve claimed the land </w:t>
      </w:r>
      <w:r w:rsidR="0061343A">
        <w:t>during Q’s lifetime</w:t>
      </w:r>
      <w:r w:rsidR="009165C0">
        <w:t>, since Q</w:t>
      </w:r>
      <w:r w:rsidR="00E93028" w:rsidRPr="00E93028">
        <w:t xml:space="preserve"> wou</w:t>
      </w:r>
      <w:r w:rsidR="0061343A">
        <w:t>ld then have been to blame. A month elapsed between Q’s and S’s death. A</w:t>
      </w:r>
      <w:r w:rsidR="009165C0">
        <w:t>lthough the Board</w:t>
      </w:r>
      <w:r w:rsidR="00E93028" w:rsidRPr="00E93028">
        <w:t xml:space="preserve"> found that the author </w:t>
      </w:r>
      <w:r w:rsidR="00E34E83">
        <w:t xml:space="preserve">had </w:t>
      </w:r>
      <w:r w:rsidR="0061343A">
        <w:t xml:space="preserve">made </w:t>
      </w:r>
      <w:r w:rsidR="00E34E83">
        <w:t xml:space="preserve">material </w:t>
      </w:r>
      <w:r w:rsidR="0061343A">
        <w:t>additions to his narrative during the oral hearing, he</w:t>
      </w:r>
      <w:r w:rsidR="00E93028" w:rsidRPr="00E93028">
        <w:t xml:space="preserve"> had not been asked detailed questions</w:t>
      </w:r>
      <w:r w:rsidR="0061343A">
        <w:t xml:space="preserve"> prior to the hearing</w:t>
      </w:r>
      <w:r w:rsidR="00E34E83">
        <w:t>. Such</w:t>
      </w:r>
      <w:r w:rsidR="00E93028" w:rsidRPr="00E93028">
        <w:t xml:space="preserve"> detailed questions </w:t>
      </w:r>
      <w:r w:rsidR="00E34E83">
        <w:t>logically</w:t>
      </w:r>
      <w:r w:rsidR="0061343A">
        <w:t xml:space="preserve"> </w:t>
      </w:r>
      <w:r w:rsidR="00E93028" w:rsidRPr="00E93028">
        <w:t xml:space="preserve">elicited </w:t>
      </w:r>
      <w:r w:rsidR="00391424">
        <w:t>more detailed responses from him</w:t>
      </w:r>
      <w:r w:rsidR="0061343A">
        <w:t xml:space="preserve"> during the hearing. Finally, </w:t>
      </w:r>
      <w:r w:rsidR="00CD2EFC">
        <w:t>the Board’s determination that t</w:t>
      </w:r>
      <w:r w:rsidR="00E93028" w:rsidRPr="00E93028">
        <w:t>he author’s testimony was not “self-experienced”</w:t>
      </w:r>
      <w:r w:rsidR="00CD2EFC">
        <w:t xml:space="preserve"> is not the result of a thorough assessment, since his</w:t>
      </w:r>
      <w:r w:rsidR="0047574A">
        <w:t xml:space="preserve"> testimony lasted only one </w:t>
      </w:r>
      <w:r w:rsidR="00391424">
        <w:t>and a</w:t>
      </w:r>
      <w:r w:rsidR="00F3616A">
        <w:t xml:space="preserve"> </w:t>
      </w:r>
      <w:r w:rsidR="00391424">
        <w:t>half hours</w:t>
      </w:r>
      <w:r w:rsidR="00CD2EFC">
        <w:t xml:space="preserve">. </w:t>
      </w:r>
      <w:r w:rsidR="00367C65">
        <w:t>In g</w:t>
      </w:r>
      <w:r w:rsidR="006F20C8">
        <w:t xml:space="preserve">uidelines </w:t>
      </w:r>
      <w:r w:rsidR="00367C65">
        <w:t xml:space="preserve">on assessing the credibility of asylum claims, </w:t>
      </w:r>
      <w:r w:rsidR="001F623E">
        <w:t>UNHCR</w:t>
      </w:r>
      <w:r w:rsidR="00E93028" w:rsidRPr="00E93028">
        <w:t xml:space="preserve"> </w:t>
      </w:r>
      <w:r w:rsidR="00367C65">
        <w:t>identifies</w:t>
      </w:r>
      <w:r w:rsidR="00E93028" w:rsidRPr="00E93028">
        <w:t xml:space="preserve"> geographical and cultural distance</w:t>
      </w:r>
      <w:r w:rsidR="00367C65">
        <w:t xml:space="preserve"> as challenges</w:t>
      </w:r>
      <w:r w:rsidR="00E93028" w:rsidRPr="00E93028">
        <w:t>.</w:t>
      </w:r>
      <w:r w:rsidR="00E93028" w:rsidRPr="001314F9">
        <w:rPr>
          <w:rStyle w:val="FootnoteReference"/>
        </w:rPr>
        <w:footnoteReference w:id="7"/>
      </w:r>
      <w:r w:rsidR="00E93028" w:rsidRPr="00E93028">
        <w:t xml:space="preserve"> </w:t>
      </w:r>
      <w:r w:rsidR="00977F40">
        <w:t xml:space="preserve">The </w:t>
      </w:r>
      <w:r w:rsidR="00977F40" w:rsidRPr="00E93028">
        <w:t xml:space="preserve">State party </w:t>
      </w:r>
      <w:r w:rsidR="00977F40">
        <w:t>should</w:t>
      </w:r>
      <w:r w:rsidR="00977F40" w:rsidRPr="00E93028">
        <w:t xml:space="preserve"> </w:t>
      </w:r>
      <w:r w:rsidR="00977F40">
        <w:t xml:space="preserve">investigate the accuracy of </w:t>
      </w:r>
      <w:r w:rsidR="00367C65">
        <w:t>the author’s</w:t>
      </w:r>
      <w:r w:rsidR="00367C65" w:rsidRPr="00E93028">
        <w:t xml:space="preserve"> </w:t>
      </w:r>
      <w:r w:rsidR="00977F40" w:rsidRPr="00E93028">
        <w:t>statements regarding the land</w:t>
      </w:r>
      <w:r w:rsidR="00EF7F77">
        <w:t xml:space="preserve"> dispute</w:t>
      </w:r>
      <w:r w:rsidR="00977F40">
        <w:t>.</w:t>
      </w:r>
      <w:r w:rsidR="00977F40" w:rsidRPr="00E93028">
        <w:t xml:space="preserve"> </w:t>
      </w:r>
      <w:r w:rsidR="00977F40">
        <w:t xml:space="preserve">The </w:t>
      </w:r>
      <w:r w:rsidR="00561831">
        <w:t xml:space="preserve">author maintains that the </w:t>
      </w:r>
      <w:r w:rsidR="00977F40">
        <w:t xml:space="preserve">State party could perform such an investigation because </w:t>
      </w:r>
      <w:r w:rsidR="00561831">
        <w:t>he</w:t>
      </w:r>
      <w:r w:rsidR="00977F40">
        <w:t xml:space="preserve"> “does not fear </w:t>
      </w:r>
      <w:r w:rsidR="00391424">
        <w:t xml:space="preserve">[the] </w:t>
      </w:r>
      <w:r w:rsidR="00977F40">
        <w:t>authorities in Afghanistan”</w:t>
      </w:r>
      <w:r w:rsidR="00367C65">
        <w:t>.</w:t>
      </w:r>
    </w:p>
    <w:p w14:paraId="720178D0" w14:textId="69D605D1" w:rsidR="00EA5731" w:rsidRPr="00463B9A" w:rsidRDefault="00D5314D">
      <w:pPr>
        <w:pStyle w:val="SingleTxtG"/>
      </w:pPr>
      <w:r>
        <w:lastRenderedPageBreak/>
        <w:t>5.3</w:t>
      </w:r>
      <w:r w:rsidR="00E93028" w:rsidRPr="00E93028">
        <w:tab/>
        <w:t>The author</w:t>
      </w:r>
      <w:r w:rsidR="0061343A">
        <w:t xml:space="preserve"> </w:t>
      </w:r>
      <w:r w:rsidR="00DD4059">
        <w:t>is illiterate</w:t>
      </w:r>
      <w:r w:rsidR="00E93028" w:rsidRPr="00E93028">
        <w:t xml:space="preserve"> and </w:t>
      </w:r>
      <w:r w:rsidR="00367C65">
        <w:t xml:space="preserve">has </w:t>
      </w:r>
      <w:r w:rsidR="00E93028" w:rsidRPr="00E93028">
        <w:t xml:space="preserve">presented evidence </w:t>
      </w:r>
      <w:r w:rsidR="00E34E83">
        <w:t>to</w:t>
      </w:r>
      <w:r w:rsidR="00E93028" w:rsidRPr="00E93028">
        <w:t xml:space="preserve"> the Danish authorities</w:t>
      </w:r>
      <w:r w:rsidR="00E34E83" w:rsidRPr="00E34E83">
        <w:t xml:space="preserve"> </w:t>
      </w:r>
      <w:r w:rsidR="00E34E83">
        <w:t>to substantiate</w:t>
      </w:r>
      <w:r w:rsidR="00E34E83" w:rsidRPr="00E93028">
        <w:t xml:space="preserve"> his claims</w:t>
      </w:r>
      <w:r w:rsidR="00E93028" w:rsidRPr="00E93028">
        <w:t xml:space="preserve">. </w:t>
      </w:r>
      <w:r w:rsidR="00DD4059">
        <w:t>In its observations, t</w:t>
      </w:r>
      <w:r w:rsidR="00E93028" w:rsidRPr="00E93028">
        <w:t xml:space="preserve">he State party raised new </w:t>
      </w:r>
      <w:r w:rsidR="00E34E83">
        <w:t>concerns</w:t>
      </w:r>
      <w:r w:rsidR="00E93028" w:rsidRPr="00E93028">
        <w:t xml:space="preserve"> that </w:t>
      </w:r>
      <w:r w:rsidR="00E34E83">
        <w:t>had not been raised during domestic proceedings</w:t>
      </w:r>
      <w:r w:rsidR="00817F23">
        <w:t xml:space="preserve"> (regarding the persons who owned and lived in the house in Zari</w:t>
      </w:r>
      <w:r w:rsidR="00367C65">
        <w:t>,</w:t>
      </w:r>
      <w:r w:rsidR="00817F23">
        <w:t xml:space="preserve"> the countries </w:t>
      </w:r>
      <w:r w:rsidR="00367C65">
        <w:t xml:space="preserve">visited by </w:t>
      </w:r>
      <w:r w:rsidR="00817F23">
        <w:t xml:space="preserve">Q and </w:t>
      </w:r>
      <w:r w:rsidR="00B379F6">
        <w:t xml:space="preserve">the date around which </w:t>
      </w:r>
      <w:r w:rsidR="00817F23">
        <w:t>the author’s brother arrived at the scene of the fight)</w:t>
      </w:r>
      <w:r w:rsidR="00367C65">
        <w:t>.</w:t>
      </w:r>
      <w:r w:rsidR="00E93028" w:rsidRPr="00E93028">
        <w:t xml:space="preserve"> </w:t>
      </w:r>
      <w:r w:rsidR="0061343A">
        <w:t>These new issues are</w:t>
      </w:r>
      <w:r w:rsidR="00E93028" w:rsidRPr="00E93028">
        <w:t xml:space="preserve"> insignificant compared to the thorough and detailed explanation </w:t>
      </w:r>
      <w:r w:rsidR="00DD4059">
        <w:t>the author</w:t>
      </w:r>
      <w:r w:rsidR="00E93028" w:rsidRPr="00E93028">
        <w:t xml:space="preserve"> provided in his interview with the </w:t>
      </w:r>
      <w:r w:rsidR="00367C65">
        <w:t xml:space="preserve">Danish </w:t>
      </w:r>
      <w:r w:rsidR="00E93028" w:rsidRPr="00E93028">
        <w:t xml:space="preserve">Immigration Service. </w:t>
      </w:r>
      <w:r w:rsidR="0061343A">
        <w:t xml:space="preserve">Moreover, </w:t>
      </w:r>
      <w:r w:rsidR="00E93028" w:rsidRPr="00E93028">
        <w:t xml:space="preserve">minor inconsistencies can hardly be avoided. </w:t>
      </w:r>
    </w:p>
    <w:p w14:paraId="3D84C81C" w14:textId="6DB4D7C5" w:rsidR="00C03875" w:rsidRPr="00463B9A" w:rsidRDefault="005A714E" w:rsidP="005A714E">
      <w:pPr>
        <w:pStyle w:val="H23G"/>
      </w:pPr>
      <w:r>
        <w:tab/>
      </w:r>
      <w:r>
        <w:tab/>
      </w:r>
      <w:r w:rsidR="00C03875" w:rsidRPr="00463B9A">
        <w:t xml:space="preserve">State party’s further observations </w:t>
      </w:r>
    </w:p>
    <w:p w14:paraId="643019BD" w14:textId="77777777" w:rsidR="00693BF7" w:rsidRDefault="0079639C" w:rsidP="00162939">
      <w:pPr>
        <w:pStyle w:val="SingleTxtG"/>
      </w:pPr>
      <w:bookmarkStart w:id="1" w:name="ここまでチェック済"/>
      <w:bookmarkEnd w:id="1"/>
      <w:r w:rsidRPr="00463B9A">
        <w:t>6</w:t>
      </w:r>
      <w:r w:rsidR="00C03875" w:rsidRPr="00463B9A">
        <w:t>.1</w:t>
      </w:r>
      <w:r w:rsidR="00C03875" w:rsidRPr="00463B9A">
        <w:tab/>
      </w:r>
      <w:r w:rsidR="00664EE8">
        <w:t>In its submission dated</w:t>
      </w:r>
      <w:r w:rsidR="000E1605" w:rsidRPr="00463B9A">
        <w:t xml:space="preserve"> </w:t>
      </w:r>
      <w:r w:rsidR="009165C0">
        <w:t xml:space="preserve">25 June 2015, the State party </w:t>
      </w:r>
      <w:r w:rsidR="00664EE8">
        <w:t>considers that domestic authorities are best placed to evaluate facts and the credibility of witnesses, whom they have an opportunity to see, hear and assess.</w:t>
      </w:r>
      <w:r w:rsidR="00664EE8" w:rsidRPr="001314F9">
        <w:rPr>
          <w:rStyle w:val="FootnoteReference"/>
        </w:rPr>
        <w:footnoteReference w:id="8"/>
      </w:r>
      <w:r w:rsidR="007F6346">
        <w:t xml:space="preserve"> </w:t>
      </w:r>
      <w:r w:rsidR="00320E5B">
        <w:t>The State party reiterates its arguments with regard to the admissibility and merits of the communication.</w:t>
      </w:r>
      <w:r w:rsidR="007F6346">
        <w:t xml:space="preserve"> </w:t>
      </w:r>
    </w:p>
    <w:p w14:paraId="1E6BB6CF" w14:textId="23DCF659" w:rsidR="00BA6F6A" w:rsidRPr="00463B9A" w:rsidRDefault="00693BF7" w:rsidP="00905FFA">
      <w:pPr>
        <w:pStyle w:val="SingleTxtG"/>
        <w:rPr>
          <w:lang w:val="en-CA"/>
        </w:rPr>
      </w:pPr>
      <w:r>
        <w:t>6.2</w:t>
      </w:r>
      <w:r>
        <w:tab/>
      </w:r>
      <w:r w:rsidR="00A072BA">
        <w:rPr>
          <w:lang w:val="en-US"/>
        </w:rPr>
        <w:t>T</w:t>
      </w:r>
      <w:r>
        <w:rPr>
          <w:lang w:val="en-US"/>
        </w:rPr>
        <w:t xml:space="preserve">he author’s claim under article 13 of the Covenant is manifestly ill-founded and is therefore inadmissible. Article 13 does not confer a right to a court hearing. </w:t>
      </w:r>
      <w:r w:rsidR="004F3CBF">
        <w:rPr>
          <w:lang w:val="en-US"/>
        </w:rPr>
        <w:t xml:space="preserve">The Committee’s jurisprudence indicates that mere administrative review of an expulsion order is not </w:t>
      </w:r>
      <w:r w:rsidR="004F3CBF" w:rsidRPr="009475EF">
        <w:rPr>
          <w:iCs/>
          <w:lang w:val="en-US"/>
        </w:rPr>
        <w:t>per se a</w:t>
      </w:r>
      <w:r w:rsidR="004F3CBF">
        <w:rPr>
          <w:lang w:val="en-US"/>
        </w:rPr>
        <w:t xml:space="preserve"> violation of article 13.</w:t>
      </w:r>
      <w:r w:rsidR="004F3CBF" w:rsidRPr="001314F9">
        <w:rPr>
          <w:rStyle w:val="FootnoteReference"/>
        </w:rPr>
        <w:footnoteReference w:id="9"/>
      </w:r>
      <w:r w:rsidR="004F3CBF">
        <w:rPr>
          <w:lang w:val="en-US"/>
        </w:rPr>
        <w:t xml:space="preserve"> </w:t>
      </w:r>
      <w:r w:rsidR="00BA2745">
        <w:t>Concernin</w:t>
      </w:r>
      <w:r w:rsidR="00772BDD">
        <w:t xml:space="preserve">g the author’s criticism that the interpreters </w:t>
      </w:r>
      <w:r w:rsidR="005C334B">
        <w:t>servicing</w:t>
      </w:r>
      <w:r w:rsidR="00772BDD">
        <w:t xml:space="preserve"> asylum proceedings are not required to</w:t>
      </w:r>
      <w:r w:rsidR="002B4D13">
        <w:t xml:space="preserve"> meet</w:t>
      </w:r>
      <w:r w:rsidR="00772BDD">
        <w:t xml:space="preserve"> specific educational requirements, the Board uses interpreters recorded on the list of approved interpreters kept by the Danish National Police. </w:t>
      </w:r>
      <w:r w:rsidR="00D35451">
        <w:t>During asylum proceedings, asylum</w:t>
      </w:r>
      <w:r w:rsidR="00367C65">
        <w:t xml:space="preserve"> </w:t>
      </w:r>
      <w:r w:rsidR="00D35451">
        <w:t>seeker</w:t>
      </w:r>
      <w:r w:rsidR="00367C65">
        <w:t>s are</w:t>
      </w:r>
      <w:r w:rsidR="00D35451">
        <w:t xml:space="preserve"> </w:t>
      </w:r>
      <w:r w:rsidR="005C334B">
        <w:t xml:space="preserve">instructed to speak out if </w:t>
      </w:r>
      <w:r w:rsidR="00367C65">
        <w:t>they</w:t>
      </w:r>
      <w:r w:rsidR="005C334B">
        <w:t xml:space="preserve"> experience any</w:t>
      </w:r>
      <w:r w:rsidR="00D35451">
        <w:t xml:space="preserve"> problems with the </w:t>
      </w:r>
      <w:r w:rsidR="005C334B">
        <w:t>interpretation</w:t>
      </w:r>
      <w:r w:rsidR="00D35451">
        <w:t xml:space="preserve">. </w:t>
      </w:r>
      <w:r w:rsidR="00367C65">
        <w:t>A</w:t>
      </w:r>
      <w:r w:rsidR="00D35451">
        <w:t>pplicant</w:t>
      </w:r>
      <w:r w:rsidR="00367C65">
        <w:t>s</w:t>
      </w:r>
      <w:r w:rsidR="00D35451">
        <w:t xml:space="preserve"> and interpreter</w:t>
      </w:r>
      <w:r w:rsidR="00367C65">
        <w:t>s</w:t>
      </w:r>
      <w:r w:rsidR="00D35451">
        <w:t xml:space="preserve"> are asked at the outset </w:t>
      </w:r>
      <w:r w:rsidR="005C334B">
        <w:t xml:space="preserve">of </w:t>
      </w:r>
      <w:r w:rsidR="00367C65">
        <w:t xml:space="preserve">the </w:t>
      </w:r>
      <w:r w:rsidR="005C334B">
        <w:t xml:space="preserve">proceedings </w:t>
      </w:r>
      <w:r w:rsidR="00D35451">
        <w:t xml:space="preserve">if they understand one another. At the end of each interview with the Danish Immigration Service, </w:t>
      </w:r>
      <w:r w:rsidR="00367C65">
        <w:t xml:space="preserve">an </w:t>
      </w:r>
      <w:r w:rsidR="00D35451">
        <w:t xml:space="preserve">interview report is read out to the applicant, who </w:t>
      </w:r>
      <w:r w:rsidR="005C334B">
        <w:t>then has the</w:t>
      </w:r>
      <w:r w:rsidR="00D35451">
        <w:t xml:space="preserve"> opportunity to comment on the contents of the report. At the hearing before the Board, the applicant is normally represented by counsel, who is also given the opportunity to make objections to the </w:t>
      </w:r>
      <w:r w:rsidR="00E81CBA">
        <w:t xml:space="preserve">interpretation. Thus, the fact that individual interpreters are not subject to educational requirements does not constitute a breach of the right to a fair trial. Interpreters’ competence </w:t>
      </w:r>
      <w:r w:rsidR="00D35451">
        <w:t>is assessed on a case-by-case basis and</w:t>
      </w:r>
      <w:r w:rsidR="00367C65">
        <w:t>,</w:t>
      </w:r>
      <w:r w:rsidR="00D35451">
        <w:t xml:space="preserve"> if it is considered inadequate, the interview or hearing is adjourned and another interpreter is </w:t>
      </w:r>
      <w:r w:rsidR="005944D4">
        <w:t>retained</w:t>
      </w:r>
      <w:r w:rsidR="00D35451">
        <w:t xml:space="preserve">. Both the Service and the Board give “the utmost priority to ensuring a high standard” of interpretation. </w:t>
      </w:r>
    </w:p>
    <w:p w14:paraId="306FECBD" w14:textId="77777777" w:rsidR="00A40224" w:rsidRDefault="00A40224" w:rsidP="00A40224">
      <w:pPr>
        <w:pStyle w:val="H23G"/>
      </w:pPr>
      <w:r w:rsidRPr="00463B9A">
        <w:tab/>
      </w:r>
      <w:r w:rsidRPr="00463B9A">
        <w:tab/>
        <w:t>Issues and proceedings before the Committee</w:t>
      </w:r>
    </w:p>
    <w:p w14:paraId="50D9DEF9" w14:textId="266D24D2" w:rsidR="006F1676" w:rsidRPr="00463B9A" w:rsidRDefault="002F4AB7" w:rsidP="00905FFA">
      <w:pPr>
        <w:pStyle w:val="SingleTxtG"/>
        <w:rPr>
          <w:rFonts w:eastAsia="MS Mincho"/>
        </w:rPr>
      </w:pPr>
      <w:r>
        <w:rPr>
          <w:rFonts w:eastAsia="MS Mincho"/>
        </w:rPr>
        <w:t>7</w:t>
      </w:r>
      <w:r w:rsidR="006F1676" w:rsidRPr="00463B9A">
        <w:rPr>
          <w:rFonts w:eastAsia="MS Mincho"/>
        </w:rPr>
        <w:t>.1</w:t>
      </w:r>
      <w:r w:rsidR="006F1676" w:rsidRPr="00463B9A">
        <w:rPr>
          <w:rFonts w:eastAsia="MS Mincho"/>
        </w:rPr>
        <w:tab/>
        <w:t>Before considering any claims contained in a communication, the Committee must decide, in accordance with rule 93 of its rules of procedure, whether the claim is admissible under the Optional Protocol.</w:t>
      </w:r>
    </w:p>
    <w:p w14:paraId="514BDC9F" w14:textId="711CBD4D" w:rsidR="006F1676" w:rsidRPr="00463B9A" w:rsidRDefault="002F4AB7" w:rsidP="006F1676">
      <w:pPr>
        <w:spacing w:after="120"/>
        <w:ind w:left="1134" w:right="1134"/>
        <w:jc w:val="both"/>
        <w:rPr>
          <w:rFonts w:eastAsia="MS Mincho"/>
          <w:bCs/>
        </w:rPr>
      </w:pPr>
      <w:r>
        <w:rPr>
          <w:rFonts w:eastAsia="MS Mincho"/>
        </w:rPr>
        <w:t>7</w:t>
      </w:r>
      <w:r w:rsidR="006F1676" w:rsidRPr="00463B9A">
        <w:rPr>
          <w:rFonts w:eastAsia="MS Mincho"/>
        </w:rPr>
        <w:t>.2</w:t>
      </w:r>
      <w:r w:rsidR="006F1676" w:rsidRPr="00463B9A">
        <w:rPr>
          <w:rFonts w:eastAsia="MS Mincho"/>
        </w:rPr>
        <w:tab/>
      </w:r>
      <w:r w:rsidR="006F1676" w:rsidRPr="00463B9A">
        <w:rPr>
          <w:rFonts w:eastAsia="MS Mincho"/>
          <w:bCs/>
        </w:rPr>
        <w:t>The Committee notes, as required by article 5</w:t>
      </w:r>
      <w:r w:rsidR="002F391C" w:rsidRPr="00463B9A">
        <w:rPr>
          <w:rFonts w:eastAsia="MS Mincho"/>
          <w:bCs/>
        </w:rPr>
        <w:t xml:space="preserve"> </w:t>
      </w:r>
      <w:r w:rsidR="006F1676" w:rsidRPr="00463B9A">
        <w:rPr>
          <w:rFonts w:eastAsia="MS Mincho"/>
          <w:bCs/>
        </w:rPr>
        <w:t>(2)</w:t>
      </w:r>
      <w:r w:rsidR="00367C65">
        <w:rPr>
          <w:rFonts w:eastAsia="MS Mincho"/>
          <w:bCs/>
        </w:rPr>
        <w:t xml:space="preserve"> </w:t>
      </w:r>
      <w:r w:rsidR="006F1676" w:rsidRPr="00463B9A">
        <w:rPr>
          <w:rFonts w:eastAsia="MS Mincho"/>
          <w:bCs/>
        </w:rPr>
        <w:t>(a) of the Optional Protocol, that the same matter is not being examined under any other procedure of international investigation or settlement.</w:t>
      </w:r>
      <w:r w:rsidR="0039015E" w:rsidRPr="0039015E">
        <w:t xml:space="preserve"> </w:t>
      </w:r>
      <w:r w:rsidR="0039015E" w:rsidRPr="00E20506">
        <w:t xml:space="preserve">The Committee </w:t>
      </w:r>
      <w:r w:rsidR="0039015E">
        <w:t xml:space="preserve">also </w:t>
      </w:r>
      <w:r w:rsidR="0039015E" w:rsidRPr="00E20506">
        <w:t>notes that it is undisputed that the author has exhausted all available domestic reme</w:t>
      </w:r>
      <w:r w:rsidR="00905AA1">
        <w:t>dies, as required by article 5 (2)</w:t>
      </w:r>
      <w:r w:rsidR="00367C65">
        <w:t xml:space="preserve"> </w:t>
      </w:r>
      <w:r w:rsidR="00905AA1">
        <w:t xml:space="preserve">(b) </w:t>
      </w:r>
      <w:r w:rsidR="0039015E" w:rsidRPr="00E20506">
        <w:t>of the Optional Protocol.</w:t>
      </w:r>
    </w:p>
    <w:p w14:paraId="708D7B2F" w14:textId="442A5711" w:rsidR="00B666B6" w:rsidRDefault="002F4AB7" w:rsidP="00905FFA">
      <w:pPr>
        <w:pStyle w:val="SingleTxtG"/>
        <w:rPr>
          <w:rFonts w:eastAsia="MS Mincho"/>
        </w:rPr>
      </w:pPr>
      <w:r>
        <w:rPr>
          <w:rFonts w:eastAsia="MS Mincho"/>
        </w:rPr>
        <w:t>7</w:t>
      </w:r>
      <w:r w:rsidR="0039015E">
        <w:rPr>
          <w:rFonts w:eastAsia="MS Mincho"/>
        </w:rPr>
        <w:t>.3</w:t>
      </w:r>
      <w:r w:rsidR="006F1676" w:rsidRPr="00463B9A">
        <w:rPr>
          <w:rFonts w:eastAsia="MS Mincho"/>
        </w:rPr>
        <w:tab/>
      </w:r>
      <w:r w:rsidR="005F36A8">
        <w:rPr>
          <w:rFonts w:eastAsia="MS Mincho"/>
        </w:rPr>
        <w:t xml:space="preserve">The Committee notes the author’s allegations that Q’s brothers, who murdered the author’s father and brother in the context of a land dispute, would torture or kill him in Afghanistan in order to silence him as a witness to the murders and in order to illegally </w:t>
      </w:r>
      <w:r w:rsidR="005F36A8">
        <w:rPr>
          <w:rFonts w:eastAsia="MS Mincho"/>
        </w:rPr>
        <w:lastRenderedPageBreak/>
        <w:t>seize his family’s property.</w:t>
      </w:r>
      <w:r w:rsidR="005F36A8" w:rsidRPr="00143EB6">
        <w:t xml:space="preserve"> </w:t>
      </w:r>
      <w:r w:rsidR="005F36A8">
        <w:t xml:space="preserve">The Committee further notes the author’s arguments concerning alleged procedural flaws in the asylum system in Denmark. </w:t>
      </w:r>
      <w:r w:rsidR="006F1676" w:rsidRPr="00463B9A">
        <w:rPr>
          <w:rFonts w:eastAsia="MS Mincho"/>
        </w:rPr>
        <w:t xml:space="preserve">The Committee </w:t>
      </w:r>
      <w:r w:rsidR="0039015E">
        <w:rPr>
          <w:rFonts w:eastAsia="MS Mincho"/>
        </w:rPr>
        <w:t>takes</w:t>
      </w:r>
      <w:r w:rsidR="00702C68" w:rsidRPr="00463B9A">
        <w:rPr>
          <w:rFonts w:eastAsia="MS Mincho"/>
        </w:rPr>
        <w:t xml:space="preserve"> </w:t>
      </w:r>
      <w:r w:rsidR="006F1676" w:rsidRPr="00463B9A">
        <w:rPr>
          <w:rFonts w:eastAsia="MS Mincho"/>
        </w:rPr>
        <w:t xml:space="preserve">note </w:t>
      </w:r>
      <w:r w:rsidR="0039015E">
        <w:rPr>
          <w:rFonts w:eastAsia="MS Mincho"/>
        </w:rPr>
        <w:t xml:space="preserve">of </w:t>
      </w:r>
      <w:r w:rsidR="006F1676" w:rsidRPr="00463B9A">
        <w:rPr>
          <w:rFonts w:eastAsia="MS Mincho"/>
        </w:rPr>
        <w:t>the State party’s argument that the author</w:t>
      </w:r>
      <w:r w:rsidR="005D6939">
        <w:rPr>
          <w:rFonts w:eastAsia="MS Mincho"/>
        </w:rPr>
        <w:t xml:space="preserve"> lacks credibility and that his </w:t>
      </w:r>
      <w:r w:rsidR="006F1676" w:rsidRPr="00463B9A">
        <w:rPr>
          <w:rFonts w:eastAsia="MS Mincho"/>
        </w:rPr>
        <w:t xml:space="preserve">claims </w:t>
      </w:r>
      <w:r w:rsidR="00143EB6">
        <w:rPr>
          <w:rFonts w:eastAsia="MS Mincho"/>
        </w:rPr>
        <w:t xml:space="preserve">under articles 6, </w:t>
      </w:r>
      <w:r w:rsidR="00B666B6">
        <w:rPr>
          <w:rFonts w:eastAsia="MS Mincho"/>
        </w:rPr>
        <w:t>7</w:t>
      </w:r>
      <w:r w:rsidR="00143EB6">
        <w:rPr>
          <w:rFonts w:eastAsia="MS Mincho"/>
        </w:rPr>
        <w:t xml:space="preserve"> and 13</w:t>
      </w:r>
      <w:r w:rsidR="00B666B6">
        <w:rPr>
          <w:rFonts w:eastAsia="MS Mincho"/>
        </w:rPr>
        <w:t xml:space="preserve"> of the Covenant </w:t>
      </w:r>
      <w:r w:rsidR="006F1676" w:rsidRPr="00463B9A">
        <w:rPr>
          <w:rFonts w:eastAsia="MS Mincho"/>
        </w:rPr>
        <w:t xml:space="preserve">are </w:t>
      </w:r>
      <w:r>
        <w:rPr>
          <w:rFonts w:eastAsia="MS Mincho"/>
        </w:rPr>
        <w:t>m</w:t>
      </w:r>
      <w:r w:rsidR="0039015E">
        <w:rPr>
          <w:rFonts w:eastAsia="MS Mincho"/>
        </w:rPr>
        <w:t xml:space="preserve">anifestly ill-founded and are therefore </w:t>
      </w:r>
      <w:r w:rsidR="006F1676" w:rsidRPr="00463B9A">
        <w:rPr>
          <w:rFonts w:eastAsia="MS Mincho"/>
        </w:rPr>
        <w:t xml:space="preserve">inadmissible under article 2 of the Optional Protocol. </w:t>
      </w:r>
    </w:p>
    <w:p w14:paraId="1E54F8AB" w14:textId="275B0BA8" w:rsidR="00054E23" w:rsidRPr="00A11A66" w:rsidRDefault="00B666B6">
      <w:pPr>
        <w:pStyle w:val="SingleTxtG"/>
        <w:rPr>
          <w:rFonts w:eastAsia="MS Mincho"/>
          <w:lang w:val="en-US"/>
        </w:rPr>
      </w:pPr>
      <w:r>
        <w:rPr>
          <w:rFonts w:eastAsia="MS Mincho"/>
        </w:rPr>
        <w:t>7.4</w:t>
      </w:r>
      <w:r>
        <w:rPr>
          <w:rFonts w:eastAsia="MS Mincho"/>
        </w:rPr>
        <w:tab/>
      </w:r>
      <w:r w:rsidR="00A11A66" w:rsidRPr="00463B9A">
        <w:rPr>
          <w:rFonts w:eastAsia="MS Mincho"/>
        </w:rPr>
        <w:t>The Committee recalls its general comment No. 31</w:t>
      </w:r>
      <w:r w:rsidR="00367C65">
        <w:rPr>
          <w:rFonts w:eastAsia="MS Mincho"/>
        </w:rPr>
        <w:t xml:space="preserve"> (2004) on the nature of the general legal obligation </w:t>
      </w:r>
      <w:r w:rsidR="00DE4D1B">
        <w:rPr>
          <w:rFonts w:eastAsia="MS Mincho"/>
        </w:rPr>
        <w:t xml:space="preserve">imposed </w:t>
      </w:r>
      <w:r w:rsidR="00367C65">
        <w:rPr>
          <w:rFonts w:eastAsia="MS Mincho"/>
        </w:rPr>
        <w:t>on States parties to the Covenant,</w:t>
      </w:r>
      <w:r w:rsidR="00A11A66" w:rsidRPr="00463B9A">
        <w:rPr>
          <w:rFonts w:eastAsia="MS Mincho"/>
        </w:rPr>
        <w:t xml:space="preserve"> in </w:t>
      </w:r>
      <w:r w:rsidR="003A5497">
        <w:rPr>
          <w:rFonts w:eastAsia="MS Mincho"/>
        </w:rPr>
        <w:t xml:space="preserve">paragraph 12 of </w:t>
      </w:r>
      <w:r w:rsidR="00A11A66" w:rsidRPr="00463B9A">
        <w:rPr>
          <w:rFonts w:eastAsia="MS Mincho"/>
        </w:rPr>
        <w:t>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The Committee has also indicated that the risk must be personal</w:t>
      </w:r>
      <w:r w:rsidR="00A11A66" w:rsidRPr="001314F9">
        <w:rPr>
          <w:rStyle w:val="FootnoteReference"/>
        </w:rPr>
        <w:footnoteReference w:id="10"/>
      </w:r>
      <w:r w:rsidR="00A11A66" w:rsidRPr="00463B9A">
        <w:rPr>
          <w:rFonts w:eastAsia="MS Mincho"/>
        </w:rPr>
        <w:t xml:space="preserve"> and that there is a high threshold for providing substantial grounds to establish that a real risk of irreparable harm exists. Thus, all relevant facts and circumstances must be considered, including the general human rights situation in the author’s country of origin.</w:t>
      </w:r>
      <w:r w:rsidR="00A11A66" w:rsidRPr="001314F9">
        <w:rPr>
          <w:rStyle w:val="FootnoteReference"/>
        </w:rPr>
        <w:footnoteReference w:id="11"/>
      </w:r>
      <w:r w:rsidR="00A11A66" w:rsidRPr="00463B9A">
        <w:rPr>
          <w:rFonts w:eastAsia="MS Mincho"/>
        </w:rPr>
        <w:t xml:space="preserve"> </w:t>
      </w:r>
      <w:r w:rsidR="00A11A66" w:rsidRPr="00463B9A">
        <w:rPr>
          <w:rFonts w:eastAsia="MS Mincho"/>
          <w:lang w:val="en-US"/>
        </w:rPr>
        <w:t>The Committee recalls that it is generally for the organs of States parties to examine the facts and evidence of the case</w:t>
      </w:r>
      <w:r w:rsidR="00A11A66" w:rsidRPr="00463B9A">
        <w:rPr>
          <w:rFonts w:eastAsia="MS Mincho"/>
          <w:b/>
          <w:lang w:val="en-US"/>
        </w:rPr>
        <w:t xml:space="preserve"> </w:t>
      </w:r>
      <w:r w:rsidR="00A11A66" w:rsidRPr="00463B9A">
        <w:rPr>
          <w:rFonts w:eastAsia="MS Mincho"/>
          <w:lang w:val="en-US"/>
        </w:rPr>
        <w:t>in order to determine whether such a risk exists, unless it can be established that the assessment was arbitrary or amounted to a manifest error or denial of justice.</w:t>
      </w:r>
      <w:r w:rsidR="00A11A66" w:rsidRPr="001314F9">
        <w:rPr>
          <w:rStyle w:val="FootnoteReference"/>
        </w:rPr>
        <w:footnoteReference w:id="12"/>
      </w:r>
    </w:p>
    <w:p w14:paraId="2096BDAB" w14:textId="6ADAF5C2" w:rsidR="00236B56" w:rsidRDefault="00054E23">
      <w:pPr>
        <w:pStyle w:val="SingleTxtG"/>
        <w:rPr>
          <w:rFonts w:eastAsia="MS Mincho"/>
        </w:rPr>
      </w:pPr>
      <w:r>
        <w:t>7.5</w:t>
      </w:r>
      <w:r>
        <w:tab/>
      </w:r>
      <w:r w:rsidR="00391424">
        <w:t xml:space="preserve">The Committee notes </w:t>
      </w:r>
      <w:r w:rsidR="008472B8">
        <w:t xml:space="preserve">that the </w:t>
      </w:r>
      <w:r w:rsidR="004A4B4B">
        <w:t>Refugee Appeals Board found, after examining the author’s written and oral testimony,</w:t>
      </w:r>
      <w:r w:rsidR="008472B8">
        <w:t xml:space="preserve"> that </w:t>
      </w:r>
      <w:r w:rsidR="004A4B4B">
        <w:t xml:space="preserve">he </w:t>
      </w:r>
      <w:r w:rsidR="008472B8">
        <w:t xml:space="preserve">was not credible concerning the risk of harm he alleges to face </w:t>
      </w:r>
      <w:r w:rsidR="004A4B4B">
        <w:t xml:space="preserve">from Q’s relatives </w:t>
      </w:r>
      <w:r w:rsidR="008472B8">
        <w:t xml:space="preserve">in Afghanistan. The Committee also notes </w:t>
      </w:r>
      <w:r w:rsidR="00391424">
        <w:t xml:space="preserve">that </w:t>
      </w:r>
      <w:r w:rsidR="008E304B">
        <w:t>the author</w:t>
      </w:r>
      <w:r w:rsidR="00901823">
        <w:t>’s fears of being killed or subjected to torture relate to the acts of private individuals, and he</w:t>
      </w:r>
      <w:r w:rsidR="008E304B">
        <w:t xml:space="preserve"> has not alleged that </w:t>
      </w:r>
      <w:r w:rsidR="00810C8E">
        <w:t xml:space="preserve">he contacted the Afghan authorities in order to seek protection </w:t>
      </w:r>
      <w:r w:rsidR="008E304B">
        <w:t>from Q’s relatives</w:t>
      </w:r>
      <w:r w:rsidR="00810C8E">
        <w:t>, and has not explained why he did not do so</w:t>
      </w:r>
      <w:r w:rsidR="00901823">
        <w:t xml:space="preserve"> or would not be able to do so in the future</w:t>
      </w:r>
      <w:r w:rsidR="00810C8E">
        <w:t>.</w:t>
      </w:r>
      <w:r w:rsidR="008E304B">
        <w:t xml:space="preserve"> </w:t>
      </w:r>
      <w:r w:rsidR="000841E9">
        <w:t xml:space="preserve">The Committee </w:t>
      </w:r>
      <w:r w:rsidR="008472B8">
        <w:t xml:space="preserve">also </w:t>
      </w:r>
      <w:r w:rsidR="000841E9">
        <w:t xml:space="preserve">observes that the author has not provided information on the documentation that he submitted with his request to reopen asylum proceedings and that was deemed to </w:t>
      </w:r>
      <w:r w:rsidR="00367C65">
        <w:t xml:space="preserve">be </w:t>
      </w:r>
      <w:r w:rsidR="000841E9">
        <w:t xml:space="preserve">not credible. </w:t>
      </w:r>
      <w:r w:rsidR="00EC1837">
        <w:t>T</w:t>
      </w:r>
      <w:r w:rsidR="00A56FAD">
        <w:t xml:space="preserve">he Committee </w:t>
      </w:r>
      <w:r>
        <w:t>considers that while the author disagrees with the factual conclusions of the State party’s authorities, the information before the Committee does not indicate that those findings are manifestly unreasonable.</w:t>
      </w:r>
      <w:r w:rsidR="00732E1F" w:rsidRPr="001314F9">
        <w:rPr>
          <w:rStyle w:val="FootnoteReference"/>
        </w:rPr>
        <w:footnoteReference w:id="13"/>
      </w:r>
      <w:r>
        <w:t xml:space="preserve"> </w:t>
      </w:r>
      <w:r w:rsidR="00656BCD">
        <w:rPr>
          <w:rFonts w:eastAsia="MS Mincho"/>
        </w:rPr>
        <w:t xml:space="preserve">Moreover, </w:t>
      </w:r>
      <w:r w:rsidR="005E5F6F">
        <w:rPr>
          <w:rFonts w:eastAsia="MS Mincho"/>
        </w:rPr>
        <w:t>the author’s c</w:t>
      </w:r>
      <w:r w:rsidR="00656BCD">
        <w:t xml:space="preserve">laims </w:t>
      </w:r>
      <w:r w:rsidR="005E5F6F">
        <w:t xml:space="preserve">regarding the independence of the Board and the procedural integrity of asylum proceedings in Denmark are </w:t>
      </w:r>
      <w:r w:rsidR="00656BCD">
        <w:t>of a general nature and do not establish that the evaluation of his asylum application by the Danish authorities was clearly arbitrary or amounted to a denial of justice.</w:t>
      </w:r>
      <w:r w:rsidR="00A56FAD" w:rsidRPr="001314F9">
        <w:rPr>
          <w:rStyle w:val="FootnoteReference"/>
        </w:rPr>
        <w:footnoteReference w:id="14"/>
      </w:r>
      <w:r w:rsidR="00656BCD">
        <w:t xml:space="preserve"> </w:t>
      </w:r>
      <w:r w:rsidR="008E304B">
        <w:rPr>
          <w:rFonts w:eastAsia="MS Mincho"/>
        </w:rPr>
        <w:t xml:space="preserve">Accordingly, the </w:t>
      </w:r>
      <w:r w:rsidR="004B37A5">
        <w:rPr>
          <w:rFonts w:eastAsia="MS Mincho"/>
        </w:rPr>
        <w:t>author’s claims under articles 6</w:t>
      </w:r>
      <w:r w:rsidR="00143EB6">
        <w:rPr>
          <w:rFonts w:eastAsia="MS Mincho"/>
        </w:rPr>
        <w:t xml:space="preserve">, 7 and 13 </w:t>
      </w:r>
      <w:r w:rsidR="004B37A5">
        <w:rPr>
          <w:rFonts w:eastAsia="MS Mincho"/>
        </w:rPr>
        <w:t>of the Covenant</w:t>
      </w:r>
      <w:r w:rsidR="006F1676" w:rsidRPr="00463B9A">
        <w:rPr>
          <w:rFonts w:eastAsia="MS Mincho"/>
        </w:rPr>
        <w:t xml:space="preserve"> </w:t>
      </w:r>
      <w:r w:rsidR="004B37A5">
        <w:rPr>
          <w:rFonts w:eastAsia="MS Mincho"/>
        </w:rPr>
        <w:t>are insufficiently substantiated and are therefore inadmissible</w:t>
      </w:r>
      <w:r w:rsidR="006F1676" w:rsidRPr="00463B9A">
        <w:rPr>
          <w:rFonts w:eastAsia="MS Mincho"/>
        </w:rPr>
        <w:t>.</w:t>
      </w:r>
      <w:r w:rsidR="006F1676" w:rsidRPr="001314F9">
        <w:rPr>
          <w:rStyle w:val="FootnoteReference"/>
        </w:rPr>
        <w:footnoteReference w:id="15"/>
      </w:r>
      <w:r w:rsidR="006F1676" w:rsidRPr="00463B9A">
        <w:rPr>
          <w:rFonts w:eastAsia="MS Mincho"/>
        </w:rPr>
        <w:t xml:space="preserve"> </w:t>
      </w:r>
    </w:p>
    <w:p w14:paraId="19DB4A11" w14:textId="0EC3154F" w:rsidR="00467039" w:rsidRPr="00236B56" w:rsidRDefault="002F4AB7">
      <w:pPr>
        <w:pStyle w:val="SingleTxtG"/>
        <w:rPr>
          <w:rFonts w:eastAsia="MS Mincho"/>
        </w:rPr>
      </w:pPr>
      <w:r>
        <w:rPr>
          <w:rFonts w:eastAsia="MS Mincho"/>
        </w:rPr>
        <w:t>7</w:t>
      </w:r>
      <w:r w:rsidR="006C7ABC">
        <w:rPr>
          <w:rFonts w:eastAsia="MS Mincho"/>
        </w:rPr>
        <w:t>.</w:t>
      </w:r>
      <w:r w:rsidR="001B234E">
        <w:rPr>
          <w:rFonts w:eastAsia="MS Mincho"/>
        </w:rPr>
        <w:t>6</w:t>
      </w:r>
      <w:r w:rsidR="0039015E" w:rsidRPr="00463B9A">
        <w:rPr>
          <w:rFonts w:eastAsia="MS Mincho"/>
        </w:rPr>
        <w:tab/>
        <w:t xml:space="preserve">The Committee </w:t>
      </w:r>
      <w:r w:rsidR="0039015E">
        <w:rPr>
          <w:rFonts w:eastAsia="MS Mincho"/>
        </w:rPr>
        <w:t xml:space="preserve">further </w:t>
      </w:r>
      <w:r w:rsidR="0039015E" w:rsidRPr="00463B9A">
        <w:rPr>
          <w:rFonts w:eastAsia="MS Mincho"/>
        </w:rPr>
        <w:t xml:space="preserve">takes note of the State party’s argument that the </w:t>
      </w:r>
      <w:r w:rsidR="0039015E">
        <w:rPr>
          <w:rFonts w:eastAsia="MS Mincho"/>
        </w:rPr>
        <w:t xml:space="preserve">author’s claim under article 14 is inadmissible </w:t>
      </w:r>
      <w:r w:rsidR="0039015E" w:rsidRPr="0039015E">
        <w:rPr>
          <w:rFonts w:eastAsia="MS Mincho"/>
          <w:i/>
        </w:rPr>
        <w:t>ratione materiae</w:t>
      </w:r>
      <w:r w:rsidR="0039015E">
        <w:rPr>
          <w:rFonts w:eastAsia="MS Mincho"/>
        </w:rPr>
        <w:t xml:space="preserve"> because th</w:t>
      </w:r>
      <w:r w:rsidR="00B06656">
        <w:rPr>
          <w:rFonts w:eastAsia="MS Mincho"/>
        </w:rPr>
        <w:t>at</w:t>
      </w:r>
      <w:r w:rsidR="0039015E">
        <w:rPr>
          <w:rFonts w:eastAsia="MS Mincho"/>
        </w:rPr>
        <w:t xml:space="preserve"> provision does not apply to asylum proceedings. </w:t>
      </w:r>
      <w:r w:rsidR="00467039">
        <w:t xml:space="preserve">The Committee refers to its jurisprudence that proceedings relating to the expulsion of aliens do not fall within the ambit of a determination of “rights and obligations in a suit at law” within the meaning of article 14 </w:t>
      </w:r>
      <w:r w:rsidR="00B06656">
        <w:t>(</w:t>
      </w:r>
      <w:r w:rsidR="00467039">
        <w:t>1</w:t>
      </w:r>
      <w:r w:rsidR="00B06656">
        <w:t>)</w:t>
      </w:r>
      <w:r w:rsidR="00467039">
        <w:t xml:space="preserve"> but are governed by </w:t>
      </w:r>
      <w:r w:rsidR="00467039">
        <w:lastRenderedPageBreak/>
        <w:t>article 13 of the Covenant.</w:t>
      </w:r>
      <w:r w:rsidR="00467039" w:rsidRPr="001314F9">
        <w:rPr>
          <w:rStyle w:val="FootnoteReference"/>
        </w:rPr>
        <w:footnoteReference w:id="16"/>
      </w:r>
      <w:r w:rsidR="00467039">
        <w:t xml:space="preserve"> The Committee therefore considers that the author’s claim under article 14 is inadmissible </w:t>
      </w:r>
      <w:r w:rsidR="00467039">
        <w:rPr>
          <w:i/>
        </w:rPr>
        <w:t>ratione materiae</w:t>
      </w:r>
      <w:r w:rsidR="00467039">
        <w:t xml:space="preserve"> pursuant to article 3 of the Optional Protocol.</w:t>
      </w:r>
      <w:r w:rsidR="003C0482">
        <w:rPr>
          <w:rStyle w:val="FootnoteReference"/>
        </w:rPr>
        <w:t xml:space="preserve"> </w:t>
      </w:r>
    </w:p>
    <w:p w14:paraId="3312E036" w14:textId="6D153C2E" w:rsidR="00A9014E" w:rsidRPr="0059539D" w:rsidRDefault="002F4AB7">
      <w:pPr>
        <w:spacing w:after="120"/>
        <w:ind w:left="1134" w:right="1134"/>
        <w:jc w:val="both"/>
        <w:rPr>
          <w:lang w:val="en-US"/>
        </w:rPr>
      </w:pPr>
      <w:r>
        <w:rPr>
          <w:rFonts w:eastAsia="MS Mincho"/>
        </w:rPr>
        <w:t>7</w:t>
      </w:r>
      <w:r w:rsidR="006F1676" w:rsidRPr="00463B9A">
        <w:rPr>
          <w:rFonts w:eastAsia="MS Mincho"/>
        </w:rPr>
        <w:t>.</w:t>
      </w:r>
      <w:r w:rsidR="001E3545">
        <w:rPr>
          <w:rFonts w:eastAsia="MS Mincho"/>
        </w:rPr>
        <w:t>7</w:t>
      </w:r>
      <w:r w:rsidR="003C0482">
        <w:rPr>
          <w:rFonts w:eastAsia="MS Mincho"/>
        </w:rPr>
        <w:tab/>
      </w:r>
      <w:r w:rsidR="00A9014E" w:rsidRPr="00CD71F6">
        <w:t>The Committee therefore decides:</w:t>
      </w:r>
    </w:p>
    <w:p w14:paraId="76303774" w14:textId="721F82E1" w:rsidR="00A9014E" w:rsidRPr="0059539D" w:rsidRDefault="00A9014E" w:rsidP="00A9014E">
      <w:pPr>
        <w:pStyle w:val="SingleTxtG"/>
        <w:spacing w:line="240" w:lineRule="auto"/>
        <w:rPr>
          <w:lang w:val="en-US"/>
        </w:rPr>
      </w:pPr>
      <w:r w:rsidRPr="0059539D">
        <w:rPr>
          <w:lang w:val="en-US"/>
        </w:rPr>
        <w:tab/>
      </w:r>
      <w:r>
        <w:t>(a)</w:t>
      </w:r>
      <w:r w:rsidRPr="001B7D7D">
        <w:tab/>
        <w:t>That the communication is inadmissible under article</w:t>
      </w:r>
      <w:r>
        <w:t>s</w:t>
      </w:r>
      <w:r w:rsidRPr="001B7D7D">
        <w:t xml:space="preserve"> </w:t>
      </w:r>
      <w:r>
        <w:t>2 and 3</w:t>
      </w:r>
      <w:r w:rsidRPr="001B7D7D">
        <w:t xml:space="preserve"> of the Optional Protocol;</w:t>
      </w:r>
    </w:p>
    <w:p w14:paraId="32CC540E" w14:textId="4984707D" w:rsidR="00A9014E" w:rsidRPr="0059539D" w:rsidRDefault="00A9014E" w:rsidP="00A9014E">
      <w:pPr>
        <w:pStyle w:val="SingleTxtG"/>
        <w:spacing w:line="240" w:lineRule="auto"/>
        <w:rPr>
          <w:lang w:val="en-US"/>
        </w:rPr>
      </w:pPr>
      <w:r w:rsidRPr="0059539D">
        <w:rPr>
          <w:lang w:val="en-US"/>
        </w:rPr>
        <w:tab/>
      </w:r>
      <w:r>
        <w:t>(b)</w:t>
      </w:r>
      <w:r w:rsidRPr="001B7D7D">
        <w:tab/>
        <w:t xml:space="preserve">That the </w:t>
      </w:r>
      <w:r w:rsidR="009358FA">
        <w:t xml:space="preserve">present </w:t>
      </w:r>
      <w:r w:rsidRPr="001B7D7D">
        <w:t>decision be transmitted to the State party and to the author.</w:t>
      </w:r>
    </w:p>
    <w:p w14:paraId="3F960D2E" w14:textId="77777777" w:rsidR="00B61233" w:rsidRPr="00620BFF" w:rsidRDefault="006F1676" w:rsidP="00620BFF">
      <w:pPr>
        <w:pStyle w:val="SingleTxtG"/>
        <w:spacing w:before="240" w:after="0"/>
        <w:jc w:val="center"/>
        <w:rPr>
          <w:rFonts w:eastAsia="MS Mincho"/>
          <w:u w:val="single"/>
        </w:rPr>
      </w:pPr>
      <w:r>
        <w:rPr>
          <w:rFonts w:eastAsia="MS Mincho"/>
          <w:u w:val="single"/>
        </w:rPr>
        <w:tab/>
      </w:r>
      <w:r>
        <w:rPr>
          <w:rFonts w:eastAsia="MS Mincho"/>
          <w:u w:val="single"/>
        </w:rPr>
        <w:tab/>
      </w:r>
      <w:r>
        <w:rPr>
          <w:rFonts w:eastAsia="MS Mincho"/>
          <w:u w:val="single"/>
        </w:rPr>
        <w:tab/>
      </w:r>
    </w:p>
    <w:sectPr w:rsidR="00B61233" w:rsidRPr="00620BFF" w:rsidSect="009475EF">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ABC25" w14:textId="77777777" w:rsidR="006072DC" w:rsidRDefault="006072DC"/>
  </w:endnote>
  <w:endnote w:type="continuationSeparator" w:id="0">
    <w:p w14:paraId="0CDCBE6A" w14:textId="77777777" w:rsidR="006072DC" w:rsidRDefault="006072DC"/>
  </w:endnote>
  <w:endnote w:type="continuationNotice" w:id="1">
    <w:p w14:paraId="04DFB485" w14:textId="77777777" w:rsidR="006072DC" w:rsidRDefault="00607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D0A6" w14:textId="77777777" w:rsidR="008440D2" w:rsidRPr="00A40224" w:rsidRDefault="008440D2" w:rsidP="00A40224">
    <w:pPr>
      <w:pStyle w:val="Footer"/>
      <w:tabs>
        <w:tab w:val="right" w:pos="9638"/>
      </w:tabs>
    </w:pPr>
    <w:r w:rsidRPr="00A40224">
      <w:rPr>
        <w:b/>
        <w:sz w:val="18"/>
      </w:rPr>
      <w:fldChar w:fldCharType="begin"/>
    </w:r>
    <w:r w:rsidRPr="00A40224">
      <w:rPr>
        <w:b/>
        <w:sz w:val="18"/>
      </w:rPr>
      <w:instrText xml:space="preserve"> PAGE  \* MERGEFORMAT </w:instrText>
    </w:r>
    <w:r w:rsidRPr="00A40224">
      <w:rPr>
        <w:b/>
        <w:sz w:val="18"/>
      </w:rPr>
      <w:fldChar w:fldCharType="separate"/>
    </w:r>
    <w:r w:rsidR="00F61B02">
      <w:rPr>
        <w:b/>
        <w:noProof/>
        <w:sz w:val="18"/>
      </w:rPr>
      <w:t>2</w:t>
    </w:r>
    <w:r w:rsidRPr="00A402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A2B8" w14:textId="77777777" w:rsidR="008440D2" w:rsidRPr="00A40224" w:rsidRDefault="008440D2" w:rsidP="00A40224">
    <w:pPr>
      <w:pStyle w:val="Footer"/>
      <w:tabs>
        <w:tab w:val="right" w:pos="9638"/>
      </w:tabs>
      <w:rPr>
        <w:b/>
        <w:sz w:val="18"/>
      </w:rPr>
    </w:pPr>
    <w:r>
      <w:tab/>
    </w:r>
    <w:r w:rsidRPr="00A40224">
      <w:rPr>
        <w:b/>
        <w:sz w:val="18"/>
      </w:rPr>
      <w:fldChar w:fldCharType="begin"/>
    </w:r>
    <w:r w:rsidRPr="00A40224">
      <w:rPr>
        <w:b/>
        <w:sz w:val="18"/>
      </w:rPr>
      <w:instrText xml:space="preserve"> PAGE  \* MERGEFORMAT </w:instrText>
    </w:r>
    <w:r w:rsidRPr="00A40224">
      <w:rPr>
        <w:b/>
        <w:sz w:val="18"/>
      </w:rPr>
      <w:fldChar w:fldCharType="separate"/>
    </w:r>
    <w:r w:rsidR="00F61B02">
      <w:rPr>
        <w:b/>
        <w:noProof/>
        <w:sz w:val="18"/>
      </w:rPr>
      <w:t>3</w:t>
    </w:r>
    <w:r w:rsidRPr="00A402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CE214" w14:textId="7607F8FB" w:rsidR="002D37E4" w:rsidRDefault="00D031AD" w:rsidP="00D031AD">
    <w:pPr>
      <w:pStyle w:val="Footer"/>
      <w:rPr>
        <w:sz w:val="20"/>
      </w:rPr>
    </w:pPr>
    <w:r w:rsidRPr="00D031AD">
      <w:rPr>
        <w:rFonts w:ascii="C39T30Lfz" w:hAnsi="C39T30Lfz"/>
        <w:noProof/>
        <w:sz w:val="56"/>
        <w:u w:val="single"/>
        <w:lang w:val="en-US"/>
      </w:rPr>
      <w:drawing>
        <wp:anchor distT="0" distB="0" distL="114300" distR="114300" simplePos="0" relativeHeight="251659264" behindDoc="0" locked="0" layoutInCell="1" allowOverlap="1" wp14:anchorId="1C146029" wp14:editId="54B9C6AF">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2AE7AFC5" w14:textId="7567FBAC" w:rsidR="00D031AD" w:rsidRDefault="00D031AD" w:rsidP="00D031AD">
    <w:pPr>
      <w:pStyle w:val="Footer"/>
      <w:ind w:right="1134"/>
      <w:rPr>
        <w:sz w:val="20"/>
      </w:rPr>
    </w:pPr>
    <w:r>
      <w:rPr>
        <w:sz w:val="20"/>
      </w:rPr>
      <w:t>GE.16-11836(E)</w:t>
    </w:r>
  </w:p>
  <w:p w14:paraId="312EE355" w14:textId="4877F185" w:rsidR="00D031AD" w:rsidRPr="00D031AD" w:rsidRDefault="00D031AD" w:rsidP="00D031A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604A0DD" wp14:editId="02B25FB5">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6/D/2357/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357/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0E84" w14:textId="77777777" w:rsidR="006072DC" w:rsidRPr="000B175B" w:rsidRDefault="006072DC" w:rsidP="000B175B">
      <w:pPr>
        <w:tabs>
          <w:tab w:val="right" w:pos="2155"/>
        </w:tabs>
        <w:spacing w:after="80"/>
        <w:ind w:left="680"/>
        <w:rPr>
          <w:u w:val="single"/>
        </w:rPr>
      </w:pPr>
      <w:r>
        <w:rPr>
          <w:u w:val="single"/>
        </w:rPr>
        <w:tab/>
      </w:r>
    </w:p>
  </w:footnote>
  <w:footnote w:type="continuationSeparator" w:id="0">
    <w:p w14:paraId="6514D45A" w14:textId="77777777" w:rsidR="006072DC" w:rsidRPr="00FC68B7" w:rsidRDefault="006072DC" w:rsidP="00FC68B7">
      <w:pPr>
        <w:tabs>
          <w:tab w:val="left" w:pos="2155"/>
        </w:tabs>
        <w:spacing w:after="80"/>
        <w:ind w:left="680"/>
        <w:rPr>
          <w:u w:val="single"/>
        </w:rPr>
      </w:pPr>
      <w:r>
        <w:rPr>
          <w:u w:val="single"/>
        </w:rPr>
        <w:tab/>
      </w:r>
    </w:p>
  </w:footnote>
  <w:footnote w:type="continuationNotice" w:id="1">
    <w:p w14:paraId="476EBEC4" w14:textId="77777777" w:rsidR="006072DC" w:rsidRDefault="006072DC"/>
  </w:footnote>
  <w:footnote w:id="2">
    <w:p w14:paraId="79ACE455" w14:textId="77777777" w:rsidR="004A1A9D" w:rsidRPr="000A6445" w:rsidRDefault="004A1A9D" w:rsidP="004A1A9D">
      <w:pPr>
        <w:pStyle w:val="FootnoteText"/>
      </w:pPr>
      <w:r w:rsidRPr="009475EF">
        <w:rPr>
          <w:rStyle w:val="FootnoteReference"/>
          <w:sz w:val="20"/>
          <w:vertAlign w:val="baseline"/>
        </w:rPr>
        <w:tab/>
        <w:t>*</w:t>
      </w:r>
      <w:r>
        <w:rPr>
          <w:rStyle w:val="FootnoteReference"/>
          <w:sz w:val="20"/>
          <w:vertAlign w:val="baseline"/>
        </w:rPr>
        <w:tab/>
      </w:r>
      <w:r>
        <w:t xml:space="preserve">Adopted by the Committee </w:t>
      </w:r>
      <w:r w:rsidRPr="009E4187">
        <w:t xml:space="preserve">at its </w:t>
      </w:r>
      <w:r w:rsidRPr="000A6445">
        <w:t>116th</w:t>
      </w:r>
      <w:r w:rsidRPr="009E4187">
        <w:t xml:space="preserve"> session (</w:t>
      </w:r>
      <w:r w:rsidRPr="000A6445">
        <w:t>7-31 March 2016</w:t>
      </w:r>
      <w:r w:rsidRPr="009E4187">
        <w:t>).</w:t>
      </w:r>
    </w:p>
  </w:footnote>
  <w:footnote w:id="3">
    <w:p w14:paraId="78C09D24" w14:textId="36010C17" w:rsidR="004A1A9D" w:rsidRPr="00404ADD" w:rsidRDefault="004A1A9D" w:rsidP="00905FFA">
      <w:pPr>
        <w:pStyle w:val="FootnoteText"/>
      </w:pPr>
      <w:r w:rsidRPr="009475EF">
        <w:rPr>
          <w:rStyle w:val="FootnoteReference"/>
          <w:sz w:val="20"/>
          <w:vertAlign w:val="baseline"/>
        </w:rPr>
        <w:tab/>
        <w:t>**</w:t>
      </w:r>
      <w:r w:rsidRPr="00404ADD">
        <w:tab/>
      </w:r>
      <w:r>
        <w:t>The following members of the Committee participated in the examination of the communication:</w:t>
      </w:r>
      <w:r w:rsidRPr="00465BDB">
        <w:t xml:space="preserve"> </w:t>
      </w:r>
      <w:r w:rsidRPr="00686139">
        <w:t>Yadh Ben Achour, Lazhari Bouzid, Sarah Cleveland, Olivier de Frouville, Ahmed Amin Fathalla, Yuji Iwasawa, Ivana Jeli</w:t>
      </w:r>
      <w:r w:rsidR="0086223D">
        <w:t>ć</w:t>
      </w:r>
      <w:r w:rsidRPr="00686139">
        <w:t xml:space="preserve">, </w:t>
      </w:r>
      <w:r w:rsidRPr="009475EF">
        <w:t>Dunkan Muhumuza Laki, Photini Pazartzis</w:t>
      </w:r>
      <w:r w:rsidRPr="00686139">
        <w:t>, Sir Nigel Rodley, Victor</w:t>
      </w:r>
      <w:r w:rsidR="005B4793">
        <w:t> </w:t>
      </w:r>
      <w:r w:rsidRPr="00686139">
        <w:t>Manuel Rodríguez-Rescia, Fabián Omar Salvioli, Dheerujlall Seetulsingh, Anja Seibert-Fohr, Yuval Shany, Konstantine Vardzelashvili and Margo Waterval.</w:t>
      </w:r>
    </w:p>
  </w:footnote>
  <w:footnote w:id="4">
    <w:p w14:paraId="27F27631" w14:textId="7A610A11" w:rsidR="00FF2AFB" w:rsidRPr="007C45B3" w:rsidRDefault="005A714E">
      <w:pPr>
        <w:pStyle w:val="FootnoteText"/>
      </w:pPr>
      <w:r>
        <w:tab/>
      </w:r>
      <w:r w:rsidR="00FF2AFB" w:rsidRPr="001314F9">
        <w:rPr>
          <w:rStyle w:val="FootnoteReference"/>
        </w:rPr>
        <w:footnoteRef/>
      </w:r>
      <w:r>
        <w:tab/>
      </w:r>
      <w:r w:rsidR="00FF2AFB">
        <w:t xml:space="preserve">The author cites </w:t>
      </w:r>
      <w:r w:rsidR="00905FFA">
        <w:t>UNHCR</w:t>
      </w:r>
      <w:r w:rsidR="00FF2AFB">
        <w:t>,</w:t>
      </w:r>
      <w:r w:rsidR="00FF2AFB">
        <w:rPr>
          <w:szCs w:val="18"/>
        </w:rPr>
        <w:t xml:space="preserve"> </w:t>
      </w:r>
      <w:r w:rsidR="00905FFA" w:rsidRPr="009475EF">
        <w:rPr>
          <w:i/>
          <w:iCs/>
        </w:rPr>
        <w:t>UNHCR</w:t>
      </w:r>
      <w:r w:rsidR="00905FFA" w:rsidRPr="00C76343">
        <w:rPr>
          <w:i/>
          <w:szCs w:val="18"/>
        </w:rPr>
        <w:t xml:space="preserve"> </w:t>
      </w:r>
      <w:r w:rsidR="00FF2AFB" w:rsidRPr="00C76343">
        <w:rPr>
          <w:i/>
          <w:szCs w:val="18"/>
        </w:rPr>
        <w:t xml:space="preserve">Eligibility Guidelines for </w:t>
      </w:r>
      <w:r w:rsidR="00905FFA">
        <w:rPr>
          <w:i/>
          <w:szCs w:val="18"/>
        </w:rPr>
        <w:t xml:space="preserve">Assessing the International Protection Needs of Asylum Seekers from </w:t>
      </w:r>
      <w:r w:rsidR="00FF2AFB" w:rsidRPr="00C76343">
        <w:rPr>
          <w:i/>
          <w:szCs w:val="18"/>
        </w:rPr>
        <w:t>Afghanistan</w:t>
      </w:r>
      <w:r w:rsidR="00C76343">
        <w:rPr>
          <w:szCs w:val="18"/>
        </w:rPr>
        <w:t xml:space="preserve"> </w:t>
      </w:r>
      <w:r w:rsidR="00905FFA" w:rsidRPr="00905FFA">
        <w:rPr>
          <w:szCs w:val="18"/>
        </w:rPr>
        <w:t>(</w:t>
      </w:r>
      <w:r w:rsidR="00C76343">
        <w:rPr>
          <w:szCs w:val="18"/>
        </w:rPr>
        <w:t>6 August 2013</w:t>
      </w:r>
      <w:r w:rsidR="00905FFA">
        <w:rPr>
          <w:szCs w:val="18"/>
        </w:rPr>
        <w:t>)</w:t>
      </w:r>
      <w:r w:rsidR="00C76343">
        <w:rPr>
          <w:szCs w:val="18"/>
        </w:rPr>
        <w:t>,</w:t>
      </w:r>
      <w:r w:rsidR="00FF2AFB">
        <w:rPr>
          <w:szCs w:val="18"/>
        </w:rPr>
        <w:t xml:space="preserve"> p. 6</w:t>
      </w:r>
      <w:r w:rsidR="00FF2AFB" w:rsidRPr="00A03E16">
        <w:rPr>
          <w:szCs w:val="18"/>
        </w:rPr>
        <w:t>8</w:t>
      </w:r>
      <w:r w:rsidR="00FF2AFB">
        <w:rPr>
          <w:szCs w:val="18"/>
        </w:rPr>
        <w:t>.</w:t>
      </w:r>
    </w:p>
  </w:footnote>
  <w:footnote w:id="5">
    <w:p w14:paraId="0E8DB6B1" w14:textId="77CC338C" w:rsidR="000C2120" w:rsidRPr="0001631B" w:rsidRDefault="005A714E" w:rsidP="00905FFA">
      <w:pPr>
        <w:pStyle w:val="FootnoteText"/>
      </w:pPr>
      <w:r>
        <w:tab/>
      </w:r>
      <w:r w:rsidR="000C2120" w:rsidRPr="001314F9">
        <w:rPr>
          <w:rStyle w:val="FootnoteReference"/>
        </w:rPr>
        <w:footnoteRef/>
      </w:r>
      <w:r>
        <w:tab/>
      </w:r>
      <w:r w:rsidR="000C2120">
        <w:rPr>
          <w:lang w:val="en-US"/>
        </w:rPr>
        <w:t xml:space="preserve">The State party cites article 39 of </w:t>
      </w:r>
      <w:r w:rsidR="00F546FB">
        <w:rPr>
          <w:lang w:val="en-US"/>
        </w:rPr>
        <w:t>d</w:t>
      </w:r>
      <w:r w:rsidR="000C2120">
        <w:rPr>
          <w:lang w:val="en-US"/>
        </w:rPr>
        <w:t>irective 2005/85/EC.</w:t>
      </w:r>
      <w:r w:rsidR="000C2120">
        <w:t xml:space="preserve"> </w:t>
      </w:r>
    </w:p>
  </w:footnote>
  <w:footnote w:id="6">
    <w:p w14:paraId="56B02B93" w14:textId="38A81BEC" w:rsidR="0091060F" w:rsidRPr="00A71AD5" w:rsidRDefault="005A714E">
      <w:pPr>
        <w:pStyle w:val="FootnoteText"/>
      </w:pPr>
      <w:r>
        <w:tab/>
      </w:r>
      <w:r w:rsidR="0091060F" w:rsidRPr="001314F9">
        <w:rPr>
          <w:rStyle w:val="FootnoteReference"/>
        </w:rPr>
        <w:footnoteRef/>
      </w:r>
      <w:r>
        <w:tab/>
      </w:r>
      <w:r w:rsidR="0091060F">
        <w:rPr>
          <w:lang w:val="en-US"/>
        </w:rPr>
        <w:t xml:space="preserve">The State party refers to the </w:t>
      </w:r>
      <w:r w:rsidR="00F90582">
        <w:rPr>
          <w:lang w:val="en-US"/>
        </w:rPr>
        <w:t>Board’s</w:t>
      </w:r>
      <w:r w:rsidR="0091060F">
        <w:rPr>
          <w:lang w:val="en-US"/>
        </w:rPr>
        <w:t xml:space="preserve"> citation of the report of the fact-finding mission of the Danish Immigration Service to Kabul</w:t>
      </w:r>
      <w:r w:rsidR="001D03ED">
        <w:rPr>
          <w:lang w:val="en-US"/>
        </w:rPr>
        <w:t xml:space="preserve"> entitled</w:t>
      </w:r>
      <w:r w:rsidR="0091060F">
        <w:rPr>
          <w:lang w:val="en-US"/>
        </w:rPr>
        <w:t xml:space="preserve"> “Country of </w:t>
      </w:r>
      <w:r w:rsidR="001D03ED">
        <w:rPr>
          <w:lang w:val="en-US"/>
        </w:rPr>
        <w:t>o</w:t>
      </w:r>
      <w:r w:rsidR="0091060F">
        <w:rPr>
          <w:lang w:val="en-US"/>
        </w:rPr>
        <w:t xml:space="preserve">rigin </w:t>
      </w:r>
      <w:r w:rsidR="001D03ED">
        <w:rPr>
          <w:lang w:val="en-US"/>
        </w:rPr>
        <w:t>i</w:t>
      </w:r>
      <w:r w:rsidR="0091060F">
        <w:rPr>
          <w:lang w:val="en-US"/>
        </w:rPr>
        <w:t xml:space="preserve">nformation for </w:t>
      </w:r>
      <w:r w:rsidR="001D03ED">
        <w:rPr>
          <w:lang w:val="en-US"/>
        </w:rPr>
        <w:t>u</w:t>
      </w:r>
      <w:r w:rsidR="0091060F">
        <w:rPr>
          <w:lang w:val="en-US"/>
        </w:rPr>
        <w:t xml:space="preserve">se in the </w:t>
      </w:r>
      <w:r w:rsidR="001D03ED">
        <w:rPr>
          <w:lang w:val="en-US"/>
        </w:rPr>
        <w:t>a</w:t>
      </w:r>
      <w:r w:rsidR="0091060F">
        <w:rPr>
          <w:lang w:val="en-US"/>
        </w:rPr>
        <w:t xml:space="preserve">sylum </w:t>
      </w:r>
      <w:r w:rsidR="001D03ED">
        <w:rPr>
          <w:lang w:val="en-US"/>
        </w:rPr>
        <w:t>d</w:t>
      </w:r>
      <w:r w:rsidR="0091060F">
        <w:rPr>
          <w:lang w:val="en-US"/>
        </w:rPr>
        <w:t xml:space="preserve">etermination </w:t>
      </w:r>
      <w:r w:rsidR="001D03ED">
        <w:rPr>
          <w:lang w:val="en-US"/>
        </w:rPr>
        <w:t>p</w:t>
      </w:r>
      <w:r w:rsidR="0091060F">
        <w:rPr>
          <w:lang w:val="en-US"/>
        </w:rPr>
        <w:t>rocess”</w:t>
      </w:r>
      <w:r w:rsidR="00F82123">
        <w:rPr>
          <w:lang w:val="en-US"/>
        </w:rPr>
        <w:t xml:space="preserve"> </w:t>
      </w:r>
      <w:r w:rsidR="001D03ED">
        <w:rPr>
          <w:lang w:val="en-US"/>
        </w:rPr>
        <w:t>(</w:t>
      </w:r>
      <w:r w:rsidR="00F82123">
        <w:rPr>
          <w:lang w:val="en-US"/>
        </w:rPr>
        <w:t>29 May 2012</w:t>
      </w:r>
      <w:r w:rsidR="001D03ED">
        <w:rPr>
          <w:lang w:val="en-US"/>
        </w:rPr>
        <w:t>)</w:t>
      </w:r>
      <w:r w:rsidR="0091060F">
        <w:rPr>
          <w:lang w:val="en-US"/>
        </w:rPr>
        <w:t>.</w:t>
      </w:r>
    </w:p>
  </w:footnote>
  <w:footnote w:id="7">
    <w:p w14:paraId="6DBD331B" w14:textId="2FBB6ABD" w:rsidR="00E93028" w:rsidRPr="0030011B" w:rsidRDefault="005A714E">
      <w:pPr>
        <w:pStyle w:val="FootnoteText"/>
        <w:rPr>
          <w:lang w:val="en-US"/>
        </w:rPr>
      </w:pPr>
      <w:r>
        <w:tab/>
      </w:r>
      <w:r w:rsidR="00E93028" w:rsidRPr="001314F9">
        <w:rPr>
          <w:rStyle w:val="FootnoteReference"/>
        </w:rPr>
        <w:footnoteRef/>
      </w:r>
      <w:r>
        <w:tab/>
      </w:r>
      <w:r w:rsidR="00E93028">
        <w:rPr>
          <w:lang w:val="en-US"/>
        </w:rPr>
        <w:t xml:space="preserve">The author cites </w:t>
      </w:r>
      <w:r w:rsidR="006A5E68">
        <w:rPr>
          <w:lang w:val="en-US"/>
        </w:rPr>
        <w:t>UNHCR</w:t>
      </w:r>
      <w:r w:rsidR="00E93028">
        <w:rPr>
          <w:lang w:val="en-US"/>
        </w:rPr>
        <w:t xml:space="preserve">, </w:t>
      </w:r>
      <w:r w:rsidR="00E93028" w:rsidRPr="0030011B">
        <w:rPr>
          <w:i/>
          <w:lang w:val="en-US"/>
        </w:rPr>
        <w:t>Beyond Proof</w:t>
      </w:r>
      <w:r w:rsidR="006A5E68">
        <w:rPr>
          <w:i/>
          <w:lang w:val="en-US"/>
        </w:rPr>
        <w:t>:</w:t>
      </w:r>
      <w:r w:rsidR="00E93028" w:rsidRPr="0030011B">
        <w:rPr>
          <w:i/>
          <w:lang w:val="en-US"/>
        </w:rPr>
        <w:t xml:space="preserve"> Credibility Assessment in </w:t>
      </w:r>
      <w:r w:rsidR="00544938">
        <w:rPr>
          <w:i/>
          <w:lang w:val="en-US"/>
        </w:rPr>
        <w:t>EU</w:t>
      </w:r>
      <w:r w:rsidR="00E93028" w:rsidRPr="0030011B">
        <w:rPr>
          <w:i/>
          <w:lang w:val="en-US"/>
        </w:rPr>
        <w:t xml:space="preserve"> Asylum System</w:t>
      </w:r>
      <w:r w:rsidR="00544938">
        <w:rPr>
          <w:i/>
          <w:lang w:val="en-US"/>
        </w:rPr>
        <w:t>s</w:t>
      </w:r>
      <w:r w:rsidR="00544938">
        <w:rPr>
          <w:lang w:val="en-US"/>
        </w:rPr>
        <w:t xml:space="preserve"> </w:t>
      </w:r>
      <w:r w:rsidR="006A5E68">
        <w:rPr>
          <w:lang w:val="en-US"/>
        </w:rPr>
        <w:t>(</w:t>
      </w:r>
      <w:r w:rsidR="00544938">
        <w:rPr>
          <w:lang w:val="en-US"/>
        </w:rPr>
        <w:t>May 2013</w:t>
      </w:r>
      <w:r w:rsidR="006A5E68">
        <w:rPr>
          <w:lang w:val="en-US"/>
        </w:rPr>
        <w:t>)</w:t>
      </w:r>
      <w:r w:rsidR="00544938">
        <w:rPr>
          <w:lang w:val="en-US"/>
        </w:rPr>
        <w:t>,</w:t>
      </w:r>
      <w:r w:rsidR="00E93028">
        <w:rPr>
          <w:lang w:val="en-US"/>
        </w:rPr>
        <w:t xml:space="preserve"> p. 30.</w:t>
      </w:r>
    </w:p>
  </w:footnote>
  <w:footnote w:id="8">
    <w:p w14:paraId="482969CF" w14:textId="33D06594" w:rsidR="00664EE8" w:rsidRPr="00664EE8" w:rsidRDefault="005A714E">
      <w:pPr>
        <w:pStyle w:val="FootnoteText"/>
        <w:rPr>
          <w:lang w:val="en-US"/>
        </w:rPr>
      </w:pPr>
      <w:r>
        <w:tab/>
      </w:r>
      <w:r w:rsidR="00664EE8" w:rsidRPr="001314F9">
        <w:rPr>
          <w:rStyle w:val="FootnoteReference"/>
        </w:rPr>
        <w:footnoteRef/>
      </w:r>
      <w:r>
        <w:tab/>
      </w:r>
      <w:r w:rsidR="00664EE8">
        <w:rPr>
          <w:lang w:val="en-US"/>
        </w:rPr>
        <w:t xml:space="preserve">The State party cites, inter alia, </w:t>
      </w:r>
      <w:r w:rsidR="007F6346">
        <w:rPr>
          <w:lang w:val="en-US"/>
        </w:rPr>
        <w:t xml:space="preserve">communication No. 2186/2012, </w:t>
      </w:r>
      <w:r w:rsidR="007F6346" w:rsidRPr="007F6346">
        <w:rPr>
          <w:i/>
          <w:lang w:val="en-US"/>
        </w:rPr>
        <w:t>Mr. X and Mrs. X v. Denmark</w:t>
      </w:r>
      <w:r w:rsidR="007F6346">
        <w:rPr>
          <w:lang w:val="en-US"/>
        </w:rPr>
        <w:t xml:space="preserve">, Views adopted on 22 October 2014, para. 7.5; </w:t>
      </w:r>
      <w:r w:rsidR="00664EE8">
        <w:rPr>
          <w:lang w:val="en-US"/>
        </w:rPr>
        <w:t xml:space="preserve">European Court of Human Rights, </w:t>
      </w:r>
      <w:r w:rsidR="00664EE8" w:rsidRPr="00664EE8">
        <w:rPr>
          <w:i/>
          <w:lang w:val="en-US"/>
        </w:rPr>
        <w:t>R.C. v. Sweden</w:t>
      </w:r>
      <w:r w:rsidR="00664EE8">
        <w:rPr>
          <w:lang w:val="en-US"/>
        </w:rPr>
        <w:t xml:space="preserve">, Application No. 41827/07, </w:t>
      </w:r>
      <w:r w:rsidR="003A5497">
        <w:rPr>
          <w:lang w:val="en-US"/>
        </w:rPr>
        <w:t>j</w:t>
      </w:r>
      <w:r w:rsidR="008A5A24">
        <w:rPr>
          <w:lang w:val="en-US"/>
        </w:rPr>
        <w:t>udgment</w:t>
      </w:r>
      <w:r w:rsidR="00664EE8">
        <w:rPr>
          <w:lang w:val="en-US"/>
        </w:rPr>
        <w:t xml:space="preserve"> of 9 March 2010, para. 52.</w:t>
      </w:r>
    </w:p>
  </w:footnote>
  <w:footnote w:id="9">
    <w:p w14:paraId="0747BCC9" w14:textId="7A752BB7" w:rsidR="004F3CBF" w:rsidRPr="004F3CBF" w:rsidRDefault="005A714E" w:rsidP="005A714E">
      <w:pPr>
        <w:pStyle w:val="FootnoteText"/>
        <w:rPr>
          <w:lang w:val="en-US"/>
        </w:rPr>
      </w:pPr>
      <w:r>
        <w:tab/>
      </w:r>
      <w:r w:rsidR="004F3CBF" w:rsidRPr="001314F9">
        <w:rPr>
          <w:rStyle w:val="FootnoteReference"/>
        </w:rPr>
        <w:footnoteRef/>
      </w:r>
      <w:r>
        <w:tab/>
      </w:r>
      <w:r w:rsidR="004F3CBF">
        <w:rPr>
          <w:lang w:val="en-US"/>
        </w:rPr>
        <w:t>The State party cites</w:t>
      </w:r>
      <w:r w:rsidR="00F33467">
        <w:rPr>
          <w:lang w:val="en-US"/>
        </w:rPr>
        <w:t xml:space="preserve"> communication No. 58/1979,</w:t>
      </w:r>
      <w:r w:rsidR="004F3CBF">
        <w:rPr>
          <w:lang w:val="en-US"/>
        </w:rPr>
        <w:t xml:space="preserve"> </w:t>
      </w:r>
      <w:r w:rsidR="004F3CBF" w:rsidRPr="00F33467">
        <w:rPr>
          <w:i/>
          <w:lang w:val="en-US"/>
        </w:rPr>
        <w:t>Maroufidou v. Sweden</w:t>
      </w:r>
      <w:r w:rsidR="004F3CBF">
        <w:rPr>
          <w:lang w:val="en-US"/>
        </w:rPr>
        <w:t>,</w:t>
      </w:r>
      <w:r w:rsidR="00F33467">
        <w:rPr>
          <w:lang w:val="en-US"/>
        </w:rPr>
        <w:t xml:space="preserve"> Views adopted on </w:t>
      </w:r>
      <w:r w:rsidR="00F33467">
        <w:rPr>
          <w:color w:val="000000"/>
        </w:rPr>
        <w:t>9 April 1981.</w:t>
      </w:r>
    </w:p>
  </w:footnote>
  <w:footnote w:id="10">
    <w:p w14:paraId="0AF8653A" w14:textId="0DB068A4" w:rsidR="00A11A66" w:rsidRPr="00463B9A" w:rsidRDefault="005A714E">
      <w:pPr>
        <w:pStyle w:val="FootnoteText"/>
        <w:rPr>
          <w:szCs w:val="18"/>
        </w:rPr>
      </w:pPr>
      <w:r>
        <w:rPr>
          <w:szCs w:val="18"/>
        </w:rPr>
        <w:tab/>
      </w:r>
      <w:r w:rsidR="00A11A66" w:rsidRPr="001314F9">
        <w:rPr>
          <w:rStyle w:val="FootnoteReference"/>
        </w:rPr>
        <w:footnoteRef/>
      </w:r>
      <w:r>
        <w:rPr>
          <w:szCs w:val="18"/>
        </w:rPr>
        <w:tab/>
      </w:r>
      <w:r w:rsidR="00A11A66" w:rsidRPr="00463B9A">
        <w:rPr>
          <w:szCs w:val="18"/>
        </w:rPr>
        <w:t>See, inter alia, communication</w:t>
      </w:r>
      <w:r w:rsidR="003A5497">
        <w:rPr>
          <w:szCs w:val="18"/>
        </w:rPr>
        <w:t>s</w:t>
      </w:r>
      <w:r w:rsidR="00A11A66" w:rsidRPr="00463B9A">
        <w:rPr>
          <w:szCs w:val="18"/>
        </w:rPr>
        <w:t xml:space="preserve"> No. 2393/2014, </w:t>
      </w:r>
      <w:r w:rsidR="00A11A66" w:rsidRPr="00463B9A">
        <w:rPr>
          <w:i/>
          <w:szCs w:val="18"/>
        </w:rPr>
        <w:t>K v. Denmark</w:t>
      </w:r>
      <w:r w:rsidR="00A11A66" w:rsidRPr="00463B9A">
        <w:rPr>
          <w:szCs w:val="18"/>
        </w:rPr>
        <w:t>, Views adopted on 16 July 2015, para.</w:t>
      </w:r>
      <w:r w:rsidR="001314F9">
        <w:rPr>
          <w:szCs w:val="18"/>
        </w:rPr>
        <w:t> </w:t>
      </w:r>
      <w:r w:rsidR="00A11A66" w:rsidRPr="00463B9A">
        <w:rPr>
          <w:szCs w:val="18"/>
        </w:rPr>
        <w:t xml:space="preserve">7.3; </w:t>
      </w:r>
      <w:r w:rsidR="003A5497">
        <w:rPr>
          <w:szCs w:val="18"/>
        </w:rPr>
        <w:t>and</w:t>
      </w:r>
      <w:r w:rsidR="003A5497" w:rsidRPr="00463B9A">
        <w:rPr>
          <w:szCs w:val="18"/>
        </w:rPr>
        <w:t xml:space="preserve"> </w:t>
      </w:r>
      <w:r w:rsidR="00A11A66" w:rsidRPr="00463B9A">
        <w:rPr>
          <w:szCs w:val="18"/>
        </w:rPr>
        <w:t xml:space="preserve">No. 2272/2013, </w:t>
      </w:r>
      <w:r w:rsidR="00A11A66" w:rsidRPr="00463B9A">
        <w:rPr>
          <w:i/>
          <w:szCs w:val="18"/>
        </w:rPr>
        <w:t>P.T. v. Denmark</w:t>
      </w:r>
      <w:r w:rsidR="00A11A66" w:rsidRPr="00463B9A">
        <w:rPr>
          <w:szCs w:val="18"/>
        </w:rPr>
        <w:t>, Views adopted on 1 April 2015, para. 7.2.</w:t>
      </w:r>
    </w:p>
  </w:footnote>
  <w:footnote w:id="11">
    <w:p w14:paraId="76502521" w14:textId="1398A755" w:rsidR="00A11A66" w:rsidRPr="00463B9A" w:rsidRDefault="005A714E">
      <w:pPr>
        <w:pStyle w:val="FootnoteText"/>
        <w:rPr>
          <w:szCs w:val="18"/>
        </w:rPr>
      </w:pPr>
      <w:r>
        <w:rPr>
          <w:szCs w:val="18"/>
        </w:rPr>
        <w:tab/>
      </w:r>
      <w:r w:rsidR="00A11A66" w:rsidRPr="001314F9">
        <w:rPr>
          <w:rStyle w:val="FootnoteReference"/>
        </w:rPr>
        <w:footnoteRef/>
      </w:r>
      <w:r>
        <w:rPr>
          <w:szCs w:val="18"/>
        </w:rPr>
        <w:tab/>
      </w:r>
      <w:r w:rsidR="00A11A66">
        <w:rPr>
          <w:szCs w:val="18"/>
        </w:rPr>
        <w:t xml:space="preserve">See, </w:t>
      </w:r>
      <w:r w:rsidR="00A11A66" w:rsidRPr="005A714E">
        <w:rPr>
          <w:lang w:val="en-US"/>
        </w:rPr>
        <w:t>inter</w:t>
      </w:r>
      <w:r w:rsidR="00A11A66">
        <w:rPr>
          <w:szCs w:val="18"/>
        </w:rPr>
        <w:t xml:space="preserve"> alia, communication</w:t>
      </w:r>
      <w:r w:rsidR="003A5497">
        <w:rPr>
          <w:szCs w:val="18"/>
        </w:rPr>
        <w:t>s</w:t>
      </w:r>
      <w:r w:rsidR="00A11A66">
        <w:rPr>
          <w:szCs w:val="18"/>
        </w:rPr>
        <w:t xml:space="preserve"> No. 2474/2014, Views adopted on 5 November 2015</w:t>
      </w:r>
      <w:r w:rsidR="003A5497">
        <w:rPr>
          <w:szCs w:val="18"/>
        </w:rPr>
        <w:t>,</w:t>
      </w:r>
      <w:r w:rsidR="00A11A66">
        <w:rPr>
          <w:szCs w:val="18"/>
        </w:rPr>
        <w:t xml:space="preserve"> para. 7.3; </w:t>
      </w:r>
      <w:r w:rsidR="003A5497">
        <w:rPr>
          <w:szCs w:val="18"/>
        </w:rPr>
        <w:t>and</w:t>
      </w:r>
      <w:r w:rsidR="001314F9">
        <w:rPr>
          <w:szCs w:val="18"/>
        </w:rPr>
        <w:t> </w:t>
      </w:r>
      <w:r w:rsidR="003A5497">
        <w:rPr>
          <w:szCs w:val="18"/>
        </w:rPr>
        <w:t xml:space="preserve">No. </w:t>
      </w:r>
      <w:r w:rsidR="00A11A66">
        <w:rPr>
          <w:szCs w:val="18"/>
        </w:rPr>
        <w:t>2366/2014, Views adopted on 5 November 2015, para. 9.3.</w:t>
      </w:r>
      <w:r w:rsidR="00A11A66" w:rsidRPr="00463B9A">
        <w:rPr>
          <w:szCs w:val="18"/>
        </w:rPr>
        <w:t xml:space="preserve"> </w:t>
      </w:r>
    </w:p>
  </w:footnote>
  <w:footnote w:id="12">
    <w:p w14:paraId="7BAD52A1" w14:textId="625818F5" w:rsidR="00A11A66" w:rsidRPr="00463B9A" w:rsidRDefault="005A714E" w:rsidP="005A714E">
      <w:pPr>
        <w:pStyle w:val="FootnoteText"/>
        <w:rPr>
          <w:szCs w:val="18"/>
        </w:rPr>
      </w:pPr>
      <w:r>
        <w:rPr>
          <w:szCs w:val="18"/>
        </w:rPr>
        <w:tab/>
      </w:r>
      <w:r w:rsidR="00A11A66" w:rsidRPr="001314F9">
        <w:rPr>
          <w:rStyle w:val="FootnoteReference"/>
        </w:rPr>
        <w:footnoteRef/>
      </w:r>
      <w:r>
        <w:rPr>
          <w:szCs w:val="18"/>
        </w:rPr>
        <w:tab/>
      </w:r>
      <w:r w:rsidR="00A11A66" w:rsidRPr="00463B9A">
        <w:rPr>
          <w:szCs w:val="18"/>
        </w:rPr>
        <w:t xml:space="preserve">See, </w:t>
      </w:r>
      <w:r w:rsidR="00A11A66" w:rsidRPr="005A714E">
        <w:rPr>
          <w:lang w:val="en-US"/>
        </w:rPr>
        <w:t>inter</w:t>
      </w:r>
      <w:r w:rsidR="00A11A66" w:rsidRPr="00463B9A">
        <w:rPr>
          <w:szCs w:val="18"/>
        </w:rPr>
        <w:t xml:space="preserve"> alia, communication No. 2393/2014, </w:t>
      </w:r>
      <w:r w:rsidR="00A11A66" w:rsidRPr="00463B9A">
        <w:rPr>
          <w:i/>
          <w:szCs w:val="18"/>
        </w:rPr>
        <w:t>K v. Denmark</w:t>
      </w:r>
      <w:r w:rsidR="00A11A66" w:rsidRPr="00463B9A">
        <w:rPr>
          <w:szCs w:val="18"/>
        </w:rPr>
        <w:t>, Views adopted on 16 July 2015, para.</w:t>
      </w:r>
      <w:r w:rsidR="001314F9">
        <w:rPr>
          <w:szCs w:val="18"/>
        </w:rPr>
        <w:t> </w:t>
      </w:r>
      <w:r w:rsidR="00A11A66" w:rsidRPr="00463B9A">
        <w:rPr>
          <w:szCs w:val="18"/>
        </w:rPr>
        <w:t>7.4.</w:t>
      </w:r>
    </w:p>
  </w:footnote>
  <w:footnote w:id="13">
    <w:p w14:paraId="3B1F25CB" w14:textId="68C247DE" w:rsidR="00732E1F" w:rsidRPr="00A56FAD" w:rsidRDefault="005A714E" w:rsidP="005A714E">
      <w:pPr>
        <w:pStyle w:val="FootnoteText"/>
      </w:pPr>
      <w:r>
        <w:tab/>
      </w:r>
      <w:r w:rsidR="00732E1F" w:rsidRPr="001314F9">
        <w:rPr>
          <w:rStyle w:val="FootnoteReference"/>
        </w:rPr>
        <w:footnoteRef/>
      </w:r>
      <w:r>
        <w:tab/>
      </w:r>
      <w:r w:rsidR="00732E1F">
        <w:t xml:space="preserve">See </w:t>
      </w:r>
      <w:r w:rsidR="00732E1F" w:rsidRPr="005A714E">
        <w:rPr>
          <w:lang w:val="en-US"/>
        </w:rPr>
        <w:t>communication</w:t>
      </w:r>
      <w:r w:rsidR="00732E1F">
        <w:rPr>
          <w:szCs w:val="18"/>
        </w:rPr>
        <w:t xml:space="preserve"> No. 2351/2014, </w:t>
      </w:r>
      <w:r w:rsidR="00ED62C1" w:rsidRPr="00ED62C1">
        <w:rPr>
          <w:i/>
          <w:szCs w:val="18"/>
        </w:rPr>
        <w:t>R.G. et al. v. Denmark</w:t>
      </w:r>
      <w:r w:rsidR="00ED62C1">
        <w:rPr>
          <w:szCs w:val="18"/>
        </w:rPr>
        <w:t xml:space="preserve">, </w:t>
      </w:r>
      <w:r w:rsidR="00732E1F">
        <w:rPr>
          <w:szCs w:val="18"/>
        </w:rPr>
        <w:t>decision of inadmissibility adopted on 2</w:t>
      </w:r>
      <w:r w:rsidR="001314F9">
        <w:rPr>
          <w:szCs w:val="18"/>
        </w:rPr>
        <w:t> </w:t>
      </w:r>
      <w:r w:rsidR="00732E1F">
        <w:rPr>
          <w:szCs w:val="18"/>
        </w:rPr>
        <w:t>November 2015, para. 7.7.</w:t>
      </w:r>
    </w:p>
  </w:footnote>
  <w:footnote w:id="14">
    <w:p w14:paraId="30B0D0AC" w14:textId="40AEE473" w:rsidR="00A56FAD" w:rsidRPr="00A56FAD" w:rsidRDefault="005A714E">
      <w:pPr>
        <w:pStyle w:val="FootnoteText"/>
      </w:pPr>
      <w:r>
        <w:tab/>
      </w:r>
      <w:r w:rsidR="00A56FAD" w:rsidRPr="001314F9">
        <w:rPr>
          <w:rStyle w:val="FootnoteReference"/>
        </w:rPr>
        <w:footnoteRef/>
      </w:r>
      <w:r>
        <w:tab/>
      </w:r>
      <w:r w:rsidR="00EA2A3E">
        <w:t>Ibid.</w:t>
      </w:r>
      <w:r w:rsidR="00A56FAD">
        <w:rPr>
          <w:szCs w:val="18"/>
        </w:rPr>
        <w:t xml:space="preserve">, para. </w:t>
      </w:r>
      <w:r w:rsidR="000F6590">
        <w:rPr>
          <w:szCs w:val="18"/>
        </w:rPr>
        <w:t>7.6</w:t>
      </w:r>
      <w:r w:rsidR="00A56FAD">
        <w:rPr>
          <w:szCs w:val="18"/>
        </w:rPr>
        <w:t>.</w:t>
      </w:r>
    </w:p>
  </w:footnote>
  <w:footnote w:id="15">
    <w:p w14:paraId="2BB63981" w14:textId="107EDDDB" w:rsidR="008440D2" w:rsidRPr="00463B9A" w:rsidRDefault="005A714E">
      <w:pPr>
        <w:pStyle w:val="FootnoteText"/>
        <w:rPr>
          <w:szCs w:val="18"/>
        </w:rPr>
      </w:pPr>
      <w:r>
        <w:rPr>
          <w:szCs w:val="18"/>
        </w:rPr>
        <w:tab/>
      </w:r>
      <w:r w:rsidR="008440D2" w:rsidRPr="001314F9">
        <w:rPr>
          <w:rStyle w:val="FootnoteReference"/>
        </w:rPr>
        <w:footnoteRef/>
      </w:r>
      <w:r>
        <w:rPr>
          <w:szCs w:val="18"/>
        </w:rPr>
        <w:tab/>
      </w:r>
      <w:r w:rsidR="00B031E8">
        <w:rPr>
          <w:szCs w:val="18"/>
        </w:rPr>
        <w:t xml:space="preserve">See, </w:t>
      </w:r>
      <w:r w:rsidR="00B031E8" w:rsidRPr="005A714E">
        <w:rPr>
          <w:lang w:val="en-US"/>
        </w:rPr>
        <w:t>inter</w:t>
      </w:r>
      <w:r w:rsidR="00B031E8">
        <w:rPr>
          <w:szCs w:val="18"/>
        </w:rPr>
        <w:t xml:space="preserve"> alia, </w:t>
      </w:r>
      <w:r w:rsidR="00B97E15">
        <w:rPr>
          <w:szCs w:val="18"/>
        </w:rPr>
        <w:t xml:space="preserve">communications No. 2351/2014, </w:t>
      </w:r>
      <w:r w:rsidR="00ED62C1" w:rsidRPr="00ED62C1">
        <w:rPr>
          <w:i/>
          <w:szCs w:val="18"/>
        </w:rPr>
        <w:t>R.G. et al. v. Denmark</w:t>
      </w:r>
      <w:r w:rsidR="00ED62C1">
        <w:rPr>
          <w:szCs w:val="18"/>
        </w:rPr>
        <w:t xml:space="preserve">, </w:t>
      </w:r>
      <w:r w:rsidR="00B97E15">
        <w:rPr>
          <w:szCs w:val="18"/>
        </w:rPr>
        <w:t xml:space="preserve">decision of inadmissibility adopted on 2 November 2015, para. 7.8; </w:t>
      </w:r>
      <w:r w:rsidR="00EA2A3E">
        <w:rPr>
          <w:szCs w:val="18"/>
        </w:rPr>
        <w:t xml:space="preserve">and No. </w:t>
      </w:r>
      <w:r w:rsidR="00B031E8">
        <w:rPr>
          <w:szCs w:val="18"/>
        </w:rPr>
        <w:t xml:space="preserve">2426/2014, </w:t>
      </w:r>
      <w:r w:rsidR="00B031E8" w:rsidRPr="00DD1D31">
        <w:rPr>
          <w:i/>
          <w:szCs w:val="18"/>
        </w:rPr>
        <w:t>N v. Denmark</w:t>
      </w:r>
      <w:r w:rsidR="00B031E8">
        <w:rPr>
          <w:szCs w:val="18"/>
        </w:rPr>
        <w:t>, decision of inadmissibility adopted on 23 July 2015, para. 6.6.</w:t>
      </w:r>
    </w:p>
  </w:footnote>
  <w:footnote w:id="16">
    <w:p w14:paraId="0CB52C4B" w14:textId="638E25ED" w:rsidR="00467039" w:rsidRDefault="005A714E" w:rsidP="005A714E">
      <w:pPr>
        <w:pStyle w:val="FootnoteText"/>
      </w:pPr>
      <w:r>
        <w:tab/>
      </w:r>
      <w:r w:rsidR="00467039" w:rsidRPr="001314F9">
        <w:rPr>
          <w:rStyle w:val="FootnoteReference"/>
        </w:rPr>
        <w:footnoteRef/>
      </w:r>
      <w:r>
        <w:tab/>
      </w:r>
      <w:r w:rsidR="00467039">
        <w:t xml:space="preserve">See, </w:t>
      </w:r>
      <w:r w:rsidR="00467039" w:rsidRPr="005A714E">
        <w:rPr>
          <w:lang w:val="en-US"/>
        </w:rPr>
        <w:t>inter</w:t>
      </w:r>
      <w:r w:rsidR="00467039">
        <w:t xml:space="preserve"> alia, communication </w:t>
      </w:r>
      <w:r w:rsidR="003C0482">
        <w:t xml:space="preserve">No. 2007/2010, </w:t>
      </w:r>
      <w:r w:rsidR="003C0482" w:rsidRPr="00467039">
        <w:rPr>
          <w:i/>
        </w:rPr>
        <w:t>X v. Denmark</w:t>
      </w:r>
      <w:r w:rsidR="003C0482">
        <w:t>, Views adopted on 26 March 2014, para.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7EB9" w14:textId="62B2B1A9" w:rsidR="008440D2" w:rsidRPr="00A40224" w:rsidRDefault="001551D0">
    <w:pPr>
      <w:pStyle w:val="Header"/>
    </w:pPr>
    <w:r>
      <w:t>CCPR/C/116/D/235</w:t>
    </w:r>
    <w:r w:rsidR="008440D2">
      <w:t>7/2014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A113" w14:textId="7C569175" w:rsidR="008440D2" w:rsidRPr="00A40224" w:rsidRDefault="001551D0" w:rsidP="00A40224">
    <w:pPr>
      <w:pStyle w:val="Header"/>
      <w:jc w:val="right"/>
    </w:pPr>
    <w:r>
      <w:t>CCPR/C/116/D/235</w:t>
    </w:r>
    <w:r w:rsidR="008440D2">
      <w:t>7/2014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D07A0"/>
    <w:multiLevelType w:val="hybridMultilevel"/>
    <w:tmpl w:val="7A06A01A"/>
    <w:lvl w:ilvl="0" w:tplc="B29CB2FC">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1CF5"/>
    <w:multiLevelType w:val="hybridMultilevel"/>
    <w:tmpl w:val="0E4CBC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12674"/>
    <w:multiLevelType w:val="hybridMultilevel"/>
    <w:tmpl w:val="8E56F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164DB5"/>
    <w:multiLevelType w:val="hybridMultilevel"/>
    <w:tmpl w:val="D51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8BC"/>
    <w:multiLevelType w:val="hybridMultilevel"/>
    <w:tmpl w:val="2856F49E"/>
    <w:lvl w:ilvl="0" w:tplc="04090019">
      <w:start w:val="1"/>
      <w:numFmt w:val="lowerLetter"/>
      <w:lvlText w:val="%1."/>
      <w:lvlJc w:val="left"/>
      <w:pPr>
        <w:ind w:left="814" w:hanging="360"/>
      </w:p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10D61548"/>
    <w:multiLevelType w:val="hybridMultilevel"/>
    <w:tmpl w:val="DA6857B2"/>
    <w:lvl w:ilvl="0" w:tplc="9F9481C6">
      <w:start w:val="1"/>
      <w:numFmt w:val="lowerLetter"/>
      <w:lvlText w:val="%1."/>
      <w:lvlJc w:val="left"/>
      <w:pPr>
        <w:ind w:left="814" w:hanging="360"/>
      </w:pPr>
      <w:rPr>
        <w:b/>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112A22C1"/>
    <w:multiLevelType w:val="hybridMultilevel"/>
    <w:tmpl w:val="5B58D7D4"/>
    <w:lvl w:ilvl="0" w:tplc="5B96F89C">
      <w:start w:val="1"/>
      <w:numFmt w:val="decimal"/>
      <w:lvlText w:val="%1."/>
      <w:lvlJc w:val="left"/>
      <w:pPr>
        <w:ind w:left="1080" w:hanging="360"/>
      </w:pPr>
      <w:rPr>
        <w:sz w:val="24"/>
        <w:szCs w:val="24"/>
        <w:vertAlign w:val="baseli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29C0C35"/>
    <w:multiLevelType w:val="hybridMultilevel"/>
    <w:tmpl w:val="32ECFF14"/>
    <w:lvl w:ilvl="0" w:tplc="B922FA7E">
      <w:start w:val="1"/>
      <w:numFmt w:val="decimal"/>
      <w:lvlText w:val="%1."/>
      <w:lvlJc w:val="left"/>
      <w:pPr>
        <w:tabs>
          <w:tab w:val="num" w:pos="454"/>
        </w:tabs>
        <w:ind w:left="454" w:hanging="454"/>
      </w:pPr>
      <w:rPr>
        <w:rFonts w:hint="default"/>
        <w:b w:val="0"/>
        <w:i w:val="0"/>
        <w:strike w:val="0"/>
        <w:dstrike w:val="0"/>
      </w:rPr>
    </w:lvl>
    <w:lvl w:ilvl="1" w:tplc="74C41906">
      <w:start w:val="1"/>
      <w:numFmt w:val="decimal"/>
      <w:lvlText w:val="%2."/>
      <w:lvlJc w:val="left"/>
      <w:pPr>
        <w:tabs>
          <w:tab w:val="num" w:pos="1440"/>
        </w:tabs>
        <w:ind w:left="1440" w:hanging="360"/>
      </w:pPr>
      <w:rPr>
        <w:rFonts w:hint="default"/>
        <w:b w:val="0"/>
      </w:rPr>
    </w:lvl>
    <w:lvl w:ilvl="2" w:tplc="84E26ED0">
      <w:start w:val="1"/>
      <w:numFmt w:val="upperRoman"/>
      <w:lvlText w:val="%3."/>
      <w:lvlJc w:val="right"/>
      <w:pPr>
        <w:tabs>
          <w:tab w:val="num" w:pos="2340"/>
        </w:tabs>
        <w:ind w:left="1980" w:firstLine="0"/>
      </w:pPr>
      <w:rPr>
        <w:rFonts w:hint="default"/>
      </w:rPr>
    </w:lvl>
    <w:lvl w:ilvl="3" w:tplc="822409B8" w:tentative="1">
      <w:start w:val="1"/>
      <w:numFmt w:val="decimal"/>
      <w:lvlText w:val="%4."/>
      <w:lvlJc w:val="left"/>
      <w:pPr>
        <w:tabs>
          <w:tab w:val="num" w:pos="2880"/>
        </w:tabs>
        <w:ind w:left="2880" w:hanging="360"/>
      </w:pPr>
    </w:lvl>
    <w:lvl w:ilvl="4" w:tplc="1346A7EA" w:tentative="1">
      <w:start w:val="1"/>
      <w:numFmt w:val="lowerLetter"/>
      <w:lvlText w:val="%5."/>
      <w:lvlJc w:val="left"/>
      <w:pPr>
        <w:tabs>
          <w:tab w:val="num" w:pos="3600"/>
        </w:tabs>
        <w:ind w:left="3600" w:hanging="360"/>
      </w:pPr>
    </w:lvl>
    <w:lvl w:ilvl="5" w:tplc="301858CA" w:tentative="1">
      <w:start w:val="1"/>
      <w:numFmt w:val="lowerRoman"/>
      <w:lvlText w:val="%6."/>
      <w:lvlJc w:val="right"/>
      <w:pPr>
        <w:tabs>
          <w:tab w:val="num" w:pos="4320"/>
        </w:tabs>
        <w:ind w:left="4320" w:hanging="180"/>
      </w:pPr>
    </w:lvl>
    <w:lvl w:ilvl="6" w:tplc="8EDADA28" w:tentative="1">
      <w:start w:val="1"/>
      <w:numFmt w:val="decimal"/>
      <w:lvlText w:val="%7."/>
      <w:lvlJc w:val="left"/>
      <w:pPr>
        <w:tabs>
          <w:tab w:val="num" w:pos="5040"/>
        </w:tabs>
        <w:ind w:left="5040" w:hanging="360"/>
      </w:pPr>
    </w:lvl>
    <w:lvl w:ilvl="7" w:tplc="CE5EAB24" w:tentative="1">
      <w:start w:val="1"/>
      <w:numFmt w:val="lowerLetter"/>
      <w:lvlText w:val="%8."/>
      <w:lvlJc w:val="left"/>
      <w:pPr>
        <w:tabs>
          <w:tab w:val="num" w:pos="5760"/>
        </w:tabs>
        <w:ind w:left="5760" w:hanging="360"/>
      </w:pPr>
    </w:lvl>
    <w:lvl w:ilvl="8" w:tplc="383003B0" w:tentative="1">
      <w:start w:val="1"/>
      <w:numFmt w:val="lowerRoman"/>
      <w:lvlText w:val="%9."/>
      <w:lvlJc w:val="right"/>
      <w:pPr>
        <w:tabs>
          <w:tab w:val="num" w:pos="6480"/>
        </w:tabs>
        <w:ind w:left="6480" w:hanging="180"/>
      </w:pPr>
    </w:lvl>
  </w:abstractNum>
  <w:abstractNum w:abstractNumId="9" w15:restartNumberingAfterBreak="0">
    <w:nsid w:val="1DE102CF"/>
    <w:multiLevelType w:val="singleLevel"/>
    <w:tmpl w:val="F9CA68C0"/>
    <w:lvl w:ilvl="0">
      <w:start w:val="1"/>
      <w:numFmt w:val="decimal"/>
      <w:lvlText w:val="%1."/>
      <w:lvlJc w:val="left"/>
      <w:pPr>
        <w:tabs>
          <w:tab w:val="num" w:pos="1080"/>
        </w:tabs>
        <w:ind w:left="1080" w:hanging="360"/>
      </w:pPr>
      <w:rPr>
        <w:rFonts w:ascii="Times New Roman" w:hAnsi="Times New Roman" w:hint="default"/>
        <w:sz w:val="20"/>
      </w:rPr>
    </w:lvl>
  </w:abstractNum>
  <w:abstractNum w:abstractNumId="10" w15:restartNumberingAfterBreak="0">
    <w:nsid w:val="29FD16C0"/>
    <w:multiLevelType w:val="hybridMultilevel"/>
    <w:tmpl w:val="600648E0"/>
    <w:lvl w:ilvl="0" w:tplc="3F68CBF8">
      <w:start w:val="1"/>
      <w:numFmt w:val="lowerLetter"/>
      <w:lvlText w:val="(%1)"/>
      <w:lvlJc w:val="left"/>
      <w:pPr>
        <w:tabs>
          <w:tab w:val="num" w:pos="1080"/>
        </w:tabs>
        <w:ind w:left="1080" w:hanging="360"/>
      </w:pPr>
      <w:rPr>
        <w:rFonts w:hint="default"/>
      </w:rPr>
    </w:lvl>
    <w:lvl w:ilvl="1" w:tplc="7D3AA5DC" w:tentative="1">
      <w:start w:val="1"/>
      <w:numFmt w:val="lowerLetter"/>
      <w:lvlText w:val="%2."/>
      <w:lvlJc w:val="left"/>
      <w:pPr>
        <w:tabs>
          <w:tab w:val="num" w:pos="1800"/>
        </w:tabs>
        <w:ind w:left="1800" w:hanging="360"/>
      </w:pPr>
    </w:lvl>
    <w:lvl w:ilvl="2" w:tplc="5712C78E" w:tentative="1">
      <w:start w:val="1"/>
      <w:numFmt w:val="lowerRoman"/>
      <w:lvlText w:val="%3."/>
      <w:lvlJc w:val="right"/>
      <w:pPr>
        <w:tabs>
          <w:tab w:val="num" w:pos="2520"/>
        </w:tabs>
        <w:ind w:left="2520" w:hanging="180"/>
      </w:pPr>
    </w:lvl>
    <w:lvl w:ilvl="3" w:tplc="48C63C38" w:tentative="1">
      <w:start w:val="1"/>
      <w:numFmt w:val="decimal"/>
      <w:lvlText w:val="%4."/>
      <w:lvlJc w:val="left"/>
      <w:pPr>
        <w:tabs>
          <w:tab w:val="num" w:pos="3240"/>
        </w:tabs>
        <w:ind w:left="3240" w:hanging="360"/>
      </w:pPr>
    </w:lvl>
    <w:lvl w:ilvl="4" w:tplc="8654BBF2" w:tentative="1">
      <w:start w:val="1"/>
      <w:numFmt w:val="lowerLetter"/>
      <w:lvlText w:val="%5."/>
      <w:lvlJc w:val="left"/>
      <w:pPr>
        <w:tabs>
          <w:tab w:val="num" w:pos="3960"/>
        </w:tabs>
        <w:ind w:left="3960" w:hanging="360"/>
      </w:pPr>
    </w:lvl>
    <w:lvl w:ilvl="5" w:tplc="EDD47BDA" w:tentative="1">
      <w:start w:val="1"/>
      <w:numFmt w:val="lowerRoman"/>
      <w:lvlText w:val="%6."/>
      <w:lvlJc w:val="right"/>
      <w:pPr>
        <w:tabs>
          <w:tab w:val="num" w:pos="4680"/>
        </w:tabs>
        <w:ind w:left="4680" w:hanging="180"/>
      </w:pPr>
    </w:lvl>
    <w:lvl w:ilvl="6" w:tplc="0222319C" w:tentative="1">
      <w:start w:val="1"/>
      <w:numFmt w:val="decimal"/>
      <w:lvlText w:val="%7."/>
      <w:lvlJc w:val="left"/>
      <w:pPr>
        <w:tabs>
          <w:tab w:val="num" w:pos="5400"/>
        </w:tabs>
        <w:ind w:left="5400" w:hanging="360"/>
      </w:pPr>
    </w:lvl>
    <w:lvl w:ilvl="7" w:tplc="AD5C1510" w:tentative="1">
      <w:start w:val="1"/>
      <w:numFmt w:val="lowerLetter"/>
      <w:lvlText w:val="%8."/>
      <w:lvlJc w:val="left"/>
      <w:pPr>
        <w:tabs>
          <w:tab w:val="num" w:pos="6120"/>
        </w:tabs>
        <w:ind w:left="6120" w:hanging="360"/>
      </w:pPr>
    </w:lvl>
    <w:lvl w:ilvl="8" w:tplc="6E788392" w:tentative="1">
      <w:start w:val="1"/>
      <w:numFmt w:val="lowerRoman"/>
      <w:lvlText w:val="%9."/>
      <w:lvlJc w:val="right"/>
      <w:pPr>
        <w:tabs>
          <w:tab w:val="num" w:pos="6840"/>
        </w:tabs>
        <w:ind w:left="6840" w:hanging="180"/>
      </w:pPr>
    </w:lvl>
  </w:abstractNum>
  <w:abstractNum w:abstractNumId="11" w15:restartNumberingAfterBreak="0">
    <w:nsid w:val="2BCA131B"/>
    <w:multiLevelType w:val="hybridMultilevel"/>
    <w:tmpl w:val="5072B6C0"/>
    <w:lvl w:ilvl="0" w:tplc="33547D46">
      <w:start w:val="1"/>
      <w:numFmt w:val="lowerRoman"/>
      <w:lvlText w:val="%1."/>
      <w:lvlJc w:val="right"/>
      <w:pPr>
        <w:ind w:left="360" w:hanging="360"/>
      </w:pPr>
      <w:rPr>
        <w:rFonts w:hint="default"/>
      </w:rPr>
    </w:lvl>
    <w:lvl w:ilvl="1" w:tplc="5A90CFAC" w:tentative="1">
      <w:start w:val="1"/>
      <w:numFmt w:val="lowerLetter"/>
      <w:lvlText w:val="%2."/>
      <w:lvlJc w:val="left"/>
      <w:pPr>
        <w:ind w:left="1440" w:hanging="360"/>
      </w:pPr>
    </w:lvl>
    <w:lvl w:ilvl="2" w:tplc="9628FF38" w:tentative="1">
      <w:start w:val="1"/>
      <w:numFmt w:val="lowerRoman"/>
      <w:lvlText w:val="%3."/>
      <w:lvlJc w:val="right"/>
      <w:pPr>
        <w:ind w:left="2160" w:hanging="180"/>
      </w:pPr>
    </w:lvl>
    <w:lvl w:ilvl="3" w:tplc="8DCC60F6" w:tentative="1">
      <w:start w:val="1"/>
      <w:numFmt w:val="decimal"/>
      <w:lvlText w:val="%4."/>
      <w:lvlJc w:val="left"/>
      <w:pPr>
        <w:ind w:left="2880" w:hanging="360"/>
      </w:pPr>
    </w:lvl>
    <w:lvl w:ilvl="4" w:tplc="47A62806" w:tentative="1">
      <w:start w:val="1"/>
      <w:numFmt w:val="lowerLetter"/>
      <w:lvlText w:val="%5."/>
      <w:lvlJc w:val="left"/>
      <w:pPr>
        <w:ind w:left="3600" w:hanging="360"/>
      </w:pPr>
    </w:lvl>
    <w:lvl w:ilvl="5" w:tplc="F4CE1B1C" w:tentative="1">
      <w:start w:val="1"/>
      <w:numFmt w:val="lowerRoman"/>
      <w:lvlText w:val="%6."/>
      <w:lvlJc w:val="right"/>
      <w:pPr>
        <w:ind w:left="4320" w:hanging="180"/>
      </w:pPr>
    </w:lvl>
    <w:lvl w:ilvl="6" w:tplc="7FD20142" w:tentative="1">
      <w:start w:val="1"/>
      <w:numFmt w:val="decimal"/>
      <w:lvlText w:val="%7."/>
      <w:lvlJc w:val="left"/>
      <w:pPr>
        <w:ind w:left="5040" w:hanging="360"/>
      </w:pPr>
    </w:lvl>
    <w:lvl w:ilvl="7" w:tplc="BF74696E" w:tentative="1">
      <w:start w:val="1"/>
      <w:numFmt w:val="lowerLetter"/>
      <w:lvlText w:val="%8."/>
      <w:lvlJc w:val="left"/>
      <w:pPr>
        <w:ind w:left="5760" w:hanging="360"/>
      </w:pPr>
    </w:lvl>
    <w:lvl w:ilvl="8" w:tplc="37FE6126" w:tentative="1">
      <w:start w:val="1"/>
      <w:numFmt w:val="lowerRoman"/>
      <w:lvlText w:val="%9."/>
      <w:lvlJc w:val="right"/>
      <w:pPr>
        <w:ind w:left="6480" w:hanging="180"/>
      </w:pPr>
    </w:lvl>
  </w:abstractNum>
  <w:abstractNum w:abstractNumId="12" w15:restartNumberingAfterBreak="0">
    <w:nsid w:val="3F5B54A5"/>
    <w:multiLevelType w:val="hybridMultilevel"/>
    <w:tmpl w:val="FE04A330"/>
    <w:lvl w:ilvl="0" w:tplc="74926768">
      <w:start w:val="3"/>
      <w:numFmt w:val="upperRoman"/>
      <w:lvlText w:val="%1."/>
      <w:lvlJc w:val="left"/>
      <w:pPr>
        <w:tabs>
          <w:tab w:val="num" w:pos="720"/>
        </w:tabs>
        <w:ind w:left="720" w:hanging="720"/>
      </w:pPr>
      <w:rPr>
        <w:rFonts w:hint="default"/>
        <w:b/>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58FD397A"/>
    <w:multiLevelType w:val="hybridMultilevel"/>
    <w:tmpl w:val="86362780"/>
    <w:lvl w:ilvl="0" w:tplc="A3D48B10">
      <w:start w:val="1"/>
      <w:numFmt w:val="upperLetter"/>
      <w:lvlText w:val="%1."/>
      <w:lvlJc w:val="left"/>
      <w:pPr>
        <w:ind w:left="360" w:hanging="360"/>
      </w:pPr>
    </w:lvl>
    <w:lvl w:ilvl="1" w:tplc="6708093C" w:tentative="1">
      <w:start w:val="1"/>
      <w:numFmt w:val="lowerLetter"/>
      <w:lvlText w:val="%2."/>
      <w:lvlJc w:val="left"/>
      <w:pPr>
        <w:ind w:left="1080" w:hanging="360"/>
      </w:pPr>
    </w:lvl>
    <w:lvl w:ilvl="2" w:tplc="BF546EB4" w:tentative="1">
      <w:start w:val="1"/>
      <w:numFmt w:val="lowerRoman"/>
      <w:lvlText w:val="%3."/>
      <w:lvlJc w:val="right"/>
      <w:pPr>
        <w:ind w:left="1800" w:hanging="180"/>
      </w:pPr>
    </w:lvl>
    <w:lvl w:ilvl="3" w:tplc="6FF81506" w:tentative="1">
      <w:start w:val="1"/>
      <w:numFmt w:val="decimal"/>
      <w:lvlText w:val="%4."/>
      <w:lvlJc w:val="left"/>
      <w:pPr>
        <w:ind w:left="2520" w:hanging="360"/>
      </w:pPr>
    </w:lvl>
    <w:lvl w:ilvl="4" w:tplc="00506838" w:tentative="1">
      <w:start w:val="1"/>
      <w:numFmt w:val="lowerLetter"/>
      <w:lvlText w:val="%5."/>
      <w:lvlJc w:val="left"/>
      <w:pPr>
        <w:ind w:left="3240" w:hanging="360"/>
      </w:pPr>
    </w:lvl>
    <w:lvl w:ilvl="5" w:tplc="8926E70C" w:tentative="1">
      <w:start w:val="1"/>
      <w:numFmt w:val="lowerRoman"/>
      <w:lvlText w:val="%6."/>
      <w:lvlJc w:val="right"/>
      <w:pPr>
        <w:ind w:left="3960" w:hanging="180"/>
      </w:pPr>
    </w:lvl>
    <w:lvl w:ilvl="6" w:tplc="6C72CC7C" w:tentative="1">
      <w:start w:val="1"/>
      <w:numFmt w:val="decimal"/>
      <w:lvlText w:val="%7."/>
      <w:lvlJc w:val="left"/>
      <w:pPr>
        <w:ind w:left="4680" w:hanging="360"/>
      </w:pPr>
    </w:lvl>
    <w:lvl w:ilvl="7" w:tplc="4F68B31C" w:tentative="1">
      <w:start w:val="1"/>
      <w:numFmt w:val="lowerLetter"/>
      <w:lvlText w:val="%8."/>
      <w:lvlJc w:val="left"/>
      <w:pPr>
        <w:ind w:left="5400" w:hanging="360"/>
      </w:pPr>
    </w:lvl>
    <w:lvl w:ilvl="8" w:tplc="C7E8BF60" w:tentative="1">
      <w:start w:val="1"/>
      <w:numFmt w:val="lowerRoman"/>
      <w:lvlText w:val="%9."/>
      <w:lvlJc w:val="right"/>
      <w:pPr>
        <w:ind w:left="6120" w:hanging="180"/>
      </w:pPr>
    </w:lvl>
  </w:abstractNum>
  <w:abstractNum w:abstractNumId="14" w15:restartNumberingAfterBreak="0">
    <w:nsid w:val="5C43310E"/>
    <w:multiLevelType w:val="hybridMultilevel"/>
    <w:tmpl w:val="F6FE0890"/>
    <w:lvl w:ilvl="0" w:tplc="82E033F4">
      <w:start w:val="1"/>
      <w:numFmt w:val="bullet"/>
      <w:lvlText w:val=""/>
      <w:lvlJc w:val="left"/>
      <w:pPr>
        <w:ind w:left="720" w:hanging="360"/>
      </w:pPr>
      <w:rPr>
        <w:rFonts w:ascii="Symbol" w:hAnsi="Symbol" w:hint="default"/>
        <w:vertAlign w:val="baseline"/>
      </w:rPr>
    </w:lvl>
    <w:lvl w:ilvl="1" w:tplc="8794C78C" w:tentative="1">
      <w:start w:val="1"/>
      <w:numFmt w:val="bullet"/>
      <w:lvlText w:val="o"/>
      <w:lvlJc w:val="left"/>
      <w:pPr>
        <w:ind w:left="1440" w:hanging="360"/>
      </w:pPr>
      <w:rPr>
        <w:rFonts w:ascii="Courier New" w:hAnsi="Courier New" w:cs="Courier New" w:hint="default"/>
      </w:rPr>
    </w:lvl>
    <w:lvl w:ilvl="2" w:tplc="D7FC62E2" w:tentative="1">
      <w:start w:val="1"/>
      <w:numFmt w:val="bullet"/>
      <w:lvlText w:val=""/>
      <w:lvlJc w:val="left"/>
      <w:pPr>
        <w:ind w:left="2160" w:hanging="360"/>
      </w:pPr>
      <w:rPr>
        <w:rFonts w:ascii="Wingdings" w:hAnsi="Wingdings" w:hint="default"/>
      </w:rPr>
    </w:lvl>
    <w:lvl w:ilvl="3" w:tplc="0C7E90A2" w:tentative="1">
      <w:start w:val="1"/>
      <w:numFmt w:val="bullet"/>
      <w:lvlText w:val=""/>
      <w:lvlJc w:val="left"/>
      <w:pPr>
        <w:ind w:left="2880" w:hanging="360"/>
      </w:pPr>
      <w:rPr>
        <w:rFonts w:ascii="Symbol" w:hAnsi="Symbol" w:hint="default"/>
      </w:rPr>
    </w:lvl>
    <w:lvl w:ilvl="4" w:tplc="3A88ED52" w:tentative="1">
      <w:start w:val="1"/>
      <w:numFmt w:val="bullet"/>
      <w:lvlText w:val="o"/>
      <w:lvlJc w:val="left"/>
      <w:pPr>
        <w:ind w:left="3600" w:hanging="360"/>
      </w:pPr>
      <w:rPr>
        <w:rFonts w:ascii="Courier New" w:hAnsi="Courier New" w:cs="Courier New" w:hint="default"/>
      </w:rPr>
    </w:lvl>
    <w:lvl w:ilvl="5" w:tplc="0E0ADC16" w:tentative="1">
      <w:start w:val="1"/>
      <w:numFmt w:val="bullet"/>
      <w:lvlText w:val=""/>
      <w:lvlJc w:val="left"/>
      <w:pPr>
        <w:ind w:left="4320" w:hanging="360"/>
      </w:pPr>
      <w:rPr>
        <w:rFonts w:ascii="Wingdings" w:hAnsi="Wingdings" w:hint="default"/>
      </w:rPr>
    </w:lvl>
    <w:lvl w:ilvl="6" w:tplc="B6A098DE" w:tentative="1">
      <w:start w:val="1"/>
      <w:numFmt w:val="bullet"/>
      <w:lvlText w:val=""/>
      <w:lvlJc w:val="left"/>
      <w:pPr>
        <w:ind w:left="5040" w:hanging="360"/>
      </w:pPr>
      <w:rPr>
        <w:rFonts w:ascii="Symbol" w:hAnsi="Symbol" w:hint="default"/>
      </w:rPr>
    </w:lvl>
    <w:lvl w:ilvl="7" w:tplc="F93AEB7A" w:tentative="1">
      <w:start w:val="1"/>
      <w:numFmt w:val="bullet"/>
      <w:lvlText w:val="o"/>
      <w:lvlJc w:val="left"/>
      <w:pPr>
        <w:ind w:left="5760" w:hanging="360"/>
      </w:pPr>
      <w:rPr>
        <w:rFonts w:ascii="Courier New" w:hAnsi="Courier New" w:cs="Courier New" w:hint="default"/>
      </w:rPr>
    </w:lvl>
    <w:lvl w:ilvl="8" w:tplc="684CC5F8" w:tentative="1">
      <w:start w:val="1"/>
      <w:numFmt w:val="bullet"/>
      <w:lvlText w:val=""/>
      <w:lvlJc w:val="left"/>
      <w:pPr>
        <w:ind w:left="6480" w:hanging="360"/>
      </w:pPr>
      <w:rPr>
        <w:rFonts w:ascii="Wingdings" w:hAnsi="Wingdings" w:hint="default"/>
      </w:rPr>
    </w:lvl>
  </w:abstractNum>
  <w:abstractNum w:abstractNumId="15" w15:restartNumberingAfterBreak="0">
    <w:nsid w:val="5E5B00EE"/>
    <w:multiLevelType w:val="hybridMultilevel"/>
    <w:tmpl w:val="CE3C6686"/>
    <w:lvl w:ilvl="0" w:tplc="DCE4992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C52163"/>
    <w:multiLevelType w:val="hybridMultilevel"/>
    <w:tmpl w:val="B442F464"/>
    <w:lvl w:ilvl="0" w:tplc="E2D21898">
      <w:start w:val="1"/>
      <w:numFmt w:val="lowerRoman"/>
      <w:lvlText w:val="%1."/>
      <w:lvlJc w:val="right"/>
      <w:pPr>
        <w:ind w:left="360" w:hanging="360"/>
      </w:pPr>
    </w:lvl>
    <w:lvl w:ilvl="1" w:tplc="D974DEF4" w:tentative="1">
      <w:start w:val="1"/>
      <w:numFmt w:val="lowerLetter"/>
      <w:lvlText w:val="%2."/>
      <w:lvlJc w:val="left"/>
      <w:pPr>
        <w:ind w:left="1080" w:hanging="360"/>
      </w:pPr>
    </w:lvl>
    <w:lvl w:ilvl="2" w:tplc="E5AEBFC4" w:tentative="1">
      <w:start w:val="1"/>
      <w:numFmt w:val="lowerRoman"/>
      <w:lvlText w:val="%3."/>
      <w:lvlJc w:val="right"/>
      <w:pPr>
        <w:ind w:left="1800" w:hanging="180"/>
      </w:pPr>
    </w:lvl>
    <w:lvl w:ilvl="3" w:tplc="765C37FA" w:tentative="1">
      <w:start w:val="1"/>
      <w:numFmt w:val="decimal"/>
      <w:lvlText w:val="%4."/>
      <w:lvlJc w:val="left"/>
      <w:pPr>
        <w:ind w:left="2520" w:hanging="360"/>
      </w:pPr>
    </w:lvl>
    <w:lvl w:ilvl="4" w:tplc="D94A9928" w:tentative="1">
      <w:start w:val="1"/>
      <w:numFmt w:val="lowerLetter"/>
      <w:lvlText w:val="%5."/>
      <w:lvlJc w:val="left"/>
      <w:pPr>
        <w:ind w:left="3240" w:hanging="360"/>
      </w:pPr>
    </w:lvl>
    <w:lvl w:ilvl="5" w:tplc="1F5EC6FE" w:tentative="1">
      <w:start w:val="1"/>
      <w:numFmt w:val="lowerRoman"/>
      <w:lvlText w:val="%6."/>
      <w:lvlJc w:val="right"/>
      <w:pPr>
        <w:ind w:left="3960" w:hanging="180"/>
      </w:pPr>
    </w:lvl>
    <w:lvl w:ilvl="6" w:tplc="70B0B1C8" w:tentative="1">
      <w:start w:val="1"/>
      <w:numFmt w:val="decimal"/>
      <w:lvlText w:val="%7."/>
      <w:lvlJc w:val="left"/>
      <w:pPr>
        <w:ind w:left="4680" w:hanging="360"/>
      </w:pPr>
    </w:lvl>
    <w:lvl w:ilvl="7" w:tplc="B5B2EF2E" w:tentative="1">
      <w:start w:val="1"/>
      <w:numFmt w:val="lowerLetter"/>
      <w:lvlText w:val="%8."/>
      <w:lvlJc w:val="left"/>
      <w:pPr>
        <w:ind w:left="5400" w:hanging="360"/>
      </w:pPr>
    </w:lvl>
    <w:lvl w:ilvl="8" w:tplc="358C9F52" w:tentative="1">
      <w:start w:val="1"/>
      <w:numFmt w:val="lowerRoman"/>
      <w:lvlText w:val="%9."/>
      <w:lvlJc w:val="right"/>
      <w:pPr>
        <w:ind w:left="6120" w:hanging="180"/>
      </w:pPr>
    </w:lvl>
  </w:abstractNum>
  <w:abstractNum w:abstractNumId="17" w15:restartNumberingAfterBreak="0">
    <w:nsid w:val="61DD17E6"/>
    <w:multiLevelType w:val="hybridMultilevel"/>
    <w:tmpl w:val="E4F4F8D8"/>
    <w:lvl w:ilvl="0" w:tplc="0409001B">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D444C"/>
    <w:multiLevelType w:val="hybridMultilevel"/>
    <w:tmpl w:val="9838014C"/>
    <w:lvl w:ilvl="0" w:tplc="1009000F">
      <w:start w:val="1"/>
      <w:numFmt w:val="bullet"/>
      <w:lvlText w:val=""/>
      <w:lvlJc w:val="left"/>
      <w:pPr>
        <w:ind w:left="720" w:hanging="360"/>
      </w:pPr>
      <w:rPr>
        <w:rFonts w:ascii="Symbol" w:hAnsi="Symbol" w:hint="default"/>
      </w:rPr>
    </w:lvl>
    <w:lvl w:ilvl="1" w:tplc="10090001"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9" w15:restartNumberingAfterBreak="0">
    <w:nsid w:val="65CE67C7"/>
    <w:multiLevelType w:val="singleLevel"/>
    <w:tmpl w:val="BCCEB138"/>
    <w:lvl w:ilvl="0">
      <w:start w:val="1"/>
      <w:numFmt w:val="upperRoman"/>
      <w:lvlText w:val="%1."/>
      <w:lvlJc w:val="left"/>
      <w:pPr>
        <w:tabs>
          <w:tab w:val="num" w:pos="720"/>
        </w:tabs>
        <w:ind w:left="720" w:hanging="720"/>
      </w:pPr>
      <w:rPr>
        <w:rFonts w:hint="default"/>
        <w:b/>
      </w:r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AC20B8"/>
    <w:multiLevelType w:val="hybridMultilevel"/>
    <w:tmpl w:val="7D301ED4"/>
    <w:lvl w:ilvl="0" w:tplc="A844D202">
      <w:start w:val="1"/>
      <w:numFmt w:val="lowerRoman"/>
      <w:lvlText w:val="%1."/>
      <w:lvlJc w:val="right"/>
      <w:pPr>
        <w:ind w:left="360" w:hanging="360"/>
      </w:pPr>
      <w:rPr>
        <w:i w:val="0"/>
      </w:rPr>
    </w:lvl>
    <w:lvl w:ilvl="1" w:tplc="15E2044A" w:tentative="1">
      <w:start w:val="1"/>
      <w:numFmt w:val="lowerLetter"/>
      <w:lvlText w:val="%2."/>
      <w:lvlJc w:val="left"/>
      <w:pPr>
        <w:ind w:left="1080" w:hanging="360"/>
      </w:pPr>
    </w:lvl>
    <w:lvl w:ilvl="2" w:tplc="E1B442E4" w:tentative="1">
      <w:start w:val="1"/>
      <w:numFmt w:val="lowerRoman"/>
      <w:lvlText w:val="%3."/>
      <w:lvlJc w:val="right"/>
      <w:pPr>
        <w:ind w:left="1800" w:hanging="180"/>
      </w:pPr>
    </w:lvl>
    <w:lvl w:ilvl="3" w:tplc="73EED636" w:tentative="1">
      <w:start w:val="1"/>
      <w:numFmt w:val="decimal"/>
      <w:lvlText w:val="%4."/>
      <w:lvlJc w:val="left"/>
      <w:pPr>
        <w:ind w:left="2520" w:hanging="360"/>
      </w:pPr>
    </w:lvl>
    <w:lvl w:ilvl="4" w:tplc="4F1A3294" w:tentative="1">
      <w:start w:val="1"/>
      <w:numFmt w:val="lowerLetter"/>
      <w:lvlText w:val="%5."/>
      <w:lvlJc w:val="left"/>
      <w:pPr>
        <w:ind w:left="3240" w:hanging="360"/>
      </w:pPr>
    </w:lvl>
    <w:lvl w:ilvl="5" w:tplc="D32834A0" w:tentative="1">
      <w:start w:val="1"/>
      <w:numFmt w:val="lowerRoman"/>
      <w:lvlText w:val="%6."/>
      <w:lvlJc w:val="right"/>
      <w:pPr>
        <w:ind w:left="3960" w:hanging="180"/>
      </w:pPr>
    </w:lvl>
    <w:lvl w:ilvl="6" w:tplc="6B2C1436" w:tentative="1">
      <w:start w:val="1"/>
      <w:numFmt w:val="decimal"/>
      <w:lvlText w:val="%7."/>
      <w:lvlJc w:val="left"/>
      <w:pPr>
        <w:ind w:left="4680" w:hanging="360"/>
      </w:pPr>
    </w:lvl>
    <w:lvl w:ilvl="7" w:tplc="D05274E0" w:tentative="1">
      <w:start w:val="1"/>
      <w:numFmt w:val="lowerLetter"/>
      <w:lvlText w:val="%8."/>
      <w:lvlJc w:val="left"/>
      <w:pPr>
        <w:ind w:left="5400" w:hanging="360"/>
      </w:pPr>
    </w:lvl>
    <w:lvl w:ilvl="8" w:tplc="2A0C9064" w:tentative="1">
      <w:start w:val="1"/>
      <w:numFmt w:val="lowerRoman"/>
      <w:lvlText w:val="%9."/>
      <w:lvlJc w:val="right"/>
      <w:pPr>
        <w:ind w:left="6120" w:hanging="180"/>
      </w:pPr>
    </w:lvl>
  </w:abstractNum>
  <w:abstractNum w:abstractNumId="22" w15:restartNumberingAfterBreak="0">
    <w:nsid w:val="6E0D4305"/>
    <w:multiLevelType w:val="hybridMultilevel"/>
    <w:tmpl w:val="32ECFF14"/>
    <w:lvl w:ilvl="0" w:tplc="EF506D4C">
      <w:start w:val="1"/>
      <w:numFmt w:val="decimal"/>
      <w:lvlText w:val="%1."/>
      <w:lvlJc w:val="left"/>
      <w:pPr>
        <w:tabs>
          <w:tab w:val="num" w:pos="454"/>
        </w:tabs>
        <w:ind w:left="454" w:hanging="454"/>
      </w:pPr>
      <w:rPr>
        <w:rFonts w:hint="default"/>
        <w:b w:val="0"/>
        <w:i w:val="0"/>
        <w:strike w:val="0"/>
        <w:dstrike w:val="0"/>
      </w:rPr>
    </w:lvl>
    <w:lvl w:ilvl="1" w:tplc="04090019">
      <w:start w:val="1"/>
      <w:numFmt w:val="decimal"/>
      <w:lvlText w:val="%2."/>
      <w:lvlJc w:val="left"/>
      <w:pPr>
        <w:tabs>
          <w:tab w:val="num" w:pos="1440"/>
        </w:tabs>
        <w:ind w:left="1440" w:hanging="360"/>
      </w:pPr>
      <w:rPr>
        <w:rFonts w:hint="default"/>
        <w:b w:val="0"/>
      </w:rPr>
    </w:lvl>
    <w:lvl w:ilvl="2" w:tplc="0409001B">
      <w:start w:val="1"/>
      <w:numFmt w:val="upperRoman"/>
      <w:lvlText w:val="%3."/>
      <w:lvlJc w:val="right"/>
      <w:pPr>
        <w:tabs>
          <w:tab w:val="num" w:pos="2340"/>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9234D4"/>
    <w:multiLevelType w:val="hybridMultilevel"/>
    <w:tmpl w:val="CDD883AE"/>
    <w:lvl w:ilvl="0" w:tplc="B922FA7E">
      <w:start w:val="1"/>
      <w:numFmt w:val="bullet"/>
      <w:lvlText w:val=""/>
      <w:lvlJc w:val="left"/>
      <w:pPr>
        <w:ind w:left="720" w:hanging="360"/>
      </w:pPr>
      <w:rPr>
        <w:rFonts w:ascii="Symbol" w:hAnsi="Symbol" w:hint="default"/>
      </w:rPr>
    </w:lvl>
    <w:lvl w:ilvl="1" w:tplc="74C41906" w:tentative="1">
      <w:start w:val="1"/>
      <w:numFmt w:val="bullet"/>
      <w:lvlText w:val="o"/>
      <w:lvlJc w:val="left"/>
      <w:pPr>
        <w:ind w:left="1440" w:hanging="360"/>
      </w:pPr>
      <w:rPr>
        <w:rFonts w:ascii="Courier New" w:hAnsi="Courier New" w:cs="Courier New" w:hint="default"/>
      </w:rPr>
    </w:lvl>
    <w:lvl w:ilvl="2" w:tplc="84E26ED0" w:tentative="1">
      <w:start w:val="1"/>
      <w:numFmt w:val="bullet"/>
      <w:lvlText w:val=""/>
      <w:lvlJc w:val="left"/>
      <w:pPr>
        <w:ind w:left="2160" w:hanging="360"/>
      </w:pPr>
      <w:rPr>
        <w:rFonts w:ascii="Wingdings" w:hAnsi="Wingdings" w:hint="default"/>
      </w:rPr>
    </w:lvl>
    <w:lvl w:ilvl="3" w:tplc="822409B8" w:tentative="1">
      <w:start w:val="1"/>
      <w:numFmt w:val="bullet"/>
      <w:lvlText w:val=""/>
      <w:lvlJc w:val="left"/>
      <w:pPr>
        <w:ind w:left="2880" w:hanging="360"/>
      </w:pPr>
      <w:rPr>
        <w:rFonts w:ascii="Symbol" w:hAnsi="Symbol" w:hint="default"/>
      </w:rPr>
    </w:lvl>
    <w:lvl w:ilvl="4" w:tplc="1346A7EA" w:tentative="1">
      <w:start w:val="1"/>
      <w:numFmt w:val="bullet"/>
      <w:lvlText w:val="o"/>
      <w:lvlJc w:val="left"/>
      <w:pPr>
        <w:ind w:left="3600" w:hanging="360"/>
      </w:pPr>
      <w:rPr>
        <w:rFonts w:ascii="Courier New" w:hAnsi="Courier New" w:cs="Courier New" w:hint="default"/>
      </w:rPr>
    </w:lvl>
    <w:lvl w:ilvl="5" w:tplc="301858CA" w:tentative="1">
      <w:start w:val="1"/>
      <w:numFmt w:val="bullet"/>
      <w:lvlText w:val=""/>
      <w:lvlJc w:val="left"/>
      <w:pPr>
        <w:ind w:left="4320" w:hanging="360"/>
      </w:pPr>
      <w:rPr>
        <w:rFonts w:ascii="Wingdings" w:hAnsi="Wingdings" w:hint="default"/>
      </w:rPr>
    </w:lvl>
    <w:lvl w:ilvl="6" w:tplc="8EDADA28" w:tentative="1">
      <w:start w:val="1"/>
      <w:numFmt w:val="bullet"/>
      <w:lvlText w:val=""/>
      <w:lvlJc w:val="left"/>
      <w:pPr>
        <w:ind w:left="5040" w:hanging="360"/>
      </w:pPr>
      <w:rPr>
        <w:rFonts w:ascii="Symbol" w:hAnsi="Symbol" w:hint="default"/>
      </w:rPr>
    </w:lvl>
    <w:lvl w:ilvl="7" w:tplc="CE5EAB24" w:tentative="1">
      <w:start w:val="1"/>
      <w:numFmt w:val="bullet"/>
      <w:lvlText w:val="o"/>
      <w:lvlJc w:val="left"/>
      <w:pPr>
        <w:ind w:left="5760" w:hanging="360"/>
      </w:pPr>
      <w:rPr>
        <w:rFonts w:ascii="Courier New" w:hAnsi="Courier New" w:cs="Courier New" w:hint="default"/>
      </w:rPr>
    </w:lvl>
    <w:lvl w:ilvl="8" w:tplc="383003B0" w:tentative="1">
      <w:start w:val="1"/>
      <w:numFmt w:val="bullet"/>
      <w:lvlText w:val=""/>
      <w:lvlJc w:val="left"/>
      <w:pPr>
        <w:ind w:left="6480" w:hanging="360"/>
      </w:pPr>
      <w:rPr>
        <w:rFonts w:ascii="Wingdings" w:hAnsi="Wingdings" w:hint="default"/>
      </w:rPr>
    </w:lvl>
  </w:abstractNum>
  <w:abstractNum w:abstractNumId="24" w15:restartNumberingAfterBreak="0">
    <w:nsid w:val="772F250F"/>
    <w:multiLevelType w:val="hybridMultilevel"/>
    <w:tmpl w:val="D0A4B322"/>
    <w:lvl w:ilvl="0" w:tplc="8FE823EC">
      <w:start w:val="1"/>
      <w:numFmt w:val="decimal"/>
      <w:lvlText w:val="%1."/>
      <w:lvlJc w:val="left"/>
      <w:pPr>
        <w:ind w:left="360" w:hanging="360"/>
      </w:pPr>
      <w:rPr>
        <w:b w:val="0"/>
      </w:rPr>
    </w:lvl>
    <w:lvl w:ilvl="1" w:tplc="A198C61A">
      <w:numFmt w:val="bullet"/>
      <w:lvlText w:val="-"/>
      <w:lvlJc w:val="left"/>
      <w:pPr>
        <w:ind w:left="1080" w:hanging="360"/>
      </w:pPr>
      <w:rPr>
        <w:rFonts w:ascii="Times New Roman" w:eastAsia="Times New Roman" w:hAnsi="Times New Roman" w:cs="Times New Roman" w:hint="default"/>
      </w:rPr>
    </w:lvl>
    <w:lvl w:ilvl="2" w:tplc="4B2438BE" w:tentative="1">
      <w:start w:val="1"/>
      <w:numFmt w:val="lowerRoman"/>
      <w:lvlText w:val="%3."/>
      <w:lvlJc w:val="right"/>
      <w:pPr>
        <w:ind w:left="1800" w:hanging="180"/>
      </w:pPr>
    </w:lvl>
    <w:lvl w:ilvl="3" w:tplc="4C78FC26" w:tentative="1">
      <w:start w:val="1"/>
      <w:numFmt w:val="decimal"/>
      <w:lvlText w:val="%4."/>
      <w:lvlJc w:val="left"/>
      <w:pPr>
        <w:ind w:left="2520" w:hanging="360"/>
      </w:pPr>
    </w:lvl>
    <w:lvl w:ilvl="4" w:tplc="D4706FF6" w:tentative="1">
      <w:start w:val="1"/>
      <w:numFmt w:val="lowerLetter"/>
      <w:lvlText w:val="%5."/>
      <w:lvlJc w:val="left"/>
      <w:pPr>
        <w:ind w:left="3240" w:hanging="360"/>
      </w:pPr>
    </w:lvl>
    <w:lvl w:ilvl="5" w:tplc="BD7248BA" w:tentative="1">
      <w:start w:val="1"/>
      <w:numFmt w:val="lowerRoman"/>
      <w:lvlText w:val="%6."/>
      <w:lvlJc w:val="right"/>
      <w:pPr>
        <w:ind w:left="3960" w:hanging="180"/>
      </w:pPr>
    </w:lvl>
    <w:lvl w:ilvl="6" w:tplc="5792EDB8" w:tentative="1">
      <w:start w:val="1"/>
      <w:numFmt w:val="decimal"/>
      <w:lvlText w:val="%7."/>
      <w:lvlJc w:val="left"/>
      <w:pPr>
        <w:ind w:left="4680" w:hanging="360"/>
      </w:pPr>
    </w:lvl>
    <w:lvl w:ilvl="7" w:tplc="52F4C118" w:tentative="1">
      <w:start w:val="1"/>
      <w:numFmt w:val="lowerLetter"/>
      <w:lvlText w:val="%8."/>
      <w:lvlJc w:val="left"/>
      <w:pPr>
        <w:ind w:left="5400" w:hanging="360"/>
      </w:pPr>
    </w:lvl>
    <w:lvl w:ilvl="8" w:tplc="68BECCDC" w:tentative="1">
      <w:start w:val="1"/>
      <w:numFmt w:val="lowerRoman"/>
      <w:lvlText w:val="%9."/>
      <w:lvlJc w:val="right"/>
      <w:pPr>
        <w:ind w:left="6120" w:hanging="180"/>
      </w:pPr>
    </w:lvl>
  </w:abstractNum>
  <w:num w:numId="1">
    <w:abstractNumId w:val="0"/>
  </w:num>
  <w:num w:numId="2">
    <w:abstractNumId w:val="20"/>
  </w:num>
  <w:num w:numId="3">
    <w:abstractNumId w:val="14"/>
  </w:num>
  <w:num w:numId="4">
    <w:abstractNumId w:val="22"/>
  </w:num>
  <w:num w:numId="5">
    <w:abstractNumId w:val="19"/>
  </w:num>
  <w:num w:numId="6">
    <w:abstractNumId w:val="9"/>
  </w:num>
  <w:num w:numId="7">
    <w:abstractNumId w:val="10"/>
  </w:num>
  <w:num w:numId="8">
    <w:abstractNumId w:val="12"/>
  </w:num>
  <w:num w:numId="9">
    <w:abstractNumId w:val="24"/>
  </w:num>
  <w:num w:numId="10">
    <w:abstractNumId w:val="18"/>
  </w:num>
  <w:num w:numId="11">
    <w:abstractNumId w:val="15"/>
  </w:num>
  <w:num w:numId="12">
    <w:abstractNumId w:val="13"/>
  </w:num>
  <w:num w:numId="13">
    <w:abstractNumId w:val="23"/>
  </w:num>
  <w:num w:numId="14">
    <w:abstractNumId w:val="3"/>
  </w:num>
  <w:num w:numId="15">
    <w:abstractNumId w:val="17"/>
  </w:num>
  <w:num w:numId="16">
    <w:abstractNumId w:val="16"/>
  </w:num>
  <w:num w:numId="17">
    <w:abstractNumId w:val="5"/>
  </w:num>
  <w:num w:numId="18">
    <w:abstractNumId w:val="21"/>
  </w:num>
  <w:num w:numId="19">
    <w:abstractNumId w:val="6"/>
  </w:num>
  <w:num w:numId="20">
    <w:abstractNumId w:val="2"/>
  </w:num>
  <w:num w:numId="21">
    <w:abstractNumId w:val="1"/>
  </w:num>
  <w:num w:numId="22">
    <w:abstractNumId w:val="7"/>
  </w:num>
  <w:num w:numId="23">
    <w:abstractNumId w:val="11"/>
  </w:num>
  <w:num w:numId="24">
    <w:abstractNumId w:val="4"/>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24"/>
    <w:rsid w:val="000003A6"/>
    <w:rsid w:val="00001AF4"/>
    <w:rsid w:val="000021C0"/>
    <w:rsid w:val="00004ED3"/>
    <w:rsid w:val="0000613A"/>
    <w:rsid w:val="00007FDB"/>
    <w:rsid w:val="00011131"/>
    <w:rsid w:val="0001358C"/>
    <w:rsid w:val="00021F04"/>
    <w:rsid w:val="000241E0"/>
    <w:rsid w:val="00025BA5"/>
    <w:rsid w:val="000272B3"/>
    <w:rsid w:val="0002788D"/>
    <w:rsid w:val="00035BBE"/>
    <w:rsid w:val="00037902"/>
    <w:rsid w:val="00041F05"/>
    <w:rsid w:val="00043E8D"/>
    <w:rsid w:val="000447C6"/>
    <w:rsid w:val="00050F6B"/>
    <w:rsid w:val="000518B3"/>
    <w:rsid w:val="00051962"/>
    <w:rsid w:val="00054E23"/>
    <w:rsid w:val="00057CA5"/>
    <w:rsid w:val="00057E97"/>
    <w:rsid w:val="00060C3A"/>
    <w:rsid w:val="00064561"/>
    <w:rsid w:val="000677DC"/>
    <w:rsid w:val="00072C8C"/>
    <w:rsid w:val="000733B5"/>
    <w:rsid w:val="00081815"/>
    <w:rsid w:val="00082535"/>
    <w:rsid w:val="000839F6"/>
    <w:rsid w:val="000841E9"/>
    <w:rsid w:val="00085104"/>
    <w:rsid w:val="000864FB"/>
    <w:rsid w:val="00090709"/>
    <w:rsid w:val="0009242F"/>
    <w:rsid w:val="000931C0"/>
    <w:rsid w:val="0009590A"/>
    <w:rsid w:val="00096CA9"/>
    <w:rsid w:val="000A2FD7"/>
    <w:rsid w:val="000A371D"/>
    <w:rsid w:val="000A3E38"/>
    <w:rsid w:val="000A4891"/>
    <w:rsid w:val="000B175B"/>
    <w:rsid w:val="000B1932"/>
    <w:rsid w:val="000B3A0F"/>
    <w:rsid w:val="000B4E0A"/>
    <w:rsid w:val="000B4EF7"/>
    <w:rsid w:val="000B5554"/>
    <w:rsid w:val="000C1D6C"/>
    <w:rsid w:val="000C2120"/>
    <w:rsid w:val="000C2C03"/>
    <w:rsid w:val="000C2D2E"/>
    <w:rsid w:val="000C3F11"/>
    <w:rsid w:val="000C7CA7"/>
    <w:rsid w:val="000D24B8"/>
    <w:rsid w:val="000D51FA"/>
    <w:rsid w:val="000D7C14"/>
    <w:rsid w:val="000E0415"/>
    <w:rsid w:val="000E1038"/>
    <w:rsid w:val="000E1605"/>
    <w:rsid w:val="000E179D"/>
    <w:rsid w:val="000E1C91"/>
    <w:rsid w:val="000E3AC7"/>
    <w:rsid w:val="000E5BA6"/>
    <w:rsid w:val="000E6242"/>
    <w:rsid w:val="000F0D7A"/>
    <w:rsid w:val="000F2455"/>
    <w:rsid w:val="000F6590"/>
    <w:rsid w:val="000F6AAA"/>
    <w:rsid w:val="000F73DC"/>
    <w:rsid w:val="000F7AEE"/>
    <w:rsid w:val="000F7DA4"/>
    <w:rsid w:val="00100D27"/>
    <w:rsid w:val="001011ED"/>
    <w:rsid w:val="001017E5"/>
    <w:rsid w:val="0010410A"/>
    <w:rsid w:val="0010785E"/>
    <w:rsid w:val="001103AA"/>
    <w:rsid w:val="00115435"/>
    <w:rsid w:val="0011702D"/>
    <w:rsid w:val="0012081A"/>
    <w:rsid w:val="00124156"/>
    <w:rsid w:val="00126297"/>
    <w:rsid w:val="0013121E"/>
    <w:rsid w:val="001314F9"/>
    <w:rsid w:val="00132EE1"/>
    <w:rsid w:val="0013328F"/>
    <w:rsid w:val="00136517"/>
    <w:rsid w:val="00141456"/>
    <w:rsid w:val="0014241E"/>
    <w:rsid w:val="00143EB6"/>
    <w:rsid w:val="001468A6"/>
    <w:rsid w:val="00146E87"/>
    <w:rsid w:val="00147248"/>
    <w:rsid w:val="00147A72"/>
    <w:rsid w:val="00150EBA"/>
    <w:rsid w:val="00151173"/>
    <w:rsid w:val="00152B67"/>
    <w:rsid w:val="00153BCE"/>
    <w:rsid w:val="001551D0"/>
    <w:rsid w:val="001603B5"/>
    <w:rsid w:val="0016095A"/>
    <w:rsid w:val="00160A72"/>
    <w:rsid w:val="001623A7"/>
    <w:rsid w:val="00162939"/>
    <w:rsid w:val="001629F6"/>
    <w:rsid w:val="001649A4"/>
    <w:rsid w:val="00165F3A"/>
    <w:rsid w:val="001664CF"/>
    <w:rsid w:val="00172B06"/>
    <w:rsid w:val="00172C6C"/>
    <w:rsid w:val="00172D72"/>
    <w:rsid w:val="00174770"/>
    <w:rsid w:val="001770EB"/>
    <w:rsid w:val="00177714"/>
    <w:rsid w:val="001807E6"/>
    <w:rsid w:val="00181322"/>
    <w:rsid w:val="001825DD"/>
    <w:rsid w:val="00182F56"/>
    <w:rsid w:val="00183360"/>
    <w:rsid w:val="00183968"/>
    <w:rsid w:val="00186CDE"/>
    <w:rsid w:val="001914E7"/>
    <w:rsid w:val="001926C6"/>
    <w:rsid w:val="001942A8"/>
    <w:rsid w:val="00195420"/>
    <w:rsid w:val="0019572C"/>
    <w:rsid w:val="001A0D92"/>
    <w:rsid w:val="001A10B7"/>
    <w:rsid w:val="001A163C"/>
    <w:rsid w:val="001A2D64"/>
    <w:rsid w:val="001A2F6D"/>
    <w:rsid w:val="001A32CA"/>
    <w:rsid w:val="001A3BDF"/>
    <w:rsid w:val="001A43B2"/>
    <w:rsid w:val="001A6686"/>
    <w:rsid w:val="001A69F4"/>
    <w:rsid w:val="001B04D5"/>
    <w:rsid w:val="001B130D"/>
    <w:rsid w:val="001B234E"/>
    <w:rsid w:val="001B363A"/>
    <w:rsid w:val="001B4B04"/>
    <w:rsid w:val="001B4CF8"/>
    <w:rsid w:val="001B55EE"/>
    <w:rsid w:val="001B72CE"/>
    <w:rsid w:val="001B797D"/>
    <w:rsid w:val="001C02C7"/>
    <w:rsid w:val="001C222C"/>
    <w:rsid w:val="001C5C42"/>
    <w:rsid w:val="001C6663"/>
    <w:rsid w:val="001C66FF"/>
    <w:rsid w:val="001C7895"/>
    <w:rsid w:val="001D03ED"/>
    <w:rsid w:val="001D0C8C"/>
    <w:rsid w:val="001D159A"/>
    <w:rsid w:val="001D26DF"/>
    <w:rsid w:val="001D2D12"/>
    <w:rsid w:val="001D3A03"/>
    <w:rsid w:val="001D5144"/>
    <w:rsid w:val="001E10F7"/>
    <w:rsid w:val="001E12F5"/>
    <w:rsid w:val="001E19E5"/>
    <w:rsid w:val="001E1BD3"/>
    <w:rsid w:val="001E2ADD"/>
    <w:rsid w:val="001E3545"/>
    <w:rsid w:val="001E54ED"/>
    <w:rsid w:val="001E59A2"/>
    <w:rsid w:val="001F46D6"/>
    <w:rsid w:val="001F5E9E"/>
    <w:rsid w:val="001F623E"/>
    <w:rsid w:val="00202DA8"/>
    <w:rsid w:val="002045BD"/>
    <w:rsid w:val="00205430"/>
    <w:rsid w:val="00211E0B"/>
    <w:rsid w:val="00214EDE"/>
    <w:rsid w:val="002155DC"/>
    <w:rsid w:val="00217ED4"/>
    <w:rsid w:val="002207CC"/>
    <w:rsid w:val="00230424"/>
    <w:rsid w:val="002318C7"/>
    <w:rsid w:val="0023210C"/>
    <w:rsid w:val="002356FD"/>
    <w:rsid w:val="00235765"/>
    <w:rsid w:val="00236B56"/>
    <w:rsid w:val="00237934"/>
    <w:rsid w:val="00242A70"/>
    <w:rsid w:val="00247F5F"/>
    <w:rsid w:val="00250061"/>
    <w:rsid w:val="002521DA"/>
    <w:rsid w:val="0025269F"/>
    <w:rsid w:val="00253F6A"/>
    <w:rsid w:val="002547C6"/>
    <w:rsid w:val="0025504B"/>
    <w:rsid w:val="002577F0"/>
    <w:rsid w:val="0026034F"/>
    <w:rsid w:val="00261615"/>
    <w:rsid w:val="002641C4"/>
    <w:rsid w:val="002665EC"/>
    <w:rsid w:val="00267F5F"/>
    <w:rsid w:val="00270652"/>
    <w:rsid w:val="00270C87"/>
    <w:rsid w:val="002714BE"/>
    <w:rsid w:val="00273DFD"/>
    <w:rsid w:val="00274057"/>
    <w:rsid w:val="00274490"/>
    <w:rsid w:val="002807B3"/>
    <w:rsid w:val="00281D9A"/>
    <w:rsid w:val="00282672"/>
    <w:rsid w:val="00284F5E"/>
    <w:rsid w:val="002856C9"/>
    <w:rsid w:val="00285BF5"/>
    <w:rsid w:val="00286B4D"/>
    <w:rsid w:val="002872B9"/>
    <w:rsid w:val="002910CF"/>
    <w:rsid w:val="00291DDB"/>
    <w:rsid w:val="002929C1"/>
    <w:rsid w:val="00294BB0"/>
    <w:rsid w:val="002952EE"/>
    <w:rsid w:val="00295AE5"/>
    <w:rsid w:val="00297492"/>
    <w:rsid w:val="00297726"/>
    <w:rsid w:val="002A0328"/>
    <w:rsid w:val="002A171F"/>
    <w:rsid w:val="002A2421"/>
    <w:rsid w:val="002A287D"/>
    <w:rsid w:val="002A3CB8"/>
    <w:rsid w:val="002A7040"/>
    <w:rsid w:val="002B0157"/>
    <w:rsid w:val="002B4D13"/>
    <w:rsid w:val="002B5C5F"/>
    <w:rsid w:val="002B640D"/>
    <w:rsid w:val="002B76D4"/>
    <w:rsid w:val="002C02D2"/>
    <w:rsid w:val="002C10A1"/>
    <w:rsid w:val="002C34EA"/>
    <w:rsid w:val="002D37E4"/>
    <w:rsid w:val="002D3D55"/>
    <w:rsid w:val="002D606A"/>
    <w:rsid w:val="002D6E72"/>
    <w:rsid w:val="002E089C"/>
    <w:rsid w:val="002E20C4"/>
    <w:rsid w:val="002E215E"/>
    <w:rsid w:val="002E6CD9"/>
    <w:rsid w:val="002F0D68"/>
    <w:rsid w:val="002F175C"/>
    <w:rsid w:val="002F181D"/>
    <w:rsid w:val="002F2680"/>
    <w:rsid w:val="002F391C"/>
    <w:rsid w:val="002F4AB7"/>
    <w:rsid w:val="002F5900"/>
    <w:rsid w:val="002F6028"/>
    <w:rsid w:val="002F7310"/>
    <w:rsid w:val="003018F7"/>
    <w:rsid w:val="00305B7C"/>
    <w:rsid w:val="00310869"/>
    <w:rsid w:val="00313223"/>
    <w:rsid w:val="00313865"/>
    <w:rsid w:val="0032057A"/>
    <w:rsid w:val="00320E5B"/>
    <w:rsid w:val="00322221"/>
    <w:rsid w:val="003229D8"/>
    <w:rsid w:val="00323A36"/>
    <w:rsid w:val="00324001"/>
    <w:rsid w:val="00326C21"/>
    <w:rsid w:val="00330712"/>
    <w:rsid w:val="00331836"/>
    <w:rsid w:val="003339AC"/>
    <w:rsid w:val="0033538B"/>
    <w:rsid w:val="00335D06"/>
    <w:rsid w:val="0033721E"/>
    <w:rsid w:val="00337BAE"/>
    <w:rsid w:val="003415A7"/>
    <w:rsid w:val="00342A76"/>
    <w:rsid w:val="0034323C"/>
    <w:rsid w:val="003456ED"/>
    <w:rsid w:val="00351F54"/>
    <w:rsid w:val="00352709"/>
    <w:rsid w:val="00353222"/>
    <w:rsid w:val="0035656D"/>
    <w:rsid w:val="00356AE3"/>
    <w:rsid w:val="00357BB9"/>
    <w:rsid w:val="003604C3"/>
    <w:rsid w:val="00365051"/>
    <w:rsid w:val="0036553B"/>
    <w:rsid w:val="00367567"/>
    <w:rsid w:val="00367C65"/>
    <w:rsid w:val="00370C0F"/>
    <w:rsid w:val="00370C21"/>
    <w:rsid w:val="00371178"/>
    <w:rsid w:val="0037343E"/>
    <w:rsid w:val="00375AB0"/>
    <w:rsid w:val="00375DD9"/>
    <w:rsid w:val="00376B42"/>
    <w:rsid w:val="003774D5"/>
    <w:rsid w:val="003779E1"/>
    <w:rsid w:val="00377A5B"/>
    <w:rsid w:val="00377D6E"/>
    <w:rsid w:val="00377D8A"/>
    <w:rsid w:val="00380A07"/>
    <w:rsid w:val="00383197"/>
    <w:rsid w:val="0038336C"/>
    <w:rsid w:val="00386C08"/>
    <w:rsid w:val="0039015E"/>
    <w:rsid w:val="00390A6A"/>
    <w:rsid w:val="00391424"/>
    <w:rsid w:val="003914FE"/>
    <w:rsid w:val="003917A6"/>
    <w:rsid w:val="003921ED"/>
    <w:rsid w:val="003965B5"/>
    <w:rsid w:val="0039665E"/>
    <w:rsid w:val="00396A47"/>
    <w:rsid w:val="0039762A"/>
    <w:rsid w:val="00397A9E"/>
    <w:rsid w:val="003A222E"/>
    <w:rsid w:val="003A282D"/>
    <w:rsid w:val="003A2EF5"/>
    <w:rsid w:val="003A3292"/>
    <w:rsid w:val="003A4271"/>
    <w:rsid w:val="003A4DE3"/>
    <w:rsid w:val="003A5497"/>
    <w:rsid w:val="003A6810"/>
    <w:rsid w:val="003B108F"/>
    <w:rsid w:val="003B2197"/>
    <w:rsid w:val="003B3392"/>
    <w:rsid w:val="003B6A07"/>
    <w:rsid w:val="003B7B48"/>
    <w:rsid w:val="003C0482"/>
    <w:rsid w:val="003C2CC4"/>
    <w:rsid w:val="003C3D11"/>
    <w:rsid w:val="003C538E"/>
    <w:rsid w:val="003C79B2"/>
    <w:rsid w:val="003D02FF"/>
    <w:rsid w:val="003D06A6"/>
    <w:rsid w:val="003D120F"/>
    <w:rsid w:val="003D1C21"/>
    <w:rsid w:val="003D1DC7"/>
    <w:rsid w:val="003D22BF"/>
    <w:rsid w:val="003D26F8"/>
    <w:rsid w:val="003D4B23"/>
    <w:rsid w:val="003E4350"/>
    <w:rsid w:val="003E51DF"/>
    <w:rsid w:val="003F1BD8"/>
    <w:rsid w:val="00401809"/>
    <w:rsid w:val="00403A11"/>
    <w:rsid w:val="00404ABE"/>
    <w:rsid w:val="004057B6"/>
    <w:rsid w:val="00410C89"/>
    <w:rsid w:val="004112BE"/>
    <w:rsid w:val="0041249C"/>
    <w:rsid w:val="00414915"/>
    <w:rsid w:val="00415D20"/>
    <w:rsid w:val="004169F0"/>
    <w:rsid w:val="004204A1"/>
    <w:rsid w:val="00422415"/>
    <w:rsid w:val="00424301"/>
    <w:rsid w:val="00425966"/>
    <w:rsid w:val="00426B9B"/>
    <w:rsid w:val="0043046E"/>
    <w:rsid w:val="00430EB9"/>
    <w:rsid w:val="004325CB"/>
    <w:rsid w:val="00435ADC"/>
    <w:rsid w:val="00436432"/>
    <w:rsid w:val="00436B33"/>
    <w:rsid w:val="00437E81"/>
    <w:rsid w:val="00442A83"/>
    <w:rsid w:val="00443C2B"/>
    <w:rsid w:val="00446F6F"/>
    <w:rsid w:val="00447327"/>
    <w:rsid w:val="00447ECA"/>
    <w:rsid w:val="00450423"/>
    <w:rsid w:val="00452FC0"/>
    <w:rsid w:val="004533F8"/>
    <w:rsid w:val="004542B3"/>
    <w:rsid w:val="0045495B"/>
    <w:rsid w:val="0045551C"/>
    <w:rsid w:val="00455990"/>
    <w:rsid w:val="00456450"/>
    <w:rsid w:val="0046029E"/>
    <w:rsid w:val="004605C0"/>
    <w:rsid w:val="004619E6"/>
    <w:rsid w:val="00461E4F"/>
    <w:rsid w:val="00463B9A"/>
    <w:rsid w:val="00465165"/>
    <w:rsid w:val="00467039"/>
    <w:rsid w:val="0047047C"/>
    <w:rsid w:val="00473676"/>
    <w:rsid w:val="0047574A"/>
    <w:rsid w:val="0047643D"/>
    <w:rsid w:val="00480824"/>
    <w:rsid w:val="00485287"/>
    <w:rsid w:val="00486FFA"/>
    <w:rsid w:val="00487488"/>
    <w:rsid w:val="0048783E"/>
    <w:rsid w:val="00487D32"/>
    <w:rsid w:val="00487FA4"/>
    <w:rsid w:val="00490BCD"/>
    <w:rsid w:val="004933D6"/>
    <w:rsid w:val="00493BAC"/>
    <w:rsid w:val="004955B4"/>
    <w:rsid w:val="00496119"/>
    <w:rsid w:val="00496127"/>
    <w:rsid w:val="004A001B"/>
    <w:rsid w:val="004A030D"/>
    <w:rsid w:val="004A1A9D"/>
    <w:rsid w:val="004A26D2"/>
    <w:rsid w:val="004A48D2"/>
    <w:rsid w:val="004A4B4B"/>
    <w:rsid w:val="004A5F2A"/>
    <w:rsid w:val="004A6468"/>
    <w:rsid w:val="004B033A"/>
    <w:rsid w:val="004B03C1"/>
    <w:rsid w:val="004B0754"/>
    <w:rsid w:val="004B2E8A"/>
    <w:rsid w:val="004B37A5"/>
    <w:rsid w:val="004B5D3F"/>
    <w:rsid w:val="004B64A3"/>
    <w:rsid w:val="004B7D02"/>
    <w:rsid w:val="004C02D1"/>
    <w:rsid w:val="004C2321"/>
    <w:rsid w:val="004C2EE7"/>
    <w:rsid w:val="004C3E44"/>
    <w:rsid w:val="004C40A9"/>
    <w:rsid w:val="004C6C5B"/>
    <w:rsid w:val="004D1B8F"/>
    <w:rsid w:val="004D310D"/>
    <w:rsid w:val="004D544D"/>
    <w:rsid w:val="004D6DF4"/>
    <w:rsid w:val="004E1B25"/>
    <w:rsid w:val="004E5E12"/>
    <w:rsid w:val="004E65A7"/>
    <w:rsid w:val="004E7C59"/>
    <w:rsid w:val="004F0F23"/>
    <w:rsid w:val="004F23BB"/>
    <w:rsid w:val="004F282D"/>
    <w:rsid w:val="004F2940"/>
    <w:rsid w:val="004F357A"/>
    <w:rsid w:val="004F3CBF"/>
    <w:rsid w:val="004F4323"/>
    <w:rsid w:val="004F4472"/>
    <w:rsid w:val="004F6047"/>
    <w:rsid w:val="004F7FFD"/>
    <w:rsid w:val="00501A13"/>
    <w:rsid w:val="00502301"/>
    <w:rsid w:val="00502859"/>
    <w:rsid w:val="00502E60"/>
    <w:rsid w:val="005127D9"/>
    <w:rsid w:val="0052136D"/>
    <w:rsid w:val="005222E3"/>
    <w:rsid w:val="00524768"/>
    <w:rsid w:val="00526A79"/>
    <w:rsid w:val="00526E3D"/>
    <w:rsid w:val="00527669"/>
    <w:rsid w:val="0052775E"/>
    <w:rsid w:val="005331DB"/>
    <w:rsid w:val="00536E91"/>
    <w:rsid w:val="005374E3"/>
    <w:rsid w:val="00537B8A"/>
    <w:rsid w:val="0054127F"/>
    <w:rsid w:val="005420F2"/>
    <w:rsid w:val="00544938"/>
    <w:rsid w:val="0054544C"/>
    <w:rsid w:val="0054675F"/>
    <w:rsid w:val="00550596"/>
    <w:rsid w:val="00554F92"/>
    <w:rsid w:val="00557E2E"/>
    <w:rsid w:val="00557E40"/>
    <w:rsid w:val="00560092"/>
    <w:rsid w:val="005600C1"/>
    <w:rsid w:val="0056108F"/>
    <w:rsid w:val="00561831"/>
    <w:rsid w:val="00561A56"/>
    <w:rsid w:val="00561A84"/>
    <w:rsid w:val="00561B64"/>
    <w:rsid w:val="005628B6"/>
    <w:rsid w:val="00565A9B"/>
    <w:rsid w:val="00570B3E"/>
    <w:rsid w:val="0057185C"/>
    <w:rsid w:val="00574305"/>
    <w:rsid w:val="005748C5"/>
    <w:rsid w:val="005811FD"/>
    <w:rsid w:val="00581D72"/>
    <w:rsid w:val="0058362D"/>
    <w:rsid w:val="00583BA4"/>
    <w:rsid w:val="005848B3"/>
    <w:rsid w:val="005853A9"/>
    <w:rsid w:val="00585ADB"/>
    <w:rsid w:val="00586263"/>
    <w:rsid w:val="00586464"/>
    <w:rsid w:val="00586F54"/>
    <w:rsid w:val="00587D1B"/>
    <w:rsid w:val="00590F87"/>
    <w:rsid w:val="00592C4A"/>
    <w:rsid w:val="005944D4"/>
    <w:rsid w:val="0059584F"/>
    <w:rsid w:val="00596A83"/>
    <w:rsid w:val="005A714E"/>
    <w:rsid w:val="005A75FA"/>
    <w:rsid w:val="005B37BE"/>
    <w:rsid w:val="005B3DB3"/>
    <w:rsid w:val="005B4793"/>
    <w:rsid w:val="005C334B"/>
    <w:rsid w:val="005C686E"/>
    <w:rsid w:val="005D3735"/>
    <w:rsid w:val="005D3FD2"/>
    <w:rsid w:val="005D5358"/>
    <w:rsid w:val="005D5AA1"/>
    <w:rsid w:val="005D6939"/>
    <w:rsid w:val="005E1076"/>
    <w:rsid w:val="005E200C"/>
    <w:rsid w:val="005E2CAA"/>
    <w:rsid w:val="005E30C7"/>
    <w:rsid w:val="005E5F6F"/>
    <w:rsid w:val="005F26AC"/>
    <w:rsid w:val="005F36A8"/>
    <w:rsid w:val="005F7717"/>
    <w:rsid w:val="005F7B75"/>
    <w:rsid w:val="0060001F"/>
    <w:rsid w:val="0060019D"/>
    <w:rsid w:val="006001EE"/>
    <w:rsid w:val="006039B2"/>
    <w:rsid w:val="00604218"/>
    <w:rsid w:val="00605042"/>
    <w:rsid w:val="00607144"/>
    <w:rsid w:val="006072DC"/>
    <w:rsid w:val="006100E6"/>
    <w:rsid w:val="00611168"/>
    <w:rsid w:val="00611FC4"/>
    <w:rsid w:val="0061343A"/>
    <w:rsid w:val="00613728"/>
    <w:rsid w:val="0061731B"/>
    <w:rsid w:val="00617421"/>
    <w:rsid w:val="006176FB"/>
    <w:rsid w:val="00620BFF"/>
    <w:rsid w:val="00621DE3"/>
    <w:rsid w:val="0062311E"/>
    <w:rsid w:val="006261A6"/>
    <w:rsid w:val="0063023A"/>
    <w:rsid w:val="006312C9"/>
    <w:rsid w:val="00632077"/>
    <w:rsid w:val="00633B7C"/>
    <w:rsid w:val="00634962"/>
    <w:rsid w:val="00635C59"/>
    <w:rsid w:val="006360C2"/>
    <w:rsid w:val="00640B26"/>
    <w:rsid w:val="00640EA9"/>
    <w:rsid w:val="006429AE"/>
    <w:rsid w:val="00642A1C"/>
    <w:rsid w:val="006439C2"/>
    <w:rsid w:val="006462FE"/>
    <w:rsid w:val="0065035F"/>
    <w:rsid w:val="0065052F"/>
    <w:rsid w:val="0065075F"/>
    <w:rsid w:val="00652208"/>
    <w:rsid w:val="00652D0A"/>
    <w:rsid w:val="006548EB"/>
    <w:rsid w:val="00656BCD"/>
    <w:rsid w:val="0065702E"/>
    <w:rsid w:val="006575E7"/>
    <w:rsid w:val="00662BB6"/>
    <w:rsid w:val="00664EE8"/>
    <w:rsid w:val="00665A85"/>
    <w:rsid w:val="00667028"/>
    <w:rsid w:val="006738AE"/>
    <w:rsid w:val="00675BDE"/>
    <w:rsid w:val="00676304"/>
    <w:rsid w:val="00681C78"/>
    <w:rsid w:val="00682244"/>
    <w:rsid w:val="006822D7"/>
    <w:rsid w:val="00682318"/>
    <w:rsid w:val="006827EB"/>
    <w:rsid w:val="0068359D"/>
    <w:rsid w:val="00684039"/>
    <w:rsid w:val="00684C21"/>
    <w:rsid w:val="00685D91"/>
    <w:rsid w:val="00685ED0"/>
    <w:rsid w:val="00687592"/>
    <w:rsid w:val="00687652"/>
    <w:rsid w:val="0069148B"/>
    <w:rsid w:val="00692F4F"/>
    <w:rsid w:val="00693BF7"/>
    <w:rsid w:val="006A034D"/>
    <w:rsid w:val="006A052C"/>
    <w:rsid w:val="006A3E27"/>
    <w:rsid w:val="006A5141"/>
    <w:rsid w:val="006A54C9"/>
    <w:rsid w:val="006A5E68"/>
    <w:rsid w:val="006B09E5"/>
    <w:rsid w:val="006B10E3"/>
    <w:rsid w:val="006B2317"/>
    <w:rsid w:val="006B3E5B"/>
    <w:rsid w:val="006B508E"/>
    <w:rsid w:val="006B54CB"/>
    <w:rsid w:val="006B60D5"/>
    <w:rsid w:val="006C2003"/>
    <w:rsid w:val="006C46CF"/>
    <w:rsid w:val="006C6503"/>
    <w:rsid w:val="006C7004"/>
    <w:rsid w:val="006C7804"/>
    <w:rsid w:val="006C7ABC"/>
    <w:rsid w:val="006D0894"/>
    <w:rsid w:val="006D0FFD"/>
    <w:rsid w:val="006D18C5"/>
    <w:rsid w:val="006D37AF"/>
    <w:rsid w:val="006D407C"/>
    <w:rsid w:val="006D51D0"/>
    <w:rsid w:val="006D59F4"/>
    <w:rsid w:val="006E1AB4"/>
    <w:rsid w:val="006E4E73"/>
    <w:rsid w:val="006E5442"/>
    <w:rsid w:val="006E564B"/>
    <w:rsid w:val="006E7191"/>
    <w:rsid w:val="006F1676"/>
    <w:rsid w:val="006F2046"/>
    <w:rsid w:val="006F20C8"/>
    <w:rsid w:val="006F610E"/>
    <w:rsid w:val="006F7A66"/>
    <w:rsid w:val="00701259"/>
    <w:rsid w:val="00702C68"/>
    <w:rsid w:val="00703577"/>
    <w:rsid w:val="007044D9"/>
    <w:rsid w:val="00704E86"/>
    <w:rsid w:val="00706647"/>
    <w:rsid w:val="007067F4"/>
    <w:rsid w:val="007073FD"/>
    <w:rsid w:val="00707821"/>
    <w:rsid w:val="0071005F"/>
    <w:rsid w:val="00711B63"/>
    <w:rsid w:val="00712C63"/>
    <w:rsid w:val="00713F31"/>
    <w:rsid w:val="007147B8"/>
    <w:rsid w:val="007207A2"/>
    <w:rsid w:val="007217FA"/>
    <w:rsid w:val="00722064"/>
    <w:rsid w:val="00723A94"/>
    <w:rsid w:val="007257DC"/>
    <w:rsid w:val="00725D91"/>
    <w:rsid w:val="0072632A"/>
    <w:rsid w:val="00731640"/>
    <w:rsid w:val="00732020"/>
    <w:rsid w:val="007327D5"/>
    <w:rsid w:val="00732E1F"/>
    <w:rsid w:val="00733F1A"/>
    <w:rsid w:val="007363EA"/>
    <w:rsid w:val="0073729A"/>
    <w:rsid w:val="0074269A"/>
    <w:rsid w:val="007429BB"/>
    <w:rsid w:val="00743034"/>
    <w:rsid w:val="00743F97"/>
    <w:rsid w:val="00747F42"/>
    <w:rsid w:val="007500BA"/>
    <w:rsid w:val="00751486"/>
    <w:rsid w:val="00751B00"/>
    <w:rsid w:val="00752727"/>
    <w:rsid w:val="00754710"/>
    <w:rsid w:val="007554EF"/>
    <w:rsid w:val="00756119"/>
    <w:rsid w:val="00756878"/>
    <w:rsid w:val="007629C8"/>
    <w:rsid w:val="00762A5F"/>
    <w:rsid w:val="00763911"/>
    <w:rsid w:val="0076529D"/>
    <w:rsid w:val="007675F4"/>
    <w:rsid w:val="0077214F"/>
    <w:rsid w:val="00772BDD"/>
    <w:rsid w:val="00772C94"/>
    <w:rsid w:val="00772FE2"/>
    <w:rsid w:val="007737BA"/>
    <w:rsid w:val="00773E55"/>
    <w:rsid w:val="00782311"/>
    <w:rsid w:val="00784E0E"/>
    <w:rsid w:val="007858F1"/>
    <w:rsid w:val="00787D34"/>
    <w:rsid w:val="007908FF"/>
    <w:rsid w:val="00791814"/>
    <w:rsid w:val="00792382"/>
    <w:rsid w:val="007933EC"/>
    <w:rsid w:val="00794307"/>
    <w:rsid w:val="007958B5"/>
    <w:rsid w:val="0079639C"/>
    <w:rsid w:val="00797691"/>
    <w:rsid w:val="007A19BF"/>
    <w:rsid w:val="007A2A78"/>
    <w:rsid w:val="007A30E6"/>
    <w:rsid w:val="007A673D"/>
    <w:rsid w:val="007B3F30"/>
    <w:rsid w:val="007B6772"/>
    <w:rsid w:val="007B697E"/>
    <w:rsid w:val="007B6BA5"/>
    <w:rsid w:val="007C3390"/>
    <w:rsid w:val="007C3D77"/>
    <w:rsid w:val="007C4F4B"/>
    <w:rsid w:val="007C784F"/>
    <w:rsid w:val="007D6A33"/>
    <w:rsid w:val="007D7097"/>
    <w:rsid w:val="007E0B2D"/>
    <w:rsid w:val="007E15D1"/>
    <w:rsid w:val="007E32C6"/>
    <w:rsid w:val="007E5490"/>
    <w:rsid w:val="007F392E"/>
    <w:rsid w:val="007F3B04"/>
    <w:rsid w:val="007F6346"/>
    <w:rsid w:val="007F6473"/>
    <w:rsid w:val="007F6611"/>
    <w:rsid w:val="007F7B32"/>
    <w:rsid w:val="00800572"/>
    <w:rsid w:val="008044AA"/>
    <w:rsid w:val="00804DF0"/>
    <w:rsid w:val="00805C6E"/>
    <w:rsid w:val="008071E4"/>
    <w:rsid w:val="008072C8"/>
    <w:rsid w:val="00807B5D"/>
    <w:rsid w:val="008105B8"/>
    <w:rsid w:val="00810C8E"/>
    <w:rsid w:val="00813939"/>
    <w:rsid w:val="00813A4C"/>
    <w:rsid w:val="00817F23"/>
    <w:rsid w:val="00820CBE"/>
    <w:rsid w:val="00822478"/>
    <w:rsid w:val="008228E1"/>
    <w:rsid w:val="008242D7"/>
    <w:rsid w:val="008257B1"/>
    <w:rsid w:val="00825FDD"/>
    <w:rsid w:val="00831508"/>
    <w:rsid w:val="008319FF"/>
    <w:rsid w:val="008356B4"/>
    <w:rsid w:val="00835962"/>
    <w:rsid w:val="00840A52"/>
    <w:rsid w:val="00843767"/>
    <w:rsid w:val="008439D8"/>
    <w:rsid w:val="00843FDA"/>
    <w:rsid w:val="008440D2"/>
    <w:rsid w:val="0084598B"/>
    <w:rsid w:val="00846007"/>
    <w:rsid w:val="008472B8"/>
    <w:rsid w:val="00847582"/>
    <w:rsid w:val="00854273"/>
    <w:rsid w:val="00854A88"/>
    <w:rsid w:val="00855FFA"/>
    <w:rsid w:val="00857B45"/>
    <w:rsid w:val="00860250"/>
    <w:rsid w:val="00861883"/>
    <w:rsid w:val="0086223D"/>
    <w:rsid w:val="0086253C"/>
    <w:rsid w:val="008660D2"/>
    <w:rsid w:val="008663AB"/>
    <w:rsid w:val="0086712D"/>
    <w:rsid w:val="008679D9"/>
    <w:rsid w:val="00870AD7"/>
    <w:rsid w:val="00872025"/>
    <w:rsid w:val="00872861"/>
    <w:rsid w:val="00872D8A"/>
    <w:rsid w:val="0087442F"/>
    <w:rsid w:val="008746F3"/>
    <w:rsid w:val="008749EF"/>
    <w:rsid w:val="00875BD5"/>
    <w:rsid w:val="00875D38"/>
    <w:rsid w:val="0088121A"/>
    <w:rsid w:val="00881D8F"/>
    <w:rsid w:val="008866D4"/>
    <w:rsid w:val="00892D6C"/>
    <w:rsid w:val="0089371C"/>
    <w:rsid w:val="008979B1"/>
    <w:rsid w:val="008A001B"/>
    <w:rsid w:val="008A1550"/>
    <w:rsid w:val="008A1DB2"/>
    <w:rsid w:val="008A3676"/>
    <w:rsid w:val="008A3B94"/>
    <w:rsid w:val="008A5A24"/>
    <w:rsid w:val="008A6B25"/>
    <w:rsid w:val="008A6C4F"/>
    <w:rsid w:val="008A7898"/>
    <w:rsid w:val="008A78D8"/>
    <w:rsid w:val="008B2335"/>
    <w:rsid w:val="008B2F12"/>
    <w:rsid w:val="008B4FF8"/>
    <w:rsid w:val="008B6ABE"/>
    <w:rsid w:val="008B71DE"/>
    <w:rsid w:val="008B7553"/>
    <w:rsid w:val="008C0E80"/>
    <w:rsid w:val="008C3C13"/>
    <w:rsid w:val="008D15AE"/>
    <w:rsid w:val="008D2A01"/>
    <w:rsid w:val="008D2D10"/>
    <w:rsid w:val="008E0678"/>
    <w:rsid w:val="008E27CE"/>
    <w:rsid w:val="008E304B"/>
    <w:rsid w:val="008E3710"/>
    <w:rsid w:val="008E76A7"/>
    <w:rsid w:val="008E7D83"/>
    <w:rsid w:val="008F1131"/>
    <w:rsid w:val="008F7BE0"/>
    <w:rsid w:val="0090171E"/>
    <w:rsid w:val="00901823"/>
    <w:rsid w:val="00902178"/>
    <w:rsid w:val="00903C1A"/>
    <w:rsid w:val="00903E22"/>
    <w:rsid w:val="00905AA1"/>
    <w:rsid w:val="00905FFA"/>
    <w:rsid w:val="00906EDC"/>
    <w:rsid w:val="0090792A"/>
    <w:rsid w:val="0091060F"/>
    <w:rsid w:val="00910F40"/>
    <w:rsid w:val="00912C08"/>
    <w:rsid w:val="00913E9D"/>
    <w:rsid w:val="009140BC"/>
    <w:rsid w:val="009152BA"/>
    <w:rsid w:val="009165C0"/>
    <w:rsid w:val="009170B8"/>
    <w:rsid w:val="009220B8"/>
    <w:rsid w:val="0092214B"/>
    <w:rsid w:val="009223CA"/>
    <w:rsid w:val="009223F1"/>
    <w:rsid w:val="00922D44"/>
    <w:rsid w:val="009267B0"/>
    <w:rsid w:val="009269BD"/>
    <w:rsid w:val="00932248"/>
    <w:rsid w:val="009326D2"/>
    <w:rsid w:val="009334ED"/>
    <w:rsid w:val="009337E7"/>
    <w:rsid w:val="009345DA"/>
    <w:rsid w:val="00934C55"/>
    <w:rsid w:val="009358FA"/>
    <w:rsid w:val="00940A01"/>
    <w:rsid w:val="00940F93"/>
    <w:rsid w:val="009419E5"/>
    <w:rsid w:val="009425D6"/>
    <w:rsid w:val="00943611"/>
    <w:rsid w:val="0094466E"/>
    <w:rsid w:val="00945B80"/>
    <w:rsid w:val="009475EF"/>
    <w:rsid w:val="00951D7D"/>
    <w:rsid w:val="0095321C"/>
    <w:rsid w:val="0095347F"/>
    <w:rsid w:val="00954B2E"/>
    <w:rsid w:val="00954F5B"/>
    <w:rsid w:val="0095512F"/>
    <w:rsid w:val="00955A82"/>
    <w:rsid w:val="00961AEB"/>
    <w:rsid w:val="009627B4"/>
    <w:rsid w:val="00964CE4"/>
    <w:rsid w:val="0096630B"/>
    <w:rsid w:val="009668B1"/>
    <w:rsid w:val="009677AE"/>
    <w:rsid w:val="00967EFB"/>
    <w:rsid w:val="00971861"/>
    <w:rsid w:val="00973D5D"/>
    <w:rsid w:val="00974252"/>
    <w:rsid w:val="009760F3"/>
    <w:rsid w:val="00977F40"/>
    <w:rsid w:val="009820C8"/>
    <w:rsid w:val="00982683"/>
    <w:rsid w:val="00984124"/>
    <w:rsid w:val="00984BA3"/>
    <w:rsid w:val="00987426"/>
    <w:rsid w:val="00987BE1"/>
    <w:rsid w:val="00987FA7"/>
    <w:rsid w:val="009909F5"/>
    <w:rsid w:val="00992091"/>
    <w:rsid w:val="009933EB"/>
    <w:rsid w:val="009940D6"/>
    <w:rsid w:val="0099555A"/>
    <w:rsid w:val="009969F7"/>
    <w:rsid w:val="00997261"/>
    <w:rsid w:val="009A0406"/>
    <w:rsid w:val="009A0E8D"/>
    <w:rsid w:val="009A1AA4"/>
    <w:rsid w:val="009A38AA"/>
    <w:rsid w:val="009A40F1"/>
    <w:rsid w:val="009A41B6"/>
    <w:rsid w:val="009A4A8B"/>
    <w:rsid w:val="009B26E7"/>
    <w:rsid w:val="009B4D2C"/>
    <w:rsid w:val="009B6F2C"/>
    <w:rsid w:val="009C284D"/>
    <w:rsid w:val="009C28DC"/>
    <w:rsid w:val="009C602A"/>
    <w:rsid w:val="009C7D8C"/>
    <w:rsid w:val="009D0CDC"/>
    <w:rsid w:val="009D1B1E"/>
    <w:rsid w:val="009D1D67"/>
    <w:rsid w:val="009D24F8"/>
    <w:rsid w:val="009D3769"/>
    <w:rsid w:val="009D478C"/>
    <w:rsid w:val="009D6613"/>
    <w:rsid w:val="009E0905"/>
    <w:rsid w:val="009E15DB"/>
    <w:rsid w:val="009E3BDA"/>
    <w:rsid w:val="009E6F73"/>
    <w:rsid w:val="009E7017"/>
    <w:rsid w:val="009F01D7"/>
    <w:rsid w:val="009F4498"/>
    <w:rsid w:val="009F6011"/>
    <w:rsid w:val="00A00415"/>
    <w:rsid w:val="00A00A3F"/>
    <w:rsid w:val="00A00AD9"/>
    <w:rsid w:val="00A01489"/>
    <w:rsid w:val="00A01F0F"/>
    <w:rsid w:val="00A03274"/>
    <w:rsid w:val="00A04B4F"/>
    <w:rsid w:val="00A04CAC"/>
    <w:rsid w:val="00A05490"/>
    <w:rsid w:val="00A05C48"/>
    <w:rsid w:val="00A062FA"/>
    <w:rsid w:val="00A072BA"/>
    <w:rsid w:val="00A11748"/>
    <w:rsid w:val="00A11A66"/>
    <w:rsid w:val="00A12EDF"/>
    <w:rsid w:val="00A16A23"/>
    <w:rsid w:val="00A17338"/>
    <w:rsid w:val="00A22CD3"/>
    <w:rsid w:val="00A23615"/>
    <w:rsid w:val="00A26830"/>
    <w:rsid w:val="00A301C9"/>
    <w:rsid w:val="00A313AC"/>
    <w:rsid w:val="00A338F1"/>
    <w:rsid w:val="00A35776"/>
    <w:rsid w:val="00A36D50"/>
    <w:rsid w:val="00A37D67"/>
    <w:rsid w:val="00A40224"/>
    <w:rsid w:val="00A421D5"/>
    <w:rsid w:val="00A428EF"/>
    <w:rsid w:val="00A444BD"/>
    <w:rsid w:val="00A44615"/>
    <w:rsid w:val="00A47619"/>
    <w:rsid w:val="00A47DB6"/>
    <w:rsid w:val="00A50800"/>
    <w:rsid w:val="00A55109"/>
    <w:rsid w:val="00A56FAD"/>
    <w:rsid w:val="00A57FC1"/>
    <w:rsid w:val="00A6204D"/>
    <w:rsid w:val="00A6320F"/>
    <w:rsid w:val="00A632F7"/>
    <w:rsid w:val="00A63497"/>
    <w:rsid w:val="00A63F4E"/>
    <w:rsid w:val="00A66C57"/>
    <w:rsid w:val="00A704AD"/>
    <w:rsid w:val="00A70A8D"/>
    <w:rsid w:val="00A72F22"/>
    <w:rsid w:val="00A7360F"/>
    <w:rsid w:val="00A73F3F"/>
    <w:rsid w:val="00A748A6"/>
    <w:rsid w:val="00A769F4"/>
    <w:rsid w:val="00A776B4"/>
    <w:rsid w:val="00A82FD4"/>
    <w:rsid w:val="00A84120"/>
    <w:rsid w:val="00A847FD"/>
    <w:rsid w:val="00A84B80"/>
    <w:rsid w:val="00A8653D"/>
    <w:rsid w:val="00A90064"/>
    <w:rsid w:val="00A9014E"/>
    <w:rsid w:val="00A91016"/>
    <w:rsid w:val="00A94361"/>
    <w:rsid w:val="00A97A3D"/>
    <w:rsid w:val="00AA1B88"/>
    <w:rsid w:val="00AA293C"/>
    <w:rsid w:val="00AA520F"/>
    <w:rsid w:val="00AA5CC5"/>
    <w:rsid w:val="00AA7037"/>
    <w:rsid w:val="00AA7AEC"/>
    <w:rsid w:val="00AB177D"/>
    <w:rsid w:val="00AB667B"/>
    <w:rsid w:val="00AB7C89"/>
    <w:rsid w:val="00AC31D8"/>
    <w:rsid w:val="00AC377B"/>
    <w:rsid w:val="00AD11FE"/>
    <w:rsid w:val="00AD26F9"/>
    <w:rsid w:val="00AD436B"/>
    <w:rsid w:val="00AD5459"/>
    <w:rsid w:val="00AD681D"/>
    <w:rsid w:val="00AE1050"/>
    <w:rsid w:val="00AE4BB9"/>
    <w:rsid w:val="00AE6811"/>
    <w:rsid w:val="00AF0D85"/>
    <w:rsid w:val="00AF1E90"/>
    <w:rsid w:val="00AF3171"/>
    <w:rsid w:val="00AF7898"/>
    <w:rsid w:val="00B00AAA"/>
    <w:rsid w:val="00B0218F"/>
    <w:rsid w:val="00B023DD"/>
    <w:rsid w:val="00B025EF"/>
    <w:rsid w:val="00B02F74"/>
    <w:rsid w:val="00B031E8"/>
    <w:rsid w:val="00B04DFD"/>
    <w:rsid w:val="00B06656"/>
    <w:rsid w:val="00B1030E"/>
    <w:rsid w:val="00B11633"/>
    <w:rsid w:val="00B13E9B"/>
    <w:rsid w:val="00B21307"/>
    <w:rsid w:val="00B22DDF"/>
    <w:rsid w:val="00B30179"/>
    <w:rsid w:val="00B30D80"/>
    <w:rsid w:val="00B31D5F"/>
    <w:rsid w:val="00B320DC"/>
    <w:rsid w:val="00B339A7"/>
    <w:rsid w:val="00B3421B"/>
    <w:rsid w:val="00B342E7"/>
    <w:rsid w:val="00B34CEC"/>
    <w:rsid w:val="00B379F6"/>
    <w:rsid w:val="00B458C5"/>
    <w:rsid w:val="00B47001"/>
    <w:rsid w:val="00B500C9"/>
    <w:rsid w:val="00B50E85"/>
    <w:rsid w:val="00B51C4D"/>
    <w:rsid w:val="00B56E4A"/>
    <w:rsid w:val="00B56E9C"/>
    <w:rsid w:val="00B60843"/>
    <w:rsid w:val="00B61233"/>
    <w:rsid w:val="00B63109"/>
    <w:rsid w:val="00B635DD"/>
    <w:rsid w:val="00B64B1F"/>
    <w:rsid w:val="00B65080"/>
    <w:rsid w:val="00B6553F"/>
    <w:rsid w:val="00B655A1"/>
    <w:rsid w:val="00B6612E"/>
    <w:rsid w:val="00B662EB"/>
    <w:rsid w:val="00B666B6"/>
    <w:rsid w:val="00B66E5E"/>
    <w:rsid w:val="00B66ECD"/>
    <w:rsid w:val="00B6720D"/>
    <w:rsid w:val="00B67D6D"/>
    <w:rsid w:val="00B67F08"/>
    <w:rsid w:val="00B701A6"/>
    <w:rsid w:val="00B764BA"/>
    <w:rsid w:val="00B77D05"/>
    <w:rsid w:val="00B81206"/>
    <w:rsid w:val="00B812AC"/>
    <w:rsid w:val="00B81787"/>
    <w:rsid w:val="00B818CC"/>
    <w:rsid w:val="00B8190F"/>
    <w:rsid w:val="00B81E12"/>
    <w:rsid w:val="00B821AA"/>
    <w:rsid w:val="00B82B5A"/>
    <w:rsid w:val="00B82FAD"/>
    <w:rsid w:val="00B85B2C"/>
    <w:rsid w:val="00B8643E"/>
    <w:rsid w:val="00B9067B"/>
    <w:rsid w:val="00B92591"/>
    <w:rsid w:val="00B9531C"/>
    <w:rsid w:val="00B963B5"/>
    <w:rsid w:val="00B97E15"/>
    <w:rsid w:val="00BA00D3"/>
    <w:rsid w:val="00BA1146"/>
    <w:rsid w:val="00BA2745"/>
    <w:rsid w:val="00BA5582"/>
    <w:rsid w:val="00BA6F6A"/>
    <w:rsid w:val="00BB118C"/>
    <w:rsid w:val="00BB1D4B"/>
    <w:rsid w:val="00BB55BE"/>
    <w:rsid w:val="00BB67AC"/>
    <w:rsid w:val="00BB6DA7"/>
    <w:rsid w:val="00BB73D9"/>
    <w:rsid w:val="00BC1C7C"/>
    <w:rsid w:val="00BC2C23"/>
    <w:rsid w:val="00BC2D78"/>
    <w:rsid w:val="00BC4EE6"/>
    <w:rsid w:val="00BC5C5A"/>
    <w:rsid w:val="00BC624D"/>
    <w:rsid w:val="00BC74E9"/>
    <w:rsid w:val="00BD1024"/>
    <w:rsid w:val="00BD1A48"/>
    <w:rsid w:val="00BD4C4B"/>
    <w:rsid w:val="00BD5B4B"/>
    <w:rsid w:val="00BE028E"/>
    <w:rsid w:val="00BE101D"/>
    <w:rsid w:val="00BE2197"/>
    <w:rsid w:val="00BE36B0"/>
    <w:rsid w:val="00BE5ED7"/>
    <w:rsid w:val="00BF1100"/>
    <w:rsid w:val="00BF499E"/>
    <w:rsid w:val="00BF5DEA"/>
    <w:rsid w:val="00BF645B"/>
    <w:rsid w:val="00BF68A8"/>
    <w:rsid w:val="00BF6D94"/>
    <w:rsid w:val="00C00BBD"/>
    <w:rsid w:val="00C03875"/>
    <w:rsid w:val="00C03968"/>
    <w:rsid w:val="00C0448F"/>
    <w:rsid w:val="00C118D0"/>
    <w:rsid w:val="00C11A03"/>
    <w:rsid w:val="00C11F78"/>
    <w:rsid w:val="00C1277F"/>
    <w:rsid w:val="00C129D4"/>
    <w:rsid w:val="00C140AA"/>
    <w:rsid w:val="00C1459F"/>
    <w:rsid w:val="00C160B3"/>
    <w:rsid w:val="00C17F2B"/>
    <w:rsid w:val="00C2008A"/>
    <w:rsid w:val="00C217B5"/>
    <w:rsid w:val="00C21B0B"/>
    <w:rsid w:val="00C22A36"/>
    <w:rsid w:val="00C22AB0"/>
    <w:rsid w:val="00C22C3C"/>
    <w:rsid w:val="00C23025"/>
    <w:rsid w:val="00C23B45"/>
    <w:rsid w:val="00C271CE"/>
    <w:rsid w:val="00C31513"/>
    <w:rsid w:val="00C33A2B"/>
    <w:rsid w:val="00C34558"/>
    <w:rsid w:val="00C35C6D"/>
    <w:rsid w:val="00C36C8E"/>
    <w:rsid w:val="00C422CF"/>
    <w:rsid w:val="00C45B74"/>
    <w:rsid w:val="00C463DD"/>
    <w:rsid w:val="00C47176"/>
    <w:rsid w:val="00C4724C"/>
    <w:rsid w:val="00C47607"/>
    <w:rsid w:val="00C50141"/>
    <w:rsid w:val="00C50600"/>
    <w:rsid w:val="00C50F48"/>
    <w:rsid w:val="00C53730"/>
    <w:rsid w:val="00C54FE3"/>
    <w:rsid w:val="00C5501E"/>
    <w:rsid w:val="00C55A8F"/>
    <w:rsid w:val="00C55B66"/>
    <w:rsid w:val="00C55BF3"/>
    <w:rsid w:val="00C56D60"/>
    <w:rsid w:val="00C629A0"/>
    <w:rsid w:val="00C6364A"/>
    <w:rsid w:val="00C640E4"/>
    <w:rsid w:val="00C6474A"/>
    <w:rsid w:val="00C666DC"/>
    <w:rsid w:val="00C6671F"/>
    <w:rsid w:val="00C67609"/>
    <w:rsid w:val="00C73AD7"/>
    <w:rsid w:val="00C73DFF"/>
    <w:rsid w:val="00C745C3"/>
    <w:rsid w:val="00C75022"/>
    <w:rsid w:val="00C75156"/>
    <w:rsid w:val="00C758FB"/>
    <w:rsid w:val="00C76343"/>
    <w:rsid w:val="00C76C9A"/>
    <w:rsid w:val="00C77976"/>
    <w:rsid w:val="00C82602"/>
    <w:rsid w:val="00C8270E"/>
    <w:rsid w:val="00C83B66"/>
    <w:rsid w:val="00C8458E"/>
    <w:rsid w:val="00C85553"/>
    <w:rsid w:val="00C85647"/>
    <w:rsid w:val="00C867D9"/>
    <w:rsid w:val="00C876F4"/>
    <w:rsid w:val="00C90544"/>
    <w:rsid w:val="00C914E9"/>
    <w:rsid w:val="00C93544"/>
    <w:rsid w:val="00C96999"/>
    <w:rsid w:val="00C971F9"/>
    <w:rsid w:val="00C975B8"/>
    <w:rsid w:val="00C97691"/>
    <w:rsid w:val="00CA0B3F"/>
    <w:rsid w:val="00CA0DF2"/>
    <w:rsid w:val="00CA20D4"/>
    <w:rsid w:val="00CA3085"/>
    <w:rsid w:val="00CA5CD1"/>
    <w:rsid w:val="00CB19F1"/>
    <w:rsid w:val="00CB338B"/>
    <w:rsid w:val="00CB70C6"/>
    <w:rsid w:val="00CC3C99"/>
    <w:rsid w:val="00CC4527"/>
    <w:rsid w:val="00CC6E93"/>
    <w:rsid w:val="00CC7C1E"/>
    <w:rsid w:val="00CD2EFC"/>
    <w:rsid w:val="00CD3641"/>
    <w:rsid w:val="00CD38CE"/>
    <w:rsid w:val="00CD3C14"/>
    <w:rsid w:val="00CD416E"/>
    <w:rsid w:val="00CD5104"/>
    <w:rsid w:val="00CD7B66"/>
    <w:rsid w:val="00CE0601"/>
    <w:rsid w:val="00CE1161"/>
    <w:rsid w:val="00CE1EF2"/>
    <w:rsid w:val="00CE2866"/>
    <w:rsid w:val="00CE34E7"/>
    <w:rsid w:val="00CE3743"/>
    <w:rsid w:val="00CE41C1"/>
    <w:rsid w:val="00CE4A8F"/>
    <w:rsid w:val="00CE68E6"/>
    <w:rsid w:val="00CE7504"/>
    <w:rsid w:val="00CF1584"/>
    <w:rsid w:val="00CF1F2B"/>
    <w:rsid w:val="00CF37A8"/>
    <w:rsid w:val="00CF6E7A"/>
    <w:rsid w:val="00D0135C"/>
    <w:rsid w:val="00D018E5"/>
    <w:rsid w:val="00D026C8"/>
    <w:rsid w:val="00D031AD"/>
    <w:rsid w:val="00D04044"/>
    <w:rsid w:val="00D04A53"/>
    <w:rsid w:val="00D05008"/>
    <w:rsid w:val="00D05098"/>
    <w:rsid w:val="00D064DE"/>
    <w:rsid w:val="00D06B2F"/>
    <w:rsid w:val="00D075FF"/>
    <w:rsid w:val="00D109A5"/>
    <w:rsid w:val="00D1236F"/>
    <w:rsid w:val="00D14622"/>
    <w:rsid w:val="00D14D39"/>
    <w:rsid w:val="00D151BC"/>
    <w:rsid w:val="00D15E6B"/>
    <w:rsid w:val="00D17C57"/>
    <w:rsid w:val="00D17F97"/>
    <w:rsid w:val="00D2031B"/>
    <w:rsid w:val="00D204F9"/>
    <w:rsid w:val="00D20AF9"/>
    <w:rsid w:val="00D20DF9"/>
    <w:rsid w:val="00D2331D"/>
    <w:rsid w:val="00D237FE"/>
    <w:rsid w:val="00D23E3C"/>
    <w:rsid w:val="00D2525E"/>
    <w:rsid w:val="00D2561B"/>
    <w:rsid w:val="00D25FE2"/>
    <w:rsid w:val="00D30BC0"/>
    <w:rsid w:val="00D321D0"/>
    <w:rsid w:val="00D327D7"/>
    <w:rsid w:val="00D35451"/>
    <w:rsid w:val="00D36DE8"/>
    <w:rsid w:val="00D376D1"/>
    <w:rsid w:val="00D41B54"/>
    <w:rsid w:val="00D422B9"/>
    <w:rsid w:val="00D427CA"/>
    <w:rsid w:val="00D42E5C"/>
    <w:rsid w:val="00D43125"/>
    <w:rsid w:val="00D43252"/>
    <w:rsid w:val="00D43701"/>
    <w:rsid w:val="00D443ED"/>
    <w:rsid w:val="00D47E94"/>
    <w:rsid w:val="00D47EEA"/>
    <w:rsid w:val="00D500EC"/>
    <w:rsid w:val="00D50CF9"/>
    <w:rsid w:val="00D50F98"/>
    <w:rsid w:val="00D52865"/>
    <w:rsid w:val="00D5314D"/>
    <w:rsid w:val="00D53954"/>
    <w:rsid w:val="00D54C66"/>
    <w:rsid w:val="00D56F90"/>
    <w:rsid w:val="00D62C70"/>
    <w:rsid w:val="00D64785"/>
    <w:rsid w:val="00D67981"/>
    <w:rsid w:val="00D732B7"/>
    <w:rsid w:val="00D7493A"/>
    <w:rsid w:val="00D74FBA"/>
    <w:rsid w:val="00D750A9"/>
    <w:rsid w:val="00D77DBF"/>
    <w:rsid w:val="00D8188E"/>
    <w:rsid w:val="00D81CE3"/>
    <w:rsid w:val="00D82B36"/>
    <w:rsid w:val="00D83B80"/>
    <w:rsid w:val="00D90E0F"/>
    <w:rsid w:val="00D92F90"/>
    <w:rsid w:val="00D93432"/>
    <w:rsid w:val="00D95303"/>
    <w:rsid w:val="00D956ED"/>
    <w:rsid w:val="00D975D1"/>
    <w:rsid w:val="00D978C6"/>
    <w:rsid w:val="00DA0419"/>
    <w:rsid w:val="00DA06C2"/>
    <w:rsid w:val="00DA172A"/>
    <w:rsid w:val="00DA2534"/>
    <w:rsid w:val="00DA3111"/>
    <w:rsid w:val="00DA37E4"/>
    <w:rsid w:val="00DA3C1C"/>
    <w:rsid w:val="00DA3CD4"/>
    <w:rsid w:val="00DA76A1"/>
    <w:rsid w:val="00DA7942"/>
    <w:rsid w:val="00DA7D88"/>
    <w:rsid w:val="00DB0C79"/>
    <w:rsid w:val="00DB1A74"/>
    <w:rsid w:val="00DB2AA0"/>
    <w:rsid w:val="00DB304D"/>
    <w:rsid w:val="00DB376D"/>
    <w:rsid w:val="00DC2032"/>
    <w:rsid w:val="00DC3DAC"/>
    <w:rsid w:val="00DC5B2C"/>
    <w:rsid w:val="00DC6427"/>
    <w:rsid w:val="00DC69DE"/>
    <w:rsid w:val="00DC7723"/>
    <w:rsid w:val="00DD1D31"/>
    <w:rsid w:val="00DD4059"/>
    <w:rsid w:val="00DE02C8"/>
    <w:rsid w:val="00DE3809"/>
    <w:rsid w:val="00DE4AED"/>
    <w:rsid w:val="00DE4D1B"/>
    <w:rsid w:val="00DE654C"/>
    <w:rsid w:val="00DE6747"/>
    <w:rsid w:val="00DE678E"/>
    <w:rsid w:val="00DF14D3"/>
    <w:rsid w:val="00DF14F0"/>
    <w:rsid w:val="00DF1E28"/>
    <w:rsid w:val="00DF28C0"/>
    <w:rsid w:val="00DF3677"/>
    <w:rsid w:val="00DF6259"/>
    <w:rsid w:val="00DF6707"/>
    <w:rsid w:val="00DF67E1"/>
    <w:rsid w:val="00DF7E5A"/>
    <w:rsid w:val="00E049FB"/>
    <w:rsid w:val="00E060A4"/>
    <w:rsid w:val="00E0733C"/>
    <w:rsid w:val="00E074EF"/>
    <w:rsid w:val="00E15931"/>
    <w:rsid w:val="00E22FB6"/>
    <w:rsid w:val="00E23BFE"/>
    <w:rsid w:val="00E2475B"/>
    <w:rsid w:val="00E25CFA"/>
    <w:rsid w:val="00E2614F"/>
    <w:rsid w:val="00E27346"/>
    <w:rsid w:val="00E30E2D"/>
    <w:rsid w:val="00E32196"/>
    <w:rsid w:val="00E336C7"/>
    <w:rsid w:val="00E33B84"/>
    <w:rsid w:val="00E34E83"/>
    <w:rsid w:val="00E36E6E"/>
    <w:rsid w:val="00E413CC"/>
    <w:rsid w:val="00E44A23"/>
    <w:rsid w:val="00E47731"/>
    <w:rsid w:val="00E50765"/>
    <w:rsid w:val="00E51DBA"/>
    <w:rsid w:val="00E537AE"/>
    <w:rsid w:val="00E53D7E"/>
    <w:rsid w:val="00E61380"/>
    <w:rsid w:val="00E61C39"/>
    <w:rsid w:val="00E63B8B"/>
    <w:rsid w:val="00E644E0"/>
    <w:rsid w:val="00E66084"/>
    <w:rsid w:val="00E70EBB"/>
    <w:rsid w:val="00E71BC8"/>
    <w:rsid w:val="00E7260F"/>
    <w:rsid w:val="00E745BF"/>
    <w:rsid w:val="00E748A3"/>
    <w:rsid w:val="00E763D0"/>
    <w:rsid w:val="00E779FC"/>
    <w:rsid w:val="00E80BC2"/>
    <w:rsid w:val="00E81CBA"/>
    <w:rsid w:val="00E85A84"/>
    <w:rsid w:val="00E85F30"/>
    <w:rsid w:val="00E868E5"/>
    <w:rsid w:val="00E92952"/>
    <w:rsid w:val="00E93028"/>
    <w:rsid w:val="00E95B83"/>
    <w:rsid w:val="00E965D8"/>
    <w:rsid w:val="00E96630"/>
    <w:rsid w:val="00EA2A3E"/>
    <w:rsid w:val="00EA32AB"/>
    <w:rsid w:val="00EA4BF8"/>
    <w:rsid w:val="00EA5731"/>
    <w:rsid w:val="00EA5D2D"/>
    <w:rsid w:val="00EB1A4D"/>
    <w:rsid w:val="00EB2581"/>
    <w:rsid w:val="00EB2E38"/>
    <w:rsid w:val="00EB418D"/>
    <w:rsid w:val="00EB6120"/>
    <w:rsid w:val="00EB7AF6"/>
    <w:rsid w:val="00EB7D1B"/>
    <w:rsid w:val="00EB7DC5"/>
    <w:rsid w:val="00EC1837"/>
    <w:rsid w:val="00EC22D6"/>
    <w:rsid w:val="00EC3380"/>
    <w:rsid w:val="00EC4D8C"/>
    <w:rsid w:val="00ED3785"/>
    <w:rsid w:val="00ED62C1"/>
    <w:rsid w:val="00ED7A2A"/>
    <w:rsid w:val="00EE3AF9"/>
    <w:rsid w:val="00EE65E7"/>
    <w:rsid w:val="00EE7B79"/>
    <w:rsid w:val="00EF08D3"/>
    <w:rsid w:val="00EF1858"/>
    <w:rsid w:val="00EF1D7F"/>
    <w:rsid w:val="00EF26CA"/>
    <w:rsid w:val="00EF4098"/>
    <w:rsid w:val="00EF4EE9"/>
    <w:rsid w:val="00EF6285"/>
    <w:rsid w:val="00EF65A5"/>
    <w:rsid w:val="00EF6D08"/>
    <w:rsid w:val="00EF7553"/>
    <w:rsid w:val="00EF781A"/>
    <w:rsid w:val="00EF7F77"/>
    <w:rsid w:val="00F03DD4"/>
    <w:rsid w:val="00F04BDF"/>
    <w:rsid w:val="00F04EC6"/>
    <w:rsid w:val="00F06828"/>
    <w:rsid w:val="00F07865"/>
    <w:rsid w:val="00F10F77"/>
    <w:rsid w:val="00F11174"/>
    <w:rsid w:val="00F12E52"/>
    <w:rsid w:val="00F1392B"/>
    <w:rsid w:val="00F13DBB"/>
    <w:rsid w:val="00F15383"/>
    <w:rsid w:val="00F161BE"/>
    <w:rsid w:val="00F20546"/>
    <w:rsid w:val="00F20913"/>
    <w:rsid w:val="00F20C3D"/>
    <w:rsid w:val="00F23755"/>
    <w:rsid w:val="00F240FD"/>
    <w:rsid w:val="00F24D26"/>
    <w:rsid w:val="00F265F4"/>
    <w:rsid w:val="00F270CD"/>
    <w:rsid w:val="00F27FE7"/>
    <w:rsid w:val="00F33176"/>
    <w:rsid w:val="00F33467"/>
    <w:rsid w:val="00F35E7D"/>
    <w:rsid w:val="00F3616A"/>
    <w:rsid w:val="00F37833"/>
    <w:rsid w:val="00F40617"/>
    <w:rsid w:val="00F40BCB"/>
    <w:rsid w:val="00F43E9E"/>
    <w:rsid w:val="00F44461"/>
    <w:rsid w:val="00F44464"/>
    <w:rsid w:val="00F44CE6"/>
    <w:rsid w:val="00F4609A"/>
    <w:rsid w:val="00F469B1"/>
    <w:rsid w:val="00F472DB"/>
    <w:rsid w:val="00F47D7D"/>
    <w:rsid w:val="00F500E9"/>
    <w:rsid w:val="00F524E4"/>
    <w:rsid w:val="00F526A2"/>
    <w:rsid w:val="00F539C9"/>
    <w:rsid w:val="00F546FB"/>
    <w:rsid w:val="00F56C3B"/>
    <w:rsid w:val="00F61B02"/>
    <w:rsid w:val="00F61B80"/>
    <w:rsid w:val="00F65AB1"/>
    <w:rsid w:val="00F65ECE"/>
    <w:rsid w:val="00F66F4C"/>
    <w:rsid w:val="00F67878"/>
    <w:rsid w:val="00F709A3"/>
    <w:rsid w:val="00F735F1"/>
    <w:rsid w:val="00F73665"/>
    <w:rsid w:val="00F7519F"/>
    <w:rsid w:val="00F75AC4"/>
    <w:rsid w:val="00F82123"/>
    <w:rsid w:val="00F86BCB"/>
    <w:rsid w:val="00F874CE"/>
    <w:rsid w:val="00F87F25"/>
    <w:rsid w:val="00F9057C"/>
    <w:rsid w:val="00F90582"/>
    <w:rsid w:val="00F906D7"/>
    <w:rsid w:val="00F90DBA"/>
    <w:rsid w:val="00F9196F"/>
    <w:rsid w:val="00F91C89"/>
    <w:rsid w:val="00F936BE"/>
    <w:rsid w:val="00F93781"/>
    <w:rsid w:val="00F93D4B"/>
    <w:rsid w:val="00F9436B"/>
    <w:rsid w:val="00F97EFD"/>
    <w:rsid w:val="00FA384D"/>
    <w:rsid w:val="00FA6CAE"/>
    <w:rsid w:val="00FB027C"/>
    <w:rsid w:val="00FB0945"/>
    <w:rsid w:val="00FB3616"/>
    <w:rsid w:val="00FB3975"/>
    <w:rsid w:val="00FB48D3"/>
    <w:rsid w:val="00FB49C2"/>
    <w:rsid w:val="00FB4B45"/>
    <w:rsid w:val="00FB5B26"/>
    <w:rsid w:val="00FB5E22"/>
    <w:rsid w:val="00FB5E8E"/>
    <w:rsid w:val="00FB613B"/>
    <w:rsid w:val="00FB61DD"/>
    <w:rsid w:val="00FB6553"/>
    <w:rsid w:val="00FC0206"/>
    <w:rsid w:val="00FC2831"/>
    <w:rsid w:val="00FC2EE8"/>
    <w:rsid w:val="00FC68B7"/>
    <w:rsid w:val="00FC68D1"/>
    <w:rsid w:val="00FC749E"/>
    <w:rsid w:val="00FD0FD5"/>
    <w:rsid w:val="00FD1791"/>
    <w:rsid w:val="00FD3098"/>
    <w:rsid w:val="00FD3110"/>
    <w:rsid w:val="00FD563E"/>
    <w:rsid w:val="00FD7D52"/>
    <w:rsid w:val="00FD7DC5"/>
    <w:rsid w:val="00FE088F"/>
    <w:rsid w:val="00FE106A"/>
    <w:rsid w:val="00FE19EC"/>
    <w:rsid w:val="00FE20D1"/>
    <w:rsid w:val="00FE3277"/>
    <w:rsid w:val="00FE4075"/>
    <w:rsid w:val="00FF155C"/>
    <w:rsid w:val="00FF2AFB"/>
    <w:rsid w:val="00FF3105"/>
    <w:rsid w:val="00FF31BC"/>
    <w:rsid w:val="00FF38D0"/>
    <w:rsid w:val="00FF4861"/>
    <w:rsid w:val="00FF486D"/>
    <w:rsid w:val="00FF4B81"/>
    <w:rsid w:val="00FF4BCC"/>
    <w:rsid w:val="00FF6DEF"/>
    <w:rsid w:val="00FF7041"/>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C2B342"/>
  <w15:docId w15:val="{77A1940B-F0AB-4E3D-B266-098ECA5A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uiPriority w:val="59"/>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82FA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B82FA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A40224"/>
    <w:rPr>
      <w:lang w:eastAsia="en-US"/>
    </w:rPr>
  </w:style>
  <w:style w:type="paragraph" w:styleId="NoSpacing">
    <w:name w:val="No Spacing"/>
    <w:uiPriority w:val="1"/>
    <w:qFormat/>
    <w:rsid w:val="00A40224"/>
    <w:pPr>
      <w:suppressAutoHyphens/>
    </w:pPr>
    <w:rPr>
      <w:rFonts w:eastAsia="MS Mincho"/>
      <w:lang w:eastAsia="en-US"/>
    </w:rPr>
  </w:style>
  <w:style w:type="character" w:customStyle="1" w:styleId="FootnoteTextChar">
    <w:name w:val="Footnote Text Char"/>
    <w:aliases w:val="5_G Char"/>
    <w:link w:val="FootnoteText"/>
    <w:rsid w:val="00A40224"/>
    <w:rPr>
      <w:rFonts w:eastAsia="SimSun"/>
      <w:sz w:val="18"/>
      <w:lang w:eastAsia="zh-CN"/>
    </w:rPr>
  </w:style>
  <w:style w:type="paragraph" w:styleId="BalloonText">
    <w:name w:val="Balloon Text"/>
    <w:basedOn w:val="Normal"/>
    <w:link w:val="BalloonTextChar"/>
    <w:uiPriority w:val="99"/>
    <w:rsid w:val="00B612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1233"/>
    <w:rPr>
      <w:rFonts w:ascii="Tahoma" w:hAnsi="Tahoma" w:cs="Tahoma"/>
      <w:sz w:val="16"/>
      <w:szCs w:val="16"/>
      <w:lang w:eastAsia="en-US"/>
    </w:rPr>
  </w:style>
  <w:style w:type="paragraph" w:styleId="NormalWeb">
    <w:name w:val="Normal (Web)"/>
    <w:basedOn w:val="Normal"/>
    <w:uiPriority w:val="99"/>
    <w:rsid w:val="008356B4"/>
    <w:rPr>
      <w:sz w:val="24"/>
      <w:szCs w:val="24"/>
    </w:rPr>
  </w:style>
  <w:style w:type="character" w:customStyle="1" w:styleId="Heading1Char">
    <w:name w:val="Heading 1 Char"/>
    <w:aliases w:val="Table_G Char"/>
    <w:basedOn w:val="DefaultParagraphFont"/>
    <w:link w:val="Heading1"/>
    <w:rsid w:val="00F73665"/>
    <w:rPr>
      <w:lang w:eastAsia="en-US"/>
    </w:rPr>
  </w:style>
  <w:style w:type="character" w:customStyle="1" w:styleId="Heading2Char">
    <w:name w:val="Heading 2 Char"/>
    <w:basedOn w:val="DefaultParagraphFont"/>
    <w:link w:val="Heading2"/>
    <w:rsid w:val="00F73665"/>
    <w:rPr>
      <w:lang w:eastAsia="en-US"/>
    </w:rPr>
  </w:style>
  <w:style w:type="paragraph" w:customStyle="1" w:styleId="doubledouble">
    <w:name w:val="double double"/>
    <w:basedOn w:val="Normal"/>
    <w:rsid w:val="00F73665"/>
    <w:pPr>
      <w:suppressAutoHyphens w:val="0"/>
      <w:spacing w:after="240" w:line="240" w:lineRule="auto"/>
      <w:ind w:left="2160" w:right="2160"/>
      <w:jc w:val="both"/>
    </w:pPr>
    <w:rPr>
      <w:sz w:val="24"/>
      <w:lang w:val="en-CA"/>
    </w:rPr>
  </w:style>
  <w:style w:type="paragraph" w:customStyle="1" w:styleId="submissionhead1">
    <w:name w:val="submissionhead1"/>
    <w:basedOn w:val="Normal"/>
    <w:rsid w:val="00F73665"/>
    <w:pPr>
      <w:widowControl w:val="0"/>
      <w:suppressAutoHyphens w:val="0"/>
      <w:spacing w:line="240" w:lineRule="auto"/>
    </w:pPr>
    <w:rPr>
      <w:b/>
      <w:caps/>
      <w:snapToGrid w:val="0"/>
      <w:sz w:val="24"/>
      <w:lang w:val="en-CA"/>
    </w:rPr>
  </w:style>
  <w:style w:type="character" w:customStyle="1" w:styleId="HeaderChar">
    <w:name w:val="Header Char"/>
    <w:aliases w:val="6_G Char"/>
    <w:basedOn w:val="DefaultParagraphFont"/>
    <w:link w:val="Header"/>
    <w:uiPriority w:val="99"/>
    <w:rsid w:val="00F73665"/>
    <w:rPr>
      <w:b/>
      <w:sz w:val="18"/>
      <w:lang w:eastAsia="en-US"/>
    </w:rPr>
  </w:style>
  <w:style w:type="character" w:customStyle="1" w:styleId="FooterChar">
    <w:name w:val="Footer Char"/>
    <w:aliases w:val="3_G Char"/>
    <w:basedOn w:val="DefaultParagraphFont"/>
    <w:link w:val="Footer"/>
    <w:rsid w:val="00F73665"/>
    <w:rPr>
      <w:sz w:val="16"/>
      <w:lang w:eastAsia="en-US"/>
    </w:rPr>
  </w:style>
  <w:style w:type="paragraph" w:customStyle="1" w:styleId="Blockquote">
    <w:name w:val="Blockquote"/>
    <w:basedOn w:val="Normal"/>
    <w:rsid w:val="00F73665"/>
    <w:pPr>
      <w:suppressAutoHyphens w:val="0"/>
      <w:spacing w:before="100" w:after="100" w:line="240" w:lineRule="auto"/>
      <w:ind w:left="360" w:right="360"/>
    </w:pPr>
    <w:rPr>
      <w:snapToGrid w:val="0"/>
      <w:sz w:val="24"/>
      <w:lang w:val="en-CA"/>
    </w:rPr>
  </w:style>
  <w:style w:type="paragraph" w:styleId="ListParagraph">
    <w:name w:val="List Paragraph"/>
    <w:basedOn w:val="Normal"/>
    <w:link w:val="ListParagraphChar"/>
    <w:uiPriority w:val="99"/>
    <w:qFormat/>
    <w:rsid w:val="00F73665"/>
    <w:pPr>
      <w:suppressAutoHyphens w:val="0"/>
      <w:spacing w:line="240" w:lineRule="auto"/>
      <w:ind w:left="720"/>
      <w:contextualSpacing/>
    </w:pPr>
    <w:rPr>
      <w:sz w:val="24"/>
      <w:szCs w:val="24"/>
      <w:lang w:val="en-CA" w:eastAsia="en-CA"/>
    </w:rPr>
  </w:style>
  <w:style w:type="character" w:customStyle="1" w:styleId="ListParagraphChar">
    <w:name w:val="List Paragraph Char"/>
    <w:basedOn w:val="DefaultParagraphFont"/>
    <w:link w:val="ListParagraph"/>
    <w:uiPriority w:val="99"/>
    <w:rsid w:val="00F73665"/>
    <w:rPr>
      <w:sz w:val="24"/>
      <w:szCs w:val="24"/>
      <w:lang w:val="en-CA" w:eastAsia="en-CA"/>
    </w:rPr>
  </w:style>
  <w:style w:type="character" w:styleId="CommentReference">
    <w:name w:val="annotation reference"/>
    <w:basedOn w:val="DefaultParagraphFont"/>
    <w:uiPriority w:val="99"/>
    <w:unhideWhenUsed/>
    <w:rsid w:val="00F73665"/>
    <w:rPr>
      <w:sz w:val="16"/>
      <w:szCs w:val="16"/>
    </w:rPr>
  </w:style>
  <w:style w:type="paragraph" w:styleId="CommentText">
    <w:name w:val="annotation text"/>
    <w:basedOn w:val="Normal"/>
    <w:link w:val="CommentTextChar"/>
    <w:uiPriority w:val="99"/>
    <w:unhideWhenUsed/>
    <w:rsid w:val="00F73665"/>
    <w:pPr>
      <w:suppressAutoHyphens w:val="0"/>
      <w:spacing w:line="240" w:lineRule="auto"/>
    </w:pPr>
    <w:rPr>
      <w:lang w:val="en-CA"/>
    </w:rPr>
  </w:style>
  <w:style w:type="character" w:customStyle="1" w:styleId="CommentTextChar">
    <w:name w:val="Comment Text Char"/>
    <w:basedOn w:val="DefaultParagraphFont"/>
    <w:link w:val="CommentText"/>
    <w:uiPriority w:val="99"/>
    <w:rsid w:val="00F73665"/>
    <w:rPr>
      <w:lang w:val="en-CA" w:eastAsia="en-US"/>
    </w:rPr>
  </w:style>
  <w:style w:type="paragraph" w:styleId="CommentSubject">
    <w:name w:val="annotation subject"/>
    <w:basedOn w:val="CommentText"/>
    <w:next w:val="CommentText"/>
    <w:link w:val="CommentSubjectChar"/>
    <w:uiPriority w:val="99"/>
    <w:unhideWhenUsed/>
    <w:rsid w:val="00F73665"/>
    <w:rPr>
      <w:b/>
      <w:bCs/>
    </w:rPr>
  </w:style>
  <w:style w:type="character" w:customStyle="1" w:styleId="CommentSubjectChar">
    <w:name w:val="Comment Subject Char"/>
    <w:basedOn w:val="CommentTextChar"/>
    <w:link w:val="CommentSubject"/>
    <w:uiPriority w:val="99"/>
    <w:rsid w:val="00F73665"/>
    <w:rPr>
      <w:b/>
      <w:bCs/>
      <w:lang w:val="en-CA" w:eastAsia="en-US"/>
    </w:rPr>
  </w:style>
  <w:style w:type="character" w:customStyle="1" w:styleId="c2">
    <w:name w:val="c2"/>
    <w:basedOn w:val="DefaultParagraphFont"/>
    <w:rsid w:val="00F73665"/>
  </w:style>
  <w:style w:type="paragraph" w:styleId="Revision">
    <w:name w:val="Revision"/>
    <w:hidden/>
    <w:uiPriority w:val="99"/>
    <w:semiHidden/>
    <w:rsid w:val="00E159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BD72-BDD2-4B1F-BB7A-CB9AB7ED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3491</Words>
  <Characters>19900</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1611836</vt:lpstr>
      <vt:lpstr>United Nations</vt:lpstr>
      <vt:lpstr>United Nations</vt:lpstr>
    </vt:vector>
  </TitlesOfParts>
  <Company>CSD</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1611836</dc:title>
  <dc:subject>CCPR/C/116/D/2357/2014</dc:subject>
  <dc:creator>Viktoria Saprykina-Houdemer</dc:creator>
  <cp:keywords/>
  <dc:description/>
  <cp:lastModifiedBy>Sarah Willig</cp:lastModifiedBy>
  <cp:revision>2</cp:revision>
  <cp:lastPrinted>2016-06-22T09:46:00Z</cp:lastPrinted>
  <dcterms:created xsi:type="dcterms:W3CDTF">2017-04-05T17:49:00Z</dcterms:created>
  <dcterms:modified xsi:type="dcterms:W3CDTF">2017-04-05T17:49:00Z</dcterms:modified>
</cp:coreProperties>
</file>