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CA2790" w14:paraId="39CDC6C9" w14:textId="77777777" w:rsidTr="00B6553F">
        <w:trPr>
          <w:cantSplit/>
          <w:trHeight w:hRule="exact" w:val="851"/>
        </w:trPr>
        <w:tc>
          <w:tcPr>
            <w:tcW w:w="1276" w:type="dxa"/>
            <w:tcBorders>
              <w:bottom w:val="single" w:sz="4" w:space="0" w:color="auto"/>
            </w:tcBorders>
            <w:vAlign w:val="bottom"/>
          </w:tcPr>
          <w:p w14:paraId="0EDDFFC6" w14:textId="77777777" w:rsidR="00B56E9C" w:rsidRPr="00536C50" w:rsidRDefault="00536C50" w:rsidP="00536C50">
            <w:pPr>
              <w:spacing w:line="20" w:lineRule="exact"/>
              <w:rPr>
                <w:sz w:val="2"/>
              </w:rPr>
            </w:pPr>
            <w:r>
              <w:rPr>
                <w:rStyle w:val="CommentReference"/>
              </w:rPr>
              <w:commentReference w:id="0"/>
            </w:r>
            <w:bookmarkStart w:id="1" w:name="_GoBack"/>
            <w:bookmarkEnd w:id="1"/>
          </w:p>
          <w:p w14:paraId="75A9F644" w14:textId="77777777" w:rsidR="00536C50" w:rsidRPr="00CA2790" w:rsidRDefault="00536C50" w:rsidP="00B6553F">
            <w:pPr>
              <w:spacing w:after="80"/>
            </w:pPr>
          </w:p>
        </w:tc>
        <w:tc>
          <w:tcPr>
            <w:tcW w:w="2268" w:type="dxa"/>
            <w:tcBorders>
              <w:bottom w:val="single" w:sz="4" w:space="0" w:color="auto"/>
            </w:tcBorders>
            <w:vAlign w:val="bottom"/>
          </w:tcPr>
          <w:p w14:paraId="14597668" w14:textId="77777777" w:rsidR="00B56E9C" w:rsidRPr="00CA2790" w:rsidRDefault="00B56E9C" w:rsidP="00B6553F">
            <w:pPr>
              <w:spacing w:after="80" w:line="300" w:lineRule="exact"/>
              <w:rPr>
                <w:b/>
                <w:sz w:val="24"/>
                <w:szCs w:val="24"/>
              </w:rPr>
            </w:pPr>
            <w:r w:rsidRPr="00CA2790">
              <w:rPr>
                <w:sz w:val="28"/>
                <w:szCs w:val="28"/>
              </w:rPr>
              <w:t>United Nations</w:t>
            </w:r>
          </w:p>
        </w:tc>
        <w:tc>
          <w:tcPr>
            <w:tcW w:w="6095" w:type="dxa"/>
            <w:gridSpan w:val="2"/>
            <w:tcBorders>
              <w:bottom w:val="single" w:sz="4" w:space="0" w:color="auto"/>
            </w:tcBorders>
            <w:vAlign w:val="bottom"/>
          </w:tcPr>
          <w:p w14:paraId="4720363E" w14:textId="77777777" w:rsidR="00B56E9C" w:rsidRPr="00CA2790" w:rsidRDefault="00E0440B" w:rsidP="00DF2F5C">
            <w:pPr>
              <w:jc w:val="right"/>
            </w:pPr>
            <w:r w:rsidRPr="00CA2790">
              <w:rPr>
                <w:sz w:val="40"/>
              </w:rPr>
              <w:t>CCPR</w:t>
            </w:r>
            <w:r w:rsidR="00EF73FA" w:rsidRPr="00CA2790">
              <w:t>/C/114/D/2360</w:t>
            </w:r>
            <w:r w:rsidRPr="00CA2790">
              <w:t>/201</w:t>
            </w:r>
            <w:r w:rsidR="00EF73FA" w:rsidRPr="00CA2790">
              <w:t>4</w:t>
            </w:r>
          </w:p>
        </w:tc>
      </w:tr>
      <w:tr w:rsidR="00B56E9C" w:rsidRPr="00CA2790" w14:paraId="76E8AC7F" w14:textId="77777777" w:rsidTr="00B6553F">
        <w:trPr>
          <w:cantSplit/>
          <w:trHeight w:hRule="exact" w:val="2835"/>
        </w:trPr>
        <w:tc>
          <w:tcPr>
            <w:tcW w:w="1276" w:type="dxa"/>
            <w:tcBorders>
              <w:top w:val="single" w:sz="4" w:space="0" w:color="auto"/>
              <w:bottom w:val="single" w:sz="12" w:space="0" w:color="auto"/>
            </w:tcBorders>
          </w:tcPr>
          <w:p w14:paraId="264FD3D4" w14:textId="77777777" w:rsidR="00B56E9C" w:rsidRPr="00CA2790" w:rsidRDefault="000C0213" w:rsidP="00B6553F">
            <w:pPr>
              <w:spacing w:before="120"/>
            </w:pPr>
            <w:r w:rsidRPr="000860F0">
              <w:rPr>
                <w:noProof/>
                <w:lang w:val="en-US"/>
              </w:rPr>
              <w:drawing>
                <wp:inline distT="0" distB="0" distL="0" distR="0" wp14:anchorId="36EB169F" wp14:editId="73CFA5D4">
                  <wp:extent cx="709295" cy="59817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9295" cy="59817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F7E3871" w14:textId="77777777" w:rsidR="00B56E9C" w:rsidRPr="00CA2790" w:rsidRDefault="00B56E9C" w:rsidP="00267F5F">
            <w:pPr>
              <w:spacing w:before="120" w:line="380" w:lineRule="exact"/>
              <w:rPr>
                <w:b/>
                <w:sz w:val="34"/>
                <w:szCs w:val="40"/>
              </w:rPr>
            </w:pPr>
            <w:r w:rsidRPr="00CA2790">
              <w:rPr>
                <w:b/>
                <w:sz w:val="34"/>
                <w:szCs w:val="40"/>
              </w:rPr>
              <w:t xml:space="preserve">International </w:t>
            </w:r>
            <w:r w:rsidR="00060C3A" w:rsidRPr="00CA2790">
              <w:rPr>
                <w:b/>
                <w:sz w:val="34"/>
                <w:szCs w:val="40"/>
              </w:rPr>
              <w:t>Covenant on</w:t>
            </w:r>
            <w:r w:rsidR="00060C3A" w:rsidRPr="00CA2790">
              <w:rPr>
                <w:b/>
                <w:sz w:val="34"/>
                <w:szCs w:val="40"/>
              </w:rPr>
              <w:br/>
              <w:t>Civil and Political R</w:t>
            </w:r>
            <w:r w:rsidR="00703577" w:rsidRPr="00CA2790">
              <w:rPr>
                <w:b/>
                <w:sz w:val="34"/>
                <w:szCs w:val="40"/>
              </w:rPr>
              <w:t>ights</w:t>
            </w:r>
          </w:p>
          <w:p w14:paraId="08482B62" w14:textId="77777777" w:rsidR="00F378AD" w:rsidRPr="00CA2790" w:rsidRDefault="00F378AD" w:rsidP="00267F5F">
            <w:pPr>
              <w:spacing w:before="120" w:line="380" w:lineRule="exact"/>
              <w:rPr>
                <w:sz w:val="34"/>
              </w:rPr>
            </w:pPr>
          </w:p>
        </w:tc>
        <w:tc>
          <w:tcPr>
            <w:tcW w:w="2835" w:type="dxa"/>
            <w:tcBorders>
              <w:top w:val="single" w:sz="4" w:space="0" w:color="auto"/>
              <w:bottom w:val="single" w:sz="12" w:space="0" w:color="auto"/>
            </w:tcBorders>
          </w:tcPr>
          <w:p w14:paraId="53B50A65" w14:textId="77777777" w:rsidR="00E0440B" w:rsidRPr="00CA2790" w:rsidRDefault="00E0440B" w:rsidP="00737DB5">
            <w:pPr>
              <w:spacing w:before="120" w:line="240" w:lineRule="exact"/>
            </w:pPr>
            <w:r w:rsidRPr="00CA2790">
              <w:t xml:space="preserve">Distr.: </w:t>
            </w:r>
            <w:r w:rsidR="00C5758E" w:rsidRPr="00CA2790">
              <w:t>General</w:t>
            </w:r>
            <w:r w:rsidR="009850EB">
              <w:br/>
            </w:r>
            <w:r w:rsidR="001D2619">
              <w:t>2</w:t>
            </w:r>
            <w:r w:rsidR="00737DB5">
              <w:t>5</w:t>
            </w:r>
            <w:r w:rsidR="007C539F" w:rsidRPr="00CA2790">
              <w:t xml:space="preserve"> September</w:t>
            </w:r>
            <w:r w:rsidR="00F378AD" w:rsidRPr="00CA2790">
              <w:t xml:space="preserve"> 2015</w:t>
            </w:r>
          </w:p>
          <w:p w14:paraId="635C9C95" w14:textId="77777777" w:rsidR="00E0440B" w:rsidRPr="00CA2790" w:rsidRDefault="00E0440B" w:rsidP="006E6A7F">
            <w:pPr>
              <w:spacing w:before="120" w:line="240" w:lineRule="exact"/>
            </w:pPr>
            <w:r w:rsidRPr="00CA2790">
              <w:t>Original: English</w:t>
            </w:r>
          </w:p>
          <w:p w14:paraId="72EFDC70" w14:textId="77777777" w:rsidR="00E31546" w:rsidRPr="00CA2790" w:rsidRDefault="00E31546" w:rsidP="00E0440B">
            <w:pPr>
              <w:spacing w:line="240" w:lineRule="exact"/>
            </w:pPr>
          </w:p>
        </w:tc>
      </w:tr>
    </w:tbl>
    <w:p w14:paraId="572E6F0F" w14:textId="77777777" w:rsidR="00CC3666" w:rsidRPr="000860F0" w:rsidRDefault="00CC3666" w:rsidP="000860F0">
      <w:pPr>
        <w:pStyle w:val="HChG"/>
        <w:keepNext w:val="0"/>
        <w:keepLines w:val="0"/>
        <w:spacing w:before="120"/>
        <w:rPr>
          <w:bCs/>
          <w:sz w:val="24"/>
          <w:szCs w:val="24"/>
        </w:rPr>
      </w:pPr>
      <w:r w:rsidRPr="00606B7C">
        <w:rPr>
          <w:bCs/>
          <w:sz w:val="24"/>
          <w:szCs w:val="24"/>
        </w:rPr>
        <w:t>Human Rights Committee</w:t>
      </w:r>
    </w:p>
    <w:p w14:paraId="2B677415" w14:textId="77777777" w:rsidR="00CC3666" w:rsidRPr="00CA2790" w:rsidRDefault="00CC3666" w:rsidP="00CC3666">
      <w:pPr>
        <w:pStyle w:val="HChG"/>
      </w:pPr>
      <w:r w:rsidRPr="00CA2790">
        <w:tab/>
      </w:r>
      <w:r w:rsidRPr="00CA2790">
        <w:tab/>
        <w:t xml:space="preserve">Communication No. </w:t>
      </w:r>
      <w:r w:rsidR="00EF73FA" w:rsidRPr="00CA2790">
        <w:t>2360</w:t>
      </w:r>
      <w:r w:rsidRPr="00CA2790">
        <w:t>/201</w:t>
      </w:r>
      <w:r w:rsidR="00EF73FA" w:rsidRPr="00CA2790">
        <w:t>4</w:t>
      </w:r>
    </w:p>
    <w:p w14:paraId="3ADD171B" w14:textId="77777777" w:rsidR="00F378AD" w:rsidRPr="002A7D55" w:rsidRDefault="00B34126" w:rsidP="002A7D55">
      <w:pPr>
        <w:pStyle w:val="H1G"/>
        <w:rPr>
          <w:sz w:val="22"/>
          <w:szCs w:val="18"/>
        </w:rPr>
      </w:pPr>
      <w:r w:rsidRPr="00CA2790">
        <w:tab/>
      </w:r>
      <w:r w:rsidRPr="00CA2790">
        <w:tab/>
      </w:r>
      <w:r w:rsidR="00F378AD" w:rsidRPr="00CA2790">
        <w:t>Views adopted by the Committee at its 114</w:t>
      </w:r>
      <w:r w:rsidR="00F378AD" w:rsidRPr="002A7D55">
        <w:t>th</w:t>
      </w:r>
      <w:r w:rsidR="00F378AD" w:rsidRPr="00CA2790">
        <w:t xml:space="preserve"> session</w:t>
      </w:r>
      <w:r w:rsidRPr="002A7D55">
        <w:rPr>
          <w:sz w:val="22"/>
          <w:szCs w:val="18"/>
        </w:rPr>
        <w:br/>
      </w:r>
      <w:r w:rsidR="00F378AD" w:rsidRPr="002A7D55">
        <w:rPr>
          <w:sz w:val="22"/>
          <w:szCs w:val="18"/>
        </w:rPr>
        <w:t>(</w:t>
      </w:r>
      <w:r w:rsidR="00F378AD" w:rsidRPr="002A7D55">
        <w:rPr>
          <w:bCs/>
          <w:sz w:val="22"/>
          <w:szCs w:val="18"/>
        </w:rPr>
        <w:t>29 June</w:t>
      </w:r>
      <w:r w:rsidR="000860F0" w:rsidRPr="002A7D55">
        <w:rPr>
          <w:bCs/>
          <w:sz w:val="22"/>
          <w:szCs w:val="18"/>
        </w:rPr>
        <w:t>-</w:t>
      </w:r>
      <w:r w:rsidR="00F378AD" w:rsidRPr="002A7D55">
        <w:rPr>
          <w:bCs/>
          <w:sz w:val="22"/>
          <w:szCs w:val="18"/>
        </w:rPr>
        <w:t>24 July 2015)</w:t>
      </w:r>
    </w:p>
    <w:p w14:paraId="4ECC399B" w14:textId="77777777" w:rsidR="00CC3666" w:rsidRPr="000860F0" w:rsidRDefault="00CC3666" w:rsidP="002A7D55">
      <w:pPr>
        <w:pStyle w:val="SingleTxtG"/>
        <w:ind w:left="4536" w:hanging="3402"/>
        <w:jc w:val="left"/>
        <w:rPr>
          <w:i/>
        </w:rPr>
      </w:pPr>
      <w:r w:rsidRPr="00606B7C">
        <w:rPr>
          <w:i/>
          <w:lang w:val="en-GB"/>
        </w:rPr>
        <w:t>Submitted</w:t>
      </w:r>
      <w:r w:rsidRPr="00606B7C">
        <w:rPr>
          <w:lang w:val="en-GB"/>
        </w:rPr>
        <w:t xml:space="preserve"> </w:t>
      </w:r>
      <w:r w:rsidRPr="002A7D55">
        <w:rPr>
          <w:i/>
          <w:iCs/>
          <w:lang w:val="en-GB"/>
        </w:rPr>
        <w:t>by:</w:t>
      </w:r>
      <w:r w:rsidRPr="00606B7C">
        <w:rPr>
          <w:i/>
          <w:lang w:val="en-GB"/>
        </w:rPr>
        <w:tab/>
      </w:r>
      <w:r w:rsidR="00EF73FA" w:rsidRPr="00606B7C">
        <w:rPr>
          <w:lang w:val="en-GB"/>
        </w:rPr>
        <w:t>Warda Osman</w:t>
      </w:r>
      <w:r w:rsidR="00AC61F3" w:rsidRPr="00606B7C">
        <w:rPr>
          <w:lang w:val="en-GB"/>
        </w:rPr>
        <w:t xml:space="preserve"> Jasin</w:t>
      </w:r>
      <w:r w:rsidR="00EF73FA" w:rsidRPr="00606B7C">
        <w:rPr>
          <w:lang w:val="en-GB"/>
        </w:rPr>
        <w:t xml:space="preserve"> </w:t>
      </w:r>
      <w:r w:rsidRPr="00606B7C">
        <w:rPr>
          <w:lang w:val="en-GB"/>
        </w:rPr>
        <w:t xml:space="preserve">(represented by </w:t>
      </w:r>
      <w:r w:rsidR="00AC61F3" w:rsidRPr="00606B7C">
        <w:rPr>
          <w:lang w:val="en-GB"/>
        </w:rPr>
        <w:t>the Danish Refugee Council</w:t>
      </w:r>
      <w:r w:rsidRPr="00606B7C">
        <w:rPr>
          <w:lang w:val="en-GB"/>
        </w:rPr>
        <w:t>)</w:t>
      </w:r>
    </w:p>
    <w:p w14:paraId="0BCABE23" w14:textId="77777777" w:rsidR="00CC3666" w:rsidRPr="00606B7C" w:rsidRDefault="00CC3666" w:rsidP="00CC3666">
      <w:pPr>
        <w:pStyle w:val="SingleTxtG"/>
        <w:ind w:left="4536" w:hanging="3402"/>
        <w:jc w:val="left"/>
        <w:rPr>
          <w:i/>
          <w:lang w:val="en-GB"/>
        </w:rPr>
      </w:pPr>
      <w:r w:rsidRPr="00606B7C">
        <w:rPr>
          <w:i/>
          <w:lang w:val="en-GB"/>
        </w:rPr>
        <w:t>Alleged victim:</w:t>
      </w:r>
      <w:r w:rsidRPr="00606B7C">
        <w:rPr>
          <w:i/>
          <w:lang w:val="en-GB"/>
        </w:rPr>
        <w:tab/>
      </w:r>
      <w:r w:rsidRPr="00606B7C">
        <w:rPr>
          <w:lang w:val="en-GB"/>
        </w:rPr>
        <w:t>The author</w:t>
      </w:r>
      <w:r w:rsidR="00063896">
        <w:rPr>
          <w:lang w:val="en-GB"/>
        </w:rPr>
        <w:t xml:space="preserve"> and her three children</w:t>
      </w:r>
    </w:p>
    <w:p w14:paraId="7BECFB7C" w14:textId="77777777" w:rsidR="00CC3666" w:rsidRPr="00606B7C" w:rsidRDefault="00CC3666" w:rsidP="00CC3666">
      <w:pPr>
        <w:pStyle w:val="SingleTxtG"/>
        <w:ind w:left="4536" w:hanging="3402"/>
        <w:jc w:val="left"/>
        <w:rPr>
          <w:i/>
          <w:lang w:val="en-GB"/>
        </w:rPr>
      </w:pPr>
      <w:r w:rsidRPr="00606B7C">
        <w:rPr>
          <w:i/>
          <w:lang w:val="en-GB"/>
        </w:rPr>
        <w:t>State Party:</w:t>
      </w:r>
      <w:r w:rsidRPr="00606B7C">
        <w:rPr>
          <w:i/>
          <w:lang w:val="en-GB"/>
        </w:rPr>
        <w:tab/>
      </w:r>
      <w:r w:rsidR="00AC61F3" w:rsidRPr="00606B7C">
        <w:rPr>
          <w:lang w:val="en-GB"/>
        </w:rPr>
        <w:t>Denmark</w:t>
      </w:r>
    </w:p>
    <w:p w14:paraId="4D78BBC8" w14:textId="77777777" w:rsidR="00CC3666" w:rsidRPr="00606B7C" w:rsidRDefault="00CC3666" w:rsidP="00CC3666">
      <w:pPr>
        <w:pStyle w:val="SingleTxtG"/>
        <w:ind w:left="4536" w:hanging="3402"/>
        <w:jc w:val="left"/>
        <w:rPr>
          <w:i/>
          <w:lang w:val="en-GB"/>
        </w:rPr>
      </w:pPr>
      <w:r w:rsidRPr="00606B7C">
        <w:rPr>
          <w:i/>
          <w:lang w:val="en-GB"/>
        </w:rPr>
        <w:t>Date of communication:</w:t>
      </w:r>
      <w:r w:rsidRPr="00606B7C">
        <w:rPr>
          <w:i/>
          <w:lang w:val="en-GB"/>
        </w:rPr>
        <w:tab/>
      </w:r>
      <w:r w:rsidR="00AC61F3" w:rsidRPr="00606B7C">
        <w:rPr>
          <w:lang w:val="en-GB"/>
        </w:rPr>
        <w:t>17 March 2014</w:t>
      </w:r>
      <w:r w:rsidRPr="00606B7C">
        <w:rPr>
          <w:lang w:val="en-GB"/>
        </w:rPr>
        <w:t xml:space="preserve"> (initial submission)</w:t>
      </w:r>
    </w:p>
    <w:p w14:paraId="2BC8CBB0" w14:textId="77777777" w:rsidR="00CC3666" w:rsidRPr="00606B7C" w:rsidRDefault="00CC3666" w:rsidP="00CC3666">
      <w:pPr>
        <w:pStyle w:val="SingleTxtG"/>
        <w:ind w:left="4536" w:hanging="3402"/>
        <w:jc w:val="left"/>
        <w:rPr>
          <w:i/>
          <w:lang w:val="en-GB"/>
        </w:rPr>
      </w:pPr>
      <w:r w:rsidRPr="00606B7C">
        <w:rPr>
          <w:i/>
          <w:lang w:val="en-GB"/>
        </w:rPr>
        <w:t>Document references:</w:t>
      </w:r>
      <w:r w:rsidRPr="00606B7C">
        <w:rPr>
          <w:i/>
          <w:lang w:val="en-GB"/>
        </w:rPr>
        <w:tab/>
      </w:r>
      <w:r w:rsidRPr="00606B7C">
        <w:rPr>
          <w:lang w:val="en-GB"/>
        </w:rPr>
        <w:t xml:space="preserve">Special Rapporteur’s rule 97 decision, transmitted to the State party on </w:t>
      </w:r>
      <w:r w:rsidR="00AC61F3" w:rsidRPr="00606B7C">
        <w:rPr>
          <w:lang w:val="en-GB"/>
        </w:rPr>
        <w:t>19 March 2014</w:t>
      </w:r>
      <w:r w:rsidRPr="00606B7C">
        <w:rPr>
          <w:lang w:val="en-GB"/>
        </w:rPr>
        <w:t xml:space="preserve"> (not issued in document form)</w:t>
      </w:r>
    </w:p>
    <w:p w14:paraId="513AE538" w14:textId="77777777" w:rsidR="00CC3666" w:rsidRDefault="00CC3666" w:rsidP="00CC3666">
      <w:pPr>
        <w:pStyle w:val="SingleTxtG"/>
        <w:ind w:left="4536" w:hanging="3402"/>
        <w:jc w:val="left"/>
        <w:rPr>
          <w:lang w:val="en-GB"/>
        </w:rPr>
      </w:pPr>
      <w:r w:rsidRPr="00606B7C">
        <w:rPr>
          <w:i/>
          <w:lang w:val="en-GB"/>
        </w:rPr>
        <w:t>Date of adoption of Views:</w:t>
      </w:r>
      <w:r w:rsidRPr="00606B7C">
        <w:rPr>
          <w:i/>
          <w:lang w:val="en-GB"/>
        </w:rPr>
        <w:tab/>
      </w:r>
      <w:r w:rsidR="00F378AD" w:rsidRPr="00606B7C">
        <w:rPr>
          <w:lang w:val="en-GB"/>
        </w:rPr>
        <w:t xml:space="preserve">22 </w:t>
      </w:r>
      <w:r w:rsidR="00AC61F3" w:rsidRPr="00606B7C">
        <w:rPr>
          <w:lang w:val="en-GB"/>
        </w:rPr>
        <w:t>July</w:t>
      </w:r>
      <w:r w:rsidRPr="00606B7C">
        <w:rPr>
          <w:lang w:val="en-GB"/>
        </w:rPr>
        <w:t xml:space="preserve"> 2015</w:t>
      </w:r>
    </w:p>
    <w:p w14:paraId="5B787DB8" w14:textId="77777777" w:rsidR="00CC3666" w:rsidRPr="00606B7C" w:rsidRDefault="000860F0" w:rsidP="00606B7C">
      <w:pPr>
        <w:pStyle w:val="SingleTxtG"/>
        <w:ind w:left="4536" w:hanging="3402"/>
        <w:jc w:val="left"/>
        <w:rPr>
          <w:iCs/>
          <w:lang w:val="en-GB"/>
        </w:rPr>
      </w:pPr>
      <w:r w:rsidRPr="00693EE3">
        <w:rPr>
          <w:i/>
          <w:lang w:val="en-GB"/>
        </w:rPr>
        <w:t xml:space="preserve">Subject matter: </w:t>
      </w:r>
      <w:r w:rsidRPr="00693EE3">
        <w:rPr>
          <w:i/>
          <w:lang w:val="en-GB"/>
        </w:rPr>
        <w:tab/>
      </w:r>
      <w:r w:rsidRPr="00693EE3">
        <w:rPr>
          <w:iCs/>
          <w:lang w:val="en-GB"/>
        </w:rPr>
        <w:t>Deportation from Denmark to Italy</w:t>
      </w:r>
    </w:p>
    <w:p w14:paraId="387BD6A8" w14:textId="77777777" w:rsidR="00CC3666" w:rsidRPr="00CA2790" w:rsidRDefault="00CC3666" w:rsidP="00CC3666">
      <w:pPr>
        <w:pStyle w:val="SingleTxtG"/>
        <w:ind w:left="4536" w:hanging="3402"/>
        <w:jc w:val="left"/>
        <w:rPr>
          <w:lang w:val="en-GB"/>
        </w:rPr>
      </w:pPr>
      <w:r w:rsidRPr="00606B7C">
        <w:rPr>
          <w:i/>
          <w:lang w:val="en-GB"/>
        </w:rPr>
        <w:t>Procedural issue</w:t>
      </w:r>
      <w:r w:rsidR="00F239E8" w:rsidRPr="00606B7C">
        <w:rPr>
          <w:i/>
          <w:lang w:val="en-GB"/>
        </w:rPr>
        <w:t>s</w:t>
      </w:r>
      <w:r w:rsidRPr="00606B7C">
        <w:rPr>
          <w:i/>
          <w:lang w:val="en-GB"/>
        </w:rPr>
        <w:t>:</w:t>
      </w:r>
      <w:r w:rsidRPr="00606B7C">
        <w:rPr>
          <w:lang w:val="en-GB"/>
        </w:rPr>
        <w:t xml:space="preserve"> </w:t>
      </w:r>
      <w:r w:rsidRPr="00606B7C">
        <w:rPr>
          <w:lang w:val="en-GB"/>
        </w:rPr>
        <w:tab/>
      </w:r>
      <w:r w:rsidR="00E31546" w:rsidRPr="00CA2790">
        <w:rPr>
          <w:lang w:val="en-GB"/>
        </w:rPr>
        <w:t>-</w:t>
      </w:r>
    </w:p>
    <w:p w14:paraId="01E6CA92" w14:textId="77777777" w:rsidR="00BA7FB2" w:rsidRPr="00606B7C" w:rsidRDefault="00CC3666" w:rsidP="00CC3666">
      <w:pPr>
        <w:pStyle w:val="SingleTxtG"/>
        <w:ind w:left="4536" w:hanging="3402"/>
        <w:jc w:val="left"/>
        <w:rPr>
          <w:lang w:val="en-GB"/>
        </w:rPr>
      </w:pPr>
      <w:r w:rsidRPr="00606B7C">
        <w:rPr>
          <w:i/>
          <w:lang w:val="en-GB"/>
        </w:rPr>
        <w:t>Substantive issues:</w:t>
      </w:r>
      <w:r w:rsidRPr="00606B7C">
        <w:rPr>
          <w:lang w:val="en-GB"/>
        </w:rPr>
        <w:t xml:space="preserve"> </w:t>
      </w:r>
      <w:r w:rsidRPr="00606B7C">
        <w:rPr>
          <w:lang w:val="en-GB"/>
        </w:rPr>
        <w:tab/>
      </w:r>
      <w:r w:rsidR="00BA7FB2" w:rsidRPr="00606B7C">
        <w:rPr>
          <w:lang w:val="en-GB"/>
        </w:rPr>
        <w:t>P</w:t>
      </w:r>
      <w:r w:rsidRPr="00606B7C">
        <w:rPr>
          <w:lang w:val="en-GB"/>
        </w:rPr>
        <w:t>rohibition of torture or</w:t>
      </w:r>
      <w:r w:rsidR="00063896">
        <w:rPr>
          <w:lang w:val="en-GB"/>
        </w:rPr>
        <w:t xml:space="preserve"> other</w:t>
      </w:r>
      <w:r w:rsidRPr="00606B7C">
        <w:rPr>
          <w:lang w:val="en-GB"/>
        </w:rPr>
        <w:t xml:space="preserve"> cruel, inhuman or degrading treatment</w:t>
      </w:r>
    </w:p>
    <w:p w14:paraId="0DF5E6DC" w14:textId="77777777" w:rsidR="00BA7FB2" w:rsidRPr="00606B7C" w:rsidRDefault="00CC3666" w:rsidP="00CC3666">
      <w:pPr>
        <w:pStyle w:val="SingleTxtG"/>
        <w:ind w:left="4536" w:hanging="3402"/>
        <w:jc w:val="left"/>
        <w:rPr>
          <w:lang w:val="en-GB"/>
        </w:rPr>
      </w:pPr>
      <w:r w:rsidRPr="00606B7C">
        <w:rPr>
          <w:i/>
          <w:lang w:val="en-GB"/>
        </w:rPr>
        <w:t>Articles of the Covenant:</w:t>
      </w:r>
      <w:r w:rsidRPr="00606B7C">
        <w:rPr>
          <w:lang w:val="en-GB"/>
        </w:rPr>
        <w:t xml:space="preserve"> </w:t>
      </w:r>
      <w:r w:rsidRPr="00606B7C">
        <w:rPr>
          <w:lang w:val="en-GB"/>
        </w:rPr>
        <w:tab/>
        <w:t>7</w:t>
      </w:r>
    </w:p>
    <w:p w14:paraId="2DA632A8" w14:textId="77777777" w:rsidR="00CC3666" w:rsidRPr="00CA2790" w:rsidRDefault="00CC3666" w:rsidP="00CC3666">
      <w:pPr>
        <w:pStyle w:val="SingleTxtG"/>
        <w:ind w:left="4536" w:hanging="3402"/>
        <w:jc w:val="left"/>
        <w:rPr>
          <w:lang w:val="en-GB"/>
        </w:rPr>
      </w:pPr>
      <w:r w:rsidRPr="00606B7C">
        <w:rPr>
          <w:i/>
          <w:lang w:val="en-GB"/>
        </w:rPr>
        <w:t>Articles of the Optional Protocol:</w:t>
      </w:r>
      <w:r w:rsidRPr="00606B7C">
        <w:rPr>
          <w:lang w:val="en-GB"/>
        </w:rPr>
        <w:t xml:space="preserve"> </w:t>
      </w:r>
      <w:r w:rsidRPr="00606B7C">
        <w:rPr>
          <w:lang w:val="en-GB"/>
        </w:rPr>
        <w:tab/>
      </w:r>
      <w:r w:rsidR="00E31546" w:rsidRPr="00CA2790">
        <w:rPr>
          <w:lang w:val="en-GB"/>
        </w:rPr>
        <w:t>-</w:t>
      </w:r>
    </w:p>
    <w:p w14:paraId="5BF2325E" w14:textId="77777777" w:rsidR="00CC3666" w:rsidRPr="00606B7C" w:rsidRDefault="00C06E4B" w:rsidP="00CC3666">
      <w:pPr>
        <w:pStyle w:val="SingleTxtG"/>
        <w:jc w:val="center"/>
        <w:rPr>
          <w:bCs/>
          <w:iCs/>
          <w:lang w:val="en-GB"/>
        </w:rPr>
      </w:pPr>
      <w:r w:rsidRPr="00606B7C" w:rsidDel="00C06E4B">
        <w:rPr>
          <w:lang w:val="en-GB"/>
        </w:rPr>
        <w:t xml:space="preserve"> </w:t>
      </w:r>
    </w:p>
    <w:p w14:paraId="75832A18" w14:textId="77777777" w:rsidR="00CC3666" w:rsidRPr="00CA2790" w:rsidRDefault="00CC3666" w:rsidP="00CC3666">
      <w:pPr>
        <w:pStyle w:val="HChG"/>
      </w:pPr>
      <w:r w:rsidRPr="00CA2790">
        <w:br w:type="page"/>
      </w:r>
      <w:r w:rsidRPr="00CA2790">
        <w:lastRenderedPageBreak/>
        <w:t>Annex</w:t>
      </w:r>
    </w:p>
    <w:p w14:paraId="43F2D4C7" w14:textId="77777777" w:rsidR="00CC3666" w:rsidRPr="00CA2790" w:rsidRDefault="00CC3666" w:rsidP="00063896">
      <w:pPr>
        <w:pStyle w:val="HChG"/>
        <w:rPr>
          <w:bCs/>
        </w:rPr>
      </w:pPr>
      <w:r w:rsidRPr="00CA2790">
        <w:tab/>
      </w:r>
      <w:r w:rsidRPr="00CA2790">
        <w:tab/>
        <w:t>Views of the Human Rights Committee under article 5</w:t>
      </w:r>
      <w:r w:rsidR="00063896">
        <w:t xml:space="preserve"> (</w:t>
      </w:r>
      <w:r w:rsidRPr="00CA2790">
        <w:t>4</w:t>
      </w:r>
      <w:r w:rsidR="00063896">
        <w:t>)</w:t>
      </w:r>
      <w:r w:rsidRPr="00CA2790">
        <w:t xml:space="preserve"> of the Optional Protocol to the International Covenant on Civil and Political Rights (</w:t>
      </w:r>
      <w:r w:rsidR="000C0213" w:rsidRPr="00CA2790">
        <w:t>114</w:t>
      </w:r>
      <w:r w:rsidRPr="00CA2790">
        <w:rPr>
          <w:bCs/>
        </w:rPr>
        <w:t>th session)</w:t>
      </w:r>
    </w:p>
    <w:p w14:paraId="55D9AC16" w14:textId="77777777" w:rsidR="00CC3666" w:rsidRPr="00606B7C" w:rsidRDefault="00CC3666" w:rsidP="00CC3666">
      <w:pPr>
        <w:pStyle w:val="SingleTxtG"/>
        <w:rPr>
          <w:lang w:val="en-GB"/>
        </w:rPr>
      </w:pPr>
      <w:r w:rsidRPr="00606B7C">
        <w:rPr>
          <w:lang w:val="en-GB"/>
        </w:rPr>
        <w:t>concerning</w:t>
      </w:r>
    </w:p>
    <w:p w14:paraId="1AABA102" w14:textId="77777777" w:rsidR="00F378AD" w:rsidRPr="006E6A7F" w:rsidRDefault="00CC3666" w:rsidP="002A7D55">
      <w:pPr>
        <w:pStyle w:val="HChG"/>
        <w:rPr>
          <w:szCs w:val="24"/>
          <w:lang w:eastAsia="en-GB"/>
        </w:rPr>
      </w:pPr>
      <w:r w:rsidRPr="000860F0">
        <w:tab/>
      </w:r>
      <w:r w:rsidRPr="000860F0">
        <w:tab/>
        <w:t>Communication No. 2</w:t>
      </w:r>
      <w:r w:rsidR="002036B9" w:rsidRPr="000860F0">
        <w:t>360</w:t>
      </w:r>
      <w:r w:rsidRPr="000860F0">
        <w:t>/201</w:t>
      </w:r>
      <w:r w:rsidR="002036B9" w:rsidRPr="000860F0">
        <w:t>4</w:t>
      </w:r>
      <w:r w:rsidR="00F378AD" w:rsidRPr="00606B7C">
        <w:rPr>
          <w:rStyle w:val="FootnoteReference"/>
          <w:b w:val="0"/>
          <w:bCs/>
          <w:sz w:val="20"/>
          <w:vertAlign w:val="baseline"/>
        </w:rPr>
        <w:footnoteReference w:customMarkFollows="1" w:id="2"/>
        <w:t>*</w:t>
      </w:r>
    </w:p>
    <w:p w14:paraId="454C9B79" w14:textId="77777777" w:rsidR="002036B9" w:rsidRPr="00606B7C" w:rsidRDefault="00CC3666" w:rsidP="00063896">
      <w:pPr>
        <w:pStyle w:val="SingleTxtG"/>
        <w:ind w:left="4536" w:hanging="3402"/>
        <w:jc w:val="left"/>
        <w:rPr>
          <w:i/>
          <w:lang w:val="en-GB"/>
        </w:rPr>
      </w:pPr>
      <w:r w:rsidRPr="00606B7C">
        <w:rPr>
          <w:i/>
          <w:lang w:val="en-GB"/>
        </w:rPr>
        <w:t>Submitted by:</w:t>
      </w:r>
      <w:r w:rsidRPr="00606B7C">
        <w:rPr>
          <w:lang w:val="en-GB"/>
        </w:rPr>
        <w:tab/>
      </w:r>
      <w:r w:rsidR="002036B9" w:rsidRPr="00606B7C">
        <w:rPr>
          <w:lang w:val="en-GB"/>
        </w:rPr>
        <w:t>Warda Osman Jasin (represented by the Danish Refugee Council)</w:t>
      </w:r>
    </w:p>
    <w:p w14:paraId="26F55151" w14:textId="77777777" w:rsidR="00CC3666" w:rsidRPr="00606B7C" w:rsidRDefault="00CC3666" w:rsidP="00CC3666">
      <w:pPr>
        <w:pStyle w:val="SingleTxtG"/>
        <w:ind w:left="4536" w:hanging="3402"/>
        <w:jc w:val="left"/>
        <w:rPr>
          <w:lang w:val="en-GB"/>
        </w:rPr>
      </w:pPr>
      <w:r w:rsidRPr="00606B7C">
        <w:rPr>
          <w:i/>
          <w:lang w:val="en-GB"/>
        </w:rPr>
        <w:t>Alleged victim:</w:t>
      </w:r>
      <w:r w:rsidRPr="00606B7C">
        <w:rPr>
          <w:lang w:val="en-GB"/>
        </w:rPr>
        <w:tab/>
        <w:t>The author</w:t>
      </w:r>
      <w:r w:rsidR="00063896">
        <w:rPr>
          <w:lang w:val="en-GB"/>
        </w:rPr>
        <w:t xml:space="preserve"> and her three children</w:t>
      </w:r>
    </w:p>
    <w:p w14:paraId="2C3D5A88" w14:textId="77777777" w:rsidR="00CC3666" w:rsidRPr="00606B7C" w:rsidRDefault="00CC3666" w:rsidP="00CC3666">
      <w:pPr>
        <w:pStyle w:val="SingleTxtG"/>
        <w:ind w:left="4536" w:hanging="3402"/>
        <w:jc w:val="left"/>
        <w:rPr>
          <w:lang w:val="en-GB"/>
        </w:rPr>
      </w:pPr>
      <w:r w:rsidRPr="00606B7C">
        <w:rPr>
          <w:i/>
          <w:lang w:val="en-GB"/>
        </w:rPr>
        <w:t>State Party:</w:t>
      </w:r>
      <w:r w:rsidRPr="00606B7C">
        <w:rPr>
          <w:lang w:val="en-GB"/>
        </w:rPr>
        <w:tab/>
      </w:r>
      <w:r w:rsidR="002036B9" w:rsidRPr="00606B7C">
        <w:rPr>
          <w:lang w:val="en-GB"/>
        </w:rPr>
        <w:t>Denmark</w:t>
      </w:r>
    </w:p>
    <w:p w14:paraId="48C6DF88" w14:textId="77777777" w:rsidR="00CC3666" w:rsidRPr="00606B7C" w:rsidRDefault="00CC3666" w:rsidP="00CC3666">
      <w:pPr>
        <w:pStyle w:val="SingleTxtG"/>
        <w:ind w:left="4536" w:hanging="3402"/>
        <w:jc w:val="left"/>
        <w:rPr>
          <w:lang w:val="en-GB"/>
        </w:rPr>
      </w:pPr>
      <w:r w:rsidRPr="00606B7C">
        <w:rPr>
          <w:i/>
          <w:lang w:val="en-GB"/>
        </w:rPr>
        <w:t>Date of communication:</w:t>
      </w:r>
      <w:r w:rsidRPr="00606B7C">
        <w:rPr>
          <w:lang w:val="en-GB"/>
        </w:rPr>
        <w:tab/>
      </w:r>
      <w:r w:rsidR="002036B9" w:rsidRPr="00606B7C">
        <w:rPr>
          <w:lang w:val="en-GB"/>
        </w:rPr>
        <w:t>17 March 2014</w:t>
      </w:r>
      <w:r w:rsidRPr="00606B7C">
        <w:rPr>
          <w:lang w:val="en-GB"/>
        </w:rPr>
        <w:t xml:space="preserve"> (initial submission)</w:t>
      </w:r>
    </w:p>
    <w:p w14:paraId="107A533A" w14:textId="77777777" w:rsidR="00CC3666" w:rsidRPr="00606B7C" w:rsidRDefault="00CC3666" w:rsidP="00CC3666">
      <w:pPr>
        <w:pStyle w:val="SingleTxtG"/>
        <w:rPr>
          <w:lang w:val="en-GB"/>
        </w:rPr>
      </w:pPr>
      <w:r w:rsidRPr="00606B7C">
        <w:rPr>
          <w:lang w:val="en-GB"/>
        </w:rPr>
        <w:tab/>
      </w:r>
      <w:r w:rsidRPr="00606B7C">
        <w:rPr>
          <w:i/>
          <w:lang w:val="en-GB"/>
        </w:rPr>
        <w:t>The Human Rights Committee</w:t>
      </w:r>
      <w:r w:rsidRPr="00606B7C">
        <w:rPr>
          <w:lang w:val="en-GB"/>
        </w:rPr>
        <w:t xml:space="preserve">, established under article 28 of the International Covenant on Civil and Political Rights, </w:t>
      </w:r>
    </w:p>
    <w:p w14:paraId="3FD7A459" w14:textId="77777777" w:rsidR="00CC3666" w:rsidRPr="00606B7C" w:rsidRDefault="00CC3666" w:rsidP="00CC3666">
      <w:pPr>
        <w:pStyle w:val="SingleTxtG"/>
        <w:rPr>
          <w:lang w:val="en-GB"/>
        </w:rPr>
      </w:pPr>
      <w:r w:rsidRPr="00606B7C">
        <w:rPr>
          <w:lang w:val="en-GB"/>
        </w:rPr>
        <w:tab/>
      </w:r>
      <w:r w:rsidRPr="00606B7C">
        <w:rPr>
          <w:i/>
          <w:lang w:val="en-GB"/>
        </w:rPr>
        <w:t xml:space="preserve">Meeting on </w:t>
      </w:r>
      <w:r w:rsidR="00F378AD" w:rsidRPr="00606B7C">
        <w:rPr>
          <w:lang w:val="en-GB"/>
        </w:rPr>
        <w:t xml:space="preserve">22 </w:t>
      </w:r>
      <w:r w:rsidR="002036B9" w:rsidRPr="00606B7C">
        <w:rPr>
          <w:lang w:val="en-GB"/>
        </w:rPr>
        <w:t>July</w:t>
      </w:r>
      <w:r w:rsidRPr="00606B7C">
        <w:rPr>
          <w:lang w:val="en-GB"/>
        </w:rPr>
        <w:t xml:space="preserve"> 2015,</w:t>
      </w:r>
    </w:p>
    <w:p w14:paraId="4EC8C0B9" w14:textId="77777777" w:rsidR="00CC3666" w:rsidRPr="00606B7C" w:rsidRDefault="00CC3666" w:rsidP="00063896">
      <w:pPr>
        <w:pStyle w:val="SingleTxtG"/>
        <w:rPr>
          <w:lang w:val="en-GB"/>
        </w:rPr>
      </w:pPr>
      <w:r w:rsidRPr="00606B7C">
        <w:rPr>
          <w:lang w:val="en-GB"/>
        </w:rPr>
        <w:tab/>
      </w:r>
      <w:r w:rsidRPr="00606B7C">
        <w:rPr>
          <w:i/>
          <w:lang w:val="en-GB"/>
        </w:rPr>
        <w:t>Having concluded</w:t>
      </w:r>
      <w:r w:rsidRPr="00606B7C">
        <w:rPr>
          <w:lang w:val="en-GB"/>
        </w:rPr>
        <w:t xml:space="preserve"> its consideration of communication No. </w:t>
      </w:r>
      <w:r w:rsidR="002036B9" w:rsidRPr="00606B7C">
        <w:rPr>
          <w:lang w:val="en-GB"/>
        </w:rPr>
        <w:t>2360</w:t>
      </w:r>
      <w:r w:rsidRPr="00606B7C">
        <w:rPr>
          <w:lang w:val="en-GB"/>
        </w:rPr>
        <w:t>/201</w:t>
      </w:r>
      <w:r w:rsidR="002036B9" w:rsidRPr="00606B7C">
        <w:rPr>
          <w:lang w:val="en-GB"/>
        </w:rPr>
        <w:t>4</w:t>
      </w:r>
      <w:r w:rsidRPr="00606B7C">
        <w:rPr>
          <w:lang w:val="en-GB"/>
        </w:rPr>
        <w:t xml:space="preserve">, submitted to the Human Rights Committee </w:t>
      </w:r>
      <w:r w:rsidR="00063896">
        <w:rPr>
          <w:lang w:val="en-GB"/>
        </w:rPr>
        <w:t xml:space="preserve">by </w:t>
      </w:r>
      <w:r w:rsidR="002036B9" w:rsidRPr="00606B7C">
        <w:rPr>
          <w:lang w:val="en-GB"/>
        </w:rPr>
        <w:t>Warda Osman Jasin</w:t>
      </w:r>
      <w:r w:rsidR="00063896">
        <w:rPr>
          <w:lang w:val="en-GB"/>
        </w:rPr>
        <w:t>,</w:t>
      </w:r>
      <w:r w:rsidRPr="00606B7C">
        <w:rPr>
          <w:lang w:val="en-GB"/>
        </w:rPr>
        <w:t xml:space="preserve"> under the Optional Protocol to the International Covenant on Civil and Political Rights,</w:t>
      </w:r>
    </w:p>
    <w:p w14:paraId="0696639C" w14:textId="77777777" w:rsidR="00CC3666" w:rsidRPr="00606B7C" w:rsidRDefault="00CC3666" w:rsidP="00063896">
      <w:pPr>
        <w:pStyle w:val="SingleTxtG"/>
        <w:rPr>
          <w:lang w:val="en-GB"/>
        </w:rPr>
      </w:pPr>
      <w:r w:rsidRPr="00606B7C">
        <w:rPr>
          <w:lang w:val="en-GB"/>
        </w:rPr>
        <w:tab/>
      </w:r>
      <w:r w:rsidRPr="00606B7C">
        <w:rPr>
          <w:i/>
          <w:lang w:val="en-GB"/>
        </w:rPr>
        <w:t>Having taken into account</w:t>
      </w:r>
      <w:r w:rsidRPr="00606B7C">
        <w:rPr>
          <w:lang w:val="en-GB"/>
        </w:rPr>
        <w:t xml:space="preserve"> all written information made available to it by the author of the communication and the State party,</w:t>
      </w:r>
    </w:p>
    <w:p w14:paraId="52780873" w14:textId="77777777" w:rsidR="00CC3666" w:rsidRPr="00606B7C" w:rsidRDefault="00CC3666" w:rsidP="00CC3666">
      <w:pPr>
        <w:pStyle w:val="SingleTxtG"/>
        <w:rPr>
          <w:bCs/>
          <w:lang w:val="en-GB"/>
        </w:rPr>
      </w:pPr>
      <w:r w:rsidRPr="00606B7C">
        <w:rPr>
          <w:bCs/>
          <w:lang w:val="en-GB"/>
        </w:rPr>
        <w:tab/>
      </w:r>
      <w:r w:rsidRPr="00606B7C">
        <w:rPr>
          <w:i/>
          <w:lang w:val="en-GB"/>
        </w:rPr>
        <w:t xml:space="preserve">Adopts </w:t>
      </w:r>
      <w:r w:rsidRPr="00606B7C">
        <w:rPr>
          <w:iCs/>
          <w:lang w:val="en-GB"/>
        </w:rPr>
        <w:t>the following</w:t>
      </w:r>
      <w:r w:rsidRPr="00606B7C">
        <w:rPr>
          <w:bCs/>
          <w:lang w:val="en-GB"/>
        </w:rPr>
        <w:t>:</w:t>
      </w:r>
    </w:p>
    <w:p w14:paraId="61E90721" w14:textId="77777777" w:rsidR="00CC3666" w:rsidRPr="00CA2790" w:rsidRDefault="00CC3666" w:rsidP="00063896">
      <w:pPr>
        <w:pStyle w:val="H1G"/>
      </w:pPr>
      <w:r w:rsidRPr="00CA2790">
        <w:tab/>
      </w:r>
      <w:r w:rsidRPr="00CA2790">
        <w:tab/>
        <w:t>Views under article 5</w:t>
      </w:r>
      <w:r w:rsidR="00063896">
        <w:t xml:space="preserve"> (</w:t>
      </w:r>
      <w:r w:rsidRPr="00CA2790">
        <w:t>4</w:t>
      </w:r>
      <w:r w:rsidR="00063896">
        <w:t>)</w:t>
      </w:r>
      <w:r w:rsidRPr="00CA2790">
        <w:t xml:space="preserve"> of the Optional Protocol</w:t>
      </w:r>
    </w:p>
    <w:p w14:paraId="43C377A5" w14:textId="77777777" w:rsidR="00DF41C1" w:rsidRPr="00CA2790" w:rsidRDefault="00CC3666" w:rsidP="00082720">
      <w:pPr>
        <w:pStyle w:val="SingleTxtG"/>
      </w:pPr>
      <w:r w:rsidRPr="006E6A7F">
        <w:t>1.1</w:t>
      </w:r>
      <w:r w:rsidRPr="006E6A7F">
        <w:tab/>
      </w:r>
      <w:r w:rsidR="00B22F4B" w:rsidRPr="006E6A7F">
        <w:t>The author of the communication</w:t>
      </w:r>
      <w:r w:rsidR="00B22F4B" w:rsidRPr="00606B7C">
        <w:rPr>
          <w:rStyle w:val="FootnoteReference"/>
          <w:lang w:val="en-GB"/>
        </w:rPr>
        <w:footnoteReference w:id="3"/>
      </w:r>
      <w:r w:rsidR="00B22F4B" w:rsidRPr="006E6A7F">
        <w:t xml:space="preserve"> is Warda Osman Jasin</w:t>
      </w:r>
      <w:r w:rsidR="003F4071" w:rsidRPr="006E6A7F">
        <w:t>, born on 2 May 1990</w:t>
      </w:r>
      <w:r w:rsidR="0056519B">
        <w:rPr>
          <w:lang w:val="en-US"/>
        </w:rPr>
        <w:t xml:space="preserve"> in Somalia</w:t>
      </w:r>
      <w:r w:rsidR="00B22F4B" w:rsidRPr="00346E6D">
        <w:t xml:space="preserve">. She </w:t>
      </w:r>
      <w:r w:rsidR="0056519B">
        <w:rPr>
          <w:lang w:val="en-US"/>
        </w:rPr>
        <w:t>submits</w:t>
      </w:r>
      <w:r w:rsidR="00B22F4B" w:rsidRPr="00346E6D">
        <w:t xml:space="preserve"> the com</w:t>
      </w:r>
      <w:r w:rsidR="0056519B">
        <w:rPr>
          <w:lang w:val="en-US"/>
        </w:rPr>
        <w:t>munication</w:t>
      </w:r>
      <w:r w:rsidR="00B22F4B" w:rsidRPr="00346E6D">
        <w:t xml:space="preserve"> on behalf of herself and her three minor children: S</w:t>
      </w:r>
      <w:r w:rsidR="00F378AD" w:rsidRPr="00606B7C">
        <w:t>, S</w:t>
      </w:r>
      <w:r w:rsidR="00F378AD" w:rsidRPr="00CA2790">
        <w:t xml:space="preserve">U </w:t>
      </w:r>
      <w:r w:rsidR="00E10EFE" w:rsidRPr="00CA2790">
        <w:t>a</w:t>
      </w:r>
      <w:r w:rsidR="00F378AD" w:rsidRPr="00CA2790">
        <w:t xml:space="preserve">nd F. </w:t>
      </w:r>
      <w:r w:rsidR="00B22F4B" w:rsidRPr="00CA2790">
        <w:t>The</w:t>
      </w:r>
      <w:r w:rsidR="00606B7C">
        <w:rPr>
          <w:lang w:val="en-US"/>
        </w:rPr>
        <w:t xml:space="preserve"> author is a </w:t>
      </w:r>
      <w:r w:rsidR="00B22F4B" w:rsidRPr="00CA2790">
        <w:t xml:space="preserve">Somali national </w:t>
      </w:r>
      <w:r w:rsidR="00171716">
        <w:rPr>
          <w:lang w:val="en-US"/>
        </w:rPr>
        <w:t xml:space="preserve">seeking asylum </w:t>
      </w:r>
      <w:r w:rsidR="00B22F4B" w:rsidRPr="00CA2790">
        <w:t xml:space="preserve">in Denmark and subject to deportation to Italy </w:t>
      </w:r>
      <w:r w:rsidR="0073553F" w:rsidRPr="00693EE3">
        <w:t xml:space="preserve">following </w:t>
      </w:r>
      <w:r w:rsidR="00171716">
        <w:rPr>
          <w:lang w:val="en-US"/>
        </w:rPr>
        <w:t xml:space="preserve">the Danish authorities’ </w:t>
      </w:r>
      <w:r w:rsidR="00B22F4B" w:rsidRPr="006E6A7F">
        <w:t xml:space="preserve">rejection of </w:t>
      </w:r>
      <w:r w:rsidR="00606B7C">
        <w:rPr>
          <w:lang w:val="en-US"/>
        </w:rPr>
        <w:t>her</w:t>
      </w:r>
      <w:r w:rsidR="00B22F4B" w:rsidRPr="006E6A7F">
        <w:t xml:space="preserve"> application for </w:t>
      </w:r>
      <w:r w:rsidR="00B22F4B" w:rsidRPr="006E6A7F">
        <w:lastRenderedPageBreak/>
        <w:t>refugee status in Denmark.</w:t>
      </w:r>
      <w:r w:rsidR="00EC25E8" w:rsidRPr="00606B7C">
        <w:rPr>
          <w:rStyle w:val="FootnoteReference"/>
          <w:lang w:val="en-GB"/>
        </w:rPr>
        <w:footnoteReference w:id="4"/>
      </w:r>
      <w:r w:rsidR="00B22F4B" w:rsidRPr="006E6A7F">
        <w:t xml:space="preserve"> The author claims that by forcibly deporting her and her children to Italy, Denmark would violate their rights under article 7 of the International Covenant on Civil and Political Rights. The author is represented by </w:t>
      </w:r>
      <w:r w:rsidR="00DF41C1" w:rsidRPr="006E6A7F">
        <w:t>the Danish Refugee Co</w:t>
      </w:r>
      <w:r w:rsidR="00DF41C1" w:rsidRPr="00346E6D">
        <w:t>uncil</w:t>
      </w:r>
      <w:r w:rsidR="00B22F4B" w:rsidRPr="00346E6D">
        <w:t>. The first Optional Protocol to the Covenant entered into forc</w:t>
      </w:r>
      <w:r w:rsidR="00E31546" w:rsidRPr="00CA2790">
        <w:t>e for Denmark on 23 March 1976.</w:t>
      </w:r>
    </w:p>
    <w:p w14:paraId="3CD1DC0B" w14:textId="77777777" w:rsidR="00CC3666" w:rsidRPr="00606B7C" w:rsidRDefault="00CC3666" w:rsidP="00171716">
      <w:pPr>
        <w:pStyle w:val="SingleTxtG"/>
        <w:rPr>
          <w:lang w:val="en-GB"/>
        </w:rPr>
      </w:pPr>
      <w:r w:rsidRPr="00606B7C">
        <w:rPr>
          <w:lang w:val="en-GB"/>
        </w:rPr>
        <w:t>1.2</w:t>
      </w:r>
      <w:r w:rsidRPr="00606B7C">
        <w:rPr>
          <w:lang w:val="en-GB"/>
        </w:rPr>
        <w:tab/>
        <w:t xml:space="preserve">On </w:t>
      </w:r>
      <w:r w:rsidR="002036B9" w:rsidRPr="00606B7C">
        <w:rPr>
          <w:lang w:val="en-GB"/>
        </w:rPr>
        <w:t>19 March 2014</w:t>
      </w:r>
      <w:r w:rsidRPr="00606B7C">
        <w:rPr>
          <w:lang w:val="en-GB"/>
        </w:rPr>
        <w:t xml:space="preserve">, pursuant to rule 92 of the Committee’s </w:t>
      </w:r>
      <w:r w:rsidR="00171716">
        <w:rPr>
          <w:lang w:val="en-GB"/>
        </w:rPr>
        <w:t>r</w:t>
      </w:r>
      <w:r w:rsidRPr="00606B7C">
        <w:rPr>
          <w:lang w:val="en-GB"/>
        </w:rPr>
        <w:t xml:space="preserve">ules of </w:t>
      </w:r>
      <w:r w:rsidR="00171716">
        <w:rPr>
          <w:lang w:val="en-GB"/>
        </w:rPr>
        <w:t>p</w:t>
      </w:r>
      <w:r w:rsidRPr="00606B7C">
        <w:rPr>
          <w:lang w:val="en-GB"/>
        </w:rPr>
        <w:t xml:space="preserve">rocedure, the Committee, acting through its Special Rapporteur on </w:t>
      </w:r>
      <w:r w:rsidR="00171716">
        <w:rPr>
          <w:lang w:val="en-GB"/>
        </w:rPr>
        <w:t>n</w:t>
      </w:r>
      <w:r w:rsidRPr="00606B7C">
        <w:rPr>
          <w:lang w:val="en-GB"/>
        </w:rPr>
        <w:t xml:space="preserve">ew </w:t>
      </w:r>
      <w:r w:rsidR="00171716">
        <w:rPr>
          <w:lang w:val="en-GB"/>
        </w:rPr>
        <w:t>c</w:t>
      </w:r>
      <w:r w:rsidRPr="00606B7C">
        <w:rPr>
          <w:lang w:val="en-GB"/>
        </w:rPr>
        <w:t xml:space="preserve">ommunications and </w:t>
      </w:r>
      <w:r w:rsidR="00171716">
        <w:rPr>
          <w:lang w:val="en-GB"/>
        </w:rPr>
        <w:t>i</w:t>
      </w:r>
      <w:r w:rsidRPr="00606B7C">
        <w:rPr>
          <w:lang w:val="en-GB"/>
        </w:rPr>
        <w:t xml:space="preserve">nterim </w:t>
      </w:r>
      <w:r w:rsidR="00171716">
        <w:rPr>
          <w:lang w:val="en-GB"/>
        </w:rPr>
        <w:t>m</w:t>
      </w:r>
      <w:r w:rsidRPr="00606B7C">
        <w:rPr>
          <w:lang w:val="en-GB"/>
        </w:rPr>
        <w:t>easures, requested the State party not to deport the author</w:t>
      </w:r>
      <w:r w:rsidR="002036B9" w:rsidRPr="00606B7C">
        <w:rPr>
          <w:lang w:val="en-GB"/>
        </w:rPr>
        <w:t xml:space="preserve"> and her children</w:t>
      </w:r>
      <w:r w:rsidR="007337B8" w:rsidRPr="00606B7C">
        <w:rPr>
          <w:lang w:val="en-GB"/>
        </w:rPr>
        <w:t xml:space="preserve"> to Italy</w:t>
      </w:r>
      <w:r w:rsidR="002036B9" w:rsidRPr="00606B7C">
        <w:rPr>
          <w:lang w:val="en-GB"/>
        </w:rPr>
        <w:t xml:space="preserve"> while their</w:t>
      </w:r>
      <w:r w:rsidRPr="00606B7C">
        <w:rPr>
          <w:lang w:val="en-GB"/>
        </w:rPr>
        <w:t xml:space="preserve"> case was under consideration by the Committee. </w:t>
      </w:r>
    </w:p>
    <w:p w14:paraId="59F36970" w14:textId="77777777" w:rsidR="00A55B4E" w:rsidRPr="00606B7C" w:rsidRDefault="00A55B4E" w:rsidP="00737DB5">
      <w:pPr>
        <w:pStyle w:val="SingleTxtG"/>
        <w:rPr>
          <w:lang w:val="en-GB"/>
        </w:rPr>
      </w:pPr>
      <w:r w:rsidRPr="00606B7C">
        <w:rPr>
          <w:lang w:val="en-GB"/>
        </w:rPr>
        <w:t>1.3</w:t>
      </w:r>
      <w:r w:rsidRPr="00606B7C">
        <w:rPr>
          <w:lang w:val="en-GB"/>
        </w:rPr>
        <w:tab/>
        <w:t xml:space="preserve">On 4 December 2014, </w:t>
      </w:r>
      <w:r w:rsidR="00F71CB9" w:rsidRPr="00606B7C">
        <w:rPr>
          <w:lang w:val="en-GB"/>
        </w:rPr>
        <w:t xml:space="preserve">the Committee, acting through its Special Rapporteur on </w:t>
      </w:r>
      <w:r w:rsidR="00606B7C">
        <w:rPr>
          <w:lang w:val="en-GB"/>
        </w:rPr>
        <w:t>n</w:t>
      </w:r>
      <w:r w:rsidR="00F71CB9" w:rsidRPr="00606B7C">
        <w:rPr>
          <w:lang w:val="en-GB"/>
        </w:rPr>
        <w:t xml:space="preserve">ew </w:t>
      </w:r>
      <w:r w:rsidR="00606B7C">
        <w:rPr>
          <w:lang w:val="en-GB"/>
        </w:rPr>
        <w:t>c</w:t>
      </w:r>
      <w:r w:rsidR="00F71CB9" w:rsidRPr="00606B7C">
        <w:rPr>
          <w:lang w:val="en-GB"/>
        </w:rPr>
        <w:t xml:space="preserve">ommunications and </w:t>
      </w:r>
      <w:r w:rsidR="00606B7C">
        <w:rPr>
          <w:lang w:val="en-GB"/>
        </w:rPr>
        <w:t>i</w:t>
      </w:r>
      <w:r w:rsidR="00F71CB9" w:rsidRPr="00606B7C">
        <w:rPr>
          <w:lang w:val="en-GB"/>
        </w:rPr>
        <w:t xml:space="preserve">nterim </w:t>
      </w:r>
      <w:r w:rsidR="00606B7C">
        <w:rPr>
          <w:lang w:val="en-GB"/>
        </w:rPr>
        <w:t>m</w:t>
      </w:r>
      <w:r w:rsidR="00F71CB9" w:rsidRPr="00606B7C">
        <w:rPr>
          <w:lang w:val="en-GB"/>
        </w:rPr>
        <w:t>easures, den</w:t>
      </w:r>
      <w:r w:rsidR="00212D6C">
        <w:rPr>
          <w:lang w:val="en-GB"/>
        </w:rPr>
        <w:t>ied</w:t>
      </w:r>
      <w:r w:rsidR="00F71CB9" w:rsidRPr="00606B7C">
        <w:rPr>
          <w:lang w:val="en-GB"/>
        </w:rPr>
        <w:t xml:space="preserve"> the State party’s request </w:t>
      </w:r>
      <w:r w:rsidR="00606B7C">
        <w:rPr>
          <w:lang w:val="en-GB"/>
        </w:rPr>
        <w:t>to</w:t>
      </w:r>
      <w:r w:rsidR="00F71CB9" w:rsidRPr="00606B7C">
        <w:rPr>
          <w:lang w:val="en-GB"/>
        </w:rPr>
        <w:t xml:space="preserve"> lift</w:t>
      </w:r>
      <w:r w:rsidR="00606B7C">
        <w:rPr>
          <w:lang w:val="en-GB"/>
        </w:rPr>
        <w:t xml:space="preserve"> </w:t>
      </w:r>
      <w:r w:rsidR="00F71CB9" w:rsidRPr="00606B7C">
        <w:t>the interim measures.</w:t>
      </w:r>
    </w:p>
    <w:p w14:paraId="6A20C68D" w14:textId="77777777" w:rsidR="00CC3666" w:rsidRPr="00CA2790" w:rsidRDefault="00CC3666" w:rsidP="00E31546">
      <w:pPr>
        <w:pStyle w:val="H23G"/>
      </w:pPr>
      <w:r w:rsidRPr="00CA2790">
        <w:tab/>
      </w:r>
      <w:r w:rsidRPr="00CA2790">
        <w:tab/>
        <w:t>The facts as presented by the author</w:t>
      </w:r>
    </w:p>
    <w:p w14:paraId="066DF966" w14:textId="77777777" w:rsidR="00C96613" w:rsidRPr="00CA2790" w:rsidRDefault="00CC3666" w:rsidP="00082720">
      <w:pPr>
        <w:pStyle w:val="SingleTxtG"/>
        <w:rPr>
          <w:lang w:val="en-GB"/>
        </w:rPr>
      </w:pPr>
      <w:r w:rsidRPr="00606B7C">
        <w:rPr>
          <w:lang w:val="en-GB"/>
        </w:rPr>
        <w:t>2.1</w:t>
      </w:r>
      <w:r w:rsidRPr="00606B7C">
        <w:rPr>
          <w:lang w:val="en-GB"/>
        </w:rPr>
        <w:tab/>
      </w:r>
      <w:r w:rsidR="00C96613" w:rsidRPr="00606B7C">
        <w:rPr>
          <w:lang w:val="en-GB"/>
        </w:rPr>
        <w:t xml:space="preserve">The author </w:t>
      </w:r>
      <w:r w:rsidR="00F357F0">
        <w:rPr>
          <w:lang w:val="en-GB"/>
        </w:rPr>
        <w:t xml:space="preserve">was </w:t>
      </w:r>
      <w:r w:rsidR="003F4071" w:rsidRPr="00606B7C">
        <w:rPr>
          <w:lang w:val="en-GB"/>
        </w:rPr>
        <w:t>born on 2 May 1990</w:t>
      </w:r>
      <w:r w:rsidR="00F357F0">
        <w:rPr>
          <w:lang w:val="en-GB"/>
        </w:rPr>
        <w:t xml:space="preserve"> in</w:t>
      </w:r>
      <w:r w:rsidR="00F357F0" w:rsidRPr="00606B7C">
        <w:rPr>
          <w:lang w:val="en-GB"/>
        </w:rPr>
        <w:t xml:space="preserve"> Kismayo, Somalia</w:t>
      </w:r>
      <w:r w:rsidR="00C96613" w:rsidRPr="00606B7C">
        <w:rPr>
          <w:lang w:val="en-GB"/>
        </w:rPr>
        <w:t xml:space="preserve">. She belongs to the Shekhal clan, and is Muslim. She has three children: </w:t>
      </w:r>
      <w:r w:rsidR="00F378AD" w:rsidRPr="00606B7C">
        <w:rPr>
          <w:lang w:val="en-GB"/>
        </w:rPr>
        <w:t xml:space="preserve">S </w:t>
      </w:r>
      <w:r w:rsidR="00C96613" w:rsidRPr="00606B7C">
        <w:rPr>
          <w:lang w:val="en-GB"/>
        </w:rPr>
        <w:t>(born in Libya</w:t>
      </w:r>
      <w:r w:rsidR="00082720">
        <w:rPr>
          <w:lang w:val="en-GB"/>
        </w:rPr>
        <w:t xml:space="preserve"> in 2007</w:t>
      </w:r>
      <w:r w:rsidR="00C96613" w:rsidRPr="00606B7C">
        <w:rPr>
          <w:lang w:val="en-GB"/>
        </w:rPr>
        <w:t xml:space="preserve">), </w:t>
      </w:r>
      <w:r w:rsidR="00F378AD" w:rsidRPr="00606B7C">
        <w:rPr>
          <w:lang w:val="en-GB"/>
        </w:rPr>
        <w:t xml:space="preserve">SU </w:t>
      </w:r>
      <w:r w:rsidR="00C96613" w:rsidRPr="00606B7C">
        <w:rPr>
          <w:lang w:val="en-GB"/>
        </w:rPr>
        <w:t>(born  in Italy</w:t>
      </w:r>
      <w:r w:rsidR="00082720">
        <w:rPr>
          <w:lang w:val="en-GB"/>
        </w:rPr>
        <w:t xml:space="preserve"> </w:t>
      </w:r>
      <w:r w:rsidR="00082720" w:rsidRPr="00606B7C">
        <w:rPr>
          <w:lang w:val="en-GB"/>
        </w:rPr>
        <w:t>in 2010</w:t>
      </w:r>
      <w:r w:rsidR="00C96613" w:rsidRPr="00606B7C">
        <w:rPr>
          <w:lang w:val="en-GB"/>
        </w:rPr>
        <w:t xml:space="preserve">), and </w:t>
      </w:r>
      <w:r w:rsidR="00F378AD" w:rsidRPr="00606B7C">
        <w:rPr>
          <w:lang w:val="en-GB"/>
        </w:rPr>
        <w:t xml:space="preserve">F </w:t>
      </w:r>
      <w:r w:rsidR="00C96613" w:rsidRPr="00606B7C">
        <w:rPr>
          <w:lang w:val="en-GB"/>
        </w:rPr>
        <w:t>(born in Denmark</w:t>
      </w:r>
      <w:r w:rsidR="00082720">
        <w:rPr>
          <w:lang w:val="en-GB"/>
        </w:rPr>
        <w:t xml:space="preserve"> </w:t>
      </w:r>
      <w:r w:rsidR="00082720" w:rsidRPr="00606B7C">
        <w:rPr>
          <w:lang w:val="en-GB"/>
        </w:rPr>
        <w:t>in 2013</w:t>
      </w:r>
      <w:r w:rsidR="00C96613" w:rsidRPr="00606B7C">
        <w:rPr>
          <w:lang w:val="en-GB"/>
        </w:rPr>
        <w:t xml:space="preserve">). </w:t>
      </w:r>
    </w:p>
    <w:p w14:paraId="4405804B" w14:textId="77777777" w:rsidR="00C96613" w:rsidRPr="00CA2790" w:rsidRDefault="00C96613" w:rsidP="00BA4394">
      <w:pPr>
        <w:pStyle w:val="SingleTxtG"/>
        <w:rPr>
          <w:lang w:val="en-GB"/>
        </w:rPr>
      </w:pPr>
      <w:r w:rsidRPr="00606B7C">
        <w:rPr>
          <w:lang w:val="en-GB"/>
        </w:rPr>
        <w:t>2.2</w:t>
      </w:r>
      <w:r w:rsidRPr="00606B7C">
        <w:rPr>
          <w:lang w:val="en-GB"/>
        </w:rPr>
        <w:tab/>
        <w:t xml:space="preserve">The author fled Somalia due to fear of her </w:t>
      </w:r>
      <w:r w:rsidRPr="00737DB5">
        <w:rPr>
          <w:lang w:val="en-GB"/>
        </w:rPr>
        <w:t>former</w:t>
      </w:r>
      <w:r w:rsidRPr="00606B7C">
        <w:rPr>
          <w:lang w:val="en-GB"/>
        </w:rPr>
        <w:t xml:space="preserve"> husband, a powerful 70-year-old local clansman, to whom she was forcibly wed at age 17. The marriage was agreed upon by two rival clans as part of </w:t>
      </w:r>
      <w:r w:rsidR="00082720">
        <w:rPr>
          <w:lang w:val="en-GB"/>
        </w:rPr>
        <w:t>the</w:t>
      </w:r>
      <w:r w:rsidRPr="00606B7C">
        <w:rPr>
          <w:lang w:val="en-GB"/>
        </w:rPr>
        <w:t xml:space="preserve"> settlement of a clan conflict. The author was subjected to continuous and serious acts of violence, rape and harassment </w:t>
      </w:r>
      <w:r w:rsidR="00BA4394">
        <w:rPr>
          <w:lang w:val="en-GB"/>
        </w:rPr>
        <w:t>by</w:t>
      </w:r>
      <w:r w:rsidRPr="00606B7C">
        <w:rPr>
          <w:lang w:val="en-GB"/>
        </w:rPr>
        <w:t xml:space="preserve"> her husband</w:t>
      </w:r>
      <w:r w:rsidR="00BA4394">
        <w:rPr>
          <w:lang w:val="en-GB"/>
        </w:rPr>
        <w:t xml:space="preserve"> She had </w:t>
      </w:r>
      <w:r w:rsidRPr="00606B7C">
        <w:rPr>
          <w:lang w:val="en-GB"/>
        </w:rPr>
        <w:t xml:space="preserve">tried to </w:t>
      </w:r>
      <w:r w:rsidR="00BA4394">
        <w:rPr>
          <w:lang w:val="en-GB"/>
        </w:rPr>
        <w:t xml:space="preserve">several times to </w:t>
      </w:r>
      <w:r w:rsidRPr="00606B7C">
        <w:rPr>
          <w:lang w:val="en-GB"/>
        </w:rPr>
        <w:t xml:space="preserve">escape before </w:t>
      </w:r>
      <w:r w:rsidR="00BA4394">
        <w:rPr>
          <w:lang w:val="en-GB"/>
        </w:rPr>
        <w:t>actually</w:t>
      </w:r>
      <w:r w:rsidRPr="00606B7C">
        <w:rPr>
          <w:lang w:val="en-GB"/>
        </w:rPr>
        <w:t xml:space="preserve"> succeed</w:t>
      </w:r>
      <w:r w:rsidR="00BA4394">
        <w:rPr>
          <w:lang w:val="en-GB"/>
        </w:rPr>
        <w:t>ing</w:t>
      </w:r>
      <w:r w:rsidRPr="00606B7C">
        <w:rPr>
          <w:lang w:val="en-GB"/>
        </w:rPr>
        <w:t xml:space="preserve">. </w:t>
      </w:r>
      <w:r w:rsidR="00BA4394">
        <w:rPr>
          <w:lang w:val="en-GB"/>
        </w:rPr>
        <w:t xml:space="preserve">Since </w:t>
      </w:r>
      <w:r w:rsidRPr="00606B7C">
        <w:rPr>
          <w:lang w:val="en-GB"/>
        </w:rPr>
        <w:t xml:space="preserve">she has run away from a marriage arranged by her own clan, she cannot seek the </w:t>
      </w:r>
      <w:r w:rsidR="00BA4394">
        <w:rPr>
          <w:lang w:val="en-GB"/>
        </w:rPr>
        <w:t xml:space="preserve">protection from the </w:t>
      </w:r>
      <w:r w:rsidRPr="00606B7C">
        <w:rPr>
          <w:lang w:val="en-GB"/>
        </w:rPr>
        <w:t xml:space="preserve">Shekhal clan from her </w:t>
      </w:r>
      <w:r w:rsidRPr="00737DB5">
        <w:rPr>
          <w:lang w:val="en-GB"/>
        </w:rPr>
        <w:t>former</w:t>
      </w:r>
      <w:r w:rsidRPr="00606B7C">
        <w:rPr>
          <w:lang w:val="en-GB"/>
        </w:rPr>
        <w:t xml:space="preserve"> husband. </w:t>
      </w:r>
    </w:p>
    <w:p w14:paraId="2217869A" w14:textId="77777777" w:rsidR="00C96613" w:rsidRPr="00CA2790" w:rsidRDefault="00C96613" w:rsidP="00BA4394">
      <w:pPr>
        <w:pStyle w:val="SingleTxtG"/>
        <w:rPr>
          <w:lang w:val="en-GB"/>
        </w:rPr>
      </w:pPr>
      <w:r w:rsidRPr="00606B7C">
        <w:rPr>
          <w:lang w:val="en-GB"/>
        </w:rPr>
        <w:t>2.3</w:t>
      </w:r>
      <w:r w:rsidRPr="00606B7C">
        <w:rPr>
          <w:lang w:val="en-GB"/>
        </w:rPr>
        <w:tab/>
        <w:t xml:space="preserve">After fleeing Somalia and her </w:t>
      </w:r>
      <w:r w:rsidRPr="00737DB5">
        <w:rPr>
          <w:lang w:val="en-GB"/>
        </w:rPr>
        <w:t>former</w:t>
      </w:r>
      <w:r w:rsidRPr="00606B7C">
        <w:rPr>
          <w:lang w:val="en-GB"/>
        </w:rPr>
        <w:t xml:space="preserve"> husband, the author discovered that she was pregnant. </w:t>
      </w:r>
      <w:r w:rsidR="00BA4394">
        <w:rPr>
          <w:lang w:val="en-GB"/>
        </w:rPr>
        <w:t>S</w:t>
      </w:r>
      <w:r w:rsidRPr="00606B7C">
        <w:rPr>
          <w:lang w:val="en-GB"/>
        </w:rPr>
        <w:t>he entered Libya</w:t>
      </w:r>
      <w:r w:rsidR="00BA4394">
        <w:rPr>
          <w:lang w:val="en-GB"/>
        </w:rPr>
        <w:t xml:space="preserve"> and</w:t>
      </w:r>
      <w:r w:rsidRPr="00606B7C">
        <w:rPr>
          <w:lang w:val="en-GB"/>
        </w:rPr>
        <w:t xml:space="preserve"> was </w:t>
      </w:r>
      <w:r w:rsidR="002B267A" w:rsidRPr="00606B7C">
        <w:rPr>
          <w:lang w:val="en-GB"/>
        </w:rPr>
        <w:t>held</w:t>
      </w:r>
      <w:r w:rsidRPr="00606B7C">
        <w:rPr>
          <w:lang w:val="en-GB"/>
        </w:rPr>
        <w:t xml:space="preserve"> </w:t>
      </w:r>
      <w:r w:rsidR="00BA4394">
        <w:rPr>
          <w:lang w:val="en-GB"/>
        </w:rPr>
        <w:t xml:space="preserve">for four months </w:t>
      </w:r>
      <w:r w:rsidRPr="00606B7C">
        <w:rPr>
          <w:lang w:val="en-GB"/>
        </w:rPr>
        <w:t>in a detention centre</w:t>
      </w:r>
      <w:r w:rsidR="002B267A" w:rsidRPr="00606B7C">
        <w:rPr>
          <w:lang w:val="en-GB"/>
        </w:rPr>
        <w:t>, where she</w:t>
      </w:r>
      <w:r w:rsidRPr="00606B7C">
        <w:rPr>
          <w:lang w:val="en-GB"/>
        </w:rPr>
        <w:t xml:space="preserve"> gave birth to her daughter </w:t>
      </w:r>
      <w:r w:rsidR="00F378AD" w:rsidRPr="00606B7C">
        <w:rPr>
          <w:lang w:val="en-GB"/>
        </w:rPr>
        <w:t>S</w:t>
      </w:r>
      <w:r w:rsidRPr="00606B7C">
        <w:rPr>
          <w:lang w:val="en-GB"/>
        </w:rPr>
        <w:t xml:space="preserve">. </w:t>
      </w:r>
    </w:p>
    <w:p w14:paraId="7B93951D" w14:textId="77777777" w:rsidR="00C96613" w:rsidRPr="00CA2790" w:rsidRDefault="00AC0EA0" w:rsidP="00946DAE">
      <w:pPr>
        <w:pStyle w:val="SingleTxtG"/>
        <w:rPr>
          <w:lang w:val="en-GB"/>
        </w:rPr>
      </w:pPr>
      <w:r w:rsidRPr="00606B7C">
        <w:rPr>
          <w:lang w:val="en-GB"/>
        </w:rPr>
        <w:t>2.4</w:t>
      </w:r>
      <w:r w:rsidRPr="00606B7C">
        <w:rPr>
          <w:lang w:val="en-GB"/>
        </w:rPr>
        <w:tab/>
        <w:t>Upon release</w:t>
      </w:r>
      <w:r w:rsidR="00BA4394">
        <w:rPr>
          <w:lang w:val="en-GB"/>
        </w:rPr>
        <w:t xml:space="preserve"> from the detention centre</w:t>
      </w:r>
      <w:r w:rsidRPr="00606B7C">
        <w:rPr>
          <w:lang w:val="en-GB"/>
        </w:rPr>
        <w:t xml:space="preserve">, </w:t>
      </w:r>
      <w:r w:rsidR="00043962" w:rsidRPr="00606B7C">
        <w:rPr>
          <w:lang w:val="en-GB"/>
        </w:rPr>
        <w:t xml:space="preserve">on an unspecified date, </w:t>
      </w:r>
      <w:r w:rsidRPr="00606B7C">
        <w:rPr>
          <w:lang w:val="en-GB"/>
        </w:rPr>
        <w:t>the author</w:t>
      </w:r>
      <w:r w:rsidR="00C96613" w:rsidRPr="00606B7C">
        <w:rPr>
          <w:lang w:val="en-GB"/>
        </w:rPr>
        <w:t xml:space="preserve"> fled Libya</w:t>
      </w:r>
      <w:r w:rsidR="00043962" w:rsidRPr="00606B7C">
        <w:rPr>
          <w:lang w:val="en-GB"/>
        </w:rPr>
        <w:t xml:space="preserve"> </w:t>
      </w:r>
      <w:r w:rsidR="00C96613" w:rsidRPr="00606B7C">
        <w:rPr>
          <w:lang w:val="en-GB"/>
        </w:rPr>
        <w:t xml:space="preserve">and sailed </w:t>
      </w:r>
      <w:r w:rsidR="00BA4394">
        <w:rPr>
          <w:lang w:val="en-GB"/>
        </w:rPr>
        <w:t xml:space="preserve">in a </w:t>
      </w:r>
      <w:r w:rsidR="00C96613" w:rsidRPr="00606B7C">
        <w:rPr>
          <w:lang w:val="en-GB"/>
        </w:rPr>
        <w:t xml:space="preserve">ship towards Europe. After four days at sea, the ship ran out of fuel and the author and other passengers ran out of food and water. They were rescued by the Italian coastguard in May 2008 and </w:t>
      </w:r>
      <w:r w:rsidR="00BA4394">
        <w:rPr>
          <w:lang w:val="en-GB"/>
        </w:rPr>
        <w:t>taken</w:t>
      </w:r>
      <w:r w:rsidR="00C96613" w:rsidRPr="00606B7C">
        <w:rPr>
          <w:lang w:val="en-GB"/>
        </w:rPr>
        <w:t xml:space="preserve"> to Lampedusa. There, the author was given food and medical assistance and her fingerprints were registered. Thereafter, the author and her daughter</w:t>
      </w:r>
      <w:r w:rsidR="00946DAE">
        <w:rPr>
          <w:lang w:val="en-GB"/>
        </w:rPr>
        <w:t xml:space="preserve">, </w:t>
      </w:r>
      <w:r w:rsidR="00946DAE" w:rsidRPr="00606B7C">
        <w:rPr>
          <w:lang w:val="en-GB"/>
        </w:rPr>
        <w:t>along with other asylum seekers</w:t>
      </w:r>
      <w:r w:rsidR="00C96613" w:rsidRPr="00606B7C">
        <w:rPr>
          <w:lang w:val="en-GB"/>
        </w:rPr>
        <w:t xml:space="preserve"> were flown by the Italian authorities to Sicily. Upon arrival, the author and her daughter were offered shelter in a reception fa</w:t>
      </w:r>
      <w:r w:rsidR="007337B8" w:rsidRPr="00606B7C">
        <w:rPr>
          <w:lang w:val="en-GB"/>
        </w:rPr>
        <w:t>cility, where they stayed with eight</w:t>
      </w:r>
      <w:r w:rsidR="00C96613" w:rsidRPr="00606B7C">
        <w:rPr>
          <w:lang w:val="en-GB"/>
        </w:rPr>
        <w:t xml:space="preserve"> other women in one room. They were given food, shelter and access to sanitary facilities during their four-month stay there, and the author was interviewed </w:t>
      </w:r>
      <w:r w:rsidR="00946DAE">
        <w:rPr>
          <w:lang w:val="en-GB"/>
        </w:rPr>
        <w:t xml:space="preserve">with </w:t>
      </w:r>
      <w:r w:rsidR="00C96613" w:rsidRPr="00606B7C">
        <w:rPr>
          <w:lang w:val="en-GB"/>
        </w:rPr>
        <w:t>regard</w:t>
      </w:r>
      <w:r w:rsidR="00946DAE">
        <w:rPr>
          <w:lang w:val="en-GB"/>
        </w:rPr>
        <w:t xml:space="preserve"> to</w:t>
      </w:r>
      <w:r w:rsidR="00C96613" w:rsidRPr="00606B7C">
        <w:rPr>
          <w:lang w:val="en-GB"/>
        </w:rPr>
        <w:t xml:space="preserve"> her asylum application. </w:t>
      </w:r>
    </w:p>
    <w:p w14:paraId="67CC6B33" w14:textId="77777777" w:rsidR="00C96613" w:rsidRPr="00CA2790" w:rsidRDefault="00C96613" w:rsidP="00946DAE">
      <w:pPr>
        <w:pStyle w:val="SingleTxtG"/>
        <w:rPr>
          <w:lang w:val="en-GB"/>
        </w:rPr>
      </w:pPr>
      <w:r w:rsidRPr="00606B7C">
        <w:rPr>
          <w:lang w:val="en-GB"/>
        </w:rPr>
        <w:t>2.5</w:t>
      </w:r>
      <w:r w:rsidRPr="00606B7C">
        <w:rPr>
          <w:lang w:val="en-GB"/>
        </w:rPr>
        <w:tab/>
        <w:t xml:space="preserve">On 3 September 2008, the author and her daughter were given subsidiary protection by the Italian authorities and were issued a residence permit valid from 3 September 2008 to 4 November 2011. The residence permit </w:t>
      </w:r>
      <w:r w:rsidR="00946DAE">
        <w:rPr>
          <w:lang w:val="en-GB"/>
        </w:rPr>
        <w:t>w</w:t>
      </w:r>
      <w:r w:rsidRPr="00606B7C">
        <w:rPr>
          <w:lang w:val="en-GB"/>
        </w:rPr>
        <w:t>as not renewed and is thus no longer valid.</w:t>
      </w:r>
    </w:p>
    <w:p w14:paraId="2839727F" w14:textId="77777777" w:rsidR="00C96613" w:rsidRPr="00CA2790" w:rsidRDefault="00C96613" w:rsidP="00EA10C5">
      <w:pPr>
        <w:pStyle w:val="SingleTxtG"/>
        <w:rPr>
          <w:lang w:val="en-GB"/>
        </w:rPr>
      </w:pPr>
      <w:r w:rsidRPr="00606B7C">
        <w:rPr>
          <w:lang w:val="en-GB"/>
        </w:rPr>
        <w:t>2.6</w:t>
      </w:r>
      <w:r w:rsidRPr="00606B7C">
        <w:rPr>
          <w:lang w:val="en-GB"/>
        </w:rPr>
        <w:tab/>
        <w:t>The day after the author was issued a residence permit, she was informed by the staff that she could no longer stay at the reception centr</w:t>
      </w:r>
      <w:r w:rsidR="00946DAE">
        <w:rPr>
          <w:lang w:val="en-GB"/>
        </w:rPr>
        <w:t>e</w:t>
      </w:r>
      <w:r w:rsidR="00174ABF">
        <w:rPr>
          <w:lang w:val="en-GB"/>
        </w:rPr>
        <w:t xml:space="preserve"> and </w:t>
      </w:r>
      <w:r w:rsidR="008F134D" w:rsidRPr="00606B7C">
        <w:rPr>
          <w:lang w:val="en-GB"/>
        </w:rPr>
        <w:t xml:space="preserve">that she </w:t>
      </w:r>
      <w:r w:rsidR="00EA10C5">
        <w:rPr>
          <w:lang w:val="en-GB"/>
        </w:rPr>
        <w:t>w</w:t>
      </w:r>
      <w:r w:rsidR="008F134D" w:rsidRPr="00606B7C">
        <w:rPr>
          <w:lang w:val="en-GB"/>
        </w:rPr>
        <w:t>ould not be</w:t>
      </w:r>
      <w:r w:rsidRPr="00606B7C">
        <w:rPr>
          <w:lang w:val="en-GB"/>
        </w:rPr>
        <w:t xml:space="preserve"> offer</w:t>
      </w:r>
      <w:r w:rsidR="008F134D" w:rsidRPr="00606B7C">
        <w:rPr>
          <w:lang w:val="en-GB"/>
        </w:rPr>
        <w:t>ed</w:t>
      </w:r>
      <w:r w:rsidRPr="00606B7C">
        <w:rPr>
          <w:lang w:val="en-GB"/>
        </w:rPr>
        <w:t xml:space="preserve"> any assistance </w:t>
      </w:r>
      <w:r w:rsidR="00174ABF">
        <w:rPr>
          <w:lang w:val="en-GB"/>
        </w:rPr>
        <w:t>to find</w:t>
      </w:r>
      <w:r w:rsidRPr="00606B7C">
        <w:rPr>
          <w:lang w:val="en-GB"/>
        </w:rPr>
        <w:t xml:space="preserve"> alternative temporary shelter,  work or more permanent housing. </w:t>
      </w:r>
    </w:p>
    <w:p w14:paraId="3EEA4C5A" w14:textId="77777777" w:rsidR="00C96613" w:rsidRPr="00CA2790" w:rsidRDefault="00C96613" w:rsidP="00B256EF">
      <w:pPr>
        <w:pStyle w:val="SingleTxtG"/>
        <w:rPr>
          <w:lang w:val="en-GB"/>
        </w:rPr>
      </w:pPr>
      <w:r w:rsidRPr="00606B7C">
        <w:rPr>
          <w:lang w:val="en-GB"/>
        </w:rPr>
        <w:lastRenderedPageBreak/>
        <w:t>2.7</w:t>
      </w:r>
      <w:r w:rsidRPr="00606B7C">
        <w:rPr>
          <w:lang w:val="en-GB"/>
        </w:rPr>
        <w:tab/>
        <w:t>The author tried without success to find housing and employment and liv</w:t>
      </w:r>
      <w:r w:rsidR="00174ABF">
        <w:rPr>
          <w:lang w:val="en-GB"/>
        </w:rPr>
        <w:t>ed</w:t>
      </w:r>
      <w:r w:rsidRPr="00606B7C">
        <w:rPr>
          <w:lang w:val="en-GB"/>
        </w:rPr>
        <w:t xml:space="preserve"> in the street with her one-year-old daughter. They slept </w:t>
      </w:r>
      <w:r w:rsidR="00174ABF">
        <w:rPr>
          <w:lang w:val="en-GB"/>
        </w:rPr>
        <w:t>in</w:t>
      </w:r>
      <w:r w:rsidRPr="00606B7C">
        <w:rPr>
          <w:lang w:val="en-GB"/>
        </w:rPr>
        <w:t xml:space="preserve"> railway stations and market places and received food from churches or by begging in the streets. </w:t>
      </w:r>
    </w:p>
    <w:p w14:paraId="3D7FE6D9" w14:textId="77777777" w:rsidR="00C96613" w:rsidRPr="00CA2790" w:rsidRDefault="00C96613" w:rsidP="00B256EF">
      <w:pPr>
        <w:pStyle w:val="SingleTxtG"/>
        <w:rPr>
          <w:lang w:val="en-GB"/>
        </w:rPr>
      </w:pPr>
      <w:r w:rsidRPr="00606B7C">
        <w:rPr>
          <w:lang w:val="en-GB"/>
        </w:rPr>
        <w:t>2.8</w:t>
      </w:r>
      <w:r w:rsidRPr="00606B7C">
        <w:rPr>
          <w:lang w:val="en-GB"/>
        </w:rPr>
        <w:tab/>
        <w:t xml:space="preserve">Because the author’s situation had become desperate in Italy, </w:t>
      </w:r>
      <w:r w:rsidR="00043962" w:rsidRPr="00606B7C">
        <w:rPr>
          <w:lang w:val="en-GB"/>
        </w:rPr>
        <w:t xml:space="preserve">on an unspecified date, </w:t>
      </w:r>
      <w:r w:rsidRPr="00606B7C">
        <w:rPr>
          <w:lang w:val="en-GB"/>
        </w:rPr>
        <w:t xml:space="preserve">she </w:t>
      </w:r>
      <w:r w:rsidR="00F378AD" w:rsidRPr="00606B7C">
        <w:rPr>
          <w:lang w:val="en-GB"/>
        </w:rPr>
        <w:t>travelled</w:t>
      </w:r>
      <w:r w:rsidRPr="00606B7C">
        <w:rPr>
          <w:lang w:val="en-GB"/>
        </w:rPr>
        <w:t xml:space="preserve"> to the Netherlands and applied for asylum there. During her stay there, she became pregnant b</w:t>
      </w:r>
      <w:r w:rsidR="00B04262" w:rsidRPr="00606B7C">
        <w:rPr>
          <w:lang w:val="en-GB"/>
        </w:rPr>
        <w:t>y a man of Somali origin. In September 2009, t</w:t>
      </w:r>
      <w:r w:rsidRPr="00606B7C">
        <w:rPr>
          <w:lang w:val="en-GB"/>
        </w:rPr>
        <w:t xml:space="preserve">he author and her daughter were returned to Italy by the Dutch authorities, while </w:t>
      </w:r>
      <w:r w:rsidR="00174ABF">
        <w:rPr>
          <w:lang w:val="en-GB"/>
        </w:rPr>
        <w:t>her</w:t>
      </w:r>
      <w:r w:rsidRPr="00606B7C">
        <w:rPr>
          <w:lang w:val="en-GB"/>
        </w:rPr>
        <w:t xml:space="preserve"> residence permit in Italy was still valid. The author was informed by the Dutch authorities that she would be </w:t>
      </w:r>
      <w:r w:rsidR="00174ABF">
        <w:rPr>
          <w:lang w:val="en-GB"/>
        </w:rPr>
        <w:t>provided with</w:t>
      </w:r>
      <w:r w:rsidRPr="00606B7C">
        <w:rPr>
          <w:lang w:val="en-GB"/>
        </w:rPr>
        <w:t xml:space="preserve"> humanitarian assistance from the Italian authorities upon arrival in Rome. However, upon arrival</w:t>
      </w:r>
      <w:r w:rsidR="002E0DE8" w:rsidRPr="00606B7C">
        <w:rPr>
          <w:lang w:val="en-GB"/>
        </w:rPr>
        <w:t>, she was not provided with any</w:t>
      </w:r>
      <w:r w:rsidRPr="00606B7C">
        <w:rPr>
          <w:lang w:val="en-GB"/>
        </w:rPr>
        <w:t xml:space="preserve"> assistance and the airport personnel </w:t>
      </w:r>
      <w:r w:rsidR="002E0DE8" w:rsidRPr="00606B7C">
        <w:rPr>
          <w:lang w:val="en-GB"/>
        </w:rPr>
        <w:t>asked</w:t>
      </w:r>
      <w:r w:rsidRPr="00606B7C">
        <w:rPr>
          <w:lang w:val="en-GB"/>
        </w:rPr>
        <w:t xml:space="preserve"> her to leave the airport. Thus, the author, who was pregnant at the time, </w:t>
      </w:r>
      <w:r w:rsidR="00174ABF">
        <w:rPr>
          <w:lang w:val="en-GB"/>
        </w:rPr>
        <w:t xml:space="preserve">lived </w:t>
      </w:r>
      <w:r w:rsidRPr="00606B7C">
        <w:rPr>
          <w:lang w:val="en-GB"/>
        </w:rPr>
        <w:t>in the street</w:t>
      </w:r>
      <w:r w:rsidR="00B256EF">
        <w:rPr>
          <w:lang w:val="en-GB"/>
        </w:rPr>
        <w:t xml:space="preserve"> in</w:t>
      </w:r>
      <w:r w:rsidRPr="00606B7C">
        <w:rPr>
          <w:lang w:val="en-GB"/>
        </w:rPr>
        <w:t xml:space="preserve"> Rome with her two-year-old daughter. They slept </w:t>
      </w:r>
      <w:r w:rsidR="00B256EF">
        <w:rPr>
          <w:lang w:val="en-GB"/>
        </w:rPr>
        <w:t>in</w:t>
      </w:r>
      <w:r w:rsidRPr="00606B7C">
        <w:rPr>
          <w:lang w:val="en-GB"/>
        </w:rPr>
        <w:t xml:space="preserve"> railway stations or</w:t>
      </w:r>
      <w:r w:rsidR="00B256EF">
        <w:rPr>
          <w:lang w:val="en-GB"/>
        </w:rPr>
        <w:t>,</w:t>
      </w:r>
      <w:r w:rsidRPr="00606B7C">
        <w:rPr>
          <w:lang w:val="en-GB"/>
        </w:rPr>
        <w:t xml:space="preserve"> occasion</w:t>
      </w:r>
      <w:r w:rsidR="00B256EF">
        <w:rPr>
          <w:lang w:val="en-GB"/>
        </w:rPr>
        <w:t>ally</w:t>
      </w:r>
      <w:r w:rsidRPr="00606B7C">
        <w:rPr>
          <w:lang w:val="en-GB"/>
        </w:rPr>
        <w:t xml:space="preserve"> in informal settlements with other </w:t>
      </w:r>
      <w:r w:rsidR="00B256EF">
        <w:rPr>
          <w:lang w:val="en-GB"/>
        </w:rPr>
        <w:t xml:space="preserve">Somali </w:t>
      </w:r>
      <w:r w:rsidRPr="00606B7C">
        <w:rPr>
          <w:lang w:val="en-GB"/>
        </w:rPr>
        <w:t xml:space="preserve">refugees. </w:t>
      </w:r>
      <w:r w:rsidR="00B256EF">
        <w:rPr>
          <w:lang w:val="en-GB"/>
        </w:rPr>
        <w:t xml:space="preserve">At </w:t>
      </w:r>
      <w:r w:rsidR="002E0DE8" w:rsidRPr="00606B7C">
        <w:rPr>
          <w:lang w:val="en-GB"/>
        </w:rPr>
        <w:t xml:space="preserve">one </w:t>
      </w:r>
      <w:r w:rsidR="00B256EF">
        <w:rPr>
          <w:lang w:val="en-GB"/>
        </w:rPr>
        <w:t>point</w:t>
      </w:r>
      <w:r w:rsidRPr="00606B7C">
        <w:rPr>
          <w:lang w:val="en-GB"/>
        </w:rPr>
        <w:t>, the author took the train to Milan to seek work and housing</w:t>
      </w:r>
      <w:r w:rsidR="002645B4" w:rsidRPr="00606B7C">
        <w:rPr>
          <w:lang w:val="en-GB"/>
        </w:rPr>
        <w:t>,</w:t>
      </w:r>
      <w:r w:rsidRPr="00606B7C">
        <w:rPr>
          <w:lang w:val="en-GB"/>
        </w:rPr>
        <w:t xml:space="preserve"> without any luck. </w:t>
      </w:r>
    </w:p>
    <w:p w14:paraId="6EC7D79D" w14:textId="77777777" w:rsidR="00C96613" w:rsidRPr="00CA2790" w:rsidRDefault="00043962" w:rsidP="00B256EF">
      <w:pPr>
        <w:pStyle w:val="SingleTxtG"/>
        <w:rPr>
          <w:lang w:val="en-GB"/>
        </w:rPr>
      </w:pPr>
      <w:r w:rsidRPr="00606B7C">
        <w:rPr>
          <w:lang w:val="en-GB"/>
        </w:rPr>
        <w:t>2.9</w:t>
      </w:r>
      <w:r w:rsidRPr="00606B7C">
        <w:rPr>
          <w:lang w:val="en-GB"/>
        </w:rPr>
        <w:tab/>
        <w:t>On an unspecified date, t</w:t>
      </w:r>
      <w:r w:rsidR="00C96613" w:rsidRPr="00606B7C">
        <w:rPr>
          <w:lang w:val="en-GB"/>
        </w:rPr>
        <w:t xml:space="preserve">he author returned to Sicily with her daughter and </w:t>
      </w:r>
      <w:r w:rsidR="00B256EF">
        <w:rPr>
          <w:lang w:val="en-GB"/>
        </w:rPr>
        <w:t>requested</w:t>
      </w:r>
      <w:r w:rsidR="00C96613" w:rsidRPr="00606B7C">
        <w:rPr>
          <w:lang w:val="en-GB"/>
        </w:rPr>
        <w:t xml:space="preserve"> humanitarian assistance at a CARITAS office. She was </w:t>
      </w:r>
      <w:r w:rsidR="00B256EF">
        <w:rPr>
          <w:lang w:val="en-GB"/>
        </w:rPr>
        <w:t>given</w:t>
      </w:r>
      <w:r w:rsidR="00C96613" w:rsidRPr="00606B7C">
        <w:rPr>
          <w:lang w:val="en-GB"/>
        </w:rPr>
        <w:t xml:space="preserve"> a meal and clothes for her daughter, but was informed that CARITAS could not help her find temporary or permanent housing solutions. The author lived in the streets in Sicily with her daughter, surviving by begging and receiving food from churches. During her pregnancy, the author and her daughter slept </w:t>
      </w:r>
      <w:r w:rsidR="00B256EF">
        <w:rPr>
          <w:lang w:val="en-GB"/>
        </w:rPr>
        <w:t>in</w:t>
      </w:r>
      <w:r w:rsidR="00C96613" w:rsidRPr="00606B7C">
        <w:rPr>
          <w:lang w:val="en-GB"/>
        </w:rPr>
        <w:t xml:space="preserve"> railway stations, or when possible</w:t>
      </w:r>
      <w:r w:rsidR="00B256EF">
        <w:rPr>
          <w:lang w:val="en-GB"/>
        </w:rPr>
        <w:t>,</w:t>
      </w:r>
      <w:r w:rsidR="00C96613" w:rsidRPr="00606B7C">
        <w:rPr>
          <w:lang w:val="en-GB"/>
        </w:rPr>
        <w:t xml:space="preserve"> as guests </w:t>
      </w:r>
      <w:r w:rsidR="00B256EF">
        <w:rPr>
          <w:lang w:val="en-GB"/>
        </w:rPr>
        <w:t>of</w:t>
      </w:r>
      <w:r w:rsidR="00C96613" w:rsidRPr="00606B7C">
        <w:rPr>
          <w:lang w:val="en-GB"/>
        </w:rPr>
        <w:t xml:space="preserve"> other persons of Somali origin. The author did not receive any medical assistance or examinations during her pregnancy, because she was informed that</w:t>
      </w:r>
      <w:r w:rsidR="00B256EF">
        <w:rPr>
          <w:lang w:val="en-GB"/>
        </w:rPr>
        <w:t>,</w:t>
      </w:r>
      <w:r w:rsidR="00C96613" w:rsidRPr="00606B7C">
        <w:rPr>
          <w:lang w:val="en-GB"/>
        </w:rPr>
        <w:t xml:space="preserve"> in order to get an appointment with medical staff, she need</w:t>
      </w:r>
      <w:r w:rsidR="00B256EF">
        <w:rPr>
          <w:lang w:val="en-GB"/>
        </w:rPr>
        <w:t>ed</w:t>
      </w:r>
      <w:r w:rsidR="00C96613" w:rsidRPr="00606B7C">
        <w:rPr>
          <w:lang w:val="en-GB"/>
        </w:rPr>
        <w:t xml:space="preserve"> an address.</w:t>
      </w:r>
    </w:p>
    <w:p w14:paraId="03A79880" w14:textId="77777777" w:rsidR="00C96613" w:rsidRPr="00CA2790" w:rsidRDefault="0086253C" w:rsidP="00B256EF">
      <w:pPr>
        <w:pStyle w:val="SingleTxtG"/>
        <w:rPr>
          <w:lang w:val="en-GB"/>
        </w:rPr>
      </w:pPr>
      <w:r w:rsidRPr="00606B7C">
        <w:rPr>
          <w:lang w:val="en-GB"/>
        </w:rPr>
        <w:t>2.10</w:t>
      </w:r>
      <w:r w:rsidRPr="00606B7C">
        <w:rPr>
          <w:lang w:val="en-GB"/>
        </w:rPr>
        <w:tab/>
        <w:t>When the author was nine</w:t>
      </w:r>
      <w:r w:rsidR="00C96613" w:rsidRPr="00606B7C">
        <w:rPr>
          <w:lang w:val="en-GB"/>
        </w:rPr>
        <w:t xml:space="preserve"> months pregnant, a woman of Somali origin offered her shelter in her apartment. When she went into labo</w:t>
      </w:r>
      <w:r w:rsidR="007337B8" w:rsidRPr="00606B7C">
        <w:rPr>
          <w:lang w:val="en-GB"/>
        </w:rPr>
        <w:t>u</w:t>
      </w:r>
      <w:r w:rsidR="00C96613" w:rsidRPr="00606B7C">
        <w:rPr>
          <w:lang w:val="en-GB"/>
        </w:rPr>
        <w:t xml:space="preserve">r, her host called for an ambulance, but when the staff at the emergency call </w:t>
      </w:r>
      <w:r w:rsidR="0033435B" w:rsidRPr="00606B7C">
        <w:rPr>
          <w:lang w:val="en-GB"/>
        </w:rPr>
        <w:t>centre</w:t>
      </w:r>
      <w:r w:rsidR="00C96613" w:rsidRPr="00606B7C">
        <w:rPr>
          <w:lang w:val="en-GB"/>
        </w:rPr>
        <w:t xml:space="preserve"> heard the address, they </w:t>
      </w:r>
      <w:r w:rsidR="00B256EF">
        <w:rPr>
          <w:lang w:val="en-GB"/>
        </w:rPr>
        <w:t>refused to</w:t>
      </w:r>
      <w:r w:rsidR="00C96613" w:rsidRPr="00606B7C">
        <w:rPr>
          <w:lang w:val="en-GB"/>
        </w:rPr>
        <w:t xml:space="preserve"> send an ambulance to the neighbo</w:t>
      </w:r>
      <w:r w:rsidR="007337B8" w:rsidRPr="00606B7C">
        <w:rPr>
          <w:lang w:val="en-GB"/>
        </w:rPr>
        <w:t>u</w:t>
      </w:r>
      <w:r w:rsidR="00C96613" w:rsidRPr="00606B7C">
        <w:rPr>
          <w:lang w:val="en-GB"/>
        </w:rPr>
        <w:t xml:space="preserve">rhood as many persons </w:t>
      </w:r>
      <w:r w:rsidR="00B256EF">
        <w:rPr>
          <w:lang w:val="en-GB"/>
        </w:rPr>
        <w:t xml:space="preserve">of </w:t>
      </w:r>
      <w:r w:rsidR="00C96613" w:rsidRPr="00606B7C">
        <w:rPr>
          <w:lang w:val="en-GB"/>
        </w:rPr>
        <w:t>Somali</w:t>
      </w:r>
      <w:r w:rsidR="00B256EF">
        <w:rPr>
          <w:lang w:val="en-GB"/>
        </w:rPr>
        <w:t xml:space="preserve"> origin</w:t>
      </w:r>
      <w:r w:rsidR="00C96613" w:rsidRPr="00606B7C">
        <w:rPr>
          <w:lang w:val="en-GB"/>
        </w:rPr>
        <w:t xml:space="preserve"> were known to live there illegally. The author thus gave birth at home without any professional assistance. The</w:t>
      </w:r>
      <w:r w:rsidR="00B256EF">
        <w:rPr>
          <w:lang w:val="en-GB"/>
        </w:rPr>
        <w:t xml:space="preserve"> following</w:t>
      </w:r>
      <w:r w:rsidR="00C96613" w:rsidRPr="00606B7C">
        <w:rPr>
          <w:lang w:val="en-GB"/>
        </w:rPr>
        <w:t xml:space="preserve"> morning, </w:t>
      </w:r>
      <w:r w:rsidR="00B256EF">
        <w:rPr>
          <w:lang w:val="en-GB"/>
        </w:rPr>
        <w:t>s</w:t>
      </w:r>
      <w:r w:rsidR="00C96613" w:rsidRPr="00606B7C">
        <w:rPr>
          <w:lang w:val="en-GB"/>
        </w:rPr>
        <w:t xml:space="preserve">he went to the hospital to have her newborn examined, but was turned away. After two weeks, the </w:t>
      </w:r>
      <w:r w:rsidR="00B256EF">
        <w:rPr>
          <w:lang w:val="en-GB"/>
        </w:rPr>
        <w:t xml:space="preserve">host and the </w:t>
      </w:r>
      <w:r w:rsidR="00C96613" w:rsidRPr="00606B7C">
        <w:rPr>
          <w:lang w:val="en-GB"/>
        </w:rPr>
        <w:t>author and her two children were evicted from the apartment.</w:t>
      </w:r>
    </w:p>
    <w:p w14:paraId="4F9220B8" w14:textId="77777777" w:rsidR="00C96613" w:rsidRPr="00CA2790" w:rsidRDefault="00C96613" w:rsidP="00B256EF">
      <w:pPr>
        <w:pStyle w:val="SingleTxtG"/>
        <w:rPr>
          <w:lang w:val="en-GB"/>
        </w:rPr>
      </w:pPr>
      <w:r w:rsidRPr="00606B7C">
        <w:rPr>
          <w:lang w:val="en-GB"/>
        </w:rPr>
        <w:t>2.11</w:t>
      </w:r>
      <w:r w:rsidRPr="00606B7C">
        <w:rPr>
          <w:lang w:val="en-GB"/>
        </w:rPr>
        <w:tab/>
        <w:t>Thereafter, the author, a single mother with two small children, liv</w:t>
      </w:r>
      <w:r w:rsidR="00B256EF">
        <w:rPr>
          <w:lang w:val="en-GB"/>
        </w:rPr>
        <w:t>ed</w:t>
      </w:r>
      <w:r w:rsidRPr="00606B7C">
        <w:rPr>
          <w:lang w:val="en-GB"/>
        </w:rPr>
        <w:t xml:space="preserve"> in the streets or</w:t>
      </w:r>
      <w:r w:rsidR="00B256EF">
        <w:rPr>
          <w:lang w:val="en-GB"/>
        </w:rPr>
        <w:t>,</w:t>
      </w:r>
      <w:r w:rsidRPr="00606B7C">
        <w:rPr>
          <w:lang w:val="en-GB"/>
        </w:rPr>
        <w:t xml:space="preserve"> occasion</w:t>
      </w:r>
      <w:r w:rsidR="00B256EF">
        <w:rPr>
          <w:lang w:val="en-GB"/>
        </w:rPr>
        <w:t>ally,</w:t>
      </w:r>
      <w:r w:rsidRPr="00606B7C">
        <w:rPr>
          <w:lang w:val="en-GB"/>
        </w:rPr>
        <w:t xml:space="preserve"> with other persons of Somali origin, whom she didn’t know very well. The author and her children were fully dependent on receiving food from churches or begging. </w:t>
      </w:r>
      <w:r w:rsidR="00B256EF">
        <w:rPr>
          <w:lang w:val="en-GB"/>
        </w:rPr>
        <w:t>Every day, t</w:t>
      </w:r>
      <w:r w:rsidRPr="00606B7C">
        <w:rPr>
          <w:lang w:val="en-GB"/>
        </w:rPr>
        <w:t xml:space="preserve">he author feared that she would be unable to provide food </w:t>
      </w:r>
      <w:r w:rsidR="00B256EF">
        <w:rPr>
          <w:lang w:val="en-GB"/>
        </w:rPr>
        <w:t xml:space="preserve">and find a safe shelter </w:t>
      </w:r>
      <w:r w:rsidRPr="00606B7C">
        <w:rPr>
          <w:lang w:val="en-GB"/>
        </w:rPr>
        <w:t>for her children at night.</w:t>
      </w:r>
    </w:p>
    <w:p w14:paraId="33FE11DB" w14:textId="77777777" w:rsidR="00C96613" w:rsidRPr="00CA2790" w:rsidRDefault="00C96613" w:rsidP="009D0CE4">
      <w:pPr>
        <w:pStyle w:val="SingleTxtG"/>
        <w:rPr>
          <w:lang w:val="en-GB"/>
        </w:rPr>
      </w:pPr>
      <w:r w:rsidRPr="00606B7C">
        <w:rPr>
          <w:lang w:val="en-GB"/>
        </w:rPr>
        <w:t>2.12</w:t>
      </w:r>
      <w:r w:rsidRPr="00606B7C">
        <w:rPr>
          <w:lang w:val="en-GB"/>
        </w:rPr>
        <w:tab/>
        <w:t xml:space="preserve">The author could not afford the fee of </w:t>
      </w:r>
      <w:r w:rsidR="003250A3">
        <w:rPr>
          <w:lang w:val="en-GB"/>
        </w:rPr>
        <w:t>€</w:t>
      </w:r>
      <w:r w:rsidRPr="00606B7C">
        <w:rPr>
          <w:lang w:val="en-GB"/>
        </w:rPr>
        <w:t xml:space="preserve">250 </w:t>
      </w:r>
      <w:r w:rsidR="003250A3">
        <w:rPr>
          <w:lang w:val="en-GB"/>
        </w:rPr>
        <w:t>to</w:t>
      </w:r>
      <w:r w:rsidRPr="00606B7C">
        <w:rPr>
          <w:lang w:val="en-GB"/>
        </w:rPr>
        <w:t xml:space="preserve"> renew her </w:t>
      </w:r>
      <w:r w:rsidR="003250A3">
        <w:rPr>
          <w:lang w:val="en-GB"/>
        </w:rPr>
        <w:t xml:space="preserve">Italian </w:t>
      </w:r>
      <w:r w:rsidRPr="00606B7C">
        <w:rPr>
          <w:lang w:val="en-GB"/>
        </w:rPr>
        <w:t xml:space="preserve">residence permit as she </w:t>
      </w:r>
      <w:r w:rsidR="003250A3">
        <w:rPr>
          <w:lang w:val="en-GB"/>
        </w:rPr>
        <w:t>did not have an</w:t>
      </w:r>
      <w:r w:rsidRPr="00606B7C">
        <w:rPr>
          <w:lang w:val="en-GB"/>
        </w:rPr>
        <w:t xml:space="preserve"> income. In October 2011, she travelled to Sweden </w:t>
      </w:r>
      <w:r w:rsidR="003250A3">
        <w:rPr>
          <w:lang w:val="en-GB"/>
        </w:rPr>
        <w:t xml:space="preserve">to </w:t>
      </w:r>
      <w:r w:rsidRPr="00606B7C">
        <w:rPr>
          <w:lang w:val="en-GB"/>
        </w:rPr>
        <w:t xml:space="preserve">seek asylum. When </w:t>
      </w:r>
      <w:r w:rsidR="00996B91">
        <w:rPr>
          <w:lang w:val="en-GB"/>
        </w:rPr>
        <w:t xml:space="preserve">she learned that </w:t>
      </w:r>
      <w:r w:rsidRPr="00606B7C">
        <w:rPr>
          <w:lang w:val="en-GB"/>
        </w:rPr>
        <w:t xml:space="preserve">the Swedish authorities planned to return her to Italy, she </w:t>
      </w:r>
      <w:r w:rsidR="0033435B" w:rsidRPr="00606B7C">
        <w:rPr>
          <w:lang w:val="en-GB"/>
        </w:rPr>
        <w:t>travelled</w:t>
      </w:r>
      <w:r w:rsidRPr="00606B7C">
        <w:rPr>
          <w:lang w:val="en-GB"/>
        </w:rPr>
        <w:t xml:space="preserve">  to Denmark, where she applied for asylum on </w:t>
      </w:r>
      <w:r w:rsidR="006325DC" w:rsidRPr="00606B7C">
        <w:rPr>
          <w:lang w:val="en-GB"/>
        </w:rPr>
        <w:t>25 June 2012</w:t>
      </w:r>
      <w:r w:rsidRPr="00606B7C">
        <w:rPr>
          <w:lang w:val="en-GB"/>
        </w:rPr>
        <w:t xml:space="preserve">. </w:t>
      </w:r>
    </w:p>
    <w:p w14:paraId="34FFBE53" w14:textId="77777777" w:rsidR="00C96613" w:rsidRPr="00CA2790" w:rsidRDefault="00C96613" w:rsidP="00996B91">
      <w:pPr>
        <w:pStyle w:val="SingleTxtG"/>
        <w:rPr>
          <w:lang w:val="en-GB"/>
        </w:rPr>
      </w:pPr>
      <w:r w:rsidRPr="00606B7C">
        <w:rPr>
          <w:lang w:val="en-GB"/>
        </w:rPr>
        <w:t>2.13</w:t>
      </w:r>
      <w:r w:rsidRPr="00606B7C">
        <w:rPr>
          <w:lang w:val="en-GB"/>
        </w:rPr>
        <w:tab/>
        <w:t>On 19 November 2013, the Danish Immigration Service determined that because of her situation in Somalia, the author was in need of subsidiary protection but should be transferred to Italy, as Italy was her first country of asylum. Th</w:t>
      </w:r>
      <w:r w:rsidR="00996B91">
        <w:rPr>
          <w:lang w:val="en-GB"/>
        </w:rPr>
        <w:t>at</w:t>
      </w:r>
      <w:r w:rsidRPr="00606B7C">
        <w:rPr>
          <w:lang w:val="en-GB"/>
        </w:rPr>
        <w:t xml:space="preserve"> decision was appealed </w:t>
      </w:r>
      <w:r w:rsidR="00996B91">
        <w:rPr>
          <w:lang w:val="en-GB"/>
        </w:rPr>
        <w:t>before</w:t>
      </w:r>
      <w:r w:rsidRPr="00606B7C">
        <w:rPr>
          <w:lang w:val="en-GB"/>
        </w:rPr>
        <w:t xml:space="preserve"> the Refugee Appeals Board.</w:t>
      </w:r>
      <w:r w:rsidR="00DE3097" w:rsidRPr="00606B7C">
        <w:rPr>
          <w:lang w:val="en-GB"/>
        </w:rPr>
        <w:t xml:space="preserve"> </w:t>
      </w:r>
      <w:r w:rsidRPr="00606B7C">
        <w:rPr>
          <w:lang w:val="en-GB"/>
        </w:rPr>
        <w:t xml:space="preserve">On 22 December 2014, the author gave birth to her third child, </w:t>
      </w:r>
      <w:r w:rsidR="00F378AD" w:rsidRPr="00606B7C">
        <w:rPr>
          <w:lang w:val="en-GB"/>
        </w:rPr>
        <w:t>F</w:t>
      </w:r>
      <w:r w:rsidRPr="00606B7C">
        <w:rPr>
          <w:lang w:val="en-GB"/>
        </w:rPr>
        <w:t xml:space="preserve">. </w:t>
      </w:r>
    </w:p>
    <w:p w14:paraId="52353FBB" w14:textId="77777777" w:rsidR="00C96613" w:rsidRPr="00CA2790" w:rsidRDefault="00C96613" w:rsidP="00E31546">
      <w:pPr>
        <w:pStyle w:val="SingleTxtG"/>
        <w:rPr>
          <w:lang w:val="en-GB"/>
        </w:rPr>
      </w:pPr>
      <w:r w:rsidRPr="00606B7C">
        <w:rPr>
          <w:lang w:val="en-GB"/>
        </w:rPr>
        <w:t>2.14</w:t>
      </w:r>
      <w:r w:rsidRPr="00606B7C">
        <w:rPr>
          <w:lang w:val="en-GB"/>
        </w:rPr>
        <w:tab/>
        <w:t>On 6 February 2014, the Refugee Appeals Board upheld the decision of the Danish Immigration Service</w:t>
      </w:r>
      <w:r w:rsidR="00996B91">
        <w:rPr>
          <w:lang w:val="en-GB"/>
        </w:rPr>
        <w:t>,</w:t>
      </w:r>
      <w:r w:rsidRPr="00606B7C">
        <w:rPr>
          <w:lang w:val="en-GB"/>
        </w:rPr>
        <w:t xml:space="preserve"> stating that the author was in need of subsidiary protection but should be returned to Italy in accordance with the principle of first country of asylum</w:t>
      </w:r>
      <w:r w:rsidR="007337B8" w:rsidRPr="00606B7C">
        <w:rPr>
          <w:lang w:val="en-GB"/>
        </w:rPr>
        <w:t xml:space="preserve"> (</w:t>
      </w:r>
      <w:r w:rsidR="00D55164">
        <w:rPr>
          <w:lang w:val="en-GB"/>
        </w:rPr>
        <w:t xml:space="preserve">see the </w:t>
      </w:r>
      <w:r w:rsidR="007337B8" w:rsidRPr="00606B7C">
        <w:rPr>
          <w:lang w:val="en-GB"/>
        </w:rPr>
        <w:t xml:space="preserve">Dublin </w:t>
      </w:r>
      <w:r w:rsidR="009C1BC7" w:rsidRPr="00606B7C">
        <w:rPr>
          <w:lang w:val="en-GB"/>
        </w:rPr>
        <w:t>R</w:t>
      </w:r>
      <w:r w:rsidR="007337B8" w:rsidRPr="00606B7C">
        <w:rPr>
          <w:lang w:val="en-GB"/>
        </w:rPr>
        <w:t>egulation)</w:t>
      </w:r>
      <w:r w:rsidRPr="00606B7C">
        <w:rPr>
          <w:lang w:val="en-GB"/>
        </w:rPr>
        <w:t xml:space="preserve">. </w:t>
      </w:r>
    </w:p>
    <w:p w14:paraId="5FDAD102" w14:textId="77777777" w:rsidR="00CB108B" w:rsidRPr="00CA2790" w:rsidRDefault="00C96613" w:rsidP="00D55164">
      <w:pPr>
        <w:pStyle w:val="SingleTxtG"/>
        <w:rPr>
          <w:lang w:val="en-GB"/>
        </w:rPr>
      </w:pPr>
      <w:r w:rsidRPr="00606B7C">
        <w:rPr>
          <w:lang w:val="en-GB"/>
        </w:rPr>
        <w:lastRenderedPageBreak/>
        <w:t>2.15</w:t>
      </w:r>
      <w:r w:rsidRPr="00606B7C">
        <w:rPr>
          <w:lang w:val="en-GB"/>
        </w:rPr>
        <w:tab/>
        <w:t xml:space="preserve">The author suffers from asthma, a condition </w:t>
      </w:r>
      <w:r w:rsidR="00D55164">
        <w:rPr>
          <w:lang w:val="en-GB"/>
        </w:rPr>
        <w:t xml:space="preserve">that </w:t>
      </w:r>
      <w:r w:rsidRPr="00606B7C">
        <w:rPr>
          <w:lang w:val="en-GB"/>
        </w:rPr>
        <w:t xml:space="preserve">she developed </w:t>
      </w:r>
      <w:r w:rsidR="00D55164">
        <w:rPr>
          <w:lang w:val="en-GB"/>
        </w:rPr>
        <w:t>from living</w:t>
      </w:r>
      <w:r w:rsidRPr="00606B7C">
        <w:rPr>
          <w:lang w:val="en-GB"/>
        </w:rPr>
        <w:t xml:space="preserve"> in the street in Italy. She is dependent on medic</w:t>
      </w:r>
      <w:r w:rsidR="00D55164">
        <w:rPr>
          <w:lang w:val="en-GB"/>
        </w:rPr>
        <w:t>ation</w:t>
      </w:r>
      <w:r w:rsidRPr="00606B7C">
        <w:rPr>
          <w:lang w:val="en-GB"/>
        </w:rPr>
        <w:t xml:space="preserve"> for th</w:t>
      </w:r>
      <w:r w:rsidR="00D55164">
        <w:rPr>
          <w:lang w:val="en-GB"/>
        </w:rPr>
        <w:t>at</w:t>
      </w:r>
      <w:r w:rsidRPr="00606B7C">
        <w:rPr>
          <w:lang w:val="en-GB"/>
        </w:rPr>
        <w:t xml:space="preserve"> condition and </w:t>
      </w:r>
      <w:r w:rsidR="00D55164">
        <w:rPr>
          <w:lang w:val="en-GB"/>
        </w:rPr>
        <w:t>w</w:t>
      </w:r>
      <w:r w:rsidRPr="00606B7C">
        <w:rPr>
          <w:lang w:val="en-GB"/>
        </w:rPr>
        <w:t>as hospitalized in Denmark when she failed to inhale her medic</w:t>
      </w:r>
      <w:r w:rsidR="00D55164">
        <w:rPr>
          <w:lang w:val="en-GB"/>
        </w:rPr>
        <w:t>ation</w:t>
      </w:r>
      <w:r w:rsidRPr="00606B7C">
        <w:rPr>
          <w:lang w:val="en-GB"/>
        </w:rPr>
        <w:t xml:space="preserve"> in time. </w:t>
      </w:r>
    </w:p>
    <w:p w14:paraId="68911F07" w14:textId="77777777" w:rsidR="00CB108B" w:rsidRPr="00606B7C" w:rsidRDefault="00CB108B" w:rsidP="005202B2">
      <w:pPr>
        <w:pStyle w:val="SingleTxtG"/>
        <w:rPr>
          <w:lang w:val="en-GB"/>
        </w:rPr>
      </w:pPr>
      <w:r w:rsidRPr="00606B7C">
        <w:rPr>
          <w:lang w:val="en-GB"/>
        </w:rPr>
        <w:t>2.16</w:t>
      </w:r>
      <w:r w:rsidRPr="00606B7C">
        <w:rPr>
          <w:lang w:val="en-GB"/>
        </w:rPr>
        <w:tab/>
        <w:t xml:space="preserve">The author claims </w:t>
      </w:r>
      <w:r w:rsidR="00D55164">
        <w:rPr>
          <w:lang w:val="en-GB"/>
        </w:rPr>
        <w:t xml:space="preserve">that </w:t>
      </w:r>
      <w:r w:rsidRPr="00606B7C">
        <w:rPr>
          <w:lang w:val="en-GB"/>
        </w:rPr>
        <w:t xml:space="preserve">she exhausted </w:t>
      </w:r>
      <w:r w:rsidR="00D55164">
        <w:rPr>
          <w:lang w:val="en-GB"/>
        </w:rPr>
        <w:t xml:space="preserve">all </w:t>
      </w:r>
      <w:r w:rsidRPr="00606B7C">
        <w:rPr>
          <w:lang w:val="en-GB"/>
        </w:rPr>
        <w:t>domestic remedies in Denmark</w:t>
      </w:r>
      <w:r w:rsidR="00D55164">
        <w:rPr>
          <w:lang w:val="en-GB"/>
        </w:rPr>
        <w:t>, when</w:t>
      </w:r>
      <w:r w:rsidRPr="00606B7C">
        <w:rPr>
          <w:lang w:val="en-GB"/>
        </w:rPr>
        <w:t xml:space="preserve"> </w:t>
      </w:r>
      <w:r w:rsidR="00D55164">
        <w:rPr>
          <w:lang w:val="en-GB"/>
        </w:rPr>
        <w:t>the</w:t>
      </w:r>
      <w:r w:rsidRPr="00606B7C">
        <w:rPr>
          <w:lang w:val="en-GB"/>
        </w:rPr>
        <w:t xml:space="preserve"> negative decision, dated 6 February 2014,</w:t>
      </w:r>
      <w:r w:rsidR="00D55164">
        <w:rPr>
          <w:lang w:val="en-GB"/>
        </w:rPr>
        <w:t xml:space="preserve"> was handed down by</w:t>
      </w:r>
      <w:r w:rsidRPr="00606B7C">
        <w:rPr>
          <w:lang w:val="en-GB"/>
        </w:rPr>
        <w:t xml:space="preserve"> the Danish Refugee Appeals Board</w:t>
      </w:r>
      <w:r w:rsidR="00D55164">
        <w:rPr>
          <w:lang w:val="en-GB"/>
        </w:rPr>
        <w:t xml:space="preserve"> as that </w:t>
      </w:r>
      <w:r w:rsidRPr="00606B7C">
        <w:rPr>
          <w:lang w:val="en-GB"/>
        </w:rPr>
        <w:t>decision is final and cannot be appealed</w:t>
      </w:r>
      <w:r w:rsidR="00D55164">
        <w:rPr>
          <w:lang w:val="en-GB"/>
        </w:rPr>
        <w:t xml:space="preserve"> before another court</w:t>
      </w:r>
      <w:r w:rsidRPr="00606B7C">
        <w:rPr>
          <w:lang w:val="en-GB"/>
        </w:rPr>
        <w:t xml:space="preserve">. </w:t>
      </w:r>
      <w:r w:rsidR="00D55164">
        <w:rPr>
          <w:lang w:val="en-GB"/>
        </w:rPr>
        <w:t>T</w:t>
      </w:r>
      <w:r w:rsidRPr="00606B7C">
        <w:rPr>
          <w:lang w:val="en-GB"/>
        </w:rPr>
        <w:t>he author</w:t>
      </w:r>
      <w:r w:rsidR="00D55164">
        <w:rPr>
          <w:lang w:val="en-GB"/>
        </w:rPr>
        <w:t xml:space="preserve"> contends that</w:t>
      </w:r>
      <w:r w:rsidRPr="00606B7C">
        <w:rPr>
          <w:lang w:val="en-GB"/>
        </w:rPr>
        <w:t xml:space="preserve"> the Danish Refugee Appeals Board based its negative decision on the fact that </w:t>
      </w:r>
      <w:r w:rsidR="00D55164">
        <w:rPr>
          <w:lang w:val="en-GB"/>
        </w:rPr>
        <w:t>she had received</w:t>
      </w:r>
      <w:r w:rsidRPr="00606B7C">
        <w:rPr>
          <w:lang w:val="en-GB"/>
        </w:rPr>
        <w:t xml:space="preserve"> a temporary residence permit in Italy</w:t>
      </w:r>
      <w:r w:rsidR="00D55164">
        <w:rPr>
          <w:lang w:val="en-GB"/>
        </w:rPr>
        <w:t>, when she first entered that country,</w:t>
      </w:r>
      <w:r w:rsidRPr="00606B7C">
        <w:rPr>
          <w:lang w:val="en-GB"/>
        </w:rPr>
        <w:t xml:space="preserve"> </w:t>
      </w:r>
      <w:r w:rsidR="00D55164">
        <w:rPr>
          <w:lang w:val="en-GB"/>
        </w:rPr>
        <w:t>owing to situation</w:t>
      </w:r>
      <w:r w:rsidRPr="00606B7C">
        <w:rPr>
          <w:lang w:val="en-GB"/>
        </w:rPr>
        <w:t xml:space="preserve"> in Somalia and </w:t>
      </w:r>
      <w:r w:rsidR="00D55164">
        <w:rPr>
          <w:lang w:val="en-GB"/>
        </w:rPr>
        <w:t>that she could</w:t>
      </w:r>
      <w:r w:rsidRPr="00606B7C">
        <w:rPr>
          <w:lang w:val="en-GB"/>
        </w:rPr>
        <w:t xml:space="preserve"> enter Italy and reside there legally while applying to renew her residence permit. The Board state</w:t>
      </w:r>
      <w:r w:rsidR="00163A2E">
        <w:rPr>
          <w:lang w:val="en-GB"/>
        </w:rPr>
        <w:t>d</w:t>
      </w:r>
      <w:r w:rsidRPr="00606B7C">
        <w:rPr>
          <w:lang w:val="en-GB"/>
        </w:rPr>
        <w:t xml:space="preserve"> that there </w:t>
      </w:r>
      <w:r w:rsidR="00163A2E">
        <w:rPr>
          <w:lang w:val="en-GB"/>
        </w:rPr>
        <w:t>was</w:t>
      </w:r>
      <w:r w:rsidRPr="00606B7C">
        <w:rPr>
          <w:lang w:val="en-GB"/>
        </w:rPr>
        <w:t xml:space="preserve"> not a “fully sufficient basis” for not referring to Italy as the first </w:t>
      </w:r>
      <w:r w:rsidR="00163A2E">
        <w:rPr>
          <w:lang w:val="en-GB"/>
        </w:rPr>
        <w:t xml:space="preserve">European Union </w:t>
      </w:r>
      <w:r w:rsidRPr="00606B7C">
        <w:rPr>
          <w:lang w:val="en-GB"/>
        </w:rPr>
        <w:t xml:space="preserve">country of asylum in the author’s case. However, the Board </w:t>
      </w:r>
      <w:r w:rsidR="00154220">
        <w:rPr>
          <w:lang w:val="en-GB"/>
        </w:rPr>
        <w:t xml:space="preserve">did </w:t>
      </w:r>
      <w:r w:rsidRPr="00606B7C">
        <w:rPr>
          <w:lang w:val="en-GB"/>
        </w:rPr>
        <w:t xml:space="preserve">note that “the majority of </w:t>
      </w:r>
      <w:r w:rsidR="005202B2">
        <w:rPr>
          <w:lang w:val="en-GB"/>
        </w:rPr>
        <w:t xml:space="preserve">[the members of ] </w:t>
      </w:r>
      <w:r w:rsidRPr="00606B7C">
        <w:rPr>
          <w:lang w:val="en-GB"/>
        </w:rPr>
        <w:t xml:space="preserve">the Refugee Appeals Board </w:t>
      </w:r>
      <w:r w:rsidR="00154220">
        <w:rPr>
          <w:lang w:val="en-GB"/>
        </w:rPr>
        <w:t xml:space="preserve">had </w:t>
      </w:r>
      <w:r w:rsidRPr="00606B7C">
        <w:rPr>
          <w:lang w:val="en-GB"/>
        </w:rPr>
        <w:t xml:space="preserve">found that the background information regarding the conditions for asylum seekers </w:t>
      </w:r>
      <w:r w:rsidR="00154220">
        <w:rPr>
          <w:lang w:val="en-GB"/>
        </w:rPr>
        <w:t>who</w:t>
      </w:r>
      <w:r w:rsidRPr="00606B7C">
        <w:rPr>
          <w:lang w:val="en-GB"/>
        </w:rPr>
        <w:t xml:space="preserve"> </w:t>
      </w:r>
      <w:r w:rsidR="00154220">
        <w:rPr>
          <w:lang w:val="en-GB"/>
        </w:rPr>
        <w:t>received</w:t>
      </w:r>
      <w:r w:rsidRPr="00606B7C">
        <w:rPr>
          <w:lang w:val="en-GB"/>
        </w:rPr>
        <w:t xml:space="preserve"> temporary residence permits in Italy to some extent support</w:t>
      </w:r>
      <w:r w:rsidR="00154220">
        <w:rPr>
          <w:lang w:val="en-GB"/>
        </w:rPr>
        <w:t xml:space="preserve">ed concerns </w:t>
      </w:r>
      <w:r w:rsidRPr="00606B7C">
        <w:rPr>
          <w:lang w:val="en-GB"/>
        </w:rPr>
        <w:t xml:space="preserve">that the humanitarian conditions for this group </w:t>
      </w:r>
      <w:r w:rsidR="00154220">
        <w:rPr>
          <w:lang w:val="en-GB"/>
        </w:rPr>
        <w:t>were approaching</w:t>
      </w:r>
      <w:r w:rsidRPr="00606B7C">
        <w:rPr>
          <w:lang w:val="en-GB"/>
        </w:rPr>
        <w:t xml:space="preserve"> a level where it </w:t>
      </w:r>
      <w:r w:rsidR="00154220">
        <w:rPr>
          <w:lang w:val="en-GB"/>
        </w:rPr>
        <w:t xml:space="preserve">would </w:t>
      </w:r>
      <w:r w:rsidRPr="00606B7C">
        <w:rPr>
          <w:lang w:val="en-GB"/>
        </w:rPr>
        <w:t xml:space="preserve">no longer be secure to refer to Italy as </w:t>
      </w:r>
      <w:r w:rsidR="00154220">
        <w:rPr>
          <w:lang w:val="en-GB"/>
        </w:rPr>
        <w:t xml:space="preserve">the </w:t>
      </w:r>
      <w:r w:rsidRPr="00606B7C">
        <w:rPr>
          <w:lang w:val="en-GB"/>
        </w:rPr>
        <w:t>first country of asylum.</w:t>
      </w:r>
    </w:p>
    <w:p w14:paraId="22603F90" w14:textId="77777777" w:rsidR="00CC3666" w:rsidRPr="00CA2790" w:rsidRDefault="00D8286A" w:rsidP="00D8286A">
      <w:pPr>
        <w:pStyle w:val="H23G"/>
        <w:ind w:left="0" w:firstLine="0"/>
        <w:jc w:val="both"/>
      </w:pPr>
      <w:r w:rsidRPr="00CA2790">
        <w:rPr>
          <w:rFonts w:eastAsia="Calibri"/>
          <w:b w:val="0"/>
        </w:rPr>
        <w:tab/>
      </w:r>
      <w:r w:rsidRPr="00CA2790">
        <w:rPr>
          <w:rFonts w:eastAsia="Calibri"/>
          <w:b w:val="0"/>
        </w:rPr>
        <w:tab/>
      </w:r>
      <w:r w:rsidR="00CC3666" w:rsidRPr="00CA2790">
        <w:t>The complaint</w:t>
      </w:r>
    </w:p>
    <w:p w14:paraId="61733FFE" w14:textId="77777777" w:rsidR="004549AA" w:rsidRPr="00606B7C" w:rsidRDefault="00010B81" w:rsidP="009B0F44">
      <w:pPr>
        <w:pStyle w:val="SingleTxtG"/>
        <w:rPr>
          <w:lang w:val="en-GB"/>
        </w:rPr>
      </w:pPr>
      <w:r w:rsidRPr="00606B7C">
        <w:rPr>
          <w:lang w:val="en-GB"/>
        </w:rPr>
        <w:t>3.1</w:t>
      </w:r>
      <w:r w:rsidR="00E31546" w:rsidRPr="00606B7C">
        <w:rPr>
          <w:lang w:val="en-GB"/>
        </w:rPr>
        <w:tab/>
      </w:r>
      <w:r w:rsidRPr="00606B7C">
        <w:rPr>
          <w:lang w:val="en-GB"/>
        </w:rPr>
        <w:t xml:space="preserve">The author submits that, by forcibly returning her and her children to Italy, </w:t>
      </w:r>
      <w:r w:rsidR="00154220">
        <w:rPr>
          <w:lang w:val="en-GB"/>
        </w:rPr>
        <w:t xml:space="preserve">the Danish authorities </w:t>
      </w:r>
      <w:r w:rsidRPr="00606B7C">
        <w:rPr>
          <w:lang w:val="en-GB"/>
        </w:rPr>
        <w:t>would violate their rights under article 7 of the</w:t>
      </w:r>
      <w:r w:rsidR="00154220">
        <w:rPr>
          <w:lang w:val="en-GB"/>
        </w:rPr>
        <w:t xml:space="preserve"> International</w:t>
      </w:r>
      <w:r w:rsidRPr="00606B7C">
        <w:rPr>
          <w:lang w:val="en-GB"/>
        </w:rPr>
        <w:t xml:space="preserve"> Covenant</w:t>
      </w:r>
      <w:r w:rsidR="00154220">
        <w:rPr>
          <w:lang w:val="en-GB"/>
        </w:rPr>
        <w:t xml:space="preserve"> on Civil and Political Rights</w:t>
      </w:r>
      <w:r w:rsidRPr="00606B7C">
        <w:rPr>
          <w:lang w:val="en-GB"/>
        </w:rPr>
        <w:t>.</w:t>
      </w:r>
      <w:r w:rsidRPr="00606B7C">
        <w:rPr>
          <w:rStyle w:val="FootnoteReference"/>
          <w:sz w:val="20"/>
          <w:lang w:val="en-GB"/>
        </w:rPr>
        <w:footnoteReference w:id="5"/>
      </w:r>
      <w:r w:rsidRPr="00606B7C">
        <w:rPr>
          <w:lang w:val="en-GB"/>
        </w:rPr>
        <w:t xml:space="preserve"> </w:t>
      </w:r>
      <w:r w:rsidR="0046361F" w:rsidRPr="00606B7C">
        <w:rPr>
          <w:lang w:val="en-GB"/>
        </w:rPr>
        <w:t>She submits that</w:t>
      </w:r>
      <w:r w:rsidRPr="00606B7C">
        <w:rPr>
          <w:lang w:val="en-GB"/>
        </w:rPr>
        <w:t xml:space="preserve"> reception conditions in Italy and basic human standards for refugees with valid or expired residence permits do not comply with international obligations of protection.</w:t>
      </w:r>
      <w:r w:rsidRPr="00606B7C">
        <w:rPr>
          <w:rStyle w:val="FootnoteReference"/>
          <w:sz w:val="20"/>
          <w:lang w:val="en-GB"/>
        </w:rPr>
        <w:footnoteReference w:id="6"/>
      </w:r>
      <w:r w:rsidRPr="00606B7C">
        <w:rPr>
          <w:lang w:val="en-GB"/>
        </w:rPr>
        <w:t xml:space="preserve"> On th</w:t>
      </w:r>
      <w:r w:rsidR="00154220">
        <w:rPr>
          <w:lang w:val="en-GB"/>
        </w:rPr>
        <w:t>at</w:t>
      </w:r>
      <w:r w:rsidRPr="00606B7C">
        <w:rPr>
          <w:lang w:val="en-GB"/>
        </w:rPr>
        <w:t xml:space="preserve"> issue, the author cites a report </w:t>
      </w:r>
      <w:r w:rsidR="00154220">
        <w:rPr>
          <w:lang w:val="en-GB"/>
        </w:rPr>
        <w:t xml:space="preserve">which </w:t>
      </w:r>
      <w:r w:rsidRPr="00606B7C">
        <w:rPr>
          <w:lang w:val="en-GB"/>
        </w:rPr>
        <w:t>stat</w:t>
      </w:r>
      <w:r w:rsidR="00154220">
        <w:rPr>
          <w:lang w:val="en-GB"/>
        </w:rPr>
        <w:t>es</w:t>
      </w:r>
      <w:r w:rsidRPr="00606B7C">
        <w:rPr>
          <w:lang w:val="en-GB"/>
        </w:rPr>
        <w:t xml:space="preserve"> that international protection seekers returning to Italy </w:t>
      </w:r>
      <w:r w:rsidR="009B0F44">
        <w:rPr>
          <w:lang w:val="en-GB"/>
        </w:rPr>
        <w:t xml:space="preserve">who </w:t>
      </w:r>
      <w:r w:rsidRPr="00606B7C">
        <w:rPr>
          <w:lang w:val="en-GB"/>
        </w:rPr>
        <w:t>ha</w:t>
      </w:r>
      <w:r w:rsidR="009B0F44">
        <w:rPr>
          <w:lang w:val="en-GB"/>
        </w:rPr>
        <w:t>d</w:t>
      </w:r>
      <w:r w:rsidRPr="00606B7C">
        <w:rPr>
          <w:lang w:val="en-GB"/>
        </w:rPr>
        <w:t xml:space="preserve"> already been granted a form of protection and </w:t>
      </w:r>
      <w:r w:rsidR="00154220">
        <w:rPr>
          <w:lang w:val="en-GB"/>
        </w:rPr>
        <w:t>benefitted from</w:t>
      </w:r>
      <w:r w:rsidRPr="00606B7C">
        <w:rPr>
          <w:lang w:val="en-GB"/>
        </w:rPr>
        <w:t xml:space="preserve"> the reception system when they were in Italy</w:t>
      </w:r>
      <w:r w:rsidR="009B0F44">
        <w:rPr>
          <w:lang w:val="en-GB"/>
        </w:rPr>
        <w:t xml:space="preserve"> were not entitled</w:t>
      </w:r>
      <w:r w:rsidRPr="00606B7C">
        <w:rPr>
          <w:lang w:val="en-GB"/>
        </w:rPr>
        <w:t xml:space="preserve"> to accommodat</w:t>
      </w:r>
      <w:r w:rsidR="009B0F44">
        <w:rPr>
          <w:lang w:val="en-GB"/>
        </w:rPr>
        <w:t xml:space="preserve">ion </w:t>
      </w:r>
      <w:r w:rsidRPr="00606B7C">
        <w:rPr>
          <w:lang w:val="en-GB"/>
        </w:rPr>
        <w:t>in</w:t>
      </w:r>
      <w:r w:rsidR="009B0F44">
        <w:rPr>
          <w:lang w:val="en-GB"/>
        </w:rPr>
        <w:t xml:space="preserve"> the</w:t>
      </w:r>
      <w:r w:rsidRPr="00606B7C">
        <w:rPr>
          <w:lang w:val="en-GB"/>
        </w:rPr>
        <w:t xml:space="preserve"> reception facilities in Italy.</w:t>
      </w:r>
      <w:r w:rsidRPr="00606B7C">
        <w:rPr>
          <w:rStyle w:val="FootnoteReference"/>
          <w:sz w:val="20"/>
          <w:lang w:val="en-GB"/>
        </w:rPr>
        <w:footnoteReference w:id="7"/>
      </w:r>
      <w:r w:rsidRPr="00606B7C">
        <w:rPr>
          <w:lang w:val="en-GB"/>
        </w:rPr>
        <w:t xml:space="preserve"> She </w:t>
      </w:r>
      <w:r w:rsidR="00260BD7" w:rsidRPr="00606B7C">
        <w:rPr>
          <w:lang w:val="en-GB"/>
        </w:rPr>
        <w:t xml:space="preserve">maintains that her experience </w:t>
      </w:r>
      <w:r w:rsidRPr="00606B7C">
        <w:rPr>
          <w:lang w:val="en-GB"/>
        </w:rPr>
        <w:t>indicate</w:t>
      </w:r>
      <w:r w:rsidR="00260BD7" w:rsidRPr="00606B7C">
        <w:rPr>
          <w:lang w:val="en-GB"/>
        </w:rPr>
        <w:t>s</w:t>
      </w:r>
      <w:r w:rsidR="00DC5A78" w:rsidRPr="00606B7C">
        <w:rPr>
          <w:lang w:val="en-GB"/>
        </w:rPr>
        <w:t xml:space="preserve"> system</w:t>
      </w:r>
      <w:r w:rsidRPr="00606B7C">
        <w:rPr>
          <w:lang w:val="en-GB"/>
        </w:rPr>
        <w:t>ic failures regarding basic support for asylum seekers and refugees in Italy, especiall</w:t>
      </w:r>
      <w:r w:rsidR="00260BD7" w:rsidRPr="00606B7C">
        <w:rPr>
          <w:lang w:val="en-GB"/>
        </w:rPr>
        <w:t>y members of vulnerable groups,</w:t>
      </w:r>
      <w:r w:rsidRPr="00606B7C">
        <w:rPr>
          <w:lang w:val="en-GB"/>
        </w:rPr>
        <w:t xml:space="preserve"> and that she and her children w</w:t>
      </w:r>
      <w:r w:rsidR="009B0F44">
        <w:rPr>
          <w:lang w:val="en-GB"/>
        </w:rPr>
        <w:t>ould</w:t>
      </w:r>
      <w:r w:rsidRPr="00606B7C">
        <w:rPr>
          <w:lang w:val="en-GB"/>
        </w:rPr>
        <w:t xml:space="preserve"> likely</w:t>
      </w:r>
      <w:r w:rsidR="00260BD7" w:rsidRPr="00606B7C">
        <w:rPr>
          <w:lang w:val="en-GB"/>
        </w:rPr>
        <w:t xml:space="preserve"> face </w:t>
      </w:r>
      <w:r w:rsidRPr="00606B7C">
        <w:rPr>
          <w:lang w:val="en-GB"/>
        </w:rPr>
        <w:t xml:space="preserve">homelessness, destitution and very </w:t>
      </w:r>
      <w:r w:rsidR="00260BD7" w:rsidRPr="00606B7C">
        <w:rPr>
          <w:lang w:val="en-GB"/>
        </w:rPr>
        <w:t>limited access to medical care</w:t>
      </w:r>
      <w:r w:rsidR="009B0F44">
        <w:rPr>
          <w:lang w:val="en-GB"/>
        </w:rPr>
        <w:t xml:space="preserve"> if </w:t>
      </w:r>
      <w:r w:rsidR="009B0F44" w:rsidRPr="00606B7C">
        <w:rPr>
          <w:lang w:val="en-GB"/>
        </w:rPr>
        <w:t>transfer</w:t>
      </w:r>
      <w:r w:rsidR="009B0F44">
        <w:rPr>
          <w:lang w:val="en-GB"/>
        </w:rPr>
        <w:t>red</w:t>
      </w:r>
      <w:r w:rsidR="009B0F44" w:rsidRPr="00606B7C">
        <w:rPr>
          <w:lang w:val="en-GB"/>
        </w:rPr>
        <w:t xml:space="preserve"> to Italy</w:t>
      </w:r>
      <w:r w:rsidR="00260BD7" w:rsidRPr="00606B7C">
        <w:rPr>
          <w:lang w:val="en-GB"/>
        </w:rPr>
        <w:t>.</w:t>
      </w:r>
      <w:r w:rsidRPr="00606B7C">
        <w:rPr>
          <w:lang w:val="en-GB"/>
        </w:rPr>
        <w:t xml:space="preserve"> She asserts that asylum seekers in Italy experience severe difficulties accessing health services.</w:t>
      </w:r>
      <w:r w:rsidRPr="00606B7C">
        <w:rPr>
          <w:rStyle w:val="FootnoteReference"/>
          <w:sz w:val="20"/>
          <w:lang w:val="en-GB"/>
        </w:rPr>
        <w:footnoteReference w:id="8"/>
      </w:r>
      <w:r w:rsidRPr="00606B7C">
        <w:rPr>
          <w:lang w:val="en-GB"/>
        </w:rPr>
        <w:t xml:space="preserve"> </w:t>
      </w:r>
      <w:r w:rsidR="009B0F44">
        <w:rPr>
          <w:lang w:val="en-GB"/>
        </w:rPr>
        <w:t>S</w:t>
      </w:r>
      <w:r w:rsidRPr="00606B7C">
        <w:rPr>
          <w:lang w:val="en-GB"/>
        </w:rPr>
        <w:t>he asserts that</w:t>
      </w:r>
      <w:r w:rsidR="009B0F44">
        <w:rPr>
          <w:lang w:val="en-GB"/>
        </w:rPr>
        <w:t>,</w:t>
      </w:r>
      <w:r w:rsidRPr="00606B7C">
        <w:rPr>
          <w:lang w:val="en-GB"/>
        </w:rPr>
        <w:t xml:space="preserve"> in view of th</w:t>
      </w:r>
      <w:r w:rsidR="009B0F44">
        <w:rPr>
          <w:lang w:val="en-GB"/>
        </w:rPr>
        <w:t>at</w:t>
      </w:r>
      <w:r w:rsidRPr="00606B7C">
        <w:rPr>
          <w:lang w:val="en-GB"/>
        </w:rPr>
        <w:t xml:space="preserve"> situation, Italy does not currently meet the necessary humanitarian standards for the principle of first country</w:t>
      </w:r>
      <w:r w:rsidR="009B0F44">
        <w:rPr>
          <w:lang w:val="en-GB"/>
        </w:rPr>
        <w:t xml:space="preserve"> of</w:t>
      </w:r>
      <w:r w:rsidRPr="00606B7C">
        <w:rPr>
          <w:lang w:val="en-GB"/>
        </w:rPr>
        <w:t xml:space="preserve"> asylum to be applied.</w:t>
      </w:r>
    </w:p>
    <w:p w14:paraId="1D6AD475" w14:textId="77777777" w:rsidR="0046361F" w:rsidRPr="00CA2790" w:rsidRDefault="004549AA" w:rsidP="00E27B4F">
      <w:pPr>
        <w:pStyle w:val="SingleTxtG"/>
        <w:rPr>
          <w:i/>
          <w:lang w:val="en-GB"/>
        </w:rPr>
      </w:pPr>
      <w:r w:rsidRPr="00606B7C">
        <w:rPr>
          <w:lang w:val="en-GB"/>
        </w:rPr>
        <w:lastRenderedPageBreak/>
        <w:t>3.2</w:t>
      </w:r>
      <w:r w:rsidRPr="00606B7C">
        <w:rPr>
          <w:lang w:val="en-GB"/>
        </w:rPr>
        <w:tab/>
      </w:r>
      <w:r w:rsidRPr="00EA10C5">
        <w:rPr>
          <w:lang w:val="en-GB"/>
        </w:rPr>
        <w:t>The author states</w:t>
      </w:r>
      <w:r w:rsidRPr="00606B7C">
        <w:rPr>
          <w:lang w:val="en-GB"/>
        </w:rPr>
        <w:t xml:space="preserve"> that her circumstances are in contrast with those in the case of </w:t>
      </w:r>
      <w:r w:rsidR="00FE07EC">
        <w:rPr>
          <w:i/>
          <w:lang w:val="en-GB"/>
        </w:rPr>
        <w:t xml:space="preserve">Mohammed </w:t>
      </w:r>
      <w:r w:rsidRPr="00606B7C">
        <w:rPr>
          <w:i/>
          <w:lang w:val="en-GB"/>
        </w:rPr>
        <w:t xml:space="preserve">Hussein and Others v. </w:t>
      </w:r>
      <w:r w:rsidR="00FE07EC">
        <w:rPr>
          <w:i/>
          <w:lang w:val="en-GB"/>
        </w:rPr>
        <w:t>t</w:t>
      </w:r>
      <w:r w:rsidRPr="00606B7C">
        <w:rPr>
          <w:i/>
          <w:lang w:val="en-GB"/>
        </w:rPr>
        <w:t>he Netherlands</w:t>
      </w:r>
      <w:r w:rsidR="00FE07EC">
        <w:rPr>
          <w:i/>
          <w:lang w:val="en-GB"/>
        </w:rPr>
        <w:t xml:space="preserve"> and Italy</w:t>
      </w:r>
      <w:r w:rsidRPr="00606B7C">
        <w:rPr>
          <w:lang w:val="en-GB"/>
        </w:rPr>
        <w:t>,</w:t>
      </w:r>
      <w:r w:rsidR="00A87E10" w:rsidRPr="00606B7C">
        <w:rPr>
          <w:rStyle w:val="FootnoteReference"/>
          <w:lang w:val="en-GB"/>
        </w:rPr>
        <w:footnoteReference w:id="9"/>
      </w:r>
      <w:r w:rsidRPr="00606B7C">
        <w:rPr>
          <w:lang w:val="en-GB"/>
        </w:rPr>
        <w:t xml:space="preserve"> because she has already experienced being transferred from </w:t>
      </w:r>
      <w:r w:rsidR="004545EB">
        <w:rPr>
          <w:lang w:val="en-GB"/>
        </w:rPr>
        <w:t>the Netherlands</w:t>
      </w:r>
      <w:r w:rsidRPr="00606B7C">
        <w:rPr>
          <w:lang w:val="en-GB"/>
        </w:rPr>
        <w:t xml:space="preserve"> to Italy, and she did not</w:t>
      </w:r>
      <w:r w:rsidR="004545EB">
        <w:rPr>
          <w:lang w:val="en-GB"/>
        </w:rPr>
        <w:t>, neither</w:t>
      </w:r>
      <w:r w:rsidRPr="00606B7C">
        <w:rPr>
          <w:lang w:val="en-GB"/>
        </w:rPr>
        <w:t xml:space="preserve"> on arrival nor later</w:t>
      </w:r>
      <w:r w:rsidR="004545EB">
        <w:rPr>
          <w:lang w:val="en-GB"/>
        </w:rPr>
        <w:t>, have</w:t>
      </w:r>
      <w:r w:rsidRPr="00606B7C">
        <w:rPr>
          <w:lang w:val="en-GB"/>
        </w:rPr>
        <w:t xml:space="preserve"> any assistance from the Italian authorities in securing the basic needs of </w:t>
      </w:r>
      <w:r w:rsidR="004545EB">
        <w:rPr>
          <w:lang w:val="en-GB"/>
        </w:rPr>
        <w:t>her</w:t>
      </w:r>
      <w:r w:rsidRPr="00606B7C">
        <w:rPr>
          <w:lang w:val="en-GB"/>
        </w:rPr>
        <w:t xml:space="preserve"> family</w:t>
      </w:r>
      <w:r w:rsidR="004545EB">
        <w:rPr>
          <w:lang w:val="en-GB"/>
        </w:rPr>
        <w:t>, namely,</w:t>
      </w:r>
      <w:r w:rsidRPr="00606B7C">
        <w:rPr>
          <w:lang w:val="en-GB"/>
        </w:rPr>
        <w:t xml:space="preserve"> shelter, food, medical assistance at birth, nor was she </w:t>
      </w:r>
      <w:r w:rsidR="004545EB">
        <w:rPr>
          <w:lang w:val="en-GB"/>
        </w:rPr>
        <w:t>provided with</w:t>
      </w:r>
      <w:r w:rsidRPr="00606B7C">
        <w:rPr>
          <w:lang w:val="en-GB"/>
        </w:rPr>
        <w:t xml:space="preserve"> any assistance </w:t>
      </w:r>
      <w:r w:rsidR="004545EB">
        <w:rPr>
          <w:lang w:val="en-GB"/>
        </w:rPr>
        <w:t>to</w:t>
      </w:r>
      <w:r w:rsidRPr="00606B7C">
        <w:rPr>
          <w:lang w:val="en-GB"/>
        </w:rPr>
        <w:t xml:space="preserve"> find work, more permanent housing and </w:t>
      </w:r>
      <w:r w:rsidR="004545EB">
        <w:rPr>
          <w:lang w:val="en-GB"/>
        </w:rPr>
        <w:t xml:space="preserve">to </w:t>
      </w:r>
      <w:r w:rsidRPr="00606B7C">
        <w:rPr>
          <w:lang w:val="en-GB"/>
        </w:rPr>
        <w:t>integrat</w:t>
      </w:r>
      <w:r w:rsidR="004545EB">
        <w:rPr>
          <w:lang w:val="en-GB"/>
        </w:rPr>
        <w:t>e</w:t>
      </w:r>
      <w:r w:rsidRPr="00606B7C">
        <w:rPr>
          <w:lang w:val="en-GB"/>
        </w:rPr>
        <w:t xml:space="preserve"> into Italian society.</w:t>
      </w:r>
    </w:p>
    <w:p w14:paraId="26655689" w14:textId="77777777" w:rsidR="0046361F" w:rsidRPr="00606B7C" w:rsidRDefault="004549AA" w:rsidP="00B36F14">
      <w:pPr>
        <w:pStyle w:val="SingleTxtG"/>
        <w:rPr>
          <w:lang w:val="en-GB"/>
        </w:rPr>
      </w:pPr>
      <w:r w:rsidRPr="00606B7C">
        <w:rPr>
          <w:lang w:val="en-GB"/>
        </w:rPr>
        <w:t>3.3</w:t>
      </w:r>
      <w:r w:rsidR="00E31546" w:rsidRPr="00CA2790">
        <w:rPr>
          <w:lang w:val="en-GB"/>
        </w:rPr>
        <w:tab/>
      </w:r>
      <w:r w:rsidR="0046361F" w:rsidRPr="00606B7C">
        <w:rPr>
          <w:lang w:val="en-GB"/>
        </w:rPr>
        <w:t xml:space="preserve">The author adds that if they were to return to Italy, she and her children would be at a real risk of facing inhuman and degrading treatment because, based on </w:t>
      </w:r>
      <w:r w:rsidR="004545EB">
        <w:rPr>
          <w:lang w:val="en-GB"/>
        </w:rPr>
        <w:t>he</w:t>
      </w:r>
      <w:r w:rsidR="0046361F" w:rsidRPr="00606B7C">
        <w:rPr>
          <w:lang w:val="en-GB"/>
        </w:rPr>
        <w:t>r p</w:t>
      </w:r>
      <w:r w:rsidR="004545EB">
        <w:rPr>
          <w:lang w:val="en-GB"/>
        </w:rPr>
        <w:t>revious</w:t>
      </w:r>
      <w:r w:rsidR="0046361F" w:rsidRPr="00606B7C">
        <w:rPr>
          <w:lang w:val="en-GB"/>
        </w:rPr>
        <w:t xml:space="preserve"> experience and subsequent developments, they would be exposed to destitution and homelessness, with no prospects of finding a durable humanitarian solution. The author draws attention to her status as a single mother with three small children, the youngest of whom is two and a half months old. She notes that </w:t>
      </w:r>
      <w:r w:rsidR="00B36F14">
        <w:rPr>
          <w:lang w:val="en-GB"/>
        </w:rPr>
        <w:t>after</w:t>
      </w:r>
      <w:r w:rsidR="0046361F" w:rsidRPr="00606B7C">
        <w:rPr>
          <w:lang w:val="en-GB"/>
        </w:rPr>
        <w:t xml:space="preserve"> she was told to leave the Italian reception facilities</w:t>
      </w:r>
      <w:r w:rsidR="004545EB">
        <w:rPr>
          <w:lang w:val="en-GB"/>
        </w:rPr>
        <w:t xml:space="preserve"> in </w:t>
      </w:r>
      <w:r w:rsidR="00EA10C5">
        <w:rPr>
          <w:lang w:val="en-GB"/>
        </w:rPr>
        <w:t>September</w:t>
      </w:r>
      <w:r w:rsidR="004545EB">
        <w:rPr>
          <w:lang w:val="en-GB"/>
        </w:rPr>
        <w:t xml:space="preserve"> 2008</w:t>
      </w:r>
      <w:r w:rsidR="0046361F" w:rsidRPr="00606B7C">
        <w:rPr>
          <w:lang w:val="en-GB"/>
        </w:rPr>
        <w:t>, when she was granted subsidiary protection, she ha</w:t>
      </w:r>
      <w:r w:rsidR="00EA10C5">
        <w:rPr>
          <w:lang w:val="en-GB"/>
        </w:rPr>
        <w:t>d</w:t>
      </w:r>
      <w:r w:rsidR="0046361F" w:rsidRPr="00606B7C">
        <w:rPr>
          <w:lang w:val="en-GB"/>
        </w:rPr>
        <w:t xml:space="preserve"> not been able to find shelter, access to medical care, work or any durable humanitarian solution for her and her children. </w:t>
      </w:r>
      <w:r w:rsidR="00EA10C5">
        <w:rPr>
          <w:lang w:val="en-GB"/>
        </w:rPr>
        <w:t>She</w:t>
      </w:r>
      <w:r w:rsidR="0046361F" w:rsidRPr="00606B7C">
        <w:rPr>
          <w:lang w:val="en-GB"/>
        </w:rPr>
        <w:t xml:space="preserve"> states that her Italian residence permit expired </w:t>
      </w:r>
      <w:r w:rsidR="00EA10C5">
        <w:rPr>
          <w:lang w:val="en-GB"/>
        </w:rPr>
        <w:t>in November 2011</w:t>
      </w:r>
      <w:r w:rsidR="0046361F" w:rsidRPr="00606B7C">
        <w:rPr>
          <w:lang w:val="en-GB"/>
        </w:rPr>
        <w:t xml:space="preserve"> and that she does not have the funds to renew it or find shelter </w:t>
      </w:r>
      <w:r w:rsidR="00EA10C5">
        <w:rPr>
          <w:lang w:val="en-GB"/>
        </w:rPr>
        <w:t>and</w:t>
      </w:r>
      <w:r w:rsidR="0046361F" w:rsidRPr="00606B7C">
        <w:rPr>
          <w:lang w:val="en-GB"/>
        </w:rPr>
        <w:t xml:space="preserve"> food while awaiting </w:t>
      </w:r>
      <w:r w:rsidR="00EA10C5">
        <w:rPr>
          <w:lang w:val="en-GB"/>
        </w:rPr>
        <w:t>its</w:t>
      </w:r>
      <w:r w:rsidR="0046361F" w:rsidRPr="00606B7C">
        <w:rPr>
          <w:lang w:val="en-GB"/>
        </w:rPr>
        <w:t xml:space="preserve"> renewal.</w:t>
      </w:r>
    </w:p>
    <w:p w14:paraId="18B58AEE" w14:textId="77777777" w:rsidR="00CC3666" w:rsidRPr="00CA2790" w:rsidRDefault="00CC3666" w:rsidP="00CC3666">
      <w:pPr>
        <w:pStyle w:val="H23G"/>
      </w:pPr>
      <w:r w:rsidRPr="00CA2790">
        <w:rPr>
          <w:b w:val="0"/>
        </w:rPr>
        <w:tab/>
      </w:r>
      <w:r w:rsidRPr="00CA2790">
        <w:rPr>
          <w:b w:val="0"/>
        </w:rPr>
        <w:tab/>
      </w:r>
      <w:r w:rsidRPr="00CA2790">
        <w:t>State party’s observations on the admissibility and the merits</w:t>
      </w:r>
    </w:p>
    <w:p w14:paraId="079F990B" w14:textId="77777777" w:rsidR="00FE5C77" w:rsidRPr="00CA2790" w:rsidRDefault="00F91041" w:rsidP="00D52107">
      <w:pPr>
        <w:pStyle w:val="SingleTxtG"/>
        <w:rPr>
          <w:lang w:val="en-GB"/>
        </w:rPr>
      </w:pPr>
      <w:r w:rsidRPr="00606B7C">
        <w:rPr>
          <w:lang w:val="en-GB"/>
        </w:rPr>
        <w:t>4.1</w:t>
      </w:r>
      <w:r w:rsidRPr="00606B7C">
        <w:rPr>
          <w:lang w:val="en-GB"/>
        </w:rPr>
        <w:tab/>
        <w:t>In its observations dated 31 October 2014, the State party inform</w:t>
      </w:r>
      <w:r w:rsidR="00EA10C5">
        <w:rPr>
          <w:lang w:val="en-GB"/>
        </w:rPr>
        <w:t>ed the Committee</w:t>
      </w:r>
      <w:r w:rsidRPr="00606B7C">
        <w:rPr>
          <w:lang w:val="en-GB"/>
        </w:rPr>
        <w:t xml:space="preserve"> that in a decision dated 23 July 2014, the </w:t>
      </w:r>
      <w:r w:rsidR="00EA10C5">
        <w:rPr>
          <w:lang w:val="en-GB"/>
        </w:rPr>
        <w:t xml:space="preserve">Danish </w:t>
      </w:r>
      <w:r w:rsidRPr="00606B7C">
        <w:rPr>
          <w:lang w:val="en-GB"/>
        </w:rPr>
        <w:t>R</w:t>
      </w:r>
      <w:r w:rsidR="00FE5C77" w:rsidRPr="00606B7C">
        <w:rPr>
          <w:lang w:val="en-GB"/>
        </w:rPr>
        <w:t xml:space="preserve">efugee </w:t>
      </w:r>
      <w:r w:rsidRPr="00606B7C">
        <w:rPr>
          <w:lang w:val="en-GB"/>
        </w:rPr>
        <w:t>A</w:t>
      </w:r>
      <w:r w:rsidR="00FE5C77" w:rsidRPr="00606B7C">
        <w:rPr>
          <w:lang w:val="en-GB"/>
        </w:rPr>
        <w:t xml:space="preserve">ppeals </w:t>
      </w:r>
      <w:r w:rsidRPr="00606B7C">
        <w:rPr>
          <w:lang w:val="en-GB"/>
        </w:rPr>
        <w:t>B</w:t>
      </w:r>
      <w:r w:rsidR="00FE5C77" w:rsidRPr="00606B7C">
        <w:rPr>
          <w:lang w:val="en-GB"/>
        </w:rPr>
        <w:t xml:space="preserve">oard </w:t>
      </w:r>
      <w:r w:rsidRPr="00606B7C">
        <w:rPr>
          <w:lang w:val="en-GB"/>
        </w:rPr>
        <w:t>rejected the author’s application to re</w:t>
      </w:r>
      <w:r w:rsidR="00EA10C5">
        <w:rPr>
          <w:lang w:val="en-GB"/>
        </w:rPr>
        <w:t>-</w:t>
      </w:r>
      <w:r w:rsidRPr="00606B7C">
        <w:rPr>
          <w:lang w:val="en-GB"/>
        </w:rPr>
        <w:t xml:space="preserve">open </w:t>
      </w:r>
      <w:r w:rsidR="00EA10C5">
        <w:rPr>
          <w:lang w:val="en-GB"/>
        </w:rPr>
        <w:t xml:space="preserve">her </w:t>
      </w:r>
      <w:r w:rsidRPr="00606B7C">
        <w:rPr>
          <w:lang w:val="en-GB"/>
        </w:rPr>
        <w:t>asylum proce</w:t>
      </w:r>
      <w:r w:rsidR="00EA10C5">
        <w:rPr>
          <w:lang w:val="en-GB"/>
        </w:rPr>
        <w:t>s</w:t>
      </w:r>
      <w:r w:rsidRPr="00606B7C">
        <w:rPr>
          <w:lang w:val="en-GB"/>
        </w:rPr>
        <w:t>s. The State party considers that the communication is manifestly ill-founded and should therefore be declared inadmissible</w:t>
      </w:r>
      <w:r w:rsidR="00D52107">
        <w:rPr>
          <w:lang w:val="en-GB"/>
        </w:rPr>
        <w:t xml:space="preserve">; </w:t>
      </w:r>
      <w:r w:rsidRPr="00606B7C">
        <w:rPr>
          <w:lang w:val="en-GB"/>
        </w:rPr>
        <w:t xml:space="preserve">for the same reasons, </w:t>
      </w:r>
      <w:r w:rsidR="00D52107">
        <w:rPr>
          <w:lang w:val="en-GB"/>
        </w:rPr>
        <w:t xml:space="preserve">the State party considers that it </w:t>
      </w:r>
      <w:r w:rsidRPr="00606B7C">
        <w:rPr>
          <w:lang w:val="en-GB"/>
        </w:rPr>
        <w:t xml:space="preserve">is wholly without merit. </w:t>
      </w:r>
      <w:r w:rsidR="00D52107">
        <w:rPr>
          <w:lang w:val="en-GB"/>
        </w:rPr>
        <w:t>More s</w:t>
      </w:r>
      <w:r w:rsidRPr="00606B7C">
        <w:rPr>
          <w:lang w:val="en-GB"/>
        </w:rPr>
        <w:t>pecifically, the State party considers that the author did not pro</w:t>
      </w:r>
      <w:r w:rsidR="00D52107">
        <w:rPr>
          <w:lang w:val="en-GB"/>
        </w:rPr>
        <w:t>vide</w:t>
      </w:r>
      <w:r w:rsidRPr="00606B7C">
        <w:rPr>
          <w:lang w:val="en-GB"/>
        </w:rPr>
        <w:t xml:space="preserve"> any essential new information or views on </w:t>
      </w:r>
      <w:r w:rsidR="00D52107">
        <w:rPr>
          <w:lang w:val="en-GB"/>
        </w:rPr>
        <w:t>her</w:t>
      </w:r>
      <w:r w:rsidRPr="00606B7C">
        <w:rPr>
          <w:lang w:val="en-GB"/>
        </w:rPr>
        <w:t xml:space="preserve"> circumstances</w:t>
      </w:r>
      <w:r w:rsidR="00D52107">
        <w:rPr>
          <w:lang w:val="en-GB"/>
        </w:rPr>
        <w:t>,</w:t>
      </w:r>
      <w:r w:rsidRPr="00606B7C">
        <w:rPr>
          <w:lang w:val="en-GB"/>
        </w:rPr>
        <w:t xml:space="preserve"> beyond the information already relied upon during </w:t>
      </w:r>
      <w:r w:rsidR="00D52107">
        <w:rPr>
          <w:lang w:val="en-GB"/>
        </w:rPr>
        <w:t xml:space="preserve">the </w:t>
      </w:r>
      <w:r w:rsidRPr="00606B7C">
        <w:rPr>
          <w:lang w:val="en-GB"/>
        </w:rPr>
        <w:t xml:space="preserve">asylum proceedings, and </w:t>
      </w:r>
      <w:r w:rsidR="00D52107">
        <w:rPr>
          <w:lang w:val="en-GB"/>
        </w:rPr>
        <w:t>Appeals Board</w:t>
      </w:r>
      <w:r w:rsidRPr="00606B7C">
        <w:rPr>
          <w:lang w:val="en-GB"/>
        </w:rPr>
        <w:t xml:space="preserve"> </w:t>
      </w:r>
      <w:r w:rsidR="00D52107">
        <w:rPr>
          <w:lang w:val="en-GB"/>
        </w:rPr>
        <w:t xml:space="preserve">had </w:t>
      </w:r>
      <w:r w:rsidRPr="00606B7C">
        <w:rPr>
          <w:lang w:val="en-GB"/>
        </w:rPr>
        <w:t>already considered th</w:t>
      </w:r>
      <w:r w:rsidR="00D52107">
        <w:rPr>
          <w:lang w:val="en-GB"/>
        </w:rPr>
        <w:t>at</w:t>
      </w:r>
      <w:r w:rsidRPr="00606B7C">
        <w:rPr>
          <w:lang w:val="en-GB"/>
        </w:rPr>
        <w:t xml:space="preserve"> information in its decisions </w:t>
      </w:r>
      <w:r w:rsidR="00D52107">
        <w:rPr>
          <w:lang w:val="en-GB"/>
        </w:rPr>
        <w:t>of</w:t>
      </w:r>
      <w:r w:rsidRPr="00606B7C">
        <w:rPr>
          <w:lang w:val="en-GB"/>
        </w:rPr>
        <w:t xml:space="preserve"> 6 February and 23 July 2014. The </w:t>
      </w:r>
      <w:r w:rsidR="00D52107">
        <w:rPr>
          <w:lang w:val="en-GB"/>
        </w:rPr>
        <w:t>Appeals Board</w:t>
      </w:r>
      <w:r w:rsidRPr="00606B7C">
        <w:rPr>
          <w:lang w:val="en-GB"/>
        </w:rPr>
        <w:t xml:space="preserve"> found that the author had previously been granted subsidiary protection in Italy and </w:t>
      </w:r>
      <w:r w:rsidR="00D52107">
        <w:rPr>
          <w:lang w:val="en-GB"/>
        </w:rPr>
        <w:t>could</w:t>
      </w:r>
      <w:r w:rsidRPr="00606B7C">
        <w:rPr>
          <w:lang w:val="en-GB"/>
        </w:rPr>
        <w:t xml:space="preserve"> </w:t>
      </w:r>
      <w:r w:rsidR="00D52107">
        <w:rPr>
          <w:lang w:val="en-GB"/>
        </w:rPr>
        <w:t>return to</w:t>
      </w:r>
      <w:r w:rsidRPr="00606B7C">
        <w:rPr>
          <w:lang w:val="en-GB"/>
        </w:rPr>
        <w:t xml:space="preserve"> Italy and stay there lawfully with her children</w:t>
      </w:r>
      <w:r w:rsidR="00D52107">
        <w:rPr>
          <w:lang w:val="en-GB"/>
        </w:rPr>
        <w:t>;</w:t>
      </w:r>
      <w:r w:rsidRPr="00606B7C">
        <w:rPr>
          <w:lang w:val="en-GB"/>
        </w:rPr>
        <w:t xml:space="preserve"> therefore</w:t>
      </w:r>
      <w:r w:rsidR="00D52107">
        <w:rPr>
          <w:lang w:val="en-GB"/>
        </w:rPr>
        <w:t>, Italy is</w:t>
      </w:r>
      <w:r w:rsidRPr="00606B7C">
        <w:rPr>
          <w:lang w:val="en-GB"/>
        </w:rPr>
        <w:t xml:space="preserve"> considered </w:t>
      </w:r>
      <w:r w:rsidR="00D52107">
        <w:rPr>
          <w:lang w:val="en-GB"/>
        </w:rPr>
        <w:t xml:space="preserve">the </w:t>
      </w:r>
      <w:r w:rsidRPr="00606B7C">
        <w:rPr>
          <w:lang w:val="en-GB"/>
        </w:rPr>
        <w:t>“country of first asylum”</w:t>
      </w:r>
      <w:r w:rsidR="00D52107">
        <w:rPr>
          <w:lang w:val="en-GB"/>
        </w:rPr>
        <w:t>, which</w:t>
      </w:r>
      <w:r w:rsidRPr="00606B7C">
        <w:rPr>
          <w:lang w:val="en-GB"/>
        </w:rPr>
        <w:t xml:space="preserve"> justif</w:t>
      </w:r>
      <w:r w:rsidR="00D52107">
        <w:rPr>
          <w:lang w:val="en-GB"/>
        </w:rPr>
        <w:t>ies</w:t>
      </w:r>
      <w:r w:rsidRPr="00606B7C">
        <w:rPr>
          <w:lang w:val="en-GB"/>
        </w:rPr>
        <w:t xml:space="preserve"> the refusal</w:t>
      </w:r>
      <w:r w:rsidR="00D52107">
        <w:rPr>
          <w:lang w:val="en-GB"/>
        </w:rPr>
        <w:t xml:space="preserve"> of the Danish authorities</w:t>
      </w:r>
      <w:r w:rsidRPr="00606B7C">
        <w:rPr>
          <w:lang w:val="en-GB"/>
        </w:rPr>
        <w:t xml:space="preserve"> to grant </w:t>
      </w:r>
      <w:r w:rsidR="00D52107">
        <w:rPr>
          <w:lang w:val="en-GB"/>
        </w:rPr>
        <w:t xml:space="preserve">her </w:t>
      </w:r>
      <w:r w:rsidRPr="00606B7C">
        <w:rPr>
          <w:lang w:val="en-GB"/>
        </w:rPr>
        <w:t>asylum, in accordance with section 7</w:t>
      </w:r>
      <w:r w:rsidR="00D52107">
        <w:rPr>
          <w:lang w:val="en-GB"/>
        </w:rPr>
        <w:t xml:space="preserve"> (</w:t>
      </w:r>
      <w:r w:rsidRPr="00606B7C">
        <w:rPr>
          <w:lang w:val="en-GB"/>
        </w:rPr>
        <w:t>3</w:t>
      </w:r>
      <w:r w:rsidR="00D52107">
        <w:rPr>
          <w:lang w:val="en-GB"/>
        </w:rPr>
        <w:t>)</w:t>
      </w:r>
      <w:r w:rsidRPr="00606B7C">
        <w:rPr>
          <w:lang w:val="en-GB"/>
        </w:rPr>
        <w:t xml:space="preserve"> of the Aliens Act. When applying the </w:t>
      </w:r>
      <w:r w:rsidR="00D52107">
        <w:rPr>
          <w:lang w:val="en-GB"/>
        </w:rPr>
        <w:t xml:space="preserve">principle of </w:t>
      </w:r>
      <w:r w:rsidRPr="00606B7C">
        <w:rPr>
          <w:lang w:val="en-GB"/>
        </w:rPr>
        <w:t xml:space="preserve">country of first asylum, the </w:t>
      </w:r>
      <w:r w:rsidR="00D52107">
        <w:rPr>
          <w:lang w:val="en-GB"/>
        </w:rPr>
        <w:t>Refugee Appeals Board</w:t>
      </w:r>
      <w:r w:rsidRPr="00606B7C">
        <w:rPr>
          <w:lang w:val="en-GB"/>
        </w:rPr>
        <w:t xml:space="preserve"> requires</w:t>
      </w:r>
      <w:r w:rsidR="00D52107">
        <w:rPr>
          <w:lang w:val="en-GB"/>
        </w:rPr>
        <w:t>,</w:t>
      </w:r>
      <w:r w:rsidRPr="00606B7C">
        <w:rPr>
          <w:lang w:val="en-GB"/>
        </w:rPr>
        <w:t xml:space="preserve"> at a minimum</w:t>
      </w:r>
      <w:r w:rsidR="00D52107">
        <w:rPr>
          <w:lang w:val="en-GB"/>
        </w:rPr>
        <w:t>,</w:t>
      </w:r>
      <w:r w:rsidRPr="00606B7C">
        <w:rPr>
          <w:lang w:val="en-GB"/>
        </w:rPr>
        <w:t xml:space="preserve"> that the asylum</w:t>
      </w:r>
      <w:r w:rsidR="00D52107">
        <w:rPr>
          <w:lang w:val="en-GB"/>
        </w:rPr>
        <w:t xml:space="preserve"> </w:t>
      </w:r>
      <w:r w:rsidRPr="00606B7C">
        <w:rPr>
          <w:lang w:val="en-GB"/>
        </w:rPr>
        <w:t xml:space="preserve">seeker </w:t>
      </w:r>
      <w:r w:rsidR="00D52107">
        <w:rPr>
          <w:lang w:val="en-GB"/>
        </w:rPr>
        <w:t>is</w:t>
      </w:r>
      <w:r w:rsidRPr="00606B7C">
        <w:rPr>
          <w:lang w:val="en-GB"/>
        </w:rPr>
        <w:t xml:space="preserve"> protected against </w:t>
      </w:r>
      <w:r w:rsidRPr="00606B7C">
        <w:rPr>
          <w:i/>
          <w:lang w:val="en-GB"/>
        </w:rPr>
        <w:t>refoulement</w:t>
      </w:r>
      <w:r w:rsidRPr="00606B7C">
        <w:rPr>
          <w:lang w:val="en-GB"/>
        </w:rPr>
        <w:t xml:space="preserve"> and that he or she be able to legally</w:t>
      </w:r>
      <w:r w:rsidR="00D52107">
        <w:rPr>
          <w:lang w:val="en-GB"/>
        </w:rPr>
        <w:t xml:space="preserve"> enter</w:t>
      </w:r>
      <w:r w:rsidRPr="00606B7C">
        <w:rPr>
          <w:lang w:val="en-GB"/>
        </w:rPr>
        <w:t xml:space="preserve"> and take up lawful residence in the country</w:t>
      </w:r>
      <w:r w:rsidR="00D52107">
        <w:rPr>
          <w:lang w:val="en-GB"/>
        </w:rPr>
        <w:t xml:space="preserve"> of first asylum</w:t>
      </w:r>
      <w:r w:rsidRPr="00606B7C">
        <w:rPr>
          <w:lang w:val="en-GB"/>
        </w:rPr>
        <w:t xml:space="preserve">. </w:t>
      </w:r>
    </w:p>
    <w:p w14:paraId="10BEE08A" w14:textId="77777777" w:rsidR="00F91041" w:rsidRPr="00CA2790" w:rsidRDefault="00FE5C77" w:rsidP="005E2298">
      <w:pPr>
        <w:pStyle w:val="SingleTxtG"/>
        <w:rPr>
          <w:lang w:val="en-GB"/>
        </w:rPr>
      </w:pPr>
      <w:r w:rsidRPr="00606B7C">
        <w:rPr>
          <w:lang w:val="en-GB"/>
        </w:rPr>
        <w:t>4.2</w:t>
      </w:r>
      <w:r w:rsidRPr="00606B7C">
        <w:rPr>
          <w:lang w:val="en-GB"/>
        </w:rPr>
        <w:tab/>
      </w:r>
      <w:r w:rsidR="005072A0" w:rsidRPr="00606B7C">
        <w:rPr>
          <w:lang w:val="en-GB"/>
        </w:rPr>
        <w:t xml:space="preserve">According to the State party, </w:t>
      </w:r>
      <w:r w:rsidR="00D52107">
        <w:rPr>
          <w:lang w:val="en-GB"/>
        </w:rPr>
        <w:t>such</w:t>
      </w:r>
      <w:r w:rsidR="00F91041" w:rsidRPr="00606B7C">
        <w:rPr>
          <w:lang w:val="en-GB"/>
        </w:rPr>
        <w:t xml:space="preserve"> protection includes certain social and economic elements, as asylum</w:t>
      </w:r>
      <w:r w:rsidR="00D52107">
        <w:rPr>
          <w:lang w:val="en-GB"/>
        </w:rPr>
        <w:t xml:space="preserve"> </w:t>
      </w:r>
      <w:r w:rsidR="00F91041" w:rsidRPr="00606B7C">
        <w:rPr>
          <w:lang w:val="en-GB"/>
        </w:rPr>
        <w:t>seekers must be treated in accord</w:t>
      </w:r>
      <w:r w:rsidR="005015A9" w:rsidRPr="00606B7C">
        <w:rPr>
          <w:lang w:val="en-GB"/>
        </w:rPr>
        <w:t>ance with basic human standards and their personal integrity must be protected.</w:t>
      </w:r>
      <w:r w:rsidR="00F91041" w:rsidRPr="00606B7C">
        <w:rPr>
          <w:lang w:val="en-GB"/>
        </w:rPr>
        <w:t xml:space="preserve"> The core </w:t>
      </w:r>
      <w:r w:rsidR="00FE07EC">
        <w:rPr>
          <w:lang w:val="en-GB"/>
        </w:rPr>
        <w:t>element</w:t>
      </w:r>
      <w:r w:rsidR="00D52107">
        <w:rPr>
          <w:lang w:val="en-GB"/>
        </w:rPr>
        <w:t xml:space="preserve"> </w:t>
      </w:r>
      <w:r w:rsidR="00F91041" w:rsidRPr="00606B7C">
        <w:rPr>
          <w:lang w:val="en-GB"/>
        </w:rPr>
        <w:t xml:space="preserve">of </w:t>
      </w:r>
      <w:r w:rsidR="00D52107">
        <w:rPr>
          <w:lang w:val="en-GB"/>
        </w:rPr>
        <w:t>such</w:t>
      </w:r>
      <w:r w:rsidR="005015A9" w:rsidRPr="00606B7C">
        <w:rPr>
          <w:lang w:val="en-GB"/>
        </w:rPr>
        <w:t xml:space="preserve"> </w:t>
      </w:r>
      <w:r w:rsidR="00F91041" w:rsidRPr="00606B7C">
        <w:rPr>
          <w:lang w:val="en-GB"/>
        </w:rPr>
        <w:t>protection is that the person</w:t>
      </w:r>
      <w:r w:rsidR="00D52107">
        <w:rPr>
          <w:lang w:val="en-GB"/>
        </w:rPr>
        <w:t>(</w:t>
      </w:r>
      <w:r w:rsidR="00F91041" w:rsidRPr="00606B7C">
        <w:rPr>
          <w:lang w:val="en-GB"/>
        </w:rPr>
        <w:t>s</w:t>
      </w:r>
      <w:r w:rsidR="00D52107">
        <w:rPr>
          <w:lang w:val="en-GB"/>
        </w:rPr>
        <w:t>)</w:t>
      </w:r>
      <w:r w:rsidR="00F91041" w:rsidRPr="00606B7C">
        <w:rPr>
          <w:lang w:val="en-GB"/>
        </w:rPr>
        <w:t xml:space="preserve"> must enjoy personal safety, both </w:t>
      </w:r>
      <w:r w:rsidR="00D52107">
        <w:rPr>
          <w:lang w:val="en-GB"/>
        </w:rPr>
        <w:t xml:space="preserve">upon </w:t>
      </w:r>
      <w:r w:rsidR="00F91041" w:rsidRPr="00606B7C">
        <w:rPr>
          <w:lang w:val="en-GB"/>
        </w:rPr>
        <w:t>enter</w:t>
      </w:r>
      <w:r w:rsidR="00D52107">
        <w:rPr>
          <w:lang w:val="en-GB"/>
        </w:rPr>
        <w:t>ing</w:t>
      </w:r>
      <w:r w:rsidR="00F91041" w:rsidRPr="00606B7C">
        <w:rPr>
          <w:lang w:val="en-GB"/>
        </w:rPr>
        <w:t xml:space="preserve"> and </w:t>
      </w:r>
      <w:r w:rsidR="00D52107">
        <w:rPr>
          <w:lang w:val="en-GB"/>
        </w:rPr>
        <w:t>while</w:t>
      </w:r>
      <w:r w:rsidR="00F91041" w:rsidRPr="00606B7C">
        <w:rPr>
          <w:lang w:val="en-GB"/>
        </w:rPr>
        <w:t xml:space="preserve"> stay</w:t>
      </w:r>
      <w:r w:rsidR="00D52107">
        <w:rPr>
          <w:lang w:val="en-GB"/>
        </w:rPr>
        <w:t>ing</w:t>
      </w:r>
      <w:r w:rsidR="00F91041" w:rsidRPr="00606B7C">
        <w:rPr>
          <w:lang w:val="en-GB"/>
        </w:rPr>
        <w:t xml:space="preserve"> in the country of first asylum. </w:t>
      </w:r>
      <w:r w:rsidR="005015A9" w:rsidRPr="00606B7C">
        <w:rPr>
          <w:lang w:val="en-GB"/>
        </w:rPr>
        <w:t>However, requir</w:t>
      </w:r>
      <w:r w:rsidR="00FE07EC">
        <w:rPr>
          <w:lang w:val="en-GB"/>
        </w:rPr>
        <w:t>ing</w:t>
      </w:r>
      <w:r w:rsidR="005015A9" w:rsidRPr="00606B7C">
        <w:rPr>
          <w:lang w:val="en-GB"/>
        </w:rPr>
        <w:t xml:space="preserve"> that the asylum</w:t>
      </w:r>
      <w:r w:rsidR="00FE07EC">
        <w:rPr>
          <w:lang w:val="en-GB"/>
        </w:rPr>
        <w:t xml:space="preserve"> </w:t>
      </w:r>
      <w:r w:rsidR="005015A9" w:rsidRPr="00606B7C">
        <w:rPr>
          <w:lang w:val="en-GB"/>
        </w:rPr>
        <w:t xml:space="preserve">seeker will have the </w:t>
      </w:r>
      <w:r w:rsidR="00FE07EC">
        <w:rPr>
          <w:lang w:val="en-GB"/>
        </w:rPr>
        <w:t xml:space="preserve">exact </w:t>
      </w:r>
      <w:r w:rsidR="005015A9" w:rsidRPr="00606B7C">
        <w:rPr>
          <w:lang w:val="en-GB"/>
        </w:rPr>
        <w:t xml:space="preserve">same social </w:t>
      </w:r>
      <w:r w:rsidR="00FE07EC">
        <w:rPr>
          <w:lang w:val="en-GB"/>
        </w:rPr>
        <w:t xml:space="preserve">and </w:t>
      </w:r>
      <w:r w:rsidR="005015A9" w:rsidRPr="00606B7C">
        <w:rPr>
          <w:lang w:val="en-GB"/>
        </w:rPr>
        <w:t>living standards as nationals</w:t>
      </w:r>
      <w:r w:rsidR="00FE07EC">
        <w:rPr>
          <w:lang w:val="en-GB"/>
        </w:rPr>
        <w:t xml:space="preserve"> of the country is not possible</w:t>
      </w:r>
      <w:r w:rsidR="005015A9" w:rsidRPr="00606B7C">
        <w:rPr>
          <w:lang w:val="en-GB"/>
        </w:rPr>
        <w:t>.</w:t>
      </w:r>
    </w:p>
    <w:p w14:paraId="05B8C1B0" w14:textId="77777777" w:rsidR="00145BF9" w:rsidRPr="00CA2790" w:rsidRDefault="000771C6" w:rsidP="00E27B4F">
      <w:pPr>
        <w:pStyle w:val="SingleTxtG"/>
        <w:rPr>
          <w:lang w:val="en-GB"/>
        </w:rPr>
      </w:pPr>
      <w:r w:rsidRPr="00606B7C">
        <w:rPr>
          <w:lang w:val="en-GB"/>
        </w:rPr>
        <w:t>4.3</w:t>
      </w:r>
      <w:r w:rsidR="00F91041" w:rsidRPr="00606B7C">
        <w:rPr>
          <w:lang w:val="en-GB"/>
        </w:rPr>
        <w:tab/>
        <w:t xml:space="preserve">In response to the author’s allegations </w:t>
      </w:r>
      <w:r w:rsidR="00FE07EC">
        <w:rPr>
          <w:lang w:val="en-GB"/>
        </w:rPr>
        <w:t>regard</w:t>
      </w:r>
      <w:r w:rsidR="00F91041" w:rsidRPr="00606B7C">
        <w:rPr>
          <w:lang w:val="en-GB"/>
        </w:rPr>
        <w:t xml:space="preserve">ing the humanitarian situation in Italy, the State party refers to the </w:t>
      </w:r>
      <w:r w:rsidR="00FE07EC">
        <w:rPr>
          <w:lang w:val="en-GB"/>
        </w:rPr>
        <w:t xml:space="preserve">decision of </w:t>
      </w:r>
      <w:r w:rsidR="00F91041" w:rsidRPr="00606B7C">
        <w:rPr>
          <w:lang w:val="en-GB"/>
        </w:rPr>
        <w:t xml:space="preserve">inadmissibility </w:t>
      </w:r>
      <w:r w:rsidR="00FE07EC">
        <w:rPr>
          <w:lang w:val="en-GB"/>
        </w:rPr>
        <w:t>handed down</w:t>
      </w:r>
      <w:r w:rsidR="00F91041" w:rsidRPr="00606B7C">
        <w:rPr>
          <w:lang w:val="en-GB"/>
        </w:rPr>
        <w:t xml:space="preserve"> by the European Court of Human Rights in</w:t>
      </w:r>
      <w:r w:rsidR="00FE07EC">
        <w:rPr>
          <w:lang w:val="en-GB"/>
        </w:rPr>
        <w:t xml:space="preserve"> </w:t>
      </w:r>
      <w:r w:rsidR="00F91041" w:rsidRPr="00606B7C">
        <w:rPr>
          <w:i/>
          <w:lang w:val="en-GB"/>
        </w:rPr>
        <w:t>Mohammed Hussein</w:t>
      </w:r>
      <w:r w:rsidR="00FE07EC">
        <w:rPr>
          <w:i/>
          <w:lang w:val="en-GB"/>
        </w:rPr>
        <w:t xml:space="preserve"> and Others</w:t>
      </w:r>
      <w:r w:rsidR="00B52DC5">
        <w:rPr>
          <w:i/>
          <w:lang w:val="en-GB"/>
        </w:rPr>
        <w:t xml:space="preserve"> v. the Netherlands and Italy </w:t>
      </w:r>
      <w:r w:rsidR="00FE07EC">
        <w:rPr>
          <w:lang w:val="en-GB"/>
        </w:rPr>
        <w:t>in 2013.</w:t>
      </w:r>
      <w:r w:rsidR="00F91041" w:rsidRPr="00606B7C">
        <w:rPr>
          <w:lang w:val="en-GB"/>
        </w:rPr>
        <w:t xml:space="preserve"> </w:t>
      </w:r>
      <w:r w:rsidR="00B52DC5">
        <w:rPr>
          <w:lang w:val="en-GB"/>
        </w:rPr>
        <w:t xml:space="preserve">In that case, </w:t>
      </w:r>
      <w:r w:rsidR="00B52DC5" w:rsidRPr="00606B7C">
        <w:rPr>
          <w:lang w:val="en-GB"/>
        </w:rPr>
        <w:t>taking into account the reports drawn up by both government</w:t>
      </w:r>
      <w:r w:rsidR="00B52DC5">
        <w:rPr>
          <w:lang w:val="en-GB"/>
        </w:rPr>
        <w:t>al</w:t>
      </w:r>
      <w:r w:rsidR="00B52DC5" w:rsidRPr="00606B7C">
        <w:rPr>
          <w:lang w:val="en-GB"/>
        </w:rPr>
        <w:t xml:space="preserve"> and</w:t>
      </w:r>
      <w:r w:rsidR="00B52DC5">
        <w:rPr>
          <w:lang w:val="en-GB"/>
        </w:rPr>
        <w:t xml:space="preserve"> non-governmental organizations, t</w:t>
      </w:r>
      <w:r w:rsidR="00F91041" w:rsidRPr="00606B7C">
        <w:rPr>
          <w:lang w:val="en-GB"/>
        </w:rPr>
        <w:t xml:space="preserve">he Court </w:t>
      </w:r>
      <w:r w:rsidR="00B52DC5">
        <w:rPr>
          <w:lang w:val="en-GB"/>
        </w:rPr>
        <w:t>considered</w:t>
      </w:r>
      <w:r w:rsidR="00F91041" w:rsidRPr="00606B7C">
        <w:rPr>
          <w:lang w:val="en-GB"/>
        </w:rPr>
        <w:t xml:space="preserve"> that “while the general situation and living conditions in Italy of asylum seekers, accepted refugees and aliens who have been granted a residence permit for international protection or humanitarian purposes may </w:t>
      </w:r>
      <w:r w:rsidR="00F91041" w:rsidRPr="00606B7C">
        <w:rPr>
          <w:lang w:val="en-GB"/>
        </w:rPr>
        <w:lastRenderedPageBreak/>
        <w:t xml:space="preserve">disclose some shortcomings, it has not been shown to disclose a systemic failure to provide support or facilities catering for asylum seekers as members of a particularly vulnerable group of people, as was the case in </w:t>
      </w:r>
      <w:r w:rsidR="00F91041" w:rsidRPr="00606B7C">
        <w:rPr>
          <w:i/>
          <w:lang w:val="en-GB"/>
        </w:rPr>
        <w:t>M.S.S.</w:t>
      </w:r>
      <w:r w:rsidR="00F91041" w:rsidRPr="00606B7C">
        <w:rPr>
          <w:lang w:val="en-GB"/>
        </w:rPr>
        <w:t xml:space="preserve"> </w:t>
      </w:r>
      <w:r w:rsidR="00F91041" w:rsidRPr="00606B7C">
        <w:rPr>
          <w:i/>
          <w:iCs/>
          <w:lang w:val="en-GB"/>
        </w:rPr>
        <w:t>v.</w:t>
      </w:r>
      <w:r w:rsidR="00F91041" w:rsidRPr="00606B7C">
        <w:rPr>
          <w:lang w:val="en-GB"/>
        </w:rPr>
        <w:t xml:space="preserve"> </w:t>
      </w:r>
      <w:r w:rsidR="00F91041" w:rsidRPr="00606B7C">
        <w:rPr>
          <w:i/>
          <w:lang w:val="en-GB"/>
        </w:rPr>
        <w:t>Belgium and Greece</w:t>
      </w:r>
      <w:r w:rsidR="00F91041" w:rsidRPr="00606B7C">
        <w:rPr>
          <w:lang w:val="en-GB"/>
        </w:rPr>
        <w:t>.”</w:t>
      </w:r>
      <w:r w:rsidR="00B52DC5">
        <w:rPr>
          <w:rStyle w:val="FootnoteReference"/>
          <w:lang w:val="en-GB"/>
        </w:rPr>
        <w:footnoteReference w:id="10"/>
      </w:r>
      <w:r w:rsidR="00F91041" w:rsidRPr="00606B7C">
        <w:rPr>
          <w:lang w:val="en-GB"/>
        </w:rPr>
        <w:t xml:space="preserve"> The Court found the applicant’s allegations manifestly ill-founded and inadmissible and that the applicant could be returned to Italy. </w:t>
      </w:r>
      <w:r w:rsidR="00B52DC5">
        <w:rPr>
          <w:lang w:val="en-GB"/>
        </w:rPr>
        <w:t>With regard to the present case, t</w:t>
      </w:r>
      <w:r w:rsidR="00F91041" w:rsidRPr="00606B7C">
        <w:rPr>
          <w:lang w:val="en-GB"/>
        </w:rPr>
        <w:t>he State party considers that</w:t>
      </w:r>
      <w:r w:rsidR="00E82E96">
        <w:rPr>
          <w:lang w:val="en-GB"/>
        </w:rPr>
        <w:t>,</w:t>
      </w:r>
      <w:r w:rsidR="00F91041" w:rsidRPr="00606B7C">
        <w:rPr>
          <w:lang w:val="en-GB"/>
        </w:rPr>
        <w:t xml:space="preserve"> although the author has relied on the </w:t>
      </w:r>
      <w:r w:rsidR="00B52DC5">
        <w:rPr>
          <w:lang w:val="en-GB"/>
        </w:rPr>
        <w:t xml:space="preserve">European </w:t>
      </w:r>
      <w:r w:rsidR="00F91041" w:rsidRPr="00606B7C">
        <w:rPr>
          <w:lang w:val="en-GB"/>
        </w:rPr>
        <w:t xml:space="preserve">Court’s finding in </w:t>
      </w:r>
      <w:r w:rsidR="00F91041" w:rsidRPr="00606B7C">
        <w:rPr>
          <w:i/>
          <w:lang w:val="en-GB"/>
        </w:rPr>
        <w:t>M.S.S.</w:t>
      </w:r>
      <w:r w:rsidR="00F91041" w:rsidRPr="00606B7C">
        <w:rPr>
          <w:lang w:val="en-GB"/>
        </w:rPr>
        <w:t xml:space="preserve"> </w:t>
      </w:r>
      <w:r w:rsidR="00F91041" w:rsidRPr="00606B7C">
        <w:rPr>
          <w:i/>
          <w:iCs/>
          <w:lang w:val="en-GB"/>
        </w:rPr>
        <w:t>v.</w:t>
      </w:r>
      <w:r w:rsidR="00F91041" w:rsidRPr="00606B7C">
        <w:rPr>
          <w:lang w:val="en-GB"/>
        </w:rPr>
        <w:t xml:space="preserve"> </w:t>
      </w:r>
      <w:r w:rsidR="00F91041" w:rsidRPr="00606B7C">
        <w:rPr>
          <w:i/>
          <w:lang w:val="en-GB"/>
        </w:rPr>
        <w:t>Belgium and Greece</w:t>
      </w:r>
      <w:r w:rsidR="00F91041" w:rsidRPr="00606B7C">
        <w:rPr>
          <w:lang w:val="en-GB"/>
        </w:rPr>
        <w:t xml:space="preserve"> (2011), the Court’s decision in the </w:t>
      </w:r>
      <w:r w:rsidR="00B52DC5" w:rsidRPr="006B2854">
        <w:rPr>
          <w:i/>
          <w:iCs/>
        </w:rPr>
        <w:t xml:space="preserve">Mohammed </w:t>
      </w:r>
      <w:r w:rsidR="00F91041" w:rsidRPr="00606B7C">
        <w:rPr>
          <w:i/>
          <w:lang w:val="en-GB"/>
        </w:rPr>
        <w:t>Hussein</w:t>
      </w:r>
      <w:r w:rsidR="00F91041" w:rsidRPr="00606B7C">
        <w:rPr>
          <w:lang w:val="en-GB"/>
        </w:rPr>
        <w:t xml:space="preserve"> case (2013) is more recent and specifically addresses the conditions in Italy. </w:t>
      </w:r>
      <w:r w:rsidR="00E82E96">
        <w:rPr>
          <w:lang w:val="en-GB"/>
        </w:rPr>
        <w:t>T</w:t>
      </w:r>
      <w:r w:rsidR="00F91041" w:rsidRPr="00606B7C">
        <w:rPr>
          <w:lang w:val="en-GB"/>
        </w:rPr>
        <w:t>he Court</w:t>
      </w:r>
      <w:r w:rsidR="00E82E96">
        <w:rPr>
          <w:lang w:val="en-GB"/>
        </w:rPr>
        <w:t xml:space="preserve"> </w:t>
      </w:r>
      <w:r w:rsidR="00F91041" w:rsidRPr="00606B7C">
        <w:rPr>
          <w:lang w:val="en-GB"/>
        </w:rPr>
        <w:t xml:space="preserve">noted that </w:t>
      </w:r>
      <w:r w:rsidR="00805524">
        <w:rPr>
          <w:lang w:val="en-GB"/>
        </w:rPr>
        <w:t xml:space="preserve">a person </w:t>
      </w:r>
      <w:r w:rsidR="00F91041" w:rsidRPr="00606B7C">
        <w:rPr>
          <w:lang w:val="en-GB"/>
        </w:rPr>
        <w:t>granted subsidiary protection in Italy w</w:t>
      </w:r>
      <w:r w:rsidR="00805524">
        <w:rPr>
          <w:lang w:val="en-GB"/>
        </w:rPr>
        <w:t>ould</w:t>
      </w:r>
      <w:r w:rsidR="00F91041" w:rsidRPr="00606B7C">
        <w:rPr>
          <w:lang w:val="en-GB"/>
        </w:rPr>
        <w:t xml:space="preserve"> be provided with a three-year renewable residence permit that allow</w:t>
      </w:r>
      <w:r w:rsidR="00C728C4">
        <w:rPr>
          <w:lang w:val="en-GB"/>
        </w:rPr>
        <w:t>ed</w:t>
      </w:r>
      <w:r w:rsidR="00F91041" w:rsidRPr="00606B7C">
        <w:rPr>
          <w:lang w:val="en-GB"/>
        </w:rPr>
        <w:t xml:space="preserve"> the holder to work, obtain a travel document for aliens, family reunification and</w:t>
      </w:r>
      <w:r w:rsidR="00C728C4">
        <w:rPr>
          <w:lang w:val="en-GB"/>
        </w:rPr>
        <w:t xml:space="preserve"> benefit</w:t>
      </w:r>
      <w:r w:rsidR="00F91041" w:rsidRPr="00606B7C">
        <w:rPr>
          <w:lang w:val="en-GB"/>
        </w:rPr>
        <w:t xml:space="preserve"> from the general schemes for social assistance, health care, social housing and education.</w:t>
      </w:r>
      <w:r w:rsidR="00C728C4">
        <w:rPr>
          <w:rStyle w:val="FootnoteReference"/>
          <w:lang w:val="en-GB"/>
        </w:rPr>
        <w:footnoteReference w:id="11"/>
      </w:r>
      <w:r w:rsidR="00F91041" w:rsidRPr="00606B7C">
        <w:rPr>
          <w:lang w:val="en-GB"/>
        </w:rPr>
        <w:t xml:space="preserve"> </w:t>
      </w:r>
    </w:p>
    <w:p w14:paraId="1BEB2F38" w14:textId="77777777" w:rsidR="00FC77C3" w:rsidRPr="00CA2790" w:rsidRDefault="00145BF9" w:rsidP="00737DB5">
      <w:pPr>
        <w:pStyle w:val="SingleTxtG"/>
        <w:rPr>
          <w:lang w:val="en-GB"/>
        </w:rPr>
      </w:pPr>
      <w:r w:rsidRPr="00606B7C">
        <w:rPr>
          <w:lang w:val="en-GB"/>
        </w:rPr>
        <w:t>4.4</w:t>
      </w:r>
      <w:r w:rsidRPr="00606B7C">
        <w:rPr>
          <w:lang w:val="en-GB"/>
        </w:rPr>
        <w:tab/>
      </w:r>
      <w:r w:rsidR="00174936">
        <w:rPr>
          <w:lang w:val="en-GB"/>
        </w:rPr>
        <w:t>T</w:t>
      </w:r>
      <w:r w:rsidR="00F91041" w:rsidRPr="00606B7C">
        <w:rPr>
          <w:lang w:val="en-GB"/>
        </w:rPr>
        <w:t xml:space="preserve">he </w:t>
      </w:r>
      <w:r w:rsidR="00174936">
        <w:rPr>
          <w:lang w:val="en-GB"/>
        </w:rPr>
        <w:t xml:space="preserve">2012 </w:t>
      </w:r>
      <w:r w:rsidR="00F91041" w:rsidRPr="00606B7C">
        <w:rPr>
          <w:lang w:val="en-GB"/>
        </w:rPr>
        <w:t xml:space="preserve">Council of Europe report cited by the author was already available when the Court </w:t>
      </w:r>
      <w:r w:rsidR="00174936">
        <w:rPr>
          <w:lang w:val="en-GB"/>
        </w:rPr>
        <w:t xml:space="preserve">handed down </w:t>
      </w:r>
      <w:r w:rsidR="00F91041" w:rsidRPr="00606B7C">
        <w:rPr>
          <w:lang w:val="en-GB"/>
        </w:rPr>
        <w:t>its decision in</w:t>
      </w:r>
      <w:r w:rsidR="00174936">
        <w:rPr>
          <w:lang w:val="en-GB"/>
        </w:rPr>
        <w:t xml:space="preserve"> the </w:t>
      </w:r>
      <w:r w:rsidR="00174936" w:rsidRPr="006B2854">
        <w:rPr>
          <w:i/>
          <w:iCs/>
        </w:rPr>
        <w:t>Mohammed</w:t>
      </w:r>
      <w:r w:rsidR="00F91041" w:rsidRPr="00606B7C">
        <w:rPr>
          <w:lang w:val="en-GB"/>
        </w:rPr>
        <w:t xml:space="preserve"> </w:t>
      </w:r>
      <w:r w:rsidR="00F91041" w:rsidRPr="00606B7C">
        <w:rPr>
          <w:i/>
          <w:lang w:val="en-GB"/>
        </w:rPr>
        <w:t>Hussein</w:t>
      </w:r>
      <w:r w:rsidR="00174936">
        <w:rPr>
          <w:lang w:val="en-GB"/>
        </w:rPr>
        <w:t xml:space="preserve"> case, as was </w:t>
      </w:r>
      <w:r w:rsidR="001D2619">
        <w:rPr>
          <w:lang w:val="en-GB"/>
        </w:rPr>
        <w:t>the</w:t>
      </w:r>
      <w:r w:rsidR="00F91041" w:rsidRPr="00606B7C">
        <w:rPr>
          <w:lang w:val="en-GB"/>
        </w:rPr>
        <w:t xml:space="preserve"> 2012 U</w:t>
      </w:r>
      <w:r w:rsidR="004421C6">
        <w:rPr>
          <w:lang w:val="en-GB"/>
        </w:rPr>
        <w:t xml:space="preserve">nited </w:t>
      </w:r>
      <w:r w:rsidR="00F91041" w:rsidRPr="00606B7C">
        <w:rPr>
          <w:lang w:val="en-GB"/>
        </w:rPr>
        <w:t>S</w:t>
      </w:r>
      <w:r w:rsidR="004421C6">
        <w:rPr>
          <w:lang w:val="en-GB"/>
        </w:rPr>
        <w:t>tates</w:t>
      </w:r>
      <w:r w:rsidR="00B356D1">
        <w:rPr>
          <w:lang w:val="en-GB"/>
        </w:rPr>
        <w:t xml:space="preserve"> of America</w:t>
      </w:r>
      <w:r w:rsidR="00F91041" w:rsidRPr="00606B7C">
        <w:rPr>
          <w:lang w:val="en-GB"/>
        </w:rPr>
        <w:t xml:space="preserve"> Department of State </w:t>
      </w:r>
      <w:r w:rsidR="001D2619">
        <w:rPr>
          <w:lang w:val="en-GB"/>
        </w:rPr>
        <w:t>c</w:t>
      </w:r>
      <w:r w:rsidR="00F91041" w:rsidRPr="00606B7C">
        <w:rPr>
          <w:lang w:val="en-GB"/>
        </w:rPr>
        <w:t xml:space="preserve">ountry </w:t>
      </w:r>
      <w:r w:rsidR="001D2619">
        <w:rPr>
          <w:lang w:val="en-GB"/>
        </w:rPr>
        <w:t>r</w:t>
      </w:r>
      <w:r w:rsidR="00F91041" w:rsidRPr="00606B7C">
        <w:rPr>
          <w:lang w:val="en-GB"/>
        </w:rPr>
        <w:t>eport on Italy</w:t>
      </w:r>
      <w:r w:rsidR="004421C6">
        <w:rPr>
          <w:lang w:val="en-GB"/>
        </w:rPr>
        <w:t>. I</w:t>
      </w:r>
      <w:r w:rsidR="00F91041" w:rsidRPr="00606B7C">
        <w:rPr>
          <w:lang w:val="en-GB"/>
        </w:rPr>
        <w:t>nformation that some aliens live</w:t>
      </w:r>
      <w:r w:rsidR="004421C6">
        <w:rPr>
          <w:lang w:val="en-GB"/>
        </w:rPr>
        <w:t>d</w:t>
      </w:r>
      <w:r w:rsidR="00F91041" w:rsidRPr="00606B7C">
        <w:rPr>
          <w:lang w:val="en-GB"/>
        </w:rPr>
        <w:t xml:space="preserve"> in abandoned buildings in Rome and ha</w:t>
      </w:r>
      <w:r w:rsidR="001D2619">
        <w:rPr>
          <w:lang w:val="en-GB"/>
        </w:rPr>
        <w:t>d</w:t>
      </w:r>
      <w:r w:rsidR="00F91041" w:rsidRPr="00606B7C">
        <w:rPr>
          <w:lang w:val="en-GB"/>
        </w:rPr>
        <w:t xml:space="preserve"> limited access to public services was </w:t>
      </w:r>
      <w:r w:rsidR="00B356D1">
        <w:rPr>
          <w:lang w:val="en-GB"/>
        </w:rPr>
        <w:t xml:space="preserve">mentioned </w:t>
      </w:r>
      <w:r w:rsidR="00F91041" w:rsidRPr="00606B7C">
        <w:rPr>
          <w:lang w:val="en-GB"/>
        </w:rPr>
        <w:t xml:space="preserve">included in the </w:t>
      </w:r>
      <w:r w:rsidR="00B356D1" w:rsidRPr="002A7D55">
        <w:rPr>
          <w:i/>
          <w:iCs/>
          <w:lang w:val="en-GB"/>
        </w:rPr>
        <w:t xml:space="preserve">Mohammed </w:t>
      </w:r>
      <w:r w:rsidR="00F91041" w:rsidRPr="00606B7C">
        <w:rPr>
          <w:i/>
          <w:lang w:val="en-GB"/>
        </w:rPr>
        <w:t>Hussein</w:t>
      </w:r>
      <w:r w:rsidR="00F91041" w:rsidRPr="00606B7C">
        <w:rPr>
          <w:lang w:val="en-GB"/>
        </w:rPr>
        <w:t xml:space="preserve"> decision. Finally, the </w:t>
      </w:r>
      <w:r w:rsidR="00C803A2">
        <w:rPr>
          <w:lang w:val="en-GB"/>
        </w:rPr>
        <w:t xml:space="preserve">2013 </w:t>
      </w:r>
      <w:r w:rsidR="00F91041" w:rsidRPr="00606B7C">
        <w:rPr>
          <w:lang w:val="en-GB"/>
        </w:rPr>
        <w:t xml:space="preserve">AIDA </w:t>
      </w:r>
      <w:r w:rsidR="00C803A2">
        <w:rPr>
          <w:lang w:val="en-GB"/>
        </w:rPr>
        <w:t>c</w:t>
      </w:r>
      <w:r w:rsidR="00F91041" w:rsidRPr="00606B7C">
        <w:rPr>
          <w:lang w:val="en-GB"/>
        </w:rPr>
        <w:t xml:space="preserve">ountry </w:t>
      </w:r>
      <w:r w:rsidR="00C803A2">
        <w:rPr>
          <w:lang w:val="en-GB"/>
        </w:rPr>
        <w:t>r</w:t>
      </w:r>
      <w:r w:rsidR="00F91041" w:rsidRPr="00606B7C">
        <w:rPr>
          <w:lang w:val="en-GB"/>
        </w:rPr>
        <w:t>eport</w:t>
      </w:r>
      <w:r w:rsidR="00C803A2">
        <w:rPr>
          <w:lang w:val="en-GB"/>
        </w:rPr>
        <w:t xml:space="preserve"> on Italy</w:t>
      </w:r>
      <w:r w:rsidR="002C0496">
        <w:rPr>
          <w:lang w:val="en-GB"/>
        </w:rPr>
        <w:t>, also</w:t>
      </w:r>
      <w:r w:rsidR="00200505" w:rsidRPr="00606B7C">
        <w:rPr>
          <w:lang w:val="en-GB"/>
        </w:rPr>
        <w:t xml:space="preserve"> </w:t>
      </w:r>
      <w:r w:rsidR="00F91041" w:rsidRPr="00606B7C">
        <w:rPr>
          <w:lang w:val="en-GB"/>
        </w:rPr>
        <w:t>cited by the author</w:t>
      </w:r>
      <w:r w:rsidR="002C0496">
        <w:rPr>
          <w:lang w:val="en-GB"/>
        </w:rPr>
        <w:t>,</w:t>
      </w:r>
      <w:r w:rsidR="00F91041" w:rsidRPr="00606B7C">
        <w:rPr>
          <w:lang w:val="en-GB"/>
        </w:rPr>
        <w:t xml:space="preserve"> stat</w:t>
      </w:r>
      <w:r w:rsidR="002C0496">
        <w:rPr>
          <w:lang w:val="en-GB"/>
        </w:rPr>
        <w:t>ed</w:t>
      </w:r>
      <w:r w:rsidR="00F91041" w:rsidRPr="00606B7C">
        <w:rPr>
          <w:lang w:val="en-GB"/>
        </w:rPr>
        <w:t xml:space="preserve"> that some asylum</w:t>
      </w:r>
      <w:r w:rsidR="002C0496">
        <w:rPr>
          <w:lang w:val="en-GB"/>
        </w:rPr>
        <w:t xml:space="preserve"> </w:t>
      </w:r>
      <w:r w:rsidR="00F91041" w:rsidRPr="00606B7C">
        <w:rPr>
          <w:lang w:val="en-GB"/>
        </w:rPr>
        <w:t xml:space="preserve">seekers </w:t>
      </w:r>
      <w:r w:rsidR="002C0496">
        <w:rPr>
          <w:lang w:val="en-GB"/>
        </w:rPr>
        <w:t>who did not have</w:t>
      </w:r>
      <w:r w:rsidR="00F91041" w:rsidRPr="00606B7C">
        <w:rPr>
          <w:lang w:val="en-GB"/>
        </w:rPr>
        <w:t xml:space="preserve"> access to asylum centres </w:t>
      </w:r>
      <w:r w:rsidR="002C0496">
        <w:rPr>
          <w:lang w:val="en-GB"/>
        </w:rPr>
        <w:t>were obliged</w:t>
      </w:r>
      <w:r w:rsidR="00F91041" w:rsidRPr="00606B7C">
        <w:rPr>
          <w:lang w:val="en-GB"/>
        </w:rPr>
        <w:t xml:space="preserve"> to </w:t>
      </w:r>
      <w:r w:rsidR="002C0496">
        <w:rPr>
          <w:lang w:val="en-GB"/>
        </w:rPr>
        <w:t>live</w:t>
      </w:r>
      <w:r w:rsidR="00F91041" w:rsidRPr="00606B7C">
        <w:rPr>
          <w:lang w:val="en-GB"/>
        </w:rPr>
        <w:t xml:space="preserve"> in “self-organi</w:t>
      </w:r>
      <w:r w:rsidR="002C0496">
        <w:rPr>
          <w:lang w:val="en-GB"/>
        </w:rPr>
        <w:t>z</w:t>
      </w:r>
      <w:r w:rsidR="00F91041" w:rsidRPr="00606B7C">
        <w:rPr>
          <w:lang w:val="en-GB"/>
        </w:rPr>
        <w:t>ed settlements”</w:t>
      </w:r>
      <w:r w:rsidR="002C0496">
        <w:rPr>
          <w:lang w:val="en-GB"/>
        </w:rPr>
        <w:t>,</w:t>
      </w:r>
      <w:r w:rsidR="00F91041" w:rsidRPr="00606B7C">
        <w:rPr>
          <w:lang w:val="en-GB"/>
        </w:rPr>
        <w:t xml:space="preserve"> which are often overcrowded</w:t>
      </w:r>
      <w:r w:rsidR="002C0496">
        <w:rPr>
          <w:lang w:val="en-GB"/>
        </w:rPr>
        <w:t xml:space="preserve"> (see p. 37). Th</w:t>
      </w:r>
      <w:r w:rsidR="00AA4EFE">
        <w:rPr>
          <w:lang w:val="en-GB"/>
        </w:rPr>
        <w:t>e</w:t>
      </w:r>
      <w:r w:rsidR="00F91041" w:rsidRPr="00606B7C">
        <w:rPr>
          <w:lang w:val="en-GB"/>
        </w:rPr>
        <w:t xml:space="preserve"> </w:t>
      </w:r>
      <w:r w:rsidR="002C0496">
        <w:rPr>
          <w:lang w:val="en-GB"/>
        </w:rPr>
        <w:t>November</w:t>
      </w:r>
      <w:r w:rsidR="00F91041" w:rsidRPr="00606B7C">
        <w:rPr>
          <w:lang w:val="en-GB"/>
        </w:rPr>
        <w:t xml:space="preserve"> 2013</w:t>
      </w:r>
      <w:r w:rsidR="00AA4EFE">
        <w:rPr>
          <w:lang w:val="en-GB"/>
        </w:rPr>
        <w:t xml:space="preserve"> update</w:t>
      </w:r>
      <w:r w:rsidR="007B00E8">
        <w:rPr>
          <w:lang w:val="en-GB"/>
        </w:rPr>
        <w:t xml:space="preserve"> of that country report</w:t>
      </w:r>
      <w:r w:rsidR="00AA4EFE">
        <w:rPr>
          <w:lang w:val="en-GB"/>
        </w:rPr>
        <w:t xml:space="preserve"> indicates that those were</w:t>
      </w:r>
      <w:r w:rsidR="00F91041" w:rsidRPr="00606B7C">
        <w:rPr>
          <w:lang w:val="en-GB"/>
        </w:rPr>
        <w:t xml:space="preserve"> </w:t>
      </w:r>
      <w:r w:rsidR="00AA4EFE">
        <w:rPr>
          <w:lang w:val="en-GB"/>
        </w:rPr>
        <w:t xml:space="preserve">the </w:t>
      </w:r>
      <w:r w:rsidR="00F91041" w:rsidRPr="00606B7C">
        <w:rPr>
          <w:lang w:val="en-GB"/>
        </w:rPr>
        <w:t>reception conditions in Italy for asylum</w:t>
      </w:r>
      <w:r w:rsidR="00AA4EFE">
        <w:rPr>
          <w:lang w:val="en-GB"/>
        </w:rPr>
        <w:t xml:space="preserve"> </w:t>
      </w:r>
      <w:r w:rsidR="00F91041" w:rsidRPr="00606B7C">
        <w:rPr>
          <w:lang w:val="en-GB"/>
        </w:rPr>
        <w:t>seekers and not for aliens who ha</w:t>
      </w:r>
      <w:r w:rsidR="00AA4EFE">
        <w:rPr>
          <w:lang w:val="en-GB"/>
        </w:rPr>
        <w:t>d</w:t>
      </w:r>
      <w:r w:rsidR="00F91041" w:rsidRPr="00606B7C">
        <w:rPr>
          <w:lang w:val="en-GB"/>
        </w:rPr>
        <w:t xml:space="preserve"> </w:t>
      </w:r>
      <w:r w:rsidR="00AA4EFE">
        <w:rPr>
          <w:lang w:val="en-GB"/>
        </w:rPr>
        <w:t xml:space="preserve">already </w:t>
      </w:r>
      <w:r w:rsidR="00F91041" w:rsidRPr="00606B7C">
        <w:rPr>
          <w:lang w:val="en-GB"/>
        </w:rPr>
        <w:t xml:space="preserve">been </w:t>
      </w:r>
      <w:r w:rsidR="00AA4EFE">
        <w:rPr>
          <w:lang w:val="en-GB"/>
        </w:rPr>
        <w:t xml:space="preserve">issued </w:t>
      </w:r>
      <w:r w:rsidR="00F91041" w:rsidRPr="00606B7C">
        <w:rPr>
          <w:lang w:val="en-GB"/>
        </w:rPr>
        <w:t>residence</w:t>
      </w:r>
      <w:r w:rsidR="00AA4EFE">
        <w:rPr>
          <w:lang w:val="en-GB"/>
        </w:rPr>
        <w:t xml:space="preserve"> permits</w:t>
      </w:r>
      <w:r w:rsidR="00F91041" w:rsidRPr="00606B7C">
        <w:rPr>
          <w:lang w:val="en-GB"/>
        </w:rPr>
        <w:t xml:space="preserve">. The author has </w:t>
      </w:r>
      <w:r w:rsidR="00AA4EFE">
        <w:rPr>
          <w:lang w:val="en-GB"/>
        </w:rPr>
        <w:t xml:space="preserve">relied </w:t>
      </w:r>
      <w:r w:rsidR="00F91041" w:rsidRPr="00606B7C">
        <w:rPr>
          <w:lang w:val="en-GB"/>
        </w:rPr>
        <w:t xml:space="preserve">primarily </w:t>
      </w:r>
      <w:r w:rsidR="00A55B4E" w:rsidRPr="00606B7C">
        <w:rPr>
          <w:lang w:val="en-GB"/>
        </w:rPr>
        <w:t xml:space="preserve">on </w:t>
      </w:r>
      <w:r w:rsidR="00F91041" w:rsidRPr="00606B7C">
        <w:rPr>
          <w:lang w:val="en-GB"/>
        </w:rPr>
        <w:t xml:space="preserve">reports and other background material </w:t>
      </w:r>
      <w:r w:rsidR="00AA4EFE">
        <w:rPr>
          <w:lang w:val="en-GB"/>
        </w:rPr>
        <w:t xml:space="preserve">relating to </w:t>
      </w:r>
      <w:r w:rsidR="00F91041" w:rsidRPr="002A7D55">
        <w:rPr>
          <w:lang w:val="en-GB"/>
        </w:rPr>
        <w:t>reception conditions</w:t>
      </w:r>
      <w:r w:rsidR="00F91041" w:rsidRPr="00606B7C">
        <w:rPr>
          <w:lang w:val="en-GB"/>
        </w:rPr>
        <w:t xml:space="preserve"> in Italy that </w:t>
      </w:r>
      <w:r w:rsidR="00AA4EFE">
        <w:rPr>
          <w:lang w:val="en-GB"/>
        </w:rPr>
        <w:t>were</w:t>
      </w:r>
      <w:r w:rsidR="00F91041" w:rsidRPr="00606B7C">
        <w:rPr>
          <w:lang w:val="en-GB"/>
        </w:rPr>
        <w:t xml:space="preserve"> relevant to asylum</w:t>
      </w:r>
      <w:r w:rsidR="00AA4EFE">
        <w:rPr>
          <w:lang w:val="en-GB"/>
        </w:rPr>
        <w:t xml:space="preserve"> </w:t>
      </w:r>
      <w:r w:rsidR="00F91041" w:rsidRPr="00606B7C">
        <w:rPr>
          <w:lang w:val="en-GB"/>
        </w:rPr>
        <w:t xml:space="preserve">seekers, including </w:t>
      </w:r>
      <w:r w:rsidR="00AA4EFE">
        <w:rPr>
          <w:lang w:val="en-GB"/>
        </w:rPr>
        <w:t xml:space="preserve">returnees under the </w:t>
      </w:r>
      <w:r w:rsidR="00F91041" w:rsidRPr="00606B7C">
        <w:rPr>
          <w:lang w:val="en-GB"/>
        </w:rPr>
        <w:t xml:space="preserve">Dublin Regulation, and not to persons, like </w:t>
      </w:r>
      <w:r w:rsidR="00AA4EFE">
        <w:rPr>
          <w:lang w:val="en-GB"/>
        </w:rPr>
        <w:t>herself</w:t>
      </w:r>
      <w:r w:rsidR="00F91041" w:rsidRPr="00606B7C">
        <w:rPr>
          <w:lang w:val="en-GB"/>
        </w:rPr>
        <w:t xml:space="preserve">, </w:t>
      </w:r>
      <w:r w:rsidR="00AA4EFE">
        <w:rPr>
          <w:lang w:val="en-GB"/>
        </w:rPr>
        <w:t xml:space="preserve">who </w:t>
      </w:r>
      <w:r w:rsidR="00F91041" w:rsidRPr="00606B7C">
        <w:rPr>
          <w:lang w:val="en-GB"/>
        </w:rPr>
        <w:t>ha</w:t>
      </w:r>
      <w:r w:rsidR="00AA4EFE">
        <w:rPr>
          <w:lang w:val="en-GB"/>
        </w:rPr>
        <w:t>d</w:t>
      </w:r>
      <w:r w:rsidR="00F91041" w:rsidRPr="00606B7C">
        <w:rPr>
          <w:lang w:val="en-GB"/>
        </w:rPr>
        <w:t xml:space="preserve"> already been granted subsidiary protection. Moreover, although the author </w:t>
      </w:r>
      <w:r w:rsidR="00AA4EFE">
        <w:rPr>
          <w:lang w:val="en-GB"/>
        </w:rPr>
        <w:t xml:space="preserve">states </w:t>
      </w:r>
      <w:r w:rsidR="00F91041" w:rsidRPr="00606B7C">
        <w:rPr>
          <w:lang w:val="en-GB"/>
        </w:rPr>
        <w:t>that she suffers from asthma and requires medication for th</w:t>
      </w:r>
      <w:r w:rsidR="00AA4EFE">
        <w:rPr>
          <w:lang w:val="en-GB"/>
        </w:rPr>
        <w:t>e</w:t>
      </w:r>
      <w:r w:rsidR="00F91041" w:rsidRPr="00606B7C">
        <w:rPr>
          <w:lang w:val="en-GB"/>
        </w:rPr>
        <w:t xml:space="preserve"> condition, information available indicates that the author </w:t>
      </w:r>
      <w:r w:rsidR="00EB2E34">
        <w:rPr>
          <w:lang w:val="en-GB"/>
        </w:rPr>
        <w:t xml:space="preserve">would </w:t>
      </w:r>
      <w:r w:rsidR="00F91041" w:rsidRPr="00606B7C">
        <w:rPr>
          <w:lang w:val="en-GB"/>
        </w:rPr>
        <w:t>have access to health</w:t>
      </w:r>
      <w:r w:rsidR="00EB2E34">
        <w:rPr>
          <w:lang w:val="en-GB"/>
        </w:rPr>
        <w:t xml:space="preserve"> </w:t>
      </w:r>
      <w:r w:rsidR="00F91041" w:rsidRPr="00606B7C">
        <w:rPr>
          <w:lang w:val="en-GB"/>
        </w:rPr>
        <w:t>care</w:t>
      </w:r>
      <w:r w:rsidR="00EB2E34">
        <w:rPr>
          <w:lang w:val="en-GB"/>
        </w:rPr>
        <w:t xml:space="preserve"> in Italy</w:t>
      </w:r>
      <w:r w:rsidR="00F91041" w:rsidRPr="00606B7C">
        <w:rPr>
          <w:lang w:val="en-GB"/>
        </w:rPr>
        <w:t>.</w:t>
      </w:r>
      <w:r w:rsidR="00F91041" w:rsidRPr="00606B7C">
        <w:rPr>
          <w:rStyle w:val="FootnoteReference"/>
          <w:bCs/>
          <w:sz w:val="20"/>
          <w:lang w:val="en-GB"/>
        </w:rPr>
        <w:footnoteReference w:id="12"/>
      </w:r>
      <w:r w:rsidR="00F91041" w:rsidRPr="00606B7C">
        <w:rPr>
          <w:lang w:val="en-GB"/>
        </w:rPr>
        <w:t xml:space="preserve"> </w:t>
      </w:r>
    </w:p>
    <w:p w14:paraId="287F2640" w14:textId="77777777" w:rsidR="00F91041" w:rsidRPr="00CA2790" w:rsidRDefault="00FC77C3" w:rsidP="00EB2E34">
      <w:pPr>
        <w:pStyle w:val="SingleTxtG"/>
        <w:rPr>
          <w:lang w:val="en-GB"/>
        </w:rPr>
      </w:pPr>
      <w:r w:rsidRPr="00606B7C">
        <w:rPr>
          <w:lang w:val="en-GB"/>
        </w:rPr>
        <w:t>4.5</w:t>
      </w:r>
      <w:r w:rsidRPr="00606B7C">
        <w:rPr>
          <w:lang w:val="en-GB"/>
        </w:rPr>
        <w:tab/>
        <w:t>Consequently, the State party concludes that it</w:t>
      </w:r>
      <w:r w:rsidR="00F91041" w:rsidRPr="00606B7C">
        <w:rPr>
          <w:lang w:val="en-GB"/>
        </w:rPr>
        <w:t xml:space="preserve"> will not </w:t>
      </w:r>
      <w:r w:rsidR="00EB2E34">
        <w:rPr>
          <w:lang w:val="en-GB"/>
        </w:rPr>
        <w:t xml:space="preserve">be </w:t>
      </w:r>
      <w:r w:rsidR="00F91041" w:rsidRPr="00606B7C">
        <w:rPr>
          <w:lang w:val="en-GB"/>
        </w:rPr>
        <w:t>breach</w:t>
      </w:r>
      <w:r w:rsidR="00EB2E34">
        <w:rPr>
          <w:lang w:val="en-GB"/>
        </w:rPr>
        <w:t>ing</w:t>
      </w:r>
      <w:r w:rsidR="00F91041" w:rsidRPr="00606B7C">
        <w:rPr>
          <w:lang w:val="en-GB"/>
        </w:rPr>
        <w:t xml:space="preserve"> article 7 </w:t>
      </w:r>
      <w:r w:rsidR="00EB2E34">
        <w:rPr>
          <w:lang w:val="en-GB"/>
        </w:rPr>
        <w:t xml:space="preserve"> of the Covenant </w:t>
      </w:r>
      <w:r w:rsidR="00F91041" w:rsidRPr="00606B7C">
        <w:rPr>
          <w:lang w:val="en-GB"/>
        </w:rPr>
        <w:t xml:space="preserve">to deport the author and her children to Italy and </w:t>
      </w:r>
      <w:r w:rsidR="00EB2E34">
        <w:rPr>
          <w:lang w:val="en-GB"/>
        </w:rPr>
        <w:t xml:space="preserve">that </w:t>
      </w:r>
      <w:r w:rsidR="00F91041" w:rsidRPr="00606B7C">
        <w:rPr>
          <w:lang w:val="en-GB"/>
        </w:rPr>
        <w:t xml:space="preserve">the author has failed to substantiate </w:t>
      </w:r>
      <w:r w:rsidR="00EB2E34">
        <w:rPr>
          <w:lang w:val="en-GB"/>
        </w:rPr>
        <w:t xml:space="preserve">that she would be at </w:t>
      </w:r>
      <w:r w:rsidR="00F91041" w:rsidRPr="00606B7C">
        <w:rPr>
          <w:lang w:val="en-GB"/>
        </w:rPr>
        <w:t>risk of irreparable harm in Italy.</w:t>
      </w:r>
    </w:p>
    <w:p w14:paraId="30EB33DA" w14:textId="77777777" w:rsidR="00F91041" w:rsidRPr="00CA2790" w:rsidRDefault="00E31546" w:rsidP="00E31546">
      <w:pPr>
        <w:pStyle w:val="H23G"/>
      </w:pPr>
      <w:r w:rsidRPr="00CA2790">
        <w:tab/>
      </w:r>
      <w:r w:rsidRPr="00CA2790">
        <w:tab/>
      </w:r>
      <w:r w:rsidR="00F91041" w:rsidRPr="00CA2790">
        <w:t xml:space="preserve">Author’s comments on the State party’s observations </w:t>
      </w:r>
    </w:p>
    <w:p w14:paraId="4A30FA6D" w14:textId="77777777" w:rsidR="00F91041" w:rsidRPr="00CA2790" w:rsidRDefault="00E31546" w:rsidP="00756D66">
      <w:pPr>
        <w:pStyle w:val="SingleTxtG"/>
        <w:rPr>
          <w:lang w:val="en-GB"/>
        </w:rPr>
      </w:pPr>
      <w:r w:rsidRPr="00606B7C">
        <w:rPr>
          <w:lang w:val="en-GB"/>
        </w:rPr>
        <w:t>5.1</w:t>
      </w:r>
      <w:r w:rsidRPr="00606B7C">
        <w:rPr>
          <w:lang w:val="en-GB"/>
        </w:rPr>
        <w:tab/>
      </w:r>
      <w:r w:rsidR="00F91041" w:rsidRPr="00606B7C">
        <w:rPr>
          <w:lang w:val="en-GB"/>
        </w:rPr>
        <w:t xml:space="preserve">In her comments dated 3 December 2014, the author asserts that the living conditions in Italy for asylum seekers </w:t>
      </w:r>
      <w:r w:rsidR="00F91041" w:rsidRPr="00606B7C">
        <w:rPr>
          <w:i/>
          <w:lang w:val="en-GB"/>
        </w:rPr>
        <w:t>and</w:t>
      </w:r>
      <w:r w:rsidR="00F91041" w:rsidRPr="00606B7C">
        <w:rPr>
          <w:lang w:val="en-GB"/>
        </w:rPr>
        <w:t xml:space="preserve"> beneficiaries of international (subsidiary)</w:t>
      </w:r>
      <w:r w:rsidR="005F1FA1" w:rsidRPr="00606B7C">
        <w:rPr>
          <w:lang w:val="en-GB"/>
        </w:rPr>
        <w:t xml:space="preserve"> protection are similar, since </w:t>
      </w:r>
      <w:r w:rsidR="00EB2E34">
        <w:rPr>
          <w:lang w:val="en-GB"/>
        </w:rPr>
        <w:t xml:space="preserve">there is </w:t>
      </w:r>
      <w:r w:rsidR="00F91041" w:rsidRPr="00606B7C">
        <w:rPr>
          <w:lang w:val="en-GB"/>
        </w:rPr>
        <w:t xml:space="preserve">no effective integration </w:t>
      </w:r>
      <w:r w:rsidR="005F1FA1" w:rsidRPr="00606B7C">
        <w:rPr>
          <w:lang w:val="en-GB"/>
        </w:rPr>
        <w:t>scheme in Italy.</w:t>
      </w:r>
      <w:r w:rsidR="00F91041" w:rsidRPr="00606B7C">
        <w:rPr>
          <w:lang w:val="en-GB"/>
        </w:rPr>
        <w:t xml:space="preserve"> Asylum seekers and recipients </w:t>
      </w:r>
      <w:r w:rsidR="005F1FA1" w:rsidRPr="00606B7C">
        <w:rPr>
          <w:lang w:val="en-GB"/>
        </w:rPr>
        <w:t xml:space="preserve">of subsidiary protection </w:t>
      </w:r>
      <w:r w:rsidR="00F91041" w:rsidRPr="00606B7C">
        <w:rPr>
          <w:lang w:val="en-GB"/>
        </w:rPr>
        <w:t>often face the same severe difficulties  finding basic shelter, access to</w:t>
      </w:r>
      <w:r w:rsidR="005F1FA1" w:rsidRPr="00606B7C">
        <w:rPr>
          <w:lang w:val="en-GB"/>
        </w:rPr>
        <w:t xml:space="preserve"> sanitary facilities and food.</w:t>
      </w:r>
      <w:r w:rsidR="00F91041" w:rsidRPr="00606B7C">
        <w:rPr>
          <w:rStyle w:val="FootnoteReference"/>
          <w:bCs/>
          <w:sz w:val="20"/>
          <w:lang w:val="en-GB"/>
        </w:rPr>
        <w:footnoteReference w:id="13"/>
      </w:r>
      <w:r w:rsidR="00F91041" w:rsidRPr="00606B7C">
        <w:rPr>
          <w:lang w:val="en-GB"/>
        </w:rPr>
        <w:t xml:space="preserve"> The author refers </w:t>
      </w:r>
      <w:r w:rsidR="009A3808">
        <w:rPr>
          <w:lang w:val="en-GB"/>
        </w:rPr>
        <w:t>a</w:t>
      </w:r>
      <w:r w:rsidR="00F91041" w:rsidRPr="00606B7C">
        <w:rPr>
          <w:lang w:val="en-GB"/>
        </w:rPr>
        <w:t xml:space="preserve"> </w:t>
      </w:r>
      <w:r w:rsidR="009A3808">
        <w:rPr>
          <w:lang w:val="en-GB"/>
        </w:rPr>
        <w:t xml:space="preserve">report which </w:t>
      </w:r>
      <w:r w:rsidR="00F91041" w:rsidRPr="00606B7C">
        <w:rPr>
          <w:lang w:val="en-GB"/>
        </w:rPr>
        <w:t>stat</w:t>
      </w:r>
      <w:r w:rsidR="009A3808">
        <w:rPr>
          <w:lang w:val="en-GB"/>
        </w:rPr>
        <w:t>es</w:t>
      </w:r>
      <w:r w:rsidR="00F91041" w:rsidRPr="00606B7C">
        <w:rPr>
          <w:lang w:val="en-GB"/>
        </w:rPr>
        <w:t xml:space="preserve"> that </w:t>
      </w:r>
      <w:r w:rsidR="005F1FA1" w:rsidRPr="00606B7C">
        <w:rPr>
          <w:lang w:val="en-GB"/>
        </w:rPr>
        <w:t>t</w:t>
      </w:r>
      <w:r w:rsidR="00F91041" w:rsidRPr="00606B7C">
        <w:rPr>
          <w:lang w:val="en-GB"/>
        </w:rPr>
        <w:t>he real problem concerns those who are sent back to Italy and who already ha</w:t>
      </w:r>
      <w:r w:rsidR="009A3808">
        <w:rPr>
          <w:lang w:val="en-GB"/>
        </w:rPr>
        <w:t>d</w:t>
      </w:r>
      <w:r w:rsidR="00F91041" w:rsidRPr="00606B7C">
        <w:rPr>
          <w:lang w:val="en-GB"/>
        </w:rPr>
        <w:t xml:space="preserve"> some kind of protection. </w:t>
      </w:r>
      <w:r w:rsidR="009A3808">
        <w:rPr>
          <w:lang w:val="en-GB"/>
        </w:rPr>
        <w:t>T</w:t>
      </w:r>
      <w:r w:rsidR="00F91041" w:rsidRPr="00606B7C">
        <w:rPr>
          <w:lang w:val="en-GB"/>
        </w:rPr>
        <w:t xml:space="preserve">hey </w:t>
      </w:r>
      <w:r w:rsidR="009A3808">
        <w:rPr>
          <w:lang w:val="en-GB"/>
        </w:rPr>
        <w:t>may</w:t>
      </w:r>
      <w:r w:rsidR="00F91041" w:rsidRPr="00606B7C">
        <w:rPr>
          <w:lang w:val="en-GB"/>
        </w:rPr>
        <w:t xml:space="preserve"> have already stayed in at least one of the accommodation options available </w:t>
      </w:r>
      <w:r w:rsidR="009A3808">
        <w:rPr>
          <w:lang w:val="en-GB"/>
        </w:rPr>
        <w:t>upon arrival, but</w:t>
      </w:r>
      <w:r w:rsidR="00F91041" w:rsidRPr="00606B7C">
        <w:rPr>
          <w:lang w:val="en-GB"/>
        </w:rPr>
        <w:t xml:space="preserve">, if they left the centre voluntarily before the established time, they </w:t>
      </w:r>
      <w:r w:rsidR="009A3808">
        <w:rPr>
          <w:lang w:val="en-GB"/>
        </w:rPr>
        <w:t xml:space="preserve">are no longer entitled </w:t>
      </w:r>
      <w:r w:rsidR="00F91041" w:rsidRPr="00606B7C">
        <w:rPr>
          <w:lang w:val="en-GB"/>
        </w:rPr>
        <w:t xml:space="preserve">to accommodation </w:t>
      </w:r>
      <w:r w:rsidR="009A3808">
        <w:rPr>
          <w:lang w:val="en-GB"/>
        </w:rPr>
        <w:t>in the Government reception centres for asylum seekers</w:t>
      </w:r>
      <w:r w:rsidR="00756D66">
        <w:rPr>
          <w:lang w:val="en-GB"/>
        </w:rPr>
        <w:t xml:space="preserve"> (</w:t>
      </w:r>
      <w:r w:rsidR="009A3808">
        <w:rPr>
          <w:lang w:val="en-GB"/>
        </w:rPr>
        <w:t>CARAs</w:t>
      </w:r>
      <w:r w:rsidR="00756D66">
        <w:rPr>
          <w:lang w:val="en-GB"/>
        </w:rPr>
        <w:t>)</w:t>
      </w:r>
      <w:r w:rsidR="00F91041" w:rsidRPr="00606B7C">
        <w:rPr>
          <w:lang w:val="en-GB"/>
        </w:rPr>
        <w:t xml:space="preserve">. Most </w:t>
      </w:r>
      <w:r w:rsidR="009A3808">
        <w:rPr>
          <w:lang w:val="en-GB"/>
        </w:rPr>
        <w:t xml:space="preserve">of the </w:t>
      </w:r>
      <w:r w:rsidR="00F91041" w:rsidRPr="00606B7C">
        <w:rPr>
          <w:lang w:val="en-GB"/>
        </w:rPr>
        <w:t>people occupying abandoned buildings in Rome fall in</w:t>
      </w:r>
      <w:r w:rsidR="009A3808">
        <w:rPr>
          <w:lang w:val="en-GB"/>
        </w:rPr>
        <w:t>to</w:t>
      </w:r>
      <w:r w:rsidR="00F91041" w:rsidRPr="00606B7C">
        <w:rPr>
          <w:lang w:val="en-GB"/>
        </w:rPr>
        <w:t xml:space="preserve"> this last category. The findings show that the lack of places to </w:t>
      </w:r>
      <w:r w:rsidR="00F91041" w:rsidRPr="00606B7C">
        <w:rPr>
          <w:lang w:val="en-GB"/>
        </w:rPr>
        <w:lastRenderedPageBreak/>
        <w:t>stay is a big problem</w:t>
      </w:r>
      <w:r w:rsidR="009A3808">
        <w:rPr>
          <w:lang w:val="en-GB"/>
        </w:rPr>
        <w:t>,</w:t>
      </w:r>
      <w:r w:rsidR="00F91041" w:rsidRPr="00606B7C">
        <w:rPr>
          <w:lang w:val="en-GB"/>
        </w:rPr>
        <w:t xml:space="preserve"> especially for returnees who are, in most cases, holders of international or humanitarian protection.</w:t>
      </w:r>
      <w:r w:rsidR="00F91041" w:rsidRPr="00606B7C">
        <w:rPr>
          <w:rStyle w:val="FootnoteReference"/>
          <w:bCs/>
          <w:sz w:val="20"/>
          <w:lang w:val="en-GB"/>
        </w:rPr>
        <w:footnoteReference w:id="14"/>
      </w:r>
      <w:r w:rsidR="00F91041" w:rsidRPr="00606B7C">
        <w:rPr>
          <w:lang w:val="en-GB"/>
        </w:rPr>
        <w:t xml:space="preserve"> </w:t>
      </w:r>
    </w:p>
    <w:p w14:paraId="54040555" w14:textId="77777777" w:rsidR="00F91041" w:rsidRPr="00CA2790" w:rsidRDefault="00F91041" w:rsidP="00181986">
      <w:pPr>
        <w:pStyle w:val="SingleTxtG"/>
        <w:rPr>
          <w:lang w:val="en-GB"/>
        </w:rPr>
      </w:pPr>
      <w:r w:rsidRPr="00606B7C">
        <w:rPr>
          <w:lang w:val="en-GB"/>
        </w:rPr>
        <w:t>5.2</w:t>
      </w:r>
      <w:r w:rsidRPr="00606B7C">
        <w:rPr>
          <w:lang w:val="en-GB"/>
        </w:rPr>
        <w:tab/>
        <w:t xml:space="preserve">The author also disputes the </w:t>
      </w:r>
      <w:r w:rsidR="009A3808">
        <w:rPr>
          <w:lang w:val="en-GB"/>
        </w:rPr>
        <w:t xml:space="preserve">State party’s </w:t>
      </w:r>
      <w:r w:rsidRPr="00606B7C">
        <w:rPr>
          <w:lang w:val="en-GB"/>
        </w:rPr>
        <w:t>interpretation of the E</w:t>
      </w:r>
      <w:r w:rsidR="009A3808">
        <w:rPr>
          <w:lang w:val="en-GB"/>
        </w:rPr>
        <w:t xml:space="preserve">uropean </w:t>
      </w:r>
      <w:r w:rsidRPr="00606B7C">
        <w:rPr>
          <w:lang w:val="en-GB"/>
        </w:rPr>
        <w:t>C</w:t>
      </w:r>
      <w:r w:rsidR="009A3808">
        <w:rPr>
          <w:lang w:val="en-GB"/>
        </w:rPr>
        <w:t xml:space="preserve">ourt </w:t>
      </w:r>
      <w:r w:rsidRPr="00606B7C">
        <w:rPr>
          <w:lang w:val="en-GB"/>
        </w:rPr>
        <w:t xml:space="preserve">jurisprudence. </w:t>
      </w:r>
      <w:r w:rsidR="009A3808">
        <w:rPr>
          <w:lang w:val="en-GB"/>
        </w:rPr>
        <w:t>She contends that t</w:t>
      </w:r>
      <w:r w:rsidRPr="00606B7C">
        <w:rPr>
          <w:lang w:val="en-GB"/>
        </w:rPr>
        <w:t xml:space="preserve">he </w:t>
      </w:r>
      <w:r w:rsidR="009A3808" w:rsidRPr="002A7D55">
        <w:rPr>
          <w:i/>
          <w:iCs/>
          <w:lang w:val="en-GB"/>
        </w:rPr>
        <w:t>Mohammed</w:t>
      </w:r>
      <w:r w:rsidR="009A3808">
        <w:rPr>
          <w:lang w:val="en-GB"/>
        </w:rPr>
        <w:t xml:space="preserve"> </w:t>
      </w:r>
      <w:r w:rsidRPr="00606B7C">
        <w:rPr>
          <w:i/>
          <w:lang w:val="en-GB"/>
        </w:rPr>
        <w:t>Hussein</w:t>
      </w:r>
      <w:r w:rsidRPr="00606B7C">
        <w:rPr>
          <w:lang w:val="en-GB"/>
        </w:rPr>
        <w:t xml:space="preserve"> decision </w:t>
      </w:r>
      <w:r w:rsidR="009A3808">
        <w:rPr>
          <w:lang w:val="en-GB"/>
        </w:rPr>
        <w:t>wa</w:t>
      </w:r>
      <w:r w:rsidRPr="00606B7C">
        <w:rPr>
          <w:lang w:val="en-GB"/>
        </w:rPr>
        <w:t xml:space="preserve">s based on an assumption that </w:t>
      </w:r>
      <w:r w:rsidR="009A3808">
        <w:rPr>
          <w:lang w:val="en-GB"/>
        </w:rPr>
        <w:t xml:space="preserve">upon notification, </w:t>
      </w:r>
      <w:r w:rsidRPr="00606B7C">
        <w:rPr>
          <w:lang w:val="en-GB"/>
        </w:rPr>
        <w:t>the Italian authorities would prepare a suitable solution for the arrival of the applicant’s family in Italy.</w:t>
      </w:r>
      <w:r w:rsidRPr="00606B7C">
        <w:rPr>
          <w:rStyle w:val="FootnoteReference"/>
          <w:bCs/>
          <w:sz w:val="20"/>
          <w:lang w:val="en-GB"/>
        </w:rPr>
        <w:footnoteReference w:id="15"/>
      </w:r>
      <w:r w:rsidRPr="00606B7C">
        <w:rPr>
          <w:lang w:val="en-GB"/>
        </w:rPr>
        <w:t xml:space="preserve"> </w:t>
      </w:r>
      <w:r w:rsidR="004124BD">
        <w:rPr>
          <w:lang w:val="en-GB"/>
        </w:rPr>
        <w:t>T</w:t>
      </w:r>
      <w:r w:rsidRPr="00606B7C">
        <w:rPr>
          <w:lang w:val="en-GB"/>
        </w:rPr>
        <w:t>he author submits that she ha</w:t>
      </w:r>
      <w:r w:rsidR="004124BD">
        <w:rPr>
          <w:lang w:val="en-GB"/>
        </w:rPr>
        <w:t>d</w:t>
      </w:r>
      <w:r w:rsidRPr="00606B7C">
        <w:rPr>
          <w:lang w:val="en-GB"/>
        </w:rPr>
        <w:t xml:space="preserve"> </w:t>
      </w:r>
      <w:r w:rsidR="004124BD">
        <w:rPr>
          <w:lang w:val="en-GB"/>
        </w:rPr>
        <w:t xml:space="preserve">also </w:t>
      </w:r>
      <w:r w:rsidRPr="00606B7C">
        <w:rPr>
          <w:lang w:val="en-GB"/>
        </w:rPr>
        <w:t>be</w:t>
      </w:r>
      <w:r w:rsidR="004124BD">
        <w:rPr>
          <w:lang w:val="en-GB"/>
        </w:rPr>
        <w:t>e</w:t>
      </w:r>
      <w:r w:rsidRPr="00606B7C">
        <w:rPr>
          <w:lang w:val="en-GB"/>
        </w:rPr>
        <w:t xml:space="preserve">n transferred from the Netherlands to Italy and </w:t>
      </w:r>
      <w:r w:rsidR="004124BD">
        <w:rPr>
          <w:lang w:val="en-GB"/>
        </w:rPr>
        <w:t xml:space="preserve">was not provided with </w:t>
      </w:r>
      <w:r w:rsidRPr="00606B7C">
        <w:rPr>
          <w:lang w:val="en-GB"/>
        </w:rPr>
        <w:t xml:space="preserve">any assistance </w:t>
      </w:r>
      <w:r w:rsidR="004124BD">
        <w:rPr>
          <w:lang w:val="en-GB"/>
        </w:rPr>
        <w:t>by</w:t>
      </w:r>
      <w:r w:rsidRPr="00606B7C">
        <w:rPr>
          <w:lang w:val="en-GB"/>
        </w:rPr>
        <w:t xml:space="preserve"> the Italian authorities in securing the basic needs of </w:t>
      </w:r>
      <w:r w:rsidR="004124BD">
        <w:rPr>
          <w:lang w:val="en-GB"/>
        </w:rPr>
        <w:t>her</w:t>
      </w:r>
      <w:r w:rsidRPr="00606B7C">
        <w:rPr>
          <w:lang w:val="en-GB"/>
        </w:rPr>
        <w:t xml:space="preserve"> family</w:t>
      </w:r>
      <w:r w:rsidR="004124BD">
        <w:rPr>
          <w:lang w:val="en-GB"/>
        </w:rPr>
        <w:t>, such as</w:t>
      </w:r>
      <w:r w:rsidRPr="00606B7C">
        <w:rPr>
          <w:lang w:val="en-GB"/>
        </w:rPr>
        <w:t xml:space="preserve"> shelter, food, medical assistance, employment, permanent housing or integration into Italian society. Thus, based on </w:t>
      </w:r>
      <w:r w:rsidR="004124BD">
        <w:rPr>
          <w:lang w:val="en-GB"/>
        </w:rPr>
        <w:t>that</w:t>
      </w:r>
      <w:r w:rsidRPr="00606B7C">
        <w:rPr>
          <w:lang w:val="en-GB"/>
        </w:rPr>
        <w:t xml:space="preserve"> experience, there is no basis for assum</w:t>
      </w:r>
      <w:r w:rsidR="004124BD">
        <w:rPr>
          <w:lang w:val="en-GB"/>
        </w:rPr>
        <w:t>ing</w:t>
      </w:r>
      <w:r w:rsidRPr="00606B7C">
        <w:rPr>
          <w:lang w:val="en-GB"/>
        </w:rPr>
        <w:t xml:space="preserve"> that the Italian authorities will prepare for her return in accordance with basic human rights standards. </w:t>
      </w:r>
    </w:p>
    <w:p w14:paraId="394D70A3" w14:textId="77777777" w:rsidR="00CC3666" w:rsidRPr="00CA2790" w:rsidRDefault="00F91041" w:rsidP="00D32336">
      <w:pPr>
        <w:pStyle w:val="SingleTxtG"/>
        <w:rPr>
          <w:lang w:val="en-GB"/>
        </w:rPr>
      </w:pPr>
      <w:r w:rsidRPr="00606B7C">
        <w:rPr>
          <w:lang w:val="en-GB"/>
        </w:rPr>
        <w:t>5.3</w:t>
      </w:r>
      <w:r w:rsidRPr="00606B7C">
        <w:rPr>
          <w:lang w:val="en-GB"/>
        </w:rPr>
        <w:tab/>
        <w:t>Further</w:t>
      </w:r>
      <w:r w:rsidR="004124BD">
        <w:rPr>
          <w:lang w:val="en-GB"/>
        </w:rPr>
        <w:t>more</w:t>
      </w:r>
      <w:r w:rsidRPr="00606B7C">
        <w:rPr>
          <w:lang w:val="en-GB"/>
        </w:rPr>
        <w:t>, the author argues that the more recent E</w:t>
      </w:r>
      <w:r w:rsidR="004124BD">
        <w:rPr>
          <w:lang w:val="en-GB"/>
        </w:rPr>
        <w:t xml:space="preserve">uropean Court </w:t>
      </w:r>
      <w:r w:rsidRPr="00606B7C">
        <w:rPr>
          <w:lang w:val="en-GB"/>
        </w:rPr>
        <w:t xml:space="preserve">decision in </w:t>
      </w:r>
      <w:r w:rsidRPr="00606B7C">
        <w:rPr>
          <w:i/>
          <w:lang w:val="en-GB"/>
        </w:rPr>
        <w:t>Tarakhel</w:t>
      </w:r>
      <w:r w:rsidRPr="00606B7C">
        <w:rPr>
          <w:lang w:val="en-GB"/>
        </w:rPr>
        <w:t xml:space="preserve"> </w:t>
      </w:r>
      <w:r w:rsidRPr="00606B7C">
        <w:rPr>
          <w:i/>
          <w:iCs/>
          <w:lang w:val="en-GB"/>
        </w:rPr>
        <w:t>v.</w:t>
      </w:r>
      <w:r w:rsidRPr="00606B7C">
        <w:rPr>
          <w:lang w:val="en-GB"/>
        </w:rPr>
        <w:t xml:space="preserve"> </w:t>
      </w:r>
      <w:r w:rsidRPr="00606B7C">
        <w:rPr>
          <w:i/>
          <w:lang w:val="en-GB"/>
        </w:rPr>
        <w:t>Switzerland</w:t>
      </w:r>
      <w:r w:rsidRPr="00606B7C">
        <w:rPr>
          <w:lang w:val="en-GB"/>
        </w:rPr>
        <w:t xml:space="preserve"> (4 November 2014),</w:t>
      </w:r>
      <w:r w:rsidR="004124BD">
        <w:rPr>
          <w:lang w:val="en-GB"/>
        </w:rPr>
        <w:t xml:space="preserve"> which</w:t>
      </w:r>
      <w:r w:rsidRPr="00606B7C">
        <w:rPr>
          <w:lang w:val="en-GB"/>
        </w:rPr>
        <w:t xml:space="preserve"> involv</w:t>
      </w:r>
      <w:r w:rsidR="00D32336">
        <w:rPr>
          <w:lang w:val="en-GB"/>
        </w:rPr>
        <w:t>ed</w:t>
      </w:r>
      <w:r w:rsidRPr="00606B7C">
        <w:rPr>
          <w:lang w:val="en-GB"/>
        </w:rPr>
        <w:t xml:space="preserve"> similar facts, supports her claim that she should not be sent back to Italy.</w:t>
      </w:r>
      <w:r w:rsidRPr="00606B7C">
        <w:rPr>
          <w:rStyle w:val="FootnoteReference"/>
          <w:sz w:val="20"/>
          <w:lang w:val="en-GB"/>
        </w:rPr>
        <w:footnoteReference w:id="16"/>
      </w:r>
      <w:r w:rsidRPr="00606B7C">
        <w:rPr>
          <w:lang w:val="en-GB"/>
        </w:rPr>
        <w:t xml:space="preserve"> The author notes that</w:t>
      </w:r>
      <w:r w:rsidR="00A55635">
        <w:rPr>
          <w:lang w:val="en-GB"/>
        </w:rPr>
        <w:t>,</w:t>
      </w:r>
      <w:r w:rsidRPr="00606B7C">
        <w:rPr>
          <w:lang w:val="en-GB"/>
        </w:rPr>
        <w:t xml:space="preserve"> in</w:t>
      </w:r>
      <w:r w:rsidR="00A55635">
        <w:rPr>
          <w:lang w:val="en-GB"/>
        </w:rPr>
        <w:t xml:space="preserve"> the</w:t>
      </w:r>
      <w:r w:rsidRPr="00606B7C">
        <w:rPr>
          <w:lang w:val="en-GB"/>
        </w:rPr>
        <w:t xml:space="preserve"> </w:t>
      </w:r>
      <w:r w:rsidRPr="00606B7C">
        <w:rPr>
          <w:i/>
          <w:lang w:val="en-GB"/>
        </w:rPr>
        <w:t>Tarakhel</w:t>
      </w:r>
      <w:r w:rsidR="00A55635">
        <w:rPr>
          <w:i/>
          <w:lang w:val="en-GB"/>
        </w:rPr>
        <w:t xml:space="preserve"> </w:t>
      </w:r>
      <w:r w:rsidR="00A55635" w:rsidRPr="002A7D55">
        <w:rPr>
          <w:iCs/>
          <w:lang w:val="en-GB"/>
        </w:rPr>
        <w:t>case</w:t>
      </w:r>
      <w:r w:rsidRPr="00606B7C">
        <w:rPr>
          <w:lang w:val="en-GB"/>
        </w:rPr>
        <w:t xml:space="preserve">, the </w:t>
      </w:r>
      <w:r w:rsidR="00A55635">
        <w:rPr>
          <w:lang w:val="en-GB"/>
        </w:rPr>
        <w:t>Court</w:t>
      </w:r>
      <w:r w:rsidRPr="00606B7C">
        <w:rPr>
          <w:lang w:val="en-GB"/>
        </w:rPr>
        <w:t xml:space="preserve"> stated that the presumption that a State participating in the Dublin system will respect the fundamental rights in the European Convention on Human Rights is not irrebuttable. The </w:t>
      </w:r>
      <w:r w:rsidR="00A55635">
        <w:rPr>
          <w:lang w:val="en-GB"/>
        </w:rPr>
        <w:t>Court</w:t>
      </w:r>
      <w:r w:rsidRPr="00606B7C">
        <w:rPr>
          <w:lang w:val="en-GB"/>
        </w:rPr>
        <w:t xml:space="preserve"> further found</w:t>
      </w:r>
      <w:r w:rsidR="00A55635">
        <w:rPr>
          <w:lang w:val="en-GB"/>
        </w:rPr>
        <w:t xml:space="preserve"> that</w:t>
      </w:r>
      <w:r w:rsidR="00D32336">
        <w:rPr>
          <w:lang w:val="en-GB"/>
        </w:rPr>
        <w:t>,</w:t>
      </w:r>
      <w:r w:rsidRPr="00606B7C">
        <w:rPr>
          <w:lang w:val="en-GB"/>
        </w:rPr>
        <w:t xml:space="preserve"> </w:t>
      </w:r>
      <w:r w:rsidR="00C12B46">
        <w:rPr>
          <w:lang w:val="en-GB"/>
        </w:rPr>
        <w:t xml:space="preserve">in </w:t>
      </w:r>
      <w:r w:rsidRPr="00606B7C">
        <w:rPr>
          <w:lang w:val="en-GB"/>
        </w:rPr>
        <w:t xml:space="preserve">the current situation in Italy, “the possibility that a significant number of asylum seekers may be left without accommodation or accommodated in overcrowded facilities without any privacy or even in insalubrious or violent conditions, cannot be dismissed as unfounded.” The </w:t>
      </w:r>
      <w:r w:rsidR="00C12B46">
        <w:rPr>
          <w:lang w:val="en-GB"/>
        </w:rPr>
        <w:t xml:space="preserve">Court required </w:t>
      </w:r>
      <w:r w:rsidRPr="00606B7C">
        <w:rPr>
          <w:lang w:val="en-GB"/>
        </w:rPr>
        <w:t xml:space="preserve">Switzerland to obtain assurances from </w:t>
      </w:r>
      <w:r w:rsidR="00C12B46">
        <w:rPr>
          <w:lang w:val="en-GB"/>
        </w:rPr>
        <w:t>its</w:t>
      </w:r>
      <w:r w:rsidRPr="00606B7C">
        <w:rPr>
          <w:lang w:val="en-GB"/>
        </w:rPr>
        <w:t xml:space="preserve"> Italian counterparts that the applicants (a family) would be received in facilities and conditions adapted to the age of the children</w:t>
      </w:r>
      <w:r w:rsidR="00C12B46">
        <w:rPr>
          <w:lang w:val="en-GB"/>
        </w:rPr>
        <w:t xml:space="preserve">; </w:t>
      </w:r>
      <w:r w:rsidRPr="00606B7C">
        <w:rPr>
          <w:lang w:val="en-GB"/>
        </w:rPr>
        <w:t>if such assurances were not made, Switzerland would</w:t>
      </w:r>
      <w:r w:rsidR="00C12B46">
        <w:rPr>
          <w:lang w:val="en-GB"/>
        </w:rPr>
        <w:t xml:space="preserve"> be</w:t>
      </w:r>
      <w:r w:rsidRPr="00606B7C">
        <w:rPr>
          <w:lang w:val="en-GB"/>
        </w:rPr>
        <w:t xml:space="preserve"> violat</w:t>
      </w:r>
      <w:r w:rsidR="00C12B46">
        <w:rPr>
          <w:lang w:val="en-GB"/>
        </w:rPr>
        <w:t>ing</w:t>
      </w:r>
      <w:r w:rsidRPr="00606B7C">
        <w:rPr>
          <w:lang w:val="en-GB"/>
        </w:rPr>
        <w:t xml:space="preserve"> article 3 of the European Convention by </w:t>
      </w:r>
      <w:r w:rsidR="00C12B46">
        <w:rPr>
          <w:lang w:val="en-GB"/>
        </w:rPr>
        <w:t>transferring</w:t>
      </w:r>
      <w:r w:rsidRPr="00606B7C">
        <w:rPr>
          <w:lang w:val="en-GB"/>
        </w:rPr>
        <w:t xml:space="preserve"> them to Italy. The author argues that</w:t>
      </w:r>
      <w:r w:rsidR="00C12B46">
        <w:rPr>
          <w:lang w:val="en-GB"/>
        </w:rPr>
        <w:t>,</w:t>
      </w:r>
      <w:r w:rsidRPr="00606B7C">
        <w:rPr>
          <w:lang w:val="en-GB"/>
        </w:rPr>
        <w:t xml:space="preserve"> in </w:t>
      </w:r>
      <w:r w:rsidR="00C12B46">
        <w:rPr>
          <w:lang w:val="en-GB"/>
        </w:rPr>
        <w:t xml:space="preserve">the </w:t>
      </w:r>
      <w:r w:rsidRPr="00606B7C">
        <w:rPr>
          <w:lang w:val="en-GB"/>
        </w:rPr>
        <w:t>light of th</w:t>
      </w:r>
      <w:r w:rsidR="00C12B46">
        <w:rPr>
          <w:lang w:val="en-GB"/>
        </w:rPr>
        <w:t>at</w:t>
      </w:r>
      <w:r w:rsidRPr="00606B7C">
        <w:rPr>
          <w:lang w:val="en-GB"/>
        </w:rPr>
        <w:t xml:space="preserve"> finding, the acute homelessness facing recipients of subsidiary protection </w:t>
      </w:r>
      <w:r w:rsidR="00C12B46">
        <w:rPr>
          <w:lang w:val="en-GB"/>
        </w:rPr>
        <w:t xml:space="preserve">upon </w:t>
      </w:r>
      <w:r w:rsidRPr="00606B7C">
        <w:rPr>
          <w:lang w:val="en-GB"/>
        </w:rPr>
        <w:t xml:space="preserve">returning to Italy would fall within the scope of </w:t>
      </w:r>
      <w:r w:rsidR="00200505" w:rsidRPr="00606B7C">
        <w:rPr>
          <w:lang w:val="en-GB"/>
        </w:rPr>
        <w:t xml:space="preserve">article 3 of the European Convention on Human Rights and article 7 of the </w:t>
      </w:r>
      <w:r w:rsidR="00C12B46">
        <w:rPr>
          <w:lang w:val="en-GB"/>
        </w:rPr>
        <w:t xml:space="preserve">International </w:t>
      </w:r>
      <w:r w:rsidR="00200505" w:rsidRPr="00606B7C">
        <w:rPr>
          <w:lang w:val="en-GB"/>
        </w:rPr>
        <w:t>Covenant</w:t>
      </w:r>
      <w:r w:rsidR="00C12B46">
        <w:rPr>
          <w:lang w:val="en-GB"/>
        </w:rPr>
        <w:t xml:space="preserve"> on Civil and Political Rights</w:t>
      </w:r>
      <w:r w:rsidRPr="00606B7C">
        <w:rPr>
          <w:lang w:val="en-GB"/>
        </w:rPr>
        <w:t>. Accordingly, the author reiterates that deport</w:t>
      </w:r>
      <w:r w:rsidR="00C12B46">
        <w:rPr>
          <w:lang w:val="en-GB"/>
        </w:rPr>
        <w:t xml:space="preserve">ing </w:t>
      </w:r>
      <w:r w:rsidRPr="00606B7C">
        <w:rPr>
          <w:lang w:val="en-GB"/>
        </w:rPr>
        <w:t>her</w:t>
      </w:r>
      <w:r w:rsidR="00C12B46">
        <w:rPr>
          <w:lang w:val="en-GB"/>
        </w:rPr>
        <w:t xml:space="preserve"> and her</w:t>
      </w:r>
      <w:r w:rsidRPr="00606B7C">
        <w:rPr>
          <w:lang w:val="en-GB"/>
        </w:rPr>
        <w:t xml:space="preserve"> children to Italy would constitute a violation</w:t>
      </w:r>
      <w:r w:rsidR="00E31546" w:rsidRPr="00606B7C">
        <w:rPr>
          <w:lang w:val="en-GB"/>
        </w:rPr>
        <w:t xml:space="preserve"> of article 7 of the Covenant.</w:t>
      </w:r>
    </w:p>
    <w:p w14:paraId="6AE6E020" w14:textId="77777777" w:rsidR="00CC3666" w:rsidRPr="00CA2790" w:rsidRDefault="00CC3666" w:rsidP="00CC3666">
      <w:pPr>
        <w:pStyle w:val="H23G"/>
      </w:pPr>
      <w:r w:rsidRPr="00CA2790">
        <w:tab/>
      </w:r>
      <w:r w:rsidRPr="00CA2790">
        <w:tab/>
        <w:t xml:space="preserve">Additional observations by the State party </w:t>
      </w:r>
    </w:p>
    <w:p w14:paraId="36310D55" w14:textId="77777777" w:rsidR="00512732" w:rsidRPr="00CA2790" w:rsidRDefault="00FF2214" w:rsidP="00181986">
      <w:pPr>
        <w:pStyle w:val="SingleTxtG"/>
        <w:rPr>
          <w:lang w:val="en-GB"/>
        </w:rPr>
      </w:pPr>
      <w:r w:rsidRPr="00606B7C">
        <w:rPr>
          <w:lang w:val="en-GB"/>
        </w:rPr>
        <w:t>6.1</w:t>
      </w:r>
      <w:r w:rsidRPr="00606B7C">
        <w:rPr>
          <w:lang w:val="en-GB"/>
        </w:rPr>
        <w:tab/>
        <w:t>On 17 February 2015, the State party commented on the European Court of Human Rights decision</w:t>
      </w:r>
      <w:r w:rsidR="00C12B46">
        <w:rPr>
          <w:lang w:val="en-GB"/>
        </w:rPr>
        <w:t xml:space="preserve"> in</w:t>
      </w:r>
      <w:r w:rsidRPr="00606B7C">
        <w:rPr>
          <w:lang w:val="en-GB"/>
        </w:rPr>
        <w:t xml:space="preserve"> </w:t>
      </w:r>
      <w:r w:rsidRPr="00606B7C">
        <w:rPr>
          <w:i/>
          <w:lang w:val="en-GB"/>
        </w:rPr>
        <w:t>Tarakhel</w:t>
      </w:r>
      <w:r w:rsidRPr="00606B7C">
        <w:rPr>
          <w:i/>
          <w:iCs/>
          <w:lang w:val="en-GB"/>
        </w:rPr>
        <w:t xml:space="preserve"> v. </w:t>
      </w:r>
      <w:r w:rsidRPr="00606B7C">
        <w:rPr>
          <w:i/>
          <w:lang w:val="en-GB"/>
        </w:rPr>
        <w:t>Switzerland</w:t>
      </w:r>
      <w:r w:rsidR="00C33439">
        <w:rPr>
          <w:lang w:val="en-GB"/>
        </w:rPr>
        <w:t xml:space="preserve"> and </w:t>
      </w:r>
      <w:r w:rsidR="00512732" w:rsidRPr="00606B7C">
        <w:rPr>
          <w:lang w:val="en-GB"/>
        </w:rPr>
        <w:t>not</w:t>
      </w:r>
      <w:r w:rsidR="00BA38C4" w:rsidRPr="00606B7C">
        <w:rPr>
          <w:lang w:val="en-GB"/>
        </w:rPr>
        <w:t>es that</w:t>
      </w:r>
      <w:r w:rsidR="00C12B46">
        <w:rPr>
          <w:lang w:val="en-GB"/>
        </w:rPr>
        <w:t xml:space="preserve">, in </w:t>
      </w:r>
      <w:r w:rsidR="00106A42" w:rsidRPr="00606B7C">
        <w:rPr>
          <w:lang w:val="en-GB"/>
        </w:rPr>
        <w:t>refer</w:t>
      </w:r>
      <w:r w:rsidR="00C12B46">
        <w:rPr>
          <w:lang w:val="en-GB"/>
        </w:rPr>
        <w:t>ence</w:t>
      </w:r>
      <w:r w:rsidR="00106A42" w:rsidRPr="00606B7C">
        <w:rPr>
          <w:lang w:val="en-GB"/>
        </w:rPr>
        <w:t xml:space="preserve"> to its case</w:t>
      </w:r>
      <w:r w:rsidR="00C12B46">
        <w:rPr>
          <w:lang w:val="en-GB"/>
        </w:rPr>
        <w:t xml:space="preserve"> </w:t>
      </w:r>
      <w:r w:rsidR="00106A42" w:rsidRPr="00606B7C">
        <w:rPr>
          <w:lang w:val="en-GB"/>
        </w:rPr>
        <w:t>law, the Cou</w:t>
      </w:r>
      <w:r w:rsidR="00BA38C4" w:rsidRPr="00606B7C">
        <w:rPr>
          <w:lang w:val="en-GB"/>
        </w:rPr>
        <w:t xml:space="preserve">rt </w:t>
      </w:r>
      <w:r w:rsidR="00C12B46">
        <w:rPr>
          <w:lang w:val="en-GB"/>
        </w:rPr>
        <w:t xml:space="preserve">had </w:t>
      </w:r>
      <w:r w:rsidR="00BA38C4" w:rsidRPr="00606B7C">
        <w:rPr>
          <w:lang w:val="en-GB"/>
        </w:rPr>
        <w:t>reiterated</w:t>
      </w:r>
      <w:r w:rsidR="00C12B46">
        <w:rPr>
          <w:lang w:val="en-GB"/>
        </w:rPr>
        <w:t xml:space="preserve"> </w:t>
      </w:r>
      <w:r w:rsidR="00BA38C4" w:rsidRPr="00606B7C">
        <w:rPr>
          <w:lang w:val="en-GB"/>
        </w:rPr>
        <w:t>that a</w:t>
      </w:r>
      <w:r w:rsidR="00106A42" w:rsidRPr="00606B7C">
        <w:rPr>
          <w:lang w:val="en-GB"/>
        </w:rPr>
        <w:t>rticle 3 c</w:t>
      </w:r>
      <w:r w:rsidR="00C33439">
        <w:rPr>
          <w:lang w:val="en-GB"/>
        </w:rPr>
        <w:t xml:space="preserve">ould </w:t>
      </w:r>
      <w:r w:rsidR="00106A42" w:rsidRPr="00606B7C">
        <w:rPr>
          <w:lang w:val="en-GB"/>
        </w:rPr>
        <w:t>not be interpreted as obliging the High Contracting Parties to prov</w:t>
      </w:r>
      <w:r w:rsidR="00BA38C4" w:rsidRPr="00606B7C">
        <w:rPr>
          <w:lang w:val="en-GB"/>
        </w:rPr>
        <w:t xml:space="preserve">ide everyone within their jurisdiction with a home, </w:t>
      </w:r>
      <w:r w:rsidR="00C33439">
        <w:rPr>
          <w:lang w:val="en-GB"/>
        </w:rPr>
        <w:t>nor did</w:t>
      </w:r>
      <w:r w:rsidR="00BA38C4" w:rsidRPr="00606B7C">
        <w:rPr>
          <w:lang w:val="en-GB"/>
        </w:rPr>
        <w:t xml:space="preserve"> a</w:t>
      </w:r>
      <w:r w:rsidR="00106A42" w:rsidRPr="00606B7C">
        <w:rPr>
          <w:lang w:val="en-GB"/>
        </w:rPr>
        <w:t>rticle 3 entail any general obligation to give refugees financial assistance to enable them to maintain a certain standard of living.</w:t>
      </w:r>
      <w:r w:rsidR="00C33439">
        <w:rPr>
          <w:rStyle w:val="FootnoteReference"/>
          <w:lang w:val="en-GB"/>
        </w:rPr>
        <w:footnoteReference w:id="17"/>
      </w:r>
      <w:r w:rsidR="00DE3097" w:rsidRPr="00606B7C">
        <w:rPr>
          <w:lang w:val="en-GB"/>
        </w:rPr>
        <w:t xml:space="preserve"> </w:t>
      </w:r>
      <w:r w:rsidR="00106A42" w:rsidRPr="00606B7C">
        <w:rPr>
          <w:lang w:val="en-GB"/>
        </w:rPr>
        <w:t xml:space="preserve">In the opinion of the </w:t>
      </w:r>
      <w:r w:rsidR="00BA38C4" w:rsidRPr="00606B7C">
        <w:rPr>
          <w:lang w:val="en-GB"/>
        </w:rPr>
        <w:t>State party</w:t>
      </w:r>
      <w:r w:rsidR="00106A42" w:rsidRPr="00606B7C">
        <w:rPr>
          <w:lang w:val="en-GB"/>
        </w:rPr>
        <w:t>,</w:t>
      </w:r>
      <w:r w:rsidR="001C6F45" w:rsidRPr="00606B7C">
        <w:rPr>
          <w:lang w:val="en-GB"/>
        </w:rPr>
        <w:t xml:space="preserve"> the</w:t>
      </w:r>
      <w:r w:rsidR="00106A42" w:rsidRPr="00606B7C">
        <w:rPr>
          <w:lang w:val="en-GB"/>
        </w:rPr>
        <w:t xml:space="preserve"> </w:t>
      </w:r>
      <w:r w:rsidR="00106A42" w:rsidRPr="00606B7C">
        <w:rPr>
          <w:i/>
          <w:iCs/>
          <w:lang w:val="en-GB"/>
        </w:rPr>
        <w:t>Tarakhel</w:t>
      </w:r>
      <w:r w:rsidR="001C6F45" w:rsidRPr="00606B7C">
        <w:rPr>
          <w:i/>
          <w:iCs/>
          <w:lang w:val="en-GB"/>
        </w:rPr>
        <w:t xml:space="preserve"> </w:t>
      </w:r>
      <w:r w:rsidR="001C6F45" w:rsidRPr="00606B7C">
        <w:rPr>
          <w:iCs/>
          <w:lang w:val="en-GB"/>
        </w:rPr>
        <w:t>case</w:t>
      </w:r>
      <w:r w:rsidR="00D44B16">
        <w:rPr>
          <w:lang w:val="en-GB"/>
        </w:rPr>
        <w:t xml:space="preserve"> —</w:t>
      </w:r>
      <w:r w:rsidR="00106A42" w:rsidRPr="00606B7C">
        <w:rPr>
          <w:lang w:val="en-GB"/>
        </w:rPr>
        <w:t xml:space="preserve"> which concerned a family with the </w:t>
      </w:r>
      <w:r w:rsidR="00106A42" w:rsidRPr="00606B7C">
        <w:rPr>
          <w:bCs/>
          <w:lang w:val="en-GB"/>
        </w:rPr>
        <w:t>status of asylum</w:t>
      </w:r>
      <w:r w:rsidR="00C33439">
        <w:rPr>
          <w:bCs/>
          <w:lang w:val="en-GB"/>
        </w:rPr>
        <w:t xml:space="preserve"> </w:t>
      </w:r>
      <w:r w:rsidR="00106A42" w:rsidRPr="00606B7C">
        <w:rPr>
          <w:bCs/>
          <w:lang w:val="en-GB"/>
        </w:rPr>
        <w:t xml:space="preserve">seekers </w:t>
      </w:r>
      <w:r w:rsidR="00106A42" w:rsidRPr="00606B7C">
        <w:rPr>
          <w:lang w:val="en-GB"/>
        </w:rPr>
        <w:t xml:space="preserve">in Italy </w:t>
      </w:r>
      <w:r w:rsidR="00D44B16" w:rsidRPr="002A7D55">
        <w:rPr>
          <w:lang w:val="en-US"/>
        </w:rPr>
        <w:t>—</w:t>
      </w:r>
      <w:r w:rsidR="00106A42" w:rsidRPr="00606B7C">
        <w:rPr>
          <w:lang w:val="en-GB"/>
        </w:rPr>
        <w:t xml:space="preserve"> does not deviate from the findings in </w:t>
      </w:r>
      <w:r w:rsidR="00C33439">
        <w:rPr>
          <w:lang w:val="en-GB"/>
        </w:rPr>
        <w:t xml:space="preserve">the Court’s </w:t>
      </w:r>
      <w:r w:rsidR="00106A42" w:rsidRPr="00606B7C">
        <w:rPr>
          <w:lang w:val="en-GB"/>
        </w:rPr>
        <w:t>previous case</w:t>
      </w:r>
      <w:r w:rsidR="00C33439">
        <w:rPr>
          <w:lang w:val="en-GB"/>
        </w:rPr>
        <w:t xml:space="preserve"> </w:t>
      </w:r>
      <w:r w:rsidR="00106A42" w:rsidRPr="00606B7C">
        <w:rPr>
          <w:lang w:val="en-GB"/>
        </w:rPr>
        <w:t xml:space="preserve">law on individuals and families with a </w:t>
      </w:r>
      <w:r w:rsidR="00106A42" w:rsidRPr="00606B7C">
        <w:rPr>
          <w:bCs/>
          <w:lang w:val="en-GB"/>
        </w:rPr>
        <w:t xml:space="preserve">residence permit </w:t>
      </w:r>
      <w:r w:rsidR="00106A42" w:rsidRPr="00606B7C">
        <w:rPr>
          <w:lang w:val="en-GB"/>
        </w:rPr>
        <w:t xml:space="preserve">for Italy, as expressed in, </w:t>
      </w:r>
      <w:r w:rsidR="00106A42" w:rsidRPr="002A7D55">
        <w:rPr>
          <w:lang w:val="en-GB"/>
        </w:rPr>
        <w:t>inter alia</w:t>
      </w:r>
      <w:r w:rsidR="00106A42" w:rsidRPr="00606B7C">
        <w:rPr>
          <w:lang w:val="en-GB"/>
        </w:rPr>
        <w:t>,</w:t>
      </w:r>
      <w:r w:rsidR="00947523">
        <w:rPr>
          <w:lang w:val="en-GB"/>
        </w:rPr>
        <w:t xml:space="preserve"> the</w:t>
      </w:r>
      <w:r w:rsidR="00106A42" w:rsidRPr="00606B7C">
        <w:rPr>
          <w:lang w:val="en-GB"/>
        </w:rPr>
        <w:t xml:space="preserve"> </w:t>
      </w:r>
      <w:r w:rsidR="00106A42" w:rsidRPr="00606B7C">
        <w:rPr>
          <w:i/>
          <w:iCs/>
          <w:lang w:val="en-GB"/>
        </w:rPr>
        <w:t xml:space="preserve">Mohammed Hussein </w:t>
      </w:r>
      <w:r w:rsidR="001C6F45" w:rsidRPr="00606B7C">
        <w:rPr>
          <w:iCs/>
          <w:lang w:val="en-GB"/>
        </w:rPr>
        <w:t>decision</w:t>
      </w:r>
      <w:r w:rsidR="00106A42" w:rsidRPr="00606B7C">
        <w:rPr>
          <w:i/>
          <w:iCs/>
          <w:lang w:val="en-GB"/>
        </w:rPr>
        <w:t xml:space="preserve">. </w:t>
      </w:r>
      <w:r w:rsidR="00106A42" w:rsidRPr="00606B7C">
        <w:rPr>
          <w:lang w:val="en-GB"/>
        </w:rPr>
        <w:t xml:space="preserve">Accordingly, the </w:t>
      </w:r>
      <w:r w:rsidR="004844BF" w:rsidRPr="00606B7C">
        <w:rPr>
          <w:lang w:val="en-GB"/>
        </w:rPr>
        <w:t>State party expresses the view</w:t>
      </w:r>
      <w:r w:rsidR="00106A42" w:rsidRPr="00606B7C">
        <w:rPr>
          <w:lang w:val="en-GB"/>
        </w:rPr>
        <w:t xml:space="preserve"> that it cannot be inferred from</w:t>
      </w:r>
      <w:r w:rsidR="001C6F45" w:rsidRPr="00606B7C">
        <w:rPr>
          <w:lang w:val="en-GB"/>
        </w:rPr>
        <w:t xml:space="preserve"> the</w:t>
      </w:r>
      <w:r w:rsidR="00106A42" w:rsidRPr="00606B7C">
        <w:rPr>
          <w:lang w:val="en-GB"/>
        </w:rPr>
        <w:t xml:space="preserve"> </w:t>
      </w:r>
      <w:r w:rsidR="00106A42" w:rsidRPr="00606B7C">
        <w:rPr>
          <w:i/>
          <w:iCs/>
          <w:lang w:val="en-GB"/>
        </w:rPr>
        <w:t>Tarakhel</w:t>
      </w:r>
      <w:r w:rsidR="001C6F45" w:rsidRPr="00606B7C">
        <w:rPr>
          <w:i/>
          <w:iCs/>
          <w:lang w:val="en-GB"/>
        </w:rPr>
        <w:t xml:space="preserve"> </w:t>
      </w:r>
      <w:r w:rsidR="001C6F45" w:rsidRPr="00606B7C">
        <w:rPr>
          <w:iCs/>
          <w:lang w:val="en-GB"/>
        </w:rPr>
        <w:t>decision</w:t>
      </w:r>
      <w:r w:rsidR="00106A42" w:rsidRPr="00606B7C">
        <w:rPr>
          <w:i/>
          <w:iCs/>
          <w:lang w:val="en-GB"/>
        </w:rPr>
        <w:t xml:space="preserve"> </w:t>
      </w:r>
      <w:r w:rsidR="00106A42" w:rsidRPr="00606B7C">
        <w:rPr>
          <w:lang w:val="en-GB"/>
        </w:rPr>
        <w:t>that States are required to obtain individual guarantees from the Italian authorities before returning individuals or families in need of protection</w:t>
      </w:r>
      <w:r w:rsidR="00FC1356" w:rsidRPr="00606B7C">
        <w:rPr>
          <w:lang w:val="en-GB"/>
        </w:rPr>
        <w:t>,</w:t>
      </w:r>
      <w:r w:rsidR="00106A42" w:rsidRPr="00606B7C">
        <w:rPr>
          <w:lang w:val="en-GB"/>
        </w:rPr>
        <w:t xml:space="preserve"> </w:t>
      </w:r>
      <w:r w:rsidR="00106A42" w:rsidRPr="00606B7C">
        <w:rPr>
          <w:bCs/>
          <w:lang w:val="en-GB"/>
        </w:rPr>
        <w:t>who ha</w:t>
      </w:r>
      <w:r w:rsidR="00947523">
        <w:rPr>
          <w:bCs/>
          <w:lang w:val="en-GB"/>
        </w:rPr>
        <w:t>d</w:t>
      </w:r>
      <w:r w:rsidR="00106A42" w:rsidRPr="00606B7C">
        <w:rPr>
          <w:bCs/>
          <w:lang w:val="en-GB"/>
        </w:rPr>
        <w:t xml:space="preserve"> already been granted residence</w:t>
      </w:r>
      <w:r w:rsidR="00947523">
        <w:rPr>
          <w:bCs/>
          <w:lang w:val="en-GB"/>
        </w:rPr>
        <w:t xml:space="preserve"> permits</w:t>
      </w:r>
      <w:r w:rsidR="00106A42" w:rsidRPr="00606B7C">
        <w:rPr>
          <w:bCs/>
          <w:lang w:val="en-GB"/>
        </w:rPr>
        <w:t xml:space="preserve"> in Italy</w:t>
      </w:r>
      <w:r w:rsidR="00106A42" w:rsidRPr="00606B7C">
        <w:rPr>
          <w:lang w:val="en-GB"/>
        </w:rPr>
        <w:t xml:space="preserve">. </w:t>
      </w:r>
    </w:p>
    <w:p w14:paraId="12D94A54" w14:textId="77777777" w:rsidR="00FD3F73" w:rsidRPr="00CA2790" w:rsidRDefault="00512732" w:rsidP="00181986">
      <w:pPr>
        <w:pStyle w:val="SingleTxtG"/>
        <w:rPr>
          <w:lang w:val="en-GB"/>
        </w:rPr>
      </w:pPr>
      <w:r w:rsidRPr="00606B7C">
        <w:rPr>
          <w:lang w:val="en-GB"/>
        </w:rPr>
        <w:lastRenderedPageBreak/>
        <w:t>6.2</w:t>
      </w:r>
      <w:r w:rsidRPr="00606B7C">
        <w:rPr>
          <w:lang w:val="en-GB"/>
        </w:rPr>
        <w:tab/>
      </w:r>
      <w:r w:rsidR="00947523">
        <w:rPr>
          <w:lang w:val="en-GB"/>
        </w:rPr>
        <w:t>In that respect, t</w:t>
      </w:r>
      <w:r w:rsidR="00106A42" w:rsidRPr="00606B7C">
        <w:rPr>
          <w:lang w:val="en-GB"/>
        </w:rPr>
        <w:t xml:space="preserve">he </w:t>
      </w:r>
      <w:r w:rsidR="00FC1356" w:rsidRPr="00606B7C">
        <w:rPr>
          <w:lang w:val="en-GB"/>
        </w:rPr>
        <w:t xml:space="preserve">State party </w:t>
      </w:r>
      <w:r w:rsidR="00106A42" w:rsidRPr="00606B7C">
        <w:rPr>
          <w:lang w:val="en-GB"/>
        </w:rPr>
        <w:t xml:space="preserve">reiterates that it appears from the </w:t>
      </w:r>
      <w:r w:rsidR="00D32336">
        <w:rPr>
          <w:lang w:val="en-GB"/>
        </w:rPr>
        <w:t>decision</w:t>
      </w:r>
      <w:r w:rsidR="00106A42" w:rsidRPr="00606B7C">
        <w:rPr>
          <w:lang w:val="en-GB"/>
        </w:rPr>
        <w:t xml:space="preserve"> in </w:t>
      </w:r>
      <w:r w:rsidR="00280605" w:rsidRPr="00606B7C">
        <w:rPr>
          <w:i/>
          <w:iCs/>
          <w:lang w:val="en-GB"/>
        </w:rPr>
        <w:t xml:space="preserve">Mohammed Hussein </w:t>
      </w:r>
      <w:r w:rsidR="00181986">
        <w:rPr>
          <w:lang w:val="en-GB"/>
        </w:rPr>
        <w:t xml:space="preserve">case </w:t>
      </w:r>
      <w:r w:rsidR="00FC1356" w:rsidRPr="00606B7C">
        <w:rPr>
          <w:iCs/>
          <w:lang w:val="en-GB"/>
        </w:rPr>
        <w:t>(</w:t>
      </w:r>
      <w:r w:rsidR="00FC1356" w:rsidRPr="00606B7C">
        <w:rPr>
          <w:lang w:val="en-GB"/>
        </w:rPr>
        <w:t>paras. 37</w:t>
      </w:r>
      <w:r w:rsidR="00D32336">
        <w:rPr>
          <w:lang w:val="en-GB"/>
        </w:rPr>
        <w:t xml:space="preserve"> and </w:t>
      </w:r>
      <w:r w:rsidR="00FC1356" w:rsidRPr="00606B7C">
        <w:rPr>
          <w:lang w:val="en-GB"/>
        </w:rPr>
        <w:t>38)</w:t>
      </w:r>
      <w:r w:rsidR="00106A42" w:rsidRPr="00606B7C">
        <w:rPr>
          <w:lang w:val="en-GB"/>
        </w:rPr>
        <w:t xml:space="preserve"> that persons recogni</w:t>
      </w:r>
      <w:r w:rsidR="00D32336">
        <w:rPr>
          <w:lang w:val="en-GB"/>
        </w:rPr>
        <w:t>z</w:t>
      </w:r>
      <w:r w:rsidR="00106A42" w:rsidRPr="00606B7C">
        <w:rPr>
          <w:lang w:val="en-GB"/>
        </w:rPr>
        <w:t xml:space="preserve">ed as refugees or granted subsidiary protection in Italy are entitled to benefit from the general schemes for social assistance, health care, social housing and education under Italian domestic law. </w:t>
      </w:r>
    </w:p>
    <w:p w14:paraId="350520D4" w14:textId="77777777" w:rsidR="00106A42" w:rsidRPr="00606B7C" w:rsidRDefault="00FD3F73" w:rsidP="00D32336">
      <w:pPr>
        <w:pStyle w:val="SingleTxtG"/>
        <w:rPr>
          <w:lang w:val="en-GB"/>
        </w:rPr>
      </w:pPr>
      <w:r w:rsidRPr="00606B7C">
        <w:rPr>
          <w:lang w:val="en-GB"/>
        </w:rPr>
        <w:t>6.3</w:t>
      </w:r>
      <w:r w:rsidRPr="00606B7C">
        <w:rPr>
          <w:lang w:val="en-GB"/>
        </w:rPr>
        <w:tab/>
      </w:r>
      <w:r w:rsidR="00FC1356" w:rsidRPr="00606B7C">
        <w:rPr>
          <w:lang w:val="en-GB"/>
        </w:rPr>
        <w:t>Accor</w:t>
      </w:r>
      <w:r w:rsidR="00106A42" w:rsidRPr="00606B7C">
        <w:rPr>
          <w:lang w:val="en-GB"/>
        </w:rPr>
        <w:t xml:space="preserve">dingly, the </w:t>
      </w:r>
      <w:r w:rsidR="00FC1356" w:rsidRPr="00606B7C">
        <w:rPr>
          <w:lang w:val="en-GB"/>
        </w:rPr>
        <w:t>State party reiterates</w:t>
      </w:r>
      <w:r w:rsidR="00106A42" w:rsidRPr="00606B7C">
        <w:rPr>
          <w:lang w:val="en-GB"/>
        </w:rPr>
        <w:t xml:space="preserve"> that </w:t>
      </w:r>
      <w:r w:rsidR="00947523">
        <w:rPr>
          <w:lang w:val="en-GB"/>
        </w:rPr>
        <w:t>a</w:t>
      </w:r>
      <w:r w:rsidR="00106A42" w:rsidRPr="00606B7C">
        <w:rPr>
          <w:lang w:val="en-GB"/>
        </w:rPr>
        <w:t xml:space="preserve">rticle 7 of the </w:t>
      </w:r>
      <w:r w:rsidR="00AA7DD3" w:rsidRPr="00606B7C">
        <w:rPr>
          <w:lang w:val="en-GB"/>
        </w:rPr>
        <w:t>Covenant</w:t>
      </w:r>
      <w:r w:rsidR="00106A42" w:rsidRPr="00606B7C">
        <w:rPr>
          <w:lang w:val="en-GB"/>
        </w:rPr>
        <w:t xml:space="preserve"> does not prevent</w:t>
      </w:r>
      <w:r w:rsidR="00947523">
        <w:rPr>
          <w:lang w:val="en-GB"/>
        </w:rPr>
        <w:t xml:space="preserve"> it</w:t>
      </w:r>
      <w:r w:rsidR="00106A42" w:rsidRPr="00606B7C">
        <w:rPr>
          <w:lang w:val="en-GB"/>
        </w:rPr>
        <w:t xml:space="preserve"> from enforcing the Dublin Regulation </w:t>
      </w:r>
      <w:r w:rsidR="00D32336">
        <w:rPr>
          <w:lang w:val="en-GB"/>
        </w:rPr>
        <w:t>in respect of</w:t>
      </w:r>
      <w:r w:rsidR="00106A42" w:rsidRPr="00606B7C">
        <w:rPr>
          <w:lang w:val="en-GB"/>
        </w:rPr>
        <w:t xml:space="preserve"> individuals or families </w:t>
      </w:r>
      <w:r w:rsidR="00947523">
        <w:rPr>
          <w:lang w:val="en-GB"/>
        </w:rPr>
        <w:t xml:space="preserve">who have been </w:t>
      </w:r>
      <w:r w:rsidR="00106A42" w:rsidRPr="00606B7C">
        <w:rPr>
          <w:lang w:val="en-GB"/>
        </w:rPr>
        <w:t xml:space="preserve">granted residence </w:t>
      </w:r>
      <w:r w:rsidR="00947523">
        <w:rPr>
          <w:lang w:val="en-GB"/>
        </w:rPr>
        <w:t xml:space="preserve">permits </w:t>
      </w:r>
      <w:r w:rsidR="00106A42" w:rsidRPr="00606B7C">
        <w:rPr>
          <w:lang w:val="en-GB"/>
        </w:rPr>
        <w:t>in Italy</w:t>
      </w:r>
      <w:r w:rsidR="00A93171" w:rsidRPr="00606B7C">
        <w:rPr>
          <w:lang w:val="en-GB"/>
        </w:rPr>
        <w:t>, like the author</w:t>
      </w:r>
      <w:r w:rsidR="00106A42" w:rsidRPr="00606B7C">
        <w:rPr>
          <w:lang w:val="en-GB"/>
        </w:rPr>
        <w:t>.</w:t>
      </w:r>
    </w:p>
    <w:p w14:paraId="20C93438" w14:textId="77777777" w:rsidR="00CC3666" w:rsidRPr="00CA2790" w:rsidRDefault="00BD7747" w:rsidP="00BD7747">
      <w:pPr>
        <w:pStyle w:val="H23G"/>
        <w:ind w:left="0" w:firstLine="0"/>
      </w:pPr>
      <w:r w:rsidRPr="00CA2790">
        <w:rPr>
          <w:b w:val="0"/>
        </w:rPr>
        <w:tab/>
      </w:r>
      <w:r w:rsidRPr="00CA2790">
        <w:rPr>
          <w:b w:val="0"/>
        </w:rPr>
        <w:tab/>
      </w:r>
      <w:r w:rsidR="00CC3666" w:rsidRPr="00CA2790">
        <w:t>Issues and proceedings before the Committee</w:t>
      </w:r>
    </w:p>
    <w:p w14:paraId="61E4FB98" w14:textId="77777777" w:rsidR="00CC3666" w:rsidRPr="00CA2790" w:rsidRDefault="00CC3666" w:rsidP="00FE242F">
      <w:pPr>
        <w:pStyle w:val="H4G"/>
      </w:pPr>
      <w:r w:rsidRPr="00CA2790">
        <w:tab/>
      </w:r>
      <w:r w:rsidRPr="00CA2790">
        <w:tab/>
        <w:t>Consideration of admissibility</w:t>
      </w:r>
    </w:p>
    <w:p w14:paraId="2894D95A" w14:textId="77777777" w:rsidR="00CC3666" w:rsidRPr="00606B7C" w:rsidRDefault="00DE3097" w:rsidP="00CE15EA">
      <w:pPr>
        <w:pStyle w:val="SingleTxtG"/>
        <w:rPr>
          <w:lang w:val="en-GB"/>
        </w:rPr>
      </w:pPr>
      <w:r w:rsidRPr="00CA2790">
        <w:rPr>
          <w:lang w:val="en-GB"/>
        </w:rPr>
        <w:t>7</w:t>
      </w:r>
      <w:r w:rsidR="00CC3666" w:rsidRPr="00606B7C">
        <w:rPr>
          <w:lang w:val="en-GB"/>
        </w:rPr>
        <w:t>.1</w:t>
      </w:r>
      <w:r w:rsidR="00CC3666" w:rsidRPr="00606B7C">
        <w:rPr>
          <w:lang w:val="en-GB"/>
        </w:rPr>
        <w:tab/>
        <w:t>Before considering any claim contained in a communication, the Human Rights Committee must</w:t>
      </w:r>
      <w:r w:rsidR="00CE15EA">
        <w:rPr>
          <w:lang w:val="en-GB"/>
        </w:rPr>
        <w:t xml:space="preserve"> decide</w:t>
      </w:r>
      <w:r w:rsidR="00CC3666" w:rsidRPr="00606B7C">
        <w:rPr>
          <w:lang w:val="en-GB"/>
        </w:rPr>
        <w:t xml:space="preserve">, in accordance with article 93 of its </w:t>
      </w:r>
      <w:r w:rsidR="00CE15EA">
        <w:rPr>
          <w:lang w:val="en-GB"/>
        </w:rPr>
        <w:t>r</w:t>
      </w:r>
      <w:r w:rsidR="00CC3666" w:rsidRPr="00606B7C">
        <w:rPr>
          <w:lang w:val="en-GB"/>
        </w:rPr>
        <w:t xml:space="preserve">ules of </w:t>
      </w:r>
      <w:r w:rsidR="00CE15EA">
        <w:rPr>
          <w:lang w:val="en-GB"/>
        </w:rPr>
        <w:t>p</w:t>
      </w:r>
      <w:r w:rsidR="00CC3666" w:rsidRPr="00606B7C">
        <w:rPr>
          <w:lang w:val="en-GB"/>
        </w:rPr>
        <w:t xml:space="preserve">rocedure, whether </w:t>
      </w:r>
      <w:r w:rsidR="00CE15EA">
        <w:rPr>
          <w:lang w:val="en-GB"/>
        </w:rPr>
        <w:t xml:space="preserve">the communication </w:t>
      </w:r>
      <w:r w:rsidR="00CC3666" w:rsidRPr="00606B7C">
        <w:rPr>
          <w:lang w:val="en-GB"/>
        </w:rPr>
        <w:t xml:space="preserve">is admissible under the Optional Protocol to the Covenant. </w:t>
      </w:r>
    </w:p>
    <w:p w14:paraId="71631115" w14:textId="77777777" w:rsidR="00CC3666" w:rsidRPr="00606B7C" w:rsidRDefault="00DE3097" w:rsidP="00CE15EA">
      <w:pPr>
        <w:pStyle w:val="SingleTxtG"/>
        <w:rPr>
          <w:lang w:val="en-GB"/>
        </w:rPr>
      </w:pPr>
      <w:r w:rsidRPr="00CA2790">
        <w:rPr>
          <w:lang w:val="en-GB"/>
        </w:rPr>
        <w:t>7</w:t>
      </w:r>
      <w:r w:rsidR="00FE242F" w:rsidRPr="00606B7C">
        <w:rPr>
          <w:lang w:val="en-GB"/>
        </w:rPr>
        <w:t>.2</w:t>
      </w:r>
      <w:r w:rsidR="00FE242F" w:rsidRPr="00606B7C">
        <w:rPr>
          <w:lang w:val="en-GB"/>
        </w:rPr>
        <w:tab/>
      </w:r>
      <w:r w:rsidR="00CC3666" w:rsidRPr="00606B7C">
        <w:rPr>
          <w:lang w:val="en-GB"/>
        </w:rPr>
        <w:t>As required under article 5</w:t>
      </w:r>
      <w:r w:rsidR="00CE15EA">
        <w:rPr>
          <w:lang w:val="en-GB"/>
        </w:rPr>
        <w:t xml:space="preserve"> (</w:t>
      </w:r>
      <w:r w:rsidR="00CC3666" w:rsidRPr="00606B7C">
        <w:rPr>
          <w:lang w:val="en-GB"/>
        </w:rPr>
        <w:t>2</w:t>
      </w:r>
      <w:r w:rsidR="00CE15EA">
        <w:rPr>
          <w:lang w:val="en-GB"/>
        </w:rPr>
        <w:t>)</w:t>
      </w:r>
      <w:r w:rsidR="00CC3666" w:rsidRPr="00606B7C">
        <w:rPr>
          <w:lang w:val="en-GB"/>
        </w:rPr>
        <w:t xml:space="preserve"> (a) of the Optional Protocol, the Committee has ascertained that the same matter is not being examined under another procedure of international investigation or settlement.</w:t>
      </w:r>
    </w:p>
    <w:p w14:paraId="00934619" w14:textId="77777777" w:rsidR="006D45D8" w:rsidRPr="00606B7C" w:rsidRDefault="006D45D8" w:rsidP="00CE15EA">
      <w:pPr>
        <w:pStyle w:val="SingleTxtG"/>
        <w:rPr>
          <w:lang w:val="en-GB"/>
        </w:rPr>
      </w:pPr>
      <w:r w:rsidRPr="00CA2790">
        <w:rPr>
          <w:lang w:val="en-GB"/>
        </w:rPr>
        <w:t>7.3</w:t>
      </w:r>
      <w:r w:rsidRPr="00CA2790">
        <w:rPr>
          <w:lang w:val="en-GB"/>
        </w:rPr>
        <w:tab/>
      </w:r>
      <w:r w:rsidRPr="00606B7C">
        <w:rPr>
          <w:color w:val="000000"/>
          <w:lang w:val="en-GB" w:eastAsia="en-GB"/>
        </w:rPr>
        <w:t>The Committee note</w:t>
      </w:r>
      <w:r w:rsidR="00CE15EA">
        <w:rPr>
          <w:color w:val="000000"/>
          <w:lang w:val="en-GB" w:eastAsia="en-GB"/>
        </w:rPr>
        <w:t>s</w:t>
      </w:r>
      <w:r w:rsidRPr="00606B7C">
        <w:rPr>
          <w:color w:val="000000"/>
          <w:lang w:val="en-GB" w:eastAsia="en-GB"/>
        </w:rPr>
        <w:t xml:space="preserve"> the author’s claim that she has exhausted all effective domestic remedies available to her. In the absence of any objection by the State party in th</w:t>
      </w:r>
      <w:r w:rsidR="00CE15EA">
        <w:rPr>
          <w:color w:val="000000"/>
          <w:lang w:val="en-GB" w:eastAsia="en-GB"/>
        </w:rPr>
        <w:t>at</w:t>
      </w:r>
      <w:r w:rsidRPr="00606B7C">
        <w:rPr>
          <w:color w:val="000000"/>
          <w:lang w:val="en-GB" w:eastAsia="en-GB"/>
        </w:rPr>
        <w:t xml:space="preserve"> connection, the Committee considers that the requirements of article 5</w:t>
      </w:r>
      <w:r w:rsidR="00CE15EA">
        <w:rPr>
          <w:color w:val="000000"/>
          <w:lang w:val="en-GB" w:eastAsia="en-GB"/>
        </w:rPr>
        <w:t xml:space="preserve"> (</w:t>
      </w:r>
      <w:r w:rsidRPr="00606B7C">
        <w:rPr>
          <w:color w:val="000000"/>
          <w:lang w:val="en-GB" w:eastAsia="en-GB"/>
        </w:rPr>
        <w:t>2</w:t>
      </w:r>
      <w:r w:rsidR="00CE15EA">
        <w:rPr>
          <w:color w:val="000000"/>
          <w:lang w:val="en-GB" w:eastAsia="en-GB"/>
        </w:rPr>
        <w:t>)</w:t>
      </w:r>
      <w:r w:rsidRPr="00606B7C">
        <w:rPr>
          <w:color w:val="000000"/>
          <w:lang w:val="en-GB" w:eastAsia="en-GB"/>
        </w:rPr>
        <w:t xml:space="preserve"> (b) of the Optional Protocol have been met.</w:t>
      </w:r>
    </w:p>
    <w:p w14:paraId="2CF4DD1D" w14:textId="77777777" w:rsidR="00CC3666" w:rsidRPr="00606B7C" w:rsidRDefault="006D45D8" w:rsidP="00E31546">
      <w:pPr>
        <w:pStyle w:val="SingleTxtG"/>
        <w:rPr>
          <w:lang w:val="en-GB"/>
        </w:rPr>
      </w:pPr>
      <w:r w:rsidRPr="00CA2790">
        <w:rPr>
          <w:lang w:val="en-GB"/>
        </w:rPr>
        <w:t>7.4</w:t>
      </w:r>
      <w:r w:rsidR="00CC3666" w:rsidRPr="00606B7C">
        <w:rPr>
          <w:lang w:val="en-GB"/>
        </w:rPr>
        <w:tab/>
        <w:t>The Committee notes the State party’s challenge</w:t>
      </w:r>
      <w:r w:rsidR="00046E75" w:rsidRPr="00606B7C">
        <w:rPr>
          <w:lang w:val="en-GB"/>
        </w:rPr>
        <w:t xml:space="preserve"> to the admissibility of the </w:t>
      </w:r>
      <w:r w:rsidR="00CC3666" w:rsidRPr="00606B7C">
        <w:rPr>
          <w:lang w:val="en-GB"/>
        </w:rPr>
        <w:t>communication on the ground</w:t>
      </w:r>
      <w:r w:rsidR="00CE15EA">
        <w:rPr>
          <w:lang w:val="en-GB"/>
        </w:rPr>
        <w:t>s</w:t>
      </w:r>
      <w:r w:rsidR="00CC3666" w:rsidRPr="00606B7C">
        <w:rPr>
          <w:lang w:val="en-GB"/>
        </w:rPr>
        <w:t xml:space="preserve"> </w:t>
      </w:r>
      <w:r w:rsidR="00D10C6C" w:rsidRPr="00606B7C">
        <w:rPr>
          <w:lang w:val="en-GB"/>
        </w:rPr>
        <w:t xml:space="preserve">that </w:t>
      </w:r>
      <w:r w:rsidR="00CC3666" w:rsidRPr="00606B7C">
        <w:rPr>
          <w:lang w:val="en-GB"/>
        </w:rPr>
        <w:t>the author</w:t>
      </w:r>
      <w:r w:rsidR="008F38C9" w:rsidRPr="00606B7C">
        <w:rPr>
          <w:lang w:val="en-GB"/>
        </w:rPr>
        <w:t>’</w:t>
      </w:r>
      <w:r w:rsidR="00D10C6C" w:rsidRPr="00606B7C">
        <w:rPr>
          <w:lang w:val="en-GB"/>
        </w:rPr>
        <w:t xml:space="preserve">s claims under </w:t>
      </w:r>
      <w:r w:rsidR="00CC3666" w:rsidRPr="00606B7C">
        <w:rPr>
          <w:lang w:val="en-GB"/>
        </w:rPr>
        <w:t>article</w:t>
      </w:r>
      <w:r w:rsidR="00150893" w:rsidRPr="00606B7C">
        <w:rPr>
          <w:lang w:val="en-GB"/>
        </w:rPr>
        <w:t xml:space="preserve"> </w:t>
      </w:r>
      <w:r w:rsidR="00CC3666" w:rsidRPr="00606B7C">
        <w:rPr>
          <w:lang w:val="en-GB"/>
        </w:rPr>
        <w:t>7</w:t>
      </w:r>
      <w:r w:rsidR="00150893" w:rsidRPr="00606B7C">
        <w:rPr>
          <w:lang w:val="en-GB"/>
        </w:rPr>
        <w:t xml:space="preserve"> </w:t>
      </w:r>
      <w:r w:rsidR="00CC3666" w:rsidRPr="00606B7C">
        <w:rPr>
          <w:lang w:val="en-GB"/>
        </w:rPr>
        <w:t>of the Covenant</w:t>
      </w:r>
      <w:r w:rsidR="00D10C6C" w:rsidRPr="00606B7C">
        <w:rPr>
          <w:lang w:val="en-GB"/>
        </w:rPr>
        <w:t xml:space="preserve"> are manifestly ill-founded</w:t>
      </w:r>
      <w:r w:rsidR="00046E75" w:rsidRPr="00606B7C">
        <w:rPr>
          <w:lang w:val="en-GB"/>
        </w:rPr>
        <w:t xml:space="preserve">. </w:t>
      </w:r>
      <w:r w:rsidR="00CC3666" w:rsidRPr="00606B7C">
        <w:rPr>
          <w:lang w:val="en-GB"/>
        </w:rPr>
        <w:t xml:space="preserve">The Committee </w:t>
      </w:r>
      <w:r w:rsidR="00150893" w:rsidRPr="00606B7C">
        <w:rPr>
          <w:lang w:val="en-GB"/>
        </w:rPr>
        <w:t xml:space="preserve">however </w:t>
      </w:r>
      <w:r w:rsidR="00CC3666" w:rsidRPr="00606B7C">
        <w:rPr>
          <w:lang w:val="en-GB"/>
        </w:rPr>
        <w:t>considers th</w:t>
      </w:r>
      <w:r w:rsidR="00046E75" w:rsidRPr="00606B7C">
        <w:rPr>
          <w:lang w:val="en-GB"/>
        </w:rPr>
        <w:t>at the inadmissibility argument</w:t>
      </w:r>
      <w:r w:rsidR="00CC3666" w:rsidRPr="00606B7C">
        <w:rPr>
          <w:lang w:val="en-GB"/>
        </w:rPr>
        <w:t xml:space="preserve"> </w:t>
      </w:r>
      <w:r w:rsidR="00046E75" w:rsidRPr="00606B7C">
        <w:rPr>
          <w:lang w:val="en-GB"/>
        </w:rPr>
        <w:t>adduced</w:t>
      </w:r>
      <w:r w:rsidR="00CC3666" w:rsidRPr="00606B7C">
        <w:rPr>
          <w:lang w:val="en-GB"/>
        </w:rPr>
        <w:t xml:space="preserve"> by the State party </w:t>
      </w:r>
      <w:r w:rsidR="00046E75" w:rsidRPr="00606B7C">
        <w:rPr>
          <w:lang w:val="en-GB"/>
        </w:rPr>
        <w:t>is</w:t>
      </w:r>
      <w:r w:rsidR="00CC3666" w:rsidRPr="00606B7C">
        <w:rPr>
          <w:lang w:val="en-GB"/>
        </w:rPr>
        <w:t xml:space="preserve"> intimately linked to the merits and should thus be considered at that stage</w:t>
      </w:r>
      <w:r w:rsidR="00FE242F" w:rsidRPr="00606B7C">
        <w:rPr>
          <w:lang w:val="en-GB"/>
        </w:rPr>
        <w:t>.</w:t>
      </w:r>
    </w:p>
    <w:p w14:paraId="48D36592" w14:textId="77777777" w:rsidR="00CC3666" w:rsidRPr="00606B7C" w:rsidRDefault="006D45D8" w:rsidP="00CE15EA">
      <w:pPr>
        <w:pStyle w:val="SingleTxtG"/>
        <w:rPr>
          <w:lang w:val="en-GB"/>
        </w:rPr>
      </w:pPr>
      <w:r w:rsidRPr="00CA2790">
        <w:rPr>
          <w:lang w:val="en-GB"/>
        </w:rPr>
        <w:t>7.5</w:t>
      </w:r>
      <w:r w:rsidRPr="00CA2790">
        <w:rPr>
          <w:lang w:val="en-GB"/>
        </w:rPr>
        <w:tab/>
      </w:r>
      <w:r w:rsidR="00CC3666" w:rsidRPr="00606B7C">
        <w:rPr>
          <w:lang w:val="en-GB"/>
        </w:rPr>
        <w:t>The Committee declares the communication admissible insofar as it appears to raise issues under article</w:t>
      </w:r>
      <w:r w:rsidR="00150893" w:rsidRPr="00606B7C">
        <w:rPr>
          <w:lang w:val="en-GB"/>
        </w:rPr>
        <w:t xml:space="preserve"> </w:t>
      </w:r>
      <w:r w:rsidR="00CC3666" w:rsidRPr="00606B7C">
        <w:rPr>
          <w:lang w:val="en-GB"/>
        </w:rPr>
        <w:t>7</w:t>
      </w:r>
      <w:r w:rsidR="00150893" w:rsidRPr="00606B7C">
        <w:rPr>
          <w:lang w:val="en-GB"/>
        </w:rPr>
        <w:t xml:space="preserve"> </w:t>
      </w:r>
      <w:r w:rsidR="00CC3666" w:rsidRPr="00606B7C">
        <w:rPr>
          <w:lang w:val="en-GB"/>
        </w:rPr>
        <w:t xml:space="preserve">of the Covenant and proceeds to </w:t>
      </w:r>
      <w:r w:rsidR="00CE15EA">
        <w:rPr>
          <w:lang w:val="en-GB"/>
        </w:rPr>
        <w:t>its</w:t>
      </w:r>
      <w:r w:rsidR="00CC3666" w:rsidRPr="00606B7C">
        <w:rPr>
          <w:lang w:val="en-GB"/>
        </w:rPr>
        <w:t xml:space="preserve"> consideration o</w:t>
      </w:r>
      <w:r w:rsidR="00CE15EA">
        <w:rPr>
          <w:lang w:val="en-GB"/>
        </w:rPr>
        <w:t>f</w:t>
      </w:r>
      <w:r w:rsidR="00CC3666" w:rsidRPr="00606B7C">
        <w:rPr>
          <w:lang w:val="en-GB"/>
        </w:rPr>
        <w:t xml:space="preserve"> the merits.</w:t>
      </w:r>
    </w:p>
    <w:p w14:paraId="70EC74AE" w14:textId="77777777" w:rsidR="00CC3666" w:rsidRPr="00CA2790" w:rsidRDefault="00CC3666" w:rsidP="00CC3666">
      <w:pPr>
        <w:pStyle w:val="H4G"/>
      </w:pPr>
      <w:r w:rsidRPr="00CA2790">
        <w:tab/>
      </w:r>
      <w:r w:rsidRPr="00CA2790">
        <w:tab/>
        <w:t>Consideration of merits</w:t>
      </w:r>
    </w:p>
    <w:p w14:paraId="3A452941" w14:textId="77777777" w:rsidR="00CC3666" w:rsidRPr="00606B7C" w:rsidRDefault="00DE3097" w:rsidP="00CE15EA">
      <w:pPr>
        <w:pStyle w:val="SingleTxtG"/>
        <w:rPr>
          <w:lang w:val="en-GB"/>
        </w:rPr>
      </w:pPr>
      <w:r w:rsidRPr="00CA2790">
        <w:rPr>
          <w:lang w:val="en-GB"/>
        </w:rPr>
        <w:t>8</w:t>
      </w:r>
      <w:r w:rsidR="00CC3666" w:rsidRPr="00606B7C">
        <w:rPr>
          <w:lang w:val="en-GB"/>
        </w:rPr>
        <w:t>.1</w:t>
      </w:r>
      <w:r w:rsidR="00CC3666" w:rsidRPr="00606B7C">
        <w:rPr>
          <w:lang w:val="en-GB"/>
        </w:rPr>
        <w:tab/>
        <w:t>The Human Rights Committee has considered the present communication in the light of all the information made available to it by the parties, as required under article 5</w:t>
      </w:r>
      <w:r w:rsidR="00CE15EA">
        <w:rPr>
          <w:lang w:val="en-GB"/>
        </w:rPr>
        <w:t xml:space="preserve"> (</w:t>
      </w:r>
      <w:r w:rsidR="00CC3666" w:rsidRPr="00606B7C">
        <w:rPr>
          <w:lang w:val="en-GB"/>
        </w:rPr>
        <w:t>1</w:t>
      </w:r>
      <w:r w:rsidR="00CE15EA">
        <w:rPr>
          <w:lang w:val="en-GB"/>
        </w:rPr>
        <w:t>)</w:t>
      </w:r>
      <w:r w:rsidR="00CC3666" w:rsidRPr="00606B7C">
        <w:rPr>
          <w:lang w:val="en-GB"/>
        </w:rPr>
        <w:t xml:space="preserve"> of the Optional Protocol. </w:t>
      </w:r>
    </w:p>
    <w:p w14:paraId="0A4C67C7" w14:textId="77777777" w:rsidR="00277E36" w:rsidRPr="00606B7C" w:rsidRDefault="00DE3097" w:rsidP="00CE15EA">
      <w:pPr>
        <w:pStyle w:val="SingleTxtG"/>
        <w:rPr>
          <w:lang w:val="en-GB"/>
        </w:rPr>
      </w:pPr>
      <w:r w:rsidRPr="00606B7C">
        <w:rPr>
          <w:lang w:val="en-GB"/>
        </w:rPr>
        <w:t>8.</w:t>
      </w:r>
      <w:r w:rsidR="00CC3666" w:rsidRPr="00606B7C">
        <w:rPr>
          <w:lang w:val="en-GB"/>
        </w:rPr>
        <w:t>2</w:t>
      </w:r>
      <w:r w:rsidR="00CC3666" w:rsidRPr="00606B7C">
        <w:rPr>
          <w:lang w:val="en-GB"/>
        </w:rPr>
        <w:tab/>
        <w:t xml:space="preserve">The Committee </w:t>
      </w:r>
      <w:r w:rsidR="00046E75" w:rsidRPr="00606B7C">
        <w:rPr>
          <w:lang w:val="en-GB"/>
        </w:rPr>
        <w:t>notes</w:t>
      </w:r>
      <w:r w:rsidR="00CC3666" w:rsidRPr="00606B7C">
        <w:rPr>
          <w:lang w:val="en-GB"/>
        </w:rPr>
        <w:t xml:space="preserve"> the author’s claim that </w:t>
      </w:r>
      <w:r w:rsidR="00046E75" w:rsidRPr="00606B7C">
        <w:rPr>
          <w:lang w:val="en-GB"/>
        </w:rPr>
        <w:t>deport</w:t>
      </w:r>
      <w:r w:rsidR="00CE15EA">
        <w:rPr>
          <w:lang w:val="en-GB"/>
        </w:rPr>
        <w:t>ing her and</w:t>
      </w:r>
      <w:r w:rsidR="00046E75" w:rsidRPr="00606B7C">
        <w:rPr>
          <w:lang w:val="en-GB"/>
        </w:rPr>
        <w:t xml:space="preserve"> her three minor children to Italy, </w:t>
      </w:r>
      <w:r w:rsidR="00CE15EA">
        <w:rPr>
          <w:lang w:val="en-GB"/>
        </w:rPr>
        <w:t>based on</w:t>
      </w:r>
      <w:r w:rsidR="00046E75" w:rsidRPr="00606B7C">
        <w:rPr>
          <w:lang w:val="en-GB"/>
        </w:rPr>
        <w:t xml:space="preserve"> the Dublin Regulation principle of </w:t>
      </w:r>
      <w:r w:rsidR="0073553F">
        <w:rPr>
          <w:lang w:val="en-GB"/>
        </w:rPr>
        <w:t>“</w:t>
      </w:r>
      <w:r w:rsidR="00046E75" w:rsidRPr="00606B7C">
        <w:rPr>
          <w:lang w:val="en-GB"/>
        </w:rPr>
        <w:t>first country of asylum</w:t>
      </w:r>
      <w:r w:rsidR="0073553F">
        <w:rPr>
          <w:lang w:val="en-GB"/>
        </w:rPr>
        <w:t>”</w:t>
      </w:r>
      <w:r w:rsidR="00150893" w:rsidRPr="00606B7C">
        <w:rPr>
          <w:lang w:val="en-GB"/>
        </w:rPr>
        <w:t xml:space="preserve">, would expose </w:t>
      </w:r>
      <w:r w:rsidR="00046E75" w:rsidRPr="00606B7C">
        <w:rPr>
          <w:lang w:val="en-GB"/>
        </w:rPr>
        <w:t>them</w:t>
      </w:r>
      <w:r w:rsidR="00CC3666" w:rsidRPr="00606B7C">
        <w:rPr>
          <w:lang w:val="en-GB"/>
        </w:rPr>
        <w:t xml:space="preserve"> to </w:t>
      </w:r>
      <w:r w:rsidR="00CE15EA">
        <w:rPr>
          <w:lang w:val="en-GB"/>
        </w:rPr>
        <w:t>the</w:t>
      </w:r>
      <w:r w:rsidR="00CC3666" w:rsidRPr="00606B7C">
        <w:rPr>
          <w:lang w:val="en-GB"/>
        </w:rPr>
        <w:t xml:space="preserve"> risk of irreparable harm</w:t>
      </w:r>
      <w:r w:rsidR="00150893" w:rsidRPr="00606B7C">
        <w:rPr>
          <w:lang w:val="en-GB"/>
        </w:rPr>
        <w:t>,</w:t>
      </w:r>
      <w:r w:rsidR="00CC3666" w:rsidRPr="00606B7C">
        <w:rPr>
          <w:lang w:val="en-GB"/>
        </w:rPr>
        <w:t xml:space="preserve"> in violation of article</w:t>
      </w:r>
      <w:r w:rsidR="00150893" w:rsidRPr="00606B7C">
        <w:rPr>
          <w:lang w:val="en-GB"/>
        </w:rPr>
        <w:t xml:space="preserve"> </w:t>
      </w:r>
      <w:r w:rsidR="00CC3666" w:rsidRPr="00606B7C">
        <w:rPr>
          <w:lang w:val="en-GB"/>
        </w:rPr>
        <w:t xml:space="preserve">7 of the Covenant. </w:t>
      </w:r>
      <w:r w:rsidR="000E3E66" w:rsidRPr="00606B7C">
        <w:rPr>
          <w:lang w:val="en-GB"/>
        </w:rPr>
        <w:t xml:space="preserve">The author </w:t>
      </w:r>
      <w:r w:rsidR="00CE15EA">
        <w:rPr>
          <w:lang w:val="en-GB"/>
        </w:rPr>
        <w:t>bases her arguments on</w:t>
      </w:r>
      <w:r w:rsidR="00B82FB2" w:rsidRPr="00606B7C">
        <w:rPr>
          <w:lang w:val="en-GB"/>
        </w:rPr>
        <w:t>, inter alia,</w:t>
      </w:r>
      <w:r w:rsidR="000E3E66" w:rsidRPr="00606B7C">
        <w:rPr>
          <w:lang w:val="en-GB"/>
        </w:rPr>
        <w:t xml:space="preserve"> the actual treatment she received after she was granted a residence permit </w:t>
      </w:r>
      <w:r w:rsidR="00CE15EA">
        <w:rPr>
          <w:lang w:val="en-GB"/>
        </w:rPr>
        <w:t xml:space="preserve">in Italy </w:t>
      </w:r>
      <w:r w:rsidR="000E3E66" w:rsidRPr="00606B7C">
        <w:rPr>
          <w:lang w:val="en-GB"/>
        </w:rPr>
        <w:t xml:space="preserve">in September 2008 </w:t>
      </w:r>
      <w:r w:rsidR="00D8286A" w:rsidRPr="00606B7C">
        <w:rPr>
          <w:lang w:val="en-GB"/>
        </w:rPr>
        <w:t>and on the ge</w:t>
      </w:r>
      <w:r w:rsidR="00FA74B0" w:rsidRPr="00606B7C">
        <w:rPr>
          <w:lang w:val="en-GB"/>
        </w:rPr>
        <w:t>neral conditions of reception for</w:t>
      </w:r>
      <w:r w:rsidR="00D8286A" w:rsidRPr="00606B7C">
        <w:rPr>
          <w:lang w:val="en-GB"/>
        </w:rPr>
        <w:t xml:space="preserve"> asylum seekers</w:t>
      </w:r>
      <w:r w:rsidR="008A748C" w:rsidRPr="00606B7C">
        <w:rPr>
          <w:lang w:val="en-GB"/>
        </w:rPr>
        <w:t xml:space="preserve"> and refugees</w:t>
      </w:r>
      <w:r w:rsidR="00FA74B0" w:rsidRPr="00606B7C">
        <w:rPr>
          <w:lang w:val="en-GB"/>
        </w:rPr>
        <w:t xml:space="preserve"> entering </w:t>
      </w:r>
      <w:r w:rsidR="00D8286A" w:rsidRPr="00606B7C">
        <w:rPr>
          <w:lang w:val="en-GB"/>
        </w:rPr>
        <w:t>Italy</w:t>
      </w:r>
      <w:r w:rsidR="00CE15EA">
        <w:rPr>
          <w:lang w:val="en-GB"/>
        </w:rPr>
        <w:t>, as found in various reports</w:t>
      </w:r>
      <w:r w:rsidR="00D8286A" w:rsidRPr="00606B7C">
        <w:rPr>
          <w:lang w:val="en-GB"/>
        </w:rPr>
        <w:t xml:space="preserve">. </w:t>
      </w:r>
    </w:p>
    <w:p w14:paraId="3035E382" w14:textId="77777777" w:rsidR="00FA74B0" w:rsidRPr="00606B7C" w:rsidRDefault="00DE3097" w:rsidP="00AF0301">
      <w:pPr>
        <w:pStyle w:val="SingleTxtG"/>
        <w:rPr>
          <w:lang w:val="en-GB"/>
        </w:rPr>
      </w:pPr>
      <w:r w:rsidRPr="00CA2790">
        <w:rPr>
          <w:bCs/>
          <w:lang w:val="en-GB"/>
        </w:rPr>
        <w:t>8</w:t>
      </w:r>
      <w:r w:rsidR="00277E36" w:rsidRPr="00606B7C">
        <w:rPr>
          <w:bCs/>
          <w:lang w:val="en-GB"/>
        </w:rPr>
        <w:t>.</w:t>
      </w:r>
      <w:r w:rsidR="00987D29" w:rsidRPr="00CA2790">
        <w:rPr>
          <w:bCs/>
          <w:lang w:val="en-GB"/>
        </w:rPr>
        <w:t>3</w:t>
      </w:r>
      <w:r w:rsidR="00277E36" w:rsidRPr="00606B7C">
        <w:rPr>
          <w:bCs/>
          <w:lang w:val="en-GB"/>
        </w:rPr>
        <w:tab/>
      </w:r>
      <w:r w:rsidR="00AD0C93" w:rsidRPr="00D32336">
        <w:rPr>
          <w:lang w:val="en-GB"/>
        </w:rPr>
        <w:t>T</w:t>
      </w:r>
      <w:r w:rsidR="00277E36" w:rsidRPr="00D32336">
        <w:rPr>
          <w:lang w:val="en-GB"/>
        </w:rPr>
        <w:t>he</w:t>
      </w:r>
      <w:r w:rsidR="00277E36" w:rsidRPr="00D32336">
        <w:rPr>
          <w:bCs/>
          <w:lang w:val="en-GB"/>
        </w:rPr>
        <w:t xml:space="preserve"> </w:t>
      </w:r>
      <w:r w:rsidR="00277E36" w:rsidRPr="00D32336">
        <w:rPr>
          <w:lang w:val="en-GB"/>
        </w:rPr>
        <w:t>Committee re</w:t>
      </w:r>
      <w:r w:rsidR="00277E36" w:rsidRPr="00606B7C">
        <w:rPr>
          <w:lang w:val="en-GB"/>
        </w:rPr>
        <w:t>calls its general comment No. 31</w:t>
      </w:r>
      <w:r w:rsidR="00AF0301">
        <w:rPr>
          <w:lang w:val="en-GB"/>
        </w:rPr>
        <w:t>,</w:t>
      </w:r>
      <w:r w:rsidR="00AF0301">
        <w:rPr>
          <w:rStyle w:val="FootnoteReference"/>
          <w:lang w:val="en-GB"/>
        </w:rPr>
        <w:footnoteReference w:id="18"/>
      </w:r>
      <w:r w:rsidR="00277E36" w:rsidRPr="00606B7C">
        <w:rPr>
          <w:lang w:val="en-GB"/>
        </w:rPr>
        <w:t xml:space="preserve"> in which it refers to the obligation of States</w:t>
      </w:r>
      <w:r w:rsidR="00277E36" w:rsidRPr="00606B7C">
        <w:rPr>
          <w:bCs/>
          <w:lang w:val="en-GB"/>
        </w:rPr>
        <w:t xml:space="preserve"> </w:t>
      </w:r>
      <w:r w:rsidR="00277E36" w:rsidRPr="00606B7C">
        <w:rPr>
          <w:lang w:val="en-GB"/>
        </w:rPr>
        <w:t>parties not to extradite, deport, expel or otherwise remove a person from their territory</w:t>
      </w:r>
      <w:r w:rsidR="00D32336">
        <w:rPr>
          <w:lang w:val="en-GB"/>
        </w:rPr>
        <w:t>,</w:t>
      </w:r>
      <w:r w:rsidR="00277E36" w:rsidRPr="00606B7C">
        <w:rPr>
          <w:bCs/>
          <w:lang w:val="en-GB"/>
        </w:rPr>
        <w:t xml:space="preserve"> </w:t>
      </w:r>
      <w:r w:rsidR="00277E36" w:rsidRPr="00606B7C">
        <w:rPr>
          <w:lang w:val="en-GB"/>
        </w:rPr>
        <w:t>where there are substantial grounds for believing that there is a risk of irreparable harm,</w:t>
      </w:r>
      <w:r w:rsidR="00277E36" w:rsidRPr="00606B7C">
        <w:rPr>
          <w:bCs/>
          <w:lang w:val="en-GB"/>
        </w:rPr>
        <w:t xml:space="preserve"> </w:t>
      </w:r>
      <w:r w:rsidR="00277E36" w:rsidRPr="00606B7C">
        <w:rPr>
          <w:lang w:val="en-GB"/>
        </w:rPr>
        <w:t>such as that contemplated by articles 6 and 7 of the Covenant, either in the country to which</w:t>
      </w:r>
      <w:r w:rsidR="00277E36" w:rsidRPr="00606B7C">
        <w:rPr>
          <w:bCs/>
          <w:lang w:val="en-GB"/>
        </w:rPr>
        <w:t xml:space="preserve"> </w:t>
      </w:r>
      <w:r w:rsidR="00277E36" w:rsidRPr="00606B7C">
        <w:rPr>
          <w:lang w:val="en-GB"/>
        </w:rPr>
        <w:t xml:space="preserve">removal is to be effected or in any country to which the person may </w:t>
      </w:r>
      <w:r w:rsidR="00277E36" w:rsidRPr="00606B7C">
        <w:rPr>
          <w:lang w:val="en-GB"/>
        </w:rPr>
        <w:lastRenderedPageBreak/>
        <w:t>subsequently be</w:t>
      </w:r>
      <w:r w:rsidR="00277E36" w:rsidRPr="00606B7C">
        <w:rPr>
          <w:bCs/>
          <w:lang w:val="en-GB"/>
        </w:rPr>
        <w:t xml:space="preserve"> </w:t>
      </w:r>
      <w:r w:rsidR="00277E36" w:rsidRPr="00606B7C">
        <w:rPr>
          <w:lang w:val="en-GB"/>
        </w:rPr>
        <w:t>removed.</w:t>
      </w:r>
      <w:r w:rsidR="00D32336">
        <w:rPr>
          <w:lang w:val="en-GB"/>
        </w:rPr>
        <w:t xml:space="preserve"> </w:t>
      </w:r>
      <w:r w:rsidR="009149E6" w:rsidRPr="00606B7C">
        <w:rPr>
          <w:lang w:val="en-GB"/>
        </w:rPr>
        <w:t xml:space="preserve">The Committee has also indicated that the risk must be personal and that </w:t>
      </w:r>
      <w:r w:rsidR="00D32336">
        <w:rPr>
          <w:lang w:val="en-GB"/>
        </w:rPr>
        <w:t>the</w:t>
      </w:r>
      <w:r w:rsidR="009149E6" w:rsidRPr="00606B7C">
        <w:rPr>
          <w:lang w:val="en-GB"/>
        </w:rPr>
        <w:t xml:space="preserve"> threshold for providing substantial grounds to establish that a real risk of irreparable harm exists</w:t>
      </w:r>
      <w:r w:rsidR="00D32336">
        <w:rPr>
          <w:lang w:val="en-GB"/>
        </w:rPr>
        <w:t xml:space="preserve"> was high</w:t>
      </w:r>
      <w:r w:rsidR="009149E6" w:rsidRPr="00606B7C">
        <w:rPr>
          <w:lang w:val="en-GB"/>
        </w:rPr>
        <w:t>.</w:t>
      </w:r>
      <w:r w:rsidR="009149E6" w:rsidRPr="00606B7C">
        <w:rPr>
          <w:rStyle w:val="FootnoteReference"/>
          <w:lang w:val="en-GB"/>
        </w:rPr>
        <w:footnoteReference w:id="19"/>
      </w:r>
      <w:r w:rsidR="00AD0C93" w:rsidRPr="00606B7C">
        <w:rPr>
          <w:lang w:val="en-GB"/>
        </w:rPr>
        <w:t xml:space="preserve"> The Committee recalls that, generally speaking, it is for the organs of </w:t>
      </w:r>
      <w:r w:rsidR="0004348F">
        <w:rPr>
          <w:lang w:val="en-GB"/>
        </w:rPr>
        <w:t xml:space="preserve">the </w:t>
      </w:r>
      <w:r w:rsidR="00AD0C93" w:rsidRPr="00606B7C">
        <w:rPr>
          <w:lang w:val="en-GB"/>
        </w:rPr>
        <w:t>States parties to the Covenant to review or evaluate facts and evidence in order to determine whether such risk exists.</w:t>
      </w:r>
    </w:p>
    <w:p w14:paraId="1E65BE22" w14:textId="77777777" w:rsidR="00BF159D" w:rsidRPr="00CA2790" w:rsidRDefault="00DE3097" w:rsidP="00756D66">
      <w:pPr>
        <w:pStyle w:val="SingleTxtG"/>
        <w:rPr>
          <w:lang w:val="en-GB"/>
        </w:rPr>
      </w:pPr>
      <w:r w:rsidRPr="00CA2790">
        <w:rPr>
          <w:bCs/>
          <w:lang w:val="en-GB"/>
        </w:rPr>
        <w:t>8</w:t>
      </w:r>
      <w:r w:rsidR="00FA74B0" w:rsidRPr="00606B7C">
        <w:rPr>
          <w:bCs/>
          <w:lang w:val="en-GB"/>
        </w:rPr>
        <w:t>.</w:t>
      </w:r>
      <w:r w:rsidR="00987D29" w:rsidRPr="00CA2790">
        <w:rPr>
          <w:bCs/>
          <w:lang w:val="en-GB"/>
        </w:rPr>
        <w:t>4</w:t>
      </w:r>
      <w:r w:rsidR="00FA74B0" w:rsidRPr="00606B7C">
        <w:rPr>
          <w:bCs/>
          <w:lang w:val="en-GB"/>
        </w:rPr>
        <w:tab/>
      </w:r>
      <w:r w:rsidR="00BF159D" w:rsidRPr="00606B7C">
        <w:rPr>
          <w:lang w:val="en-GB"/>
        </w:rPr>
        <w:t>The Committee notes that</w:t>
      </w:r>
      <w:r w:rsidR="0004348F">
        <w:rPr>
          <w:lang w:val="en-GB"/>
        </w:rPr>
        <w:t>,</w:t>
      </w:r>
      <w:r w:rsidR="00BF159D" w:rsidRPr="00606B7C">
        <w:rPr>
          <w:lang w:val="en-GB"/>
        </w:rPr>
        <w:t xml:space="preserve"> according to the uncontested submissions by the author, after her initial four</w:t>
      </w:r>
      <w:r w:rsidR="0004348F">
        <w:rPr>
          <w:lang w:val="en-GB"/>
        </w:rPr>
        <w:t>-</w:t>
      </w:r>
      <w:r w:rsidR="00BF159D" w:rsidRPr="00606B7C">
        <w:rPr>
          <w:lang w:val="en-GB"/>
        </w:rPr>
        <w:t xml:space="preserve">month stay in a </w:t>
      </w:r>
      <w:r w:rsidR="00756D66">
        <w:rPr>
          <w:lang w:val="en-GB"/>
        </w:rPr>
        <w:t>CARA</w:t>
      </w:r>
      <w:r w:rsidR="00BF159D" w:rsidRPr="00606B7C">
        <w:rPr>
          <w:lang w:val="en-GB"/>
        </w:rPr>
        <w:t xml:space="preserve"> in Sicily,</w:t>
      </w:r>
      <w:r w:rsidR="0004348F">
        <w:rPr>
          <w:lang w:val="en-GB"/>
        </w:rPr>
        <w:t xml:space="preserve"> Italy,</w:t>
      </w:r>
      <w:r w:rsidR="00BF159D" w:rsidRPr="00606B7C">
        <w:rPr>
          <w:lang w:val="en-GB"/>
        </w:rPr>
        <w:t xml:space="preserve"> </w:t>
      </w:r>
      <w:r w:rsidR="0004348F">
        <w:rPr>
          <w:lang w:val="en-GB"/>
        </w:rPr>
        <w:t xml:space="preserve">in September 2008, </w:t>
      </w:r>
      <w:r w:rsidR="00BF159D" w:rsidRPr="00606B7C">
        <w:rPr>
          <w:lang w:val="en-GB"/>
        </w:rPr>
        <w:t>she and her eldest daughter were granted subsidiary protection and a residence permit</w:t>
      </w:r>
      <w:r w:rsidR="0004348F">
        <w:rPr>
          <w:lang w:val="en-GB"/>
        </w:rPr>
        <w:t xml:space="preserve"> valid for three years</w:t>
      </w:r>
      <w:r w:rsidR="00BF159D" w:rsidRPr="00606B7C">
        <w:rPr>
          <w:lang w:val="en-GB"/>
        </w:rPr>
        <w:t xml:space="preserve">. </w:t>
      </w:r>
      <w:r w:rsidR="0004348F">
        <w:rPr>
          <w:lang w:val="en-GB"/>
        </w:rPr>
        <w:t>T</w:t>
      </w:r>
      <w:r w:rsidR="00BF159D" w:rsidRPr="00606B7C">
        <w:rPr>
          <w:lang w:val="en-GB"/>
        </w:rPr>
        <w:t xml:space="preserve">he day after the residence permit was issued, the author was informed that she could no longer stay </w:t>
      </w:r>
      <w:r w:rsidR="0004348F">
        <w:rPr>
          <w:lang w:val="en-GB"/>
        </w:rPr>
        <w:t>in</w:t>
      </w:r>
      <w:r w:rsidR="00BF159D" w:rsidRPr="00606B7C">
        <w:rPr>
          <w:lang w:val="en-GB"/>
        </w:rPr>
        <w:t xml:space="preserve"> the reception centre</w:t>
      </w:r>
      <w:r w:rsidR="0004348F">
        <w:rPr>
          <w:lang w:val="en-GB"/>
        </w:rPr>
        <w:t>; s</w:t>
      </w:r>
      <w:r w:rsidR="00BF159D" w:rsidRPr="00606B7C">
        <w:rPr>
          <w:lang w:val="en-GB"/>
        </w:rPr>
        <w:t xml:space="preserve">he was thus left without shelter nor means of subsistence. </w:t>
      </w:r>
      <w:r w:rsidR="0004348F">
        <w:rPr>
          <w:lang w:val="en-GB"/>
        </w:rPr>
        <w:t xml:space="preserve">She </w:t>
      </w:r>
      <w:r w:rsidR="00BF159D" w:rsidRPr="00606B7C">
        <w:rPr>
          <w:lang w:val="en-GB"/>
        </w:rPr>
        <w:t>left Italy</w:t>
      </w:r>
      <w:r w:rsidR="0004348F">
        <w:rPr>
          <w:lang w:val="en-GB"/>
        </w:rPr>
        <w:t xml:space="preserve"> and went to the Netherlands, but </w:t>
      </w:r>
      <w:r w:rsidR="00BF159D" w:rsidRPr="00606B7C">
        <w:rPr>
          <w:lang w:val="en-GB"/>
        </w:rPr>
        <w:t xml:space="preserve"> was returned to Italy in September 2009 with her minor child, and was again left to fend for herself without any social or humanitarian assistance</w:t>
      </w:r>
      <w:r w:rsidR="0004348F">
        <w:rPr>
          <w:lang w:val="en-GB"/>
        </w:rPr>
        <w:t xml:space="preserve"> from the Italian authorities</w:t>
      </w:r>
      <w:r w:rsidR="00BF159D" w:rsidRPr="00606B7C">
        <w:rPr>
          <w:lang w:val="en-GB"/>
        </w:rPr>
        <w:t>, even though she held a valid residence permit</w:t>
      </w:r>
      <w:r w:rsidR="0004348F">
        <w:rPr>
          <w:lang w:val="en-GB"/>
        </w:rPr>
        <w:t>, including during her pregnancy</w:t>
      </w:r>
      <w:r w:rsidR="00BF159D" w:rsidRPr="00606B7C">
        <w:rPr>
          <w:lang w:val="en-GB"/>
        </w:rPr>
        <w:t xml:space="preserve">. </w:t>
      </w:r>
      <w:r w:rsidR="0004348F">
        <w:rPr>
          <w:lang w:val="en-GB"/>
        </w:rPr>
        <w:t>Owing to her state o</w:t>
      </w:r>
      <w:r w:rsidR="00BF159D" w:rsidRPr="00606B7C">
        <w:rPr>
          <w:lang w:val="en-GB"/>
        </w:rPr>
        <w:t xml:space="preserve">f indigence and vulnerability, she was unable to renew her </w:t>
      </w:r>
      <w:r w:rsidR="0017044C">
        <w:rPr>
          <w:lang w:val="en-GB"/>
        </w:rPr>
        <w:t xml:space="preserve">Italian </w:t>
      </w:r>
      <w:r w:rsidR="00BF159D" w:rsidRPr="00606B7C">
        <w:rPr>
          <w:lang w:val="en-GB"/>
        </w:rPr>
        <w:t xml:space="preserve">residence permit in 2011. </w:t>
      </w:r>
      <w:r w:rsidR="0017044C">
        <w:rPr>
          <w:lang w:val="en-GB"/>
        </w:rPr>
        <w:t xml:space="preserve">In 2011, she went to Sweden, then to Denmark where she requested asylum in June 2012. </w:t>
      </w:r>
      <w:r w:rsidR="00BF159D" w:rsidRPr="00606B7C">
        <w:rPr>
          <w:color w:val="000000"/>
          <w:lang w:val="en-GB" w:eastAsia="en-GB"/>
        </w:rPr>
        <w:t>Today, the author, an asylum</w:t>
      </w:r>
      <w:r w:rsidR="0017044C">
        <w:rPr>
          <w:color w:val="000000"/>
          <w:lang w:val="en-GB" w:eastAsia="en-GB"/>
        </w:rPr>
        <w:t xml:space="preserve"> </w:t>
      </w:r>
      <w:r w:rsidR="00BF159D" w:rsidRPr="00606B7C">
        <w:rPr>
          <w:color w:val="000000"/>
          <w:lang w:val="en-GB" w:eastAsia="en-GB"/>
        </w:rPr>
        <w:t>seeker and a single mother of three minor children,</w:t>
      </w:r>
      <w:r w:rsidR="0017044C">
        <w:rPr>
          <w:color w:val="000000"/>
          <w:lang w:val="en-GB" w:eastAsia="en-GB"/>
        </w:rPr>
        <w:t xml:space="preserve"> who</w:t>
      </w:r>
      <w:r w:rsidR="00BF159D" w:rsidRPr="00606B7C">
        <w:rPr>
          <w:color w:val="000000"/>
          <w:lang w:val="en-GB" w:eastAsia="en-GB"/>
        </w:rPr>
        <w:t xml:space="preserve"> suffer</w:t>
      </w:r>
      <w:r w:rsidR="0017044C">
        <w:rPr>
          <w:color w:val="000000"/>
          <w:lang w:val="en-GB" w:eastAsia="en-GB"/>
        </w:rPr>
        <w:t>s</w:t>
      </w:r>
      <w:r w:rsidR="00BF159D" w:rsidRPr="00606B7C">
        <w:rPr>
          <w:color w:val="000000"/>
          <w:lang w:val="en-GB" w:eastAsia="en-GB"/>
        </w:rPr>
        <w:t xml:space="preserve"> from asthma, finds herself in a situation of great vulnerability.</w:t>
      </w:r>
    </w:p>
    <w:p w14:paraId="403BD1E7" w14:textId="77777777" w:rsidR="00127BA0" w:rsidRPr="00CA2790" w:rsidRDefault="00DE3097" w:rsidP="00756D66">
      <w:pPr>
        <w:pStyle w:val="SingleTxtG"/>
        <w:rPr>
          <w:lang w:val="en-GB"/>
        </w:rPr>
      </w:pPr>
      <w:r w:rsidRPr="00CA2790">
        <w:rPr>
          <w:lang w:val="en-GB"/>
        </w:rPr>
        <w:t>8</w:t>
      </w:r>
      <w:r w:rsidR="00FE50CA" w:rsidRPr="00CA2790">
        <w:rPr>
          <w:lang w:val="en-GB"/>
        </w:rPr>
        <w:t>.5</w:t>
      </w:r>
      <w:r w:rsidR="00617618" w:rsidRPr="00CA2790">
        <w:rPr>
          <w:lang w:val="en-GB"/>
        </w:rPr>
        <w:tab/>
        <w:t>The Committee note</w:t>
      </w:r>
      <w:r w:rsidR="0017044C">
        <w:rPr>
          <w:lang w:val="en-GB"/>
        </w:rPr>
        <w:t>s</w:t>
      </w:r>
      <w:r w:rsidR="00617618" w:rsidRPr="00CA2790">
        <w:rPr>
          <w:lang w:val="en-GB"/>
        </w:rPr>
        <w:t xml:space="preserve"> the various reports submitted by the author</w:t>
      </w:r>
      <w:r w:rsidR="0017044C">
        <w:rPr>
          <w:lang w:val="en-GB"/>
        </w:rPr>
        <w:t>. It also notes</w:t>
      </w:r>
      <w:r w:rsidR="00617618" w:rsidRPr="00CA2790">
        <w:rPr>
          <w:lang w:val="en-GB"/>
        </w:rPr>
        <w:t xml:space="preserve"> that recent reports </w:t>
      </w:r>
      <w:r w:rsidR="0017044C">
        <w:rPr>
          <w:lang w:val="en-GB"/>
        </w:rPr>
        <w:t>highlight</w:t>
      </w:r>
      <w:r w:rsidR="00617618" w:rsidRPr="00CA2790">
        <w:rPr>
          <w:lang w:val="en-GB"/>
        </w:rPr>
        <w:t xml:space="preserve"> </w:t>
      </w:r>
      <w:r w:rsidR="0017044C">
        <w:rPr>
          <w:lang w:val="en-GB"/>
        </w:rPr>
        <w:t>the</w:t>
      </w:r>
      <w:r w:rsidR="00FE521F" w:rsidRPr="00CA2790">
        <w:rPr>
          <w:lang w:val="en-GB"/>
        </w:rPr>
        <w:t xml:space="preserve"> </w:t>
      </w:r>
      <w:r w:rsidR="00617618" w:rsidRPr="00CA2790">
        <w:rPr>
          <w:lang w:val="en-GB"/>
        </w:rPr>
        <w:t xml:space="preserve">lack of available places in </w:t>
      </w:r>
      <w:r w:rsidR="0017044C">
        <w:rPr>
          <w:lang w:val="en-GB"/>
        </w:rPr>
        <w:t xml:space="preserve">the </w:t>
      </w:r>
      <w:r w:rsidR="00617618" w:rsidRPr="00CA2790">
        <w:rPr>
          <w:lang w:val="en-GB"/>
        </w:rPr>
        <w:t xml:space="preserve">reception </w:t>
      </w:r>
      <w:r w:rsidR="0017044C">
        <w:rPr>
          <w:lang w:val="en-GB"/>
        </w:rPr>
        <w:t>facilities in Italy</w:t>
      </w:r>
      <w:r w:rsidR="00617618" w:rsidRPr="00CA2790">
        <w:rPr>
          <w:lang w:val="en-GB"/>
        </w:rPr>
        <w:t xml:space="preserve"> for asylum seekers and returnees</w:t>
      </w:r>
      <w:r w:rsidR="0017044C">
        <w:rPr>
          <w:lang w:val="en-GB"/>
        </w:rPr>
        <w:t xml:space="preserve"> under the Dublin Regulation</w:t>
      </w:r>
      <w:r w:rsidR="00617618" w:rsidRPr="00CA2790">
        <w:rPr>
          <w:lang w:val="en-GB"/>
        </w:rPr>
        <w:t xml:space="preserve">. </w:t>
      </w:r>
      <w:r w:rsidR="00617618" w:rsidRPr="00CA2790">
        <w:rPr>
          <w:bCs/>
          <w:lang w:val="en-GB"/>
        </w:rPr>
        <w:t>The Committee note</w:t>
      </w:r>
      <w:r w:rsidR="0017044C">
        <w:rPr>
          <w:bCs/>
          <w:lang w:val="en-GB"/>
        </w:rPr>
        <w:t>s</w:t>
      </w:r>
      <w:r w:rsidR="00617618" w:rsidRPr="00CA2790">
        <w:rPr>
          <w:bCs/>
          <w:lang w:val="en-GB"/>
        </w:rPr>
        <w:t xml:space="preserve"> in particular </w:t>
      </w:r>
      <w:r w:rsidR="00FE521F" w:rsidRPr="00CA2790">
        <w:rPr>
          <w:bCs/>
          <w:lang w:val="en-GB"/>
        </w:rPr>
        <w:t xml:space="preserve">the author’s submission </w:t>
      </w:r>
      <w:r w:rsidR="00617618" w:rsidRPr="00CA2790">
        <w:rPr>
          <w:bCs/>
          <w:lang w:val="en-GB"/>
        </w:rPr>
        <w:t>that returnees</w:t>
      </w:r>
      <w:r w:rsidR="0017044C">
        <w:rPr>
          <w:bCs/>
          <w:lang w:val="en-GB"/>
        </w:rPr>
        <w:t>,</w:t>
      </w:r>
      <w:r w:rsidR="00617618" w:rsidRPr="00CA2790">
        <w:rPr>
          <w:bCs/>
          <w:lang w:val="en-GB"/>
        </w:rPr>
        <w:t xml:space="preserve"> like </w:t>
      </w:r>
      <w:r w:rsidR="00FE521F" w:rsidRPr="00CA2790">
        <w:rPr>
          <w:bCs/>
          <w:lang w:val="en-GB"/>
        </w:rPr>
        <w:t>her</w:t>
      </w:r>
      <w:r w:rsidR="00617618" w:rsidRPr="00606B7C">
        <w:rPr>
          <w:bCs/>
          <w:lang w:val="en-GB"/>
        </w:rPr>
        <w:t>, who ha</w:t>
      </w:r>
      <w:r w:rsidR="0017044C">
        <w:rPr>
          <w:bCs/>
          <w:lang w:val="en-GB"/>
        </w:rPr>
        <w:t>d</w:t>
      </w:r>
      <w:r w:rsidR="00617618" w:rsidRPr="00606B7C">
        <w:rPr>
          <w:bCs/>
          <w:lang w:val="en-GB"/>
        </w:rPr>
        <w:t xml:space="preserve"> already been granted a form of protection</w:t>
      </w:r>
      <w:r w:rsidR="0017044C">
        <w:rPr>
          <w:bCs/>
          <w:lang w:val="en-GB"/>
        </w:rPr>
        <w:t xml:space="preserve"> and benefited from </w:t>
      </w:r>
      <w:r w:rsidR="00617618" w:rsidRPr="00606B7C">
        <w:rPr>
          <w:bCs/>
          <w:lang w:val="en-GB"/>
        </w:rPr>
        <w:t xml:space="preserve">the reception </w:t>
      </w:r>
      <w:r w:rsidR="0017044C">
        <w:rPr>
          <w:bCs/>
          <w:lang w:val="en-GB"/>
        </w:rPr>
        <w:t>facilities</w:t>
      </w:r>
      <w:r w:rsidR="00617618" w:rsidRPr="00606B7C">
        <w:rPr>
          <w:bCs/>
          <w:lang w:val="en-GB"/>
        </w:rPr>
        <w:t xml:space="preserve"> when they were in Italy, </w:t>
      </w:r>
      <w:r w:rsidR="0017044C">
        <w:rPr>
          <w:bCs/>
          <w:lang w:val="en-GB"/>
        </w:rPr>
        <w:t xml:space="preserve">are not entitled </w:t>
      </w:r>
      <w:r w:rsidR="00617618" w:rsidRPr="00606B7C">
        <w:rPr>
          <w:bCs/>
          <w:lang w:val="en-GB"/>
        </w:rPr>
        <w:t>to accommodat</w:t>
      </w:r>
      <w:r w:rsidR="0017044C">
        <w:rPr>
          <w:bCs/>
          <w:lang w:val="en-GB"/>
        </w:rPr>
        <w:t xml:space="preserve">ion </w:t>
      </w:r>
      <w:r w:rsidR="00617618" w:rsidRPr="00606B7C">
        <w:rPr>
          <w:bCs/>
          <w:lang w:val="en-GB"/>
        </w:rPr>
        <w:t>in</w:t>
      </w:r>
      <w:r w:rsidR="00756D66">
        <w:rPr>
          <w:bCs/>
          <w:lang w:val="en-GB"/>
        </w:rPr>
        <w:t xml:space="preserve"> the</w:t>
      </w:r>
      <w:r w:rsidR="00617618" w:rsidRPr="00606B7C">
        <w:rPr>
          <w:bCs/>
          <w:lang w:val="en-GB"/>
        </w:rPr>
        <w:t xml:space="preserve"> CARAs.</w:t>
      </w:r>
      <w:r w:rsidR="00617618" w:rsidRPr="00CA2790">
        <w:rPr>
          <w:rStyle w:val="FootnoteReference"/>
          <w:bCs/>
          <w:lang w:val="en-GB"/>
        </w:rPr>
        <w:footnoteReference w:id="20"/>
      </w:r>
      <w:r w:rsidR="00617618" w:rsidRPr="00CA2790">
        <w:rPr>
          <w:lang w:val="en-GB"/>
        </w:rPr>
        <w:t xml:space="preserve"> </w:t>
      </w:r>
    </w:p>
    <w:p w14:paraId="51F0638F" w14:textId="77777777" w:rsidR="00DF14B6" w:rsidRPr="00CA2790" w:rsidRDefault="00DE3097" w:rsidP="005202B2">
      <w:pPr>
        <w:pStyle w:val="SingleTxtG"/>
        <w:rPr>
          <w:lang w:val="en-GB"/>
        </w:rPr>
      </w:pPr>
      <w:r w:rsidRPr="00CA2790">
        <w:rPr>
          <w:lang w:val="en-GB"/>
        </w:rPr>
        <w:t>8</w:t>
      </w:r>
      <w:r w:rsidR="00127BA0" w:rsidRPr="00CA2790">
        <w:rPr>
          <w:lang w:val="en-GB"/>
        </w:rPr>
        <w:t>.6</w:t>
      </w:r>
      <w:r w:rsidR="00127BA0" w:rsidRPr="00CA2790">
        <w:rPr>
          <w:lang w:val="en-GB"/>
        </w:rPr>
        <w:tab/>
      </w:r>
      <w:r w:rsidR="001302D1" w:rsidRPr="00606B7C">
        <w:rPr>
          <w:lang w:val="en-GB"/>
        </w:rPr>
        <w:t>The Committee</w:t>
      </w:r>
      <w:r w:rsidR="00617618" w:rsidRPr="00CA2790">
        <w:rPr>
          <w:lang w:val="en-GB"/>
        </w:rPr>
        <w:t xml:space="preserve"> further</w:t>
      </w:r>
      <w:r w:rsidR="001302D1" w:rsidRPr="00606B7C">
        <w:rPr>
          <w:lang w:val="en-GB"/>
        </w:rPr>
        <w:t xml:space="preserve"> observes that the majority of the</w:t>
      </w:r>
      <w:r w:rsidR="005202B2">
        <w:rPr>
          <w:lang w:val="en-GB"/>
        </w:rPr>
        <w:t xml:space="preserve"> members of the</w:t>
      </w:r>
      <w:r w:rsidR="001302D1" w:rsidRPr="00606B7C">
        <w:rPr>
          <w:lang w:val="en-GB"/>
        </w:rPr>
        <w:t xml:space="preserve"> Danish Refugee Appeals Board </w:t>
      </w:r>
      <w:r w:rsidR="005202B2">
        <w:rPr>
          <w:lang w:val="en-GB"/>
        </w:rPr>
        <w:t>had</w:t>
      </w:r>
      <w:r w:rsidR="001302D1" w:rsidRPr="00606B7C">
        <w:rPr>
          <w:lang w:val="en-GB"/>
        </w:rPr>
        <w:t xml:space="preserve"> </w:t>
      </w:r>
      <w:r w:rsidR="005202B2">
        <w:rPr>
          <w:lang w:val="en-GB"/>
        </w:rPr>
        <w:t>found</w:t>
      </w:r>
      <w:r w:rsidR="001302D1" w:rsidRPr="00606B7C">
        <w:rPr>
          <w:lang w:val="en-GB"/>
        </w:rPr>
        <w:t xml:space="preserve"> on 6 February 2014 that the background information regarding the conditions for asylum seekers </w:t>
      </w:r>
      <w:r w:rsidR="005202B2">
        <w:rPr>
          <w:lang w:val="en-GB"/>
        </w:rPr>
        <w:t>who had</w:t>
      </w:r>
      <w:r w:rsidR="001302D1" w:rsidRPr="00606B7C">
        <w:rPr>
          <w:lang w:val="en-GB"/>
        </w:rPr>
        <w:t xml:space="preserve"> obtained temporary residence permits in Italy to some extent support</w:t>
      </w:r>
      <w:r w:rsidR="005202B2">
        <w:rPr>
          <w:lang w:val="en-GB"/>
        </w:rPr>
        <w:t>ed concerns</w:t>
      </w:r>
      <w:r w:rsidR="001302D1" w:rsidRPr="00606B7C">
        <w:rPr>
          <w:lang w:val="en-GB"/>
        </w:rPr>
        <w:t xml:space="preserve"> that the humanitarian conditions for this group </w:t>
      </w:r>
      <w:r w:rsidR="005202B2">
        <w:rPr>
          <w:lang w:val="en-GB"/>
        </w:rPr>
        <w:t>we</w:t>
      </w:r>
      <w:r w:rsidR="001302D1" w:rsidRPr="00606B7C">
        <w:rPr>
          <w:lang w:val="en-GB"/>
        </w:rPr>
        <w:t xml:space="preserve">re </w:t>
      </w:r>
      <w:r w:rsidR="005202B2">
        <w:rPr>
          <w:lang w:val="en-GB"/>
        </w:rPr>
        <w:t>approaching</w:t>
      </w:r>
      <w:r w:rsidR="001302D1" w:rsidRPr="00606B7C">
        <w:rPr>
          <w:lang w:val="en-GB"/>
        </w:rPr>
        <w:t xml:space="preserve"> a level where it </w:t>
      </w:r>
      <w:r w:rsidR="005202B2">
        <w:rPr>
          <w:lang w:val="en-GB"/>
        </w:rPr>
        <w:t xml:space="preserve">would </w:t>
      </w:r>
      <w:r w:rsidR="001302D1" w:rsidRPr="00606B7C">
        <w:rPr>
          <w:lang w:val="en-GB"/>
        </w:rPr>
        <w:t xml:space="preserve">no longer be secure to refer to Italy as </w:t>
      </w:r>
      <w:r w:rsidR="005202B2">
        <w:rPr>
          <w:lang w:val="en-GB"/>
        </w:rPr>
        <w:t xml:space="preserve">the </w:t>
      </w:r>
      <w:r w:rsidR="001302D1" w:rsidRPr="00606B7C">
        <w:rPr>
          <w:lang w:val="en-GB"/>
        </w:rPr>
        <w:t>first country of asylum (</w:t>
      </w:r>
      <w:r w:rsidR="005202B2">
        <w:rPr>
          <w:lang w:val="en-GB"/>
        </w:rPr>
        <w:t xml:space="preserve">see </w:t>
      </w:r>
      <w:r w:rsidR="001302D1" w:rsidRPr="00606B7C">
        <w:rPr>
          <w:lang w:val="en-GB"/>
        </w:rPr>
        <w:t>para</w:t>
      </w:r>
      <w:r w:rsidR="0073553F">
        <w:rPr>
          <w:lang w:val="en-GB"/>
        </w:rPr>
        <w:t>.</w:t>
      </w:r>
      <w:r w:rsidR="001302D1" w:rsidRPr="00606B7C">
        <w:rPr>
          <w:lang w:val="en-GB"/>
        </w:rPr>
        <w:t xml:space="preserve"> 2.16 above).</w:t>
      </w:r>
      <w:r w:rsidR="00DF14B6" w:rsidRPr="00606B7C">
        <w:rPr>
          <w:lang w:val="en-GB"/>
        </w:rPr>
        <w:t xml:space="preserve"> </w:t>
      </w:r>
    </w:p>
    <w:p w14:paraId="0E283A39" w14:textId="77777777" w:rsidR="00A96C30" w:rsidRPr="00CA2790" w:rsidRDefault="00DE3097" w:rsidP="005E2298">
      <w:pPr>
        <w:pStyle w:val="SingleTxtG"/>
        <w:rPr>
          <w:lang w:val="en-GB"/>
        </w:rPr>
      </w:pPr>
      <w:r w:rsidRPr="00CA2790">
        <w:rPr>
          <w:lang w:val="en-GB"/>
        </w:rPr>
        <w:t>8</w:t>
      </w:r>
      <w:r w:rsidR="00987D29" w:rsidRPr="00CA2790">
        <w:rPr>
          <w:lang w:val="en-GB"/>
        </w:rPr>
        <w:t>.</w:t>
      </w:r>
      <w:r w:rsidR="00127BA0" w:rsidRPr="00CA2790">
        <w:rPr>
          <w:lang w:val="en-GB"/>
        </w:rPr>
        <w:t>7</w:t>
      </w:r>
      <w:r w:rsidR="00617618" w:rsidRPr="00CA2790">
        <w:rPr>
          <w:lang w:val="en-GB"/>
        </w:rPr>
        <w:tab/>
      </w:r>
      <w:r w:rsidR="00A96C30" w:rsidRPr="00CA2790">
        <w:rPr>
          <w:lang w:val="en-GB"/>
        </w:rPr>
        <w:t>The Committee note</w:t>
      </w:r>
      <w:r w:rsidR="005202B2">
        <w:rPr>
          <w:lang w:val="en-GB"/>
        </w:rPr>
        <w:t>s</w:t>
      </w:r>
      <w:r w:rsidR="00A96C30" w:rsidRPr="00CA2790">
        <w:rPr>
          <w:lang w:val="en-GB"/>
        </w:rPr>
        <w:t xml:space="preserve"> the finding of the </w:t>
      </w:r>
      <w:r w:rsidR="00A96C30" w:rsidRPr="00606B7C">
        <w:rPr>
          <w:lang w:val="en-GB"/>
        </w:rPr>
        <w:t>Refugee Appeals Board</w:t>
      </w:r>
      <w:r w:rsidR="00A96C30" w:rsidRPr="00CA2790">
        <w:rPr>
          <w:lang w:val="en-GB"/>
        </w:rPr>
        <w:t xml:space="preserve"> that Italy </w:t>
      </w:r>
      <w:r w:rsidR="005202B2">
        <w:rPr>
          <w:lang w:val="en-GB"/>
        </w:rPr>
        <w:t>sh</w:t>
      </w:r>
      <w:r w:rsidR="00A96C30" w:rsidRPr="00CA2790">
        <w:rPr>
          <w:lang w:val="en-GB"/>
        </w:rPr>
        <w:t xml:space="preserve">ould be considered </w:t>
      </w:r>
      <w:r w:rsidR="005202B2">
        <w:rPr>
          <w:lang w:val="en-GB"/>
        </w:rPr>
        <w:t>the</w:t>
      </w:r>
      <w:r w:rsidR="00A96C30" w:rsidRPr="00CA2790">
        <w:rPr>
          <w:lang w:val="en-GB"/>
        </w:rPr>
        <w:t xml:space="preserve"> “country of first asylum” </w:t>
      </w:r>
      <w:r w:rsidR="005202B2">
        <w:rPr>
          <w:lang w:val="en-GB"/>
        </w:rPr>
        <w:t>in the present case and</w:t>
      </w:r>
      <w:r w:rsidR="00A96C30" w:rsidRPr="00CA2790">
        <w:rPr>
          <w:lang w:val="en-GB"/>
        </w:rPr>
        <w:t xml:space="preserve"> the position of the State party that </w:t>
      </w:r>
      <w:r w:rsidR="005202B2">
        <w:rPr>
          <w:lang w:val="en-GB"/>
        </w:rPr>
        <w:t>the</w:t>
      </w:r>
      <w:r w:rsidR="00A96C30" w:rsidRPr="00CA2790">
        <w:rPr>
          <w:lang w:val="en-GB"/>
        </w:rPr>
        <w:t xml:space="preserve"> country of first asylum is obliged to provide asylum seekers with certain social and economic elements in accordance with basic human standards, although it </w:t>
      </w:r>
      <w:r w:rsidR="005E2298">
        <w:rPr>
          <w:lang w:val="en-GB"/>
        </w:rPr>
        <w:t>is</w:t>
      </w:r>
      <w:r w:rsidR="00A96C30" w:rsidRPr="00CA2790">
        <w:rPr>
          <w:lang w:val="en-GB"/>
        </w:rPr>
        <w:t xml:space="preserve"> not require</w:t>
      </w:r>
      <w:r w:rsidR="005E2298">
        <w:rPr>
          <w:lang w:val="en-GB"/>
        </w:rPr>
        <w:t>d</w:t>
      </w:r>
      <w:r w:rsidR="00A96C30" w:rsidRPr="00CA2790">
        <w:rPr>
          <w:lang w:val="en-GB"/>
        </w:rPr>
        <w:t xml:space="preserve"> that such persons have </w:t>
      </w:r>
      <w:r w:rsidR="005E2298">
        <w:rPr>
          <w:lang w:val="en-GB"/>
        </w:rPr>
        <w:t>exactly</w:t>
      </w:r>
      <w:r w:rsidR="00A96C30" w:rsidRPr="00CA2790">
        <w:rPr>
          <w:lang w:val="en-GB"/>
        </w:rPr>
        <w:t xml:space="preserve"> the same social </w:t>
      </w:r>
      <w:r w:rsidR="005E2298">
        <w:rPr>
          <w:lang w:val="en-GB"/>
        </w:rPr>
        <w:t xml:space="preserve">and </w:t>
      </w:r>
      <w:r w:rsidR="00A96C30" w:rsidRPr="00CA2790">
        <w:rPr>
          <w:lang w:val="en-GB"/>
        </w:rPr>
        <w:t xml:space="preserve">living standards as </w:t>
      </w:r>
      <w:r w:rsidR="005E2298">
        <w:rPr>
          <w:lang w:val="en-GB"/>
        </w:rPr>
        <w:t xml:space="preserve">nationals of the </w:t>
      </w:r>
      <w:r w:rsidR="00A96C30" w:rsidRPr="00CA2790">
        <w:rPr>
          <w:lang w:val="en-GB"/>
        </w:rPr>
        <w:t>country (</w:t>
      </w:r>
      <w:r w:rsidR="005E2298">
        <w:rPr>
          <w:lang w:val="en-GB"/>
        </w:rPr>
        <w:t xml:space="preserve">see </w:t>
      </w:r>
      <w:r w:rsidR="0074326E">
        <w:rPr>
          <w:lang w:val="en-GB"/>
        </w:rPr>
        <w:t>p</w:t>
      </w:r>
      <w:r w:rsidR="00A96C30" w:rsidRPr="00CA2790">
        <w:rPr>
          <w:lang w:val="en-GB"/>
        </w:rPr>
        <w:t>aras. 4.1 and 4.2 above).</w:t>
      </w:r>
      <w:r w:rsidR="005E2298">
        <w:rPr>
          <w:lang w:val="en-GB"/>
        </w:rPr>
        <w:t xml:space="preserve"> It notes that t</w:t>
      </w:r>
      <w:r w:rsidR="00A96C30" w:rsidRPr="00CA2790">
        <w:rPr>
          <w:lang w:val="en-GB"/>
        </w:rPr>
        <w:t>he State party also re</w:t>
      </w:r>
      <w:r w:rsidR="005E2298">
        <w:rPr>
          <w:lang w:val="en-GB"/>
        </w:rPr>
        <w:t>ferred to a</w:t>
      </w:r>
      <w:r w:rsidR="00A96C30" w:rsidRPr="00CA2790">
        <w:rPr>
          <w:lang w:val="en-GB"/>
        </w:rPr>
        <w:t xml:space="preserve"> </w:t>
      </w:r>
      <w:r w:rsidR="00A96C30" w:rsidRPr="00CA2790">
        <w:rPr>
          <w:lang w:val="en-GB" w:bidi="he-IL"/>
        </w:rPr>
        <w:t>decision</w:t>
      </w:r>
      <w:r w:rsidR="00A96C30" w:rsidRPr="00CA2790">
        <w:rPr>
          <w:lang w:val="en-GB"/>
        </w:rPr>
        <w:t xml:space="preserve"> of the European Court of Human Rights </w:t>
      </w:r>
      <w:r w:rsidR="005E2298">
        <w:rPr>
          <w:lang w:val="en-GB"/>
        </w:rPr>
        <w:t>which stated</w:t>
      </w:r>
      <w:r w:rsidR="00A96C30" w:rsidRPr="00CA2790">
        <w:rPr>
          <w:lang w:val="en-GB"/>
        </w:rPr>
        <w:t xml:space="preserve"> that</w:t>
      </w:r>
      <w:r w:rsidR="005E2298">
        <w:rPr>
          <w:lang w:val="en-GB"/>
        </w:rPr>
        <w:t>,</w:t>
      </w:r>
      <w:r w:rsidR="00A96C30" w:rsidRPr="00CA2790">
        <w:rPr>
          <w:lang w:val="en-GB"/>
        </w:rPr>
        <w:t xml:space="preserve"> </w:t>
      </w:r>
      <w:r w:rsidR="005E2298">
        <w:rPr>
          <w:lang w:val="en-GB"/>
        </w:rPr>
        <w:t xml:space="preserve">although </w:t>
      </w:r>
      <w:r w:rsidR="00A96C30" w:rsidRPr="00CA2790">
        <w:rPr>
          <w:lang w:val="en-GB"/>
        </w:rPr>
        <w:t>the situation in Italy</w:t>
      </w:r>
      <w:r w:rsidR="005E2298">
        <w:rPr>
          <w:lang w:val="en-GB"/>
        </w:rPr>
        <w:t xml:space="preserve"> had</w:t>
      </w:r>
      <w:r w:rsidR="00A96C30" w:rsidRPr="00CA2790">
        <w:rPr>
          <w:lang w:val="en-GB"/>
        </w:rPr>
        <w:t xml:space="preserve"> shortcomings</w:t>
      </w:r>
      <w:r w:rsidR="005E2298">
        <w:rPr>
          <w:lang w:val="en-GB"/>
        </w:rPr>
        <w:t xml:space="preserve">, it had </w:t>
      </w:r>
      <w:r w:rsidR="00A96C30" w:rsidRPr="00CA2790">
        <w:rPr>
          <w:lang w:val="en-GB"/>
        </w:rPr>
        <w:t>not disclose</w:t>
      </w:r>
      <w:r w:rsidR="005E2298">
        <w:rPr>
          <w:lang w:val="en-GB"/>
        </w:rPr>
        <w:t>d</w:t>
      </w:r>
      <w:r w:rsidR="00A96C30" w:rsidRPr="00CA2790">
        <w:rPr>
          <w:lang w:val="en-GB"/>
        </w:rPr>
        <w:t xml:space="preserve"> a systemic failure to provide support or facilities catering for asylum seekers (</w:t>
      </w:r>
      <w:r w:rsidR="005E2298">
        <w:rPr>
          <w:lang w:val="en-GB"/>
        </w:rPr>
        <w:t xml:space="preserve">see </w:t>
      </w:r>
      <w:r w:rsidR="0074326E">
        <w:rPr>
          <w:lang w:val="en-GB"/>
        </w:rPr>
        <w:t>p</w:t>
      </w:r>
      <w:r w:rsidR="00A96C30" w:rsidRPr="00CA2790">
        <w:rPr>
          <w:lang w:val="en-GB"/>
        </w:rPr>
        <w:t>ara. 4.3</w:t>
      </w:r>
      <w:r w:rsidR="005E2298">
        <w:rPr>
          <w:lang w:val="en-GB"/>
        </w:rPr>
        <w:t xml:space="preserve"> above</w:t>
      </w:r>
      <w:r w:rsidR="00A96C30" w:rsidRPr="00CA2790">
        <w:rPr>
          <w:lang w:val="en-GB"/>
        </w:rPr>
        <w:t>).</w:t>
      </w:r>
      <w:r w:rsidR="00A96C30" w:rsidRPr="00CA2790">
        <w:rPr>
          <w:rStyle w:val="FootnoteReference"/>
          <w:lang w:val="en-GB"/>
        </w:rPr>
        <w:footnoteReference w:id="21"/>
      </w:r>
      <w:r w:rsidR="00A96C30" w:rsidRPr="00CA2790">
        <w:rPr>
          <w:lang w:val="en-GB"/>
        </w:rPr>
        <w:t xml:space="preserve"> </w:t>
      </w:r>
    </w:p>
    <w:p w14:paraId="384E44F2" w14:textId="77777777" w:rsidR="00A96C30" w:rsidRPr="00CA2790" w:rsidRDefault="00A96C30" w:rsidP="00F36885">
      <w:pPr>
        <w:pStyle w:val="SingleTxtG"/>
        <w:rPr>
          <w:lang w:val="en-GB"/>
        </w:rPr>
      </w:pPr>
      <w:r w:rsidRPr="00CA2790">
        <w:rPr>
          <w:lang w:val="en-GB"/>
        </w:rPr>
        <w:t>8.8</w:t>
      </w:r>
      <w:r w:rsidRPr="00CA2790">
        <w:rPr>
          <w:lang w:val="en-GB"/>
        </w:rPr>
        <w:tab/>
      </w:r>
      <w:r w:rsidR="005E2298">
        <w:rPr>
          <w:lang w:val="en-GB"/>
        </w:rPr>
        <w:t>However, t</w:t>
      </w:r>
      <w:r w:rsidRPr="00CA2790">
        <w:rPr>
          <w:lang w:val="en-GB"/>
        </w:rPr>
        <w:t xml:space="preserve">he Committee considers that </w:t>
      </w:r>
      <w:r w:rsidR="005E2298">
        <w:rPr>
          <w:lang w:val="en-GB"/>
        </w:rPr>
        <w:t xml:space="preserve">the State party’s </w:t>
      </w:r>
      <w:r w:rsidRPr="00CA2790">
        <w:rPr>
          <w:lang w:val="en-GB"/>
        </w:rPr>
        <w:t xml:space="preserve">conclusion did not adequately take into account the detailed information provided by the author, who </w:t>
      </w:r>
      <w:r w:rsidRPr="00CA2790">
        <w:rPr>
          <w:lang w:val="en-GB"/>
        </w:rPr>
        <w:lastRenderedPageBreak/>
        <w:t xml:space="preserve">presented extensive information based on her own </w:t>
      </w:r>
      <w:r w:rsidR="00F36885">
        <w:rPr>
          <w:lang w:val="en-GB"/>
        </w:rPr>
        <w:t xml:space="preserve">personal </w:t>
      </w:r>
      <w:r w:rsidRPr="00CA2790">
        <w:rPr>
          <w:lang w:val="en-GB"/>
        </w:rPr>
        <w:t>experience that</w:t>
      </w:r>
      <w:r w:rsidR="00F36885">
        <w:rPr>
          <w:lang w:val="en-GB"/>
        </w:rPr>
        <w:t>,</w:t>
      </w:r>
      <w:r w:rsidRPr="00CA2790">
        <w:rPr>
          <w:lang w:val="en-GB"/>
        </w:rPr>
        <w:t xml:space="preserve"> despite being granted a residence permit</w:t>
      </w:r>
      <w:r w:rsidR="00F36885">
        <w:rPr>
          <w:lang w:val="en-GB"/>
        </w:rPr>
        <w:t xml:space="preserve"> in Italy</w:t>
      </w:r>
      <w:r w:rsidRPr="00CA2790">
        <w:rPr>
          <w:lang w:val="en-GB"/>
        </w:rPr>
        <w:t xml:space="preserve">, on two occasions </w:t>
      </w:r>
      <w:r w:rsidR="00F36885">
        <w:rPr>
          <w:lang w:val="en-GB"/>
        </w:rPr>
        <w:t xml:space="preserve">she was faced </w:t>
      </w:r>
      <w:r w:rsidRPr="00CA2790">
        <w:rPr>
          <w:lang w:val="en-GB"/>
        </w:rPr>
        <w:t>with indigence and extreme precarity.</w:t>
      </w:r>
      <w:r w:rsidR="0074326E">
        <w:rPr>
          <w:lang w:val="en-GB"/>
        </w:rPr>
        <w:t xml:space="preserve"> </w:t>
      </w:r>
      <w:r w:rsidRPr="00CA2790">
        <w:rPr>
          <w:lang w:val="en-GB"/>
        </w:rPr>
        <w:t xml:space="preserve">Furthermore, the State party does not explain how the </w:t>
      </w:r>
      <w:r w:rsidR="00F36885">
        <w:rPr>
          <w:lang w:val="en-GB"/>
        </w:rPr>
        <w:t xml:space="preserve">Italian </w:t>
      </w:r>
      <w:r w:rsidRPr="00CA2790">
        <w:rPr>
          <w:lang w:val="en-GB"/>
        </w:rPr>
        <w:t>residence permit</w:t>
      </w:r>
      <w:r w:rsidR="00F36885">
        <w:rPr>
          <w:lang w:val="en-GB"/>
        </w:rPr>
        <w:t xml:space="preserve"> that the author was granted and </w:t>
      </w:r>
      <w:r w:rsidRPr="00CA2790">
        <w:rPr>
          <w:lang w:val="en-GB"/>
        </w:rPr>
        <w:t xml:space="preserve">which </w:t>
      </w:r>
      <w:r w:rsidR="00F36885">
        <w:rPr>
          <w:lang w:val="en-GB"/>
        </w:rPr>
        <w:t>w</w:t>
      </w:r>
      <w:r w:rsidRPr="00CA2790">
        <w:rPr>
          <w:lang w:val="en-GB"/>
        </w:rPr>
        <w:t>as now expired would protect her and her three minor children from hardship and destitution</w:t>
      </w:r>
      <w:r w:rsidR="00F36885">
        <w:rPr>
          <w:lang w:val="en-GB"/>
        </w:rPr>
        <w:t>, which she had</w:t>
      </w:r>
      <w:r w:rsidRPr="00CA2790">
        <w:rPr>
          <w:lang w:val="en-GB"/>
        </w:rPr>
        <w:t xml:space="preserve"> already experienced in Italy</w:t>
      </w:r>
      <w:r w:rsidR="00F36885">
        <w:rPr>
          <w:lang w:val="en-GB"/>
        </w:rPr>
        <w:t>,</w:t>
      </w:r>
      <w:r w:rsidRPr="00CA2790">
        <w:rPr>
          <w:lang w:val="en-GB"/>
        </w:rPr>
        <w:t xml:space="preserve"> if she and her children were to be returned </w:t>
      </w:r>
      <w:r w:rsidR="00F36885">
        <w:rPr>
          <w:lang w:val="en-GB"/>
        </w:rPr>
        <w:t>to</w:t>
      </w:r>
      <w:r w:rsidRPr="00CA2790">
        <w:rPr>
          <w:lang w:val="en-GB"/>
        </w:rPr>
        <w:t xml:space="preserve"> th</w:t>
      </w:r>
      <w:r w:rsidR="00F36885">
        <w:rPr>
          <w:lang w:val="en-GB"/>
        </w:rPr>
        <w:t>at</w:t>
      </w:r>
      <w:r w:rsidRPr="00CA2790">
        <w:rPr>
          <w:lang w:val="en-GB"/>
        </w:rPr>
        <w:t xml:space="preserve"> country.</w:t>
      </w:r>
    </w:p>
    <w:p w14:paraId="2DB7C025" w14:textId="77777777" w:rsidR="00E7165B" w:rsidRPr="00CA2790" w:rsidRDefault="007C11DD" w:rsidP="00C32DED">
      <w:pPr>
        <w:pStyle w:val="SingleTxtG"/>
        <w:rPr>
          <w:lang w:val="en-GB"/>
        </w:rPr>
      </w:pPr>
      <w:r w:rsidRPr="00CA2790">
        <w:rPr>
          <w:lang w:val="en-GB"/>
        </w:rPr>
        <w:t>8.9</w:t>
      </w:r>
      <w:r w:rsidRPr="00CA2790">
        <w:rPr>
          <w:lang w:val="en-GB"/>
        </w:rPr>
        <w:tab/>
        <w:t xml:space="preserve">The Committee recalls that States parties </w:t>
      </w:r>
      <w:r w:rsidR="00F36885">
        <w:rPr>
          <w:lang w:val="en-GB"/>
        </w:rPr>
        <w:t>should</w:t>
      </w:r>
      <w:r w:rsidRPr="00CA2790">
        <w:rPr>
          <w:lang w:val="en-GB"/>
        </w:rPr>
        <w:t xml:space="preserve"> give </w:t>
      </w:r>
      <w:r w:rsidRPr="00606B7C">
        <w:rPr>
          <w:lang w:val="en-GB" w:bidi="he-IL"/>
        </w:rPr>
        <w:t>sufficient weight to the real and personal risk a person might face if deported</w:t>
      </w:r>
      <w:r w:rsidRPr="00CA2790">
        <w:rPr>
          <w:rStyle w:val="FootnoteReference"/>
          <w:lang w:val="en-GB" w:bidi="he-IL"/>
        </w:rPr>
        <w:footnoteReference w:id="22"/>
      </w:r>
      <w:r w:rsidRPr="00CA2790">
        <w:rPr>
          <w:lang w:val="en-GB" w:bidi="he-IL"/>
        </w:rPr>
        <w:t xml:space="preserve"> </w:t>
      </w:r>
      <w:r w:rsidR="00F36885">
        <w:rPr>
          <w:lang w:val="en-GB" w:bidi="he-IL"/>
        </w:rPr>
        <w:t xml:space="preserve">and </w:t>
      </w:r>
      <w:r w:rsidR="00C32DED">
        <w:rPr>
          <w:lang w:val="en-GB" w:bidi="he-IL"/>
        </w:rPr>
        <w:t xml:space="preserve">considers </w:t>
      </w:r>
      <w:r w:rsidR="00F36885">
        <w:rPr>
          <w:lang w:val="en-GB" w:bidi="he-IL"/>
        </w:rPr>
        <w:t>that it</w:t>
      </w:r>
      <w:r w:rsidRPr="00CA2790">
        <w:rPr>
          <w:lang w:val="en-GB"/>
        </w:rPr>
        <w:t xml:space="preserve"> was incumbent upon the State party to undertake an individualized assessment of the risk </w:t>
      </w:r>
      <w:r w:rsidR="00F36885">
        <w:rPr>
          <w:lang w:val="en-GB"/>
        </w:rPr>
        <w:t xml:space="preserve">that </w:t>
      </w:r>
      <w:r w:rsidRPr="00CA2790">
        <w:rPr>
          <w:lang w:val="en-GB"/>
        </w:rPr>
        <w:t>the author</w:t>
      </w:r>
      <w:r w:rsidR="00F36885">
        <w:rPr>
          <w:lang w:val="en-GB"/>
        </w:rPr>
        <w:t xml:space="preserve"> would face in Italy</w:t>
      </w:r>
      <w:r w:rsidRPr="00CA2790">
        <w:rPr>
          <w:lang w:val="en-GB"/>
        </w:rPr>
        <w:t xml:space="preserve">, rather than rely on general reports and on the assumption that, </w:t>
      </w:r>
      <w:r w:rsidR="00F36885">
        <w:rPr>
          <w:lang w:val="en-GB"/>
        </w:rPr>
        <w:t>as she had</w:t>
      </w:r>
      <w:r w:rsidRPr="00CA2790">
        <w:rPr>
          <w:lang w:val="en-GB"/>
        </w:rPr>
        <w:t xml:space="preserve"> benefited from subsidiary protection in the past, she would</w:t>
      </w:r>
      <w:r w:rsidR="00F36885">
        <w:rPr>
          <w:lang w:val="en-GB"/>
        </w:rPr>
        <w:t>,</w:t>
      </w:r>
      <w:r w:rsidRPr="00CA2790">
        <w:rPr>
          <w:lang w:val="en-GB"/>
        </w:rPr>
        <w:t xml:space="preserve"> in principle</w:t>
      </w:r>
      <w:r w:rsidR="00F36885">
        <w:rPr>
          <w:lang w:val="en-GB"/>
        </w:rPr>
        <w:t>, be</w:t>
      </w:r>
      <w:r w:rsidRPr="00CA2790">
        <w:rPr>
          <w:lang w:val="en-GB"/>
        </w:rPr>
        <w:t xml:space="preserve"> entitled to work and receive social benefits</w:t>
      </w:r>
      <w:r w:rsidR="00F36885">
        <w:rPr>
          <w:lang w:val="en-GB"/>
        </w:rPr>
        <w:t xml:space="preserve"> in Italy today</w:t>
      </w:r>
      <w:r w:rsidRPr="00CA2790">
        <w:rPr>
          <w:lang w:val="en-GB"/>
        </w:rPr>
        <w:t xml:space="preserve">. The </w:t>
      </w:r>
      <w:r w:rsidR="00F36885">
        <w:rPr>
          <w:lang w:val="en-GB"/>
        </w:rPr>
        <w:t xml:space="preserve">Committee considers that the </w:t>
      </w:r>
      <w:r w:rsidRPr="00CA2790">
        <w:rPr>
          <w:lang w:val="en-GB"/>
        </w:rPr>
        <w:t>State party failed to devote sufficient analysis to the author’s personal experience and to the foreseeable consequences of forcibl</w:t>
      </w:r>
      <w:r w:rsidR="00F36885">
        <w:rPr>
          <w:lang w:val="en-GB"/>
        </w:rPr>
        <w:t>y</w:t>
      </w:r>
      <w:r w:rsidRPr="00CA2790">
        <w:rPr>
          <w:lang w:val="en-GB"/>
        </w:rPr>
        <w:t xml:space="preserve"> return</w:t>
      </w:r>
      <w:r w:rsidR="00F36885">
        <w:rPr>
          <w:lang w:val="en-GB"/>
        </w:rPr>
        <w:t>ing her</w:t>
      </w:r>
      <w:r w:rsidRPr="00CA2790">
        <w:rPr>
          <w:lang w:val="en-GB"/>
        </w:rPr>
        <w:t xml:space="preserve"> to Italy</w:t>
      </w:r>
      <w:r w:rsidR="00F36885">
        <w:rPr>
          <w:lang w:val="en-GB"/>
        </w:rPr>
        <w:t xml:space="preserve">. It </w:t>
      </w:r>
      <w:r w:rsidRPr="00CA2790">
        <w:rPr>
          <w:lang w:val="en-GB"/>
        </w:rPr>
        <w:t xml:space="preserve">has </w:t>
      </w:r>
      <w:r w:rsidR="00F36885">
        <w:rPr>
          <w:lang w:val="en-GB"/>
        </w:rPr>
        <w:t xml:space="preserve">also </w:t>
      </w:r>
      <w:r w:rsidRPr="00CA2790">
        <w:rPr>
          <w:lang w:val="en-GB"/>
        </w:rPr>
        <w:t>failed to seek</w:t>
      </w:r>
      <w:r w:rsidR="00F36885">
        <w:rPr>
          <w:lang w:val="en-GB"/>
        </w:rPr>
        <w:t xml:space="preserve"> </w:t>
      </w:r>
      <w:r w:rsidRPr="00CA2790">
        <w:rPr>
          <w:lang w:val="en-GB"/>
        </w:rPr>
        <w:t>proper assurance</w:t>
      </w:r>
      <w:r w:rsidR="00F36885">
        <w:rPr>
          <w:lang w:val="en-GB"/>
        </w:rPr>
        <w:t xml:space="preserve"> from the Italian authorities</w:t>
      </w:r>
      <w:r w:rsidRPr="00CA2790">
        <w:rPr>
          <w:lang w:val="en-GB"/>
        </w:rPr>
        <w:t xml:space="preserve"> that the author and her three minor children would be received in conditions compatible with the</w:t>
      </w:r>
      <w:r w:rsidRPr="00606B7C">
        <w:rPr>
          <w:lang w:val="en-GB" w:bidi="he-IL"/>
        </w:rPr>
        <w:t>ir status as asylum seekers entitled to temporary protection and the</w:t>
      </w:r>
      <w:r w:rsidRPr="00606B7C">
        <w:rPr>
          <w:lang w:val="en-GB"/>
        </w:rPr>
        <w:t xml:space="preserve"> </w:t>
      </w:r>
      <w:r w:rsidR="00E75F9B">
        <w:rPr>
          <w:lang w:val="en-GB"/>
        </w:rPr>
        <w:t>guarantees under</w:t>
      </w:r>
      <w:r w:rsidRPr="00606B7C">
        <w:rPr>
          <w:lang w:val="en-GB"/>
        </w:rPr>
        <w:t xml:space="preserve"> article 7 of the Covenant, by requesting </w:t>
      </w:r>
      <w:r w:rsidR="00E75F9B">
        <w:rPr>
          <w:lang w:val="en-GB"/>
        </w:rPr>
        <w:t>that</w:t>
      </w:r>
      <w:r w:rsidRPr="00606B7C">
        <w:rPr>
          <w:lang w:val="en-GB"/>
        </w:rPr>
        <w:t xml:space="preserve"> Italy </w:t>
      </w:r>
      <w:r w:rsidRPr="00CA2790">
        <w:rPr>
          <w:lang w:val="en-GB" w:bidi="he-IL"/>
        </w:rPr>
        <w:t xml:space="preserve"> undertake </w:t>
      </w:r>
      <w:r w:rsidRPr="00606B7C">
        <w:rPr>
          <w:lang w:val="en-GB"/>
        </w:rPr>
        <w:t>(</w:t>
      </w:r>
      <w:r w:rsidR="00E75F9B">
        <w:rPr>
          <w:lang w:val="en-GB"/>
        </w:rPr>
        <w:t>a</w:t>
      </w:r>
      <w:r w:rsidRPr="00606B7C">
        <w:rPr>
          <w:lang w:val="en-GB"/>
        </w:rPr>
        <w:t xml:space="preserve">) </w:t>
      </w:r>
      <w:r w:rsidR="00E75F9B">
        <w:rPr>
          <w:lang w:val="en-GB"/>
        </w:rPr>
        <w:t xml:space="preserve">to renew </w:t>
      </w:r>
      <w:r w:rsidRPr="00606B7C">
        <w:rPr>
          <w:lang w:val="en-GB"/>
        </w:rPr>
        <w:t>the author</w:t>
      </w:r>
      <w:r w:rsidR="00E75F9B">
        <w:rPr>
          <w:lang w:val="en-GB"/>
        </w:rPr>
        <w:t>’s</w:t>
      </w:r>
      <w:r w:rsidRPr="00606B7C">
        <w:rPr>
          <w:lang w:val="en-GB"/>
        </w:rPr>
        <w:t xml:space="preserve"> and her children’s residence permits</w:t>
      </w:r>
      <w:r w:rsidR="00E75F9B">
        <w:rPr>
          <w:lang w:val="en-GB"/>
        </w:rPr>
        <w:t xml:space="preserve"> and not to</w:t>
      </w:r>
      <w:r w:rsidRPr="00606B7C">
        <w:rPr>
          <w:lang w:val="en-GB" w:bidi="he-IL"/>
        </w:rPr>
        <w:t xml:space="preserve"> deport</w:t>
      </w:r>
      <w:r w:rsidR="00C32DED">
        <w:rPr>
          <w:lang w:val="en-GB" w:bidi="he-IL"/>
        </w:rPr>
        <w:t xml:space="preserve"> them</w:t>
      </w:r>
      <w:r w:rsidRPr="00606B7C">
        <w:rPr>
          <w:lang w:val="en-GB" w:bidi="he-IL"/>
        </w:rPr>
        <w:t xml:space="preserve"> from Italy</w:t>
      </w:r>
      <w:r w:rsidRPr="00606B7C">
        <w:rPr>
          <w:lang w:val="en-GB"/>
        </w:rPr>
        <w:t>; and (</w:t>
      </w:r>
      <w:r w:rsidR="00E75F9B">
        <w:rPr>
          <w:lang w:val="en-GB"/>
        </w:rPr>
        <w:t>b</w:t>
      </w:r>
      <w:r w:rsidRPr="00606B7C">
        <w:rPr>
          <w:lang w:val="en-GB"/>
        </w:rPr>
        <w:t xml:space="preserve">) </w:t>
      </w:r>
      <w:r w:rsidR="00E75F9B">
        <w:rPr>
          <w:lang w:val="en-GB"/>
        </w:rPr>
        <w:t xml:space="preserve">to </w:t>
      </w:r>
      <w:r w:rsidRPr="00606B7C">
        <w:rPr>
          <w:lang w:val="en-GB"/>
        </w:rPr>
        <w:t xml:space="preserve">receive </w:t>
      </w:r>
      <w:r w:rsidR="00E75F9B">
        <w:rPr>
          <w:lang w:val="en-GB"/>
        </w:rPr>
        <w:t xml:space="preserve">the author and her children </w:t>
      </w:r>
      <w:r w:rsidRPr="00606B7C">
        <w:rPr>
          <w:lang w:val="en-GB"/>
        </w:rPr>
        <w:t>in conditions adapted to the</w:t>
      </w:r>
      <w:r w:rsidR="00E75F9B">
        <w:rPr>
          <w:lang w:val="en-GB"/>
        </w:rPr>
        <w:t xml:space="preserve"> children’s</w:t>
      </w:r>
      <w:r w:rsidRPr="00606B7C">
        <w:rPr>
          <w:lang w:val="en-GB"/>
        </w:rPr>
        <w:t xml:space="preserve"> age</w:t>
      </w:r>
      <w:r w:rsidR="00E75F9B">
        <w:rPr>
          <w:lang w:val="en-GB"/>
        </w:rPr>
        <w:t xml:space="preserve"> </w:t>
      </w:r>
      <w:r w:rsidRPr="00606B7C">
        <w:rPr>
          <w:lang w:val="en-GB"/>
        </w:rPr>
        <w:t xml:space="preserve">and </w:t>
      </w:r>
      <w:r w:rsidR="00C32DED">
        <w:rPr>
          <w:lang w:val="en-GB"/>
        </w:rPr>
        <w:t xml:space="preserve">the family’s </w:t>
      </w:r>
      <w:r w:rsidRPr="00606B7C">
        <w:rPr>
          <w:lang w:val="en-GB"/>
        </w:rPr>
        <w:t>vulnerable status, which</w:t>
      </w:r>
      <w:r w:rsidRPr="00606B7C">
        <w:rPr>
          <w:lang w:val="en-GB" w:bidi="he-IL"/>
        </w:rPr>
        <w:t xml:space="preserve"> would enable them to remain in Italy.</w:t>
      </w:r>
    </w:p>
    <w:p w14:paraId="7D53292C" w14:textId="77777777" w:rsidR="00451E57" w:rsidRPr="00CA2790" w:rsidRDefault="00451E57" w:rsidP="00C32DED">
      <w:pPr>
        <w:pStyle w:val="SingleTxtG"/>
        <w:rPr>
          <w:lang w:val="en-GB"/>
        </w:rPr>
      </w:pPr>
      <w:r w:rsidRPr="00CA2790">
        <w:rPr>
          <w:lang w:val="en-GB"/>
        </w:rPr>
        <w:t>8.10</w:t>
      </w:r>
      <w:r w:rsidRPr="00CA2790">
        <w:rPr>
          <w:lang w:val="en-GB"/>
        </w:rPr>
        <w:tab/>
      </w:r>
      <w:r w:rsidR="0097141B">
        <w:rPr>
          <w:lang w:val="en-GB"/>
        </w:rPr>
        <w:t>Consequently</w:t>
      </w:r>
      <w:r w:rsidRPr="00CA2790">
        <w:rPr>
          <w:lang w:val="en-GB"/>
        </w:rPr>
        <w:t xml:space="preserve">, the Committee </w:t>
      </w:r>
      <w:r w:rsidR="0097141B">
        <w:rPr>
          <w:lang w:val="en-GB"/>
        </w:rPr>
        <w:t>considers</w:t>
      </w:r>
      <w:r w:rsidRPr="00CA2790">
        <w:rPr>
          <w:lang w:val="en-GB"/>
        </w:rPr>
        <w:t xml:space="preserve"> that</w:t>
      </w:r>
      <w:r w:rsidR="0097141B">
        <w:rPr>
          <w:lang w:val="en-GB"/>
        </w:rPr>
        <w:t>,</w:t>
      </w:r>
      <w:r w:rsidRPr="00CA2790">
        <w:rPr>
          <w:lang w:val="en-GB"/>
        </w:rPr>
        <w:t xml:space="preserve"> under the circumstances, remov</w:t>
      </w:r>
      <w:r w:rsidR="0097141B">
        <w:rPr>
          <w:lang w:val="en-GB"/>
        </w:rPr>
        <w:t>al of</w:t>
      </w:r>
      <w:r w:rsidRPr="00CA2790">
        <w:rPr>
          <w:lang w:val="en-GB"/>
        </w:rPr>
        <w:t xml:space="preserve"> the author</w:t>
      </w:r>
      <w:r w:rsidR="0097141B">
        <w:rPr>
          <w:lang w:val="en-GB"/>
        </w:rPr>
        <w:t xml:space="preserve"> and her three minor children</w:t>
      </w:r>
      <w:r w:rsidRPr="00CA2790">
        <w:rPr>
          <w:lang w:val="en-GB"/>
        </w:rPr>
        <w:t xml:space="preserve"> to Italy on the basis of </w:t>
      </w:r>
      <w:r w:rsidR="0097141B">
        <w:rPr>
          <w:lang w:val="en-GB"/>
        </w:rPr>
        <w:t xml:space="preserve">the </w:t>
      </w:r>
      <w:r w:rsidR="00C32DED">
        <w:rPr>
          <w:lang w:val="en-GB"/>
        </w:rPr>
        <w:t xml:space="preserve">initial </w:t>
      </w:r>
      <w:r w:rsidRPr="00CA2790">
        <w:rPr>
          <w:lang w:val="en-GB"/>
        </w:rPr>
        <w:t>decision</w:t>
      </w:r>
      <w:r w:rsidR="00C32DED">
        <w:rPr>
          <w:lang w:val="en-GB"/>
        </w:rPr>
        <w:t xml:space="preserve"> of the Danish Refugee Appeals Board</w:t>
      </w:r>
      <w:r w:rsidRPr="00CA2790">
        <w:rPr>
          <w:lang w:val="en-GB"/>
        </w:rPr>
        <w:t xml:space="preserve"> would be in violation of article 7 of the Covenant.</w:t>
      </w:r>
    </w:p>
    <w:p w14:paraId="7A5F861A" w14:textId="77777777" w:rsidR="00CC3666" w:rsidRPr="00606B7C" w:rsidRDefault="00DE3097" w:rsidP="0097141B">
      <w:pPr>
        <w:pStyle w:val="SingleTxtG"/>
        <w:rPr>
          <w:lang w:val="en-GB"/>
        </w:rPr>
      </w:pPr>
      <w:r w:rsidRPr="00CA2790">
        <w:rPr>
          <w:lang w:val="en-GB"/>
        </w:rPr>
        <w:t>9</w:t>
      </w:r>
      <w:r w:rsidR="00FE242F" w:rsidRPr="00606B7C">
        <w:rPr>
          <w:lang w:val="en-GB"/>
        </w:rPr>
        <w:t>.</w:t>
      </w:r>
      <w:r w:rsidR="00FE242F" w:rsidRPr="00606B7C">
        <w:rPr>
          <w:lang w:val="en-GB"/>
        </w:rPr>
        <w:tab/>
      </w:r>
      <w:r w:rsidR="00CC3666" w:rsidRPr="00606B7C">
        <w:rPr>
          <w:lang w:val="en-GB"/>
        </w:rPr>
        <w:t>The Human Rights Committee, acting under article 5</w:t>
      </w:r>
      <w:r w:rsidR="0097141B">
        <w:rPr>
          <w:lang w:val="en-GB"/>
        </w:rPr>
        <w:t xml:space="preserve"> (</w:t>
      </w:r>
      <w:r w:rsidR="00CC3666" w:rsidRPr="00606B7C">
        <w:rPr>
          <w:lang w:val="en-GB"/>
        </w:rPr>
        <w:t>4</w:t>
      </w:r>
      <w:r w:rsidR="0097141B">
        <w:rPr>
          <w:lang w:val="en-GB"/>
        </w:rPr>
        <w:t>)</w:t>
      </w:r>
      <w:r w:rsidR="00CC3666" w:rsidRPr="00606B7C">
        <w:rPr>
          <w:lang w:val="en-GB"/>
        </w:rPr>
        <w:t xml:space="preserve"> of the Optional Protocol to the International Covenant on Civil and Political Rights, </w:t>
      </w:r>
      <w:r w:rsidR="004B283C" w:rsidRPr="00606B7C">
        <w:rPr>
          <w:lang w:val="en-GB"/>
        </w:rPr>
        <w:t xml:space="preserve">is of the view that the </w:t>
      </w:r>
      <w:r w:rsidR="0097141B">
        <w:rPr>
          <w:lang w:val="en-GB"/>
        </w:rPr>
        <w:t xml:space="preserve">deportation of the </w:t>
      </w:r>
      <w:r w:rsidR="004B283C" w:rsidRPr="00606B7C">
        <w:rPr>
          <w:lang w:val="en-GB"/>
        </w:rPr>
        <w:t xml:space="preserve">author and her </w:t>
      </w:r>
      <w:r w:rsidR="0097141B">
        <w:rPr>
          <w:lang w:val="en-GB"/>
        </w:rPr>
        <w:t xml:space="preserve">three </w:t>
      </w:r>
      <w:r w:rsidR="004B283C" w:rsidRPr="00606B7C">
        <w:rPr>
          <w:lang w:val="en-GB"/>
        </w:rPr>
        <w:t>children</w:t>
      </w:r>
      <w:r w:rsidR="00CC3666" w:rsidRPr="00606B7C">
        <w:rPr>
          <w:lang w:val="en-GB"/>
        </w:rPr>
        <w:t xml:space="preserve"> to </w:t>
      </w:r>
      <w:r w:rsidR="004B283C" w:rsidRPr="00606B7C">
        <w:rPr>
          <w:lang w:val="en-GB"/>
        </w:rPr>
        <w:t>Italy would violate their rights under article</w:t>
      </w:r>
      <w:r w:rsidR="00CC3666" w:rsidRPr="00606B7C">
        <w:rPr>
          <w:lang w:val="en-GB"/>
        </w:rPr>
        <w:t xml:space="preserve"> 7</w:t>
      </w:r>
      <w:r w:rsidR="004B283C" w:rsidRPr="00606B7C">
        <w:rPr>
          <w:lang w:val="en-GB"/>
        </w:rPr>
        <w:t xml:space="preserve"> </w:t>
      </w:r>
      <w:r w:rsidR="00CC3666" w:rsidRPr="00606B7C">
        <w:rPr>
          <w:lang w:val="en-GB"/>
        </w:rPr>
        <w:t xml:space="preserve">of the </w:t>
      </w:r>
      <w:r w:rsidR="0097141B">
        <w:rPr>
          <w:lang w:val="en-GB"/>
        </w:rPr>
        <w:t xml:space="preserve">International </w:t>
      </w:r>
      <w:r w:rsidR="00CC3666" w:rsidRPr="00606B7C">
        <w:rPr>
          <w:lang w:val="en-GB"/>
        </w:rPr>
        <w:t>Covenant</w:t>
      </w:r>
      <w:r w:rsidR="0097141B">
        <w:rPr>
          <w:lang w:val="en-GB"/>
        </w:rPr>
        <w:t xml:space="preserve"> on Civil and Political Rights</w:t>
      </w:r>
      <w:r w:rsidR="00CC3666" w:rsidRPr="00606B7C">
        <w:rPr>
          <w:lang w:val="en-GB"/>
        </w:rPr>
        <w:t xml:space="preserve">. </w:t>
      </w:r>
    </w:p>
    <w:p w14:paraId="3DA87CDF" w14:textId="77777777" w:rsidR="00CC3666" w:rsidRPr="00606B7C" w:rsidRDefault="00CC3666" w:rsidP="00C32DED">
      <w:pPr>
        <w:pStyle w:val="SingleTxtG"/>
        <w:rPr>
          <w:lang w:val="en-GB"/>
        </w:rPr>
      </w:pPr>
      <w:r w:rsidRPr="00606B7C">
        <w:rPr>
          <w:lang w:val="en-GB"/>
        </w:rPr>
        <w:t>1</w:t>
      </w:r>
      <w:r w:rsidR="00DE3097" w:rsidRPr="00CA2790">
        <w:rPr>
          <w:lang w:val="en-GB"/>
        </w:rPr>
        <w:t>0</w:t>
      </w:r>
      <w:r w:rsidRPr="00606B7C">
        <w:rPr>
          <w:lang w:val="en-GB"/>
        </w:rPr>
        <w:t>.</w:t>
      </w:r>
      <w:r w:rsidRPr="00606B7C">
        <w:rPr>
          <w:lang w:val="en-GB"/>
        </w:rPr>
        <w:tab/>
        <w:t>In accordance with article 2</w:t>
      </w:r>
      <w:r w:rsidR="0097141B">
        <w:rPr>
          <w:lang w:val="en-GB"/>
        </w:rPr>
        <w:t xml:space="preserve"> (</w:t>
      </w:r>
      <w:r w:rsidRPr="00606B7C">
        <w:rPr>
          <w:lang w:val="en-GB"/>
        </w:rPr>
        <w:t>3</w:t>
      </w:r>
      <w:r w:rsidR="0097141B">
        <w:rPr>
          <w:lang w:val="en-GB"/>
        </w:rPr>
        <w:t>)</w:t>
      </w:r>
      <w:r w:rsidRPr="00606B7C">
        <w:rPr>
          <w:lang w:val="en-GB"/>
        </w:rPr>
        <w:t xml:space="preserve"> (a) of the Covenant, the State party is under an obligation to provide </w:t>
      </w:r>
      <w:r w:rsidR="00C32DED" w:rsidRPr="00606B7C">
        <w:rPr>
          <w:lang w:val="en-GB"/>
        </w:rPr>
        <w:t>Warda Osman Jasin</w:t>
      </w:r>
      <w:r w:rsidR="00C32DED">
        <w:rPr>
          <w:lang w:val="en-GB"/>
        </w:rPr>
        <w:t>,</w:t>
      </w:r>
      <w:r w:rsidR="00C32DED" w:rsidRPr="00606B7C">
        <w:rPr>
          <w:lang w:val="en-GB"/>
        </w:rPr>
        <w:t xml:space="preserve"> </w:t>
      </w:r>
      <w:r w:rsidRPr="00606B7C">
        <w:rPr>
          <w:lang w:val="en-GB"/>
        </w:rPr>
        <w:t xml:space="preserve">the author </w:t>
      </w:r>
      <w:r w:rsidR="00C32DED">
        <w:rPr>
          <w:lang w:val="en-GB"/>
        </w:rPr>
        <w:t xml:space="preserve">of the present communication, </w:t>
      </w:r>
      <w:r w:rsidRPr="00606B7C">
        <w:rPr>
          <w:lang w:val="en-GB"/>
        </w:rPr>
        <w:t>with an effective remedy</w:t>
      </w:r>
      <w:r w:rsidR="00DF2F5C" w:rsidRPr="00CA2790">
        <w:rPr>
          <w:lang w:val="en-GB"/>
        </w:rPr>
        <w:t>, including full reconsideration of her claim, taking into account the State party’s obligations under the Covenant</w:t>
      </w:r>
      <w:r w:rsidR="00C32DED">
        <w:rPr>
          <w:lang w:val="en-GB"/>
        </w:rPr>
        <w:t xml:space="preserve">, </w:t>
      </w:r>
      <w:r w:rsidR="00DF2F5C" w:rsidRPr="00CA2790">
        <w:rPr>
          <w:lang w:val="en-GB"/>
        </w:rPr>
        <w:t xml:space="preserve">the </w:t>
      </w:r>
      <w:r w:rsidR="00C32DED">
        <w:rPr>
          <w:lang w:val="en-GB"/>
        </w:rPr>
        <w:t xml:space="preserve">Committee’s </w:t>
      </w:r>
      <w:r w:rsidR="00DF2F5C" w:rsidRPr="00CA2790">
        <w:rPr>
          <w:lang w:val="en-GB"/>
        </w:rPr>
        <w:t>present Views</w:t>
      </w:r>
      <w:r w:rsidR="00451E57" w:rsidRPr="00606B7C">
        <w:rPr>
          <w:lang w:val="en-GB"/>
        </w:rPr>
        <w:t xml:space="preserve">, and the need </w:t>
      </w:r>
      <w:r w:rsidR="00C32DED">
        <w:rPr>
          <w:lang w:val="en-GB"/>
        </w:rPr>
        <w:t>to obtain</w:t>
      </w:r>
      <w:r w:rsidR="00451E57" w:rsidRPr="00606B7C">
        <w:rPr>
          <w:lang w:val="en-GB"/>
        </w:rPr>
        <w:t xml:space="preserve"> assurance from Italy</w:t>
      </w:r>
      <w:r w:rsidR="00C32DED">
        <w:rPr>
          <w:lang w:val="en-GB"/>
        </w:rPr>
        <w:t>,</w:t>
      </w:r>
      <w:r w:rsidR="00451E57" w:rsidRPr="00606B7C">
        <w:rPr>
          <w:lang w:val="en-GB"/>
        </w:rPr>
        <w:t xml:space="preserve"> as </w:t>
      </w:r>
      <w:r w:rsidR="00C32DED">
        <w:rPr>
          <w:lang w:val="en-GB"/>
        </w:rPr>
        <w:t>set out</w:t>
      </w:r>
      <w:r w:rsidR="00451E57" w:rsidRPr="00606B7C">
        <w:rPr>
          <w:lang w:val="en-GB"/>
        </w:rPr>
        <w:t xml:space="preserve"> in paragraph 8.9</w:t>
      </w:r>
      <w:r w:rsidR="00C32DED">
        <w:rPr>
          <w:lang w:val="en-GB"/>
        </w:rPr>
        <w:t xml:space="preserve"> above, if necessary</w:t>
      </w:r>
      <w:r w:rsidR="00DF2F5C" w:rsidRPr="00606B7C">
        <w:rPr>
          <w:lang w:val="en-GB"/>
        </w:rPr>
        <w:t xml:space="preserve">. The State party is also requested to refrain from expelling the author to Italy while her request </w:t>
      </w:r>
      <w:r w:rsidR="00C32DED">
        <w:rPr>
          <w:lang w:val="en-GB"/>
        </w:rPr>
        <w:t xml:space="preserve">for asylum </w:t>
      </w:r>
      <w:r w:rsidR="00DF2F5C" w:rsidRPr="00606B7C">
        <w:rPr>
          <w:lang w:val="en-GB"/>
        </w:rPr>
        <w:t xml:space="preserve">is </w:t>
      </w:r>
      <w:r w:rsidR="00C32DED">
        <w:rPr>
          <w:lang w:val="en-GB"/>
        </w:rPr>
        <w:t>being</w:t>
      </w:r>
      <w:r w:rsidR="00DF2F5C" w:rsidRPr="00606B7C">
        <w:rPr>
          <w:lang w:val="en-GB"/>
        </w:rPr>
        <w:t xml:space="preserve"> reconsider</w:t>
      </w:r>
      <w:r w:rsidR="00C32DED">
        <w:rPr>
          <w:lang w:val="en-GB"/>
        </w:rPr>
        <w:t>ed</w:t>
      </w:r>
      <w:r w:rsidR="004B283C" w:rsidRPr="00606B7C">
        <w:rPr>
          <w:lang w:val="en-GB"/>
        </w:rPr>
        <w:t>.</w:t>
      </w:r>
      <w:r w:rsidRPr="00606B7C">
        <w:rPr>
          <w:lang w:val="en-GB"/>
        </w:rPr>
        <w:t xml:space="preserve"> The State party is also under an obligation to avoid exposing others to similar risks </w:t>
      </w:r>
      <w:r w:rsidR="00C32DED">
        <w:rPr>
          <w:lang w:val="en-GB"/>
        </w:rPr>
        <w:t xml:space="preserve">that would constitute </w:t>
      </w:r>
      <w:r w:rsidRPr="00606B7C">
        <w:rPr>
          <w:lang w:val="en-GB"/>
        </w:rPr>
        <w:t>a violation</w:t>
      </w:r>
      <w:r w:rsidR="00C32DED">
        <w:rPr>
          <w:lang w:val="en-GB"/>
        </w:rPr>
        <w:t xml:space="preserve"> of article 7 of the International Covenant on Civil and Political Rights</w:t>
      </w:r>
      <w:r w:rsidRPr="00606B7C">
        <w:rPr>
          <w:lang w:val="en-GB"/>
        </w:rPr>
        <w:t>.</w:t>
      </w:r>
    </w:p>
    <w:p w14:paraId="03CB405F" w14:textId="77777777" w:rsidR="00CC3666" w:rsidRPr="00606B7C" w:rsidRDefault="00CC3666" w:rsidP="00246097">
      <w:pPr>
        <w:pStyle w:val="SingleTxtG"/>
        <w:rPr>
          <w:lang w:val="en-GB"/>
        </w:rPr>
      </w:pPr>
      <w:r w:rsidRPr="00606B7C">
        <w:rPr>
          <w:lang w:val="en-GB"/>
        </w:rPr>
        <w:t>1</w:t>
      </w:r>
      <w:r w:rsidR="00DE3097" w:rsidRPr="00CA2790">
        <w:rPr>
          <w:lang w:val="en-GB"/>
        </w:rPr>
        <w:t>1</w:t>
      </w:r>
      <w:r w:rsidRPr="00606B7C">
        <w:rPr>
          <w:lang w:val="en-GB"/>
        </w:rPr>
        <w:t>.</w:t>
      </w:r>
      <w:r w:rsidRPr="00606B7C">
        <w:rPr>
          <w:lang w:val="en-GB"/>
        </w:rPr>
        <w:tab/>
        <w:t xml:space="preserve">Bearing in mind that, by becoming a State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and subject to its jurisdiction the rights recognized in the Covenant, the Committee wishes to receive from the State party, within 180 days, information about the measures taken to give effect to </w:t>
      </w:r>
      <w:r w:rsidR="00C32DED">
        <w:rPr>
          <w:lang w:val="en-GB"/>
        </w:rPr>
        <w:t>the present</w:t>
      </w:r>
      <w:r w:rsidRPr="00606B7C">
        <w:rPr>
          <w:lang w:val="en-GB"/>
        </w:rPr>
        <w:t xml:space="preserve"> Views. The State party is also requested to publish the </w:t>
      </w:r>
      <w:r w:rsidR="00246097">
        <w:rPr>
          <w:lang w:val="en-GB"/>
        </w:rPr>
        <w:t>present</w:t>
      </w:r>
      <w:r w:rsidRPr="00606B7C">
        <w:rPr>
          <w:lang w:val="en-GB"/>
        </w:rPr>
        <w:t xml:space="preserve"> Views</w:t>
      </w:r>
      <w:r w:rsidR="00246097">
        <w:rPr>
          <w:lang w:val="en-GB"/>
        </w:rPr>
        <w:t xml:space="preserve"> and to have them translated into the official language of the State party and widely distributed</w:t>
      </w:r>
      <w:r w:rsidRPr="00606B7C">
        <w:rPr>
          <w:lang w:val="en-GB"/>
        </w:rPr>
        <w:t>.</w:t>
      </w:r>
    </w:p>
    <w:p w14:paraId="27712952" w14:textId="77777777" w:rsidR="007C539F" w:rsidRPr="00606B7C" w:rsidRDefault="007C539F" w:rsidP="00906E11">
      <w:pPr>
        <w:pStyle w:val="SingleTxtG"/>
        <w:spacing w:before="240" w:after="0"/>
        <w:jc w:val="center"/>
        <w:rPr>
          <w:u w:val="single"/>
          <w:lang w:val="en-GB"/>
        </w:rPr>
        <w:sectPr w:rsidR="007C539F" w:rsidRPr="00606B7C" w:rsidSect="00536C50">
          <w:headerReference w:type="even" r:id="rId11"/>
          <w:headerReference w:type="default" r:id="rId12"/>
          <w:footerReference w:type="even" r:id="rId13"/>
          <w:footerReference w:type="default" r:id="rId14"/>
          <w:footerReference w:type="first" r:id="rId15"/>
          <w:footnotePr>
            <w:numRestart w:val="eachSect"/>
          </w:footnotePr>
          <w:endnotePr>
            <w:numFmt w:val="decimal"/>
          </w:endnotePr>
          <w:pgSz w:w="11907" w:h="16840" w:code="9"/>
          <w:pgMar w:top="1701" w:right="1134" w:bottom="2268" w:left="1134" w:header="1134" w:footer="1411" w:gutter="0"/>
          <w:cols w:space="720"/>
          <w:titlePg/>
          <w:docGrid w:linePitch="272"/>
        </w:sectPr>
      </w:pPr>
    </w:p>
    <w:p w14:paraId="3B4AFA18" w14:textId="77777777" w:rsidR="007C539F" w:rsidRPr="00CA2790" w:rsidRDefault="007C539F" w:rsidP="002A7D55">
      <w:pPr>
        <w:keepNext/>
        <w:keepLines/>
        <w:tabs>
          <w:tab w:val="right" w:pos="851"/>
        </w:tabs>
        <w:spacing w:before="360" w:after="240" w:line="300" w:lineRule="exact"/>
        <w:ind w:left="1134" w:right="1134" w:hanging="1134"/>
      </w:pPr>
      <w:r w:rsidRPr="00CA2790">
        <w:rPr>
          <w:b/>
          <w:sz w:val="28"/>
        </w:rPr>
        <w:lastRenderedPageBreak/>
        <w:t>Appendix I</w:t>
      </w:r>
    </w:p>
    <w:p w14:paraId="46693340" w14:textId="77777777" w:rsidR="00906E11" w:rsidRPr="006E6A7F" w:rsidRDefault="007C539F" w:rsidP="002A7D55">
      <w:pPr>
        <w:pStyle w:val="H1G"/>
        <w:rPr>
          <w:lang w:eastAsia="en-GB"/>
        </w:rPr>
      </w:pPr>
      <w:r w:rsidRPr="000860F0">
        <w:rPr>
          <w:lang w:eastAsia="en-GB"/>
        </w:rPr>
        <w:tab/>
      </w:r>
      <w:r w:rsidRPr="000860F0">
        <w:rPr>
          <w:lang w:eastAsia="en-GB"/>
        </w:rPr>
        <w:tab/>
        <w:t>Individual opinion of Committee member</w:t>
      </w:r>
      <w:r w:rsidRPr="000860F0">
        <w:rPr>
          <w:szCs w:val="24"/>
          <w:lang w:eastAsia="de-DE"/>
        </w:rPr>
        <w:t xml:space="preserve"> </w:t>
      </w:r>
      <w:r w:rsidRPr="006E6A7F">
        <w:rPr>
          <w:lang w:eastAsia="en-GB"/>
        </w:rPr>
        <w:t>Dheerujlall Seetulsingh (dissenting)</w:t>
      </w:r>
    </w:p>
    <w:p w14:paraId="4CDFF17F" w14:textId="77777777" w:rsidR="007C539F" w:rsidRPr="00CA2790" w:rsidRDefault="007C539F" w:rsidP="002A7D55">
      <w:pPr>
        <w:pStyle w:val="SingleTxtG"/>
        <w:rPr>
          <w:lang w:eastAsia="en-GB"/>
        </w:rPr>
      </w:pPr>
      <w:r w:rsidRPr="00CA2790">
        <w:rPr>
          <w:lang w:val="en-GB" w:eastAsia="en-GB"/>
        </w:rPr>
        <w:t>1.</w:t>
      </w:r>
      <w:r w:rsidRPr="00CA2790">
        <w:rPr>
          <w:lang w:val="en-GB" w:eastAsia="en-GB"/>
        </w:rPr>
        <w:tab/>
        <w:t>However much one may sympathi</w:t>
      </w:r>
      <w:r w:rsidR="00AB38F9">
        <w:rPr>
          <w:lang w:val="en-GB" w:eastAsia="en-GB"/>
        </w:rPr>
        <w:t>z</w:t>
      </w:r>
      <w:r w:rsidRPr="00CA2790">
        <w:rPr>
          <w:lang w:val="en-GB" w:eastAsia="en-GB"/>
        </w:rPr>
        <w:t>e with the condition of the author and her three children, I do not agree with the view that there will be a likely violation by the State Party of article 7 of the Covenant</w:t>
      </w:r>
      <w:r w:rsidR="00AB38F9">
        <w:rPr>
          <w:lang w:val="en-GB" w:eastAsia="en-GB"/>
        </w:rPr>
        <w:t>,</w:t>
      </w:r>
      <w:r w:rsidRPr="00CA2790">
        <w:rPr>
          <w:lang w:val="en-GB" w:eastAsia="en-GB"/>
        </w:rPr>
        <w:t xml:space="preserve"> in this case</w:t>
      </w:r>
      <w:r w:rsidR="00AB38F9">
        <w:rPr>
          <w:lang w:val="en-GB" w:eastAsia="en-GB"/>
        </w:rPr>
        <w:t>,</w:t>
      </w:r>
      <w:r w:rsidRPr="00CA2790">
        <w:rPr>
          <w:lang w:val="en-GB" w:eastAsia="en-GB"/>
        </w:rPr>
        <w:t xml:space="preserve"> if they were to be deported to Italy (the country of first asylum).</w:t>
      </w:r>
      <w:r w:rsidR="008F38C9" w:rsidRPr="00606B7C">
        <w:rPr>
          <w:lang w:val="en-GB" w:eastAsia="en-GB"/>
        </w:rPr>
        <w:t xml:space="preserve"> </w:t>
      </w:r>
      <w:r w:rsidRPr="00CA2790">
        <w:rPr>
          <w:lang w:val="en-GB" w:eastAsia="en-GB"/>
        </w:rPr>
        <w:t>Such a finding would unduly widen the ambit of article 7 and make it applicable to the situation of thousands of poor and destitute people in the world, especially those who now want to move from the South to the North.</w:t>
      </w:r>
      <w:r w:rsidR="00B74FE0">
        <w:rPr>
          <w:lang w:val="en-GB" w:eastAsia="en-GB"/>
        </w:rPr>
        <w:t xml:space="preserve"> </w:t>
      </w:r>
      <w:r w:rsidRPr="00CA2790">
        <w:rPr>
          <w:lang w:val="en-GB" w:eastAsia="en-GB"/>
        </w:rPr>
        <w:t>There is no precedent in the jurisprudence of the Committee to support the extension of the application of article 7.</w:t>
      </w:r>
    </w:p>
    <w:p w14:paraId="46406768" w14:textId="77777777" w:rsidR="007C539F" w:rsidRPr="00CA2790" w:rsidRDefault="007C539F" w:rsidP="002A7D55">
      <w:pPr>
        <w:pStyle w:val="SingleTxtG"/>
        <w:rPr>
          <w:lang w:eastAsia="en-GB"/>
        </w:rPr>
      </w:pPr>
      <w:r w:rsidRPr="00606B7C">
        <w:rPr>
          <w:lang w:val="en-GB" w:eastAsia="en-GB"/>
        </w:rPr>
        <w:t>2.</w:t>
      </w:r>
      <w:r w:rsidRPr="00606B7C">
        <w:rPr>
          <w:lang w:val="en-GB" w:eastAsia="en-GB"/>
        </w:rPr>
        <w:tab/>
      </w:r>
      <w:r w:rsidR="004751DF" w:rsidRPr="00CA2790">
        <w:rPr>
          <w:lang w:val="en-GB" w:eastAsia="en-GB"/>
        </w:rPr>
        <w:t xml:space="preserve">The author arrived in Italy </w:t>
      </w:r>
      <w:r w:rsidR="004751DF" w:rsidRPr="002A7D55">
        <w:rPr>
          <w:lang w:val="en-GB" w:eastAsia="en-GB"/>
        </w:rPr>
        <w:t>alone from Somalia when she was pregnant in 2008. She obtained a residence permit valid until November 2011. And yet soon after 2008</w:t>
      </w:r>
      <w:r w:rsidR="00F758C1">
        <w:rPr>
          <w:lang w:val="en-GB" w:eastAsia="en-GB"/>
        </w:rPr>
        <w:t>,</w:t>
      </w:r>
      <w:r w:rsidRPr="00CA2790">
        <w:rPr>
          <w:lang w:val="en-GB" w:eastAsia="en-GB"/>
        </w:rPr>
        <w:t xml:space="preserve"> she decided to move with her daughter to the Netherlands where she again got pregnant.</w:t>
      </w:r>
      <w:r w:rsidR="00B74FE0">
        <w:rPr>
          <w:lang w:val="en-GB" w:eastAsia="en-GB"/>
        </w:rPr>
        <w:t xml:space="preserve"> </w:t>
      </w:r>
      <w:r w:rsidRPr="00CA2790">
        <w:rPr>
          <w:lang w:val="en-GB" w:eastAsia="en-GB"/>
        </w:rPr>
        <w:t>They were returned to Italy</w:t>
      </w:r>
      <w:r w:rsidR="00AB38F9">
        <w:rPr>
          <w:lang w:val="en-GB" w:eastAsia="en-GB"/>
        </w:rPr>
        <w:t>,</w:t>
      </w:r>
      <w:r w:rsidRPr="00CA2790">
        <w:rPr>
          <w:lang w:val="en-GB" w:eastAsia="en-GB"/>
        </w:rPr>
        <w:t xml:space="preserve"> where she gave birth to a second child.</w:t>
      </w:r>
      <w:r w:rsidR="008F38C9" w:rsidRPr="00CA2790">
        <w:rPr>
          <w:lang w:val="en-GB" w:eastAsia="en-GB"/>
        </w:rPr>
        <w:t> </w:t>
      </w:r>
      <w:r w:rsidRPr="00CA2790">
        <w:rPr>
          <w:lang w:val="en-GB" w:eastAsia="en-GB"/>
        </w:rPr>
        <w:t>In October 2011</w:t>
      </w:r>
      <w:r w:rsidR="00F758C1">
        <w:rPr>
          <w:lang w:val="en-GB" w:eastAsia="en-GB"/>
        </w:rPr>
        <w:t>,</w:t>
      </w:r>
      <w:r w:rsidRPr="00CA2790">
        <w:rPr>
          <w:lang w:val="en-GB" w:eastAsia="en-GB"/>
        </w:rPr>
        <w:t xml:space="preserve"> she left Italy </w:t>
      </w:r>
      <w:r w:rsidR="00AB38F9">
        <w:rPr>
          <w:lang w:val="en-GB" w:eastAsia="en-GB"/>
        </w:rPr>
        <w:t>for</w:t>
      </w:r>
      <w:r w:rsidRPr="00CA2790">
        <w:rPr>
          <w:lang w:val="en-GB" w:eastAsia="en-GB"/>
        </w:rPr>
        <w:t xml:space="preserve"> Sweden</w:t>
      </w:r>
      <w:r w:rsidR="00AB38F9">
        <w:rPr>
          <w:lang w:val="en-GB" w:eastAsia="en-GB"/>
        </w:rPr>
        <w:t>,</w:t>
      </w:r>
      <w:r w:rsidRPr="00CA2790">
        <w:rPr>
          <w:lang w:val="en-GB" w:eastAsia="en-GB"/>
        </w:rPr>
        <w:t xml:space="preserve"> which denied her asylum</w:t>
      </w:r>
      <w:r w:rsidR="00AB38F9">
        <w:rPr>
          <w:lang w:val="en-GB" w:eastAsia="en-GB"/>
        </w:rPr>
        <w:t>,</w:t>
      </w:r>
      <w:r w:rsidRPr="00CA2790">
        <w:rPr>
          <w:lang w:val="en-GB" w:eastAsia="en-GB"/>
        </w:rPr>
        <w:t xml:space="preserve"> </w:t>
      </w:r>
      <w:r w:rsidR="00AB38F9">
        <w:rPr>
          <w:lang w:val="en-GB" w:eastAsia="en-GB"/>
        </w:rPr>
        <w:t>so she went</w:t>
      </w:r>
      <w:r w:rsidRPr="00CA2790">
        <w:rPr>
          <w:lang w:val="en-GB" w:eastAsia="en-GB"/>
        </w:rPr>
        <w:t xml:space="preserve"> on to Denmark.</w:t>
      </w:r>
      <w:r w:rsidR="00B74FE0">
        <w:rPr>
          <w:lang w:val="en-GB" w:eastAsia="en-GB"/>
        </w:rPr>
        <w:t xml:space="preserve"> </w:t>
      </w:r>
      <w:r w:rsidRPr="00CA2790">
        <w:rPr>
          <w:lang w:val="en-GB" w:eastAsia="en-GB"/>
        </w:rPr>
        <w:t>She failed to renew her residence permit in Italy</w:t>
      </w:r>
      <w:r w:rsidR="00AB38F9">
        <w:rPr>
          <w:lang w:val="en-GB" w:eastAsia="en-GB"/>
        </w:rPr>
        <w:t>,</w:t>
      </w:r>
      <w:r w:rsidRPr="00CA2790">
        <w:rPr>
          <w:lang w:val="en-GB" w:eastAsia="en-GB"/>
        </w:rPr>
        <w:t xml:space="preserve"> </w:t>
      </w:r>
      <w:r w:rsidR="00AB38F9">
        <w:rPr>
          <w:lang w:val="en-GB" w:eastAsia="en-GB"/>
        </w:rPr>
        <w:t xml:space="preserve">which </w:t>
      </w:r>
      <w:r w:rsidRPr="00CA2790">
        <w:rPr>
          <w:lang w:val="en-GB" w:eastAsia="en-GB"/>
        </w:rPr>
        <w:t>expir</w:t>
      </w:r>
      <w:r w:rsidR="00AB38F9">
        <w:rPr>
          <w:lang w:val="en-GB" w:eastAsia="en-GB"/>
        </w:rPr>
        <w:t>ed</w:t>
      </w:r>
      <w:r w:rsidRPr="00CA2790">
        <w:rPr>
          <w:lang w:val="en-GB" w:eastAsia="en-GB"/>
        </w:rPr>
        <w:t xml:space="preserve"> in November 2011, allegedly </w:t>
      </w:r>
      <w:r w:rsidR="00AB38F9">
        <w:rPr>
          <w:lang w:val="en-GB" w:eastAsia="en-GB"/>
        </w:rPr>
        <w:t>due to</w:t>
      </w:r>
      <w:r w:rsidRPr="00CA2790">
        <w:rPr>
          <w:lang w:val="en-GB" w:eastAsia="en-GB"/>
        </w:rPr>
        <w:t xml:space="preserve"> lack of means.</w:t>
      </w:r>
      <w:r w:rsidR="008F38C9" w:rsidRPr="00606B7C">
        <w:rPr>
          <w:lang w:val="en-GB" w:eastAsia="en-GB"/>
        </w:rPr>
        <w:t xml:space="preserve"> </w:t>
      </w:r>
      <w:r w:rsidRPr="00CA2790">
        <w:rPr>
          <w:lang w:val="en-GB" w:eastAsia="en-GB"/>
        </w:rPr>
        <w:t xml:space="preserve">However, she found </w:t>
      </w:r>
      <w:r w:rsidR="00AB38F9">
        <w:rPr>
          <w:lang w:val="en-GB" w:eastAsia="en-GB"/>
        </w:rPr>
        <w:t>the means to</w:t>
      </w:r>
      <w:r w:rsidRPr="00CA2790">
        <w:rPr>
          <w:lang w:val="en-GB" w:eastAsia="en-GB"/>
        </w:rPr>
        <w:t xml:space="preserve"> travel across Europe.</w:t>
      </w:r>
      <w:r w:rsidR="00B74FE0">
        <w:rPr>
          <w:lang w:val="en-GB" w:eastAsia="en-GB"/>
        </w:rPr>
        <w:t xml:space="preserve"> </w:t>
      </w:r>
      <w:r w:rsidRPr="00CA2790">
        <w:rPr>
          <w:lang w:val="en-GB" w:eastAsia="en-GB"/>
        </w:rPr>
        <w:t>In November 2013</w:t>
      </w:r>
      <w:r w:rsidR="00AB38F9">
        <w:rPr>
          <w:lang w:val="en-GB" w:eastAsia="en-GB"/>
        </w:rPr>
        <w:t>,</w:t>
      </w:r>
      <w:r w:rsidRPr="00CA2790">
        <w:rPr>
          <w:lang w:val="en-GB" w:eastAsia="en-GB"/>
        </w:rPr>
        <w:t xml:space="preserve"> the Danish Immigration Service ruled that the author </w:t>
      </w:r>
      <w:r w:rsidR="00AB38F9">
        <w:rPr>
          <w:lang w:val="en-GB" w:eastAsia="en-GB"/>
        </w:rPr>
        <w:t>sh</w:t>
      </w:r>
      <w:r w:rsidRPr="00CA2790">
        <w:rPr>
          <w:lang w:val="en-GB" w:eastAsia="en-GB"/>
        </w:rPr>
        <w:t>ould be returned to Italy.</w:t>
      </w:r>
      <w:r w:rsidR="00B74FE0">
        <w:rPr>
          <w:lang w:val="en-GB" w:eastAsia="en-GB"/>
        </w:rPr>
        <w:t xml:space="preserve"> </w:t>
      </w:r>
      <w:r w:rsidR="006443B0">
        <w:rPr>
          <w:lang w:val="en-GB" w:eastAsia="en-GB"/>
        </w:rPr>
        <w:t>Alt</w:t>
      </w:r>
      <w:r w:rsidRPr="00CA2790">
        <w:rPr>
          <w:lang w:val="en-GB" w:eastAsia="en-GB"/>
        </w:rPr>
        <w:t>hough she was in that predicament with two small children, the author gave birth to a third child in Denmark in December 2014</w:t>
      </w:r>
      <w:r w:rsidR="006443B0">
        <w:rPr>
          <w:lang w:val="en-GB" w:eastAsia="en-GB"/>
        </w:rPr>
        <w:t>. She</w:t>
      </w:r>
      <w:r w:rsidRPr="00CA2790">
        <w:rPr>
          <w:lang w:val="en-GB" w:eastAsia="en-GB"/>
        </w:rPr>
        <w:t xml:space="preserve"> </w:t>
      </w:r>
      <w:r w:rsidR="006443B0">
        <w:rPr>
          <w:lang w:val="en-GB" w:eastAsia="en-GB"/>
        </w:rPr>
        <w:t xml:space="preserve">seems to have </w:t>
      </w:r>
      <w:r w:rsidRPr="00CA2790">
        <w:rPr>
          <w:lang w:val="en-GB" w:eastAsia="en-GB"/>
        </w:rPr>
        <w:t>totally</w:t>
      </w:r>
      <w:r w:rsidR="006443B0">
        <w:rPr>
          <w:lang w:val="en-GB" w:eastAsia="en-GB"/>
        </w:rPr>
        <w:t xml:space="preserve"> ignored</w:t>
      </w:r>
      <w:r w:rsidRPr="00CA2790">
        <w:rPr>
          <w:lang w:val="en-GB" w:eastAsia="en-GB"/>
        </w:rPr>
        <w:t xml:space="preserve"> the existence and value of birth control</w:t>
      </w:r>
      <w:r w:rsidR="006443B0">
        <w:rPr>
          <w:lang w:val="en-GB" w:eastAsia="en-GB"/>
        </w:rPr>
        <w:t>,</w:t>
      </w:r>
      <w:r w:rsidRPr="00CA2790">
        <w:rPr>
          <w:lang w:val="en-GB" w:eastAsia="en-GB"/>
        </w:rPr>
        <w:t xml:space="preserve"> thereby exhibiting a certain degree of irresponsibility in her conduct and exacerbating her precarious situation and that of her small children.</w:t>
      </w:r>
    </w:p>
    <w:p w14:paraId="2FCBEB8E" w14:textId="77777777" w:rsidR="007C539F" w:rsidRPr="00CA2790" w:rsidRDefault="007C539F" w:rsidP="002A7D55">
      <w:pPr>
        <w:pStyle w:val="SingleTxtG"/>
        <w:rPr>
          <w:lang w:eastAsia="en-GB"/>
        </w:rPr>
      </w:pPr>
      <w:r w:rsidRPr="00606B7C">
        <w:rPr>
          <w:lang w:val="en-GB" w:eastAsia="en-GB"/>
        </w:rPr>
        <w:t>3.</w:t>
      </w:r>
      <w:r w:rsidRPr="00606B7C">
        <w:rPr>
          <w:lang w:val="en-GB" w:eastAsia="en-GB"/>
        </w:rPr>
        <w:tab/>
      </w:r>
      <w:r w:rsidR="006443B0">
        <w:rPr>
          <w:lang w:val="en-GB" w:eastAsia="en-GB"/>
        </w:rPr>
        <w:t xml:space="preserve">The Committee recalls (see </w:t>
      </w:r>
      <w:r w:rsidRPr="00CA2790">
        <w:rPr>
          <w:lang w:val="en-GB" w:eastAsia="en-GB"/>
        </w:rPr>
        <w:t>para</w:t>
      </w:r>
      <w:r w:rsidR="006443B0">
        <w:rPr>
          <w:lang w:val="en-GB" w:eastAsia="en-GB"/>
        </w:rPr>
        <w:t>.</w:t>
      </w:r>
      <w:r w:rsidRPr="00CA2790">
        <w:rPr>
          <w:lang w:val="en-GB" w:eastAsia="en-GB"/>
        </w:rPr>
        <w:t xml:space="preserve"> 8.3</w:t>
      </w:r>
      <w:r w:rsidR="006443B0">
        <w:rPr>
          <w:lang w:val="en-GB" w:eastAsia="en-GB"/>
        </w:rPr>
        <w:t xml:space="preserve"> of the </w:t>
      </w:r>
      <w:r w:rsidR="009310DE">
        <w:rPr>
          <w:lang w:val="en-GB" w:eastAsia="en-GB"/>
        </w:rPr>
        <w:t>Views)</w:t>
      </w:r>
      <w:r w:rsidRPr="00CA2790">
        <w:rPr>
          <w:lang w:val="en-GB" w:eastAsia="en-GB"/>
        </w:rPr>
        <w:t xml:space="preserve"> it is for the authorities of the State </w:t>
      </w:r>
      <w:r w:rsidR="006443B0">
        <w:rPr>
          <w:lang w:val="en-GB" w:eastAsia="en-GB"/>
        </w:rPr>
        <w:t>p</w:t>
      </w:r>
      <w:r w:rsidRPr="00CA2790">
        <w:rPr>
          <w:lang w:val="en-GB" w:eastAsia="en-GB"/>
        </w:rPr>
        <w:t xml:space="preserve">arty to assess the risk </w:t>
      </w:r>
      <w:r w:rsidR="006443B0">
        <w:rPr>
          <w:lang w:val="en-GB" w:eastAsia="en-GB"/>
        </w:rPr>
        <w:t>that</w:t>
      </w:r>
      <w:r w:rsidRPr="00CA2790">
        <w:rPr>
          <w:lang w:val="en-GB" w:eastAsia="en-GB"/>
        </w:rPr>
        <w:t xml:space="preserve"> the author </w:t>
      </w:r>
      <w:r w:rsidR="006443B0">
        <w:rPr>
          <w:lang w:val="en-GB" w:eastAsia="en-GB"/>
        </w:rPr>
        <w:t xml:space="preserve">would </w:t>
      </w:r>
      <w:r w:rsidRPr="00CA2790">
        <w:rPr>
          <w:lang w:val="en-GB" w:eastAsia="en-GB"/>
        </w:rPr>
        <w:t>face if deported to the country of first asylum.</w:t>
      </w:r>
      <w:r w:rsidR="00B74FE0">
        <w:rPr>
          <w:lang w:val="en-GB" w:eastAsia="en-GB"/>
        </w:rPr>
        <w:t xml:space="preserve"> </w:t>
      </w:r>
      <w:r w:rsidR="006443B0">
        <w:rPr>
          <w:lang w:val="en-GB" w:eastAsia="en-GB"/>
        </w:rPr>
        <w:t xml:space="preserve">The </w:t>
      </w:r>
      <w:r w:rsidRPr="00CA2790">
        <w:rPr>
          <w:lang w:val="en-GB" w:eastAsia="en-GB"/>
        </w:rPr>
        <w:t>decision</w:t>
      </w:r>
      <w:r w:rsidR="006443B0">
        <w:rPr>
          <w:lang w:val="en-GB" w:eastAsia="en-GB"/>
        </w:rPr>
        <w:t xml:space="preserve"> taken</w:t>
      </w:r>
      <w:r w:rsidRPr="00CA2790">
        <w:rPr>
          <w:lang w:val="en-GB" w:eastAsia="en-GB"/>
        </w:rPr>
        <w:t xml:space="preserve"> was subject to appeal </w:t>
      </w:r>
      <w:r w:rsidR="006443B0">
        <w:rPr>
          <w:lang w:val="en-GB" w:eastAsia="en-GB"/>
        </w:rPr>
        <w:t>before</w:t>
      </w:r>
      <w:r w:rsidRPr="00CA2790">
        <w:rPr>
          <w:lang w:val="en-GB" w:eastAsia="en-GB"/>
        </w:rPr>
        <w:t xml:space="preserve"> the Danish Refugee Appeals Board</w:t>
      </w:r>
      <w:r w:rsidR="006443B0">
        <w:rPr>
          <w:lang w:val="en-GB" w:eastAsia="en-GB"/>
        </w:rPr>
        <w:t>, which was</w:t>
      </w:r>
      <w:r w:rsidRPr="00CA2790">
        <w:rPr>
          <w:lang w:val="en-GB" w:eastAsia="en-GB"/>
        </w:rPr>
        <w:t xml:space="preserve"> presided over by a judge.</w:t>
      </w:r>
      <w:r w:rsidR="00B74FE0">
        <w:rPr>
          <w:lang w:val="en-GB" w:eastAsia="en-GB"/>
        </w:rPr>
        <w:t xml:space="preserve"> </w:t>
      </w:r>
      <w:r w:rsidRPr="00CA2790">
        <w:rPr>
          <w:lang w:val="en-GB" w:eastAsia="en-GB"/>
        </w:rPr>
        <w:t xml:space="preserve">The sovereign appreciation of facts must be left to the State </w:t>
      </w:r>
      <w:r w:rsidR="006443B0">
        <w:rPr>
          <w:lang w:val="en-GB" w:eastAsia="en-GB"/>
        </w:rPr>
        <w:t>p</w:t>
      </w:r>
      <w:r w:rsidRPr="00CA2790">
        <w:rPr>
          <w:lang w:val="en-GB" w:eastAsia="en-GB"/>
        </w:rPr>
        <w:t>arty</w:t>
      </w:r>
      <w:r w:rsidR="006443B0">
        <w:rPr>
          <w:lang w:val="en-GB" w:eastAsia="en-GB"/>
        </w:rPr>
        <w:t>,</w:t>
      </w:r>
      <w:r w:rsidRPr="00CA2790">
        <w:rPr>
          <w:lang w:val="en-GB" w:eastAsia="en-GB"/>
        </w:rPr>
        <w:t xml:space="preserve"> unless there is a manifest error of judgment or an error of law or a misapplication of the law or </w:t>
      </w:r>
      <w:r w:rsidR="006443B0">
        <w:rPr>
          <w:lang w:val="en-GB" w:eastAsia="en-GB"/>
        </w:rPr>
        <w:t xml:space="preserve">of </w:t>
      </w:r>
      <w:r w:rsidRPr="00CA2790">
        <w:rPr>
          <w:lang w:val="en-GB" w:eastAsia="en-GB"/>
        </w:rPr>
        <w:t>the provisions of the Covenant to the facts.</w:t>
      </w:r>
      <w:r w:rsidR="00B74FE0">
        <w:rPr>
          <w:lang w:val="en-GB" w:eastAsia="en-GB"/>
        </w:rPr>
        <w:t xml:space="preserve"> </w:t>
      </w:r>
      <w:r w:rsidRPr="00CA2790">
        <w:rPr>
          <w:lang w:val="en-GB" w:eastAsia="en-GB"/>
        </w:rPr>
        <w:t>Such is not the case here.</w:t>
      </w:r>
      <w:r w:rsidR="008F38C9" w:rsidRPr="00606B7C">
        <w:rPr>
          <w:lang w:val="en-GB" w:eastAsia="en-GB"/>
        </w:rPr>
        <w:t xml:space="preserve"> </w:t>
      </w:r>
      <w:r w:rsidRPr="00CA2790">
        <w:rPr>
          <w:lang w:val="en-GB" w:eastAsia="en-GB"/>
        </w:rPr>
        <w:t xml:space="preserve">Since all the facts were taken into account by the </w:t>
      </w:r>
      <w:r w:rsidR="006443B0">
        <w:rPr>
          <w:lang w:val="en-GB" w:eastAsia="en-GB"/>
        </w:rPr>
        <w:t xml:space="preserve">authorities of </w:t>
      </w:r>
      <w:r w:rsidRPr="00CA2790">
        <w:rPr>
          <w:lang w:val="en-GB" w:eastAsia="en-GB"/>
        </w:rPr>
        <w:t xml:space="preserve">State </w:t>
      </w:r>
      <w:r w:rsidR="006443B0">
        <w:rPr>
          <w:lang w:val="en-GB" w:eastAsia="en-GB"/>
        </w:rPr>
        <w:t>p</w:t>
      </w:r>
      <w:r w:rsidRPr="00CA2790">
        <w:rPr>
          <w:lang w:val="en-GB" w:eastAsia="en-GB"/>
        </w:rPr>
        <w:t xml:space="preserve">arty’s before </w:t>
      </w:r>
      <w:r w:rsidR="006443B0">
        <w:rPr>
          <w:lang w:val="en-GB" w:eastAsia="en-GB"/>
        </w:rPr>
        <w:t>it took</w:t>
      </w:r>
      <w:r w:rsidRPr="00CA2790">
        <w:rPr>
          <w:lang w:val="en-GB" w:eastAsia="en-GB"/>
        </w:rPr>
        <w:t xml:space="preserve"> a decision, it is difficult to endorse the sweeping conclusions of the majority </w:t>
      </w:r>
      <w:r w:rsidR="006443B0">
        <w:rPr>
          <w:lang w:val="en-GB" w:eastAsia="en-GB"/>
        </w:rPr>
        <w:t xml:space="preserve">of the members of the Committee (see </w:t>
      </w:r>
      <w:r w:rsidRPr="00CA2790">
        <w:rPr>
          <w:lang w:val="en-GB" w:eastAsia="en-GB"/>
        </w:rPr>
        <w:t>para</w:t>
      </w:r>
      <w:r w:rsidR="006443B0">
        <w:rPr>
          <w:lang w:val="en-GB" w:eastAsia="en-GB"/>
        </w:rPr>
        <w:t>.</w:t>
      </w:r>
      <w:r w:rsidRPr="00CA2790">
        <w:rPr>
          <w:lang w:val="en-GB" w:eastAsia="en-GB"/>
        </w:rPr>
        <w:t xml:space="preserve"> 8.9</w:t>
      </w:r>
      <w:r w:rsidR="006443B0">
        <w:rPr>
          <w:lang w:val="en-GB" w:eastAsia="en-GB"/>
        </w:rPr>
        <w:t xml:space="preserve"> of the </w:t>
      </w:r>
      <w:r w:rsidR="009310DE">
        <w:rPr>
          <w:lang w:val="en-GB" w:eastAsia="en-GB"/>
        </w:rPr>
        <w:t>Views)</w:t>
      </w:r>
      <w:r w:rsidRPr="00CA2790">
        <w:rPr>
          <w:lang w:val="en-GB" w:eastAsia="en-GB"/>
        </w:rPr>
        <w:t xml:space="preserve"> that the State </w:t>
      </w:r>
      <w:r w:rsidR="009310DE">
        <w:rPr>
          <w:lang w:val="en-GB" w:eastAsia="en-GB"/>
        </w:rPr>
        <w:t>p</w:t>
      </w:r>
      <w:r w:rsidRPr="00CA2790">
        <w:rPr>
          <w:lang w:val="en-GB" w:eastAsia="en-GB"/>
        </w:rPr>
        <w:t xml:space="preserve">arty “failed to devote sufficient analysis to the </w:t>
      </w:r>
      <w:r w:rsidR="009310DE">
        <w:rPr>
          <w:lang w:val="en-GB" w:eastAsia="en-GB"/>
        </w:rPr>
        <w:t>author’s personal experience</w:t>
      </w:r>
      <w:r w:rsidRPr="00CA2790">
        <w:rPr>
          <w:lang w:val="en-GB" w:eastAsia="en-GB"/>
        </w:rPr>
        <w:t>”.</w:t>
      </w:r>
      <w:r w:rsidR="00B74FE0">
        <w:rPr>
          <w:lang w:val="en-GB" w:eastAsia="en-GB"/>
        </w:rPr>
        <w:t xml:space="preserve"> </w:t>
      </w:r>
      <w:r w:rsidRPr="00CA2790">
        <w:rPr>
          <w:lang w:val="en-GB" w:eastAsia="en-GB"/>
        </w:rPr>
        <w:t xml:space="preserve">The </w:t>
      </w:r>
      <w:r w:rsidR="009310DE">
        <w:rPr>
          <w:lang w:val="en-GB" w:eastAsia="en-GB"/>
        </w:rPr>
        <w:t>Appeals Board</w:t>
      </w:r>
      <w:r w:rsidRPr="00CA2790">
        <w:rPr>
          <w:lang w:val="en-GB" w:eastAsia="en-GB"/>
        </w:rPr>
        <w:t xml:space="preserve"> did </w:t>
      </w:r>
      <w:r w:rsidR="009310DE">
        <w:rPr>
          <w:lang w:val="en-GB" w:eastAsia="en-GB"/>
        </w:rPr>
        <w:t xml:space="preserve">take into account </w:t>
      </w:r>
      <w:r w:rsidRPr="00CA2790">
        <w:rPr>
          <w:lang w:val="en-GB" w:eastAsia="en-GB"/>
        </w:rPr>
        <w:t>that conditions w</w:t>
      </w:r>
      <w:r w:rsidR="009310DE">
        <w:rPr>
          <w:lang w:val="en-GB" w:eastAsia="en-GB"/>
        </w:rPr>
        <w:t>ould be</w:t>
      </w:r>
      <w:r w:rsidRPr="00CA2790">
        <w:rPr>
          <w:lang w:val="en-GB" w:eastAsia="en-GB"/>
        </w:rPr>
        <w:t xml:space="preserve"> difficult for the author </w:t>
      </w:r>
      <w:r w:rsidR="009310DE">
        <w:rPr>
          <w:lang w:val="en-GB" w:eastAsia="en-GB"/>
        </w:rPr>
        <w:t xml:space="preserve">in Italy, </w:t>
      </w:r>
      <w:r w:rsidRPr="00CA2790">
        <w:rPr>
          <w:lang w:val="en-GB" w:eastAsia="en-GB"/>
        </w:rPr>
        <w:t xml:space="preserve">but effectively concluded that there were no substantial grounds to lead to the conclusion that </w:t>
      </w:r>
      <w:r w:rsidR="009310DE">
        <w:rPr>
          <w:lang w:val="en-GB" w:eastAsia="en-GB"/>
        </w:rPr>
        <w:t>she</w:t>
      </w:r>
      <w:r w:rsidRPr="00CA2790">
        <w:rPr>
          <w:lang w:val="en-GB" w:eastAsia="en-GB"/>
        </w:rPr>
        <w:t xml:space="preserve"> would suffer </w:t>
      </w:r>
      <w:r w:rsidR="009310DE">
        <w:rPr>
          <w:lang w:val="en-GB" w:eastAsia="en-GB"/>
        </w:rPr>
        <w:t>“</w:t>
      </w:r>
      <w:r w:rsidRPr="00CA2790">
        <w:rPr>
          <w:lang w:val="en-GB" w:eastAsia="en-GB"/>
        </w:rPr>
        <w:t>irreparable harm</w:t>
      </w:r>
      <w:r w:rsidR="009310DE">
        <w:rPr>
          <w:lang w:val="en-GB" w:eastAsia="en-GB"/>
        </w:rPr>
        <w:t>”</w:t>
      </w:r>
      <w:r w:rsidRPr="00CA2790">
        <w:rPr>
          <w:lang w:val="en-GB" w:eastAsia="en-GB"/>
        </w:rPr>
        <w:t xml:space="preserve"> if deported.</w:t>
      </w:r>
      <w:r w:rsidR="008F38C9" w:rsidRPr="00CA2790">
        <w:rPr>
          <w:lang w:val="en-GB" w:eastAsia="en-GB"/>
        </w:rPr>
        <w:t> </w:t>
      </w:r>
      <w:r w:rsidRPr="00CA2790">
        <w:rPr>
          <w:lang w:val="en-GB" w:eastAsia="en-GB"/>
        </w:rPr>
        <w:t>Th</w:t>
      </w:r>
      <w:r w:rsidR="009310DE">
        <w:rPr>
          <w:lang w:val="en-GB" w:eastAsia="en-GB"/>
        </w:rPr>
        <w:t>at</w:t>
      </w:r>
      <w:r w:rsidRPr="00CA2790">
        <w:rPr>
          <w:lang w:val="en-GB" w:eastAsia="en-GB"/>
        </w:rPr>
        <w:t xml:space="preserve"> issue </w:t>
      </w:r>
      <w:r w:rsidR="009310DE">
        <w:rPr>
          <w:lang w:val="en-GB" w:eastAsia="en-GB"/>
        </w:rPr>
        <w:t xml:space="preserve">was </w:t>
      </w:r>
      <w:r w:rsidRPr="00CA2790">
        <w:rPr>
          <w:lang w:val="en-GB" w:eastAsia="en-GB"/>
        </w:rPr>
        <w:t>therefore adequately addressed.</w:t>
      </w:r>
    </w:p>
    <w:p w14:paraId="3D187A35" w14:textId="77777777" w:rsidR="007C539F" w:rsidRPr="00CA2790" w:rsidRDefault="007C539F" w:rsidP="002A7D55">
      <w:pPr>
        <w:pStyle w:val="SingleTxtG"/>
        <w:rPr>
          <w:lang w:eastAsia="en-GB"/>
        </w:rPr>
      </w:pPr>
      <w:r w:rsidRPr="00606B7C">
        <w:rPr>
          <w:lang w:val="en-GB" w:eastAsia="en-GB"/>
        </w:rPr>
        <w:t>4.</w:t>
      </w:r>
      <w:r w:rsidRPr="00606B7C">
        <w:rPr>
          <w:lang w:val="en-GB" w:eastAsia="en-GB"/>
        </w:rPr>
        <w:tab/>
      </w:r>
      <w:r w:rsidRPr="00CA2790">
        <w:rPr>
          <w:lang w:val="en-GB" w:eastAsia="en-GB"/>
        </w:rPr>
        <w:t xml:space="preserve">The fact that living conditions </w:t>
      </w:r>
      <w:r w:rsidR="009310DE">
        <w:rPr>
          <w:lang w:val="en-GB" w:eastAsia="en-GB"/>
        </w:rPr>
        <w:t>are</w:t>
      </w:r>
      <w:r w:rsidRPr="00CA2790">
        <w:rPr>
          <w:lang w:val="en-GB" w:eastAsia="en-GB"/>
        </w:rPr>
        <w:t xml:space="preserve"> better in Denmark than in Italy is not sufficient ground to conclude that the author would be subjected to inhuman and degrading treatment if deported to the country of first asylum.</w:t>
      </w:r>
      <w:r w:rsidR="00B74FE0">
        <w:rPr>
          <w:lang w:val="en-GB" w:eastAsia="en-GB"/>
        </w:rPr>
        <w:t xml:space="preserve"> </w:t>
      </w:r>
      <w:r w:rsidRPr="00CA2790">
        <w:rPr>
          <w:lang w:val="en-GB" w:eastAsia="en-GB"/>
        </w:rPr>
        <w:t>Nor is there any reason to believe that she would be compelled to return to her country of origin (Somalia)</w:t>
      </w:r>
      <w:r w:rsidR="009310DE">
        <w:rPr>
          <w:lang w:val="en-GB" w:eastAsia="en-GB"/>
        </w:rPr>
        <w:t xml:space="preserve"> </w:t>
      </w:r>
      <w:r w:rsidR="009310DE" w:rsidRPr="00CA2790">
        <w:rPr>
          <w:lang w:val="en-GB" w:eastAsia="en-GB"/>
        </w:rPr>
        <w:t>because of harsh living conditions in Italy</w:t>
      </w:r>
      <w:r w:rsidRPr="00CA2790">
        <w:rPr>
          <w:lang w:val="en-GB" w:eastAsia="en-GB"/>
        </w:rPr>
        <w:t xml:space="preserve"> or that Italy would deport her to her country of origin</w:t>
      </w:r>
      <w:r w:rsidR="009310DE">
        <w:rPr>
          <w:lang w:val="en-GB" w:eastAsia="en-GB"/>
        </w:rPr>
        <w:t>,</w:t>
      </w:r>
      <w:r w:rsidRPr="00CA2790">
        <w:rPr>
          <w:lang w:val="en-GB" w:eastAsia="en-GB"/>
        </w:rPr>
        <w:t xml:space="preserve"> where allegedly she is likely to face torture</w:t>
      </w:r>
      <w:r w:rsidR="009310DE">
        <w:rPr>
          <w:lang w:val="en-GB" w:eastAsia="en-GB"/>
        </w:rPr>
        <w:t xml:space="preserve"> </w:t>
      </w:r>
      <w:r w:rsidR="00F758C1">
        <w:rPr>
          <w:lang w:val="en-GB" w:eastAsia="en-GB"/>
        </w:rPr>
        <w:t>or</w:t>
      </w:r>
      <w:r w:rsidR="009310DE">
        <w:rPr>
          <w:lang w:val="en-GB" w:eastAsia="en-GB"/>
        </w:rPr>
        <w:t xml:space="preserve"> other cruel, inhuman or degrading treatment</w:t>
      </w:r>
      <w:r w:rsidRPr="00CA2790">
        <w:rPr>
          <w:lang w:val="en-GB" w:eastAsia="en-GB"/>
        </w:rPr>
        <w:t>.</w:t>
      </w:r>
      <w:r w:rsidR="00B74FE0">
        <w:rPr>
          <w:lang w:val="en-GB" w:eastAsia="en-GB"/>
        </w:rPr>
        <w:t xml:space="preserve"> </w:t>
      </w:r>
      <w:r w:rsidRPr="00CA2790">
        <w:rPr>
          <w:lang w:val="en-GB" w:eastAsia="en-GB"/>
        </w:rPr>
        <w:t>The latter course of action was n</w:t>
      </w:r>
      <w:r w:rsidR="009310DE">
        <w:rPr>
          <w:lang w:val="en-GB" w:eastAsia="en-GB"/>
        </w:rPr>
        <w:t>ot</w:t>
      </w:r>
      <w:r w:rsidRPr="00CA2790">
        <w:rPr>
          <w:lang w:val="en-GB" w:eastAsia="en-GB"/>
        </w:rPr>
        <w:t xml:space="preserve"> contemplated by the Italian authorities during the time </w:t>
      </w:r>
      <w:r w:rsidR="009310DE">
        <w:rPr>
          <w:lang w:val="en-GB" w:eastAsia="en-GB"/>
        </w:rPr>
        <w:t xml:space="preserve">that </w:t>
      </w:r>
      <w:r w:rsidRPr="00CA2790">
        <w:rPr>
          <w:lang w:val="en-GB" w:eastAsia="en-GB"/>
        </w:rPr>
        <w:t>she spent there between 2008 and 2011.</w:t>
      </w:r>
      <w:r w:rsidR="008F38C9" w:rsidRPr="00606B7C">
        <w:rPr>
          <w:lang w:val="en-GB" w:eastAsia="en-GB"/>
        </w:rPr>
        <w:t xml:space="preserve"> </w:t>
      </w:r>
      <w:r w:rsidRPr="00CA2790">
        <w:rPr>
          <w:lang w:val="en-GB" w:eastAsia="en-GB"/>
        </w:rPr>
        <w:t>Thus</w:t>
      </w:r>
      <w:r w:rsidR="009310DE">
        <w:rPr>
          <w:lang w:val="en-GB" w:eastAsia="en-GB"/>
        </w:rPr>
        <w:t>,</w:t>
      </w:r>
      <w:r w:rsidRPr="00CA2790">
        <w:rPr>
          <w:lang w:val="en-GB" w:eastAsia="en-GB"/>
        </w:rPr>
        <w:t xml:space="preserve"> the situation envisaged and the concern expressed in the concurring individual opinion of Messrs. Shany and Vardzelashvili do not find relevance here.</w:t>
      </w:r>
    </w:p>
    <w:p w14:paraId="6F151200" w14:textId="77777777" w:rsidR="007C539F" w:rsidRPr="00CA2790" w:rsidRDefault="007C539F" w:rsidP="002A7D55">
      <w:pPr>
        <w:pStyle w:val="SingleTxtG"/>
        <w:rPr>
          <w:lang w:eastAsia="en-GB"/>
        </w:rPr>
      </w:pPr>
      <w:r w:rsidRPr="00606B7C">
        <w:rPr>
          <w:lang w:val="en-GB" w:eastAsia="en-GB"/>
        </w:rPr>
        <w:t>5.</w:t>
      </w:r>
      <w:r w:rsidRPr="00606B7C">
        <w:rPr>
          <w:lang w:val="en-GB" w:eastAsia="en-GB"/>
        </w:rPr>
        <w:tab/>
      </w:r>
      <w:r w:rsidRPr="00CA2790">
        <w:rPr>
          <w:lang w:val="en-GB" w:eastAsia="en-GB"/>
        </w:rPr>
        <w:t>Finally, to presume a violation of article 7 is tantamount to introducing the concept of economic refugees within the Covenant, thus creating a dangerous precedent</w:t>
      </w:r>
      <w:r w:rsidR="009310DE">
        <w:rPr>
          <w:lang w:val="en-GB" w:eastAsia="en-GB"/>
        </w:rPr>
        <w:t>,</w:t>
      </w:r>
      <w:r w:rsidRPr="00CA2790">
        <w:rPr>
          <w:lang w:val="en-GB" w:eastAsia="en-GB"/>
        </w:rPr>
        <w:t xml:space="preserve"> whereby asylum seekers and refugees would be justified in moving from one country to another, </w:t>
      </w:r>
      <w:r w:rsidRPr="00CA2790">
        <w:rPr>
          <w:lang w:val="en-GB" w:eastAsia="en-GB"/>
        </w:rPr>
        <w:lastRenderedPageBreak/>
        <w:t>seeking better living conditions than in the country of first asylum.</w:t>
      </w:r>
      <w:r w:rsidR="00B74FE0">
        <w:rPr>
          <w:lang w:val="en-GB" w:eastAsia="en-GB"/>
        </w:rPr>
        <w:t xml:space="preserve"> </w:t>
      </w:r>
      <w:r w:rsidRPr="00CA2790">
        <w:rPr>
          <w:lang w:val="en-GB" w:eastAsia="en-GB"/>
        </w:rPr>
        <w:t>Subsidiary protection may vary from country to country depending on the economic resources available in each country.</w:t>
      </w:r>
      <w:r w:rsidR="008F38C9" w:rsidRPr="00606B7C">
        <w:rPr>
          <w:lang w:val="en-GB" w:eastAsia="en-GB"/>
        </w:rPr>
        <w:t xml:space="preserve"> </w:t>
      </w:r>
      <w:r w:rsidRPr="00CA2790">
        <w:rPr>
          <w:lang w:val="en-GB" w:eastAsia="en-GB"/>
        </w:rPr>
        <w:t>The decisions of the European Court of Human Rights, relied upon by the author, are not on all fours with the author’s case.</w:t>
      </w:r>
    </w:p>
    <w:p w14:paraId="16608689" w14:textId="77777777" w:rsidR="007C539F" w:rsidRPr="00CA2790" w:rsidRDefault="007C539F" w:rsidP="002A7D55">
      <w:pPr>
        <w:pStyle w:val="SingleTxtG"/>
        <w:rPr>
          <w:lang w:eastAsia="en-GB"/>
        </w:rPr>
      </w:pPr>
      <w:r w:rsidRPr="00606B7C">
        <w:rPr>
          <w:lang w:val="en-GB" w:eastAsia="en-GB"/>
        </w:rPr>
        <w:t>6.</w:t>
      </w:r>
      <w:r w:rsidRPr="00606B7C">
        <w:rPr>
          <w:lang w:val="en-GB" w:eastAsia="en-GB"/>
        </w:rPr>
        <w:tab/>
      </w:r>
      <w:r w:rsidRPr="00CA2790">
        <w:rPr>
          <w:lang w:val="en-GB" w:eastAsia="en-GB"/>
        </w:rPr>
        <w:t xml:space="preserve">Concerning the particular situation of the author, the State </w:t>
      </w:r>
      <w:r w:rsidR="009310DE">
        <w:rPr>
          <w:lang w:val="en-GB" w:eastAsia="en-GB"/>
        </w:rPr>
        <w:t>p</w:t>
      </w:r>
      <w:r w:rsidRPr="00CA2790">
        <w:rPr>
          <w:lang w:val="en-GB" w:eastAsia="en-GB"/>
        </w:rPr>
        <w:t xml:space="preserve">arty has the sole discretion in taking a final decision, </w:t>
      </w:r>
      <w:r w:rsidR="00273523">
        <w:rPr>
          <w:lang w:val="en-GB" w:eastAsia="en-GB"/>
        </w:rPr>
        <w:t>al</w:t>
      </w:r>
      <w:r w:rsidRPr="00CA2790">
        <w:rPr>
          <w:lang w:val="en-GB" w:eastAsia="en-GB"/>
        </w:rPr>
        <w:t>though the author has been largely responsible for putting herself “in a situation of vulnerability” by bearing three children between 2008 and 2014.</w:t>
      </w:r>
    </w:p>
    <w:p w14:paraId="1015E50D" w14:textId="77777777" w:rsidR="007C539F" w:rsidRPr="00606B7C" w:rsidRDefault="007C539F">
      <w:pPr>
        <w:pStyle w:val="SingleTxtG"/>
        <w:rPr>
          <w:lang w:val="en-GB" w:eastAsia="en-GB"/>
        </w:rPr>
      </w:pPr>
      <w:r w:rsidRPr="00606B7C">
        <w:rPr>
          <w:lang w:val="en-GB" w:eastAsia="en-GB"/>
        </w:rPr>
        <w:t>7.</w:t>
      </w:r>
      <w:r w:rsidRPr="00606B7C">
        <w:rPr>
          <w:lang w:val="en-GB" w:eastAsia="en-GB"/>
        </w:rPr>
        <w:tab/>
      </w:r>
      <w:r w:rsidR="00273523">
        <w:rPr>
          <w:lang w:val="en-GB" w:eastAsia="en-GB"/>
        </w:rPr>
        <w:t>While</w:t>
      </w:r>
      <w:r w:rsidRPr="00606B7C">
        <w:rPr>
          <w:lang w:val="en-GB" w:eastAsia="en-GB"/>
        </w:rPr>
        <w:t xml:space="preserve"> the Covenant should be considered as a living instrument </w:t>
      </w:r>
      <w:r w:rsidR="00273523">
        <w:rPr>
          <w:lang w:val="en-GB" w:eastAsia="en-GB"/>
        </w:rPr>
        <w:t>that can</w:t>
      </w:r>
      <w:r w:rsidRPr="00606B7C">
        <w:rPr>
          <w:lang w:val="en-GB" w:eastAsia="en-GB"/>
        </w:rPr>
        <w:t xml:space="preserve"> cater </w:t>
      </w:r>
      <w:r w:rsidR="004A00E2">
        <w:rPr>
          <w:lang w:val="en-GB" w:eastAsia="en-GB"/>
        </w:rPr>
        <w:t>to</w:t>
      </w:r>
      <w:r w:rsidRPr="00606B7C">
        <w:rPr>
          <w:lang w:val="en-GB" w:eastAsia="en-GB"/>
        </w:rPr>
        <w:t xml:space="preserve"> new situations which may arise some </w:t>
      </w:r>
      <w:r w:rsidR="00273523">
        <w:rPr>
          <w:lang w:val="en-GB" w:eastAsia="en-GB"/>
        </w:rPr>
        <w:t>50</w:t>
      </w:r>
      <w:r w:rsidRPr="00606B7C">
        <w:rPr>
          <w:lang w:val="en-GB" w:eastAsia="en-GB"/>
        </w:rPr>
        <w:t xml:space="preserve"> years after it came into being, there is certainly a risk in extending the scope of article 7 to the situation described in the present case</w:t>
      </w:r>
      <w:r w:rsidR="00273523">
        <w:rPr>
          <w:lang w:val="en-GB" w:eastAsia="en-GB"/>
        </w:rPr>
        <w:t xml:space="preserve">, as it </w:t>
      </w:r>
      <w:r w:rsidRPr="00606B7C">
        <w:rPr>
          <w:lang w:val="en-GB" w:eastAsia="en-GB"/>
        </w:rPr>
        <w:t>may result in dire consequences and create innumerable problems</w:t>
      </w:r>
      <w:r w:rsidR="00273523">
        <w:rPr>
          <w:lang w:val="en-GB" w:eastAsia="en-GB"/>
        </w:rPr>
        <w:t>,</w:t>
      </w:r>
      <w:r w:rsidRPr="00606B7C">
        <w:rPr>
          <w:lang w:val="en-GB" w:eastAsia="en-GB"/>
        </w:rPr>
        <w:t xml:space="preserve"> </w:t>
      </w:r>
      <w:r w:rsidR="00273523">
        <w:rPr>
          <w:lang w:val="en-GB" w:eastAsia="en-GB"/>
        </w:rPr>
        <w:t xml:space="preserve">for </w:t>
      </w:r>
      <w:r w:rsidRPr="00606B7C">
        <w:rPr>
          <w:lang w:val="en-GB" w:eastAsia="en-GB"/>
        </w:rPr>
        <w:t xml:space="preserve">which </w:t>
      </w:r>
      <w:r w:rsidR="00273523">
        <w:rPr>
          <w:lang w:val="en-GB" w:eastAsia="en-GB"/>
        </w:rPr>
        <w:t xml:space="preserve">a solution is </w:t>
      </w:r>
      <w:r w:rsidRPr="00606B7C">
        <w:rPr>
          <w:lang w:val="en-GB" w:eastAsia="en-GB"/>
        </w:rPr>
        <w:t xml:space="preserve">not </w:t>
      </w:r>
      <w:r w:rsidR="00273523">
        <w:rPr>
          <w:lang w:val="en-GB" w:eastAsia="en-GB"/>
        </w:rPr>
        <w:t>within the ambit of</w:t>
      </w:r>
      <w:r w:rsidRPr="00606B7C">
        <w:rPr>
          <w:lang w:val="en-GB" w:eastAsia="en-GB"/>
        </w:rPr>
        <w:t xml:space="preserve"> th</w:t>
      </w:r>
      <w:r w:rsidR="00273523">
        <w:rPr>
          <w:lang w:val="en-GB" w:eastAsia="en-GB"/>
        </w:rPr>
        <w:t>e</w:t>
      </w:r>
      <w:r w:rsidRPr="00606B7C">
        <w:rPr>
          <w:lang w:val="en-GB" w:eastAsia="en-GB"/>
        </w:rPr>
        <w:t xml:space="preserve"> Covenant.</w:t>
      </w:r>
    </w:p>
    <w:p w14:paraId="3300EECD" w14:textId="77777777" w:rsidR="00A27EC3" w:rsidRPr="00606B7C" w:rsidRDefault="00A27EC3" w:rsidP="007C539F">
      <w:pPr>
        <w:pStyle w:val="SingleTxtG"/>
        <w:rPr>
          <w:lang w:val="en-GB" w:eastAsia="en-GB"/>
        </w:rPr>
        <w:sectPr w:rsidR="00A27EC3" w:rsidRPr="00606B7C" w:rsidSect="007C539F">
          <w:footnotePr>
            <w:numFmt w:val="lowerLetter"/>
            <w:numRestart w:val="eachSect"/>
          </w:footnotePr>
          <w:endnotePr>
            <w:numFmt w:val="decimal"/>
          </w:endnotePr>
          <w:pgSz w:w="11907" w:h="16840" w:code="9"/>
          <w:pgMar w:top="1701" w:right="1134" w:bottom="2268" w:left="1134" w:header="1134" w:footer="1701" w:gutter="0"/>
          <w:cols w:space="720"/>
          <w:docGrid w:linePitch="272"/>
        </w:sectPr>
      </w:pPr>
    </w:p>
    <w:p w14:paraId="45D60876" w14:textId="77777777" w:rsidR="00261CA7" w:rsidRPr="00CA2790" w:rsidRDefault="00261CA7" w:rsidP="00261CA7">
      <w:pPr>
        <w:keepNext/>
        <w:keepLines/>
        <w:tabs>
          <w:tab w:val="right" w:pos="851"/>
        </w:tabs>
        <w:spacing w:before="360" w:after="240" w:line="300" w:lineRule="exact"/>
        <w:ind w:left="1134" w:right="1134" w:hanging="1134"/>
        <w:rPr>
          <w:b/>
          <w:sz w:val="28"/>
        </w:rPr>
      </w:pPr>
      <w:r w:rsidRPr="00CA2790">
        <w:rPr>
          <w:b/>
          <w:sz w:val="28"/>
        </w:rPr>
        <w:t>Appendix II</w:t>
      </w:r>
    </w:p>
    <w:p w14:paraId="3F0F767A" w14:textId="77777777" w:rsidR="007C539F" w:rsidRPr="006E6A7F" w:rsidRDefault="00261CA7" w:rsidP="002A7D55">
      <w:pPr>
        <w:pStyle w:val="H1G"/>
      </w:pPr>
      <w:r w:rsidRPr="000860F0">
        <w:rPr>
          <w:lang w:eastAsia="en-GB"/>
        </w:rPr>
        <w:tab/>
      </w:r>
      <w:r w:rsidRPr="000860F0">
        <w:rPr>
          <w:lang w:eastAsia="en-GB"/>
        </w:rPr>
        <w:tab/>
      </w:r>
      <w:r w:rsidRPr="000860F0">
        <w:t>Individual opinion of Committee members Yuval Shany and Konstantine Vardzelashvili (concurring)</w:t>
      </w:r>
    </w:p>
    <w:p w14:paraId="4F40F778" w14:textId="77777777" w:rsidR="00261CA7" w:rsidRPr="00606B7C" w:rsidRDefault="00261CA7" w:rsidP="002A7D55">
      <w:pPr>
        <w:pStyle w:val="SingleTxtG"/>
        <w:rPr>
          <w:lang w:val="en-GB" w:bidi="he-IL"/>
        </w:rPr>
      </w:pPr>
      <w:r w:rsidRPr="00606B7C">
        <w:rPr>
          <w:lang w:val="en-GB" w:bidi="he-IL"/>
        </w:rPr>
        <w:t>1.</w:t>
      </w:r>
      <w:r w:rsidRPr="00606B7C">
        <w:rPr>
          <w:lang w:val="en-GB" w:bidi="he-IL"/>
        </w:rPr>
        <w:tab/>
        <w:t xml:space="preserve">We agree that, in the circumstances of the case, deporting the author and her children to Italy without undertaking an individual assessment of their personal circumstances and without considering the need to obtain proper assurances from the Italian authorities that they will be able to access the most basic social services would violate article 7 of the Covenant. Still, we wish to clarify an aspect that was not sufficiently explained in the Committee’s Views. We believe that the Committee’s approach should have been based more explicitly on the unique status of the author and her children as asylum seekers entitled to subsidiary protection and not merely on the economic destitution </w:t>
      </w:r>
      <w:r w:rsidR="00273523">
        <w:rPr>
          <w:lang w:val="en-GB" w:bidi="he-IL"/>
        </w:rPr>
        <w:t xml:space="preserve">that she </w:t>
      </w:r>
      <w:r w:rsidRPr="00606B7C">
        <w:rPr>
          <w:lang w:val="en-GB" w:bidi="he-IL"/>
        </w:rPr>
        <w:t>ha</w:t>
      </w:r>
      <w:r w:rsidR="00273523">
        <w:rPr>
          <w:lang w:val="en-GB" w:bidi="he-IL"/>
        </w:rPr>
        <w:t>d</w:t>
      </w:r>
      <w:r w:rsidRPr="00606B7C">
        <w:rPr>
          <w:lang w:val="en-GB" w:bidi="he-IL"/>
        </w:rPr>
        <w:t xml:space="preserve"> experienced and may experience</w:t>
      </w:r>
      <w:r w:rsidR="00273523">
        <w:rPr>
          <w:lang w:val="en-GB" w:bidi="he-IL"/>
        </w:rPr>
        <w:t xml:space="preserve"> again</w:t>
      </w:r>
      <w:r w:rsidRPr="00606B7C">
        <w:rPr>
          <w:lang w:val="en-GB" w:bidi="he-IL"/>
        </w:rPr>
        <w:t xml:space="preserve"> if deported to Italy. For us, it is this unique status that gives rise to the obligation of the State party not to the deport the author and her children to Italy. </w:t>
      </w:r>
    </w:p>
    <w:p w14:paraId="0A628592" w14:textId="77777777" w:rsidR="00F63AF3" w:rsidRDefault="00F63AF3" w:rsidP="00DC190E">
      <w:pPr>
        <w:pStyle w:val="SingleTxtG"/>
        <w:rPr>
          <w:lang w:bidi="he-IL"/>
        </w:rPr>
      </w:pPr>
      <w:r w:rsidRPr="002A7D55">
        <w:rPr>
          <w:lang w:val="en-GB" w:bidi="he-IL"/>
        </w:rPr>
        <w:t>2.</w:t>
      </w:r>
      <w:r w:rsidRPr="002A7D55">
        <w:rPr>
          <w:lang w:val="en-GB" w:bidi="he-IL"/>
        </w:rPr>
        <w:tab/>
      </w:r>
      <w:r>
        <w:rPr>
          <w:lang w:bidi="he-IL"/>
        </w:rPr>
        <w:t>The status of asylum seekers entitled to subsidiary or complementary protection is specifically regulated in Executive Committee (ExCom) Conclusion No. 103(LVI)</w:t>
      </w:r>
      <w:r w:rsidR="00F758C1">
        <w:rPr>
          <w:lang w:val="en-US" w:bidi="he-IL"/>
        </w:rPr>
        <w:t xml:space="preserve"> (2005)</w:t>
      </w:r>
      <w:r>
        <w:rPr>
          <w:lang w:bidi="he-IL"/>
        </w:rPr>
        <w:t xml:space="preserve"> of the U</w:t>
      </w:r>
      <w:r w:rsidR="00F758C1">
        <w:rPr>
          <w:lang w:val="en-US" w:bidi="he-IL"/>
        </w:rPr>
        <w:t xml:space="preserve">nited </w:t>
      </w:r>
      <w:r>
        <w:rPr>
          <w:lang w:bidi="he-IL"/>
        </w:rPr>
        <w:t>N</w:t>
      </w:r>
      <w:r w:rsidR="00F758C1">
        <w:rPr>
          <w:lang w:val="en-US" w:bidi="he-IL"/>
        </w:rPr>
        <w:t>ations</w:t>
      </w:r>
      <w:r>
        <w:rPr>
          <w:lang w:bidi="he-IL"/>
        </w:rPr>
        <w:t xml:space="preserve"> High Commissioner for Refugees</w:t>
      </w:r>
      <w:r w:rsidR="00F758C1">
        <w:rPr>
          <w:lang w:val="en-US" w:bidi="he-IL"/>
        </w:rPr>
        <w:t xml:space="preserve"> (UNHCR)</w:t>
      </w:r>
      <w:r>
        <w:rPr>
          <w:rStyle w:val="FootnoteReference"/>
          <w:lang w:bidi="he-IL"/>
        </w:rPr>
        <w:footnoteReference w:id="23"/>
      </w:r>
      <w:r w:rsidRPr="002A7D55">
        <w:rPr>
          <w:lang w:val="en-GB" w:bidi="he-IL"/>
        </w:rPr>
        <w:t xml:space="preserve"> </w:t>
      </w:r>
      <w:r>
        <w:rPr>
          <w:lang w:bidi="he-IL"/>
        </w:rPr>
        <w:t>and governed, for most E</w:t>
      </w:r>
      <w:r w:rsidR="00F758C1">
        <w:rPr>
          <w:lang w:val="en-US" w:bidi="he-IL"/>
        </w:rPr>
        <w:t xml:space="preserve">uropean </w:t>
      </w:r>
      <w:r>
        <w:rPr>
          <w:lang w:bidi="he-IL"/>
        </w:rPr>
        <w:t>U</w:t>
      </w:r>
      <w:r w:rsidR="00F758C1">
        <w:rPr>
          <w:lang w:val="en-US" w:bidi="he-IL"/>
        </w:rPr>
        <w:t>nion</w:t>
      </w:r>
      <w:r>
        <w:rPr>
          <w:lang w:bidi="he-IL"/>
        </w:rPr>
        <w:t xml:space="preserve"> member </w:t>
      </w:r>
      <w:r w:rsidR="00F758C1">
        <w:rPr>
          <w:lang w:val="en-US" w:bidi="he-IL"/>
        </w:rPr>
        <w:t>S</w:t>
      </w:r>
      <w:r>
        <w:rPr>
          <w:lang w:bidi="he-IL"/>
        </w:rPr>
        <w:t>tates, including Italy, by the system of allocation of responsibilities introduced by Council Regulation</w:t>
      </w:r>
      <w:r w:rsidR="00DC190E">
        <w:rPr>
          <w:lang w:val="en-US" w:bidi="he-IL"/>
        </w:rPr>
        <w:t xml:space="preserve"> (EC) No.</w:t>
      </w:r>
      <w:r>
        <w:rPr>
          <w:lang w:bidi="he-IL"/>
        </w:rPr>
        <w:t xml:space="preserve"> 343/2003 (Dublin II Regulation) as amended by Council Regulation </w:t>
      </w:r>
      <w:r w:rsidR="00DC190E">
        <w:rPr>
          <w:lang w:val="en-US" w:bidi="he-IL"/>
        </w:rPr>
        <w:t xml:space="preserve">(EC) No. </w:t>
      </w:r>
      <w:r>
        <w:rPr>
          <w:lang w:bidi="he-IL"/>
        </w:rPr>
        <w:t>604/2013 (Dublin III Regulation).</w:t>
      </w:r>
      <w:r>
        <w:rPr>
          <w:rStyle w:val="FootnoteReference"/>
          <w:lang w:bidi="he-IL"/>
        </w:rPr>
        <w:footnoteReference w:id="24"/>
      </w:r>
      <w:r>
        <w:rPr>
          <w:lang w:bidi="he-IL"/>
        </w:rPr>
        <w:t xml:space="preserve"> According to these instruments, persons entitled to subsidiary protection must not be returned to their countries of origin or to ‘unsafe’ third countries (</w:t>
      </w:r>
      <w:r w:rsidRPr="00E45BF0">
        <w:rPr>
          <w:i/>
          <w:lang w:bidi="he-IL"/>
        </w:rPr>
        <w:t>non-refoulement</w:t>
      </w:r>
      <w:r>
        <w:rPr>
          <w:lang w:bidi="he-IL"/>
        </w:rPr>
        <w:t>);</w:t>
      </w:r>
      <w:r>
        <w:rPr>
          <w:rStyle w:val="FootnoteReference"/>
          <w:lang w:bidi="he-IL"/>
        </w:rPr>
        <w:footnoteReference w:id="25"/>
      </w:r>
      <w:r>
        <w:rPr>
          <w:lang w:bidi="he-IL"/>
        </w:rPr>
        <w:t xml:space="preserve"> and according to the relevant UNHCR interpretative guidelines</w:t>
      </w:r>
      <w:r>
        <w:rPr>
          <w:rStyle w:val="FootnoteReference"/>
          <w:lang w:bidi="he-IL"/>
        </w:rPr>
        <w:footnoteReference w:id="26"/>
      </w:r>
      <w:r>
        <w:rPr>
          <w:lang w:bidi="he-IL"/>
        </w:rPr>
        <w:t xml:space="preserve"> and Council </w:t>
      </w:r>
      <w:r w:rsidR="00DC190E">
        <w:rPr>
          <w:lang w:val="en-US" w:bidi="he-IL"/>
        </w:rPr>
        <w:t>d</w:t>
      </w:r>
      <w:r>
        <w:rPr>
          <w:lang w:bidi="he-IL"/>
        </w:rPr>
        <w:t>irectives</w:t>
      </w:r>
      <w:r w:rsidR="00DC190E">
        <w:rPr>
          <w:lang w:val="en-US" w:bidi="he-IL"/>
        </w:rPr>
        <w:t>,</w:t>
      </w:r>
      <w:r>
        <w:rPr>
          <w:lang w:bidi="he-IL"/>
        </w:rPr>
        <w:t xml:space="preserve"> they should also be able to enjoy basic economic and social rights in the receiving countries.</w:t>
      </w:r>
      <w:r>
        <w:rPr>
          <w:rStyle w:val="FootnoteReference"/>
          <w:lang w:bidi="he-IL"/>
        </w:rPr>
        <w:footnoteReference w:id="27"/>
      </w:r>
      <w:r>
        <w:rPr>
          <w:lang w:bidi="he-IL"/>
        </w:rPr>
        <w:t xml:space="preserve"> In fact, these two entitlements appear to be, at least in some cases, closely interrelated, as the inability to exercise the most basic economic and social rights, which would enable asylum seekers to stay in the country of asylum, may eventually leave them no choice but to return to their country of origin, effectively rendering illusory their right to </w:t>
      </w:r>
      <w:r>
        <w:rPr>
          <w:i/>
          <w:lang w:bidi="he-IL"/>
        </w:rPr>
        <w:t>non-</w:t>
      </w:r>
      <w:r w:rsidRPr="00B40EBD">
        <w:rPr>
          <w:i/>
          <w:lang w:bidi="he-IL"/>
        </w:rPr>
        <w:t>refoulement</w:t>
      </w:r>
      <w:r>
        <w:rPr>
          <w:i/>
          <w:lang w:bidi="he-IL"/>
        </w:rPr>
        <w:t xml:space="preserve"> </w:t>
      </w:r>
      <w:r>
        <w:rPr>
          <w:lang w:bidi="he-IL"/>
        </w:rPr>
        <w:t>under international refugee law.</w:t>
      </w:r>
      <w:r>
        <w:rPr>
          <w:rStyle w:val="FootnoteReference"/>
          <w:lang w:bidi="he-IL"/>
        </w:rPr>
        <w:footnoteReference w:id="28"/>
      </w:r>
      <w:r>
        <w:rPr>
          <w:lang w:bidi="he-IL"/>
        </w:rPr>
        <w:t xml:space="preserve"> The same logic applies to the </w:t>
      </w:r>
      <w:r>
        <w:rPr>
          <w:i/>
          <w:lang w:bidi="he-IL"/>
        </w:rPr>
        <w:t xml:space="preserve">non-refoulement </w:t>
      </w:r>
      <w:r>
        <w:rPr>
          <w:lang w:bidi="he-IL"/>
        </w:rPr>
        <w:t xml:space="preserve">obligations of State parties under the Covenant: </w:t>
      </w:r>
      <w:r w:rsidR="00DC190E">
        <w:rPr>
          <w:lang w:val="en-US" w:bidi="he-IL"/>
        </w:rPr>
        <w:t>p</w:t>
      </w:r>
      <w:r>
        <w:rPr>
          <w:lang w:bidi="he-IL"/>
        </w:rPr>
        <w:t xml:space="preserve">lacing individuals who should not be deported to their countries of origin under intolerable living conditions in the country of refuge, may compel them to return despite the real risk of serious human rights violations awaiting them in their home State. </w:t>
      </w:r>
    </w:p>
    <w:p w14:paraId="00AAF6C1" w14:textId="77777777" w:rsidR="00261CA7" w:rsidRPr="00606B7C" w:rsidRDefault="00261CA7" w:rsidP="000337B4">
      <w:pPr>
        <w:pStyle w:val="SingleTxtG"/>
        <w:rPr>
          <w:lang w:val="en-GB" w:bidi="he-IL"/>
        </w:rPr>
      </w:pPr>
      <w:r w:rsidRPr="00606B7C">
        <w:rPr>
          <w:lang w:val="en-GB" w:bidi="he-IL"/>
        </w:rPr>
        <w:t>3.</w:t>
      </w:r>
      <w:r w:rsidRPr="00606B7C">
        <w:rPr>
          <w:lang w:val="en-GB" w:bidi="he-IL"/>
        </w:rPr>
        <w:tab/>
        <w:t xml:space="preserve">Although we are of the view that the very harsh conditions experienced by the author and her family in Italy may amount to a violation of a number of rights under the Covenant, they do not, in themselves, cross the high threshold for </w:t>
      </w:r>
      <w:r w:rsidRPr="00606B7C">
        <w:rPr>
          <w:i/>
          <w:lang w:val="en-GB" w:bidi="he-IL"/>
        </w:rPr>
        <w:t xml:space="preserve">non-refoulement </w:t>
      </w:r>
      <w:r w:rsidRPr="00606B7C">
        <w:rPr>
          <w:lang w:val="en-GB" w:bidi="he-IL"/>
        </w:rPr>
        <w:t>under the Covenant</w:t>
      </w:r>
      <w:r w:rsidR="000337B4">
        <w:rPr>
          <w:lang w:val="en-GB" w:bidi="he-IL"/>
        </w:rPr>
        <w:t>, namely,</w:t>
      </w:r>
      <w:r w:rsidRPr="00606B7C">
        <w:rPr>
          <w:lang w:val="en-GB" w:bidi="he-IL"/>
        </w:rPr>
        <w:t xml:space="preserve"> a real risk of a serious violation of the most basic rights under the Covenant, such as deprivation of life or torture.</w:t>
      </w:r>
      <w:r w:rsidRPr="00606B7C">
        <w:rPr>
          <w:rStyle w:val="FootnoteReference"/>
          <w:lang w:val="en-GB" w:bidi="he-IL"/>
        </w:rPr>
        <w:footnoteReference w:id="29"/>
      </w:r>
      <w:r w:rsidRPr="00606B7C">
        <w:rPr>
          <w:lang w:val="en-GB" w:bidi="he-IL"/>
        </w:rPr>
        <w:t xml:space="preserve"> Hence, had the author been an Italian national, or even a foreign national whose basic rights were not at risk of being seriously violated at the country of origin, we would not consider Denmark to be under a legal obligation not to deport her and her family to Italy. In such a case, Italy would be excepted to fulfil its obligations under the Covenant towards the deported individuals upon their arrival there, pursuant to the Dublin II Regulation, and Denmark would not be required to continue to host them in its territory for an indefinite period of time.</w:t>
      </w:r>
    </w:p>
    <w:p w14:paraId="39C8ECE1" w14:textId="77777777" w:rsidR="00261CA7" w:rsidRPr="00606B7C" w:rsidRDefault="00261CA7" w:rsidP="000337B4">
      <w:pPr>
        <w:pStyle w:val="SingleTxtG"/>
        <w:rPr>
          <w:lang w:val="en-GB" w:bidi="he-IL"/>
        </w:rPr>
      </w:pPr>
      <w:r w:rsidRPr="00606B7C">
        <w:rPr>
          <w:lang w:val="en-GB" w:bidi="he-IL"/>
        </w:rPr>
        <w:t>4.</w:t>
      </w:r>
      <w:r w:rsidRPr="00606B7C">
        <w:rPr>
          <w:lang w:val="en-GB" w:bidi="he-IL"/>
        </w:rPr>
        <w:tab/>
        <w:t xml:space="preserve">Still, in the particular circumstances of the case, the exceptional combination of the following factors: (i) the unclear legal situation in Italy of the author and her children, following the expiration of her residence permit; (ii) the extreme vulnerability of the author and her family given their health situation and age; (iii) the demonstrated failure of the Italian social welfare system to address the most basic needs of the author and her children, notwithstanding their entitlement to subsidiary protection; and (iv) the lack of adequate assurances for the provision of such protection following the contemplated deportation </w:t>
      </w:r>
      <w:r w:rsidR="00CA2790">
        <w:rPr>
          <w:lang w:val="en-GB" w:bidi="he-IL"/>
        </w:rPr>
        <w:t>—</w:t>
      </w:r>
      <w:r w:rsidRPr="00606B7C">
        <w:rPr>
          <w:lang w:val="en-GB" w:bidi="he-IL"/>
        </w:rPr>
        <w:t xml:space="preserve"> </w:t>
      </w:r>
      <w:r w:rsidR="000337B4" w:rsidRPr="00606B7C">
        <w:rPr>
          <w:lang w:val="en-GB" w:bidi="he-IL"/>
        </w:rPr>
        <w:t xml:space="preserve"> </w:t>
      </w:r>
      <w:r w:rsidRPr="00606B7C">
        <w:rPr>
          <w:lang w:val="en-GB" w:bidi="he-IL"/>
        </w:rPr>
        <w:t>cast serious doubt as to</w:t>
      </w:r>
      <w:r w:rsidR="00CA2790">
        <w:rPr>
          <w:lang w:val="en-GB" w:bidi="he-IL"/>
        </w:rPr>
        <w:t xml:space="preserve"> </w:t>
      </w:r>
      <w:r w:rsidRPr="00606B7C">
        <w:rPr>
          <w:lang w:val="en-GB" w:bidi="he-IL"/>
        </w:rPr>
        <w:t xml:space="preserve">whether Italy can be effectively regarded as a </w:t>
      </w:r>
      <w:r w:rsidR="00CA2790">
        <w:rPr>
          <w:lang w:val="en-GB" w:bidi="he-IL"/>
        </w:rPr>
        <w:t>“</w:t>
      </w:r>
      <w:r w:rsidRPr="00606B7C">
        <w:rPr>
          <w:lang w:val="en-GB" w:bidi="he-IL"/>
        </w:rPr>
        <w:t>safe country</w:t>
      </w:r>
      <w:r w:rsidR="00CA2790">
        <w:rPr>
          <w:lang w:val="en-GB" w:bidi="he-IL"/>
        </w:rPr>
        <w:t>”</w:t>
      </w:r>
      <w:r w:rsidRPr="00606B7C">
        <w:rPr>
          <w:lang w:val="en-GB" w:bidi="he-IL"/>
        </w:rPr>
        <w:t xml:space="preserve"> for the specific author and her children. As a result, deporting her back to a country, which does not offer her a minimum level of social protection commensurate with her protected status, without any other resettlement alternatives available to her, may eventually compel the author and her family to return to her country of origin </w:t>
      </w:r>
      <w:r w:rsidR="00CA2790">
        <w:rPr>
          <w:lang w:val="en-GB" w:bidi="he-IL"/>
        </w:rPr>
        <w:t>—</w:t>
      </w:r>
      <w:r w:rsidRPr="00606B7C">
        <w:rPr>
          <w:lang w:val="en-GB" w:bidi="he-IL"/>
        </w:rPr>
        <w:t xml:space="preserve"> Somalia </w:t>
      </w:r>
      <w:r w:rsidR="00CA2790">
        <w:rPr>
          <w:lang w:val="en-GB" w:bidi="he-IL"/>
        </w:rPr>
        <w:t>—</w:t>
      </w:r>
      <w:r w:rsidRPr="00606B7C">
        <w:rPr>
          <w:lang w:val="en-GB" w:bidi="he-IL"/>
        </w:rPr>
        <w:t xml:space="preserve"> despite the real risk of torture that awaits her there and notwithstanding her right to </w:t>
      </w:r>
      <w:r w:rsidRPr="00606B7C">
        <w:rPr>
          <w:i/>
          <w:lang w:val="en-GB" w:bidi="he-IL"/>
        </w:rPr>
        <w:t xml:space="preserve">non-refoulement </w:t>
      </w:r>
      <w:r w:rsidR="00A27EC3" w:rsidRPr="00606B7C">
        <w:rPr>
          <w:lang w:val="en-GB" w:bidi="he-IL"/>
        </w:rPr>
        <w:t>under the Covenant.</w:t>
      </w:r>
    </w:p>
    <w:p w14:paraId="6C34585E" w14:textId="77777777" w:rsidR="00261CA7" w:rsidRPr="00606B7C" w:rsidRDefault="00261CA7" w:rsidP="002A7D55">
      <w:pPr>
        <w:pStyle w:val="SingleTxtG"/>
        <w:rPr>
          <w:lang w:val="en-GB" w:bidi="he-IL"/>
        </w:rPr>
      </w:pPr>
      <w:r w:rsidRPr="00606B7C">
        <w:rPr>
          <w:lang w:val="en-GB" w:bidi="he-IL"/>
        </w:rPr>
        <w:t>5.</w:t>
      </w:r>
      <w:r w:rsidRPr="00606B7C">
        <w:rPr>
          <w:lang w:val="en-GB" w:bidi="he-IL"/>
        </w:rPr>
        <w:tab/>
        <w:t xml:space="preserve">Since the Danish immigration did not consider the effect of their decision to deport the author and her author on their actual ability to effectively exercise the right to </w:t>
      </w:r>
      <w:r w:rsidRPr="00606B7C">
        <w:rPr>
          <w:i/>
          <w:lang w:val="en-GB" w:bidi="he-IL"/>
        </w:rPr>
        <w:t>non-refoulement</w:t>
      </w:r>
      <w:r w:rsidRPr="00606B7C">
        <w:rPr>
          <w:lang w:val="en-GB" w:bidi="he-IL"/>
        </w:rPr>
        <w:t xml:space="preserve"> under the Covenant, we agree with the Committee that deporting the author to Italy would violated Denmark obligations under article 7 of the Covenant, and that Denmark is under an obligation to reconsider the author’s claim for asylum. </w:t>
      </w:r>
    </w:p>
    <w:p w14:paraId="2F2EF148" w14:textId="77777777" w:rsidR="00261CA7" w:rsidRPr="000860F0" w:rsidRDefault="008F38C9" w:rsidP="00606B7C">
      <w:pPr>
        <w:spacing w:before="240"/>
        <w:ind w:left="1134" w:right="1134"/>
        <w:jc w:val="center"/>
        <w:rPr>
          <w:u w:val="single"/>
        </w:rPr>
      </w:pPr>
      <w:r w:rsidRPr="000860F0">
        <w:rPr>
          <w:u w:val="single"/>
        </w:rPr>
        <w:tab/>
      </w:r>
      <w:r w:rsidRPr="000860F0">
        <w:rPr>
          <w:u w:val="single"/>
        </w:rPr>
        <w:tab/>
      </w:r>
      <w:r w:rsidRPr="000860F0">
        <w:rPr>
          <w:u w:val="single"/>
        </w:rPr>
        <w:tab/>
      </w:r>
    </w:p>
    <w:sectPr w:rsidR="00261CA7" w:rsidRPr="000860F0" w:rsidSect="002A7D55">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09-28T10:37:00Z" w:initials="Start">
    <w:p w14:paraId="0019AE94" w14:textId="77777777" w:rsidR="00536C50" w:rsidRDefault="00536C5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NO&gt;&gt;N1521817E&lt;&lt;ODS JOB NO&gt;&gt;</w:t>
      </w:r>
    </w:p>
    <w:p w14:paraId="744B2147" w14:textId="77777777" w:rsidR="00536C50" w:rsidRPr="0035479E" w:rsidRDefault="00536C50">
      <w:pPr>
        <w:pStyle w:val="CommentText"/>
        <w:rPr>
          <w:lang w:val="fr-CH"/>
        </w:rPr>
      </w:pPr>
      <w:r w:rsidRPr="0035479E">
        <w:rPr>
          <w:lang w:val="fr-CH"/>
        </w:rPr>
        <w:t>&lt;&lt;ODS DOC SYMBOL1&gt;&gt;CCPR/C/114/D/2360/2014&lt;&lt;ODS DOC SYMBOL1&gt;&gt;</w:t>
      </w:r>
    </w:p>
    <w:p w14:paraId="0148A5DF" w14:textId="77777777" w:rsidR="00536C50" w:rsidRDefault="00536C50">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48A5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9D580" w14:textId="77777777" w:rsidR="00413C8E" w:rsidRDefault="00413C8E"/>
  </w:endnote>
  <w:endnote w:type="continuationSeparator" w:id="0">
    <w:p w14:paraId="12F8E027" w14:textId="77777777" w:rsidR="00413C8E" w:rsidRDefault="00413C8E"/>
  </w:endnote>
  <w:endnote w:type="continuationNotice" w:id="1">
    <w:p w14:paraId="739C9280" w14:textId="77777777" w:rsidR="00413C8E" w:rsidRDefault="00413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ngs">
    <w:altName w:val="MS Mincho"/>
    <w:panose1 w:val="00000000000000000000"/>
    <w:charset w:val="80"/>
    <w:family w:val="auto"/>
    <w:notTrueType/>
    <w:pitch w:val="variable"/>
    <w:sig w:usb0="00000001" w:usb1="08070000" w:usb2="00000010" w:usb3="00000000" w:csb0="00020000"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4BC97" w14:textId="77777777" w:rsidR="00181986" w:rsidRPr="00E0440B" w:rsidRDefault="00181986" w:rsidP="00E0440B">
    <w:pPr>
      <w:pStyle w:val="Footer"/>
      <w:tabs>
        <w:tab w:val="right" w:pos="9638"/>
      </w:tabs>
    </w:pPr>
    <w:r w:rsidRPr="00E0440B">
      <w:rPr>
        <w:b/>
        <w:sz w:val="18"/>
      </w:rPr>
      <w:fldChar w:fldCharType="begin"/>
    </w:r>
    <w:r w:rsidRPr="00E0440B">
      <w:rPr>
        <w:b/>
        <w:sz w:val="18"/>
      </w:rPr>
      <w:instrText xml:space="preserve"> </w:instrText>
    </w:r>
    <w:r>
      <w:rPr>
        <w:b/>
        <w:sz w:val="18"/>
      </w:rPr>
      <w:instrText>PAGE</w:instrText>
    </w:r>
    <w:r w:rsidRPr="00E0440B">
      <w:rPr>
        <w:b/>
        <w:sz w:val="18"/>
      </w:rPr>
      <w:instrText xml:space="preserve">  \* MERGEFORMAT </w:instrText>
    </w:r>
    <w:r w:rsidRPr="00E0440B">
      <w:rPr>
        <w:b/>
        <w:sz w:val="18"/>
      </w:rPr>
      <w:fldChar w:fldCharType="separate"/>
    </w:r>
    <w:r w:rsidR="00EB1D66">
      <w:rPr>
        <w:b/>
        <w:noProof/>
        <w:sz w:val="18"/>
      </w:rPr>
      <w:t>2</w:t>
    </w:r>
    <w:r w:rsidRPr="00E0440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A0AEA" w14:textId="77777777" w:rsidR="00181986" w:rsidRPr="00E0440B" w:rsidRDefault="00181986" w:rsidP="00E0440B">
    <w:pPr>
      <w:pStyle w:val="Footer"/>
      <w:tabs>
        <w:tab w:val="right" w:pos="9638"/>
      </w:tabs>
      <w:rPr>
        <w:b/>
        <w:sz w:val="18"/>
      </w:rPr>
    </w:pPr>
    <w:r>
      <w:tab/>
    </w:r>
    <w:r w:rsidRPr="00E0440B">
      <w:rPr>
        <w:b/>
        <w:sz w:val="18"/>
      </w:rPr>
      <w:fldChar w:fldCharType="begin"/>
    </w:r>
    <w:r w:rsidRPr="00E0440B">
      <w:rPr>
        <w:b/>
        <w:sz w:val="18"/>
      </w:rPr>
      <w:instrText xml:space="preserve"> </w:instrText>
    </w:r>
    <w:r>
      <w:rPr>
        <w:b/>
        <w:sz w:val="18"/>
      </w:rPr>
      <w:instrText>PAGE</w:instrText>
    </w:r>
    <w:r w:rsidRPr="00E0440B">
      <w:rPr>
        <w:b/>
        <w:sz w:val="18"/>
      </w:rPr>
      <w:instrText xml:space="preserve">  \* MERGEFORMAT </w:instrText>
    </w:r>
    <w:r w:rsidRPr="00E0440B">
      <w:rPr>
        <w:b/>
        <w:sz w:val="18"/>
      </w:rPr>
      <w:fldChar w:fldCharType="separate"/>
    </w:r>
    <w:r w:rsidR="00EB1D66">
      <w:rPr>
        <w:b/>
        <w:noProof/>
        <w:sz w:val="18"/>
      </w:rPr>
      <w:t>3</w:t>
    </w:r>
    <w:r w:rsidRPr="00E0440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536C50" w14:paraId="73805153" w14:textId="77777777" w:rsidTr="00536C50">
      <w:tc>
        <w:tcPr>
          <w:tcW w:w="3614" w:type="dxa"/>
          <w:shd w:val="clear" w:color="auto" w:fill="auto"/>
        </w:tcPr>
        <w:p w14:paraId="35F89F4F" w14:textId="77777777" w:rsidR="00536C50" w:rsidRDefault="00536C50" w:rsidP="00536C50">
          <w:pPr>
            <w:pStyle w:val="Footer"/>
            <w:rPr>
              <w:sz w:val="20"/>
            </w:rPr>
          </w:pPr>
          <w:r>
            <w:rPr>
              <w:noProof/>
              <w:sz w:val="20"/>
              <w:lang w:val="en-US"/>
            </w:rPr>
            <w:drawing>
              <wp:anchor distT="0" distB="0" distL="114300" distR="114300" simplePos="0" relativeHeight="251658240" behindDoc="0" locked="0" layoutInCell="1" allowOverlap="1" wp14:anchorId="5A75FCCD" wp14:editId="7B702FC4">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4/D/2360/2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4/D/2360/2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GE.15-15602(E)</w:t>
          </w:r>
        </w:p>
        <w:p w14:paraId="1E046514" w14:textId="77777777" w:rsidR="00536C50" w:rsidRPr="00536C50" w:rsidRDefault="00536C50" w:rsidP="00536C50">
          <w:pPr>
            <w:pStyle w:val="Footer"/>
            <w:rPr>
              <w:rFonts w:ascii="Barcode 3 of 9 by request" w:hAnsi="Barcode 3 of 9 by request"/>
              <w:sz w:val="24"/>
            </w:rPr>
          </w:pPr>
          <w:r>
            <w:rPr>
              <w:rFonts w:ascii="Barcode 3 of 9 by request" w:hAnsi="Barcode 3 of 9 by request"/>
              <w:sz w:val="24"/>
            </w:rPr>
            <w:t>*1515602*</w:t>
          </w:r>
        </w:p>
      </w:tc>
      <w:tc>
        <w:tcPr>
          <w:tcW w:w="4752" w:type="dxa"/>
          <w:shd w:val="clear" w:color="auto" w:fill="auto"/>
        </w:tcPr>
        <w:p w14:paraId="29A67FC4" w14:textId="77777777" w:rsidR="00536C50" w:rsidRDefault="00536C50" w:rsidP="00536C50">
          <w:pPr>
            <w:pStyle w:val="Footer"/>
            <w:spacing w:line="240" w:lineRule="atLeast"/>
            <w:jc w:val="right"/>
            <w:rPr>
              <w:sz w:val="20"/>
            </w:rPr>
          </w:pPr>
          <w:r>
            <w:rPr>
              <w:noProof/>
              <w:sz w:val="20"/>
              <w:lang w:val="en-US"/>
            </w:rPr>
            <w:drawing>
              <wp:inline distT="0" distB="0" distL="0" distR="0" wp14:anchorId="19E5769B" wp14:editId="1303CA4A">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1CBCD62A" w14:textId="77777777" w:rsidR="00536C50" w:rsidRPr="00536C50" w:rsidRDefault="00536C50" w:rsidP="00536C50">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48F1E" w14:textId="77777777" w:rsidR="00413C8E" w:rsidRPr="000B175B" w:rsidRDefault="00413C8E" w:rsidP="000B175B">
      <w:pPr>
        <w:tabs>
          <w:tab w:val="right" w:pos="2155"/>
        </w:tabs>
        <w:spacing w:after="80"/>
        <w:ind w:left="680"/>
        <w:rPr>
          <w:u w:val="single"/>
        </w:rPr>
      </w:pPr>
      <w:r>
        <w:rPr>
          <w:u w:val="single"/>
        </w:rPr>
        <w:tab/>
      </w:r>
    </w:p>
  </w:footnote>
  <w:footnote w:type="continuationSeparator" w:id="0">
    <w:p w14:paraId="79BADEBB" w14:textId="77777777" w:rsidR="00413C8E" w:rsidRPr="00FC68B7" w:rsidRDefault="00413C8E" w:rsidP="00FC68B7">
      <w:pPr>
        <w:tabs>
          <w:tab w:val="left" w:pos="2155"/>
        </w:tabs>
        <w:spacing w:after="80"/>
        <w:ind w:left="680"/>
        <w:rPr>
          <w:u w:val="single"/>
        </w:rPr>
      </w:pPr>
      <w:r>
        <w:rPr>
          <w:u w:val="single"/>
        </w:rPr>
        <w:tab/>
      </w:r>
    </w:p>
  </w:footnote>
  <w:footnote w:type="continuationNotice" w:id="1">
    <w:p w14:paraId="391D07AD" w14:textId="77777777" w:rsidR="00413C8E" w:rsidRDefault="00413C8E"/>
  </w:footnote>
  <w:footnote w:id="2">
    <w:p w14:paraId="13743248" w14:textId="77777777" w:rsidR="00181986" w:rsidRPr="00EB3E83" w:rsidRDefault="00181986" w:rsidP="00063896">
      <w:pPr>
        <w:pStyle w:val="FootnoteText"/>
        <w:spacing w:before="60"/>
      </w:pPr>
      <w:r>
        <w:rPr>
          <w:rStyle w:val="FootnoteReference"/>
        </w:rPr>
        <w:tab/>
      </w:r>
      <w:r w:rsidRPr="006E6A7F">
        <w:rPr>
          <w:rStyle w:val="FootnoteReference"/>
          <w:sz w:val="20"/>
          <w:vertAlign w:val="baseline"/>
        </w:rPr>
        <w:t>*</w:t>
      </w:r>
      <w:r w:rsidRPr="006E6A7F">
        <w:rPr>
          <w:rStyle w:val="FootnoteReference"/>
          <w:sz w:val="20"/>
          <w:vertAlign w:val="baseline"/>
        </w:rPr>
        <w:tab/>
      </w:r>
      <w:bookmarkStart w:id="2" w:name="OLE_LINK2"/>
      <w:bookmarkStart w:id="3" w:name="OLE_LINK1"/>
      <w:r>
        <w:rPr>
          <w:szCs w:val="18"/>
        </w:rPr>
        <w:t xml:space="preserve">The following members of the Committee participated in the examination of the present communication: </w:t>
      </w:r>
      <w:bookmarkEnd w:id="2"/>
      <w:bookmarkEnd w:id="3"/>
      <w:r>
        <w:rPr>
          <w:szCs w:val="18"/>
        </w:rPr>
        <w:t xml:space="preserve">Yadh Ben Achour, Lazhari Bouzid, Sarah Cleveland, Olivier </w:t>
      </w:r>
      <w:r w:rsidRPr="002A7D55">
        <w:rPr>
          <w:szCs w:val="18"/>
          <w:lang w:val="en-GB"/>
        </w:rPr>
        <w:t>d</w:t>
      </w:r>
      <w:r>
        <w:rPr>
          <w:szCs w:val="18"/>
        </w:rPr>
        <w:t xml:space="preserve">e Frouville, Ahmed Amin Fathalla, Yuji Iwasawa, Ivana Jelić, Duncan Muhumuza Laki, Photini Pazartzis, </w:t>
      </w:r>
      <w:r>
        <w:rPr>
          <w:bCs/>
          <w:szCs w:val="18"/>
        </w:rPr>
        <w:t>Sir</w:t>
      </w:r>
      <w:r>
        <w:rPr>
          <w:szCs w:val="18"/>
        </w:rPr>
        <w:t xml:space="preserve"> Nigel Rodley, Víctor Manuel Rodríguez-Rescia, Fabián Omar Salvioli, Dheerujlall Seetulsingh, Anja Seibert-Fohr, Yuval Shany, Konstantine Vardzelashvili and Margo Waterval</w:t>
      </w:r>
      <w:r>
        <w:rPr>
          <w:bCs/>
          <w:szCs w:val="18"/>
        </w:rPr>
        <w:t xml:space="preserve">. </w:t>
      </w:r>
      <w:r w:rsidRPr="00EB3E83">
        <w:t>In accordance with article 90 of the Committee</w:t>
      </w:r>
      <w:r>
        <w:t>’</w:t>
      </w:r>
      <w:r w:rsidRPr="00EB3E83">
        <w:t xml:space="preserve">s rules of procedure, </w:t>
      </w:r>
      <w:r w:rsidRPr="002A7D55">
        <w:rPr>
          <w:lang w:val="en-GB"/>
        </w:rPr>
        <w:t>Mauro Politi</w:t>
      </w:r>
      <w:r w:rsidRPr="00EB3E83">
        <w:t xml:space="preserve"> did not participate in the consideration of the communication.</w:t>
      </w:r>
    </w:p>
    <w:p w14:paraId="6BB9ACE0" w14:textId="77777777" w:rsidR="00181986" w:rsidRPr="00063896" w:rsidRDefault="00181986" w:rsidP="00AF0301">
      <w:pPr>
        <w:pStyle w:val="FootnoteText"/>
      </w:pPr>
      <w:r w:rsidRPr="002A7D55">
        <w:tab/>
      </w:r>
      <w:r w:rsidRPr="002A7D55">
        <w:tab/>
      </w:r>
      <w:r w:rsidRPr="00685E45">
        <w:t>The text</w:t>
      </w:r>
      <w:r>
        <w:t>s</w:t>
      </w:r>
      <w:r w:rsidRPr="00685E45">
        <w:t xml:space="preserve"> of individual opinion</w:t>
      </w:r>
      <w:r>
        <w:t>s</w:t>
      </w:r>
      <w:r w:rsidRPr="00685E45">
        <w:t xml:space="preserve"> </w:t>
      </w:r>
      <w:r>
        <w:t>by</w:t>
      </w:r>
      <w:r w:rsidRPr="00685E45">
        <w:t xml:space="preserve"> Committee member </w:t>
      </w:r>
      <w:r>
        <w:rPr>
          <w:szCs w:val="18"/>
        </w:rPr>
        <w:t>Dheerujlall Seetulsingh</w:t>
      </w:r>
      <w:r w:rsidRPr="00685E45">
        <w:rPr>
          <w:lang w:eastAsia="en-GB"/>
        </w:rPr>
        <w:t xml:space="preserve"> (</w:t>
      </w:r>
      <w:r>
        <w:rPr>
          <w:lang w:eastAsia="en-GB"/>
        </w:rPr>
        <w:t>dissenting</w:t>
      </w:r>
      <w:r w:rsidRPr="00685E45">
        <w:rPr>
          <w:lang w:eastAsia="en-GB"/>
        </w:rPr>
        <w:t>)</w:t>
      </w:r>
      <w:r>
        <w:rPr>
          <w:lang w:eastAsia="en-GB"/>
        </w:rPr>
        <w:t xml:space="preserve"> </w:t>
      </w:r>
      <w:r w:rsidRPr="00685E45">
        <w:t xml:space="preserve">and </w:t>
      </w:r>
      <w:r>
        <w:t xml:space="preserve">by Committee members </w:t>
      </w:r>
      <w:r w:rsidRPr="00E70667">
        <w:t>Yuval Shany and Konstantine Vardzelashvili (</w:t>
      </w:r>
      <w:r w:rsidRPr="002A7D55">
        <w:t>concurring</w:t>
      </w:r>
      <w:r w:rsidRPr="00E70667">
        <w:t>)</w:t>
      </w:r>
      <w:r w:rsidRPr="00685E45">
        <w:t xml:space="preserve"> </w:t>
      </w:r>
      <w:r>
        <w:t>are</w:t>
      </w:r>
      <w:r w:rsidRPr="00685E45">
        <w:t xml:space="preserve"> appended to the present Views</w:t>
      </w:r>
      <w:r w:rsidRPr="002A7D55">
        <w:t>.</w:t>
      </w:r>
    </w:p>
  </w:footnote>
  <w:footnote w:id="3">
    <w:p w14:paraId="4D29FA78" w14:textId="77777777" w:rsidR="00181986" w:rsidRPr="00EC25E8" w:rsidRDefault="00181986" w:rsidP="0056519B">
      <w:pPr>
        <w:pStyle w:val="FootnoteText"/>
      </w:pPr>
      <w:r>
        <w:tab/>
      </w:r>
      <w:r>
        <w:rPr>
          <w:rStyle w:val="FootnoteReference"/>
        </w:rPr>
        <w:footnoteRef/>
      </w:r>
      <w:r w:rsidRPr="00F512BB">
        <w:rPr>
          <w:lang w:val="en-GB"/>
        </w:rPr>
        <w:tab/>
      </w:r>
      <w:r>
        <w:rPr>
          <w:lang w:val="en-GB"/>
        </w:rPr>
        <w:t>The communication itself is n</w:t>
      </w:r>
      <w:r w:rsidRPr="00EC25E8">
        <w:t>ot dated</w:t>
      </w:r>
      <w:r>
        <w:t>; it was received by the secretariat on 17 March 2014..</w:t>
      </w:r>
    </w:p>
  </w:footnote>
  <w:footnote w:id="4">
    <w:p w14:paraId="5E7AB96A" w14:textId="77777777" w:rsidR="00181986" w:rsidRPr="00EC25E8" w:rsidRDefault="00181986" w:rsidP="00AF0301">
      <w:pPr>
        <w:pStyle w:val="FootnoteText"/>
      </w:pPr>
      <w:r>
        <w:tab/>
      </w:r>
      <w:r>
        <w:rPr>
          <w:rStyle w:val="FootnoteReference"/>
        </w:rPr>
        <w:footnoteRef/>
      </w:r>
      <w:r w:rsidRPr="00F512BB">
        <w:rPr>
          <w:lang w:val="en-GB"/>
        </w:rPr>
        <w:tab/>
      </w:r>
      <w:r w:rsidRPr="00EC25E8">
        <w:rPr>
          <w:szCs w:val="18"/>
        </w:rPr>
        <w:t>At the time of submission</w:t>
      </w:r>
      <w:r>
        <w:rPr>
          <w:szCs w:val="18"/>
        </w:rPr>
        <w:t xml:space="preserve"> of the present communication</w:t>
      </w:r>
      <w:r w:rsidRPr="00EC25E8">
        <w:rPr>
          <w:szCs w:val="18"/>
        </w:rPr>
        <w:t xml:space="preserve">, the author’s counsel was informed that </w:t>
      </w:r>
      <w:r>
        <w:rPr>
          <w:szCs w:val="18"/>
        </w:rPr>
        <w:t xml:space="preserve">their </w:t>
      </w:r>
      <w:r w:rsidRPr="00EC25E8">
        <w:rPr>
          <w:szCs w:val="18"/>
        </w:rPr>
        <w:t>deportation was scheduled to take place “at some point within the next few weeks”.</w:t>
      </w:r>
    </w:p>
  </w:footnote>
  <w:footnote w:id="5">
    <w:p w14:paraId="2527FFF6" w14:textId="77777777" w:rsidR="00181986" w:rsidRPr="00445B78" w:rsidRDefault="00181986" w:rsidP="00212D6C">
      <w:pPr>
        <w:pStyle w:val="FootnoteText"/>
      </w:pPr>
      <w:r w:rsidRPr="00F512BB">
        <w:rPr>
          <w:lang w:val="en-GB"/>
        </w:rPr>
        <w:tab/>
      </w:r>
      <w:r>
        <w:rPr>
          <w:rStyle w:val="FootnoteReference"/>
        </w:rPr>
        <w:footnoteRef/>
      </w:r>
      <w:r w:rsidRPr="00F512BB">
        <w:rPr>
          <w:lang w:val="en-GB"/>
        </w:rPr>
        <w:tab/>
      </w:r>
      <w:r>
        <w:t xml:space="preserve">The </w:t>
      </w:r>
      <w:r w:rsidRPr="00E31546">
        <w:t>author</w:t>
      </w:r>
      <w:r>
        <w:t xml:space="preserve"> cites European Court of Human Rights, </w:t>
      </w:r>
      <w:r w:rsidRPr="000A7E56">
        <w:rPr>
          <w:i/>
        </w:rPr>
        <w:t>M.S.S. v. Belgium and Greece</w:t>
      </w:r>
      <w:r>
        <w:t xml:space="preserve">, application No. 30696/09, judgement adopted on 15 December 2010; and </w:t>
      </w:r>
      <w:r>
        <w:rPr>
          <w:i/>
        </w:rPr>
        <w:t>Mohammad Hussein and Others v. t</w:t>
      </w:r>
      <w:r w:rsidRPr="000A7E56">
        <w:rPr>
          <w:i/>
        </w:rPr>
        <w:t>he Netherlands and Italy</w:t>
      </w:r>
      <w:r>
        <w:t>, application No. 27725/10, decision adopted on 2 April 2013.</w:t>
      </w:r>
    </w:p>
  </w:footnote>
  <w:footnote w:id="6">
    <w:p w14:paraId="0A933BCA" w14:textId="77777777" w:rsidR="00181986" w:rsidRPr="00F828DD" w:rsidRDefault="00181986" w:rsidP="00737DB5">
      <w:pPr>
        <w:pStyle w:val="FootnoteText"/>
      </w:pPr>
      <w:r w:rsidRPr="00F512BB">
        <w:rPr>
          <w:lang w:val="en-GB"/>
        </w:rPr>
        <w:tab/>
      </w:r>
      <w:r>
        <w:rPr>
          <w:rStyle w:val="FootnoteReference"/>
        </w:rPr>
        <w:footnoteRef/>
      </w:r>
      <w:r w:rsidRPr="00F512BB">
        <w:rPr>
          <w:lang w:val="en-GB"/>
        </w:rPr>
        <w:tab/>
      </w:r>
      <w:r>
        <w:t xml:space="preserve">The author </w:t>
      </w:r>
      <w:r w:rsidRPr="00E31546">
        <w:t>refers</w:t>
      </w:r>
      <w:r>
        <w:t xml:space="preserve"> to the Swiss Refugee Council (OSAR), </w:t>
      </w:r>
      <w:r w:rsidRPr="002A7D55">
        <w:rPr>
          <w:i/>
          <w:iCs/>
        </w:rPr>
        <w:t>Reception conditions in Italy: Report on the current situation of asylum seekers and beneficiaries of protection, in particular Dublin returnees</w:t>
      </w:r>
      <w:r>
        <w:t xml:space="preserve"> (October 2013), p. 11; Asylum Information Database (AIDA), </w:t>
      </w:r>
      <w:r w:rsidRPr="002A7D55">
        <w:rPr>
          <w:i/>
          <w:iCs/>
        </w:rPr>
        <w:t>Country report: Italy</w:t>
      </w:r>
      <w:r>
        <w:t>, May 2013, p. 34; Council of Europe, “Report by Nils Muiznieks, Commissioner for Human Rights of the Council of Europe, following his visit to Italy from 3 to 6 July 2012”, 18 September 2012 (CommDH(2012)26), p. 150.</w:t>
      </w:r>
    </w:p>
  </w:footnote>
  <w:footnote w:id="7">
    <w:p w14:paraId="4D69696E" w14:textId="77777777" w:rsidR="00181986" w:rsidRPr="00DD45AD" w:rsidRDefault="00181986" w:rsidP="000F7E2C">
      <w:pPr>
        <w:pStyle w:val="FootnoteText"/>
      </w:pPr>
      <w:r w:rsidRPr="00F512BB">
        <w:rPr>
          <w:lang w:val="en-GB"/>
        </w:rPr>
        <w:tab/>
      </w:r>
      <w:r>
        <w:rPr>
          <w:rStyle w:val="FootnoteReference"/>
        </w:rPr>
        <w:footnoteRef/>
      </w:r>
      <w:r w:rsidRPr="00F512BB">
        <w:rPr>
          <w:lang w:val="en-GB"/>
        </w:rPr>
        <w:tab/>
      </w:r>
      <w:r>
        <w:t xml:space="preserve">The author cites European Network for technical cooperation of the application of the Dublin II Regulation, </w:t>
      </w:r>
      <w:r w:rsidRPr="002A7D55">
        <w:rPr>
          <w:i/>
          <w:iCs/>
        </w:rPr>
        <w:t xml:space="preserve">Dublin II Regulation </w:t>
      </w:r>
      <w:r>
        <w:rPr>
          <w:i/>
          <w:iCs/>
        </w:rPr>
        <w:t xml:space="preserve">- </w:t>
      </w:r>
      <w:r w:rsidRPr="002A7D55">
        <w:rPr>
          <w:i/>
          <w:iCs/>
        </w:rPr>
        <w:t xml:space="preserve">National </w:t>
      </w:r>
      <w:r>
        <w:rPr>
          <w:i/>
          <w:iCs/>
        </w:rPr>
        <w:t>r</w:t>
      </w:r>
      <w:r w:rsidRPr="002A7D55">
        <w:rPr>
          <w:i/>
          <w:iCs/>
        </w:rPr>
        <w:t>eport on Italy</w:t>
      </w:r>
      <w:r>
        <w:t xml:space="preserve">, 19 December 2012, available from </w:t>
      </w:r>
      <w:hyperlink r:id="rId1" w:history="1">
        <w:r w:rsidRPr="00E27B4F">
          <w:rPr>
            <w:rStyle w:val="Hyperlink"/>
          </w:rPr>
          <w:t>www.dublin-project.eu/dublin/Dublin-news/New-report-Dublin-II-regulation-lives-on-hold</w:t>
        </w:r>
      </w:hyperlink>
      <w:r>
        <w:t xml:space="preserve">; AIDA, </w:t>
      </w:r>
      <w:r w:rsidRPr="002A7D55">
        <w:rPr>
          <w:i/>
          <w:iCs/>
        </w:rPr>
        <w:t>Country report: Italy</w:t>
      </w:r>
      <w:r>
        <w:t xml:space="preserve">, May 2013, </w:t>
      </w:r>
      <w:r w:rsidR="00944F79">
        <w:t>p</w:t>
      </w:r>
      <w:r>
        <w:t xml:space="preserve">. 37; United States of America, Department of State, “Country Reports on Human Rights Practices for 2012: Italy13); OSAR, </w:t>
      </w:r>
      <w:r w:rsidRPr="002A7D55">
        <w:rPr>
          <w:i/>
          <w:iCs/>
        </w:rPr>
        <w:t>Reception conditions in Italy</w:t>
      </w:r>
      <w:r>
        <w:t xml:space="preserve">(see note </w:t>
      </w:r>
      <w:r w:rsidR="008C35C2">
        <w:t>4</w:t>
      </w:r>
      <w:r>
        <w:t xml:space="preserve">), pp. 4-5; and Jesuit Refugee Service Europe, </w:t>
      </w:r>
      <w:r w:rsidRPr="002A7D55">
        <w:rPr>
          <w:i/>
          <w:iCs/>
        </w:rPr>
        <w:t>Protection Interrupted: The Dublin Regulation’s impact on asylum seekers’ protection</w:t>
      </w:r>
      <w:r>
        <w:t>, June 2013, pp. 152 and 161.</w:t>
      </w:r>
    </w:p>
  </w:footnote>
  <w:footnote w:id="8">
    <w:p w14:paraId="5FFE91E0" w14:textId="77777777" w:rsidR="00181986" w:rsidRPr="00140001" w:rsidRDefault="00181986" w:rsidP="008C35C2">
      <w:pPr>
        <w:pStyle w:val="FootnoteText"/>
      </w:pPr>
      <w:r w:rsidRPr="00F512BB">
        <w:rPr>
          <w:lang w:val="en-GB"/>
        </w:rPr>
        <w:tab/>
      </w:r>
      <w:r>
        <w:rPr>
          <w:rStyle w:val="FootnoteReference"/>
        </w:rPr>
        <w:footnoteRef/>
      </w:r>
      <w:r w:rsidRPr="00F512BB">
        <w:rPr>
          <w:lang w:val="en-GB"/>
        </w:rPr>
        <w:tab/>
      </w:r>
      <w:r>
        <w:t xml:space="preserve">The author </w:t>
      </w:r>
      <w:r w:rsidRPr="00E31546">
        <w:t>cites</w:t>
      </w:r>
      <w:r>
        <w:t xml:space="preserve"> CommDH(2012)26 (see note </w:t>
      </w:r>
      <w:r w:rsidR="008C35C2">
        <w:t>4</w:t>
      </w:r>
      <w:r>
        <w:t xml:space="preserve">), p. 143 ; </w:t>
      </w:r>
      <w:r w:rsidRPr="00F512BB">
        <w:rPr>
          <w:lang w:val="en-GB"/>
        </w:rPr>
        <w:t xml:space="preserve">and </w:t>
      </w:r>
      <w:r>
        <w:t xml:space="preserve">OSAR, </w:t>
      </w:r>
      <w:r w:rsidRPr="002A7D55">
        <w:rPr>
          <w:i/>
          <w:iCs/>
        </w:rPr>
        <w:t>Reception conditions in Italy</w:t>
      </w:r>
      <w:r>
        <w:t xml:space="preserve"> (see note </w:t>
      </w:r>
      <w:r w:rsidR="008C35C2">
        <w:t>4</w:t>
      </w:r>
      <w:r w:rsidRPr="008C35C2">
        <w:t>)</w:t>
      </w:r>
      <w:r>
        <w:t>.</w:t>
      </w:r>
    </w:p>
  </w:footnote>
  <w:footnote w:id="9">
    <w:p w14:paraId="442F3450" w14:textId="77777777" w:rsidR="00181986" w:rsidRPr="00A87E10" w:rsidRDefault="00181986" w:rsidP="000F7E2C">
      <w:pPr>
        <w:pStyle w:val="FootnoteText"/>
      </w:pPr>
      <w:r>
        <w:tab/>
      </w:r>
      <w:r>
        <w:rPr>
          <w:rStyle w:val="FootnoteReference"/>
        </w:rPr>
        <w:footnoteRef/>
      </w:r>
      <w:r w:rsidRPr="00F512BB">
        <w:rPr>
          <w:lang w:val="en-GB"/>
        </w:rPr>
        <w:tab/>
      </w:r>
      <w:r>
        <w:rPr>
          <w:lang w:val="en-GB"/>
        </w:rPr>
        <w:t xml:space="preserve">See </w:t>
      </w:r>
      <w:r>
        <w:rPr>
          <w:i/>
        </w:rPr>
        <w:t>Mohammad Hussein and Others v. t</w:t>
      </w:r>
      <w:r w:rsidRPr="000A7E56">
        <w:rPr>
          <w:i/>
        </w:rPr>
        <w:t>he Netherlands and Italy</w:t>
      </w:r>
      <w:r>
        <w:t>.</w:t>
      </w:r>
    </w:p>
  </w:footnote>
  <w:footnote w:id="10">
    <w:p w14:paraId="61F6B727" w14:textId="77777777" w:rsidR="00181986" w:rsidRDefault="00181986" w:rsidP="00E27B4F">
      <w:pPr>
        <w:pStyle w:val="FootnoteText"/>
      </w:pPr>
      <w:r>
        <w:rPr>
          <w:rStyle w:val="FootnoteReference"/>
        </w:rPr>
        <w:footnoteRef/>
      </w:r>
      <w:r>
        <w:tab/>
      </w:r>
      <w:r>
        <w:tab/>
        <w:t xml:space="preserve">See  </w:t>
      </w:r>
      <w:r w:rsidRPr="006B2854">
        <w:rPr>
          <w:i/>
          <w:iCs/>
        </w:rPr>
        <w:t>Mohammed Hussein and Others v. the Netherlands and Italy</w:t>
      </w:r>
      <w:r w:rsidRPr="00716FE4">
        <w:rPr>
          <w:rStyle w:val="sb8d990e2"/>
          <w:szCs w:val="18"/>
        </w:rPr>
        <w:t xml:space="preserve">, </w:t>
      </w:r>
      <w:r w:rsidRPr="00716FE4">
        <w:t>para</w:t>
      </w:r>
      <w:r>
        <w:t>.78.</w:t>
      </w:r>
    </w:p>
  </w:footnote>
  <w:footnote w:id="11">
    <w:p w14:paraId="50DD480E" w14:textId="77777777" w:rsidR="00181986" w:rsidRPr="00AF0301" w:rsidRDefault="00181986">
      <w:pPr>
        <w:pStyle w:val="FootnoteText"/>
      </w:pPr>
      <w:r>
        <w:tab/>
      </w:r>
      <w:r>
        <w:rPr>
          <w:rStyle w:val="FootnoteReference"/>
        </w:rPr>
        <w:footnoteRef/>
      </w:r>
      <w:r w:rsidRPr="004A00E2">
        <w:t xml:space="preserve"> </w:t>
      </w:r>
      <w:r w:rsidRPr="00AF0301">
        <w:tab/>
        <w:t>Ibid., para 38.</w:t>
      </w:r>
    </w:p>
  </w:footnote>
  <w:footnote w:id="12">
    <w:p w14:paraId="542228B6" w14:textId="77777777" w:rsidR="00181986" w:rsidRPr="00716FE4" w:rsidRDefault="00181986" w:rsidP="000F7E2C">
      <w:pPr>
        <w:pStyle w:val="FootnoteText"/>
      </w:pPr>
      <w:r w:rsidRPr="002A7D55">
        <w:tab/>
      </w:r>
      <w:r w:rsidRPr="00716FE4">
        <w:rPr>
          <w:rStyle w:val="FootnoteReference"/>
          <w:szCs w:val="18"/>
        </w:rPr>
        <w:footnoteRef/>
      </w:r>
      <w:r w:rsidRPr="002A7D55">
        <w:tab/>
        <w:t>Ibid.</w:t>
      </w:r>
      <w:r w:rsidRPr="005A1DF3">
        <w:rPr>
          <w:rStyle w:val="sb8d990e2"/>
          <w:szCs w:val="18"/>
        </w:rPr>
        <w:t xml:space="preserve"> </w:t>
      </w:r>
    </w:p>
  </w:footnote>
  <w:footnote w:id="13">
    <w:p w14:paraId="3D80AFF9" w14:textId="77777777" w:rsidR="00181986" w:rsidRPr="00F37C7A" w:rsidRDefault="00181986" w:rsidP="00E27B4F">
      <w:pPr>
        <w:pStyle w:val="FootnoteText"/>
      </w:pPr>
      <w:r>
        <w:rPr>
          <w:sz w:val="20"/>
        </w:rPr>
        <w:tab/>
      </w:r>
      <w:r w:rsidRPr="00F37C7A">
        <w:rPr>
          <w:rStyle w:val="FootnoteReference"/>
          <w:szCs w:val="18"/>
        </w:rPr>
        <w:footnoteRef/>
      </w:r>
      <w:r w:rsidRPr="00F512BB">
        <w:rPr>
          <w:lang w:val="en-GB"/>
        </w:rPr>
        <w:tab/>
      </w:r>
      <w:r w:rsidRPr="00F37C7A">
        <w:t xml:space="preserve">The </w:t>
      </w:r>
      <w:r w:rsidRPr="00E31546">
        <w:t>author</w:t>
      </w:r>
      <w:r w:rsidRPr="00F37C7A">
        <w:t xml:space="preserve"> refers </w:t>
      </w:r>
      <w:r>
        <w:t xml:space="preserve">to </w:t>
      </w:r>
      <w:r w:rsidRPr="00F37C7A">
        <w:t xml:space="preserve">her </w:t>
      </w:r>
      <w:r>
        <w:t xml:space="preserve">initial communication </w:t>
      </w:r>
      <w:r w:rsidRPr="00F37C7A">
        <w:t xml:space="preserve">and the </w:t>
      </w:r>
      <w:r>
        <w:t>reports</w:t>
      </w:r>
      <w:r w:rsidRPr="00F37C7A">
        <w:t xml:space="preserve"> cited therein. </w:t>
      </w:r>
    </w:p>
  </w:footnote>
  <w:footnote w:id="14">
    <w:p w14:paraId="0CEBC5D7" w14:textId="77777777" w:rsidR="00181986" w:rsidRPr="00F37C7A" w:rsidRDefault="00181986" w:rsidP="008C35C2">
      <w:pPr>
        <w:pStyle w:val="FootnoteText"/>
        <w:rPr>
          <w:i/>
        </w:rPr>
      </w:pPr>
      <w:r w:rsidRPr="00F37C7A">
        <w:tab/>
      </w:r>
      <w:r w:rsidRPr="00F37C7A">
        <w:rPr>
          <w:rStyle w:val="FootnoteReference"/>
          <w:szCs w:val="18"/>
        </w:rPr>
        <w:footnoteRef/>
      </w:r>
      <w:r>
        <w:rPr>
          <w:lang w:val="en-GB"/>
        </w:rPr>
        <w:tab/>
      </w:r>
      <w:r>
        <w:t xml:space="preserve">See </w:t>
      </w:r>
      <w:r w:rsidRPr="00F37C7A">
        <w:t>Jesuit Refugee Service</w:t>
      </w:r>
      <w:r>
        <w:t xml:space="preserve"> Europe</w:t>
      </w:r>
      <w:r w:rsidRPr="00F37C7A">
        <w:t xml:space="preserve">, </w:t>
      </w:r>
      <w:r>
        <w:rPr>
          <w:i/>
        </w:rPr>
        <w:t xml:space="preserve">Protection Interrupted </w:t>
      </w:r>
      <w:r>
        <w:t xml:space="preserve">(see note </w:t>
      </w:r>
      <w:r w:rsidR="008C35C2">
        <w:t>5</w:t>
      </w:r>
      <w:r>
        <w:t>)</w:t>
      </w:r>
      <w:r w:rsidRPr="00F37C7A">
        <w:t>, p. 152</w:t>
      </w:r>
      <w:r>
        <w:t xml:space="preserve"> </w:t>
      </w:r>
      <w:r w:rsidRPr="00F37C7A">
        <w:t xml:space="preserve">. </w:t>
      </w:r>
    </w:p>
  </w:footnote>
  <w:footnote w:id="15">
    <w:p w14:paraId="4C118F8A" w14:textId="77777777" w:rsidR="00181986" w:rsidRPr="002A7D55" w:rsidRDefault="00181986" w:rsidP="002A7D55">
      <w:pPr>
        <w:pStyle w:val="FootnoteText"/>
        <w:rPr>
          <w:szCs w:val="18"/>
          <w:lang w:val="en-GB"/>
        </w:rPr>
      </w:pPr>
      <w:r w:rsidRPr="00F37C7A">
        <w:tab/>
      </w:r>
      <w:r w:rsidRPr="00F37C7A">
        <w:rPr>
          <w:rStyle w:val="FootnoteReference"/>
          <w:szCs w:val="18"/>
        </w:rPr>
        <w:footnoteRef/>
      </w:r>
      <w:r w:rsidRPr="00F512BB">
        <w:rPr>
          <w:lang w:val="en-GB"/>
        </w:rPr>
        <w:tab/>
      </w:r>
      <w:r>
        <w:rPr>
          <w:lang w:val="en-GB"/>
        </w:rPr>
        <w:t xml:space="preserve">See </w:t>
      </w:r>
      <w:r w:rsidRPr="00716FE4">
        <w:rPr>
          <w:i/>
        </w:rPr>
        <w:t>Mohammed Hussein</w:t>
      </w:r>
      <w:r>
        <w:rPr>
          <w:i/>
        </w:rPr>
        <w:t xml:space="preserve"> </w:t>
      </w:r>
      <w:r w:rsidRPr="006B2854">
        <w:rPr>
          <w:i/>
          <w:iCs/>
        </w:rPr>
        <w:t>and Others v. the Netherlands and Italy</w:t>
      </w:r>
      <w:r>
        <w:t>, para. 77</w:t>
      </w:r>
      <w:r w:rsidRPr="002A7D55">
        <w:rPr>
          <w:rStyle w:val="sb8d990e2"/>
          <w:szCs w:val="18"/>
          <w:lang w:val="en-GB"/>
        </w:rPr>
        <w:t>.</w:t>
      </w:r>
    </w:p>
  </w:footnote>
  <w:footnote w:id="16">
    <w:p w14:paraId="58BC7115" w14:textId="77777777" w:rsidR="00181986" w:rsidRPr="00F37C7A" w:rsidRDefault="00181986" w:rsidP="00F758C1">
      <w:pPr>
        <w:pStyle w:val="FootnoteText"/>
        <w:rPr>
          <w:highlight w:val="yellow"/>
        </w:rPr>
      </w:pPr>
      <w:r w:rsidRPr="00F512BB">
        <w:rPr>
          <w:lang w:val="en-GB"/>
        </w:rPr>
        <w:tab/>
      </w:r>
      <w:r w:rsidRPr="00F37C7A">
        <w:rPr>
          <w:rStyle w:val="FootnoteReference"/>
          <w:szCs w:val="18"/>
        </w:rPr>
        <w:footnoteRef/>
      </w:r>
      <w:r w:rsidRPr="00F512BB">
        <w:rPr>
          <w:lang w:val="en-GB"/>
        </w:rPr>
        <w:tab/>
      </w:r>
      <w:r>
        <w:rPr>
          <w:lang w:val="en-GB"/>
        </w:rPr>
        <w:t xml:space="preserve">See European Court of Human Rights, </w:t>
      </w:r>
      <w:r w:rsidRPr="00F37C7A">
        <w:rPr>
          <w:i/>
        </w:rPr>
        <w:t>Tarakhel</w:t>
      </w:r>
      <w:r w:rsidRPr="00F37C7A">
        <w:t xml:space="preserve"> </w:t>
      </w:r>
      <w:r w:rsidRPr="006E6A7F">
        <w:rPr>
          <w:i/>
          <w:iCs/>
        </w:rPr>
        <w:t>v.</w:t>
      </w:r>
      <w:r w:rsidRPr="00F37C7A">
        <w:t xml:space="preserve"> </w:t>
      </w:r>
      <w:r w:rsidRPr="00F37C7A">
        <w:rPr>
          <w:i/>
        </w:rPr>
        <w:t>Switzerland</w:t>
      </w:r>
      <w:r>
        <w:t>, application N</w:t>
      </w:r>
      <w:r w:rsidRPr="00F37C7A">
        <w:t>o. 29217/</w:t>
      </w:r>
      <w:r>
        <w:t>12, judgment adopted on 10 September 2014</w:t>
      </w:r>
      <w:r w:rsidRPr="00F37C7A">
        <w:t>.</w:t>
      </w:r>
    </w:p>
  </w:footnote>
  <w:footnote w:id="17">
    <w:p w14:paraId="504B0533" w14:textId="77777777" w:rsidR="00181986" w:rsidRDefault="00181986" w:rsidP="00F758C1">
      <w:pPr>
        <w:pStyle w:val="FootnoteText"/>
      </w:pPr>
      <w:r>
        <w:tab/>
      </w:r>
      <w:r>
        <w:rPr>
          <w:rStyle w:val="FootnoteReference"/>
        </w:rPr>
        <w:footnoteRef/>
      </w:r>
      <w:r>
        <w:t xml:space="preserve"> </w:t>
      </w:r>
      <w:r>
        <w:tab/>
        <w:t>Ibid., para.  95.</w:t>
      </w:r>
    </w:p>
  </w:footnote>
  <w:footnote w:id="18">
    <w:p w14:paraId="691355CF" w14:textId="77777777" w:rsidR="00181986" w:rsidRDefault="00181986" w:rsidP="00AF0301">
      <w:pPr>
        <w:pStyle w:val="FootnoteText"/>
      </w:pPr>
      <w:r>
        <w:tab/>
      </w:r>
      <w:r>
        <w:rPr>
          <w:rStyle w:val="FootnoteReference"/>
        </w:rPr>
        <w:footnoteRef/>
      </w:r>
      <w:r>
        <w:t xml:space="preserve"> </w:t>
      </w:r>
      <w:r>
        <w:tab/>
        <w:t xml:space="preserve">See the Committee’s </w:t>
      </w:r>
      <w:r w:rsidRPr="00606B7C">
        <w:rPr>
          <w:lang w:val="en-GB"/>
        </w:rPr>
        <w:t>general comment No. 31</w:t>
      </w:r>
      <w:r>
        <w:rPr>
          <w:lang w:val="en-GB"/>
        </w:rPr>
        <w:t xml:space="preserve"> (2004) on the nature of the general legal obligation imposed on States parties to the Covenant, para. 12.</w:t>
      </w:r>
    </w:p>
  </w:footnote>
  <w:footnote w:id="19">
    <w:p w14:paraId="25CFCFB3" w14:textId="77777777" w:rsidR="00181986" w:rsidRDefault="00181986" w:rsidP="002A7D55">
      <w:pPr>
        <w:pStyle w:val="FootnoteText"/>
      </w:pPr>
      <w:r>
        <w:tab/>
      </w:r>
      <w:r>
        <w:rPr>
          <w:rStyle w:val="FootnoteReference"/>
          <w:sz w:val="20"/>
        </w:rPr>
        <w:footnoteRef/>
      </w:r>
      <w:r>
        <w:tab/>
        <w:t>See communication</w:t>
      </w:r>
      <w:r w:rsidRPr="00436E7E">
        <w:rPr>
          <w:lang w:val="en-GB"/>
        </w:rPr>
        <w:t>s</w:t>
      </w:r>
      <w:r>
        <w:t xml:space="preserve"> </w:t>
      </w:r>
      <w:r>
        <w:rPr>
          <w:lang w:val="en-GB"/>
        </w:rPr>
        <w:t>N</w:t>
      </w:r>
      <w:r w:rsidRPr="00436E7E">
        <w:rPr>
          <w:lang w:val="en-GB"/>
        </w:rPr>
        <w:t>o.</w:t>
      </w:r>
      <w:r>
        <w:t xml:space="preserve"> </w:t>
      </w:r>
      <w:r w:rsidRPr="00436E7E">
        <w:rPr>
          <w:lang w:val="en-GB"/>
        </w:rPr>
        <w:t xml:space="preserve">2007/2010, </w:t>
      </w:r>
      <w:r>
        <w:rPr>
          <w:i/>
          <w:lang w:val="en-GB"/>
        </w:rPr>
        <w:t xml:space="preserve">X </w:t>
      </w:r>
      <w:r w:rsidRPr="00973F26">
        <w:rPr>
          <w:i/>
          <w:lang w:val="en-GB"/>
        </w:rPr>
        <w:t xml:space="preserve"> v. Denmark</w:t>
      </w:r>
      <w:r>
        <w:rPr>
          <w:lang w:val="en-GB"/>
        </w:rPr>
        <w:t>, Views adopted on 26 March 2014, para. 9.2;</w:t>
      </w:r>
      <w:r w:rsidRPr="00973F26">
        <w:rPr>
          <w:lang w:val="en-GB"/>
        </w:rPr>
        <w:t xml:space="preserve"> </w:t>
      </w:r>
      <w:r w:rsidRPr="00AD13B3">
        <w:t xml:space="preserve">No. 282/2005, </w:t>
      </w:r>
      <w:r w:rsidRPr="00AD13B3">
        <w:rPr>
          <w:i/>
        </w:rPr>
        <w:t xml:space="preserve">S.P.A. </w:t>
      </w:r>
      <w:r w:rsidRPr="006E6A7F">
        <w:rPr>
          <w:i/>
          <w:iCs/>
        </w:rPr>
        <w:t>v.</w:t>
      </w:r>
      <w:r w:rsidRPr="00AD13B3">
        <w:rPr>
          <w:i/>
        </w:rPr>
        <w:t xml:space="preserve"> Canada</w:t>
      </w:r>
      <w:r>
        <w:t>,</w:t>
      </w:r>
      <w:r w:rsidRPr="00AD13B3">
        <w:t xml:space="preserve"> decision adopted on 7 November 2006; No.</w:t>
      </w:r>
      <w:r>
        <w:t> </w:t>
      </w:r>
      <w:r w:rsidRPr="00AD13B3">
        <w:t xml:space="preserve">333/2007, </w:t>
      </w:r>
      <w:r w:rsidRPr="00AD13B3">
        <w:rPr>
          <w:i/>
        </w:rPr>
        <w:t xml:space="preserve">T.I. </w:t>
      </w:r>
      <w:r w:rsidRPr="000A43A2">
        <w:rPr>
          <w:i/>
          <w:iCs/>
        </w:rPr>
        <w:t>v.</w:t>
      </w:r>
      <w:r w:rsidRPr="00AD13B3">
        <w:rPr>
          <w:i/>
        </w:rPr>
        <w:t xml:space="preserve"> Canada</w:t>
      </w:r>
      <w:r w:rsidRPr="00AD13B3">
        <w:t>,</w:t>
      </w:r>
      <w:r>
        <w:t xml:space="preserve"> </w:t>
      </w:r>
      <w:r w:rsidRPr="00AD13B3">
        <w:t xml:space="preserve">decision adopted on 15 November 2010; No. 344/2008, </w:t>
      </w:r>
      <w:r w:rsidRPr="00AD13B3">
        <w:rPr>
          <w:i/>
        </w:rPr>
        <w:t xml:space="preserve">A.M.A. </w:t>
      </w:r>
      <w:r w:rsidRPr="000A43A2">
        <w:rPr>
          <w:i/>
          <w:iCs/>
        </w:rPr>
        <w:t>v.</w:t>
      </w:r>
      <w:r>
        <w:rPr>
          <w:i/>
        </w:rPr>
        <w:t> </w:t>
      </w:r>
      <w:r w:rsidRPr="00AD13B3">
        <w:rPr>
          <w:i/>
        </w:rPr>
        <w:t>Switzerland</w:t>
      </w:r>
      <w:r w:rsidRPr="00AD13B3">
        <w:t>,</w:t>
      </w:r>
      <w:r>
        <w:t xml:space="preserve"> </w:t>
      </w:r>
      <w:r w:rsidRPr="00AD13B3">
        <w:t>decision adopted on 12 November 2010</w:t>
      </w:r>
      <w:r w:rsidRPr="00973F26">
        <w:rPr>
          <w:lang w:val="en-GB"/>
        </w:rPr>
        <w:t>;</w:t>
      </w:r>
      <w:r w:rsidRPr="00973F26">
        <w:t xml:space="preserve"> </w:t>
      </w:r>
      <w:r>
        <w:t xml:space="preserve">No. 692/1996, </w:t>
      </w:r>
      <w:r>
        <w:rPr>
          <w:i/>
          <w:iCs/>
        </w:rPr>
        <w:t xml:space="preserve">A.R.J. v. Australia, </w:t>
      </w:r>
      <w:r>
        <w:t xml:space="preserve">Views adopted on 28 July 1997, para. 6.6; </w:t>
      </w:r>
      <w:r>
        <w:rPr>
          <w:lang w:val="en-GB"/>
        </w:rPr>
        <w:t xml:space="preserve">and No. </w:t>
      </w:r>
      <w:r>
        <w:t>1833/2008</w:t>
      </w:r>
      <w:r>
        <w:rPr>
          <w:i/>
        </w:rPr>
        <w:t>, X. v. Sweden</w:t>
      </w:r>
      <w:r>
        <w:t xml:space="preserve">, Views adopted on 1 November 2011, para. 5.18. </w:t>
      </w:r>
    </w:p>
  </w:footnote>
  <w:footnote w:id="20">
    <w:p w14:paraId="305FD647" w14:textId="77777777" w:rsidR="00181986" w:rsidRPr="0047783F" w:rsidRDefault="00181986" w:rsidP="00992391">
      <w:pPr>
        <w:pStyle w:val="FootnoteText"/>
        <w:rPr>
          <w:lang w:val="en-GB"/>
        </w:rPr>
      </w:pPr>
      <w:r w:rsidRPr="0047783F">
        <w:rPr>
          <w:lang w:val="en-GB"/>
        </w:rPr>
        <w:tab/>
      </w:r>
      <w:r>
        <w:rPr>
          <w:rStyle w:val="FootnoteReference"/>
        </w:rPr>
        <w:footnoteRef/>
      </w:r>
      <w:r w:rsidRPr="00F512BB">
        <w:rPr>
          <w:lang w:val="en-GB"/>
        </w:rPr>
        <w:tab/>
      </w:r>
      <w:r>
        <w:rPr>
          <w:lang w:val="en-GB"/>
        </w:rPr>
        <w:t>See AIDA</w:t>
      </w:r>
      <w:r w:rsidRPr="0047783F">
        <w:rPr>
          <w:lang w:val="en-GB"/>
        </w:rPr>
        <w:t xml:space="preserve">, </w:t>
      </w:r>
      <w:r w:rsidRPr="002A7D55">
        <w:rPr>
          <w:i/>
          <w:iCs/>
          <w:lang w:val="en-GB"/>
        </w:rPr>
        <w:t>Country report: Italy</w:t>
      </w:r>
      <w:r w:rsidRPr="0047783F">
        <w:rPr>
          <w:lang w:val="en-GB"/>
        </w:rPr>
        <w:t xml:space="preserve">, January 2015, </w:t>
      </w:r>
      <w:r>
        <w:rPr>
          <w:lang w:val="en-GB"/>
        </w:rPr>
        <w:t xml:space="preserve">p. 54-55, </w:t>
      </w:r>
      <w:r w:rsidRPr="0047783F">
        <w:rPr>
          <w:lang w:val="en-GB"/>
        </w:rPr>
        <w:t xml:space="preserve">available at </w:t>
      </w:r>
      <w:hyperlink r:id="rId2" w:history="1">
        <w:r w:rsidRPr="00992391">
          <w:rPr>
            <w:rStyle w:val="Hyperlink"/>
            <w:lang w:val="en-GB"/>
          </w:rPr>
          <w:t>www.asylumineurope.org/sites/default/files/report-download/aida_italy_thirdupdate_final_0.pdf</w:t>
        </w:r>
      </w:hyperlink>
      <w:r>
        <w:rPr>
          <w:lang w:val="en-GB"/>
        </w:rPr>
        <w:t xml:space="preserve"> .</w:t>
      </w:r>
    </w:p>
  </w:footnote>
  <w:footnote w:id="21">
    <w:p w14:paraId="67AC29DF" w14:textId="77777777" w:rsidR="00181986" w:rsidRPr="00407B5E" w:rsidRDefault="00181986" w:rsidP="00992391">
      <w:pPr>
        <w:pStyle w:val="FootnoteText"/>
        <w:rPr>
          <w:lang w:val="en-GB"/>
        </w:rPr>
      </w:pPr>
      <w:r>
        <w:rPr>
          <w:lang w:val="en-GB"/>
        </w:rPr>
        <w:tab/>
      </w:r>
      <w:r>
        <w:rPr>
          <w:rStyle w:val="FootnoteReference"/>
        </w:rPr>
        <w:footnoteRef/>
      </w:r>
      <w:r>
        <w:tab/>
        <w:t xml:space="preserve">See </w:t>
      </w:r>
      <w:r w:rsidRPr="00340F4A">
        <w:rPr>
          <w:i/>
        </w:rPr>
        <w:t>Mohammed Hussein</w:t>
      </w:r>
      <w:r>
        <w:rPr>
          <w:i/>
        </w:rPr>
        <w:t xml:space="preserve"> </w:t>
      </w:r>
      <w:r w:rsidRPr="006B2854">
        <w:rPr>
          <w:i/>
          <w:iCs/>
        </w:rPr>
        <w:t>and Others v. the Netherlands and Italy</w:t>
      </w:r>
      <w:r>
        <w:t>.</w:t>
      </w:r>
    </w:p>
  </w:footnote>
  <w:footnote w:id="22">
    <w:p w14:paraId="52CF462C" w14:textId="77777777" w:rsidR="00181986" w:rsidRPr="00960D88" w:rsidRDefault="00181986" w:rsidP="00992391">
      <w:pPr>
        <w:pStyle w:val="FootnoteText"/>
      </w:pPr>
      <w:r>
        <w:tab/>
      </w:r>
      <w:r>
        <w:rPr>
          <w:rStyle w:val="FootnoteReference"/>
        </w:rPr>
        <w:footnoteRef/>
      </w:r>
      <w:r>
        <w:tab/>
        <w:t>See for example, c</w:t>
      </w:r>
      <w:r>
        <w:rPr>
          <w:lang w:val="en-GB"/>
        </w:rPr>
        <w:t>ommunication No.</w:t>
      </w:r>
      <w:r>
        <w:rPr>
          <w:lang w:val="en-GB" w:bidi="he-IL"/>
        </w:rPr>
        <w:t xml:space="preserve"> </w:t>
      </w:r>
      <w:r w:rsidRPr="00A60FC1">
        <w:rPr>
          <w:lang w:val="en-GB" w:bidi="he-IL"/>
        </w:rPr>
        <w:t>1763/2008</w:t>
      </w:r>
      <w:r>
        <w:rPr>
          <w:lang w:val="en-GB" w:bidi="he-IL"/>
        </w:rPr>
        <w:t>,</w:t>
      </w:r>
      <w:r w:rsidRPr="003570F8">
        <w:rPr>
          <w:lang w:val="en-GB"/>
        </w:rPr>
        <w:t xml:space="preserve"> </w:t>
      </w:r>
      <w:r w:rsidRPr="006B2854">
        <w:rPr>
          <w:i/>
          <w:iCs/>
          <w:lang w:val="en-GB" w:bidi="he-IL"/>
        </w:rPr>
        <w:t>Pillai</w:t>
      </w:r>
      <w:r w:rsidRPr="006B2854">
        <w:rPr>
          <w:i/>
          <w:iCs/>
          <w:lang w:val="en-GB"/>
        </w:rPr>
        <w:t xml:space="preserve"> v. </w:t>
      </w:r>
      <w:r w:rsidRPr="006B2854">
        <w:rPr>
          <w:i/>
          <w:iCs/>
          <w:lang w:val="en-GB" w:bidi="he-IL"/>
        </w:rPr>
        <w:t>Canada</w:t>
      </w:r>
      <w:r>
        <w:rPr>
          <w:lang w:val="en-GB" w:bidi="he-IL"/>
        </w:rPr>
        <w:t xml:space="preserve">, </w:t>
      </w:r>
      <w:r w:rsidRPr="003570F8">
        <w:rPr>
          <w:lang w:val="en-GB"/>
        </w:rPr>
        <w:t xml:space="preserve">Views adopted </w:t>
      </w:r>
      <w:r>
        <w:rPr>
          <w:lang w:val="en-GB"/>
        </w:rPr>
        <w:t>on</w:t>
      </w:r>
      <w:r>
        <w:rPr>
          <w:lang w:val="en-GB" w:bidi="he-IL"/>
        </w:rPr>
        <w:t xml:space="preserve"> 25 March 2011</w:t>
      </w:r>
      <w:r>
        <w:rPr>
          <w:lang w:val="en-GB"/>
        </w:rPr>
        <w:t>,</w:t>
      </w:r>
      <w:r w:rsidRPr="003570F8">
        <w:rPr>
          <w:lang w:val="en-GB"/>
        </w:rPr>
        <w:t xml:space="preserve">  para</w:t>
      </w:r>
      <w:r>
        <w:rPr>
          <w:lang w:val="en-GB"/>
        </w:rPr>
        <w:t>s</w:t>
      </w:r>
      <w:r w:rsidRPr="003570F8">
        <w:rPr>
          <w:lang w:val="en-GB"/>
        </w:rPr>
        <w:t>.</w:t>
      </w:r>
      <w:r>
        <w:rPr>
          <w:lang w:val="en-GB" w:bidi="he-IL"/>
        </w:rPr>
        <w:t>11.2 and</w:t>
      </w:r>
      <w:r w:rsidRPr="00960D88">
        <w:rPr>
          <w:lang w:bidi="he-IL"/>
        </w:rPr>
        <w:t xml:space="preserve"> 11.4</w:t>
      </w:r>
      <w:r>
        <w:rPr>
          <w:lang w:bidi="he-IL"/>
        </w:rPr>
        <w:t>.</w:t>
      </w:r>
    </w:p>
  </w:footnote>
  <w:footnote w:id="23">
    <w:p w14:paraId="74C3F0FB" w14:textId="77777777" w:rsidR="00181986" w:rsidRPr="002A7D55" w:rsidRDefault="00181986" w:rsidP="00DC190E">
      <w:pPr>
        <w:pStyle w:val="FootnoteText"/>
        <w:widowControl w:val="0"/>
        <w:rPr>
          <w:lang w:val="en-GB"/>
        </w:rPr>
      </w:pPr>
      <w:r>
        <w:tab/>
      </w:r>
      <w:r>
        <w:rPr>
          <w:rStyle w:val="FootnoteReference"/>
        </w:rPr>
        <w:footnoteRef/>
      </w:r>
      <w:r>
        <w:tab/>
        <w:t xml:space="preserve">UNHCR, </w:t>
      </w:r>
      <w:r>
        <w:rPr>
          <w:lang w:bidi="he-IL"/>
        </w:rPr>
        <w:t>ExCom Conclusion No. 103(LVI) (2005), Conclusions on the provision on international protection through complementary forms of protection</w:t>
      </w:r>
      <w:r w:rsidRPr="002A7D55">
        <w:rPr>
          <w:lang w:val="en-GB" w:bidi="he-IL"/>
        </w:rPr>
        <w:t>.</w:t>
      </w:r>
      <w:r>
        <w:rPr>
          <w:lang w:bidi="he-IL"/>
        </w:rPr>
        <w:t xml:space="preserve"> </w:t>
      </w:r>
    </w:p>
  </w:footnote>
  <w:footnote w:id="24">
    <w:p w14:paraId="1C00B5B6" w14:textId="77777777" w:rsidR="00181986" w:rsidRPr="002A7D55" w:rsidRDefault="00181986" w:rsidP="00DC190E">
      <w:pPr>
        <w:pStyle w:val="FootnoteText"/>
        <w:widowControl w:val="0"/>
        <w:rPr>
          <w:lang w:val="en-GB"/>
        </w:rPr>
      </w:pPr>
      <w:r>
        <w:tab/>
      </w:r>
      <w:r>
        <w:rPr>
          <w:rStyle w:val="FootnoteReference"/>
        </w:rPr>
        <w:footnoteRef/>
      </w:r>
      <w:r>
        <w:tab/>
        <w:t xml:space="preserve">Council of the European Union, </w:t>
      </w:r>
      <w:r>
        <w:rPr>
          <w:lang w:bidi="he-IL"/>
        </w:rPr>
        <w:t>Council Regulation (EC) No. 343/2003 of 18 February 2003 (Dublin II Regulation); and European Parliament and Council of the European Union, Regulation (EU) No. 604/2013 of  26 June 2013 (Dublin III Regulation).</w:t>
      </w:r>
      <w:r>
        <w:t xml:space="preserve"> </w:t>
      </w:r>
    </w:p>
  </w:footnote>
  <w:footnote w:id="25">
    <w:p w14:paraId="6247C994" w14:textId="77777777" w:rsidR="00181986" w:rsidRPr="002A7D55" w:rsidRDefault="00181986" w:rsidP="00DC190E">
      <w:pPr>
        <w:pStyle w:val="FootnoteText"/>
        <w:widowControl w:val="0"/>
        <w:rPr>
          <w:lang w:val="en-GB"/>
        </w:rPr>
      </w:pPr>
      <w:r>
        <w:tab/>
      </w:r>
      <w:r>
        <w:rPr>
          <w:rStyle w:val="FootnoteReference"/>
        </w:rPr>
        <w:footnoteRef/>
      </w:r>
      <w:r w:rsidRPr="00DC190E">
        <w:tab/>
      </w:r>
      <w:r w:rsidRPr="007F7EEA">
        <w:t xml:space="preserve">See </w:t>
      </w:r>
      <w:r>
        <w:t xml:space="preserve">UNHCR, </w:t>
      </w:r>
      <w:r w:rsidRPr="00786853">
        <w:rPr>
          <w:lang w:bidi="he-IL"/>
        </w:rPr>
        <w:t xml:space="preserve">ExCom </w:t>
      </w:r>
      <w:r w:rsidRPr="007F7EEA">
        <w:rPr>
          <w:lang w:bidi="he-IL"/>
        </w:rPr>
        <w:t xml:space="preserve">Conclusion </w:t>
      </w:r>
      <w:r w:rsidRPr="00786853">
        <w:rPr>
          <w:lang w:bidi="he-IL"/>
        </w:rPr>
        <w:t>No. 103</w:t>
      </w:r>
      <w:r>
        <w:rPr>
          <w:lang w:bidi="he-IL"/>
        </w:rPr>
        <w:t xml:space="preserve"> (LVI) (2005) (note a above)</w:t>
      </w:r>
      <w:r w:rsidRPr="00786853">
        <w:rPr>
          <w:lang w:bidi="he-IL"/>
        </w:rPr>
        <w:t xml:space="preserve">, para. </w:t>
      </w:r>
      <w:r>
        <w:rPr>
          <w:lang w:bidi="he-IL"/>
        </w:rPr>
        <w:t>(m)</w:t>
      </w:r>
      <w:r w:rsidRPr="00DC190E">
        <w:rPr>
          <w:lang w:bidi="he-IL"/>
        </w:rPr>
        <w:t>; Dublin II</w:t>
      </w:r>
      <w:r w:rsidRPr="002A7D55">
        <w:rPr>
          <w:lang w:bidi="he-IL"/>
        </w:rPr>
        <w:t xml:space="preserve"> Regulation</w:t>
      </w:r>
      <w:r w:rsidRPr="00DC190E">
        <w:rPr>
          <w:lang w:bidi="he-IL"/>
        </w:rPr>
        <w:t xml:space="preserve">, </w:t>
      </w:r>
      <w:r>
        <w:rPr>
          <w:lang w:bidi="he-IL"/>
        </w:rPr>
        <w:t xml:space="preserve">preambular </w:t>
      </w:r>
      <w:r w:rsidRPr="00DC190E">
        <w:rPr>
          <w:lang w:bidi="he-IL"/>
        </w:rPr>
        <w:t xml:space="preserve">para. </w:t>
      </w:r>
      <w:r>
        <w:rPr>
          <w:lang w:bidi="he-IL"/>
        </w:rPr>
        <w:t>2 and art. 2 (c); and Dublin III Regulation, preambular paras. 3 and 10.</w:t>
      </w:r>
      <w:r>
        <w:t xml:space="preserve"> </w:t>
      </w:r>
    </w:p>
  </w:footnote>
  <w:footnote w:id="26">
    <w:p w14:paraId="770D1106" w14:textId="77777777" w:rsidR="00181986" w:rsidRPr="002A7D55" w:rsidRDefault="00181986" w:rsidP="00405363">
      <w:pPr>
        <w:pStyle w:val="FootnoteText"/>
        <w:widowControl w:val="0"/>
        <w:rPr>
          <w:lang w:val="en-GB"/>
        </w:rPr>
      </w:pPr>
      <w:r>
        <w:tab/>
      </w:r>
      <w:r>
        <w:rPr>
          <w:rStyle w:val="FootnoteReference"/>
        </w:rPr>
        <w:footnoteRef/>
      </w:r>
      <w:r>
        <w:tab/>
        <w:t xml:space="preserve">UNHCR, </w:t>
      </w:r>
      <w:r w:rsidRPr="007F7EEA">
        <w:rPr>
          <w:i/>
          <w:iCs/>
        </w:rPr>
        <w:t>Complementary Forms of Protection: Their Nature and Relationship to the International Refugee Protection Regime</w:t>
      </w:r>
      <w:r>
        <w:t xml:space="preserve">, 9 June 2000 (EC/50/SC/CRP.18), </w:t>
      </w:r>
      <w:r>
        <w:rPr>
          <w:lang w:bidi="he-IL"/>
        </w:rPr>
        <w:t>para. 17.</w:t>
      </w:r>
      <w:r>
        <w:t xml:space="preserve"> </w:t>
      </w:r>
    </w:p>
  </w:footnote>
  <w:footnote w:id="27">
    <w:p w14:paraId="4B53005A" w14:textId="77777777" w:rsidR="00181986" w:rsidRPr="002A7D55" w:rsidRDefault="00181986" w:rsidP="000F7E2C">
      <w:pPr>
        <w:pStyle w:val="FootnoteText"/>
        <w:widowControl w:val="0"/>
        <w:rPr>
          <w:lang w:val="en-GB"/>
        </w:rPr>
      </w:pPr>
      <w:r>
        <w:tab/>
      </w:r>
      <w:r>
        <w:rPr>
          <w:rStyle w:val="FootnoteReference"/>
        </w:rPr>
        <w:footnoteRef/>
      </w:r>
      <w:r>
        <w:tab/>
      </w:r>
      <w:r>
        <w:rPr>
          <w:lang w:bidi="he-IL"/>
        </w:rPr>
        <w:t>Council of the European Union, Council Directive 2004/83/EC of 29 April 2004 (the Qualification Directive), arts. 28-29, as amended by European Parliament and Council of the European Union, Directive 2011/95/EU of 13 December 2011 (the recast Qualification Directive), arts. 29-30, which confers basic ben</w:t>
      </w:r>
      <w:r w:rsidR="00944F79">
        <w:rPr>
          <w:lang w:bidi="he-IL"/>
        </w:rPr>
        <w:t>e</w:t>
      </w:r>
      <w:r>
        <w:rPr>
          <w:lang w:bidi="he-IL"/>
        </w:rPr>
        <w:t>fits on those entitled to subsidiary protection.</w:t>
      </w:r>
      <w:r>
        <w:t xml:space="preserve"> </w:t>
      </w:r>
      <w:r>
        <w:rPr>
          <w:lang w:bidi="he-IL"/>
        </w:rPr>
        <w:t>These provisions resemble Council Directive 2003/9/EC of 27 January.2003 (the Reception Directive), art. 13, as amended by European Parliament and Council of the European Union Directive 2013/33/EU of 26 June 2013 (the recast Reception Directive), arts. 17-19, which confers basic benefits on asylum seekers.</w:t>
      </w:r>
    </w:p>
  </w:footnote>
  <w:footnote w:id="28">
    <w:p w14:paraId="4A414932" w14:textId="77777777" w:rsidR="00181986" w:rsidRPr="002A7D55" w:rsidRDefault="00181986" w:rsidP="00C62B52">
      <w:pPr>
        <w:pStyle w:val="FootnoteText"/>
        <w:widowControl w:val="0"/>
        <w:rPr>
          <w:lang w:val="en-GB"/>
        </w:rPr>
      </w:pPr>
      <w:r>
        <w:tab/>
      </w:r>
      <w:r>
        <w:rPr>
          <w:rStyle w:val="FootnoteReference"/>
        </w:rPr>
        <w:footnoteRef/>
      </w:r>
      <w:r>
        <w:tab/>
      </w:r>
      <w:r>
        <w:rPr>
          <w:lang w:bidi="he-IL"/>
        </w:rPr>
        <w:t xml:space="preserve">See, for example, </w:t>
      </w:r>
      <w:r w:rsidRPr="007F7EEA">
        <w:rPr>
          <w:i/>
          <w:iCs/>
          <w:lang w:bidi="he-IL"/>
        </w:rPr>
        <w:t>Penelope Mathew, Reworking the Relationship between Asylum and Employment</w:t>
      </w:r>
      <w:r>
        <w:rPr>
          <w:lang w:bidi="he-IL"/>
        </w:rPr>
        <w:t xml:space="preserve"> (New York, Routledge, 2012), p. 88; and James C. Hathaway and Michelle Foster, </w:t>
      </w:r>
      <w:r w:rsidRPr="007F7EEA">
        <w:rPr>
          <w:i/>
          <w:iCs/>
          <w:lang w:bidi="he-IL"/>
        </w:rPr>
        <w:t>The Law of Refugee Status</w:t>
      </w:r>
      <w:r>
        <w:rPr>
          <w:lang w:bidi="he-IL"/>
        </w:rPr>
        <w:t>, 2</w:t>
      </w:r>
      <w:r w:rsidRPr="007F7EEA">
        <w:rPr>
          <w:lang w:bidi="he-IL"/>
        </w:rPr>
        <w:t>nd</w:t>
      </w:r>
      <w:r>
        <w:rPr>
          <w:lang w:bidi="he-IL"/>
        </w:rPr>
        <w:t xml:space="preserve"> ed. (Cambridge, Cambridge University Press, 2014) 348.</w:t>
      </w:r>
      <w:r>
        <w:t xml:space="preserve"> </w:t>
      </w:r>
    </w:p>
  </w:footnote>
  <w:footnote w:id="29">
    <w:p w14:paraId="45A1EE76" w14:textId="77777777" w:rsidR="00181986" w:rsidRPr="00AF0301" w:rsidRDefault="00181986" w:rsidP="002A7D55">
      <w:pPr>
        <w:pStyle w:val="FootnoteText"/>
        <w:widowControl w:val="0"/>
      </w:pPr>
      <w:r>
        <w:tab/>
      </w:r>
      <w:r>
        <w:rPr>
          <w:rStyle w:val="FootnoteReference"/>
        </w:rPr>
        <w:footnoteRef/>
      </w:r>
      <w:r>
        <w:tab/>
      </w:r>
      <w:r>
        <w:rPr>
          <w:lang w:bidi="he-IL"/>
        </w:rPr>
        <w:t xml:space="preserve">See the Committee’s general comment 31(2004) </w:t>
      </w:r>
      <w:r>
        <w:rPr>
          <w:lang w:val="en-GB"/>
        </w:rPr>
        <w:t>on the nature of the general legal obligation imposed on States parties to the Covenant</w:t>
      </w:r>
      <w:r>
        <w:rPr>
          <w:lang w:bidi="he-IL"/>
        </w:rPr>
        <w:t>, para. 12.</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971B9" w14:textId="77777777" w:rsidR="00181986" w:rsidRPr="00E0440B" w:rsidRDefault="00181986">
    <w:pPr>
      <w:pStyle w:val="Header"/>
    </w:pPr>
    <w:r>
      <w:t>CCPR/C/114/D/2360/2014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6FC2B" w14:textId="77777777" w:rsidR="00181986" w:rsidRPr="00E0440B" w:rsidRDefault="00181986" w:rsidP="00E0440B">
    <w:pPr>
      <w:pStyle w:val="Header"/>
      <w:jc w:val="right"/>
    </w:pPr>
    <w:r>
      <w:t>CCPR/C/114/D/2360/2014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A325E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8003FD"/>
    <w:multiLevelType w:val="hybridMultilevel"/>
    <w:tmpl w:val="3FAC3CE6"/>
    <w:lvl w:ilvl="0" w:tplc="8C1ED3A6">
      <w:start w:val="1"/>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 w15:restartNumberingAfterBreak="0">
    <w:nsid w:val="480C28AA"/>
    <w:multiLevelType w:val="hybridMultilevel"/>
    <w:tmpl w:val="8E70E9EA"/>
    <w:lvl w:ilvl="0" w:tplc="DBD2970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C4647B"/>
    <w:multiLevelType w:val="hybridMultilevel"/>
    <w:tmpl w:val="CAB411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0"/>
  </w:num>
  <w:num w:numId="4">
    <w:abstractNumId w:val="3"/>
  </w:num>
  <w:num w:numId="5">
    <w:abstractNumId w:val="5"/>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40B"/>
    <w:rsid w:val="00010B81"/>
    <w:rsid w:val="000272B3"/>
    <w:rsid w:val="000337B4"/>
    <w:rsid w:val="0004348F"/>
    <w:rsid w:val="00043962"/>
    <w:rsid w:val="00046E75"/>
    <w:rsid w:val="00050F6B"/>
    <w:rsid w:val="00057E97"/>
    <w:rsid w:val="00060C3A"/>
    <w:rsid w:val="00063896"/>
    <w:rsid w:val="0006755C"/>
    <w:rsid w:val="00072C8C"/>
    <w:rsid w:val="000733B5"/>
    <w:rsid w:val="000771C6"/>
    <w:rsid w:val="00081815"/>
    <w:rsid w:val="00082720"/>
    <w:rsid w:val="000860F0"/>
    <w:rsid w:val="000931C0"/>
    <w:rsid w:val="000A43A2"/>
    <w:rsid w:val="000A5F83"/>
    <w:rsid w:val="000B175B"/>
    <w:rsid w:val="000B3A0F"/>
    <w:rsid w:val="000B4EF7"/>
    <w:rsid w:val="000C0213"/>
    <w:rsid w:val="000C23BA"/>
    <w:rsid w:val="000C2C03"/>
    <w:rsid w:val="000C2D2E"/>
    <w:rsid w:val="000D61A1"/>
    <w:rsid w:val="000D7F6A"/>
    <w:rsid w:val="000E0415"/>
    <w:rsid w:val="000E3E66"/>
    <w:rsid w:val="000F7E2C"/>
    <w:rsid w:val="00101388"/>
    <w:rsid w:val="00106A42"/>
    <w:rsid w:val="001103AA"/>
    <w:rsid w:val="00127BA0"/>
    <w:rsid w:val="001302D1"/>
    <w:rsid w:val="00130B46"/>
    <w:rsid w:val="00145BF9"/>
    <w:rsid w:val="00150893"/>
    <w:rsid w:val="00154220"/>
    <w:rsid w:val="00154958"/>
    <w:rsid w:val="00160006"/>
    <w:rsid w:val="0016150B"/>
    <w:rsid w:val="00163A2E"/>
    <w:rsid w:val="00164E53"/>
    <w:rsid w:val="00165F3A"/>
    <w:rsid w:val="00166E4E"/>
    <w:rsid w:val="0017044C"/>
    <w:rsid w:val="00171716"/>
    <w:rsid w:val="00174936"/>
    <w:rsid w:val="00174ABF"/>
    <w:rsid w:val="00181986"/>
    <w:rsid w:val="00183968"/>
    <w:rsid w:val="00194341"/>
    <w:rsid w:val="00194FD5"/>
    <w:rsid w:val="001A6686"/>
    <w:rsid w:val="001B4B04"/>
    <w:rsid w:val="001C6663"/>
    <w:rsid w:val="001C6F45"/>
    <w:rsid w:val="001C7895"/>
    <w:rsid w:val="001D0C8C"/>
    <w:rsid w:val="001D2619"/>
    <w:rsid w:val="001D26DF"/>
    <w:rsid w:val="001D3A03"/>
    <w:rsid w:val="00200505"/>
    <w:rsid w:val="00202DA8"/>
    <w:rsid w:val="00203005"/>
    <w:rsid w:val="002036B9"/>
    <w:rsid w:val="00211E0B"/>
    <w:rsid w:val="00212D6C"/>
    <w:rsid w:val="0023210C"/>
    <w:rsid w:val="0024302C"/>
    <w:rsid w:val="00246097"/>
    <w:rsid w:val="0025217E"/>
    <w:rsid w:val="00260BD7"/>
    <w:rsid w:val="00260ECF"/>
    <w:rsid w:val="00261CA7"/>
    <w:rsid w:val="002645B4"/>
    <w:rsid w:val="00267F5F"/>
    <w:rsid w:val="00273523"/>
    <w:rsid w:val="00274F67"/>
    <w:rsid w:val="00276466"/>
    <w:rsid w:val="00277E36"/>
    <w:rsid w:val="00280605"/>
    <w:rsid w:val="00284FFB"/>
    <w:rsid w:val="00286B4D"/>
    <w:rsid w:val="00297F9C"/>
    <w:rsid w:val="002A3D82"/>
    <w:rsid w:val="002A5F49"/>
    <w:rsid w:val="002A7D55"/>
    <w:rsid w:val="002B267A"/>
    <w:rsid w:val="002B584F"/>
    <w:rsid w:val="002C0496"/>
    <w:rsid w:val="002D4957"/>
    <w:rsid w:val="002D6955"/>
    <w:rsid w:val="002E0DE8"/>
    <w:rsid w:val="002E5C38"/>
    <w:rsid w:val="002F175C"/>
    <w:rsid w:val="002F26D5"/>
    <w:rsid w:val="00320241"/>
    <w:rsid w:val="003229D8"/>
    <w:rsid w:val="003250A3"/>
    <w:rsid w:val="0033435B"/>
    <w:rsid w:val="00340A39"/>
    <w:rsid w:val="00340F4A"/>
    <w:rsid w:val="003422B4"/>
    <w:rsid w:val="00342F82"/>
    <w:rsid w:val="00346E6D"/>
    <w:rsid w:val="00352709"/>
    <w:rsid w:val="00352CA5"/>
    <w:rsid w:val="0035479E"/>
    <w:rsid w:val="00367277"/>
    <w:rsid w:val="00367567"/>
    <w:rsid w:val="00371178"/>
    <w:rsid w:val="0038328F"/>
    <w:rsid w:val="0038336C"/>
    <w:rsid w:val="003930BF"/>
    <w:rsid w:val="0039595D"/>
    <w:rsid w:val="00396063"/>
    <w:rsid w:val="003A0E5C"/>
    <w:rsid w:val="003A6810"/>
    <w:rsid w:val="003B7685"/>
    <w:rsid w:val="003C2CC4"/>
    <w:rsid w:val="003C70B8"/>
    <w:rsid w:val="003D4B23"/>
    <w:rsid w:val="003D7ECB"/>
    <w:rsid w:val="003E051C"/>
    <w:rsid w:val="003E1F5C"/>
    <w:rsid w:val="003F151D"/>
    <w:rsid w:val="003F4071"/>
    <w:rsid w:val="00405363"/>
    <w:rsid w:val="00410C89"/>
    <w:rsid w:val="004124BD"/>
    <w:rsid w:val="00413C8E"/>
    <w:rsid w:val="004150C0"/>
    <w:rsid w:val="00416D29"/>
    <w:rsid w:val="004234D5"/>
    <w:rsid w:val="00426B9B"/>
    <w:rsid w:val="004325CB"/>
    <w:rsid w:val="004336D6"/>
    <w:rsid w:val="00436B33"/>
    <w:rsid w:val="00441BB2"/>
    <w:rsid w:val="004421C6"/>
    <w:rsid w:val="00442A83"/>
    <w:rsid w:val="0044440A"/>
    <w:rsid w:val="00451E57"/>
    <w:rsid w:val="004545EB"/>
    <w:rsid w:val="0045495B"/>
    <w:rsid w:val="004549AA"/>
    <w:rsid w:val="0046361F"/>
    <w:rsid w:val="0046536D"/>
    <w:rsid w:val="004663C9"/>
    <w:rsid w:val="00474E2B"/>
    <w:rsid w:val="004751DF"/>
    <w:rsid w:val="0047783F"/>
    <w:rsid w:val="00482C4B"/>
    <w:rsid w:val="004844BF"/>
    <w:rsid w:val="00487488"/>
    <w:rsid w:val="004971B7"/>
    <w:rsid w:val="004A00E2"/>
    <w:rsid w:val="004B0666"/>
    <w:rsid w:val="004B283C"/>
    <w:rsid w:val="004B2E02"/>
    <w:rsid w:val="004D5729"/>
    <w:rsid w:val="005015A9"/>
    <w:rsid w:val="005046BC"/>
    <w:rsid w:val="005072A0"/>
    <w:rsid w:val="00507858"/>
    <w:rsid w:val="00512516"/>
    <w:rsid w:val="00512732"/>
    <w:rsid w:val="00516851"/>
    <w:rsid w:val="005202B2"/>
    <w:rsid w:val="0052136D"/>
    <w:rsid w:val="0052775E"/>
    <w:rsid w:val="00534978"/>
    <w:rsid w:val="00536C50"/>
    <w:rsid w:val="005420F2"/>
    <w:rsid w:val="0055060A"/>
    <w:rsid w:val="00550766"/>
    <w:rsid w:val="00551787"/>
    <w:rsid w:val="00553C60"/>
    <w:rsid w:val="005628B6"/>
    <w:rsid w:val="0056519B"/>
    <w:rsid w:val="005674C8"/>
    <w:rsid w:val="00567651"/>
    <w:rsid w:val="00573F2C"/>
    <w:rsid w:val="00582D56"/>
    <w:rsid w:val="005846C6"/>
    <w:rsid w:val="005848B3"/>
    <w:rsid w:val="00590F87"/>
    <w:rsid w:val="00592C4A"/>
    <w:rsid w:val="00595861"/>
    <w:rsid w:val="00596056"/>
    <w:rsid w:val="00597918"/>
    <w:rsid w:val="005A1DF3"/>
    <w:rsid w:val="005A4F75"/>
    <w:rsid w:val="005B3DB3"/>
    <w:rsid w:val="005C529F"/>
    <w:rsid w:val="005D1949"/>
    <w:rsid w:val="005D2438"/>
    <w:rsid w:val="005E211E"/>
    <w:rsid w:val="005E2298"/>
    <w:rsid w:val="005F1FA1"/>
    <w:rsid w:val="005F7717"/>
    <w:rsid w:val="005F7B75"/>
    <w:rsid w:val="006001EE"/>
    <w:rsid w:val="00605042"/>
    <w:rsid w:val="00606B7C"/>
    <w:rsid w:val="0061052E"/>
    <w:rsid w:val="00611FC4"/>
    <w:rsid w:val="00614B4A"/>
    <w:rsid w:val="00617618"/>
    <w:rsid w:val="006176FB"/>
    <w:rsid w:val="00617784"/>
    <w:rsid w:val="006228B6"/>
    <w:rsid w:val="006325DC"/>
    <w:rsid w:val="00640B26"/>
    <w:rsid w:val="00641327"/>
    <w:rsid w:val="00642542"/>
    <w:rsid w:val="006443B0"/>
    <w:rsid w:val="00652D0A"/>
    <w:rsid w:val="00662BB6"/>
    <w:rsid w:val="0066460E"/>
    <w:rsid w:val="006700FA"/>
    <w:rsid w:val="00681CF8"/>
    <w:rsid w:val="00684C21"/>
    <w:rsid w:val="00693CEA"/>
    <w:rsid w:val="0069496D"/>
    <w:rsid w:val="006A729B"/>
    <w:rsid w:val="006B2854"/>
    <w:rsid w:val="006C091B"/>
    <w:rsid w:val="006D37AF"/>
    <w:rsid w:val="006D45D8"/>
    <w:rsid w:val="006D51D0"/>
    <w:rsid w:val="006E564B"/>
    <w:rsid w:val="006E6A7F"/>
    <w:rsid w:val="006E7191"/>
    <w:rsid w:val="006F7382"/>
    <w:rsid w:val="00703577"/>
    <w:rsid w:val="00716FE4"/>
    <w:rsid w:val="0072632A"/>
    <w:rsid w:val="007327D5"/>
    <w:rsid w:val="007337B8"/>
    <w:rsid w:val="0073553F"/>
    <w:rsid w:val="00737DB5"/>
    <w:rsid w:val="0074326E"/>
    <w:rsid w:val="007507AE"/>
    <w:rsid w:val="00756D66"/>
    <w:rsid w:val="00757DEB"/>
    <w:rsid w:val="007629C8"/>
    <w:rsid w:val="00764E04"/>
    <w:rsid w:val="00776E88"/>
    <w:rsid w:val="00786853"/>
    <w:rsid w:val="007934C9"/>
    <w:rsid w:val="007940EA"/>
    <w:rsid w:val="007A265D"/>
    <w:rsid w:val="007A5007"/>
    <w:rsid w:val="007B00E8"/>
    <w:rsid w:val="007B6BA5"/>
    <w:rsid w:val="007C11DD"/>
    <w:rsid w:val="007C3390"/>
    <w:rsid w:val="007C4F4B"/>
    <w:rsid w:val="007C539F"/>
    <w:rsid w:val="007C784F"/>
    <w:rsid w:val="007D51E1"/>
    <w:rsid w:val="007E0B2D"/>
    <w:rsid w:val="007E4DF0"/>
    <w:rsid w:val="007F6611"/>
    <w:rsid w:val="00805524"/>
    <w:rsid w:val="008105B8"/>
    <w:rsid w:val="008242D7"/>
    <w:rsid w:val="008257B1"/>
    <w:rsid w:val="00843767"/>
    <w:rsid w:val="00845C41"/>
    <w:rsid w:val="0086253C"/>
    <w:rsid w:val="008678C8"/>
    <w:rsid w:val="008679D9"/>
    <w:rsid w:val="00877A95"/>
    <w:rsid w:val="008856C4"/>
    <w:rsid w:val="008979B1"/>
    <w:rsid w:val="008A1DB2"/>
    <w:rsid w:val="008A6B25"/>
    <w:rsid w:val="008A6C4F"/>
    <w:rsid w:val="008A748C"/>
    <w:rsid w:val="008B1029"/>
    <w:rsid w:val="008B2335"/>
    <w:rsid w:val="008C35C2"/>
    <w:rsid w:val="008E0678"/>
    <w:rsid w:val="008F134D"/>
    <w:rsid w:val="008F38C9"/>
    <w:rsid w:val="009010E4"/>
    <w:rsid w:val="00905AEB"/>
    <w:rsid w:val="00906DA8"/>
    <w:rsid w:val="00906E11"/>
    <w:rsid w:val="00910F40"/>
    <w:rsid w:val="00912C08"/>
    <w:rsid w:val="009149E6"/>
    <w:rsid w:val="009223CA"/>
    <w:rsid w:val="009310DE"/>
    <w:rsid w:val="00940F93"/>
    <w:rsid w:val="00944F79"/>
    <w:rsid w:val="00946DAE"/>
    <w:rsid w:val="00947523"/>
    <w:rsid w:val="0095347F"/>
    <w:rsid w:val="0096264B"/>
    <w:rsid w:val="0097141B"/>
    <w:rsid w:val="0097175F"/>
    <w:rsid w:val="009760F3"/>
    <w:rsid w:val="009850EB"/>
    <w:rsid w:val="00987D29"/>
    <w:rsid w:val="009909F5"/>
    <w:rsid w:val="0099211B"/>
    <w:rsid w:val="00992391"/>
    <w:rsid w:val="00995DA0"/>
    <w:rsid w:val="00996B91"/>
    <w:rsid w:val="009A0E8D"/>
    <w:rsid w:val="009A3808"/>
    <w:rsid w:val="009B0F44"/>
    <w:rsid w:val="009B26E7"/>
    <w:rsid w:val="009C189D"/>
    <w:rsid w:val="009C1BC7"/>
    <w:rsid w:val="009C2E38"/>
    <w:rsid w:val="009C6901"/>
    <w:rsid w:val="009D0CE4"/>
    <w:rsid w:val="009D35CC"/>
    <w:rsid w:val="009D4BE3"/>
    <w:rsid w:val="009E3660"/>
    <w:rsid w:val="009F3A64"/>
    <w:rsid w:val="00A00A3F"/>
    <w:rsid w:val="00A01489"/>
    <w:rsid w:val="00A218CE"/>
    <w:rsid w:val="00A27EC3"/>
    <w:rsid w:val="00A32DCF"/>
    <w:rsid w:val="00A338F1"/>
    <w:rsid w:val="00A437EA"/>
    <w:rsid w:val="00A44615"/>
    <w:rsid w:val="00A520CE"/>
    <w:rsid w:val="00A5553F"/>
    <w:rsid w:val="00A55635"/>
    <w:rsid w:val="00A55B4E"/>
    <w:rsid w:val="00A55BE9"/>
    <w:rsid w:val="00A63A29"/>
    <w:rsid w:val="00A65C33"/>
    <w:rsid w:val="00A72F22"/>
    <w:rsid w:val="00A7360F"/>
    <w:rsid w:val="00A748A6"/>
    <w:rsid w:val="00A769F4"/>
    <w:rsid w:val="00A776B4"/>
    <w:rsid w:val="00A87E10"/>
    <w:rsid w:val="00A93171"/>
    <w:rsid w:val="00A94361"/>
    <w:rsid w:val="00A96C30"/>
    <w:rsid w:val="00AA293C"/>
    <w:rsid w:val="00AA3023"/>
    <w:rsid w:val="00AA4EFE"/>
    <w:rsid w:val="00AA7DD3"/>
    <w:rsid w:val="00AB38F9"/>
    <w:rsid w:val="00AC0375"/>
    <w:rsid w:val="00AC0EA0"/>
    <w:rsid w:val="00AC61F3"/>
    <w:rsid w:val="00AD0C93"/>
    <w:rsid w:val="00AD1787"/>
    <w:rsid w:val="00AD685F"/>
    <w:rsid w:val="00AE06F4"/>
    <w:rsid w:val="00AE67BA"/>
    <w:rsid w:val="00AF0301"/>
    <w:rsid w:val="00AF5DA6"/>
    <w:rsid w:val="00B04262"/>
    <w:rsid w:val="00B13E9B"/>
    <w:rsid w:val="00B17298"/>
    <w:rsid w:val="00B22F4B"/>
    <w:rsid w:val="00B23EB9"/>
    <w:rsid w:val="00B256EF"/>
    <w:rsid w:val="00B27147"/>
    <w:rsid w:val="00B30179"/>
    <w:rsid w:val="00B339A7"/>
    <w:rsid w:val="00B34126"/>
    <w:rsid w:val="00B356D1"/>
    <w:rsid w:val="00B36F14"/>
    <w:rsid w:val="00B433B3"/>
    <w:rsid w:val="00B52DC5"/>
    <w:rsid w:val="00B56E4A"/>
    <w:rsid w:val="00B56E9C"/>
    <w:rsid w:val="00B57616"/>
    <w:rsid w:val="00B61BF6"/>
    <w:rsid w:val="00B62BBE"/>
    <w:rsid w:val="00B64B1F"/>
    <w:rsid w:val="00B6527F"/>
    <w:rsid w:val="00B6553F"/>
    <w:rsid w:val="00B66E5E"/>
    <w:rsid w:val="00B74FE0"/>
    <w:rsid w:val="00B77D05"/>
    <w:rsid w:val="00B81206"/>
    <w:rsid w:val="00B81E12"/>
    <w:rsid w:val="00B82FB2"/>
    <w:rsid w:val="00B84432"/>
    <w:rsid w:val="00B9067B"/>
    <w:rsid w:val="00B9590E"/>
    <w:rsid w:val="00BA38C4"/>
    <w:rsid w:val="00BA4394"/>
    <w:rsid w:val="00BA7FB2"/>
    <w:rsid w:val="00BB2E9F"/>
    <w:rsid w:val="00BC0577"/>
    <w:rsid w:val="00BC2C23"/>
    <w:rsid w:val="00BC74E9"/>
    <w:rsid w:val="00BD6BF9"/>
    <w:rsid w:val="00BD7747"/>
    <w:rsid w:val="00BF159D"/>
    <w:rsid w:val="00BF3E7A"/>
    <w:rsid w:val="00BF68A8"/>
    <w:rsid w:val="00C0226E"/>
    <w:rsid w:val="00C02BEC"/>
    <w:rsid w:val="00C04041"/>
    <w:rsid w:val="00C04757"/>
    <w:rsid w:val="00C06E4B"/>
    <w:rsid w:val="00C10979"/>
    <w:rsid w:val="00C11A03"/>
    <w:rsid w:val="00C12B46"/>
    <w:rsid w:val="00C143D4"/>
    <w:rsid w:val="00C17023"/>
    <w:rsid w:val="00C30B0D"/>
    <w:rsid w:val="00C32DED"/>
    <w:rsid w:val="00C33439"/>
    <w:rsid w:val="00C463DD"/>
    <w:rsid w:val="00C4724C"/>
    <w:rsid w:val="00C5758E"/>
    <w:rsid w:val="00C629A0"/>
    <w:rsid w:val="00C62B52"/>
    <w:rsid w:val="00C719C1"/>
    <w:rsid w:val="00C728C4"/>
    <w:rsid w:val="00C732B9"/>
    <w:rsid w:val="00C745C3"/>
    <w:rsid w:val="00C774E9"/>
    <w:rsid w:val="00C803A2"/>
    <w:rsid w:val="00C83C70"/>
    <w:rsid w:val="00C879E6"/>
    <w:rsid w:val="00C91B55"/>
    <w:rsid w:val="00C96613"/>
    <w:rsid w:val="00CA2790"/>
    <w:rsid w:val="00CA2CEB"/>
    <w:rsid w:val="00CA744D"/>
    <w:rsid w:val="00CB108B"/>
    <w:rsid w:val="00CB5FED"/>
    <w:rsid w:val="00CC3666"/>
    <w:rsid w:val="00CD45C0"/>
    <w:rsid w:val="00CD4667"/>
    <w:rsid w:val="00CE15EA"/>
    <w:rsid w:val="00CE1678"/>
    <w:rsid w:val="00CE1BC0"/>
    <w:rsid w:val="00CE4A8F"/>
    <w:rsid w:val="00D10C6C"/>
    <w:rsid w:val="00D12341"/>
    <w:rsid w:val="00D126D1"/>
    <w:rsid w:val="00D2031B"/>
    <w:rsid w:val="00D25FE2"/>
    <w:rsid w:val="00D313DF"/>
    <w:rsid w:val="00D32336"/>
    <w:rsid w:val="00D358CE"/>
    <w:rsid w:val="00D43252"/>
    <w:rsid w:val="00D44B16"/>
    <w:rsid w:val="00D47C75"/>
    <w:rsid w:val="00D47EEA"/>
    <w:rsid w:val="00D52107"/>
    <w:rsid w:val="00D53E56"/>
    <w:rsid w:val="00D55164"/>
    <w:rsid w:val="00D56826"/>
    <w:rsid w:val="00D72FA0"/>
    <w:rsid w:val="00D738F9"/>
    <w:rsid w:val="00D8286A"/>
    <w:rsid w:val="00D95303"/>
    <w:rsid w:val="00D978C6"/>
    <w:rsid w:val="00DA206E"/>
    <w:rsid w:val="00DA3111"/>
    <w:rsid w:val="00DA3C1C"/>
    <w:rsid w:val="00DA55AD"/>
    <w:rsid w:val="00DB0C79"/>
    <w:rsid w:val="00DB2E00"/>
    <w:rsid w:val="00DC190E"/>
    <w:rsid w:val="00DC5A78"/>
    <w:rsid w:val="00DC7053"/>
    <w:rsid w:val="00DE3097"/>
    <w:rsid w:val="00DF14B6"/>
    <w:rsid w:val="00DF1891"/>
    <w:rsid w:val="00DF2F5C"/>
    <w:rsid w:val="00DF41C1"/>
    <w:rsid w:val="00E0026C"/>
    <w:rsid w:val="00E0440B"/>
    <w:rsid w:val="00E10EFE"/>
    <w:rsid w:val="00E27346"/>
    <w:rsid w:val="00E27B4F"/>
    <w:rsid w:val="00E31546"/>
    <w:rsid w:val="00E36F2F"/>
    <w:rsid w:val="00E44F29"/>
    <w:rsid w:val="00E45EC4"/>
    <w:rsid w:val="00E66669"/>
    <w:rsid w:val="00E702C4"/>
    <w:rsid w:val="00E7165B"/>
    <w:rsid w:val="00E71BC8"/>
    <w:rsid w:val="00E7260F"/>
    <w:rsid w:val="00E75F9B"/>
    <w:rsid w:val="00E779FC"/>
    <w:rsid w:val="00E82E96"/>
    <w:rsid w:val="00E96630"/>
    <w:rsid w:val="00EA10C5"/>
    <w:rsid w:val="00EA7D7C"/>
    <w:rsid w:val="00EB1D66"/>
    <w:rsid w:val="00EB2581"/>
    <w:rsid w:val="00EB2E34"/>
    <w:rsid w:val="00EC07B7"/>
    <w:rsid w:val="00EC25E8"/>
    <w:rsid w:val="00ED5E44"/>
    <w:rsid w:val="00ED7A2A"/>
    <w:rsid w:val="00EE1622"/>
    <w:rsid w:val="00EF1D7F"/>
    <w:rsid w:val="00EF4A5B"/>
    <w:rsid w:val="00EF73FA"/>
    <w:rsid w:val="00F20C3D"/>
    <w:rsid w:val="00F239E8"/>
    <w:rsid w:val="00F312E4"/>
    <w:rsid w:val="00F34A93"/>
    <w:rsid w:val="00F357F0"/>
    <w:rsid w:val="00F36885"/>
    <w:rsid w:val="00F378AD"/>
    <w:rsid w:val="00F37C7A"/>
    <w:rsid w:val="00F43E9E"/>
    <w:rsid w:val="00F4487D"/>
    <w:rsid w:val="00F45A76"/>
    <w:rsid w:val="00F512BB"/>
    <w:rsid w:val="00F57351"/>
    <w:rsid w:val="00F63AF3"/>
    <w:rsid w:val="00F705D0"/>
    <w:rsid w:val="00F71CB9"/>
    <w:rsid w:val="00F758C1"/>
    <w:rsid w:val="00F81651"/>
    <w:rsid w:val="00F84826"/>
    <w:rsid w:val="00F868F0"/>
    <w:rsid w:val="00F9057C"/>
    <w:rsid w:val="00F906D7"/>
    <w:rsid w:val="00F91041"/>
    <w:rsid w:val="00F93781"/>
    <w:rsid w:val="00FA74B0"/>
    <w:rsid w:val="00FB613B"/>
    <w:rsid w:val="00FC1356"/>
    <w:rsid w:val="00FC21E2"/>
    <w:rsid w:val="00FC6593"/>
    <w:rsid w:val="00FC68B7"/>
    <w:rsid w:val="00FC6DD3"/>
    <w:rsid w:val="00FC77C3"/>
    <w:rsid w:val="00FC7EC9"/>
    <w:rsid w:val="00FD3F73"/>
    <w:rsid w:val="00FE07EC"/>
    <w:rsid w:val="00FE106A"/>
    <w:rsid w:val="00FE1EA2"/>
    <w:rsid w:val="00FE242F"/>
    <w:rsid w:val="00FE4528"/>
    <w:rsid w:val="00FE50CA"/>
    <w:rsid w:val="00FE521F"/>
    <w:rsid w:val="00FE5C77"/>
    <w:rsid w:val="00FF2214"/>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75403"/>
  <w15:docId w15:val="{A0B24424-2298-4CA1-914C-387D92F5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Char,Char"/>
    <w:basedOn w:val="Normal"/>
    <w:link w:val="FootnoteTextChar"/>
    <w:qFormat/>
    <w:rsid w:val="008F38C9"/>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qFormat/>
    <w:rsid w:val="008F38C9"/>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
    <w:link w:val="FootnoteText"/>
    <w:rsid w:val="00CC3666"/>
    <w:rPr>
      <w:rFonts w:eastAsia="SimSun"/>
      <w:sz w:val="18"/>
      <w:lang w:val="en-US" w:eastAsia="zh-CN"/>
    </w:rPr>
  </w:style>
  <w:style w:type="paragraph" w:styleId="BalloonText">
    <w:name w:val="Balloon Text"/>
    <w:basedOn w:val="Normal"/>
    <w:link w:val="BalloonTextChar"/>
    <w:rsid w:val="00CC3666"/>
    <w:pPr>
      <w:spacing w:line="240" w:lineRule="auto"/>
    </w:pPr>
    <w:rPr>
      <w:rFonts w:ascii="Tahoma" w:hAnsi="Tahoma"/>
      <w:sz w:val="16"/>
      <w:szCs w:val="16"/>
      <w:lang w:val="x-none"/>
    </w:rPr>
  </w:style>
  <w:style w:type="character" w:customStyle="1" w:styleId="BalloonTextChar">
    <w:name w:val="Balloon Text Char"/>
    <w:link w:val="BalloonText"/>
    <w:rsid w:val="00CC3666"/>
    <w:rPr>
      <w:rFonts w:ascii="Tahoma" w:hAnsi="Tahoma"/>
      <w:sz w:val="16"/>
      <w:szCs w:val="16"/>
      <w:lang w:eastAsia="en-US"/>
    </w:rPr>
  </w:style>
  <w:style w:type="character" w:customStyle="1" w:styleId="SingleTxtGChar">
    <w:name w:val="_ Single Txt_G Char"/>
    <w:link w:val="SingleTxtG"/>
    <w:rsid w:val="00CC3666"/>
    <w:rPr>
      <w:lang w:eastAsia="en-US"/>
    </w:rPr>
  </w:style>
  <w:style w:type="character" w:customStyle="1" w:styleId="sectionlabel">
    <w:name w:val="sectionlabel"/>
    <w:rsid w:val="00CC3666"/>
  </w:style>
  <w:style w:type="character" w:customStyle="1" w:styleId="canliisectionwithsubsection">
    <w:name w:val="canlii_section_with_subsection"/>
    <w:rsid w:val="00CC3666"/>
  </w:style>
  <w:style w:type="character" w:styleId="Emphasis">
    <w:name w:val="Emphasis"/>
    <w:uiPriority w:val="20"/>
    <w:qFormat/>
    <w:rsid w:val="00CC3666"/>
    <w:rPr>
      <w:b/>
      <w:bCs/>
      <w:i w:val="0"/>
      <w:iCs w:val="0"/>
    </w:rPr>
  </w:style>
  <w:style w:type="character" w:customStyle="1" w:styleId="st">
    <w:name w:val="st"/>
    <w:rsid w:val="00CC3666"/>
  </w:style>
  <w:style w:type="paragraph" w:customStyle="1" w:styleId="MediumGrid21">
    <w:name w:val="Medium Grid 21"/>
    <w:uiPriority w:val="1"/>
    <w:qFormat/>
    <w:rsid w:val="00C96613"/>
    <w:rPr>
      <w:rFonts w:ascii="Calibri" w:eastAsia="Calibri" w:hAnsi="Calibri"/>
      <w:sz w:val="22"/>
      <w:szCs w:val="22"/>
      <w:lang w:eastAsia="en-US"/>
    </w:rPr>
  </w:style>
  <w:style w:type="character" w:customStyle="1" w:styleId="sb8d990e2">
    <w:name w:val="sb8d990e2"/>
    <w:rsid w:val="00F91041"/>
  </w:style>
  <w:style w:type="character" w:customStyle="1" w:styleId="s6b621b36">
    <w:name w:val="s6b621b36"/>
    <w:rsid w:val="00F91041"/>
  </w:style>
  <w:style w:type="paragraph" w:customStyle="1" w:styleId="Default">
    <w:name w:val="Default"/>
    <w:rsid w:val="00FF2214"/>
    <w:pPr>
      <w:autoSpaceDE w:val="0"/>
      <w:autoSpaceDN w:val="0"/>
      <w:adjustRightInd w:val="0"/>
    </w:pPr>
    <w:rPr>
      <w:rFonts w:eastAsia="Calibri"/>
      <w:color w:val="000000"/>
      <w:sz w:val="24"/>
      <w:szCs w:val="24"/>
    </w:rPr>
  </w:style>
  <w:style w:type="character" w:styleId="CommentReference">
    <w:name w:val="annotation reference"/>
    <w:basedOn w:val="DefaultParagraphFont"/>
    <w:rsid w:val="00416D29"/>
    <w:rPr>
      <w:sz w:val="16"/>
      <w:szCs w:val="16"/>
    </w:rPr>
  </w:style>
  <w:style w:type="paragraph" w:styleId="CommentText">
    <w:name w:val="annotation text"/>
    <w:basedOn w:val="Normal"/>
    <w:link w:val="CommentTextChar"/>
    <w:rsid w:val="00416D29"/>
    <w:pPr>
      <w:spacing w:line="240" w:lineRule="auto"/>
    </w:pPr>
  </w:style>
  <w:style w:type="character" w:customStyle="1" w:styleId="CommentTextChar">
    <w:name w:val="Comment Text Char"/>
    <w:basedOn w:val="DefaultParagraphFont"/>
    <w:link w:val="CommentText"/>
    <w:rsid w:val="00416D29"/>
    <w:rPr>
      <w:lang w:eastAsia="en-US"/>
    </w:rPr>
  </w:style>
  <w:style w:type="paragraph" w:styleId="CommentSubject">
    <w:name w:val="annotation subject"/>
    <w:basedOn w:val="CommentText"/>
    <w:next w:val="CommentText"/>
    <w:link w:val="CommentSubjectChar"/>
    <w:rsid w:val="00416D29"/>
    <w:rPr>
      <w:b/>
      <w:bCs/>
    </w:rPr>
  </w:style>
  <w:style w:type="character" w:customStyle="1" w:styleId="CommentSubjectChar">
    <w:name w:val="Comment Subject Char"/>
    <w:basedOn w:val="CommentTextChar"/>
    <w:link w:val="CommentSubject"/>
    <w:rsid w:val="00416D29"/>
    <w:rPr>
      <w:b/>
      <w:bCs/>
      <w:lang w:eastAsia="en-US"/>
    </w:rPr>
  </w:style>
  <w:style w:type="paragraph" w:styleId="ListParagraph">
    <w:name w:val="List Paragraph"/>
    <w:basedOn w:val="Normal"/>
    <w:uiPriority w:val="99"/>
    <w:qFormat/>
    <w:rsid w:val="00261CA7"/>
    <w:pPr>
      <w:suppressAutoHyphens w:val="0"/>
      <w:spacing w:line="240" w:lineRule="auto"/>
      <w:ind w:left="720"/>
      <w:contextualSpacing/>
    </w:pPr>
    <w:rPr>
      <w:rFonts w:ascii="Calibri" w:eastAsia="MS Minngs" w:hAnsi="Calibri"/>
      <w:sz w:val="24"/>
      <w:szCs w:val="24"/>
      <w:lang w:val="en-US"/>
    </w:rPr>
  </w:style>
  <w:style w:type="paragraph" w:styleId="Revision">
    <w:name w:val="Revision"/>
    <w:hidden/>
    <w:uiPriority w:val="99"/>
    <w:semiHidden/>
    <w:rsid w:val="00606B7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366440">
      <w:bodyDiv w:val="1"/>
      <w:marLeft w:val="0"/>
      <w:marRight w:val="0"/>
      <w:marTop w:val="0"/>
      <w:marBottom w:val="0"/>
      <w:divBdr>
        <w:top w:val="none" w:sz="0" w:space="0" w:color="auto"/>
        <w:left w:val="none" w:sz="0" w:space="0" w:color="auto"/>
        <w:bottom w:val="none" w:sz="0" w:space="0" w:color="auto"/>
        <w:right w:val="none" w:sz="0" w:space="0" w:color="auto"/>
      </w:divBdr>
    </w:div>
    <w:div w:id="124264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www.asylumineurope.org/sites/default/files/report-download/aida_italy_thirdupdate_final_0.pdf" TargetMode="External"/><Relationship Id="rId1" Type="http://schemas.openxmlformats.org/officeDocument/2006/relationships/hyperlink" Target="http://www.dublin-project.eu/dublin/Dublin-news/New-report-Dublin-II-regulation-lives-on-ho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BDB85-0798-474B-A1EA-BF058A11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13</Pages>
  <Words>6567</Words>
  <Characters>37437</Characters>
  <Application>Microsoft Office Word</Application>
  <DocSecurity>0</DocSecurity>
  <Lines>311</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43917</CharactersWithSpaces>
  <SharedDoc>false</SharedDoc>
  <HLinks>
    <vt:vector size="12" baseType="variant">
      <vt:variant>
        <vt:i4>327746</vt:i4>
      </vt:variant>
      <vt:variant>
        <vt:i4>3</vt:i4>
      </vt:variant>
      <vt:variant>
        <vt:i4>0</vt:i4>
      </vt:variant>
      <vt:variant>
        <vt:i4>5</vt:i4>
      </vt:variant>
      <vt:variant>
        <vt:lpwstr>http://www.asylumineurope.org/sites/default/files/report-download/aida_italy_thirdupdate_final_0.pdf</vt:lpwstr>
      </vt:variant>
      <vt:variant>
        <vt:lpwstr/>
      </vt:variant>
      <vt:variant>
        <vt:i4>3866667</vt:i4>
      </vt:variant>
      <vt:variant>
        <vt:i4>0</vt:i4>
      </vt:variant>
      <vt:variant>
        <vt:i4>0</vt:i4>
      </vt:variant>
      <vt:variant>
        <vt:i4>5</vt:i4>
      </vt:variant>
      <vt:variant>
        <vt:lpwstr>http://www.dublin-project.eu/dublin/Dublin-news/New-report- Dublin-II-regulation-lives-on-hold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Viktoria Saprykina-Houdemer</dc:creator>
  <cp:lastModifiedBy>Sarah Willig</cp:lastModifiedBy>
  <cp:revision>2</cp:revision>
  <cp:lastPrinted>2015-09-28T08:38:00Z</cp:lastPrinted>
  <dcterms:created xsi:type="dcterms:W3CDTF">2017-01-24T21:25:00Z</dcterms:created>
  <dcterms:modified xsi:type="dcterms:W3CDTF">2017-01-24T21:25:00Z</dcterms:modified>
</cp:coreProperties>
</file>