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B56E9C" w14:paraId="091FB4A7" w14:textId="77777777" w:rsidTr="00B6553F">
        <w:trPr>
          <w:cantSplit/>
          <w:trHeight w:hRule="exact" w:val="851"/>
        </w:trPr>
        <w:tc>
          <w:tcPr>
            <w:tcW w:w="1276" w:type="dxa"/>
            <w:tcBorders>
              <w:bottom w:val="single" w:sz="4" w:space="0" w:color="auto"/>
            </w:tcBorders>
            <w:vAlign w:val="bottom"/>
          </w:tcPr>
          <w:p w14:paraId="50F50ED0" w14:textId="77777777" w:rsidR="00B56E9C" w:rsidRPr="007D518C" w:rsidRDefault="007D518C" w:rsidP="007D518C">
            <w:pPr>
              <w:spacing w:line="20" w:lineRule="exact"/>
              <w:rPr>
                <w:sz w:val="2"/>
              </w:rPr>
            </w:pPr>
            <w:r>
              <w:rPr>
                <w:rStyle w:val="CommentReference"/>
                <w:lang w:val="x-none"/>
              </w:rPr>
              <w:commentReference w:id="0"/>
            </w:r>
            <w:bookmarkStart w:id="1" w:name="_GoBack"/>
            <w:bookmarkEnd w:id="1"/>
          </w:p>
          <w:p w14:paraId="64463014" w14:textId="77777777" w:rsidR="007D518C" w:rsidRDefault="007D518C" w:rsidP="00B6553F">
            <w:pPr>
              <w:spacing w:after="80"/>
            </w:pPr>
          </w:p>
        </w:tc>
        <w:tc>
          <w:tcPr>
            <w:tcW w:w="2268" w:type="dxa"/>
            <w:tcBorders>
              <w:bottom w:val="single" w:sz="4" w:space="0" w:color="auto"/>
            </w:tcBorders>
            <w:vAlign w:val="bottom"/>
          </w:tcPr>
          <w:p w14:paraId="73AF6C65" w14:textId="77777777" w:rsidR="00B56E9C" w:rsidRPr="00B97172" w:rsidRDefault="00B56E9C" w:rsidP="00B6553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14:paraId="2BDE4592" w14:textId="77777777" w:rsidR="00B56E9C" w:rsidRPr="00D47EEA" w:rsidRDefault="008216A5" w:rsidP="009D3C01">
            <w:pPr>
              <w:jc w:val="right"/>
            </w:pPr>
            <w:r w:rsidRPr="008216A5">
              <w:rPr>
                <w:sz w:val="40"/>
              </w:rPr>
              <w:t>CCPR</w:t>
            </w:r>
            <w:r>
              <w:t>/C/1</w:t>
            </w:r>
            <w:r w:rsidR="00711F00">
              <w:t>1</w:t>
            </w:r>
            <w:r w:rsidR="0003383A">
              <w:t>4</w:t>
            </w:r>
            <w:r>
              <w:t>/D</w:t>
            </w:r>
            <w:r w:rsidR="009818E2">
              <w:t>/</w:t>
            </w:r>
            <w:r w:rsidR="0003383A">
              <w:t>23</w:t>
            </w:r>
            <w:r w:rsidR="001771AE">
              <w:t>70</w:t>
            </w:r>
            <w:r>
              <w:t>/</w:t>
            </w:r>
            <w:r w:rsidR="00AE50CE">
              <w:t>20</w:t>
            </w:r>
            <w:r w:rsidR="00540F02">
              <w:t>1</w:t>
            </w:r>
            <w:r w:rsidR="0003383A">
              <w:t>4</w:t>
            </w:r>
          </w:p>
        </w:tc>
      </w:tr>
      <w:tr w:rsidR="00B56E9C" w14:paraId="73641B49" w14:textId="77777777" w:rsidTr="00B6553F">
        <w:trPr>
          <w:cantSplit/>
          <w:trHeight w:hRule="exact" w:val="2835"/>
        </w:trPr>
        <w:tc>
          <w:tcPr>
            <w:tcW w:w="1276" w:type="dxa"/>
            <w:tcBorders>
              <w:top w:val="single" w:sz="4" w:space="0" w:color="auto"/>
              <w:bottom w:val="single" w:sz="12" w:space="0" w:color="auto"/>
            </w:tcBorders>
          </w:tcPr>
          <w:p w14:paraId="20623081" w14:textId="77777777" w:rsidR="00B56E9C" w:rsidRDefault="00D86C01" w:rsidP="00B6553F">
            <w:pPr>
              <w:spacing w:before="120"/>
            </w:pPr>
            <w:r>
              <w:rPr>
                <w:noProof/>
                <w:lang w:val="en-US"/>
              </w:rPr>
              <w:drawing>
                <wp:inline distT="0" distB="0" distL="0" distR="0" wp14:anchorId="0374CC14" wp14:editId="32C5D45D">
                  <wp:extent cx="713740" cy="595630"/>
                  <wp:effectExtent l="0" t="0" r="0" b="0"/>
                  <wp:docPr id="2"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3740" cy="59563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71EB836D" w14:textId="77777777" w:rsidR="00B56E9C" w:rsidRDefault="00B56E9C" w:rsidP="00267F5F">
            <w:pPr>
              <w:spacing w:before="120" w:line="380" w:lineRule="exact"/>
              <w:rPr>
                <w:b/>
                <w:sz w:val="34"/>
                <w:szCs w:val="40"/>
              </w:rPr>
            </w:pPr>
            <w:r w:rsidRPr="00267F5F">
              <w:rPr>
                <w:b/>
                <w:sz w:val="34"/>
                <w:szCs w:val="40"/>
              </w:rPr>
              <w:t xml:space="preserve">International </w:t>
            </w:r>
            <w:r w:rsidR="00060C3A">
              <w:rPr>
                <w:b/>
                <w:sz w:val="34"/>
                <w:szCs w:val="40"/>
              </w:rPr>
              <w:t>Covenant on</w:t>
            </w:r>
            <w:r w:rsidR="00060C3A">
              <w:rPr>
                <w:b/>
                <w:sz w:val="34"/>
                <w:szCs w:val="40"/>
              </w:rPr>
              <w:br/>
              <w:t>Civil and Political R</w:t>
            </w:r>
            <w:r w:rsidR="00703577" w:rsidRPr="00267F5F">
              <w:rPr>
                <w:b/>
                <w:sz w:val="34"/>
                <w:szCs w:val="40"/>
              </w:rPr>
              <w:t>ights</w:t>
            </w:r>
          </w:p>
          <w:p w14:paraId="731DE022" w14:textId="77777777" w:rsidR="009D3C01" w:rsidRPr="00267F5F" w:rsidRDefault="009D3C01" w:rsidP="00267F5F">
            <w:pPr>
              <w:spacing w:before="120" w:line="380" w:lineRule="exact"/>
              <w:rPr>
                <w:sz w:val="34"/>
              </w:rPr>
            </w:pPr>
          </w:p>
        </w:tc>
        <w:tc>
          <w:tcPr>
            <w:tcW w:w="2835" w:type="dxa"/>
            <w:tcBorders>
              <w:top w:val="single" w:sz="4" w:space="0" w:color="auto"/>
              <w:bottom w:val="single" w:sz="12" w:space="0" w:color="auto"/>
            </w:tcBorders>
          </w:tcPr>
          <w:p w14:paraId="5C2C7C26" w14:textId="77777777" w:rsidR="00B56E9C" w:rsidRDefault="008216A5" w:rsidP="008216A5">
            <w:pPr>
              <w:spacing w:before="240" w:line="240" w:lineRule="exact"/>
            </w:pPr>
            <w:r>
              <w:t xml:space="preserve">Distr.: </w:t>
            </w:r>
            <w:r w:rsidR="006F58DC">
              <w:t>General</w:t>
            </w:r>
          </w:p>
          <w:p w14:paraId="31A3AB20" w14:textId="77777777" w:rsidR="008216A5" w:rsidRDefault="00EA2B55" w:rsidP="0008123D">
            <w:pPr>
              <w:spacing w:line="240" w:lineRule="exact"/>
            </w:pPr>
            <w:r>
              <w:t>7</w:t>
            </w:r>
            <w:r w:rsidR="00383933">
              <w:t xml:space="preserve"> </w:t>
            </w:r>
            <w:r w:rsidR="001F5DDF">
              <w:t>September</w:t>
            </w:r>
            <w:r w:rsidR="001771AE">
              <w:t xml:space="preserve"> </w:t>
            </w:r>
            <w:r w:rsidR="008216A5">
              <w:t>201</w:t>
            </w:r>
            <w:r w:rsidR="0003383A">
              <w:t>5</w:t>
            </w:r>
          </w:p>
          <w:p w14:paraId="6EE8C4FC" w14:textId="77777777" w:rsidR="008216A5" w:rsidRDefault="008216A5" w:rsidP="008216A5">
            <w:pPr>
              <w:spacing w:line="240" w:lineRule="exact"/>
            </w:pPr>
          </w:p>
          <w:p w14:paraId="72D9F9FF" w14:textId="77777777" w:rsidR="008216A5" w:rsidRDefault="008216A5" w:rsidP="008216A5">
            <w:pPr>
              <w:spacing w:line="240" w:lineRule="exact"/>
            </w:pPr>
            <w:r>
              <w:t>Original: English</w:t>
            </w:r>
          </w:p>
          <w:p w14:paraId="2F588E9E" w14:textId="77777777" w:rsidR="008A16B6" w:rsidRDefault="008A16B6" w:rsidP="008216A5">
            <w:pPr>
              <w:spacing w:line="240" w:lineRule="exact"/>
            </w:pPr>
          </w:p>
        </w:tc>
      </w:tr>
    </w:tbl>
    <w:p w14:paraId="6277C231" w14:textId="77777777" w:rsidR="008216A5" w:rsidRPr="008216A5" w:rsidRDefault="008216A5" w:rsidP="008216A5">
      <w:pPr>
        <w:spacing w:before="120"/>
        <w:rPr>
          <w:b/>
          <w:sz w:val="24"/>
          <w:szCs w:val="24"/>
          <w:lang w:val="en-US"/>
        </w:rPr>
      </w:pPr>
      <w:r w:rsidRPr="008216A5">
        <w:rPr>
          <w:b/>
          <w:sz w:val="24"/>
          <w:szCs w:val="24"/>
          <w:lang w:val="en-US"/>
        </w:rPr>
        <w:t>Human Rights Committee</w:t>
      </w:r>
    </w:p>
    <w:p w14:paraId="2761C99D" w14:textId="77777777" w:rsidR="003134AC" w:rsidRDefault="003134AC" w:rsidP="003134AC">
      <w:pPr>
        <w:pStyle w:val="HChG"/>
      </w:pPr>
      <w:r w:rsidRPr="009E31DB">
        <w:tab/>
      </w:r>
      <w:r w:rsidRPr="009E31DB">
        <w:tab/>
        <w:t xml:space="preserve">Communication No. </w:t>
      </w:r>
      <w:r w:rsidR="0003383A">
        <w:t>23</w:t>
      </w:r>
      <w:r w:rsidR="001771AE">
        <w:t>70</w:t>
      </w:r>
      <w:r>
        <w:t>/20</w:t>
      </w:r>
      <w:r w:rsidR="0003383A">
        <w:t>14</w:t>
      </w:r>
    </w:p>
    <w:p w14:paraId="6D805084" w14:textId="77777777" w:rsidR="003134AC" w:rsidRPr="009E31DB" w:rsidRDefault="003134AC" w:rsidP="003134AC">
      <w:pPr>
        <w:pStyle w:val="H1G"/>
        <w:spacing w:after="600"/>
      </w:pPr>
      <w:r>
        <w:tab/>
      </w:r>
      <w:r>
        <w:tab/>
      </w:r>
      <w:r w:rsidR="00982197">
        <w:t>Views adopted by the Committee at its 11</w:t>
      </w:r>
      <w:r w:rsidR="00982197" w:rsidRPr="009818E2">
        <w:t>4th</w:t>
      </w:r>
      <w:r w:rsidR="00982197">
        <w:t xml:space="preserve"> </w:t>
      </w:r>
      <w:r w:rsidR="009D3C01">
        <w:t>s</w:t>
      </w:r>
      <w:r w:rsidR="00982197">
        <w:t xml:space="preserve">ession </w:t>
      </w:r>
      <w:r w:rsidR="009D3C01">
        <w:br/>
      </w:r>
      <w:r w:rsidR="00982197">
        <w:t>(29 June–24 July 2015)</w:t>
      </w:r>
    </w:p>
    <w:p w14:paraId="6E9DD8E7" w14:textId="77777777" w:rsidR="003134AC" w:rsidRPr="009E31DB" w:rsidRDefault="003134AC" w:rsidP="007C0089">
      <w:pPr>
        <w:pStyle w:val="SingleTxtG"/>
        <w:ind w:left="4536" w:hanging="3402"/>
        <w:jc w:val="left"/>
      </w:pPr>
      <w:r w:rsidRPr="009707F5">
        <w:rPr>
          <w:i/>
        </w:rPr>
        <w:t>Submitted by:</w:t>
      </w:r>
      <w:r w:rsidRPr="009E31DB">
        <w:tab/>
      </w:r>
      <w:r w:rsidR="0003383A">
        <w:rPr>
          <w:lang w:val="en-GB"/>
        </w:rPr>
        <w:t>A.</w:t>
      </w:r>
      <w:r w:rsidR="001771AE">
        <w:rPr>
          <w:lang w:val="en-GB"/>
        </w:rPr>
        <w:t>H</w:t>
      </w:r>
      <w:r w:rsidR="0003383A">
        <w:rPr>
          <w:lang w:val="en-GB"/>
        </w:rPr>
        <w:t>.</w:t>
      </w:r>
      <w:r w:rsidR="00EF3514">
        <w:rPr>
          <w:lang w:val="en-GB"/>
        </w:rPr>
        <w:t xml:space="preserve"> (</w:t>
      </w:r>
      <w:r w:rsidR="001F5DDF">
        <w:rPr>
          <w:lang w:val="en-GB"/>
        </w:rPr>
        <w:t>r</w:t>
      </w:r>
      <w:r w:rsidR="00EF3514">
        <w:rPr>
          <w:lang w:val="en-GB"/>
        </w:rPr>
        <w:t xml:space="preserve">epresented by counsel, </w:t>
      </w:r>
      <w:r w:rsidR="001771AE">
        <w:rPr>
          <w:lang w:val="en-GB"/>
        </w:rPr>
        <w:t>Helge N</w:t>
      </w:r>
      <w:r w:rsidR="00893534" w:rsidRPr="00893534">
        <w:rPr>
          <w:lang w:val="en-GB"/>
        </w:rPr>
        <w:t>ø</w:t>
      </w:r>
      <w:r w:rsidR="001771AE">
        <w:rPr>
          <w:lang w:val="en-GB"/>
        </w:rPr>
        <w:t>rrung</w:t>
      </w:r>
      <w:r w:rsidR="00EF3514">
        <w:rPr>
          <w:lang w:val="en-GB"/>
        </w:rPr>
        <w:t>)</w:t>
      </w:r>
    </w:p>
    <w:p w14:paraId="389706FC" w14:textId="77777777" w:rsidR="003134AC" w:rsidRPr="001844A0" w:rsidRDefault="003134AC" w:rsidP="007C0089">
      <w:pPr>
        <w:pStyle w:val="SingleTxtG"/>
        <w:ind w:left="4536" w:hanging="3402"/>
        <w:jc w:val="left"/>
        <w:rPr>
          <w:lang w:val="en-GB"/>
        </w:rPr>
      </w:pPr>
      <w:r w:rsidRPr="009707F5">
        <w:rPr>
          <w:i/>
        </w:rPr>
        <w:t>Alleged victim:</w:t>
      </w:r>
      <w:r w:rsidRPr="009E31DB">
        <w:tab/>
        <w:t>The author</w:t>
      </w:r>
    </w:p>
    <w:p w14:paraId="14F3CF23" w14:textId="77777777" w:rsidR="003134AC" w:rsidRPr="001844A0" w:rsidRDefault="003134AC" w:rsidP="007C0089">
      <w:pPr>
        <w:pStyle w:val="SingleTxtG"/>
        <w:ind w:left="4536" w:hanging="3402"/>
        <w:jc w:val="left"/>
        <w:rPr>
          <w:lang w:val="en-GB"/>
        </w:rPr>
      </w:pPr>
      <w:r w:rsidRPr="009707F5">
        <w:rPr>
          <w:i/>
        </w:rPr>
        <w:t>State party:</w:t>
      </w:r>
      <w:r w:rsidRPr="009E31DB">
        <w:tab/>
      </w:r>
      <w:r w:rsidR="00EF3514">
        <w:rPr>
          <w:lang w:val="en-GB"/>
        </w:rPr>
        <w:t>Denmark</w:t>
      </w:r>
    </w:p>
    <w:p w14:paraId="685E202B" w14:textId="77777777" w:rsidR="003134AC" w:rsidRPr="00F06D31" w:rsidRDefault="003134AC" w:rsidP="007C0089">
      <w:pPr>
        <w:pStyle w:val="SingleTxtG"/>
        <w:ind w:left="4536" w:hanging="3402"/>
        <w:jc w:val="left"/>
        <w:rPr>
          <w:lang w:val="en-GB"/>
        </w:rPr>
      </w:pPr>
      <w:r w:rsidRPr="009707F5">
        <w:rPr>
          <w:i/>
        </w:rPr>
        <w:t>Date of communication:</w:t>
      </w:r>
      <w:r w:rsidRPr="009E31DB">
        <w:tab/>
      </w:r>
      <w:r w:rsidR="00296530" w:rsidRPr="00296530">
        <w:rPr>
          <w:lang w:val="en-GB"/>
        </w:rPr>
        <w:t xml:space="preserve">18 March </w:t>
      </w:r>
      <w:r w:rsidR="001844A0" w:rsidRPr="00296530">
        <w:rPr>
          <w:lang w:val="en-GB"/>
        </w:rPr>
        <w:t>201</w:t>
      </w:r>
      <w:r w:rsidR="00F06D31" w:rsidRPr="00296530">
        <w:rPr>
          <w:lang w:val="en-GB"/>
        </w:rPr>
        <w:t>4</w:t>
      </w:r>
      <w:r w:rsidR="00335DD7" w:rsidRPr="00296530">
        <w:t xml:space="preserve"> (initial submission)</w:t>
      </w:r>
    </w:p>
    <w:p w14:paraId="7E050322" w14:textId="77777777" w:rsidR="003134AC" w:rsidRPr="009E31DB" w:rsidRDefault="003134AC" w:rsidP="007C0089">
      <w:pPr>
        <w:pStyle w:val="SingleTxtG"/>
        <w:ind w:left="4536" w:hanging="3402"/>
        <w:jc w:val="left"/>
      </w:pPr>
      <w:r w:rsidRPr="009707F5">
        <w:rPr>
          <w:i/>
        </w:rPr>
        <w:t>Document references:</w:t>
      </w:r>
      <w:r w:rsidRPr="009E31DB">
        <w:tab/>
        <w:t>Special Rapporteur’s</w:t>
      </w:r>
      <w:r w:rsidR="001F5DDF">
        <w:rPr>
          <w:lang w:val="en-US"/>
        </w:rPr>
        <w:t xml:space="preserve"> decision under</w:t>
      </w:r>
      <w:r w:rsidRPr="009E31DB">
        <w:t xml:space="preserve"> rule</w:t>
      </w:r>
      <w:r w:rsidR="001F5DDF">
        <w:rPr>
          <w:lang w:val="en-US"/>
        </w:rPr>
        <w:t>s</w:t>
      </w:r>
      <w:r w:rsidR="00D46C27">
        <w:rPr>
          <w:lang w:val="en-GB"/>
        </w:rPr>
        <w:t xml:space="preserve"> 92 and </w:t>
      </w:r>
      <w:r w:rsidRPr="009E31DB">
        <w:t xml:space="preserve">97, transmitted to the State party on </w:t>
      </w:r>
      <w:r w:rsidR="00D9765F">
        <w:rPr>
          <w:lang w:val="en-GB"/>
        </w:rPr>
        <w:t xml:space="preserve">31 March </w:t>
      </w:r>
      <w:r w:rsidR="00C01DD5">
        <w:rPr>
          <w:lang w:val="en-GB"/>
        </w:rPr>
        <w:t xml:space="preserve">2014 </w:t>
      </w:r>
      <w:r w:rsidRPr="009E31DB">
        <w:t>(not issued in document form)</w:t>
      </w:r>
    </w:p>
    <w:p w14:paraId="215636AD" w14:textId="77777777" w:rsidR="00335DD7" w:rsidRDefault="003134AC" w:rsidP="007C0089">
      <w:pPr>
        <w:pStyle w:val="SingleTxtG"/>
        <w:ind w:left="4536" w:hanging="3402"/>
        <w:jc w:val="left"/>
        <w:rPr>
          <w:lang w:val="en-GB"/>
        </w:rPr>
      </w:pPr>
      <w:r w:rsidRPr="009707F5">
        <w:rPr>
          <w:i/>
        </w:rPr>
        <w:t>Date of adoption of Views:</w:t>
      </w:r>
      <w:r w:rsidRPr="009E31DB">
        <w:tab/>
      </w:r>
      <w:r w:rsidR="006F58DC">
        <w:rPr>
          <w:lang w:val="en-GB"/>
        </w:rPr>
        <w:t>16</w:t>
      </w:r>
      <w:r w:rsidR="00C01DD5">
        <w:rPr>
          <w:lang w:val="en-GB"/>
        </w:rPr>
        <w:t xml:space="preserve"> </w:t>
      </w:r>
      <w:r w:rsidR="006427DB">
        <w:rPr>
          <w:lang w:val="en-GB"/>
        </w:rPr>
        <w:t>Ju</w:t>
      </w:r>
      <w:r w:rsidR="008A16B6">
        <w:rPr>
          <w:lang w:val="en-GB"/>
        </w:rPr>
        <w:t>ly</w:t>
      </w:r>
      <w:r w:rsidR="006427DB">
        <w:rPr>
          <w:lang w:val="en-GB"/>
        </w:rPr>
        <w:t xml:space="preserve"> </w:t>
      </w:r>
      <w:r w:rsidRPr="009E31DB">
        <w:t>201</w:t>
      </w:r>
      <w:r w:rsidR="001844A0" w:rsidRPr="001844A0">
        <w:rPr>
          <w:lang w:val="en-GB"/>
        </w:rPr>
        <w:t>5</w:t>
      </w:r>
    </w:p>
    <w:p w14:paraId="037C4020" w14:textId="77777777" w:rsidR="00E07F44" w:rsidRDefault="00E07F44" w:rsidP="007C0089">
      <w:pPr>
        <w:pStyle w:val="SingleTxtG"/>
        <w:ind w:left="4536" w:hanging="3402"/>
        <w:jc w:val="left"/>
        <w:rPr>
          <w:lang w:val="en-GB"/>
        </w:rPr>
      </w:pPr>
      <w:r w:rsidRPr="009E31DB">
        <w:rPr>
          <w:i/>
          <w:iCs/>
        </w:rPr>
        <w:t>Subject matter:</w:t>
      </w:r>
      <w:r w:rsidRPr="009E31DB">
        <w:tab/>
      </w:r>
      <w:r>
        <w:rPr>
          <w:lang w:val="en-GB"/>
        </w:rPr>
        <w:t xml:space="preserve">Deportation to Afghanistan </w:t>
      </w:r>
    </w:p>
    <w:p w14:paraId="50B4C4B8" w14:textId="77777777" w:rsidR="003134AC" w:rsidRPr="005B6047" w:rsidRDefault="003134AC" w:rsidP="007C0089">
      <w:pPr>
        <w:pStyle w:val="SingleTxtG"/>
        <w:ind w:left="4536" w:hanging="3402"/>
        <w:jc w:val="left"/>
        <w:rPr>
          <w:lang w:val="en-GB"/>
        </w:rPr>
      </w:pPr>
      <w:r w:rsidRPr="005B6047">
        <w:rPr>
          <w:i/>
          <w:iCs/>
        </w:rPr>
        <w:t xml:space="preserve">Substantive issues: </w:t>
      </w:r>
      <w:r w:rsidRPr="005B6047">
        <w:rPr>
          <w:i/>
          <w:iCs/>
        </w:rPr>
        <w:tab/>
      </w:r>
      <w:r w:rsidR="00296530" w:rsidRPr="00296530">
        <w:rPr>
          <w:iCs/>
          <w:lang w:val="en-GB"/>
        </w:rPr>
        <w:t>Right to life</w:t>
      </w:r>
      <w:r w:rsidR="001F5DDF">
        <w:rPr>
          <w:iCs/>
          <w:lang w:val="en-GB"/>
        </w:rPr>
        <w:t>,</w:t>
      </w:r>
      <w:r w:rsidR="00B410C3" w:rsidRPr="00296530">
        <w:rPr>
          <w:iCs/>
          <w:lang w:val="en-GB"/>
        </w:rPr>
        <w:t xml:space="preserve"> r</w:t>
      </w:r>
      <w:r w:rsidR="005C11C1" w:rsidRPr="00296530">
        <w:rPr>
          <w:iCs/>
          <w:lang w:val="en-GB"/>
        </w:rPr>
        <w:t>isk of t</w:t>
      </w:r>
      <w:r w:rsidR="00726A48" w:rsidRPr="00296530">
        <w:rPr>
          <w:iCs/>
          <w:lang w:val="en-GB"/>
        </w:rPr>
        <w:t>orture and ill-treatment</w:t>
      </w:r>
      <w:r w:rsidR="001F5DDF">
        <w:rPr>
          <w:iCs/>
          <w:lang w:val="en-GB"/>
        </w:rPr>
        <w:t>,</w:t>
      </w:r>
      <w:r w:rsidR="002F4621" w:rsidRPr="00296530">
        <w:rPr>
          <w:iCs/>
          <w:lang w:val="en-GB"/>
        </w:rPr>
        <w:t xml:space="preserve"> </w:t>
      </w:r>
      <w:r w:rsidR="00296530" w:rsidRPr="00296530">
        <w:rPr>
          <w:iCs/>
          <w:lang w:val="en-GB"/>
        </w:rPr>
        <w:t>right to a fair trial</w:t>
      </w:r>
      <w:r w:rsidR="00F06D31" w:rsidRPr="00296530">
        <w:rPr>
          <w:iCs/>
          <w:lang w:val="en-GB"/>
        </w:rPr>
        <w:t>.</w:t>
      </w:r>
    </w:p>
    <w:p w14:paraId="41EBB06B" w14:textId="77777777" w:rsidR="003134AC" w:rsidRPr="005B6047" w:rsidRDefault="003134AC" w:rsidP="007C0089">
      <w:pPr>
        <w:pStyle w:val="SingleTxtG"/>
        <w:ind w:left="4536" w:hanging="3402"/>
        <w:jc w:val="left"/>
      </w:pPr>
      <w:r w:rsidRPr="005B6047">
        <w:rPr>
          <w:i/>
          <w:iCs/>
        </w:rPr>
        <w:t>Procedural issue</w:t>
      </w:r>
      <w:r w:rsidR="00426023">
        <w:rPr>
          <w:i/>
          <w:iCs/>
          <w:lang w:val="en-US"/>
        </w:rPr>
        <w:t>s</w:t>
      </w:r>
      <w:r w:rsidRPr="005B6047">
        <w:rPr>
          <w:i/>
          <w:iCs/>
        </w:rPr>
        <w:t xml:space="preserve">: </w:t>
      </w:r>
      <w:r w:rsidRPr="005B6047">
        <w:rPr>
          <w:i/>
          <w:iCs/>
        </w:rPr>
        <w:tab/>
      </w:r>
      <w:r w:rsidR="004927E9">
        <w:rPr>
          <w:iCs/>
          <w:lang w:val="en-GB"/>
        </w:rPr>
        <w:t xml:space="preserve">Level of </w:t>
      </w:r>
      <w:r w:rsidR="005B6047" w:rsidRPr="005B6047">
        <w:rPr>
          <w:iCs/>
          <w:lang w:val="en-GB"/>
        </w:rPr>
        <w:t>substantiation of claims</w:t>
      </w:r>
    </w:p>
    <w:p w14:paraId="09DBD017" w14:textId="77777777" w:rsidR="005C11C1" w:rsidRPr="005C11C1" w:rsidRDefault="003134AC" w:rsidP="007C0089">
      <w:pPr>
        <w:pStyle w:val="SingleTxtG"/>
        <w:ind w:left="4536" w:hanging="3402"/>
        <w:jc w:val="left"/>
        <w:rPr>
          <w:lang w:val="en-GB"/>
        </w:rPr>
      </w:pPr>
      <w:r w:rsidRPr="005C11C1">
        <w:rPr>
          <w:i/>
          <w:iCs/>
        </w:rPr>
        <w:t>Articles of the Covenant:</w:t>
      </w:r>
      <w:r w:rsidRPr="005C11C1">
        <w:t xml:space="preserve"> </w:t>
      </w:r>
      <w:r w:rsidRPr="005C11C1">
        <w:tab/>
      </w:r>
      <w:r w:rsidR="00296530" w:rsidRPr="00296530">
        <w:rPr>
          <w:lang w:val="en-GB"/>
        </w:rPr>
        <w:t>6,</w:t>
      </w:r>
      <w:r w:rsidR="00F06D31" w:rsidRPr="00296530">
        <w:rPr>
          <w:lang w:val="en-GB"/>
        </w:rPr>
        <w:t xml:space="preserve"> </w:t>
      </w:r>
      <w:r w:rsidR="006E5A29" w:rsidRPr="00296530">
        <w:t>7</w:t>
      </w:r>
      <w:r w:rsidR="00F06D31" w:rsidRPr="00296530">
        <w:rPr>
          <w:lang w:val="en-GB"/>
        </w:rPr>
        <w:t xml:space="preserve"> and 1</w:t>
      </w:r>
      <w:r w:rsidR="00296530" w:rsidRPr="00296530">
        <w:rPr>
          <w:lang w:val="en-GB"/>
        </w:rPr>
        <w:t>4</w:t>
      </w:r>
      <w:r w:rsidR="006E5A29" w:rsidRPr="005C11C1">
        <w:t xml:space="preserve"> </w:t>
      </w:r>
    </w:p>
    <w:p w14:paraId="50CAC651" w14:textId="77777777" w:rsidR="00D52316" w:rsidRPr="008A16B6" w:rsidRDefault="003134AC" w:rsidP="007C0089">
      <w:pPr>
        <w:pStyle w:val="SingleTxtG"/>
        <w:ind w:left="4536" w:hanging="3402"/>
        <w:jc w:val="left"/>
        <w:rPr>
          <w:lang w:val="en-GB"/>
        </w:rPr>
      </w:pPr>
      <w:r w:rsidRPr="009E31DB">
        <w:rPr>
          <w:i/>
          <w:iCs/>
        </w:rPr>
        <w:t>Art</w:t>
      </w:r>
      <w:r>
        <w:rPr>
          <w:i/>
          <w:iCs/>
        </w:rPr>
        <w:t xml:space="preserve">icles of the </w:t>
      </w:r>
      <w:r w:rsidRPr="00883820">
        <w:rPr>
          <w:i/>
          <w:iCs/>
        </w:rPr>
        <w:t>Optional Protocol:</w:t>
      </w:r>
      <w:r w:rsidR="00735F4E" w:rsidRPr="00883820">
        <w:rPr>
          <w:i/>
          <w:iCs/>
          <w:lang w:val="en-GB"/>
        </w:rPr>
        <w:tab/>
      </w:r>
      <w:r w:rsidRPr="00883820">
        <w:rPr>
          <w:iCs/>
        </w:rPr>
        <w:t>2</w:t>
      </w:r>
      <w:r w:rsidR="00EA43E5" w:rsidRPr="00883820">
        <w:rPr>
          <w:iCs/>
          <w:lang w:val="en-GB"/>
        </w:rPr>
        <w:t xml:space="preserve">, </w:t>
      </w:r>
      <w:r w:rsidR="0064330C" w:rsidRPr="00883820">
        <w:rPr>
          <w:iCs/>
          <w:lang w:val="en-GB"/>
        </w:rPr>
        <w:t>3</w:t>
      </w:r>
      <w:r w:rsidR="00EA43E5" w:rsidRPr="00883820">
        <w:rPr>
          <w:iCs/>
          <w:lang w:val="en-GB"/>
        </w:rPr>
        <w:t xml:space="preserve"> and article 5 </w:t>
      </w:r>
      <w:r w:rsidR="00426023">
        <w:rPr>
          <w:iCs/>
          <w:lang w:val="en-GB"/>
        </w:rPr>
        <w:t>(</w:t>
      </w:r>
      <w:r w:rsidR="00EA43E5" w:rsidRPr="00883820">
        <w:rPr>
          <w:iCs/>
          <w:lang w:val="en-GB"/>
        </w:rPr>
        <w:t>2</w:t>
      </w:r>
      <w:r w:rsidR="00426023">
        <w:rPr>
          <w:iCs/>
          <w:lang w:val="en-GB"/>
        </w:rPr>
        <w:t>)</w:t>
      </w:r>
      <w:r w:rsidR="00EA43E5" w:rsidRPr="00883820">
        <w:rPr>
          <w:iCs/>
          <w:lang w:val="en-GB"/>
        </w:rPr>
        <w:t xml:space="preserve"> (b)</w:t>
      </w:r>
      <w:r w:rsidR="00D52316">
        <w:rPr>
          <w:iCs/>
          <w:lang w:val="en-GB"/>
        </w:rPr>
        <w:t xml:space="preserve"> </w:t>
      </w:r>
    </w:p>
    <w:p w14:paraId="0E26E19A" w14:textId="77777777" w:rsidR="003134AC" w:rsidRDefault="004927E9" w:rsidP="00EC3A31">
      <w:pPr>
        <w:pStyle w:val="HChG"/>
      </w:pPr>
      <w:r w:rsidRPr="00286FB9" w:rsidDel="004927E9">
        <w:t xml:space="preserve"> </w:t>
      </w:r>
      <w:r w:rsidR="003134AC" w:rsidRPr="009E31DB">
        <w:br w:type="page"/>
      </w:r>
    </w:p>
    <w:p w14:paraId="04A99210" w14:textId="77777777" w:rsidR="00EC3A31" w:rsidRPr="00EC3A31" w:rsidRDefault="00EC3A31" w:rsidP="00EC3A31">
      <w:pPr>
        <w:pStyle w:val="HChG"/>
      </w:pPr>
      <w:r>
        <w:lastRenderedPageBreak/>
        <w:t>Annex</w:t>
      </w:r>
    </w:p>
    <w:p w14:paraId="78551D5E" w14:textId="77777777" w:rsidR="003134AC" w:rsidRPr="009E31DB" w:rsidRDefault="003134AC" w:rsidP="00426023">
      <w:pPr>
        <w:pStyle w:val="HChG"/>
        <w:rPr>
          <w:bCs/>
        </w:rPr>
      </w:pPr>
      <w:r w:rsidRPr="009E31DB">
        <w:tab/>
      </w:r>
      <w:r w:rsidRPr="009E31DB">
        <w:tab/>
        <w:t xml:space="preserve">Views of the Human Rights Committee under article 5 </w:t>
      </w:r>
      <w:r w:rsidR="00426023">
        <w:t>(</w:t>
      </w:r>
      <w:r w:rsidRPr="009E31DB">
        <w:t>4</w:t>
      </w:r>
      <w:r w:rsidR="00426023">
        <w:t>)</w:t>
      </w:r>
      <w:r w:rsidRPr="009E31DB">
        <w:t xml:space="preserve"> of the Optional Protocol to the International Covenant on Civil and Political rights (</w:t>
      </w:r>
      <w:r>
        <w:t>11</w:t>
      </w:r>
      <w:r w:rsidR="008360B7">
        <w:t>4</w:t>
      </w:r>
      <w:r>
        <w:t xml:space="preserve">th </w:t>
      </w:r>
      <w:r w:rsidRPr="009E31DB">
        <w:rPr>
          <w:bCs/>
        </w:rPr>
        <w:t>session)</w:t>
      </w:r>
    </w:p>
    <w:p w14:paraId="745489C5" w14:textId="77777777" w:rsidR="003134AC" w:rsidRPr="009E31DB" w:rsidRDefault="003134AC" w:rsidP="003134AC">
      <w:pPr>
        <w:pStyle w:val="SingleTxtG"/>
        <w:rPr>
          <w:b/>
          <w:bCs/>
        </w:rPr>
      </w:pPr>
      <w:r w:rsidRPr="009E31DB">
        <w:t>concerning</w:t>
      </w:r>
    </w:p>
    <w:p w14:paraId="6A3636B0" w14:textId="77777777" w:rsidR="003134AC" w:rsidRPr="009E31DB" w:rsidRDefault="003134AC" w:rsidP="00362134">
      <w:pPr>
        <w:pStyle w:val="H1G"/>
      </w:pPr>
      <w:r w:rsidRPr="009E31DB">
        <w:tab/>
      </w:r>
      <w:r w:rsidRPr="009E31DB">
        <w:tab/>
        <w:t xml:space="preserve">Communication No. </w:t>
      </w:r>
      <w:r w:rsidR="001844A0" w:rsidRPr="00E81BED">
        <w:t>2</w:t>
      </w:r>
      <w:r w:rsidR="008360B7" w:rsidRPr="00E81BED">
        <w:t>3</w:t>
      </w:r>
      <w:r w:rsidR="002735C5" w:rsidRPr="00E81BED">
        <w:t>70</w:t>
      </w:r>
      <w:r w:rsidRPr="00E81BED">
        <w:t>/20</w:t>
      </w:r>
      <w:r w:rsidR="001844A0" w:rsidRPr="00E81BED">
        <w:t>1</w:t>
      </w:r>
      <w:r w:rsidR="008360B7" w:rsidRPr="00E81BED">
        <w:t>4</w:t>
      </w:r>
      <w:r w:rsidR="00362134">
        <w:rPr>
          <w:rStyle w:val="FootnoteReference"/>
          <w:b w:val="0"/>
          <w:bCs/>
        </w:rPr>
        <w:footnoteReference w:customMarkFollows="1" w:id="2"/>
        <w:t>*</w:t>
      </w:r>
    </w:p>
    <w:p w14:paraId="3CDCDBF9" w14:textId="77777777" w:rsidR="008360B7" w:rsidRDefault="003134AC" w:rsidP="007C0089">
      <w:pPr>
        <w:pStyle w:val="SingleTxtG"/>
        <w:ind w:left="4536" w:hanging="3402"/>
        <w:jc w:val="left"/>
        <w:rPr>
          <w:lang w:val="en-GB"/>
        </w:rPr>
      </w:pPr>
      <w:r w:rsidRPr="009707F5">
        <w:rPr>
          <w:i/>
        </w:rPr>
        <w:t>Submitted by:</w:t>
      </w:r>
      <w:r w:rsidRPr="009E31DB">
        <w:tab/>
      </w:r>
      <w:r w:rsidR="008360B7" w:rsidRPr="008360B7">
        <w:rPr>
          <w:lang w:val="en-GB"/>
        </w:rPr>
        <w:t>A.</w:t>
      </w:r>
      <w:r w:rsidR="002735C5">
        <w:rPr>
          <w:lang w:val="en-GB"/>
        </w:rPr>
        <w:t>H</w:t>
      </w:r>
      <w:r w:rsidR="008360B7" w:rsidRPr="008360B7">
        <w:rPr>
          <w:lang w:val="en-GB"/>
        </w:rPr>
        <w:t>. (</w:t>
      </w:r>
      <w:r w:rsidR="001F5DDF">
        <w:rPr>
          <w:lang w:val="en-GB"/>
        </w:rPr>
        <w:t>r</w:t>
      </w:r>
      <w:r w:rsidR="008360B7" w:rsidRPr="008360B7">
        <w:rPr>
          <w:lang w:val="en-GB"/>
        </w:rPr>
        <w:t xml:space="preserve">epresented by counsel, </w:t>
      </w:r>
      <w:r w:rsidR="002735C5">
        <w:rPr>
          <w:lang w:val="en-GB"/>
        </w:rPr>
        <w:t xml:space="preserve">Helge </w:t>
      </w:r>
      <w:r w:rsidR="002735C5" w:rsidRPr="002735C5">
        <w:rPr>
          <w:lang w:val="en-GB"/>
        </w:rPr>
        <w:t>N</w:t>
      </w:r>
      <w:r w:rsidR="00893534" w:rsidRPr="00893534">
        <w:rPr>
          <w:lang w:val="en-GB"/>
        </w:rPr>
        <w:t>ø</w:t>
      </w:r>
      <w:r w:rsidR="002735C5" w:rsidRPr="002735C5">
        <w:rPr>
          <w:lang w:val="en-GB"/>
        </w:rPr>
        <w:t>rrung</w:t>
      </w:r>
      <w:r w:rsidR="008360B7" w:rsidRPr="008360B7">
        <w:rPr>
          <w:lang w:val="en-GB"/>
        </w:rPr>
        <w:t>)</w:t>
      </w:r>
    </w:p>
    <w:p w14:paraId="7FEFB7B8" w14:textId="77777777" w:rsidR="003134AC" w:rsidRPr="001844A0" w:rsidRDefault="003134AC" w:rsidP="007C0089">
      <w:pPr>
        <w:pStyle w:val="SingleTxtG"/>
        <w:ind w:left="4536" w:hanging="3402"/>
        <w:jc w:val="left"/>
        <w:rPr>
          <w:lang w:val="en-GB"/>
        </w:rPr>
      </w:pPr>
      <w:r w:rsidRPr="009707F5">
        <w:rPr>
          <w:i/>
        </w:rPr>
        <w:t>Alleged victim:</w:t>
      </w:r>
      <w:r w:rsidRPr="009E31DB">
        <w:tab/>
        <w:t>The author</w:t>
      </w:r>
    </w:p>
    <w:p w14:paraId="2A680D00" w14:textId="77777777" w:rsidR="003134AC" w:rsidRPr="001844A0" w:rsidRDefault="003134AC" w:rsidP="007C0089">
      <w:pPr>
        <w:pStyle w:val="SingleTxtG"/>
        <w:ind w:left="4536" w:hanging="3402"/>
        <w:jc w:val="left"/>
        <w:rPr>
          <w:lang w:val="en-GB"/>
        </w:rPr>
      </w:pPr>
      <w:r w:rsidRPr="009707F5">
        <w:rPr>
          <w:i/>
        </w:rPr>
        <w:t>State party:</w:t>
      </w:r>
      <w:r w:rsidRPr="009E31DB">
        <w:tab/>
      </w:r>
      <w:r w:rsidR="00EF3514">
        <w:rPr>
          <w:lang w:val="en-GB"/>
        </w:rPr>
        <w:t>Denmark</w:t>
      </w:r>
    </w:p>
    <w:p w14:paraId="74C775EA" w14:textId="77777777" w:rsidR="003134AC" w:rsidRPr="009E31DB" w:rsidRDefault="003134AC" w:rsidP="007C0089">
      <w:pPr>
        <w:pStyle w:val="SingleTxtG"/>
        <w:ind w:left="4536" w:hanging="3402"/>
        <w:jc w:val="left"/>
      </w:pPr>
      <w:r w:rsidRPr="009707F5">
        <w:rPr>
          <w:i/>
        </w:rPr>
        <w:t>Date of communication:</w:t>
      </w:r>
      <w:r w:rsidRPr="009E31DB">
        <w:tab/>
      </w:r>
      <w:r w:rsidR="00B030B7" w:rsidRPr="00B030B7">
        <w:rPr>
          <w:lang w:val="en-GB"/>
        </w:rPr>
        <w:t xml:space="preserve">18 March </w:t>
      </w:r>
      <w:r w:rsidR="008360B7" w:rsidRPr="00B030B7">
        <w:rPr>
          <w:lang w:val="en-GB"/>
        </w:rPr>
        <w:t xml:space="preserve">2014 </w:t>
      </w:r>
      <w:r w:rsidRPr="00B030B7">
        <w:t>(initial submission)</w:t>
      </w:r>
    </w:p>
    <w:p w14:paraId="230385B3" w14:textId="77777777" w:rsidR="003134AC" w:rsidRPr="009E31DB" w:rsidRDefault="003134AC" w:rsidP="003134AC">
      <w:pPr>
        <w:pStyle w:val="SingleTxtG"/>
      </w:pPr>
      <w:r w:rsidRPr="009E31DB">
        <w:tab/>
      </w:r>
      <w:r w:rsidRPr="009707F5">
        <w:rPr>
          <w:i/>
        </w:rPr>
        <w:t>The Human Rights Committee</w:t>
      </w:r>
      <w:r w:rsidRPr="009E31DB">
        <w:t xml:space="preserve">, established under article 28 of the International Covenant on Civil and Political Rights, </w:t>
      </w:r>
    </w:p>
    <w:p w14:paraId="592CE8E3" w14:textId="77777777" w:rsidR="003134AC" w:rsidRPr="009E31DB" w:rsidRDefault="003134AC" w:rsidP="003134AC">
      <w:pPr>
        <w:pStyle w:val="SingleTxtG"/>
      </w:pPr>
      <w:r w:rsidRPr="009E31DB">
        <w:tab/>
      </w:r>
      <w:r w:rsidRPr="009707F5">
        <w:rPr>
          <w:i/>
        </w:rPr>
        <w:t xml:space="preserve">Meeting </w:t>
      </w:r>
      <w:r w:rsidRPr="007C0089">
        <w:rPr>
          <w:iCs/>
        </w:rPr>
        <w:t>on</w:t>
      </w:r>
      <w:r w:rsidRPr="009E31DB">
        <w:t xml:space="preserve"> </w:t>
      </w:r>
      <w:r w:rsidR="005D1E9A">
        <w:rPr>
          <w:lang w:val="en-GB"/>
        </w:rPr>
        <w:t>16</w:t>
      </w:r>
      <w:r w:rsidRPr="009E31DB">
        <w:t xml:space="preserve"> </w:t>
      </w:r>
      <w:r w:rsidR="008360B7">
        <w:rPr>
          <w:lang w:val="en-GB"/>
        </w:rPr>
        <w:t xml:space="preserve">July </w:t>
      </w:r>
      <w:r w:rsidRPr="009E31DB">
        <w:t>201</w:t>
      </w:r>
      <w:r w:rsidR="001844A0" w:rsidRPr="001844A0">
        <w:rPr>
          <w:lang w:val="en-GB"/>
        </w:rPr>
        <w:t>5</w:t>
      </w:r>
      <w:r w:rsidRPr="009E31DB">
        <w:t>,</w:t>
      </w:r>
    </w:p>
    <w:p w14:paraId="2AEF2388" w14:textId="77777777" w:rsidR="003134AC" w:rsidRPr="009E31DB" w:rsidRDefault="003134AC" w:rsidP="00516FAE">
      <w:pPr>
        <w:pStyle w:val="SingleTxtG"/>
      </w:pPr>
      <w:r w:rsidRPr="009E31DB">
        <w:tab/>
      </w:r>
      <w:r w:rsidRPr="009707F5">
        <w:rPr>
          <w:i/>
        </w:rPr>
        <w:t>Having concluded</w:t>
      </w:r>
      <w:r w:rsidRPr="009E31DB">
        <w:t xml:space="preserve"> its consideration of communication No. </w:t>
      </w:r>
      <w:r w:rsidR="001844A0" w:rsidRPr="001844A0">
        <w:rPr>
          <w:lang w:val="en-GB"/>
        </w:rPr>
        <w:t>2</w:t>
      </w:r>
      <w:r w:rsidR="008360B7">
        <w:rPr>
          <w:lang w:val="en-GB"/>
        </w:rPr>
        <w:t>3</w:t>
      </w:r>
      <w:r w:rsidR="002735C5">
        <w:rPr>
          <w:lang w:val="en-GB"/>
        </w:rPr>
        <w:t>70</w:t>
      </w:r>
      <w:r>
        <w:t>/20</w:t>
      </w:r>
      <w:r w:rsidR="001844A0" w:rsidRPr="001844A0">
        <w:rPr>
          <w:lang w:val="en-GB"/>
        </w:rPr>
        <w:t>1</w:t>
      </w:r>
      <w:r w:rsidR="008360B7">
        <w:rPr>
          <w:lang w:val="en-GB"/>
        </w:rPr>
        <w:t>4</w:t>
      </w:r>
      <w:r w:rsidRPr="009E31DB">
        <w:t xml:space="preserve">, submitted to </w:t>
      </w:r>
      <w:r w:rsidR="00426023">
        <w:rPr>
          <w:lang w:val="en-US"/>
        </w:rPr>
        <w:t>it</w:t>
      </w:r>
      <w:r>
        <w:t xml:space="preserve"> </w:t>
      </w:r>
      <w:r w:rsidRPr="009E31DB">
        <w:t>under the Optional Protocol to the International Covenant on Civil and Political Rights,</w:t>
      </w:r>
    </w:p>
    <w:p w14:paraId="3332F4CB" w14:textId="77777777" w:rsidR="003134AC" w:rsidRPr="009E31DB" w:rsidRDefault="003134AC" w:rsidP="003134AC">
      <w:pPr>
        <w:pStyle w:val="SingleTxtG"/>
      </w:pPr>
      <w:r w:rsidRPr="009E31DB">
        <w:tab/>
      </w:r>
      <w:r w:rsidRPr="009707F5">
        <w:rPr>
          <w:i/>
        </w:rPr>
        <w:t>Having taken into account</w:t>
      </w:r>
      <w:r w:rsidRPr="009E31DB">
        <w:t xml:space="preserve"> all written information made available to it by the author of the communication and the State party,</w:t>
      </w:r>
    </w:p>
    <w:p w14:paraId="44E5E829" w14:textId="77777777" w:rsidR="003134AC" w:rsidRPr="009E31DB" w:rsidRDefault="003134AC" w:rsidP="003134AC">
      <w:pPr>
        <w:pStyle w:val="SingleTxtG"/>
      </w:pPr>
      <w:r w:rsidRPr="009E31DB">
        <w:tab/>
      </w:r>
      <w:r w:rsidRPr="009707F5">
        <w:rPr>
          <w:i/>
        </w:rPr>
        <w:t>Adopts the following</w:t>
      </w:r>
      <w:r w:rsidRPr="009E31DB">
        <w:t>:</w:t>
      </w:r>
    </w:p>
    <w:p w14:paraId="4308539F" w14:textId="77777777" w:rsidR="003134AC" w:rsidRPr="00B73070" w:rsidRDefault="003134AC" w:rsidP="003134AC">
      <w:pPr>
        <w:pStyle w:val="H1G"/>
        <w:rPr>
          <w:highlight w:val="yellow"/>
        </w:rPr>
      </w:pPr>
      <w:r w:rsidRPr="009E31DB">
        <w:tab/>
      </w:r>
      <w:r w:rsidRPr="009E31DB">
        <w:tab/>
      </w:r>
      <w:r w:rsidRPr="00BC7809">
        <w:t xml:space="preserve">Views under article 5 </w:t>
      </w:r>
      <w:r w:rsidR="0065766D">
        <w:t>(</w:t>
      </w:r>
      <w:r w:rsidRPr="00BC7809">
        <w:t>4</w:t>
      </w:r>
      <w:r w:rsidR="0065766D">
        <w:t>)</w:t>
      </w:r>
      <w:r w:rsidRPr="00BC7809">
        <w:t xml:space="preserve"> of the Optional Protocol</w:t>
      </w:r>
    </w:p>
    <w:p w14:paraId="317CD5BA" w14:textId="77777777" w:rsidR="00921672" w:rsidRPr="00404151" w:rsidRDefault="008A16B6" w:rsidP="00404151">
      <w:pPr>
        <w:pStyle w:val="SingleTxtG"/>
        <w:rPr>
          <w:highlight w:val="yellow"/>
          <w:lang w:val="en-GB"/>
        </w:rPr>
      </w:pPr>
      <w:r>
        <w:rPr>
          <w:lang w:val="en-GB"/>
        </w:rPr>
        <w:t>1.1</w:t>
      </w:r>
      <w:r w:rsidR="00921672">
        <w:rPr>
          <w:lang w:val="en-GB"/>
        </w:rPr>
        <w:tab/>
      </w:r>
      <w:r w:rsidR="00F571D9" w:rsidRPr="00921672">
        <w:rPr>
          <w:lang w:val="en-GB"/>
        </w:rPr>
        <w:t>The author of the communication is A.</w:t>
      </w:r>
      <w:r w:rsidR="003D29D2" w:rsidRPr="00921672">
        <w:rPr>
          <w:lang w:val="en-GB"/>
        </w:rPr>
        <w:t>H</w:t>
      </w:r>
      <w:r>
        <w:rPr>
          <w:lang w:val="en-GB"/>
        </w:rPr>
        <w:t>.,</w:t>
      </w:r>
      <w:r w:rsidR="00F571D9" w:rsidRPr="00921672">
        <w:rPr>
          <w:lang w:val="en-GB"/>
        </w:rPr>
        <w:t xml:space="preserve"> an </w:t>
      </w:r>
      <w:r w:rsidR="003D29D2" w:rsidRPr="00921672">
        <w:rPr>
          <w:lang w:val="en-GB"/>
        </w:rPr>
        <w:t xml:space="preserve">Afghan </w:t>
      </w:r>
      <w:r w:rsidR="00F571D9" w:rsidRPr="00921672">
        <w:rPr>
          <w:lang w:val="en-GB"/>
        </w:rPr>
        <w:t xml:space="preserve">national born </w:t>
      </w:r>
      <w:r w:rsidR="002F4621" w:rsidRPr="00921672">
        <w:rPr>
          <w:lang w:val="en-GB"/>
        </w:rPr>
        <w:t xml:space="preserve">in </w:t>
      </w:r>
      <w:r w:rsidR="00F571D9" w:rsidRPr="00921672">
        <w:rPr>
          <w:lang w:val="en-GB"/>
        </w:rPr>
        <w:t>198</w:t>
      </w:r>
      <w:r w:rsidR="003D29D2" w:rsidRPr="00921672">
        <w:rPr>
          <w:lang w:val="en-GB"/>
        </w:rPr>
        <w:t>5</w:t>
      </w:r>
      <w:r w:rsidR="001469F4">
        <w:rPr>
          <w:lang w:val="en-GB"/>
        </w:rPr>
        <w:t>, who was</w:t>
      </w:r>
      <w:r w:rsidR="00B030B7" w:rsidRPr="00921672">
        <w:rPr>
          <w:lang w:val="en-GB"/>
        </w:rPr>
        <w:t xml:space="preserve"> deported </w:t>
      </w:r>
      <w:r w:rsidR="00921672" w:rsidRPr="00921672">
        <w:rPr>
          <w:lang w:val="en-GB"/>
        </w:rPr>
        <w:t xml:space="preserve">to Afghanistan </w:t>
      </w:r>
      <w:r w:rsidR="00B030B7" w:rsidRPr="00921672">
        <w:rPr>
          <w:lang w:val="en-GB"/>
        </w:rPr>
        <w:t xml:space="preserve">on 18 March 2014, following the rejection of his </w:t>
      </w:r>
      <w:r w:rsidR="001469F4">
        <w:rPr>
          <w:lang w:val="en-GB"/>
        </w:rPr>
        <w:t xml:space="preserve">asylum claim </w:t>
      </w:r>
      <w:r w:rsidR="00B030B7" w:rsidRPr="00921672">
        <w:rPr>
          <w:lang w:val="en-GB"/>
        </w:rPr>
        <w:t>in Denmark.</w:t>
      </w:r>
      <w:r w:rsidR="001878F1">
        <w:rPr>
          <w:rStyle w:val="FootnoteReference"/>
          <w:lang w:val="en-GB"/>
        </w:rPr>
        <w:footnoteReference w:id="3"/>
      </w:r>
      <w:r w:rsidR="00B030B7" w:rsidRPr="00921672">
        <w:rPr>
          <w:lang w:val="en-GB"/>
        </w:rPr>
        <w:t xml:space="preserve"> </w:t>
      </w:r>
      <w:r w:rsidR="004927E9">
        <w:rPr>
          <w:lang w:val="en-GB"/>
        </w:rPr>
        <w:t>He</w:t>
      </w:r>
      <w:r w:rsidR="00B030B7" w:rsidRPr="00921672">
        <w:rPr>
          <w:lang w:val="en-GB"/>
        </w:rPr>
        <w:t xml:space="preserve"> claims that</w:t>
      </w:r>
      <w:r w:rsidR="001F5DDF">
        <w:rPr>
          <w:lang w:val="en-GB"/>
        </w:rPr>
        <w:t>,</w:t>
      </w:r>
      <w:r w:rsidR="00B030B7" w:rsidRPr="00921672">
        <w:rPr>
          <w:lang w:val="en-GB"/>
        </w:rPr>
        <w:t xml:space="preserve"> by forcibly deporting him to Afghanistan, Denmark violated his rights under articles 6, 7, and 14 of the International Covenant on Civil and Political Rights. The author is represented by counsel, Helge Nørrung. </w:t>
      </w:r>
      <w:r w:rsidR="00B030B7" w:rsidRPr="00BC3737">
        <w:rPr>
          <w:lang w:val="en-GB"/>
        </w:rPr>
        <w:t xml:space="preserve">The Optional Protocol to the </w:t>
      </w:r>
      <w:r w:rsidR="00BC3737" w:rsidRPr="00BC3737">
        <w:rPr>
          <w:lang w:val="en-GB"/>
        </w:rPr>
        <w:t xml:space="preserve">International Covenant on Civil and Political Rights </w:t>
      </w:r>
      <w:r w:rsidR="00B030B7" w:rsidRPr="00BC3737">
        <w:rPr>
          <w:lang w:val="en-GB"/>
        </w:rPr>
        <w:t>entered into force for</w:t>
      </w:r>
      <w:r w:rsidR="00B030B7" w:rsidRPr="00921672">
        <w:rPr>
          <w:lang w:val="en-GB"/>
        </w:rPr>
        <w:t xml:space="preserve"> Denmark on 23 March 1976. </w:t>
      </w:r>
      <w:r w:rsidR="001469F4">
        <w:rPr>
          <w:lang w:val="en-GB"/>
        </w:rPr>
        <w:t>Initially, t</w:t>
      </w:r>
      <w:r w:rsidR="00B030B7" w:rsidRPr="00921672">
        <w:rPr>
          <w:lang w:val="en-GB"/>
        </w:rPr>
        <w:t xml:space="preserve">he author </w:t>
      </w:r>
      <w:r w:rsidR="001469F4">
        <w:rPr>
          <w:lang w:val="en-GB"/>
        </w:rPr>
        <w:t xml:space="preserve">invited </w:t>
      </w:r>
      <w:r w:rsidR="00B030B7" w:rsidRPr="00921672">
        <w:rPr>
          <w:lang w:val="en-GB"/>
        </w:rPr>
        <w:t xml:space="preserve">the </w:t>
      </w:r>
      <w:r w:rsidR="001469F4">
        <w:rPr>
          <w:lang w:val="en-GB"/>
        </w:rPr>
        <w:t xml:space="preserve">Committee to issue a request for interim </w:t>
      </w:r>
      <w:r w:rsidR="001469F4">
        <w:rPr>
          <w:lang w:val="en-GB"/>
        </w:rPr>
        <w:lastRenderedPageBreak/>
        <w:t>measures of protection</w:t>
      </w:r>
      <w:r w:rsidR="00F649D3">
        <w:rPr>
          <w:lang w:val="en-GB"/>
        </w:rPr>
        <w:t>.</w:t>
      </w:r>
      <w:r w:rsidR="001469F4">
        <w:rPr>
          <w:lang w:val="en-GB"/>
        </w:rPr>
        <w:t xml:space="preserve"> </w:t>
      </w:r>
      <w:r w:rsidR="00F649D3" w:rsidRPr="00404151">
        <w:rPr>
          <w:lang w:val="en-GB"/>
        </w:rPr>
        <w:t>F</w:t>
      </w:r>
      <w:r w:rsidR="001469F4" w:rsidRPr="00404151">
        <w:rPr>
          <w:lang w:val="en-GB"/>
        </w:rPr>
        <w:t xml:space="preserve">ollowing his deportation, he requested to be returned </w:t>
      </w:r>
      <w:r w:rsidR="00B030B7" w:rsidRPr="00404151">
        <w:rPr>
          <w:lang w:val="en-GB"/>
        </w:rPr>
        <w:t xml:space="preserve">to Denmark for his </w:t>
      </w:r>
      <w:r w:rsidR="001F5DDF" w:rsidRPr="00404151">
        <w:rPr>
          <w:lang w:val="en-GB"/>
        </w:rPr>
        <w:t xml:space="preserve">own </w:t>
      </w:r>
      <w:r w:rsidR="00B030B7" w:rsidRPr="00404151">
        <w:rPr>
          <w:lang w:val="en-GB"/>
        </w:rPr>
        <w:t xml:space="preserve">safety. </w:t>
      </w:r>
    </w:p>
    <w:p w14:paraId="1D2007AE" w14:textId="77777777" w:rsidR="003126A1" w:rsidRPr="007C0089" w:rsidRDefault="008A16B6" w:rsidP="00404151">
      <w:pPr>
        <w:pStyle w:val="SingleTxtG"/>
        <w:rPr>
          <w:lang w:val="en-GB"/>
        </w:rPr>
      </w:pPr>
      <w:r>
        <w:t>1.2</w:t>
      </w:r>
      <w:r w:rsidR="00921672">
        <w:tab/>
        <w:t>O</w:t>
      </w:r>
      <w:r w:rsidR="00F571D9" w:rsidRPr="00921672">
        <w:t xml:space="preserve">n </w:t>
      </w:r>
      <w:r w:rsidR="00A75E0E" w:rsidRPr="00921672">
        <w:t xml:space="preserve">31 March </w:t>
      </w:r>
      <w:r w:rsidR="00F571D9" w:rsidRPr="00921672">
        <w:t xml:space="preserve">2014, </w:t>
      </w:r>
      <w:r w:rsidR="002F4621" w:rsidRPr="00921672">
        <w:t>w</w:t>
      </w:r>
      <w:r w:rsidR="00BC7809" w:rsidRPr="00921672">
        <w:t xml:space="preserve">hen registering the communication, and pursuant to rule 92 of its rules of procedure, the Committee, acting through its Special Rapporteur on </w:t>
      </w:r>
      <w:r w:rsidR="001F5DDF">
        <w:rPr>
          <w:lang w:val="en-US"/>
        </w:rPr>
        <w:t>n</w:t>
      </w:r>
      <w:r w:rsidR="00BC7809" w:rsidRPr="00921672">
        <w:t xml:space="preserve">ew </w:t>
      </w:r>
      <w:r w:rsidR="00F35CBA">
        <w:rPr>
          <w:lang w:val="en-US"/>
        </w:rPr>
        <w:t>c</w:t>
      </w:r>
      <w:r w:rsidR="00BC7809" w:rsidRPr="00921672">
        <w:t xml:space="preserve">ommunications and </w:t>
      </w:r>
      <w:r w:rsidR="001F5DDF">
        <w:rPr>
          <w:lang w:val="en-US"/>
        </w:rPr>
        <w:t>i</w:t>
      </w:r>
      <w:r w:rsidR="00BC7809" w:rsidRPr="00921672">
        <w:t xml:space="preserve">nterim </w:t>
      </w:r>
      <w:r w:rsidR="001F5DDF">
        <w:rPr>
          <w:lang w:val="en-US"/>
        </w:rPr>
        <w:t>m</w:t>
      </w:r>
      <w:r w:rsidR="00BC7809" w:rsidRPr="00921672">
        <w:t xml:space="preserve">easures, requested the State party to </w:t>
      </w:r>
      <w:r w:rsidR="00A75E0E" w:rsidRPr="00921672">
        <w:t xml:space="preserve">ensure that the author </w:t>
      </w:r>
      <w:r w:rsidR="00F649D3">
        <w:rPr>
          <w:lang w:val="en-US"/>
        </w:rPr>
        <w:t>was</w:t>
      </w:r>
      <w:r w:rsidR="00A75E0E" w:rsidRPr="00921672">
        <w:t xml:space="preserve"> protected during the period of consideration </w:t>
      </w:r>
      <w:r w:rsidR="00A75E0E" w:rsidRPr="00E81BED">
        <w:t xml:space="preserve">of the communication by the Committee and, in particular, </w:t>
      </w:r>
      <w:r w:rsidR="00AD4B17" w:rsidRPr="00E81BED">
        <w:rPr>
          <w:lang w:val="en-US"/>
        </w:rPr>
        <w:t xml:space="preserve">to </w:t>
      </w:r>
      <w:r w:rsidR="00A75E0E" w:rsidRPr="00E81BED">
        <w:t xml:space="preserve">instruct its </w:t>
      </w:r>
      <w:r w:rsidR="00FF0A1B" w:rsidRPr="00E81BED">
        <w:rPr>
          <w:lang w:val="en-US"/>
        </w:rPr>
        <w:t>e</w:t>
      </w:r>
      <w:r w:rsidR="00A75E0E" w:rsidRPr="00E81BED">
        <w:t>mbassy in Kabul to contact the author and provide information on his situation.</w:t>
      </w:r>
      <w:r w:rsidR="00B410C3" w:rsidRPr="00E81BED">
        <w:t xml:space="preserve"> </w:t>
      </w:r>
      <w:r w:rsidR="006B7254" w:rsidRPr="00E81BED">
        <w:t>The Committee reiterated its request for interim protection on 1 July 2014. O</w:t>
      </w:r>
      <w:r w:rsidR="00597A17" w:rsidRPr="00E81BED">
        <w:t>n</w:t>
      </w:r>
      <w:r w:rsidR="006B7254" w:rsidRPr="00E81BED">
        <w:t xml:space="preserve"> 1 October 2014, </w:t>
      </w:r>
      <w:r w:rsidR="00597A17" w:rsidRPr="00E81BED">
        <w:t>t</w:t>
      </w:r>
      <w:r w:rsidR="00DE5161" w:rsidRPr="00E81BED">
        <w:t>he State</w:t>
      </w:r>
      <w:r w:rsidR="00DE5161">
        <w:t xml:space="preserve"> party </w:t>
      </w:r>
      <w:r w:rsidR="006B7254" w:rsidRPr="006B7254">
        <w:t xml:space="preserve">informed the Committee </w:t>
      </w:r>
      <w:r w:rsidR="006B7254">
        <w:t xml:space="preserve">that </w:t>
      </w:r>
      <w:r w:rsidR="00220768">
        <w:t xml:space="preserve">its </w:t>
      </w:r>
      <w:r w:rsidR="006B7254">
        <w:t xml:space="preserve">authorities </w:t>
      </w:r>
      <w:r w:rsidR="00B00B77">
        <w:rPr>
          <w:lang w:val="en-US"/>
        </w:rPr>
        <w:t>were</w:t>
      </w:r>
      <w:r w:rsidR="00B00B77">
        <w:t xml:space="preserve"> </w:t>
      </w:r>
      <w:r w:rsidR="006B7254">
        <w:t>unable to provide protection of the author on Afghan territory, where Denmark does not have jurisdiction</w:t>
      </w:r>
      <w:r w:rsidR="00F649D3">
        <w:rPr>
          <w:lang w:val="en-US"/>
        </w:rPr>
        <w:t>.</w:t>
      </w:r>
      <w:r w:rsidR="006B7254">
        <w:t xml:space="preserve"> </w:t>
      </w:r>
      <w:r w:rsidR="00F649D3">
        <w:rPr>
          <w:lang w:val="en-US"/>
        </w:rPr>
        <w:t>T</w:t>
      </w:r>
      <w:r w:rsidR="006B7254">
        <w:t xml:space="preserve">he State party </w:t>
      </w:r>
      <w:r w:rsidR="00220768">
        <w:t>added</w:t>
      </w:r>
      <w:r w:rsidR="00F649D3">
        <w:rPr>
          <w:lang w:val="en-US"/>
        </w:rPr>
        <w:t>, however,</w:t>
      </w:r>
      <w:r w:rsidR="00220768">
        <w:t xml:space="preserve"> that it </w:t>
      </w:r>
      <w:r w:rsidR="006B7254">
        <w:t>ha</w:t>
      </w:r>
      <w:r w:rsidR="00F649D3">
        <w:rPr>
          <w:lang w:val="en-US"/>
        </w:rPr>
        <w:t>d</w:t>
      </w:r>
      <w:r w:rsidR="006B7254">
        <w:t xml:space="preserve"> complied with the Committee’s request </w:t>
      </w:r>
      <w:r w:rsidR="00DE5161">
        <w:t xml:space="preserve">to </w:t>
      </w:r>
      <w:r w:rsidR="00DE5161" w:rsidRPr="00F57ADF">
        <w:t xml:space="preserve">instruct its </w:t>
      </w:r>
      <w:r w:rsidR="00FF0A1B" w:rsidRPr="00F57ADF">
        <w:rPr>
          <w:lang w:val="en-US"/>
        </w:rPr>
        <w:t>e</w:t>
      </w:r>
      <w:r w:rsidR="00DE5161" w:rsidRPr="00F57ADF">
        <w:t xml:space="preserve">mbassy in Kabul to contact the author and provide information on his </w:t>
      </w:r>
      <w:r w:rsidR="00AC1A12" w:rsidRPr="00F57ADF">
        <w:t xml:space="preserve">situation, including </w:t>
      </w:r>
      <w:r w:rsidR="00B00B77">
        <w:rPr>
          <w:lang w:val="en-US"/>
        </w:rPr>
        <w:t xml:space="preserve">through an </w:t>
      </w:r>
      <w:r w:rsidR="00AC1A12" w:rsidRPr="00F57ADF">
        <w:t xml:space="preserve">interview of the author conducted by the Danish </w:t>
      </w:r>
      <w:r w:rsidR="00FF0A1B" w:rsidRPr="00F57ADF">
        <w:rPr>
          <w:lang w:val="en-US"/>
        </w:rPr>
        <w:t>e</w:t>
      </w:r>
      <w:r w:rsidR="00AC1A12" w:rsidRPr="00F57ADF">
        <w:t>mbassy in Kabul on 20 August 2014</w:t>
      </w:r>
      <w:r w:rsidR="00DE5161" w:rsidRPr="00F57ADF">
        <w:t>.</w:t>
      </w:r>
      <w:r w:rsidR="00AC1A12" w:rsidRPr="00F57ADF">
        <w:t xml:space="preserve"> On 19 December 2014, the Committee </w:t>
      </w:r>
      <w:r w:rsidR="00220768" w:rsidRPr="00F57ADF">
        <w:t xml:space="preserve">once again </w:t>
      </w:r>
      <w:r w:rsidR="00AC1A12" w:rsidRPr="00F57ADF">
        <w:t>reiterated its request</w:t>
      </w:r>
      <w:r w:rsidR="00AC1A12" w:rsidRPr="00AC1A12">
        <w:t xml:space="preserve"> for interim protection</w:t>
      </w:r>
      <w:r w:rsidR="00AC1A12">
        <w:t>.</w:t>
      </w:r>
    </w:p>
    <w:p w14:paraId="70D36025" w14:textId="77777777" w:rsidR="003134AC" w:rsidRPr="006239C9" w:rsidRDefault="008A16B6" w:rsidP="003126A1">
      <w:pPr>
        <w:pStyle w:val="H23G"/>
      </w:pPr>
      <w:r>
        <w:tab/>
      </w:r>
      <w:r>
        <w:tab/>
      </w:r>
      <w:r w:rsidR="00883BBF" w:rsidRPr="00CF76D6">
        <w:t>The f</w:t>
      </w:r>
      <w:r w:rsidR="00E17C73" w:rsidRPr="00CF76D6">
        <w:t>acts as presented by the author</w:t>
      </w:r>
    </w:p>
    <w:p w14:paraId="781C65A5" w14:textId="77777777" w:rsidR="00EF0322" w:rsidRDefault="003134AC">
      <w:pPr>
        <w:pStyle w:val="SingleTxtG"/>
        <w:rPr>
          <w:lang w:val="en-GB"/>
        </w:rPr>
      </w:pPr>
      <w:r w:rsidRPr="000A44BA">
        <w:t>2.1</w:t>
      </w:r>
      <w:r w:rsidR="00EF0322">
        <w:rPr>
          <w:lang w:val="en-GB"/>
        </w:rPr>
        <w:tab/>
      </w:r>
      <w:r w:rsidR="001469F4">
        <w:rPr>
          <w:lang w:val="en-GB"/>
        </w:rPr>
        <w:t>T</w:t>
      </w:r>
      <w:r w:rsidR="00EF0322">
        <w:rPr>
          <w:lang w:val="en-GB"/>
        </w:rPr>
        <w:t>he aut</w:t>
      </w:r>
      <w:r w:rsidR="00EF0322" w:rsidRPr="001B1A4D">
        <w:rPr>
          <w:lang w:val="en-GB"/>
        </w:rPr>
        <w:t>hor claim</w:t>
      </w:r>
      <w:r w:rsidR="00B00B77">
        <w:rPr>
          <w:lang w:val="en-GB"/>
        </w:rPr>
        <w:t>ed</w:t>
      </w:r>
      <w:r w:rsidR="00EF0322" w:rsidRPr="001B1A4D">
        <w:rPr>
          <w:lang w:val="en-GB"/>
        </w:rPr>
        <w:t xml:space="preserve">, inter alia, that </w:t>
      </w:r>
      <w:r w:rsidR="00543575" w:rsidRPr="001B1A4D">
        <w:rPr>
          <w:lang w:val="en-GB"/>
        </w:rPr>
        <w:t xml:space="preserve">he </w:t>
      </w:r>
      <w:r w:rsidR="00EF0322" w:rsidRPr="001B1A4D">
        <w:rPr>
          <w:lang w:val="en-GB"/>
        </w:rPr>
        <w:t xml:space="preserve">was highly likely to </w:t>
      </w:r>
      <w:r w:rsidR="001B1A4D" w:rsidRPr="001B1A4D">
        <w:rPr>
          <w:lang w:val="en-GB"/>
        </w:rPr>
        <w:t xml:space="preserve">be at </w:t>
      </w:r>
      <w:r w:rsidR="00EF0322" w:rsidRPr="001B1A4D">
        <w:rPr>
          <w:lang w:val="en-GB"/>
        </w:rPr>
        <w:t>risk</w:t>
      </w:r>
      <w:r w:rsidR="001B1A4D" w:rsidRPr="001B1A4D">
        <w:rPr>
          <w:lang w:val="en-GB"/>
        </w:rPr>
        <w:t xml:space="preserve"> of</w:t>
      </w:r>
      <w:r w:rsidR="00EF0322" w:rsidRPr="001B1A4D">
        <w:rPr>
          <w:lang w:val="en-GB"/>
        </w:rPr>
        <w:t xml:space="preserve"> being </w:t>
      </w:r>
      <w:r w:rsidR="00EF0322">
        <w:rPr>
          <w:lang w:val="en-GB"/>
        </w:rPr>
        <w:t xml:space="preserve">subjected to abuse contrary to </w:t>
      </w:r>
      <w:r w:rsidR="007A7E83" w:rsidRPr="00FF0A1B">
        <w:rPr>
          <w:lang w:val="en-GB"/>
        </w:rPr>
        <w:t>a</w:t>
      </w:r>
      <w:r w:rsidR="00EF0322" w:rsidRPr="00FF0A1B">
        <w:rPr>
          <w:lang w:val="en-GB"/>
        </w:rPr>
        <w:t xml:space="preserve">rticles 6 and 7 of the Covenant </w:t>
      </w:r>
      <w:r w:rsidR="007A7E83" w:rsidRPr="00FF0A1B">
        <w:rPr>
          <w:lang w:val="en-GB"/>
        </w:rPr>
        <w:t>upon return to Afghanistan</w:t>
      </w:r>
      <w:r w:rsidR="001B1A4D" w:rsidRPr="00FF0A1B">
        <w:rPr>
          <w:lang w:val="en-GB"/>
        </w:rPr>
        <w:t>,</w:t>
      </w:r>
      <w:r w:rsidR="007A7E83" w:rsidRPr="00FF0A1B">
        <w:rPr>
          <w:lang w:val="en-GB"/>
        </w:rPr>
        <w:t xml:space="preserve"> </w:t>
      </w:r>
      <w:r w:rsidR="00EF0322" w:rsidRPr="00FF0A1B">
        <w:rPr>
          <w:lang w:val="en-GB"/>
        </w:rPr>
        <w:t xml:space="preserve">since the </w:t>
      </w:r>
      <w:r w:rsidR="001469F4" w:rsidRPr="00FF0A1B">
        <w:rPr>
          <w:lang w:val="en-GB"/>
        </w:rPr>
        <w:t xml:space="preserve">Danish </w:t>
      </w:r>
      <w:r w:rsidR="00EF0322" w:rsidRPr="00FF0A1B">
        <w:rPr>
          <w:lang w:val="en-GB"/>
        </w:rPr>
        <w:t xml:space="preserve">Refugee Appeals Board </w:t>
      </w:r>
      <w:r w:rsidR="001469F4" w:rsidRPr="00FF0A1B">
        <w:rPr>
          <w:lang w:val="en-GB"/>
        </w:rPr>
        <w:t xml:space="preserve">considered </w:t>
      </w:r>
      <w:r w:rsidR="00EF0322" w:rsidRPr="00FF0A1B">
        <w:rPr>
          <w:lang w:val="en-GB"/>
        </w:rPr>
        <w:t xml:space="preserve">as fact that the author had been employed </w:t>
      </w:r>
      <w:r w:rsidR="00BB26BD" w:rsidRPr="00FF0A1B">
        <w:rPr>
          <w:lang w:val="en-GB"/>
        </w:rPr>
        <w:t xml:space="preserve">in Afghanistan </w:t>
      </w:r>
      <w:r w:rsidR="00EF0322" w:rsidRPr="00FF0A1B">
        <w:rPr>
          <w:lang w:val="en-GB"/>
        </w:rPr>
        <w:t>as an agent to fight drug</w:t>
      </w:r>
      <w:r w:rsidR="00404151">
        <w:rPr>
          <w:lang w:val="en-GB"/>
        </w:rPr>
        <w:t>-related</w:t>
      </w:r>
      <w:r w:rsidR="00EF0322" w:rsidRPr="00FF0A1B">
        <w:rPr>
          <w:lang w:val="en-GB"/>
        </w:rPr>
        <w:t xml:space="preserve"> crime</w:t>
      </w:r>
      <w:r w:rsidR="00610758" w:rsidRPr="00FF0A1B">
        <w:rPr>
          <w:lang w:val="en-GB"/>
        </w:rPr>
        <w:t>s</w:t>
      </w:r>
      <w:r w:rsidR="00EF0322" w:rsidRPr="00FF0A1B">
        <w:rPr>
          <w:lang w:val="en-GB"/>
        </w:rPr>
        <w:t xml:space="preserve"> and</w:t>
      </w:r>
      <w:r w:rsidR="00AD4B17" w:rsidRPr="00FF0A1B">
        <w:rPr>
          <w:lang w:val="en-GB"/>
        </w:rPr>
        <w:t>,</w:t>
      </w:r>
      <w:r w:rsidR="00EF0322" w:rsidRPr="00FF0A1B">
        <w:rPr>
          <w:lang w:val="en-GB"/>
        </w:rPr>
        <w:t xml:space="preserve"> in that connection, had collaborated with several English-speaking organi</w:t>
      </w:r>
      <w:r w:rsidR="00AD4B17" w:rsidRPr="00FF0A1B">
        <w:rPr>
          <w:lang w:val="en-GB"/>
        </w:rPr>
        <w:t>z</w:t>
      </w:r>
      <w:r w:rsidR="00EF0322" w:rsidRPr="00FF0A1B">
        <w:rPr>
          <w:lang w:val="en-GB"/>
        </w:rPr>
        <w:t>ations.</w:t>
      </w:r>
      <w:r w:rsidR="005312EF" w:rsidRPr="00FF0A1B">
        <w:rPr>
          <w:lang w:val="en-GB"/>
        </w:rPr>
        <w:t xml:space="preserve"> The fact that he spoke English and </w:t>
      </w:r>
      <w:r w:rsidR="00F649D3" w:rsidRPr="007C0089">
        <w:rPr>
          <w:lang w:val="en-GB"/>
        </w:rPr>
        <w:t xml:space="preserve">was </w:t>
      </w:r>
      <w:r w:rsidR="00B00B77">
        <w:rPr>
          <w:lang w:val="en-GB"/>
        </w:rPr>
        <w:t xml:space="preserve">being </w:t>
      </w:r>
      <w:r w:rsidR="005312EF" w:rsidRPr="00FF0A1B">
        <w:rPr>
          <w:lang w:val="en-GB"/>
        </w:rPr>
        <w:t>return</w:t>
      </w:r>
      <w:r w:rsidR="007A7E83" w:rsidRPr="00FF0A1B">
        <w:rPr>
          <w:lang w:val="en-GB"/>
        </w:rPr>
        <w:t>ed</w:t>
      </w:r>
      <w:r w:rsidR="005312EF" w:rsidRPr="00FF0A1B">
        <w:rPr>
          <w:lang w:val="en-GB"/>
        </w:rPr>
        <w:t xml:space="preserve"> to his country of origin from </w:t>
      </w:r>
      <w:r w:rsidR="00610758" w:rsidRPr="00FF0A1B">
        <w:rPr>
          <w:lang w:val="en-GB"/>
        </w:rPr>
        <w:t>a</w:t>
      </w:r>
      <w:r w:rsidR="005312EF" w:rsidRPr="00FF0A1B">
        <w:rPr>
          <w:lang w:val="en-GB"/>
        </w:rPr>
        <w:t xml:space="preserve"> Western </w:t>
      </w:r>
      <w:r w:rsidR="00610758" w:rsidRPr="00FF0A1B">
        <w:rPr>
          <w:lang w:val="en-GB"/>
        </w:rPr>
        <w:t xml:space="preserve">country </w:t>
      </w:r>
      <w:r w:rsidR="005312EF" w:rsidRPr="00FF0A1B">
        <w:rPr>
          <w:lang w:val="en-GB"/>
        </w:rPr>
        <w:t>increased the risk</w:t>
      </w:r>
      <w:r w:rsidR="00F649D3" w:rsidRPr="00FF0A1B">
        <w:rPr>
          <w:lang w:val="en-GB"/>
        </w:rPr>
        <w:t>s</w:t>
      </w:r>
      <w:r w:rsidR="005312EF" w:rsidRPr="00FF0A1B">
        <w:rPr>
          <w:lang w:val="en-GB"/>
        </w:rPr>
        <w:t xml:space="preserve"> to which he would be exposed in Afghanistan.</w:t>
      </w:r>
      <w:r w:rsidR="005312EF">
        <w:rPr>
          <w:lang w:val="en-GB"/>
        </w:rPr>
        <w:t xml:space="preserve"> The author </w:t>
      </w:r>
      <w:r w:rsidR="006548EF">
        <w:rPr>
          <w:lang w:val="en-GB"/>
        </w:rPr>
        <w:t>maintained</w:t>
      </w:r>
      <w:r w:rsidR="005312EF">
        <w:rPr>
          <w:lang w:val="en-GB"/>
        </w:rPr>
        <w:t xml:space="preserve"> that he </w:t>
      </w:r>
      <w:r w:rsidR="00B00B77">
        <w:rPr>
          <w:lang w:val="en-GB"/>
        </w:rPr>
        <w:t>was</w:t>
      </w:r>
      <w:r w:rsidR="005312EF">
        <w:rPr>
          <w:lang w:val="en-GB"/>
        </w:rPr>
        <w:t xml:space="preserve"> at risk of abuse or of being killed upon </w:t>
      </w:r>
      <w:r w:rsidR="007A7E83">
        <w:rPr>
          <w:lang w:val="en-GB"/>
        </w:rPr>
        <w:t xml:space="preserve">return to </w:t>
      </w:r>
      <w:r w:rsidR="005312EF">
        <w:rPr>
          <w:lang w:val="en-GB"/>
        </w:rPr>
        <w:t xml:space="preserve">his country of origin, and that </w:t>
      </w:r>
      <w:r w:rsidR="00610758">
        <w:rPr>
          <w:lang w:val="en-GB"/>
        </w:rPr>
        <w:t xml:space="preserve">his </w:t>
      </w:r>
      <w:r w:rsidR="005312EF">
        <w:rPr>
          <w:lang w:val="en-GB"/>
        </w:rPr>
        <w:t xml:space="preserve">return </w:t>
      </w:r>
      <w:r w:rsidR="00F20017">
        <w:rPr>
          <w:lang w:val="en-GB"/>
        </w:rPr>
        <w:t>thus represent</w:t>
      </w:r>
      <w:r w:rsidR="00F649D3">
        <w:rPr>
          <w:lang w:val="en-GB"/>
        </w:rPr>
        <w:t>ed</w:t>
      </w:r>
      <w:r w:rsidR="00BB26BD">
        <w:rPr>
          <w:lang w:val="en-GB"/>
        </w:rPr>
        <w:t xml:space="preserve"> </w:t>
      </w:r>
      <w:r w:rsidR="005312EF">
        <w:rPr>
          <w:lang w:val="en-GB"/>
        </w:rPr>
        <w:t xml:space="preserve">a breach of </w:t>
      </w:r>
      <w:r w:rsidR="007A7E83">
        <w:rPr>
          <w:lang w:val="en-GB"/>
        </w:rPr>
        <w:t>a</w:t>
      </w:r>
      <w:r w:rsidR="005312EF">
        <w:rPr>
          <w:lang w:val="en-GB"/>
        </w:rPr>
        <w:t>rticles 6 and 7 of the Covenant.</w:t>
      </w:r>
      <w:r w:rsidR="004350E7">
        <w:rPr>
          <w:lang w:val="en-GB"/>
        </w:rPr>
        <w:t xml:space="preserve"> </w:t>
      </w:r>
    </w:p>
    <w:p w14:paraId="74747508" w14:textId="77777777" w:rsidR="00543575" w:rsidRDefault="008A16B6" w:rsidP="00404151">
      <w:pPr>
        <w:pStyle w:val="SingleTxtG"/>
        <w:rPr>
          <w:lang w:val="en-GB"/>
        </w:rPr>
      </w:pPr>
      <w:r>
        <w:rPr>
          <w:lang w:val="en-GB"/>
        </w:rPr>
        <w:t>2.2</w:t>
      </w:r>
      <w:r w:rsidR="00543575">
        <w:rPr>
          <w:lang w:val="en-GB"/>
        </w:rPr>
        <w:tab/>
      </w:r>
      <w:r w:rsidR="00D72AD0" w:rsidRPr="00D72AD0">
        <w:rPr>
          <w:lang w:val="en-GB"/>
        </w:rPr>
        <w:t xml:space="preserve">The author worked for several </w:t>
      </w:r>
      <w:r w:rsidR="00D72AD0" w:rsidRPr="005F00D7">
        <w:rPr>
          <w:lang w:val="en-GB"/>
        </w:rPr>
        <w:t>organizations</w:t>
      </w:r>
      <w:r w:rsidR="00AD4B17" w:rsidRPr="005F00D7">
        <w:rPr>
          <w:lang w:val="en-GB"/>
        </w:rPr>
        <w:t>,</w:t>
      </w:r>
      <w:r w:rsidR="00D72AD0" w:rsidRPr="005F00D7">
        <w:rPr>
          <w:lang w:val="en-GB"/>
        </w:rPr>
        <w:t xml:space="preserve"> including Pacific Architect</w:t>
      </w:r>
      <w:r w:rsidR="005F00D7" w:rsidRPr="007C0089">
        <w:rPr>
          <w:lang w:val="en-GB"/>
        </w:rPr>
        <w:t>s</w:t>
      </w:r>
      <w:r w:rsidR="00D72AD0" w:rsidRPr="005F00D7">
        <w:rPr>
          <w:lang w:val="en-GB"/>
        </w:rPr>
        <w:t xml:space="preserve"> </w:t>
      </w:r>
      <w:r w:rsidR="005F00D7" w:rsidRPr="007C0089">
        <w:rPr>
          <w:lang w:val="en-GB"/>
        </w:rPr>
        <w:t xml:space="preserve">and </w:t>
      </w:r>
      <w:r w:rsidR="00D72AD0" w:rsidRPr="005F00D7">
        <w:rPr>
          <w:lang w:val="en-GB"/>
        </w:rPr>
        <w:t>Engineer</w:t>
      </w:r>
      <w:r w:rsidR="005F00D7" w:rsidRPr="007C0089">
        <w:rPr>
          <w:lang w:val="en-GB"/>
        </w:rPr>
        <w:t>s</w:t>
      </w:r>
      <w:r w:rsidR="00D72AD0" w:rsidRPr="005F00D7">
        <w:rPr>
          <w:lang w:val="en-GB"/>
        </w:rPr>
        <w:t>, which cooperate</w:t>
      </w:r>
      <w:r w:rsidR="005F00D7">
        <w:rPr>
          <w:lang w:val="en-GB"/>
        </w:rPr>
        <w:t>d</w:t>
      </w:r>
      <w:r w:rsidR="00D72AD0" w:rsidRPr="005F00D7">
        <w:rPr>
          <w:lang w:val="en-GB"/>
        </w:rPr>
        <w:t xml:space="preserve"> with </w:t>
      </w:r>
      <w:r w:rsidR="007F2396" w:rsidRPr="005F00D7">
        <w:rPr>
          <w:lang w:val="en-GB"/>
        </w:rPr>
        <w:t xml:space="preserve">the </w:t>
      </w:r>
      <w:r w:rsidR="00D72AD0" w:rsidRPr="005F00D7">
        <w:rPr>
          <w:lang w:val="en-GB"/>
        </w:rPr>
        <w:t xml:space="preserve">Narcotics International Unit, </w:t>
      </w:r>
      <w:r w:rsidR="007F2396" w:rsidRPr="005F00D7">
        <w:rPr>
          <w:lang w:val="en-GB"/>
        </w:rPr>
        <w:t xml:space="preserve">the </w:t>
      </w:r>
      <w:r w:rsidR="00D72AD0" w:rsidRPr="005F00D7">
        <w:rPr>
          <w:lang w:val="en-GB"/>
        </w:rPr>
        <w:t xml:space="preserve">Drug Enforcement </w:t>
      </w:r>
      <w:r w:rsidR="005F00D7" w:rsidRPr="007C0089">
        <w:rPr>
          <w:lang w:val="en-GB"/>
        </w:rPr>
        <w:t>Administration</w:t>
      </w:r>
      <w:r w:rsidR="00D72AD0" w:rsidRPr="002023AB">
        <w:rPr>
          <w:lang w:val="en-GB"/>
        </w:rPr>
        <w:t xml:space="preserve"> </w:t>
      </w:r>
      <w:r w:rsidR="00B00B77" w:rsidRPr="002023AB">
        <w:rPr>
          <w:lang w:val="en-GB"/>
        </w:rPr>
        <w:t xml:space="preserve">of the United States of America </w:t>
      </w:r>
      <w:r w:rsidR="00D72AD0" w:rsidRPr="002023AB">
        <w:rPr>
          <w:lang w:val="en-GB"/>
        </w:rPr>
        <w:t xml:space="preserve">and </w:t>
      </w:r>
      <w:r w:rsidR="007F2396" w:rsidRPr="002023AB">
        <w:rPr>
          <w:lang w:val="en-GB"/>
        </w:rPr>
        <w:t xml:space="preserve">the </w:t>
      </w:r>
      <w:r w:rsidR="00D72AD0" w:rsidRPr="002023AB">
        <w:rPr>
          <w:lang w:val="en-GB"/>
        </w:rPr>
        <w:t>Coun</w:t>
      </w:r>
      <w:r w:rsidR="00610758" w:rsidRPr="002023AB">
        <w:rPr>
          <w:lang w:val="en-GB"/>
        </w:rPr>
        <w:t>t</w:t>
      </w:r>
      <w:r w:rsidR="00D72AD0" w:rsidRPr="002023AB">
        <w:rPr>
          <w:lang w:val="en-GB"/>
        </w:rPr>
        <w:t xml:space="preserve">er Narcotics Police </w:t>
      </w:r>
      <w:r w:rsidR="005F00D7" w:rsidRPr="007C0089">
        <w:rPr>
          <w:lang w:val="en-GB"/>
        </w:rPr>
        <w:t xml:space="preserve">of </w:t>
      </w:r>
      <w:r w:rsidR="00D72AD0" w:rsidRPr="002023AB">
        <w:rPr>
          <w:lang w:val="en-GB"/>
        </w:rPr>
        <w:t>Afghanistan</w:t>
      </w:r>
      <w:r w:rsidR="007F2396" w:rsidRPr="002023AB">
        <w:t xml:space="preserve"> </w:t>
      </w:r>
      <w:r w:rsidR="001B1A4D" w:rsidRPr="002023AB">
        <w:rPr>
          <w:lang w:val="en-GB"/>
        </w:rPr>
        <w:t xml:space="preserve">to investigate </w:t>
      </w:r>
      <w:r w:rsidR="00D72AD0" w:rsidRPr="002023AB">
        <w:rPr>
          <w:lang w:val="en-GB"/>
        </w:rPr>
        <w:t>drug</w:t>
      </w:r>
      <w:r w:rsidR="004E4283" w:rsidRPr="002023AB">
        <w:rPr>
          <w:lang w:val="en-GB"/>
        </w:rPr>
        <w:t>-</w:t>
      </w:r>
      <w:r w:rsidR="00610758" w:rsidRPr="002023AB">
        <w:rPr>
          <w:lang w:val="en-GB"/>
        </w:rPr>
        <w:t xml:space="preserve">related </w:t>
      </w:r>
      <w:r w:rsidR="00D72AD0" w:rsidRPr="002023AB">
        <w:rPr>
          <w:lang w:val="en-GB"/>
        </w:rPr>
        <w:t xml:space="preserve">crime. </w:t>
      </w:r>
      <w:r w:rsidR="00610758" w:rsidRPr="002023AB">
        <w:rPr>
          <w:lang w:val="en-GB"/>
        </w:rPr>
        <w:t>He claim</w:t>
      </w:r>
      <w:r w:rsidR="00F649D3" w:rsidRPr="002023AB">
        <w:rPr>
          <w:lang w:val="en-GB"/>
        </w:rPr>
        <w:t>ed</w:t>
      </w:r>
      <w:r w:rsidR="00610758" w:rsidRPr="002023AB">
        <w:rPr>
          <w:lang w:val="en-GB"/>
        </w:rPr>
        <w:t xml:space="preserve"> that</w:t>
      </w:r>
      <w:r w:rsidR="001B1A4D" w:rsidRPr="002023AB">
        <w:rPr>
          <w:lang w:val="en-GB"/>
        </w:rPr>
        <w:t>,</w:t>
      </w:r>
      <w:r w:rsidR="00610758" w:rsidRPr="002023AB">
        <w:rPr>
          <w:lang w:val="en-GB"/>
        </w:rPr>
        <w:t xml:space="preserve"> due to </w:t>
      </w:r>
      <w:r w:rsidR="00D72AD0" w:rsidRPr="002023AB">
        <w:rPr>
          <w:lang w:val="en-GB"/>
        </w:rPr>
        <w:t>his</w:t>
      </w:r>
      <w:r w:rsidR="00D72AD0" w:rsidRPr="005F00D7">
        <w:rPr>
          <w:lang w:val="en-GB"/>
        </w:rPr>
        <w:t xml:space="preserve"> work </w:t>
      </w:r>
      <w:r w:rsidR="001B1A4D" w:rsidRPr="005F00D7">
        <w:rPr>
          <w:lang w:val="en-GB"/>
        </w:rPr>
        <w:t xml:space="preserve">in fighting </w:t>
      </w:r>
      <w:r w:rsidR="00D72AD0" w:rsidRPr="005F00D7">
        <w:rPr>
          <w:lang w:val="en-GB"/>
        </w:rPr>
        <w:t>drug</w:t>
      </w:r>
      <w:r w:rsidR="00404151">
        <w:rPr>
          <w:lang w:val="en-GB"/>
        </w:rPr>
        <w:t>-related</w:t>
      </w:r>
      <w:r w:rsidR="00D72AD0" w:rsidRPr="005F00D7">
        <w:rPr>
          <w:lang w:val="en-GB"/>
        </w:rPr>
        <w:t xml:space="preserve"> crime, he was sought by the Taliban, who knew </w:t>
      </w:r>
      <w:r w:rsidR="00610758" w:rsidRPr="005F00D7">
        <w:rPr>
          <w:lang w:val="en-GB"/>
        </w:rPr>
        <w:t xml:space="preserve">him </w:t>
      </w:r>
      <w:r w:rsidR="00D72AD0" w:rsidRPr="005F00D7">
        <w:rPr>
          <w:lang w:val="en-GB"/>
        </w:rPr>
        <w:t xml:space="preserve">because he had assisted in securing the arrest of two drug lords affiliated with the Taliban. Moreover, </w:t>
      </w:r>
      <w:r w:rsidR="001B1A4D" w:rsidRPr="005F00D7">
        <w:rPr>
          <w:lang w:val="en-GB"/>
        </w:rPr>
        <w:t xml:space="preserve">as a result of </w:t>
      </w:r>
      <w:r w:rsidR="00D72AD0" w:rsidRPr="005F00D7">
        <w:rPr>
          <w:lang w:val="en-GB"/>
        </w:rPr>
        <w:t>his work</w:t>
      </w:r>
      <w:r w:rsidR="00610758">
        <w:rPr>
          <w:lang w:val="en-GB"/>
        </w:rPr>
        <w:t xml:space="preserve">, he </w:t>
      </w:r>
      <w:r w:rsidR="00F649D3">
        <w:rPr>
          <w:lang w:val="en-GB"/>
        </w:rPr>
        <w:t xml:space="preserve">had been the </w:t>
      </w:r>
      <w:r w:rsidR="00610758">
        <w:rPr>
          <w:lang w:val="en-GB"/>
        </w:rPr>
        <w:t xml:space="preserve">victim of an abduction attempt and </w:t>
      </w:r>
      <w:r w:rsidR="00F649D3">
        <w:rPr>
          <w:lang w:val="en-GB"/>
        </w:rPr>
        <w:t xml:space="preserve">had </w:t>
      </w:r>
      <w:r w:rsidR="00610758">
        <w:rPr>
          <w:lang w:val="en-GB"/>
        </w:rPr>
        <w:t xml:space="preserve">received </w:t>
      </w:r>
      <w:r w:rsidR="00D72AD0" w:rsidRPr="00D72AD0">
        <w:rPr>
          <w:lang w:val="en-GB"/>
        </w:rPr>
        <w:t xml:space="preserve">written threats, and </w:t>
      </w:r>
      <w:r w:rsidR="004F36C2">
        <w:rPr>
          <w:lang w:val="en-GB"/>
        </w:rPr>
        <w:t xml:space="preserve">his brother </w:t>
      </w:r>
      <w:r w:rsidR="00F649D3">
        <w:rPr>
          <w:lang w:val="en-GB"/>
        </w:rPr>
        <w:t xml:space="preserve">had been </w:t>
      </w:r>
      <w:r w:rsidR="00D72AD0" w:rsidRPr="00D72AD0">
        <w:rPr>
          <w:lang w:val="en-GB"/>
        </w:rPr>
        <w:t>kidnapp</w:t>
      </w:r>
      <w:r w:rsidR="004F36C2">
        <w:rPr>
          <w:lang w:val="en-GB"/>
        </w:rPr>
        <w:t>ed</w:t>
      </w:r>
      <w:r w:rsidR="00D72AD0" w:rsidRPr="00D72AD0">
        <w:rPr>
          <w:lang w:val="en-GB"/>
        </w:rPr>
        <w:t xml:space="preserve"> and kill</w:t>
      </w:r>
      <w:r w:rsidR="004F36C2">
        <w:rPr>
          <w:lang w:val="en-GB"/>
        </w:rPr>
        <w:t>ed</w:t>
      </w:r>
      <w:r w:rsidR="00D72AD0" w:rsidRPr="00D72AD0">
        <w:rPr>
          <w:lang w:val="en-GB"/>
        </w:rPr>
        <w:t xml:space="preserve">. </w:t>
      </w:r>
      <w:r w:rsidR="00543575" w:rsidRPr="00543575">
        <w:rPr>
          <w:lang w:val="en-GB"/>
        </w:rPr>
        <w:t xml:space="preserve">The author </w:t>
      </w:r>
      <w:r w:rsidR="00BB26BD">
        <w:rPr>
          <w:lang w:val="en-GB"/>
        </w:rPr>
        <w:t xml:space="preserve">also </w:t>
      </w:r>
      <w:r w:rsidR="004F36C2">
        <w:rPr>
          <w:lang w:val="en-GB"/>
        </w:rPr>
        <w:t>contend</w:t>
      </w:r>
      <w:r w:rsidR="00F649D3">
        <w:rPr>
          <w:lang w:val="en-GB"/>
        </w:rPr>
        <w:t>ed</w:t>
      </w:r>
      <w:r w:rsidR="004F36C2">
        <w:rPr>
          <w:lang w:val="en-GB"/>
        </w:rPr>
        <w:t xml:space="preserve"> that he </w:t>
      </w:r>
      <w:r w:rsidR="00543575" w:rsidRPr="00543575">
        <w:rPr>
          <w:lang w:val="en-GB"/>
        </w:rPr>
        <w:t>fear</w:t>
      </w:r>
      <w:r w:rsidR="00F649D3">
        <w:rPr>
          <w:lang w:val="en-GB"/>
        </w:rPr>
        <w:t>ed</w:t>
      </w:r>
      <w:r w:rsidR="00543575" w:rsidRPr="00543575">
        <w:rPr>
          <w:lang w:val="en-GB"/>
        </w:rPr>
        <w:t xml:space="preserve"> </w:t>
      </w:r>
      <w:r w:rsidR="00F649D3">
        <w:rPr>
          <w:lang w:val="en-GB"/>
        </w:rPr>
        <w:t xml:space="preserve">that </w:t>
      </w:r>
      <w:r w:rsidR="00543575" w:rsidRPr="00543575">
        <w:rPr>
          <w:lang w:val="en-GB"/>
        </w:rPr>
        <w:t>the Afghan authorities believe</w:t>
      </w:r>
      <w:r w:rsidR="00F649D3">
        <w:rPr>
          <w:lang w:val="en-GB"/>
        </w:rPr>
        <w:t>d</w:t>
      </w:r>
      <w:r w:rsidR="00543575" w:rsidRPr="00543575">
        <w:rPr>
          <w:lang w:val="en-GB"/>
        </w:rPr>
        <w:t xml:space="preserve"> that he </w:t>
      </w:r>
      <w:r w:rsidR="00F649D3">
        <w:rPr>
          <w:lang w:val="en-GB"/>
        </w:rPr>
        <w:t>was</w:t>
      </w:r>
      <w:r w:rsidR="00543575" w:rsidRPr="00543575">
        <w:rPr>
          <w:lang w:val="en-GB"/>
        </w:rPr>
        <w:t xml:space="preserve"> a supporter of Christianity because of </w:t>
      </w:r>
      <w:r w:rsidR="004F36C2">
        <w:rPr>
          <w:lang w:val="en-GB"/>
        </w:rPr>
        <w:t xml:space="preserve">the existence of </w:t>
      </w:r>
      <w:r w:rsidR="00543575" w:rsidRPr="00543575">
        <w:rPr>
          <w:lang w:val="en-GB"/>
        </w:rPr>
        <w:t xml:space="preserve">a video recording in which </w:t>
      </w:r>
      <w:r w:rsidR="00F649D3">
        <w:rPr>
          <w:lang w:val="en-GB"/>
        </w:rPr>
        <w:t xml:space="preserve">he talked </w:t>
      </w:r>
      <w:r w:rsidR="00543575" w:rsidRPr="00543575">
        <w:rPr>
          <w:lang w:val="en-GB"/>
        </w:rPr>
        <w:t>about Christianity and Islam.</w:t>
      </w:r>
    </w:p>
    <w:p w14:paraId="32BAAB1E" w14:textId="77777777" w:rsidR="005312EF" w:rsidRPr="005F00D7" w:rsidRDefault="00543575">
      <w:pPr>
        <w:pStyle w:val="SingleTxtG"/>
        <w:rPr>
          <w:lang w:val="en-GB"/>
        </w:rPr>
      </w:pPr>
      <w:r>
        <w:rPr>
          <w:lang w:val="en-GB"/>
        </w:rPr>
        <w:t>2.3</w:t>
      </w:r>
      <w:r>
        <w:rPr>
          <w:lang w:val="en-GB"/>
        </w:rPr>
        <w:tab/>
      </w:r>
      <w:r w:rsidRPr="00543575">
        <w:rPr>
          <w:lang w:val="en-GB"/>
        </w:rPr>
        <w:t xml:space="preserve">The author </w:t>
      </w:r>
      <w:r w:rsidR="006548EF">
        <w:rPr>
          <w:lang w:val="en-GB"/>
        </w:rPr>
        <w:t>stated</w:t>
      </w:r>
      <w:r>
        <w:rPr>
          <w:lang w:val="en-GB"/>
        </w:rPr>
        <w:t xml:space="preserve"> that he </w:t>
      </w:r>
      <w:r w:rsidR="004F36C2">
        <w:rPr>
          <w:lang w:val="en-GB"/>
        </w:rPr>
        <w:t xml:space="preserve">would be </w:t>
      </w:r>
      <w:r w:rsidRPr="005F00D7">
        <w:rPr>
          <w:lang w:val="en-GB"/>
        </w:rPr>
        <w:t>persecuted by the Taliban because of his work</w:t>
      </w:r>
      <w:r w:rsidR="004F36C2" w:rsidRPr="005F00D7">
        <w:rPr>
          <w:lang w:val="en-GB"/>
        </w:rPr>
        <w:t xml:space="preserve">, and </w:t>
      </w:r>
      <w:r w:rsidRPr="005F00D7">
        <w:rPr>
          <w:lang w:val="en-GB"/>
        </w:rPr>
        <w:t>maintain</w:t>
      </w:r>
      <w:r w:rsidR="00F649D3" w:rsidRPr="005F00D7">
        <w:rPr>
          <w:lang w:val="en-GB"/>
        </w:rPr>
        <w:t>ed</w:t>
      </w:r>
      <w:r w:rsidRPr="005F00D7">
        <w:rPr>
          <w:lang w:val="en-GB"/>
        </w:rPr>
        <w:t xml:space="preserve"> that he </w:t>
      </w:r>
      <w:r w:rsidR="00F649D3" w:rsidRPr="005F00D7">
        <w:rPr>
          <w:lang w:val="en-GB"/>
        </w:rPr>
        <w:t xml:space="preserve">fell </w:t>
      </w:r>
      <w:r w:rsidRPr="005F00D7">
        <w:rPr>
          <w:lang w:val="en-GB"/>
        </w:rPr>
        <w:t xml:space="preserve">within several of the risk </w:t>
      </w:r>
      <w:r w:rsidR="001A3D9B" w:rsidRPr="005F00D7">
        <w:rPr>
          <w:lang w:val="en-GB"/>
        </w:rPr>
        <w:t xml:space="preserve">groups </w:t>
      </w:r>
      <w:r w:rsidRPr="005F00D7">
        <w:rPr>
          <w:lang w:val="en-GB"/>
        </w:rPr>
        <w:t xml:space="preserve">mentioned in the </w:t>
      </w:r>
      <w:r w:rsidR="00BC3737">
        <w:rPr>
          <w:lang w:val="en-GB"/>
        </w:rPr>
        <w:t>Office of the United Nations High Commissioner for Refugees (</w:t>
      </w:r>
      <w:r w:rsidRPr="005F00D7">
        <w:rPr>
          <w:lang w:val="en-GB"/>
        </w:rPr>
        <w:t>UNHCR</w:t>
      </w:r>
      <w:r w:rsidR="00BC3737">
        <w:rPr>
          <w:lang w:val="en-GB"/>
        </w:rPr>
        <w:t>)</w:t>
      </w:r>
      <w:r w:rsidRPr="005F00D7">
        <w:rPr>
          <w:lang w:val="en-GB"/>
        </w:rPr>
        <w:t xml:space="preserve"> Eligibility Guidelines for Assessing the International Protection Needs of Asylum</w:t>
      </w:r>
      <w:r w:rsidR="005F00D7" w:rsidRPr="007C0089">
        <w:rPr>
          <w:lang w:val="en-GB"/>
        </w:rPr>
        <w:t xml:space="preserve"> </w:t>
      </w:r>
      <w:r w:rsidRPr="005F00D7">
        <w:rPr>
          <w:lang w:val="en-GB"/>
        </w:rPr>
        <w:t xml:space="preserve">Seekers from Afghanistan </w:t>
      </w:r>
      <w:r w:rsidR="001A3D9B">
        <w:rPr>
          <w:lang w:val="en-GB"/>
        </w:rPr>
        <w:t>of</w:t>
      </w:r>
      <w:r w:rsidR="001A3D9B" w:rsidRPr="005F00D7">
        <w:rPr>
          <w:lang w:val="en-GB"/>
        </w:rPr>
        <w:t xml:space="preserve"> </w:t>
      </w:r>
      <w:r w:rsidRPr="005F00D7">
        <w:rPr>
          <w:lang w:val="en-GB"/>
        </w:rPr>
        <w:t>6 August 2013.</w:t>
      </w:r>
      <w:r w:rsidR="003126A1" w:rsidRPr="005F00D7">
        <w:rPr>
          <w:lang w:val="en-GB"/>
        </w:rPr>
        <w:t xml:space="preserve"> </w:t>
      </w:r>
    </w:p>
    <w:p w14:paraId="3E437770" w14:textId="77777777" w:rsidR="00904589" w:rsidRDefault="005312EF">
      <w:pPr>
        <w:pStyle w:val="SingleTxtG"/>
        <w:rPr>
          <w:lang w:val="en-GB"/>
        </w:rPr>
      </w:pPr>
      <w:r w:rsidRPr="005F00D7">
        <w:rPr>
          <w:lang w:val="en-GB"/>
        </w:rPr>
        <w:t>2.4</w:t>
      </w:r>
      <w:r w:rsidRPr="005F00D7">
        <w:rPr>
          <w:lang w:val="en-GB"/>
        </w:rPr>
        <w:tab/>
      </w:r>
      <w:r w:rsidR="00B94E87" w:rsidRPr="005F00D7">
        <w:rPr>
          <w:lang w:val="en-GB"/>
        </w:rPr>
        <w:t xml:space="preserve">The author further </w:t>
      </w:r>
      <w:r w:rsidR="006548EF">
        <w:rPr>
          <w:lang w:val="en-GB"/>
        </w:rPr>
        <w:t>stated</w:t>
      </w:r>
      <w:r w:rsidR="00B94E87" w:rsidRPr="005F00D7">
        <w:rPr>
          <w:lang w:val="en-GB"/>
        </w:rPr>
        <w:t xml:space="preserve"> that the </w:t>
      </w:r>
      <w:r w:rsidR="00E81BED" w:rsidRPr="00FF0A1B">
        <w:rPr>
          <w:lang w:val="en-GB"/>
        </w:rPr>
        <w:t xml:space="preserve">Danish Refugee Appeals </w:t>
      </w:r>
      <w:r w:rsidR="00B94E87" w:rsidRPr="005F00D7">
        <w:rPr>
          <w:lang w:val="en-GB"/>
        </w:rPr>
        <w:t xml:space="preserve">Board had breached </w:t>
      </w:r>
      <w:r w:rsidR="007A7E83" w:rsidRPr="005F00D7">
        <w:rPr>
          <w:lang w:val="en-GB"/>
        </w:rPr>
        <w:t>a</w:t>
      </w:r>
      <w:r w:rsidR="00B94E87" w:rsidRPr="005F00D7">
        <w:rPr>
          <w:lang w:val="en-GB"/>
        </w:rPr>
        <w:t>rticle</w:t>
      </w:r>
      <w:r w:rsidR="00B94E87">
        <w:rPr>
          <w:lang w:val="en-GB"/>
        </w:rPr>
        <w:t xml:space="preserve"> 14 of the Covenant by not sending its refusal to reopen the asylum proceedings until 4</w:t>
      </w:r>
      <w:r w:rsidR="00F649D3">
        <w:rPr>
          <w:lang w:val="en-GB"/>
        </w:rPr>
        <w:t>.</w:t>
      </w:r>
      <w:r w:rsidR="00B94E87">
        <w:rPr>
          <w:lang w:val="en-GB"/>
        </w:rPr>
        <w:t>33 p</w:t>
      </w:r>
      <w:r w:rsidR="001B1A4D">
        <w:rPr>
          <w:lang w:val="en-GB"/>
        </w:rPr>
        <w:t>.</w:t>
      </w:r>
      <w:r w:rsidR="00B94E87">
        <w:rPr>
          <w:lang w:val="en-GB"/>
        </w:rPr>
        <w:t>m</w:t>
      </w:r>
      <w:r w:rsidR="001B1A4D">
        <w:rPr>
          <w:lang w:val="en-GB"/>
        </w:rPr>
        <w:t>.</w:t>
      </w:r>
      <w:r w:rsidR="00B94E87">
        <w:rPr>
          <w:lang w:val="en-GB"/>
        </w:rPr>
        <w:t xml:space="preserve"> on 17 March 2014, </w:t>
      </w:r>
      <w:r w:rsidR="001B1A4D">
        <w:rPr>
          <w:lang w:val="en-GB"/>
        </w:rPr>
        <w:t xml:space="preserve">a </w:t>
      </w:r>
      <w:r w:rsidR="00B94E87">
        <w:rPr>
          <w:lang w:val="en-GB"/>
        </w:rPr>
        <w:t>few hours before the planned return of the auth</w:t>
      </w:r>
      <w:r w:rsidR="007A7E83">
        <w:rPr>
          <w:lang w:val="en-GB"/>
        </w:rPr>
        <w:t xml:space="preserve">or around midnight </w:t>
      </w:r>
      <w:r w:rsidR="005F00D7">
        <w:rPr>
          <w:lang w:val="en-GB"/>
        </w:rPr>
        <w:t>on 18 March 2014</w:t>
      </w:r>
      <w:r w:rsidR="007A7E83">
        <w:rPr>
          <w:lang w:val="en-GB"/>
        </w:rPr>
        <w:t xml:space="preserve">. He thus claims that </w:t>
      </w:r>
      <w:r w:rsidR="00B94E87">
        <w:rPr>
          <w:lang w:val="en-GB"/>
        </w:rPr>
        <w:t xml:space="preserve">the late </w:t>
      </w:r>
      <w:r w:rsidR="00B94E87" w:rsidRPr="00FF0A1B">
        <w:rPr>
          <w:lang w:val="en-GB"/>
        </w:rPr>
        <w:t xml:space="preserve">forwarding of the decision in fact prevented </w:t>
      </w:r>
      <w:r w:rsidR="005F00D7" w:rsidRPr="00FF0A1B">
        <w:rPr>
          <w:lang w:val="en-GB"/>
        </w:rPr>
        <w:t xml:space="preserve">him </w:t>
      </w:r>
      <w:r w:rsidR="00B94E87" w:rsidRPr="00FF0A1B">
        <w:rPr>
          <w:lang w:val="en-GB"/>
        </w:rPr>
        <w:t xml:space="preserve">from </w:t>
      </w:r>
      <w:r w:rsidR="00BB26BD" w:rsidRPr="00FF0A1B">
        <w:rPr>
          <w:lang w:val="en-GB"/>
        </w:rPr>
        <w:t xml:space="preserve">effectively </w:t>
      </w:r>
      <w:r w:rsidR="00377C66" w:rsidRPr="00FF0A1B">
        <w:rPr>
          <w:lang w:val="en-GB"/>
        </w:rPr>
        <w:t xml:space="preserve">submitting a communication </w:t>
      </w:r>
      <w:r w:rsidR="00BB26BD" w:rsidRPr="00FF0A1B">
        <w:rPr>
          <w:lang w:val="en-GB"/>
        </w:rPr>
        <w:t>to the Committee under the Optional Protocol</w:t>
      </w:r>
      <w:r w:rsidR="00904589" w:rsidRPr="00FF0A1B">
        <w:rPr>
          <w:lang w:val="en-GB"/>
        </w:rPr>
        <w:t xml:space="preserve">. </w:t>
      </w:r>
      <w:r w:rsidR="004F36C2" w:rsidRPr="00FF0A1B">
        <w:rPr>
          <w:lang w:val="en-GB"/>
        </w:rPr>
        <w:t xml:space="preserve">He notes </w:t>
      </w:r>
      <w:r w:rsidR="00904589" w:rsidRPr="00FF0A1B">
        <w:rPr>
          <w:lang w:val="en-GB"/>
        </w:rPr>
        <w:t xml:space="preserve">that the Board had been advised of the return well in advance </w:t>
      </w:r>
      <w:r w:rsidR="001A3D9B" w:rsidRPr="00FF0A1B">
        <w:rPr>
          <w:lang w:val="en-GB"/>
        </w:rPr>
        <w:t xml:space="preserve">both </w:t>
      </w:r>
      <w:r w:rsidR="00904589" w:rsidRPr="00FF0A1B">
        <w:rPr>
          <w:lang w:val="en-GB"/>
        </w:rPr>
        <w:t xml:space="preserve">by the case officer of the Danish Refugee Council and by the </w:t>
      </w:r>
      <w:r w:rsidR="00FF0A1B" w:rsidRPr="00FF0A1B">
        <w:rPr>
          <w:lang w:val="en-GB"/>
        </w:rPr>
        <w:t xml:space="preserve">Danish </w:t>
      </w:r>
      <w:r w:rsidR="00904589" w:rsidRPr="00FF0A1B">
        <w:rPr>
          <w:lang w:val="en-GB"/>
        </w:rPr>
        <w:t>National Police, and that the Board had been advised that the case would be brought before an international</w:t>
      </w:r>
      <w:r w:rsidR="00904589">
        <w:rPr>
          <w:lang w:val="en-GB"/>
        </w:rPr>
        <w:t xml:space="preserve"> body if </w:t>
      </w:r>
      <w:r w:rsidR="004F36C2">
        <w:rPr>
          <w:lang w:val="en-GB"/>
        </w:rPr>
        <w:t xml:space="preserve">the </w:t>
      </w:r>
      <w:r w:rsidR="00FF0A1B">
        <w:rPr>
          <w:lang w:val="en-GB"/>
        </w:rPr>
        <w:t xml:space="preserve">request to reopen it </w:t>
      </w:r>
      <w:r w:rsidR="00904589">
        <w:rPr>
          <w:lang w:val="en-GB"/>
        </w:rPr>
        <w:t xml:space="preserve">was refused. </w:t>
      </w:r>
    </w:p>
    <w:p w14:paraId="3D49DFDA" w14:textId="77777777" w:rsidR="00D72AD0" w:rsidRDefault="00904589">
      <w:pPr>
        <w:pStyle w:val="SingleTxtG"/>
        <w:rPr>
          <w:lang w:val="en-GB"/>
        </w:rPr>
      </w:pPr>
      <w:r>
        <w:rPr>
          <w:lang w:val="en-GB"/>
        </w:rPr>
        <w:lastRenderedPageBreak/>
        <w:t>2.5</w:t>
      </w:r>
      <w:r>
        <w:rPr>
          <w:lang w:val="en-GB"/>
        </w:rPr>
        <w:tab/>
      </w:r>
      <w:r w:rsidR="007A7E83">
        <w:rPr>
          <w:lang w:val="en-GB"/>
        </w:rPr>
        <w:t>In addition, t</w:t>
      </w:r>
      <w:r>
        <w:rPr>
          <w:lang w:val="en-GB"/>
        </w:rPr>
        <w:t>he author</w:t>
      </w:r>
      <w:r w:rsidR="007A7E83">
        <w:rPr>
          <w:lang w:val="en-GB"/>
        </w:rPr>
        <w:t xml:space="preserve">’s counsel </w:t>
      </w:r>
      <w:r w:rsidR="006548EF">
        <w:rPr>
          <w:lang w:val="en-GB"/>
        </w:rPr>
        <w:t>stated</w:t>
      </w:r>
      <w:r w:rsidR="007A7E83">
        <w:rPr>
          <w:lang w:val="en-GB"/>
        </w:rPr>
        <w:t xml:space="preserve"> </w:t>
      </w:r>
      <w:r>
        <w:rPr>
          <w:lang w:val="en-GB"/>
        </w:rPr>
        <w:t xml:space="preserve">that the author produced several original documents, certificates and photographs in support of his asylum </w:t>
      </w:r>
      <w:r w:rsidR="004F36C2">
        <w:rPr>
          <w:lang w:val="en-GB"/>
        </w:rPr>
        <w:t xml:space="preserve">claim </w:t>
      </w:r>
      <w:r>
        <w:rPr>
          <w:lang w:val="en-GB"/>
        </w:rPr>
        <w:t xml:space="preserve">and that the Board infringed the author’s human rights by rejecting </w:t>
      </w:r>
      <w:r w:rsidR="004F36C2">
        <w:rPr>
          <w:lang w:val="en-GB"/>
        </w:rPr>
        <w:t xml:space="preserve">his </w:t>
      </w:r>
      <w:r>
        <w:rPr>
          <w:lang w:val="en-GB"/>
        </w:rPr>
        <w:t>statements</w:t>
      </w:r>
      <w:r w:rsidR="007A7E83">
        <w:rPr>
          <w:lang w:val="en-GB"/>
        </w:rPr>
        <w:t xml:space="preserve"> </w:t>
      </w:r>
      <w:r>
        <w:rPr>
          <w:lang w:val="en-GB"/>
        </w:rPr>
        <w:t xml:space="preserve">about conflict in his country of origin without </w:t>
      </w:r>
      <w:r w:rsidR="00B83477">
        <w:rPr>
          <w:lang w:val="en-GB"/>
        </w:rPr>
        <w:t xml:space="preserve">seeking </w:t>
      </w:r>
      <w:r>
        <w:rPr>
          <w:lang w:val="en-GB"/>
        </w:rPr>
        <w:t>detailed information about the val</w:t>
      </w:r>
      <w:r w:rsidR="008A16B6">
        <w:rPr>
          <w:lang w:val="en-GB"/>
        </w:rPr>
        <w:t>idity of the evidence produced.</w:t>
      </w:r>
    </w:p>
    <w:p w14:paraId="561D71B4" w14:textId="77777777" w:rsidR="00DD6EF0" w:rsidRPr="00DD6EF0" w:rsidRDefault="00543575">
      <w:pPr>
        <w:pStyle w:val="SingleTxtG"/>
        <w:rPr>
          <w:lang w:val="en-GB"/>
        </w:rPr>
      </w:pPr>
      <w:r>
        <w:rPr>
          <w:lang w:val="en-GB"/>
        </w:rPr>
        <w:t>2.</w:t>
      </w:r>
      <w:r w:rsidR="00904589">
        <w:rPr>
          <w:lang w:val="en-GB"/>
        </w:rPr>
        <w:t>6</w:t>
      </w:r>
      <w:r>
        <w:rPr>
          <w:lang w:val="en-GB"/>
        </w:rPr>
        <w:tab/>
      </w:r>
      <w:r w:rsidR="007A7E83" w:rsidRPr="00C465DA">
        <w:rPr>
          <w:lang w:val="en-GB"/>
        </w:rPr>
        <w:t xml:space="preserve">On 30 June 2014, the author’s counsel </w:t>
      </w:r>
      <w:r w:rsidR="00DE7F65" w:rsidRPr="00C465DA">
        <w:rPr>
          <w:lang w:val="en-GB"/>
        </w:rPr>
        <w:t>indicat</w:t>
      </w:r>
      <w:r w:rsidR="007A7E83" w:rsidRPr="00C465DA">
        <w:rPr>
          <w:lang w:val="en-GB"/>
        </w:rPr>
        <w:t>ed t</w:t>
      </w:r>
      <w:r w:rsidR="00DD6EF0" w:rsidRPr="00C465DA">
        <w:rPr>
          <w:lang w:val="en-GB"/>
        </w:rPr>
        <w:t>hat</w:t>
      </w:r>
      <w:r w:rsidR="001A3D9B" w:rsidRPr="00C465DA">
        <w:rPr>
          <w:lang w:val="en-GB"/>
        </w:rPr>
        <w:t>, during the three and a half months that had elapsed since the protection measures had been requested,</w:t>
      </w:r>
      <w:r w:rsidR="00DD6EF0" w:rsidRPr="00C465DA">
        <w:rPr>
          <w:lang w:val="en-GB"/>
        </w:rPr>
        <w:t xml:space="preserve"> the Board ha</w:t>
      </w:r>
      <w:r w:rsidR="008C41E5" w:rsidRPr="00C465DA">
        <w:rPr>
          <w:lang w:val="en-GB"/>
        </w:rPr>
        <w:t>d</w:t>
      </w:r>
      <w:r w:rsidR="00DD6EF0" w:rsidRPr="00C465DA">
        <w:rPr>
          <w:lang w:val="en-GB"/>
        </w:rPr>
        <w:t xml:space="preserve"> not complied with the Committee’s request that the Danish authorities in Kabul contact the author </w:t>
      </w:r>
      <w:r w:rsidR="004F36C2" w:rsidRPr="00C465DA">
        <w:rPr>
          <w:lang w:val="en-GB"/>
        </w:rPr>
        <w:t xml:space="preserve">and </w:t>
      </w:r>
      <w:r w:rsidR="008C41E5" w:rsidRPr="00C465DA">
        <w:rPr>
          <w:lang w:val="en-GB"/>
        </w:rPr>
        <w:t>e</w:t>
      </w:r>
      <w:r w:rsidR="00DD6EF0" w:rsidRPr="00C465DA">
        <w:rPr>
          <w:lang w:val="en-GB"/>
        </w:rPr>
        <w:t>nquire about his safety</w:t>
      </w:r>
      <w:r w:rsidR="00FF0A1B" w:rsidRPr="00C465DA">
        <w:rPr>
          <w:lang w:val="en-GB"/>
        </w:rPr>
        <w:t xml:space="preserve">. Counsel added </w:t>
      </w:r>
      <w:r w:rsidR="00DD6EF0" w:rsidRPr="00C465DA">
        <w:rPr>
          <w:lang w:val="en-GB"/>
        </w:rPr>
        <w:t xml:space="preserve">that the author </w:t>
      </w:r>
      <w:r w:rsidR="008C41E5" w:rsidRPr="00C465DA">
        <w:rPr>
          <w:lang w:val="en-GB"/>
        </w:rPr>
        <w:t>was</w:t>
      </w:r>
      <w:r w:rsidR="00BB26BD" w:rsidRPr="00C465DA">
        <w:rPr>
          <w:lang w:val="en-GB"/>
        </w:rPr>
        <w:t xml:space="preserve"> </w:t>
      </w:r>
      <w:r w:rsidR="004F36C2" w:rsidRPr="00C465DA">
        <w:rPr>
          <w:lang w:val="en-GB"/>
        </w:rPr>
        <w:t>not stay</w:t>
      </w:r>
      <w:r w:rsidR="00BB26BD" w:rsidRPr="00C465DA">
        <w:rPr>
          <w:lang w:val="en-GB"/>
        </w:rPr>
        <w:t>ing</w:t>
      </w:r>
      <w:r w:rsidR="004F36C2" w:rsidRPr="00C465DA">
        <w:rPr>
          <w:lang w:val="en-GB"/>
        </w:rPr>
        <w:t xml:space="preserve"> </w:t>
      </w:r>
      <w:r w:rsidR="00DD6EF0" w:rsidRPr="00C465DA">
        <w:rPr>
          <w:lang w:val="en-GB"/>
        </w:rPr>
        <w:t xml:space="preserve">with his family </w:t>
      </w:r>
      <w:r w:rsidR="004F36C2" w:rsidRPr="00C465DA">
        <w:rPr>
          <w:lang w:val="en-GB"/>
        </w:rPr>
        <w:t xml:space="preserve">but </w:t>
      </w:r>
      <w:r w:rsidR="00FF0A1B" w:rsidRPr="00C465DA">
        <w:rPr>
          <w:lang w:val="en-GB"/>
        </w:rPr>
        <w:t xml:space="preserve">rather </w:t>
      </w:r>
      <w:r w:rsidR="00DD6EF0" w:rsidRPr="00C465DA">
        <w:rPr>
          <w:lang w:val="en-GB"/>
        </w:rPr>
        <w:t>mov</w:t>
      </w:r>
      <w:r w:rsidR="00BB26BD" w:rsidRPr="00C465DA">
        <w:rPr>
          <w:lang w:val="en-GB"/>
        </w:rPr>
        <w:t>ing</w:t>
      </w:r>
      <w:r w:rsidR="00DD6EF0" w:rsidRPr="00C465DA">
        <w:rPr>
          <w:lang w:val="en-GB"/>
        </w:rPr>
        <w:t xml:space="preserve"> from place to place to avoid persecution</w:t>
      </w:r>
      <w:r w:rsidR="00BE3F3C" w:rsidRPr="00C465DA">
        <w:rPr>
          <w:lang w:val="en-GB"/>
        </w:rPr>
        <w:t xml:space="preserve">. </w:t>
      </w:r>
      <w:r w:rsidR="00BB26BD" w:rsidRPr="00C465DA">
        <w:rPr>
          <w:lang w:val="en-GB"/>
        </w:rPr>
        <w:t xml:space="preserve">In </w:t>
      </w:r>
      <w:r w:rsidR="008C41E5" w:rsidRPr="00C465DA">
        <w:rPr>
          <w:lang w:val="en-GB"/>
        </w:rPr>
        <w:t xml:space="preserve">the </w:t>
      </w:r>
      <w:r w:rsidR="00BB26BD" w:rsidRPr="00C465DA">
        <w:rPr>
          <w:lang w:val="en-GB"/>
        </w:rPr>
        <w:t>light of information</w:t>
      </w:r>
      <w:r w:rsidR="00377C66" w:rsidRPr="00C465DA">
        <w:rPr>
          <w:lang w:val="en-GB"/>
        </w:rPr>
        <w:t xml:space="preserve"> </w:t>
      </w:r>
      <w:r w:rsidR="00C465DA" w:rsidRPr="00C465DA">
        <w:rPr>
          <w:lang w:val="en-GB"/>
        </w:rPr>
        <w:t>subsequently provided by counsel on</w:t>
      </w:r>
      <w:r w:rsidR="00377C66">
        <w:rPr>
          <w:lang w:val="en-GB"/>
        </w:rPr>
        <w:t xml:space="preserve"> </w:t>
      </w:r>
      <w:r w:rsidR="00BE3F3C" w:rsidRPr="00BE3F3C">
        <w:rPr>
          <w:lang w:val="en-GB"/>
        </w:rPr>
        <w:t>1 July 2014</w:t>
      </w:r>
      <w:r w:rsidR="005137AD">
        <w:rPr>
          <w:lang w:val="en-GB"/>
        </w:rPr>
        <w:t xml:space="preserve">, the Committee </w:t>
      </w:r>
      <w:r w:rsidR="00DD6EF0" w:rsidRPr="00DD6EF0">
        <w:rPr>
          <w:lang w:val="en-GB"/>
        </w:rPr>
        <w:t xml:space="preserve">reiterated </w:t>
      </w:r>
      <w:r w:rsidR="005137AD">
        <w:rPr>
          <w:lang w:val="en-GB"/>
        </w:rPr>
        <w:t>its request for protection measures in the author’s case.</w:t>
      </w:r>
    </w:p>
    <w:p w14:paraId="429FF97B" w14:textId="77777777" w:rsidR="00DD6EF0" w:rsidRDefault="00DD6EF0" w:rsidP="00404151">
      <w:pPr>
        <w:pStyle w:val="SingleTxtG"/>
        <w:rPr>
          <w:lang w:val="en-GB"/>
        </w:rPr>
      </w:pPr>
      <w:r>
        <w:rPr>
          <w:lang w:val="en-GB"/>
        </w:rPr>
        <w:t>2</w:t>
      </w:r>
      <w:r w:rsidRPr="00DD6EF0">
        <w:rPr>
          <w:lang w:val="en-GB"/>
        </w:rPr>
        <w:t>.</w:t>
      </w:r>
      <w:r w:rsidR="00904589">
        <w:rPr>
          <w:lang w:val="en-GB"/>
        </w:rPr>
        <w:t>7</w:t>
      </w:r>
      <w:r w:rsidRPr="00DD6EF0">
        <w:rPr>
          <w:lang w:val="en-GB"/>
        </w:rPr>
        <w:tab/>
        <w:t xml:space="preserve">On 22 July 2014, the </w:t>
      </w:r>
      <w:r w:rsidR="00EF0322">
        <w:rPr>
          <w:lang w:val="en-GB"/>
        </w:rPr>
        <w:t xml:space="preserve">author’s </w:t>
      </w:r>
      <w:r w:rsidRPr="00DD6EF0">
        <w:rPr>
          <w:lang w:val="en-GB"/>
        </w:rPr>
        <w:t xml:space="preserve">counsel </w:t>
      </w:r>
      <w:r w:rsidR="00FF0A1B">
        <w:rPr>
          <w:lang w:val="en-GB"/>
        </w:rPr>
        <w:t xml:space="preserve">indicated that the </w:t>
      </w:r>
      <w:r w:rsidR="005137AD">
        <w:rPr>
          <w:lang w:val="en-GB"/>
        </w:rPr>
        <w:t>author</w:t>
      </w:r>
      <w:r w:rsidRPr="00DD6EF0">
        <w:rPr>
          <w:lang w:val="en-GB"/>
        </w:rPr>
        <w:t xml:space="preserve"> </w:t>
      </w:r>
      <w:r w:rsidR="005137AD">
        <w:rPr>
          <w:lang w:val="en-GB"/>
        </w:rPr>
        <w:t>ha</w:t>
      </w:r>
      <w:r w:rsidR="008C41E5">
        <w:rPr>
          <w:lang w:val="en-GB"/>
        </w:rPr>
        <w:t>d</w:t>
      </w:r>
      <w:r w:rsidR="005137AD">
        <w:rPr>
          <w:lang w:val="en-GB"/>
        </w:rPr>
        <w:t xml:space="preserve"> </w:t>
      </w:r>
      <w:r w:rsidR="00566F4A">
        <w:rPr>
          <w:lang w:val="en-GB"/>
        </w:rPr>
        <w:t>stated</w:t>
      </w:r>
      <w:r w:rsidR="00566F4A" w:rsidRPr="00DD6EF0">
        <w:rPr>
          <w:lang w:val="en-GB"/>
        </w:rPr>
        <w:t xml:space="preserve"> </w:t>
      </w:r>
      <w:r w:rsidR="005137AD">
        <w:rPr>
          <w:lang w:val="en-GB"/>
        </w:rPr>
        <w:t>in an e</w:t>
      </w:r>
      <w:r w:rsidR="005C5F49">
        <w:rPr>
          <w:lang w:val="en-GB"/>
        </w:rPr>
        <w:t>-</w:t>
      </w:r>
      <w:r w:rsidR="005137AD">
        <w:rPr>
          <w:lang w:val="en-GB"/>
        </w:rPr>
        <w:t xml:space="preserve">mail </w:t>
      </w:r>
      <w:r w:rsidRPr="00CA7E79">
        <w:rPr>
          <w:lang w:val="en-GB"/>
        </w:rPr>
        <w:t>th</w:t>
      </w:r>
      <w:r w:rsidR="00EF0322" w:rsidRPr="00CA7E79">
        <w:rPr>
          <w:lang w:val="en-GB"/>
        </w:rPr>
        <w:t>at the Ministry of Interior</w:t>
      </w:r>
      <w:r w:rsidR="00E669D5" w:rsidRPr="00CA7E79">
        <w:rPr>
          <w:lang w:val="en-GB"/>
        </w:rPr>
        <w:t xml:space="preserve"> Affairs</w:t>
      </w:r>
      <w:r w:rsidRPr="00CA7E79">
        <w:rPr>
          <w:lang w:val="en-GB"/>
        </w:rPr>
        <w:t xml:space="preserve"> ha</w:t>
      </w:r>
      <w:r w:rsidR="00EF0322" w:rsidRPr="00CA7E79">
        <w:rPr>
          <w:lang w:val="en-GB"/>
        </w:rPr>
        <w:t xml:space="preserve">d </w:t>
      </w:r>
      <w:r w:rsidR="008C41E5" w:rsidRPr="00CA7E79">
        <w:rPr>
          <w:lang w:val="en-GB"/>
        </w:rPr>
        <w:t>e</w:t>
      </w:r>
      <w:r w:rsidR="005137AD" w:rsidRPr="00CA7E79">
        <w:rPr>
          <w:lang w:val="en-GB"/>
        </w:rPr>
        <w:t>nquired</w:t>
      </w:r>
      <w:r w:rsidR="005137AD">
        <w:rPr>
          <w:lang w:val="en-GB"/>
        </w:rPr>
        <w:t xml:space="preserve"> with </w:t>
      </w:r>
      <w:r w:rsidRPr="00DD6EF0">
        <w:rPr>
          <w:lang w:val="en-GB"/>
        </w:rPr>
        <w:t>the elders of his village about the work and</w:t>
      </w:r>
      <w:r w:rsidR="00EF0322">
        <w:rPr>
          <w:lang w:val="en-GB"/>
        </w:rPr>
        <w:t xml:space="preserve"> family problems of the author. In the same </w:t>
      </w:r>
      <w:r w:rsidR="005137AD">
        <w:rPr>
          <w:lang w:val="en-GB"/>
        </w:rPr>
        <w:t>e</w:t>
      </w:r>
      <w:r w:rsidR="008C41E5">
        <w:rPr>
          <w:lang w:val="en-GB"/>
        </w:rPr>
        <w:t>-</w:t>
      </w:r>
      <w:r w:rsidR="005137AD">
        <w:rPr>
          <w:lang w:val="en-GB"/>
        </w:rPr>
        <w:t>mail</w:t>
      </w:r>
      <w:r w:rsidR="00EF0322">
        <w:rPr>
          <w:lang w:val="en-GB"/>
        </w:rPr>
        <w:t xml:space="preserve">, the </w:t>
      </w:r>
      <w:r w:rsidRPr="00DD6EF0">
        <w:rPr>
          <w:lang w:val="en-GB"/>
        </w:rPr>
        <w:t>author</w:t>
      </w:r>
      <w:r w:rsidR="00BB26BD">
        <w:rPr>
          <w:lang w:val="en-GB"/>
        </w:rPr>
        <w:t xml:space="preserve">, </w:t>
      </w:r>
      <w:r w:rsidR="00BB26BD" w:rsidRPr="00DD6EF0">
        <w:rPr>
          <w:lang w:val="en-GB"/>
        </w:rPr>
        <w:t xml:space="preserve">in order to demonstrate the prevailing threats to </w:t>
      </w:r>
      <w:r w:rsidR="00BB26BD">
        <w:rPr>
          <w:lang w:val="en-GB"/>
        </w:rPr>
        <w:t xml:space="preserve">his </w:t>
      </w:r>
      <w:r w:rsidR="00BB26BD" w:rsidRPr="00DD6EF0">
        <w:rPr>
          <w:lang w:val="en-GB"/>
        </w:rPr>
        <w:t>security</w:t>
      </w:r>
      <w:r w:rsidR="00BB26BD">
        <w:rPr>
          <w:lang w:val="en-GB"/>
        </w:rPr>
        <w:t>,</w:t>
      </w:r>
      <w:r w:rsidR="00EF0322">
        <w:rPr>
          <w:lang w:val="en-GB"/>
        </w:rPr>
        <w:t xml:space="preserve"> allege</w:t>
      </w:r>
      <w:r w:rsidR="005137AD">
        <w:rPr>
          <w:lang w:val="en-GB"/>
        </w:rPr>
        <w:t>d</w:t>
      </w:r>
      <w:r w:rsidR="00EF0322">
        <w:rPr>
          <w:lang w:val="en-GB"/>
        </w:rPr>
        <w:t xml:space="preserve"> that his </w:t>
      </w:r>
      <w:r w:rsidRPr="00DD6EF0">
        <w:rPr>
          <w:lang w:val="en-GB"/>
        </w:rPr>
        <w:t xml:space="preserve">son </w:t>
      </w:r>
      <w:r w:rsidR="008C41E5">
        <w:rPr>
          <w:lang w:val="en-GB"/>
        </w:rPr>
        <w:t xml:space="preserve">had been </w:t>
      </w:r>
      <w:r w:rsidRPr="00DD6EF0">
        <w:rPr>
          <w:lang w:val="en-GB"/>
        </w:rPr>
        <w:t>killed</w:t>
      </w:r>
      <w:r w:rsidR="00377C66">
        <w:rPr>
          <w:lang w:val="en-GB"/>
        </w:rPr>
        <w:t xml:space="preserve">, although initially in his communication to the Committee of 17 March 2014 he </w:t>
      </w:r>
      <w:r w:rsidR="00E669D5">
        <w:rPr>
          <w:lang w:val="en-GB"/>
        </w:rPr>
        <w:t xml:space="preserve">had </w:t>
      </w:r>
      <w:r w:rsidR="00377C66">
        <w:rPr>
          <w:lang w:val="en-GB"/>
        </w:rPr>
        <w:t xml:space="preserve">claimed that his brother </w:t>
      </w:r>
      <w:r w:rsidR="008C41E5">
        <w:rPr>
          <w:lang w:val="en-GB"/>
        </w:rPr>
        <w:t xml:space="preserve">had </w:t>
      </w:r>
      <w:r w:rsidR="00E669D5">
        <w:rPr>
          <w:lang w:val="en-GB"/>
        </w:rPr>
        <w:t xml:space="preserve">been </w:t>
      </w:r>
      <w:r w:rsidR="00377C66">
        <w:rPr>
          <w:lang w:val="en-GB"/>
        </w:rPr>
        <w:t>killed.</w:t>
      </w:r>
      <w:r w:rsidR="003126A1">
        <w:rPr>
          <w:lang w:val="en-GB"/>
        </w:rPr>
        <w:t xml:space="preserve"> </w:t>
      </w:r>
    </w:p>
    <w:p w14:paraId="0E32BD87" w14:textId="77777777" w:rsidR="00DD6EF0" w:rsidRPr="00DD6EF0" w:rsidRDefault="00DD6EF0" w:rsidP="00404151">
      <w:pPr>
        <w:pStyle w:val="SingleTxtG"/>
        <w:rPr>
          <w:lang w:val="en-GB"/>
        </w:rPr>
      </w:pPr>
      <w:r>
        <w:rPr>
          <w:lang w:val="en-GB"/>
        </w:rPr>
        <w:t>2.</w:t>
      </w:r>
      <w:r w:rsidR="00904589">
        <w:rPr>
          <w:lang w:val="en-GB"/>
        </w:rPr>
        <w:t>8</w:t>
      </w:r>
      <w:r>
        <w:rPr>
          <w:lang w:val="en-GB"/>
        </w:rPr>
        <w:tab/>
        <w:t>On 29 August 2014, the author</w:t>
      </w:r>
      <w:r w:rsidR="00DE7F65">
        <w:rPr>
          <w:lang w:val="en-GB"/>
        </w:rPr>
        <w:t xml:space="preserve"> reiterate</w:t>
      </w:r>
      <w:r w:rsidR="008C41E5">
        <w:rPr>
          <w:lang w:val="en-GB"/>
        </w:rPr>
        <w:t>d</w:t>
      </w:r>
      <w:r w:rsidR="00DE7F65">
        <w:rPr>
          <w:lang w:val="en-GB"/>
        </w:rPr>
        <w:t xml:space="preserve"> </w:t>
      </w:r>
      <w:r>
        <w:rPr>
          <w:lang w:val="en-GB"/>
        </w:rPr>
        <w:t xml:space="preserve">that he </w:t>
      </w:r>
      <w:r w:rsidR="008C41E5">
        <w:rPr>
          <w:lang w:val="en-GB"/>
        </w:rPr>
        <w:t>was</w:t>
      </w:r>
      <w:r>
        <w:rPr>
          <w:lang w:val="en-GB"/>
        </w:rPr>
        <w:t xml:space="preserve"> in danger in Afghanistan and that he ha</w:t>
      </w:r>
      <w:r w:rsidR="008C41E5">
        <w:rPr>
          <w:lang w:val="en-GB"/>
        </w:rPr>
        <w:t>d</w:t>
      </w:r>
      <w:r>
        <w:rPr>
          <w:lang w:val="en-GB"/>
        </w:rPr>
        <w:t xml:space="preserve"> not yet been properly protected, </w:t>
      </w:r>
      <w:r w:rsidR="00E81BED" w:rsidRPr="007C0089">
        <w:rPr>
          <w:lang w:val="en-GB"/>
        </w:rPr>
        <w:t xml:space="preserve">adding </w:t>
      </w:r>
      <w:r w:rsidRPr="00E81BED">
        <w:rPr>
          <w:lang w:val="en-GB"/>
        </w:rPr>
        <w:t>that the</w:t>
      </w:r>
      <w:r>
        <w:rPr>
          <w:lang w:val="en-GB"/>
        </w:rPr>
        <w:t xml:space="preserve"> </w:t>
      </w:r>
      <w:r w:rsidRPr="002023AB">
        <w:rPr>
          <w:lang w:val="en-GB"/>
        </w:rPr>
        <w:t xml:space="preserve">Danish </w:t>
      </w:r>
      <w:r w:rsidR="00E81BED" w:rsidRPr="002023AB">
        <w:rPr>
          <w:lang w:val="en-GB"/>
        </w:rPr>
        <w:t>e</w:t>
      </w:r>
      <w:r w:rsidRPr="002023AB">
        <w:rPr>
          <w:lang w:val="en-GB"/>
        </w:rPr>
        <w:t>mbassy</w:t>
      </w:r>
      <w:r>
        <w:rPr>
          <w:lang w:val="en-GB"/>
        </w:rPr>
        <w:t xml:space="preserve"> in Kabul</w:t>
      </w:r>
      <w:r w:rsidR="00E81BED">
        <w:rPr>
          <w:lang w:val="en-GB"/>
        </w:rPr>
        <w:t>,</w:t>
      </w:r>
      <w:r>
        <w:rPr>
          <w:lang w:val="en-GB"/>
        </w:rPr>
        <w:t xml:space="preserve"> as well as </w:t>
      </w:r>
      <w:r w:rsidR="005137AD">
        <w:rPr>
          <w:lang w:val="en-GB"/>
        </w:rPr>
        <w:t xml:space="preserve">the </w:t>
      </w:r>
      <w:r>
        <w:rPr>
          <w:lang w:val="en-GB"/>
        </w:rPr>
        <w:t>I</w:t>
      </w:r>
      <w:r w:rsidR="00377C66">
        <w:rPr>
          <w:lang w:val="en-GB"/>
        </w:rPr>
        <w:t>nternational Organi</w:t>
      </w:r>
      <w:r w:rsidR="008C41E5">
        <w:rPr>
          <w:lang w:val="en-GB"/>
        </w:rPr>
        <w:t>z</w:t>
      </w:r>
      <w:r w:rsidR="00377C66">
        <w:rPr>
          <w:lang w:val="en-GB"/>
        </w:rPr>
        <w:t>ation for Migration</w:t>
      </w:r>
      <w:r w:rsidR="00E81BED">
        <w:rPr>
          <w:lang w:val="en-GB"/>
        </w:rPr>
        <w:t>,</w:t>
      </w:r>
      <w:r w:rsidR="00377C66">
        <w:rPr>
          <w:lang w:val="en-GB"/>
        </w:rPr>
        <w:t xml:space="preserve"> </w:t>
      </w:r>
      <w:r w:rsidR="008C41E5">
        <w:rPr>
          <w:lang w:val="en-GB"/>
        </w:rPr>
        <w:t xml:space="preserve">had </w:t>
      </w:r>
      <w:r w:rsidR="00DE7F65">
        <w:rPr>
          <w:lang w:val="en-GB"/>
        </w:rPr>
        <w:t xml:space="preserve">repeatedly </w:t>
      </w:r>
      <w:r w:rsidR="00EF0322">
        <w:rPr>
          <w:lang w:val="en-GB"/>
        </w:rPr>
        <w:t xml:space="preserve">been </w:t>
      </w:r>
      <w:r w:rsidR="00DE7F65">
        <w:rPr>
          <w:lang w:val="en-GB"/>
        </w:rPr>
        <w:t xml:space="preserve">seized of the author’s needs for protection. </w:t>
      </w:r>
      <w:r w:rsidR="00BB26BD">
        <w:rPr>
          <w:lang w:val="en-GB"/>
        </w:rPr>
        <w:t>He claim</w:t>
      </w:r>
      <w:r w:rsidR="008C41E5">
        <w:rPr>
          <w:lang w:val="en-GB"/>
        </w:rPr>
        <w:t>ed</w:t>
      </w:r>
      <w:r w:rsidR="00BB26BD">
        <w:rPr>
          <w:lang w:val="en-GB"/>
        </w:rPr>
        <w:t xml:space="preserve"> that </w:t>
      </w:r>
      <w:r w:rsidR="00DE7F65">
        <w:rPr>
          <w:lang w:val="en-GB"/>
        </w:rPr>
        <w:t>the State party ha</w:t>
      </w:r>
      <w:r w:rsidR="008C41E5">
        <w:rPr>
          <w:lang w:val="en-GB"/>
        </w:rPr>
        <w:t>d</w:t>
      </w:r>
      <w:r w:rsidR="00DE7F65">
        <w:rPr>
          <w:lang w:val="en-GB"/>
        </w:rPr>
        <w:t xml:space="preserve"> not provided any </w:t>
      </w:r>
      <w:r w:rsidR="005137AD" w:rsidRPr="00E81BED">
        <w:rPr>
          <w:lang w:val="en-GB"/>
        </w:rPr>
        <w:t>information regarding the eventual measures taken to give effect to the Committee’s request for measures of protection</w:t>
      </w:r>
      <w:r w:rsidR="00DE7F65" w:rsidRPr="00E81BED">
        <w:rPr>
          <w:lang w:val="en-GB"/>
        </w:rPr>
        <w:t xml:space="preserve"> </w:t>
      </w:r>
      <w:r w:rsidR="005137AD" w:rsidRPr="00E81BED">
        <w:rPr>
          <w:lang w:val="en-GB"/>
        </w:rPr>
        <w:t xml:space="preserve">aimed at ensuring the author’s </w:t>
      </w:r>
      <w:r w:rsidR="00DE7F65" w:rsidRPr="00E81BED">
        <w:rPr>
          <w:lang w:val="en-GB"/>
        </w:rPr>
        <w:t>safety.</w:t>
      </w:r>
      <w:r w:rsidR="003450A5" w:rsidRPr="00E81BED">
        <w:rPr>
          <w:lang w:val="en-GB"/>
        </w:rPr>
        <w:t xml:space="preserve"> </w:t>
      </w:r>
      <w:r w:rsidR="003450A5" w:rsidRPr="00FE55CB">
        <w:rPr>
          <w:lang w:val="en-GB"/>
        </w:rPr>
        <w:t>O</w:t>
      </w:r>
      <w:r w:rsidR="00BE3F3C" w:rsidRPr="00FE55CB">
        <w:rPr>
          <w:lang w:val="en-GB"/>
        </w:rPr>
        <w:t xml:space="preserve">n 2 September 2014, the author </w:t>
      </w:r>
      <w:r w:rsidR="00E81BED" w:rsidRPr="00FE55CB">
        <w:rPr>
          <w:lang w:val="en-GB"/>
        </w:rPr>
        <w:t xml:space="preserve">indicated </w:t>
      </w:r>
      <w:r w:rsidR="003450A5" w:rsidRPr="00FE55CB">
        <w:rPr>
          <w:lang w:val="en-GB"/>
        </w:rPr>
        <w:t xml:space="preserve">that he </w:t>
      </w:r>
      <w:r w:rsidR="00E669D5" w:rsidRPr="00FE55CB">
        <w:rPr>
          <w:lang w:val="en-GB"/>
        </w:rPr>
        <w:t xml:space="preserve">had </w:t>
      </w:r>
      <w:r w:rsidR="00566F4A" w:rsidRPr="00FE55CB">
        <w:rPr>
          <w:lang w:val="en-GB"/>
        </w:rPr>
        <w:t xml:space="preserve">shown </w:t>
      </w:r>
      <w:r w:rsidR="0091197B" w:rsidRPr="00FE55CB">
        <w:rPr>
          <w:lang w:val="en-GB"/>
        </w:rPr>
        <w:t xml:space="preserve">his bodily injuries </w:t>
      </w:r>
      <w:r w:rsidR="003450A5" w:rsidRPr="00FE55CB">
        <w:rPr>
          <w:lang w:val="en-GB"/>
        </w:rPr>
        <w:t xml:space="preserve">to the staff of the Danish </w:t>
      </w:r>
      <w:r w:rsidR="00E81BED" w:rsidRPr="00FE55CB">
        <w:rPr>
          <w:lang w:val="en-GB"/>
        </w:rPr>
        <w:t>e</w:t>
      </w:r>
      <w:r w:rsidR="003450A5" w:rsidRPr="00FE55CB">
        <w:rPr>
          <w:lang w:val="en-GB"/>
        </w:rPr>
        <w:t xml:space="preserve">mbassy in Kabul to demonstrate a threat he </w:t>
      </w:r>
      <w:r w:rsidR="00CC0477" w:rsidRPr="00FE55CB">
        <w:rPr>
          <w:lang w:val="en-GB"/>
        </w:rPr>
        <w:t xml:space="preserve">reportedly </w:t>
      </w:r>
      <w:r w:rsidR="003450A5" w:rsidRPr="00FE55CB">
        <w:rPr>
          <w:lang w:val="en-GB"/>
        </w:rPr>
        <w:t>face</w:t>
      </w:r>
      <w:r w:rsidR="008C41E5" w:rsidRPr="00FE55CB">
        <w:rPr>
          <w:lang w:val="en-GB"/>
        </w:rPr>
        <w:t>d</w:t>
      </w:r>
      <w:r w:rsidR="00CC0477" w:rsidRPr="00FE55CB">
        <w:rPr>
          <w:lang w:val="en-GB"/>
        </w:rPr>
        <w:t xml:space="preserve"> </w:t>
      </w:r>
      <w:r w:rsidR="00E81BED" w:rsidRPr="00FE55CB">
        <w:rPr>
          <w:lang w:val="en-GB"/>
        </w:rPr>
        <w:t xml:space="preserve">and </w:t>
      </w:r>
      <w:r w:rsidR="00CC0477" w:rsidRPr="00FE55CB">
        <w:rPr>
          <w:lang w:val="en-GB"/>
        </w:rPr>
        <w:t xml:space="preserve">the absence of response to </w:t>
      </w:r>
      <w:r w:rsidR="005137AD" w:rsidRPr="00FE55CB">
        <w:rPr>
          <w:lang w:val="en-GB"/>
        </w:rPr>
        <w:t xml:space="preserve">the Committee’s </w:t>
      </w:r>
      <w:r w:rsidR="00CC0477" w:rsidRPr="00FE55CB">
        <w:rPr>
          <w:lang w:val="en-GB"/>
        </w:rPr>
        <w:t>request for protection.</w:t>
      </w:r>
      <w:r w:rsidR="00CC0477" w:rsidRPr="00E81BED">
        <w:rPr>
          <w:lang w:val="en-GB"/>
        </w:rPr>
        <w:t xml:space="preserve"> On 10 September 201</w:t>
      </w:r>
      <w:r w:rsidR="00A53D7C" w:rsidRPr="00E81BED">
        <w:rPr>
          <w:lang w:val="en-GB"/>
        </w:rPr>
        <w:t>4</w:t>
      </w:r>
      <w:r w:rsidR="00CC0477" w:rsidRPr="00E81BED">
        <w:rPr>
          <w:lang w:val="en-GB"/>
        </w:rPr>
        <w:t>, the</w:t>
      </w:r>
      <w:r w:rsidR="00CC0477">
        <w:rPr>
          <w:lang w:val="en-GB"/>
        </w:rPr>
        <w:t xml:space="preserve"> author further </w:t>
      </w:r>
      <w:r w:rsidR="00E669D5">
        <w:rPr>
          <w:lang w:val="en-GB"/>
        </w:rPr>
        <w:t xml:space="preserve">indicated </w:t>
      </w:r>
      <w:r w:rsidR="00CC0477">
        <w:rPr>
          <w:lang w:val="en-GB"/>
        </w:rPr>
        <w:t xml:space="preserve">that he </w:t>
      </w:r>
      <w:r w:rsidR="008C41E5">
        <w:rPr>
          <w:lang w:val="en-GB"/>
        </w:rPr>
        <w:t xml:space="preserve">had </w:t>
      </w:r>
      <w:r w:rsidR="00CC0477">
        <w:rPr>
          <w:lang w:val="en-GB"/>
        </w:rPr>
        <w:t xml:space="preserve">received no response at all from the State party’s authorities after his meeting </w:t>
      </w:r>
      <w:r w:rsidR="005137AD">
        <w:rPr>
          <w:lang w:val="en-GB"/>
        </w:rPr>
        <w:t>in</w:t>
      </w:r>
      <w:r w:rsidR="00CC0477">
        <w:rPr>
          <w:lang w:val="en-GB"/>
        </w:rPr>
        <w:t xml:space="preserve"> the Danish </w:t>
      </w:r>
      <w:r w:rsidR="00F35CBA">
        <w:rPr>
          <w:lang w:val="en-GB"/>
        </w:rPr>
        <w:t>e</w:t>
      </w:r>
      <w:r w:rsidR="00CC0477">
        <w:rPr>
          <w:lang w:val="en-GB"/>
        </w:rPr>
        <w:t>mbassy in Kabul.</w:t>
      </w:r>
      <w:r w:rsidRPr="00DD6EF0">
        <w:rPr>
          <w:lang w:val="en-GB"/>
        </w:rPr>
        <w:t xml:space="preserve"> </w:t>
      </w:r>
    </w:p>
    <w:p w14:paraId="4B9D8F5A" w14:textId="77777777" w:rsidR="005007C9" w:rsidRPr="000026EA" w:rsidRDefault="001D32E3">
      <w:pPr>
        <w:pStyle w:val="SingleTxtG"/>
        <w:rPr>
          <w:lang w:val="en-GB"/>
        </w:rPr>
      </w:pPr>
      <w:r w:rsidRPr="001D32E3">
        <w:rPr>
          <w:lang w:val="en-GB"/>
        </w:rPr>
        <w:t>2.</w:t>
      </w:r>
      <w:r w:rsidR="00BE3F3C">
        <w:rPr>
          <w:lang w:val="en-GB"/>
        </w:rPr>
        <w:t>9</w:t>
      </w:r>
      <w:r w:rsidRPr="001D32E3">
        <w:rPr>
          <w:lang w:val="en-GB"/>
        </w:rPr>
        <w:tab/>
      </w:r>
      <w:r w:rsidR="005007C9" w:rsidRPr="00717CAD">
        <w:t xml:space="preserve">The </w:t>
      </w:r>
      <w:r w:rsidR="005007C9" w:rsidRPr="002023AB">
        <w:t xml:space="preserve">author </w:t>
      </w:r>
      <w:r w:rsidR="006548EF" w:rsidRPr="002023AB">
        <w:rPr>
          <w:lang w:val="en-US"/>
        </w:rPr>
        <w:t>maintains</w:t>
      </w:r>
      <w:r w:rsidR="006548EF" w:rsidRPr="002023AB">
        <w:t xml:space="preserve"> </w:t>
      </w:r>
      <w:r w:rsidR="005007C9" w:rsidRPr="002023AB">
        <w:t>that</w:t>
      </w:r>
      <w:r w:rsidR="005137AD" w:rsidRPr="002023AB">
        <w:rPr>
          <w:lang w:val="en-GB"/>
        </w:rPr>
        <w:t>,</w:t>
      </w:r>
      <w:r w:rsidR="005007C9" w:rsidRPr="002023AB">
        <w:t xml:space="preserve"> as no </w:t>
      </w:r>
      <w:r w:rsidR="005007C9" w:rsidRPr="002023AB">
        <w:rPr>
          <w:lang w:val="en-GB"/>
        </w:rPr>
        <w:t xml:space="preserve">judicial </w:t>
      </w:r>
      <w:r w:rsidR="005007C9" w:rsidRPr="002023AB">
        <w:t>review of the Board decision is available</w:t>
      </w:r>
      <w:r w:rsidR="005137AD" w:rsidRPr="002023AB">
        <w:rPr>
          <w:lang w:val="en-GB"/>
        </w:rPr>
        <w:t>,</w:t>
      </w:r>
      <w:r w:rsidR="00BE3F3C" w:rsidRPr="002023AB">
        <w:rPr>
          <w:lang w:val="en-GB"/>
        </w:rPr>
        <w:t xml:space="preserve"> </w:t>
      </w:r>
      <w:r w:rsidR="005007C9" w:rsidRPr="002023AB">
        <w:t>all domestic remedies have been exhausted</w:t>
      </w:r>
      <w:r w:rsidR="005137AD" w:rsidRPr="002023AB">
        <w:rPr>
          <w:lang w:val="en-GB"/>
        </w:rPr>
        <w:t xml:space="preserve"> and that t</w:t>
      </w:r>
      <w:r w:rsidR="005007C9" w:rsidRPr="002023AB">
        <w:rPr>
          <w:lang w:val="en-GB"/>
        </w:rPr>
        <w:t>he communication is not being examined</w:t>
      </w:r>
      <w:r w:rsidR="005007C9">
        <w:rPr>
          <w:lang w:val="en-GB"/>
        </w:rPr>
        <w:t xml:space="preserve"> under another procedure of international investigation or settlement.</w:t>
      </w:r>
      <w:r w:rsidR="004350E7">
        <w:rPr>
          <w:lang w:val="en-GB"/>
        </w:rPr>
        <w:t xml:space="preserve"> </w:t>
      </w:r>
    </w:p>
    <w:p w14:paraId="76914915" w14:textId="77777777" w:rsidR="003134AC" w:rsidRDefault="007B3302" w:rsidP="007B3302">
      <w:pPr>
        <w:pStyle w:val="H23G"/>
      </w:pPr>
      <w:r>
        <w:tab/>
      </w:r>
      <w:r>
        <w:tab/>
      </w:r>
      <w:r w:rsidR="003134AC" w:rsidRPr="009666E1">
        <w:t>The complaint</w:t>
      </w:r>
    </w:p>
    <w:p w14:paraId="3EAD9F38" w14:textId="77777777" w:rsidR="00946553" w:rsidRPr="00CF3ACF" w:rsidRDefault="00E17C73">
      <w:pPr>
        <w:pStyle w:val="SingleTxtG"/>
        <w:rPr>
          <w:lang w:val="en-GB"/>
        </w:rPr>
      </w:pPr>
      <w:r>
        <w:t>3</w:t>
      </w:r>
      <w:r w:rsidR="005C176E">
        <w:t>.</w:t>
      </w:r>
      <w:r w:rsidR="007F098E" w:rsidRPr="007F098E">
        <w:rPr>
          <w:lang w:val="en-GB"/>
        </w:rPr>
        <w:t>1</w:t>
      </w:r>
      <w:r>
        <w:tab/>
      </w:r>
      <w:r w:rsidR="00946553" w:rsidRPr="00946553">
        <w:t xml:space="preserve">The author </w:t>
      </w:r>
      <w:r w:rsidR="006548EF">
        <w:rPr>
          <w:lang w:val="en-US"/>
        </w:rPr>
        <w:t>argues</w:t>
      </w:r>
      <w:r w:rsidR="006548EF" w:rsidRPr="00946553">
        <w:t xml:space="preserve"> </w:t>
      </w:r>
      <w:r w:rsidR="00946553" w:rsidRPr="00946553">
        <w:t>that</w:t>
      </w:r>
      <w:r w:rsidR="008C41E5">
        <w:rPr>
          <w:lang w:val="en-US"/>
        </w:rPr>
        <w:t>,</w:t>
      </w:r>
      <w:r w:rsidR="00946553" w:rsidRPr="00946553">
        <w:t xml:space="preserve"> by forcibly returning him to Afghanistan</w:t>
      </w:r>
      <w:r w:rsidR="00BE3F3C">
        <w:rPr>
          <w:lang w:val="en-GB"/>
        </w:rPr>
        <w:t xml:space="preserve">, </w:t>
      </w:r>
      <w:r w:rsidR="005137AD">
        <w:rPr>
          <w:lang w:val="en-GB"/>
        </w:rPr>
        <w:t xml:space="preserve">the State party </w:t>
      </w:r>
      <w:r w:rsidR="00946553" w:rsidRPr="00946553">
        <w:t>violated his rights under articles 6</w:t>
      </w:r>
      <w:r w:rsidR="005137AD" w:rsidRPr="002B1BB5">
        <w:rPr>
          <w:lang w:val="en-GB"/>
        </w:rPr>
        <w:t xml:space="preserve"> and</w:t>
      </w:r>
      <w:r w:rsidR="00946553" w:rsidRPr="00946553">
        <w:t xml:space="preserve"> 7 of the Covenant.</w:t>
      </w:r>
      <w:r w:rsidR="00946553">
        <w:rPr>
          <w:rStyle w:val="FootnoteReference"/>
        </w:rPr>
        <w:footnoteReference w:id="4"/>
      </w:r>
      <w:r w:rsidR="00946553" w:rsidRPr="00946553">
        <w:t xml:space="preserve"> </w:t>
      </w:r>
      <w:r w:rsidR="005137AD">
        <w:rPr>
          <w:lang w:val="en-GB"/>
        </w:rPr>
        <w:t xml:space="preserve">He </w:t>
      </w:r>
      <w:r w:rsidR="002B1BB5">
        <w:rPr>
          <w:lang w:val="en-GB"/>
        </w:rPr>
        <w:t xml:space="preserve">also </w:t>
      </w:r>
      <w:r w:rsidR="005137AD">
        <w:rPr>
          <w:lang w:val="en-GB"/>
        </w:rPr>
        <w:t>claims a violation of a</w:t>
      </w:r>
      <w:r w:rsidR="00EA1031">
        <w:rPr>
          <w:lang w:val="en-GB"/>
        </w:rPr>
        <w:t xml:space="preserve">rticle 14 of the </w:t>
      </w:r>
      <w:r w:rsidR="00EA1031" w:rsidRPr="00CF3ACF">
        <w:rPr>
          <w:lang w:val="en-GB"/>
        </w:rPr>
        <w:t xml:space="preserve">Covenant </w:t>
      </w:r>
      <w:r w:rsidR="005137AD" w:rsidRPr="00CF3ACF">
        <w:rPr>
          <w:lang w:val="en-GB"/>
        </w:rPr>
        <w:t>“</w:t>
      </w:r>
      <w:r w:rsidR="00EA1031" w:rsidRPr="00CF3ACF">
        <w:rPr>
          <w:lang w:val="en-GB"/>
        </w:rPr>
        <w:t>or equivalent</w:t>
      </w:r>
      <w:r w:rsidR="005137AD" w:rsidRPr="00CF3ACF">
        <w:rPr>
          <w:lang w:val="en-GB"/>
        </w:rPr>
        <w:t>”</w:t>
      </w:r>
      <w:r w:rsidR="00450F64" w:rsidRPr="00CF3ACF">
        <w:rPr>
          <w:lang w:val="en-GB"/>
        </w:rPr>
        <w:t xml:space="preserve"> </w:t>
      </w:r>
      <w:r w:rsidR="00EA1031" w:rsidRPr="00CF3ACF">
        <w:rPr>
          <w:lang w:val="en-GB"/>
        </w:rPr>
        <w:t xml:space="preserve">in connection with the hearing of the author’s asylum case by the </w:t>
      </w:r>
      <w:r w:rsidR="00E0255B" w:rsidRPr="00CF3ACF">
        <w:rPr>
          <w:lang w:val="en-GB"/>
        </w:rPr>
        <w:t>migration</w:t>
      </w:r>
      <w:r w:rsidR="00EA1031" w:rsidRPr="00CF3ACF">
        <w:rPr>
          <w:lang w:val="en-GB"/>
        </w:rPr>
        <w:t xml:space="preserve"> authorities and </w:t>
      </w:r>
      <w:r w:rsidR="00E0255B" w:rsidRPr="00CF3ACF">
        <w:rPr>
          <w:lang w:val="en-GB"/>
        </w:rPr>
        <w:t>his</w:t>
      </w:r>
      <w:r w:rsidR="00EA1031" w:rsidRPr="00CF3ACF">
        <w:rPr>
          <w:lang w:val="en-GB"/>
        </w:rPr>
        <w:t xml:space="preserve"> subsequent return to Afghanistan. </w:t>
      </w:r>
      <w:r w:rsidR="00946553" w:rsidRPr="00CF3ACF">
        <w:rPr>
          <w:lang w:val="en-GB"/>
        </w:rPr>
        <w:t xml:space="preserve">He maintains that in Afghanistan he is at “great risk of being exposed to serious harm and abuse, even death” </w:t>
      </w:r>
      <w:r w:rsidR="00E0255B" w:rsidRPr="00CF3ACF">
        <w:rPr>
          <w:lang w:val="en-GB"/>
        </w:rPr>
        <w:t xml:space="preserve">and insists </w:t>
      </w:r>
      <w:r w:rsidR="00946553" w:rsidRPr="00CF3ACF">
        <w:rPr>
          <w:lang w:val="en-GB"/>
        </w:rPr>
        <w:t xml:space="preserve">that the risk stems from his </w:t>
      </w:r>
      <w:r w:rsidR="00E0255B" w:rsidRPr="00CA7E79">
        <w:rPr>
          <w:lang w:val="en-GB"/>
        </w:rPr>
        <w:t xml:space="preserve">former </w:t>
      </w:r>
      <w:r w:rsidR="00946553" w:rsidRPr="00CA7E79">
        <w:rPr>
          <w:lang w:val="en-GB"/>
        </w:rPr>
        <w:t>work fighting drug</w:t>
      </w:r>
      <w:r w:rsidR="00404151">
        <w:rPr>
          <w:lang w:val="en-GB"/>
        </w:rPr>
        <w:t>-related</w:t>
      </w:r>
      <w:r w:rsidR="00946553" w:rsidRPr="00CA7E79">
        <w:rPr>
          <w:lang w:val="en-GB"/>
        </w:rPr>
        <w:t xml:space="preserve"> crime and his cooperation with several English-speaking agencies in that capacity. The author explains that</w:t>
      </w:r>
      <w:r w:rsidR="00EA3A04" w:rsidRPr="00CA7E79">
        <w:rPr>
          <w:lang w:val="en-GB"/>
        </w:rPr>
        <w:t>,</w:t>
      </w:r>
      <w:r w:rsidR="00946553" w:rsidRPr="00CA7E79">
        <w:rPr>
          <w:lang w:val="en-GB"/>
        </w:rPr>
        <w:t xml:space="preserve"> </w:t>
      </w:r>
      <w:r w:rsidR="00E669D5" w:rsidRPr="00CA7E79">
        <w:rPr>
          <w:lang w:val="en-GB"/>
        </w:rPr>
        <w:t xml:space="preserve">as a result of </w:t>
      </w:r>
      <w:r w:rsidR="00946553" w:rsidRPr="00CA7E79">
        <w:rPr>
          <w:lang w:val="en-GB"/>
        </w:rPr>
        <w:t xml:space="preserve">this work, he </w:t>
      </w:r>
      <w:r w:rsidR="00566F4A">
        <w:rPr>
          <w:lang w:val="en-GB"/>
        </w:rPr>
        <w:t xml:space="preserve">is a member of </w:t>
      </w:r>
      <w:r w:rsidR="00946553" w:rsidRPr="00CA7E79">
        <w:rPr>
          <w:lang w:val="en-GB"/>
        </w:rPr>
        <w:t xml:space="preserve">several risk groups, including </w:t>
      </w:r>
      <w:r w:rsidR="00EA3A04" w:rsidRPr="00CA7E79">
        <w:rPr>
          <w:lang w:val="en-GB"/>
        </w:rPr>
        <w:t>“</w:t>
      </w:r>
      <w:r w:rsidR="00946553" w:rsidRPr="00CA7E79">
        <w:rPr>
          <w:lang w:val="en-GB"/>
        </w:rPr>
        <w:t xml:space="preserve">individuals associated with, or perceived as supportive of, the </w:t>
      </w:r>
      <w:r w:rsidR="00EA3A04" w:rsidRPr="00CA7E79">
        <w:rPr>
          <w:lang w:val="en-GB"/>
        </w:rPr>
        <w:t>G</w:t>
      </w:r>
      <w:r w:rsidR="00946553" w:rsidRPr="00CA7E79">
        <w:rPr>
          <w:lang w:val="en-GB"/>
        </w:rPr>
        <w:t>overnment and t</w:t>
      </w:r>
      <w:r w:rsidR="00946553" w:rsidRPr="00CF3ACF">
        <w:rPr>
          <w:lang w:val="en-GB"/>
        </w:rPr>
        <w:t>he international community</w:t>
      </w:r>
      <w:r w:rsidR="00EA3A04" w:rsidRPr="00CF3ACF">
        <w:rPr>
          <w:lang w:val="en-GB"/>
        </w:rPr>
        <w:t>”</w:t>
      </w:r>
      <w:r w:rsidR="00946553" w:rsidRPr="00CF3ACF">
        <w:rPr>
          <w:lang w:val="en-GB"/>
        </w:rPr>
        <w:t xml:space="preserve"> and </w:t>
      </w:r>
      <w:r w:rsidR="00EA3A04" w:rsidRPr="00CF3ACF">
        <w:rPr>
          <w:lang w:val="en-GB"/>
        </w:rPr>
        <w:t>“</w:t>
      </w:r>
      <w:r w:rsidR="00946553" w:rsidRPr="00CF3ACF">
        <w:rPr>
          <w:lang w:val="en-GB"/>
        </w:rPr>
        <w:t>individuals perceived as contravening the Taliban’s interpretation of Islamic principles, norms and values</w:t>
      </w:r>
      <w:r w:rsidR="00EA3A04" w:rsidRPr="00CF3ACF">
        <w:rPr>
          <w:lang w:val="en-GB"/>
        </w:rPr>
        <w:t>”</w:t>
      </w:r>
      <w:r w:rsidR="00946553" w:rsidRPr="00CF3ACF">
        <w:rPr>
          <w:lang w:val="en-GB"/>
        </w:rPr>
        <w:t>.</w:t>
      </w:r>
      <w:r w:rsidR="00C965DC" w:rsidRPr="00CF3ACF">
        <w:rPr>
          <w:rStyle w:val="FootnoteReference"/>
          <w:lang w:val="en-GB"/>
        </w:rPr>
        <w:footnoteReference w:id="5"/>
      </w:r>
      <w:r w:rsidR="00946553" w:rsidRPr="00CF3ACF">
        <w:rPr>
          <w:lang w:val="en-GB"/>
        </w:rPr>
        <w:t xml:space="preserve"> </w:t>
      </w:r>
      <w:r w:rsidR="00E0255B" w:rsidRPr="00CF3ACF">
        <w:rPr>
          <w:lang w:val="en-GB"/>
        </w:rPr>
        <w:t xml:space="preserve">He </w:t>
      </w:r>
      <w:r w:rsidR="00946553" w:rsidRPr="00CF3ACF">
        <w:rPr>
          <w:lang w:val="en-GB"/>
        </w:rPr>
        <w:t>argues that</w:t>
      </w:r>
      <w:r w:rsidR="00EA3A04" w:rsidRPr="00CF3ACF">
        <w:rPr>
          <w:lang w:val="en-GB"/>
        </w:rPr>
        <w:t>,</w:t>
      </w:r>
      <w:r w:rsidR="00946553" w:rsidRPr="00CF3ACF">
        <w:rPr>
          <w:lang w:val="en-GB"/>
        </w:rPr>
        <w:t xml:space="preserve"> because he speaks fluent English and </w:t>
      </w:r>
      <w:r w:rsidR="00946553" w:rsidRPr="00685DA0">
        <w:rPr>
          <w:lang w:val="en-GB"/>
        </w:rPr>
        <w:t xml:space="preserve">“returns from the </w:t>
      </w:r>
      <w:r w:rsidR="00BE3F3C" w:rsidRPr="00685DA0">
        <w:rPr>
          <w:lang w:val="en-GB"/>
        </w:rPr>
        <w:t>W</w:t>
      </w:r>
      <w:r w:rsidR="00946553" w:rsidRPr="00685DA0">
        <w:rPr>
          <w:lang w:val="en-GB"/>
        </w:rPr>
        <w:t>est”</w:t>
      </w:r>
      <w:r w:rsidR="00685DA0">
        <w:rPr>
          <w:lang w:val="en-GB"/>
        </w:rPr>
        <w:t>,</w:t>
      </w:r>
      <w:r w:rsidR="00946553" w:rsidRPr="00685DA0">
        <w:rPr>
          <w:lang w:val="en-GB"/>
        </w:rPr>
        <w:t xml:space="preserve"> </w:t>
      </w:r>
      <w:r w:rsidR="00946553" w:rsidRPr="00CF3ACF">
        <w:rPr>
          <w:lang w:val="en-GB"/>
        </w:rPr>
        <w:t xml:space="preserve">he faces </w:t>
      </w:r>
      <w:r w:rsidR="00E0255B" w:rsidRPr="00CF3ACF">
        <w:rPr>
          <w:lang w:val="en-GB"/>
        </w:rPr>
        <w:t xml:space="preserve">greater </w:t>
      </w:r>
      <w:r w:rsidR="00946553" w:rsidRPr="00CF3ACF">
        <w:rPr>
          <w:lang w:val="en-GB"/>
        </w:rPr>
        <w:t>risk.</w:t>
      </w:r>
    </w:p>
    <w:p w14:paraId="25C1F319" w14:textId="77777777" w:rsidR="00FD6046" w:rsidRPr="00FD6046" w:rsidRDefault="00FD6046" w:rsidP="00404151">
      <w:pPr>
        <w:pStyle w:val="SingleTxtG"/>
        <w:rPr>
          <w:lang w:val="en-GB"/>
        </w:rPr>
      </w:pPr>
      <w:r w:rsidRPr="00CF3ACF">
        <w:rPr>
          <w:lang w:val="en-GB"/>
        </w:rPr>
        <w:lastRenderedPageBreak/>
        <w:t>3.2</w:t>
      </w:r>
      <w:r w:rsidRPr="00CF3ACF">
        <w:rPr>
          <w:lang w:val="en-GB"/>
        </w:rPr>
        <w:tab/>
        <w:t>The author asserts that he fears the Afghan authorities, who believe that he is a supporter of Christianity because of a video recording in which he talks about Christianity and Islam.</w:t>
      </w:r>
    </w:p>
    <w:p w14:paraId="1C97D210" w14:textId="77777777" w:rsidR="00FD6046" w:rsidRPr="00FD6046" w:rsidRDefault="00FD6046" w:rsidP="00404151">
      <w:pPr>
        <w:pStyle w:val="SingleTxtG"/>
        <w:rPr>
          <w:lang w:val="en-GB"/>
        </w:rPr>
      </w:pPr>
      <w:r w:rsidRPr="00FD6046">
        <w:rPr>
          <w:lang w:val="en-GB"/>
        </w:rPr>
        <w:t>3.3</w:t>
      </w:r>
      <w:r w:rsidRPr="00FD6046">
        <w:rPr>
          <w:lang w:val="en-GB"/>
        </w:rPr>
        <w:tab/>
        <w:t>The author argues that the State party obstruct</w:t>
      </w:r>
      <w:r w:rsidR="004B455D">
        <w:rPr>
          <w:lang w:val="en-GB"/>
        </w:rPr>
        <w:t xml:space="preserve">ed </w:t>
      </w:r>
      <w:r w:rsidRPr="00FD6046">
        <w:rPr>
          <w:lang w:val="en-GB"/>
        </w:rPr>
        <w:t xml:space="preserve">the possibility of invoking the Covenant because it planned to deport </w:t>
      </w:r>
      <w:r w:rsidR="00E0255B">
        <w:rPr>
          <w:lang w:val="en-GB"/>
        </w:rPr>
        <w:t xml:space="preserve">him on the very same day </w:t>
      </w:r>
      <w:r w:rsidR="00EA3A04">
        <w:rPr>
          <w:lang w:val="en-GB"/>
        </w:rPr>
        <w:t xml:space="preserve">that </w:t>
      </w:r>
      <w:r w:rsidRPr="00FD6046">
        <w:rPr>
          <w:lang w:val="en-GB"/>
        </w:rPr>
        <w:t xml:space="preserve">the final domestic negative decision was issued. The author maintains that this amounts to a violation of article 14 of the Covenant. </w:t>
      </w:r>
      <w:r w:rsidR="00E0255B">
        <w:rPr>
          <w:lang w:val="en-GB"/>
        </w:rPr>
        <w:t xml:space="preserve">He </w:t>
      </w:r>
      <w:r w:rsidRPr="00FD6046">
        <w:rPr>
          <w:lang w:val="en-GB"/>
        </w:rPr>
        <w:t xml:space="preserve">states that his request for reopening of the asylum proceedings did not </w:t>
      </w:r>
      <w:r w:rsidR="006500A8">
        <w:rPr>
          <w:lang w:val="en-GB"/>
        </w:rPr>
        <w:t xml:space="preserve">halt </w:t>
      </w:r>
      <w:r w:rsidR="00E0255B">
        <w:rPr>
          <w:lang w:val="en-GB"/>
        </w:rPr>
        <w:t>his</w:t>
      </w:r>
      <w:r w:rsidR="009D7F96">
        <w:rPr>
          <w:lang w:val="en-GB"/>
        </w:rPr>
        <w:t xml:space="preserve"> deportation.</w:t>
      </w:r>
      <w:r w:rsidR="004350E7">
        <w:rPr>
          <w:lang w:val="en-GB"/>
        </w:rPr>
        <w:t xml:space="preserve"> </w:t>
      </w:r>
    </w:p>
    <w:p w14:paraId="07626A56" w14:textId="77777777" w:rsidR="00946553" w:rsidRDefault="00187127" w:rsidP="00404151">
      <w:pPr>
        <w:pStyle w:val="SingleTxtG"/>
        <w:rPr>
          <w:lang w:val="en-GB"/>
        </w:rPr>
      </w:pPr>
      <w:r>
        <w:rPr>
          <w:lang w:val="en-GB"/>
        </w:rPr>
        <w:t>3.4</w:t>
      </w:r>
      <w:r w:rsidR="00FD6046" w:rsidRPr="00FD6046">
        <w:rPr>
          <w:lang w:val="en-GB"/>
        </w:rPr>
        <w:tab/>
        <w:t xml:space="preserve">The author asserts that the negative decisions of the Danish authorities “infringe” on his human rights. </w:t>
      </w:r>
      <w:r w:rsidR="006500A8" w:rsidRPr="00CA7E79">
        <w:rPr>
          <w:lang w:val="en-GB"/>
        </w:rPr>
        <w:t>N</w:t>
      </w:r>
      <w:r w:rsidR="00FD6046" w:rsidRPr="00CA7E79">
        <w:rPr>
          <w:lang w:val="en-GB"/>
        </w:rPr>
        <w:t xml:space="preserve">either the </w:t>
      </w:r>
      <w:r w:rsidR="00CA7E79" w:rsidRPr="00CA7E79">
        <w:rPr>
          <w:lang w:val="en-GB"/>
        </w:rPr>
        <w:t xml:space="preserve">Danish </w:t>
      </w:r>
      <w:r w:rsidR="00FD6046" w:rsidRPr="00CA7E79">
        <w:rPr>
          <w:lang w:val="en-GB"/>
        </w:rPr>
        <w:t xml:space="preserve">Immigration Service nor the </w:t>
      </w:r>
      <w:r w:rsidR="00E81BED" w:rsidRPr="00CA7E79">
        <w:rPr>
          <w:lang w:val="en-GB"/>
        </w:rPr>
        <w:t xml:space="preserve">Danish Refugee Appeals </w:t>
      </w:r>
      <w:r w:rsidR="00FD6046" w:rsidRPr="00CA7E79">
        <w:rPr>
          <w:lang w:val="en-GB"/>
        </w:rPr>
        <w:t>Board initiated any investigation as to his claims. He argues that the Board’s</w:t>
      </w:r>
      <w:r w:rsidR="00FD6046" w:rsidRPr="00E81BED">
        <w:rPr>
          <w:lang w:val="en-GB"/>
        </w:rPr>
        <w:t xml:space="preserve"> decision was flawed because it did not provide a reason for rejecting the information that Taliban affiliates</w:t>
      </w:r>
      <w:r w:rsidR="00FD6046" w:rsidRPr="00FD6046">
        <w:rPr>
          <w:lang w:val="en-GB"/>
        </w:rPr>
        <w:t xml:space="preserve"> were involved in </w:t>
      </w:r>
      <w:r w:rsidR="00404151">
        <w:rPr>
          <w:lang w:val="en-GB"/>
        </w:rPr>
        <w:t xml:space="preserve">committing </w:t>
      </w:r>
      <w:r w:rsidR="00FD6046" w:rsidRPr="00FD6046">
        <w:rPr>
          <w:lang w:val="en-GB"/>
        </w:rPr>
        <w:t>drug</w:t>
      </w:r>
      <w:r w:rsidR="00404151">
        <w:rPr>
          <w:lang w:val="en-GB"/>
        </w:rPr>
        <w:t>-related</w:t>
      </w:r>
      <w:r w:rsidR="00FD6046" w:rsidRPr="00FD6046">
        <w:rPr>
          <w:lang w:val="en-GB"/>
        </w:rPr>
        <w:t xml:space="preserve"> crime.</w:t>
      </w:r>
      <w:r w:rsidR="00FD6046">
        <w:rPr>
          <w:rStyle w:val="FootnoteReference"/>
          <w:lang w:val="en-GB"/>
        </w:rPr>
        <w:footnoteReference w:id="6"/>
      </w:r>
      <w:r w:rsidR="0029316F" w:rsidRPr="0029316F">
        <w:t xml:space="preserve"> </w:t>
      </w:r>
      <w:r w:rsidR="0029316F" w:rsidRPr="0029316F">
        <w:rPr>
          <w:lang w:val="en-GB"/>
        </w:rPr>
        <w:t>He maintains that the Board did not reconsider the issue of credibility in its decision.</w:t>
      </w:r>
      <w:r w:rsidR="0029316F">
        <w:rPr>
          <w:lang w:val="en-GB"/>
        </w:rPr>
        <w:t xml:space="preserve"> </w:t>
      </w:r>
    </w:p>
    <w:p w14:paraId="65961365" w14:textId="77777777" w:rsidR="00247D69" w:rsidRDefault="0029316F" w:rsidP="00404151">
      <w:pPr>
        <w:pStyle w:val="SingleTxtG"/>
        <w:rPr>
          <w:lang w:val="en-GB"/>
        </w:rPr>
      </w:pPr>
      <w:r>
        <w:rPr>
          <w:lang w:val="en-GB"/>
        </w:rPr>
        <w:t>3.5</w:t>
      </w:r>
      <w:r>
        <w:rPr>
          <w:lang w:val="en-GB"/>
        </w:rPr>
        <w:tab/>
      </w:r>
      <w:r w:rsidR="00F24C84" w:rsidRPr="00F24C84">
        <w:rPr>
          <w:lang w:val="en-GB"/>
        </w:rPr>
        <w:t xml:space="preserve">The author claims </w:t>
      </w:r>
      <w:r w:rsidR="00EA3A04">
        <w:rPr>
          <w:lang w:val="en-GB"/>
        </w:rPr>
        <w:t xml:space="preserve">that </w:t>
      </w:r>
      <w:r w:rsidR="00F24C84" w:rsidRPr="00F24C84">
        <w:rPr>
          <w:lang w:val="en-GB"/>
        </w:rPr>
        <w:t xml:space="preserve">he has exhausted </w:t>
      </w:r>
      <w:r w:rsidR="006A2079">
        <w:rPr>
          <w:lang w:val="en-GB"/>
        </w:rPr>
        <w:t xml:space="preserve">available </w:t>
      </w:r>
      <w:r w:rsidR="00F24C84" w:rsidRPr="00F24C84">
        <w:rPr>
          <w:lang w:val="en-GB"/>
        </w:rPr>
        <w:t xml:space="preserve">domestic remedies in Denmark by obtaining a negative decision </w:t>
      </w:r>
      <w:r w:rsidR="00865FCB">
        <w:rPr>
          <w:lang w:val="en-GB"/>
        </w:rPr>
        <w:t>(</w:t>
      </w:r>
      <w:r w:rsidR="00F24C84" w:rsidRPr="00F24C84">
        <w:rPr>
          <w:lang w:val="en-GB"/>
        </w:rPr>
        <w:t>dated 21 May 2013</w:t>
      </w:r>
      <w:r w:rsidR="00865FCB">
        <w:rPr>
          <w:lang w:val="en-GB"/>
        </w:rPr>
        <w:t>)</w:t>
      </w:r>
      <w:r w:rsidR="00F24C84" w:rsidRPr="00F24C84">
        <w:rPr>
          <w:lang w:val="en-GB"/>
        </w:rPr>
        <w:t xml:space="preserve"> from the Board and by receiving a rejection of his request to reopen his asylum case (issued on 17 March 2014)</w:t>
      </w:r>
      <w:r w:rsidR="002B1BB5">
        <w:rPr>
          <w:lang w:val="en-GB"/>
        </w:rPr>
        <w:t>;</w:t>
      </w:r>
      <w:r w:rsidR="00F24C84">
        <w:rPr>
          <w:rStyle w:val="FootnoteReference"/>
          <w:lang w:val="en-GB"/>
        </w:rPr>
        <w:footnoteReference w:id="7"/>
      </w:r>
      <w:r w:rsidR="002B1BB5">
        <w:rPr>
          <w:lang w:val="en-GB"/>
        </w:rPr>
        <w:t xml:space="preserve"> </w:t>
      </w:r>
      <w:r w:rsidR="00F24C84" w:rsidRPr="00F24C84">
        <w:rPr>
          <w:lang w:val="en-GB"/>
        </w:rPr>
        <w:t xml:space="preserve">the decision </w:t>
      </w:r>
      <w:r w:rsidR="00F24C84" w:rsidRPr="00F24C84">
        <w:rPr>
          <w:lang w:val="en-GB"/>
        </w:rPr>
        <w:lastRenderedPageBreak/>
        <w:t xml:space="preserve">is final and cannot be appealed </w:t>
      </w:r>
      <w:r w:rsidR="006500A8">
        <w:rPr>
          <w:lang w:val="en-GB"/>
        </w:rPr>
        <w:t>in court</w:t>
      </w:r>
      <w:r w:rsidR="00F24C84" w:rsidRPr="00F24C84">
        <w:rPr>
          <w:lang w:val="en-GB"/>
        </w:rPr>
        <w:t>.</w:t>
      </w:r>
      <w:r w:rsidR="006A2079" w:rsidRPr="006A2079">
        <w:t xml:space="preserve"> </w:t>
      </w:r>
      <w:r w:rsidR="006A2079" w:rsidRPr="006A2079">
        <w:rPr>
          <w:lang w:val="en-GB"/>
        </w:rPr>
        <w:t xml:space="preserve">The author </w:t>
      </w:r>
      <w:r w:rsidR="006A2079">
        <w:rPr>
          <w:lang w:val="en-GB"/>
        </w:rPr>
        <w:t xml:space="preserve">also </w:t>
      </w:r>
      <w:r w:rsidR="006A2079" w:rsidRPr="006A2079">
        <w:rPr>
          <w:lang w:val="en-GB"/>
        </w:rPr>
        <w:t xml:space="preserve">states that he has not submitted a complaint before any other international </w:t>
      </w:r>
      <w:r w:rsidR="004B455D">
        <w:rPr>
          <w:lang w:val="en-GB"/>
        </w:rPr>
        <w:t>instance</w:t>
      </w:r>
      <w:r w:rsidR="006A2079" w:rsidRPr="006A2079">
        <w:rPr>
          <w:lang w:val="en-GB"/>
        </w:rPr>
        <w:t>.</w:t>
      </w:r>
      <w:r w:rsidR="00F416DC" w:rsidRPr="00F416DC">
        <w:rPr>
          <w:lang w:val="en-GB"/>
        </w:rPr>
        <w:t xml:space="preserve"> </w:t>
      </w:r>
    </w:p>
    <w:p w14:paraId="497305B3" w14:textId="77777777" w:rsidR="003134AC" w:rsidRDefault="007E7E46" w:rsidP="00FA059B">
      <w:pPr>
        <w:pStyle w:val="H23G"/>
        <w:ind w:left="0" w:firstLine="0"/>
      </w:pPr>
      <w:r>
        <w:tab/>
      </w:r>
      <w:r>
        <w:tab/>
      </w:r>
      <w:r w:rsidR="003134AC" w:rsidRPr="00574BC4">
        <w:t>State party</w:t>
      </w:r>
      <w:r w:rsidR="00E07F44">
        <w:t>’</w:t>
      </w:r>
      <w:r w:rsidR="003134AC" w:rsidRPr="00574BC4">
        <w:t>s observations on admissibility</w:t>
      </w:r>
      <w:r w:rsidR="00E0216D">
        <w:t xml:space="preserve"> </w:t>
      </w:r>
      <w:r w:rsidR="00EF3514">
        <w:t>and merits</w:t>
      </w:r>
      <w:r w:rsidR="007A212F">
        <w:t xml:space="preserve"> </w:t>
      </w:r>
    </w:p>
    <w:p w14:paraId="5CAE6F1B" w14:textId="77777777" w:rsidR="00E0216D" w:rsidRDefault="00776E5E" w:rsidP="00BC3737">
      <w:pPr>
        <w:pStyle w:val="SingleTxtG"/>
        <w:rPr>
          <w:lang w:val="en-GB"/>
        </w:rPr>
      </w:pPr>
      <w:r>
        <w:t>4.1</w:t>
      </w:r>
      <w:r>
        <w:tab/>
      </w:r>
      <w:r w:rsidR="00DF0799" w:rsidRPr="00DF0799">
        <w:rPr>
          <w:lang w:val="en-GB"/>
        </w:rPr>
        <w:t xml:space="preserve">On </w:t>
      </w:r>
      <w:r w:rsidR="00EA1031">
        <w:rPr>
          <w:lang w:val="en-GB"/>
        </w:rPr>
        <w:t xml:space="preserve">1 October </w:t>
      </w:r>
      <w:r w:rsidR="00E0216D">
        <w:rPr>
          <w:lang w:val="en-GB"/>
        </w:rPr>
        <w:t xml:space="preserve">2014, </w:t>
      </w:r>
      <w:r w:rsidR="00F24F92">
        <w:rPr>
          <w:lang w:val="en-GB"/>
        </w:rPr>
        <w:t xml:space="preserve">the State party submitted its observations on </w:t>
      </w:r>
      <w:r w:rsidR="008F2AD8">
        <w:rPr>
          <w:lang w:val="en-GB"/>
        </w:rPr>
        <w:t xml:space="preserve">the </w:t>
      </w:r>
      <w:r w:rsidR="00F24F92">
        <w:rPr>
          <w:lang w:val="en-GB"/>
        </w:rPr>
        <w:t>admissibility and merits of the communication.</w:t>
      </w:r>
      <w:r w:rsidR="00BA5934">
        <w:rPr>
          <w:lang w:val="en-GB"/>
        </w:rPr>
        <w:t xml:space="preserve"> </w:t>
      </w:r>
      <w:r w:rsidR="005B4B88">
        <w:rPr>
          <w:lang w:val="en-GB"/>
        </w:rPr>
        <w:t xml:space="preserve">The State party </w:t>
      </w:r>
      <w:r w:rsidR="008F2AD8">
        <w:rPr>
          <w:lang w:val="en-GB"/>
        </w:rPr>
        <w:t xml:space="preserve">finds </w:t>
      </w:r>
      <w:r w:rsidR="00E0216D" w:rsidRPr="00E0216D">
        <w:rPr>
          <w:lang w:val="en-GB"/>
        </w:rPr>
        <w:t xml:space="preserve">that the author has failed to substantiate </w:t>
      </w:r>
      <w:r w:rsidR="00B83477">
        <w:rPr>
          <w:lang w:val="en-GB"/>
        </w:rPr>
        <w:t>the</w:t>
      </w:r>
      <w:r w:rsidR="00E0216D" w:rsidRPr="00E0216D">
        <w:rPr>
          <w:lang w:val="en-GB"/>
        </w:rPr>
        <w:t xml:space="preserve"> risk of irreparable </w:t>
      </w:r>
      <w:r w:rsidR="00E25B12">
        <w:rPr>
          <w:lang w:val="en-GB"/>
        </w:rPr>
        <w:t>harm</w:t>
      </w:r>
      <w:r w:rsidR="00E0216D" w:rsidRPr="00E0216D">
        <w:rPr>
          <w:lang w:val="en-GB"/>
        </w:rPr>
        <w:t xml:space="preserve"> </w:t>
      </w:r>
      <w:r w:rsidR="00BF1F47">
        <w:rPr>
          <w:lang w:val="en-GB"/>
        </w:rPr>
        <w:t xml:space="preserve">as a consequence of his forced </w:t>
      </w:r>
      <w:r w:rsidR="00C51355">
        <w:rPr>
          <w:lang w:val="en-GB"/>
        </w:rPr>
        <w:t>return to Afghanistan</w:t>
      </w:r>
      <w:r w:rsidR="00183422">
        <w:rPr>
          <w:lang w:val="en-GB"/>
        </w:rPr>
        <w:t>.</w:t>
      </w:r>
      <w:r w:rsidR="00E0216D" w:rsidRPr="00E0216D">
        <w:rPr>
          <w:lang w:val="en-GB"/>
        </w:rPr>
        <w:t xml:space="preserve"> </w:t>
      </w:r>
      <w:r w:rsidR="00183422">
        <w:rPr>
          <w:lang w:val="en-GB"/>
        </w:rPr>
        <w:t>F</w:t>
      </w:r>
      <w:r w:rsidR="00E0216D" w:rsidRPr="00E0216D">
        <w:rPr>
          <w:lang w:val="en-GB"/>
        </w:rPr>
        <w:t>or the same reason</w:t>
      </w:r>
      <w:r w:rsidR="00183422">
        <w:rPr>
          <w:lang w:val="en-GB"/>
        </w:rPr>
        <w:t>, the State party</w:t>
      </w:r>
      <w:r w:rsidR="00E0216D" w:rsidRPr="00E0216D">
        <w:rPr>
          <w:lang w:val="en-GB"/>
        </w:rPr>
        <w:t xml:space="preserve"> considers the communication </w:t>
      </w:r>
      <w:r w:rsidR="00615494">
        <w:rPr>
          <w:lang w:val="en-GB"/>
        </w:rPr>
        <w:t xml:space="preserve">to be </w:t>
      </w:r>
      <w:r w:rsidR="00E0216D" w:rsidRPr="00E0216D">
        <w:rPr>
          <w:lang w:val="en-GB"/>
        </w:rPr>
        <w:t xml:space="preserve">inadmissible as manifestly </w:t>
      </w:r>
      <w:r w:rsidR="0000756B">
        <w:rPr>
          <w:lang w:val="en-GB"/>
        </w:rPr>
        <w:t>ill</w:t>
      </w:r>
      <w:r w:rsidR="00E34DAA">
        <w:rPr>
          <w:lang w:val="en-GB"/>
        </w:rPr>
        <w:t>-</w:t>
      </w:r>
      <w:r w:rsidR="00E0216D" w:rsidRPr="00E0216D">
        <w:rPr>
          <w:lang w:val="en-GB"/>
        </w:rPr>
        <w:t xml:space="preserve">founded due to a lack of substantiation. </w:t>
      </w:r>
    </w:p>
    <w:p w14:paraId="2AE938CD" w14:textId="77777777" w:rsidR="009B37E6" w:rsidRDefault="00E0216D" w:rsidP="004D3686">
      <w:pPr>
        <w:pStyle w:val="SingleTxtG"/>
        <w:rPr>
          <w:lang w:val="en-GB"/>
        </w:rPr>
      </w:pPr>
      <w:r>
        <w:rPr>
          <w:lang w:val="en-GB"/>
        </w:rPr>
        <w:t>4.2</w:t>
      </w:r>
      <w:r>
        <w:rPr>
          <w:lang w:val="en-GB"/>
        </w:rPr>
        <w:tab/>
      </w:r>
      <w:r w:rsidR="00BF1F47">
        <w:rPr>
          <w:lang w:val="en-GB"/>
        </w:rPr>
        <w:t xml:space="preserve">The State party </w:t>
      </w:r>
      <w:r w:rsidR="00B7113C">
        <w:rPr>
          <w:lang w:val="en-GB"/>
        </w:rPr>
        <w:t xml:space="preserve">recalls </w:t>
      </w:r>
      <w:r w:rsidR="00BF1F47">
        <w:rPr>
          <w:lang w:val="en-GB"/>
        </w:rPr>
        <w:t xml:space="preserve">that the author entered Denmark on 1 </w:t>
      </w:r>
      <w:r w:rsidR="00BF1F47" w:rsidRPr="00CA7E79">
        <w:rPr>
          <w:lang w:val="en-GB"/>
        </w:rPr>
        <w:t>August 2012 without valid travel documents</w:t>
      </w:r>
      <w:r w:rsidR="00B7113C" w:rsidRPr="00CA7E79">
        <w:rPr>
          <w:lang w:val="en-GB"/>
        </w:rPr>
        <w:t xml:space="preserve"> and </w:t>
      </w:r>
      <w:r w:rsidR="00BF1F47" w:rsidRPr="00CA7E79">
        <w:rPr>
          <w:lang w:val="en-GB"/>
        </w:rPr>
        <w:t xml:space="preserve">applied for asylum. On 14 December 2012, the Danish Immigration Service refused asylum to the author. On 21 May 2013, the </w:t>
      </w:r>
      <w:r w:rsidR="00E81BED" w:rsidRPr="00CA7E79">
        <w:rPr>
          <w:lang w:val="en-GB"/>
        </w:rPr>
        <w:t xml:space="preserve">Danish Refugee Appeals </w:t>
      </w:r>
      <w:r w:rsidR="00BF1F47" w:rsidRPr="00CA7E79">
        <w:rPr>
          <w:lang w:val="en-GB"/>
        </w:rPr>
        <w:t>Board upheld th</w:t>
      </w:r>
      <w:r w:rsidR="008F2AD8" w:rsidRPr="00CA7E79">
        <w:rPr>
          <w:lang w:val="en-GB"/>
        </w:rPr>
        <w:t>at</w:t>
      </w:r>
      <w:r w:rsidR="00BF1F47" w:rsidRPr="00CA7E79">
        <w:rPr>
          <w:lang w:val="en-GB"/>
        </w:rPr>
        <w:t xml:space="preserve"> </w:t>
      </w:r>
      <w:r w:rsidR="00183422" w:rsidRPr="00CA7E79">
        <w:rPr>
          <w:lang w:val="en-GB"/>
        </w:rPr>
        <w:t>decision</w:t>
      </w:r>
      <w:r w:rsidR="00BF1F47" w:rsidRPr="00E81BED">
        <w:rPr>
          <w:lang w:val="en-GB"/>
        </w:rPr>
        <w:t>.</w:t>
      </w:r>
      <w:r w:rsidR="009B37E6" w:rsidRPr="00E81BED">
        <w:rPr>
          <w:lang w:val="en-GB"/>
        </w:rPr>
        <w:t xml:space="preserve"> The Board found that the applicant had failed to substantiate that he </w:t>
      </w:r>
      <w:r w:rsidR="008F2AD8" w:rsidRPr="00E81BED">
        <w:rPr>
          <w:lang w:val="en-GB"/>
        </w:rPr>
        <w:t xml:space="preserve">had been </w:t>
      </w:r>
      <w:r w:rsidR="009B37E6" w:rsidRPr="00E81BED">
        <w:rPr>
          <w:lang w:val="en-GB"/>
        </w:rPr>
        <w:t>persecuted by the Taliban at his departure</w:t>
      </w:r>
      <w:r w:rsidR="009B37E6">
        <w:rPr>
          <w:lang w:val="en-GB"/>
        </w:rPr>
        <w:t xml:space="preserve"> </w:t>
      </w:r>
      <w:r w:rsidR="00183422">
        <w:rPr>
          <w:lang w:val="en-GB"/>
        </w:rPr>
        <w:t>or</w:t>
      </w:r>
      <w:r w:rsidR="009B37E6">
        <w:rPr>
          <w:lang w:val="en-GB"/>
        </w:rPr>
        <w:t xml:space="preserve"> that</w:t>
      </w:r>
      <w:r w:rsidR="008F2AD8">
        <w:rPr>
          <w:lang w:val="en-GB"/>
        </w:rPr>
        <w:t xml:space="preserve">, in </w:t>
      </w:r>
      <w:r w:rsidR="00183422">
        <w:rPr>
          <w:lang w:val="en-GB"/>
        </w:rPr>
        <w:t xml:space="preserve">the event </w:t>
      </w:r>
      <w:r w:rsidR="008F2AD8">
        <w:rPr>
          <w:lang w:val="en-GB"/>
        </w:rPr>
        <w:t>of his return to Afghanistan,</w:t>
      </w:r>
      <w:r w:rsidR="009B37E6">
        <w:rPr>
          <w:lang w:val="en-GB"/>
        </w:rPr>
        <w:t xml:space="preserve"> </w:t>
      </w:r>
      <w:r w:rsidR="001153AF">
        <w:rPr>
          <w:lang w:val="en-GB"/>
        </w:rPr>
        <w:t xml:space="preserve">he </w:t>
      </w:r>
      <w:r w:rsidR="003318CD">
        <w:rPr>
          <w:lang w:val="en-GB"/>
        </w:rPr>
        <w:t xml:space="preserve">would </w:t>
      </w:r>
      <w:r w:rsidR="009B37E6">
        <w:rPr>
          <w:lang w:val="en-GB"/>
        </w:rPr>
        <w:t xml:space="preserve">be at a specific and individual risk of persecution justifying asylum and falling within paragraph </w:t>
      </w:r>
      <w:r w:rsidR="004D3686">
        <w:rPr>
          <w:lang w:val="en-GB"/>
        </w:rPr>
        <w:t>7 (</w:t>
      </w:r>
      <w:r w:rsidR="009B37E6">
        <w:rPr>
          <w:lang w:val="en-GB"/>
        </w:rPr>
        <w:t>1</w:t>
      </w:r>
      <w:r w:rsidR="004D3686">
        <w:rPr>
          <w:lang w:val="en-GB"/>
        </w:rPr>
        <w:t>)</w:t>
      </w:r>
      <w:r w:rsidR="009B37E6">
        <w:rPr>
          <w:lang w:val="en-GB"/>
        </w:rPr>
        <w:t xml:space="preserve"> of the Aliens Act, or at a real risk of inhuman treatment or punishment falling within paragraph </w:t>
      </w:r>
      <w:r w:rsidR="004D3686">
        <w:rPr>
          <w:lang w:val="en-GB"/>
        </w:rPr>
        <w:t>7 (</w:t>
      </w:r>
      <w:r w:rsidR="009B37E6">
        <w:rPr>
          <w:lang w:val="en-GB"/>
        </w:rPr>
        <w:t>2</w:t>
      </w:r>
      <w:r w:rsidR="004D3686">
        <w:rPr>
          <w:lang w:val="en-GB"/>
        </w:rPr>
        <w:t>)</w:t>
      </w:r>
      <w:r w:rsidR="009B37E6">
        <w:rPr>
          <w:lang w:val="en-GB"/>
        </w:rPr>
        <w:t xml:space="preserve"> of the Aliens Act</w:t>
      </w:r>
      <w:r w:rsidR="008A16B6">
        <w:rPr>
          <w:lang w:val="en-GB"/>
        </w:rPr>
        <w:t>.</w:t>
      </w:r>
    </w:p>
    <w:p w14:paraId="5034C9B8" w14:textId="77777777" w:rsidR="00F73B4A" w:rsidRDefault="008A16B6">
      <w:pPr>
        <w:pStyle w:val="SingleTxtG"/>
        <w:rPr>
          <w:lang w:val="en-GB"/>
        </w:rPr>
      </w:pPr>
      <w:r>
        <w:rPr>
          <w:lang w:val="en-GB"/>
        </w:rPr>
        <w:t>4.3</w:t>
      </w:r>
      <w:r w:rsidR="009B37E6">
        <w:rPr>
          <w:lang w:val="en-GB"/>
        </w:rPr>
        <w:tab/>
      </w:r>
      <w:r w:rsidR="00A53D7C">
        <w:rPr>
          <w:lang w:val="en-GB"/>
        </w:rPr>
        <w:t>T</w:t>
      </w:r>
      <w:r w:rsidR="00BF1F47">
        <w:rPr>
          <w:lang w:val="en-GB"/>
        </w:rPr>
        <w:t xml:space="preserve">he State party adds that </w:t>
      </w:r>
      <w:r w:rsidR="00A53D7C">
        <w:rPr>
          <w:lang w:val="en-GB"/>
        </w:rPr>
        <w:t xml:space="preserve">on 29 July </w:t>
      </w:r>
      <w:r w:rsidR="00A53D7C" w:rsidRPr="006C2983">
        <w:rPr>
          <w:lang w:val="en-GB"/>
        </w:rPr>
        <w:t xml:space="preserve">2013 </w:t>
      </w:r>
      <w:r w:rsidR="00BF1F47" w:rsidRPr="006C2983">
        <w:rPr>
          <w:lang w:val="en-GB"/>
        </w:rPr>
        <w:t xml:space="preserve">the Danish Refugee Council, acting on behalf of the author, requested the Board to reopen the asylum proceedings. In its decision of 17 March 2014, the Board refused to </w:t>
      </w:r>
      <w:r w:rsidR="008F2AD8" w:rsidRPr="006C2983">
        <w:rPr>
          <w:lang w:val="en-GB"/>
        </w:rPr>
        <w:t>do so</w:t>
      </w:r>
      <w:r w:rsidR="009B37E6" w:rsidRPr="006C2983">
        <w:rPr>
          <w:lang w:val="en-GB"/>
        </w:rPr>
        <w:t xml:space="preserve"> and stated</w:t>
      </w:r>
      <w:r w:rsidR="009B37E6" w:rsidRPr="003318CD">
        <w:rPr>
          <w:lang w:val="en-GB"/>
        </w:rPr>
        <w:t>, inter alia, th</w:t>
      </w:r>
      <w:r w:rsidR="009B37E6">
        <w:rPr>
          <w:lang w:val="en-GB"/>
        </w:rPr>
        <w:t xml:space="preserve">at it had found no grounds for reopening the case </w:t>
      </w:r>
      <w:r w:rsidR="001153AF">
        <w:rPr>
          <w:lang w:val="en-GB"/>
        </w:rPr>
        <w:t xml:space="preserve">or </w:t>
      </w:r>
      <w:r w:rsidR="009B37E6">
        <w:rPr>
          <w:lang w:val="en-GB"/>
        </w:rPr>
        <w:t>for extending the time limit for the applicant’s departure.</w:t>
      </w:r>
      <w:r w:rsidR="004350E7">
        <w:rPr>
          <w:lang w:val="en-GB"/>
        </w:rPr>
        <w:t xml:space="preserve"> </w:t>
      </w:r>
      <w:r w:rsidR="009B37E6">
        <w:rPr>
          <w:lang w:val="en-GB"/>
        </w:rPr>
        <w:t>The Board emphasized that no substantial new information or views had been added to the case beyond the information available at the original hearing by the Board</w:t>
      </w:r>
      <w:r w:rsidR="00BF1F47">
        <w:rPr>
          <w:lang w:val="en-GB"/>
        </w:rPr>
        <w:t xml:space="preserve">. </w:t>
      </w:r>
      <w:r w:rsidR="00AD4A9E">
        <w:rPr>
          <w:lang w:val="en-GB"/>
        </w:rPr>
        <w:t>The Board stated the following:</w:t>
      </w:r>
    </w:p>
    <w:p w14:paraId="142B68FE" w14:textId="77777777" w:rsidR="00F73B4A" w:rsidRPr="00741487" w:rsidRDefault="00F73B4A" w:rsidP="007C0089">
      <w:pPr>
        <w:pStyle w:val="SingleTxtG"/>
        <w:ind w:left="1701"/>
        <w:rPr>
          <w:lang w:val="en-GB"/>
        </w:rPr>
      </w:pPr>
      <w:r w:rsidRPr="000E25EC">
        <w:rPr>
          <w:lang w:val="en-GB"/>
        </w:rPr>
        <w:t>T</w:t>
      </w:r>
      <w:r w:rsidR="00AD4A9E" w:rsidRPr="000E25EC">
        <w:rPr>
          <w:lang w:val="en-GB"/>
        </w:rPr>
        <w:t xml:space="preserve">he Board finds that the applicant has substantially enlarged on his statement about his grounds for asylum in connection with the request for reopening since he had told neither the Danish Immigration Service nor the Board that he had moved house in Kabul about every two months and had three times stayed in a hotel and sometimes spent the night at his workplace, and since he had also failed to mention anything about the safety precautions taken by him when visiting his family every second month. He had stated to the Danish Immigration Service that he had regularly visited his family, while he had stated at the Board hearing that he had lived peacefully in Kabul. Even when taking into account that the applicant </w:t>
      </w:r>
      <w:r w:rsidR="00187127" w:rsidRPr="000E25EC">
        <w:rPr>
          <w:lang w:val="en-GB"/>
        </w:rPr>
        <w:t xml:space="preserve">appears to be of </w:t>
      </w:r>
      <w:r w:rsidR="00797BA1" w:rsidRPr="000E25EC">
        <w:rPr>
          <w:lang w:val="en-GB"/>
        </w:rPr>
        <w:t xml:space="preserve">unstable </w:t>
      </w:r>
      <w:r w:rsidR="00AD4A9E" w:rsidRPr="000E25EC">
        <w:rPr>
          <w:lang w:val="en-GB"/>
        </w:rPr>
        <w:t>mental health, the Board finds that he has failed to provide a reasonable explanation for these substantial enlargements, which concern a crucial part of the asylum grounds relied upon.</w:t>
      </w:r>
      <w:r w:rsidR="00F15270" w:rsidRPr="000E25EC">
        <w:rPr>
          <w:lang w:val="en-GB"/>
        </w:rPr>
        <w:t xml:space="preserve"> Consequently, the applicant must still leave Denmark in accordance with the time limit stated in the </w:t>
      </w:r>
      <w:r w:rsidR="00F132E3" w:rsidRPr="000E25EC">
        <w:rPr>
          <w:lang w:val="en-GB"/>
        </w:rPr>
        <w:t xml:space="preserve">decision of 21 </w:t>
      </w:r>
      <w:r w:rsidR="00F15270" w:rsidRPr="000E25EC">
        <w:rPr>
          <w:lang w:val="en-GB"/>
        </w:rPr>
        <w:t>May 2013</w:t>
      </w:r>
      <w:r w:rsidR="00A72C5E" w:rsidRPr="000E25EC">
        <w:rPr>
          <w:lang w:val="en-GB"/>
        </w:rPr>
        <w:t>. As appears from the Board’s decision</w:t>
      </w:r>
      <w:r w:rsidR="00A72C5E" w:rsidRPr="00741487">
        <w:rPr>
          <w:lang w:val="en-GB"/>
        </w:rPr>
        <w:t xml:space="preserve">, the applicant may forcibly be returned to </w:t>
      </w:r>
      <w:r w:rsidR="00A72C5E" w:rsidRPr="00741487">
        <w:rPr>
          <w:lang w:val="en-GB"/>
        </w:rPr>
        <w:lastRenderedPageBreak/>
        <w:t xml:space="preserve">Afghanistan pursuant to </w:t>
      </w:r>
      <w:r w:rsidR="004D3686" w:rsidRPr="00741487">
        <w:rPr>
          <w:lang w:val="en-GB"/>
        </w:rPr>
        <w:t>paragraph 32a</w:t>
      </w:r>
      <w:r w:rsidR="00A72C5E" w:rsidRPr="00741487">
        <w:rPr>
          <w:lang w:val="en-GB"/>
        </w:rPr>
        <w:t xml:space="preserve"> of the Aliens Act if he does not leave voluntarily.</w:t>
      </w:r>
    </w:p>
    <w:p w14:paraId="6067A73F" w14:textId="77777777" w:rsidR="005B4B88" w:rsidRDefault="00BF1F47">
      <w:pPr>
        <w:pStyle w:val="SingleTxtG"/>
        <w:rPr>
          <w:lang w:val="en-GB"/>
        </w:rPr>
      </w:pPr>
      <w:r w:rsidRPr="00741487">
        <w:rPr>
          <w:lang w:val="en-GB"/>
        </w:rPr>
        <w:t>On 1</w:t>
      </w:r>
      <w:r w:rsidR="00EB0101" w:rsidRPr="00741487">
        <w:rPr>
          <w:lang w:val="en-GB"/>
        </w:rPr>
        <w:t>8</w:t>
      </w:r>
      <w:r w:rsidRPr="00741487">
        <w:rPr>
          <w:lang w:val="en-GB"/>
        </w:rPr>
        <w:t xml:space="preserve"> March 20</w:t>
      </w:r>
      <w:r w:rsidR="00AD4A9E" w:rsidRPr="00741487">
        <w:rPr>
          <w:lang w:val="en-GB"/>
        </w:rPr>
        <w:t>1</w:t>
      </w:r>
      <w:r w:rsidRPr="00741487">
        <w:rPr>
          <w:lang w:val="en-GB"/>
        </w:rPr>
        <w:t>4, the author was returned to Afghanistan.</w:t>
      </w:r>
      <w:r>
        <w:rPr>
          <w:lang w:val="en-GB"/>
        </w:rPr>
        <w:t xml:space="preserve"> </w:t>
      </w:r>
    </w:p>
    <w:p w14:paraId="038806F7" w14:textId="77777777" w:rsidR="000B5EFF" w:rsidRDefault="00F749F8">
      <w:pPr>
        <w:pStyle w:val="SingleTxtG"/>
        <w:rPr>
          <w:lang w:val="en-GB"/>
        </w:rPr>
      </w:pPr>
      <w:r>
        <w:rPr>
          <w:lang w:val="en-GB"/>
        </w:rPr>
        <w:t>4.</w:t>
      </w:r>
      <w:r w:rsidR="00FA059B">
        <w:rPr>
          <w:lang w:val="en-GB"/>
        </w:rPr>
        <w:t>4</w:t>
      </w:r>
      <w:r>
        <w:rPr>
          <w:lang w:val="en-GB"/>
        </w:rPr>
        <w:tab/>
        <w:t xml:space="preserve">The State party further </w:t>
      </w:r>
      <w:r w:rsidR="005627EE">
        <w:rPr>
          <w:lang w:val="en-GB"/>
        </w:rPr>
        <w:t xml:space="preserve">indicates </w:t>
      </w:r>
      <w:r>
        <w:rPr>
          <w:lang w:val="en-GB"/>
        </w:rPr>
        <w:t xml:space="preserve">that, in accordance with the Committee’s request of 1 July 2014, it instructed the Danish </w:t>
      </w:r>
      <w:r w:rsidR="008F2AD8">
        <w:rPr>
          <w:lang w:val="en-GB"/>
        </w:rPr>
        <w:t>e</w:t>
      </w:r>
      <w:r>
        <w:rPr>
          <w:lang w:val="en-GB"/>
        </w:rPr>
        <w:t xml:space="preserve">mbassy in Kabul </w:t>
      </w:r>
      <w:r w:rsidR="003318CD">
        <w:rPr>
          <w:lang w:val="en-GB"/>
        </w:rPr>
        <w:t xml:space="preserve">on 16 July 2014 </w:t>
      </w:r>
      <w:r>
        <w:rPr>
          <w:lang w:val="en-GB"/>
        </w:rPr>
        <w:t xml:space="preserve">to establish contact with the </w:t>
      </w:r>
      <w:r w:rsidRPr="00F57ADF">
        <w:rPr>
          <w:lang w:val="en-GB"/>
        </w:rPr>
        <w:t xml:space="preserve">author </w:t>
      </w:r>
      <w:r w:rsidR="008F2AD8" w:rsidRPr="00F57ADF">
        <w:rPr>
          <w:lang w:val="en-GB"/>
        </w:rPr>
        <w:t>via</w:t>
      </w:r>
      <w:r w:rsidRPr="00F57ADF">
        <w:rPr>
          <w:lang w:val="en-GB"/>
        </w:rPr>
        <w:t xml:space="preserve"> the telephone number </w:t>
      </w:r>
      <w:r w:rsidR="003318CD" w:rsidRPr="00F57ADF">
        <w:rPr>
          <w:lang w:val="en-GB"/>
        </w:rPr>
        <w:t xml:space="preserve">that had been </w:t>
      </w:r>
      <w:r w:rsidRPr="00F57ADF">
        <w:rPr>
          <w:lang w:val="en-GB"/>
        </w:rPr>
        <w:t xml:space="preserve">provided by the author’s counsel on 30 June 2014. The Danish </w:t>
      </w:r>
      <w:r w:rsidR="008F2AD8" w:rsidRPr="00F57ADF">
        <w:rPr>
          <w:lang w:val="en-GB"/>
        </w:rPr>
        <w:t>e</w:t>
      </w:r>
      <w:r w:rsidRPr="00F57ADF">
        <w:rPr>
          <w:lang w:val="en-GB"/>
        </w:rPr>
        <w:t>mbassy made several attempts to contact the author on the provided telephone number, but in</w:t>
      </w:r>
      <w:r>
        <w:rPr>
          <w:lang w:val="en-GB"/>
        </w:rPr>
        <w:t xml:space="preserve"> vain. Contrary to the author’s </w:t>
      </w:r>
      <w:r w:rsidR="00B45640" w:rsidRPr="007C0089">
        <w:rPr>
          <w:lang w:val="en-GB"/>
        </w:rPr>
        <w:t>statement</w:t>
      </w:r>
      <w:r w:rsidR="00BB3CFD">
        <w:rPr>
          <w:lang w:val="en-GB"/>
        </w:rPr>
        <w:t xml:space="preserve"> </w:t>
      </w:r>
      <w:r>
        <w:rPr>
          <w:lang w:val="en-GB"/>
        </w:rPr>
        <w:t xml:space="preserve">that he </w:t>
      </w:r>
      <w:r w:rsidR="00B45640">
        <w:rPr>
          <w:lang w:val="en-GB"/>
        </w:rPr>
        <w:t xml:space="preserve">had </w:t>
      </w:r>
      <w:r>
        <w:rPr>
          <w:lang w:val="en-GB"/>
        </w:rPr>
        <w:t xml:space="preserve">appeared in person at the Danish </w:t>
      </w:r>
      <w:r w:rsidR="008F2AD8">
        <w:rPr>
          <w:lang w:val="en-GB"/>
        </w:rPr>
        <w:t>e</w:t>
      </w:r>
      <w:r>
        <w:rPr>
          <w:lang w:val="en-GB"/>
        </w:rPr>
        <w:t xml:space="preserve">mbassy in Kabul in early August 2014, the State party </w:t>
      </w:r>
      <w:r w:rsidR="000E25EC">
        <w:rPr>
          <w:lang w:val="en-GB"/>
        </w:rPr>
        <w:t xml:space="preserve">indicates </w:t>
      </w:r>
      <w:r>
        <w:rPr>
          <w:lang w:val="en-GB"/>
        </w:rPr>
        <w:t xml:space="preserve">that its </w:t>
      </w:r>
      <w:r w:rsidR="00BB3CFD">
        <w:rPr>
          <w:lang w:val="en-GB"/>
        </w:rPr>
        <w:t>e</w:t>
      </w:r>
      <w:r>
        <w:rPr>
          <w:lang w:val="en-GB"/>
        </w:rPr>
        <w:t xml:space="preserve">mbassy in Kabul could not provide a positive confirmation that the author </w:t>
      </w:r>
      <w:r w:rsidR="003318CD">
        <w:rPr>
          <w:lang w:val="en-GB"/>
        </w:rPr>
        <w:t xml:space="preserve">had </w:t>
      </w:r>
      <w:r>
        <w:rPr>
          <w:lang w:val="en-GB"/>
        </w:rPr>
        <w:t>contacted</w:t>
      </w:r>
      <w:r w:rsidR="00B45640">
        <w:rPr>
          <w:lang w:val="en-GB"/>
        </w:rPr>
        <w:t xml:space="preserve"> anyone at</w:t>
      </w:r>
      <w:r>
        <w:rPr>
          <w:lang w:val="en-GB"/>
        </w:rPr>
        <w:t xml:space="preserve"> one of its outer </w:t>
      </w:r>
      <w:r w:rsidR="002A61CB">
        <w:rPr>
          <w:lang w:val="en-GB"/>
        </w:rPr>
        <w:t>security checkpoints</w:t>
      </w:r>
      <w:r w:rsidR="000E25EC">
        <w:rPr>
          <w:lang w:val="en-GB"/>
        </w:rPr>
        <w:t xml:space="preserve">. </w:t>
      </w:r>
      <w:r w:rsidR="00741487">
        <w:rPr>
          <w:lang w:val="en-GB"/>
        </w:rPr>
        <w:t xml:space="preserve">It conceded, however, </w:t>
      </w:r>
      <w:r>
        <w:rPr>
          <w:lang w:val="en-GB"/>
        </w:rPr>
        <w:t xml:space="preserve">that the author </w:t>
      </w:r>
      <w:r w:rsidR="00BB3CFD">
        <w:rPr>
          <w:lang w:val="en-GB"/>
        </w:rPr>
        <w:t xml:space="preserve">might </w:t>
      </w:r>
      <w:r w:rsidR="003318CD">
        <w:rPr>
          <w:lang w:val="en-GB"/>
        </w:rPr>
        <w:t xml:space="preserve">have been </w:t>
      </w:r>
      <w:r w:rsidR="000B5EFF">
        <w:rPr>
          <w:lang w:val="en-GB"/>
        </w:rPr>
        <w:t xml:space="preserve">dismissed by a guard if </w:t>
      </w:r>
      <w:r>
        <w:rPr>
          <w:lang w:val="en-GB"/>
        </w:rPr>
        <w:t>he had not submit</w:t>
      </w:r>
      <w:r w:rsidR="000B5EFF">
        <w:rPr>
          <w:lang w:val="en-GB"/>
        </w:rPr>
        <w:t xml:space="preserve">ted </w:t>
      </w:r>
      <w:r>
        <w:rPr>
          <w:lang w:val="en-GB"/>
        </w:rPr>
        <w:t>a prior request</w:t>
      </w:r>
      <w:r w:rsidR="000B5EFF">
        <w:rPr>
          <w:lang w:val="en-GB"/>
        </w:rPr>
        <w:t xml:space="preserve"> for appointment by e-mail. </w:t>
      </w:r>
    </w:p>
    <w:p w14:paraId="147FD480" w14:textId="77777777" w:rsidR="002C4E77" w:rsidRDefault="000B5EFF" w:rsidP="00F57ADF">
      <w:pPr>
        <w:pStyle w:val="SingleTxtG"/>
        <w:rPr>
          <w:lang w:val="en-GB"/>
        </w:rPr>
      </w:pPr>
      <w:r>
        <w:rPr>
          <w:lang w:val="en-GB"/>
        </w:rPr>
        <w:t>4.</w:t>
      </w:r>
      <w:r w:rsidR="00FA059B">
        <w:rPr>
          <w:lang w:val="en-GB"/>
        </w:rPr>
        <w:t>5</w:t>
      </w:r>
      <w:r>
        <w:rPr>
          <w:lang w:val="en-GB"/>
        </w:rPr>
        <w:tab/>
        <w:t xml:space="preserve">The State party also indicates that the author contacted the Danish </w:t>
      </w:r>
      <w:r w:rsidR="00BB3CFD">
        <w:rPr>
          <w:lang w:val="en-GB"/>
        </w:rPr>
        <w:t>e</w:t>
      </w:r>
      <w:r>
        <w:rPr>
          <w:lang w:val="en-GB"/>
        </w:rPr>
        <w:t xml:space="preserve">mbassy in Kabul by e-mail and forwarded some correspondence between </w:t>
      </w:r>
      <w:r w:rsidR="004B455D">
        <w:rPr>
          <w:lang w:val="en-GB"/>
        </w:rPr>
        <w:t>him,</w:t>
      </w:r>
      <w:r w:rsidR="00797BA1">
        <w:rPr>
          <w:lang w:val="en-GB"/>
        </w:rPr>
        <w:t xml:space="preserve"> </w:t>
      </w:r>
      <w:r>
        <w:rPr>
          <w:lang w:val="en-GB"/>
        </w:rPr>
        <w:t xml:space="preserve">his counsel and the Committee concerning the case. By letter of the Committee </w:t>
      </w:r>
      <w:r w:rsidR="000E25EC">
        <w:rPr>
          <w:lang w:val="en-GB"/>
        </w:rPr>
        <w:t>dated</w:t>
      </w:r>
      <w:r>
        <w:rPr>
          <w:lang w:val="en-GB"/>
        </w:rPr>
        <w:t xml:space="preserve"> 8 August 2014, the State party received counsel’s further </w:t>
      </w:r>
      <w:r w:rsidRPr="00F57ADF">
        <w:rPr>
          <w:lang w:val="en-GB"/>
        </w:rPr>
        <w:t>information of 22 July 2014, including five documents</w:t>
      </w:r>
      <w:r w:rsidR="002A61CB" w:rsidRPr="00F57ADF">
        <w:rPr>
          <w:lang w:val="en-GB"/>
        </w:rPr>
        <w:t xml:space="preserve"> in attachment</w:t>
      </w:r>
      <w:r w:rsidRPr="00F57ADF">
        <w:rPr>
          <w:lang w:val="en-GB"/>
        </w:rPr>
        <w:t xml:space="preserve"> </w:t>
      </w:r>
      <w:r w:rsidR="00F35CBA" w:rsidRPr="007C0089">
        <w:rPr>
          <w:lang w:val="en-GB"/>
        </w:rPr>
        <w:t xml:space="preserve">form which had been </w:t>
      </w:r>
      <w:r w:rsidRPr="00F57ADF">
        <w:rPr>
          <w:lang w:val="en-GB"/>
        </w:rPr>
        <w:t>provided by the author</w:t>
      </w:r>
      <w:r w:rsidR="002A61CB" w:rsidRPr="00F57ADF">
        <w:rPr>
          <w:lang w:val="en-GB"/>
        </w:rPr>
        <w:t xml:space="preserve">. Those documents </w:t>
      </w:r>
      <w:r w:rsidR="00A72C5E" w:rsidRPr="00F57ADF">
        <w:rPr>
          <w:lang w:val="en-GB"/>
        </w:rPr>
        <w:t>includ</w:t>
      </w:r>
      <w:r w:rsidR="002A61CB" w:rsidRPr="00F57ADF">
        <w:rPr>
          <w:lang w:val="en-GB"/>
        </w:rPr>
        <w:t xml:space="preserve">ed </w:t>
      </w:r>
      <w:r w:rsidR="00A72C5E" w:rsidRPr="00F57ADF">
        <w:rPr>
          <w:lang w:val="en-GB"/>
        </w:rPr>
        <w:t>a confirmation of the author’s identity by the Ministry of Interior</w:t>
      </w:r>
      <w:r w:rsidR="001E77C3" w:rsidRPr="00E81BED">
        <w:rPr>
          <w:lang w:val="en-GB"/>
        </w:rPr>
        <w:t xml:space="preserve"> </w:t>
      </w:r>
      <w:r w:rsidR="00E81BED" w:rsidRPr="00E81BED">
        <w:rPr>
          <w:lang w:val="en-GB"/>
        </w:rPr>
        <w:t>Affairs</w:t>
      </w:r>
      <w:r w:rsidR="00E81BED">
        <w:rPr>
          <w:lang w:val="en-GB"/>
        </w:rPr>
        <w:t xml:space="preserve"> </w:t>
      </w:r>
      <w:r w:rsidR="001E77C3">
        <w:rPr>
          <w:lang w:val="en-GB"/>
        </w:rPr>
        <w:t xml:space="preserve">and a village elder </w:t>
      </w:r>
      <w:r w:rsidR="005627EE">
        <w:rPr>
          <w:lang w:val="en-GB"/>
        </w:rPr>
        <w:t xml:space="preserve">named </w:t>
      </w:r>
      <w:r w:rsidR="001E77C3">
        <w:rPr>
          <w:lang w:val="en-GB"/>
        </w:rPr>
        <w:t>Mangal Sadeq</w:t>
      </w:r>
      <w:r w:rsidR="0034034D">
        <w:rPr>
          <w:lang w:val="en-GB"/>
        </w:rPr>
        <w:t>;</w:t>
      </w:r>
      <w:r w:rsidR="00A72C5E">
        <w:rPr>
          <w:lang w:val="en-GB"/>
        </w:rPr>
        <w:t xml:space="preserve"> </w:t>
      </w:r>
      <w:r w:rsidR="001E77C3">
        <w:rPr>
          <w:lang w:val="en-GB"/>
        </w:rPr>
        <w:t xml:space="preserve">a confirmation of the author’s </w:t>
      </w:r>
      <w:r w:rsidR="001E77C3" w:rsidRPr="00F57ADF">
        <w:rPr>
          <w:lang w:val="en-GB"/>
        </w:rPr>
        <w:t>residence in Shigai village in the Lematak district</w:t>
      </w:r>
      <w:r w:rsidR="0034034D" w:rsidRPr="00F57ADF">
        <w:rPr>
          <w:lang w:val="en-GB"/>
        </w:rPr>
        <w:t>,</w:t>
      </w:r>
      <w:r w:rsidR="002C4E77" w:rsidRPr="00F57ADF">
        <w:rPr>
          <w:lang w:val="en-GB"/>
        </w:rPr>
        <w:t xml:space="preserve"> </w:t>
      </w:r>
      <w:r w:rsidR="001E77C3" w:rsidRPr="00F57ADF">
        <w:rPr>
          <w:lang w:val="en-GB"/>
        </w:rPr>
        <w:t>and of possible threats to the author</w:t>
      </w:r>
      <w:r w:rsidR="0034034D" w:rsidRPr="00F57ADF">
        <w:rPr>
          <w:lang w:val="en-GB"/>
        </w:rPr>
        <w:t>;</w:t>
      </w:r>
      <w:r w:rsidR="001E77C3" w:rsidRPr="00F57ADF">
        <w:rPr>
          <w:lang w:val="en-GB"/>
        </w:rPr>
        <w:t xml:space="preserve"> a document referring to an (unnamed) Afghan asylum</w:t>
      </w:r>
      <w:r w:rsidR="005627EE" w:rsidRPr="00F57ADF">
        <w:rPr>
          <w:lang w:val="en-GB"/>
        </w:rPr>
        <w:t xml:space="preserve"> </w:t>
      </w:r>
      <w:r w:rsidR="001E77C3" w:rsidRPr="00F57ADF">
        <w:rPr>
          <w:lang w:val="en-GB"/>
        </w:rPr>
        <w:t>seeker from Denmark</w:t>
      </w:r>
      <w:r w:rsidR="0034034D" w:rsidRPr="00F57ADF">
        <w:rPr>
          <w:lang w:val="en-GB"/>
        </w:rPr>
        <w:t>;</w:t>
      </w:r>
      <w:r w:rsidR="001E77C3" w:rsidRPr="00F57ADF">
        <w:rPr>
          <w:lang w:val="en-GB"/>
        </w:rPr>
        <w:t xml:space="preserve"> and a request to the Ministry of Interior </w:t>
      </w:r>
      <w:r w:rsidR="00E81BED" w:rsidRPr="00F57ADF">
        <w:rPr>
          <w:lang w:val="en-GB"/>
        </w:rPr>
        <w:t xml:space="preserve">Affairs </w:t>
      </w:r>
      <w:r w:rsidR="005627EE" w:rsidRPr="00F57ADF">
        <w:rPr>
          <w:lang w:val="en-GB"/>
        </w:rPr>
        <w:t xml:space="preserve">for </w:t>
      </w:r>
      <w:r w:rsidR="001E77C3" w:rsidRPr="00F57ADF">
        <w:rPr>
          <w:lang w:val="en-GB"/>
        </w:rPr>
        <w:t xml:space="preserve">a copy of the confirmation of </w:t>
      </w:r>
      <w:r w:rsidR="005627EE" w:rsidRPr="00F57ADF">
        <w:rPr>
          <w:lang w:val="en-GB"/>
        </w:rPr>
        <w:t xml:space="preserve">the </w:t>
      </w:r>
      <w:r w:rsidR="001E77C3" w:rsidRPr="00F57ADF">
        <w:rPr>
          <w:lang w:val="en-GB"/>
        </w:rPr>
        <w:t>author’s identity by village elder</w:t>
      </w:r>
      <w:r w:rsidR="005627EE" w:rsidRPr="00F57ADF">
        <w:rPr>
          <w:lang w:val="en-GB"/>
        </w:rPr>
        <w:t>,</w:t>
      </w:r>
      <w:r w:rsidR="001E77C3" w:rsidRPr="00F57ADF">
        <w:rPr>
          <w:lang w:val="en-GB"/>
        </w:rPr>
        <w:t xml:space="preserve"> which</w:t>
      </w:r>
      <w:r w:rsidR="001E77C3" w:rsidRPr="00E81BED">
        <w:rPr>
          <w:lang w:val="en-GB"/>
        </w:rPr>
        <w:t xml:space="preserve"> </w:t>
      </w:r>
      <w:r w:rsidR="0034034D" w:rsidRPr="00E81BED">
        <w:rPr>
          <w:lang w:val="en-GB"/>
        </w:rPr>
        <w:t xml:space="preserve">had been </w:t>
      </w:r>
      <w:r w:rsidR="001E77C3" w:rsidRPr="00E81BED">
        <w:rPr>
          <w:lang w:val="en-GB"/>
        </w:rPr>
        <w:t xml:space="preserve">handed over. </w:t>
      </w:r>
      <w:r w:rsidRPr="00E81BED">
        <w:rPr>
          <w:lang w:val="en-GB"/>
        </w:rPr>
        <w:t>By e-mail of 11 August</w:t>
      </w:r>
      <w:r w:rsidR="001E77C3" w:rsidRPr="00E81BED">
        <w:rPr>
          <w:lang w:val="en-GB"/>
        </w:rPr>
        <w:t xml:space="preserve"> 2014</w:t>
      </w:r>
      <w:r w:rsidRPr="00E81BED">
        <w:rPr>
          <w:lang w:val="en-GB"/>
        </w:rPr>
        <w:t xml:space="preserve">, the author provided to the </w:t>
      </w:r>
      <w:r w:rsidR="0034034D" w:rsidRPr="00E81BED">
        <w:rPr>
          <w:lang w:val="en-GB"/>
        </w:rPr>
        <w:t>e</w:t>
      </w:r>
      <w:r w:rsidRPr="00E81BED">
        <w:rPr>
          <w:lang w:val="en-GB"/>
        </w:rPr>
        <w:t>mbassy further correspondence in his case.</w:t>
      </w:r>
      <w:r>
        <w:rPr>
          <w:lang w:val="en-GB"/>
        </w:rPr>
        <w:t xml:space="preserve"> </w:t>
      </w:r>
    </w:p>
    <w:p w14:paraId="0707F0C5" w14:textId="77777777" w:rsidR="000B5EFF" w:rsidRDefault="002C4E77">
      <w:pPr>
        <w:pStyle w:val="SingleTxtG"/>
        <w:rPr>
          <w:lang w:val="en-GB"/>
        </w:rPr>
      </w:pPr>
      <w:r>
        <w:rPr>
          <w:lang w:val="en-GB"/>
        </w:rPr>
        <w:t>4.6</w:t>
      </w:r>
      <w:r>
        <w:rPr>
          <w:lang w:val="en-GB"/>
        </w:rPr>
        <w:tab/>
        <w:t>The State party further</w:t>
      </w:r>
      <w:r w:rsidR="00873234">
        <w:rPr>
          <w:lang w:val="en-GB"/>
        </w:rPr>
        <w:t>more</w:t>
      </w:r>
      <w:r>
        <w:rPr>
          <w:lang w:val="en-GB"/>
        </w:rPr>
        <w:t xml:space="preserve"> </w:t>
      </w:r>
      <w:r w:rsidR="005627EE">
        <w:rPr>
          <w:lang w:val="en-GB"/>
        </w:rPr>
        <w:t>indic</w:t>
      </w:r>
      <w:r w:rsidR="000E25EC">
        <w:rPr>
          <w:lang w:val="en-GB"/>
        </w:rPr>
        <w:t>a</w:t>
      </w:r>
      <w:r w:rsidR="005627EE">
        <w:rPr>
          <w:lang w:val="en-GB"/>
        </w:rPr>
        <w:t xml:space="preserve">tes </w:t>
      </w:r>
      <w:r>
        <w:rPr>
          <w:lang w:val="en-GB"/>
        </w:rPr>
        <w:t>that o</w:t>
      </w:r>
      <w:r w:rsidR="000B5EFF">
        <w:rPr>
          <w:lang w:val="en-GB"/>
        </w:rPr>
        <w:t xml:space="preserve">n 20 August 2014 the Danish </w:t>
      </w:r>
      <w:r w:rsidR="0034034D">
        <w:rPr>
          <w:lang w:val="en-GB"/>
        </w:rPr>
        <w:t xml:space="preserve">embassy </w:t>
      </w:r>
      <w:r w:rsidR="000B5EFF">
        <w:rPr>
          <w:lang w:val="en-GB"/>
        </w:rPr>
        <w:t>in Kabul interviewed the author in a secur</w:t>
      </w:r>
      <w:r w:rsidR="000B5EFF" w:rsidRPr="005627EE">
        <w:rPr>
          <w:lang w:val="en-GB"/>
        </w:rPr>
        <w:t xml:space="preserve">e meeting room close to the </w:t>
      </w:r>
      <w:r w:rsidR="0034034D">
        <w:rPr>
          <w:lang w:val="en-GB"/>
        </w:rPr>
        <w:t>e</w:t>
      </w:r>
      <w:r w:rsidR="0034034D" w:rsidRPr="005627EE">
        <w:rPr>
          <w:lang w:val="en-GB"/>
        </w:rPr>
        <w:t xml:space="preserve">mbassy </w:t>
      </w:r>
      <w:r w:rsidR="000B5EFF" w:rsidRPr="005627EE">
        <w:rPr>
          <w:lang w:val="en-GB"/>
        </w:rPr>
        <w:t>premises</w:t>
      </w:r>
      <w:r w:rsidR="00BC3737">
        <w:rPr>
          <w:lang w:val="en-GB"/>
        </w:rPr>
        <w:t>.</w:t>
      </w:r>
      <w:r w:rsidR="006E1B74" w:rsidRPr="005627EE">
        <w:rPr>
          <w:lang w:val="en-GB"/>
        </w:rPr>
        <w:t xml:space="preserve"> </w:t>
      </w:r>
      <w:r w:rsidR="00BC3737">
        <w:rPr>
          <w:lang w:val="en-GB"/>
        </w:rPr>
        <w:t>D</w:t>
      </w:r>
      <w:r w:rsidR="006E1B74" w:rsidRPr="005627EE">
        <w:rPr>
          <w:lang w:val="en-GB"/>
        </w:rPr>
        <w:t xml:space="preserve">uring </w:t>
      </w:r>
      <w:r w:rsidR="00BC3737">
        <w:rPr>
          <w:lang w:val="en-GB"/>
        </w:rPr>
        <w:t xml:space="preserve">that interview, </w:t>
      </w:r>
      <w:r w:rsidR="006E1B74" w:rsidRPr="005627EE">
        <w:rPr>
          <w:lang w:val="en-GB"/>
        </w:rPr>
        <w:t>the author explained, inter alia, that between 15</w:t>
      </w:r>
      <w:r w:rsidR="00DF6627" w:rsidRPr="005627EE">
        <w:rPr>
          <w:lang w:val="en-GB"/>
        </w:rPr>
        <w:t xml:space="preserve"> and </w:t>
      </w:r>
      <w:r w:rsidR="006E1B74" w:rsidRPr="005627EE">
        <w:rPr>
          <w:lang w:val="en-GB"/>
        </w:rPr>
        <w:t xml:space="preserve">28 July 2014 he had received two threatening phone calls from </w:t>
      </w:r>
      <w:r w:rsidRPr="005627EE">
        <w:rPr>
          <w:lang w:val="en-GB"/>
        </w:rPr>
        <w:t xml:space="preserve">anonymous </w:t>
      </w:r>
      <w:r w:rsidR="006E1B74" w:rsidRPr="005627EE">
        <w:rPr>
          <w:lang w:val="en-GB"/>
        </w:rPr>
        <w:t>numbers</w:t>
      </w:r>
      <w:r w:rsidR="00BC3737">
        <w:rPr>
          <w:lang w:val="en-GB"/>
        </w:rPr>
        <w:t>,</w:t>
      </w:r>
      <w:r w:rsidR="006E1B74" w:rsidRPr="005627EE">
        <w:rPr>
          <w:lang w:val="en-GB"/>
        </w:rPr>
        <w:t xml:space="preserve"> during which </w:t>
      </w:r>
      <w:r w:rsidR="005627EE">
        <w:rPr>
          <w:lang w:val="en-GB"/>
        </w:rPr>
        <w:t>a</w:t>
      </w:r>
      <w:r w:rsidR="006E1B74" w:rsidRPr="005627EE">
        <w:rPr>
          <w:lang w:val="en-GB"/>
        </w:rPr>
        <w:t xml:space="preserve"> caller of unknown identity reportedly stated </w:t>
      </w:r>
      <w:r w:rsidR="00CF3ACF">
        <w:rPr>
          <w:lang w:val="en-GB"/>
        </w:rPr>
        <w:t>“</w:t>
      </w:r>
      <w:r w:rsidR="006E1B74" w:rsidRPr="005627EE">
        <w:rPr>
          <w:lang w:val="en-GB"/>
        </w:rPr>
        <w:t>that t</w:t>
      </w:r>
      <w:r w:rsidR="006E1B74">
        <w:rPr>
          <w:lang w:val="en-GB"/>
        </w:rPr>
        <w:t xml:space="preserve">hey knew </w:t>
      </w:r>
      <w:r w:rsidR="000E25EC">
        <w:rPr>
          <w:lang w:val="en-GB"/>
        </w:rPr>
        <w:t>[</w:t>
      </w:r>
      <w:r w:rsidR="006E1B74">
        <w:rPr>
          <w:lang w:val="en-GB"/>
        </w:rPr>
        <w:t>A.H.</w:t>
      </w:r>
      <w:r w:rsidR="000E25EC">
        <w:rPr>
          <w:lang w:val="en-GB"/>
        </w:rPr>
        <w:t>]</w:t>
      </w:r>
      <w:r w:rsidR="006E1B74">
        <w:rPr>
          <w:lang w:val="en-GB"/>
        </w:rPr>
        <w:t xml:space="preserve"> had returned to Afghanistan</w:t>
      </w:r>
      <w:r w:rsidR="00685DA0" w:rsidRPr="004E593F">
        <w:rPr>
          <w:lang w:val="en-GB"/>
        </w:rPr>
        <w:t>”</w:t>
      </w:r>
      <w:r w:rsidR="006E1B74">
        <w:rPr>
          <w:lang w:val="en-GB"/>
        </w:rPr>
        <w:t xml:space="preserve"> and </w:t>
      </w:r>
      <w:r w:rsidR="005627EE">
        <w:rPr>
          <w:lang w:val="en-GB"/>
        </w:rPr>
        <w:t>e</w:t>
      </w:r>
      <w:r w:rsidR="006E1B74">
        <w:rPr>
          <w:lang w:val="en-GB"/>
        </w:rPr>
        <w:t xml:space="preserve">nquired about </w:t>
      </w:r>
      <w:r w:rsidR="00B83477">
        <w:rPr>
          <w:lang w:val="en-GB"/>
        </w:rPr>
        <w:t>his</w:t>
      </w:r>
      <w:r w:rsidR="006E1B74">
        <w:rPr>
          <w:lang w:val="en-GB"/>
        </w:rPr>
        <w:t xml:space="preserve"> exact location. </w:t>
      </w:r>
      <w:r w:rsidR="0034034D">
        <w:rPr>
          <w:lang w:val="en-GB"/>
        </w:rPr>
        <w:t>The author stated that, a</w:t>
      </w:r>
      <w:r w:rsidR="006E1B74">
        <w:rPr>
          <w:lang w:val="en-GB"/>
        </w:rPr>
        <w:t>fter the second phone call</w:t>
      </w:r>
      <w:r w:rsidR="00B83477">
        <w:rPr>
          <w:lang w:val="en-GB"/>
        </w:rPr>
        <w:t>,</w:t>
      </w:r>
      <w:r w:rsidR="006E1B74">
        <w:rPr>
          <w:lang w:val="en-GB"/>
        </w:rPr>
        <w:t xml:space="preserve"> </w:t>
      </w:r>
      <w:r w:rsidR="005627EE">
        <w:rPr>
          <w:lang w:val="en-GB"/>
        </w:rPr>
        <w:t xml:space="preserve">he </w:t>
      </w:r>
      <w:r w:rsidR="000E25EC">
        <w:rPr>
          <w:lang w:val="en-GB"/>
        </w:rPr>
        <w:t xml:space="preserve">had </w:t>
      </w:r>
      <w:r w:rsidR="006E1B74" w:rsidRPr="00F57ADF">
        <w:rPr>
          <w:lang w:val="en-GB"/>
        </w:rPr>
        <w:t xml:space="preserve">changed his phone number. </w:t>
      </w:r>
      <w:r w:rsidR="00BC3737" w:rsidRPr="00F57ADF">
        <w:rPr>
          <w:lang w:val="en-GB"/>
        </w:rPr>
        <w:t>Also d</w:t>
      </w:r>
      <w:r w:rsidR="006E1B74" w:rsidRPr="00F57ADF">
        <w:rPr>
          <w:lang w:val="en-GB"/>
        </w:rPr>
        <w:t>uring the interview, the author desc</w:t>
      </w:r>
      <w:r w:rsidR="006D168C" w:rsidRPr="00F57ADF">
        <w:rPr>
          <w:lang w:val="en-GB"/>
        </w:rPr>
        <w:t xml:space="preserve">ribed his visit </w:t>
      </w:r>
      <w:r w:rsidR="00335D53" w:rsidRPr="00F57ADF">
        <w:rPr>
          <w:lang w:val="en-GB"/>
        </w:rPr>
        <w:t>to</w:t>
      </w:r>
      <w:r w:rsidR="006D168C" w:rsidRPr="00F57ADF">
        <w:rPr>
          <w:lang w:val="en-GB"/>
        </w:rPr>
        <w:t xml:space="preserve"> the UNHCR </w:t>
      </w:r>
      <w:r w:rsidR="00335D53" w:rsidRPr="00F57ADF">
        <w:rPr>
          <w:lang w:val="en-GB"/>
        </w:rPr>
        <w:t xml:space="preserve">office </w:t>
      </w:r>
      <w:r w:rsidR="006D168C" w:rsidRPr="00F57ADF">
        <w:rPr>
          <w:lang w:val="en-GB"/>
        </w:rPr>
        <w:t xml:space="preserve">in order to find out about the conditions </w:t>
      </w:r>
      <w:r w:rsidR="006E1B74" w:rsidRPr="00F57ADF">
        <w:rPr>
          <w:lang w:val="en-GB"/>
        </w:rPr>
        <w:t xml:space="preserve">for seeking refugee status </w:t>
      </w:r>
      <w:r w:rsidR="00797BA1" w:rsidRPr="00F57ADF">
        <w:rPr>
          <w:lang w:val="en-GB"/>
        </w:rPr>
        <w:t>once</w:t>
      </w:r>
      <w:r w:rsidR="00797BA1">
        <w:rPr>
          <w:lang w:val="en-GB"/>
        </w:rPr>
        <w:t xml:space="preserve"> he </w:t>
      </w:r>
      <w:r w:rsidR="005627EE">
        <w:rPr>
          <w:lang w:val="en-GB"/>
        </w:rPr>
        <w:t xml:space="preserve">left </w:t>
      </w:r>
      <w:r w:rsidR="00AB3E4E">
        <w:rPr>
          <w:lang w:val="en-GB"/>
        </w:rPr>
        <w:t xml:space="preserve">Afghanistan. The author also described a </w:t>
      </w:r>
      <w:r w:rsidR="006D168C">
        <w:rPr>
          <w:lang w:val="en-GB"/>
        </w:rPr>
        <w:t xml:space="preserve">physical attack and beating </w:t>
      </w:r>
      <w:r w:rsidR="00AB3E4E">
        <w:rPr>
          <w:lang w:val="en-GB"/>
        </w:rPr>
        <w:t xml:space="preserve">he reportedly sustained on </w:t>
      </w:r>
      <w:r w:rsidR="006D168C">
        <w:rPr>
          <w:lang w:val="en-GB"/>
        </w:rPr>
        <w:t xml:space="preserve">18 August 2014 </w:t>
      </w:r>
      <w:r w:rsidR="00AB3E4E">
        <w:rPr>
          <w:lang w:val="en-GB"/>
        </w:rPr>
        <w:t xml:space="preserve">by </w:t>
      </w:r>
      <w:r w:rsidR="00AB3E4E" w:rsidRPr="00F57ADF">
        <w:rPr>
          <w:lang w:val="en-GB"/>
        </w:rPr>
        <w:t>unknown assailant</w:t>
      </w:r>
      <w:r w:rsidR="005627EE" w:rsidRPr="00F57ADF">
        <w:rPr>
          <w:lang w:val="en-GB"/>
        </w:rPr>
        <w:t>(</w:t>
      </w:r>
      <w:r w:rsidR="00AB3E4E" w:rsidRPr="00F57ADF">
        <w:rPr>
          <w:lang w:val="en-GB"/>
        </w:rPr>
        <w:t>s</w:t>
      </w:r>
      <w:r w:rsidR="005627EE" w:rsidRPr="00F57ADF">
        <w:rPr>
          <w:lang w:val="en-GB"/>
        </w:rPr>
        <w:t>)</w:t>
      </w:r>
      <w:r w:rsidR="00AB3E4E" w:rsidRPr="00F57ADF">
        <w:rPr>
          <w:lang w:val="en-GB"/>
        </w:rPr>
        <w:t xml:space="preserve"> </w:t>
      </w:r>
      <w:r w:rsidR="006D168C" w:rsidRPr="00F57ADF">
        <w:rPr>
          <w:lang w:val="en-GB"/>
        </w:rPr>
        <w:t xml:space="preserve">as a result of which </w:t>
      </w:r>
      <w:r w:rsidR="00AB3E4E" w:rsidRPr="00F57ADF">
        <w:rPr>
          <w:lang w:val="en-GB"/>
        </w:rPr>
        <w:t xml:space="preserve">he apparently </w:t>
      </w:r>
      <w:r w:rsidR="006D168C" w:rsidRPr="00F57ADF">
        <w:rPr>
          <w:lang w:val="en-GB"/>
        </w:rPr>
        <w:t xml:space="preserve">had a scar on his lower right arm, a bruised lip, </w:t>
      </w:r>
      <w:r w:rsidR="00AB3E4E" w:rsidRPr="00F57ADF">
        <w:rPr>
          <w:lang w:val="en-GB"/>
        </w:rPr>
        <w:t>both eyes slightly swollen and bruised</w:t>
      </w:r>
      <w:r w:rsidR="005627EE" w:rsidRPr="00F57ADF">
        <w:rPr>
          <w:lang w:val="en-GB"/>
        </w:rPr>
        <w:t>,</w:t>
      </w:r>
      <w:r w:rsidR="00AB3E4E" w:rsidRPr="00F57ADF">
        <w:rPr>
          <w:lang w:val="en-GB"/>
        </w:rPr>
        <w:t xml:space="preserve"> and bruises on his thigh, ankle and lower leg.</w:t>
      </w:r>
      <w:r w:rsidR="00AB3E4E" w:rsidRPr="00F57ADF">
        <w:rPr>
          <w:rStyle w:val="FootnoteReference"/>
          <w:lang w:val="en-GB"/>
        </w:rPr>
        <w:footnoteReference w:id="8"/>
      </w:r>
      <w:r w:rsidR="00AB3E4E" w:rsidRPr="00F57ADF">
        <w:rPr>
          <w:lang w:val="en-GB"/>
        </w:rPr>
        <w:t xml:space="preserve"> He also referred to his moves between three different places</w:t>
      </w:r>
      <w:r w:rsidR="00870CB7" w:rsidRPr="00F57ADF">
        <w:rPr>
          <w:lang w:val="en-GB"/>
        </w:rPr>
        <w:t xml:space="preserve"> since he had returned to Afghanistan</w:t>
      </w:r>
      <w:r w:rsidR="00AB3E4E" w:rsidRPr="00F57ADF">
        <w:rPr>
          <w:lang w:val="en-GB"/>
        </w:rPr>
        <w:t>,</w:t>
      </w:r>
      <w:r w:rsidR="005627EE" w:rsidRPr="00F57ADF">
        <w:rPr>
          <w:lang w:val="en-GB"/>
        </w:rPr>
        <w:t xml:space="preserve"> spending</w:t>
      </w:r>
      <w:r w:rsidR="00AB3E4E" w:rsidRPr="00F57ADF">
        <w:rPr>
          <w:lang w:val="en-GB"/>
        </w:rPr>
        <w:t xml:space="preserve"> a couple of weeks a</w:t>
      </w:r>
      <w:r w:rsidR="00870CB7" w:rsidRPr="00F57ADF">
        <w:rPr>
          <w:lang w:val="en-GB"/>
        </w:rPr>
        <w:t>t a</w:t>
      </w:r>
      <w:r w:rsidR="00AB3E4E" w:rsidRPr="00F57ADF">
        <w:rPr>
          <w:lang w:val="en-GB"/>
        </w:rPr>
        <w:t xml:space="preserve"> time </w:t>
      </w:r>
      <w:r w:rsidR="00FD125C">
        <w:rPr>
          <w:lang w:val="en-GB"/>
        </w:rPr>
        <w:t>in</w:t>
      </w:r>
      <w:r w:rsidR="00AB3E4E" w:rsidRPr="00F57ADF">
        <w:rPr>
          <w:lang w:val="en-GB"/>
        </w:rPr>
        <w:t xml:space="preserve"> each place</w:t>
      </w:r>
      <w:r>
        <w:rPr>
          <w:lang w:val="en-GB"/>
        </w:rPr>
        <w:t xml:space="preserve">. </w:t>
      </w:r>
      <w:r w:rsidRPr="00F57ADF">
        <w:rPr>
          <w:lang w:val="en-GB"/>
        </w:rPr>
        <w:t xml:space="preserve">During those moves, the author </w:t>
      </w:r>
      <w:r w:rsidR="00870CB7" w:rsidRPr="00F57ADF">
        <w:rPr>
          <w:lang w:val="en-GB"/>
        </w:rPr>
        <w:t xml:space="preserve">had </w:t>
      </w:r>
      <w:r w:rsidR="00AB3E4E" w:rsidRPr="00F57ADF">
        <w:rPr>
          <w:lang w:val="en-GB"/>
        </w:rPr>
        <w:t>stay</w:t>
      </w:r>
      <w:r w:rsidRPr="00F57ADF">
        <w:rPr>
          <w:lang w:val="en-GB"/>
        </w:rPr>
        <w:t xml:space="preserve">ed </w:t>
      </w:r>
      <w:r w:rsidR="00AB3E4E" w:rsidRPr="00F57ADF">
        <w:rPr>
          <w:lang w:val="en-GB"/>
        </w:rPr>
        <w:t xml:space="preserve">with his brother in Kabul, his father-in-law in Takhar province </w:t>
      </w:r>
      <w:r w:rsidR="005627EE" w:rsidRPr="00F57ADF">
        <w:rPr>
          <w:lang w:val="en-GB"/>
        </w:rPr>
        <w:t>(</w:t>
      </w:r>
      <w:r w:rsidR="00AB3E4E" w:rsidRPr="00F57ADF">
        <w:rPr>
          <w:lang w:val="en-GB"/>
        </w:rPr>
        <w:t xml:space="preserve">where his wife and children </w:t>
      </w:r>
      <w:r w:rsidR="005627EE" w:rsidRPr="00F57ADF">
        <w:rPr>
          <w:lang w:val="en-GB"/>
        </w:rPr>
        <w:t>were</w:t>
      </w:r>
      <w:r w:rsidR="00AB3E4E" w:rsidRPr="00F57ADF">
        <w:rPr>
          <w:lang w:val="en-GB"/>
        </w:rPr>
        <w:t xml:space="preserve"> also staying</w:t>
      </w:r>
      <w:r w:rsidR="005627EE" w:rsidRPr="00F57ADF">
        <w:rPr>
          <w:lang w:val="en-GB"/>
        </w:rPr>
        <w:t>)</w:t>
      </w:r>
      <w:r w:rsidR="00AB3E4E" w:rsidRPr="00F57ADF">
        <w:rPr>
          <w:lang w:val="en-GB"/>
        </w:rPr>
        <w:t xml:space="preserve"> and his sister in Jalalabad. </w:t>
      </w:r>
      <w:r w:rsidR="00F119EC" w:rsidRPr="00F57ADF">
        <w:rPr>
          <w:lang w:val="en-GB"/>
        </w:rPr>
        <w:t>During the interview, the author claimed to have suffered from emotional distress caused by</w:t>
      </w:r>
      <w:r w:rsidR="00F119EC">
        <w:rPr>
          <w:lang w:val="en-GB"/>
        </w:rPr>
        <w:t xml:space="preserve"> being away from his family and not staying in a fixed location, as well as </w:t>
      </w:r>
      <w:r w:rsidR="009816C7">
        <w:rPr>
          <w:lang w:val="en-GB"/>
        </w:rPr>
        <w:t xml:space="preserve">by </w:t>
      </w:r>
      <w:r w:rsidR="00F119EC">
        <w:rPr>
          <w:lang w:val="en-GB"/>
        </w:rPr>
        <w:t xml:space="preserve">the insecurity he </w:t>
      </w:r>
      <w:r w:rsidR="005627EE">
        <w:rPr>
          <w:lang w:val="en-GB"/>
        </w:rPr>
        <w:t xml:space="preserve">felt as a result of </w:t>
      </w:r>
      <w:r w:rsidR="00F119EC">
        <w:rPr>
          <w:lang w:val="en-GB"/>
        </w:rPr>
        <w:t>the attack.</w:t>
      </w:r>
      <w:r w:rsidR="003126A1">
        <w:rPr>
          <w:lang w:val="en-GB"/>
        </w:rPr>
        <w:t xml:space="preserve"> </w:t>
      </w:r>
    </w:p>
    <w:p w14:paraId="56AC66DE" w14:textId="77777777" w:rsidR="005A610E" w:rsidRDefault="000B5EFF" w:rsidP="00362134">
      <w:pPr>
        <w:pStyle w:val="SingleTxtG"/>
        <w:rPr>
          <w:lang w:val="en-GB"/>
        </w:rPr>
      </w:pPr>
      <w:r>
        <w:rPr>
          <w:lang w:val="en-GB"/>
        </w:rPr>
        <w:t>4.</w:t>
      </w:r>
      <w:r w:rsidR="002C4E77">
        <w:rPr>
          <w:lang w:val="en-GB"/>
        </w:rPr>
        <w:t>7</w:t>
      </w:r>
      <w:r>
        <w:rPr>
          <w:lang w:val="en-GB"/>
        </w:rPr>
        <w:tab/>
        <w:t xml:space="preserve">During August and September 2014, </w:t>
      </w:r>
      <w:r w:rsidR="002C4E77">
        <w:rPr>
          <w:lang w:val="en-GB"/>
        </w:rPr>
        <w:t>according to the State party</w:t>
      </w:r>
      <w:r w:rsidR="00DF6627">
        <w:rPr>
          <w:lang w:val="en-GB"/>
        </w:rPr>
        <w:t>,</w:t>
      </w:r>
      <w:r w:rsidR="002C4E77">
        <w:rPr>
          <w:lang w:val="en-GB"/>
        </w:rPr>
        <w:t xml:space="preserve"> </w:t>
      </w:r>
      <w:r>
        <w:rPr>
          <w:lang w:val="en-GB"/>
        </w:rPr>
        <w:t>the author and his counsel sent a number of e</w:t>
      </w:r>
      <w:r w:rsidR="005627EE">
        <w:rPr>
          <w:lang w:val="en-GB"/>
        </w:rPr>
        <w:t>-</w:t>
      </w:r>
      <w:r>
        <w:rPr>
          <w:lang w:val="en-GB"/>
        </w:rPr>
        <w:t xml:space="preserve">mails about the case to the Danish </w:t>
      </w:r>
      <w:r w:rsidR="00BC3737">
        <w:rPr>
          <w:lang w:val="en-GB"/>
        </w:rPr>
        <w:t>e</w:t>
      </w:r>
      <w:r>
        <w:rPr>
          <w:lang w:val="en-GB"/>
        </w:rPr>
        <w:t>mbassy in Kabul</w:t>
      </w:r>
      <w:r w:rsidR="00AE19B0">
        <w:rPr>
          <w:lang w:val="en-GB"/>
        </w:rPr>
        <w:t>. I</w:t>
      </w:r>
      <w:r w:rsidR="005A610E">
        <w:rPr>
          <w:lang w:val="en-GB"/>
        </w:rPr>
        <w:t xml:space="preserve">n the most recent </w:t>
      </w:r>
      <w:r w:rsidR="00AE19B0">
        <w:rPr>
          <w:lang w:val="en-GB"/>
        </w:rPr>
        <w:t>e-mail</w:t>
      </w:r>
      <w:r w:rsidR="005A610E">
        <w:rPr>
          <w:lang w:val="en-GB"/>
        </w:rPr>
        <w:t>,</w:t>
      </w:r>
      <w:r w:rsidR="005A610E" w:rsidRPr="00AE19B0">
        <w:rPr>
          <w:lang w:val="en-GB"/>
        </w:rPr>
        <w:t xml:space="preserve"> dated 9 September 2014, the author indicated, inter alia, that he had </w:t>
      </w:r>
      <w:r w:rsidR="005A610E">
        <w:rPr>
          <w:lang w:val="en-GB"/>
        </w:rPr>
        <w:t xml:space="preserve">received several threatening phone calls the preceding Sunday from persons saying that they knew his address. The author had then donned women’s clothes and left his place of residence to </w:t>
      </w:r>
      <w:r w:rsidR="000E25EC">
        <w:rPr>
          <w:lang w:val="en-GB"/>
        </w:rPr>
        <w:t xml:space="preserve">spend </w:t>
      </w:r>
      <w:r w:rsidR="005A610E">
        <w:rPr>
          <w:lang w:val="en-GB"/>
        </w:rPr>
        <w:t>the night in a mosque. The State party also indicates that the author alleged he had been unable to work since his return to Afghanistan in March 2014 because he was afraid</w:t>
      </w:r>
      <w:r w:rsidR="000E25EC">
        <w:rPr>
          <w:lang w:val="en-GB"/>
        </w:rPr>
        <w:t>,</w:t>
      </w:r>
      <w:r w:rsidR="005A610E">
        <w:rPr>
          <w:lang w:val="en-GB"/>
        </w:rPr>
        <w:t xml:space="preserve"> and that it was </w:t>
      </w:r>
      <w:r w:rsidR="00F35CBA">
        <w:rPr>
          <w:lang w:val="en-GB"/>
        </w:rPr>
        <w:t>difficult to live</w:t>
      </w:r>
      <w:r w:rsidR="00AE19B0">
        <w:rPr>
          <w:lang w:val="en-GB"/>
        </w:rPr>
        <w:t xml:space="preserve"> </w:t>
      </w:r>
      <w:r w:rsidR="005A610E">
        <w:rPr>
          <w:lang w:val="en-GB"/>
        </w:rPr>
        <w:t xml:space="preserve">without money. The author also reportedly </w:t>
      </w:r>
      <w:r w:rsidR="000E25EC">
        <w:rPr>
          <w:lang w:val="en-GB"/>
        </w:rPr>
        <w:t xml:space="preserve">provided </w:t>
      </w:r>
      <w:r w:rsidR="005A610E">
        <w:rPr>
          <w:lang w:val="en-GB"/>
        </w:rPr>
        <w:t>his new telephone number</w:t>
      </w:r>
      <w:r w:rsidR="005768BB">
        <w:rPr>
          <w:lang w:val="en-GB"/>
        </w:rPr>
        <w:t>,</w:t>
      </w:r>
      <w:r w:rsidR="005A610E">
        <w:rPr>
          <w:lang w:val="en-GB"/>
        </w:rPr>
        <w:t xml:space="preserve"> which he had changed to prevent </w:t>
      </w:r>
      <w:r w:rsidR="00CF3ACF">
        <w:rPr>
          <w:lang w:val="en-GB"/>
        </w:rPr>
        <w:t>“</w:t>
      </w:r>
      <w:r w:rsidR="005A610E">
        <w:rPr>
          <w:lang w:val="en-GB"/>
        </w:rPr>
        <w:t>them</w:t>
      </w:r>
      <w:r w:rsidR="00685DA0" w:rsidRPr="004E593F">
        <w:rPr>
          <w:lang w:val="en-GB"/>
        </w:rPr>
        <w:t>”</w:t>
      </w:r>
      <w:r w:rsidR="005A610E">
        <w:rPr>
          <w:lang w:val="en-GB"/>
        </w:rPr>
        <w:t xml:space="preserve"> from finding him. According to the State party, the author finally stated that, if he did not hear from the Danish authorities, </w:t>
      </w:r>
      <w:r w:rsidR="00AE19B0">
        <w:rPr>
          <w:lang w:val="en-GB"/>
        </w:rPr>
        <w:t xml:space="preserve">he </w:t>
      </w:r>
      <w:r w:rsidR="005A610E">
        <w:rPr>
          <w:lang w:val="en-GB"/>
        </w:rPr>
        <w:t xml:space="preserve">would leave Afghanistan and go somewhere else. </w:t>
      </w:r>
    </w:p>
    <w:p w14:paraId="2EF3406B" w14:textId="77777777" w:rsidR="000B5EFF" w:rsidRDefault="005A610E">
      <w:pPr>
        <w:pStyle w:val="SingleTxtG"/>
        <w:rPr>
          <w:lang w:val="en-GB"/>
        </w:rPr>
      </w:pPr>
      <w:r>
        <w:rPr>
          <w:lang w:val="en-GB"/>
        </w:rPr>
        <w:t>4.</w:t>
      </w:r>
      <w:r w:rsidR="002C4E77">
        <w:rPr>
          <w:lang w:val="en-GB"/>
        </w:rPr>
        <w:t>8</w:t>
      </w:r>
      <w:r>
        <w:rPr>
          <w:lang w:val="en-GB"/>
        </w:rPr>
        <w:tab/>
        <w:t>Between 20 and 22 September 2014, the a</w:t>
      </w:r>
      <w:r w:rsidR="008E611D">
        <w:rPr>
          <w:lang w:val="en-GB"/>
        </w:rPr>
        <w:t>uthor exchanged several text me</w:t>
      </w:r>
      <w:r>
        <w:rPr>
          <w:lang w:val="en-GB"/>
        </w:rPr>
        <w:t>ssages with the diplomatic staf</w:t>
      </w:r>
      <w:r w:rsidRPr="00AE19B0">
        <w:rPr>
          <w:lang w:val="en-GB"/>
        </w:rPr>
        <w:t xml:space="preserve">f of the Danish </w:t>
      </w:r>
      <w:r w:rsidR="00BC3737">
        <w:rPr>
          <w:lang w:val="en-GB"/>
        </w:rPr>
        <w:t>e</w:t>
      </w:r>
      <w:r w:rsidRPr="00AE19B0">
        <w:rPr>
          <w:lang w:val="en-GB"/>
        </w:rPr>
        <w:t>mbassy in Kabul</w:t>
      </w:r>
      <w:r w:rsidRPr="00F57ADF">
        <w:rPr>
          <w:lang w:val="en-GB"/>
        </w:rPr>
        <w:t xml:space="preserve">, in which the author asked, inter alia, if there </w:t>
      </w:r>
      <w:r w:rsidR="00AE19B0" w:rsidRPr="00F57ADF">
        <w:rPr>
          <w:lang w:val="en-GB"/>
        </w:rPr>
        <w:t xml:space="preserve">had been </w:t>
      </w:r>
      <w:r w:rsidRPr="00F57ADF">
        <w:rPr>
          <w:lang w:val="en-GB"/>
        </w:rPr>
        <w:t>any news in the case</w:t>
      </w:r>
      <w:r w:rsidR="000E25EC" w:rsidRPr="00F57ADF">
        <w:rPr>
          <w:lang w:val="en-GB"/>
        </w:rPr>
        <w:t>.</w:t>
      </w:r>
      <w:r w:rsidRPr="00F57ADF">
        <w:rPr>
          <w:lang w:val="en-GB"/>
        </w:rPr>
        <w:t xml:space="preserve"> </w:t>
      </w:r>
      <w:r w:rsidR="000E25EC" w:rsidRPr="00F57ADF">
        <w:rPr>
          <w:lang w:val="en-GB"/>
        </w:rPr>
        <w:t>I</w:t>
      </w:r>
      <w:r w:rsidRPr="00F57ADF">
        <w:rPr>
          <w:lang w:val="en-GB"/>
        </w:rPr>
        <w:t>n response</w:t>
      </w:r>
      <w:r w:rsidR="000E25EC" w:rsidRPr="00F57ADF">
        <w:rPr>
          <w:lang w:val="en-GB"/>
        </w:rPr>
        <w:t>,</w:t>
      </w:r>
      <w:r w:rsidRPr="00F57ADF">
        <w:rPr>
          <w:lang w:val="en-GB"/>
        </w:rPr>
        <w:t xml:space="preserve"> he learned</w:t>
      </w:r>
      <w:r w:rsidR="002C4E77" w:rsidRPr="00F57ADF">
        <w:rPr>
          <w:lang w:val="en-GB"/>
        </w:rPr>
        <w:t xml:space="preserve"> </w:t>
      </w:r>
      <w:r w:rsidRPr="00F57ADF">
        <w:rPr>
          <w:lang w:val="en-GB"/>
        </w:rPr>
        <w:t>that the relevant authorities had recei</w:t>
      </w:r>
      <w:r w:rsidR="008E611D" w:rsidRPr="00F57ADF">
        <w:rPr>
          <w:lang w:val="en-GB"/>
        </w:rPr>
        <w:t xml:space="preserve">ved all information in the case and </w:t>
      </w:r>
      <w:r w:rsidR="00AE19B0" w:rsidRPr="00F57ADF">
        <w:rPr>
          <w:lang w:val="en-GB"/>
        </w:rPr>
        <w:t xml:space="preserve">had </w:t>
      </w:r>
      <w:r w:rsidR="008E611D" w:rsidRPr="00F57ADF">
        <w:rPr>
          <w:lang w:val="en-GB"/>
        </w:rPr>
        <w:t xml:space="preserve">requested the author to keep in contact with his counsel for </w:t>
      </w:r>
      <w:r w:rsidR="00BC3737" w:rsidRPr="007C0089">
        <w:rPr>
          <w:lang w:val="en-GB"/>
        </w:rPr>
        <w:t xml:space="preserve">any additional </w:t>
      </w:r>
      <w:r w:rsidR="008E611D" w:rsidRPr="00F57ADF">
        <w:rPr>
          <w:lang w:val="en-GB"/>
        </w:rPr>
        <w:t>news.</w:t>
      </w:r>
    </w:p>
    <w:p w14:paraId="44FB26AE" w14:textId="77777777" w:rsidR="00F749F8" w:rsidRDefault="005918DF" w:rsidP="00F57ADF">
      <w:pPr>
        <w:pStyle w:val="SingleTxtG"/>
        <w:rPr>
          <w:lang w:val="en-GB"/>
        </w:rPr>
      </w:pPr>
      <w:r>
        <w:rPr>
          <w:lang w:val="en-GB"/>
        </w:rPr>
        <w:t>4.</w:t>
      </w:r>
      <w:r w:rsidR="002C4E77">
        <w:rPr>
          <w:lang w:val="en-GB"/>
        </w:rPr>
        <w:t>9</w:t>
      </w:r>
      <w:r>
        <w:rPr>
          <w:lang w:val="en-GB"/>
        </w:rPr>
        <w:tab/>
        <w:t xml:space="preserve">As regards the Committee’s request for protection of the author and information on his situation, the State party admits that the Danish </w:t>
      </w:r>
      <w:r w:rsidR="00EF0322">
        <w:rPr>
          <w:lang w:val="en-GB"/>
        </w:rPr>
        <w:t>authorities are unable to provide protection of the author on Afghan territory</w:t>
      </w:r>
      <w:r w:rsidR="00AE19B0">
        <w:rPr>
          <w:lang w:val="en-GB"/>
        </w:rPr>
        <w:t>,</w:t>
      </w:r>
      <w:r w:rsidR="002C4E77">
        <w:rPr>
          <w:lang w:val="en-GB"/>
        </w:rPr>
        <w:t xml:space="preserve"> </w:t>
      </w:r>
      <w:r w:rsidR="00EF0322">
        <w:rPr>
          <w:lang w:val="en-GB"/>
        </w:rPr>
        <w:t>where Denmark does not have jurisdiction. The State party maintains</w:t>
      </w:r>
      <w:r w:rsidR="00AE19B0">
        <w:rPr>
          <w:lang w:val="en-GB"/>
        </w:rPr>
        <w:t>, however,</w:t>
      </w:r>
      <w:r w:rsidR="00EF0322">
        <w:rPr>
          <w:lang w:val="en-GB"/>
        </w:rPr>
        <w:t xml:space="preserve"> that it </w:t>
      </w:r>
      <w:r w:rsidR="00DD471F" w:rsidRPr="00F57ADF">
        <w:rPr>
          <w:lang w:val="en-GB"/>
        </w:rPr>
        <w:t>has complied</w:t>
      </w:r>
      <w:r w:rsidR="00DD471F">
        <w:rPr>
          <w:lang w:val="en-GB"/>
        </w:rPr>
        <w:t xml:space="preserve"> </w:t>
      </w:r>
      <w:r w:rsidR="00EF0322">
        <w:rPr>
          <w:lang w:val="en-GB"/>
        </w:rPr>
        <w:t xml:space="preserve">with the Committee’s request to instruct the Danish </w:t>
      </w:r>
      <w:r w:rsidR="00BC3737">
        <w:rPr>
          <w:lang w:val="en-GB"/>
        </w:rPr>
        <w:t>e</w:t>
      </w:r>
      <w:r w:rsidR="00EF0322">
        <w:rPr>
          <w:lang w:val="en-GB"/>
        </w:rPr>
        <w:t>mbassy in Kabul to contact the author and provide information on his situation, as described above.</w:t>
      </w:r>
      <w:r w:rsidR="00E07F44">
        <w:rPr>
          <w:lang w:val="en-GB"/>
        </w:rPr>
        <w:t xml:space="preserve"> </w:t>
      </w:r>
    </w:p>
    <w:p w14:paraId="7207CAEF" w14:textId="77777777" w:rsidR="002E4963" w:rsidRDefault="002E4963">
      <w:pPr>
        <w:pStyle w:val="SingleTxtG"/>
        <w:rPr>
          <w:lang w:val="en-GB"/>
        </w:rPr>
      </w:pPr>
      <w:r>
        <w:rPr>
          <w:lang w:val="en-GB"/>
        </w:rPr>
        <w:t>4.</w:t>
      </w:r>
      <w:r w:rsidR="002C4E77">
        <w:rPr>
          <w:lang w:val="en-GB"/>
        </w:rPr>
        <w:t>10</w:t>
      </w:r>
      <w:r>
        <w:rPr>
          <w:lang w:val="en-GB"/>
        </w:rPr>
        <w:tab/>
      </w:r>
      <w:r w:rsidR="00E0216D" w:rsidRPr="00E0216D">
        <w:rPr>
          <w:lang w:val="en-GB"/>
        </w:rPr>
        <w:t xml:space="preserve">Regarding </w:t>
      </w:r>
      <w:r w:rsidR="00DF6627">
        <w:rPr>
          <w:lang w:val="en-GB"/>
        </w:rPr>
        <w:t>the</w:t>
      </w:r>
      <w:r w:rsidR="00E0216D" w:rsidRPr="00E0216D">
        <w:rPr>
          <w:lang w:val="en-GB"/>
        </w:rPr>
        <w:t xml:space="preserve"> claims </w:t>
      </w:r>
      <w:r w:rsidR="00E0216D" w:rsidRPr="00685DA0">
        <w:rPr>
          <w:lang w:val="en-GB"/>
        </w:rPr>
        <w:t xml:space="preserve">under articles </w:t>
      </w:r>
      <w:r w:rsidRPr="00685DA0">
        <w:rPr>
          <w:lang w:val="en-GB"/>
        </w:rPr>
        <w:t>6</w:t>
      </w:r>
      <w:r w:rsidR="00E0216D" w:rsidRPr="00685DA0">
        <w:rPr>
          <w:lang w:val="en-GB"/>
        </w:rPr>
        <w:t xml:space="preserve"> and </w:t>
      </w:r>
      <w:r w:rsidRPr="00685DA0">
        <w:rPr>
          <w:lang w:val="en-GB"/>
        </w:rPr>
        <w:t>7 of the Covenant</w:t>
      </w:r>
      <w:r w:rsidR="00E0216D" w:rsidRPr="00685DA0">
        <w:rPr>
          <w:lang w:val="en-GB"/>
        </w:rPr>
        <w:t xml:space="preserve">, the State party </w:t>
      </w:r>
      <w:r w:rsidR="006548EF">
        <w:rPr>
          <w:lang w:val="en-GB"/>
        </w:rPr>
        <w:t>argues</w:t>
      </w:r>
      <w:r w:rsidR="006548EF" w:rsidRPr="00685DA0">
        <w:rPr>
          <w:lang w:val="en-GB"/>
        </w:rPr>
        <w:t xml:space="preserve"> </w:t>
      </w:r>
      <w:r w:rsidR="00E0216D" w:rsidRPr="00685DA0">
        <w:rPr>
          <w:lang w:val="en-GB"/>
        </w:rPr>
        <w:t xml:space="preserve">that the author </w:t>
      </w:r>
      <w:r w:rsidR="00CF3ACF" w:rsidRPr="00685DA0">
        <w:rPr>
          <w:lang w:val="en-GB"/>
        </w:rPr>
        <w:t>“</w:t>
      </w:r>
      <w:r w:rsidR="00E0216D" w:rsidRPr="00685DA0">
        <w:rPr>
          <w:lang w:val="en-GB"/>
        </w:rPr>
        <w:t xml:space="preserve">has </w:t>
      </w:r>
      <w:r w:rsidRPr="00685DA0">
        <w:rPr>
          <w:lang w:val="en-GB"/>
        </w:rPr>
        <w:t>failed to establish a prima facie case for the purpose of admissibility of his communication</w:t>
      </w:r>
      <w:r w:rsidR="00685DA0" w:rsidRPr="00685DA0">
        <w:rPr>
          <w:lang w:val="en-GB"/>
        </w:rPr>
        <w:t>”</w:t>
      </w:r>
      <w:r w:rsidR="000E25EC">
        <w:rPr>
          <w:lang w:val="en-GB"/>
        </w:rPr>
        <w:t>,</w:t>
      </w:r>
      <w:r w:rsidRPr="00685DA0">
        <w:rPr>
          <w:lang w:val="en-GB"/>
        </w:rPr>
        <w:t xml:space="preserve"> as required under </w:t>
      </w:r>
      <w:r w:rsidR="00AE19B0" w:rsidRPr="00685DA0">
        <w:rPr>
          <w:lang w:val="en-GB"/>
        </w:rPr>
        <w:t>r</w:t>
      </w:r>
      <w:r w:rsidRPr="00685DA0">
        <w:rPr>
          <w:lang w:val="en-GB"/>
        </w:rPr>
        <w:t xml:space="preserve">ule 96 of the Committee’s </w:t>
      </w:r>
      <w:r w:rsidR="00AE19B0" w:rsidRPr="00685DA0">
        <w:rPr>
          <w:lang w:val="en-GB"/>
        </w:rPr>
        <w:t>r</w:t>
      </w:r>
      <w:r w:rsidRPr="00685DA0">
        <w:rPr>
          <w:lang w:val="en-GB"/>
        </w:rPr>
        <w:t xml:space="preserve">ules of </w:t>
      </w:r>
      <w:r w:rsidR="00AE19B0" w:rsidRPr="00685DA0">
        <w:rPr>
          <w:lang w:val="en-GB"/>
        </w:rPr>
        <w:t>p</w:t>
      </w:r>
      <w:r w:rsidRPr="00685DA0">
        <w:rPr>
          <w:lang w:val="en-GB"/>
        </w:rPr>
        <w:t xml:space="preserve">rocedure. Thus, it has not been established that there are substantial grounds for believing that the author is in danger of being arbitrarily deprived of his life or subjected to torture or cruel, inhuman or degrading </w:t>
      </w:r>
      <w:r w:rsidRPr="00F57ADF">
        <w:rPr>
          <w:lang w:val="en-GB"/>
        </w:rPr>
        <w:t xml:space="preserve">treatment or punishment. The State party considers this part of the communication </w:t>
      </w:r>
      <w:r w:rsidR="00615494">
        <w:rPr>
          <w:lang w:val="en-GB"/>
        </w:rPr>
        <w:t xml:space="preserve">to be </w:t>
      </w:r>
      <w:r w:rsidRPr="00F57ADF">
        <w:rPr>
          <w:lang w:val="en-GB"/>
        </w:rPr>
        <w:t>manifestly ill</w:t>
      </w:r>
      <w:r w:rsidR="00201DA0" w:rsidRPr="00F57ADF">
        <w:rPr>
          <w:lang w:val="en-GB"/>
        </w:rPr>
        <w:t xml:space="preserve"> </w:t>
      </w:r>
      <w:r w:rsidRPr="00F57ADF">
        <w:rPr>
          <w:lang w:val="en-GB"/>
        </w:rPr>
        <w:t>founded and requests</w:t>
      </w:r>
      <w:r>
        <w:rPr>
          <w:lang w:val="en-GB"/>
        </w:rPr>
        <w:t xml:space="preserve"> that it be declared inadmissible. </w:t>
      </w:r>
    </w:p>
    <w:p w14:paraId="300117FB" w14:textId="77777777" w:rsidR="0016419F" w:rsidRPr="00AE19B0" w:rsidRDefault="002E4963" w:rsidP="005313FB">
      <w:pPr>
        <w:pStyle w:val="SingleTxtG"/>
        <w:rPr>
          <w:lang w:val="en-GB"/>
        </w:rPr>
      </w:pPr>
      <w:r>
        <w:rPr>
          <w:lang w:val="en-GB"/>
        </w:rPr>
        <w:t>4.1</w:t>
      </w:r>
      <w:r w:rsidR="002C4E77">
        <w:rPr>
          <w:lang w:val="en-GB"/>
        </w:rPr>
        <w:t>1</w:t>
      </w:r>
      <w:r>
        <w:rPr>
          <w:lang w:val="en-GB"/>
        </w:rPr>
        <w:tab/>
        <w:t>As r</w:t>
      </w:r>
      <w:r w:rsidR="00E0216D" w:rsidRPr="00E0216D">
        <w:rPr>
          <w:lang w:val="en-GB"/>
        </w:rPr>
        <w:t>egard</w:t>
      </w:r>
      <w:r>
        <w:rPr>
          <w:lang w:val="en-GB"/>
        </w:rPr>
        <w:t xml:space="preserve">s </w:t>
      </w:r>
      <w:r w:rsidR="00E0216D" w:rsidRPr="00E0216D">
        <w:rPr>
          <w:lang w:val="en-GB"/>
        </w:rPr>
        <w:t>his claims under article</w:t>
      </w:r>
      <w:r>
        <w:rPr>
          <w:lang w:val="en-GB"/>
        </w:rPr>
        <w:t xml:space="preserve"> 14 of the Covenant </w:t>
      </w:r>
      <w:r w:rsidR="00CF3ACF">
        <w:rPr>
          <w:lang w:val="en-GB"/>
        </w:rPr>
        <w:t>“</w:t>
      </w:r>
      <w:r>
        <w:rPr>
          <w:lang w:val="en-GB"/>
        </w:rPr>
        <w:t>or equi</w:t>
      </w:r>
      <w:r w:rsidR="003803FA">
        <w:rPr>
          <w:lang w:val="en-GB"/>
        </w:rPr>
        <w:t>valent</w:t>
      </w:r>
      <w:r w:rsidR="00685DA0" w:rsidRPr="004E593F">
        <w:rPr>
          <w:lang w:val="en-GB"/>
        </w:rPr>
        <w:t>”</w:t>
      </w:r>
      <w:r w:rsidR="003803FA">
        <w:rPr>
          <w:lang w:val="en-GB"/>
        </w:rPr>
        <w:t xml:space="preserve">, and in particular the author’s objections to the short period of time between the refusal of the </w:t>
      </w:r>
      <w:r w:rsidR="00E81BED" w:rsidRPr="00FF0A1B">
        <w:rPr>
          <w:lang w:val="en-GB"/>
        </w:rPr>
        <w:t xml:space="preserve">Danish Refugee Appeals </w:t>
      </w:r>
      <w:r w:rsidR="003803FA">
        <w:rPr>
          <w:lang w:val="en-GB"/>
        </w:rPr>
        <w:t xml:space="preserve">Board to reopen the author’s asylum proceedings and the return of the author to Afghanistan, the State party is of the view that </w:t>
      </w:r>
      <w:r w:rsidR="002C4E77">
        <w:rPr>
          <w:lang w:val="en-GB"/>
        </w:rPr>
        <w:t>a</w:t>
      </w:r>
      <w:r w:rsidR="003803FA">
        <w:rPr>
          <w:lang w:val="en-GB"/>
        </w:rPr>
        <w:t xml:space="preserve">rticle 14 </w:t>
      </w:r>
      <w:r w:rsidR="00DF6627">
        <w:rPr>
          <w:lang w:val="en-GB"/>
        </w:rPr>
        <w:t xml:space="preserve">of the Covenant </w:t>
      </w:r>
      <w:r w:rsidR="003803FA">
        <w:rPr>
          <w:lang w:val="en-GB"/>
        </w:rPr>
        <w:t xml:space="preserve">lays down the principle of due process of law, including the right of access to the courts in the determination of a person’s rights and obligations in a suit </w:t>
      </w:r>
      <w:r w:rsidR="002C4E77">
        <w:rPr>
          <w:lang w:val="en-GB"/>
        </w:rPr>
        <w:t xml:space="preserve">of </w:t>
      </w:r>
      <w:r w:rsidR="003803FA">
        <w:rPr>
          <w:lang w:val="en-GB"/>
        </w:rPr>
        <w:t xml:space="preserve">law. The State party makes reference to the case law of the Committee that proceedings relating to the expulsion of an </w:t>
      </w:r>
      <w:r w:rsidR="003803FA" w:rsidRPr="00362134">
        <w:rPr>
          <w:lang w:val="en-GB"/>
        </w:rPr>
        <w:t xml:space="preserve">alien do not fall within the ambit of a determination of </w:t>
      </w:r>
      <w:r w:rsidR="00CF3ACF" w:rsidRPr="00362134">
        <w:rPr>
          <w:lang w:val="en-GB"/>
        </w:rPr>
        <w:t>“</w:t>
      </w:r>
      <w:r w:rsidR="003803FA" w:rsidRPr="00362134">
        <w:rPr>
          <w:lang w:val="en-GB"/>
        </w:rPr>
        <w:t xml:space="preserve">rights and obligations in a suit </w:t>
      </w:r>
      <w:r w:rsidR="00BC3737" w:rsidRPr="00362134">
        <w:rPr>
          <w:lang w:val="en-GB"/>
        </w:rPr>
        <w:t xml:space="preserve">at </w:t>
      </w:r>
      <w:r w:rsidR="003803FA" w:rsidRPr="00362134">
        <w:rPr>
          <w:lang w:val="en-GB"/>
        </w:rPr>
        <w:t>law</w:t>
      </w:r>
      <w:r w:rsidR="00685DA0" w:rsidRPr="00362134">
        <w:rPr>
          <w:lang w:val="en-GB"/>
        </w:rPr>
        <w:t>”</w:t>
      </w:r>
      <w:r w:rsidR="003803FA" w:rsidRPr="00362134">
        <w:rPr>
          <w:lang w:val="en-GB"/>
        </w:rPr>
        <w:t xml:space="preserve"> within the meaning of </w:t>
      </w:r>
      <w:r w:rsidR="002C4E77" w:rsidRPr="00362134">
        <w:rPr>
          <w:lang w:val="en-GB"/>
        </w:rPr>
        <w:t>a</w:t>
      </w:r>
      <w:r w:rsidR="003803FA" w:rsidRPr="00362134">
        <w:rPr>
          <w:lang w:val="en-GB"/>
        </w:rPr>
        <w:t xml:space="preserve">rticle 14 </w:t>
      </w:r>
      <w:r w:rsidR="005313FB">
        <w:rPr>
          <w:lang w:val="en-GB"/>
        </w:rPr>
        <w:t>(</w:t>
      </w:r>
      <w:r w:rsidR="003803FA" w:rsidRPr="00362134">
        <w:rPr>
          <w:lang w:val="en-GB"/>
        </w:rPr>
        <w:t>1</w:t>
      </w:r>
      <w:r w:rsidR="005313FB">
        <w:rPr>
          <w:lang w:val="en-GB"/>
        </w:rPr>
        <w:t>)</w:t>
      </w:r>
      <w:r w:rsidR="003803FA" w:rsidRPr="00362134">
        <w:rPr>
          <w:lang w:val="en-GB"/>
        </w:rPr>
        <w:t xml:space="preserve">, but </w:t>
      </w:r>
      <w:r w:rsidR="00C305E6">
        <w:rPr>
          <w:lang w:val="en-GB"/>
        </w:rPr>
        <w:t xml:space="preserve">rather </w:t>
      </w:r>
      <w:r w:rsidR="003803FA" w:rsidRPr="00362134">
        <w:rPr>
          <w:lang w:val="en-GB"/>
        </w:rPr>
        <w:t xml:space="preserve">are governed by </w:t>
      </w:r>
      <w:r w:rsidR="002C4E77" w:rsidRPr="00362134">
        <w:rPr>
          <w:lang w:val="en-GB"/>
        </w:rPr>
        <w:t>a</w:t>
      </w:r>
      <w:r w:rsidR="003803FA" w:rsidRPr="00362134">
        <w:rPr>
          <w:lang w:val="en-GB"/>
        </w:rPr>
        <w:t>rticle 13 of the Covenant.</w:t>
      </w:r>
      <w:r w:rsidR="003803FA" w:rsidRPr="00362134">
        <w:rPr>
          <w:rStyle w:val="FootnoteReference"/>
          <w:lang w:val="en-GB"/>
        </w:rPr>
        <w:footnoteReference w:id="9"/>
      </w:r>
      <w:r w:rsidR="003803FA" w:rsidRPr="00362134">
        <w:rPr>
          <w:lang w:val="en-GB"/>
        </w:rPr>
        <w:t xml:space="preserve"> </w:t>
      </w:r>
      <w:r w:rsidR="0016419F" w:rsidRPr="00362134">
        <w:rPr>
          <w:lang w:val="en-GB"/>
        </w:rPr>
        <w:t xml:space="preserve">Accordingly, the </w:t>
      </w:r>
      <w:r w:rsidR="00873234" w:rsidRPr="00362134">
        <w:rPr>
          <w:lang w:val="en-GB"/>
        </w:rPr>
        <w:t>State party</w:t>
      </w:r>
      <w:r w:rsidR="0016419F" w:rsidRPr="00362134">
        <w:rPr>
          <w:lang w:val="en-GB"/>
        </w:rPr>
        <w:t xml:space="preserve"> </w:t>
      </w:r>
      <w:r w:rsidR="006548EF">
        <w:rPr>
          <w:lang w:val="en-GB"/>
        </w:rPr>
        <w:t>maintains</w:t>
      </w:r>
      <w:r w:rsidR="006548EF" w:rsidRPr="00362134">
        <w:rPr>
          <w:lang w:val="en-GB"/>
        </w:rPr>
        <w:t xml:space="preserve"> </w:t>
      </w:r>
      <w:r w:rsidR="0016419F" w:rsidRPr="00362134">
        <w:rPr>
          <w:lang w:val="en-GB"/>
        </w:rPr>
        <w:t xml:space="preserve">that asylum proceedings fall outside the scope of </w:t>
      </w:r>
      <w:r w:rsidR="002C4E77" w:rsidRPr="00362134">
        <w:rPr>
          <w:lang w:val="en-GB"/>
        </w:rPr>
        <w:t>a</w:t>
      </w:r>
      <w:r w:rsidR="0016419F" w:rsidRPr="00362134">
        <w:rPr>
          <w:lang w:val="en-GB"/>
        </w:rPr>
        <w:t>rticle 14</w:t>
      </w:r>
      <w:r w:rsidR="0016419F">
        <w:rPr>
          <w:lang w:val="en-GB"/>
        </w:rPr>
        <w:t>,</w:t>
      </w:r>
      <w:r w:rsidR="0016419F" w:rsidRPr="00AE19B0">
        <w:rPr>
          <w:lang w:val="en-GB"/>
        </w:rPr>
        <w:t xml:space="preserve"> and that this part of the communication should therefore be declared inadmissible </w:t>
      </w:r>
      <w:r w:rsidR="0016419F" w:rsidRPr="007C0089">
        <w:rPr>
          <w:i/>
          <w:iCs/>
          <w:lang w:val="en-GB"/>
        </w:rPr>
        <w:t>ratione materiae</w:t>
      </w:r>
      <w:r w:rsidR="0016419F" w:rsidRPr="00AE19B0">
        <w:rPr>
          <w:lang w:val="en-GB"/>
        </w:rPr>
        <w:t xml:space="preserve"> pursuant to </w:t>
      </w:r>
      <w:r w:rsidR="002C4E77" w:rsidRPr="00AE19B0">
        <w:rPr>
          <w:lang w:val="en-GB"/>
        </w:rPr>
        <w:t>a</w:t>
      </w:r>
      <w:r w:rsidR="0016419F" w:rsidRPr="00AE19B0">
        <w:rPr>
          <w:lang w:val="en-GB"/>
        </w:rPr>
        <w:t xml:space="preserve">rticle 3 of the Optional Protocol. </w:t>
      </w:r>
    </w:p>
    <w:p w14:paraId="3501B40D" w14:textId="77777777" w:rsidR="003803FA" w:rsidRDefault="0016419F">
      <w:pPr>
        <w:pStyle w:val="SingleTxtG"/>
        <w:rPr>
          <w:lang w:val="en-GB"/>
        </w:rPr>
      </w:pPr>
      <w:r>
        <w:rPr>
          <w:lang w:val="en-GB"/>
        </w:rPr>
        <w:t>4.1</w:t>
      </w:r>
      <w:r w:rsidR="002C4E77">
        <w:rPr>
          <w:lang w:val="en-GB"/>
        </w:rPr>
        <w:t>2</w:t>
      </w:r>
      <w:r w:rsidR="002C4E77">
        <w:rPr>
          <w:lang w:val="en-GB"/>
        </w:rPr>
        <w:tab/>
      </w:r>
      <w:r>
        <w:rPr>
          <w:lang w:val="en-GB"/>
        </w:rPr>
        <w:t xml:space="preserve">The State party further objects to the author’s allegations concerning </w:t>
      </w:r>
      <w:r w:rsidR="002C4E77">
        <w:rPr>
          <w:lang w:val="en-GB"/>
        </w:rPr>
        <w:t>a</w:t>
      </w:r>
      <w:r>
        <w:rPr>
          <w:lang w:val="en-GB"/>
        </w:rPr>
        <w:t xml:space="preserve">rticle 14 of the Covenant </w:t>
      </w:r>
      <w:r w:rsidR="00CF3ACF">
        <w:rPr>
          <w:lang w:val="en-GB"/>
        </w:rPr>
        <w:t>“</w:t>
      </w:r>
      <w:r>
        <w:rPr>
          <w:lang w:val="en-GB"/>
        </w:rPr>
        <w:t>or equivalent</w:t>
      </w:r>
      <w:r w:rsidR="00685DA0" w:rsidRPr="004E593F">
        <w:rPr>
          <w:lang w:val="en-GB"/>
        </w:rPr>
        <w:t>”</w:t>
      </w:r>
      <w:r>
        <w:rPr>
          <w:lang w:val="en-GB"/>
        </w:rPr>
        <w:t xml:space="preserve"> that the Danish authorities are supposed to have made the author’s possibility of exercising his right to complain to the Committee illusory because of the short period of time between the refusal of reopening and the return</w:t>
      </w:r>
      <w:r w:rsidR="00335D53">
        <w:rPr>
          <w:lang w:val="en-GB"/>
        </w:rPr>
        <w:t>.</w:t>
      </w:r>
      <w:r>
        <w:rPr>
          <w:lang w:val="en-GB"/>
        </w:rPr>
        <w:t xml:space="preserve"> </w:t>
      </w:r>
      <w:r w:rsidR="00335D53">
        <w:rPr>
          <w:lang w:val="en-GB"/>
        </w:rPr>
        <w:t>T</w:t>
      </w:r>
      <w:r>
        <w:rPr>
          <w:lang w:val="en-GB"/>
        </w:rPr>
        <w:t xml:space="preserve">he </w:t>
      </w:r>
      <w:r w:rsidR="002C4E77">
        <w:rPr>
          <w:lang w:val="en-GB"/>
        </w:rPr>
        <w:t xml:space="preserve">State party </w:t>
      </w:r>
      <w:r>
        <w:rPr>
          <w:lang w:val="en-GB"/>
        </w:rPr>
        <w:t xml:space="preserve">observes in that connection that the Board made its decision in the author’s case on 21 May 2013, whereby domestic remedies were, in principle, exhausted, and </w:t>
      </w:r>
      <w:r w:rsidR="00BC3737">
        <w:rPr>
          <w:lang w:val="en-GB"/>
        </w:rPr>
        <w:t xml:space="preserve">that </w:t>
      </w:r>
      <w:r>
        <w:rPr>
          <w:lang w:val="en-GB"/>
        </w:rPr>
        <w:t xml:space="preserve">the author could then </w:t>
      </w:r>
      <w:r w:rsidR="00335D53">
        <w:rPr>
          <w:lang w:val="en-GB"/>
        </w:rPr>
        <w:t xml:space="preserve">have </w:t>
      </w:r>
      <w:r>
        <w:rPr>
          <w:lang w:val="en-GB"/>
        </w:rPr>
        <w:t>submit</w:t>
      </w:r>
      <w:r w:rsidR="00335D53">
        <w:rPr>
          <w:lang w:val="en-GB"/>
        </w:rPr>
        <w:t>ted</w:t>
      </w:r>
      <w:r>
        <w:rPr>
          <w:lang w:val="en-GB"/>
        </w:rPr>
        <w:t xml:space="preserve"> a complaint to the Committee. However, the author’s counsel did not submit his complaint to the Committee until 17 March 2014, immediately before the author’s scheduled forced return to his country of origin. In reality, he thus had nearly </w:t>
      </w:r>
      <w:r w:rsidR="00AE19B0">
        <w:rPr>
          <w:lang w:val="en-GB"/>
        </w:rPr>
        <w:t xml:space="preserve">10 </w:t>
      </w:r>
      <w:r>
        <w:rPr>
          <w:lang w:val="en-GB"/>
        </w:rPr>
        <w:t xml:space="preserve">months to </w:t>
      </w:r>
      <w:r w:rsidR="00044037" w:rsidRPr="00362134">
        <w:rPr>
          <w:lang w:val="en-GB"/>
        </w:rPr>
        <w:t xml:space="preserve">prepare his complaint. Against this background, the State party </w:t>
      </w:r>
      <w:r w:rsidR="006548EF">
        <w:rPr>
          <w:lang w:val="en-GB"/>
        </w:rPr>
        <w:t>maintains</w:t>
      </w:r>
      <w:r w:rsidR="006548EF" w:rsidRPr="00362134">
        <w:rPr>
          <w:lang w:val="en-GB"/>
        </w:rPr>
        <w:t xml:space="preserve"> </w:t>
      </w:r>
      <w:r w:rsidR="00044037" w:rsidRPr="00362134">
        <w:rPr>
          <w:lang w:val="en-GB"/>
        </w:rPr>
        <w:t>that the author has failed to establish a prima facie case for the purpose of admissibility of this part of the communication</w:t>
      </w:r>
      <w:r w:rsidR="00DA3CDA" w:rsidRPr="00362134">
        <w:rPr>
          <w:lang w:val="en-GB"/>
        </w:rPr>
        <w:t>,</w:t>
      </w:r>
      <w:r w:rsidR="00044037" w:rsidRPr="00362134">
        <w:rPr>
          <w:lang w:val="en-GB"/>
        </w:rPr>
        <w:t xml:space="preserve"> which it considers </w:t>
      </w:r>
      <w:r w:rsidR="00BC3737" w:rsidRPr="00362134">
        <w:rPr>
          <w:lang w:val="en-GB"/>
        </w:rPr>
        <w:t xml:space="preserve">to be </w:t>
      </w:r>
      <w:r w:rsidR="00044037" w:rsidRPr="00362134">
        <w:rPr>
          <w:lang w:val="en-GB"/>
        </w:rPr>
        <w:t>manifestly ill</w:t>
      </w:r>
      <w:r w:rsidR="006225D2">
        <w:rPr>
          <w:lang w:val="en-GB"/>
        </w:rPr>
        <w:t>-</w:t>
      </w:r>
      <w:r w:rsidR="00044037" w:rsidRPr="00362134">
        <w:rPr>
          <w:lang w:val="en-GB"/>
        </w:rPr>
        <w:t>founded and should therefore be declared inadmissible</w:t>
      </w:r>
      <w:r w:rsidR="00044037">
        <w:rPr>
          <w:lang w:val="en-GB"/>
        </w:rPr>
        <w:t>.</w:t>
      </w:r>
      <w:r w:rsidR="003126A1">
        <w:rPr>
          <w:lang w:val="en-GB"/>
        </w:rPr>
        <w:t xml:space="preserve"> </w:t>
      </w:r>
    </w:p>
    <w:p w14:paraId="1D653596" w14:textId="77777777" w:rsidR="00491B1C" w:rsidRDefault="00C773F4">
      <w:pPr>
        <w:pStyle w:val="SingleTxtG"/>
        <w:spacing w:after="240"/>
        <w:rPr>
          <w:lang w:val="en-GB"/>
        </w:rPr>
      </w:pPr>
      <w:r w:rsidRPr="00C773F4">
        <w:rPr>
          <w:lang w:val="en-GB"/>
        </w:rPr>
        <w:t>4.</w:t>
      </w:r>
      <w:r w:rsidR="00A53415">
        <w:rPr>
          <w:lang w:val="en-GB"/>
        </w:rPr>
        <w:t>1</w:t>
      </w:r>
      <w:r w:rsidR="00187127">
        <w:rPr>
          <w:lang w:val="en-GB"/>
        </w:rPr>
        <w:t>3</w:t>
      </w:r>
      <w:r w:rsidRPr="00C773F4">
        <w:rPr>
          <w:lang w:val="en-GB"/>
        </w:rPr>
        <w:tab/>
        <w:t xml:space="preserve">For the foregoing reasons, the State party considers the communication </w:t>
      </w:r>
      <w:r w:rsidR="00615494" w:rsidRPr="00C773F4">
        <w:rPr>
          <w:lang w:val="en-GB"/>
        </w:rPr>
        <w:t xml:space="preserve">also </w:t>
      </w:r>
      <w:r w:rsidR="006548EF">
        <w:rPr>
          <w:lang w:val="en-GB"/>
        </w:rPr>
        <w:t>to</w:t>
      </w:r>
      <w:r w:rsidRPr="00C773F4">
        <w:rPr>
          <w:lang w:val="en-GB"/>
        </w:rPr>
        <w:t xml:space="preserve"> </w:t>
      </w:r>
      <w:r w:rsidR="006548EF">
        <w:rPr>
          <w:lang w:val="en-GB"/>
        </w:rPr>
        <w:t xml:space="preserve">be </w:t>
      </w:r>
      <w:r w:rsidRPr="00C773F4">
        <w:rPr>
          <w:lang w:val="en-GB"/>
        </w:rPr>
        <w:t>without merit</w:t>
      </w:r>
      <w:r w:rsidR="00AE19B0">
        <w:rPr>
          <w:lang w:val="en-GB"/>
        </w:rPr>
        <w:t>,</w:t>
      </w:r>
      <w:r w:rsidR="00F02C19">
        <w:rPr>
          <w:lang w:val="en-GB"/>
        </w:rPr>
        <w:t xml:space="preserve"> as the author has not sufficiently established that there are substantial grounds for believing that </w:t>
      </w:r>
      <w:r w:rsidR="00AE19B0">
        <w:rPr>
          <w:lang w:val="en-GB"/>
        </w:rPr>
        <w:t xml:space="preserve">his return </w:t>
      </w:r>
      <w:r w:rsidR="00F02C19">
        <w:rPr>
          <w:lang w:val="en-GB"/>
        </w:rPr>
        <w:t xml:space="preserve">to Afghanistan constituted a violation of </w:t>
      </w:r>
      <w:r w:rsidR="002C4E77">
        <w:rPr>
          <w:lang w:val="en-GB"/>
        </w:rPr>
        <w:t>a</w:t>
      </w:r>
      <w:r w:rsidR="00F02C19">
        <w:rPr>
          <w:lang w:val="en-GB"/>
        </w:rPr>
        <w:t xml:space="preserve">rticle 6 or 7 of the Covenant, or that the State party failed to comply with </w:t>
      </w:r>
      <w:r w:rsidR="002C4E77">
        <w:rPr>
          <w:lang w:val="en-GB"/>
        </w:rPr>
        <w:t>a</w:t>
      </w:r>
      <w:r w:rsidR="00F02C19">
        <w:rPr>
          <w:lang w:val="en-GB"/>
        </w:rPr>
        <w:t>rticle 1 of the Optional Protocol to the Covenant</w:t>
      </w:r>
      <w:r w:rsidRPr="00C773F4">
        <w:rPr>
          <w:lang w:val="en-GB"/>
        </w:rPr>
        <w:t>.</w:t>
      </w:r>
    </w:p>
    <w:p w14:paraId="4EC56D52" w14:textId="77777777" w:rsidR="007740F1" w:rsidRPr="005E021C" w:rsidRDefault="008A16B6" w:rsidP="008A16B6">
      <w:pPr>
        <w:pStyle w:val="H23G"/>
      </w:pPr>
      <w:r>
        <w:tab/>
      </w:r>
      <w:r>
        <w:tab/>
      </w:r>
      <w:r w:rsidR="00431396" w:rsidRPr="005E021C">
        <w:t>Author’</w:t>
      </w:r>
      <w:r w:rsidR="00446ABC" w:rsidRPr="00446ABC">
        <w:t>s</w:t>
      </w:r>
      <w:r w:rsidR="009A19F8" w:rsidRPr="005E021C">
        <w:t xml:space="preserve"> </w:t>
      </w:r>
      <w:r>
        <w:t>further information</w:t>
      </w:r>
    </w:p>
    <w:p w14:paraId="06FFB49D" w14:textId="77777777" w:rsidR="00AF6D3A" w:rsidRDefault="009A19F8">
      <w:pPr>
        <w:pStyle w:val="SingleTxtG"/>
        <w:rPr>
          <w:lang w:val="en-GB"/>
        </w:rPr>
      </w:pPr>
      <w:r>
        <w:rPr>
          <w:bCs/>
        </w:rPr>
        <w:t>5</w:t>
      </w:r>
      <w:r w:rsidRPr="009A19F8">
        <w:rPr>
          <w:bCs/>
        </w:rPr>
        <w:t>.</w:t>
      </w:r>
      <w:r w:rsidR="008730D5">
        <w:rPr>
          <w:bCs/>
          <w:lang w:val="en-GB"/>
        </w:rPr>
        <w:t>1</w:t>
      </w:r>
      <w:r w:rsidRPr="009A19F8">
        <w:rPr>
          <w:bCs/>
        </w:rPr>
        <w:tab/>
      </w:r>
      <w:r w:rsidR="000A2EE4" w:rsidRPr="000A2EE4">
        <w:rPr>
          <w:lang w:val="en-GB"/>
        </w:rPr>
        <w:t xml:space="preserve">On </w:t>
      </w:r>
      <w:r w:rsidR="00215778">
        <w:rPr>
          <w:lang w:val="en-GB"/>
        </w:rPr>
        <w:t xml:space="preserve">17 December 2014, </w:t>
      </w:r>
      <w:r w:rsidR="009002FE">
        <w:rPr>
          <w:lang w:val="en-GB"/>
        </w:rPr>
        <w:t>the author</w:t>
      </w:r>
      <w:r w:rsidR="00215778">
        <w:rPr>
          <w:lang w:val="en-GB"/>
        </w:rPr>
        <w:t xml:space="preserve">’s counsel shared </w:t>
      </w:r>
      <w:r w:rsidR="00215778" w:rsidRPr="00CE494C">
        <w:rPr>
          <w:lang w:val="en-GB"/>
        </w:rPr>
        <w:t xml:space="preserve">a copy of </w:t>
      </w:r>
      <w:r w:rsidR="00335D53" w:rsidRPr="00CE494C">
        <w:rPr>
          <w:lang w:val="en-GB"/>
        </w:rPr>
        <w:t xml:space="preserve">that day’s </w:t>
      </w:r>
      <w:r w:rsidR="00215778" w:rsidRPr="00CE494C">
        <w:rPr>
          <w:lang w:val="en-GB"/>
        </w:rPr>
        <w:t>letter addressed to the Ministry of Foreign Affairs of Denmark</w:t>
      </w:r>
      <w:r w:rsidR="006548EF">
        <w:rPr>
          <w:lang w:val="en-GB"/>
        </w:rPr>
        <w:t>,</w:t>
      </w:r>
      <w:r w:rsidR="00A774F9" w:rsidRPr="00CE494C">
        <w:rPr>
          <w:lang w:val="en-GB"/>
        </w:rPr>
        <w:t xml:space="preserve"> in which he </w:t>
      </w:r>
      <w:r w:rsidR="00250C8C" w:rsidRPr="00CE494C">
        <w:rPr>
          <w:lang w:val="en-GB"/>
        </w:rPr>
        <w:t xml:space="preserve">indicates </w:t>
      </w:r>
      <w:r w:rsidR="00215778" w:rsidRPr="00CE494C">
        <w:rPr>
          <w:lang w:val="en-GB"/>
        </w:rPr>
        <w:t xml:space="preserve">that, based on sporadic e-mails and telephone calls from the author to counsel and </w:t>
      </w:r>
      <w:r w:rsidR="00CE494C">
        <w:rPr>
          <w:lang w:val="en-GB"/>
        </w:rPr>
        <w:t xml:space="preserve">to </w:t>
      </w:r>
      <w:r w:rsidR="00215778" w:rsidRPr="00CE494C">
        <w:rPr>
          <w:lang w:val="en-GB"/>
        </w:rPr>
        <w:t>the Danish Refugee Council, it is evident that the author</w:t>
      </w:r>
      <w:r w:rsidR="00250C8C" w:rsidRPr="00CE494C">
        <w:rPr>
          <w:lang w:val="en-GB"/>
        </w:rPr>
        <w:t>,</w:t>
      </w:r>
      <w:r w:rsidR="00215778" w:rsidRPr="00CE494C">
        <w:rPr>
          <w:lang w:val="en-GB"/>
        </w:rPr>
        <w:t xml:space="preserve"> and perhaps also his family</w:t>
      </w:r>
      <w:r w:rsidR="00250C8C" w:rsidRPr="00CE494C">
        <w:rPr>
          <w:lang w:val="en-GB"/>
        </w:rPr>
        <w:t>,</w:t>
      </w:r>
      <w:r w:rsidR="00215778" w:rsidRPr="00CE494C">
        <w:rPr>
          <w:lang w:val="en-GB"/>
        </w:rPr>
        <w:t xml:space="preserve"> have </w:t>
      </w:r>
      <w:r w:rsidR="006548EF">
        <w:rPr>
          <w:lang w:val="en-GB"/>
        </w:rPr>
        <w:t xml:space="preserve">fled </w:t>
      </w:r>
      <w:r w:rsidR="00215778" w:rsidRPr="00CE494C">
        <w:rPr>
          <w:lang w:val="en-GB"/>
        </w:rPr>
        <w:t>to Pakistan</w:t>
      </w:r>
      <w:r w:rsidR="003A46E4" w:rsidRPr="00CE494C">
        <w:rPr>
          <w:lang w:val="en-GB"/>
        </w:rPr>
        <w:t xml:space="preserve"> </w:t>
      </w:r>
      <w:r w:rsidR="00250C8C" w:rsidRPr="00CE494C">
        <w:rPr>
          <w:lang w:val="en-GB"/>
        </w:rPr>
        <w:t xml:space="preserve">because of </w:t>
      </w:r>
      <w:r w:rsidR="003A46E4" w:rsidRPr="00CE494C">
        <w:rPr>
          <w:lang w:val="en-GB"/>
        </w:rPr>
        <w:t>telephone threats against his wife and son</w:t>
      </w:r>
      <w:r w:rsidR="00215778" w:rsidRPr="00CE494C">
        <w:rPr>
          <w:lang w:val="en-GB"/>
        </w:rPr>
        <w:t>. The author’s counsel</w:t>
      </w:r>
      <w:r w:rsidR="00215778">
        <w:rPr>
          <w:lang w:val="en-GB"/>
        </w:rPr>
        <w:t xml:space="preserve"> </w:t>
      </w:r>
      <w:r w:rsidR="003A46E4">
        <w:rPr>
          <w:lang w:val="en-GB"/>
        </w:rPr>
        <w:t xml:space="preserve">concludes </w:t>
      </w:r>
      <w:r w:rsidR="00215778">
        <w:rPr>
          <w:lang w:val="en-GB"/>
        </w:rPr>
        <w:t xml:space="preserve">that the State party has not yet succeeded in providing protection to the author, </w:t>
      </w:r>
      <w:r w:rsidR="003A46E4">
        <w:rPr>
          <w:lang w:val="en-GB"/>
        </w:rPr>
        <w:t xml:space="preserve">and requests the Ministry of Foreign Affairs </w:t>
      </w:r>
      <w:r w:rsidR="00CE494C">
        <w:rPr>
          <w:lang w:val="en-GB"/>
        </w:rPr>
        <w:t xml:space="preserve">of Denmark </w:t>
      </w:r>
      <w:r w:rsidR="003A46E4">
        <w:rPr>
          <w:lang w:val="en-GB"/>
        </w:rPr>
        <w:t xml:space="preserve">to indicate if the State party’s authorities are able to provide shelter </w:t>
      </w:r>
      <w:r w:rsidR="00AF6D3A">
        <w:rPr>
          <w:lang w:val="en-GB"/>
        </w:rPr>
        <w:t xml:space="preserve">for the </w:t>
      </w:r>
      <w:r w:rsidR="003A46E4">
        <w:rPr>
          <w:lang w:val="en-GB"/>
        </w:rPr>
        <w:t>author and his family in Pakistan.</w:t>
      </w:r>
      <w:r w:rsidR="00AF6D3A">
        <w:rPr>
          <w:lang w:val="en-GB"/>
        </w:rPr>
        <w:t xml:space="preserve"> Further to that correspondence, the Committee reminded the State party on 19 December 2014 that its request </w:t>
      </w:r>
      <w:r w:rsidR="00250C8C">
        <w:rPr>
          <w:lang w:val="en-GB"/>
        </w:rPr>
        <w:t xml:space="preserve">of 31 March 2014 </w:t>
      </w:r>
      <w:r w:rsidR="00AF6D3A">
        <w:rPr>
          <w:lang w:val="en-GB"/>
        </w:rPr>
        <w:t xml:space="preserve">for interim </w:t>
      </w:r>
      <w:r w:rsidR="00DE0E6C">
        <w:rPr>
          <w:lang w:val="en-GB"/>
        </w:rPr>
        <w:t xml:space="preserve">measures of </w:t>
      </w:r>
      <w:r w:rsidR="00AF6D3A">
        <w:rPr>
          <w:lang w:val="en-GB"/>
        </w:rPr>
        <w:t>protection of the author remain</w:t>
      </w:r>
      <w:r w:rsidR="00CE494C">
        <w:rPr>
          <w:lang w:val="en-GB"/>
        </w:rPr>
        <w:t>ed</w:t>
      </w:r>
      <w:r w:rsidR="00AF6D3A">
        <w:rPr>
          <w:lang w:val="en-GB"/>
        </w:rPr>
        <w:t xml:space="preserve"> in effect. </w:t>
      </w:r>
    </w:p>
    <w:p w14:paraId="1AC0AC00" w14:textId="77777777" w:rsidR="00977275" w:rsidRDefault="008A16B6">
      <w:pPr>
        <w:pStyle w:val="SingleTxtG"/>
        <w:rPr>
          <w:lang w:val="en-GB"/>
        </w:rPr>
      </w:pPr>
      <w:r>
        <w:rPr>
          <w:lang w:val="en-GB"/>
        </w:rPr>
        <w:t>5.2</w:t>
      </w:r>
      <w:r w:rsidR="00AF6D3A">
        <w:rPr>
          <w:lang w:val="en-GB"/>
        </w:rPr>
        <w:tab/>
      </w:r>
      <w:r w:rsidR="009D4F57">
        <w:rPr>
          <w:lang w:val="en-GB"/>
        </w:rPr>
        <w:t xml:space="preserve">On 12 January 2015, the author’s counsel </w:t>
      </w:r>
      <w:r w:rsidR="006548EF">
        <w:rPr>
          <w:lang w:val="en-GB"/>
        </w:rPr>
        <w:t>state</w:t>
      </w:r>
      <w:r w:rsidR="005D6601">
        <w:rPr>
          <w:lang w:val="en-GB"/>
        </w:rPr>
        <w:t>d</w:t>
      </w:r>
      <w:r w:rsidR="006548EF">
        <w:rPr>
          <w:lang w:val="en-GB"/>
        </w:rPr>
        <w:t xml:space="preserve"> </w:t>
      </w:r>
      <w:r w:rsidR="009D4F57">
        <w:rPr>
          <w:lang w:val="en-GB"/>
        </w:rPr>
        <w:t>that</w:t>
      </w:r>
      <w:r w:rsidR="00041E79">
        <w:rPr>
          <w:lang w:val="en-GB"/>
        </w:rPr>
        <w:t>,</w:t>
      </w:r>
      <w:r w:rsidR="009D4F57">
        <w:rPr>
          <w:lang w:val="en-GB"/>
        </w:rPr>
        <w:t xml:space="preserve"> based on information from the author, </w:t>
      </w:r>
      <w:r w:rsidR="00CE494C">
        <w:rPr>
          <w:lang w:val="en-GB"/>
        </w:rPr>
        <w:t>the author ha</w:t>
      </w:r>
      <w:r w:rsidR="005D6601">
        <w:rPr>
          <w:lang w:val="en-GB"/>
        </w:rPr>
        <w:t>d</w:t>
      </w:r>
      <w:r w:rsidR="00CE494C">
        <w:rPr>
          <w:lang w:val="en-GB"/>
        </w:rPr>
        <w:t xml:space="preserve"> hidden </w:t>
      </w:r>
      <w:r w:rsidR="009D4F57">
        <w:rPr>
          <w:lang w:val="en-GB"/>
        </w:rPr>
        <w:t xml:space="preserve">himself in the </w:t>
      </w:r>
      <w:r w:rsidR="009D4F57" w:rsidRPr="00CE494C">
        <w:rPr>
          <w:lang w:val="en-GB"/>
        </w:rPr>
        <w:t>mountain</w:t>
      </w:r>
      <w:r w:rsidR="00E57271" w:rsidRPr="007C0089">
        <w:rPr>
          <w:lang w:val="en-GB"/>
        </w:rPr>
        <w:t>ous</w:t>
      </w:r>
      <w:r w:rsidR="009D4F57" w:rsidRPr="00CE494C">
        <w:rPr>
          <w:lang w:val="en-GB"/>
        </w:rPr>
        <w:t xml:space="preserve"> area </w:t>
      </w:r>
      <w:r w:rsidR="009D4F57" w:rsidRPr="00834C8F">
        <w:rPr>
          <w:lang w:val="en-GB"/>
        </w:rPr>
        <w:t>border</w:t>
      </w:r>
      <w:r w:rsidR="00CE494C" w:rsidRPr="007C0089">
        <w:rPr>
          <w:lang w:val="en-GB"/>
        </w:rPr>
        <w:t>ing</w:t>
      </w:r>
      <w:r w:rsidR="009D4F57" w:rsidRPr="00CE494C">
        <w:rPr>
          <w:lang w:val="en-GB"/>
        </w:rPr>
        <w:t xml:space="preserve"> Afghanistan and Pakistan. He adds that the author has to walk two hours to </w:t>
      </w:r>
      <w:r w:rsidR="006548EF">
        <w:rPr>
          <w:lang w:val="en-GB"/>
        </w:rPr>
        <w:t xml:space="preserve">reach </w:t>
      </w:r>
      <w:r w:rsidR="009D4F57" w:rsidRPr="00CE494C">
        <w:rPr>
          <w:lang w:val="en-GB"/>
        </w:rPr>
        <w:t xml:space="preserve">a place with </w:t>
      </w:r>
      <w:r w:rsidR="00041E79" w:rsidRPr="00CE494C">
        <w:rPr>
          <w:lang w:val="en-GB"/>
        </w:rPr>
        <w:t>an I</w:t>
      </w:r>
      <w:r w:rsidR="009D4F57" w:rsidRPr="00CE494C">
        <w:rPr>
          <w:lang w:val="en-GB"/>
        </w:rPr>
        <w:t xml:space="preserve">nternet connection and </w:t>
      </w:r>
      <w:r w:rsidR="00A774F9" w:rsidRPr="00CE494C">
        <w:rPr>
          <w:lang w:val="en-GB"/>
        </w:rPr>
        <w:t xml:space="preserve">that he </w:t>
      </w:r>
      <w:r w:rsidR="009D4F57" w:rsidRPr="00CE494C">
        <w:rPr>
          <w:lang w:val="en-GB"/>
        </w:rPr>
        <w:t xml:space="preserve">can be reached at the </w:t>
      </w:r>
      <w:r w:rsidR="00041E79" w:rsidRPr="00CE494C">
        <w:rPr>
          <w:lang w:val="en-GB"/>
        </w:rPr>
        <w:t>I</w:t>
      </w:r>
      <w:r w:rsidR="009D4F57" w:rsidRPr="00CE494C">
        <w:rPr>
          <w:lang w:val="en-GB"/>
        </w:rPr>
        <w:t>nternet address copied on the e-mail. The author’s counsel sent a copy of the information to the</w:t>
      </w:r>
      <w:r w:rsidR="009D4F57">
        <w:rPr>
          <w:lang w:val="en-GB"/>
        </w:rPr>
        <w:t xml:space="preserve"> State party to enable it to find a safe way to communicate with </w:t>
      </w:r>
      <w:r w:rsidR="00CE494C">
        <w:rPr>
          <w:lang w:val="en-GB"/>
        </w:rPr>
        <w:t xml:space="preserve">the author </w:t>
      </w:r>
      <w:r w:rsidR="009D4F57">
        <w:rPr>
          <w:lang w:val="en-GB"/>
        </w:rPr>
        <w:t>in order to arrange for a place to</w:t>
      </w:r>
      <w:r w:rsidR="00A774F9">
        <w:rPr>
          <w:lang w:val="en-GB"/>
        </w:rPr>
        <w:t xml:space="preserve"> meet for a rescue operation. </w:t>
      </w:r>
      <w:r w:rsidR="00C80D50">
        <w:rPr>
          <w:lang w:val="en-GB"/>
        </w:rPr>
        <w:t xml:space="preserve">The counsel adds that it is his conviction that the author and his family are in a very dangerous situation, and that his life is in danger. </w:t>
      </w:r>
      <w:r w:rsidR="00346A8D">
        <w:rPr>
          <w:lang w:val="en-GB"/>
        </w:rPr>
        <w:t>In the message of 23 December 2014</w:t>
      </w:r>
      <w:r w:rsidR="00A774F9">
        <w:rPr>
          <w:lang w:val="en-GB"/>
        </w:rPr>
        <w:t>, w</w:t>
      </w:r>
      <w:r w:rsidR="00346A8D">
        <w:rPr>
          <w:lang w:val="en-GB"/>
        </w:rPr>
        <w:t>hich formed part of the e-mail</w:t>
      </w:r>
      <w:r w:rsidR="00A825AD">
        <w:rPr>
          <w:lang w:val="en-GB"/>
        </w:rPr>
        <w:t xml:space="preserve"> of 12 January 2015</w:t>
      </w:r>
      <w:r w:rsidR="00346A8D">
        <w:rPr>
          <w:lang w:val="en-GB"/>
        </w:rPr>
        <w:t xml:space="preserve">, the author’s counsel complains of the absence of information by the State party </w:t>
      </w:r>
      <w:r w:rsidR="00041E79">
        <w:rPr>
          <w:lang w:val="en-GB"/>
        </w:rPr>
        <w:t xml:space="preserve">on </w:t>
      </w:r>
      <w:r w:rsidR="00346A8D">
        <w:rPr>
          <w:lang w:val="en-GB"/>
        </w:rPr>
        <w:t>whether it could or would provide the author with any kind of protection, as requested through the counsel’s e-mail of 17 December 2014 to the Ministry of Foreign Affairs</w:t>
      </w:r>
      <w:r w:rsidR="006548EF">
        <w:rPr>
          <w:lang w:val="en-GB"/>
        </w:rPr>
        <w:t xml:space="preserve"> of Denmark</w:t>
      </w:r>
      <w:r w:rsidR="00346A8D">
        <w:rPr>
          <w:lang w:val="en-GB"/>
        </w:rPr>
        <w:t xml:space="preserve">. </w:t>
      </w:r>
    </w:p>
    <w:p w14:paraId="6C9341FB" w14:textId="77777777" w:rsidR="00E97FB7" w:rsidRDefault="00977275">
      <w:pPr>
        <w:pStyle w:val="SingleTxtG"/>
        <w:rPr>
          <w:lang w:val="en-GB"/>
        </w:rPr>
      </w:pPr>
      <w:r>
        <w:rPr>
          <w:lang w:val="en-GB"/>
        </w:rPr>
        <w:t>5.3</w:t>
      </w:r>
      <w:r>
        <w:rPr>
          <w:lang w:val="en-GB"/>
        </w:rPr>
        <w:tab/>
      </w:r>
      <w:r w:rsidRPr="00977275">
        <w:rPr>
          <w:lang w:val="en-GB"/>
        </w:rPr>
        <w:t>On 3 February 2015, the author indicate</w:t>
      </w:r>
      <w:r w:rsidR="00164E74">
        <w:rPr>
          <w:lang w:val="en-GB"/>
        </w:rPr>
        <w:t>d</w:t>
      </w:r>
      <w:r w:rsidRPr="00977275">
        <w:rPr>
          <w:lang w:val="en-GB"/>
        </w:rPr>
        <w:t xml:space="preserve"> that on 18 March 2014</w:t>
      </w:r>
      <w:r w:rsidR="00A774F9">
        <w:rPr>
          <w:lang w:val="en-GB"/>
        </w:rPr>
        <w:t xml:space="preserve">, </w:t>
      </w:r>
      <w:r w:rsidRPr="00977275">
        <w:rPr>
          <w:lang w:val="en-GB"/>
        </w:rPr>
        <w:t>when the Danish authorities deported him back to Afghanistan, he was left at the Kabul airport without any kind of support o</w:t>
      </w:r>
      <w:r w:rsidR="00E57271">
        <w:rPr>
          <w:lang w:val="en-GB"/>
        </w:rPr>
        <w:t>r</w:t>
      </w:r>
      <w:r w:rsidRPr="00977275">
        <w:rPr>
          <w:lang w:val="en-GB"/>
        </w:rPr>
        <w:t xml:space="preserve"> even the address of a guest house </w:t>
      </w:r>
      <w:r w:rsidR="00CE494C">
        <w:rPr>
          <w:lang w:val="en-GB"/>
        </w:rPr>
        <w:t xml:space="preserve">in which </w:t>
      </w:r>
      <w:r w:rsidRPr="00977275">
        <w:rPr>
          <w:lang w:val="en-GB"/>
        </w:rPr>
        <w:t xml:space="preserve">to stay. </w:t>
      </w:r>
      <w:r w:rsidR="00A774F9">
        <w:rPr>
          <w:lang w:val="en-GB"/>
        </w:rPr>
        <w:t xml:space="preserve">He </w:t>
      </w:r>
      <w:r w:rsidRPr="00977275">
        <w:rPr>
          <w:lang w:val="en-GB"/>
        </w:rPr>
        <w:t xml:space="preserve">moved to his brother’s house, </w:t>
      </w:r>
      <w:r w:rsidR="00A774F9">
        <w:rPr>
          <w:lang w:val="en-GB"/>
        </w:rPr>
        <w:t xml:space="preserve">following which </w:t>
      </w:r>
      <w:r w:rsidRPr="00977275">
        <w:rPr>
          <w:lang w:val="en-GB"/>
        </w:rPr>
        <w:t xml:space="preserve">the author received phone calls from unknown callers </w:t>
      </w:r>
      <w:r w:rsidR="00CE494C">
        <w:rPr>
          <w:lang w:val="en-GB"/>
        </w:rPr>
        <w:t xml:space="preserve">stating </w:t>
      </w:r>
      <w:r w:rsidRPr="00977275">
        <w:rPr>
          <w:lang w:val="en-GB"/>
        </w:rPr>
        <w:t xml:space="preserve">that they </w:t>
      </w:r>
      <w:r w:rsidR="00E57271">
        <w:rPr>
          <w:lang w:val="en-GB"/>
        </w:rPr>
        <w:t>knew</w:t>
      </w:r>
      <w:r w:rsidRPr="00977275">
        <w:rPr>
          <w:lang w:val="en-GB"/>
        </w:rPr>
        <w:t xml:space="preserve"> about </w:t>
      </w:r>
      <w:r w:rsidR="00CE494C">
        <w:rPr>
          <w:lang w:val="en-GB"/>
        </w:rPr>
        <w:t xml:space="preserve">his </w:t>
      </w:r>
      <w:r w:rsidRPr="00977275">
        <w:rPr>
          <w:lang w:val="en-GB"/>
        </w:rPr>
        <w:t xml:space="preserve">return to Afghanistan </w:t>
      </w:r>
      <w:r w:rsidR="00A774F9">
        <w:rPr>
          <w:lang w:val="en-GB"/>
        </w:rPr>
        <w:t xml:space="preserve">and </w:t>
      </w:r>
      <w:r w:rsidRPr="00977275">
        <w:rPr>
          <w:lang w:val="en-GB"/>
        </w:rPr>
        <w:t xml:space="preserve">threatening that </w:t>
      </w:r>
      <w:r w:rsidR="00CF3ACF">
        <w:rPr>
          <w:lang w:val="en-GB"/>
        </w:rPr>
        <w:t>“</w:t>
      </w:r>
      <w:r w:rsidRPr="00977275">
        <w:rPr>
          <w:lang w:val="en-GB"/>
        </w:rPr>
        <w:t>they</w:t>
      </w:r>
      <w:r w:rsidR="00685DA0" w:rsidRPr="004E593F">
        <w:rPr>
          <w:lang w:val="en-GB"/>
        </w:rPr>
        <w:t>”</w:t>
      </w:r>
      <w:r w:rsidRPr="00977275">
        <w:rPr>
          <w:lang w:val="en-GB"/>
        </w:rPr>
        <w:t xml:space="preserve"> would find his exact location. </w:t>
      </w:r>
      <w:r w:rsidR="00A774F9">
        <w:rPr>
          <w:lang w:val="en-GB"/>
        </w:rPr>
        <w:t>T</w:t>
      </w:r>
      <w:r w:rsidRPr="00977275">
        <w:rPr>
          <w:lang w:val="en-GB"/>
        </w:rPr>
        <w:t xml:space="preserve">he author </w:t>
      </w:r>
      <w:r w:rsidR="00A774F9">
        <w:rPr>
          <w:lang w:val="en-GB"/>
        </w:rPr>
        <w:t xml:space="preserve">also </w:t>
      </w:r>
      <w:r w:rsidRPr="00977275">
        <w:rPr>
          <w:lang w:val="en-GB"/>
        </w:rPr>
        <w:t>refer</w:t>
      </w:r>
      <w:r w:rsidR="00A774F9">
        <w:rPr>
          <w:lang w:val="en-GB"/>
        </w:rPr>
        <w:t xml:space="preserve">s </w:t>
      </w:r>
      <w:r w:rsidRPr="00977275">
        <w:rPr>
          <w:lang w:val="en-GB"/>
        </w:rPr>
        <w:t xml:space="preserve">to his </w:t>
      </w:r>
      <w:r w:rsidR="00A774F9">
        <w:rPr>
          <w:lang w:val="en-GB"/>
        </w:rPr>
        <w:t xml:space="preserve">interview </w:t>
      </w:r>
      <w:r w:rsidRPr="00977275">
        <w:rPr>
          <w:lang w:val="en-GB"/>
        </w:rPr>
        <w:t xml:space="preserve">with the Danish </w:t>
      </w:r>
      <w:r w:rsidR="00CE494C" w:rsidRPr="00F57ADF">
        <w:rPr>
          <w:lang w:val="en-GB"/>
        </w:rPr>
        <w:t>e</w:t>
      </w:r>
      <w:r w:rsidRPr="00F57ADF">
        <w:rPr>
          <w:lang w:val="en-GB"/>
        </w:rPr>
        <w:t>mbassy on 20 August 201</w:t>
      </w:r>
      <w:r w:rsidR="00335D53" w:rsidRPr="00F57ADF">
        <w:rPr>
          <w:lang w:val="en-GB"/>
        </w:rPr>
        <w:t>4</w:t>
      </w:r>
      <w:r w:rsidR="00041E79" w:rsidRPr="00F57ADF">
        <w:rPr>
          <w:lang w:val="en-GB"/>
        </w:rPr>
        <w:t>,</w:t>
      </w:r>
      <w:r w:rsidR="00A825AD" w:rsidRPr="00F57ADF">
        <w:rPr>
          <w:lang w:val="en-GB"/>
        </w:rPr>
        <w:t xml:space="preserve"> </w:t>
      </w:r>
      <w:r w:rsidRPr="00F57ADF">
        <w:rPr>
          <w:lang w:val="en-GB"/>
        </w:rPr>
        <w:t>during which he reported a physical assault against him o</w:t>
      </w:r>
      <w:r w:rsidR="00DD471F">
        <w:rPr>
          <w:lang w:val="en-GB"/>
        </w:rPr>
        <w:t>n</w:t>
      </w:r>
      <w:r w:rsidRPr="00F57ADF">
        <w:rPr>
          <w:lang w:val="en-GB"/>
        </w:rPr>
        <w:t xml:space="preserve"> 18 August 201</w:t>
      </w:r>
      <w:r w:rsidR="00335D53" w:rsidRPr="00F57ADF">
        <w:rPr>
          <w:lang w:val="en-GB"/>
        </w:rPr>
        <w:t>4</w:t>
      </w:r>
      <w:r w:rsidR="00A774F9" w:rsidRPr="00F57ADF">
        <w:rPr>
          <w:lang w:val="en-GB"/>
        </w:rPr>
        <w:t xml:space="preserve"> without</w:t>
      </w:r>
      <w:r w:rsidR="00CE494C" w:rsidRPr="00F57ADF">
        <w:rPr>
          <w:lang w:val="en-GB"/>
        </w:rPr>
        <w:t>, however,</w:t>
      </w:r>
      <w:r w:rsidR="00A774F9" w:rsidRPr="00F57ADF">
        <w:rPr>
          <w:lang w:val="en-GB"/>
        </w:rPr>
        <w:t xml:space="preserve"> </w:t>
      </w:r>
      <w:r w:rsidR="00E57271" w:rsidRPr="00F57ADF">
        <w:rPr>
          <w:lang w:val="en-GB"/>
        </w:rPr>
        <w:t xml:space="preserve">providing a </w:t>
      </w:r>
      <w:r w:rsidR="00A774F9" w:rsidRPr="00F57ADF">
        <w:rPr>
          <w:lang w:val="en-GB"/>
        </w:rPr>
        <w:t xml:space="preserve">description of </w:t>
      </w:r>
      <w:r w:rsidRPr="00F57ADF">
        <w:rPr>
          <w:lang w:val="en-GB"/>
        </w:rPr>
        <w:t>any new circumstances</w:t>
      </w:r>
      <w:r w:rsidRPr="00977275">
        <w:rPr>
          <w:lang w:val="en-GB"/>
        </w:rPr>
        <w:t xml:space="preserve">. The author </w:t>
      </w:r>
      <w:r w:rsidR="006548EF">
        <w:rPr>
          <w:lang w:val="en-GB"/>
        </w:rPr>
        <w:t>states</w:t>
      </w:r>
      <w:r w:rsidR="006548EF" w:rsidRPr="00977275">
        <w:rPr>
          <w:lang w:val="en-GB"/>
        </w:rPr>
        <w:t xml:space="preserve"> </w:t>
      </w:r>
      <w:r w:rsidRPr="00977275">
        <w:rPr>
          <w:lang w:val="en-GB"/>
        </w:rPr>
        <w:t>that</w:t>
      </w:r>
      <w:r w:rsidR="00E57271">
        <w:rPr>
          <w:lang w:val="en-GB"/>
        </w:rPr>
        <w:t>,</w:t>
      </w:r>
      <w:r w:rsidRPr="00977275">
        <w:rPr>
          <w:lang w:val="en-GB"/>
        </w:rPr>
        <w:t xml:space="preserve"> further to the interview</w:t>
      </w:r>
      <w:r w:rsidR="00E57271">
        <w:rPr>
          <w:lang w:val="en-GB"/>
        </w:rPr>
        <w:t>,</w:t>
      </w:r>
      <w:r w:rsidRPr="00977275">
        <w:rPr>
          <w:lang w:val="en-GB"/>
        </w:rPr>
        <w:t xml:space="preserve"> he </w:t>
      </w:r>
      <w:r w:rsidR="00A774F9">
        <w:rPr>
          <w:lang w:val="en-GB"/>
        </w:rPr>
        <w:t xml:space="preserve">did not </w:t>
      </w:r>
      <w:r w:rsidRPr="00977275">
        <w:rPr>
          <w:lang w:val="en-GB"/>
        </w:rPr>
        <w:t>receive</w:t>
      </w:r>
      <w:r w:rsidR="00A774F9">
        <w:rPr>
          <w:lang w:val="en-GB"/>
        </w:rPr>
        <w:t xml:space="preserve"> any </w:t>
      </w:r>
      <w:r w:rsidRPr="00977275">
        <w:rPr>
          <w:lang w:val="en-GB"/>
        </w:rPr>
        <w:t xml:space="preserve">protection from the </w:t>
      </w:r>
      <w:r w:rsidR="00CE494C">
        <w:rPr>
          <w:lang w:val="en-GB"/>
        </w:rPr>
        <w:t>e</w:t>
      </w:r>
      <w:r w:rsidRPr="00977275">
        <w:rPr>
          <w:lang w:val="en-GB"/>
        </w:rPr>
        <w:t>mbassy. He also indicates that</w:t>
      </w:r>
      <w:r w:rsidR="00E57271">
        <w:rPr>
          <w:lang w:val="en-GB"/>
        </w:rPr>
        <w:t>,</w:t>
      </w:r>
      <w:r w:rsidRPr="00977275">
        <w:rPr>
          <w:lang w:val="en-GB"/>
        </w:rPr>
        <w:t xml:space="preserve"> for a long time, he has lived far away from his children </w:t>
      </w:r>
      <w:r w:rsidR="00CE494C">
        <w:rPr>
          <w:lang w:val="en-GB"/>
        </w:rPr>
        <w:t xml:space="preserve">on </w:t>
      </w:r>
      <w:r w:rsidRPr="00977275">
        <w:rPr>
          <w:lang w:val="en-GB"/>
        </w:rPr>
        <w:t>the border between Pakistan and Afghanistan</w:t>
      </w:r>
      <w:r w:rsidR="00E57271">
        <w:rPr>
          <w:lang w:val="en-GB"/>
        </w:rPr>
        <w:t>,</w:t>
      </w:r>
      <w:r w:rsidRPr="00977275">
        <w:rPr>
          <w:lang w:val="en-GB"/>
        </w:rPr>
        <w:t xml:space="preserve"> whereas </w:t>
      </w:r>
      <w:r w:rsidR="00E57271">
        <w:rPr>
          <w:lang w:val="en-GB"/>
        </w:rPr>
        <w:t xml:space="preserve">his </w:t>
      </w:r>
      <w:r w:rsidRPr="00977275">
        <w:rPr>
          <w:lang w:val="en-GB"/>
        </w:rPr>
        <w:t xml:space="preserve">children live at the house of the author’s </w:t>
      </w:r>
      <w:r w:rsidR="00A774F9">
        <w:rPr>
          <w:lang w:val="en-GB"/>
        </w:rPr>
        <w:t xml:space="preserve">father-in-law. </w:t>
      </w:r>
      <w:r w:rsidRPr="00977275">
        <w:rPr>
          <w:lang w:val="en-GB"/>
        </w:rPr>
        <w:t xml:space="preserve">The author expresses regrets that his children </w:t>
      </w:r>
      <w:r w:rsidR="00E57271">
        <w:rPr>
          <w:lang w:val="en-GB"/>
        </w:rPr>
        <w:t xml:space="preserve">are </w:t>
      </w:r>
      <w:r w:rsidRPr="00977275">
        <w:rPr>
          <w:lang w:val="en-GB"/>
        </w:rPr>
        <w:t>grow</w:t>
      </w:r>
      <w:r w:rsidR="00E57271">
        <w:rPr>
          <w:lang w:val="en-GB"/>
        </w:rPr>
        <w:t xml:space="preserve">ing </w:t>
      </w:r>
      <w:r w:rsidRPr="00977275">
        <w:rPr>
          <w:lang w:val="en-GB"/>
        </w:rPr>
        <w:t xml:space="preserve">up without him, while they </w:t>
      </w:r>
      <w:r w:rsidR="00E57271">
        <w:rPr>
          <w:lang w:val="en-GB"/>
        </w:rPr>
        <w:t xml:space="preserve">and </w:t>
      </w:r>
      <w:r w:rsidRPr="00977275">
        <w:rPr>
          <w:lang w:val="en-GB"/>
        </w:rPr>
        <w:t>his wife reportedly remain in risk. He concludes that</w:t>
      </w:r>
      <w:r w:rsidR="00E57271">
        <w:rPr>
          <w:lang w:val="en-GB"/>
        </w:rPr>
        <w:t>,</w:t>
      </w:r>
      <w:r w:rsidRPr="00977275">
        <w:rPr>
          <w:lang w:val="en-GB"/>
        </w:rPr>
        <w:t xml:space="preserve"> despite his work for the </w:t>
      </w:r>
      <w:r w:rsidR="00E57271">
        <w:rPr>
          <w:lang w:val="en-GB"/>
        </w:rPr>
        <w:t xml:space="preserve">United States </w:t>
      </w:r>
      <w:r w:rsidRPr="00977275">
        <w:rPr>
          <w:lang w:val="en-GB"/>
        </w:rPr>
        <w:t>Army for 12 years, he now feels stranded</w:t>
      </w:r>
      <w:r w:rsidR="00E57271">
        <w:rPr>
          <w:lang w:val="en-GB"/>
        </w:rPr>
        <w:t>,</w:t>
      </w:r>
      <w:r w:rsidRPr="00977275">
        <w:rPr>
          <w:lang w:val="en-GB"/>
        </w:rPr>
        <w:t xml:space="preserve"> left without any protection</w:t>
      </w:r>
      <w:r w:rsidR="00E57271">
        <w:rPr>
          <w:lang w:val="en-GB"/>
        </w:rPr>
        <w:t xml:space="preserve"> and</w:t>
      </w:r>
      <w:r w:rsidRPr="00977275">
        <w:rPr>
          <w:lang w:val="en-GB"/>
        </w:rPr>
        <w:t xml:space="preserve"> living in the mountains without electricity and in winter. The author in fact calls for help to save his life and </w:t>
      </w:r>
      <w:r w:rsidR="00F35CBA">
        <w:rPr>
          <w:lang w:val="en-GB"/>
        </w:rPr>
        <w:t xml:space="preserve">the lives </w:t>
      </w:r>
      <w:r w:rsidR="00CE494C">
        <w:rPr>
          <w:lang w:val="en-GB"/>
        </w:rPr>
        <w:t xml:space="preserve">of his </w:t>
      </w:r>
      <w:r w:rsidRPr="00977275">
        <w:rPr>
          <w:lang w:val="en-GB"/>
        </w:rPr>
        <w:t>family</w:t>
      </w:r>
      <w:r w:rsidR="00CE494C">
        <w:rPr>
          <w:lang w:val="en-GB"/>
        </w:rPr>
        <w:t xml:space="preserve"> members</w:t>
      </w:r>
      <w:r w:rsidRPr="00977275">
        <w:rPr>
          <w:lang w:val="en-GB"/>
        </w:rPr>
        <w:t>.</w:t>
      </w:r>
    </w:p>
    <w:p w14:paraId="68572D0C" w14:textId="77777777" w:rsidR="003A46E4" w:rsidRDefault="00E97FB7">
      <w:pPr>
        <w:pStyle w:val="SingleTxtG"/>
        <w:spacing w:after="240"/>
        <w:rPr>
          <w:lang w:val="en-GB"/>
        </w:rPr>
      </w:pPr>
      <w:r>
        <w:rPr>
          <w:lang w:val="en-GB"/>
        </w:rPr>
        <w:t>5.4</w:t>
      </w:r>
      <w:r>
        <w:rPr>
          <w:lang w:val="en-GB"/>
        </w:rPr>
        <w:tab/>
        <w:t xml:space="preserve">On </w:t>
      </w:r>
      <w:r w:rsidR="00080009">
        <w:rPr>
          <w:lang w:val="en-GB"/>
        </w:rPr>
        <w:t xml:space="preserve">12 February 2015, </w:t>
      </w:r>
      <w:r w:rsidR="005C064D">
        <w:rPr>
          <w:lang w:val="en-GB"/>
        </w:rPr>
        <w:t>the author</w:t>
      </w:r>
      <w:r w:rsidR="006548EF">
        <w:rPr>
          <w:lang w:val="en-GB"/>
        </w:rPr>
        <w:t>,</w:t>
      </w:r>
      <w:r w:rsidR="005C064D">
        <w:rPr>
          <w:lang w:val="en-GB"/>
        </w:rPr>
        <w:t xml:space="preserve"> in his e-mail correspondence</w:t>
      </w:r>
      <w:r w:rsidR="006548EF">
        <w:rPr>
          <w:lang w:val="en-GB"/>
        </w:rPr>
        <w:t>,</w:t>
      </w:r>
      <w:r w:rsidR="005C064D">
        <w:rPr>
          <w:lang w:val="en-GB"/>
        </w:rPr>
        <w:t xml:space="preserve"> yet again </w:t>
      </w:r>
      <w:r w:rsidR="006548EF">
        <w:rPr>
          <w:lang w:val="en-GB"/>
        </w:rPr>
        <w:t>state</w:t>
      </w:r>
      <w:r w:rsidR="00164E74">
        <w:rPr>
          <w:lang w:val="en-GB"/>
        </w:rPr>
        <w:t>d</w:t>
      </w:r>
      <w:r w:rsidR="006548EF">
        <w:rPr>
          <w:lang w:val="en-GB"/>
        </w:rPr>
        <w:t xml:space="preserve"> </w:t>
      </w:r>
      <w:r w:rsidR="005C064D">
        <w:rPr>
          <w:lang w:val="en-GB"/>
        </w:rPr>
        <w:t>that he f</w:t>
      </w:r>
      <w:r w:rsidR="00164E74">
        <w:rPr>
          <w:lang w:val="en-GB"/>
        </w:rPr>
        <w:t>ound</w:t>
      </w:r>
      <w:r w:rsidR="005C064D">
        <w:rPr>
          <w:lang w:val="en-GB"/>
        </w:rPr>
        <w:t xml:space="preserve"> himself in a bad situation, </w:t>
      </w:r>
      <w:r w:rsidR="00F35CBA">
        <w:rPr>
          <w:lang w:val="en-GB"/>
        </w:rPr>
        <w:t>and urge</w:t>
      </w:r>
      <w:r w:rsidR="00164E74">
        <w:rPr>
          <w:lang w:val="en-GB"/>
        </w:rPr>
        <w:t>d</w:t>
      </w:r>
      <w:r w:rsidR="00F35CBA">
        <w:rPr>
          <w:lang w:val="en-GB"/>
        </w:rPr>
        <w:t xml:space="preserve"> protection </w:t>
      </w:r>
      <w:r w:rsidR="00E57271">
        <w:rPr>
          <w:lang w:val="en-GB"/>
        </w:rPr>
        <w:t>for him</w:t>
      </w:r>
      <w:r w:rsidR="00CE494C">
        <w:rPr>
          <w:lang w:val="en-GB"/>
        </w:rPr>
        <w:t>self</w:t>
      </w:r>
      <w:r w:rsidR="00E57271">
        <w:rPr>
          <w:lang w:val="en-GB"/>
        </w:rPr>
        <w:t xml:space="preserve"> and </w:t>
      </w:r>
      <w:r w:rsidR="005C064D">
        <w:rPr>
          <w:lang w:val="en-GB"/>
        </w:rPr>
        <w:t>his family</w:t>
      </w:r>
      <w:r w:rsidR="006C0C74">
        <w:rPr>
          <w:lang w:val="en-GB"/>
        </w:rPr>
        <w:t>.</w:t>
      </w:r>
      <w:r w:rsidR="00B2528B">
        <w:rPr>
          <w:rStyle w:val="FootnoteReference"/>
          <w:lang w:val="en-GB"/>
        </w:rPr>
        <w:footnoteReference w:id="10"/>
      </w:r>
      <w:r w:rsidR="00335D53">
        <w:rPr>
          <w:lang w:val="en-GB"/>
        </w:rPr>
        <w:t xml:space="preserve"> </w:t>
      </w:r>
    </w:p>
    <w:p w14:paraId="736810BB" w14:textId="77777777" w:rsidR="003A46E4" w:rsidRDefault="008A16B6" w:rsidP="008A16B6">
      <w:pPr>
        <w:pStyle w:val="H23G"/>
      </w:pPr>
      <w:r>
        <w:tab/>
      </w:r>
      <w:r>
        <w:tab/>
      </w:r>
      <w:r w:rsidR="00C038D2" w:rsidRPr="00C038D2">
        <w:t xml:space="preserve">State party’s further </w:t>
      </w:r>
      <w:r w:rsidR="00C038D2">
        <w:t xml:space="preserve">submission </w:t>
      </w:r>
    </w:p>
    <w:p w14:paraId="7A56BAEF" w14:textId="77777777" w:rsidR="00977275" w:rsidRDefault="008A16B6">
      <w:pPr>
        <w:pStyle w:val="SingleTxtG"/>
        <w:rPr>
          <w:lang w:val="en-GB"/>
        </w:rPr>
      </w:pPr>
      <w:r>
        <w:rPr>
          <w:lang w:val="en-GB"/>
        </w:rPr>
        <w:t>6.1</w:t>
      </w:r>
      <w:r w:rsidR="00C038D2" w:rsidRPr="00C038D2">
        <w:rPr>
          <w:lang w:val="en-GB"/>
        </w:rPr>
        <w:tab/>
      </w:r>
      <w:r w:rsidR="00C038D2">
        <w:rPr>
          <w:lang w:val="en-GB"/>
        </w:rPr>
        <w:t>On 28 January 2015, the State party</w:t>
      </w:r>
      <w:r w:rsidR="00142600">
        <w:rPr>
          <w:lang w:val="en-GB"/>
        </w:rPr>
        <w:t xml:space="preserve"> </w:t>
      </w:r>
      <w:r w:rsidR="006548EF">
        <w:rPr>
          <w:lang w:val="en-GB"/>
        </w:rPr>
        <w:t>maintain</w:t>
      </w:r>
      <w:r w:rsidR="00164E74">
        <w:rPr>
          <w:lang w:val="en-GB"/>
        </w:rPr>
        <w:t>ed</w:t>
      </w:r>
      <w:r w:rsidR="00C038D2">
        <w:rPr>
          <w:lang w:val="en-GB"/>
        </w:rPr>
        <w:t>, with reference to its observations of 1 October 2014, that the submissions by the author’s counsel of 12 January 2015 d</w:t>
      </w:r>
      <w:r w:rsidR="00164E74">
        <w:rPr>
          <w:lang w:val="en-GB"/>
        </w:rPr>
        <w:t>id</w:t>
      </w:r>
      <w:r w:rsidR="00C038D2">
        <w:rPr>
          <w:lang w:val="en-GB"/>
        </w:rPr>
        <w:t xml:space="preserve"> not give rise to any further comments by the State party. </w:t>
      </w:r>
      <w:r w:rsidR="00142600">
        <w:rPr>
          <w:lang w:val="en-GB"/>
        </w:rPr>
        <w:t xml:space="preserve">The </w:t>
      </w:r>
      <w:r w:rsidR="00C038D2">
        <w:rPr>
          <w:lang w:val="en-GB"/>
        </w:rPr>
        <w:t>State party maintains, as stated in its observations of 1 October 2014</w:t>
      </w:r>
      <w:r w:rsidR="00CE494C">
        <w:rPr>
          <w:lang w:val="en-GB"/>
        </w:rPr>
        <w:t>,</w:t>
      </w:r>
      <w:r w:rsidR="00142600">
        <w:rPr>
          <w:lang w:val="en-GB"/>
        </w:rPr>
        <w:t xml:space="preserve"> </w:t>
      </w:r>
      <w:r w:rsidR="00C038D2">
        <w:rPr>
          <w:lang w:val="en-GB"/>
        </w:rPr>
        <w:t>that the communication is manifestly ill</w:t>
      </w:r>
      <w:r w:rsidR="00164E74">
        <w:rPr>
          <w:lang w:val="en-GB"/>
        </w:rPr>
        <w:t>-</w:t>
      </w:r>
      <w:r w:rsidR="00C038D2">
        <w:rPr>
          <w:lang w:val="en-GB"/>
        </w:rPr>
        <w:t xml:space="preserve">founded and should be declared inadmissible. </w:t>
      </w:r>
      <w:r w:rsidR="00CE494C">
        <w:rPr>
          <w:lang w:val="en-GB"/>
        </w:rPr>
        <w:t>The State party further maintains that, s</w:t>
      </w:r>
      <w:r w:rsidR="00C038D2">
        <w:rPr>
          <w:lang w:val="en-GB"/>
        </w:rPr>
        <w:t xml:space="preserve">hould the Committee find the communication </w:t>
      </w:r>
      <w:r w:rsidR="003B1E81">
        <w:rPr>
          <w:lang w:val="en-GB"/>
        </w:rPr>
        <w:t xml:space="preserve">to be </w:t>
      </w:r>
      <w:r w:rsidR="00C038D2">
        <w:rPr>
          <w:lang w:val="en-GB"/>
        </w:rPr>
        <w:t>admissible, the return of the author to Afghanistan did not constitute a violation o</w:t>
      </w:r>
      <w:r w:rsidR="00142600">
        <w:rPr>
          <w:lang w:val="en-GB"/>
        </w:rPr>
        <w:t>f the provisions of the Covenant.</w:t>
      </w:r>
      <w:r w:rsidR="004350E7">
        <w:rPr>
          <w:lang w:val="en-GB"/>
        </w:rPr>
        <w:t xml:space="preserve"> </w:t>
      </w:r>
    </w:p>
    <w:p w14:paraId="6C4E5D54" w14:textId="77777777" w:rsidR="00406CF0" w:rsidRDefault="00977275">
      <w:pPr>
        <w:pStyle w:val="SingleTxtG"/>
        <w:spacing w:after="240"/>
        <w:rPr>
          <w:lang w:val="en-GB"/>
        </w:rPr>
      </w:pPr>
      <w:r>
        <w:rPr>
          <w:lang w:val="en-GB"/>
        </w:rPr>
        <w:t>6.2</w:t>
      </w:r>
      <w:r>
        <w:rPr>
          <w:lang w:val="en-GB"/>
        </w:rPr>
        <w:tab/>
        <w:t>On 10 February 2015, the State party</w:t>
      </w:r>
      <w:r w:rsidR="003B1E81">
        <w:rPr>
          <w:lang w:val="en-GB"/>
        </w:rPr>
        <w:t>,</w:t>
      </w:r>
      <w:r>
        <w:rPr>
          <w:lang w:val="en-GB"/>
        </w:rPr>
        <w:t xml:space="preserve"> in its submission</w:t>
      </w:r>
      <w:r w:rsidR="003B1E81">
        <w:rPr>
          <w:lang w:val="en-GB"/>
        </w:rPr>
        <w:t>,</w:t>
      </w:r>
      <w:r>
        <w:rPr>
          <w:lang w:val="en-GB"/>
        </w:rPr>
        <w:t xml:space="preserve"> </w:t>
      </w:r>
      <w:r w:rsidR="00E57271">
        <w:rPr>
          <w:lang w:val="en-GB"/>
        </w:rPr>
        <w:t>indicate</w:t>
      </w:r>
      <w:r w:rsidR="00164E74">
        <w:rPr>
          <w:lang w:val="en-GB"/>
        </w:rPr>
        <w:t>d</w:t>
      </w:r>
      <w:r w:rsidR="00E57271">
        <w:rPr>
          <w:lang w:val="en-GB"/>
        </w:rPr>
        <w:t xml:space="preserve"> </w:t>
      </w:r>
      <w:r>
        <w:rPr>
          <w:lang w:val="en-GB"/>
        </w:rPr>
        <w:t>that, in reference to the State party’s observations of 1 October 2014, the submissions by the author’s counsel of 3 February 2015 d</w:t>
      </w:r>
      <w:r w:rsidR="00164E74">
        <w:rPr>
          <w:lang w:val="en-GB"/>
        </w:rPr>
        <w:t>id</w:t>
      </w:r>
      <w:r>
        <w:rPr>
          <w:lang w:val="en-GB"/>
        </w:rPr>
        <w:t xml:space="preserve"> not give rise to any further comments by the State party. </w:t>
      </w:r>
    </w:p>
    <w:p w14:paraId="155F5F1F" w14:textId="77777777" w:rsidR="00F35149" w:rsidRPr="006C6C87" w:rsidRDefault="003134AC" w:rsidP="00F35149">
      <w:pPr>
        <w:pStyle w:val="H23G"/>
      </w:pPr>
      <w:r w:rsidRPr="007B3302">
        <w:tab/>
      </w:r>
      <w:r w:rsidRPr="007B3302">
        <w:tab/>
      </w:r>
      <w:r w:rsidR="00F35149" w:rsidRPr="006C6C87">
        <w:t>Issues and proceedings before the Committee</w:t>
      </w:r>
    </w:p>
    <w:p w14:paraId="06D0E8A1" w14:textId="77777777" w:rsidR="00F35149" w:rsidRPr="006C6C87" w:rsidRDefault="00F35149" w:rsidP="00F35149">
      <w:pPr>
        <w:pStyle w:val="H4G"/>
      </w:pPr>
      <w:r w:rsidRPr="006C6C87">
        <w:tab/>
      </w:r>
      <w:r w:rsidRPr="006C6C87">
        <w:tab/>
        <w:t>Consideration of admissibility</w:t>
      </w:r>
    </w:p>
    <w:p w14:paraId="17791D17" w14:textId="77777777" w:rsidR="00F35149" w:rsidRPr="006C6C87" w:rsidRDefault="00607DFA" w:rsidP="008C25DC">
      <w:pPr>
        <w:pStyle w:val="SingleTxtG"/>
        <w:rPr>
          <w:bCs/>
        </w:rPr>
      </w:pPr>
      <w:r>
        <w:rPr>
          <w:bCs/>
          <w:lang w:val="en-GB"/>
        </w:rPr>
        <w:t>7</w:t>
      </w:r>
      <w:r w:rsidR="00F35149" w:rsidRPr="006C6C87">
        <w:rPr>
          <w:bCs/>
        </w:rPr>
        <w:t>.1</w:t>
      </w:r>
      <w:r w:rsidR="00F35149" w:rsidRPr="006C6C87">
        <w:rPr>
          <w:bCs/>
        </w:rPr>
        <w:tab/>
        <w:t>Before considering any claim contained in a communication, the Human Rights Committee must</w:t>
      </w:r>
      <w:r w:rsidR="00166729">
        <w:rPr>
          <w:bCs/>
          <w:lang w:val="en-US"/>
        </w:rPr>
        <w:t xml:space="preserve"> decide</w:t>
      </w:r>
      <w:r w:rsidR="00F35149" w:rsidRPr="006C6C87">
        <w:rPr>
          <w:bCs/>
        </w:rPr>
        <w:t xml:space="preserve">, in accordance with rule 93 of its rules of procedure, whether </w:t>
      </w:r>
      <w:r w:rsidR="008C25DC">
        <w:rPr>
          <w:bCs/>
          <w:lang w:val="en-US"/>
        </w:rPr>
        <w:t>the communication</w:t>
      </w:r>
      <w:r w:rsidR="00F35149" w:rsidRPr="006C6C87">
        <w:rPr>
          <w:bCs/>
        </w:rPr>
        <w:t xml:space="preserve"> is admissible under the Optional Protocol to the Covenant.</w:t>
      </w:r>
    </w:p>
    <w:p w14:paraId="1C5DC277" w14:textId="77777777" w:rsidR="006B4B22" w:rsidRDefault="00607DFA" w:rsidP="00A81D2D">
      <w:pPr>
        <w:pStyle w:val="SingleTxtG"/>
        <w:rPr>
          <w:bCs/>
          <w:lang w:val="en-GB"/>
        </w:rPr>
      </w:pPr>
      <w:r>
        <w:rPr>
          <w:bCs/>
          <w:lang w:val="en-GB"/>
        </w:rPr>
        <w:t>7</w:t>
      </w:r>
      <w:r w:rsidR="00F35149" w:rsidRPr="006C6C87">
        <w:rPr>
          <w:bCs/>
        </w:rPr>
        <w:t>.2</w:t>
      </w:r>
      <w:r w:rsidR="00F35149" w:rsidRPr="006C6C87">
        <w:rPr>
          <w:bCs/>
        </w:rPr>
        <w:tab/>
      </w:r>
      <w:r w:rsidR="00F35149" w:rsidRPr="00CB4608">
        <w:rPr>
          <w:bCs/>
          <w:lang w:val="en-GB"/>
        </w:rPr>
        <w:t xml:space="preserve">The Committee has ascertained, as required </w:t>
      </w:r>
      <w:r w:rsidR="009F01E6">
        <w:rPr>
          <w:bCs/>
          <w:lang w:val="en-GB"/>
        </w:rPr>
        <w:t>under</w:t>
      </w:r>
      <w:r w:rsidR="0086775C">
        <w:rPr>
          <w:bCs/>
          <w:lang w:val="en-GB"/>
        </w:rPr>
        <w:t xml:space="preserve"> </w:t>
      </w:r>
      <w:r w:rsidR="00F35149" w:rsidRPr="00CB4608">
        <w:rPr>
          <w:bCs/>
          <w:lang w:val="en-GB"/>
        </w:rPr>
        <w:t xml:space="preserve">article 5 </w:t>
      </w:r>
      <w:r w:rsidR="009F01E6">
        <w:rPr>
          <w:bCs/>
          <w:lang w:val="en-GB"/>
        </w:rPr>
        <w:t>(</w:t>
      </w:r>
      <w:r w:rsidR="00F35149" w:rsidRPr="00CB4608">
        <w:rPr>
          <w:bCs/>
          <w:lang w:val="en-GB"/>
        </w:rPr>
        <w:t>2</w:t>
      </w:r>
      <w:r w:rsidR="009F01E6">
        <w:rPr>
          <w:bCs/>
          <w:lang w:val="en-GB"/>
        </w:rPr>
        <w:t>)</w:t>
      </w:r>
      <w:r w:rsidR="00F35149" w:rsidRPr="00CB4608">
        <w:rPr>
          <w:bCs/>
          <w:lang w:val="en-GB"/>
        </w:rPr>
        <w:t xml:space="preserve"> (a), of the Optional Protocol, that the same matter is not being examined under </w:t>
      </w:r>
      <w:r w:rsidR="00D15ECA">
        <w:rPr>
          <w:bCs/>
          <w:lang w:val="en-GB"/>
        </w:rPr>
        <w:t>an</w:t>
      </w:r>
      <w:r w:rsidR="00F35149" w:rsidRPr="00CB4608">
        <w:rPr>
          <w:bCs/>
          <w:lang w:val="en-GB"/>
        </w:rPr>
        <w:t>other procedure of international investigation or settlement.</w:t>
      </w:r>
      <w:r w:rsidR="00F573E7" w:rsidRPr="00CB4608">
        <w:rPr>
          <w:bCs/>
          <w:lang w:val="en-GB"/>
        </w:rPr>
        <w:t xml:space="preserve"> </w:t>
      </w:r>
    </w:p>
    <w:p w14:paraId="53FA112B" w14:textId="77777777" w:rsidR="00D42B6D" w:rsidRPr="006C0C74" w:rsidRDefault="006B4B22" w:rsidP="00A81D2D">
      <w:pPr>
        <w:pStyle w:val="SingleTxtG"/>
        <w:rPr>
          <w:lang w:val="en-GB"/>
        </w:rPr>
      </w:pPr>
      <w:r>
        <w:rPr>
          <w:bCs/>
          <w:lang w:val="en-GB"/>
        </w:rPr>
        <w:t>7.3</w:t>
      </w:r>
      <w:r>
        <w:rPr>
          <w:bCs/>
          <w:lang w:val="en-GB"/>
        </w:rPr>
        <w:tab/>
      </w:r>
      <w:r w:rsidR="0086775C">
        <w:rPr>
          <w:bCs/>
          <w:lang w:val="en-GB"/>
        </w:rPr>
        <w:t xml:space="preserve">The Committee </w:t>
      </w:r>
      <w:r w:rsidR="00F573E7" w:rsidRPr="00CB4608">
        <w:rPr>
          <w:bCs/>
          <w:lang w:val="en-GB"/>
        </w:rPr>
        <w:t xml:space="preserve">notes that it is </w:t>
      </w:r>
      <w:r w:rsidR="00F573E7" w:rsidRPr="00F573E7">
        <w:rPr>
          <w:bCs/>
          <w:lang w:val="en-GB"/>
        </w:rPr>
        <w:t>undisputed</w:t>
      </w:r>
      <w:r w:rsidR="00F573E7" w:rsidRPr="00CB4608">
        <w:rPr>
          <w:bCs/>
          <w:lang w:val="en-GB"/>
        </w:rPr>
        <w:t xml:space="preserve"> that </w:t>
      </w:r>
      <w:r w:rsidR="00F573E7" w:rsidRPr="00F573E7">
        <w:rPr>
          <w:bCs/>
          <w:lang w:val="en-GB"/>
        </w:rPr>
        <w:t>the</w:t>
      </w:r>
      <w:r w:rsidR="00F573E7" w:rsidRPr="00CB4608">
        <w:rPr>
          <w:bCs/>
          <w:lang w:val="en-GB"/>
        </w:rPr>
        <w:t xml:space="preserve"> author has exhausted all available domestic remedies, as </w:t>
      </w:r>
      <w:r w:rsidR="008C7622" w:rsidRPr="00F573E7">
        <w:rPr>
          <w:lang w:val="en-GB"/>
        </w:rPr>
        <w:t xml:space="preserve">required </w:t>
      </w:r>
      <w:r w:rsidR="008C7622" w:rsidRPr="00CB4608">
        <w:rPr>
          <w:lang w:val="en-GB"/>
        </w:rPr>
        <w:t xml:space="preserve">by </w:t>
      </w:r>
      <w:r w:rsidR="00F60C3B" w:rsidRPr="00CB4608">
        <w:rPr>
          <w:lang w:val="en-GB"/>
        </w:rPr>
        <w:t xml:space="preserve">article 5 </w:t>
      </w:r>
      <w:r w:rsidR="009F01E6">
        <w:rPr>
          <w:lang w:val="en-GB"/>
        </w:rPr>
        <w:t>(</w:t>
      </w:r>
      <w:r w:rsidR="00F60C3B" w:rsidRPr="00CB4608">
        <w:rPr>
          <w:lang w:val="en-GB"/>
        </w:rPr>
        <w:t>2</w:t>
      </w:r>
      <w:r w:rsidR="009F01E6">
        <w:rPr>
          <w:lang w:val="en-GB"/>
        </w:rPr>
        <w:t>)</w:t>
      </w:r>
      <w:r w:rsidR="00F60C3B" w:rsidRPr="00CB4608">
        <w:rPr>
          <w:lang w:val="en-GB"/>
        </w:rPr>
        <w:t xml:space="preserve"> (b), of the Optional Protocol.</w:t>
      </w:r>
      <w:r w:rsidR="00D42B6D" w:rsidRPr="00D42B6D">
        <w:t xml:space="preserve"> </w:t>
      </w:r>
    </w:p>
    <w:p w14:paraId="3B717277" w14:textId="77777777" w:rsidR="00A81D2D" w:rsidRDefault="008A16B6" w:rsidP="00B83D09">
      <w:pPr>
        <w:pStyle w:val="SingleTxtG"/>
        <w:rPr>
          <w:lang w:val="en-GB"/>
        </w:rPr>
      </w:pPr>
      <w:r>
        <w:rPr>
          <w:lang w:val="en-GB"/>
        </w:rPr>
        <w:t>7.</w:t>
      </w:r>
      <w:r w:rsidR="006B4B22">
        <w:rPr>
          <w:lang w:val="en-GB"/>
        </w:rPr>
        <w:t>4</w:t>
      </w:r>
      <w:r w:rsidR="006C0C74">
        <w:rPr>
          <w:lang w:val="en-GB"/>
        </w:rPr>
        <w:tab/>
      </w:r>
      <w:r w:rsidR="00D42B6D">
        <w:t xml:space="preserve">The Committee </w:t>
      </w:r>
      <w:r w:rsidR="00D42B6D" w:rsidRPr="00362134">
        <w:t>notes</w:t>
      </w:r>
      <w:r w:rsidR="003B1E81">
        <w:rPr>
          <w:lang w:val="en-US"/>
        </w:rPr>
        <w:t>,</w:t>
      </w:r>
      <w:r w:rsidR="00D42B6D" w:rsidRPr="00362134">
        <w:t xml:space="preserve"> regarding the author’s claim under </w:t>
      </w:r>
      <w:r w:rsidR="00D42B6D" w:rsidRPr="00362134">
        <w:rPr>
          <w:lang w:val="en-GB"/>
        </w:rPr>
        <w:t xml:space="preserve">article 14 of the Covenant </w:t>
      </w:r>
      <w:r w:rsidR="00CF3ACF" w:rsidRPr="00362134">
        <w:rPr>
          <w:lang w:val="en-GB"/>
        </w:rPr>
        <w:t>“</w:t>
      </w:r>
      <w:r w:rsidR="00D42B6D" w:rsidRPr="00362134">
        <w:rPr>
          <w:lang w:val="en-GB"/>
        </w:rPr>
        <w:t>or equivalent</w:t>
      </w:r>
      <w:r w:rsidR="00E97E81" w:rsidRPr="00362134">
        <w:rPr>
          <w:lang w:val="en-GB"/>
        </w:rPr>
        <w:t>”</w:t>
      </w:r>
      <w:r w:rsidR="00D42B6D" w:rsidRPr="00362134">
        <w:rPr>
          <w:lang w:val="en-GB"/>
        </w:rPr>
        <w:t xml:space="preserve">, and in particular the author’s objections to the short period of time between the refusal of the </w:t>
      </w:r>
      <w:r w:rsidR="00E81BED" w:rsidRPr="00362134">
        <w:rPr>
          <w:lang w:val="en-GB"/>
        </w:rPr>
        <w:t xml:space="preserve">Danish Refugee Appeals </w:t>
      </w:r>
      <w:r w:rsidR="00D42B6D" w:rsidRPr="00362134">
        <w:rPr>
          <w:lang w:val="en-GB"/>
        </w:rPr>
        <w:t>Board to reopen the author’s asylum proceedings and the return of the author to Afghanistan, the State party’s arguments that article 14 lays down the</w:t>
      </w:r>
      <w:r w:rsidR="00D42B6D" w:rsidRPr="00CD546D">
        <w:rPr>
          <w:lang w:val="en-GB"/>
        </w:rPr>
        <w:t xml:space="preserve"> principle of due process of law, including the right of access to the courts in the determination of a person’s rights and obligations in a suit of law. The </w:t>
      </w:r>
      <w:r w:rsidR="00D42B6D">
        <w:rPr>
          <w:lang w:val="en-GB"/>
        </w:rPr>
        <w:t xml:space="preserve">Committee refers to its jurisprudence that proceedings relating to the expulsion of an alien do not fall within the ambit of a determination of “rights and obligations in a suit at law” within </w:t>
      </w:r>
      <w:r w:rsidR="00D42B6D" w:rsidRPr="001E0129">
        <w:rPr>
          <w:lang w:val="en-GB"/>
        </w:rPr>
        <w:t xml:space="preserve">the meaning of article 14 </w:t>
      </w:r>
      <w:r w:rsidR="00B83D09">
        <w:rPr>
          <w:lang w:val="en-GB"/>
        </w:rPr>
        <w:t>(</w:t>
      </w:r>
      <w:r w:rsidR="00D42B6D" w:rsidRPr="001E0129">
        <w:rPr>
          <w:lang w:val="en-GB"/>
        </w:rPr>
        <w:t>1</w:t>
      </w:r>
      <w:r w:rsidR="00B83D09">
        <w:rPr>
          <w:lang w:val="en-GB"/>
        </w:rPr>
        <w:t>)</w:t>
      </w:r>
      <w:r w:rsidR="00D42B6D" w:rsidRPr="001E0129">
        <w:rPr>
          <w:lang w:val="en-GB"/>
        </w:rPr>
        <w:t xml:space="preserve">, but </w:t>
      </w:r>
      <w:r w:rsidR="001E0129" w:rsidRPr="001E0129">
        <w:rPr>
          <w:lang w:val="en-GB"/>
        </w:rPr>
        <w:t xml:space="preserve">rather </w:t>
      </w:r>
      <w:r w:rsidR="00D42B6D" w:rsidRPr="001E0129">
        <w:rPr>
          <w:lang w:val="en-GB"/>
        </w:rPr>
        <w:t>are governed by article 13 of the Covenant.</w:t>
      </w:r>
      <w:r w:rsidR="00D42B6D" w:rsidRPr="001E0129">
        <w:rPr>
          <w:rStyle w:val="FootnoteReference"/>
          <w:lang w:val="en-GB"/>
        </w:rPr>
        <w:footnoteReference w:id="11"/>
      </w:r>
      <w:r w:rsidR="00D42B6D" w:rsidRPr="001E0129">
        <w:rPr>
          <w:lang w:val="en-GB"/>
        </w:rPr>
        <w:t xml:space="preserve"> Accordingly, the Committee considers the author’s claim under article 14 inadmissible </w:t>
      </w:r>
      <w:r w:rsidR="00D42B6D" w:rsidRPr="001E0129">
        <w:rPr>
          <w:i/>
          <w:lang w:val="en-GB"/>
        </w:rPr>
        <w:t>ratione materiae</w:t>
      </w:r>
      <w:r w:rsidR="00D42B6D" w:rsidRPr="001E0129">
        <w:rPr>
          <w:lang w:val="en-GB"/>
        </w:rPr>
        <w:t xml:space="preserve"> pursuant to article 3 of the Optional Protocol.</w:t>
      </w:r>
      <w:r w:rsidR="004350E7">
        <w:rPr>
          <w:lang w:val="en-GB"/>
        </w:rPr>
        <w:t xml:space="preserve"> </w:t>
      </w:r>
    </w:p>
    <w:p w14:paraId="0A4122E4" w14:textId="77777777" w:rsidR="00382A62" w:rsidRDefault="00382A62" w:rsidP="001E0129">
      <w:pPr>
        <w:pStyle w:val="SingleTxtG"/>
        <w:rPr>
          <w:lang w:val="en-GB"/>
        </w:rPr>
      </w:pPr>
      <w:r>
        <w:rPr>
          <w:lang w:val="en-GB"/>
        </w:rPr>
        <w:t>7.</w:t>
      </w:r>
      <w:r w:rsidR="006B4B22">
        <w:rPr>
          <w:lang w:val="en-GB"/>
        </w:rPr>
        <w:t>5</w:t>
      </w:r>
      <w:r>
        <w:rPr>
          <w:lang w:val="en-GB"/>
        </w:rPr>
        <w:tab/>
      </w:r>
      <w:r w:rsidRPr="00382A62">
        <w:rPr>
          <w:lang w:val="en-GB"/>
        </w:rPr>
        <w:t xml:space="preserve">The Committee </w:t>
      </w:r>
      <w:r w:rsidR="001E0129">
        <w:rPr>
          <w:lang w:val="en-GB"/>
        </w:rPr>
        <w:t xml:space="preserve">also </w:t>
      </w:r>
      <w:r w:rsidRPr="00382A62">
        <w:rPr>
          <w:lang w:val="en-GB"/>
        </w:rPr>
        <w:t xml:space="preserve">notes the State party’s </w:t>
      </w:r>
      <w:r w:rsidRPr="00F57ADF">
        <w:rPr>
          <w:lang w:val="en-GB"/>
        </w:rPr>
        <w:t xml:space="preserve">argument that the author’s claims with respect to articles 6 and 7 of the Covenant should be held </w:t>
      </w:r>
      <w:r w:rsidR="001E0129" w:rsidRPr="00F57ADF">
        <w:rPr>
          <w:lang w:val="en-GB"/>
        </w:rPr>
        <w:t xml:space="preserve">as </w:t>
      </w:r>
      <w:r w:rsidRPr="00F57ADF">
        <w:rPr>
          <w:lang w:val="en-GB"/>
        </w:rPr>
        <w:t>inadmissible owing to insufficient substantiation</w:t>
      </w:r>
      <w:r w:rsidR="00E607A3" w:rsidRPr="00F57ADF">
        <w:rPr>
          <w:lang w:val="en-GB"/>
        </w:rPr>
        <w:t>,</w:t>
      </w:r>
      <w:r w:rsidRPr="00F57ADF">
        <w:rPr>
          <w:lang w:val="en-GB"/>
        </w:rPr>
        <w:t xml:space="preserve"> as the author </w:t>
      </w:r>
      <w:r w:rsidR="00CF3ACF" w:rsidRPr="00F57ADF">
        <w:rPr>
          <w:lang w:val="en-GB"/>
        </w:rPr>
        <w:t>“</w:t>
      </w:r>
      <w:r w:rsidRPr="00F57ADF">
        <w:rPr>
          <w:lang w:val="en-GB"/>
        </w:rPr>
        <w:t>has failed to establish a prima</w:t>
      </w:r>
      <w:r w:rsidRPr="00382A62">
        <w:rPr>
          <w:lang w:val="en-GB"/>
        </w:rPr>
        <w:t xml:space="preserve"> facie case for the purpose of admissibility of his communication</w:t>
      </w:r>
      <w:r w:rsidR="00685DA0" w:rsidRPr="004E593F">
        <w:rPr>
          <w:lang w:val="en-GB"/>
        </w:rPr>
        <w:t>”</w:t>
      </w:r>
      <w:r w:rsidRPr="00382A62">
        <w:rPr>
          <w:lang w:val="en-GB"/>
        </w:rPr>
        <w:t xml:space="preserve">. </w:t>
      </w:r>
      <w:r w:rsidR="00D42B6D">
        <w:rPr>
          <w:lang w:val="en-GB"/>
        </w:rPr>
        <w:t>At the same time, however, t</w:t>
      </w:r>
      <w:r w:rsidRPr="00382A62">
        <w:rPr>
          <w:lang w:val="en-GB"/>
        </w:rPr>
        <w:t xml:space="preserve">he Committee notes the </w:t>
      </w:r>
      <w:r w:rsidR="00B83477">
        <w:rPr>
          <w:lang w:val="en-GB"/>
        </w:rPr>
        <w:t xml:space="preserve">author’s detailed claims regarding the existing risks for him and the </w:t>
      </w:r>
      <w:r>
        <w:rPr>
          <w:lang w:val="en-GB"/>
        </w:rPr>
        <w:t>information that</w:t>
      </w:r>
      <w:r w:rsidR="00E97E81">
        <w:rPr>
          <w:lang w:val="en-GB"/>
        </w:rPr>
        <w:t>,</w:t>
      </w:r>
      <w:r>
        <w:rPr>
          <w:lang w:val="en-GB"/>
        </w:rPr>
        <w:t xml:space="preserve"> </w:t>
      </w:r>
      <w:r w:rsidRPr="00382A62">
        <w:rPr>
          <w:lang w:val="en-GB"/>
        </w:rPr>
        <w:t xml:space="preserve">due </w:t>
      </w:r>
      <w:r>
        <w:rPr>
          <w:lang w:val="en-GB"/>
        </w:rPr>
        <w:t xml:space="preserve">to </w:t>
      </w:r>
      <w:r w:rsidR="00B83477">
        <w:rPr>
          <w:lang w:val="en-GB"/>
        </w:rPr>
        <w:t>hi</w:t>
      </w:r>
      <w:r>
        <w:rPr>
          <w:lang w:val="en-GB"/>
        </w:rPr>
        <w:t xml:space="preserve">s </w:t>
      </w:r>
      <w:r w:rsidR="00B83477">
        <w:rPr>
          <w:lang w:val="en-GB"/>
        </w:rPr>
        <w:t xml:space="preserve">past </w:t>
      </w:r>
      <w:r w:rsidRPr="00382A62">
        <w:rPr>
          <w:lang w:val="en-GB"/>
        </w:rPr>
        <w:t xml:space="preserve">work </w:t>
      </w:r>
      <w:r w:rsidR="00B83477">
        <w:rPr>
          <w:lang w:val="en-GB"/>
        </w:rPr>
        <w:t>in</w:t>
      </w:r>
      <w:r w:rsidRPr="00382A62">
        <w:rPr>
          <w:lang w:val="en-GB"/>
        </w:rPr>
        <w:t xml:space="preserve"> fight</w:t>
      </w:r>
      <w:r w:rsidR="00B83477">
        <w:rPr>
          <w:lang w:val="en-GB"/>
        </w:rPr>
        <w:t>ing</w:t>
      </w:r>
      <w:r w:rsidRPr="00382A62">
        <w:rPr>
          <w:lang w:val="en-GB"/>
        </w:rPr>
        <w:t xml:space="preserve"> drug</w:t>
      </w:r>
      <w:r w:rsidR="00404151">
        <w:rPr>
          <w:lang w:val="en-GB"/>
        </w:rPr>
        <w:t>-related</w:t>
      </w:r>
      <w:r w:rsidRPr="00382A62">
        <w:rPr>
          <w:lang w:val="en-GB"/>
        </w:rPr>
        <w:t xml:space="preserve"> crime, he </w:t>
      </w:r>
      <w:r>
        <w:rPr>
          <w:lang w:val="en-GB"/>
        </w:rPr>
        <w:t xml:space="preserve">has been </w:t>
      </w:r>
      <w:r w:rsidRPr="00382A62">
        <w:rPr>
          <w:lang w:val="en-GB"/>
        </w:rPr>
        <w:t xml:space="preserve">sought by the Taliban, </w:t>
      </w:r>
      <w:r w:rsidR="00B83477">
        <w:rPr>
          <w:lang w:val="en-GB"/>
        </w:rPr>
        <w:t xml:space="preserve">as they </w:t>
      </w:r>
      <w:r w:rsidR="00E607A3">
        <w:rPr>
          <w:lang w:val="en-GB"/>
        </w:rPr>
        <w:t>are</w:t>
      </w:r>
      <w:r w:rsidR="00B83477">
        <w:rPr>
          <w:lang w:val="en-GB"/>
        </w:rPr>
        <w:t xml:space="preserve"> aware that</w:t>
      </w:r>
      <w:r w:rsidRPr="00382A62">
        <w:rPr>
          <w:lang w:val="en-GB"/>
        </w:rPr>
        <w:t xml:space="preserve"> he </w:t>
      </w:r>
      <w:r w:rsidR="00E607A3">
        <w:rPr>
          <w:lang w:val="en-GB"/>
        </w:rPr>
        <w:t xml:space="preserve">helped secure </w:t>
      </w:r>
      <w:r w:rsidRPr="00382A62">
        <w:rPr>
          <w:lang w:val="en-GB"/>
        </w:rPr>
        <w:t xml:space="preserve">the arrest of two </w:t>
      </w:r>
      <w:r w:rsidR="00B83477">
        <w:rPr>
          <w:lang w:val="en-GB"/>
        </w:rPr>
        <w:t xml:space="preserve">Taliban-affiliated </w:t>
      </w:r>
      <w:r w:rsidRPr="00382A62">
        <w:rPr>
          <w:lang w:val="en-GB"/>
        </w:rPr>
        <w:t>drug lords</w:t>
      </w:r>
      <w:r w:rsidR="00166C9F">
        <w:rPr>
          <w:lang w:val="en-GB"/>
        </w:rPr>
        <w:t xml:space="preserve">. The Committee further notes </w:t>
      </w:r>
      <w:r>
        <w:rPr>
          <w:lang w:val="en-GB"/>
        </w:rPr>
        <w:t xml:space="preserve">the allegations </w:t>
      </w:r>
      <w:r w:rsidR="00166C9F">
        <w:rPr>
          <w:lang w:val="en-GB"/>
        </w:rPr>
        <w:t xml:space="preserve">by the </w:t>
      </w:r>
      <w:r>
        <w:rPr>
          <w:lang w:val="en-GB"/>
        </w:rPr>
        <w:t xml:space="preserve">author </w:t>
      </w:r>
      <w:r w:rsidR="00166C9F">
        <w:rPr>
          <w:lang w:val="en-GB"/>
        </w:rPr>
        <w:t xml:space="preserve">that he </w:t>
      </w:r>
      <w:r w:rsidRPr="00382A62">
        <w:rPr>
          <w:lang w:val="en-GB"/>
        </w:rPr>
        <w:t xml:space="preserve">was </w:t>
      </w:r>
      <w:r w:rsidR="001E0129">
        <w:rPr>
          <w:lang w:val="en-GB"/>
        </w:rPr>
        <w:t>the</w:t>
      </w:r>
      <w:r w:rsidRPr="00382A62">
        <w:rPr>
          <w:lang w:val="en-GB"/>
        </w:rPr>
        <w:t xml:space="preserve"> victim of an abduction attempt and received repeated written and telephone threats, and</w:t>
      </w:r>
      <w:r w:rsidR="00166C9F">
        <w:rPr>
          <w:lang w:val="en-GB"/>
        </w:rPr>
        <w:t xml:space="preserve"> that </w:t>
      </w:r>
      <w:r w:rsidRPr="00382A62">
        <w:rPr>
          <w:lang w:val="en-GB"/>
        </w:rPr>
        <w:t>his br</w:t>
      </w:r>
      <w:r w:rsidR="00166C9F">
        <w:rPr>
          <w:lang w:val="en-GB"/>
        </w:rPr>
        <w:t>other was kidnapped and killed</w:t>
      </w:r>
      <w:r w:rsidR="00E607A3">
        <w:rPr>
          <w:lang w:val="en-GB"/>
        </w:rPr>
        <w:t>,</w:t>
      </w:r>
      <w:r w:rsidR="00166C9F">
        <w:rPr>
          <w:lang w:val="en-GB"/>
        </w:rPr>
        <w:t xml:space="preserve"> </w:t>
      </w:r>
      <w:r w:rsidRPr="00382A62">
        <w:rPr>
          <w:lang w:val="en-GB"/>
        </w:rPr>
        <w:t>which provide substantial grounds for believing that the author may be in danger of being arbitrarily deprived of his life or subjected to torture or cruel, inhuman or degrading treatment or punishment. The Committee is therefore of the opinion that</w:t>
      </w:r>
      <w:r>
        <w:rPr>
          <w:lang w:val="en-GB"/>
        </w:rPr>
        <w:t xml:space="preserve">, for the purposes of admissibility, the author has </w:t>
      </w:r>
      <w:r w:rsidRPr="00382A62">
        <w:rPr>
          <w:lang w:val="en-GB"/>
        </w:rPr>
        <w:t xml:space="preserve">sufficiently substantiated </w:t>
      </w:r>
      <w:r>
        <w:rPr>
          <w:lang w:val="en-GB"/>
        </w:rPr>
        <w:t xml:space="preserve">his allegations under </w:t>
      </w:r>
      <w:r w:rsidRPr="00382A62">
        <w:rPr>
          <w:lang w:val="en-GB"/>
        </w:rPr>
        <w:t>articles 6 and 7 of the Covenant</w:t>
      </w:r>
      <w:r w:rsidR="00166C9F">
        <w:rPr>
          <w:lang w:val="en-GB"/>
        </w:rPr>
        <w:t>.</w:t>
      </w:r>
      <w:r w:rsidR="004350E7">
        <w:rPr>
          <w:lang w:val="en-GB"/>
        </w:rPr>
        <w:t xml:space="preserve"> </w:t>
      </w:r>
    </w:p>
    <w:p w14:paraId="7FE42844" w14:textId="77777777" w:rsidR="00A81D2D" w:rsidRPr="007C0089" w:rsidRDefault="00A81D2D">
      <w:pPr>
        <w:pStyle w:val="SingleTxtG"/>
        <w:rPr>
          <w:lang w:val="en-US"/>
        </w:rPr>
      </w:pPr>
      <w:r w:rsidRPr="0017125E">
        <w:t>7.</w:t>
      </w:r>
      <w:r w:rsidR="006B4B22">
        <w:rPr>
          <w:lang w:val="en-GB"/>
        </w:rPr>
        <w:t>6</w:t>
      </w:r>
      <w:r w:rsidRPr="0017125E">
        <w:tab/>
        <w:t xml:space="preserve">In the light of the </w:t>
      </w:r>
      <w:r w:rsidR="00D42B6D" w:rsidRPr="00BE2B29">
        <w:rPr>
          <w:lang w:val="en-GB"/>
        </w:rPr>
        <w:t xml:space="preserve">above, </w:t>
      </w:r>
      <w:r w:rsidRPr="0017125E">
        <w:t>the Committee considers the communication admissible</w:t>
      </w:r>
      <w:r w:rsidR="00D42B6D" w:rsidRPr="00BE2B29">
        <w:rPr>
          <w:lang w:val="en-GB"/>
        </w:rPr>
        <w:t>,</w:t>
      </w:r>
      <w:r w:rsidRPr="0017125E">
        <w:t xml:space="preserve"> insofar as it raises issues</w:t>
      </w:r>
      <w:r w:rsidR="00D42B6D" w:rsidRPr="00BE2B29">
        <w:rPr>
          <w:lang w:val="en-GB"/>
        </w:rPr>
        <w:t xml:space="preserve"> under </w:t>
      </w:r>
      <w:r w:rsidRPr="0017125E">
        <w:t>article</w:t>
      </w:r>
      <w:r w:rsidR="003B0CAE">
        <w:rPr>
          <w:lang w:val="en-GB"/>
        </w:rPr>
        <w:t>s</w:t>
      </w:r>
      <w:r w:rsidRPr="0017125E">
        <w:t xml:space="preserve"> 6 </w:t>
      </w:r>
      <w:r w:rsidRPr="00AC5605">
        <w:t>and 7 of the Covenant</w:t>
      </w:r>
      <w:r w:rsidR="00E607A3" w:rsidRPr="00AC5605">
        <w:rPr>
          <w:lang w:val="en-US"/>
        </w:rPr>
        <w:t>,</w:t>
      </w:r>
      <w:r w:rsidRPr="00AC5605">
        <w:t xml:space="preserve"> and proceeds </w:t>
      </w:r>
      <w:r w:rsidR="00AC5605">
        <w:rPr>
          <w:lang w:val="en-US"/>
        </w:rPr>
        <w:t>to an</w:t>
      </w:r>
      <w:r w:rsidRPr="00AC5605">
        <w:t xml:space="preserve"> examination o</w:t>
      </w:r>
      <w:r w:rsidR="00B9588B" w:rsidRPr="00AC5605">
        <w:rPr>
          <w:lang w:val="en-US"/>
        </w:rPr>
        <w:t>f</w:t>
      </w:r>
      <w:r w:rsidRPr="00AC5605">
        <w:t xml:space="preserve"> the merits.</w:t>
      </w:r>
    </w:p>
    <w:p w14:paraId="6EE9B5AE" w14:textId="77777777" w:rsidR="00001AE9" w:rsidRDefault="0017125E" w:rsidP="00DA3CDA">
      <w:pPr>
        <w:pStyle w:val="H4G"/>
      </w:pPr>
      <w:r w:rsidRPr="00F57ADF">
        <w:tab/>
      </w:r>
      <w:r w:rsidRPr="00F57ADF">
        <w:tab/>
      </w:r>
      <w:r w:rsidR="00E93CC4" w:rsidRPr="00F57ADF">
        <w:t>Consideration of the merits</w:t>
      </w:r>
    </w:p>
    <w:p w14:paraId="16EBD384" w14:textId="77777777" w:rsidR="009020F8" w:rsidRPr="009020F8" w:rsidRDefault="009020F8" w:rsidP="009020F8">
      <w:pPr>
        <w:spacing w:after="120"/>
        <w:ind w:left="1134" w:right="1134"/>
        <w:jc w:val="both"/>
        <w:rPr>
          <w:lang w:val="x-none"/>
        </w:rPr>
      </w:pPr>
      <w:r>
        <w:t>8</w:t>
      </w:r>
      <w:r w:rsidRPr="009020F8">
        <w:rPr>
          <w:lang w:val="x-none"/>
        </w:rPr>
        <w:t>.</w:t>
      </w:r>
      <w:r w:rsidRPr="009020F8">
        <w:t>1</w:t>
      </w:r>
      <w:r w:rsidRPr="009020F8">
        <w:rPr>
          <w:lang w:val="x-none"/>
        </w:rPr>
        <w:tab/>
        <w:t xml:space="preserve">The Human Rights Committee has considered the present communication in the light of all </w:t>
      </w:r>
      <w:r w:rsidR="00E607A3">
        <w:rPr>
          <w:lang w:val="en-US"/>
        </w:rPr>
        <w:t xml:space="preserve">of </w:t>
      </w:r>
      <w:r w:rsidRPr="009020F8">
        <w:rPr>
          <w:lang w:val="x-none"/>
        </w:rPr>
        <w:t>the information made available to it by the parties, as required under article 5, paragraph 1, of the Optional Protocol.</w:t>
      </w:r>
    </w:p>
    <w:p w14:paraId="701E39CE" w14:textId="77777777" w:rsidR="00D42B6D" w:rsidRPr="001E0129" w:rsidRDefault="009020F8" w:rsidP="001E0129">
      <w:pPr>
        <w:spacing w:after="120"/>
        <w:ind w:left="1134" w:right="1134"/>
        <w:jc w:val="both"/>
      </w:pPr>
      <w:r>
        <w:t>8</w:t>
      </w:r>
      <w:r w:rsidRPr="009020F8">
        <w:rPr>
          <w:lang w:val="x-none"/>
        </w:rPr>
        <w:t>.</w:t>
      </w:r>
      <w:r w:rsidR="00001AE9">
        <w:t>2</w:t>
      </w:r>
      <w:r w:rsidRPr="009020F8">
        <w:rPr>
          <w:lang w:val="x-none"/>
        </w:rPr>
        <w:tab/>
      </w:r>
      <w:r w:rsidR="00D42B6D" w:rsidRPr="00DA3CDA">
        <w:t>The issue before the Committee is whether the removal of the author to Afghani</w:t>
      </w:r>
      <w:r w:rsidR="00DA3CDA">
        <w:t>s</w:t>
      </w:r>
      <w:r w:rsidR="00D42B6D" w:rsidRPr="00DA3CDA">
        <w:t>tan amounted to a</w:t>
      </w:r>
      <w:r w:rsidR="00DA3CDA">
        <w:t xml:space="preserve"> </w:t>
      </w:r>
      <w:r w:rsidR="00D42B6D" w:rsidRPr="00DA3CDA">
        <w:t>violation by th</w:t>
      </w:r>
      <w:r w:rsidR="00DA3CDA">
        <w:t>e</w:t>
      </w:r>
      <w:r w:rsidR="00D42B6D" w:rsidRPr="00DA3CDA">
        <w:t xml:space="preserve"> St</w:t>
      </w:r>
      <w:r w:rsidR="00DA3CDA">
        <w:t>at</w:t>
      </w:r>
      <w:r w:rsidR="00D42B6D" w:rsidRPr="00DA3CDA">
        <w:t>e party of its obligations under articles 6 and 7</w:t>
      </w:r>
      <w:r w:rsidR="00DA3CDA">
        <w:t xml:space="preserve"> </w:t>
      </w:r>
      <w:r w:rsidR="00D42B6D" w:rsidRPr="00DA3CDA">
        <w:t>of th</w:t>
      </w:r>
      <w:r w:rsidR="00DA3CDA">
        <w:t>e</w:t>
      </w:r>
      <w:r w:rsidR="00D42B6D" w:rsidRPr="00DA3CDA">
        <w:t xml:space="preserve"> </w:t>
      </w:r>
      <w:r w:rsidR="00D42B6D" w:rsidRPr="001E0129">
        <w:t xml:space="preserve">Covenant. </w:t>
      </w:r>
    </w:p>
    <w:p w14:paraId="529C7F48" w14:textId="77777777" w:rsidR="009020F8" w:rsidRPr="009020F8" w:rsidRDefault="00D42B6D" w:rsidP="001E0129">
      <w:pPr>
        <w:spacing w:after="120"/>
        <w:ind w:left="1134" w:right="1134"/>
        <w:jc w:val="both"/>
        <w:rPr>
          <w:lang w:val="x-none"/>
        </w:rPr>
      </w:pPr>
      <w:r w:rsidRPr="001E0129">
        <w:rPr>
          <w:bCs/>
        </w:rPr>
        <w:t>8.</w:t>
      </w:r>
      <w:r w:rsidR="00001AE9" w:rsidRPr="001E0129">
        <w:rPr>
          <w:bCs/>
        </w:rPr>
        <w:t>3</w:t>
      </w:r>
      <w:r w:rsidR="008A16B6" w:rsidRPr="001E0129">
        <w:rPr>
          <w:bCs/>
        </w:rPr>
        <w:tab/>
      </w:r>
      <w:r w:rsidR="001E0129" w:rsidRPr="001E0129">
        <w:rPr>
          <w:bCs/>
        </w:rPr>
        <w:t>T</w:t>
      </w:r>
      <w:r w:rsidR="009020F8" w:rsidRPr="001E0129">
        <w:rPr>
          <w:bCs/>
          <w:lang w:val="x-none"/>
        </w:rPr>
        <w:t>he Committee recalls</w:t>
      </w:r>
      <w:r w:rsidRPr="00F57ADF">
        <w:rPr>
          <w:bCs/>
        </w:rPr>
        <w:t xml:space="preserve"> that</w:t>
      </w:r>
      <w:r w:rsidR="00E607A3" w:rsidRPr="00F57ADF">
        <w:rPr>
          <w:bCs/>
        </w:rPr>
        <w:t>,</w:t>
      </w:r>
      <w:r w:rsidRPr="00F57ADF">
        <w:rPr>
          <w:bCs/>
        </w:rPr>
        <w:t xml:space="preserve"> in </w:t>
      </w:r>
      <w:r w:rsidR="009020F8" w:rsidRPr="00F57ADF">
        <w:rPr>
          <w:bCs/>
          <w:lang w:val="x-none"/>
        </w:rPr>
        <w:t>its general comment No. 31</w:t>
      </w:r>
      <w:r w:rsidRPr="00F57ADF">
        <w:rPr>
          <w:bCs/>
        </w:rPr>
        <w:t xml:space="preserve">, </w:t>
      </w:r>
      <w:r w:rsidR="009020F8" w:rsidRPr="00F57ADF">
        <w:rPr>
          <w:bCs/>
          <w:lang w:val="x-none"/>
        </w:rPr>
        <w:t>it refers to the obligation of States parties not to extradite, deport, expel or otherwise remove a person from their territory when there are substantial grounds for believing that there is a real risk</w:t>
      </w:r>
      <w:r w:rsidR="009020F8" w:rsidRPr="009020F8">
        <w:rPr>
          <w:bCs/>
          <w:lang w:val="x-none"/>
        </w:rPr>
        <w:t xml:space="preserve"> of irreparable harm</w:t>
      </w:r>
      <w:r w:rsidR="009020F8">
        <w:rPr>
          <w:bCs/>
        </w:rPr>
        <w:t>,</w:t>
      </w:r>
      <w:r w:rsidR="009020F8" w:rsidRPr="009020F8">
        <w:rPr>
          <w:bCs/>
          <w:lang w:val="x-none"/>
        </w:rPr>
        <w:t xml:space="preserve"> such as that contemplated by article</w:t>
      </w:r>
      <w:r w:rsidR="009020F8">
        <w:rPr>
          <w:bCs/>
        </w:rPr>
        <w:t>s 6 and</w:t>
      </w:r>
      <w:r w:rsidR="009020F8" w:rsidRPr="009020F8">
        <w:rPr>
          <w:bCs/>
          <w:lang w:val="x-none"/>
        </w:rPr>
        <w:t xml:space="preserve"> 7 of the Covenant.</w:t>
      </w:r>
      <w:r w:rsidR="009020F8" w:rsidRPr="009020F8">
        <w:rPr>
          <w:bCs/>
          <w:vertAlign w:val="superscript"/>
          <w:lang w:val="x-none"/>
        </w:rPr>
        <w:footnoteReference w:id="12"/>
      </w:r>
      <w:r w:rsidR="009020F8" w:rsidRPr="009020F8">
        <w:rPr>
          <w:bCs/>
          <w:lang w:val="x-none"/>
        </w:rPr>
        <w:t xml:space="preserve"> </w:t>
      </w:r>
      <w:r w:rsidR="009020F8" w:rsidRPr="009020F8">
        <w:rPr>
          <w:lang w:val="x-none"/>
        </w:rPr>
        <w:t>The Committee has also indicated that the risk must be personal</w:t>
      </w:r>
      <w:r w:rsidR="009020F8" w:rsidRPr="009020F8">
        <w:rPr>
          <w:sz w:val="18"/>
          <w:vertAlign w:val="superscript"/>
          <w:lang w:val="x-none"/>
        </w:rPr>
        <w:footnoteReference w:id="13"/>
      </w:r>
      <w:r w:rsidR="009020F8" w:rsidRPr="009020F8">
        <w:rPr>
          <w:lang w:val="x-none"/>
        </w:rPr>
        <w:t xml:space="preserve"> and that there is a high threshold for providing substantial grounds to establish that a real risk of irreparable harm exists.</w:t>
      </w:r>
      <w:r w:rsidR="009020F8" w:rsidRPr="009020F8">
        <w:rPr>
          <w:sz w:val="18"/>
          <w:vertAlign w:val="superscript"/>
          <w:lang w:val="x-none"/>
        </w:rPr>
        <w:footnoteReference w:id="14"/>
      </w:r>
      <w:r w:rsidR="009020F8" w:rsidRPr="009020F8">
        <w:rPr>
          <w:lang w:val="x-none"/>
        </w:rPr>
        <w:t xml:space="preserve"> Thus, all relevant facts and circumstances must be considered, including the general human rights situation in the author</w:t>
      </w:r>
      <w:r w:rsidR="00E07F44" w:rsidRPr="007C0089">
        <w:rPr>
          <w:lang w:val="en-US"/>
        </w:rPr>
        <w:t>’</w:t>
      </w:r>
      <w:r w:rsidR="009020F8" w:rsidRPr="009020F8">
        <w:rPr>
          <w:lang w:val="x-none"/>
        </w:rPr>
        <w:t>s country of origin.</w:t>
      </w:r>
      <w:r w:rsidR="009020F8" w:rsidRPr="009020F8">
        <w:rPr>
          <w:sz w:val="18"/>
          <w:vertAlign w:val="superscript"/>
          <w:lang w:val="x-none"/>
        </w:rPr>
        <w:footnoteReference w:id="15"/>
      </w:r>
      <w:r w:rsidR="009020F8" w:rsidRPr="009020F8">
        <w:rPr>
          <w:lang w:val="x-none"/>
        </w:rPr>
        <w:t xml:space="preserve"> </w:t>
      </w:r>
    </w:p>
    <w:p w14:paraId="58CBD947" w14:textId="77777777" w:rsidR="00B91791" w:rsidRDefault="009020F8" w:rsidP="00362134">
      <w:pPr>
        <w:spacing w:after="120"/>
        <w:ind w:left="1134" w:right="1134"/>
        <w:jc w:val="both"/>
      </w:pPr>
      <w:r>
        <w:t>8</w:t>
      </w:r>
      <w:r w:rsidRPr="009020F8">
        <w:rPr>
          <w:lang w:val="x-none"/>
        </w:rPr>
        <w:t>.</w:t>
      </w:r>
      <w:r>
        <w:t>4</w:t>
      </w:r>
      <w:r w:rsidRPr="009020F8">
        <w:rPr>
          <w:lang w:val="x-none"/>
        </w:rPr>
        <w:tab/>
        <w:t xml:space="preserve">The Committee </w:t>
      </w:r>
      <w:r w:rsidR="00D42B6D" w:rsidRPr="00D9506F">
        <w:t xml:space="preserve">further </w:t>
      </w:r>
      <w:r w:rsidRPr="009020F8">
        <w:rPr>
          <w:lang w:val="x-none"/>
        </w:rPr>
        <w:t xml:space="preserve">recalls its jurisprudence </w:t>
      </w:r>
      <w:r w:rsidRPr="00362134">
        <w:rPr>
          <w:lang w:val="x-none"/>
        </w:rPr>
        <w:t xml:space="preserve">that </w:t>
      </w:r>
      <w:r w:rsidR="006A7176" w:rsidRPr="007C0089">
        <w:rPr>
          <w:lang w:val="en-US"/>
        </w:rPr>
        <w:t>significant</w:t>
      </w:r>
      <w:r w:rsidR="006A7176" w:rsidRPr="00362134">
        <w:rPr>
          <w:lang w:val="x-none"/>
        </w:rPr>
        <w:t xml:space="preserve"> </w:t>
      </w:r>
      <w:r w:rsidRPr="00362134">
        <w:rPr>
          <w:lang w:val="x-none"/>
        </w:rPr>
        <w:t xml:space="preserve">weight should be given to the assessment conducted by the </w:t>
      </w:r>
      <w:r w:rsidR="001E0129" w:rsidRPr="00362134">
        <w:rPr>
          <w:lang w:val="en-US"/>
        </w:rPr>
        <w:t xml:space="preserve">authorities of </w:t>
      </w:r>
      <w:r w:rsidRPr="00362134">
        <w:rPr>
          <w:lang w:val="x-none"/>
        </w:rPr>
        <w:t>State</w:t>
      </w:r>
      <w:r w:rsidR="00D42B6D" w:rsidRPr="00362134">
        <w:t>s</w:t>
      </w:r>
      <w:r w:rsidRPr="00362134">
        <w:rPr>
          <w:lang w:val="x-none"/>
        </w:rPr>
        <w:t xml:space="preserve"> part</w:t>
      </w:r>
      <w:r w:rsidR="00D42B6D" w:rsidRPr="00362134">
        <w:t>ies</w:t>
      </w:r>
      <w:r w:rsidRPr="00362134">
        <w:rPr>
          <w:lang w:val="x-none"/>
        </w:rPr>
        <w:t>, unless it is found that the evaluation was clearly arbitrary or amounted to a denial of justice</w:t>
      </w:r>
      <w:r w:rsidRPr="00362134">
        <w:t>,</w:t>
      </w:r>
      <w:r w:rsidRPr="00362134">
        <w:rPr>
          <w:vertAlign w:val="superscript"/>
          <w:lang w:val="x-none"/>
        </w:rPr>
        <w:footnoteReference w:id="16"/>
      </w:r>
      <w:r w:rsidRPr="00362134">
        <w:t xml:space="preserve"> and that </w:t>
      </w:r>
      <w:r w:rsidRPr="00362134">
        <w:rPr>
          <w:lang w:val="x-none"/>
        </w:rPr>
        <w:t xml:space="preserve">it is </w:t>
      </w:r>
      <w:r w:rsidRPr="00362134">
        <w:t xml:space="preserve">generally </w:t>
      </w:r>
      <w:r w:rsidRPr="00362134">
        <w:rPr>
          <w:lang w:val="x-none"/>
        </w:rPr>
        <w:t>for the organs of States parties to the Covenant to review or</w:t>
      </w:r>
      <w:r w:rsidRPr="009020F8">
        <w:rPr>
          <w:lang w:val="x-none"/>
        </w:rPr>
        <w:t xml:space="preserve"> evaluate facts and evidence in order to determine whether such a risk exists</w:t>
      </w:r>
      <w:r w:rsidRPr="009020F8">
        <w:t>.</w:t>
      </w:r>
      <w:r w:rsidRPr="009020F8">
        <w:rPr>
          <w:vertAlign w:val="superscript"/>
          <w:lang w:val="x-none"/>
        </w:rPr>
        <w:footnoteReference w:id="17"/>
      </w:r>
      <w:r w:rsidRPr="009020F8">
        <w:t xml:space="preserve"> </w:t>
      </w:r>
    </w:p>
    <w:p w14:paraId="1F5B56C1" w14:textId="77777777" w:rsidR="00001AE9" w:rsidRDefault="00B91791">
      <w:pPr>
        <w:pStyle w:val="SingleTxtG"/>
      </w:pPr>
      <w:r>
        <w:t>8.5</w:t>
      </w:r>
      <w:r>
        <w:tab/>
      </w:r>
      <w:r w:rsidR="009020F8" w:rsidRPr="009020F8">
        <w:t xml:space="preserve">The Committee notes the </w:t>
      </w:r>
      <w:r w:rsidR="003530F4">
        <w:t xml:space="preserve">State party’s </w:t>
      </w:r>
      <w:r w:rsidR="00D42B6D">
        <w:t xml:space="preserve">observation </w:t>
      </w:r>
      <w:r w:rsidR="003530F4">
        <w:t xml:space="preserve">that its obligations under articles 6 and 7 of the Covenant are </w:t>
      </w:r>
      <w:r w:rsidR="003530F4" w:rsidRPr="004D3686">
        <w:t xml:space="preserve">reflected in </w:t>
      </w:r>
      <w:r w:rsidR="004D3686" w:rsidRPr="007C0089">
        <w:rPr>
          <w:lang w:val="en-US"/>
        </w:rPr>
        <w:t>paragraph</w:t>
      </w:r>
      <w:r w:rsidR="004D3686" w:rsidRPr="004D3686">
        <w:t xml:space="preserve"> </w:t>
      </w:r>
      <w:r w:rsidR="003530F4" w:rsidRPr="004D3686">
        <w:t>7</w:t>
      </w:r>
      <w:r w:rsidR="004D3686" w:rsidRPr="007C0089">
        <w:rPr>
          <w:lang w:val="en-US"/>
        </w:rPr>
        <w:t> </w:t>
      </w:r>
      <w:r w:rsidR="003530F4" w:rsidRPr="004D3686">
        <w:t xml:space="preserve">(2) of the Aliens Act, under which a residence permit will be issued to an alien upon application if the alien </w:t>
      </w:r>
      <w:r w:rsidR="00894166" w:rsidRPr="004D3686">
        <w:rPr>
          <w:lang w:val="en-US"/>
        </w:rPr>
        <w:t xml:space="preserve">is at risk of </w:t>
      </w:r>
      <w:r w:rsidR="003530F4" w:rsidRPr="004D3686">
        <w:t>the death penalty or being subjected to torture or inhuman or degrading treatment or</w:t>
      </w:r>
      <w:r w:rsidR="003530F4">
        <w:t xml:space="preserve"> punishment in </w:t>
      </w:r>
      <w:r w:rsidR="00B9588B">
        <w:rPr>
          <w:lang w:val="en-US"/>
        </w:rPr>
        <w:t xml:space="preserve">the event </w:t>
      </w:r>
      <w:r w:rsidR="003530F4">
        <w:t xml:space="preserve">of his return to his country of origin. The Committee </w:t>
      </w:r>
      <w:r w:rsidR="00D42B6D">
        <w:t>further</w:t>
      </w:r>
      <w:r w:rsidR="003530F4">
        <w:t xml:space="preserve"> notes the State party’s observation that the assessment of whether an alien risks persecution or abuse justifying asylum in </w:t>
      </w:r>
      <w:r w:rsidR="00FC3618">
        <w:rPr>
          <w:lang w:val="en-US"/>
        </w:rPr>
        <w:t>the event</w:t>
      </w:r>
      <w:r w:rsidR="00FC3618">
        <w:t xml:space="preserve"> </w:t>
      </w:r>
      <w:r w:rsidR="003530F4">
        <w:t>of his return to his country of origin must normally be made in the light of the information available at the time of the decision</w:t>
      </w:r>
      <w:r w:rsidR="00D66146">
        <w:t xml:space="preserve">, i.e. that the existence of the risk must be assessed primarily with reference to those facts which were known or ought to have been known to the State </w:t>
      </w:r>
      <w:r>
        <w:t xml:space="preserve">party </w:t>
      </w:r>
      <w:r w:rsidR="00D66146">
        <w:t xml:space="preserve">at the time of the expulsion. </w:t>
      </w:r>
      <w:r w:rsidR="005E3CA4">
        <w:t xml:space="preserve">According to the State party, the decisive </w:t>
      </w:r>
      <w:r w:rsidR="005E3CA4" w:rsidRPr="00F57ADF">
        <w:t xml:space="preserve">factor </w:t>
      </w:r>
      <w:r w:rsidR="00DD471F" w:rsidRPr="00F57ADF">
        <w:rPr>
          <w:lang w:val="en-US"/>
        </w:rPr>
        <w:t>must</w:t>
      </w:r>
      <w:r w:rsidR="006A7176" w:rsidRPr="00F57ADF">
        <w:rPr>
          <w:lang w:val="en-US"/>
        </w:rPr>
        <w:t xml:space="preserve"> </w:t>
      </w:r>
      <w:r w:rsidR="00FC3618">
        <w:rPr>
          <w:lang w:val="en-US"/>
        </w:rPr>
        <w:t xml:space="preserve">then </w:t>
      </w:r>
      <w:r w:rsidR="005E3CA4" w:rsidRPr="00F57ADF">
        <w:t>be whether</w:t>
      </w:r>
      <w:r w:rsidR="005E3CA4">
        <w:t xml:space="preserve">, at the time </w:t>
      </w:r>
      <w:r w:rsidR="005E3CA4" w:rsidRPr="00362134">
        <w:t xml:space="preserve">of the decisions of 21 May 2013 and 17 March 2014 made by the </w:t>
      </w:r>
      <w:r w:rsidR="00E81BED" w:rsidRPr="00362134">
        <w:rPr>
          <w:lang w:val="en-GB"/>
        </w:rPr>
        <w:t xml:space="preserve">Danish Refugee Appeals </w:t>
      </w:r>
      <w:r w:rsidR="005E3CA4" w:rsidRPr="00362134">
        <w:t xml:space="preserve">Board, information was available that supported the author’s allegation that he would be at risk of being subjected to persecution or abuse justifying asylum in </w:t>
      </w:r>
      <w:r w:rsidR="001469AC" w:rsidRPr="00362134">
        <w:rPr>
          <w:lang w:val="en-US"/>
        </w:rPr>
        <w:t>the event</w:t>
      </w:r>
      <w:r w:rsidR="001469AC" w:rsidRPr="00362134">
        <w:t xml:space="preserve"> </w:t>
      </w:r>
      <w:r w:rsidR="005E3CA4" w:rsidRPr="00362134">
        <w:t>of his</w:t>
      </w:r>
      <w:r w:rsidR="005E3CA4">
        <w:t xml:space="preserve"> return to Afghanistan.</w:t>
      </w:r>
    </w:p>
    <w:p w14:paraId="0E1BFB6A" w14:textId="77777777" w:rsidR="00001AE9" w:rsidRPr="00597A17" w:rsidRDefault="00001AE9" w:rsidP="000D37C7">
      <w:pPr>
        <w:pStyle w:val="SingleTxtG"/>
      </w:pPr>
      <w:r w:rsidRPr="00597A17">
        <w:t>8.6</w:t>
      </w:r>
      <w:r w:rsidRPr="00597A17">
        <w:tab/>
        <w:t>In the context of the refusal of 17 March 2014 by the Board, the Committee notes the State party’s argument that the author has substantially enlarged on his statements to the Board and the Danish Refugee Council about the difficulties that he experienced during his stay in Kabul</w:t>
      </w:r>
      <w:r w:rsidR="00FC3618">
        <w:rPr>
          <w:lang w:val="en-US"/>
        </w:rPr>
        <w:t>, as</w:t>
      </w:r>
      <w:r w:rsidRPr="00597A17">
        <w:t xml:space="preserve"> compared with the statements </w:t>
      </w:r>
      <w:r w:rsidR="000D37C7">
        <w:rPr>
          <w:lang w:val="en-US"/>
        </w:rPr>
        <w:t xml:space="preserve">he </w:t>
      </w:r>
      <w:r w:rsidRPr="00597A17">
        <w:t xml:space="preserve">made during the initial asylum proceedings. The Committee also notes the State party’s arguments that the author was able to stay in Kabul from October 2009 to May 2012 without being located </w:t>
      </w:r>
      <w:r w:rsidR="00B90572" w:rsidRPr="00597A17">
        <w:t>or</w:t>
      </w:r>
      <w:r w:rsidRPr="00597A17">
        <w:t xml:space="preserve"> contacted by the Taliban and that he was able to visit his family in Jalalabad</w:t>
      </w:r>
      <w:r w:rsidR="000D37C7">
        <w:rPr>
          <w:lang w:val="en-US"/>
        </w:rPr>
        <w:t>;</w:t>
      </w:r>
      <w:r w:rsidRPr="00597A17">
        <w:t xml:space="preserve"> that the author does not seem to have </w:t>
      </w:r>
      <w:r w:rsidR="000D37C7">
        <w:rPr>
          <w:lang w:val="en-US"/>
        </w:rPr>
        <w:t xml:space="preserve">provided </w:t>
      </w:r>
      <w:r w:rsidRPr="00597A17">
        <w:t xml:space="preserve">any information at the meeting </w:t>
      </w:r>
      <w:r w:rsidR="00894166">
        <w:rPr>
          <w:lang w:val="en-US"/>
        </w:rPr>
        <w:t xml:space="preserve">during </w:t>
      </w:r>
      <w:r w:rsidRPr="00597A17">
        <w:t xml:space="preserve">which Christianity </w:t>
      </w:r>
      <w:r w:rsidR="00894166">
        <w:rPr>
          <w:lang w:val="en-US"/>
        </w:rPr>
        <w:t xml:space="preserve">was </w:t>
      </w:r>
      <w:r w:rsidRPr="00597A17">
        <w:t>discussed that could give the Afghan authorities a reason to believe that he had converted to Christianity</w:t>
      </w:r>
      <w:r w:rsidR="000D37C7">
        <w:rPr>
          <w:lang w:val="en-US"/>
        </w:rPr>
        <w:t>;</w:t>
      </w:r>
      <w:r w:rsidRPr="00597A17">
        <w:t xml:space="preserve"> and that the Board saw no reason to adjourn the case pending the </w:t>
      </w:r>
      <w:r w:rsidR="00597A17">
        <w:t xml:space="preserve">verification of the authenticity </w:t>
      </w:r>
      <w:r w:rsidRPr="00597A17">
        <w:t>of the documents produced by the author</w:t>
      </w:r>
      <w:r w:rsidR="00894166">
        <w:rPr>
          <w:lang w:val="en-US"/>
        </w:rPr>
        <w:t>,</w:t>
      </w:r>
      <w:r w:rsidRPr="00597A17">
        <w:t xml:space="preserve"> as it </w:t>
      </w:r>
      <w:r w:rsidR="00B90572" w:rsidRPr="00597A17">
        <w:t xml:space="preserve">believed that it was </w:t>
      </w:r>
      <w:r w:rsidRPr="00597A17">
        <w:t>possible to obtain all kinds of forged documents in Afghanistan.</w:t>
      </w:r>
      <w:r w:rsidR="002F75BF" w:rsidRPr="00597A17">
        <w:rPr>
          <w:rStyle w:val="FootnoteReference"/>
        </w:rPr>
        <w:footnoteReference w:id="18"/>
      </w:r>
    </w:p>
    <w:p w14:paraId="6288C80E" w14:textId="77777777" w:rsidR="00001AE9" w:rsidRPr="0085030B" w:rsidRDefault="00001AE9" w:rsidP="00404151">
      <w:pPr>
        <w:pStyle w:val="SingleTxtG"/>
        <w:rPr>
          <w:lang w:val="en-GB"/>
        </w:rPr>
      </w:pPr>
      <w:r w:rsidRPr="0085030B">
        <w:rPr>
          <w:lang w:val="en-GB"/>
        </w:rPr>
        <w:t>8.7</w:t>
      </w:r>
      <w:r w:rsidRPr="0085030B">
        <w:rPr>
          <w:lang w:val="en-GB"/>
        </w:rPr>
        <w:tab/>
        <w:t>At the same time, the Committee takes note</w:t>
      </w:r>
      <w:r w:rsidR="00B90572" w:rsidRPr="0085030B">
        <w:rPr>
          <w:lang w:val="en-GB"/>
        </w:rPr>
        <w:t xml:space="preserve"> </w:t>
      </w:r>
      <w:r w:rsidRPr="0085030B">
        <w:rPr>
          <w:lang w:val="en-GB"/>
        </w:rPr>
        <w:t>of the author’s assertions that</w:t>
      </w:r>
      <w:r w:rsidR="00894166">
        <w:rPr>
          <w:lang w:val="en-GB"/>
        </w:rPr>
        <w:t>,</w:t>
      </w:r>
      <w:r w:rsidRPr="0085030B">
        <w:rPr>
          <w:lang w:val="en-GB"/>
        </w:rPr>
        <w:t xml:space="preserve"> due to his former work </w:t>
      </w:r>
      <w:r w:rsidR="00B90572" w:rsidRPr="0085030B">
        <w:rPr>
          <w:lang w:val="en-GB"/>
        </w:rPr>
        <w:t>in</w:t>
      </w:r>
      <w:r w:rsidRPr="0085030B">
        <w:rPr>
          <w:lang w:val="en-GB"/>
        </w:rPr>
        <w:t xml:space="preserve"> fight</w:t>
      </w:r>
      <w:r w:rsidR="00B90572" w:rsidRPr="0085030B">
        <w:rPr>
          <w:lang w:val="en-GB"/>
        </w:rPr>
        <w:t>ing</w:t>
      </w:r>
      <w:r w:rsidRPr="0085030B">
        <w:rPr>
          <w:lang w:val="en-GB"/>
        </w:rPr>
        <w:t xml:space="preserve"> drug</w:t>
      </w:r>
      <w:r w:rsidR="00894166">
        <w:rPr>
          <w:lang w:val="en-GB"/>
        </w:rPr>
        <w:t>-</w:t>
      </w:r>
      <w:r w:rsidR="00B90572" w:rsidRPr="0085030B">
        <w:rPr>
          <w:lang w:val="en-GB"/>
        </w:rPr>
        <w:t xml:space="preserve">related </w:t>
      </w:r>
      <w:r w:rsidRPr="0085030B">
        <w:rPr>
          <w:lang w:val="en-GB"/>
        </w:rPr>
        <w:t>crime</w:t>
      </w:r>
      <w:r w:rsidR="000D37C7">
        <w:rPr>
          <w:lang w:val="en-GB"/>
        </w:rPr>
        <w:t>,</w:t>
      </w:r>
      <w:r w:rsidRPr="0085030B">
        <w:rPr>
          <w:lang w:val="en-GB"/>
        </w:rPr>
        <w:t xml:space="preserve"> in </w:t>
      </w:r>
      <w:r w:rsidR="00B90572" w:rsidRPr="0085030B">
        <w:rPr>
          <w:lang w:val="en-GB"/>
        </w:rPr>
        <w:t xml:space="preserve">close </w:t>
      </w:r>
      <w:r w:rsidRPr="0085030B">
        <w:rPr>
          <w:lang w:val="en-GB"/>
        </w:rPr>
        <w:t>cooperation with several English-speaking agencies</w:t>
      </w:r>
      <w:r w:rsidR="00894166">
        <w:rPr>
          <w:lang w:val="en-GB"/>
        </w:rPr>
        <w:t>,</w:t>
      </w:r>
      <w:r w:rsidRPr="0085030B">
        <w:rPr>
          <w:lang w:val="en-GB"/>
        </w:rPr>
        <w:t xml:space="preserve"> he is at “great risk of being exposed to serious harm and abuse, even death” by </w:t>
      </w:r>
      <w:r w:rsidR="00B90572" w:rsidRPr="0085030B">
        <w:rPr>
          <w:lang w:val="en-GB"/>
        </w:rPr>
        <w:t xml:space="preserve">the </w:t>
      </w:r>
      <w:r w:rsidRPr="0085030B">
        <w:rPr>
          <w:lang w:val="en-GB"/>
        </w:rPr>
        <w:t>Taliban</w:t>
      </w:r>
      <w:r w:rsidR="00B90572" w:rsidRPr="0085030B">
        <w:rPr>
          <w:lang w:val="en-GB"/>
        </w:rPr>
        <w:t xml:space="preserve"> in Afghanistan, in particular due to his assistance in securing the arrest of two Taliban-affiliated </w:t>
      </w:r>
      <w:r w:rsidR="00B90572" w:rsidRPr="00F57ADF">
        <w:rPr>
          <w:lang w:val="en-GB"/>
        </w:rPr>
        <w:t>drug lords</w:t>
      </w:r>
      <w:r w:rsidRPr="00F57ADF">
        <w:rPr>
          <w:lang w:val="en-GB"/>
        </w:rPr>
        <w:t>. The Committee also notes the author’s claim that</w:t>
      </w:r>
      <w:r w:rsidR="00894166" w:rsidRPr="00F57ADF">
        <w:rPr>
          <w:lang w:val="en-GB"/>
        </w:rPr>
        <w:t>,</w:t>
      </w:r>
      <w:r w:rsidRPr="00F57ADF">
        <w:rPr>
          <w:lang w:val="en-GB"/>
        </w:rPr>
        <w:t xml:space="preserve"> due to his </w:t>
      </w:r>
      <w:r w:rsidR="00B90572" w:rsidRPr="00F57ADF">
        <w:rPr>
          <w:lang w:val="en-GB"/>
        </w:rPr>
        <w:t xml:space="preserve">past </w:t>
      </w:r>
      <w:r w:rsidRPr="00F57ADF">
        <w:rPr>
          <w:lang w:val="en-GB"/>
        </w:rPr>
        <w:t xml:space="preserve">work, </w:t>
      </w:r>
      <w:r w:rsidR="00B90572" w:rsidRPr="00F57ADF">
        <w:rPr>
          <w:lang w:val="en-GB"/>
        </w:rPr>
        <w:t>t</w:t>
      </w:r>
      <w:r w:rsidRPr="00F57ADF">
        <w:rPr>
          <w:lang w:val="en-GB"/>
        </w:rPr>
        <w:t xml:space="preserve">he </w:t>
      </w:r>
      <w:r w:rsidR="00B90572" w:rsidRPr="00F57ADF">
        <w:rPr>
          <w:lang w:val="en-GB"/>
        </w:rPr>
        <w:t xml:space="preserve">author </w:t>
      </w:r>
      <w:r w:rsidRPr="00F57ADF">
        <w:rPr>
          <w:lang w:val="en-GB"/>
        </w:rPr>
        <w:t>belongs to several risk groups under</w:t>
      </w:r>
      <w:r w:rsidRPr="0085030B">
        <w:rPr>
          <w:lang w:val="en-GB"/>
        </w:rPr>
        <w:t xml:space="preserve"> the UNHCR Eligibility Guidelines for Assessing the International Protection Needs of Asylum</w:t>
      </w:r>
      <w:r w:rsidR="00404151">
        <w:rPr>
          <w:lang w:val="en-GB"/>
        </w:rPr>
        <w:t xml:space="preserve"> </w:t>
      </w:r>
      <w:r w:rsidRPr="0085030B">
        <w:rPr>
          <w:lang w:val="en-GB"/>
        </w:rPr>
        <w:t xml:space="preserve">Seekers from Afghanistan </w:t>
      </w:r>
      <w:r w:rsidR="00404151">
        <w:rPr>
          <w:lang w:val="en-GB"/>
        </w:rPr>
        <w:t>of</w:t>
      </w:r>
      <w:r w:rsidR="00404151" w:rsidRPr="0085030B">
        <w:rPr>
          <w:lang w:val="en-GB"/>
        </w:rPr>
        <w:t xml:space="preserve"> </w:t>
      </w:r>
      <w:r w:rsidRPr="0085030B">
        <w:rPr>
          <w:lang w:val="en-GB"/>
        </w:rPr>
        <w:t>6 August 2013, a</w:t>
      </w:r>
      <w:r w:rsidR="00B90572" w:rsidRPr="0085030B">
        <w:rPr>
          <w:lang w:val="en-GB"/>
        </w:rPr>
        <w:t>n</w:t>
      </w:r>
      <w:r w:rsidR="0085030B">
        <w:rPr>
          <w:lang w:val="en-GB"/>
        </w:rPr>
        <w:t>d</w:t>
      </w:r>
      <w:r w:rsidR="00B90572" w:rsidRPr="0085030B">
        <w:rPr>
          <w:lang w:val="en-GB"/>
        </w:rPr>
        <w:t xml:space="preserve"> that this </w:t>
      </w:r>
      <w:r w:rsidR="000D37C7">
        <w:rPr>
          <w:lang w:val="en-GB"/>
        </w:rPr>
        <w:t xml:space="preserve">fact </w:t>
      </w:r>
      <w:r w:rsidR="00B90572" w:rsidRPr="0085030B">
        <w:rPr>
          <w:lang w:val="en-GB"/>
        </w:rPr>
        <w:t>was</w:t>
      </w:r>
      <w:r w:rsidRPr="0085030B">
        <w:rPr>
          <w:lang w:val="en-GB"/>
        </w:rPr>
        <w:t xml:space="preserve"> conceded by the State party. The Committee further notes the author’s assertions that</w:t>
      </w:r>
      <w:r w:rsidR="00894166">
        <w:rPr>
          <w:lang w:val="en-GB"/>
        </w:rPr>
        <w:t>,</w:t>
      </w:r>
      <w:r w:rsidR="00B90572" w:rsidRPr="0085030B">
        <w:rPr>
          <w:lang w:val="en-GB"/>
        </w:rPr>
        <w:t xml:space="preserve"> in the context of his past </w:t>
      </w:r>
      <w:r w:rsidRPr="0085030B">
        <w:rPr>
          <w:lang w:val="en-GB"/>
        </w:rPr>
        <w:t xml:space="preserve">work, he was </w:t>
      </w:r>
      <w:r w:rsidR="00894166">
        <w:rPr>
          <w:lang w:val="en-GB"/>
        </w:rPr>
        <w:t>the</w:t>
      </w:r>
      <w:r w:rsidRPr="0085030B">
        <w:rPr>
          <w:lang w:val="en-GB"/>
        </w:rPr>
        <w:t xml:space="preserve"> victim of an abduction attempt and received written threats</w:t>
      </w:r>
      <w:r w:rsidR="00894166">
        <w:rPr>
          <w:lang w:val="en-GB"/>
        </w:rPr>
        <w:t>, and</w:t>
      </w:r>
      <w:r w:rsidRPr="0085030B">
        <w:rPr>
          <w:lang w:val="en-GB"/>
        </w:rPr>
        <w:t xml:space="preserve"> his brother was kidnapped and killed</w:t>
      </w:r>
      <w:r w:rsidR="00B90572" w:rsidRPr="0085030B">
        <w:rPr>
          <w:lang w:val="en-GB"/>
        </w:rPr>
        <w:t>. It notes that th</w:t>
      </w:r>
      <w:r w:rsidR="0085030B">
        <w:rPr>
          <w:lang w:val="en-GB"/>
        </w:rPr>
        <w:t xml:space="preserve">ose </w:t>
      </w:r>
      <w:r w:rsidR="001868A7" w:rsidRPr="0085030B">
        <w:rPr>
          <w:lang w:val="en-GB"/>
        </w:rPr>
        <w:t xml:space="preserve">serious </w:t>
      </w:r>
      <w:r w:rsidR="00B90572" w:rsidRPr="0085030B">
        <w:rPr>
          <w:lang w:val="en-GB"/>
        </w:rPr>
        <w:t xml:space="preserve">allegations </w:t>
      </w:r>
      <w:r w:rsidRPr="0085030B">
        <w:rPr>
          <w:lang w:val="en-GB"/>
        </w:rPr>
        <w:t xml:space="preserve">were not </w:t>
      </w:r>
      <w:r w:rsidR="0085030B">
        <w:rPr>
          <w:lang w:val="en-GB"/>
        </w:rPr>
        <w:t xml:space="preserve">specifically </w:t>
      </w:r>
      <w:r w:rsidRPr="0085030B">
        <w:rPr>
          <w:lang w:val="en-GB"/>
        </w:rPr>
        <w:t xml:space="preserve">refuted by the State party. The Committee also notes the author’s assertions about his fears </w:t>
      </w:r>
      <w:r w:rsidR="00894166">
        <w:rPr>
          <w:lang w:val="en-GB"/>
        </w:rPr>
        <w:t xml:space="preserve">of </w:t>
      </w:r>
      <w:r w:rsidRPr="0085030B">
        <w:rPr>
          <w:lang w:val="en-GB"/>
        </w:rPr>
        <w:t xml:space="preserve">the Afghan authorities, who reportedly believe that he is a supporter of Christianity because of a video recording in which he </w:t>
      </w:r>
      <w:r w:rsidR="001868A7" w:rsidRPr="0085030B">
        <w:rPr>
          <w:lang w:val="en-GB"/>
        </w:rPr>
        <w:t xml:space="preserve">compares </w:t>
      </w:r>
      <w:r w:rsidRPr="0085030B">
        <w:rPr>
          <w:lang w:val="en-GB"/>
        </w:rPr>
        <w:t xml:space="preserve">Christianity </w:t>
      </w:r>
      <w:r w:rsidR="001868A7" w:rsidRPr="0085030B">
        <w:rPr>
          <w:lang w:val="en-GB"/>
        </w:rPr>
        <w:t>with</w:t>
      </w:r>
      <w:r w:rsidRPr="0085030B">
        <w:rPr>
          <w:lang w:val="en-GB"/>
        </w:rPr>
        <w:t xml:space="preserve"> Islam, although the State party </w:t>
      </w:r>
      <w:r w:rsidR="001868A7" w:rsidRPr="0085030B">
        <w:rPr>
          <w:lang w:val="en-GB"/>
        </w:rPr>
        <w:t xml:space="preserve">pointed to </w:t>
      </w:r>
      <w:r w:rsidRPr="0085030B">
        <w:rPr>
          <w:lang w:val="en-GB"/>
        </w:rPr>
        <w:t xml:space="preserve">the lack of evidence about the </w:t>
      </w:r>
      <w:r w:rsidR="001868A7" w:rsidRPr="0085030B">
        <w:rPr>
          <w:lang w:val="en-GB"/>
        </w:rPr>
        <w:t xml:space="preserve">exact </w:t>
      </w:r>
      <w:r w:rsidRPr="0085030B">
        <w:rPr>
          <w:lang w:val="en-GB"/>
        </w:rPr>
        <w:t>circumstances and time of production of the video</w:t>
      </w:r>
      <w:r w:rsidR="001868A7" w:rsidRPr="0085030B">
        <w:rPr>
          <w:lang w:val="en-GB"/>
        </w:rPr>
        <w:t xml:space="preserve"> in question</w:t>
      </w:r>
      <w:r w:rsidRPr="0085030B">
        <w:rPr>
          <w:lang w:val="en-GB"/>
        </w:rPr>
        <w:t xml:space="preserve">. The Committee further notes the author’s allegations that neither the </w:t>
      </w:r>
      <w:r w:rsidR="001868A7" w:rsidRPr="0085030B">
        <w:rPr>
          <w:lang w:val="en-GB"/>
        </w:rPr>
        <w:t xml:space="preserve">Danish </w:t>
      </w:r>
      <w:r w:rsidRPr="0085030B">
        <w:rPr>
          <w:lang w:val="en-GB"/>
        </w:rPr>
        <w:t xml:space="preserve">Immigration Service nor the Board initiated any investigation as to the veracity and validity of the evidence produced in support of </w:t>
      </w:r>
      <w:r w:rsidR="001868A7" w:rsidRPr="0085030B">
        <w:rPr>
          <w:lang w:val="en-GB"/>
        </w:rPr>
        <w:t>hi</w:t>
      </w:r>
      <w:r w:rsidRPr="0085030B">
        <w:rPr>
          <w:lang w:val="en-GB"/>
        </w:rPr>
        <w:t xml:space="preserve">s </w:t>
      </w:r>
      <w:r w:rsidR="001868A7" w:rsidRPr="0085030B">
        <w:rPr>
          <w:lang w:val="en-GB"/>
        </w:rPr>
        <w:t xml:space="preserve">detailed </w:t>
      </w:r>
      <w:r w:rsidR="008A16B6">
        <w:rPr>
          <w:lang w:val="en-GB"/>
        </w:rPr>
        <w:t>allegations.</w:t>
      </w:r>
    </w:p>
    <w:p w14:paraId="346FA3EB" w14:textId="77777777" w:rsidR="0089586D" w:rsidRDefault="00001AE9" w:rsidP="00362134">
      <w:pPr>
        <w:pStyle w:val="SingleTxtG"/>
        <w:rPr>
          <w:lang w:val="en-GB"/>
        </w:rPr>
      </w:pPr>
      <w:r w:rsidRPr="0085030B">
        <w:rPr>
          <w:lang w:val="en-GB"/>
        </w:rPr>
        <w:t>8.8</w:t>
      </w:r>
      <w:r w:rsidRPr="0085030B">
        <w:rPr>
          <w:lang w:val="en-GB"/>
        </w:rPr>
        <w:tab/>
        <w:t xml:space="preserve">The Committee </w:t>
      </w:r>
      <w:r w:rsidR="00D5129F">
        <w:rPr>
          <w:lang w:val="en-GB"/>
        </w:rPr>
        <w:t xml:space="preserve">is </w:t>
      </w:r>
      <w:r w:rsidR="003C1FBE">
        <w:rPr>
          <w:lang w:val="en-GB"/>
        </w:rPr>
        <w:t xml:space="preserve">of the view </w:t>
      </w:r>
      <w:r w:rsidRPr="0085030B">
        <w:rPr>
          <w:lang w:val="en-GB"/>
        </w:rPr>
        <w:t>that</w:t>
      </w:r>
      <w:r w:rsidR="001868A7" w:rsidRPr="0085030B">
        <w:rPr>
          <w:lang w:val="en-GB"/>
        </w:rPr>
        <w:t xml:space="preserve"> the facts as presented</w:t>
      </w:r>
      <w:r w:rsidR="002D49ED" w:rsidRPr="0085030B">
        <w:rPr>
          <w:lang w:val="en-GB"/>
        </w:rPr>
        <w:t>, read in their totality</w:t>
      </w:r>
      <w:r w:rsidR="00D5129F">
        <w:rPr>
          <w:lang w:val="en-GB"/>
        </w:rPr>
        <w:t xml:space="preserve">, including the information on </w:t>
      </w:r>
      <w:r w:rsidRPr="0085030B">
        <w:rPr>
          <w:lang w:val="en-GB"/>
        </w:rPr>
        <w:t>the author’s personal circumstances</w:t>
      </w:r>
      <w:r w:rsidR="00894166">
        <w:rPr>
          <w:lang w:val="en-GB"/>
        </w:rPr>
        <w:t>,</w:t>
      </w:r>
      <w:r w:rsidRPr="0085030B">
        <w:rPr>
          <w:lang w:val="en-GB"/>
        </w:rPr>
        <w:t xml:space="preserve"> </w:t>
      </w:r>
      <w:r w:rsidR="00D5129F">
        <w:rPr>
          <w:lang w:val="en-GB"/>
        </w:rPr>
        <w:t xml:space="preserve">such as </w:t>
      </w:r>
      <w:r w:rsidRPr="0085030B">
        <w:rPr>
          <w:lang w:val="en-GB"/>
        </w:rPr>
        <w:t xml:space="preserve">his </w:t>
      </w:r>
      <w:r w:rsidR="002D49ED" w:rsidRPr="0085030B">
        <w:rPr>
          <w:lang w:val="en-GB"/>
        </w:rPr>
        <w:t xml:space="preserve">past experience </w:t>
      </w:r>
      <w:r w:rsidRPr="0085030B">
        <w:rPr>
          <w:lang w:val="en-GB"/>
        </w:rPr>
        <w:t>in combating drug</w:t>
      </w:r>
      <w:r w:rsidR="002D49ED" w:rsidRPr="0085030B">
        <w:rPr>
          <w:lang w:val="en-GB"/>
        </w:rPr>
        <w:t xml:space="preserve">-related </w:t>
      </w:r>
      <w:r w:rsidRPr="00F57ADF">
        <w:rPr>
          <w:lang w:val="en-GB"/>
        </w:rPr>
        <w:t>crimes which implicated</w:t>
      </w:r>
      <w:r w:rsidRPr="0085030B">
        <w:rPr>
          <w:lang w:val="en-GB"/>
        </w:rPr>
        <w:t xml:space="preserve"> Taliban</w:t>
      </w:r>
      <w:r w:rsidR="002D49ED" w:rsidRPr="0085030B">
        <w:rPr>
          <w:lang w:val="en-GB"/>
        </w:rPr>
        <w:t>-</w:t>
      </w:r>
      <w:r w:rsidR="0085030B">
        <w:rPr>
          <w:lang w:val="en-GB"/>
        </w:rPr>
        <w:t xml:space="preserve">affiliated </w:t>
      </w:r>
      <w:r w:rsidR="002D49ED" w:rsidRPr="0085030B">
        <w:rPr>
          <w:lang w:val="en-GB"/>
        </w:rPr>
        <w:t>drug lords</w:t>
      </w:r>
      <w:r w:rsidRPr="0085030B">
        <w:rPr>
          <w:lang w:val="en-GB"/>
        </w:rPr>
        <w:t xml:space="preserve">, </w:t>
      </w:r>
      <w:r w:rsidR="002D49ED" w:rsidRPr="0085030B">
        <w:rPr>
          <w:lang w:val="en-GB"/>
        </w:rPr>
        <w:t xml:space="preserve">the </w:t>
      </w:r>
      <w:r w:rsidRPr="0085030B">
        <w:rPr>
          <w:lang w:val="en-GB"/>
        </w:rPr>
        <w:t>threats to the author and his family prior to his deportation to Afghanistan</w:t>
      </w:r>
      <w:r w:rsidR="005631BB">
        <w:rPr>
          <w:lang w:val="en-GB"/>
        </w:rPr>
        <w:t>,</w:t>
      </w:r>
      <w:r w:rsidRPr="0085030B">
        <w:rPr>
          <w:lang w:val="en-GB"/>
        </w:rPr>
        <w:t xml:space="preserve"> the absence of </w:t>
      </w:r>
      <w:r w:rsidR="002D49ED" w:rsidRPr="0085030B">
        <w:rPr>
          <w:lang w:val="en-GB"/>
        </w:rPr>
        <w:t xml:space="preserve">comprehensive and </w:t>
      </w:r>
      <w:r w:rsidRPr="0085030B">
        <w:rPr>
          <w:lang w:val="en-GB"/>
        </w:rPr>
        <w:t>objective verification by the State party</w:t>
      </w:r>
      <w:r w:rsidR="002D49ED" w:rsidRPr="0085030B">
        <w:rPr>
          <w:lang w:val="en-GB"/>
        </w:rPr>
        <w:t xml:space="preserve">’s authorities </w:t>
      </w:r>
      <w:r w:rsidRPr="0085030B">
        <w:rPr>
          <w:lang w:val="en-GB"/>
        </w:rPr>
        <w:t>of the evidence submitted by the author</w:t>
      </w:r>
      <w:r w:rsidR="002D49ED" w:rsidRPr="0085030B">
        <w:rPr>
          <w:lang w:val="en-GB"/>
        </w:rPr>
        <w:t xml:space="preserve"> in support of his claims</w:t>
      </w:r>
      <w:r w:rsidRPr="0085030B">
        <w:rPr>
          <w:lang w:val="en-GB"/>
        </w:rPr>
        <w:t xml:space="preserve">, </w:t>
      </w:r>
      <w:r w:rsidR="005631BB">
        <w:rPr>
          <w:lang w:val="en-GB"/>
        </w:rPr>
        <w:t>and the unstable state of his mental health, which the Board identified in its decision of 17 March 2014 and which ha</w:t>
      </w:r>
      <w:r w:rsidR="006B4B22">
        <w:rPr>
          <w:lang w:val="en-GB"/>
        </w:rPr>
        <w:t>s</w:t>
      </w:r>
      <w:r w:rsidR="005631BB">
        <w:rPr>
          <w:lang w:val="en-GB"/>
        </w:rPr>
        <w:t xml:space="preserve"> likely rendered him particularly vulnerable, </w:t>
      </w:r>
      <w:r w:rsidR="00AA49B4">
        <w:rPr>
          <w:lang w:val="en-GB"/>
        </w:rPr>
        <w:t xml:space="preserve">disclose </w:t>
      </w:r>
      <w:r w:rsidRPr="0085030B">
        <w:rPr>
          <w:lang w:val="en-GB"/>
        </w:rPr>
        <w:t xml:space="preserve">a real risk </w:t>
      </w:r>
      <w:r w:rsidR="009B6B3E">
        <w:rPr>
          <w:lang w:val="en-GB"/>
        </w:rPr>
        <w:t xml:space="preserve">for the author </w:t>
      </w:r>
      <w:r w:rsidRPr="0085030B">
        <w:rPr>
          <w:lang w:val="en-GB"/>
        </w:rPr>
        <w:t xml:space="preserve">of treatment contrary to the </w:t>
      </w:r>
      <w:r w:rsidR="0085030B">
        <w:rPr>
          <w:lang w:val="en-GB"/>
        </w:rPr>
        <w:t xml:space="preserve">requirements of article </w:t>
      </w:r>
      <w:r w:rsidRPr="0085030B">
        <w:rPr>
          <w:lang w:val="en-GB"/>
        </w:rPr>
        <w:t>7</w:t>
      </w:r>
      <w:r w:rsidR="002D49ED" w:rsidRPr="0085030B">
        <w:rPr>
          <w:lang w:val="en-GB"/>
        </w:rPr>
        <w:t xml:space="preserve"> of the Covenant</w:t>
      </w:r>
      <w:r w:rsidR="000D37C7">
        <w:rPr>
          <w:lang w:val="en-GB"/>
        </w:rPr>
        <w:t xml:space="preserve"> as a consequence of</w:t>
      </w:r>
      <w:r w:rsidR="009B6B3E">
        <w:rPr>
          <w:lang w:val="en-GB"/>
        </w:rPr>
        <w:t xml:space="preserve"> his removal to Afghanistan</w:t>
      </w:r>
      <w:r w:rsidR="005631BB">
        <w:rPr>
          <w:lang w:val="en-GB"/>
        </w:rPr>
        <w:t>, which was not given sufficient weight by the State party’s authorities</w:t>
      </w:r>
      <w:r w:rsidRPr="0085030B">
        <w:rPr>
          <w:lang w:val="en-GB"/>
        </w:rPr>
        <w:t xml:space="preserve">. </w:t>
      </w:r>
      <w:r w:rsidR="002D49ED" w:rsidRPr="00F57ADF">
        <w:rPr>
          <w:lang w:val="en-GB"/>
        </w:rPr>
        <w:t xml:space="preserve">Accordingly, </w:t>
      </w:r>
      <w:r w:rsidRPr="00F57ADF">
        <w:rPr>
          <w:lang w:val="en-GB"/>
        </w:rPr>
        <w:t>the Committee is of the view that</w:t>
      </w:r>
      <w:r w:rsidR="00894166" w:rsidRPr="00F57ADF">
        <w:rPr>
          <w:lang w:val="en-GB"/>
        </w:rPr>
        <w:t>,</w:t>
      </w:r>
      <w:r w:rsidRPr="00F57ADF">
        <w:rPr>
          <w:lang w:val="en-GB"/>
        </w:rPr>
        <w:t xml:space="preserve"> by removing the author to Afghanistan</w:t>
      </w:r>
      <w:r w:rsidR="002D49ED" w:rsidRPr="00F57ADF">
        <w:rPr>
          <w:lang w:val="en-GB"/>
        </w:rPr>
        <w:t>,</w:t>
      </w:r>
      <w:r w:rsidRPr="00F57ADF">
        <w:rPr>
          <w:lang w:val="en-GB"/>
        </w:rPr>
        <w:t xml:space="preserve"> the State party has violated its obligations under article 7 of the Covenant.</w:t>
      </w:r>
      <w:r w:rsidR="004350E7">
        <w:rPr>
          <w:lang w:val="en-GB"/>
        </w:rPr>
        <w:t xml:space="preserve"> </w:t>
      </w:r>
    </w:p>
    <w:p w14:paraId="39F03840" w14:textId="77777777" w:rsidR="00001AE9" w:rsidRPr="00F57ADF" w:rsidRDefault="0089586D" w:rsidP="008A16B6">
      <w:pPr>
        <w:pStyle w:val="SingleTxtG"/>
        <w:rPr>
          <w:lang w:val="en-GB"/>
        </w:rPr>
      </w:pPr>
      <w:r>
        <w:rPr>
          <w:lang w:val="en-GB"/>
        </w:rPr>
        <w:t>8.9</w:t>
      </w:r>
      <w:r>
        <w:rPr>
          <w:lang w:val="en-GB"/>
        </w:rPr>
        <w:tab/>
      </w:r>
      <w:r w:rsidRPr="00845237">
        <w:t xml:space="preserve">In the </w:t>
      </w:r>
      <w:r w:rsidRPr="008A16B6">
        <w:t>light</w:t>
      </w:r>
      <w:r w:rsidRPr="00845237">
        <w:t xml:space="preserve"> of its findings on article 7, the Committee </w:t>
      </w:r>
      <w:r>
        <w:t>will not</w:t>
      </w:r>
      <w:r w:rsidRPr="00845237">
        <w:t xml:space="preserve"> further examine the author</w:t>
      </w:r>
      <w:r>
        <w:t>’</w:t>
      </w:r>
      <w:r w:rsidRPr="00845237">
        <w:t xml:space="preserve">s claims under article </w:t>
      </w:r>
      <w:r>
        <w:t xml:space="preserve">6 </w:t>
      </w:r>
      <w:r w:rsidRPr="00845237">
        <w:t xml:space="preserve">of </w:t>
      </w:r>
      <w:r w:rsidRPr="00F57ADF">
        <w:t>the Covenant.</w:t>
      </w:r>
      <w:r w:rsidR="004350E7" w:rsidRPr="00F57ADF">
        <w:t xml:space="preserve"> </w:t>
      </w:r>
    </w:p>
    <w:p w14:paraId="4FAACCD6" w14:textId="77777777" w:rsidR="003126A1" w:rsidRDefault="00001AE9" w:rsidP="00F35CBA">
      <w:pPr>
        <w:pStyle w:val="SingleTxtG"/>
        <w:rPr>
          <w:lang w:val="en-GB"/>
        </w:rPr>
      </w:pPr>
      <w:r w:rsidRPr="00F57ADF">
        <w:rPr>
          <w:lang w:val="en-GB"/>
        </w:rPr>
        <w:t>9.</w:t>
      </w:r>
      <w:r w:rsidRPr="00F57ADF">
        <w:rPr>
          <w:lang w:val="en-GB"/>
        </w:rPr>
        <w:tab/>
        <w:t>The Committee</w:t>
      </w:r>
      <w:r w:rsidR="00F35CBA" w:rsidRPr="007C0089">
        <w:rPr>
          <w:lang w:val="en-GB"/>
        </w:rPr>
        <w:t>,</w:t>
      </w:r>
      <w:r w:rsidRPr="00F57ADF">
        <w:rPr>
          <w:lang w:val="en-GB"/>
        </w:rPr>
        <w:t xml:space="preserve"> acting under article</w:t>
      </w:r>
      <w:r w:rsidRPr="000D37C7">
        <w:rPr>
          <w:lang w:val="en-GB"/>
        </w:rPr>
        <w:t xml:space="preserve"> 5</w:t>
      </w:r>
      <w:r w:rsidR="00C42BDE">
        <w:rPr>
          <w:lang w:val="en-GB"/>
        </w:rPr>
        <w:t> (</w:t>
      </w:r>
      <w:r w:rsidRPr="000D37C7">
        <w:rPr>
          <w:lang w:val="en-GB"/>
        </w:rPr>
        <w:t>4</w:t>
      </w:r>
      <w:r w:rsidR="00C42BDE">
        <w:rPr>
          <w:lang w:val="en-GB"/>
        </w:rPr>
        <w:t>)</w:t>
      </w:r>
      <w:r w:rsidRPr="000D37C7">
        <w:rPr>
          <w:lang w:val="en-GB"/>
        </w:rPr>
        <w:t xml:space="preserve"> of the Optional Protocol to the </w:t>
      </w:r>
      <w:r w:rsidRPr="000D37C7">
        <w:t>International</w:t>
      </w:r>
      <w:r w:rsidRPr="000D37C7">
        <w:rPr>
          <w:lang w:val="en-GB"/>
        </w:rPr>
        <w:t xml:space="preserve"> Covenant on Civil and Political Rights</w:t>
      </w:r>
      <w:r w:rsidRPr="00F57ADF">
        <w:rPr>
          <w:lang w:val="en-GB"/>
        </w:rPr>
        <w:t>, is of the view that</w:t>
      </w:r>
      <w:r w:rsidR="000D37C7" w:rsidRPr="007C0089">
        <w:rPr>
          <w:lang w:val="en-GB"/>
        </w:rPr>
        <w:t>,</w:t>
      </w:r>
      <w:r w:rsidRPr="00F57ADF">
        <w:rPr>
          <w:lang w:val="en-GB"/>
        </w:rPr>
        <w:t xml:space="preserve"> by removing the author to Afghanistan</w:t>
      </w:r>
      <w:r w:rsidR="000D37C7" w:rsidRPr="007C0089">
        <w:rPr>
          <w:lang w:val="en-GB"/>
        </w:rPr>
        <w:t>,</w:t>
      </w:r>
      <w:r w:rsidRPr="00F57ADF">
        <w:rPr>
          <w:lang w:val="en-GB"/>
        </w:rPr>
        <w:t xml:space="preserve"> the State party has violated his rights under article 7 of the Covenant.</w:t>
      </w:r>
    </w:p>
    <w:p w14:paraId="6681028F" w14:textId="77777777" w:rsidR="00001AE9" w:rsidRPr="0085030B" w:rsidRDefault="008A16B6" w:rsidP="000D37C7">
      <w:pPr>
        <w:pStyle w:val="SingleTxtG"/>
        <w:rPr>
          <w:lang w:val="en-GB"/>
        </w:rPr>
      </w:pPr>
      <w:r>
        <w:rPr>
          <w:lang w:val="en-GB"/>
        </w:rPr>
        <w:t>10.</w:t>
      </w:r>
      <w:r w:rsidR="00001AE9" w:rsidRPr="0085030B">
        <w:rPr>
          <w:lang w:val="en-GB"/>
        </w:rPr>
        <w:tab/>
        <w:t xml:space="preserve">In </w:t>
      </w:r>
      <w:r w:rsidR="00001AE9" w:rsidRPr="008A16B6">
        <w:t>accordance</w:t>
      </w:r>
      <w:r w:rsidR="00001AE9" w:rsidRPr="0085030B">
        <w:rPr>
          <w:lang w:val="en-GB"/>
        </w:rPr>
        <w:t xml:space="preserve"> with article 2</w:t>
      </w:r>
      <w:r w:rsidR="00C42BDE">
        <w:rPr>
          <w:lang w:val="en-GB"/>
        </w:rPr>
        <w:t> (</w:t>
      </w:r>
      <w:r w:rsidR="00001AE9" w:rsidRPr="0085030B">
        <w:rPr>
          <w:lang w:val="en-GB"/>
        </w:rPr>
        <w:t>3</w:t>
      </w:r>
      <w:r w:rsidR="00C42BDE">
        <w:rPr>
          <w:lang w:val="en-GB"/>
        </w:rPr>
        <w:t>) </w:t>
      </w:r>
      <w:r w:rsidR="00001AE9" w:rsidRPr="0085030B">
        <w:rPr>
          <w:lang w:val="en-GB"/>
        </w:rPr>
        <w:t>(a) of the Covenant, the State party is under an obligation to provide the author with an effective remedy by proceeding to a review of the decision to forcibly remove him to Afghanistan</w:t>
      </w:r>
      <w:r w:rsidR="000D37C7">
        <w:rPr>
          <w:lang w:val="en-GB"/>
        </w:rPr>
        <w:t>,</w:t>
      </w:r>
      <w:r w:rsidR="00171827" w:rsidRPr="0085030B">
        <w:rPr>
          <w:lang w:val="en-GB"/>
        </w:rPr>
        <w:t xml:space="preserve"> </w:t>
      </w:r>
      <w:r w:rsidR="00337E8A">
        <w:rPr>
          <w:lang w:val="en-GB"/>
        </w:rPr>
        <w:t xml:space="preserve">an </w:t>
      </w:r>
      <w:r w:rsidR="00001AE9" w:rsidRPr="0085030B">
        <w:rPr>
          <w:lang w:val="en-GB"/>
        </w:rPr>
        <w:t>arrang</w:t>
      </w:r>
      <w:r w:rsidR="00337E8A">
        <w:rPr>
          <w:lang w:val="en-GB"/>
        </w:rPr>
        <w:t xml:space="preserve">ement </w:t>
      </w:r>
      <w:r w:rsidR="00001AE9" w:rsidRPr="0085030B">
        <w:rPr>
          <w:lang w:val="en-GB"/>
        </w:rPr>
        <w:t xml:space="preserve">for </w:t>
      </w:r>
      <w:r w:rsidR="005631BB">
        <w:rPr>
          <w:lang w:val="en-GB"/>
        </w:rPr>
        <w:t>the</w:t>
      </w:r>
      <w:r w:rsidR="00001AE9" w:rsidRPr="0085030B">
        <w:rPr>
          <w:lang w:val="en-GB"/>
        </w:rPr>
        <w:t xml:space="preserve"> </w:t>
      </w:r>
      <w:r w:rsidR="005631BB">
        <w:rPr>
          <w:lang w:val="en-GB"/>
        </w:rPr>
        <w:t xml:space="preserve">quick </w:t>
      </w:r>
      <w:r w:rsidR="00001AE9" w:rsidRPr="0085030B">
        <w:rPr>
          <w:lang w:val="en-GB"/>
        </w:rPr>
        <w:t>return of the author to Denmark, taking into account the State party’s obligations under the Covenant</w:t>
      </w:r>
      <w:r w:rsidR="000D37C7">
        <w:rPr>
          <w:lang w:val="en-GB"/>
        </w:rPr>
        <w:t>,</w:t>
      </w:r>
      <w:r w:rsidR="00171827" w:rsidRPr="0085030B">
        <w:rPr>
          <w:lang w:val="en-GB"/>
        </w:rPr>
        <w:t xml:space="preserve"> and payment of compensation</w:t>
      </w:r>
      <w:r w:rsidR="00001AE9" w:rsidRPr="0085030B">
        <w:rPr>
          <w:lang w:val="en-GB"/>
        </w:rPr>
        <w:t xml:space="preserve">. The State party is also under an obligation to take steps to prevent similar violations in the future. </w:t>
      </w:r>
    </w:p>
    <w:p w14:paraId="7E4C1976" w14:textId="77777777" w:rsidR="00337E8A" w:rsidRPr="00B65097" w:rsidRDefault="008A16B6" w:rsidP="00362134">
      <w:pPr>
        <w:pStyle w:val="SingleTxtG"/>
        <w:rPr>
          <w:lang w:val="en-GB"/>
        </w:rPr>
      </w:pPr>
      <w:r>
        <w:t>11.</w:t>
      </w:r>
      <w:r w:rsidR="00001AE9">
        <w:tab/>
        <w:t xml:space="preserve">By becoming a party to the Optional Protocol, the State has recognized the competence of the Committee to determine whether there has been a violation of the Covenant. In addition, pursuant to article 2 of the Covenant, the State party has undertaken to guarantee to all individuals </w:t>
      </w:r>
      <w:r w:rsidR="00001AE9" w:rsidRPr="008A16B6">
        <w:t>within</w:t>
      </w:r>
      <w:r w:rsidR="00001AE9">
        <w:t xml:space="preserve"> its territory and subject to its jurisdiction the rights recognized in the Covenant, and to provide an effective and enforceable remedy </w:t>
      </w:r>
      <w:r w:rsidR="00F35CBA">
        <w:rPr>
          <w:lang w:val="en-US"/>
        </w:rPr>
        <w:t xml:space="preserve">if </w:t>
      </w:r>
      <w:r w:rsidR="00001AE9">
        <w:t>it has been determined that a violation has occurred. The Committee therefore requests the State party to provide, within 180 days, information about the measures taken to give effect to the present Views. The State party is also requested to publish the present Views, to have them translated into the official language of the State party and to ensure tha</w:t>
      </w:r>
      <w:r>
        <w:t>t they are widely disseminated.</w:t>
      </w:r>
    </w:p>
    <w:p w14:paraId="4879CB30" w14:textId="77777777" w:rsidR="00E93CC4" w:rsidRPr="00B65097" w:rsidRDefault="00337E8A" w:rsidP="008A16B6">
      <w:pPr>
        <w:pStyle w:val="SingleTxtG"/>
        <w:spacing w:before="240" w:after="0"/>
        <w:jc w:val="center"/>
        <w:rPr>
          <w:u w:val="single"/>
          <w:lang w:val="en-GB"/>
        </w:rPr>
      </w:pPr>
      <w:r>
        <w:rPr>
          <w:u w:val="single"/>
        </w:rPr>
        <w:tab/>
      </w:r>
      <w:r>
        <w:rPr>
          <w:u w:val="single"/>
        </w:rPr>
        <w:tab/>
      </w:r>
      <w:r>
        <w:rPr>
          <w:u w:val="single"/>
        </w:rPr>
        <w:tab/>
      </w:r>
    </w:p>
    <w:sectPr w:rsidR="00E93CC4" w:rsidRPr="00B65097" w:rsidSect="007D518C">
      <w:headerReference w:type="even" r:id="rId11"/>
      <w:headerReference w:type="default" r:id="rId12"/>
      <w:footerReference w:type="even" r:id="rId13"/>
      <w:footerReference w:type="default" r:id="rId14"/>
      <w:footerReference w:type="first" r:id="rId15"/>
      <w:endnotePr>
        <w:numFmt w:val="decimal"/>
      </w:endnotePr>
      <w:pgSz w:w="11907" w:h="16840" w:code="9"/>
      <w:pgMar w:top="1701" w:right="1134" w:bottom="2268" w:left="1134" w:header="1134" w:footer="1411" w:gutter="0"/>
      <w:cols w:space="720"/>
      <w:titlePg/>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09-09T11:29:00Z" w:initials="Start">
    <w:p w14:paraId="6A70B6FE" w14:textId="77777777" w:rsidR="007D518C" w:rsidRDefault="007D518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NO&gt;&gt;N1520212E&lt;&lt;ODS JOB NO&gt;&gt;</w:t>
      </w:r>
    </w:p>
    <w:p w14:paraId="01292BDB" w14:textId="77777777" w:rsidR="007D518C" w:rsidRDefault="007D518C">
      <w:pPr>
        <w:pStyle w:val="CommentText"/>
      </w:pPr>
      <w:r>
        <w:t>&lt;&lt;ODS DOC SYMBOL1&gt;&gt;CCPR/C/114/D/2370/2014&lt;&lt;ODS DOC SYMBOL1&gt;&gt;</w:t>
      </w:r>
    </w:p>
    <w:p w14:paraId="23843485" w14:textId="77777777" w:rsidR="007D518C" w:rsidRDefault="007D518C">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384348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4D1610" w14:textId="77777777" w:rsidR="00300CBD" w:rsidRDefault="00300CBD"/>
  </w:endnote>
  <w:endnote w:type="continuationSeparator" w:id="0">
    <w:p w14:paraId="2924BFFE" w14:textId="77777777" w:rsidR="00300CBD" w:rsidRDefault="00300CBD"/>
  </w:endnote>
  <w:endnote w:type="continuationNotice" w:id="1">
    <w:p w14:paraId="77FBA7CE" w14:textId="77777777" w:rsidR="00300CBD" w:rsidRDefault="00300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AC942" w14:textId="77777777" w:rsidR="00FF0A1B" w:rsidRPr="00781C83" w:rsidRDefault="00FF0A1B" w:rsidP="00781C83">
    <w:pPr>
      <w:pStyle w:val="Footer"/>
      <w:tabs>
        <w:tab w:val="right" w:pos="9638"/>
      </w:tabs>
    </w:pPr>
    <w:r w:rsidRPr="00781C83">
      <w:rPr>
        <w:b/>
        <w:sz w:val="18"/>
      </w:rPr>
      <w:fldChar w:fldCharType="begin"/>
    </w:r>
    <w:r w:rsidRPr="00781C83">
      <w:rPr>
        <w:b/>
        <w:sz w:val="18"/>
      </w:rPr>
      <w:instrText xml:space="preserve"> PAGE  \* MERGEFORMAT </w:instrText>
    </w:r>
    <w:r w:rsidRPr="00781C83">
      <w:rPr>
        <w:b/>
        <w:sz w:val="18"/>
      </w:rPr>
      <w:fldChar w:fldCharType="separate"/>
    </w:r>
    <w:r w:rsidR="005A728D">
      <w:rPr>
        <w:b/>
        <w:noProof/>
        <w:sz w:val="18"/>
      </w:rPr>
      <w:t>2</w:t>
    </w:r>
    <w:r w:rsidRPr="00781C83">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3D80A1" w14:textId="77777777" w:rsidR="00FF0A1B" w:rsidRPr="007C0089" w:rsidRDefault="00FF0A1B" w:rsidP="00781C83">
    <w:pPr>
      <w:pStyle w:val="Footer"/>
      <w:tabs>
        <w:tab w:val="right" w:pos="9638"/>
      </w:tabs>
      <w:rPr>
        <w:b/>
        <w:bCs/>
        <w:sz w:val="18"/>
      </w:rPr>
    </w:pPr>
    <w:r>
      <w:rPr>
        <w:b/>
        <w:sz w:val="18"/>
      </w:rPr>
      <w:tab/>
    </w:r>
    <w:r w:rsidRPr="007C0089">
      <w:rPr>
        <w:b/>
        <w:bCs/>
        <w:sz w:val="18"/>
      </w:rPr>
      <w:fldChar w:fldCharType="begin"/>
    </w:r>
    <w:r w:rsidRPr="007C0089">
      <w:rPr>
        <w:b/>
        <w:bCs/>
        <w:sz w:val="18"/>
      </w:rPr>
      <w:instrText xml:space="preserve"> PAGE  \* MERGEFORMAT </w:instrText>
    </w:r>
    <w:r w:rsidRPr="007C0089">
      <w:rPr>
        <w:b/>
        <w:bCs/>
        <w:sz w:val="18"/>
      </w:rPr>
      <w:fldChar w:fldCharType="separate"/>
    </w:r>
    <w:r w:rsidR="005A728D">
      <w:rPr>
        <w:b/>
        <w:bCs/>
        <w:noProof/>
        <w:sz w:val="18"/>
      </w:rPr>
      <w:t>3</w:t>
    </w:r>
    <w:r w:rsidRPr="007C0089">
      <w:rPr>
        <w:b/>
        <w:bCs/>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4"/>
      <w:gridCol w:w="4752"/>
    </w:tblGrid>
    <w:tr w:rsidR="007D518C" w14:paraId="4CCC0141" w14:textId="77777777" w:rsidTr="007D518C">
      <w:tc>
        <w:tcPr>
          <w:tcW w:w="3614" w:type="dxa"/>
          <w:shd w:val="clear" w:color="auto" w:fill="auto"/>
        </w:tcPr>
        <w:p w14:paraId="07007F1B" w14:textId="77777777" w:rsidR="007D518C" w:rsidRDefault="007D518C" w:rsidP="007D518C">
          <w:pPr>
            <w:pStyle w:val="Footer"/>
            <w:rPr>
              <w:sz w:val="20"/>
            </w:rPr>
          </w:pPr>
          <w:r>
            <w:rPr>
              <w:noProof/>
              <w:sz w:val="20"/>
              <w:lang w:val="en-US"/>
            </w:rPr>
            <w:drawing>
              <wp:anchor distT="0" distB="0" distL="114300" distR="114300" simplePos="0" relativeHeight="251658240" behindDoc="0" locked="0" layoutInCell="1" allowOverlap="1" wp14:anchorId="01F47717" wp14:editId="1A89555F">
                <wp:simplePos x="0" y="0"/>
                <wp:positionH relativeFrom="column">
                  <wp:posOffset>5339715</wp:posOffset>
                </wp:positionH>
                <wp:positionV relativeFrom="paragraph">
                  <wp:posOffset>-365760</wp:posOffset>
                </wp:positionV>
                <wp:extent cx="694690" cy="694690"/>
                <wp:effectExtent l="0" t="0" r="0" b="0"/>
                <wp:wrapNone/>
                <wp:docPr id="3" name="Picture 3" descr="http://undocs.org/m2/QRCode2.ashx?DS=CCPR/C/114/D/2370/2014&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4/D/2370/2014&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rPr>
              <w:sz w:val="20"/>
            </w:rPr>
            <w:t>GE.15-14580(E)</w:t>
          </w:r>
        </w:p>
        <w:p w14:paraId="3918E4FC" w14:textId="77777777" w:rsidR="007D518C" w:rsidRPr="007D518C" w:rsidRDefault="007D518C" w:rsidP="007D518C">
          <w:pPr>
            <w:pStyle w:val="Footer"/>
            <w:rPr>
              <w:rFonts w:ascii="Barcode 3 of 9 by request" w:hAnsi="Barcode 3 of 9 by request"/>
              <w:sz w:val="24"/>
            </w:rPr>
          </w:pPr>
          <w:r>
            <w:rPr>
              <w:rFonts w:ascii="Barcode 3 of 9 by request" w:hAnsi="Barcode 3 of 9 by request"/>
              <w:sz w:val="24"/>
            </w:rPr>
            <w:t>*1514580*</w:t>
          </w:r>
        </w:p>
      </w:tc>
      <w:tc>
        <w:tcPr>
          <w:tcW w:w="4752" w:type="dxa"/>
          <w:shd w:val="clear" w:color="auto" w:fill="auto"/>
        </w:tcPr>
        <w:p w14:paraId="0B15578A" w14:textId="77777777" w:rsidR="007D518C" w:rsidRDefault="007D518C" w:rsidP="007D518C">
          <w:pPr>
            <w:pStyle w:val="Footer"/>
            <w:spacing w:line="240" w:lineRule="atLeast"/>
            <w:jc w:val="right"/>
            <w:rPr>
              <w:sz w:val="20"/>
            </w:rPr>
          </w:pPr>
          <w:r>
            <w:rPr>
              <w:noProof/>
              <w:sz w:val="20"/>
              <w:lang w:val="en-US"/>
            </w:rPr>
            <w:drawing>
              <wp:inline distT="0" distB="0" distL="0" distR="0" wp14:anchorId="219CD0D8" wp14:editId="1804A2D9">
                <wp:extent cx="929642" cy="231648"/>
                <wp:effectExtent l="0" t="0" r="381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4958F653" w14:textId="77777777" w:rsidR="007D518C" w:rsidRPr="007D518C" w:rsidRDefault="007D518C" w:rsidP="007D518C">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0E907" w14:textId="77777777" w:rsidR="00300CBD" w:rsidRPr="000B175B" w:rsidRDefault="00300CBD" w:rsidP="000B175B">
      <w:pPr>
        <w:tabs>
          <w:tab w:val="right" w:pos="2155"/>
        </w:tabs>
        <w:spacing w:after="80"/>
        <w:ind w:left="680"/>
        <w:rPr>
          <w:u w:val="single"/>
        </w:rPr>
      </w:pPr>
      <w:r>
        <w:rPr>
          <w:u w:val="single"/>
        </w:rPr>
        <w:tab/>
      </w:r>
    </w:p>
  </w:footnote>
  <w:footnote w:type="continuationSeparator" w:id="0">
    <w:p w14:paraId="0FAF3F8F" w14:textId="77777777" w:rsidR="00300CBD" w:rsidRPr="00FC68B7" w:rsidRDefault="00300CBD" w:rsidP="00FC68B7">
      <w:pPr>
        <w:tabs>
          <w:tab w:val="left" w:pos="2155"/>
        </w:tabs>
        <w:spacing w:after="80"/>
        <w:ind w:left="680"/>
        <w:rPr>
          <w:u w:val="single"/>
        </w:rPr>
      </w:pPr>
      <w:r>
        <w:rPr>
          <w:u w:val="single"/>
        </w:rPr>
        <w:tab/>
      </w:r>
    </w:p>
  </w:footnote>
  <w:footnote w:type="continuationNotice" w:id="1">
    <w:p w14:paraId="396DC7D1" w14:textId="77777777" w:rsidR="00300CBD" w:rsidRDefault="00300CBD"/>
  </w:footnote>
  <w:footnote w:id="2">
    <w:p w14:paraId="04E8110A" w14:textId="77777777" w:rsidR="00362134" w:rsidRDefault="00362134" w:rsidP="00362134">
      <w:pPr>
        <w:pStyle w:val="FootnoteText"/>
      </w:pPr>
      <w:r>
        <w:tab/>
      </w:r>
      <w:r>
        <w:rPr>
          <w:rStyle w:val="FootnoteReference"/>
        </w:rPr>
        <w:t>*</w:t>
      </w:r>
      <w:r>
        <w:tab/>
      </w:r>
      <w:r w:rsidRPr="00126EE7">
        <w:rPr>
          <w:rStyle w:val="FootnoteTextChar"/>
          <w:lang w:val="en-GB"/>
        </w:rPr>
        <w:t>The following members of the Committee participated in the examination of the present communication: Yadh Ben Achour</w:t>
      </w:r>
      <w:r w:rsidRPr="00CA7E79">
        <w:rPr>
          <w:rStyle w:val="FootnoteTextChar"/>
          <w:lang w:val="en-GB"/>
        </w:rPr>
        <w:t xml:space="preserve">, </w:t>
      </w:r>
      <w:r w:rsidRPr="007C0089">
        <w:rPr>
          <w:rStyle w:val="FootnoteTextChar"/>
          <w:lang w:val="en-GB"/>
        </w:rPr>
        <w:t>Lazhari Bouzid</w:t>
      </w:r>
      <w:r w:rsidRPr="00CA7E79">
        <w:rPr>
          <w:rStyle w:val="FootnoteTextChar"/>
          <w:lang w:val="en-GB"/>
        </w:rPr>
        <w:t xml:space="preserve">, Olivier </w:t>
      </w:r>
      <w:r w:rsidRPr="00CA7E79">
        <w:rPr>
          <w:rStyle w:val="FootnoteTextChar"/>
          <w:szCs w:val="18"/>
          <w:lang w:val="en-GB"/>
        </w:rPr>
        <w:t>d</w:t>
      </w:r>
      <w:r w:rsidRPr="00CA7E79">
        <w:rPr>
          <w:rStyle w:val="FootnoteTextChar"/>
          <w:lang w:val="en-GB"/>
        </w:rPr>
        <w:t xml:space="preserve">e Frouville, </w:t>
      </w:r>
      <w:r w:rsidRPr="007C0089">
        <w:rPr>
          <w:rStyle w:val="FootnoteTextChar"/>
          <w:lang w:val="en-GB"/>
        </w:rPr>
        <w:t>Ahmed Amin Fathalla</w:t>
      </w:r>
      <w:r w:rsidRPr="00CA7E79">
        <w:rPr>
          <w:rStyle w:val="FootnoteTextChar"/>
          <w:lang w:val="en-GB"/>
        </w:rPr>
        <w:t>,</w:t>
      </w:r>
      <w:r w:rsidRPr="00126EE7">
        <w:rPr>
          <w:rStyle w:val="FootnoteTextChar"/>
          <w:lang w:val="en-GB"/>
        </w:rPr>
        <w:t xml:space="preserve"> Yuji Iwasawa, Ivana Jeli</w:t>
      </w:r>
      <w:r w:rsidRPr="00126EE7">
        <w:rPr>
          <w:rFonts w:eastAsia="Times New Roman"/>
          <w:szCs w:val="18"/>
          <w:lang w:val="en-GB" w:eastAsia="en-US"/>
        </w:rPr>
        <w:t>ć</w:t>
      </w:r>
      <w:r w:rsidRPr="00126EE7">
        <w:rPr>
          <w:rStyle w:val="FootnoteTextChar"/>
          <w:lang w:val="en-GB"/>
        </w:rPr>
        <w:t xml:space="preserve">, Duncan </w:t>
      </w:r>
      <w:r w:rsidRPr="00126EE7">
        <w:rPr>
          <w:rStyle w:val="FootnoteTextChar"/>
          <w:szCs w:val="18"/>
          <w:lang w:val="en-GB"/>
        </w:rPr>
        <w:t xml:space="preserve">Laki </w:t>
      </w:r>
      <w:r w:rsidRPr="00126EE7">
        <w:rPr>
          <w:rStyle w:val="FootnoteTextChar"/>
          <w:lang w:val="en-GB"/>
        </w:rPr>
        <w:t xml:space="preserve">Muhumuza, Photini </w:t>
      </w:r>
      <w:r w:rsidRPr="007C0089">
        <w:t>Pazartzis</w:t>
      </w:r>
      <w:r w:rsidRPr="00126EE7">
        <w:rPr>
          <w:rStyle w:val="FootnoteTextChar"/>
          <w:lang w:val="en-GB"/>
        </w:rPr>
        <w:t>, Mauro Politi, Sir Nigel Rodley, V</w:t>
      </w:r>
      <w:r w:rsidR="0065766D">
        <w:rPr>
          <w:rStyle w:val="FootnoteTextChar"/>
          <w:lang w:val="en-GB"/>
        </w:rPr>
        <w:t>í</w:t>
      </w:r>
      <w:r w:rsidRPr="00126EE7">
        <w:rPr>
          <w:rStyle w:val="FootnoteTextChar"/>
          <w:lang w:val="en-GB"/>
        </w:rPr>
        <w:t>ctor Manuel Rodríguez-Rescia, Fabián Omar Salvioli, Dheerujlall Seetulsingh, Anja Seibert-Fohr, Yuval Shany, Konstantine Vardzelashvili and Margo Waterval.</w:t>
      </w:r>
    </w:p>
  </w:footnote>
  <w:footnote w:id="3">
    <w:p w14:paraId="55E25492" w14:textId="77777777" w:rsidR="00FF0A1B" w:rsidRPr="001878F1" w:rsidRDefault="00FF0A1B" w:rsidP="00404151">
      <w:pPr>
        <w:pStyle w:val="FootnoteText"/>
      </w:pPr>
      <w:r>
        <w:rPr>
          <w:lang w:val="en-GB"/>
        </w:rPr>
        <w:tab/>
      </w:r>
      <w:r>
        <w:rPr>
          <w:rStyle w:val="FootnoteReference"/>
        </w:rPr>
        <w:footnoteRef/>
      </w:r>
      <w:r w:rsidRPr="00B65097">
        <w:rPr>
          <w:lang w:val="en-GB"/>
        </w:rPr>
        <w:tab/>
      </w:r>
      <w:r>
        <w:t xml:space="preserve">The </w:t>
      </w:r>
      <w:r w:rsidRPr="001469F4">
        <w:rPr>
          <w:lang w:val="en-GB"/>
        </w:rPr>
        <w:t xml:space="preserve">initial submission </w:t>
      </w:r>
      <w:r w:rsidRPr="00CA7E79">
        <w:rPr>
          <w:lang w:val="en-GB"/>
        </w:rPr>
        <w:t>was sent after 11 p.m. on 17 March 2014. The deportation was scheduled for midnight on</w:t>
      </w:r>
      <w:r w:rsidRPr="00CA7E79">
        <w:t xml:space="preserve"> 18</w:t>
      </w:r>
      <w:r>
        <w:t xml:space="preserve"> March 2014. The complaint was received by the </w:t>
      </w:r>
      <w:r w:rsidR="0065766D">
        <w:t>s</w:t>
      </w:r>
      <w:r>
        <w:t xml:space="preserve">ecretariat later </w:t>
      </w:r>
      <w:r w:rsidR="00C72861">
        <w:t xml:space="preserve">in the day </w:t>
      </w:r>
      <w:r>
        <w:t xml:space="preserve">on 18 March 2014. The </w:t>
      </w:r>
      <w:r w:rsidR="0065766D">
        <w:t>s</w:t>
      </w:r>
      <w:r>
        <w:t xml:space="preserve">ecretariat informed the Special Rapporteur on new communications and </w:t>
      </w:r>
      <w:r>
        <w:rPr>
          <w:lang w:val="en-GB"/>
        </w:rPr>
        <w:t>i</w:t>
      </w:r>
      <w:r>
        <w:t xml:space="preserve">nterim </w:t>
      </w:r>
      <w:r>
        <w:rPr>
          <w:lang w:val="en-GB"/>
        </w:rPr>
        <w:t>m</w:t>
      </w:r>
      <w:r>
        <w:t xml:space="preserve">easures and requested counsel to provide an update as to the status of the deportation. Later that </w:t>
      </w:r>
      <w:r w:rsidRPr="00E81BED">
        <w:t>morning, counsel indicated that the deportation had occurred, and the Special Rapporteur was informed accordingly. Counsel then made a request</w:t>
      </w:r>
      <w:r>
        <w:t xml:space="preserve"> to have the author returned to Denmark. The </w:t>
      </w:r>
      <w:r w:rsidRPr="002B1BB5">
        <w:rPr>
          <w:lang w:val="en-GB"/>
        </w:rPr>
        <w:t>full</w:t>
      </w:r>
      <w:r>
        <w:t xml:space="preserve"> version of the</w:t>
      </w:r>
      <w:r w:rsidRPr="007C0089">
        <w:rPr>
          <w:lang w:val="en-GB"/>
        </w:rPr>
        <w:t xml:space="preserve"> communication</w:t>
      </w:r>
      <w:r>
        <w:t xml:space="preserve"> (with English translations of the administrative decisions) was received </w:t>
      </w:r>
      <w:r w:rsidR="00C72861" w:rsidRPr="002B1BB5">
        <w:rPr>
          <w:lang w:val="en-GB"/>
        </w:rPr>
        <w:t xml:space="preserve">only </w:t>
      </w:r>
      <w:r>
        <w:t>on 27 March 2014.</w:t>
      </w:r>
    </w:p>
  </w:footnote>
  <w:footnote w:id="4">
    <w:p w14:paraId="66D337C2" w14:textId="77777777" w:rsidR="00FF0A1B" w:rsidRPr="00946553" w:rsidRDefault="00FF0A1B">
      <w:pPr>
        <w:pStyle w:val="FootnoteText"/>
        <w:rPr>
          <w:lang w:val="en-GB"/>
        </w:rPr>
      </w:pPr>
      <w:r>
        <w:rPr>
          <w:lang w:val="en-GB"/>
        </w:rPr>
        <w:tab/>
      </w:r>
      <w:r>
        <w:rPr>
          <w:rStyle w:val="FootnoteReference"/>
        </w:rPr>
        <w:footnoteRef/>
      </w:r>
      <w:r>
        <w:rPr>
          <w:lang w:val="en-GB"/>
        </w:rPr>
        <w:tab/>
      </w:r>
      <w:r w:rsidRPr="00946553">
        <w:t xml:space="preserve">At the time the </w:t>
      </w:r>
      <w:r w:rsidRPr="007C0089">
        <w:rPr>
          <w:lang w:val="en-GB"/>
        </w:rPr>
        <w:t xml:space="preserve">initial </w:t>
      </w:r>
      <w:r w:rsidRPr="008A16B6">
        <w:t>communication</w:t>
      </w:r>
      <w:r>
        <w:rPr>
          <w:lang w:val="en-GB"/>
        </w:rPr>
        <w:t xml:space="preserve"> </w:t>
      </w:r>
      <w:r w:rsidRPr="00946553">
        <w:t>was submitted, the author had not yet been deported.</w:t>
      </w:r>
    </w:p>
  </w:footnote>
  <w:footnote w:id="5">
    <w:p w14:paraId="500EFBB2" w14:textId="77777777" w:rsidR="00FF0A1B" w:rsidRPr="00C965DC" w:rsidRDefault="00FF0A1B" w:rsidP="00404151">
      <w:pPr>
        <w:pStyle w:val="FootnoteText"/>
        <w:rPr>
          <w:lang w:val="en-GB"/>
        </w:rPr>
      </w:pPr>
      <w:r w:rsidRPr="00B65097">
        <w:rPr>
          <w:lang w:val="en-GB"/>
        </w:rPr>
        <w:tab/>
      </w:r>
      <w:r>
        <w:rPr>
          <w:rStyle w:val="FootnoteReference"/>
        </w:rPr>
        <w:footnoteRef/>
      </w:r>
      <w:r w:rsidRPr="00B65097">
        <w:rPr>
          <w:lang w:val="en-GB"/>
        </w:rPr>
        <w:tab/>
      </w:r>
      <w:r>
        <w:t xml:space="preserve">The author cites </w:t>
      </w:r>
      <w:r w:rsidR="00E669D5">
        <w:t xml:space="preserve">the </w:t>
      </w:r>
      <w:r>
        <w:t xml:space="preserve">UNHCR </w:t>
      </w:r>
      <w:r w:rsidRPr="008A16B6">
        <w:t>Eligibility</w:t>
      </w:r>
      <w:r>
        <w:t xml:space="preserve"> Guidelines for </w:t>
      </w:r>
      <w:r w:rsidR="00404151" w:rsidRPr="005F00D7">
        <w:rPr>
          <w:lang w:val="en-GB"/>
        </w:rPr>
        <w:t>Assessing the International Protection Needs of Asylum</w:t>
      </w:r>
      <w:r w:rsidR="00404151" w:rsidRPr="00817A9E">
        <w:rPr>
          <w:lang w:val="en-GB"/>
        </w:rPr>
        <w:t xml:space="preserve"> </w:t>
      </w:r>
      <w:r w:rsidR="00404151" w:rsidRPr="005F00D7">
        <w:rPr>
          <w:lang w:val="en-GB"/>
        </w:rPr>
        <w:t xml:space="preserve">Seekers from </w:t>
      </w:r>
      <w:r>
        <w:t xml:space="preserve">Afghanistan </w:t>
      </w:r>
      <w:r w:rsidR="00404151">
        <w:rPr>
          <w:lang w:val="en-GB"/>
        </w:rPr>
        <w:t>of</w:t>
      </w:r>
      <w:r w:rsidR="00404151" w:rsidRPr="005F00D7">
        <w:rPr>
          <w:lang w:val="en-GB"/>
        </w:rPr>
        <w:t xml:space="preserve"> </w:t>
      </w:r>
      <w:r>
        <w:t xml:space="preserve">6 August 2013, </w:t>
      </w:r>
      <w:r w:rsidR="00865FCB">
        <w:t>sects. III.A.1 and III.A.6</w:t>
      </w:r>
      <w:r>
        <w:t xml:space="preserve">. </w:t>
      </w:r>
    </w:p>
  </w:footnote>
  <w:footnote w:id="6">
    <w:p w14:paraId="69DABCEB" w14:textId="77777777" w:rsidR="00FF0A1B" w:rsidRPr="00FD6046" w:rsidRDefault="00FF0A1B" w:rsidP="007C0089">
      <w:pPr>
        <w:pStyle w:val="FootnoteText"/>
        <w:rPr>
          <w:lang w:val="en-GB"/>
        </w:rPr>
      </w:pPr>
      <w:r>
        <w:rPr>
          <w:lang w:val="en-GB"/>
        </w:rPr>
        <w:tab/>
      </w:r>
      <w:r>
        <w:rPr>
          <w:rStyle w:val="FootnoteReference"/>
        </w:rPr>
        <w:footnoteRef/>
      </w:r>
      <w:r w:rsidRPr="00B65097">
        <w:rPr>
          <w:lang w:val="en-GB"/>
        </w:rPr>
        <w:tab/>
      </w:r>
      <w:r>
        <w:t xml:space="preserve">The unofficial translation of the </w:t>
      </w:r>
      <w:r w:rsidR="00E81BED">
        <w:t xml:space="preserve">Danish </w:t>
      </w:r>
      <w:r>
        <w:t>Refugee Appeals Board</w:t>
      </w:r>
      <w:r>
        <w:rPr>
          <w:lang w:val="en-GB"/>
        </w:rPr>
        <w:t>’s</w:t>
      </w:r>
      <w:r>
        <w:t xml:space="preserve"> decision provided by counsel states that the </w:t>
      </w:r>
      <w:r>
        <w:rPr>
          <w:lang w:val="en-GB"/>
        </w:rPr>
        <w:t xml:space="preserve">Board </w:t>
      </w:r>
      <w:r w:rsidRPr="00231611">
        <w:rPr>
          <w:lang w:val="en-GB"/>
        </w:rPr>
        <w:t>accepted</w:t>
      </w:r>
      <w:r>
        <w:t xml:space="preserve"> that the author </w:t>
      </w:r>
      <w:r w:rsidRPr="00CA7E79">
        <w:t xml:space="preserve">worked for </w:t>
      </w:r>
      <w:r w:rsidR="00CA7E79" w:rsidRPr="00CA7E79">
        <w:rPr>
          <w:lang w:val="en-GB"/>
        </w:rPr>
        <w:t xml:space="preserve">Pacific Architects and Engineers </w:t>
      </w:r>
      <w:r w:rsidRPr="00F57ADF">
        <w:t>from 2007</w:t>
      </w:r>
      <w:r w:rsidR="00865FCB" w:rsidRPr="00F57ADF">
        <w:t xml:space="preserve"> to </w:t>
      </w:r>
      <w:r w:rsidRPr="00F57ADF">
        <w:t>2009 and was responsible for investigating drug-related crime</w:t>
      </w:r>
      <w:r w:rsidRPr="00F57ADF">
        <w:rPr>
          <w:lang w:val="en-GB"/>
        </w:rPr>
        <w:t>s</w:t>
      </w:r>
      <w:r w:rsidRPr="00F57ADF">
        <w:t xml:space="preserve"> there</w:t>
      </w:r>
      <w:r w:rsidR="00865FCB" w:rsidRPr="00F57ADF">
        <w:t>,</w:t>
      </w:r>
      <w:r w:rsidRPr="00F57ADF">
        <w:t xml:space="preserve"> and that the Taliban w</w:t>
      </w:r>
      <w:r w:rsidRPr="00F57ADF">
        <w:rPr>
          <w:lang w:val="en-GB"/>
        </w:rPr>
        <w:t>ere</w:t>
      </w:r>
      <w:r w:rsidRPr="00F57ADF">
        <w:t xml:space="preserve"> involved in drug-related crime</w:t>
      </w:r>
      <w:r w:rsidRPr="00F57ADF">
        <w:rPr>
          <w:lang w:val="en-GB"/>
        </w:rPr>
        <w:t>s</w:t>
      </w:r>
      <w:r w:rsidRPr="00F57ADF">
        <w:t>. The Board</w:t>
      </w:r>
      <w:r w:rsidR="00865FCB" w:rsidRPr="00F57ADF">
        <w:t xml:space="preserve"> </w:t>
      </w:r>
      <w:r w:rsidRPr="00F57ADF">
        <w:t>rejected</w:t>
      </w:r>
      <w:r w:rsidR="00865FCB" w:rsidRPr="00F57ADF">
        <w:t>, however,</w:t>
      </w:r>
      <w:r w:rsidRPr="00F57ADF">
        <w:t xml:space="preserve"> the author’s claim that he had </w:t>
      </w:r>
      <w:r w:rsidR="00B94D50" w:rsidRPr="00F57ADF">
        <w:t xml:space="preserve">had </w:t>
      </w:r>
      <w:r w:rsidRPr="00F57ADF">
        <w:t>problems with</w:t>
      </w:r>
      <w:r>
        <w:t xml:space="preserve"> the Taliban two-and-a</w:t>
      </w:r>
      <w:r>
        <w:rPr>
          <w:lang w:val="en-GB"/>
        </w:rPr>
        <w:t>-</w:t>
      </w:r>
      <w:r>
        <w:t xml:space="preserve">half years after he had contributed to the </w:t>
      </w:r>
      <w:r w:rsidR="00404151">
        <w:t xml:space="preserve">solving </w:t>
      </w:r>
      <w:r>
        <w:t>of drug-related crime</w:t>
      </w:r>
      <w:r w:rsidRPr="002B1BB5">
        <w:rPr>
          <w:lang w:val="en-GB"/>
        </w:rPr>
        <w:t>s</w:t>
      </w:r>
      <w:r>
        <w:t>. In that regard, the Board emphasized that the author ha</w:t>
      </w:r>
      <w:r w:rsidRPr="007C0089">
        <w:rPr>
          <w:lang w:val="en-GB"/>
        </w:rPr>
        <w:t>d</w:t>
      </w:r>
      <w:r>
        <w:t xml:space="preserve"> been able to stay in Kabul without problems and visit</w:t>
      </w:r>
      <w:r>
        <w:rPr>
          <w:lang w:val="en-GB"/>
        </w:rPr>
        <w:t xml:space="preserve"> </w:t>
      </w:r>
      <w:r>
        <w:t xml:space="preserve">his wife and children weekly at his former residence in Jalalabad without being approached by the Taliban. The Board also rejected the author’s claim that he had had difficulties at a meeting where Christianity was discussed. In that regard, the Board noted that the author was unable either to explain in detail how the video of him was recorded or </w:t>
      </w:r>
      <w:r w:rsidRPr="002B1BB5">
        <w:rPr>
          <w:lang w:val="en-GB"/>
        </w:rPr>
        <w:t xml:space="preserve">to provide details on </w:t>
      </w:r>
      <w:r>
        <w:t>the contents of th</w:t>
      </w:r>
      <w:r w:rsidR="00404151">
        <w:t>at</w:t>
      </w:r>
      <w:r>
        <w:t xml:space="preserve"> video. The Board noted that the author alleged </w:t>
      </w:r>
      <w:r w:rsidR="00865FCB">
        <w:t xml:space="preserve">that he had </w:t>
      </w:r>
      <w:r>
        <w:t>received a threatening letter from the Taliban</w:t>
      </w:r>
      <w:r>
        <w:rPr>
          <w:lang w:val="en-GB"/>
        </w:rPr>
        <w:t xml:space="preserve"> </w:t>
      </w:r>
      <w:r>
        <w:t>prior to the relevant events. The Board did not find it probable that the author had been pursued by the Taliban at the time</w:t>
      </w:r>
      <w:r>
        <w:rPr>
          <w:lang w:val="en-GB"/>
        </w:rPr>
        <w:t xml:space="preserve"> </w:t>
      </w:r>
      <w:r>
        <w:t>of his departure from the country, or that he would face a concrete and individual risk of persecution upon return.</w:t>
      </w:r>
      <w:r>
        <w:rPr>
          <w:lang w:val="en-GB"/>
        </w:rPr>
        <w:t xml:space="preserve"> </w:t>
      </w:r>
    </w:p>
  </w:footnote>
  <w:footnote w:id="7">
    <w:p w14:paraId="078E7ABC" w14:textId="77777777" w:rsidR="00FF0A1B" w:rsidRPr="00F24C84" w:rsidRDefault="00FF0A1B">
      <w:pPr>
        <w:pStyle w:val="FootnoteText"/>
        <w:rPr>
          <w:lang w:val="en-GB"/>
        </w:rPr>
      </w:pPr>
      <w:r w:rsidRPr="007C0089">
        <w:rPr>
          <w:lang w:val="en-GB"/>
        </w:rPr>
        <w:tab/>
      </w:r>
      <w:r>
        <w:rPr>
          <w:rStyle w:val="FootnoteReference"/>
        </w:rPr>
        <w:footnoteRef/>
      </w:r>
      <w:r w:rsidRPr="007C0089">
        <w:rPr>
          <w:lang w:val="en-GB"/>
        </w:rPr>
        <w:tab/>
      </w:r>
      <w:r>
        <w:rPr>
          <w:lang w:val="en-GB"/>
        </w:rPr>
        <w:t>It appears from t</w:t>
      </w:r>
      <w:r w:rsidRPr="003023AA">
        <w:rPr>
          <w:lang w:val="en-GB"/>
        </w:rPr>
        <w:t xml:space="preserve">he unofficial </w:t>
      </w:r>
      <w:r w:rsidRPr="003126A1">
        <w:t>translation</w:t>
      </w:r>
      <w:r w:rsidRPr="003023AA">
        <w:rPr>
          <w:lang w:val="en-GB"/>
        </w:rPr>
        <w:t xml:space="preserve"> of the </w:t>
      </w:r>
      <w:r>
        <w:rPr>
          <w:lang w:val="en-GB"/>
        </w:rPr>
        <w:t xml:space="preserve">Board’s </w:t>
      </w:r>
      <w:r w:rsidRPr="003023AA">
        <w:rPr>
          <w:lang w:val="en-GB"/>
        </w:rPr>
        <w:t>decision denying the request to reopen the asylum case that the author</w:t>
      </w:r>
      <w:r>
        <w:rPr>
          <w:lang w:val="en-GB"/>
        </w:rPr>
        <w:t xml:space="preserve"> </w:t>
      </w:r>
      <w:r w:rsidRPr="003023AA">
        <w:rPr>
          <w:lang w:val="en-GB"/>
        </w:rPr>
        <w:t>provided new information</w:t>
      </w:r>
      <w:r>
        <w:rPr>
          <w:lang w:val="en-GB"/>
        </w:rPr>
        <w:t xml:space="preserve">, claiming </w:t>
      </w:r>
      <w:r w:rsidRPr="003023AA">
        <w:rPr>
          <w:lang w:val="en-GB"/>
        </w:rPr>
        <w:t>that he was abducted on 21 October 2007 from his h</w:t>
      </w:r>
      <w:r>
        <w:rPr>
          <w:lang w:val="en-GB"/>
        </w:rPr>
        <w:t xml:space="preserve">ome in Jalalabad. The abduction allegedly </w:t>
      </w:r>
      <w:r w:rsidRPr="003023AA">
        <w:rPr>
          <w:lang w:val="en-GB"/>
        </w:rPr>
        <w:t>occurred after his work that led to the unrave</w:t>
      </w:r>
      <w:r>
        <w:rPr>
          <w:lang w:val="en-GB"/>
        </w:rPr>
        <w:t>l</w:t>
      </w:r>
      <w:r w:rsidRPr="003023AA">
        <w:rPr>
          <w:lang w:val="en-GB"/>
        </w:rPr>
        <w:t>ling of a major drug operation</w:t>
      </w:r>
      <w:r>
        <w:rPr>
          <w:lang w:val="en-GB"/>
        </w:rPr>
        <w:t>,</w:t>
      </w:r>
      <w:r w:rsidRPr="003023AA">
        <w:rPr>
          <w:lang w:val="en-GB"/>
        </w:rPr>
        <w:t xml:space="preserve"> culminating in the arrest of two drug</w:t>
      </w:r>
      <w:r>
        <w:rPr>
          <w:lang w:val="en-GB"/>
        </w:rPr>
        <w:t xml:space="preserve"> </w:t>
      </w:r>
      <w:r w:rsidRPr="003023AA">
        <w:rPr>
          <w:lang w:val="en-GB"/>
        </w:rPr>
        <w:t xml:space="preserve">kingpins. The abduction was </w:t>
      </w:r>
      <w:r w:rsidR="00B94D50">
        <w:rPr>
          <w:lang w:val="en-GB"/>
        </w:rPr>
        <w:t xml:space="preserve">allegedly </w:t>
      </w:r>
      <w:r w:rsidRPr="003023AA">
        <w:rPr>
          <w:lang w:val="en-GB"/>
        </w:rPr>
        <w:t xml:space="preserve">arranged by a third kingpin, who had avoided arrest. The author believes that his former colleague had denounced him as being an agent responsible for collecting information on the Taliban and on the mafia. The author presented a police report dated 12 </w:t>
      </w:r>
      <w:r w:rsidRPr="002B1BB5">
        <w:rPr>
          <w:lang w:val="en-GB"/>
        </w:rPr>
        <w:t>October 2009</w:t>
      </w:r>
      <w:r>
        <w:rPr>
          <w:lang w:val="en-GB"/>
        </w:rPr>
        <w:t xml:space="preserve"> </w:t>
      </w:r>
      <w:r w:rsidRPr="003023AA">
        <w:rPr>
          <w:lang w:val="en-GB"/>
        </w:rPr>
        <w:t xml:space="preserve">which describes the </w:t>
      </w:r>
      <w:r w:rsidR="00B94D50">
        <w:rPr>
          <w:lang w:val="en-GB"/>
        </w:rPr>
        <w:t xml:space="preserve">events relating to the </w:t>
      </w:r>
      <w:r w:rsidRPr="003023AA">
        <w:rPr>
          <w:lang w:val="en-GB"/>
        </w:rPr>
        <w:t xml:space="preserve">abduction. The </w:t>
      </w:r>
      <w:r>
        <w:rPr>
          <w:lang w:val="en-GB"/>
        </w:rPr>
        <w:t xml:space="preserve">Board’s </w:t>
      </w:r>
      <w:r w:rsidRPr="003023AA">
        <w:rPr>
          <w:lang w:val="en-GB"/>
        </w:rPr>
        <w:t>decision also states that the author presented new information on the Taliban’s search for him</w:t>
      </w:r>
      <w:r>
        <w:rPr>
          <w:lang w:val="en-GB"/>
        </w:rPr>
        <w:t>,</w:t>
      </w:r>
      <w:r w:rsidRPr="003023AA">
        <w:rPr>
          <w:lang w:val="en-GB"/>
        </w:rPr>
        <w:t xml:space="preserve"> </w:t>
      </w:r>
      <w:r w:rsidRPr="0072378B">
        <w:rPr>
          <w:lang w:val="en-GB"/>
        </w:rPr>
        <w:t>namely, that his brother told him during a telephone conversation on 19 June 2013 that the Taliban commander Moalem Ghulam Sediq had</w:t>
      </w:r>
      <w:r w:rsidRPr="00F57ADF">
        <w:rPr>
          <w:lang w:val="en-GB"/>
        </w:rPr>
        <w:t xml:space="preserve"> sought out the village leader and enquired about the author’s whereabouts. The author also added that he </w:t>
      </w:r>
      <w:r w:rsidR="00B94D50" w:rsidRPr="00F57ADF">
        <w:rPr>
          <w:lang w:val="en-GB"/>
        </w:rPr>
        <w:t xml:space="preserve">had been </w:t>
      </w:r>
      <w:r w:rsidRPr="00F57ADF">
        <w:rPr>
          <w:lang w:val="en-GB"/>
        </w:rPr>
        <w:t>able to live in Kabul between 2009 and 2012 because he was incredibly careful in his movements. He</w:t>
      </w:r>
      <w:r w:rsidR="00821EF1">
        <w:rPr>
          <w:lang w:val="en-GB"/>
        </w:rPr>
        <w:t xml:space="preserve"> had</w:t>
      </w:r>
      <w:r w:rsidRPr="00F57ADF">
        <w:rPr>
          <w:lang w:val="en-GB"/>
        </w:rPr>
        <w:t xml:space="preserve"> lived in hiding and mostly stayed in his office or</w:t>
      </w:r>
      <w:r w:rsidRPr="003023AA">
        <w:rPr>
          <w:lang w:val="en-GB"/>
        </w:rPr>
        <w:t xml:space="preserve"> his apartment, and only visited his family </w:t>
      </w:r>
      <w:r w:rsidR="00865FCB">
        <w:rPr>
          <w:lang w:val="en-GB"/>
        </w:rPr>
        <w:t xml:space="preserve">once </w:t>
      </w:r>
      <w:r w:rsidRPr="003023AA">
        <w:rPr>
          <w:lang w:val="en-GB"/>
        </w:rPr>
        <w:t xml:space="preserve">every three months. </w:t>
      </w:r>
      <w:r>
        <w:rPr>
          <w:lang w:val="en-GB"/>
        </w:rPr>
        <w:t xml:space="preserve">He </w:t>
      </w:r>
      <w:r w:rsidRPr="003023AA">
        <w:rPr>
          <w:lang w:val="en-GB"/>
        </w:rPr>
        <w:t xml:space="preserve">also explained that he </w:t>
      </w:r>
      <w:r w:rsidR="00B94D50">
        <w:rPr>
          <w:lang w:val="en-GB"/>
        </w:rPr>
        <w:t>had been</w:t>
      </w:r>
      <w:r w:rsidR="00B94D50" w:rsidRPr="003023AA">
        <w:rPr>
          <w:lang w:val="en-GB"/>
        </w:rPr>
        <w:t xml:space="preserve"> </w:t>
      </w:r>
      <w:r w:rsidRPr="003023AA">
        <w:rPr>
          <w:lang w:val="en-GB"/>
        </w:rPr>
        <w:t xml:space="preserve">unaware of the video recording in which he </w:t>
      </w:r>
      <w:r w:rsidR="00865FCB">
        <w:rPr>
          <w:lang w:val="en-GB"/>
        </w:rPr>
        <w:t xml:space="preserve">discussed </w:t>
      </w:r>
      <w:r w:rsidRPr="003023AA">
        <w:rPr>
          <w:lang w:val="en-GB"/>
        </w:rPr>
        <w:t>Christianity</w:t>
      </w:r>
      <w:r>
        <w:rPr>
          <w:lang w:val="en-GB"/>
        </w:rPr>
        <w:t xml:space="preserve"> </w:t>
      </w:r>
      <w:r w:rsidRPr="003023AA">
        <w:rPr>
          <w:lang w:val="en-GB"/>
        </w:rPr>
        <w:t>until a warrant was issued for his arrest.</w:t>
      </w:r>
      <w:r>
        <w:rPr>
          <w:lang w:val="en-GB"/>
        </w:rPr>
        <w:t xml:space="preserve"> A copy of the warrant has not been made part of the file. He </w:t>
      </w:r>
      <w:r w:rsidRPr="003023AA">
        <w:rPr>
          <w:lang w:val="en-GB"/>
        </w:rPr>
        <w:t xml:space="preserve">further stated that he </w:t>
      </w:r>
      <w:r w:rsidR="00D10B7A">
        <w:rPr>
          <w:lang w:val="en-GB"/>
        </w:rPr>
        <w:t xml:space="preserve">had </w:t>
      </w:r>
      <w:r w:rsidRPr="003023AA">
        <w:rPr>
          <w:lang w:val="en-GB"/>
        </w:rPr>
        <w:t>received the threatening letter dated 6 April 2012 after the meeting about Christianity and before the arrival of the police at the family residence.</w:t>
      </w:r>
      <w:r>
        <w:rPr>
          <w:lang w:val="en-GB"/>
        </w:rPr>
        <w:t xml:space="preserve"> </w:t>
      </w:r>
      <w:r w:rsidRPr="003023AA">
        <w:rPr>
          <w:lang w:val="en-GB"/>
        </w:rPr>
        <w:t>The author also presented new information</w:t>
      </w:r>
      <w:r w:rsidR="00821EF1">
        <w:rPr>
          <w:lang w:val="en-GB"/>
        </w:rPr>
        <w:t>:</w:t>
      </w:r>
      <w:r w:rsidRPr="003023AA">
        <w:rPr>
          <w:lang w:val="en-GB"/>
        </w:rPr>
        <w:t xml:space="preserve"> that he has acted as an interpreter for 28 countries, including Denmark, Germany and the </w:t>
      </w:r>
      <w:r>
        <w:rPr>
          <w:lang w:val="en-GB"/>
        </w:rPr>
        <w:t>United States,</w:t>
      </w:r>
      <w:r w:rsidRPr="003023AA">
        <w:rPr>
          <w:lang w:val="en-GB"/>
        </w:rPr>
        <w:t xml:space="preserve"> and in th</w:t>
      </w:r>
      <w:r w:rsidR="00865FCB">
        <w:rPr>
          <w:lang w:val="en-GB"/>
        </w:rPr>
        <w:t>at</w:t>
      </w:r>
      <w:r w:rsidRPr="003023AA">
        <w:rPr>
          <w:lang w:val="en-GB"/>
        </w:rPr>
        <w:t xml:space="preserve"> capacity ha</w:t>
      </w:r>
      <w:r w:rsidR="00865FCB">
        <w:rPr>
          <w:lang w:val="en-GB"/>
        </w:rPr>
        <w:t>d</w:t>
      </w:r>
      <w:r w:rsidRPr="003023AA">
        <w:rPr>
          <w:lang w:val="en-GB"/>
        </w:rPr>
        <w:t xml:space="preserve"> taken part in a series of meetings with village leaders</w:t>
      </w:r>
      <w:r>
        <w:rPr>
          <w:lang w:val="en-GB"/>
        </w:rPr>
        <w:t xml:space="preserve"> and</w:t>
      </w:r>
      <w:r w:rsidRPr="003023AA">
        <w:rPr>
          <w:lang w:val="en-GB"/>
        </w:rPr>
        <w:t xml:space="preserve"> Taliban</w:t>
      </w:r>
      <w:r>
        <w:rPr>
          <w:lang w:val="en-GB"/>
        </w:rPr>
        <w:t xml:space="preserve"> </w:t>
      </w:r>
      <w:r w:rsidRPr="003023AA">
        <w:rPr>
          <w:lang w:val="en-GB"/>
        </w:rPr>
        <w:t xml:space="preserve">members, </w:t>
      </w:r>
      <w:r>
        <w:rPr>
          <w:lang w:val="en-GB"/>
        </w:rPr>
        <w:t>among others</w:t>
      </w:r>
      <w:r w:rsidRPr="003023AA">
        <w:rPr>
          <w:lang w:val="en-GB"/>
        </w:rPr>
        <w:t xml:space="preserve">. The </w:t>
      </w:r>
      <w:r>
        <w:rPr>
          <w:lang w:val="en-GB"/>
        </w:rPr>
        <w:t>Board</w:t>
      </w:r>
      <w:r w:rsidRPr="003023AA">
        <w:rPr>
          <w:lang w:val="en-GB"/>
        </w:rPr>
        <w:t xml:space="preserve"> found that the author had considerably expanded upon his motive for seeking asylum and had not provided a reasonable explanation for adding significant details </w:t>
      </w:r>
      <w:r w:rsidR="00D10B7A">
        <w:rPr>
          <w:lang w:val="en-GB"/>
        </w:rPr>
        <w:t xml:space="preserve">that </w:t>
      </w:r>
      <w:r w:rsidRPr="00CA7E79">
        <w:rPr>
          <w:lang w:val="en-GB"/>
        </w:rPr>
        <w:t xml:space="preserve">he had not mentioned earlier in the proceedings. The Board found </w:t>
      </w:r>
      <w:r w:rsidR="00D10B7A">
        <w:rPr>
          <w:lang w:val="en-GB"/>
        </w:rPr>
        <w:t xml:space="preserve">that </w:t>
      </w:r>
      <w:r w:rsidRPr="00CA7E79">
        <w:rPr>
          <w:lang w:val="en-GB"/>
        </w:rPr>
        <w:t xml:space="preserve">the documents presented by the author </w:t>
      </w:r>
      <w:r w:rsidR="00D10B7A">
        <w:rPr>
          <w:lang w:val="en-GB"/>
        </w:rPr>
        <w:t xml:space="preserve">had </w:t>
      </w:r>
      <w:r w:rsidRPr="00CA7E79">
        <w:rPr>
          <w:lang w:val="en-GB"/>
        </w:rPr>
        <w:t xml:space="preserve">apparently </w:t>
      </w:r>
      <w:r w:rsidR="00D10B7A">
        <w:rPr>
          <w:lang w:val="en-GB"/>
        </w:rPr>
        <w:t xml:space="preserve">been </w:t>
      </w:r>
      <w:r w:rsidRPr="00CA7E79">
        <w:rPr>
          <w:lang w:val="en-GB"/>
        </w:rPr>
        <w:t xml:space="preserve">constructed for the occasion, and that the author had not adequately explained how the police report had been procured or why it </w:t>
      </w:r>
      <w:r w:rsidR="00865FCB" w:rsidRPr="00CA7E79">
        <w:rPr>
          <w:lang w:val="en-GB"/>
        </w:rPr>
        <w:t xml:space="preserve">had not been </w:t>
      </w:r>
      <w:r w:rsidRPr="00CA7E79">
        <w:rPr>
          <w:lang w:val="en-GB"/>
        </w:rPr>
        <w:t>presented earlier. The</w:t>
      </w:r>
      <w:r w:rsidRPr="003023AA">
        <w:rPr>
          <w:lang w:val="en-GB"/>
        </w:rPr>
        <w:t xml:space="preserve"> </w:t>
      </w:r>
      <w:r>
        <w:rPr>
          <w:lang w:val="en-GB"/>
        </w:rPr>
        <w:t>Board</w:t>
      </w:r>
      <w:r w:rsidRPr="003023AA">
        <w:rPr>
          <w:lang w:val="en-GB"/>
        </w:rPr>
        <w:t xml:space="preserve"> found it unlikely that the Taliban would seek out the leader of the author’s village more than a year after</w:t>
      </w:r>
      <w:r>
        <w:rPr>
          <w:lang w:val="en-GB"/>
        </w:rPr>
        <w:t xml:space="preserve"> </w:t>
      </w:r>
      <w:r w:rsidRPr="003023AA">
        <w:rPr>
          <w:lang w:val="en-GB"/>
        </w:rPr>
        <w:t>the author’s departure from Afghanistan, and more than three</w:t>
      </w:r>
      <w:r>
        <w:rPr>
          <w:lang w:val="en-GB"/>
        </w:rPr>
        <w:t>-</w:t>
      </w:r>
      <w:r w:rsidRPr="003023AA">
        <w:rPr>
          <w:lang w:val="en-GB"/>
        </w:rPr>
        <w:t>and</w:t>
      </w:r>
      <w:r>
        <w:rPr>
          <w:lang w:val="en-GB"/>
        </w:rPr>
        <w:t>-</w:t>
      </w:r>
      <w:r w:rsidRPr="003023AA">
        <w:rPr>
          <w:lang w:val="en-GB"/>
        </w:rPr>
        <w:t>a</w:t>
      </w:r>
      <w:r>
        <w:rPr>
          <w:lang w:val="en-GB"/>
        </w:rPr>
        <w:t>-</w:t>
      </w:r>
      <w:r w:rsidRPr="003023AA">
        <w:rPr>
          <w:lang w:val="en-GB"/>
        </w:rPr>
        <w:t xml:space="preserve">half years after the author </w:t>
      </w:r>
      <w:r w:rsidR="004C5F28">
        <w:rPr>
          <w:lang w:val="en-GB"/>
        </w:rPr>
        <w:t xml:space="preserve">had </w:t>
      </w:r>
      <w:r w:rsidRPr="003023AA">
        <w:rPr>
          <w:lang w:val="en-GB"/>
        </w:rPr>
        <w:t xml:space="preserve">left the village </w:t>
      </w:r>
      <w:r>
        <w:rPr>
          <w:lang w:val="en-GB"/>
        </w:rPr>
        <w:t>following</w:t>
      </w:r>
      <w:r w:rsidRPr="003023AA">
        <w:rPr>
          <w:lang w:val="en-GB"/>
        </w:rPr>
        <w:t xml:space="preserve"> the</w:t>
      </w:r>
      <w:r>
        <w:rPr>
          <w:lang w:val="en-GB"/>
        </w:rPr>
        <w:t xml:space="preserve"> </w:t>
      </w:r>
      <w:r w:rsidRPr="003023AA">
        <w:rPr>
          <w:lang w:val="en-GB"/>
        </w:rPr>
        <w:t xml:space="preserve">attempted kidnapping. The </w:t>
      </w:r>
      <w:r>
        <w:rPr>
          <w:lang w:val="en-GB"/>
        </w:rPr>
        <w:t>Board</w:t>
      </w:r>
      <w:r w:rsidRPr="003023AA">
        <w:rPr>
          <w:lang w:val="en-GB"/>
        </w:rPr>
        <w:t xml:space="preserve"> noted that it is easy to obtain all </w:t>
      </w:r>
      <w:r w:rsidRPr="0072378B">
        <w:rPr>
          <w:lang w:val="en-GB"/>
        </w:rPr>
        <w:t xml:space="preserve">kinds of forged documents in Afghanistan, including threatening letters from the Taliban. The Board </w:t>
      </w:r>
      <w:r w:rsidR="0072378B" w:rsidRPr="007C0089">
        <w:rPr>
          <w:lang w:val="en-GB"/>
        </w:rPr>
        <w:t xml:space="preserve">decided that there was </w:t>
      </w:r>
      <w:r w:rsidRPr="0072378B">
        <w:rPr>
          <w:lang w:val="en-GB"/>
        </w:rPr>
        <w:t xml:space="preserve">no basis for finding that the author had had conflicts in Afghanistan due to his employment in </w:t>
      </w:r>
      <w:r w:rsidR="00CA7E79" w:rsidRPr="0072378B">
        <w:rPr>
          <w:lang w:val="en-GB"/>
        </w:rPr>
        <w:t xml:space="preserve">the International Security Assistance Force </w:t>
      </w:r>
      <w:r w:rsidRPr="0072378B">
        <w:rPr>
          <w:lang w:val="en-GB"/>
        </w:rPr>
        <w:t>from 2003 to 2007, or that he had the profile of someone subject to a specific and individual risk of persecution.</w:t>
      </w:r>
    </w:p>
  </w:footnote>
  <w:footnote w:id="8">
    <w:p w14:paraId="00073F57" w14:textId="77777777" w:rsidR="00FF0A1B" w:rsidRPr="00AB3E4E" w:rsidRDefault="00FF0A1B">
      <w:pPr>
        <w:pStyle w:val="FootnoteText"/>
        <w:rPr>
          <w:lang w:val="en-GB"/>
        </w:rPr>
      </w:pPr>
      <w:r>
        <w:rPr>
          <w:lang w:val="en-GB"/>
        </w:rPr>
        <w:tab/>
      </w:r>
      <w:r>
        <w:rPr>
          <w:rStyle w:val="FootnoteReference"/>
        </w:rPr>
        <w:footnoteRef/>
      </w:r>
      <w:r w:rsidRPr="00B65097">
        <w:rPr>
          <w:lang w:val="en-GB"/>
        </w:rPr>
        <w:tab/>
      </w:r>
      <w:r>
        <w:rPr>
          <w:lang w:val="en-GB"/>
        </w:rPr>
        <w:t xml:space="preserve">The author </w:t>
      </w:r>
      <w:r w:rsidRPr="00AB3E4E">
        <w:rPr>
          <w:lang w:val="en-GB"/>
        </w:rPr>
        <w:t>mentioned that he had not informed his lawyer of the attack but intended to do so.</w:t>
      </w:r>
      <w:r>
        <w:rPr>
          <w:lang w:val="en-GB"/>
        </w:rPr>
        <w:t xml:space="preserve"> </w:t>
      </w:r>
    </w:p>
  </w:footnote>
  <w:footnote w:id="9">
    <w:p w14:paraId="31159332" w14:textId="77777777" w:rsidR="00FF0A1B" w:rsidRPr="003803FA" w:rsidRDefault="00FF0A1B">
      <w:pPr>
        <w:pStyle w:val="FootnoteText"/>
        <w:rPr>
          <w:lang w:val="en-GB"/>
        </w:rPr>
      </w:pPr>
      <w:r>
        <w:rPr>
          <w:lang w:val="en-GB"/>
        </w:rPr>
        <w:tab/>
      </w:r>
      <w:r>
        <w:rPr>
          <w:rStyle w:val="FootnoteReference"/>
        </w:rPr>
        <w:footnoteRef/>
      </w:r>
      <w:r>
        <w:rPr>
          <w:lang w:val="en-GB"/>
        </w:rPr>
        <w:tab/>
        <w:t xml:space="preserve">See, inter alia, communication </w:t>
      </w:r>
      <w:r w:rsidRPr="00F57ADF">
        <w:rPr>
          <w:lang w:val="en-GB"/>
        </w:rPr>
        <w:t xml:space="preserve">No. 2007/2010, </w:t>
      </w:r>
      <w:r w:rsidR="00D10B7A" w:rsidRPr="00F57ADF">
        <w:rPr>
          <w:i/>
          <w:lang w:val="en-GB"/>
        </w:rPr>
        <w:t>X</w:t>
      </w:r>
      <w:r w:rsidRPr="00F57ADF">
        <w:rPr>
          <w:i/>
          <w:lang w:val="en-GB"/>
        </w:rPr>
        <w:t xml:space="preserve"> </w:t>
      </w:r>
      <w:r w:rsidRPr="006225D2">
        <w:rPr>
          <w:i/>
          <w:lang w:val="en-GB"/>
        </w:rPr>
        <w:t>v</w:t>
      </w:r>
      <w:r w:rsidR="00D10B7A" w:rsidRPr="007C0089">
        <w:rPr>
          <w:i/>
          <w:lang w:val="en-GB"/>
        </w:rPr>
        <w:t>.</w:t>
      </w:r>
      <w:r w:rsidRPr="00F57ADF">
        <w:rPr>
          <w:i/>
          <w:lang w:val="en-GB"/>
        </w:rPr>
        <w:t xml:space="preserve"> </w:t>
      </w:r>
      <w:r w:rsidRPr="007C0089">
        <w:rPr>
          <w:i/>
          <w:lang w:val="en-GB"/>
        </w:rPr>
        <w:t>Denmark</w:t>
      </w:r>
      <w:r w:rsidRPr="00F57ADF">
        <w:rPr>
          <w:lang w:val="en-GB"/>
        </w:rPr>
        <w:t>, Views adopted by the Committee on 26 March 2014, para. 8.5.</w:t>
      </w:r>
      <w:r>
        <w:rPr>
          <w:lang w:val="en-GB"/>
        </w:rPr>
        <w:t xml:space="preserve"> </w:t>
      </w:r>
    </w:p>
  </w:footnote>
  <w:footnote w:id="10">
    <w:p w14:paraId="23BCAD8C" w14:textId="77777777" w:rsidR="00FF0A1B" w:rsidRPr="007C0089" w:rsidRDefault="00FF0A1B" w:rsidP="00F57ADF">
      <w:pPr>
        <w:pStyle w:val="FootnoteText"/>
        <w:rPr>
          <w:szCs w:val="18"/>
          <w:lang w:val="en-GB"/>
        </w:rPr>
      </w:pPr>
      <w:r>
        <w:rPr>
          <w:lang w:val="en-GB"/>
        </w:rPr>
        <w:tab/>
      </w:r>
      <w:r>
        <w:rPr>
          <w:rStyle w:val="FootnoteReference"/>
        </w:rPr>
        <w:footnoteRef/>
      </w:r>
      <w:r w:rsidRPr="007C0089">
        <w:rPr>
          <w:lang w:val="en-GB"/>
        </w:rPr>
        <w:tab/>
      </w:r>
      <w:r w:rsidRPr="00AE1A56">
        <w:rPr>
          <w:lang w:val="en-GB"/>
        </w:rPr>
        <w:t>The author adds that</w:t>
      </w:r>
      <w:r w:rsidR="00D10B7A">
        <w:rPr>
          <w:lang w:val="en-GB"/>
        </w:rPr>
        <w:t>,</w:t>
      </w:r>
      <w:r w:rsidRPr="00AE1A56">
        <w:rPr>
          <w:lang w:val="en-GB"/>
        </w:rPr>
        <w:t xml:space="preserve"> if no help </w:t>
      </w:r>
      <w:r w:rsidRPr="007C0089">
        <w:rPr>
          <w:szCs w:val="18"/>
          <w:lang w:val="en-GB"/>
        </w:rPr>
        <w:t xml:space="preserve">is forthcoming, he threatens to set fire to his children and himself in front of the Danish </w:t>
      </w:r>
      <w:r w:rsidR="00D10B7A" w:rsidRPr="007C0089">
        <w:rPr>
          <w:szCs w:val="18"/>
          <w:lang w:val="en-GB"/>
        </w:rPr>
        <w:t>e</w:t>
      </w:r>
      <w:r w:rsidRPr="007C0089">
        <w:rPr>
          <w:szCs w:val="18"/>
          <w:lang w:val="en-GB"/>
        </w:rPr>
        <w:t>mbassy.</w:t>
      </w:r>
    </w:p>
  </w:footnote>
  <w:footnote w:id="11">
    <w:p w14:paraId="185AA6CF" w14:textId="77777777" w:rsidR="00FF0A1B" w:rsidRPr="007C0089" w:rsidRDefault="00FF0A1B" w:rsidP="007C0089">
      <w:pPr>
        <w:pStyle w:val="FootnoteText"/>
        <w:rPr>
          <w:szCs w:val="18"/>
          <w:lang w:val="en-GB"/>
        </w:rPr>
      </w:pPr>
      <w:r w:rsidRPr="007C0089">
        <w:rPr>
          <w:szCs w:val="18"/>
          <w:lang w:val="en-GB"/>
        </w:rPr>
        <w:tab/>
      </w:r>
      <w:r w:rsidRPr="007C0089">
        <w:rPr>
          <w:rStyle w:val="FootnoteReference"/>
          <w:szCs w:val="18"/>
        </w:rPr>
        <w:footnoteRef/>
      </w:r>
      <w:r w:rsidRPr="007C0089">
        <w:rPr>
          <w:szCs w:val="18"/>
          <w:lang w:val="en-GB"/>
        </w:rPr>
        <w:tab/>
        <w:t xml:space="preserve">See, inter alia, communication No. 1494/2006, </w:t>
      </w:r>
      <w:r w:rsidR="00D10B7A" w:rsidRPr="007C0089">
        <w:rPr>
          <w:i/>
          <w:szCs w:val="18"/>
          <w:lang w:eastAsia="en-GB"/>
        </w:rPr>
        <w:t xml:space="preserve">Arusjak Chadzjian and her </w:t>
      </w:r>
      <w:r w:rsidR="002E73C0" w:rsidRPr="00F57ADF">
        <w:rPr>
          <w:i/>
          <w:szCs w:val="18"/>
          <w:lang w:eastAsia="en-GB"/>
        </w:rPr>
        <w:t>C</w:t>
      </w:r>
      <w:r w:rsidR="00D10B7A" w:rsidRPr="007C0089">
        <w:rPr>
          <w:i/>
          <w:szCs w:val="18"/>
          <w:lang w:eastAsia="en-GB"/>
        </w:rPr>
        <w:t>hildren, Sarine,</w:t>
      </w:r>
      <w:r w:rsidR="002E73C0" w:rsidRPr="007C0089">
        <w:rPr>
          <w:i/>
          <w:szCs w:val="18"/>
          <w:lang w:eastAsia="en-GB"/>
        </w:rPr>
        <w:t xml:space="preserve"> </w:t>
      </w:r>
      <w:r w:rsidR="00D10B7A" w:rsidRPr="007C0089">
        <w:rPr>
          <w:i/>
          <w:szCs w:val="18"/>
          <w:lang w:eastAsia="en-GB"/>
        </w:rPr>
        <w:t>Meline and Edgar Barsegian</w:t>
      </w:r>
      <w:r w:rsidRPr="007C0089">
        <w:rPr>
          <w:i/>
          <w:szCs w:val="18"/>
          <w:lang w:val="en-GB"/>
        </w:rPr>
        <w:t xml:space="preserve"> v. The Netherlands</w:t>
      </w:r>
      <w:r w:rsidRPr="007C0089">
        <w:rPr>
          <w:szCs w:val="18"/>
          <w:lang w:val="en-GB"/>
        </w:rPr>
        <w:t>,</w:t>
      </w:r>
      <w:r w:rsidR="00B83D09" w:rsidRPr="002C25D1">
        <w:rPr>
          <w:szCs w:val="18"/>
          <w:lang w:val="en-GB"/>
        </w:rPr>
        <w:t xml:space="preserve"> decision of</w:t>
      </w:r>
      <w:r w:rsidRPr="007C0089">
        <w:rPr>
          <w:szCs w:val="18"/>
          <w:lang w:val="en-GB"/>
        </w:rPr>
        <w:t xml:space="preserve"> inadmissibility adopted on 22 July 2008, para.</w:t>
      </w:r>
      <w:r w:rsidR="00B83D09" w:rsidRPr="002C25D1">
        <w:rPr>
          <w:szCs w:val="18"/>
          <w:lang w:val="en-GB"/>
        </w:rPr>
        <w:t> </w:t>
      </w:r>
      <w:r w:rsidRPr="007C0089">
        <w:rPr>
          <w:szCs w:val="18"/>
          <w:lang w:val="en-GB"/>
        </w:rPr>
        <w:t xml:space="preserve">8.4: “The Committee refers to its jurisprudence that deportation proceedings did not involve either ‘the determination of any criminal charge’ or ‘rights and obligations in a suit at law’ within the meaning of article 14” (citing communication No. 1234/2003, </w:t>
      </w:r>
      <w:r w:rsidRPr="007C0089">
        <w:rPr>
          <w:i/>
          <w:szCs w:val="18"/>
          <w:lang w:val="en-GB"/>
        </w:rPr>
        <w:t>P.K. v. Canada</w:t>
      </w:r>
      <w:r w:rsidRPr="007C0089">
        <w:rPr>
          <w:szCs w:val="18"/>
          <w:lang w:val="en-GB"/>
        </w:rPr>
        <w:t xml:space="preserve">, </w:t>
      </w:r>
      <w:r w:rsidR="00B83D09" w:rsidRPr="002C25D1">
        <w:rPr>
          <w:szCs w:val="18"/>
          <w:lang w:val="en-GB"/>
        </w:rPr>
        <w:t xml:space="preserve">decision of </w:t>
      </w:r>
      <w:r w:rsidRPr="007C0089">
        <w:rPr>
          <w:szCs w:val="18"/>
          <w:lang w:val="en-GB"/>
        </w:rPr>
        <w:t xml:space="preserve">inadmissibility </w:t>
      </w:r>
      <w:r w:rsidR="00D00879" w:rsidRPr="002C25D1">
        <w:rPr>
          <w:szCs w:val="18"/>
          <w:lang w:val="en-GB"/>
        </w:rPr>
        <w:t>adopted on</w:t>
      </w:r>
      <w:r w:rsidRPr="007C0089">
        <w:rPr>
          <w:szCs w:val="18"/>
          <w:lang w:val="en-GB"/>
        </w:rPr>
        <w:t xml:space="preserve"> 20 March 2007, paras. 7.4 and 7.5).</w:t>
      </w:r>
      <w:r w:rsidRPr="007C0089">
        <w:rPr>
          <w:szCs w:val="18"/>
        </w:rPr>
        <w:t xml:space="preserve"> </w:t>
      </w:r>
      <w:r w:rsidRPr="007C0089">
        <w:rPr>
          <w:szCs w:val="18"/>
          <w:lang w:val="en-GB"/>
        </w:rPr>
        <w:t xml:space="preserve">See also </w:t>
      </w:r>
      <w:r w:rsidR="002C25D1" w:rsidRPr="007C0089">
        <w:rPr>
          <w:i/>
          <w:iCs/>
          <w:szCs w:val="18"/>
          <w:lang w:val="en-GB"/>
        </w:rPr>
        <w:t>X v. Denmark</w:t>
      </w:r>
      <w:r w:rsidRPr="007C0089">
        <w:rPr>
          <w:szCs w:val="18"/>
          <w:lang w:val="en-GB"/>
        </w:rPr>
        <w:t>, para. 8.5.</w:t>
      </w:r>
    </w:p>
  </w:footnote>
  <w:footnote w:id="12">
    <w:p w14:paraId="68BE0998" w14:textId="77777777" w:rsidR="00FF0A1B" w:rsidRPr="002C25D1" w:rsidRDefault="00FF0A1B">
      <w:pPr>
        <w:pStyle w:val="FootnoteText"/>
        <w:rPr>
          <w:lang w:val="en-GB"/>
        </w:rPr>
      </w:pPr>
      <w:r w:rsidRPr="007C0089">
        <w:rPr>
          <w:szCs w:val="18"/>
          <w:lang w:val="en-GB"/>
        </w:rPr>
        <w:tab/>
      </w:r>
      <w:r w:rsidRPr="007C0089">
        <w:rPr>
          <w:rStyle w:val="FootnoteReference"/>
          <w:szCs w:val="18"/>
          <w:lang w:val="en-GB"/>
        </w:rPr>
        <w:footnoteRef/>
      </w:r>
      <w:r w:rsidRPr="007C0089">
        <w:rPr>
          <w:szCs w:val="18"/>
          <w:lang w:val="en-GB"/>
        </w:rPr>
        <w:tab/>
        <w:t>See general comment No. 31 (2004) on the nature of</w:t>
      </w:r>
      <w:r w:rsidRPr="002C25D1">
        <w:rPr>
          <w:lang w:val="en-GB"/>
        </w:rPr>
        <w:t xml:space="preserve"> the general legal obligation imposed on States parties to the </w:t>
      </w:r>
      <w:r w:rsidRPr="002C25D1">
        <w:t>Covenant</w:t>
      </w:r>
      <w:r w:rsidRPr="002C25D1">
        <w:rPr>
          <w:lang w:val="en-GB"/>
        </w:rPr>
        <w:t xml:space="preserve">, para. </w:t>
      </w:r>
      <w:r w:rsidRPr="002C25D1">
        <w:t>12</w:t>
      </w:r>
      <w:r w:rsidRPr="002C25D1">
        <w:rPr>
          <w:lang w:val="en-GB"/>
        </w:rPr>
        <w:t>.</w:t>
      </w:r>
    </w:p>
  </w:footnote>
  <w:footnote w:id="13">
    <w:p w14:paraId="5D830779" w14:textId="77777777" w:rsidR="00FF0A1B" w:rsidRPr="002C25D1" w:rsidRDefault="00FF0A1B">
      <w:pPr>
        <w:pStyle w:val="FootnoteText"/>
      </w:pPr>
      <w:r w:rsidRPr="002C25D1">
        <w:tab/>
      </w:r>
      <w:r w:rsidRPr="002C25D1">
        <w:rPr>
          <w:rStyle w:val="FootnoteReference"/>
          <w:sz w:val="16"/>
          <w:szCs w:val="16"/>
        </w:rPr>
        <w:footnoteRef/>
      </w:r>
      <w:r w:rsidRPr="002C25D1">
        <w:tab/>
      </w:r>
      <w:r w:rsidRPr="002C25D1">
        <w:rPr>
          <w:lang w:val="en-GB"/>
        </w:rPr>
        <w:t xml:space="preserve">See, for </w:t>
      </w:r>
      <w:r w:rsidRPr="002C25D1">
        <w:t>example</w:t>
      </w:r>
      <w:r w:rsidRPr="002C25D1">
        <w:rPr>
          <w:lang w:val="en-GB"/>
        </w:rPr>
        <w:t xml:space="preserve">, </w:t>
      </w:r>
      <w:r w:rsidR="002C25D1" w:rsidRPr="007C0089">
        <w:rPr>
          <w:i/>
          <w:iCs/>
          <w:lang w:val="en-GB"/>
        </w:rPr>
        <w:t>X v. Denmark</w:t>
      </w:r>
      <w:r w:rsidRPr="002C25D1">
        <w:rPr>
          <w:lang w:val="en-GB"/>
        </w:rPr>
        <w:t>, para. 9.2</w:t>
      </w:r>
      <w:r w:rsidR="002C25D1" w:rsidRPr="002C25D1">
        <w:rPr>
          <w:lang w:val="en-GB"/>
        </w:rPr>
        <w:t>, and communication</w:t>
      </w:r>
      <w:r w:rsidRPr="002C25D1">
        <w:rPr>
          <w:lang w:val="en-GB"/>
        </w:rPr>
        <w:t xml:space="preserve"> </w:t>
      </w:r>
      <w:r w:rsidRPr="002C25D1">
        <w:t>No</w:t>
      </w:r>
      <w:r w:rsidR="002C25D1" w:rsidRPr="002C25D1">
        <w:t>s</w:t>
      </w:r>
      <w:r w:rsidRPr="002C25D1">
        <w:t xml:space="preserve">. 282/2005, </w:t>
      </w:r>
      <w:r w:rsidRPr="002C25D1">
        <w:rPr>
          <w:i/>
        </w:rPr>
        <w:t>S.P.A</w:t>
      </w:r>
      <w:r w:rsidRPr="007C0089">
        <w:rPr>
          <w:iCs/>
        </w:rPr>
        <w:t xml:space="preserve">. </w:t>
      </w:r>
      <w:r w:rsidRPr="007C0089">
        <w:rPr>
          <w:i/>
        </w:rPr>
        <w:t>v. Canada</w:t>
      </w:r>
      <w:r w:rsidRPr="002C25D1">
        <w:t xml:space="preserve">, decision adopted on 7 November 2006; 333/2007, </w:t>
      </w:r>
      <w:r w:rsidRPr="002C25D1">
        <w:rPr>
          <w:i/>
        </w:rPr>
        <w:t xml:space="preserve">T.I. </w:t>
      </w:r>
      <w:r w:rsidRPr="007C0089">
        <w:rPr>
          <w:i/>
          <w:iCs/>
        </w:rPr>
        <w:t>v.</w:t>
      </w:r>
      <w:r w:rsidRPr="002C25D1">
        <w:rPr>
          <w:i/>
        </w:rPr>
        <w:t xml:space="preserve"> Canada</w:t>
      </w:r>
      <w:r w:rsidRPr="002C25D1">
        <w:t xml:space="preserve">, decision adopted on 15 November 2010; 344/2008, </w:t>
      </w:r>
      <w:r w:rsidRPr="002C25D1">
        <w:rPr>
          <w:i/>
        </w:rPr>
        <w:t xml:space="preserve">A.M.A. </w:t>
      </w:r>
      <w:r w:rsidRPr="007C0089">
        <w:rPr>
          <w:i/>
          <w:iCs/>
        </w:rPr>
        <w:t>v.</w:t>
      </w:r>
      <w:r w:rsidRPr="002C25D1">
        <w:rPr>
          <w:i/>
        </w:rPr>
        <w:t> Switzerland</w:t>
      </w:r>
      <w:r w:rsidRPr="002C25D1">
        <w:t>, decision adopted on 12 November 2010</w:t>
      </w:r>
      <w:r w:rsidR="00275891" w:rsidRPr="007C0089">
        <w:t>; and</w:t>
      </w:r>
      <w:r w:rsidRPr="002C25D1">
        <w:t xml:space="preserve"> 692/1996, </w:t>
      </w:r>
      <w:r w:rsidRPr="002C25D1">
        <w:rPr>
          <w:i/>
          <w:iCs/>
        </w:rPr>
        <w:t xml:space="preserve">A.R.J. v. Australia, </w:t>
      </w:r>
      <w:r w:rsidRPr="002C25D1">
        <w:t>Views adopted on 28 July 1997, para. 6.6</w:t>
      </w:r>
      <w:r w:rsidRPr="002C25D1">
        <w:rPr>
          <w:lang w:val="en-GB"/>
        </w:rPr>
        <w:t>.</w:t>
      </w:r>
      <w:r w:rsidRPr="002C25D1">
        <w:t> </w:t>
      </w:r>
    </w:p>
  </w:footnote>
  <w:footnote w:id="14">
    <w:p w14:paraId="06C2A572" w14:textId="77777777" w:rsidR="00FF0A1B" w:rsidRPr="00F57ADF" w:rsidRDefault="00FF0A1B">
      <w:pPr>
        <w:pStyle w:val="FootnoteText"/>
      </w:pPr>
      <w:r w:rsidRPr="002C25D1">
        <w:tab/>
      </w:r>
      <w:r w:rsidRPr="002C25D1">
        <w:rPr>
          <w:rStyle w:val="FootnoteReference"/>
          <w:sz w:val="16"/>
          <w:szCs w:val="16"/>
        </w:rPr>
        <w:footnoteRef/>
      </w:r>
      <w:r w:rsidRPr="002C25D1">
        <w:tab/>
      </w:r>
      <w:r w:rsidRPr="002C25D1">
        <w:rPr>
          <w:lang w:val="en-GB"/>
        </w:rPr>
        <w:t xml:space="preserve">See, for example, </w:t>
      </w:r>
      <w:r w:rsidR="002C25D1" w:rsidRPr="007C0089">
        <w:rPr>
          <w:i/>
          <w:iCs/>
          <w:lang w:val="en-GB"/>
        </w:rPr>
        <w:t>X v. Denmark</w:t>
      </w:r>
      <w:r w:rsidRPr="002C25D1">
        <w:rPr>
          <w:lang w:val="en-GB"/>
        </w:rPr>
        <w:t xml:space="preserve">, para. 9.2; </w:t>
      </w:r>
      <w:r w:rsidR="00BA51C5" w:rsidRPr="002C25D1">
        <w:rPr>
          <w:lang w:val="en-GB"/>
        </w:rPr>
        <w:t xml:space="preserve">and </w:t>
      </w:r>
      <w:r w:rsidR="002C25D1" w:rsidRPr="002C25D1">
        <w:rPr>
          <w:lang w:val="en-GB"/>
        </w:rPr>
        <w:t xml:space="preserve">communication No. </w:t>
      </w:r>
      <w:r w:rsidRPr="002C25D1">
        <w:t>1833/2008</w:t>
      </w:r>
      <w:r w:rsidRPr="002C25D1">
        <w:rPr>
          <w:i/>
        </w:rPr>
        <w:t>, X. v. Sweden</w:t>
      </w:r>
      <w:r w:rsidRPr="002C25D1">
        <w:t>, Views adopted on 1 November 2011, para</w:t>
      </w:r>
      <w:r w:rsidRPr="002C25D1">
        <w:rPr>
          <w:lang w:val="en-GB"/>
        </w:rPr>
        <w:t xml:space="preserve">. </w:t>
      </w:r>
      <w:r w:rsidRPr="002C25D1">
        <w:t>5.18.</w:t>
      </w:r>
      <w:r w:rsidRPr="00F57ADF">
        <w:t xml:space="preserve"> </w:t>
      </w:r>
    </w:p>
  </w:footnote>
  <w:footnote w:id="15">
    <w:p w14:paraId="7451BCE2" w14:textId="77777777" w:rsidR="00FF0A1B" w:rsidRPr="00C465DA" w:rsidRDefault="00FF0A1B">
      <w:pPr>
        <w:pStyle w:val="FootnoteText"/>
        <w:rPr>
          <w:lang w:val="en-GB"/>
        </w:rPr>
      </w:pPr>
      <w:r w:rsidRPr="00F57ADF">
        <w:tab/>
      </w:r>
      <w:r w:rsidRPr="00F57ADF">
        <w:rPr>
          <w:rStyle w:val="FootnoteReference"/>
          <w:sz w:val="16"/>
          <w:szCs w:val="16"/>
        </w:rPr>
        <w:footnoteRef/>
      </w:r>
      <w:r w:rsidRPr="00F57ADF">
        <w:tab/>
      </w:r>
      <w:r w:rsidR="00C465DA" w:rsidRPr="002C25D1">
        <w:rPr>
          <w:lang w:val="en-GB"/>
        </w:rPr>
        <w:t xml:space="preserve">See, for example, </w:t>
      </w:r>
      <w:r w:rsidR="00C465DA" w:rsidRPr="00FF6E67">
        <w:rPr>
          <w:i/>
          <w:iCs/>
          <w:lang w:val="en-GB"/>
        </w:rPr>
        <w:t>X v. Denmark</w:t>
      </w:r>
      <w:r w:rsidR="00C465DA" w:rsidRPr="002C25D1">
        <w:rPr>
          <w:lang w:val="en-GB"/>
        </w:rPr>
        <w:t xml:space="preserve">, </w:t>
      </w:r>
      <w:r w:rsidR="00C465DA" w:rsidRPr="00C465DA">
        <w:rPr>
          <w:lang w:val="en-GB"/>
        </w:rPr>
        <w:t xml:space="preserve">para. 9.2; and </w:t>
      </w:r>
      <w:r w:rsidR="00C465DA" w:rsidRPr="00C465DA">
        <w:rPr>
          <w:i/>
        </w:rPr>
        <w:t>X. v. Sweden</w:t>
      </w:r>
      <w:r w:rsidR="00C465DA" w:rsidRPr="00C465DA">
        <w:t>, para</w:t>
      </w:r>
      <w:r w:rsidR="00C465DA" w:rsidRPr="00C465DA">
        <w:rPr>
          <w:lang w:val="en-GB"/>
        </w:rPr>
        <w:t xml:space="preserve">. </w:t>
      </w:r>
      <w:r w:rsidR="00C465DA" w:rsidRPr="00C465DA">
        <w:t xml:space="preserve">5.18. </w:t>
      </w:r>
      <w:r w:rsidRPr="00C465DA">
        <w:rPr>
          <w:lang w:val="en-GB"/>
        </w:rPr>
        <w:t xml:space="preserve"> </w:t>
      </w:r>
    </w:p>
  </w:footnote>
  <w:footnote w:id="16">
    <w:p w14:paraId="7EC82C53" w14:textId="77777777" w:rsidR="00FF0A1B" w:rsidRPr="00C465DA" w:rsidRDefault="00FF0A1B">
      <w:pPr>
        <w:pStyle w:val="FootnoteText"/>
      </w:pPr>
      <w:r w:rsidRPr="00C465DA">
        <w:tab/>
      </w:r>
      <w:r w:rsidRPr="00C465DA">
        <w:rPr>
          <w:rStyle w:val="FootnoteReference"/>
          <w:sz w:val="16"/>
          <w:szCs w:val="16"/>
        </w:rPr>
        <w:footnoteRef/>
      </w:r>
      <w:r w:rsidRPr="00C465DA">
        <w:tab/>
        <w:t xml:space="preserve">See, inter alia, </w:t>
      </w:r>
      <w:r w:rsidR="00C465DA" w:rsidRPr="00C465DA">
        <w:rPr>
          <w:i/>
          <w:iCs/>
          <w:lang w:val="en-GB"/>
        </w:rPr>
        <w:t>X v. Denmark</w:t>
      </w:r>
      <w:r w:rsidR="00C465DA" w:rsidRPr="00C465DA">
        <w:rPr>
          <w:lang w:val="en-GB"/>
        </w:rPr>
        <w:t xml:space="preserve">, para. 9.2; </w:t>
      </w:r>
      <w:r w:rsidR="00C465DA" w:rsidRPr="00C465DA">
        <w:rPr>
          <w:i/>
        </w:rPr>
        <w:t>X. v. Sweden</w:t>
      </w:r>
      <w:r w:rsidR="00C465DA" w:rsidRPr="00C465DA">
        <w:t>, para</w:t>
      </w:r>
      <w:r w:rsidR="00C465DA" w:rsidRPr="00C465DA">
        <w:rPr>
          <w:lang w:val="en-GB"/>
        </w:rPr>
        <w:t xml:space="preserve">. </w:t>
      </w:r>
      <w:r w:rsidR="00C465DA" w:rsidRPr="00C465DA">
        <w:t>5.18</w:t>
      </w:r>
      <w:r w:rsidR="00C465DA">
        <w:t>;</w:t>
      </w:r>
      <w:r w:rsidRPr="00C465DA">
        <w:rPr>
          <w:iCs/>
        </w:rPr>
        <w:t xml:space="preserve"> </w:t>
      </w:r>
      <w:r w:rsidRPr="00C465DA">
        <w:t xml:space="preserve">and communication No. 541/1993, </w:t>
      </w:r>
      <w:r w:rsidRPr="00C465DA">
        <w:rPr>
          <w:i/>
        </w:rPr>
        <w:t>Simms v. Jamaica</w:t>
      </w:r>
      <w:r w:rsidRPr="00C465DA">
        <w:t>, decision adopted on 3 April 1995, para. 6.2.</w:t>
      </w:r>
    </w:p>
  </w:footnote>
  <w:footnote w:id="17">
    <w:p w14:paraId="605960AA" w14:textId="77777777" w:rsidR="00FF0A1B" w:rsidRPr="002C25D1" w:rsidRDefault="00FF0A1B">
      <w:pPr>
        <w:pStyle w:val="FootnoteText"/>
        <w:rPr>
          <w:lang w:val="en-GB"/>
        </w:rPr>
      </w:pPr>
      <w:r w:rsidRPr="00C465DA">
        <w:rPr>
          <w:lang w:val="en-GB"/>
        </w:rPr>
        <w:tab/>
      </w:r>
      <w:r w:rsidRPr="00C465DA">
        <w:rPr>
          <w:rStyle w:val="FootnoteReference"/>
          <w:sz w:val="16"/>
          <w:szCs w:val="16"/>
          <w:lang w:val="en-GB"/>
        </w:rPr>
        <w:footnoteRef/>
      </w:r>
      <w:r w:rsidRPr="00C465DA">
        <w:rPr>
          <w:lang w:val="en-GB"/>
        </w:rPr>
        <w:tab/>
        <w:t xml:space="preserve">See </w:t>
      </w:r>
      <w:r w:rsidRPr="00C465DA">
        <w:t>communication</w:t>
      </w:r>
      <w:r w:rsidRPr="00C465DA">
        <w:rPr>
          <w:lang w:val="en-GB"/>
        </w:rPr>
        <w:t xml:space="preserve"> No</w:t>
      </w:r>
      <w:r w:rsidR="00BA51C5" w:rsidRPr="00C465DA">
        <w:rPr>
          <w:lang w:val="en-GB"/>
        </w:rPr>
        <w:t>s</w:t>
      </w:r>
      <w:r w:rsidRPr="00C465DA">
        <w:rPr>
          <w:lang w:val="en-GB"/>
        </w:rPr>
        <w:t xml:space="preserve">. 1763/2008, </w:t>
      </w:r>
      <w:r w:rsidRPr="002C25D1">
        <w:rPr>
          <w:i/>
          <w:lang w:val="en-GB"/>
        </w:rPr>
        <w:t>Pillai et al</w:t>
      </w:r>
      <w:r w:rsidRPr="007C0089">
        <w:rPr>
          <w:iCs/>
          <w:lang w:val="en-GB"/>
        </w:rPr>
        <w:t xml:space="preserve">. </w:t>
      </w:r>
      <w:r w:rsidRPr="007C0089">
        <w:rPr>
          <w:i/>
          <w:lang w:val="en-GB"/>
        </w:rPr>
        <w:t>v.</w:t>
      </w:r>
      <w:r w:rsidRPr="002C25D1">
        <w:rPr>
          <w:lang w:val="en-GB"/>
        </w:rPr>
        <w:t xml:space="preserve"> </w:t>
      </w:r>
      <w:r w:rsidRPr="002C25D1">
        <w:rPr>
          <w:i/>
          <w:lang w:val="en-GB"/>
        </w:rPr>
        <w:t>Canada</w:t>
      </w:r>
      <w:r w:rsidRPr="002C25D1">
        <w:rPr>
          <w:lang w:val="en-GB"/>
        </w:rPr>
        <w:t>, Views adopted on 25 March 2011, para.</w:t>
      </w:r>
      <w:r w:rsidR="00AD40C1" w:rsidRPr="002C25D1">
        <w:rPr>
          <w:lang w:val="en-GB"/>
        </w:rPr>
        <w:t> </w:t>
      </w:r>
      <w:r w:rsidRPr="002C25D1">
        <w:rPr>
          <w:lang w:val="en-GB"/>
        </w:rPr>
        <w:t>11.4</w:t>
      </w:r>
      <w:r w:rsidR="00275891" w:rsidRPr="007C0089">
        <w:rPr>
          <w:lang w:val="en-GB"/>
        </w:rPr>
        <w:t>;</w:t>
      </w:r>
      <w:r w:rsidRPr="002C25D1">
        <w:rPr>
          <w:lang w:val="en-GB"/>
        </w:rPr>
        <w:t xml:space="preserve"> and 1957/2010, </w:t>
      </w:r>
      <w:r w:rsidRPr="007C0089">
        <w:rPr>
          <w:i/>
          <w:iCs/>
          <w:lang w:val="en-GB"/>
        </w:rPr>
        <w:t>Lin</w:t>
      </w:r>
      <w:r w:rsidRPr="002C25D1">
        <w:rPr>
          <w:i/>
          <w:lang w:val="en-GB"/>
        </w:rPr>
        <w:t xml:space="preserve"> v. Australia</w:t>
      </w:r>
      <w:r w:rsidRPr="002C25D1">
        <w:rPr>
          <w:lang w:val="en-GB"/>
        </w:rPr>
        <w:t xml:space="preserve">, </w:t>
      </w:r>
      <w:r w:rsidRPr="002C25D1">
        <w:t>Views</w:t>
      </w:r>
      <w:r w:rsidRPr="002C25D1">
        <w:rPr>
          <w:lang w:val="en-GB"/>
        </w:rPr>
        <w:t xml:space="preserve"> adopted on 21 March 2013, para. 9.3. See also communication No</w:t>
      </w:r>
      <w:r w:rsidR="00BA51C5" w:rsidRPr="002C25D1">
        <w:rPr>
          <w:lang w:val="en-GB"/>
        </w:rPr>
        <w:t>s</w:t>
      </w:r>
      <w:r w:rsidRPr="002C25D1">
        <w:rPr>
          <w:lang w:val="en-GB"/>
        </w:rPr>
        <w:t xml:space="preserve">. 1819/2008, </w:t>
      </w:r>
      <w:r w:rsidRPr="002C25D1">
        <w:rPr>
          <w:i/>
          <w:lang w:val="en-GB"/>
        </w:rPr>
        <w:t>A.A. v. Canada</w:t>
      </w:r>
      <w:r w:rsidRPr="002C25D1">
        <w:rPr>
          <w:lang w:val="en-GB"/>
        </w:rPr>
        <w:t xml:space="preserve">, </w:t>
      </w:r>
      <w:r w:rsidR="00AD40C1" w:rsidRPr="002C25D1">
        <w:rPr>
          <w:lang w:val="en-GB"/>
        </w:rPr>
        <w:t xml:space="preserve">decision of </w:t>
      </w:r>
      <w:r w:rsidRPr="002C25D1">
        <w:rPr>
          <w:lang w:val="en-GB"/>
        </w:rPr>
        <w:t>inadmissibility adopted on 31 October 201</w:t>
      </w:r>
      <w:r w:rsidR="00F57ADF" w:rsidRPr="007C0089">
        <w:rPr>
          <w:lang w:val="en-GB"/>
        </w:rPr>
        <w:t>1</w:t>
      </w:r>
      <w:r w:rsidRPr="002C25D1">
        <w:rPr>
          <w:lang w:val="en-GB"/>
        </w:rPr>
        <w:t>, para. 7.8</w:t>
      </w:r>
      <w:r w:rsidR="00275891" w:rsidRPr="007C0089">
        <w:rPr>
          <w:lang w:val="en-GB"/>
        </w:rPr>
        <w:t>;</w:t>
      </w:r>
      <w:r w:rsidRPr="002C25D1">
        <w:rPr>
          <w:lang w:val="en-GB"/>
        </w:rPr>
        <w:t xml:space="preserve"> and 2049/2011, </w:t>
      </w:r>
      <w:r w:rsidRPr="002C25D1">
        <w:rPr>
          <w:i/>
          <w:lang w:val="en-GB"/>
        </w:rPr>
        <w:t>Z. v. Australia</w:t>
      </w:r>
      <w:r w:rsidRPr="002C25D1">
        <w:rPr>
          <w:lang w:val="en-GB"/>
        </w:rPr>
        <w:t xml:space="preserve">, Views adopted on 18 July 2014, para. 9.3. </w:t>
      </w:r>
    </w:p>
  </w:footnote>
  <w:footnote w:id="18">
    <w:p w14:paraId="5FDE44FB" w14:textId="77777777" w:rsidR="00FF0A1B" w:rsidRPr="003126A1" w:rsidRDefault="00FF0A1B">
      <w:pPr>
        <w:pStyle w:val="FootnoteText"/>
        <w:rPr>
          <w:lang w:val="en-GB"/>
        </w:rPr>
      </w:pPr>
      <w:r w:rsidRPr="002C25D1">
        <w:tab/>
      </w:r>
      <w:r w:rsidRPr="002C25D1">
        <w:rPr>
          <w:rStyle w:val="FootnoteReference"/>
        </w:rPr>
        <w:footnoteRef/>
      </w:r>
      <w:r w:rsidRPr="007C0089">
        <w:rPr>
          <w:lang w:val="en-GB"/>
        </w:rPr>
        <w:tab/>
        <w:t>See</w:t>
      </w:r>
      <w:r w:rsidR="002E73C0" w:rsidRPr="002C25D1">
        <w:t>, for example,</w:t>
      </w:r>
      <w:r w:rsidRPr="002C25D1">
        <w:t xml:space="preserve"> Danish Immigration Service, </w:t>
      </w:r>
      <w:r w:rsidR="00952ACA" w:rsidRPr="002C25D1">
        <w:rPr>
          <w:szCs w:val="18"/>
        </w:rPr>
        <w:t>“</w:t>
      </w:r>
      <w:r w:rsidRPr="002C25D1">
        <w:t>Afghanistan</w:t>
      </w:r>
      <w:r w:rsidR="00952ACA" w:rsidRPr="002C25D1">
        <w:t>:</w:t>
      </w:r>
      <w:r w:rsidRPr="002C25D1">
        <w:t xml:space="preserve"> </w:t>
      </w:r>
      <w:r w:rsidR="00952ACA" w:rsidRPr="002C25D1">
        <w:t>c</w:t>
      </w:r>
      <w:r w:rsidRPr="002C25D1">
        <w:t xml:space="preserve">ountry of </w:t>
      </w:r>
      <w:r w:rsidR="00952ACA" w:rsidRPr="002C25D1">
        <w:t>o</w:t>
      </w:r>
      <w:r w:rsidRPr="002C25D1">
        <w:t xml:space="preserve">rigin </w:t>
      </w:r>
      <w:r w:rsidR="00952ACA" w:rsidRPr="002C25D1">
        <w:t>i</w:t>
      </w:r>
      <w:r w:rsidRPr="002C25D1">
        <w:t xml:space="preserve">nformation for </w:t>
      </w:r>
      <w:r w:rsidR="00952ACA" w:rsidRPr="002C25D1">
        <w:t>u</w:t>
      </w:r>
      <w:r w:rsidRPr="002C25D1">
        <w:t>se</w:t>
      </w:r>
      <w:r w:rsidRPr="00F57ADF">
        <w:rPr>
          <w:lang w:val="en-GB"/>
        </w:rPr>
        <w:t xml:space="preserve"> in the </w:t>
      </w:r>
      <w:r w:rsidR="00952ACA" w:rsidRPr="00F57ADF">
        <w:rPr>
          <w:lang w:val="en-GB"/>
        </w:rPr>
        <w:t>a</w:t>
      </w:r>
      <w:r w:rsidRPr="00F57ADF">
        <w:rPr>
          <w:lang w:val="en-GB"/>
        </w:rPr>
        <w:t xml:space="preserve">sylum </w:t>
      </w:r>
      <w:r w:rsidR="00952ACA" w:rsidRPr="00F57ADF">
        <w:rPr>
          <w:lang w:val="en-GB"/>
        </w:rPr>
        <w:t>d</w:t>
      </w:r>
      <w:r w:rsidRPr="00F57ADF">
        <w:rPr>
          <w:lang w:val="en-GB"/>
        </w:rPr>
        <w:t xml:space="preserve">etermination </w:t>
      </w:r>
      <w:r w:rsidR="00952ACA" w:rsidRPr="00F57ADF">
        <w:rPr>
          <w:lang w:val="en-GB"/>
        </w:rPr>
        <w:t>p</w:t>
      </w:r>
      <w:r w:rsidRPr="00F57ADF">
        <w:rPr>
          <w:lang w:val="en-GB"/>
        </w:rPr>
        <w:t>rocess</w:t>
      </w:r>
      <w:r w:rsidR="00952ACA" w:rsidRPr="00F57ADF">
        <w:rPr>
          <w:szCs w:val="18"/>
          <w:lang w:val="en-GB"/>
        </w:rPr>
        <w:t>” (Copenhagen</w:t>
      </w:r>
      <w:r w:rsidR="00952ACA">
        <w:rPr>
          <w:szCs w:val="18"/>
          <w:lang w:val="en-GB"/>
        </w:rPr>
        <w:t>, May 2012)</w:t>
      </w:r>
      <w:r>
        <w:rPr>
          <w:lang w:val="en-GB"/>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0DABB" w14:textId="77777777" w:rsidR="00FF0A1B" w:rsidRPr="00781C83" w:rsidRDefault="00FF0A1B" w:rsidP="00781C83">
    <w:pPr>
      <w:pStyle w:val="Header"/>
    </w:pPr>
    <w:r>
      <w:t xml:space="preserve">CCPR/C/114/D/2370/2014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03505E" w14:textId="77777777" w:rsidR="00FF0A1B" w:rsidRPr="00781C83" w:rsidRDefault="00FF0A1B" w:rsidP="00781C83">
    <w:pPr>
      <w:pStyle w:val="Header"/>
      <w:jc w:val="right"/>
    </w:pPr>
    <w:r>
      <w:t>CCPR/C/114/D/2370/2014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64B25B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C007DB"/>
    <w:multiLevelType w:val="multilevel"/>
    <w:tmpl w:val="A6D01854"/>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3" w15:restartNumberingAfterBreak="0">
    <w:nsid w:val="45924618"/>
    <w:multiLevelType w:val="multilevel"/>
    <w:tmpl w:val="42A0587E"/>
    <w:lvl w:ilvl="0">
      <w:start w:val="1"/>
      <w:numFmt w:val="decimal"/>
      <w:lvlText w:val="%1"/>
      <w:lvlJc w:val="left"/>
      <w:pPr>
        <w:ind w:left="555" w:hanging="555"/>
      </w:pPr>
      <w:rPr>
        <w:rFonts w:hint="default"/>
      </w:rPr>
    </w:lvl>
    <w:lvl w:ilvl="1">
      <w:start w:val="1"/>
      <w:numFmt w:val="decimal"/>
      <w:lvlText w:val="%1.%2"/>
      <w:lvlJc w:val="left"/>
      <w:pPr>
        <w:ind w:left="1689" w:hanging="555"/>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256" w:hanging="72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7884" w:hanging="108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512" w:hanging="1440"/>
      </w:pPr>
      <w:rPr>
        <w:rFonts w:hint="default"/>
      </w:rPr>
    </w:lvl>
  </w:abstractNum>
  <w:abstractNum w:abstractNumId="4"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6A5"/>
    <w:rsid w:val="00001AE9"/>
    <w:rsid w:val="00001C66"/>
    <w:rsid w:val="000026EA"/>
    <w:rsid w:val="000044E2"/>
    <w:rsid w:val="00005379"/>
    <w:rsid w:val="0000756B"/>
    <w:rsid w:val="000150F6"/>
    <w:rsid w:val="0001627B"/>
    <w:rsid w:val="000166B9"/>
    <w:rsid w:val="000170C3"/>
    <w:rsid w:val="00023024"/>
    <w:rsid w:val="00024522"/>
    <w:rsid w:val="00025D41"/>
    <w:rsid w:val="0002635B"/>
    <w:rsid w:val="000272B3"/>
    <w:rsid w:val="000319D6"/>
    <w:rsid w:val="0003383A"/>
    <w:rsid w:val="0003387B"/>
    <w:rsid w:val="00033CD0"/>
    <w:rsid w:val="00036F3F"/>
    <w:rsid w:val="00037609"/>
    <w:rsid w:val="000377A5"/>
    <w:rsid w:val="0004092D"/>
    <w:rsid w:val="00041994"/>
    <w:rsid w:val="00041E79"/>
    <w:rsid w:val="00044037"/>
    <w:rsid w:val="00050F6B"/>
    <w:rsid w:val="00054A4E"/>
    <w:rsid w:val="00055FFE"/>
    <w:rsid w:val="000569F0"/>
    <w:rsid w:val="0005782B"/>
    <w:rsid w:val="00057E97"/>
    <w:rsid w:val="00060C3A"/>
    <w:rsid w:val="0006344E"/>
    <w:rsid w:val="00066476"/>
    <w:rsid w:val="000673A3"/>
    <w:rsid w:val="00067CCE"/>
    <w:rsid w:val="000707D1"/>
    <w:rsid w:val="00072C8C"/>
    <w:rsid w:val="000733B5"/>
    <w:rsid w:val="00080009"/>
    <w:rsid w:val="0008123D"/>
    <w:rsid w:val="00081815"/>
    <w:rsid w:val="00081BF7"/>
    <w:rsid w:val="0008245C"/>
    <w:rsid w:val="00083E38"/>
    <w:rsid w:val="00090022"/>
    <w:rsid w:val="00090758"/>
    <w:rsid w:val="00091F15"/>
    <w:rsid w:val="000931C0"/>
    <w:rsid w:val="0009642A"/>
    <w:rsid w:val="000970C1"/>
    <w:rsid w:val="000A2EE4"/>
    <w:rsid w:val="000A310C"/>
    <w:rsid w:val="000A5559"/>
    <w:rsid w:val="000A69CF"/>
    <w:rsid w:val="000B02C3"/>
    <w:rsid w:val="000B175B"/>
    <w:rsid w:val="000B1788"/>
    <w:rsid w:val="000B1998"/>
    <w:rsid w:val="000B3A0F"/>
    <w:rsid w:val="000B4907"/>
    <w:rsid w:val="000B4EF7"/>
    <w:rsid w:val="000B5EFF"/>
    <w:rsid w:val="000C2AB9"/>
    <w:rsid w:val="000C2C03"/>
    <w:rsid w:val="000C2D2E"/>
    <w:rsid w:val="000C2E06"/>
    <w:rsid w:val="000C46B7"/>
    <w:rsid w:val="000C4DA0"/>
    <w:rsid w:val="000C695D"/>
    <w:rsid w:val="000D0ABB"/>
    <w:rsid w:val="000D37C7"/>
    <w:rsid w:val="000D3D17"/>
    <w:rsid w:val="000D6E0C"/>
    <w:rsid w:val="000E0415"/>
    <w:rsid w:val="000E07B1"/>
    <w:rsid w:val="000E0E8E"/>
    <w:rsid w:val="000E20F8"/>
    <w:rsid w:val="000E25EC"/>
    <w:rsid w:val="000E29B9"/>
    <w:rsid w:val="000E678F"/>
    <w:rsid w:val="000E738A"/>
    <w:rsid w:val="000F39F9"/>
    <w:rsid w:val="000F58EA"/>
    <w:rsid w:val="000F6A6B"/>
    <w:rsid w:val="000F7458"/>
    <w:rsid w:val="000F7E69"/>
    <w:rsid w:val="00102617"/>
    <w:rsid w:val="001037D9"/>
    <w:rsid w:val="001103AA"/>
    <w:rsid w:val="00110F83"/>
    <w:rsid w:val="00112792"/>
    <w:rsid w:val="00112984"/>
    <w:rsid w:val="001133DB"/>
    <w:rsid w:val="001153AF"/>
    <w:rsid w:val="0011580E"/>
    <w:rsid w:val="00115BC0"/>
    <w:rsid w:val="00117506"/>
    <w:rsid w:val="0011787A"/>
    <w:rsid w:val="00120FDB"/>
    <w:rsid w:val="001223A2"/>
    <w:rsid w:val="00123712"/>
    <w:rsid w:val="00125919"/>
    <w:rsid w:val="00127619"/>
    <w:rsid w:val="001306DD"/>
    <w:rsid w:val="00130D48"/>
    <w:rsid w:val="0013113A"/>
    <w:rsid w:val="00131B64"/>
    <w:rsid w:val="00131D2D"/>
    <w:rsid w:val="0013235B"/>
    <w:rsid w:val="001340B3"/>
    <w:rsid w:val="001369D8"/>
    <w:rsid w:val="00136DE8"/>
    <w:rsid w:val="00137249"/>
    <w:rsid w:val="001375A9"/>
    <w:rsid w:val="00142286"/>
    <w:rsid w:val="00142600"/>
    <w:rsid w:val="001469AC"/>
    <w:rsid w:val="001469F4"/>
    <w:rsid w:val="001470F5"/>
    <w:rsid w:val="00151470"/>
    <w:rsid w:val="00152045"/>
    <w:rsid w:val="001529AA"/>
    <w:rsid w:val="00154DA5"/>
    <w:rsid w:val="00157820"/>
    <w:rsid w:val="00157D19"/>
    <w:rsid w:val="00161364"/>
    <w:rsid w:val="00162DB2"/>
    <w:rsid w:val="0016419F"/>
    <w:rsid w:val="00164C92"/>
    <w:rsid w:val="00164E74"/>
    <w:rsid w:val="00165F3A"/>
    <w:rsid w:val="00166183"/>
    <w:rsid w:val="00166729"/>
    <w:rsid w:val="00166C9F"/>
    <w:rsid w:val="00170DDB"/>
    <w:rsid w:val="0017125E"/>
    <w:rsid w:val="00171827"/>
    <w:rsid w:val="001721A9"/>
    <w:rsid w:val="0017277A"/>
    <w:rsid w:val="00174528"/>
    <w:rsid w:val="001756D6"/>
    <w:rsid w:val="001758E2"/>
    <w:rsid w:val="001762F0"/>
    <w:rsid w:val="00176D6B"/>
    <w:rsid w:val="001771AE"/>
    <w:rsid w:val="00181F7C"/>
    <w:rsid w:val="00183422"/>
    <w:rsid w:val="00183968"/>
    <w:rsid w:val="001844A0"/>
    <w:rsid w:val="0018481A"/>
    <w:rsid w:val="00185919"/>
    <w:rsid w:val="001868A7"/>
    <w:rsid w:val="00187127"/>
    <w:rsid w:val="001878F1"/>
    <w:rsid w:val="001905FB"/>
    <w:rsid w:val="001912DB"/>
    <w:rsid w:val="00191845"/>
    <w:rsid w:val="001965C0"/>
    <w:rsid w:val="00196CDF"/>
    <w:rsid w:val="001A09DE"/>
    <w:rsid w:val="001A2C08"/>
    <w:rsid w:val="001A32CB"/>
    <w:rsid w:val="001A3D9B"/>
    <w:rsid w:val="001A4429"/>
    <w:rsid w:val="001A6461"/>
    <w:rsid w:val="001A660B"/>
    <w:rsid w:val="001A6686"/>
    <w:rsid w:val="001A67B5"/>
    <w:rsid w:val="001A7125"/>
    <w:rsid w:val="001A723C"/>
    <w:rsid w:val="001A7E43"/>
    <w:rsid w:val="001B1A4D"/>
    <w:rsid w:val="001B3619"/>
    <w:rsid w:val="001B4041"/>
    <w:rsid w:val="001B4485"/>
    <w:rsid w:val="001B4B04"/>
    <w:rsid w:val="001B7017"/>
    <w:rsid w:val="001B7D22"/>
    <w:rsid w:val="001C3320"/>
    <w:rsid w:val="001C4471"/>
    <w:rsid w:val="001C5BED"/>
    <w:rsid w:val="001C657F"/>
    <w:rsid w:val="001C6663"/>
    <w:rsid w:val="001C7895"/>
    <w:rsid w:val="001C7D37"/>
    <w:rsid w:val="001C7E87"/>
    <w:rsid w:val="001D0C8C"/>
    <w:rsid w:val="001D13C8"/>
    <w:rsid w:val="001D25DE"/>
    <w:rsid w:val="001D26DF"/>
    <w:rsid w:val="001D32E3"/>
    <w:rsid w:val="001D3743"/>
    <w:rsid w:val="001D3A03"/>
    <w:rsid w:val="001D5F2D"/>
    <w:rsid w:val="001D6813"/>
    <w:rsid w:val="001E0129"/>
    <w:rsid w:val="001E10EC"/>
    <w:rsid w:val="001E2B4C"/>
    <w:rsid w:val="001E4617"/>
    <w:rsid w:val="001E48A9"/>
    <w:rsid w:val="001E6148"/>
    <w:rsid w:val="001E718D"/>
    <w:rsid w:val="001E77C3"/>
    <w:rsid w:val="001E7AF9"/>
    <w:rsid w:val="001F0720"/>
    <w:rsid w:val="001F08A3"/>
    <w:rsid w:val="001F0F1A"/>
    <w:rsid w:val="001F11EA"/>
    <w:rsid w:val="001F5DDF"/>
    <w:rsid w:val="00201DA0"/>
    <w:rsid w:val="002023AB"/>
    <w:rsid w:val="00202DA8"/>
    <w:rsid w:val="002069CC"/>
    <w:rsid w:val="00211E0B"/>
    <w:rsid w:val="00213E21"/>
    <w:rsid w:val="00215778"/>
    <w:rsid w:val="002172A5"/>
    <w:rsid w:val="00217D74"/>
    <w:rsid w:val="00220677"/>
    <w:rsid w:val="00220768"/>
    <w:rsid w:val="0022258C"/>
    <w:rsid w:val="00222689"/>
    <w:rsid w:val="00224AED"/>
    <w:rsid w:val="0022501D"/>
    <w:rsid w:val="002256A1"/>
    <w:rsid w:val="002272BD"/>
    <w:rsid w:val="00230D7F"/>
    <w:rsid w:val="002314F8"/>
    <w:rsid w:val="00231611"/>
    <w:rsid w:val="0023210C"/>
    <w:rsid w:val="00232334"/>
    <w:rsid w:val="00232447"/>
    <w:rsid w:val="00233707"/>
    <w:rsid w:val="00235021"/>
    <w:rsid w:val="002361D0"/>
    <w:rsid w:val="00240564"/>
    <w:rsid w:val="00240F4B"/>
    <w:rsid w:val="00247D69"/>
    <w:rsid w:val="00250292"/>
    <w:rsid w:val="00250C8C"/>
    <w:rsid w:val="0025162E"/>
    <w:rsid w:val="0025487E"/>
    <w:rsid w:val="002633B3"/>
    <w:rsid w:val="002650C2"/>
    <w:rsid w:val="002656E9"/>
    <w:rsid w:val="00265CF8"/>
    <w:rsid w:val="002660B7"/>
    <w:rsid w:val="00266EB7"/>
    <w:rsid w:val="00267F5F"/>
    <w:rsid w:val="00271484"/>
    <w:rsid w:val="00272A54"/>
    <w:rsid w:val="002735C5"/>
    <w:rsid w:val="00273B14"/>
    <w:rsid w:val="00275891"/>
    <w:rsid w:val="00275EDC"/>
    <w:rsid w:val="00276AA6"/>
    <w:rsid w:val="00281144"/>
    <w:rsid w:val="00282899"/>
    <w:rsid w:val="002829E4"/>
    <w:rsid w:val="00284570"/>
    <w:rsid w:val="0028489A"/>
    <w:rsid w:val="002863A9"/>
    <w:rsid w:val="00286B4D"/>
    <w:rsid w:val="00286FB9"/>
    <w:rsid w:val="00291AC2"/>
    <w:rsid w:val="00292F7D"/>
    <w:rsid w:val="0029316F"/>
    <w:rsid w:val="0029365C"/>
    <w:rsid w:val="00293B90"/>
    <w:rsid w:val="00296530"/>
    <w:rsid w:val="002A0E62"/>
    <w:rsid w:val="002A1243"/>
    <w:rsid w:val="002A3CBA"/>
    <w:rsid w:val="002A4B67"/>
    <w:rsid w:val="002A61CB"/>
    <w:rsid w:val="002A728F"/>
    <w:rsid w:val="002B1A13"/>
    <w:rsid w:val="002B1BB5"/>
    <w:rsid w:val="002B3B76"/>
    <w:rsid w:val="002B3F1E"/>
    <w:rsid w:val="002C06BA"/>
    <w:rsid w:val="002C07F5"/>
    <w:rsid w:val="002C25D1"/>
    <w:rsid w:val="002C2E76"/>
    <w:rsid w:val="002C4E77"/>
    <w:rsid w:val="002C4EF6"/>
    <w:rsid w:val="002C5BCD"/>
    <w:rsid w:val="002D18B7"/>
    <w:rsid w:val="002D1AF9"/>
    <w:rsid w:val="002D3AF5"/>
    <w:rsid w:val="002D49ED"/>
    <w:rsid w:val="002D4CB1"/>
    <w:rsid w:val="002D76B1"/>
    <w:rsid w:val="002E1084"/>
    <w:rsid w:val="002E4963"/>
    <w:rsid w:val="002E52B1"/>
    <w:rsid w:val="002E595E"/>
    <w:rsid w:val="002E5C99"/>
    <w:rsid w:val="002E69AE"/>
    <w:rsid w:val="002E73C0"/>
    <w:rsid w:val="002F039C"/>
    <w:rsid w:val="002F175C"/>
    <w:rsid w:val="002F1942"/>
    <w:rsid w:val="002F4557"/>
    <w:rsid w:val="002F4621"/>
    <w:rsid w:val="002F5159"/>
    <w:rsid w:val="002F582A"/>
    <w:rsid w:val="002F75BF"/>
    <w:rsid w:val="002F7F32"/>
    <w:rsid w:val="00300CBD"/>
    <w:rsid w:val="0030138D"/>
    <w:rsid w:val="003023AA"/>
    <w:rsid w:val="00306124"/>
    <w:rsid w:val="00307164"/>
    <w:rsid w:val="00307884"/>
    <w:rsid w:val="003126A1"/>
    <w:rsid w:val="00313386"/>
    <w:rsid w:val="003134AC"/>
    <w:rsid w:val="0031721B"/>
    <w:rsid w:val="00317544"/>
    <w:rsid w:val="00320E07"/>
    <w:rsid w:val="0032230D"/>
    <w:rsid w:val="003229D8"/>
    <w:rsid w:val="00323632"/>
    <w:rsid w:val="00327502"/>
    <w:rsid w:val="003318CD"/>
    <w:rsid w:val="00331F5B"/>
    <w:rsid w:val="003331B5"/>
    <w:rsid w:val="003331FA"/>
    <w:rsid w:val="00333A3C"/>
    <w:rsid w:val="00335D53"/>
    <w:rsid w:val="00335DD7"/>
    <w:rsid w:val="00337E8A"/>
    <w:rsid w:val="0034034D"/>
    <w:rsid w:val="00340A69"/>
    <w:rsid w:val="00341E55"/>
    <w:rsid w:val="00344919"/>
    <w:rsid w:val="003450A5"/>
    <w:rsid w:val="00345647"/>
    <w:rsid w:val="00346A8D"/>
    <w:rsid w:val="00351398"/>
    <w:rsid w:val="00352709"/>
    <w:rsid w:val="003530F4"/>
    <w:rsid w:val="00354AA8"/>
    <w:rsid w:val="0036129D"/>
    <w:rsid w:val="00362134"/>
    <w:rsid w:val="00363A98"/>
    <w:rsid w:val="0036645D"/>
    <w:rsid w:val="003667AD"/>
    <w:rsid w:val="00367567"/>
    <w:rsid w:val="003705C9"/>
    <w:rsid w:val="00371095"/>
    <w:rsid w:val="00371178"/>
    <w:rsid w:val="0037301C"/>
    <w:rsid w:val="003730DD"/>
    <w:rsid w:val="0037429D"/>
    <w:rsid w:val="00375119"/>
    <w:rsid w:val="00376545"/>
    <w:rsid w:val="00376720"/>
    <w:rsid w:val="00377828"/>
    <w:rsid w:val="00377C66"/>
    <w:rsid w:val="0038000B"/>
    <w:rsid w:val="003803FA"/>
    <w:rsid w:val="003823CB"/>
    <w:rsid w:val="00382A62"/>
    <w:rsid w:val="0038336C"/>
    <w:rsid w:val="00383933"/>
    <w:rsid w:val="00384F90"/>
    <w:rsid w:val="00386624"/>
    <w:rsid w:val="00387ECB"/>
    <w:rsid w:val="003903FC"/>
    <w:rsid w:val="003909E7"/>
    <w:rsid w:val="00392947"/>
    <w:rsid w:val="0039347E"/>
    <w:rsid w:val="003954DB"/>
    <w:rsid w:val="003A1602"/>
    <w:rsid w:val="003A2199"/>
    <w:rsid w:val="003A325A"/>
    <w:rsid w:val="003A46E4"/>
    <w:rsid w:val="003A6810"/>
    <w:rsid w:val="003A6EFA"/>
    <w:rsid w:val="003A70FC"/>
    <w:rsid w:val="003A7AF2"/>
    <w:rsid w:val="003B0CAE"/>
    <w:rsid w:val="003B1E81"/>
    <w:rsid w:val="003C02AB"/>
    <w:rsid w:val="003C1FBE"/>
    <w:rsid w:val="003C2CC4"/>
    <w:rsid w:val="003C3715"/>
    <w:rsid w:val="003C6B0F"/>
    <w:rsid w:val="003C730E"/>
    <w:rsid w:val="003D1A98"/>
    <w:rsid w:val="003D1C5A"/>
    <w:rsid w:val="003D2795"/>
    <w:rsid w:val="003D29D2"/>
    <w:rsid w:val="003D3751"/>
    <w:rsid w:val="003D3E59"/>
    <w:rsid w:val="003D4B23"/>
    <w:rsid w:val="003D52B0"/>
    <w:rsid w:val="003E2BA4"/>
    <w:rsid w:val="003E4173"/>
    <w:rsid w:val="003E6A36"/>
    <w:rsid w:val="003E6F7E"/>
    <w:rsid w:val="003E75F0"/>
    <w:rsid w:val="003E79B5"/>
    <w:rsid w:val="003F75C9"/>
    <w:rsid w:val="00401F18"/>
    <w:rsid w:val="00404151"/>
    <w:rsid w:val="00404DD4"/>
    <w:rsid w:val="00405473"/>
    <w:rsid w:val="00406CF0"/>
    <w:rsid w:val="00407E6B"/>
    <w:rsid w:val="00410C89"/>
    <w:rsid w:val="00414167"/>
    <w:rsid w:val="00414931"/>
    <w:rsid w:val="00414B35"/>
    <w:rsid w:val="00414F92"/>
    <w:rsid w:val="004227C0"/>
    <w:rsid w:val="004228D0"/>
    <w:rsid w:val="004237D6"/>
    <w:rsid w:val="00426023"/>
    <w:rsid w:val="00426B9B"/>
    <w:rsid w:val="0043003F"/>
    <w:rsid w:val="00431396"/>
    <w:rsid w:val="004325CB"/>
    <w:rsid w:val="0043469F"/>
    <w:rsid w:val="004350E7"/>
    <w:rsid w:val="00436972"/>
    <w:rsid w:val="00436B33"/>
    <w:rsid w:val="00436E7E"/>
    <w:rsid w:val="00437253"/>
    <w:rsid w:val="00442A83"/>
    <w:rsid w:val="00442C9D"/>
    <w:rsid w:val="00442D9C"/>
    <w:rsid w:val="00442EB6"/>
    <w:rsid w:val="00445790"/>
    <w:rsid w:val="00445A57"/>
    <w:rsid w:val="00446ABC"/>
    <w:rsid w:val="00450D0E"/>
    <w:rsid w:val="00450F64"/>
    <w:rsid w:val="0045285D"/>
    <w:rsid w:val="0045495B"/>
    <w:rsid w:val="00455C43"/>
    <w:rsid w:val="004607BF"/>
    <w:rsid w:val="00463A2A"/>
    <w:rsid w:val="00464446"/>
    <w:rsid w:val="004653C7"/>
    <w:rsid w:val="00466B4C"/>
    <w:rsid w:val="00466FA4"/>
    <w:rsid w:val="00467A53"/>
    <w:rsid w:val="0047173A"/>
    <w:rsid w:val="004736B4"/>
    <w:rsid w:val="00473963"/>
    <w:rsid w:val="00476073"/>
    <w:rsid w:val="00481CB1"/>
    <w:rsid w:val="00487488"/>
    <w:rsid w:val="00487FB8"/>
    <w:rsid w:val="00491B1C"/>
    <w:rsid w:val="0049219B"/>
    <w:rsid w:val="004927E9"/>
    <w:rsid w:val="0049418F"/>
    <w:rsid w:val="00495924"/>
    <w:rsid w:val="00495A34"/>
    <w:rsid w:val="00497CBC"/>
    <w:rsid w:val="004A2789"/>
    <w:rsid w:val="004A28A7"/>
    <w:rsid w:val="004A3E34"/>
    <w:rsid w:val="004A4D34"/>
    <w:rsid w:val="004A4E95"/>
    <w:rsid w:val="004B256A"/>
    <w:rsid w:val="004B455D"/>
    <w:rsid w:val="004C102E"/>
    <w:rsid w:val="004C55DD"/>
    <w:rsid w:val="004C5F28"/>
    <w:rsid w:val="004C6AB1"/>
    <w:rsid w:val="004C6CCD"/>
    <w:rsid w:val="004D0446"/>
    <w:rsid w:val="004D3686"/>
    <w:rsid w:val="004D5BD1"/>
    <w:rsid w:val="004E15CC"/>
    <w:rsid w:val="004E4283"/>
    <w:rsid w:val="004E7047"/>
    <w:rsid w:val="004F1D45"/>
    <w:rsid w:val="004F286C"/>
    <w:rsid w:val="004F36C2"/>
    <w:rsid w:val="004F5078"/>
    <w:rsid w:val="004F56B6"/>
    <w:rsid w:val="004F7E14"/>
    <w:rsid w:val="005007C9"/>
    <w:rsid w:val="0050328D"/>
    <w:rsid w:val="00505D08"/>
    <w:rsid w:val="00507DE8"/>
    <w:rsid w:val="005125F0"/>
    <w:rsid w:val="005137AD"/>
    <w:rsid w:val="005167F1"/>
    <w:rsid w:val="00516FAE"/>
    <w:rsid w:val="00520190"/>
    <w:rsid w:val="00520400"/>
    <w:rsid w:val="0052136D"/>
    <w:rsid w:val="005232E6"/>
    <w:rsid w:val="00525395"/>
    <w:rsid w:val="0052775E"/>
    <w:rsid w:val="005312EF"/>
    <w:rsid w:val="005313FB"/>
    <w:rsid w:val="0053171E"/>
    <w:rsid w:val="00533FA3"/>
    <w:rsid w:val="00534CA5"/>
    <w:rsid w:val="00537DC2"/>
    <w:rsid w:val="005409DC"/>
    <w:rsid w:val="00540F02"/>
    <w:rsid w:val="0054109A"/>
    <w:rsid w:val="0054150C"/>
    <w:rsid w:val="005420F2"/>
    <w:rsid w:val="00543575"/>
    <w:rsid w:val="00544997"/>
    <w:rsid w:val="00546665"/>
    <w:rsid w:val="00550D3B"/>
    <w:rsid w:val="00555470"/>
    <w:rsid w:val="00560BA5"/>
    <w:rsid w:val="005619D1"/>
    <w:rsid w:val="00561B68"/>
    <w:rsid w:val="005627EE"/>
    <w:rsid w:val="005628B6"/>
    <w:rsid w:val="005631BB"/>
    <w:rsid w:val="005640D1"/>
    <w:rsid w:val="00564714"/>
    <w:rsid w:val="0056473A"/>
    <w:rsid w:val="00564E42"/>
    <w:rsid w:val="00565BE7"/>
    <w:rsid w:val="0056624F"/>
    <w:rsid w:val="00566F4A"/>
    <w:rsid w:val="00567011"/>
    <w:rsid w:val="005722B3"/>
    <w:rsid w:val="00573284"/>
    <w:rsid w:val="0057585A"/>
    <w:rsid w:val="0057598A"/>
    <w:rsid w:val="00575BA3"/>
    <w:rsid w:val="005768BB"/>
    <w:rsid w:val="005770B9"/>
    <w:rsid w:val="00577E84"/>
    <w:rsid w:val="005848B3"/>
    <w:rsid w:val="00586C68"/>
    <w:rsid w:val="00590F87"/>
    <w:rsid w:val="005918DF"/>
    <w:rsid w:val="00591A9E"/>
    <w:rsid w:val="00592C4A"/>
    <w:rsid w:val="0059586C"/>
    <w:rsid w:val="00597A17"/>
    <w:rsid w:val="005A0415"/>
    <w:rsid w:val="005A2ACD"/>
    <w:rsid w:val="005A610E"/>
    <w:rsid w:val="005A728D"/>
    <w:rsid w:val="005A785C"/>
    <w:rsid w:val="005B0971"/>
    <w:rsid w:val="005B09AE"/>
    <w:rsid w:val="005B15AD"/>
    <w:rsid w:val="005B2E24"/>
    <w:rsid w:val="005B38A5"/>
    <w:rsid w:val="005B3DB3"/>
    <w:rsid w:val="005B4B88"/>
    <w:rsid w:val="005B4F61"/>
    <w:rsid w:val="005B6047"/>
    <w:rsid w:val="005C062E"/>
    <w:rsid w:val="005C064D"/>
    <w:rsid w:val="005C11C1"/>
    <w:rsid w:val="005C176E"/>
    <w:rsid w:val="005C1C11"/>
    <w:rsid w:val="005C2131"/>
    <w:rsid w:val="005C223E"/>
    <w:rsid w:val="005C413D"/>
    <w:rsid w:val="005C4A9E"/>
    <w:rsid w:val="005C5103"/>
    <w:rsid w:val="005C5F49"/>
    <w:rsid w:val="005D0679"/>
    <w:rsid w:val="005D1E9A"/>
    <w:rsid w:val="005D32AF"/>
    <w:rsid w:val="005D5721"/>
    <w:rsid w:val="005D5AF5"/>
    <w:rsid w:val="005D6601"/>
    <w:rsid w:val="005D7CB5"/>
    <w:rsid w:val="005E021C"/>
    <w:rsid w:val="005E2F71"/>
    <w:rsid w:val="005E3CA4"/>
    <w:rsid w:val="005E5805"/>
    <w:rsid w:val="005E783D"/>
    <w:rsid w:val="005F00D7"/>
    <w:rsid w:val="005F1320"/>
    <w:rsid w:val="005F4E5A"/>
    <w:rsid w:val="005F527D"/>
    <w:rsid w:val="005F5699"/>
    <w:rsid w:val="005F7717"/>
    <w:rsid w:val="005F7B75"/>
    <w:rsid w:val="005F7F93"/>
    <w:rsid w:val="006001B0"/>
    <w:rsid w:val="006001EE"/>
    <w:rsid w:val="00605042"/>
    <w:rsid w:val="00607BC1"/>
    <w:rsid w:val="00607DFA"/>
    <w:rsid w:val="00610758"/>
    <w:rsid w:val="006108E0"/>
    <w:rsid w:val="00611FC4"/>
    <w:rsid w:val="00613FE0"/>
    <w:rsid w:val="006148AF"/>
    <w:rsid w:val="00615494"/>
    <w:rsid w:val="006160CB"/>
    <w:rsid w:val="006176FB"/>
    <w:rsid w:val="006225D2"/>
    <w:rsid w:val="006239C9"/>
    <w:rsid w:val="00623FD3"/>
    <w:rsid w:val="0062462D"/>
    <w:rsid w:val="0062630E"/>
    <w:rsid w:val="0062645D"/>
    <w:rsid w:val="006274AD"/>
    <w:rsid w:val="00627FB0"/>
    <w:rsid w:val="00631C31"/>
    <w:rsid w:val="006321A4"/>
    <w:rsid w:val="00632E25"/>
    <w:rsid w:val="0063379B"/>
    <w:rsid w:val="00635DDA"/>
    <w:rsid w:val="00640B26"/>
    <w:rsid w:val="00640C76"/>
    <w:rsid w:val="00641231"/>
    <w:rsid w:val="006427DB"/>
    <w:rsid w:val="0064330C"/>
    <w:rsid w:val="00645379"/>
    <w:rsid w:val="00645949"/>
    <w:rsid w:val="006500A8"/>
    <w:rsid w:val="006507CD"/>
    <w:rsid w:val="006509F9"/>
    <w:rsid w:val="00652D0A"/>
    <w:rsid w:val="00653DBF"/>
    <w:rsid w:val="00654447"/>
    <w:rsid w:val="006548EF"/>
    <w:rsid w:val="0065766D"/>
    <w:rsid w:val="00660559"/>
    <w:rsid w:val="00662BB6"/>
    <w:rsid w:val="006637A4"/>
    <w:rsid w:val="00671948"/>
    <w:rsid w:val="00672110"/>
    <w:rsid w:val="006743E9"/>
    <w:rsid w:val="00674D65"/>
    <w:rsid w:val="00680272"/>
    <w:rsid w:val="00681678"/>
    <w:rsid w:val="00681702"/>
    <w:rsid w:val="00682284"/>
    <w:rsid w:val="006838C8"/>
    <w:rsid w:val="00684C21"/>
    <w:rsid w:val="00685B12"/>
    <w:rsid w:val="00685DA0"/>
    <w:rsid w:val="00685FA6"/>
    <w:rsid w:val="00686C0D"/>
    <w:rsid w:val="0068743C"/>
    <w:rsid w:val="00692BBE"/>
    <w:rsid w:val="00694AE6"/>
    <w:rsid w:val="006954C6"/>
    <w:rsid w:val="00695991"/>
    <w:rsid w:val="00697145"/>
    <w:rsid w:val="0069763E"/>
    <w:rsid w:val="00697F3E"/>
    <w:rsid w:val="006A2079"/>
    <w:rsid w:val="006A7176"/>
    <w:rsid w:val="006B346D"/>
    <w:rsid w:val="006B4B22"/>
    <w:rsid w:val="006B4FA2"/>
    <w:rsid w:val="006B56B3"/>
    <w:rsid w:val="006B58E5"/>
    <w:rsid w:val="006B7254"/>
    <w:rsid w:val="006C0435"/>
    <w:rsid w:val="006C05C1"/>
    <w:rsid w:val="006C0C74"/>
    <w:rsid w:val="006C2983"/>
    <w:rsid w:val="006C3AD1"/>
    <w:rsid w:val="006C65A6"/>
    <w:rsid w:val="006D0125"/>
    <w:rsid w:val="006D168C"/>
    <w:rsid w:val="006D37AF"/>
    <w:rsid w:val="006D51D0"/>
    <w:rsid w:val="006D53C0"/>
    <w:rsid w:val="006E1B74"/>
    <w:rsid w:val="006E212F"/>
    <w:rsid w:val="006E2C29"/>
    <w:rsid w:val="006E3A95"/>
    <w:rsid w:val="006E564B"/>
    <w:rsid w:val="006E5A29"/>
    <w:rsid w:val="006E7191"/>
    <w:rsid w:val="006E7196"/>
    <w:rsid w:val="006F30DF"/>
    <w:rsid w:val="006F464F"/>
    <w:rsid w:val="006F4B86"/>
    <w:rsid w:val="006F52C5"/>
    <w:rsid w:val="006F58DC"/>
    <w:rsid w:val="006F59E4"/>
    <w:rsid w:val="006F6515"/>
    <w:rsid w:val="00703577"/>
    <w:rsid w:val="00705625"/>
    <w:rsid w:val="00705752"/>
    <w:rsid w:val="00707DC0"/>
    <w:rsid w:val="0071171F"/>
    <w:rsid w:val="00711F00"/>
    <w:rsid w:val="00713C74"/>
    <w:rsid w:val="00715DDD"/>
    <w:rsid w:val="00716EC7"/>
    <w:rsid w:val="00717ADC"/>
    <w:rsid w:val="00717CAD"/>
    <w:rsid w:val="00717F03"/>
    <w:rsid w:val="0072050A"/>
    <w:rsid w:val="0072328C"/>
    <w:rsid w:val="0072378B"/>
    <w:rsid w:val="0072632A"/>
    <w:rsid w:val="00726A48"/>
    <w:rsid w:val="00727C31"/>
    <w:rsid w:val="007327D5"/>
    <w:rsid w:val="007334A8"/>
    <w:rsid w:val="00734ABE"/>
    <w:rsid w:val="00735CA1"/>
    <w:rsid w:val="00735F4E"/>
    <w:rsid w:val="00736EAD"/>
    <w:rsid w:val="00741487"/>
    <w:rsid w:val="007435F7"/>
    <w:rsid w:val="007449A6"/>
    <w:rsid w:val="0074537D"/>
    <w:rsid w:val="007463A2"/>
    <w:rsid w:val="00746750"/>
    <w:rsid w:val="00746D61"/>
    <w:rsid w:val="007509EB"/>
    <w:rsid w:val="00750FC5"/>
    <w:rsid w:val="0075395D"/>
    <w:rsid w:val="00760B80"/>
    <w:rsid w:val="007614E3"/>
    <w:rsid w:val="00762878"/>
    <w:rsid w:val="00762922"/>
    <w:rsid w:val="007629C8"/>
    <w:rsid w:val="00762E39"/>
    <w:rsid w:val="007635DF"/>
    <w:rsid w:val="00764972"/>
    <w:rsid w:val="007661CD"/>
    <w:rsid w:val="00770D4C"/>
    <w:rsid w:val="007734FC"/>
    <w:rsid w:val="007740F1"/>
    <w:rsid w:val="00776E5E"/>
    <w:rsid w:val="00777322"/>
    <w:rsid w:val="00781373"/>
    <w:rsid w:val="00781C83"/>
    <w:rsid w:val="007826F4"/>
    <w:rsid w:val="0078300D"/>
    <w:rsid w:val="00785DB2"/>
    <w:rsid w:val="0078601B"/>
    <w:rsid w:val="0078676D"/>
    <w:rsid w:val="00787E5D"/>
    <w:rsid w:val="0079034E"/>
    <w:rsid w:val="00792116"/>
    <w:rsid w:val="0079547E"/>
    <w:rsid w:val="00795788"/>
    <w:rsid w:val="0079681E"/>
    <w:rsid w:val="00797BA1"/>
    <w:rsid w:val="007A212F"/>
    <w:rsid w:val="007A2138"/>
    <w:rsid w:val="007A23F3"/>
    <w:rsid w:val="007A36C9"/>
    <w:rsid w:val="007A6642"/>
    <w:rsid w:val="007A7E83"/>
    <w:rsid w:val="007B3302"/>
    <w:rsid w:val="007B6311"/>
    <w:rsid w:val="007B6BA5"/>
    <w:rsid w:val="007C0089"/>
    <w:rsid w:val="007C1241"/>
    <w:rsid w:val="007C296F"/>
    <w:rsid w:val="007C3390"/>
    <w:rsid w:val="007C3FFB"/>
    <w:rsid w:val="007C4F4B"/>
    <w:rsid w:val="007C55BE"/>
    <w:rsid w:val="007C784F"/>
    <w:rsid w:val="007D00CF"/>
    <w:rsid w:val="007D2684"/>
    <w:rsid w:val="007D3A95"/>
    <w:rsid w:val="007D518C"/>
    <w:rsid w:val="007D564F"/>
    <w:rsid w:val="007E0B2D"/>
    <w:rsid w:val="007E0ED5"/>
    <w:rsid w:val="007E2CC8"/>
    <w:rsid w:val="007E4594"/>
    <w:rsid w:val="007E4BBE"/>
    <w:rsid w:val="007E533F"/>
    <w:rsid w:val="007E53B8"/>
    <w:rsid w:val="007E5EA4"/>
    <w:rsid w:val="007E7E46"/>
    <w:rsid w:val="007F098E"/>
    <w:rsid w:val="007F12FC"/>
    <w:rsid w:val="007F2396"/>
    <w:rsid w:val="007F2D0D"/>
    <w:rsid w:val="007F3A2C"/>
    <w:rsid w:val="007F4853"/>
    <w:rsid w:val="007F6611"/>
    <w:rsid w:val="0080502F"/>
    <w:rsid w:val="00805663"/>
    <w:rsid w:val="0081043C"/>
    <w:rsid w:val="008105B8"/>
    <w:rsid w:val="0081060C"/>
    <w:rsid w:val="00811D06"/>
    <w:rsid w:val="008123D2"/>
    <w:rsid w:val="00812971"/>
    <w:rsid w:val="00813327"/>
    <w:rsid w:val="008146B2"/>
    <w:rsid w:val="00816972"/>
    <w:rsid w:val="00816E23"/>
    <w:rsid w:val="00816EE0"/>
    <w:rsid w:val="00817902"/>
    <w:rsid w:val="00817A02"/>
    <w:rsid w:val="008216A5"/>
    <w:rsid w:val="00821A8D"/>
    <w:rsid w:val="00821EF1"/>
    <w:rsid w:val="008240EE"/>
    <w:rsid w:val="008242D7"/>
    <w:rsid w:val="00824C73"/>
    <w:rsid w:val="00824FE2"/>
    <w:rsid w:val="00825659"/>
    <w:rsid w:val="008257B1"/>
    <w:rsid w:val="00830FF4"/>
    <w:rsid w:val="0083185A"/>
    <w:rsid w:val="00833370"/>
    <w:rsid w:val="00834C8F"/>
    <w:rsid w:val="008360B7"/>
    <w:rsid w:val="008379A8"/>
    <w:rsid w:val="008406D2"/>
    <w:rsid w:val="0084126F"/>
    <w:rsid w:val="00843767"/>
    <w:rsid w:val="00846666"/>
    <w:rsid w:val="00847A71"/>
    <w:rsid w:val="00847B18"/>
    <w:rsid w:val="0085030B"/>
    <w:rsid w:val="00851F2A"/>
    <w:rsid w:val="00856F01"/>
    <w:rsid w:val="00861599"/>
    <w:rsid w:val="00863638"/>
    <w:rsid w:val="00864797"/>
    <w:rsid w:val="008655A1"/>
    <w:rsid w:val="00865FCB"/>
    <w:rsid w:val="0086775C"/>
    <w:rsid w:val="008679D9"/>
    <w:rsid w:val="00870CB7"/>
    <w:rsid w:val="00871051"/>
    <w:rsid w:val="00871750"/>
    <w:rsid w:val="00872F86"/>
    <w:rsid w:val="008730D5"/>
    <w:rsid w:val="00873234"/>
    <w:rsid w:val="00875FE5"/>
    <w:rsid w:val="00880AF2"/>
    <w:rsid w:val="00883820"/>
    <w:rsid w:val="00883BBF"/>
    <w:rsid w:val="00884FCB"/>
    <w:rsid w:val="0088719B"/>
    <w:rsid w:val="00891792"/>
    <w:rsid w:val="00891C2B"/>
    <w:rsid w:val="00892347"/>
    <w:rsid w:val="008933B1"/>
    <w:rsid w:val="00893534"/>
    <w:rsid w:val="00894166"/>
    <w:rsid w:val="00894F53"/>
    <w:rsid w:val="0089586D"/>
    <w:rsid w:val="00896597"/>
    <w:rsid w:val="008979B1"/>
    <w:rsid w:val="00897F0A"/>
    <w:rsid w:val="008A09B5"/>
    <w:rsid w:val="008A16B6"/>
    <w:rsid w:val="008A1DB2"/>
    <w:rsid w:val="008A270D"/>
    <w:rsid w:val="008A6B25"/>
    <w:rsid w:val="008A6C4F"/>
    <w:rsid w:val="008B012F"/>
    <w:rsid w:val="008B0D62"/>
    <w:rsid w:val="008B2335"/>
    <w:rsid w:val="008B629E"/>
    <w:rsid w:val="008C0D17"/>
    <w:rsid w:val="008C22CC"/>
    <w:rsid w:val="008C25DC"/>
    <w:rsid w:val="008C3223"/>
    <w:rsid w:val="008C3294"/>
    <w:rsid w:val="008C41E5"/>
    <w:rsid w:val="008C4B5A"/>
    <w:rsid w:val="008C4EDC"/>
    <w:rsid w:val="008C4EFE"/>
    <w:rsid w:val="008C6E58"/>
    <w:rsid w:val="008C7622"/>
    <w:rsid w:val="008C77CB"/>
    <w:rsid w:val="008D083C"/>
    <w:rsid w:val="008D0C03"/>
    <w:rsid w:val="008D1459"/>
    <w:rsid w:val="008D2A46"/>
    <w:rsid w:val="008E0678"/>
    <w:rsid w:val="008E0CFD"/>
    <w:rsid w:val="008E4C4F"/>
    <w:rsid w:val="008E56DB"/>
    <w:rsid w:val="008E5A83"/>
    <w:rsid w:val="008E5FF6"/>
    <w:rsid w:val="008E6067"/>
    <w:rsid w:val="008E611D"/>
    <w:rsid w:val="008F0336"/>
    <w:rsid w:val="008F0E3C"/>
    <w:rsid w:val="008F16E4"/>
    <w:rsid w:val="008F1FA8"/>
    <w:rsid w:val="008F2AD8"/>
    <w:rsid w:val="008F6145"/>
    <w:rsid w:val="00900036"/>
    <w:rsid w:val="009002FE"/>
    <w:rsid w:val="009020F8"/>
    <w:rsid w:val="00903876"/>
    <w:rsid w:val="00904589"/>
    <w:rsid w:val="009062A7"/>
    <w:rsid w:val="0090637F"/>
    <w:rsid w:val="00910AD7"/>
    <w:rsid w:val="00910F40"/>
    <w:rsid w:val="0091197B"/>
    <w:rsid w:val="00911E57"/>
    <w:rsid w:val="00912C08"/>
    <w:rsid w:val="00913616"/>
    <w:rsid w:val="0091377B"/>
    <w:rsid w:val="00913BEA"/>
    <w:rsid w:val="00915F13"/>
    <w:rsid w:val="009203F5"/>
    <w:rsid w:val="00920BF9"/>
    <w:rsid w:val="00921672"/>
    <w:rsid w:val="009223CA"/>
    <w:rsid w:val="00927235"/>
    <w:rsid w:val="00927FBE"/>
    <w:rsid w:val="009302BC"/>
    <w:rsid w:val="00930548"/>
    <w:rsid w:val="009377CE"/>
    <w:rsid w:val="00937F60"/>
    <w:rsid w:val="0094095A"/>
    <w:rsid w:val="00940F93"/>
    <w:rsid w:val="00946553"/>
    <w:rsid w:val="00946696"/>
    <w:rsid w:val="00951E0D"/>
    <w:rsid w:val="00951EAC"/>
    <w:rsid w:val="00952ACA"/>
    <w:rsid w:val="00952C29"/>
    <w:rsid w:val="0095347F"/>
    <w:rsid w:val="00953563"/>
    <w:rsid w:val="009568BE"/>
    <w:rsid w:val="0096073F"/>
    <w:rsid w:val="00960911"/>
    <w:rsid w:val="009633D7"/>
    <w:rsid w:val="00967F59"/>
    <w:rsid w:val="009701C4"/>
    <w:rsid w:val="00972C38"/>
    <w:rsid w:val="009735A8"/>
    <w:rsid w:val="00973F26"/>
    <w:rsid w:val="00974EF5"/>
    <w:rsid w:val="009760F3"/>
    <w:rsid w:val="00977275"/>
    <w:rsid w:val="009800FA"/>
    <w:rsid w:val="00980EA8"/>
    <w:rsid w:val="009816C7"/>
    <w:rsid w:val="009817F4"/>
    <w:rsid w:val="009818E2"/>
    <w:rsid w:val="00982197"/>
    <w:rsid w:val="009873ED"/>
    <w:rsid w:val="009909F5"/>
    <w:rsid w:val="00990FCA"/>
    <w:rsid w:val="0099273E"/>
    <w:rsid w:val="0099515D"/>
    <w:rsid w:val="009A0E8D"/>
    <w:rsid w:val="009A19F8"/>
    <w:rsid w:val="009A2EA4"/>
    <w:rsid w:val="009A5F70"/>
    <w:rsid w:val="009B0FC5"/>
    <w:rsid w:val="009B1780"/>
    <w:rsid w:val="009B26E7"/>
    <w:rsid w:val="009B37E6"/>
    <w:rsid w:val="009B4E6F"/>
    <w:rsid w:val="009B6B3E"/>
    <w:rsid w:val="009C162C"/>
    <w:rsid w:val="009C4519"/>
    <w:rsid w:val="009C4FB2"/>
    <w:rsid w:val="009C60EB"/>
    <w:rsid w:val="009C6DFE"/>
    <w:rsid w:val="009D1E8D"/>
    <w:rsid w:val="009D3C01"/>
    <w:rsid w:val="009D4F57"/>
    <w:rsid w:val="009D7F96"/>
    <w:rsid w:val="009E2F54"/>
    <w:rsid w:val="009E36F8"/>
    <w:rsid w:val="009E3B88"/>
    <w:rsid w:val="009E7D26"/>
    <w:rsid w:val="009F01E6"/>
    <w:rsid w:val="009F03D3"/>
    <w:rsid w:val="009F2AC1"/>
    <w:rsid w:val="009F5182"/>
    <w:rsid w:val="009F51DC"/>
    <w:rsid w:val="009F5D68"/>
    <w:rsid w:val="009F7636"/>
    <w:rsid w:val="00A00A3F"/>
    <w:rsid w:val="00A01489"/>
    <w:rsid w:val="00A018AB"/>
    <w:rsid w:val="00A01A63"/>
    <w:rsid w:val="00A0336A"/>
    <w:rsid w:val="00A03A0A"/>
    <w:rsid w:val="00A03ABA"/>
    <w:rsid w:val="00A03ED0"/>
    <w:rsid w:val="00A206FC"/>
    <w:rsid w:val="00A230A0"/>
    <w:rsid w:val="00A232DB"/>
    <w:rsid w:val="00A31B81"/>
    <w:rsid w:val="00A338F1"/>
    <w:rsid w:val="00A343D0"/>
    <w:rsid w:val="00A377A8"/>
    <w:rsid w:val="00A41A5C"/>
    <w:rsid w:val="00A42B98"/>
    <w:rsid w:val="00A44487"/>
    <w:rsid w:val="00A44615"/>
    <w:rsid w:val="00A447CC"/>
    <w:rsid w:val="00A44916"/>
    <w:rsid w:val="00A4728C"/>
    <w:rsid w:val="00A47874"/>
    <w:rsid w:val="00A50945"/>
    <w:rsid w:val="00A52FFA"/>
    <w:rsid w:val="00A53400"/>
    <w:rsid w:val="00A53415"/>
    <w:rsid w:val="00A53D7C"/>
    <w:rsid w:val="00A55EA5"/>
    <w:rsid w:val="00A647C7"/>
    <w:rsid w:val="00A65032"/>
    <w:rsid w:val="00A70EA1"/>
    <w:rsid w:val="00A72C5E"/>
    <w:rsid w:val="00A72C70"/>
    <w:rsid w:val="00A72F22"/>
    <w:rsid w:val="00A7360F"/>
    <w:rsid w:val="00A74283"/>
    <w:rsid w:val="00A748A6"/>
    <w:rsid w:val="00A75355"/>
    <w:rsid w:val="00A75E0E"/>
    <w:rsid w:val="00A76648"/>
    <w:rsid w:val="00A769F4"/>
    <w:rsid w:val="00A76D71"/>
    <w:rsid w:val="00A774F9"/>
    <w:rsid w:val="00A776B4"/>
    <w:rsid w:val="00A777C5"/>
    <w:rsid w:val="00A777CF"/>
    <w:rsid w:val="00A80013"/>
    <w:rsid w:val="00A81971"/>
    <w:rsid w:val="00A81D2D"/>
    <w:rsid w:val="00A81D4E"/>
    <w:rsid w:val="00A81F26"/>
    <w:rsid w:val="00A825AD"/>
    <w:rsid w:val="00A85EA0"/>
    <w:rsid w:val="00A91A32"/>
    <w:rsid w:val="00A94361"/>
    <w:rsid w:val="00A96BCF"/>
    <w:rsid w:val="00AA0900"/>
    <w:rsid w:val="00AA175A"/>
    <w:rsid w:val="00AA293C"/>
    <w:rsid w:val="00AA2D0D"/>
    <w:rsid w:val="00AA49B4"/>
    <w:rsid w:val="00AA56FB"/>
    <w:rsid w:val="00AA672A"/>
    <w:rsid w:val="00AA6FA4"/>
    <w:rsid w:val="00AB0648"/>
    <w:rsid w:val="00AB19FA"/>
    <w:rsid w:val="00AB2855"/>
    <w:rsid w:val="00AB3E4E"/>
    <w:rsid w:val="00AB43F1"/>
    <w:rsid w:val="00AB45A3"/>
    <w:rsid w:val="00AB4CA5"/>
    <w:rsid w:val="00AB6D0B"/>
    <w:rsid w:val="00AC07FC"/>
    <w:rsid w:val="00AC1A12"/>
    <w:rsid w:val="00AC27B8"/>
    <w:rsid w:val="00AC4B52"/>
    <w:rsid w:val="00AC505B"/>
    <w:rsid w:val="00AC5605"/>
    <w:rsid w:val="00AC6A0A"/>
    <w:rsid w:val="00AD40C1"/>
    <w:rsid w:val="00AD46B8"/>
    <w:rsid w:val="00AD4A9E"/>
    <w:rsid w:val="00AD4B17"/>
    <w:rsid w:val="00AE19B0"/>
    <w:rsid w:val="00AE1A18"/>
    <w:rsid w:val="00AE1A56"/>
    <w:rsid w:val="00AE1CFF"/>
    <w:rsid w:val="00AE3A93"/>
    <w:rsid w:val="00AE4515"/>
    <w:rsid w:val="00AE4730"/>
    <w:rsid w:val="00AE50CE"/>
    <w:rsid w:val="00AE55CB"/>
    <w:rsid w:val="00AE5BCF"/>
    <w:rsid w:val="00AE673B"/>
    <w:rsid w:val="00AF0BB7"/>
    <w:rsid w:val="00AF1A44"/>
    <w:rsid w:val="00AF3148"/>
    <w:rsid w:val="00AF34D9"/>
    <w:rsid w:val="00AF5CCF"/>
    <w:rsid w:val="00AF6D3A"/>
    <w:rsid w:val="00AF71E0"/>
    <w:rsid w:val="00AF7286"/>
    <w:rsid w:val="00B00B77"/>
    <w:rsid w:val="00B030B7"/>
    <w:rsid w:val="00B03884"/>
    <w:rsid w:val="00B04543"/>
    <w:rsid w:val="00B10640"/>
    <w:rsid w:val="00B1156E"/>
    <w:rsid w:val="00B11BC2"/>
    <w:rsid w:val="00B129BE"/>
    <w:rsid w:val="00B13AB0"/>
    <w:rsid w:val="00B13E9B"/>
    <w:rsid w:val="00B16852"/>
    <w:rsid w:val="00B174D5"/>
    <w:rsid w:val="00B2280C"/>
    <w:rsid w:val="00B22EFC"/>
    <w:rsid w:val="00B23D94"/>
    <w:rsid w:val="00B2528B"/>
    <w:rsid w:val="00B25D3D"/>
    <w:rsid w:val="00B2683D"/>
    <w:rsid w:val="00B30179"/>
    <w:rsid w:val="00B339A7"/>
    <w:rsid w:val="00B33ABD"/>
    <w:rsid w:val="00B410C3"/>
    <w:rsid w:val="00B41A37"/>
    <w:rsid w:val="00B41ACB"/>
    <w:rsid w:val="00B42976"/>
    <w:rsid w:val="00B45640"/>
    <w:rsid w:val="00B46514"/>
    <w:rsid w:val="00B467BE"/>
    <w:rsid w:val="00B46DF7"/>
    <w:rsid w:val="00B47DB8"/>
    <w:rsid w:val="00B503FD"/>
    <w:rsid w:val="00B52C14"/>
    <w:rsid w:val="00B53680"/>
    <w:rsid w:val="00B55522"/>
    <w:rsid w:val="00B56E4A"/>
    <w:rsid w:val="00B56E9C"/>
    <w:rsid w:val="00B60748"/>
    <w:rsid w:val="00B64B1F"/>
    <w:rsid w:val="00B64E33"/>
    <w:rsid w:val="00B65097"/>
    <w:rsid w:val="00B6524C"/>
    <w:rsid w:val="00B6553F"/>
    <w:rsid w:val="00B65DE4"/>
    <w:rsid w:val="00B66E5E"/>
    <w:rsid w:val="00B67FC8"/>
    <w:rsid w:val="00B707C0"/>
    <w:rsid w:val="00B7113C"/>
    <w:rsid w:val="00B73070"/>
    <w:rsid w:val="00B76950"/>
    <w:rsid w:val="00B77D05"/>
    <w:rsid w:val="00B77EC5"/>
    <w:rsid w:val="00B81206"/>
    <w:rsid w:val="00B8190A"/>
    <w:rsid w:val="00B81CCC"/>
    <w:rsid w:val="00B81E12"/>
    <w:rsid w:val="00B83477"/>
    <w:rsid w:val="00B83D09"/>
    <w:rsid w:val="00B85756"/>
    <w:rsid w:val="00B85AF8"/>
    <w:rsid w:val="00B86C63"/>
    <w:rsid w:val="00B90572"/>
    <w:rsid w:val="00B9067B"/>
    <w:rsid w:val="00B915E0"/>
    <w:rsid w:val="00B91791"/>
    <w:rsid w:val="00B94491"/>
    <w:rsid w:val="00B94CD2"/>
    <w:rsid w:val="00B94D50"/>
    <w:rsid w:val="00B94E87"/>
    <w:rsid w:val="00B9588B"/>
    <w:rsid w:val="00B95A99"/>
    <w:rsid w:val="00B96623"/>
    <w:rsid w:val="00B968B5"/>
    <w:rsid w:val="00B97074"/>
    <w:rsid w:val="00B97AFE"/>
    <w:rsid w:val="00BA0869"/>
    <w:rsid w:val="00BA434C"/>
    <w:rsid w:val="00BA51C5"/>
    <w:rsid w:val="00BA5934"/>
    <w:rsid w:val="00BB22D5"/>
    <w:rsid w:val="00BB26BD"/>
    <w:rsid w:val="00BB3CFD"/>
    <w:rsid w:val="00BB6283"/>
    <w:rsid w:val="00BC01E3"/>
    <w:rsid w:val="00BC2C23"/>
    <w:rsid w:val="00BC346B"/>
    <w:rsid w:val="00BC3737"/>
    <w:rsid w:val="00BC48F3"/>
    <w:rsid w:val="00BC5363"/>
    <w:rsid w:val="00BC6E5E"/>
    <w:rsid w:val="00BC74E9"/>
    <w:rsid w:val="00BC7809"/>
    <w:rsid w:val="00BD4AD9"/>
    <w:rsid w:val="00BD6CE9"/>
    <w:rsid w:val="00BE0959"/>
    <w:rsid w:val="00BE26B2"/>
    <w:rsid w:val="00BE2B29"/>
    <w:rsid w:val="00BE3F3C"/>
    <w:rsid w:val="00BE46A0"/>
    <w:rsid w:val="00BE4F3F"/>
    <w:rsid w:val="00BE62B5"/>
    <w:rsid w:val="00BF0311"/>
    <w:rsid w:val="00BF1F47"/>
    <w:rsid w:val="00BF3A1F"/>
    <w:rsid w:val="00BF4613"/>
    <w:rsid w:val="00BF5565"/>
    <w:rsid w:val="00BF61C5"/>
    <w:rsid w:val="00BF68A8"/>
    <w:rsid w:val="00BF72FD"/>
    <w:rsid w:val="00C01DD5"/>
    <w:rsid w:val="00C02623"/>
    <w:rsid w:val="00C02E7A"/>
    <w:rsid w:val="00C038D2"/>
    <w:rsid w:val="00C04639"/>
    <w:rsid w:val="00C065DB"/>
    <w:rsid w:val="00C07DD8"/>
    <w:rsid w:val="00C11207"/>
    <w:rsid w:val="00C11870"/>
    <w:rsid w:val="00C11A03"/>
    <w:rsid w:val="00C144EC"/>
    <w:rsid w:val="00C151CC"/>
    <w:rsid w:val="00C1683C"/>
    <w:rsid w:val="00C2007A"/>
    <w:rsid w:val="00C20A72"/>
    <w:rsid w:val="00C2284D"/>
    <w:rsid w:val="00C305E6"/>
    <w:rsid w:val="00C34926"/>
    <w:rsid w:val="00C34DBA"/>
    <w:rsid w:val="00C361F7"/>
    <w:rsid w:val="00C36A62"/>
    <w:rsid w:val="00C418BB"/>
    <w:rsid w:val="00C42190"/>
    <w:rsid w:val="00C42BDE"/>
    <w:rsid w:val="00C44183"/>
    <w:rsid w:val="00C44D49"/>
    <w:rsid w:val="00C463DD"/>
    <w:rsid w:val="00C46474"/>
    <w:rsid w:val="00C465DA"/>
    <w:rsid w:val="00C4724C"/>
    <w:rsid w:val="00C47927"/>
    <w:rsid w:val="00C50356"/>
    <w:rsid w:val="00C50ECF"/>
    <w:rsid w:val="00C51355"/>
    <w:rsid w:val="00C53316"/>
    <w:rsid w:val="00C53963"/>
    <w:rsid w:val="00C55779"/>
    <w:rsid w:val="00C56114"/>
    <w:rsid w:val="00C5746C"/>
    <w:rsid w:val="00C57758"/>
    <w:rsid w:val="00C57A10"/>
    <w:rsid w:val="00C606D3"/>
    <w:rsid w:val="00C60E92"/>
    <w:rsid w:val="00C61C48"/>
    <w:rsid w:val="00C629A0"/>
    <w:rsid w:val="00C679DA"/>
    <w:rsid w:val="00C72861"/>
    <w:rsid w:val="00C73736"/>
    <w:rsid w:val="00C745C3"/>
    <w:rsid w:val="00C75185"/>
    <w:rsid w:val="00C75F86"/>
    <w:rsid w:val="00C76890"/>
    <w:rsid w:val="00C7728B"/>
    <w:rsid w:val="00C773F4"/>
    <w:rsid w:val="00C80234"/>
    <w:rsid w:val="00C803EC"/>
    <w:rsid w:val="00C80D50"/>
    <w:rsid w:val="00C819E8"/>
    <w:rsid w:val="00C83EF7"/>
    <w:rsid w:val="00C845EF"/>
    <w:rsid w:val="00C8504E"/>
    <w:rsid w:val="00C85113"/>
    <w:rsid w:val="00C95B84"/>
    <w:rsid w:val="00C965DC"/>
    <w:rsid w:val="00CA7760"/>
    <w:rsid w:val="00CA7E79"/>
    <w:rsid w:val="00CB0915"/>
    <w:rsid w:val="00CB1F0A"/>
    <w:rsid w:val="00CB351A"/>
    <w:rsid w:val="00CB4608"/>
    <w:rsid w:val="00CB480D"/>
    <w:rsid w:val="00CB6E28"/>
    <w:rsid w:val="00CC0477"/>
    <w:rsid w:val="00CC0BB4"/>
    <w:rsid w:val="00CC3D39"/>
    <w:rsid w:val="00CD3CB9"/>
    <w:rsid w:val="00CD546D"/>
    <w:rsid w:val="00CE494C"/>
    <w:rsid w:val="00CE4A8F"/>
    <w:rsid w:val="00CE736B"/>
    <w:rsid w:val="00CF1984"/>
    <w:rsid w:val="00CF2621"/>
    <w:rsid w:val="00CF3ACF"/>
    <w:rsid w:val="00CF587D"/>
    <w:rsid w:val="00CF76D6"/>
    <w:rsid w:val="00D00879"/>
    <w:rsid w:val="00D027F2"/>
    <w:rsid w:val="00D02C2A"/>
    <w:rsid w:val="00D062A4"/>
    <w:rsid w:val="00D06AB9"/>
    <w:rsid w:val="00D06B7E"/>
    <w:rsid w:val="00D06EEA"/>
    <w:rsid w:val="00D06F74"/>
    <w:rsid w:val="00D10B7A"/>
    <w:rsid w:val="00D12158"/>
    <w:rsid w:val="00D1315B"/>
    <w:rsid w:val="00D13268"/>
    <w:rsid w:val="00D141CF"/>
    <w:rsid w:val="00D15ECA"/>
    <w:rsid w:val="00D2031B"/>
    <w:rsid w:val="00D257E7"/>
    <w:rsid w:val="00D25FE2"/>
    <w:rsid w:val="00D2637A"/>
    <w:rsid w:val="00D26D97"/>
    <w:rsid w:val="00D3001F"/>
    <w:rsid w:val="00D30034"/>
    <w:rsid w:val="00D3087C"/>
    <w:rsid w:val="00D33493"/>
    <w:rsid w:val="00D33B1B"/>
    <w:rsid w:val="00D35B7F"/>
    <w:rsid w:val="00D35FCA"/>
    <w:rsid w:val="00D360FA"/>
    <w:rsid w:val="00D42B6D"/>
    <w:rsid w:val="00D43252"/>
    <w:rsid w:val="00D43E06"/>
    <w:rsid w:val="00D44984"/>
    <w:rsid w:val="00D46C27"/>
    <w:rsid w:val="00D47EEA"/>
    <w:rsid w:val="00D501D0"/>
    <w:rsid w:val="00D509AE"/>
    <w:rsid w:val="00D5129F"/>
    <w:rsid w:val="00D51D6E"/>
    <w:rsid w:val="00D51E4A"/>
    <w:rsid w:val="00D52316"/>
    <w:rsid w:val="00D53BAD"/>
    <w:rsid w:val="00D543C9"/>
    <w:rsid w:val="00D5490A"/>
    <w:rsid w:val="00D572F1"/>
    <w:rsid w:val="00D60DC1"/>
    <w:rsid w:val="00D6148A"/>
    <w:rsid w:val="00D625E3"/>
    <w:rsid w:val="00D6429C"/>
    <w:rsid w:val="00D64A94"/>
    <w:rsid w:val="00D66146"/>
    <w:rsid w:val="00D729E4"/>
    <w:rsid w:val="00D72AD0"/>
    <w:rsid w:val="00D73CB8"/>
    <w:rsid w:val="00D747CE"/>
    <w:rsid w:val="00D80EDF"/>
    <w:rsid w:val="00D8649F"/>
    <w:rsid w:val="00D864CC"/>
    <w:rsid w:val="00D86C01"/>
    <w:rsid w:val="00D90F93"/>
    <w:rsid w:val="00D913B0"/>
    <w:rsid w:val="00D94BB8"/>
    <w:rsid w:val="00D94CDD"/>
    <w:rsid w:val="00D9506F"/>
    <w:rsid w:val="00D95303"/>
    <w:rsid w:val="00D96673"/>
    <w:rsid w:val="00D96E57"/>
    <w:rsid w:val="00D96E8E"/>
    <w:rsid w:val="00D97597"/>
    <w:rsid w:val="00D975A7"/>
    <w:rsid w:val="00D9765F"/>
    <w:rsid w:val="00D978C6"/>
    <w:rsid w:val="00DA1F7E"/>
    <w:rsid w:val="00DA3111"/>
    <w:rsid w:val="00DA3C1C"/>
    <w:rsid w:val="00DA3CDA"/>
    <w:rsid w:val="00DA4BBB"/>
    <w:rsid w:val="00DA5A54"/>
    <w:rsid w:val="00DB01A6"/>
    <w:rsid w:val="00DB0C79"/>
    <w:rsid w:val="00DB2CE7"/>
    <w:rsid w:val="00DB338D"/>
    <w:rsid w:val="00DB5B2F"/>
    <w:rsid w:val="00DC0714"/>
    <w:rsid w:val="00DC2CE5"/>
    <w:rsid w:val="00DC465A"/>
    <w:rsid w:val="00DD2848"/>
    <w:rsid w:val="00DD471E"/>
    <w:rsid w:val="00DD471F"/>
    <w:rsid w:val="00DD593B"/>
    <w:rsid w:val="00DD6EF0"/>
    <w:rsid w:val="00DE0E6C"/>
    <w:rsid w:val="00DE1DF6"/>
    <w:rsid w:val="00DE5161"/>
    <w:rsid w:val="00DE79A8"/>
    <w:rsid w:val="00DE7F59"/>
    <w:rsid w:val="00DE7F65"/>
    <w:rsid w:val="00DF0799"/>
    <w:rsid w:val="00DF4252"/>
    <w:rsid w:val="00DF528D"/>
    <w:rsid w:val="00DF6627"/>
    <w:rsid w:val="00E01267"/>
    <w:rsid w:val="00E0216D"/>
    <w:rsid w:val="00E0255B"/>
    <w:rsid w:val="00E04836"/>
    <w:rsid w:val="00E07F44"/>
    <w:rsid w:val="00E142AF"/>
    <w:rsid w:val="00E15CC1"/>
    <w:rsid w:val="00E17C73"/>
    <w:rsid w:val="00E2097C"/>
    <w:rsid w:val="00E209FD"/>
    <w:rsid w:val="00E21400"/>
    <w:rsid w:val="00E21B7A"/>
    <w:rsid w:val="00E23F0A"/>
    <w:rsid w:val="00E25B12"/>
    <w:rsid w:val="00E25E54"/>
    <w:rsid w:val="00E26263"/>
    <w:rsid w:val="00E27346"/>
    <w:rsid w:val="00E31E79"/>
    <w:rsid w:val="00E34156"/>
    <w:rsid w:val="00E34DAA"/>
    <w:rsid w:val="00E40A07"/>
    <w:rsid w:val="00E41BFE"/>
    <w:rsid w:val="00E4363C"/>
    <w:rsid w:val="00E51DD5"/>
    <w:rsid w:val="00E53D02"/>
    <w:rsid w:val="00E57271"/>
    <w:rsid w:val="00E57B1D"/>
    <w:rsid w:val="00E6074E"/>
    <w:rsid w:val="00E607A3"/>
    <w:rsid w:val="00E61088"/>
    <w:rsid w:val="00E632CC"/>
    <w:rsid w:val="00E64123"/>
    <w:rsid w:val="00E65396"/>
    <w:rsid w:val="00E669D5"/>
    <w:rsid w:val="00E66A0C"/>
    <w:rsid w:val="00E67325"/>
    <w:rsid w:val="00E71BC8"/>
    <w:rsid w:val="00E7260F"/>
    <w:rsid w:val="00E74206"/>
    <w:rsid w:val="00E77185"/>
    <w:rsid w:val="00E779FC"/>
    <w:rsid w:val="00E81BED"/>
    <w:rsid w:val="00E83765"/>
    <w:rsid w:val="00E848D3"/>
    <w:rsid w:val="00E849B2"/>
    <w:rsid w:val="00E85728"/>
    <w:rsid w:val="00E86349"/>
    <w:rsid w:val="00E90BE1"/>
    <w:rsid w:val="00E921CF"/>
    <w:rsid w:val="00E93CC4"/>
    <w:rsid w:val="00E94466"/>
    <w:rsid w:val="00E956EF"/>
    <w:rsid w:val="00E96630"/>
    <w:rsid w:val="00E97E81"/>
    <w:rsid w:val="00E97FB7"/>
    <w:rsid w:val="00EA0822"/>
    <w:rsid w:val="00EA1031"/>
    <w:rsid w:val="00EA15BD"/>
    <w:rsid w:val="00EA2B55"/>
    <w:rsid w:val="00EA31F7"/>
    <w:rsid w:val="00EA3A04"/>
    <w:rsid w:val="00EA43E5"/>
    <w:rsid w:val="00EB0101"/>
    <w:rsid w:val="00EB11F3"/>
    <w:rsid w:val="00EB2581"/>
    <w:rsid w:val="00EB4759"/>
    <w:rsid w:val="00EB5373"/>
    <w:rsid w:val="00EC14EF"/>
    <w:rsid w:val="00EC3A31"/>
    <w:rsid w:val="00EC4B91"/>
    <w:rsid w:val="00ED00FD"/>
    <w:rsid w:val="00ED1FD4"/>
    <w:rsid w:val="00ED483F"/>
    <w:rsid w:val="00ED6970"/>
    <w:rsid w:val="00ED74C0"/>
    <w:rsid w:val="00ED7A2A"/>
    <w:rsid w:val="00ED7E6E"/>
    <w:rsid w:val="00EE06DA"/>
    <w:rsid w:val="00EE281D"/>
    <w:rsid w:val="00EE5C7E"/>
    <w:rsid w:val="00EE6929"/>
    <w:rsid w:val="00EE7E71"/>
    <w:rsid w:val="00EF0235"/>
    <w:rsid w:val="00EF0322"/>
    <w:rsid w:val="00EF0580"/>
    <w:rsid w:val="00EF0C54"/>
    <w:rsid w:val="00EF117E"/>
    <w:rsid w:val="00EF1D7A"/>
    <w:rsid w:val="00EF1D7F"/>
    <w:rsid w:val="00EF3514"/>
    <w:rsid w:val="00EF3AD8"/>
    <w:rsid w:val="00EF459A"/>
    <w:rsid w:val="00EF4740"/>
    <w:rsid w:val="00EF560D"/>
    <w:rsid w:val="00F02C19"/>
    <w:rsid w:val="00F03190"/>
    <w:rsid w:val="00F03A99"/>
    <w:rsid w:val="00F03B96"/>
    <w:rsid w:val="00F0403F"/>
    <w:rsid w:val="00F04CDE"/>
    <w:rsid w:val="00F06D31"/>
    <w:rsid w:val="00F075CC"/>
    <w:rsid w:val="00F119EC"/>
    <w:rsid w:val="00F132E3"/>
    <w:rsid w:val="00F15270"/>
    <w:rsid w:val="00F17BD5"/>
    <w:rsid w:val="00F20017"/>
    <w:rsid w:val="00F20C3D"/>
    <w:rsid w:val="00F21FE3"/>
    <w:rsid w:val="00F221CD"/>
    <w:rsid w:val="00F22A52"/>
    <w:rsid w:val="00F22E3E"/>
    <w:rsid w:val="00F231DB"/>
    <w:rsid w:val="00F24C84"/>
    <w:rsid w:val="00F24F92"/>
    <w:rsid w:val="00F2653D"/>
    <w:rsid w:val="00F3026E"/>
    <w:rsid w:val="00F31056"/>
    <w:rsid w:val="00F31242"/>
    <w:rsid w:val="00F34D48"/>
    <w:rsid w:val="00F35149"/>
    <w:rsid w:val="00F35CBA"/>
    <w:rsid w:val="00F373CD"/>
    <w:rsid w:val="00F41576"/>
    <w:rsid w:val="00F416DC"/>
    <w:rsid w:val="00F41B9F"/>
    <w:rsid w:val="00F41F7D"/>
    <w:rsid w:val="00F4204E"/>
    <w:rsid w:val="00F43AA5"/>
    <w:rsid w:val="00F43E9E"/>
    <w:rsid w:val="00F44820"/>
    <w:rsid w:val="00F52BE2"/>
    <w:rsid w:val="00F53964"/>
    <w:rsid w:val="00F53F5C"/>
    <w:rsid w:val="00F5461C"/>
    <w:rsid w:val="00F546EA"/>
    <w:rsid w:val="00F56253"/>
    <w:rsid w:val="00F571D9"/>
    <w:rsid w:val="00F573E7"/>
    <w:rsid w:val="00F57ADF"/>
    <w:rsid w:val="00F60C3B"/>
    <w:rsid w:val="00F63FC4"/>
    <w:rsid w:val="00F649D3"/>
    <w:rsid w:val="00F67C0C"/>
    <w:rsid w:val="00F70D30"/>
    <w:rsid w:val="00F72A4B"/>
    <w:rsid w:val="00F73B4A"/>
    <w:rsid w:val="00F748B6"/>
    <w:rsid w:val="00F749F8"/>
    <w:rsid w:val="00F81975"/>
    <w:rsid w:val="00F82653"/>
    <w:rsid w:val="00F82F23"/>
    <w:rsid w:val="00F83A0D"/>
    <w:rsid w:val="00F8467B"/>
    <w:rsid w:val="00F85733"/>
    <w:rsid w:val="00F86121"/>
    <w:rsid w:val="00F8772A"/>
    <w:rsid w:val="00F9057C"/>
    <w:rsid w:val="00F906D7"/>
    <w:rsid w:val="00F908D7"/>
    <w:rsid w:val="00F90FD3"/>
    <w:rsid w:val="00F92CB6"/>
    <w:rsid w:val="00F93781"/>
    <w:rsid w:val="00F9653B"/>
    <w:rsid w:val="00F9682C"/>
    <w:rsid w:val="00F96BA5"/>
    <w:rsid w:val="00F96BF6"/>
    <w:rsid w:val="00FA0057"/>
    <w:rsid w:val="00FA059B"/>
    <w:rsid w:val="00FA1718"/>
    <w:rsid w:val="00FA57D4"/>
    <w:rsid w:val="00FA6B7C"/>
    <w:rsid w:val="00FB148B"/>
    <w:rsid w:val="00FB2745"/>
    <w:rsid w:val="00FB45D9"/>
    <w:rsid w:val="00FB5EB5"/>
    <w:rsid w:val="00FB613B"/>
    <w:rsid w:val="00FB78D7"/>
    <w:rsid w:val="00FC0349"/>
    <w:rsid w:val="00FC0622"/>
    <w:rsid w:val="00FC3618"/>
    <w:rsid w:val="00FC48D6"/>
    <w:rsid w:val="00FC68B7"/>
    <w:rsid w:val="00FD0381"/>
    <w:rsid w:val="00FD125C"/>
    <w:rsid w:val="00FD28AF"/>
    <w:rsid w:val="00FD4F04"/>
    <w:rsid w:val="00FD4FB8"/>
    <w:rsid w:val="00FD6046"/>
    <w:rsid w:val="00FD61DA"/>
    <w:rsid w:val="00FD7CD0"/>
    <w:rsid w:val="00FE106A"/>
    <w:rsid w:val="00FE11D6"/>
    <w:rsid w:val="00FE27EA"/>
    <w:rsid w:val="00FE2B82"/>
    <w:rsid w:val="00FE55CB"/>
    <w:rsid w:val="00FE5BA0"/>
    <w:rsid w:val="00FE617D"/>
    <w:rsid w:val="00FE64FF"/>
    <w:rsid w:val="00FF0000"/>
    <w:rsid w:val="00FF0A1B"/>
    <w:rsid w:val="00FF4BF4"/>
    <w:rsid w:val="00FF7D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1774B4"/>
  <w15:docId w15:val="{9099B8EE-CF1C-4D10-8914-5E6E3D35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eastAsia="en-US"/>
    </w:rPr>
  </w:style>
  <w:style w:type="paragraph" w:styleId="Heading1">
    <w:name w:val="heading 1"/>
    <w:aliases w:val="Table_G"/>
    <w:basedOn w:val="SingleTxtG"/>
    <w:next w:val="SingleTxtG"/>
    <w:qFormat/>
    <w:rsid w:val="000272B3"/>
    <w:pPr>
      <w:spacing w:after="0" w:line="240" w:lineRule="auto"/>
      <w:ind w:right="0"/>
      <w:jc w:val="left"/>
      <w:outlineLvl w:val="0"/>
    </w:pPr>
  </w:style>
  <w:style w:type="paragraph" w:styleId="Heading2">
    <w:name w:val="heading 2"/>
    <w:basedOn w:val="Normal"/>
    <w:next w:val="Normal"/>
    <w:qFormat/>
    <w:rsid w:val="000272B3"/>
    <w:pPr>
      <w:spacing w:line="240" w:lineRule="auto"/>
      <w:outlineLvl w:val="1"/>
    </w:pPr>
  </w:style>
  <w:style w:type="paragraph" w:styleId="Heading3">
    <w:name w:val="heading 3"/>
    <w:basedOn w:val="Normal"/>
    <w:next w:val="Normal"/>
    <w:qFormat/>
    <w:rsid w:val="000272B3"/>
    <w:pPr>
      <w:spacing w:line="240" w:lineRule="auto"/>
      <w:outlineLvl w:val="2"/>
    </w:pPr>
  </w:style>
  <w:style w:type="paragraph" w:styleId="Heading4">
    <w:name w:val="heading 4"/>
    <w:basedOn w:val="Normal"/>
    <w:next w:val="Normal"/>
    <w:qFormat/>
    <w:rsid w:val="000272B3"/>
    <w:pPr>
      <w:spacing w:line="240" w:lineRule="auto"/>
      <w:outlineLvl w:val="3"/>
    </w:pPr>
  </w:style>
  <w:style w:type="paragraph" w:styleId="Heading5">
    <w:name w:val="heading 5"/>
    <w:basedOn w:val="Normal"/>
    <w:next w:val="Normal"/>
    <w:qFormat/>
    <w:rsid w:val="000272B3"/>
    <w:pPr>
      <w:spacing w:line="240" w:lineRule="auto"/>
      <w:outlineLvl w:val="4"/>
    </w:pPr>
  </w:style>
  <w:style w:type="paragraph" w:styleId="Heading6">
    <w:name w:val="heading 6"/>
    <w:basedOn w:val="Normal"/>
    <w:next w:val="Normal"/>
    <w:qFormat/>
    <w:rsid w:val="000272B3"/>
    <w:pPr>
      <w:spacing w:line="240" w:lineRule="auto"/>
      <w:outlineLvl w:val="5"/>
    </w:pPr>
  </w:style>
  <w:style w:type="paragraph" w:styleId="Heading7">
    <w:name w:val="heading 7"/>
    <w:basedOn w:val="Normal"/>
    <w:next w:val="Normal"/>
    <w:qFormat/>
    <w:rsid w:val="000272B3"/>
    <w:pPr>
      <w:spacing w:line="240" w:lineRule="auto"/>
      <w:outlineLvl w:val="6"/>
    </w:pPr>
  </w:style>
  <w:style w:type="paragraph" w:styleId="Heading8">
    <w:name w:val="heading 8"/>
    <w:basedOn w:val="Normal"/>
    <w:next w:val="Normal"/>
    <w:qFormat/>
    <w:rsid w:val="000272B3"/>
    <w:pPr>
      <w:spacing w:line="240" w:lineRule="auto"/>
      <w:outlineLvl w:val="7"/>
    </w:pPr>
  </w:style>
  <w:style w:type="paragraph" w:styleId="Heading9">
    <w:name w:val="heading 9"/>
    <w:basedOn w:val="Normal"/>
    <w:next w:val="Normal"/>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0272B3"/>
    <w:pPr>
      <w:spacing w:after="120"/>
      <w:ind w:left="1134" w:right="1134"/>
      <w:jc w:val="both"/>
    </w:pPr>
    <w:rPr>
      <w:lang w:val="x-none"/>
    </w:r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rsid w:val="000272B3"/>
    <w:pPr>
      <w:pBdr>
        <w:bottom w:val="single" w:sz="4" w:space="4" w:color="auto"/>
      </w:pBdr>
      <w:spacing w:line="240" w:lineRule="auto"/>
    </w:pPr>
    <w:rPr>
      <w:b/>
      <w:sz w:val="18"/>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color w:val="auto"/>
      <w:u w:val="none"/>
    </w:rPr>
  </w:style>
  <w:style w:type="character" w:styleId="FollowedHyperlink">
    <w:name w:val="FollowedHyperlink"/>
    <w:semiHidden/>
    <w:rsid w:val="000272B3"/>
    <w:rPr>
      <w:color w:val="auto"/>
      <w:u w:val="none"/>
    </w:rPr>
  </w:style>
  <w:style w:type="paragraph" w:styleId="FootnoteText">
    <w:name w:val="footnote text"/>
    <w:aliases w:val="5_G"/>
    <w:basedOn w:val="Normal"/>
    <w:link w:val="FootnoteTextChar"/>
    <w:qFormat/>
    <w:rsid w:val="00E07F44"/>
    <w:pPr>
      <w:tabs>
        <w:tab w:val="right" w:pos="1021"/>
      </w:tabs>
      <w:kinsoku w:val="0"/>
      <w:overflowPunct w:val="0"/>
      <w:autoSpaceDE w:val="0"/>
      <w:autoSpaceDN w:val="0"/>
      <w:adjustRightInd w:val="0"/>
      <w:snapToGrid w:val="0"/>
      <w:spacing w:line="220" w:lineRule="exact"/>
      <w:ind w:left="1134" w:right="1134" w:hanging="1134"/>
    </w:pPr>
    <w:rPr>
      <w:rFonts w:eastAsia="SimSun"/>
      <w:sz w:val="18"/>
      <w:lang w:val="en-US" w:eastAsia="zh-CN"/>
    </w:rPr>
  </w:style>
  <w:style w:type="paragraph" w:styleId="EndnoteText">
    <w:name w:val="endnote text"/>
    <w:aliases w:val="2_G"/>
    <w:basedOn w:val="FootnoteText"/>
    <w:rsid w:val="000272B3"/>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sz w:val="18"/>
      <w:vertAlign w:val="superscript"/>
    </w:rPr>
  </w:style>
  <w:style w:type="character" w:styleId="FootnoteReference">
    <w:name w:val="footnote reference"/>
    <w:aliases w:val="4_G"/>
    <w:qFormat/>
    <w:rsid w:val="00E07F44"/>
    <w:rPr>
      <w:rFonts w:ascii="Times New Roman" w:hAnsi="Times New Roman"/>
      <w:sz w:val="18"/>
      <w:vertAlign w:val="superscript"/>
    </w:rPr>
  </w:style>
  <w:style w:type="character" w:styleId="PageNumber">
    <w:name w:val="page number"/>
    <w:aliases w:val="7_G"/>
    <w:rsid w:val="000272B3"/>
    <w:rPr>
      <w:rFonts w:ascii="Times New Roman" w:hAnsi="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rsid w:val="000272B3"/>
    <w:pPr>
      <w:spacing w:line="240" w:lineRule="auto"/>
    </w:pPr>
    <w:rPr>
      <w:sz w:val="16"/>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FootnoteTextChar">
    <w:name w:val="Footnote Text Char"/>
    <w:aliases w:val="5_G Char"/>
    <w:link w:val="FootnoteText"/>
    <w:rsid w:val="008216A5"/>
    <w:rPr>
      <w:rFonts w:eastAsia="SimSun"/>
      <w:sz w:val="18"/>
      <w:lang w:val="en-US" w:eastAsia="zh-CN"/>
    </w:rPr>
  </w:style>
  <w:style w:type="paragraph" w:styleId="BalloonText">
    <w:name w:val="Balloon Text"/>
    <w:basedOn w:val="Normal"/>
    <w:link w:val="BalloonTextChar"/>
    <w:rsid w:val="006743E9"/>
    <w:pPr>
      <w:spacing w:line="240" w:lineRule="auto"/>
    </w:pPr>
    <w:rPr>
      <w:rFonts w:ascii="Tahoma" w:hAnsi="Tahoma"/>
      <w:sz w:val="16"/>
      <w:szCs w:val="16"/>
      <w:lang w:val="x-none"/>
    </w:rPr>
  </w:style>
  <w:style w:type="character" w:customStyle="1" w:styleId="BalloonTextChar">
    <w:name w:val="Balloon Text Char"/>
    <w:link w:val="BalloonText"/>
    <w:rsid w:val="006743E9"/>
    <w:rPr>
      <w:rFonts w:ascii="Tahoma" w:hAnsi="Tahoma" w:cs="Tahoma"/>
      <w:sz w:val="16"/>
      <w:szCs w:val="16"/>
      <w:lang w:eastAsia="en-US"/>
    </w:rPr>
  </w:style>
  <w:style w:type="character" w:customStyle="1" w:styleId="sb8d990e2">
    <w:name w:val="sb8d990e2"/>
    <w:rsid w:val="001A09DE"/>
  </w:style>
  <w:style w:type="character" w:customStyle="1" w:styleId="SingleTxtGChar">
    <w:name w:val="_ Single Txt_G Char"/>
    <w:link w:val="SingleTxtG"/>
    <w:rsid w:val="003134AC"/>
    <w:rPr>
      <w:lang w:eastAsia="en-US"/>
    </w:rPr>
  </w:style>
  <w:style w:type="character" w:styleId="CommentReference">
    <w:name w:val="annotation reference"/>
    <w:rsid w:val="00824FE2"/>
    <w:rPr>
      <w:sz w:val="16"/>
      <w:szCs w:val="16"/>
    </w:rPr>
  </w:style>
  <w:style w:type="paragraph" w:styleId="CommentText">
    <w:name w:val="annotation text"/>
    <w:basedOn w:val="Normal"/>
    <w:link w:val="CommentTextChar"/>
    <w:rsid w:val="00824FE2"/>
    <w:rPr>
      <w:lang w:val="x-none"/>
    </w:rPr>
  </w:style>
  <w:style w:type="character" w:customStyle="1" w:styleId="CommentTextChar">
    <w:name w:val="Comment Text Char"/>
    <w:link w:val="CommentText"/>
    <w:rsid w:val="00824FE2"/>
    <w:rPr>
      <w:lang w:eastAsia="en-US"/>
    </w:rPr>
  </w:style>
  <w:style w:type="paragraph" w:styleId="CommentSubject">
    <w:name w:val="annotation subject"/>
    <w:basedOn w:val="CommentText"/>
    <w:next w:val="CommentText"/>
    <w:link w:val="CommentSubjectChar"/>
    <w:rsid w:val="00824FE2"/>
    <w:rPr>
      <w:b/>
      <w:bCs/>
    </w:rPr>
  </w:style>
  <w:style w:type="character" w:customStyle="1" w:styleId="CommentSubjectChar">
    <w:name w:val="Comment Subject Char"/>
    <w:link w:val="CommentSubject"/>
    <w:rsid w:val="00824FE2"/>
    <w:rPr>
      <w:b/>
      <w:bCs/>
      <w:lang w:eastAsia="en-US"/>
    </w:rPr>
  </w:style>
  <w:style w:type="paragraph" w:customStyle="1" w:styleId="ColorfulShading-Accent11">
    <w:name w:val="Colorful Shading - Accent 11"/>
    <w:hidden/>
    <w:uiPriority w:val="99"/>
    <w:semiHidden/>
    <w:rsid w:val="00BB26BD"/>
    <w:rPr>
      <w:lang w:eastAsia="en-US"/>
    </w:rPr>
  </w:style>
  <w:style w:type="paragraph" w:styleId="Revision">
    <w:name w:val="Revision"/>
    <w:hidden/>
    <w:uiPriority w:val="99"/>
    <w:semiHidden/>
    <w:rsid w:val="00597A17"/>
    <w:rPr>
      <w:lang w:eastAsia="en-US"/>
    </w:rPr>
  </w:style>
  <w:style w:type="paragraph" w:styleId="ListParagraph">
    <w:name w:val="List Paragraph"/>
    <w:basedOn w:val="Normal"/>
    <w:uiPriority w:val="34"/>
    <w:qFormat/>
    <w:rsid w:val="009D3C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47236">
      <w:bodyDiv w:val="1"/>
      <w:marLeft w:val="0"/>
      <w:marRight w:val="0"/>
      <w:marTop w:val="0"/>
      <w:marBottom w:val="0"/>
      <w:divBdr>
        <w:top w:val="none" w:sz="0" w:space="0" w:color="auto"/>
        <w:left w:val="none" w:sz="0" w:space="0" w:color="auto"/>
        <w:bottom w:val="none" w:sz="0" w:space="0" w:color="auto"/>
        <w:right w:val="none" w:sz="0" w:space="0" w:color="auto"/>
      </w:divBdr>
    </w:div>
    <w:div w:id="180440984">
      <w:bodyDiv w:val="1"/>
      <w:marLeft w:val="0"/>
      <w:marRight w:val="0"/>
      <w:marTop w:val="0"/>
      <w:marBottom w:val="0"/>
      <w:divBdr>
        <w:top w:val="none" w:sz="0" w:space="0" w:color="auto"/>
        <w:left w:val="none" w:sz="0" w:space="0" w:color="auto"/>
        <w:bottom w:val="none" w:sz="0" w:space="0" w:color="auto"/>
        <w:right w:val="none" w:sz="0" w:space="0" w:color="auto"/>
      </w:divBdr>
    </w:div>
    <w:div w:id="257325199">
      <w:bodyDiv w:val="1"/>
      <w:marLeft w:val="0"/>
      <w:marRight w:val="0"/>
      <w:marTop w:val="0"/>
      <w:marBottom w:val="0"/>
      <w:divBdr>
        <w:top w:val="none" w:sz="0" w:space="0" w:color="auto"/>
        <w:left w:val="none" w:sz="0" w:space="0" w:color="auto"/>
        <w:bottom w:val="none" w:sz="0" w:space="0" w:color="auto"/>
        <w:right w:val="none" w:sz="0" w:space="0" w:color="auto"/>
      </w:divBdr>
    </w:div>
    <w:div w:id="261882214">
      <w:bodyDiv w:val="1"/>
      <w:marLeft w:val="0"/>
      <w:marRight w:val="0"/>
      <w:marTop w:val="0"/>
      <w:marBottom w:val="0"/>
      <w:divBdr>
        <w:top w:val="none" w:sz="0" w:space="0" w:color="auto"/>
        <w:left w:val="none" w:sz="0" w:space="0" w:color="auto"/>
        <w:bottom w:val="none" w:sz="0" w:space="0" w:color="auto"/>
        <w:right w:val="none" w:sz="0" w:space="0" w:color="auto"/>
      </w:divBdr>
    </w:div>
    <w:div w:id="399137938">
      <w:bodyDiv w:val="1"/>
      <w:marLeft w:val="0"/>
      <w:marRight w:val="0"/>
      <w:marTop w:val="0"/>
      <w:marBottom w:val="0"/>
      <w:divBdr>
        <w:top w:val="none" w:sz="0" w:space="0" w:color="auto"/>
        <w:left w:val="none" w:sz="0" w:space="0" w:color="auto"/>
        <w:bottom w:val="none" w:sz="0" w:space="0" w:color="auto"/>
        <w:right w:val="none" w:sz="0" w:space="0" w:color="auto"/>
      </w:divBdr>
    </w:div>
    <w:div w:id="411247176">
      <w:bodyDiv w:val="1"/>
      <w:marLeft w:val="0"/>
      <w:marRight w:val="0"/>
      <w:marTop w:val="0"/>
      <w:marBottom w:val="0"/>
      <w:divBdr>
        <w:top w:val="none" w:sz="0" w:space="0" w:color="auto"/>
        <w:left w:val="none" w:sz="0" w:space="0" w:color="auto"/>
        <w:bottom w:val="none" w:sz="0" w:space="0" w:color="auto"/>
        <w:right w:val="none" w:sz="0" w:space="0" w:color="auto"/>
      </w:divBdr>
    </w:div>
    <w:div w:id="463816528">
      <w:bodyDiv w:val="1"/>
      <w:marLeft w:val="0"/>
      <w:marRight w:val="0"/>
      <w:marTop w:val="0"/>
      <w:marBottom w:val="0"/>
      <w:divBdr>
        <w:top w:val="none" w:sz="0" w:space="0" w:color="auto"/>
        <w:left w:val="none" w:sz="0" w:space="0" w:color="auto"/>
        <w:bottom w:val="none" w:sz="0" w:space="0" w:color="auto"/>
        <w:right w:val="none" w:sz="0" w:space="0" w:color="auto"/>
      </w:divBdr>
    </w:div>
    <w:div w:id="524637426">
      <w:bodyDiv w:val="1"/>
      <w:marLeft w:val="0"/>
      <w:marRight w:val="0"/>
      <w:marTop w:val="0"/>
      <w:marBottom w:val="0"/>
      <w:divBdr>
        <w:top w:val="none" w:sz="0" w:space="0" w:color="auto"/>
        <w:left w:val="none" w:sz="0" w:space="0" w:color="auto"/>
        <w:bottom w:val="none" w:sz="0" w:space="0" w:color="auto"/>
        <w:right w:val="none" w:sz="0" w:space="0" w:color="auto"/>
      </w:divBdr>
    </w:div>
    <w:div w:id="599604541">
      <w:bodyDiv w:val="1"/>
      <w:marLeft w:val="0"/>
      <w:marRight w:val="0"/>
      <w:marTop w:val="0"/>
      <w:marBottom w:val="0"/>
      <w:divBdr>
        <w:top w:val="none" w:sz="0" w:space="0" w:color="auto"/>
        <w:left w:val="none" w:sz="0" w:space="0" w:color="auto"/>
        <w:bottom w:val="none" w:sz="0" w:space="0" w:color="auto"/>
        <w:right w:val="none" w:sz="0" w:space="0" w:color="auto"/>
      </w:divBdr>
    </w:div>
    <w:div w:id="698431879">
      <w:bodyDiv w:val="1"/>
      <w:marLeft w:val="0"/>
      <w:marRight w:val="0"/>
      <w:marTop w:val="0"/>
      <w:marBottom w:val="0"/>
      <w:divBdr>
        <w:top w:val="none" w:sz="0" w:space="0" w:color="auto"/>
        <w:left w:val="none" w:sz="0" w:space="0" w:color="auto"/>
        <w:bottom w:val="none" w:sz="0" w:space="0" w:color="auto"/>
        <w:right w:val="none" w:sz="0" w:space="0" w:color="auto"/>
      </w:divBdr>
    </w:div>
    <w:div w:id="849757263">
      <w:bodyDiv w:val="1"/>
      <w:marLeft w:val="0"/>
      <w:marRight w:val="0"/>
      <w:marTop w:val="0"/>
      <w:marBottom w:val="0"/>
      <w:divBdr>
        <w:top w:val="none" w:sz="0" w:space="0" w:color="auto"/>
        <w:left w:val="none" w:sz="0" w:space="0" w:color="auto"/>
        <w:bottom w:val="none" w:sz="0" w:space="0" w:color="auto"/>
        <w:right w:val="none" w:sz="0" w:space="0" w:color="auto"/>
      </w:divBdr>
    </w:div>
    <w:div w:id="932130737">
      <w:bodyDiv w:val="1"/>
      <w:marLeft w:val="0"/>
      <w:marRight w:val="0"/>
      <w:marTop w:val="0"/>
      <w:marBottom w:val="0"/>
      <w:divBdr>
        <w:top w:val="none" w:sz="0" w:space="0" w:color="auto"/>
        <w:left w:val="none" w:sz="0" w:space="0" w:color="auto"/>
        <w:bottom w:val="none" w:sz="0" w:space="0" w:color="auto"/>
        <w:right w:val="none" w:sz="0" w:space="0" w:color="auto"/>
      </w:divBdr>
    </w:div>
    <w:div w:id="948706033">
      <w:bodyDiv w:val="1"/>
      <w:marLeft w:val="0"/>
      <w:marRight w:val="0"/>
      <w:marTop w:val="0"/>
      <w:marBottom w:val="0"/>
      <w:divBdr>
        <w:top w:val="none" w:sz="0" w:space="0" w:color="auto"/>
        <w:left w:val="none" w:sz="0" w:space="0" w:color="auto"/>
        <w:bottom w:val="none" w:sz="0" w:space="0" w:color="auto"/>
        <w:right w:val="none" w:sz="0" w:space="0" w:color="auto"/>
      </w:divBdr>
    </w:div>
    <w:div w:id="1454205690">
      <w:bodyDiv w:val="1"/>
      <w:marLeft w:val="0"/>
      <w:marRight w:val="0"/>
      <w:marTop w:val="0"/>
      <w:marBottom w:val="0"/>
      <w:divBdr>
        <w:top w:val="none" w:sz="0" w:space="0" w:color="auto"/>
        <w:left w:val="none" w:sz="0" w:space="0" w:color="auto"/>
        <w:bottom w:val="none" w:sz="0" w:space="0" w:color="auto"/>
        <w:right w:val="none" w:sz="0" w:space="0" w:color="auto"/>
      </w:divBdr>
    </w:div>
    <w:div w:id="1561867311">
      <w:bodyDiv w:val="1"/>
      <w:marLeft w:val="0"/>
      <w:marRight w:val="0"/>
      <w:marTop w:val="0"/>
      <w:marBottom w:val="0"/>
      <w:divBdr>
        <w:top w:val="none" w:sz="0" w:space="0" w:color="auto"/>
        <w:left w:val="none" w:sz="0" w:space="0" w:color="auto"/>
        <w:bottom w:val="none" w:sz="0" w:space="0" w:color="auto"/>
        <w:right w:val="none" w:sz="0" w:space="0" w:color="auto"/>
      </w:divBdr>
    </w:div>
    <w:div w:id="162211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1.wmf"/><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D:\UN%20Docs%202010\CCPR_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6F9AA-D162-4B55-9AFA-9396C0618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CCPR_E</Template>
  <TotalTime>0</TotalTime>
  <Pages>7</Pages>
  <Words>5798</Words>
  <Characters>33049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38770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creator>Lukas Machon</dc:creator>
  <cp:lastModifiedBy>Sarah Willig</cp:lastModifiedBy>
  <cp:revision>2</cp:revision>
  <cp:lastPrinted>2015-09-09T09:29:00Z</cp:lastPrinted>
  <dcterms:created xsi:type="dcterms:W3CDTF">2017-01-24T21:29:00Z</dcterms:created>
  <dcterms:modified xsi:type="dcterms:W3CDTF">2017-01-24T21:29:00Z</dcterms:modified>
</cp:coreProperties>
</file>