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14:paraId="77C446D8" w14:textId="77777777">
        <w:trPr>
          <w:cantSplit/>
          <w:trHeight w:hRule="exact" w:val="851"/>
        </w:trPr>
        <w:tc>
          <w:tcPr>
            <w:tcW w:w="1276" w:type="dxa"/>
            <w:tcBorders>
              <w:bottom w:val="single" w:sz="4" w:space="0" w:color="auto"/>
            </w:tcBorders>
            <w:vAlign w:val="bottom"/>
          </w:tcPr>
          <w:p w14:paraId="604B7C79" w14:textId="77777777" w:rsidR="003521FD" w:rsidRPr="006970B0" w:rsidRDefault="006970B0" w:rsidP="006970B0">
            <w:pPr>
              <w:spacing w:line="20" w:lineRule="exact"/>
              <w:rPr>
                <w:sz w:val="2"/>
              </w:rPr>
            </w:pPr>
            <w:r>
              <w:rPr>
                <w:rStyle w:val="CommentReference"/>
              </w:rPr>
              <w:commentReference w:id="0"/>
            </w:r>
            <w:bookmarkStart w:id="1" w:name="_GoBack"/>
            <w:bookmarkEnd w:id="1"/>
          </w:p>
          <w:p w14:paraId="4AF31B0D" w14:textId="77777777" w:rsidR="006970B0" w:rsidRDefault="006970B0" w:rsidP="003521FD">
            <w:pPr>
              <w:spacing w:after="80"/>
            </w:pPr>
          </w:p>
        </w:tc>
        <w:tc>
          <w:tcPr>
            <w:tcW w:w="2268" w:type="dxa"/>
            <w:tcBorders>
              <w:bottom w:val="single" w:sz="4" w:space="0" w:color="auto"/>
            </w:tcBorders>
            <w:vAlign w:val="bottom"/>
          </w:tcPr>
          <w:p w14:paraId="6B61AD8B" w14:textId="77777777" w:rsidR="003521FD" w:rsidRPr="00B97172" w:rsidRDefault="003521FD" w:rsidP="003521FD">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D4B95F3" w14:textId="77777777" w:rsidR="003521FD" w:rsidRPr="00D47EEA" w:rsidRDefault="003521FD" w:rsidP="00F1755C">
            <w:pPr>
              <w:jc w:val="right"/>
            </w:pPr>
            <w:r w:rsidRPr="00A36331">
              <w:rPr>
                <w:sz w:val="40"/>
              </w:rPr>
              <w:t>CCPR</w:t>
            </w:r>
            <w:r>
              <w:t>/C/</w:t>
            </w:r>
            <w:r w:rsidR="00BB4732">
              <w:t>114</w:t>
            </w:r>
            <w:r>
              <w:t>/D/</w:t>
            </w:r>
            <w:r w:rsidR="00BB4732">
              <w:t>2426/2014</w:t>
            </w:r>
          </w:p>
        </w:tc>
      </w:tr>
      <w:tr w:rsidR="003521FD" w14:paraId="21182E1B" w14:textId="77777777">
        <w:trPr>
          <w:cantSplit/>
          <w:trHeight w:hRule="exact" w:val="2835"/>
        </w:trPr>
        <w:tc>
          <w:tcPr>
            <w:tcW w:w="1276" w:type="dxa"/>
            <w:tcBorders>
              <w:top w:val="single" w:sz="4" w:space="0" w:color="auto"/>
              <w:bottom w:val="single" w:sz="12" w:space="0" w:color="auto"/>
            </w:tcBorders>
          </w:tcPr>
          <w:p w14:paraId="3FDEB5D1" w14:textId="77777777" w:rsidR="003521FD" w:rsidRDefault="00415A41" w:rsidP="003521FD">
            <w:pPr>
              <w:spacing w:before="120"/>
            </w:pPr>
            <w:r>
              <w:rPr>
                <w:noProof/>
                <w:lang w:val="en-US"/>
              </w:rPr>
              <w:drawing>
                <wp:inline distT="0" distB="0" distL="0" distR="0" wp14:anchorId="667FAB30" wp14:editId="4AD738F6">
                  <wp:extent cx="713105" cy="597535"/>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105" cy="59753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DF1FBC0" w14:textId="77777777" w:rsidR="003521FD" w:rsidRDefault="003521FD" w:rsidP="003521FD">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2753D303" w14:textId="77777777" w:rsidR="00F1755C" w:rsidRPr="00267F5F" w:rsidRDefault="00F1755C" w:rsidP="003521FD">
            <w:pPr>
              <w:spacing w:before="120" w:line="380" w:lineRule="exact"/>
              <w:rPr>
                <w:sz w:val="34"/>
              </w:rPr>
            </w:pPr>
          </w:p>
        </w:tc>
        <w:tc>
          <w:tcPr>
            <w:tcW w:w="2835" w:type="dxa"/>
            <w:tcBorders>
              <w:top w:val="single" w:sz="4" w:space="0" w:color="auto"/>
              <w:bottom w:val="single" w:sz="12" w:space="0" w:color="auto"/>
            </w:tcBorders>
          </w:tcPr>
          <w:p w14:paraId="55D2E0E5" w14:textId="77777777" w:rsidR="002B4351" w:rsidRPr="00234522" w:rsidRDefault="002B4351" w:rsidP="002B4351">
            <w:pPr>
              <w:spacing w:before="240" w:line="240" w:lineRule="exact"/>
            </w:pPr>
            <w:r>
              <w:t xml:space="preserve">Distr.: </w:t>
            </w:r>
            <w:r w:rsidR="00F1755C" w:rsidRPr="00234522">
              <w:t>General</w:t>
            </w:r>
          </w:p>
          <w:p w14:paraId="160AA3FC" w14:textId="77777777" w:rsidR="002B4351" w:rsidRPr="00234522" w:rsidRDefault="005923D4" w:rsidP="00E914E2">
            <w:pPr>
              <w:spacing w:line="240" w:lineRule="exact"/>
            </w:pPr>
            <w:r w:rsidRPr="00234522">
              <w:t>2</w:t>
            </w:r>
            <w:r w:rsidR="00234522" w:rsidRPr="00234522">
              <w:t>7</w:t>
            </w:r>
            <w:r w:rsidR="00F1755C" w:rsidRPr="00234522">
              <w:t xml:space="preserve"> August</w:t>
            </w:r>
            <w:r w:rsidR="002B4351" w:rsidRPr="00234522">
              <w:t xml:space="preserve"> 2015</w:t>
            </w:r>
          </w:p>
          <w:p w14:paraId="3141B884" w14:textId="77777777" w:rsidR="002B4351" w:rsidRPr="00234522" w:rsidRDefault="002B4351" w:rsidP="002B4351">
            <w:pPr>
              <w:spacing w:line="240" w:lineRule="exact"/>
            </w:pPr>
          </w:p>
          <w:p w14:paraId="41505BBF" w14:textId="77777777" w:rsidR="002B4351" w:rsidRDefault="002B4351" w:rsidP="002B4351">
            <w:pPr>
              <w:spacing w:line="240" w:lineRule="exact"/>
            </w:pPr>
            <w:r w:rsidRPr="00234522">
              <w:t>Original: English</w:t>
            </w:r>
          </w:p>
          <w:p w14:paraId="42DC8647" w14:textId="77777777" w:rsidR="003521FD" w:rsidRDefault="003521FD" w:rsidP="002B4351">
            <w:pPr>
              <w:spacing w:line="240" w:lineRule="exact"/>
            </w:pPr>
          </w:p>
        </w:tc>
      </w:tr>
    </w:tbl>
    <w:p w14:paraId="37AD9342" w14:textId="77777777" w:rsidR="002B4351" w:rsidRPr="008216A5" w:rsidRDefault="002B4351" w:rsidP="00465480">
      <w:pPr>
        <w:spacing w:before="120"/>
        <w:rPr>
          <w:bCs/>
          <w:lang w:val="en-US"/>
        </w:rPr>
      </w:pPr>
      <w:r w:rsidRPr="008216A5">
        <w:rPr>
          <w:b/>
          <w:sz w:val="24"/>
          <w:szCs w:val="24"/>
          <w:lang w:val="en-US"/>
        </w:rPr>
        <w:t>Human Rights Committee</w:t>
      </w:r>
    </w:p>
    <w:p w14:paraId="18F70F77" w14:textId="77777777" w:rsidR="003521FD" w:rsidRPr="00A36331" w:rsidRDefault="003521FD" w:rsidP="003521FD">
      <w:pPr>
        <w:pStyle w:val="HChG"/>
      </w:pPr>
      <w:r w:rsidRPr="00A36331">
        <w:tab/>
      </w:r>
      <w:r w:rsidRPr="00A36331">
        <w:tab/>
        <w:t xml:space="preserve">Communication No. </w:t>
      </w:r>
      <w:r w:rsidR="00D27EA6">
        <w:t>2426/2014</w:t>
      </w:r>
    </w:p>
    <w:p w14:paraId="5918FC74" w14:textId="77777777" w:rsidR="003521FD" w:rsidRPr="00A36331" w:rsidRDefault="003521FD" w:rsidP="003521FD">
      <w:pPr>
        <w:pStyle w:val="H1G"/>
      </w:pPr>
      <w:r w:rsidRPr="00A36331">
        <w:tab/>
      </w:r>
      <w:r w:rsidRPr="00A36331">
        <w:tab/>
      </w:r>
      <w:r w:rsidR="006433C7">
        <w:t>Decision adopted by the Committee at its 114</w:t>
      </w:r>
      <w:r w:rsidR="006433C7" w:rsidRPr="005B15B9">
        <w:t>th</w:t>
      </w:r>
      <w:r w:rsidR="006433C7">
        <w:t xml:space="preserve"> session </w:t>
      </w:r>
      <w:r w:rsidR="006433C7">
        <w:br/>
        <w:t>(</w:t>
      </w:r>
      <w:r w:rsidR="006433C7">
        <w:rPr>
          <w:bCs/>
          <w:lang w:val="en-US"/>
        </w:rPr>
        <w:t>29 June–24 July 2015)</w:t>
      </w:r>
    </w:p>
    <w:p w14:paraId="2E99DF22" w14:textId="77777777" w:rsidR="003521FD" w:rsidRPr="00A36331" w:rsidRDefault="003521FD" w:rsidP="005B15B9">
      <w:pPr>
        <w:pStyle w:val="SingleTxtG"/>
        <w:ind w:left="4536" w:hanging="3402"/>
        <w:jc w:val="left"/>
      </w:pPr>
      <w:r w:rsidRPr="00A36331">
        <w:rPr>
          <w:i/>
        </w:rPr>
        <w:t>Submitted by:</w:t>
      </w:r>
      <w:r w:rsidRPr="00A36331">
        <w:tab/>
      </w:r>
      <w:r w:rsidR="00F24FA2">
        <w:t>N</w:t>
      </w:r>
      <w:r w:rsidR="00F71FEB">
        <w:t xml:space="preserve"> (</w:t>
      </w:r>
      <w:r w:rsidRPr="00A36331">
        <w:t>represented by</w:t>
      </w:r>
      <w:r w:rsidR="00D27EA6">
        <w:t xml:space="preserve"> Helle Holm Thomsen</w:t>
      </w:r>
      <w:r w:rsidRPr="00A36331">
        <w:t>)</w:t>
      </w:r>
    </w:p>
    <w:p w14:paraId="6011F1E4" w14:textId="77777777" w:rsidR="003521FD" w:rsidRPr="00A36331" w:rsidRDefault="003521FD" w:rsidP="005B15B9">
      <w:pPr>
        <w:pStyle w:val="SingleTxtG"/>
        <w:ind w:left="4536" w:hanging="3402"/>
        <w:jc w:val="left"/>
      </w:pPr>
      <w:r w:rsidRPr="00A36331">
        <w:rPr>
          <w:i/>
        </w:rPr>
        <w:t>Alleged victim:</w:t>
      </w:r>
      <w:r w:rsidRPr="00A36331">
        <w:tab/>
      </w:r>
      <w:r>
        <w:t>Th</w:t>
      </w:r>
      <w:r w:rsidR="00F71FEB">
        <w:t>e author</w:t>
      </w:r>
    </w:p>
    <w:p w14:paraId="2B79B02A" w14:textId="77777777" w:rsidR="003521FD" w:rsidRPr="00A36331" w:rsidRDefault="003521FD" w:rsidP="005B15B9">
      <w:pPr>
        <w:pStyle w:val="SingleTxtG"/>
        <w:ind w:left="4536" w:hanging="3402"/>
        <w:jc w:val="left"/>
        <w:rPr>
          <w:lang w:val="en-US"/>
        </w:rPr>
      </w:pPr>
      <w:r w:rsidRPr="00A36331">
        <w:rPr>
          <w:i/>
        </w:rPr>
        <w:t xml:space="preserve">State </w:t>
      </w:r>
      <w:r w:rsidR="004B5385">
        <w:rPr>
          <w:i/>
        </w:rPr>
        <w:t>p</w:t>
      </w:r>
      <w:r w:rsidRPr="00A36331">
        <w:rPr>
          <w:i/>
        </w:rPr>
        <w:t>arty:</w:t>
      </w:r>
      <w:r w:rsidRPr="00A36331">
        <w:tab/>
      </w:r>
      <w:r w:rsidR="00D27EA6">
        <w:t>Denmark</w:t>
      </w:r>
    </w:p>
    <w:p w14:paraId="76680A28" w14:textId="77777777" w:rsidR="003521FD" w:rsidRPr="00A36331" w:rsidRDefault="003521FD" w:rsidP="005B15B9">
      <w:pPr>
        <w:pStyle w:val="SingleTxtG"/>
        <w:ind w:left="4536" w:hanging="3402"/>
        <w:jc w:val="left"/>
      </w:pPr>
      <w:r w:rsidRPr="00A36331">
        <w:rPr>
          <w:i/>
        </w:rPr>
        <w:t>Date of communication:</w:t>
      </w:r>
      <w:r w:rsidRPr="00A36331">
        <w:tab/>
      </w:r>
      <w:r w:rsidR="00D27EA6">
        <w:t>13 June 2014</w:t>
      </w:r>
    </w:p>
    <w:p w14:paraId="105A84A4" w14:textId="77777777" w:rsidR="003521FD" w:rsidRPr="00A36331" w:rsidRDefault="003521FD" w:rsidP="005B15B9">
      <w:pPr>
        <w:pStyle w:val="SingleTxtG"/>
        <w:ind w:left="4536" w:hanging="3402"/>
        <w:jc w:val="left"/>
      </w:pPr>
      <w:r w:rsidRPr="00A36331">
        <w:rPr>
          <w:i/>
        </w:rPr>
        <w:t>Document references:</w:t>
      </w:r>
      <w:r w:rsidRPr="00A36331">
        <w:tab/>
        <w:t xml:space="preserve">Special Rapporteur’s </w:t>
      </w:r>
      <w:r w:rsidR="00583A0D" w:rsidRPr="00583A0D">
        <w:t xml:space="preserve">decision under </w:t>
      </w:r>
      <w:r w:rsidRPr="00583A0D">
        <w:t>rule</w:t>
      </w:r>
      <w:r w:rsidR="00BE03E7" w:rsidRPr="00583A0D">
        <w:t>s 92 and</w:t>
      </w:r>
      <w:r w:rsidRPr="00583A0D">
        <w:t xml:space="preserve"> 97, transmitted to the State party on </w:t>
      </w:r>
      <w:r w:rsidR="00D27EA6" w:rsidRPr="00583A0D">
        <w:t>16 June 2014</w:t>
      </w:r>
      <w:r w:rsidRPr="00583A0D">
        <w:t xml:space="preserve"> (not issued in document</w:t>
      </w:r>
      <w:r w:rsidRPr="00A36331">
        <w:t xml:space="preserve"> form)</w:t>
      </w:r>
    </w:p>
    <w:p w14:paraId="7B9F2E76" w14:textId="77777777" w:rsidR="003521FD" w:rsidRDefault="003521FD" w:rsidP="005B15B9">
      <w:pPr>
        <w:pStyle w:val="SingleTxtG"/>
        <w:ind w:left="4536" w:hanging="3402"/>
        <w:jc w:val="left"/>
      </w:pPr>
      <w:r w:rsidRPr="00A36331">
        <w:rPr>
          <w:i/>
        </w:rPr>
        <w:t xml:space="preserve">Date of adoption of </w:t>
      </w:r>
      <w:r w:rsidR="00F1755C">
        <w:rPr>
          <w:i/>
        </w:rPr>
        <w:t>decision</w:t>
      </w:r>
      <w:r w:rsidRPr="00A36331">
        <w:rPr>
          <w:i/>
        </w:rPr>
        <w:t>:</w:t>
      </w:r>
      <w:r w:rsidRPr="00A36331">
        <w:tab/>
      </w:r>
      <w:r w:rsidR="00F1755C">
        <w:t xml:space="preserve">23 </w:t>
      </w:r>
      <w:r w:rsidR="00D27EA6">
        <w:t>July 2015</w:t>
      </w:r>
    </w:p>
    <w:p w14:paraId="24C66F7D" w14:textId="77777777" w:rsidR="003521FD" w:rsidRPr="00F655CA" w:rsidRDefault="004D0D40" w:rsidP="005B15B9">
      <w:pPr>
        <w:pStyle w:val="SingleTxtG"/>
        <w:ind w:left="4536" w:hanging="3402"/>
        <w:jc w:val="left"/>
      </w:pPr>
      <w:r w:rsidRPr="00F655CA">
        <w:rPr>
          <w:i/>
          <w:iCs/>
        </w:rPr>
        <w:t xml:space="preserve">Subject matter: </w:t>
      </w:r>
      <w:r w:rsidRPr="00F655CA">
        <w:rPr>
          <w:i/>
          <w:iCs/>
        </w:rPr>
        <w:tab/>
      </w:r>
      <w:r w:rsidRPr="00F655CA">
        <w:rPr>
          <w:iCs/>
        </w:rPr>
        <w:t>Expulsion of the author to his country of origin</w:t>
      </w:r>
      <w:r w:rsidR="00B3389D" w:rsidRPr="00F655CA">
        <w:rPr>
          <w:iCs/>
        </w:rPr>
        <w:t xml:space="preserve"> </w:t>
      </w:r>
    </w:p>
    <w:p w14:paraId="6BAFC362" w14:textId="77777777" w:rsidR="00B3389D" w:rsidRPr="00F655CA" w:rsidRDefault="003521FD" w:rsidP="005B15B9">
      <w:pPr>
        <w:pStyle w:val="SingleTxtG"/>
        <w:ind w:left="4536" w:hanging="3402"/>
        <w:jc w:val="left"/>
        <w:rPr>
          <w:lang w:val="en-US"/>
        </w:rPr>
      </w:pPr>
      <w:r w:rsidRPr="00F655CA">
        <w:rPr>
          <w:i/>
          <w:iCs/>
          <w:lang w:val="en-US"/>
        </w:rPr>
        <w:t>Procedural issues</w:t>
      </w:r>
      <w:r w:rsidRPr="00F655CA">
        <w:rPr>
          <w:lang w:val="en-US"/>
        </w:rPr>
        <w:t xml:space="preserve">: </w:t>
      </w:r>
      <w:r w:rsidRPr="00F655CA">
        <w:rPr>
          <w:lang w:val="en-US"/>
        </w:rPr>
        <w:tab/>
        <w:t>Level of substantiation of claims</w:t>
      </w:r>
    </w:p>
    <w:p w14:paraId="50E7708D" w14:textId="77777777" w:rsidR="003521FD" w:rsidRPr="00F655CA" w:rsidRDefault="003521FD" w:rsidP="005B15B9">
      <w:pPr>
        <w:pStyle w:val="SingleTxtG"/>
        <w:ind w:left="4536" w:hanging="3402"/>
        <w:jc w:val="left"/>
        <w:rPr>
          <w:lang w:val="en-US"/>
        </w:rPr>
      </w:pPr>
      <w:r w:rsidRPr="00F655CA">
        <w:rPr>
          <w:i/>
          <w:lang w:val="en-US"/>
        </w:rPr>
        <w:t>Substantive issues:</w:t>
      </w:r>
      <w:r w:rsidRPr="00F655CA">
        <w:rPr>
          <w:i/>
          <w:lang w:val="en-US"/>
        </w:rPr>
        <w:tab/>
      </w:r>
      <w:r w:rsidR="00D27EA6">
        <w:rPr>
          <w:lang w:val="en-US"/>
        </w:rPr>
        <w:t>Prohibition of torture or cruel, inhuman or degrading treatment or punishment</w:t>
      </w:r>
    </w:p>
    <w:p w14:paraId="59D5A511" w14:textId="77777777" w:rsidR="003521FD" w:rsidRPr="00F655CA" w:rsidRDefault="003521FD" w:rsidP="005B15B9">
      <w:pPr>
        <w:pStyle w:val="SingleTxtG"/>
        <w:ind w:left="4536" w:hanging="3402"/>
        <w:jc w:val="left"/>
      </w:pPr>
      <w:r w:rsidRPr="00F655CA">
        <w:rPr>
          <w:i/>
          <w:iCs/>
        </w:rPr>
        <w:t>Articles of the Covenant:</w:t>
      </w:r>
      <w:r w:rsidR="00656E83">
        <w:rPr>
          <w:i/>
          <w:iCs/>
        </w:rPr>
        <w:t xml:space="preserve"> </w:t>
      </w:r>
      <w:r w:rsidRPr="00F655CA">
        <w:rPr>
          <w:i/>
          <w:iCs/>
        </w:rPr>
        <w:tab/>
      </w:r>
      <w:r w:rsidR="00B3389D" w:rsidRPr="00F655CA">
        <w:rPr>
          <w:iCs/>
        </w:rPr>
        <w:t>7</w:t>
      </w:r>
    </w:p>
    <w:p w14:paraId="742A60D4" w14:textId="77777777" w:rsidR="003521FD" w:rsidRPr="00F655CA" w:rsidRDefault="003521FD" w:rsidP="005B15B9">
      <w:pPr>
        <w:pStyle w:val="SingleTxtG"/>
        <w:ind w:left="4536" w:hanging="3402"/>
        <w:jc w:val="left"/>
      </w:pPr>
      <w:r w:rsidRPr="00F655CA">
        <w:rPr>
          <w:i/>
          <w:iCs/>
        </w:rPr>
        <w:t xml:space="preserve">Articles of the Optional Protocol: </w:t>
      </w:r>
      <w:r w:rsidRPr="00F655CA">
        <w:rPr>
          <w:i/>
          <w:iCs/>
        </w:rPr>
        <w:tab/>
      </w:r>
      <w:r w:rsidRPr="00F655CA">
        <w:t xml:space="preserve">2 </w:t>
      </w:r>
    </w:p>
    <w:p w14:paraId="18D19530" w14:textId="77777777" w:rsidR="003521FD" w:rsidRPr="00A36331" w:rsidRDefault="003521FD" w:rsidP="003521FD">
      <w:pPr>
        <w:pStyle w:val="HChG"/>
      </w:pPr>
      <w:r w:rsidRPr="00A36331">
        <w:br w:type="page"/>
      </w:r>
      <w:r w:rsidRPr="00A36331">
        <w:lastRenderedPageBreak/>
        <w:t>Annex</w:t>
      </w:r>
    </w:p>
    <w:p w14:paraId="3B5502C4" w14:textId="77777777" w:rsidR="003521FD" w:rsidRPr="00A36331" w:rsidRDefault="003521FD" w:rsidP="003521FD">
      <w:pPr>
        <w:pStyle w:val="HChG"/>
        <w:rPr>
          <w:bCs/>
        </w:rPr>
      </w:pPr>
      <w:r w:rsidRPr="00A36331">
        <w:tab/>
      </w:r>
      <w:r w:rsidRPr="00A36331">
        <w:tab/>
      </w:r>
      <w:r>
        <w:t>Decision o</w:t>
      </w:r>
      <w:r w:rsidRPr="00A36331">
        <w:t>f the Human Rights Committee under the Optional Protocol to the International Covenant on</w:t>
      </w:r>
      <w:r>
        <w:t xml:space="preserve"> Civil and Political Rights (11</w:t>
      </w:r>
      <w:r w:rsidR="00D27EA6">
        <w:t>4</w:t>
      </w:r>
      <w:r w:rsidRPr="00A36331">
        <w:t xml:space="preserve">th </w:t>
      </w:r>
      <w:r w:rsidRPr="00A36331">
        <w:rPr>
          <w:bCs/>
        </w:rPr>
        <w:t>session)</w:t>
      </w:r>
    </w:p>
    <w:p w14:paraId="4757F91C" w14:textId="77777777" w:rsidR="003521FD" w:rsidRPr="00A36331" w:rsidRDefault="003521FD" w:rsidP="003521FD">
      <w:pPr>
        <w:pStyle w:val="SingleTxtG"/>
      </w:pPr>
      <w:r w:rsidRPr="00A36331">
        <w:t>concerning</w:t>
      </w:r>
    </w:p>
    <w:p w14:paraId="14FC9432" w14:textId="77777777" w:rsidR="003521FD" w:rsidRPr="00A36331" w:rsidRDefault="003521FD" w:rsidP="003521FD">
      <w:pPr>
        <w:pStyle w:val="H1G"/>
      </w:pPr>
      <w:r w:rsidRPr="00A36331">
        <w:tab/>
      </w:r>
      <w:r w:rsidRPr="00A36331">
        <w:tab/>
        <w:t>Communication No. </w:t>
      </w:r>
      <w:r w:rsidR="00BB4732">
        <w:t>2426/2014</w:t>
      </w:r>
      <w:r w:rsidR="00F1755C" w:rsidRPr="005B15B9">
        <w:rPr>
          <w:rStyle w:val="FootnoteReference"/>
          <w:rFonts w:eastAsia="Calibri"/>
          <w:b w:val="0"/>
          <w:bCs/>
          <w:sz w:val="20"/>
          <w:vertAlign w:val="baseline"/>
        </w:rPr>
        <w:footnoteReference w:customMarkFollows="1" w:id="2"/>
        <w:t>*</w:t>
      </w:r>
    </w:p>
    <w:p w14:paraId="38CE00A8" w14:textId="77777777" w:rsidR="003521FD" w:rsidRPr="00A36331" w:rsidRDefault="003521FD" w:rsidP="005B15B9">
      <w:pPr>
        <w:pStyle w:val="SingleTxtG"/>
        <w:ind w:left="4536" w:hanging="3402"/>
        <w:jc w:val="left"/>
      </w:pPr>
      <w:r w:rsidRPr="00A36331">
        <w:rPr>
          <w:i/>
        </w:rPr>
        <w:t>Submitted by:</w:t>
      </w:r>
      <w:r w:rsidRPr="00A36331">
        <w:tab/>
      </w:r>
      <w:r w:rsidRPr="00A36331">
        <w:tab/>
      </w:r>
      <w:r w:rsidR="00F24FA2">
        <w:t>N</w:t>
      </w:r>
      <w:r w:rsidR="00D27EA6">
        <w:t xml:space="preserve"> (</w:t>
      </w:r>
      <w:r w:rsidR="00D27EA6" w:rsidRPr="00A36331">
        <w:t>represented by</w:t>
      </w:r>
      <w:r w:rsidR="00D27EA6">
        <w:t xml:space="preserve"> Helle Holm Thomsen</w:t>
      </w:r>
      <w:r w:rsidR="00D27EA6" w:rsidRPr="00A36331">
        <w:t>)</w:t>
      </w:r>
    </w:p>
    <w:p w14:paraId="51FBF33D" w14:textId="77777777" w:rsidR="003521FD" w:rsidRPr="00A36331" w:rsidRDefault="003521FD" w:rsidP="005B15B9">
      <w:pPr>
        <w:pStyle w:val="SingleTxtG"/>
        <w:ind w:left="4536" w:hanging="3402"/>
        <w:jc w:val="left"/>
      </w:pPr>
      <w:r w:rsidRPr="00A36331">
        <w:rPr>
          <w:i/>
        </w:rPr>
        <w:t>Alleged victim:</w:t>
      </w:r>
      <w:r w:rsidRPr="00A36331">
        <w:tab/>
      </w:r>
      <w:r w:rsidR="00227516">
        <w:t>The author</w:t>
      </w:r>
    </w:p>
    <w:p w14:paraId="49AF4C91" w14:textId="77777777" w:rsidR="003521FD" w:rsidRPr="00A36331" w:rsidRDefault="003521FD" w:rsidP="005B15B9">
      <w:pPr>
        <w:pStyle w:val="SingleTxtG"/>
        <w:ind w:left="4536" w:hanging="3402"/>
        <w:jc w:val="left"/>
        <w:rPr>
          <w:lang w:val="en-US"/>
        </w:rPr>
      </w:pPr>
      <w:r w:rsidRPr="00A36331">
        <w:rPr>
          <w:i/>
        </w:rPr>
        <w:t xml:space="preserve">State </w:t>
      </w:r>
      <w:r w:rsidR="005367D8">
        <w:rPr>
          <w:i/>
        </w:rPr>
        <w:t>p</w:t>
      </w:r>
      <w:r w:rsidRPr="00A36331">
        <w:rPr>
          <w:i/>
        </w:rPr>
        <w:t>arty:</w:t>
      </w:r>
      <w:r w:rsidRPr="00A36331">
        <w:tab/>
      </w:r>
      <w:r w:rsidR="00D27EA6">
        <w:t>Denmark</w:t>
      </w:r>
    </w:p>
    <w:p w14:paraId="6519359C" w14:textId="77777777" w:rsidR="003521FD" w:rsidRPr="00A36331" w:rsidRDefault="003521FD" w:rsidP="005B15B9">
      <w:pPr>
        <w:pStyle w:val="SingleTxtG"/>
        <w:ind w:left="4536" w:hanging="3402"/>
        <w:jc w:val="left"/>
      </w:pPr>
      <w:r w:rsidRPr="00A36331">
        <w:rPr>
          <w:i/>
        </w:rPr>
        <w:t>Date of communication</w:t>
      </w:r>
      <w:r w:rsidRPr="00A36331">
        <w:t>:</w:t>
      </w:r>
      <w:r w:rsidRPr="00A36331">
        <w:tab/>
      </w:r>
      <w:r w:rsidR="00D27EA6">
        <w:t>13 June 2014</w:t>
      </w:r>
    </w:p>
    <w:p w14:paraId="132A80D5" w14:textId="77777777" w:rsidR="003521FD" w:rsidRPr="00A36331" w:rsidRDefault="003521FD" w:rsidP="003521FD">
      <w:pPr>
        <w:pStyle w:val="SingleTxtG"/>
      </w:pPr>
      <w:r w:rsidRPr="00A36331">
        <w:tab/>
      </w:r>
      <w:r w:rsidRPr="00A36331">
        <w:rPr>
          <w:i/>
        </w:rPr>
        <w:t>The Human Rights Committee</w:t>
      </w:r>
      <w:r w:rsidRPr="00A36331">
        <w:t xml:space="preserve">, established under article 28 of the International Covenant on Civil and Political Rights, </w:t>
      </w:r>
    </w:p>
    <w:p w14:paraId="609D3914" w14:textId="77777777" w:rsidR="003521FD" w:rsidRPr="00A36331" w:rsidRDefault="003521FD" w:rsidP="003521FD">
      <w:pPr>
        <w:pStyle w:val="SingleTxtG"/>
      </w:pPr>
      <w:r w:rsidRPr="00A36331">
        <w:tab/>
      </w:r>
      <w:r w:rsidRPr="00A36331">
        <w:rPr>
          <w:i/>
        </w:rPr>
        <w:t>Meeting on</w:t>
      </w:r>
      <w:r w:rsidRPr="00A36331">
        <w:t xml:space="preserve"> </w:t>
      </w:r>
      <w:r w:rsidR="00F1755C">
        <w:t xml:space="preserve">23 </w:t>
      </w:r>
      <w:r w:rsidR="00D27EA6">
        <w:t>July</w:t>
      </w:r>
      <w:r w:rsidR="00227516">
        <w:t xml:space="preserve"> 2015</w:t>
      </w:r>
      <w:r w:rsidRPr="00A36331">
        <w:t>,</w:t>
      </w:r>
    </w:p>
    <w:p w14:paraId="0AA39BF8" w14:textId="77777777" w:rsidR="003521FD" w:rsidRPr="00A36331" w:rsidRDefault="003521FD" w:rsidP="005367D8">
      <w:pPr>
        <w:pStyle w:val="SingleTxtG"/>
        <w:rPr>
          <w:i/>
        </w:rPr>
      </w:pPr>
      <w:r w:rsidRPr="00A36331">
        <w:rPr>
          <w:i/>
        </w:rPr>
        <w:tab/>
        <w:t xml:space="preserve">Having concluded </w:t>
      </w:r>
      <w:r w:rsidRPr="00A36331">
        <w:t xml:space="preserve">its consideration of communication No. </w:t>
      </w:r>
      <w:r w:rsidR="00BE03E7">
        <w:t>2426/2014</w:t>
      </w:r>
      <w:r w:rsidRPr="00A36331">
        <w:t xml:space="preserve">, submitted to </w:t>
      </w:r>
      <w:r w:rsidR="005367D8">
        <w:t>it</w:t>
      </w:r>
      <w:r w:rsidRPr="00A36331">
        <w:t xml:space="preserve"> by </w:t>
      </w:r>
      <w:r w:rsidR="00F24FA2">
        <w:t>N</w:t>
      </w:r>
      <w:r w:rsidR="00BE03E7">
        <w:t xml:space="preserve"> </w:t>
      </w:r>
      <w:r w:rsidRPr="00A36331">
        <w:t>under the Optional Protocol to the International Covenant on Civil and Political Rights,</w:t>
      </w:r>
    </w:p>
    <w:p w14:paraId="41A33B8E" w14:textId="77777777" w:rsidR="003521FD" w:rsidRPr="00A36331" w:rsidRDefault="003521FD" w:rsidP="003521FD">
      <w:pPr>
        <w:pStyle w:val="SingleTxtG"/>
        <w:rPr>
          <w:i/>
        </w:rPr>
      </w:pPr>
      <w:r w:rsidRPr="00A36331">
        <w:rPr>
          <w:i/>
        </w:rPr>
        <w:tab/>
        <w:t xml:space="preserve">Having taken into account </w:t>
      </w:r>
      <w:r w:rsidRPr="00A36331">
        <w:t>all written information made available to it by the author of the communication and the State party,</w:t>
      </w:r>
    </w:p>
    <w:p w14:paraId="2E3094D9" w14:textId="77777777" w:rsidR="003521FD" w:rsidRPr="00A36331" w:rsidRDefault="003521FD" w:rsidP="003521FD">
      <w:pPr>
        <w:pStyle w:val="SingleTxtG"/>
        <w:rPr>
          <w:bCs/>
        </w:rPr>
      </w:pPr>
      <w:r w:rsidRPr="00A36331">
        <w:rPr>
          <w:bCs/>
        </w:rPr>
        <w:tab/>
      </w:r>
      <w:r w:rsidRPr="00A36331">
        <w:rPr>
          <w:bCs/>
          <w:i/>
        </w:rPr>
        <w:t xml:space="preserve">Adopts </w:t>
      </w:r>
      <w:r w:rsidRPr="005B15B9">
        <w:rPr>
          <w:bCs/>
          <w:iCs/>
        </w:rPr>
        <w:t>the following</w:t>
      </w:r>
      <w:r w:rsidRPr="00A36331">
        <w:rPr>
          <w:bCs/>
        </w:rPr>
        <w:t>:</w:t>
      </w:r>
    </w:p>
    <w:p w14:paraId="18CB0FA4" w14:textId="77777777" w:rsidR="003521FD" w:rsidRPr="00A36331" w:rsidRDefault="003521FD" w:rsidP="003521FD">
      <w:pPr>
        <w:pStyle w:val="H1G"/>
      </w:pPr>
      <w:r w:rsidRPr="00A36331">
        <w:tab/>
      </w:r>
      <w:r w:rsidRPr="00A36331">
        <w:tab/>
      </w:r>
      <w:r w:rsidRPr="00583A0D">
        <w:t>Decision on admissibility</w:t>
      </w:r>
      <w:r>
        <w:t xml:space="preserve"> </w:t>
      </w:r>
    </w:p>
    <w:p w14:paraId="4123D301" w14:textId="77777777" w:rsidR="003521FD" w:rsidRDefault="003521FD" w:rsidP="005B15B9">
      <w:pPr>
        <w:pStyle w:val="SingleTxtG"/>
      </w:pPr>
      <w:r w:rsidRPr="00A36331">
        <w:t>1.</w:t>
      </w:r>
      <w:r w:rsidR="00D139E6">
        <w:t>1</w:t>
      </w:r>
      <w:r w:rsidRPr="00A36331">
        <w:tab/>
        <w:t>The author of the communication is</w:t>
      </w:r>
      <w:r w:rsidR="00227516">
        <w:t xml:space="preserve"> </w:t>
      </w:r>
      <w:r w:rsidR="00F24FA2">
        <w:t>N</w:t>
      </w:r>
      <w:r>
        <w:t xml:space="preserve">, </w:t>
      </w:r>
      <w:r w:rsidR="00227516">
        <w:t>a</w:t>
      </w:r>
      <w:r w:rsidR="00BB4732">
        <w:t>n</w:t>
      </w:r>
      <w:r w:rsidR="00227516">
        <w:t xml:space="preserve"> </w:t>
      </w:r>
      <w:r w:rsidR="00BB4732">
        <w:t xml:space="preserve">Iranian </w:t>
      </w:r>
      <w:r w:rsidR="00227516">
        <w:t xml:space="preserve">national of </w:t>
      </w:r>
      <w:r w:rsidR="00BB4732">
        <w:t>Kurdish origin</w:t>
      </w:r>
      <w:r w:rsidR="000647D6">
        <w:t xml:space="preserve"> </w:t>
      </w:r>
      <w:r w:rsidR="00BB4732">
        <w:t xml:space="preserve">born on 1 July 1991 in Al-Tash </w:t>
      </w:r>
      <w:r w:rsidR="00566EAC">
        <w:t xml:space="preserve">refugee </w:t>
      </w:r>
      <w:r w:rsidR="00BB4732">
        <w:t>camp in Iraq</w:t>
      </w:r>
      <w:r w:rsidR="00227516">
        <w:t xml:space="preserve">. </w:t>
      </w:r>
      <w:r w:rsidR="00BB4732">
        <w:t xml:space="preserve">He is residing in Denmark and subject </w:t>
      </w:r>
      <w:r w:rsidR="00BB4732" w:rsidRPr="00ED652D">
        <w:t xml:space="preserve">to a deportation order to </w:t>
      </w:r>
      <w:r w:rsidR="0050740D" w:rsidRPr="00ED652D">
        <w:t xml:space="preserve">the Islamic Republic of </w:t>
      </w:r>
      <w:r w:rsidR="00BB4732" w:rsidRPr="00ED652D">
        <w:t>Iran</w:t>
      </w:r>
      <w:r w:rsidR="00BB4732">
        <w:t xml:space="preserve">. </w:t>
      </w:r>
      <w:r w:rsidR="00227516">
        <w:t xml:space="preserve">He </w:t>
      </w:r>
      <w:r w:rsidR="00227516" w:rsidRPr="0063521E">
        <w:t xml:space="preserve">claims to be a victim of a violation by </w:t>
      </w:r>
      <w:r w:rsidR="00BB4732" w:rsidRPr="0063521E">
        <w:t>Denmark</w:t>
      </w:r>
      <w:r w:rsidR="00227516" w:rsidRPr="0063521E">
        <w:t xml:space="preserve"> of </w:t>
      </w:r>
      <w:r w:rsidR="00DF7E82" w:rsidRPr="0063521E">
        <w:t xml:space="preserve">his </w:t>
      </w:r>
      <w:r w:rsidR="00BB4732" w:rsidRPr="0063521E">
        <w:t xml:space="preserve">rights under article </w:t>
      </w:r>
      <w:r w:rsidR="00227516" w:rsidRPr="0063521E">
        <w:t>7 of the Covenant. He</w:t>
      </w:r>
      <w:r w:rsidRPr="0063521E">
        <w:t xml:space="preserve"> is represented by counsel</w:t>
      </w:r>
      <w:r w:rsidR="00BB4732" w:rsidRPr="0063521E">
        <w:t>, Helle Holm Thomsen</w:t>
      </w:r>
      <w:r w:rsidRPr="0063521E">
        <w:t>.</w:t>
      </w:r>
      <w:r>
        <w:t xml:space="preserve"> </w:t>
      </w:r>
    </w:p>
    <w:p w14:paraId="1662B1B2" w14:textId="77777777" w:rsidR="00D139E6" w:rsidRPr="00A36331" w:rsidRDefault="00D139E6">
      <w:pPr>
        <w:pStyle w:val="SingleTxtG"/>
        <w:spacing w:line="240" w:lineRule="auto"/>
      </w:pPr>
      <w:r>
        <w:t>1.2</w:t>
      </w:r>
      <w:r w:rsidR="002B4351">
        <w:tab/>
      </w:r>
      <w:r w:rsidR="00BE03E7">
        <w:t xml:space="preserve">On 16 June 2014, the Special Rapporteur on </w:t>
      </w:r>
      <w:r w:rsidR="00BE7800">
        <w:t>n</w:t>
      </w:r>
      <w:r w:rsidR="00BE03E7">
        <w:t xml:space="preserve">ew </w:t>
      </w:r>
      <w:r w:rsidR="00BE7800">
        <w:t>c</w:t>
      </w:r>
      <w:r w:rsidR="00BE03E7">
        <w:t xml:space="preserve">ommunications and </w:t>
      </w:r>
      <w:r w:rsidR="00BE7800">
        <w:t>i</w:t>
      </w:r>
      <w:r w:rsidR="00BE03E7">
        <w:t xml:space="preserve">nterim </w:t>
      </w:r>
      <w:r w:rsidR="00BE7800">
        <w:t>m</w:t>
      </w:r>
      <w:r w:rsidR="00BE03E7">
        <w:t xml:space="preserve">easures, acting on behalf of the Committee, requested </w:t>
      </w:r>
      <w:r w:rsidR="003B7AB3">
        <w:t xml:space="preserve">that </w:t>
      </w:r>
      <w:r w:rsidR="00BE03E7">
        <w:t xml:space="preserve">the State party refrain from </w:t>
      </w:r>
      <w:r w:rsidR="00566EAC">
        <w:t>returning</w:t>
      </w:r>
      <w:r w:rsidR="00BE03E7">
        <w:t xml:space="preserve"> the author to </w:t>
      </w:r>
      <w:r w:rsidR="0050740D">
        <w:t xml:space="preserve">the Islamic Republic of </w:t>
      </w:r>
      <w:r w:rsidR="00BE03E7">
        <w:t xml:space="preserve">Iran while his communication was </w:t>
      </w:r>
      <w:r w:rsidR="003B7AB3">
        <w:t>pending before</w:t>
      </w:r>
      <w:r w:rsidR="00BE03E7">
        <w:t xml:space="preserve"> the </w:t>
      </w:r>
      <w:r w:rsidR="00BE03E7" w:rsidRPr="00583A0D">
        <w:t>Committee.</w:t>
      </w:r>
      <w:r w:rsidR="002731ED" w:rsidRPr="00583A0D">
        <w:t xml:space="preserve"> On that same date, the State party suspended the execution of the deportation order against the author. On 16 December 2014, the State party requested </w:t>
      </w:r>
      <w:r w:rsidR="00C80EA5" w:rsidRPr="00583A0D">
        <w:t xml:space="preserve">that </w:t>
      </w:r>
      <w:r w:rsidR="00BE7800" w:rsidRPr="00583A0D">
        <w:t xml:space="preserve">the </w:t>
      </w:r>
      <w:r w:rsidR="00C80EA5" w:rsidRPr="00583A0D">
        <w:t>interim measures be lifted</w:t>
      </w:r>
      <w:r w:rsidR="002731ED" w:rsidRPr="00583A0D">
        <w:t xml:space="preserve"> (see para. </w:t>
      </w:r>
      <w:r w:rsidR="004C6E5E" w:rsidRPr="00583A0D">
        <w:t>4.1</w:t>
      </w:r>
      <w:r w:rsidR="00F24FA2" w:rsidRPr="00583A0D">
        <w:t>2</w:t>
      </w:r>
      <w:r w:rsidR="002731ED" w:rsidRPr="00583A0D">
        <w:t xml:space="preserve"> below)</w:t>
      </w:r>
      <w:r w:rsidR="00C80EA5" w:rsidRPr="00583A0D">
        <w:t>.</w:t>
      </w:r>
      <w:r w:rsidR="002731ED" w:rsidRPr="00583A0D">
        <w:t xml:space="preserve"> </w:t>
      </w:r>
      <w:r w:rsidR="0075531F" w:rsidRPr="00583A0D">
        <w:t>On 23</w:t>
      </w:r>
      <w:r w:rsidR="003B7AB3" w:rsidRPr="00583A0D">
        <w:t xml:space="preserve"> January 2015, the Special Rapporteur</w:t>
      </w:r>
      <w:r w:rsidR="002731ED" w:rsidRPr="00583A0D">
        <w:t xml:space="preserve"> </w:t>
      </w:r>
      <w:r w:rsidR="002731ED">
        <w:t>decided to</w:t>
      </w:r>
      <w:r w:rsidR="0075531F">
        <w:t xml:space="preserve"> deny the request to lift </w:t>
      </w:r>
      <w:r w:rsidR="00583A0D">
        <w:t xml:space="preserve">the </w:t>
      </w:r>
      <w:r w:rsidR="0075531F">
        <w:t>interim measures.</w:t>
      </w:r>
    </w:p>
    <w:p w14:paraId="6347B574" w14:textId="77777777" w:rsidR="003521FD" w:rsidRPr="00A36331" w:rsidRDefault="003521FD" w:rsidP="006358CB">
      <w:pPr>
        <w:pStyle w:val="H23G"/>
        <w:spacing w:line="240" w:lineRule="auto"/>
      </w:pPr>
      <w:r w:rsidRPr="00A36331">
        <w:lastRenderedPageBreak/>
        <w:tab/>
      </w:r>
      <w:r w:rsidRPr="00A36331">
        <w:tab/>
      </w:r>
      <w:r w:rsidR="00F040E3" w:rsidRPr="00566EAC">
        <w:t>Factual background</w:t>
      </w:r>
    </w:p>
    <w:p w14:paraId="51092165" w14:textId="77777777" w:rsidR="002731ED" w:rsidRDefault="002731ED">
      <w:pPr>
        <w:pStyle w:val="SingleTxtG"/>
      </w:pPr>
      <w:r>
        <w:t>2.1</w:t>
      </w:r>
      <w:r w:rsidR="003521FD" w:rsidRPr="00A36331">
        <w:tab/>
      </w:r>
      <w:r w:rsidR="00874152">
        <w:t>The author</w:t>
      </w:r>
      <w:r w:rsidR="00423075">
        <w:t xml:space="preserve"> </w:t>
      </w:r>
      <w:r w:rsidR="00874152">
        <w:t xml:space="preserve">was born into a Muslim Iranian family of Kurdish origin in Al-Tash </w:t>
      </w:r>
      <w:r w:rsidR="00566EAC">
        <w:t xml:space="preserve">refugee </w:t>
      </w:r>
      <w:r w:rsidR="00874152">
        <w:t>camp</w:t>
      </w:r>
      <w:r w:rsidR="00423075">
        <w:t>,</w:t>
      </w:r>
      <w:r w:rsidR="00874152">
        <w:t xml:space="preserve"> Iraq</w:t>
      </w:r>
      <w:r w:rsidR="00461E68">
        <w:t xml:space="preserve">. </w:t>
      </w:r>
      <w:r w:rsidR="00423075">
        <w:t>The author’s parent</w:t>
      </w:r>
      <w:r w:rsidR="00423075" w:rsidRPr="002B4351">
        <w:t>s</w:t>
      </w:r>
      <w:r w:rsidR="00423075">
        <w:t xml:space="preserve"> had fled </w:t>
      </w:r>
      <w:r w:rsidR="0050740D">
        <w:t xml:space="preserve">the Islamic Republic of </w:t>
      </w:r>
      <w:r w:rsidR="00423075">
        <w:t xml:space="preserve">Iran in 1979 and moved to Al-Tash camp. </w:t>
      </w:r>
      <w:r w:rsidR="00254CE8">
        <w:t xml:space="preserve">When </w:t>
      </w:r>
      <w:r w:rsidR="000F6950">
        <w:t xml:space="preserve">that </w:t>
      </w:r>
      <w:r w:rsidR="00254CE8">
        <w:t>camp was closed in</w:t>
      </w:r>
      <w:r w:rsidR="00874152">
        <w:t xml:space="preserve"> </w:t>
      </w:r>
      <w:r w:rsidR="00874152" w:rsidRPr="00E60981">
        <w:t>2005</w:t>
      </w:r>
      <w:r w:rsidR="00874152">
        <w:t>, the family moved to another refugee camp</w:t>
      </w:r>
      <w:r w:rsidR="00566EAC">
        <w:t xml:space="preserve"> in northern Iraq</w:t>
      </w:r>
      <w:r w:rsidR="00423075">
        <w:t xml:space="preserve">, Barika </w:t>
      </w:r>
      <w:r w:rsidR="0050740D">
        <w:t>c</w:t>
      </w:r>
      <w:r w:rsidR="00423075">
        <w:t>amp,</w:t>
      </w:r>
      <w:r w:rsidR="00874152">
        <w:t xml:space="preserve"> </w:t>
      </w:r>
      <w:r w:rsidR="00423075">
        <w:t xml:space="preserve">where the author lived until his departure from Iraq in </w:t>
      </w:r>
      <w:r w:rsidR="001C2D69">
        <w:t>April</w:t>
      </w:r>
      <w:r w:rsidR="00423075">
        <w:t xml:space="preserve"> 2013</w:t>
      </w:r>
      <w:r w:rsidR="00874152">
        <w:t xml:space="preserve">. </w:t>
      </w:r>
    </w:p>
    <w:p w14:paraId="6652FC00" w14:textId="77777777" w:rsidR="00FE21A7" w:rsidRDefault="002731ED">
      <w:pPr>
        <w:pStyle w:val="SingleTxtG"/>
      </w:pPr>
      <w:r>
        <w:t>2.2</w:t>
      </w:r>
      <w:r>
        <w:tab/>
      </w:r>
      <w:r w:rsidR="00423075">
        <w:t>On 28 July 2013</w:t>
      </w:r>
      <w:r w:rsidR="00566EAC">
        <w:t>,</w:t>
      </w:r>
      <w:r w:rsidR="00423075">
        <w:t xml:space="preserve"> the author applied for asylum in Denmark.</w:t>
      </w:r>
      <w:r w:rsidR="003B7AB3">
        <w:rPr>
          <w:rStyle w:val="FootnoteReference"/>
        </w:rPr>
        <w:footnoteReference w:id="3"/>
      </w:r>
      <w:r w:rsidR="00423075">
        <w:t xml:space="preserve"> On 21 </w:t>
      </w:r>
      <w:r w:rsidR="00FE21A7">
        <w:t xml:space="preserve">and 29 </w:t>
      </w:r>
      <w:r w:rsidR="00423075">
        <w:t>August</w:t>
      </w:r>
      <w:r w:rsidR="00566EAC">
        <w:t xml:space="preserve"> 2013</w:t>
      </w:r>
      <w:r w:rsidR="00423075">
        <w:t>, he was inte</w:t>
      </w:r>
      <w:r w:rsidR="003B7AB3">
        <w:t>rviewed</w:t>
      </w:r>
      <w:r w:rsidR="00423075">
        <w:t xml:space="preserve"> by the Danish Immigration Service</w:t>
      </w:r>
      <w:r w:rsidR="00566EAC">
        <w:t xml:space="preserve"> </w:t>
      </w:r>
      <w:r w:rsidR="00423075">
        <w:t xml:space="preserve">about his identity, travel route and grounds </w:t>
      </w:r>
      <w:r w:rsidR="00423075" w:rsidRPr="00E60981">
        <w:t>for</w:t>
      </w:r>
      <w:r w:rsidR="00423075">
        <w:t xml:space="preserve"> seeking asylum. The author provided a copy of a certificate issued by </w:t>
      </w:r>
      <w:r w:rsidR="0050740D">
        <w:t>the Office of the United Nations High Commissioner for Refugees (</w:t>
      </w:r>
      <w:r w:rsidR="00423075">
        <w:t>UNHCR</w:t>
      </w:r>
      <w:r w:rsidR="0050740D">
        <w:t>)</w:t>
      </w:r>
      <w:r w:rsidR="00423075">
        <w:t xml:space="preserve"> in November 2011</w:t>
      </w:r>
      <w:r w:rsidR="0050740D">
        <w:t>,</w:t>
      </w:r>
      <w:r w:rsidR="00423075">
        <w:t xml:space="preserve"> certifying </w:t>
      </w:r>
      <w:r w:rsidR="00B5602D">
        <w:t>him</w:t>
      </w:r>
      <w:r w:rsidR="00423075">
        <w:t xml:space="preserve"> and his family members as </w:t>
      </w:r>
      <w:r w:rsidR="00566EAC">
        <w:t xml:space="preserve">Iranian </w:t>
      </w:r>
      <w:r w:rsidR="00423075">
        <w:t>refugees</w:t>
      </w:r>
      <w:r w:rsidR="00566EAC">
        <w:t xml:space="preserve"> in Iraq</w:t>
      </w:r>
      <w:r w:rsidR="00423075">
        <w:t>.</w:t>
      </w:r>
      <w:r w:rsidR="00B5602D">
        <w:t xml:space="preserve"> As to the reason for seeking asylum, the author </w:t>
      </w:r>
      <w:r w:rsidR="00566EAC">
        <w:t xml:space="preserve">explained that he </w:t>
      </w:r>
      <w:r w:rsidR="0050740D">
        <w:t xml:space="preserve">had </w:t>
      </w:r>
      <w:r w:rsidR="00566EAC">
        <w:t>left Iraq</w:t>
      </w:r>
      <w:r w:rsidR="00E11EFA">
        <w:t xml:space="preserve"> because of his family’s </w:t>
      </w:r>
      <w:r w:rsidR="003D5DBF">
        <w:t xml:space="preserve">political </w:t>
      </w:r>
      <w:r w:rsidR="00E11EFA">
        <w:t xml:space="preserve">situation and the dire conditions of Iranian refugees in Iraq, where they “had no country </w:t>
      </w:r>
      <w:r w:rsidR="00E11EFA" w:rsidRPr="002B4351">
        <w:t>and</w:t>
      </w:r>
      <w:r w:rsidR="00E11EFA">
        <w:t xml:space="preserve"> no rights”.</w:t>
      </w:r>
      <w:r w:rsidR="003D5DBF">
        <w:t xml:space="preserve"> </w:t>
      </w:r>
      <w:r w:rsidR="00B5602D">
        <w:t xml:space="preserve">He argued that his father had been a </w:t>
      </w:r>
      <w:r w:rsidR="00A62454">
        <w:t>member of the Democratic Party of Iranian Kurdistan (</w:t>
      </w:r>
      <w:r w:rsidR="00B5602D">
        <w:t>PDKI</w:t>
      </w:r>
      <w:r w:rsidR="00A62454">
        <w:t>)</w:t>
      </w:r>
      <w:r w:rsidR="00B5602D">
        <w:t xml:space="preserve"> until 1979 </w:t>
      </w:r>
      <w:r w:rsidR="00A62454">
        <w:t>and had “fought for PDKI”</w:t>
      </w:r>
      <w:r w:rsidR="00A84D4F">
        <w:t xml:space="preserve"> and lost his </w:t>
      </w:r>
      <w:r w:rsidR="000F6950">
        <w:t>eye</w:t>
      </w:r>
      <w:r w:rsidR="00A84D4F">
        <w:t>sight as a result. The author add</w:t>
      </w:r>
      <w:r w:rsidR="00254CE8">
        <w:t>ed</w:t>
      </w:r>
      <w:r w:rsidR="00A84D4F">
        <w:t xml:space="preserve"> that</w:t>
      </w:r>
      <w:r w:rsidR="00E11EFA">
        <w:t xml:space="preserve"> his father had left </w:t>
      </w:r>
      <w:r w:rsidR="0050740D">
        <w:t xml:space="preserve">the Islamic Republic of </w:t>
      </w:r>
      <w:r w:rsidR="00E11EFA">
        <w:t xml:space="preserve">Iran </w:t>
      </w:r>
      <w:r w:rsidR="00B67904">
        <w:t xml:space="preserve">because of </w:t>
      </w:r>
      <w:r w:rsidR="00A84D4F">
        <w:t xml:space="preserve">his political activities but </w:t>
      </w:r>
      <w:r w:rsidR="000F6950">
        <w:t xml:space="preserve">had </w:t>
      </w:r>
      <w:r w:rsidR="00A84D4F">
        <w:t xml:space="preserve">ceased to be politically involved </w:t>
      </w:r>
      <w:r w:rsidR="003D5DBF">
        <w:t>in 1979, “although the family house was still used by Kurd</w:t>
      </w:r>
      <w:r w:rsidR="00155382">
        <w:t>ish</w:t>
      </w:r>
      <w:r w:rsidR="003D5DBF">
        <w:t xml:space="preserve"> partisans to smuggle weapons”</w:t>
      </w:r>
      <w:r w:rsidR="002B4351">
        <w:t>.</w:t>
      </w:r>
      <w:r w:rsidR="00A84D4F">
        <w:t xml:space="preserve"> He also argued</w:t>
      </w:r>
      <w:r w:rsidR="00B5602D">
        <w:t xml:space="preserve"> that </w:t>
      </w:r>
      <w:r w:rsidR="003D5DBF">
        <w:t>his brother</w:t>
      </w:r>
      <w:r w:rsidR="00B5602D">
        <w:t xml:space="preserve"> had smuggled weapons f</w:t>
      </w:r>
      <w:r w:rsidR="003D5DBF">
        <w:t xml:space="preserve">or PDKI when he was in </w:t>
      </w:r>
      <w:r w:rsidR="0050740D">
        <w:t xml:space="preserve">the Islamic Republic of </w:t>
      </w:r>
      <w:r w:rsidR="003D5DBF">
        <w:t xml:space="preserve">Iran but had ceased to be a PDKI member </w:t>
      </w:r>
      <w:r w:rsidR="000F6950">
        <w:t xml:space="preserve">after </w:t>
      </w:r>
      <w:r w:rsidR="003D5DBF">
        <w:t>they moved to Al-Tash camp.</w:t>
      </w:r>
      <w:r w:rsidR="00B5602D">
        <w:t xml:space="preserve"> </w:t>
      </w:r>
      <w:r w:rsidR="003D5DBF">
        <w:t xml:space="preserve">His brother was later granted refugee status in Sweden in 2001, where he lived until </w:t>
      </w:r>
      <w:r w:rsidR="00C0224F">
        <w:t>his death</w:t>
      </w:r>
      <w:r w:rsidR="003D5DBF">
        <w:t xml:space="preserve"> in 2007 or 2008.</w:t>
      </w:r>
      <w:r w:rsidR="00E2691A">
        <w:t xml:space="preserve"> He </w:t>
      </w:r>
      <w:r w:rsidR="00566EAC">
        <w:t>noted</w:t>
      </w:r>
      <w:r w:rsidR="00E2691A">
        <w:t xml:space="preserve"> that his brother had died under mysterious circumstances and suspected </w:t>
      </w:r>
      <w:r w:rsidR="0050740D">
        <w:t xml:space="preserve">that </w:t>
      </w:r>
      <w:r w:rsidR="00E2691A">
        <w:t xml:space="preserve">the Iranian intelligence service </w:t>
      </w:r>
      <w:r w:rsidR="0050740D">
        <w:t xml:space="preserve">had been </w:t>
      </w:r>
      <w:r w:rsidR="00E2691A">
        <w:t>behind his death.</w:t>
      </w:r>
      <w:r w:rsidR="003D5DBF">
        <w:t xml:space="preserve"> </w:t>
      </w:r>
      <w:r w:rsidR="00B5602D">
        <w:t xml:space="preserve">He </w:t>
      </w:r>
      <w:r w:rsidR="00A84D4F">
        <w:t>added</w:t>
      </w:r>
      <w:r w:rsidR="00B5602D">
        <w:t xml:space="preserve"> that, although he </w:t>
      </w:r>
      <w:r w:rsidR="00E2691A" w:rsidRPr="00E71EAF">
        <w:t xml:space="preserve">himself </w:t>
      </w:r>
      <w:r w:rsidR="0050740D" w:rsidRPr="00E71EAF">
        <w:t xml:space="preserve">had </w:t>
      </w:r>
      <w:r w:rsidR="00B5602D" w:rsidRPr="00E71EAF">
        <w:t xml:space="preserve">never </w:t>
      </w:r>
      <w:r w:rsidR="0050740D" w:rsidRPr="00E71EAF">
        <w:t xml:space="preserve">been </w:t>
      </w:r>
      <w:r w:rsidR="00B5602D" w:rsidRPr="00E71EAF">
        <w:t xml:space="preserve">politically involved, he </w:t>
      </w:r>
      <w:r w:rsidR="00E11EFA" w:rsidRPr="00E71EAF">
        <w:t xml:space="preserve">had </w:t>
      </w:r>
      <w:r w:rsidR="00B5602D" w:rsidRPr="00E71EAF">
        <w:t>participated in cultural events organized by PDKI</w:t>
      </w:r>
      <w:r w:rsidR="0050740D" w:rsidRPr="00E71EAF">
        <w:t>,</w:t>
      </w:r>
      <w:r w:rsidR="00B5602D" w:rsidRPr="00E71EAF">
        <w:t xml:space="preserve"> such as folk dances, and that he had attended party meetings in Iraq</w:t>
      </w:r>
      <w:r w:rsidR="00A84D4F" w:rsidRPr="00E71EAF">
        <w:t xml:space="preserve"> and memorials </w:t>
      </w:r>
      <w:r w:rsidR="0050740D" w:rsidRPr="00E71EAF">
        <w:t>for</w:t>
      </w:r>
      <w:r w:rsidR="00A84D4F" w:rsidRPr="00E71EAF">
        <w:t xml:space="preserve"> former PDKI secretar</w:t>
      </w:r>
      <w:r w:rsidR="00B67904">
        <w:t>ies</w:t>
      </w:r>
      <w:r w:rsidR="00A84D4F" w:rsidRPr="00E71EAF">
        <w:t>-general</w:t>
      </w:r>
      <w:r w:rsidR="00B5602D" w:rsidRPr="00E71EAF">
        <w:t>.</w:t>
      </w:r>
      <w:r w:rsidR="008A5CC7" w:rsidRPr="00E71EAF">
        <w:t xml:space="preserve"> However, he </w:t>
      </w:r>
      <w:r w:rsidR="0050740D" w:rsidRPr="00E71EAF">
        <w:t xml:space="preserve">had </w:t>
      </w:r>
      <w:r w:rsidR="008A5CC7" w:rsidRPr="00E71EAF">
        <w:t>never</w:t>
      </w:r>
      <w:r w:rsidR="008A5CC7">
        <w:t xml:space="preserve"> held a position in PDKI. </w:t>
      </w:r>
      <w:r w:rsidR="003B7AB3">
        <w:t xml:space="preserve">The author further explained that he had applied for PDKI membership seven months before his departure to Denmark but had not been informed whether he had been accepted. </w:t>
      </w:r>
      <w:r w:rsidR="00B5602D">
        <w:t>He argued that he was consid</w:t>
      </w:r>
      <w:r w:rsidR="00FE21A7">
        <w:t xml:space="preserve">ered as a political person in </w:t>
      </w:r>
      <w:r w:rsidR="0050740D">
        <w:t xml:space="preserve">the Islamic Republic of </w:t>
      </w:r>
      <w:r w:rsidR="00FE21A7">
        <w:t xml:space="preserve">Iran due to his father’s and </w:t>
      </w:r>
      <w:r w:rsidR="00087319">
        <w:t xml:space="preserve">his </w:t>
      </w:r>
      <w:r w:rsidR="00FE21A7">
        <w:t xml:space="preserve">brother’s political activities. At the </w:t>
      </w:r>
      <w:r w:rsidR="003B7AB3">
        <w:t>interview</w:t>
      </w:r>
      <w:r w:rsidR="00FE21A7">
        <w:t>, the author admitted having lied about his travel route.</w:t>
      </w:r>
    </w:p>
    <w:p w14:paraId="189A83D0" w14:textId="77777777" w:rsidR="001C2D69" w:rsidRPr="0095655F" w:rsidRDefault="001C2D69">
      <w:pPr>
        <w:pStyle w:val="SingleTxtG"/>
      </w:pPr>
      <w:r>
        <w:t>2.3</w:t>
      </w:r>
      <w:r>
        <w:tab/>
        <w:t>On 11 October 2013</w:t>
      </w:r>
      <w:r w:rsidR="00254CE8">
        <w:t>,</w:t>
      </w:r>
      <w:r>
        <w:t xml:space="preserve"> the Danish Immigration Service</w:t>
      </w:r>
      <w:r w:rsidR="00254CE8">
        <w:t xml:space="preserve"> </w:t>
      </w:r>
      <w:r>
        <w:t>denied asylum to the author</w:t>
      </w:r>
      <w:r w:rsidR="000931D3">
        <w:t xml:space="preserve">. </w:t>
      </w:r>
      <w:r>
        <w:t>On 20 May 201</w:t>
      </w:r>
      <w:r w:rsidR="00E46E50">
        <w:t>4</w:t>
      </w:r>
      <w:r>
        <w:t xml:space="preserve">, the Refugee Appeals </w:t>
      </w:r>
      <w:r w:rsidRPr="00E60981">
        <w:t>Board</w:t>
      </w:r>
      <w:r>
        <w:t xml:space="preserve"> </w:t>
      </w:r>
      <w:r w:rsidRPr="001D4264">
        <w:t>upheld th</w:t>
      </w:r>
      <w:r w:rsidR="0050740D" w:rsidRPr="001D4264">
        <w:t>at</w:t>
      </w:r>
      <w:r w:rsidRPr="001D4264">
        <w:t xml:space="preserve"> decision</w:t>
      </w:r>
      <w:r w:rsidR="002B4351" w:rsidRPr="001D4264">
        <w:t>.</w:t>
      </w:r>
      <w:r w:rsidR="00E46E50" w:rsidRPr="001D4264">
        <w:t xml:space="preserve"> The </w:t>
      </w:r>
      <w:r w:rsidR="00B534CA">
        <w:t xml:space="preserve">Board concluded </w:t>
      </w:r>
      <w:r w:rsidR="00E46E50" w:rsidRPr="0063521E">
        <w:t xml:space="preserve">that the political activities of the author’s father </w:t>
      </w:r>
      <w:r w:rsidR="00B534CA">
        <w:t xml:space="preserve">had </w:t>
      </w:r>
      <w:r w:rsidR="00A42503" w:rsidRPr="0063521E">
        <w:t xml:space="preserve">occurred a long time ago </w:t>
      </w:r>
      <w:r w:rsidR="00E46E50" w:rsidRPr="0063521E">
        <w:t xml:space="preserve">and that the author had provided diverging statements regarding his brother’s continued activities after 1979. The </w:t>
      </w:r>
      <w:r w:rsidR="00B534CA" w:rsidRPr="00DC1798">
        <w:t xml:space="preserve">Board </w:t>
      </w:r>
      <w:r w:rsidR="00B534CA">
        <w:t xml:space="preserve">concluded </w:t>
      </w:r>
      <w:r w:rsidR="00B534CA" w:rsidRPr="00DC1798">
        <w:t xml:space="preserve">that the author had not </w:t>
      </w:r>
      <w:r w:rsidR="00B534CA">
        <w:t xml:space="preserve">proven the likelihood </w:t>
      </w:r>
      <w:r w:rsidR="00E46E50" w:rsidRPr="0063521E">
        <w:t xml:space="preserve">that the family’s overall activities had been of such </w:t>
      </w:r>
      <w:r w:rsidR="002C418B" w:rsidRPr="0063521E">
        <w:t xml:space="preserve">a </w:t>
      </w:r>
      <w:r w:rsidR="00E46E50" w:rsidRPr="0063521E">
        <w:t>nature and intensity that the</w:t>
      </w:r>
      <w:r w:rsidR="002C418B" w:rsidRPr="0063521E">
        <w:t>y</w:t>
      </w:r>
      <w:r w:rsidR="00E46E50" w:rsidRPr="0063521E">
        <w:t xml:space="preserve"> alone would justify asylum. The fact that the author had participated in cultural Kurd</w:t>
      </w:r>
      <w:r w:rsidR="002C418B" w:rsidRPr="0063521E">
        <w:t>ish</w:t>
      </w:r>
      <w:r w:rsidR="00E46E50" w:rsidRPr="0063521E">
        <w:t xml:space="preserve"> activities such as folk dance</w:t>
      </w:r>
      <w:r w:rsidR="002C418B" w:rsidRPr="0063521E">
        <w:t>s</w:t>
      </w:r>
      <w:r w:rsidR="00E46E50" w:rsidRPr="0063521E">
        <w:t xml:space="preserve"> could not lead to a different conclusion. The </w:t>
      </w:r>
      <w:r w:rsidR="002C418B" w:rsidRPr="0063521E">
        <w:t xml:space="preserve">Board </w:t>
      </w:r>
      <w:r w:rsidR="00E46E50" w:rsidRPr="0063521E">
        <w:t>also found that the author had provided an account about his travel route</w:t>
      </w:r>
      <w:r w:rsidR="002C418B" w:rsidRPr="0063521E">
        <w:t xml:space="preserve"> that was not credible</w:t>
      </w:r>
      <w:r w:rsidR="00E46E50" w:rsidRPr="0063521E">
        <w:t xml:space="preserve">. </w:t>
      </w:r>
      <w:r w:rsidR="00323AE1" w:rsidRPr="0095655F">
        <w:t xml:space="preserve">Additionally, the </w:t>
      </w:r>
      <w:r w:rsidR="002C418B" w:rsidRPr="0095655F">
        <w:t xml:space="preserve">Board found </w:t>
      </w:r>
      <w:r w:rsidR="00323AE1" w:rsidRPr="0095655F">
        <w:t xml:space="preserve">that the fact that the author had been born and raised in Al-Tash camp could not </w:t>
      </w:r>
      <w:r w:rsidR="000F6950" w:rsidRPr="0095655F">
        <w:t xml:space="preserve">alone </w:t>
      </w:r>
      <w:r w:rsidR="00B67904" w:rsidRPr="0095655F">
        <w:t xml:space="preserve">justify </w:t>
      </w:r>
      <w:r w:rsidR="00323AE1" w:rsidRPr="0095655F">
        <w:t xml:space="preserve">a residence permit. The </w:t>
      </w:r>
      <w:r w:rsidR="002C418B" w:rsidRPr="0095655F">
        <w:t xml:space="preserve">Board </w:t>
      </w:r>
      <w:r w:rsidR="00323AE1" w:rsidRPr="0095655F">
        <w:t xml:space="preserve">concluded that the applicant </w:t>
      </w:r>
      <w:r w:rsidR="00552DFB" w:rsidRPr="0095655F">
        <w:t xml:space="preserve">had not </w:t>
      </w:r>
      <w:r w:rsidR="00950DD9" w:rsidRPr="0095655F">
        <w:t xml:space="preserve">proven the likelihood </w:t>
      </w:r>
      <w:r w:rsidR="00323AE1" w:rsidRPr="0095655F">
        <w:t>that he would be at actual risk of persecution by the Iranian authorities.</w:t>
      </w:r>
    </w:p>
    <w:p w14:paraId="7ABF870B" w14:textId="77777777" w:rsidR="00BE4D5A" w:rsidRDefault="00BE4D5A">
      <w:pPr>
        <w:pStyle w:val="SingleTxtG"/>
      </w:pPr>
      <w:r w:rsidRPr="0095655F">
        <w:t>2</w:t>
      </w:r>
      <w:r w:rsidR="005A7E06" w:rsidRPr="0095655F">
        <w:t>.</w:t>
      </w:r>
      <w:r w:rsidR="00FF6537" w:rsidRPr="0095655F">
        <w:t>4</w:t>
      </w:r>
      <w:r w:rsidRPr="0095655F">
        <w:tab/>
        <w:t xml:space="preserve">The author argues that he has exhausted all available domestic remedies. He notes that decisions by the Refugee Appeals Board </w:t>
      </w:r>
      <w:r w:rsidR="00D21C47" w:rsidRPr="0095655F">
        <w:t xml:space="preserve">of Denmark </w:t>
      </w:r>
      <w:r w:rsidRPr="0095655F">
        <w:t>are not subject to appeal before national courts</w:t>
      </w:r>
      <w:r w:rsidR="002C418B" w:rsidRPr="0095655F">
        <w:t>,</w:t>
      </w:r>
      <w:r w:rsidRPr="0095655F">
        <w:t xml:space="preserve"> according to </w:t>
      </w:r>
      <w:r w:rsidR="00AF64C4" w:rsidRPr="0095655F">
        <w:t xml:space="preserve">section </w:t>
      </w:r>
      <w:r w:rsidRPr="0095655F">
        <w:t>56</w:t>
      </w:r>
      <w:r w:rsidR="00AF64C4" w:rsidRPr="0095655F">
        <w:t> </w:t>
      </w:r>
      <w:r w:rsidR="00A42C45" w:rsidRPr="0095655F">
        <w:t>(</w:t>
      </w:r>
      <w:r w:rsidRPr="0095655F">
        <w:t>8</w:t>
      </w:r>
      <w:r w:rsidR="00A42C45" w:rsidRPr="0095655F">
        <w:t>)</w:t>
      </w:r>
      <w:r w:rsidRPr="0095655F">
        <w:t xml:space="preserve"> of the Danish Alien</w:t>
      </w:r>
      <w:r w:rsidR="00A42C45" w:rsidRPr="0095655F">
        <w:t>s</w:t>
      </w:r>
      <w:r w:rsidRPr="0095655F">
        <w:t xml:space="preserve"> Act. In this regard, he notes that, in its </w:t>
      </w:r>
      <w:r w:rsidR="002C418B" w:rsidRPr="0095655F">
        <w:t>c</w:t>
      </w:r>
      <w:r w:rsidRPr="0095655F">
        <w:t xml:space="preserve">oncluding </w:t>
      </w:r>
      <w:r w:rsidR="002C418B" w:rsidRPr="0095655F">
        <w:t>o</w:t>
      </w:r>
      <w:r w:rsidRPr="0095655F">
        <w:t>bservations on Denmark’s seventeenth periodic</w:t>
      </w:r>
      <w:r>
        <w:t xml:space="preserve"> report, the Committee </w:t>
      </w:r>
      <w:r w:rsidR="00087319">
        <w:t xml:space="preserve">on the Elimination of Racial Discrimination </w:t>
      </w:r>
      <w:r w:rsidR="002C418B">
        <w:t xml:space="preserve">had </w:t>
      </w:r>
      <w:r>
        <w:t xml:space="preserve">recommended that asylum </w:t>
      </w:r>
      <w:r>
        <w:lastRenderedPageBreak/>
        <w:t xml:space="preserve">seekers be granted the right to appeal </w:t>
      </w:r>
      <w:r w:rsidRPr="00B67904">
        <w:t>against de</w:t>
      </w:r>
      <w:r>
        <w:t>cisions of the Refugee Appeals Board</w:t>
      </w:r>
      <w:r w:rsidR="00826A51">
        <w:t xml:space="preserve"> (</w:t>
      </w:r>
      <w:r w:rsidR="00826A51">
        <w:rPr>
          <w:lang w:val="en-US"/>
        </w:rPr>
        <w:t>s</w:t>
      </w:r>
      <w:r w:rsidR="00826A51" w:rsidRPr="00935F76">
        <w:rPr>
          <w:lang w:val="en-US"/>
        </w:rPr>
        <w:t xml:space="preserve">ee CERD/C/DEN/CO/17, para. </w:t>
      </w:r>
      <w:r w:rsidR="00826A51" w:rsidRPr="00DF5FE0">
        <w:t>13</w:t>
      </w:r>
      <w:r w:rsidR="00826A51">
        <w:t>)</w:t>
      </w:r>
      <w:r>
        <w:t>.</w:t>
      </w:r>
    </w:p>
    <w:p w14:paraId="20ACB1F3" w14:textId="77777777" w:rsidR="00087319" w:rsidRDefault="00087319" w:rsidP="00015CFD">
      <w:pPr>
        <w:pStyle w:val="SingleTxtG"/>
      </w:pPr>
      <w:r>
        <w:t>2.</w:t>
      </w:r>
      <w:r w:rsidR="00FF6537">
        <w:t>5</w:t>
      </w:r>
      <w:r>
        <w:tab/>
        <w:t xml:space="preserve">The author contends that it has been a longstanding practice </w:t>
      </w:r>
      <w:r w:rsidRPr="00552DFB">
        <w:t>for</w:t>
      </w:r>
      <w:r w:rsidR="00E05F63" w:rsidRPr="00552DFB">
        <w:t xml:space="preserve"> Iranian refugees from Al-</w:t>
      </w:r>
      <w:r w:rsidRPr="00552DFB">
        <w:t>Tash camp</w:t>
      </w:r>
      <w:r w:rsidR="00552DFB" w:rsidRPr="00552DFB">
        <w:t xml:space="preserve"> who ha</w:t>
      </w:r>
      <w:r w:rsidR="00B67904">
        <w:t>ve</w:t>
      </w:r>
      <w:r w:rsidR="00552DFB" w:rsidRPr="00552DFB">
        <w:t xml:space="preserve"> </w:t>
      </w:r>
      <w:r w:rsidR="00D21C47">
        <w:t xml:space="preserve">been </w:t>
      </w:r>
      <w:r w:rsidR="00552DFB" w:rsidRPr="00552DFB">
        <w:t xml:space="preserve">recognized </w:t>
      </w:r>
      <w:r w:rsidR="00D21C47">
        <w:t xml:space="preserve">by UNHCR </w:t>
      </w:r>
      <w:r w:rsidR="00552DFB" w:rsidRPr="00552DFB">
        <w:t>as refugees</w:t>
      </w:r>
      <w:r w:rsidRPr="00552DFB">
        <w:t xml:space="preserve"> to be granted residence permit</w:t>
      </w:r>
      <w:r w:rsidR="002C418B" w:rsidRPr="00552DFB">
        <w:t>s</w:t>
      </w:r>
      <w:r w:rsidRPr="00552DFB">
        <w:t xml:space="preserve"> in accordance with </w:t>
      </w:r>
      <w:r w:rsidR="00AF64C4">
        <w:t>section</w:t>
      </w:r>
      <w:r w:rsidR="00AF64C4" w:rsidRPr="00552DFB">
        <w:t xml:space="preserve"> </w:t>
      </w:r>
      <w:r w:rsidRPr="00552DFB">
        <w:t>7</w:t>
      </w:r>
      <w:r w:rsidR="00AF64C4">
        <w:t> (</w:t>
      </w:r>
      <w:r w:rsidRPr="00552DFB">
        <w:t>1</w:t>
      </w:r>
      <w:r w:rsidR="00AF64C4">
        <w:t>)</w:t>
      </w:r>
      <w:r w:rsidRPr="00552DFB">
        <w:t xml:space="preserve"> of the Danish Alien</w:t>
      </w:r>
      <w:r w:rsidR="00A42C45">
        <w:t>s</w:t>
      </w:r>
      <w:r w:rsidRPr="00552DFB">
        <w:t xml:space="preserve"> Act. However, this practice changed in 2011, as it was decided that Iraq could serve as </w:t>
      </w:r>
      <w:r w:rsidR="002C418B" w:rsidRPr="00552DFB">
        <w:t xml:space="preserve">the </w:t>
      </w:r>
      <w:r w:rsidRPr="00552DFB">
        <w:t xml:space="preserve">first country of asylum, in </w:t>
      </w:r>
      <w:r w:rsidR="002C418B" w:rsidRPr="00552DFB">
        <w:t xml:space="preserve">the </w:t>
      </w:r>
      <w:r w:rsidRPr="00552DFB">
        <w:t>light of the length of their residence in th</w:t>
      </w:r>
      <w:r w:rsidR="002C418B" w:rsidRPr="00552DFB">
        <w:t>at</w:t>
      </w:r>
      <w:r w:rsidRPr="00552DFB">
        <w:t xml:space="preserve"> country. </w:t>
      </w:r>
      <w:r w:rsidRPr="00015CFD">
        <w:t xml:space="preserve">Yet, Iraq would not accept Iranian refugees since they </w:t>
      </w:r>
      <w:r w:rsidR="002C418B" w:rsidRPr="0063521E">
        <w:t>were</w:t>
      </w:r>
      <w:r w:rsidRPr="0063521E">
        <w:t xml:space="preserve"> not Iraqi citizens.</w:t>
      </w:r>
      <w:r w:rsidRPr="00552DFB">
        <w:t xml:space="preserve"> Therefore, these</w:t>
      </w:r>
      <w:r>
        <w:t xml:space="preserve"> cases were reopened and </w:t>
      </w:r>
      <w:r w:rsidR="00D21C47">
        <w:t>refugees</w:t>
      </w:r>
      <w:r w:rsidR="002C418B">
        <w:t xml:space="preserve"> were </w:t>
      </w:r>
      <w:r>
        <w:t>granted residence permit</w:t>
      </w:r>
      <w:r w:rsidR="002C418B">
        <w:t>s</w:t>
      </w:r>
      <w:r>
        <w:t xml:space="preserve"> in Denmark. In 2013, the </w:t>
      </w:r>
      <w:r w:rsidR="00B67904">
        <w:t xml:space="preserve">Danish Immigration Service </w:t>
      </w:r>
      <w:r>
        <w:t xml:space="preserve">started denying </w:t>
      </w:r>
      <w:r w:rsidR="000A2910">
        <w:t>asylum</w:t>
      </w:r>
      <w:r>
        <w:t xml:space="preserve"> to </w:t>
      </w:r>
      <w:r w:rsidR="000A2910">
        <w:t xml:space="preserve">some </w:t>
      </w:r>
      <w:r>
        <w:t>refuge</w:t>
      </w:r>
      <w:r w:rsidR="00E05F63">
        <w:t>es from Al-</w:t>
      </w:r>
      <w:r w:rsidR="000A2910">
        <w:t>Tash camp</w:t>
      </w:r>
      <w:r w:rsidR="002C418B">
        <w:t>;</w:t>
      </w:r>
      <w:r w:rsidR="000A2910">
        <w:t xml:space="preserve"> </w:t>
      </w:r>
      <w:r w:rsidR="002C418B">
        <w:t xml:space="preserve">each </w:t>
      </w:r>
      <w:r w:rsidR="000A2910">
        <w:t>case is assessed on an individual basis.</w:t>
      </w:r>
    </w:p>
    <w:p w14:paraId="1C3381FC" w14:textId="77777777" w:rsidR="003521FD" w:rsidRPr="00A36331" w:rsidRDefault="003521FD" w:rsidP="006358CB">
      <w:pPr>
        <w:pStyle w:val="H23G"/>
        <w:spacing w:line="240" w:lineRule="auto"/>
      </w:pPr>
      <w:r w:rsidRPr="00A36331">
        <w:tab/>
      </w:r>
      <w:r w:rsidRPr="00A36331">
        <w:tab/>
        <w:t>The complaint</w:t>
      </w:r>
    </w:p>
    <w:p w14:paraId="7F0E57B1" w14:textId="77777777" w:rsidR="00B52262" w:rsidRDefault="003521FD" w:rsidP="0063521E">
      <w:pPr>
        <w:pStyle w:val="SingleTxtG"/>
      </w:pPr>
      <w:r w:rsidRPr="0063521E">
        <w:t>3.1</w:t>
      </w:r>
      <w:r w:rsidRPr="0063521E">
        <w:tab/>
      </w:r>
      <w:r w:rsidR="000A2910" w:rsidRPr="0063521E">
        <w:t xml:space="preserve">The author claims that his deportation to </w:t>
      </w:r>
      <w:r w:rsidR="002C418B" w:rsidRPr="0063521E">
        <w:t xml:space="preserve">the Islamic Republic of </w:t>
      </w:r>
      <w:r w:rsidR="000A2910" w:rsidRPr="0063521E">
        <w:t>Iran would put him at risk of being subjected to torture or cruel, inhuman or degrading treatment or punishment</w:t>
      </w:r>
      <w:r w:rsidR="000F6950" w:rsidRPr="0063521E">
        <w:t>,</w:t>
      </w:r>
      <w:r w:rsidR="00E2691A" w:rsidRPr="0063521E">
        <w:t xml:space="preserve"> given that he</w:t>
      </w:r>
      <w:r w:rsidR="00E74019" w:rsidRPr="0063521E">
        <w:t xml:space="preserve"> </w:t>
      </w:r>
      <w:r w:rsidR="000A2910" w:rsidRPr="0063521E">
        <w:t xml:space="preserve">has always </w:t>
      </w:r>
      <w:r w:rsidR="00E74019" w:rsidRPr="0063521E">
        <w:t>lived in refugee camps in Iraq</w:t>
      </w:r>
      <w:r w:rsidR="00B67904" w:rsidRPr="0063521E">
        <w:t>,</w:t>
      </w:r>
      <w:r w:rsidR="00E74019" w:rsidRPr="0063521E">
        <w:t xml:space="preserve"> such as Al-Tash and Barika camps, which carry a great affiliation to PDKI. He argues that he would automatically be perceived as</w:t>
      </w:r>
      <w:r w:rsidR="00DC2E31" w:rsidRPr="0063521E">
        <w:t xml:space="preserve"> an active member of</w:t>
      </w:r>
      <w:r w:rsidR="00E74019" w:rsidRPr="0063521E">
        <w:t xml:space="preserve"> PDKI, especially since he has sympathized with the party since 2009 </w:t>
      </w:r>
      <w:r w:rsidR="00DC2E31" w:rsidRPr="0063521E">
        <w:t xml:space="preserve">and </w:t>
      </w:r>
      <w:r w:rsidR="00B67904" w:rsidRPr="0063521E">
        <w:t xml:space="preserve">has </w:t>
      </w:r>
      <w:r w:rsidR="00DC2E31" w:rsidRPr="0063521E">
        <w:t>participated</w:t>
      </w:r>
      <w:r w:rsidR="00E74019" w:rsidRPr="0063521E">
        <w:t xml:space="preserve"> in meetings and </w:t>
      </w:r>
      <w:r w:rsidR="002C418B" w:rsidRPr="0063521E">
        <w:t xml:space="preserve">a </w:t>
      </w:r>
      <w:r w:rsidR="00E74019" w:rsidRPr="0063521E">
        <w:t xml:space="preserve">folk dancing group, and </w:t>
      </w:r>
      <w:r w:rsidR="00B67904" w:rsidRPr="0063521E">
        <w:t xml:space="preserve">because he </w:t>
      </w:r>
      <w:r w:rsidR="00E74019" w:rsidRPr="0063521E">
        <w:t>sought PDKI membership seve</w:t>
      </w:r>
      <w:r w:rsidR="00E2691A" w:rsidRPr="0063521E">
        <w:t xml:space="preserve">n months prior to his departure, </w:t>
      </w:r>
      <w:r w:rsidR="002C418B" w:rsidRPr="0063521E">
        <w:t xml:space="preserve">as well as </w:t>
      </w:r>
      <w:r w:rsidR="00E2691A" w:rsidRPr="0063521E">
        <w:t xml:space="preserve">because of his father’s political engagement with PDKI in </w:t>
      </w:r>
      <w:r w:rsidR="002C418B" w:rsidRPr="0063521E">
        <w:t xml:space="preserve">the Islamic Republic of </w:t>
      </w:r>
      <w:r w:rsidR="00E2691A" w:rsidRPr="0063521E">
        <w:t xml:space="preserve">Iran and his family’s involvement with the party in Iraq by attending meetings and festivities. </w:t>
      </w:r>
      <w:r w:rsidR="00AA20C8" w:rsidRPr="0063521E">
        <w:t xml:space="preserve">The family’s </w:t>
      </w:r>
      <w:r w:rsidR="00C0224F" w:rsidRPr="0063521E">
        <w:t>connection to PDKI could put him</w:t>
      </w:r>
      <w:r w:rsidR="00AA20C8" w:rsidRPr="0063521E">
        <w:t xml:space="preserve"> at risk of being detained and imprisoned and subjected to torture. </w:t>
      </w:r>
      <w:r w:rsidR="00E2691A" w:rsidRPr="0063521E">
        <w:t xml:space="preserve">He adds that Iranian authorities would know that he </w:t>
      </w:r>
      <w:r w:rsidR="002C418B" w:rsidRPr="0063521E">
        <w:t xml:space="preserve">had </w:t>
      </w:r>
      <w:r w:rsidR="00E2691A" w:rsidRPr="0063521E">
        <w:t xml:space="preserve">spent his </w:t>
      </w:r>
      <w:r w:rsidR="002C418B" w:rsidRPr="0063521E">
        <w:t xml:space="preserve">entire </w:t>
      </w:r>
      <w:r w:rsidR="00E2691A" w:rsidRPr="0063521E">
        <w:t>life in Kurdish refugee camps and would be interested in his knowledge about PDKI.</w:t>
      </w:r>
      <w:r w:rsidR="00AA20C8" w:rsidRPr="0063521E">
        <w:t xml:space="preserve"> He notes that Iranian intelligence services routinely ask people to </w:t>
      </w:r>
      <w:r w:rsidR="002C418B" w:rsidRPr="0063521E">
        <w:t xml:space="preserve">provide </w:t>
      </w:r>
      <w:r w:rsidR="00A76C94" w:rsidRPr="0063521E">
        <w:t xml:space="preserve">them with </w:t>
      </w:r>
      <w:r w:rsidR="002C418B" w:rsidRPr="0063521E">
        <w:t xml:space="preserve">information </w:t>
      </w:r>
      <w:r w:rsidR="00AA20C8" w:rsidRPr="0063521E">
        <w:t>about PDKI and</w:t>
      </w:r>
      <w:r w:rsidR="002C418B" w:rsidRPr="0063521E">
        <w:t>,</w:t>
      </w:r>
      <w:r w:rsidR="00AA20C8" w:rsidRPr="0063521E">
        <w:t xml:space="preserve"> if they refuse to do so, they are accused of being spies and at risk of persecution.</w:t>
      </w:r>
      <w:r w:rsidR="00E2691A">
        <w:t xml:space="preserve"> </w:t>
      </w:r>
    </w:p>
    <w:p w14:paraId="64471583" w14:textId="77777777" w:rsidR="00AA20C8" w:rsidRDefault="002B4351">
      <w:pPr>
        <w:pStyle w:val="SingleTxtG"/>
      </w:pPr>
      <w:r>
        <w:t>3.2</w:t>
      </w:r>
      <w:r w:rsidR="000A2910">
        <w:tab/>
      </w:r>
      <w:r w:rsidR="00AA20C8">
        <w:t xml:space="preserve">The author adds that the fact that he is not registered in </w:t>
      </w:r>
      <w:r w:rsidR="002C418B">
        <w:t xml:space="preserve">the Islamic Republic of </w:t>
      </w:r>
      <w:r w:rsidR="00AA20C8">
        <w:t>Iran, has no identification documents and does not speak Farsi increases the risk o</w:t>
      </w:r>
      <w:r w:rsidR="000F6950">
        <w:t>f</w:t>
      </w:r>
      <w:r w:rsidR="00AA20C8">
        <w:t xml:space="preserve"> </w:t>
      </w:r>
      <w:r w:rsidR="00AA20C8" w:rsidRPr="002B4351">
        <w:t>persecution</w:t>
      </w:r>
      <w:r w:rsidR="00AA20C8">
        <w:t>.</w:t>
      </w:r>
    </w:p>
    <w:p w14:paraId="1611384E" w14:textId="77777777" w:rsidR="003521FD" w:rsidRPr="00A36331" w:rsidRDefault="003521FD" w:rsidP="006358CB">
      <w:pPr>
        <w:pStyle w:val="H23G"/>
        <w:spacing w:line="240" w:lineRule="auto"/>
      </w:pPr>
      <w:r w:rsidRPr="00A36331">
        <w:tab/>
      </w:r>
      <w:r w:rsidRPr="00A36331">
        <w:tab/>
        <w:t>State party’s observations on admissibility and merits</w:t>
      </w:r>
    </w:p>
    <w:p w14:paraId="2DA9C986" w14:textId="77777777" w:rsidR="00CB6FDB" w:rsidRDefault="003521FD" w:rsidP="00E60981">
      <w:pPr>
        <w:pStyle w:val="SingleTxtG"/>
      </w:pPr>
      <w:r w:rsidRPr="00A36331">
        <w:t>4.1</w:t>
      </w:r>
      <w:r w:rsidRPr="00A36331">
        <w:tab/>
      </w:r>
      <w:r w:rsidR="000931D3">
        <w:t>On</w:t>
      </w:r>
      <w:r w:rsidRPr="00A36331">
        <w:t xml:space="preserve"> </w:t>
      </w:r>
      <w:r w:rsidR="000931D3">
        <w:t>16 December 2014</w:t>
      </w:r>
      <w:r w:rsidRPr="00A36331">
        <w:t xml:space="preserve">, the State party submitted </w:t>
      </w:r>
      <w:r>
        <w:t xml:space="preserve">its observations on </w:t>
      </w:r>
      <w:r w:rsidR="000931D3">
        <w:t xml:space="preserve">the </w:t>
      </w:r>
      <w:r>
        <w:t>admissibility</w:t>
      </w:r>
      <w:r w:rsidR="000931D3">
        <w:t xml:space="preserve"> </w:t>
      </w:r>
      <w:r w:rsidR="00EC53FB">
        <w:t xml:space="preserve">and merits </w:t>
      </w:r>
      <w:r w:rsidR="000931D3">
        <w:t>of the communication</w:t>
      </w:r>
      <w:r>
        <w:t>.</w:t>
      </w:r>
      <w:r w:rsidR="000931D3">
        <w:t xml:space="preserve"> The State party </w:t>
      </w:r>
      <w:r w:rsidR="00EC53FB">
        <w:t>claim</w:t>
      </w:r>
      <w:r w:rsidR="00CF2FE4">
        <w:t>s</w:t>
      </w:r>
      <w:r w:rsidR="00EC53FB">
        <w:t xml:space="preserve"> that the c</w:t>
      </w:r>
      <w:r w:rsidR="00CF2FE4">
        <w:t>ommunication</w:t>
      </w:r>
      <w:r w:rsidR="000931D3">
        <w:t xml:space="preserve"> should be considered inadmissible </w:t>
      </w:r>
      <w:r w:rsidR="00EC53FB">
        <w:t xml:space="preserve">for lack of sufficient substantiation of the author’s </w:t>
      </w:r>
      <w:r w:rsidR="00CF2FE4">
        <w:t>risk</w:t>
      </w:r>
      <w:r w:rsidR="00EC53FB">
        <w:t xml:space="preserve"> of being subjected to torture or other form of cruel, inhuman or degrading treatment or punishment if returned to </w:t>
      </w:r>
      <w:r w:rsidR="00811E49">
        <w:t xml:space="preserve">the Islamic Republic of </w:t>
      </w:r>
      <w:r w:rsidR="00EC53FB">
        <w:t xml:space="preserve">Iran. </w:t>
      </w:r>
    </w:p>
    <w:p w14:paraId="65A4F491" w14:textId="77777777" w:rsidR="00223E8F" w:rsidRDefault="002B4351" w:rsidP="00E60981">
      <w:pPr>
        <w:pStyle w:val="SingleTxtG"/>
      </w:pPr>
      <w:r>
        <w:t>4.2</w:t>
      </w:r>
      <w:r w:rsidR="00CB6FDB">
        <w:tab/>
      </w:r>
      <w:r w:rsidR="00EC53FB">
        <w:t xml:space="preserve">The State party alleges that, should the communication be </w:t>
      </w:r>
      <w:r w:rsidR="00EC53FB" w:rsidRPr="0063521E">
        <w:t xml:space="preserve">considered admissible, the facts as presented by the author do not reveal a violation of article 7 of the Covenant. The State party cites the </w:t>
      </w:r>
      <w:r w:rsidR="00DD28A2" w:rsidRPr="0063521E">
        <w:t>Committee</w:t>
      </w:r>
      <w:r w:rsidR="00EC53FB" w:rsidRPr="0063521E">
        <w:t xml:space="preserve"> jurisprudence according to which the risk of being subjected to torture or ill</w:t>
      </w:r>
      <w:r w:rsidR="006938DA">
        <w:t>-</w:t>
      </w:r>
      <w:r w:rsidR="00EC53FB" w:rsidRPr="0063521E">
        <w:t>treatment must be personal and the author must</w:t>
      </w:r>
      <w:r w:rsidR="00EC53FB">
        <w:t xml:space="preserve"> provide substantial grounds to establish that a real risk of irreparable harm exists.</w:t>
      </w:r>
      <w:r w:rsidR="00EC53FB">
        <w:rPr>
          <w:rStyle w:val="FootnoteReference"/>
        </w:rPr>
        <w:footnoteReference w:id="4"/>
      </w:r>
      <w:r w:rsidR="00EC53FB">
        <w:t xml:space="preserve"> </w:t>
      </w:r>
    </w:p>
    <w:p w14:paraId="0447452F" w14:textId="77777777" w:rsidR="00CB6FDB" w:rsidRDefault="00223E8F">
      <w:pPr>
        <w:pStyle w:val="SingleTxtG"/>
      </w:pPr>
      <w:r>
        <w:t>4.3</w:t>
      </w:r>
      <w:r>
        <w:tab/>
      </w:r>
      <w:r w:rsidR="00CB6FDB">
        <w:t>The State party informs the Committee</w:t>
      </w:r>
      <w:r>
        <w:t xml:space="preserve"> that, pursuant to section 7 (1) of the </w:t>
      </w:r>
      <w:r w:rsidR="00AF38A6">
        <w:t xml:space="preserve">Danish </w:t>
      </w:r>
      <w:r w:rsidRPr="00A42C45">
        <w:t xml:space="preserve">Aliens Act, a residence permit will be issued to an alien upon application if </w:t>
      </w:r>
      <w:r w:rsidR="00E140EB" w:rsidRPr="0063521E">
        <w:t xml:space="preserve">he or she falls under </w:t>
      </w:r>
      <w:r w:rsidRPr="0063521E">
        <w:t xml:space="preserve">the Convention </w:t>
      </w:r>
      <w:r w:rsidR="0063521E">
        <w:t>r</w:t>
      </w:r>
      <w:r w:rsidRPr="0063521E">
        <w:t>elating to the Status of Refugees. Pursuant to section 7</w:t>
      </w:r>
      <w:r w:rsidR="00AF64C4" w:rsidRPr="0063521E">
        <w:t> </w:t>
      </w:r>
      <w:r w:rsidRPr="0063521E">
        <w:t>(2) of the Aliens Act, a residence permit</w:t>
      </w:r>
      <w:r w:rsidRPr="00E140EB">
        <w:t xml:space="preserve"> will </w:t>
      </w:r>
      <w:r w:rsidR="001106A5" w:rsidRPr="00E140EB">
        <w:t>also</w:t>
      </w:r>
      <w:r w:rsidRPr="00E140EB">
        <w:t xml:space="preserve"> be issued to an alien if </w:t>
      </w:r>
      <w:r w:rsidR="00A76C94" w:rsidRPr="00E140EB">
        <w:t xml:space="preserve">he or she is at risk of </w:t>
      </w:r>
      <w:r w:rsidRPr="00E140EB">
        <w:t xml:space="preserve">being subjected to </w:t>
      </w:r>
      <w:r w:rsidR="00A76C94" w:rsidRPr="00E140EB">
        <w:t xml:space="preserve">the </w:t>
      </w:r>
      <w:r w:rsidRPr="00E140EB">
        <w:t>death</w:t>
      </w:r>
      <w:r>
        <w:t xml:space="preserve"> penalty or torture or ill</w:t>
      </w:r>
      <w:r w:rsidR="006938DA">
        <w:t>-</w:t>
      </w:r>
      <w:r>
        <w:t>treatment. The Refugee Appeals Board will consider the conditions for issuing a residence permit under section 7</w:t>
      </w:r>
      <w:r w:rsidR="00AF64C4">
        <w:t> </w:t>
      </w:r>
      <w:r>
        <w:t xml:space="preserve">(2) of the Aliens Act to be met when there are specific and individual factors substantiating that the asylum seeker will be exposed to a real risk of </w:t>
      </w:r>
      <w:r w:rsidR="00A76C94">
        <w:t xml:space="preserve">the </w:t>
      </w:r>
      <w:r>
        <w:t xml:space="preserve">death penalty or torture in case of return to </w:t>
      </w:r>
      <w:r w:rsidR="00A76C94">
        <w:t xml:space="preserve">his or her </w:t>
      </w:r>
      <w:r>
        <w:t>country of origin. The Aliens Act further requires that any refusal of an asylum request be accompanied by a decision on the existence of this risk</w:t>
      </w:r>
      <w:r w:rsidR="00170ADC">
        <w:t xml:space="preserve">. To ensure that the </w:t>
      </w:r>
      <w:r w:rsidR="00A76C94">
        <w:t xml:space="preserve">Board </w:t>
      </w:r>
      <w:r w:rsidR="00170ADC">
        <w:t xml:space="preserve">makes its </w:t>
      </w:r>
      <w:r w:rsidR="00170ADC" w:rsidRPr="00D21C47">
        <w:t xml:space="preserve">decision in accordance with Denmark’s international obligations, the </w:t>
      </w:r>
      <w:r w:rsidR="00A76C94" w:rsidRPr="00D21C47">
        <w:t xml:space="preserve">Board </w:t>
      </w:r>
      <w:r w:rsidR="00170ADC" w:rsidRPr="00D21C47">
        <w:t xml:space="preserve">and the </w:t>
      </w:r>
      <w:r w:rsidR="00043F82">
        <w:t>Danish Immigration Service</w:t>
      </w:r>
      <w:r w:rsidR="00043F82" w:rsidRPr="00D21C47">
        <w:t xml:space="preserve"> </w:t>
      </w:r>
      <w:r w:rsidR="00170ADC" w:rsidRPr="00D21C47">
        <w:t>have jointly drafted a number of memorand</w:t>
      </w:r>
      <w:r w:rsidR="00A76C94" w:rsidRPr="00D21C47">
        <w:t>ums</w:t>
      </w:r>
      <w:r w:rsidR="00170ADC" w:rsidRPr="00D21C47">
        <w:t xml:space="preserve"> describing in detail the legal protection of</w:t>
      </w:r>
      <w:r w:rsidR="00170ADC">
        <w:t xml:space="preserve"> asylum</w:t>
      </w:r>
      <w:r w:rsidR="00A76C94">
        <w:t xml:space="preserve"> </w:t>
      </w:r>
      <w:r w:rsidR="00170ADC">
        <w:t>seekers afforded by international law, in particular the Convention</w:t>
      </w:r>
      <w:r w:rsidR="0063521E">
        <w:t xml:space="preserve"> relating to the Status of Refugees</w:t>
      </w:r>
      <w:r w:rsidR="00170ADC">
        <w:t xml:space="preserve">, the Convention against Torture, the </w:t>
      </w:r>
      <w:r w:rsidR="00826A51">
        <w:t>Convention for the Protection of Human Rights and Fundamental Freedoms</w:t>
      </w:r>
      <w:r w:rsidR="00170ADC">
        <w:t xml:space="preserve"> and the International Covenant on Civil and Political Rights.</w:t>
      </w:r>
      <w:r>
        <w:t xml:space="preserve"> </w:t>
      </w:r>
    </w:p>
    <w:p w14:paraId="3D35BBC5" w14:textId="77777777" w:rsidR="00427149" w:rsidRDefault="00CB6FDB" w:rsidP="00826A51">
      <w:pPr>
        <w:pStyle w:val="SingleTxtG"/>
      </w:pPr>
      <w:r>
        <w:t>4.</w:t>
      </w:r>
      <w:r w:rsidR="00427149">
        <w:t>4</w:t>
      </w:r>
      <w:r>
        <w:tab/>
      </w:r>
      <w:r w:rsidR="00170ADC">
        <w:t>The State party further inform</w:t>
      </w:r>
      <w:r w:rsidR="00512990">
        <w:t>s</w:t>
      </w:r>
      <w:r w:rsidR="00170ADC">
        <w:t xml:space="preserve"> the </w:t>
      </w:r>
      <w:r w:rsidR="00427149">
        <w:t xml:space="preserve">Committee that proceedings before the </w:t>
      </w:r>
      <w:r w:rsidR="00A76C94">
        <w:t xml:space="preserve">Board </w:t>
      </w:r>
      <w:r w:rsidR="001106A5">
        <w:t xml:space="preserve">include an oral </w:t>
      </w:r>
      <w:r w:rsidR="00427149">
        <w:t xml:space="preserve">hearing, </w:t>
      </w:r>
      <w:r w:rsidR="00483904">
        <w:t xml:space="preserve">at which </w:t>
      </w:r>
      <w:r w:rsidR="00427149">
        <w:t>the asylum</w:t>
      </w:r>
      <w:r w:rsidR="00A76C94">
        <w:t xml:space="preserve"> </w:t>
      </w:r>
      <w:r w:rsidR="00427149">
        <w:t xml:space="preserve">seeker is allowed to make a statement and answer questions. Decisions by the </w:t>
      </w:r>
      <w:r w:rsidR="00A76C94">
        <w:t xml:space="preserve">Board </w:t>
      </w:r>
      <w:r w:rsidR="00427149">
        <w:t>are based on an individual and specific assessment of the relevant case. The asylum seeker’s statements regarding his</w:t>
      </w:r>
      <w:r w:rsidR="00A76C94">
        <w:t xml:space="preserve"> or her</w:t>
      </w:r>
      <w:r w:rsidR="00427149">
        <w:t xml:space="preserve"> grounds for asylum are assessed in </w:t>
      </w:r>
      <w:r w:rsidR="00A76C94">
        <w:t xml:space="preserve">the </w:t>
      </w:r>
      <w:r w:rsidR="00427149">
        <w:t xml:space="preserve">light of all relevant evidence, including what is known about conditions in </w:t>
      </w:r>
      <w:r w:rsidR="00A76C94">
        <w:t xml:space="preserve">his or her </w:t>
      </w:r>
      <w:r w:rsidR="00427149">
        <w:t xml:space="preserve">country of origin. </w:t>
      </w:r>
      <w:r w:rsidR="00860BBC">
        <w:t xml:space="preserve">In that regard, the </w:t>
      </w:r>
      <w:r w:rsidR="00A76C94">
        <w:t xml:space="preserve">Board </w:t>
      </w:r>
      <w:r w:rsidR="00860BBC">
        <w:t>conducts a comprehensive collection of background material on the human rights situation in the country of origin, such as whether there is a consistent pattern of gross and systematic violations.</w:t>
      </w:r>
      <w:r w:rsidR="00860BBC">
        <w:rPr>
          <w:rStyle w:val="FootnoteReference"/>
        </w:rPr>
        <w:footnoteReference w:id="5"/>
      </w:r>
      <w:r w:rsidR="00860BBC">
        <w:t xml:space="preserve"> </w:t>
      </w:r>
      <w:r w:rsidR="00427149">
        <w:t xml:space="preserve">The </w:t>
      </w:r>
      <w:r w:rsidR="00A76C94">
        <w:t xml:space="preserve">Board </w:t>
      </w:r>
      <w:r w:rsidR="00427149">
        <w:t xml:space="preserve">sees to it that all facts of the case are brought out and decides on </w:t>
      </w:r>
      <w:r w:rsidR="00826A51">
        <w:t xml:space="preserve">the basis of </w:t>
      </w:r>
      <w:r w:rsidR="00427149">
        <w:t>examination</w:t>
      </w:r>
      <w:r w:rsidR="00A42503">
        <w:t>s</w:t>
      </w:r>
      <w:r w:rsidR="00427149">
        <w:t xml:space="preserve"> of the asylum</w:t>
      </w:r>
      <w:r w:rsidR="00A76C94">
        <w:t xml:space="preserve"> </w:t>
      </w:r>
      <w:r w:rsidR="00427149">
        <w:t>seeker and witnesses and the provision of other evidence. The State party notes that an asylum</w:t>
      </w:r>
      <w:r w:rsidR="00A76C94">
        <w:t xml:space="preserve"> </w:t>
      </w:r>
      <w:r w:rsidR="00427149">
        <w:t xml:space="preserve">seeker must provide such information as is required for deciding whether </w:t>
      </w:r>
      <w:r w:rsidR="00A76C94">
        <w:t xml:space="preserve">he or she </w:t>
      </w:r>
      <w:r w:rsidR="00427149">
        <w:t>fall</w:t>
      </w:r>
      <w:r w:rsidR="00A76C94">
        <w:t>s</w:t>
      </w:r>
      <w:r w:rsidR="00427149">
        <w:t xml:space="preserve"> within section 7 of the Aliens Act. It is thus incumbent upon an asylum</w:t>
      </w:r>
      <w:r w:rsidR="00A76C94">
        <w:t xml:space="preserve"> </w:t>
      </w:r>
      <w:r w:rsidR="00427149">
        <w:t xml:space="preserve">seeker to substantiate that the conditions for granting asylum are met. </w:t>
      </w:r>
    </w:p>
    <w:p w14:paraId="51714809" w14:textId="77777777" w:rsidR="00860BBC" w:rsidRDefault="00985016">
      <w:pPr>
        <w:pStyle w:val="SingleTxtG"/>
      </w:pPr>
      <w:r w:rsidRPr="00985016">
        <w:t>4.</w:t>
      </w:r>
      <w:r w:rsidR="00427149">
        <w:t>5</w:t>
      </w:r>
      <w:r w:rsidRPr="00985016">
        <w:tab/>
      </w:r>
      <w:r w:rsidR="00427149">
        <w:t>The State party adds that, in cases in which the asylum</w:t>
      </w:r>
      <w:r w:rsidR="00A76C94">
        <w:t xml:space="preserve"> </w:t>
      </w:r>
      <w:r w:rsidR="00427149">
        <w:t>seeker’s statements throughout the proceedings are characteri</w:t>
      </w:r>
      <w:r w:rsidR="00A76C94">
        <w:t>z</w:t>
      </w:r>
      <w:r w:rsidR="00427149">
        <w:t>ed by inconsistencies or omissions, the Board will attempt to clarify the reasons</w:t>
      </w:r>
      <w:r w:rsidR="00A42503">
        <w:t xml:space="preserve"> therefor</w:t>
      </w:r>
      <w:r w:rsidR="00427149">
        <w:t xml:space="preserve">. However, inconsistent statements about crucial elements of the grounds for </w:t>
      </w:r>
      <w:r w:rsidR="00A42503">
        <w:t xml:space="preserve">requesting </w:t>
      </w:r>
      <w:r w:rsidR="00427149">
        <w:t>asylum may w</w:t>
      </w:r>
      <w:r w:rsidR="00860BBC">
        <w:t>e</w:t>
      </w:r>
      <w:r w:rsidR="00427149">
        <w:t>aken the asylum</w:t>
      </w:r>
      <w:r w:rsidR="00A76C94">
        <w:t xml:space="preserve"> </w:t>
      </w:r>
      <w:r w:rsidR="00427149">
        <w:t>seeker’s credibility. In such cases, the Board will take into account the asylum</w:t>
      </w:r>
      <w:r w:rsidR="00A76C94">
        <w:t xml:space="preserve"> </w:t>
      </w:r>
      <w:r w:rsidR="00427149">
        <w:t xml:space="preserve">seeker’s explanation for such inconsistencies and </w:t>
      </w:r>
      <w:r w:rsidR="00A76C94">
        <w:t xml:space="preserve">his or her </w:t>
      </w:r>
      <w:r w:rsidR="00427149">
        <w:t xml:space="preserve">particular situation, </w:t>
      </w:r>
      <w:r w:rsidR="00A76C94">
        <w:t xml:space="preserve">including </w:t>
      </w:r>
      <w:r w:rsidR="00860BBC">
        <w:t>age</w:t>
      </w:r>
      <w:r w:rsidR="00C0224F">
        <w:t>,</w:t>
      </w:r>
      <w:r w:rsidR="00860BBC">
        <w:t xml:space="preserve"> cultural background</w:t>
      </w:r>
      <w:r w:rsidR="00C0224F">
        <w:t>,</w:t>
      </w:r>
      <w:r w:rsidR="00860BBC">
        <w:t xml:space="preserve"> </w:t>
      </w:r>
      <w:r w:rsidR="00C0224F">
        <w:t>literacy or condition as</w:t>
      </w:r>
      <w:r w:rsidR="00427149">
        <w:t xml:space="preserve"> </w:t>
      </w:r>
      <w:r w:rsidR="00A76C94">
        <w:t xml:space="preserve">a </w:t>
      </w:r>
      <w:r w:rsidR="00427149">
        <w:t>torture</w:t>
      </w:r>
      <w:r w:rsidR="00C0224F">
        <w:t xml:space="preserve"> victim</w:t>
      </w:r>
      <w:r w:rsidR="00427149">
        <w:t xml:space="preserve">. </w:t>
      </w:r>
    </w:p>
    <w:p w14:paraId="01E56873" w14:textId="77777777" w:rsidR="00860BBC" w:rsidRDefault="002B2E9E">
      <w:pPr>
        <w:pStyle w:val="SingleTxtG"/>
      </w:pPr>
      <w:r>
        <w:t>4.</w:t>
      </w:r>
      <w:r w:rsidR="00F24FA2">
        <w:t>6</w:t>
      </w:r>
      <w:r>
        <w:tab/>
      </w:r>
      <w:r w:rsidR="00860BBC">
        <w:t xml:space="preserve">In the present case, the State party notes that the </w:t>
      </w:r>
      <w:r w:rsidR="00A76C94">
        <w:t xml:space="preserve">Board </w:t>
      </w:r>
      <w:r w:rsidR="00860BBC">
        <w:t>concluded that the asylum</w:t>
      </w:r>
      <w:r w:rsidR="006E7DD4">
        <w:t xml:space="preserve"> </w:t>
      </w:r>
      <w:r w:rsidR="00860BBC">
        <w:t>seeker’s ethnicit</w:t>
      </w:r>
      <w:r w:rsidR="005C4267">
        <w:t xml:space="preserve">y, religion </w:t>
      </w:r>
      <w:r w:rsidR="005C4267" w:rsidRPr="002B4351">
        <w:t>and</w:t>
      </w:r>
      <w:r w:rsidR="005C4267">
        <w:t xml:space="preserve"> political views could</w:t>
      </w:r>
      <w:r w:rsidR="00860BBC">
        <w:t xml:space="preserve"> </w:t>
      </w:r>
      <w:r w:rsidR="00860BBC" w:rsidRPr="00D21C47">
        <w:t xml:space="preserve">be considered as </w:t>
      </w:r>
      <w:r w:rsidR="00F24FA2" w:rsidRPr="00D21C47">
        <w:t xml:space="preserve">proven </w:t>
      </w:r>
      <w:r w:rsidR="00860BBC" w:rsidRPr="00D21C47">
        <w:t xml:space="preserve">facts but </w:t>
      </w:r>
      <w:r w:rsidR="00A76C94" w:rsidRPr="00D21C47">
        <w:t xml:space="preserve">that </w:t>
      </w:r>
      <w:r w:rsidR="005C4267" w:rsidRPr="00D21C47">
        <w:t xml:space="preserve">his activities did not constitute sufficient reason for </w:t>
      </w:r>
      <w:r w:rsidR="00D21C47" w:rsidRPr="00D21C47">
        <w:t xml:space="preserve">considering him as falling under </w:t>
      </w:r>
      <w:r w:rsidR="005C4267" w:rsidRPr="00D21C47">
        <w:t xml:space="preserve">the </w:t>
      </w:r>
      <w:r w:rsidR="00F24FA2" w:rsidRPr="00D21C47">
        <w:t xml:space="preserve">protection of the </w:t>
      </w:r>
      <w:r w:rsidR="005C4267" w:rsidRPr="00D21C47">
        <w:t>Convention</w:t>
      </w:r>
      <w:r w:rsidR="0063521E">
        <w:t xml:space="preserve"> relating to the Status of Refugees</w:t>
      </w:r>
      <w:r w:rsidR="005C4267">
        <w:t xml:space="preserve">. </w:t>
      </w:r>
    </w:p>
    <w:p w14:paraId="58E4BBD3" w14:textId="77777777" w:rsidR="005C4267" w:rsidRDefault="005C4267">
      <w:pPr>
        <w:pStyle w:val="SingleTxtG"/>
      </w:pPr>
      <w:r>
        <w:t>4.</w:t>
      </w:r>
      <w:r w:rsidR="00F24FA2">
        <w:t>7</w:t>
      </w:r>
      <w:r>
        <w:tab/>
        <w:t xml:space="preserve">The State party notes that the author has not produced any new information in his complaint to the Committee and that all </w:t>
      </w:r>
      <w:r w:rsidRPr="002B4351">
        <w:t>relevant</w:t>
      </w:r>
      <w:r>
        <w:t xml:space="preserve"> background information </w:t>
      </w:r>
      <w:r w:rsidR="00483904">
        <w:t xml:space="preserve">was </w:t>
      </w:r>
      <w:r>
        <w:t xml:space="preserve">made available and considered by the </w:t>
      </w:r>
      <w:r w:rsidR="00A76C94">
        <w:t>Board</w:t>
      </w:r>
      <w:r>
        <w:t xml:space="preserve">. After a thorough assessment of the relevant background information and </w:t>
      </w:r>
      <w:r w:rsidRPr="0063521E">
        <w:t>the author’s individual circumstances</w:t>
      </w:r>
      <w:r w:rsidR="00AF38A6" w:rsidRPr="0063521E">
        <w:t>,</w:t>
      </w:r>
      <w:r w:rsidRPr="0063521E">
        <w:t xml:space="preserve"> the </w:t>
      </w:r>
      <w:r w:rsidR="00A76C94" w:rsidRPr="0063521E">
        <w:t xml:space="preserve">Board </w:t>
      </w:r>
      <w:r w:rsidRPr="0063521E">
        <w:t xml:space="preserve">concluded that the author was not at risk of </w:t>
      </w:r>
      <w:r w:rsidR="00483904" w:rsidRPr="005B15B9">
        <w:t xml:space="preserve">treatment contrary to </w:t>
      </w:r>
      <w:r w:rsidRPr="0063521E">
        <w:t xml:space="preserve">article 7 of the </w:t>
      </w:r>
      <w:r w:rsidR="00A42503" w:rsidRPr="0063521E">
        <w:t>Covenant</w:t>
      </w:r>
      <w:r w:rsidRPr="0063521E">
        <w:t>.</w:t>
      </w:r>
    </w:p>
    <w:p w14:paraId="5A066266" w14:textId="77777777" w:rsidR="00AF38A6" w:rsidRPr="00AF7BA8" w:rsidRDefault="003878C6">
      <w:pPr>
        <w:pStyle w:val="SingleTxtG"/>
      </w:pPr>
      <w:r w:rsidRPr="00AF7BA8">
        <w:t>4.</w:t>
      </w:r>
      <w:r w:rsidR="00F24FA2" w:rsidRPr="00AF7BA8">
        <w:t>8</w:t>
      </w:r>
      <w:r w:rsidRPr="00AF7BA8">
        <w:tab/>
        <w:t xml:space="preserve">The State party </w:t>
      </w:r>
      <w:r w:rsidR="005353EF" w:rsidRPr="00AF7BA8">
        <w:t xml:space="preserve">cites several sources of </w:t>
      </w:r>
      <w:r w:rsidR="00AF38A6" w:rsidRPr="00AF7BA8">
        <w:t xml:space="preserve">background </w:t>
      </w:r>
      <w:r w:rsidR="005353EF" w:rsidRPr="00AF7BA8">
        <w:t>information referring to the situation of Kurd</w:t>
      </w:r>
      <w:r w:rsidR="00C0224F" w:rsidRPr="00AF7BA8">
        <w:t>ish</w:t>
      </w:r>
      <w:r w:rsidR="005353EF" w:rsidRPr="00AF7BA8">
        <w:t xml:space="preserve"> Iranian refugees in Iraq, according to which </w:t>
      </w:r>
      <w:r w:rsidRPr="00AF7BA8">
        <w:t xml:space="preserve">the International Committee of the Red Cross had facilitated the return of former Iranian refugees of Kurdish origin from northern Iraq to </w:t>
      </w:r>
      <w:r w:rsidR="00A76C94" w:rsidRPr="00AF7BA8">
        <w:rPr>
          <w:lang w:val="en-US"/>
        </w:rPr>
        <w:t xml:space="preserve">the Islamic Republic of </w:t>
      </w:r>
      <w:r w:rsidRPr="00AF7BA8">
        <w:t>Iran.</w:t>
      </w:r>
      <w:r w:rsidRPr="00F77CA9">
        <w:rPr>
          <w:rStyle w:val="FootnoteReference"/>
          <w:sz w:val="20"/>
        </w:rPr>
        <w:footnoteReference w:id="6"/>
      </w:r>
      <w:r w:rsidRPr="00AF7BA8">
        <w:t xml:space="preserve"> The State party adds that several former active opponents of the Iranian </w:t>
      </w:r>
      <w:r w:rsidRPr="00950DD9">
        <w:t>regime, includ</w:t>
      </w:r>
      <w:r w:rsidR="005353EF" w:rsidRPr="00950DD9">
        <w:t xml:space="preserve">ing members of the </w:t>
      </w:r>
      <w:r w:rsidR="00AF7BA8" w:rsidRPr="005B15B9">
        <w:rPr>
          <w:rStyle w:val="en"/>
        </w:rPr>
        <w:t xml:space="preserve">Mujaheddin e </w:t>
      </w:r>
      <w:r w:rsidRPr="00B534CA">
        <w:t xml:space="preserve">Khalq </w:t>
      </w:r>
      <w:r w:rsidR="00AF7BA8" w:rsidRPr="005B15B9">
        <w:t>o</w:t>
      </w:r>
      <w:r w:rsidRPr="00B534CA">
        <w:t xml:space="preserve">rganization had returned voluntarily </w:t>
      </w:r>
      <w:r w:rsidR="00C0224F" w:rsidRPr="00B534CA">
        <w:t xml:space="preserve">and </w:t>
      </w:r>
      <w:r w:rsidRPr="00B534CA">
        <w:t>in an</w:t>
      </w:r>
      <w:r w:rsidRPr="00950DD9">
        <w:t xml:space="preserve"> organized manner to </w:t>
      </w:r>
      <w:r w:rsidR="00A76C94" w:rsidRPr="00950DD9">
        <w:rPr>
          <w:lang w:val="en-US"/>
        </w:rPr>
        <w:t>the Islamic Republic of</w:t>
      </w:r>
      <w:r w:rsidR="00A76C94" w:rsidRPr="00AF7BA8">
        <w:rPr>
          <w:lang w:val="en-US"/>
        </w:rPr>
        <w:t xml:space="preserve"> </w:t>
      </w:r>
      <w:r w:rsidRPr="00AF7BA8">
        <w:t>Iran.</w:t>
      </w:r>
      <w:r w:rsidR="00FA3B20" w:rsidRPr="00AF7BA8">
        <w:t xml:space="preserve"> The State party cites </w:t>
      </w:r>
      <w:r w:rsidR="00FA3B20" w:rsidRPr="00950DD9">
        <w:t>analy</w:t>
      </w:r>
      <w:r w:rsidR="003368E0" w:rsidRPr="00950DD9">
        <w:t xml:space="preserve">st Ziryan Roj Helaty, </w:t>
      </w:r>
      <w:r w:rsidR="00FA3B20" w:rsidRPr="00950DD9">
        <w:t xml:space="preserve">according to whom </w:t>
      </w:r>
      <w:r w:rsidR="003368E0" w:rsidRPr="00950DD9">
        <w:t xml:space="preserve">refugees from Al-Tash camp with no political affiliation would be able to return to </w:t>
      </w:r>
      <w:r w:rsidR="00A76C94" w:rsidRPr="00950DD9">
        <w:rPr>
          <w:lang w:val="en-US"/>
        </w:rPr>
        <w:t xml:space="preserve">the Islamic Republic of </w:t>
      </w:r>
      <w:r w:rsidR="003368E0" w:rsidRPr="00950DD9">
        <w:t>Iran.</w:t>
      </w:r>
      <w:r w:rsidR="005353EF" w:rsidRPr="00F77CA9">
        <w:rPr>
          <w:rStyle w:val="FootnoteReference"/>
          <w:sz w:val="20"/>
        </w:rPr>
        <w:footnoteReference w:id="7"/>
      </w:r>
      <w:r w:rsidR="003368E0" w:rsidRPr="00950DD9">
        <w:t xml:space="preserve"> </w:t>
      </w:r>
      <w:r w:rsidR="00CF2FE4" w:rsidRPr="00950DD9">
        <w:t>The State party notes that there is no available information</w:t>
      </w:r>
      <w:r w:rsidR="00CF2FE4" w:rsidRPr="00AF7BA8">
        <w:t xml:space="preserve"> indicating that Iranian nationals from Al-Tash camp or Barika camp would be subjected to abuse by Iranian authorities upon return to </w:t>
      </w:r>
      <w:r w:rsidR="00A76C94" w:rsidRPr="00AF7BA8">
        <w:t>that country</w:t>
      </w:r>
      <w:r w:rsidR="00CF2FE4" w:rsidRPr="00AF7BA8">
        <w:t xml:space="preserve">. According to the </w:t>
      </w:r>
      <w:r w:rsidR="00A42503" w:rsidRPr="00AF7BA8">
        <w:t xml:space="preserve">aforementioned </w:t>
      </w:r>
      <w:r w:rsidR="00CF2FE4" w:rsidRPr="00AF7BA8">
        <w:t>background information, it has been possible even for former</w:t>
      </w:r>
      <w:r w:rsidR="00A42503" w:rsidRPr="00AF7BA8">
        <w:t>ly</w:t>
      </w:r>
      <w:r w:rsidR="00CF2FE4" w:rsidRPr="00AF7BA8">
        <w:t xml:space="preserve"> active opponents to the Iranian regime to return to </w:t>
      </w:r>
      <w:r w:rsidR="00A76C94" w:rsidRPr="00AF7BA8">
        <w:t xml:space="preserve">the country </w:t>
      </w:r>
      <w:r w:rsidR="00CF2FE4" w:rsidRPr="00AF7BA8">
        <w:t xml:space="preserve">without risking persecution or abuse. </w:t>
      </w:r>
    </w:p>
    <w:p w14:paraId="41F9BE3E" w14:textId="77777777" w:rsidR="002B2E9E" w:rsidRDefault="00AF38A6">
      <w:pPr>
        <w:pStyle w:val="SingleTxtG"/>
      </w:pPr>
      <w:r>
        <w:t>4.</w:t>
      </w:r>
      <w:r w:rsidR="00F24FA2">
        <w:t>9</w:t>
      </w:r>
      <w:r>
        <w:tab/>
        <w:t>B</w:t>
      </w:r>
      <w:r w:rsidR="00CF2FE4">
        <w:t xml:space="preserve">ased on an overall assessment of the background information available and the information submitted by the author, </w:t>
      </w:r>
      <w:r>
        <w:t xml:space="preserve">the State party concludes </w:t>
      </w:r>
      <w:r w:rsidR="00CF2FE4">
        <w:t xml:space="preserve">there is no basis to suggest that his birth and childhood spent at </w:t>
      </w:r>
      <w:r w:rsidR="00CF2FE4" w:rsidRPr="002B4351">
        <w:t>the</w:t>
      </w:r>
      <w:r w:rsidR="00CF2FE4">
        <w:t xml:space="preserve"> Al-Tash refugee camp in Iraq and his subsequent stay at the Barika camp would</w:t>
      </w:r>
      <w:r w:rsidR="00A42503">
        <w:t>, by themselves,</w:t>
      </w:r>
      <w:r w:rsidR="00CF2FE4">
        <w:t xml:space="preserve"> signify that, if returned to </w:t>
      </w:r>
      <w:r w:rsidR="00A76C94">
        <w:rPr>
          <w:lang w:val="en-US"/>
        </w:rPr>
        <w:t xml:space="preserve">the Islamic Republic of </w:t>
      </w:r>
      <w:r w:rsidR="00CF2FE4">
        <w:t xml:space="preserve">Iran, the author would be at a particular risk of being subjected to treatment contrary to article 7 of the Covenant because the Iranian intelligence service would use him as an informer. This applies even if the author may become an object of general interest to the Iranian authorities in the event of his return. </w:t>
      </w:r>
    </w:p>
    <w:p w14:paraId="25042C8A" w14:textId="77777777" w:rsidR="005E014B" w:rsidRDefault="005E014B">
      <w:pPr>
        <w:pStyle w:val="SingleTxtG"/>
      </w:pPr>
      <w:r>
        <w:t>4.</w:t>
      </w:r>
      <w:r w:rsidR="00F24FA2">
        <w:t>10</w:t>
      </w:r>
      <w:r w:rsidR="002B4351">
        <w:tab/>
      </w:r>
      <w:r w:rsidR="00AF38A6">
        <w:t xml:space="preserve">The State party notes that the </w:t>
      </w:r>
      <w:r w:rsidR="00AF38A6" w:rsidRPr="002B4351">
        <w:t>author</w:t>
      </w:r>
      <w:r w:rsidR="00AF38A6">
        <w:t xml:space="preserve"> has not been politically active even to a modest extent. In </w:t>
      </w:r>
      <w:r w:rsidR="00A76C94">
        <w:t xml:space="preserve">the </w:t>
      </w:r>
      <w:r w:rsidR="00AF38A6">
        <w:t xml:space="preserve">light of his limited activities (participating in folk </w:t>
      </w:r>
      <w:r w:rsidR="00AF38A6" w:rsidRPr="00950DD9">
        <w:t>danc</w:t>
      </w:r>
      <w:r w:rsidR="00483904" w:rsidRPr="00950DD9">
        <w:t>es</w:t>
      </w:r>
      <w:r w:rsidR="00AF38A6" w:rsidRPr="00950DD9">
        <w:t xml:space="preserve"> and meetings), he has not been profiled as a politically active person. </w:t>
      </w:r>
      <w:r w:rsidR="004C6E5E" w:rsidRPr="00950DD9">
        <w:t xml:space="preserve">As regards the political activities of the author’s father and brother, the State party observes that these </w:t>
      </w:r>
      <w:r w:rsidR="00A42503" w:rsidRPr="00950DD9">
        <w:t xml:space="preserve">occurred a long time ago, </w:t>
      </w:r>
      <w:r w:rsidR="004C6E5E" w:rsidRPr="00950DD9">
        <w:t>and ceased in 1979, when the current Iranian regime assumed power. Therefore, these activities were allegedly targeted under the former</w:t>
      </w:r>
      <w:r w:rsidR="004C6E5E">
        <w:t xml:space="preserve"> Shah’s regime</w:t>
      </w:r>
      <w:r w:rsidR="00483904">
        <w:t>,</w:t>
      </w:r>
      <w:r w:rsidR="004C6E5E">
        <w:t xml:space="preserve"> </w:t>
      </w:r>
      <w:r w:rsidR="00483904">
        <w:t xml:space="preserve">which </w:t>
      </w:r>
      <w:r w:rsidR="004C6E5E">
        <w:t>was later brought down.</w:t>
      </w:r>
    </w:p>
    <w:p w14:paraId="2C2D5FB5" w14:textId="77777777" w:rsidR="004C6E5E" w:rsidRPr="0095655F" w:rsidRDefault="004C6E5E">
      <w:pPr>
        <w:pStyle w:val="SingleTxtG"/>
      </w:pPr>
      <w:r>
        <w:t>4.1</w:t>
      </w:r>
      <w:r w:rsidR="00F24FA2">
        <w:t>1</w:t>
      </w:r>
      <w:r>
        <w:tab/>
        <w:t xml:space="preserve">The State party concludes, in </w:t>
      </w:r>
      <w:r w:rsidRPr="0095655F">
        <w:t xml:space="preserve">line with the </w:t>
      </w:r>
      <w:r w:rsidR="00576D00" w:rsidRPr="0095655F">
        <w:t>Refugee Appeals Board</w:t>
      </w:r>
      <w:r w:rsidRPr="0095655F">
        <w:t xml:space="preserve">, that the author has failed to </w:t>
      </w:r>
      <w:r w:rsidR="00950DD9" w:rsidRPr="0095655F">
        <w:t xml:space="preserve">prove the likelihood of </w:t>
      </w:r>
      <w:r w:rsidRPr="0095655F">
        <w:t xml:space="preserve">his claim that his father and brother’s activities in </w:t>
      </w:r>
      <w:r w:rsidR="00D858BC" w:rsidRPr="0095655F">
        <w:t xml:space="preserve">the Islamic Republic of </w:t>
      </w:r>
      <w:r w:rsidRPr="0095655F">
        <w:t xml:space="preserve">Iran or the family’s combined activities have been of such </w:t>
      </w:r>
      <w:r w:rsidR="00483904" w:rsidRPr="0095655F">
        <w:t xml:space="preserve">a </w:t>
      </w:r>
      <w:r w:rsidRPr="0095655F">
        <w:t xml:space="preserve">nature and intensity that the author would </w:t>
      </w:r>
      <w:r w:rsidR="00D858BC" w:rsidRPr="0095655F">
        <w:t xml:space="preserve">be at </w:t>
      </w:r>
      <w:r w:rsidRPr="0095655F">
        <w:t xml:space="preserve">risk </w:t>
      </w:r>
      <w:r w:rsidR="00D858BC" w:rsidRPr="0095655F">
        <w:t xml:space="preserve">of </w:t>
      </w:r>
      <w:r w:rsidRPr="0095655F">
        <w:t xml:space="preserve">being subjected to treatment falling </w:t>
      </w:r>
      <w:r w:rsidR="00576D00" w:rsidRPr="0095655F">
        <w:t xml:space="preserve">under </w:t>
      </w:r>
      <w:r w:rsidRPr="0095655F">
        <w:t xml:space="preserve">article 7 of the Covenant. The State party therefore submits that the author’s return to </w:t>
      </w:r>
      <w:r w:rsidR="00D858BC" w:rsidRPr="0095655F">
        <w:t xml:space="preserve">the Islamic Republic of </w:t>
      </w:r>
      <w:r w:rsidRPr="0095655F">
        <w:t>Iran will not constitute a violation of article 7.</w:t>
      </w:r>
    </w:p>
    <w:p w14:paraId="63BD77B9" w14:textId="77777777" w:rsidR="004C6E5E" w:rsidRPr="0095655F" w:rsidRDefault="004C6E5E">
      <w:pPr>
        <w:pStyle w:val="SingleTxtG"/>
        <w:spacing w:line="240" w:lineRule="auto"/>
      </w:pPr>
      <w:r w:rsidRPr="0095655F">
        <w:t>4.1</w:t>
      </w:r>
      <w:r w:rsidR="00F24FA2" w:rsidRPr="0095655F">
        <w:t>2</w:t>
      </w:r>
      <w:r w:rsidRPr="0095655F">
        <w:tab/>
        <w:t xml:space="preserve">The State party notes that, on 16 June 2014, the </w:t>
      </w:r>
      <w:r w:rsidR="00576D00" w:rsidRPr="0095655F">
        <w:t xml:space="preserve">Refugee Appeals Board </w:t>
      </w:r>
      <w:r w:rsidRPr="0095655F">
        <w:t xml:space="preserve">suspended the time limit for the author’s departure from Denmark until further notice, in compliance with the Committee’s request. Considering that the author has failed to </w:t>
      </w:r>
      <w:r w:rsidR="00950DD9" w:rsidRPr="0095655F">
        <w:t>prove the likelihood</w:t>
      </w:r>
      <w:r w:rsidRPr="0095655F">
        <w:t xml:space="preserve"> that, if returned to </w:t>
      </w:r>
      <w:r w:rsidR="00D858BC" w:rsidRPr="0095655F">
        <w:t xml:space="preserve">the Islamic Republic of </w:t>
      </w:r>
      <w:r w:rsidRPr="0095655F">
        <w:t>Iran, he will be at risk of suffering irreparable damage, the State party request</w:t>
      </w:r>
      <w:r w:rsidR="00D858BC" w:rsidRPr="0095655F">
        <w:t>s</w:t>
      </w:r>
      <w:r w:rsidRPr="0095655F">
        <w:t xml:space="preserve"> that the Committee’s request for interim measures be lifted.</w:t>
      </w:r>
    </w:p>
    <w:p w14:paraId="76A6CD4B" w14:textId="77777777" w:rsidR="003521FD" w:rsidRPr="0095655F" w:rsidRDefault="003521FD" w:rsidP="006358CB">
      <w:pPr>
        <w:pStyle w:val="H23G"/>
        <w:spacing w:line="240" w:lineRule="auto"/>
      </w:pPr>
      <w:r w:rsidRPr="0095655F">
        <w:tab/>
      </w:r>
      <w:r w:rsidRPr="0095655F">
        <w:tab/>
        <w:t>Author’s comments on the State party’s observations</w:t>
      </w:r>
    </w:p>
    <w:p w14:paraId="781EB552" w14:textId="77777777" w:rsidR="00D336E4" w:rsidRDefault="003521FD" w:rsidP="00826A51">
      <w:pPr>
        <w:pStyle w:val="SingleTxtG"/>
      </w:pPr>
      <w:r w:rsidRPr="0095655F">
        <w:t>5.1</w:t>
      </w:r>
      <w:r w:rsidRPr="0095655F">
        <w:tab/>
        <w:t xml:space="preserve">On </w:t>
      </w:r>
      <w:r w:rsidR="004C6E5E" w:rsidRPr="0095655F">
        <w:t>17 January 2015</w:t>
      </w:r>
      <w:r w:rsidRPr="0095655F">
        <w:t>, the author submitted</w:t>
      </w:r>
      <w:r>
        <w:t xml:space="preserve"> h</w:t>
      </w:r>
      <w:r w:rsidR="005E014B">
        <w:t>is</w:t>
      </w:r>
      <w:r>
        <w:t xml:space="preserve"> comments on the State party’</w:t>
      </w:r>
      <w:r w:rsidR="00D336E4">
        <w:t>s observations</w:t>
      </w:r>
      <w:r w:rsidR="00D44383">
        <w:t xml:space="preserve">. </w:t>
      </w:r>
      <w:r w:rsidR="00D336E4">
        <w:t xml:space="preserve">The author insists that </w:t>
      </w:r>
      <w:r w:rsidR="00483904">
        <w:t>his</w:t>
      </w:r>
      <w:r w:rsidR="00D336E4">
        <w:t xml:space="preserve"> family ha</w:t>
      </w:r>
      <w:r w:rsidR="00826A51">
        <w:t>s</w:t>
      </w:r>
      <w:r w:rsidR="00D336E4">
        <w:t xml:space="preserve"> been recognized by UNHCR as refugees and </w:t>
      </w:r>
      <w:r w:rsidR="00826A51">
        <w:t xml:space="preserve">that </w:t>
      </w:r>
      <w:r w:rsidR="008106EA">
        <w:t xml:space="preserve">the relevant </w:t>
      </w:r>
      <w:r w:rsidR="00D336E4">
        <w:t xml:space="preserve">certificate </w:t>
      </w:r>
      <w:r w:rsidR="00826A51">
        <w:t xml:space="preserve">was </w:t>
      </w:r>
      <w:r w:rsidR="00D336E4" w:rsidRPr="002B4351">
        <w:t>renewed</w:t>
      </w:r>
      <w:r w:rsidR="00D336E4">
        <w:t xml:space="preserve"> in 2011, which mean</w:t>
      </w:r>
      <w:r w:rsidR="00826A51">
        <w:t>s</w:t>
      </w:r>
      <w:r w:rsidR="00D336E4">
        <w:t xml:space="preserve"> that UNHCR </w:t>
      </w:r>
      <w:r w:rsidR="00826A51">
        <w:t xml:space="preserve">does </w:t>
      </w:r>
      <w:r w:rsidR="00D336E4">
        <w:t>not consider that the need for protection ha</w:t>
      </w:r>
      <w:r w:rsidR="00826A51">
        <w:t>s</w:t>
      </w:r>
      <w:r w:rsidR="00D336E4">
        <w:t xml:space="preserve"> ceased. The author further insists that </w:t>
      </w:r>
      <w:r w:rsidR="00826A51">
        <w:t xml:space="preserve">his </w:t>
      </w:r>
      <w:r w:rsidR="00D336E4">
        <w:t xml:space="preserve">family is considered to be politically active and </w:t>
      </w:r>
      <w:r w:rsidR="00D858BC">
        <w:t xml:space="preserve">at </w:t>
      </w:r>
      <w:r w:rsidR="00D336E4">
        <w:t>risk of persecution.</w:t>
      </w:r>
    </w:p>
    <w:p w14:paraId="4D1F0D63" w14:textId="77777777" w:rsidR="00D336E4" w:rsidRDefault="00D336E4">
      <w:pPr>
        <w:pStyle w:val="SingleTxtG"/>
      </w:pPr>
      <w:r>
        <w:t>5.</w:t>
      </w:r>
      <w:r w:rsidR="00D44383">
        <w:t>2</w:t>
      </w:r>
      <w:r>
        <w:tab/>
        <w:t xml:space="preserve">The author notes that, according to the same reports invoked by the State party, the now closed Al-Tash camp in Iraq </w:t>
      </w:r>
      <w:r w:rsidR="00826A51">
        <w:t xml:space="preserve">was </w:t>
      </w:r>
      <w:r>
        <w:t xml:space="preserve">known to </w:t>
      </w:r>
      <w:r w:rsidR="00826A51">
        <w:t xml:space="preserve">have been </w:t>
      </w:r>
      <w:r>
        <w:t>under the control of PDKI and, hence, Iranian authorities view</w:t>
      </w:r>
      <w:r w:rsidR="008106EA">
        <w:t xml:space="preserve"> </w:t>
      </w:r>
      <w:r>
        <w:t>refugees from th</w:t>
      </w:r>
      <w:r w:rsidR="008106EA">
        <w:t>o</w:t>
      </w:r>
      <w:r>
        <w:t xml:space="preserve">se camps as “ex-affiliates” of PDKI. </w:t>
      </w:r>
      <w:r w:rsidR="00D44383">
        <w:t xml:space="preserve">It would be difficult for </w:t>
      </w:r>
      <w:r>
        <w:t>K</w:t>
      </w:r>
      <w:r w:rsidR="00D44383">
        <w:t>urds from th</w:t>
      </w:r>
      <w:r w:rsidR="008106EA">
        <w:t>o</w:t>
      </w:r>
      <w:r w:rsidR="00D44383">
        <w:t>se camps</w:t>
      </w:r>
      <w:r>
        <w:t xml:space="preserve"> </w:t>
      </w:r>
      <w:r w:rsidR="00D44383">
        <w:t xml:space="preserve">to be repatriated to </w:t>
      </w:r>
      <w:r w:rsidR="00D858BC">
        <w:t xml:space="preserve">the Islamic Republic of </w:t>
      </w:r>
      <w:r w:rsidR="00D44383">
        <w:t>Iran, especially if they ha</w:t>
      </w:r>
      <w:r w:rsidR="00826A51">
        <w:t>ve</w:t>
      </w:r>
      <w:r w:rsidR="00D44383">
        <w:t xml:space="preserve"> a family member who </w:t>
      </w:r>
      <w:r w:rsidR="00826A51">
        <w:t>was</w:t>
      </w:r>
      <w:r w:rsidR="00D44383">
        <w:t xml:space="preserve"> a Kurdish activist at some point. The author notes that the State party cited passages in the reports that </w:t>
      </w:r>
      <w:r w:rsidR="00D44383" w:rsidRPr="002B4351">
        <w:t>referred</w:t>
      </w:r>
      <w:r w:rsidR="00D44383">
        <w:t xml:space="preserve"> to former MKO members and other refugees in northern Iraq, who have a different history and political view</w:t>
      </w:r>
      <w:r w:rsidR="008106EA">
        <w:t>s</w:t>
      </w:r>
      <w:r w:rsidR="00D44383">
        <w:t xml:space="preserve"> than </w:t>
      </w:r>
      <w:r w:rsidR="008F612E">
        <w:t xml:space="preserve">those </w:t>
      </w:r>
      <w:r w:rsidR="00D44383">
        <w:t>of Al-Tash camp refugees. All sources agree that Al-Tash camp refugees would be of interest to Iranian authorities.</w:t>
      </w:r>
    </w:p>
    <w:p w14:paraId="3B517FE2" w14:textId="77777777" w:rsidR="00FF6537" w:rsidRDefault="00FF6537">
      <w:pPr>
        <w:pStyle w:val="SingleTxtG"/>
        <w:spacing w:line="240" w:lineRule="auto"/>
      </w:pPr>
      <w:r>
        <w:t>5.3</w:t>
      </w:r>
      <w:r>
        <w:tab/>
        <w:t xml:space="preserve">The author challenges the State party’s statement that his family was not </w:t>
      </w:r>
      <w:r w:rsidR="008106EA">
        <w:t xml:space="preserve">politically </w:t>
      </w:r>
      <w:r>
        <w:t xml:space="preserve">active </w:t>
      </w:r>
      <w:r w:rsidR="00826A51">
        <w:t xml:space="preserve">after arriving </w:t>
      </w:r>
      <w:r w:rsidRPr="006E7DD4">
        <w:t xml:space="preserve">in Iraq in 1979. He notes that all refugees in the Al-Tash camp </w:t>
      </w:r>
      <w:r w:rsidR="006E7DD4" w:rsidRPr="006E7DD4">
        <w:t xml:space="preserve">supported </w:t>
      </w:r>
      <w:r w:rsidRPr="006E7DD4">
        <w:t>PDKI, although</w:t>
      </w:r>
      <w:r>
        <w:t xml:space="preserve"> his father and brother were no longer engaged at the level that they had been while in </w:t>
      </w:r>
      <w:r w:rsidR="00D858BC">
        <w:t xml:space="preserve">the Islamic Republic of </w:t>
      </w:r>
      <w:r>
        <w:t>Iran.</w:t>
      </w:r>
    </w:p>
    <w:p w14:paraId="40A3D0AD" w14:textId="77777777" w:rsidR="00FF6537" w:rsidRDefault="00FF6537">
      <w:pPr>
        <w:pStyle w:val="SingleTxtG"/>
        <w:spacing w:line="240" w:lineRule="auto"/>
      </w:pPr>
      <w:r>
        <w:t>5.4</w:t>
      </w:r>
      <w:r>
        <w:tab/>
        <w:t xml:space="preserve">The </w:t>
      </w:r>
      <w:r w:rsidR="00022F2F">
        <w:t>author</w:t>
      </w:r>
      <w:r>
        <w:t xml:space="preserve"> adds that the </w:t>
      </w:r>
      <w:r w:rsidR="00D858BC">
        <w:t xml:space="preserve">Government of the Islamic Republic of </w:t>
      </w:r>
      <w:r w:rsidR="00FA109D">
        <w:t xml:space="preserve">Iran </w:t>
      </w:r>
      <w:r>
        <w:t>is known to us</w:t>
      </w:r>
      <w:r w:rsidR="00711EA4">
        <w:t>e</w:t>
      </w:r>
      <w:r>
        <w:t xml:space="preserve"> torture in connection with imprisonment.</w:t>
      </w:r>
    </w:p>
    <w:p w14:paraId="678952F0" w14:textId="77777777" w:rsidR="00D44383" w:rsidRDefault="00D44383">
      <w:pPr>
        <w:pStyle w:val="SingleTxtG"/>
        <w:spacing w:line="240" w:lineRule="auto"/>
      </w:pPr>
      <w:r>
        <w:t>5.</w:t>
      </w:r>
      <w:r w:rsidR="00FF6537">
        <w:t>5</w:t>
      </w:r>
      <w:r>
        <w:tab/>
        <w:t xml:space="preserve">The author concludes that he has sufficiently substantiated his risk of being subjected to torture or ill-treatment if returned to </w:t>
      </w:r>
      <w:r w:rsidR="00D858BC">
        <w:t xml:space="preserve">the Islamic Republic of </w:t>
      </w:r>
      <w:r>
        <w:t>Iran, and he requests that interim measures be maintained.</w:t>
      </w:r>
    </w:p>
    <w:p w14:paraId="1A3FB614" w14:textId="77777777" w:rsidR="003521FD" w:rsidRPr="00A36331" w:rsidRDefault="003521FD" w:rsidP="006358CB">
      <w:pPr>
        <w:pStyle w:val="H23G"/>
        <w:spacing w:line="240" w:lineRule="auto"/>
      </w:pPr>
      <w:r w:rsidRPr="00A36331">
        <w:tab/>
      </w:r>
      <w:r w:rsidRPr="00A36331">
        <w:tab/>
        <w:t>Issues and proceedings before the Committee</w:t>
      </w:r>
    </w:p>
    <w:p w14:paraId="1938DE88" w14:textId="77777777" w:rsidR="003521FD" w:rsidRPr="00A36331" w:rsidRDefault="003521FD" w:rsidP="006358CB">
      <w:pPr>
        <w:pStyle w:val="H4G"/>
        <w:spacing w:line="240" w:lineRule="auto"/>
        <w:rPr>
          <w:lang w:val="en-US"/>
        </w:rPr>
      </w:pPr>
      <w:r w:rsidRPr="00A36331">
        <w:rPr>
          <w:lang w:val="en-US"/>
        </w:rPr>
        <w:tab/>
      </w:r>
      <w:r w:rsidRPr="00A36331">
        <w:rPr>
          <w:lang w:val="en-US"/>
        </w:rPr>
        <w:tab/>
        <w:t>Consideration of admissibility</w:t>
      </w:r>
    </w:p>
    <w:p w14:paraId="35BDC2E6" w14:textId="77777777" w:rsidR="003521FD" w:rsidRPr="00A36331" w:rsidRDefault="00D92F83" w:rsidP="00FA109D">
      <w:pPr>
        <w:pStyle w:val="SingleTxtG"/>
        <w:rPr>
          <w:lang w:val="en-US"/>
        </w:rPr>
      </w:pPr>
      <w:r>
        <w:rPr>
          <w:lang w:val="en-US"/>
        </w:rPr>
        <w:t>6</w:t>
      </w:r>
      <w:r w:rsidR="002B4351">
        <w:rPr>
          <w:lang w:val="en-US"/>
        </w:rPr>
        <w:t>.1</w:t>
      </w:r>
      <w:r w:rsidR="003521FD" w:rsidRPr="00A36331">
        <w:rPr>
          <w:lang w:val="en-US"/>
        </w:rPr>
        <w:tab/>
        <w:t xml:space="preserve">Before considering any claims contained </w:t>
      </w:r>
      <w:r w:rsidR="003521FD" w:rsidRPr="002B4351">
        <w:t>in</w:t>
      </w:r>
      <w:r w:rsidR="003521FD" w:rsidRPr="00A36331">
        <w:rPr>
          <w:lang w:val="en-US"/>
        </w:rPr>
        <w:t xml:space="preserve"> a communication, the Committee must</w:t>
      </w:r>
      <w:r w:rsidR="00FA109D">
        <w:rPr>
          <w:lang w:val="en-US"/>
        </w:rPr>
        <w:t xml:space="preserve"> decide</w:t>
      </w:r>
      <w:r w:rsidR="003521FD" w:rsidRPr="00A36331">
        <w:rPr>
          <w:lang w:val="en-US"/>
        </w:rPr>
        <w:t xml:space="preserve">, in accordance </w:t>
      </w:r>
      <w:r w:rsidR="003521FD" w:rsidRPr="00BE6DDD">
        <w:rPr>
          <w:lang w:val="en-US"/>
        </w:rPr>
        <w:t xml:space="preserve">with rule 93 of its rules of procedure, whether </w:t>
      </w:r>
      <w:r w:rsidR="00F37C4B" w:rsidRPr="00BE6DDD">
        <w:rPr>
          <w:lang w:val="en-US"/>
        </w:rPr>
        <w:t xml:space="preserve">the communication </w:t>
      </w:r>
      <w:r w:rsidR="003521FD" w:rsidRPr="00BE6DDD">
        <w:rPr>
          <w:lang w:val="en-US"/>
        </w:rPr>
        <w:t>is admissible under the</w:t>
      </w:r>
      <w:r w:rsidR="003521FD" w:rsidRPr="00A36331">
        <w:rPr>
          <w:lang w:val="en-US"/>
        </w:rPr>
        <w:t xml:space="preserve"> Optional Protocol to the </w:t>
      </w:r>
      <w:r w:rsidR="003521FD" w:rsidRPr="002B4351">
        <w:t>Covenant</w:t>
      </w:r>
      <w:r w:rsidR="003521FD" w:rsidRPr="00A36331">
        <w:rPr>
          <w:lang w:val="en-US"/>
        </w:rPr>
        <w:t>.</w:t>
      </w:r>
    </w:p>
    <w:p w14:paraId="4BEAD3EF" w14:textId="77777777" w:rsidR="00D26131" w:rsidRPr="00BE6DDD" w:rsidRDefault="00D92F83">
      <w:pPr>
        <w:pStyle w:val="SingleTxtG"/>
      </w:pPr>
      <w:r>
        <w:rPr>
          <w:lang w:val="en-US"/>
        </w:rPr>
        <w:t>6</w:t>
      </w:r>
      <w:r w:rsidR="002B4351">
        <w:rPr>
          <w:lang w:val="en-US"/>
        </w:rPr>
        <w:t>.2</w:t>
      </w:r>
      <w:r w:rsidR="003521FD" w:rsidRPr="00A36331">
        <w:rPr>
          <w:lang w:val="en-US"/>
        </w:rPr>
        <w:tab/>
      </w:r>
      <w:r w:rsidR="00D26131" w:rsidRPr="00BE6DDD">
        <w:t xml:space="preserve">The Committee notes, as required by article 5 2 (a) of the Optional Protocol, that the same matter is not being examined under another international procedure of </w:t>
      </w:r>
      <w:r w:rsidR="00FA109D">
        <w:t xml:space="preserve">international </w:t>
      </w:r>
      <w:r w:rsidR="00D26131" w:rsidRPr="00BE6DDD">
        <w:t xml:space="preserve">investigation or settlement. </w:t>
      </w:r>
    </w:p>
    <w:p w14:paraId="0AD164A0" w14:textId="77777777" w:rsidR="003521FD" w:rsidRDefault="00D26131">
      <w:pPr>
        <w:pStyle w:val="SingleTxtG"/>
      </w:pPr>
      <w:r w:rsidRPr="00BE6DDD">
        <w:t>6.3</w:t>
      </w:r>
      <w:r w:rsidRPr="00BE6DDD">
        <w:tab/>
      </w:r>
      <w:r w:rsidR="003521FD" w:rsidRPr="00BE6DDD">
        <w:t xml:space="preserve">The Committee </w:t>
      </w:r>
      <w:r w:rsidRPr="00BE6DDD">
        <w:t xml:space="preserve">further </w:t>
      </w:r>
      <w:r w:rsidR="00FF6537" w:rsidRPr="00BE6DDD">
        <w:t xml:space="preserve">notes the author’s statement that </w:t>
      </w:r>
      <w:r w:rsidR="00C37446" w:rsidRPr="00BE6DDD">
        <w:t xml:space="preserve">decisions by the Refugee Appeals Board </w:t>
      </w:r>
      <w:r w:rsidR="00D21C47" w:rsidRPr="00BE6DDD">
        <w:t xml:space="preserve">of Denmark </w:t>
      </w:r>
      <w:r w:rsidR="00C37446" w:rsidRPr="00BE6DDD">
        <w:t>are not subject to appeal and that therefore domestic remedies</w:t>
      </w:r>
      <w:r w:rsidR="00711EA4" w:rsidRPr="00BE6DDD">
        <w:t xml:space="preserve"> </w:t>
      </w:r>
      <w:r w:rsidR="00FB7952" w:rsidRPr="00BE6DDD">
        <w:t>have been exhausted</w:t>
      </w:r>
      <w:r w:rsidR="00C37446" w:rsidRPr="00BE6DDD">
        <w:t xml:space="preserve">. </w:t>
      </w:r>
      <w:r w:rsidR="00FB7952" w:rsidRPr="00BE6DDD">
        <w:t>T</w:t>
      </w:r>
      <w:r w:rsidR="007C7D52" w:rsidRPr="00BE6DDD">
        <w:t xml:space="preserve">his has not been challenged by the State party. </w:t>
      </w:r>
      <w:r w:rsidR="00711EA4" w:rsidRPr="00BE6DDD">
        <w:t>Therefore, the Committee considers that domestic remedies have been exhausted</w:t>
      </w:r>
      <w:r w:rsidR="00FB7952" w:rsidRPr="00BE6DDD">
        <w:t xml:space="preserve"> as required by article 5 2 (b)</w:t>
      </w:r>
      <w:r w:rsidR="008B375F" w:rsidRPr="00BE6DDD">
        <w:t xml:space="preserve"> of the Optional Protocol</w:t>
      </w:r>
      <w:r w:rsidR="00711EA4" w:rsidRPr="00BE6DDD">
        <w:t>.</w:t>
      </w:r>
    </w:p>
    <w:p w14:paraId="1E0DF7B6" w14:textId="77777777" w:rsidR="00FB7952" w:rsidRDefault="00D92F83">
      <w:pPr>
        <w:pStyle w:val="SingleTxtG"/>
        <w:spacing w:line="240" w:lineRule="auto"/>
        <w:rPr>
          <w:shd w:val="clear" w:color="auto" w:fill="FFFFFF"/>
          <w:lang w:val="en-US"/>
        </w:rPr>
      </w:pPr>
      <w:r>
        <w:t>6</w:t>
      </w:r>
      <w:r w:rsidR="003521FD" w:rsidRPr="00A36331">
        <w:t>.</w:t>
      </w:r>
      <w:r w:rsidR="00FB7952">
        <w:t>4</w:t>
      </w:r>
      <w:r w:rsidR="003521FD" w:rsidRPr="00A36331">
        <w:tab/>
      </w:r>
      <w:r w:rsidR="00D74147">
        <w:t>The Committe</w:t>
      </w:r>
      <w:r w:rsidR="00FB7952">
        <w:t>e notes the author’s allegation</w:t>
      </w:r>
      <w:r w:rsidR="00D74147">
        <w:t xml:space="preserve"> that</w:t>
      </w:r>
      <w:r w:rsidR="00FB7952">
        <w:t xml:space="preserve"> his return to </w:t>
      </w:r>
      <w:r w:rsidR="00D858BC">
        <w:t xml:space="preserve">the Islamic Republic of </w:t>
      </w:r>
      <w:r w:rsidR="00FB7952">
        <w:t>Iran would put him at risk of being subjected to torture</w:t>
      </w:r>
      <w:r w:rsidR="00EB13E1">
        <w:rPr>
          <w:shd w:val="clear" w:color="auto" w:fill="FFFFFF"/>
          <w:lang w:val="en-US"/>
        </w:rPr>
        <w:t xml:space="preserve">. </w:t>
      </w:r>
      <w:r w:rsidR="005F39EB">
        <w:rPr>
          <w:shd w:val="clear" w:color="auto" w:fill="FFFFFF"/>
          <w:lang w:val="en-US"/>
        </w:rPr>
        <w:t>The author</w:t>
      </w:r>
      <w:r w:rsidR="00FB7952">
        <w:rPr>
          <w:shd w:val="clear" w:color="auto" w:fill="FFFFFF"/>
          <w:lang w:val="en-US"/>
        </w:rPr>
        <w:t xml:space="preserve"> bases this allegation on the fact that he was born and raised in Al-Tash refugee camp in Iraq</w:t>
      </w:r>
      <w:r w:rsidR="00D858BC">
        <w:rPr>
          <w:shd w:val="clear" w:color="auto" w:fill="FFFFFF"/>
          <w:lang w:val="en-US"/>
        </w:rPr>
        <w:t xml:space="preserve">, </w:t>
      </w:r>
      <w:r w:rsidR="001A641F">
        <w:rPr>
          <w:shd w:val="clear" w:color="auto" w:fill="FFFFFF"/>
          <w:lang w:val="en-US"/>
        </w:rPr>
        <w:t>which</w:t>
      </w:r>
      <w:r w:rsidR="00FB7952">
        <w:rPr>
          <w:shd w:val="clear" w:color="auto" w:fill="FFFFFF"/>
          <w:lang w:val="en-US"/>
        </w:rPr>
        <w:t xml:space="preserve"> </w:t>
      </w:r>
      <w:r w:rsidR="001A641F">
        <w:rPr>
          <w:shd w:val="clear" w:color="auto" w:fill="FFFFFF"/>
          <w:lang w:val="en-US"/>
        </w:rPr>
        <w:t>he claims to be connected to PDKI</w:t>
      </w:r>
      <w:r w:rsidR="00837CB2">
        <w:rPr>
          <w:shd w:val="clear" w:color="auto" w:fill="FFFFFF"/>
          <w:lang w:val="en-US"/>
        </w:rPr>
        <w:t>;</w:t>
      </w:r>
      <w:r w:rsidR="00FB7952">
        <w:rPr>
          <w:shd w:val="clear" w:color="auto" w:fill="FFFFFF"/>
          <w:lang w:val="en-US"/>
        </w:rPr>
        <w:t xml:space="preserve"> on his participation in </w:t>
      </w:r>
      <w:r w:rsidR="001A641F">
        <w:rPr>
          <w:shd w:val="clear" w:color="auto" w:fill="FFFFFF"/>
          <w:lang w:val="en-US"/>
        </w:rPr>
        <w:t>PDKI meetings and</w:t>
      </w:r>
      <w:r w:rsidR="00FB7952">
        <w:rPr>
          <w:shd w:val="clear" w:color="auto" w:fill="FFFFFF"/>
          <w:lang w:val="en-US"/>
        </w:rPr>
        <w:t xml:space="preserve"> cultural events</w:t>
      </w:r>
      <w:r w:rsidR="00837CB2">
        <w:rPr>
          <w:shd w:val="clear" w:color="auto" w:fill="FFFFFF"/>
          <w:lang w:val="en-US"/>
        </w:rPr>
        <w:t>;</w:t>
      </w:r>
      <w:r w:rsidR="00FB7952">
        <w:rPr>
          <w:shd w:val="clear" w:color="auto" w:fill="FFFFFF"/>
          <w:lang w:val="en-US"/>
        </w:rPr>
        <w:t xml:space="preserve"> and on his family’s past engagement with the party. </w:t>
      </w:r>
    </w:p>
    <w:p w14:paraId="18E4D3B1" w14:textId="77777777" w:rsidR="00C40193" w:rsidRDefault="001A641F">
      <w:pPr>
        <w:pStyle w:val="SingleTxtG"/>
        <w:spacing w:line="240" w:lineRule="auto"/>
      </w:pPr>
      <w:r>
        <w:t>6.5</w:t>
      </w:r>
      <w:r>
        <w:tab/>
      </w:r>
      <w:r w:rsidR="00711EA4">
        <w:t xml:space="preserve">The Committee notes that the </w:t>
      </w:r>
      <w:r w:rsidR="00FB7952">
        <w:t>Refugee Appeals Board</w:t>
      </w:r>
      <w:r>
        <w:t xml:space="preserve"> thoroughly examined the author’s</w:t>
      </w:r>
      <w:r w:rsidR="00FB7952">
        <w:t xml:space="preserve"> </w:t>
      </w:r>
      <w:r w:rsidR="00B125D9">
        <w:t xml:space="preserve">claim and considered his </w:t>
      </w:r>
      <w:r w:rsidR="00FB7952">
        <w:t>personal and family circumstances, a</w:t>
      </w:r>
      <w:r>
        <w:t>s well as</w:t>
      </w:r>
      <w:r w:rsidR="00FB7952">
        <w:t xml:space="preserve"> the general situation of Iranian Kurd</w:t>
      </w:r>
      <w:r w:rsidR="00930BB4">
        <w:t>ish</w:t>
      </w:r>
      <w:r w:rsidR="00FB7952">
        <w:t xml:space="preserve"> refugees in Iraq</w:t>
      </w:r>
      <w:r w:rsidR="00930BB4">
        <w:t xml:space="preserve">, including </w:t>
      </w:r>
      <w:r w:rsidR="00BE6DDD">
        <w:t xml:space="preserve">those </w:t>
      </w:r>
      <w:r w:rsidR="00930BB4">
        <w:t>from the Al-Tash refugee camp,</w:t>
      </w:r>
      <w:r w:rsidR="00FB7952">
        <w:t xml:space="preserve"> and their return to </w:t>
      </w:r>
      <w:r w:rsidR="00D858BC">
        <w:t xml:space="preserve">the Islamic Republic of </w:t>
      </w:r>
      <w:r w:rsidR="00FB7952">
        <w:t>Iran</w:t>
      </w:r>
      <w:r w:rsidR="00B125D9">
        <w:t xml:space="preserve">, </w:t>
      </w:r>
      <w:r>
        <w:t>and co</w:t>
      </w:r>
      <w:r w:rsidR="00B125D9">
        <w:t>ncluded</w:t>
      </w:r>
      <w:r>
        <w:t xml:space="preserve"> that the </w:t>
      </w:r>
      <w:r w:rsidRPr="00B534CA">
        <w:t xml:space="preserve">author’s </w:t>
      </w:r>
      <w:r w:rsidR="002D70B8" w:rsidRPr="00B534CA">
        <w:t xml:space="preserve">personal </w:t>
      </w:r>
      <w:r w:rsidRPr="00B534CA">
        <w:t xml:space="preserve">background and activities </w:t>
      </w:r>
      <w:r w:rsidR="00B534CA" w:rsidRPr="00B534CA">
        <w:t xml:space="preserve">did not constitute </w:t>
      </w:r>
      <w:r w:rsidRPr="00B534CA">
        <w:t>a risk of</w:t>
      </w:r>
      <w:r w:rsidRPr="004021B8">
        <w:t xml:space="preserve"> persecution and that his family’s political activities </w:t>
      </w:r>
      <w:r w:rsidR="00B125D9" w:rsidRPr="004021B8">
        <w:t xml:space="preserve">had </w:t>
      </w:r>
      <w:r w:rsidRPr="004021B8">
        <w:t xml:space="preserve">ceased in 1979. The </w:t>
      </w:r>
      <w:r w:rsidR="00576D00">
        <w:t>Board</w:t>
      </w:r>
      <w:r w:rsidR="00576D00" w:rsidRPr="004021B8">
        <w:t xml:space="preserve"> </w:t>
      </w:r>
      <w:r w:rsidRPr="004021B8">
        <w:t xml:space="preserve">further </w:t>
      </w:r>
      <w:r w:rsidR="00D858BC" w:rsidRPr="004021B8">
        <w:t xml:space="preserve">concluded </w:t>
      </w:r>
      <w:r w:rsidRPr="004021B8">
        <w:t>that the author had provided divergent</w:t>
      </w:r>
      <w:r>
        <w:t xml:space="preserve"> statements regarding his family’s activities after 1979, which had undermined his </w:t>
      </w:r>
      <w:r w:rsidR="00711EA4">
        <w:t xml:space="preserve">credibility </w:t>
      </w:r>
      <w:r>
        <w:t>on th</w:t>
      </w:r>
      <w:r w:rsidR="00F37C4B">
        <w:t>at</w:t>
      </w:r>
      <w:r>
        <w:t xml:space="preserve"> issue. On the basis of all </w:t>
      </w:r>
      <w:r w:rsidR="00F37C4B">
        <w:t xml:space="preserve">of </w:t>
      </w:r>
      <w:r>
        <w:t xml:space="preserve">the above, the </w:t>
      </w:r>
      <w:r w:rsidR="00576D00">
        <w:t xml:space="preserve">Board </w:t>
      </w:r>
      <w:r>
        <w:t>concluded</w:t>
      </w:r>
      <w:r w:rsidR="00C40193">
        <w:t xml:space="preserve"> that</w:t>
      </w:r>
      <w:r>
        <w:t xml:space="preserve"> it would be </w:t>
      </w:r>
      <w:r w:rsidR="00950DD9">
        <w:t xml:space="preserve">unlikely </w:t>
      </w:r>
      <w:r>
        <w:t>that the author would be at an actual and personal risk of persecution by</w:t>
      </w:r>
      <w:r w:rsidR="00C40193">
        <w:t xml:space="preserve"> Irani</w:t>
      </w:r>
      <w:r>
        <w:t>a</w:t>
      </w:r>
      <w:r w:rsidR="00C40193">
        <w:t>n</w:t>
      </w:r>
      <w:r>
        <w:t xml:space="preserve"> authorities if returned to </w:t>
      </w:r>
      <w:r w:rsidR="00D858BC">
        <w:t xml:space="preserve">the Islamic Republic of </w:t>
      </w:r>
      <w:r>
        <w:t>Iran.</w:t>
      </w:r>
      <w:r w:rsidR="00711EA4">
        <w:t xml:space="preserve"> </w:t>
      </w:r>
    </w:p>
    <w:p w14:paraId="1D99E739" w14:textId="77777777" w:rsidR="00EB13E1" w:rsidRDefault="00C40193">
      <w:pPr>
        <w:pStyle w:val="SingleTxtG"/>
        <w:spacing w:line="240" w:lineRule="auto"/>
      </w:pPr>
      <w:r>
        <w:t>6.6</w:t>
      </w:r>
      <w:r>
        <w:tab/>
        <w:t xml:space="preserve">The Committee recalls that it is </w:t>
      </w:r>
      <w:r w:rsidR="00F95B1F">
        <w:t>generally for the organs</w:t>
      </w:r>
      <w:r>
        <w:t xml:space="preserve"> of States parties to examine the facts and evidence</w:t>
      </w:r>
      <w:r w:rsidR="00F274E4">
        <w:t xml:space="preserve"> of </w:t>
      </w:r>
      <w:r w:rsidR="00D858BC">
        <w:t xml:space="preserve">a </w:t>
      </w:r>
      <w:r w:rsidR="00F274E4">
        <w:t>case</w:t>
      </w:r>
      <w:r>
        <w:t xml:space="preserve">, unless it can be established that </w:t>
      </w:r>
      <w:r w:rsidR="00B534CA">
        <w:t xml:space="preserve">such </w:t>
      </w:r>
      <w:r w:rsidR="00D858BC">
        <w:t xml:space="preserve">an </w:t>
      </w:r>
      <w:r>
        <w:t>assessment was arbitrary or amounted to a manifest error or denial of justice</w:t>
      </w:r>
      <w:r w:rsidR="008D536F">
        <w:t>.</w:t>
      </w:r>
      <w:r w:rsidR="005F39EB">
        <w:rPr>
          <w:rStyle w:val="FootnoteReference"/>
        </w:rPr>
        <w:footnoteReference w:id="8"/>
      </w:r>
      <w:r>
        <w:t xml:space="preserve"> </w:t>
      </w:r>
      <w:r w:rsidR="00711EA4">
        <w:t xml:space="preserve">The author has not </w:t>
      </w:r>
      <w:r w:rsidR="00F274E4">
        <w:t xml:space="preserve">explained </w:t>
      </w:r>
      <w:r w:rsidR="00711EA4">
        <w:t>why th</w:t>
      </w:r>
      <w:r>
        <w:t>e</w:t>
      </w:r>
      <w:r w:rsidR="00FB7952">
        <w:t xml:space="preserve"> decision</w:t>
      </w:r>
      <w:r>
        <w:t xml:space="preserve"> by the </w:t>
      </w:r>
      <w:r w:rsidR="00576D00">
        <w:t xml:space="preserve">Refugee Appeals Board </w:t>
      </w:r>
      <w:r w:rsidR="00FB7952">
        <w:t>would be</w:t>
      </w:r>
      <w:r w:rsidR="00711EA4">
        <w:t xml:space="preserve"> contrary to </w:t>
      </w:r>
      <w:r>
        <w:t>this</w:t>
      </w:r>
      <w:r w:rsidR="00711EA4">
        <w:t xml:space="preserve"> standard, nor has he </w:t>
      </w:r>
      <w:r w:rsidR="00F274E4">
        <w:t xml:space="preserve">provided substantial grounds to support his claim that his removal to </w:t>
      </w:r>
      <w:r w:rsidR="00D858BC">
        <w:t xml:space="preserve">the Islamic Republic of </w:t>
      </w:r>
      <w:r w:rsidR="00F274E4">
        <w:t>Iran</w:t>
      </w:r>
      <w:r w:rsidR="00DF5FE0">
        <w:t xml:space="preserve"> would expose him </w:t>
      </w:r>
      <w:r w:rsidR="00711EA4">
        <w:t xml:space="preserve">to a </w:t>
      </w:r>
      <w:r w:rsidR="00F274E4">
        <w:t xml:space="preserve">real </w:t>
      </w:r>
      <w:r w:rsidR="00711EA4">
        <w:t>risk of</w:t>
      </w:r>
      <w:r w:rsidR="007C7106">
        <w:t xml:space="preserve"> irreparable harm </w:t>
      </w:r>
      <w:r w:rsidR="00DF5FE0">
        <w:t>in</w:t>
      </w:r>
      <w:r w:rsidR="00F274E4">
        <w:t xml:space="preserve"> violation</w:t>
      </w:r>
      <w:r w:rsidR="00711EA4">
        <w:t xml:space="preserve"> of article 7 of the Covenant. </w:t>
      </w:r>
      <w:r w:rsidR="00B125D9">
        <w:t xml:space="preserve">The </w:t>
      </w:r>
      <w:r w:rsidR="00711EA4" w:rsidRPr="00D21C47">
        <w:t>Commi</w:t>
      </w:r>
      <w:r w:rsidR="00FB7952" w:rsidRPr="00D21C47">
        <w:t xml:space="preserve">ttee accordingly concludes that </w:t>
      </w:r>
      <w:r w:rsidR="00EB13E1" w:rsidRPr="00D21C47">
        <w:t xml:space="preserve">the author has failed to sufficiently substantiate his </w:t>
      </w:r>
      <w:r w:rsidR="002108FF" w:rsidRPr="00D21C47">
        <w:t>claim</w:t>
      </w:r>
      <w:r w:rsidR="00FB7952" w:rsidRPr="00D21C47">
        <w:t xml:space="preserve"> of violation of article </w:t>
      </w:r>
      <w:r w:rsidR="00EB13E1" w:rsidRPr="00D21C47">
        <w:t xml:space="preserve">7 </w:t>
      </w:r>
      <w:r w:rsidR="00982C12" w:rsidRPr="00D21C47">
        <w:t>for purpose</w:t>
      </w:r>
      <w:r w:rsidR="006D2D35" w:rsidRPr="00D21C47">
        <w:t>s</w:t>
      </w:r>
      <w:r w:rsidR="00982C12" w:rsidRPr="00D21C47">
        <w:t xml:space="preserve"> of admissibility </w:t>
      </w:r>
      <w:r w:rsidR="00EB13E1" w:rsidRPr="00D21C47">
        <w:t xml:space="preserve">and </w:t>
      </w:r>
      <w:r w:rsidR="00982C12" w:rsidRPr="00D21C47">
        <w:t xml:space="preserve">finds </w:t>
      </w:r>
      <w:r w:rsidR="00D21C47" w:rsidRPr="00D21C47">
        <w:t xml:space="preserve">his communication </w:t>
      </w:r>
      <w:r w:rsidR="00EB13E1" w:rsidRPr="00D21C47">
        <w:t>inadmissible</w:t>
      </w:r>
      <w:r w:rsidR="00EB13E1">
        <w:t xml:space="preserve"> </w:t>
      </w:r>
      <w:r w:rsidR="00982C12">
        <w:t>pursuant to</w:t>
      </w:r>
      <w:r w:rsidR="00EB13E1">
        <w:t xml:space="preserve"> article 2 of the Optional Protocol. </w:t>
      </w:r>
    </w:p>
    <w:p w14:paraId="344838D8" w14:textId="77777777" w:rsidR="002B4351" w:rsidRDefault="00D92F83" w:rsidP="00FB6348">
      <w:pPr>
        <w:pStyle w:val="SingleTxtG"/>
        <w:spacing w:line="240" w:lineRule="auto"/>
      </w:pPr>
      <w:r>
        <w:t>7</w:t>
      </w:r>
      <w:r w:rsidR="00EB13E1">
        <w:t>.</w:t>
      </w:r>
      <w:r w:rsidR="00EB13E1">
        <w:tab/>
        <w:t xml:space="preserve">The </w:t>
      </w:r>
      <w:r w:rsidR="002B4351">
        <w:t>Committee therefore decides:</w:t>
      </w:r>
    </w:p>
    <w:p w14:paraId="51B986B7" w14:textId="77777777" w:rsidR="002B4351" w:rsidRDefault="002B4351" w:rsidP="002B4351">
      <w:pPr>
        <w:pStyle w:val="SingleTxtG"/>
        <w:spacing w:line="240" w:lineRule="auto"/>
      </w:pPr>
      <w:r>
        <w:tab/>
      </w:r>
      <w:r w:rsidR="00EB13E1">
        <w:t>(a)</w:t>
      </w:r>
      <w:r w:rsidR="00EB13E1">
        <w:tab/>
        <w:t>That the communication is inadmissible under arti</w:t>
      </w:r>
      <w:r>
        <w:t>cle 2 of the Optional Protocol;</w:t>
      </w:r>
    </w:p>
    <w:p w14:paraId="557208EC" w14:textId="77777777" w:rsidR="00F511F2" w:rsidRDefault="002B4351" w:rsidP="00FB6348">
      <w:pPr>
        <w:pStyle w:val="SingleTxtG"/>
        <w:spacing w:line="240" w:lineRule="auto"/>
      </w:pPr>
      <w:r>
        <w:tab/>
      </w:r>
      <w:r w:rsidR="00EB13E1">
        <w:t>(b)</w:t>
      </w:r>
      <w:r w:rsidR="00EB13E1">
        <w:tab/>
        <w:t xml:space="preserve">That the decision be </w:t>
      </w:r>
      <w:r w:rsidR="00FB6348">
        <w:t xml:space="preserve">shall be communicated </w:t>
      </w:r>
      <w:r w:rsidR="00EB13E1">
        <w:t>to the State party and to the author.</w:t>
      </w:r>
    </w:p>
    <w:p w14:paraId="12CD3BE6" w14:textId="77777777" w:rsidR="003521FD" w:rsidRPr="00A36331" w:rsidRDefault="003521FD" w:rsidP="003521FD">
      <w:pPr>
        <w:pStyle w:val="SingleTxtG"/>
        <w:spacing w:before="240" w:after="0" w:line="480" w:lineRule="auto"/>
        <w:jc w:val="center"/>
        <w:rPr>
          <w:u w:val="single"/>
        </w:rPr>
      </w:pPr>
      <w:r>
        <w:rPr>
          <w:u w:val="single"/>
        </w:rPr>
        <w:tab/>
      </w:r>
      <w:r>
        <w:rPr>
          <w:u w:val="single"/>
        </w:rPr>
        <w:tab/>
      </w:r>
      <w:r>
        <w:rPr>
          <w:u w:val="single"/>
        </w:rPr>
        <w:tab/>
      </w:r>
    </w:p>
    <w:sectPr w:rsidR="003521FD" w:rsidRPr="00A36331" w:rsidSect="006970B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8-31T08:26:00Z" w:initials="Start">
    <w:p w14:paraId="3DB11E1E" w14:textId="77777777" w:rsidR="006970B0" w:rsidRDefault="006970B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NO&gt;&gt;N1519480E&lt;&lt;ODS JOB NO&gt;&gt;</w:t>
      </w:r>
    </w:p>
    <w:p w14:paraId="4EDD3C30" w14:textId="77777777" w:rsidR="006970B0" w:rsidRDefault="006970B0">
      <w:pPr>
        <w:pStyle w:val="CommentText"/>
      </w:pPr>
      <w:r>
        <w:t>&lt;&lt;ODS DOC SYMBOL1&gt;&gt;CCPR/C/114/D/2426/2014&lt;&lt;ODS DOC SYMBOL1&gt;&gt;</w:t>
      </w:r>
    </w:p>
    <w:p w14:paraId="185AEEBB" w14:textId="77777777" w:rsidR="006970B0" w:rsidRDefault="006970B0">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AEE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AABE" w14:textId="77777777" w:rsidR="00754285" w:rsidRDefault="00754285"/>
  </w:endnote>
  <w:endnote w:type="continuationSeparator" w:id="0">
    <w:p w14:paraId="487761A6" w14:textId="77777777" w:rsidR="00754285" w:rsidRDefault="00754285"/>
  </w:endnote>
  <w:endnote w:type="continuationNotice" w:id="1">
    <w:p w14:paraId="79E32ACA" w14:textId="77777777" w:rsidR="00754285" w:rsidRDefault="00754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91C3" w14:textId="77777777" w:rsidR="003521FD" w:rsidRPr="00A36331" w:rsidRDefault="003521FD" w:rsidP="003521FD">
    <w:pPr>
      <w:pStyle w:val="Footer"/>
      <w:tabs>
        <w:tab w:val="right" w:pos="9638"/>
      </w:tabs>
    </w:pPr>
    <w:r w:rsidRPr="00A36331">
      <w:rPr>
        <w:b/>
        <w:sz w:val="18"/>
      </w:rPr>
      <w:fldChar w:fldCharType="begin"/>
    </w:r>
    <w:r w:rsidRPr="00A36331">
      <w:rPr>
        <w:b/>
        <w:sz w:val="18"/>
      </w:rPr>
      <w:instrText xml:space="preserve"> </w:instrText>
    </w:r>
    <w:r w:rsidR="00954186">
      <w:rPr>
        <w:b/>
        <w:sz w:val="18"/>
      </w:rPr>
      <w:instrText>PAGE</w:instrText>
    </w:r>
    <w:r w:rsidRPr="00A36331">
      <w:rPr>
        <w:b/>
        <w:sz w:val="18"/>
      </w:rPr>
      <w:instrText xml:space="preserve">  \* MERGEFORMAT </w:instrText>
    </w:r>
    <w:r w:rsidRPr="00A36331">
      <w:rPr>
        <w:b/>
        <w:sz w:val="18"/>
      </w:rPr>
      <w:fldChar w:fldCharType="separate"/>
    </w:r>
    <w:r w:rsidR="00D913AF">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B4A2" w14:textId="77777777" w:rsidR="003521FD" w:rsidRPr="002B4351" w:rsidRDefault="003521FD" w:rsidP="003521FD">
    <w:pPr>
      <w:pStyle w:val="Footer"/>
      <w:tabs>
        <w:tab w:val="right" w:pos="9638"/>
      </w:tabs>
      <w:rPr>
        <w:b/>
        <w:sz w:val="18"/>
      </w:rPr>
    </w:pPr>
    <w:r>
      <w:rPr>
        <w:b/>
        <w:sz w:val="18"/>
      </w:rPr>
      <w:tab/>
    </w:r>
    <w:r w:rsidRPr="002B4351">
      <w:rPr>
        <w:b/>
        <w:sz w:val="18"/>
      </w:rPr>
      <w:fldChar w:fldCharType="begin"/>
    </w:r>
    <w:r w:rsidRPr="002B4351">
      <w:rPr>
        <w:b/>
        <w:sz w:val="18"/>
      </w:rPr>
      <w:instrText xml:space="preserve"> </w:instrText>
    </w:r>
    <w:r w:rsidR="00954186" w:rsidRPr="002B4351">
      <w:rPr>
        <w:b/>
        <w:sz w:val="18"/>
      </w:rPr>
      <w:instrText>PAGE</w:instrText>
    </w:r>
    <w:r w:rsidRPr="002B4351">
      <w:rPr>
        <w:b/>
        <w:sz w:val="18"/>
      </w:rPr>
      <w:instrText xml:space="preserve">  \* MERGEFORMAT </w:instrText>
    </w:r>
    <w:r w:rsidRPr="002B4351">
      <w:rPr>
        <w:b/>
        <w:sz w:val="18"/>
      </w:rPr>
      <w:fldChar w:fldCharType="separate"/>
    </w:r>
    <w:r w:rsidR="00D913AF">
      <w:rPr>
        <w:b/>
        <w:noProof/>
        <w:sz w:val="18"/>
      </w:rPr>
      <w:t>3</w:t>
    </w:r>
    <w:r w:rsidRPr="002B435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970B0" w14:paraId="65786ACB" w14:textId="77777777" w:rsidTr="006970B0">
      <w:tc>
        <w:tcPr>
          <w:tcW w:w="3614" w:type="dxa"/>
          <w:shd w:val="clear" w:color="auto" w:fill="auto"/>
        </w:tcPr>
        <w:p w14:paraId="1BB583D8" w14:textId="77777777" w:rsidR="006970B0" w:rsidRDefault="006970B0" w:rsidP="006970B0">
          <w:pPr>
            <w:pStyle w:val="Footer"/>
            <w:rPr>
              <w:sz w:val="20"/>
            </w:rPr>
          </w:pPr>
          <w:r>
            <w:rPr>
              <w:noProof/>
              <w:sz w:val="20"/>
              <w:lang w:val="en-US"/>
            </w:rPr>
            <w:drawing>
              <wp:anchor distT="0" distB="0" distL="114300" distR="114300" simplePos="0" relativeHeight="251658240" behindDoc="0" locked="0" layoutInCell="1" allowOverlap="1" wp14:anchorId="0438C715" wp14:editId="113A29BA">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426/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426/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GE.15-14509(E)</w:t>
          </w:r>
        </w:p>
        <w:p w14:paraId="1D8FB815" w14:textId="77777777" w:rsidR="006970B0" w:rsidRPr="006970B0" w:rsidRDefault="006970B0" w:rsidP="006970B0">
          <w:pPr>
            <w:pStyle w:val="Footer"/>
            <w:rPr>
              <w:rFonts w:ascii="Barcode 3 of 9 by request" w:hAnsi="Barcode 3 of 9 by request"/>
              <w:sz w:val="24"/>
            </w:rPr>
          </w:pPr>
          <w:r>
            <w:rPr>
              <w:rFonts w:ascii="Barcode 3 of 9 by request" w:hAnsi="Barcode 3 of 9 by request"/>
              <w:sz w:val="24"/>
            </w:rPr>
            <w:t>*1514509*</w:t>
          </w:r>
        </w:p>
      </w:tc>
      <w:tc>
        <w:tcPr>
          <w:tcW w:w="4752" w:type="dxa"/>
          <w:shd w:val="clear" w:color="auto" w:fill="auto"/>
        </w:tcPr>
        <w:p w14:paraId="2D95C377" w14:textId="77777777" w:rsidR="006970B0" w:rsidRDefault="006970B0" w:rsidP="006970B0">
          <w:pPr>
            <w:pStyle w:val="Footer"/>
            <w:spacing w:line="240" w:lineRule="atLeast"/>
            <w:jc w:val="right"/>
            <w:rPr>
              <w:sz w:val="20"/>
            </w:rPr>
          </w:pPr>
          <w:r>
            <w:rPr>
              <w:noProof/>
              <w:sz w:val="20"/>
              <w:lang w:val="en-US"/>
            </w:rPr>
            <w:drawing>
              <wp:inline distT="0" distB="0" distL="0" distR="0" wp14:anchorId="7F5F87C7" wp14:editId="0EE8DAE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7A5E149" w14:textId="77777777" w:rsidR="006970B0" w:rsidRPr="006970B0" w:rsidRDefault="006970B0" w:rsidP="006970B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D044" w14:textId="77777777" w:rsidR="00754285" w:rsidRPr="000B175B" w:rsidRDefault="00754285" w:rsidP="003521FD">
      <w:pPr>
        <w:tabs>
          <w:tab w:val="right" w:pos="2155"/>
        </w:tabs>
        <w:spacing w:after="80"/>
        <w:ind w:left="680"/>
        <w:rPr>
          <w:u w:val="single"/>
        </w:rPr>
      </w:pPr>
      <w:r>
        <w:rPr>
          <w:u w:val="single"/>
        </w:rPr>
        <w:tab/>
      </w:r>
    </w:p>
  </w:footnote>
  <w:footnote w:type="continuationSeparator" w:id="0">
    <w:p w14:paraId="4D5DD121" w14:textId="77777777" w:rsidR="00754285" w:rsidRPr="00FC68B7" w:rsidRDefault="00754285" w:rsidP="003521FD">
      <w:pPr>
        <w:tabs>
          <w:tab w:val="left" w:pos="2155"/>
        </w:tabs>
        <w:spacing w:after="80"/>
        <w:ind w:left="680"/>
        <w:rPr>
          <w:u w:val="single"/>
        </w:rPr>
      </w:pPr>
      <w:r>
        <w:rPr>
          <w:u w:val="single"/>
        </w:rPr>
        <w:tab/>
      </w:r>
    </w:p>
  </w:footnote>
  <w:footnote w:type="continuationNotice" w:id="1">
    <w:p w14:paraId="0420612F" w14:textId="77777777" w:rsidR="00754285" w:rsidRDefault="00754285"/>
  </w:footnote>
  <w:footnote w:id="2">
    <w:p w14:paraId="16218756" w14:textId="77777777" w:rsidR="00F1755C" w:rsidRPr="005474FA" w:rsidRDefault="00F1755C" w:rsidP="005B15B9">
      <w:pPr>
        <w:pStyle w:val="FootnoteText"/>
      </w:pPr>
      <w:r>
        <w:rPr>
          <w:rStyle w:val="FootnoteReference"/>
        </w:rPr>
        <w:tab/>
      </w:r>
      <w:r w:rsidRPr="005B15B9">
        <w:rPr>
          <w:rStyle w:val="FootnoteReference"/>
          <w:sz w:val="20"/>
          <w:vertAlign w:val="baseline"/>
        </w:rPr>
        <w:t>*</w:t>
      </w:r>
      <w:r w:rsidRPr="005B15B9">
        <w:rPr>
          <w:rStyle w:val="FootnoteReference"/>
          <w:sz w:val="20"/>
          <w:vertAlign w:val="baseline"/>
        </w:rPr>
        <w:tab/>
      </w:r>
      <w:r>
        <w:t xml:space="preserve">The following members of the </w:t>
      </w:r>
      <w:r w:rsidRPr="003D44CD">
        <w:t>Committee</w:t>
      </w:r>
      <w:r>
        <w:t xml:space="preserve"> participated in the </w:t>
      </w:r>
      <w:r w:rsidR="004D6521">
        <w:t>consideration</w:t>
      </w:r>
      <w:r>
        <w:t xml:space="preserve"> of the present </w:t>
      </w:r>
      <w:r w:rsidRPr="00A2023F">
        <w:t xml:space="preserve">communication: Yadh Ben Achour, Sarah Cleveland, Olivier </w:t>
      </w:r>
      <w:r w:rsidR="00A2023F" w:rsidRPr="00A2023F">
        <w:t>d</w:t>
      </w:r>
      <w:r w:rsidRPr="00A2023F">
        <w:t>e Frouville, Yuji Iwasawa, Ivana Jeli</w:t>
      </w:r>
      <w:r w:rsidR="00A2023F" w:rsidRPr="005B15B9">
        <w:t>ć</w:t>
      </w:r>
      <w:r w:rsidRPr="00A2023F">
        <w:t xml:space="preserve">, Duncan </w:t>
      </w:r>
      <w:r w:rsidR="00A2023F" w:rsidRPr="00A2023F">
        <w:t xml:space="preserve">Laki </w:t>
      </w:r>
      <w:r w:rsidRPr="00A2023F">
        <w:t>Muhumuza, Photini Pazartzis, Mauro Politi, Sir Nigel Rodley, Victor Manuel Rodr</w:t>
      </w:r>
      <w:r w:rsidR="00A2023F" w:rsidRPr="005B15B9">
        <w:t>í</w:t>
      </w:r>
      <w:r w:rsidRPr="00A2023F">
        <w:t>guez</w:t>
      </w:r>
      <w:r>
        <w:t>-Rescia, Fabián Omar Salvioli, Dheerujlall Seetulsingh, Anja Seibert-Fohr, Yuval Shany, Konstantine Vardzelashvili and Margo Waterval.</w:t>
      </w:r>
    </w:p>
  </w:footnote>
  <w:footnote w:id="3">
    <w:p w14:paraId="1F51BE6B" w14:textId="77777777" w:rsidR="003B7AB3" w:rsidRPr="003B7AB3" w:rsidRDefault="003B7AB3">
      <w:pPr>
        <w:pStyle w:val="FootnoteText"/>
        <w:rPr>
          <w:lang w:val="en-GB"/>
        </w:rPr>
      </w:pPr>
      <w:r w:rsidRPr="001C2D69">
        <w:rPr>
          <w:lang w:val="en-GB"/>
        </w:rPr>
        <w:tab/>
      </w:r>
      <w:r>
        <w:rPr>
          <w:rStyle w:val="FootnoteReference"/>
        </w:rPr>
        <w:footnoteRef/>
      </w:r>
      <w:r w:rsidR="002B4351" w:rsidRPr="00DF5FE0">
        <w:rPr>
          <w:lang w:val="en-GB"/>
        </w:rPr>
        <w:tab/>
      </w:r>
      <w:r w:rsidRPr="003B7AB3">
        <w:rPr>
          <w:lang w:val="en-GB"/>
        </w:rPr>
        <w:t xml:space="preserve">The author does not explain how he left </w:t>
      </w:r>
      <w:r w:rsidRPr="002B4351">
        <w:t>Iraq</w:t>
      </w:r>
      <w:r w:rsidRPr="003B7AB3">
        <w:rPr>
          <w:lang w:val="en-GB"/>
        </w:rPr>
        <w:t xml:space="preserve"> and arrived in Denmark.</w:t>
      </w:r>
    </w:p>
  </w:footnote>
  <w:footnote w:id="4">
    <w:p w14:paraId="1E02CFFC" w14:textId="77777777" w:rsidR="00EC53FB" w:rsidRPr="00EC53FB" w:rsidRDefault="002B4351" w:rsidP="00B922F8">
      <w:pPr>
        <w:pStyle w:val="FootnoteText"/>
        <w:rPr>
          <w:lang w:val="en-GB"/>
        </w:rPr>
      </w:pPr>
      <w:r w:rsidRPr="00DF5FE0">
        <w:rPr>
          <w:lang w:val="en-GB"/>
        </w:rPr>
        <w:tab/>
      </w:r>
      <w:r w:rsidR="00EC53FB">
        <w:rPr>
          <w:rStyle w:val="FootnoteReference"/>
        </w:rPr>
        <w:footnoteRef/>
      </w:r>
      <w:r w:rsidRPr="00DF5FE0">
        <w:rPr>
          <w:lang w:val="en-GB"/>
        </w:rPr>
        <w:tab/>
      </w:r>
      <w:r w:rsidR="00EC53FB" w:rsidRPr="00EC53FB">
        <w:rPr>
          <w:lang w:val="en-GB"/>
        </w:rPr>
        <w:t xml:space="preserve">The State party cites the Committee’s </w:t>
      </w:r>
      <w:r w:rsidR="00EC53FB">
        <w:rPr>
          <w:lang w:val="en-GB"/>
        </w:rPr>
        <w:t xml:space="preserve">views in </w:t>
      </w:r>
      <w:r w:rsidR="00D21C47">
        <w:rPr>
          <w:lang w:val="en-GB"/>
        </w:rPr>
        <w:t xml:space="preserve">the </w:t>
      </w:r>
      <w:r w:rsidR="00EC53FB" w:rsidRPr="00EC53FB">
        <w:rPr>
          <w:lang w:val="en-GB"/>
        </w:rPr>
        <w:t xml:space="preserve">case </w:t>
      </w:r>
      <w:r w:rsidR="00F95B1F">
        <w:rPr>
          <w:i/>
          <w:lang w:val="en-GB"/>
        </w:rPr>
        <w:t>X</w:t>
      </w:r>
      <w:r w:rsidR="00F95B1F" w:rsidRPr="00EC53FB">
        <w:rPr>
          <w:i/>
          <w:lang w:val="en-GB"/>
        </w:rPr>
        <w:t xml:space="preserve"> </w:t>
      </w:r>
      <w:r w:rsidR="00EC53FB" w:rsidRPr="00EC53FB">
        <w:rPr>
          <w:i/>
          <w:lang w:val="en-GB"/>
        </w:rPr>
        <w:t>v</w:t>
      </w:r>
      <w:r w:rsidR="00565B96">
        <w:rPr>
          <w:i/>
          <w:lang w:val="en-GB"/>
        </w:rPr>
        <w:t>.</w:t>
      </w:r>
      <w:r w:rsidR="00EC53FB" w:rsidRPr="00EC53FB">
        <w:rPr>
          <w:i/>
          <w:lang w:val="en-GB"/>
        </w:rPr>
        <w:t xml:space="preserve"> Denma</w:t>
      </w:r>
      <w:r w:rsidR="00EC53FB">
        <w:rPr>
          <w:i/>
          <w:lang w:val="en-GB"/>
        </w:rPr>
        <w:t>r</w:t>
      </w:r>
      <w:r w:rsidR="00EC53FB" w:rsidRPr="00EC53FB">
        <w:rPr>
          <w:i/>
          <w:lang w:val="en-GB"/>
        </w:rPr>
        <w:t>k</w:t>
      </w:r>
      <w:r w:rsidR="00B922F8">
        <w:rPr>
          <w:iCs/>
          <w:lang w:val="en-GB"/>
        </w:rPr>
        <w:t xml:space="preserve"> (</w:t>
      </w:r>
      <w:r w:rsidR="00B922F8" w:rsidRPr="00B922F8">
        <w:rPr>
          <w:iCs/>
          <w:lang w:val="en-GB"/>
        </w:rPr>
        <w:t>communication No.</w:t>
      </w:r>
      <w:r w:rsidR="00B922F8">
        <w:rPr>
          <w:iCs/>
          <w:lang w:val="en-GB"/>
        </w:rPr>
        <w:t> </w:t>
      </w:r>
      <w:r w:rsidR="00B922F8" w:rsidRPr="00B922F8">
        <w:rPr>
          <w:iCs/>
          <w:lang w:val="en-GB"/>
        </w:rPr>
        <w:t>2007/2010</w:t>
      </w:r>
      <w:r w:rsidR="00B922F8">
        <w:rPr>
          <w:iCs/>
          <w:lang w:val="en-GB"/>
        </w:rPr>
        <w:t>, Views adopted on 26 March 2014)</w:t>
      </w:r>
      <w:r w:rsidR="00EC53FB" w:rsidRPr="00EC53FB">
        <w:rPr>
          <w:lang w:val="en-GB"/>
        </w:rPr>
        <w:t>, para</w:t>
      </w:r>
      <w:r w:rsidR="00565B96">
        <w:rPr>
          <w:lang w:val="en-GB"/>
        </w:rPr>
        <w:t>.</w:t>
      </w:r>
      <w:r w:rsidR="00EC53FB" w:rsidRPr="00EC53FB">
        <w:rPr>
          <w:lang w:val="en-GB"/>
        </w:rPr>
        <w:t xml:space="preserve"> 9.2.</w:t>
      </w:r>
    </w:p>
  </w:footnote>
  <w:footnote w:id="5">
    <w:p w14:paraId="6CF1CA77" w14:textId="77777777" w:rsidR="00860BBC" w:rsidRPr="00860BBC" w:rsidRDefault="00860BBC">
      <w:pPr>
        <w:pStyle w:val="FootnoteText"/>
        <w:rPr>
          <w:lang w:val="en-GB"/>
        </w:rPr>
      </w:pPr>
      <w:r w:rsidRPr="00DF5FE0">
        <w:rPr>
          <w:lang w:val="en-GB"/>
        </w:rPr>
        <w:tab/>
      </w:r>
      <w:r>
        <w:rPr>
          <w:rStyle w:val="FootnoteReference"/>
        </w:rPr>
        <w:footnoteRef/>
      </w:r>
      <w:r w:rsidR="002B4351" w:rsidRPr="00DF5FE0">
        <w:rPr>
          <w:lang w:val="en-GB"/>
        </w:rPr>
        <w:tab/>
      </w:r>
      <w:r w:rsidRPr="00860BBC">
        <w:rPr>
          <w:lang w:val="en-GB"/>
        </w:rPr>
        <w:t xml:space="preserve">The State party notes that background material is collected from </w:t>
      </w:r>
      <w:r>
        <w:rPr>
          <w:lang w:val="en-GB"/>
        </w:rPr>
        <w:t xml:space="preserve">various sources, including </w:t>
      </w:r>
      <w:r w:rsidR="00D21C47">
        <w:rPr>
          <w:lang w:val="en-GB"/>
        </w:rPr>
        <w:t xml:space="preserve">the </w:t>
      </w:r>
      <w:r>
        <w:rPr>
          <w:lang w:val="en-GB"/>
        </w:rPr>
        <w:t>UNHCR website, the European Cou</w:t>
      </w:r>
      <w:r w:rsidRPr="00860BBC">
        <w:rPr>
          <w:lang w:val="en-GB"/>
        </w:rPr>
        <w:t>n</w:t>
      </w:r>
      <w:r>
        <w:rPr>
          <w:lang w:val="en-GB"/>
        </w:rPr>
        <w:t>t</w:t>
      </w:r>
      <w:r w:rsidRPr="00860BBC">
        <w:rPr>
          <w:lang w:val="en-GB"/>
        </w:rPr>
        <w:t xml:space="preserve">ry of Origin </w:t>
      </w:r>
      <w:r w:rsidRPr="00A42C45">
        <w:rPr>
          <w:lang w:val="en-GB"/>
        </w:rPr>
        <w:t>Information Network, the Ministry of Foreign Affairs</w:t>
      </w:r>
      <w:r w:rsidR="00D21C47" w:rsidRPr="00A42C45">
        <w:rPr>
          <w:lang w:val="en-GB"/>
        </w:rPr>
        <w:t xml:space="preserve"> of Denmark</w:t>
      </w:r>
      <w:r w:rsidRPr="00A42C45">
        <w:rPr>
          <w:lang w:val="en-GB"/>
        </w:rPr>
        <w:t>, the Country of Origin Information Division of the Danish Immigration Service, the Danish Refugee Council, Amnesty International, Human Rights Watch and other international human rights organi</w:t>
      </w:r>
      <w:r w:rsidR="00D21C47" w:rsidRPr="00A42C45">
        <w:rPr>
          <w:lang w:val="en-GB"/>
        </w:rPr>
        <w:t>z</w:t>
      </w:r>
      <w:r w:rsidRPr="00A42C45">
        <w:rPr>
          <w:lang w:val="en-GB"/>
        </w:rPr>
        <w:t>ations.</w:t>
      </w:r>
    </w:p>
  </w:footnote>
  <w:footnote w:id="6">
    <w:p w14:paraId="12F121DB" w14:textId="77777777" w:rsidR="003878C6" w:rsidRPr="003878C6" w:rsidRDefault="003878C6" w:rsidP="005B15B9">
      <w:pPr>
        <w:pStyle w:val="FootnoteText"/>
        <w:rPr>
          <w:lang w:val="en-GB"/>
        </w:rPr>
      </w:pPr>
      <w:r>
        <w:rPr>
          <w:lang w:val="en-GB"/>
        </w:rPr>
        <w:tab/>
      </w:r>
      <w:r>
        <w:rPr>
          <w:rStyle w:val="FootnoteReference"/>
        </w:rPr>
        <w:footnoteRef/>
      </w:r>
      <w:r w:rsidR="002B4351" w:rsidRPr="00DF5FE0">
        <w:rPr>
          <w:lang w:val="en-GB"/>
        </w:rPr>
        <w:tab/>
      </w:r>
      <w:r w:rsidRPr="006504F7">
        <w:rPr>
          <w:lang w:val="en-GB"/>
        </w:rPr>
        <w:t xml:space="preserve">This information was contained in the report </w:t>
      </w:r>
      <w:r w:rsidR="006504F7" w:rsidRPr="006504F7">
        <w:rPr>
          <w:lang w:val="en-GB"/>
        </w:rPr>
        <w:t xml:space="preserve">entitled </w:t>
      </w:r>
      <w:r w:rsidR="00254CFC">
        <w:rPr>
          <w:lang w:val="en-GB"/>
        </w:rPr>
        <w:t>“</w:t>
      </w:r>
      <w:r w:rsidRPr="005B15B9">
        <w:rPr>
          <w:lang w:val="en-GB"/>
        </w:rPr>
        <w:t xml:space="preserve">Iran: </w:t>
      </w:r>
      <w:r w:rsidR="006504F7" w:rsidRPr="005B15B9">
        <w:rPr>
          <w:lang w:val="en-GB"/>
        </w:rPr>
        <w:t>o</w:t>
      </w:r>
      <w:r w:rsidRPr="005B15B9">
        <w:rPr>
          <w:lang w:val="en-GB"/>
        </w:rPr>
        <w:t xml:space="preserve">n </w:t>
      </w:r>
      <w:r w:rsidR="006504F7" w:rsidRPr="005B15B9">
        <w:rPr>
          <w:lang w:val="en-GB"/>
        </w:rPr>
        <w:t>c</w:t>
      </w:r>
      <w:r w:rsidRPr="005B15B9">
        <w:rPr>
          <w:lang w:val="en-GB"/>
        </w:rPr>
        <w:t xml:space="preserve">onversion to Christianity, </w:t>
      </w:r>
      <w:r w:rsidR="006504F7" w:rsidRPr="005B15B9">
        <w:rPr>
          <w:lang w:val="en-GB"/>
        </w:rPr>
        <w:t>i</w:t>
      </w:r>
      <w:r w:rsidRPr="005B15B9">
        <w:rPr>
          <w:lang w:val="en-GB"/>
        </w:rPr>
        <w:t>ssues concerning Kurds and post-2009 election protestors as well as legal issues and exit procedures</w:t>
      </w:r>
      <w:r w:rsidR="00254CFC">
        <w:rPr>
          <w:lang w:val="en-GB"/>
        </w:rPr>
        <w:t>”</w:t>
      </w:r>
      <w:r w:rsidRPr="005B15B9">
        <w:rPr>
          <w:lang w:val="en-GB"/>
        </w:rPr>
        <w:t xml:space="preserve">, </w:t>
      </w:r>
      <w:r w:rsidRPr="003878C6">
        <w:rPr>
          <w:lang w:val="en-GB"/>
        </w:rPr>
        <w:t>publishe</w:t>
      </w:r>
      <w:r>
        <w:rPr>
          <w:lang w:val="en-GB"/>
        </w:rPr>
        <w:t>d by t</w:t>
      </w:r>
      <w:r w:rsidRPr="003878C6">
        <w:rPr>
          <w:lang w:val="en-GB"/>
        </w:rPr>
        <w:t>h</w:t>
      </w:r>
      <w:r>
        <w:rPr>
          <w:lang w:val="en-GB"/>
        </w:rPr>
        <w:t>e</w:t>
      </w:r>
      <w:r w:rsidRPr="003878C6">
        <w:rPr>
          <w:lang w:val="en-GB"/>
        </w:rPr>
        <w:t xml:space="preserve"> Danish Immigration Service, Landinfo and th</w:t>
      </w:r>
      <w:r>
        <w:rPr>
          <w:lang w:val="en-GB"/>
        </w:rPr>
        <w:t>e Danish Refugee Council in Feb</w:t>
      </w:r>
      <w:r w:rsidRPr="003878C6">
        <w:rPr>
          <w:lang w:val="en-GB"/>
        </w:rPr>
        <w:t>r</w:t>
      </w:r>
      <w:r>
        <w:rPr>
          <w:lang w:val="en-GB"/>
        </w:rPr>
        <w:t xml:space="preserve">uary 2013. </w:t>
      </w:r>
    </w:p>
  </w:footnote>
  <w:footnote w:id="7">
    <w:p w14:paraId="47AC9451" w14:textId="77777777" w:rsidR="005353EF" w:rsidRPr="00DF5FE0" w:rsidRDefault="005353EF">
      <w:pPr>
        <w:pStyle w:val="FootnoteText"/>
        <w:rPr>
          <w:lang w:val="en-GB"/>
        </w:rPr>
      </w:pPr>
      <w:r w:rsidRPr="00DF5FE0">
        <w:rPr>
          <w:lang w:val="en-GB"/>
        </w:rPr>
        <w:tab/>
      </w:r>
      <w:r>
        <w:rPr>
          <w:rStyle w:val="FootnoteReference"/>
        </w:rPr>
        <w:footnoteRef/>
      </w:r>
      <w:r w:rsidR="002B4351" w:rsidRPr="00DF5FE0">
        <w:rPr>
          <w:lang w:val="en-GB"/>
        </w:rPr>
        <w:tab/>
      </w:r>
      <w:r w:rsidRPr="005B15B9">
        <w:rPr>
          <w:iCs/>
          <w:lang w:val="en-GB"/>
        </w:rPr>
        <w:t>Ibid</w:t>
      </w:r>
      <w:r w:rsidR="00565B96" w:rsidRPr="005B15B9">
        <w:rPr>
          <w:iCs/>
          <w:lang w:val="en-GB"/>
        </w:rPr>
        <w:t>.</w:t>
      </w:r>
    </w:p>
  </w:footnote>
  <w:footnote w:id="8">
    <w:p w14:paraId="42C2C563" w14:textId="77777777" w:rsidR="005F39EB" w:rsidRPr="00DA1015" w:rsidRDefault="002B4351" w:rsidP="004021B8">
      <w:pPr>
        <w:pStyle w:val="FootnoteText"/>
        <w:rPr>
          <w:lang w:val="en-GB"/>
        </w:rPr>
      </w:pPr>
      <w:r w:rsidRPr="00DF5FE0">
        <w:rPr>
          <w:lang w:val="en-GB"/>
        </w:rPr>
        <w:tab/>
      </w:r>
      <w:r w:rsidR="005F39EB">
        <w:rPr>
          <w:rStyle w:val="FootnoteReference"/>
        </w:rPr>
        <w:footnoteRef/>
      </w:r>
      <w:r w:rsidRPr="00DF5FE0">
        <w:rPr>
          <w:lang w:val="en-GB"/>
        </w:rPr>
        <w:tab/>
      </w:r>
      <w:r w:rsidR="005F39EB" w:rsidRPr="002E7BC8">
        <w:rPr>
          <w:lang w:val="en-GB"/>
        </w:rPr>
        <w:t xml:space="preserve">See </w:t>
      </w:r>
      <w:r w:rsidR="00FB6348">
        <w:rPr>
          <w:lang w:val="en-GB"/>
        </w:rPr>
        <w:t>c</w:t>
      </w:r>
      <w:r w:rsidR="005F39EB" w:rsidRPr="002E7BC8">
        <w:rPr>
          <w:lang w:val="en-GB"/>
        </w:rPr>
        <w:t>ommunication</w:t>
      </w:r>
      <w:r w:rsidR="00DA1015" w:rsidRPr="002E7BC8">
        <w:rPr>
          <w:lang w:val="en-GB"/>
        </w:rPr>
        <w:t>s</w:t>
      </w:r>
      <w:r w:rsidR="005F39EB" w:rsidRPr="002E7BC8">
        <w:rPr>
          <w:lang w:val="en-GB"/>
        </w:rPr>
        <w:t xml:space="preserve"> </w:t>
      </w:r>
      <w:r w:rsidR="005F39EB" w:rsidRPr="004021B8">
        <w:rPr>
          <w:lang w:val="en-GB"/>
        </w:rPr>
        <w:t>No</w:t>
      </w:r>
      <w:r w:rsidR="00DA1015" w:rsidRPr="004021B8">
        <w:rPr>
          <w:lang w:val="en-GB"/>
        </w:rPr>
        <w:t>s</w:t>
      </w:r>
      <w:r w:rsidR="005F39EB" w:rsidRPr="004021B8">
        <w:rPr>
          <w:lang w:val="en-GB"/>
        </w:rPr>
        <w:t xml:space="preserve">. 1616/2007, </w:t>
      </w:r>
      <w:r w:rsidR="005F39EB" w:rsidRPr="004021B8">
        <w:rPr>
          <w:i/>
          <w:lang w:val="en-GB"/>
        </w:rPr>
        <w:t>Manzano et al. v</w:t>
      </w:r>
      <w:r w:rsidR="00565B96" w:rsidRPr="004021B8">
        <w:rPr>
          <w:i/>
          <w:lang w:val="en-GB"/>
        </w:rPr>
        <w:t>.</w:t>
      </w:r>
      <w:r w:rsidR="005F39EB" w:rsidRPr="004021B8">
        <w:rPr>
          <w:i/>
          <w:lang w:val="en-GB"/>
        </w:rPr>
        <w:t xml:space="preserve"> Colombia</w:t>
      </w:r>
      <w:r w:rsidR="005F39EB" w:rsidRPr="004021B8">
        <w:rPr>
          <w:lang w:val="en-GB"/>
        </w:rPr>
        <w:t xml:space="preserve">, decision adopted on 19 March 2010, para. 6.4, </w:t>
      </w:r>
      <w:r w:rsidR="005F39EB" w:rsidRPr="004021B8">
        <w:t>1622</w:t>
      </w:r>
      <w:r w:rsidR="005F39EB" w:rsidRPr="004021B8">
        <w:rPr>
          <w:lang w:val="en-GB"/>
        </w:rPr>
        <w:t xml:space="preserve">/2007, </w:t>
      </w:r>
      <w:r w:rsidR="005F39EB" w:rsidRPr="004021B8">
        <w:rPr>
          <w:i/>
          <w:lang w:val="en-GB"/>
        </w:rPr>
        <w:t>L.D.L.P v. Spain</w:t>
      </w:r>
      <w:r w:rsidR="005F39EB" w:rsidRPr="004021B8">
        <w:rPr>
          <w:lang w:val="en-GB"/>
        </w:rPr>
        <w:t>, decision ado</w:t>
      </w:r>
      <w:r w:rsidR="00DA1015" w:rsidRPr="004021B8">
        <w:rPr>
          <w:lang w:val="en-GB"/>
        </w:rPr>
        <w:t xml:space="preserve">pted on 26 July 2011, para. 6.3; and 2070/2011, </w:t>
      </w:r>
      <w:r w:rsidR="00DA1015" w:rsidRPr="004021B8">
        <w:rPr>
          <w:i/>
          <w:lang w:val="en-GB"/>
        </w:rPr>
        <w:t>Cañada Mora v. Spain</w:t>
      </w:r>
      <w:r w:rsidR="00DA1015" w:rsidRPr="004021B8">
        <w:rPr>
          <w:lang w:val="en-GB"/>
        </w:rPr>
        <w:t>, decision adopted on 28 October 2014, para.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401C" w14:textId="77777777" w:rsidR="003521FD" w:rsidRPr="00A36331" w:rsidRDefault="003521FD" w:rsidP="003521FD">
    <w:pPr>
      <w:pStyle w:val="Header"/>
    </w:pPr>
    <w:r>
      <w:t>CCPR/C/11</w:t>
    </w:r>
    <w:r w:rsidR="00BB4732">
      <w:t>4</w:t>
    </w:r>
    <w:r>
      <w:t>/D</w:t>
    </w:r>
    <w:r w:rsidR="00BB4732">
      <w:t>/2426/2014</w:t>
    </w:r>
    <w:r w:rsidR="00F1755C" w:rsidRPr="00F1755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0814" w14:textId="77777777" w:rsidR="003521FD" w:rsidRPr="00A36331" w:rsidRDefault="003521FD" w:rsidP="003521FD">
    <w:pPr>
      <w:pStyle w:val="Header"/>
      <w:jc w:val="right"/>
    </w:pPr>
    <w:r>
      <w:t>CCPR/C/11</w:t>
    </w:r>
    <w:r w:rsidR="00D27EA6">
      <w:t>4</w:t>
    </w:r>
    <w:r>
      <w:t>/D/</w:t>
    </w:r>
    <w:r w:rsidR="00D27EA6">
      <w:t>2426/2014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2419"/>
    <w:rsid w:val="00015CFD"/>
    <w:rsid w:val="00022F2F"/>
    <w:rsid w:val="00043F82"/>
    <w:rsid w:val="00053402"/>
    <w:rsid w:val="000647D6"/>
    <w:rsid w:val="000665FF"/>
    <w:rsid w:val="00076DB4"/>
    <w:rsid w:val="0007777E"/>
    <w:rsid w:val="00082B88"/>
    <w:rsid w:val="00085F87"/>
    <w:rsid w:val="0008640C"/>
    <w:rsid w:val="00087319"/>
    <w:rsid w:val="000931D3"/>
    <w:rsid w:val="00093771"/>
    <w:rsid w:val="000A2910"/>
    <w:rsid w:val="000B29EA"/>
    <w:rsid w:val="000B3796"/>
    <w:rsid w:val="000B4F14"/>
    <w:rsid w:val="000B58A4"/>
    <w:rsid w:val="000B5E58"/>
    <w:rsid w:val="000B7E50"/>
    <w:rsid w:val="000C02F4"/>
    <w:rsid w:val="000C25B2"/>
    <w:rsid w:val="000C5FC9"/>
    <w:rsid w:val="000E7F30"/>
    <w:rsid w:val="000F54A0"/>
    <w:rsid w:val="000F6923"/>
    <w:rsid w:val="000F6950"/>
    <w:rsid w:val="00101C5A"/>
    <w:rsid w:val="001106A5"/>
    <w:rsid w:val="00117F05"/>
    <w:rsid w:val="00132D6B"/>
    <w:rsid w:val="00150CC2"/>
    <w:rsid w:val="00151E27"/>
    <w:rsid w:val="00155382"/>
    <w:rsid w:val="00160847"/>
    <w:rsid w:val="00163940"/>
    <w:rsid w:val="00170ADC"/>
    <w:rsid w:val="00180257"/>
    <w:rsid w:val="00186C3D"/>
    <w:rsid w:val="0019222B"/>
    <w:rsid w:val="00193BB8"/>
    <w:rsid w:val="00193E25"/>
    <w:rsid w:val="001A1341"/>
    <w:rsid w:val="001A641F"/>
    <w:rsid w:val="001B0B2A"/>
    <w:rsid w:val="001B5CE2"/>
    <w:rsid w:val="001C168B"/>
    <w:rsid w:val="001C1F57"/>
    <w:rsid w:val="001C2D69"/>
    <w:rsid w:val="001D4264"/>
    <w:rsid w:val="001F226B"/>
    <w:rsid w:val="001F6867"/>
    <w:rsid w:val="00200070"/>
    <w:rsid w:val="00200BE4"/>
    <w:rsid w:val="0020482B"/>
    <w:rsid w:val="002108FF"/>
    <w:rsid w:val="00220996"/>
    <w:rsid w:val="0022261C"/>
    <w:rsid w:val="00223E8F"/>
    <w:rsid w:val="00227516"/>
    <w:rsid w:val="00234522"/>
    <w:rsid w:val="00242301"/>
    <w:rsid w:val="00254CE8"/>
    <w:rsid w:val="00254CFC"/>
    <w:rsid w:val="00256BD9"/>
    <w:rsid w:val="00261D5A"/>
    <w:rsid w:val="002731ED"/>
    <w:rsid w:val="00285A55"/>
    <w:rsid w:val="00286040"/>
    <w:rsid w:val="002B2E9E"/>
    <w:rsid w:val="002B2ECD"/>
    <w:rsid w:val="002B4351"/>
    <w:rsid w:val="002B7820"/>
    <w:rsid w:val="002C2931"/>
    <w:rsid w:val="002C418B"/>
    <w:rsid w:val="002C6551"/>
    <w:rsid w:val="002D70B8"/>
    <w:rsid w:val="002E7BC8"/>
    <w:rsid w:val="002F7A2B"/>
    <w:rsid w:val="0030096D"/>
    <w:rsid w:val="00301D34"/>
    <w:rsid w:val="0030647C"/>
    <w:rsid w:val="003140C8"/>
    <w:rsid w:val="00323AE1"/>
    <w:rsid w:val="00324084"/>
    <w:rsid w:val="00330FCC"/>
    <w:rsid w:val="00335B00"/>
    <w:rsid w:val="003368E0"/>
    <w:rsid w:val="00346004"/>
    <w:rsid w:val="003521FD"/>
    <w:rsid w:val="00363C65"/>
    <w:rsid w:val="00373F83"/>
    <w:rsid w:val="003878C6"/>
    <w:rsid w:val="00391F31"/>
    <w:rsid w:val="00392406"/>
    <w:rsid w:val="003B7AB3"/>
    <w:rsid w:val="003C279E"/>
    <w:rsid w:val="003D0740"/>
    <w:rsid w:val="003D53DD"/>
    <w:rsid w:val="003D5DBF"/>
    <w:rsid w:val="003D704C"/>
    <w:rsid w:val="003E1C82"/>
    <w:rsid w:val="003E7A58"/>
    <w:rsid w:val="003F3297"/>
    <w:rsid w:val="003F5D49"/>
    <w:rsid w:val="003F74C0"/>
    <w:rsid w:val="004021B8"/>
    <w:rsid w:val="0040273E"/>
    <w:rsid w:val="00410917"/>
    <w:rsid w:val="004150DE"/>
    <w:rsid w:val="00415A41"/>
    <w:rsid w:val="004171BE"/>
    <w:rsid w:val="00423075"/>
    <w:rsid w:val="00423C58"/>
    <w:rsid w:val="004269BD"/>
    <w:rsid w:val="00427149"/>
    <w:rsid w:val="0043026B"/>
    <w:rsid w:val="00430737"/>
    <w:rsid w:val="0045055A"/>
    <w:rsid w:val="004514F6"/>
    <w:rsid w:val="00454F5B"/>
    <w:rsid w:val="004554FD"/>
    <w:rsid w:val="00457329"/>
    <w:rsid w:val="0046054A"/>
    <w:rsid w:val="00461235"/>
    <w:rsid w:val="00461E68"/>
    <w:rsid w:val="00465480"/>
    <w:rsid w:val="00466E98"/>
    <w:rsid w:val="00483904"/>
    <w:rsid w:val="00484DEF"/>
    <w:rsid w:val="00492E07"/>
    <w:rsid w:val="004A326B"/>
    <w:rsid w:val="004A593B"/>
    <w:rsid w:val="004B5385"/>
    <w:rsid w:val="004C3710"/>
    <w:rsid w:val="004C4D3E"/>
    <w:rsid w:val="004C6B44"/>
    <w:rsid w:val="004C6E5E"/>
    <w:rsid w:val="004D0D40"/>
    <w:rsid w:val="004D3321"/>
    <w:rsid w:val="004D6521"/>
    <w:rsid w:val="004D6C66"/>
    <w:rsid w:val="004E4E36"/>
    <w:rsid w:val="004E5C13"/>
    <w:rsid w:val="005014F4"/>
    <w:rsid w:val="0050180D"/>
    <w:rsid w:val="0050740D"/>
    <w:rsid w:val="00512990"/>
    <w:rsid w:val="00515EC0"/>
    <w:rsid w:val="00520A9E"/>
    <w:rsid w:val="0052450C"/>
    <w:rsid w:val="005353EF"/>
    <w:rsid w:val="005367D8"/>
    <w:rsid w:val="005404FC"/>
    <w:rsid w:val="00552DFB"/>
    <w:rsid w:val="005559A3"/>
    <w:rsid w:val="005607A9"/>
    <w:rsid w:val="00561AFA"/>
    <w:rsid w:val="00565B96"/>
    <w:rsid w:val="00566EAC"/>
    <w:rsid w:val="00572084"/>
    <w:rsid w:val="00573931"/>
    <w:rsid w:val="0057556D"/>
    <w:rsid w:val="00576D00"/>
    <w:rsid w:val="00583A0D"/>
    <w:rsid w:val="00583A8C"/>
    <w:rsid w:val="0059048E"/>
    <w:rsid w:val="005923D4"/>
    <w:rsid w:val="00593CB6"/>
    <w:rsid w:val="005A2EE0"/>
    <w:rsid w:val="005A4DD5"/>
    <w:rsid w:val="005A7E06"/>
    <w:rsid w:val="005B15B9"/>
    <w:rsid w:val="005C19E3"/>
    <w:rsid w:val="005C4267"/>
    <w:rsid w:val="005C5A67"/>
    <w:rsid w:val="005E014B"/>
    <w:rsid w:val="005E3474"/>
    <w:rsid w:val="005F39EB"/>
    <w:rsid w:val="00603AA3"/>
    <w:rsid w:val="00606433"/>
    <w:rsid w:val="00614CA7"/>
    <w:rsid w:val="00614FF1"/>
    <w:rsid w:val="0062016A"/>
    <w:rsid w:val="00623AA5"/>
    <w:rsid w:val="0062486C"/>
    <w:rsid w:val="00625A04"/>
    <w:rsid w:val="0063486D"/>
    <w:rsid w:val="0063521E"/>
    <w:rsid w:val="006358CB"/>
    <w:rsid w:val="00640E68"/>
    <w:rsid w:val="006433C7"/>
    <w:rsid w:val="00643F32"/>
    <w:rsid w:val="00646DD2"/>
    <w:rsid w:val="00647E2B"/>
    <w:rsid w:val="006504F7"/>
    <w:rsid w:val="00652DEA"/>
    <w:rsid w:val="00656E83"/>
    <w:rsid w:val="00661370"/>
    <w:rsid w:val="006740C6"/>
    <w:rsid w:val="00684FFF"/>
    <w:rsid w:val="006911C4"/>
    <w:rsid w:val="006938DA"/>
    <w:rsid w:val="006970B0"/>
    <w:rsid w:val="006A332E"/>
    <w:rsid w:val="006A7D8B"/>
    <w:rsid w:val="006B5433"/>
    <w:rsid w:val="006C0A80"/>
    <w:rsid w:val="006D2C8D"/>
    <w:rsid w:val="006D2D35"/>
    <w:rsid w:val="006D4CCC"/>
    <w:rsid w:val="006E37BE"/>
    <w:rsid w:val="006E39F9"/>
    <w:rsid w:val="006E7DD4"/>
    <w:rsid w:val="006F11FF"/>
    <w:rsid w:val="006F1B59"/>
    <w:rsid w:val="006F2B9E"/>
    <w:rsid w:val="006F336E"/>
    <w:rsid w:val="006F673D"/>
    <w:rsid w:val="007022BA"/>
    <w:rsid w:val="00711170"/>
    <w:rsid w:val="00711EA4"/>
    <w:rsid w:val="007165EE"/>
    <w:rsid w:val="007177E5"/>
    <w:rsid w:val="007248A3"/>
    <w:rsid w:val="007270AC"/>
    <w:rsid w:val="00733C1F"/>
    <w:rsid w:val="0073701A"/>
    <w:rsid w:val="00754285"/>
    <w:rsid w:val="007547EF"/>
    <w:rsid w:val="0075531F"/>
    <w:rsid w:val="007604A0"/>
    <w:rsid w:val="00760A71"/>
    <w:rsid w:val="007632F5"/>
    <w:rsid w:val="007A06CB"/>
    <w:rsid w:val="007A130B"/>
    <w:rsid w:val="007A32EC"/>
    <w:rsid w:val="007A7CFE"/>
    <w:rsid w:val="007B0F55"/>
    <w:rsid w:val="007B0FBB"/>
    <w:rsid w:val="007B4AFF"/>
    <w:rsid w:val="007C38CE"/>
    <w:rsid w:val="007C5CE6"/>
    <w:rsid w:val="007C7106"/>
    <w:rsid w:val="007C7D52"/>
    <w:rsid w:val="007E0247"/>
    <w:rsid w:val="007E137A"/>
    <w:rsid w:val="007E328C"/>
    <w:rsid w:val="007E4918"/>
    <w:rsid w:val="007F2DAC"/>
    <w:rsid w:val="00805DA7"/>
    <w:rsid w:val="008106EA"/>
    <w:rsid w:val="00811E49"/>
    <w:rsid w:val="00820D59"/>
    <w:rsid w:val="00826A51"/>
    <w:rsid w:val="00831A5C"/>
    <w:rsid w:val="00835AED"/>
    <w:rsid w:val="00837CB2"/>
    <w:rsid w:val="00843C8B"/>
    <w:rsid w:val="00860BBC"/>
    <w:rsid w:val="00866765"/>
    <w:rsid w:val="00874152"/>
    <w:rsid w:val="00875162"/>
    <w:rsid w:val="00880464"/>
    <w:rsid w:val="00882E4B"/>
    <w:rsid w:val="00890EB7"/>
    <w:rsid w:val="00891380"/>
    <w:rsid w:val="008938FC"/>
    <w:rsid w:val="008A5CC7"/>
    <w:rsid w:val="008A6350"/>
    <w:rsid w:val="008A6745"/>
    <w:rsid w:val="008A69EB"/>
    <w:rsid w:val="008B375F"/>
    <w:rsid w:val="008B50E3"/>
    <w:rsid w:val="008C63FE"/>
    <w:rsid w:val="008D536F"/>
    <w:rsid w:val="008F350C"/>
    <w:rsid w:val="008F612E"/>
    <w:rsid w:val="008F6B3E"/>
    <w:rsid w:val="00911297"/>
    <w:rsid w:val="00930BB4"/>
    <w:rsid w:val="00934F58"/>
    <w:rsid w:val="00936BF3"/>
    <w:rsid w:val="0094343E"/>
    <w:rsid w:val="009449EA"/>
    <w:rsid w:val="00946229"/>
    <w:rsid w:val="00950DD9"/>
    <w:rsid w:val="00954186"/>
    <w:rsid w:val="0095655F"/>
    <w:rsid w:val="00957840"/>
    <w:rsid w:val="009667F1"/>
    <w:rsid w:val="00967C70"/>
    <w:rsid w:val="0097088C"/>
    <w:rsid w:val="00981ADD"/>
    <w:rsid w:val="00982C12"/>
    <w:rsid w:val="00985016"/>
    <w:rsid w:val="009861BB"/>
    <w:rsid w:val="009A2B9F"/>
    <w:rsid w:val="009B159E"/>
    <w:rsid w:val="009B7C46"/>
    <w:rsid w:val="009C50D4"/>
    <w:rsid w:val="009C6E32"/>
    <w:rsid w:val="009C7F9A"/>
    <w:rsid w:val="009D27F7"/>
    <w:rsid w:val="009D6F4F"/>
    <w:rsid w:val="009F071D"/>
    <w:rsid w:val="00A049F0"/>
    <w:rsid w:val="00A12AE1"/>
    <w:rsid w:val="00A1481D"/>
    <w:rsid w:val="00A2023F"/>
    <w:rsid w:val="00A24947"/>
    <w:rsid w:val="00A32505"/>
    <w:rsid w:val="00A33BA3"/>
    <w:rsid w:val="00A36331"/>
    <w:rsid w:val="00A42503"/>
    <w:rsid w:val="00A42C45"/>
    <w:rsid w:val="00A44388"/>
    <w:rsid w:val="00A456FA"/>
    <w:rsid w:val="00A53310"/>
    <w:rsid w:val="00A62454"/>
    <w:rsid w:val="00A736D5"/>
    <w:rsid w:val="00A76C94"/>
    <w:rsid w:val="00A8389B"/>
    <w:rsid w:val="00A84D4F"/>
    <w:rsid w:val="00AA20C8"/>
    <w:rsid w:val="00AA4700"/>
    <w:rsid w:val="00AA7702"/>
    <w:rsid w:val="00AB1DF7"/>
    <w:rsid w:val="00AC2349"/>
    <w:rsid w:val="00AF38A6"/>
    <w:rsid w:val="00AF3F37"/>
    <w:rsid w:val="00AF6062"/>
    <w:rsid w:val="00AF64C4"/>
    <w:rsid w:val="00AF7BA8"/>
    <w:rsid w:val="00B013C3"/>
    <w:rsid w:val="00B125D9"/>
    <w:rsid w:val="00B1664E"/>
    <w:rsid w:val="00B3389D"/>
    <w:rsid w:val="00B4597C"/>
    <w:rsid w:val="00B52262"/>
    <w:rsid w:val="00B534CA"/>
    <w:rsid w:val="00B5602D"/>
    <w:rsid w:val="00B56A4D"/>
    <w:rsid w:val="00B64F05"/>
    <w:rsid w:val="00B67904"/>
    <w:rsid w:val="00B86826"/>
    <w:rsid w:val="00B922F8"/>
    <w:rsid w:val="00B94C99"/>
    <w:rsid w:val="00BA0B78"/>
    <w:rsid w:val="00BA1AD3"/>
    <w:rsid w:val="00BB4732"/>
    <w:rsid w:val="00BB6C0F"/>
    <w:rsid w:val="00BC4196"/>
    <w:rsid w:val="00BC66CA"/>
    <w:rsid w:val="00BE03E7"/>
    <w:rsid w:val="00BE4D5A"/>
    <w:rsid w:val="00BE6DDD"/>
    <w:rsid w:val="00BE7800"/>
    <w:rsid w:val="00BF2768"/>
    <w:rsid w:val="00C0224F"/>
    <w:rsid w:val="00C06826"/>
    <w:rsid w:val="00C13C92"/>
    <w:rsid w:val="00C1726F"/>
    <w:rsid w:val="00C257D7"/>
    <w:rsid w:val="00C302BF"/>
    <w:rsid w:val="00C37446"/>
    <w:rsid w:val="00C40193"/>
    <w:rsid w:val="00C522A5"/>
    <w:rsid w:val="00C61CEB"/>
    <w:rsid w:val="00C64617"/>
    <w:rsid w:val="00C665FC"/>
    <w:rsid w:val="00C80EA5"/>
    <w:rsid w:val="00C828B3"/>
    <w:rsid w:val="00CB0C33"/>
    <w:rsid w:val="00CB6FDB"/>
    <w:rsid w:val="00CC0861"/>
    <w:rsid w:val="00CC6717"/>
    <w:rsid w:val="00CC79A1"/>
    <w:rsid w:val="00CD1EFF"/>
    <w:rsid w:val="00CD724B"/>
    <w:rsid w:val="00CD7A0A"/>
    <w:rsid w:val="00CF2FE4"/>
    <w:rsid w:val="00D0745E"/>
    <w:rsid w:val="00D139E6"/>
    <w:rsid w:val="00D14875"/>
    <w:rsid w:val="00D21B0B"/>
    <w:rsid w:val="00D21C47"/>
    <w:rsid w:val="00D22541"/>
    <w:rsid w:val="00D26131"/>
    <w:rsid w:val="00D27870"/>
    <w:rsid w:val="00D27EA6"/>
    <w:rsid w:val="00D31896"/>
    <w:rsid w:val="00D336E4"/>
    <w:rsid w:val="00D44383"/>
    <w:rsid w:val="00D44AA2"/>
    <w:rsid w:val="00D60E57"/>
    <w:rsid w:val="00D626D7"/>
    <w:rsid w:val="00D72F7F"/>
    <w:rsid w:val="00D74147"/>
    <w:rsid w:val="00D7694F"/>
    <w:rsid w:val="00D858BC"/>
    <w:rsid w:val="00D913AF"/>
    <w:rsid w:val="00D92F83"/>
    <w:rsid w:val="00D933AF"/>
    <w:rsid w:val="00D93808"/>
    <w:rsid w:val="00DA1015"/>
    <w:rsid w:val="00DA5A64"/>
    <w:rsid w:val="00DC0CD3"/>
    <w:rsid w:val="00DC2E31"/>
    <w:rsid w:val="00DC5D4E"/>
    <w:rsid w:val="00DD28A2"/>
    <w:rsid w:val="00DD391E"/>
    <w:rsid w:val="00DD57CB"/>
    <w:rsid w:val="00DE11CB"/>
    <w:rsid w:val="00DE3B58"/>
    <w:rsid w:val="00DF5FE0"/>
    <w:rsid w:val="00DF7E82"/>
    <w:rsid w:val="00E05F63"/>
    <w:rsid w:val="00E0701D"/>
    <w:rsid w:val="00E11EFA"/>
    <w:rsid w:val="00E140EB"/>
    <w:rsid w:val="00E2691A"/>
    <w:rsid w:val="00E31D5E"/>
    <w:rsid w:val="00E36591"/>
    <w:rsid w:val="00E41625"/>
    <w:rsid w:val="00E44D25"/>
    <w:rsid w:val="00E44DC9"/>
    <w:rsid w:val="00E46239"/>
    <w:rsid w:val="00E46E50"/>
    <w:rsid w:val="00E575CB"/>
    <w:rsid w:val="00E5761E"/>
    <w:rsid w:val="00E60981"/>
    <w:rsid w:val="00E60D9F"/>
    <w:rsid w:val="00E62A94"/>
    <w:rsid w:val="00E65BE9"/>
    <w:rsid w:val="00E71EAF"/>
    <w:rsid w:val="00E74019"/>
    <w:rsid w:val="00E914E2"/>
    <w:rsid w:val="00E93473"/>
    <w:rsid w:val="00EA0218"/>
    <w:rsid w:val="00EB13E1"/>
    <w:rsid w:val="00EB5DC6"/>
    <w:rsid w:val="00EC273C"/>
    <w:rsid w:val="00EC53FB"/>
    <w:rsid w:val="00ED0B9F"/>
    <w:rsid w:val="00ED2E4B"/>
    <w:rsid w:val="00ED394B"/>
    <w:rsid w:val="00ED5EAA"/>
    <w:rsid w:val="00ED652D"/>
    <w:rsid w:val="00EE78B5"/>
    <w:rsid w:val="00EF6ADA"/>
    <w:rsid w:val="00F02C07"/>
    <w:rsid w:val="00F040E3"/>
    <w:rsid w:val="00F17110"/>
    <w:rsid w:val="00F174E1"/>
    <w:rsid w:val="00F1755C"/>
    <w:rsid w:val="00F24FA2"/>
    <w:rsid w:val="00F270A4"/>
    <w:rsid w:val="00F274E4"/>
    <w:rsid w:val="00F3690C"/>
    <w:rsid w:val="00F36C18"/>
    <w:rsid w:val="00F373E6"/>
    <w:rsid w:val="00F37C4B"/>
    <w:rsid w:val="00F41C28"/>
    <w:rsid w:val="00F45849"/>
    <w:rsid w:val="00F511F2"/>
    <w:rsid w:val="00F6094E"/>
    <w:rsid w:val="00F637AC"/>
    <w:rsid w:val="00F655CA"/>
    <w:rsid w:val="00F71FEB"/>
    <w:rsid w:val="00F7533C"/>
    <w:rsid w:val="00F77CA9"/>
    <w:rsid w:val="00F91221"/>
    <w:rsid w:val="00F94A19"/>
    <w:rsid w:val="00F95B1F"/>
    <w:rsid w:val="00F96A62"/>
    <w:rsid w:val="00FA109D"/>
    <w:rsid w:val="00FA3B20"/>
    <w:rsid w:val="00FB181D"/>
    <w:rsid w:val="00FB3BE0"/>
    <w:rsid w:val="00FB6348"/>
    <w:rsid w:val="00FB705E"/>
    <w:rsid w:val="00FB7952"/>
    <w:rsid w:val="00FC7043"/>
    <w:rsid w:val="00FD1A98"/>
    <w:rsid w:val="00FE21A7"/>
    <w:rsid w:val="00FE4415"/>
    <w:rsid w:val="00FF22BB"/>
    <w:rsid w:val="00FF6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95D14"/>
  <w15:docId w15:val="{9A8B70A7-13E2-4BF5-A12A-580974A9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D0D4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D0D4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character" w:customStyle="1" w:styleId="en">
    <w:name w:val="en"/>
    <w:basedOn w:val="DefaultParagraphFont"/>
    <w:rsid w:val="00AF7BA8"/>
  </w:style>
  <w:style w:type="paragraph" w:styleId="Revision">
    <w:name w:val="Revision"/>
    <w:hidden/>
    <w:uiPriority w:val="99"/>
    <w:semiHidden/>
    <w:rsid w:val="004D65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 w:id="1127089309">
      <w:bodyDiv w:val="1"/>
      <w:marLeft w:val="0"/>
      <w:marRight w:val="0"/>
      <w:marTop w:val="0"/>
      <w:marBottom w:val="0"/>
      <w:divBdr>
        <w:top w:val="none" w:sz="0" w:space="0" w:color="auto"/>
        <w:left w:val="none" w:sz="0" w:space="0" w:color="auto"/>
        <w:bottom w:val="none" w:sz="0" w:space="0" w:color="auto"/>
        <w:right w:val="none" w:sz="0" w:space="0" w:color="auto"/>
      </w:divBdr>
    </w:div>
    <w:div w:id="14549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0779-540B-475A-BE39-02A470B0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4</Pages>
  <Words>3331</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2015-04-27T08:08:00Z</cp:lastPrinted>
  <dcterms:created xsi:type="dcterms:W3CDTF">2017-01-24T21:33:00Z</dcterms:created>
  <dcterms:modified xsi:type="dcterms:W3CDTF">2017-01-24T21:33:00Z</dcterms:modified>
</cp:coreProperties>
</file>