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128E3" w:rsidRPr="001970A2" w:rsidTr="00B6553F">
        <w:trPr>
          <w:cantSplit/>
          <w:trHeight w:hRule="exact" w:val="851"/>
        </w:trPr>
        <w:tc>
          <w:tcPr>
            <w:tcW w:w="1276" w:type="dxa"/>
            <w:tcBorders>
              <w:bottom w:val="single" w:sz="4" w:space="0" w:color="auto"/>
            </w:tcBorders>
            <w:vAlign w:val="bottom"/>
          </w:tcPr>
          <w:p w:rsidR="000128E3" w:rsidRPr="001970A2" w:rsidRDefault="000128E3" w:rsidP="001970A2">
            <w:pPr>
              <w:spacing w:after="80" w:line="360" w:lineRule="auto"/>
              <w:rPr>
                <w:sz w:val="24"/>
                <w:szCs w:val="24"/>
              </w:rPr>
            </w:pPr>
          </w:p>
        </w:tc>
        <w:tc>
          <w:tcPr>
            <w:tcW w:w="2268" w:type="dxa"/>
            <w:tcBorders>
              <w:bottom w:val="single" w:sz="4" w:space="0" w:color="auto"/>
            </w:tcBorders>
            <w:vAlign w:val="bottom"/>
          </w:tcPr>
          <w:p w:rsidR="000128E3" w:rsidRPr="001970A2" w:rsidRDefault="000128E3" w:rsidP="001970A2">
            <w:pPr>
              <w:spacing w:after="80" w:line="360" w:lineRule="auto"/>
              <w:rPr>
                <w:b/>
                <w:sz w:val="24"/>
                <w:szCs w:val="24"/>
              </w:rPr>
            </w:pPr>
            <w:r w:rsidRPr="001970A2">
              <w:rPr>
                <w:sz w:val="24"/>
                <w:szCs w:val="24"/>
              </w:rPr>
              <w:t>United Nations</w:t>
            </w:r>
          </w:p>
        </w:tc>
        <w:tc>
          <w:tcPr>
            <w:tcW w:w="6095" w:type="dxa"/>
            <w:gridSpan w:val="2"/>
            <w:tcBorders>
              <w:bottom w:val="single" w:sz="4" w:space="0" w:color="auto"/>
            </w:tcBorders>
            <w:vAlign w:val="bottom"/>
          </w:tcPr>
          <w:p w:rsidR="000128E3" w:rsidRPr="001970A2" w:rsidRDefault="000128E3" w:rsidP="00AA061C">
            <w:pPr>
              <w:jc w:val="right"/>
              <w:rPr>
                <w:sz w:val="24"/>
                <w:szCs w:val="24"/>
              </w:rPr>
            </w:pPr>
            <w:r w:rsidRPr="00DD3472">
              <w:rPr>
                <w:sz w:val="40"/>
                <w:szCs w:val="40"/>
              </w:rPr>
              <w:t>CCPR</w:t>
            </w:r>
            <w:r w:rsidR="00431FE1" w:rsidRPr="00DD3472">
              <w:t>/C/117</w:t>
            </w:r>
            <w:r w:rsidRPr="00DD3472">
              <w:t>/D</w:t>
            </w:r>
            <w:r w:rsidR="009C7EFD" w:rsidRPr="00DD3472">
              <w:t>/</w:t>
            </w:r>
            <w:r w:rsidR="00323A2B" w:rsidRPr="00DD3472">
              <w:t>2</w:t>
            </w:r>
            <w:r w:rsidR="00693A95" w:rsidRPr="00DD3472">
              <w:t>443</w:t>
            </w:r>
            <w:r w:rsidRPr="00DD3472">
              <w:t>/201</w:t>
            </w:r>
            <w:r w:rsidR="00693A95" w:rsidRPr="00DD3472">
              <w:t>4</w:t>
            </w:r>
          </w:p>
        </w:tc>
      </w:tr>
      <w:tr w:rsidR="000128E3" w:rsidRPr="001970A2" w:rsidTr="00B6553F">
        <w:trPr>
          <w:cantSplit/>
          <w:trHeight w:hRule="exact" w:val="2835"/>
        </w:trPr>
        <w:tc>
          <w:tcPr>
            <w:tcW w:w="1276" w:type="dxa"/>
            <w:tcBorders>
              <w:top w:val="single" w:sz="4" w:space="0" w:color="auto"/>
              <w:bottom w:val="single" w:sz="12" w:space="0" w:color="auto"/>
            </w:tcBorders>
          </w:tcPr>
          <w:p w:rsidR="000128E3" w:rsidRPr="001970A2" w:rsidRDefault="00F145AF" w:rsidP="001970A2">
            <w:pPr>
              <w:spacing w:before="120" w:line="360" w:lineRule="auto"/>
              <w:rPr>
                <w:sz w:val="24"/>
                <w:szCs w:val="24"/>
              </w:rPr>
            </w:pPr>
            <w:r w:rsidRPr="001970A2">
              <w:rPr>
                <w:noProof/>
                <w:sz w:val="24"/>
                <w:szCs w:val="24"/>
                <w:lang w:val="en-US" w:eastAsia="zh-CN"/>
              </w:rPr>
              <w:drawing>
                <wp:inline distT="0" distB="0" distL="0" distR="0" wp14:anchorId="768E63AB" wp14:editId="4F928112">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D0432C" w:rsidRPr="00FC440B" w:rsidRDefault="00DD3472" w:rsidP="00DD3472">
            <w:pPr>
              <w:spacing w:before="120" w:line="380" w:lineRule="exact"/>
              <w:rPr>
                <w:b/>
                <w:sz w:val="34"/>
                <w:szCs w:val="40"/>
              </w:rPr>
            </w:pPr>
            <w:r w:rsidRPr="00463B9A">
              <w:rPr>
                <w:b/>
                <w:sz w:val="34"/>
                <w:szCs w:val="40"/>
              </w:rPr>
              <w:t>International Covenant on</w:t>
            </w:r>
            <w:r w:rsidRPr="00463B9A">
              <w:rPr>
                <w:b/>
                <w:sz w:val="34"/>
                <w:szCs w:val="40"/>
              </w:rPr>
              <w:br/>
              <w:t>Civil and Political Rights</w:t>
            </w:r>
          </w:p>
        </w:tc>
        <w:tc>
          <w:tcPr>
            <w:tcW w:w="2835" w:type="dxa"/>
            <w:tcBorders>
              <w:top w:val="single" w:sz="4" w:space="0" w:color="auto"/>
              <w:bottom w:val="single" w:sz="12" w:space="0" w:color="auto"/>
            </w:tcBorders>
          </w:tcPr>
          <w:p w:rsidR="00DD3472" w:rsidRPr="00DD3472" w:rsidRDefault="00DD3472" w:rsidP="00DD3472">
            <w:pPr>
              <w:spacing w:before="240" w:line="240" w:lineRule="exact"/>
            </w:pPr>
            <w:r w:rsidRPr="00DD3472">
              <w:t xml:space="preserve">Distr.: </w:t>
            </w:r>
            <w:r w:rsidR="00AA061C">
              <w:t>General</w:t>
            </w:r>
          </w:p>
          <w:p w:rsidR="00DD3472" w:rsidRPr="00DD3472" w:rsidRDefault="00671400" w:rsidP="00671400">
            <w:pPr>
              <w:spacing w:line="240" w:lineRule="exact"/>
            </w:pPr>
            <w:r>
              <w:t>30</w:t>
            </w:r>
            <w:r w:rsidR="00156499">
              <w:t xml:space="preserve"> </w:t>
            </w:r>
            <w:r w:rsidR="00CD0943">
              <w:t>August</w:t>
            </w:r>
            <w:r w:rsidR="00DD3472" w:rsidRPr="00DD3472">
              <w:t xml:space="preserve"> 2016</w:t>
            </w:r>
          </w:p>
          <w:p w:rsidR="00DD3472" w:rsidRPr="00DD3472" w:rsidRDefault="00DD3472" w:rsidP="00DD3472">
            <w:pPr>
              <w:spacing w:line="240" w:lineRule="exact"/>
            </w:pPr>
          </w:p>
          <w:p w:rsidR="00DD3472" w:rsidRPr="00DD3472" w:rsidRDefault="00DD3472" w:rsidP="00DD3472">
            <w:pPr>
              <w:spacing w:line="240" w:lineRule="exact"/>
            </w:pPr>
            <w:r w:rsidRPr="00DD3472">
              <w:t>Original: English</w:t>
            </w:r>
          </w:p>
          <w:p w:rsidR="000128E3" w:rsidRPr="001970A2" w:rsidRDefault="000128E3" w:rsidP="00AA061C">
            <w:pPr>
              <w:spacing w:line="360" w:lineRule="auto"/>
              <w:rPr>
                <w:sz w:val="24"/>
                <w:szCs w:val="24"/>
              </w:rPr>
            </w:pPr>
            <w:bookmarkStart w:id="0" w:name="_GoBack"/>
            <w:bookmarkEnd w:id="0"/>
          </w:p>
        </w:tc>
      </w:tr>
    </w:tbl>
    <w:p w:rsidR="00DD3472" w:rsidRPr="00207AC2" w:rsidRDefault="00DD3472" w:rsidP="00FC440B">
      <w:pPr>
        <w:spacing w:before="120"/>
        <w:rPr>
          <w:b/>
        </w:rPr>
      </w:pPr>
      <w:r w:rsidRPr="00207AC2">
        <w:rPr>
          <w:b/>
          <w:sz w:val="24"/>
          <w:szCs w:val="24"/>
        </w:rPr>
        <w:t>Human Rights Committee</w:t>
      </w:r>
    </w:p>
    <w:p w:rsidR="00DD3472" w:rsidRPr="0046634B" w:rsidRDefault="00DD3472" w:rsidP="00FC440B">
      <w:pPr>
        <w:pStyle w:val="HChG"/>
        <w:rPr>
          <w:rFonts w:eastAsiaTheme="minorEastAsia"/>
        </w:rPr>
      </w:pPr>
      <w:r>
        <w:tab/>
      </w:r>
      <w:r>
        <w:tab/>
      </w:r>
      <w:r w:rsidR="00AA061C" w:rsidRPr="00AA061C">
        <w:rPr>
          <w:rFonts w:eastAsiaTheme="minorEastAsia"/>
        </w:rPr>
        <w:t>Views adopted by the Committee under article 5</w:t>
      </w:r>
      <w:r w:rsidR="00CD0943">
        <w:rPr>
          <w:rFonts w:eastAsiaTheme="minorEastAsia"/>
        </w:rPr>
        <w:t xml:space="preserve"> </w:t>
      </w:r>
      <w:r w:rsidR="00AA061C" w:rsidRPr="00AA061C">
        <w:rPr>
          <w:rFonts w:eastAsiaTheme="minorEastAsia"/>
        </w:rPr>
        <w:t>(4) of the Optional Protocol, concerning communication No.</w:t>
      </w:r>
      <w:r w:rsidR="00317ED7">
        <w:rPr>
          <w:rFonts w:eastAsiaTheme="minorEastAsia"/>
        </w:rPr>
        <w:t> </w:t>
      </w:r>
      <w:r w:rsidR="00AA061C" w:rsidRPr="00AA061C">
        <w:rPr>
          <w:rFonts w:eastAsiaTheme="minorEastAsia"/>
        </w:rPr>
        <w:t>244</w:t>
      </w:r>
      <w:r w:rsidR="00AA061C">
        <w:rPr>
          <w:rFonts w:eastAsiaTheme="minorEastAsia"/>
        </w:rPr>
        <w:t>3</w:t>
      </w:r>
      <w:r w:rsidR="00AA061C" w:rsidRPr="00AA061C">
        <w:rPr>
          <w:rFonts w:eastAsiaTheme="minorEastAsia"/>
        </w:rPr>
        <w:t>/2014</w:t>
      </w:r>
      <w:r w:rsidR="00AA061C" w:rsidRPr="00FC440B">
        <w:rPr>
          <w:rStyle w:val="FootnoteReference"/>
          <w:rFonts w:eastAsiaTheme="minorEastAsia"/>
          <w:b w:val="0"/>
          <w:bCs/>
          <w:sz w:val="20"/>
          <w:vertAlign w:val="baseline"/>
        </w:rPr>
        <w:footnoteReference w:customMarkFollows="1" w:id="2"/>
        <w:t>*</w:t>
      </w:r>
      <w:r w:rsidR="00CD0943" w:rsidRPr="00FC440B">
        <w:rPr>
          <w:rFonts w:eastAsiaTheme="minorEastAsia"/>
          <w:b w:val="0"/>
          <w:bCs/>
          <w:position w:val="4"/>
          <w:sz w:val="20"/>
        </w:rPr>
        <w:t>,</w:t>
      </w:r>
      <w:r w:rsidR="00AA061C" w:rsidRPr="00FC440B">
        <w:rPr>
          <w:rFonts w:eastAsiaTheme="minorEastAsia"/>
          <w:b w:val="0"/>
          <w:bCs/>
          <w:sz w:val="20"/>
        </w:rPr>
        <w:t xml:space="preserve"> </w:t>
      </w:r>
      <w:r w:rsidR="00AA061C" w:rsidRPr="00FC440B">
        <w:rPr>
          <w:rStyle w:val="FootnoteReference"/>
          <w:rFonts w:eastAsiaTheme="minorEastAsia"/>
          <w:b w:val="0"/>
          <w:bCs/>
          <w:sz w:val="20"/>
          <w:vertAlign w:val="baseline"/>
        </w:rPr>
        <w:footnoteReference w:customMarkFollows="1" w:id="3"/>
        <w:t>**</w:t>
      </w:r>
      <w:r w:rsidR="00BF0285">
        <w:rPr>
          <w:rFonts w:eastAsiaTheme="minorEastAsia"/>
          <w:b w:val="0"/>
          <w:bCs/>
          <w:sz w:val="20"/>
        </w:rPr>
        <w:t xml:space="preserve"> </w:t>
      </w:r>
    </w:p>
    <w:p w:rsidR="000128E3" w:rsidRPr="00DD3472" w:rsidRDefault="00683EF7" w:rsidP="00FC440B">
      <w:pPr>
        <w:spacing w:after="120"/>
        <w:ind w:left="4536" w:right="1134" w:hanging="3402"/>
      </w:pPr>
      <w:r w:rsidRPr="00DD3472">
        <w:rPr>
          <w:i/>
        </w:rPr>
        <w:t>Communication s</w:t>
      </w:r>
      <w:r w:rsidR="000128E3" w:rsidRPr="00DD3472">
        <w:rPr>
          <w:i/>
        </w:rPr>
        <w:t>ubmitted by:</w:t>
      </w:r>
      <w:r w:rsidR="000128E3" w:rsidRPr="001970A2">
        <w:rPr>
          <w:sz w:val="24"/>
          <w:szCs w:val="24"/>
        </w:rPr>
        <w:tab/>
      </w:r>
      <w:r w:rsidR="00693A95" w:rsidRPr="00DD3472">
        <w:t>S.Z.</w:t>
      </w:r>
      <w:r w:rsidR="00602B75" w:rsidRPr="00DD3472">
        <w:t xml:space="preserve"> </w:t>
      </w:r>
      <w:r w:rsidR="000128E3" w:rsidRPr="00DD3472">
        <w:t>(represented</w:t>
      </w:r>
      <w:r w:rsidR="00FC20C0" w:rsidRPr="00DD3472">
        <w:t xml:space="preserve"> by counsel</w:t>
      </w:r>
      <w:r w:rsidR="00327C26" w:rsidRPr="00DD3472">
        <w:t xml:space="preserve">, </w:t>
      </w:r>
      <w:proofErr w:type="spellStart"/>
      <w:r w:rsidR="00327C26" w:rsidRPr="00DD3472">
        <w:t>Jytte</w:t>
      </w:r>
      <w:proofErr w:type="spellEnd"/>
      <w:r w:rsidR="00327C26" w:rsidRPr="00DD3472">
        <w:t xml:space="preserve"> </w:t>
      </w:r>
      <w:proofErr w:type="spellStart"/>
      <w:r w:rsidR="00327C26" w:rsidRPr="00DD3472">
        <w:t>Lindgard</w:t>
      </w:r>
      <w:proofErr w:type="spellEnd"/>
      <w:r w:rsidR="000128E3" w:rsidRPr="00DD3472">
        <w:t>)</w:t>
      </w:r>
    </w:p>
    <w:p w:rsidR="000128E3" w:rsidRPr="00DD3472" w:rsidRDefault="000128E3" w:rsidP="00FC440B">
      <w:pPr>
        <w:spacing w:after="120"/>
        <w:ind w:left="4536" w:right="1134" w:hanging="3402"/>
      </w:pPr>
      <w:r w:rsidRPr="00DD3472">
        <w:rPr>
          <w:i/>
        </w:rPr>
        <w:t>Alleged victim:</w:t>
      </w:r>
      <w:r w:rsidRPr="001970A2">
        <w:rPr>
          <w:sz w:val="24"/>
          <w:szCs w:val="24"/>
        </w:rPr>
        <w:tab/>
      </w:r>
      <w:r w:rsidRPr="00DD3472">
        <w:t>The author</w:t>
      </w:r>
    </w:p>
    <w:p w:rsidR="000128E3" w:rsidRPr="00DD3472" w:rsidRDefault="000128E3" w:rsidP="00FC440B">
      <w:pPr>
        <w:spacing w:after="120"/>
        <w:ind w:left="4536" w:right="1134" w:hanging="3402"/>
      </w:pPr>
      <w:r w:rsidRPr="00DD3472">
        <w:rPr>
          <w:i/>
        </w:rPr>
        <w:t>State party:</w:t>
      </w:r>
      <w:r w:rsidRPr="001970A2">
        <w:rPr>
          <w:sz w:val="24"/>
          <w:szCs w:val="24"/>
        </w:rPr>
        <w:tab/>
      </w:r>
      <w:r w:rsidR="00327C26" w:rsidRPr="00DD3472">
        <w:t>Denmark</w:t>
      </w:r>
    </w:p>
    <w:p w:rsidR="000128E3" w:rsidRPr="00DD3472" w:rsidRDefault="000128E3" w:rsidP="00FC440B">
      <w:pPr>
        <w:spacing w:after="120"/>
        <w:ind w:left="4536" w:right="1134" w:hanging="3402"/>
      </w:pPr>
      <w:r w:rsidRPr="00DD3472">
        <w:rPr>
          <w:i/>
        </w:rPr>
        <w:t>Date</w:t>
      </w:r>
      <w:r w:rsidR="00602B75" w:rsidRPr="00DD3472">
        <w:rPr>
          <w:i/>
        </w:rPr>
        <w:t>s</w:t>
      </w:r>
      <w:r w:rsidRPr="00DD3472">
        <w:rPr>
          <w:i/>
        </w:rPr>
        <w:t xml:space="preserve"> of communication:</w:t>
      </w:r>
      <w:r w:rsidRPr="001970A2">
        <w:rPr>
          <w:sz w:val="24"/>
          <w:szCs w:val="24"/>
        </w:rPr>
        <w:tab/>
      </w:r>
      <w:r w:rsidR="00327C26" w:rsidRPr="00DD3472">
        <w:t xml:space="preserve">7 July </w:t>
      </w:r>
      <w:r w:rsidR="00602B75" w:rsidRPr="00DD3472">
        <w:t>201</w:t>
      </w:r>
      <w:r w:rsidR="00327C26" w:rsidRPr="00DD3472">
        <w:t>4</w:t>
      </w:r>
      <w:r w:rsidRPr="00DD3472">
        <w:t xml:space="preserve"> (initial submission)</w:t>
      </w:r>
    </w:p>
    <w:p w:rsidR="000128E3" w:rsidRPr="00DD3472" w:rsidRDefault="000128E3" w:rsidP="00FC440B">
      <w:pPr>
        <w:spacing w:after="120"/>
        <w:ind w:left="4536" w:right="1134" w:hanging="3402"/>
      </w:pPr>
      <w:r w:rsidRPr="00DD3472">
        <w:rPr>
          <w:i/>
        </w:rPr>
        <w:t>Document references:</w:t>
      </w:r>
      <w:r w:rsidRPr="001970A2">
        <w:rPr>
          <w:sz w:val="24"/>
          <w:szCs w:val="24"/>
        </w:rPr>
        <w:tab/>
      </w:r>
      <w:r w:rsidR="00DD3472" w:rsidRPr="00207AC2">
        <w:t>Decision taken pursuant to rule</w:t>
      </w:r>
      <w:r w:rsidR="00DD3472">
        <w:t xml:space="preserve"> </w:t>
      </w:r>
      <w:r w:rsidR="00DD3472" w:rsidRPr="00207AC2">
        <w:t>97 of the Committee’s rules of procedure</w:t>
      </w:r>
      <w:r w:rsidRPr="00DD3472">
        <w:t xml:space="preserve">, transmitted to the State party on </w:t>
      </w:r>
      <w:r w:rsidR="00602B75" w:rsidRPr="00DD3472">
        <w:t>7 October 2011</w:t>
      </w:r>
      <w:r w:rsidRPr="00DD3472">
        <w:t xml:space="preserve"> (not issued in document form)</w:t>
      </w:r>
    </w:p>
    <w:p w:rsidR="000128E3" w:rsidRPr="00DD3472" w:rsidRDefault="000128E3" w:rsidP="00FC440B">
      <w:pPr>
        <w:spacing w:after="120"/>
        <w:ind w:left="4536" w:right="1134" w:hanging="3402"/>
      </w:pPr>
      <w:r w:rsidRPr="00DD3472">
        <w:rPr>
          <w:i/>
        </w:rPr>
        <w:t>Date of adoption of Views:</w:t>
      </w:r>
      <w:r w:rsidRPr="001970A2">
        <w:rPr>
          <w:sz w:val="24"/>
          <w:szCs w:val="24"/>
        </w:rPr>
        <w:tab/>
      </w:r>
      <w:r w:rsidR="00AA061C" w:rsidRPr="00FC440B">
        <w:t>13 July</w:t>
      </w:r>
      <w:r w:rsidR="00AA061C">
        <w:rPr>
          <w:sz w:val="24"/>
          <w:szCs w:val="24"/>
        </w:rPr>
        <w:t xml:space="preserve"> </w:t>
      </w:r>
      <w:r w:rsidRPr="00DD3472">
        <w:t>201</w:t>
      </w:r>
      <w:r w:rsidR="00BC5A8B" w:rsidRPr="00DD3472">
        <w:t>6</w:t>
      </w:r>
    </w:p>
    <w:p w:rsidR="000128E3" w:rsidRPr="006D3B38" w:rsidRDefault="000128E3" w:rsidP="00FC440B">
      <w:pPr>
        <w:spacing w:after="120"/>
        <w:ind w:left="4536" w:right="1134" w:hanging="3402"/>
        <w:rPr>
          <w:sz w:val="24"/>
          <w:szCs w:val="24"/>
        </w:rPr>
      </w:pPr>
      <w:r w:rsidRPr="00DD3472">
        <w:rPr>
          <w:i/>
        </w:rPr>
        <w:t>Subject matter:</w:t>
      </w:r>
      <w:r w:rsidRPr="006D3B38">
        <w:rPr>
          <w:sz w:val="24"/>
          <w:szCs w:val="24"/>
        </w:rPr>
        <w:tab/>
      </w:r>
      <w:r w:rsidR="0097257E" w:rsidRPr="00DD3472">
        <w:t>N</w:t>
      </w:r>
      <w:r w:rsidR="00327C26" w:rsidRPr="00DD3472">
        <w:t>on-</w:t>
      </w:r>
      <w:proofErr w:type="spellStart"/>
      <w:r w:rsidR="00327C26" w:rsidRPr="00DD3472">
        <w:t>refoulement</w:t>
      </w:r>
      <w:proofErr w:type="spellEnd"/>
      <w:r w:rsidR="00327C26" w:rsidRPr="00DD3472">
        <w:t xml:space="preserve">; </w:t>
      </w:r>
      <w:r w:rsidR="006D3B38" w:rsidRPr="00DD3472">
        <w:t>torture; right to liberty and security of person</w:t>
      </w:r>
      <w:r w:rsidRPr="00DD3472">
        <w:t>.</w:t>
      </w:r>
      <w:r w:rsidRPr="006D3B38">
        <w:rPr>
          <w:sz w:val="24"/>
          <w:szCs w:val="24"/>
        </w:rPr>
        <w:t xml:space="preserve"> </w:t>
      </w:r>
    </w:p>
    <w:p w:rsidR="000128E3" w:rsidRPr="00DD3472" w:rsidRDefault="000128E3" w:rsidP="00FC440B">
      <w:pPr>
        <w:spacing w:after="120"/>
        <w:ind w:left="4536" w:right="1134" w:hanging="3402"/>
      </w:pPr>
      <w:r w:rsidRPr="00DD3472">
        <w:rPr>
          <w:i/>
        </w:rPr>
        <w:t>Procedural issue:</w:t>
      </w:r>
      <w:r w:rsidRPr="001970A2">
        <w:rPr>
          <w:i/>
          <w:iCs/>
          <w:sz w:val="24"/>
          <w:szCs w:val="24"/>
        </w:rPr>
        <w:t xml:space="preserve"> </w:t>
      </w:r>
      <w:r w:rsidRPr="001970A2">
        <w:rPr>
          <w:i/>
          <w:iCs/>
          <w:sz w:val="24"/>
          <w:szCs w:val="24"/>
        </w:rPr>
        <w:tab/>
      </w:r>
      <w:r w:rsidR="0097257E" w:rsidRPr="00DD3472">
        <w:t xml:space="preserve">Admissibility </w:t>
      </w:r>
      <w:r w:rsidR="00EA4AFC">
        <w:t>—</w:t>
      </w:r>
      <w:r w:rsidR="0097257E" w:rsidRPr="00DD3472">
        <w:t xml:space="preserve"> manifestly ill-founded </w:t>
      </w:r>
    </w:p>
    <w:p w:rsidR="000128E3" w:rsidRPr="00910A6C" w:rsidRDefault="000128E3" w:rsidP="00FC440B">
      <w:pPr>
        <w:spacing w:after="120"/>
        <w:ind w:left="4536" w:right="1134" w:hanging="3402"/>
        <w:rPr>
          <w:lang w:val="fr-CH"/>
        </w:rPr>
      </w:pPr>
      <w:r w:rsidRPr="00910A6C">
        <w:rPr>
          <w:i/>
          <w:lang w:val="fr-CH"/>
        </w:rPr>
        <w:t>Substantive issues:</w:t>
      </w:r>
      <w:r w:rsidRPr="001970A2">
        <w:rPr>
          <w:i/>
          <w:iCs/>
          <w:sz w:val="24"/>
          <w:szCs w:val="24"/>
          <w:lang w:val="fr-CH"/>
        </w:rPr>
        <w:t xml:space="preserve"> </w:t>
      </w:r>
      <w:r w:rsidRPr="001970A2">
        <w:rPr>
          <w:i/>
          <w:iCs/>
          <w:sz w:val="24"/>
          <w:szCs w:val="24"/>
          <w:lang w:val="fr-CH"/>
        </w:rPr>
        <w:tab/>
      </w:r>
      <w:r w:rsidR="00EA4AFC">
        <w:rPr>
          <w:lang w:val="fr-CH"/>
        </w:rPr>
        <w:t>N</w:t>
      </w:r>
      <w:r w:rsidR="00327C26" w:rsidRPr="00910A6C">
        <w:rPr>
          <w:lang w:val="fr-CH"/>
        </w:rPr>
        <w:t>on-refoulement; torture</w:t>
      </w:r>
    </w:p>
    <w:p w:rsidR="00971B81" w:rsidRPr="00DD3472" w:rsidRDefault="000128E3" w:rsidP="00FC440B">
      <w:pPr>
        <w:spacing w:after="120"/>
        <w:ind w:left="4536" w:right="1134" w:hanging="3402"/>
      </w:pPr>
      <w:r w:rsidRPr="00DD3472">
        <w:rPr>
          <w:i/>
        </w:rPr>
        <w:t>Articles of the Covenant:</w:t>
      </w:r>
      <w:r w:rsidRPr="001970A2">
        <w:rPr>
          <w:sz w:val="24"/>
          <w:szCs w:val="24"/>
        </w:rPr>
        <w:t xml:space="preserve"> </w:t>
      </w:r>
      <w:r w:rsidRPr="001970A2">
        <w:rPr>
          <w:sz w:val="24"/>
          <w:szCs w:val="24"/>
        </w:rPr>
        <w:tab/>
      </w:r>
      <w:r w:rsidR="00327C26" w:rsidRPr="00DD3472">
        <w:t>7</w:t>
      </w:r>
      <w:r w:rsidR="00580D27" w:rsidRPr="00DD3472">
        <w:t xml:space="preserve"> </w:t>
      </w:r>
      <w:r w:rsidR="00FC20C0" w:rsidRPr="00DD3472">
        <w:t>and</w:t>
      </w:r>
      <w:r w:rsidRPr="00DD3472">
        <w:t xml:space="preserve"> </w:t>
      </w:r>
      <w:r w:rsidR="00327C26" w:rsidRPr="00DD3472">
        <w:t>9</w:t>
      </w:r>
    </w:p>
    <w:p w:rsidR="00DD3472" w:rsidRDefault="000128E3" w:rsidP="00FC440B">
      <w:pPr>
        <w:spacing w:after="120"/>
        <w:ind w:left="4536" w:right="1134" w:hanging="3402"/>
      </w:pPr>
      <w:r w:rsidRPr="00DD3472">
        <w:rPr>
          <w:i/>
        </w:rPr>
        <w:t>Article of the Optional Protocol:</w:t>
      </w:r>
      <w:r w:rsidRPr="001970A2">
        <w:rPr>
          <w:i/>
          <w:iCs/>
          <w:sz w:val="24"/>
          <w:szCs w:val="24"/>
        </w:rPr>
        <w:tab/>
      </w:r>
      <w:r w:rsidR="00055096" w:rsidRPr="00DD3472">
        <w:t>2</w:t>
      </w:r>
      <w:r w:rsidR="00042EAF" w:rsidRPr="00DD3472">
        <w:t xml:space="preserve"> </w:t>
      </w:r>
    </w:p>
    <w:p w:rsidR="00F554B5" w:rsidRPr="001970A2" w:rsidRDefault="00F554B5" w:rsidP="00FC440B">
      <w:pPr>
        <w:pStyle w:val="SingleTxtG"/>
        <w:spacing w:before="240" w:line="240" w:lineRule="auto"/>
      </w:pPr>
      <w:r w:rsidRPr="001970A2">
        <w:t>1.</w:t>
      </w:r>
      <w:r w:rsidR="00335EBE" w:rsidRPr="001970A2">
        <w:t>1</w:t>
      </w:r>
      <w:r w:rsidRPr="001970A2">
        <w:tab/>
        <w:t xml:space="preserve">The author of the communication is S. Z., a Russian national </w:t>
      </w:r>
      <w:r w:rsidR="000E58E1">
        <w:t xml:space="preserve">of Chechen </w:t>
      </w:r>
      <w:r w:rsidRPr="001970A2">
        <w:t>ethnic</w:t>
      </w:r>
      <w:r w:rsidR="000E58E1">
        <w:t>ity</w:t>
      </w:r>
      <w:r w:rsidRPr="001970A2">
        <w:t xml:space="preserve"> born in 1954. The author</w:t>
      </w:r>
      <w:r w:rsidR="00832A1A">
        <w:t xml:space="preserve">’s asylum claim was rejected </w:t>
      </w:r>
      <w:r w:rsidRPr="001970A2">
        <w:t xml:space="preserve">in Denmark and her deportation was set for 23 July 2014. She claims that she would be </w:t>
      </w:r>
      <w:r w:rsidR="000E58E1">
        <w:t>the</w:t>
      </w:r>
      <w:r w:rsidRPr="001970A2">
        <w:t xml:space="preserve"> victim of a violation by Denmark of her rights under </w:t>
      </w:r>
      <w:r w:rsidRPr="00042EAF">
        <w:t>articles</w:t>
      </w:r>
      <w:r w:rsidRPr="001970A2">
        <w:t xml:space="preserve"> 7 and 9 of the Covenant if </w:t>
      </w:r>
      <w:r w:rsidR="000E58E1">
        <w:t xml:space="preserve">she were </w:t>
      </w:r>
      <w:r w:rsidRPr="001970A2">
        <w:t>deported to the Russian Federation. The author is represented by counsel.</w:t>
      </w:r>
      <w:r w:rsidR="00EE1445">
        <w:t xml:space="preserve"> </w:t>
      </w:r>
      <w:r w:rsidR="00EE1445" w:rsidRPr="00075871">
        <w:t xml:space="preserve">The Optional Protocol entered into force for Denmark on </w:t>
      </w:r>
      <w:r w:rsidR="00EE1445">
        <w:t>23 March 1976</w:t>
      </w:r>
      <w:r w:rsidR="00EE1445" w:rsidRPr="00075871">
        <w:t>.</w:t>
      </w:r>
      <w:r w:rsidRPr="001970A2">
        <w:t xml:space="preserve"> </w:t>
      </w:r>
    </w:p>
    <w:p w:rsidR="005C45BF" w:rsidRPr="001970A2" w:rsidRDefault="009B1733">
      <w:pPr>
        <w:pStyle w:val="SingleTxtG"/>
      </w:pPr>
      <w:r w:rsidRPr="001970A2">
        <w:lastRenderedPageBreak/>
        <w:t>1.2</w:t>
      </w:r>
      <w:r w:rsidRPr="001970A2">
        <w:tab/>
      </w:r>
      <w:r w:rsidR="00335EBE" w:rsidRPr="001970A2">
        <w:t>On 18 July 2014, pursuant to rules 92 and 97 of its rules of procedure, the Committee, acting through its Special Rapporteur on new communications and interim measures, requested the State party to refrain from removing the author to the Russian Federation while he</w:t>
      </w:r>
      <w:r w:rsidR="00832A1A">
        <w:t>r</w:t>
      </w:r>
      <w:r w:rsidR="00335EBE" w:rsidRPr="001970A2">
        <w:t xml:space="preserve"> communication </w:t>
      </w:r>
      <w:r w:rsidR="000E58E1">
        <w:t>wa</w:t>
      </w:r>
      <w:r w:rsidR="00335EBE" w:rsidRPr="001970A2">
        <w:t xml:space="preserve">s under consideration by the Committee. </w:t>
      </w:r>
    </w:p>
    <w:p w:rsidR="00832A1A" w:rsidRPr="00C05B8D" w:rsidRDefault="005C45BF" w:rsidP="00C05B8D">
      <w:pPr>
        <w:pStyle w:val="SingleTxtG"/>
      </w:pPr>
      <w:r w:rsidRPr="001970A2">
        <w:t>1.3</w:t>
      </w:r>
      <w:r w:rsidRPr="001970A2">
        <w:tab/>
      </w:r>
      <w:r w:rsidR="00335EBE" w:rsidRPr="001970A2">
        <w:t>On 31 March 2015, the Committee</w:t>
      </w:r>
      <w:r w:rsidRPr="001970A2">
        <w:t>, acting through</w:t>
      </w:r>
      <w:r w:rsidR="00400F7F" w:rsidRPr="001970A2">
        <w:t xml:space="preserve"> its Special Rapporteur on new communications and interim measures, </w:t>
      </w:r>
      <w:r w:rsidR="00335EBE" w:rsidRPr="001970A2">
        <w:t>denied the State party’s request to lift the interim measures.</w:t>
      </w:r>
    </w:p>
    <w:p w:rsidR="00F554B5" w:rsidRPr="001970A2" w:rsidRDefault="00C05B8D" w:rsidP="00C05B8D">
      <w:pPr>
        <w:pStyle w:val="H23G"/>
      </w:pPr>
      <w:r>
        <w:tab/>
      </w:r>
      <w:r>
        <w:tab/>
      </w:r>
      <w:r w:rsidR="00684DAD">
        <w:t>The facts as submitted by the author</w:t>
      </w:r>
      <w:r w:rsidR="00932BE7" w:rsidRPr="001970A2">
        <w:t xml:space="preserve"> </w:t>
      </w:r>
    </w:p>
    <w:p w:rsidR="00F554B5" w:rsidRPr="001970A2" w:rsidRDefault="00F554B5">
      <w:pPr>
        <w:pStyle w:val="SingleTxtG"/>
      </w:pPr>
      <w:r w:rsidRPr="001970A2">
        <w:t>2.1</w:t>
      </w:r>
      <w:r w:rsidR="00075871" w:rsidRPr="001970A2">
        <w:tab/>
      </w:r>
      <w:r w:rsidRPr="001970A2">
        <w:t>The author is an ethnic Chechen</w:t>
      </w:r>
      <w:r w:rsidR="00652B07" w:rsidRPr="001970A2">
        <w:t xml:space="preserve">. </w:t>
      </w:r>
      <w:r w:rsidR="00963EC5">
        <w:t xml:space="preserve">She has six children. </w:t>
      </w:r>
      <w:r w:rsidR="00832A1A">
        <w:t xml:space="preserve">Her </w:t>
      </w:r>
      <w:r w:rsidRPr="001970A2">
        <w:t>oldest son was officially considered a rebel</w:t>
      </w:r>
      <w:r w:rsidR="00963EC5">
        <w:t xml:space="preserve">, </w:t>
      </w:r>
      <w:r w:rsidRPr="001970A2">
        <w:t xml:space="preserve">fled Chechnya and was granted asylum in Denmark on 28 May 2010. In 2010, the author’s other son </w:t>
      </w:r>
      <w:r w:rsidR="00963EC5">
        <w:t xml:space="preserve">also </w:t>
      </w:r>
      <w:r w:rsidRPr="001970A2">
        <w:t xml:space="preserve">fled </w:t>
      </w:r>
      <w:r w:rsidR="00474F06">
        <w:t xml:space="preserve">from home </w:t>
      </w:r>
      <w:r w:rsidRPr="001970A2">
        <w:t>since he could not bear the authorities’ constant searches and interrogations</w:t>
      </w:r>
      <w:r w:rsidR="00075871" w:rsidRPr="001970A2">
        <w:t>.</w:t>
      </w:r>
      <w:r w:rsidRPr="001970A2">
        <w:t xml:space="preserve"> </w:t>
      </w:r>
      <w:r w:rsidR="00474F06">
        <w:t xml:space="preserve">The author </w:t>
      </w:r>
      <w:r w:rsidR="00322048">
        <w:t>has</w:t>
      </w:r>
      <w:r w:rsidRPr="001970A2">
        <w:t xml:space="preserve"> not </w:t>
      </w:r>
      <w:r w:rsidR="00322048">
        <w:t xml:space="preserve">been </w:t>
      </w:r>
      <w:r w:rsidRPr="001970A2">
        <w:t xml:space="preserve">in contact with </w:t>
      </w:r>
      <w:r w:rsidR="00474F06">
        <w:t>him</w:t>
      </w:r>
      <w:r w:rsidRPr="001970A2">
        <w:t xml:space="preserve"> since then. </w:t>
      </w:r>
      <w:r w:rsidR="00322048">
        <w:t>Two of t</w:t>
      </w:r>
      <w:r w:rsidRPr="001970A2">
        <w:t xml:space="preserve">he author’s daughters </w:t>
      </w:r>
      <w:r w:rsidR="00F00D5E">
        <w:t xml:space="preserve">have </w:t>
      </w:r>
      <w:r w:rsidRPr="001970A2">
        <w:t>left for Ingushetia</w:t>
      </w:r>
      <w:r w:rsidR="00322048">
        <w:t>.</w:t>
      </w:r>
      <w:r w:rsidRPr="001970A2">
        <w:t xml:space="preserve"> </w:t>
      </w:r>
      <w:r w:rsidR="00322048">
        <w:t>H</w:t>
      </w:r>
      <w:r w:rsidRPr="001970A2">
        <w:t>er third daughter l</w:t>
      </w:r>
      <w:r w:rsidR="00474F06">
        <w:t>ives in</w:t>
      </w:r>
      <w:r w:rsidRPr="001970A2">
        <w:t xml:space="preserve"> Germany</w:t>
      </w:r>
      <w:r w:rsidR="000E58E1">
        <w:t>,</w:t>
      </w:r>
      <w:r w:rsidRPr="001970A2">
        <w:t xml:space="preserve"> where she </w:t>
      </w:r>
      <w:r w:rsidR="000E58E1">
        <w:t xml:space="preserve">has </w:t>
      </w:r>
      <w:r w:rsidRPr="001970A2">
        <w:t>obtained a residence permit, and her fourth daughter still lives in Chechnya.</w:t>
      </w:r>
      <w:r w:rsidR="00652B07" w:rsidRPr="001970A2">
        <w:t xml:space="preserve"> </w:t>
      </w:r>
      <w:r w:rsidR="00832A1A">
        <w:t>In Chechnya, t</w:t>
      </w:r>
      <w:r w:rsidR="00652B07" w:rsidRPr="001970A2">
        <w:t>he author was baking and selling bread</w:t>
      </w:r>
      <w:r w:rsidR="00AE1626">
        <w:t xml:space="preserve"> </w:t>
      </w:r>
      <w:r w:rsidR="00FE21B8">
        <w:t>to supplement her retirement benefits</w:t>
      </w:r>
      <w:r w:rsidR="00652B07" w:rsidRPr="001970A2">
        <w:t xml:space="preserve">. Since her stand was close to a forest, the authorities </w:t>
      </w:r>
      <w:r w:rsidR="00322048">
        <w:t>believed</w:t>
      </w:r>
      <w:r w:rsidR="00322048" w:rsidRPr="001970A2">
        <w:t xml:space="preserve"> </w:t>
      </w:r>
      <w:r w:rsidR="00652B07" w:rsidRPr="001970A2">
        <w:t>that she sold bread to the rebels and sympathized with them.</w:t>
      </w:r>
    </w:p>
    <w:p w:rsidR="00F554B5" w:rsidRPr="001970A2" w:rsidRDefault="00F554B5">
      <w:pPr>
        <w:pStyle w:val="SingleTxtG"/>
      </w:pPr>
      <w:r w:rsidRPr="001970A2">
        <w:t>2.2</w:t>
      </w:r>
      <w:r w:rsidR="00075871" w:rsidRPr="001970A2">
        <w:tab/>
      </w:r>
      <w:r w:rsidR="00322048">
        <w:t>Since</w:t>
      </w:r>
      <w:r w:rsidR="00322048" w:rsidRPr="001970A2">
        <w:t xml:space="preserve"> </w:t>
      </w:r>
      <w:r w:rsidRPr="001970A2">
        <w:t>the author’s oldest son</w:t>
      </w:r>
      <w:r w:rsidR="000E58E1">
        <w:t>’s</w:t>
      </w:r>
      <w:r w:rsidRPr="001970A2">
        <w:t xml:space="preserve"> </w:t>
      </w:r>
      <w:r w:rsidR="00832A1A">
        <w:t>departure</w:t>
      </w:r>
      <w:r w:rsidRPr="001970A2">
        <w:t xml:space="preserve"> from Chechnya, the authorities have visited </w:t>
      </w:r>
      <w:r w:rsidR="00075871" w:rsidRPr="001970A2">
        <w:t xml:space="preserve">the </w:t>
      </w:r>
      <w:r w:rsidRPr="001970A2">
        <w:t>author’s house on many occasions in</w:t>
      </w:r>
      <w:r w:rsidR="00652B07" w:rsidRPr="001970A2">
        <w:t xml:space="preserve">quiring </w:t>
      </w:r>
      <w:r w:rsidR="00832A1A">
        <w:t xml:space="preserve">about </w:t>
      </w:r>
      <w:r w:rsidR="00322048">
        <w:t>his</w:t>
      </w:r>
      <w:r w:rsidR="00652B07" w:rsidRPr="001970A2">
        <w:t xml:space="preserve"> whereabouts</w:t>
      </w:r>
      <w:r w:rsidRPr="001970A2">
        <w:t xml:space="preserve">. </w:t>
      </w:r>
      <w:r w:rsidR="00652B07" w:rsidRPr="001970A2">
        <w:t xml:space="preserve">In November 2012, </w:t>
      </w:r>
      <w:r w:rsidR="000E58E1">
        <w:t>the author</w:t>
      </w:r>
      <w:r w:rsidR="000E58E1" w:rsidRPr="001970A2">
        <w:t xml:space="preserve"> </w:t>
      </w:r>
      <w:r w:rsidRPr="001970A2">
        <w:t>was</w:t>
      </w:r>
      <w:r w:rsidR="00652B07" w:rsidRPr="001970A2">
        <w:t xml:space="preserve"> </w:t>
      </w:r>
      <w:r w:rsidRPr="001970A2">
        <w:t xml:space="preserve">detained for </w:t>
      </w:r>
      <w:r w:rsidR="00652B07" w:rsidRPr="001970A2">
        <w:t xml:space="preserve">about a week because she </w:t>
      </w:r>
      <w:r w:rsidR="00322048">
        <w:t>was</w:t>
      </w:r>
      <w:r w:rsidR="00652B07" w:rsidRPr="001970A2">
        <w:t xml:space="preserve"> accused of </w:t>
      </w:r>
      <w:r w:rsidR="00832A1A">
        <w:t xml:space="preserve">supplying the rebels with </w:t>
      </w:r>
      <w:r w:rsidR="00652B07" w:rsidRPr="001970A2">
        <w:t>bread</w:t>
      </w:r>
      <w:r w:rsidR="00832A1A">
        <w:t xml:space="preserve"> and</w:t>
      </w:r>
      <w:r w:rsidR="00652B07" w:rsidRPr="001970A2">
        <w:t xml:space="preserve"> </w:t>
      </w:r>
      <w:r w:rsidR="00322048">
        <w:t>on the grounds that</w:t>
      </w:r>
      <w:r w:rsidR="00322048" w:rsidRPr="001970A2">
        <w:t xml:space="preserve"> </w:t>
      </w:r>
      <w:r w:rsidR="00652B07" w:rsidRPr="001970A2">
        <w:t xml:space="preserve">her son had helped the rebels and she </w:t>
      </w:r>
      <w:r w:rsidR="00322048">
        <w:t xml:space="preserve">therefore </w:t>
      </w:r>
      <w:r w:rsidR="00652B07" w:rsidRPr="001970A2">
        <w:t>had probably also helped them</w:t>
      </w:r>
      <w:r w:rsidRPr="001970A2">
        <w:t xml:space="preserve">. </w:t>
      </w:r>
      <w:r w:rsidR="00832A1A">
        <w:t>S</w:t>
      </w:r>
      <w:r w:rsidRPr="001970A2">
        <w:t xml:space="preserve">he was beaten with </w:t>
      </w:r>
      <w:r w:rsidR="00652B07" w:rsidRPr="001970A2">
        <w:t>a baton</w:t>
      </w:r>
      <w:r w:rsidRPr="001970A2">
        <w:t xml:space="preserve"> and </w:t>
      </w:r>
      <w:r w:rsidR="00652B07" w:rsidRPr="001970A2">
        <w:t xml:space="preserve">given </w:t>
      </w:r>
      <w:r w:rsidRPr="001970A2">
        <w:t>electr</w:t>
      </w:r>
      <w:r w:rsidR="00652B07" w:rsidRPr="001970A2">
        <w:t xml:space="preserve">ical </w:t>
      </w:r>
      <w:r w:rsidRPr="001970A2">
        <w:t xml:space="preserve">shocks </w:t>
      </w:r>
      <w:r w:rsidR="00652B07" w:rsidRPr="001970A2">
        <w:t xml:space="preserve">through wires </w:t>
      </w:r>
      <w:r w:rsidRPr="001970A2">
        <w:t>on he</w:t>
      </w:r>
      <w:r w:rsidR="00652B07" w:rsidRPr="001970A2">
        <w:t>r</w:t>
      </w:r>
      <w:r w:rsidRPr="001970A2">
        <w:t xml:space="preserve"> fingers until she lost consciousness</w:t>
      </w:r>
      <w:r w:rsidR="00C05B8D">
        <w:t>.</w:t>
      </w:r>
      <w:r w:rsidR="00075871" w:rsidRPr="00C05B8D">
        <w:rPr>
          <w:rStyle w:val="FootnoteReference"/>
        </w:rPr>
        <w:footnoteReference w:id="4"/>
      </w:r>
      <w:r w:rsidRPr="001970A2">
        <w:t xml:space="preserve"> She was taken to a hospital, </w:t>
      </w:r>
      <w:r w:rsidR="00172F7F">
        <w:t>where the staff told her that she had suffered a heart attack</w:t>
      </w:r>
      <w:r w:rsidR="00EE2CC8">
        <w:t>, then</w:t>
      </w:r>
      <w:r w:rsidR="00042EAF">
        <w:t xml:space="preserve"> </w:t>
      </w:r>
      <w:r w:rsidR="00EE2CC8">
        <w:t>s</w:t>
      </w:r>
      <w:r w:rsidRPr="001970A2">
        <w:t>ubsequently escaped</w:t>
      </w:r>
      <w:r w:rsidR="00322048">
        <w:t>,</w:t>
      </w:r>
      <w:r w:rsidRPr="001970A2">
        <w:t xml:space="preserve"> aid</w:t>
      </w:r>
      <w:r w:rsidR="00075871" w:rsidRPr="001970A2">
        <w:t>ed by</w:t>
      </w:r>
      <w:r w:rsidRPr="001970A2">
        <w:t xml:space="preserve"> her niece</w:t>
      </w:r>
      <w:r w:rsidR="00F107FF">
        <w:t>’s friend</w:t>
      </w:r>
      <w:r w:rsidRPr="001970A2">
        <w:t xml:space="preserve"> who </w:t>
      </w:r>
      <w:r w:rsidR="00832A1A">
        <w:t>was a nurse there</w:t>
      </w:r>
      <w:r w:rsidRPr="001970A2">
        <w:t xml:space="preserve">. </w:t>
      </w:r>
      <w:r w:rsidR="00832A1A">
        <w:t>T</w:t>
      </w:r>
      <w:r w:rsidRPr="001970A2">
        <w:t xml:space="preserve">he </w:t>
      </w:r>
      <w:r w:rsidR="00832A1A">
        <w:t xml:space="preserve">author </w:t>
      </w:r>
      <w:r w:rsidRPr="001970A2">
        <w:t xml:space="preserve">fled to </w:t>
      </w:r>
      <w:proofErr w:type="spellStart"/>
      <w:r w:rsidRPr="001970A2">
        <w:t>Nazran</w:t>
      </w:r>
      <w:proofErr w:type="spellEnd"/>
      <w:r w:rsidRPr="001970A2">
        <w:t>, Ingushetia, and left about two months later for Denmark.</w:t>
      </w:r>
      <w:r w:rsidR="00EE1445">
        <w:t xml:space="preserve"> </w:t>
      </w:r>
      <w:r w:rsidR="00322048">
        <w:t>In Chechnya, t</w:t>
      </w:r>
      <w:r w:rsidRPr="001970A2">
        <w:t>he authorities continued to look for the author</w:t>
      </w:r>
      <w:r w:rsidR="00F00D5E">
        <w:t>,</w:t>
      </w:r>
      <w:r w:rsidRPr="001970A2">
        <w:t xml:space="preserve"> visit</w:t>
      </w:r>
      <w:r w:rsidR="00EE2CC8">
        <w:t>ing</w:t>
      </w:r>
      <w:r w:rsidRPr="001970A2">
        <w:t xml:space="preserve"> and search</w:t>
      </w:r>
      <w:r w:rsidR="00EE2CC8">
        <w:t>ing</w:t>
      </w:r>
      <w:r w:rsidRPr="001970A2">
        <w:t xml:space="preserve"> </w:t>
      </w:r>
      <w:r w:rsidR="00F00D5E">
        <w:t>her</w:t>
      </w:r>
      <w:r w:rsidR="00F00D5E" w:rsidRPr="001970A2">
        <w:t xml:space="preserve"> </w:t>
      </w:r>
      <w:r w:rsidRPr="001970A2">
        <w:t>house 4-5 times a month.</w:t>
      </w:r>
      <w:r w:rsidR="00042EAF">
        <w:t xml:space="preserve"> </w:t>
      </w:r>
    </w:p>
    <w:p w:rsidR="00F554B5" w:rsidRPr="001970A2" w:rsidRDefault="00F554B5">
      <w:pPr>
        <w:pStyle w:val="SingleTxtG"/>
      </w:pPr>
      <w:r w:rsidRPr="001970A2">
        <w:t>2.3</w:t>
      </w:r>
      <w:r w:rsidR="00075871" w:rsidRPr="001970A2">
        <w:tab/>
      </w:r>
      <w:r w:rsidRPr="001970A2">
        <w:t xml:space="preserve">On 30 March 2013, the author entered Denmark </w:t>
      </w:r>
      <w:r w:rsidR="000648F1" w:rsidRPr="001970A2">
        <w:t xml:space="preserve">without valid travel documents </w:t>
      </w:r>
      <w:r w:rsidRPr="001970A2">
        <w:t xml:space="preserve">and applied for asylum. </w:t>
      </w:r>
      <w:r w:rsidR="00EE2CC8">
        <w:t>S</w:t>
      </w:r>
      <w:r w:rsidRPr="001970A2">
        <w:t xml:space="preserve">he was interviewed by </w:t>
      </w:r>
      <w:r w:rsidR="00832A1A">
        <w:t xml:space="preserve">the </w:t>
      </w:r>
      <w:r w:rsidRPr="001970A2">
        <w:t xml:space="preserve">police </w:t>
      </w:r>
      <w:r w:rsidR="00EE2CC8">
        <w:t xml:space="preserve">on </w:t>
      </w:r>
      <w:r w:rsidR="00EE2CC8" w:rsidRPr="001970A2">
        <w:t xml:space="preserve">11 April </w:t>
      </w:r>
      <w:r w:rsidR="00EE2CC8">
        <w:t xml:space="preserve">2013 </w:t>
      </w:r>
      <w:r w:rsidR="00EE2CC8" w:rsidRPr="001970A2">
        <w:t>and</w:t>
      </w:r>
      <w:r w:rsidR="00EE2CC8">
        <w:t xml:space="preserve"> by</w:t>
      </w:r>
      <w:r w:rsidRPr="001970A2">
        <w:t xml:space="preserve"> the Danish Immigration Service</w:t>
      </w:r>
      <w:r w:rsidR="00EE2CC8">
        <w:t xml:space="preserve"> on </w:t>
      </w:r>
      <w:r w:rsidR="00EE2CC8" w:rsidRPr="001970A2">
        <w:t>24 October 2013</w:t>
      </w:r>
      <w:r w:rsidRPr="001970A2">
        <w:t xml:space="preserve">. On 25 November 2013, the </w:t>
      </w:r>
      <w:r w:rsidR="00EE2CC8">
        <w:t>Service</w:t>
      </w:r>
      <w:r w:rsidR="00EE2CC8" w:rsidRPr="001970A2">
        <w:t xml:space="preserve"> </w:t>
      </w:r>
      <w:r w:rsidRPr="001970A2">
        <w:t xml:space="preserve">rejected her asylum claim on the ground that the explanation regarding her conflict with </w:t>
      </w:r>
      <w:r w:rsidR="00075871" w:rsidRPr="001970A2">
        <w:t xml:space="preserve">the </w:t>
      </w:r>
      <w:r w:rsidRPr="001970A2">
        <w:t xml:space="preserve">authorities lacked credibility and </w:t>
      </w:r>
      <w:r w:rsidR="00F00D5E">
        <w:t>had been</w:t>
      </w:r>
      <w:r w:rsidR="00F00D5E" w:rsidRPr="001970A2">
        <w:t xml:space="preserve"> </w:t>
      </w:r>
      <w:r w:rsidRPr="001970A2">
        <w:t>fabricated for the occasion</w:t>
      </w:r>
      <w:r w:rsidR="00C05B8D">
        <w:t>.</w:t>
      </w:r>
      <w:r w:rsidR="00075871" w:rsidRPr="00C05B8D">
        <w:rPr>
          <w:rStyle w:val="FootnoteReference"/>
        </w:rPr>
        <w:footnoteReference w:id="5"/>
      </w:r>
      <w:r w:rsidRPr="001970A2">
        <w:t xml:space="preserve"> The </w:t>
      </w:r>
      <w:r w:rsidR="00EE2CC8">
        <w:t>Service</w:t>
      </w:r>
      <w:r w:rsidR="00EE2CC8" w:rsidRPr="001970A2">
        <w:t xml:space="preserve"> </w:t>
      </w:r>
      <w:r w:rsidRPr="001970A2">
        <w:t xml:space="preserve">found it unlikely that she would have been tortured as a result of selling bread. It admitted that the author could have been approached by the authorities </w:t>
      </w:r>
      <w:r w:rsidR="00EE2CC8">
        <w:t>owing</w:t>
      </w:r>
      <w:r w:rsidR="00EE2CC8" w:rsidRPr="001970A2">
        <w:t xml:space="preserve"> </w:t>
      </w:r>
      <w:r w:rsidRPr="001970A2">
        <w:t xml:space="preserve">to her son’s conflict </w:t>
      </w:r>
      <w:r w:rsidR="00B91768" w:rsidRPr="001970A2">
        <w:t xml:space="preserve">with them </w:t>
      </w:r>
      <w:r w:rsidRPr="001970A2">
        <w:t>but</w:t>
      </w:r>
      <w:r w:rsidR="00EE2CC8">
        <w:t>,</w:t>
      </w:r>
      <w:r w:rsidRPr="001970A2">
        <w:t xml:space="preserve"> </w:t>
      </w:r>
      <w:r w:rsidR="00322048">
        <w:t xml:space="preserve">since </w:t>
      </w:r>
      <w:r w:rsidRPr="001970A2">
        <w:t xml:space="preserve">she stayed for </w:t>
      </w:r>
      <w:r w:rsidR="00EE2CC8">
        <w:t xml:space="preserve">a </w:t>
      </w:r>
      <w:r w:rsidR="00F107FF">
        <w:t xml:space="preserve">couple of </w:t>
      </w:r>
      <w:r w:rsidRPr="001970A2">
        <w:t xml:space="preserve">years in Chechnya </w:t>
      </w:r>
      <w:r w:rsidR="00F107FF">
        <w:t xml:space="preserve">after her son’s departure </w:t>
      </w:r>
      <w:r w:rsidRPr="001970A2">
        <w:t xml:space="preserve">and the authorities were only looking for her son, the </w:t>
      </w:r>
      <w:r w:rsidR="00EE2CC8">
        <w:t>Service</w:t>
      </w:r>
      <w:r w:rsidR="00EE2CC8" w:rsidRPr="001970A2">
        <w:t xml:space="preserve"> </w:t>
      </w:r>
      <w:r w:rsidRPr="001970A2">
        <w:t xml:space="preserve">did not consider her </w:t>
      </w:r>
      <w:r w:rsidR="00EE2CC8">
        <w:t xml:space="preserve">to be </w:t>
      </w:r>
      <w:r w:rsidRPr="001970A2">
        <w:t>in danger of persecution. On 6 March 2014, the Refuge</w:t>
      </w:r>
      <w:r w:rsidR="00D579FB" w:rsidRPr="001970A2">
        <w:t>e Appeals</w:t>
      </w:r>
      <w:r w:rsidRPr="001970A2">
        <w:t xml:space="preserve"> Board rejected </w:t>
      </w:r>
      <w:r w:rsidR="00EE2CC8">
        <w:t>the author’s</w:t>
      </w:r>
      <w:r w:rsidR="00EE2CC8" w:rsidRPr="001970A2">
        <w:t xml:space="preserve"> </w:t>
      </w:r>
      <w:r w:rsidRPr="001970A2">
        <w:t xml:space="preserve">asylum </w:t>
      </w:r>
      <w:r w:rsidRPr="001970A2">
        <w:lastRenderedPageBreak/>
        <w:t xml:space="preserve">claim for lack of credibility. On 24 </w:t>
      </w:r>
      <w:r w:rsidRPr="00C05B8D">
        <w:t>March</w:t>
      </w:r>
      <w:r w:rsidRPr="001970A2">
        <w:t xml:space="preserve"> 2014, the author requested the </w:t>
      </w:r>
      <w:r w:rsidR="00EE2CC8">
        <w:t>Board</w:t>
      </w:r>
      <w:r w:rsidR="00EE2CC8" w:rsidRPr="001970A2">
        <w:t xml:space="preserve"> </w:t>
      </w:r>
      <w:r w:rsidRPr="001970A2">
        <w:t xml:space="preserve">to reopen </w:t>
      </w:r>
      <w:r w:rsidR="000648F1" w:rsidRPr="001970A2">
        <w:t>the</w:t>
      </w:r>
      <w:r w:rsidRPr="001970A2">
        <w:t xml:space="preserve"> asylum </w:t>
      </w:r>
      <w:r w:rsidR="000648F1" w:rsidRPr="001970A2">
        <w:t>proceedings</w:t>
      </w:r>
      <w:r w:rsidRPr="001970A2">
        <w:t xml:space="preserve">. </w:t>
      </w:r>
      <w:r w:rsidR="00EE2CC8">
        <w:t>I</w:t>
      </w:r>
      <w:r w:rsidR="00EE2CC8" w:rsidRPr="001970A2">
        <w:t xml:space="preserve">n an attempt to prove that the authorities </w:t>
      </w:r>
      <w:r w:rsidR="00EE2CC8">
        <w:t>we</w:t>
      </w:r>
      <w:r w:rsidR="00EE2CC8" w:rsidRPr="001970A2">
        <w:t>re still searching for her</w:t>
      </w:r>
      <w:r w:rsidR="00EE2CC8">
        <w:t>,</w:t>
      </w:r>
      <w:r w:rsidR="00EE2CC8" w:rsidRPr="001970A2">
        <w:t xml:space="preserve"> </w:t>
      </w:r>
      <w:r w:rsidR="00EE2CC8">
        <w:t>s</w:t>
      </w:r>
      <w:r w:rsidRPr="001970A2">
        <w:t xml:space="preserve">he submitted </w:t>
      </w:r>
      <w:r w:rsidR="00F86752">
        <w:t>two</w:t>
      </w:r>
      <w:r w:rsidR="00322048">
        <w:t xml:space="preserve"> </w:t>
      </w:r>
      <w:r w:rsidRPr="001970A2">
        <w:t>summons</w:t>
      </w:r>
      <w:r w:rsidR="00F86752">
        <w:t>es</w:t>
      </w:r>
      <w:r w:rsidR="005A7C49">
        <w:t>,</w:t>
      </w:r>
      <w:r w:rsidR="00DE4C5A">
        <w:t xml:space="preserve"> </w:t>
      </w:r>
      <w:r w:rsidR="00291CC3">
        <w:t xml:space="preserve">a wanted person notice, </w:t>
      </w:r>
      <w:r w:rsidRPr="001970A2">
        <w:t xml:space="preserve">letters from her </w:t>
      </w:r>
      <w:r w:rsidR="005A7C49">
        <w:t xml:space="preserve">family and </w:t>
      </w:r>
      <w:r w:rsidRPr="001970A2">
        <w:t>neighbours</w:t>
      </w:r>
      <w:r w:rsidR="00EE2CC8">
        <w:t xml:space="preserve">, and </w:t>
      </w:r>
      <w:r w:rsidR="005A7C49">
        <w:t xml:space="preserve">a letter from a </w:t>
      </w:r>
      <w:r w:rsidR="00EE2CC8">
        <w:t>non-governmental organization</w:t>
      </w:r>
      <w:r w:rsidR="00EE2CC8" w:rsidRPr="001970A2">
        <w:t xml:space="preserve"> </w:t>
      </w:r>
      <w:r w:rsidRPr="001970A2">
        <w:t>in Chechnya.</w:t>
      </w:r>
      <w:r w:rsidR="00896B9E">
        <w:rPr>
          <w:rStyle w:val="FootnoteReference"/>
          <w:szCs w:val="24"/>
        </w:rPr>
        <w:footnoteReference w:id="6"/>
      </w:r>
      <w:r w:rsidRPr="001970A2">
        <w:t xml:space="preserve"> </w:t>
      </w:r>
      <w:r w:rsidR="00291CC3">
        <w:t>T</w:t>
      </w:r>
      <w:r w:rsidR="00291CC3" w:rsidRPr="00291CC3">
        <w:t xml:space="preserve">he author claims that the </w:t>
      </w:r>
      <w:r w:rsidR="00A35E80">
        <w:t xml:space="preserve">Ministry of Foreign Affairs of the </w:t>
      </w:r>
      <w:r w:rsidR="00291CC3">
        <w:t xml:space="preserve">State party </w:t>
      </w:r>
      <w:r w:rsidR="00291CC3" w:rsidRPr="00291CC3">
        <w:t>assess</w:t>
      </w:r>
      <w:r w:rsidR="00F00D5E">
        <w:t>ed the</w:t>
      </w:r>
      <w:r w:rsidR="00291CC3" w:rsidRPr="00291CC3">
        <w:t xml:space="preserve"> authenticity of the documents. </w:t>
      </w:r>
      <w:r w:rsidRPr="001970A2">
        <w:t xml:space="preserve">On 1 July 2014, the </w:t>
      </w:r>
      <w:r w:rsidR="00A35E80" w:rsidRPr="001970A2">
        <w:t xml:space="preserve">Refugee Appeals Board </w:t>
      </w:r>
      <w:r w:rsidRPr="001970A2">
        <w:t>refused to reopen the case. It considered the</w:t>
      </w:r>
      <w:r w:rsidR="00322048">
        <w:t xml:space="preserve"> documents</w:t>
      </w:r>
      <w:r w:rsidRPr="001970A2">
        <w:t xml:space="preserve"> submitted by the author </w:t>
      </w:r>
      <w:r w:rsidR="00896B9E">
        <w:t>in</w:t>
      </w:r>
      <w:r w:rsidR="002D5A8D">
        <w:t>authentic</w:t>
      </w:r>
      <w:r w:rsidRPr="001970A2">
        <w:t xml:space="preserve"> and concluded that it had not been provided with significant</w:t>
      </w:r>
      <w:r w:rsidR="00F00D5E">
        <w:t>ly</w:t>
      </w:r>
      <w:r w:rsidRPr="001970A2">
        <w:t xml:space="preserve"> new information or opinions concerning the case.</w:t>
      </w:r>
    </w:p>
    <w:p w:rsidR="000128E3" w:rsidRPr="001970A2" w:rsidRDefault="000128E3" w:rsidP="00C05B8D">
      <w:pPr>
        <w:pStyle w:val="H23G"/>
      </w:pPr>
      <w:r w:rsidRPr="001970A2">
        <w:tab/>
      </w:r>
      <w:r w:rsidRPr="001970A2">
        <w:tab/>
        <w:t xml:space="preserve">The </w:t>
      </w:r>
      <w:r w:rsidRPr="00C05B8D">
        <w:t>complaint</w:t>
      </w:r>
    </w:p>
    <w:p w:rsidR="00B91768" w:rsidRPr="001970A2" w:rsidRDefault="00B91768" w:rsidP="00156499">
      <w:pPr>
        <w:pStyle w:val="SingleTxtG"/>
      </w:pPr>
      <w:r w:rsidRPr="001970A2">
        <w:t>3.</w:t>
      </w:r>
      <w:r w:rsidRPr="001970A2">
        <w:tab/>
        <w:t>The author claims that</w:t>
      </w:r>
      <w:r w:rsidR="00A35E80">
        <w:t>,</w:t>
      </w:r>
      <w:r w:rsidRPr="001970A2">
        <w:t xml:space="preserve"> </w:t>
      </w:r>
      <w:r w:rsidR="00911933" w:rsidRPr="001970A2">
        <w:t>if deported to the Russian Federation</w:t>
      </w:r>
      <w:r w:rsidRPr="001970A2">
        <w:t xml:space="preserve">, she would be at risk of torture </w:t>
      </w:r>
      <w:r w:rsidR="00911933" w:rsidRPr="001970A2">
        <w:t>and arbitrary detention</w:t>
      </w:r>
      <w:r w:rsidR="00911933">
        <w:t>,</w:t>
      </w:r>
      <w:r w:rsidR="00911933" w:rsidRPr="001970A2">
        <w:t xml:space="preserve"> </w:t>
      </w:r>
      <w:r w:rsidRPr="001970A2">
        <w:t>contrary to article</w:t>
      </w:r>
      <w:r w:rsidR="00911933">
        <w:t>s</w:t>
      </w:r>
      <w:r w:rsidRPr="001970A2">
        <w:t xml:space="preserve"> 7</w:t>
      </w:r>
      <w:r w:rsidR="00911933">
        <w:t xml:space="preserve"> and</w:t>
      </w:r>
      <w:r w:rsidRPr="001970A2">
        <w:t xml:space="preserve"> </w:t>
      </w:r>
      <w:r w:rsidR="00A05B7A">
        <w:t xml:space="preserve">9 </w:t>
      </w:r>
      <w:r w:rsidRPr="001970A2">
        <w:t>of the Covenant</w:t>
      </w:r>
      <w:r w:rsidR="00911933">
        <w:t xml:space="preserve">, </w:t>
      </w:r>
      <w:r w:rsidR="00911933" w:rsidRPr="001970A2">
        <w:t>since she is considered a rebel</w:t>
      </w:r>
      <w:r w:rsidR="00A05B7A">
        <w:t xml:space="preserve"> </w:t>
      </w:r>
      <w:r w:rsidR="00911933" w:rsidRPr="001970A2">
        <w:t>sympathizer and her son</w:t>
      </w:r>
      <w:r w:rsidR="00F75E86">
        <w:t xml:space="preserve"> was</w:t>
      </w:r>
      <w:r w:rsidR="00911933" w:rsidRPr="001970A2">
        <w:t xml:space="preserve"> active</w:t>
      </w:r>
      <w:r w:rsidR="00F75E86">
        <w:t>ly</w:t>
      </w:r>
      <w:r w:rsidR="00911933" w:rsidRPr="001970A2">
        <w:t xml:space="preserve"> involve</w:t>
      </w:r>
      <w:r w:rsidR="00F75E86">
        <w:t>d</w:t>
      </w:r>
      <w:r w:rsidR="00911933" w:rsidRPr="001970A2">
        <w:t xml:space="preserve"> with </w:t>
      </w:r>
      <w:r w:rsidR="00911933">
        <w:t xml:space="preserve">the </w:t>
      </w:r>
      <w:r w:rsidR="00911933" w:rsidRPr="001970A2">
        <w:t>rebels</w:t>
      </w:r>
      <w:r w:rsidRPr="001970A2">
        <w:t xml:space="preserve">. She maintains that her son’s activities do not seem </w:t>
      </w:r>
      <w:r w:rsidR="00A05B7A">
        <w:t xml:space="preserve">to </w:t>
      </w:r>
      <w:r w:rsidRPr="001970A2">
        <w:t xml:space="preserve">be taken seriously by the </w:t>
      </w:r>
      <w:r w:rsidR="00156499">
        <w:t>Refugee Appeals Board</w:t>
      </w:r>
      <w:r w:rsidRPr="001970A2">
        <w:t>.</w:t>
      </w:r>
    </w:p>
    <w:p w:rsidR="000B757F" w:rsidRPr="001970A2" w:rsidRDefault="000128E3" w:rsidP="00C05B8D">
      <w:pPr>
        <w:pStyle w:val="H23G"/>
      </w:pPr>
      <w:r w:rsidRPr="001970A2">
        <w:tab/>
      </w:r>
      <w:r w:rsidRPr="001970A2">
        <w:tab/>
      </w:r>
      <w:r w:rsidR="000B757F" w:rsidRPr="001970A2">
        <w:t xml:space="preserve">State party’s </w:t>
      </w:r>
      <w:r w:rsidR="000B757F" w:rsidRPr="00C05B8D">
        <w:t>observations</w:t>
      </w:r>
      <w:r w:rsidR="000B757F" w:rsidRPr="001970A2">
        <w:t xml:space="preserve"> on admissibility and the merits</w:t>
      </w:r>
    </w:p>
    <w:p w:rsidR="000B757F" w:rsidRPr="001970A2" w:rsidRDefault="000B757F">
      <w:pPr>
        <w:pStyle w:val="SingleTxtG"/>
        <w:rPr>
          <w:lang w:val="en-US"/>
        </w:rPr>
      </w:pPr>
      <w:r w:rsidRPr="001970A2">
        <w:rPr>
          <w:lang w:val="en-US"/>
        </w:rPr>
        <w:t>4.1</w:t>
      </w:r>
      <w:r w:rsidRPr="001970A2">
        <w:rPr>
          <w:lang w:val="en-US"/>
        </w:rPr>
        <w:tab/>
      </w:r>
      <w:r w:rsidR="00E825C6" w:rsidRPr="001970A2">
        <w:t xml:space="preserve">On 19 January 2015, the State party submitted its observations on admissibility and </w:t>
      </w:r>
      <w:r w:rsidR="0051276C">
        <w:t xml:space="preserve">the </w:t>
      </w:r>
      <w:r w:rsidR="00E825C6" w:rsidRPr="001970A2">
        <w:t xml:space="preserve">merits of the communication. </w:t>
      </w:r>
      <w:r w:rsidR="00D41516">
        <w:t>In its observations</w:t>
      </w:r>
      <w:r w:rsidR="00BC28F0">
        <w:t>, t</w:t>
      </w:r>
      <w:r w:rsidR="00BC28F0" w:rsidRPr="00BC28F0">
        <w:t>he State party provide</w:t>
      </w:r>
      <w:r w:rsidR="00D41516">
        <w:t>s</w:t>
      </w:r>
      <w:r w:rsidR="00BC28F0" w:rsidRPr="00BC28F0">
        <w:t xml:space="preserve"> a detailed description of it</w:t>
      </w:r>
      <w:r w:rsidR="00CB0778">
        <w:t>s</w:t>
      </w:r>
      <w:r w:rsidR="00BC28F0" w:rsidRPr="00BC28F0">
        <w:t xml:space="preserve"> refugee status application proceedings, the legal basis and the functioning of the Refugee Appeals Board.</w:t>
      </w:r>
      <w:r w:rsidR="00BC28F0" w:rsidRPr="00D8306B">
        <w:rPr>
          <w:rStyle w:val="FootnoteReference"/>
        </w:rPr>
        <w:footnoteReference w:id="7"/>
      </w:r>
      <w:r w:rsidR="00BC28F0">
        <w:t xml:space="preserve"> </w:t>
      </w:r>
    </w:p>
    <w:p w:rsidR="008D4DBD" w:rsidRPr="001970A2" w:rsidRDefault="008D4DBD">
      <w:pPr>
        <w:pStyle w:val="SingleTxtG"/>
      </w:pPr>
      <w:r w:rsidRPr="001970A2">
        <w:rPr>
          <w:lang w:val="en-US"/>
        </w:rPr>
        <w:t>4.</w:t>
      </w:r>
      <w:r w:rsidR="00491223">
        <w:rPr>
          <w:lang w:val="en-US"/>
        </w:rPr>
        <w:t>2</w:t>
      </w:r>
      <w:r w:rsidRPr="001970A2">
        <w:rPr>
          <w:lang w:val="en-US"/>
        </w:rPr>
        <w:tab/>
        <w:t xml:space="preserve">The State party </w:t>
      </w:r>
      <w:r w:rsidR="00D41516">
        <w:rPr>
          <w:lang w:val="en-US"/>
        </w:rPr>
        <w:t xml:space="preserve">reports </w:t>
      </w:r>
      <w:r w:rsidRPr="001970A2">
        <w:rPr>
          <w:lang w:val="en-US"/>
        </w:rPr>
        <w:t>that</w:t>
      </w:r>
      <w:r w:rsidR="00D41516">
        <w:rPr>
          <w:lang w:val="en-US"/>
        </w:rPr>
        <w:t>,</w:t>
      </w:r>
      <w:r w:rsidRPr="001970A2">
        <w:rPr>
          <w:lang w:val="en-US"/>
        </w:rPr>
        <w:t xml:space="preserve"> o</w:t>
      </w:r>
      <w:r w:rsidRPr="001970A2">
        <w:t xml:space="preserve">n 28 May 2010, the author’s son </w:t>
      </w:r>
      <w:r w:rsidR="0068532C">
        <w:t xml:space="preserve">was granted asylum </w:t>
      </w:r>
      <w:r w:rsidRPr="001970A2">
        <w:t>under section 7</w:t>
      </w:r>
      <w:r w:rsidR="00D41516">
        <w:t xml:space="preserve"> </w:t>
      </w:r>
      <w:r w:rsidRPr="001970A2">
        <w:t>(1) of the Danish Aliens Act. According to the case documents relating to the author’s son, he relied on his fear of the Chechen authorities</w:t>
      </w:r>
      <w:r w:rsidR="00D41516">
        <w:t>,</w:t>
      </w:r>
      <w:r w:rsidRPr="001970A2">
        <w:t xml:space="preserve"> </w:t>
      </w:r>
      <w:r w:rsidR="0068532C">
        <w:t xml:space="preserve">which </w:t>
      </w:r>
      <w:r w:rsidRPr="001970A2">
        <w:t xml:space="preserve">suspected him of having assisted the rebels. </w:t>
      </w:r>
      <w:r w:rsidR="00D41516">
        <w:t>The son</w:t>
      </w:r>
      <w:r w:rsidR="00D41516" w:rsidRPr="001970A2">
        <w:t xml:space="preserve"> </w:t>
      </w:r>
      <w:r w:rsidRPr="001970A2">
        <w:t xml:space="preserve">stated during his asylum proceedings that he </w:t>
      </w:r>
      <w:r w:rsidR="00212237">
        <w:t>was</w:t>
      </w:r>
      <w:r w:rsidRPr="001970A2">
        <w:t xml:space="preserve"> arrested and detained for 45 </w:t>
      </w:r>
      <w:r w:rsidR="00B80DAF">
        <w:t xml:space="preserve">days by the Russian authorities </w:t>
      </w:r>
      <w:r w:rsidRPr="001970A2">
        <w:t xml:space="preserve">during the first war in Chechnya in 1996 and that he </w:t>
      </w:r>
      <w:r w:rsidR="00F75E86">
        <w:t>had also been</w:t>
      </w:r>
      <w:r w:rsidRPr="001970A2">
        <w:t xml:space="preserve"> subjected to physical abuse. In 1999, he joined the rebels. He </w:t>
      </w:r>
      <w:r w:rsidR="00212237">
        <w:t>was</w:t>
      </w:r>
      <w:r w:rsidRPr="001970A2">
        <w:t xml:space="preserve"> injured during fighting and had therefore gone home. In 2006, he </w:t>
      </w:r>
      <w:r w:rsidR="00212237">
        <w:t>was</w:t>
      </w:r>
      <w:r w:rsidRPr="001970A2">
        <w:t xml:space="preserve"> interrogated by the police about his role </w:t>
      </w:r>
      <w:r w:rsidR="00F75E86">
        <w:t>among</w:t>
      </w:r>
      <w:r w:rsidR="00F75E86" w:rsidRPr="001970A2">
        <w:t xml:space="preserve"> </w:t>
      </w:r>
      <w:r w:rsidRPr="001970A2">
        <w:t xml:space="preserve">the rebels. He signed a document saying that he had helped General </w:t>
      </w:r>
      <w:proofErr w:type="spellStart"/>
      <w:r w:rsidRPr="001970A2">
        <w:t>Galaev</w:t>
      </w:r>
      <w:proofErr w:type="spellEnd"/>
      <w:r w:rsidR="0068532C">
        <w:t>. H</w:t>
      </w:r>
      <w:r w:rsidRPr="001970A2">
        <w:t xml:space="preserve">e </w:t>
      </w:r>
      <w:r w:rsidR="00212237">
        <w:t>was</w:t>
      </w:r>
      <w:r w:rsidRPr="001970A2">
        <w:t xml:space="preserve"> granted amnesty </w:t>
      </w:r>
      <w:r w:rsidR="00212237">
        <w:t>for</w:t>
      </w:r>
      <w:r w:rsidR="00212237" w:rsidRPr="001970A2">
        <w:t xml:space="preserve"> </w:t>
      </w:r>
      <w:r w:rsidRPr="001970A2">
        <w:t xml:space="preserve">his actions. In </w:t>
      </w:r>
      <w:r w:rsidR="00932BE7" w:rsidRPr="001970A2">
        <w:t>October 2009, he</w:t>
      </w:r>
      <w:r w:rsidRPr="001970A2">
        <w:t xml:space="preserve"> helped a rebel acquaintance procure various food</w:t>
      </w:r>
      <w:r w:rsidR="0068532C">
        <w:t xml:space="preserve"> </w:t>
      </w:r>
      <w:r w:rsidR="00D41516">
        <w:t xml:space="preserve">items </w:t>
      </w:r>
      <w:r w:rsidR="0068532C">
        <w:t xml:space="preserve">and </w:t>
      </w:r>
      <w:r w:rsidRPr="001970A2">
        <w:t xml:space="preserve">tools </w:t>
      </w:r>
      <w:r w:rsidR="00212237">
        <w:t>for</w:t>
      </w:r>
      <w:r w:rsidR="00212237" w:rsidRPr="001970A2">
        <w:t xml:space="preserve"> </w:t>
      </w:r>
      <w:r w:rsidRPr="001970A2">
        <w:t>the rebels. In November 2009, h</w:t>
      </w:r>
      <w:r w:rsidR="00932BE7" w:rsidRPr="001970A2">
        <w:t>is</w:t>
      </w:r>
      <w:r w:rsidRPr="001970A2">
        <w:t xml:space="preserve"> workplace </w:t>
      </w:r>
      <w:r w:rsidR="00212237">
        <w:t>was</w:t>
      </w:r>
      <w:r w:rsidRPr="001970A2">
        <w:t xml:space="preserve"> searched by Russian military forces. He </w:t>
      </w:r>
      <w:r w:rsidR="00212237">
        <w:t>was</w:t>
      </w:r>
      <w:r w:rsidRPr="001970A2">
        <w:t xml:space="preserve"> taken to the police station on that occasion and </w:t>
      </w:r>
      <w:r w:rsidR="00212237">
        <w:t>was</w:t>
      </w:r>
      <w:r w:rsidRPr="001970A2">
        <w:t xml:space="preserve"> shown photo</w:t>
      </w:r>
      <w:r w:rsidR="00D41516">
        <w:t>graph</w:t>
      </w:r>
      <w:r w:rsidRPr="001970A2">
        <w:t>s</w:t>
      </w:r>
      <w:r w:rsidR="00D41516">
        <w:t>, from among which h</w:t>
      </w:r>
      <w:r w:rsidRPr="001970A2">
        <w:t>e pointed out two acquaintances</w:t>
      </w:r>
      <w:r w:rsidR="00D41516">
        <w:t>.</w:t>
      </w:r>
      <w:r w:rsidRPr="001970A2">
        <w:t xml:space="preserve"> </w:t>
      </w:r>
      <w:r w:rsidR="00D41516">
        <w:t>H</w:t>
      </w:r>
      <w:r w:rsidRPr="001970A2">
        <w:t xml:space="preserve">e </w:t>
      </w:r>
      <w:r w:rsidR="00212237">
        <w:t>was</w:t>
      </w:r>
      <w:r w:rsidRPr="001970A2">
        <w:t xml:space="preserve"> fingerprinted. The next day, he </w:t>
      </w:r>
      <w:r w:rsidR="00212237">
        <w:t>took</w:t>
      </w:r>
      <w:r w:rsidRPr="001970A2">
        <w:t xml:space="preserve"> up residence with a relative in </w:t>
      </w:r>
      <w:proofErr w:type="spellStart"/>
      <w:r w:rsidRPr="001970A2">
        <w:t>Naurskij</w:t>
      </w:r>
      <w:proofErr w:type="spellEnd"/>
      <w:r w:rsidRPr="001970A2">
        <w:t xml:space="preserve"> and </w:t>
      </w:r>
      <w:r w:rsidR="00212237">
        <w:t>hid</w:t>
      </w:r>
      <w:r w:rsidRPr="001970A2">
        <w:t xml:space="preserve"> there until his departure in February 2010. Upon his arrival in Denmark, </w:t>
      </w:r>
      <w:r w:rsidR="00932BE7" w:rsidRPr="001970A2">
        <w:t>hi</w:t>
      </w:r>
      <w:r w:rsidRPr="001970A2">
        <w:t>s brother said that, in connection with a search for rebels, some items had been found with h</w:t>
      </w:r>
      <w:r w:rsidR="00932BE7" w:rsidRPr="001970A2">
        <w:t>i</w:t>
      </w:r>
      <w:r w:rsidRPr="001970A2">
        <w:t>s fingerprints on them. It also appears from the case file of the author’s son that the Danish Immigration Service accepted h</w:t>
      </w:r>
      <w:r w:rsidR="00932BE7" w:rsidRPr="001970A2">
        <w:t>is</w:t>
      </w:r>
      <w:r w:rsidRPr="001970A2">
        <w:t xml:space="preserve"> statement as fact and </w:t>
      </w:r>
      <w:r w:rsidR="00212237">
        <w:t xml:space="preserve">concluded </w:t>
      </w:r>
      <w:r w:rsidRPr="001970A2">
        <w:t>that it could not be ruled out that h</w:t>
      </w:r>
      <w:r w:rsidR="00932BE7" w:rsidRPr="001970A2">
        <w:t>e</w:t>
      </w:r>
      <w:r w:rsidRPr="001970A2">
        <w:t xml:space="preserve"> had become of interest to the authorities because of his activities.</w:t>
      </w:r>
      <w:r w:rsidR="00042EAF">
        <w:t xml:space="preserve"> </w:t>
      </w:r>
    </w:p>
    <w:p w:rsidR="000B757F" w:rsidRPr="001970A2" w:rsidRDefault="008D4DBD">
      <w:pPr>
        <w:pStyle w:val="SingleTxtG"/>
        <w:rPr>
          <w:lang w:val="en-US"/>
        </w:rPr>
      </w:pPr>
      <w:r w:rsidRPr="001970A2">
        <w:rPr>
          <w:lang w:val="en-US"/>
        </w:rPr>
        <w:t>4.</w:t>
      </w:r>
      <w:r w:rsidR="00491223">
        <w:rPr>
          <w:lang w:val="en-US"/>
        </w:rPr>
        <w:t>3</w:t>
      </w:r>
      <w:r w:rsidRPr="001970A2">
        <w:rPr>
          <w:lang w:val="en-US"/>
        </w:rPr>
        <w:tab/>
      </w:r>
      <w:r w:rsidR="00034BD6" w:rsidRPr="001970A2">
        <w:rPr>
          <w:lang w:val="en-US"/>
        </w:rPr>
        <w:t xml:space="preserve">In connection </w:t>
      </w:r>
      <w:r w:rsidR="00212237">
        <w:rPr>
          <w:lang w:val="en-US"/>
        </w:rPr>
        <w:t>with the summons</w:t>
      </w:r>
      <w:r w:rsidR="007C6B16">
        <w:rPr>
          <w:lang w:val="en-US"/>
        </w:rPr>
        <w:t>es</w:t>
      </w:r>
      <w:r w:rsidR="00212237">
        <w:rPr>
          <w:lang w:val="en-US"/>
        </w:rPr>
        <w:t xml:space="preserve"> </w:t>
      </w:r>
      <w:r w:rsidR="00B94CF8">
        <w:rPr>
          <w:lang w:val="en-US"/>
        </w:rPr>
        <w:t xml:space="preserve">submitted </w:t>
      </w:r>
      <w:r w:rsidR="00212237">
        <w:rPr>
          <w:lang w:val="en-US"/>
        </w:rPr>
        <w:t>to the Committee and</w:t>
      </w:r>
      <w:r w:rsidR="00212237" w:rsidRPr="001970A2">
        <w:rPr>
          <w:lang w:val="en-US"/>
        </w:rPr>
        <w:t xml:space="preserve"> </w:t>
      </w:r>
      <w:r w:rsidR="00034BD6" w:rsidRPr="001970A2">
        <w:rPr>
          <w:lang w:val="en-US"/>
        </w:rPr>
        <w:t xml:space="preserve">the </w:t>
      </w:r>
      <w:r w:rsidR="009549EA">
        <w:rPr>
          <w:lang w:val="en-US"/>
        </w:rPr>
        <w:t xml:space="preserve">contention </w:t>
      </w:r>
      <w:r w:rsidR="00034BD6" w:rsidRPr="001970A2">
        <w:rPr>
          <w:lang w:val="en-US"/>
        </w:rPr>
        <w:t xml:space="preserve">that the authorities </w:t>
      </w:r>
      <w:r w:rsidR="007C227A">
        <w:rPr>
          <w:lang w:val="en-US"/>
        </w:rPr>
        <w:t>we</w:t>
      </w:r>
      <w:r w:rsidR="00034BD6" w:rsidRPr="001970A2">
        <w:rPr>
          <w:lang w:val="en-US"/>
        </w:rPr>
        <w:t>re still pursuing the author, the State party challenges t</w:t>
      </w:r>
      <w:r w:rsidR="00034BD6" w:rsidRPr="001970A2">
        <w:t>he author’s counsel</w:t>
      </w:r>
      <w:r w:rsidR="00212237">
        <w:t>’s</w:t>
      </w:r>
      <w:r w:rsidR="00034BD6" w:rsidRPr="001970A2">
        <w:t xml:space="preserve"> statement that the Refugee Appeals </w:t>
      </w:r>
      <w:r w:rsidR="009549EA">
        <w:t>Board</w:t>
      </w:r>
      <w:r w:rsidR="00034BD6" w:rsidRPr="001970A2">
        <w:t xml:space="preserve"> has not taken into consideration </w:t>
      </w:r>
      <w:r w:rsidR="00212237">
        <w:t xml:space="preserve">the fact </w:t>
      </w:r>
      <w:r w:rsidR="00034BD6" w:rsidRPr="001970A2">
        <w:t xml:space="preserve">that </w:t>
      </w:r>
      <w:r w:rsidR="00B94CF8">
        <w:t xml:space="preserve">although </w:t>
      </w:r>
      <w:r w:rsidR="00034BD6" w:rsidRPr="001970A2">
        <w:t>the Danish Immigration Service had the authenticity of th</w:t>
      </w:r>
      <w:r w:rsidR="00212237">
        <w:t>e</w:t>
      </w:r>
      <w:r w:rsidR="00034BD6" w:rsidRPr="001970A2">
        <w:t xml:space="preserve"> summons</w:t>
      </w:r>
      <w:r w:rsidR="007C6B16">
        <w:t>es</w:t>
      </w:r>
      <w:r w:rsidR="00034BD6" w:rsidRPr="001970A2">
        <w:t xml:space="preserve"> assessed through the Ministry of Foreign Affairs</w:t>
      </w:r>
      <w:r w:rsidR="00B94CF8">
        <w:t>,</w:t>
      </w:r>
      <w:r w:rsidR="009549EA">
        <w:t xml:space="preserve"> their </w:t>
      </w:r>
      <w:r w:rsidR="00687440">
        <w:t>a</w:t>
      </w:r>
      <w:r w:rsidR="009549EA">
        <w:t xml:space="preserve">uthenticity </w:t>
      </w:r>
      <w:r w:rsidR="00034BD6" w:rsidRPr="001970A2">
        <w:t xml:space="preserve">could not be established with certainty. The State party observes that the Service </w:t>
      </w:r>
      <w:r w:rsidR="00687440">
        <w:t xml:space="preserve">did </w:t>
      </w:r>
      <w:r w:rsidR="00034BD6" w:rsidRPr="001970A2">
        <w:t xml:space="preserve">not request an assessment of the authenticity of </w:t>
      </w:r>
      <w:r w:rsidR="0000656A" w:rsidRPr="001970A2">
        <w:t>the summons</w:t>
      </w:r>
      <w:r w:rsidR="007C6B16">
        <w:t>es</w:t>
      </w:r>
      <w:r w:rsidR="00034BD6" w:rsidRPr="001970A2">
        <w:t xml:space="preserve"> through the Ministry of Foreign Affairs.</w:t>
      </w:r>
      <w:r w:rsidR="00F567D9" w:rsidRPr="001970A2">
        <w:t xml:space="preserve"> </w:t>
      </w:r>
      <w:r w:rsidR="008C40DB" w:rsidRPr="008C40DB">
        <w:t xml:space="preserve">The State party </w:t>
      </w:r>
      <w:r w:rsidR="008C40DB">
        <w:t xml:space="preserve">also observes </w:t>
      </w:r>
      <w:r w:rsidR="008C40DB" w:rsidRPr="008C40DB">
        <w:t>that the author</w:t>
      </w:r>
      <w:r w:rsidR="006E3A87">
        <w:t>’</w:t>
      </w:r>
      <w:r w:rsidR="008C40DB" w:rsidRPr="008C40DB">
        <w:t>s counsel</w:t>
      </w:r>
      <w:r w:rsidR="008C40DB">
        <w:t xml:space="preserve"> </w:t>
      </w:r>
      <w:r w:rsidR="00F567D9" w:rsidRPr="001970A2">
        <w:t>submitted that the author’s medical records</w:t>
      </w:r>
      <w:r w:rsidR="00D5334E">
        <w:rPr>
          <w:rStyle w:val="FootnoteReference"/>
          <w:szCs w:val="24"/>
        </w:rPr>
        <w:footnoteReference w:id="8"/>
      </w:r>
      <w:r w:rsidR="00F567D9" w:rsidRPr="001970A2">
        <w:t xml:space="preserve"> </w:t>
      </w:r>
      <w:r w:rsidR="003040B2">
        <w:t>d</w:t>
      </w:r>
      <w:r w:rsidR="007C227A">
        <w:t>id</w:t>
      </w:r>
      <w:r w:rsidR="003040B2">
        <w:t xml:space="preserve"> not </w:t>
      </w:r>
      <w:r w:rsidR="00B94CF8">
        <w:t xml:space="preserve">indicate </w:t>
      </w:r>
      <w:r w:rsidR="00F567D9" w:rsidRPr="001970A2">
        <w:t>that she ha</w:t>
      </w:r>
      <w:r w:rsidR="00335BD1">
        <w:t>d</w:t>
      </w:r>
      <w:r w:rsidR="00F567D9" w:rsidRPr="001970A2">
        <w:t xml:space="preserve"> been torture</w:t>
      </w:r>
      <w:r w:rsidR="009549EA">
        <w:t>d</w:t>
      </w:r>
      <w:r w:rsidR="00F567D9" w:rsidRPr="001970A2">
        <w:t xml:space="preserve"> but that </w:t>
      </w:r>
      <w:r w:rsidR="009549EA">
        <w:t>she</w:t>
      </w:r>
      <w:r w:rsidR="00F567D9" w:rsidRPr="001970A2">
        <w:t xml:space="preserve"> </w:t>
      </w:r>
      <w:r w:rsidR="00335BD1">
        <w:t>wa</w:t>
      </w:r>
      <w:r w:rsidR="00F567D9" w:rsidRPr="001970A2">
        <w:t>s a poor sleeper, that she suffer</w:t>
      </w:r>
      <w:r w:rsidR="00335BD1">
        <w:t>ed</w:t>
      </w:r>
      <w:r w:rsidR="00F567D9" w:rsidRPr="001970A2">
        <w:t xml:space="preserve"> from nightmares and head</w:t>
      </w:r>
      <w:r w:rsidR="0000656A" w:rsidRPr="001970A2">
        <w:t>aches</w:t>
      </w:r>
      <w:r w:rsidR="00335BD1">
        <w:t>, that she was</w:t>
      </w:r>
      <w:r w:rsidR="0000656A" w:rsidRPr="001970A2">
        <w:t xml:space="preserve"> worrie</w:t>
      </w:r>
      <w:r w:rsidR="00335BD1">
        <w:t>d</w:t>
      </w:r>
      <w:r w:rsidR="0000656A" w:rsidRPr="001970A2">
        <w:t xml:space="preserve"> and </w:t>
      </w:r>
      <w:r w:rsidR="00335BD1">
        <w:t xml:space="preserve">that she </w:t>
      </w:r>
      <w:r w:rsidR="00F567D9" w:rsidRPr="001970A2">
        <w:t>want</w:t>
      </w:r>
      <w:r w:rsidR="00335BD1">
        <w:t>ed</w:t>
      </w:r>
      <w:r w:rsidR="00F567D9" w:rsidRPr="001970A2">
        <w:t xml:space="preserve"> to see a psychologist. </w:t>
      </w:r>
      <w:r w:rsidR="00687440">
        <w:t>Accordingly,</w:t>
      </w:r>
      <w:r w:rsidR="00F567D9" w:rsidRPr="001970A2">
        <w:t xml:space="preserve"> the Danish authorities </w:t>
      </w:r>
      <w:r w:rsidR="0068420F">
        <w:t>did</w:t>
      </w:r>
      <w:r w:rsidR="0068420F" w:rsidRPr="001970A2">
        <w:t xml:space="preserve"> </w:t>
      </w:r>
      <w:r w:rsidR="00F567D9" w:rsidRPr="001970A2">
        <w:t>not examine the author for signs of torture</w:t>
      </w:r>
      <w:r w:rsidR="0068420F">
        <w:t>,</w:t>
      </w:r>
      <w:r w:rsidR="00F567D9" w:rsidRPr="001970A2">
        <w:t xml:space="preserve"> despite the consent granted by the author for such </w:t>
      </w:r>
      <w:r w:rsidR="00B94CF8">
        <w:t xml:space="preserve">an </w:t>
      </w:r>
      <w:r w:rsidR="00F567D9" w:rsidRPr="001970A2">
        <w:t>examination</w:t>
      </w:r>
      <w:r w:rsidR="00B94CF8">
        <w:t xml:space="preserve"> to be carried out</w:t>
      </w:r>
      <w:r w:rsidR="00F567D9" w:rsidRPr="001970A2">
        <w:t>.</w:t>
      </w:r>
    </w:p>
    <w:p w:rsidR="000B757F" w:rsidRPr="001970A2" w:rsidRDefault="00F567D9">
      <w:pPr>
        <w:pStyle w:val="SingleTxtG"/>
      </w:pPr>
      <w:r w:rsidRPr="001970A2">
        <w:t>4.</w:t>
      </w:r>
      <w:r w:rsidR="00491223">
        <w:t>4</w:t>
      </w:r>
      <w:r w:rsidRPr="001970A2">
        <w:tab/>
        <w:t xml:space="preserve">The State party submits that the author has failed to establish </w:t>
      </w:r>
      <w:r w:rsidRPr="004933A4">
        <w:t>a prima facie</w:t>
      </w:r>
      <w:r w:rsidRPr="001970A2">
        <w:rPr>
          <w:i/>
          <w:iCs/>
        </w:rPr>
        <w:t xml:space="preserve"> </w:t>
      </w:r>
      <w:r w:rsidRPr="001970A2">
        <w:t xml:space="preserve">case for the purpose of admissibility under </w:t>
      </w:r>
      <w:r w:rsidR="00127B61">
        <w:t>a</w:t>
      </w:r>
      <w:r w:rsidRPr="001970A2">
        <w:t>rticle 7 of the C</w:t>
      </w:r>
      <w:r w:rsidR="00E825C6" w:rsidRPr="001970A2">
        <w:t>ovenant</w:t>
      </w:r>
      <w:r w:rsidRPr="001970A2">
        <w:t>.</w:t>
      </w:r>
      <w:r w:rsidR="00E825C6" w:rsidRPr="001970A2">
        <w:t xml:space="preserve"> It considers that the author has not established that there </w:t>
      </w:r>
      <w:r w:rsidR="004933A4">
        <w:t>we</w:t>
      </w:r>
      <w:r w:rsidR="00E825C6" w:rsidRPr="001970A2">
        <w:t xml:space="preserve">re substantial grounds for believing that she </w:t>
      </w:r>
      <w:r w:rsidR="004933A4">
        <w:t>would</w:t>
      </w:r>
      <w:r w:rsidR="004933A4" w:rsidRPr="001970A2">
        <w:t xml:space="preserve"> </w:t>
      </w:r>
      <w:r w:rsidR="00E825C6" w:rsidRPr="001970A2">
        <w:t xml:space="preserve">be in danger of being tortured </w:t>
      </w:r>
      <w:r w:rsidR="00127B61">
        <w:t>in</w:t>
      </w:r>
      <w:r w:rsidR="00E825C6" w:rsidRPr="001970A2">
        <w:t xml:space="preserve"> the Russian Federation. The State party therefore considers that </w:t>
      </w:r>
      <w:r w:rsidR="003474F6" w:rsidRPr="001970A2">
        <w:t>part of the</w:t>
      </w:r>
      <w:r w:rsidR="00E825C6" w:rsidRPr="001970A2">
        <w:t xml:space="preserve"> communication inadmissible.</w:t>
      </w:r>
      <w:r w:rsidR="003474F6" w:rsidRPr="001970A2">
        <w:t xml:space="preserve"> </w:t>
      </w:r>
      <w:r w:rsidRPr="001970A2">
        <w:t xml:space="preserve">As to </w:t>
      </w:r>
      <w:r w:rsidR="00B94CF8">
        <w:t xml:space="preserve">the claim of </w:t>
      </w:r>
      <w:r w:rsidRPr="001970A2">
        <w:t xml:space="preserve">a violation of </w:t>
      </w:r>
      <w:r w:rsidR="00127B61">
        <w:t>a</w:t>
      </w:r>
      <w:r w:rsidRPr="001970A2">
        <w:t>rticle 9 of the C</w:t>
      </w:r>
      <w:r w:rsidR="003474F6" w:rsidRPr="001970A2">
        <w:t>ovenant</w:t>
      </w:r>
      <w:r w:rsidRPr="001970A2">
        <w:t xml:space="preserve">, the State party observes that the author’s counsel has only </w:t>
      </w:r>
      <w:r w:rsidR="0068420F">
        <w:t>asserted</w:t>
      </w:r>
      <w:r w:rsidR="0068420F" w:rsidRPr="001970A2">
        <w:t xml:space="preserve"> </w:t>
      </w:r>
      <w:r w:rsidRPr="001970A2">
        <w:t>that</w:t>
      </w:r>
      <w:r w:rsidR="00687440">
        <w:t xml:space="preserve"> </w:t>
      </w:r>
      <w:r w:rsidRPr="001970A2">
        <w:t>return</w:t>
      </w:r>
      <w:r w:rsidR="00B94CF8">
        <w:t>ing</w:t>
      </w:r>
      <w:r w:rsidRPr="001970A2">
        <w:t xml:space="preserve"> the author to </w:t>
      </w:r>
      <w:r w:rsidR="003474F6" w:rsidRPr="001970A2">
        <w:t xml:space="preserve">the </w:t>
      </w:r>
      <w:r w:rsidRPr="001970A2">
        <w:t>Russia</w:t>
      </w:r>
      <w:r w:rsidR="003474F6" w:rsidRPr="001970A2">
        <w:t>n Federation</w:t>
      </w:r>
      <w:r w:rsidRPr="001970A2">
        <w:t xml:space="preserve"> would violat</w:t>
      </w:r>
      <w:r w:rsidR="00687440">
        <w:t>e</w:t>
      </w:r>
      <w:r w:rsidRPr="001970A2">
        <w:t xml:space="preserve"> th</w:t>
      </w:r>
      <w:r w:rsidR="00127B61">
        <w:t xml:space="preserve">is provision, without </w:t>
      </w:r>
      <w:r w:rsidRPr="001970A2">
        <w:t>establish</w:t>
      </w:r>
      <w:r w:rsidR="00127B61">
        <w:t>ing</w:t>
      </w:r>
      <w:r w:rsidRPr="001970A2">
        <w:t xml:space="preserve"> how the author risks treatment </w:t>
      </w:r>
      <w:r w:rsidR="00127B61">
        <w:t>contrary to a</w:t>
      </w:r>
      <w:r w:rsidRPr="001970A2">
        <w:t xml:space="preserve">rticle 9. </w:t>
      </w:r>
      <w:r w:rsidR="002A76E1" w:rsidRPr="001970A2">
        <w:t xml:space="preserve">The State party is not aware of any findings made by the Committee that </w:t>
      </w:r>
      <w:r w:rsidR="00127B61">
        <w:t>a</w:t>
      </w:r>
      <w:r w:rsidR="002A76E1" w:rsidRPr="001970A2">
        <w:t>rticle 9 of the C</w:t>
      </w:r>
      <w:r w:rsidR="003474F6" w:rsidRPr="001970A2">
        <w:t>ovenant</w:t>
      </w:r>
      <w:r w:rsidR="002A76E1" w:rsidRPr="001970A2">
        <w:t xml:space="preserve"> can be deemed to have extraterritorial effect.</w:t>
      </w:r>
      <w:r w:rsidR="00C11116" w:rsidRPr="001970A2">
        <w:t xml:space="preserve"> </w:t>
      </w:r>
      <w:r w:rsidR="00C4790D" w:rsidRPr="001970A2">
        <w:t>I</w:t>
      </w:r>
      <w:r w:rsidR="00C11116" w:rsidRPr="001970A2">
        <w:t xml:space="preserve">t </w:t>
      </w:r>
      <w:r w:rsidR="00127B61">
        <w:t xml:space="preserve">also </w:t>
      </w:r>
      <w:r w:rsidR="00C11116" w:rsidRPr="001970A2">
        <w:t xml:space="preserve">refers to </w:t>
      </w:r>
      <w:r w:rsidR="00687440">
        <w:t>the</w:t>
      </w:r>
      <w:r w:rsidR="00C11116" w:rsidRPr="001970A2">
        <w:t xml:space="preserve"> judgment of </w:t>
      </w:r>
      <w:r w:rsidR="00C4790D" w:rsidRPr="001970A2">
        <w:t xml:space="preserve">the European Court of Human Rights </w:t>
      </w:r>
      <w:r w:rsidR="00C11116" w:rsidRPr="001970A2">
        <w:t xml:space="preserve">of 17 January 2012 in </w:t>
      </w:r>
      <w:r w:rsidR="00C11116" w:rsidRPr="001970A2">
        <w:rPr>
          <w:i/>
          <w:iCs/>
        </w:rPr>
        <w:t>Othman</w:t>
      </w:r>
      <w:r w:rsidR="00BE2127">
        <w:rPr>
          <w:i/>
          <w:iCs/>
        </w:rPr>
        <w:t xml:space="preserve"> (Abu Qatada)</w:t>
      </w:r>
      <w:r w:rsidR="00C11116" w:rsidRPr="001970A2">
        <w:rPr>
          <w:i/>
          <w:iCs/>
        </w:rPr>
        <w:t xml:space="preserve"> v. the United Kingdom</w:t>
      </w:r>
      <w:r w:rsidR="00C05B8D" w:rsidRPr="00D8306B">
        <w:t>,</w:t>
      </w:r>
      <w:r w:rsidR="00C4790D" w:rsidRPr="00C05B8D">
        <w:rPr>
          <w:rStyle w:val="FootnoteReference"/>
        </w:rPr>
        <w:footnoteReference w:id="9"/>
      </w:r>
      <w:r w:rsidR="00C11116" w:rsidRPr="001970A2">
        <w:t xml:space="preserve"> concerning </w:t>
      </w:r>
      <w:r w:rsidR="004933A4">
        <w:t>a</w:t>
      </w:r>
      <w:r w:rsidR="00C11116" w:rsidRPr="001970A2">
        <w:t xml:space="preserve">rticle 5 of the </w:t>
      </w:r>
      <w:r w:rsidR="004933A4" w:rsidRPr="004933A4">
        <w:t>Convention for the Protection of Human Rights and Fundamental Freedoms</w:t>
      </w:r>
      <w:r w:rsidR="004933A4">
        <w:t xml:space="preserve"> (European Convention on Human Rights), which is </w:t>
      </w:r>
      <w:r w:rsidR="00C11116" w:rsidRPr="001970A2">
        <w:t xml:space="preserve">similar to </w:t>
      </w:r>
      <w:r w:rsidR="00127B61">
        <w:t>a</w:t>
      </w:r>
      <w:r w:rsidR="00C11116" w:rsidRPr="001970A2">
        <w:t>rticle 9 of the C</w:t>
      </w:r>
      <w:r w:rsidR="003474F6" w:rsidRPr="001970A2">
        <w:t>ovenant</w:t>
      </w:r>
      <w:r w:rsidR="00C4790D" w:rsidRPr="001970A2">
        <w:t xml:space="preserve">. </w:t>
      </w:r>
      <w:r w:rsidR="00687440">
        <w:t>With respect to</w:t>
      </w:r>
      <w:r w:rsidR="00C4790D" w:rsidRPr="001970A2">
        <w:t xml:space="preserve"> </w:t>
      </w:r>
      <w:r w:rsidR="004933A4">
        <w:t>a</w:t>
      </w:r>
      <w:r w:rsidR="00C4790D" w:rsidRPr="001970A2">
        <w:t xml:space="preserve">rticle 5 of the </w:t>
      </w:r>
      <w:r w:rsidR="004933A4">
        <w:t>European Convention on Human Rights</w:t>
      </w:r>
      <w:r w:rsidR="00C4790D" w:rsidRPr="001970A2">
        <w:t>, the crucial factor when assessing whether th</w:t>
      </w:r>
      <w:r w:rsidR="004933A4">
        <w:t>at</w:t>
      </w:r>
      <w:r w:rsidR="00C4790D" w:rsidRPr="001970A2">
        <w:t xml:space="preserve"> provision can be deemed to have extraterritorial effect hence </w:t>
      </w:r>
      <w:r w:rsidR="00687440">
        <w:t xml:space="preserve">is </w:t>
      </w:r>
      <w:r w:rsidR="00C4790D" w:rsidRPr="001970A2">
        <w:t>whether there is a real risk of a flagrant breach of that article, and a high threshold applies.</w:t>
      </w:r>
      <w:r w:rsidR="009E5449" w:rsidRPr="001970A2">
        <w:t xml:space="preserve"> </w:t>
      </w:r>
      <w:r w:rsidR="00C11116" w:rsidRPr="001970A2">
        <w:t xml:space="preserve">For these reasons, </w:t>
      </w:r>
      <w:r w:rsidR="00B94CF8">
        <w:t>and because the author</w:t>
      </w:r>
      <w:r w:rsidR="00B94CF8" w:rsidRPr="001970A2">
        <w:t xml:space="preserve"> has not sufficiently substantiated that there are substantial grounds for believing that her rights in this regard will be violated in the Russian Federation</w:t>
      </w:r>
      <w:r w:rsidR="00B94CF8">
        <w:t>,</w:t>
      </w:r>
      <w:r w:rsidR="00B94CF8" w:rsidRPr="001970A2">
        <w:t xml:space="preserve"> </w:t>
      </w:r>
      <w:r w:rsidR="00C11116" w:rsidRPr="001970A2">
        <w:t xml:space="preserve">the </w:t>
      </w:r>
      <w:r w:rsidR="003474F6" w:rsidRPr="001970A2">
        <w:t>State party</w:t>
      </w:r>
      <w:r w:rsidR="00C11116" w:rsidRPr="001970A2">
        <w:t xml:space="preserve"> submits that the author has failed to establish a </w:t>
      </w:r>
      <w:r w:rsidR="00C11116" w:rsidRPr="00FC440B">
        <w:t>prima facie</w:t>
      </w:r>
      <w:r w:rsidR="00C11116" w:rsidRPr="001970A2">
        <w:rPr>
          <w:i/>
          <w:iCs/>
        </w:rPr>
        <w:t xml:space="preserve"> </w:t>
      </w:r>
      <w:r w:rsidR="00C11116" w:rsidRPr="001970A2">
        <w:t xml:space="preserve">case for the purpose of admissibility under </w:t>
      </w:r>
      <w:r w:rsidR="00127B61">
        <w:t>a</w:t>
      </w:r>
      <w:r w:rsidR="00C11116" w:rsidRPr="001970A2">
        <w:t>rticle 9 of the C</w:t>
      </w:r>
      <w:r w:rsidR="003474F6" w:rsidRPr="001970A2">
        <w:t>ovenant</w:t>
      </w:r>
      <w:r w:rsidR="00B94CF8">
        <w:t>.</w:t>
      </w:r>
    </w:p>
    <w:p w:rsidR="009E5449" w:rsidRPr="001970A2" w:rsidRDefault="009E5449" w:rsidP="00F734E5">
      <w:pPr>
        <w:pStyle w:val="SingleTxtG"/>
      </w:pPr>
      <w:r w:rsidRPr="00F734E5">
        <w:t>4.</w:t>
      </w:r>
      <w:r w:rsidR="00491223" w:rsidRPr="00F734E5">
        <w:t>5</w:t>
      </w:r>
      <w:r w:rsidRPr="00F734E5">
        <w:tab/>
      </w:r>
      <w:r w:rsidR="000F7794" w:rsidRPr="00F734E5">
        <w:t xml:space="preserve">The State party </w:t>
      </w:r>
      <w:r w:rsidR="003C5C8F" w:rsidRPr="00F734E5">
        <w:t xml:space="preserve">agrees with </w:t>
      </w:r>
      <w:r w:rsidR="00B63E79" w:rsidRPr="00F734E5">
        <w:t>the Refugee Appeal</w:t>
      </w:r>
      <w:r w:rsidR="00687440" w:rsidRPr="00F734E5">
        <w:t>s</w:t>
      </w:r>
      <w:r w:rsidR="00B63E79" w:rsidRPr="00F734E5">
        <w:t xml:space="preserve"> Board</w:t>
      </w:r>
      <w:r w:rsidR="00687440" w:rsidRPr="00F734E5">
        <w:t>’s</w:t>
      </w:r>
      <w:r w:rsidR="00B63E79" w:rsidRPr="00F734E5">
        <w:t xml:space="preserve"> </w:t>
      </w:r>
      <w:r w:rsidR="003C5C8F" w:rsidRPr="00F734E5">
        <w:t xml:space="preserve">assessment </w:t>
      </w:r>
      <w:r w:rsidR="00B63E79" w:rsidRPr="00F734E5">
        <w:t xml:space="preserve">that the </w:t>
      </w:r>
      <w:r w:rsidR="00687440" w:rsidRPr="00F734E5">
        <w:t>claim</w:t>
      </w:r>
      <w:r w:rsidR="00687440" w:rsidRPr="001970A2">
        <w:t xml:space="preserve"> </w:t>
      </w:r>
      <w:r w:rsidR="00B63E79" w:rsidRPr="001970A2">
        <w:t xml:space="preserve">that the author had been contacted by the authorities because of her son’s situation did not in itself </w:t>
      </w:r>
      <w:r w:rsidR="00687440">
        <w:t>establish</w:t>
      </w:r>
      <w:r w:rsidR="00687440" w:rsidRPr="001970A2">
        <w:t xml:space="preserve"> </w:t>
      </w:r>
      <w:r w:rsidR="00B63E79" w:rsidRPr="001970A2">
        <w:t xml:space="preserve">a basis </w:t>
      </w:r>
      <w:r w:rsidR="00687440">
        <w:t>for</w:t>
      </w:r>
      <w:r w:rsidR="00687440" w:rsidRPr="001970A2">
        <w:t xml:space="preserve"> </w:t>
      </w:r>
      <w:r w:rsidR="00697843">
        <w:t xml:space="preserve">granting </w:t>
      </w:r>
      <w:r w:rsidR="00B63E79" w:rsidRPr="001970A2">
        <w:t xml:space="preserve">asylum </w:t>
      </w:r>
      <w:r w:rsidR="00697843">
        <w:t>to</w:t>
      </w:r>
      <w:r w:rsidR="00B63E79" w:rsidRPr="001970A2">
        <w:t xml:space="preserve"> her</w:t>
      </w:r>
      <w:r w:rsidR="0068420F">
        <w:t>,</w:t>
      </w:r>
      <w:r w:rsidR="003C5C8F" w:rsidRPr="001970A2">
        <w:t xml:space="preserve"> </w:t>
      </w:r>
      <w:r w:rsidR="00697843">
        <w:t>nor did her son’s</w:t>
      </w:r>
      <w:r w:rsidR="00B63E79" w:rsidRPr="001970A2">
        <w:t xml:space="preserve"> situation</w:t>
      </w:r>
      <w:r w:rsidR="00697843">
        <w:t xml:space="preserve">, </w:t>
      </w:r>
      <w:r w:rsidR="00B63E79" w:rsidRPr="001970A2">
        <w:t>in itself</w:t>
      </w:r>
      <w:r w:rsidR="00697843">
        <w:t>,</w:t>
      </w:r>
      <w:r w:rsidR="00B63E79" w:rsidRPr="001970A2">
        <w:t xml:space="preserve"> </w:t>
      </w:r>
      <w:r w:rsidR="00687440">
        <w:t>establish</w:t>
      </w:r>
      <w:r w:rsidR="00687440" w:rsidRPr="001970A2">
        <w:t xml:space="preserve"> </w:t>
      </w:r>
      <w:r w:rsidR="00B63E79" w:rsidRPr="001970A2">
        <w:t xml:space="preserve">a basis </w:t>
      </w:r>
      <w:r w:rsidR="00687440">
        <w:t>for</w:t>
      </w:r>
      <w:r w:rsidR="00687440" w:rsidRPr="001970A2">
        <w:t xml:space="preserve"> </w:t>
      </w:r>
      <w:r w:rsidR="00697843">
        <w:t xml:space="preserve">granting </w:t>
      </w:r>
      <w:r w:rsidR="00B63E79" w:rsidRPr="001970A2">
        <w:t>asylum</w:t>
      </w:r>
      <w:r w:rsidR="003C5C8F" w:rsidRPr="001970A2">
        <w:t xml:space="preserve">. It </w:t>
      </w:r>
      <w:r w:rsidR="00B63E79" w:rsidRPr="001970A2">
        <w:t>observes in this respect that the author’s son left the country in February 2010, that the author was subsequently contacted by the authorities several times</w:t>
      </w:r>
      <w:r w:rsidR="00127B61">
        <w:t xml:space="preserve"> inquiring about</w:t>
      </w:r>
      <w:r w:rsidR="00B63E79" w:rsidRPr="001970A2">
        <w:t xml:space="preserve"> the whereabouts of her son </w:t>
      </w:r>
      <w:r w:rsidR="00697843">
        <w:t>(</w:t>
      </w:r>
      <w:r w:rsidR="00B63E79" w:rsidRPr="001970A2">
        <w:t xml:space="preserve">but </w:t>
      </w:r>
      <w:r w:rsidR="0068420F">
        <w:t xml:space="preserve">they </w:t>
      </w:r>
      <w:r w:rsidR="00B63E79" w:rsidRPr="001970A2">
        <w:t xml:space="preserve">did not </w:t>
      </w:r>
      <w:r w:rsidR="00687440">
        <w:t xml:space="preserve">abuse </w:t>
      </w:r>
      <w:r w:rsidR="00B63E79" w:rsidRPr="001970A2">
        <w:t>the author on those occasions</w:t>
      </w:r>
      <w:r w:rsidR="00697843">
        <w:t>)</w:t>
      </w:r>
      <w:r w:rsidR="00B63E79" w:rsidRPr="001970A2">
        <w:t xml:space="preserve"> and that there is no basis for assuming that family members of persons connected to the Chechen rebels are usually pursued by the authorities.</w:t>
      </w:r>
      <w:r w:rsidR="00B63E79" w:rsidRPr="00C05B8D">
        <w:rPr>
          <w:rStyle w:val="FootnoteReference"/>
        </w:rPr>
        <w:footnoteReference w:id="10"/>
      </w:r>
      <w:r w:rsidR="001708B0" w:rsidRPr="001970A2">
        <w:t xml:space="preserve"> The State party also finds that the author’s son was not a high-profile member of a Chechen rebel group, nor </w:t>
      </w:r>
      <w:r w:rsidR="00F46AB4">
        <w:t>did he</w:t>
      </w:r>
      <w:r w:rsidR="001708B0" w:rsidRPr="001970A2">
        <w:t xml:space="preserve"> belong to </w:t>
      </w:r>
      <w:r w:rsidR="00F46AB4">
        <w:t>a</w:t>
      </w:r>
      <w:r w:rsidR="00F46AB4" w:rsidRPr="001970A2">
        <w:t xml:space="preserve"> </w:t>
      </w:r>
      <w:r w:rsidR="001708B0" w:rsidRPr="001970A2">
        <w:t xml:space="preserve">group of people who </w:t>
      </w:r>
      <w:r w:rsidR="00F46AB4">
        <w:t>would be</w:t>
      </w:r>
      <w:r w:rsidR="00F46AB4" w:rsidRPr="001970A2">
        <w:t xml:space="preserve"> </w:t>
      </w:r>
      <w:r w:rsidR="001708B0" w:rsidRPr="001970A2">
        <w:t>at a particular</w:t>
      </w:r>
      <w:r w:rsidR="00F46AB4">
        <w:t>ly high</w:t>
      </w:r>
      <w:r w:rsidR="001708B0" w:rsidRPr="001970A2">
        <w:t xml:space="preserve"> risk of being abused by the Chechen authorities </w:t>
      </w:r>
      <w:r w:rsidR="00F46AB4">
        <w:t>should the author</w:t>
      </w:r>
      <w:r w:rsidR="001708B0" w:rsidRPr="001970A2">
        <w:t xml:space="preserve"> return to her home region. It observes that it appears from the author’s own statements in connection with the case that she moved to Ingushetia after her son’s departure because she was tired of being contacted by the authorities, that she </w:t>
      </w:r>
      <w:r w:rsidR="00687440">
        <w:t xml:space="preserve">then </w:t>
      </w:r>
      <w:r w:rsidR="001708B0" w:rsidRPr="001970A2">
        <w:t xml:space="preserve">moved back to Chechnya because she preferred to go home and that she subsequently stayed there even though the authorities continued to </w:t>
      </w:r>
      <w:r w:rsidR="00F46AB4">
        <w:t>ask</w:t>
      </w:r>
      <w:r w:rsidR="00127B61">
        <w:t xml:space="preserve"> her about </w:t>
      </w:r>
      <w:r w:rsidR="00F46AB4">
        <w:t xml:space="preserve">her </w:t>
      </w:r>
      <w:r w:rsidR="001708B0" w:rsidRPr="001970A2">
        <w:t>son.</w:t>
      </w:r>
    </w:p>
    <w:p w:rsidR="00B63E79" w:rsidRPr="001970A2" w:rsidRDefault="00B63E79">
      <w:pPr>
        <w:pStyle w:val="SingleTxtG"/>
      </w:pPr>
      <w:r w:rsidRPr="001970A2">
        <w:t>4.</w:t>
      </w:r>
      <w:r w:rsidR="00491223">
        <w:t>6</w:t>
      </w:r>
      <w:r w:rsidRPr="001970A2">
        <w:tab/>
      </w:r>
      <w:r w:rsidR="004B1F02" w:rsidRPr="001970A2">
        <w:t xml:space="preserve">As to the author’s alleged conflict with the authorities because of her sales of bread, the Refugee Appeals Board could not accept the author’s statement as fact. </w:t>
      </w:r>
      <w:r w:rsidR="005977E9">
        <w:t xml:space="preserve">The </w:t>
      </w:r>
      <w:r w:rsidR="00625A94">
        <w:t>Board</w:t>
      </w:r>
      <w:r w:rsidR="00625A94" w:rsidRPr="001970A2">
        <w:t xml:space="preserve"> </w:t>
      </w:r>
      <w:r w:rsidR="004B1F02" w:rsidRPr="001970A2">
        <w:t>emphasi</w:t>
      </w:r>
      <w:r w:rsidR="00625A94">
        <w:t>z</w:t>
      </w:r>
      <w:r w:rsidR="004B1F02" w:rsidRPr="001970A2">
        <w:t>ed in its assessment that the author ha</w:t>
      </w:r>
      <w:r w:rsidR="00625A94">
        <w:t>d</w:t>
      </w:r>
      <w:r w:rsidR="004B1F02" w:rsidRPr="001970A2">
        <w:t xml:space="preserve"> not been politically active</w:t>
      </w:r>
      <w:r w:rsidR="00625A94">
        <w:t>,</w:t>
      </w:r>
      <w:r w:rsidR="004B1F02" w:rsidRPr="001970A2">
        <w:t xml:space="preserve"> appear</w:t>
      </w:r>
      <w:r w:rsidR="00625A94">
        <w:t>ed</w:t>
      </w:r>
      <w:r w:rsidR="004B1F02" w:rsidRPr="001970A2">
        <w:t xml:space="preserve"> </w:t>
      </w:r>
      <w:r w:rsidR="00292262">
        <w:t>to be</w:t>
      </w:r>
      <w:r w:rsidR="00292262" w:rsidRPr="001970A2">
        <w:t xml:space="preserve"> </w:t>
      </w:r>
      <w:r w:rsidR="004B1F02" w:rsidRPr="001970A2">
        <w:t xml:space="preserve">a very low-profile individual and </w:t>
      </w:r>
      <w:r w:rsidR="001459DC">
        <w:t xml:space="preserve">had </w:t>
      </w:r>
      <w:r w:rsidR="004B1F02" w:rsidRPr="001970A2">
        <w:t>had no previous problems with the authorities</w:t>
      </w:r>
      <w:r w:rsidR="00625A94">
        <w:t xml:space="preserve">, </w:t>
      </w:r>
      <w:r w:rsidR="00625A94" w:rsidRPr="001970A2">
        <w:t xml:space="preserve">except that she was contacted by the authorities as a result of her son’s conflict </w:t>
      </w:r>
      <w:r w:rsidR="00625A94">
        <w:t>and</w:t>
      </w:r>
      <w:r w:rsidR="004B1F02" w:rsidRPr="001970A2">
        <w:t xml:space="preserve"> except for the circumstances leading to her departure. It also found it less convincing that the author would </w:t>
      </w:r>
      <w:r w:rsidR="005977E9">
        <w:t xml:space="preserve">attract the authorities’ attention </w:t>
      </w:r>
      <w:r w:rsidR="004B1F02" w:rsidRPr="001970A2">
        <w:t xml:space="preserve">merely because she sold bread to the rebels. The author’s statement about her escape from a hospital to which she had been taken after having been tortured and </w:t>
      </w:r>
      <w:r w:rsidR="00625A94">
        <w:t>about</w:t>
      </w:r>
      <w:r w:rsidR="004B1F02" w:rsidRPr="001970A2">
        <w:t xml:space="preserve"> having suffered a heart attack appeared to lack credibility. The State party observes in this respect that the author stated</w:t>
      </w:r>
      <w:r w:rsidR="001459DC">
        <w:t>,</w:t>
      </w:r>
      <w:r w:rsidR="004B1F02" w:rsidRPr="001970A2">
        <w:t xml:space="preserve"> </w:t>
      </w:r>
      <w:r w:rsidR="00292262">
        <w:t>regarding</w:t>
      </w:r>
      <w:r w:rsidR="00292262" w:rsidRPr="001970A2">
        <w:t xml:space="preserve"> </w:t>
      </w:r>
      <w:r w:rsidR="004B1F02" w:rsidRPr="001970A2">
        <w:t>her arrest in November 2012</w:t>
      </w:r>
      <w:r w:rsidR="001459DC">
        <w:t>,</w:t>
      </w:r>
      <w:r w:rsidR="004B1F02" w:rsidRPr="001970A2">
        <w:t xml:space="preserve"> that the authorities came to her home one night and arrested her because she had been accused of </w:t>
      </w:r>
      <w:r w:rsidR="005977E9">
        <w:t xml:space="preserve">providing </w:t>
      </w:r>
      <w:r w:rsidR="004B1F02" w:rsidRPr="001970A2">
        <w:t>rebels</w:t>
      </w:r>
      <w:r w:rsidR="005977E9">
        <w:t xml:space="preserve"> with bread</w:t>
      </w:r>
      <w:r w:rsidR="004B1F02" w:rsidRPr="001970A2">
        <w:t xml:space="preserve">. </w:t>
      </w:r>
      <w:r w:rsidR="00292262">
        <w:t>T</w:t>
      </w:r>
      <w:r w:rsidR="004B1F02" w:rsidRPr="001970A2">
        <w:t xml:space="preserve">he police also argued that her son had helped the Chechen rebels </w:t>
      </w:r>
      <w:r w:rsidR="00064ACF" w:rsidRPr="001970A2">
        <w:t>and that she had probably also helped them. The author was detained in a prison for about a week, during which she was subjected to torture. The</w:t>
      </w:r>
      <w:r w:rsidR="00292262">
        <w:t xml:space="preserve"> police</w:t>
      </w:r>
      <w:r w:rsidR="00064ACF" w:rsidRPr="001970A2">
        <w:t xml:space="preserve"> told the author to confess to having baked bread </w:t>
      </w:r>
      <w:r w:rsidR="00AE0323">
        <w:t xml:space="preserve">and </w:t>
      </w:r>
      <w:r w:rsidR="005977E9">
        <w:t>supplied</w:t>
      </w:r>
      <w:r w:rsidR="00625A94">
        <w:t xml:space="preserve"> it and other</w:t>
      </w:r>
      <w:r w:rsidR="005977E9">
        <w:t xml:space="preserve"> food</w:t>
      </w:r>
      <w:r w:rsidR="00625A94">
        <w:t xml:space="preserve"> items</w:t>
      </w:r>
      <w:r w:rsidR="005977E9">
        <w:t xml:space="preserve"> to </w:t>
      </w:r>
      <w:r w:rsidR="00064ACF" w:rsidRPr="001970A2">
        <w:t xml:space="preserve">rebels. </w:t>
      </w:r>
      <w:r w:rsidR="00292262">
        <w:t>T</w:t>
      </w:r>
      <w:r w:rsidR="00525CAE">
        <w:t xml:space="preserve">he police </w:t>
      </w:r>
      <w:r w:rsidR="00292262">
        <w:t xml:space="preserve">said </w:t>
      </w:r>
      <w:r w:rsidR="00064ACF" w:rsidRPr="001970A2">
        <w:t xml:space="preserve">that she would not get out alive unless she signed </w:t>
      </w:r>
      <w:r w:rsidR="00525CAE">
        <w:t>what she was asked</w:t>
      </w:r>
      <w:r w:rsidR="00064ACF" w:rsidRPr="001970A2">
        <w:t xml:space="preserve">. She was not accused of doing anything </w:t>
      </w:r>
      <w:r w:rsidR="00292262">
        <w:t>other</w:t>
      </w:r>
      <w:r w:rsidR="00292262" w:rsidRPr="001970A2">
        <w:t xml:space="preserve"> </w:t>
      </w:r>
      <w:r w:rsidR="00064ACF" w:rsidRPr="001970A2">
        <w:t xml:space="preserve">than selling bread to the rebels and helping them by getting </w:t>
      </w:r>
      <w:r w:rsidR="00525CAE">
        <w:t>items</w:t>
      </w:r>
      <w:r w:rsidR="00064ACF" w:rsidRPr="001970A2">
        <w:t xml:space="preserve"> for them. The</w:t>
      </w:r>
      <w:r w:rsidR="00525CAE">
        <w:t xml:space="preserve"> police</w:t>
      </w:r>
      <w:r w:rsidR="00064ACF" w:rsidRPr="001970A2">
        <w:t xml:space="preserve"> </w:t>
      </w:r>
      <w:r w:rsidR="00525CAE">
        <w:t>told her</w:t>
      </w:r>
      <w:r w:rsidR="00064ACF" w:rsidRPr="001970A2">
        <w:t xml:space="preserve"> that they would find and kill anyone who had helped the rebels. The author was beaten all over her body with a baton and was given electrical shocks. Wires were put on </w:t>
      </w:r>
      <w:r w:rsidR="00525CAE">
        <w:t xml:space="preserve">her </w:t>
      </w:r>
      <w:r w:rsidR="00064ACF" w:rsidRPr="001970A2">
        <w:t>fingers and</w:t>
      </w:r>
      <w:r w:rsidR="00625A94">
        <w:t>,</w:t>
      </w:r>
      <w:r w:rsidR="00064ACF" w:rsidRPr="001970A2">
        <w:t xml:space="preserve"> when the handle of the box was turned, she was given electrical shocks.</w:t>
      </w:r>
      <w:r w:rsidR="001459DC">
        <w:t xml:space="preserve"> S</w:t>
      </w:r>
      <w:r w:rsidR="00064ACF" w:rsidRPr="001970A2">
        <w:t xml:space="preserve">he lost consciousness and woke up </w:t>
      </w:r>
      <w:r w:rsidR="00625A94">
        <w:t xml:space="preserve">some time </w:t>
      </w:r>
      <w:r w:rsidR="00064ACF" w:rsidRPr="001970A2">
        <w:t xml:space="preserve">later </w:t>
      </w:r>
      <w:r w:rsidR="00625A94">
        <w:t>in</w:t>
      </w:r>
      <w:r w:rsidR="00064ACF" w:rsidRPr="001970A2">
        <w:t xml:space="preserve"> a hospital. </w:t>
      </w:r>
      <w:r w:rsidR="001459DC">
        <w:t>A</w:t>
      </w:r>
      <w:r w:rsidR="001459DC" w:rsidRPr="001970A2">
        <w:t xml:space="preserve"> </w:t>
      </w:r>
      <w:r w:rsidR="00064ACF" w:rsidRPr="001970A2">
        <w:t>friend of the author’s ni</w:t>
      </w:r>
      <w:r w:rsidR="00625A94">
        <w:t>e</w:t>
      </w:r>
      <w:r w:rsidR="00064ACF" w:rsidRPr="001970A2">
        <w:t>ce, who worked at the hospital, told the author that she had had a heart attack and she helped the author get away from the guards at the hospital using a</w:t>
      </w:r>
      <w:r w:rsidR="00525CAE">
        <w:t>n elevator</w:t>
      </w:r>
      <w:r w:rsidR="00064ACF" w:rsidRPr="001970A2">
        <w:t xml:space="preserve">. It was a large hospital and no one, not even the guards, saw them escape. The author was </w:t>
      </w:r>
      <w:r w:rsidR="00625A94">
        <w:t>put</w:t>
      </w:r>
      <w:r w:rsidR="00625A94" w:rsidRPr="001970A2">
        <w:t xml:space="preserve"> </w:t>
      </w:r>
      <w:r w:rsidR="00064ACF" w:rsidRPr="001970A2">
        <w:t xml:space="preserve">in a taxi, which took her to Ingushetia, where her daughter and son-in-law lived. The author stayed in Ingushetia until 23 March 2013 and subsequently left </w:t>
      </w:r>
      <w:r w:rsidR="00625A94">
        <w:t xml:space="preserve">the </w:t>
      </w:r>
      <w:r w:rsidR="00064ACF" w:rsidRPr="001970A2">
        <w:t>Russia</w:t>
      </w:r>
      <w:r w:rsidR="00625A94">
        <w:t>n Federation</w:t>
      </w:r>
      <w:r w:rsidR="00064ACF" w:rsidRPr="001970A2">
        <w:t xml:space="preserve">. </w:t>
      </w:r>
      <w:r w:rsidR="00AA68CD" w:rsidRPr="001970A2">
        <w:t xml:space="preserve">At </w:t>
      </w:r>
      <w:r w:rsidR="001459DC">
        <w:t>the time of submitting the communication</w:t>
      </w:r>
      <w:r w:rsidR="00064ACF" w:rsidRPr="001970A2">
        <w:t>,</w:t>
      </w:r>
      <w:r w:rsidR="00AA68CD" w:rsidRPr="001970A2">
        <w:t xml:space="preserve"> she</w:t>
      </w:r>
      <w:r w:rsidR="00064ACF" w:rsidRPr="001970A2">
        <w:t xml:space="preserve"> </w:t>
      </w:r>
      <w:r w:rsidR="001459DC">
        <w:t>w</w:t>
      </w:r>
      <w:r w:rsidR="00064ACF" w:rsidRPr="001970A2">
        <w:t xml:space="preserve">as </w:t>
      </w:r>
      <w:r w:rsidR="001459DC">
        <w:t xml:space="preserve">in </w:t>
      </w:r>
      <w:r w:rsidR="00064ACF" w:rsidRPr="001970A2">
        <w:t xml:space="preserve">contact with her family, including her brother and her daughters. </w:t>
      </w:r>
      <w:r w:rsidR="00525CAE">
        <w:t xml:space="preserve">Her </w:t>
      </w:r>
      <w:r w:rsidR="00064ACF" w:rsidRPr="001970A2">
        <w:t xml:space="preserve">family </w:t>
      </w:r>
      <w:r w:rsidR="00292262">
        <w:t xml:space="preserve">has </w:t>
      </w:r>
      <w:r w:rsidR="00525CAE">
        <w:t xml:space="preserve">informed </w:t>
      </w:r>
      <w:r w:rsidR="00064ACF" w:rsidRPr="001970A2">
        <w:t>her that the authorities are still asking for he</w:t>
      </w:r>
      <w:r w:rsidR="00AA68CD" w:rsidRPr="001970A2">
        <w:t xml:space="preserve">r and her son’s </w:t>
      </w:r>
      <w:r w:rsidR="00064ACF" w:rsidRPr="001970A2">
        <w:t>whereabouts.</w:t>
      </w:r>
    </w:p>
    <w:p w:rsidR="00570C29" w:rsidRPr="001970A2" w:rsidRDefault="00570C29">
      <w:pPr>
        <w:pStyle w:val="SingleTxtG"/>
      </w:pPr>
      <w:r w:rsidRPr="001970A2">
        <w:t>4.</w:t>
      </w:r>
      <w:r w:rsidR="00491223">
        <w:t>7</w:t>
      </w:r>
      <w:r w:rsidRPr="001970A2">
        <w:tab/>
      </w:r>
      <w:r w:rsidR="00292262">
        <w:t>With respect to</w:t>
      </w:r>
      <w:r w:rsidRPr="001970A2">
        <w:t xml:space="preserve"> the author’s detention in November 2012, the State party agrees </w:t>
      </w:r>
      <w:r w:rsidR="00292262">
        <w:t>with</w:t>
      </w:r>
      <w:r w:rsidR="00292262" w:rsidRPr="001970A2">
        <w:t xml:space="preserve"> </w:t>
      </w:r>
      <w:r w:rsidRPr="001970A2">
        <w:t xml:space="preserve">the assessment made by the Refugee Appeals Board that </w:t>
      </w:r>
      <w:r w:rsidR="00C51D20">
        <w:t>th</w:t>
      </w:r>
      <w:r w:rsidR="00C953AD">
        <w:t>e</w:t>
      </w:r>
      <w:r w:rsidR="00C51D20">
        <w:t xml:space="preserve"> information</w:t>
      </w:r>
      <w:r w:rsidR="00C51D20" w:rsidRPr="001970A2">
        <w:t xml:space="preserve"> </w:t>
      </w:r>
      <w:r w:rsidRPr="001970A2">
        <w:t>cannot be accepted because the events described</w:t>
      </w:r>
      <w:r w:rsidR="00050D1F">
        <w:t>,</w:t>
      </w:r>
      <w:r w:rsidRPr="001970A2">
        <w:t xml:space="preserve"> </w:t>
      </w:r>
      <w:r w:rsidR="00C953AD">
        <w:t>both</w:t>
      </w:r>
      <w:r w:rsidR="00C953AD" w:rsidRPr="001970A2">
        <w:t xml:space="preserve"> seen in isolation</w:t>
      </w:r>
      <w:r w:rsidR="00050D1F">
        <w:t>,</w:t>
      </w:r>
      <w:r w:rsidR="00C953AD" w:rsidRPr="001970A2">
        <w:t xml:space="preserve"> </w:t>
      </w:r>
      <w:r w:rsidRPr="001970A2">
        <w:t>appear unlikely</w:t>
      </w:r>
      <w:r w:rsidR="00E87AC8">
        <w:t>,</w:t>
      </w:r>
      <w:r w:rsidRPr="001970A2">
        <w:t xml:space="preserve"> particularly in view of the information given by the author on her personal circumstances, including events after her son’s departure in 2010 and </w:t>
      </w:r>
      <w:r w:rsidR="00C51D20">
        <w:t xml:space="preserve">other </w:t>
      </w:r>
      <w:r w:rsidRPr="001970A2">
        <w:t xml:space="preserve">background information. </w:t>
      </w:r>
      <w:r w:rsidR="00C51D20">
        <w:t xml:space="preserve">The State party </w:t>
      </w:r>
      <w:r w:rsidRPr="001970A2">
        <w:t>observes that</w:t>
      </w:r>
      <w:r w:rsidR="00C953AD">
        <w:t>,</w:t>
      </w:r>
      <w:r w:rsidR="00C953AD" w:rsidRPr="00C953AD">
        <w:t xml:space="preserve"> </w:t>
      </w:r>
      <w:r w:rsidR="00C953AD" w:rsidRPr="001970A2">
        <w:t xml:space="preserve">according to the information </w:t>
      </w:r>
      <w:r w:rsidR="00C953AD">
        <w:t xml:space="preserve">she </w:t>
      </w:r>
      <w:r w:rsidR="00C953AD" w:rsidRPr="001970A2">
        <w:t>submitted</w:t>
      </w:r>
      <w:r w:rsidR="00C953AD">
        <w:t>,</w:t>
      </w:r>
      <w:r w:rsidRPr="001970A2">
        <w:t xml:space="preserve"> the author has not had any connection</w:t>
      </w:r>
      <w:r w:rsidR="00C51D20">
        <w:t xml:space="preserve"> with</w:t>
      </w:r>
      <w:r w:rsidRPr="001970A2">
        <w:t xml:space="preserve"> the Chechen rebels</w:t>
      </w:r>
      <w:r w:rsidR="008B1C9C">
        <w:t xml:space="preserve">. </w:t>
      </w:r>
      <w:r w:rsidRPr="001970A2">
        <w:t>She therefore appears to be a low-profile individual. It appear</w:t>
      </w:r>
      <w:r w:rsidR="00990A1A" w:rsidRPr="001970A2">
        <w:t>s</w:t>
      </w:r>
      <w:r w:rsidRPr="001970A2">
        <w:t xml:space="preserve"> unconvincing that </w:t>
      </w:r>
      <w:r w:rsidR="00C51D20">
        <w:t>the author</w:t>
      </w:r>
      <w:r w:rsidR="00C51D20" w:rsidRPr="001970A2">
        <w:t xml:space="preserve"> </w:t>
      </w:r>
      <w:r w:rsidRPr="001970A2">
        <w:t xml:space="preserve">would have become a person of interest to the authorities merely for having sold bread outside her home to passers-by whose identity </w:t>
      </w:r>
      <w:r w:rsidR="00525CAE">
        <w:t>she ignored</w:t>
      </w:r>
      <w:r w:rsidRPr="001970A2">
        <w:t>.</w:t>
      </w:r>
      <w:r w:rsidR="00990A1A" w:rsidRPr="001970A2">
        <w:t xml:space="preserve"> It also appears unlikely that </w:t>
      </w:r>
      <w:r w:rsidR="00C51D20">
        <w:t>she</w:t>
      </w:r>
      <w:r w:rsidR="00C51D20" w:rsidRPr="001970A2">
        <w:t xml:space="preserve"> </w:t>
      </w:r>
      <w:r w:rsidR="00990A1A" w:rsidRPr="001970A2">
        <w:t>was able to leave the intensive care unit dressed in a staff uniform with help from an acquaintance without being noticed by anybody</w:t>
      </w:r>
      <w:r w:rsidR="00E87AC8">
        <w:t>,</w:t>
      </w:r>
      <w:r w:rsidR="00990A1A" w:rsidRPr="001970A2">
        <w:t xml:space="preserve"> considering that she was 58 years old at that time and had, according to her own statement, been subjected to torture, including blows and electric shocks, while detained by the police for a week, the consequence being that she lost consciousness and had, according to the hospital staff, suffered a heart attack.</w:t>
      </w:r>
      <w:r w:rsidR="002C5EB6" w:rsidRPr="001970A2">
        <w:t xml:space="preserve"> Finally, it seems unlikely that the authorities would have used as many resources as stated by the author to search for her after her escape and that she could stay two months in Ingushetia without being contacted by them. </w:t>
      </w:r>
    </w:p>
    <w:p w:rsidR="002C5EB6" w:rsidRPr="001970A2" w:rsidRDefault="002C5EB6">
      <w:pPr>
        <w:pStyle w:val="SingleTxtG"/>
      </w:pPr>
      <w:r w:rsidRPr="001970A2">
        <w:t>4.</w:t>
      </w:r>
      <w:r w:rsidR="00491223">
        <w:t>8</w:t>
      </w:r>
      <w:r w:rsidRPr="001970A2">
        <w:tab/>
      </w:r>
      <w:r w:rsidR="00C51D20">
        <w:t>With respect to</w:t>
      </w:r>
      <w:r w:rsidR="00945E1A" w:rsidRPr="0077669B">
        <w:t xml:space="preserve"> the</w:t>
      </w:r>
      <w:r w:rsidR="00945E1A" w:rsidRPr="001970A2">
        <w:t xml:space="preserve"> documents produced, the State party observes that the Refugee Appeals Board considered the alleged summons</w:t>
      </w:r>
      <w:r w:rsidR="00F86752">
        <w:t>es</w:t>
      </w:r>
      <w:r w:rsidR="00945E1A" w:rsidRPr="001970A2">
        <w:t>, the letter from the author’s neighbour, the alleged notice of the author as a wanted person and the letter from the Chech</w:t>
      </w:r>
      <w:r w:rsidR="00F471CF">
        <w:t>e</w:t>
      </w:r>
      <w:r w:rsidR="00945E1A" w:rsidRPr="001970A2">
        <w:t xml:space="preserve">n </w:t>
      </w:r>
      <w:r w:rsidR="005F10E7">
        <w:t>o</w:t>
      </w:r>
      <w:r w:rsidR="00945E1A" w:rsidRPr="001970A2">
        <w:t xml:space="preserve">rganization </w:t>
      </w:r>
      <w:r w:rsidR="00B61253" w:rsidRPr="001970A2">
        <w:t xml:space="preserve">Objective </w:t>
      </w:r>
      <w:r w:rsidR="00945E1A" w:rsidRPr="001970A2">
        <w:t xml:space="preserve">and found that it could not attach any evidential importance to the documents because, based on their contents and the time of their appearance, they appeared fabricated for the occasion. The Board found that the author had failed to give a reasonable explanation </w:t>
      </w:r>
      <w:r w:rsidR="005F10E7">
        <w:t>of</w:t>
      </w:r>
      <w:r w:rsidR="005F10E7" w:rsidRPr="001970A2">
        <w:t xml:space="preserve"> </w:t>
      </w:r>
      <w:r w:rsidR="00945E1A" w:rsidRPr="001970A2">
        <w:t xml:space="preserve">why she had not produced documentation in support of her </w:t>
      </w:r>
      <w:r w:rsidR="005F10E7">
        <w:t>request</w:t>
      </w:r>
      <w:r w:rsidR="005F10E7" w:rsidRPr="001970A2">
        <w:t xml:space="preserve"> </w:t>
      </w:r>
      <w:r w:rsidR="00945E1A" w:rsidRPr="001970A2">
        <w:t>for asylum earlier</w:t>
      </w:r>
      <w:r w:rsidR="005F10E7">
        <w:t>,</w:t>
      </w:r>
      <w:r w:rsidR="00A61B6E" w:rsidRPr="00FC440B">
        <w:rPr>
          <w:rStyle w:val="FootnoteReference"/>
          <w:sz w:val="20"/>
        </w:rPr>
        <w:footnoteReference w:id="11"/>
      </w:r>
      <w:r w:rsidR="00945E1A" w:rsidRPr="005F10E7">
        <w:t xml:space="preserve"> </w:t>
      </w:r>
      <w:r w:rsidR="00945E1A" w:rsidRPr="001970A2">
        <w:t>considering that she had had regular contact with her family in her country of origin after her entry in Denmark in March 2013</w:t>
      </w:r>
      <w:r w:rsidR="001C0F4C">
        <w:t>.</w:t>
      </w:r>
      <w:r w:rsidR="00E05EA3">
        <w:t xml:space="preserve"> </w:t>
      </w:r>
      <w:r w:rsidR="001C0F4C">
        <w:t>T</w:t>
      </w:r>
      <w:r w:rsidR="00375570" w:rsidRPr="001970A2">
        <w:t>he alleged summons</w:t>
      </w:r>
      <w:r w:rsidR="00F86752">
        <w:t>es</w:t>
      </w:r>
      <w:r w:rsidR="00375570" w:rsidRPr="001970A2">
        <w:t xml:space="preserve"> and wanted person notice</w:t>
      </w:r>
      <w:r w:rsidR="001C0F4C">
        <w:t xml:space="preserve"> </w:t>
      </w:r>
      <w:r w:rsidR="005F10E7">
        <w:t xml:space="preserve">too </w:t>
      </w:r>
      <w:r w:rsidR="00E05EA3">
        <w:t>were</w:t>
      </w:r>
      <w:r w:rsidR="00375570" w:rsidRPr="001970A2">
        <w:t xml:space="preserve"> undated and</w:t>
      </w:r>
      <w:r w:rsidR="005F10E7">
        <w:t>,</w:t>
      </w:r>
      <w:r w:rsidR="00375570" w:rsidRPr="001970A2">
        <w:t xml:space="preserve"> based on their language and contents</w:t>
      </w:r>
      <w:r w:rsidR="005F10E7">
        <w:t>,</w:t>
      </w:r>
      <w:r w:rsidR="005F10E7" w:rsidRPr="005F10E7">
        <w:t xml:space="preserve"> </w:t>
      </w:r>
      <w:r w:rsidR="005F10E7" w:rsidRPr="001970A2">
        <w:t>appeared not to be genuine</w:t>
      </w:r>
      <w:r w:rsidR="00945E1A" w:rsidRPr="001970A2">
        <w:t>.</w:t>
      </w:r>
      <w:r w:rsidR="00812D45" w:rsidRPr="001970A2">
        <w:t xml:space="preserve"> Therefore, the State party </w:t>
      </w:r>
      <w:r w:rsidR="005F10E7">
        <w:t>cannot accord</w:t>
      </w:r>
      <w:r w:rsidR="00812D45" w:rsidRPr="001970A2">
        <w:t xml:space="preserve"> said documents any evidentiary value. </w:t>
      </w:r>
    </w:p>
    <w:p w:rsidR="009809DF" w:rsidRPr="001970A2" w:rsidRDefault="009809DF">
      <w:pPr>
        <w:pStyle w:val="SingleTxtG"/>
      </w:pPr>
      <w:r w:rsidRPr="001970A2">
        <w:t>4.</w:t>
      </w:r>
      <w:r w:rsidR="00491223">
        <w:t>9</w:t>
      </w:r>
      <w:r w:rsidRPr="001970A2">
        <w:tab/>
      </w:r>
      <w:r w:rsidR="001C0F4C">
        <w:t>With respect to</w:t>
      </w:r>
      <w:r w:rsidRPr="001970A2">
        <w:t xml:space="preserve"> the submissions made by the author’s counsel that the Refugee Appeals Board failed to request an examination for signs of torture despite </w:t>
      </w:r>
      <w:r w:rsidR="001C0F4C">
        <w:t>the author’s</w:t>
      </w:r>
      <w:r w:rsidR="001C0F4C" w:rsidRPr="001970A2">
        <w:t xml:space="preserve"> </w:t>
      </w:r>
      <w:r w:rsidRPr="001970A2">
        <w:t xml:space="preserve">consent, the State party observes that </w:t>
      </w:r>
      <w:r w:rsidR="001C0F4C">
        <w:t>when</w:t>
      </w:r>
      <w:r w:rsidRPr="001970A2">
        <w:t xml:space="preserve"> the Refugee Appeals Board considers an asylum</w:t>
      </w:r>
      <w:r w:rsidR="005F3451">
        <w:t xml:space="preserve"> </w:t>
      </w:r>
      <w:r w:rsidRPr="001970A2">
        <w:t xml:space="preserve">seeker to fall </w:t>
      </w:r>
      <w:r w:rsidR="005F3451">
        <w:t>under</w:t>
      </w:r>
      <w:r w:rsidR="005F3451" w:rsidRPr="001970A2">
        <w:t xml:space="preserve"> </w:t>
      </w:r>
      <w:r w:rsidRPr="001970A2">
        <w:t>section 7 of the Aliens Act, the Board may decide to adjourn proceedings pending the examination of the asylum</w:t>
      </w:r>
      <w:r w:rsidR="005F3451">
        <w:t xml:space="preserve"> </w:t>
      </w:r>
      <w:r w:rsidRPr="001970A2">
        <w:t>seeker for signs of torture</w:t>
      </w:r>
      <w:r w:rsidR="005F3451" w:rsidRPr="005F3451">
        <w:t xml:space="preserve"> </w:t>
      </w:r>
      <w:r w:rsidR="005F3451">
        <w:t>even when it</w:t>
      </w:r>
      <w:r w:rsidR="005F3451" w:rsidRPr="001970A2">
        <w:t xml:space="preserve"> finds </w:t>
      </w:r>
      <w:r w:rsidR="005F3451">
        <w:t>the person’s</w:t>
      </w:r>
      <w:r w:rsidR="005F3451" w:rsidRPr="001970A2">
        <w:t xml:space="preserve"> statements</w:t>
      </w:r>
      <w:r w:rsidR="005F3451">
        <w:t xml:space="preserve">, </w:t>
      </w:r>
      <w:r w:rsidR="005F3451" w:rsidRPr="001C0F4C">
        <w:t xml:space="preserve">including those relating to torture, </w:t>
      </w:r>
      <w:r w:rsidR="005F3451">
        <w:t xml:space="preserve">to be </w:t>
      </w:r>
      <w:r w:rsidR="005F3451" w:rsidRPr="001970A2">
        <w:t>subject to some uncertainty</w:t>
      </w:r>
      <w:r w:rsidRPr="001970A2">
        <w:t xml:space="preserve">. The Board normally does not order </w:t>
      </w:r>
      <w:r w:rsidR="00E05EA3">
        <w:t xml:space="preserve">such </w:t>
      </w:r>
      <w:r w:rsidRPr="001970A2">
        <w:t>an examination whe</w:t>
      </w:r>
      <w:r w:rsidR="005F3451">
        <w:t>n</w:t>
      </w:r>
      <w:r w:rsidRPr="001970A2">
        <w:t xml:space="preserve"> the asylum</w:t>
      </w:r>
      <w:r w:rsidR="005F3451">
        <w:t xml:space="preserve"> </w:t>
      </w:r>
      <w:r w:rsidRPr="001970A2">
        <w:t>seeker has appeared no</w:t>
      </w:r>
      <w:r w:rsidR="004F3888" w:rsidRPr="001970A2">
        <w:t xml:space="preserve">t </w:t>
      </w:r>
      <w:r w:rsidRPr="001970A2">
        <w:t>credible throughout the proceedings and the Board therefore has to reject the asylum</w:t>
      </w:r>
      <w:r w:rsidR="005F3451">
        <w:t xml:space="preserve"> </w:t>
      </w:r>
      <w:r w:rsidRPr="001970A2">
        <w:t xml:space="preserve">seeker’s statement about torture in its entirety. </w:t>
      </w:r>
      <w:r w:rsidR="001C0F4C">
        <w:t>Because</w:t>
      </w:r>
      <w:r w:rsidR="001C0F4C" w:rsidRPr="001970A2">
        <w:t xml:space="preserve"> </w:t>
      </w:r>
      <w:r w:rsidRPr="001970A2">
        <w:t>the Board could not accept as fact the information provided by the author concerning her grounds for</w:t>
      </w:r>
      <w:r w:rsidR="005F3451">
        <w:t xml:space="preserve"> seeking</w:t>
      </w:r>
      <w:r w:rsidRPr="001970A2">
        <w:t xml:space="preserve"> asylum</w:t>
      </w:r>
      <w:r w:rsidR="00E05EA3">
        <w:t xml:space="preserve">, it </w:t>
      </w:r>
      <w:r w:rsidRPr="001970A2">
        <w:t>has not requested an examination of the author for signs of torture.</w:t>
      </w:r>
    </w:p>
    <w:p w:rsidR="00132968" w:rsidRPr="001970A2" w:rsidRDefault="00132968">
      <w:pPr>
        <w:pStyle w:val="SingleTxtG"/>
      </w:pPr>
      <w:r w:rsidRPr="001970A2">
        <w:t>4.1</w:t>
      </w:r>
      <w:r w:rsidR="00491223">
        <w:t>0</w:t>
      </w:r>
      <w:r w:rsidRPr="001970A2">
        <w:tab/>
        <w:t xml:space="preserve">The Board made a thorough assessment of the author’s credibility and found that </w:t>
      </w:r>
      <w:r w:rsidR="00E05EA3">
        <w:t>s</w:t>
      </w:r>
      <w:r w:rsidRPr="001970A2">
        <w:t xml:space="preserve">he had failed to </w:t>
      </w:r>
      <w:r w:rsidR="001C0F4C">
        <w:t xml:space="preserve">establish </w:t>
      </w:r>
      <w:r w:rsidR="005F3451">
        <w:t>a</w:t>
      </w:r>
      <w:r w:rsidRPr="001970A2">
        <w:t xml:space="preserve"> probable risk </w:t>
      </w:r>
      <w:r w:rsidR="005F3451">
        <w:t xml:space="preserve">of </w:t>
      </w:r>
      <w:r w:rsidRPr="001970A2">
        <w:t xml:space="preserve">persecution or abuse </w:t>
      </w:r>
      <w:r w:rsidR="00E05EA3">
        <w:t xml:space="preserve">in </w:t>
      </w:r>
      <w:r w:rsidR="005F3451">
        <w:t xml:space="preserve">the </w:t>
      </w:r>
      <w:r w:rsidR="00E05EA3">
        <w:t>Russia</w:t>
      </w:r>
      <w:r w:rsidR="005F3451">
        <w:t>n Federation, which would</w:t>
      </w:r>
      <w:r w:rsidR="00E05EA3">
        <w:t xml:space="preserve"> </w:t>
      </w:r>
      <w:r w:rsidRPr="001970A2">
        <w:t xml:space="preserve">justify asylum. The author’s communication to the Committee merely </w:t>
      </w:r>
      <w:r w:rsidR="00E05EA3">
        <w:t>show</w:t>
      </w:r>
      <w:r w:rsidR="000A1852">
        <w:t>ed</w:t>
      </w:r>
      <w:r w:rsidR="00E05EA3">
        <w:t xml:space="preserve"> </w:t>
      </w:r>
      <w:r w:rsidRPr="001970A2">
        <w:t>he</w:t>
      </w:r>
      <w:r w:rsidR="00E05EA3">
        <w:t>r</w:t>
      </w:r>
      <w:r w:rsidRPr="001970A2">
        <w:t xml:space="preserve"> </w:t>
      </w:r>
      <w:r w:rsidR="00E05EA3">
        <w:t>disagreement</w:t>
      </w:r>
      <w:r w:rsidRPr="001970A2">
        <w:t xml:space="preserve"> </w:t>
      </w:r>
      <w:r w:rsidR="00E05EA3">
        <w:t xml:space="preserve">with </w:t>
      </w:r>
      <w:r w:rsidRPr="001970A2">
        <w:t>the assessment made by the Board. She failed to identify any irregularity in the decision-making process or any risk factors that the Board had failed to take properly into account.</w:t>
      </w:r>
      <w:r w:rsidR="005D3C32" w:rsidRPr="001970A2">
        <w:t xml:space="preserve"> The </w:t>
      </w:r>
      <w:r w:rsidR="00E05EA3">
        <w:t xml:space="preserve">State party believes that the </w:t>
      </w:r>
      <w:r w:rsidR="005D3C32" w:rsidRPr="001970A2">
        <w:t xml:space="preserve">author is </w:t>
      </w:r>
      <w:r w:rsidR="000A1852">
        <w:t xml:space="preserve">actually </w:t>
      </w:r>
      <w:r w:rsidR="005D3C32" w:rsidRPr="001970A2">
        <w:t xml:space="preserve">attempting to use the Committee as an appellate body </w:t>
      </w:r>
      <w:r w:rsidR="00E05EA3">
        <w:t xml:space="preserve">and </w:t>
      </w:r>
      <w:r w:rsidR="005D3C32" w:rsidRPr="001970A2">
        <w:t xml:space="preserve">have the factual circumstances of her case reassessed. The Committee must give considerable weight to the facts found by the </w:t>
      </w:r>
      <w:r w:rsidR="00E05EA3">
        <w:t xml:space="preserve">national authorities and the </w:t>
      </w:r>
      <w:r w:rsidR="005D3C32" w:rsidRPr="001970A2">
        <w:t xml:space="preserve">Refugee Appeals Board, which is better placed to assess </w:t>
      </w:r>
      <w:r w:rsidR="00E05EA3">
        <w:t xml:space="preserve">all </w:t>
      </w:r>
      <w:r w:rsidR="005D3C32" w:rsidRPr="001970A2">
        <w:t xml:space="preserve">the factual circumstances of the author’s case. </w:t>
      </w:r>
    </w:p>
    <w:p w:rsidR="000128E3" w:rsidRPr="001970A2" w:rsidRDefault="008F4C04" w:rsidP="00042EAF">
      <w:pPr>
        <w:pStyle w:val="H23G"/>
      </w:pPr>
      <w:r w:rsidRPr="001970A2">
        <w:tab/>
      </w:r>
      <w:r w:rsidRPr="001970A2">
        <w:tab/>
      </w:r>
      <w:r w:rsidR="00784231" w:rsidRPr="001970A2">
        <w:t>Author</w:t>
      </w:r>
      <w:r w:rsidR="000128E3" w:rsidRPr="001970A2">
        <w:t>s</w:t>
      </w:r>
      <w:r w:rsidR="00784231" w:rsidRPr="001970A2">
        <w:t>’</w:t>
      </w:r>
      <w:r w:rsidR="000128E3" w:rsidRPr="001970A2">
        <w:t xml:space="preserve"> comments on the State </w:t>
      </w:r>
      <w:r w:rsidR="000128E3" w:rsidRPr="00042EAF">
        <w:t>party’s</w:t>
      </w:r>
      <w:r w:rsidR="000128E3" w:rsidRPr="001970A2">
        <w:t xml:space="preserve"> observations</w:t>
      </w:r>
    </w:p>
    <w:p w:rsidR="007A2462" w:rsidRPr="001970A2" w:rsidRDefault="00381975">
      <w:pPr>
        <w:pStyle w:val="SingleTxtG"/>
      </w:pPr>
      <w:r w:rsidRPr="001970A2">
        <w:t>5.</w:t>
      </w:r>
      <w:r w:rsidR="007A2462" w:rsidRPr="001970A2">
        <w:t>1</w:t>
      </w:r>
      <w:r w:rsidR="000128E3" w:rsidRPr="001970A2">
        <w:tab/>
      </w:r>
      <w:r w:rsidR="003335F5" w:rsidRPr="001970A2">
        <w:t xml:space="preserve">In </w:t>
      </w:r>
      <w:r w:rsidR="00062F62" w:rsidRPr="001970A2">
        <w:t>her comments of 23 February 2015</w:t>
      </w:r>
      <w:r w:rsidR="0026447F" w:rsidRPr="001970A2">
        <w:t>,</w:t>
      </w:r>
      <w:r w:rsidR="00956A6B" w:rsidRPr="001970A2">
        <w:t xml:space="preserve"> the author </w:t>
      </w:r>
      <w:r w:rsidR="00A72A97">
        <w:t>state</w:t>
      </w:r>
      <w:r w:rsidR="000A1852">
        <w:t>s</w:t>
      </w:r>
      <w:r w:rsidR="00A72A97" w:rsidRPr="001970A2">
        <w:t xml:space="preserve"> </w:t>
      </w:r>
      <w:r w:rsidR="00062F62" w:rsidRPr="001970A2">
        <w:t>that</w:t>
      </w:r>
      <w:r w:rsidR="000A1852">
        <w:t>,</w:t>
      </w:r>
      <w:r w:rsidR="00062F62" w:rsidRPr="001970A2">
        <w:t xml:space="preserve"> according to information from </w:t>
      </w:r>
      <w:r w:rsidR="00E05EA3">
        <w:t xml:space="preserve">her </w:t>
      </w:r>
      <w:r w:rsidR="00062F62" w:rsidRPr="001970A2">
        <w:t>neighbours</w:t>
      </w:r>
      <w:r w:rsidR="00E05EA3">
        <w:t>,</w:t>
      </w:r>
      <w:r w:rsidR="00062F62" w:rsidRPr="001970A2">
        <w:t xml:space="preserve"> the authorities in Chechnya </w:t>
      </w:r>
      <w:r w:rsidR="007A2462" w:rsidRPr="001970A2">
        <w:t xml:space="preserve">(both federal and local) </w:t>
      </w:r>
      <w:r w:rsidR="00062F62" w:rsidRPr="001970A2">
        <w:t xml:space="preserve">keep monitoring her house. </w:t>
      </w:r>
      <w:r w:rsidR="007A2462" w:rsidRPr="001970A2">
        <w:t xml:space="preserve">The local police and federal authorities have </w:t>
      </w:r>
      <w:r w:rsidR="001459DC">
        <w:t xml:space="preserve">also </w:t>
      </w:r>
      <w:r w:rsidR="007A2462" w:rsidRPr="001970A2">
        <w:t>asked the author’s brother about her whereabouts but have not delivered any written summons</w:t>
      </w:r>
      <w:r w:rsidR="001459DC">
        <w:t>es</w:t>
      </w:r>
      <w:r w:rsidR="007A2462" w:rsidRPr="001970A2">
        <w:t xml:space="preserve"> to him.</w:t>
      </w:r>
    </w:p>
    <w:p w:rsidR="003951ED" w:rsidRPr="001970A2" w:rsidRDefault="007A2462">
      <w:pPr>
        <w:pStyle w:val="SingleTxtG"/>
      </w:pPr>
      <w:r w:rsidRPr="001970A2">
        <w:t>5.2</w:t>
      </w:r>
      <w:r w:rsidRPr="001970A2">
        <w:tab/>
      </w:r>
      <w:r w:rsidR="003951ED" w:rsidRPr="001970A2">
        <w:t>With regard to the summons</w:t>
      </w:r>
      <w:r w:rsidR="00F86752">
        <w:t>es</w:t>
      </w:r>
      <w:r w:rsidR="003951ED" w:rsidRPr="001970A2">
        <w:t xml:space="preserve">, </w:t>
      </w:r>
      <w:r w:rsidR="00CC583F">
        <w:t>s</w:t>
      </w:r>
      <w:r w:rsidR="003951ED" w:rsidRPr="001970A2">
        <w:t xml:space="preserve">he claims that she delivered </w:t>
      </w:r>
      <w:r w:rsidR="001F4014">
        <w:t>th</w:t>
      </w:r>
      <w:r w:rsidR="00F86752">
        <w:t>e</w:t>
      </w:r>
      <w:r w:rsidR="000A1852">
        <w:t>m</w:t>
      </w:r>
      <w:r w:rsidR="001F4014">
        <w:t xml:space="preserve"> </w:t>
      </w:r>
      <w:r w:rsidR="003951ED" w:rsidRPr="001970A2">
        <w:t xml:space="preserve">to the State party’s authorities as soon as she received </w:t>
      </w:r>
      <w:r w:rsidR="00F86752">
        <w:t>them</w:t>
      </w:r>
      <w:r w:rsidR="003951ED" w:rsidRPr="001970A2">
        <w:t xml:space="preserve"> and that she </w:t>
      </w:r>
      <w:r w:rsidR="00355F14">
        <w:t>had not known about</w:t>
      </w:r>
      <w:r w:rsidR="00CC583F">
        <w:t xml:space="preserve"> </w:t>
      </w:r>
      <w:r w:rsidR="00F86752">
        <w:t>their</w:t>
      </w:r>
      <w:r w:rsidR="00CC583F">
        <w:t xml:space="preserve"> existence </w:t>
      </w:r>
      <w:r w:rsidR="003951ED" w:rsidRPr="001970A2">
        <w:t>at an earlier stage. The summons</w:t>
      </w:r>
      <w:r w:rsidR="00F86752">
        <w:t>es</w:t>
      </w:r>
      <w:r w:rsidR="003951ED" w:rsidRPr="001970A2">
        <w:t xml:space="preserve"> </w:t>
      </w:r>
      <w:r w:rsidR="0096207C">
        <w:t>w</w:t>
      </w:r>
      <w:r w:rsidR="00F86752">
        <w:t>ere</w:t>
      </w:r>
      <w:r w:rsidR="0096207C" w:rsidRPr="001970A2">
        <w:t xml:space="preserve"> </w:t>
      </w:r>
      <w:r w:rsidR="0096207C">
        <w:t>given</w:t>
      </w:r>
      <w:r w:rsidR="003951ED" w:rsidRPr="001970A2">
        <w:t xml:space="preserve"> to the author’s brother</w:t>
      </w:r>
      <w:r w:rsidR="000A1852">
        <w:t>,</w:t>
      </w:r>
      <w:r w:rsidR="00CC583F">
        <w:t xml:space="preserve"> who </w:t>
      </w:r>
      <w:r w:rsidR="0096207C">
        <w:t xml:space="preserve">gave </w:t>
      </w:r>
      <w:r w:rsidR="00F86752">
        <w:t>them</w:t>
      </w:r>
      <w:r w:rsidR="0096207C">
        <w:t xml:space="preserve"> </w:t>
      </w:r>
      <w:r w:rsidR="00CC583F">
        <w:t>to her daughter</w:t>
      </w:r>
      <w:r w:rsidR="00A72A97">
        <w:t xml:space="preserve">, </w:t>
      </w:r>
      <w:r w:rsidR="0096207C">
        <w:t>but</w:t>
      </w:r>
      <w:r w:rsidR="00CC583F">
        <w:t xml:space="preserve"> </w:t>
      </w:r>
      <w:r w:rsidR="00A72A97">
        <w:t>h</w:t>
      </w:r>
      <w:r w:rsidR="003951ED" w:rsidRPr="001970A2">
        <w:t>er daughter visit</w:t>
      </w:r>
      <w:r w:rsidR="00CC583F">
        <w:t>s</w:t>
      </w:r>
      <w:r w:rsidR="003951ED" w:rsidRPr="001970A2">
        <w:t xml:space="preserve"> Chechnya</w:t>
      </w:r>
      <w:r w:rsidR="00CC583F">
        <w:t xml:space="preserve"> only</w:t>
      </w:r>
      <w:r w:rsidR="003951ED" w:rsidRPr="001970A2">
        <w:t xml:space="preserve"> every </w:t>
      </w:r>
      <w:r w:rsidR="00CC583F">
        <w:t>second</w:t>
      </w:r>
      <w:r w:rsidR="003951ED" w:rsidRPr="001970A2">
        <w:t xml:space="preserve"> month. </w:t>
      </w:r>
    </w:p>
    <w:p w:rsidR="003951ED" w:rsidRPr="001970A2" w:rsidRDefault="003951ED">
      <w:pPr>
        <w:pStyle w:val="SingleTxtG"/>
      </w:pPr>
      <w:r w:rsidRPr="001970A2">
        <w:t>5.3</w:t>
      </w:r>
      <w:r w:rsidRPr="001970A2">
        <w:tab/>
        <w:t>The author also claims that</w:t>
      </w:r>
      <w:r w:rsidR="000A1852">
        <w:t>,</w:t>
      </w:r>
      <w:r w:rsidRPr="001970A2">
        <w:t xml:space="preserve"> </w:t>
      </w:r>
      <w:r w:rsidR="00DE3232" w:rsidRPr="001970A2">
        <w:t xml:space="preserve">in 2010, after her son escaped to Denmark, </w:t>
      </w:r>
      <w:r w:rsidRPr="001970A2">
        <w:t>she fled to Ingushetia</w:t>
      </w:r>
      <w:r w:rsidR="000A1852">
        <w:t>,</w:t>
      </w:r>
      <w:r w:rsidRPr="001970A2">
        <w:t xml:space="preserve"> where her daughter and son-in-law lived, because the authorities continually came and </w:t>
      </w:r>
      <w:r w:rsidR="000A1852">
        <w:t>inquired about</w:t>
      </w:r>
      <w:r w:rsidRPr="001970A2">
        <w:t xml:space="preserve"> her son. At the time</w:t>
      </w:r>
      <w:r w:rsidR="000A1852">
        <w:t>,</w:t>
      </w:r>
      <w:r w:rsidRPr="001970A2">
        <w:t xml:space="preserve"> the authorities were not pursuing her, only her son, but she feared that </w:t>
      </w:r>
      <w:r w:rsidR="000A1852">
        <w:t>“</w:t>
      </w:r>
      <w:r w:rsidRPr="001970A2">
        <w:t>they would suddenly start causing problems for her</w:t>
      </w:r>
      <w:r w:rsidR="00CC583F">
        <w:t>”</w:t>
      </w:r>
      <w:r w:rsidRPr="001970A2">
        <w:t>, as they often c</w:t>
      </w:r>
      <w:r w:rsidR="001459DC">
        <w:t>a</w:t>
      </w:r>
      <w:r w:rsidRPr="001970A2">
        <w:t>me after close family members of former rebels.</w:t>
      </w:r>
      <w:r w:rsidR="00942EE6" w:rsidRPr="001970A2">
        <w:t xml:space="preserve"> The author thus felt harassed by the authorities, although </w:t>
      </w:r>
      <w:r w:rsidR="001459DC">
        <w:t>she was not</w:t>
      </w:r>
      <w:r w:rsidR="001459DC" w:rsidRPr="001970A2">
        <w:t xml:space="preserve"> </w:t>
      </w:r>
      <w:r w:rsidR="00942EE6" w:rsidRPr="001970A2">
        <w:t>actual</w:t>
      </w:r>
      <w:r w:rsidR="001459DC">
        <w:t>ly</w:t>
      </w:r>
      <w:r w:rsidR="00942EE6" w:rsidRPr="001970A2">
        <w:t xml:space="preserve"> assault</w:t>
      </w:r>
      <w:r w:rsidR="001459DC">
        <w:t>ed</w:t>
      </w:r>
      <w:r w:rsidR="00942EE6" w:rsidRPr="001970A2">
        <w:t xml:space="preserve"> at that time</w:t>
      </w:r>
      <w:r w:rsidRPr="001970A2">
        <w:t xml:space="preserve">. </w:t>
      </w:r>
    </w:p>
    <w:p w:rsidR="00062F62" w:rsidRPr="001970A2" w:rsidRDefault="006310F5">
      <w:pPr>
        <w:pStyle w:val="SingleTxtG"/>
      </w:pPr>
      <w:r w:rsidRPr="001970A2">
        <w:t>5.4</w:t>
      </w:r>
      <w:r w:rsidR="00942EE6" w:rsidRPr="001970A2">
        <w:tab/>
        <w:t xml:space="preserve">The authorities began to target the author when she returned to Chechnya, moved back to her house and </w:t>
      </w:r>
      <w:r w:rsidR="000A1852">
        <w:t>opened</w:t>
      </w:r>
      <w:r w:rsidR="000A1852" w:rsidRPr="001970A2">
        <w:t xml:space="preserve"> </w:t>
      </w:r>
      <w:r w:rsidR="00942EE6" w:rsidRPr="001970A2">
        <w:t xml:space="preserve">a small bread store. They claimed </w:t>
      </w:r>
      <w:r w:rsidR="00CC583F">
        <w:t xml:space="preserve">that </w:t>
      </w:r>
      <w:r w:rsidR="00942EE6" w:rsidRPr="001970A2">
        <w:t xml:space="preserve">she was not only a </w:t>
      </w:r>
      <w:r w:rsidR="000A1852">
        <w:t xml:space="preserve">rebel </w:t>
      </w:r>
      <w:r w:rsidR="00942EE6" w:rsidRPr="001970A2">
        <w:t>sympathi</w:t>
      </w:r>
      <w:r w:rsidR="000A1852">
        <w:t>z</w:t>
      </w:r>
      <w:r w:rsidR="00942EE6" w:rsidRPr="001970A2">
        <w:t xml:space="preserve">er, but a rebel herself. </w:t>
      </w:r>
      <w:r w:rsidR="00C53A35" w:rsidRPr="001970A2">
        <w:t xml:space="preserve">After being arrested, during the interrogations, the author refused to sign a statement that she had not only sold bread to the rebels, but also that she had </w:t>
      </w:r>
      <w:r w:rsidR="00CC583F">
        <w:t xml:space="preserve">willingly </w:t>
      </w:r>
      <w:r w:rsidR="00C53A35" w:rsidRPr="001970A2">
        <w:t>helped the rebels</w:t>
      </w:r>
      <w:r w:rsidR="00CC583F">
        <w:t xml:space="preserve">. She </w:t>
      </w:r>
      <w:r w:rsidR="00C53A35" w:rsidRPr="001970A2">
        <w:t xml:space="preserve">was beaten many times with rubber clubs all over her body and finally electricity was </w:t>
      </w:r>
      <w:r w:rsidR="000A1852">
        <w:t>administered</w:t>
      </w:r>
      <w:r w:rsidR="000A1852" w:rsidRPr="001970A2">
        <w:t xml:space="preserve"> </w:t>
      </w:r>
      <w:r w:rsidR="00C53A35" w:rsidRPr="001970A2">
        <w:t xml:space="preserve">through her fingers. </w:t>
      </w:r>
      <w:r w:rsidR="00CC583F">
        <w:t xml:space="preserve">She </w:t>
      </w:r>
      <w:r w:rsidR="00C53A35" w:rsidRPr="001970A2">
        <w:t>still ha</w:t>
      </w:r>
      <w:r w:rsidR="000A1852">
        <w:t>d</w:t>
      </w:r>
      <w:r w:rsidR="00C53A35" w:rsidRPr="001970A2">
        <w:t xml:space="preserve"> marks from the beatings on her right arm, where </w:t>
      </w:r>
      <w:r w:rsidR="000A1852">
        <w:t>welts could</w:t>
      </w:r>
      <w:r w:rsidR="00C53A35" w:rsidRPr="001970A2">
        <w:t xml:space="preserve"> be felt. After the punches and electric shocks, she fainted and has no recollection how she </w:t>
      </w:r>
      <w:r w:rsidR="000A1852">
        <w:t>was</w:t>
      </w:r>
      <w:r w:rsidR="00C53A35" w:rsidRPr="001970A2">
        <w:t xml:space="preserve"> transported to the hospital. </w:t>
      </w:r>
    </w:p>
    <w:p w:rsidR="006310F5" w:rsidRPr="001970A2" w:rsidRDefault="00C53A35">
      <w:pPr>
        <w:pStyle w:val="SingleTxtG"/>
      </w:pPr>
      <w:r w:rsidRPr="001970A2">
        <w:t>5.</w:t>
      </w:r>
      <w:r w:rsidR="00EE1445">
        <w:t>5</w:t>
      </w:r>
      <w:r w:rsidRPr="001970A2">
        <w:tab/>
        <w:t xml:space="preserve">According to the State party, the author’s son is not a high-profile member of a Chechen rebel group. </w:t>
      </w:r>
      <w:r w:rsidR="000A1852">
        <w:t>According to</w:t>
      </w:r>
      <w:r w:rsidRPr="001970A2">
        <w:t xml:space="preserve"> the author</w:t>
      </w:r>
      <w:r w:rsidR="000A1852">
        <w:t>, however,</w:t>
      </w:r>
      <w:r w:rsidRPr="001970A2">
        <w:t xml:space="preserve"> a suspected rebel need not </w:t>
      </w:r>
      <w:r w:rsidR="000A1852">
        <w:t>have a</w:t>
      </w:r>
      <w:r w:rsidR="000A1852" w:rsidRPr="001970A2">
        <w:t xml:space="preserve"> </w:t>
      </w:r>
      <w:r w:rsidRPr="001970A2">
        <w:t>high</w:t>
      </w:r>
      <w:r w:rsidR="000A1852">
        <w:t xml:space="preserve"> </w:t>
      </w:r>
      <w:r w:rsidRPr="001970A2">
        <w:t xml:space="preserve">profile to be targeted by the authorities. </w:t>
      </w:r>
    </w:p>
    <w:p w:rsidR="0033138D" w:rsidRPr="001970A2" w:rsidRDefault="00042EAF">
      <w:pPr>
        <w:pStyle w:val="SingleTxtG"/>
      </w:pPr>
      <w:r>
        <w:t>5.</w:t>
      </w:r>
      <w:r w:rsidR="00EE1445">
        <w:t>6</w:t>
      </w:r>
      <w:r>
        <w:tab/>
      </w:r>
      <w:r w:rsidR="006310F5" w:rsidRPr="001970A2">
        <w:t xml:space="preserve">The State party </w:t>
      </w:r>
      <w:r w:rsidR="000A1852">
        <w:t>finds</w:t>
      </w:r>
      <w:r w:rsidR="006310F5" w:rsidRPr="001970A2">
        <w:t xml:space="preserve"> it unlikely that the author was able to escape from the hospital. The author submits that she was assisted by a young nurse, </w:t>
      </w:r>
      <w:r w:rsidR="00CC583F">
        <w:t xml:space="preserve">a </w:t>
      </w:r>
      <w:r w:rsidR="006310F5" w:rsidRPr="001970A2">
        <w:t>friend of her niece. Subsequently, th</w:t>
      </w:r>
      <w:r w:rsidR="000A1852">
        <w:t>at</w:t>
      </w:r>
      <w:r w:rsidR="006310F5" w:rsidRPr="001970A2">
        <w:t xml:space="preserve"> nurse faced problems and fled Chechnya. The nurse dressed the author in</w:t>
      </w:r>
      <w:r w:rsidR="00BE324A">
        <w:t xml:space="preserve"> </w:t>
      </w:r>
      <w:r w:rsidR="000A1852">
        <w:t xml:space="preserve">a </w:t>
      </w:r>
      <w:r w:rsidR="006310F5" w:rsidRPr="001970A2">
        <w:t xml:space="preserve">white lab coat and </w:t>
      </w:r>
      <w:r w:rsidR="000A1852">
        <w:t xml:space="preserve">a </w:t>
      </w:r>
      <w:r w:rsidR="006310F5" w:rsidRPr="001970A2">
        <w:t>white cap</w:t>
      </w:r>
      <w:r w:rsidR="0033138D" w:rsidRPr="001970A2">
        <w:t>. They left the hospital through the main entrance</w:t>
      </w:r>
      <w:r w:rsidR="000A1852">
        <w:t xml:space="preserve"> at</w:t>
      </w:r>
      <w:r w:rsidR="0033138D" w:rsidRPr="001970A2">
        <w:t xml:space="preserve"> around noon</w:t>
      </w:r>
      <w:r w:rsidR="001459DC">
        <w:t>,</w:t>
      </w:r>
      <w:r w:rsidR="0033138D" w:rsidRPr="001970A2">
        <w:t xml:space="preserve"> a time </w:t>
      </w:r>
      <w:r w:rsidR="001459DC">
        <w:t xml:space="preserve">when </w:t>
      </w:r>
      <w:r w:rsidR="0033138D" w:rsidRPr="001970A2">
        <w:t>there were many people in the facility. The author was taken away by private taxi</w:t>
      </w:r>
      <w:r w:rsidR="001459DC">
        <w:t>,</w:t>
      </w:r>
      <w:r w:rsidR="0033138D" w:rsidRPr="001970A2">
        <w:t xml:space="preserve"> a common mean</w:t>
      </w:r>
      <w:r w:rsidR="0019295D">
        <w:t>s</w:t>
      </w:r>
      <w:r w:rsidR="0033138D" w:rsidRPr="001970A2">
        <w:t xml:space="preserve"> of transportation. The trip from the hospital in Grozny to </w:t>
      </w:r>
      <w:proofErr w:type="spellStart"/>
      <w:r w:rsidR="0033138D" w:rsidRPr="001970A2">
        <w:t>Nazran</w:t>
      </w:r>
      <w:proofErr w:type="spellEnd"/>
      <w:r w:rsidR="0033138D" w:rsidRPr="001970A2">
        <w:t xml:space="preserve"> where the author’s daughter lives </w:t>
      </w:r>
      <w:r w:rsidR="0019295D">
        <w:t>took</w:t>
      </w:r>
      <w:r w:rsidR="0033138D" w:rsidRPr="001970A2">
        <w:t xml:space="preserve"> about one and a half hour</w:t>
      </w:r>
      <w:r w:rsidR="0019295D">
        <w:t>s</w:t>
      </w:r>
      <w:r w:rsidR="0033138D" w:rsidRPr="001970A2">
        <w:t xml:space="preserve">. </w:t>
      </w:r>
    </w:p>
    <w:p w:rsidR="006310F5" w:rsidRPr="001970A2" w:rsidRDefault="0033138D">
      <w:pPr>
        <w:pStyle w:val="SingleTxtG"/>
      </w:pPr>
      <w:r w:rsidRPr="001970A2">
        <w:t>5.</w:t>
      </w:r>
      <w:r w:rsidR="00EE1445">
        <w:t>7</w:t>
      </w:r>
      <w:r w:rsidRPr="001970A2">
        <w:tab/>
      </w:r>
      <w:r w:rsidR="006C23A1">
        <w:t xml:space="preserve">As </w:t>
      </w:r>
      <w:r w:rsidRPr="001970A2">
        <w:t xml:space="preserve">to </w:t>
      </w:r>
      <w:r w:rsidR="000A1852">
        <w:t xml:space="preserve">her </w:t>
      </w:r>
      <w:r w:rsidRPr="001970A2">
        <w:t xml:space="preserve">credibility, </w:t>
      </w:r>
      <w:r w:rsidR="000A1852" w:rsidRPr="001970A2">
        <w:t xml:space="preserve">the author </w:t>
      </w:r>
      <w:r w:rsidRPr="001970A2">
        <w:t xml:space="preserve">argues that she has been subjected to torture and </w:t>
      </w:r>
      <w:r w:rsidR="000A1852">
        <w:t xml:space="preserve">that </w:t>
      </w:r>
      <w:r w:rsidRPr="001970A2">
        <w:t>people with legal background</w:t>
      </w:r>
      <w:r w:rsidR="0019295D">
        <w:t>s</w:t>
      </w:r>
      <w:r w:rsidRPr="001970A2">
        <w:t xml:space="preserve"> are not the best positioned to assess whether torture</w:t>
      </w:r>
      <w:r w:rsidR="000A1852">
        <w:t xml:space="preserve"> has taken place</w:t>
      </w:r>
      <w:r w:rsidR="001459DC">
        <w:t>.</w:t>
      </w:r>
      <w:r w:rsidRPr="001970A2">
        <w:t xml:space="preserve"> </w:t>
      </w:r>
      <w:r w:rsidR="000A1852">
        <w:t>Such an</w:t>
      </w:r>
      <w:r w:rsidR="000A1852" w:rsidRPr="001970A2">
        <w:t xml:space="preserve"> </w:t>
      </w:r>
      <w:r w:rsidRPr="001970A2">
        <w:t xml:space="preserve">assessment should be made by </w:t>
      </w:r>
      <w:r w:rsidR="006C23A1">
        <w:t xml:space="preserve">specialists </w:t>
      </w:r>
      <w:r w:rsidRPr="001970A2">
        <w:t xml:space="preserve">with the required expertise. </w:t>
      </w:r>
      <w:r w:rsidR="006C23A1">
        <w:t xml:space="preserve">She </w:t>
      </w:r>
      <w:r w:rsidRPr="001970A2">
        <w:t xml:space="preserve">refers to the Committee against Torture finding in </w:t>
      </w:r>
      <w:proofErr w:type="spellStart"/>
      <w:r w:rsidRPr="001970A2">
        <w:rPr>
          <w:i/>
        </w:rPr>
        <w:t>Rong</w:t>
      </w:r>
      <w:proofErr w:type="spellEnd"/>
      <w:r w:rsidRPr="001970A2">
        <w:rPr>
          <w:i/>
        </w:rPr>
        <w:t xml:space="preserve"> v. Australia</w:t>
      </w:r>
      <w:r w:rsidR="00042EAF" w:rsidRPr="00FC440B">
        <w:rPr>
          <w:iCs/>
        </w:rPr>
        <w:t>,</w:t>
      </w:r>
      <w:r w:rsidR="00681C90" w:rsidRPr="00FC440B">
        <w:rPr>
          <w:rStyle w:val="FootnoteReference"/>
          <w:bCs/>
          <w:iCs/>
          <w:szCs w:val="24"/>
        </w:rPr>
        <w:footnoteReference w:id="12"/>
      </w:r>
      <w:r w:rsidRPr="00FC440B">
        <w:rPr>
          <w:iCs/>
        </w:rPr>
        <w:t xml:space="preserve"> </w:t>
      </w:r>
      <w:r w:rsidR="006C23A1" w:rsidRPr="003C4004">
        <w:rPr>
          <w:iCs/>
        </w:rPr>
        <w:t>a</w:t>
      </w:r>
      <w:r w:rsidR="006C23A1">
        <w:t xml:space="preserve">ccording to which </w:t>
      </w:r>
      <w:r w:rsidRPr="001970A2">
        <w:t xml:space="preserve">complete accuracy is seldom to be expected by victims of torture. </w:t>
      </w:r>
      <w:r w:rsidR="006C23A1">
        <w:t xml:space="preserve">She </w:t>
      </w:r>
      <w:r w:rsidR="003B5B23" w:rsidRPr="001970A2">
        <w:t>also stresse</w:t>
      </w:r>
      <w:r w:rsidR="006C23A1">
        <w:t>s</w:t>
      </w:r>
      <w:r w:rsidR="003B5B23" w:rsidRPr="001970A2">
        <w:t xml:space="preserve"> </w:t>
      </w:r>
      <w:r w:rsidR="006C23A1">
        <w:t xml:space="preserve">that she was </w:t>
      </w:r>
      <w:r w:rsidRPr="001970A2">
        <w:t>not</w:t>
      </w:r>
      <w:r w:rsidR="006C23A1">
        <w:t xml:space="preserve"> </w:t>
      </w:r>
      <w:r w:rsidRPr="001970A2">
        <w:t xml:space="preserve">represented </w:t>
      </w:r>
      <w:r w:rsidR="003B0E54" w:rsidRPr="001970A2">
        <w:t xml:space="preserve">by a lawyer before the </w:t>
      </w:r>
      <w:r w:rsidR="000A1852">
        <w:t>Danish Immigration Service</w:t>
      </w:r>
      <w:r w:rsidR="003B0E54" w:rsidRPr="001970A2">
        <w:t>.</w:t>
      </w:r>
      <w:r w:rsidR="00042EAF">
        <w:t xml:space="preserve"> </w:t>
      </w:r>
    </w:p>
    <w:p w:rsidR="006310F5" w:rsidRPr="001970A2" w:rsidRDefault="003B5B23" w:rsidP="001459DC">
      <w:pPr>
        <w:pStyle w:val="SingleTxtG"/>
      </w:pPr>
      <w:r w:rsidRPr="001970A2">
        <w:t>5.</w:t>
      </w:r>
      <w:r w:rsidR="00EE1445">
        <w:t>8</w:t>
      </w:r>
      <w:r w:rsidRPr="001970A2">
        <w:tab/>
      </w:r>
      <w:r w:rsidR="006C23A1">
        <w:t>The author</w:t>
      </w:r>
      <w:r w:rsidR="006310F5" w:rsidRPr="001970A2">
        <w:t xml:space="preserve"> states that the State party</w:t>
      </w:r>
      <w:r w:rsidR="006C23A1">
        <w:t>’s</w:t>
      </w:r>
      <w:r w:rsidR="006310F5" w:rsidRPr="001970A2">
        <w:t xml:space="preserve"> authorities were using outdated information and that</w:t>
      </w:r>
      <w:r w:rsidR="000A1852">
        <w:t>,</w:t>
      </w:r>
      <w:r w:rsidR="006310F5" w:rsidRPr="001970A2">
        <w:t xml:space="preserve"> according to the new report </w:t>
      </w:r>
      <w:r w:rsidR="000A1852">
        <w:t xml:space="preserve">of the Government of Denmark </w:t>
      </w:r>
      <w:r w:rsidR="006310F5" w:rsidRPr="001970A2">
        <w:t xml:space="preserve">on Chechnya, the situation in the country </w:t>
      </w:r>
      <w:r w:rsidR="0019295D">
        <w:t xml:space="preserve">has </w:t>
      </w:r>
      <w:r w:rsidR="006310F5" w:rsidRPr="001970A2">
        <w:t>worsened, persecution of suspected rebels of all levels</w:t>
      </w:r>
      <w:r w:rsidR="001459DC" w:rsidRPr="001970A2">
        <w:t xml:space="preserve">, not only of the high-profile </w:t>
      </w:r>
      <w:r w:rsidR="001459DC">
        <w:t>rebels</w:t>
      </w:r>
      <w:r w:rsidR="001459DC" w:rsidRPr="001970A2">
        <w:t>,</w:t>
      </w:r>
      <w:r w:rsidR="006310F5" w:rsidRPr="001970A2">
        <w:t xml:space="preserve"> is</w:t>
      </w:r>
      <w:r w:rsidR="0019295D">
        <w:t xml:space="preserve"> now</w:t>
      </w:r>
      <w:r w:rsidR="006310F5" w:rsidRPr="001970A2">
        <w:t xml:space="preserve"> ordered and that all members of the rebel’s family</w:t>
      </w:r>
      <w:r w:rsidR="000A1852">
        <w:t>, not only the male relatives,</w:t>
      </w:r>
      <w:r w:rsidR="006310F5" w:rsidRPr="001970A2">
        <w:t xml:space="preserve"> can be targeted by the authorities.</w:t>
      </w:r>
      <w:r w:rsidR="006310F5" w:rsidRPr="006E25E7">
        <w:rPr>
          <w:rStyle w:val="FootnoteReference"/>
        </w:rPr>
        <w:footnoteReference w:id="13"/>
      </w:r>
      <w:r w:rsidR="006C23A1">
        <w:t xml:space="preserve"> </w:t>
      </w:r>
      <w:r w:rsidR="006310F5" w:rsidRPr="001970A2">
        <w:t xml:space="preserve">The author also claims that the </w:t>
      </w:r>
      <w:r w:rsidR="000A1852">
        <w:t xml:space="preserve">Refugee Appeals Board </w:t>
      </w:r>
      <w:r w:rsidR="0019295D">
        <w:t xml:space="preserve">did </w:t>
      </w:r>
      <w:r w:rsidR="006310F5" w:rsidRPr="001970A2">
        <w:t>not investigat</w:t>
      </w:r>
      <w:r w:rsidR="0019295D">
        <w:t xml:space="preserve">e </w:t>
      </w:r>
      <w:r w:rsidR="006310F5" w:rsidRPr="001970A2">
        <w:t xml:space="preserve">her allegations </w:t>
      </w:r>
      <w:r w:rsidR="000E7CDA">
        <w:t xml:space="preserve">of torture </w:t>
      </w:r>
      <w:r w:rsidR="006310F5" w:rsidRPr="001970A2">
        <w:t xml:space="preserve">and </w:t>
      </w:r>
      <w:r w:rsidR="000A1852">
        <w:t>was</w:t>
      </w:r>
      <w:r w:rsidR="000A1852" w:rsidRPr="001970A2">
        <w:t xml:space="preserve"> </w:t>
      </w:r>
      <w:r w:rsidR="006310F5" w:rsidRPr="001970A2">
        <w:t xml:space="preserve">not suited to determine whether she was tortured. </w:t>
      </w:r>
      <w:r w:rsidR="000A1852">
        <w:t>It</w:t>
      </w:r>
      <w:r w:rsidR="000A1852" w:rsidRPr="001970A2">
        <w:t xml:space="preserve"> </w:t>
      </w:r>
      <w:r w:rsidR="006310F5" w:rsidRPr="001970A2">
        <w:t xml:space="preserve">should have ordered a medical examination. She also submits that the decision of </w:t>
      </w:r>
      <w:r w:rsidR="0096207C">
        <w:t xml:space="preserve">the </w:t>
      </w:r>
      <w:r w:rsidR="000A1852">
        <w:t>Board</w:t>
      </w:r>
      <w:r w:rsidR="000A1852" w:rsidRPr="001970A2">
        <w:t xml:space="preserve"> </w:t>
      </w:r>
      <w:r w:rsidR="006310F5" w:rsidRPr="001970A2">
        <w:t>does not even address her allegations of torture.</w:t>
      </w:r>
    </w:p>
    <w:p w:rsidR="00381975" w:rsidRPr="001970A2" w:rsidRDefault="00042EAF" w:rsidP="00042EAF">
      <w:pPr>
        <w:pStyle w:val="H23G"/>
      </w:pPr>
      <w:r>
        <w:tab/>
      </w:r>
      <w:r>
        <w:tab/>
      </w:r>
      <w:r w:rsidR="00381975" w:rsidRPr="001970A2">
        <w:t xml:space="preserve">State party’s additional </w:t>
      </w:r>
      <w:r w:rsidR="00381975" w:rsidRPr="00042EAF">
        <w:t>observations</w:t>
      </w:r>
      <w:r w:rsidR="00381975" w:rsidRPr="001970A2">
        <w:t xml:space="preserve"> </w:t>
      </w:r>
    </w:p>
    <w:p w:rsidR="003B5B23" w:rsidRPr="001970A2" w:rsidRDefault="00791C81">
      <w:pPr>
        <w:pStyle w:val="SingleTxtG"/>
      </w:pPr>
      <w:r w:rsidRPr="001970A2">
        <w:t>6.</w:t>
      </w:r>
      <w:r w:rsidR="00D17160" w:rsidRPr="001970A2">
        <w:t>1</w:t>
      </w:r>
      <w:r w:rsidRPr="001970A2">
        <w:rPr>
          <w:b/>
        </w:rPr>
        <w:tab/>
      </w:r>
      <w:r w:rsidR="002434D7" w:rsidRPr="00FC440B">
        <w:rPr>
          <w:bCs/>
        </w:rPr>
        <w:t>In its observations dated</w:t>
      </w:r>
      <w:r w:rsidRPr="001970A2">
        <w:t xml:space="preserve"> </w:t>
      </w:r>
      <w:r w:rsidR="003B5B23" w:rsidRPr="001970A2">
        <w:t xml:space="preserve">26 June </w:t>
      </w:r>
      <w:r w:rsidRPr="001970A2">
        <w:t>201</w:t>
      </w:r>
      <w:r w:rsidR="003B5B23" w:rsidRPr="001970A2">
        <w:t>5</w:t>
      </w:r>
      <w:r w:rsidRPr="001970A2">
        <w:t xml:space="preserve">, the State party </w:t>
      </w:r>
      <w:r w:rsidR="006C23A1">
        <w:t xml:space="preserve">recalls </w:t>
      </w:r>
      <w:r w:rsidR="003B5B23" w:rsidRPr="001970A2">
        <w:t xml:space="preserve">its observations of 19 January 2015 and maintains </w:t>
      </w:r>
      <w:r w:rsidR="006C23A1">
        <w:t xml:space="preserve">that </w:t>
      </w:r>
      <w:r w:rsidR="003B5B23" w:rsidRPr="001970A2">
        <w:t xml:space="preserve">the author’s submission lacked credibility. </w:t>
      </w:r>
      <w:r w:rsidR="0019295D">
        <w:t xml:space="preserve">With respect to </w:t>
      </w:r>
      <w:r w:rsidR="003B5B23" w:rsidRPr="001970A2">
        <w:t xml:space="preserve">the most recent background </w:t>
      </w:r>
      <w:r w:rsidRPr="001970A2">
        <w:t>inform</w:t>
      </w:r>
      <w:r w:rsidR="003B5B23" w:rsidRPr="001970A2">
        <w:t xml:space="preserve">ation on Chechnya, including a report published in January 2015, the State party </w:t>
      </w:r>
      <w:r w:rsidR="00D17160" w:rsidRPr="001970A2">
        <w:t xml:space="preserve">considers that </w:t>
      </w:r>
      <w:r w:rsidR="00A36F87">
        <w:t>it</w:t>
      </w:r>
      <w:r w:rsidR="00D17160" w:rsidRPr="001970A2">
        <w:t xml:space="preserve"> does not give a picture of the situation in Chechnya that differs significantly from </w:t>
      </w:r>
      <w:r w:rsidR="00A36F87">
        <w:t>that</w:t>
      </w:r>
      <w:r w:rsidR="00D17160" w:rsidRPr="001970A2">
        <w:t xml:space="preserve"> </w:t>
      </w:r>
      <w:r w:rsidR="006C23A1">
        <w:t xml:space="preserve">which </w:t>
      </w:r>
      <w:r w:rsidR="00D17160" w:rsidRPr="001970A2">
        <w:t>the Board</w:t>
      </w:r>
      <w:r w:rsidR="001459DC">
        <w:t xml:space="preserve"> had already</w:t>
      </w:r>
      <w:r w:rsidR="00D17160" w:rsidRPr="001970A2">
        <w:t xml:space="preserve"> when it made its decision on 6 March 2014. It finds that the reference to the most recent background material does not lead to a revised assessment of the case.</w:t>
      </w:r>
    </w:p>
    <w:p w:rsidR="00D17160" w:rsidRPr="001970A2" w:rsidRDefault="00D17160">
      <w:pPr>
        <w:pStyle w:val="SingleTxtG"/>
      </w:pPr>
      <w:r w:rsidRPr="001970A2">
        <w:t>6.2</w:t>
      </w:r>
      <w:r w:rsidRPr="001970A2">
        <w:tab/>
      </w:r>
      <w:r w:rsidR="002A5F3D" w:rsidRPr="001970A2">
        <w:t xml:space="preserve">Finally, the State party observes that, even in cases in which the </w:t>
      </w:r>
      <w:r w:rsidR="00A36F87">
        <w:t>Danish Immigration Service</w:t>
      </w:r>
      <w:r w:rsidR="00A36F87" w:rsidRPr="001970A2">
        <w:t xml:space="preserve"> </w:t>
      </w:r>
      <w:r w:rsidR="002A5F3D" w:rsidRPr="001970A2">
        <w:t>asks an asylum</w:t>
      </w:r>
      <w:r w:rsidR="00A36F87">
        <w:t xml:space="preserve"> </w:t>
      </w:r>
      <w:r w:rsidR="002A5F3D" w:rsidRPr="001970A2">
        <w:t xml:space="preserve">seeker to consent to an examination for signs of torture because </w:t>
      </w:r>
      <w:r w:rsidR="00A36F87">
        <w:t>he or she</w:t>
      </w:r>
      <w:r w:rsidR="002A5F3D" w:rsidRPr="001970A2">
        <w:t xml:space="preserve"> claims to be a victim of torture, </w:t>
      </w:r>
      <w:r w:rsidR="0019295D">
        <w:t xml:space="preserve">the </w:t>
      </w:r>
      <w:r w:rsidR="002A5F3D" w:rsidRPr="001970A2">
        <w:t>asylum</w:t>
      </w:r>
      <w:r w:rsidR="00A36F87">
        <w:t xml:space="preserve"> seeker </w:t>
      </w:r>
      <w:r w:rsidR="0019295D">
        <w:t xml:space="preserve">cannot expect to </w:t>
      </w:r>
      <w:r w:rsidR="002A5F3D" w:rsidRPr="001970A2">
        <w:t xml:space="preserve">be summoned for such examination. As </w:t>
      </w:r>
      <w:r w:rsidR="0019295D">
        <w:t>indicated in</w:t>
      </w:r>
      <w:r w:rsidR="002A5F3D" w:rsidRPr="001970A2">
        <w:t xml:space="preserve"> the State party’s observations of 19 January 2015, the </w:t>
      </w:r>
      <w:r w:rsidR="00A36F87">
        <w:t>Service</w:t>
      </w:r>
      <w:r w:rsidR="00A36F87" w:rsidRPr="001970A2">
        <w:t xml:space="preserve"> </w:t>
      </w:r>
      <w:r w:rsidR="002A5F3D" w:rsidRPr="001970A2">
        <w:t xml:space="preserve">and the </w:t>
      </w:r>
      <w:r w:rsidR="00A36F87">
        <w:t>Refugee Appeals Board</w:t>
      </w:r>
      <w:r w:rsidR="002A5F3D" w:rsidRPr="001970A2">
        <w:t xml:space="preserve"> </w:t>
      </w:r>
      <w:r w:rsidR="0096207C">
        <w:t>“</w:t>
      </w:r>
      <w:r w:rsidR="002A5F3D" w:rsidRPr="001970A2">
        <w:t>will not initiate an examination of an asylum</w:t>
      </w:r>
      <w:r w:rsidR="00A36F87">
        <w:t xml:space="preserve"> </w:t>
      </w:r>
      <w:r w:rsidR="002A5F3D" w:rsidRPr="001970A2">
        <w:t>seeker for signs of torture if the asylum</w:t>
      </w:r>
      <w:r w:rsidR="00A36F87">
        <w:t xml:space="preserve"> </w:t>
      </w:r>
      <w:r w:rsidR="002A5F3D" w:rsidRPr="001970A2">
        <w:t>seeker’s statement on his or her grounds for asylum cannot be considered a fact</w:t>
      </w:r>
      <w:r w:rsidR="0096207C">
        <w:t>”</w:t>
      </w:r>
      <w:r w:rsidR="002A5F3D" w:rsidRPr="001970A2">
        <w:t>.</w:t>
      </w:r>
    </w:p>
    <w:p w:rsidR="00E17092" w:rsidRPr="001970A2" w:rsidRDefault="00E17092" w:rsidP="00042EAF">
      <w:pPr>
        <w:pStyle w:val="H23G"/>
      </w:pPr>
      <w:r w:rsidRPr="001970A2">
        <w:tab/>
      </w:r>
      <w:r w:rsidR="00042EAF">
        <w:tab/>
      </w:r>
      <w:r w:rsidRPr="001970A2">
        <w:t>Author’s additional observations</w:t>
      </w:r>
    </w:p>
    <w:p w:rsidR="00E17092" w:rsidRPr="001970A2" w:rsidRDefault="00E17092">
      <w:pPr>
        <w:pStyle w:val="SingleTxtG"/>
      </w:pPr>
      <w:r w:rsidRPr="001970A2">
        <w:t>7.1</w:t>
      </w:r>
      <w:r w:rsidRPr="001970A2">
        <w:tab/>
      </w:r>
      <w:r w:rsidR="00A36F87">
        <w:t>In her observations dated</w:t>
      </w:r>
      <w:r w:rsidR="0095727F" w:rsidRPr="001970A2">
        <w:t xml:space="preserve"> 10 August 2015, the author </w:t>
      </w:r>
      <w:r w:rsidR="0019295D">
        <w:t>disagrees</w:t>
      </w:r>
      <w:r w:rsidR="0095727F" w:rsidRPr="001970A2">
        <w:t xml:space="preserve"> that </w:t>
      </w:r>
      <w:r w:rsidR="003473DF" w:rsidRPr="001970A2">
        <w:t xml:space="preserve">the January 2015 </w:t>
      </w:r>
      <w:r w:rsidR="0019295D">
        <w:t xml:space="preserve">report </w:t>
      </w:r>
      <w:r w:rsidR="003473DF" w:rsidRPr="001970A2">
        <w:t xml:space="preserve">does not give a picture of the situation in Chechnya that differs significantly from </w:t>
      </w:r>
      <w:r w:rsidR="00A36F87">
        <w:t>that</w:t>
      </w:r>
      <w:r w:rsidR="003473DF" w:rsidRPr="001970A2">
        <w:t xml:space="preserve"> </w:t>
      </w:r>
      <w:r w:rsidR="00A36F87">
        <w:t>formed by</w:t>
      </w:r>
      <w:r w:rsidR="003473DF" w:rsidRPr="001970A2">
        <w:t xml:space="preserve"> the Board </w:t>
      </w:r>
      <w:r w:rsidR="006C23A1">
        <w:t>in 2014</w:t>
      </w:r>
      <w:r w:rsidR="003473DF" w:rsidRPr="001970A2">
        <w:t>. On the contrary, th</w:t>
      </w:r>
      <w:r w:rsidR="001459DC">
        <w:t>at</w:t>
      </w:r>
      <w:r w:rsidR="003473DF" w:rsidRPr="001970A2">
        <w:t xml:space="preserve"> report contains new and important information on the persecution of family members of insurgents like the author’s son.</w:t>
      </w:r>
      <w:r w:rsidR="0093174C">
        <w:rPr>
          <w:rStyle w:val="FootnoteReference"/>
          <w:szCs w:val="24"/>
        </w:rPr>
        <w:footnoteReference w:id="14"/>
      </w:r>
    </w:p>
    <w:p w:rsidR="003473DF" w:rsidRPr="00DE15C8" w:rsidRDefault="003473DF">
      <w:pPr>
        <w:pStyle w:val="SingleTxtG"/>
        <w:rPr>
          <w:bCs/>
        </w:rPr>
      </w:pPr>
      <w:r w:rsidRPr="001970A2">
        <w:t>7.2</w:t>
      </w:r>
      <w:r w:rsidRPr="001970A2">
        <w:tab/>
      </w:r>
      <w:r w:rsidR="006C23A1">
        <w:t>As to t</w:t>
      </w:r>
      <w:r w:rsidRPr="001970A2">
        <w:t>he State party</w:t>
      </w:r>
      <w:r w:rsidR="006C23A1">
        <w:t xml:space="preserve">’s explanation </w:t>
      </w:r>
      <w:r w:rsidRPr="001970A2">
        <w:t xml:space="preserve">that the </w:t>
      </w:r>
      <w:r w:rsidR="00A36F87">
        <w:t>Danish Immigration Service</w:t>
      </w:r>
      <w:r w:rsidR="00A36F87" w:rsidRPr="001970A2" w:rsidDel="00A36F87">
        <w:t xml:space="preserve"> </w:t>
      </w:r>
      <w:r w:rsidR="006C23A1">
        <w:t xml:space="preserve">does </w:t>
      </w:r>
      <w:r w:rsidRPr="001970A2">
        <w:t xml:space="preserve">not initiate </w:t>
      </w:r>
      <w:r w:rsidR="00A36F87">
        <w:t>the</w:t>
      </w:r>
      <w:r w:rsidRPr="001970A2">
        <w:t xml:space="preserve"> examination of an asylum seeker</w:t>
      </w:r>
      <w:r w:rsidR="00A36F87">
        <w:t xml:space="preserve"> for signs of torture</w:t>
      </w:r>
      <w:r w:rsidRPr="001970A2">
        <w:t xml:space="preserve"> if the asylum seeker’s statement on his or her grounds for asylum cannot be considered a fact</w:t>
      </w:r>
      <w:r w:rsidR="006C23A1">
        <w:t xml:space="preserve">, </w:t>
      </w:r>
      <w:r w:rsidR="009E42A9">
        <w:t xml:space="preserve">the author argues </w:t>
      </w:r>
      <w:r w:rsidR="006C23A1">
        <w:t>that t</w:t>
      </w:r>
      <w:r w:rsidRPr="001970A2">
        <w:t xml:space="preserve">his is circular reasoning, because </w:t>
      </w:r>
      <w:r w:rsidR="00A36F87">
        <w:t>an</w:t>
      </w:r>
      <w:r w:rsidRPr="001970A2">
        <w:t xml:space="preserve"> investigation</w:t>
      </w:r>
      <w:r w:rsidR="00A36F87">
        <w:t xml:space="preserve"> for torture </w:t>
      </w:r>
      <w:r w:rsidR="006C23A1">
        <w:t>could confirm if</w:t>
      </w:r>
      <w:r w:rsidRPr="001970A2">
        <w:t xml:space="preserve"> the asylum seeker’s statements are wrong or </w:t>
      </w:r>
      <w:r w:rsidR="00837797">
        <w:t>correct</w:t>
      </w:r>
      <w:r w:rsidRPr="001970A2">
        <w:t xml:space="preserve">. </w:t>
      </w:r>
    </w:p>
    <w:p w:rsidR="000128E3" w:rsidRPr="001970A2" w:rsidRDefault="000128E3" w:rsidP="00042EAF">
      <w:pPr>
        <w:pStyle w:val="H23G"/>
      </w:pPr>
      <w:r w:rsidRPr="001970A2">
        <w:tab/>
      </w:r>
      <w:r w:rsidRPr="001970A2">
        <w:tab/>
        <w:t xml:space="preserve">Issues and </w:t>
      </w:r>
      <w:r w:rsidRPr="00042EAF">
        <w:t>proceedings</w:t>
      </w:r>
      <w:r w:rsidRPr="001970A2">
        <w:t xml:space="preserve"> before the Committee</w:t>
      </w:r>
    </w:p>
    <w:p w:rsidR="008373F6" w:rsidRPr="001970A2" w:rsidRDefault="00042EAF" w:rsidP="00042EAF">
      <w:pPr>
        <w:pStyle w:val="H4G"/>
      </w:pPr>
      <w:r>
        <w:tab/>
      </w:r>
      <w:r>
        <w:tab/>
      </w:r>
      <w:r w:rsidR="008373F6" w:rsidRPr="001970A2">
        <w:t>Consideration of admissibility</w:t>
      </w:r>
    </w:p>
    <w:p w:rsidR="008373F6" w:rsidRPr="001970A2" w:rsidRDefault="0068528C">
      <w:pPr>
        <w:pStyle w:val="SingleTxtG"/>
      </w:pPr>
      <w:r w:rsidRPr="001970A2">
        <w:t>8</w:t>
      </w:r>
      <w:r w:rsidR="008373F6" w:rsidRPr="001970A2">
        <w:t>.1</w:t>
      </w:r>
      <w:r w:rsidR="008373F6" w:rsidRPr="001970A2">
        <w:tab/>
        <w:t xml:space="preserve">Before </w:t>
      </w:r>
      <w:r w:rsidR="008373F6" w:rsidRPr="00042EAF">
        <w:t>considering</w:t>
      </w:r>
      <w:r w:rsidR="008373F6" w:rsidRPr="001970A2">
        <w:t xml:space="preserve"> any claims contained in a communication, the Committee must</w:t>
      </w:r>
      <w:r w:rsidR="00A36F87">
        <w:t xml:space="preserve"> decide</w:t>
      </w:r>
      <w:r w:rsidR="008373F6" w:rsidRPr="001970A2">
        <w:t>, in accordance with rule 93 of its rules of procedure, whether it is admissible under the Optional Protocol to the Covenant.</w:t>
      </w:r>
    </w:p>
    <w:p w:rsidR="008373F6" w:rsidRPr="001970A2" w:rsidRDefault="0068528C" w:rsidP="00042EAF">
      <w:pPr>
        <w:pStyle w:val="SingleTxtG"/>
      </w:pPr>
      <w:r w:rsidRPr="001970A2">
        <w:t>8</w:t>
      </w:r>
      <w:r w:rsidR="008373F6" w:rsidRPr="001970A2">
        <w:t>.2</w:t>
      </w:r>
      <w:r w:rsidR="008373F6" w:rsidRPr="001970A2">
        <w:tab/>
        <w:t>The Committee has ascertained, as required under article 5 (2) (a) of the Optional Protocol, that the same matter is not being examined under another procedure of international investigation or settlement.</w:t>
      </w:r>
    </w:p>
    <w:p w:rsidR="008373F6" w:rsidRPr="001970A2" w:rsidRDefault="0068528C">
      <w:pPr>
        <w:pStyle w:val="SingleTxtG"/>
      </w:pPr>
      <w:r w:rsidRPr="001970A2">
        <w:t>8</w:t>
      </w:r>
      <w:r w:rsidR="008373F6" w:rsidRPr="001970A2">
        <w:t>.3</w:t>
      </w:r>
      <w:r w:rsidR="008373F6" w:rsidRPr="001970A2">
        <w:tab/>
        <w:t xml:space="preserve">The Committee takes note of the author’s claim that </w:t>
      </w:r>
      <w:r w:rsidR="0019295D">
        <w:t>s</w:t>
      </w:r>
      <w:r w:rsidR="008373F6" w:rsidRPr="001970A2">
        <w:t xml:space="preserve">he has exhausted all effective domestic remedies available to </w:t>
      </w:r>
      <w:r w:rsidR="0019295D">
        <w:t>her</w:t>
      </w:r>
      <w:r w:rsidR="008373F6" w:rsidRPr="001970A2">
        <w:t>. In the absence of any objection by the State party in this connection, the Committee considers that the requirements of article 5 (2) (b) of the Optional Protocol have been met.</w:t>
      </w:r>
    </w:p>
    <w:p w:rsidR="00247011" w:rsidRPr="00247011" w:rsidRDefault="00247011">
      <w:pPr>
        <w:pStyle w:val="SingleTxtG"/>
      </w:pPr>
      <w:r w:rsidRPr="00247011">
        <w:t>8.</w:t>
      </w:r>
      <w:r w:rsidR="00AF6869">
        <w:t>4</w:t>
      </w:r>
      <w:r w:rsidRPr="00247011">
        <w:tab/>
      </w:r>
      <w:r w:rsidR="00234422">
        <w:t xml:space="preserve">The Committee has taken note, first, of the </w:t>
      </w:r>
      <w:r w:rsidRPr="00247011">
        <w:t xml:space="preserve">author’s general claims regarding a </w:t>
      </w:r>
      <w:r>
        <w:t>possible arbitrary detention she may face if returned to the Russian Federation</w:t>
      </w:r>
      <w:r w:rsidRPr="00247011">
        <w:t>,</w:t>
      </w:r>
      <w:r w:rsidR="00234422">
        <w:t xml:space="preserve"> in violation of her rights under article 9 of the Covenant. </w:t>
      </w:r>
      <w:r w:rsidR="00684DAD">
        <w:t>In th</w:t>
      </w:r>
      <w:r w:rsidR="00280A5F">
        <w:t>at</w:t>
      </w:r>
      <w:r w:rsidR="00684DAD">
        <w:t xml:space="preserve"> connection, t</w:t>
      </w:r>
      <w:r w:rsidR="007C6B16" w:rsidRPr="007C6B16">
        <w:rPr>
          <w:lang w:val="en-US"/>
        </w:rPr>
        <w:t xml:space="preserve">he Committee recalls </w:t>
      </w:r>
      <w:r w:rsidR="00280A5F">
        <w:rPr>
          <w:lang w:val="en-US"/>
        </w:rPr>
        <w:t xml:space="preserve">paragraph 12 of </w:t>
      </w:r>
      <w:r w:rsidR="007C6B16" w:rsidRPr="007C6B16">
        <w:rPr>
          <w:lang w:val="en-US"/>
        </w:rPr>
        <w:t>its general comment No. 31</w:t>
      </w:r>
      <w:r w:rsidR="00280A5F">
        <w:rPr>
          <w:lang w:val="en-US"/>
        </w:rPr>
        <w:t xml:space="preserve"> (2004) on the nature of the general legal obligation imposed on States parties to the Covenant,</w:t>
      </w:r>
      <w:r w:rsidR="007C6B16" w:rsidRPr="007C6B16">
        <w:rPr>
          <w:lang w:val="en-US"/>
        </w:rPr>
        <w:t xml:space="preserve"> in which it refers to the obligation of States parties not to extradite, deport, expel or otherwise remove a person from their territory when there are substantial grounds for believing that there is a real risk of irreparable harm</w:t>
      </w:r>
      <w:r w:rsidR="00280A5F">
        <w:rPr>
          <w:lang w:val="en-US"/>
        </w:rPr>
        <w:t>,</w:t>
      </w:r>
      <w:r w:rsidR="007C6B16" w:rsidRPr="007C6B16">
        <w:rPr>
          <w:lang w:val="en-US"/>
        </w:rPr>
        <w:t xml:space="preserve"> such as that contemplated by articles 6 and 7 of the Covenant. </w:t>
      </w:r>
      <w:r w:rsidR="00234422">
        <w:t>T</w:t>
      </w:r>
      <w:r w:rsidRPr="00247011">
        <w:t>he Committee considers that the author has failed to provide sufficient information and factual support regarding th</w:t>
      </w:r>
      <w:r>
        <w:t>is</w:t>
      </w:r>
      <w:r w:rsidRPr="00247011">
        <w:t xml:space="preserve"> </w:t>
      </w:r>
      <w:r w:rsidR="00684DAD">
        <w:t xml:space="preserve">particular </w:t>
      </w:r>
      <w:r w:rsidRPr="00247011">
        <w:t>claim</w:t>
      </w:r>
      <w:r w:rsidR="006A704A">
        <w:t>.</w:t>
      </w:r>
      <w:r w:rsidR="00042EAF">
        <w:t xml:space="preserve"> </w:t>
      </w:r>
      <w:r w:rsidR="006A704A">
        <w:t>I</w:t>
      </w:r>
      <w:r w:rsidRPr="00247011">
        <w:t>n the absence of any further pertinent information on file, the Committee considers that the author has failed to sufficiently substantiate th</w:t>
      </w:r>
      <w:r>
        <w:t>i</w:t>
      </w:r>
      <w:r w:rsidRPr="00247011">
        <w:t>s claim for the purposes of admissibility. Accordingly, it declares that part of the communication inadmissible under article</w:t>
      </w:r>
      <w:r>
        <w:t xml:space="preserve"> </w:t>
      </w:r>
      <w:r w:rsidRPr="00247011">
        <w:t xml:space="preserve">2 of the Optional Protocol. </w:t>
      </w:r>
    </w:p>
    <w:p w:rsidR="008373F6" w:rsidRPr="001970A2" w:rsidRDefault="0068528C">
      <w:pPr>
        <w:pStyle w:val="SingleTxtG"/>
      </w:pPr>
      <w:r w:rsidRPr="001970A2">
        <w:t>8</w:t>
      </w:r>
      <w:r w:rsidR="008373F6" w:rsidRPr="001970A2">
        <w:t>.</w:t>
      </w:r>
      <w:r w:rsidR="00AF6869">
        <w:t>5</w:t>
      </w:r>
      <w:r w:rsidR="008373F6" w:rsidRPr="001970A2">
        <w:tab/>
        <w:t xml:space="preserve">The Committee notes the State party’s argument that the author’s claims </w:t>
      </w:r>
      <w:r w:rsidR="00801D4B">
        <w:t>under</w:t>
      </w:r>
      <w:r w:rsidR="008373F6" w:rsidRPr="001970A2">
        <w:t xml:space="preserve"> article 7 of the Covenant should be </w:t>
      </w:r>
      <w:r w:rsidR="00801D4B">
        <w:t>declared</w:t>
      </w:r>
      <w:r w:rsidR="008373F6" w:rsidRPr="001970A2">
        <w:t xml:space="preserve"> inadmissible as manifestly unfounded </w:t>
      </w:r>
      <w:r w:rsidR="00683DDF">
        <w:t>since</w:t>
      </w:r>
      <w:r w:rsidR="006A704A">
        <w:t xml:space="preserve"> </w:t>
      </w:r>
      <w:r w:rsidR="00633D6D" w:rsidRPr="001970A2">
        <w:t xml:space="preserve">the author has failed to establish a prima facie case for the purposes of admissibility </w:t>
      </w:r>
      <w:r w:rsidR="008373F6" w:rsidRPr="001970A2">
        <w:t>owing to insufficient substantiation. However, the Committee considers that the author has adequately explained the reasons for fear</w:t>
      </w:r>
      <w:r w:rsidR="00DE1058">
        <w:t>ing</w:t>
      </w:r>
      <w:r w:rsidR="008373F6" w:rsidRPr="001970A2">
        <w:t xml:space="preserve"> that </w:t>
      </w:r>
      <w:r w:rsidR="0019295D">
        <w:t xml:space="preserve">her </w:t>
      </w:r>
      <w:r w:rsidR="008373F6" w:rsidRPr="001970A2">
        <w:t>forcible return to the Russian Federation would result in a risk</w:t>
      </w:r>
      <w:r w:rsidR="00801D4B">
        <w:t xml:space="preserve">, for </w:t>
      </w:r>
      <w:r w:rsidR="0019295D">
        <w:t>her</w:t>
      </w:r>
      <w:r w:rsidR="00801D4B">
        <w:t>,</w:t>
      </w:r>
      <w:r w:rsidR="008373F6" w:rsidRPr="001970A2">
        <w:t xml:space="preserve"> of </w:t>
      </w:r>
      <w:r w:rsidR="00801D4B">
        <w:t xml:space="preserve">a </w:t>
      </w:r>
      <w:r w:rsidR="008373F6" w:rsidRPr="001970A2">
        <w:t xml:space="preserve">treatment incompatible with article 7 of the Covenant. </w:t>
      </w:r>
    </w:p>
    <w:p w:rsidR="008373F6" w:rsidRPr="001970A2" w:rsidRDefault="0068528C">
      <w:pPr>
        <w:pStyle w:val="SingleTxtG"/>
      </w:pPr>
      <w:r w:rsidRPr="001970A2">
        <w:t>8</w:t>
      </w:r>
      <w:r w:rsidR="008373F6" w:rsidRPr="001970A2">
        <w:t>.</w:t>
      </w:r>
      <w:r w:rsidR="00AF6869">
        <w:t>6</w:t>
      </w:r>
      <w:r w:rsidR="008373F6" w:rsidRPr="001970A2">
        <w:tab/>
        <w:t>Accordingly, the Committee considers that</w:t>
      </w:r>
      <w:r w:rsidR="00801D4B">
        <w:t xml:space="preserve"> </w:t>
      </w:r>
      <w:r w:rsidR="008373F6" w:rsidRPr="001970A2">
        <w:t>the communication is admissible in so far as it raises issues relating to article 7 of the Covenant</w:t>
      </w:r>
      <w:r w:rsidR="00801D4B">
        <w:t xml:space="preserve"> and proceeds with </w:t>
      </w:r>
      <w:r w:rsidR="00DE1058">
        <w:t xml:space="preserve">the </w:t>
      </w:r>
      <w:r w:rsidR="00801D4B">
        <w:t xml:space="preserve">examination </w:t>
      </w:r>
      <w:r w:rsidR="00DE1058">
        <w:t>of its</w:t>
      </w:r>
      <w:r w:rsidR="00801D4B">
        <w:t xml:space="preserve"> merits</w:t>
      </w:r>
      <w:r w:rsidR="008373F6" w:rsidRPr="001970A2">
        <w:t>.</w:t>
      </w:r>
      <w:r w:rsidR="008373F6" w:rsidRPr="001970A2">
        <w:tab/>
      </w:r>
    </w:p>
    <w:p w:rsidR="000128E3" w:rsidRPr="001970A2" w:rsidRDefault="000128E3" w:rsidP="00042EAF">
      <w:pPr>
        <w:pStyle w:val="H4G"/>
      </w:pPr>
      <w:r w:rsidRPr="001970A2">
        <w:tab/>
      </w:r>
      <w:r w:rsidRPr="001970A2">
        <w:tab/>
        <w:t xml:space="preserve">Consideration of </w:t>
      </w:r>
      <w:r w:rsidRPr="00042EAF">
        <w:t>the</w:t>
      </w:r>
      <w:r w:rsidRPr="001970A2">
        <w:t xml:space="preserve"> merits</w:t>
      </w:r>
    </w:p>
    <w:p w:rsidR="00F91D32" w:rsidRPr="001970A2" w:rsidRDefault="00F91D32">
      <w:pPr>
        <w:pStyle w:val="SingleTxtG"/>
        <w:rPr>
          <w:lang w:val="en-US"/>
        </w:rPr>
      </w:pPr>
      <w:r w:rsidRPr="001970A2">
        <w:rPr>
          <w:lang w:val="en-US"/>
        </w:rPr>
        <w:t>9.1</w:t>
      </w:r>
      <w:r w:rsidRPr="001970A2">
        <w:rPr>
          <w:lang w:val="en-US"/>
        </w:rPr>
        <w:tab/>
        <w:t>The Committee has considered the present communication in the light of all the information made available to it by the parties, in accordance with article 5</w:t>
      </w:r>
      <w:r w:rsidR="00D37824">
        <w:rPr>
          <w:lang w:val="en-US"/>
        </w:rPr>
        <w:t xml:space="preserve"> </w:t>
      </w:r>
      <w:r w:rsidRPr="001970A2">
        <w:rPr>
          <w:lang w:val="en-US"/>
        </w:rPr>
        <w:t>(1) of the Optional Protocol.</w:t>
      </w:r>
    </w:p>
    <w:p w:rsidR="00F91D32" w:rsidRPr="001970A2" w:rsidRDefault="00F91D32">
      <w:pPr>
        <w:pStyle w:val="SingleTxtG"/>
        <w:rPr>
          <w:lang w:val="en-US"/>
        </w:rPr>
      </w:pPr>
      <w:r w:rsidRPr="001970A2">
        <w:rPr>
          <w:lang w:val="en-US"/>
        </w:rPr>
        <w:t>9.2</w:t>
      </w:r>
      <w:r w:rsidRPr="001970A2">
        <w:rPr>
          <w:lang w:val="en-US"/>
        </w:rPr>
        <w:tab/>
      </w:r>
      <w:r w:rsidR="00D37824">
        <w:rPr>
          <w:lang w:val="en-US"/>
        </w:rPr>
        <w:t>The Committee must decide, first, whether the author’s removal to the Russian Federation would constitute a violation of her rights under article 7 of the Covenant. In this connection, t</w:t>
      </w:r>
      <w:r w:rsidRPr="001970A2">
        <w:rPr>
          <w:lang w:val="en-US"/>
        </w:rPr>
        <w:t>he Committee recalls its general comment No. 31</w:t>
      </w:r>
      <w:r w:rsidR="00156499">
        <w:rPr>
          <w:lang w:val="en-US"/>
        </w:rPr>
        <w:t>,</w:t>
      </w:r>
      <w:r w:rsidRPr="001970A2">
        <w:rPr>
          <w:lang w:val="en-US"/>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w:t>
      </w:r>
      <w:r w:rsidR="0019295D">
        <w:rPr>
          <w:lang w:val="en-US"/>
        </w:rPr>
        <w:t>s 6 and</w:t>
      </w:r>
      <w:r w:rsidRPr="001970A2">
        <w:rPr>
          <w:lang w:val="en-US"/>
        </w:rPr>
        <w:t xml:space="preserve"> 7 of the Covenant. The Committee has also indicated that the risk must be personal</w:t>
      </w:r>
      <w:r w:rsidRPr="006E25E7">
        <w:rPr>
          <w:rStyle w:val="FootnoteReference"/>
        </w:rPr>
        <w:footnoteReference w:id="15"/>
      </w:r>
      <w:r w:rsidRPr="001970A2">
        <w:rPr>
          <w:lang w:val="en-US"/>
        </w:rPr>
        <w:t xml:space="preserve"> and that there is a high threshold for providing substantial grounds to establish that a real risk of irreparable harm exists.</w:t>
      </w:r>
      <w:r w:rsidRPr="006E25E7">
        <w:rPr>
          <w:rStyle w:val="FootnoteReference"/>
        </w:rPr>
        <w:footnoteReference w:id="16"/>
      </w:r>
      <w:r w:rsidRPr="001970A2">
        <w:rPr>
          <w:lang w:val="en-US"/>
        </w:rPr>
        <w:t xml:space="preserve"> Thus, all relevant facts and circumstances must be considered, including the general human rights situation in the author’s country of origin.</w:t>
      </w:r>
      <w:r w:rsidRPr="006E25E7">
        <w:rPr>
          <w:rStyle w:val="FootnoteReference"/>
        </w:rPr>
        <w:footnoteReference w:id="17"/>
      </w:r>
      <w:r w:rsidRPr="001970A2">
        <w:rPr>
          <w:lang w:val="en-US"/>
        </w:rPr>
        <w:t xml:space="preserve"> </w:t>
      </w:r>
    </w:p>
    <w:p w:rsidR="005A4F0F" w:rsidRPr="001970A2" w:rsidRDefault="004F3888">
      <w:pPr>
        <w:pStyle w:val="SingleTxtG"/>
        <w:rPr>
          <w:lang w:val="en-US"/>
        </w:rPr>
      </w:pPr>
      <w:r w:rsidRPr="001970A2">
        <w:rPr>
          <w:lang w:val="en-US"/>
        </w:rPr>
        <w:t>9</w:t>
      </w:r>
      <w:r w:rsidR="00F91D32" w:rsidRPr="001970A2">
        <w:rPr>
          <w:lang w:val="en-US"/>
        </w:rPr>
        <w:t>.3</w:t>
      </w:r>
      <w:r w:rsidR="00F91D32" w:rsidRPr="001970A2">
        <w:rPr>
          <w:lang w:val="en-US"/>
        </w:rPr>
        <w:tab/>
        <w:t xml:space="preserve">In the present case, the Committee observes that the reports on the human rights situation in </w:t>
      </w:r>
      <w:r w:rsidR="00891BA7" w:rsidRPr="001970A2">
        <w:rPr>
          <w:lang w:val="en-US"/>
        </w:rPr>
        <w:t>Chechnya</w:t>
      </w:r>
      <w:r w:rsidR="005A4F0F" w:rsidRPr="001970A2">
        <w:rPr>
          <w:lang w:val="en-US"/>
        </w:rPr>
        <w:t xml:space="preserve"> and the situation of Chechens in the Russian Federation</w:t>
      </w:r>
      <w:r w:rsidR="00891BA7" w:rsidRPr="001970A2">
        <w:rPr>
          <w:lang w:val="en-US"/>
        </w:rPr>
        <w:t xml:space="preserve"> </w:t>
      </w:r>
      <w:r w:rsidR="00F91D32" w:rsidRPr="001970A2">
        <w:rPr>
          <w:lang w:val="en-US"/>
        </w:rPr>
        <w:t>invoked by the parties</w:t>
      </w:r>
      <w:r w:rsidR="00F91D32" w:rsidRPr="006E25E7">
        <w:rPr>
          <w:rStyle w:val="FootnoteReference"/>
        </w:rPr>
        <w:footnoteReference w:id="18"/>
      </w:r>
      <w:r w:rsidR="00F91D32" w:rsidRPr="001970A2">
        <w:rPr>
          <w:lang w:val="en-US"/>
        </w:rPr>
        <w:t xml:space="preserve"> indicate</w:t>
      </w:r>
      <w:r w:rsidR="00D37824">
        <w:rPr>
          <w:lang w:val="en-US"/>
        </w:rPr>
        <w:t>, as also confirmed by</w:t>
      </w:r>
      <w:r w:rsidR="00F91D32" w:rsidRPr="001970A2">
        <w:rPr>
          <w:lang w:val="en-US"/>
        </w:rPr>
        <w:t xml:space="preserve"> </w:t>
      </w:r>
      <w:r w:rsidR="00DE1058">
        <w:rPr>
          <w:lang w:val="en-US"/>
        </w:rPr>
        <w:t>the Office of the United Nations High Commissioner for Refugees</w:t>
      </w:r>
      <w:r w:rsidR="00DE1058" w:rsidRPr="001970A2">
        <w:rPr>
          <w:lang w:val="en-US"/>
        </w:rPr>
        <w:t xml:space="preserve"> </w:t>
      </w:r>
      <w:r w:rsidR="005A4F0F" w:rsidRPr="001970A2">
        <w:rPr>
          <w:lang w:val="en-US"/>
        </w:rPr>
        <w:t>in Moscow</w:t>
      </w:r>
      <w:r w:rsidR="00D37824">
        <w:rPr>
          <w:lang w:val="en-US"/>
        </w:rPr>
        <w:t>,</w:t>
      </w:r>
      <w:r w:rsidR="00042EAF">
        <w:rPr>
          <w:lang w:val="en-US"/>
        </w:rPr>
        <w:t xml:space="preserve"> </w:t>
      </w:r>
      <w:r w:rsidR="005A4F0F" w:rsidRPr="001970A2">
        <w:rPr>
          <w:lang w:val="en-US"/>
        </w:rPr>
        <w:t>that relatives of suspected insurgents or relatives of alleged supporters of the insurgents would face a lot of pressure by the authorities</w:t>
      </w:r>
      <w:r w:rsidR="00DE1058">
        <w:rPr>
          <w:lang w:val="en-US"/>
        </w:rPr>
        <w:t xml:space="preserve"> and</w:t>
      </w:r>
      <w:r w:rsidR="005A4F0F" w:rsidRPr="001970A2">
        <w:rPr>
          <w:lang w:val="en-US"/>
        </w:rPr>
        <w:t xml:space="preserve"> that </w:t>
      </w:r>
      <w:r w:rsidR="000F11BD" w:rsidRPr="001970A2">
        <w:rPr>
          <w:lang w:val="en-US"/>
        </w:rPr>
        <w:t>family members could be called in for questioning, which could include everything from a slap in the face to severe beatings depending on the specific circumstances of the case and the individual police officers</w:t>
      </w:r>
      <w:r w:rsidR="00FE0FA4" w:rsidRPr="006E25E7">
        <w:rPr>
          <w:rStyle w:val="FootnoteReference"/>
        </w:rPr>
        <w:footnoteReference w:id="19"/>
      </w:r>
      <w:r w:rsidR="00D37824">
        <w:rPr>
          <w:lang w:val="en-US"/>
        </w:rPr>
        <w:t xml:space="preserve"> conducting the interrogations</w:t>
      </w:r>
      <w:r w:rsidR="000F11BD" w:rsidRPr="001970A2">
        <w:rPr>
          <w:lang w:val="en-US"/>
        </w:rPr>
        <w:t>.</w:t>
      </w:r>
      <w:r w:rsidR="001459DC">
        <w:rPr>
          <w:lang w:val="en-US"/>
        </w:rPr>
        <w:t xml:space="preserve"> T</w:t>
      </w:r>
      <w:r w:rsidR="000F11BD" w:rsidRPr="001970A2">
        <w:rPr>
          <w:lang w:val="en-US"/>
        </w:rPr>
        <w:t>h</w:t>
      </w:r>
      <w:r w:rsidR="00DE1058">
        <w:rPr>
          <w:lang w:val="en-US"/>
        </w:rPr>
        <w:t>ose reports</w:t>
      </w:r>
      <w:r w:rsidR="000F11BD" w:rsidRPr="001970A2">
        <w:rPr>
          <w:lang w:val="en-US"/>
        </w:rPr>
        <w:t xml:space="preserve"> also indicate</w:t>
      </w:r>
      <w:r w:rsidR="001459DC">
        <w:rPr>
          <w:lang w:val="en-US"/>
        </w:rPr>
        <w:t>, however,</w:t>
      </w:r>
      <w:r w:rsidR="000F11BD" w:rsidRPr="001970A2">
        <w:rPr>
          <w:lang w:val="en-US"/>
        </w:rPr>
        <w:t xml:space="preserve"> that women are not exposed to beatings and other forms of physical violence in police custody as often as male detainees. </w:t>
      </w:r>
    </w:p>
    <w:p w:rsidR="00F91D32" w:rsidRPr="001970A2" w:rsidRDefault="004F3888">
      <w:pPr>
        <w:pStyle w:val="SingleTxtG"/>
        <w:rPr>
          <w:lang w:val="en-US"/>
        </w:rPr>
      </w:pPr>
      <w:r w:rsidRPr="001970A2">
        <w:rPr>
          <w:lang w:val="en-US"/>
        </w:rPr>
        <w:t>9</w:t>
      </w:r>
      <w:r w:rsidR="00F91D32" w:rsidRPr="001970A2">
        <w:rPr>
          <w:lang w:val="en-US"/>
        </w:rPr>
        <w:t>.</w:t>
      </w:r>
      <w:r w:rsidRPr="001970A2">
        <w:rPr>
          <w:lang w:val="en-US"/>
        </w:rPr>
        <w:t>4</w:t>
      </w:r>
      <w:r w:rsidRPr="001970A2">
        <w:rPr>
          <w:lang w:val="en-US"/>
        </w:rPr>
        <w:tab/>
      </w:r>
      <w:r w:rsidR="00F91D32" w:rsidRPr="001970A2">
        <w:rPr>
          <w:lang w:val="en-US"/>
        </w:rPr>
        <w:t xml:space="preserve">The Committee notes that in the instant case </w:t>
      </w:r>
      <w:r w:rsidR="00DE1058">
        <w:rPr>
          <w:lang w:val="en-US"/>
        </w:rPr>
        <w:t>neither</w:t>
      </w:r>
      <w:r w:rsidR="00DE1058" w:rsidRPr="001970A2">
        <w:rPr>
          <w:lang w:val="en-US"/>
        </w:rPr>
        <w:t xml:space="preserve"> part</w:t>
      </w:r>
      <w:r w:rsidR="00DE1058">
        <w:rPr>
          <w:lang w:val="en-US"/>
        </w:rPr>
        <w:t>y</w:t>
      </w:r>
      <w:r w:rsidR="00DE1058" w:rsidRPr="001970A2">
        <w:rPr>
          <w:lang w:val="en-US"/>
        </w:rPr>
        <w:t xml:space="preserve"> </w:t>
      </w:r>
      <w:r w:rsidR="00F91D32" w:rsidRPr="001970A2">
        <w:rPr>
          <w:lang w:val="en-US"/>
        </w:rPr>
        <w:t>contest</w:t>
      </w:r>
      <w:r w:rsidR="008C67D8">
        <w:rPr>
          <w:lang w:val="en-US"/>
        </w:rPr>
        <w:t>s</w:t>
      </w:r>
      <w:r w:rsidR="00F91D32" w:rsidRPr="001970A2">
        <w:rPr>
          <w:lang w:val="en-US"/>
        </w:rPr>
        <w:t xml:space="preserve"> the fact that the author is </w:t>
      </w:r>
      <w:r w:rsidR="000C2C7E" w:rsidRPr="001970A2">
        <w:rPr>
          <w:lang w:val="en-US"/>
        </w:rPr>
        <w:t xml:space="preserve">a Russian national of Chechen </w:t>
      </w:r>
      <w:r w:rsidR="00592FBC">
        <w:rPr>
          <w:lang w:val="en-US"/>
        </w:rPr>
        <w:t>origin</w:t>
      </w:r>
      <w:r w:rsidR="0087061A">
        <w:rPr>
          <w:lang w:val="en-US"/>
        </w:rPr>
        <w:t>,</w:t>
      </w:r>
      <w:r w:rsidR="00F91D32" w:rsidRPr="001970A2">
        <w:rPr>
          <w:lang w:val="en-US"/>
        </w:rPr>
        <w:t xml:space="preserve"> that </w:t>
      </w:r>
      <w:r w:rsidR="000C2C7E" w:rsidRPr="001970A2">
        <w:rPr>
          <w:lang w:val="en-US"/>
        </w:rPr>
        <w:t>s</w:t>
      </w:r>
      <w:r w:rsidR="00F91D32" w:rsidRPr="001970A2">
        <w:rPr>
          <w:lang w:val="en-US"/>
        </w:rPr>
        <w:t xml:space="preserve">he </w:t>
      </w:r>
      <w:r w:rsidR="00F91D32" w:rsidRPr="001970A2">
        <w:t xml:space="preserve">has not been a member of any political organization </w:t>
      </w:r>
      <w:r w:rsidR="0087061A">
        <w:t xml:space="preserve">and that she </w:t>
      </w:r>
      <w:r w:rsidR="00592FBC">
        <w:t xml:space="preserve">has </w:t>
      </w:r>
      <w:r w:rsidR="0087061A">
        <w:t>not</w:t>
      </w:r>
      <w:r w:rsidR="00592FBC">
        <w:t xml:space="preserve"> </w:t>
      </w:r>
      <w:r w:rsidR="00F91D32" w:rsidRPr="001970A2">
        <w:t>been politically active.</w:t>
      </w:r>
      <w:r w:rsidR="00F91D32" w:rsidRPr="001970A2">
        <w:rPr>
          <w:lang w:val="en-US"/>
        </w:rPr>
        <w:t xml:space="preserve"> It also </w:t>
      </w:r>
      <w:r w:rsidR="001459DC">
        <w:rPr>
          <w:lang w:val="en-US"/>
        </w:rPr>
        <w:t>notes</w:t>
      </w:r>
      <w:r w:rsidR="001459DC" w:rsidRPr="001970A2">
        <w:rPr>
          <w:lang w:val="en-US"/>
        </w:rPr>
        <w:t xml:space="preserve"> </w:t>
      </w:r>
      <w:r w:rsidR="00F91D32" w:rsidRPr="001970A2">
        <w:rPr>
          <w:lang w:val="en-US"/>
        </w:rPr>
        <w:t xml:space="preserve">that the author does not argue that </w:t>
      </w:r>
      <w:r w:rsidR="000C2C7E" w:rsidRPr="001970A2">
        <w:rPr>
          <w:lang w:val="en-US"/>
        </w:rPr>
        <w:t>s</w:t>
      </w:r>
      <w:r w:rsidR="00F91D32" w:rsidRPr="001970A2">
        <w:rPr>
          <w:lang w:val="en-US"/>
        </w:rPr>
        <w:t xml:space="preserve">he participated, supported or </w:t>
      </w:r>
      <w:r w:rsidR="008C67D8">
        <w:rPr>
          <w:lang w:val="en-US"/>
        </w:rPr>
        <w:t>was otherwise</w:t>
      </w:r>
      <w:r w:rsidR="00F91D32" w:rsidRPr="001970A2">
        <w:rPr>
          <w:lang w:val="en-US"/>
        </w:rPr>
        <w:t xml:space="preserve"> involved in </w:t>
      </w:r>
      <w:r w:rsidR="000C2C7E" w:rsidRPr="001970A2">
        <w:rPr>
          <w:lang w:val="en-US"/>
        </w:rPr>
        <w:t xml:space="preserve">Chechen rebel </w:t>
      </w:r>
      <w:r w:rsidR="00F91D32" w:rsidRPr="001970A2">
        <w:rPr>
          <w:lang w:val="en-US"/>
        </w:rPr>
        <w:t xml:space="preserve">activities. </w:t>
      </w:r>
      <w:r w:rsidR="000C2C7E" w:rsidRPr="001970A2">
        <w:rPr>
          <w:lang w:val="en-US"/>
        </w:rPr>
        <w:t xml:space="preserve">The Committee notes her claims that she has been perceived by the authorities as a </w:t>
      </w:r>
      <w:r w:rsidR="0087061A">
        <w:rPr>
          <w:lang w:val="en-US"/>
        </w:rPr>
        <w:t xml:space="preserve">rebel </w:t>
      </w:r>
      <w:r w:rsidR="000C2C7E" w:rsidRPr="001970A2">
        <w:rPr>
          <w:lang w:val="en-US"/>
        </w:rPr>
        <w:t xml:space="preserve">sympathizer </w:t>
      </w:r>
      <w:r w:rsidR="00683DDF">
        <w:rPr>
          <w:lang w:val="en-US"/>
        </w:rPr>
        <w:t xml:space="preserve">because of her son’s activities and </w:t>
      </w:r>
      <w:r w:rsidR="000C2C7E" w:rsidRPr="001970A2">
        <w:rPr>
          <w:lang w:val="en-US"/>
        </w:rPr>
        <w:t>because of her selling bread to po</w:t>
      </w:r>
      <w:r w:rsidRPr="001970A2">
        <w:rPr>
          <w:lang w:val="en-US"/>
        </w:rPr>
        <w:t>ssible</w:t>
      </w:r>
      <w:r w:rsidR="000C2C7E" w:rsidRPr="001970A2">
        <w:rPr>
          <w:lang w:val="en-US"/>
        </w:rPr>
        <w:t xml:space="preserve"> rebels, </w:t>
      </w:r>
      <w:r w:rsidR="00683DDF">
        <w:rPr>
          <w:lang w:val="en-US"/>
        </w:rPr>
        <w:t xml:space="preserve">and that </w:t>
      </w:r>
      <w:r w:rsidR="00A5472F">
        <w:rPr>
          <w:lang w:val="en-US"/>
        </w:rPr>
        <w:t xml:space="preserve">as a result </w:t>
      </w:r>
      <w:r w:rsidRPr="001970A2">
        <w:rPr>
          <w:lang w:val="en-US"/>
        </w:rPr>
        <w:t xml:space="preserve">she </w:t>
      </w:r>
      <w:r w:rsidR="008C67D8">
        <w:rPr>
          <w:lang w:val="en-US"/>
        </w:rPr>
        <w:t xml:space="preserve">was </w:t>
      </w:r>
      <w:r w:rsidR="00F91D32" w:rsidRPr="001970A2">
        <w:rPr>
          <w:lang w:val="en-US"/>
        </w:rPr>
        <w:t>detained</w:t>
      </w:r>
      <w:r w:rsidR="008C67D8">
        <w:rPr>
          <w:lang w:val="en-US"/>
        </w:rPr>
        <w:t>,</w:t>
      </w:r>
      <w:r w:rsidR="00592FBC">
        <w:rPr>
          <w:lang w:val="en-US"/>
        </w:rPr>
        <w:t xml:space="preserve"> </w:t>
      </w:r>
      <w:r w:rsidR="00F91D32" w:rsidRPr="001970A2">
        <w:rPr>
          <w:lang w:val="en-US"/>
        </w:rPr>
        <w:t>ill-treated</w:t>
      </w:r>
      <w:r w:rsidR="008C67D8">
        <w:rPr>
          <w:lang w:val="en-US"/>
        </w:rPr>
        <w:t xml:space="preserve"> and </w:t>
      </w:r>
      <w:r w:rsidR="00F91D32" w:rsidRPr="001970A2">
        <w:rPr>
          <w:lang w:val="en-US"/>
        </w:rPr>
        <w:t xml:space="preserve">tortured by the police </w:t>
      </w:r>
      <w:r w:rsidR="000C2C7E" w:rsidRPr="001970A2">
        <w:rPr>
          <w:lang w:val="en-US"/>
        </w:rPr>
        <w:t>in November 2012</w:t>
      </w:r>
      <w:r w:rsidR="008C67D8">
        <w:rPr>
          <w:lang w:val="en-US"/>
        </w:rPr>
        <w:t>,</w:t>
      </w:r>
      <w:r w:rsidR="000C2C7E" w:rsidRPr="001970A2">
        <w:rPr>
          <w:lang w:val="en-US"/>
        </w:rPr>
        <w:t xml:space="preserve"> </w:t>
      </w:r>
      <w:r w:rsidR="00F91D32" w:rsidRPr="001970A2">
        <w:rPr>
          <w:lang w:val="en-US"/>
        </w:rPr>
        <w:t>prior to h</w:t>
      </w:r>
      <w:r w:rsidR="000C2C7E" w:rsidRPr="001970A2">
        <w:rPr>
          <w:lang w:val="en-US"/>
        </w:rPr>
        <w:t>er</w:t>
      </w:r>
      <w:r w:rsidR="00F91D32" w:rsidRPr="001970A2">
        <w:rPr>
          <w:lang w:val="en-US"/>
        </w:rPr>
        <w:t xml:space="preserve"> departure</w:t>
      </w:r>
      <w:r w:rsidR="000C2C7E" w:rsidRPr="001970A2">
        <w:rPr>
          <w:lang w:val="en-US"/>
        </w:rPr>
        <w:t xml:space="preserve"> from the Russian Federation</w:t>
      </w:r>
      <w:r w:rsidR="00F91D32" w:rsidRPr="001970A2">
        <w:rPr>
          <w:lang w:val="en-US"/>
        </w:rPr>
        <w:t xml:space="preserve">. Against this background, the Committee notes that the Refugee Appeals Board rejected the author’s asylum request on </w:t>
      </w:r>
      <w:r w:rsidR="000F11BD" w:rsidRPr="001970A2">
        <w:rPr>
          <w:lang w:val="en-US"/>
        </w:rPr>
        <w:t>6 March</w:t>
      </w:r>
      <w:r w:rsidR="00F91D32" w:rsidRPr="001970A2">
        <w:rPr>
          <w:lang w:val="en-US"/>
        </w:rPr>
        <w:t xml:space="preserve"> 201</w:t>
      </w:r>
      <w:r w:rsidR="000F11BD" w:rsidRPr="001970A2">
        <w:rPr>
          <w:lang w:val="en-US"/>
        </w:rPr>
        <w:t>4</w:t>
      </w:r>
      <w:r w:rsidR="00F91D32" w:rsidRPr="001970A2">
        <w:rPr>
          <w:lang w:val="en-US"/>
        </w:rPr>
        <w:t xml:space="preserve"> and h</w:t>
      </w:r>
      <w:r w:rsidR="000F11BD" w:rsidRPr="001970A2">
        <w:rPr>
          <w:lang w:val="en-US"/>
        </w:rPr>
        <w:t>er</w:t>
      </w:r>
      <w:r w:rsidR="00F91D32" w:rsidRPr="001970A2">
        <w:rPr>
          <w:lang w:val="en-US"/>
        </w:rPr>
        <w:t xml:space="preserve"> request on 1</w:t>
      </w:r>
      <w:r w:rsidR="000C2C7E" w:rsidRPr="001970A2">
        <w:rPr>
          <w:lang w:val="en-US"/>
        </w:rPr>
        <w:t xml:space="preserve"> July</w:t>
      </w:r>
      <w:r w:rsidR="00F91D32" w:rsidRPr="001970A2">
        <w:rPr>
          <w:lang w:val="en-US"/>
        </w:rPr>
        <w:t xml:space="preserve"> 201</w:t>
      </w:r>
      <w:r w:rsidR="000C2C7E" w:rsidRPr="001970A2">
        <w:rPr>
          <w:lang w:val="en-US"/>
        </w:rPr>
        <w:t>4</w:t>
      </w:r>
      <w:r w:rsidR="0087061A" w:rsidRPr="0087061A">
        <w:rPr>
          <w:lang w:val="en-US"/>
        </w:rPr>
        <w:t xml:space="preserve"> </w:t>
      </w:r>
      <w:r w:rsidR="0087061A">
        <w:rPr>
          <w:lang w:val="en-US"/>
        </w:rPr>
        <w:t>that her case be</w:t>
      </w:r>
      <w:r w:rsidR="0087061A" w:rsidRPr="001970A2">
        <w:rPr>
          <w:lang w:val="en-US"/>
        </w:rPr>
        <w:t xml:space="preserve"> reopen</w:t>
      </w:r>
      <w:r w:rsidR="0087061A">
        <w:rPr>
          <w:lang w:val="en-US"/>
        </w:rPr>
        <w:t>ed</w:t>
      </w:r>
      <w:r w:rsidR="00F91D32" w:rsidRPr="001970A2">
        <w:rPr>
          <w:lang w:val="en-US"/>
        </w:rPr>
        <w:t>, consider</w:t>
      </w:r>
      <w:r w:rsidR="00592FBC">
        <w:rPr>
          <w:lang w:val="en-US"/>
        </w:rPr>
        <w:t>ing</w:t>
      </w:r>
      <w:r w:rsidR="00F91D32" w:rsidRPr="001970A2">
        <w:rPr>
          <w:lang w:val="en-US"/>
        </w:rPr>
        <w:t xml:space="preserve"> that the author </w:t>
      </w:r>
      <w:r w:rsidR="00EE6D6B">
        <w:rPr>
          <w:lang w:val="en-US"/>
        </w:rPr>
        <w:t xml:space="preserve">had </w:t>
      </w:r>
      <w:r w:rsidR="00F91D32" w:rsidRPr="001970A2">
        <w:rPr>
          <w:lang w:val="en-US"/>
        </w:rPr>
        <w:t xml:space="preserve">failed to substantiate </w:t>
      </w:r>
      <w:r w:rsidR="00EE6D6B">
        <w:rPr>
          <w:lang w:val="en-US"/>
        </w:rPr>
        <w:t xml:space="preserve">her claim </w:t>
      </w:r>
      <w:r w:rsidR="00F91D32" w:rsidRPr="001970A2">
        <w:rPr>
          <w:lang w:val="en-US"/>
        </w:rPr>
        <w:t xml:space="preserve">that </w:t>
      </w:r>
      <w:r w:rsidR="000C2C7E" w:rsidRPr="001970A2">
        <w:rPr>
          <w:lang w:val="en-US"/>
        </w:rPr>
        <w:t>s</w:t>
      </w:r>
      <w:r w:rsidR="00F91D32" w:rsidRPr="001970A2">
        <w:rPr>
          <w:lang w:val="en-US"/>
        </w:rPr>
        <w:t>he would be at risk of persecution</w:t>
      </w:r>
      <w:r w:rsidR="000C2C7E" w:rsidRPr="001970A2">
        <w:rPr>
          <w:lang w:val="en-US"/>
        </w:rPr>
        <w:t xml:space="preserve"> </w:t>
      </w:r>
      <w:r w:rsidR="00EE6D6B">
        <w:rPr>
          <w:lang w:val="en-US"/>
        </w:rPr>
        <w:t>or</w:t>
      </w:r>
      <w:r w:rsidR="000C2C7E" w:rsidRPr="001970A2">
        <w:rPr>
          <w:lang w:val="en-US"/>
        </w:rPr>
        <w:t xml:space="preserve"> torture</w:t>
      </w:r>
      <w:r w:rsidR="00F91D32" w:rsidRPr="001970A2">
        <w:rPr>
          <w:lang w:val="en-US"/>
        </w:rPr>
        <w:t xml:space="preserve"> if returned to </w:t>
      </w:r>
      <w:r w:rsidR="000C2C7E" w:rsidRPr="001970A2">
        <w:rPr>
          <w:lang w:val="en-US"/>
        </w:rPr>
        <w:t>the Russian Federation</w:t>
      </w:r>
      <w:r w:rsidR="00F91D32" w:rsidRPr="001970A2">
        <w:rPr>
          <w:lang w:val="en-US"/>
        </w:rPr>
        <w:t xml:space="preserve">. </w:t>
      </w:r>
    </w:p>
    <w:p w:rsidR="004F3888" w:rsidRPr="001970A2" w:rsidRDefault="004F3888">
      <w:pPr>
        <w:pStyle w:val="SingleTxtG"/>
        <w:rPr>
          <w:lang w:val="en-US"/>
        </w:rPr>
      </w:pPr>
      <w:r w:rsidRPr="001970A2">
        <w:rPr>
          <w:lang w:val="en-US"/>
        </w:rPr>
        <w:t>9</w:t>
      </w:r>
      <w:r w:rsidR="00F91D32" w:rsidRPr="001970A2">
        <w:rPr>
          <w:lang w:val="en-US"/>
        </w:rPr>
        <w:t>.</w:t>
      </w:r>
      <w:r w:rsidRPr="001970A2">
        <w:rPr>
          <w:lang w:val="en-US"/>
        </w:rPr>
        <w:t>5</w:t>
      </w:r>
      <w:r w:rsidR="00F91D32" w:rsidRPr="001970A2">
        <w:rPr>
          <w:lang w:val="en-US"/>
        </w:rPr>
        <w:tab/>
        <w:t>The Committee recalls its jurisprudence that important weight should be given to the assessment conducted by the State party, unless it is found that the evaluation was clearly arbitrary or amounted to a denial of justice,</w:t>
      </w:r>
      <w:r w:rsidR="00F91D32" w:rsidRPr="006E25E7">
        <w:rPr>
          <w:rStyle w:val="FootnoteReference"/>
        </w:rPr>
        <w:footnoteReference w:id="20"/>
      </w:r>
      <w:r w:rsidR="00F91D32" w:rsidRPr="001970A2">
        <w:rPr>
          <w:lang w:val="en-US"/>
        </w:rPr>
        <w:t xml:space="preserve"> and that it is generally for the organs of States parties to the Covenant to review or evaluate facts and evidence in order to determine whether such a risk exists.</w:t>
      </w:r>
      <w:r w:rsidR="00F91D32" w:rsidRPr="006E25E7">
        <w:rPr>
          <w:rStyle w:val="FootnoteReference"/>
        </w:rPr>
        <w:footnoteReference w:id="21"/>
      </w:r>
      <w:r w:rsidR="008C67D8">
        <w:rPr>
          <w:lang w:val="en-US"/>
        </w:rPr>
        <w:t xml:space="preserve"> </w:t>
      </w:r>
      <w:r w:rsidR="00F91D32" w:rsidRPr="001970A2">
        <w:rPr>
          <w:lang w:val="en-US"/>
        </w:rPr>
        <w:t>In the instant case, the Committee observes that the Danish Immigration Service refused the author’s asylum request,</w:t>
      </w:r>
      <w:r w:rsidR="0087061A">
        <w:rPr>
          <w:lang w:val="en-US"/>
        </w:rPr>
        <w:t xml:space="preserve"> that</w:t>
      </w:r>
      <w:r w:rsidR="00F91D32" w:rsidRPr="001970A2">
        <w:rPr>
          <w:lang w:val="en-US"/>
        </w:rPr>
        <w:t xml:space="preserve"> the author appealed that decision and </w:t>
      </w:r>
      <w:r w:rsidR="0087061A">
        <w:rPr>
          <w:lang w:val="en-US"/>
        </w:rPr>
        <w:t xml:space="preserve">that </w:t>
      </w:r>
      <w:r w:rsidR="00F91D32" w:rsidRPr="001970A2">
        <w:rPr>
          <w:lang w:val="en-US"/>
        </w:rPr>
        <w:t>the Refugee Appeals Board upheld the former decision. The Committee notes that</w:t>
      </w:r>
      <w:r w:rsidR="0087061A">
        <w:rPr>
          <w:lang w:val="en-US"/>
        </w:rPr>
        <w:t>,</w:t>
      </w:r>
      <w:r w:rsidR="00F91D32" w:rsidRPr="001970A2">
        <w:rPr>
          <w:lang w:val="en-US"/>
        </w:rPr>
        <w:t xml:space="preserve"> in examining the author’s asylum request, the Board reviewed the author’s allegations making</w:t>
      </w:r>
      <w:r w:rsidR="00F91D32" w:rsidRPr="001970A2">
        <w:t xml:space="preserve"> a specific and individual risk assessment, taking</w:t>
      </w:r>
      <w:r w:rsidR="00F91D32" w:rsidRPr="001970A2">
        <w:rPr>
          <w:lang w:val="en-US"/>
        </w:rPr>
        <w:t xml:space="preserve"> into due </w:t>
      </w:r>
      <w:r w:rsidR="00F91D32" w:rsidRPr="001970A2">
        <w:t>consideration</w:t>
      </w:r>
      <w:r w:rsidR="00F91D32" w:rsidRPr="001970A2">
        <w:rPr>
          <w:lang w:val="en-US"/>
        </w:rPr>
        <w:t xml:space="preserve"> reports </w:t>
      </w:r>
      <w:r w:rsidR="0087061A">
        <w:rPr>
          <w:lang w:val="en-US"/>
        </w:rPr>
        <w:t>containing</w:t>
      </w:r>
      <w:r w:rsidR="00F91D32" w:rsidRPr="001970A2">
        <w:rPr>
          <w:lang w:val="en-US"/>
        </w:rPr>
        <w:t xml:space="preserve"> information concerning the situation of </w:t>
      </w:r>
      <w:r w:rsidR="00121BB0" w:rsidRPr="001970A2">
        <w:rPr>
          <w:lang w:val="en-US"/>
        </w:rPr>
        <w:t>Chechens</w:t>
      </w:r>
      <w:r w:rsidR="00F91D32" w:rsidRPr="001970A2">
        <w:rPr>
          <w:lang w:val="en-US"/>
        </w:rPr>
        <w:t xml:space="preserve"> in </w:t>
      </w:r>
      <w:r w:rsidR="00121BB0" w:rsidRPr="001970A2">
        <w:rPr>
          <w:lang w:val="en-US"/>
        </w:rPr>
        <w:t>the Russian Federation</w:t>
      </w:r>
      <w:r w:rsidR="00F91D32" w:rsidRPr="001970A2">
        <w:rPr>
          <w:lang w:val="en-US"/>
        </w:rPr>
        <w:t>.</w:t>
      </w:r>
      <w:r w:rsidR="00121BB0" w:rsidRPr="001970A2">
        <w:rPr>
          <w:lang w:val="en-US"/>
        </w:rPr>
        <w:t xml:space="preserve"> </w:t>
      </w:r>
    </w:p>
    <w:p w:rsidR="004F3888" w:rsidRPr="001970A2" w:rsidRDefault="004F3888" w:rsidP="00050D1F">
      <w:pPr>
        <w:pStyle w:val="SingleTxtG"/>
        <w:rPr>
          <w:lang w:val="en-US"/>
        </w:rPr>
      </w:pPr>
      <w:r w:rsidRPr="001970A2">
        <w:rPr>
          <w:lang w:val="en-US"/>
        </w:rPr>
        <w:t>9.6</w:t>
      </w:r>
      <w:r w:rsidRPr="001970A2">
        <w:rPr>
          <w:lang w:val="en-US"/>
        </w:rPr>
        <w:tab/>
      </w:r>
      <w:r w:rsidR="00121BB0" w:rsidRPr="001970A2">
        <w:rPr>
          <w:lang w:val="en-US"/>
        </w:rPr>
        <w:t>It further notes the Refugee Appeals Board</w:t>
      </w:r>
      <w:r w:rsidR="00050D1F">
        <w:rPr>
          <w:lang w:val="en-US"/>
        </w:rPr>
        <w:t>’s</w:t>
      </w:r>
      <w:r w:rsidR="00121BB0" w:rsidRPr="001970A2">
        <w:rPr>
          <w:lang w:val="en-US"/>
        </w:rPr>
        <w:t xml:space="preserve"> assessment that the situation of the author’s son (who was granted asylum in 2010 </w:t>
      </w:r>
      <w:r w:rsidR="00050D1F">
        <w:rPr>
          <w:lang w:val="en-US"/>
        </w:rPr>
        <w:t>owing</w:t>
      </w:r>
      <w:r w:rsidR="00050D1F" w:rsidRPr="001970A2">
        <w:rPr>
          <w:lang w:val="en-US"/>
        </w:rPr>
        <w:t xml:space="preserve"> </w:t>
      </w:r>
      <w:r w:rsidR="00121BB0" w:rsidRPr="001970A2">
        <w:rPr>
          <w:lang w:val="en-US"/>
        </w:rPr>
        <w:t xml:space="preserve">to his conflict with the authorities </w:t>
      </w:r>
      <w:r w:rsidR="00ED49A5">
        <w:rPr>
          <w:lang w:val="en-US"/>
        </w:rPr>
        <w:t xml:space="preserve">between </w:t>
      </w:r>
      <w:r w:rsidR="00121BB0" w:rsidRPr="001970A2">
        <w:rPr>
          <w:lang w:val="en-US"/>
        </w:rPr>
        <w:t xml:space="preserve">1999 </w:t>
      </w:r>
      <w:r w:rsidR="00ED49A5">
        <w:rPr>
          <w:lang w:val="en-US"/>
        </w:rPr>
        <w:t>and</w:t>
      </w:r>
      <w:r w:rsidR="00121BB0" w:rsidRPr="001970A2">
        <w:rPr>
          <w:lang w:val="en-US"/>
        </w:rPr>
        <w:t xml:space="preserve"> early 2010</w:t>
      </w:r>
      <w:r w:rsidR="00B82AF5" w:rsidRPr="001970A2">
        <w:rPr>
          <w:lang w:val="en-US"/>
        </w:rPr>
        <w:t xml:space="preserve"> and who </w:t>
      </w:r>
      <w:r w:rsidR="008C67D8">
        <w:rPr>
          <w:lang w:val="en-US"/>
        </w:rPr>
        <w:t xml:space="preserve">has not been </w:t>
      </w:r>
      <w:r w:rsidR="00B82AF5" w:rsidRPr="001970A2">
        <w:rPr>
          <w:lang w:val="en-US"/>
        </w:rPr>
        <w:t>an active insurgent since then</w:t>
      </w:r>
      <w:r w:rsidR="00121BB0" w:rsidRPr="001970A2">
        <w:rPr>
          <w:lang w:val="en-US"/>
        </w:rPr>
        <w:t>) does not in itself form a basis f</w:t>
      </w:r>
      <w:r w:rsidR="00ED49A5">
        <w:rPr>
          <w:lang w:val="en-US"/>
        </w:rPr>
        <w:t>or granting</w:t>
      </w:r>
      <w:r w:rsidR="00121BB0" w:rsidRPr="001970A2">
        <w:rPr>
          <w:lang w:val="en-US"/>
        </w:rPr>
        <w:t xml:space="preserve"> asylum </w:t>
      </w:r>
      <w:r w:rsidR="00ED49A5">
        <w:rPr>
          <w:lang w:val="en-US"/>
        </w:rPr>
        <w:t>t</w:t>
      </w:r>
      <w:r w:rsidR="00121BB0" w:rsidRPr="001970A2">
        <w:rPr>
          <w:lang w:val="en-US"/>
        </w:rPr>
        <w:t xml:space="preserve">o the author; that the </w:t>
      </w:r>
      <w:r w:rsidR="00ED49A5">
        <w:rPr>
          <w:lang w:val="en-US"/>
        </w:rPr>
        <w:t>fact</w:t>
      </w:r>
      <w:r w:rsidR="00121BB0" w:rsidRPr="001970A2">
        <w:rPr>
          <w:lang w:val="en-US"/>
        </w:rPr>
        <w:t xml:space="preserve"> that the author has been contacted by the authorities because of her son’s situation</w:t>
      </w:r>
      <w:r w:rsidR="00B26B2F" w:rsidRPr="001970A2">
        <w:rPr>
          <w:lang w:val="en-US"/>
        </w:rPr>
        <w:t xml:space="preserve"> does not form a basis for </w:t>
      </w:r>
      <w:r w:rsidR="00050D1F">
        <w:rPr>
          <w:lang w:val="en-US"/>
        </w:rPr>
        <w:t xml:space="preserve">granting </w:t>
      </w:r>
      <w:r w:rsidR="00B26B2F" w:rsidRPr="001970A2">
        <w:rPr>
          <w:lang w:val="en-US"/>
        </w:rPr>
        <w:t xml:space="preserve">asylum </w:t>
      </w:r>
      <w:r w:rsidR="00050D1F">
        <w:rPr>
          <w:lang w:val="en-US"/>
        </w:rPr>
        <w:t>to</w:t>
      </w:r>
      <w:r w:rsidR="00B26B2F" w:rsidRPr="001970A2">
        <w:rPr>
          <w:lang w:val="en-US"/>
        </w:rPr>
        <w:t xml:space="preserve"> the author; that the author’s son </w:t>
      </w:r>
      <w:r w:rsidR="00B26B2F" w:rsidRPr="001459DC">
        <w:rPr>
          <w:lang w:val="en-US"/>
        </w:rPr>
        <w:t>left the country in February</w:t>
      </w:r>
      <w:r w:rsidR="00B26B2F" w:rsidRPr="001970A2">
        <w:rPr>
          <w:lang w:val="en-US"/>
        </w:rPr>
        <w:t xml:space="preserve"> 2010 and </w:t>
      </w:r>
      <w:r w:rsidR="00050D1F">
        <w:rPr>
          <w:lang w:val="en-US"/>
        </w:rPr>
        <w:t xml:space="preserve">that </w:t>
      </w:r>
      <w:r w:rsidR="00B26B2F" w:rsidRPr="001970A2">
        <w:rPr>
          <w:lang w:val="en-US"/>
        </w:rPr>
        <w:t>the author was subsequently contacted by the authorities several times</w:t>
      </w:r>
      <w:r w:rsidR="00050D1F">
        <w:rPr>
          <w:lang w:val="en-US"/>
        </w:rPr>
        <w:t xml:space="preserve"> to</w:t>
      </w:r>
      <w:r w:rsidR="00B26B2F" w:rsidRPr="001970A2">
        <w:rPr>
          <w:lang w:val="en-US"/>
        </w:rPr>
        <w:t xml:space="preserve"> ask for </w:t>
      </w:r>
      <w:r w:rsidR="00ED49A5">
        <w:rPr>
          <w:lang w:val="en-US"/>
        </w:rPr>
        <w:t xml:space="preserve">her son’s </w:t>
      </w:r>
      <w:r w:rsidR="00B26B2F" w:rsidRPr="001970A2">
        <w:rPr>
          <w:lang w:val="en-US"/>
        </w:rPr>
        <w:t>whereabouts</w:t>
      </w:r>
      <w:r w:rsidR="00ED49A5">
        <w:rPr>
          <w:lang w:val="en-US"/>
        </w:rPr>
        <w:t xml:space="preserve"> without, however,</w:t>
      </w:r>
      <w:r w:rsidR="00B26B2F" w:rsidRPr="001970A2">
        <w:rPr>
          <w:lang w:val="en-US"/>
        </w:rPr>
        <w:t xml:space="preserve"> expos</w:t>
      </w:r>
      <w:r w:rsidR="00ED49A5">
        <w:rPr>
          <w:lang w:val="en-US"/>
        </w:rPr>
        <w:t>ing</w:t>
      </w:r>
      <w:r w:rsidR="00B26B2F" w:rsidRPr="001970A2">
        <w:rPr>
          <w:lang w:val="en-US"/>
        </w:rPr>
        <w:t xml:space="preserve"> her to abuse on those occasions; that the author’s son was not a high-profile member of a Chechen rebel group and </w:t>
      </w:r>
      <w:r w:rsidR="00050D1F">
        <w:rPr>
          <w:lang w:val="en-US"/>
        </w:rPr>
        <w:t xml:space="preserve">that </w:t>
      </w:r>
      <w:r w:rsidR="00B26B2F" w:rsidRPr="001970A2">
        <w:rPr>
          <w:lang w:val="en-US"/>
        </w:rPr>
        <w:t>the author does not belong to a group at particular</w:t>
      </w:r>
      <w:r w:rsidR="00050D1F">
        <w:rPr>
          <w:lang w:val="en-US"/>
        </w:rPr>
        <w:t>ly high</w:t>
      </w:r>
      <w:r w:rsidR="00B26B2F" w:rsidRPr="001970A2">
        <w:rPr>
          <w:lang w:val="en-US"/>
        </w:rPr>
        <w:t xml:space="preserve"> risk of being abused by the Chechen authorities </w:t>
      </w:r>
      <w:r w:rsidR="00050D1F">
        <w:rPr>
          <w:lang w:val="en-US"/>
        </w:rPr>
        <w:t>should she</w:t>
      </w:r>
      <w:r w:rsidR="00B26B2F" w:rsidRPr="001970A2">
        <w:rPr>
          <w:lang w:val="en-US"/>
        </w:rPr>
        <w:t xml:space="preserve"> return to her home region; </w:t>
      </w:r>
      <w:r w:rsidR="00050D1F">
        <w:rPr>
          <w:lang w:val="en-US"/>
        </w:rPr>
        <w:t xml:space="preserve">and </w:t>
      </w:r>
      <w:r w:rsidR="00B26B2F" w:rsidRPr="001970A2">
        <w:rPr>
          <w:lang w:val="en-US"/>
        </w:rPr>
        <w:t xml:space="preserve">that she moved to Ingushetia after her son’s departure because she was tired of being contacted by the authorities, she then moved back to Chechnya because she preferred to go home and she stayed there even though the authorities continued to contact her at home </w:t>
      </w:r>
      <w:r w:rsidR="00ED49A5">
        <w:rPr>
          <w:lang w:val="en-US"/>
        </w:rPr>
        <w:t>and inquire about</w:t>
      </w:r>
      <w:r w:rsidR="00B26B2F" w:rsidRPr="001970A2">
        <w:rPr>
          <w:lang w:val="en-US"/>
        </w:rPr>
        <w:t xml:space="preserve"> her son.</w:t>
      </w:r>
    </w:p>
    <w:p w:rsidR="004F3888" w:rsidRPr="001970A2" w:rsidRDefault="004F3888">
      <w:pPr>
        <w:pStyle w:val="SingleTxtG"/>
        <w:rPr>
          <w:lang w:val="en-US"/>
        </w:rPr>
      </w:pPr>
      <w:r w:rsidRPr="001970A2">
        <w:rPr>
          <w:lang w:val="en-US"/>
        </w:rPr>
        <w:t>9.7</w:t>
      </w:r>
      <w:r w:rsidRPr="001970A2">
        <w:rPr>
          <w:lang w:val="en-US"/>
        </w:rPr>
        <w:tab/>
      </w:r>
      <w:r w:rsidR="00B26B2F" w:rsidRPr="001970A2">
        <w:rPr>
          <w:lang w:val="en-US"/>
        </w:rPr>
        <w:t xml:space="preserve">The Committee notes that the author has not been politically active herself </w:t>
      </w:r>
      <w:r w:rsidR="00ED49A5">
        <w:rPr>
          <w:lang w:val="en-US"/>
        </w:rPr>
        <w:t>but</w:t>
      </w:r>
      <w:r w:rsidR="00ED49A5" w:rsidRPr="001970A2">
        <w:rPr>
          <w:lang w:val="en-US"/>
        </w:rPr>
        <w:t xml:space="preserve"> </w:t>
      </w:r>
      <w:r w:rsidR="00B26B2F" w:rsidRPr="001970A2">
        <w:rPr>
          <w:lang w:val="en-US"/>
        </w:rPr>
        <w:t xml:space="preserve">appears </w:t>
      </w:r>
      <w:r w:rsidR="00050D1F">
        <w:rPr>
          <w:lang w:val="en-US"/>
        </w:rPr>
        <w:t>to be</w:t>
      </w:r>
      <w:r w:rsidR="00050D1F" w:rsidRPr="001970A2">
        <w:rPr>
          <w:lang w:val="en-US"/>
        </w:rPr>
        <w:t xml:space="preserve"> </w:t>
      </w:r>
      <w:r w:rsidR="00B26B2F" w:rsidRPr="001970A2">
        <w:rPr>
          <w:lang w:val="en-US"/>
        </w:rPr>
        <w:t xml:space="preserve">a very low-profile individual; </w:t>
      </w:r>
      <w:r w:rsidR="006039A7" w:rsidRPr="001970A2">
        <w:rPr>
          <w:lang w:val="en-US"/>
        </w:rPr>
        <w:t>she had no connection</w:t>
      </w:r>
      <w:r w:rsidR="00050D1F">
        <w:rPr>
          <w:lang w:val="en-US"/>
        </w:rPr>
        <w:t xml:space="preserve"> to</w:t>
      </w:r>
      <w:r w:rsidR="00ED49A5">
        <w:rPr>
          <w:lang w:val="en-US"/>
        </w:rPr>
        <w:t xml:space="preserve"> </w:t>
      </w:r>
      <w:r w:rsidR="006039A7" w:rsidRPr="001970A2">
        <w:rPr>
          <w:lang w:val="en-US"/>
        </w:rPr>
        <w:t xml:space="preserve">the Chechen rebels, according to the information submitted by her, nor </w:t>
      </w:r>
      <w:r w:rsidR="00ED49A5">
        <w:rPr>
          <w:lang w:val="en-US"/>
        </w:rPr>
        <w:t xml:space="preserve">had </w:t>
      </w:r>
      <w:r w:rsidR="006039A7" w:rsidRPr="001970A2">
        <w:rPr>
          <w:lang w:val="en-US"/>
        </w:rPr>
        <w:t xml:space="preserve">she </w:t>
      </w:r>
      <w:r w:rsidR="00050D1F">
        <w:rPr>
          <w:lang w:val="en-US"/>
        </w:rPr>
        <w:t xml:space="preserve">come into </w:t>
      </w:r>
      <w:r w:rsidR="006039A7" w:rsidRPr="001970A2">
        <w:rPr>
          <w:lang w:val="en-US"/>
        </w:rPr>
        <w:t xml:space="preserve">any conflict because of her son’s circumstances. </w:t>
      </w:r>
      <w:r w:rsidR="00ED49A5">
        <w:rPr>
          <w:lang w:val="en-US"/>
        </w:rPr>
        <w:t xml:space="preserve">The Committee </w:t>
      </w:r>
      <w:r w:rsidR="00A25454" w:rsidRPr="001970A2">
        <w:rPr>
          <w:lang w:val="en-US"/>
        </w:rPr>
        <w:t>notes the State party</w:t>
      </w:r>
      <w:r w:rsidR="00ED49A5">
        <w:rPr>
          <w:lang w:val="en-US"/>
        </w:rPr>
        <w:t>’s</w:t>
      </w:r>
      <w:r w:rsidR="00A25454" w:rsidRPr="001970A2">
        <w:rPr>
          <w:lang w:val="en-US"/>
        </w:rPr>
        <w:t xml:space="preserve"> assessment that it </w:t>
      </w:r>
      <w:r w:rsidR="006039A7" w:rsidRPr="001970A2">
        <w:rPr>
          <w:lang w:val="en-US"/>
        </w:rPr>
        <w:t xml:space="preserve">appears unconvincing that </w:t>
      </w:r>
      <w:r w:rsidR="00A25454" w:rsidRPr="001970A2">
        <w:rPr>
          <w:lang w:val="en-US"/>
        </w:rPr>
        <w:t>the author</w:t>
      </w:r>
      <w:r w:rsidR="006039A7" w:rsidRPr="001970A2">
        <w:rPr>
          <w:lang w:val="en-US"/>
        </w:rPr>
        <w:t xml:space="preserve"> would have become a person of interest to the authorities merely for having sold bread outside her home to passers-by whose identity was unknown to her</w:t>
      </w:r>
      <w:r w:rsidR="00ED49A5">
        <w:rPr>
          <w:lang w:val="en-US"/>
        </w:rPr>
        <w:t xml:space="preserve">, whereas </w:t>
      </w:r>
      <w:r w:rsidR="006039A7" w:rsidRPr="001970A2">
        <w:rPr>
          <w:lang w:val="en-US"/>
        </w:rPr>
        <w:t>the episode with the arrest and torture in detention c</w:t>
      </w:r>
      <w:r w:rsidR="00ED49A5">
        <w:rPr>
          <w:lang w:val="en-US"/>
        </w:rPr>
        <w:t>ould not</w:t>
      </w:r>
      <w:r w:rsidR="006039A7" w:rsidRPr="001970A2">
        <w:rPr>
          <w:lang w:val="en-US"/>
        </w:rPr>
        <w:t xml:space="preserve"> be accepted as fact because the events described</w:t>
      </w:r>
      <w:r w:rsidR="00050D1F" w:rsidRPr="001970A2">
        <w:rPr>
          <w:lang w:val="en-US"/>
        </w:rPr>
        <w:t xml:space="preserve">, </w:t>
      </w:r>
      <w:r w:rsidR="00050D1F">
        <w:rPr>
          <w:lang w:val="en-US"/>
        </w:rPr>
        <w:t xml:space="preserve">when </w:t>
      </w:r>
      <w:r w:rsidR="00050D1F" w:rsidRPr="001970A2">
        <w:rPr>
          <w:lang w:val="en-US"/>
        </w:rPr>
        <w:t>seen in isolation,</w:t>
      </w:r>
      <w:r w:rsidR="006039A7" w:rsidRPr="001970A2">
        <w:rPr>
          <w:lang w:val="en-US"/>
        </w:rPr>
        <w:t xml:space="preserve"> appear unlikely and in view of the information </w:t>
      </w:r>
      <w:r w:rsidR="00ED49A5">
        <w:rPr>
          <w:lang w:val="en-US"/>
        </w:rPr>
        <w:t xml:space="preserve">provided </w:t>
      </w:r>
      <w:r w:rsidR="006039A7" w:rsidRPr="001970A2">
        <w:rPr>
          <w:lang w:val="en-US"/>
        </w:rPr>
        <w:t>by the author on her personal circumstances, and the background information</w:t>
      </w:r>
      <w:r w:rsidR="00A25454" w:rsidRPr="001970A2">
        <w:rPr>
          <w:lang w:val="en-US"/>
        </w:rPr>
        <w:t>; the author’s statement about her escape from a hospital to which she ha</w:t>
      </w:r>
      <w:r w:rsidR="002F402F">
        <w:rPr>
          <w:lang w:val="en-US"/>
        </w:rPr>
        <w:t>d</w:t>
      </w:r>
      <w:r w:rsidR="00A25454" w:rsidRPr="001970A2">
        <w:rPr>
          <w:lang w:val="en-US"/>
        </w:rPr>
        <w:t xml:space="preserve"> been taken after having been tortured and consequently having suffered a heart attack also appeared to lack credibility</w:t>
      </w:r>
      <w:r w:rsidR="006039A7" w:rsidRPr="001970A2">
        <w:rPr>
          <w:lang w:val="en-US"/>
        </w:rPr>
        <w:t>. The Committee notes that the Board could not attach evidentia</w:t>
      </w:r>
      <w:r w:rsidR="00EE0132">
        <w:rPr>
          <w:lang w:val="en-US"/>
        </w:rPr>
        <w:t>ry</w:t>
      </w:r>
      <w:r w:rsidR="006039A7" w:rsidRPr="001970A2">
        <w:rPr>
          <w:lang w:val="en-US"/>
        </w:rPr>
        <w:t xml:space="preserve"> importance to the documents provided by the author because</w:t>
      </w:r>
      <w:r w:rsidR="002F402F">
        <w:rPr>
          <w:lang w:val="en-US"/>
        </w:rPr>
        <w:t>,</w:t>
      </w:r>
      <w:r w:rsidR="006039A7" w:rsidRPr="001970A2">
        <w:rPr>
          <w:lang w:val="en-US"/>
        </w:rPr>
        <w:t xml:space="preserve"> based on their contents and the time of their </w:t>
      </w:r>
      <w:r w:rsidR="00ED49A5">
        <w:rPr>
          <w:lang w:val="en-US"/>
        </w:rPr>
        <w:t>submission</w:t>
      </w:r>
      <w:r w:rsidR="006039A7" w:rsidRPr="001970A2">
        <w:rPr>
          <w:lang w:val="en-US"/>
        </w:rPr>
        <w:t xml:space="preserve">, </w:t>
      </w:r>
      <w:r w:rsidR="00A25454" w:rsidRPr="001970A2">
        <w:rPr>
          <w:lang w:val="en-US"/>
        </w:rPr>
        <w:t xml:space="preserve">and being undated, </w:t>
      </w:r>
      <w:r w:rsidR="006039A7" w:rsidRPr="001970A2">
        <w:rPr>
          <w:lang w:val="en-US"/>
        </w:rPr>
        <w:t xml:space="preserve">they appeared fabricated for the occasion. </w:t>
      </w:r>
    </w:p>
    <w:p w:rsidR="00491223" w:rsidRDefault="004F3888">
      <w:pPr>
        <w:pStyle w:val="SingleTxtG"/>
      </w:pPr>
      <w:r w:rsidRPr="001970A2">
        <w:rPr>
          <w:lang w:val="en-US"/>
        </w:rPr>
        <w:t>9.8</w:t>
      </w:r>
      <w:r w:rsidRPr="001970A2">
        <w:rPr>
          <w:lang w:val="en-US"/>
        </w:rPr>
        <w:tab/>
      </w:r>
      <w:r w:rsidR="00A25454" w:rsidRPr="001970A2">
        <w:rPr>
          <w:lang w:val="en-US"/>
        </w:rPr>
        <w:t xml:space="preserve">The Committee notes </w:t>
      </w:r>
      <w:r w:rsidR="00ED49A5">
        <w:rPr>
          <w:lang w:val="en-US"/>
        </w:rPr>
        <w:t xml:space="preserve">that </w:t>
      </w:r>
      <w:r w:rsidR="00C32A47" w:rsidRPr="001970A2">
        <w:rPr>
          <w:lang w:val="en-US"/>
        </w:rPr>
        <w:t>t</w:t>
      </w:r>
      <w:r w:rsidR="00C32A47" w:rsidRPr="001970A2">
        <w:t>he</w:t>
      </w:r>
      <w:r w:rsidR="00BA7EDD" w:rsidRPr="001970A2">
        <w:t xml:space="preserve"> </w:t>
      </w:r>
      <w:r w:rsidR="00C32A47" w:rsidRPr="001970A2">
        <w:t>Refugee Appeals Board normally does not order an examination for signs of torture whe</w:t>
      </w:r>
      <w:r w:rsidR="00764535">
        <w:t>n an</w:t>
      </w:r>
      <w:r w:rsidR="00C32A47" w:rsidRPr="001970A2">
        <w:t xml:space="preserve"> asylum</w:t>
      </w:r>
      <w:r w:rsidR="00764535">
        <w:t xml:space="preserve"> </w:t>
      </w:r>
      <w:r w:rsidR="00C32A47" w:rsidRPr="001970A2">
        <w:t>seeker has appeared no</w:t>
      </w:r>
      <w:r w:rsidR="00A5472F">
        <w:t>t</w:t>
      </w:r>
      <w:r w:rsidR="00984435">
        <w:t xml:space="preserve"> </w:t>
      </w:r>
      <w:r w:rsidR="00C32A47" w:rsidRPr="001970A2">
        <w:t xml:space="preserve">credible and </w:t>
      </w:r>
      <w:r w:rsidR="00764535">
        <w:t xml:space="preserve">that </w:t>
      </w:r>
      <w:r w:rsidR="00C32A47" w:rsidRPr="001970A2">
        <w:t>the Board therefore reject</w:t>
      </w:r>
      <w:r w:rsidR="00EE0132">
        <w:t>s</w:t>
      </w:r>
      <w:r w:rsidR="00C32A47" w:rsidRPr="001970A2">
        <w:t xml:space="preserve"> the asylum</w:t>
      </w:r>
      <w:r w:rsidR="00764535">
        <w:t xml:space="preserve"> </w:t>
      </w:r>
      <w:r w:rsidR="00C32A47" w:rsidRPr="001970A2">
        <w:t>seeker’s statement about torture in its entirety.</w:t>
      </w:r>
      <w:r w:rsidR="00BA7EDD" w:rsidRPr="001970A2">
        <w:t xml:space="preserve"> </w:t>
      </w:r>
      <w:r w:rsidR="007C6B16">
        <w:t>The Committee also notes</w:t>
      </w:r>
      <w:r w:rsidR="00764535">
        <w:t xml:space="preserve"> that, according to</w:t>
      </w:r>
      <w:r w:rsidR="007C6B16">
        <w:t xml:space="preserve"> </w:t>
      </w:r>
      <w:r w:rsidR="002D30C8">
        <w:t>the State party</w:t>
      </w:r>
      <w:r w:rsidR="00764535">
        <w:t>,</w:t>
      </w:r>
      <w:r w:rsidR="007C6B16">
        <w:t xml:space="preserve"> </w:t>
      </w:r>
      <w:r w:rsidR="007C6B16" w:rsidRPr="007C6B16">
        <w:t>the author’s medical records d</w:t>
      </w:r>
      <w:r w:rsidR="002D30C8">
        <w:t>id</w:t>
      </w:r>
      <w:r w:rsidR="007C6B16" w:rsidRPr="007C6B16">
        <w:t xml:space="preserve"> not </w:t>
      </w:r>
      <w:r w:rsidR="001C4687">
        <w:t xml:space="preserve">indicate </w:t>
      </w:r>
      <w:r w:rsidR="007C6B16" w:rsidRPr="007C6B16">
        <w:t>that she ha</w:t>
      </w:r>
      <w:r w:rsidR="00764535">
        <w:t>d</w:t>
      </w:r>
      <w:r w:rsidR="007C6B16" w:rsidRPr="007C6B16">
        <w:t xml:space="preserve"> been tortured but that she </w:t>
      </w:r>
      <w:r w:rsidR="00F40F3B">
        <w:t>ha</w:t>
      </w:r>
      <w:r w:rsidR="00764535">
        <w:t>d trouble</w:t>
      </w:r>
      <w:r w:rsidR="00F40F3B">
        <w:t xml:space="preserve"> sleeping</w:t>
      </w:r>
      <w:r w:rsidR="007C6B16" w:rsidRPr="007C6B16">
        <w:t>, suffer</w:t>
      </w:r>
      <w:r w:rsidR="00764535">
        <w:t>ed</w:t>
      </w:r>
      <w:r w:rsidR="007C6B16" w:rsidRPr="007C6B16">
        <w:t xml:space="preserve"> from nightmares and headaches</w:t>
      </w:r>
      <w:r w:rsidR="00764535">
        <w:t>,</w:t>
      </w:r>
      <w:r w:rsidR="007C6B16" w:rsidRPr="007C6B16">
        <w:t xml:space="preserve"> </w:t>
      </w:r>
      <w:r w:rsidR="00766A8B">
        <w:t xml:space="preserve">was </w:t>
      </w:r>
      <w:r w:rsidR="007C6B16" w:rsidRPr="007C6B16">
        <w:t>worrie</w:t>
      </w:r>
      <w:r w:rsidR="00766A8B">
        <w:t>d</w:t>
      </w:r>
      <w:r w:rsidR="007C6B16" w:rsidRPr="007C6B16">
        <w:t xml:space="preserve"> and want</w:t>
      </w:r>
      <w:r w:rsidR="00764535">
        <w:t>ed</w:t>
      </w:r>
      <w:r w:rsidR="007C6B16" w:rsidRPr="007C6B16">
        <w:t xml:space="preserve"> to see a psychologist. </w:t>
      </w:r>
      <w:r w:rsidR="00F91D32" w:rsidRPr="001970A2">
        <w:rPr>
          <w:lang w:val="en-US"/>
        </w:rPr>
        <w:t xml:space="preserve">The author challenges the assessment of evidence and factual conclusions reached by the </w:t>
      </w:r>
      <w:r w:rsidR="00764535">
        <w:rPr>
          <w:lang w:val="en-US"/>
        </w:rPr>
        <w:t>Board</w:t>
      </w:r>
      <w:r w:rsidR="00EE0132">
        <w:rPr>
          <w:lang w:val="en-US"/>
        </w:rPr>
        <w:t>,</w:t>
      </w:r>
      <w:r w:rsidR="00086F48" w:rsidRPr="001970A2">
        <w:rPr>
          <w:lang w:val="en-US"/>
        </w:rPr>
        <w:t xml:space="preserve"> </w:t>
      </w:r>
      <w:r w:rsidR="00B82AF5" w:rsidRPr="001970A2">
        <w:rPr>
          <w:lang w:val="en-US"/>
        </w:rPr>
        <w:t>claim</w:t>
      </w:r>
      <w:r w:rsidR="00086F48" w:rsidRPr="001970A2">
        <w:rPr>
          <w:lang w:val="en-US"/>
        </w:rPr>
        <w:t>ing</w:t>
      </w:r>
      <w:r w:rsidR="00B82AF5" w:rsidRPr="001970A2">
        <w:rPr>
          <w:lang w:val="en-US"/>
        </w:rPr>
        <w:t xml:space="preserve"> that the background information used by the Board </w:t>
      </w:r>
      <w:r w:rsidR="00764535">
        <w:rPr>
          <w:lang w:val="en-US"/>
        </w:rPr>
        <w:t>wa</w:t>
      </w:r>
      <w:r w:rsidR="00B82AF5" w:rsidRPr="001970A2">
        <w:rPr>
          <w:lang w:val="en-US"/>
        </w:rPr>
        <w:t>s outdated</w:t>
      </w:r>
      <w:r w:rsidR="00086F48" w:rsidRPr="001970A2">
        <w:rPr>
          <w:lang w:val="en-US"/>
        </w:rPr>
        <w:t xml:space="preserve"> and </w:t>
      </w:r>
      <w:r w:rsidR="00764535">
        <w:rPr>
          <w:lang w:val="en-US"/>
        </w:rPr>
        <w:t>did</w:t>
      </w:r>
      <w:r w:rsidR="00764535" w:rsidRPr="001970A2">
        <w:rPr>
          <w:lang w:val="en-US"/>
        </w:rPr>
        <w:t xml:space="preserve"> </w:t>
      </w:r>
      <w:r w:rsidR="00086F48" w:rsidRPr="001970A2">
        <w:rPr>
          <w:lang w:val="en-US"/>
        </w:rPr>
        <w:t>not</w:t>
      </w:r>
      <w:r w:rsidR="00764535">
        <w:rPr>
          <w:lang w:val="en-US"/>
        </w:rPr>
        <w:t xml:space="preserve"> accurately</w:t>
      </w:r>
      <w:r w:rsidR="00086F48" w:rsidRPr="001970A2">
        <w:rPr>
          <w:lang w:val="en-US"/>
        </w:rPr>
        <w:t xml:space="preserve"> reflect the situation of close relatives, both male and female, of people who are considered rebels</w:t>
      </w:r>
      <w:r w:rsidR="00B82AF5" w:rsidRPr="001970A2">
        <w:rPr>
          <w:lang w:val="en-US"/>
        </w:rPr>
        <w:t xml:space="preserve">, </w:t>
      </w:r>
      <w:r w:rsidR="00764535">
        <w:rPr>
          <w:lang w:val="en-US"/>
        </w:rPr>
        <w:t>and reiterated</w:t>
      </w:r>
      <w:r w:rsidR="00086F48" w:rsidRPr="001970A2">
        <w:rPr>
          <w:lang w:val="en-US"/>
        </w:rPr>
        <w:t xml:space="preserve"> </w:t>
      </w:r>
      <w:r w:rsidR="00B82AF5" w:rsidRPr="001970A2">
        <w:rPr>
          <w:lang w:val="en-US"/>
        </w:rPr>
        <w:t>that she was not examined for signs of torture even though she gave her consent</w:t>
      </w:r>
      <w:r w:rsidR="00764535">
        <w:rPr>
          <w:lang w:val="en-US"/>
        </w:rPr>
        <w:t xml:space="preserve"> for such an examination to be </w:t>
      </w:r>
      <w:r w:rsidR="00766A8B">
        <w:rPr>
          <w:lang w:val="en-US"/>
        </w:rPr>
        <w:t>carried out</w:t>
      </w:r>
      <w:r w:rsidR="00086F48" w:rsidRPr="001970A2">
        <w:rPr>
          <w:lang w:val="en-US"/>
        </w:rPr>
        <w:t xml:space="preserve">. </w:t>
      </w:r>
      <w:r w:rsidR="00ED49A5">
        <w:rPr>
          <w:lang w:val="en-US"/>
        </w:rPr>
        <w:t>Based on the material on file, h</w:t>
      </w:r>
      <w:r w:rsidR="00F91D32" w:rsidRPr="001970A2">
        <w:rPr>
          <w:lang w:val="en-US"/>
        </w:rPr>
        <w:t xml:space="preserve">owever, </w:t>
      </w:r>
      <w:r w:rsidR="00ED49A5">
        <w:rPr>
          <w:lang w:val="en-US"/>
        </w:rPr>
        <w:t xml:space="preserve">the Committee considers that the facts before it do not permit to conclude that </w:t>
      </w:r>
      <w:r w:rsidR="00ED49A5" w:rsidRPr="00ED49A5">
        <w:rPr>
          <w:lang w:val="en-US"/>
        </w:rPr>
        <w:t xml:space="preserve">the assessment of evidence and factual conclusions reached by the </w:t>
      </w:r>
      <w:r w:rsidR="00764535">
        <w:rPr>
          <w:lang w:val="en-US"/>
        </w:rPr>
        <w:t>Board</w:t>
      </w:r>
      <w:r w:rsidR="00764535" w:rsidRPr="00ED49A5">
        <w:rPr>
          <w:lang w:val="en-US"/>
        </w:rPr>
        <w:t xml:space="preserve"> </w:t>
      </w:r>
      <w:r w:rsidR="00ED49A5">
        <w:rPr>
          <w:lang w:val="en-US"/>
        </w:rPr>
        <w:t>in the author’s case we</w:t>
      </w:r>
      <w:r w:rsidR="00F91D32" w:rsidRPr="001970A2">
        <w:rPr>
          <w:lang w:val="en-US"/>
        </w:rPr>
        <w:t xml:space="preserve">re manifestly </w:t>
      </w:r>
      <w:r w:rsidR="00F91D32" w:rsidRPr="001970A2">
        <w:t>unreasonable</w:t>
      </w:r>
      <w:r w:rsidR="00ED49A5">
        <w:t xml:space="preserve"> or </w:t>
      </w:r>
      <w:r w:rsidR="00F91D32" w:rsidRPr="001970A2">
        <w:rPr>
          <w:lang w:val="en-US"/>
        </w:rPr>
        <w:t xml:space="preserve">arbitrary. </w:t>
      </w:r>
      <w:r w:rsidR="0025374A" w:rsidRPr="0025374A">
        <w:rPr>
          <w:lang w:val="x-none"/>
        </w:rPr>
        <w:t xml:space="preserve">In the light of the above, the Committee cannot conclude that the information before it shows that the </w:t>
      </w:r>
      <w:r w:rsidR="0025374A" w:rsidRPr="0025374A">
        <w:rPr>
          <w:lang w:val="en-US"/>
        </w:rPr>
        <w:t>author</w:t>
      </w:r>
      <w:r w:rsidR="0025374A" w:rsidRPr="0025374A">
        <w:rPr>
          <w:lang w:val="x-none"/>
        </w:rPr>
        <w:t xml:space="preserve"> would face a</w:t>
      </w:r>
      <w:r w:rsidR="0025374A" w:rsidRPr="0025374A">
        <w:t xml:space="preserve"> personal and</w:t>
      </w:r>
      <w:r w:rsidR="0025374A" w:rsidRPr="0025374A">
        <w:rPr>
          <w:lang w:val="x-none"/>
        </w:rPr>
        <w:t xml:space="preserve"> real risk of treatment contrary to article 7 of the Covenant if </w:t>
      </w:r>
      <w:r w:rsidR="005474C1" w:rsidRPr="00491223">
        <w:t>s</w:t>
      </w:r>
      <w:r w:rsidR="0025374A" w:rsidRPr="0025374A">
        <w:rPr>
          <w:lang w:val="en-US"/>
        </w:rPr>
        <w:t xml:space="preserve">he were removed to </w:t>
      </w:r>
      <w:r w:rsidR="005474C1">
        <w:rPr>
          <w:lang w:val="en-US"/>
        </w:rPr>
        <w:t>the Russian Federation</w:t>
      </w:r>
      <w:r w:rsidR="0025374A" w:rsidRPr="0025374A">
        <w:rPr>
          <w:lang w:val="x-none"/>
        </w:rPr>
        <w:t>.</w:t>
      </w:r>
    </w:p>
    <w:p w:rsidR="00D62684" w:rsidRDefault="00D62684">
      <w:pPr>
        <w:pStyle w:val="SingleTxtG"/>
        <w:rPr>
          <w:lang w:val="en-US"/>
        </w:rPr>
      </w:pPr>
      <w:r w:rsidRPr="00D62684">
        <w:t>10.</w:t>
      </w:r>
      <w:r w:rsidRPr="00D62684">
        <w:tab/>
        <w:t>The Committee, acting under article 5</w:t>
      </w:r>
      <w:r w:rsidR="00764535">
        <w:t xml:space="preserve"> </w:t>
      </w:r>
      <w:r w:rsidRPr="00D62684">
        <w:t>(4) of the Optional Protocol, is of the view that the author</w:t>
      </w:r>
      <w:r w:rsidR="006E3A87">
        <w:t>’</w:t>
      </w:r>
      <w:r w:rsidRPr="00D62684">
        <w:t>s removal to the Russian Federation would not violate her rights under article 7 of the Covenant.</w:t>
      </w:r>
    </w:p>
    <w:p w:rsidR="00042EAF" w:rsidRPr="00042EAF" w:rsidRDefault="00042EAF" w:rsidP="00042EAF">
      <w:pPr>
        <w:pStyle w:val="SingleTxtG"/>
        <w:spacing w:before="240" w:after="0"/>
        <w:jc w:val="center"/>
        <w:rPr>
          <w:u w:val="single"/>
          <w:lang w:val="en-US"/>
        </w:rPr>
      </w:pPr>
      <w:r>
        <w:rPr>
          <w:u w:val="single"/>
          <w:lang w:val="en-US"/>
        </w:rPr>
        <w:tab/>
      </w:r>
      <w:r>
        <w:rPr>
          <w:u w:val="single"/>
          <w:lang w:val="en-US"/>
        </w:rPr>
        <w:tab/>
      </w:r>
      <w:r>
        <w:rPr>
          <w:u w:val="single"/>
          <w:lang w:val="en-US"/>
        </w:rPr>
        <w:tab/>
      </w:r>
    </w:p>
    <w:sectPr w:rsidR="00042EAF" w:rsidRPr="00042EAF" w:rsidSect="002B748B">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1F" w:rsidRDefault="00050D1F"/>
  </w:endnote>
  <w:endnote w:type="continuationSeparator" w:id="0">
    <w:p w:rsidR="00050D1F" w:rsidRDefault="00050D1F"/>
  </w:endnote>
  <w:endnote w:type="continuationNotice" w:id="1">
    <w:p w:rsidR="00050D1F" w:rsidRDefault="0005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F" w:rsidRPr="00781C83" w:rsidRDefault="00050D1F"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D67459">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F" w:rsidRPr="0026520E" w:rsidRDefault="00050D1F" w:rsidP="00781C83">
    <w:pPr>
      <w:pStyle w:val="Footer"/>
      <w:tabs>
        <w:tab w:val="right" w:pos="9638"/>
      </w:tabs>
      <w:rPr>
        <w:b/>
        <w:bCs/>
        <w:sz w:val="18"/>
      </w:rPr>
    </w:pPr>
    <w:r>
      <w:rPr>
        <w:b/>
        <w:sz w:val="18"/>
      </w:rPr>
      <w:tab/>
    </w:r>
    <w:r w:rsidRPr="0026520E">
      <w:rPr>
        <w:b/>
        <w:bCs/>
        <w:sz w:val="18"/>
      </w:rPr>
      <w:fldChar w:fldCharType="begin"/>
    </w:r>
    <w:r w:rsidRPr="0026520E">
      <w:rPr>
        <w:b/>
        <w:bCs/>
        <w:sz w:val="18"/>
      </w:rPr>
      <w:instrText xml:space="preserve"> PAGE  \* MERGEFORMAT </w:instrText>
    </w:r>
    <w:r w:rsidRPr="0026520E">
      <w:rPr>
        <w:b/>
        <w:bCs/>
        <w:sz w:val="18"/>
      </w:rPr>
      <w:fldChar w:fldCharType="separate"/>
    </w:r>
    <w:r w:rsidR="00D67459">
      <w:rPr>
        <w:b/>
        <w:bCs/>
        <w:noProof/>
        <w:sz w:val="18"/>
      </w:rPr>
      <w:t>3</w:t>
    </w:r>
    <w:r w:rsidRPr="0026520E">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F" w:rsidRDefault="00D67459" w:rsidP="00D67459">
    <w:pPr>
      <w:pStyle w:val="Footer"/>
      <w:ind w:right="1134"/>
      <w:rPr>
        <w:rFonts w:asciiTheme="majorBidi" w:hAnsiTheme="majorBidi" w:cstheme="majorBidi"/>
        <w:sz w:val="20"/>
        <w:lang w:val="en-US" w:eastAsia="zh-CN"/>
      </w:rPr>
    </w:pPr>
    <w:r w:rsidRPr="00D67459">
      <w:rPr>
        <w:rFonts w:ascii="C39T30Lfz" w:hAnsi="C39T30Lfz" w:cstheme="majorBidi"/>
        <w:noProof/>
        <w:sz w:val="56"/>
        <w:u w:val="single"/>
        <w:lang w:val="en-US" w:eastAsia="zh-CN"/>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D67459" w:rsidRDefault="00D67459" w:rsidP="00D67459">
    <w:pPr>
      <w:pStyle w:val="Footer"/>
      <w:ind w:right="1134"/>
      <w:rPr>
        <w:rFonts w:asciiTheme="majorBidi" w:hAnsiTheme="majorBidi" w:cstheme="majorBidi"/>
        <w:sz w:val="20"/>
        <w:lang w:val="en-US" w:eastAsia="zh-CN"/>
      </w:rPr>
    </w:pPr>
    <w:r>
      <w:rPr>
        <w:rFonts w:asciiTheme="majorBidi" w:hAnsiTheme="majorBidi" w:cstheme="majorBidi"/>
        <w:sz w:val="20"/>
        <w:lang w:val="en-US" w:eastAsia="zh-CN"/>
      </w:rPr>
      <w:t>GE.16-14943(E)</w:t>
    </w:r>
  </w:p>
  <w:p w:rsidR="00D67459" w:rsidRPr="00D67459" w:rsidRDefault="00D67459" w:rsidP="00D67459">
    <w:pPr>
      <w:pStyle w:val="Footer"/>
      <w:ind w:right="1134"/>
      <w:rPr>
        <w:rFonts w:ascii="C39T30Lfz" w:hAnsi="C39T30Lfz" w:cstheme="majorBidi"/>
        <w:sz w:val="56"/>
        <w:lang w:val="en-US" w:eastAsia="zh-CN"/>
      </w:rPr>
    </w:pP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sz w:val="56"/>
        <w:lang w:val="en-US" w:eastAsia="zh-CN"/>
      </w:rPr>
      <w:t></w:t>
    </w:r>
    <w:r>
      <w:rPr>
        <w:rFonts w:ascii="C39T30Lfz" w:hAnsi="C39T30Lfz" w:cstheme="majorBidi"/>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6104" cy="636105"/>
          <wp:effectExtent l="0" t="0" r="0" b="0"/>
          <wp:wrapNone/>
          <wp:docPr id="2" name="Picture 1" descr="http://undocs.org/m2/QRCode.ashx?DS=CCPR/C/117/D/2443/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443/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104" cy="636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1F" w:rsidRPr="000B175B" w:rsidRDefault="00050D1F" w:rsidP="000B175B">
      <w:pPr>
        <w:tabs>
          <w:tab w:val="right" w:pos="2155"/>
        </w:tabs>
        <w:spacing w:after="80"/>
        <w:ind w:left="680"/>
        <w:rPr>
          <w:u w:val="single"/>
        </w:rPr>
      </w:pPr>
      <w:r>
        <w:rPr>
          <w:u w:val="single"/>
        </w:rPr>
        <w:tab/>
      </w:r>
    </w:p>
  </w:footnote>
  <w:footnote w:type="continuationSeparator" w:id="0">
    <w:p w:rsidR="00050D1F" w:rsidRPr="00FC68B7" w:rsidRDefault="00050D1F" w:rsidP="00FC68B7">
      <w:pPr>
        <w:tabs>
          <w:tab w:val="left" w:pos="2155"/>
        </w:tabs>
        <w:spacing w:after="80"/>
        <w:ind w:left="680"/>
        <w:rPr>
          <w:u w:val="single"/>
        </w:rPr>
      </w:pPr>
      <w:r>
        <w:rPr>
          <w:u w:val="single"/>
        </w:rPr>
        <w:tab/>
      </w:r>
    </w:p>
  </w:footnote>
  <w:footnote w:type="continuationNotice" w:id="1">
    <w:p w:rsidR="00050D1F" w:rsidRDefault="00050D1F"/>
  </w:footnote>
  <w:footnote w:id="2">
    <w:p w:rsidR="00050D1F" w:rsidRPr="001E52C7" w:rsidRDefault="00050D1F" w:rsidP="00317ED7">
      <w:pPr>
        <w:pStyle w:val="FootnoteText"/>
      </w:pPr>
      <w:r w:rsidRPr="00FC440B">
        <w:rPr>
          <w:rStyle w:val="FootnoteReference"/>
          <w:sz w:val="20"/>
          <w:vertAlign w:val="baseline"/>
        </w:rPr>
        <w:tab/>
        <w:t>*</w:t>
      </w:r>
      <w:r w:rsidRPr="00FC440B">
        <w:rPr>
          <w:rStyle w:val="FootnoteReference"/>
          <w:sz w:val="20"/>
          <w:vertAlign w:val="baseline"/>
        </w:rPr>
        <w:tab/>
      </w:r>
      <w:proofErr w:type="gramStart"/>
      <w:r>
        <w:t xml:space="preserve">Adopted by the Committee </w:t>
      </w:r>
      <w:r w:rsidRPr="009E4187">
        <w:t xml:space="preserve">at its </w:t>
      </w:r>
      <w:r w:rsidRPr="001E52C7">
        <w:t>11</w:t>
      </w:r>
      <w:r>
        <w:t>7</w:t>
      </w:r>
      <w:r w:rsidRPr="001E52C7">
        <w:t>th</w:t>
      </w:r>
      <w:r w:rsidRPr="009E4187">
        <w:t xml:space="preserve"> session (</w:t>
      </w:r>
      <w:r>
        <w:t>20 June</w:t>
      </w:r>
      <w:r w:rsidRPr="001E52C7">
        <w:t>-</w:t>
      </w:r>
      <w:r>
        <w:t>15 July</w:t>
      </w:r>
      <w:r w:rsidRPr="001E52C7">
        <w:t xml:space="preserve"> 2016</w:t>
      </w:r>
      <w:r w:rsidRPr="009E4187">
        <w:t>).</w:t>
      </w:r>
      <w:proofErr w:type="gramEnd"/>
    </w:p>
  </w:footnote>
  <w:footnote w:id="3">
    <w:p w:rsidR="00050D1F" w:rsidRPr="000E50E7" w:rsidRDefault="00050D1F" w:rsidP="00FC440B">
      <w:pPr>
        <w:pStyle w:val="FootnoteText"/>
      </w:pPr>
      <w:r w:rsidRPr="00FC440B">
        <w:rPr>
          <w:rStyle w:val="FootnoteReference"/>
          <w:sz w:val="20"/>
          <w:vertAlign w:val="baseline"/>
        </w:rPr>
        <w:tab/>
        <w:t>**</w:t>
      </w:r>
      <w:r w:rsidRPr="000E50E7">
        <w:tab/>
      </w:r>
      <w:r w:rsidRPr="009131F3">
        <w:rPr>
          <w:szCs w:val="18"/>
        </w:rPr>
        <w:t xml:space="preserve">The following members of the Committee participated in the examination of the present communication: </w:t>
      </w:r>
      <w:proofErr w:type="spellStart"/>
      <w:r w:rsidRPr="00C455EA">
        <w:rPr>
          <w:szCs w:val="18"/>
        </w:rPr>
        <w:t>Yadh</w:t>
      </w:r>
      <w:proofErr w:type="spellEnd"/>
      <w:r w:rsidRPr="00C455EA">
        <w:rPr>
          <w:szCs w:val="18"/>
        </w:rPr>
        <w:t xml:space="preserve"> </w:t>
      </w:r>
      <w:r>
        <w:rPr>
          <w:szCs w:val="18"/>
        </w:rPr>
        <w:t xml:space="preserve">Ben </w:t>
      </w:r>
      <w:proofErr w:type="spellStart"/>
      <w:r>
        <w:rPr>
          <w:szCs w:val="18"/>
        </w:rPr>
        <w:t>Achour</w:t>
      </w:r>
      <w:proofErr w:type="spellEnd"/>
      <w:r>
        <w:rPr>
          <w:szCs w:val="18"/>
        </w:rPr>
        <w:t xml:space="preserve">, </w:t>
      </w:r>
      <w:proofErr w:type="spellStart"/>
      <w:r w:rsidRPr="00C455EA">
        <w:rPr>
          <w:szCs w:val="18"/>
        </w:rPr>
        <w:t>Lazhari</w:t>
      </w:r>
      <w:proofErr w:type="spellEnd"/>
      <w:r w:rsidRPr="00C455EA">
        <w:rPr>
          <w:szCs w:val="18"/>
        </w:rPr>
        <w:t xml:space="preserve"> </w:t>
      </w:r>
      <w:proofErr w:type="spellStart"/>
      <w:r w:rsidRPr="00C455EA">
        <w:rPr>
          <w:szCs w:val="18"/>
        </w:rPr>
        <w:t>Bouzid</w:t>
      </w:r>
      <w:proofErr w:type="spellEnd"/>
      <w:r>
        <w:rPr>
          <w:szCs w:val="18"/>
        </w:rPr>
        <w:t xml:space="preserve">, </w:t>
      </w:r>
      <w:r w:rsidRPr="00C455EA">
        <w:rPr>
          <w:szCs w:val="18"/>
        </w:rPr>
        <w:t>Sarah Cleveland</w:t>
      </w:r>
      <w:r>
        <w:rPr>
          <w:szCs w:val="18"/>
        </w:rPr>
        <w:t xml:space="preserve">, Olivier de </w:t>
      </w:r>
      <w:proofErr w:type="spellStart"/>
      <w:r>
        <w:rPr>
          <w:szCs w:val="18"/>
        </w:rPr>
        <w:t>Frouville</w:t>
      </w:r>
      <w:proofErr w:type="spellEnd"/>
      <w:r>
        <w:rPr>
          <w:szCs w:val="18"/>
        </w:rPr>
        <w:t>, Ahmed</w:t>
      </w:r>
      <w:r w:rsidR="00317ED7">
        <w:rPr>
          <w:szCs w:val="18"/>
        </w:rPr>
        <w:t> </w:t>
      </w:r>
      <w:r>
        <w:rPr>
          <w:szCs w:val="18"/>
        </w:rPr>
        <w:t xml:space="preserve">Amin </w:t>
      </w:r>
      <w:proofErr w:type="spellStart"/>
      <w:r>
        <w:rPr>
          <w:szCs w:val="18"/>
        </w:rPr>
        <w:t>Fathalla</w:t>
      </w:r>
      <w:proofErr w:type="spellEnd"/>
      <w:r>
        <w:rPr>
          <w:szCs w:val="18"/>
        </w:rPr>
        <w:t xml:space="preserve">, </w:t>
      </w:r>
      <w:r w:rsidRPr="00C455EA">
        <w:rPr>
          <w:szCs w:val="18"/>
        </w:rPr>
        <w:t xml:space="preserve">Yuji </w:t>
      </w:r>
      <w:proofErr w:type="spellStart"/>
      <w:r w:rsidRPr="00C455EA">
        <w:rPr>
          <w:szCs w:val="18"/>
        </w:rPr>
        <w:t>Iwasawa</w:t>
      </w:r>
      <w:proofErr w:type="spellEnd"/>
      <w:r>
        <w:rPr>
          <w:szCs w:val="18"/>
        </w:rPr>
        <w:t xml:space="preserve">, </w:t>
      </w:r>
      <w:proofErr w:type="spellStart"/>
      <w:r w:rsidRPr="00C455EA">
        <w:rPr>
          <w:szCs w:val="18"/>
        </w:rPr>
        <w:t>Photini</w:t>
      </w:r>
      <w:proofErr w:type="spellEnd"/>
      <w:r w:rsidRPr="00C455EA">
        <w:rPr>
          <w:szCs w:val="18"/>
        </w:rPr>
        <w:t xml:space="preserve"> </w:t>
      </w:r>
      <w:proofErr w:type="spellStart"/>
      <w:r w:rsidRPr="00C455EA">
        <w:rPr>
          <w:szCs w:val="18"/>
        </w:rPr>
        <w:t>Pazartzis</w:t>
      </w:r>
      <w:proofErr w:type="spellEnd"/>
      <w:r>
        <w:rPr>
          <w:szCs w:val="18"/>
        </w:rPr>
        <w:t xml:space="preserve">, Mauro </w:t>
      </w:r>
      <w:proofErr w:type="spellStart"/>
      <w:r>
        <w:rPr>
          <w:szCs w:val="18"/>
        </w:rPr>
        <w:t>Politi</w:t>
      </w:r>
      <w:proofErr w:type="spellEnd"/>
      <w:r>
        <w:rPr>
          <w:szCs w:val="18"/>
        </w:rPr>
        <w:t xml:space="preserve">, </w:t>
      </w:r>
      <w:r>
        <w:rPr>
          <w:bCs/>
          <w:szCs w:val="18"/>
        </w:rPr>
        <w:t>Sir</w:t>
      </w:r>
      <w:r>
        <w:rPr>
          <w:szCs w:val="18"/>
        </w:rPr>
        <w:t xml:space="preserve"> Nigel </w:t>
      </w:r>
      <w:proofErr w:type="spellStart"/>
      <w:r>
        <w:rPr>
          <w:szCs w:val="18"/>
        </w:rPr>
        <w:t>Rodley</w:t>
      </w:r>
      <w:proofErr w:type="spellEnd"/>
      <w:r>
        <w:rPr>
          <w:szCs w:val="18"/>
        </w:rPr>
        <w:t xml:space="preserve">, </w:t>
      </w:r>
      <w:r w:rsidRPr="00C455EA">
        <w:rPr>
          <w:szCs w:val="18"/>
        </w:rPr>
        <w:t>Victor</w:t>
      </w:r>
      <w:r w:rsidR="007A1C5A">
        <w:rPr>
          <w:szCs w:val="18"/>
        </w:rPr>
        <w:t> </w:t>
      </w:r>
      <w:r w:rsidRPr="00C455EA">
        <w:rPr>
          <w:szCs w:val="18"/>
        </w:rPr>
        <w:t>Manuel Rodríguez-</w:t>
      </w:r>
      <w:proofErr w:type="spellStart"/>
      <w:r w:rsidRPr="00C455EA">
        <w:rPr>
          <w:szCs w:val="18"/>
        </w:rPr>
        <w:t>Rescia</w:t>
      </w:r>
      <w:proofErr w:type="spellEnd"/>
      <w:r>
        <w:rPr>
          <w:szCs w:val="18"/>
        </w:rPr>
        <w:t xml:space="preserve">, </w:t>
      </w:r>
      <w:proofErr w:type="spellStart"/>
      <w:r w:rsidRPr="00C455EA">
        <w:rPr>
          <w:szCs w:val="18"/>
        </w:rPr>
        <w:t>Fabián</w:t>
      </w:r>
      <w:proofErr w:type="spellEnd"/>
      <w:r w:rsidRPr="00C455EA">
        <w:rPr>
          <w:szCs w:val="18"/>
        </w:rPr>
        <w:t xml:space="preserve"> Omar </w:t>
      </w:r>
      <w:proofErr w:type="spellStart"/>
      <w:r w:rsidRPr="00C455EA">
        <w:rPr>
          <w:szCs w:val="18"/>
        </w:rPr>
        <w:t>Salvioli</w:t>
      </w:r>
      <w:proofErr w:type="spellEnd"/>
      <w:r>
        <w:rPr>
          <w:szCs w:val="18"/>
        </w:rPr>
        <w:t xml:space="preserve">, </w:t>
      </w:r>
      <w:proofErr w:type="spellStart"/>
      <w:r w:rsidRPr="00C455EA">
        <w:rPr>
          <w:szCs w:val="18"/>
        </w:rPr>
        <w:t>Dheerujlall</w:t>
      </w:r>
      <w:proofErr w:type="spellEnd"/>
      <w:r w:rsidRPr="00C455EA">
        <w:rPr>
          <w:szCs w:val="18"/>
        </w:rPr>
        <w:t xml:space="preserve"> </w:t>
      </w:r>
      <w:proofErr w:type="spellStart"/>
      <w:r w:rsidRPr="00C455EA">
        <w:rPr>
          <w:szCs w:val="18"/>
        </w:rPr>
        <w:t>Seetulsingh</w:t>
      </w:r>
      <w:proofErr w:type="spellEnd"/>
      <w:r>
        <w:rPr>
          <w:szCs w:val="18"/>
        </w:rPr>
        <w:t>, Anja Seibert-</w:t>
      </w:r>
      <w:proofErr w:type="spellStart"/>
      <w:r>
        <w:rPr>
          <w:szCs w:val="18"/>
        </w:rPr>
        <w:t>Fohr</w:t>
      </w:r>
      <w:proofErr w:type="spellEnd"/>
      <w:r>
        <w:rPr>
          <w:szCs w:val="18"/>
        </w:rPr>
        <w:t xml:space="preserve">, </w:t>
      </w:r>
      <w:r w:rsidRPr="00C455EA">
        <w:rPr>
          <w:szCs w:val="18"/>
        </w:rPr>
        <w:t>Yuval</w:t>
      </w:r>
      <w:r w:rsidR="00317ED7">
        <w:rPr>
          <w:szCs w:val="18"/>
        </w:rPr>
        <w:t> </w:t>
      </w:r>
      <w:proofErr w:type="spellStart"/>
      <w:r w:rsidRPr="00C455EA">
        <w:rPr>
          <w:szCs w:val="18"/>
        </w:rPr>
        <w:t>Shany</w:t>
      </w:r>
      <w:proofErr w:type="spellEnd"/>
      <w:r>
        <w:rPr>
          <w:szCs w:val="18"/>
        </w:rPr>
        <w:t xml:space="preserve">, </w:t>
      </w:r>
      <w:proofErr w:type="spellStart"/>
      <w:r w:rsidRPr="00C455EA">
        <w:rPr>
          <w:szCs w:val="18"/>
        </w:rPr>
        <w:t>Konstantine</w:t>
      </w:r>
      <w:proofErr w:type="spellEnd"/>
      <w:r w:rsidRPr="00C455EA">
        <w:rPr>
          <w:szCs w:val="18"/>
        </w:rPr>
        <w:t xml:space="preserve"> </w:t>
      </w:r>
      <w:proofErr w:type="spellStart"/>
      <w:r w:rsidRPr="00C455EA">
        <w:rPr>
          <w:szCs w:val="18"/>
        </w:rPr>
        <w:t>Vardzelashvili</w:t>
      </w:r>
      <w:proofErr w:type="spellEnd"/>
      <w:r>
        <w:rPr>
          <w:szCs w:val="18"/>
        </w:rPr>
        <w:t xml:space="preserve"> and </w:t>
      </w:r>
      <w:r w:rsidRPr="00C455EA">
        <w:rPr>
          <w:szCs w:val="18"/>
        </w:rPr>
        <w:t xml:space="preserve">Margo </w:t>
      </w:r>
      <w:proofErr w:type="spellStart"/>
      <w:r w:rsidRPr="00C455EA">
        <w:rPr>
          <w:szCs w:val="18"/>
        </w:rPr>
        <w:t>Waterval</w:t>
      </w:r>
      <w:proofErr w:type="spellEnd"/>
      <w:r w:rsidRPr="00686139">
        <w:t>.</w:t>
      </w:r>
    </w:p>
  </w:footnote>
  <w:footnote w:id="4">
    <w:p w:rsidR="00050D1F" w:rsidRPr="00075871" w:rsidRDefault="00050D1F" w:rsidP="00FC440B">
      <w:pPr>
        <w:pStyle w:val="FootnoteText"/>
      </w:pPr>
      <w:r>
        <w:tab/>
      </w:r>
      <w:r>
        <w:rPr>
          <w:rStyle w:val="FootnoteReference"/>
        </w:rPr>
        <w:footnoteRef/>
      </w:r>
      <w:r>
        <w:tab/>
      </w:r>
      <w:r w:rsidRPr="00075871">
        <w:rPr>
          <w:rFonts w:eastAsia="Calibri"/>
          <w:szCs w:val="18"/>
        </w:rPr>
        <w:t xml:space="preserve">The author </w:t>
      </w:r>
      <w:r w:rsidRPr="00223B4F">
        <w:rPr>
          <w:rFonts w:eastAsia="Calibri"/>
          <w:bCs/>
          <w:szCs w:val="18"/>
        </w:rPr>
        <w:t xml:space="preserve">was not represented by a lawyer before the </w:t>
      </w:r>
      <w:r>
        <w:t>Danish Immigration Service</w:t>
      </w:r>
      <w:r>
        <w:rPr>
          <w:rFonts w:eastAsia="Calibri"/>
          <w:bCs/>
          <w:szCs w:val="18"/>
        </w:rPr>
        <w:t xml:space="preserve">. She </w:t>
      </w:r>
      <w:r w:rsidRPr="00075871">
        <w:rPr>
          <w:rFonts w:eastAsia="Calibri"/>
          <w:szCs w:val="18"/>
        </w:rPr>
        <w:t>did not submit a medical certificate or similar documentation.</w:t>
      </w:r>
      <w:r>
        <w:rPr>
          <w:rFonts w:eastAsia="Calibri"/>
          <w:szCs w:val="18"/>
        </w:rPr>
        <w:t xml:space="preserve"> I</w:t>
      </w:r>
      <w:r w:rsidRPr="00DE4C5A">
        <w:rPr>
          <w:rFonts w:eastAsia="Calibri"/>
          <w:szCs w:val="18"/>
        </w:rPr>
        <w:t xml:space="preserve">n March 2014, </w:t>
      </w:r>
      <w:r>
        <w:rPr>
          <w:rFonts w:eastAsia="Calibri"/>
          <w:szCs w:val="18"/>
        </w:rPr>
        <w:t xml:space="preserve">however, </w:t>
      </w:r>
      <w:r w:rsidRPr="00DE4C5A">
        <w:rPr>
          <w:rFonts w:eastAsia="Calibri"/>
          <w:szCs w:val="18"/>
        </w:rPr>
        <w:t xml:space="preserve">in her request that the </w:t>
      </w:r>
      <w:r w:rsidRPr="001970A2">
        <w:t xml:space="preserve">Danish Refugee Appeals Board </w:t>
      </w:r>
      <w:r w:rsidRPr="00DE4C5A">
        <w:rPr>
          <w:rFonts w:eastAsia="Calibri"/>
          <w:szCs w:val="18"/>
        </w:rPr>
        <w:t>reopen the asylum proceedings, she submitted a letter</w:t>
      </w:r>
      <w:r w:rsidRPr="00075871">
        <w:rPr>
          <w:rFonts w:eastAsia="Calibri"/>
          <w:szCs w:val="18"/>
        </w:rPr>
        <w:t xml:space="preserve"> dated 5</w:t>
      </w:r>
      <w:r w:rsidR="007A1C5A">
        <w:rPr>
          <w:rFonts w:eastAsia="Calibri"/>
          <w:szCs w:val="18"/>
        </w:rPr>
        <w:t> </w:t>
      </w:r>
      <w:r w:rsidRPr="00075871">
        <w:rPr>
          <w:rFonts w:eastAsia="Calibri"/>
          <w:szCs w:val="18"/>
        </w:rPr>
        <w:t>February 2014</w:t>
      </w:r>
      <w:r>
        <w:rPr>
          <w:rFonts w:eastAsia="Calibri"/>
          <w:szCs w:val="18"/>
        </w:rPr>
        <w:t xml:space="preserve"> </w:t>
      </w:r>
      <w:r w:rsidRPr="00075871">
        <w:rPr>
          <w:rFonts w:eastAsia="Calibri"/>
          <w:szCs w:val="18"/>
        </w:rPr>
        <w:t xml:space="preserve">from the </w:t>
      </w:r>
      <w:r>
        <w:rPr>
          <w:rFonts w:eastAsia="Calibri"/>
          <w:szCs w:val="18"/>
        </w:rPr>
        <w:t>d</w:t>
      </w:r>
      <w:r w:rsidRPr="00075871">
        <w:rPr>
          <w:rFonts w:eastAsia="Calibri"/>
          <w:szCs w:val="18"/>
        </w:rPr>
        <w:t>irector of the “</w:t>
      </w:r>
      <w:r>
        <w:rPr>
          <w:rFonts w:eastAsia="Calibri"/>
          <w:szCs w:val="18"/>
        </w:rPr>
        <w:t>i</w:t>
      </w:r>
      <w:r w:rsidRPr="00075871">
        <w:rPr>
          <w:rFonts w:eastAsia="Calibri"/>
          <w:szCs w:val="18"/>
        </w:rPr>
        <w:t xml:space="preserve">ndependent </w:t>
      </w:r>
      <w:r>
        <w:rPr>
          <w:rFonts w:eastAsia="Calibri"/>
          <w:szCs w:val="18"/>
        </w:rPr>
        <w:t>i</w:t>
      </w:r>
      <w:r w:rsidRPr="00075871">
        <w:rPr>
          <w:rFonts w:eastAsia="Calibri"/>
          <w:szCs w:val="18"/>
        </w:rPr>
        <w:t xml:space="preserve">nformation </w:t>
      </w:r>
      <w:r>
        <w:rPr>
          <w:rFonts w:eastAsia="Calibri"/>
          <w:szCs w:val="18"/>
        </w:rPr>
        <w:t>a</w:t>
      </w:r>
      <w:r w:rsidRPr="00075871">
        <w:rPr>
          <w:rFonts w:eastAsia="Calibri"/>
          <w:szCs w:val="18"/>
        </w:rPr>
        <w:t xml:space="preserve">nalysis </w:t>
      </w:r>
      <w:r>
        <w:rPr>
          <w:rFonts w:eastAsia="Calibri"/>
          <w:szCs w:val="18"/>
        </w:rPr>
        <w:t>a</w:t>
      </w:r>
      <w:r w:rsidRPr="00075871">
        <w:rPr>
          <w:rFonts w:eastAsia="Calibri"/>
          <w:szCs w:val="18"/>
        </w:rPr>
        <w:t>gency</w:t>
      </w:r>
      <w:r w:rsidR="00F00D5E">
        <w:rPr>
          <w:rFonts w:eastAsia="Calibri"/>
          <w:szCs w:val="18"/>
        </w:rPr>
        <w:t>”</w:t>
      </w:r>
      <w:r w:rsidRPr="00075871">
        <w:rPr>
          <w:rFonts w:eastAsia="Calibri"/>
          <w:szCs w:val="18"/>
        </w:rPr>
        <w:t xml:space="preserve"> Objective, a</w:t>
      </w:r>
      <w:r w:rsidR="007A1C5A">
        <w:rPr>
          <w:rFonts w:eastAsia="Calibri"/>
          <w:szCs w:val="18"/>
        </w:rPr>
        <w:t> </w:t>
      </w:r>
      <w:r w:rsidRPr="00075871">
        <w:rPr>
          <w:rFonts w:eastAsia="Calibri"/>
          <w:szCs w:val="18"/>
        </w:rPr>
        <w:t>Chechen non-governmental organization</w:t>
      </w:r>
      <w:r>
        <w:rPr>
          <w:rFonts w:eastAsia="Calibri"/>
          <w:szCs w:val="18"/>
        </w:rPr>
        <w:t>,</w:t>
      </w:r>
      <w:r w:rsidRPr="00075871">
        <w:rPr>
          <w:rFonts w:eastAsia="Calibri"/>
          <w:szCs w:val="18"/>
        </w:rPr>
        <w:t xml:space="preserve"> confirm</w:t>
      </w:r>
      <w:r>
        <w:rPr>
          <w:rFonts w:eastAsia="Calibri"/>
          <w:szCs w:val="18"/>
        </w:rPr>
        <w:t>ing</w:t>
      </w:r>
      <w:r w:rsidRPr="00075871">
        <w:rPr>
          <w:rFonts w:eastAsia="Calibri"/>
          <w:szCs w:val="18"/>
        </w:rPr>
        <w:t xml:space="preserve"> that the author’s daughter </w:t>
      </w:r>
      <w:r>
        <w:rPr>
          <w:rFonts w:eastAsia="Calibri"/>
          <w:szCs w:val="18"/>
        </w:rPr>
        <w:t xml:space="preserve">had </w:t>
      </w:r>
      <w:r w:rsidRPr="00075871">
        <w:rPr>
          <w:rFonts w:eastAsia="Calibri"/>
          <w:szCs w:val="18"/>
        </w:rPr>
        <w:t xml:space="preserve">sought assistance from Objective in December 2012, following the author’s arrest and detention. It confirms that the author was tortured by military personnel and hospitalized in the </w:t>
      </w:r>
      <w:r>
        <w:rPr>
          <w:rFonts w:eastAsia="Calibri"/>
          <w:szCs w:val="18"/>
        </w:rPr>
        <w:t xml:space="preserve">Ninth </w:t>
      </w:r>
      <w:r w:rsidRPr="00075871">
        <w:rPr>
          <w:rFonts w:eastAsia="Calibri"/>
          <w:szCs w:val="18"/>
        </w:rPr>
        <w:t xml:space="preserve">City Hospital and that her daughter </w:t>
      </w:r>
      <w:r>
        <w:rPr>
          <w:rFonts w:eastAsia="Calibri"/>
          <w:szCs w:val="18"/>
        </w:rPr>
        <w:t xml:space="preserve">had </w:t>
      </w:r>
      <w:r w:rsidRPr="00075871">
        <w:rPr>
          <w:rFonts w:eastAsia="Calibri"/>
          <w:szCs w:val="18"/>
        </w:rPr>
        <w:t xml:space="preserve">arranged </w:t>
      </w:r>
      <w:r>
        <w:rPr>
          <w:rFonts w:eastAsia="Calibri"/>
          <w:szCs w:val="18"/>
        </w:rPr>
        <w:t>for the</w:t>
      </w:r>
      <w:r w:rsidRPr="00075871">
        <w:rPr>
          <w:rFonts w:eastAsia="Calibri"/>
          <w:szCs w:val="18"/>
        </w:rPr>
        <w:t xml:space="preserve"> author’s departure from Chechn</w:t>
      </w:r>
      <w:r>
        <w:rPr>
          <w:rFonts w:eastAsia="Calibri"/>
          <w:szCs w:val="18"/>
        </w:rPr>
        <w:t>ya</w:t>
      </w:r>
      <w:r w:rsidRPr="00075871">
        <w:rPr>
          <w:rFonts w:eastAsia="Calibri"/>
          <w:szCs w:val="18"/>
        </w:rPr>
        <w:t xml:space="preserve">. The organization also confirmed that the Russian authorities </w:t>
      </w:r>
      <w:r>
        <w:rPr>
          <w:rFonts w:eastAsia="Calibri"/>
          <w:szCs w:val="18"/>
        </w:rPr>
        <w:t>we</w:t>
      </w:r>
      <w:r w:rsidRPr="00075871">
        <w:rPr>
          <w:rFonts w:eastAsia="Calibri"/>
          <w:szCs w:val="18"/>
        </w:rPr>
        <w:t>re still searching for the author and her oldest son.</w:t>
      </w:r>
    </w:p>
  </w:footnote>
  <w:footnote w:id="5">
    <w:p w:rsidR="00050D1F" w:rsidRPr="00C05B8D" w:rsidRDefault="00050D1F" w:rsidP="00FC440B">
      <w:pPr>
        <w:pStyle w:val="FootnoteText"/>
        <w:rPr>
          <w:rFonts w:eastAsia="Calibri"/>
          <w:szCs w:val="18"/>
        </w:rPr>
      </w:pPr>
      <w:r>
        <w:tab/>
      </w:r>
      <w:r>
        <w:rPr>
          <w:rStyle w:val="FootnoteReference"/>
        </w:rPr>
        <w:footnoteRef/>
      </w:r>
      <w:r>
        <w:tab/>
      </w:r>
      <w:r w:rsidRPr="00075871">
        <w:rPr>
          <w:rFonts w:eastAsia="Calibri"/>
          <w:szCs w:val="18"/>
        </w:rPr>
        <w:t xml:space="preserve">The author provided the Danish authorities with written consent to carry out a medical examination in order to </w:t>
      </w:r>
      <w:r>
        <w:rPr>
          <w:rFonts w:eastAsia="Calibri"/>
          <w:szCs w:val="18"/>
        </w:rPr>
        <w:t>assess</w:t>
      </w:r>
      <w:r w:rsidRPr="00075871">
        <w:rPr>
          <w:rFonts w:eastAsia="Calibri"/>
          <w:szCs w:val="18"/>
        </w:rPr>
        <w:t xml:space="preserve"> whether she was a victim of torture. The Danish authorities did not carry out such examination.</w:t>
      </w:r>
    </w:p>
  </w:footnote>
  <w:footnote w:id="6">
    <w:p w:rsidR="00050D1F" w:rsidRDefault="00050D1F" w:rsidP="00FC440B">
      <w:pPr>
        <w:pStyle w:val="FootnoteText"/>
      </w:pPr>
      <w:r>
        <w:tab/>
      </w:r>
      <w:r>
        <w:rPr>
          <w:rStyle w:val="FootnoteReference"/>
        </w:rPr>
        <w:footnoteRef/>
      </w:r>
      <w:r>
        <w:tab/>
        <w:t>The documents submitted by the author on 25 March 2014 are the following: (a) two summonses (one dated 11 April 2013 and one undated) for a person named S.Z. to appear for questioning as a witness; (b) a letter dated 7 March 2014 from a neighbour; (c) a personal card; (d) a letter dated 7 March 2014 from K.T.M., the author’s niece, confirming that the author had been hospitalized</w:t>
      </w:r>
      <w:r w:rsidRPr="00C4160D">
        <w:t xml:space="preserve"> </w:t>
      </w:r>
      <w:r>
        <w:t>in March 2013 at the hospital where she worked and that K.T.M.’s friend helped the author leave the hospital; and (e)</w:t>
      </w:r>
      <w:r w:rsidR="007A1C5A">
        <w:t> </w:t>
      </w:r>
      <w:r>
        <w:t>a</w:t>
      </w:r>
      <w:r w:rsidR="007A1C5A">
        <w:t> </w:t>
      </w:r>
      <w:r>
        <w:t xml:space="preserve">letter dated 31 March 2014 from K.M.M., the author’s brother. The documents submitted on 26 March 2014 are </w:t>
      </w:r>
      <w:r w:rsidR="00F75E86">
        <w:t xml:space="preserve">the </w:t>
      </w:r>
      <w:r>
        <w:t xml:space="preserve">following: (a) an undated “wanted person” notice concerning the author; and (b) the letter dated 5 February 2014 signed by the director of the organization Objective </w:t>
      </w:r>
      <w:r w:rsidR="00F75E86">
        <w:t>(s</w:t>
      </w:r>
      <w:r w:rsidRPr="00DE4C5A">
        <w:t xml:space="preserve">ee </w:t>
      </w:r>
      <w:r>
        <w:t>foot</w:t>
      </w:r>
      <w:r w:rsidRPr="00DE4C5A">
        <w:t xml:space="preserve">note </w:t>
      </w:r>
      <w:r>
        <w:t>1</w:t>
      </w:r>
      <w:r w:rsidR="00F75E86">
        <w:t>)</w:t>
      </w:r>
      <w:r w:rsidRPr="00DE4C5A">
        <w:t>.</w:t>
      </w:r>
    </w:p>
  </w:footnote>
  <w:footnote w:id="7">
    <w:p w:rsidR="00050D1F" w:rsidRPr="00A309F6" w:rsidRDefault="00050D1F" w:rsidP="00FC440B">
      <w:pPr>
        <w:pStyle w:val="FootnoteText"/>
      </w:pPr>
      <w:r>
        <w:tab/>
      </w:r>
      <w:r>
        <w:rPr>
          <w:rStyle w:val="FootnoteReference"/>
        </w:rPr>
        <w:footnoteRef/>
      </w:r>
      <w:r>
        <w:tab/>
      </w:r>
      <w:proofErr w:type="gramStart"/>
      <w:r w:rsidRPr="00A309F6">
        <w:t xml:space="preserve">For </w:t>
      </w:r>
      <w:r>
        <w:t xml:space="preserve">a </w:t>
      </w:r>
      <w:r w:rsidRPr="00A309F6">
        <w:t>full description</w:t>
      </w:r>
      <w:r>
        <w:t>,</w:t>
      </w:r>
      <w:r w:rsidRPr="00A309F6">
        <w:t xml:space="preserve"> see communication </w:t>
      </w:r>
      <w:r w:rsidRPr="00DE197C">
        <w:t xml:space="preserve">No. 2379/2014, </w:t>
      </w:r>
      <w:proofErr w:type="spellStart"/>
      <w:r w:rsidRPr="00AF2A0F">
        <w:rPr>
          <w:i/>
        </w:rPr>
        <w:t>Obah</w:t>
      </w:r>
      <w:proofErr w:type="spellEnd"/>
      <w:r w:rsidRPr="00AF2A0F">
        <w:rPr>
          <w:i/>
        </w:rPr>
        <w:t xml:space="preserve"> Hussein Ahmed v</w:t>
      </w:r>
      <w:r w:rsidR="00603190">
        <w:rPr>
          <w:i/>
        </w:rPr>
        <w:t>.</w:t>
      </w:r>
      <w:r w:rsidRPr="00AF2A0F">
        <w:rPr>
          <w:i/>
        </w:rPr>
        <w:t xml:space="preserve"> Denmark</w:t>
      </w:r>
      <w:r w:rsidRPr="00DE197C">
        <w:t>, Views adopted on 7 July 2016, para</w:t>
      </w:r>
      <w:r>
        <w:t>s</w:t>
      </w:r>
      <w:r w:rsidRPr="00DE197C">
        <w:t>.</w:t>
      </w:r>
      <w:proofErr w:type="gramEnd"/>
      <w:r w:rsidRPr="00DE197C">
        <w:t xml:space="preserve"> 4.1-4.4.</w:t>
      </w:r>
    </w:p>
  </w:footnote>
  <w:footnote w:id="8">
    <w:p w:rsidR="00050D1F" w:rsidRPr="00D5334E" w:rsidRDefault="00050D1F" w:rsidP="00FC440B">
      <w:pPr>
        <w:pStyle w:val="FootnoteText"/>
      </w:pPr>
      <w:r>
        <w:tab/>
      </w:r>
      <w:r>
        <w:rPr>
          <w:rStyle w:val="FootnoteReference"/>
        </w:rPr>
        <w:footnoteRef/>
      </w:r>
      <w:r>
        <w:tab/>
        <w:t xml:space="preserve">Medical records were not part of the submission. There is no further information </w:t>
      </w:r>
      <w:r w:rsidR="00603190">
        <w:t>on such</w:t>
      </w:r>
      <w:r>
        <w:t xml:space="preserve"> records. It is not clear</w:t>
      </w:r>
      <w:r w:rsidR="00603190">
        <w:t>,</w:t>
      </w:r>
      <w:r>
        <w:t xml:space="preserve"> but it appears that </w:t>
      </w:r>
      <w:r w:rsidR="00603190">
        <w:t>the</w:t>
      </w:r>
      <w:r>
        <w:t xml:space="preserve"> medical records </w:t>
      </w:r>
      <w:r w:rsidR="00603190">
        <w:t>referred to in paragraph 4.3 were</w:t>
      </w:r>
      <w:r>
        <w:t xml:space="preserve"> produced within the State party</w:t>
      </w:r>
      <w:r w:rsidR="00603190">
        <w:t>.</w:t>
      </w:r>
      <w:r>
        <w:t xml:space="preserve"> (In an e</w:t>
      </w:r>
      <w:r w:rsidR="00603190">
        <w:t>-</w:t>
      </w:r>
      <w:r>
        <w:t xml:space="preserve">mail dated 17 July 2014 </w:t>
      </w:r>
      <w:r w:rsidR="00603190">
        <w:t xml:space="preserve">addressed </w:t>
      </w:r>
      <w:r>
        <w:t xml:space="preserve">to the Committee, the counsel refers to </w:t>
      </w:r>
      <w:r w:rsidR="00603190">
        <w:t>“</w:t>
      </w:r>
      <w:r>
        <w:t>the author’s medical journal from Denmark</w:t>
      </w:r>
      <w:r w:rsidR="00603190">
        <w:t>”.</w:t>
      </w:r>
      <w:r>
        <w:t xml:space="preserve">) </w:t>
      </w:r>
    </w:p>
  </w:footnote>
  <w:footnote w:id="9">
    <w:p w:rsidR="00BE2127" w:rsidRDefault="00050D1F" w:rsidP="00FC440B">
      <w:pPr>
        <w:pStyle w:val="FootnoteText"/>
      </w:pPr>
      <w:r>
        <w:tab/>
      </w:r>
      <w:r>
        <w:rPr>
          <w:rStyle w:val="FootnoteReference"/>
        </w:rPr>
        <w:footnoteRef/>
      </w:r>
      <w:r>
        <w:tab/>
      </w:r>
      <w:r w:rsidR="00BE2127">
        <w:t>P</w:t>
      </w:r>
      <w:r w:rsidRPr="00C4790D">
        <w:t>ara</w:t>
      </w:r>
      <w:r w:rsidR="00BE2127">
        <w:t>graph</w:t>
      </w:r>
      <w:r w:rsidRPr="00C4790D">
        <w:t xml:space="preserve"> 233</w:t>
      </w:r>
      <w:r w:rsidR="00BE2127">
        <w:t xml:space="preserve"> of the judgment reads</w:t>
      </w:r>
      <w:r>
        <w:t xml:space="preserve">: </w:t>
      </w:r>
    </w:p>
    <w:p w:rsidR="00BE2127" w:rsidRPr="00A91A37" w:rsidRDefault="00050D1F" w:rsidP="00FC440B">
      <w:pPr>
        <w:pStyle w:val="FootnoteText"/>
        <w:tabs>
          <w:tab w:val="clear" w:pos="1021"/>
          <w:tab w:val="right" w:pos="1418"/>
        </w:tabs>
        <w:ind w:left="1701" w:firstLine="0"/>
      </w:pPr>
      <w:r w:rsidRPr="00C4790D">
        <w:t xml:space="preserve">The Court therefore considers that, despite the doubts it expressed in </w:t>
      </w:r>
      <w:proofErr w:type="spellStart"/>
      <w:r w:rsidRPr="00C4790D">
        <w:rPr>
          <w:i/>
          <w:iCs/>
        </w:rPr>
        <w:t>Tomic</w:t>
      </w:r>
      <w:proofErr w:type="spellEnd"/>
      <w:r w:rsidRPr="00C4790D">
        <w:t>, it is</w:t>
      </w:r>
      <w:r>
        <w:t xml:space="preserve"> </w:t>
      </w:r>
      <w:r w:rsidRPr="00C4790D">
        <w:t>possible for Article 5 to apply in an expulsion case. Hence, the Court considers that a</w:t>
      </w:r>
      <w:r>
        <w:t xml:space="preserve"> </w:t>
      </w:r>
      <w:r w:rsidRPr="00C4790D">
        <w:t>Contracting State would be in violation of Article 5 if it removed an applicant to a State</w:t>
      </w:r>
      <w:r>
        <w:t xml:space="preserve"> </w:t>
      </w:r>
      <w:r w:rsidRPr="00C4790D">
        <w:t xml:space="preserve">where he or she was at </w:t>
      </w:r>
      <w:r w:rsidRPr="00747415">
        <w:rPr>
          <w:bCs/>
        </w:rPr>
        <w:t>real risk of a flagrant breach of that Article</w:t>
      </w:r>
      <w:r w:rsidRPr="00D37824">
        <w:t>.</w:t>
      </w:r>
      <w:r w:rsidRPr="00C4790D">
        <w:t xml:space="preserve"> However, as with</w:t>
      </w:r>
      <w:r>
        <w:t xml:space="preserve"> </w:t>
      </w:r>
      <w:r w:rsidRPr="00C4790D">
        <w:t>Article 6, a high threshold must apply. A flagrant breach of Article 5 would occur only</w:t>
      </w:r>
      <w:r>
        <w:t xml:space="preserve"> </w:t>
      </w:r>
      <w:r w:rsidRPr="00C4790D">
        <w:t>if, for example, the receiving State arbitrarily detained an applicant for many years</w:t>
      </w:r>
      <w:r>
        <w:t xml:space="preserve"> </w:t>
      </w:r>
      <w:r w:rsidRPr="00C4790D">
        <w:t>without any intention of bringing him or her to trial. A flagrant breach of Article 5</w:t>
      </w:r>
      <w:r>
        <w:t xml:space="preserve"> </w:t>
      </w:r>
      <w:r w:rsidRPr="00C4790D">
        <w:t>might also occur if an applicant would be at risk of being imprisoned for a substantial</w:t>
      </w:r>
      <w:r>
        <w:t xml:space="preserve"> </w:t>
      </w:r>
      <w:r w:rsidRPr="00C4790D">
        <w:t>period in the receiving State, having previously been convicted after a flagrantly unfair</w:t>
      </w:r>
      <w:r>
        <w:t xml:space="preserve"> </w:t>
      </w:r>
      <w:r w:rsidRPr="00C4790D">
        <w:t>trial.</w:t>
      </w:r>
    </w:p>
  </w:footnote>
  <w:footnote w:id="10">
    <w:p w:rsidR="00050D1F" w:rsidRPr="00A91A37" w:rsidRDefault="00050D1F" w:rsidP="00FC440B">
      <w:pPr>
        <w:pStyle w:val="FootnoteText"/>
      </w:pPr>
      <w:r>
        <w:tab/>
      </w:r>
      <w:r>
        <w:rPr>
          <w:rStyle w:val="FootnoteReference"/>
        </w:rPr>
        <w:footnoteRef/>
      </w:r>
      <w:r>
        <w:tab/>
      </w:r>
      <w:r w:rsidRPr="00B63E79">
        <w:t>As regards the background information on the situation of family members of persons</w:t>
      </w:r>
      <w:r>
        <w:t xml:space="preserve"> </w:t>
      </w:r>
      <w:r w:rsidRPr="00B63E79">
        <w:t xml:space="preserve">connected to the Chechen rebels, reference is made to </w:t>
      </w:r>
      <w:r>
        <w:t xml:space="preserve">the information on </w:t>
      </w:r>
      <w:r w:rsidRPr="00B63E79">
        <w:t>page 61</w:t>
      </w:r>
      <w:r>
        <w:t xml:space="preserve"> </w:t>
      </w:r>
      <w:r w:rsidRPr="00B63E79">
        <w:t xml:space="preserve">of </w:t>
      </w:r>
      <w:r w:rsidRPr="00B63E79">
        <w:rPr>
          <w:i/>
          <w:iCs/>
        </w:rPr>
        <w:t>Chechens in the Russian</w:t>
      </w:r>
      <w:r>
        <w:rPr>
          <w:i/>
          <w:iCs/>
        </w:rPr>
        <w:t xml:space="preserve"> </w:t>
      </w:r>
      <w:r w:rsidRPr="00B63E79">
        <w:rPr>
          <w:i/>
          <w:iCs/>
        </w:rPr>
        <w:t>Federation</w:t>
      </w:r>
      <w:r>
        <w:rPr>
          <w:i/>
          <w:iCs/>
        </w:rPr>
        <w:t>: Residence Registration, Racially Motivated Violence and Fabricated Criminal Cases</w:t>
      </w:r>
      <w:r w:rsidRPr="00B63E79">
        <w:t>, a</w:t>
      </w:r>
      <w:r w:rsidR="007A1C5A">
        <w:t> </w:t>
      </w:r>
      <w:r>
        <w:t>joint</w:t>
      </w:r>
      <w:r w:rsidRPr="00B63E79">
        <w:t xml:space="preserve"> report of</w:t>
      </w:r>
      <w:r>
        <w:t xml:space="preserve"> the Danish Immigration Service and the Danish Refugee Council dated August 2012</w:t>
      </w:r>
      <w:r w:rsidRPr="00B63E79">
        <w:t xml:space="preserve"> (document No. 260 on the list of</w:t>
      </w:r>
      <w:r>
        <w:t xml:space="preserve"> </w:t>
      </w:r>
      <w:r w:rsidRPr="00B63E79">
        <w:t xml:space="preserve">background material on </w:t>
      </w:r>
      <w:r>
        <w:t xml:space="preserve">the </w:t>
      </w:r>
      <w:r w:rsidRPr="00B63E79">
        <w:t>Russia</w:t>
      </w:r>
      <w:r>
        <w:t>n Federation</w:t>
      </w:r>
      <w:r w:rsidRPr="00B63E79">
        <w:t xml:space="preserve"> available to the Refugee Appeals Board), from which it</w:t>
      </w:r>
      <w:r>
        <w:t xml:space="preserve"> </w:t>
      </w:r>
      <w:r w:rsidRPr="00B63E79">
        <w:t>appears that particularly close male family members of persons connected to rebel groups risk</w:t>
      </w:r>
      <w:r>
        <w:t xml:space="preserve"> </w:t>
      </w:r>
      <w:r w:rsidRPr="00B63E79">
        <w:t>attracting the attention of the Chechen authorities.</w:t>
      </w:r>
    </w:p>
  </w:footnote>
  <w:footnote w:id="11">
    <w:p w:rsidR="00050D1F" w:rsidRPr="00A91A37" w:rsidRDefault="00050D1F" w:rsidP="00FC440B">
      <w:pPr>
        <w:pStyle w:val="FootnoteText"/>
      </w:pPr>
      <w:r>
        <w:tab/>
      </w:r>
      <w:r>
        <w:rPr>
          <w:rStyle w:val="FootnoteReference"/>
        </w:rPr>
        <w:footnoteRef/>
      </w:r>
      <w:r>
        <w:tab/>
        <w:t>T</w:t>
      </w:r>
      <w:r w:rsidRPr="00A61B6E">
        <w:t>he submission made by the</w:t>
      </w:r>
      <w:r>
        <w:t xml:space="preserve"> </w:t>
      </w:r>
      <w:r w:rsidRPr="00A61B6E">
        <w:t>author’s counsel that the Danish Immigration Service requested an assessment of the</w:t>
      </w:r>
      <w:r>
        <w:t xml:space="preserve"> </w:t>
      </w:r>
      <w:r w:rsidRPr="00A61B6E">
        <w:t xml:space="preserve">authenticity of </w:t>
      </w:r>
      <w:r w:rsidRPr="0068420F">
        <w:t>those summons</w:t>
      </w:r>
      <w:r>
        <w:t>es</w:t>
      </w:r>
      <w:r w:rsidRPr="00A61B6E">
        <w:t xml:space="preserve"> through the Ministry of Foreign Affairs is incorrect. </w:t>
      </w:r>
      <w:r>
        <w:t>T</w:t>
      </w:r>
      <w:r w:rsidRPr="00A61B6E">
        <w:t>he author’s counsel only produced those documents after the Refugee Appeals</w:t>
      </w:r>
      <w:r>
        <w:t xml:space="preserve"> </w:t>
      </w:r>
      <w:r w:rsidRPr="00A61B6E">
        <w:t xml:space="preserve">Board refused asylum on 6 March 2014, </w:t>
      </w:r>
      <w:r>
        <w:t>so</w:t>
      </w:r>
      <w:r w:rsidRPr="00A61B6E">
        <w:t xml:space="preserve"> the documents obviously</w:t>
      </w:r>
      <w:r>
        <w:t xml:space="preserve"> were </w:t>
      </w:r>
      <w:r w:rsidRPr="00A61B6E">
        <w:t>not considered when the application for asylum was examined by the Service.</w:t>
      </w:r>
    </w:p>
  </w:footnote>
  <w:footnote w:id="12">
    <w:p w:rsidR="00050D1F" w:rsidRPr="0096207C" w:rsidRDefault="00050D1F" w:rsidP="00FC440B">
      <w:pPr>
        <w:pStyle w:val="FootnoteText"/>
      </w:pPr>
      <w:r>
        <w:tab/>
      </w:r>
      <w:r>
        <w:rPr>
          <w:rStyle w:val="FootnoteReference"/>
        </w:rPr>
        <w:footnoteRef/>
      </w:r>
      <w:r>
        <w:tab/>
      </w:r>
      <w:r w:rsidR="00F734E5">
        <w:t xml:space="preserve">See communication No. </w:t>
      </w:r>
      <w:r w:rsidR="000E7CDA">
        <w:t xml:space="preserve">416/2010, </w:t>
      </w:r>
      <w:proofErr w:type="spellStart"/>
      <w:r w:rsidR="000E7CDA" w:rsidRPr="001970A2">
        <w:rPr>
          <w:i/>
        </w:rPr>
        <w:t>Rong</w:t>
      </w:r>
      <w:proofErr w:type="spellEnd"/>
      <w:r w:rsidR="000E7CDA" w:rsidRPr="001970A2">
        <w:rPr>
          <w:i/>
        </w:rPr>
        <w:t xml:space="preserve"> v. Australia</w:t>
      </w:r>
      <w:r w:rsidR="000E7CDA">
        <w:t>, decision adopted on 5 November 2012, p</w:t>
      </w:r>
      <w:r w:rsidRPr="0096207C">
        <w:t>ara</w:t>
      </w:r>
      <w:r w:rsidR="0044305A">
        <w:t>. </w:t>
      </w:r>
      <w:r w:rsidRPr="0096207C">
        <w:t>7.5</w:t>
      </w:r>
      <w:r>
        <w:t>.</w:t>
      </w:r>
    </w:p>
  </w:footnote>
  <w:footnote w:id="13">
    <w:p w:rsidR="00050D1F" w:rsidRPr="00F13088" w:rsidRDefault="00050D1F" w:rsidP="00FC440B">
      <w:pPr>
        <w:pStyle w:val="FootnoteText"/>
      </w:pPr>
      <w:r>
        <w:tab/>
      </w:r>
      <w:r>
        <w:rPr>
          <w:rStyle w:val="FootnoteReference"/>
        </w:rPr>
        <w:footnoteRef/>
      </w:r>
      <w:r>
        <w:tab/>
      </w:r>
      <w:r w:rsidRPr="00F13088">
        <w:t xml:space="preserve">The report </w:t>
      </w:r>
      <w:r>
        <w:rPr>
          <w:i/>
        </w:rPr>
        <w:t xml:space="preserve">Security and </w:t>
      </w:r>
      <w:r w:rsidR="000E7CDA">
        <w:rPr>
          <w:i/>
        </w:rPr>
        <w:t>H</w:t>
      </w:r>
      <w:r>
        <w:rPr>
          <w:i/>
        </w:rPr>
        <w:t xml:space="preserve">uman </w:t>
      </w:r>
      <w:r w:rsidR="000E7CDA">
        <w:rPr>
          <w:i/>
        </w:rPr>
        <w:t>R</w:t>
      </w:r>
      <w:r>
        <w:rPr>
          <w:i/>
        </w:rPr>
        <w:t xml:space="preserve">ights in Chechnya and the </w:t>
      </w:r>
      <w:r w:rsidR="000E7CDA">
        <w:rPr>
          <w:i/>
        </w:rPr>
        <w:t>S</w:t>
      </w:r>
      <w:r>
        <w:rPr>
          <w:i/>
        </w:rPr>
        <w:t>ituation of Chechens in the Russian Federation</w:t>
      </w:r>
      <w:r w:rsidR="000E7CDA">
        <w:rPr>
          <w:i/>
        </w:rPr>
        <w:t>:</w:t>
      </w:r>
      <w:r>
        <w:rPr>
          <w:i/>
        </w:rPr>
        <w:t xml:space="preserve"> </w:t>
      </w:r>
      <w:r w:rsidR="000E7CDA">
        <w:rPr>
          <w:i/>
        </w:rPr>
        <w:t>R</w:t>
      </w:r>
      <w:r>
        <w:rPr>
          <w:i/>
        </w:rPr>
        <w:t xml:space="preserve">esidence </w:t>
      </w:r>
      <w:r w:rsidR="000E7CDA">
        <w:rPr>
          <w:i/>
        </w:rPr>
        <w:t>R</w:t>
      </w:r>
      <w:r>
        <w:rPr>
          <w:i/>
        </w:rPr>
        <w:t xml:space="preserve">egistration, </w:t>
      </w:r>
      <w:r w:rsidR="000E7CDA">
        <w:rPr>
          <w:i/>
        </w:rPr>
        <w:t>R</w:t>
      </w:r>
      <w:r>
        <w:rPr>
          <w:i/>
        </w:rPr>
        <w:t xml:space="preserve">acism and </w:t>
      </w:r>
      <w:r w:rsidR="000E7CDA">
        <w:rPr>
          <w:i/>
        </w:rPr>
        <w:t>F</w:t>
      </w:r>
      <w:r>
        <w:rPr>
          <w:i/>
        </w:rPr>
        <w:t xml:space="preserve">alse </w:t>
      </w:r>
      <w:r w:rsidR="000E7CDA">
        <w:rPr>
          <w:i/>
        </w:rPr>
        <w:t>A</w:t>
      </w:r>
      <w:r>
        <w:rPr>
          <w:i/>
        </w:rPr>
        <w:t xml:space="preserve">ccusations </w:t>
      </w:r>
      <w:r w:rsidR="005C7959">
        <w:t xml:space="preserve">on </w:t>
      </w:r>
      <w:r>
        <w:t xml:space="preserve">the Danish Immigration Service’s </w:t>
      </w:r>
      <w:r w:rsidR="005C7959">
        <w:t>fact-</w:t>
      </w:r>
      <w:r>
        <w:t xml:space="preserve">finding mission to Moscow, Grozny and Volgograd </w:t>
      </w:r>
      <w:r w:rsidR="005C7959">
        <w:t>(</w:t>
      </w:r>
      <w:r>
        <w:t>23 April</w:t>
      </w:r>
      <w:r w:rsidR="005C7959">
        <w:t>-</w:t>
      </w:r>
      <w:r>
        <w:t>13 May 2014</w:t>
      </w:r>
      <w:r w:rsidR="005C7959">
        <w:t>)</w:t>
      </w:r>
      <w:r>
        <w:t xml:space="preserve"> and Paris </w:t>
      </w:r>
      <w:r w:rsidR="005C7959">
        <w:t>(</w:t>
      </w:r>
      <w:r>
        <w:t>3 June 2014</w:t>
      </w:r>
      <w:r w:rsidR="005C7959">
        <w:t>)</w:t>
      </w:r>
      <w:r>
        <w:t xml:space="preserve"> </w:t>
      </w:r>
      <w:r w:rsidRPr="00F13088">
        <w:t xml:space="preserve">was </w:t>
      </w:r>
      <w:r w:rsidR="000D1BE4">
        <w:t>attached to the author’s comments</w:t>
      </w:r>
      <w:r w:rsidRPr="00F13088">
        <w:t>.</w:t>
      </w:r>
      <w:r>
        <w:t xml:space="preserve"> </w:t>
      </w:r>
    </w:p>
  </w:footnote>
  <w:footnote w:id="14">
    <w:p w:rsidR="00050D1F" w:rsidRPr="0096207C" w:rsidRDefault="00050D1F" w:rsidP="00FC440B">
      <w:pPr>
        <w:pStyle w:val="FootnoteText"/>
      </w:pPr>
      <w:r>
        <w:tab/>
      </w:r>
      <w:r>
        <w:rPr>
          <w:rStyle w:val="FootnoteReference"/>
        </w:rPr>
        <w:footnoteRef/>
      </w:r>
      <w:r>
        <w:tab/>
      </w:r>
      <w:r w:rsidR="000D1BE4">
        <w:t>On page 135 of</w:t>
      </w:r>
      <w:r>
        <w:t xml:space="preserve"> t</w:t>
      </w:r>
      <w:r w:rsidRPr="0096207C">
        <w:t xml:space="preserve">he report </w:t>
      </w:r>
      <w:r w:rsidRPr="0096207C">
        <w:rPr>
          <w:i/>
        </w:rPr>
        <w:t>S</w:t>
      </w:r>
      <w:r>
        <w:rPr>
          <w:i/>
        </w:rPr>
        <w:t xml:space="preserve">ecurity and </w:t>
      </w:r>
      <w:r w:rsidR="000E7CDA">
        <w:rPr>
          <w:i/>
        </w:rPr>
        <w:t>H</w:t>
      </w:r>
      <w:r>
        <w:rPr>
          <w:i/>
        </w:rPr>
        <w:t xml:space="preserve">uman </w:t>
      </w:r>
      <w:r w:rsidR="000D1BE4">
        <w:rPr>
          <w:i/>
        </w:rPr>
        <w:t>R</w:t>
      </w:r>
      <w:r>
        <w:rPr>
          <w:i/>
        </w:rPr>
        <w:t>ights in Che</w:t>
      </w:r>
      <w:r w:rsidRPr="00355F14">
        <w:rPr>
          <w:i/>
        </w:rPr>
        <w:t xml:space="preserve">chnya </w:t>
      </w:r>
      <w:r w:rsidR="000D1BE4">
        <w:rPr>
          <w:iCs/>
        </w:rPr>
        <w:t xml:space="preserve">(see footnote 11), it is written </w:t>
      </w:r>
      <w:r w:rsidRPr="00355F14">
        <w:t xml:space="preserve">that </w:t>
      </w:r>
      <w:r w:rsidR="000D1BE4">
        <w:t>“close relatives are fathers, mothers, brothers and sisters” and that “</w:t>
      </w:r>
      <w:r w:rsidRPr="00355F14">
        <w:t xml:space="preserve">it would be </w:t>
      </w:r>
      <w:r w:rsidR="000D1BE4">
        <w:t>the</w:t>
      </w:r>
      <w:r w:rsidR="000D1BE4" w:rsidRPr="00355F14">
        <w:t xml:space="preserve"> </w:t>
      </w:r>
      <w:r w:rsidRPr="00DE4C5A">
        <w:t xml:space="preserve">exemption </w:t>
      </w:r>
      <w:r w:rsidR="000D1BE4">
        <w:t>if the Chechen authorities would pay that kind of attention to more distant relatives of suspected active insurgents as well as relatives of suspected supports”</w:t>
      </w:r>
      <w:r w:rsidRPr="0096207C">
        <w:t xml:space="preserve">. </w:t>
      </w:r>
      <w:r>
        <w:t xml:space="preserve">It </w:t>
      </w:r>
      <w:r w:rsidR="000D1BE4">
        <w:t xml:space="preserve">is </w:t>
      </w:r>
      <w:r>
        <w:t xml:space="preserve">also </w:t>
      </w:r>
      <w:r w:rsidR="000D1BE4">
        <w:t>written</w:t>
      </w:r>
      <w:r>
        <w:t xml:space="preserve"> that </w:t>
      </w:r>
      <w:r w:rsidR="000D1BE4">
        <w:t xml:space="preserve">”there has been </w:t>
      </w:r>
      <w:r>
        <w:t xml:space="preserve">a breakdown of traditional values in the Chechen society </w:t>
      </w:r>
      <w:r w:rsidR="000D1BE4">
        <w:t xml:space="preserve">and for examples </w:t>
      </w:r>
      <w:r>
        <w:t>women can no longer be considered safe from physical violence if they are detained or arrested. However, women are not exposed to beatings and other forms of physical violence if in police custody as often as male detainees”</w:t>
      </w:r>
      <w:r w:rsidR="000D1BE4">
        <w:t>.</w:t>
      </w:r>
      <w:r>
        <w:t xml:space="preserve"> </w:t>
      </w:r>
    </w:p>
  </w:footnote>
  <w:footnote w:id="15">
    <w:p w:rsidR="00050D1F" w:rsidRDefault="00050D1F" w:rsidP="00FC440B">
      <w:pPr>
        <w:pStyle w:val="FootnoteText"/>
      </w:pPr>
      <w:r w:rsidRPr="00FD15DF">
        <w:tab/>
      </w:r>
      <w:r w:rsidRPr="00E71558">
        <w:rPr>
          <w:rStyle w:val="FootnoteReference"/>
          <w:szCs w:val="18"/>
        </w:rPr>
        <w:footnoteRef/>
      </w:r>
      <w:r w:rsidRPr="00FD15DF">
        <w:tab/>
      </w:r>
      <w:r w:rsidR="000D1BE4">
        <w:t>See c</w:t>
      </w:r>
      <w:r w:rsidRPr="0051084A">
        <w:t>ommunications</w:t>
      </w:r>
      <w:r>
        <w:t xml:space="preserve"> </w:t>
      </w:r>
      <w:r w:rsidRPr="00260272">
        <w:t>N</w:t>
      </w:r>
      <w:r>
        <w:t xml:space="preserve">o. 2007/2010, </w:t>
      </w:r>
      <w:r w:rsidRPr="00D517B4">
        <w:rPr>
          <w:i/>
        </w:rPr>
        <w:t>X</w:t>
      </w:r>
      <w:r>
        <w:rPr>
          <w:i/>
        </w:rPr>
        <w:t>. v. Denmark</w:t>
      </w:r>
      <w:r>
        <w:t xml:space="preserve">, Views adopted on 26 March 2014, </w:t>
      </w:r>
      <w:proofErr w:type="gramStart"/>
      <w:r>
        <w:t>para</w:t>
      </w:r>
      <w:proofErr w:type="gramEnd"/>
      <w:r>
        <w:t xml:space="preserve">. </w:t>
      </w:r>
      <w:proofErr w:type="gramStart"/>
      <w:r>
        <w:t>9.2; No.</w:t>
      </w:r>
      <w:r w:rsidR="0044305A">
        <w:t> </w:t>
      </w:r>
      <w:r>
        <w:t xml:space="preserve">2272/2013, </w:t>
      </w:r>
      <w:r>
        <w:rPr>
          <w:i/>
        </w:rPr>
        <w:t>P.T. v. Denmark</w:t>
      </w:r>
      <w:r>
        <w:t>, Views adopted on 1 April 2015, para.</w:t>
      </w:r>
      <w:proofErr w:type="gramEnd"/>
      <w:r>
        <w:t xml:space="preserve"> 7.2</w:t>
      </w:r>
      <w:r w:rsidR="000D1BE4">
        <w:t>;</w:t>
      </w:r>
      <w:r>
        <w:rPr>
          <w:i/>
        </w:rPr>
        <w:t xml:space="preserve"> </w:t>
      </w:r>
      <w:r>
        <w:t xml:space="preserve">No. 282/2005, </w:t>
      </w:r>
      <w:r>
        <w:rPr>
          <w:i/>
        </w:rPr>
        <w:t xml:space="preserve">S.P.A. </w:t>
      </w:r>
      <w:r w:rsidRPr="00FC440B">
        <w:rPr>
          <w:i/>
          <w:iCs/>
        </w:rPr>
        <w:t>v.</w:t>
      </w:r>
      <w:r w:rsidR="0044305A">
        <w:rPr>
          <w:i/>
        </w:rPr>
        <w:t> </w:t>
      </w:r>
      <w:r>
        <w:rPr>
          <w:i/>
        </w:rPr>
        <w:t>Canada</w:t>
      </w:r>
      <w:r>
        <w:t xml:space="preserve">, decision of inadmissibility adopted on 7 November 2006; No. 333/2007, </w:t>
      </w:r>
      <w:r>
        <w:rPr>
          <w:i/>
        </w:rPr>
        <w:t>T.</w:t>
      </w:r>
      <w:r w:rsidRPr="00D02FDB">
        <w:rPr>
          <w:i/>
        </w:rPr>
        <w:t>I. v. Canada</w:t>
      </w:r>
      <w:r>
        <w:t>, decision</w:t>
      </w:r>
      <w:r w:rsidRPr="00534AE0">
        <w:t xml:space="preserve"> </w:t>
      </w:r>
      <w:r>
        <w:t xml:space="preserve">of inadmissibility adopted on 15 November 2010; No. 344/2008, </w:t>
      </w:r>
      <w:r>
        <w:rPr>
          <w:i/>
        </w:rPr>
        <w:t>A.M.A</w:t>
      </w:r>
      <w:r w:rsidRPr="00D02FDB">
        <w:rPr>
          <w:i/>
        </w:rPr>
        <w:t>. v.</w:t>
      </w:r>
      <w:r>
        <w:rPr>
          <w:i/>
        </w:rPr>
        <w:t> Switzerland</w:t>
      </w:r>
      <w:r>
        <w:t>, decision of</w:t>
      </w:r>
      <w:r w:rsidRPr="00534AE0">
        <w:t xml:space="preserve"> </w:t>
      </w:r>
      <w:r>
        <w:t>inadmissibility adopted on 12 November 2010;</w:t>
      </w:r>
      <w:r w:rsidRPr="00260272">
        <w:t xml:space="preserve"> </w:t>
      </w:r>
      <w:r>
        <w:t xml:space="preserve">No. 692/1996, </w:t>
      </w:r>
      <w:r>
        <w:rPr>
          <w:i/>
          <w:iCs/>
        </w:rPr>
        <w:t xml:space="preserve">A.R.J. v. Australia, </w:t>
      </w:r>
      <w:r>
        <w:t xml:space="preserve">Views adopted on 28 July 1997, para. </w:t>
      </w:r>
      <w:proofErr w:type="gramStart"/>
      <w:r>
        <w:t xml:space="preserve">6.6; and No. 2347/2014, </w:t>
      </w:r>
      <w:r w:rsidRPr="001141EA">
        <w:rPr>
          <w:i/>
        </w:rPr>
        <w:t xml:space="preserve">K.G. v Denmark, </w:t>
      </w:r>
      <w:r w:rsidRPr="001141EA">
        <w:t xml:space="preserve">Views adopted on </w:t>
      </w:r>
      <w:r>
        <w:t>22 March 2016</w:t>
      </w:r>
      <w:r w:rsidRPr="00DE4C5A">
        <w:t>,</w:t>
      </w:r>
      <w:r>
        <w:t xml:space="preserve"> para.</w:t>
      </w:r>
      <w:proofErr w:type="gramEnd"/>
      <w:r>
        <w:t xml:space="preserve"> 7.2.</w:t>
      </w:r>
    </w:p>
  </w:footnote>
  <w:footnote w:id="16">
    <w:p w:rsidR="00050D1F" w:rsidRPr="001141EA" w:rsidRDefault="00050D1F" w:rsidP="00FC440B">
      <w:pPr>
        <w:pStyle w:val="FootnoteText"/>
      </w:pPr>
      <w:r w:rsidRPr="00FD15DF">
        <w:tab/>
      </w:r>
      <w:r w:rsidRPr="00E71558">
        <w:rPr>
          <w:rStyle w:val="FootnoteReference"/>
          <w:szCs w:val="18"/>
        </w:rPr>
        <w:footnoteRef/>
      </w:r>
      <w:r w:rsidRPr="00FD15DF">
        <w:tab/>
      </w:r>
      <w:r w:rsidRPr="0051084A">
        <w:t>Communications</w:t>
      </w:r>
      <w:r>
        <w:t xml:space="preserve"> </w:t>
      </w:r>
      <w:r w:rsidRPr="00260272">
        <w:t>N</w:t>
      </w:r>
      <w:r>
        <w:t xml:space="preserve">o. 2007/2010, </w:t>
      </w:r>
      <w:r w:rsidRPr="00534AE0">
        <w:rPr>
          <w:i/>
        </w:rPr>
        <w:t>X</w:t>
      </w:r>
      <w:r>
        <w:rPr>
          <w:i/>
        </w:rPr>
        <w:t>.</w:t>
      </w:r>
      <w:r w:rsidRPr="00534AE0">
        <w:rPr>
          <w:i/>
        </w:rPr>
        <w:t xml:space="preserve"> v. Denmark</w:t>
      </w:r>
      <w:r>
        <w:t xml:space="preserve">, Views adopted on 26 March 2014, para. </w:t>
      </w:r>
      <w:proofErr w:type="gramStart"/>
      <w:r>
        <w:t xml:space="preserve">9.2; </w:t>
      </w:r>
      <w:r w:rsidRPr="00260272">
        <w:t>N</w:t>
      </w:r>
      <w:r>
        <w:t>o.</w:t>
      </w:r>
      <w:r w:rsidR="0044305A">
        <w:t> </w:t>
      </w:r>
      <w:r>
        <w:t>1833/2008</w:t>
      </w:r>
      <w:r>
        <w:rPr>
          <w:i/>
        </w:rPr>
        <w:t>, X. v. Sweden</w:t>
      </w:r>
      <w:r>
        <w:t>, Views adopted on 1 November 2011, para.</w:t>
      </w:r>
      <w:proofErr w:type="gramEnd"/>
      <w:r>
        <w:t xml:space="preserve"> 5.18; and No. 2347/2014, </w:t>
      </w:r>
      <w:r>
        <w:rPr>
          <w:i/>
        </w:rPr>
        <w:t xml:space="preserve">K.G. v Denmark, </w:t>
      </w:r>
      <w:r w:rsidRPr="00A91A37">
        <w:t xml:space="preserve">Views adopted </w:t>
      </w:r>
      <w:r w:rsidRPr="00DE4C5A">
        <w:t>on</w:t>
      </w:r>
      <w:r>
        <w:t xml:space="preserve"> 22 March 2016</w:t>
      </w:r>
      <w:r w:rsidRPr="00DE4C5A">
        <w:t>;</w:t>
      </w:r>
      <w:r>
        <w:t xml:space="preserve"> para 7.2.</w:t>
      </w:r>
    </w:p>
  </w:footnote>
  <w:footnote w:id="17">
    <w:p w:rsidR="00050D1F" w:rsidRDefault="00050D1F" w:rsidP="00FC440B">
      <w:pPr>
        <w:pStyle w:val="FootnoteText"/>
      </w:pPr>
      <w:r w:rsidRPr="00FD15DF">
        <w:tab/>
      </w:r>
      <w:r w:rsidRPr="00E71558">
        <w:rPr>
          <w:rStyle w:val="FootnoteReference"/>
          <w:szCs w:val="18"/>
        </w:rPr>
        <w:footnoteRef/>
      </w:r>
      <w:r w:rsidRPr="00FD15DF">
        <w:tab/>
      </w:r>
      <w:r w:rsidRPr="006C7B0B">
        <w:t>Ibid.</w:t>
      </w:r>
    </w:p>
  </w:footnote>
  <w:footnote w:id="18">
    <w:p w:rsidR="00050D1F" w:rsidRPr="00355F14" w:rsidRDefault="00050D1F" w:rsidP="00FC440B">
      <w:pPr>
        <w:pStyle w:val="FootnoteText"/>
      </w:pPr>
      <w:r>
        <w:tab/>
      </w:r>
      <w:r>
        <w:rPr>
          <w:rStyle w:val="FootnoteReference"/>
        </w:rPr>
        <w:footnoteRef/>
      </w:r>
      <w:r>
        <w:tab/>
      </w:r>
      <w:proofErr w:type="gramStart"/>
      <w:r w:rsidRPr="00695CFE">
        <w:t>See</w:t>
      </w:r>
      <w:r>
        <w:rPr>
          <w:rFonts w:hint="eastAsia"/>
          <w:lang w:eastAsia="ja-JP"/>
        </w:rPr>
        <w:t>,</w:t>
      </w:r>
      <w:proofErr w:type="gramEnd"/>
      <w:r w:rsidRPr="00695CFE">
        <w:t xml:space="preserve"> </w:t>
      </w:r>
      <w:r w:rsidRPr="005E25F4">
        <w:t>inter</w:t>
      </w:r>
      <w:r>
        <w:t xml:space="preserve"> alia</w:t>
      </w:r>
      <w:r>
        <w:rPr>
          <w:rFonts w:hint="eastAsia"/>
          <w:lang w:eastAsia="ja-JP"/>
        </w:rPr>
        <w:t>,</w:t>
      </w:r>
      <w:r>
        <w:rPr>
          <w:lang w:eastAsia="ja-JP"/>
        </w:rPr>
        <w:t xml:space="preserve"> </w:t>
      </w:r>
      <w:r>
        <w:rPr>
          <w:i/>
          <w:lang w:eastAsia="ja-JP"/>
        </w:rPr>
        <w:t>Chechens in the Russian Federation</w:t>
      </w:r>
      <w:r w:rsidR="00BD4C06">
        <w:rPr>
          <w:i/>
          <w:lang w:eastAsia="ja-JP"/>
        </w:rPr>
        <w:t xml:space="preserve"> </w:t>
      </w:r>
      <w:r w:rsidR="00BD4C06">
        <w:rPr>
          <w:iCs/>
          <w:lang w:eastAsia="ja-JP"/>
        </w:rPr>
        <w:t>(see footnote 8)</w:t>
      </w:r>
      <w:r w:rsidR="00BD4C06">
        <w:rPr>
          <w:lang w:eastAsia="ja-JP"/>
        </w:rPr>
        <w:t xml:space="preserve"> and</w:t>
      </w:r>
      <w:r>
        <w:rPr>
          <w:lang w:eastAsia="ja-JP"/>
        </w:rPr>
        <w:t xml:space="preserve"> </w:t>
      </w:r>
      <w:r w:rsidRPr="00A91A37">
        <w:rPr>
          <w:i/>
          <w:lang w:eastAsia="ja-JP"/>
        </w:rPr>
        <w:t xml:space="preserve">Security and </w:t>
      </w:r>
      <w:r w:rsidR="00BD4C06">
        <w:rPr>
          <w:i/>
          <w:lang w:eastAsia="ja-JP"/>
        </w:rPr>
        <w:t>H</w:t>
      </w:r>
      <w:r w:rsidRPr="00A91A37">
        <w:rPr>
          <w:i/>
          <w:lang w:eastAsia="ja-JP"/>
        </w:rPr>
        <w:t xml:space="preserve">uman </w:t>
      </w:r>
      <w:r w:rsidR="00BD4C06">
        <w:rPr>
          <w:i/>
          <w:lang w:eastAsia="ja-JP"/>
        </w:rPr>
        <w:t>R</w:t>
      </w:r>
      <w:r w:rsidRPr="00A91A37">
        <w:rPr>
          <w:i/>
          <w:lang w:eastAsia="ja-JP"/>
        </w:rPr>
        <w:t>ights</w:t>
      </w:r>
      <w:r>
        <w:rPr>
          <w:i/>
          <w:lang w:eastAsia="ja-JP"/>
        </w:rPr>
        <w:t xml:space="preserve"> in Chechnya</w:t>
      </w:r>
      <w:r w:rsidR="00BD4C06">
        <w:rPr>
          <w:i/>
          <w:lang w:eastAsia="ja-JP"/>
        </w:rPr>
        <w:t xml:space="preserve"> </w:t>
      </w:r>
      <w:r w:rsidR="00BD4C06">
        <w:rPr>
          <w:iCs/>
          <w:lang w:eastAsia="ja-JP"/>
        </w:rPr>
        <w:t>(see footnote 11).</w:t>
      </w:r>
      <w:r>
        <w:rPr>
          <w:i/>
          <w:lang w:eastAsia="ja-JP"/>
        </w:rPr>
        <w:t xml:space="preserve"> </w:t>
      </w:r>
    </w:p>
  </w:footnote>
  <w:footnote w:id="19">
    <w:p w:rsidR="00050D1F" w:rsidRPr="00683DDF" w:rsidRDefault="00050D1F" w:rsidP="00FC440B">
      <w:pPr>
        <w:pStyle w:val="FootnoteText"/>
      </w:pPr>
      <w:r>
        <w:tab/>
      </w:r>
      <w:r>
        <w:rPr>
          <w:rStyle w:val="FootnoteReference"/>
        </w:rPr>
        <w:footnoteRef/>
      </w:r>
      <w:r>
        <w:tab/>
      </w:r>
      <w:r w:rsidR="00BD4C06">
        <w:t xml:space="preserve">See </w:t>
      </w:r>
      <w:r w:rsidRPr="00FE0FA4">
        <w:rPr>
          <w:i/>
        </w:rPr>
        <w:t xml:space="preserve">Security and </w:t>
      </w:r>
      <w:r w:rsidR="00BD4C06">
        <w:rPr>
          <w:i/>
        </w:rPr>
        <w:t>H</w:t>
      </w:r>
      <w:r w:rsidRPr="00FE0FA4">
        <w:rPr>
          <w:i/>
        </w:rPr>
        <w:t xml:space="preserve">uman </w:t>
      </w:r>
      <w:r w:rsidR="00BD4C06" w:rsidRPr="00BD4C06">
        <w:rPr>
          <w:i/>
        </w:rPr>
        <w:t>Ri</w:t>
      </w:r>
      <w:r w:rsidRPr="00BD4C06">
        <w:rPr>
          <w:i/>
        </w:rPr>
        <w:t>ghts</w:t>
      </w:r>
      <w:r w:rsidRPr="00FE0FA4">
        <w:rPr>
          <w:i/>
        </w:rPr>
        <w:t xml:space="preserve"> in Chechnya</w:t>
      </w:r>
      <w:r w:rsidR="00BD4C06">
        <w:rPr>
          <w:i/>
        </w:rPr>
        <w:t xml:space="preserve"> </w:t>
      </w:r>
      <w:r w:rsidR="00BD4C06">
        <w:rPr>
          <w:iCs/>
          <w:lang w:eastAsia="ja-JP"/>
        </w:rPr>
        <w:t>(see footnote 8)</w:t>
      </w:r>
      <w:r>
        <w:rPr>
          <w:i/>
        </w:rPr>
        <w:t>,</w:t>
      </w:r>
      <w:r w:rsidR="00BD4C06">
        <w:rPr>
          <w:i/>
        </w:rPr>
        <w:t xml:space="preserve"> </w:t>
      </w:r>
      <w:r w:rsidR="00BD4C06" w:rsidRPr="00FC440B">
        <w:rPr>
          <w:iCs/>
        </w:rPr>
        <w:t>sect</w:t>
      </w:r>
      <w:r w:rsidRPr="00683DDF">
        <w:t>.</w:t>
      </w:r>
      <w:r>
        <w:t xml:space="preserve"> </w:t>
      </w:r>
      <w:r w:rsidRPr="00683DDF">
        <w:t>4.8</w:t>
      </w:r>
      <w:r w:rsidR="00204D19">
        <w:t>,</w:t>
      </w:r>
      <w:r w:rsidRPr="00683DDF">
        <w:t xml:space="preserve"> </w:t>
      </w:r>
      <w:r>
        <w:t>“Family members to active members of the illegal armed groups and family members to supporters of the illegal armed groups”.</w:t>
      </w:r>
    </w:p>
  </w:footnote>
  <w:footnote w:id="20">
    <w:p w:rsidR="00050D1F" w:rsidRDefault="00050D1F" w:rsidP="00FC440B">
      <w:pPr>
        <w:pStyle w:val="FootnoteText"/>
      </w:pPr>
      <w:r w:rsidRPr="00FD15DF">
        <w:tab/>
      </w:r>
      <w:r w:rsidRPr="00656543">
        <w:rPr>
          <w:rStyle w:val="FootnoteReference"/>
          <w:szCs w:val="18"/>
        </w:rPr>
        <w:footnoteRef/>
      </w:r>
      <w:r w:rsidRPr="00FD15DF">
        <w:tab/>
      </w:r>
      <w:r w:rsidR="00204D19">
        <w:t>See c</w:t>
      </w:r>
      <w:r w:rsidRPr="0051084A">
        <w:t>ommunications</w:t>
      </w:r>
      <w:r>
        <w:t xml:space="preserve"> </w:t>
      </w:r>
      <w:r w:rsidRPr="00260272">
        <w:t>N</w:t>
      </w:r>
      <w:r>
        <w:t xml:space="preserve">o. 2007/2010, </w:t>
      </w:r>
      <w:r w:rsidRPr="00534AE0">
        <w:rPr>
          <w:i/>
        </w:rPr>
        <w:t>X</w:t>
      </w:r>
      <w:r>
        <w:rPr>
          <w:i/>
        </w:rPr>
        <w:t>.</w:t>
      </w:r>
      <w:r w:rsidRPr="00534AE0">
        <w:rPr>
          <w:i/>
        </w:rPr>
        <w:t xml:space="preserve"> v. Denmark</w:t>
      </w:r>
      <w:r>
        <w:t xml:space="preserve">, Views adopted on 26 March 2014, </w:t>
      </w:r>
      <w:proofErr w:type="gramStart"/>
      <w:r>
        <w:t>para</w:t>
      </w:r>
      <w:proofErr w:type="gramEnd"/>
      <w:r>
        <w:t xml:space="preserve">. </w:t>
      </w:r>
      <w:proofErr w:type="gramStart"/>
      <w:r>
        <w:t>9.2; No.</w:t>
      </w:r>
      <w:r w:rsidR="0044305A">
        <w:t> </w:t>
      </w:r>
      <w:r>
        <w:t xml:space="preserve">2272/2013, </w:t>
      </w:r>
      <w:r>
        <w:rPr>
          <w:i/>
        </w:rPr>
        <w:t>P.T. v. Denmark</w:t>
      </w:r>
      <w:r>
        <w:t>, Views adopted on 1 April 2015, para.</w:t>
      </w:r>
      <w:proofErr w:type="gramEnd"/>
      <w:r>
        <w:t xml:space="preserve"> </w:t>
      </w:r>
      <w:proofErr w:type="gramStart"/>
      <w:r>
        <w:t>7.3</w:t>
      </w:r>
      <w:r w:rsidR="00204D19">
        <w:t>;</w:t>
      </w:r>
      <w:r>
        <w:t xml:space="preserve"> </w:t>
      </w:r>
      <w:r w:rsidRPr="00260272">
        <w:t>and N</w:t>
      </w:r>
      <w:r>
        <w:t>o. 1833/2008</w:t>
      </w:r>
      <w:r w:rsidR="006E25E7" w:rsidRPr="006E25E7">
        <w:rPr>
          <w:iCs/>
        </w:rPr>
        <w:t xml:space="preserve">, </w:t>
      </w:r>
      <w:r w:rsidR="006E25E7">
        <w:rPr>
          <w:i/>
        </w:rPr>
        <w:t>X. </w:t>
      </w:r>
      <w:r>
        <w:rPr>
          <w:i/>
        </w:rPr>
        <w:t>v.</w:t>
      </w:r>
      <w:r w:rsidR="0044305A">
        <w:rPr>
          <w:i/>
        </w:rPr>
        <w:t> </w:t>
      </w:r>
      <w:r>
        <w:rPr>
          <w:i/>
        </w:rPr>
        <w:t>Sweden</w:t>
      </w:r>
      <w:r>
        <w:t>, Views adopted on 1 November 2011, para.</w:t>
      </w:r>
      <w:proofErr w:type="gramEnd"/>
      <w:r>
        <w:t xml:space="preserve"> 5.18.</w:t>
      </w:r>
    </w:p>
  </w:footnote>
  <w:footnote w:id="21">
    <w:p w:rsidR="00050D1F" w:rsidRDefault="00050D1F" w:rsidP="00FC440B">
      <w:pPr>
        <w:pStyle w:val="FootnoteText"/>
      </w:pPr>
      <w:r w:rsidRPr="00FD15DF">
        <w:tab/>
      </w:r>
      <w:r>
        <w:rPr>
          <w:rStyle w:val="FootnoteReference"/>
        </w:rPr>
        <w:footnoteRef/>
      </w:r>
      <w:r w:rsidRPr="00FD15DF">
        <w:tab/>
      </w:r>
      <w:r>
        <w:t xml:space="preserve">See </w:t>
      </w:r>
      <w:r w:rsidRPr="0051084A">
        <w:t>communications</w:t>
      </w:r>
      <w:r>
        <w:t xml:space="preserve"> No. 1763/2008, </w:t>
      </w:r>
      <w:r>
        <w:rPr>
          <w:i/>
        </w:rPr>
        <w:t>Pillai et al.</w:t>
      </w:r>
      <w:r>
        <w:t xml:space="preserve"> </w:t>
      </w:r>
      <w:r w:rsidRPr="00FC440B">
        <w:rPr>
          <w:i/>
        </w:rPr>
        <w:t>v.</w:t>
      </w:r>
      <w:r>
        <w:t xml:space="preserve"> </w:t>
      </w:r>
      <w:r>
        <w:rPr>
          <w:i/>
        </w:rPr>
        <w:t>Canada</w:t>
      </w:r>
      <w:r>
        <w:t xml:space="preserve">, Views adopted on 25 March 2011, </w:t>
      </w:r>
      <w:proofErr w:type="gramStart"/>
      <w:r>
        <w:t>para</w:t>
      </w:r>
      <w:proofErr w:type="gramEnd"/>
      <w:r>
        <w:t>.</w:t>
      </w:r>
      <w:r w:rsidR="0044305A">
        <w:t> </w:t>
      </w:r>
      <w:proofErr w:type="gramStart"/>
      <w:r>
        <w:t>11.4</w:t>
      </w:r>
      <w:r w:rsidR="00204D19">
        <w:t>;</w:t>
      </w:r>
      <w:r>
        <w:t xml:space="preserve"> and No. 1957/2010, </w:t>
      </w:r>
      <w:r>
        <w:rPr>
          <w:i/>
        </w:rPr>
        <w:t xml:space="preserve">Lin </w:t>
      </w:r>
      <w:r w:rsidRPr="00FC440B">
        <w:rPr>
          <w:i/>
        </w:rPr>
        <w:t>v.</w:t>
      </w:r>
      <w:r>
        <w:rPr>
          <w:i/>
        </w:rPr>
        <w:t xml:space="preserve"> Australia</w:t>
      </w:r>
      <w:r>
        <w:t>, Views adopted on 21 March 2013, para.</w:t>
      </w:r>
      <w:proofErr w:type="gramEnd"/>
      <w:r>
        <w:t xml:space="preserve">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F" w:rsidRPr="00781C83" w:rsidRDefault="00050D1F" w:rsidP="0017676A">
    <w:pPr>
      <w:pStyle w:val="Header"/>
      <w:pBdr>
        <w:bottom w:val="single" w:sz="4" w:space="0" w:color="auto"/>
      </w:pBdr>
    </w:pPr>
    <w:r>
      <w:t>CCPR/C/117/D/2443/2014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F" w:rsidRPr="00781C83" w:rsidRDefault="00050D1F" w:rsidP="007B1E62">
    <w:pPr>
      <w:pStyle w:val="Header"/>
      <w:pBdr>
        <w:bottom w:val="single" w:sz="4" w:space="0" w:color="auto"/>
      </w:pBdr>
      <w:jc w:val="right"/>
    </w:pPr>
    <w:r>
      <w:t>CCPR/C/117/D/2443/2014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EB5B73"/>
    <w:multiLevelType w:val="multilevel"/>
    <w:tmpl w:val="06E0FFD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2">
    <w:nsid w:val="62116750"/>
    <w:multiLevelType w:val="hybridMultilevel"/>
    <w:tmpl w:val="54828B94"/>
    <w:lvl w:ilvl="0" w:tplc="160AFEEC">
      <w:start w:val="1"/>
      <w:numFmt w:val="decimal"/>
      <w:lvlText w:val="%1."/>
      <w:lvlJc w:val="left"/>
      <w:pPr>
        <w:ind w:left="1710" w:hanging="576"/>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nsid w:val="649579C7"/>
    <w:multiLevelType w:val="hybridMultilevel"/>
    <w:tmpl w:val="C21650E2"/>
    <w:lvl w:ilvl="0" w:tplc="05D4030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0334"/>
    <w:rsid w:val="00002773"/>
    <w:rsid w:val="00003D17"/>
    <w:rsid w:val="000044E2"/>
    <w:rsid w:val="0000656A"/>
    <w:rsid w:val="00007BF7"/>
    <w:rsid w:val="000128E3"/>
    <w:rsid w:val="000135C3"/>
    <w:rsid w:val="000222FF"/>
    <w:rsid w:val="000227DC"/>
    <w:rsid w:val="00024133"/>
    <w:rsid w:val="00025269"/>
    <w:rsid w:val="00025370"/>
    <w:rsid w:val="00025418"/>
    <w:rsid w:val="00025C13"/>
    <w:rsid w:val="00025D41"/>
    <w:rsid w:val="00026B06"/>
    <w:rsid w:val="000272B3"/>
    <w:rsid w:val="00027A45"/>
    <w:rsid w:val="00031D46"/>
    <w:rsid w:val="00032A3A"/>
    <w:rsid w:val="0003387B"/>
    <w:rsid w:val="00034BD6"/>
    <w:rsid w:val="00035F0E"/>
    <w:rsid w:val="00037807"/>
    <w:rsid w:val="00037AD0"/>
    <w:rsid w:val="0004092D"/>
    <w:rsid w:val="0004175E"/>
    <w:rsid w:val="00041994"/>
    <w:rsid w:val="000419D2"/>
    <w:rsid w:val="00042EAF"/>
    <w:rsid w:val="00044EE9"/>
    <w:rsid w:val="00050D1F"/>
    <w:rsid w:val="00050F6B"/>
    <w:rsid w:val="00053842"/>
    <w:rsid w:val="00055096"/>
    <w:rsid w:val="0005782B"/>
    <w:rsid w:val="00057E97"/>
    <w:rsid w:val="00057F1A"/>
    <w:rsid w:val="00060074"/>
    <w:rsid w:val="00060C3A"/>
    <w:rsid w:val="00062F62"/>
    <w:rsid w:val="000648F1"/>
    <w:rsid w:val="00064ACF"/>
    <w:rsid w:val="00066476"/>
    <w:rsid w:val="00067250"/>
    <w:rsid w:val="00072C8C"/>
    <w:rsid w:val="000733B5"/>
    <w:rsid w:val="00075871"/>
    <w:rsid w:val="0007628F"/>
    <w:rsid w:val="00080287"/>
    <w:rsid w:val="00081815"/>
    <w:rsid w:val="0008278D"/>
    <w:rsid w:val="0008317C"/>
    <w:rsid w:val="00086F48"/>
    <w:rsid w:val="000908FA"/>
    <w:rsid w:val="000931C0"/>
    <w:rsid w:val="000970C1"/>
    <w:rsid w:val="000A0A8B"/>
    <w:rsid w:val="000A10F1"/>
    <w:rsid w:val="000A1852"/>
    <w:rsid w:val="000A2283"/>
    <w:rsid w:val="000A34F4"/>
    <w:rsid w:val="000A442E"/>
    <w:rsid w:val="000A50A8"/>
    <w:rsid w:val="000A6B47"/>
    <w:rsid w:val="000A7D92"/>
    <w:rsid w:val="000B175B"/>
    <w:rsid w:val="000B1788"/>
    <w:rsid w:val="000B3A0F"/>
    <w:rsid w:val="000B4661"/>
    <w:rsid w:val="000B4EF7"/>
    <w:rsid w:val="000B6CA3"/>
    <w:rsid w:val="000B757F"/>
    <w:rsid w:val="000C2C03"/>
    <w:rsid w:val="000C2C7E"/>
    <w:rsid w:val="000C2D2E"/>
    <w:rsid w:val="000C2E06"/>
    <w:rsid w:val="000C6F58"/>
    <w:rsid w:val="000C71A2"/>
    <w:rsid w:val="000D0A22"/>
    <w:rsid w:val="000D1BE4"/>
    <w:rsid w:val="000D3423"/>
    <w:rsid w:val="000D6258"/>
    <w:rsid w:val="000D6CA8"/>
    <w:rsid w:val="000E0415"/>
    <w:rsid w:val="000E0A4F"/>
    <w:rsid w:val="000E10B6"/>
    <w:rsid w:val="000E2BE1"/>
    <w:rsid w:val="000E42FA"/>
    <w:rsid w:val="000E536B"/>
    <w:rsid w:val="000E567F"/>
    <w:rsid w:val="000E58E1"/>
    <w:rsid w:val="000E7797"/>
    <w:rsid w:val="000E7B78"/>
    <w:rsid w:val="000E7CDA"/>
    <w:rsid w:val="000F03D7"/>
    <w:rsid w:val="000F11BD"/>
    <w:rsid w:val="000F1BE3"/>
    <w:rsid w:val="000F4E65"/>
    <w:rsid w:val="000F570E"/>
    <w:rsid w:val="000F6BEA"/>
    <w:rsid w:val="000F76E4"/>
    <w:rsid w:val="000F7794"/>
    <w:rsid w:val="000F7E69"/>
    <w:rsid w:val="00101383"/>
    <w:rsid w:val="00102AC0"/>
    <w:rsid w:val="001037D9"/>
    <w:rsid w:val="001103AA"/>
    <w:rsid w:val="0011184E"/>
    <w:rsid w:val="001141EA"/>
    <w:rsid w:val="00115DDE"/>
    <w:rsid w:val="00121BB0"/>
    <w:rsid w:val="00123048"/>
    <w:rsid w:val="00124014"/>
    <w:rsid w:val="001252BD"/>
    <w:rsid w:val="00127B61"/>
    <w:rsid w:val="001306DD"/>
    <w:rsid w:val="0013235B"/>
    <w:rsid w:val="00132968"/>
    <w:rsid w:val="00133611"/>
    <w:rsid w:val="00142286"/>
    <w:rsid w:val="00144879"/>
    <w:rsid w:val="001459DC"/>
    <w:rsid w:val="00151CCD"/>
    <w:rsid w:val="00156376"/>
    <w:rsid w:val="00156499"/>
    <w:rsid w:val="00161364"/>
    <w:rsid w:val="00161B02"/>
    <w:rsid w:val="001649C8"/>
    <w:rsid w:val="00165F3A"/>
    <w:rsid w:val="00167FC2"/>
    <w:rsid w:val="001708B0"/>
    <w:rsid w:val="0017277A"/>
    <w:rsid w:val="00172B2B"/>
    <w:rsid w:val="00172F7F"/>
    <w:rsid w:val="0017551B"/>
    <w:rsid w:val="0017676A"/>
    <w:rsid w:val="00176FE1"/>
    <w:rsid w:val="0018248E"/>
    <w:rsid w:val="00182A46"/>
    <w:rsid w:val="00183968"/>
    <w:rsid w:val="001865EC"/>
    <w:rsid w:val="0019295D"/>
    <w:rsid w:val="0019468C"/>
    <w:rsid w:val="00195FA5"/>
    <w:rsid w:val="00196CDF"/>
    <w:rsid w:val="001970A2"/>
    <w:rsid w:val="001975D8"/>
    <w:rsid w:val="001A079F"/>
    <w:rsid w:val="001A09DE"/>
    <w:rsid w:val="001A2E0B"/>
    <w:rsid w:val="001A44F4"/>
    <w:rsid w:val="001A660B"/>
    <w:rsid w:val="001A6686"/>
    <w:rsid w:val="001A723C"/>
    <w:rsid w:val="001B353E"/>
    <w:rsid w:val="001B368C"/>
    <w:rsid w:val="001B4041"/>
    <w:rsid w:val="001B4B04"/>
    <w:rsid w:val="001B734D"/>
    <w:rsid w:val="001C0F4C"/>
    <w:rsid w:val="001C1716"/>
    <w:rsid w:val="001C276E"/>
    <w:rsid w:val="001C326D"/>
    <w:rsid w:val="001C4687"/>
    <w:rsid w:val="001C538B"/>
    <w:rsid w:val="001C5988"/>
    <w:rsid w:val="001C6016"/>
    <w:rsid w:val="001C657F"/>
    <w:rsid w:val="001C6663"/>
    <w:rsid w:val="001C7895"/>
    <w:rsid w:val="001D067D"/>
    <w:rsid w:val="001D0C8C"/>
    <w:rsid w:val="001D26DF"/>
    <w:rsid w:val="001D2754"/>
    <w:rsid w:val="001D2861"/>
    <w:rsid w:val="001D384D"/>
    <w:rsid w:val="001D3A03"/>
    <w:rsid w:val="001D4B84"/>
    <w:rsid w:val="001D5C81"/>
    <w:rsid w:val="001D5E83"/>
    <w:rsid w:val="001D62BA"/>
    <w:rsid w:val="001E10EC"/>
    <w:rsid w:val="001E357C"/>
    <w:rsid w:val="001E48A9"/>
    <w:rsid w:val="001E68DA"/>
    <w:rsid w:val="001F4014"/>
    <w:rsid w:val="001F78FB"/>
    <w:rsid w:val="002012C3"/>
    <w:rsid w:val="002016B9"/>
    <w:rsid w:val="00202DA8"/>
    <w:rsid w:val="00204731"/>
    <w:rsid w:val="00204D19"/>
    <w:rsid w:val="00210AE2"/>
    <w:rsid w:val="00210CE0"/>
    <w:rsid w:val="002117EE"/>
    <w:rsid w:val="00211E0B"/>
    <w:rsid w:val="00212237"/>
    <w:rsid w:val="00214B06"/>
    <w:rsid w:val="002153EA"/>
    <w:rsid w:val="00217DDD"/>
    <w:rsid w:val="00222DFC"/>
    <w:rsid w:val="00223B4F"/>
    <w:rsid w:val="0022501D"/>
    <w:rsid w:val="0022665C"/>
    <w:rsid w:val="00226F53"/>
    <w:rsid w:val="002310A9"/>
    <w:rsid w:val="002313C7"/>
    <w:rsid w:val="00231C9F"/>
    <w:rsid w:val="0023210C"/>
    <w:rsid w:val="00232832"/>
    <w:rsid w:val="00234422"/>
    <w:rsid w:val="00236D66"/>
    <w:rsid w:val="002434D7"/>
    <w:rsid w:val="00244A62"/>
    <w:rsid w:val="00244EDE"/>
    <w:rsid w:val="002450F8"/>
    <w:rsid w:val="00247011"/>
    <w:rsid w:val="00247E5E"/>
    <w:rsid w:val="00251942"/>
    <w:rsid w:val="00252170"/>
    <w:rsid w:val="0025374A"/>
    <w:rsid w:val="00253E54"/>
    <w:rsid w:val="002569AF"/>
    <w:rsid w:val="002632E7"/>
    <w:rsid w:val="0026447F"/>
    <w:rsid w:val="0026520E"/>
    <w:rsid w:val="00265C33"/>
    <w:rsid w:val="00267F5F"/>
    <w:rsid w:val="0027131E"/>
    <w:rsid w:val="00272721"/>
    <w:rsid w:val="002743EE"/>
    <w:rsid w:val="002744F0"/>
    <w:rsid w:val="0027570D"/>
    <w:rsid w:val="002767FA"/>
    <w:rsid w:val="00280A5F"/>
    <w:rsid w:val="00280D66"/>
    <w:rsid w:val="002824C8"/>
    <w:rsid w:val="002834E0"/>
    <w:rsid w:val="00285CEC"/>
    <w:rsid w:val="00286B4D"/>
    <w:rsid w:val="00290F51"/>
    <w:rsid w:val="002915E7"/>
    <w:rsid w:val="00291CC3"/>
    <w:rsid w:val="00292262"/>
    <w:rsid w:val="00295A53"/>
    <w:rsid w:val="002974A6"/>
    <w:rsid w:val="002A03BE"/>
    <w:rsid w:val="002A239B"/>
    <w:rsid w:val="002A5E37"/>
    <w:rsid w:val="002A5F3D"/>
    <w:rsid w:val="002A76E1"/>
    <w:rsid w:val="002B3574"/>
    <w:rsid w:val="002B3F1E"/>
    <w:rsid w:val="002B4AC8"/>
    <w:rsid w:val="002B6DF5"/>
    <w:rsid w:val="002B748B"/>
    <w:rsid w:val="002B7745"/>
    <w:rsid w:val="002B78E8"/>
    <w:rsid w:val="002C032D"/>
    <w:rsid w:val="002C1E47"/>
    <w:rsid w:val="002C3C84"/>
    <w:rsid w:val="002C4B41"/>
    <w:rsid w:val="002C4E74"/>
    <w:rsid w:val="002C5BCD"/>
    <w:rsid w:val="002C5EB6"/>
    <w:rsid w:val="002D30C8"/>
    <w:rsid w:val="002D3AF5"/>
    <w:rsid w:val="002D46DB"/>
    <w:rsid w:val="002D5A8D"/>
    <w:rsid w:val="002D5ECE"/>
    <w:rsid w:val="002E1323"/>
    <w:rsid w:val="002E4AD6"/>
    <w:rsid w:val="002E7027"/>
    <w:rsid w:val="002F039C"/>
    <w:rsid w:val="002F053D"/>
    <w:rsid w:val="002F14CA"/>
    <w:rsid w:val="002F175C"/>
    <w:rsid w:val="002F402F"/>
    <w:rsid w:val="002F4E01"/>
    <w:rsid w:val="002F709A"/>
    <w:rsid w:val="002F772E"/>
    <w:rsid w:val="002F781E"/>
    <w:rsid w:val="00300FEE"/>
    <w:rsid w:val="00301072"/>
    <w:rsid w:val="0030138D"/>
    <w:rsid w:val="00301BD4"/>
    <w:rsid w:val="003040B2"/>
    <w:rsid w:val="00306124"/>
    <w:rsid w:val="00310F2C"/>
    <w:rsid w:val="003121FB"/>
    <w:rsid w:val="00314A97"/>
    <w:rsid w:val="0031790F"/>
    <w:rsid w:val="00317ED7"/>
    <w:rsid w:val="00320E07"/>
    <w:rsid w:val="00322048"/>
    <w:rsid w:val="003220F0"/>
    <w:rsid w:val="003229D8"/>
    <w:rsid w:val="0032348D"/>
    <w:rsid w:val="00323A2B"/>
    <w:rsid w:val="00326293"/>
    <w:rsid w:val="00327502"/>
    <w:rsid w:val="00327C26"/>
    <w:rsid w:val="0033138D"/>
    <w:rsid w:val="00331781"/>
    <w:rsid w:val="00332D5C"/>
    <w:rsid w:val="003335F5"/>
    <w:rsid w:val="00333921"/>
    <w:rsid w:val="00334F5A"/>
    <w:rsid w:val="00335A11"/>
    <w:rsid w:val="00335BD1"/>
    <w:rsid w:val="00335D6C"/>
    <w:rsid w:val="00335EBE"/>
    <w:rsid w:val="00336FB0"/>
    <w:rsid w:val="00342D6C"/>
    <w:rsid w:val="0034517A"/>
    <w:rsid w:val="003464C6"/>
    <w:rsid w:val="003473DF"/>
    <w:rsid w:val="003474F6"/>
    <w:rsid w:val="00352709"/>
    <w:rsid w:val="00352D2B"/>
    <w:rsid w:val="00354AA8"/>
    <w:rsid w:val="00355BD5"/>
    <w:rsid w:val="00355F14"/>
    <w:rsid w:val="00356E2B"/>
    <w:rsid w:val="0036213E"/>
    <w:rsid w:val="00362869"/>
    <w:rsid w:val="00364D6E"/>
    <w:rsid w:val="003652A0"/>
    <w:rsid w:val="003661AB"/>
    <w:rsid w:val="0036645D"/>
    <w:rsid w:val="003668B2"/>
    <w:rsid w:val="00367567"/>
    <w:rsid w:val="003705C9"/>
    <w:rsid w:val="00371178"/>
    <w:rsid w:val="003719B4"/>
    <w:rsid w:val="0037204F"/>
    <w:rsid w:val="003721BC"/>
    <w:rsid w:val="00372E2F"/>
    <w:rsid w:val="003730DD"/>
    <w:rsid w:val="00374609"/>
    <w:rsid w:val="00375570"/>
    <w:rsid w:val="00381975"/>
    <w:rsid w:val="0038336C"/>
    <w:rsid w:val="00383717"/>
    <w:rsid w:val="00383F4C"/>
    <w:rsid w:val="00383F7E"/>
    <w:rsid w:val="00386A7B"/>
    <w:rsid w:val="00386EF5"/>
    <w:rsid w:val="003871ED"/>
    <w:rsid w:val="00392A35"/>
    <w:rsid w:val="00394A4C"/>
    <w:rsid w:val="003951ED"/>
    <w:rsid w:val="00395395"/>
    <w:rsid w:val="0039556A"/>
    <w:rsid w:val="00397223"/>
    <w:rsid w:val="003973D0"/>
    <w:rsid w:val="003A0984"/>
    <w:rsid w:val="003A1602"/>
    <w:rsid w:val="003A22FB"/>
    <w:rsid w:val="003A3C43"/>
    <w:rsid w:val="003A6810"/>
    <w:rsid w:val="003A6BB4"/>
    <w:rsid w:val="003B0E54"/>
    <w:rsid w:val="003B19A9"/>
    <w:rsid w:val="003B2AF8"/>
    <w:rsid w:val="003B483A"/>
    <w:rsid w:val="003B4890"/>
    <w:rsid w:val="003B59D4"/>
    <w:rsid w:val="003B5B23"/>
    <w:rsid w:val="003B6175"/>
    <w:rsid w:val="003C02AB"/>
    <w:rsid w:val="003C2CC4"/>
    <w:rsid w:val="003C4004"/>
    <w:rsid w:val="003C5C8F"/>
    <w:rsid w:val="003D0290"/>
    <w:rsid w:val="003D3CF9"/>
    <w:rsid w:val="003D4143"/>
    <w:rsid w:val="003D4794"/>
    <w:rsid w:val="003D4B23"/>
    <w:rsid w:val="003E1596"/>
    <w:rsid w:val="003E1C43"/>
    <w:rsid w:val="003E219E"/>
    <w:rsid w:val="003E3CF4"/>
    <w:rsid w:val="003E57EE"/>
    <w:rsid w:val="003E64CC"/>
    <w:rsid w:val="003E6D09"/>
    <w:rsid w:val="003E6F7E"/>
    <w:rsid w:val="003E723E"/>
    <w:rsid w:val="00400ACF"/>
    <w:rsid w:val="00400F7F"/>
    <w:rsid w:val="00401BF0"/>
    <w:rsid w:val="00402458"/>
    <w:rsid w:val="00403387"/>
    <w:rsid w:val="0040413A"/>
    <w:rsid w:val="004050B9"/>
    <w:rsid w:val="00405473"/>
    <w:rsid w:val="00410C89"/>
    <w:rsid w:val="00412A50"/>
    <w:rsid w:val="004147D4"/>
    <w:rsid w:val="00414931"/>
    <w:rsid w:val="00414B35"/>
    <w:rsid w:val="00424479"/>
    <w:rsid w:val="00424AD8"/>
    <w:rsid w:val="0042621F"/>
    <w:rsid w:val="00426B9B"/>
    <w:rsid w:val="00431FE1"/>
    <w:rsid w:val="004325CB"/>
    <w:rsid w:val="004331A3"/>
    <w:rsid w:val="004346B9"/>
    <w:rsid w:val="0043559E"/>
    <w:rsid w:val="00435D83"/>
    <w:rsid w:val="00436142"/>
    <w:rsid w:val="00436B33"/>
    <w:rsid w:val="00441379"/>
    <w:rsid w:val="00442A83"/>
    <w:rsid w:val="0044305A"/>
    <w:rsid w:val="00446B75"/>
    <w:rsid w:val="00450A3B"/>
    <w:rsid w:val="004514F6"/>
    <w:rsid w:val="0045495B"/>
    <w:rsid w:val="00456152"/>
    <w:rsid w:val="0045741F"/>
    <w:rsid w:val="00457E0B"/>
    <w:rsid w:val="00466844"/>
    <w:rsid w:val="00466B4C"/>
    <w:rsid w:val="00467903"/>
    <w:rsid w:val="0047261F"/>
    <w:rsid w:val="004734D9"/>
    <w:rsid w:val="00473963"/>
    <w:rsid w:val="00474F06"/>
    <w:rsid w:val="004821F5"/>
    <w:rsid w:val="004838A6"/>
    <w:rsid w:val="00483D1D"/>
    <w:rsid w:val="00483EF4"/>
    <w:rsid w:val="00484B45"/>
    <w:rsid w:val="00485A7C"/>
    <w:rsid w:val="0048637B"/>
    <w:rsid w:val="00487256"/>
    <w:rsid w:val="00487488"/>
    <w:rsid w:val="00491223"/>
    <w:rsid w:val="0049219B"/>
    <w:rsid w:val="004933A4"/>
    <w:rsid w:val="00493CC2"/>
    <w:rsid w:val="004976F2"/>
    <w:rsid w:val="004A2281"/>
    <w:rsid w:val="004A28A7"/>
    <w:rsid w:val="004B1F02"/>
    <w:rsid w:val="004B3C26"/>
    <w:rsid w:val="004B3D5D"/>
    <w:rsid w:val="004C0946"/>
    <w:rsid w:val="004C2A01"/>
    <w:rsid w:val="004C4A2B"/>
    <w:rsid w:val="004D05CA"/>
    <w:rsid w:val="004D1CEB"/>
    <w:rsid w:val="004D4AAD"/>
    <w:rsid w:val="004D5BEC"/>
    <w:rsid w:val="004D71B4"/>
    <w:rsid w:val="004E64A6"/>
    <w:rsid w:val="004E7CFA"/>
    <w:rsid w:val="004F3888"/>
    <w:rsid w:val="004F5078"/>
    <w:rsid w:val="004F56A1"/>
    <w:rsid w:val="0050121C"/>
    <w:rsid w:val="005058FF"/>
    <w:rsid w:val="0051276C"/>
    <w:rsid w:val="00512945"/>
    <w:rsid w:val="00512D8B"/>
    <w:rsid w:val="00514916"/>
    <w:rsid w:val="00514BFF"/>
    <w:rsid w:val="00516701"/>
    <w:rsid w:val="00516A5D"/>
    <w:rsid w:val="0052136D"/>
    <w:rsid w:val="0052434D"/>
    <w:rsid w:val="00524C98"/>
    <w:rsid w:val="00525395"/>
    <w:rsid w:val="00525CAE"/>
    <w:rsid w:val="0052775E"/>
    <w:rsid w:val="00527B53"/>
    <w:rsid w:val="00533CAC"/>
    <w:rsid w:val="00533EFD"/>
    <w:rsid w:val="005344BE"/>
    <w:rsid w:val="005409DC"/>
    <w:rsid w:val="005420F2"/>
    <w:rsid w:val="00542BC7"/>
    <w:rsid w:val="005474C1"/>
    <w:rsid w:val="005479E7"/>
    <w:rsid w:val="00547A47"/>
    <w:rsid w:val="00550BDA"/>
    <w:rsid w:val="00550D3B"/>
    <w:rsid w:val="005519D0"/>
    <w:rsid w:val="00551F4F"/>
    <w:rsid w:val="00552689"/>
    <w:rsid w:val="00553373"/>
    <w:rsid w:val="005545F1"/>
    <w:rsid w:val="005546FC"/>
    <w:rsid w:val="0055707D"/>
    <w:rsid w:val="005618F9"/>
    <w:rsid w:val="005628B6"/>
    <w:rsid w:val="00562B61"/>
    <w:rsid w:val="00562F4D"/>
    <w:rsid w:val="00564714"/>
    <w:rsid w:val="0056624F"/>
    <w:rsid w:val="005704D1"/>
    <w:rsid w:val="00570C29"/>
    <w:rsid w:val="00571BB4"/>
    <w:rsid w:val="00571CA9"/>
    <w:rsid w:val="005722B3"/>
    <w:rsid w:val="0057414A"/>
    <w:rsid w:val="0057494C"/>
    <w:rsid w:val="00574EB0"/>
    <w:rsid w:val="00580700"/>
    <w:rsid w:val="00580D27"/>
    <w:rsid w:val="00583534"/>
    <w:rsid w:val="005848B3"/>
    <w:rsid w:val="005853D7"/>
    <w:rsid w:val="00586059"/>
    <w:rsid w:val="00586ABA"/>
    <w:rsid w:val="0058726B"/>
    <w:rsid w:val="00590F87"/>
    <w:rsid w:val="005928DF"/>
    <w:rsid w:val="00592C4A"/>
    <w:rsid w:val="00592C4B"/>
    <w:rsid w:val="00592D66"/>
    <w:rsid w:val="00592FBC"/>
    <w:rsid w:val="00594628"/>
    <w:rsid w:val="00594CF0"/>
    <w:rsid w:val="00596967"/>
    <w:rsid w:val="00596EFC"/>
    <w:rsid w:val="005977E9"/>
    <w:rsid w:val="00597E6E"/>
    <w:rsid w:val="005A0415"/>
    <w:rsid w:val="005A084E"/>
    <w:rsid w:val="005A0C1C"/>
    <w:rsid w:val="005A1B1D"/>
    <w:rsid w:val="005A3B8B"/>
    <w:rsid w:val="005A4F0F"/>
    <w:rsid w:val="005A533E"/>
    <w:rsid w:val="005A72E7"/>
    <w:rsid w:val="005A7430"/>
    <w:rsid w:val="005A7C49"/>
    <w:rsid w:val="005B180A"/>
    <w:rsid w:val="005B2E38"/>
    <w:rsid w:val="005B31F6"/>
    <w:rsid w:val="005B3DB3"/>
    <w:rsid w:val="005B5F27"/>
    <w:rsid w:val="005B6292"/>
    <w:rsid w:val="005C1CC7"/>
    <w:rsid w:val="005C45BF"/>
    <w:rsid w:val="005C5760"/>
    <w:rsid w:val="005C674E"/>
    <w:rsid w:val="005C6D98"/>
    <w:rsid w:val="005C7959"/>
    <w:rsid w:val="005D0D8F"/>
    <w:rsid w:val="005D0E65"/>
    <w:rsid w:val="005D2DFC"/>
    <w:rsid w:val="005D30B8"/>
    <w:rsid w:val="005D3C32"/>
    <w:rsid w:val="005D4877"/>
    <w:rsid w:val="005D542D"/>
    <w:rsid w:val="005D5721"/>
    <w:rsid w:val="005D5AF5"/>
    <w:rsid w:val="005D5FE7"/>
    <w:rsid w:val="005E06C2"/>
    <w:rsid w:val="005E2D2C"/>
    <w:rsid w:val="005E3F67"/>
    <w:rsid w:val="005E40FD"/>
    <w:rsid w:val="005E4C63"/>
    <w:rsid w:val="005E5034"/>
    <w:rsid w:val="005E64CB"/>
    <w:rsid w:val="005E783D"/>
    <w:rsid w:val="005E7981"/>
    <w:rsid w:val="005F10E7"/>
    <w:rsid w:val="005F3451"/>
    <w:rsid w:val="005F494A"/>
    <w:rsid w:val="005F5699"/>
    <w:rsid w:val="005F575F"/>
    <w:rsid w:val="005F57AD"/>
    <w:rsid w:val="005F7717"/>
    <w:rsid w:val="005F7B75"/>
    <w:rsid w:val="005F7F93"/>
    <w:rsid w:val="006001EE"/>
    <w:rsid w:val="00601CA8"/>
    <w:rsid w:val="00602B75"/>
    <w:rsid w:val="00603190"/>
    <w:rsid w:val="006039A7"/>
    <w:rsid w:val="00605042"/>
    <w:rsid w:val="00606B2B"/>
    <w:rsid w:val="0061115C"/>
    <w:rsid w:val="00611FC4"/>
    <w:rsid w:val="00614C50"/>
    <w:rsid w:val="00616894"/>
    <w:rsid w:val="006176FB"/>
    <w:rsid w:val="00622E3D"/>
    <w:rsid w:val="00623026"/>
    <w:rsid w:val="00624677"/>
    <w:rsid w:val="00624F12"/>
    <w:rsid w:val="00625A94"/>
    <w:rsid w:val="00625FB0"/>
    <w:rsid w:val="006274AD"/>
    <w:rsid w:val="00627FB0"/>
    <w:rsid w:val="00630676"/>
    <w:rsid w:val="006310F5"/>
    <w:rsid w:val="00632287"/>
    <w:rsid w:val="00633D6D"/>
    <w:rsid w:val="00636EFE"/>
    <w:rsid w:val="006405BC"/>
    <w:rsid w:val="00640B26"/>
    <w:rsid w:val="0064226F"/>
    <w:rsid w:val="006478E6"/>
    <w:rsid w:val="00652B07"/>
    <w:rsid w:val="00652D0A"/>
    <w:rsid w:val="006543B4"/>
    <w:rsid w:val="00654697"/>
    <w:rsid w:val="00654777"/>
    <w:rsid w:val="00661597"/>
    <w:rsid w:val="006617E2"/>
    <w:rsid w:val="006619EB"/>
    <w:rsid w:val="00662BB6"/>
    <w:rsid w:val="00664C49"/>
    <w:rsid w:val="0066644D"/>
    <w:rsid w:val="00670981"/>
    <w:rsid w:val="00671400"/>
    <w:rsid w:val="00674026"/>
    <w:rsid w:val="006743E9"/>
    <w:rsid w:val="00674489"/>
    <w:rsid w:val="00680461"/>
    <w:rsid w:val="00681C90"/>
    <w:rsid w:val="00682284"/>
    <w:rsid w:val="006838C8"/>
    <w:rsid w:val="00683DDF"/>
    <w:rsid w:val="00683EF7"/>
    <w:rsid w:val="0068420F"/>
    <w:rsid w:val="00684C21"/>
    <w:rsid w:val="00684DAD"/>
    <w:rsid w:val="0068528C"/>
    <w:rsid w:val="0068532C"/>
    <w:rsid w:val="0068555B"/>
    <w:rsid w:val="0068599A"/>
    <w:rsid w:val="00685DF5"/>
    <w:rsid w:val="00685FA6"/>
    <w:rsid w:val="00687350"/>
    <w:rsid w:val="0068743C"/>
    <w:rsid w:val="00687440"/>
    <w:rsid w:val="00691F84"/>
    <w:rsid w:val="00692BBE"/>
    <w:rsid w:val="00693A95"/>
    <w:rsid w:val="006946FC"/>
    <w:rsid w:val="00694AE6"/>
    <w:rsid w:val="00696929"/>
    <w:rsid w:val="0069763E"/>
    <w:rsid w:val="006976A6"/>
    <w:rsid w:val="00697843"/>
    <w:rsid w:val="006A1764"/>
    <w:rsid w:val="006A39B8"/>
    <w:rsid w:val="006A53B5"/>
    <w:rsid w:val="006A704A"/>
    <w:rsid w:val="006C1A38"/>
    <w:rsid w:val="006C23A1"/>
    <w:rsid w:val="006C3AD1"/>
    <w:rsid w:val="006D08AB"/>
    <w:rsid w:val="006D2401"/>
    <w:rsid w:val="006D2B97"/>
    <w:rsid w:val="006D37AF"/>
    <w:rsid w:val="006D3B38"/>
    <w:rsid w:val="006D51D0"/>
    <w:rsid w:val="006D75C7"/>
    <w:rsid w:val="006E1A90"/>
    <w:rsid w:val="006E25E7"/>
    <w:rsid w:val="006E3134"/>
    <w:rsid w:val="006E37EC"/>
    <w:rsid w:val="006E3A87"/>
    <w:rsid w:val="006E564B"/>
    <w:rsid w:val="006E7191"/>
    <w:rsid w:val="006F36AC"/>
    <w:rsid w:val="006F393D"/>
    <w:rsid w:val="0070353B"/>
    <w:rsid w:val="00703577"/>
    <w:rsid w:val="007053C1"/>
    <w:rsid w:val="00705625"/>
    <w:rsid w:val="007113A4"/>
    <w:rsid w:val="00711F00"/>
    <w:rsid w:val="00715C5F"/>
    <w:rsid w:val="00717631"/>
    <w:rsid w:val="00721FD2"/>
    <w:rsid w:val="0072226B"/>
    <w:rsid w:val="00725F30"/>
    <w:rsid w:val="0072632A"/>
    <w:rsid w:val="00726F57"/>
    <w:rsid w:val="007327D5"/>
    <w:rsid w:val="00732B51"/>
    <w:rsid w:val="00735CA1"/>
    <w:rsid w:val="00736E08"/>
    <w:rsid w:val="00740255"/>
    <w:rsid w:val="00746BB2"/>
    <w:rsid w:val="00746F1E"/>
    <w:rsid w:val="00747415"/>
    <w:rsid w:val="00751147"/>
    <w:rsid w:val="00753BA9"/>
    <w:rsid w:val="0076033B"/>
    <w:rsid w:val="00760F53"/>
    <w:rsid w:val="007627EE"/>
    <w:rsid w:val="007629C8"/>
    <w:rsid w:val="00764535"/>
    <w:rsid w:val="00764878"/>
    <w:rsid w:val="00766A8B"/>
    <w:rsid w:val="00767016"/>
    <w:rsid w:val="007723A1"/>
    <w:rsid w:val="007757D4"/>
    <w:rsid w:val="0077669B"/>
    <w:rsid w:val="007812BA"/>
    <w:rsid w:val="007818F4"/>
    <w:rsid w:val="00781C83"/>
    <w:rsid w:val="007826F5"/>
    <w:rsid w:val="00782F90"/>
    <w:rsid w:val="0078300D"/>
    <w:rsid w:val="00784231"/>
    <w:rsid w:val="00784BCF"/>
    <w:rsid w:val="00784C71"/>
    <w:rsid w:val="00785623"/>
    <w:rsid w:val="00786F3A"/>
    <w:rsid w:val="00787E5D"/>
    <w:rsid w:val="0079151D"/>
    <w:rsid w:val="00791C81"/>
    <w:rsid w:val="007925AE"/>
    <w:rsid w:val="00795F7A"/>
    <w:rsid w:val="007965DB"/>
    <w:rsid w:val="007A1319"/>
    <w:rsid w:val="007A1C5A"/>
    <w:rsid w:val="007A2462"/>
    <w:rsid w:val="007A401C"/>
    <w:rsid w:val="007A4383"/>
    <w:rsid w:val="007A5E76"/>
    <w:rsid w:val="007B0D02"/>
    <w:rsid w:val="007B1E62"/>
    <w:rsid w:val="007B5F65"/>
    <w:rsid w:val="007B6BA5"/>
    <w:rsid w:val="007C203A"/>
    <w:rsid w:val="007C227A"/>
    <w:rsid w:val="007C3390"/>
    <w:rsid w:val="007C3A7C"/>
    <w:rsid w:val="007C3FFB"/>
    <w:rsid w:val="007C4F4B"/>
    <w:rsid w:val="007C5032"/>
    <w:rsid w:val="007C6B16"/>
    <w:rsid w:val="007C784F"/>
    <w:rsid w:val="007C7C57"/>
    <w:rsid w:val="007D0063"/>
    <w:rsid w:val="007D3316"/>
    <w:rsid w:val="007D42B0"/>
    <w:rsid w:val="007D5803"/>
    <w:rsid w:val="007E0B2D"/>
    <w:rsid w:val="007E16D9"/>
    <w:rsid w:val="007E3DF7"/>
    <w:rsid w:val="007E3E13"/>
    <w:rsid w:val="007E5BA5"/>
    <w:rsid w:val="007E6F98"/>
    <w:rsid w:val="007F1247"/>
    <w:rsid w:val="007F3A2C"/>
    <w:rsid w:val="007F4215"/>
    <w:rsid w:val="007F5AA8"/>
    <w:rsid w:val="007F6611"/>
    <w:rsid w:val="007F7246"/>
    <w:rsid w:val="007F75D2"/>
    <w:rsid w:val="007F76F6"/>
    <w:rsid w:val="007F7E17"/>
    <w:rsid w:val="00801D4B"/>
    <w:rsid w:val="00803EEC"/>
    <w:rsid w:val="00806AAA"/>
    <w:rsid w:val="008076A7"/>
    <w:rsid w:val="008105B8"/>
    <w:rsid w:val="00810C74"/>
    <w:rsid w:val="008111BA"/>
    <w:rsid w:val="00812971"/>
    <w:rsid w:val="00812D45"/>
    <w:rsid w:val="0081534F"/>
    <w:rsid w:val="00815C52"/>
    <w:rsid w:val="00816972"/>
    <w:rsid w:val="0081770E"/>
    <w:rsid w:val="008207B0"/>
    <w:rsid w:val="008216A5"/>
    <w:rsid w:val="00821A8D"/>
    <w:rsid w:val="008242D7"/>
    <w:rsid w:val="00824F1B"/>
    <w:rsid w:val="00825659"/>
    <w:rsid w:val="008257B1"/>
    <w:rsid w:val="00827317"/>
    <w:rsid w:val="0082743A"/>
    <w:rsid w:val="00832A1A"/>
    <w:rsid w:val="00833415"/>
    <w:rsid w:val="00834953"/>
    <w:rsid w:val="008373F6"/>
    <w:rsid w:val="00837797"/>
    <w:rsid w:val="00840104"/>
    <w:rsid w:val="0084035B"/>
    <w:rsid w:val="0084126F"/>
    <w:rsid w:val="00843767"/>
    <w:rsid w:val="00845E91"/>
    <w:rsid w:val="00846ED4"/>
    <w:rsid w:val="00851259"/>
    <w:rsid w:val="00852B57"/>
    <w:rsid w:val="008538BE"/>
    <w:rsid w:val="00857E2C"/>
    <w:rsid w:val="008600DC"/>
    <w:rsid w:val="008621E0"/>
    <w:rsid w:val="0086438C"/>
    <w:rsid w:val="008655A1"/>
    <w:rsid w:val="008655A9"/>
    <w:rsid w:val="008678D8"/>
    <w:rsid w:val="008679D9"/>
    <w:rsid w:val="0087061A"/>
    <w:rsid w:val="00871051"/>
    <w:rsid w:val="00875FE5"/>
    <w:rsid w:val="008809FB"/>
    <w:rsid w:val="008817F2"/>
    <w:rsid w:val="00884110"/>
    <w:rsid w:val="008854BE"/>
    <w:rsid w:val="00885F41"/>
    <w:rsid w:val="0088636B"/>
    <w:rsid w:val="0089139E"/>
    <w:rsid w:val="00891BA7"/>
    <w:rsid w:val="00892157"/>
    <w:rsid w:val="00894F8B"/>
    <w:rsid w:val="00896B9E"/>
    <w:rsid w:val="008976AD"/>
    <w:rsid w:val="008979B1"/>
    <w:rsid w:val="008A1DB2"/>
    <w:rsid w:val="008A2B09"/>
    <w:rsid w:val="008A4733"/>
    <w:rsid w:val="008A4F4B"/>
    <w:rsid w:val="008A61F6"/>
    <w:rsid w:val="008A6B25"/>
    <w:rsid w:val="008A6C4F"/>
    <w:rsid w:val="008A778A"/>
    <w:rsid w:val="008B1C9C"/>
    <w:rsid w:val="008B1EE4"/>
    <w:rsid w:val="008B2335"/>
    <w:rsid w:val="008B5059"/>
    <w:rsid w:val="008C017D"/>
    <w:rsid w:val="008C0F6C"/>
    <w:rsid w:val="008C15CE"/>
    <w:rsid w:val="008C40DB"/>
    <w:rsid w:val="008C4EDC"/>
    <w:rsid w:val="008C67D8"/>
    <w:rsid w:val="008D1459"/>
    <w:rsid w:val="008D4BF5"/>
    <w:rsid w:val="008D4DBD"/>
    <w:rsid w:val="008D4DE1"/>
    <w:rsid w:val="008D52B1"/>
    <w:rsid w:val="008D5553"/>
    <w:rsid w:val="008E0104"/>
    <w:rsid w:val="008E0678"/>
    <w:rsid w:val="008E1567"/>
    <w:rsid w:val="008E1FE2"/>
    <w:rsid w:val="008E27EC"/>
    <w:rsid w:val="008E4C4F"/>
    <w:rsid w:val="008E6A47"/>
    <w:rsid w:val="008E7D8C"/>
    <w:rsid w:val="008F142A"/>
    <w:rsid w:val="008F4C04"/>
    <w:rsid w:val="008F5216"/>
    <w:rsid w:val="00901CCF"/>
    <w:rsid w:val="0090237B"/>
    <w:rsid w:val="00902668"/>
    <w:rsid w:val="00903876"/>
    <w:rsid w:val="00910A6C"/>
    <w:rsid w:val="00910F40"/>
    <w:rsid w:val="00911303"/>
    <w:rsid w:val="00911933"/>
    <w:rsid w:val="00912256"/>
    <w:rsid w:val="00912C08"/>
    <w:rsid w:val="00913616"/>
    <w:rsid w:val="00913F5E"/>
    <w:rsid w:val="0091460C"/>
    <w:rsid w:val="00914B6E"/>
    <w:rsid w:val="009152C3"/>
    <w:rsid w:val="00916567"/>
    <w:rsid w:val="009223CA"/>
    <w:rsid w:val="00923434"/>
    <w:rsid w:val="00930CB5"/>
    <w:rsid w:val="00930D71"/>
    <w:rsid w:val="0093174C"/>
    <w:rsid w:val="00932BE7"/>
    <w:rsid w:val="0093571E"/>
    <w:rsid w:val="00935941"/>
    <w:rsid w:val="009369AA"/>
    <w:rsid w:val="00940016"/>
    <w:rsid w:val="00940F93"/>
    <w:rsid w:val="00941AB8"/>
    <w:rsid w:val="00942EE6"/>
    <w:rsid w:val="00943FBA"/>
    <w:rsid w:val="00945A23"/>
    <w:rsid w:val="00945E1A"/>
    <w:rsid w:val="009502AF"/>
    <w:rsid w:val="00951522"/>
    <w:rsid w:val="00951EAC"/>
    <w:rsid w:val="00952427"/>
    <w:rsid w:val="0095347F"/>
    <w:rsid w:val="009549EA"/>
    <w:rsid w:val="00955194"/>
    <w:rsid w:val="009568BE"/>
    <w:rsid w:val="00956A6B"/>
    <w:rsid w:val="0095727F"/>
    <w:rsid w:val="0096207C"/>
    <w:rsid w:val="00963EC5"/>
    <w:rsid w:val="00964E2E"/>
    <w:rsid w:val="009669EA"/>
    <w:rsid w:val="00966D7C"/>
    <w:rsid w:val="00967F59"/>
    <w:rsid w:val="009701C4"/>
    <w:rsid w:val="00971B81"/>
    <w:rsid w:val="00971C45"/>
    <w:rsid w:val="00972495"/>
    <w:rsid w:val="0097257E"/>
    <w:rsid w:val="00972BE7"/>
    <w:rsid w:val="009735A8"/>
    <w:rsid w:val="009735EF"/>
    <w:rsid w:val="00973B67"/>
    <w:rsid w:val="00974EF5"/>
    <w:rsid w:val="00975230"/>
    <w:rsid w:val="00975E5F"/>
    <w:rsid w:val="009760F3"/>
    <w:rsid w:val="009809DF"/>
    <w:rsid w:val="009812E7"/>
    <w:rsid w:val="00983C0B"/>
    <w:rsid w:val="00984435"/>
    <w:rsid w:val="00985506"/>
    <w:rsid w:val="009857E8"/>
    <w:rsid w:val="009858D5"/>
    <w:rsid w:val="00990941"/>
    <w:rsid w:val="009909F5"/>
    <w:rsid w:val="00990A1A"/>
    <w:rsid w:val="009929AE"/>
    <w:rsid w:val="00993D77"/>
    <w:rsid w:val="00995A3D"/>
    <w:rsid w:val="009A01E5"/>
    <w:rsid w:val="009A0E8D"/>
    <w:rsid w:val="009A3EE7"/>
    <w:rsid w:val="009A46D6"/>
    <w:rsid w:val="009A5E1E"/>
    <w:rsid w:val="009A6988"/>
    <w:rsid w:val="009A7439"/>
    <w:rsid w:val="009B1733"/>
    <w:rsid w:val="009B17E9"/>
    <w:rsid w:val="009B26E7"/>
    <w:rsid w:val="009B2EF2"/>
    <w:rsid w:val="009B3B6D"/>
    <w:rsid w:val="009C2C0D"/>
    <w:rsid w:val="009C6AEC"/>
    <w:rsid w:val="009C77E5"/>
    <w:rsid w:val="009C7EFD"/>
    <w:rsid w:val="009D04AC"/>
    <w:rsid w:val="009D0B1B"/>
    <w:rsid w:val="009D22A2"/>
    <w:rsid w:val="009D26D2"/>
    <w:rsid w:val="009D28AB"/>
    <w:rsid w:val="009D4BB8"/>
    <w:rsid w:val="009D7894"/>
    <w:rsid w:val="009D7E85"/>
    <w:rsid w:val="009E11CB"/>
    <w:rsid w:val="009E11F8"/>
    <w:rsid w:val="009E2F54"/>
    <w:rsid w:val="009E42A9"/>
    <w:rsid w:val="009E445F"/>
    <w:rsid w:val="009E5449"/>
    <w:rsid w:val="009E6A7F"/>
    <w:rsid w:val="009E7D26"/>
    <w:rsid w:val="009F2AC1"/>
    <w:rsid w:val="009F3272"/>
    <w:rsid w:val="009F356E"/>
    <w:rsid w:val="009F583A"/>
    <w:rsid w:val="009F5D91"/>
    <w:rsid w:val="00A00A3F"/>
    <w:rsid w:val="00A01489"/>
    <w:rsid w:val="00A030AB"/>
    <w:rsid w:val="00A036B3"/>
    <w:rsid w:val="00A05B7A"/>
    <w:rsid w:val="00A069BB"/>
    <w:rsid w:val="00A10474"/>
    <w:rsid w:val="00A10666"/>
    <w:rsid w:val="00A11A0C"/>
    <w:rsid w:val="00A11AD7"/>
    <w:rsid w:val="00A12518"/>
    <w:rsid w:val="00A14D3B"/>
    <w:rsid w:val="00A15A08"/>
    <w:rsid w:val="00A1776E"/>
    <w:rsid w:val="00A2283A"/>
    <w:rsid w:val="00A230A0"/>
    <w:rsid w:val="00A25454"/>
    <w:rsid w:val="00A2561D"/>
    <w:rsid w:val="00A25E9B"/>
    <w:rsid w:val="00A262B7"/>
    <w:rsid w:val="00A266D4"/>
    <w:rsid w:val="00A2698E"/>
    <w:rsid w:val="00A31B81"/>
    <w:rsid w:val="00A338F1"/>
    <w:rsid w:val="00A351E8"/>
    <w:rsid w:val="00A35E80"/>
    <w:rsid w:val="00A36331"/>
    <w:rsid w:val="00A36F87"/>
    <w:rsid w:val="00A37DD8"/>
    <w:rsid w:val="00A4192B"/>
    <w:rsid w:val="00A44615"/>
    <w:rsid w:val="00A45DB8"/>
    <w:rsid w:val="00A4722B"/>
    <w:rsid w:val="00A47396"/>
    <w:rsid w:val="00A4753A"/>
    <w:rsid w:val="00A50EFE"/>
    <w:rsid w:val="00A5472F"/>
    <w:rsid w:val="00A55F52"/>
    <w:rsid w:val="00A57155"/>
    <w:rsid w:val="00A61B6E"/>
    <w:rsid w:val="00A622BD"/>
    <w:rsid w:val="00A65A16"/>
    <w:rsid w:val="00A708BB"/>
    <w:rsid w:val="00A710E2"/>
    <w:rsid w:val="00A71B51"/>
    <w:rsid w:val="00A72A97"/>
    <w:rsid w:val="00A72F22"/>
    <w:rsid w:val="00A7360F"/>
    <w:rsid w:val="00A73735"/>
    <w:rsid w:val="00A73EDD"/>
    <w:rsid w:val="00A748A6"/>
    <w:rsid w:val="00A75355"/>
    <w:rsid w:val="00A769F4"/>
    <w:rsid w:val="00A771C4"/>
    <w:rsid w:val="00A776B4"/>
    <w:rsid w:val="00A82504"/>
    <w:rsid w:val="00A85674"/>
    <w:rsid w:val="00A860E9"/>
    <w:rsid w:val="00A86F19"/>
    <w:rsid w:val="00A871D5"/>
    <w:rsid w:val="00A8780F"/>
    <w:rsid w:val="00A90E23"/>
    <w:rsid w:val="00A91499"/>
    <w:rsid w:val="00A917CD"/>
    <w:rsid w:val="00A91A37"/>
    <w:rsid w:val="00A94361"/>
    <w:rsid w:val="00A96457"/>
    <w:rsid w:val="00AA0619"/>
    <w:rsid w:val="00AA061C"/>
    <w:rsid w:val="00AA0F58"/>
    <w:rsid w:val="00AA23E5"/>
    <w:rsid w:val="00AA293C"/>
    <w:rsid w:val="00AA2D0D"/>
    <w:rsid w:val="00AA42C6"/>
    <w:rsid w:val="00AA68CD"/>
    <w:rsid w:val="00AB19FA"/>
    <w:rsid w:val="00AB4E1A"/>
    <w:rsid w:val="00AB5043"/>
    <w:rsid w:val="00AB5D75"/>
    <w:rsid w:val="00AB7C6D"/>
    <w:rsid w:val="00AC03E4"/>
    <w:rsid w:val="00AC0A14"/>
    <w:rsid w:val="00AC1844"/>
    <w:rsid w:val="00AC4697"/>
    <w:rsid w:val="00AC4840"/>
    <w:rsid w:val="00AC63A2"/>
    <w:rsid w:val="00AD1C54"/>
    <w:rsid w:val="00AD38C0"/>
    <w:rsid w:val="00AD46B8"/>
    <w:rsid w:val="00AD6EA8"/>
    <w:rsid w:val="00AD7999"/>
    <w:rsid w:val="00AE0323"/>
    <w:rsid w:val="00AE1626"/>
    <w:rsid w:val="00AE24FE"/>
    <w:rsid w:val="00AE2860"/>
    <w:rsid w:val="00AE5108"/>
    <w:rsid w:val="00AF1A44"/>
    <w:rsid w:val="00AF1E8E"/>
    <w:rsid w:val="00AF5CCF"/>
    <w:rsid w:val="00AF6869"/>
    <w:rsid w:val="00AF6C3B"/>
    <w:rsid w:val="00B0282C"/>
    <w:rsid w:val="00B02BAA"/>
    <w:rsid w:val="00B033CC"/>
    <w:rsid w:val="00B04543"/>
    <w:rsid w:val="00B068F0"/>
    <w:rsid w:val="00B06D66"/>
    <w:rsid w:val="00B07A6A"/>
    <w:rsid w:val="00B12BB4"/>
    <w:rsid w:val="00B12E1C"/>
    <w:rsid w:val="00B13B97"/>
    <w:rsid w:val="00B13E9B"/>
    <w:rsid w:val="00B201CC"/>
    <w:rsid w:val="00B2177C"/>
    <w:rsid w:val="00B26B2F"/>
    <w:rsid w:val="00B30179"/>
    <w:rsid w:val="00B339A7"/>
    <w:rsid w:val="00B34A3F"/>
    <w:rsid w:val="00B369CE"/>
    <w:rsid w:val="00B3784A"/>
    <w:rsid w:val="00B41ACB"/>
    <w:rsid w:val="00B427FA"/>
    <w:rsid w:val="00B43A0B"/>
    <w:rsid w:val="00B443E2"/>
    <w:rsid w:val="00B46096"/>
    <w:rsid w:val="00B4718F"/>
    <w:rsid w:val="00B47380"/>
    <w:rsid w:val="00B5092B"/>
    <w:rsid w:val="00B512C7"/>
    <w:rsid w:val="00B56E4A"/>
    <w:rsid w:val="00B56E9C"/>
    <w:rsid w:val="00B60748"/>
    <w:rsid w:val="00B6083A"/>
    <w:rsid w:val="00B61253"/>
    <w:rsid w:val="00B6380E"/>
    <w:rsid w:val="00B639A0"/>
    <w:rsid w:val="00B63E79"/>
    <w:rsid w:val="00B64B1F"/>
    <w:rsid w:val="00B654DC"/>
    <w:rsid w:val="00B6553F"/>
    <w:rsid w:val="00B65D1D"/>
    <w:rsid w:val="00B66E5E"/>
    <w:rsid w:val="00B67C9C"/>
    <w:rsid w:val="00B716A0"/>
    <w:rsid w:val="00B72C3E"/>
    <w:rsid w:val="00B76E46"/>
    <w:rsid w:val="00B77D05"/>
    <w:rsid w:val="00B77EB1"/>
    <w:rsid w:val="00B80DAF"/>
    <w:rsid w:val="00B81202"/>
    <w:rsid w:val="00B81206"/>
    <w:rsid w:val="00B81E12"/>
    <w:rsid w:val="00B8236D"/>
    <w:rsid w:val="00B82AF5"/>
    <w:rsid w:val="00B83A07"/>
    <w:rsid w:val="00B84C4B"/>
    <w:rsid w:val="00B84D8C"/>
    <w:rsid w:val="00B857DE"/>
    <w:rsid w:val="00B86762"/>
    <w:rsid w:val="00B86A92"/>
    <w:rsid w:val="00B874C1"/>
    <w:rsid w:val="00B878B3"/>
    <w:rsid w:val="00B879F3"/>
    <w:rsid w:val="00B9067B"/>
    <w:rsid w:val="00B91768"/>
    <w:rsid w:val="00B94491"/>
    <w:rsid w:val="00B94CF8"/>
    <w:rsid w:val="00B96520"/>
    <w:rsid w:val="00B97172"/>
    <w:rsid w:val="00BA29D1"/>
    <w:rsid w:val="00BA4341"/>
    <w:rsid w:val="00BA6E18"/>
    <w:rsid w:val="00BA7EDD"/>
    <w:rsid w:val="00BB22D5"/>
    <w:rsid w:val="00BB37C3"/>
    <w:rsid w:val="00BB577C"/>
    <w:rsid w:val="00BC01E3"/>
    <w:rsid w:val="00BC28F0"/>
    <w:rsid w:val="00BC298A"/>
    <w:rsid w:val="00BC2C23"/>
    <w:rsid w:val="00BC48F3"/>
    <w:rsid w:val="00BC5A8B"/>
    <w:rsid w:val="00BC6B1E"/>
    <w:rsid w:val="00BC70AB"/>
    <w:rsid w:val="00BC74E9"/>
    <w:rsid w:val="00BD035A"/>
    <w:rsid w:val="00BD2AEB"/>
    <w:rsid w:val="00BD4C06"/>
    <w:rsid w:val="00BD5EB3"/>
    <w:rsid w:val="00BE0B12"/>
    <w:rsid w:val="00BE2127"/>
    <w:rsid w:val="00BE2C31"/>
    <w:rsid w:val="00BE324A"/>
    <w:rsid w:val="00BE40D9"/>
    <w:rsid w:val="00BE76EE"/>
    <w:rsid w:val="00BF0285"/>
    <w:rsid w:val="00BF09D4"/>
    <w:rsid w:val="00BF1D74"/>
    <w:rsid w:val="00BF3D9D"/>
    <w:rsid w:val="00BF5A65"/>
    <w:rsid w:val="00BF68A8"/>
    <w:rsid w:val="00BF6DBF"/>
    <w:rsid w:val="00C006A7"/>
    <w:rsid w:val="00C03905"/>
    <w:rsid w:val="00C05B8D"/>
    <w:rsid w:val="00C11116"/>
    <w:rsid w:val="00C11207"/>
    <w:rsid w:val="00C11A03"/>
    <w:rsid w:val="00C13B55"/>
    <w:rsid w:val="00C15217"/>
    <w:rsid w:val="00C154D2"/>
    <w:rsid w:val="00C15C4D"/>
    <w:rsid w:val="00C16605"/>
    <w:rsid w:val="00C17164"/>
    <w:rsid w:val="00C21D47"/>
    <w:rsid w:val="00C227E8"/>
    <w:rsid w:val="00C2284D"/>
    <w:rsid w:val="00C237CB"/>
    <w:rsid w:val="00C25713"/>
    <w:rsid w:val="00C2617F"/>
    <w:rsid w:val="00C2623D"/>
    <w:rsid w:val="00C2698D"/>
    <w:rsid w:val="00C305FF"/>
    <w:rsid w:val="00C3279A"/>
    <w:rsid w:val="00C32A47"/>
    <w:rsid w:val="00C33936"/>
    <w:rsid w:val="00C3428E"/>
    <w:rsid w:val="00C34926"/>
    <w:rsid w:val="00C36CA4"/>
    <w:rsid w:val="00C37106"/>
    <w:rsid w:val="00C37550"/>
    <w:rsid w:val="00C40796"/>
    <w:rsid w:val="00C4160D"/>
    <w:rsid w:val="00C4279B"/>
    <w:rsid w:val="00C42AEC"/>
    <w:rsid w:val="00C44D68"/>
    <w:rsid w:val="00C463DD"/>
    <w:rsid w:val="00C46474"/>
    <w:rsid w:val="00C4724C"/>
    <w:rsid w:val="00C4790D"/>
    <w:rsid w:val="00C50356"/>
    <w:rsid w:val="00C51D20"/>
    <w:rsid w:val="00C52F3D"/>
    <w:rsid w:val="00C539D4"/>
    <w:rsid w:val="00C53A35"/>
    <w:rsid w:val="00C54F73"/>
    <w:rsid w:val="00C55779"/>
    <w:rsid w:val="00C561E4"/>
    <w:rsid w:val="00C606D3"/>
    <w:rsid w:val="00C61F13"/>
    <w:rsid w:val="00C629A0"/>
    <w:rsid w:val="00C6410D"/>
    <w:rsid w:val="00C64A07"/>
    <w:rsid w:val="00C65F90"/>
    <w:rsid w:val="00C702EE"/>
    <w:rsid w:val="00C7385F"/>
    <w:rsid w:val="00C745C3"/>
    <w:rsid w:val="00C77C10"/>
    <w:rsid w:val="00C815DC"/>
    <w:rsid w:val="00C822D7"/>
    <w:rsid w:val="00C82416"/>
    <w:rsid w:val="00C8504E"/>
    <w:rsid w:val="00C8561F"/>
    <w:rsid w:val="00C866DB"/>
    <w:rsid w:val="00C9045B"/>
    <w:rsid w:val="00C909F8"/>
    <w:rsid w:val="00C9183C"/>
    <w:rsid w:val="00C91BBB"/>
    <w:rsid w:val="00C934B4"/>
    <w:rsid w:val="00C953AD"/>
    <w:rsid w:val="00C96D26"/>
    <w:rsid w:val="00C97856"/>
    <w:rsid w:val="00CA41D0"/>
    <w:rsid w:val="00CA56DE"/>
    <w:rsid w:val="00CA5848"/>
    <w:rsid w:val="00CB0778"/>
    <w:rsid w:val="00CB335D"/>
    <w:rsid w:val="00CC1F58"/>
    <w:rsid w:val="00CC4C0C"/>
    <w:rsid w:val="00CC583F"/>
    <w:rsid w:val="00CC664C"/>
    <w:rsid w:val="00CD02E7"/>
    <w:rsid w:val="00CD0943"/>
    <w:rsid w:val="00CD70B8"/>
    <w:rsid w:val="00CE0C71"/>
    <w:rsid w:val="00CE1672"/>
    <w:rsid w:val="00CE170A"/>
    <w:rsid w:val="00CE2B02"/>
    <w:rsid w:val="00CE3E66"/>
    <w:rsid w:val="00CE4904"/>
    <w:rsid w:val="00CE4A8F"/>
    <w:rsid w:val="00CE4D40"/>
    <w:rsid w:val="00CE5F5D"/>
    <w:rsid w:val="00CE6313"/>
    <w:rsid w:val="00CF155E"/>
    <w:rsid w:val="00CF21B3"/>
    <w:rsid w:val="00CF2919"/>
    <w:rsid w:val="00CF2C0D"/>
    <w:rsid w:val="00CF2C2A"/>
    <w:rsid w:val="00CF4D86"/>
    <w:rsid w:val="00CF6255"/>
    <w:rsid w:val="00CF76CE"/>
    <w:rsid w:val="00CF7D0F"/>
    <w:rsid w:val="00D02FDB"/>
    <w:rsid w:val="00D0432C"/>
    <w:rsid w:val="00D04B04"/>
    <w:rsid w:val="00D06EAB"/>
    <w:rsid w:val="00D07060"/>
    <w:rsid w:val="00D107D6"/>
    <w:rsid w:val="00D1131C"/>
    <w:rsid w:val="00D141CF"/>
    <w:rsid w:val="00D17160"/>
    <w:rsid w:val="00D2031B"/>
    <w:rsid w:val="00D2276A"/>
    <w:rsid w:val="00D2305C"/>
    <w:rsid w:val="00D236D5"/>
    <w:rsid w:val="00D25166"/>
    <w:rsid w:val="00D257E7"/>
    <w:rsid w:val="00D25FE2"/>
    <w:rsid w:val="00D2672E"/>
    <w:rsid w:val="00D34E31"/>
    <w:rsid w:val="00D354E1"/>
    <w:rsid w:val="00D377FC"/>
    <w:rsid w:val="00D37824"/>
    <w:rsid w:val="00D41516"/>
    <w:rsid w:val="00D41FE9"/>
    <w:rsid w:val="00D431EB"/>
    <w:rsid w:val="00D43252"/>
    <w:rsid w:val="00D4394C"/>
    <w:rsid w:val="00D47963"/>
    <w:rsid w:val="00D47B2C"/>
    <w:rsid w:val="00D47EEA"/>
    <w:rsid w:val="00D50C86"/>
    <w:rsid w:val="00D50E8D"/>
    <w:rsid w:val="00D50EE6"/>
    <w:rsid w:val="00D51532"/>
    <w:rsid w:val="00D5167F"/>
    <w:rsid w:val="00D5334E"/>
    <w:rsid w:val="00D537C3"/>
    <w:rsid w:val="00D54FB8"/>
    <w:rsid w:val="00D579FB"/>
    <w:rsid w:val="00D6009B"/>
    <w:rsid w:val="00D62684"/>
    <w:rsid w:val="00D67459"/>
    <w:rsid w:val="00D70A01"/>
    <w:rsid w:val="00D71187"/>
    <w:rsid w:val="00D712FE"/>
    <w:rsid w:val="00D725AD"/>
    <w:rsid w:val="00D8306B"/>
    <w:rsid w:val="00D8586C"/>
    <w:rsid w:val="00D90984"/>
    <w:rsid w:val="00D90A8D"/>
    <w:rsid w:val="00D90F93"/>
    <w:rsid w:val="00D9204F"/>
    <w:rsid w:val="00D95303"/>
    <w:rsid w:val="00D95A82"/>
    <w:rsid w:val="00D978C6"/>
    <w:rsid w:val="00DA2765"/>
    <w:rsid w:val="00DA3111"/>
    <w:rsid w:val="00DA3361"/>
    <w:rsid w:val="00DA3C1C"/>
    <w:rsid w:val="00DA3DC3"/>
    <w:rsid w:val="00DA422A"/>
    <w:rsid w:val="00DA49AA"/>
    <w:rsid w:val="00DA53E6"/>
    <w:rsid w:val="00DA7238"/>
    <w:rsid w:val="00DA7412"/>
    <w:rsid w:val="00DB0C79"/>
    <w:rsid w:val="00DB208A"/>
    <w:rsid w:val="00DB3DC5"/>
    <w:rsid w:val="00DB5B2F"/>
    <w:rsid w:val="00DC128E"/>
    <w:rsid w:val="00DC290C"/>
    <w:rsid w:val="00DC42E8"/>
    <w:rsid w:val="00DC4569"/>
    <w:rsid w:val="00DC71FF"/>
    <w:rsid w:val="00DD013D"/>
    <w:rsid w:val="00DD0339"/>
    <w:rsid w:val="00DD1B10"/>
    <w:rsid w:val="00DD2781"/>
    <w:rsid w:val="00DD3472"/>
    <w:rsid w:val="00DD382F"/>
    <w:rsid w:val="00DD3D73"/>
    <w:rsid w:val="00DE1058"/>
    <w:rsid w:val="00DE15C8"/>
    <w:rsid w:val="00DE3232"/>
    <w:rsid w:val="00DE4C5A"/>
    <w:rsid w:val="00DE79A8"/>
    <w:rsid w:val="00DF0447"/>
    <w:rsid w:val="00DF1E57"/>
    <w:rsid w:val="00DF374D"/>
    <w:rsid w:val="00DF4996"/>
    <w:rsid w:val="00DF50FB"/>
    <w:rsid w:val="00DF56AC"/>
    <w:rsid w:val="00DF5EFA"/>
    <w:rsid w:val="00DF6C8D"/>
    <w:rsid w:val="00DF740E"/>
    <w:rsid w:val="00E012C9"/>
    <w:rsid w:val="00E03890"/>
    <w:rsid w:val="00E0462F"/>
    <w:rsid w:val="00E05EA3"/>
    <w:rsid w:val="00E138E5"/>
    <w:rsid w:val="00E13BBE"/>
    <w:rsid w:val="00E13CA7"/>
    <w:rsid w:val="00E17092"/>
    <w:rsid w:val="00E209FD"/>
    <w:rsid w:val="00E24886"/>
    <w:rsid w:val="00E25E54"/>
    <w:rsid w:val="00E27346"/>
    <w:rsid w:val="00E3235C"/>
    <w:rsid w:val="00E3477A"/>
    <w:rsid w:val="00E34B4A"/>
    <w:rsid w:val="00E376E4"/>
    <w:rsid w:val="00E37733"/>
    <w:rsid w:val="00E40420"/>
    <w:rsid w:val="00E43EC4"/>
    <w:rsid w:val="00E4406C"/>
    <w:rsid w:val="00E51BCB"/>
    <w:rsid w:val="00E542F7"/>
    <w:rsid w:val="00E55C29"/>
    <w:rsid w:val="00E5654D"/>
    <w:rsid w:val="00E60D98"/>
    <w:rsid w:val="00E62BDD"/>
    <w:rsid w:val="00E632CC"/>
    <w:rsid w:val="00E65396"/>
    <w:rsid w:val="00E67476"/>
    <w:rsid w:val="00E67F91"/>
    <w:rsid w:val="00E71BC8"/>
    <w:rsid w:val="00E7260F"/>
    <w:rsid w:val="00E759A9"/>
    <w:rsid w:val="00E779FC"/>
    <w:rsid w:val="00E80B72"/>
    <w:rsid w:val="00E825C6"/>
    <w:rsid w:val="00E848D3"/>
    <w:rsid w:val="00E86349"/>
    <w:rsid w:val="00E863FD"/>
    <w:rsid w:val="00E87AC8"/>
    <w:rsid w:val="00E924E6"/>
    <w:rsid w:val="00E94088"/>
    <w:rsid w:val="00E9408F"/>
    <w:rsid w:val="00E96630"/>
    <w:rsid w:val="00EA1886"/>
    <w:rsid w:val="00EA2611"/>
    <w:rsid w:val="00EA3104"/>
    <w:rsid w:val="00EA31F7"/>
    <w:rsid w:val="00EA4AFC"/>
    <w:rsid w:val="00EA5005"/>
    <w:rsid w:val="00EA5836"/>
    <w:rsid w:val="00EB16A9"/>
    <w:rsid w:val="00EB1ECC"/>
    <w:rsid w:val="00EB2581"/>
    <w:rsid w:val="00EB7049"/>
    <w:rsid w:val="00EC018D"/>
    <w:rsid w:val="00EC1C71"/>
    <w:rsid w:val="00EC28F3"/>
    <w:rsid w:val="00EC6D69"/>
    <w:rsid w:val="00ED00C7"/>
    <w:rsid w:val="00ED06EC"/>
    <w:rsid w:val="00ED140E"/>
    <w:rsid w:val="00ED1515"/>
    <w:rsid w:val="00ED49A5"/>
    <w:rsid w:val="00ED656B"/>
    <w:rsid w:val="00ED7A2A"/>
    <w:rsid w:val="00EE0132"/>
    <w:rsid w:val="00EE0B0F"/>
    <w:rsid w:val="00EE1445"/>
    <w:rsid w:val="00EE248C"/>
    <w:rsid w:val="00EE2CC8"/>
    <w:rsid w:val="00EE5BD5"/>
    <w:rsid w:val="00EE6199"/>
    <w:rsid w:val="00EE6A7A"/>
    <w:rsid w:val="00EE6D6B"/>
    <w:rsid w:val="00EF0235"/>
    <w:rsid w:val="00EF1D7F"/>
    <w:rsid w:val="00EF1EF6"/>
    <w:rsid w:val="00EF2F70"/>
    <w:rsid w:val="00EF3F62"/>
    <w:rsid w:val="00EF65BA"/>
    <w:rsid w:val="00F004E2"/>
    <w:rsid w:val="00F00D5E"/>
    <w:rsid w:val="00F02C8E"/>
    <w:rsid w:val="00F03190"/>
    <w:rsid w:val="00F03A99"/>
    <w:rsid w:val="00F04CDE"/>
    <w:rsid w:val="00F06B17"/>
    <w:rsid w:val="00F107FF"/>
    <w:rsid w:val="00F10E0C"/>
    <w:rsid w:val="00F12D79"/>
    <w:rsid w:val="00F1389A"/>
    <w:rsid w:val="00F145AF"/>
    <w:rsid w:val="00F148F2"/>
    <w:rsid w:val="00F15338"/>
    <w:rsid w:val="00F1539A"/>
    <w:rsid w:val="00F20C3D"/>
    <w:rsid w:val="00F21A74"/>
    <w:rsid w:val="00F2459F"/>
    <w:rsid w:val="00F25E5E"/>
    <w:rsid w:val="00F26B04"/>
    <w:rsid w:val="00F26BC3"/>
    <w:rsid w:val="00F27F80"/>
    <w:rsid w:val="00F30F1F"/>
    <w:rsid w:val="00F318C1"/>
    <w:rsid w:val="00F31FB3"/>
    <w:rsid w:val="00F36AFD"/>
    <w:rsid w:val="00F36C66"/>
    <w:rsid w:val="00F40F3B"/>
    <w:rsid w:val="00F4204E"/>
    <w:rsid w:val="00F43E9E"/>
    <w:rsid w:val="00F45731"/>
    <w:rsid w:val="00F46AB4"/>
    <w:rsid w:val="00F46CDD"/>
    <w:rsid w:val="00F46FF3"/>
    <w:rsid w:val="00F471CF"/>
    <w:rsid w:val="00F53F0E"/>
    <w:rsid w:val="00F554B5"/>
    <w:rsid w:val="00F567D9"/>
    <w:rsid w:val="00F63797"/>
    <w:rsid w:val="00F647F9"/>
    <w:rsid w:val="00F65E7F"/>
    <w:rsid w:val="00F70FF2"/>
    <w:rsid w:val="00F713E3"/>
    <w:rsid w:val="00F71BF6"/>
    <w:rsid w:val="00F734E5"/>
    <w:rsid w:val="00F75E86"/>
    <w:rsid w:val="00F75F5B"/>
    <w:rsid w:val="00F76717"/>
    <w:rsid w:val="00F76E01"/>
    <w:rsid w:val="00F82380"/>
    <w:rsid w:val="00F8265D"/>
    <w:rsid w:val="00F8521C"/>
    <w:rsid w:val="00F86121"/>
    <w:rsid w:val="00F86289"/>
    <w:rsid w:val="00F86752"/>
    <w:rsid w:val="00F9057C"/>
    <w:rsid w:val="00F906D7"/>
    <w:rsid w:val="00F90D84"/>
    <w:rsid w:val="00F90FD3"/>
    <w:rsid w:val="00F9159E"/>
    <w:rsid w:val="00F91D32"/>
    <w:rsid w:val="00F91FD2"/>
    <w:rsid w:val="00F93781"/>
    <w:rsid w:val="00F96BA5"/>
    <w:rsid w:val="00F976E7"/>
    <w:rsid w:val="00FA1718"/>
    <w:rsid w:val="00FA32C0"/>
    <w:rsid w:val="00FA380F"/>
    <w:rsid w:val="00FA447C"/>
    <w:rsid w:val="00FA56DB"/>
    <w:rsid w:val="00FA5D93"/>
    <w:rsid w:val="00FA6BE1"/>
    <w:rsid w:val="00FB19C7"/>
    <w:rsid w:val="00FB1B6F"/>
    <w:rsid w:val="00FB5EB5"/>
    <w:rsid w:val="00FB613B"/>
    <w:rsid w:val="00FB6AA9"/>
    <w:rsid w:val="00FB6F7F"/>
    <w:rsid w:val="00FB7622"/>
    <w:rsid w:val="00FC082E"/>
    <w:rsid w:val="00FC20C0"/>
    <w:rsid w:val="00FC22CD"/>
    <w:rsid w:val="00FC440B"/>
    <w:rsid w:val="00FC6453"/>
    <w:rsid w:val="00FC68B7"/>
    <w:rsid w:val="00FD0381"/>
    <w:rsid w:val="00FD1954"/>
    <w:rsid w:val="00FD23D3"/>
    <w:rsid w:val="00FD4FB8"/>
    <w:rsid w:val="00FD7631"/>
    <w:rsid w:val="00FE0FA4"/>
    <w:rsid w:val="00FE106A"/>
    <w:rsid w:val="00FE21B8"/>
    <w:rsid w:val="00FE3E45"/>
    <w:rsid w:val="00FE52FC"/>
    <w:rsid w:val="00FE6DC3"/>
    <w:rsid w:val="00FE7EF7"/>
    <w:rsid w:val="00FF0FD2"/>
    <w:rsid w:val="00FF1D1B"/>
    <w:rsid w:val="00FF3FD6"/>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uiPriority="0"/>
    <w:lsdException w:name="caption" w:locked="1" w:uiPriority="0" w:qFormat="1"/>
    <w:lsdException w:name="footnote reference"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3"/>
    <w:pPr>
      <w:suppressAutoHyphens/>
      <w:spacing w:line="240" w:lineRule="atLeast"/>
    </w:pPr>
    <w:rPr>
      <w:sz w:val="20"/>
      <w:szCs w:val="20"/>
      <w:lang w:val="en-GB" w:eastAsia="en-US"/>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style>
  <w:style w:type="paragraph" w:styleId="Heading3">
    <w:name w:val="heading 3"/>
    <w:basedOn w:val="Normal"/>
    <w:next w:val="Normal"/>
    <w:link w:val="Heading3Char"/>
    <w:uiPriority w:val="99"/>
    <w:qFormat/>
    <w:rsid w:val="000272B3"/>
    <w:pPr>
      <w:spacing w:line="240" w:lineRule="auto"/>
      <w:outlineLvl w:val="2"/>
    </w:p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99069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9069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9069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9069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9069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9069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9069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9069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9069F"/>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743E9"/>
    <w:rPr>
      <w:rFonts w:ascii="Tahoma" w:hAnsi="Tahoma"/>
      <w:sz w:val="16"/>
      <w:lang w:val="x-none" w:eastAsia="en-US"/>
    </w:rPr>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99069F"/>
    <w:rPr>
      <w:sz w:val="20"/>
      <w:szCs w:val="20"/>
      <w:lang w:val="en-GB" w:eastAsia="en-US"/>
    </w:rPr>
  </w:style>
  <w:style w:type="table" w:styleId="TableGrid">
    <w:name w:val="Table Grid"/>
    <w:basedOn w:val="TableNormal"/>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
    <w:basedOn w:val="Normal"/>
    <w:link w:val="FootnoteTextChar1"/>
    <w:qFormat/>
    <w:rsid w:val="00317ED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Footnote Reference Char,4_G Char,Footnote number Char,ftref Char,Footnotes refss Char,Style 10 Char,Footnote Reference1 Char1,5_G Char,Footnote Text Char Char Char Char Char Char,Footnote Text Char Char Char Char Char1,FA Fu Char"/>
    <w:basedOn w:val="DefaultParagraphFont"/>
    <w:rsid w:val="0099069F"/>
    <w:rPr>
      <w:sz w:val="20"/>
      <w:szCs w:val="20"/>
      <w:lang w:val="en-GB" w:eastAsia="en-US"/>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rsid w:val="0099069F"/>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basedOn w:val="DefaultParagraphFont"/>
    <w:link w:val="Footer"/>
    <w:uiPriority w:val="99"/>
    <w:rsid w:val="0099069F"/>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
    <w:link w:val="FootnoteText"/>
    <w:locked/>
    <w:rsid w:val="008216A5"/>
    <w:rPr>
      <w:rFonts w:eastAsia="SimSun"/>
      <w:sz w:val="18"/>
      <w:szCs w:val="20"/>
      <w:lang w:val="en-GB" w:eastAsia="zh-CN"/>
    </w:rPr>
  </w:style>
  <w:style w:type="character" w:customStyle="1" w:styleId="sb8d990e2">
    <w:name w:val="sb8d990e2"/>
    <w:rsid w:val="001A09DE"/>
  </w:style>
  <w:style w:type="paragraph" w:customStyle="1" w:styleId="Default">
    <w:name w:val="Default"/>
    <w:uiPriority w:val="99"/>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locked/>
    <w:rsid w:val="00FF7920"/>
    <w:rPr>
      <w:lang w:val="x-none" w:eastAsia="en-US"/>
    </w:rPr>
  </w:style>
  <w:style w:type="character" w:styleId="CommentReference">
    <w:name w:val="annotation reference"/>
    <w:basedOn w:val="DefaultParagraphFont"/>
    <w:uiPriority w:val="99"/>
    <w:rsid w:val="00161B02"/>
    <w:rPr>
      <w:rFonts w:cs="Times New Roman"/>
      <w:sz w:val="16"/>
    </w:rPr>
  </w:style>
  <w:style w:type="paragraph" w:styleId="CommentText">
    <w:name w:val="annotation text"/>
    <w:basedOn w:val="Normal"/>
    <w:link w:val="CommentTextChar"/>
    <w:uiPriority w:val="99"/>
    <w:rsid w:val="00161B02"/>
  </w:style>
  <w:style w:type="character" w:customStyle="1" w:styleId="CommentTextChar">
    <w:name w:val="Comment Text Char"/>
    <w:basedOn w:val="DefaultParagraphFont"/>
    <w:link w:val="CommentText"/>
    <w:uiPriority w:val="99"/>
    <w:locked/>
    <w:rsid w:val="00161B02"/>
    <w:rPr>
      <w:lang w:val="x-none" w:eastAsia="en-US"/>
    </w:rPr>
  </w:style>
  <w:style w:type="paragraph" w:styleId="CommentSubject">
    <w:name w:val="annotation subject"/>
    <w:basedOn w:val="CommentText"/>
    <w:next w:val="CommentText"/>
    <w:link w:val="CommentSubjectChar"/>
    <w:uiPriority w:val="99"/>
    <w:rsid w:val="00161B02"/>
    <w:rPr>
      <w:b/>
      <w:bCs/>
    </w:rPr>
  </w:style>
  <w:style w:type="character" w:customStyle="1" w:styleId="CommentSubjectChar">
    <w:name w:val="Comment Subject Char"/>
    <w:basedOn w:val="CommentTextChar"/>
    <w:link w:val="CommentSubject"/>
    <w:uiPriority w:val="99"/>
    <w:locked/>
    <w:rsid w:val="00161B02"/>
    <w:rPr>
      <w:b/>
      <w:lang w:val="x-none" w:eastAsia="en-US"/>
    </w:rPr>
  </w:style>
  <w:style w:type="character" w:styleId="FootnoteReference">
    <w:name w:val="footnote reference"/>
    <w:aliases w:val="4_G"/>
    <w:qFormat/>
    <w:locked/>
    <w:rsid w:val="00317ED7"/>
    <w:rPr>
      <w:rFonts w:ascii="Times New Roman" w:hAnsi="Times New Roman"/>
      <w:sz w:val="18"/>
      <w:vertAlign w:val="superscript"/>
    </w:rPr>
  </w:style>
  <w:style w:type="paragraph" w:customStyle="1" w:styleId="SingleTxt">
    <w:name w:val="__Single Txt"/>
    <w:basedOn w:val="Normal"/>
    <w:rsid w:val="00C36C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AB5D75"/>
    <w:rPr>
      <w:sz w:val="20"/>
      <w:szCs w:val="20"/>
      <w:lang w:val="en-GB" w:eastAsia="en-US"/>
    </w:rPr>
  </w:style>
  <w:style w:type="character" w:customStyle="1" w:styleId="s32a37344">
    <w:name w:val="s32a37344"/>
    <w:rsid w:val="0095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uiPriority="0"/>
    <w:lsdException w:name="caption" w:locked="1" w:uiPriority="0" w:qFormat="1"/>
    <w:lsdException w:name="footnote reference"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3"/>
    <w:pPr>
      <w:suppressAutoHyphens/>
      <w:spacing w:line="240" w:lineRule="atLeast"/>
    </w:pPr>
    <w:rPr>
      <w:sz w:val="20"/>
      <w:szCs w:val="20"/>
      <w:lang w:val="en-GB" w:eastAsia="en-US"/>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style>
  <w:style w:type="paragraph" w:styleId="Heading3">
    <w:name w:val="heading 3"/>
    <w:basedOn w:val="Normal"/>
    <w:next w:val="Normal"/>
    <w:link w:val="Heading3Char"/>
    <w:uiPriority w:val="99"/>
    <w:qFormat/>
    <w:rsid w:val="000272B3"/>
    <w:pPr>
      <w:spacing w:line="240" w:lineRule="auto"/>
      <w:outlineLvl w:val="2"/>
    </w:p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99069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9069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9069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9069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9069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9069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9069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9069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9069F"/>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743E9"/>
    <w:rPr>
      <w:rFonts w:ascii="Tahoma" w:hAnsi="Tahoma"/>
      <w:sz w:val="16"/>
      <w:lang w:val="x-none" w:eastAsia="en-US"/>
    </w:rPr>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99069F"/>
    <w:rPr>
      <w:sz w:val="20"/>
      <w:szCs w:val="20"/>
      <w:lang w:val="en-GB" w:eastAsia="en-US"/>
    </w:rPr>
  </w:style>
  <w:style w:type="table" w:styleId="TableGrid">
    <w:name w:val="Table Grid"/>
    <w:basedOn w:val="TableNormal"/>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
    <w:basedOn w:val="Normal"/>
    <w:link w:val="FootnoteTextChar1"/>
    <w:qFormat/>
    <w:rsid w:val="00317ED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Footnote Reference Char,4_G Char,Footnote number Char,ftref Char,Footnotes refss Char,Style 10 Char,Footnote Reference1 Char1,5_G Char,Footnote Text Char Char Char Char Char Char,Footnote Text Char Char Char Char Char1,FA Fu Char"/>
    <w:basedOn w:val="DefaultParagraphFont"/>
    <w:rsid w:val="0099069F"/>
    <w:rPr>
      <w:sz w:val="20"/>
      <w:szCs w:val="20"/>
      <w:lang w:val="en-GB" w:eastAsia="en-US"/>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rsid w:val="0099069F"/>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basedOn w:val="DefaultParagraphFont"/>
    <w:link w:val="Footer"/>
    <w:uiPriority w:val="99"/>
    <w:rsid w:val="0099069F"/>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
    <w:link w:val="FootnoteText"/>
    <w:locked/>
    <w:rsid w:val="008216A5"/>
    <w:rPr>
      <w:rFonts w:eastAsia="SimSun"/>
      <w:sz w:val="18"/>
      <w:szCs w:val="20"/>
      <w:lang w:val="en-GB" w:eastAsia="zh-CN"/>
    </w:rPr>
  </w:style>
  <w:style w:type="character" w:customStyle="1" w:styleId="sb8d990e2">
    <w:name w:val="sb8d990e2"/>
    <w:rsid w:val="001A09DE"/>
  </w:style>
  <w:style w:type="paragraph" w:customStyle="1" w:styleId="Default">
    <w:name w:val="Default"/>
    <w:uiPriority w:val="99"/>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locked/>
    <w:rsid w:val="00FF7920"/>
    <w:rPr>
      <w:lang w:val="x-none" w:eastAsia="en-US"/>
    </w:rPr>
  </w:style>
  <w:style w:type="character" w:styleId="CommentReference">
    <w:name w:val="annotation reference"/>
    <w:basedOn w:val="DefaultParagraphFont"/>
    <w:uiPriority w:val="99"/>
    <w:rsid w:val="00161B02"/>
    <w:rPr>
      <w:rFonts w:cs="Times New Roman"/>
      <w:sz w:val="16"/>
    </w:rPr>
  </w:style>
  <w:style w:type="paragraph" w:styleId="CommentText">
    <w:name w:val="annotation text"/>
    <w:basedOn w:val="Normal"/>
    <w:link w:val="CommentTextChar"/>
    <w:uiPriority w:val="99"/>
    <w:rsid w:val="00161B02"/>
  </w:style>
  <w:style w:type="character" w:customStyle="1" w:styleId="CommentTextChar">
    <w:name w:val="Comment Text Char"/>
    <w:basedOn w:val="DefaultParagraphFont"/>
    <w:link w:val="CommentText"/>
    <w:uiPriority w:val="99"/>
    <w:locked/>
    <w:rsid w:val="00161B02"/>
    <w:rPr>
      <w:lang w:val="x-none" w:eastAsia="en-US"/>
    </w:rPr>
  </w:style>
  <w:style w:type="paragraph" w:styleId="CommentSubject">
    <w:name w:val="annotation subject"/>
    <w:basedOn w:val="CommentText"/>
    <w:next w:val="CommentText"/>
    <w:link w:val="CommentSubjectChar"/>
    <w:uiPriority w:val="99"/>
    <w:rsid w:val="00161B02"/>
    <w:rPr>
      <w:b/>
      <w:bCs/>
    </w:rPr>
  </w:style>
  <w:style w:type="character" w:customStyle="1" w:styleId="CommentSubjectChar">
    <w:name w:val="Comment Subject Char"/>
    <w:basedOn w:val="CommentTextChar"/>
    <w:link w:val="CommentSubject"/>
    <w:uiPriority w:val="99"/>
    <w:locked/>
    <w:rsid w:val="00161B02"/>
    <w:rPr>
      <w:b/>
      <w:lang w:val="x-none" w:eastAsia="en-US"/>
    </w:rPr>
  </w:style>
  <w:style w:type="character" w:styleId="FootnoteReference">
    <w:name w:val="footnote reference"/>
    <w:aliases w:val="4_G"/>
    <w:qFormat/>
    <w:locked/>
    <w:rsid w:val="00317ED7"/>
    <w:rPr>
      <w:rFonts w:ascii="Times New Roman" w:hAnsi="Times New Roman"/>
      <w:sz w:val="18"/>
      <w:vertAlign w:val="superscript"/>
    </w:rPr>
  </w:style>
  <w:style w:type="paragraph" w:customStyle="1" w:styleId="SingleTxt">
    <w:name w:val="__Single Txt"/>
    <w:basedOn w:val="Normal"/>
    <w:rsid w:val="00C36C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AB5D75"/>
    <w:rPr>
      <w:sz w:val="20"/>
      <w:szCs w:val="20"/>
      <w:lang w:val="en-GB" w:eastAsia="en-US"/>
    </w:rPr>
  </w:style>
  <w:style w:type="character" w:customStyle="1" w:styleId="s32a37344">
    <w:name w:val="s32a37344"/>
    <w:rsid w:val="0095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0921">
      <w:bodyDiv w:val="1"/>
      <w:marLeft w:val="0"/>
      <w:marRight w:val="0"/>
      <w:marTop w:val="0"/>
      <w:marBottom w:val="0"/>
      <w:divBdr>
        <w:top w:val="none" w:sz="0" w:space="0" w:color="auto"/>
        <w:left w:val="none" w:sz="0" w:space="0" w:color="auto"/>
        <w:bottom w:val="none" w:sz="0" w:space="0" w:color="auto"/>
        <w:right w:val="none" w:sz="0" w:space="0" w:color="auto"/>
      </w:divBdr>
      <w:divsChild>
        <w:div w:id="892817454">
          <w:marLeft w:val="0"/>
          <w:marRight w:val="0"/>
          <w:marTop w:val="0"/>
          <w:marBottom w:val="0"/>
          <w:divBdr>
            <w:top w:val="none" w:sz="0" w:space="0" w:color="auto"/>
            <w:left w:val="none" w:sz="0" w:space="0" w:color="auto"/>
            <w:bottom w:val="none" w:sz="0" w:space="0" w:color="auto"/>
            <w:right w:val="none" w:sz="0" w:space="0" w:color="auto"/>
          </w:divBdr>
          <w:divsChild>
            <w:div w:id="1464425316">
              <w:marLeft w:val="0"/>
              <w:marRight w:val="0"/>
              <w:marTop w:val="0"/>
              <w:marBottom w:val="0"/>
              <w:divBdr>
                <w:top w:val="none" w:sz="0" w:space="0" w:color="auto"/>
                <w:left w:val="none" w:sz="0" w:space="0" w:color="auto"/>
                <w:bottom w:val="none" w:sz="0" w:space="0" w:color="auto"/>
                <w:right w:val="none" w:sz="0" w:space="0" w:color="auto"/>
              </w:divBdr>
              <w:divsChild>
                <w:div w:id="1987970578">
                  <w:marLeft w:val="0"/>
                  <w:marRight w:val="0"/>
                  <w:marTop w:val="0"/>
                  <w:marBottom w:val="0"/>
                  <w:divBdr>
                    <w:top w:val="none" w:sz="0" w:space="0" w:color="auto"/>
                    <w:left w:val="none" w:sz="0" w:space="0" w:color="auto"/>
                    <w:bottom w:val="none" w:sz="0" w:space="0" w:color="auto"/>
                    <w:right w:val="none" w:sz="0" w:space="0" w:color="auto"/>
                  </w:divBdr>
                  <w:divsChild>
                    <w:div w:id="1257904143">
                      <w:marLeft w:val="0"/>
                      <w:marRight w:val="0"/>
                      <w:marTop w:val="0"/>
                      <w:marBottom w:val="0"/>
                      <w:divBdr>
                        <w:top w:val="none" w:sz="0" w:space="0" w:color="auto"/>
                        <w:left w:val="none" w:sz="0" w:space="0" w:color="auto"/>
                        <w:bottom w:val="none" w:sz="0" w:space="0" w:color="auto"/>
                        <w:right w:val="none" w:sz="0" w:space="0" w:color="auto"/>
                      </w:divBdr>
                      <w:divsChild>
                        <w:div w:id="663364752">
                          <w:marLeft w:val="0"/>
                          <w:marRight w:val="0"/>
                          <w:marTop w:val="0"/>
                          <w:marBottom w:val="0"/>
                          <w:divBdr>
                            <w:top w:val="none" w:sz="0" w:space="0" w:color="auto"/>
                            <w:left w:val="none" w:sz="0" w:space="0" w:color="auto"/>
                            <w:bottom w:val="none" w:sz="0" w:space="0" w:color="auto"/>
                            <w:right w:val="none" w:sz="0" w:space="0" w:color="auto"/>
                          </w:divBdr>
                          <w:divsChild>
                            <w:div w:id="1095442819">
                              <w:marLeft w:val="0"/>
                              <w:marRight w:val="0"/>
                              <w:marTop w:val="0"/>
                              <w:marBottom w:val="0"/>
                              <w:divBdr>
                                <w:top w:val="none" w:sz="0" w:space="0" w:color="auto"/>
                                <w:left w:val="none" w:sz="0" w:space="0" w:color="auto"/>
                                <w:bottom w:val="none" w:sz="0" w:space="0" w:color="auto"/>
                                <w:right w:val="none" w:sz="0" w:space="0" w:color="auto"/>
                              </w:divBdr>
                              <w:divsChild>
                                <w:div w:id="647246072">
                                  <w:marLeft w:val="0"/>
                                  <w:marRight w:val="0"/>
                                  <w:marTop w:val="0"/>
                                  <w:marBottom w:val="0"/>
                                  <w:divBdr>
                                    <w:top w:val="none" w:sz="0" w:space="0" w:color="auto"/>
                                    <w:left w:val="none" w:sz="0" w:space="0" w:color="auto"/>
                                    <w:bottom w:val="none" w:sz="0" w:space="0" w:color="auto"/>
                                    <w:right w:val="none" w:sz="0" w:space="0" w:color="auto"/>
                                  </w:divBdr>
                                  <w:divsChild>
                                    <w:div w:id="844638655">
                                      <w:marLeft w:val="0"/>
                                      <w:marRight w:val="0"/>
                                      <w:marTop w:val="0"/>
                                      <w:marBottom w:val="0"/>
                                      <w:divBdr>
                                        <w:top w:val="none" w:sz="0" w:space="0" w:color="auto"/>
                                        <w:left w:val="none" w:sz="0" w:space="0" w:color="auto"/>
                                        <w:bottom w:val="none" w:sz="0" w:space="0" w:color="auto"/>
                                        <w:right w:val="none" w:sz="0" w:space="0" w:color="auto"/>
                                      </w:divBdr>
                                      <w:divsChild>
                                        <w:div w:id="2004697110">
                                          <w:marLeft w:val="0"/>
                                          <w:marRight w:val="0"/>
                                          <w:marTop w:val="0"/>
                                          <w:marBottom w:val="0"/>
                                          <w:divBdr>
                                            <w:top w:val="none" w:sz="0" w:space="0" w:color="auto"/>
                                            <w:left w:val="none" w:sz="0" w:space="0" w:color="auto"/>
                                            <w:bottom w:val="none" w:sz="0" w:space="0" w:color="auto"/>
                                            <w:right w:val="none" w:sz="0" w:space="0" w:color="auto"/>
                                          </w:divBdr>
                                          <w:divsChild>
                                            <w:div w:id="139881192">
                                              <w:marLeft w:val="0"/>
                                              <w:marRight w:val="0"/>
                                              <w:marTop w:val="0"/>
                                              <w:marBottom w:val="0"/>
                                              <w:divBdr>
                                                <w:top w:val="single" w:sz="12" w:space="2" w:color="FFFFCC"/>
                                                <w:left w:val="single" w:sz="12" w:space="2" w:color="FFFFCC"/>
                                                <w:bottom w:val="single" w:sz="12" w:space="2" w:color="FFFFCC"/>
                                                <w:right w:val="single" w:sz="12" w:space="0" w:color="FFFFCC"/>
                                              </w:divBdr>
                                              <w:divsChild>
                                                <w:div w:id="842545923">
                                                  <w:marLeft w:val="0"/>
                                                  <w:marRight w:val="0"/>
                                                  <w:marTop w:val="0"/>
                                                  <w:marBottom w:val="0"/>
                                                  <w:divBdr>
                                                    <w:top w:val="none" w:sz="0" w:space="0" w:color="auto"/>
                                                    <w:left w:val="none" w:sz="0" w:space="0" w:color="auto"/>
                                                    <w:bottom w:val="none" w:sz="0" w:space="0" w:color="auto"/>
                                                    <w:right w:val="none" w:sz="0" w:space="0" w:color="auto"/>
                                                  </w:divBdr>
                                                  <w:divsChild>
                                                    <w:div w:id="1729527251">
                                                      <w:marLeft w:val="0"/>
                                                      <w:marRight w:val="0"/>
                                                      <w:marTop w:val="0"/>
                                                      <w:marBottom w:val="0"/>
                                                      <w:divBdr>
                                                        <w:top w:val="none" w:sz="0" w:space="0" w:color="auto"/>
                                                        <w:left w:val="none" w:sz="0" w:space="0" w:color="auto"/>
                                                        <w:bottom w:val="none" w:sz="0" w:space="0" w:color="auto"/>
                                                        <w:right w:val="none" w:sz="0" w:space="0" w:color="auto"/>
                                                      </w:divBdr>
                                                      <w:divsChild>
                                                        <w:div w:id="1154877029">
                                                          <w:marLeft w:val="0"/>
                                                          <w:marRight w:val="0"/>
                                                          <w:marTop w:val="0"/>
                                                          <w:marBottom w:val="0"/>
                                                          <w:divBdr>
                                                            <w:top w:val="none" w:sz="0" w:space="0" w:color="auto"/>
                                                            <w:left w:val="none" w:sz="0" w:space="0" w:color="auto"/>
                                                            <w:bottom w:val="none" w:sz="0" w:space="0" w:color="auto"/>
                                                            <w:right w:val="none" w:sz="0" w:space="0" w:color="auto"/>
                                                          </w:divBdr>
                                                          <w:divsChild>
                                                            <w:div w:id="1481729413">
                                                              <w:marLeft w:val="0"/>
                                                              <w:marRight w:val="0"/>
                                                              <w:marTop w:val="0"/>
                                                              <w:marBottom w:val="0"/>
                                                              <w:divBdr>
                                                                <w:top w:val="none" w:sz="0" w:space="0" w:color="auto"/>
                                                                <w:left w:val="none" w:sz="0" w:space="0" w:color="auto"/>
                                                                <w:bottom w:val="none" w:sz="0" w:space="0" w:color="auto"/>
                                                                <w:right w:val="none" w:sz="0" w:space="0" w:color="auto"/>
                                                              </w:divBdr>
                                                              <w:divsChild>
                                                                <w:div w:id="1140227313">
                                                                  <w:marLeft w:val="0"/>
                                                                  <w:marRight w:val="0"/>
                                                                  <w:marTop w:val="0"/>
                                                                  <w:marBottom w:val="0"/>
                                                                  <w:divBdr>
                                                                    <w:top w:val="none" w:sz="0" w:space="0" w:color="auto"/>
                                                                    <w:left w:val="none" w:sz="0" w:space="0" w:color="auto"/>
                                                                    <w:bottom w:val="none" w:sz="0" w:space="0" w:color="auto"/>
                                                                    <w:right w:val="none" w:sz="0" w:space="0" w:color="auto"/>
                                                                  </w:divBdr>
                                                                  <w:divsChild>
                                                                    <w:div w:id="2095786220">
                                                                      <w:marLeft w:val="0"/>
                                                                      <w:marRight w:val="0"/>
                                                                      <w:marTop w:val="0"/>
                                                                      <w:marBottom w:val="0"/>
                                                                      <w:divBdr>
                                                                        <w:top w:val="none" w:sz="0" w:space="0" w:color="auto"/>
                                                                        <w:left w:val="none" w:sz="0" w:space="0" w:color="auto"/>
                                                                        <w:bottom w:val="none" w:sz="0" w:space="0" w:color="auto"/>
                                                                        <w:right w:val="none" w:sz="0" w:space="0" w:color="auto"/>
                                                                      </w:divBdr>
                                                                      <w:divsChild>
                                                                        <w:div w:id="419252142">
                                                                          <w:marLeft w:val="0"/>
                                                                          <w:marRight w:val="0"/>
                                                                          <w:marTop w:val="0"/>
                                                                          <w:marBottom w:val="0"/>
                                                                          <w:divBdr>
                                                                            <w:top w:val="none" w:sz="0" w:space="0" w:color="auto"/>
                                                                            <w:left w:val="none" w:sz="0" w:space="0" w:color="auto"/>
                                                                            <w:bottom w:val="none" w:sz="0" w:space="0" w:color="auto"/>
                                                                            <w:right w:val="none" w:sz="0" w:space="0" w:color="auto"/>
                                                                          </w:divBdr>
                                                                          <w:divsChild>
                                                                            <w:div w:id="46534588">
                                                                              <w:marLeft w:val="0"/>
                                                                              <w:marRight w:val="0"/>
                                                                              <w:marTop w:val="0"/>
                                                                              <w:marBottom w:val="0"/>
                                                                              <w:divBdr>
                                                                                <w:top w:val="none" w:sz="0" w:space="0" w:color="auto"/>
                                                                                <w:left w:val="none" w:sz="0" w:space="0" w:color="auto"/>
                                                                                <w:bottom w:val="none" w:sz="0" w:space="0" w:color="auto"/>
                                                                                <w:right w:val="none" w:sz="0" w:space="0" w:color="auto"/>
                                                                              </w:divBdr>
                                                                              <w:divsChild>
                                                                                <w:div w:id="391075970">
                                                                                  <w:marLeft w:val="0"/>
                                                                                  <w:marRight w:val="0"/>
                                                                                  <w:marTop w:val="0"/>
                                                                                  <w:marBottom w:val="0"/>
                                                                                  <w:divBdr>
                                                                                    <w:top w:val="none" w:sz="0" w:space="0" w:color="auto"/>
                                                                                    <w:left w:val="none" w:sz="0" w:space="0" w:color="auto"/>
                                                                                    <w:bottom w:val="none" w:sz="0" w:space="0" w:color="auto"/>
                                                                                    <w:right w:val="none" w:sz="0" w:space="0" w:color="auto"/>
                                                                                  </w:divBdr>
                                                                                  <w:divsChild>
                                                                                    <w:div w:id="1668359388">
                                                                                      <w:marLeft w:val="0"/>
                                                                                      <w:marRight w:val="0"/>
                                                                                      <w:marTop w:val="0"/>
                                                                                      <w:marBottom w:val="0"/>
                                                                                      <w:divBdr>
                                                                                        <w:top w:val="none" w:sz="0" w:space="0" w:color="auto"/>
                                                                                        <w:left w:val="none" w:sz="0" w:space="0" w:color="auto"/>
                                                                                        <w:bottom w:val="none" w:sz="0" w:space="0" w:color="auto"/>
                                                                                        <w:right w:val="none" w:sz="0" w:space="0" w:color="auto"/>
                                                                                      </w:divBdr>
                                                                                      <w:divsChild>
                                                                                        <w:div w:id="150488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513296580">
                                                                                              <w:marLeft w:val="0"/>
                                                                                              <w:marRight w:val="0"/>
                                                                                              <w:marTop w:val="0"/>
                                                                                              <w:marBottom w:val="0"/>
                                                                                              <w:divBdr>
                                                                                                <w:top w:val="none" w:sz="0" w:space="0" w:color="auto"/>
                                                                                                <w:left w:val="none" w:sz="0" w:space="0" w:color="auto"/>
                                                                                                <w:bottom w:val="none" w:sz="0" w:space="0" w:color="auto"/>
                                                                                                <w:right w:val="none" w:sz="0" w:space="0" w:color="auto"/>
                                                                                              </w:divBdr>
                                                                                              <w:divsChild>
                                                                                                <w:div w:id="1619027744">
                                                                                                  <w:marLeft w:val="0"/>
                                                                                                  <w:marRight w:val="0"/>
                                                                                                  <w:marTop w:val="0"/>
                                                                                                  <w:marBottom w:val="0"/>
                                                                                                  <w:divBdr>
                                                                                                    <w:top w:val="none" w:sz="0" w:space="0" w:color="auto"/>
                                                                                                    <w:left w:val="none" w:sz="0" w:space="0" w:color="auto"/>
                                                                                                    <w:bottom w:val="none" w:sz="0" w:space="0" w:color="auto"/>
                                                                                                    <w:right w:val="none" w:sz="0" w:space="0" w:color="auto"/>
                                                                                                  </w:divBdr>
                                                                                                  <w:divsChild>
                                                                                                    <w:div w:id="422186114">
                                                                                                      <w:marLeft w:val="0"/>
                                                                                                      <w:marRight w:val="0"/>
                                                                                                      <w:marTop w:val="0"/>
                                                                                                      <w:marBottom w:val="0"/>
                                                                                                      <w:divBdr>
                                                                                                        <w:top w:val="none" w:sz="0" w:space="0" w:color="auto"/>
                                                                                                        <w:left w:val="none" w:sz="0" w:space="0" w:color="auto"/>
                                                                                                        <w:bottom w:val="none" w:sz="0" w:space="0" w:color="auto"/>
                                                                                                        <w:right w:val="none" w:sz="0" w:space="0" w:color="auto"/>
                                                                                                      </w:divBdr>
                                                                                                      <w:divsChild>
                                                                                                        <w:div w:id="1207336312">
                                                                                                          <w:marLeft w:val="0"/>
                                                                                                          <w:marRight w:val="0"/>
                                                                                                          <w:marTop w:val="0"/>
                                                                                                          <w:marBottom w:val="0"/>
                                                                                                          <w:divBdr>
                                                                                                            <w:top w:val="none" w:sz="0" w:space="0" w:color="auto"/>
                                                                                                            <w:left w:val="none" w:sz="0" w:space="0" w:color="auto"/>
                                                                                                            <w:bottom w:val="none" w:sz="0" w:space="0" w:color="auto"/>
                                                                                                            <w:right w:val="none" w:sz="0" w:space="0" w:color="auto"/>
                                                                                                          </w:divBdr>
                                                                                                          <w:divsChild>
                                                                                                            <w:div w:id="1422482283">
                                                                                                              <w:marLeft w:val="0"/>
                                                                                                              <w:marRight w:val="0"/>
                                                                                                              <w:marTop w:val="0"/>
                                                                                                              <w:marBottom w:val="0"/>
                                                                                                              <w:divBdr>
                                                                                                                <w:top w:val="single" w:sz="2" w:space="4" w:color="D8D8D8"/>
                                                                                                                <w:left w:val="single" w:sz="2" w:space="0" w:color="D8D8D8"/>
                                                                                                                <w:bottom w:val="single" w:sz="2" w:space="4" w:color="D8D8D8"/>
                                                                                                                <w:right w:val="single" w:sz="2" w:space="0" w:color="D8D8D8"/>
                                                                                                              </w:divBdr>
                                                                                                              <w:divsChild>
                                                                                                                <w:div w:id="1266037285">
                                                                                                                  <w:marLeft w:val="225"/>
                                                                                                                  <w:marRight w:val="225"/>
                                                                                                                  <w:marTop w:val="75"/>
                                                                                                                  <w:marBottom w:val="75"/>
                                                                                                                  <w:divBdr>
                                                                                                                    <w:top w:val="none" w:sz="0" w:space="0" w:color="auto"/>
                                                                                                                    <w:left w:val="none" w:sz="0" w:space="0" w:color="auto"/>
                                                                                                                    <w:bottom w:val="none" w:sz="0" w:space="0" w:color="auto"/>
                                                                                                                    <w:right w:val="none" w:sz="0" w:space="0" w:color="auto"/>
                                                                                                                  </w:divBdr>
                                                                                                                  <w:divsChild>
                                                                                                                    <w:div w:id="1472361095">
                                                                                                                      <w:marLeft w:val="0"/>
                                                                                                                      <w:marRight w:val="0"/>
                                                                                                                      <w:marTop w:val="0"/>
                                                                                                                      <w:marBottom w:val="0"/>
                                                                                                                      <w:divBdr>
                                                                                                                        <w:top w:val="single" w:sz="6" w:space="0" w:color="auto"/>
                                                                                                                        <w:left w:val="single" w:sz="6" w:space="0" w:color="auto"/>
                                                                                                                        <w:bottom w:val="single" w:sz="6" w:space="0" w:color="auto"/>
                                                                                                                        <w:right w:val="single" w:sz="6" w:space="0" w:color="auto"/>
                                                                                                                      </w:divBdr>
                                                                                                                      <w:divsChild>
                                                                                                                        <w:div w:id="20187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064858">
      <w:marLeft w:val="0"/>
      <w:marRight w:val="0"/>
      <w:marTop w:val="0"/>
      <w:marBottom w:val="0"/>
      <w:divBdr>
        <w:top w:val="none" w:sz="0" w:space="0" w:color="auto"/>
        <w:left w:val="none" w:sz="0" w:space="0" w:color="auto"/>
        <w:bottom w:val="none" w:sz="0" w:space="0" w:color="auto"/>
        <w:right w:val="none" w:sz="0" w:space="0" w:color="auto"/>
      </w:divBdr>
    </w:div>
    <w:div w:id="527064859">
      <w:marLeft w:val="0"/>
      <w:marRight w:val="0"/>
      <w:marTop w:val="0"/>
      <w:marBottom w:val="0"/>
      <w:divBdr>
        <w:top w:val="none" w:sz="0" w:space="0" w:color="auto"/>
        <w:left w:val="none" w:sz="0" w:space="0" w:color="auto"/>
        <w:bottom w:val="none" w:sz="0" w:space="0" w:color="auto"/>
        <w:right w:val="none" w:sz="0" w:space="0" w:color="auto"/>
      </w:divBdr>
      <w:divsChild>
        <w:div w:id="527064865">
          <w:marLeft w:val="0"/>
          <w:marRight w:val="0"/>
          <w:marTop w:val="0"/>
          <w:marBottom w:val="0"/>
          <w:divBdr>
            <w:top w:val="none" w:sz="0" w:space="0" w:color="auto"/>
            <w:left w:val="single" w:sz="6" w:space="0" w:color="414141"/>
            <w:bottom w:val="none" w:sz="0" w:space="0" w:color="auto"/>
            <w:right w:val="single" w:sz="6" w:space="0" w:color="414141"/>
          </w:divBdr>
          <w:divsChild>
            <w:div w:id="527064861">
              <w:marLeft w:val="0"/>
              <w:marRight w:val="0"/>
              <w:marTop w:val="0"/>
              <w:marBottom w:val="0"/>
              <w:divBdr>
                <w:top w:val="none" w:sz="0" w:space="0" w:color="auto"/>
                <w:left w:val="none" w:sz="0" w:space="0" w:color="auto"/>
                <w:bottom w:val="none" w:sz="0" w:space="0" w:color="auto"/>
                <w:right w:val="none" w:sz="0" w:space="0" w:color="auto"/>
              </w:divBdr>
              <w:divsChild>
                <w:div w:id="527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4860">
      <w:marLeft w:val="0"/>
      <w:marRight w:val="0"/>
      <w:marTop w:val="0"/>
      <w:marBottom w:val="0"/>
      <w:divBdr>
        <w:top w:val="none" w:sz="0" w:space="0" w:color="auto"/>
        <w:left w:val="none" w:sz="0" w:space="0" w:color="auto"/>
        <w:bottom w:val="none" w:sz="0" w:space="0" w:color="auto"/>
        <w:right w:val="none" w:sz="0" w:space="0" w:color="auto"/>
      </w:divBdr>
    </w:div>
    <w:div w:id="527064862">
      <w:marLeft w:val="0"/>
      <w:marRight w:val="0"/>
      <w:marTop w:val="0"/>
      <w:marBottom w:val="0"/>
      <w:divBdr>
        <w:top w:val="none" w:sz="0" w:space="0" w:color="auto"/>
        <w:left w:val="none" w:sz="0" w:space="0" w:color="auto"/>
        <w:bottom w:val="none" w:sz="0" w:space="0" w:color="auto"/>
        <w:right w:val="none" w:sz="0" w:space="0" w:color="auto"/>
      </w:divBdr>
    </w:div>
    <w:div w:id="527064863">
      <w:marLeft w:val="0"/>
      <w:marRight w:val="0"/>
      <w:marTop w:val="0"/>
      <w:marBottom w:val="0"/>
      <w:divBdr>
        <w:top w:val="none" w:sz="0" w:space="0" w:color="auto"/>
        <w:left w:val="none" w:sz="0" w:space="0" w:color="auto"/>
        <w:bottom w:val="none" w:sz="0" w:space="0" w:color="auto"/>
        <w:right w:val="none" w:sz="0" w:space="0" w:color="auto"/>
      </w:divBdr>
    </w:div>
    <w:div w:id="527064864">
      <w:marLeft w:val="0"/>
      <w:marRight w:val="0"/>
      <w:marTop w:val="0"/>
      <w:marBottom w:val="0"/>
      <w:divBdr>
        <w:top w:val="none" w:sz="0" w:space="0" w:color="auto"/>
        <w:left w:val="none" w:sz="0" w:space="0" w:color="auto"/>
        <w:bottom w:val="none" w:sz="0" w:space="0" w:color="auto"/>
        <w:right w:val="none" w:sz="0" w:space="0" w:color="auto"/>
      </w:divBdr>
    </w:div>
    <w:div w:id="527064866">
      <w:marLeft w:val="0"/>
      <w:marRight w:val="0"/>
      <w:marTop w:val="0"/>
      <w:marBottom w:val="0"/>
      <w:divBdr>
        <w:top w:val="none" w:sz="0" w:space="0" w:color="auto"/>
        <w:left w:val="none" w:sz="0" w:space="0" w:color="auto"/>
        <w:bottom w:val="none" w:sz="0" w:space="0" w:color="auto"/>
        <w:right w:val="none" w:sz="0" w:space="0" w:color="auto"/>
      </w:divBdr>
    </w:div>
    <w:div w:id="527064868">
      <w:marLeft w:val="0"/>
      <w:marRight w:val="0"/>
      <w:marTop w:val="0"/>
      <w:marBottom w:val="0"/>
      <w:divBdr>
        <w:top w:val="none" w:sz="0" w:space="0" w:color="auto"/>
        <w:left w:val="none" w:sz="0" w:space="0" w:color="auto"/>
        <w:bottom w:val="none" w:sz="0" w:space="0" w:color="auto"/>
        <w:right w:val="none" w:sz="0" w:space="0" w:color="auto"/>
      </w:divBdr>
    </w:div>
    <w:div w:id="527064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EB28-E068-4146-89DB-48AC4F24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12</Pages>
  <Words>5853</Words>
  <Characters>29550</Characters>
  <Application>Microsoft Office Word</Application>
  <DocSecurity>0</DocSecurity>
  <Lines>442</Lines>
  <Paragraphs>72</Paragraphs>
  <ScaleCrop>false</ScaleCrop>
  <HeadingPairs>
    <vt:vector size="2" baseType="variant">
      <vt:variant>
        <vt:lpstr>Title</vt:lpstr>
      </vt:variant>
      <vt:variant>
        <vt:i4>1</vt:i4>
      </vt:variant>
    </vt:vector>
  </HeadingPairs>
  <TitlesOfParts>
    <vt:vector size="1" baseType="lpstr">
      <vt:lpstr>1610561</vt:lpstr>
    </vt:vector>
  </TitlesOfParts>
  <Company>CSD</Company>
  <LinksUpToDate>false</LinksUpToDate>
  <CharactersWithSpaces>35387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1614943</dc:title>
  <dc:subject>CCPR/C/117/D/2443/2014</dc:subject>
  <dc:creator>temp Neogi</dc:creator>
  <cp:keywords/>
  <dc:description/>
  <cp:lastModifiedBy>pdfeng</cp:lastModifiedBy>
  <cp:revision>2</cp:revision>
  <cp:lastPrinted>2016-04-22T10:24:00Z</cp:lastPrinted>
  <dcterms:created xsi:type="dcterms:W3CDTF">2016-08-30T06:03:00Z</dcterms:created>
  <dcterms:modified xsi:type="dcterms:W3CDTF">2016-08-30T06:03:00Z</dcterms:modified>
</cp:coreProperties>
</file>