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214E11">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214E11" w:rsidRDefault="00B56E9C" w:rsidP="00B6553F">
            <w:pPr>
              <w:spacing w:after="80" w:line="300" w:lineRule="exact"/>
              <w:rPr>
                <w:b/>
                <w:sz w:val="24"/>
                <w:szCs w:val="24"/>
              </w:rPr>
            </w:pPr>
            <w:r w:rsidRPr="00214E11">
              <w:rPr>
                <w:sz w:val="28"/>
                <w:szCs w:val="28"/>
              </w:rPr>
              <w:t>United Nations</w:t>
            </w:r>
          </w:p>
        </w:tc>
        <w:tc>
          <w:tcPr>
            <w:tcW w:w="6095" w:type="dxa"/>
            <w:gridSpan w:val="2"/>
            <w:tcBorders>
              <w:bottom w:val="single" w:sz="4" w:space="0" w:color="auto"/>
            </w:tcBorders>
            <w:vAlign w:val="bottom"/>
          </w:tcPr>
          <w:p w:rsidR="00B56E9C" w:rsidRPr="00214E11" w:rsidRDefault="00FA222B" w:rsidP="000214E0">
            <w:pPr>
              <w:jc w:val="right"/>
            </w:pPr>
            <w:r w:rsidRPr="00214E11">
              <w:rPr>
                <w:sz w:val="40"/>
              </w:rPr>
              <w:t>CCPR</w:t>
            </w:r>
            <w:r w:rsidRPr="00214E11">
              <w:t>/C/</w:t>
            </w:r>
            <w:r w:rsidR="005148E1" w:rsidRPr="00214E11">
              <w:t>11</w:t>
            </w:r>
            <w:r w:rsidR="00272E2E">
              <w:t>7</w:t>
            </w:r>
            <w:r w:rsidR="005148E1" w:rsidRPr="00214E11">
              <w:t>/</w:t>
            </w:r>
            <w:r w:rsidRPr="00214E11">
              <w:t>D/2</w:t>
            </w:r>
            <w:r w:rsidR="00E6182F">
              <w:t>462</w:t>
            </w:r>
            <w:r w:rsidRPr="00214E11">
              <w:t>/201</w:t>
            </w:r>
            <w:r w:rsidR="00E6182F">
              <w:t>4</w:t>
            </w:r>
          </w:p>
        </w:tc>
      </w:tr>
      <w:tr w:rsidR="00B56E9C" w:rsidRPr="00214E11">
        <w:trPr>
          <w:cantSplit/>
          <w:trHeight w:hRule="exact" w:val="2835"/>
        </w:trPr>
        <w:tc>
          <w:tcPr>
            <w:tcW w:w="1276" w:type="dxa"/>
            <w:tcBorders>
              <w:top w:val="single" w:sz="4" w:space="0" w:color="auto"/>
              <w:bottom w:val="single" w:sz="12" w:space="0" w:color="auto"/>
            </w:tcBorders>
          </w:tcPr>
          <w:p w:rsidR="00B56E9C" w:rsidRPr="00214E11" w:rsidRDefault="00891D98" w:rsidP="00B6553F">
            <w:pPr>
              <w:spacing w:before="120"/>
            </w:pPr>
            <w:r>
              <w:rPr>
                <w:noProof/>
                <w:lang w:val="en-US"/>
              </w:rPr>
              <w:drawing>
                <wp:inline distT="0" distB="0" distL="0" distR="0" wp14:anchorId="389FEB55" wp14:editId="6A13F112">
                  <wp:extent cx="713740" cy="588645"/>
                  <wp:effectExtent l="0" t="0" r="0" b="190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740" cy="58864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214E11">
              <w:rPr>
                <w:b/>
                <w:sz w:val="34"/>
                <w:szCs w:val="40"/>
              </w:rPr>
              <w:t xml:space="preserve">International </w:t>
            </w:r>
            <w:r w:rsidR="00060C3A" w:rsidRPr="00214E11">
              <w:rPr>
                <w:b/>
                <w:sz w:val="34"/>
                <w:szCs w:val="40"/>
              </w:rPr>
              <w:t>Covenant on</w:t>
            </w:r>
            <w:r w:rsidR="00060C3A" w:rsidRPr="00214E11">
              <w:rPr>
                <w:b/>
                <w:sz w:val="34"/>
                <w:szCs w:val="40"/>
              </w:rPr>
              <w:br/>
              <w:t>Civil and Political R</w:t>
            </w:r>
            <w:r w:rsidR="00703577" w:rsidRPr="00214E11">
              <w:rPr>
                <w:b/>
                <w:sz w:val="34"/>
                <w:szCs w:val="40"/>
              </w:rPr>
              <w:t>ights</w:t>
            </w:r>
          </w:p>
          <w:p w:rsidR="007758EE" w:rsidRPr="00214E11" w:rsidRDefault="007758EE" w:rsidP="002D003E">
            <w:pPr>
              <w:spacing w:before="120" w:line="380" w:lineRule="exact"/>
              <w:rPr>
                <w:sz w:val="34"/>
              </w:rPr>
            </w:pPr>
          </w:p>
        </w:tc>
        <w:tc>
          <w:tcPr>
            <w:tcW w:w="2835" w:type="dxa"/>
            <w:tcBorders>
              <w:top w:val="single" w:sz="4" w:space="0" w:color="auto"/>
              <w:bottom w:val="single" w:sz="12" w:space="0" w:color="auto"/>
            </w:tcBorders>
          </w:tcPr>
          <w:p w:rsidR="00891D98" w:rsidRPr="007F5E52" w:rsidRDefault="00891D98" w:rsidP="007F5E52">
            <w:pPr>
              <w:spacing w:before="240" w:line="240" w:lineRule="exact"/>
              <w:rPr>
                <w:sz w:val="24"/>
                <w:szCs w:val="24"/>
                <w:lang w:eastAsia="en-GB"/>
              </w:rPr>
            </w:pPr>
            <w:r>
              <w:t xml:space="preserve">Distr.: </w:t>
            </w:r>
            <w:r w:rsidR="000214E0">
              <w:t>General</w:t>
            </w:r>
          </w:p>
          <w:p w:rsidR="00891D98" w:rsidRDefault="001B0538" w:rsidP="000C67BE">
            <w:pPr>
              <w:spacing w:line="240" w:lineRule="exact"/>
            </w:pPr>
            <w:r>
              <w:t>17 November</w:t>
            </w:r>
            <w:r w:rsidR="00F61876">
              <w:t xml:space="preserve"> </w:t>
            </w:r>
            <w:r w:rsidR="00891D98">
              <w:t>201</w:t>
            </w:r>
            <w:r w:rsidR="000C67BE">
              <w:t>6</w:t>
            </w:r>
          </w:p>
          <w:p w:rsidR="007F5E52" w:rsidRDefault="007F5E52" w:rsidP="000C67BE">
            <w:pPr>
              <w:spacing w:line="240" w:lineRule="exact"/>
            </w:pPr>
          </w:p>
          <w:p w:rsidR="00891D98" w:rsidRDefault="00891D98" w:rsidP="000C67BE">
            <w:pPr>
              <w:spacing w:line="240" w:lineRule="exact"/>
            </w:pPr>
            <w:r>
              <w:t>Original: English</w:t>
            </w:r>
          </w:p>
          <w:p w:rsidR="00FA222B" w:rsidRPr="00214E11" w:rsidRDefault="00FA222B" w:rsidP="00B646B0">
            <w:pPr>
              <w:spacing w:line="240" w:lineRule="exact"/>
            </w:pPr>
          </w:p>
        </w:tc>
      </w:tr>
    </w:tbl>
    <w:p w:rsidR="00891D98" w:rsidRDefault="00891D98" w:rsidP="008D4603">
      <w:pPr>
        <w:spacing w:before="120"/>
        <w:rPr>
          <w:b/>
          <w:sz w:val="24"/>
          <w:szCs w:val="24"/>
        </w:rPr>
      </w:pPr>
      <w:r w:rsidRPr="00A36331">
        <w:rPr>
          <w:b/>
          <w:sz w:val="24"/>
          <w:szCs w:val="24"/>
        </w:rPr>
        <w:t>Human Rights Committee</w:t>
      </w:r>
    </w:p>
    <w:p w:rsidR="00771483" w:rsidRDefault="00187F8A" w:rsidP="00A51905">
      <w:pPr>
        <w:pStyle w:val="HChG"/>
        <w:rPr>
          <w:szCs w:val="18"/>
        </w:rPr>
      </w:pPr>
      <w:r>
        <w:rPr>
          <w:b w:val="0"/>
          <w:sz w:val="24"/>
          <w:szCs w:val="24"/>
        </w:rPr>
        <w:tab/>
      </w:r>
      <w:r>
        <w:rPr>
          <w:b w:val="0"/>
          <w:sz w:val="24"/>
          <w:szCs w:val="24"/>
        </w:rPr>
        <w:tab/>
      </w:r>
      <w:r w:rsidR="00DA41E6" w:rsidRPr="00A51905">
        <w:t>Views adopted by the Committee under article 5</w:t>
      </w:r>
      <w:r w:rsidR="00771483" w:rsidRPr="00A51905">
        <w:t> </w:t>
      </w:r>
      <w:r w:rsidR="00DA41E6" w:rsidRPr="00A51905">
        <w:t xml:space="preserve">(4) of the Optional Protocol, concerning communication </w:t>
      </w:r>
      <w:r>
        <w:br/>
      </w:r>
      <w:r w:rsidR="00DA41E6" w:rsidRPr="00A51905">
        <w:t>No. 2462/2014</w:t>
      </w:r>
      <w:r w:rsidR="00DA41E6" w:rsidRPr="00A51905">
        <w:rPr>
          <w:rStyle w:val="FootnoteReference"/>
          <w:b w:val="0"/>
          <w:bCs/>
          <w:sz w:val="20"/>
          <w:vertAlign w:val="baseline"/>
        </w:rPr>
        <w:footnoteReference w:customMarkFollows="1" w:id="2"/>
        <w:t>*</w:t>
      </w:r>
      <w:r w:rsidR="00DA41E6" w:rsidRPr="00A51905">
        <w:rPr>
          <w:b w:val="0"/>
          <w:position w:val="4"/>
          <w:sz w:val="20"/>
        </w:rPr>
        <w:t>,</w:t>
      </w:r>
      <w:r>
        <w:rPr>
          <w:rStyle w:val="FootnoteReference"/>
          <w:b w:val="0"/>
          <w:bCs/>
          <w:sz w:val="20"/>
          <w:szCs w:val="18"/>
          <w:vertAlign w:val="baseline"/>
        </w:rPr>
        <w:t xml:space="preserve"> </w:t>
      </w:r>
      <w:r w:rsidR="00DA41E6" w:rsidRPr="00A51905">
        <w:rPr>
          <w:rStyle w:val="FootnoteReference"/>
          <w:b w:val="0"/>
          <w:bCs/>
          <w:sz w:val="20"/>
          <w:szCs w:val="18"/>
          <w:vertAlign w:val="baseline"/>
        </w:rPr>
        <w:footnoteReference w:customMarkFollows="1" w:id="3"/>
        <w:t>**</w:t>
      </w:r>
      <w:r>
        <w:rPr>
          <w:b w:val="0"/>
          <w:bCs/>
          <w:sz w:val="20"/>
          <w:szCs w:val="18"/>
        </w:rPr>
        <w:t xml:space="preserve"> </w:t>
      </w:r>
    </w:p>
    <w:p w:rsidR="00FA222B" w:rsidRDefault="00771483" w:rsidP="00A51905">
      <w:pPr>
        <w:pStyle w:val="SingleTxtG"/>
        <w:ind w:left="4500" w:hanging="3366"/>
        <w:jc w:val="left"/>
      </w:pPr>
      <w:r w:rsidRPr="00A51905">
        <w:rPr>
          <w:bCs/>
          <w:i/>
          <w:lang w:val="x-none"/>
        </w:rPr>
        <w:t>Communication</w:t>
      </w:r>
      <w:r w:rsidRPr="00A51905">
        <w:rPr>
          <w:b/>
          <w:i/>
          <w:lang w:val="x-none"/>
        </w:rPr>
        <w:t xml:space="preserve"> </w:t>
      </w:r>
      <w:r w:rsidRPr="00747744">
        <w:rPr>
          <w:i/>
        </w:rPr>
        <w:t>s</w:t>
      </w:r>
      <w:r w:rsidR="00FA222B" w:rsidRPr="00214E11">
        <w:rPr>
          <w:i/>
          <w:lang w:val="x-none"/>
        </w:rPr>
        <w:t>ubmitted by:</w:t>
      </w:r>
      <w:r w:rsidR="00FA222B" w:rsidRPr="00214E11">
        <w:rPr>
          <w:i/>
          <w:lang w:val="x-none"/>
        </w:rPr>
        <w:tab/>
      </w:r>
      <w:r w:rsidR="00E6182F">
        <w:rPr>
          <w:lang w:val="en-US"/>
        </w:rPr>
        <w:t>M</w:t>
      </w:r>
      <w:r w:rsidR="00455892">
        <w:rPr>
          <w:lang w:val="en-US"/>
        </w:rPr>
        <w:t>.</w:t>
      </w:r>
      <w:r w:rsidR="00E6182F">
        <w:rPr>
          <w:lang w:val="en-US"/>
        </w:rPr>
        <w:t>K</w:t>
      </w:r>
      <w:r w:rsidR="00455892">
        <w:rPr>
          <w:lang w:val="en-US"/>
        </w:rPr>
        <w:t>.</w:t>
      </w:r>
      <w:r w:rsidR="00E6182F">
        <w:rPr>
          <w:lang w:val="en-US"/>
        </w:rPr>
        <w:t>H</w:t>
      </w:r>
      <w:r w:rsidR="00455892">
        <w:rPr>
          <w:lang w:val="en-US"/>
        </w:rPr>
        <w:t>.</w:t>
      </w:r>
      <w:r w:rsidR="00E6182F">
        <w:rPr>
          <w:lang w:val="en-US"/>
        </w:rPr>
        <w:t xml:space="preserve"> </w:t>
      </w:r>
      <w:r w:rsidR="00FA222B" w:rsidRPr="00214E11">
        <w:rPr>
          <w:lang w:val="x-none"/>
        </w:rPr>
        <w:t>(represented by counsel</w:t>
      </w:r>
      <w:r w:rsidR="00A541B5">
        <w:rPr>
          <w:lang w:val="en-US"/>
        </w:rPr>
        <w:t xml:space="preserve">, </w:t>
      </w:r>
      <w:r w:rsidR="00E6182F">
        <w:rPr>
          <w:lang w:val="en-US"/>
        </w:rPr>
        <w:t>Helle Holm Thomsen</w:t>
      </w:r>
      <w:r w:rsidR="00FA222B" w:rsidRPr="00214E11">
        <w:rPr>
          <w:lang w:val="x-none"/>
        </w:rPr>
        <w:t>)</w:t>
      </w:r>
    </w:p>
    <w:p w:rsidR="00FA222B" w:rsidRPr="00214E11" w:rsidRDefault="00FA222B" w:rsidP="00A51905">
      <w:pPr>
        <w:pStyle w:val="SingleTxtG"/>
        <w:ind w:left="4536" w:hanging="3402"/>
        <w:jc w:val="left"/>
        <w:rPr>
          <w:i/>
          <w:lang w:val="x-none"/>
        </w:rPr>
      </w:pPr>
      <w:r w:rsidRPr="00214E11">
        <w:rPr>
          <w:i/>
          <w:lang w:val="x-none"/>
        </w:rPr>
        <w:t>Alleged victim:</w:t>
      </w:r>
      <w:r w:rsidRPr="00214E11">
        <w:rPr>
          <w:i/>
          <w:lang w:val="x-none"/>
        </w:rPr>
        <w:tab/>
      </w:r>
      <w:r w:rsidRPr="00214E11">
        <w:rPr>
          <w:lang w:val="x-none"/>
        </w:rPr>
        <w:t>The author</w:t>
      </w:r>
    </w:p>
    <w:p w:rsidR="00FA222B" w:rsidRPr="00214E11" w:rsidRDefault="00FA222B" w:rsidP="00A51905">
      <w:pPr>
        <w:pStyle w:val="SingleTxtG"/>
        <w:ind w:left="4536" w:hanging="3402"/>
        <w:jc w:val="left"/>
        <w:rPr>
          <w:i/>
          <w:lang w:val="x-none"/>
        </w:rPr>
      </w:pPr>
      <w:r w:rsidRPr="00214E11">
        <w:rPr>
          <w:i/>
          <w:lang w:val="x-none"/>
        </w:rPr>
        <w:t>State party:</w:t>
      </w:r>
      <w:r w:rsidRPr="00214E11">
        <w:rPr>
          <w:i/>
          <w:lang w:val="x-none"/>
        </w:rPr>
        <w:tab/>
      </w:r>
      <w:r w:rsidR="00E6182F">
        <w:rPr>
          <w:lang w:val="en-US"/>
        </w:rPr>
        <w:t xml:space="preserve">Denmark </w:t>
      </w:r>
    </w:p>
    <w:p w:rsidR="00FA222B" w:rsidRPr="00214E11" w:rsidRDefault="00FA222B" w:rsidP="00A51905">
      <w:pPr>
        <w:pStyle w:val="SingleTxtG"/>
        <w:ind w:left="4536" w:hanging="3402"/>
        <w:jc w:val="left"/>
        <w:rPr>
          <w:i/>
        </w:rPr>
      </w:pPr>
      <w:r w:rsidRPr="00214E11">
        <w:rPr>
          <w:i/>
          <w:lang w:val="x-none"/>
        </w:rPr>
        <w:t>Date of communication:</w:t>
      </w:r>
      <w:r w:rsidRPr="00214E11">
        <w:rPr>
          <w:i/>
          <w:lang w:val="x-none"/>
        </w:rPr>
        <w:tab/>
      </w:r>
      <w:r w:rsidR="00E6182F">
        <w:rPr>
          <w:lang w:val="en-US"/>
        </w:rPr>
        <w:t>26</w:t>
      </w:r>
      <w:r w:rsidRPr="00B04197">
        <w:rPr>
          <w:lang w:val="x-none"/>
        </w:rPr>
        <w:t xml:space="preserve"> </w:t>
      </w:r>
      <w:r w:rsidRPr="007F5E52">
        <w:t>September</w:t>
      </w:r>
      <w:r w:rsidRPr="00B04197">
        <w:rPr>
          <w:lang w:val="x-none"/>
        </w:rPr>
        <w:t xml:space="preserve"> 201</w:t>
      </w:r>
      <w:r w:rsidR="00E6182F">
        <w:rPr>
          <w:lang w:val="en-US"/>
        </w:rPr>
        <w:t>4</w:t>
      </w:r>
      <w:r w:rsidR="005148E1" w:rsidRPr="00214E11">
        <w:rPr>
          <w:lang w:val="x-none"/>
        </w:rPr>
        <w:t xml:space="preserve"> (initial submission)</w:t>
      </w:r>
    </w:p>
    <w:p w:rsidR="00FA222B" w:rsidRPr="00214E11" w:rsidRDefault="00FA222B" w:rsidP="00A51905">
      <w:pPr>
        <w:pStyle w:val="SingleTxtG"/>
        <w:ind w:left="4536" w:hanging="3402"/>
        <w:jc w:val="left"/>
        <w:rPr>
          <w:i/>
          <w:lang w:val="x-none"/>
        </w:rPr>
      </w:pPr>
      <w:r w:rsidRPr="00214E11">
        <w:rPr>
          <w:i/>
          <w:lang w:val="x-none"/>
        </w:rPr>
        <w:t>Document references:</w:t>
      </w:r>
      <w:r w:rsidRPr="00214E11">
        <w:rPr>
          <w:i/>
          <w:lang w:val="x-none"/>
        </w:rPr>
        <w:tab/>
      </w:r>
      <w:r w:rsidR="001852A4">
        <w:rPr>
          <w:lang w:val="en-US"/>
        </w:rPr>
        <w:t xml:space="preserve">Decision </w:t>
      </w:r>
      <w:r w:rsidR="001852A4" w:rsidRPr="007F5E52">
        <w:t>taken</w:t>
      </w:r>
      <w:r w:rsidR="001852A4">
        <w:rPr>
          <w:lang w:val="en-US"/>
        </w:rPr>
        <w:t xml:space="preserve"> pursuant to rule</w:t>
      </w:r>
      <w:r w:rsidR="00B7180C">
        <w:rPr>
          <w:lang w:val="en-US"/>
        </w:rPr>
        <w:t>s</w:t>
      </w:r>
      <w:r w:rsidR="001852A4">
        <w:rPr>
          <w:lang w:val="en-US"/>
        </w:rPr>
        <w:t xml:space="preserve"> </w:t>
      </w:r>
      <w:r w:rsidR="00E34A10">
        <w:rPr>
          <w:lang w:val="en-US"/>
        </w:rPr>
        <w:t xml:space="preserve">92 and rule </w:t>
      </w:r>
      <w:r w:rsidR="001852A4">
        <w:rPr>
          <w:lang w:val="en-US"/>
        </w:rPr>
        <w:t>97 of the Committee’s rules of procedure</w:t>
      </w:r>
      <w:r w:rsidRPr="00214E11">
        <w:rPr>
          <w:lang w:val="x-none"/>
        </w:rPr>
        <w:t xml:space="preserve">, transmitted to the State </w:t>
      </w:r>
      <w:r w:rsidRPr="00B04197">
        <w:rPr>
          <w:lang w:val="x-none"/>
        </w:rPr>
        <w:t xml:space="preserve">party on </w:t>
      </w:r>
      <w:r w:rsidR="00E34A10">
        <w:rPr>
          <w:lang w:val="en-US"/>
        </w:rPr>
        <w:t xml:space="preserve">29 September </w:t>
      </w:r>
      <w:r w:rsidRPr="00B04197">
        <w:rPr>
          <w:lang w:val="x-none"/>
        </w:rPr>
        <w:t>201</w:t>
      </w:r>
      <w:r w:rsidR="00E34A10">
        <w:rPr>
          <w:lang w:val="en-US"/>
        </w:rPr>
        <w:t>4</w:t>
      </w:r>
      <w:r w:rsidRPr="00214E11">
        <w:rPr>
          <w:lang w:val="x-none"/>
        </w:rPr>
        <w:t xml:space="preserve"> (not issued in document form)</w:t>
      </w:r>
    </w:p>
    <w:p w:rsidR="00FA222B" w:rsidRPr="00811A8A" w:rsidRDefault="00FA222B" w:rsidP="00A51905">
      <w:pPr>
        <w:pStyle w:val="SingleTxtG"/>
        <w:ind w:left="4536" w:hanging="3402"/>
        <w:jc w:val="left"/>
      </w:pPr>
      <w:r w:rsidRPr="00214E11">
        <w:rPr>
          <w:i/>
          <w:lang w:val="x-none"/>
        </w:rPr>
        <w:t>Date of adoption of Views:</w:t>
      </w:r>
      <w:r w:rsidRPr="00214E11">
        <w:rPr>
          <w:i/>
          <w:lang w:val="x-none"/>
        </w:rPr>
        <w:tab/>
      </w:r>
      <w:r w:rsidR="007A1638">
        <w:rPr>
          <w:lang w:val="en-US"/>
        </w:rPr>
        <w:t>12</w:t>
      </w:r>
      <w:r w:rsidR="00811A8A" w:rsidRPr="00811A8A">
        <w:rPr>
          <w:lang w:val="en-US"/>
        </w:rPr>
        <w:t xml:space="preserve"> </w:t>
      </w:r>
      <w:r w:rsidR="007A1638">
        <w:rPr>
          <w:lang w:val="en-US"/>
        </w:rPr>
        <w:t xml:space="preserve">July </w:t>
      </w:r>
      <w:r w:rsidRPr="00811A8A">
        <w:rPr>
          <w:lang w:val="x-none"/>
        </w:rPr>
        <w:t>201</w:t>
      </w:r>
      <w:r w:rsidR="00811A8A" w:rsidRPr="00811A8A">
        <w:rPr>
          <w:lang w:val="en-US"/>
        </w:rPr>
        <w:t>6</w:t>
      </w:r>
    </w:p>
    <w:p w:rsidR="00FA222B" w:rsidRPr="00214E11" w:rsidRDefault="00FA222B" w:rsidP="00A51905">
      <w:pPr>
        <w:pStyle w:val="SingleTxtG"/>
        <w:ind w:left="4536" w:hanging="3402"/>
        <w:jc w:val="left"/>
        <w:rPr>
          <w:i/>
          <w:lang w:val="x-none"/>
        </w:rPr>
      </w:pPr>
      <w:r w:rsidRPr="00214E11">
        <w:rPr>
          <w:i/>
          <w:lang w:val="x-none"/>
        </w:rPr>
        <w:t>Subject matter:</w:t>
      </w:r>
      <w:r w:rsidRPr="00214E11">
        <w:rPr>
          <w:i/>
          <w:lang w:val="x-none"/>
        </w:rPr>
        <w:tab/>
      </w:r>
      <w:r w:rsidR="00106A6F">
        <w:rPr>
          <w:lang w:val="en-US"/>
        </w:rPr>
        <w:t>Deportation to Bangladesh</w:t>
      </w:r>
    </w:p>
    <w:p w:rsidR="00FA222B" w:rsidRPr="009126D8" w:rsidRDefault="00FA222B" w:rsidP="00A51905">
      <w:pPr>
        <w:pStyle w:val="SingleTxtG"/>
        <w:ind w:left="4536" w:hanging="3402"/>
        <w:jc w:val="left"/>
        <w:rPr>
          <w:lang w:val="x-none"/>
        </w:rPr>
      </w:pPr>
      <w:r w:rsidRPr="00214E11">
        <w:rPr>
          <w:i/>
          <w:lang w:val="x-none"/>
        </w:rPr>
        <w:t xml:space="preserve">Procedural issue: </w:t>
      </w:r>
      <w:r w:rsidRPr="00214E11">
        <w:rPr>
          <w:i/>
          <w:lang w:val="x-none"/>
        </w:rPr>
        <w:tab/>
      </w:r>
      <w:r w:rsidR="00106A6F">
        <w:rPr>
          <w:lang w:val="en-US"/>
        </w:rPr>
        <w:t>Level of substantiation of claims</w:t>
      </w:r>
      <w:r w:rsidR="00C95953">
        <w:rPr>
          <w:lang w:val="en-US"/>
        </w:rPr>
        <w:t xml:space="preserve"> </w:t>
      </w:r>
    </w:p>
    <w:p w:rsidR="00E6182F" w:rsidRDefault="00FA222B" w:rsidP="00A51905">
      <w:pPr>
        <w:pStyle w:val="SingleTxtG"/>
        <w:ind w:left="4536" w:hanging="3402"/>
        <w:jc w:val="left"/>
      </w:pPr>
      <w:r w:rsidRPr="00214E11">
        <w:rPr>
          <w:i/>
          <w:lang w:val="x-none"/>
        </w:rPr>
        <w:t xml:space="preserve">Substantive issues: </w:t>
      </w:r>
      <w:r w:rsidRPr="00214E11">
        <w:rPr>
          <w:i/>
          <w:lang w:val="x-none"/>
        </w:rPr>
        <w:tab/>
      </w:r>
      <w:r w:rsidR="00386D23" w:rsidRPr="00386D23">
        <w:t>R</w:t>
      </w:r>
      <w:r w:rsidR="00106A6F">
        <w:rPr>
          <w:lang w:val="en-US"/>
        </w:rPr>
        <w:t>isk of torture and ill-treatment</w:t>
      </w:r>
      <w:r w:rsidR="00DB7AC2">
        <w:t xml:space="preserve"> </w:t>
      </w:r>
    </w:p>
    <w:p w:rsidR="00FA222B" w:rsidRPr="00214E11" w:rsidRDefault="00FA222B" w:rsidP="00A51905">
      <w:pPr>
        <w:pStyle w:val="SingleTxtG"/>
        <w:ind w:left="4536" w:hanging="3402"/>
        <w:jc w:val="left"/>
        <w:rPr>
          <w:i/>
          <w:lang w:val="x-none"/>
        </w:rPr>
      </w:pPr>
      <w:r w:rsidRPr="00214E11">
        <w:rPr>
          <w:i/>
          <w:lang w:val="x-none"/>
        </w:rPr>
        <w:t>Article</w:t>
      </w:r>
      <w:r w:rsidR="000F3D82">
        <w:rPr>
          <w:i/>
          <w:lang w:val="en-US"/>
        </w:rPr>
        <w:t>s</w:t>
      </w:r>
      <w:r w:rsidRPr="00214E11">
        <w:rPr>
          <w:i/>
          <w:lang w:val="x-none"/>
        </w:rPr>
        <w:t xml:space="preserve"> of the Covenant:</w:t>
      </w:r>
      <w:r w:rsidRPr="00214E11">
        <w:rPr>
          <w:i/>
          <w:lang w:val="x-none"/>
        </w:rPr>
        <w:tab/>
      </w:r>
      <w:r w:rsidR="0047148C" w:rsidRPr="00014BC3">
        <w:rPr>
          <w:lang w:val="x-none"/>
        </w:rPr>
        <w:t>7</w:t>
      </w:r>
    </w:p>
    <w:p w:rsidR="00D55A86" w:rsidRDefault="00FA222B" w:rsidP="00A51905">
      <w:pPr>
        <w:pStyle w:val="SingleTxtG"/>
        <w:ind w:left="4536" w:hanging="3402"/>
        <w:jc w:val="left"/>
      </w:pPr>
      <w:r w:rsidRPr="00214E11">
        <w:rPr>
          <w:i/>
          <w:lang w:val="x-none"/>
        </w:rPr>
        <w:t>Articles of the Optional Protocol:</w:t>
      </w:r>
      <w:r w:rsidR="003F3B71" w:rsidRPr="00214E11">
        <w:rPr>
          <w:i/>
        </w:rPr>
        <w:tab/>
      </w:r>
      <w:r w:rsidR="00106A6F">
        <w:t xml:space="preserve">2 and </w:t>
      </w:r>
      <w:r w:rsidR="0062240A" w:rsidRPr="009126D8">
        <w:t>5</w:t>
      </w:r>
      <w:r w:rsidR="00811A8A">
        <w:t xml:space="preserve"> </w:t>
      </w:r>
      <w:r w:rsidR="0062240A" w:rsidRPr="009126D8">
        <w:t>(2)</w:t>
      </w:r>
      <w:r w:rsidR="00811A8A">
        <w:t xml:space="preserve"> </w:t>
      </w:r>
      <w:r w:rsidR="0062240A" w:rsidRPr="009126D8">
        <w:t>(</w:t>
      </w:r>
      <w:r w:rsidR="008068E7">
        <w:t>b</w:t>
      </w:r>
      <w:r w:rsidR="0062240A" w:rsidRPr="009126D8">
        <w:t>)</w:t>
      </w:r>
    </w:p>
    <w:p w:rsidR="00FA222B" w:rsidRPr="00214E11" w:rsidRDefault="003F3B71" w:rsidP="00A51905">
      <w:pPr>
        <w:pStyle w:val="SingleTxtG"/>
        <w:spacing w:before="240"/>
      </w:pPr>
      <w:r w:rsidRPr="00214E11">
        <w:t>1.1</w:t>
      </w:r>
      <w:r w:rsidRPr="00214E11">
        <w:tab/>
      </w:r>
      <w:r w:rsidR="00FA222B" w:rsidRPr="00214E11">
        <w:t xml:space="preserve">The author </w:t>
      </w:r>
      <w:r w:rsidR="00811A8A">
        <w:t xml:space="preserve">of the communication </w:t>
      </w:r>
      <w:r w:rsidR="00FA222B" w:rsidRPr="00214E11">
        <w:t xml:space="preserve">is </w:t>
      </w:r>
      <w:r w:rsidR="00EB0E34">
        <w:t>M.K.H.</w:t>
      </w:r>
      <w:r w:rsidR="0097661B">
        <w:t>,</w:t>
      </w:r>
      <w:r w:rsidR="0097661B">
        <w:rPr>
          <w:rStyle w:val="FootnoteReference"/>
        </w:rPr>
        <w:footnoteReference w:id="4"/>
      </w:r>
      <w:r w:rsidR="0097661B">
        <w:t xml:space="preserve"> </w:t>
      </w:r>
      <w:r w:rsidR="00FA222B" w:rsidRPr="00214E11">
        <w:t xml:space="preserve">a </w:t>
      </w:r>
      <w:r w:rsidR="00811A8A">
        <w:t xml:space="preserve">national of </w:t>
      </w:r>
      <w:r w:rsidR="004E76DF">
        <w:t>Bangladesh</w:t>
      </w:r>
      <w:r w:rsidR="00FA222B" w:rsidRPr="00214E11">
        <w:t xml:space="preserve">, </w:t>
      </w:r>
      <w:r w:rsidR="000F307A">
        <w:t>of Bengal ethnicity</w:t>
      </w:r>
      <w:r w:rsidR="00BB303F">
        <w:t xml:space="preserve"> and a Muslim</w:t>
      </w:r>
      <w:r w:rsidR="000F307A">
        <w:t xml:space="preserve">, </w:t>
      </w:r>
      <w:r w:rsidR="001C0099">
        <w:t xml:space="preserve">allegedly </w:t>
      </w:r>
      <w:r w:rsidR="00FA222B" w:rsidRPr="00214E11">
        <w:t xml:space="preserve">born </w:t>
      </w:r>
      <w:r w:rsidR="00811A8A">
        <w:t>o</w:t>
      </w:r>
      <w:r w:rsidR="00FA222B" w:rsidRPr="00214E11">
        <w:t>n</w:t>
      </w:r>
      <w:r w:rsidR="00811A8A">
        <w:t xml:space="preserve"> </w:t>
      </w:r>
      <w:r w:rsidR="004E76DF">
        <w:t>21 December 1994</w:t>
      </w:r>
      <w:r w:rsidR="008F7D14">
        <w:t xml:space="preserve">. He is </w:t>
      </w:r>
      <w:r w:rsidR="004E76DF">
        <w:t xml:space="preserve">a failed asylum seeker in Denmark and faces deportation. He claims </w:t>
      </w:r>
      <w:r w:rsidR="008723BE">
        <w:t>that</w:t>
      </w:r>
      <w:r w:rsidR="00386D23">
        <w:t xml:space="preserve"> in case of return to Bangladesh,</w:t>
      </w:r>
      <w:r w:rsidR="008723BE">
        <w:t xml:space="preserve"> he would </w:t>
      </w:r>
      <w:r w:rsidR="008723BE">
        <w:lastRenderedPageBreak/>
        <w:t xml:space="preserve">be a victim of a violation by Denmark of his rights under article 7 of the </w:t>
      </w:r>
      <w:r w:rsidR="00FA222B" w:rsidRPr="00214E11">
        <w:t>Covenant</w:t>
      </w:r>
      <w:r w:rsidR="008723BE">
        <w:t xml:space="preserve">. </w:t>
      </w:r>
      <w:r w:rsidR="00386D23">
        <w:t>The police have contacted him several times</w:t>
      </w:r>
      <w:r w:rsidR="008723BE">
        <w:t xml:space="preserve"> and requested</w:t>
      </w:r>
      <w:r w:rsidR="00386D23">
        <w:t xml:space="preserve"> hi</w:t>
      </w:r>
      <w:r w:rsidR="00771483">
        <w:t>s cooperation</w:t>
      </w:r>
      <w:r w:rsidR="00386D23">
        <w:t xml:space="preserve"> </w:t>
      </w:r>
      <w:r w:rsidR="008F7D14">
        <w:t xml:space="preserve">to </w:t>
      </w:r>
      <w:r w:rsidR="008723BE">
        <w:t>facilitate his return.</w:t>
      </w:r>
      <w:r w:rsidR="00EF1201">
        <w:rPr>
          <w:rStyle w:val="FootnoteReference"/>
        </w:rPr>
        <w:footnoteReference w:id="5"/>
      </w:r>
      <w:r w:rsidR="008723BE">
        <w:t xml:space="preserve"> The risk of the author’s </w:t>
      </w:r>
      <w:r w:rsidR="00A422CC">
        <w:t xml:space="preserve">deportation </w:t>
      </w:r>
      <w:r w:rsidR="008723BE">
        <w:t>was imminent at the time of submission of the initial communication</w:t>
      </w:r>
      <w:r w:rsidR="00EF1201">
        <w:t>.</w:t>
      </w:r>
      <w:r w:rsidR="00EF1201">
        <w:rPr>
          <w:rStyle w:val="FootnoteReference"/>
        </w:rPr>
        <w:footnoteReference w:id="6"/>
      </w:r>
      <w:r w:rsidR="003075B4">
        <w:t xml:space="preserve"> </w:t>
      </w:r>
      <w:r w:rsidR="00FA222B" w:rsidRPr="00214E11">
        <w:t xml:space="preserve">The Optional Protocol entered into force for </w:t>
      </w:r>
      <w:r w:rsidR="008723BE">
        <w:t xml:space="preserve">Denmark </w:t>
      </w:r>
      <w:r w:rsidR="00FA222B" w:rsidRPr="00214E11">
        <w:t xml:space="preserve">on </w:t>
      </w:r>
      <w:r w:rsidR="008F7D14" w:rsidRPr="008F7D14">
        <w:t xml:space="preserve">23 March </w:t>
      </w:r>
      <w:r w:rsidR="00FA222B" w:rsidRPr="008F7D14">
        <w:t>19</w:t>
      </w:r>
      <w:r w:rsidR="008F7D14" w:rsidRPr="008F7D14">
        <w:t>76</w:t>
      </w:r>
      <w:r w:rsidR="00FA222B" w:rsidRPr="008F7D14">
        <w:t>.</w:t>
      </w:r>
      <w:r w:rsidR="008F7D14">
        <w:t xml:space="preserve"> </w:t>
      </w:r>
      <w:r w:rsidR="00FA222B" w:rsidRPr="00214E11">
        <w:t>The author is represented by counsel</w:t>
      </w:r>
      <w:r w:rsidR="002F50C7" w:rsidRPr="00214E11">
        <w:t xml:space="preserve">, </w:t>
      </w:r>
      <w:r w:rsidR="008723BE" w:rsidRPr="008723BE">
        <w:t>Helle Holm Thomsen</w:t>
      </w:r>
      <w:r w:rsidR="00FA222B" w:rsidRPr="00214E11">
        <w:t xml:space="preserve">. </w:t>
      </w:r>
    </w:p>
    <w:p w:rsidR="00FA222B" w:rsidRPr="00214E11" w:rsidRDefault="003F3B71" w:rsidP="007F5E52">
      <w:pPr>
        <w:pStyle w:val="SingleTxtG"/>
      </w:pPr>
      <w:r w:rsidRPr="00214E11">
        <w:t>1.2</w:t>
      </w:r>
      <w:r w:rsidRPr="00214E11">
        <w:tab/>
      </w:r>
      <w:r w:rsidR="00690CA0">
        <w:t>When registering the</w:t>
      </w:r>
      <w:r w:rsidR="002F3AA4">
        <w:t xml:space="preserve"> communication</w:t>
      </w:r>
      <w:r w:rsidR="00DA41E6">
        <w:t xml:space="preserve"> </w:t>
      </w:r>
      <w:r w:rsidR="002F3AA4">
        <w:t xml:space="preserve">on 29 </w:t>
      </w:r>
      <w:r w:rsidR="008F6B09" w:rsidRPr="008F6B09">
        <w:t>September 201</w:t>
      </w:r>
      <w:r w:rsidR="00897526">
        <w:t>4</w:t>
      </w:r>
      <w:r w:rsidR="00690CA0">
        <w:t xml:space="preserve">, </w:t>
      </w:r>
      <w:r w:rsidR="002F3AA4">
        <w:t xml:space="preserve">the Committee, acting through its Special Rapporteur on </w:t>
      </w:r>
      <w:r w:rsidR="00771483">
        <w:t xml:space="preserve">new communications and interim measures </w:t>
      </w:r>
      <w:r w:rsidR="00690CA0">
        <w:t xml:space="preserve">pursuant to rule 92 of its rules of procedure, </w:t>
      </w:r>
      <w:r w:rsidR="002F3AA4">
        <w:t xml:space="preserve">requested the </w:t>
      </w:r>
      <w:r w:rsidR="008F6B09">
        <w:t xml:space="preserve">State party </w:t>
      </w:r>
      <w:r w:rsidR="002F3AA4">
        <w:t xml:space="preserve">to refrain from deporting the author </w:t>
      </w:r>
      <w:r w:rsidR="00897526">
        <w:t>to Bangladesh</w:t>
      </w:r>
      <w:r w:rsidR="00276168">
        <w:t xml:space="preserve">, </w:t>
      </w:r>
      <w:r w:rsidR="002F3AA4" w:rsidRPr="002F3AA4">
        <w:t xml:space="preserve">while his case </w:t>
      </w:r>
      <w:r w:rsidR="00771483">
        <w:t>wa</w:t>
      </w:r>
      <w:r w:rsidR="002F3AA4" w:rsidRPr="002F3AA4">
        <w:t>s under consideration by the Committee</w:t>
      </w:r>
      <w:r w:rsidR="002F3AA4">
        <w:t xml:space="preserve">. </w:t>
      </w:r>
      <w:r w:rsidR="00897526">
        <w:t xml:space="preserve">The Committee </w:t>
      </w:r>
      <w:r w:rsidR="00A422CC">
        <w:t xml:space="preserve">also indicated </w:t>
      </w:r>
      <w:r w:rsidR="00897526">
        <w:t>that it might review the necessity of maintaining th</w:t>
      </w:r>
      <w:r w:rsidR="00690CA0">
        <w:t>is</w:t>
      </w:r>
      <w:r w:rsidR="00897526">
        <w:t xml:space="preserve"> request </w:t>
      </w:r>
      <w:r w:rsidR="002918A8">
        <w:t xml:space="preserve">upon receipt of </w:t>
      </w:r>
      <w:r w:rsidR="00897526">
        <w:t xml:space="preserve">the State party’s </w:t>
      </w:r>
      <w:r w:rsidR="002918A8">
        <w:t>observations</w:t>
      </w:r>
      <w:r w:rsidR="00897526">
        <w:t>.</w:t>
      </w:r>
      <w:r w:rsidR="00DE40B6">
        <w:t xml:space="preserve"> On </w:t>
      </w:r>
      <w:r w:rsidR="00B24C6B">
        <w:t xml:space="preserve">29 September </w:t>
      </w:r>
      <w:r w:rsidR="00DE40B6">
        <w:t xml:space="preserve">2014, the Refugee Appeals Board suspended the time limit for the author’s departure from Denmark until further notice in accordance with the Committee’s request. </w:t>
      </w:r>
      <w:r w:rsidR="00A422CC">
        <w:t xml:space="preserve">On 30 March 2015, </w:t>
      </w:r>
      <w:r w:rsidR="00B24C6B">
        <w:t>the State party requested that the Committee review its request for interim measures in the present case.</w:t>
      </w:r>
      <w:r w:rsidR="00973728">
        <w:t xml:space="preserve"> On 4 June 2015, the Committee, acting through </w:t>
      </w:r>
      <w:r w:rsidR="00A97C12">
        <w:t>the</w:t>
      </w:r>
      <w:r w:rsidR="00A422CC">
        <w:t xml:space="preserve"> </w:t>
      </w:r>
      <w:r w:rsidR="00973728">
        <w:t xml:space="preserve">Special Rapporteur decided to deny the request to lift interim measures. </w:t>
      </w:r>
      <w:r w:rsidR="00A422CC" w:rsidRPr="00A422CC">
        <w:t xml:space="preserve">On </w:t>
      </w:r>
      <w:r w:rsidR="00A422CC">
        <w:t xml:space="preserve">26 February </w:t>
      </w:r>
      <w:r w:rsidR="00A422CC" w:rsidRPr="00A422CC">
        <w:t>201</w:t>
      </w:r>
      <w:r w:rsidR="00A422CC">
        <w:t>6</w:t>
      </w:r>
      <w:r w:rsidR="00A422CC" w:rsidRPr="00A422CC">
        <w:t xml:space="preserve">, the State party </w:t>
      </w:r>
      <w:r w:rsidR="00A422CC">
        <w:t xml:space="preserve">again </w:t>
      </w:r>
      <w:r w:rsidR="00A422CC" w:rsidRPr="00A422CC">
        <w:t>requested that the Committee review i</w:t>
      </w:r>
      <w:r w:rsidR="00A422CC">
        <w:t xml:space="preserve">ts request for interim measures. </w:t>
      </w:r>
      <w:r w:rsidR="00CF166B">
        <w:t xml:space="preserve">On </w:t>
      </w:r>
      <w:r w:rsidR="00A422CC">
        <w:t xml:space="preserve">the same date, </w:t>
      </w:r>
      <w:r w:rsidR="00CF166B">
        <w:t>the Committee, acting through the Special Rapporteur</w:t>
      </w:r>
      <w:r w:rsidR="00A97C12">
        <w:t>,</w:t>
      </w:r>
      <w:r w:rsidR="00CF166B">
        <w:t xml:space="preserve"> </w:t>
      </w:r>
      <w:r w:rsidR="002918A8">
        <w:t>rejected th</w:t>
      </w:r>
      <w:r w:rsidR="00771483">
        <w:t>e</w:t>
      </w:r>
      <w:r w:rsidR="002918A8">
        <w:t xml:space="preserve"> new request</w:t>
      </w:r>
      <w:r w:rsidR="00CF166B">
        <w:t>.</w:t>
      </w:r>
    </w:p>
    <w:p w:rsidR="00FA222B" w:rsidRPr="00214E11" w:rsidRDefault="00FA222B" w:rsidP="003F3B71">
      <w:pPr>
        <w:pStyle w:val="H23G"/>
      </w:pPr>
      <w:r w:rsidRPr="00214E11">
        <w:tab/>
      </w:r>
      <w:r w:rsidR="003F3B71" w:rsidRPr="00214E11">
        <w:tab/>
      </w:r>
      <w:r w:rsidRPr="00214E11">
        <w:t xml:space="preserve">The facts as </w:t>
      </w:r>
      <w:r w:rsidR="00771483">
        <w:t>submitted</w:t>
      </w:r>
      <w:r w:rsidR="00771483" w:rsidRPr="00214E11">
        <w:t xml:space="preserve"> </w:t>
      </w:r>
      <w:r w:rsidRPr="00214E11">
        <w:t>by the author</w:t>
      </w:r>
    </w:p>
    <w:p w:rsidR="003137EC" w:rsidRDefault="003F3B71" w:rsidP="003137EC">
      <w:pPr>
        <w:pStyle w:val="SingleTxtG"/>
      </w:pPr>
      <w:r w:rsidRPr="00214E11">
        <w:t>2.1</w:t>
      </w:r>
      <w:r w:rsidRPr="00214E11">
        <w:tab/>
      </w:r>
      <w:r w:rsidR="003137EC">
        <w:t xml:space="preserve">From July 2010 </w:t>
      </w:r>
      <w:r w:rsidR="00690CA0">
        <w:t>to</w:t>
      </w:r>
      <w:r w:rsidR="003137EC">
        <w:t xml:space="preserve"> July 2011, </w:t>
      </w:r>
      <w:r w:rsidR="00E215AA">
        <w:t xml:space="preserve">the author </w:t>
      </w:r>
      <w:r w:rsidR="003137EC">
        <w:t xml:space="preserve">maintained </w:t>
      </w:r>
      <w:r w:rsidR="00CA0B3F">
        <w:t xml:space="preserve">a </w:t>
      </w:r>
      <w:r w:rsidR="003137EC">
        <w:t xml:space="preserve">homosexual relationship with </w:t>
      </w:r>
      <w:r w:rsidR="00690CA0">
        <w:t>a</w:t>
      </w:r>
      <w:r w:rsidR="003137EC">
        <w:t xml:space="preserve"> </w:t>
      </w:r>
      <w:r w:rsidR="00D12571">
        <w:t xml:space="preserve">childhood </w:t>
      </w:r>
      <w:r w:rsidR="003137EC">
        <w:t>friend. They were caught one evening at a rice field</w:t>
      </w:r>
      <w:r w:rsidR="00CA0B3F">
        <w:t>,</w:t>
      </w:r>
      <w:r w:rsidR="00D12571">
        <w:t xml:space="preserve"> following which they were </w:t>
      </w:r>
      <w:r w:rsidR="005D2B5E">
        <w:t xml:space="preserve">brought to a village council where they were </w:t>
      </w:r>
      <w:r w:rsidR="00D12571">
        <w:t>beaten and tortured</w:t>
      </w:r>
      <w:r w:rsidR="005D2B5E">
        <w:t>, including by being hung from a tree, having hot water pou</w:t>
      </w:r>
      <w:r w:rsidR="00CD606E">
        <w:t>r</w:t>
      </w:r>
      <w:r w:rsidR="005D2B5E">
        <w:t xml:space="preserve">ed over them and being beaten </w:t>
      </w:r>
      <w:r w:rsidR="00A97C12">
        <w:t xml:space="preserve">on </w:t>
      </w:r>
      <w:r w:rsidR="005D2B5E">
        <w:t>the soles of their feet</w:t>
      </w:r>
      <w:r w:rsidR="003137EC">
        <w:t>.</w:t>
      </w:r>
      <w:r w:rsidR="005D2B5E">
        <w:rPr>
          <w:rStyle w:val="FootnoteReference"/>
        </w:rPr>
        <w:footnoteReference w:id="7"/>
      </w:r>
      <w:r w:rsidR="003137EC">
        <w:t xml:space="preserve"> </w:t>
      </w:r>
      <w:r w:rsidR="00E215AA">
        <w:t xml:space="preserve">The author </w:t>
      </w:r>
      <w:r w:rsidR="005B2969">
        <w:t xml:space="preserve">was </w:t>
      </w:r>
      <w:r w:rsidR="003137EC">
        <w:t>expelled from his family and village</w:t>
      </w:r>
      <w:r w:rsidR="0029336A">
        <w:t xml:space="preserve"> </w:t>
      </w:r>
      <w:r w:rsidR="003137EC">
        <w:t xml:space="preserve">and </w:t>
      </w:r>
      <w:r w:rsidR="005B2969">
        <w:t xml:space="preserve">was </w:t>
      </w:r>
      <w:r w:rsidR="003137EC">
        <w:t xml:space="preserve">threatened </w:t>
      </w:r>
      <w:r w:rsidR="00CA0B3F">
        <w:t>with death</w:t>
      </w:r>
      <w:r w:rsidR="0029336A">
        <w:t xml:space="preserve"> </w:t>
      </w:r>
      <w:r w:rsidR="00CA0B3F">
        <w:t>if he</w:t>
      </w:r>
      <w:r w:rsidR="00D12571">
        <w:t xml:space="preserve"> </w:t>
      </w:r>
      <w:r w:rsidR="003137EC">
        <w:t>return</w:t>
      </w:r>
      <w:r w:rsidR="00CA0B3F">
        <w:t>ed.</w:t>
      </w:r>
      <w:r w:rsidR="003137EC">
        <w:t xml:space="preserve"> He </w:t>
      </w:r>
      <w:r w:rsidR="00CA0B3F">
        <w:t xml:space="preserve">first went </w:t>
      </w:r>
      <w:r w:rsidR="003137EC">
        <w:t xml:space="preserve">to Rangpur, </w:t>
      </w:r>
      <w:r w:rsidR="00D12571">
        <w:t xml:space="preserve">where he was recognized by one of the villagers. He </w:t>
      </w:r>
      <w:r w:rsidR="00E215AA">
        <w:t xml:space="preserve">then </w:t>
      </w:r>
      <w:r w:rsidR="00D12571">
        <w:t xml:space="preserve">went </w:t>
      </w:r>
      <w:r w:rsidR="003137EC">
        <w:t xml:space="preserve">to Dhaka and </w:t>
      </w:r>
      <w:r w:rsidR="00E215AA">
        <w:t xml:space="preserve">on 5 January 2012, he </w:t>
      </w:r>
      <w:r w:rsidR="00D12571">
        <w:t xml:space="preserve">moved </w:t>
      </w:r>
      <w:r w:rsidR="003137EC">
        <w:t>to India</w:t>
      </w:r>
      <w:r w:rsidR="00CA0B3F">
        <w:t>,</w:t>
      </w:r>
      <w:r w:rsidR="003137EC">
        <w:t xml:space="preserve"> from where he left </w:t>
      </w:r>
      <w:r w:rsidR="00D12571">
        <w:t xml:space="preserve">for </w:t>
      </w:r>
      <w:r w:rsidR="003137EC">
        <w:t xml:space="preserve">Europe. On 3 February 2012, </w:t>
      </w:r>
      <w:r w:rsidR="00E215AA">
        <w:t xml:space="preserve">the author </w:t>
      </w:r>
      <w:r w:rsidR="003137EC">
        <w:t>arrived in Denmark</w:t>
      </w:r>
      <w:r w:rsidR="007077A4">
        <w:t xml:space="preserve"> without valid travel documents and applied for asylum</w:t>
      </w:r>
      <w:r w:rsidR="007D2578">
        <w:t>.</w:t>
      </w:r>
    </w:p>
    <w:p w:rsidR="003137EC" w:rsidRDefault="003137EC" w:rsidP="003137EC">
      <w:pPr>
        <w:pStyle w:val="SingleTxtG"/>
      </w:pPr>
      <w:r>
        <w:t>2.2</w:t>
      </w:r>
      <w:r>
        <w:tab/>
      </w:r>
      <w:r w:rsidR="00931D25">
        <w:t xml:space="preserve">On 15 February 2012, the police </w:t>
      </w:r>
      <w:r w:rsidR="00E215AA">
        <w:t xml:space="preserve">interrogated the author </w:t>
      </w:r>
      <w:r w:rsidR="00931D25">
        <w:t xml:space="preserve">about his identity and travel route. He explained that he </w:t>
      </w:r>
      <w:r w:rsidR="00DF6DEC">
        <w:t xml:space="preserve">had been </w:t>
      </w:r>
      <w:r w:rsidR="00931D25">
        <w:t xml:space="preserve">born on 21 December 1994 in Rangalibosh in the Nagashre region and that he went to school until </w:t>
      </w:r>
      <w:r w:rsidR="00A8602C">
        <w:t xml:space="preserve">the </w:t>
      </w:r>
      <w:r w:rsidR="00DF6DEC">
        <w:t>nin</w:t>
      </w:r>
      <w:r w:rsidR="00931D25" w:rsidRPr="009A5BE4">
        <w:t>th</w:t>
      </w:r>
      <w:r w:rsidR="00931D25">
        <w:t xml:space="preserve"> grade but did not finish it </w:t>
      </w:r>
      <w:r w:rsidR="00DF6DEC">
        <w:t xml:space="preserve">owing </w:t>
      </w:r>
      <w:r w:rsidR="00931D25">
        <w:t xml:space="preserve">to personal circumstances. </w:t>
      </w:r>
      <w:r>
        <w:t>On 17 February 2012, the author submitted a request for asylum in Denmark</w:t>
      </w:r>
      <w:r w:rsidR="00E215AA">
        <w:t>, alleging that</w:t>
      </w:r>
      <w:r w:rsidR="003E4E11">
        <w:t xml:space="preserve"> he had left his home country </w:t>
      </w:r>
      <w:r w:rsidR="00AF0154">
        <w:t xml:space="preserve">because </w:t>
      </w:r>
      <w:r w:rsidR="003A2AF4">
        <w:t>citizens in his village ha</w:t>
      </w:r>
      <w:r w:rsidR="00E215AA">
        <w:t>d</w:t>
      </w:r>
      <w:r w:rsidR="003A2AF4">
        <w:t xml:space="preserve"> found out that he </w:t>
      </w:r>
      <w:r w:rsidR="00DF6DEC">
        <w:t>wa</w:t>
      </w:r>
      <w:r w:rsidR="003A2AF4">
        <w:t>s a homosexual and he fear</w:t>
      </w:r>
      <w:r w:rsidR="00DF6DEC">
        <w:t>ed</w:t>
      </w:r>
      <w:r w:rsidR="003A2AF4">
        <w:t xml:space="preserve"> </w:t>
      </w:r>
      <w:r w:rsidR="00DF6DEC">
        <w:t>for his life if he</w:t>
      </w:r>
      <w:r w:rsidR="00AF0154">
        <w:t xml:space="preserve"> return</w:t>
      </w:r>
      <w:r w:rsidR="00DF6DEC">
        <w:t>ed</w:t>
      </w:r>
      <w:r w:rsidR="00AF0154">
        <w:t xml:space="preserve"> to Bangladesh</w:t>
      </w:r>
      <w:r w:rsidR="003E4E11">
        <w:t xml:space="preserve">. </w:t>
      </w:r>
      <w:r w:rsidR="003A2AF4">
        <w:t xml:space="preserve">The author has not been a member of any political or religious association or organization, nor has he been politically active in any other way. </w:t>
      </w:r>
      <w:r w:rsidR="003E4E11">
        <w:t xml:space="preserve">He was considered to be </w:t>
      </w:r>
      <w:r w:rsidR="00DF6DEC">
        <w:t xml:space="preserve">older </w:t>
      </w:r>
      <w:r w:rsidR="003E4E11">
        <w:t xml:space="preserve">than 18 </w:t>
      </w:r>
      <w:r w:rsidR="005B2969">
        <w:t xml:space="preserve">by the </w:t>
      </w:r>
      <w:r w:rsidR="002C5F91">
        <w:t xml:space="preserve">police </w:t>
      </w:r>
      <w:r w:rsidR="00AF0154">
        <w:t xml:space="preserve">because of </w:t>
      </w:r>
      <w:r w:rsidR="003E4E11">
        <w:t xml:space="preserve">his </w:t>
      </w:r>
      <w:r w:rsidR="00AF0154">
        <w:t xml:space="preserve">physical </w:t>
      </w:r>
      <w:r w:rsidR="003E4E11">
        <w:t xml:space="preserve">appearance, even though he claimed he was a minor. </w:t>
      </w:r>
      <w:r>
        <w:t xml:space="preserve">On 7 March 2012, the </w:t>
      </w:r>
      <w:r w:rsidR="002C5F91" w:rsidRPr="00CC3014">
        <w:t>Section of Forensic Pathology</w:t>
      </w:r>
      <w:r w:rsidR="00BA2FDB">
        <w:t xml:space="preserve"> </w:t>
      </w:r>
      <w:r w:rsidR="00CC3014">
        <w:t xml:space="preserve">of the Danish National Police </w:t>
      </w:r>
      <w:r w:rsidR="002C5F91">
        <w:t xml:space="preserve">carried out an </w:t>
      </w:r>
      <w:r w:rsidR="00BA2FDB">
        <w:t>examin</w:t>
      </w:r>
      <w:r w:rsidR="002C5F91">
        <w:t>ation</w:t>
      </w:r>
      <w:r w:rsidR="00BA2FDB">
        <w:t xml:space="preserve"> to determine</w:t>
      </w:r>
      <w:r w:rsidR="00D12571">
        <w:t xml:space="preserve"> his age</w:t>
      </w:r>
      <w:r>
        <w:t xml:space="preserve">. He was </w:t>
      </w:r>
      <w:r w:rsidR="00DF6DEC">
        <w:t xml:space="preserve">estimated </w:t>
      </w:r>
      <w:r>
        <w:t xml:space="preserve">to be 19 years old or more. </w:t>
      </w:r>
      <w:r w:rsidR="00CC3014">
        <w:t>However, t</w:t>
      </w:r>
      <w:r w:rsidR="002C5F91">
        <w:t xml:space="preserve">he Section considered that </w:t>
      </w:r>
      <w:r w:rsidR="0036493A" w:rsidRPr="00CC3014">
        <w:t>“</w:t>
      </w:r>
      <w:r w:rsidR="00DF6DEC" w:rsidRPr="00A51905">
        <w:t xml:space="preserve">a </w:t>
      </w:r>
      <w:r w:rsidR="002C5F91" w:rsidRPr="00CC3014">
        <w:t>certain probability exist</w:t>
      </w:r>
      <w:r w:rsidR="00CC3014">
        <w:t>ed</w:t>
      </w:r>
      <w:r w:rsidR="0036493A" w:rsidRPr="00CC3014">
        <w:t>”</w:t>
      </w:r>
      <w:r w:rsidR="002C5F91">
        <w:t xml:space="preserve"> that he might be as young as 17</w:t>
      </w:r>
      <w:r w:rsidR="00CC3014">
        <w:t>.</w:t>
      </w:r>
      <w:r w:rsidR="002C5F91">
        <w:rPr>
          <w:rStyle w:val="FootnoteReference"/>
        </w:rPr>
        <w:footnoteReference w:id="8"/>
      </w:r>
      <w:r w:rsidR="002C5F91">
        <w:t xml:space="preserve"> </w:t>
      </w:r>
      <w:r>
        <w:t xml:space="preserve">On 11 April 2012, </w:t>
      </w:r>
      <w:r w:rsidR="0036493A">
        <w:t xml:space="preserve">the author </w:t>
      </w:r>
      <w:r>
        <w:t xml:space="preserve">was confronted </w:t>
      </w:r>
      <w:r w:rsidR="0043268C">
        <w:t xml:space="preserve">by the </w:t>
      </w:r>
      <w:r>
        <w:t>police</w:t>
      </w:r>
      <w:r w:rsidR="00BA2FDB">
        <w:t xml:space="preserve">. He </w:t>
      </w:r>
      <w:r>
        <w:t xml:space="preserve">maintained his explanation with respect to his age </w:t>
      </w:r>
      <w:r w:rsidR="00BA2FDB">
        <w:t>on the basis of the information that he had</w:t>
      </w:r>
      <w:r w:rsidR="0036493A">
        <w:t xml:space="preserve"> always</w:t>
      </w:r>
      <w:r w:rsidR="00BA2FDB">
        <w:t xml:space="preserve"> been provided </w:t>
      </w:r>
      <w:r>
        <w:t xml:space="preserve">by his parents. </w:t>
      </w:r>
      <w:r w:rsidR="00BA2FDB">
        <w:t>O</w:t>
      </w:r>
      <w:r>
        <w:t>n 4 June 2012, the Danish Immigration Service</w:t>
      </w:r>
      <w:r w:rsidR="0043268C">
        <w:t xml:space="preserve"> decided to </w:t>
      </w:r>
      <w:r>
        <w:t>consider</w:t>
      </w:r>
      <w:r w:rsidR="0043268C">
        <w:t xml:space="preserve"> </w:t>
      </w:r>
      <w:r>
        <w:t xml:space="preserve">the author </w:t>
      </w:r>
      <w:r w:rsidR="00747744">
        <w:lastRenderedPageBreak/>
        <w:t xml:space="preserve">as </w:t>
      </w:r>
      <w:r>
        <w:t>not a minor</w:t>
      </w:r>
      <w:r w:rsidR="006F1D9F">
        <w:t xml:space="preserve">. It set his date of birth </w:t>
      </w:r>
      <w:r w:rsidR="00747744">
        <w:t xml:space="preserve">as </w:t>
      </w:r>
      <w:r w:rsidR="006F1D9F">
        <w:t xml:space="preserve">21 December 1992 </w:t>
      </w:r>
      <w:r w:rsidR="00BA2FDB">
        <w:t xml:space="preserve">and </w:t>
      </w:r>
      <w:r w:rsidR="006F1D9F">
        <w:t>amended</w:t>
      </w:r>
      <w:r w:rsidR="00BA2FDB">
        <w:t xml:space="preserve"> </w:t>
      </w:r>
      <w:r w:rsidR="006F1D9F">
        <w:t xml:space="preserve">his </w:t>
      </w:r>
      <w:r w:rsidR="00BA2FDB">
        <w:t>application</w:t>
      </w:r>
      <w:r w:rsidR="006F1D9F">
        <w:t xml:space="preserve"> accordingly.</w:t>
      </w:r>
      <w:r>
        <w:t xml:space="preserve"> </w:t>
      </w:r>
    </w:p>
    <w:p w:rsidR="00254514" w:rsidRDefault="003137EC" w:rsidP="003137EC">
      <w:pPr>
        <w:pStyle w:val="SingleTxtG"/>
      </w:pPr>
      <w:r>
        <w:t>2.3</w:t>
      </w:r>
      <w:r>
        <w:tab/>
        <w:t xml:space="preserve">On 31 July 2012, the author </w:t>
      </w:r>
      <w:r w:rsidR="006F1D9F">
        <w:t xml:space="preserve">had an interview with </w:t>
      </w:r>
      <w:r>
        <w:t xml:space="preserve">the </w:t>
      </w:r>
      <w:r w:rsidR="00747744">
        <w:t>Immigration Service</w:t>
      </w:r>
      <w:r w:rsidR="006F1D9F">
        <w:t>,</w:t>
      </w:r>
      <w:r w:rsidR="0043268C">
        <w:t xml:space="preserve"> during which </w:t>
      </w:r>
      <w:r w:rsidR="006F1D9F">
        <w:t>he</w:t>
      </w:r>
      <w:r w:rsidR="0043268C">
        <w:t xml:space="preserve"> referred to his homosexual relationship with a friend </w:t>
      </w:r>
      <w:r w:rsidR="006F1D9F">
        <w:t xml:space="preserve">and maintained that </w:t>
      </w:r>
      <w:r w:rsidR="0043268C">
        <w:t>he was 17</w:t>
      </w:r>
      <w:r w:rsidR="006F1D9F">
        <w:t xml:space="preserve"> years old</w:t>
      </w:r>
      <w:r>
        <w:t xml:space="preserve">. On 28 August 2012, the </w:t>
      </w:r>
      <w:r w:rsidR="00747744">
        <w:t xml:space="preserve">Immigration Service </w:t>
      </w:r>
      <w:r w:rsidR="006F1D9F">
        <w:t xml:space="preserve">rejected the author’s </w:t>
      </w:r>
      <w:r>
        <w:t>asylum claim as no</w:t>
      </w:r>
      <w:r w:rsidR="00747744">
        <w:t xml:space="preserve">t </w:t>
      </w:r>
      <w:r>
        <w:t xml:space="preserve">credible, </w:t>
      </w:r>
      <w:r w:rsidR="006F1D9F">
        <w:t xml:space="preserve">considering that </w:t>
      </w:r>
      <w:r w:rsidR="002C5F91">
        <w:t xml:space="preserve">several </w:t>
      </w:r>
      <w:r>
        <w:t>aspects of his explanations</w:t>
      </w:r>
      <w:r w:rsidR="006F1D9F">
        <w:t xml:space="preserve"> were</w:t>
      </w:r>
      <w:r>
        <w:t xml:space="preserve"> </w:t>
      </w:r>
      <w:r w:rsidR="006F1D9F">
        <w:t>unreliable</w:t>
      </w:r>
      <w:r>
        <w:t>. On an unspecified date, the author appealed to the Refugee Appeals Board</w:t>
      </w:r>
      <w:r w:rsidR="00747744">
        <w:t>,</w:t>
      </w:r>
      <w:r>
        <w:t xml:space="preserve"> claiming that the information </w:t>
      </w:r>
      <w:r w:rsidR="006F1D9F">
        <w:t xml:space="preserve">he had </w:t>
      </w:r>
      <w:r>
        <w:t xml:space="preserve">provided was accurate, that he was </w:t>
      </w:r>
      <w:r w:rsidR="006F1D9F">
        <w:t>at</w:t>
      </w:r>
      <w:r>
        <w:t xml:space="preserve"> risk of persecution from the local community and</w:t>
      </w:r>
      <w:r w:rsidR="006F1D9F">
        <w:t xml:space="preserve"> that he</w:t>
      </w:r>
      <w:r>
        <w:t xml:space="preserve"> would not be able to seek protection </w:t>
      </w:r>
      <w:r w:rsidR="006F1D9F">
        <w:t>in Bangladesh where homosexuality is illegal. He further submitted that</w:t>
      </w:r>
      <w:r>
        <w:t xml:space="preserve"> he could not be forced to hide his </w:t>
      </w:r>
      <w:r w:rsidR="00254514">
        <w:t>homo</w:t>
      </w:r>
      <w:r>
        <w:t>sexuality to avoid persecution</w:t>
      </w:r>
      <w:r w:rsidR="006F1D9F">
        <w:t xml:space="preserve"> and</w:t>
      </w:r>
      <w:r w:rsidR="00157DB4">
        <w:t xml:space="preserve"> that</w:t>
      </w:r>
      <w:r w:rsidR="006F1D9F">
        <w:t xml:space="preserve"> as a member of a particular social group exposed to persecution,</w:t>
      </w:r>
      <w:r w:rsidR="00157DB4">
        <w:t xml:space="preserve"> he was in need of protection</w:t>
      </w:r>
      <w:r w:rsidR="00397941">
        <w:t xml:space="preserve"> in accordance with art</w:t>
      </w:r>
      <w:r w:rsidR="0073033A">
        <w:t xml:space="preserve">icle </w:t>
      </w:r>
      <w:r w:rsidR="00397941">
        <w:t>1A</w:t>
      </w:r>
      <w:r w:rsidR="00747744">
        <w:t xml:space="preserve"> </w:t>
      </w:r>
      <w:r w:rsidR="00397941">
        <w:t>(2)</w:t>
      </w:r>
      <w:r w:rsidR="0073033A" w:rsidRPr="0073033A">
        <w:t xml:space="preserve"> </w:t>
      </w:r>
      <w:r w:rsidR="0073033A">
        <w:t xml:space="preserve">of </w:t>
      </w:r>
      <w:r w:rsidR="0073033A" w:rsidRPr="0073033A">
        <w:t xml:space="preserve">the </w:t>
      </w:r>
      <w:r w:rsidR="0073033A">
        <w:t xml:space="preserve">1951 </w:t>
      </w:r>
      <w:r w:rsidR="0073033A" w:rsidRPr="0073033A">
        <w:t>Convention relating to the Status of Refugees</w:t>
      </w:r>
      <w:r w:rsidR="00157DB4">
        <w:t xml:space="preserve">. </w:t>
      </w:r>
      <w:r>
        <w:t xml:space="preserve">On 4 December 2012, the </w:t>
      </w:r>
      <w:r w:rsidR="00747744">
        <w:t xml:space="preserve">Board </w:t>
      </w:r>
      <w:r w:rsidR="007077A4">
        <w:t xml:space="preserve">upheld the </w:t>
      </w:r>
      <w:r w:rsidR="006F1D9F">
        <w:t xml:space="preserve">rejection </w:t>
      </w:r>
      <w:r w:rsidR="007077A4">
        <w:t>of the author’s asylum appl</w:t>
      </w:r>
      <w:r w:rsidR="0029336A">
        <w:t>ication</w:t>
      </w:r>
      <w:r w:rsidR="00747744">
        <w:t>,</w:t>
      </w:r>
      <w:r w:rsidR="0029336A">
        <w:t xml:space="preserve"> finding his allegations </w:t>
      </w:r>
      <w:r w:rsidR="00747744">
        <w:t xml:space="preserve">to be not </w:t>
      </w:r>
      <w:r>
        <w:t xml:space="preserve">credible. </w:t>
      </w:r>
    </w:p>
    <w:p w:rsidR="003075B4" w:rsidRDefault="00254514" w:rsidP="003E4480">
      <w:pPr>
        <w:pStyle w:val="SingleTxtG"/>
      </w:pPr>
      <w:r>
        <w:t>2.4</w:t>
      </w:r>
      <w:r>
        <w:tab/>
      </w:r>
      <w:r w:rsidR="003137EC">
        <w:t xml:space="preserve">On 12 April 2013, the author </w:t>
      </w:r>
      <w:r w:rsidR="007077A4">
        <w:t xml:space="preserve">requested the </w:t>
      </w:r>
      <w:r w:rsidR="00747744">
        <w:t xml:space="preserve">Refugee Appeals Board </w:t>
      </w:r>
      <w:r w:rsidR="007077A4">
        <w:t xml:space="preserve">to reopen the asylum proceedings </w:t>
      </w:r>
      <w:r w:rsidR="003137EC">
        <w:t>and submitted new doc</w:t>
      </w:r>
      <w:r w:rsidR="0058458B">
        <w:t xml:space="preserve">uments </w:t>
      </w:r>
      <w:r w:rsidR="00397941">
        <w:t>in support of his claim</w:t>
      </w:r>
      <w:r w:rsidR="00C50808">
        <w:t>:</w:t>
      </w:r>
      <w:r w:rsidR="00397941">
        <w:t xml:space="preserve"> </w:t>
      </w:r>
      <w:r w:rsidR="00D312A8">
        <w:t xml:space="preserve">a newspaper article </w:t>
      </w:r>
      <w:r w:rsidR="00397941">
        <w:t xml:space="preserve">alleging that the author’s mother </w:t>
      </w:r>
      <w:r w:rsidR="00FB17C7">
        <w:t xml:space="preserve">had </w:t>
      </w:r>
      <w:r w:rsidR="00397941">
        <w:t xml:space="preserve">committed suicide </w:t>
      </w:r>
      <w:r w:rsidR="00C50808">
        <w:t xml:space="preserve">because of </w:t>
      </w:r>
      <w:r w:rsidR="00F23A99">
        <w:t xml:space="preserve">problems related to </w:t>
      </w:r>
      <w:r w:rsidR="00C50808">
        <w:t>the homosexuality of her</w:t>
      </w:r>
      <w:r w:rsidR="00397941">
        <w:t xml:space="preserve"> son</w:t>
      </w:r>
      <w:r w:rsidR="00C04F32">
        <w:rPr>
          <w:rStyle w:val="FootnoteReference"/>
        </w:rPr>
        <w:footnoteReference w:id="9"/>
      </w:r>
      <w:r w:rsidR="00820F39">
        <w:t xml:space="preserve"> </w:t>
      </w:r>
      <w:r w:rsidR="00397941">
        <w:t>and a copy of his birth cert</w:t>
      </w:r>
      <w:r w:rsidR="00FA280B">
        <w:t>ificate</w:t>
      </w:r>
      <w:r w:rsidR="00D312A8">
        <w:t xml:space="preserve">, </w:t>
      </w:r>
      <w:r w:rsidR="00C50808">
        <w:t>stating</w:t>
      </w:r>
      <w:r w:rsidR="00FA280B">
        <w:t xml:space="preserve"> </w:t>
      </w:r>
      <w:r w:rsidR="00397941">
        <w:t>that he was born on 21 December 1994</w:t>
      </w:r>
      <w:r w:rsidR="00D312A8">
        <w:t xml:space="preserve">. </w:t>
      </w:r>
      <w:r w:rsidR="00C50808">
        <w:t>In th</w:t>
      </w:r>
      <w:r w:rsidR="00747744">
        <w:t>at</w:t>
      </w:r>
      <w:r w:rsidR="00C50808">
        <w:t xml:space="preserve"> connection, the </w:t>
      </w:r>
      <w:r w:rsidR="00A81793">
        <w:t xml:space="preserve">author </w:t>
      </w:r>
      <w:r w:rsidR="00C50808">
        <w:t>submits</w:t>
      </w:r>
      <w:r w:rsidR="00A81793">
        <w:t xml:space="preserve"> that his age has not been reassessed </w:t>
      </w:r>
      <w:r w:rsidR="00747744">
        <w:t xml:space="preserve">since </w:t>
      </w:r>
      <w:r w:rsidR="00A81793">
        <w:t>the production of his birth certificate</w:t>
      </w:r>
      <w:r w:rsidR="00C50808">
        <w:t xml:space="preserve"> and</w:t>
      </w:r>
      <w:r w:rsidR="00A81793">
        <w:t xml:space="preserve"> that the </w:t>
      </w:r>
      <w:r w:rsidR="00747744">
        <w:t xml:space="preserve">Board </w:t>
      </w:r>
      <w:r w:rsidR="00A81793">
        <w:t>failed to take into account that he was a minor at</w:t>
      </w:r>
      <w:r w:rsidR="00C50808">
        <w:t xml:space="preserve"> the time of</w:t>
      </w:r>
      <w:r w:rsidR="00A81793">
        <w:t xml:space="preserve"> the initial asylum proceedings</w:t>
      </w:r>
      <w:r w:rsidR="00C50808">
        <w:t>. He further submits</w:t>
      </w:r>
      <w:r w:rsidR="00A81793">
        <w:t xml:space="preserve"> that it </w:t>
      </w:r>
      <w:r w:rsidR="00C50808">
        <w:t>is</w:t>
      </w:r>
      <w:r w:rsidR="00A81793">
        <w:t xml:space="preserve"> difficult for a minor </w:t>
      </w:r>
      <w:r w:rsidR="00C50808">
        <w:t xml:space="preserve">who </w:t>
      </w:r>
      <w:r w:rsidR="00747744">
        <w:t xml:space="preserve">has grown </w:t>
      </w:r>
      <w:r w:rsidR="00C50808">
        <w:t xml:space="preserve">up in a country in which homosexuality is linked to stigma and shame </w:t>
      </w:r>
      <w:r w:rsidR="00A81793">
        <w:t xml:space="preserve">to </w:t>
      </w:r>
      <w:r w:rsidR="00C50808">
        <w:t>talk openly and elaborate on the grounds of his asylum application when they are linked to his sexual orientation</w:t>
      </w:r>
      <w:r w:rsidR="00A81793">
        <w:t xml:space="preserve">. </w:t>
      </w:r>
      <w:r w:rsidR="003137EC">
        <w:t xml:space="preserve">On 4 March 2014, a statement from </w:t>
      </w:r>
      <w:r w:rsidR="00747744">
        <w:t xml:space="preserve">a non-governmental organization, </w:t>
      </w:r>
      <w:r w:rsidR="003137EC">
        <w:t>LGBT Asylum</w:t>
      </w:r>
      <w:r w:rsidR="00747744">
        <w:t>,</w:t>
      </w:r>
      <w:r w:rsidR="003137EC">
        <w:t xml:space="preserve"> confirmed that the author ha</w:t>
      </w:r>
      <w:r w:rsidR="00747744">
        <w:t>d</w:t>
      </w:r>
      <w:r w:rsidR="003137EC">
        <w:t xml:space="preserve"> been a member of </w:t>
      </w:r>
      <w:r w:rsidR="00747744">
        <w:t>the organization</w:t>
      </w:r>
      <w:r w:rsidR="003137EC">
        <w:t xml:space="preserve"> since October 2013 and ha</w:t>
      </w:r>
      <w:r w:rsidR="00747744">
        <w:t>d</w:t>
      </w:r>
      <w:r w:rsidR="003137EC">
        <w:t xml:space="preserve"> been </w:t>
      </w:r>
      <w:r w:rsidR="00747744">
        <w:t xml:space="preserve">taking part </w:t>
      </w:r>
      <w:r>
        <w:t xml:space="preserve">in their meetings. </w:t>
      </w:r>
      <w:r w:rsidR="003137EC">
        <w:t xml:space="preserve">On 19 September 2014, the </w:t>
      </w:r>
      <w:r w:rsidR="00FB17C7">
        <w:t xml:space="preserve">Refugee Appeals </w:t>
      </w:r>
      <w:r w:rsidR="00747744">
        <w:t xml:space="preserve">Board </w:t>
      </w:r>
      <w:r w:rsidR="003137EC">
        <w:t>confirmed its decision of 4</w:t>
      </w:r>
      <w:r w:rsidR="00187F8A">
        <w:t> </w:t>
      </w:r>
      <w:r w:rsidR="003137EC">
        <w:t>December 201</w:t>
      </w:r>
      <w:r>
        <w:t>2</w:t>
      </w:r>
      <w:r w:rsidR="003137EC">
        <w:t xml:space="preserve">, refusing to </w:t>
      </w:r>
      <w:r w:rsidR="00903000">
        <w:t>reopen the asylum proceedings</w:t>
      </w:r>
      <w:r w:rsidR="00903000" w:rsidRPr="00D06902">
        <w:t xml:space="preserve">, </w:t>
      </w:r>
      <w:r w:rsidR="006056A0" w:rsidRPr="00D06902">
        <w:t xml:space="preserve">without </w:t>
      </w:r>
      <w:r w:rsidR="003137EC" w:rsidRPr="00D06902">
        <w:t>examin</w:t>
      </w:r>
      <w:r w:rsidR="00903000" w:rsidRPr="00D06902">
        <w:t xml:space="preserve">ing </w:t>
      </w:r>
      <w:r w:rsidR="003137EC" w:rsidRPr="00D06902">
        <w:t>the new documents</w:t>
      </w:r>
      <w:r w:rsidR="00C50808" w:rsidRPr="00D06902">
        <w:t xml:space="preserve"> submitted by the author</w:t>
      </w:r>
      <w:r w:rsidR="003137EC" w:rsidRPr="00D06902">
        <w:t>.</w:t>
      </w:r>
      <w:r w:rsidR="00EF1201" w:rsidRPr="00D06902">
        <w:rPr>
          <w:rStyle w:val="FootnoteReference"/>
        </w:rPr>
        <w:footnoteReference w:id="10"/>
      </w:r>
      <w:r w:rsidR="003137EC">
        <w:t xml:space="preserve"> </w:t>
      </w:r>
      <w:r w:rsidR="003137EC" w:rsidRPr="00D06902">
        <w:t xml:space="preserve">The </w:t>
      </w:r>
      <w:r w:rsidR="00FB17C7">
        <w:t>Board</w:t>
      </w:r>
      <w:r w:rsidR="00FB17C7" w:rsidRPr="00D06902">
        <w:t xml:space="preserve"> </w:t>
      </w:r>
      <w:r w:rsidR="0051595F" w:rsidRPr="00D06902">
        <w:t xml:space="preserve">considered </w:t>
      </w:r>
      <w:r w:rsidR="003137EC" w:rsidRPr="00D06902">
        <w:t xml:space="preserve">that it </w:t>
      </w:r>
      <w:r w:rsidR="0051595F" w:rsidRPr="00D06902">
        <w:t xml:space="preserve">was </w:t>
      </w:r>
      <w:r w:rsidR="003137EC" w:rsidRPr="00D06902">
        <w:t xml:space="preserve">not plausible that the author would be </w:t>
      </w:r>
      <w:r w:rsidR="0051595F" w:rsidRPr="00D06902">
        <w:t>at</w:t>
      </w:r>
      <w:r w:rsidR="003137EC" w:rsidRPr="00D06902">
        <w:t xml:space="preserve"> risk of persecution </w:t>
      </w:r>
      <w:r w:rsidR="0051595F" w:rsidRPr="00D06902">
        <w:t xml:space="preserve">only because of his homosexuality </w:t>
      </w:r>
      <w:r w:rsidR="00B14921">
        <w:t>since</w:t>
      </w:r>
      <w:r w:rsidR="0051595F" w:rsidRPr="00D06902">
        <w:t>,</w:t>
      </w:r>
      <w:r w:rsidR="003137EC" w:rsidRPr="00D06902">
        <w:t xml:space="preserve"> even if </w:t>
      </w:r>
      <w:r w:rsidR="003137EC" w:rsidRPr="00952C63">
        <w:t xml:space="preserve">homosexuality is illegal in Bangladesh, the </w:t>
      </w:r>
      <w:r w:rsidR="0051595F" w:rsidRPr="00F405A9">
        <w:t xml:space="preserve">relevant legislation </w:t>
      </w:r>
      <w:r w:rsidR="003137EC" w:rsidRPr="00F405A9">
        <w:t>is not enforced.</w:t>
      </w:r>
      <w:r w:rsidR="00E45149">
        <w:t xml:space="preserve"> </w:t>
      </w:r>
      <w:r w:rsidR="0036493A">
        <w:t>T</w:t>
      </w:r>
      <w:r w:rsidR="00E45149">
        <w:t>he author assert</w:t>
      </w:r>
      <w:r w:rsidR="0048795B">
        <w:t xml:space="preserve">s </w:t>
      </w:r>
      <w:r w:rsidR="00E45149">
        <w:t xml:space="preserve">that the </w:t>
      </w:r>
      <w:r w:rsidR="00B14921">
        <w:t xml:space="preserve">Board </w:t>
      </w:r>
      <w:r w:rsidR="00D06902">
        <w:t>should have followed the procedure as applied in other countries</w:t>
      </w:r>
      <w:r w:rsidR="0036493A">
        <w:t>. In th</w:t>
      </w:r>
      <w:r w:rsidR="00B14921">
        <w:t>at</w:t>
      </w:r>
      <w:r w:rsidR="0036493A">
        <w:t xml:space="preserve"> connection, he refers to the jurisprudence of the Supreme Court of</w:t>
      </w:r>
      <w:r w:rsidR="00D06902">
        <w:t xml:space="preserve"> the United Kingdom </w:t>
      </w:r>
      <w:r w:rsidR="00B14921">
        <w:t xml:space="preserve">of Great Britain and Northern Ireland </w:t>
      </w:r>
      <w:r w:rsidR="00E45149">
        <w:t>when determining whether an asylum</w:t>
      </w:r>
      <w:r w:rsidR="00B14921">
        <w:t xml:space="preserve"> </w:t>
      </w:r>
      <w:r w:rsidR="00E45149">
        <w:t>seeker is a homosexual and whether</w:t>
      </w:r>
      <w:r w:rsidR="001527B2">
        <w:t>,</w:t>
      </w:r>
      <w:r w:rsidR="00E45149">
        <w:t xml:space="preserve"> if returned to his country of origin, he risks persecution or abuse that would make him entitled to asylum.</w:t>
      </w:r>
      <w:r w:rsidR="00E45149">
        <w:rPr>
          <w:rStyle w:val="FootnoteReference"/>
        </w:rPr>
        <w:footnoteReference w:id="11"/>
      </w:r>
    </w:p>
    <w:p w:rsidR="00F405A9" w:rsidRDefault="00F405A9" w:rsidP="00A3187D">
      <w:pPr>
        <w:pStyle w:val="SingleTxtG"/>
      </w:pPr>
      <w:r>
        <w:t>2.5</w:t>
      </w:r>
      <w:r>
        <w:tab/>
        <w:t xml:space="preserve">As part of </w:t>
      </w:r>
      <w:r w:rsidR="00B14921">
        <w:t xml:space="preserve">the </w:t>
      </w:r>
      <w:r>
        <w:t xml:space="preserve">asylum procedure, the applicant stated that the authorities in his country of origin </w:t>
      </w:r>
      <w:r w:rsidR="00122146">
        <w:t xml:space="preserve">were unable to protect him from the people of his village. The author admitted he did not know about the law, but that </w:t>
      </w:r>
      <w:r w:rsidR="0036493A">
        <w:t xml:space="preserve">he was clear that </w:t>
      </w:r>
      <w:r w:rsidR="00122146">
        <w:t xml:space="preserve">homosexuality was unacceptable from a religious and social perspective. He also feared starvation </w:t>
      </w:r>
      <w:r w:rsidR="00B14921">
        <w:t xml:space="preserve">in case of his return to his country of origin, </w:t>
      </w:r>
      <w:r w:rsidR="00122146">
        <w:t>as he ha</w:t>
      </w:r>
      <w:r w:rsidR="00B14921">
        <w:t>d</w:t>
      </w:r>
      <w:r w:rsidR="00122146">
        <w:t xml:space="preserve"> no home and no clothing</w:t>
      </w:r>
      <w:r w:rsidR="00B14921">
        <w:t>.</w:t>
      </w:r>
      <w:r w:rsidR="007D2578">
        <w:t xml:space="preserve"> </w:t>
      </w:r>
    </w:p>
    <w:p w:rsidR="00A3187D" w:rsidRDefault="003137EC" w:rsidP="00A3187D">
      <w:pPr>
        <w:pStyle w:val="SingleTxtG"/>
        <w:rPr>
          <w:lang w:eastAsia="en-GB"/>
        </w:rPr>
      </w:pPr>
      <w:r>
        <w:t>2.</w:t>
      </w:r>
      <w:r w:rsidR="00F405A9">
        <w:t>6</w:t>
      </w:r>
      <w:r w:rsidR="00254514">
        <w:tab/>
      </w:r>
      <w:r w:rsidR="00EF1201">
        <w:t xml:space="preserve">Since the decisions of the </w:t>
      </w:r>
      <w:r w:rsidR="00B14921">
        <w:t xml:space="preserve">Board </w:t>
      </w:r>
      <w:r w:rsidR="00EF1201">
        <w:t>can</w:t>
      </w:r>
      <w:r w:rsidR="00931D25">
        <w:t xml:space="preserve">not </w:t>
      </w:r>
      <w:r w:rsidR="00EF1201">
        <w:t xml:space="preserve">be </w:t>
      </w:r>
      <w:r w:rsidR="0051595F">
        <w:t>appealed before</w:t>
      </w:r>
      <w:r w:rsidR="00EF1201">
        <w:t xml:space="preserve"> the Danish </w:t>
      </w:r>
      <w:r w:rsidR="0051595F">
        <w:t>c</w:t>
      </w:r>
      <w:r w:rsidR="00EF1201">
        <w:t>ourts,</w:t>
      </w:r>
      <w:r w:rsidR="0051595F">
        <w:rPr>
          <w:rStyle w:val="FootnoteReference"/>
        </w:rPr>
        <w:footnoteReference w:id="12"/>
      </w:r>
      <w:r w:rsidR="00EF1201">
        <w:t xml:space="preserve"> the </w:t>
      </w:r>
      <w:r w:rsidR="00A3187D">
        <w:t xml:space="preserve">author maintains </w:t>
      </w:r>
      <w:r>
        <w:t>that he has exhausted all available and effective domestic remedies</w:t>
      </w:r>
      <w:r w:rsidR="00A3187D">
        <w:rPr>
          <w:lang w:eastAsia="en-GB"/>
        </w:rPr>
        <w:t xml:space="preserve">. </w:t>
      </w:r>
    </w:p>
    <w:p w:rsidR="00C56C38" w:rsidRDefault="00E2127B" w:rsidP="00E528B6">
      <w:pPr>
        <w:pStyle w:val="SingleTxtG"/>
        <w:ind w:firstLine="6"/>
        <w:rPr>
          <w:lang w:eastAsia="en-GB"/>
        </w:rPr>
      </w:pPr>
      <w:r>
        <w:rPr>
          <w:lang w:eastAsia="en-GB"/>
        </w:rPr>
        <w:lastRenderedPageBreak/>
        <w:t>2.</w:t>
      </w:r>
      <w:r w:rsidR="00F405A9">
        <w:rPr>
          <w:lang w:eastAsia="en-GB"/>
        </w:rPr>
        <w:t>7</w:t>
      </w:r>
      <w:r w:rsidR="00744B3A">
        <w:rPr>
          <w:lang w:eastAsia="en-GB"/>
        </w:rPr>
        <w:tab/>
      </w:r>
      <w:r w:rsidR="00C56C38" w:rsidRPr="00C56C38">
        <w:rPr>
          <w:lang w:eastAsia="en-GB"/>
        </w:rPr>
        <w:t>The author has not submitted his com</w:t>
      </w:r>
      <w:r w:rsidR="000277F6">
        <w:rPr>
          <w:lang w:eastAsia="en-GB"/>
        </w:rPr>
        <w:t xml:space="preserve">munication </w:t>
      </w:r>
      <w:r w:rsidR="00C56C38" w:rsidRPr="00C56C38">
        <w:rPr>
          <w:lang w:eastAsia="en-GB"/>
        </w:rPr>
        <w:t>to any other procedure of international investigation or settlement.</w:t>
      </w:r>
    </w:p>
    <w:p w:rsidR="00FA222B" w:rsidRPr="00214E11" w:rsidRDefault="00014BC3" w:rsidP="00132E0A">
      <w:pPr>
        <w:pStyle w:val="H23G"/>
        <w:ind w:left="0" w:firstLine="0"/>
      </w:pPr>
      <w:r>
        <w:tab/>
      </w:r>
      <w:r>
        <w:tab/>
      </w:r>
      <w:r w:rsidR="00FA222B" w:rsidRPr="00214E11">
        <w:t>The complaint</w:t>
      </w:r>
    </w:p>
    <w:p w:rsidR="00AF1734" w:rsidRDefault="0067314F" w:rsidP="00446A67">
      <w:pPr>
        <w:pStyle w:val="SingleTxtG"/>
      </w:pPr>
      <w:r w:rsidRPr="00214E11">
        <w:t>3.1</w:t>
      </w:r>
      <w:r w:rsidR="00446A67" w:rsidRPr="00214E11">
        <w:tab/>
      </w:r>
      <w:r w:rsidR="00AF1734" w:rsidRPr="00AF1734">
        <w:t xml:space="preserve">The author claims that </w:t>
      </w:r>
      <w:r w:rsidR="000B6857">
        <w:t xml:space="preserve">by returning him to Bangladesh, the State party </w:t>
      </w:r>
      <w:r w:rsidR="00AF1734" w:rsidRPr="00AF1734">
        <w:t xml:space="preserve">would put him at risk of torture and other forms of inhuman or degrading treatment or punishment, contrary to article 7 of the Covenant, </w:t>
      </w:r>
      <w:r w:rsidR="008E2493">
        <w:t>owing</w:t>
      </w:r>
      <w:r w:rsidR="008E2493" w:rsidRPr="00AF1734">
        <w:t xml:space="preserve"> </w:t>
      </w:r>
      <w:r w:rsidR="00AF1734" w:rsidRPr="00AF1734">
        <w:t xml:space="preserve">to </w:t>
      </w:r>
      <w:r w:rsidR="005832AE">
        <w:t>the</w:t>
      </w:r>
      <w:r w:rsidR="00AF1734" w:rsidRPr="00AF1734">
        <w:t xml:space="preserve"> risk of persecution </w:t>
      </w:r>
      <w:r w:rsidR="005832AE">
        <w:t xml:space="preserve">he would face there because of </w:t>
      </w:r>
      <w:r w:rsidR="00AF1734" w:rsidRPr="00AF1734">
        <w:t>his homosexuality</w:t>
      </w:r>
      <w:r w:rsidR="007D2578">
        <w:t>.</w:t>
      </w:r>
    </w:p>
    <w:p w:rsidR="00AF1734" w:rsidRDefault="00AF1734" w:rsidP="00446A67">
      <w:pPr>
        <w:pStyle w:val="SingleTxtG"/>
      </w:pPr>
      <w:r>
        <w:t>3.2</w:t>
      </w:r>
      <w:r>
        <w:tab/>
      </w:r>
      <w:r w:rsidR="005832AE">
        <w:t>The author</w:t>
      </w:r>
      <w:r w:rsidR="005832AE" w:rsidRPr="00AF1734">
        <w:t xml:space="preserve"> </w:t>
      </w:r>
      <w:r w:rsidRPr="00AF1734">
        <w:t xml:space="preserve">submits reports </w:t>
      </w:r>
      <w:r w:rsidR="005832AE">
        <w:t>on</w:t>
      </w:r>
      <w:r w:rsidR="005832AE" w:rsidRPr="00AF1734">
        <w:t xml:space="preserve"> </w:t>
      </w:r>
      <w:r w:rsidRPr="00AF1734">
        <w:t xml:space="preserve">homosexuality in Bangladesh, </w:t>
      </w:r>
      <w:r w:rsidR="005832AE">
        <w:t xml:space="preserve">which indicate that </w:t>
      </w:r>
      <w:r w:rsidRPr="00AF1734">
        <w:t xml:space="preserve">homosexuality is illegal </w:t>
      </w:r>
      <w:r w:rsidR="005832AE">
        <w:t>in that country</w:t>
      </w:r>
      <w:r w:rsidR="008E2493">
        <w:t>,</w:t>
      </w:r>
      <w:r w:rsidR="005832AE">
        <w:t xml:space="preserve"> and that the police use the law to discriminate</w:t>
      </w:r>
      <w:r w:rsidR="008E2493">
        <w:t xml:space="preserve"> and</w:t>
      </w:r>
      <w:r w:rsidR="005832AE">
        <w:t xml:space="preserve"> exercise violence </w:t>
      </w:r>
      <w:r w:rsidR="008E2493">
        <w:t xml:space="preserve">against, </w:t>
      </w:r>
      <w:r w:rsidR="005832AE">
        <w:t xml:space="preserve">and constantly threaten homosexual persons. </w:t>
      </w:r>
    </w:p>
    <w:p w:rsidR="00AF1734" w:rsidRDefault="00AF1734" w:rsidP="00AF1734">
      <w:pPr>
        <w:pStyle w:val="SingleTxtG"/>
      </w:pPr>
      <w:r>
        <w:t>3.3</w:t>
      </w:r>
      <w:r>
        <w:tab/>
      </w:r>
      <w:r w:rsidRPr="00AF1734">
        <w:t xml:space="preserve">He </w:t>
      </w:r>
      <w:r w:rsidR="005B5070">
        <w:t xml:space="preserve">considers </w:t>
      </w:r>
      <w:r w:rsidRPr="00AF1734">
        <w:t xml:space="preserve">that he </w:t>
      </w:r>
      <w:r w:rsidR="0036493A">
        <w:t>could not avoid p</w:t>
      </w:r>
      <w:r w:rsidR="005D4BDC">
        <w:t>e</w:t>
      </w:r>
      <w:r w:rsidR="0036493A">
        <w:t xml:space="preserve">rsecution through the concealment of his </w:t>
      </w:r>
      <w:r w:rsidRPr="00AF1734">
        <w:t xml:space="preserve">sexual </w:t>
      </w:r>
      <w:r w:rsidR="005B5070">
        <w:t>orientation,</w:t>
      </w:r>
      <w:r>
        <w:t xml:space="preserve"> as </w:t>
      </w:r>
      <w:r w:rsidRPr="00AF1734">
        <w:t>th</w:t>
      </w:r>
      <w:r w:rsidR="008E2493">
        <w:t>at</w:t>
      </w:r>
      <w:r w:rsidRPr="00AF1734">
        <w:t xml:space="preserve"> would be incompatible with </w:t>
      </w:r>
      <w:r w:rsidR="0036493A">
        <w:t xml:space="preserve">his rights under </w:t>
      </w:r>
      <w:r w:rsidRPr="00AF1734">
        <w:t xml:space="preserve">the provisions of the Covenant. Finally, the author maintains that </w:t>
      </w:r>
      <w:r>
        <w:t xml:space="preserve">the State party’s </w:t>
      </w:r>
      <w:r w:rsidRPr="00AF1734">
        <w:t>authorities</w:t>
      </w:r>
      <w:r w:rsidR="008E2493">
        <w:t>,</w:t>
      </w:r>
      <w:r w:rsidRPr="00AF1734">
        <w:t xml:space="preserve"> </w:t>
      </w:r>
      <w:r w:rsidR="0026424D">
        <w:t xml:space="preserve">including the police and </w:t>
      </w:r>
      <w:r w:rsidR="008E2493">
        <w:t xml:space="preserve">the Immigration Service, </w:t>
      </w:r>
      <w:r w:rsidRPr="00AF1734">
        <w:t>did not take into consideration the fact that he was</w:t>
      </w:r>
      <w:r w:rsidR="008E2493">
        <w:t xml:space="preserve"> a</w:t>
      </w:r>
      <w:r w:rsidRPr="00AF1734">
        <w:t xml:space="preserve"> minor when</w:t>
      </w:r>
      <w:r w:rsidR="005B5070">
        <w:t xml:space="preserve"> they initially</w:t>
      </w:r>
      <w:r w:rsidRPr="00AF1734">
        <w:t xml:space="preserve"> interviewed </w:t>
      </w:r>
      <w:r w:rsidR="005B5070">
        <w:t>him</w:t>
      </w:r>
      <w:r w:rsidRPr="00AF1734">
        <w:t>.</w:t>
      </w:r>
    </w:p>
    <w:p w:rsidR="00FA222B" w:rsidRPr="00214E11" w:rsidRDefault="0086715C" w:rsidP="00E45683">
      <w:pPr>
        <w:pStyle w:val="H23G"/>
        <w:ind w:left="0" w:firstLine="0"/>
      </w:pPr>
      <w:r w:rsidRPr="00214E11">
        <w:tab/>
      </w:r>
      <w:r w:rsidRPr="00214E11">
        <w:tab/>
      </w:r>
      <w:r w:rsidR="00FA222B" w:rsidRPr="00214E11">
        <w:t>State party</w:t>
      </w:r>
      <w:r w:rsidR="00EE0C05">
        <w:t>’</w:t>
      </w:r>
      <w:r w:rsidR="002F7B7B">
        <w:t xml:space="preserve">s observations on admissibility </w:t>
      </w:r>
      <w:r w:rsidR="00FA222B" w:rsidRPr="00214E11">
        <w:t xml:space="preserve">and </w:t>
      </w:r>
      <w:r w:rsidR="00EE0C05">
        <w:t xml:space="preserve">the </w:t>
      </w:r>
      <w:r w:rsidR="00FA222B" w:rsidRPr="00214E11">
        <w:t>merits</w:t>
      </w:r>
    </w:p>
    <w:p w:rsidR="00303CA1" w:rsidRDefault="00757824" w:rsidP="00754398">
      <w:pPr>
        <w:pStyle w:val="SingleTxtG"/>
      </w:pPr>
      <w:r w:rsidRPr="00214E11">
        <w:t>4</w:t>
      </w:r>
      <w:r w:rsidR="0067314F" w:rsidRPr="00214E11">
        <w:t>.</w:t>
      </w:r>
      <w:r w:rsidR="00303CA1">
        <w:t>1</w:t>
      </w:r>
      <w:r w:rsidR="0067314F" w:rsidRPr="00214E11">
        <w:tab/>
      </w:r>
      <w:r w:rsidR="00763A01">
        <w:t>On 30 March 2015</w:t>
      </w:r>
      <w:r w:rsidR="00754398">
        <w:t xml:space="preserve">, </w:t>
      </w:r>
      <w:r w:rsidR="00FA222B" w:rsidRPr="00214E11">
        <w:t xml:space="preserve">the State party </w:t>
      </w:r>
      <w:r w:rsidR="00754398">
        <w:t>submitted its observations on the admissibility a</w:t>
      </w:r>
      <w:r w:rsidR="00AE17C2">
        <w:t>nd merits</w:t>
      </w:r>
      <w:r w:rsidR="00827BA1">
        <w:t xml:space="preserve"> of the communication</w:t>
      </w:r>
      <w:r w:rsidR="00C01AEE">
        <w:t xml:space="preserve"> and requested the Committee to lift the interim measures</w:t>
      </w:r>
      <w:r w:rsidR="006A4F13">
        <w:t xml:space="preserve">. </w:t>
      </w:r>
      <w:r w:rsidR="00AE17C2">
        <w:t xml:space="preserve">It </w:t>
      </w:r>
      <w:r w:rsidR="00827BA1">
        <w:t xml:space="preserve">considers that </w:t>
      </w:r>
      <w:r w:rsidR="00C01AEE">
        <w:t>the communication</w:t>
      </w:r>
      <w:r w:rsidR="00AE17C2">
        <w:t xml:space="preserve"> sho</w:t>
      </w:r>
      <w:r w:rsidR="00303CA1">
        <w:t xml:space="preserve">uld be </w:t>
      </w:r>
      <w:r w:rsidR="00827BA1">
        <w:t xml:space="preserve">held </w:t>
      </w:r>
      <w:r w:rsidR="00303CA1">
        <w:t>ina</w:t>
      </w:r>
      <w:r w:rsidR="0087729E">
        <w:t>dmissible</w:t>
      </w:r>
      <w:r w:rsidR="00ED295F">
        <w:t>,</w:t>
      </w:r>
      <w:r w:rsidR="0087729E">
        <w:t xml:space="preserve"> as </w:t>
      </w:r>
      <w:r w:rsidR="006A42F1">
        <w:t>the author has failed to establish a prima facie case</w:t>
      </w:r>
      <w:r w:rsidR="00827BA1">
        <w:t>. In th</w:t>
      </w:r>
      <w:r w:rsidR="00EE0C05">
        <w:t>at</w:t>
      </w:r>
      <w:r w:rsidR="00827BA1">
        <w:t xml:space="preserve"> connection, the State party argues that the author </w:t>
      </w:r>
      <w:r w:rsidR="00EE0C05">
        <w:t xml:space="preserve">has </w:t>
      </w:r>
      <w:r w:rsidR="00827BA1">
        <w:t>not provide</w:t>
      </w:r>
      <w:r w:rsidR="00EE0C05">
        <w:t>d</w:t>
      </w:r>
      <w:r w:rsidR="00303CA1">
        <w:t xml:space="preserve"> substantial grounds </w:t>
      </w:r>
      <w:r w:rsidR="00827BA1">
        <w:t>to demonstrate</w:t>
      </w:r>
      <w:r w:rsidR="00303CA1">
        <w:t xml:space="preserve"> that </w:t>
      </w:r>
      <w:r w:rsidR="00BA5CAE">
        <w:t xml:space="preserve">he </w:t>
      </w:r>
      <w:r w:rsidR="00827BA1">
        <w:t>would be at risk</w:t>
      </w:r>
      <w:r w:rsidR="00303CA1">
        <w:t xml:space="preserve"> of torture or other cruel, inhuman or degrading treatment or punishment if returned to Bangladesh.</w:t>
      </w:r>
      <w:r w:rsidR="002974AA">
        <w:t xml:space="preserve"> </w:t>
      </w:r>
      <w:r w:rsidR="00827BA1">
        <w:t>The State party also considers</w:t>
      </w:r>
      <w:r w:rsidR="002974AA">
        <w:t xml:space="preserve"> </w:t>
      </w:r>
      <w:r w:rsidR="0087729E">
        <w:t>that the author</w:t>
      </w:r>
      <w:r w:rsidR="00EE0C05">
        <w:t xml:space="preserve"> has</w:t>
      </w:r>
      <w:r w:rsidR="0087729E">
        <w:t xml:space="preserve"> failed to provide specific details about </w:t>
      </w:r>
      <w:r w:rsidR="002974AA">
        <w:t>his</w:t>
      </w:r>
      <w:r w:rsidR="00827BA1">
        <w:t xml:space="preserve"> personal</w:t>
      </w:r>
      <w:r w:rsidR="002974AA">
        <w:t xml:space="preserve"> situation</w:t>
      </w:r>
      <w:r w:rsidR="00827BA1">
        <w:t>;</w:t>
      </w:r>
      <w:r w:rsidR="006A42F1">
        <w:t xml:space="preserve"> </w:t>
      </w:r>
      <w:r w:rsidR="00D71EAB">
        <w:t xml:space="preserve">that the </w:t>
      </w:r>
      <w:r w:rsidR="00EE0C05">
        <w:t xml:space="preserve">Refugee Appeals Board </w:t>
      </w:r>
      <w:r w:rsidR="00D71EAB">
        <w:t>made a thorough assessme</w:t>
      </w:r>
      <w:r w:rsidR="00B32150">
        <w:t xml:space="preserve">nt of the author’s credibility, </w:t>
      </w:r>
      <w:r w:rsidR="00827BA1">
        <w:t xml:space="preserve">of </w:t>
      </w:r>
      <w:r w:rsidR="00B32150">
        <w:t xml:space="preserve">the background information available and </w:t>
      </w:r>
      <w:r w:rsidR="00827BA1">
        <w:t xml:space="preserve">of </w:t>
      </w:r>
      <w:r w:rsidR="00B32150">
        <w:t>the author’s specific circumstances</w:t>
      </w:r>
      <w:r w:rsidR="00827BA1">
        <w:t xml:space="preserve">; and </w:t>
      </w:r>
      <w:r w:rsidR="00B32150">
        <w:t xml:space="preserve">that the </w:t>
      </w:r>
      <w:r w:rsidR="00D71EAB">
        <w:t>national authorities are best placed to assess the facts a</w:t>
      </w:r>
      <w:r w:rsidR="00B32150">
        <w:t xml:space="preserve">nd </w:t>
      </w:r>
      <w:r w:rsidR="00D71EAB">
        <w:t>credibility</w:t>
      </w:r>
      <w:r w:rsidR="00B32150">
        <w:t xml:space="preserve"> </w:t>
      </w:r>
      <w:r w:rsidR="00EB324F">
        <w:t>in asylum cases</w:t>
      </w:r>
      <w:r w:rsidR="00CF4EB1" w:rsidRPr="00A51905">
        <w:t>.</w:t>
      </w:r>
      <w:r w:rsidR="00EB324F" w:rsidRPr="00A51905">
        <w:rPr>
          <w:rStyle w:val="FootnoteReference"/>
        </w:rPr>
        <w:footnoteReference w:id="13"/>
      </w:r>
      <w:r w:rsidR="00EB324F">
        <w:t xml:space="preserve"> </w:t>
      </w:r>
      <w:r w:rsidR="00827BA1">
        <w:t>The State party further argues that</w:t>
      </w:r>
      <w:r w:rsidR="00D71EAB">
        <w:t xml:space="preserve"> the asylum procedure </w:t>
      </w:r>
      <w:r w:rsidR="00EE0C05">
        <w:t xml:space="preserve">that has been applied </w:t>
      </w:r>
      <w:r w:rsidR="00253761">
        <w:t>full</w:t>
      </w:r>
      <w:r w:rsidR="00CF4EB1">
        <w:t>y</w:t>
      </w:r>
      <w:r w:rsidR="00827BA1">
        <w:t xml:space="preserve"> </w:t>
      </w:r>
      <w:r w:rsidR="00CF4EB1">
        <w:t>complies with</w:t>
      </w:r>
      <w:r w:rsidR="005F1EFF">
        <w:t xml:space="preserve"> the principles of</w:t>
      </w:r>
      <w:r w:rsidR="00827BA1">
        <w:t xml:space="preserve"> </w:t>
      </w:r>
      <w:r w:rsidR="00D71EAB">
        <w:t>due process</w:t>
      </w:r>
      <w:r w:rsidR="00B32150">
        <w:t>.</w:t>
      </w:r>
      <w:r w:rsidR="00C55040" w:rsidRPr="00A51905">
        <w:rPr>
          <w:rStyle w:val="FootnoteReference"/>
        </w:rPr>
        <w:footnoteReference w:id="14"/>
      </w:r>
    </w:p>
    <w:p w:rsidR="005F5B63" w:rsidRDefault="00303CA1" w:rsidP="006B7CB3">
      <w:pPr>
        <w:pStyle w:val="SingleTxtG"/>
      </w:pPr>
      <w:r>
        <w:t>4.2</w:t>
      </w:r>
      <w:r>
        <w:tab/>
      </w:r>
      <w:r w:rsidR="00F42D4E">
        <w:t xml:space="preserve">The State party further submits that </w:t>
      </w:r>
      <w:r w:rsidR="00257DA4">
        <w:t xml:space="preserve">in case </w:t>
      </w:r>
      <w:r w:rsidR="00F42D4E">
        <w:t xml:space="preserve">the Committee </w:t>
      </w:r>
      <w:r w:rsidR="00583967">
        <w:t>holds</w:t>
      </w:r>
      <w:r w:rsidR="00257DA4">
        <w:t xml:space="preserve"> </w:t>
      </w:r>
      <w:r w:rsidR="00F42D4E">
        <w:t xml:space="preserve">the </w:t>
      </w:r>
      <w:r w:rsidR="00A7382C">
        <w:t xml:space="preserve">author’s complaint admissible, </w:t>
      </w:r>
      <w:r w:rsidR="00257DA4">
        <w:t>it should consider it unsubstantiated</w:t>
      </w:r>
      <w:r w:rsidR="00475B41">
        <w:t>,</w:t>
      </w:r>
      <w:r w:rsidR="00B63021">
        <w:t xml:space="preserve"> as the </w:t>
      </w:r>
      <w:r w:rsidR="00480624">
        <w:t xml:space="preserve">author </w:t>
      </w:r>
      <w:r w:rsidR="00A7382C">
        <w:t xml:space="preserve">failed to establish that </w:t>
      </w:r>
      <w:r w:rsidR="00BA5CAE">
        <w:t xml:space="preserve">his </w:t>
      </w:r>
      <w:r w:rsidR="00A7382C">
        <w:t xml:space="preserve">deportation </w:t>
      </w:r>
      <w:r w:rsidR="00BA5CAE">
        <w:t xml:space="preserve">to Bangladesh </w:t>
      </w:r>
      <w:r w:rsidR="00B63021">
        <w:t xml:space="preserve">would </w:t>
      </w:r>
      <w:r w:rsidR="00480624">
        <w:t xml:space="preserve">constitute a violation of </w:t>
      </w:r>
      <w:r w:rsidR="00AE17C2">
        <w:t>article 7 of the Covenant</w:t>
      </w:r>
      <w:r w:rsidR="00A7382C">
        <w:t>. I</w:t>
      </w:r>
      <w:r w:rsidR="00257DA4">
        <w:t>n th</w:t>
      </w:r>
      <w:r w:rsidR="00475B41">
        <w:t>at</w:t>
      </w:r>
      <w:r w:rsidR="00257DA4">
        <w:t xml:space="preserve"> connection, the State party submits that </w:t>
      </w:r>
      <w:r w:rsidR="00480624">
        <w:t xml:space="preserve">the </w:t>
      </w:r>
      <w:r w:rsidR="00475B41">
        <w:t xml:space="preserve">Refugee Appeals Board </w:t>
      </w:r>
      <w:r w:rsidR="001A10D1">
        <w:t xml:space="preserve">generally </w:t>
      </w:r>
      <w:r w:rsidR="00480624">
        <w:t xml:space="preserve">considers </w:t>
      </w:r>
      <w:r w:rsidR="00583967">
        <w:t xml:space="preserve">that </w:t>
      </w:r>
      <w:r w:rsidR="00480624">
        <w:t>the conditions for granting a residence permit under section 7</w:t>
      </w:r>
      <w:r w:rsidR="00475B41">
        <w:t xml:space="preserve"> </w:t>
      </w:r>
      <w:r w:rsidR="00480624">
        <w:t xml:space="preserve">(1) of the Aliens Act </w:t>
      </w:r>
      <w:r w:rsidR="00583967">
        <w:t>are</w:t>
      </w:r>
      <w:r w:rsidR="00480624">
        <w:t xml:space="preserve"> met </w:t>
      </w:r>
      <w:r w:rsidR="001A10D1">
        <w:t xml:space="preserve">when </w:t>
      </w:r>
      <w:r w:rsidR="00480624">
        <w:t>the relevant asylum</w:t>
      </w:r>
      <w:r w:rsidR="00475B41">
        <w:t xml:space="preserve"> </w:t>
      </w:r>
      <w:r w:rsidR="00480624">
        <w:t>seeker has a well-founded fear of being subjected to specific, individual persecution of a certain severity</w:t>
      </w:r>
      <w:r w:rsidR="001A10D1">
        <w:t xml:space="preserve">, </w:t>
      </w:r>
      <w:r w:rsidR="00480624">
        <w:t xml:space="preserve">if returned to his country of origin. </w:t>
      </w:r>
      <w:r w:rsidR="00583967">
        <w:t>W</w:t>
      </w:r>
      <w:r w:rsidR="00257DA4" w:rsidRPr="00583967">
        <w:t xml:space="preserve">hen </w:t>
      </w:r>
      <w:r w:rsidR="00480624" w:rsidRPr="00583967">
        <w:t xml:space="preserve">the </w:t>
      </w:r>
      <w:r w:rsidR="00475B41">
        <w:t>Board</w:t>
      </w:r>
      <w:r w:rsidR="00475B41" w:rsidRPr="00583967">
        <w:t xml:space="preserve"> </w:t>
      </w:r>
      <w:r w:rsidR="00480624" w:rsidRPr="00583967">
        <w:t xml:space="preserve">finds that </w:t>
      </w:r>
      <w:r w:rsidR="00475B41">
        <w:t>an</w:t>
      </w:r>
      <w:r w:rsidR="00475B41" w:rsidRPr="00583967">
        <w:t xml:space="preserve"> </w:t>
      </w:r>
      <w:r w:rsidR="00480624" w:rsidRPr="00583967">
        <w:t>asylum</w:t>
      </w:r>
      <w:r w:rsidR="00475B41">
        <w:t xml:space="preserve"> </w:t>
      </w:r>
      <w:r w:rsidR="00480624" w:rsidRPr="00583967">
        <w:t xml:space="preserve">seeker’s statements on his ethnicity, religion, political views or membership of a particular social group can be found </w:t>
      </w:r>
      <w:r w:rsidR="00475B41">
        <w:t>to be</w:t>
      </w:r>
      <w:r w:rsidR="00475B41" w:rsidRPr="00583967">
        <w:t xml:space="preserve"> </w:t>
      </w:r>
      <w:r w:rsidR="00480624" w:rsidRPr="00583967">
        <w:t xml:space="preserve">facts, but </w:t>
      </w:r>
      <w:r w:rsidR="00583967">
        <w:t xml:space="preserve">his </w:t>
      </w:r>
      <w:r w:rsidR="00480624" w:rsidRPr="00583967">
        <w:t xml:space="preserve">activities </w:t>
      </w:r>
      <w:r w:rsidR="001A10D1" w:rsidRPr="00583967">
        <w:t xml:space="preserve">or </w:t>
      </w:r>
      <w:r w:rsidR="00480624" w:rsidRPr="00583967">
        <w:t>the measures taken against him in his country of origin do not</w:t>
      </w:r>
      <w:r w:rsidR="005F5B63" w:rsidRPr="00583967">
        <w:t xml:space="preserve"> constitute sufficient grounds </w:t>
      </w:r>
      <w:r w:rsidR="00257DA4" w:rsidRPr="00583967">
        <w:t xml:space="preserve">for </w:t>
      </w:r>
      <w:r w:rsidR="00480624" w:rsidRPr="00583967">
        <w:t xml:space="preserve">him to fall within </w:t>
      </w:r>
      <w:r w:rsidR="00257DA4" w:rsidRPr="00583967">
        <w:t>the scope of article 1A</w:t>
      </w:r>
      <w:r w:rsidR="00475B41">
        <w:t xml:space="preserve"> </w:t>
      </w:r>
      <w:r w:rsidR="00257DA4" w:rsidRPr="00583967">
        <w:t xml:space="preserve">(2) of </w:t>
      </w:r>
      <w:r w:rsidR="00480624" w:rsidRPr="00583967">
        <w:t xml:space="preserve">the </w:t>
      </w:r>
      <w:r w:rsidR="006A4F13" w:rsidRPr="00583967">
        <w:t>Convention</w:t>
      </w:r>
      <w:r w:rsidR="00475B41">
        <w:t xml:space="preserve"> </w:t>
      </w:r>
      <w:r w:rsidR="00475B41" w:rsidRPr="0073033A">
        <w:lastRenderedPageBreak/>
        <w:t>relating to the Status of Refugees</w:t>
      </w:r>
      <w:r w:rsidR="00480624" w:rsidRPr="00583967">
        <w:t>, his application for residence under section 7 of the Aliens Act will be refused.</w:t>
      </w:r>
      <w:r w:rsidR="007D2578">
        <w:t xml:space="preserve"> </w:t>
      </w:r>
    </w:p>
    <w:p w:rsidR="00754398" w:rsidRDefault="005F5B63" w:rsidP="00754398">
      <w:pPr>
        <w:pStyle w:val="SingleTxtG"/>
      </w:pPr>
      <w:r>
        <w:t>4.</w:t>
      </w:r>
      <w:r w:rsidR="001A10D1">
        <w:t>3</w:t>
      </w:r>
      <w:r w:rsidR="008D1129">
        <w:tab/>
      </w:r>
      <w:r>
        <w:t xml:space="preserve">The State party </w:t>
      </w:r>
      <w:r w:rsidR="00583967">
        <w:t>observes</w:t>
      </w:r>
      <w:r>
        <w:t xml:space="preserve"> that</w:t>
      </w:r>
      <w:r w:rsidR="00583967">
        <w:t xml:space="preserve"> according to the case law of the </w:t>
      </w:r>
      <w:r w:rsidR="00475B41">
        <w:t>Refugee Appeals Board</w:t>
      </w:r>
      <w:r w:rsidR="00583967">
        <w:t>,</w:t>
      </w:r>
      <w:r>
        <w:t xml:space="preserve"> homosexuals are considered </w:t>
      </w:r>
      <w:r w:rsidR="00475B41">
        <w:t xml:space="preserve">to </w:t>
      </w:r>
      <w:r>
        <w:t>belong to a particular social group and that, depending on circumstances, they may fall within the Convention</w:t>
      </w:r>
      <w:r w:rsidR="00A97C12">
        <w:t xml:space="preserve"> relating to the Status of Refugees</w:t>
      </w:r>
      <w:r>
        <w:t xml:space="preserve">. </w:t>
      </w:r>
      <w:r w:rsidR="00583967">
        <w:t xml:space="preserve">In the present case, </w:t>
      </w:r>
      <w:r>
        <w:t xml:space="preserve">the </w:t>
      </w:r>
      <w:r w:rsidR="00475B41">
        <w:t xml:space="preserve">Board </w:t>
      </w:r>
      <w:r>
        <w:t>took into account the information</w:t>
      </w:r>
      <w:r w:rsidR="005522A8">
        <w:t xml:space="preserve"> provided</w:t>
      </w:r>
      <w:r>
        <w:t xml:space="preserve"> on persecution prior to the </w:t>
      </w:r>
      <w:r w:rsidR="005522A8">
        <w:t>author’s</w:t>
      </w:r>
      <w:r>
        <w:t xml:space="preserve"> departure from his country of origin </w:t>
      </w:r>
      <w:r w:rsidR="005522A8">
        <w:t xml:space="preserve">and </w:t>
      </w:r>
      <w:r>
        <w:t xml:space="preserve">based itself on the assessment </w:t>
      </w:r>
      <w:r w:rsidR="005522A8">
        <w:t>of his</w:t>
      </w:r>
      <w:r>
        <w:t xml:space="preserve"> situation </w:t>
      </w:r>
      <w:r w:rsidR="00475B41">
        <w:t>if he</w:t>
      </w:r>
      <w:r>
        <w:t xml:space="preserve"> return</w:t>
      </w:r>
      <w:r w:rsidR="00475B41">
        <w:t>ed</w:t>
      </w:r>
      <w:r>
        <w:t xml:space="preserve"> to </w:t>
      </w:r>
      <w:r w:rsidR="00475B41">
        <w:t>his</w:t>
      </w:r>
      <w:r>
        <w:t xml:space="preserve"> country of origin. In its decision of 4</w:t>
      </w:r>
      <w:r w:rsidR="00187F8A">
        <w:t> </w:t>
      </w:r>
      <w:r>
        <w:t xml:space="preserve">December 2012, the </w:t>
      </w:r>
      <w:r w:rsidR="008D1129">
        <w:t xml:space="preserve">majority of the </w:t>
      </w:r>
      <w:r w:rsidR="006A4F13">
        <w:t xml:space="preserve">members </w:t>
      </w:r>
      <w:r w:rsidR="00475B41">
        <w:t xml:space="preserve">of the Board </w:t>
      </w:r>
      <w:r w:rsidR="007C4A07">
        <w:t xml:space="preserve">considered </w:t>
      </w:r>
      <w:r w:rsidR="00475B41">
        <w:t xml:space="preserve">that </w:t>
      </w:r>
      <w:r w:rsidR="007C4A07">
        <w:t xml:space="preserve">the author’s allegations </w:t>
      </w:r>
      <w:r w:rsidR="005522A8">
        <w:t>lacked</w:t>
      </w:r>
      <w:r w:rsidR="008D1129">
        <w:t xml:space="preserve"> credibility and </w:t>
      </w:r>
      <w:r w:rsidR="005522A8">
        <w:t xml:space="preserve">appeared </w:t>
      </w:r>
      <w:r w:rsidR="008D1129">
        <w:t xml:space="preserve">fabricated for the occasion. </w:t>
      </w:r>
      <w:r w:rsidR="00602EF1">
        <w:t xml:space="preserve">The </w:t>
      </w:r>
      <w:r w:rsidR="00475B41">
        <w:t xml:space="preserve">Board </w:t>
      </w:r>
      <w:r w:rsidR="00602EF1">
        <w:t xml:space="preserve">found it peculiar that the applicant </w:t>
      </w:r>
      <w:r w:rsidR="00475B41">
        <w:t xml:space="preserve">had </w:t>
      </w:r>
      <w:r w:rsidR="00602EF1">
        <w:t>not himself</w:t>
      </w:r>
      <w:r w:rsidR="007D2578">
        <w:t xml:space="preserve"> </w:t>
      </w:r>
      <w:r w:rsidR="00602EF1">
        <w:t>contact</w:t>
      </w:r>
      <w:r w:rsidR="00475B41">
        <w:t>ed</w:t>
      </w:r>
      <w:r w:rsidR="00602EF1">
        <w:t xml:space="preserve"> his mother, who </w:t>
      </w:r>
      <w:r w:rsidR="0036493A">
        <w:t xml:space="preserve">had </w:t>
      </w:r>
      <w:r w:rsidR="00602EF1">
        <w:t>obtained valuables worth approximately 600,000 taka</w:t>
      </w:r>
      <w:r w:rsidR="007D2578">
        <w:t>,</w:t>
      </w:r>
      <w:r w:rsidR="0036493A">
        <w:rPr>
          <w:rStyle w:val="FootnoteReference"/>
        </w:rPr>
        <w:footnoteReference w:id="15"/>
      </w:r>
      <w:r w:rsidR="00602EF1">
        <w:t xml:space="preserve"> which was paid to the agent who arranged for the author’s departure</w:t>
      </w:r>
      <w:r w:rsidR="00011D19">
        <w:t xml:space="preserve">. The author allegedly </w:t>
      </w:r>
      <w:r w:rsidR="00C56448">
        <w:t>made</w:t>
      </w:r>
      <w:r w:rsidR="00011D19">
        <w:t xml:space="preserve"> contact through </w:t>
      </w:r>
      <w:r w:rsidR="00602EF1">
        <w:t xml:space="preserve">a person whom </w:t>
      </w:r>
      <w:r w:rsidR="00C56448">
        <w:t>he</w:t>
      </w:r>
      <w:r w:rsidR="00602EF1">
        <w:t xml:space="preserve"> had met at random. </w:t>
      </w:r>
      <w:r w:rsidR="00011D19">
        <w:t xml:space="preserve">The </w:t>
      </w:r>
      <w:r w:rsidR="00C56448">
        <w:t xml:space="preserve">Board </w:t>
      </w:r>
      <w:r w:rsidR="00011D19">
        <w:t>also considered</w:t>
      </w:r>
      <w:r w:rsidR="00D55A86">
        <w:t xml:space="preserve"> </w:t>
      </w:r>
      <w:r w:rsidR="00C56448">
        <w:t xml:space="preserve">it </w:t>
      </w:r>
      <w:r w:rsidR="00C73104">
        <w:t>suspicious</w:t>
      </w:r>
      <w:r w:rsidR="00172881">
        <w:t xml:space="preserve"> that the </w:t>
      </w:r>
      <w:r w:rsidR="00C56448">
        <w:t xml:space="preserve">author </w:t>
      </w:r>
      <w:r w:rsidR="00172881">
        <w:t xml:space="preserve">had dared to have sexual intercourse with a friend </w:t>
      </w:r>
      <w:r w:rsidR="00011D19">
        <w:t>in</w:t>
      </w:r>
      <w:r w:rsidR="00172881">
        <w:t xml:space="preserve"> a paddy fi</w:t>
      </w:r>
      <w:r w:rsidR="00B8250D">
        <w:t>eld</w:t>
      </w:r>
      <w:r w:rsidR="00172881">
        <w:t xml:space="preserve"> several times. Finally, the</w:t>
      </w:r>
      <w:r w:rsidR="00011D19">
        <w:t xml:space="preserve"> </w:t>
      </w:r>
      <w:r w:rsidR="00C56448">
        <w:t xml:space="preserve">Board </w:t>
      </w:r>
      <w:r w:rsidR="00011D19">
        <w:t>considered that the</w:t>
      </w:r>
      <w:r w:rsidR="00172881">
        <w:t xml:space="preserve"> applicant ha</w:t>
      </w:r>
      <w:r w:rsidR="00011D19">
        <w:t>d</w:t>
      </w:r>
      <w:r w:rsidR="00172881">
        <w:t xml:space="preserve"> given inconsistent statements</w:t>
      </w:r>
      <w:r w:rsidR="00011D19">
        <w:t>: h</w:t>
      </w:r>
      <w:r w:rsidR="00172881">
        <w:t xml:space="preserve">e </w:t>
      </w:r>
      <w:r w:rsidR="00C56448">
        <w:t xml:space="preserve">had </w:t>
      </w:r>
      <w:r w:rsidR="00172881">
        <w:t xml:space="preserve">stated to the </w:t>
      </w:r>
      <w:r w:rsidR="008E2493">
        <w:t xml:space="preserve">Danish Immigration Service </w:t>
      </w:r>
      <w:r w:rsidR="00172881">
        <w:t>that he was sitting at a café when the person from the village spotted him in Rangpur,</w:t>
      </w:r>
      <w:r w:rsidR="00011D19">
        <w:t xml:space="preserve"> </w:t>
      </w:r>
      <w:r w:rsidR="00B114F0">
        <w:t>whereas</w:t>
      </w:r>
      <w:r w:rsidR="00172881">
        <w:t xml:space="preserve"> he</w:t>
      </w:r>
      <w:r w:rsidR="00C56448">
        <w:t xml:space="preserve"> had</w:t>
      </w:r>
      <w:r w:rsidR="00172881">
        <w:t xml:space="preserve"> stated before the </w:t>
      </w:r>
      <w:r w:rsidR="00C56448">
        <w:t xml:space="preserve">Board </w:t>
      </w:r>
      <w:r w:rsidR="00172881">
        <w:t xml:space="preserve">that </w:t>
      </w:r>
      <w:r w:rsidR="00B114F0">
        <w:t>he was recognized by a village citizen who was sitting in a tea</w:t>
      </w:r>
      <w:r w:rsidR="004710A0">
        <w:t>-</w:t>
      </w:r>
      <w:r w:rsidR="00B114F0">
        <w:t xml:space="preserve">house, while </w:t>
      </w:r>
      <w:r w:rsidR="00172881">
        <w:t xml:space="preserve">he was in the street. </w:t>
      </w:r>
      <w:r w:rsidR="00602EF1">
        <w:t xml:space="preserve">Based on an overall assessment, </w:t>
      </w:r>
      <w:r w:rsidR="00011D19">
        <w:t>the</w:t>
      </w:r>
      <w:r w:rsidR="008D1129">
        <w:t xml:space="preserve"> majority </w:t>
      </w:r>
      <w:r w:rsidR="00602EF1">
        <w:t xml:space="preserve">of the </w:t>
      </w:r>
      <w:r w:rsidR="00C56448">
        <w:t xml:space="preserve">Board </w:t>
      </w:r>
      <w:r w:rsidR="008D1129">
        <w:t>found that the author had failed to render his grounds for asylum</w:t>
      </w:r>
      <w:r w:rsidR="005522A8">
        <w:t xml:space="preserve"> credible</w:t>
      </w:r>
      <w:r w:rsidR="00011D19">
        <w:t>. It</w:t>
      </w:r>
      <w:r w:rsidR="005522A8">
        <w:t xml:space="preserve"> concluded</w:t>
      </w:r>
      <w:r w:rsidR="008D1129">
        <w:t xml:space="preserve"> that the author would not be at a real risk of persecution under section 7</w:t>
      </w:r>
      <w:r w:rsidR="00C56448">
        <w:t xml:space="preserve"> </w:t>
      </w:r>
      <w:r w:rsidR="008D1129">
        <w:t>(1)</w:t>
      </w:r>
      <w:r w:rsidR="00C56448">
        <w:t>,</w:t>
      </w:r>
      <w:r w:rsidR="008D1129">
        <w:t xml:space="preserve"> or abuse falling within section 7</w:t>
      </w:r>
      <w:r w:rsidR="00C56448">
        <w:t xml:space="preserve"> </w:t>
      </w:r>
      <w:r w:rsidR="008D1129">
        <w:t>(2)</w:t>
      </w:r>
      <w:r w:rsidR="00C56448">
        <w:t>,</w:t>
      </w:r>
      <w:r w:rsidR="008D1129">
        <w:t xml:space="preserve"> of the Aliens Act </w:t>
      </w:r>
      <w:r w:rsidR="00C56448">
        <w:t xml:space="preserve">if he </w:t>
      </w:r>
      <w:r w:rsidR="008D1129">
        <w:t>return</w:t>
      </w:r>
      <w:r w:rsidR="00C56448">
        <w:t>ed</w:t>
      </w:r>
      <w:r w:rsidR="008D1129">
        <w:t xml:space="preserve"> to his country of origin. </w:t>
      </w:r>
      <w:r w:rsidR="00172881">
        <w:t xml:space="preserve">For those reasons, the </w:t>
      </w:r>
      <w:r w:rsidR="00C56448">
        <w:t xml:space="preserve">Board </w:t>
      </w:r>
      <w:r w:rsidR="007D2578">
        <w:t xml:space="preserve">upheld the decision of the </w:t>
      </w:r>
      <w:r w:rsidR="008E2493">
        <w:t xml:space="preserve">Immigration Service </w:t>
      </w:r>
    </w:p>
    <w:p w:rsidR="00CD750E" w:rsidRDefault="008D1129" w:rsidP="00754398">
      <w:pPr>
        <w:pStyle w:val="SingleTxtG"/>
      </w:pPr>
      <w:r>
        <w:t>4.</w:t>
      </w:r>
      <w:r w:rsidR="001A10D1">
        <w:t>4</w:t>
      </w:r>
      <w:r>
        <w:tab/>
      </w:r>
      <w:r w:rsidR="005522A8">
        <w:t xml:space="preserve">On </w:t>
      </w:r>
      <w:r w:rsidR="00024855">
        <w:t>12 April 2013, the author requested the reopening of the asylum proceeding</w:t>
      </w:r>
      <w:r w:rsidR="00C56448">
        <w:t>s</w:t>
      </w:r>
      <w:r w:rsidR="00024855">
        <w:t xml:space="preserve">. </w:t>
      </w:r>
      <w:r w:rsidR="00D105FD">
        <w:t>As a reason for reopening</w:t>
      </w:r>
      <w:r w:rsidR="00C56448">
        <w:t xml:space="preserve"> them</w:t>
      </w:r>
      <w:r w:rsidR="00D105FD">
        <w:t xml:space="preserve">, </w:t>
      </w:r>
      <w:r w:rsidR="001527B2">
        <w:t>he</w:t>
      </w:r>
      <w:r w:rsidR="00D105FD">
        <w:t xml:space="preserve"> submitted that it appear</w:t>
      </w:r>
      <w:r w:rsidR="00011D19">
        <w:t>ed</w:t>
      </w:r>
      <w:r w:rsidR="00D105FD">
        <w:t xml:space="preserve"> from the decision</w:t>
      </w:r>
      <w:r w:rsidR="00011D19">
        <w:t xml:space="preserve"> of the </w:t>
      </w:r>
      <w:r w:rsidR="00C56448">
        <w:t xml:space="preserve">Board </w:t>
      </w:r>
      <w:r w:rsidR="00011D19">
        <w:t>that it</w:t>
      </w:r>
      <w:r w:rsidR="00D105FD">
        <w:t xml:space="preserve"> had</w:t>
      </w:r>
      <w:r w:rsidR="00011D19">
        <w:t xml:space="preserve"> not </w:t>
      </w:r>
      <w:r w:rsidR="00D105FD">
        <w:t xml:space="preserve">considered </w:t>
      </w:r>
      <w:r w:rsidR="00C56448">
        <w:t>the</w:t>
      </w:r>
      <w:r w:rsidR="00D105FD">
        <w:t xml:space="preserve"> fact that </w:t>
      </w:r>
      <w:r w:rsidR="00011D19">
        <w:t>he</w:t>
      </w:r>
      <w:r w:rsidR="00D105FD">
        <w:t xml:space="preserve"> was a homosexual. The author claimed that he would risk persecution simply because </w:t>
      </w:r>
      <w:r w:rsidR="00011D19">
        <w:t>of his sexual orientation</w:t>
      </w:r>
      <w:r w:rsidR="00D105FD">
        <w:t xml:space="preserve">, regardless of whether he had had a homosexual relationship or not. </w:t>
      </w:r>
      <w:r w:rsidR="006009DB">
        <w:t xml:space="preserve">He also objected to a wrongful assessment of his credibility, arguing that </w:t>
      </w:r>
      <w:r w:rsidR="001527B2">
        <w:t xml:space="preserve">crops in </w:t>
      </w:r>
      <w:r w:rsidR="006009DB">
        <w:t xml:space="preserve">paddy fields </w:t>
      </w:r>
      <w:r w:rsidR="00C56448">
        <w:t xml:space="preserve">could </w:t>
      </w:r>
      <w:r w:rsidR="006009DB">
        <w:t xml:space="preserve">be so tall that a person could hide there. </w:t>
      </w:r>
      <w:r w:rsidR="00024855">
        <w:t xml:space="preserve">On </w:t>
      </w:r>
      <w:r w:rsidR="00BA650A" w:rsidRPr="00BA650A">
        <w:t>19 September 2014</w:t>
      </w:r>
      <w:r w:rsidR="005522A8">
        <w:t xml:space="preserve">, the </w:t>
      </w:r>
      <w:r w:rsidR="00C56448">
        <w:t xml:space="preserve">Board </w:t>
      </w:r>
      <w:r w:rsidR="004F607A">
        <w:t>ruled on three documents produced by the author</w:t>
      </w:r>
      <w:r w:rsidR="00C56448">
        <w:t xml:space="preserve"> (</w:t>
      </w:r>
      <w:r w:rsidR="00C56448" w:rsidRPr="00A51905">
        <w:t>annexes A, B and C</w:t>
      </w:r>
      <w:r w:rsidR="007024DD">
        <w:t xml:space="preserve"> to </w:t>
      </w:r>
      <w:r w:rsidR="00CC3014">
        <w:t>his</w:t>
      </w:r>
      <w:r w:rsidR="007024DD">
        <w:t xml:space="preserve"> request for </w:t>
      </w:r>
      <w:r w:rsidR="00CC3014">
        <w:t xml:space="preserve">the </w:t>
      </w:r>
      <w:r w:rsidR="007024DD">
        <w:t>reopening of the asylum procedure</w:t>
      </w:r>
      <w:r w:rsidR="00C56448">
        <w:t>),</w:t>
      </w:r>
      <w:r w:rsidR="004F607A">
        <w:t xml:space="preserve"> </w:t>
      </w:r>
      <w:r w:rsidR="00C56448">
        <w:t>which</w:t>
      </w:r>
      <w:r w:rsidR="004F607A">
        <w:t xml:space="preserve"> were also provided to the Committee</w:t>
      </w:r>
      <w:r w:rsidR="00C56448">
        <w:t>,</w:t>
      </w:r>
      <w:r w:rsidR="004F607A">
        <w:t xml:space="preserve"> </w:t>
      </w:r>
      <w:r w:rsidR="00F020AB">
        <w:t xml:space="preserve">and </w:t>
      </w:r>
      <w:r w:rsidR="00BA650A" w:rsidRPr="00BA650A">
        <w:t xml:space="preserve">found </w:t>
      </w:r>
      <w:r w:rsidR="00BA650A">
        <w:t xml:space="preserve">that </w:t>
      </w:r>
      <w:r>
        <w:t xml:space="preserve">no new information </w:t>
      </w:r>
      <w:r w:rsidR="00F020AB">
        <w:t>rendered</w:t>
      </w:r>
      <w:r w:rsidR="00024855">
        <w:t xml:space="preserve"> the risk of persecution</w:t>
      </w:r>
      <w:r>
        <w:t xml:space="preserve"> probable or substantiated</w:t>
      </w:r>
      <w:r w:rsidR="00BA650A" w:rsidRPr="00BA650A">
        <w:t xml:space="preserve"> </w:t>
      </w:r>
      <w:r w:rsidR="00C56448">
        <w:t>if</w:t>
      </w:r>
      <w:r w:rsidR="00F020AB">
        <w:t xml:space="preserve"> </w:t>
      </w:r>
      <w:r w:rsidR="00C56448">
        <w:t xml:space="preserve">the </w:t>
      </w:r>
      <w:r w:rsidR="00F020AB">
        <w:t>author</w:t>
      </w:r>
      <w:r w:rsidR="00F020AB" w:rsidRPr="00BA650A">
        <w:t xml:space="preserve"> </w:t>
      </w:r>
      <w:r w:rsidR="00BA650A" w:rsidRPr="00BA650A">
        <w:t>return</w:t>
      </w:r>
      <w:r w:rsidR="00C56448">
        <w:t>ed</w:t>
      </w:r>
      <w:r w:rsidR="00BA650A" w:rsidRPr="00BA650A">
        <w:t xml:space="preserve"> to Bangladesh</w:t>
      </w:r>
      <w:r>
        <w:t xml:space="preserve">. </w:t>
      </w:r>
      <w:r w:rsidR="00CD750E">
        <w:t xml:space="preserve">The State party observes that </w:t>
      </w:r>
      <w:r w:rsidR="004F607A">
        <w:t xml:space="preserve">the author did not provide any new information to the Committee </w:t>
      </w:r>
      <w:r w:rsidR="00CD750E">
        <w:t xml:space="preserve">that would </w:t>
      </w:r>
      <w:r w:rsidR="00F020AB">
        <w:t xml:space="preserve">justify a revision of its assessment of the author’s case by </w:t>
      </w:r>
      <w:r w:rsidR="00C56448">
        <w:t>the</w:t>
      </w:r>
      <w:r w:rsidR="00F020AB">
        <w:t xml:space="preserve"> authorities</w:t>
      </w:r>
      <w:r w:rsidR="00C56448">
        <w:t xml:space="preserve"> in the State party</w:t>
      </w:r>
      <w:r w:rsidR="00CD750E">
        <w:t xml:space="preserve">. </w:t>
      </w:r>
      <w:r w:rsidR="004F607A">
        <w:t>T</w:t>
      </w:r>
      <w:r w:rsidR="00F020AB">
        <w:t xml:space="preserve">he State party </w:t>
      </w:r>
      <w:r w:rsidR="004F607A">
        <w:t xml:space="preserve">further </w:t>
      </w:r>
      <w:r w:rsidR="00F020AB">
        <w:t xml:space="preserve">submits that even when </w:t>
      </w:r>
      <w:r w:rsidR="00CD750E">
        <w:t xml:space="preserve">a person makes consistent statements, </w:t>
      </w:r>
      <w:r w:rsidR="00F020AB">
        <w:t>the</w:t>
      </w:r>
      <w:r w:rsidR="00C56448">
        <w:t>y</w:t>
      </w:r>
      <w:r w:rsidR="00CD750E">
        <w:t xml:space="preserve"> are not necessarily true and cannot necessarily be considered a</w:t>
      </w:r>
      <w:r w:rsidR="00F020AB">
        <w:t>s</w:t>
      </w:r>
      <w:r w:rsidR="00CD750E">
        <w:t xml:space="preserve"> fact</w:t>
      </w:r>
      <w:r w:rsidR="00591972">
        <w:t>s</w:t>
      </w:r>
      <w:r w:rsidR="00F020AB">
        <w:t xml:space="preserve"> when </w:t>
      </w:r>
      <w:r w:rsidR="00CD750E">
        <w:t xml:space="preserve">their content </w:t>
      </w:r>
      <w:r w:rsidR="004F607A">
        <w:t xml:space="preserve">is </w:t>
      </w:r>
      <w:r w:rsidR="00F020AB">
        <w:t>unlikely and do not seem to reflect</w:t>
      </w:r>
      <w:r w:rsidR="00CD750E">
        <w:t xml:space="preserve"> a personal experience.</w:t>
      </w:r>
      <w:r w:rsidR="007D2578">
        <w:t xml:space="preserve"> </w:t>
      </w:r>
    </w:p>
    <w:p w:rsidR="005D522F" w:rsidRDefault="00CD750E" w:rsidP="00754398">
      <w:pPr>
        <w:pStyle w:val="SingleTxtG"/>
      </w:pPr>
      <w:r>
        <w:t>4.</w:t>
      </w:r>
      <w:r w:rsidR="001A10D1">
        <w:t>5</w:t>
      </w:r>
      <w:r>
        <w:tab/>
      </w:r>
      <w:r w:rsidR="004F607A">
        <w:t>In th</w:t>
      </w:r>
      <w:r w:rsidR="00C56448">
        <w:t>at</w:t>
      </w:r>
      <w:r w:rsidR="004F607A">
        <w:t xml:space="preserve"> connection, the </w:t>
      </w:r>
      <w:r>
        <w:t>State party observes that the author</w:t>
      </w:r>
      <w:r w:rsidR="00CC7704">
        <w:t>’s</w:t>
      </w:r>
      <w:r>
        <w:t xml:space="preserve"> educational and personal skills </w:t>
      </w:r>
      <w:r w:rsidR="00CC7704">
        <w:t>enable</w:t>
      </w:r>
      <w:r w:rsidR="00591972">
        <w:t>d</w:t>
      </w:r>
      <w:r w:rsidR="00CC7704">
        <w:t xml:space="preserve"> him</w:t>
      </w:r>
      <w:r>
        <w:t xml:space="preserve"> to repeat the same narration several times without any essential discrepancies. </w:t>
      </w:r>
      <w:r w:rsidR="004F607A">
        <w:t xml:space="preserve">It further argues that </w:t>
      </w:r>
      <w:r w:rsidR="00DF120A">
        <w:t xml:space="preserve">the author’s statement alleging that the </w:t>
      </w:r>
      <w:r w:rsidR="008E2493">
        <w:t xml:space="preserve">Immigration Service </w:t>
      </w:r>
      <w:r w:rsidR="00DF120A">
        <w:t xml:space="preserve">and </w:t>
      </w:r>
      <w:r w:rsidR="00C56448">
        <w:t>the Refugee Appeals Board</w:t>
      </w:r>
      <w:r w:rsidR="00DF120A">
        <w:t xml:space="preserve"> based their decisions on the fact of his homosexuality is </w:t>
      </w:r>
      <w:r w:rsidR="00C73104">
        <w:t>suspicious</w:t>
      </w:r>
      <w:r w:rsidR="00DF120A">
        <w:t xml:space="preserve">, insofar as </w:t>
      </w:r>
      <w:r w:rsidR="001527B2">
        <w:t xml:space="preserve">in </w:t>
      </w:r>
      <w:r w:rsidR="00ED2523">
        <w:t xml:space="preserve">none of the decisions </w:t>
      </w:r>
      <w:r w:rsidR="001527B2">
        <w:t xml:space="preserve">was it </w:t>
      </w:r>
      <w:r w:rsidR="00ED2523">
        <w:t>concluded that it c</w:t>
      </w:r>
      <w:r w:rsidR="00C56448">
        <w:t>ould</w:t>
      </w:r>
      <w:r w:rsidR="00ED2523">
        <w:t xml:space="preserve"> be assumed that the author </w:t>
      </w:r>
      <w:r w:rsidR="00C56448">
        <w:t>wa</w:t>
      </w:r>
      <w:r w:rsidR="00ED2523">
        <w:t xml:space="preserve">s homosexual. </w:t>
      </w:r>
      <w:r w:rsidR="00DF120A">
        <w:t xml:space="preserve">The State party </w:t>
      </w:r>
      <w:r w:rsidR="00615E29">
        <w:t>observes that the author consistently stated that his homosexual relationship with his friend</w:t>
      </w:r>
      <w:r w:rsidR="005B679A">
        <w:t xml:space="preserve"> Tuhin</w:t>
      </w:r>
      <w:r w:rsidR="00615E29">
        <w:t xml:space="preserve"> had been discovered</w:t>
      </w:r>
      <w:r w:rsidR="005B679A">
        <w:t>;</w:t>
      </w:r>
      <w:r w:rsidR="007D2578">
        <w:t xml:space="preserve"> </w:t>
      </w:r>
      <w:r w:rsidR="00615E29">
        <w:t xml:space="preserve">that he </w:t>
      </w:r>
      <w:r w:rsidR="00C56448">
        <w:t xml:space="preserve">had </w:t>
      </w:r>
      <w:r w:rsidR="00615E29">
        <w:t xml:space="preserve">therefore </w:t>
      </w:r>
      <w:r w:rsidR="00C56448">
        <w:t xml:space="preserve">been </w:t>
      </w:r>
      <w:r w:rsidR="00615E29">
        <w:t>subjected to abuse and persecution prior to his departure</w:t>
      </w:r>
      <w:r w:rsidR="005B679A">
        <w:t>;</w:t>
      </w:r>
      <w:r w:rsidR="00615E29">
        <w:t xml:space="preserve"> and that he feared that he would again be subjected to treatment falling within </w:t>
      </w:r>
      <w:r w:rsidR="00615E29">
        <w:lastRenderedPageBreak/>
        <w:t xml:space="preserve">section 7 of the Aliens Act </w:t>
      </w:r>
      <w:r w:rsidR="00C56448">
        <w:t>if he returned</w:t>
      </w:r>
      <w:r w:rsidR="00DF120A">
        <w:t xml:space="preserve"> to Bangladesh</w:t>
      </w:r>
      <w:r w:rsidR="00615E29">
        <w:t>.</w:t>
      </w:r>
      <w:r w:rsidR="007D2578">
        <w:t xml:space="preserve"> </w:t>
      </w:r>
      <w:r w:rsidR="005441D2">
        <w:t xml:space="preserve">In the </w:t>
      </w:r>
      <w:r w:rsidR="00C56448">
        <w:t xml:space="preserve">Board </w:t>
      </w:r>
      <w:r w:rsidR="005441D2">
        <w:t>decision of 4</w:t>
      </w:r>
      <w:r w:rsidR="00187F8A">
        <w:t> </w:t>
      </w:r>
      <w:r w:rsidR="005441D2">
        <w:t xml:space="preserve">December 2012, </w:t>
      </w:r>
      <w:r w:rsidR="00FF30BF">
        <w:t xml:space="preserve">the author was found not to have rendered probable that </w:t>
      </w:r>
      <w:r w:rsidR="00AF2119">
        <w:t xml:space="preserve">he had been subjected to abuse and persecution prior to his departure </w:t>
      </w:r>
      <w:r w:rsidR="00C56448">
        <w:t xml:space="preserve">in </w:t>
      </w:r>
      <w:r w:rsidR="00AF2119">
        <w:t xml:space="preserve">the way </w:t>
      </w:r>
      <w:r w:rsidR="00C56448">
        <w:t xml:space="preserve">he </w:t>
      </w:r>
      <w:r w:rsidR="00AF2119">
        <w:t>described</w:t>
      </w:r>
      <w:r w:rsidR="00D55D45">
        <w:t xml:space="preserve">. Consequently, the </w:t>
      </w:r>
      <w:r w:rsidR="00C56448">
        <w:t xml:space="preserve">Board </w:t>
      </w:r>
      <w:r w:rsidR="00D55D45">
        <w:t xml:space="preserve">dismissed the author’s statements as unlikely and </w:t>
      </w:r>
      <w:r w:rsidR="00DF120A">
        <w:t>apparently</w:t>
      </w:r>
      <w:r w:rsidR="00D55D45">
        <w:t xml:space="preserve"> fabricated</w:t>
      </w:r>
      <w:r w:rsidR="00AF2119">
        <w:t>.</w:t>
      </w:r>
      <w:r w:rsidR="007D2578">
        <w:t xml:space="preserve"> </w:t>
      </w:r>
      <w:r w:rsidR="003744BF">
        <w:t xml:space="preserve">In its decision of 19 September 2014, the </w:t>
      </w:r>
      <w:r w:rsidR="00C56448">
        <w:t xml:space="preserve">Board </w:t>
      </w:r>
      <w:r w:rsidR="003744BF">
        <w:t xml:space="preserve">concluded that </w:t>
      </w:r>
      <w:r w:rsidR="00FF30BF">
        <w:t xml:space="preserve">the reasons given by the author </w:t>
      </w:r>
      <w:r w:rsidR="00C56448">
        <w:t xml:space="preserve">as to </w:t>
      </w:r>
      <w:r w:rsidR="00AF2119">
        <w:t xml:space="preserve">the risk of </w:t>
      </w:r>
      <w:r w:rsidR="00FF30BF">
        <w:t>persecution</w:t>
      </w:r>
      <w:r w:rsidR="003744BF">
        <w:t xml:space="preserve"> he would face</w:t>
      </w:r>
      <w:r w:rsidR="00FF30BF">
        <w:t xml:space="preserve"> </w:t>
      </w:r>
      <w:r w:rsidR="00AF2119">
        <w:t>up</w:t>
      </w:r>
      <w:r w:rsidR="00FF30BF">
        <w:t xml:space="preserve">on his return were closely connected to those events </w:t>
      </w:r>
      <w:r w:rsidR="00AF2119">
        <w:t xml:space="preserve">and </w:t>
      </w:r>
      <w:r w:rsidR="003744BF">
        <w:t>no</w:t>
      </w:r>
      <w:r w:rsidR="00AF2119" w:rsidRPr="00AF2119">
        <w:t xml:space="preserve"> other reason</w:t>
      </w:r>
      <w:r w:rsidR="003744BF">
        <w:t xml:space="preserve"> was provided. It therefore concluded that</w:t>
      </w:r>
      <w:r w:rsidR="00057C28">
        <w:t xml:space="preserve"> the author had failed to substantiate </w:t>
      </w:r>
      <w:r w:rsidR="00C56448">
        <w:t xml:space="preserve">his claim </w:t>
      </w:r>
      <w:r w:rsidR="00057C28">
        <w:t xml:space="preserve">that </w:t>
      </w:r>
      <w:r w:rsidR="00057C28" w:rsidRPr="00CC3014">
        <w:t xml:space="preserve">his </w:t>
      </w:r>
      <w:r w:rsidR="00057C28">
        <w:t xml:space="preserve">possible homosexuality had resulted in a conflict with </w:t>
      </w:r>
      <w:r w:rsidR="00C77965">
        <w:t xml:space="preserve">the </w:t>
      </w:r>
      <w:r w:rsidR="00057C28">
        <w:t>authorities or private indivi</w:t>
      </w:r>
      <w:r w:rsidR="005D522F">
        <w:t xml:space="preserve">duals in Bangladesh that would </w:t>
      </w:r>
      <w:r w:rsidR="00057C28">
        <w:t xml:space="preserve">justify </w:t>
      </w:r>
      <w:r w:rsidR="00C56448">
        <w:t xml:space="preserve">granting him </w:t>
      </w:r>
      <w:r w:rsidR="00057C28">
        <w:t>asylum.</w:t>
      </w:r>
    </w:p>
    <w:p w:rsidR="00D401AC" w:rsidRDefault="005D522F" w:rsidP="0097043C">
      <w:pPr>
        <w:pStyle w:val="SingleTxtG"/>
      </w:pPr>
      <w:r>
        <w:t>4.</w:t>
      </w:r>
      <w:r w:rsidR="001A10D1">
        <w:t>6</w:t>
      </w:r>
      <w:r>
        <w:tab/>
        <w:t xml:space="preserve">On the contrary, the State party </w:t>
      </w:r>
      <w:r w:rsidR="003744BF">
        <w:t>considers as</w:t>
      </w:r>
      <w:r>
        <w:t xml:space="preserve"> a fact that the author </w:t>
      </w:r>
      <w:r w:rsidR="003744BF">
        <w:t>was not</w:t>
      </w:r>
      <w:r>
        <w:t xml:space="preserve"> subjected to persecution, abuse or similar treatment prior to his departure</w:t>
      </w:r>
      <w:r w:rsidR="001527B2">
        <w:t>, because</w:t>
      </w:r>
      <w:r w:rsidR="0097043C">
        <w:t xml:space="preserve"> he</w:t>
      </w:r>
      <w:r>
        <w:t xml:space="preserve"> was able to live </w:t>
      </w:r>
      <w:r w:rsidR="0097043C">
        <w:t xml:space="preserve">in Bangladesh as a homosexual </w:t>
      </w:r>
      <w:r>
        <w:t xml:space="preserve">until his departure </w:t>
      </w:r>
      <w:r w:rsidR="0097043C">
        <w:t>in</w:t>
      </w:r>
      <w:r>
        <w:t xml:space="preserve"> 2011/2012 without </w:t>
      </w:r>
      <w:r w:rsidR="00B61A0F">
        <w:t xml:space="preserve">coming into </w:t>
      </w:r>
      <w:r>
        <w:t xml:space="preserve">conflict with </w:t>
      </w:r>
      <w:r w:rsidR="0097043C">
        <w:t xml:space="preserve">the </w:t>
      </w:r>
      <w:r>
        <w:t xml:space="preserve">authorities </w:t>
      </w:r>
      <w:r w:rsidR="0097043C">
        <w:t xml:space="preserve">of the State party </w:t>
      </w:r>
      <w:r>
        <w:t xml:space="preserve">or with private individuals. </w:t>
      </w:r>
      <w:r w:rsidR="00A9399F">
        <w:t xml:space="preserve">The State party agrees with the assessment </w:t>
      </w:r>
      <w:r w:rsidR="0097043C">
        <w:t xml:space="preserve">of </w:t>
      </w:r>
      <w:r w:rsidR="00A9399F">
        <w:t xml:space="preserve">the </w:t>
      </w:r>
      <w:r w:rsidR="00B61A0F">
        <w:t xml:space="preserve">Refugee Appeals Board </w:t>
      </w:r>
      <w:r w:rsidR="00A9399F">
        <w:t>that the mere reference to the general background information available o</w:t>
      </w:r>
      <w:r w:rsidR="00BA5CAE">
        <w:t>n</w:t>
      </w:r>
      <w:r w:rsidR="00A9399F">
        <w:t xml:space="preserve"> the condition of </w:t>
      </w:r>
      <w:r w:rsidR="00B61A0F">
        <w:t xml:space="preserve">lesbian, gay, bisexual and transgender </w:t>
      </w:r>
      <w:r w:rsidR="00A9399F">
        <w:t xml:space="preserve">people in Bangladesh </w:t>
      </w:r>
      <w:r w:rsidR="0097043C">
        <w:t>is not sufficient to</w:t>
      </w:r>
      <w:r w:rsidR="00A9399F">
        <w:t xml:space="preserve"> substantiate </w:t>
      </w:r>
      <w:r w:rsidR="00B61A0F">
        <w:t xml:space="preserve">the claim </w:t>
      </w:r>
      <w:r w:rsidR="00A9399F">
        <w:t xml:space="preserve">that the author would </w:t>
      </w:r>
      <w:r w:rsidR="00B61A0F">
        <w:t xml:space="preserve">be </w:t>
      </w:r>
      <w:r w:rsidR="0097043C">
        <w:t>a</w:t>
      </w:r>
      <w:r w:rsidR="00B61A0F">
        <w:t>t</w:t>
      </w:r>
      <w:r w:rsidR="0097043C">
        <w:t xml:space="preserve"> risk of </w:t>
      </w:r>
      <w:r w:rsidR="00A9399F">
        <w:t xml:space="preserve">persecution or abuse upon his return to Bangladesh. </w:t>
      </w:r>
      <w:r w:rsidR="0097043C">
        <w:t>I</w:t>
      </w:r>
      <w:r w:rsidR="000F5442">
        <w:t>n its decision of 19</w:t>
      </w:r>
      <w:r w:rsidR="00187F8A">
        <w:t> </w:t>
      </w:r>
      <w:r w:rsidR="000F5442">
        <w:t>September 2014</w:t>
      </w:r>
      <w:r w:rsidR="0097043C">
        <w:t xml:space="preserve">, the </w:t>
      </w:r>
      <w:r w:rsidR="00B61A0F">
        <w:t xml:space="preserve">Board </w:t>
      </w:r>
      <w:r w:rsidR="0097043C">
        <w:t>noted</w:t>
      </w:r>
      <w:r w:rsidR="000F5442">
        <w:t xml:space="preserve"> that the situation of homosexuals </w:t>
      </w:r>
      <w:r w:rsidR="0097043C">
        <w:t xml:space="preserve">in Bangladesh </w:t>
      </w:r>
      <w:r w:rsidR="000F5442">
        <w:t>ha</w:t>
      </w:r>
      <w:r w:rsidR="00B61A0F">
        <w:t>d</w:t>
      </w:r>
      <w:r w:rsidR="000F5442">
        <w:t xml:space="preserve"> improved considerably in recent years </w:t>
      </w:r>
      <w:r w:rsidR="0097043C">
        <w:t xml:space="preserve">and </w:t>
      </w:r>
      <w:r w:rsidR="000F5442">
        <w:t>that although homosexuality</w:t>
      </w:r>
      <w:r w:rsidR="00B61A0F">
        <w:t xml:space="preserve"> was</w:t>
      </w:r>
      <w:r w:rsidR="000F5442">
        <w:t xml:space="preserve"> illegal pursuant to section 337 of </w:t>
      </w:r>
      <w:r w:rsidR="001527B2">
        <w:t>the Criminal Code</w:t>
      </w:r>
      <w:r w:rsidR="000F5442">
        <w:t xml:space="preserve">, </w:t>
      </w:r>
      <w:r w:rsidR="00652CD6">
        <w:t>th</w:t>
      </w:r>
      <w:r w:rsidR="00B61A0F">
        <w:t>e</w:t>
      </w:r>
      <w:r w:rsidR="00652CD6">
        <w:t xml:space="preserve"> </w:t>
      </w:r>
      <w:r w:rsidR="000F5442">
        <w:t xml:space="preserve">act </w:t>
      </w:r>
      <w:r w:rsidR="00B61A0F">
        <w:t>wa</w:t>
      </w:r>
      <w:r w:rsidR="000F5442">
        <w:t>s not enforced in practice</w:t>
      </w:r>
      <w:r w:rsidR="0097043C">
        <w:t xml:space="preserve">. </w:t>
      </w:r>
      <w:r w:rsidR="00652CD6">
        <w:t>The State party further notes</w:t>
      </w:r>
      <w:r w:rsidR="000F5442">
        <w:t xml:space="preserve"> that numerous support networks for homosexual men </w:t>
      </w:r>
      <w:r w:rsidR="00B61A0F">
        <w:t xml:space="preserve">have been </w:t>
      </w:r>
      <w:r w:rsidR="000F5442">
        <w:t>established</w:t>
      </w:r>
      <w:r w:rsidR="00652CD6">
        <w:t xml:space="preserve"> in the country</w:t>
      </w:r>
      <w:r w:rsidR="000F5442">
        <w:t xml:space="preserve">. As regards the author’s membership of LGBT Asylum, the </w:t>
      </w:r>
      <w:r w:rsidR="00B61A0F">
        <w:t xml:space="preserve">Board </w:t>
      </w:r>
      <w:r w:rsidR="000F5442">
        <w:t xml:space="preserve">was not able to take </w:t>
      </w:r>
      <w:r w:rsidR="00652CD6">
        <w:t>it</w:t>
      </w:r>
      <w:r w:rsidR="000F5442">
        <w:t xml:space="preserve"> into account in its decision of 4 December 2012 </w:t>
      </w:r>
      <w:r w:rsidR="00487938">
        <w:t xml:space="preserve">because, as indicated by the author himself and by the letter of the association, </w:t>
      </w:r>
      <w:r w:rsidR="00B61A0F">
        <w:t>he only became a member</w:t>
      </w:r>
      <w:r w:rsidR="000F5442">
        <w:t xml:space="preserve"> in October 201</w:t>
      </w:r>
      <w:r w:rsidR="00487938">
        <w:t>3</w:t>
      </w:r>
      <w:r w:rsidR="000F5442">
        <w:t xml:space="preserve">. </w:t>
      </w:r>
    </w:p>
    <w:p w:rsidR="00D401AC" w:rsidRDefault="00D401AC" w:rsidP="00A2097A">
      <w:pPr>
        <w:pStyle w:val="SingleTxtG"/>
      </w:pPr>
      <w:r>
        <w:t>4.</w:t>
      </w:r>
      <w:r w:rsidR="001A10D1">
        <w:t>7</w:t>
      </w:r>
      <w:r>
        <w:tab/>
      </w:r>
      <w:r w:rsidR="00487938">
        <w:t xml:space="preserve">The State party </w:t>
      </w:r>
      <w:r w:rsidR="00A2097A">
        <w:t xml:space="preserve">takes note of the newspaper article </w:t>
      </w:r>
      <w:r>
        <w:t xml:space="preserve">from </w:t>
      </w:r>
      <w:r w:rsidRPr="00026F6B">
        <w:t xml:space="preserve">the </w:t>
      </w:r>
      <w:r w:rsidRPr="00A51905">
        <w:rPr>
          <w:i/>
        </w:rPr>
        <w:t>Daily Banglar Manush</w:t>
      </w:r>
      <w:r>
        <w:t xml:space="preserve"> </w:t>
      </w:r>
      <w:r w:rsidR="00221AEE">
        <w:t>of 24 March 2013</w:t>
      </w:r>
      <w:r w:rsidR="00F405A9">
        <w:t>,</w:t>
      </w:r>
      <w:r w:rsidR="00221AEE">
        <w:t xml:space="preserve"> </w:t>
      </w:r>
      <w:r w:rsidR="00A2097A">
        <w:t xml:space="preserve">which was </w:t>
      </w:r>
      <w:r>
        <w:t>submitted</w:t>
      </w:r>
      <w:r w:rsidR="00487938">
        <w:t xml:space="preserve"> by the author</w:t>
      </w:r>
      <w:r>
        <w:t xml:space="preserve"> to the </w:t>
      </w:r>
      <w:r w:rsidR="00B61A0F">
        <w:t xml:space="preserve">Refugee Appeals Board </w:t>
      </w:r>
      <w:r>
        <w:t>on 12</w:t>
      </w:r>
      <w:r w:rsidR="00187F8A">
        <w:t> </w:t>
      </w:r>
      <w:r>
        <w:t>April 2013</w:t>
      </w:r>
      <w:r w:rsidR="001527B2">
        <w:t xml:space="preserve"> after he had obtained it through friends of a friend.</w:t>
      </w:r>
      <w:r>
        <w:rPr>
          <w:rStyle w:val="FootnoteReference"/>
        </w:rPr>
        <w:footnoteReference w:id="16"/>
      </w:r>
      <w:r w:rsidR="00A2097A">
        <w:t xml:space="preserve"> </w:t>
      </w:r>
      <w:r w:rsidR="00705307">
        <w:t>According to th</w:t>
      </w:r>
      <w:r w:rsidR="00B61A0F">
        <w:t>e</w:t>
      </w:r>
      <w:r w:rsidR="00705307">
        <w:t xml:space="preserve"> article,</w:t>
      </w:r>
      <w:r w:rsidR="00A2097A">
        <w:t xml:space="preserve"> </w:t>
      </w:r>
      <w:r w:rsidR="00BA5CAE">
        <w:t xml:space="preserve">an elderly lady named Rokeya Begum </w:t>
      </w:r>
      <w:r w:rsidR="00B61A0F">
        <w:t xml:space="preserve">had </w:t>
      </w:r>
      <w:r w:rsidR="00BA5CAE">
        <w:t xml:space="preserve">hanged herself on 22 March 2012 in the village of Rangarlirbosh. </w:t>
      </w:r>
      <w:r w:rsidR="00705307">
        <w:t>D</w:t>
      </w:r>
      <w:r w:rsidR="00A2097A">
        <w:t>uring</w:t>
      </w:r>
      <w:r w:rsidR="00BA5CAE">
        <w:t xml:space="preserve"> the investigation</w:t>
      </w:r>
      <w:r w:rsidR="00705307">
        <w:t>, it was allegedly discovered</w:t>
      </w:r>
      <w:r w:rsidR="00BA5CAE">
        <w:t xml:space="preserve"> that two boys</w:t>
      </w:r>
      <w:r w:rsidR="00221AEE">
        <w:t xml:space="preserve">, one of </w:t>
      </w:r>
      <w:r w:rsidR="00397C8E">
        <w:t>them being</w:t>
      </w:r>
      <w:r w:rsidR="00221AEE">
        <w:t xml:space="preserve"> the author, </w:t>
      </w:r>
      <w:r w:rsidR="00BA5CAE">
        <w:t xml:space="preserve">had had a homosexual relationship in July 2011, that </w:t>
      </w:r>
      <w:r w:rsidR="00A2097A">
        <w:t>they</w:t>
      </w:r>
      <w:r w:rsidR="00BA5CAE">
        <w:t xml:space="preserve"> had been apprehended and brought to a member of the village council, and had spent the night with their hands tied behind their backs</w:t>
      </w:r>
      <w:r w:rsidR="00497838">
        <w:t xml:space="preserve">. </w:t>
      </w:r>
      <w:r w:rsidR="00487938">
        <w:t xml:space="preserve">The article also </w:t>
      </w:r>
      <w:r w:rsidR="00B61A0F">
        <w:t xml:space="preserve">stated </w:t>
      </w:r>
      <w:r w:rsidR="00497838">
        <w:t xml:space="preserve">that the boys </w:t>
      </w:r>
      <w:r w:rsidR="00397C8E">
        <w:t>were</w:t>
      </w:r>
      <w:r w:rsidR="00497838">
        <w:t xml:space="preserve"> banished from the village </w:t>
      </w:r>
      <w:r w:rsidR="00487938">
        <w:t xml:space="preserve">and </w:t>
      </w:r>
      <w:r w:rsidR="00497838">
        <w:t xml:space="preserve">that one of </w:t>
      </w:r>
      <w:r w:rsidR="00487938">
        <w:t>them</w:t>
      </w:r>
      <w:r w:rsidR="00497838">
        <w:t xml:space="preserve"> had come back </w:t>
      </w:r>
      <w:r w:rsidR="00487938">
        <w:t>there</w:t>
      </w:r>
      <w:r w:rsidR="00497838">
        <w:t xml:space="preserve"> two months later to see his sister and </w:t>
      </w:r>
      <w:r w:rsidR="00487938">
        <w:t>that on this occasion, he was</w:t>
      </w:r>
      <w:r w:rsidR="00497838">
        <w:t xml:space="preserve"> captured and tortured, </w:t>
      </w:r>
      <w:r w:rsidR="00487938">
        <w:t>including through the removal of</w:t>
      </w:r>
      <w:r w:rsidR="00497838">
        <w:t xml:space="preserve"> his genitals</w:t>
      </w:r>
      <w:r w:rsidR="00B61A0F">
        <w:t>,</w:t>
      </w:r>
      <w:r w:rsidR="00497838">
        <w:t xml:space="preserve"> </w:t>
      </w:r>
      <w:r w:rsidR="00487938">
        <w:t>following which he</w:t>
      </w:r>
      <w:r w:rsidR="00497838">
        <w:t xml:space="preserve"> died. The article </w:t>
      </w:r>
      <w:r w:rsidR="00705307">
        <w:t>also report</w:t>
      </w:r>
      <w:r w:rsidR="00B61A0F">
        <w:t>ed</w:t>
      </w:r>
      <w:r w:rsidR="00497838">
        <w:t xml:space="preserve"> that </w:t>
      </w:r>
      <w:r w:rsidR="00705307">
        <w:t xml:space="preserve">the author’s </w:t>
      </w:r>
      <w:r w:rsidR="00497838">
        <w:t xml:space="preserve">family now </w:t>
      </w:r>
      <w:r w:rsidR="00B61A0F">
        <w:t xml:space="preserve">led </w:t>
      </w:r>
      <w:r w:rsidR="00497838">
        <w:t xml:space="preserve">an isolated life because of his homosexuality and that his father had died from a heart attack on 2 March 2012. The </w:t>
      </w:r>
      <w:r w:rsidR="00B61A0F">
        <w:t xml:space="preserve">Board </w:t>
      </w:r>
      <w:r w:rsidR="00705307">
        <w:t>assessed that it could not verify the authenticity of the newspaper article</w:t>
      </w:r>
      <w:r w:rsidR="002F4D59">
        <w:t xml:space="preserve">, </w:t>
      </w:r>
      <w:r w:rsidR="008E069A">
        <w:t xml:space="preserve">considering the time </w:t>
      </w:r>
      <w:r w:rsidR="000E4BF6">
        <w:t xml:space="preserve">of </w:t>
      </w:r>
      <w:r w:rsidR="008E069A">
        <w:t>it</w:t>
      </w:r>
      <w:r w:rsidR="000E4BF6">
        <w:t>s</w:t>
      </w:r>
      <w:r w:rsidR="008E069A">
        <w:t xml:space="preserve"> appear</w:t>
      </w:r>
      <w:r w:rsidR="000E4BF6">
        <w:t xml:space="preserve">ance, </w:t>
      </w:r>
      <w:r w:rsidR="008E069A">
        <w:t>the lack of clarity o</w:t>
      </w:r>
      <w:r w:rsidR="00B61A0F">
        <w:t>f</w:t>
      </w:r>
      <w:r w:rsidR="008E069A">
        <w:t xml:space="preserve"> its sources in Bangladesh</w:t>
      </w:r>
      <w:r w:rsidR="000E4BF6">
        <w:t xml:space="preserve"> </w:t>
      </w:r>
      <w:r w:rsidR="008E069A">
        <w:t xml:space="preserve">and its procurement through the author’s friends in Saudi Arabia. The </w:t>
      </w:r>
      <w:r w:rsidR="00B61A0F">
        <w:t xml:space="preserve">Board </w:t>
      </w:r>
      <w:r w:rsidR="008E069A">
        <w:t xml:space="preserve">also </w:t>
      </w:r>
      <w:r w:rsidR="00497838">
        <w:t xml:space="preserve">found that </w:t>
      </w:r>
      <w:r w:rsidR="000E4BF6">
        <w:t xml:space="preserve">the article </w:t>
      </w:r>
      <w:r w:rsidR="00705307">
        <w:t xml:space="preserve">lacked credibility </w:t>
      </w:r>
      <w:r w:rsidR="00B61A0F">
        <w:t xml:space="preserve">as to </w:t>
      </w:r>
      <w:r w:rsidR="008E069A">
        <w:t>its content</w:t>
      </w:r>
      <w:r w:rsidR="00B61A0F">
        <w:t>,</w:t>
      </w:r>
      <w:r w:rsidR="008E069A">
        <w:t xml:space="preserve"> </w:t>
      </w:r>
      <w:r w:rsidR="000E4BF6">
        <w:t>considering the amount of specific details</w:t>
      </w:r>
      <w:r w:rsidR="00957283">
        <w:t xml:space="preserve">, </w:t>
      </w:r>
      <w:r w:rsidR="000E4BF6">
        <w:t>which correspond</w:t>
      </w:r>
      <w:r w:rsidR="00B61A0F">
        <w:t>ed</w:t>
      </w:r>
      <w:r w:rsidR="000E4BF6">
        <w:t xml:space="preserve"> exactly to the author’s statements on his grounds for </w:t>
      </w:r>
      <w:r w:rsidR="00B61A0F">
        <w:t xml:space="preserve">seeking </w:t>
      </w:r>
      <w:r w:rsidR="000E4BF6">
        <w:t xml:space="preserve">asylum. </w:t>
      </w:r>
      <w:r w:rsidR="00B61A0F">
        <w:t>I</w:t>
      </w:r>
      <w:r w:rsidR="000E4BF6">
        <w:t xml:space="preserve">t appeared </w:t>
      </w:r>
      <w:r w:rsidR="00B61A0F">
        <w:t xml:space="preserve">therefore to have been </w:t>
      </w:r>
      <w:r w:rsidR="00705307">
        <w:t>fabricated for the occasion</w:t>
      </w:r>
      <w:r w:rsidR="000E4BF6">
        <w:t xml:space="preserve">, considering that false documents are common in Bangladesh, according to the information </w:t>
      </w:r>
      <w:r w:rsidR="00B61A0F">
        <w:t xml:space="preserve">provided </w:t>
      </w:r>
      <w:r w:rsidR="000E4BF6">
        <w:t>by the Ministry of Foreign Affairs</w:t>
      </w:r>
      <w:r w:rsidR="00B238B1">
        <w:t xml:space="preserve">. </w:t>
      </w:r>
      <w:r w:rsidR="00B15A03" w:rsidRPr="00B15A03">
        <w:t>In th</w:t>
      </w:r>
      <w:r w:rsidR="00B61A0F">
        <w:t>at</w:t>
      </w:r>
      <w:r w:rsidR="00B15A03" w:rsidRPr="00B15A03">
        <w:t xml:space="preserve"> respect, the </w:t>
      </w:r>
      <w:r w:rsidR="00B61A0F">
        <w:t>Board</w:t>
      </w:r>
      <w:r w:rsidR="00B15A03" w:rsidRPr="00B15A03">
        <w:t xml:space="preserve">, despite the confirmation </w:t>
      </w:r>
      <w:r w:rsidR="00B61A0F">
        <w:t xml:space="preserve">provided </w:t>
      </w:r>
      <w:r w:rsidR="00B15A03" w:rsidRPr="00B15A03">
        <w:t xml:space="preserve">by </w:t>
      </w:r>
      <w:r w:rsidR="00B61A0F">
        <w:t xml:space="preserve">the </w:t>
      </w:r>
      <w:r w:rsidR="00B15A03" w:rsidRPr="00B15A03">
        <w:t xml:space="preserve">Bangladesh </w:t>
      </w:r>
      <w:r w:rsidR="00B61A0F">
        <w:t xml:space="preserve">office of the United Nations Educational, Scientific and Cultural Organization </w:t>
      </w:r>
      <w:r w:rsidR="00B15A03" w:rsidRPr="00B15A03">
        <w:t>that a newspaper of the relevant name did exist</w:t>
      </w:r>
      <w:r w:rsidR="00B15A03">
        <w:t xml:space="preserve">, </w:t>
      </w:r>
      <w:r w:rsidR="00B15A03" w:rsidRPr="00B15A03">
        <w:t xml:space="preserve">did not </w:t>
      </w:r>
      <w:r w:rsidR="00B15A03">
        <w:t xml:space="preserve">find </w:t>
      </w:r>
      <w:r w:rsidR="00B46F4D">
        <w:t xml:space="preserve">it </w:t>
      </w:r>
      <w:r w:rsidR="00B46F4D">
        <w:lastRenderedPageBreak/>
        <w:t>necessary</w:t>
      </w:r>
      <w:r w:rsidR="00B15A03">
        <w:t xml:space="preserve"> </w:t>
      </w:r>
      <w:r w:rsidR="00B15A03" w:rsidRPr="00B15A03">
        <w:t>to have the authenticity of the n</w:t>
      </w:r>
      <w:r w:rsidR="00B15A03">
        <w:t xml:space="preserve">ews article verified. </w:t>
      </w:r>
      <w:r w:rsidR="00B238B1">
        <w:t>Against th</w:t>
      </w:r>
      <w:r w:rsidR="00B46F4D">
        <w:t>at</w:t>
      </w:r>
      <w:r w:rsidR="00B238B1">
        <w:t xml:space="preserve"> background, the State party cannot give any evidential value to the document produced by the author.</w:t>
      </w:r>
      <w:r w:rsidR="00957283" w:rsidRPr="00957283">
        <w:t xml:space="preserve"> </w:t>
      </w:r>
    </w:p>
    <w:p w:rsidR="006A6A75" w:rsidRDefault="006A6A75" w:rsidP="006A6A75">
      <w:pPr>
        <w:pStyle w:val="SingleTxtG"/>
      </w:pPr>
      <w:r>
        <w:t>4.8</w:t>
      </w:r>
      <w:r>
        <w:tab/>
      </w:r>
      <w:r w:rsidR="008110DA">
        <w:t xml:space="preserve">The State party observes that the author </w:t>
      </w:r>
      <w:r w:rsidR="00705307">
        <w:t>fails</w:t>
      </w:r>
      <w:r w:rsidR="008110DA">
        <w:t xml:space="preserve"> to substantiate </w:t>
      </w:r>
      <w:r w:rsidR="00B46F4D">
        <w:t>his reasons for</w:t>
      </w:r>
      <w:r w:rsidR="00705307">
        <w:t xml:space="preserve"> consider</w:t>
      </w:r>
      <w:r w:rsidR="00B46F4D">
        <w:t>ing</w:t>
      </w:r>
      <w:r w:rsidR="00705307">
        <w:t xml:space="preserve"> that</w:t>
      </w:r>
      <w:r w:rsidR="008110DA">
        <w:t xml:space="preserve"> the submissions concerning his age entail </w:t>
      </w:r>
      <w:r w:rsidR="00BA779C">
        <w:t>a</w:t>
      </w:r>
      <w:r w:rsidR="008110DA">
        <w:t xml:space="preserve"> violation of article 7 of the Covenant. It submits that the </w:t>
      </w:r>
      <w:r w:rsidR="008E2493">
        <w:t>Danish Immigration Service</w:t>
      </w:r>
      <w:r w:rsidR="005B3098">
        <w:t xml:space="preserve"> </w:t>
      </w:r>
      <w:r w:rsidR="008110DA">
        <w:t>is the authority</w:t>
      </w:r>
      <w:r w:rsidR="00BA779C">
        <w:t xml:space="preserve"> in charge of</w:t>
      </w:r>
      <w:r w:rsidR="008110DA">
        <w:t xml:space="preserve"> determining the age of asylum</w:t>
      </w:r>
      <w:r w:rsidR="00B46F4D">
        <w:t xml:space="preserve"> </w:t>
      </w:r>
      <w:r w:rsidR="008110DA">
        <w:t>seeker</w:t>
      </w:r>
      <w:r w:rsidR="00BA779C">
        <w:t>s</w:t>
      </w:r>
      <w:r w:rsidR="00B46F4D">
        <w:t>,</w:t>
      </w:r>
      <w:r w:rsidR="008110DA">
        <w:t xml:space="preserve"> </w:t>
      </w:r>
      <w:r w:rsidR="00BA779C">
        <w:t>whenever</w:t>
      </w:r>
      <w:r w:rsidR="008110DA">
        <w:t xml:space="preserve"> necessary. The </w:t>
      </w:r>
      <w:r w:rsidR="00221AEE" w:rsidRPr="00CC3014">
        <w:t>Section of Forensic Pathology</w:t>
      </w:r>
      <w:r w:rsidR="008110DA">
        <w:t xml:space="preserve"> </w:t>
      </w:r>
      <w:r w:rsidR="00677542">
        <w:t xml:space="preserve">examined </w:t>
      </w:r>
      <w:r w:rsidR="008110DA">
        <w:t>the</w:t>
      </w:r>
      <w:r w:rsidR="00677542">
        <w:t xml:space="preserve"> author and </w:t>
      </w:r>
      <w:r w:rsidR="00BA779C">
        <w:t>determined that he was</w:t>
      </w:r>
      <w:r w:rsidR="00677542">
        <w:t xml:space="preserve"> 19 years </w:t>
      </w:r>
      <w:r w:rsidR="003419C9">
        <w:t xml:space="preserve">old </w:t>
      </w:r>
      <w:r w:rsidR="00677542">
        <w:t xml:space="preserve">or more. </w:t>
      </w:r>
      <w:r w:rsidR="00BA779C">
        <w:t>On 4 July 2012, t</w:t>
      </w:r>
      <w:r w:rsidR="00677542">
        <w:t xml:space="preserve">he </w:t>
      </w:r>
      <w:r w:rsidR="008E2493">
        <w:t>Immigration Service</w:t>
      </w:r>
      <w:r w:rsidR="00677542">
        <w:t xml:space="preserve"> decided to fix the author’s date of birth </w:t>
      </w:r>
      <w:r w:rsidR="00B46F4D">
        <w:t xml:space="preserve">as </w:t>
      </w:r>
      <w:r w:rsidR="00677542">
        <w:t xml:space="preserve">21 </w:t>
      </w:r>
      <w:r w:rsidR="00E939B5">
        <w:t>December</w:t>
      </w:r>
      <w:r w:rsidR="00677542">
        <w:t xml:space="preserve"> 1992. The author appealed </w:t>
      </w:r>
      <w:r w:rsidR="00B46F4D">
        <w:t xml:space="preserve">against </w:t>
      </w:r>
      <w:r w:rsidR="00677542">
        <w:t xml:space="preserve">this decision to the Ministry of Justice, which upheld </w:t>
      </w:r>
      <w:r w:rsidR="00705307">
        <w:t>it</w:t>
      </w:r>
      <w:r w:rsidR="00677542">
        <w:t xml:space="preserve"> on 9 March 2015. The </w:t>
      </w:r>
      <w:r w:rsidR="00B46F4D">
        <w:t xml:space="preserve">Refugee Appeals Board </w:t>
      </w:r>
      <w:r w:rsidR="00853189">
        <w:t>also</w:t>
      </w:r>
      <w:r w:rsidR="00677542">
        <w:t xml:space="preserve"> assessed</w:t>
      </w:r>
      <w:r w:rsidR="00853189">
        <w:t xml:space="preserve"> positively that </w:t>
      </w:r>
      <w:r w:rsidR="00677542">
        <w:t xml:space="preserve">the author had </w:t>
      </w:r>
      <w:r w:rsidR="00853189">
        <w:t xml:space="preserve">the </w:t>
      </w:r>
      <w:r w:rsidR="00677542">
        <w:t xml:space="preserve">procedural capacity and the necessary maturity to undergo the asylum procedure. </w:t>
      </w:r>
      <w:r w:rsidR="00677542" w:rsidRPr="00BA779C">
        <w:t xml:space="preserve">The State party also submits that in cases </w:t>
      </w:r>
      <w:r w:rsidR="00BA779C">
        <w:t>where</w:t>
      </w:r>
      <w:r w:rsidR="00677542" w:rsidRPr="00BA779C">
        <w:t xml:space="preserve"> the asylum</w:t>
      </w:r>
      <w:r w:rsidR="00B46F4D">
        <w:t xml:space="preserve"> </w:t>
      </w:r>
      <w:r w:rsidR="00677542" w:rsidRPr="00BA779C">
        <w:t xml:space="preserve">seeker </w:t>
      </w:r>
      <w:r w:rsidR="00BA779C" w:rsidRPr="00BA779C">
        <w:t>refer</w:t>
      </w:r>
      <w:r w:rsidR="00BA779C">
        <w:t>s</w:t>
      </w:r>
      <w:r w:rsidR="00BA779C" w:rsidRPr="00BA779C">
        <w:t xml:space="preserve"> </w:t>
      </w:r>
      <w:r w:rsidR="00677542" w:rsidRPr="00BA779C">
        <w:t>to his sexuality or gender identity</w:t>
      </w:r>
      <w:r w:rsidR="00BA779C">
        <w:t>,</w:t>
      </w:r>
      <w:r w:rsidR="00677542" w:rsidRPr="00BA779C">
        <w:t xml:space="preserve"> </w:t>
      </w:r>
      <w:r w:rsidR="004144F1" w:rsidRPr="00BA779C">
        <w:t xml:space="preserve">the </w:t>
      </w:r>
      <w:r w:rsidR="00B46F4D">
        <w:t>Board</w:t>
      </w:r>
      <w:r w:rsidR="00B46F4D" w:rsidRPr="00BA779C">
        <w:t xml:space="preserve"> </w:t>
      </w:r>
      <w:r w:rsidR="004144F1" w:rsidRPr="00BA779C">
        <w:t xml:space="preserve">assesses whether </w:t>
      </w:r>
      <w:r w:rsidR="00BA779C">
        <w:t>the person is</w:t>
      </w:r>
      <w:r w:rsidR="00677542" w:rsidRPr="00BA779C">
        <w:t xml:space="preserve"> in a particularly vulnerable situation</w:t>
      </w:r>
      <w:r w:rsidR="004144F1" w:rsidRPr="00BA779C">
        <w:t xml:space="preserve">, taking into account the relevant </w:t>
      </w:r>
      <w:r w:rsidR="00B46F4D">
        <w:t>g</w:t>
      </w:r>
      <w:r w:rsidR="004144F1" w:rsidRPr="00BA779C">
        <w:t>uidelines</w:t>
      </w:r>
      <w:r w:rsidR="00B46F4D">
        <w:t xml:space="preserve"> of the Office of the United Nations High Commissioner for Refugees</w:t>
      </w:r>
      <w:r w:rsidR="009229F2">
        <w:t xml:space="preserve"> (UNHCR)</w:t>
      </w:r>
      <w:r w:rsidR="004144F1" w:rsidRPr="00BA779C">
        <w:t>.</w:t>
      </w:r>
      <w:r w:rsidR="004144F1" w:rsidRPr="00BA779C">
        <w:rPr>
          <w:rStyle w:val="FootnoteReference"/>
        </w:rPr>
        <w:footnoteReference w:id="17"/>
      </w:r>
      <w:r w:rsidR="004144F1" w:rsidRPr="00BA779C">
        <w:t xml:space="preserve"> </w:t>
      </w:r>
      <w:r w:rsidRPr="00BA779C">
        <w:t>The St</w:t>
      </w:r>
      <w:r>
        <w:t xml:space="preserve">ate party </w:t>
      </w:r>
      <w:r w:rsidR="00BA779C">
        <w:t xml:space="preserve">considers it strange that the author did not provide any information </w:t>
      </w:r>
      <w:r w:rsidR="009229F2">
        <w:t>as to how</w:t>
      </w:r>
      <w:r w:rsidR="00BA779C">
        <w:t xml:space="preserve"> he </w:t>
      </w:r>
      <w:r w:rsidR="009229F2">
        <w:t xml:space="preserve">had </w:t>
      </w:r>
      <w:r w:rsidR="00BA779C">
        <w:t>obtained his purported birth certificate</w:t>
      </w:r>
      <w:r w:rsidR="00397C8E">
        <w:t>,</w:t>
      </w:r>
      <w:r w:rsidR="00BA779C">
        <w:t xml:space="preserve"> </w:t>
      </w:r>
      <w:r w:rsidR="00C505C1">
        <w:t xml:space="preserve">which </w:t>
      </w:r>
      <w:r w:rsidR="00397C8E">
        <w:t>was</w:t>
      </w:r>
      <w:r w:rsidR="00C505C1">
        <w:t xml:space="preserve"> issued on</w:t>
      </w:r>
      <w:r w:rsidR="00BA779C">
        <w:t xml:space="preserve"> 18 February 2013, while his parents </w:t>
      </w:r>
      <w:r w:rsidR="009229F2">
        <w:t xml:space="preserve">had </w:t>
      </w:r>
      <w:r w:rsidR="00BA779C">
        <w:t>passed away almost a year before that date and</w:t>
      </w:r>
      <w:r w:rsidR="00201C3B">
        <w:t>,</w:t>
      </w:r>
      <w:r w:rsidR="00BA779C">
        <w:t xml:space="preserve"> according to his own statements, he </w:t>
      </w:r>
      <w:r w:rsidR="009229F2">
        <w:t>had not had</w:t>
      </w:r>
      <w:r w:rsidR="00BA779C">
        <w:t xml:space="preserve"> </w:t>
      </w:r>
      <w:r w:rsidR="009229F2">
        <w:t xml:space="preserve">any </w:t>
      </w:r>
      <w:r w:rsidR="00BA779C">
        <w:t xml:space="preserve">contact with his family since </w:t>
      </w:r>
      <w:r w:rsidR="00397C8E">
        <w:t>he left</w:t>
      </w:r>
      <w:r w:rsidR="00BA779C">
        <w:t xml:space="preserve"> Bangladesh.</w:t>
      </w:r>
      <w:r w:rsidR="007D35AF">
        <w:rPr>
          <w:rStyle w:val="FootnoteReference"/>
        </w:rPr>
        <w:footnoteReference w:id="18"/>
      </w:r>
      <w:r w:rsidR="00BA779C">
        <w:t xml:space="preserve"> </w:t>
      </w:r>
      <w:r w:rsidR="00397C8E">
        <w:t>In th</w:t>
      </w:r>
      <w:r w:rsidR="009229F2">
        <w:t>at</w:t>
      </w:r>
      <w:r w:rsidR="00397C8E">
        <w:t xml:space="preserve"> connection, the State party adds that</w:t>
      </w:r>
      <w:r w:rsidR="00C505C1">
        <w:t xml:space="preserve"> the author </w:t>
      </w:r>
      <w:r w:rsidR="00397C8E">
        <w:t xml:space="preserve">did not </w:t>
      </w:r>
      <w:r w:rsidR="00C505C1">
        <w:t xml:space="preserve">disclose the identity of the person who purportedly requested the issuance of </w:t>
      </w:r>
      <w:r w:rsidR="009229F2">
        <w:t>the birth certificate</w:t>
      </w:r>
      <w:r w:rsidR="00C505C1">
        <w:t xml:space="preserve"> and the basis on which it was issued. </w:t>
      </w:r>
    </w:p>
    <w:p w:rsidR="00AA4180" w:rsidRDefault="006A6A75" w:rsidP="00F42D4E">
      <w:pPr>
        <w:pStyle w:val="SingleTxtG"/>
      </w:pPr>
      <w:r>
        <w:t>4.9</w:t>
      </w:r>
      <w:r>
        <w:tab/>
        <w:t xml:space="preserve">The State party maintains that the author merely disagrees </w:t>
      </w:r>
      <w:r w:rsidR="00BA779C">
        <w:t xml:space="preserve">with </w:t>
      </w:r>
      <w:r w:rsidR="003D6279">
        <w:t xml:space="preserve">the assessment of his credibility and </w:t>
      </w:r>
      <w:r w:rsidR="00BA779C">
        <w:t xml:space="preserve">of </w:t>
      </w:r>
      <w:r w:rsidR="003D6279">
        <w:t xml:space="preserve">the background information made by the </w:t>
      </w:r>
      <w:r w:rsidR="00425D63">
        <w:t xml:space="preserve">Refugee Appeals Board </w:t>
      </w:r>
      <w:r w:rsidR="003D6279">
        <w:t>in his case</w:t>
      </w:r>
      <w:r w:rsidR="00BA779C">
        <w:t xml:space="preserve">. However, it considers that the author </w:t>
      </w:r>
      <w:r w:rsidR="00425D63">
        <w:t xml:space="preserve">has </w:t>
      </w:r>
      <w:r w:rsidR="00BA779C">
        <w:t xml:space="preserve">failed </w:t>
      </w:r>
      <w:r w:rsidR="003D6279">
        <w:t xml:space="preserve">to identify </w:t>
      </w:r>
      <w:r w:rsidR="00BA779C">
        <w:t xml:space="preserve">any </w:t>
      </w:r>
      <w:r w:rsidR="003D6279">
        <w:t>irregularity in the decision-making process or</w:t>
      </w:r>
      <w:r w:rsidR="00BA779C">
        <w:t xml:space="preserve"> in the assessment of the</w:t>
      </w:r>
      <w:r w:rsidR="003D6279">
        <w:t xml:space="preserve"> risk factors </w:t>
      </w:r>
      <w:r w:rsidR="00BA779C">
        <w:t xml:space="preserve">by </w:t>
      </w:r>
      <w:r w:rsidR="003D6279">
        <w:t xml:space="preserve">the </w:t>
      </w:r>
      <w:r w:rsidR="00425D63">
        <w:t>Board</w:t>
      </w:r>
      <w:r w:rsidR="003D6279">
        <w:t xml:space="preserve">. </w:t>
      </w:r>
      <w:r w:rsidR="00BA779C">
        <w:t xml:space="preserve">The State party </w:t>
      </w:r>
      <w:r w:rsidR="003D6279">
        <w:t xml:space="preserve">therefore </w:t>
      </w:r>
      <w:r w:rsidR="00BA779C">
        <w:t>considers</w:t>
      </w:r>
      <w:r w:rsidR="003D6279">
        <w:t xml:space="preserve"> that the author is trying to use the Committee as an appellate body to have the factual circumstances </w:t>
      </w:r>
      <w:r w:rsidR="000C6CCA">
        <w:t>of his case</w:t>
      </w:r>
      <w:r w:rsidR="003D6279">
        <w:t xml:space="preserve"> reassessed. </w:t>
      </w:r>
      <w:r w:rsidR="00397C8E">
        <w:t>It further</w:t>
      </w:r>
      <w:r w:rsidR="003D6279">
        <w:t xml:space="preserve"> submits that the Committee must give considerable weight to the facts found by the </w:t>
      </w:r>
      <w:r w:rsidR="00425D63">
        <w:t>Board</w:t>
      </w:r>
      <w:r w:rsidR="003D6279">
        <w:t xml:space="preserve">, which is better placed to assess the factual circumstances of the author’s case. </w:t>
      </w:r>
      <w:r w:rsidR="000C6CCA">
        <w:t>The State party considers that</w:t>
      </w:r>
      <w:r w:rsidR="003D6279">
        <w:t xml:space="preserve"> there is no basis for </w:t>
      </w:r>
      <w:r w:rsidR="000C6CCA">
        <w:t xml:space="preserve">questioning </w:t>
      </w:r>
      <w:r w:rsidR="003D6279">
        <w:t xml:space="preserve">or setting aside the assessment made by the </w:t>
      </w:r>
      <w:r w:rsidR="00425D63">
        <w:t xml:space="preserve">Board </w:t>
      </w:r>
      <w:r w:rsidR="000C6CCA">
        <w:t xml:space="preserve">in the author’s case and </w:t>
      </w:r>
      <w:r w:rsidR="003D6279">
        <w:t xml:space="preserve">therefore submits that </w:t>
      </w:r>
      <w:r w:rsidR="000C6CCA">
        <w:t xml:space="preserve">the author’s return to Bangladesh </w:t>
      </w:r>
      <w:r w:rsidR="003D6279">
        <w:t>will not constitute a breach of article 7 of the Covenant.</w:t>
      </w:r>
    </w:p>
    <w:p w:rsidR="00FA222B" w:rsidRPr="00214E11" w:rsidRDefault="0067314F" w:rsidP="0067314F">
      <w:pPr>
        <w:pStyle w:val="H23G"/>
      </w:pPr>
      <w:r w:rsidRPr="00214E11">
        <w:tab/>
      </w:r>
      <w:r w:rsidRPr="00214E11">
        <w:tab/>
      </w:r>
      <w:r w:rsidR="00FA222B" w:rsidRPr="00214E11">
        <w:t>Author’s comments on the State party’s observations</w:t>
      </w:r>
    </w:p>
    <w:p w:rsidR="005C58A6" w:rsidRDefault="00757824" w:rsidP="00FA222B">
      <w:pPr>
        <w:pStyle w:val="SingleTxtG"/>
      </w:pPr>
      <w:r w:rsidRPr="00214E11">
        <w:t>5</w:t>
      </w:r>
      <w:r w:rsidR="0067314F" w:rsidRPr="00214E11">
        <w:t>.1</w:t>
      </w:r>
      <w:r w:rsidR="0067314F" w:rsidRPr="00214E11">
        <w:tab/>
      </w:r>
      <w:r w:rsidR="00FA222B" w:rsidRPr="00214E11">
        <w:t xml:space="preserve">On </w:t>
      </w:r>
      <w:r w:rsidR="00F42D4E">
        <w:t xml:space="preserve">29 May 2015, the author </w:t>
      </w:r>
      <w:r w:rsidR="00C01AEE">
        <w:t xml:space="preserve">submitted his comments on </w:t>
      </w:r>
      <w:r w:rsidR="001F1DC2">
        <w:t xml:space="preserve">the </w:t>
      </w:r>
      <w:r w:rsidR="00C01AEE">
        <w:t xml:space="preserve">State party’s observations. He </w:t>
      </w:r>
      <w:r w:rsidR="00952C63">
        <w:t>claims</w:t>
      </w:r>
      <w:r w:rsidR="00C01AEE">
        <w:t xml:space="preserve"> </w:t>
      </w:r>
      <w:r w:rsidR="00F42D4E">
        <w:t>that he provided sufficient information to indicate that, as a homosexual, he w</w:t>
      </w:r>
      <w:r w:rsidR="001F1DC2">
        <w:t>ould</w:t>
      </w:r>
      <w:r w:rsidR="00F42D4E">
        <w:t xml:space="preserve"> face </w:t>
      </w:r>
      <w:r w:rsidR="001F1DC2">
        <w:t xml:space="preserve">the </w:t>
      </w:r>
      <w:r w:rsidR="00F42D4E">
        <w:t xml:space="preserve">danger of treatment contrary to article 7 of the Covenant, if returned to Bangladesh. </w:t>
      </w:r>
      <w:r w:rsidR="005C58A6">
        <w:t xml:space="preserve">He claims </w:t>
      </w:r>
      <w:r w:rsidR="00AB2809">
        <w:t xml:space="preserve">that </w:t>
      </w:r>
      <w:r w:rsidR="00C01AEE">
        <w:t xml:space="preserve">his </w:t>
      </w:r>
      <w:r w:rsidR="005C58A6">
        <w:t xml:space="preserve">communication </w:t>
      </w:r>
      <w:r w:rsidR="00C01AEE">
        <w:t xml:space="preserve">should be held </w:t>
      </w:r>
      <w:r w:rsidR="005C58A6">
        <w:t xml:space="preserve">admissible as it has been </w:t>
      </w:r>
      <w:r w:rsidR="00C01AEE">
        <w:t xml:space="preserve">sufficiently </w:t>
      </w:r>
      <w:r w:rsidR="005C58A6">
        <w:t>substantiated and all available domestic remedies</w:t>
      </w:r>
      <w:r w:rsidR="004B4F4B">
        <w:t xml:space="preserve"> have been exhausted</w:t>
      </w:r>
      <w:r w:rsidR="00C01AEE">
        <w:t xml:space="preserve">, and that the request to lift </w:t>
      </w:r>
      <w:r w:rsidR="001F1DC2">
        <w:t xml:space="preserve">the </w:t>
      </w:r>
      <w:r w:rsidR="00C01AEE">
        <w:t>interim measures should be denied</w:t>
      </w:r>
      <w:r w:rsidR="004B4F4B">
        <w:t xml:space="preserve">. </w:t>
      </w:r>
    </w:p>
    <w:p w:rsidR="000C3821" w:rsidRDefault="005C58A6" w:rsidP="000C3821">
      <w:pPr>
        <w:pStyle w:val="SingleTxtG"/>
      </w:pPr>
      <w:r>
        <w:lastRenderedPageBreak/>
        <w:t>5.2</w:t>
      </w:r>
      <w:r>
        <w:tab/>
        <w:t xml:space="preserve">On the merits, the author </w:t>
      </w:r>
      <w:r w:rsidR="00F42D4E">
        <w:t>claims that the State party erred i</w:t>
      </w:r>
      <w:r w:rsidR="002E597A">
        <w:t xml:space="preserve">n the </w:t>
      </w:r>
      <w:r w:rsidR="005825BD">
        <w:t xml:space="preserve">assessment </w:t>
      </w:r>
      <w:r w:rsidR="002E597A">
        <w:t>of his age</w:t>
      </w:r>
      <w:r w:rsidR="00952C63">
        <w:t xml:space="preserve"> and </w:t>
      </w:r>
      <w:r w:rsidR="005825BD">
        <w:t>that it</w:t>
      </w:r>
      <w:r w:rsidR="002E597A">
        <w:t xml:space="preserve"> </w:t>
      </w:r>
      <w:r w:rsidR="00F42D4E">
        <w:t>did not</w:t>
      </w:r>
      <w:r w:rsidR="002E597A">
        <w:t xml:space="preserve"> provide him with </w:t>
      </w:r>
      <w:r w:rsidR="00397C8E">
        <w:t xml:space="preserve">the </w:t>
      </w:r>
      <w:r w:rsidR="002E597A">
        <w:t>assistance</w:t>
      </w:r>
      <w:r w:rsidR="005825BD">
        <w:t xml:space="preserve"> he was entitled to as a minor throughout the asylum procedure (such as</w:t>
      </w:r>
      <w:r w:rsidR="002E597A">
        <w:t xml:space="preserve"> the appointment of a legal guardian</w:t>
      </w:r>
      <w:r w:rsidR="005825BD">
        <w:t>)</w:t>
      </w:r>
      <w:r w:rsidR="00EA590C">
        <w:t>. The author further submit</w:t>
      </w:r>
      <w:r w:rsidR="00952C63">
        <w:t>s</w:t>
      </w:r>
      <w:r w:rsidR="00EA590C">
        <w:t xml:space="preserve"> that the State party</w:t>
      </w:r>
      <w:r w:rsidR="002E597A">
        <w:t xml:space="preserve"> did not take into account the fact that he </w:t>
      </w:r>
      <w:r w:rsidR="00EA590C">
        <w:t xml:space="preserve">was a </w:t>
      </w:r>
      <w:r w:rsidR="002E597A">
        <w:t xml:space="preserve">minor when </w:t>
      </w:r>
      <w:r w:rsidR="00EA590C">
        <w:t xml:space="preserve">assessing </w:t>
      </w:r>
      <w:r w:rsidR="002E597A">
        <w:t>the fact</w:t>
      </w:r>
      <w:r w:rsidR="00EA590C">
        <w:t>s</w:t>
      </w:r>
      <w:r w:rsidR="002E597A">
        <w:t xml:space="preserve"> and </w:t>
      </w:r>
      <w:r w:rsidR="00EA590C">
        <w:t xml:space="preserve">his </w:t>
      </w:r>
      <w:r w:rsidR="002E597A">
        <w:t>credibility</w:t>
      </w:r>
      <w:r w:rsidR="00874303">
        <w:t>.</w:t>
      </w:r>
      <w:r w:rsidR="00874303">
        <w:rPr>
          <w:rStyle w:val="FootnoteReference"/>
        </w:rPr>
        <w:footnoteReference w:id="19"/>
      </w:r>
    </w:p>
    <w:p w:rsidR="00DF491F" w:rsidRDefault="00721251" w:rsidP="000C3821">
      <w:pPr>
        <w:pStyle w:val="SingleTxtG"/>
      </w:pPr>
      <w:r>
        <w:t>5.3</w:t>
      </w:r>
      <w:r>
        <w:tab/>
      </w:r>
      <w:r w:rsidR="00397C8E">
        <w:t xml:space="preserve">The author considers </w:t>
      </w:r>
      <w:r>
        <w:t xml:space="preserve">that the same </w:t>
      </w:r>
      <w:r w:rsidR="00397C8E">
        <w:t xml:space="preserve">attention </w:t>
      </w:r>
      <w:r>
        <w:t xml:space="preserve">should be given to the fact that he is a young homosexual man who </w:t>
      </w:r>
      <w:r w:rsidR="00397C8E">
        <w:t>was</w:t>
      </w:r>
      <w:r>
        <w:t xml:space="preserve"> ostracized from local society and from his family shortly before his arrival </w:t>
      </w:r>
      <w:r w:rsidR="001F1DC2">
        <w:t>in</w:t>
      </w:r>
      <w:r w:rsidR="00952C63">
        <w:t xml:space="preserve"> </w:t>
      </w:r>
      <w:r>
        <w:t>Denmark</w:t>
      </w:r>
      <w:r w:rsidR="00952C63">
        <w:t xml:space="preserve">. </w:t>
      </w:r>
      <w:r w:rsidR="00DD66EA">
        <w:t xml:space="preserve">The vulnerability of </w:t>
      </w:r>
      <w:r w:rsidR="001F1DC2">
        <w:t>his</w:t>
      </w:r>
      <w:r w:rsidR="00DD66EA">
        <w:t xml:space="preserve"> situation, which justifies his r</w:t>
      </w:r>
      <w:r w:rsidR="00952C63">
        <w:t>equest for asylum</w:t>
      </w:r>
      <w:r w:rsidR="00DD66EA">
        <w:t>, rests in his you</w:t>
      </w:r>
      <w:r w:rsidR="001F1DC2">
        <w:t>th</w:t>
      </w:r>
      <w:r w:rsidR="00DD66EA">
        <w:t xml:space="preserve"> and the fact that homosexuality is </w:t>
      </w:r>
      <w:r w:rsidR="00397C8E">
        <w:t>a</w:t>
      </w:r>
      <w:r w:rsidR="00DD66EA">
        <w:t xml:space="preserve"> </w:t>
      </w:r>
      <w:r>
        <w:t>stigma</w:t>
      </w:r>
      <w:r w:rsidR="007D2578">
        <w:t xml:space="preserve"> </w:t>
      </w:r>
      <w:r>
        <w:t xml:space="preserve">in his society, family </w:t>
      </w:r>
      <w:r w:rsidR="00DD66EA">
        <w:t>and</w:t>
      </w:r>
      <w:r w:rsidR="007D2578">
        <w:t xml:space="preserve"> </w:t>
      </w:r>
      <w:r>
        <w:t xml:space="preserve">religion. The </w:t>
      </w:r>
      <w:r w:rsidR="001F1DC2">
        <w:t xml:space="preserve">Refugee Appeals Board </w:t>
      </w:r>
      <w:r>
        <w:t xml:space="preserve">failed to take into account the </w:t>
      </w:r>
      <w:r w:rsidR="00397C8E">
        <w:t xml:space="preserve">specific </w:t>
      </w:r>
      <w:r>
        <w:t>circumstances and vulnerab</w:t>
      </w:r>
      <w:r w:rsidR="00DF491F">
        <w:t>ility of the author</w:t>
      </w:r>
      <w:r>
        <w:t>.</w:t>
      </w:r>
      <w:r w:rsidR="00DF491F">
        <w:t xml:space="preserve"> </w:t>
      </w:r>
      <w:r w:rsidR="001F1DC2">
        <w:t>He</w:t>
      </w:r>
      <w:r w:rsidR="00DF491F">
        <w:t xml:space="preserve"> also submits that </w:t>
      </w:r>
      <w:r w:rsidR="00EA590C">
        <w:t xml:space="preserve">the State party erred in the conclusion of 19 September 2014 that </w:t>
      </w:r>
      <w:r w:rsidR="00DF491F">
        <w:t xml:space="preserve">the </w:t>
      </w:r>
      <w:r w:rsidR="00F42D4E">
        <w:t>newspap</w:t>
      </w:r>
      <w:r w:rsidR="00DF491F">
        <w:t xml:space="preserve">er article he </w:t>
      </w:r>
      <w:r w:rsidR="00EA590C">
        <w:t xml:space="preserve">had </w:t>
      </w:r>
      <w:r w:rsidR="00DF491F">
        <w:t xml:space="preserve">provided </w:t>
      </w:r>
      <w:r w:rsidR="00EA590C">
        <w:t>was</w:t>
      </w:r>
      <w:r w:rsidR="00DF491F">
        <w:t xml:space="preserve"> fake</w:t>
      </w:r>
      <w:r w:rsidR="00EA590C">
        <w:t xml:space="preserve">: he </w:t>
      </w:r>
      <w:r w:rsidR="004270CC">
        <w:t xml:space="preserve">states </w:t>
      </w:r>
      <w:r w:rsidR="00EA590C">
        <w:t>that he has a full authentic copy of the newspaper</w:t>
      </w:r>
      <w:r w:rsidR="00397C8E">
        <w:t>, which</w:t>
      </w:r>
      <w:r w:rsidR="00EA590C">
        <w:t xml:space="preserve"> </w:t>
      </w:r>
      <w:r w:rsidR="004270CC">
        <w:t xml:space="preserve">has </w:t>
      </w:r>
      <w:r w:rsidR="00EA590C">
        <w:t>exist</w:t>
      </w:r>
      <w:r w:rsidR="00201C3B">
        <w:t>ed</w:t>
      </w:r>
      <w:r w:rsidR="00DF491F">
        <w:t xml:space="preserve"> since 2005</w:t>
      </w:r>
      <w:r w:rsidR="00EA590C">
        <w:t xml:space="preserve"> and</w:t>
      </w:r>
      <w:r w:rsidR="00DF491F">
        <w:t xml:space="preserve"> is listed on </w:t>
      </w:r>
      <w:r w:rsidR="00EA590C">
        <w:t xml:space="preserve">the </w:t>
      </w:r>
      <w:r w:rsidR="00DF491F">
        <w:t xml:space="preserve">website </w:t>
      </w:r>
      <w:r w:rsidR="00EA590C">
        <w:t xml:space="preserve">of the </w:t>
      </w:r>
      <w:r w:rsidR="00DF491F">
        <w:t xml:space="preserve">Bangladesh Digital Media Database </w:t>
      </w:r>
      <w:r w:rsidR="00EA590C">
        <w:t xml:space="preserve">as a </w:t>
      </w:r>
      <w:r w:rsidR="00DF491F">
        <w:t xml:space="preserve">regional newspaper. The </w:t>
      </w:r>
      <w:r w:rsidR="00EA590C">
        <w:t xml:space="preserve">author therefore </w:t>
      </w:r>
      <w:r w:rsidR="00B114F0">
        <w:t xml:space="preserve">submits </w:t>
      </w:r>
      <w:r w:rsidR="00EA590C">
        <w:t xml:space="preserve">that the </w:t>
      </w:r>
      <w:r w:rsidR="00DF491F">
        <w:t xml:space="preserve">State party has not made a thorough evaluation of the facts and the documents in the decision-making process. </w:t>
      </w:r>
    </w:p>
    <w:p w:rsidR="00782D91" w:rsidRDefault="00714C1E" w:rsidP="005616EE">
      <w:pPr>
        <w:pStyle w:val="SingleTxtG"/>
      </w:pPr>
      <w:r>
        <w:t>5.4</w:t>
      </w:r>
      <w:r>
        <w:tab/>
      </w:r>
      <w:r w:rsidR="00937ECD">
        <w:t xml:space="preserve">The </w:t>
      </w:r>
      <w:r w:rsidR="00EA590C">
        <w:t xml:space="preserve">author also </w:t>
      </w:r>
      <w:r w:rsidR="00B114F0">
        <w:t xml:space="preserve">submits </w:t>
      </w:r>
      <w:r w:rsidR="00EA590C">
        <w:t xml:space="preserve">that </w:t>
      </w:r>
      <w:r w:rsidR="00F42D4E">
        <w:t xml:space="preserve">the </w:t>
      </w:r>
      <w:r w:rsidR="004270CC">
        <w:t xml:space="preserve">in its </w:t>
      </w:r>
      <w:r w:rsidR="00F42D4E">
        <w:t>first decision</w:t>
      </w:r>
      <w:r w:rsidR="004270CC">
        <w:t>, the Refugee Appeals Board</w:t>
      </w:r>
      <w:r w:rsidR="00F42D4E">
        <w:t xml:space="preserve"> did not consider whether being a homosexual </w:t>
      </w:r>
      <w:r w:rsidR="00937ECD">
        <w:t xml:space="preserve">would </w:t>
      </w:r>
      <w:r w:rsidR="00F42D4E">
        <w:t>in itself constitute</w:t>
      </w:r>
      <w:r w:rsidR="00937ECD">
        <w:t xml:space="preserve"> </w:t>
      </w:r>
      <w:r w:rsidR="00F42D4E">
        <w:t>a risk of persecution</w:t>
      </w:r>
      <w:r w:rsidR="00EA590C">
        <w:t xml:space="preserve"> </w:t>
      </w:r>
      <w:r w:rsidR="004270CC">
        <w:t>if he</w:t>
      </w:r>
      <w:r w:rsidR="00EA590C">
        <w:t xml:space="preserve"> return</w:t>
      </w:r>
      <w:r w:rsidR="004270CC">
        <w:t>ed</w:t>
      </w:r>
      <w:r w:rsidR="00EA590C">
        <w:t xml:space="preserve"> to Bangladesh</w:t>
      </w:r>
      <w:r w:rsidR="00937ECD">
        <w:t xml:space="preserve">. Furthermore, </w:t>
      </w:r>
      <w:r w:rsidR="004270CC">
        <w:t>in its</w:t>
      </w:r>
      <w:r w:rsidR="00F42D4E">
        <w:t xml:space="preserve"> second decision</w:t>
      </w:r>
      <w:r w:rsidR="004270CC">
        <w:t>, the board</w:t>
      </w:r>
      <w:r w:rsidR="00F42D4E">
        <w:t xml:space="preserve"> suggested that the situation </w:t>
      </w:r>
      <w:r w:rsidR="000909E3">
        <w:t xml:space="preserve">of </w:t>
      </w:r>
      <w:r w:rsidR="00F42D4E">
        <w:t xml:space="preserve">homosexuals </w:t>
      </w:r>
      <w:r w:rsidR="000909E3">
        <w:t xml:space="preserve">in Bangladesh </w:t>
      </w:r>
      <w:r w:rsidR="00F42D4E">
        <w:t>ha</w:t>
      </w:r>
      <w:r w:rsidR="004270CC">
        <w:t>d</w:t>
      </w:r>
      <w:r w:rsidR="00F42D4E">
        <w:t xml:space="preserve"> improved</w:t>
      </w:r>
      <w:r w:rsidR="008005E9">
        <w:t xml:space="preserve">, </w:t>
      </w:r>
      <w:r w:rsidR="00287D47">
        <w:t xml:space="preserve">despite </w:t>
      </w:r>
      <w:r w:rsidR="008005E9">
        <w:t>the</w:t>
      </w:r>
      <w:r w:rsidR="00937ECD">
        <w:t xml:space="preserve"> background information</w:t>
      </w:r>
      <w:r w:rsidR="008005E9">
        <w:t xml:space="preserve"> he </w:t>
      </w:r>
      <w:r w:rsidR="004270CC">
        <w:t xml:space="preserve">had </w:t>
      </w:r>
      <w:r w:rsidR="008005E9">
        <w:t>submitted</w:t>
      </w:r>
      <w:r w:rsidR="00937ECD">
        <w:t xml:space="preserve"> </w:t>
      </w:r>
      <w:r w:rsidR="00F42D4E">
        <w:t>to the contrary</w:t>
      </w:r>
      <w:r>
        <w:t xml:space="preserve">. He </w:t>
      </w:r>
      <w:r w:rsidR="005616EE">
        <w:t xml:space="preserve">finally submits that the one inconsistent statement that the </w:t>
      </w:r>
      <w:r w:rsidR="004270CC">
        <w:t xml:space="preserve">Board </w:t>
      </w:r>
      <w:r w:rsidR="005616EE">
        <w:t>has found</w:t>
      </w:r>
      <w:r>
        <w:t xml:space="preserve">, whether it was actually him who was in a café, </w:t>
      </w:r>
      <w:r w:rsidR="005616EE">
        <w:t xml:space="preserve">is likely </w:t>
      </w:r>
      <w:r w:rsidR="00ED7CD3">
        <w:t>the result of</w:t>
      </w:r>
      <w:r w:rsidR="005616EE">
        <w:t xml:space="preserve"> an error </w:t>
      </w:r>
      <w:r w:rsidR="000676B4">
        <w:t>of</w:t>
      </w:r>
      <w:r w:rsidR="005616EE">
        <w:t xml:space="preserve"> interpretation and cannot be the basis for</w:t>
      </w:r>
      <w:r w:rsidR="00697660">
        <w:t xml:space="preserve"> rejecting </w:t>
      </w:r>
      <w:r w:rsidR="004270CC">
        <w:t>his</w:t>
      </w:r>
      <w:r w:rsidR="00697660">
        <w:t xml:space="preserve"> statement. </w:t>
      </w:r>
    </w:p>
    <w:p w:rsidR="000C4B5D" w:rsidRPr="007D2578" w:rsidRDefault="00782D91" w:rsidP="007D2578">
      <w:pPr>
        <w:pStyle w:val="SingleTxtG"/>
        <w:spacing w:after="240"/>
      </w:pPr>
      <w:r>
        <w:t>5.5</w:t>
      </w:r>
      <w:r>
        <w:tab/>
        <w:t xml:space="preserve">The author also </w:t>
      </w:r>
      <w:r w:rsidR="001052CF">
        <w:t xml:space="preserve">challenges </w:t>
      </w:r>
      <w:r>
        <w:t xml:space="preserve">the </w:t>
      </w:r>
      <w:r w:rsidR="004270CC">
        <w:t xml:space="preserve">Board’s </w:t>
      </w:r>
      <w:r>
        <w:t xml:space="preserve">conclusion that the </w:t>
      </w:r>
      <w:r w:rsidR="0022474A">
        <w:t xml:space="preserve">situation </w:t>
      </w:r>
      <w:r w:rsidR="00ED7CD3">
        <w:t xml:space="preserve">of </w:t>
      </w:r>
      <w:r>
        <w:t>homosexuals ha</w:t>
      </w:r>
      <w:r w:rsidR="00CD4FD6">
        <w:t xml:space="preserve">s </w:t>
      </w:r>
      <w:r>
        <w:t xml:space="preserve">improved considerably in recent years in Bangladesh. </w:t>
      </w:r>
      <w:r w:rsidR="00ED7CD3">
        <w:t>In th</w:t>
      </w:r>
      <w:r w:rsidR="004270CC">
        <w:t>at</w:t>
      </w:r>
      <w:r w:rsidR="00ED7CD3">
        <w:t xml:space="preserve"> connection, he submits that </w:t>
      </w:r>
      <w:r w:rsidR="00CD4FD6">
        <w:t>the U</w:t>
      </w:r>
      <w:r w:rsidR="00052489">
        <w:t xml:space="preserve">nited </w:t>
      </w:r>
      <w:r w:rsidR="00CD4FD6">
        <w:t>S</w:t>
      </w:r>
      <w:r w:rsidR="00052489">
        <w:t>tates of America</w:t>
      </w:r>
      <w:r w:rsidR="00CD4FD6">
        <w:t xml:space="preserve"> Department of State report </w:t>
      </w:r>
      <w:r w:rsidR="00052489">
        <w:t xml:space="preserve">on human rights practices for 2013 </w:t>
      </w:r>
      <w:r w:rsidR="00CD4FD6">
        <w:t>and the</w:t>
      </w:r>
      <w:r w:rsidR="00ED7CD3">
        <w:t xml:space="preserve"> </w:t>
      </w:r>
      <w:r w:rsidR="00CD4FD6">
        <w:t>U</w:t>
      </w:r>
      <w:r w:rsidR="00052489">
        <w:t xml:space="preserve">nited </w:t>
      </w:r>
      <w:r w:rsidR="00CD4FD6">
        <w:t>K</w:t>
      </w:r>
      <w:r w:rsidR="00052489">
        <w:t>ingdom</w:t>
      </w:r>
      <w:r w:rsidR="00CD4FD6">
        <w:t xml:space="preserve"> Home Office </w:t>
      </w:r>
      <w:r w:rsidR="00052489">
        <w:t xml:space="preserve">country of origin information report of 2013 </w:t>
      </w:r>
      <w:r w:rsidR="00CD4FD6">
        <w:t xml:space="preserve">on Bangladesh do not give any basis for </w:t>
      </w:r>
      <w:r w:rsidR="00ED7CD3">
        <w:t>such a conclusion</w:t>
      </w:r>
      <w:r w:rsidR="00CD4FD6">
        <w:t>. The</w:t>
      </w:r>
      <w:r w:rsidR="00ED7CD3">
        <w:t xml:space="preserve"> author further submits that even though </w:t>
      </w:r>
      <w:r w:rsidR="00CD4FD6">
        <w:t xml:space="preserve">section 377 of the </w:t>
      </w:r>
      <w:r w:rsidR="00CC3014">
        <w:t xml:space="preserve">Criminal Code </w:t>
      </w:r>
      <w:r w:rsidR="00CD4FD6">
        <w:t>is not enforced in practice</w:t>
      </w:r>
      <w:r w:rsidR="00ED7CD3">
        <w:t>,</w:t>
      </w:r>
      <w:r w:rsidR="00CD4FD6">
        <w:t xml:space="preserve"> the act is still used</w:t>
      </w:r>
      <w:r w:rsidR="00ED7CD3">
        <w:t xml:space="preserve"> by the </w:t>
      </w:r>
      <w:r w:rsidR="00B70A71">
        <w:t>p</w:t>
      </w:r>
      <w:r w:rsidR="00ED7CD3">
        <w:t xml:space="preserve">olice, together with section 54 of the Code of </w:t>
      </w:r>
      <w:r w:rsidR="00052489">
        <w:t>Criminal Procedure</w:t>
      </w:r>
      <w:r w:rsidR="00ED7CD3">
        <w:t xml:space="preserve">, to threaten and harass </w:t>
      </w:r>
      <w:r w:rsidR="00052489">
        <w:t xml:space="preserve">lesbian, gay, bisexual and transgender </w:t>
      </w:r>
      <w:r w:rsidR="00ED7CD3">
        <w:t>persons</w:t>
      </w:r>
      <w:r w:rsidR="00CD4FD6">
        <w:t xml:space="preserve">. The use of </w:t>
      </w:r>
      <w:r w:rsidR="00052489">
        <w:t>s</w:t>
      </w:r>
      <w:r w:rsidR="00CD4FD6">
        <w:t>ection 54 do</w:t>
      </w:r>
      <w:r w:rsidR="00ED7CD3">
        <w:t>es</w:t>
      </w:r>
      <w:r w:rsidR="00CD4FD6">
        <w:t xml:space="preserve"> not lead to criminal charges or prosecution but rather to abuses such as extortion and physical assaults</w:t>
      </w:r>
      <w:r w:rsidR="00ED7CD3">
        <w:t>,</w:t>
      </w:r>
      <w:r w:rsidR="00CD4FD6">
        <w:t xml:space="preserve"> which </w:t>
      </w:r>
      <w:r w:rsidR="00ED7CD3">
        <w:t>the victims do not dare to report</w:t>
      </w:r>
      <w:r w:rsidR="00CD4FD6">
        <w:t>.</w:t>
      </w:r>
      <w:r w:rsidR="00CD4FD6">
        <w:rPr>
          <w:rStyle w:val="FootnoteReference"/>
        </w:rPr>
        <w:footnoteReference w:id="20"/>
      </w:r>
      <w:r w:rsidR="00CD4FD6">
        <w:t xml:space="preserve"> </w:t>
      </w:r>
      <w:r w:rsidR="00DA48B0">
        <w:t xml:space="preserve">Finally, the author </w:t>
      </w:r>
      <w:r w:rsidR="00ED7CD3">
        <w:t>refers to the Committee’s jurisprudence in</w:t>
      </w:r>
      <w:r w:rsidR="00280D31">
        <w:t xml:space="preserve"> </w:t>
      </w:r>
      <w:r w:rsidR="00280D31" w:rsidRPr="00280D31">
        <w:rPr>
          <w:i/>
        </w:rPr>
        <w:t>M.I. v. Sweden</w:t>
      </w:r>
      <w:r w:rsidR="00280D31">
        <w:t>,</w:t>
      </w:r>
      <w:r w:rsidR="00201C3B">
        <w:t xml:space="preserve"> where it considered that the deportation to Bangladesh of the author, a homosexual person, would constitute a violation of article 7 of the Covenant.</w:t>
      </w:r>
      <w:r w:rsidR="00280D31">
        <w:rPr>
          <w:rStyle w:val="FootnoteReference"/>
        </w:rPr>
        <w:footnoteReference w:id="21"/>
      </w:r>
      <w:r w:rsidR="00272867">
        <w:t xml:space="preserve"> </w:t>
      </w:r>
    </w:p>
    <w:p w:rsidR="000249D8" w:rsidRDefault="007D2578" w:rsidP="007D2578">
      <w:pPr>
        <w:pStyle w:val="H23G"/>
      </w:pPr>
      <w:r>
        <w:tab/>
      </w:r>
      <w:r>
        <w:tab/>
      </w:r>
      <w:r w:rsidR="000249D8" w:rsidRPr="000249D8">
        <w:t>State party’</w:t>
      </w:r>
      <w:r w:rsidR="00747419">
        <w:t>s additional observations</w:t>
      </w:r>
      <w:r>
        <w:t xml:space="preserve"> </w:t>
      </w:r>
    </w:p>
    <w:p w:rsidR="008D2557" w:rsidRDefault="005B3098" w:rsidP="00ED7CD3">
      <w:pPr>
        <w:pStyle w:val="SingleTxtG"/>
      </w:pPr>
      <w:r>
        <w:t>6.1</w:t>
      </w:r>
      <w:r>
        <w:tab/>
      </w:r>
      <w:r w:rsidR="000249D8" w:rsidRPr="000249D8">
        <w:t xml:space="preserve">On 26 February 2016, the State party presented </w:t>
      </w:r>
      <w:r w:rsidR="00052489">
        <w:t xml:space="preserve">a </w:t>
      </w:r>
      <w:r w:rsidR="000249D8" w:rsidRPr="000249D8">
        <w:t>further submission</w:t>
      </w:r>
      <w:r w:rsidR="00ED7CD3">
        <w:t>. It</w:t>
      </w:r>
      <w:r w:rsidR="008D2557">
        <w:t xml:space="preserve"> maintains that the author has failed to establish a prima facie case for the purpose of admissibility of his communication under article 7 of the Covenant, and that the communication should be </w:t>
      </w:r>
      <w:r w:rsidR="00ED7CD3">
        <w:t xml:space="preserve">held </w:t>
      </w:r>
      <w:r w:rsidR="008D2557">
        <w:t xml:space="preserve">inadmissible. </w:t>
      </w:r>
    </w:p>
    <w:p w:rsidR="00E64B8F" w:rsidRDefault="005B3098" w:rsidP="005616EE">
      <w:pPr>
        <w:pStyle w:val="SingleTxtG"/>
      </w:pPr>
      <w:r>
        <w:t>6.</w:t>
      </w:r>
      <w:r w:rsidR="00ED7CD3">
        <w:t>2</w:t>
      </w:r>
      <w:r>
        <w:tab/>
      </w:r>
      <w:r w:rsidR="008D2557">
        <w:t xml:space="preserve">Should the Committee find the communication admissible, the State party maintains that there are </w:t>
      </w:r>
      <w:r w:rsidR="00184FDB">
        <w:t xml:space="preserve">no </w:t>
      </w:r>
      <w:r w:rsidR="008D2557">
        <w:t xml:space="preserve">substantial grounds for believing that </w:t>
      </w:r>
      <w:r w:rsidR="00184FDB">
        <w:t xml:space="preserve">the author’s deportation to Bangladesh </w:t>
      </w:r>
      <w:r w:rsidR="008D2557">
        <w:t xml:space="preserve">would constitute a violation of article 7 of the Covenant. </w:t>
      </w:r>
      <w:r w:rsidR="00E64B8F">
        <w:t xml:space="preserve">The State party </w:t>
      </w:r>
      <w:r w:rsidR="00184FDB">
        <w:t xml:space="preserve">reiterates </w:t>
      </w:r>
      <w:r w:rsidR="00E64B8F">
        <w:t xml:space="preserve">that there is no basis for doubting, let alone setting aside, the assessment made by </w:t>
      </w:r>
      <w:r w:rsidR="00E64B8F">
        <w:lastRenderedPageBreak/>
        <w:t xml:space="preserve">the </w:t>
      </w:r>
      <w:r w:rsidR="00052489">
        <w:t xml:space="preserve">Refugee Appeals Board </w:t>
      </w:r>
      <w:r w:rsidR="00E64B8F">
        <w:t xml:space="preserve">in its decisions of 4 December 2012 and 19 September </w:t>
      </w:r>
      <w:r w:rsidR="001B1268">
        <w:t>2014</w:t>
      </w:r>
      <w:r w:rsidR="00052489">
        <w:t>.</w:t>
      </w:r>
      <w:r w:rsidR="001B1268">
        <w:t xml:space="preserve"> </w:t>
      </w:r>
      <w:r w:rsidR="00184FDB">
        <w:t>It further</w:t>
      </w:r>
      <w:r w:rsidR="001B1268">
        <w:t xml:space="preserve"> draws attention to the </w:t>
      </w:r>
      <w:r w:rsidR="0019475B">
        <w:t>jurisprudence of the Committee</w:t>
      </w:r>
      <w:r w:rsidR="003548CE">
        <w:t>,</w:t>
      </w:r>
      <w:r w:rsidR="0019475B">
        <w:t xml:space="preserve"> </w:t>
      </w:r>
      <w:r w:rsidR="00184FDB">
        <w:t>according to which</w:t>
      </w:r>
      <w:r w:rsidR="0019475B">
        <w:t xml:space="preserve"> important weight should be given to the assessment conducted by the State party, unless it is found that the evaluation was “clearly arbitrary” or amo</w:t>
      </w:r>
      <w:r w:rsidR="00D40985">
        <w:t>unted to “a denial of justice”.</w:t>
      </w:r>
      <w:r w:rsidR="001B1268">
        <w:rPr>
          <w:rStyle w:val="FootnoteReference"/>
        </w:rPr>
        <w:footnoteReference w:id="22"/>
      </w:r>
      <w:r w:rsidR="003548CE">
        <w:t xml:space="preserve"> </w:t>
      </w:r>
      <w:r w:rsidR="00D40985">
        <w:t>The State party</w:t>
      </w:r>
      <w:r w:rsidR="00E00195">
        <w:t xml:space="preserve"> considers that the author does not explain why the assessment would be arbitrary or otherwise amount to a manifest error or denial of justice in his case.</w:t>
      </w:r>
      <w:r w:rsidR="00E00195">
        <w:rPr>
          <w:rStyle w:val="FootnoteReference"/>
        </w:rPr>
        <w:footnoteReference w:id="23"/>
      </w:r>
      <w:r w:rsidR="00D40985">
        <w:t xml:space="preserve"> </w:t>
      </w:r>
      <w:r w:rsidR="00E00195">
        <w:t xml:space="preserve">It </w:t>
      </w:r>
      <w:r w:rsidR="00D40985">
        <w:t xml:space="preserve">also </w:t>
      </w:r>
      <w:r w:rsidR="00E00195">
        <w:t>recalls</w:t>
      </w:r>
      <w:r w:rsidR="00D40985">
        <w:t xml:space="preserve"> that it is generally for the organs of </w:t>
      </w:r>
      <w:r w:rsidR="00052489">
        <w:t xml:space="preserve">the </w:t>
      </w:r>
      <w:r w:rsidR="00D40985">
        <w:t>State party to examine the facts and evidence of the case in order to determine whether a risk exists</w:t>
      </w:r>
      <w:r w:rsidR="00E00195">
        <w:t>.</w:t>
      </w:r>
      <w:r w:rsidR="000676B4">
        <w:t xml:space="preserve"> </w:t>
      </w:r>
      <w:r w:rsidR="00E00195">
        <w:t xml:space="preserve">It further submits that even </w:t>
      </w:r>
      <w:r w:rsidR="00B87BCB">
        <w:t>though the author ha</w:t>
      </w:r>
      <w:r w:rsidR="00052489">
        <w:t>s</w:t>
      </w:r>
      <w:r w:rsidR="00B87BCB">
        <w:t xml:space="preserve"> been found </w:t>
      </w:r>
      <w:r w:rsidR="00D9194B">
        <w:t xml:space="preserve">to be </w:t>
      </w:r>
      <w:r w:rsidR="000676B4">
        <w:t xml:space="preserve">less </w:t>
      </w:r>
      <w:r w:rsidR="00D9194B">
        <w:t xml:space="preserve">than 18 years of age, </w:t>
      </w:r>
      <w:r w:rsidR="00B87BCB">
        <w:t xml:space="preserve">the </w:t>
      </w:r>
      <w:r w:rsidR="00052489">
        <w:t>Board</w:t>
      </w:r>
      <w:r w:rsidR="00E00195">
        <w:t xml:space="preserve"> carried out the necessary assessments to conclude that </w:t>
      </w:r>
      <w:r w:rsidR="00B87BCB">
        <w:t xml:space="preserve">the author had </w:t>
      </w:r>
      <w:r w:rsidR="00E00195">
        <w:t xml:space="preserve">the </w:t>
      </w:r>
      <w:r w:rsidR="00B87BCB">
        <w:t xml:space="preserve">procedural capacity and the necessary maturity to undergo an asylum procedure. The State party maintains that the </w:t>
      </w:r>
      <w:r w:rsidR="00052489">
        <w:t xml:space="preserve">Board </w:t>
      </w:r>
      <w:r w:rsidR="00B87BCB">
        <w:t xml:space="preserve">took the author’s </w:t>
      </w:r>
      <w:r w:rsidR="00D9194B">
        <w:t xml:space="preserve">cultural difference, </w:t>
      </w:r>
      <w:r w:rsidR="00B87BCB">
        <w:t>age, maturity and alleged sexual orientation into account.</w:t>
      </w:r>
      <w:r w:rsidR="00D40985">
        <w:t xml:space="preserve"> </w:t>
      </w:r>
    </w:p>
    <w:p w:rsidR="008844BE" w:rsidRDefault="005B3098" w:rsidP="005616EE">
      <w:pPr>
        <w:pStyle w:val="SingleTxtG"/>
      </w:pPr>
      <w:r>
        <w:t>6.</w:t>
      </w:r>
      <w:r w:rsidR="00B70A71">
        <w:t>3</w:t>
      </w:r>
      <w:r>
        <w:tab/>
      </w:r>
      <w:r w:rsidR="0070668B">
        <w:t xml:space="preserve">The State party further contests the author’s reference to the views of the Committee in </w:t>
      </w:r>
      <w:r w:rsidR="0070668B" w:rsidRPr="00B70A71">
        <w:rPr>
          <w:i/>
        </w:rPr>
        <w:t>M.I. v. Sweden</w:t>
      </w:r>
      <w:r w:rsidR="00DA2E85">
        <w:t>,</w:t>
      </w:r>
      <w:r w:rsidR="0070668B">
        <w:t xml:space="preserve"> as </w:t>
      </w:r>
      <w:r w:rsidR="00E00195">
        <w:t>this</w:t>
      </w:r>
      <w:r w:rsidR="0070668B">
        <w:t xml:space="preserve"> case differs from the present case on essential points. </w:t>
      </w:r>
      <w:r w:rsidR="00E00195">
        <w:t>In</w:t>
      </w:r>
      <w:r w:rsidR="0070668B">
        <w:t xml:space="preserve"> </w:t>
      </w:r>
      <w:r w:rsidR="0070668B" w:rsidRPr="00B70A71">
        <w:rPr>
          <w:i/>
        </w:rPr>
        <w:t>M.I. v. Sweden</w:t>
      </w:r>
      <w:r w:rsidR="0070668B">
        <w:t xml:space="preserve">, the author’s sexual orientation and her allegations of rape by Bangladeshi policemen while in detention were not challenged by the State party and the authorities of the State party had considered it a fact that the author had been subjected to abuse in her country of origin. </w:t>
      </w:r>
      <w:r w:rsidR="00E00195">
        <w:t>In</w:t>
      </w:r>
      <w:r w:rsidR="0070668B">
        <w:t xml:space="preserve"> the</w:t>
      </w:r>
      <w:r w:rsidR="00E00195">
        <w:t xml:space="preserve"> present</w:t>
      </w:r>
      <w:r w:rsidR="0070668B">
        <w:t xml:space="preserve"> case, </w:t>
      </w:r>
      <w:r w:rsidR="00DA2E85">
        <w:t xml:space="preserve">the </w:t>
      </w:r>
      <w:r w:rsidR="00867F0B">
        <w:t xml:space="preserve">State party’s authorities carried out a thorough assessment of the author’s statements and of the documents provided by the author (see the decisions of the </w:t>
      </w:r>
      <w:r w:rsidR="00DA2E85">
        <w:t xml:space="preserve">Refugee Appeals Board </w:t>
      </w:r>
      <w:r w:rsidR="00867F0B">
        <w:t xml:space="preserve">of 4 December 2012 and 19 September 2014) and the </w:t>
      </w:r>
      <w:r w:rsidR="00DA2E85">
        <w:t xml:space="preserve">Board </w:t>
      </w:r>
      <w:r w:rsidR="0070668B">
        <w:t>rejected crucial elements of the author’s statements as being non-credible and fabricated for the occasion</w:t>
      </w:r>
      <w:r w:rsidR="0074380B">
        <w:t xml:space="preserve">. Accordingly, the </w:t>
      </w:r>
      <w:r w:rsidR="00DA2E85">
        <w:t xml:space="preserve">Board </w:t>
      </w:r>
      <w:r w:rsidR="0074380B">
        <w:t>could not accept as a fact the author’s statement o</w:t>
      </w:r>
      <w:r w:rsidR="00DA2E85">
        <w:t>f</w:t>
      </w:r>
      <w:r w:rsidR="0074380B">
        <w:t xml:space="preserve"> his grounds for asylum. </w:t>
      </w:r>
      <w:r w:rsidR="00D01F8E">
        <w:t>I</w:t>
      </w:r>
      <w:r w:rsidR="001D51A0">
        <w:t xml:space="preserve">n the </w:t>
      </w:r>
      <w:r w:rsidR="0074380B">
        <w:t xml:space="preserve">attached addendum, the State party’s Ministry of Foreign Affairs confirms that </w:t>
      </w:r>
      <w:r w:rsidR="00026F6B" w:rsidRPr="00026F6B">
        <w:t>the</w:t>
      </w:r>
      <w:r w:rsidR="0074380B" w:rsidRPr="00A51905">
        <w:rPr>
          <w:i/>
        </w:rPr>
        <w:t xml:space="preserve"> </w:t>
      </w:r>
      <w:r w:rsidR="00C73104" w:rsidRPr="00A51905">
        <w:rPr>
          <w:i/>
        </w:rPr>
        <w:t>Daily Banglar Manush</w:t>
      </w:r>
      <w:r w:rsidR="00C73104">
        <w:t xml:space="preserve"> appears on the</w:t>
      </w:r>
      <w:r w:rsidR="00D55A86">
        <w:t xml:space="preserve"> </w:t>
      </w:r>
      <w:r w:rsidR="0074380B">
        <w:t xml:space="preserve">information portal of the </w:t>
      </w:r>
      <w:r w:rsidR="00DA2E85">
        <w:t>G</w:t>
      </w:r>
      <w:r w:rsidR="0074380B">
        <w:t>overnment</w:t>
      </w:r>
      <w:r w:rsidR="00DA2E85">
        <w:t xml:space="preserve"> of Bangladesh</w:t>
      </w:r>
      <w:r w:rsidR="0074380B">
        <w:t xml:space="preserve"> </w:t>
      </w:r>
      <w:r w:rsidR="008D44A4">
        <w:t>and</w:t>
      </w:r>
      <w:r w:rsidR="0074380B">
        <w:t xml:space="preserve"> operates as a local newspaper primarily based on first</w:t>
      </w:r>
      <w:r w:rsidR="00DA2E85">
        <w:t>-</w:t>
      </w:r>
      <w:r w:rsidR="0074380B">
        <w:t>hand sources.</w:t>
      </w:r>
      <w:r w:rsidR="00D01F8E">
        <w:t xml:space="preserve"> However, </w:t>
      </w:r>
      <w:r w:rsidR="00DA2E85">
        <w:t>in its</w:t>
      </w:r>
      <w:r w:rsidR="00D01F8E">
        <w:t xml:space="preserve"> decision of 19 September 2014</w:t>
      </w:r>
      <w:r w:rsidR="00DA2E85">
        <w:t>, the Board</w:t>
      </w:r>
      <w:r w:rsidR="00D01F8E">
        <w:t xml:space="preserve"> considered only whether the newspaper article produced was deemed to be fabricated for the occasion and not whether the relevant newspaper exist</w:t>
      </w:r>
      <w:r w:rsidR="00DA2E85">
        <w:t>ed.</w:t>
      </w:r>
      <w:r w:rsidR="00D01F8E">
        <w:t xml:space="preserve"> </w:t>
      </w:r>
      <w:r w:rsidR="008D44A4">
        <w:t>The State party considers that</w:t>
      </w:r>
      <w:r w:rsidR="00867F0B">
        <w:t xml:space="preserve"> the publication of the article in </w:t>
      </w:r>
      <w:r w:rsidR="00026F6B" w:rsidRPr="00026F6B">
        <w:t>the</w:t>
      </w:r>
      <w:r w:rsidR="00867F0B" w:rsidRPr="00A51905">
        <w:rPr>
          <w:i/>
        </w:rPr>
        <w:t xml:space="preserve"> Daily Banglar Manush</w:t>
      </w:r>
      <w:r w:rsidR="00D01F8E">
        <w:t xml:space="preserve"> </w:t>
      </w:r>
      <w:r w:rsidR="008D44A4">
        <w:t>must</w:t>
      </w:r>
      <w:r w:rsidR="00D01F8E">
        <w:t xml:space="preserve"> be considered a fact, </w:t>
      </w:r>
      <w:r w:rsidR="008D44A4">
        <w:t>but</w:t>
      </w:r>
      <w:r w:rsidR="00867F0B">
        <w:t xml:space="preserve"> that</w:t>
      </w:r>
      <w:r w:rsidR="00E830EB">
        <w:t xml:space="preserve"> th</w:t>
      </w:r>
      <w:r w:rsidR="00DA2E85">
        <w:t>e</w:t>
      </w:r>
      <w:r w:rsidR="00E830EB">
        <w:t xml:space="preserve"> publication would not expose the author to </w:t>
      </w:r>
      <w:r w:rsidR="00B70A71">
        <w:t>such</w:t>
      </w:r>
      <w:r w:rsidR="000676B4">
        <w:t xml:space="preserve"> a</w:t>
      </w:r>
      <w:r w:rsidR="00B70A71">
        <w:t xml:space="preserve"> </w:t>
      </w:r>
      <w:r w:rsidR="00E830EB">
        <w:t>level of persecution</w:t>
      </w:r>
      <w:r w:rsidR="00940B00">
        <w:t xml:space="preserve"> or abuse</w:t>
      </w:r>
      <w:r w:rsidR="000676B4">
        <w:t xml:space="preserve"> that would justify granting hi</w:t>
      </w:r>
      <w:r w:rsidR="008D44A4">
        <w:t>m</w:t>
      </w:r>
      <w:r w:rsidR="000676B4">
        <w:t xml:space="preserve"> asylum</w:t>
      </w:r>
      <w:r w:rsidR="00E830EB">
        <w:t>, because of the limited circulation of the referred newspaper</w:t>
      </w:r>
      <w:r w:rsidR="000676B4">
        <w:t>.</w:t>
      </w:r>
    </w:p>
    <w:p w:rsidR="005179C2" w:rsidRDefault="0067314F" w:rsidP="00D55A86">
      <w:pPr>
        <w:pStyle w:val="H23G"/>
      </w:pPr>
      <w:r w:rsidRPr="00214E11">
        <w:tab/>
      </w:r>
      <w:r w:rsidRPr="00214E11">
        <w:tab/>
      </w:r>
      <w:r w:rsidR="00FA222B" w:rsidRPr="00214E11">
        <w:t>Issues and proceedings before the Committee</w:t>
      </w:r>
    </w:p>
    <w:p w:rsidR="005901A4" w:rsidRPr="00DA2E85" w:rsidRDefault="00D55A86" w:rsidP="00A51905">
      <w:pPr>
        <w:pStyle w:val="H23G"/>
      </w:pPr>
      <w:r>
        <w:tab/>
      </w:r>
      <w:r>
        <w:tab/>
      </w:r>
      <w:r w:rsidR="005901A4" w:rsidRPr="00DA2E85">
        <w:rPr>
          <w:b w:val="0"/>
          <w:i/>
        </w:rPr>
        <w:t>Consideration of admissibility</w:t>
      </w:r>
    </w:p>
    <w:p w:rsidR="005901A4" w:rsidRPr="00214E11" w:rsidRDefault="005901A4" w:rsidP="00B10DD9">
      <w:pPr>
        <w:pStyle w:val="SingleTxtG"/>
      </w:pPr>
      <w:r>
        <w:t>7</w:t>
      </w:r>
      <w:r w:rsidRPr="00214E11">
        <w:t>.1</w:t>
      </w:r>
      <w:r w:rsidRPr="00214E11">
        <w:tab/>
        <w:t>Before considering any claim contained in a communication, the Committee must</w:t>
      </w:r>
      <w:r w:rsidR="00B10DD9">
        <w:t xml:space="preserve"> decide</w:t>
      </w:r>
      <w:r w:rsidRPr="00214E11">
        <w:t>, in accordance with rule 93 of its rules of procedure, whether the case is admissible under the Optional Protocol.</w:t>
      </w:r>
      <w:r w:rsidRPr="0037149B">
        <w:t xml:space="preserve"> </w:t>
      </w:r>
    </w:p>
    <w:p w:rsidR="005901A4" w:rsidRPr="00214E11" w:rsidRDefault="005901A4" w:rsidP="005901A4">
      <w:pPr>
        <w:pStyle w:val="SingleTxtG"/>
      </w:pPr>
      <w:r>
        <w:t>7</w:t>
      </w:r>
      <w:r w:rsidRPr="00214E11">
        <w:t>.2</w:t>
      </w:r>
      <w:r w:rsidRPr="00214E11">
        <w:tab/>
        <w:t xml:space="preserve">The Committee has ascertained, as required under article 5 </w:t>
      </w:r>
      <w:r w:rsidR="00A34E78">
        <w:t>(</w:t>
      </w:r>
      <w:r w:rsidRPr="00214E11">
        <w:t>2</w:t>
      </w:r>
      <w:r w:rsidR="00A34E78">
        <w:t>)</w:t>
      </w:r>
      <w:r w:rsidRPr="00214E11">
        <w:t xml:space="preserve"> (a) of the Optional Protocol, that the same matter is not being examined under another procedure of international investigation or settlement. </w:t>
      </w:r>
    </w:p>
    <w:p w:rsidR="00D71A1E" w:rsidRDefault="005901A4" w:rsidP="005901A4">
      <w:pPr>
        <w:pStyle w:val="SingleTxtG"/>
      </w:pPr>
      <w:r>
        <w:t>7</w:t>
      </w:r>
      <w:r w:rsidRPr="00214E11">
        <w:t>.3</w:t>
      </w:r>
      <w:r w:rsidRPr="00214E11">
        <w:tab/>
        <w:t xml:space="preserve">The Committee further recalls its jurisprudence to the effect that authors must avail themselves of all domestic remedies in order to fulfil the requirement of article 5 </w:t>
      </w:r>
      <w:r>
        <w:t xml:space="preserve">(2) </w:t>
      </w:r>
      <w:r w:rsidRPr="00214E11">
        <w:t xml:space="preserve">(b) of the Optional Protocol, insofar as such remedies appear to be effective in the given case and </w:t>
      </w:r>
      <w:r w:rsidRPr="00214E11">
        <w:lastRenderedPageBreak/>
        <w:t xml:space="preserve">are </w:t>
      </w:r>
      <w:r w:rsidRPr="00214E11">
        <w:rPr>
          <w:iCs/>
        </w:rPr>
        <w:t>de facto</w:t>
      </w:r>
      <w:r w:rsidRPr="00214E11">
        <w:t xml:space="preserve"> available to the author.</w:t>
      </w:r>
      <w:r w:rsidRPr="00214E11">
        <w:rPr>
          <w:vertAlign w:val="superscript"/>
        </w:rPr>
        <w:footnoteReference w:id="24"/>
      </w:r>
      <w:r w:rsidRPr="00214E11">
        <w:t xml:space="preserve"> The Committee </w:t>
      </w:r>
      <w:r>
        <w:t xml:space="preserve">takes note of </w:t>
      </w:r>
      <w:r w:rsidRPr="00214E11">
        <w:t>the author’s submission</w:t>
      </w:r>
      <w:r>
        <w:t xml:space="preserve"> </w:t>
      </w:r>
      <w:r w:rsidRPr="00214E11">
        <w:t xml:space="preserve">that </w:t>
      </w:r>
      <w:r>
        <w:t xml:space="preserve">he has exhausted all </w:t>
      </w:r>
      <w:r w:rsidRPr="00E446A0">
        <w:t>available domestic remedies</w:t>
      </w:r>
      <w:r>
        <w:t xml:space="preserve"> as the decisions of the R</w:t>
      </w:r>
      <w:r w:rsidR="00D63B56">
        <w:t xml:space="preserve">efugee </w:t>
      </w:r>
      <w:r>
        <w:t>A</w:t>
      </w:r>
      <w:r w:rsidR="00D63B56">
        <w:t xml:space="preserve">ppeals </w:t>
      </w:r>
      <w:r>
        <w:t>B</w:t>
      </w:r>
      <w:r w:rsidR="00D63B56">
        <w:t>oard</w:t>
      </w:r>
      <w:r>
        <w:t xml:space="preserve"> cannot be appealed. The Committee also notes that </w:t>
      </w:r>
      <w:r w:rsidRPr="0037149B">
        <w:t>the State party</w:t>
      </w:r>
      <w:r>
        <w:t xml:space="preserve"> has not contested the author’s submission </w:t>
      </w:r>
      <w:r w:rsidR="00D63B56">
        <w:t>in</w:t>
      </w:r>
      <w:r>
        <w:t xml:space="preserve"> that regard</w:t>
      </w:r>
      <w:r w:rsidR="00D71A1E">
        <w:t>.</w:t>
      </w:r>
    </w:p>
    <w:p w:rsidR="005901A4" w:rsidRDefault="00D71A1E" w:rsidP="005901A4">
      <w:pPr>
        <w:pStyle w:val="SingleTxtG"/>
      </w:pPr>
      <w:r>
        <w:t>7.4</w:t>
      </w:r>
      <w:r>
        <w:tab/>
      </w:r>
      <w:r w:rsidRPr="00D71A1E">
        <w:t>The Committee also notes that the State party</w:t>
      </w:r>
      <w:r w:rsidR="005901A4">
        <w:t xml:space="preserve"> considers that </w:t>
      </w:r>
      <w:r w:rsidR="005901A4" w:rsidRPr="0037149B">
        <w:t xml:space="preserve">the author’s claim under article 7 </w:t>
      </w:r>
      <w:r w:rsidR="005901A4">
        <w:t>should be held inadmissible for lack of substantiation. Nonetheless, t</w:t>
      </w:r>
      <w:r w:rsidR="005901A4" w:rsidRPr="0037149B">
        <w:t xml:space="preserve">he Committee considers that the author has provided sufficient details and documentary evidence for the purpose of admissibility. </w:t>
      </w:r>
      <w:r w:rsidR="005901A4">
        <w:t>A</w:t>
      </w:r>
      <w:r w:rsidR="005901A4" w:rsidRPr="0037149B">
        <w:t>s no other obstacles to admissibility exist, the Committee declares the communication admissible and proceeds to its examination on the merit</w:t>
      </w:r>
      <w:r w:rsidR="005901A4">
        <w:t xml:space="preserve">s. </w:t>
      </w:r>
    </w:p>
    <w:p w:rsidR="00C3404B" w:rsidRPr="0014758E" w:rsidRDefault="00D55A86" w:rsidP="00D55A86">
      <w:pPr>
        <w:pStyle w:val="H4G"/>
      </w:pPr>
      <w:r>
        <w:tab/>
      </w:r>
      <w:r>
        <w:tab/>
      </w:r>
      <w:r w:rsidR="00C3404B" w:rsidRPr="0014758E">
        <w:t>Consideration of</w:t>
      </w:r>
      <w:r w:rsidR="00C3404B">
        <w:t xml:space="preserve"> the</w:t>
      </w:r>
      <w:r w:rsidR="00C3404B" w:rsidRPr="0014758E">
        <w:t xml:space="preserve"> merits</w:t>
      </w:r>
    </w:p>
    <w:p w:rsidR="00C3404B" w:rsidRPr="00214E11" w:rsidRDefault="00C3404B" w:rsidP="00B10DD9">
      <w:pPr>
        <w:pStyle w:val="SingleTxtG"/>
      </w:pPr>
      <w:r>
        <w:t>8</w:t>
      </w:r>
      <w:r w:rsidRPr="00214E11">
        <w:t>.1</w:t>
      </w:r>
      <w:r w:rsidRPr="00214E11">
        <w:tab/>
        <w:t>The Committee has considered the communication in the light of all the information made available to it by the parties, as provided for under article 5</w:t>
      </w:r>
      <w:r>
        <w:t xml:space="preserve"> (</w:t>
      </w:r>
      <w:r w:rsidRPr="00214E11">
        <w:t>1</w:t>
      </w:r>
      <w:r>
        <w:t xml:space="preserve">) </w:t>
      </w:r>
      <w:r w:rsidRPr="00214E11">
        <w:t>of the Optional Protocol.</w:t>
      </w:r>
    </w:p>
    <w:p w:rsidR="00C3404B" w:rsidRDefault="00C3404B" w:rsidP="00C3404B">
      <w:pPr>
        <w:pStyle w:val="SingleTxtG"/>
        <w:rPr>
          <w:lang w:val="en-US"/>
        </w:rPr>
      </w:pPr>
      <w:r>
        <w:t>8</w:t>
      </w:r>
      <w:r w:rsidRPr="00214E11">
        <w:t>.2</w:t>
      </w:r>
      <w:r w:rsidRPr="00214E11">
        <w:tab/>
      </w:r>
      <w:r w:rsidRPr="00C01578">
        <w:rPr>
          <w:lang w:val="en-US"/>
        </w:rPr>
        <w:t>The Committee notes the author’s claim tha</w:t>
      </w:r>
      <w:r>
        <w:rPr>
          <w:lang w:val="en-US"/>
        </w:rPr>
        <w:t xml:space="preserve">t his </w:t>
      </w:r>
      <w:r w:rsidRPr="00C01578">
        <w:rPr>
          <w:lang w:val="en-US"/>
        </w:rPr>
        <w:t xml:space="preserve">return to Bangladesh would expose </w:t>
      </w:r>
      <w:r>
        <w:rPr>
          <w:lang w:val="en-US"/>
        </w:rPr>
        <w:t xml:space="preserve">him </w:t>
      </w:r>
      <w:r w:rsidRPr="00C01578">
        <w:rPr>
          <w:lang w:val="en-US"/>
        </w:rPr>
        <w:t xml:space="preserve">to a risk of </w:t>
      </w:r>
      <w:r>
        <w:rPr>
          <w:lang w:val="en-US"/>
        </w:rPr>
        <w:t xml:space="preserve">torture and persecution </w:t>
      </w:r>
      <w:r w:rsidR="00D63B56">
        <w:rPr>
          <w:lang w:val="en-US"/>
        </w:rPr>
        <w:t>on account of</w:t>
      </w:r>
      <w:r>
        <w:rPr>
          <w:lang w:val="en-US"/>
        </w:rPr>
        <w:t xml:space="preserve"> his homosexuality. In th</w:t>
      </w:r>
      <w:r w:rsidR="00D63B56">
        <w:rPr>
          <w:lang w:val="en-US"/>
        </w:rPr>
        <w:t>at</w:t>
      </w:r>
      <w:r>
        <w:rPr>
          <w:lang w:val="en-US"/>
        </w:rPr>
        <w:t xml:space="preserve"> connection, the Committee notes that</w:t>
      </w:r>
      <w:r w:rsidR="00FF3061">
        <w:rPr>
          <w:lang w:val="en-US"/>
        </w:rPr>
        <w:t>, according to the author,</w:t>
      </w:r>
      <w:r>
        <w:rPr>
          <w:lang w:val="en-US"/>
        </w:rPr>
        <w:t xml:space="preserve"> </w:t>
      </w:r>
      <w:r w:rsidR="00FF3061">
        <w:rPr>
          <w:lang w:val="en-US"/>
        </w:rPr>
        <w:t>he</w:t>
      </w:r>
      <w:r>
        <w:rPr>
          <w:lang w:val="en-US"/>
        </w:rPr>
        <w:t xml:space="preserve"> </w:t>
      </w:r>
      <w:r w:rsidRPr="00CB2297">
        <w:rPr>
          <w:lang w:val="en-US"/>
        </w:rPr>
        <w:t xml:space="preserve">maintained </w:t>
      </w:r>
      <w:r w:rsidR="00D63B56">
        <w:rPr>
          <w:lang w:val="en-US"/>
        </w:rPr>
        <w:t xml:space="preserve">a </w:t>
      </w:r>
      <w:r w:rsidRPr="00CB2297">
        <w:rPr>
          <w:lang w:val="en-US"/>
        </w:rPr>
        <w:t xml:space="preserve">homosexual relationship with </w:t>
      </w:r>
      <w:r w:rsidR="00690CA0">
        <w:rPr>
          <w:lang w:val="en-US"/>
        </w:rPr>
        <w:t>a</w:t>
      </w:r>
      <w:r w:rsidRPr="00CB2297">
        <w:rPr>
          <w:lang w:val="en-US"/>
        </w:rPr>
        <w:t xml:space="preserve"> friend</w:t>
      </w:r>
      <w:r w:rsidR="00FF3061">
        <w:rPr>
          <w:lang w:val="en-US"/>
        </w:rPr>
        <w:t xml:space="preserve"> from July 2010 to July 2011</w:t>
      </w:r>
      <w:r>
        <w:rPr>
          <w:lang w:val="en-US"/>
        </w:rPr>
        <w:t>, and that t</w:t>
      </w:r>
      <w:r w:rsidRPr="00CB2297">
        <w:rPr>
          <w:lang w:val="en-US"/>
        </w:rPr>
        <w:t>hey were caught at a rice field</w:t>
      </w:r>
      <w:r w:rsidR="00690CA0">
        <w:rPr>
          <w:lang w:val="en-US"/>
        </w:rPr>
        <w:t xml:space="preserve"> and</w:t>
      </w:r>
      <w:r w:rsidRPr="00CB2297">
        <w:rPr>
          <w:lang w:val="en-US"/>
        </w:rPr>
        <w:t xml:space="preserve"> brought to a village council</w:t>
      </w:r>
      <w:r w:rsidR="00D63B56">
        <w:rPr>
          <w:lang w:val="en-US"/>
        </w:rPr>
        <w:t>,</w:t>
      </w:r>
      <w:r w:rsidRPr="00CB2297">
        <w:rPr>
          <w:lang w:val="en-US"/>
        </w:rPr>
        <w:t xml:space="preserve"> where they were beaten</w:t>
      </w:r>
      <w:r>
        <w:rPr>
          <w:lang w:val="en-US"/>
        </w:rPr>
        <w:t xml:space="preserve"> and tortured. The Committee </w:t>
      </w:r>
      <w:r w:rsidR="00FF3061">
        <w:rPr>
          <w:lang w:val="en-US"/>
        </w:rPr>
        <w:t xml:space="preserve">also </w:t>
      </w:r>
      <w:r>
        <w:rPr>
          <w:lang w:val="en-US"/>
        </w:rPr>
        <w:t xml:space="preserve">notes that the author was </w:t>
      </w:r>
      <w:r w:rsidRPr="00CB2297">
        <w:rPr>
          <w:lang w:val="en-US"/>
        </w:rPr>
        <w:t xml:space="preserve">expelled from his family and village and threatened </w:t>
      </w:r>
      <w:r w:rsidR="00D63B56">
        <w:rPr>
          <w:lang w:val="en-US"/>
        </w:rPr>
        <w:t>with death</w:t>
      </w:r>
      <w:r>
        <w:rPr>
          <w:lang w:val="en-US"/>
        </w:rPr>
        <w:t xml:space="preserve"> if he ever return</w:t>
      </w:r>
      <w:r w:rsidR="00D63B56">
        <w:rPr>
          <w:lang w:val="en-US"/>
        </w:rPr>
        <w:t>ed</w:t>
      </w:r>
      <w:r>
        <w:rPr>
          <w:lang w:val="en-US"/>
        </w:rPr>
        <w:t>, and that when the author’s partner returned to the village to visit his sister, he was tortured and consequently died. The Committee further notes that according to the reports submitted by the author</w:t>
      </w:r>
      <w:r w:rsidR="00D63B56">
        <w:rPr>
          <w:lang w:val="en-US"/>
        </w:rPr>
        <w:t>,</w:t>
      </w:r>
      <w:r>
        <w:rPr>
          <w:lang w:val="en-US"/>
        </w:rPr>
        <w:t xml:space="preserve"> (a)</w:t>
      </w:r>
      <w:r w:rsidRPr="00657C58">
        <w:rPr>
          <w:lang w:val="en-US"/>
        </w:rPr>
        <w:t xml:space="preserve"> </w:t>
      </w:r>
      <w:r>
        <w:rPr>
          <w:lang w:val="en-US"/>
        </w:rPr>
        <w:t xml:space="preserve">Bangladeshi law forbids homosexual acts and </w:t>
      </w:r>
      <w:r w:rsidR="00D63B56">
        <w:rPr>
          <w:lang w:val="en-US"/>
        </w:rPr>
        <w:t xml:space="preserve">lesbian, gay, bisexual and transgender </w:t>
      </w:r>
      <w:r>
        <w:rPr>
          <w:lang w:val="en-US"/>
        </w:rPr>
        <w:t>individuals lack protection from the authorities; (b)</w:t>
      </w:r>
      <w:r w:rsidRPr="00657C58">
        <w:rPr>
          <w:lang w:val="en-US"/>
        </w:rPr>
        <w:t xml:space="preserve"> the police use </w:t>
      </w:r>
      <w:r w:rsidR="00D63B56">
        <w:rPr>
          <w:lang w:val="en-US"/>
        </w:rPr>
        <w:t>the law</w:t>
      </w:r>
      <w:r w:rsidRPr="00657C58">
        <w:rPr>
          <w:lang w:val="en-US"/>
        </w:rPr>
        <w:t xml:space="preserve"> to discriminate and exercise violence against homosexuals; </w:t>
      </w:r>
      <w:r>
        <w:rPr>
          <w:lang w:val="en-US"/>
        </w:rPr>
        <w:t>(c) and</w:t>
      </w:r>
      <w:r w:rsidRPr="00657C58">
        <w:rPr>
          <w:lang w:val="en-US"/>
        </w:rPr>
        <w:t xml:space="preserve"> the law serves as a constant threat</w:t>
      </w:r>
      <w:r>
        <w:rPr>
          <w:lang w:val="en-US"/>
        </w:rPr>
        <w:t xml:space="preserve"> even if it is not systematically applied. </w:t>
      </w:r>
    </w:p>
    <w:p w:rsidR="00C3404B" w:rsidRPr="0038238A" w:rsidRDefault="00C3404B" w:rsidP="00C3404B">
      <w:pPr>
        <w:pStyle w:val="SingleTxtG"/>
        <w:rPr>
          <w:lang w:val="en-US"/>
        </w:rPr>
      </w:pPr>
      <w:r>
        <w:rPr>
          <w:lang w:val="en-US"/>
        </w:rPr>
        <w:t>8.3</w:t>
      </w:r>
      <w:r>
        <w:rPr>
          <w:lang w:val="en-US"/>
        </w:rPr>
        <w:tab/>
      </w:r>
      <w:r w:rsidRPr="00C01578">
        <w:t>The</w:t>
      </w:r>
      <w:r>
        <w:t xml:space="preserve"> Committee further notes the author’s submission that in the decision process, </w:t>
      </w:r>
      <w:r w:rsidR="00D63B56">
        <w:t xml:space="preserve">the </w:t>
      </w:r>
      <w:r>
        <w:t xml:space="preserve">State party’s authorities did not give due weight to the evidence he had provided. In particular, the Committee notes that </w:t>
      </w:r>
      <w:r>
        <w:rPr>
          <w:lang w:val="en-US"/>
        </w:rPr>
        <w:t>when the author presented a birth certificate</w:t>
      </w:r>
      <w:r w:rsidRPr="00FD3F74">
        <w:rPr>
          <w:lang w:val="en-US"/>
        </w:rPr>
        <w:t xml:space="preserve"> </w:t>
      </w:r>
      <w:r>
        <w:rPr>
          <w:lang w:val="en-US"/>
        </w:rPr>
        <w:t>indicating that he was born on 21 December 1994, and was therefore 17 when he arrived in Denmark, the State party questioned the credibility of the author, but did not take any further measure</w:t>
      </w:r>
      <w:r w:rsidR="00D63B56">
        <w:rPr>
          <w:lang w:val="en-US"/>
        </w:rPr>
        <w:t>s</w:t>
      </w:r>
      <w:r>
        <w:rPr>
          <w:lang w:val="en-US"/>
        </w:rPr>
        <w:t xml:space="preserve"> to verify the information </w:t>
      </w:r>
      <w:r w:rsidR="00D63B56">
        <w:rPr>
          <w:lang w:val="en-US"/>
        </w:rPr>
        <w:t xml:space="preserve">provided </w:t>
      </w:r>
      <w:r>
        <w:rPr>
          <w:lang w:val="en-US"/>
        </w:rPr>
        <w:t>as to his actual age. The Committee also notes that when the author provided</w:t>
      </w:r>
      <w:r w:rsidRPr="00C01578">
        <w:t xml:space="preserve"> a copy of an article published in the newspaper </w:t>
      </w:r>
      <w:r w:rsidR="00026F6B" w:rsidRPr="00026F6B">
        <w:t>the</w:t>
      </w:r>
      <w:r w:rsidR="00D63B56" w:rsidRPr="00CD606E">
        <w:rPr>
          <w:i/>
        </w:rPr>
        <w:t xml:space="preserve"> </w:t>
      </w:r>
      <w:r w:rsidRPr="00CD606E">
        <w:rPr>
          <w:i/>
        </w:rPr>
        <w:t>Daily Banglar Manush</w:t>
      </w:r>
      <w:r w:rsidR="00D63B56">
        <w:t>, which</w:t>
      </w:r>
      <w:r w:rsidRPr="00C01578">
        <w:t xml:space="preserve"> made reference to </w:t>
      </w:r>
      <w:r>
        <w:t xml:space="preserve">the events </w:t>
      </w:r>
      <w:r w:rsidR="00D63B56">
        <w:t xml:space="preserve">that </w:t>
      </w:r>
      <w:r>
        <w:t>occurred after his homosexual relationship was discovered, the State party first questioned the existence of the referred newspaper and then the genuineness of the article.</w:t>
      </w:r>
      <w:r w:rsidRPr="00C01578">
        <w:t xml:space="preserve"> </w:t>
      </w:r>
      <w:r w:rsidRPr="00B15596">
        <w:t xml:space="preserve">In the author’s view, the State party </w:t>
      </w:r>
      <w:r>
        <w:t xml:space="preserve">did not </w:t>
      </w:r>
      <w:r w:rsidR="00D63B56">
        <w:t>carry out</w:t>
      </w:r>
      <w:r w:rsidR="00D63B56" w:rsidRPr="00B15596">
        <w:t xml:space="preserve"> </w:t>
      </w:r>
      <w:r w:rsidRPr="00B15596">
        <w:t xml:space="preserve">a thorough evaluation of the facts and </w:t>
      </w:r>
      <w:r>
        <w:t>documents he submitted</w:t>
      </w:r>
      <w:r w:rsidR="00D63B56">
        <w:t>. H</w:t>
      </w:r>
      <w:r>
        <w:t xml:space="preserve">e argues that </w:t>
      </w:r>
      <w:r w:rsidR="00D63B56">
        <w:t>in its</w:t>
      </w:r>
      <w:r w:rsidRPr="00E97FBD">
        <w:t xml:space="preserve"> first decision</w:t>
      </w:r>
      <w:r w:rsidR="00D63B56">
        <w:t>, the Refugee Appeals Board</w:t>
      </w:r>
      <w:r w:rsidRPr="00E97FBD">
        <w:t xml:space="preserve"> did not </w:t>
      </w:r>
      <w:r>
        <w:t>assess</w:t>
      </w:r>
      <w:r w:rsidRPr="00E97FBD">
        <w:t xml:space="preserve"> whether being homosexual would constitute a risk of persecution</w:t>
      </w:r>
      <w:r>
        <w:t xml:space="preserve"> and that </w:t>
      </w:r>
      <w:r w:rsidR="00D63B56">
        <w:t>in its</w:t>
      </w:r>
      <w:r>
        <w:t xml:space="preserve"> </w:t>
      </w:r>
      <w:r w:rsidRPr="00E97FBD">
        <w:t>second decision</w:t>
      </w:r>
      <w:r w:rsidR="00D63B56">
        <w:t>, it</w:t>
      </w:r>
      <w:r w:rsidRPr="00E97FBD">
        <w:t xml:space="preserve"> suggested that the situation </w:t>
      </w:r>
      <w:r>
        <w:t>of</w:t>
      </w:r>
      <w:r w:rsidRPr="00E97FBD">
        <w:t xml:space="preserve"> homosexuals ha</w:t>
      </w:r>
      <w:r>
        <w:t>d</w:t>
      </w:r>
      <w:r w:rsidRPr="00E97FBD">
        <w:t xml:space="preserve"> improved in Bangladesh</w:t>
      </w:r>
      <w:r>
        <w:t>,</w:t>
      </w:r>
      <w:r w:rsidRPr="00E97FBD">
        <w:t xml:space="preserve"> despite</w:t>
      </w:r>
      <w:r>
        <w:t xml:space="preserve"> the </w:t>
      </w:r>
      <w:r w:rsidRPr="00E97FBD">
        <w:t xml:space="preserve">background information </w:t>
      </w:r>
      <w:r>
        <w:t xml:space="preserve">provided </w:t>
      </w:r>
      <w:r w:rsidRPr="00E97FBD">
        <w:t>to the contrary</w:t>
      </w:r>
      <w:r>
        <w:t xml:space="preserve">. </w:t>
      </w:r>
    </w:p>
    <w:p w:rsidR="00C3404B" w:rsidRPr="00321DB2" w:rsidRDefault="00C3404B" w:rsidP="00321DB2">
      <w:pPr>
        <w:spacing w:after="120"/>
        <w:ind w:left="1134" w:right="1134"/>
        <w:jc w:val="both"/>
      </w:pPr>
      <w:r>
        <w:t>8.4</w:t>
      </w:r>
      <w:r>
        <w:tab/>
      </w:r>
      <w:r w:rsidRPr="00D9194B">
        <w:t xml:space="preserve">The Committee </w:t>
      </w:r>
      <w:r>
        <w:t xml:space="preserve">also notes the State party’s assessment that the information provided by the </w:t>
      </w:r>
      <w:r w:rsidRPr="00101D3D">
        <w:t xml:space="preserve">author </w:t>
      </w:r>
      <w:r>
        <w:t>did not enable it to conclude that,</w:t>
      </w:r>
      <w:r w:rsidRPr="00101D3D">
        <w:t xml:space="preserve"> even if he were homosexual, he would </w:t>
      </w:r>
      <w:r>
        <w:t xml:space="preserve">be at </w:t>
      </w:r>
      <w:r w:rsidRPr="00101D3D">
        <w:t xml:space="preserve">risk </w:t>
      </w:r>
      <w:r>
        <w:t xml:space="preserve">of </w:t>
      </w:r>
      <w:r w:rsidRPr="00101D3D">
        <w:t>persecution upon his return</w:t>
      </w:r>
      <w:r>
        <w:t xml:space="preserve"> to Bangladesh; that </w:t>
      </w:r>
      <w:r w:rsidRPr="008B22CD">
        <w:t>section 337 of Penal Code 1860</w:t>
      </w:r>
      <w:r>
        <w:t xml:space="preserve"> which criminalizes homosexual acts is not applied in practice; and that the </w:t>
      </w:r>
      <w:r w:rsidRPr="008B22CD">
        <w:t>situation of homosexuals has improved considerably in recent years</w:t>
      </w:r>
      <w:r>
        <w:t xml:space="preserve">. </w:t>
      </w:r>
    </w:p>
    <w:p w:rsidR="00C3404B" w:rsidRPr="004A1271" w:rsidRDefault="00C3404B" w:rsidP="00C3404B">
      <w:pPr>
        <w:pStyle w:val="SingleTxtG"/>
      </w:pPr>
      <w:r>
        <w:rPr>
          <w:bCs/>
        </w:rPr>
        <w:lastRenderedPageBreak/>
        <w:t>8.5</w:t>
      </w:r>
      <w:r>
        <w:rPr>
          <w:bCs/>
        </w:rPr>
        <w:tab/>
      </w:r>
      <w:r w:rsidRPr="004A1271">
        <w:rPr>
          <w:bCs/>
        </w:rPr>
        <w:t>The Committee recalls its general comment No. 31</w:t>
      </w:r>
      <w:r w:rsidR="00D63B56">
        <w:rPr>
          <w:bCs/>
        </w:rPr>
        <w:t xml:space="preserve"> (2004) on the nature of the general legal obligation imposed on States parties to the Covenant,</w:t>
      </w:r>
      <w:r w:rsidRPr="004A1271">
        <w:rPr>
          <w:bCs/>
        </w:rPr>
        <w:t xml:space="preserve"> in which it refers to the obligation of States parties not to extradite, deport, expel or otherwise remove a person from their territory when there are substantial grounds for believing that there is a real risk of irreparable harm such as that contemplated by article 7 of the Covenant. </w:t>
      </w:r>
      <w:r w:rsidRPr="004A1271">
        <w:t xml:space="preserve">The Committee has also indicated that the risk must be </w:t>
      </w:r>
      <w:r w:rsidRPr="00A34E78">
        <w:t>personal</w:t>
      </w:r>
      <w:r w:rsidRPr="00A34E78">
        <w:rPr>
          <w:sz w:val="18"/>
          <w:vertAlign w:val="superscript"/>
        </w:rPr>
        <w:footnoteReference w:id="25"/>
      </w:r>
      <w:r w:rsidRPr="004A1271">
        <w:t xml:space="preserve"> and that there is a high threshold for providing substantial grounds to establish that a real risk of irreparable harm exists.</w:t>
      </w:r>
      <w:r w:rsidRPr="004A1271">
        <w:rPr>
          <w:sz w:val="18"/>
          <w:vertAlign w:val="superscript"/>
        </w:rPr>
        <w:footnoteReference w:id="26"/>
      </w:r>
      <w:r w:rsidRPr="004A1271">
        <w:t xml:space="preserve"> Thus, all relevant facts and circumstances must be considered, including the general situation </w:t>
      </w:r>
      <w:r w:rsidR="00CA7483">
        <w:t xml:space="preserve">of </w:t>
      </w:r>
      <w:r w:rsidR="00CA7483" w:rsidRPr="004A1271">
        <w:t xml:space="preserve">human rights </w:t>
      </w:r>
      <w:r w:rsidRPr="004A1271">
        <w:t>in the author’s country of origin.</w:t>
      </w:r>
      <w:r w:rsidRPr="00CC3014">
        <w:rPr>
          <w:sz w:val="18"/>
          <w:vertAlign w:val="superscript"/>
        </w:rPr>
        <w:footnoteReference w:id="27"/>
      </w:r>
      <w:r w:rsidRPr="004A1271">
        <w:t xml:space="preserve"> </w:t>
      </w:r>
    </w:p>
    <w:p w:rsidR="00C3404B" w:rsidRDefault="00C3404B" w:rsidP="00C3404B">
      <w:pPr>
        <w:spacing w:after="120"/>
        <w:ind w:left="1134" w:right="1134"/>
        <w:jc w:val="both"/>
      </w:pPr>
      <w:r>
        <w:t>8</w:t>
      </w:r>
      <w:r w:rsidRPr="004A1271">
        <w:t>.</w:t>
      </w:r>
      <w:r>
        <w:t>6</w:t>
      </w:r>
      <w:r w:rsidRPr="004A1271">
        <w:tab/>
        <w:t xml:space="preserve">The Committee </w:t>
      </w:r>
      <w:r>
        <w:t xml:space="preserve">further </w:t>
      </w:r>
      <w:r w:rsidRPr="004A1271">
        <w:t>recalls its jurisprudence that important weight should be given to the assessment conducted by the State party, unless it is found that the evaluation was clearly arbitrary or amounted to a denial of justice</w:t>
      </w:r>
      <w:r w:rsidRPr="00CC3014">
        <w:t>,</w:t>
      </w:r>
      <w:r w:rsidRPr="00CC3014">
        <w:rPr>
          <w:vertAlign w:val="superscript"/>
        </w:rPr>
        <w:footnoteReference w:id="28"/>
      </w:r>
      <w:r w:rsidRPr="004A1271">
        <w:t xml:space="preserve"> and that it is generally for the organs of States parties to the Covenant to review or evaluate facts and evidence in order to determine whether such a risk exists.</w:t>
      </w:r>
      <w:r w:rsidRPr="004A1271">
        <w:rPr>
          <w:vertAlign w:val="superscript"/>
        </w:rPr>
        <w:footnoteReference w:id="29"/>
      </w:r>
      <w:r w:rsidRPr="004A1271">
        <w:t xml:space="preserve"> </w:t>
      </w:r>
    </w:p>
    <w:p w:rsidR="004376CB" w:rsidRPr="004A1271" w:rsidRDefault="004376CB" w:rsidP="004376CB">
      <w:pPr>
        <w:spacing w:after="120"/>
        <w:ind w:left="1134" w:right="1134"/>
        <w:jc w:val="both"/>
      </w:pPr>
      <w:r>
        <w:t>8.7</w:t>
      </w:r>
      <w:r>
        <w:tab/>
      </w:r>
      <w:r>
        <w:rPr>
          <w:lang w:val="en-US"/>
        </w:rPr>
        <w:t xml:space="preserve">In the present communication, the Committee notes that the State party considered that the author was </w:t>
      </w:r>
      <w:r w:rsidR="00A34E78">
        <w:rPr>
          <w:lang w:val="en-US"/>
        </w:rPr>
        <w:t>older</w:t>
      </w:r>
      <w:r>
        <w:rPr>
          <w:lang w:val="en-US"/>
        </w:rPr>
        <w:t xml:space="preserve"> than 18, while the </w:t>
      </w:r>
      <w:r>
        <w:t>Section of Forensic Pathology had concluded that</w:t>
      </w:r>
      <w:r w:rsidRPr="00CC3014">
        <w:t xml:space="preserve"> “</w:t>
      </w:r>
      <w:r w:rsidR="003F419C" w:rsidRPr="00CC3014">
        <w:t xml:space="preserve">a </w:t>
      </w:r>
      <w:r w:rsidRPr="00CC3014">
        <w:t>certain probability exist</w:t>
      </w:r>
      <w:r w:rsidR="00CC3014" w:rsidRPr="00A51905">
        <w:t>ed</w:t>
      </w:r>
      <w:r w:rsidRPr="00CC3014">
        <w:t>”</w:t>
      </w:r>
      <w:r>
        <w:t xml:space="preserve"> that the author might be as young as 17</w:t>
      </w:r>
      <w:r w:rsidR="00201C3B">
        <w:t>.</w:t>
      </w:r>
      <w:r>
        <w:t xml:space="preserve"> It also notes the State party’s arguments that </w:t>
      </w:r>
      <w:r w:rsidRPr="00D9194B">
        <w:t xml:space="preserve">the </w:t>
      </w:r>
      <w:r>
        <w:t xml:space="preserve">author’s age has been properly assessed by the </w:t>
      </w:r>
      <w:r w:rsidR="008E2493">
        <w:t>Danish Immigration Service</w:t>
      </w:r>
      <w:r>
        <w:t xml:space="preserve"> and upheld by the Ministry of Justice; that the </w:t>
      </w:r>
      <w:r w:rsidR="003F419C">
        <w:t>Refugee Appeals Board</w:t>
      </w:r>
      <w:r>
        <w:t xml:space="preserve"> assessed the author’s </w:t>
      </w:r>
      <w:r w:rsidRPr="00247551">
        <w:t xml:space="preserve">procedural capacity </w:t>
      </w:r>
      <w:r>
        <w:t>even if he was over 18</w:t>
      </w:r>
      <w:r w:rsidR="003F419C">
        <w:t>,</w:t>
      </w:r>
      <w:r>
        <w:t xml:space="preserve"> and that the author’s vulnerability</w:t>
      </w:r>
      <w:r w:rsidRPr="00247551">
        <w:t xml:space="preserve"> </w:t>
      </w:r>
      <w:r w:rsidR="00FA6B16">
        <w:t>was</w:t>
      </w:r>
      <w:r w:rsidR="00DA41E6">
        <w:t xml:space="preserve"> </w:t>
      </w:r>
      <w:r>
        <w:t>properly assessed in accordance with the re</w:t>
      </w:r>
      <w:r w:rsidRPr="00247551">
        <w:t xml:space="preserve">levant UNHCR </w:t>
      </w:r>
      <w:r w:rsidR="003F419C">
        <w:t>g</w:t>
      </w:r>
      <w:r w:rsidRPr="00247551">
        <w:t>uidelines.</w:t>
      </w:r>
      <w:r>
        <w:t xml:space="preserve"> It notes that the State party did not question the authenticity of the birth certificate that the author provided, but questioned the way</w:t>
      </w:r>
      <w:r w:rsidR="003F419C">
        <w:t xml:space="preserve"> in which</w:t>
      </w:r>
      <w:r>
        <w:t xml:space="preserve"> it was obtained. The Committee notes that, in this context, t</w:t>
      </w:r>
      <w:r>
        <w:rPr>
          <w:lang w:val="en-US"/>
        </w:rPr>
        <w:t xml:space="preserve">he State party did not consider that the author could be a minor; it </w:t>
      </w:r>
      <w:r w:rsidRPr="00CD606E">
        <w:rPr>
          <w:lang w:val="en-US"/>
        </w:rPr>
        <w:t xml:space="preserve">did not provide </w:t>
      </w:r>
      <w:r>
        <w:rPr>
          <w:lang w:val="en-US"/>
        </w:rPr>
        <w:t>him</w:t>
      </w:r>
      <w:r w:rsidRPr="00CD606E">
        <w:rPr>
          <w:lang w:val="en-US"/>
        </w:rPr>
        <w:t xml:space="preserve"> with an</w:t>
      </w:r>
      <w:r>
        <w:rPr>
          <w:lang w:val="en-US"/>
        </w:rPr>
        <w:t>y of the</w:t>
      </w:r>
      <w:r w:rsidRPr="00CD606E">
        <w:rPr>
          <w:lang w:val="en-US"/>
        </w:rPr>
        <w:t xml:space="preserve"> assistance he </w:t>
      </w:r>
      <w:r>
        <w:rPr>
          <w:lang w:val="en-US"/>
        </w:rPr>
        <w:t>was</w:t>
      </w:r>
      <w:r w:rsidRPr="00CD606E">
        <w:rPr>
          <w:lang w:val="en-US"/>
        </w:rPr>
        <w:t xml:space="preserve"> entitled to</w:t>
      </w:r>
      <w:r>
        <w:rPr>
          <w:lang w:val="en-US"/>
        </w:rPr>
        <w:t xml:space="preserve"> as a minor during the asylum procedure; </w:t>
      </w:r>
      <w:r w:rsidRPr="00CD606E">
        <w:rPr>
          <w:lang w:val="en-US"/>
        </w:rPr>
        <w:t>and</w:t>
      </w:r>
      <w:r>
        <w:rPr>
          <w:lang w:val="en-US"/>
        </w:rPr>
        <w:t xml:space="preserve"> it</w:t>
      </w:r>
      <w:r w:rsidRPr="00CD606E">
        <w:rPr>
          <w:lang w:val="en-US"/>
        </w:rPr>
        <w:t xml:space="preserve"> did not take into account the fact that </w:t>
      </w:r>
      <w:r>
        <w:rPr>
          <w:lang w:val="en-US"/>
        </w:rPr>
        <w:t>the author could be</w:t>
      </w:r>
      <w:r w:rsidRPr="00CD606E">
        <w:rPr>
          <w:lang w:val="en-US"/>
        </w:rPr>
        <w:t xml:space="preserve"> </w:t>
      </w:r>
      <w:r>
        <w:rPr>
          <w:lang w:val="en-US"/>
        </w:rPr>
        <w:t xml:space="preserve">a </w:t>
      </w:r>
      <w:r w:rsidRPr="00CD606E">
        <w:rPr>
          <w:lang w:val="en-US"/>
        </w:rPr>
        <w:t xml:space="preserve">minor </w:t>
      </w:r>
      <w:r>
        <w:rPr>
          <w:lang w:val="en-US"/>
        </w:rPr>
        <w:t>likely to face a personal risk when assessing whether his return to Bangladesh would constitute</w:t>
      </w:r>
      <w:r w:rsidRPr="00CD606E">
        <w:rPr>
          <w:lang w:val="en-US"/>
        </w:rPr>
        <w:t xml:space="preserve"> a violation of article 7 of the Covenant</w:t>
      </w:r>
      <w:r>
        <w:rPr>
          <w:lang w:val="en-US"/>
        </w:rPr>
        <w:t>. The Committee considers that this practice amounts to a procedural defect in the examination of the author’s request for asylum.</w:t>
      </w:r>
    </w:p>
    <w:p w:rsidR="00C3404B" w:rsidRPr="004A1271" w:rsidRDefault="00C3404B" w:rsidP="00C3404B">
      <w:pPr>
        <w:spacing w:after="120"/>
        <w:ind w:left="1134" w:right="1134"/>
        <w:jc w:val="both"/>
      </w:pPr>
      <w:r>
        <w:t>8.</w:t>
      </w:r>
      <w:r w:rsidR="00CF5338">
        <w:t>8</w:t>
      </w:r>
      <w:r>
        <w:tab/>
      </w:r>
      <w:r w:rsidR="00EC7901">
        <w:t>T</w:t>
      </w:r>
      <w:r>
        <w:t xml:space="preserve">he Committee </w:t>
      </w:r>
      <w:r w:rsidR="00EC7901">
        <w:t xml:space="preserve">further </w:t>
      </w:r>
      <w:r>
        <w:t xml:space="preserve">notes that the </w:t>
      </w:r>
      <w:r w:rsidR="008E2493">
        <w:t>Danish Immigration Service</w:t>
      </w:r>
      <w:r>
        <w:t xml:space="preserve"> and </w:t>
      </w:r>
      <w:r w:rsidR="003F419C">
        <w:t xml:space="preserve">the </w:t>
      </w:r>
      <w:r>
        <w:t>R</w:t>
      </w:r>
      <w:r w:rsidR="003F419C">
        <w:t xml:space="preserve">efugee </w:t>
      </w:r>
      <w:r>
        <w:t>A</w:t>
      </w:r>
      <w:r w:rsidR="003F419C">
        <w:t xml:space="preserve">ppeals </w:t>
      </w:r>
      <w:r>
        <w:t>B</w:t>
      </w:r>
      <w:r w:rsidR="003F419C">
        <w:t>oard</w:t>
      </w:r>
      <w:r>
        <w:t xml:space="preserve"> concluded that the author’s homosexuality was suspicious and that he had not demonstrated that his alleged homosexuality would put him at risk in case of return to Bangladesh. The Committee also notes that, to reach this conclusion, the State party focused on the </w:t>
      </w:r>
      <w:r w:rsidR="00A333C6">
        <w:t xml:space="preserve">assessment of the </w:t>
      </w:r>
      <w:r>
        <w:t xml:space="preserve">credibility of the author throughout the procedure, without further evaluating the </w:t>
      </w:r>
      <w:r w:rsidR="00A333C6">
        <w:t>statements</w:t>
      </w:r>
      <w:r>
        <w:t xml:space="preserve"> before it. </w:t>
      </w:r>
      <w:r w:rsidR="00A333C6" w:rsidRPr="00A333C6">
        <w:t>The Committee in particular notes that in its decision of 4 December 2012</w:t>
      </w:r>
      <w:r w:rsidR="003F419C">
        <w:t>, the Board</w:t>
      </w:r>
      <w:r w:rsidR="00A333C6" w:rsidRPr="00A333C6">
        <w:t xml:space="preserve"> did not explain on which grounds it </w:t>
      </w:r>
      <w:r w:rsidR="003F419C">
        <w:t xml:space="preserve">had </w:t>
      </w:r>
      <w:r w:rsidR="00A333C6" w:rsidRPr="00A333C6">
        <w:t xml:space="preserve">disregarded the author’s </w:t>
      </w:r>
      <w:r w:rsidR="00C173AE">
        <w:t xml:space="preserve">self-identification as homosexual and his allegations of a real risk of persecution or abuse </w:t>
      </w:r>
      <w:r w:rsidR="003F419C">
        <w:t>if he was</w:t>
      </w:r>
      <w:r w:rsidR="00C173AE">
        <w:t xml:space="preserve"> returned to Bangladesh. </w:t>
      </w:r>
      <w:r w:rsidR="00034228">
        <w:t xml:space="preserve">Furthermore, </w:t>
      </w:r>
      <w:r w:rsidR="00034228" w:rsidRPr="00034228">
        <w:t xml:space="preserve">since the </w:t>
      </w:r>
      <w:r w:rsidR="008E2493">
        <w:lastRenderedPageBreak/>
        <w:t>Immigration Service</w:t>
      </w:r>
      <w:r w:rsidR="00187F8A">
        <w:t xml:space="preserve"> </w:t>
      </w:r>
      <w:r w:rsidR="00034228" w:rsidRPr="00034228">
        <w:t xml:space="preserve">and </w:t>
      </w:r>
      <w:r w:rsidR="003F419C">
        <w:t>the Board</w:t>
      </w:r>
      <w:r w:rsidR="00034228" w:rsidRPr="00034228" w:rsidDel="00C173AE">
        <w:t xml:space="preserve"> </w:t>
      </w:r>
      <w:r w:rsidR="00034228">
        <w:t>found the author’s homosexuality suspicious, they did not take into account the author’s allegations</w:t>
      </w:r>
      <w:r w:rsidR="00DA41E6">
        <w:t xml:space="preserve"> </w:t>
      </w:r>
      <w:r>
        <w:t xml:space="preserve">that </w:t>
      </w:r>
      <w:r w:rsidR="00690CA0">
        <w:t xml:space="preserve">(a) </w:t>
      </w:r>
      <w:r w:rsidR="00034228">
        <w:t>he</w:t>
      </w:r>
      <w:r>
        <w:t xml:space="preserve"> and his partner were tortured and expelled from their village upon discovery of their homosexual relationship; (b) </w:t>
      </w:r>
      <w:r w:rsidR="00034228">
        <w:t>he</w:t>
      </w:r>
      <w:r>
        <w:t xml:space="preserve"> was told that he would be killed if he tr</w:t>
      </w:r>
      <w:r w:rsidR="00034228">
        <w:t>ied</w:t>
      </w:r>
      <w:r>
        <w:t xml:space="preserve"> to come back to the village and his family; (c) </w:t>
      </w:r>
      <w:r w:rsidR="00034228">
        <w:t>his</w:t>
      </w:r>
      <w:r>
        <w:t xml:space="preserve"> partner was tortured and consequently died when he tried to return to their village for a visit; and (</w:t>
      </w:r>
      <w:r w:rsidR="00034228">
        <w:t>d</w:t>
      </w:r>
      <w:r>
        <w:t>)</w:t>
      </w:r>
      <w:r w:rsidR="00187F8A">
        <w:t> </w:t>
      </w:r>
      <w:r>
        <w:t xml:space="preserve">no protection could be expected from the national authorities against this form of repression of homosexuality, which is widely </w:t>
      </w:r>
      <w:r w:rsidR="00034228">
        <w:t>practi</w:t>
      </w:r>
      <w:r w:rsidR="003F419C">
        <w:t>sed</w:t>
      </w:r>
      <w:r>
        <w:t xml:space="preserve"> in Bangladesh. In the same way, the State party did not take into account the information provided by the </w:t>
      </w:r>
      <w:r w:rsidR="00034228">
        <w:t>author</w:t>
      </w:r>
      <w:r w:rsidR="003F419C">
        <w:t>,</w:t>
      </w:r>
      <w:r>
        <w:t xml:space="preserve"> according to which homosexuality is stigmatized in Bangladesh and remains criminalized by section 377 of the </w:t>
      </w:r>
      <w:r w:rsidRPr="00CC3014">
        <w:t>Criminal Code,</w:t>
      </w:r>
      <w:r>
        <w:t xml:space="preserve"> which in itself constitutes an obstacle to the investigation and sanction of acts of persecution against </w:t>
      </w:r>
      <w:r w:rsidR="003F419C" w:rsidRPr="00CC3014">
        <w:t>lesbian, gay, bisexual</w:t>
      </w:r>
      <w:r w:rsidR="00206BEC" w:rsidRPr="00A51905">
        <w:t xml:space="preserve"> and</w:t>
      </w:r>
      <w:r w:rsidR="003F419C" w:rsidRPr="00CC3014">
        <w:t xml:space="preserve"> transgender </w:t>
      </w:r>
      <w:r>
        <w:t xml:space="preserve">persons. </w:t>
      </w:r>
      <w:r w:rsidRPr="00034228">
        <w:rPr>
          <w:lang w:val="en-US"/>
        </w:rPr>
        <w:t xml:space="preserve">In addition, the Committee notes that the author is Muslim, and that at the date of the present decision, </w:t>
      </w:r>
      <w:r w:rsidR="00F0314D">
        <w:rPr>
          <w:rFonts w:ascii="Freight Text W03" w:hAnsi="Freight Text W03" w:cs="Arial"/>
          <w:lang w:val="en"/>
        </w:rPr>
        <w:t xml:space="preserve">such </w:t>
      </w:r>
      <w:r w:rsidRPr="00034228">
        <w:rPr>
          <w:rFonts w:ascii="Freight Text W03" w:hAnsi="Freight Text W03" w:cs="Arial"/>
          <w:lang w:val="en"/>
        </w:rPr>
        <w:t xml:space="preserve">people in Bangladesh </w:t>
      </w:r>
      <w:r w:rsidR="00F0314D">
        <w:rPr>
          <w:rFonts w:ascii="Freight Text W03" w:hAnsi="Freight Text W03" w:cs="Arial"/>
          <w:lang w:val="en"/>
        </w:rPr>
        <w:t>are</w:t>
      </w:r>
      <w:r w:rsidR="00F0314D" w:rsidRPr="00034228">
        <w:rPr>
          <w:rFonts w:ascii="Freight Text W03" w:hAnsi="Freight Text W03" w:cs="Arial"/>
          <w:lang w:val="en"/>
        </w:rPr>
        <w:t xml:space="preserve"> </w:t>
      </w:r>
      <w:r w:rsidRPr="00034228">
        <w:rPr>
          <w:rFonts w:ascii="Freight Text W03" w:hAnsi="Freight Text W03" w:cs="Arial"/>
          <w:lang w:val="en"/>
        </w:rPr>
        <w:t xml:space="preserve">frequently </w:t>
      </w:r>
      <w:r w:rsidR="00F0314D">
        <w:rPr>
          <w:rFonts w:ascii="Freight Text W03" w:hAnsi="Freight Text W03" w:cs="Arial"/>
          <w:lang w:val="en"/>
        </w:rPr>
        <w:t xml:space="preserve">the </w:t>
      </w:r>
      <w:r w:rsidRPr="00034228">
        <w:rPr>
          <w:rFonts w:ascii="Freight Text W03" w:hAnsi="Freight Text W03" w:cs="Arial"/>
          <w:lang w:val="en"/>
        </w:rPr>
        <w:t>victims of threats of violence, particularly after homophobic public comments by Islamic leaders.</w:t>
      </w:r>
      <w:r w:rsidRPr="00034228">
        <w:rPr>
          <w:lang w:val="en-US"/>
        </w:rPr>
        <w:t xml:space="preserve"> </w:t>
      </w:r>
      <w:r>
        <w:rPr>
          <w:lang w:val="en-US"/>
        </w:rPr>
        <w:t xml:space="preserve">In view </w:t>
      </w:r>
      <w:r w:rsidR="00842ED6">
        <w:rPr>
          <w:lang w:val="en-US"/>
        </w:rPr>
        <w:t>of the above</w:t>
      </w:r>
      <w:r>
        <w:rPr>
          <w:lang w:val="en-US"/>
        </w:rPr>
        <w:t xml:space="preserve">, the Committee considers that, </w:t>
      </w:r>
      <w:r>
        <w:t>when assessing the risk faced by the author,</w:t>
      </w:r>
      <w:r>
        <w:rPr>
          <w:lang w:val="en-US"/>
        </w:rPr>
        <w:t xml:space="preserve"> </w:t>
      </w:r>
      <w:r>
        <w:t xml:space="preserve">the State party failed to take adequately into account his </w:t>
      </w:r>
      <w:r w:rsidR="00842ED6" w:rsidRPr="00842ED6">
        <w:t xml:space="preserve">version of </w:t>
      </w:r>
      <w:r w:rsidR="00FA6B16">
        <w:t xml:space="preserve">the </w:t>
      </w:r>
      <w:r w:rsidR="00842ED6" w:rsidRPr="00842ED6">
        <w:t>events he faced in Bangladesh</w:t>
      </w:r>
      <w:r>
        <w:t xml:space="preserve">, the documents he provided and the available background information about the risks faced by </w:t>
      </w:r>
      <w:r w:rsidR="00A8602C">
        <w:t xml:space="preserve">lesbian, gay, bisexual and transgender </w:t>
      </w:r>
      <w:r>
        <w:t>people in Bangladesh</w:t>
      </w:r>
      <w:r w:rsidR="00842ED6">
        <w:t>,</w:t>
      </w:r>
      <w:r w:rsidR="00842ED6" w:rsidRPr="00842ED6">
        <w:t xml:space="preserve"> </w:t>
      </w:r>
      <w:r w:rsidR="00842ED6">
        <w:t>thereby arbitrarily dismissing the author’s claims.</w:t>
      </w:r>
      <w:r w:rsidR="00842ED6">
        <w:rPr>
          <w:rStyle w:val="FootnoteReference"/>
        </w:rPr>
        <w:footnoteReference w:id="30"/>
      </w:r>
      <w:r w:rsidRPr="008D60EC">
        <w:rPr>
          <w:color w:val="FF0000"/>
        </w:rPr>
        <w:t xml:space="preserve"> </w:t>
      </w:r>
      <w:r>
        <w:t>In such circumstances, the Committee considers that the author’s deportation to Bangladesh would amount to a violation of article 7 of the Covenant.</w:t>
      </w:r>
      <w:r w:rsidR="00D55A86">
        <w:t xml:space="preserve"> </w:t>
      </w:r>
    </w:p>
    <w:p w:rsidR="00C3404B" w:rsidRDefault="00C3404B" w:rsidP="00956CD6">
      <w:pPr>
        <w:spacing w:after="120"/>
        <w:ind w:left="1134" w:right="1134"/>
        <w:jc w:val="both"/>
      </w:pPr>
      <w:r>
        <w:t>9</w:t>
      </w:r>
      <w:r w:rsidRPr="004A1271">
        <w:t>.</w:t>
      </w:r>
      <w:r w:rsidRPr="004A1271">
        <w:tab/>
      </w:r>
      <w:r w:rsidRPr="00AC31CC">
        <w:t xml:space="preserve">The Committee, acting under article 5 </w:t>
      </w:r>
      <w:r w:rsidR="00956CD6">
        <w:t>(</w:t>
      </w:r>
      <w:r w:rsidRPr="00AC31CC">
        <w:t>4</w:t>
      </w:r>
      <w:r w:rsidR="00956CD6">
        <w:t>)</w:t>
      </w:r>
      <w:r w:rsidRPr="00AC31CC">
        <w:t>, of the Optional Protocol, is of the view that deportation to Bangladesh would, if implemented, violate the author’s rights under article 7 of the Covenant.</w:t>
      </w:r>
    </w:p>
    <w:p w:rsidR="00C3404B" w:rsidRDefault="00D55A86" w:rsidP="00C3404B">
      <w:pPr>
        <w:spacing w:after="120"/>
        <w:ind w:left="1134" w:right="1134"/>
        <w:jc w:val="both"/>
      </w:pPr>
      <w:r>
        <w:t>10.</w:t>
      </w:r>
      <w:r w:rsidR="00C3404B">
        <w:tab/>
      </w:r>
      <w:r w:rsidR="00C3404B" w:rsidRPr="004979E0">
        <w:t>In accordance with article 2</w:t>
      </w:r>
      <w:r w:rsidR="00FB2382">
        <w:t xml:space="preserve"> (1)</w:t>
      </w:r>
      <w:r w:rsidR="00C3404B" w:rsidRPr="004979E0">
        <w:t xml:space="preserve"> of the Covenant</w:t>
      </w:r>
      <w:r w:rsidR="00956CD6">
        <w:t>,</w:t>
      </w:r>
      <w:r w:rsidR="00CA24D2" w:rsidRPr="00CA24D2">
        <w:t xml:space="preserve"> </w:t>
      </w:r>
      <w:r w:rsidR="00CA24D2">
        <w:t xml:space="preserve">which establishes that States </w:t>
      </w:r>
      <w:r w:rsidR="00690CA0">
        <w:t>p</w:t>
      </w:r>
      <w:r w:rsidR="00CA24D2">
        <w:t>arties undertake to respect and to ensure to all individuals within their territory and subject to their jurisdiction the rights recognized in the Covenant</w:t>
      </w:r>
      <w:r w:rsidR="00C3404B" w:rsidRPr="004979E0">
        <w:t xml:space="preserve">, the State party is under an obligation to </w:t>
      </w:r>
      <w:r w:rsidR="00CA24D2" w:rsidRPr="00CA24D2">
        <w:t xml:space="preserve">proceed to a review of </w:t>
      </w:r>
      <w:r w:rsidR="00956CD6">
        <w:t>the author’s</w:t>
      </w:r>
      <w:r w:rsidR="00CA24D2" w:rsidRPr="00CA24D2">
        <w:t xml:space="preserve"> claim</w:t>
      </w:r>
      <w:r w:rsidR="00F0314D">
        <w:t>,</w:t>
      </w:r>
      <w:r w:rsidR="00CA24D2" w:rsidRPr="00CA24D2">
        <w:t xml:space="preserve"> taking into account the State party</w:t>
      </w:r>
      <w:r w:rsidR="00F0314D">
        <w:t>’</w:t>
      </w:r>
      <w:r w:rsidR="00CA24D2" w:rsidRPr="00CA24D2">
        <w:t>s obligations under the Covenant and the Committee</w:t>
      </w:r>
      <w:r w:rsidR="00F0314D">
        <w:t>’</w:t>
      </w:r>
      <w:r w:rsidR="00CA24D2" w:rsidRPr="00CA24D2">
        <w:t>s present Views</w:t>
      </w:r>
      <w:r w:rsidR="00CA24D2">
        <w:t>.</w:t>
      </w:r>
      <w:r w:rsidR="00C3404B" w:rsidRPr="004979E0">
        <w:t xml:space="preserve"> </w:t>
      </w:r>
      <w:r w:rsidR="00CA24D2">
        <w:t xml:space="preserve">The State party is also requested to refrain from expelling the author while his request for asylum is being reconsidered. </w:t>
      </w:r>
    </w:p>
    <w:p w:rsidR="00C3404B" w:rsidRDefault="00C3404B" w:rsidP="00956CD6">
      <w:pPr>
        <w:spacing w:after="240"/>
        <w:ind w:left="1134" w:right="1134"/>
        <w:jc w:val="both"/>
      </w:pPr>
      <w:r w:rsidRPr="004979E0">
        <w:t>1</w:t>
      </w:r>
      <w:r>
        <w:t>1</w:t>
      </w:r>
      <w:r w:rsidRPr="004979E0">
        <w:t>.</w:t>
      </w:r>
      <w:r w:rsidRPr="004979E0">
        <w:tab/>
        <w:t xml:space="preserve">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t>
      </w:r>
      <w:r w:rsidR="00956CD6" w:rsidRPr="00956CD6">
        <w:t xml:space="preserve">when it has been determined </w:t>
      </w:r>
      <w:r w:rsidR="00956CD6">
        <w:t>that</w:t>
      </w:r>
      <w:r w:rsidRPr="004979E0">
        <w:t xml:space="preserve"> a violation has </w:t>
      </w:r>
      <w:r w:rsidR="00956CD6">
        <w:t>occurred</w:t>
      </w:r>
      <w:r w:rsidRPr="004979E0">
        <w:t>, the Committee wishes to receive from the State party, within 180 days, information about the measures taken to give effect to the Committee’s Views. The State party is also requested to publish the Committee’s Views.</w:t>
      </w:r>
    </w:p>
    <w:p w:rsidR="007F5E52" w:rsidRPr="00F21D25" w:rsidRDefault="00F21D25" w:rsidP="00F21D25">
      <w:pPr>
        <w:pStyle w:val="SingleTxtG"/>
        <w:spacing w:before="240" w:after="0"/>
        <w:jc w:val="center"/>
        <w:rPr>
          <w:u w:val="single"/>
        </w:rPr>
      </w:pPr>
      <w:r>
        <w:rPr>
          <w:u w:val="single"/>
        </w:rPr>
        <w:tab/>
      </w:r>
      <w:r>
        <w:rPr>
          <w:u w:val="single"/>
        </w:rPr>
        <w:tab/>
      </w:r>
      <w:r>
        <w:rPr>
          <w:u w:val="single"/>
        </w:rPr>
        <w:tab/>
      </w:r>
    </w:p>
    <w:sectPr w:rsidR="007F5E52" w:rsidRPr="00F21D25" w:rsidSect="00187F8A">
      <w:headerReference w:type="even" r:id="rId12"/>
      <w:headerReference w:type="default" r:id="rId13"/>
      <w:footerReference w:type="even" r:id="rId14"/>
      <w:footerReference w:type="default" r:id="rId15"/>
      <w:footerReference w:type="firs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274" w:rsidRDefault="007F7274"/>
  </w:endnote>
  <w:endnote w:type="continuationSeparator" w:id="0">
    <w:p w:rsidR="007F7274" w:rsidRDefault="007F7274"/>
  </w:endnote>
  <w:endnote w:type="continuationNotice" w:id="1">
    <w:p w:rsidR="007F7274" w:rsidRDefault="007F7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eight Text W03">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39T30Lfz">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DD9" w:rsidRPr="00FA222B" w:rsidRDefault="00B10DD9" w:rsidP="00FA222B">
    <w:pPr>
      <w:pStyle w:val="Footer"/>
      <w:tabs>
        <w:tab w:val="right" w:pos="9638"/>
      </w:tabs>
    </w:pPr>
    <w:r w:rsidRPr="00FA222B">
      <w:rPr>
        <w:b/>
        <w:sz w:val="18"/>
      </w:rPr>
      <w:fldChar w:fldCharType="begin"/>
    </w:r>
    <w:r w:rsidRPr="00FA222B">
      <w:rPr>
        <w:b/>
        <w:sz w:val="18"/>
      </w:rPr>
      <w:instrText xml:space="preserve"> PAGE  \* MERGEFORMAT </w:instrText>
    </w:r>
    <w:r w:rsidRPr="00FA222B">
      <w:rPr>
        <w:b/>
        <w:sz w:val="18"/>
      </w:rPr>
      <w:fldChar w:fldCharType="separate"/>
    </w:r>
    <w:r w:rsidR="00BC0964">
      <w:rPr>
        <w:b/>
        <w:noProof/>
        <w:sz w:val="18"/>
      </w:rPr>
      <w:t>2</w:t>
    </w:r>
    <w:r w:rsidRPr="00FA222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DD9" w:rsidRPr="00FA222B" w:rsidRDefault="00B10DD9" w:rsidP="00FA222B">
    <w:pPr>
      <w:pStyle w:val="Footer"/>
      <w:tabs>
        <w:tab w:val="right" w:pos="9638"/>
      </w:tabs>
      <w:rPr>
        <w:b/>
        <w:sz w:val="18"/>
      </w:rPr>
    </w:pPr>
    <w:r>
      <w:tab/>
    </w:r>
    <w:r w:rsidRPr="00FA222B">
      <w:rPr>
        <w:b/>
        <w:sz w:val="18"/>
      </w:rPr>
      <w:fldChar w:fldCharType="begin"/>
    </w:r>
    <w:r w:rsidRPr="00FA222B">
      <w:rPr>
        <w:b/>
        <w:sz w:val="18"/>
      </w:rPr>
      <w:instrText xml:space="preserve"> PAGE  \* MERGEFORMAT </w:instrText>
    </w:r>
    <w:r w:rsidRPr="00FA222B">
      <w:rPr>
        <w:b/>
        <w:sz w:val="18"/>
      </w:rPr>
      <w:fldChar w:fldCharType="separate"/>
    </w:r>
    <w:r w:rsidR="00BC0964">
      <w:rPr>
        <w:b/>
        <w:noProof/>
        <w:sz w:val="18"/>
      </w:rPr>
      <w:t>11</w:t>
    </w:r>
    <w:r w:rsidRPr="00FA222B">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234" w:rsidRDefault="001C1234" w:rsidP="001C1234">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1C1234" w:rsidRDefault="001C1234" w:rsidP="001C1234">
    <w:pPr>
      <w:pStyle w:val="Footer"/>
      <w:ind w:right="1134"/>
      <w:rPr>
        <w:sz w:val="20"/>
      </w:rPr>
    </w:pPr>
    <w:r>
      <w:rPr>
        <w:sz w:val="20"/>
      </w:rPr>
      <w:t>GE.16-20383(E)</w:t>
    </w:r>
  </w:p>
  <w:p w:rsidR="001C1234" w:rsidRPr="001C1234" w:rsidRDefault="001C1234" w:rsidP="001C1234">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0080" cy="640080"/>
          <wp:effectExtent l="0" t="0" r="7620" b="7620"/>
          <wp:wrapNone/>
          <wp:docPr id="2" name="Picture 1" descr="http://undocs.org/m2/QRCode.ashx?DS=CCPR/C/117/D/2462/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7/D/2462/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274" w:rsidRPr="000B175B" w:rsidRDefault="007F7274" w:rsidP="000B175B">
      <w:pPr>
        <w:tabs>
          <w:tab w:val="right" w:pos="2155"/>
        </w:tabs>
        <w:spacing w:after="80"/>
        <w:ind w:left="680"/>
        <w:rPr>
          <w:u w:val="single"/>
        </w:rPr>
      </w:pPr>
      <w:r>
        <w:rPr>
          <w:u w:val="single"/>
        </w:rPr>
        <w:tab/>
      </w:r>
    </w:p>
  </w:footnote>
  <w:footnote w:type="continuationSeparator" w:id="0">
    <w:p w:rsidR="007F7274" w:rsidRPr="00FC68B7" w:rsidRDefault="007F7274" w:rsidP="00FC68B7">
      <w:pPr>
        <w:tabs>
          <w:tab w:val="left" w:pos="2155"/>
        </w:tabs>
        <w:spacing w:after="80"/>
        <w:ind w:left="680"/>
        <w:rPr>
          <w:u w:val="single"/>
        </w:rPr>
      </w:pPr>
      <w:r>
        <w:rPr>
          <w:u w:val="single"/>
        </w:rPr>
        <w:tab/>
      </w:r>
    </w:p>
  </w:footnote>
  <w:footnote w:type="continuationNotice" w:id="1">
    <w:p w:rsidR="007F7274" w:rsidRDefault="007F7274"/>
  </w:footnote>
  <w:footnote w:id="2">
    <w:p w:rsidR="00B10DD9" w:rsidRPr="0059501B" w:rsidRDefault="00B10DD9" w:rsidP="00DA41E6">
      <w:pPr>
        <w:pStyle w:val="FootnoteText"/>
      </w:pPr>
      <w:r>
        <w:rPr>
          <w:rStyle w:val="FootnoteReference"/>
        </w:rPr>
        <w:tab/>
      </w:r>
      <w:r w:rsidRPr="00A51905">
        <w:rPr>
          <w:rStyle w:val="FootnoteReference"/>
          <w:sz w:val="20"/>
          <w:vertAlign w:val="baseline"/>
        </w:rPr>
        <w:t>*</w:t>
      </w:r>
      <w:r>
        <w:rPr>
          <w:rStyle w:val="FootnoteReference"/>
          <w:sz w:val="20"/>
          <w:vertAlign w:val="baseline"/>
        </w:rPr>
        <w:tab/>
      </w:r>
      <w:r>
        <w:t xml:space="preserve">Adopted by the Committee </w:t>
      </w:r>
      <w:r w:rsidRPr="009E4187">
        <w:t xml:space="preserve">at its </w:t>
      </w:r>
      <w:r w:rsidRPr="0059501B">
        <w:t>11</w:t>
      </w:r>
      <w:r w:rsidRPr="00A51905">
        <w:t>7</w:t>
      </w:r>
      <w:r w:rsidRPr="0059501B">
        <w:t>th</w:t>
      </w:r>
      <w:r w:rsidRPr="009E4187">
        <w:t xml:space="preserve"> session (</w:t>
      </w:r>
      <w:r>
        <w:t>20 June-</w:t>
      </w:r>
      <w:r w:rsidRPr="001147E8">
        <w:t>15 July 2016</w:t>
      </w:r>
      <w:r w:rsidRPr="009E4187">
        <w:t>).</w:t>
      </w:r>
    </w:p>
  </w:footnote>
  <w:footnote w:id="3">
    <w:p w:rsidR="00B10DD9" w:rsidRPr="00A51905" w:rsidRDefault="00B10DD9" w:rsidP="00DA41E6">
      <w:pPr>
        <w:pStyle w:val="FootnoteText"/>
      </w:pPr>
      <w:r w:rsidRPr="004256A1">
        <w:rPr>
          <w:rStyle w:val="FootnoteReference"/>
          <w:sz w:val="20"/>
        </w:rPr>
        <w:tab/>
      </w:r>
      <w:r w:rsidRPr="00A51905">
        <w:rPr>
          <w:rStyle w:val="FootnoteReference"/>
          <w:bCs/>
          <w:sz w:val="20"/>
          <w:vertAlign w:val="baseline"/>
        </w:rPr>
        <w:t>**</w:t>
      </w:r>
      <w:r>
        <w:tab/>
      </w:r>
      <w:r w:rsidRPr="004256A1">
        <w:t xml:space="preserve">The </w:t>
      </w:r>
      <w:r w:rsidRPr="00E56497">
        <w:t>following</w:t>
      </w:r>
      <w:r w:rsidRPr="004256A1">
        <w:t xml:space="preserve"> members of the Committee participated in the examination of the present communication: </w:t>
      </w:r>
      <w:r w:rsidRPr="00DA41E6">
        <w:t>Yadh Ben Achour, Lazhari Bouzid, Sarah Cleveland, Olivier de Frouville, Ahmed</w:t>
      </w:r>
      <w:r w:rsidR="00187F8A">
        <w:t> </w:t>
      </w:r>
      <w:r w:rsidRPr="00DA41E6">
        <w:t>Amin Fathalla, Yuji Iwasawa, Ivana Jelić, Photini Pazartzis, Mauro Politi, Sir</w:t>
      </w:r>
      <w:r>
        <w:t> </w:t>
      </w:r>
      <w:r w:rsidRPr="00DA41E6">
        <w:t>Nigel</w:t>
      </w:r>
      <w:r>
        <w:t> </w:t>
      </w:r>
      <w:r w:rsidRPr="00DA41E6">
        <w:t>Rodley, V</w:t>
      </w:r>
      <w:r>
        <w:t>í</w:t>
      </w:r>
      <w:r w:rsidRPr="00DA41E6">
        <w:t>ctor Manuel Rodríguez</w:t>
      </w:r>
      <w:r>
        <w:t>-</w:t>
      </w:r>
      <w:r w:rsidRPr="00DA41E6">
        <w:t>Rescia, Fabián Omar Salvioli, Dheerujlall Seetulsingh, Anja Seibert-Fohr, Yuval Shany, Konstantine Vardzelashvili and Margo Waterval</w:t>
      </w:r>
      <w:r w:rsidRPr="004256A1">
        <w:rPr>
          <w:bCs/>
        </w:rPr>
        <w:t>.</w:t>
      </w:r>
    </w:p>
  </w:footnote>
  <w:footnote w:id="4">
    <w:p w:rsidR="00B10DD9" w:rsidRPr="0097661B" w:rsidRDefault="00B10DD9" w:rsidP="007D2578">
      <w:pPr>
        <w:pStyle w:val="FootnoteText"/>
        <w:rPr>
          <w:lang w:val="en-US"/>
        </w:rPr>
      </w:pPr>
      <w:r>
        <w:tab/>
      </w:r>
      <w:r>
        <w:rPr>
          <w:rStyle w:val="FootnoteReference"/>
        </w:rPr>
        <w:footnoteRef/>
      </w:r>
      <w:r>
        <w:tab/>
      </w:r>
      <w:r w:rsidR="00A8602C">
        <w:t>C</w:t>
      </w:r>
      <w:r>
        <w:t xml:space="preserve">ounsel </w:t>
      </w:r>
      <w:r w:rsidRPr="007D2578">
        <w:t>requested</w:t>
      </w:r>
      <w:r>
        <w:t xml:space="preserve"> anonymity for the author. </w:t>
      </w:r>
    </w:p>
  </w:footnote>
  <w:footnote w:id="5">
    <w:p w:rsidR="00B10DD9" w:rsidRPr="00EF1201" w:rsidRDefault="00B10DD9" w:rsidP="007D2578">
      <w:pPr>
        <w:pStyle w:val="FootnoteText"/>
        <w:rPr>
          <w:lang w:val="en-US"/>
        </w:rPr>
      </w:pPr>
      <w:r>
        <w:rPr>
          <w:lang w:val="en-US"/>
        </w:rPr>
        <w:tab/>
      </w:r>
      <w:r>
        <w:rPr>
          <w:rStyle w:val="FootnoteReference"/>
        </w:rPr>
        <w:footnoteRef/>
      </w:r>
      <w:r>
        <w:rPr>
          <w:lang w:val="en-US"/>
        </w:rPr>
        <w:tab/>
        <w:t xml:space="preserve">Travel documents have been issued for the author. </w:t>
      </w:r>
    </w:p>
  </w:footnote>
  <w:footnote w:id="6">
    <w:p w:rsidR="00B10DD9" w:rsidRPr="00EF1201" w:rsidRDefault="00B10DD9" w:rsidP="007D2578">
      <w:pPr>
        <w:pStyle w:val="FootnoteText"/>
      </w:pPr>
      <w:r>
        <w:tab/>
      </w:r>
      <w:r>
        <w:rPr>
          <w:rStyle w:val="FootnoteReference"/>
        </w:rPr>
        <w:footnoteRef/>
      </w:r>
      <w:r>
        <w:tab/>
        <w:t xml:space="preserve">The author was requested </w:t>
      </w:r>
      <w:r w:rsidRPr="00EF1201">
        <w:t xml:space="preserve">to leave the State party within </w:t>
      </w:r>
      <w:r w:rsidRPr="00A97C12">
        <w:t>seven</w:t>
      </w:r>
      <w:r w:rsidRPr="00EF1201">
        <w:t xml:space="preserve"> days </w:t>
      </w:r>
      <w:r w:rsidR="00A97C12">
        <w:t>of</w:t>
      </w:r>
      <w:r w:rsidR="00A97C12" w:rsidRPr="00EF1201">
        <w:t xml:space="preserve"> </w:t>
      </w:r>
      <w:r>
        <w:t xml:space="preserve">4 </w:t>
      </w:r>
      <w:r w:rsidRPr="00EF1201">
        <w:t>December 201</w:t>
      </w:r>
      <w:r>
        <w:t>2, the date of the Refugee Appeals Board decision</w:t>
      </w:r>
      <w:r w:rsidRPr="00EF1201">
        <w:t>.</w:t>
      </w:r>
    </w:p>
  </w:footnote>
  <w:footnote w:id="7">
    <w:p w:rsidR="00B10DD9" w:rsidRPr="005D2B5E" w:rsidRDefault="00B10DD9" w:rsidP="007D2578">
      <w:pPr>
        <w:pStyle w:val="FootnoteText"/>
      </w:pPr>
      <w:r>
        <w:tab/>
      </w:r>
      <w:r>
        <w:rPr>
          <w:rStyle w:val="FootnoteReference"/>
        </w:rPr>
        <w:footnoteRef/>
      </w:r>
      <w:r>
        <w:tab/>
        <w:t>See the statement of facts in the</w:t>
      </w:r>
      <w:r w:rsidRPr="00CA0B3F">
        <w:t xml:space="preserve"> </w:t>
      </w:r>
      <w:r>
        <w:t xml:space="preserve">Refugee Appeals Board decision of 4 December 2012. </w:t>
      </w:r>
    </w:p>
  </w:footnote>
  <w:footnote w:id="8">
    <w:p w:rsidR="00B10DD9" w:rsidRPr="002C5F91" w:rsidRDefault="00B10DD9" w:rsidP="007D2578">
      <w:pPr>
        <w:pStyle w:val="FootnoteText"/>
        <w:rPr>
          <w:lang w:val="en-US"/>
        </w:rPr>
      </w:pPr>
      <w:r>
        <w:tab/>
      </w:r>
      <w:r>
        <w:rPr>
          <w:rStyle w:val="FootnoteReference"/>
        </w:rPr>
        <w:footnoteRef/>
      </w:r>
      <w:r>
        <w:tab/>
        <w:t xml:space="preserve">Ibid., </w:t>
      </w:r>
      <w:r w:rsidRPr="00A97C12">
        <w:t>p</w:t>
      </w:r>
      <w:r w:rsidRPr="006C2D70">
        <w:t>.</w:t>
      </w:r>
      <w:r>
        <w:t xml:space="preserve"> 4 (last sentence).</w:t>
      </w:r>
    </w:p>
  </w:footnote>
  <w:footnote w:id="9">
    <w:p w:rsidR="00B10DD9" w:rsidRPr="00C04F32" w:rsidRDefault="00B10DD9" w:rsidP="007D2578">
      <w:pPr>
        <w:pStyle w:val="FootnoteText"/>
      </w:pPr>
      <w:r>
        <w:tab/>
      </w:r>
      <w:r>
        <w:rPr>
          <w:rStyle w:val="FootnoteReference"/>
        </w:rPr>
        <w:footnoteRef/>
      </w:r>
      <w:r>
        <w:tab/>
        <w:t xml:space="preserve">The author only produced the document in its original language. </w:t>
      </w:r>
    </w:p>
  </w:footnote>
  <w:footnote w:id="10">
    <w:p w:rsidR="00B10DD9" w:rsidRPr="00EF1201" w:rsidRDefault="00B10DD9" w:rsidP="007D2578">
      <w:pPr>
        <w:pStyle w:val="FootnoteText"/>
      </w:pPr>
      <w:r>
        <w:tab/>
      </w:r>
      <w:r>
        <w:rPr>
          <w:rStyle w:val="FootnoteReference"/>
        </w:rPr>
        <w:footnoteRef/>
      </w:r>
      <w:r>
        <w:tab/>
        <w:t xml:space="preserve">As of that date, the author’s expulsion to Bangladesh became imminent. </w:t>
      </w:r>
    </w:p>
  </w:footnote>
  <w:footnote w:id="11">
    <w:p w:rsidR="00B10DD9" w:rsidRPr="00E45149" w:rsidRDefault="00B10DD9" w:rsidP="007D2578">
      <w:pPr>
        <w:pStyle w:val="FootnoteText"/>
        <w:rPr>
          <w:lang w:val="en-US"/>
        </w:rPr>
      </w:pPr>
      <w:r>
        <w:tab/>
      </w:r>
      <w:r>
        <w:rPr>
          <w:rStyle w:val="FootnoteReference"/>
        </w:rPr>
        <w:footnoteRef/>
      </w:r>
      <w:r>
        <w:tab/>
      </w:r>
      <w:r w:rsidRPr="00A931FD">
        <w:t>The author</w:t>
      </w:r>
      <w:r>
        <w:t xml:space="preserve"> refers to the judgment of the British Supreme Court in the joined cases of </w:t>
      </w:r>
      <w:r w:rsidRPr="00E45149">
        <w:rPr>
          <w:i/>
        </w:rPr>
        <w:t xml:space="preserve">HJ (Iran) and HT </w:t>
      </w:r>
      <w:r>
        <w:rPr>
          <w:i/>
        </w:rPr>
        <w:t>(</w:t>
      </w:r>
      <w:r w:rsidRPr="00E45149">
        <w:rPr>
          <w:i/>
        </w:rPr>
        <w:t>Cameroon</w:t>
      </w:r>
      <w:r>
        <w:rPr>
          <w:i/>
        </w:rPr>
        <w:t>)</w:t>
      </w:r>
      <w:r w:rsidRPr="00E45149">
        <w:rPr>
          <w:i/>
        </w:rPr>
        <w:t xml:space="preserve"> v. Secretary of State for the Home Department</w:t>
      </w:r>
      <w:r>
        <w:t xml:space="preserve"> of 7 July 2010. </w:t>
      </w:r>
    </w:p>
  </w:footnote>
  <w:footnote w:id="12">
    <w:p w:rsidR="00B10DD9" w:rsidRPr="0051595F" w:rsidRDefault="00B10DD9">
      <w:pPr>
        <w:pStyle w:val="FootnoteText"/>
      </w:pPr>
      <w:r>
        <w:tab/>
      </w:r>
      <w:r>
        <w:rPr>
          <w:rStyle w:val="FootnoteReference"/>
        </w:rPr>
        <w:footnoteRef/>
      </w:r>
      <w:r>
        <w:t xml:space="preserve"> </w:t>
      </w:r>
      <w:r>
        <w:tab/>
      </w:r>
      <w:r w:rsidRPr="0051595F">
        <w:t xml:space="preserve">See </w:t>
      </w:r>
      <w:r>
        <w:t>article 56 (8) of the Danish Aliens Act.</w:t>
      </w:r>
    </w:p>
  </w:footnote>
  <w:footnote w:id="13">
    <w:p w:rsidR="00B10DD9" w:rsidRPr="00EB324F" w:rsidRDefault="00B10DD9" w:rsidP="006B7CB3">
      <w:pPr>
        <w:pStyle w:val="FootnoteText"/>
        <w:rPr>
          <w:lang w:val="en-US"/>
        </w:rPr>
      </w:pPr>
      <w:r>
        <w:tab/>
      </w:r>
      <w:r w:rsidRPr="006C2D70">
        <w:rPr>
          <w:rStyle w:val="FootnoteReference"/>
        </w:rPr>
        <w:footnoteRef/>
      </w:r>
      <w:r>
        <w:tab/>
        <w:t>The State party draws attention to the jurisprudence of the European Court of Human Rights on this issue</w:t>
      </w:r>
      <w:r w:rsidR="001527B2">
        <w:t>.</w:t>
      </w:r>
      <w:r>
        <w:t xml:space="preserve"> See, for example, </w:t>
      </w:r>
      <w:r w:rsidRPr="00EB324F">
        <w:rPr>
          <w:i/>
        </w:rPr>
        <w:t>R.C. v. Sweden</w:t>
      </w:r>
      <w:r>
        <w:t xml:space="preserve"> (application No. 41827/07), para. 52</w:t>
      </w:r>
      <w:r w:rsidRPr="00A51905">
        <w:t>.</w:t>
      </w:r>
      <w:r>
        <w:t xml:space="preserve"> The State party further refers to the jurisprudence of the Committee</w:t>
      </w:r>
      <w:r w:rsidR="001527B2">
        <w:t>:</w:t>
      </w:r>
      <w:r>
        <w:t xml:space="preserve"> communication No. </w:t>
      </w:r>
      <w:r w:rsidRPr="00EF104B">
        <w:t xml:space="preserve">2186/2012, </w:t>
      </w:r>
      <w:r w:rsidRPr="00EF104B">
        <w:rPr>
          <w:i/>
        </w:rPr>
        <w:t>X and X v. Denmark</w:t>
      </w:r>
      <w:r>
        <w:t>, Views adopted on 22 October 2014, para. 7.5.</w:t>
      </w:r>
    </w:p>
  </w:footnote>
  <w:footnote w:id="14">
    <w:p w:rsidR="00B10DD9" w:rsidRPr="00C55040" w:rsidRDefault="00B10DD9">
      <w:pPr>
        <w:pStyle w:val="FootnoteText"/>
        <w:rPr>
          <w:lang w:val="en-US"/>
        </w:rPr>
      </w:pPr>
      <w:r>
        <w:tab/>
      </w:r>
      <w:r w:rsidRPr="00CC3014">
        <w:rPr>
          <w:rStyle w:val="FootnoteReference"/>
        </w:rPr>
        <w:footnoteRef/>
      </w:r>
      <w:r>
        <w:tab/>
        <w:t xml:space="preserve">The State party also refers to </w:t>
      </w:r>
      <w:r w:rsidRPr="00A97C12">
        <w:t>the judgment</w:t>
      </w:r>
      <w:r>
        <w:t xml:space="preserve"> of the European Court of Human Rights which dealt with the national procedures applied in the author’s asylum case, </w:t>
      </w:r>
      <w:r w:rsidRPr="00334787">
        <w:rPr>
          <w:i/>
        </w:rPr>
        <w:t>M.E. v Denmark</w:t>
      </w:r>
      <w:r>
        <w:t xml:space="preserve"> (application No.</w:t>
      </w:r>
      <w:r w:rsidR="00187F8A">
        <w:t> </w:t>
      </w:r>
      <w:r>
        <w:t>58363/10</w:t>
      </w:r>
      <w:r w:rsidR="00A97C12">
        <w:t>)</w:t>
      </w:r>
      <w:r>
        <w:t>, para. 63</w:t>
      </w:r>
      <w:r w:rsidR="00A97C12">
        <w:t>.</w:t>
      </w:r>
      <w:r w:rsidR="006C2D70">
        <w:t xml:space="preserve"> </w:t>
      </w:r>
    </w:p>
  </w:footnote>
  <w:footnote w:id="15">
    <w:p w:rsidR="00B10DD9" w:rsidRPr="0036493A" w:rsidRDefault="00B10DD9">
      <w:pPr>
        <w:pStyle w:val="FootnoteText"/>
      </w:pPr>
      <w:r>
        <w:tab/>
      </w:r>
      <w:r>
        <w:rPr>
          <w:rStyle w:val="FootnoteReference"/>
        </w:rPr>
        <w:footnoteRef/>
      </w:r>
      <w:r>
        <w:t xml:space="preserve"> </w:t>
      </w:r>
      <w:r>
        <w:tab/>
        <w:t>Approximately $7,638.</w:t>
      </w:r>
    </w:p>
  </w:footnote>
  <w:footnote w:id="16">
    <w:p w:rsidR="00B10DD9" w:rsidRPr="00D401AC" w:rsidRDefault="00B10DD9" w:rsidP="00D401AC">
      <w:pPr>
        <w:pStyle w:val="FootnoteText"/>
        <w:rPr>
          <w:lang w:val="en-US"/>
        </w:rPr>
      </w:pPr>
      <w:r>
        <w:tab/>
      </w:r>
      <w:r>
        <w:rPr>
          <w:rStyle w:val="FootnoteReference"/>
        </w:rPr>
        <w:footnoteRef/>
      </w:r>
      <w:r>
        <w:tab/>
        <w:t xml:space="preserve">The author has not produce a translated version of the document, which </w:t>
      </w:r>
      <w:r w:rsidRPr="00D401AC">
        <w:t xml:space="preserve">had to be arranged by the </w:t>
      </w:r>
      <w:r>
        <w:t>Board</w:t>
      </w:r>
      <w:r w:rsidRPr="00D401AC">
        <w:t>,</w:t>
      </w:r>
      <w:r>
        <w:t xml:space="preserve"> and did not explain how he came into possession of the document. </w:t>
      </w:r>
    </w:p>
  </w:footnote>
  <w:footnote w:id="17">
    <w:p w:rsidR="00B10DD9" w:rsidRPr="004144F1" w:rsidRDefault="00B10DD9" w:rsidP="007D2578">
      <w:pPr>
        <w:pStyle w:val="FootnoteText"/>
        <w:rPr>
          <w:lang w:val="en-US"/>
        </w:rPr>
      </w:pPr>
      <w:r>
        <w:tab/>
      </w:r>
      <w:r>
        <w:rPr>
          <w:rStyle w:val="FootnoteReference"/>
        </w:rPr>
        <w:footnoteRef/>
      </w:r>
      <w:r>
        <w:tab/>
        <w:t xml:space="preserve">See UNHCR </w:t>
      </w:r>
      <w:r w:rsidRPr="00A51905">
        <w:rPr>
          <w:i/>
        </w:rPr>
        <w:t>Handbook on Procedures and Criteria for Determining Refugee Status</w:t>
      </w:r>
      <w:r>
        <w:t xml:space="preserve"> (Geneva, 2011) and the UNHCR guidelines on international protection No. 9 (claims to refugee status based on sexual orientation and/or gender identity within the context of article 1A (2) of the 1951 Convention and/or its 1967 Protocol relating to the Status of Refugees), 23 October 2012. </w:t>
      </w:r>
    </w:p>
  </w:footnote>
  <w:footnote w:id="18">
    <w:p w:rsidR="00B10DD9" w:rsidRPr="007D35AF" w:rsidRDefault="00B10DD9">
      <w:pPr>
        <w:pStyle w:val="FootnoteText"/>
        <w:rPr>
          <w:lang w:val="en-US"/>
        </w:rPr>
      </w:pPr>
      <w:r>
        <w:tab/>
      </w:r>
      <w:r>
        <w:rPr>
          <w:rStyle w:val="FootnoteReference"/>
        </w:rPr>
        <w:footnoteRef/>
      </w:r>
      <w:r>
        <w:tab/>
        <w:t>The Board decision of 19 September 2014 indicates that the author’s counsel stated that the author was not in possession of the original birth certificate. The birth certificate had been registered on 11</w:t>
      </w:r>
      <w:r w:rsidR="00187F8A">
        <w:t> </w:t>
      </w:r>
      <w:r>
        <w:t xml:space="preserve">July 2008 because it was not until 2004 that a statute on birth certificates had been enacted in Bangladesh, making such certificates mandatory. </w:t>
      </w:r>
    </w:p>
  </w:footnote>
  <w:footnote w:id="19">
    <w:p w:rsidR="00B10DD9" w:rsidRPr="00874303" w:rsidRDefault="00B10DD9" w:rsidP="007D2578">
      <w:pPr>
        <w:pStyle w:val="FootnoteText"/>
        <w:rPr>
          <w:lang w:val="en-US"/>
        </w:rPr>
      </w:pPr>
      <w:r>
        <w:tab/>
      </w:r>
      <w:r>
        <w:rPr>
          <w:rStyle w:val="FootnoteReference"/>
        </w:rPr>
        <w:footnoteRef/>
      </w:r>
      <w:r>
        <w:tab/>
        <w:t>See</w:t>
      </w:r>
      <w:r>
        <w:rPr>
          <w:lang w:val="en-US"/>
        </w:rPr>
        <w:t xml:space="preserve"> UNHCR </w:t>
      </w:r>
      <w:r w:rsidRPr="00A51905">
        <w:rPr>
          <w:i/>
          <w:lang w:val="en-US"/>
        </w:rPr>
        <w:t>Handbook on Procedures and Criteria for Determining Refugee Status</w:t>
      </w:r>
      <w:r>
        <w:rPr>
          <w:lang w:val="en-US"/>
        </w:rPr>
        <w:t xml:space="preserve">, sects. 213-219. </w:t>
      </w:r>
    </w:p>
  </w:footnote>
  <w:footnote w:id="20">
    <w:p w:rsidR="00B10DD9" w:rsidRPr="00CD4FD6" w:rsidRDefault="00B10DD9" w:rsidP="007D2578">
      <w:pPr>
        <w:pStyle w:val="FootnoteText"/>
        <w:rPr>
          <w:lang w:val="en-US"/>
        </w:rPr>
      </w:pPr>
      <w:r>
        <w:tab/>
      </w:r>
      <w:r>
        <w:rPr>
          <w:rStyle w:val="FootnoteReference"/>
        </w:rPr>
        <w:footnoteRef/>
      </w:r>
      <w:r>
        <w:tab/>
      </w:r>
      <w:r>
        <w:rPr>
          <w:lang w:val="en-US"/>
        </w:rPr>
        <w:t xml:space="preserve">See United Kingdom Home Office </w:t>
      </w:r>
      <w:r>
        <w:t xml:space="preserve">country of origin information </w:t>
      </w:r>
      <w:r>
        <w:rPr>
          <w:lang w:val="en-US"/>
        </w:rPr>
        <w:t xml:space="preserve">report of 2013. </w:t>
      </w:r>
    </w:p>
  </w:footnote>
  <w:footnote w:id="21">
    <w:p w:rsidR="00B10DD9" w:rsidRPr="00280D31" w:rsidRDefault="00B10DD9" w:rsidP="007D2578">
      <w:pPr>
        <w:pStyle w:val="FootnoteText"/>
        <w:rPr>
          <w:lang w:val="en-US"/>
        </w:rPr>
      </w:pPr>
      <w:r>
        <w:tab/>
      </w:r>
      <w:r>
        <w:rPr>
          <w:rStyle w:val="FootnoteReference"/>
        </w:rPr>
        <w:footnoteRef/>
      </w:r>
      <w:r>
        <w:tab/>
        <w:t xml:space="preserve">See communication No. 2149/2012, </w:t>
      </w:r>
      <w:r w:rsidRPr="00280D31">
        <w:rPr>
          <w:i/>
        </w:rPr>
        <w:t>M.I. v. Sweden</w:t>
      </w:r>
      <w:r>
        <w:t>, Views adopted on 25 July 2013, para. 7.5.</w:t>
      </w:r>
    </w:p>
  </w:footnote>
  <w:footnote w:id="22">
    <w:p w:rsidR="00B10DD9" w:rsidRPr="001B1268" w:rsidRDefault="00B10DD9" w:rsidP="007D2578">
      <w:pPr>
        <w:pStyle w:val="FootnoteText"/>
        <w:rPr>
          <w:lang w:val="en-US"/>
        </w:rPr>
      </w:pPr>
      <w:r>
        <w:tab/>
      </w:r>
      <w:r>
        <w:rPr>
          <w:rStyle w:val="FootnoteReference"/>
        </w:rPr>
        <w:footnoteRef/>
      </w:r>
      <w:r>
        <w:tab/>
        <w:t>See c</w:t>
      </w:r>
      <w:r w:rsidRPr="007D2578">
        <w:t>ommunication</w:t>
      </w:r>
      <w:r>
        <w:rPr>
          <w:lang w:val="en-US"/>
        </w:rPr>
        <w:t xml:space="preserve"> No. 2272/2013, </w:t>
      </w:r>
      <w:r w:rsidRPr="001B1268">
        <w:rPr>
          <w:i/>
          <w:lang w:val="en-US"/>
        </w:rPr>
        <w:t>P.T. v. Denmark</w:t>
      </w:r>
      <w:r>
        <w:rPr>
          <w:i/>
          <w:lang w:val="en-US"/>
        </w:rPr>
        <w:t xml:space="preserve">, </w:t>
      </w:r>
      <w:r>
        <w:rPr>
          <w:lang w:val="en-US"/>
        </w:rPr>
        <w:t xml:space="preserve">Views adopted on 1 April 2015, para. 7.3. </w:t>
      </w:r>
    </w:p>
  </w:footnote>
  <w:footnote w:id="23">
    <w:p w:rsidR="00B10DD9" w:rsidRPr="00D40985" w:rsidRDefault="00B10DD9" w:rsidP="00B10DD9">
      <w:pPr>
        <w:pStyle w:val="FootnoteText"/>
        <w:rPr>
          <w:lang w:val="en-US"/>
        </w:rPr>
      </w:pPr>
      <w:r>
        <w:tab/>
      </w:r>
      <w:r>
        <w:rPr>
          <w:rStyle w:val="FootnoteReference"/>
        </w:rPr>
        <w:footnoteRef/>
      </w:r>
      <w:r>
        <w:tab/>
      </w:r>
      <w:r>
        <w:rPr>
          <w:lang w:val="en-US"/>
        </w:rPr>
        <w:t xml:space="preserve">See, for example, </w:t>
      </w:r>
      <w:r w:rsidRPr="00A97C12">
        <w:rPr>
          <w:lang w:val="en-US"/>
        </w:rPr>
        <w:t>communications</w:t>
      </w:r>
      <w:r>
        <w:rPr>
          <w:lang w:val="en-US"/>
        </w:rPr>
        <w:t xml:space="preserve"> No. 2393/2014, </w:t>
      </w:r>
      <w:r w:rsidRPr="00D40985">
        <w:rPr>
          <w:i/>
          <w:lang w:val="en-US"/>
        </w:rPr>
        <w:t>K. v. Denmark</w:t>
      </w:r>
      <w:r>
        <w:rPr>
          <w:lang w:val="en-US"/>
        </w:rPr>
        <w:t xml:space="preserve">, Views adopted on 16 July 2015, paras. 7.4 and 7.5, </w:t>
      </w:r>
      <w:r w:rsidR="00A34E78">
        <w:rPr>
          <w:lang w:val="en-US"/>
        </w:rPr>
        <w:t xml:space="preserve">and </w:t>
      </w:r>
      <w:r>
        <w:rPr>
          <w:lang w:val="en-US"/>
        </w:rPr>
        <w:t xml:space="preserve">No. 2426/2014, </w:t>
      </w:r>
      <w:r w:rsidRPr="00813F58">
        <w:rPr>
          <w:i/>
          <w:lang w:val="en-US"/>
        </w:rPr>
        <w:t>N. v. Denmark</w:t>
      </w:r>
      <w:r>
        <w:rPr>
          <w:lang w:val="en-US"/>
        </w:rPr>
        <w:t xml:space="preserve">, </w:t>
      </w:r>
      <w:r w:rsidR="00A34E78">
        <w:rPr>
          <w:lang w:val="en-US"/>
        </w:rPr>
        <w:t xml:space="preserve">decision of </w:t>
      </w:r>
      <w:r w:rsidRPr="00A97C12">
        <w:rPr>
          <w:lang w:val="en-US"/>
        </w:rPr>
        <w:t>inadmissibility</w:t>
      </w:r>
      <w:r>
        <w:rPr>
          <w:lang w:val="en-US"/>
        </w:rPr>
        <w:t xml:space="preserve"> adopted on 23 July 2015, para. 6.6. </w:t>
      </w:r>
    </w:p>
  </w:footnote>
  <w:footnote w:id="24">
    <w:p w:rsidR="00B10DD9" w:rsidRPr="00921992" w:rsidRDefault="00B10DD9" w:rsidP="00B10DD9">
      <w:pPr>
        <w:pStyle w:val="FootnoteText"/>
        <w:rPr>
          <w:lang w:val="en-US"/>
        </w:rPr>
      </w:pPr>
      <w:r>
        <w:tab/>
      </w:r>
      <w:r w:rsidRPr="00921992">
        <w:rPr>
          <w:rStyle w:val="FootnoteReference"/>
          <w:szCs w:val="18"/>
        </w:rPr>
        <w:footnoteRef/>
      </w:r>
      <w:r>
        <w:tab/>
        <w:t xml:space="preserve">See, for example, </w:t>
      </w:r>
      <w:r w:rsidRPr="00D55A86">
        <w:t>communication</w:t>
      </w:r>
      <w:r w:rsidRPr="00921992">
        <w:t xml:space="preserve"> </w:t>
      </w:r>
      <w:r>
        <w:t>N</w:t>
      </w:r>
      <w:r w:rsidRPr="00921992">
        <w:t xml:space="preserve">o. </w:t>
      </w:r>
      <w:r>
        <w:t>2097/2011</w:t>
      </w:r>
      <w:r w:rsidRPr="00921992">
        <w:t xml:space="preserve">, </w:t>
      </w:r>
      <w:r>
        <w:rPr>
          <w:i/>
          <w:iCs/>
        </w:rPr>
        <w:t xml:space="preserve">Timmer v. </w:t>
      </w:r>
      <w:r w:rsidRPr="00A97C12">
        <w:rPr>
          <w:i/>
          <w:iCs/>
        </w:rPr>
        <w:t>Netherlands</w:t>
      </w:r>
      <w:r w:rsidRPr="00921992">
        <w:t xml:space="preserve">, </w:t>
      </w:r>
      <w:r>
        <w:t xml:space="preserve">Views adopted on 24 July 2014, para. 6.3. </w:t>
      </w:r>
    </w:p>
  </w:footnote>
  <w:footnote w:id="25">
    <w:p w:rsidR="00B10DD9" w:rsidRDefault="00B10DD9" w:rsidP="00C3404B">
      <w:pPr>
        <w:pStyle w:val="FootnoteText"/>
      </w:pPr>
      <w:r w:rsidRPr="006E1890">
        <w:tab/>
      </w:r>
      <w:r w:rsidRPr="00AA72B2">
        <w:rPr>
          <w:rStyle w:val="FootnoteReference"/>
          <w:sz w:val="20"/>
        </w:rPr>
        <w:footnoteRef/>
      </w:r>
      <w:r w:rsidRPr="00DB406B">
        <w:tab/>
      </w:r>
      <w:r>
        <w:t>See c</w:t>
      </w:r>
      <w:r w:rsidRPr="00DB406B">
        <w:t>ommunication</w:t>
      </w:r>
      <w:r w:rsidRPr="0097141D">
        <w:t>s</w:t>
      </w:r>
      <w:r w:rsidRPr="00542F54">
        <w:t xml:space="preserve"> </w:t>
      </w:r>
      <w:r w:rsidRPr="00A34E78">
        <w:t xml:space="preserve">No. 2007/2010, </w:t>
      </w:r>
      <w:r w:rsidRPr="00A34E78">
        <w:rPr>
          <w:i/>
        </w:rPr>
        <w:t>X v. Denmark</w:t>
      </w:r>
      <w:r w:rsidRPr="00DB406B">
        <w:t>, Views ad</w:t>
      </w:r>
      <w:r w:rsidRPr="0097141D">
        <w:t xml:space="preserve">opted on 26 March 2014, </w:t>
      </w:r>
      <w:r w:rsidRPr="00542F54">
        <w:t>para. 9.2</w:t>
      </w:r>
      <w:r>
        <w:t>, and</w:t>
      </w:r>
      <w:r w:rsidR="00187F8A">
        <w:t> </w:t>
      </w:r>
      <w:r w:rsidRPr="00FB0E01">
        <w:t xml:space="preserve">No. 692/1996, </w:t>
      </w:r>
      <w:r w:rsidRPr="00FB0E01">
        <w:rPr>
          <w:i/>
          <w:iCs/>
        </w:rPr>
        <w:t xml:space="preserve">A.R.J. v. Australia, </w:t>
      </w:r>
      <w:r w:rsidRPr="00FB0E01">
        <w:t>Views adopted on 28 July 1997, para. 6.6</w:t>
      </w:r>
      <w:r>
        <w:t>.</w:t>
      </w:r>
      <w:r w:rsidRPr="00AA72B2">
        <w:t xml:space="preserve"> </w:t>
      </w:r>
      <w:r>
        <w:t xml:space="preserve">See also Committee against Torture, communications </w:t>
      </w:r>
      <w:r w:rsidRPr="006E1890">
        <w:t>No. </w:t>
      </w:r>
      <w:r w:rsidRPr="00AA72B2">
        <w:t xml:space="preserve">282/2005, </w:t>
      </w:r>
      <w:r w:rsidRPr="00DB406B">
        <w:rPr>
          <w:i/>
        </w:rPr>
        <w:t xml:space="preserve">S.P.A. </w:t>
      </w:r>
      <w:r w:rsidRPr="0097141D">
        <w:rPr>
          <w:i/>
          <w:iCs/>
        </w:rPr>
        <w:t>v.</w:t>
      </w:r>
      <w:r w:rsidRPr="00542F54">
        <w:rPr>
          <w:i/>
        </w:rPr>
        <w:t xml:space="preserve"> Canada</w:t>
      </w:r>
      <w:r w:rsidRPr="00542F54">
        <w:t xml:space="preserve">, decision adopted on 7 November 2006; No. 333/2007, </w:t>
      </w:r>
      <w:r w:rsidRPr="00542F54">
        <w:rPr>
          <w:i/>
        </w:rPr>
        <w:t xml:space="preserve">T.I. </w:t>
      </w:r>
      <w:r w:rsidRPr="00542F54">
        <w:rPr>
          <w:i/>
          <w:iCs/>
        </w:rPr>
        <w:t>v.</w:t>
      </w:r>
      <w:r w:rsidRPr="00542F54">
        <w:rPr>
          <w:i/>
        </w:rPr>
        <w:t xml:space="preserve"> Canada</w:t>
      </w:r>
      <w:r w:rsidRPr="00542F54">
        <w:t xml:space="preserve">, decision adopted on 15 November 2010; and No. 344/2008, </w:t>
      </w:r>
      <w:r w:rsidRPr="00542F54">
        <w:rPr>
          <w:i/>
        </w:rPr>
        <w:t xml:space="preserve">A.M.A. </w:t>
      </w:r>
      <w:r w:rsidRPr="00542F54">
        <w:rPr>
          <w:i/>
          <w:iCs/>
        </w:rPr>
        <w:t>v.</w:t>
      </w:r>
      <w:r w:rsidRPr="00542F54">
        <w:rPr>
          <w:i/>
        </w:rPr>
        <w:t> Switzerland</w:t>
      </w:r>
      <w:r w:rsidRPr="00542F54">
        <w:t>, decision adopted on 12 November 2010.</w:t>
      </w:r>
    </w:p>
  </w:footnote>
  <w:footnote w:id="26">
    <w:p w:rsidR="00B10DD9" w:rsidRPr="00542F54" w:rsidRDefault="00B10DD9" w:rsidP="00C3404B">
      <w:pPr>
        <w:pStyle w:val="FootnoteText"/>
        <w:rPr>
          <w:highlight w:val="yellow"/>
        </w:rPr>
      </w:pPr>
      <w:r>
        <w:tab/>
      </w:r>
      <w:r>
        <w:rPr>
          <w:rStyle w:val="FootnoteReference"/>
          <w:sz w:val="20"/>
        </w:rPr>
        <w:footnoteRef/>
      </w:r>
      <w:r w:rsidRPr="00A51905">
        <w:rPr>
          <w:lang w:val="en-US"/>
        </w:rPr>
        <w:tab/>
        <w:t>See</w:t>
      </w:r>
      <w:r w:rsidR="00A34E78">
        <w:rPr>
          <w:lang w:val="en-US"/>
        </w:rPr>
        <w:t xml:space="preserve"> </w:t>
      </w:r>
      <w:r w:rsidR="00A34E78">
        <w:rPr>
          <w:i/>
          <w:iCs/>
          <w:lang w:val="en-US"/>
        </w:rPr>
        <w:t xml:space="preserve">X </w:t>
      </w:r>
      <w:r w:rsidRPr="00A51905">
        <w:rPr>
          <w:i/>
          <w:iCs/>
          <w:lang w:val="en-US"/>
        </w:rPr>
        <w:t>v. Denmark</w:t>
      </w:r>
      <w:r w:rsidRPr="00A51905">
        <w:rPr>
          <w:lang w:val="en-US"/>
        </w:rPr>
        <w:t>, para. </w:t>
      </w:r>
      <w:r w:rsidRPr="00542F54">
        <w:t>9.2</w:t>
      </w:r>
      <w:r>
        <w:t>,</w:t>
      </w:r>
      <w:r w:rsidRPr="00AA72B2">
        <w:t xml:space="preserve"> </w:t>
      </w:r>
      <w:r>
        <w:t xml:space="preserve">and </w:t>
      </w:r>
      <w:r w:rsidR="00A34E78">
        <w:t xml:space="preserve">communication </w:t>
      </w:r>
      <w:r w:rsidRPr="006E1890">
        <w:t>No. </w:t>
      </w:r>
      <w:r w:rsidRPr="00AA72B2">
        <w:t>1833/2008</w:t>
      </w:r>
      <w:r w:rsidRPr="00DB406B">
        <w:rPr>
          <w:i/>
        </w:rPr>
        <w:t>, X v. Sweden</w:t>
      </w:r>
      <w:r w:rsidRPr="0097141D">
        <w:t>, Views adopted on 1</w:t>
      </w:r>
      <w:r w:rsidR="00187F8A">
        <w:t> </w:t>
      </w:r>
      <w:r w:rsidRPr="0097141D">
        <w:t xml:space="preserve">November 2011, </w:t>
      </w:r>
      <w:r w:rsidRPr="00542F54">
        <w:t xml:space="preserve">para. 5.18. </w:t>
      </w:r>
    </w:p>
  </w:footnote>
  <w:footnote w:id="27">
    <w:p w:rsidR="00B10DD9" w:rsidRPr="00542F54" w:rsidRDefault="00B10DD9" w:rsidP="00C3404B">
      <w:pPr>
        <w:pStyle w:val="FootnoteText"/>
        <w:rPr>
          <w:highlight w:val="yellow"/>
        </w:rPr>
      </w:pPr>
      <w:r w:rsidRPr="006E1890">
        <w:tab/>
      </w:r>
      <w:r w:rsidRPr="00AA72B2">
        <w:rPr>
          <w:rStyle w:val="FootnoteReference"/>
          <w:sz w:val="20"/>
        </w:rPr>
        <w:footnoteRef/>
      </w:r>
      <w:r w:rsidRPr="00DB406B">
        <w:tab/>
      </w:r>
      <w:r w:rsidRPr="00CC3014">
        <w:rPr>
          <w:iCs/>
        </w:rPr>
        <w:t>Ibid.</w:t>
      </w:r>
    </w:p>
  </w:footnote>
  <w:footnote w:id="28">
    <w:p w:rsidR="00B10DD9" w:rsidRPr="00542F54" w:rsidRDefault="00B10DD9" w:rsidP="00C3404B">
      <w:pPr>
        <w:pStyle w:val="FootnoteText"/>
        <w:rPr>
          <w:highlight w:val="yellow"/>
        </w:rPr>
      </w:pPr>
      <w:r w:rsidRPr="006E1890">
        <w:tab/>
      </w:r>
      <w:r w:rsidRPr="00AA72B2">
        <w:rPr>
          <w:rStyle w:val="FootnoteReference"/>
          <w:sz w:val="20"/>
        </w:rPr>
        <w:footnoteRef/>
      </w:r>
      <w:r w:rsidRPr="00DB406B">
        <w:tab/>
      </w:r>
      <w:r w:rsidRPr="00CC3014">
        <w:t>Ibid.</w:t>
      </w:r>
      <w:r>
        <w:t xml:space="preserve"> and s</w:t>
      </w:r>
      <w:r w:rsidRPr="00DB406B">
        <w:t xml:space="preserve">ee, inter alia, </w:t>
      </w:r>
      <w:r w:rsidRPr="00542F54">
        <w:t xml:space="preserve">communication No. 541/1993, </w:t>
      </w:r>
      <w:r w:rsidRPr="00542F54">
        <w:rPr>
          <w:i/>
        </w:rPr>
        <w:t>Simms v. Jamaica</w:t>
      </w:r>
      <w:r w:rsidRPr="00542F54">
        <w:t xml:space="preserve">, </w:t>
      </w:r>
      <w:r w:rsidR="00A34E78">
        <w:t xml:space="preserve">decision of </w:t>
      </w:r>
      <w:r w:rsidRPr="00A34E78">
        <w:t>inadmissibility</w:t>
      </w:r>
      <w:r w:rsidRPr="00542F54">
        <w:t xml:space="preserve"> adopted on 3 April 1995, para. 6.2.</w:t>
      </w:r>
    </w:p>
  </w:footnote>
  <w:footnote w:id="29">
    <w:p w:rsidR="00B10DD9" w:rsidRPr="00C86957" w:rsidRDefault="00B10DD9" w:rsidP="00C3404B">
      <w:pPr>
        <w:pStyle w:val="FootnoteText"/>
      </w:pPr>
      <w:r w:rsidRPr="006E1890">
        <w:tab/>
      </w:r>
      <w:r w:rsidRPr="00AA72B2">
        <w:rPr>
          <w:rStyle w:val="FootnoteReference"/>
        </w:rPr>
        <w:footnoteRef/>
      </w:r>
      <w:r w:rsidRPr="00DB406B">
        <w:tab/>
        <w:t>See communications</w:t>
      </w:r>
      <w:r w:rsidRPr="0097141D">
        <w:t xml:space="preserve"> No. </w:t>
      </w:r>
      <w:r w:rsidRPr="00542F54">
        <w:t xml:space="preserve">1763/2008, </w:t>
      </w:r>
      <w:r w:rsidRPr="00542F54">
        <w:rPr>
          <w:i/>
        </w:rPr>
        <w:t>Pillai et al. v.</w:t>
      </w:r>
      <w:r w:rsidRPr="00542F54">
        <w:t xml:space="preserve"> </w:t>
      </w:r>
      <w:r w:rsidRPr="00542F54">
        <w:rPr>
          <w:i/>
        </w:rPr>
        <w:t>Canada</w:t>
      </w:r>
      <w:r w:rsidRPr="00542F54">
        <w:t>, Views adopted on 25 March 2011, para. 11.4</w:t>
      </w:r>
      <w:r>
        <w:t>,</w:t>
      </w:r>
      <w:r w:rsidRPr="006E1890">
        <w:t xml:space="preserve"> and</w:t>
      </w:r>
      <w:r w:rsidRPr="00AA72B2">
        <w:t xml:space="preserve"> </w:t>
      </w:r>
      <w:r w:rsidRPr="00DB406B">
        <w:t>No. </w:t>
      </w:r>
      <w:r w:rsidRPr="0097141D">
        <w:t xml:space="preserve">1957/2010, </w:t>
      </w:r>
      <w:r w:rsidRPr="00542F54">
        <w:rPr>
          <w:i/>
        </w:rPr>
        <w:t>Lin v. Australia</w:t>
      </w:r>
      <w:r w:rsidRPr="00542F54">
        <w:t>, Views adopted on 21 March 2013, para. 9.3.</w:t>
      </w:r>
    </w:p>
  </w:footnote>
  <w:footnote w:id="30">
    <w:p w:rsidR="00B10DD9" w:rsidRPr="008156C7" w:rsidRDefault="00B10DD9" w:rsidP="00DA41E6">
      <w:pPr>
        <w:pStyle w:val="FootnoteText"/>
      </w:pPr>
      <w:r>
        <w:tab/>
      </w:r>
      <w:r>
        <w:rPr>
          <w:rStyle w:val="FootnoteReference"/>
        </w:rPr>
        <w:footnoteRef/>
      </w:r>
      <w:r>
        <w:tab/>
      </w:r>
      <w:r w:rsidRPr="00DA41E6">
        <w:t>See</w:t>
      </w:r>
      <w:r>
        <w:t xml:space="preserve"> the notion of arbitrariness in the Committee’s general comment No. 35 </w:t>
      </w:r>
      <w:r w:rsidR="00A8602C">
        <w:t xml:space="preserve">(2014) </w:t>
      </w:r>
      <w:r>
        <w:t xml:space="preserve">on </w:t>
      </w:r>
      <w:r w:rsidR="00A8602C">
        <w:t>l</w:t>
      </w:r>
      <w:r>
        <w:t>iberty and security of person</w:t>
      </w:r>
      <w:r w:rsidR="00A8602C">
        <w:t>,</w:t>
      </w:r>
      <w:r>
        <w:t xml:space="preserve"> para. 12.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DD9" w:rsidRDefault="00B10DD9">
    <w:pPr>
      <w:pStyle w:val="Header"/>
    </w:pPr>
    <w:r>
      <w:t>CCPR/C/117/D/2462/2014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DD9" w:rsidRPr="00FA222B" w:rsidRDefault="00B10DD9" w:rsidP="00FA222B">
    <w:pPr>
      <w:pStyle w:val="Header"/>
      <w:jc w:val="right"/>
    </w:pPr>
    <w:r>
      <w:t>CCPR/C/117/D/2462/2014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B50DA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251FC"/>
    <w:multiLevelType w:val="hybridMultilevel"/>
    <w:tmpl w:val="5F2A4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2B"/>
    <w:rsid w:val="00000BDC"/>
    <w:rsid w:val="00000F65"/>
    <w:rsid w:val="0000162B"/>
    <w:rsid w:val="00001E09"/>
    <w:rsid w:val="00006F44"/>
    <w:rsid w:val="00010774"/>
    <w:rsid w:val="00011D19"/>
    <w:rsid w:val="00013EF9"/>
    <w:rsid w:val="00014BC3"/>
    <w:rsid w:val="0001542D"/>
    <w:rsid w:val="00017DED"/>
    <w:rsid w:val="00020CC9"/>
    <w:rsid w:val="000214E0"/>
    <w:rsid w:val="00021715"/>
    <w:rsid w:val="00024855"/>
    <w:rsid w:val="000249D8"/>
    <w:rsid w:val="00024C4A"/>
    <w:rsid w:val="00026F6B"/>
    <w:rsid w:val="000272B3"/>
    <w:rsid w:val="000277F6"/>
    <w:rsid w:val="000328FD"/>
    <w:rsid w:val="00034228"/>
    <w:rsid w:val="00034624"/>
    <w:rsid w:val="00036BBC"/>
    <w:rsid w:val="00044784"/>
    <w:rsid w:val="00046398"/>
    <w:rsid w:val="00047E16"/>
    <w:rsid w:val="00050F6B"/>
    <w:rsid w:val="00052489"/>
    <w:rsid w:val="00053073"/>
    <w:rsid w:val="00053730"/>
    <w:rsid w:val="00054F8D"/>
    <w:rsid w:val="00057C28"/>
    <w:rsid w:val="00057E97"/>
    <w:rsid w:val="0006071C"/>
    <w:rsid w:val="00060C3A"/>
    <w:rsid w:val="00066D5B"/>
    <w:rsid w:val="000676B4"/>
    <w:rsid w:val="000725BA"/>
    <w:rsid w:val="00072C8C"/>
    <w:rsid w:val="000733B5"/>
    <w:rsid w:val="00074883"/>
    <w:rsid w:val="0007569B"/>
    <w:rsid w:val="00076B7E"/>
    <w:rsid w:val="00081815"/>
    <w:rsid w:val="0008728B"/>
    <w:rsid w:val="000909E3"/>
    <w:rsid w:val="00090E3B"/>
    <w:rsid w:val="00092D27"/>
    <w:rsid w:val="000931C0"/>
    <w:rsid w:val="00094460"/>
    <w:rsid w:val="000A2E25"/>
    <w:rsid w:val="000A3F47"/>
    <w:rsid w:val="000A4A64"/>
    <w:rsid w:val="000B175B"/>
    <w:rsid w:val="000B3A0F"/>
    <w:rsid w:val="000B422B"/>
    <w:rsid w:val="000B4EF7"/>
    <w:rsid w:val="000B6857"/>
    <w:rsid w:val="000B79EB"/>
    <w:rsid w:val="000C2C03"/>
    <w:rsid w:val="000C2D2E"/>
    <w:rsid w:val="000C3481"/>
    <w:rsid w:val="000C3821"/>
    <w:rsid w:val="000C4B5D"/>
    <w:rsid w:val="000C67BE"/>
    <w:rsid w:val="000C6CCA"/>
    <w:rsid w:val="000D24E9"/>
    <w:rsid w:val="000E0415"/>
    <w:rsid w:val="000E16E7"/>
    <w:rsid w:val="000E17FA"/>
    <w:rsid w:val="000E207E"/>
    <w:rsid w:val="000E4BF6"/>
    <w:rsid w:val="000E75E9"/>
    <w:rsid w:val="000E7FE7"/>
    <w:rsid w:val="000F0087"/>
    <w:rsid w:val="000F307A"/>
    <w:rsid w:val="000F3672"/>
    <w:rsid w:val="000F3D82"/>
    <w:rsid w:val="000F5442"/>
    <w:rsid w:val="001002BF"/>
    <w:rsid w:val="00101D3D"/>
    <w:rsid w:val="0010264E"/>
    <w:rsid w:val="001052CF"/>
    <w:rsid w:val="00105EE0"/>
    <w:rsid w:val="00106A6F"/>
    <w:rsid w:val="001103AA"/>
    <w:rsid w:val="00110A64"/>
    <w:rsid w:val="00113D5A"/>
    <w:rsid w:val="00114DE2"/>
    <w:rsid w:val="0011512D"/>
    <w:rsid w:val="00115243"/>
    <w:rsid w:val="00122146"/>
    <w:rsid w:val="00125FAA"/>
    <w:rsid w:val="00127743"/>
    <w:rsid w:val="00130E3E"/>
    <w:rsid w:val="00132E0A"/>
    <w:rsid w:val="0013510D"/>
    <w:rsid w:val="001351E0"/>
    <w:rsid w:val="00135549"/>
    <w:rsid w:val="00136FEE"/>
    <w:rsid w:val="00143BE5"/>
    <w:rsid w:val="001466AC"/>
    <w:rsid w:val="00146BC0"/>
    <w:rsid w:val="0014758E"/>
    <w:rsid w:val="001527B2"/>
    <w:rsid w:val="00153A9D"/>
    <w:rsid w:val="001552D9"/>
    <w:rsid w:val="00156D06"/>
    <w:rsid w:val="0015766D"/>
    <w:rsid w:val="00157DB4"/>
    <w:rsid w:val="00163091"/>
    <w:rsid w:val="00165F3A"/>
    <w:rsid w:val="0016623B"/>
    <w:rsid w:val="00172881"/>
    <w:rsid w:val="001730F4"/>
    <w:rsid w:val="001764A6"/>
    <w:rsid w:val="001815AC"/>
    <w:rsid w:val="00183968"/>
    <w:rsid w:val="00184FDB"/>
    <w:rsid w:val="001852A4"/>
    <w:rsid w:val="00186395"/>
    <w:rsid w:val="00187F8A"/>
    <w:rsid w:val="00194538"/>
    <w:rsid w:val="0019475B"/>
    <w:rsid w:val="00194EA2"/>
    <w:rsid w:val="00195440"/>
    <w:rsid w:val="001958F3"/>
    <w:rsid w:val="0019638E"/>
    <w:rsid w:val="001A10D1"/>
    <w:rsid w:val="001A6686"/>
    <w:rsid w:val="001A7F36"/>
    <w:rsid w:val="001B0538"/>
    <w:rsid w:val="001B05AC"/>
    <w:rsid w:val="001B0A4D"/>
    <w:rsid w:val="001B1268"/>
    <w:rsid w:val="001B4B04"/>
    <w:rsid w:val="001B511C"/>
    <w:rsid w:val="001B52DC"/>
    <w:rsid w:val="001B6ABD"/>
    <w:rsid w:val="001C0099"/>
    <w:rsid w:val="001C1234"/>
    <w:rsid w:val="001C40B8"/>
    <w:rsid w:val="001C4E14"/>
    <w:rsid w:val="001C6663"/>
    <w:rsid w:val="001C67B2"/>
    <w:rsid w:val="001C7895"/>
    <w:rsid w:val="001D0C8C"/>
    <w:rsid w:val="001D24DA"/>
    <w:rsid w:val="001D26DF"/>
    <w:rsid w:val="001D2B80"/>
    <w:rsid w:val="001D3A03"/>
    <w:rsid w:val="001D4D0A"/>
    <w:rsid w:val="001D51A0"/>
    <w:rsid w:val="001E04E0"/>
    <w:rsid w:val="001E0998"/>
    <w:rsid w:val="001E10A7"/>
    <w:rsid w:val="001E1393"/>
    <w:rsid w:val="001E1D62"/>
    <w:rsid w:val="001E41D5"/>
    <w:rsid w:val="001F1DC2"/>
    <w:rsid w:val="001F4300"/>
    <w:rsid w:val="00201C3B"/>
    <w:rsid w:val="00202550"/>
    <w:rsid w:val="00202DA8"/>
    <w:rsid w:val="00203EB3"/>
    <w:rsid w:val="00204934"/>
    <w:rsid w:val="002068B5"/>
    <w:rsid w:val="00206BEC"/>
    <w:rsid w:val="00207504"/>
    <w:rsid w:val="00211E0B"/>
    <w:rsid w:val="002121DC"/>
    <w:rsid w:val="002143B2"/>
    <w:rsid w:val="002145D7"/>
    <w:rsid w:val="00214651"/>
    <w:rsid w:val="00214E11"/>
    <w:rsid w:val="00217740"/>
    <w:rsid w:val="00221AEE"/>
    <w:rsid w:val="00221D03"/>
    <w:rsid w:val="0022425D"/>
    <w:rsid w:val="002245CF"/>
    <w:rsid w:val="0022474A"/>
    <w:rsid w:val="0023210C"/>
    <w:rsid w:val="00232DAC"/>
    <w:rsid w:val="0023405A"/>
    <w:rsid w:val="002442D0"/>
    <w:rsid w:val="00247551"/>
    <w:rsid w:val="00250F49"/>
    <w:rsid w:val="002529A3"/>
    <w:rsid w:val="002533E4"/>
    <w:rsid w:val="00253761"/>
    <w:rsid w:val="00254514"/>
    <w:rsid w:val="00254DE7"/>
    <w:rsid w:val="00255638"/>
    <w:rsid w:val="00257DA4"/>
    <w:rsid w:val="00262226"/>
    <w:rsid w:val="00263CDE"/>
    <w:rsid w:val="0026424D"/>
    <w:rsid w:val="00266DC7"/>
    <w:rsid w:val="00267F5F"/>
    <w:rsid w:val="00272867"/>
    <w:rsid w:val="00272E2E"/>
    <w:rsid w:val="00273A03"/>
    <w:rsid w:val="002741C2"/>
    <w:rsid w:val="00276168"/>
    <w:rsid w:val="00277113"/>
    <w:rsid w:val="0027794E"/>
    <w:rsid w:val="00280AA1"/>
    <w:rsid w:val="00280D31"/>
    <w:rsid w:val="00286227"/>
    <w:rsid w:val="00286B4D"/>
    <w:rsid w:val="00286D60"/>
    <w:rsid w:val="00287D47"/>
    <w:rsid w:val="002918A8"/>
    <w:rsid w:val="00292F31"/>
    <w:rsid w:val="0029336A"/>
    <w:rsid w:val="002974AA"/>
    <w:rsid w:val="002A06F8"/>
    <w:rsid w:val="002A2233"/>
    <w:rsid w:val="002A4C5A"/>
    <w:rsid w:val="002A4D16"/>
    <w:rsid w:val="002A6B11"/>
    <w:rsid w:val="002C3F00"/>
    <w:rsid w:val="002C5EF9"/>
    <w:rsid w:val="002C5F91"/>
    <w:rsid w:val="002D003E"/>
    <w:rsid w:val="002D1F12"/>
    <w:rsid w:val="002D523B"/>
    <w:rsid w:val="002D52CA"/>
    <w:rsid w:val="002D74DB"/>
    <w:rsid w:val="002E1344"/>
    <w:rsid w:val="002E1AE2"/>
    <w:rsid w:val="002E597A"/>
    <w:rsid w:val="002E67B8"/>
    <w:rsid w:val="002F175C"/>
    <w:rsid w:val="002F3AA4"/>
    <w:rsid w:val="002F4D59"/>
    <w:rsid w:val="002F50C7"/>
    <w:rsid w:val="002F5D22"/>
    <w:rsid w:val="002F7B59"/>
    <w:rsid w:val="002F7B7B"/>
    <w:rsid w:val="00303CA1"/>
    <w:rsid w:val="003058CF"/>
    <w:rsid w:val="003075B4"/>
    <w:rsid w:val="003137EC"/>
    <w:rsid w:val="00317025"/>
    <w:rsid w:val="00321DB2"/>
    <w:rsid w:val="003229D8"/>
    <w:rsid w:val="00324FCB"/>
    <w:rsid w:val="00326F99"/>
    <w:rsid w:val="0033267F"/>
    <w:rsid w:val="00332B6B"/>
    <w:rsid w:val="00332C6C"/>
    <w:rsid w:val="00333A3D"/>
    <w:rsid w:val="00334639"/>
    <w:rsid w:val="00334787"/>
    <w:rsid w:val="00335670"/>
    <w:rsid w:val="00337D48"/>
    <w:rsid w:val="00341869"/>
    <w:rsid w:val="0034194D"/>
    <w:rsid w:val="003419C9"/>
    <w:rsid w:val="00341CC4"/>
    <w:rsid w:val="00343B6C"/>
    <w:rsid w:val="003449E4"/>
    <w:rsid w:val="00347120"/>
    <w:rsid w:val="00350FE5"/>
    <w:rsid w:val="00352709"/>
    <w:rsid w:val="00352895"/>
    <w:rsid w:val="00353549"/>
    <w:rsid w:val="003548CE"/>
    <w:rsid w:val="00360D81"/>
    <w:rsid w:val="0036218B"/>
    <w:rsid w:val="0036493A"/>
    <w:rsid w:val="003668AF"/>
    <w:rsid w:val="0036714D"/>
    <w:rsid w:val="00367567"/>
    <w:rsid w:val="00367989"/>
    <w:rsid w:val="00370B9C"/>
    <w:rsid w:val="00371178"/>
    <w:rsid w:val="0037149B"/>
    <w:rsid w:val="003744BF"/>
    <w:rsid w:val="0037453E"/>
    <w:rsid w:val="003774D4"/>
    <w:rsid w:val="00381EC1"/>
    <w:rsid w:val="0038238A"/>
    <w:rsid w:val="0038336C"/>
    <w:rsid w:val="003857E7"/>
    <w:rsid w:val="003858AD"/>
    <w:rsid w:val="00386D23"/>
    <w:rsid w:val="00394C0B"/>
    <w:rsid w:val="00396D24"/>
    <w:rsid w:val="00397941"/>
    <w:rsid w:val="00397C8E"/>
    <w:rsid w:val="003A2AF4"/>
    <w:rsid w:val="003A6810"/>
    <w:rsid w:val="003B7CE7"/>
    <w:rsid w:val="003C03B9"/>
    <w:rsid w:val="003C0BF6"/>
    <w:rsid w:val="003C2CC4"/>
    <w:rsid w:val="003C2FFC"/>
    <w:rsid w:val="003C3F44"/>
    <w:rsid w:val="003C6761"/>
    <w:rsid w:val="003D3DB4"/>
    <w:rsid w:val="003D4B23"/>
    <w:rsid w:val="003D5C48"/>
    <w:rsid w:val="003D6279"/>
    <w:rsid w:val="003E0590"/>
    <w:rsid w:val="003E4392"/>
    <w:rsid w:val="003E4480"/>
    <w:rsid w:val="003E4751"/>
    <w:rsid w:val="003E4E11"/>
    <w:rsid w:val="003F3B71"/>
    <w:rsid w:val="003F419C"/>
    <w:rsid w:val="00401846"/>
    <w:rsid w:val="004029A1"/>
    <w:rsid w:val="00406524"/>
    <w:rsid w:val="004067C6"/>
    <w:rsid w:val="00407919"/>
    <w:rsid w:val="00410C89"/>
    <w:rsid w:val="004114A9"/>
    <w:rsid w:val="0041165D"/>
    <w:rsid w:val="00411F56"/>
    <w:rsid w:val="004144F1"/>
    <w:rsid w:val="00416525"/>
    <w:rsid w:val="00416546"/>
    <w:rsid w:val="0041657E"/>
    <w:rsid w:val="0041695D"/>
    <w:rsid w:val="004208B2"/>
    <w:rsid w:val="00424189"/>
    <w:rsid w:val="0042559D"/>
    <w:rsid w:val="00425D63"/>
    <w:rsid w:val="00426B9B"/>
    <w:rsid w:val="00426F92"/>
    <w:rsid w:val="004270CC"/>
    <w:rsid w:val="00432320"/>
    <w:rsid w:val="004325CB"/>
    <w:rsid w:val="0043268C"/>
    <w:rsid w:val="00433DCB"/>
    <w:rsid w:val="0043571F"/>
    <w:rsid w:val="00435DC5"/>
    <w:rsid w:val="00436B33"/>
    <w:rsid w:val="00436DBA"/>
    <w:rsid w:val="004376CB"/>
    <w:rsid w:val="004412A2"/>
    <w:rsid w:val="00442A83"/>
    <w:rsid w:val="0044385A"/>
    <w:rsid w:val="00443FF2"/>
    <w:rsid w:val="00446A67"/>
    <w:rsid w:val="004510DF"/>
    <w:rsid w:val="00451105"/>
    <w:rsid w:val="0045495B"/>
    <w:rsid w:val="00455892"/>
    <w:rsid w:val="0045644D"/>
    <w:rsid w:val="004710A0"/>
    <w:rsid w:val="0047148C"/>
    <w:rsid w:val="00473871"/>
    <w:rsid w:val="00474A32"/>
    <w:rsid w:val="00475037"/>
    <w:rsid w:val="00475B41"/>
    <w:rsid w:val="00475EE5"/>
    <w:rsid w:val="00476E5F"/>
    <w:rsid w:val="0047707C"/>
    <w:rsid w:val="00480586"/>
    <w:rsid w:val="00480624"/>
    <w:rsid w:val="0048088F"/>
    <w:rsid w:val="004826DE"/>
    <w:rsid w:val="00484B27"/>
    <w:rsid w:val="00487488"/>
    <w:rsid w:val="00487938"/>
    <w:rsid w:val="0048795B"/>
    <w:rsid w:val="00487D88"/>
    <w:rsid w:val="0049024E"/>
    <w:rsid w:val="0049297D"/>
    <w:rsid w:val="00494C15"/>
    <w:rsid w:val="0049687F"/>
    <w:rsid w:val="00497838"/>
    <w:rsid w:val="004979E0"/>
    <w:rsid w:val="004A1271"/>
    <w:rsid w:val="004A1560"/>
    <w:rsid w:val="004B01C6"/>
    <w:rsid w:val="004B4F4B"/>
    <w:rsid w:val="004B6580"/>
    <w:rsid w:val="004D68DB"/>
    <w:rsid w:val="004D78CA"/>
    <w:rsid w:val="004E76DF"/>
    <w:rsid w:val="004F2A3D"/>
    <w:rsid w:val="004F607A"/>
    <w:rsid w:val="0050408B"/>
    <w:rsid w:val="00506A88"/>
    <w:rsid w:val="00513706"/>
    <w:rsid w:val="005148E1"/>
    <w:rsid w:val="0051595F"/>
    <w:rsid w:val="00515A52"/>
    <w:rsid w:val="005167BE"/>
    <w:rsid w:val="005179C2"/>
    <w:rsid w:val="0052136D"/>
    <w:rsid w:val="00522AB2"/>
    <w:rsid w:val="005245DB"/>
    <w:rsid w:val="0052775E"/>
    <w:rsid w:val="0053274F"/>
    <w:rsid w:val="005341C5"/>
    <w:rsid w:val="005352E9"/>
    <w:rsid w:val="0054116A"/>
    <w:rsid w:val="005415AD"/>
    <w:rsid w:val="005420F2"/>
    <w:rsid w:val="005441D2"/>
    <w:rsid w:val="00547A18"/>
    <w:rsid w:val="00550028"/>
    <w:rsid w:val="005522A8"/>
    <w:rsid w:val="00552C15"/>
    <w:rsid w:val="00557507"/>
    <w:rsid w:val="005616EE"/>
    <w:rsid w:val="005628B6"/>
    <w:rsid w:val="00563160"/>
    <w:rsid w:val="00572ABF"/>
    <w:rsid w:val="00575E4E"/>
    <w:rsid w:val="00577A39"/>
    <w:rsid w:val="00581AD7"/>
    <w:rsid w:val="005825BD"/>
    <w:rsid w:val="005831C3"/>
    <w:rsid w:val="005832AE"/>
    <w:rsid w:val="00583967"/>
    <w:rsid w:val="00583CF5"/>
    <w:rsid w:val="0058458B"/>
    <w:rsid w:val="005848B3"/>
    <w:rsid w:val="005851A6"/>
    <w:rsid w:val="00586045"/>
    <w:rsid w:val="0058628A"/>
    <w:rsid w:val="005901A4"/>
    <w:rsid w:val="005901AD"/>
    <w:rsid w:val="00590F87"/>
    <w:rsid w:val="00591972"/>
    <w:rsid w:val="00592C4A"/>
    <w:rsid w:val="00593799"/>
    <w:rsid w:val="005949A4"/>
    <w:rsid w:val="005A48B9"/>
    <w:rsid w:val="005B0656"/>
    <w:rsid w:val="005B2969"/>
    <w:rsid w:val="005B3098"/>
    <w:rsid w:val="005B3DB3"/>
    <w:rsid w:val="005B5070"/>
    <w:rsid w:val="005B57AA"/>
    <w:rsid w:val="005B62F3"/>
    <w:rsid w:val="005B679A"/>
    <w:rsid w:val="005B6C15"/>
    <w:rsid w:val="005B769B"/>
    <w:rsid w:val="005B7B0A"/>
    <w:rsid w:val="005C0328"/>
    <w:rsid w:val="005C35FF"/>
    <w:rsid w:val="005C58A6"/>
    <w:rsid w:val="005D0E65"/>
    <w:rsid w:val="005D2B5E"/>
    <w:rsid w:val="005D4026"/>
    <w:rsid w:val="005D4BDC"/>
    <w:rsid w:val="005D522F"/>
    <w:rsid w:val="005D6755"/>
    <w:rsid w:val="005D6FA0"/>
    <w:rsid w:val="005D7252"/>
    <w:rsid w:val="005E084C"/>
    <w:rsid w:val="005E681C"/>
    <w:rsid w:val="005F068C"/>
    <w:rsid w:val="005F1EFF"/>
    <w:rsid w:val="005F502A"/>
    <w:rsid w:val="005F5B63"/>
    <w:rsid w:val="005F7717"/>
    <w:rsid w:val="005F7B75"/>
    <w:rsid w:val="006001EE"/>
    <w:rsid w:val="006009DB"/>
    <w:rsid w:val="00600AAA"/>
    <w:rsid w:val="006015FF"/>
    <w:rsid w:val="00602EF1"/>
    <w:rsid w:val="00605042"/>
    <w:rsid w:val="006056A0"/>
    <w:rsid w:val="00605AC2"/>
    <w:rsid w:val="00611FC4"/>
    <w:rsid w:val="00613094"/>
    <w:rsid w:val="00615547"/>
    <w:rsid w:val="00615E29"/>
    <w:rsid w:val="006176FB"/>
    <w:rsid w:val="0062240A"/>
    <w:rsid w:val="006243CD"/>
    <w:rsid w:val="0062729F"/>
    <w:rsid w:val="00627E66"/>
    <w:rsid w:val="00636CA8"/>
    <w:rsid w:val="00640B26"/>
    <w:rsid w:val="00643442"/>
    <w:rsid w:val="00645DD1"/>
    <w:rsid w:val="006507B8"/>
    <w:rsid w:val="00652CD6"/>
    <w:rsid w:val="00652D0A"/>
    <w:rsid w:val="0065420D"/>
    <w:rsid w:val="00657702"/>
    <w:rsid w:val="00657C58"/>
    <w:rsid w:val="00660F76"/>
    <w:rsid w:val="00662ABF"/>
    <w:rsid w:val="00662BB6"/>
    <w:rsid w:val="00664B2D"/>
    <w:rsid w:val="00667C48"/>
    <w:rsid w:val="0067314F"/>
    <w:rsid w:val="00673B5C"/>
    <w:rsid w:val="006769FB"/>
    <w:rsid w:val="00677542"/>
    <w:rsid w:val="006819EE"/>
    <w:rsid w:val="00684C21"/>
    <w:rsid w:val="0068527D"/>
    <w:rsid w:val="00690CA0"/>
    <w:rsid w:val="006914F4"/>
    <w:rsid w:val="0069285F"/>
    <w:rsid w:val="00697660"/>
    <w:rsid w:val="006A09DA"/>
    <w:rsid w:val="006A42F1"/>
    <w:rsid w:val="006A4F13"/>
    <w:rsid w:val="006A6656"/>
    <w:rsid w:val="006A6A75"/>
    <w:rsid w:val="006B05C1"/>
    <w:rsid w:val="006B7376"/>
    <w:rsid w:val="006B7CB3"/>
    <w:rsid w:val="006C2D70"/>
    <w:rsid w:val="006D2239"/>
    <w:rsid w:val="006D37AF"/>
    <w:rsid w:val="006D51D0"/>
    <w:rsid w:val="006D76BF"/>
    <w:rsid w:val="006E564B"/>
    <w:rsid w:val="006E6665"/>
    <w:rsid w:val="006E7191"/>
    <w:rsid w:val="006F1D9F"/>
    <w:rsid w:val="006F4484"/>
    <w:rsid w:val="006F4587"/>
    <w:rsid w:val="006F6C92"/>
    <w:rsid w:val="006F6DD5"/>
    <w:rsid w:val="007006D1"/>
    <w:rsid w:val="00700E85"/>
    <w:rsid w:val="007024DD"/>
    <w:rsid w:val="00703577"/>
    <w:rsid w:val="00705307"/>
    <w:rsid w:val="0070668B"/>
    <w:rsid w:val="00707245"/>
    <w:rsid w:val="007077A4"/>
    <w:rsid w:val="00714C1E"/>
    <w:rsid w:val="0071562B"/>
    <w:rsid w:val="00716630"/>
    <w:rsid w:val="0071793C"/>
    <w:rsid w:val="007211F9"/>
    <w:rsid w:val="00721251"/>
    <w:rsid w:val="007225E7"/>
    <w:rsid w:val="0072305C"/>
    <w:rsid w:val="00725D87"/>
    <w:rsid w:val="0072632A"/>
    <w:rsid w:val="00727AE4"/>
    <w:rsid w:val="0073033A"/>
    <w:rsid w:val="007327D5"/>
    <w:rsid w:val="00733E74"/>
    <w:rsid w:val="00736433"/>
    <w:rsid w:val="00736C7A"/>
    <w:rsid w:val="007433C9"/>
    <w:rsid w:val="0074380B"/>
    <w:rsid w:val="00744B3A"/>
    <w:rsid w:val="00744D0E"/>
    <w:rsid w:val="00745447"/>
    <w:rsid w:val="007456C1"/>
    <w:rsid w:val="00747419"/>
    <w:rsid w:val="00747744"/>
    <w:rsid w:val="00747CAC"/>
    <w:rsid w:val="00754398"/>
    <w:rsid w:val="0075709C"/>
    <w:rsid w:val="00757824"/>
    <w:rsid w:val="00760CFF"/>
    <w:rsid w:val="007629C8"/>
    <w:rsid w:val="00763A01"/>
    <w:rsid w:val="0077082B"/>
    <w:rsid w:val="00771483"/>
    <w:rsid w:val="00772BDC"/>
    <w:rsid w:val="00774756"/>
    <w:rsid w:val="007758EE"/>
    <w:rsid w:val="00781126"/>
    <w:rsid w:val="00781BF8"/>
    <w:rsid w:val="00782D91"/>
    <w:rsid w:val="00784013"/>
    <w:rsid w:val="00787B52"/>
    <w:rsid w:val="007931C0"/>
    <w:rsid w:val="0079683A"/>
    <w:rsid w:val="007975B8"/>
    <w:rsid w:val="0079787F"/>
    <w:rsid w:val="007A1638"/>
    <w:rsid w:val="007A5564"/>
    <w:rsid w:val="007A5DAC"/>
    <w:rsid w:val="007B159D"/>
    <w:rsid w:val="007B27E8"/>
    <w:rsid w:val="007B4D20"/>
    <w:rsid w:val="007B6BA5"/>
    <w:rsid w:val="007C3390"/>
    <w:rsid w:val="007C4A07"/>
    <w:rsid w:val="007C4B3B"/>
    <w:rsid w:val="007C4F4B"/>
    <w:rsid w:val="007C784F"/>
    <w:rsid w:val="007C7E4A"/>
    <w:rsid w:val="007D12E4"/>
    <w:rsid w:val="007D16AD"/>
    <w:rsid w:val="007D1CE5"/>
    <w:rsid w:val="007D2578"/>
    <w:rsid w:val="007D35AF"/>
    <w:rsid w:val="007E06A0"/>
    <w:rsid w:val="007E0B2D"/>
    <w:rsid w:val="007E7CD2"/>
    <w:rsid w:val="007F2428"/>
    <w:rsid w:val="007F4D68"/>
    <w:rsid w:val="007F5E52"/>
    <w:rsid w:val="007F64C4"/>
    <w:rsid w:val="007F6611"/>
    <w:rsid w:val="007F7274"/>
    <w:rsid w:val="008005E9"/>
    <w:rsid w:val="00800BC0"/>
    <w:rsid w:val="0080145D"/>
    <w:rsid w:val="00801ABE"/>
    <w:rsid w:val="00805B2C"/>
    <w:rsid w:val="008068E7"/>
    <w:rsid w:val="008105B8"/>
    <w:rsid w:val="008110DA"/>
    <w:rsid w:val="00811A8A"/>
    <w:rsid w:val="00813F58"/>
    <w:rsid w:val="00815435"/>
    <w:rsid w:val="00820F39"/>
    <w:rsid w:val="0082419E"/>
    <w:rsid w:val="008242D7"/>
    <w:rsid w:val="008257B1"/>
    <w:rsid w:val="00827BA1"/>
    <w:rsid w:val="00831A7A"/>
    <w:rsid w:val="00835DAB"/>
    <w:rsid w:val="008401AE"/>
    <w:rsid w:val="00841C25"/>
    <w:rsid w:val="00842ED6"/>
    <w:rsid w:val="00843767"/>
    <w:rsid w:val="00845A2E"/>
    <w:rsid w:val="00850E4E"/>
    <w:rsid w:val="00853189"/>
    <w:rsid w:val="00853F90"/>
    <w:rsid w:val="00857C43"/>
    <w:rsid w:val="0086007B"/>
    <w:rsid w:val="00864338"/>
    <w:rsid w:val="0086715C"/>
    <w:rsid w:val="008679D9"/>
    <w:rsid w:val="00867F0B"/>
    <w:rsid w:val="008723BE"/>
    <w:rsid w:val="00874303"/>
    <w:rsid w:val="00876DF3"/>
    <w:rsid w:val="0087729E"/>
    <w:rsid w:val="008844BE"/>
    <w:rsid w:val="00891D98"/>
    <w:rsid w:val="00897526"/>
    <w:rsid w:val="008979B1"/>
    <w:rsid w:val="008A0F57"/>
    <w:rsid w:val="008A1DB2"/>
    <w:rsid w:val="008A6B25"/>
    <w:rsid w:val="008A6C4F"/>
    <w:rsid w:val="008A775F"/>
    <w:rsid w:val="008B22CD"/>
    <w:rsid w:val="008B2335"/>
    <w:rsid w:val="008B72F9"/>
    <w:rsid w:val="008C0403"/>
    <w:rsid w:val="008C12BB"/>
    <w:rsid w:val="008C33E8"/>
    <w:rsid w:val="008C6912"/>
    <w:rsid w:val="008D1129"/>
    <w:rsid w:val="008D1D93"/>
    <w:rsid w:val="008D2557"/>
    <w:rsid w:val="008D44A4"/>
    <w:rsid w:val="008D4603"/>
    <w:rsid w:val="008D60EC"/>
    <w:rsid w:val="008E0678"/>
    <w:rsid w:val="008E069A"/>
    <w:rsid w:val="008E1C81"/>
    <w:rsid w:val="008E2493"/>
    <w:rsid w:val="008E35BE"/>
    <w:rsid w:val="008F0A61"/>
    <w:rsid w:val="008F18B3"/>
    <w:rsid w:val="008F2383"/>
    <w:rsid w:val="008F27F7"/>
    <w:rsid w:val="008F6B09"/>
    <w:rsid w:val="008F7D14"/>
    <w:rsid w:val="0090228D"/>
    <w:rsid w:val="00903000"/>
    <w:rsid w:val="009032F1"/>
    <w:rsid w:val="00905E0F"/>
    <w:rsid w:val="00907147"/>
    <w:rsid w:val="009106DF"/>
    <w:rsid w:val="00910F40"/>
    <w:rsid w:val="009126D8"/>
    <w:rsid w:val="00912C08"/>
    <w:rsid w:val="00915CB0"/>
    <w:rsid w:val="009204D6"/>
    <w:rsid w:val="009223CA"/>
    <w:rsid w:val="009229F2"/>
    <w:rsid w:val="00922D2D"/>
    <w:rsid w:val="0092453C"/>
    <w:rsid w:val="00931D25"/>
    <w:rsid w:val="009329E1"/>
    <w:rsid w:val="00932A39"/>
    <w:rsid w:val="0093555C"/>
    <w:rsid w:val="00936BF8"/>
    <w:rsid w:val="00937ECD"/>
    <w:rsid w:val="00940550"/>
    <w:rsid w:val="009407CB"/>
    <w:rsid w:val="00940B00"/>
    <w:rsid w:val="00940F93"/>
    <w:rsid w:val="00942FB2"/>
    <w:rsid w:val="00947C02"/>
    <w:rsid w:val="00951912"/>
    <w:rsid w:val="009526F1"/>
    <w:rsid w:val="00952C63"/>
    <w:rsid w:val="0095347F"/>
    <w:rsid w:val="00956CD6"/>
    <w:rsid w:val="00957283"/>
    <w:rsid w:val="0096758E"/>
    <w:rsid w:val="0097043C"/>
    <w:rsid w:val="00970686"/>
    <w:rsid w:val="00972A9C"/>
    <w:rsid w:val="009732F1"/>
    <w:rsid w:val="0097330D"/>
    <w:rsid w:val="00973728"/>
    <w:rsid w:val="00975712"/>
    <w:rsid w:val="009760F3"/>
    <w:rsid w:val="00976436"/>
    <w:rsid w:val="0097661B"/>
    <w:rsid w:val="00977B17"/>
    <w:rsid w:val="0099032B"/>
    <w:rsid w:val="009909F5"/>
    <w:rsid w:val="00991CED"/>
    <w:rsid w:val="00992FCA"/>
    <w:rsid w:val="00994FB9"/>
    <w:rsid w:val="009A0250"/>
    <w:rsid w:val="009A0E8D"/>
    <w:rsid w:val="009A3B92"/>
    <w:rsid w:val="009A4944"/>
    <w:rsid w:val="009A5BE4"/>
    <w:rsid w:val="009B2698"/>
    <w:rsid w:val="009B26E7"/>
    <w:rsid w:val="009B386F"/>
    <w:rsid w:val="009C0696"/>
    <w:rsid w:val="009C1E64"/>
    <w:rsid w:val="009C2CB8"/>
    <w:rsid w:val="009C3E52"/>
    <w:rsid w:val="009C41B0"/>
    <w:rsid w:val="009D3437"/>
    <w:rsid w:val="009E104D"/>
    <w:rsid w:val="009E1B48"/>
    <w:rsid w:val="009E2049"/>
    <w:rsid w:val="009E34A3"/>
    <w:rsid w:val="009E3712"/>
    <w:rsid w:val="009E4C3D"/>
    <w:rsid w:val="009E4F8D"/>
    <w:rsid w:val="009E58E0"/>
    <w:rsid w:val="009F07C9"/>
    <w:rsid w:val="00A00A3F"/>
    <w:rsid w:val="00A00B07"/>
    <w:rsid w:val="00A01489"/>
    <w:rsid w:val="00A01ADC"/>
    <w:rsid w:val="00A03A6D"/>
    <w:rsid w:val="00A03B36"/>
    <w:rsid w:val="00A10CAB"/>
    <w:rsid w:val="00A11ED7"/>
    <w:rsid w:val="00A156BB"/>
    <w:rsid w:val="00A2097A"/>
    <w:rsid w:val="00A227D4"/>
    <w:rsid w:val="00A256FE"/>
    <w:rsid w:val="00A25CCF"/>
    <w:rsid w:val="00A3187D"/>
    <w:rsid w:val="00A333C6"/>
    <w:rsid w:val="00A338F1"/>
    <w:rsid w:val="00A34E78"/>
    <w:rsid w:val="00A4082D"/>
    <w:rsid w:val="00A4091F"/>
    <w:rsid w:val="00A422CC"/>
    <w:rsid w:val="00A42C88"/>
    <w:rsid w:val="00A43858"/>
    <w:rsid w:val="00A4458C"/>
    <w:rsid w:val="00A44615"/>
    <w:rsid w:val="00A46683"/>
    <w:rsid w:val="00A46DEF"/>
    <w:rsid w:val="00A51647"/>
    <w:rsid w:val="00A51905"/>
    <w:rsid w:val="00A541B5"/>
    <w:rsid w:val="00A70D58"/>
    <w:rsid w:val="00A72F22"/>
    <w:rsid w:val="00A7360F"/>
    <w:rsid w:val="00A7382C"/>
    <w:rsid w:val="00A748A6"/>
    <w:rsid w:val="00A76440"/>
    <w:rsid w:val="00A769F4"/>
    <w:rsid w:val="00A7731F"/>
    <w:rsid w:val="00A776B4"/>
    <w:rsid w:val="00A776DB"/>
    <w:rsid w:val="00A81793"/>
    <w:rsid w:val="00A8602C"/>
    <w:rsid w:val="00A87F46"/>
    <w:rsid w:val="00A931FD"/>
    <w:rsid w:val="00A9399F"/>
    <w:rsid w:val="00A94361"/>
    <w:rsid w:val="00A95820"/>
    <w:rsid w:val="00A97C12"/>
    <w:rsid w:val="00AA256C"/>
    <w:rsid w:val="00AA293C"/>
    <w:rsid w:val="00AA3C75"/>
    <w:rsid w:val="00AA4180"/>
    <w:rsid w:val="00AA4DB4"/>
    <w:rsid w:val="00AA681F"/>
    <w:rsid w:val="00AB0F36"/>
    <w:rsid w:val="00AB2809"/>
    <w:rsid w:val="00AB2CEB"/>
    <w:rsid w:val="00AB70D0"/>
    <w:rsid w:val="00AC31CC"/>
    <w:rsid w:val="00AC4100"/>
    <w:rsid w:val="00AD0205"/>
    <w:rsid w:val="00AE17C2"/>
    <w:rsid w:val="00AE30FA"/>
    <w:rsid w:val="00AE7960"/>
    <w:rsid w:val="00AF0154"/>
    <w:rsid w:val="00AF1734"/>
    <w:rsid w:val="00AF2119"/>
    <w:rsid w:val="00AF29B9"/>
    <w:rsid w:val="00AF753E"/>
    <w:rsid w:val="00AF79E2"/>
    <w:rsid w:val="00B04197"/>
    <w:rsid w:val="00B041A9"/>
    <w:rsid w:val="00B053D5"/>
    <w:rsid w:val="00B10DD9"/>
    <w:rsid w:val="00B114F0"/>
    <w:rsid w:val="00B13E9B"/>
    <w:rsid w:val="00B14921"/>
    <w:rsid w:val="00B14DA6"/>
    <w:rsid w:val="00B15596"/>
    <w:rsid w:val="00B15A03"/>
    <w:rsid w:val="00B236A2"/>
    <w:rsid w:val="00B238B1"/>
    <w:rsid w:val="00B24C6B"/>
    <w:rsid w:val="00B30179"/>
    <w:rsid w:val="00B32150"/>
    <w:rsid w:val="00B339A7"/>
    <w:rsid w:val="00B33FC9"/>
    <w:rsid w:val="00B37A97"/>
    <w:rsid w:val="00B4255B"/>
    <w:rsid w:val="00B46F4D"/>
    <w:rsid w:val="00B56091"/>
    <w:rsid w:val="00B56E4A"/>
    <w:rsid w:val="00B56E9C"/>
    <w:rsid w:val="00B61A0F"/>
    <w:rsid w:val="00B63021"/>
    <w:rsid w:val="00B63EED"/>
    <w:rsid w:val="00B646B0"/>
    <w:rsid w:val="00B64B1F"/>
    <w:rsid w:val="00B6553F"/>
    <w:rsid w:val="00B66E5E"/>
    <w:rsid w:val="00B707A6"/>
    <w:rsid w:val="00B70A71"/>
    <w:rsid w:val="00B70EE8"/>
    <w:rsid w:val="00B7180C"/>
    <w:rsid w:val="00B72042"/>
    <w:rsid w:val="00B7394C"/>
    <w:rsid w:val="00B77D05"/>
    <w:rsid w:val="00B77D93"/>
    <w:rsid w:val="00B81206"/>
    <w:rsid w:val="00B81E12"/>
    <w:rsid w:val="00B8250D"/>
    <w:rsid w:val="00B84664"/>
    <w:rsid w:val="00B84F82"/>
    <w:rsid w:val="00B87BCB"/>
    <w:rsid w:val="00B901FC"/>
    <w:rsid w:val="00B9067B"/>
    <w:rsid w:val="00B90A8D"/>
    <w:rsid w:val="00B94F58"/>
    <w:rsid w:val="00BA037A"/>
    <w:rsid w:val="00BA1549"/>
    <w:rsid w:val="00BA1E1F"/>
    <w:rsid w:val="00BA2AE3"/>
    <w:rsid w:val="00BA2FDB"/>
    <w:rsid w:val="00BA5CAE"/>
    <w:rsid w:val="00BA5EE8"/>
    <w:rsid w:val="00BA650A"/>
    <w:rsid w:val="00BA779C"/>
    <w:rsid w:val="00BB08FB"/>
    <w:rsid w:val="00BB1195"/>
    <w:rsid w:val="00BB303F"/>
    <w:rsid w:val="00BB3047"/>
    <w:rsid w:val="00BC0964"/>
    <w:rsid w:val="00BC1127"/>
    <w:rsid w:val="00BC2C23"/>
    <w:rsid w:val="00BC74E9"/>
    <w:rsid w:val="00BD3161"/>
    <w:rsid w:val="00BD3CCC"/>
    <w:rsid w:val="00BD7CF6"/>
    <w:rsid w:val="00BE1811"/>
    <w:rsid w:val="00BE297A"/>
    <w:rsid w:val="00BE3B03"/>
    <w:rsid w:val="00BE5B3E"/>
    <w:rsid w:val="00BF3954"/>
    <w:rsid w:val="00BF43D7"/>
    <w:rsid w:val="00BF476D"/>
    <w:rsid w:val="00BF68A8"/>
    <w:rsid w:val="00C01578"/>
    <w:rsid w:val="00C01AEE"/>
    <w:rsid w:val="00C02C4B"/>
    <w:rsid w:val="00C04F32"/>
    <w:rsid w:val="00C05F42"/>
    <w:rsid w:val="00C11A03"/>
    <w:rsid w:val="00C11FDF"/>
    <w:rsid w:val="00C173AE"/>
    <w:rsid w:val="00C2360E"/>
    <w:rsid w:val="00C26FC0"/>
    <w:rsid w:val="00C3404B"/>
    <w:rsid w:val="00C37954"/>
    <w:rsid w:val="00C463DD"/>
    <w:rsid w:val="00C4724C"/>
    <w:rsid w:val="00C505C1"/>
    <w:rsid w:val="00C50808"/>
    <w:rsid w:val="00C51AA5"/>
    <w:rsid w:val="00C53C80"/>
    <w:rsid w:val="00C54A1B"/>
    <w:rsid w:val="00C55040"/>
    <w:rsid w:val="00C56448"/>
    <w:rsid w:val="00C56C38"/>
    <w:rsid w:val="00C61A80"/>
    <w:rsid w:val="00C629A0"/>
    <w:rsid w:val="00C63883"/>
    <w:rsid w:val="00C65F24"/>
    <w:rsid w:val="00C67C01"/>
    <w:rsid w:val="00C73104"/>
    <w:rsid w:val="00C745C3"/>
    <w:rsid w:val="00C767DA"/>
    <w:rsid w:val="00C77965"/>
    <w:rsid w:val="00C8039C"/>
    <w:rsid w:val="00C83FAD"/>
    <w:rsid w:val="00C84455"/>
    <w:rsid w:val="00C8488B"/>
    <w:rsid w:val="00C86583"/>
    <w:rsid w:val="00C869D0"/>
    <w:rsid w:val="00C87D1C"/>
    <w:rsid w:val="00C9018D"/>
    <w:rsid w:val="00C90A6F"/>
    <w:rsid w:val="00C95953"/>
    <w:rsid w:val="00C97648"/>
    <w:rsid w:val="00C97E3D"/>
    <w:rsid w:val="00CA0B3F"/>
    <w:rsid w:val="00CA1C55"/>
    <w:rsid w:val="00CA24D2"/>
    <w:rsid w:val="00CA51EA"/>
    <w:rsid w:val="00CA6AA5"/>
    <w:rsid w:val="00CA7483"/>
    <w:rsid w:val="00CB2297"/>
    <w:rsid w:val="00CB6DA1"/>
    <w:rsid w:val="00CC09DF"/>
    <w:rsid w:val="00CC2095"/>
    <w:rsid w:val="00CC2514"/>
    <w:rsid w:val="00CC3014"/>
    <w:rsid w:val="00CC4FBE"/>
    <w:rsid w:val="00CC6438"/>
    <w:rsid w:val="00CC66C5"/>
    <w:rsid w:val="00CC7704"/>
    <w:rsid w:val="00CD3B75"/>
    <w:rsid w:val="00CD3ED9"/>
    <w:rsid w:val="00CD4FD6"/>
    <w:rsid w:val="00CD606E"/>
    <w:rsid w:val="00CD750E"/>
    <w:rsid w:val="00CE0144"/>
    <w:rsid w:val="00CE0D7F"/>
    <w:rsid w:val="00CE4A8F"/>
    <w:rsid w:val="00CF166B"/>
    <w:rsid w:val="00CF3A0C"/>
    <w:rsid w:val="00CF3EB1"/>
    <w:rsid w:val="00CF4E53"/>
    <w:rsid w:val="00CF4EB1"/>
    <w:rsid w:val="00CF5338"/>
    <w:rsid w:val="00D01290"/>
    <w:rsid w:val="00D01F8E"/>
    <w:rsid w:val="00D04AC9"/>
    <w:rsid w:val="00D06902"/>
    <w:rsid w:val="00D1022C"/>
    <w:rsid w:val="00D1027C"/>
    <w:rsid w:val="00D105FD"/>
    <w:rsid w:val="00D12571"/>
    <w:rsid w:val="00D2030A"/>
    <w:rsid w:val="00D2031B"/>
    <w:rsid w:val="00D20E1F"/>
    <w:rsid w:val="00D240B9"/>
    <w:rsid w:val="00D25FE2"/>
    <w:rsid w:val="00D312A8"/>
    <w:rsid w:val="00D37FC9"/>
    <w:rsid w:val="00D401AC"/>
    <w:rsid w:val="00D40985"/>
    <w:rsid w:val="00D43252"/>
    <w:rsid w:val="00D44B22"/>
    <w:rsid w:val="00D45F44"/>
    <w:rsid w:val="00D47137"/>
    <w:rsid w:val="00D47EEA"/>
    <w:rsid w:val="00D55A86"/>
    <w:rsid w:val="00D55D45"/>
    <w:rsid w:val="00D57508"/>
    <w:rsid w:val="00D61B44"/>
    <w:rsid w:val="00D629CE"/>
    <w:rsid w:val="00D63B56"/>
    <w:rsid w:val="00D701CD"/>
    <w:rsid w:val="00D71A1E"/>
    <w:rsid w:val="00D71EAB"/>
    <w:rsid w:val="00D7231A"/>
    <w:rsid w:val="00D76C24"/>
    <w:rsid w:val="00D77BFB"/>
    <w:rsid w:val="00D832C8"/>
    <w:rsid w:val="00D90505"/>
    <w:rsid w:val="00D9194B"/>
    <w:rsid w:val="00D92A50"/>
    <w:rsid w:val="00D95303"/>
    <w:rsid w:val="00D97604"/>
    <w:rsid w:val="00D978C6"/>
    <w:rsid w:val="00DA19A9"/>
    <w:rsid w:val="00DA2BA5"/>
    <w:rsid w:val="00DA2E85"/>
    <w:rsid w:val="00DA3111"/>
    <w:rsid w:val="00DA3C1C"/>
    <w:rsid w:val="00DA41E6"/>
    <w:rsid w:val="00DA48B0"/>
    <w:rsid w:val="00DB0C79"/>
    <w:rsid w:val="00DB2AA6"/>
    <w:rsid w:val="00DB4089"/>
    <w:rsid w:val="00DB63DA"/>
    <w:rsid w:val="00DB76BB"/>
    <w:rsid w:val="00DB7AC2"/>
    <w:rsid w:val="00DC151E"/>
    <w:rsid w:val="00DC385B"/>
    <w:rsid w:val="00DC66A5"/>
    <w:rsid w:val="00DD17C9"/>
    <w:rsid w:val="00DD40AC"/>
    <w:rsid w:val="00DD66EA"/>
    <w:rsid w:val="00DD7EC3"/>
    <w:rsid w:val="00DE247D"/>
    <w:rsid w:val="00DE40B6"/>
    <w:rsid w:val="00DF120A"/>
    <w:rsid w:val="00DF491F"/>
    <w:rsid w:val="00DF6DEC"/>
    <w:rsid w:val="00E00195"/>
    <w:rsid w:val="00E0224F"/>
    <w:rsid w:val="00E11310"/>
    <w:rsid w:val="00E12CCE"/>
    <w:rsid w:val="00E20C9C"/>
    <w:rsid w:val="00E2127B"/>
    <w:rsid w:val="00E215AA"/>
    <w:rsid w:val="00E27346"/>
    <w:rsid w:val="00E304F1"/>
    <w:rsid w:val="00E3074E"/>
    <w:rsid w:val="00E31517"/>
    <w:rsid w:val="00E3193A"/>
    <w:rsid w:val="00E34A10"/>
    <w:rsid w:val="00E446A0"/>
    <w:rsid w:val="00E45149"/>
    <w:rsid w:val="00E45683"/>
    <w:rsid w:val="00E5122F"/>
    <w:rsid w:val="00E51CA6"/>
    <w:rsid w:val="00E528B6"/>
    <w:rsid w:val="00E60098"/>
    <w:rsid w:val="00E6182F"/>
    <w:rsid w:val="00E62147"/>
    <w:rsid w:val="00E64B8F"/>
    <w:rsid w:val="00E669A1"/>
    <w:rsid w:val="00E71BC8"/>
    <w:rsid w:val="00E7260F"/>
    <w:rsid w:val="00E779FC"/>
    <w:rsid w:val="00E830EB"/>
    <w:rsid w:val="00E8344E"/>
    <w:rsid w:val="00E939B5"/>
    <w:rsid w:val="00E96630"/>
    <w:rsid w:val="00E97549"/>
    <w:rsid w:val="00E97B67"/>
    <w:rsid w:val="00E97FBD"/>
    <w:rsid w:val="00EA37E5"/>
    <w:rsid w:val="00EA3F26"/>
    <w:rsid w:val="00EA455A"/>
    <w:rsid w:val="00EA590C"/>
    <w:rsid w:val="00EB0E34"/>
    <w:rsid w:val="00EB2581"/>
    <w:rsid w:val="00EB2945"/>
    <w:rsid w:val="00EB324F"/>
    <w:rsid w:val="00EC31C1"/>
    <w:rsid w:val="00EC7901"/>
    <w:rsid w:val="00EC7C4D"/>
    <w:rsid w:val="00ED0A98"/>
    <w:rsid w:val="00ED125B"/>
    <w:rsid w:val="00ED2523"/>
    <w:rsid w:val="00ED295F"/>
    <w:rsid w:val="00ED4EB0"/>
    <w:rsid w:val="00ED6E5D"/>
    <w:rsid w:val="00ED7A2A"/>
    <w:rsid w:val="00ED7CD3"/>
    <w:rsid w:val="00EE0C05"/>
    <w:rsid w:val="00EE335F"/>
    <w:rsid w:val="00EE5985"/>
    <w:rsid w:val="00EE6FC6"/>
    <w:rsid w:val="00EF104B"/>
    <w:rsid w:val="00EF1201"/>
    <w:rsid w:val="00EF1D7F"/>
    <w:rsid w:val="00EF33F0"/>
    <w:rsid w:val="00EF4052"/>
    <w:rsid w:val="00EF4380"/>
    <w:rsid w:val="00EF4ADD"/>
    <w:rsid w:val="00EF61DD"/>
    <w:rsid w:val="00EF6E96"/>
    <w:rsid w:val="00F020AB"/>
    <w:rsid w:val="00F02625"/>
    <w:rsid w:val="00F0314D"/>
    <w:rsid w:val="00F04177"/>
    <w:rsid w:val="00F04D7A"/>
    <w:rsid w:val="00F12010"/>
    <w:rsid w:val="00F13179"/>
    <w:rsid w:val="00F16556"/>
    <w:rsid w:val="00F20C3D"/>
    <w:rsid w:val="00F21D25"/>
    <w:rsid w:val="00F23A99"/>
    <w:rsid w:val="00F24FD3"/>
    <w:rsid w:val="00F3015F"/>
    <w:rsid w:val="00F34B24"/>
    <w:rsid w:val="00F405A9"/>
    <w:rsid w:val="00F42D4E"/>
    <w:rsid w:val="00F43E9E"/>
    <w:rsid w:val="00F47862"/>
    <w:rsid w:val="00F554CD"/>
    <w:rsid w:val="00F61876"/>
    <w:rsid w:val="00F63764"/>
    <w:rsid w:val="00F653B0"/>
    <w:rsid w:val="00F67DC6"/>
    <w:rsid w:val="00F71FCF"/>
    <w:rsid w:val="00F736FF"/>
    <w:rsid w:val="00F776FF"/>
    <w:rsid w:val="00F837FF"/>
    <w:rsid w:val="00F85EC9"/>
    <w:rsid w:val="00F86A3C"/>
    <w:rsid w:val="00F9057C"/>
    <w:rsid w:val="00F906D7"/>
    <w:rsid w:val="00F9110A"/>
    <w:rsid w:val="00F93781"/>
    <w:rsid w:val="00F94CF8"/>
    <w:rsid w:val="00FA14DE"/>
    <w:rsid w:val="00FA222B"/>
    <w:rsid w:val="00FA280B"/>
    <w:rsid w:val="00FA3050"/>
    <w:rsid w:val="00FA67D9"/>
    <w:rsid w:val="00FA6B16"/>
    <w:rsid w:val="00FA6E37"/>
    <w:rsid w:val="00FB17C7"/>
    <w:rsid w:val="00FB2382"/>
    <w:rsid w:val="00FB2C9C"/>
    <w:rsid w:val="00FB613B"/>
    <w:rsid w:val="00FB61EE"/>
    <w:rsid w:val="00FC10AD"/>
    <w:rsid w:val="00FC68B7"/>
    <w:rsid w:val="00FD10BA"/>
    <w:rsid w:val="00FD1C6E"/>
    <w:rsid w:val="00FD1F65"/>
    <w:rsid w:val="00FD3F74"/>
    <w:rsid w:val="00FD732A"/>
    <w:rsid w:val="00FE0243"/>
    <w:rsid w:val="00FE106A"/>
    <w:rsid w:val="00FE241C"/>
    <w:rsid w:val="00FF3061"/>
    <w:rsid w:val="00FF30BF"/>
    <w:rsid w:val="00FF4D7A"/>
    <w:rsid w:val="00FF53E2"/>
    <w:rsid w:val="00FF7A8F"/>
    <w:rsid w:val="00FF7D0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E776452-209F-4E0A-ABE1-AC9735BB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187F8A"/>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187F8A"/>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FA222B"/>
    <w:rPr>
      <w:rFonts w:eastAsia="SimSun"/>
      <w:sz w:val="18"/>
      <w:lang w:val="en-GB" w:eastAsia="zh-CN"/>
    </w:rPr>
  </w:style>
  <w:style w:type="character" w:customStyle="1" w:styleId="SingleTxtGChar">
    <w:name w:val="_ Single Txt_G Char"/>
    <w:link w:val="SingleTxtG"/>
    <w:rsid w:val="00FA222B"/>
    <w:rPr>
      <w:lang w:eastAsia="en-US"/>
    </w:rPr>
  </w:style>
  <w:style w:type="paragraph" w:styleId="BalloonText">
    <w:name w:val="Balloon Text"/>
    <w:basedOn w:val="Normal"/>
    <w:link w:val="BalloonTextChar"/>
    <w:rsid w:val="002D523B"/>
    <w:pPr>
      <w:spacing w:line="240" w:lineRule="auto"/>
    </w:pPr>
    <w:rPr>
      <w:rFonts w:ascii="Tahoma" w:hAnsi="Tahoma" w:cs="Tahoma"/>
      <w:sz w:val="16"/>
      <w:szCs w:val="16"/>
    </w:rPr>
  </w:style>
  <w:style w:type="character" w:customStyle="1" w:styleId="BalloonTextChar">
    <w:name w:val="Balloon Text Char"/>
    <w:link w:val="BalloonText"/>
    <w:rsid w:val="002D523B"/>
    <w:rPr>
      <w:rFonts w:ascii="Tahoma" w:hAnsi="Tahoma" w:cs="Tahoma"/>
      <w:sz w:val="16"/>
      <w:szCs w:val="16"/>
      <w:lang w:eastAsia="en-US"/>
    </w:rPr>
  </w:style>
  <w:style w:type="character" w:styleId="CommentReference">
    <w:name w:val="annotation reference"/>
    <w:basedOn w:val="DefaultParagraphFont"/>
    <w:rsid w:val="009E3712"/>
    <w:rPr>
      <w:sz w:val="16"/>
      <w:szCs w:val="16"/>
    </w:rPr>
  </w:style>
  <w:style w:type="paragraph" w:styleId="CommentText">
    <w:name w:val="annotation text"/>
    <w:basedOn w:val="Normal"/>
    <w:link w:val="CommentTextChar"/>
    <w:rsid w:val="009E3712"/>
  </w:style>
  <w:style w:type="character" w:customStyle="1" w:styleId="CommentTextChar">
    <w:name w:val="Comment Text Char"/>
    <w:basedOn w:val="DefaultParagraphFont"/>
    <w:link w:val="CommentText"/>
    <w:rsid w:val="009E3712"/>
    <w:rPr>
      <w:lang w:val="en-GB"/>
    </w:rPr>
  </w:style>
  <w:style w:type="paragraph" w:styleId="CommentSubject">
    <w:name w:val="annotation subject"/>
    <w:basedOn w:val="CommentText"/>
    <w:next w:val="CommentText"/>
    <w:link w:val="CommentSubjectChar"/>
    <w:rsid w:val="009E3712"/>
    <w:rPr>
      <w:b/>
      <w:bCs/>
    </w:rPr>
  </w:style>
  <w:style w:type="character" w:customStyle="1" w:styleId="CommentSubjectChar">
    <w:name w:val="Comment Subject Char"/>
    <w:basedOn w:val="CommentTextChar"/>
    <w:link w:val="CommentSubject"/>
    <w:rsid w:val="009E3712"/>
    <w:rPr>
      <w:b/>
      <w:bCs/>
      <w:lang w:val="en-GB"/>
    </w:rPr>
  </w:style>
  <w:style w:type="paragraph" w:styleId="Revision">
    <w:name w:val="Revision"/>
    <w:hidden/>
    <w:uiPriority w:val="71"/>
    <w:semiHidden/>
    <w:rsid w:val="00494C1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73979">
      <w:bodyDiv w:val="1"/>
      <w:marLeft w:val="0"/>
      <w:marRight w:val="0"/>
      <w:marTop w:val="0"/>
      <w:marBottom w:val="0"/>
      <w:divBdr>
        <w:top w:val="none" w:sz="0" w:space="0" w:color="auto"/>
        <w:left w:val="none" w:sz="0" w:space="0" w:color="auto"/>
        <w:bottom w:val="none" w:sz="0" w:space="0" w:color="auto"/>
        <w:right w:val="none" w:sz="0" w:space="0" w:color="auto"/>
      </w:divBdr>
    </w:div>
    <w:div w:id="969869738">
      <w:bodyDiv w:val="1"/>
      <w:marLeft w:val="0"/>
      <w:marRight w:val="0"/>
      <w:marTop w:val="0"/>
      <w:marBottom w:val="0"/>
      <w:divBdr>
        <w:top w:val="none" w:sz="0" w:space="0" w:color="auto"/>
        <w:left w:val="none" w:sz="0" w:space="0" w:color="auto"/>
        <w:bottom w:val="none" w:sz="0" w:space="0" w:color="auto"/>
        <w:right w:val="none" w:sz="0" w:space="0" w:color="auto"/>
      </w:divBdr>
    </w:div>
    <w:div w:id="1821849019">
      <w:bodyDiv w:val="1"/>
      <w:marLeft w:val="0"/>
      <w:marRight w:val="0"/>
      <w:marTop w:val="0"/>
      <w:marBottom w:val="0"/>
      <w:divBdr>
        <w:top w:val="none" w:sz="0" w:space="0" w:color="auto"/>
        <w:left w:val="none" w:sz="0" w:space="0" w:color="auto"/>
        <w:bottom w:val="none" w:sz="0" w:space="0" w:color="auto"/>
        <w:right w:val="none" w:sz="0" w:space="0" w:color="auto"/>
      </w:divBdr>
    </w:div>
    <w:div w:id="1991131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FDC2B10BE57D48A4924B8DFA32C76F" ma:contentTypeVersion="0" ma:contentTypeDescription="Create a new document." ma:contentTypeScope="" ma:versionID="f7d75df24e2811a4c55f6ad60dc4ca7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49D13-F380-4B91-A1CE-8D3DA9463C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0EF77-5AE2-4075-AF67-1A4E91F80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2F9682-E1B1-4D99-968C-71CD85C5EC0E}">
  <ds:schemaRefs>
    <ds:schemaRef ds:uri="http://schemas.microsoft.com/sharepoint/v3/contenttype/forms"/>
  </ds:schemaRefs>
</ds:datastoreItem>
</file>

<file path=customXml/itemProps4.xml><?xml version="1.0" encoding="utf-8"?>
<ds:datastoreItem xmlns:ds="http://schemas.openxmlformats.org/officeDocument/2006/customXml" ds:itemID="{1243759D-C305-4255-B34E-D5ACEB0C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12</Pages>
  <Words>6122</Words>
  <Characters>34899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1620383</vt:lpstr>
    </vt:vector>
  </TitlesOfParts>
  <Company>CSD</Company>
  <LinksUpToDate>false</LinksUpToDate>
  <CharactersWithSpaces>40940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1620383</dc:title>
  <dc:subject>CCPR/C/117/D/2462/2014</dc:subject>
  <dc:creator>Viktoria Saprykina-Houdemer</dc:creator>
  <cp:keywords/>
  <dc:description/>
  <cp:lastModifiedBy>Sarah Willig</cp:lastModifiedBy>
  <cp:revision>2</cp:revision>
  <cp:lastPrinted>2016-05-11T08:03:00Z</cp:lastPrinted>
  <dcterms:created xsi:type="dcterms:W3CDTF">2019-01-03T17:45:00Z</dcterms:created>
  <dcterms:modified xsi:type="dcterms:W3CDTF">2019-01-03T17:45:00Z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0x01010085FDC2B10BE57D48A4924B8DFA32C76F</vt:lpwstr>
  </property>
</Properties>
</file>