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07EBA" w:rsidTr="00B6553F">
        <w:trPr>
          <w:cantSplit/>
          <w:trHeight w:hRule="exact" w:val="851"/>
        </w:trPr>
        <w:tc>
          <w:tcPr>
            <w:tcW w:w="1276" w:type="dxa"/>
            <w:tcBorders>
              <w:bottom w:val="single" w:sz="4" w:space="0" w:color="auto"/>
            </w:tcBorders>
            <w:vAlign w:val="bottom"/>
          </w:tcPr>
          <w:p w:rsidR="00B56E9C" w:rsidRPr="007B14A0" w:rsidRDefault="00B56E9C" w:rsidP="00B6553F">
            <w:pPr>
              <w:spacing w:after="80"/>
            </w:pPr>
            <w:bookmarkStart w:id="0" w:name="_GoBack"/>
            <w:bookmarkEnd w:id="0"/>
          </w:p>
        </w:tc>
        <w:tc>
          <w:tcPr>
            <w:tcW w:w="2268" w:type="dxa"/>
            <w:tcBorders>
              <w:bottom w:val="single" w:sz="4" w:space="0" w:color="auto"/>
            </w:tcBorders>
            <w:vAlign w:val="bottom"/>
          </w:tcPr>
          <w:p w:rsidR="00B56E9C" w:rsidRPr="00E07EBA" w:rsidRDefault="00B56E9C" w:rsidP="00B6553F">
            <w:pPr>
              <w:spacing w:after="80" w:line="300" w:lineRule="exact"/>
              <w:rPr>
                <w:b/>
                <w:sz w:val="24"/>
                <w:szCs w:val="24"/>
              </w:rPr>
            </w:pPr>
            <w:r w:rsidRPr="00E07EBA">
              <w:rPr>
                <w:sz w:val="28"/>
                <w:szCs w:val="28"/>
              </w:rPr>
              <w:t>United Nations</w:t>
            </w:r>
          </w:p>
        </w:tc>
        <w:tc>
          <w:tcPr>
            <w:tcW w:w="6095" w:type="dxa"/>
            <w:gridSpan w:val="2"/>
            <w:tcBorders>
              <w:bottom w:val="single" w:sz="4" w:space="0" w:color="auto"/>
            </w:tcBorders>
            <w:vAlign w:val="bottom"/>
          </w:tcPr>
          <w:p w:rsidR="00B56E9C" w:rsidRPr="00E07EBA" w:rsidRDefault="008216A5" w:rsidP="00731946">
            <w:pPr>
              <w:jc w:val="right"/>
            </w:pPr>
            <w:r w:rsidRPr="00E07EBA">
              <w:rPr>
                <w:sz w:val="40"/>
              </w:rPr>
              <w:t>CCPR</w:t>
            </w:r>
            <w:r w:rsidRPr="00E07EBA">
              <w:t>/C/1</w:t>
            </w:r>
            <w:r w:rsidR="00711F00" w:rsidRPr="00E07EBA">
              <w:t>1</w:t>
            </w:r>
            <w:r w:rsidR="00FD002A" w:rsidRPr="00E07EBA">
              <w:t>7</w:t>
            </w:r>
            <w:r w:rsidRPr="00E07EBA">
              <w:t>/D/</w:t>
            </w:r>
            <w:r w:rsidR="00FD002A" w:rsidRPr="00E07EBA">
              <w:t>2469</w:t>
            </w:r>
            <w:r w:rsidRPr="00E07EBA">
              <w:t>/</w:t>
            </w:r>
            <w:r w:rsidR="00AE50CE" w:rsidRPr="00E07EBA">
              <w:t>20</w:t>
            </w:r>
            <w:r w:rsidR="00540F02" w:rsidRPr="00E07EBA">
              <w:t>1</w:t>
            </w:r>
            <w:r w:rsidR="0003383A" w:rsidRPr="00E07EBA">
              <w:t>4</w:t>
            </w:r>
          </w:p>
        </w:tc>
      </w:tr>
      <w:tr w:rsidR="00B56E9C" w:rsidRPr="00E07EBA" w:rsidTr="00B6553F">
        <w:trPr>
          <w:cantSplit/>
          <w:trHeight w:hRule="exact" w:val="2835"/>
        </w:trPr>
        <w:tc>
          <w:tcPr>
            <w:tcW w:w="1276" w:type="dxa"/>
            <w:tcBorders>
              <w:top w:val="single" w:sz="4" w:space="0" w:color="auto"/>
              <w:bottom w:val="single" w:sz="12" w:space="0" w:color="auto"/>
            </w:tcBorders>
          </w:tcPr>
          <w:p w:rsidR="00B56E9C" w:rsidRPr="00E07EBA" w:rsidRDefault="00484A40" w:rsidP="00B6553F">
            <w:pPr>
              <w:spacing w:before="120"/>
            </w:pPr>
            <w:r w:rsidRPr="00E07EBA">
              <w:rPr>
                <w:noProof/>
                <w:lang w:val="en-US"/>
              </w:rPr>
              <w:drawing>
                <wp:inline distT="0" distB="0" distL="0" distR="0" wp14:anchorId="65761082" wp14:editId="7D64285C">
                  <wp:extent cx="713105" cy="598805"/>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105" cy="59880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E7513" w:rsidRPr="00E07EBA" w:rsidRDefault="00B56E9C" w:rsidP="00267F5F">
            <w:pPr>
              <w:spacing w:before="120" w:line="380" w:lineRule="exact"/>
              <w:rPr>
                <w:b/>
                <w:sz w:val="34"/>
                <w:szCs w:val="40"/>
              </w:rPr>
            </w:pPr>
            <w:r w:rsidRPr="00E07EBA">
              <w:rPr>
                <w:b/>
                <w:sz w:val="34"/>
                <w:szCs w:val="40"/>
              </w:rPr>
              <w:t xml:space="preserve">International </w:t>
            </w:r>
            <w:r w:rsidR="00060C3A" w:rsidRPr="00E07EBA">
              <w:rPr>
                <w:b/>
                <w:sz w:val="34"/>
                <w:szCs w:val="40"/>
              </w:rPr>
              <w:t>Covenant on</w:t>
            </w:r>
            <w:r w:rsidR="00060C3A" w:rsidRPr="00E07EBA">
              <w:rPr>
                <w:b/>
                <w:sz w:val="34"/>
                <w:szCs w:val="40"/>
              </w:rPr>
              <w:br/>
              <w:t>Civil and Political R</w:t>
            </w:r>
            <w:r w:rsidR="00703577" w:rsidRPr="00E07EBA">
              <w:rPr>
                <w:b/>
                <w:sz w:val="34"/>
                <w:szCs w:val="40"/>
              </w:rPr>
              <w:t>ights</w:t>
            </w:r>
          </w:p>
        </w:tc>
        <w:tc>
          <w:tcPr>
            <w:tcW w:w="2835" w:type="dxa"/>
            <w:tcBorders>
              <w:top w:val="single" w:sz="4" w:space="0" w:color="auto"/>
              <w:bottom w:val="single" w:sz="12" w:space="0" w:color="auto"/>
            </w:tcBorders>
          </w:tcPr>
          <w:p w:rsidR="00B56E9C" w:rsidRPr="00E07EBA" w:rsidRDefault="008216A5" w:rsidP="008216A5">
            <w:pPr>
              <w:spacing w:before="240" w:line="240" w:lineRule="exact"/>
            </w:pPr>
            <w:r w:rsidRPr="00E07EBA">
              <w:t xml:space="preserve">Distr.: </w:t>
            </w:r>
            <w:r w:rsidR="001147E8" w:rsidRPr="00E07EBA">
              <w:t>General</w:t>
            </w:r>
          </w:p>
          <w:p w:rsidR="008216A5" w:rsidRPr="00E07EBA" w:rsidRDefault="00403F4E" w:rsidP="00403F4E">
            <w:pPr>
              <w:spacing w:line="240" w:lineRule="exact"/>
            </w:pPr>
            <w:r w:rsidRPr="00F90716">
              <w:t xml:space="preserve">9 September </w:t>
            </w:r>
            <w:r w:rsidR="00C663E1" w:rsidRPr="00F90716">
              <w:t>2016</w:t>
            </w:r>
          </w:p>
          <w:p w:rsidR="008216A5" w:rsidRPr="00E07EBA" w:rsidRDefault="008216A5" w:rsidP="008216A5">
            <w:pPr>
              <w:spacing w:line="240" w:lineRule="exact"/>
            </w:pPr>
          </w:p>
          <w:p w:rsidR="008216A5" w:rsidRPr="00E07EBA" w:rsidRDefault="008216A5" w:rsidP="008216A5">
            <w:pPr>
              <w:spacing w:line="240" w:lineRule="exact"/>
            </w:pPr>
            <w:r w:rsidRPr="00E07EBA">
              <w:t>Original: English</w:t>
            </w:r>
          </w:p>
          <w:p w:rsidR="008A16B6" w:rsidRPr="00E07EBA" w:rsidRDefault="008A16B6" w:rsidP="008216A5">
            <w:pPr>
              <w:spacing w:line="240" w:lineRule="exact"/>
            </w:pPr>
          </w:p>
        </w:tc>
      </w:tr>
    </w:tbl>
    <w:p w:rsidR="00484A40" w:rsidRPr="00E07EBA" w:rsidRDefault="00484A40" w:rsidP="00485130">
      <w:pPr>
        <w:spacing w:before="100"/>
        <w:rPr>
          <w:b/>
          <w:sz w:val="24"/>
          <w:szCs w:val="24"/>
        </w:rPr>
      </w:pPr>
      <w:r w:rsidRPr="00E07EBA">
        <w:rPr>
          <w:b/>
          <w:sz w:val="24"/>
          <w:szCs w:val="24"/>
        </w:rPr>
        <w:t>Human Rights Committee</w:t>
      </w:r>
    </w:p>
    <w:p w:rsidR="00266AB4" w:rsidRPr="00F90716" w:rsidRDefault="003134AC" w:rsidP="0018753A">
      <w:pPr>
        <w:pStyle w:val="H1G"/>
        <w:rPr>
          <w:b w:val="0"/>
          <w:sz w:val="20"/>
        </w:rPr>
      </w:pPr>
      <w:r w:rsidRPr="00F90716">
        <w:rPr>
          <w:sz w:val="28"/>
          <w:szCs w:val="28"/>
        </w:rPr>
        <w:tab/>
      </w:r>
      <w:r w:rsidRPr="00F90716">
        <w:rPr>
          <w:sz w:val="28"/>
          <w:szCs w:val="28"/>
        </w:rPr>
        <w:tab/>
      </w:r>
      <w:r w:rsidR="001147E8" w:rsidRPr="00F90716">
        <w:rPr>
          <w:sz w:val="28"/>
          <w:szCs w:val="28"/>
        </w:rPr>
        <w:t xml:space="preserve">Views adopted by the Committee under article 5(4) of the Optional Protocol, concerning communication </w:t>
      </w:r>
      <w:r w:rsidR="007B14A0" w:rsidRPr="00E07EBA">
        <w:rPr>
          <w:sz w:val="28"/>
          <w:szCs w:val="28"/>
        </w:rPr>
        <w:br/>
      </w:r>
      <w:r w:rsidR="001147E8" w:rsidRPr="00F90716">
        <w:rPr>
          <w:sz w:val="28"/>
          <w:szCs w:val="28"/>
        </w:rPr>
        <w:t>No. 2469/2014</w:t>
      </w:r>
      <w:r w:rsidR="001147E8" w:rsidRPr="00F90716">
        <w:rPr>
          <w:rStyle w:val="FootnoteReference"/>
          <w:b w:val="0"/>
          <w:bCs/>
          <w:sz w:val="20"/>
          <w:vertAlign w:val="baseline"/>
        </w:rPr>
        <w:footnoteReference w:customMarkFollows="1" w:id="2"/>
        <w:t>*</w:t>
      </w:r>
      <w:r w:rsidR="001147E8" w:rsidRPr="00F90716">
        <w:rPr>
          <w:b w:val="0"/>
          <w:position w:val="4"/>
          <w:sz w:val="20"/>
        </w:rPr>
        <w:t>,</w:t>
      </w:r>
      <w:r w:rsidR="001147E8" w:rsidRPr="00F90716">
        <w:rPr>
          <w:b w:val="0"/>
          <w:sz w:val="20"/>
        </w:rPr>
        <w:t xml:space="preserve"> </w:t>
      </w:r>
      <w:r w:rsidR="001147E8" w:rsidRPr="00F90716">
        <w:rPr>
          <w:rStyle w:val="FootnoteReference"/>
          <w:b w:val="0"/>
          <w:bCs/>
          <w:sz w:val="20"/>
          <w:vertAlign w:val="baseline"/>
        </w:rPr>
        <w:footnoteReference w:customMarkFollows="1" w:id="3"/>
        <w:t>**</w:t>
      </w:r>
      <w:r w:rsidR="00F90716">
        <w:rPr>
          <w:b w:val="0"/>
          <w:bCs/>
          <w:sz w:val="20"/>
        </w:rPr>
        <w:t xml:space="preserve"> </w:t>
      </w:r>
    </w:p>
    <w:p w:rsidR="003134AC" w:rsidRPr="00E07EBA" w:rsidRDefault="007B14A0" w:rsidP="00F90716">
      <w:pPr>
        <w:pStyle w:val="SingleTxtG"/>
        <w:ind w:left="4536" w:hanging="3402"/>
        <w:jc w:val="left"/>
      </w:pPr>
      <w:r w:rsidRPr="00F90716">
        <w:rPr>
          <w:i/>
          <w:iCs/>
          <w:sz w:val="24"/>
          <w:lang w:val="en-GB"/>
        </w:rPr>
        <w:t xml:space="preserve">Communication </w:t>
      </w:r>
      <w:r w:rsidRPr="00F90716">
        <w:rPr>
          <w:i/>
          <w:iCs/>
          <w:lang w:val="en-GB"/>
        </w:rPr>
        <w:t>s</w:t>
      </w:r>
      <w:r w:rsidR="003134AC" w:rsidRPr="00F90716">
        <w:rPr>
          <w:i/>
          <w:lang w:val="en-GB"/>
        </w:rPr>
        <w:t>ubmitted by:</w:t>
      </w:r>
      <w:r w:rsidR="003134AC" w:rsidRPr="00F90716">
        <w:rPr>
          <w:lang w:val="en-GB"/>
        </w:rPr>
        <w:tab/>
      </w:r>
      <w:r w:rsidR="00095F34" w:rsidRPr="00F90716">
        <w:rPr>
          <w:lang w:val="en-GB"/>
        </w:rPr>
        <w:t>E.U.R.</w:t>
      </w:r>
      <w:r w:rsidR="00EF3514" w:rsidRPr="00F90716">
        <w:rPr>
          <w:lang w:val="en-GB"/>
        </w:rPr>
        <w:t xml:space="preserve"> (</w:t>
      </w:r>
      <w:r w:rsidRPr="00F90716">
        <w:rPr>
          <w:lang w:val="en-GB"/>
        </w:rPr>
        <w:t>r</w:t>
      </w:r>
      <w:r w:rsidR="00EF3514" w:rsidRPr="00F90716">
        <w:rPr>
          <w:lang w:val="en-GB"/>
        </w:rPr>
        <w:t xml:space="preserve">epresented by counsel, </w:t>
      </w:r>
      <w:r w:rsidR="006D4701">
        <w:rPr>
          <w:lang w:val="en-GB"/>
        </w:rPr>
        <w:t>Marianne </w:t>
      </w:r>
      <w:r w:rsidR="00095F34" w:rsidRPr="00F90716">
        <w:rPr>
          <w:lang w:val="en-GB"/>
        </w:rPr>
        <w:t>Vølund</w:t>
      </w:r>
      <w:r w:rsidR="00EF3514" w:rsidRPr="00F90716">
        <w:rPr>
          <w:lang w:val="en-GB"/>
        </w:rPr>
        <w:t>)</w:t>
      </w:r>
    </w:p>
    <w:p w:rsidR="003134AC" w:rsidRPr="00E07EBA" w:rsidRDefault="003134AC" w:rsidP="00484A40">
      <w:pPr>
        <w:pStyle w:val="SingleTxtG"/>
        <w:ind w:left="4536" w:hanging="3402"/>
        <w:jc w:val="left"/>
        <w:rPr>
          <w:lang w:val="en-GB"/>
        </w:rPr>
      </w:pPr>
      <w:r w:rsidRPr="00F90716">
        <w:rPr>
          <w:i/>
          <w:lang w:val="en-GB"/>
        </w:rPr>
        <w:t>Alleged victim:</w:t>
      </w:r>
      <w:r w:rsidRPr="00F90716">
        <w:rPr>
          <w:lang w:val="en-GB"/>
        </w:rPr>
        <w:tab/>
        <w:t>The author</w:t>
      </w:r>
    </w:p>
    <w:p w:rsidR="003134AC" w:rsidRPr="00E07EBA" w:rsidRDefault="003134AC" w:rsidP="003134AC">
      <w:pPr>
        <w:pStyle w:val="SingleTxtG"/>
        <w:ind w:left="4536" w:hanging="3402"/>
        <w:rPr>
          <w:lang w:val="en-GB"/>
        </w:rPr>
      </w:pPr>
      <w:r w:rsidRPr="00F90716">
        <w:rPr>
          <w:i/>
          <w:lang w:val="en-GB"/>
        </w:rPr>
        <w:t>State party:</w:t>
      </w:r>
      <w:r w:rsidRPr="00F90716">
        <w:rPr>
          <w:lang w:val="en-GB"/>
        </w:rPr>
        <w:tab/>
      </w:r>
      <w:r w:rsidR="00EF3514" w:rsidRPr="00E07EBA">
        <w:rPr>
          <w:lang w:val="en-GB"/>
        </w:rPr>
        <w:t>Denmark</w:t>
      </w:r>
    </w:p>
    <w:p w:rsidR="003134AC" w:rsidRPr="00E07EBA" w:rsidRDefault="003134AC" w:rsidP="00484A40">
      <w:pPr>
        <w:pStyle w:val="SingleTxtG"/>
        <w:ind w:left="4536" w:hanging="3402"/>
        <w:jc w:val="left"/>
        <w:rPr>
          <w:lang w:val="en-GB"/>
        </w:rPr>
      </w:pPr>
      <w:r w:rsidRPr="00F90716">
        <w:rPr>
          <w:i/>
          <w:lang w:val="en-GB"/>
        </w:rPr>
        <w:t>Date of communication:</w:t>
      </w:r>
      <w:r w:rsidRPr="00F90716">
        <w:rPr>
          <w:lang w:val="en-GB"/>
        </w:rPr>
        <w:tab/>
      </w:r>
      <w:r w:rsidR="00095F34" w:rsidRPr="00E07EBA">
        <w:rPr>
          <w:lang w:val="en-GB"/>
        </w:rPr>
        <w:t>23 October</w:t>
      </w:r>
      <w:r w:rsidR="00296530" w:rsidRPr="00E07EBA">
        <w:rPr>
          <w:lang w:val="en-GB"/>
        </w:rPr>
        <w:t xml:space="preserve"> </w:t>
      </w:r>
      <w:r w:rsidR="001844A0" w:rsidRPr="00E07EBA">
        <w:rPr>
          <w:lang w:val="en-GB"/>
        </w:rPr>
        <w:t>201</w:t>
      </w:r>
      <w:r w:rsidR="00F06D31" w:rsidRPr="00E07EBA">
        <w:rPr>
          <w:lang w:val="en-GB"/>
        </w:rPr>
        <w:t>4</w:t>
      </w:r>
      <w:r w:rsidR="00335DD7" w:rsidRPr="00F90716">
        <w:rPr>
          <w:lang w:val="en-GB"/>
        </w:rPr>
        <w:t xml:space="preserve"> (initial submission)</w:t>
      </w:r>
    </w:p>
    <w:p w:rsidR="003134AC" w:rsidRPr="00F90716" w:rsidRDefault="003134AC" w:rsidP="000001E9">
      <w:pPr>
        <w:pStyle w:val="SingleTxtG"/>
        <w:ind w:left="4536" w:hanging="3402"/>
        <w:jc w:val="left"/>
        <w:rPr>
          <w:lang w:val="en-GB"/>
        </w:rPr>
      </w:pPr>
      <w:r w:rsidRPr="00F90716">
        <w:rPr>
          <w:i/>
          <w:lang w:val="en-GB"/>
        </w:rPr>
        <w:t>Document references:</w:t>
      </w:r>
      <w:r w:rsidRPr="00F90716">
        <w:rPr>
          <w:lang w:val="en-GB"/>
        </w:rPr>
        <w:tab/>
      </w:r>
      <w:r w:rsidR="00484A40" w:rsidRPr="00F90716">
        <w:rPr>
          <w:lang w:val="en-GB"/>
        </w:rPr>
        <w:t>Decision taken pursuant to rule</w:t>
      </w:r>
      <w:r w:rsidR="00484A40" w:rsidRPr="00E07EBA">
        <w:rPr>
          <w:lang w:val="en-GB"/>
        </w:rPr>
        <w:t>s 92 and</w:t>
      </w:r>
      <w:r w:rsidR="00484A40" w:rsidRPr="00F90716">
        <w:rPr>
          <w:lang w:val="en-GB"/>
        </w:rPr>
        <w:t xml:space="preserve"> 97 of the Committee’s rules of procedure</w:t>
      </w:r>
      <w:r w:rsidR="00484A40" w:rsidRPr="00E07EBA">
        <w:rPr>
          <w:lang w:val="en-GB"/>
        </w:rPr>
        <w:t xml:space="preserve">; </w:t>
      </w:r>
      <w:r w:rsidRPr="00F90716">
        <w:rPr>
          <w:lang w:val="en-GB"/>
        </w:rPr>
        <w:t xml:space="preserve">transmitted to the State party on </w:t>
      </w:r>
      <w:r w:rsidR="00095F34" w:rsidRPr="00E07EBA">
        <w:rPr>
          <w:lang w:val="en-GB"/>
        </w:rPr>
        <w:t>24 October</w:t>
      </w:r>
      <w:r w:rsidR="00D9765F" w:rsidRPr="00E07EBA">
        <w:rPr>
          <w:lang w:val="en-GB"/>
        </w:rPr>
        <w:t xml:space="preserve"> </w:t>
      </w:r>
      <w:r w:rsidR="00C01DD5" w:rsidRPr="00E07EBA">
        <w:rPr>
          <w:lang w:val="en-GB"/>
        </w:rPr>
        <w:t xml:space="preserve">2014 </w:t>
      </w:r>
      <w:r w:rsidRPr="00F90716">
        <w:rPr>
          <w:lang w:val="en-GB"/>
        </w:rPr>
        <w:t>(not issued in document form)</w:t>
      </w:r>
    </w:p>
    <w:p w:rsidR="00335DD7" w:rsidRPr="00F90716" w:rsidRDefault="003134AC" w:rsidP="003134AC">
      <w:pPr>
        <w:pStyle w:val="SingleTxtG"/>
        <w:ind w:left="4536" w:hanging="3402"/>
        <w:rPr>
          <w:lang w:val="en-GB"/>
        </w:rPr>
      </w:pPr>
      <w:r w:rsidRPr="00F90716">
        <w:rPr>
          <w:i/>
          <w:lang w:val="en-GB"/>
        </w:rPr>
        <w:t>Date of adoption of Views:</w:t>
      </w:r>
      <w:r w:rsidRPr="00F90716">
        <w:rPr>
          <w:lang w:val="en-GB"/>
        </w:rPr>
        <w:tab/>
      </w:r>
      <w:r w:rsidR="002E7513" w:rsidRPr="00F90716">
        <w:rPr>
          <w:lang w:val="en-GB"/>
        </w:rPr>
        <w:t>1 July</w:t>
      </w:r>
      <w:r w:rsidR="003464FF" w:rsidRPr="00E07EBA">
        <w:rPr>
          <w:lang w:val="en-GB"/>
        </w:rPr>
        <w:t xml:space="preserve"> </w:t>
      </w:r>
      <w:r w:rsidR="00095F34" w:rsidRPr="00F90716">
        <w:rPr>
          <w:lang w:val="en-GB"/>
        </w:rPr>
        <w:t>2016</w:t>
      </w:r>
    </w:p>
    <w:p w:rsidR="003134AC" w:rsidRPr="00F90716" w:rsidRDefault="003134AC" w:rsidP="00484A40">
      <w:pPr>
        <w:pStyle w:val="SingleTxtG"/>
        <w:ind w:left="4536" w:hanging="3402"/>
        <w:jc w:val="left"/>
        <w:rPr>
          <w:lang w:val="en-GB"/>
        </w:rPr>
      </w:pPr>
      <w:r w:rsidRPr="00F90716">
        <w:rPr>
          <w:i/>
          <w:iCs/>
          <w:lang w:val="en-GB"/>
        </w:rPr>
        <w:t>Subject matter:</w:t>
      </w:r>
      <w:r w:rsidRPr="00F90716">
        <w:rPr>
          <w:lang w:val="en-GB"/>
        </w:rPr>
        <w:tab/>
      </w:r>
      <w:r w:rsidR="00EF3514" w:rsidRPr="00E07EBA">
        <w:rPr>
          <w:lang w:val="en-GB"/>
        </w:rPr>
        <w:t xml:space="preserve">Deportation to </w:t>
      </w:r>
      <w:r w:rsidR="0038000B" w:rsidRPr="00E07EBA">
        <w:rPr>
          <w:lang w:val="en-GB"/>
        </w:rPr>
        <w:t>Afghanistan</w:t>
      </w:r>
      <w:r w:rsidR="00F06D31" w:rsidRPr="00E07EBA">
        <w:rPr>
          <w:lang w:val="en-GB"/>
        </w:rPr>
        <w:t xml:space="preserve"> </w:t>
      </w:r>
    </w:p>
    <w:p w:rsidR="003134AC" w:rsidRPr="00E07EBA" w:rsidRDefault="003134AC" w:rsidP="000001E9">
      <w:pPr>
        <w:pStyle w:val="SingleTxtG"/>
        <w:ind w:left="4536" w:hanging="3402"/>
        <w:jc w:val="left"/>
        <w:rPr>
          <w:lang w:val="en-GB"/>
        </w:rPr>
      </w:pPr>
      <w:r w:rsidRPr="00F90716">
        <w:rPr>
          <w:i/>
          <w:iCs/>
          <w:lang w:val="en-GB"/>
        </w:rPr>
        <w:t xml:space="preserve">Substantive issues: </w:t>
      </w:r>
      <w:r w:rsidRPr="00F90716">
        <w:rPr>
          <w:i/>
          <w:iCs/>
          <w:lang w:val="en-GB"/>
        </w:rPr>
        <w:tab/>
      </w:r>
      <w:r w:rsidR="00296530" w:rsidRPr="00E07EBA">
        <w:rPr>
          <w:iCs/>
          <w:lang w:val="en-GB"/>
        </w:rPr>
        <w:t>Right to life</w:t>
      </w:r>
      <w:r w:rsidR="00F43AA5" w:rsidRPr="00E07EBA">
        <w:rPr>
          <w:iCs/>
          <w:lang w:val="en-GB"/>
        </w:rPr>
        <w:t>;</w:t>
      </w:r>
      <w:r w:rsidR="00B410C3" w:rsidRPr="00E07EBA">
        <w:rPr>
          <w:iCs/>
          <w:lang w:val="en-GB"/>
        </w:rPr>
        <w:t xml:space="preserve"> r</w:t>
      </w:r>
      <w:r w:rsidR="005C11C1" w:rsidRPr="00E07EBA">
        <w:rPr>
          <w:iCs/>
          <w:lang w:val="en-GB"/>
        </w:rPr>
        <w:t>isk of t</w:t>
      </w:r>
      <w:r w:rsidR="00726A48" w:rsidRPr="00E07EBA">
        <w:rPr>
          <w:iCs/>
          <w:lang w:val="en-GB"/>
        </w:rPr>
        <w:t>orture and ill-treatment</w:t>
      </w:r>
      <w:r w:rsidR="00F43AA5" w:rsidRPr="00E07EBA">
        <w:rPr>
          <w:iCs/>
          <w:lang w:val="en-GB"/>
        </w:rPr>
        <w:t>;</w:t>
      </w:r>
      <w:r w:rsidR="002F4621" w:rsidRPr="00E07EBA">
        <w:rPr>
          <w:iCs/>
          <w:lang w:val="en-GB"/>
        </w:rPr>
        <w:t xml:space="preserve"> </w:t>
      </w:r>
      <w:r w:rsidR="00296530" w:rsidRPr="00E07EBA">
        <w:rPr>
          <w:iCs/>
          <w:lang w:val="en-GB"/>
        </w:rPr>
        <w:t>right to a fair trial</w:t>
      </w:r>
    </w:p>
    <w:p w:rsidR="003134AC" w:rsidRPr="00F90716" w:rsidRDefault="003134AC" w:rsidP="00484A40">
      <w:pPr>
        <w:pStyle w:val="SingleTxtG"/>
        <w:ind w:left="4536" w:hanging="3402"/>
        <w:jc w:val="left"/>
        <w:rPr>
          <w:lang w:val="en-GB"/>
        </w:rPr>
      </w:pPr>
      <w:r w:rsidRPr="00F90716">
        <w:rPr>
          <w:i/>
          <w:iCs/>
          <w:lang w:val="en-GB"/>
        </w:rPr>
        <w:t xml:space="preserve">Procedural issue: </w:t>
      </w:r>
      <w:r w:rsidRPr="00F90716">
        <w:rPr>
          <w:i/>
          <w:iCs/>
          <w:lang w:val="en-GB"/>
        </w:rPr>
        <w:tab/>
      </w:r>
      <w:r w:rsidR="00BE26B2" w:rsidRPr="00E07EBA">
        <w:rPr>
          <w:iCs/>
          <w:lang w:val="en-GB"/>
        </w:rPr>
        <w:t>I</w:t>
      </w:r>
      <w:r w:rsidR="00726A48" w:rsidRPr="00E07EBA">
        <w:rPr>
          <w:iCs/>
          <w:lang w:val="en-GB"/>
        </w:rPr>
        <w:t>nsuffi</w:t>
      </w:r>
      <w:r w:rsidR="005B6047" w:rsidRPr="00E07EBA">
        <w:rPr>
          <w:iCs/>
          <w:lang w:val="en-GB"/>
        </w:rPr>
        <w:t>cient substantiation of claims</w:t>
      </w:r>
    </w:p>
    <w:p w:rsidR="005C11C1" w:rsidRPr="00E07EBA" w:rsidRDefault="003134AC" w:rsidP="00484A40">
      <w:pPr>
        <w:pStyle w:val="SingleTxtG"/>
        <w:ind w:left="4536" w:hanging="3402"/>
        <w:jc w:val="left"/>
        <w:rPr>
          <w:lang w:val="en-GB"/>
        </w:rPr>
      </w:pPr>
      <w:r w:rsidRPr="00F90716">
        <w:rPr>
          <w:i/>
          <w:iCs/>
          <w:lang w:val="en-GB"/>
        </w:rPr>
        <w:t>Articles of the Covenant:</w:t>
      </w:r>
      <w:r w:rsidRPr="00F90716">
        <w:rPr>
          <w:lang w:val="en-GB"/>
        </w:rPr>
        <w:t xml:space="preserve"> </w:t>
      </w:r>
      <w:r w:rsidRPr="00F90716">
        <w:rPr>
          <w:lang w:val="en-GB"/>
        </w:rPr>
        <w:tab/>
      </w:r>
      <w:r w:rsidR="006E5A29" w:rsidRPr="00F90716">
        <w:rPr>
          <w:lang w:val="en-GB"/>
        </w:rPr>
        <w:t>7</w:t>
      </w:r>
      <w:r w:rsidR="00F06D31" w:rsidRPr="00E07EBA">
        <w:rPr>
          <w:lang w:val="en-GB"/>
        </w:rPr>
        <w:t xml:space="preserve"> and 1</w:t>
      </w:r>
      <w:r w:rsidR="003A729C" w:rsidRPr="00E07EBA">
        <w:rPr>
          <w:lang w:val="en-GB"/>
        </w:rPr>
        <w:t>9</w:t>
      </w:r>
      <w:r w:rsidR="006E5A29" w:rsidRPr="00F90716">
        <w:rPr>
          <w:lang w:val="en-GB"/>
        </w:rPr>
        <w:t xml:space="preserve"> </w:t>
      </w:r>
    </w:p>
    <w:p w:rsidR="00622476" w:rsidRPr="00E07EBA" w:rsidRDefault="003134AC" w:rsidP="00485130">
      <w:pPr>
        <w:pStyle w:val="SingleTxtG"/>
        <w:spacing w:after="0"/>
        <w:ind w:left="4536" w:hanging="3402"/>
        <w:jc w:val="left"/>
        <w:rPr>
          <w:iCs/>
          <w:lang w:val="en-GB"/>
        </w:rPr>
      </w:pPr>
      <w:r w:rsidRPr="00F90716">
        <w:rPr>
          <w:i/>
          <w:iCs/>
          <w:lang w:val="en-GB"/>
        </w:rPr>
        <w:t>Articles of the Optional Protocol:</w:t>
      </w:r>
      <w:r w:rsidR="00735F4E" w:rsidRPr="00E07EBA">
        <w:rPr>
          <w:i/>
          <w:iCs/>
          <w:lang w:val="en-GB"/>
        </w:rPr>
        <w:tab/>
      </w:r>
      <w:r w:rsidRPr="00F90716">
        <w:rPr>
          <w:iCs/>
          <w:lang w:val="en-GB"/>
        </w:rPr>
        <w:t>2</w:t>
      </w:r>
      <w:r w:rsidR="00723942" w:rsidRPr="00E07EBA">
        <w:rPr>
          <w:iCs/>
          <w:lang w:val="en-GB"/>
        </w:rPr>
        <w:t xml:space="preserve"> and</w:t>
      </w:r>
      <w:r w:rsidR="00EA43E5" w:rsidRPr="00E07EBA">
        <w:rPr>
          <w:iCs/>
          <w:lang w:val="en-GB"/>
        </w:rPr>
        <w:t xml:space="preserve"> </w:t>
      </w:r>
      <w:r w:rsidR="0064330C" w:rsidRPr="00E07EBA">
        <w:rPr>
          <w:iCs/>
          <w:lang w:val="en-GB"/>
        </w:rPr>
        <w:t>3</w:t>
      </w:r>
      <w:r w:rsidR="00EA43E5" w:rsidRPr="00E07EBA">
        <w:rPr>
          <w:iCs/>
          <w:lang w:val="en-GB"/>
        </w:rPr>
        <w:t xml:space="preserve"> </w:t>
      </w:r>
    </w:p>
    <w:p w:rsidR="003D3315" w:rsidRPr="00E07EBA" w:rsidRDefault="003D3315" w:rsidP="00485130">
      <w:pPr>
        <w:pStyle w:val="SingleTxtG"/>
        <w:rPr>
          <w:lang w:val="en-GB"/>
        </w:rPr>
      </w:pPr>
    </w:p>
    <w:p w:rsidR="00EA395F" w:rsidRPr="00F90716" w:rsidRDefault="008A16B6" w:rsidP="0008593B">
      <w:pPr>
        <w:pStyle w:val="SingleTxtG"/>
        <w:rPr>
          <w:lang w:val="en-GB"/>
        </w:rPr>
      </w:pPr>
      <w:r w:rsidRPr="00F90716">
        <w:rPr>
          <w:lang w:val="en-GB"/>
        </w:rPr>
        <w:lastRenderedPageBreak/>
        <w:t>1.1</w:t>
      </w:r>
      <w:r w:rsidR="00921672" w:rsidRPr="00F90716">
        <w:rPr>
          <w:lang w:val="en-GB"/>
        </w:rPr>
        <w:tab/>
      </w:r>
      <w:r w:rsidR="00EA395F" w:rsidRPr="00F90716">
        <w:rPr>
          <w:lang w:val="en-GB"/>
        </w:rPr>
        <w:t>The author of the communication is E.U.R., an</w:t>
      </w:r>
      <w:r w:rsidR="006362BD" w:rsidRPr="00F90716">
        <w:rPr>
          <w:lang w:val="en-GB"/>
        </w:rPr>
        <w:t xml:space="preserve"> Afghan national, ethnic Hazara and</w:t>
      </w:r>
      <w:r w:rsidR="00EA395F" w:rsidRPr="00F90716">
        <w:rPr>
          <w:lang w:val="en-GB"/>
        </w:rPr>
        <w:t xml:space="preserve"> Shia Muslim, born in 1987. He claims that he faces a risk of assault and abuse by the Taliban in violation of article 7 </w:t>
      </w:r>
      <w:r w:rsidR="009A39AE" w:rsidRPr="00E07EBA">
        <w:rPr>
          <w:lang w:val="en-GB"/>
        </w:rPr>
        <w:t xml:space="preserve">of the Covenant </w:t>
      </w:r>
      <w:r w:rsidR="00EA395F" w:rsidRPr="00F90716">
        <w:rPr>
          <w:lang w:val="en-GB"/>
        </w:rPr>
        <w:t xml:space="preserve">if </w:t>
      </w:r>
      <w:r w:rsidR="009A39AE" w:rsidRPr="00E07EBA">
        <w:rPr>
          <w:lang w:val="en-GB"/>
        </w:rPr>
        <w:t xml:space="preserve">he is </w:t>
      </w:r>
      <w:r w:rsidR="00EA395F" w:rsidRPr="00F90716">
        <w:rPr>
          <w:lang w:val="en-GB"/>
        </w:rPr>
        <w:t xml:space="preserve">deported by Denmark to Afghanistan. </w:t>
      </w:r>
      <w:r w:rsidR="000001E9" w:rsidRPr="00E07EBA">
        <w:rPr>
          <w:lang w:val="en-GB"/>
        </w:rPr>
        <w:t xml:space="preserve">Following </w:t>
      </w:r>
      <w:r w:rsidR="00EA395F" w:rsidRPr="00F90716">
        <w:rPr>
          <w:lang w:val="en-GB"/>
        </w:rPr>
        <w:t xml:space="preserve">the decision </w:t>
      </w:r>
      <w:r w:rsidR="009A39AE" w:rsidRPr="00E07EBA">
        <w:rPr>
          <w:lang w:val="en-GB"/>
        </w:rPr>
        <w:t xml:space="preserve">by </w:t>
      </w:r>
      <w:r w:rsidR="00EA395F" w:rsidRPr="00F90716">
        <w:rPr>
          <w:lang w:val="en-GB"/>
        </w:rPr>
        <w:t xml:space="preserve">the Danish </w:t>
      </w:r>
      <w:r w:rsidR="0008593B" w:rsidRPr="00E07EBA">
        <w:rPr>
          <w:lang w:val="en-GB"/>
        </w:rPr>
        <w:t>r</w:t>
      </w:r>
      <w:r w:rsidR="00EA395F" w:rsidRPr="00F90716">
        <w:rPr>
          <w:lang w:val="en-GB"/>
        </w:rPr>
        <w:t xml:space="preserve">efugee </w:t>
      </w:r>
      <w:r w:rsidR="0008593B" w:rsidRPr="00E07EBA">
        <w:rPr>
          <w:lang w:val="en-GB"/>
        </w:rPr>
        <w:t>a</w:t>
      </w:r>
      <w:r w:rsidR="00EA395F" w:rsidRPr="00F90716">
        <w:rPr>
          <w:lang w:val="en-GB"/>
        </w:rPr>
        <w:t xml:space="preserve">ppeals </w:t>
      </w:r>
      <w:r w:rsidR="0008593B" w:rsidRPr="00E07EBA">
        <w:rPr>
          <w:lang w:val="en-GB"/>
        </w:rPr>
        <w:t>b</w:t>
      </w:r>
      <w:r w:rsidR="00EA395F" w:rsidRPr="00F90716">
        <w:rPr>
          <w:lang w:val="en-GB"/>
        </w:rPr>
        <w:t>oard of 31 January 2013</w:t>
      </w:r>
      <w:r w:rsidR="000001E9" w:rsidRPr="00E07EBA">
        <w:rPr>
          <w:lang w:val="en-GB"/>
        </w:rPr>
        <w:t>,</w:t>
      </w:r>
      <w:r w:rsidR="00EA395F" w:rsidRPr="00F90716">
        <w:rPr>
          <w:lang w:val="en-GB"/>
        </w:rPr>
        <w:t xml:space="preserve"> the author </w:t>
      </w:r>
      <w:r w:rsidR="000001E9" w:rsidRPr="00E07EBA">
        <w:rPr>
          <w:lang w:val="en-GB"/>
        </w:rPr>
        <w:t>was given seven</w:t>
      </w:r>
      <w:r w:rsidR="000001E9" w:rsidRPr="00F90716">
        <w:rPr>
          <w:lang w:val="en-GB"/>
        </w:rPr>
        <w:t xml:space="preserve"> </w:t>
      </w:r>
      <w:r w:rsidR="00EA395F" w:rsidRPr="00F90716">
        <w:rPr>
          <w:lang w:val="en-GB"/>
        </w:rPr>
        <w:t>days to leave Denmark volun</w:t>
      </w:r>
      <w:r w:rsidR="00723942" w:rsidRPr="00F90716">
        <w:rPr>
          <w:lang w:val="en-GB"/>
        </w:rPr>
        <w:t xml:space="preserve">tarily, which he failed to do. </w:t>
      </w:r>
      <w:r w:rsidR="000001E9" w:rsidRPr="00E07EBA">
        <w:rPr>
          <w:lang w:val="en-GB"/>
        </w:rPr>
        <w:t xml:space="preserve">At the time of submitting </w:t>
      </w:r>
      <w:r w:rsidR="00723942" w:rsidRPr="00F90716">
        <w:rPr>
          <w:lang w:val="en-GB"/>
        </w:rPr>
        <w:t xml:space="preserve">his communication to the Committee, his deportation </w:t>
      </w:r>
      <w:r w:rsidR="000001E9" w:rsidRPr="00E07EBA">
        <w:rPr>
          <w:lang w:val="en-GB"/>
        </w:rPr>
        <w:t xml:space="preserve">had been </w:t>
      </w:r>
      <w:r w:rsidR="00EA395F" w:rsidRPr="00F90716">
        <w:rPr>
          <w:lang w:val="en-GB"/>
        </w:rPr>
        <w:t>scheduled</w:t>
      </w:r>
      <w:r w:rsidR="00C30236" w:rsidRPr="00F90716">
        <w:rPr>
          <w:lang w:val="en-GB"/>
        </w:rPr>
        <w:t xml:space="preserve"> for 27 October 2014 at 2.55 p</w:t>
      </w:r>
      <w:r w:rsidR="000001E9" w:rsidRPr="00E07EBA">
        <w:rPr>
          <w:lang w:val="en-GB"/>
        </w:rPr>
        <w:t>.</w:t>
      </w:r>
      <w:r w:rsidR="00C30236" w:rsidRPr="00F90716">
        <w:rPr>
          <w:lang w:val="en-GB"/>
        </w:rPr>
        <w:t>m</w:t>
      </w:r>
      <w:r w:rsidR="00EA395F" w:rsidRPr="00F90716">
        <w:rPr>
          <w:lang w:val="en-GB"/>
        </w:rPr>
        <w:t>.</w:t>
      </w:r>
      <w:r w:rsidR="00C30236" w:rsidRPr="00F90716">
        <w:rPr>
          <w:rStyle w:val="FootnoteReference"/>
          <w:lang w:val="en-GB"/>
        </w:rPr>
        <w:footnoteReference w:id="4"/>
      </w:r>
      <w:r w:rsidR="00EA395F" w:rsidRPr="00F90716">
        <w:rPr>
          <w:lang w:val="en-GB"/>
        </w:rPr>
        <w:t xml:space="preserve"> The author is represented by counsel.</w:t>
      </w:r>
    </w:p>
    <w:p w:rsidR="00F571D9" w:rsidRPr="00E07EBA" w:rsidRDefault="008A16B6" w:rsidP="000001E9">
      <w:pPr>
        <w:pStyle w:val="SingleTxtG"/>
        <w:rPr>
          <w:lang w:val="en-GB"/>
        </w:rPr>
      </w:pPr>
      <w:r w:rsidRPr="00E07EBA">
        <w:rPr>
          <w:lang w:val="en-GB"/>
        </w:rPr>
        <w:t>1.2</w:t>
      </w:r>
      <w:r w:rsidR="00921672" w:rsidRPr="00E07EBA">
        <w:rPr>
          <w:lang w:val="en-GB"/>
        </w:rPr>
        <w:tab/>
        <w:t>O</w:t>
      </w:r>
      <w:r w:rsidR="00F571D9" w:rsidRPr="00E07EBA">
        <w:rPr>
          <w:lang w:val="en-GB"/>
        </w:rPr>
        <w:t xml:space="preserve">n </w:t>
      </w:r>
      <w:r w:rsidR="00EA395F" w:rsidRPr="00E07EBA">
        <w:rPr>
          <w:lang w:val="en-GB"/>
        </w:rPr>
        <w:t xml:space="preserve">24 </w:t>
      </w:r>
      <w:r w:rsidR="00EA395F" w:rsidRPr="00F90716">
        <w:rPr>
          <w:lang w:val="en-GB"/>
        </w:rPr>
        <w:t>October</w:t>
      </w:r>
      <w:r w:rsidR="00A75E0E" w:rsidRPr="00E07EBA">
        <w:rPr>
          <w:lang w:val="en-GB"/>
        </w:rPr>
        <w:t xml:space="preserve"> </w:t>
      </w:r>
      <w:r w:rsidR="00F571D9" w:rsidRPr="00E07EBA">
        <w:rPr>
          <w:lang w:val="en-GB"/>
        </w:rPr>
        <w:t xml:space="preserve">2014, </w:t>
      </w:r>
      <w:r w:rsidR="002F4621" w:rsidRPr="00E07EBA">
        <w:rPr>
          <w:lang w:val="en-GB"/>
        </w:rPr>
        <w:t>w</w:t>
      </w:r>
      <w:r w:rsidR="00BC7809" w:rsidRPr="00E07EBA">
        <w:rPr>
          <w:lang w:val="en-GB"/>
        </w:rPr>
        <w:t xml:space="preserve">hen registering the communication, and pursuant to rule 92 of its rules of procedure, the Committee, acting through its Special Rapporteur on </w:t>
      </w:r>
      <w:r w:rsidR="000001E9" w:rsidRPr="00E07EBA">
        <w:rPr>
          <w:lang w:val="en-GB"/>
        </w:rPr>
        <w:t>n</w:t>
      </w:r>
      <w:r w:rsidR="00BC7809" w:rsidRPr="00E07EBA">
        <w:rPr>
          <w:lang w:val="en-GB"/>
        </w:rPr>
        <w:t xml:space="preserve">ew </w:t>
      </w:r>
      <w:r w:rsidR="000001E9" w:rsidRPr="00E07EBA">
        <w:rPr>
          <w:lang w:val="en-GB"/>
        </w:rPr>
        <w:t>c</w:t>
      </w:r>
      <w:r w:rsidR="00BC7809" w:rsidRPr="00E07EBA">
        <w:rPr>
          <w:lang w:val="en-GB"/>
        </w:rPr>
        <w:t xml:space="preserve">ommunications and </w:t>
      </w:r>
      <w:r w:rsidR="000001E9" w:rsidRPr="00E07EBA">
        <w:rPr>
          <w:lang w:val="en-GB"/>
        </w:rPr>
        <w:t>i</w:t>
      </w:r>
      <w:r w:rsidR="00BC7809" w:rsidRPr="00E07EBA">
        <w:rPr>
          <w:lang w:val="en-GB"/>
        </w:rPr>
        <w:t xml:space="preserve">nterim </w:t>
      </w:r>
      <w:r w:rsidR="000001E9" w:rsidRPr="00E07EBA">
        <w:rPr>
          <w:lang w:val="en-GB"/>
        </w:rPr>
        <w:t>m</w:t>
      </w:r>
      <w:r w:rsidR="00BC7809" w:rsidRPr="00E07EBA">
        <w:rPr>
          <w:lang w:val="en-GB"/>
        </w:rPr>
        <w:t>easures, requested the State party</w:t>
      </w:r>
      <w:r w:rsidR="00EA395F" w:rsidRPr="00E07EBA">
        <w:rPr>
          <w:lang w:val="en-GB"/>
        </w:rPr>
        <w:t xml:space="preserve"> not to deport the author to Afghanistan </w:t>
      </w:r>
      <w:r w:rsidR="000001E9" w:rsidRPr="00E07EBA">
        <w:rPr>
          <w:lang w:val="en-GB"/>
        </w:rPr>
        <w:t xml:space="preserve">while it </w:t>
      </w:r>
      <w:r w:rsidR="00EA395F" w:rsidRPr="00E07EBA">
        <w:rPr>
          <w:lang w:val="en-GB"/>
        </w:rPr>
        <w:t>consider</w:t>
      </w:r>
      <w:r w:rsidR="000001E9" w:rsidRPr="00E07EBA">
        <w:rPr>
          <w:lang w:val="en-GB"/>
        </w:rPr>
        <w:t>s</w:t>
      </w:r>
      <w:r w:rsidR="00EA395F" w:rsidRPr="00E07EBA">
        <w:rPr>
          <w:lang w:val="en-GB"/>
        </w:rPr>
        <w:t xml:space="preserve"> </w:t>
      </w:r>
      <w:r w:rsidR="000001E9" w:rsidRPr="00E07EBA">
        <w:rPr>
          <w:lang w:val="en-GB"/>
        </w:rPr>
        <w:t xml:space="preserve">the </w:t>
      </w:r>
      <w:r w:rsidR="00EA395F" w:rsidRPr="00E07EBA">
        <w:rPr>
          <w:lang w:val="en-GB"/>
        </w:rPr>
        <w:t>communication</w:t>
      </w:r>
      <w:r w:rsidR="000001E9" w:rsidRPr="00E07EBA">
        <w:rPr>
          <w:lang w:val="en-GB"/>
        </w:rPr>
        <w:t>.</w:t>
      </w:r>
      <w:r w:rsidR="00EA395F" w:rsidRPr="00E07EBA">
        <w:rPr>
          <w:lang w:val="en-GB"/>
        </w:rPr>
        <w:t xml:space="preserve"> </w:t>
      </w:r>
    </w:p>
    <w:p w:rsidR="00DA0BDA" w:rsidRPr="00F90716" w:rsidRDefault="00DA0BDA" w:rsidP="00EA395F">
      <w:pPr>
        <w:pStyle w:val="SingleTxtG"/>
        <w:rPr>
          <w:lang w:val="en-GB"/>
        </w:rPr>
      </w:pPr>
      <w:r w:rsidRPr="00E07EBA">
        <w:rPr>
          <w:lang w:val="en-GB"/>
        </w:rPr>
        <w:t>1.3</w:t>
      </w:r>
      <w:r w:rsidRPr="00E07EBA">
        <w:rPr>
          <w:lang w:val="en-GB"/>
        </w:rPr>
        <w:tab/>
        <w:t xml:space="preserve">On 24 April 2015, as part of its observations on admissibility and merits, the State party requested the Committee to review its decision to apply interim measures in the case. The Committee has maintained the interim measures in the case. </w:t>
      </w:r>
    </w:p>
    <w:p w:rsidR="003134AC" w:rsidRPr="00E07EBA" w:rsidRDefault="008A16B6" w:rsidP="008A16B6">
      <w:pPr>
        <w:pStyle w:val="H23G"/>
      </w:pPr>
      <w:r w:rsidRPr="00E07EBA">
        <w:tab/>
      </w:r>
      <w:r w:rsidRPr="00E07EBA">
        <w:tab/>
      </w:r>
      <w:r w:rsidR="00883BBF" w:rsidRPr="00E07EBA">
        <w:t>The f</w:t>
      </w:r>
      <w:r w:rsidR="00E17C73" w:rsidRPr="00E07EBA">
        <w:t>acts as presented by the author</w:t>
      </w:r>
    </w:p>
    <w:p w:rsidR="00DB2C7B" w:rsidRPr="00F90716" w:rsidRDefault="003134AC" w:rsidP="000001E9">
      <w:pPr>
        <w:pStyle w:val="SingleTxtG"/>
        <w:rPr>
          <w:lang w:val="en-GB"/>
        </w:rPr>
      </w:pPr>
      <w:r w:rsidRPr="00F90716">
        <w:rPr>
          <w:lang w:val="en-GB"/>
        </w:rPr>
        <w:t>2.1</w:t>
      </w:r>
      <w:r w:rsidR="00EF0322" w:rsidRPr="00F90716">
        <w:rPr>
          <w:lang w:val="en-GB"/>
        </w:rPr>
        <w:tab/>
      </w:r>
      <w:r w:rsidR="000001E9" w:rsidRPr="00E07EBA">
        <w:rPr>
          <w:lang w:val="en-GB"/>
        </w:rPr>
        <w:t>From e</w:t>
      </w:r>
      <w:r w:rsidR="00DB2C7B" w:rsidRPr="00F90716">
        <w:rPr>
          <w:lang w:val="en-GB"/>
        </w:rPr>
        <w:t xml:space="preserve">arly </w:t>
      </w:r>
      <w:r w:rsidR="000001E9" w:rsidRPr="00E07EBA">
        <w:rPr>
          <w:lang w:val="en-GB"/>
        </w:rPr>
        <w:t xml:space="preserve">in </w:t>
      </w:r>
      <w:r w:rsidR="00DB2C7B" w:rsidRPr="00F90716">
        <w:rPr>
          <w:lang w:val="en-GB"/>
        </w:rPr>
        <w:t xml:space="preserve">2009 until 2010, the author worked as bodyguard </w:t>
      </w:r>
      <w:r w:rsidR="000001E9" w:rsidRPr="00E07EBA">
        <w:rPr>
          <w:lang w:val="en-GB"/>
        </w:rPr>
        <w:t xml:space="preserve">at the </w:t>
      </w:r>
      <w:r w:rsidR="00DB2C7B" w:rsidRPr="00F90716">
        <w:rPr>
          <w:lang w:val="en-GB"/>
        </w:rPr>
        <w:t xml:space="preserve">Maywand </w:t>
      </w:r>
      <w:r w:rsidR="000001E9" w:rsidRPr="00E07EBA">
        <w:rPr>
          <w:lang w:val="en-GB"/>
        </w:rPr>
        <w:t xml:space="preserve">base </w:t>
      </w:r>
      <w:r w:rsidR="00DB2C7B" w:rsidRPr="00F90716">
        <w:rPr>
          <w:lang w:val="en-GB"/>
        </w:rPr>
        <w:t>in Kandahar City</w:t>
      </w:r>
      <w:r w:rsidR="000001E9" w:rsidRPr="00E07EBA">
        <w:rPr>
          <w:lang w:val="en-GB"/>
        </w:rPr>
        <w:t xml:space="preserve">, for members of the United States of America </w:t>
      </w:r>
      <w:r w:rsidR="00DB2C7B" w:rsidRPr="00F90716">
        <w:rPr>
          <w:lang w:val="en-GB"/>
        </w:rPr>
        <w:t xml:space="preserve">police and </w:t>
      </w:r>
      <w:r w:rsidR="00484A40" w:rsidRPr="00F90716">
        <w:rPr>
          <w:lang w:val="en-GB"/>
        </w:rPr>
        <w:t xml:space="preserve">military forces. </w:t>
      </w:r>
    </w:p>
    <w:p w:rsidR="00DB2C7B" w:rsidRPr="00F90716" w:rsidRDefault="00DB2C7B" w:rsidP="006566CD">
      <w:pPr>
        <w:pStyle w:val="SingleTxtG"/>
        <w:rPr>
          <w:lang w:val="en-GB"/>
        </w:rPr>
      </w:pPr>
      <w:r w:rsidRPr="00F90716">
        <w:rPr>
          <w:lang w:val="en-GB"/>
        </w:rPr>
        <w:t>2.2</w:t>
      </w:r>
      <w:r w:rsidRPr="00F90716">
        <w:rPr>
          <w:lang w:val="en-GB"/>
        </w:rPr>
        <w:tab/>
      </w:r>
      <w:r w:rsidR="009C4D84" w:rsidRPr="00F90716">
        <w:rPr>
          <w:lang w:val="en-GB"/>
        </w:rPr>
        <w:t>Early</w:t>
      </w:r>
      <w:r w:rsidRPr="00F90716">
        <w:rPr>
          <w:lang w:val="en-GB"/>
        </w:rPr>
        <w:t xml:space="preserve"> </w:t>
      </w:r>
      <w:r w:rsidR="000001E9" w:rsidRPr="00E07EBA">
        <w:rPr>
          <w:lang w:val="en-GB"/>
        </w:rPr>
        <w:t xml:space="preserve">in </w:t>
      </w:r>
      <w:r w:rsidRPr="00F90716">
        <w:rPr>
          <w:lang w:val="en-GB"/>
        </w:rPr>
        <w:t xml:space="preserve">2010, the author started working as interpreter </w:t>
      </w:r>
      <w:r w:rsidR="000001E9" w:rsidRPr="00E07EBA">
        <w:rPr>
          <w:lang w:val="en-GB"/>
        </w:rPr>
        <w:t xml:space="preserve">and </w:t>
      </w:r>
      <w:r w:rsidRPr="00F90716">
        <w:rPr>
          <w:lang w:val="en-GB"/>
        </w:rPr>
        <w:t>was hired by the American company Mission Essential Personnel.</w:t>
      </w:r>
      <w:r w:rsidR="00484A40" w:rsidRPr="00F90716">
        <w:rPr>
          <w:lang w:val="en-GB"/>
        </w:rPr>
        <w:t xml:space="preserve"> </w:t>
      </w:r>
      <w:r w:rsidRPr="00F90716">
        <w:rPr>
          <w:lang w:val="en-GB"/>
        </w:rPr>
        <w:t>In the beginning</w:t>
      </w:r>
      <w:r w:rsidR="00EB439E" w:rsidRPr="00F90716">
        <w:rPr>
          <w:lang w:val="en-GB"/>
        </w:rPr>
        <w:t>,</w:t>
      </w:r>
      <w:r w:rsidRPr="00F90716">
        <w:rPr>
          <w:lang w:val="en-GB"/>
        </w:rPr>
        <w:t xml:space="preserve"> he worked in Kandahar airport, but was transferred </w:t>
      </w:r>
      <w:r w:rsidR="000001E9" w:rsidRPr="00E07EBA">
        <w:rPr>
          <w:lang w:val="en-GB"/>
        </w:rPr>
        <w:t xml:space="preserve">shortly after </w:t>
      </w:r>
      <w:r w:rsidRPr="00F90716">
        <w:rPr>
          <w:lang w:val="en-GB"/>
        </w:rPr>
        <w:t xml:space="preserve">to the city </w:t>
      </w:r>
      <w:r w:rsidR="000001E9" w:rsidRPr="00E07EBA">
        <w:rPr>
          <w:lang w:val="en-GB"/>
        </w:rPr>
        <w:t xml:space="preserve">of </w:t>
      </w:r>
      <w:r w:rsidRPr="00F90716">
        <w:rPr>
          <w:lang w:val="en-GB"/>
        </w:rPr>
        <w:t xml:space="preserve">Khalat, in the province of Zabol. He started working </w:t>
      </w:r>
      <w:r w:rsidR="000001E9" w:rsidRPr="00E07EBA">
        <w:rPr>
          <w:lang w:val="en-GB"/>
        </w:rPr>
        <w:t xml:space="preserve">at the </w:t>
      </w:r>
      <w:r w:rsidRPr="00F90716">
        <w:rPr>
          <w:lang w:val="en-GB"/>
        </w:rPr>
        <w:t>Laghman</w:t>
      </w:r>
      <w:r w:rsidR="000001E9" w:rsidRPr="00E07EBA">
        <w:rPr>
          <w:lang w:val="en-GB"/>
        </w:rPr>
        <w:t xml:space="preserve"> base</w:t>
      </w:r>
      <w:r w:rsidRPr="00F90716">
        <w:rPr>
          <w:lang w:val="en-GB"/>
        </w:rPr>
        <w:t xml:space="preserve">, </w:t>
      </w:r>
      <w:r w:rsidR="000001E9" w:rsidRPr="00E07EBA">
        <w:rPr>
          <w:lang w:val="en-GB"/>
        </w:rPr>
        <w:t xml:space="preserve">and then </w:t>
      </w:r>
      <w:r w:rsidRPr="00F90716">
        <w:rPr>
          <w:lang w:val="en-GB"/>
        </w:rPr>
        <w:t>for t</w:t>
      </w:r>
      <w:r w:rsidR="00484A40" w:rsidRPr="00F90716">
        <w:rPr>
          <w:lang w:val="en-GB"/>
        </w:rPr>
        <w:t xml:space="preserve">he </w:t>
      </w:r>
      <w:r w:rsidR="006566CD" w:rsidRPr="00E07EBA">
        <w:rPr>
          <w:lang w:val="en-GB"/>
        </w:rPr>
        <w:t>Afghan National P</w:t>
      </w:r>
      <w:r w:rsidR="00484A40" w:rsidRPr="00E07EBA">
        <w:rPr>
          <w:lang w:val="en-GB"/>
        </w:rPr>
        <w:t xml:space="preserve">olice </w:t>
      </w:r>
      <w:r w:rsidR="00484A40" w:rsidRPr="00F90716">
        <w:rPr>
          <w:lang w:val="en-GB"/>
        </w:rPr>
        <w:t>in Khalat.</w:t>
      </w:r>
    </w:p>
    <w:p w:rsidR="00383063" w:rsidRPr="00F90716" w:rsidRDefault="00DB2C7B" w:rsidP="000001E9">
      <w:pPr>
        <w:pStyle w:val="SingleTxtG"/>
        <w:rPr>
          <w:lang w:val="en-GB"/>
        </w:rPr>
      </w:pPr>
      <w:r w:rsidRPr="00F90716">
        <w:rPr>
          <w:lang w:val="en-GB"/>
        </w:rPr>
        <w:t>2.3</w:t>
      </w:r>
      <w:r w:rsidRPr="00F90716">
        <w:rPr>
          <w:lang w:val="en-GB"/>
        </w:rPr>
        <w:tab/>
        <w:t>The author worked as an interpreter for different American delegations until May 2011. For the last three to four months</w:t>
      </w:r>
      <w:r w:rsidR="00723942" w:rsidRPr="00F90716">
        <w:rPr>
          <w:lang w:val="en-GB"/>
        </w:rPr>
        <w:t xml:space="preserve"> of his employment</w:t>
      </w:r>
      <w:r w:rsidRPr="00F90716">
        <w:rPr>
          <w:lang w:val="en-GB"/>
        </w:rPr>
        <w:t xml:space="preserve">, he worked for the American </w:t>
      </w:r>
      <w:r w:rsidR="000001E9" w:rsidRPr="00E07EBA">
        <w:rPr>
          <w:lang w:val="en-GB"/>
        </w:rPr>
        <w:t>i</w:t>
      </w:r>
      <w:r w:rsidRPr="00F90716">
        <w:rPr>
          <w:lang w:val="en-GB"/>
        </w:rPr>
        <w:t xml:space="preserve">ntelligence service. </w:t>
      </w:r>
      <w:r w:rsidR="00383063" w:rsidRPr="00F90716">
        <w:rPr>
          <w:lang w:val="en-GB"/>
        </w:rPr>
        <w:t xml:space="preserve">His </w:t>
      </w:r>
      <w:r w:rsidR="000001E9" w:rsidRPr="00E07EBA">
        <w:rPr>
          <w:lang w:val="en-GB"/>
        </w:rPr>
        <w:t>c</w:t>
      </w:r>
      <w:r w:rsidR="00383063" w:rsidRPr="00F90716">
        <w:rPr>
          <w:lang w:val="en-GB"/>
        </w:rPr>
        <w:t xml:space="preserve">hief was </w:t>
      </w:r>
      <w:r w:rsidR="00723942" w:rsidRPr="00F90716">
        <w:rPr>
          <w:lang w:val="en-GB"/>
        </w:rPr>
        <w:t>M.W</w:t>
      </w:r>
      <w:r w:rsidR="00383063" w:rsidRPr="00F90716">
        <w:rPr>
          <w:lang w:val="en-GB"/>
        </w:rPr>
        <w:t>.</w:t>
      </w:r>
    </w:p>
    <w:p w:rsidR="00DE6FAB" w:rsidRPr="00E07EBA" w:rsidRDefault="009C4D84" w:rsidP="00A66370">
      <w:pPr>
        <w:pStyle w:val="SingleTxtG"/>
        <w:rPr>
          <w:lang w:val="en-GB"/>
        </w:rPr>
      </w:pPr>
      <w:r w:rsidRPr="00F90716">
        <w:rPr>
          <w:lang w:val="en-GB"/>
        </w:rPr>
        <w:t>2.4</w:t>
      </w:r>
      <w:r w:rsidR="00DB2C7B" w:rsidRPr="00F90716">
        <w:rPr>
          <w:lang w:val="en-GB"/>
        </w:rPr>
        <w:tab/>
      </w:r>
      <w:r w:rsidR="00EB439E" w:rsidRPr="00F90716">
        <w:rPr>
          <w:lang w:val="en-GB"/>
        </w:rPr>
        <w:t>As part of his work as interpreter for the intelligence service, t</w:t>
      </w:r>
      <w:r w:rsidR="00DB2C7B" w:rsidRPr="00F90716">
        <w:rPr>
          <w:lang w:val="en-GB"/>
        </w:rPr>
        <w:t xml:space="preserve">he author </w:t>
      </w:r>
      <w:r w:rsidR="00EB439E" w:rsidRPr="00F90716">
        <w:rPr>
          <w:lang w:val="en-GB"/>
        </w:rPr>
        <w:t>interpreted</w:t>
      </w:r>
      <w:r w:rsidR="00DB2C7B" w:rsidRPr="00F90716">
        <w:rPr>
          <w:lang w:val="en-GB"/>
        </w:rPr>
        <w:t xml:space="preserve"> four conversations between </w:t>
      </w:r>
      <w:r w:rsidR="00063BDE" w:rsidRPr="00F90716">
        <w:rPr>
          <w:lang w:val="en-GB"/>
        </w:rPr>
        <w:t>M.W.</w:t>
      </w:r>
      <w:r w:rsidR="00DB2C7B" w:rsidRPr="00F90716">
        <w:rPr>
          <w:lang w:val="en-GB"/>
        </w:rPr>
        <w:t xml:space="preserve"> and his </w:t>
      </w:r>
      <w:r w:rsidR="00943611" w:rsidRPr="00F90716">
        <w:rPr>
          <w:lang w:val="en-GB"/>
        </w:rPr>
        <w:t>agent/</w:t>
      </w:r>
      <w:r w:rsidR="00DB2C7B" w:rsidRPr="00F90716">
        <w:rPr>
          <w:lang w:val="en-GB"/>
        </w:rPr>
        <w:t>source</w:t>
      </w:r>
      <w:r w:rsidR="00943611" w:rsidRPr="00F90716">
        <w:rPr>
          <w:lang w:val="en-GB"/>
        </w:rPr>
        <w:t>,</w:t>
      </w:r>
      <w:r w:rsidR="00DB2C7B" w:rsidRPr="00F90716">
        <w:rPr>
          <w:lang w:val="en-GB"/>
        </w:rPr>
        <w:t xml:space="preserve"> concerning an officer</w:t>
      </w:r>
      <w:r w:rsidR="00063BDE" w:rsidRPr="00F90716">
        <w:rPr>
          <w:lang w:val="en-GB"/>
        </w:rPr>
        <w:t>,</w:t>
      </w:r>
      <w:r w:rsidR="00DB2C7B" w:rsidRPr="00F90716">
        <w:rPr>
          <w:lang w:val="en-GB"/>
        </w:rPr>
        <w:t xml:space="preserve"> </w:t>
      </w:r>
      <w:r w:rsidR="00723942" w:rsidRPr="00F90716">
        <w:rPr>
          <w:lang w:val="en-GB"/>
        </w:rPr>
        <w:t>A.M.W</w:t>
      </w:r>
      <w:r w:rsidR="00A66370" w:rsidRPr="00E07EBA">
        <w:rPr>
          <w:lang w:val="en-GB"/>
        </w:rPr>
        <w:t>.</w:t>
      </w:r>
      <w:r w:rsidR="00DB2C7B" w:rsidRPr="00F90716">
        <w:rPr>
          <w:lang w:val="en-GB"/>
        </w:rPr>
        <w:t xml:space="preserve">, who was </w:t>
      </w:r>
      <w:r w:rsidR="00063BDE" w:rsidRPr="00F90716">
        <w:rPr>
          <w:lang w:val="en-GB"/>
        </w:rPr>
        <w:t>a</w:t>
      </w:r>
      <w:r w:rsidR="00DB2C7B" w:rsidRPr="00F90716">
        <w:rPr>
          <w:lang w:val="en-GB"/>
        </w:rPr>
        <w:t xml:space="preserve"> commander of the logistics department </w:t>
      </w:r>
      <w:r w:rsidR="00020142" w:rsidRPr="00F90716">
        <w:rPr>
          <w:lang w:val="en-GB"/>
        </w:rPr>
        <w:t xml:space="preserve">at the headquarters of the Afghan Army, and </w:t>
      </w:r>
      <w:r w:rsidR="00A66370" w:rsidRPr="00E07EBA">
        <w:rPr>
          <w:lang w:val="en-GB"/>
        </w:rPr>
        <w:t xml:space="preserve">was </w:t>
      </w:r>
      <w:r w:rsidR="00020142" w:rsidRPr="00F90716">
        <w:rPr>
          <w:lang w:val="en-GB"/>
        </w:rPr>
        <w:t xml:space="preserve">affiliated with the Taliban. </w:t>
      </w:r>
      <w:r w:rsidR="00723942" w:rsidRPr="00F90716">
        <w:rPr>
          <w:lang w:val="en-GB"/>
        </w:rPr>
        <w:t>A.M.W</w:t>
      </w:r>
      <w:r w:rsidR="00A66370" w:rsidRPr="00E07EBA">
        <w:rPr>
          <w:lang w:val="en-GB"/>
        </w:rPr>
        <w:t>.</w:t>
      </w:r>
      <w:r w:rsidR="00D311E9" w:rsidRPr="00F90716">
        <w:rPr>
          <w:lang w:val="en-GB"/>
        </w:rPr>
        <w:t xml:space="preserve"> </w:t>
      </w:r>
      <w:r w:rsidR="00A66370" w:rsidRPr="00E07EBA">
        <w:rPr>
          <w:lang w:val="en-GB"/>
        </w:rPr>
        <w:t xml:space="preserve">had been </w:t>
      </w:r>
      <w:r w:rsidR="00D311E9" w:rsidRPr="00F90716">
        <w:rPr>
          <w:lang w:val="en-GB"/>
        </w:rPr>
        <w:t>behind</w:t>
      </w:r>
      <w:r w:rsidR="00943611" w:rsidRPr="00F90716">
        <w:rPr>
          <w:lang w:val="en-GB"/>
        </w:rPr>
        <w:t xml:space="preserve"> a terrorist operation</w:t>
      </w:r>
      <w:r w:rsidR="00D311E9" w:rsidRPr="00F90716">
        <w:rPr>
          <w:lang w:val="en-GB"/>
        </w:rPr>
        <w:t xml:space="preserve"> </w:t>
      </w:r>
      <w:r w:rsidR="00A66370" w:rsidRPr="00E07EBA">
        <w:rPr>
          <w:lang w:val="en-GB"/>
        </w:rPr>
        <w:t xml:space="preserve">that </w:t>
      </w:r>
      <w:r w:rsidR="00CC6D30" w:rsidRPr="00F90716">
        <w:rPr>
          <w:lang w:val="en-GB"/>
        </w:rPr>
        <w:t>had</w:t>
      </w:r>
      <w:r w:rsidR="00825546" w:rsidRPr="00F90716">
        <w:rPr>
          <w:lang w:val="en-GB"/>
        </w:rPr>
        <w:t xml:space="preserve"> destroyed with explosives</w:t>
      </w:r>
      <w:r w:rsidR="00DB2C7B" w:rsidRPr="00F90716">
        <w:rPr>
          <w:lang w:val="en-GB"/>
        </w:rPr>
        <w:t xml:space="preserve"> a bridge in the city </w:t>
      </w:r>
      <w:r w:rsidR="00D311E9" w:rsidRPr="00F90716">
        <w:rPr>
          <w:lang w:val="en-GB"/>
        </w:rPr>
        <w:t>of Shafr Safa</w:t>
      </w:r>
      <w:r w:rsidR="00DB2C7B" w:rsidRPr="00F90716">
        <w:rPr>
          <w:lang w:val="en-GB"/>
        </w:rPr>
        <w:t>.</w:t>
      </w:r>
      <w:r w:rsidR="003C6B59" w:rsidRPr="00F90716">
        <w:rPr>
          <w:rStyle w:val="FootnoteReference"/>
          <w:lang w:val="en-GB"/>
        </w:rPr>
        <w:footnoteReference w:id="5"/>
      </w:r>
      <w:r w:rsidR="000357B3" w:rsidRPr="00F90716">
        <w:rPr>
          <w:lang w:val="en-GB"/>
        </w:rPr>
        <w:t xml:space="preserve"> It was also ment</w:t>
      </w:r>
      <w:r w:rsidR="0046175C" w:rsidRPr="00F90716">
        <w:rPr>
          <w:lang w:val="en-GB"/>
        </w:rPr>
        <w:t xml:space="preserve">ioned that </w:t>
      </w:r>
      <w:r w:rsidR="00723942" w:rsidRPr="00F90716">
        <w:rPr>
          <w:lang w:val="en-GB"/>
        </w:rPr>
        <w:t>A.M.W</w:t>
      </w:r>
      <w:r w:rsidR="00A66370" w:rsidRPr="00E07EBA">
        <w:rPr>
          <w:lang w:val="en-GB"/>
        </w:rPr>
        <w:t>.</w:t>
      </w:r>
      <w:r w:rsidR="0046175C" w:rsidRPr="00F90716">
        <w:rPr>
          <w:lang w:val="en-GB"/>
        </w:rPr>
        <w:t xml:space="preserve"> </w:t>
      </w:r>
      <w:r w:rsidR="00A66370" w:rsidRPr="00E07EBA">
        <w:rPr>
          <w:lang w:val="en-GB"/>
        </w:rPr>
        <w:t xml:space="preserve">had been </w:t>
      </w:r>
      <w:r w:rsidR="0046175C" w:rsidRPr="00F90716">
        <w:rPr>
          <w:lang w:val="en-GB"/>
        </w:rPr>
        <w:t>the</w:t>
      </w:r>
      <w:r w:rsidR="000357B3" w:rsidRPr="00F90716">
        <w:rPr>
          <w:lang w:val="en-GB"/>
        </w:rPr>
        <w:t xml:space="preserve"> owner of the construction company in Afghanistan </w:t>
      </w:r>
      <w:r w:rsidR="00A66370" w:rsidRPr="00E07EBA">
        <w:rPr>
          <w:lang w:val="en-GB"/>
        </w:rPr>
        <w:t xml:space="preserve">that was to </w:t>
      </w:r>
      <w:r w:rsidR="000357B3" w:rsidRPr="00F90716">
        <w:rPr>
          <w:lang w:val="en-GB"/>
        </w:rPr>
        <w:t xml:space="preserve">repair the bridge. </w:t>
      </w:r>
    </w:p>
    <w:p w:rsidR="00DE6FAB" w:rsidRPr="00E07EBA" w:rsidRDefault="00DE6FAB" w:rsidP="00A66370">
      <w:pPr>
        <w:pStyle w:val="SingleTxtG"/>
        <w:rPr>
          <w:lang w:val="en-GB"/>
        </w:rPr>
      </w:pPr>
      <w:r w:rsidRPr="00F90716">
        <w:rPr>
          <w:lang w:val="en-GB"/>
        </w:rPr>
        <w:t>2.5</w:t>
      </w:r>
      <w:r w:rsidRPr="00F90716">
        <w:rPr>
          <w:lang w:val="en-GB"/>
        </w:rPr>
        <w:tab/>
      </w:r>
      <w:r w:rsidR="0046175C" w:rsidRPr="00F90716">
        <w:rPr>
          <w:lang w:val="en-GB"/>
        </w:rPr>
        <w:t xml:space="preserve">Shortly after interpreting </w:t>
      </w:r>
      <w:r w:rsidR="00A66370" w:rsidRPr="00F90716">
        <w:rPr>
          <w:lang w:val="en-GB"/>
        </w:rPr>
        <w:t>th</w:t>
      </w:r>
      <w:r w:rsidR="00A66370" w:rsidRPr="00E07EBA">
        <w:rPr>
          <w:lang w:val="en-GB"/>
        </w:rPr>
        <w:t>at</w:t>
      </w:r>
      <w:r w:rsidR="00A66370" w:rsidRPr="00F90716">
        <w:rPr>
          <w:lang w:val="en-GB"/>
        </w:rPr>
        <w:t xml:space="preserve"> </w:t>
      </w:r>
      <w:r w:rsidR="0046175C" w:rsidRPr="00F90716">
        <w:rPr>
          <w:lang w:val="en-GB"/>
        </w:rPr>
        <w:t>conversation, t</w:t>
      </w:r>
      <w:r w:rsidR="00DB2C7B" w:rsidRPr="00F90716">
        <w:rPr>
          <w:lang w:val="en-GB"/>
        </w:rPr>
        <w:t xml:space="preserve">he author was approached by </w:t>
      </w:r>
      <w:r w:rsidR="00723942" w:rsidRPr="00F90716">
        <w:rPr>
          <w:lang w:val="en-GB"/>
        </w:rPr>
        <w:t>A.M.W</w:t>
      </w:r>
      <w:r w:rsidR="00A66370" w:rsidRPr="00E07EBA">
        <w:rPr>
          <w:lang w:val="en-GB"/>
        </w:rPr>
        <w:t>.</w:t>
      </w:r>
      <w:r w:rsidR="0046175C" w:rsidRPr="00F90716">
        <w:rPr>
          <w:lang w:val="en-GB"/>
        </w:rPr>
        <w:t>,</w:t>
      </w:r>
      <w:r w:rsidR="00DB2C7B" w:rsidRPr="00F90716">
        <w:rPr>
          <w:lang w:val="en-GB"/>
        </w:rPr>
        <w:t xml:space="preserve"> who asked the author to inform him about any conversations concerning him</w:t>
      </w:r>
      <w:r w:rsidR="00DA6032" w:rsidRPr="00F90716">
        <w:rPr>
          <w:lang w:val="en-GB"/>
        </w:rPr>
        <w:t>, as he wanted to know what would happen to him</w:t>
      </w:r>
      <w:r w:rsidR="00DB2C7B" w:rsidRPr="00F90716">
        <w:rPr>
          <w:lang w:val="en-GB"/>
        </w:rPr>
        <w:t xml:space="preserve">. </w:t>
      </w:r>
      <w:r w:rsidR="00723942" w:rsidRPr="00F90716">
        <w:rPr>
          <w:lang w:val="en-GB"/>
        </w:rPr>
        <w:t>A.M.W</w:t>
      </w:r>
      <w:r w:rsidR="00A66370" w:rsidRPr="00E07EBA">
        <w:rPr>
          <w:lang w:val="en-GB"/>
        </w:rPr>
        <w:t>.</w:t>
      </w:r>
      <w:r w:rsidR="00DB2C7B" w:rsidRPr="00F90716">
        <w:rPr>
          <w:lang w:val="en-GB"/>
        </w:rPr>
        <w:t xml:space="preserve"> </w:t>
      </w:r>
      <w:r w:rsidR="00A66370" w:rsidRPr="00E07EBA">
        <w:rPr>
          <w:lang w:val="en-GB"/>
        </w:rPr>
        <w:t xml:space="preserve">told the author that, if he failed to inform him, he </w:t>
      </w:r>
      <w:r w:rsidR="00474FAD" w:rsidRPr="00F90716">
        <w:rPr>
          <w:lang w:val="en-GB"/>
        </w:rPr>
        <w:t>would</w:t>
      </w:r>
      <w:r w:rsidR="00DB2C7B" w:rsidRPr="00F90716">
        <w:rPr>
          <w:lang w:val="en-GB"/>
        </w:rPr>
        <w:t xml:space="preserve"> kill him.</w:t>
      </w:r>
      <w:r w:rsidR="003A563F" w:rsidRPr="00F90716">
        <w:rPr>
          <w:rStyle w:val="FootnoteReference"/>
          <w:lang w:val="en-GB"/>
        </w:rPr>
        <w:footnoteReference w:id="6"/>
      </w:r>
      <w:r w:rsidR="00DB2C7B" w:rsidRPr="00F90716">
        <w:rPr>
          <w:lang w:val="en-GB"/>
        </w:rPr>
        <w:t xml:space="preserve"> </w:t>
      </w:r>
    </w:p>
    <w:p w:rsidR="00067CF3" w:rsidRPr="00E07EBA" w:rsidRDefault="00DE6FAB" w:rsidP="003E5BED">
      <w:pPr>
        <w:pStyle w:val="SingleTxtG"/>
        <w:rPr>
          <w:lang w:val="en-GB"/>
        </w:rPr>
      </w:pPr>
      <w:r w:rsidRPr="00F90716">
        <w:rPr>
          <w:lang w:val="en-GB"/>
        </w:rPr>
        <w:t>2.6</w:t>
      </w:r>
      <w:r w:rsidRPr="00F90716">
        <w:rPr>
          <w:lang w:val="en-GB"/>
        </w:rPr>
        <w:tab/>
        <w:t xml:space="preserve">A few weeks later, at the end of June 2011, </w:t>
      </w:r>
      <w:r w:rsidR="00723942" w:rsidRPr="00F90716">
        <w:rPr>
          <w:lang w:val="en-GB"/>
        </w:rPr>
        <w:t>A.M.W</w:t>
      </w:r>
      <w:r w:rsidR="00A66370" w:rsidRPr="00E07EBA">
        <w:rPr>
          <w:lang w:val="en-GB"/>
        </w:rPr>
        <w:t>.</w:t>
      </w:r>
      <w:r w:rsidR="00DB2C7B" w:rsidRPr="00F90716">
        <w:rPr>
          <w:lang w:val="en-GB"/>
        </w:rPr>
        <w:t xml:space="preserve"> was allegedly arrested by </w:t>
      </w:r>
      <w:r w:rsidR="003E5BED" w:rsidRPr="00E07EBA">
        <w:rPr>
          <w:lang w:val="en-GB"/>
        </w:rPr>
        <w:t>United States s</w:t>
      </w:r>
      <w:r w:rsidR="007A1C99" w:rsidRPr="00F90716">
        <w:rPr>
          <w:lang w:val="en-GB"/>
        </w:rPr>
        <w:t xml:space="preserve">pecial </w:t>
      </w:r>
      <w:r w:rsidR="003E5BED" w:rsidRPr="00E07EBA">
        <w:rPr>
          <w:lang w:val="en-GB"/>
        </w:rPr>
        <w:t>f</w:t>
      </w:r>
      <w:r w:rsidR="007A1C99" w:rsidRPr="00F90716">
        <w:rPr>
          <w:lang w:val="en-GB"/>
        </w:rPr>
        <w:t>orces</w:t>
      </w:r>
      <w:r w:rsidR="00DA6032" w:rsidRPr="00F90716">
        <w:rPr>
          <w:lang w:val="en-GB"/>
        </w:rPr>
        <w:t xml:space="preserve"> and handed over</w:t>
      </w:r>
      <w:r w:rsidR="00DB2C7B" w:rsidRPr="00F90716">
        <w:rPr>
          <w:lang w:val="en-GB"/>
        </w:rPr>
        <w:t xml:space="preserve"> to the Afghan authorities. </w:t>
      </w:r>
    </w:p>
    <w:p w:rsidR="00067CF3" w:rsidRPr="00E07EBA" w:rsidRDefault="00067CF3" w:rsidP="00F32BA6">
      <w:pPr>
        <w:pStyle w:val="SingleTxtG"/>
        <w:rPr>
          <w:lang w:val="en-GB"/>
        </w:rPr>
      </w:pPr>
      <w:r w:rsidRPr="00F90716">
        <w:rPr>
          <w:lang w:val="en-GB"/>
        </w:rPr>
        <w:lastRenderedPageBreak/>
        <w:t>2.7</w:t>
      </w:r>
      <w:r w:rsidRPr="00F90716">
        <w:rPr>
          <w:lang w:val="en-GB"/>
        </w:rPr>
        <w:tab/>
        <w:t>T</w:t>
      </w:r>
      <w:r w:rsidR="00DB2C7B" w:rsidRPr="00F90716">
        <w:rPr>
          <w:lang w:val="en-GB"/>
        </w:rPr>
        <w:t xml:space="preserve">he author asked for </w:t>
      </w:r>
      <w:r w:rsidR="003E5BED" w:rsidRPr="00E07EBA">
        <w:rPr>
          <w:lang w:val="en-GB"/>
        </w:rPr>
        <w:t xml:space="preserve">vacation </w:t>
      </w:r>
      <w:r w:rsidR="00DB2C7B" w:rsidRPr="00F90716">
        <w:rPr>
          <w:lang w:val="en-GB"/>
        </w:rPr>
        <w:t>to visit his sister and her husband in Kandahar. Two days after he left</w:t>
      </w:r>
      <w:r w:rsidRPr="00F90716">
        <w:rPr>
          <w:lang w:val="en-GB"/>
        </w:rPr>
        <w:t>,</w:t>
      </w:r>
      <w:r w:rsidR="00DB2C7B" w:rsidRPr="00F90716">
        <w:rPr>
          <w:lang w:val="en-GB"/>
        </w:rPr>
        <w:t xml:space="preserve"> he received a call from </w:t>
      </w:r>
      <w:r w:rsidR="003E5BED" w:rsidRPr="00E07EBA">
        <w:rPr>
          <w:lang w:val="en-GB"/>
        </w:rPr>
        <w:t xml:space="preserve">a </w:t>
      </w:r>
      <w:r w:rsidR="00DB2C7B" w:rsidRPr="00F90716">
        <w:rPr>
          <w:lang w:val="en-GB"/>
        </w:rPr>
        <w:t>colleague in</w:t>
      </w:r>
      <w:r w:rsidRPr="00F90716">
        <w:rPr>
          <w:lang w:val="en-GB"/>
        </w:rPr>
        <w:t xml:space="preserve">forming him that </w:t>
      </w:r>
      <w:r w:rsidR="00723942" w:rsidRPr="00F90716">
        <w:rPr>
          <w:lang w:val="en-GB"/>
        </w:rPr>
        <w:t>A.M.W</w:t>
      </w:r>
      <w:r w:rsidR="00A66370" w:rsidRPr="00E07EBA">
        <w:rPr>
          <w:lang w:val="en-GB"/>
        </w:rPr>
        <w:t>.</w:t>
      </w:r>
      <w:r w:rsidR="00F92236" w:rsidRPr="00F90716">
        <w:rPr>
          <w:lang w:val="en-GB"/>
        </w:rPr>
        <w:t xml:space="preserve"> </w:t>
      </w:r>
      <w:r w:rsidRPr="00F90716">
        <w:rPr>
          <w:lang w:val="en-GB"/>
        </w:rPr>
        <w:t>had been released. During his family visit, while</w:t>
      </w:r>
      <w:r w:rsidR="00DB2C7B" w:rsidRPr="00F90716">
        <w:rPr>
          <w:lang w:val="en-GB"/>
        </w:rPr>
        <w:t xml:space="preserve"> the author and his sister were away, his brother-in-law was killed. </w:t>
      </w:r>
      <w:r w:rsidRPr="00F90716">
        <w:rPr>
          <w:lang w:val="en-GB"/>
        </w:rPr>
        <w:t>The victim was found dead with stab wounds and his head cut</w:t>
      </w:r>
      <w:r w:rsidR="003E5BED" w:rsidRPr="00E07EBA">
        <w:rPr>
          <w:lang w:val="en-GB"/>
        </w:rPr>
        <w:t xml:space="preserve"> </w:t>
      </w:r>
      <w:r w:rsidRPr="00F90716">
        <w:rPr>
          <w:lang w:val="en-GB"/>
        </w:rPr>
        <w:t xml:space="preserve">off. </w:t>
      </w:r>
      <w:r w:rsidR="003E5BED" w:rsidRPr="00E07EBA">
        <w:rPr>
          <w:lang w:val="en-GB"/>
        </w:rPr>
        <w:t>N</w:t>
      </w:r>
      <w:r w:rsidR="00DB2C7B" w:rsidRPr="00F90716">
        <w:rPr>
          <w:lang w:val="en-GB"/>
        </w:rPr>
        <w:t xml:space="preserve">eighbours </w:t>
      </w:r>
      <w:r w:rsidR="003E5BED" w:rsidRPr="00E07EBA">
        <w:rPr>
          <w:lang w:val="en-GB"/>
        </w:rPr>
        <w:t xml:space="preserve">had reportedly </w:t>
      </w:r>
      <w:r w:rsidR="00DB2C7B" w:rsidRPr="00F90716">
        <w:rPr>
          <w:lang w:val="en-GB"/>
        </w:rPr>
        <w:t xml:space="preserve">heard some men </w:t>
      </w:r>
      <w:r w:rsidR="00F32BA6" w:rsidRPr="00E07EBA">
        <w:rPr>
          <w:lang w:val="en-GB"/>
        </w:rPr>
        <w:t xml:space="preserve">outside the house </w:t>
      </w:r>
      <w:r w:rsidR="00DB2C7B" w:rsidRPr="00F90716">
        <w:rPr>
          <w:lang w:val="en-GB"/>
        </w:rPr>
        <w:t>asking about an interpreter</w:t>
      </w:r>
      <w:r w:rsidR="005B46C1" w:rsidRPr="00F90716">
        <w:rPr>
          <w:lang w:val="en-GB"/>
        </w:rPr>
        <w:t xml:space="preserve"> and</w:t>
      </w:r>
      <w:r w:rsidR="00480BAE" w:rsidRPr="00F90716">
        <w:rPr>
          <w:lang w:val="en-GB"/>
        </w:rPr>
        <w:t xml:space="preserve"> for the author</w:t>
      </w:r>
      <w:r w:rsidR="00F32BA6" w:rsidRPr="00E07EBA">
        <w:rPr>
          <w:lang w:val="en-GB"/>
        </w:rPr>
        <w:t>,</w:t>
      </w:r>
      <w:r w:rsidR="00480BAE" w:rsidRPr="00F90716">
        <w:rPr>
          <w:lang w:val="en-GB"/>
        </w:rPr>
        <w:t xml:space="preserve"> </w:t>
      </w:r>
      <w:r w:rsidR="00F32BA6" w:rsidRPr="00E07EBA">
        <w:rPr>
          <w:lang w:val="en-GB"/>
        </w:rPr>
        <w:t xml:space="preserve">using his </w:t>
      </w:r>
      <w:r w:rsidR="00480BAE" w:rsidRPr="00F90716">
        <w:rPr>
          <w:lang w:val="en-GB"/>
        </w:rPr>
        <w:t>first name</w:t>
      </w:r>
      <w:r w:rsidR="00DB2C7B" w:rsidRPr="00F90716">
        <w:rPr>
          <w:lang w:val="en-GB"/>
        </w:rPr>
        <w:t xml:space="preserve">. </w:t>
      </w:r>
      <w:r w:rsidR="00494D6A" w:rsidRPr="00F90716">
        <w:rPr>
          <w:lang w:val="en-GB"/>
        </w:rPr>
        <w:t xml:space="preserve">The author unsuccessfully tried to contact </w:t>
      </w:r>
      <w:r w:rsidR="00723942" w:rsidRPr="00F90716">
        <w:rPr>
          <w:lang w:val="en-GB"/>
        </w:rPr>
        <w:t>M.W.</w:t>
      </w:r>
      <w:r w:rsidR="00494D6A" w:rsidRPr="00F90716">
        <w:rPr>
          <w:lang w:val="en-GB"/>
        </w:rPr>
        <w:t xml:space="preserve"> on several occasions. </w:t>
      </w:r>
      <w:r w:rsidR="00DB2C7B" w:rsidRPr="00F90716">
        <w:rPr>
          <w:lang w:val="en-GB"/>
        </w:rPr>
        <w:t>Two days after the funeral of his brother-in-law</w:t>
      </w:r>
      <w:r w:rsidRPr="00F90716">
        <w:rPr>
          <w:lang w:val="en-GB"/>
        </w:rPr>
        <w:t>,</w:t>
      </w:r>
      <w:r w:rsidR="00DB2C7B" w:rsidRPr="00F90716">
        <w:rPr>
          <w:lang w:val="en-GB"/>
        </w:rPr>
        <w:t xml:space="preserve"> the author, his sister and her children left for Iran.</w:t>
      </w:r>
      <w:r w:rsidR="00484A40" w:rsidRPr="00F90716">
        <w:rPr>
          <w:lang w:val="en-GB"/>
        </w:rPr>
        <w:t xml:space="preserve"> </w:t>
      </w:r>
    </w:p>
    <w:p w:rsidR="0084582D" w:rsidRPr="00E07EBA" w:rsidRDefault="00067CF3" w:rsidP="00F32BA6">
      <w:pPr>
        <w:pStyle w:val="SingleTxtG"/>
        <w:rPr>
          <w:lang w:val="en-GB"/>
        </w:rPr>
      </w:pPr>
      <w:r w:rsidRPr="00F90716">
        <w:rPr>
          <w:lang w:val="en-GB"/>
        </w:rPr>
        <w:t>2.8</w:t>
      </w:r>
      <w:r w:rsidR="00DB2C7B" w:rsidRPr="00F90716">
        <w:rPr>
          <w:lang w:val="en-GB"/>
        </w:rPr>
        <w:tab/>
        <w:t xml:space="preserve">The author arrived </w:t>
      </w:r>
      <w:r w:rsidR="00F32BA6" w:rsidRPr="00E07EBA">
        <w:rPr>
          <w:lang w:val="en-GB"/>
        </w:rPr>
        <w:t xml:space="preserve">in </w:t>
      </w:r>
      <w:r w:rsidR="00DB2C7B" w:rsidRPr="00F90716">
        <w:rPr>
          <w:lang w:val="en-GB"/>
        </w:rPr>
        <w:t>Denmark on 27 September 20</w:t>
      </w:r>
      <w:r w:rsidR="00352774">
        <w:rPr>
          <w:lang w:val="en-GB"/>
        </w:rPr>
        <w:t>11 and applied for asylum on 30 </w:t>
      </w:r>
      <w:r w:rsidR="00DB2C7B" w:rsidRPr="00F90716">
        <w:rPr>
          <w:lang w:val="en-GB"/>
        </w:rPr>
        <w:t>September</w:t>
      </w:r>
      <w:r w:rsidR="00F32BA6" w:rsidRPr="00E07EBA">
        <w:rPr>
          <w:lang w:val="en-GB"/>
        </w:rPr>
        <w:t xml:space="preserve">, on the grounds of </w:t>
      </w:r>
      <w:r w:rsidR="00DB2C7B" w:rsidRPr="00F90716">
        <w:rPr>
          <w:lang w:val="en-GB"/>
        </w:rPr>
        <w:t xml:space="preserve">fear </w:t>
      </w:r>
      <w:r w:rsidR="00F32BA6" w:rsidRPr="00E07EBA">
        <w:rPr>
          <w:lang w:val="en-GB"/>
        </w:rPr>
        <w:t xml:space="preserve">of </w:t>
      </w:r>
      <w:r w:rsidR="00DB2C7B" w:rsidRPr="00F90716">
        <w:rPr>
          <w:lang w:val="en-GB"/>
        </w:rPr>
        <w:t>a</w:t>
      </w:r>
      <w:r w:rsidR="00F32BA6" w:rsidRPr="00E07EBA">
        <w:rPr>
          <w:lang w:val="en-GB"/>
        </w:rPr>
        <w:t>n</w:t>
      </w:r>
      <w:r w:rsidR="00DB2C7B" w:rsidRPr="00F90716">
        <w:rPr>
          <w:lang w:val="en-GB"/>
        </w:rPr>
        <w:t xml:space="preserve"> </w:t>
      </w:r>
      <w:r w:rsidR="00F32BA6" w:rsidRPr="00E07EBA">
        <w:rPr>
          <w:lang w:val="en-GB"/>
        </w:rPr>
        <w:t xml:space="preserve">Afghan </w:t>
      </w:r>
      <w:r w:rsidR="00DB2C7B" w:rsidRPr="00F90716">
        <w:rPr>
          <w:lang w:val="en-GB"/>
        </w:rPr>
        <w:t>colonel with connection</w:t>
      </w:r>
      <w:r w:rsidR="00F32BA6" w:rsidRPr="00E07EBA">
        <w:rPr>
          <w:lang w:val="en-GB"/>
        </w:rPr>
        <w:t>s</w:t>
      </w:r>
      <w:r w:rsidR="00DB2C7B" w:rsidRPr="00F90716">
        <w:rPr>
          <w:lang w:val="en-GB"/>
        </w:rPr>
        <w:t xml:space="preserve"> to the Taliban from whom he </w:t>
      </w:r>
      <w:r w:rsidR="00F32BA6" w:rsidRPr="00E07EBA">
        <w:rPr>
          <w:lang w:val="en-GB"/>
        </w:rPr>
        <w:t xml:space="preserve">had </w:t>
      </w:r>
      <w:r w:rsidR="00DB2C7B" w:rsidRPr="00F90716">
        <w:rPr>
          <w:lang w:val="en-GB"/>
        </w:rPr>
        <w:t xml:space="preserve">kept information. The </w:t>
      </w:r>
      <w:r w:rsidR="00F32BA6" w:rsidRPr="00E07EBA">
        <w:rPr>
          <w:lang w:val="en-GB"/>
        </w:rPr>
        <w:t>i</w:t>
      </w:r>
      <w:r w:rsidR="00DB2C7B" w:rsidRPr="00F90716">
        <w:rPr>
          <w:lang w:val="en-GB"/>
        </w:rPr>
        <w:t xml:space="preserve">mmigration </w:t>
      </w:r>
      <w:r w:rsidR="00F32BA6" w:rsidRPr="00E07EBA">
        <w:rPr>
          <w:lang w:val="en-GB"/>
        </w:rPr>
        <w:t>s</w:t>
      </w:r>
      <w:r w:rsidR="00DB2C7B" w:rsidRPr="00F90716">
        <w:rPr>
          <w:lang w:val="en-GB"/>
        </w:rPr>
        <w:t xml:space="preserve">ervice rejected </w:t>
      </w:r>
      <w:r w:rsidR="00F32BA6" w:rsidRPr="00E07EBA">
        <w:rPr>
          <w:lang w:val="en-GB"/>
        </w:rPr>
        <w:t xml:space="preserve">the </w:t>
      </w:r>
      <w:r w:rsidR="00DB2C7B" w:rsidRPr="00F90716">
        <w:rPr>
          <w:lang w:val="en-GB"/>
        </w:rPr>
        <w:t>application on 13 July 2012</w:t>
      </w:r>
      <w:r w:rsidR="00035062" w:rsidRPr="00F90716">
        <w:rPr>
          <w:lang w:val="en-GB"/>
        </w:rPr>
        <w:t xml:space="preserve"> </w:t>
      </w:r>
      <w:r w:rsidR="00F32BA6" w:rsidRPr="00E07EBA">
        <w:rPr>
          <w:lang w:val="en-GB"/>
        </w:rPr>
        <w:t xml:space="preserve">owing to </w:t>
      </w:r>
      <w:r w:rsidR="00035062" w:rsidRPr="00F90716">
        <w:rPr>
          <w:lang w:val="en-GB"/>
        </w:rPr>
        <w:t xml:space="preserve">inconsistencies in dates, which </w:t>
      </w:r>
      <w:r w:rsidR="00F32BA6" w:rsidRPr="00E07EBA">
        <w:rPr>
          <w:lang w:val="en-GB"/>
        </w:rPr>
        <w:t xml:space="preserve">had </w:t>
      </w:r>
      <w:r w:rsidR="00035062" w:rsidRPr="00F90716">
        <w:rPr>
          <w:lang w:val="en-GB"/>
        </w:rPr>
        <w:t>affected credibility</w:t>
      </w:r>
      <w:r w:rsidR="00DB2C7B" w:rsidRPr="00F90716">
        <w:rPr>
          <w:lang w:val="en-GB"/>
        </w:rPr>
        <w:t xml:space="preserve">. The </w:t>
      </w:r>
      <w:r w:rsidR="00F32BA6" w:rsidRPr="00E07EBA">
        <w:rPr>
          <w:lang w:val="en-GB"/>
        </w:rPr>
        <w:t>r</w:t>
      </w:r>
      <w:r w:rsidR="00DB2C7B" w:rsidRPr="00F90716">
        <w:rPr>
          <w:lang w:val="en-GB"/>
        </w:rPr>
        <w:t xml:space="preserve">efugee </w:t>
      </w:r>
      <w:r w:rsidR="00F32BA6" w:rsidRPr="00E07EBA">
        <w:rPr>
          <w:lang w:val="en-GB"/>
        </w:rPr>
        <w:t>a</w:t>
      </w:r>
      <w:r w:rsidR="00DB2C7B" w:rsidRPr="00F90716">
        <w:rPr>
          <w:lang w:val="en-GB"/>
        </w:rPr>
        <w:t xml:space="preserve">ppeals </w:t>
      </w:r>
      <w:r w:rsidR="00F32BA6" w:rsidRPr="00E07EBA">
        <w:rPr>
          <w:lang w:val="en-GB"/>
        </w:rPr>
        <w:t>b</w:t>
      </w:r>
      <w:r w:rsidR="00DB2C7B" w:rsidRPr="00F90716">
        <w:rPr>
          <w:lang w:val="en-GB"/>
        </w:rPr>
        <w:t xml:space="preserve">oard </w:t>
      </w:r>
      <w:r w:rsidR="00035062" w:rsidRPr="00F90716">
        <w:rPr>
          <w:lang w:val="en-GB"/>
        </w:rPr>
        <w:t xml:space="preserve">subsequently </w:t>
      </w:r>
      <w:r w:rsidR="00DB2C7B" w:rsidRPr="00F90716">
        <w:rPr>
          <w:lang w:val="en-GB"/>
        </w:rPr>
        <w:t xml:space="preserve">rejected </w:t>
      </w:r>
      <w:r w:rsidR="00F32BA6" w:rsidRPr="00E07EBA">
        <w:rPr>
          <w:lang w:val="en-GB"/>
        </w:rPr>
        <w:t xml:space="preserve">the </w:t>
      </w:r>
      <w:r w:rsidR="00DB2C7B" w:rsidRPr="00F90716">
        <w:rPr>
          <w:lang w:val="en-GB"/>
        </w:rPr>
        <w:t>application on 31 January 2013.</w:t>
      </w:r>
      <w:r w:rsidR="00484A40" w:rsidRPr="00F90716">
        <w:rPr>
          <w:lang w:val="en-GB"/>
        </w:rPr>
        <w:t xml:space="preserve"> </w:t>
      </w:r>
      <w:r w:rsidR="007B5E7F" w:rsidRPr="00F90716">
        <w:rPr>
          <w:lang w:val="en-GB"/>
        </w:rPr>
        <w:t>The author claims that he has exhausted domestic remedies.</w:t>
      </w:r>
    </w:p>
    <w:p w:rsidR="0084582D" w:rsidRPr="00E07EBA" w:rsidRDefault="0084582D" w:rsidP="00F32BA6">
      <w:pPr>
        <w:pStyle w:val="SingleTxtG"/>
        <w:rPr>
          <w:lang w:val="en-GB"/>
        </w:rPr>
      </w:pPr>
      <w:r w:rsidRPr="00F90716">
        <w:rPr>
          <w:lang w:val="en-GB"/>
        </w:rPr>
        <w:t>2.9</w:t>
      </w:r>
      <w:r w:rsidR="00035062" w:rsidRPr="00F90716">
        <w:rPr>
          <w:lang w:val="en-GB"/>
        </w:rPr>
        <w:tab/>
      </w:r>
      <w:r w:rsidR="00DB2C7B" w:rsidRPr="00F90716">
        <w:rPr>
          <w:lang w:val="en-GB"/>
        </w:rPr>
        <w:t xml:space="preserve">The author refers to the </w:t>
      </w:r>
      <w:r w:rsidR="00F32BA6" w:rsidRPr="00E07EBA">
        <w:rPr>
          <w:lang w:val="en-GB"/>
        </w:rPr>
        <w:t xml:space="preserve">2012 </w:t>
      </w:r>
      <w:r w:rsidR="00DB2C7B" w:rsidRPr="00F90716">
        <w:rPr>
          <w:lang w:val="en-GB"/>
        </w:rPr>
        <w:t xml:space="preserve">report of the Danish </w:t>
      </w:r>
      <w:r w:rsidR="00F32BA6" w:rsidRPr="00E07EBA">
        <w:rPr>
          <w:lang w:val="en-GB"/>
        </w:rPr>
        <w:t>i</w:t>
      </w:r>
      <w:r w:rsidR="00DB2C7B" w:rsidRPr="00F90716">
        <w:rPr>
          <w:lang w:val="en-GB"/>
        </w:rPr>
        <w:t xml:space="preserve">mmigration </w:t>
      </w:r>
      <w:r w:rsidR="00F32BA6" w:rsidRPr="00E07EBA">
        <w:rPr>
          <w:lang w:val="en-GB"/>
        </w:rPr>
        <w:t>s</w:t>
      </w:r>
      <w:r w:rsidR="00DB2C7B" w:rsidRPr="00F90716">
        <w:rPr>
          <w:lang w:val="en-GB"/>
        </w:rPr>
        <w:t xml:space="preserve">ervice </w:t>
      </w:r>
      <w:r w:rsidR="00F32BA6" w:rsidRPr="00E07EBA">
        <w:rPr>
          <w:lang w:val="en-GB"/>
        </w:rPr>
        <w:t xml:space="preserve">on </w:t>
      </w:r>
      <w:r w:rsidR="00DB2C7B" w:rsidRPr="00F90716">
        <w:rPr>
          <w:lang w:val="en-GB"/>
        </w:rPr>
        <w:t xml:space="preserve">the risk </w:t>
      </w:r>
      <w:r w:rsidR="00F32BA6" w:rsidRPr="00E07EBA">
        <w:rPr>
          <w:lang w:val="en-GB"/>
        </w:rPr>
        <w:t xml:space="preserve">to Afghan employees of western companies, especially interpreters, </w:t>
      </w:r>
      <w:r w:rsidR="00DB2C7B" w:rsidRPr="00F90716">
        <w:rPr>
          <w:lang w:val="en-GB"/>
        </w:rPr>
        <w:t xml:space="preserve">of assault and murder by rebel groups, including the Taliban. In </w:t>
      </w:r>
      <w:r w:rsidR="00F32BA6" w:rsidRPr="00E07EBA">
        <w:rPr>
          <w:lang w:val="en-GB"/>
        </w:rPr>
        <w:t xml:space="preserve">that </w:t>
      </w:r>
      <w:r w:rsidR="00DB2C7B" w:rsidRPr="00F90716">
        <w:rPr>
          <w:lang w:val="en-GB"/>
        </w:rPr>
        <w:t>context</w:t>
      </w:r>
      <w:r w:rsidR="00F32BA6" w:rsidRPr="00E07EBA">
        <w:rPr>
          <w:lang w:val="en-GB"/>
        </w:rPr>
        <w:t>,</w:t>
      </w:r>
      <w:r w:rsidR="00DB2C7B" w:rsidRPr="00F90716">
        <w:rPr>
          <w:lang w:val="en-GB"/>
        </w:rPr>
        <w:t xml:space="preserve"> the author also refers to </w:t>
      </w:r>
      <w:r w:rsidR="00F32BA6" w:rsidRPr="00E07EBA">
        <w:rPr>
          <w:lang w:val="en-GB"/>
        </w:rPr>
        <w:t xml:space="preserve">pages </w:t>
      </w:r>
      <w:r w:rsidR="00F32BA6" w:rsidRPr="00E07EBA">
        <w:t>34</w:t>
      </w:r>
      <w:r w:rsidR="00F32BA6" w:rsidRPr="00E07EBA">
        <w:rPr>
          <w:lang w:val="en-US"/>
        </w:rPr>
        <w:t xml:space="preserve"> and </w:t>
      </w:r>
      <w:r w:rsidR="00F32BA6" w:rsidRPr="00E07EBA">
        <w:t>35</w:t>
      </w:r>
      <w:r w:rsidR="00F32BA6" w:rsidRPr="00E07EBA">
        <w:rPr>
          <w:lang w:val="en-US"/>
        </w:rPr>
        <w:t xml:space="preserve"> of </w:t>
      </w:r>
      <w:r w:rsidR="00DB2C7B" w:rsidRPr="00F90716">
        <w:rPr>
          <w:lang w:val="en-GB"/>
        </w:rPr>
        <w:t xml:space="preserve">the </w:t>
      </w:r>
      <w:r w:rsidR="00F32BA6" w:rsidRPr="00E07EBA">
        <w:rPr>
          <w:lang w:val="en-GB"/>
        </w:rPr>
        <w:t>Office of the United Nations High Commissioner for Refugees (</w:t>
      </w:r>
      <w:r w:rsidR="00DB2C7B" w:rsidRPr="00F90716">
        <w:rPr>
          <w:lang w:val="en-GB"/>
        </w:rPr>
        <w:t>UNHCR</w:t>
      </w:r>
      <w:r w:rsidR="00F32BA6" w:rsidRPr="00E07EBA">
        <w:rPr>
          <w:lang w:val="en-GB"/>
        </w:rPr>
        <w:t>)</w:t>
      </w:r>
      <w:r w:rsidR="00DB2C7B" w:rsidRPr="00F90716">
        <w:rPr>
          <w:lang w:val="en-GB"/>
        </w:rPr>
        <w:t xml:space="preserve"> Eligibility Guidelines</w:t>
      </w:r>
      <w:r w:rsidR="0046175C" w:rsidRPr="00F90716">
        <w:rPr>
          <w:lang w:val="en-GB"/>
        </w:rPr>
        <w:t xml:space="preserve"> for </w:t>
      </w:r>
      <w:r w:rsidR="00F32BA6" w:rsidRPr="00E07EBA">
        <w:rPr>
          <w:lang w:val="en-GB"/>
        </w:rPr>
        <w:t>A</w:t>
      </w:r>
      <w:r w:rsidR="0046175C" w:rsidRPr="00F90716">
        <w:rPr>
          <w:lang w:val="en-GB"/>
        </w:rPr>
        <w:t xml:space="preserve">ssessing the </w:t>
      </w:r>
      <w:r w:rsidR="00F32BA6" w:rsidRPr="00E07EBA">
        <w:rPr>
          <w:lang w:val="en-GB"/>
        </w:rPr>
        <w:t>I</w:t>
      </w:r>
      <w:r w:rsidR="0046175C" w:rsidRPr="00F90716">
        <w:rPr>
          <w:lang w:val="en-GB"/>
        </w:rPr>
        <w:t xml:space="preserve">nternational </w:t>
      </w:r>
      <w:r w:rsidR="00F32BA6" w:rsidRPr="00E07EBA">
        <w:rPr>
          <w:lang w:val="en-GB"/>
        </w:rPr>
        <w:t>P</w:t>
      </w:r>
      <w:r w:rsidR="0046175C" w:rsidRPr="00F90716">
        <w:rPr>
          <w:lang w:val="en-GB"/>
        </w:rPr>
        <w:t xml:space="preserve">rotection </w:t>
      </w:r>
      <w:r w:rsidR="00F32BA6" w:rsidRPr="00E07EBA">
        <w:rPr>
          <w:lang w:val="en-GB"/>
        </w:rPr>
        <w:t>N</w:t>
      </w:r>
      <w:r w:rsidR="0046175C" w:rsidRPr="00F90716">
        <w:rPr>
          <w:lang w:val="en-GB"/>
        </w:rPr>
        <w:t xml:space="preserve">eeds of </w:t>
      </w:r>
      <w:r w:rsidR="00F32BA6" w:rsidRPr="00E07EBA">
        <w:rPr>
          <w:lang w:val="en-GB"/>
        </w:rPr>
        <w:t>A</w:t>
      </w:r>
      <w:r w:rsidR="0046175C" w:rsidRPr="00F90716">
        <w:rPr>
          <w:lang w:val="en-GB"/>
        </w:rPr>
        <w:t>sylum</w:t>
      </w:r>
      <w:r w:rsidR="00F32BA6" w:rsidRPr="00E07EBA">
        <w:rPr>
          <w:lang w:val="en-GB"/>
        </w:rPr>
        <w:t xml:space="preserve"> S</w:t>
      </w:r>
      <w:r w:rsidR="0046175C" w:rsidRPr="00F90716">
        <w:rPr>
          <w:lang w:val="en-GB"/>
        </w:rPr>
        <w:t>eekers from Afghanistan</w:t>
      </w:r>
      <w:r w:rsidR="00DB2C7B" w:rsidRPr="00F90716">
        <w:rPr>
          <w:lang w:val="en-GB"/>
        </w:rPr>
        <w:t>.</w:t>
      </w:r>
      <w:r w:rsidR="000F2EF4" w:rsidRPr="00F90716">
        <w:rPr>
          <w:rStyle w:val="FootnoteReference"/>
          <w:lang w:val="en-GB"/>
        </w:rPr>
        <w:footnoteReference w:id="7"/>
      </w:r>
      <w:r w:rsidR="00DB2C7B" w:rsidRPr="00F90716">
        <w:rPr>
          <w:lang w:val="en-GB"/>
        </w:rPr>
        <w:t xml:space="preserve"> </w:t>
      </w:r>
    </w:p>
    <w:p w:rsidR="0084582D" w:rsidRPr="00E07EBA" w:rsidRDefault="00484A40" w:rsidP="00484A40">
      <w:pPr>
        <w:pStyle w:val="H23G"/>
      </w:pPr>
      <w:r w:rsidRPr="00E07EBA">
        <w:tab/>
      </w:r>
      <w:r w:rsidRPr="00E07EBA">
        <w:tab/>
      </w:r>
      <w:r w:rsidR="00DF0EC1" w:rsidRPr="00E07EBA">
        <w:t>The complaint</w:t>
      </w:r>
    </w:p>
    <w:p w:rsidR="0084582D" w:rsidRPr="00E07EBA" w:rsidRDefault="00484A40" w:rsidP="00F32BA6">
      <w:pPr>
        <w:pStyle w:val="SingleTxtG"/>
        <w:rPr>
          <w:lang w:val="en-GB"/>
        </w:rPr>
      </w:pPr>
      <w:r w:rsidRPr="00F90716">
        <w:rPr>
          <w:lang w:val="en-GB"/>
        </w:rPr>
        <w:t>3.1</w:t>
      </w:r>
      <w:r w:rsidR="001B1F21" w:rsidRPr="00F90716">
        <w:rPr>
          <w:lang w:val="en-GB"/>
        </w:rPr>
        <w:tab/>
      </w:r>
      <w:r w:rsidR="00DB2C7B" w:rsidRPr="00F90716">
        <w:rPr>
          <w:lang w:val="en-GB"/>
        </w:rPr>
        <w:t xml:space="preserve">The author </w:t>
      </w:r>
      <w:r w:rsidR="000B705A" w:rsidRPr="00F90716">
        <w:rPr>
          <w:lang w:val="en-GB"/>
        </w:rPr>
        <w:t xml:space="preserve">invokes article 7 of the Covenant. He </w:t>
      </w:r>
      <w:r w:rsidR="00DB2C7B" w:rsidRPr="00F90716">
        <w:rPr>
          <w:lang w:val="en-GB"/>
        </w:rPr>
        <w:t xml:space="preserve">alleges that his brother-in-law was killed by people allegedly linked to </w:t>
      </w:r>
      <w:r w:rsidR="005B46C1" w:rsidRPr="00F90716">
        <w:rPr>
          <w:lang w:val="en-GB"/>
        </w:rPr>
        <w:t>A.M.W</w:t>
      </w:r>
      <w:r w:rsidR="00A66370" w:rsidRPr="00E07EBA">
        <w:rPr>
          <w:lang w:val="en-GB"/>
        </w:rPr>
        <w:t>.</w:t>
      </w:r>
      <w:r w:rsidR="00DB2C7B" w:rsidRPr="00F90716">
        <w:rPr>
          <w:lang w:val="en-GB"/>
        </w:rPr>
        <w:t xml:space="preserve">, who is connected to the Taliban, and fears that he himself </w:t>
      </w:r>
      <w:r w:rsidR="00F32BA6" w:rsidRPr="00E07EBA">
        <w:rPr>
          <w:lang w:val="en-GB"/>
        </w:rPr>
        <w:t xml:space="preserve">has been </w:t>
      </w:r>
      <w:r w:rsidR="00DB2C7B" w:rsidRPr="00F90716">
        <w:rPr>
          <w:lang w:val="en-GB"/>
        </w:rPr>
        <w:t>persecuted by the Taliban. He fears that</w:t>
      </w:r>
      <w:r w:rsidR="00F32BA6" w:rsidRPr="00E07EBA">
        <w:rPr>
          <w:lang w:val="en-GB"/>
        </w:rPr>
        <w:t>,</w:t>
      </w:r>
      <w:r w:rsidR="00DB2C7B" w:rsidRPr="00F90716">
        <w:rPr>
          <w:lang w:val="en-GB"/>
        </w:rPr>
        <w:t xml:space="preserve"> if returned to Afghanistan</w:t>
      </w:r>
      <w:r w:rsidR="00F32BA6" w:rsidRPr="00E07EBA">
        <w:rPr>
          <w:lang w:val="en-GB"/>
        </w:rPr>
        <w:t>,</w:t>
      </w:r>
      <w:r w:rsidR="00DB2C7B" w:rsidRPr="00F90716">
        <w:rPr>
          <w:lang w:val="en-GB"/>
        </w:rPr>
        <w:t xml:space="preserve"> he </w:t>
      </w:r>
      <w:r w:rsidR="00F32BA6" w:rsidRPr="00E07EBA">
        <w:rPr>
          <w:lang w:val="en-GB"/>
        </w:rPr>
        <w:t xml:space="preserve">would </w:t>
      </w:r>
      <w:r w:rsidR="00DB2C7B" w:rsidRPr="00F90716">
        <w:rPr>
          <w:lang w:val="en-GB"/>
        </w:rPr>
        <w:t xml:space="preserve">be at risk of assault or abuse from the Taliban and the local population because he worked for American forces for </w:t>
      </w:r>
      <w:r w:rsidR="000B705A" w:rsidRPr="00F90716">
        <w:rPr>
          <w:lang w:val="en-GB"/>
        </w:rPr>
        <w:t>two</w:t>
      </w:r>
      <w:r w:rsidR="00DB2C7B" w:rsidRPr="00F90716">
        <w:rPr>
          <w:lang w:val="en-GB"/>
        </w:rPr>
        <w:t xml:space="preserve"> years and is perceived as a traitor.</w:t>
      </w:r>
      <w:r w:rsidRPr="00F90716">
        <w:rPr>
          <w:lang w:val="en-GB"/>
        </w:rPr>
        <w:t xml:space="preserve"> </w:t>
      </w:r>
    </w:p>
    <w:p w:rsidR="003C4946" w:rsidRPr="00E07EBA" w:rsidRDefault="00484A40" w:rsidP="006411AF">
      <w:pPr>
        <w:pStyle w:val="SingleTxtG"/>
        <w:rPr>
          <w:lang w:val="en-GB"/>
        </w:rPr>
      </w:pPr>
      <w:r w:rsidRPr="00F90716">
        <w:rPr>
          <w:lang w:val="en-GB"/>
        </w:rPr>
        <w:t>3.2</w:t>
      </w:r>
      <w:r w:rsidR="000B705A" w:rsidRPr="00F90716">
        <w:rPr>
          <w:lang w:val="en-GB"/>
        </w:rPr>
        <w:tab/>
      </w:r>
      <w:r w:rsidR="00F32BA6" w:rsidRPr="00E07EBA">
        <w:rPr>
          <w:lang w:val="en-GB"/>
        </w:rPr>
        <w:t>T</w:t>
      </w:r>
      <w:r w:rsidR="00483777" w:rsidRPr="00F90716">
        <w:rPr>
          <w:lang w:val="en-GB"/>
        </w:rPr>
        <w:t xml:space="preserve">he author </w:t>
      </w:r>
      <w:r w:rsidR="00F32BA6" w:rsidRPr="00E07EBA">
        <w:rPr>
          <w:lang w:val="en-GB"/>
        </w:rPr>
        <w:t xml:space="preserve">states that the </w:t>
      </w:r>
      <w:r w:rsidR="00483777" w:rsidRPr="00F90716">
        <w:rPr>
          <w:lang w:val="en-GB"/>
        </w:rPr>
        <w:t xml:space="preserve">inconsistencies in </w:t>
      </w:r>
      <w:r w:rsidR="006411AF" w:rsidRPr="00E07EBA">
        <w:rPr>
          <w:lang w:val="en-GB"/>
        </w:rPr>
        <w:t xml:space="preserve">his </w:t>
      </w:r>
      <w:r w:rsidR="00483777" w:rsidRPr="00F90716">
        <w:rPr>
          <w:lang w:val="en-GB"/>
        </w:rPr>
        <w:t>report</w:t>
      </w:r>
      <w:r w:rsidR="006411AF" w:rsidRPr="00E07EBA">
        <w:rPr>
          <w:lang w:val="en-GB"/>
        </w:rPr>
        <w:t>ed</w:t>
      </w:r>
      <w:r w:rsidR="00483777" w:rsidRPr="00F90716">
        <w:rPr>
          <w:lang w:val="en-GB"/>
        </w:rPr>
        <w:t xml:space="preserve"> dates</w:t>
      </w:r>
      <w:r w:rsidR="00483777" w:rsidRPr="00F90716">
        <w:rPr>
          <w:rStyle w:val="FootnoteReference"/>
          <w:lang w:val="en-GB"/>
        </w:rPr>
        <w:footnoteReference w:id="8"/>
      </w:r>
      <w:r w:rsidR="003C4946" w:rsidRPr="00F90716">
        <w:rPr>
          <w:lang w:val="en-GB"/>
        </w:rPr>
        <w:t xml:space="preserve"> </w:t>
      </w:r>
      <w:r w:rsidR="006411AF" w:rsidRPr="00E07EBA">
        <w:rPr>
          <w:lang w:val="en-GB"/>
        </w:rPr>
        <w:t xml:space="preserve">were due to </w:t>
      </w:r>
      <w:r w:rsidR="003C4946" w:rsidRPr="00F90716">
        <w:rPr>
          <w:lang w:val="en-GB"/>
        </w:rPr>
        <w:t xml:space="preserve">the pressure </w:t>
      </w:r>
      <w:r w:rsidR="006411AF" w:rsidRPr="00E07EBA">
        <w:rPr>
          <w:lang w:val="en-GB"/>
        </w:rPr>
        <w:t xml:space="preserve">he had </w:t>
      </w:r>
      <w:r w:rsidR="003C4946" w:rsidRPr="00F90716">
        <w:rPr>
          <w:lang w:val="en-GB"/>
        </w:rPr>
        <w:t xml:space="preserve">felt during the interview with the </w:t>
      </w:r>
      <w:r w:rsidR="006411AF" w:rsidRPr="00E07EBA">
        <w:rPr>
          <w:lang w:val="en-GB"/>
        </w:rPr>
        <w:t>i</w:t>
      </w:r>
      <w:r w:rsidR="003C4946" w:rsidRPr="00F90716">
        <w:rPr>
          <w:lang w:val="en-GB"/>
        </w:rPr>
        <w:t xml:space="preserve">mmigration </w:t>
      </w:r>
      <w:r w:rsidR="006411AF" w:rsidRPr="00E07EBA">
        <w:rPr>
          <w:lang w:val="en-GB"/>
        </w:rPr>
        <w:t>s</w:t>
      </w:r>
      <w:r w:rsidR="003C4946" w:rsidRPr="00F90716">
        <w:rPr>
          <w:lang w:val="en-GB"/>
        </w:rPr>
        <w:t xml:space="preserve">ervices and </w:t>
      </w:r>
      <w:r w:rsidR="006411AF" w:rsidRPr="00E07EBA">
        <w:rPr>
          <w:lang w:val="en-GB"/>
        </w:rPr>
        <w:t xml:space="preserve">the fact that he had </w:t>
      </w:r>
      <w:r w:rsidR="003C4946" w:rsidRPr="00F90716">
        <w:rPr>
          <w:lang w:val="en-GB"/>
        </w:rPr>
        <w:t xml:space="preserve">not </w:t>
      </w:r>
      <w:r w:rsidR="006411AF" w:rsidRPr="00E07EBA">
        <w:rPr>
          <w:lang w:val="en-GB"/>
        </w:rPr>
        <w:t xml:space="preserve">been </w:t>
      </w:r>
      <w:r w:rsidR="003C4946" w:rsidRPr="00F90716">
        <w:rPr>
          <w:lang w:val="en-GB"/>
        </w:rPr>
        <w:t xml:space="preserve">familiar with the Gregorian calendar, which </w:t>
      </w:r>
      <w:r w:rsidR="006411AF" w:rsidRPr="00E07EBA">
        <w:rPr>
          <w:lang w:val="en-GB"/>
        </w:rPr>
        <w:t xml:space="preserve">had been </w:t>
      </w:r>
      <w:r w:rsidR="003C4946" w:rsidRPr="00F90716">
        <w:rPr>
          <w:lang w:val="en-GB"/>
        </w:rPr>
        <w:t>used throughout the process</w:t>
      </w:r>
      <w:r w:rsidR="007042EC" w:rsidRPr="00F90716">
        <w:rPr>
          <w:lang w:val="en-GB"/>
        </w:rPr>
        <w:t>, as opposed to the Afghan calendar</w:t>
      </w:r>
      <w:r w:rsidR="003C4946" w:rsidRPr="00F90716">
        <w:rPr>
          <w:lang w:val="en-GB"/>
        </w:rPr>
        <w:t xml:space="preserve">. </w:t>
      </w:r>
    </w:p>
    <w:p w:rsidR="000B705A" w:rsidRPr="00E07EBA" w:rsidRDefault="00483777" w:rsidP="006411AF">
      <w:pPr>
        <w:pStyle w:val="SingleTxtG"/>
        <w:rPr>
          <w:lang w:val="en-GB"/>
        </w:rPr>
      </w:pPr>
      <w:r w:rsidRPr="00F90716">
        <w:rPr>
          <w:lang w:val="en-GB"/>
        </w:rPr>
        <w:t>3.3</w:t>
      </w:r>
      <w:r w:rsidRPr="00F90716">
        <w:rPr>
          <w:lang w:val="en-GB"/>
        </w:rPr>
        <w:tab/>
      </w:r>
      <w:r w:rsidR="000B705A" w:rsidRPr="00F90716">
        <w:rPr>
          <w:lang w:val="en-GB"/>
        </w:rPr>
        <w:t xml:space="preserve">Although he cannot be sure that the murder of his brother-in-law is related to the conflict with </w:t>
      </w:r>
      <w:r w:rsidR="005B46C1" w:rsidRPr="00F90716">
        <w:rPr>
          <w:lang w:val="en-GB"/>
        </w:rPr>
        <w:t>A.M.W</w:t>
      </w:r>
      <w:r w:rsidR="00A66370" w:rsidRPr="00E07EBA">
        <w:rPr>
          <w:lang w:val="en-GB"/>
        </w:rPr>
        <w:t>.</w:t>
      </w:r>
      <w:r w:rsidR="000B705A" w:rsidRPr="00F90716">
        <w:rPr>
          <w:lang w:val="en-GB"/>
        </w:rPr>
        <w:t xml:space="preserve">, the author knows for sure that the individuals who attacked his brother-in-law </w:t>
      </w:r>
      <w:r w:rsidR="006411AF" w:rsidRPr="00E07EBA">
        <w:rPr>
          <w:lang w:val="en-GB"/>
        </w:rPr>
        <w:t xml:space="preserve">had been </w:t>
      </w:r>
      <w:r w:rsidR="000B705A" w:rsidRPr="00F90716">
        <w:rPr>
          <w:lang w:val="en-GB"/>
        </w:rPr>
        <w:t xml:space="preserve">searching for him. He therefore assumes that </w:t>
      </w:r>
      <w:r w:rsidR="006411AF" w:rsidRPr="00E07EBA">
        <w:rPr>
          <w:lang w:val="en-GB"/>
        </w:rPr>
        <w:t xml:space="preserve">the events were </w:t>
      </w:r>
      <w:r w:rsidR="000B705A" w:rsidRPr="00F90716">
        <w:rPr>
          <w:lang w:val="en-GB"/>
        </w:rPr>
        <w:t xml:space="preserve">related to the conflict with </w:t>
      </w:r>
      <w:r w:rsidR="005B46C1" w:rsidRPr="00F90716">
        <w:rPr>
          <w:lang w:val="en-GB"/>
        </w:rPr>
        <w:t>A.M.W</w:t>
      </w:r>
      <w:r w:rsidR="00A66370" w:rsidRPr="00E07EBA">
        <w:rPr>
          <w:lang w:val="en-GB"/>
        </w:rPr>
        <w:t>.</w:t>
      </w:r>
      <w:r w:rsidR="000B705A" w:rsidRPr="00F90716">
        <w:rPr>
          <w:lang w:val="en-GB"/>
        </w:rPr>
        <w:t xml:space="preserve">, especially since </w:t>
      </w:r>
      <w:r w:rsidR="006411AF" w:rsidRPr="00E07EBA">
        <w:rPr>
          <w:lang w:val="en-GB"/>
        </w:rPr>
        <w:t xml:space="preserve">they </w:t>
      </w:r>
      <w:r w:rsidR="000B705A" w:rsidRPr="00F90716">
        <w:rPr>
          <w:lang w:val="en-GB"/>
        </w:rPr>
        <w:t>coincide</w:t>
      </w:r>
      <w:r w:rsidR="006411AF" w:rsidRPr="00E07EBA">
        <w:rPr>
          <w:lang w:val="en-GB"/>
        </w:rPr>
        <w:t>d</w:t>
      </w:r>
      <w:r w:rsidR="000B705A" w:rsidRPr="00F90716">
        <w:rPr>
          <w:lang w:val="en-GB"/>
        </w:rPr>
        <w:t xml:space="preserve"> with the latter’s release from detention.</w:t>
      </w:r>
      <w:r w:rsidR="00AE425E" w:rsidRPr="00F90716">
        <w:rPr>
          <w:lang w:val="en-GB"/>
        </w:rPr>
        <w:t xml:space="preserve"> The author believes that</w:t>
      </w:r>
      <w:r w:rsidR="006411AF" w:rsidRPr="00E07EBA">
        <w:rPr>
          <w:lang w:val="en-GB"/>
        </w:rPr>
        <w:t>,</w:t>
      </w:r>
      <w:r w:rsidR="006626CE" w:rsidRPr="00F90716">
        <w:rPr>
          <w:lang w:val="en-GB"/>
        </w:rPr>
        <w:t xml:space="preserve"> </w:t>
      </w:r>
      <w:r w:rsidR="006411AF" w:rsidRPr="00E07EBA">
        <w:rPr>
          <w:lang w:val="en-GB"/>
        </w:rPr>
        <w:t xml:space="preserve">if forcibly returned to Afghanistan, </w:t>
      </w:r>
      <w:r w:rsidR="006626CE" w:rsidRPr="00F90716">
        <w:rPr>
          <w:lang w:val="en-GB"/>
        </w:rPr>
        <w:t>as a former interpreter for the American forces,</w:t>
      </w:r>
      <w:r w:rsidR="00BE6D6E" w:rsidRPr="00F90716">
        <w:rPr>
          <w:lang w:val="en-GB"/>
        </w:rPr>
        <w:t xml:space="preserve"> he </w:t>
      </w:r>
      <w:r w:rsidR="006411AF" w:rsidRPr="00E07EBA">
        <w:rPr>
          <w:lang w:val="en-GB"/>
        </w:rPr>
        <w:t xml:space="preserve">would </w:t>
      </w:r>
      <w:r w:rsidR="00BE6D6E" w:rsidRPr="00F90716">
        <w:rPr>
          <w:lang w:val="en-GB"/>
        </w:rPr>
        <w:t xml:space="preserve">be </w:t>
      </w:r>
      <w:r w:rsidR="00AE425E" w:rsidRPr="00F90716">
        <w:rPr>
          <w:lang w:val="en-GB"/>
        </w:rPr>
        <w:t>persecuted by the Taliban</w:t>
      </w:r>
      <w:r w:rsidR="00AF65DD" w:rsidRPr="00F90716">
        <w:rPr>
          <w:lang w:val="en-GB"/>
        </w:rPr>
        <w:t xml:space="preserve"> and the local population</w:t>
      </w:r>
      <w:r w:rsidR="006411AF" w:rsidRPr="00E07EBA">
        <w:rPr>
          <w:lang w:val="en-GB"/>
        </w:rPr>
        <w:t>,</w:t>
      </w:r>
      <w:r w:rsidR="00AE425E" w:rsidRPr="00F90716">
        <w:rPr>
          <w:lang w:val="en-GB"/>
        </w:rPr>
        <w:t xml:space="preserve"> </w:t>
      </w:r>
      <w:r w:rsidR="006411AF" w:rsidRPr="00E07EBA">
        <w:rPr>
          <w:lang w:val="en-GB"/>
        </w:rPr>
        <w:t xml:space="preserve">in </w:t>
      </w:r>
      <w:r w:rsidR="00AE425E" w:rsidRPr="00F90716">
        <w:rPr>
          <w:lang w:val="en-GB"/>
        </w:rPr>
        <w:t>violation of his rights under article 7 of the Covenant.</w:t>
      </w:r>
      <w:r w:rsidR="00657CBA" w:rsidRPr="00F90716">
        <w:rPr>
          <w:rStyle w:val="FootnoteReference"/>
          <w:lang w:val="en-GB"/>
        </w:rPr>
        <w:footnoteReference w:id="9"/>
      </w:r>
    </w:p>
    <w:p w:rsidR="00657CBA" w:rsidRPr="00F90716" w:rsidRDefault="00483777" w:rsidP="006411AF">
      <w:pPr>
        <w:pStyle w:val="SingleTxtG"/>
        <w:rPr>
          <w:lang w:val="en-GB"/>
        </w:rPr>
      </w:pPr>
      <w:r w:rsidRPr="00F90716">
        <w:rPr>
          <w:lang w:val="en-GB"/>
        </w:rPr>
        <w:t>3.4</w:t>
      </w:r>
      <w:r w:rsidR="007117A8" w:rsidRPr="00F90716">
        <w:rPr>
          <w:lang w:val="en-GB"/>
        </w:rPr>
        <w:tab/>
      </w:r>
      <w:r w:rsidR="000B705A" w:rsidRPr="00F90716">
        <w:rPr>
          <w:lang w:val="en-GB"/>
        </w:rPr>
        <w:t xml:space="preserve">The author’s employment as an interpreter for the coalition forces between 2009 and 2011 has been documented by letters and recommendations </w:t>
      </w:r>
      <w:r w:rsidR="006411AF" w:rsidRPr="00E07EBA">
        <w:rPr>
          <w:lang w:val="en-GB"/>
        </w:rPr>
        <w:t xml:space="preserve">that </w:t>
      </w:r>
      <w:r w:rsidR="000B705A" w:rsidRPr="00F90716">
        <w:rPr>
          <w:lang w:val="en-GB"/>
        </w:rPr>
        <w:t>were communicated to the Danis</w:t>
      </w:r>
      <w:r w:rsidR="00484A40" w:rsidRPr="00F90716">
        <w:rPr>
          <w:lang w:val="en-GB"/>
        </w:rPr>
        <w:t xml:space="preserve">h Ministry of Foreign Affairs. </w:t>
      </w:r>
    </w:p>
    <w:p w:rsidR="003134AC" w:rsidRPr="00F90716" w:rsidRDefault="00532057" w:rsidP="006411AF">
      <w:pPr>
        <w:pStyle w:val="SingleTxtG"/>
        <w:rPr>
          <w:lang w:val="en-GB"/>
        </w:rPr>
      </w:pPr>
      <w:r w:rsidRPr="00F90716">
        <w:rPr>
          <w:lang w:val="en-GB"/>
        </w:rPr>
        <w:lastRenderedPageBreak/>
        <w:t>3.5</w:t>
      </w:r>
      <w:r w:rsidRPr="00F90716">
        <w:rPr>
          <w:lang w:val="en-GB"/>
        </w:rPr>
        <w:tab/>
      </w:r>
      <w:r w:rsidR="00DB2C7B" w:rsidRPr="00F90716">
        <w:rPr>
          <w:lang w:val="en-GB"/>
        </w:rPr>
        <w:t xml:space="preserve">The author also complains about the violation of </w:t>
      </w:r>
      <w:r w:rsidR="00F92236" w:rsidRPr="00F90716">
        <w:rPr>
          <w:lang w:val="en-GB"/>
        </w:rPr>
        <w:t xml:space="preserve">his rights under </w:t>
      </w:r>
      <w:r w:rsidRPr="00F90716">
        <w:rPr>
          <w:lang w:val="en-GB"/>
        </w:rPr>
        <w:t>article 19 of the Covenant,</w:t>
      </w:r>
      <w:r w:rsidR="00DB2C7B" w:rsidRPr="00F90716">
        <w:rPr>
          <w:lang w:val="en-GB"/>
        </w:rPr>
        <w:t xml:space="preserve"> on the grounds that his work as interpreter, which is a manifestation of his freedom of speech, is seen by the Taliban as </w:t>
      </w:r>
      <w:r w:rsidRPr="00F90716">
        <w:rPr>
          <w:lang w:val="en-GB"/>
        </w:rPr>
        <w:t>treason</w:t>
      </w:r>
      <w:r w:rsidR="00DB2C7B" w:rsidRPr="00F90716">
        <w:rPr>
          <w:lang w:val="en-GB"/>
        </w:rPr>
        <w:t xml:space="preserve">. As a result of </w:t>
      </w:r>
      <w:r w:rsidRPr="00F90716">
        <w:rPr>
          <w:lang w:val="en-GB"/>
        </w:rPr>
        <w:t xml:space="preserve">his deportation to Afghanistan, </w:t>
      </w:r>
      <w:r w:rsidR="00DB2C7B" w:rsidRPr="00F90716">
        <w:rPr>
          <w:lang w:val="en-GB"/>
        </w:rPr>
        <w:t xml:space="preserve">he </w:t>
      </w:r>
      <w:r w:rsidR="006411AF" w:rsidRPr="00E07EBA">
        <w:rPr>
          <w:lang w:val="en-GB"/>
        </w:rPr>
        <w:t xml:space="preserve">would </w:t>
      </w:r>
      <w:r w:rsidR="000E78C2" w:rsidRPr="00F90716">
        <w:rPr>
          <w:lang w:val="en-GB"/>
        </w:rPr>
        <w:t xml:space="preserve">be deprived of </w:t>
      </w:r>
      <w:r w:rsidR="006411AF" w:rsidRPr="00E07EBA">
        <w:rPr>
          <w:lang w:val="en-GB"/>
        </w:rPr>
        <w:t xml:space="preserve">that </w:t>
      </w:r>
      <w:r w:rsidR="000E78C2" w:rsidRPr="00F90716">
        <w:rPr>
          <w:lang w:val="en-GB"/>
        </w:rPr>
        <w:t>right.</w:t>
      </w:r>
    </w:p>
    <w:p w:rsidR="003134AC" w:rsidRPr="00E07EBA" w:rsidRDefault="007E7E46" w:rsidP="000E78C2">
      <w:pPr>
        <w:pStyle w:val="H23G"/>
        <w:ind w:left="0" w:firstLine="0"/>
        <w:jc w:val="both"/>
      </w:pPr>
      <w:r w:rsidRPr="00E07EBA">
        <w:tab/>
      </w:r>
      <w:r w:rsidRPr="00E07EBA">
        <w:tab/>
      </w:r>
      <w:r w:rsidR="003134AC" w:rsidRPr="00E07EBA">
        <w:t>State party</w:t>
      </w:r>
      <w:r w:rsidR="00AE02DC">
        <w:t>’</w:t>
      </w:r>
      <w:r w:rsidR="003134AC" w:rsidRPr="00E07EBA">
        <w:t>s observations on admissibility</w:t>
      </w:r>
      <w:r w:rsidR="00E0216D" w:rsidRPr="00E07EBA">
        <w:t xml:space="preserve"> </w:t>
      </w:r>
      <w:r w:rsidR="00EF3514" w:rsidRPr="00E07EBA">
        <w:t>and merits</w:t>
      </w:r>
      <w:r w:rsidR="007A212F" w:rsidRPr="00E07EBA">
        <w:t xml:space="preserve"> </w:t>
      </w:r>
    </w:p>
    <w:p w:rsidR="00E0216D" w:rsidRPr="00F90716" w:rsidRDefault="00776E5E" w:rsidP="0008593B">
      <w:pPr>
        <w:pStyle w:val="SingleTxtG"/>
        <w:rPr>
          <w:lang w:val="en-GB"/>
        </w:rPr>
      </w:pPr>
      <w:r w:rsidRPr="00F90716">
        <w:rPr>
          <w:lang w:val="en-GB"/>
        </w:rPr>
        <w:t>4.1</w:t>
      </w:r>
      <w:r w:rsidRPr="00F90716">
        <w:rPr>
          <w:lang w:val="en-GB"/>
        </w:rPr>
        <w:tab/>
      </w:r>
      <w:r w:rsidR="00DF0799" w:rsidRPr="00F90716">
        <w:rPr>
          <w:lang w:val="en-GB"/>
        </w:rPr>
        <w:t xml:space="preserve">On </w:t>
      </w:r>
      <w:r w:rsidR="006362BD" w:rsidRPr="00F90716">
        <w:rPr>
          <w:lang w:val="en-GB"/>
        </w:rPr>
        <w:t>24 April 2015</w:t>
      </w:r>
      <w:r w:rsidR="00E0216D" w:rsidRPr="00F90716">
        <w:rPr>
          <w:lang w:val="en-GB"/>
        </w:rPr>
        <w:t xml:space="preserve">, </w:t>
      </w:r>
      <w:r w:rsidR="0012433C" w:rsidRPr="00F90716">
        <w:rPr>
          <w:lang w:val="en-GB"/>
        </w:rPr>
        <w:t xml:space="preserve">the State party submitted </w:t>
      </w:r>
      <w:r w:rsidR="00F24F92" w:rsidRPr="00F90716">
        <w:rPr>
          <w:lang w:val="en-GB"/>
        </w:rPr>
        <w:t xml:space="preserve">observations on </w:t>
      </w:r>
      <w:r w:rsidR="0012433C" w:rsidRPr="00F90716">
        <w:rPr>
          <w:lang w:val="en-GB"/>
        </w:rPr>
        <w:t xml:space="preserve">the </w:t>
      </w:r>
      <w:r w:rsidR="00F24F92" w:rsidRPr="00F90716">
        <w:rPr>
          <w:lang w:val="en-GB"/>
        </w:rPr>
        <w:t>admissibility and merits of the communication.</w:t>
      </w:r>
      <w:r w:rsidR="00BA5934" w:rsidRPr="00F90716">
        <w:rPr>
          <w:lang w:val="en-GB"/>
        </w:rPr>
        <w:t xml:space="preserve"> </w:t>
      </w:r>
      <w:r w:rsidR="005B4B88" w:rsidRPr="00F90716">
        <w:rPr>
          <w:lang w:val="en-GB"/>
        </w:rPr>
        <w:t xml:space="preserve">The State party </w:t>
      </w:r>
      <w:r w:rsidR="00E0216D" w:rsidRPr="00F90716">
        <w:rPr>
          <w:lang w:val="en-GB"/>
        </w:rPr>
        <w:t xml:space="preserve">considers that the author has failed to substantiate </w:t>
      </w:r>
      <w:r w:rsidR="00B83477" w:rsidRPr="00F90716">
        <w:rPr>
          <w:lang w:val="en-GB"/>
        </w:rPr>
        <w:t>the</w:t>
      </w:r>
      <w:r w:rsidR="00E0216D" w:rsidRPr="00F90716">
        <w:rPr>
          <w:lang w:val="en-GB"/>
        </w:rPr>
        <w:t xml:space="preserve"> risk of irreparable </w:t>
      </w:r>
      <w:r w:rsidR="00E25B12" w:rsidRPr="00F90716">
        <w:rPr>
          <w:lang w:val="en-GB"/>
        </w:rPr>
        <w:t>harm</w:t>
      </w:r>
      <w:r w:rsidR="00E0216D" w:rsidRPr="00F90716">
        <w:rPr>
          <w:lang w:val="en-GB"/>
        </w:rPr>
        <w:t xml:space="preserve"> </w:t>
      </w:r>
      <w:r w:rsidR="00BF1F47" w:rsidRPr="00F90716">
        <w:rPr>
          <w:lang w:val="en-GB"/>
        </w:rPr>
        <w:t xml:space="preserve">as a consequence of his forced </w:t>
      </w:r>
      <w:r w:rsidR="00C51355" w:rsidRPr="00F90716">
        <w:rPr>
          <w:lang w:val="en-GB"/>
        </w:rPr>
        <w:t>return to Afghanistan</w:t>
      </w:r>
      <w:r w:rsidR="00E0216D" w:rsidRPr="00F90716">
        <w:rPr>
          <w:lang w:val="en-GB"/>
        </w:rPr>
        <w:t xml:space="preserve"> and for the same reasons considers the communication inadmissible as manifestly </w:t>
      </w:r>
      <w:r w:rsidR="0000756B" w:rsidRPr="00F90716">
        <w:rPr>
          <w:lang w:val="en-GB"/>
        </w:rPr>
        <w:t>ill-</w:t>
      </w:r>
      <w:r w:rsidR="00E0216D" w:rsidRPr="00F90716">
        <w:rPr>
          <w:lang w:val="en-GB"/>
        </w:rPr>
        <w:t xml:space="preserve">founded </w:t>
      </w:r>
      <w:r w:rsidR="0008593B" w:rsidRPr="00E07EBA">
        <w:rPr>
          <w:lang w:val="en-GB"/>
        </w:rPr>
        <w:t xml:space="preserve">owing </w:t>
      </w:r>
      <w:r w:rsidR="00E0216D" w:rsidRPr="00F90716">
        <w:rPr>
          <w:lang w:val="en-GB"/>
        </w:rPr>
        <w:t xml:space="preserve">to a lack of substantiation. </w:t>
      </w:r>
    </w:p>
    <w:p w:rsidR="00542BB5" w:rsidRPr="00E07EBA" w:rsidRDefault="00732C60" w:rsidP="00E520C9">
      <w:pPr>
        <w:pStyle w:val="SingleTxtG"/>
        <w:rPr>
          <w:lang w:val="en-GB"/>
        </w:rPr>
      </w:pPr>
      <w:r w:rsidRPr="00E07EBA">
        <w:rPr>
          <w:lang w:val="en-GB"/>
        </w:rPr>
        <w:t>4.2</w:t>
      </w:r>
      <w:r w:rsidRPr="00E07EBA">
        <w:rPr>
          <w:lang w:val="en-GB"/>
        </w:rPr>
        <w:tab/>
        <w:t>The State party explains that its</w:t>
      </w:r>
      <w:r w:rsidRPr="00F90716">
        <w:rPr>
          <w:lang w:val="en-GB"/>
        </w:rPr>
        <w:t xml:space="preserve"> obligations under articles 6 and 7 of the Covenant are reflected in paragraph 7 (2) of the Aliens Act, under which a residence permit will be issued to an alien upon application if the alien is at risk of the death penalty or being subjected to torture or inhuman or degrading treatment or punishment in the event of return to his </w:t>
      </w:r>
      <w:r w:rsidR="00E520C9" w:rsidRPr="00E07EBA">
        <w:rPr>
          <w:lang w:val="en-GB"/>
        </w:rPr>
        <w:t xml:space="preserve">or her </w:t>
      </w:r>
      <w:r w:rsidRPr="00F90716">
        <w:rPr>
          <w:lang w:val="en-GB"/>
        </w:rPr>
        <w:t>country of origin.</w:t>
      </w:r>
      <w:r w:rsidRPr="00E07EBA">
        <w:rPr>
          <w:lang w:val="en-GB"/>
        </w:rPr>
        <w:t xml:space="preserve"> According to its practice, the </w:t>
      </w:r>
      <w:r w:rsidR="0008593B" w:rsidRPr="00E07EBA">
        <w:rPr>
          <w:lang w:val="en-GB"/>
        </w:rPr>
        <w:t>r</w:t>
      </w:r>
      <w:r w:rsidRPr="00F90716">
        <w:rPr>
          <w:lang w:val="en-GB"/>
        </w:rPr>
        <w:t xml:space="preserve">efugee </w:t>
      </w:r>
      <w:r w:rsidR="0008593B" w:rsidRPr="00E07EBA">
        <w:rPr>
          <w:lang w:val="en-GB"/>
        </w:rPr>
        <w:t>a</w:t>
      </w:r>
      <w:r w:rsidRPr="00F90716">
        <w:rPr>
          <w:lang w:val="en-GB"/>
        </w:rPr>
        <w:t xml:space="preserve">ppeals </w:t>
      </w:r>
      <w:r w:rsidR="0008593B" w:rsidRPr="00E07EBA">
        <w:rPr>
          <w:lang w:val="en-GB"/>
        </w:rPr>
        <w:t>b</w:t>
      </w:r>
      <w:r w:rsidRPr="00F90716">
        <w:rPr>
          <w:lang w:val="en-GB"/>
        </w:rPr>
        <w:t xml:space="preserve">oard </w:t>
      </w:r>
      <w:r w:rsidR="00357C1D" w:rsidRPr="00E07EBA">
        <w:rPr>
          <w:lang w:val="en-GB"/>
        </w:rPr>
        <w:t>will generally consider the conditions for issuing a residence permit under section 7</w:t>
      </w:r>
      <w:r w:rsidR="00E520C9" w:rsidRPr="00E07EBA">
        <w:rPr>
          <w:lang w:val="en-GB"/>
        </w:rPr>
        <w:t> </w:t>
      </w:r>
      <w:r w:rsidR="00357C1D" w:rsidRPr="00E07EBA">
        <w:rPr>
          <w:lang w:val="en-GB"/>
        </w:rPr>
        <w:t xml:space="preserve">(2) of the Aliens Act to be met when there are specific and individual factors substantiating that the asylum seeker </w:t>
      </w:r>
      <w:r w:rsidR="00E520C9" w:rsidRPr="00E07EBA">
        <w:rPr>
          <w:lang w:val="en-GB"/>
        </w:rPr>
        <w:t xml:space="preserve">would </w:t>
      </w:r>
      <w:r w:rsidR="00357C1D" w:rsidRPr="00E07EBA">
        <w:rPr>
          <w:lang w:val="en-GB"/>
        </w:rPr>
        <w:t xml:space="preserve">be exposed to a real risk of the death penalty or of being subjected to torture or to inhumane or degrading treatment or punishment in case of return to his </w:t>
      </w:r>
      <w:r w:rsidR="00E520C9" w:rsidRPr="00E07EBA">
        <w:rPr>
          <w:lang w:val="en-GB"/>
        </w:rPr>
        <w:t xml:space="preserve">or her </w:t>
      </w:r>
      <w:r w:rsidR="00357C1D" w:rsidRPr="00E07EBA">
        <w:rPr>
          <w:lang w:val="en-GB"/>
        </w:rPr>
        <w:t xml:space="preserve">country of origin. </w:t>
      </w:r>
    </w:p>
    <w:p w:rsidR="00732C60" w:rsidRPr="00F90716" w:rsidRDefault="00542BB5" w:rsidP="00E520C9">
      <w:pPr>
        <w:pStyle w:val="SingleTxtG"/>
        <w:rPr>
          <w:lang w:val="en-GB"/>
        </w:rPr>
      </w:pPr>
      <w:r w:rsidRPr="00F90716">
        <w:rPr>
          <w:lang w:val="en-GB"/>
        </w:rPr>
        <w:t>4.3</w:t>
      </w:r>
      <w:r w:rsidRPr="00F90716">
        <w:rPr>
          <w:lang w:val="en-GB"/>
        </w:rPr>
        <w:tab/>
      </w:r>
      <w:r w:rsidR="00357C1D" w:rsidRPr="00F90716">
        <w:rPr>
          <w:lang w:val="en-GB"/>
        </w:rPr>
        <w:t>With respect to the assessment of evidence, it is incumbent on an asylum</w:t>
      </w:r>
      <w:r w:rsidR="00E520C9" w:rsidRPr="00E07EBA">
        <w:rPr>
          <w:lang w:val="en-GB"/>
        </w:rPr>
        <w:t xml:space="preserve"> </w:t>
      </w:r>
      <w:r w:rsidR="00357C1D" w:rsidRPr="00F90716">
        <w:rPr>
          <w:lang w:val="en-GB"/>
        </w:rPr>
        <w:t xml:space="preserve">seeker to substantiate that the conditions to be granted asylum are met. </w:t>
      </w:r>
      <w:r w:rsidR="000A2425" w:rsidRPr="00F90716">
        <w:rPr>
          <w:lang w:val="en-GB"/>
        </w:rPr>
        <w:t xml:space="preserve">The assessment of evidence performed by the </w:t>
      </w:r>
      <w:r w:rsidR="0008593B" w:rsidRPr="00E07EBA">
        <w:rPr>
          <w:lang w:val="en-GB"/>
        </w:rPr>
        <w:t>refugee appeals board</w:t>
      </w:r>
      <w:r w:rsidR="000A2425" w:rsidRPr="00F90716">
        <w:rPr>
          <w:lang w:val="en-GB"/>
        </w:rPr>
        <w:t xml:space="preserve"> is not governed by specific rules of evidence. It is based on an overall assessment of the asylum seeker’s statements and demeanour during the </w:t>
      </w:r>
      <w:r w:rsidR="0008593B" w:rsidRPr="00E07EBA">
        <w:rPr>
          <w:lang w:val="en-GB"/>
        </w:rPr>
        <w:t>b</w:t>
      </w:r>
      <w:r w:rsidR="000A2425" w:rsidRPr="00F90716">
        <w:rPr>
          <w:lang w:val="en-GB"/>
        </w:rPr>
        <w:t xml:space="preserve">oard’s hearing, in combination with other information in the case, including the </w:t>
      </w:r>
      <w:r w:rsidR="0008593B" w:rsidRPr="00E07EBA">
        <w:rPr>
          <w:lang w:val="en-GB"/>
        </w:rPr>
        <w:t>b</w:t>
      </w:r>
      <w:r w:rsidR="000A2425" w:rsidRPr="00F90716">
        <w:rPr>
          <w:lang w:val="en-GB"/>
        </w:rPr>
        <w:t xml:space="preserve">oard’s background material on the applicant’s country of origin. In the adjudication of the case, the </w:t>
      </w:r>
      <w:r w:rsidR="0008593B" w:rsidRPr="00E07EBA">
        <w:rPr>
          <w:lang w:val="en-GB"/>
        </w:rPr>
        <w:t>board</w:t>
      </w:r>
      <w:r w:rsidR="000A2425" w:rsidRPr="00F90716">
        <w:rPr>
          <w:lang w:val="en-GB"/>
        </w:rPr>
        <w:t xml:space="preserve"> will seek to determine what findings of fact it should make, based on evidence. If the asylum seeker’s statements appear coherent and consistent, the </w:t>
      </w:r>
      <w:r w:rsidR="0008593B" w:rsidRPr="00E07EBA">
        <w:rPr>
          <w:lang w:val="en-GB"/>
        </w:rPr>
        <w:t>b</w:t>
      </w:r>
      <w:r w:rsidR="000A2425" w:rsidRPr="00F90716">
        <w:rPr>
          <w:lang w:val="en-GB"/>
        </w:rPr>
        <w:t>oard will normally accept them as facts.</w:t>
      </w:r>
      <w:r w:rsidR="00484A40" w:rsidRPr="00F90716">
        <w:rPr>
          <w:lang w:val="en-GB"/>
        </w:rPr>
        <w:t xml:space="preserve"> </w:t>
      </w:r>
      <w:r w:rsidRPr="00F90716">
        <w:rPr>
          <w:lang w:val="en-GB"/>
        </w:rPr>
        <w:t>In cases where the asylum seeker’s statements throughout the proceedings are characteri</w:t>
      </w:r>
      <w:r w:rsidR="00E520C9" w:rsidRPr="00E07EBA">
        <w:rPr>
          <w:lang w:val="en-GB"/>
        </w:rPr>
        <w:t>z</w:t>
      </w:r>
      <w:r w:rsidRPr="00F90716">
        <w:rPr>
          <w:lang w:val="en-GB"/>
        </w:rPr>
        <w:t xml:space="preserve">ed by inconsistencies, changing statements, expansions or omissions, the </w:t>
      </w:r>
      <w:r w:rsidR="0008593B" w:rsidRPr="00E07EBA">
        <w:rPr>
          <w:lang w:val="en-GB"/>
        </w:rPr>
        <w:t>b</w:t>
      </w:r>
      <w:r w:rsidRPr="00F90716">
        <w:rPr>
          <w:lang w:val="en-GB"/>
        </w:rPr>
        <w:t xml:space="preserve">oard will seek to clarify the reasons. However, inconsistent statements by the asylum seeker about crucial parts of his </w:t>
      </w:r>
      <w:r w:rsidR="00E520C9" w:rsidRPr="00E07EBA">
        <w:rPr>
          <w:lang w:val="en-GB"/>
        </w:rPr>
        <w:t xml:space="preserve">or her </w:t>
      </w:r>
      <w:r w:rsidRPr="00F90716">
        <w:rPr>
          <w:lang w:val="en-GB"/>
        </w:rPr>
        <w:t>grounds for seeking asylum may weaken his</w:t>
      </w:r>
      <w:r w:rsidR="00E520C9" w:rsidRPr="00E07EBA">
        <w:rPr>
          <w:lang w:val="en-GB"/>
        </w:rPr>
        <w:t xml:space="preserve"> or </w:t>
      </w:r>
      <w:r w:rsidRPr="00F90716">
        <w:rPr>
          <w:lang w:val="en-GB"/>
        </w:rPr>
        <w:t xml:space="preserve">her credibility. If in doubt about the applicant’s credibility, the </w:t>
      </w:r>
      <w:r w:rsidR="0008593B" w:rsidRPr="00E07EBA">
        <w:rPr>
          <w:lang w:val="en-GB"/>
        </w:rPr>
        <w:t>b</w:t>
      </w:r>
      <w:r w:rsidRPr="00F90716">
        <w:rPr>
          <w:lang w:val="en-GB"/>
        </w:rPr>
        <w:t>oard will always assess to what extent the principle of the benefit of the doubt should be applied.</w:t>
      </w:r>
    </w:p>
    <w:p w:rsidR="00517A25" w:rsidRPr="00E07EBA" w:rsidRDefault="002B43F1" w:rsidP="00E520C9">
      <w:pPr>
        <w:pStyle w:val="SingleTxtG"/>
        <w:rPr>
          <w:lang w:val="en-GB"/>
        </w:rPr>
      </w:pPr>
      <w:r w:rsidRPr="00F90716">
        <w:rPr>
          <w:lang w:val="en-GB"/>
        </w:rPr>
        <w:t>4.4</w:t>
      </w:r>
      <w:r w:rsidR="00E0216D" w:rsidRPr="00F90716">
        <w:rPr>
          <w:lang w:val="en-GB"/>
        </w:rPr>
        <w:tab/>
      </w:r>
      <w:r w:rsidRPr="00F90716">
        <w:rPr>
          <w:lang w:val="en-GB"/>
        </w:rPr>
        <w:t>In the present case, t</w:t>
      </w:r>
      <w:r w:rsidR="00517A25" w:rsidRPr="00F90716">
        <w:rPr>
          <w:lang w:val="en-GB"/>
        </w:rPr>
        <w:t>he State party recalls that</w:t>
      </w:r>
      <w:r w:rsidR="00E520C9" w:rsidRPr="00E07EBA">
        <w:rPr>
          <w:lang w:val="en-GB"/>
        </w:rPr>
        <w:t>,</w:t>
      </w:r>
      <w:r w:rsidR="00517A25" w:rsidRPr="00F90716">
        <w:rPr>
          <w:lang w:val="en-GB"/>
        </w:rPr>
        <w:t xml:space="preserve"> on 13 July 2012, the Danish </w:t>
      </w:r>
      <w:r w:rsidR="00E520C9" w:rsidRPr="00E07EBA">
        <w:rPr>
          <w:lang w:val="en-GB"/>
        </w:rPr>
        <w:t>i</w:t>
      </w:r>
      <w:r w:rsidR="00517A25" w:rsidRPr="00F90716">
        <w:rPr>
          <w:lang w:val="en-GB"/>
        </w:rPr>
        <w:t xml:space="preserve">mmigration </w:t>
      </w:r>
      <w:r w:rsidR="00E520C9" w:rsidRPr="00E07EBA">
        <w:rPr>
          <w:lang w:val="en-GB"/>
        </w:rPr>
        <w:t>s</w:t>
      </w:r>
      <w:r w:rsidR="00517A25" w:rsidRPr="00F90716">
        <w:rPr>
          <w:lang w:val="en-GB"/>
        </w:rPr>
        <w:t>ervice rejected th</w:t>
      </w:r>
      <w:r w:rsidR="00DF6975" w:rsidRPr="00F90716">
        <w:rPr>
          <w:lang w:val="en-GB"/>
        </w:rPr>
        <w:t xml:space="preserve">e author’s asylum application </w:t>
      </w:r>
      <w:r w:rsidR="00E520C9" w:rsidRPr="00E07EBA">
        <w:rPr>
          <w:lang w:val="en-GB"/>
        </w:rPr>
        <w:t xml:space="preserve">and, </w:t>
      </w:r>
      <w:r w:rsidR="00DF6975" w:rsidRPr="00F90716">
        <w:rPr>
          <w:lang w:val="en-GB"/>
        </w:rPr>
        <w:t>o</w:t>
      </w:r>
      <w:r w:rsidR="00517A25" w:rsidRPr="00F90716">
        <w:rPr>
          <w:lang w:val="en-GB"/>
        </w:rPr>
        <w:t>n 31 January 2013,</w:t>
      </w:r>
      <w:r w:rsidR="00D119B7" w:rsidRPr="00F90716">
        <w:rPr>
          <w:lang w:val="en-GB"/>
        </w:rPr>
        <w:t xml:space="preserve"> </w:t>
      </w:r>
      <w:r w:rsidR="00732C60" w:rsidRPr="00F90716">
        <w:rPr>
          <w:lang w:val="en-GB"/>
        </w:rPr>
        <w:t xml:space="preserve">the </w:t>
      </w:r>
      <w:r w:rsidR="0008593B" w:rsidRPr="00E07EBA">
        <w:rPr>
          <w:lang w:val="en-GB"/>
        </w:rPr>
        <w:t>refugee appeals board</w:t>
      </w:r>
      <w:r w:rsidR="00D119B7" w:rsidRPr="00F90716">
        <w:rPr>
          <w:lang w:val="en-GB"/>
        </w:rPr>
        <w:t xml:space="preserve"> upheld</w:t>
      </w:r>
      <w:r w:rsidR="00517A25" w:rsidRPr="00F90716">
        <w:rPr>
          <w:lang w:val="en-GB"/>
        </w:rPr>
        <w:t xml:space="preserve"> </w:t>
      </w:r>
      <w:r w:rsidR="00E520C9" w:rsidRPr="00F90716">
        <w:rPr>
          <w:lang w:val="en-GB"/>
        </w:rPr>
        <w:t>th</w:t>
      </w:r>
      <w:r w:rsidR="00E520C9" w:rsidRPr="00E07EBA">
        <w:rPr>
          <w:lang w:val="en-GB"/>
        </w:rPr>
        <w:t>at</w:t>
      </w:r>
      <w:r w:rsidR="00E520C9" w:rsidRPr="00F90716">
        <w:rPr>
          <w:lang w:val="en-GB"/>
        </w:rPr>
        <w:t xml:space="preserve"> </w:t>
      </w:r>
      <w:r w:rsidR="00517A25" w:rsidRPr="00F90716">
        <w:rPr>
          <w:lang w:val="en-GB"/>
        </w:rPr>
        <w:t xml:space="preserve">decision. On 13 May 2013, the author’s counsel requested the reopening of the asylum proceedings. </w:t>
      </w:r>
      <w:r w:rsidR="00E520C9" w:rsidRPr="00F90716">
        <w:rPr>
          <w:lang w:val="en-GB"/>
        </w:rPr>
        <w:t>Th</w:t>
      </w:r>
      <w:r w:rsidR="00E520C9" w:rsidRPr="00E07EBA">
        <w:rPr>
          <w:lang w:val="en-GB"/>
        </w:rPr>
        <w:t>at</w:t>
      </w:r>
      <w:r w:rsidR="00E520C9" w:rsidRPr="00F90716">
        <w:rPr>
          <w:lang w:val="en-GB"/>
        </w:rPr>
        <w:t xml:space="preserve"> </w:t>
      </w:r>
      <w:r w:rsidR="00517A25" w:rsidRPr="00F90716">
        <w:rPr>
          <w:lang w:val="en-GB"/>
        </w:rPr>
        <w:t>request was denied on 25</w:t>
      </w:r>
      <w:r w:rsidR="00BC66A4">
        <w:rPr>
          <w:lang w:val="en-GB"/>
        </w:rPr>
        <w:t> </w:t>
      </w:r>
      <w:r w:rsidR="00517A25" w:rsidRPr="00F90716">
        <w:rPr>
          <w:lang w:val="en-GB"/>
        </w:rPr>
        <w:t>February 2014, on the ground</w:t>
      </w:r>
      <w:r w:rsidR="00E520C9" w:rsidRPr="00E07EBA">
        <w:rPr>
          <w:lang w:val="en-GB"/>
        </w:rPr>
        <w:t>s</w:t>
      </w:r>
      <w:r w:rsidR="00517A25" w:rsidRPr="00F90716">
        <w:rPr>
          <w:lang w:val="en-GB"/>
        </w:rPr>
        <w:t xml:space="preserve"> that the author </w:t>
      </w:r>
      <w:r w:rsidR="00E520C9" w:rsidRPr="00E07EBA">
        <w:rPr>
          <w:lang w:val="en-GB"/>
        </w:rPr>
        <w:t xml:space="preserve">had been </w:t>
      </w:r>
      <w:r w:rsidR="00517A25" w:rsidRPr="00F90716">
        <w:rPr>
          <w:lang w:val="en-GB"/>
        </w:rPr>
        <w:t>recorded as having failed to appear in the asylum centre.</w:t>
      </w:r>
    </w:p>
    <w:p w:rsidR="00517A25" w:rsidRPr="00E07EBA" w:rsidRDefault="00517A25" w:rsidP="00E520C9">
      <w:pPr>
        <w:pStyle w:val="SingleTxtG"/>
        <w:rPr>
          <w:lang w:val="en-GB"/>
        </w:rPr>
      </w:pPr>
      <w:r w:rsidRPr="00F90716">
        <w:rPr>
          <w:lang w:val="en-GB"/>
        </w:rPr>
        <w:t>4.</w:t>
      </w:r>
      <w:r w:rsidR="00EE2F3A" w:rsidRPr="00F90716">
        <w:rPr>
          <w:lang w:val="en-GB"/>
        </w:rPr>
        <w:t>5</w:t>
      </w:r>
      <w:r w:rsidRPr="00F90716">
        <w:rPr>
          <w:lang w:val="en-GB"/>
        </w:rPr>
        <w:tab/>
        <w:t xml:space="preserve">On 13 October 2014, the Danish National </w:t>
      </w:r>
      <w:r w:rsidR="00E520C9" w:rsidRPr="00E07EBA">
        <w:rPr>
          <w:lang w:val="en-GB"/>
        </w:rPr>
        <w:t>P</w:t>
      </w:r>
      <w:r w:rsidRPr="00F90716">
        <w:rPr>
          <w:lang w:val="en-GB"/>
        </w:rPr>
        <w:t xml:space="preserve">olice informed the </w:t>
      </w:r>
      <w:r w:rsidR="0008593B" w:rsidRPr="00E07EBA">
        <w:rPr>
          <w:lang w:val="en-GB"/>
        </w:rPr>
        <w:t>refugee appeals board</w:t>
      </w:r>
      <w:r w:rsidRPr="00F90716">
        <w:rPr>
          <w:lang w:val="en-GB"/>
        </w:rPr>
        <w:t xml:space="preserve"> that the author had been detained, and the </w:t>
      </w:r>
      <w:r w:rsidR="0008593B" w:rsidRPr="00E07EBA">
        <w:rPr>
          <w:lang w:val="en-GB"/>
        </w:rPr>
        <w:t>board</w:t>
      </w:r>
      <w:r w:rsidRPr="00F90716">
        <w:rPr>
          <w:lang w:val="en-GB"/>
        </w:rPr>
        <w:t xml:space="preserve"> agreed to reconsider the reopening of the asylum proceedings on </w:t>
      </w:r>
      <w:r w:rsidR="00E520C9" w:rsidRPr="00E07EBA">
        <w:rPr>
          <w:lang w:val="en-GB"/>
        </w:rPr>
        <w:t xml:space="preserve">the basis of </w:t>
      </w:r>
      <w:r w:rsidRPr="00F90716">
        <w:rPr>
          <w:lang w:val="en-GB"/>
        </w:rPr>
        <w:t xml:space="preserve">the author’s previous request. On 2 March 2015, the </w:t>
      </w:r>
      <w:r w:rsidR="0008593B" w:rsidRPr="00E07EBA">
        <w:rPr>
          <w:lang w:val="en-GB"/>
        </w:rPr>
        <w:t>board</w:t>
      </w:r>
      <w:r w:rsidRPr="00F90716">
        <w:rPr>
          <w:lang w:val="en-GB"/>
        </w:rPr>
        <w:t xml:space="preserve"> refused to reopen the asylum procedure.</w:t>
      </w:r>
      <w:r w:rsidR="00A34580" w:rsidRPr="00F90716">
        <w:rPr>
          <w:lang w:val="en-GB"/>
        </w:rPr>
        <w:t xml:space="preserve"> The </w:t>
      </w:r>
      <w:r w:rsidR="0008593B" w:rsidRPr="00E07EBA">
        <w:rPr>
          <w:lang w:val="en-GB"/>
        </w:rPr>
        <w:t>b</w:t>
      </w:r>
      <w:r w:rsidR="00A34580" w:rsidRPr="00F90716">
        <w:rPr>
          <w:lang w:val="en-GB"/>
        </w:rPr>
        <w:t>oard found no basis for reopening the case, nor any basis for extending the time limit for the author’s departure.</w:t>
      </w:r>
    </w:p>
    <w:p w:rsidR="00CF793E" w:rsidRPr="00E07EBA" w:rsidRDefault="00EE2F3A" w:rsidP="00E520C9">
      <w:pPr>
        <w:pStyle w:val="SingleTxtG"/>
        <w:rPr>
          <w:lang w:val="en-GB"/>
        </w:rPr>
      </w:pPr>
      <w:r w:rsidRPr="00F90716">
        <w:rPr>
          <w:lang w:val="en-GB"/>
        </w:rPr>
        <w:t>4.6</w:t>
      </w:r>
      <w:r w:rsidR="00CF793E" w:rsidRPr="00F90716">
        <w:rPr>
          <w:lang w:val="en-GB"/>
        </w:rPr>
        <w:tab/>
        <w:t>The State party recalls that</w:t>
      </w:r>
      <w:r w:rsidR="00E520C9" w:rsidRPr="00E07EBA">
        <w:rPr>
          <w:lang w:val="en-GB"/>
        </w:rPr>
        <w:t>,</w:t>
      </w:r>
      <w:r w:rsidR="00CF793E" w:rsidRPr="00F90716">
        <w:rPr>
          <w:lang w:val="en-GB"/>
        </w:rPr>
        <w:t xml:space="preserve"> a</w:t>
      </w:r>
      <w:r w:rsidR="00FF56C2" w:rsidRPr="00F90716">
        <w:rPr>
          <w:lang w:val="en-GB"/>
        </w:rPr>
        <w:t>s h</w:t>
      </w:r>
      <w:r w:rsidR="00CF793E" w:rsidRPr="00F90716">
        <w:rPr>
          <w:lang w:val="en-GB"/>
        </w:rPr>
        <w:t>is asylum grounds, the author</w:t>
      </w:r>
      <w:r w:rsidR="00FF56C2" w:rsidRPr="00F90716">
        <w:rPr>
          <w:lang w:val="en-GB"/>
        </w:rPr>
        <w:t xml:space="preserve"> ha</w:t>
      </w:r>
      <w:r w:rsidR="00E520C9" w:rsidRPr="00E07EBA">
        <w:rPr>
          <w:lang w:val="en-GB"/>
        </w:rPr>
        <w:t>d</w:t>
      </w:r>
      <w:r w:rsidR="00FF56C2" w:rsidRPr="00F90716">
        <w:rPr>
          <w:lang w:val="en-GB"/>
        </w:rPr>
        <w:t xml:space="preserve"> referred to his fear of being killed by a local colonel affiliated with the Taliban in case of his return to Afghanistan because he ha</w:t>
      </w:r>
      <w:r w:rsidR="00E520C9" w:rsidRPr="00E07EBA">
        <w:rPr>
          <w:lang w:val="en-GB"/>
        </w:rPr>
        <w:t>d</w:t>
      </w:r>
      <w:r w:rsidR="00FF56C2" w:rsidRPr="00F90716">
        <w:rPr>
          <w:lang w:val="en-GB"/>
        </w:rPr>
        <w:t xml:space="preserve"> withheld information from him. In connection with his employment with the private company Mission Essential Personnel, the applicant </w:t>
      </w:r>
      <w:r w:rsidR="00E520C9" w:rsidRPr="00E07EBA">
        <w:rPr>
          <w:lang w:val="en-GB"/>
        </w:rPr>
        <w:t xml:space="preserve">had </w:t>
      </w:r>
      <w:r w:rsidR="00FF56C2" w:rsidRPr="00F90716">
        <w:rPr>
          <w:lang w:val="en-GB"/>
        </w:rPr>
        <w:lastRenderedPageBreak/>
        <w:t xml:space="preserve">interpreted for </w:t>
      </w:r>
      <w:r w:rsidR="00E520C9" w:rsidRPr="00E07EBA">
        <w:rPr>
          <w:lang w:val="en-GB"/>
        </w:rPr>
        <w:t xml:space="preserve">United States </w:t>
      </w:r>
      <w:r w:rsidR="00FF56C2" w:rsidRPr="00F90716">
        <w:rPr>
          <w:lang w:val="en-GB"/>
        </w:rPr>
        <w:t xml:space="preserve">forces in Afghanistan and, as a result, </w:t>
      </w:r>
      <w:r w:rsidR="00E520C9" w:rsidRPr="00E07EBA">
        <w:rPr>
          <w:lang w:val="en-GB"/>
        </w:rPr>
        <w:t xml:space="preserve">had </w:t>
      </w:r>
      <w:r w:rsidR="00FF56C2" w:rsidRPr="00F90716">
        <w:rPr>
          <w:lang w:val="en-GB"/>
        </w:rPr>
        <w:t xml:space="preserve">obtained intelligence information. In that connection, the applicant </w:t>
      </w:r>
      <w:r w:rsidR="00E520C9" w:rsidRPr="00E07EBA">
        <w:rPr>
          <w:lang w:val="en-GB"/>
        </w:rPr>
        <w:t xml:space="preserve">had become </w:t>
      </w:r>
      <w:r w:rsidR="00FF56C2" w:rsidRPr="00F90716">
        <w:rPr>
          <w:lang w:val="en-GB"/>
        </w:rPr>
        <w:t xml:space="preserve">aware that the colonel </w:t>
      </w:r>
      <w:r w:rsidR="00E520C9" w:rsidRPr="00E07EBA">
        <w:rPr>
          <w:lang w:val="en-GB"/>
        </w:rPr>
        <w:t xml:space="preserve">had been </w:t>
      </w:r>
      <w:r w:rsidR="00FF56C2" w:rsidRPr="00F90716">
        <w:rPr>
          <w:lang w:val="en-GB"/>
        </w:rPr>
        <w:t xml:space="preserve">suspected of collaborating with the Taliban. In a specific incident in June 2011, the colonel in question </w:t>
      </w:r>
      <w:r w:rsidR="00E520C9" w:rsidRPr="00E07EBA">
        <w:rPr>
          <w:lang w:val="en-GB"/>
        </w:rPr>
        <w:t xml:space="preserve">had </w:t>
      </w:r>
      <w:r w:rsidR="00FF56C2" w:rsidRPr="00F90716">
        <w:rPr>
          <w:lang w:val="en-GB"/>
        </w:rPr>
        <w:t xml:space="preserve">contacted the applicant and </w:t>
      </w:r>
      <w:r w:rsidR="00E520C9" w:rsidRPr="00E07EBA">
        <w:rPr>
          <w:lang w:val="en-GB"/>
        </w:rPr>
        <w:t xml:space="preserve">had </w:t>
      </w:r>
      <w:r w:rsidR="00FF56C2" w:rsidRPr="00F90716">
        <w:rPr>
          <w:lang w:val="en-GB"/>
        </w:rPr>
        <w:t xml:space="preserve">threatened to kill him if he did not pass on the intelligence information. The applicant </w:t>
      </w:r>
      <w:r w:rsidR="00E520C9" w:rsidRPr="00E07EBA">
        <w:rPr>
          <w:lang w:val="en-GB"/>
        </w:rPr>
        <w:t xml:space="preserve">had </w:t>
      </w:r>
      <w:r w:rsidR="00FF56C2" w:rsidRPr="00F90716">
        <w:rPr>
          <w:lang w:val="en-GB"/>
        </w:rPr>
        <w:t xml:space="preserve">declined to pass on the information and the colonel </w:t>
      </w:r>
      <w:r w:rsidR="00E520C9" w:rsidRPr="00E07EBA">
        <w:rPr>
          <w:lang w:val="en-GB"/>
        </w:rPr>
        <w:t xml:space="preserve">had been </w:t>
      </w:r>
      <w:r w:rsidR="00FF56C2" w:rsidRPr="00F90716">
        <w:rPr>
          <w:lang w:val="en-GB"/>
        </w:rPr>
        <w:t xml:space="preserve">arrested by American </w:t>
      </w:r>
      <w:r w:rsidR="00E520C9" w:rsidRPr="00E07EBA">
        <w:rPr>
          <w:lang w:val="en-GB"/>
        </w:rPr>
        <w:t xml:space="preserve">forces </w:t>
      </w:r>
      <w:r w:rsidR="00FF56C2" w:rsidRPr="00F90716">
        <w:rPr>
          <w:lang w:val="en-GB"/>
        </w:rPr>
        <w:t xml:space="preserve">four or five days later. </w:t>
      </w:r>
      <w:r w:rsidR="00E520C9" w:rsidRPr="00E07EBA">
        <w:rPr>
          <w:lang w:val="en-GB"/>
        </w:rPr>
        <w:t>I</w:t>
      </w:r>
      <w:r w:rsidR="00FF56C2" w:rsidRPr="00F90716">
        <w:rPr>
          <w:lang w:val="en-GB"/>
        </w:rPr>
        <w:t xml:space="preserve">n July 2011, the applicant </w:t>
      </w:r>
      <w:r w:rsidR="00E520C9" w:rsidRPr="00E07EBA">
        <w:rPr>
          <w:lang w:val="en-GB"/>
        </w:rPr>
        <w:t xml:space="preserve">had </w:t>
      </w:r>
      <w:r w:rsidR="00FF56C2" w:rsidRPr="00F90716">
        <w:rPr>
          <w:lang w:val="en-GB"/>
        </w:rPr>
        <w:t xml:space="preserve">learned that the colonel had been released. The applicant’s brother-in-law </w:t>
      </w:r>
      <w:r w:rsidR="00E520C9" w:rsidRPr="00E07EBA">
        <w:rPr>
          <w:lang w:val="en-GB"/>
        </w:rPr>
        <w:t xml:space="preserve">had been </w:t>
      </w:r>
      <w:r w:rsidR="00FF56C2" w:rsidRPr="00F90716">
        <w:rPr>
          <w:lang w:val="en-GB"/>
        </w:rPr>
        <w:t>killed the same day by persons unknown to the applicant. Th</w:t>
      </w:r>
      <w:r w:rsidR="00E520C9" w:rsidRPr="00E07EBA">
        <w:rPr>
          <w:lang w:val="en-GB"/>
        </w:rPr>
        <w:t>o</w:t>
      </w:r>
      <w:r w:rsidR="00FF56C2" w:rsidRPr="00F90716">
        <w:rPr>
          <w:lang w:val="en-GB"/>
        </w:rPr>
        <w:t xml:space="preserve">se persons had asked </w:t>
      </w:r>
      <w:r w:rsidR="00E520C9" w:rsidRPr="00E07EBA">
        <w:rPr>
          <w:lang w:val="en-GB"/>
        </w:rPr>
        <w:t xml:space="preserve">as to the whereabouts of </w:t>
      </w:r>
      <w:r w:rsidR="00FF56C2" w:rsidRPr="00F90716">
        <w:rPr>
          <w:lang w:val="en-GB"/>
        </w:rPr>
        <w:t xml:space="preserve">the applicant. </w:t>
      </w:r>
    </w:p>
    <w:p w:rsidR="0012433C" w:rsidRPr="00E07EBA" w:rsidRDefault="00CF793E" w:rsidP="00FA40C0">
      <w:pPr>
        <w:pStyle w:val="SingleTxtG"/>
        <w:rPr>
          <w:lang w:val="en-GB"/>
        </w:rPr>
      </w:pPr>
      <w:r w:rsidRPr="00F90716">
        <w:rPr>
          <w:lang w:val="en-GB"/>
        </w:rPr>
        <w:t>4.</w:t>
      </w:r>
      <w:r w:rsidR="00EE2F3A" w:rsidRPr="00F90716">
        <w:rPr>
          <w:lang w:val="en-GB"/>
        </w:rPr>
        <w:t>7</w:t>
      </w:r>
      <w:r w:rsidRPr="00F90716">
        <w:rPr>
          <w:lang w:val="en-GB"/>
        </w:rPr>
        <w:tab/>
      </w:r>
      <w:r w:rsidR="00D443F4" w:rsidRPr="00F90716">
        <w:rPr>
          <w:lang w:val="en-GB"/>
        </w:rPr>
        <w:t xml:space="preserve">The </w:t>
      </w:r>
      <w:r w:rsidR="0008593B" w:rsidRPr="00E07EBA">
        <w:rPr>
          <w:lang w:val="en-GB"/>
        </w:rPr>
        <w:t>refugee appeals board</w:t>
      </w:r>
      <w:r w:rsidR="00D443F4" w:rsidRPr="00F90716">
        <w:rPr>
          <w:lang w:val="en-GB"/>
        </w:rPr>
        <w:t xml:space="preserve"> </w:t>
      </w:r>
      <w:r w:rsidR="00FE61C0" w:rsidRPr="00F90716">
        <w:rPr>
          <w:lang w:val="en-GB"/>
        </w:rPr>
        <w:t xml:space="preserve">accepted as a fact that the author had acted as an interpreter for </w:t>
      </w:r>
      <w:r w:rsidR="00E520C9" w:rsidRPr="00E07EBA">
        <w:rPr>
          <w:lang w:val="en-GB"/>
        </w:rPr>
        <w:t>international security forces</w:t>
      </w:r>
      <w:r w:rsidR="00FE61C0" w:rsidRPr="00F90716">
        <w:rPr>
          <w:lang w:val="en-GB"/>
        </w:rPr>
        <w:t xml:space="preserve">, but determined that, viewed in isolation, this did not form a basis for asylum. The </w:t>
      </w:r>
      <w:r w:rsidR="0008593B" w:rsidRPr="00E07EBA">
        <w:rPr>
          <w:lang w:val="en-GB"/>
        </w:rPr>
        <w:t>b</w:t>
      </w:r>
      <w:r w:rsidR="00FE61C0" w:rsidRPr="00F90716">
        <w:rPr>
          <w:lang w:val="en-GB"/>
        </w:rPr>
        <w:t xml:space="preserve">oard rejected the author’s account of his alleged conflict with </w:t>
      </w:r>
      <w:r w:rsidR="00F66A74" w:rsidRPr="00F90716">
        <w:rPr>
          <w:lang w:val="en-GB"/>
        </w:rPr>
        <w:t xml:space="preserve">A.M.W. </w:t>
      </w:r>
      <w:r w:rsidR="00FA40C0" w:rsidRPr="00E07EBA">
        <w:rPr>
          <w:lang w:val="en-GB"/>
        </w:rPr>
        <w:t xml:space="preserve">and his </w:t>
      </w:r>
      <w:r w:rsidR="00160036" w:rsidRPr="00F90716">
        <w:rPr>
          <w:lang w:val="en-GB"/>
        </w:rPr>
        <w:t>s</w:t>
      </w:r>
      <w:r w:rsidR="00FE61C0" w:rsidRPr="00F90716">
        <w:rPr>
          <w:lang w:val="en-GB"/>
        </w:rPr>
        <w:t xml:space="preserve">tatement that his brother-in-law </w:t>
      </w:r>
      <w:r w:rsidR="00FA40C0" w:rsidRPr="00E07EBA">
        <w:rPr>
          <w:lang w:val="en-GB"/>
        </w:rPr>
        <w:t xml:space="preserve">had </w:t>
      </w:r>
      <w:r w:rsidR="00FE61C0" w:rsidRPr="00F90716">
        <w:rPr>
          <w:lang w:val="en-GB"/>
        </w:rPr>
        <w:t xml:space="preserve">been killed because of the author’s conflict with the </w:t>
      </w:r>
      <w:r w:rsidR="00FA40C0" w:rsidRPr="00E07EBA">
        <w:rPr>
          <w:lang w:val="en-GB"/>
        </w:rPr>
        <w:t>A.M.W</w:t>
      </w:r>
      <w:r w:rsidR="00FE61C0" w:rsidRPr="00F90716">
        <w:rPr>
          <w:lang w:val="en-GB"/>
        </w:rPr>
        <w:t xml:space="preserve">. The </w:t>
      </w:r>
      <w:r w:rsidR="0008593B" w:rsidRPr="00E07EBA">
        <w:rPr>
          <w:lang w:val="en-GB"/>
        </w:rPr>
        <w:t>board</w:t>
      </w:r>
      <w:r w:rsidR="00FE61C0" w:rsidRPr="00F90716">
        <w:rPr>
          <w:lang w:val="en-GB"/>
        </w:rPr>
        <w:t xml:space="preserve"> further determined that the author</w:t>
      </w:r>
      <w:r w:rsidR="00A34580" w:rsidRPr="00F90716">
        <w:rPr>
          <w:lang w:val="en-GB"/>
        </w:rPr>
        <w:t xml:space="preserve"> </w:t>
      </w:r>
      <w:r w:rsidR="00FA40C0" w:rsidRPr="00E07EBA">
        <w:rPr>
          <w:lang w:val="en-GB"/>
        </w:rPr>
        <w:t xml:space="preserve">had </w:t>
      </w:r>
      <w:r w:rsidR="00FF56C2" w:rsidRPr="00F90716">
        <w:rPr>
          <w:lang w:val="en-GB"/>
        </w:rPr>
        <w:t xml:space="preserve">made inconsistent statements on significant circumstances, including his attempts to establish contact with the American intelligence officer </w:t>
      </w:r>
      <w:r w:rsidR="00FB05B8" w:rsidRPr="00F90716">
        <w:rPr>
          <w:lang w:val="en-GB"/>
        </w:rPr>
        <w:t>M.W.</w:t>
      </w:r>
      <w:r w:rsidR="00FF56C2" w:rsidRPr="00F90716">
        <w:rPr>
          <w:lang w:val="en-GB"/>
        </w:rPr>
        <w:t xml:space="preserve"> and the date on which he had learned about the imminent arrest of </w:t>
      </w:r>
      <w:r w:rsidR="00522575" w:rsidRPr="00F90716">
        <w:rPr>
          <w:lang w:val="en-GB"/>
        </w:rPr>
        <w:t>A.M.W</w:t>
      </w:r>
      <w:r w:rsidR="00DF6975" w:rsidRPr="00F90716">
        <w:rPr>
          <w:lang w:val="en-GB"/>
        </w:rPr>
        <w:t>.</w:t>
      </w:r>
      <w:r w:rsidR="00DF6975" w:rsidRPr="00F90716">
        <w:rPr>
          <w:sz w:val="22"/>
          <w:lang w:val="en-GB"/>
        </w:rPr>
        <w:t xml:space="preserve"> </w:t>
      </w:r>
      <w:r w:rsidR="00DF6975" w:rsidRPr="00F90716">
        <w:rPr>
          <w:lang w:val="en-GB"/>
        </w:rPr>
        <w:t>The author</w:t>
      </w:r>
      <w:r w:rsidR="00484A40" w:rsidRPr="00F90716">
        <w:rPr>
          <w:lang w:val="en-GB"/>
        </w:rPr>
        <w:t xml:space="preserve"> </w:t>
      </w:r>
      <w:r w:rsidR="00FF56C2" w:rsidRPr="00F90716">
        <w:rPr>
          <w:lang w:val="en-GB"/>
        </w:rPr>
        <w:t xml:space="preserve">has persistently stated that the </w:t>
      </w:r>
      <w:r w:rsidR="00FA40C0" w:rsidRPr="00E07EBA">
        <w:rPr>
          <w:lang w:val="en-GB"/>
        </w:rPr>
        <w:t xml:space="preserve">A.M.W. </w:t>
      </w:r>
      <w:r w:rsidR="00FF56C2" w:rsidRPr="00F90716">
        <w:rPr>
          <w:lang w:val="en-GB"/>
        </w:rPr>
        <w:t xml:space="preserve">was arrested at the end of June 2011 and that </w:t>
      </w:r>
      <w:r w:rsidR="00DF6975" w:rsidRPr="00F90716">
        <w:rPr>
          <w:lang w:val="en-GB"/>
        </w:rPr>
        <w:t>he (the author)</w:t>
      </w:r>
      <w:r w:rsidR="00FF56C2" w:rsidRPr="00F90716">
        <w:rPr>
          <w:lang w:val="en-GB"/>
        </w:rPr>
        <w:t xml:space="preserve"> went on </w:t>
      </w:r>
      <w:r w:rsidR="00FA40C0" w:rsidRPr="00E07EBA">
        <w:rPr>
          <w:lang w:val="en-GB"/>
        </w:rPr>
        <w:t xml:space="preserve">vacation </w:t>
      </w:r>
      <w:r w:rsidR="00FF56C2" w:rsidRPr="00F90716">
        <w:rPr>
          <w:lang w:val="en-GB"/>
        </w:rPr>
        <w:t>with his sister in Kandahar at the beginning of July 2011</w:t>
      </w:r>
      <w:r w:rsidR="00484A40" w:rsidRPr="00F90716">
        <w:rPr>
          <w:lang w:val="en-GB"/>
        </w:rPr>
        <w:t>.</w:t>
      </w:r>
    </w:p>
    <w:p w:rsidR="00FF56C2" w:rsidRPr="00E07EBA" w:rsidRDefault="0012433C" w:rsidP="00A75A1B">
      <w:pPr>
        <w:pStyle w:val="SingleTxtG"/>
        <w:rPr>
          <w:lang w:val="en-GB"/>
        </w:rPr>
      </w:pPr>
      <w:r w:rsidRPr="00F90716">
        <w:rPr>
          <w:lang w:val="en-GB"/>
        </w:rPr>
        <w:t>4.8</w:t>
      </w:r>
      <w:r w:rsidRPr="00F90716">
        <w:rPr>
          <w:lang w:val="en-GB"/>
        </w:rPr>
        <w:tab/>
      </w:r>
      <w:r w:rsidR="00DF6975" w:rsidRPr="00F90716">
        <w:rPr>
          <w:lang w:val="en-GB"/>
        </w:rPr>
        <w:t xml:space="preserve">The </w:t>
      </w:r>
      <w:r w:rsidR="0008593B" w:rsidRPr="00E07EBA">
        <w:rPr>
          <w:lang w:val="en-GB"/>
        </w:rPr>
        <w:t>r</w:t>
      </w:r>
      <w:r w:rsidR="00DF6975" w:rsidRPr="00F90716">
        <w:rPr>
          <w:lang w:val="en-GB"/>
        </w:rPr>
        <w:t xml:space="preserve">efugee </w:t>
      </w:r>
      <w:r w:rsidR="0008593B" w:rsidRPr="00E07EBA">
        <w:rPr>
          <w:lang w:val="en-GB"/>
        </w:rPr>
        <w:t>a</w:t>
      </w:r>
      <w:r w:rsidR="00DF6975" w:rsidRPr="00F90716">
        <w:rPr>
          <w:lang w:val="en-GB"/>
        </w:rPr>
        <w:t xml:space="preserve">ppeals </w:t>
      </w:r>
      <w:r w:rsidR="0008593B" w:rsidRPr="00E07EBA">
        <w:rPr>
          <w:lang w:val="en-GB"/>
        </w:rPr>
        <w:t>b</w:t>
      </w:r>
      <w:r w:rsidR="00DF6975" w:rsidRPr="00F90716">
        <w:rPr>
          <w:lang w:val="en-GB"/>
        </w:rPr>
        <w:t xml:space="preserve">oard </w:t>
      </w:r>
      <w:r w:rsidR="000200E9" w:rsidRPr="00F90716">
        <w:rPr>
          <w:lang w:val="en-GB"/>
        </w:rPr>
        <w:t>deemed the author not to be</w:t>
      </w:r>
      <w:r w:rsidR="00DF6975" w:rsidRPr="00F90716">
        <w:rPr>
          <w:lang w:val="en-GB"/>
        </w:rPr>
        <w:t xml:space="preserve"> </w:t>
      </w:r>
      <w:r w:rsidR="00FF56C2" w:rsidRPr="00F90716">
        <w:rPr>
          <w:lang w:val="en-GB"/>
        </w:rPr>
        <w:t>credible as</w:t>
      </w:r>
      <w:r w:rsidR="00FA40C0" w:rsidRPr="00E07EBA">
        <w:rPr>
          <w:lang w:val="en-GB"/>
        </w:rPr>
        <w:t>,</w:t>
      </w:r>
      <w:r w:rsidR="00FF56C2" w:rsidRPr="00F90716">
        <w:rPr>
          <w:lang w:val="en-GB"/>
        </w:rPr>
        <w:t xml:space="preserve"> </w:t>
      </w:r>
      <w:r w:rsidR="000200E9" w:rsidRPr="00F90716">
        <w:rPr>
          <w:lang w:val="en-GB"/>
        </w:rPr>
        <w:t>in</w:t>
      </w:r>
      <w:r w:rsidR="00FF56C2" w:rsidRPr="00F90716">
        <w:rPr>
          <w:lang w:val="en-GB"/>
        </w:rPr>
        <w:t xml:space="preserve"> response</w:t>
      </w:r>
      <w:r w:rsidR="000200E9" w:rsidRPr="00F90716">
        <w:rPr>
          <w:lang w:val="en-GB"/>
        </w:rPr>
        <w:t xml:space="preserve"> to a query from the</w:t>
      </w:r>
      <w:r w:rsidR="00A34580" w:rsidRPr="00F90716">
        <w:rPr>
          <w:lang w:val="en-GB"/>
        </w:rPr>
        <w:t xml:space="preserve"> Ministry of Foreign Affairs</w:t>
      </w:r>
      <w:r w:rsidR="000200E9" w:rsidRPr="00F90716">
        <w:rPr>
          <w:lang w:val="en-GB"/>
        </w:rPr>
        <w:t xml:space="preserve">, </w:t>
      </w:r>
      <w:r w:rsidR="00A75A1B" w:rsidRPr="00E07EBA">
        <w:rPr>
          <w:lang w:val="en-GB"/>
        </w:rPr>
        <w:t xml:space="preserve">Mission Essential Personnel </w:t>
      </w:r>
      <w:r w:rsidR="000200E9" w:rsidRPr="00F90716">
        <w:rPr>
          <w:lang w:val="en-GB"/>
        </w:rPr>
        <w:t xml:space="preserve">had </w:t>
      </w:r>
      <w:r w:rsidR="00FF56C2" w:rsidRPr="00F90716">
        <w:rPr>
          <w:lang w:val="en-GB"/>
        </w:rPr>
        <w:t>stated</w:t>
      </w:r>
      <w:r w:rsidR="000200E9" w:rsidRPr="00F90716">
        <w:rPr>
          <w:lang w:val="en-GB"/>
        </w:rPr>
        <w:t xml:space="preserve"> on 12</w:t>
      </w:r>
      <w:r w:rsidR="00BC66A4">
        <w:rPr>
          <w:lang w:val="en-GB"/>
        </w:rPr>
        <w:t> </w:t>
      </w:r>
      <w:r w:rsidR="000200E9" w:rsidRPr="00F90716">
        <w:rPr>
          <w:lang w:val="en-GB"/>
        </w:rPr>
        <w:t>June 2012</w:t>
      </w:r>
      <w:r w:rsidR="00FF56C2" w:rsidRPr="00F90716">
        <w:rPr>
          <w:lang w:val="en-GB"/>
        </w:rPr>
        <w:t xml:space="preserve"> that the </w:t>
      </w:r>
      <w:r w:rsidR="000200E9" w:rsidRPr="00F90716">
        <w:rPr>
          <w:lang w:val="en-GB"/>
        </w:rPr>
        <w:t>author’s</w:t>
      </w:r>
      <w:r w:rsidR="00FF56C2" w:rsidRPr="00F90716">
        <w:rPr>
          <w:lang w:val="en-GB"/>
        </w:rPr>
        <w:t xml:space="preserve"> last day at work </w:t>
      </w:r>
      <w:r w:rsidR="00FA40C0" w:rsidRPr="00E07EBA">
        <w:rPr>
          <w:lang w:val="en-GB"/>
        </w:rPr>
        <w:t xml:space="preserve">had been </w:t>
      </w:r>
      <w:r w:rsidR="00FF56C2" w:rsidRPr="00F90716">
        <w:rPr>
          <w:lang w:val="en-GB"/>
        </w:rPr>
        <w:t>1 May 2011</w:t>
      </w:r>
      <w:r w:rsidR="00C15602" w:rsidRPr="00F90716">
        <w:rPr>
          <w:lang w:val="en-GB"/>
        </w:rPr>
        <w:t>,</w:t>
      </w:r>
      <w:r w:rsidR="00FF56C2" w:rsidRPr="00F90716">
        <w:rPr>
          <w:lang w:val="en-GB"/>
        </w:rPr>
        <w:t xml:space="preserve"> and that he had resigned from his position for family reasons.</w:t>
      </w:r>
      <w:r w:rsidR="00484A40" w:rsidRPr="00F90716">
        <w:rPr>
          <w:lang w:val="en-GB"/>
        </w:rPr>
        <w:t xml:space="preserve"> </w:t>
      </w:r>
      <w:r w:rsidR="00F902D4" w:rsidRPr="00F90716">
        <w:rPr>
          <w:lang w:val="en-GB"/>
        </w:rPr>
        <w:t xml:space="preserve">The </w:t>
      </w:r>
      <w:r w:rsidR="0008593B" w:rsidRPr="00E07EBA">
        <w:rPr>
          <w:lang w:val="en-GB"/>
        </w:rPr>
        <w:t>b</w:t>
      </w:r>
      <w:r w:rsidR="00F902D4" w:rsidRPr="00F90716">
        <w:rPr>
          <w:lang w:val="en-GB"/>
        </w:rPr>
        <w:t xml:space="preserve">oard also found that the killing of </w:t>
      </w:r>
      <w:r w:rsidR="00FA40C0" w:rsidRPr="00E07EBA">
        <w:rPr>
          <w:lang w:val="en-GB"/>
        </w:rPr>
        <w:t>the author</w:t>
      </w:r>
      <w:r w:rsidR="00AE02DC">
        <w:rPr>
          <w:lang w:val="en-GB"/>
        </w:rPr>
        <w:t>’</w:t>
      </w:r>
      <w:r w:rsidR="00FA40C0" w:rsidRPr="00E07EBA">
        <w:rPr>
          <w:lang w:val="en-GB"/>
        </w:rPr>
        <w:t xml:space="preserve">s </w:t>
      </w:r>
      <w:r w:rsidRPr="00F90716">
        <w:rPr>
          <w:lang w:val="en-GB"/>
        </w:rPr>
        <w:t>brother</w:t>
      </w:r>
      <w:r w:rsidR="00F902D4" w:rsidRPr="00F90716">
        <w:rPr>
          <w:lang w:val="en-GB"/>
        </w:rPr>
        <w:t xml:space="preserve">-in-law </w:t>
      </w:r>
      <w:r w:rsidR="00FA40C0" w:rsidRPr="00E07EBA">
        <w:rPr>
          <w:lang w:val="en-GB"/>
        </w:rPr>
        <w:t xml:space="preserve">had not had been sufficiently substantiated as </w:t>
      </w:r>
      <w:r w:rsidR="00F902D4" w:rsidRPr="00F90716">
        <w:rPr>
          <w:lang w:val="en-GB"/>
        </w:rPr>
        <w:t xml:space="preserve">related to the applicant’s conflict with </w:t>
      </w:r>
      <w:r w:rsidR="00FB05B8" w:rsidRPr="00F90716">
        <w:rPr>
          <w:lang w:val="en-GB"/>
        </w:rPr>
        <w:t>A.M.W</w:t>
      </w:r>
      <w:r w:rsidR="00F902D4" w:rsidRPr="00F90716">
        <w:rPr>
          <w:lang w:val="en-GB"/>
        </w:rPr>
        <w:t>.</w:t>
      </w:r>
      <w:r w:rsidR="00484A40" w:rsidRPr="00F90716">
        <w:rPr>
          <w:lang w:val="en-GB"/>
        </w:rPr>
        <w:t xml:space="preserve"> </w:t>
      </w:r>
      <w:r w:rsidR="00F902D4" w:rsidRPr="00F90716">
        <w:rPr>
          <w:lang w:val="en-GB"/>
        </w:rPr>
        <w:t xml:space="preserve">Against that background, the </w:t>
      </w:r>
      <w:r w:rsidR="0008593B" w:rsidRPr="00E07EBA">
        <w:rPr>
          <w:lang w:val="en-GB"/>
        </w:rPr>
        <w:t>b</w:t>
      </w:r>
      <w:r w:rsidR="00F902D4" w:rsidRPr="00F90716">
        <w:rPr>
          <w:lang w:val="en-GB"/>
        </w:rPr>
        <w:t xml:space="preserve">oard upheld the decision of 13 July 2012 of the Danish </w:t>
      </w:r>
      <w:r w:rsidR="00E520C9" w:rsidRPr="00E07EBA">
        <w:rPr>
          <w:lang w:val="en-GB"/>
        </w:rPr>
        <w:t>i</w:t>
      </w:r>
      <w:r w:rsidR="00F902D4" w:rsidRPr="00F90716">
        <w:rPr>
          <w:lang w:val="en-GB"/>
        </w:rPr>
        <w:t xml:space="preserve">mmigration </w:t>
      </w:r>
      <w:r w:rsidR="00E520C9" w:rsidRPr="00E07EBA">
        <w:rPr>
          <w:lang w:val="en-GB"/>
        </w:rPr>
        <w:t>s</w:t>
      </w:r>
      <w:r w:rsidR="00F902D4" w:rsidRPr="00F90716">
        <w:rPr>
          <w:lang w:val="en-GB"/>
        </w:rPr>
        <w:t>ervice t</w:t>
      </w:r>
      <w:r w:rsidR="00480BAE" w:rsidRPr="00F90716">
        <w:rPr>
          <w:lang w:val="en-GB"/>
        </w:rPr>
        <w:t xml:space="preserve">o refuse asylum to the author. </w:t>
      </w:r>
    </w:p>
    <w:p w:rsidR="003365FF" w:rsidRPr="00E07EBA" w:rsidRDefault="0012433C" w:rsidP="00FA40C0">
      <w:pPr>
        <w:pStyle w:val="SingleTxtG"/>
        <w:rPr>
          <w:lang w:val="en-GB"/>
        </w:rPr>
      </w:pPr>
      <w:r w:rsidRPr="00F90716">
        <w:rPr>
          <w:lang w:val="en-GB"/>
        </w:rPr>
        <w:t>4.9</w:t>
      </w:r>
      <w:r w:rsidR="005A1339" w:rsidRPr="00F90716">
        <w:rPr>
          <w:lang w:val="en-GB"/>
        </w:rPr>
        <w:tab/>
      </w:r>
      <w:r w:rsidR="00FF56C2" w:rsidRPr="00F90716">
        <w:rPr>
          <w:lang w:val="en-GB"/>
        </w:rPr>
        <w:t xml:space="preserve">The </w:t>
      </w:r>
      <w:r w:rsidR="0008593B" w:rsidRPr="00E07EBA">
        <w:rPr>
          <w:lang w:val="en-GB"/>
        </w:rPr>
        <w:t>refugee appeals board</w:t>
      </w:r>
      <w:r w:rsidR="005A1339" w:rsidRPr="00F90716">
        <w:rPr>
          <w:lang w:val="en-GB"/>
        </w:rPr>
        <w:t xml:space="preserve"> questioned a document produced by the author emanating from the </w:t>
      </w:r>
      <w:r w:rsidR="00FF56C2" w:rsidRPr="00F90716">
        <w:rPr>
          <w:lang w:val="en-GB"/>
        </w:rPr>
        <w:t>police authorities in the Kandahar province</w:t>
      </w:r>
      <w:r w:rsidR="005A1339" w:rsidRPr="00F90716">
        <w:rPr>
          <w:lang w:val="en-GB"/>
        </w:rPr>
        <w:t xml:space="preserve"> </w:t>
      </w:r>
      <w:r w:rsidR="00FA40C0" w:rsidRPr="00E07EBA">
        <w:rPr>
          <w:lang w:val="en-GB"/>
        </w:rPr>
        <w:t xml:space="preserve">that had </w:t>
      </w:r>
      <w:r w:rsidR="005A1339" w:rsidRPr="00F90716">
        <w:rPr>
          <w:lang w:val="en-GB"/>
        </w:rPr>
        <w:t xml:space="preserve">confirmed that the author’s brother-in-law had been killed because terrorists </w:t>
      </w:r>
      <w:r w:rsidR="00FA40C0" w:rsidRPr="00E07EBA">
        <w:rPr>
          <w:lang w:val="en-GB"/>
        </w:rPr>
        <w:t xml:space="preserve">had been </w:t>
      </w:r>
      <w:r w:rsidR="005A1339" w:rsidRPr="00F90716">
        <w:rPr>
          <w:lang w:val="en-GB"/>
        </w:rPr>
        <w:t xml:space="preserve">looking for the author. The </w:t>
      </w:r>
      <w:r w:rsidR="0008593B" w:rsidRPr="00E07EBA">
        <w:rPr>
          <w:lang w:val="en-GB"/>
        </w:rPr>
        <w:t>board</w:t>
      </w:r>
      <w:r w:rsidR="005A1339" w:rsidRPr="00F90716">
        <w:rPr>
          <w:lang w:val="en-GB"/>
        </w:rPr>
        <w:t xml:space="preserve"> first noted that</w:t>
      </w:r>
      <w:r w:rsidR="00FA40C0" w:rsidRPr="00E07EBA">
        <w:rPr>
          <w:lang w:val="en-GB"/>
        </w:rPr>
        <w:t>,</w:t>
      </w:r>
      <w:r w:rsidR="005A1339" w:rsidRPr="00F90716">
        <w:rPr>
          <w:lang w:val="en-GB"/>
        </w:rPr>
        <w:t xml:space="preserve"> </w:t>
      </w:r>
      <w:r w:rsidR="00FA40C0" w:rsidRPr="00E07EBA">
        <w:rPr>
          <w:lang w:val="en-GB"/>
        </w:rPr>
        <w:t xml:space="preserve">owing </w:t>
      </w:r>
      <w:r w:rsidR="00FF56C2" w:rsidRPr="00F90716">
        <w:rPr>
          <w:lang w:val="en-GB"/>
        </w:rPr>
        <w:t xml:space="preserve">to its form and contents, </w:t>
      </w:r>
      <w:r w:rsidR="005A1339" w:rsidRPr="00F90716">
        <w:rPr>
          <w:lang w:val="en-GB"/>
        </w:rPr>
        <w:t>the document appeared</w:t>
      </w:r>
      <w:r w:rsidR="00FF56C2" w:rsidRPr="00F90716">
        <w:rPr>
          <w:lang w:val="en-GB"/>
        </w:rPr>
        <w:t xml:space="preserve"> </w:t>
      </w:r>
      <w:r w:rsidR="00FA40C0" w:rsidRPr="00E07EBA">
        <w:rPr>
          <w:lang w:val="en-GB"/>
        </w:rPr>
        <w:t xml:space="preserve">to have been </w:t>
      </w:r>
      <w:r w:rsidR="00FF56C2" w:rsidRPr="00F90716">
        <w:rPr>
          <w:lang w:val="en-GB"/>
        </w:rPr>
        <w:t>fabricated f</w:t>
      </w:r>
      <w:r w:rsidR="005A1339" w:rsidRPr="00F90716">
        <w:rPr>
          <w:lang w:val="en-GB"/>
        </w:rPr>
        <w:t xml:space="preserve">or the occasion. The </w:t>
      </w:r>
      <w:r w:rsidR="0008593B" w:rsidRPr="00E07EBA">
        <w:rPr>
          <w:lang w:val="en-GB"/>
        </w:rPr>
        <w:t>b</w:t>
      </w:r>
      <w:r w:rsidR="005A1339" w:rsidRPr="00F90716">
        <w:rPr>
          <w:lang w:val="en-GB"/>
        </w:rPr>
        <w:t>oard also found</w:t>
      </w:r>
      <w:r w:rsidR="00FF56C2" w:rsidRPr="00F90716">
        <w:rPr>
          <w:lang w:val="en-GB"/>
        </w:rPr>
        <w:t xml:space="preserve"> it conspicuous that, after having been refused asylum by the </w:t>
      </w:r>
      <w:r w:rsidR="0008593B" w:rsidRPr="00E07EBA">
        <w:rPr>
          <w:lang w:val="en-GB"/>
        </w:rPr>
        <w:t>b</w:t>
      </w:r>
      <w:r w:rsidR="00FF56C2" w:rsidRPr="00F90716">
        <w:rPr>
          <w:lang w:val="en-GB"/>
        </w:rPr>
        <w:t xml:space="preserve">oard, </w:t>
      </w:r>
      <w:r w:rsidR="005A1339" w:rsidRPr="00F90716">
        <w:rPr>
          <w:lang w:val="en-GB"/>
        </w:rPr>
        <w:t>the author</w:t>
      </w:r>
      <w:r w:rsidR="00D443F4" w:rsidRPr="00F90716">
        <w:rPr>
          <w:lang w:val="en-GB"/>
        </w:rPr>
        <w:t xml:space="preserve"> </w:t>
      </w:r>
      <w:r w:rsidR="00FA40C0" w:rsidRPr="00E07EBA">
        <w:rPr>
          <w:lang w:val="en-GB"/>
        </w:rPr>
        <w:t xml:space="preserve">had </w:t>
      </w:r>
      <w:r w:rsidR="00D443F4" w:rsidRPr="00F90716">
        <w:rPr>
          <w:lang w:val="en-GB"/>
        </w:rPr>
        <w:t xml:space="preserve">contacted a lawyer who </w:t>
      </w:r>
      <w:r w:rsidR="00FA40C0" w:rsidRPr="00E07EBA">
        <w:rPr>
          <w:lang w:val="en-GB"/>
        </w:rPr>
        <w:t xml:space="preserve">had </w:t>
      </w:r>
      <w:r w:rsidR="00FF56C2" w:rsidRPr="00F90716">
        <w:rPr>
          <w:lang w:val="en-GB"/>
        </w:rPr>
        <w:t>requested, on his behalf, that the p</w:t>
      </w:r>
      <w:r w:rsidR="00D443F4" w:rsidRPr="00F90716">
        <w:rPr>
          <w:lang w:val="en-GB"/>
        </w:rPr>
        <w:t xml:space="preserve">olice investigate a killing </w:t>
      </w:r>
      <w:r w:rsidR="00FA40C0" w:rsidRPr="00E07EBA">
        <w:rPr>
          <w:lang w:val="en-GB"/>
        </w:rPr>
        <w:t xml:space="preserve">that had taken </w:t>
      </w:r>
      <w:r w:rsidR="00FF56C2" w:rsidRPr="00F90716">
        <w:rPr>
          <w:lang w:val="en-GB"/>
        </w:rPr>
        <w:t xml:space="preserve">place in 2011. </w:t>
      </w:r>
      <w:r w:rsidR="005A1339" w:rsidRPr="00F90716">
        <w:rPr>
          <w:lang w:val="en-GB"/>
        </w:rPr>
        <w:t>N</w:t>
      </w:r>
      <w:r w:rsidR="00FF56C2" w:rsidRPr="00F90716">
        <w:rPr>
          <w:lang w:val="en-GB"/>
        </w:rPr>
        <w:t xml:space="preserve">o explanation </w:t>
      </w:r>
      <w:r w:rsidR="00FA40C0" w:rsidRPr="00E07EBA">
        <w:rPr>
          <w:lang w:val="en-GB"/>
        </w:rPr>
        <w:t xml:space="preserve">was </w:t>
      </w:r>
      <w:r w:rsidR="00FF56C2" w:rsidRPr="00F90716">
        <w:rPr>
          <w:lang w:val="en-GB"/>
        </w:rPr>
        <w:t xml:space="preserve">provided as to why the alleged killing of the brother-in-law had not previously been reported to the authorities. The </w:t>
      </w:r>
      <w:r w:rsidR="00D443F4" w:rsidRPr="00F90716">
        <w:rPr>
          <w:lang w:val="en-GB"/>
        </w:rPr>
        <w:t xml:space="preserve">State party notes the </w:t>
      </w:r>
      <w:r w:rsidR="0008593B" w:rsidRPr="00E07EBA">
        <w:rPr>
          <w:lang w:val="en-GB"/>
        </w:rPr>
        <w:t>board</w:t>
      </w:r>
      <w:r w:rsidR="0008593B" w:rsidRPr="00F90716">
        <w:rPr>
          <w:lang w:val="en-GB"/>
        </w:rPr>
        <w:t xml:space="preserve">’s </w:t>
      </w:r>
      <w:r w:rsidR="00D443F4" w:rsidRPr="00F90716">
        <w:rPr>
          <w:lang w:val="en-GB"/>
        </w:rPr>
        <w:t>observation</w:t>
      </w:r>
      <w:r w:rsidR="00FF56C2" w:rsidRPr="00F90716">
        <w:rPr>
          <w:lang w:val="en-GB"/>
        </w:rPr>
        <w:t xml:space="preserve"> that it is possible to purchase all kinds of f</w:t>
      </w:r>
      <w:r w:rsidR="005A1339" w:rsidRPr="00F90716">
        <w:rPr>
          <w:lang w:val="en-GB"/>
        </w:rPr>
        <w:t>orged documents in Afghanistan.</w:t>
      </w:r>
    </w:p>
    <w:p w:rsidR="0070170D" w:rsidRPr="00E07EBA" w:rsidRDefault="003365FF" w:rsidP="00A75A1B">
      <w:pPr>
        <w:pStyle w:val="SingleTxtG"/>
        <w:rPr>
          <w:lang w:val="en-GB"/>
        </w:rPr>
      </w:pPr>
      <w:r w:rsidRPr="00F90716">
        <w:rPr>
          <w:lang w:val="en-GB"/>
        </w:rPr>
        <w:t>4.</w:t>
      </w:r>
      <w:r w:rsidR="0012433C" w:rsidRPr="00F90716">
        <w:rPr>
          <w:lang w:val="en-GB"/>
        </w:rPr>
        <w:t>10</w:t>
      </w:r>
      <w:r w:rsidRPr="00F90716">
        <w:rPr>
          <w:lang w:val="en-GB"/>
        </w:rPr>
        <w:tab/>
        <w:t xml:space="preserve">The </w:t>
      </w:r>
      <w:r w:rsidR="00D443F4" w:rsidRPr="00F90716">
        <w:rPr>
          <w:lang w:val="en-GB"/>
        </w:rPr>
        <w:t xml:space="preserve">State party further recalls that the </w:t>
      </w:r>
      <w:r w:rsidR="0008593B" w:rsidRPr="00E07EBA">
        <w:rPr>
          <w:lang w:val="en-GB"/>
        </w:rPr>
        <w:t>refugee appeals board</w:t>
      </w:r>
      <w:r w:rsidR="00D443F4" w:rsidRPr="00F90716">
        <w:rPr>
          <w:lang w:val="en-GB"/>
        </w:rPr>
        <w:t xml:space="preserve"> </w:t>
      </w:r>
      <w:r w:rsidRPr="00F90716">
        <w:rPr>
          <w:lang w:val="en-GB"/>
        </w:rPr>
        <w:t>questioned the production by the author of a</w:t>
      </w:r>
      <w:r w:rsidR="00FF56C2" w:rsidRPr="00F90716">
        <w:rPr>
          <w:lang w:val="en-GB"/>
        </w:rPr>
        <w:t xml:space="preserve"> sta</w:t>
      </w:r>
      <w:r w:rsidRPr="00F90716">
        <w:rPr>
          <w:lang w:val="en-GB"/>
        </w:rPr>
        <w:t xml:space="preserve">tement from </w:t>
      </w:r>
      <w:r w:rsidR="00FA40C0" w:rsidRPr="00E07EBA">
        <w:rPr>
          <w:lang w:val="en-GB"/>
        </w:rPr>
        <w:t>a m</w:t>
      </w:r>
      <w:r w:rsidRPr="00F90716">
        <w:rPr>
          <w:lang w:val="en-GB"/>
        </w:rPr>
        <w:t xml:space="preserve">ajor </w:t>
      </w:r>
      <w:r w:rsidR="0068724A" w:rsidRPr="00F90716">
        <w:rPr>
          <w:lang w:val="en-GB"/>
        </w:rPr>
        <w:t>J.S</w:t>
      </w:r>
      <w:r w:rsidRPr="00F90716">
        <w:rPr>
          <w:lang w:val="en-GB"/>
        </w:rPr>
        <w:t xml:space="preserve">. The </w:t>
      </w:r>
      <w:r w:rsidR="0008593B" w:rsidRPr="00E07EBA">
        <w:rPr>
          <w:lang w:val="en-GB"/>
        </w:rPr>
        <w:t>b</w:t>
      </w:r>
      <w:r w:rsidRPr="00F90716">
        <w:rPr>
          <w:lang w:val="en-GB"/>
        </w:rPr>
        <w:t xml:space="preserve">oard wondered </w:t>
      </w:r>
      <w:r w:rsidR="00FF56C2" w:rsidRPr="00F90716">
        <w:rPr>
          <w:lang w:val="en-GB"/>
        </w:rPr>
        <w:t xml:space="preserve">why a statement </w:t>
      </w:r>
      <w:r w:rsidR="00FA40C0" w:rsidRPr="00E07EBA">
        <w:rPr>
          <w:lang w:val="en-GB"/>
        </w:rPr>
        <w:t xml:space="preserve">had </w:t>
      </w:r>
      <w:r w:rsidRPr="00F90716">
        <w:rPr>
          <w:lang w:val="en-GB"/>
        </w:rPr>
        <w:t xml:space="preserve">not instead </w:t>
      </w:r>
      <w:r w:rsidR="00FA40C0" w:rsidRPr="00E07EBA">
        <w:rPr>
          <w:lang w:val="en-GB"/>
        </w:rPr>
        <w:t xml:space="preserve">been </w:t>
      </w:r>
      <w:r w:rsidRPr="00F90716">
        <w:rPr>
          <w:lang w:val="en-GB"/>
        </w:rPr>
        <w:t>produced</w:t>
      </w:r>
      <w:r w:rsidR="00FF56C2" w:rsidRPr="00F90716">
        <w:rPr>
          <w:lang w:val="en-GB"/>
        </w:rPr>
        <w:t xml:space="preserve"> from </w:t>
      </w:r>
      <w:r w:rsidR="00FB05B8" w:rsidRPr="00F90716">
        <w:rPr>
          <w:lang w:val="en-GB"/>
        </w:rPr>
        <w:t>M.W.</w:t>
      </w:r>
      <w:r w:rsidR="00FF56C2" w:rsidRPr="00F90716">
        <w:rPr>
          <w:lang w:val="en-GB"/>
        </w:rPr>
        <w:t xml:space="preserve">, to whom </w:t>
      </w:r>
      <w:r w:rsidRPr="00F90716">
        <w:rPr>
          <w:lang w:val="en-GB"/>
        </w:rPr>
        <w:t>he author</w:t>
      </w:r>
      <w:r w:rsidR="00FF56C2" w:rsidRPr="00F90716">
        <w:rPr>
          <w:lang w:val="en-GB"/>
        </w:rPr>
        <w:t xml:space="preserve"> </w:t>
      </w:r>
      <w:r w:rsidR="00FA40C0" w:rsidRPr="00E07EBA">
        <w:rPr>
          <w:lang w:val="en-GB"/>
        </w:rPr>
        <w:t xml:space="preserve">had </w:t>
      </w:r>
      <w:r w:rsidR="00FF56C2" w:rsidRPr="00F90716">
        <w:rPr>
          <w:lang w:val="en-GB"/>
        </w:rPr>
        <w:t xml:space="preserve">referred several times and who was allegedly his main contact person. </w:t>
      </w:r>
      <w:r w:rsidRPr="00F90716">
        <w:rPr>
          <w:lang w:val="en-GB"/>
        </w:rPr>
        <w:t xml:space="preserve">The </w:t>
      </w:r>
      <w:r w:rsidR="00FF56C2" w:rsidRPr="00F90716">
        <w:rPr>
          <w:lang w:val="en-GB"/>
        </w:rPr>
        <w:t xml:space="preserve">letter of recommendation </w:t>
      </w:r>
      <w:r w:rsidR="00C947CF" w:rsidRPr="00F90716">
        <w:rPr>
          <w:lang w:val="en-GB"/>
        </w:rPr>
        <w:t>from</w:t>
      </w:r>
      <w:r w:rsidR="00FF56C2" w:rsidRPr="00F90716">
        <w:rPr>
          <w:lang w:val="en-GB"/>
        </w:rPr>
        <w:t xml:space="preserve"> </w:t>
      </w:r>
      <w:r w:rsidR="0068724A" w:rsidRPr="00F90716">
        <w:rPr>
          <w:lang w:val="en-GB"/>
        </w:rPr>
        <w:t>J.S.</w:t>
      </w:r>
      <w:r w:rsidR="00D443F4" w:rsidRPr="00F90716">
        <w:rPr>
          <w:lang w:val="en-GB"/>
        </w:rPr>
        <w:t xml:space="preserve"> state</w:t>
      </w:r>
      <w:r w:rsidR="00A75A1B" w:rsidRPr="00E07EBA">
        <w:rPr>
          <w:lang w:val="en-GB"/>
        </w:rPr>
        <w:t>d</w:t>
      </w:r>
      <w:r w:rsidR="00D443F4" w:rsidRPr="00F90716">
        <w:rPr>
          <w:lang w:val="en-GB"/>
        </w:rPr>
        <w:t xml:space="preserve"> that</w:t>
      </w:r>
      <w:r w:rsidR="00FF56C2" w:rsidRPr="00F90716">
        <w:rPr>
          <w:lang w:val="en-GB"/>
        </w:rPr>
        <w:t xml:space="preserve"> </w:t>
      </w:r>
      <w:r w:rsidRPr="00F90716">
        <w:rPr>
          <w:lang w:val="en-GB"/>
        </w:rPr>
        <w:t>the author</w:t>
      </w:r>
      <w:r w:rsidR="00D443F4" w:rsidRPr="00F90716">
        <w:rPr>
          <w:lang w:val="en-GB"/>
        </w:rPr>
        <w:t xml:space="preserve"> ha</w:t>
      </w:r>
      <w:r w:rsidR="006675A7" w:rsidRPr="00E07EBA">
        <w:rPr>
          <w:lang w:val="en-GB"/>
        </w:rPr>
        <w:t>d</w:t>
      </w:r>
      <w:r w:rsidR="00FF56C2" w:rsidRPr="00F90716">
        <w:rPr>
          <w:lang w:val="en-GB"/>
        </w:rPr>
        <w:t xml:space="preserve"> </w:t>
      </w:r>
      <w:r w:rsidR="00A75A1B" w:rsidRPr="00E07EBA">
        <w:rPr>
          <w:lang w:val="en-GB"/>
        </w:rPr>
        <w:t xml:space="preserve">worked </w:t>
      </w:r>
      <w:r w:rsidR="00FF56C2" w:rsidRPr="00F90716">
        <w:rPr>
          <w:lang w:val="en-GB"/>
        </w:rPr>
        <w:t xml:space="preserve">as an interpreter for </w:t>
      </w:r>
      <w:r w:rsidR="00E520C9" w:rsidRPr="00E07EBA">
        <w:rPr>
          <w:lang w:val="en-GB"/>
        </w:rPr>
        <w:t>international security forces</w:t>
      </w:r>
      <w:r w:rsidR="00FF56C2" w:rsidRPr="00F90716">
        <w:rPr>
          <w:lang w:val="en-GB"/>
        </w:rPr>
        <w:t xml:space="preserve"> </w:t>
      </w:r>
      <w:r w:rsidR="00A75A1B" w:rsidRPr="00E07EBA">
        <w:rPr>
          <w:lang w:val="en-GB"/>
        </w:rPr>
        <w:t xml:space="preserve">at </w:t>
      </w:r>
      <w:r w:rsidR="00FF56C2" w:rsidRPr="00F90716">
        <w:rPr>
          <w:lang w:val="en-GB"/>
        </w:rPr>
        <w:t xml:space="preserve">Qalat </w:t>
      </w:r>
      <w:r w:rsidR="006675A7" w:rsidRPr="00E07EBA">
        <w:rPr>
          <w:lang w:val="en-GB"/>
        </w:rPr>
        <w:t>p</w:t>
      </w:r>
      <w:r w:rsidR="00FF56C2" w:rsidRPr="00F90716">
        <w:rPr>
          <w:lang w:val="en-GB"/>
        </w:rPr>
        <w:t xml:space="preserve">olice </w:t>
      </w:r>
      <w:r w:rsidR="006675A7" w:rsidRPr="00E07EBA">
        <w:rPr>
          <w:lang w:val="en-GB"/>
        </w:rPr>
        <w:t>h</w:t>
      </w:r>
      <w:r w:rsidR="00FF56C2" w:rsidRPr="00F90716">
        <w:rPr>
          <w:lang w:val="en-GB"/>
        </w:rPr>
        <w:t xml:space="preserve">eadquarters </w:t>
      </w:r>
      <w:r w:rsidR="00A75A1B" w:rsidRPr="00E07EBA">
        <w:rPr>
          <w:lang w:val="en-GB"/>
        </w:rPr>
        <w:t xml:space="preserve">in </w:t>
      </w:r>
      <w:r w:rsidR="00FF56C2" w:rsidRPr="00F90716">
        <w:rPr>
          <w:lang w:val="en-GB"/>
        </w:rPr>
        <w:t xml:space="preserve">Zabul from 1 July 2010 to </w:t>
      </w:r>
      <w:r w:rsidR="00660F12" w:rsidRPr="00E07EBA">
        <w:rPr>
          <w:lang w:val="en-GB"/>
        </w:rPr>
        <w:t>31 May 201</w:t>
      </w:r>
      <w:r w:rsidR="00FE5713" w:rsidRPr="00E07EBA">
        <w:rPr>
          <w:lang w:val="en-GB"/>
        </w:rPr>
        <w:t>1</w:t>
      </w:r>
      <w:r w:rsidR="00FF56C2" w:rsidRPr="00F90716">
        <w:rPr>
          <w:lang w:val="en-GB"/>
        </w:rPr>
        <w:t xml:space="preserve">. </w:t>
      </w:r>
      <w:r w:rsidR="00A75A1B" w:rsidRPr="00E07EBA">
        <w:rPr>
          <w:lang w:val="en-GB"/>
        </w:rPr>
        <w:t xml:space="preserve">During </w:t>
      </w:r>
      <w:r w:rsidR="00FF56C2" w:rsidRPr="00F90716">
        <w:rPr>
          <w:lang w:val="en-GB"/>
        </w:rPr>
        <w:t xml:space="preserve">the interview conducted on 13 January 2012 by the Danish </w:t>
      </w:r>
      <w:r w:rsidR="00E520C9" w:rsidRPr="00E07EBA">
        <w:rPr>
          <w:lang w:val="en-GB"/>
        </w:rPr>
        <w:t>i</w:t>
      </w:r>
      <w:r w:rsidR="00FF56C2" w:rsidRPr="00F90716">
        <w:rPr>
          <w:lang w:val="en-GB"/>
        </w:rPr>
        <w:t xml:space="preserve">mmigration </w:t>
      </w:r>
      <w:r w:rsidR="00E520C9" w:rsidRPr="00E07EBA">
        <w:rPr>
          <w:lang w:val="en-GB"/>
        </w:rPr>
        <w:t>s</w:t>
      </w:r>
      <w:r w:rsidR="00FF56C2" w:rsidRPr="00F90716">
        <w:rPr>
          <w:lang w:val="en-GB"/>
        </w:rPr>
        <w:t xml:space="preserve">ervice, </w:t>
      </w:r>
      <w:r w:rsidRPr="00F90716">
        <w:rPr>
          <w:lang w:val="en-GB"/>
        </w:rPr>
        <w:t>the author</w:t>
      </w:r>
      <w:r w:rsidR="00FF56C2" w:rsidRPr="00F90716">
        <w:rPr>
          <w:lang w:val="en-GB"/>
        </w:rPr>
        <w:t xml:space="preserve"> </w:t>
      </w:r>
      <w:r w:rsidR="00A75A1B" w:rsidRPr="00E07EBA">
        <w:rPr>
          <w:lang w:val="en-GB"/>
        </w:rPr>
        <w:t xml:space="preserve">had </w:t>
      </w:r>
      <w:r w:rsidR="00FF56C2" w:rsidRPr="00F90716">
        <w:rPr>
          <w:lang w:val="en-GB"/>
        </w:rPr>
        <w:t xml:space="preserve">stated that he had started </w:t>
      </w:r>
      <w:r w:rsidR="00A75A1B" w:rsidRPr="00E07EBA">
        <w:rPr>
          <w:lang w:val="en-GB"/>
        </w:rPr>
        <w:t xml:space="preserve">working </w:t>
      </w:r>
      <w:r w:rsidR="00FF56C2" w:rsidRPr="00F90716">
        <w:rPr>
          <w:lang w:val="en-GB"/>
        </w:rPr>
        <w:t xml:space="preserve">for the intelligence service around March 2011 and therefore no longer worked with </w:t>
      </w:r>
      <w:r w:rsidR="0068724A" w:rsidRPr="00F90716">
        <w:rPr>
          <w:lang w:val="en-GB"/>
        </w:rPr>
        <w:t>J.S</w:t>
      </w:r>
      <w:r w:rsidR="00FF56C2" w:rsidRPr="00F90716">
        <w:rPr>
          <w:lang w:val="en-GB"/>
        </w:rPr>
        <w:t xml:space="preserve">. Therefore, it seems peculiar that </w:t>
      </w:r>
      <w:r w:rsidR="0068724A" w:rsidRPr="00F90716">
        <w:rPr>
          <w:lang w:val="en-GB"/>
        </w:rPr>
        <w:t>J.S.</w:t>
      </w:r>
      <w:r w:rsidR="00FF56C2" w:rsidRPr="00F90716">
        <w:rPr>
          <w:lang w:val="en-GB"/>
        </w:rPr>
        <w:t xml:space="preserve"> should be able to confirm that </w:t>
      </w:r>
      <w:r w:rsidR="006E6C46" w:rsidRPr="00F90716">
        <w:rPr>
          <w:lang w:val="en-GB"/>
        </w:rPr>
        <w:t>the author</w:t>
      </w:r>
      <w:r w:rsidR="00FF56C2" w:rsidRPr="00F90716">
        <w:rPr>
          <w:lang w:val="en-GB"/>
        </w:rPr>
        <w:t xml:space="preserve"> had been employed until 31 May 2011 as </w:t>
      </w:r>
      <w:r w:rsidR="006E6C46" w:rsidRPr="00F90716">
        <w:rPr>
          <w:lang w:val="en-GB"/>
        </w:rPr>
        <w:t>the author</w:t>
      </w:r>
      <w:r w:rsidR="00FF56C2" w:rsidRPr="00F90716">
        <w:rPr>
          <w:lang w:val="en-GB"/>
        </w:rPr>
        <w:t xml:space="preserve"> no longer worked for him</w:t>
      </w:r>
      <w:r w:rsidR="00A75A1B" w:rsidRPr="00E07EBA">
        <w:rPr>
          <w:lang w:val="en-GB"/>
        </w:rPr>
        <w:t xml:space="preserve"> at that time</w:t>
      </w:r>
      <w:r w:rsidR="00FF56C2" w:rsidRPr="00F90716">
        <w:rPr>
          <w:lang w:val="en-GB"/>
        </w:rPr>
        <w:t xml:space="preserve">. For the above reasons, the </w:t>
      </w:r>
      <w:r w:rsidR="0008593B" w:rsidRPr="00E07EBA">
        <w:rPr>
          <w:lang w:val="en-GB"/>
        </w:rPr>
        <w:t>board</w:t>
      </w:r>
      <w:r w:rsidR="00FF56C2" w:rsidRPr="00F90716">
        <w:rPr>
          <w:lang w:val="en-GB"/>
        </w:rPr>
        <w:t xml:space="preserve"> </w:t>
      </w:r>
      <w:r w:rsidR="0070170D" w:rsidRPr="00F90716">
        <w:rPr>
          <w:lang w:val="en-GB"/>
        </w:rPr>
        <w:t>did not give</w:t>
      </w:r>
      <w:r w:rsidR="00FF56C2" w:rsidRPr="00F90716">
        <w:rPr>
          <w:lang w:val="en-GB"/>
        </w:rPr>
        <w:t xml:space="preserve"> any evidentiary value to the </w:t>
      </w:r>
      <w:r w:rsidR="00D443F4" w:rsidRPr="00F90716">
        <w:rPr>
          <w:lang w:val="en-GB"/>
        </w:rPr>
        <w:t>statement, which was considered</w:t>
      </w:r>
      <w:r w:rsidR="00FF56C2" w:rsidRPr="00F90716">
        <w:rPr>
          <w:lang w:val="en-GB"/>
        </w:rPr>
        <w:t xml:space="preserve"> fabricated for the occasion. </w:t>
      </w:r>
    </w:p>
    <w:p w:rsidR="00FF56C2" w:rsidRPr="00E07EBA" w:rsidRDefault="00EE2F3A" w:rsidP="00385C53">
      <w:pPr>
        <w:pStyle w:val="SingleTxtG"/>
        <w:rPr>
          <w:lang w:val="en-GB"/>
        </w:rPr>
      </w:pPr>
      <w:r w:rsidRPr="00F90716">
        <w:rPr>
          <w:lang w:val="en-GB"/>
        </w:rPr>
        <w:t>4.1</w:t>
      </w:r>
      <w:r w:rsidR="00C947CF" w:rsidRPr="00F90716">
        <w:rPr>
          <w:lang w:val="en-GB"/>
        </w:rPr>
        <w:t>1</w:t>
      </w:r>
      <w:r w:rsidR="0070170D" w:rsidRPr="00F90716">
        <w:rPr>
          <w:lang w:val="en-GB"/>
        </w:rPr>
        <w:tab/>
        <w:t xml:space="preserve">The </w:t>
      </w:r>
      <w:r w:rsidR="0008593B" w:rsidRPr="00E07EBA">
        <w:rPr>
          <w:lang w:val="en-GB"/>
        </w:rPr>
        <w:t>refugee appeals board</w:t>
      </w:r>
      <w:r w:rsidR="0070170D" w:rsidRPr="00F90716">
        <w:rPr>
          <w:lang w:val="en-GB"/>
        </w:rPr>
        <w:t xml:space="preserve"> further noted that the author had provided inconsistent statements on the period of his employment with </w:t>
      </w:r>
      <w:r w:rsidR="000001E9" w:rsidRPr="00E07EBA">
        <w:rPr>
          <w:lang w:val="en-GB"/>
        </w:rPr>
        <w:t>Mission Essential Personnel.</w:t>
      </w:r>
      <w:r w:rsidR="0070170D" w:rsidRPr="00F90716">
        <w:rPr>
          <w:lang w:val="en-GB"/>
        </w:rPr>
        <w:t xml:space="preserve"> In his</w:t>
      </w:r>
      <w:r w:rsidR="00FF56C2" w:rsidRPr="00F90716">
        <w:rPr>
          <w:lang w:val="en-GB"/>
        </w:rPr>
        <w:t xml:space="preserve"> asylum registrat</w:t>
      </w:r>
      <w:r w:rsidR="0070170D" w:rsidRPr="00F90716">
        <w:rPr>
          <w:lang w:val="en-GB"/>
        </w:rPr>
        <w:t xml:space="preserve">ion report of 30 September 2011, the author </w:t>
      </w:r>
      <w:r w:rsidR="00476F45" w:rsidRPr="00E07EBA">
        <w:rPr>
          <w:lang w:val="en-GB"/>
        </w:rPr>
        <w:t xml:space="preserve">had </w:t>
      </w:r>
      <w:r w:rsidR="00FF56C2" w:rsidRPr="00F90716">
        <w:rPr>
          <w:lang w:val="en-GB"/>
        </w:rPr>
        <w:t xml:space="preserve">stated that his employment </w:t>
      </w:r>
      <w:r w:rsidR="00FF56C2" w:rsidRPr="00F90716">
        <w:rPr>
          <w:lang w:val="en-GB"/>
        </w:rPr>
        <w:lastRenderedPageBreak/>
        <w:t xml:space="preserve">had started </w:t>
      </w:r>
      <w:r w:rsidR="00385C53" w:rsidRPr="00E07EBA">
        <w:rPr>
          <w:lang w:val="en-GB"/>
        </w:rPr>
        <w:t xml:space="preserve">at the end of 2009, </w:t>
      </w:r>
      <w:r w:rsidR="00FF56C2" w:rsidRPr="00F90716">
        <w:rPr>
          <w:lang w:val="en-GB"/>
        </w:rPr>
        <w:t>about one year after his return from Pakistan</w:t>
      </w:r>
      <w:r w:rsidR="00385C53" w:rsidRPr="00E07EBA">
        <w:rPr>
          <w:lang w:val="en-GB"/>
        </w:rPr>
        <w:t>.</w:t>
      </w:r>
      <w:r w:rsidR="00FF56C2" w:rsidRPr="00F90716">
        <w:rPr>
          <w:lang w:val="en-GB"/>
        </w:rPr>
        <w:t xml:space="preserve"> On the same occasion, </w:t>
      </w:r>
      <w:r w:rsidR="0070170D" w:rsidRPr="00F90716">
        <w:rPr>
          <w:lang w:val="en-GB"/>
        </w:rPr>
        <w:t xml:space="preserve">he </w:t>
      </w:r>
      <w:r w:rsidR="00385C53" w:rsidRPr="00E07EBA">
        <w:rPr>
          <w:lang w:val="en-GB"/>
        </w:rPr>
        <w:t xml:space="preserve">had </w:t>
      </w:r>
      <w:r w:rsidR="0070170D" w:rsidRPr="00F90716">
        <w:rPr>
          <w:lang w:val="en-GB"/>
        </w:rPr>
        <w:t>declared</w:t>
      </w:r>
      <w:r w:rsidR="00FF56C2" w:rsidRPr="00F90716">
        <w:rPr>
          <w:lang w:val="en-GB"/>
        </w:rPr>
        <w:t xml:space="preserve"> that he had worked as an interpreter for one</w:t>
      </w:r>
      <w:r w:rsidR="0070170D" w:rsidRPr="00F90716">
        <w:rPr>
          <w:lang w:val="en-GB"/>
        </w:rPr>
        <w:t xml:space="preserve"> year and four or five months. </w:t>
      </w:r>
      <w:r w:rsidR="00FF56C2" w:rsidRPr="00F90716">
        <w:rPr>
          <w:lang w:val="en-GB"/>
        </w:rPr>
        <w:t xml:space="preserve">As regards the period of his employment, </w:t>
      </w:r>
      <w:r w:rsidR="0070170D" w:rsidRPr="00F90716">
        <w:rPr>
          <w:lang w:val="en-GB"/>
        </w:rPr>
        <w:t xml:space="preserve">he </w:t>
      </w:r>
      <w:r w:rsidR="00385C53" w:rsidRPr="00E07EBA">
        <w:rPr>
          <w:lang w:val="en-GB"/>
        </w:rPr>
        <w:t xml:space="preserve">had </w:t>
      </w:r>
      <w:r w:rsidR="0070170D" w:rsidRPr="00F90716">
        <w:rPr>
          <w:lang w:val="en-GB"/>
        </w:rPr>
        <w:t xml:space="preserve">reported </w:t>
      </w:r>
      <w:r w:rsidR="00FF56C2" w:rsidRPr="00F90716">
        <w:rPr>
          <w:lang w:val="en-GB"/>
        </w:rPr>
        <w:t xml:space="preserve">that he had worked as an interpreter </w:t>
      </w:r>
      <w:r w:rsidR="00B304B6" w:rsidRPr="00F90716">
        <w:rPr>
          <w:lang w:val="en-GB"/>
        </w:rPr>
        <w:t xml:space="preserve">from 2010 to 5 May 2011. </w:t>
      </w:r>
    </w:p>
    <w:p w:rsidR="00F14DD9" w:rsidRPr="00E07EBA" w:rsidRDefault="00EE2F3A" w:rsidP="00E520C9">
      <w:pPr>
        <w:pStyle w:val="SingleTxtG"/>
        <w:rPr>
          <w:lang w:val="en-GB"/>
        </w:rPr>
      </w:pPr>
      <w:r w:rsidRPr="00F90716">
        <w:rPr>
          <w:lang w:val="en-GB"/>
        </w:rPr>
        <w:t>4.1</w:t>
      </w:r>
      <w:r w:rsidR="00E47196" w:rsidRPr="00F90716">
        <w:rPr>
          <w:lang w:val="en-GB"/>
        </w:rPr>
        <w:t>2</w:t>
      </w:r>
      <w:r w:rsidR="00B304B6" w:rsidRPr="00F90716">
        <w:rPr>
          <w:lang w:val="en-GB"/>
        </w:rPr>
        <w:tab/>
      </w:r>
      <w:r w:rsidR="0051203C" w:rsidRPr="00F90716">
        <w:rPr>
          <w:lang w:val="en-GB"/>
        </w:rPr>
        <w:t>During his</w:t>
      </w:r>
      <w:r w:rsidR="00FF56C2" w:rsidRPr="00F90716">
        <w:rPr>
          <w:lang w:val="en-GB"/>
        </w:rPr>
        <w:t xml:space="preserve"> asylum interview conducted by the Danish </w:t>
      </w:r>
      <w:r w:rsidR="00E520C9" w:rsidRPr="00E07EBA">
        <w:rPr>
          <w:lang w:val="en-GB"/>
        </w:rPr>
        <w:t>i</w:t>
      </w:r>
      <w:r w:rsidR="00FF56C2" w:rsidRPr="00F90716">
        <w:rPr>
          <w:lang w:val="en-GB"/>
        </w:rPr>
        <w:t xml:space="preserve">mmigration </w:t>
      </w:r>
      <w:r w:rsidR="00E520C9" w:rsidRPr="00E07EBA">
        <w:rPr>
          <w:lang w:val="en-GB"/>
        </w:rPr>
        <w:t>s</w:t>
      </w:r>
      <w:r w:rsidR="00352774">
        <w:rPr>
          <w:lang w:val="en-GB"/>
        </w:rPr>
        <w:t>ervice on 13 </w:t>
      </w:r>
      <w:r w:rsidR="00FF56C2" w:rsidRPr="00F90716">
        <w:rPr>
          <w:lang w:val="en-GB"/>
        </w:rPr>
        <w:t xml:space="preserve">January 2012, </w:t>
      </w:r>
      <w:r w:rsidR="00B304B6" w:rsidRPr="00F90716">
        <w:rPr>
          <w:lang w:val="en-GB"/>
        </w:rPr>
        <w:t>the author</w:t>
      </w:r>
      <w:r w:rsidR="00FF56C2" w:rsidRPr="00F90716">
        <w:rPr>
          <w:lang w:val="en-GB"/>
        </w:rPr>
        <w:t xml:space="preserve"> </w:t>
      </w:r>
      <w:r w:rsidR="00385C53" w:rsidRPr="00E07EBA">
        <w:rPr>
          <w:lang w:val="en-GB"/>
        </w:rPr>
        <w:t xml:space="preserve">had </w:t>
      </w:r>
      <w:r w:rsidR="00FF56C2" w:rsidRPr="00F90716">
        <w:rPr>
          <w:lang w:val="en-GB"/>
        </w:rPr>
        <w:t xml:space="preserve">stated that he had applied for a job with </w:t>
      </w:r>
      <w:r w:rsidR="000001E9" w:rsidRPr="00E07EBA">
        <w:rPr>
          <w:lang w:val="en-GB"/>
        </w:rPr>
        <w:t xml:space="preserve">Mission Essential Personnel </w:t>
      </w:r>
      <w:r w:rsidR="00FF56C2" w:rsidRPr="00F90716">
        <w:rPr>
          <w:lang w:val="en-GB"/>
        </w:rPr>
        <w:t>around the beginning of January 2010 and that he had worked there until his departure at the beginning of July 2011</w:t>
      </w:r>
      <w:r w:rsidR="00C76A9C" w:rsidRPr="00F90716">
        <w:rPr>
          <w:lang w:val="en-GB"/>
        </w:rPr>
        <w:t>,</w:t>
      </w:r>
      <w:r w:rsidR="00FF56C2" w:rsidRPr="00F90716">
        <w:rPr>
          <w:lang w:val="en-GB"/>
        </w:rPr>
        <w:t xml:space="preserve"> without resigning from his position at any time. </w:t>
      </w:r>
    </w:p>
    <w:p w:rsidR="00FF56C2" w:rsidRPr="00E07EBA" w:rsidRDefault="00C76A9C" w:rsidP="003A323D">
      <w:pPr>
        <w:pStyle w:val="SingleTxtG"/>
        <w:rPr>
          <w:lang w:val="en-GB"/>
        </w:rPr>
      </w:pPr>
      <w:r w:rsidRPr="00F90716">
        <w:rPr>
          <w:lang w:val="en-GB"/>
        </w:rPr>
        <w:t>4.13</w:t>
      </w:r>
      <w:r w:rsidR="00F14DD9" w:rsidRPr="00F90716">
        <w:rPr>
          <w:lang w:val="en-GB"/>
        </w:rPr>
        <w:tab/>
      </w:r>
      <w:r w:rsidR="0051203C" w:rsidRPr="00F90716">
        <w:rPr>
          <w:lang w:val="en-GB"/>
        </w:rPr>
        <w:t>During his</w:t>
      </w:r>
      <w:r w:rsidR="00FF56C2" w:rsidRPr="00F90716">
        <w:rPr>
          <w:lang w:val="en-GB"/>
        </w:rPr>
        <w:t xml:space="preserve"> hearing before the </w:t>
      </w:r>
      <w:r w:rsidR="0008593B" w:rsidRPr="00E07EBA">
        <w:rPr>
          <w:lang w:val="en-GB"/>
        </w:rPr>
        <w:t>refugee appeals board</w:t>
      </w:r>
      <w:r w:rsidR="00FF56C2" w:rsidRPr="00F90716">
        <w:rPr>
          <w:lang w:val="en-GB"/>
        </w:rPr>
        <w:t xml:space="preserve"> on 23 January 2013, </w:t>
      </w:r>
      <w:r w:rsidR="00F14DD9" w:rsidRPr="00F90716">
        <w:rPr>
          <w:lang w:val="en-GB"/>
        </w:rPr>
        <w:t>the author</w:t>
      </w:r>
      <w:r w:rsidR="00FF56C2" w:rsidRPr="00F90716">
        <w:rPr>
          <w:lang w:val="en-GB"/>
        </w:rPr>
        <w:t xml:space="preserve"> stated that his employment with </w:t>
      </w:r>
      <w:r w:rsidR="000001E9" w:rsidRPr="00E07EBA">
        <w:rPr>
          <w:lang w:val="en-GB"/>
        </w:rPr>
        <w:t xml:space="preserve">Mission Essential Personnel </w:t>
      </w:r>
      <w:r w:rsidR="00FF56C2" w:rsidRPr="00F90716">
        <w:rPr>
          <w:lang w:val="en-GB"/>
        </w:rPr>
        <w:t xml:space="preserve">had started in 2010, that he had acted as an interpreter at a meeting between </w:t>
      </w:r>
      <w:r w:rsidR="0068724A" w:rsidRPr="00F90716">
        <w:rPr>
          <w:lang w:val="en-GB"/>
        </w:rPr>
        <w:t>M.W.</w:t>
      </w:r>
      <w:r w:rsidR="00FF56C2" w:rsidRPr="00F90716">
        <w:rPr>
          <w:lang w:val="en-GB"/>
        </w:rPr>
        <w:t xml:space="preserve"> and </w:t>
      </w:r>
      <w:r w:rsidR="0068724A" w:rsidRPr="00F90716">
        <w:rPr>
          <w:lang w:val="en-GB"/>
        </w:rPr>
        <w:t>A.M.W</w:t>
      </w:r>
      <w:r w:rsidR="00A66370" w:rsidRPr="00E07EBA">
        <w:rPr>
          <w:lang w:val="en-GB"/>
        </w:rPr>
        <w:t>.</w:t>
      </w:r>
      <w:r w:rsidR="0068724A" w:rsidRPr="00F90716">
        <w:rPr>
          <w:lang w:val="en-GB"/>
        </w:rPr>
        <w:t xml:space="preserve"> </w:t>
      </w:r>
      <w:r w:rsidR="00FF56C2" w:rsidRPr="00F90716">
        <w:rPr>
          <w:lang w:val="en-GB"/>
        </w:rPr>
        <w:t>in June 2011</w:t>
      </w:r>
      <w:r w:rsidR="0051203C" w:rsidRPr="00F90716">
        <w:rPr>
          <w:lang w:val="en-GB"/>
        </w:rPr>
        <w:t>,</w:t>
      </w:r>
      <w:r w:rsidR="00FF56C2" w:rsidRPr="00F90716">
        <w:rPr>
          <w:lang w:val="en-GB"/>
        </w:rPr>
        <w:t xml:space="preserve"> and that he had gone on </w:t>
      </w:r>
      <w:r w:rsidR="003A323D" w:rsidRPr="00E07EBA">
        <w:rPr>
          <w:lang w:val="en-GB"/>
        </w:rPr>
        <w:t xml:space="preserve">vacation </w:t>
      </w:r>
      <w:r w:rsidR="00FF56C2" w:rsidRPr="00F90716">
        <w:rPr>
          <w:lang w:val="en-GB"/>
        </w:rPr>
        <w:t xml:space="preserve">to Kandahar </w:t>
      </w:r>
      <w:r w:rsidR="003A323D" w:rsidRPr="00E07EBA">
        <w:rPr>
          <w:lang w:val="en-GB"/>
        </w:rPr>
        <w:t xml:space="preserve">in June 2011 </w:t>
      </w:r>
      <w:r w:rsidR="00FF56C2" w:rsidRPr="00F90716">
        <w:rPr>
          <w:lang w:val="en-GB"/>
        </w:rPr>
        <w:t xml:space="preserve">after </w:t>
      </w:r>
      <w:r w:rsidR="003A323D" w:rsidRPr="00E07EBA">
        <w:rPr>
          <w:lang w:val="en-GB"/>
        </w:rPr>
        <w:t xml:space="preserve">receiving a </w:t>
      </w:r>
      <w:r w:rsidR="00FF56C2" w:rsidRPr="00F90716">
        <w:rPr>
          <w:lang w:val="en-GB"/>
        </w:rPr>
        <w:t xml:space="preserve">threat from </w:t>
      </w:r>
      <w:r w:rsidR="0068724A" w:rsidRPr="00F90716">
        <w:rPr>
          <w:lang w:val="en-GB"/>
        </w:rPr>
        <w:t>A.M.W</w:t>
      </w:r>
      <w:r w:rsidR="00A66370" w:rsidRPr="00E07EBA">
        <w:rPr>
          <w:lang w:val="en-GB"/>
        </w:rPr>
        <w:t>.</w:t>
      </w:r>
      <w:r w:rsidR="0068724A" w:rsidRPr="00F90716">
        <w:rPr>
          <w:lang w:val="en-GB"/>
        </w:rPr>
        <w:t xml:space="preserve"> </w:t>
      </w:r>
      <w:r w:rsidR="00FF56C2" w:rsidRPr="00F90716">
        <w:rPr>
          <w:lang w:val="en-GB"/>
        </w:rPr>
        <w:t xml:space="preserve">The </w:t>
      </w:r>
      <w:r w:rsidR="003A323D" w:rsidRPr="00E07EBA">
        <w:rPr>
          <w:lang w:val="en-GB"/>
        </w:rPr>
        <w:t xml:space="preserve">vacation </w:t>
      </w:r>
      <w:r w:rsidR="00FF56C2" w:rsidRPr="00F90716">
        <w:rPr>
          <w:lang w:val="en-GB"/>
        </w:rPr>
        <w:t xml:space="preserve">had been ordered by </w:t>
      </w:r>
      <w:r w:rsidR="000001E9" w:rsidRPr="00E07EBA">
        <w:rPr>
          <w:lang w:val="en-GB"/>
        </w:rPr>
        <w:t xml:space="preserve">Mission Essential Personnel </w:t>
      </w:r>
      <w:r w:rsidR="00FF56C2" w:rsidRPr="00F90716">
        <w:rPr>
          <w:lang w:val="en-GB"/>
        </w:rPr>
        <w:t xml:space="preserve">as interpreters were ordered to go on </w:t>
      </w:r>
      <w:r w:rsidR="003A323D" w:rsidRPr="00E07EBA">
        <w:rPr>
          <w:lang w:val="en-GB"/>
        </w:rPr>
        <w:t xml:space="preserve">vacation </w:t>
      </w:r>
      <w:r w:rsidR="00FF56C2" w:rsidRPr="00F90716">
        <w:rPr>
          <w:lang w:val="en-GB"/>
        </w:rPr>
        <w:t>a</w:t>
      </w:r>
      <w:r w:rsidR="00F14DD9" w:rsidRPr="00F90716">
        <w:rPr>
          <w:lang w:val="en-GB"/>
        </w:rPr>
        <w:t xml:space="preserve">fter three months’ employment. However, </w:t>
      </w:r>
      <w:r w:rsidR="00FF56C2" w:rsidRPr="00F90716">
        <w:rPr>
          <w:lang w:val="en-GB"/>
        </w:rPr>
        <w:t xml:space="preserve">the letter of recommendation from </w:t>
      </w:r>
      <w:r w:rsidR="0068724A" w:rsidRPr="00F90716">
        <w:rPr>
          <w:lang w:val="en-GB"/>
        </w:rPr>
        <w:t>J.S.</w:t>
      </w:r>
      <w:r w:rsidR="00FF56C2" w:rsidRPr="00F90716">
        <w:rPr>
          <w:lang w:val="en-GB"/>
        </w:rPr>
        <w:t xml:space="preserve"> </w:t>
      </w:r>
      <w:r w:rsidR="00F14DD9" w:rsidRPr="00F90716">
        <w:rPr>
          <w:lang w:val="en-GB"/>
        </w:rPr>
        <w:t>indicates that the author</w:t>
      </w:r>
      <w:r w:rsidR="00FF56C2" w:rsidRPr="00F90716">
        <w:rPr>
          <w:lang w:val="en-GB"/>
        </w:rPr>
        <w:t xml:space="preserve"> had worked as an interpreter for </w:t>
      </w:r>
      <w:r w:rsidR="00E520C9" w:rsidRPr="00E07EBA">
        <w:rPr>
          <w:lang w:val="en-GB"/>
        </w:rPr>
        <w:t>international security forces</w:t>
      </w:r>
      <w:r w:rsidR="00FF56C2" w:rsidRPr="00F90716">
        <w:rPr>
          <w:lang w:val="en-GB"/>
        </w:rPr>
        <w:t xml:space="preserve"> from 1 May 2010 to 31 May 2011. </w:t>
      </w:r>
    </w:p>
    <w:p w:rsidR="00FF56C2" w:rsidRPr="00E07EBA" w:rsidRDefault="00F14DD9" w:rsidP="003A323D">
      <w:pPr>
        <w:pStyle w:val="SingleTxtG"/>
        <w:rPr>
          <w:lang w:val="en-GB"/>
        </w:rPr>
      </w:pPr>
      <w:r w:rsidRPr="00F90716">
        <w:rPr>
          <w:lang w:val="en-GB"/>
        </w:rPr>
        <w:t>4.1</w:t>
      </w:r>
      <w:r w:rsidR="00C76A9C" w:rsidRPr="00F90716">
        <w:rPr>
          <w:lang w:val="en-GB"/>
        </w:rPr>
        <w:t>4</w:t>
      </w:r>
      <w:r w:rsidRPr="00F90716">
        <w:rPr>
          <w:lang w:val="en-GB"/>
        </w:rPr>
        <w:tab/>
        <w:t xml:space="preserve">In the author’s request for </w:t>
      </w:r>
      <w:r w:rsidR="00FF56C2" w:rsidRPr="00F90716">
        <w:rPr>
          <w:lang w:val="en-GB"/>
        </w:rPr>
        <w:t xml:space="preserve">reopening of </w:t>
      </w:r>
      <w:r w:rsidR="0051203C" w:rsidRPr="00F90716">
        <w:rPr>
          <w:lang w:val="en-GB"/>
        </w:rPr>
        <w:t xml:space="preserve">proceedings on </w:t>
      </w:r>
      <w:r w:rsidR="00FF56C2" w:rsidRPr="00F90716">
        <w:rPr>
          <w:lang w:val="en-GB"/>
        </w:rPr>
        <w:t xml:space="preserve">23 October 2014, he stated that he had worked for </w:t>
      </w:r>
      <w:r w:rsidR="000001E9" w:rsidRPr="00E07EBA">
        <w:rPr>
          <w:lang w:val="en-GB"/>
        </w:rPr>
        <w:t xml:space="preserve">Mission Essential Personnel </w:t>
      </w:r>
      <w:r w:rsidR="0051203C" w:rsidRPr="00F90716">
        <w:rPr>
          <w:lang w:val="en-GB"/>
        </w:rPr>
        <w:t>between 2010 and</w:t>
      </w:r>
      <w:r w:rsidR="00FF56C2" w:rsidRPr="00F90716">
        <w:rPr>
          <w:lang w:val="en-GB"/>
        </w:rPr>
        <w:t xml:space="preserve"> May 2011. However, </w:t>
      </w:r>
      <w:r w:rsidRPr="00F90716">
        <w:rPr>
          <w:lang w:val="en-GB"/>
        </w:rPr>
        <w:t xml:space="preserve">the author </w:t>
      </w:r>
      <w:r w:rsidR="00FF56C2" w:rsidRPr="00F90716">
        <w:rPr>
          <w:lang w:val="en-GB"/>
        </w:rPr>
        <w:t xml:space="preserve">did not return after his </w:t>
      </w:r>
      <w:r w:rsidR="003A323D" w:rsidRPr="00E07EBA">
        <w:rPr>
          <w:lang w:val="en-GB"/>
        </w:rPr>
        <w:t xml:space="preserve">vacation </w:t>
      </w:r>
      <w:r w:rsidR="00FF56C2" w:rsidRPr="00F90716">
        <w:rPr>
          <w:lang w:val="en-GB"/>
        </w:rPr>
        <w:t xml:space="preserve">in June 2011. </w:t>
      </w:r>
    </w:p>
    <w:p w:rsidR="00303489" w:rsidRPr="00E07EBA" w:rsidRDefault="00F14DD9" w:rsidP="003A323D">
      <w:pPr>
        <w:pStyle w:val="SingleTxtG"/>
        <w:rPr>
          <w:lang w:val="en-GB"/>
        </w:rPr>
      </w:pPr>
      <w:r w:rsidRPr="00F90716">
        <w:rPr>
          <w:lang w:val="en-GB"/>
        </w:rPr>
        <w:t>4.1</w:t>
      </w:r>
      <w:r w:rsidR="00C76A9C" w:rsidRPr="00F90716">
        <w:rPr>
          <w:lang w:val="en-GB"/>
        </w:rPr>
        <w:t>5</w:t>
      </w:r>
      <w:r w:rsidRPr="00F90716">
        <w:rPr>
          <w:lang w:val="en-GB"/>
        </w:rPr>
        <w:tab/>
      </w:r>
      <w:r w:rsidR="0051203C" w:rsidRPr="00F90716">
        <w:rPr>
          <w:lang w:val="en-GB"/>
        </w:rPr>
        <w:t>During his</w:t>
      </w:r>
      <w:r w:rsidR="00FF56C2" w:rsidRPr="00F90716">
        <w:rPr>
          <w:lang w:val="en-GB"/>
        </w:rPr>
        <w:t xml:space="preserve"> asylum interview conducted by the Danish </w:t>
      </w:r>
      <w:r w:rsidR="00E520C9" w:rsidRPr="00E07EBA">
        <w:rPr>
          <w:lang w:val="en-GB"/>
        </w:rPr>
        <w:t>i</w:t>
      </w:r>
      <w:r w:rsidR="00FF56C2" w:rsidRPr="00F90716">
        <w:rPr>
          <w:lang w:val="en-GB"/>
        </w:rPr>
        <w:t xml:space="preserve">mmigration </w:t>
      </w:r>
      <w:r w:rsidR="00E520C9" w:rsidRPr="00E07EBA">
        <w:rPr>
          <w:lang w:val="en-GB"/>
        </w:rPr>
        <w:t>s</w:t>
      </w:r>
      <w:r w:rsidR="00C54A13">
        <w:rPr>
          <w:lang w:val="en-GB"/>
        </w:rPr>
        <w:t>ervice on 13 </w:t>
      </w:r>
      <w:r w:rsidR="00FF56C2" w:rsidRPr="00F90716">
        <w:rPr>
          <w:lang w:val="en-GB"/>
        </w:rPr>
        <w:t xml:space="preserve">January 2012, </w:t>
      </w:r>
      <w:r w:rsidRPr="00F90716">
        <w:rPr>
          <w:lang w:val="en-GB"/>
        </w:rPr>
        <w:t>the author</w:t>
      </w:r>
      <w:r w:rsidR="00FF56C2" w:rsidRPr="00F90716">
        <w:rPr>
          <w:lang w:val="en-GB"/>
        </w:rPr>
        <w:t xml:space="preserve"> made three different statements on the date on which he had become aware of the arrest of </w:t>
      </w:r>
      <w:r w:rsidR="0068724A" w:rsidRPr="00F90716">
        <w:rPr>
          <w:lang w:val="en-GB"/>
        </w:rPr>
        <w:t>A.M.W</w:t>
      </w:r>
      <w:r w:rsidR="00FF56C2" w:rsidRPr="00F90716">
        <w:rPr>
          <w:lang w:val="en-GB"/>
        </w:rPr>
        <w:t xml:space="preserve">. </w:t>
      </w:r>
      <w:r w:rsidRPr="00F90716">
        <w:rPr>
          <w:lang w:val="en-GB"/>
        </w:rPr>
        <w:t>F</w:t>
      </w:r>
      <w:r w:rsidR="00FF56C2" w:rsidRPr="00F90716">
        <w:rPr>
          <w:lang w:val="en-GB"/>
        </w:rPr>
        <w:t xml:space="preserve">ollowing an overall assessment, the </w:t>
      </w:r>
      <w:r w:rsidR="0008593B" w:rsidRPr="00E07EBA">
        <w:rPr>
          <w:lang w:val="en-GB"/>
        </w:rPr>
        <w:t>r</w:t>
      </w:r>
      <w:r w:rsidR="00FF56C2" w:rsidRPr="00F90716">
        <w:rPr>
          <w:lang w:val="en-GB"/>
        </w:rPr>
        <w:t xml:space="preserve">efugee </w:t>
      </w:r>
      <w:r w:rsidR="0008593B" w:rsidRPr="00E07EBA">
        <w:rPr>
          <w:lang w:val="en-GB"/>
        </w:rPr>
        <w:t>a</w:t>
      </w:r>
      <w:r w:rsidR="00FF56C2" w:rsidRPr="00F90716">
        <w:rPr>
          <w:lang w:val="en-GB"/>
        </w:rPr>
        <w:t xml:space="preserve">ppeals </w:t>
      </w:r>
      <w:r w:rsidR="0008593B" w:rsidRPr="00E07EBA">
        <w:rPr>
          <w:lang w:val="en-GB"/>
        </w:rPr>
        <w:t>b</w:t>
      </w:r>
      <w:r w:rsidR="00FF56C2" w:rsidRPr="00F90716">
        <w:rPr>
          <w:lang w:val="en-GB"/>
        </w:rPr>
        <w:t xml:space="preserve">oard </w:t>
      </w:r>
      <w:r w:rsidRPr="00F90716">
        <w:rPr>
          <w:lang w:val="en-GB"/>
        </w:rPr>
        <w:t xml:space="preserve">determined that the author </w:t>
      </w:r>
      <w:r w:rsidR="003A323D" w:rsidRPr="00E07EBA">
        <w:rPr>
          <w:lang w:val="en-GB"/>
        </w:rPr>
        <w:t xml:space="preserve">had </w:t>
      </w:r>
      <w:r w:rsidR="00FF56C2" w:rsidRPr="00F90716">
        <w:rPr>
          <w:lang w:val="en-GB"/>
        </w:rPr>
        <w:t>failed to provide a credible state</w:t>
      </w:r>
      <w:r w:rsidR="00303489" w:rsidRPr="00F90716">
        <w:rPr>
          <w:lang w:val="en-GB"/>
        </w:rPr>
        <w:t xml:space="preserve">ment on his grounds for asylum and that he had </w:t>
      </w:r>
      <w:r w:rsidR="00FF56C2" w:rsidRPr="00F90716">
        <w:rPr>
          <w:lang w:val="en-GB"/>
        </w:rPr>
        <w:t xml:space="preserve">failed to render probable that, if returned to Afghanistan, he </w:t>
      </w:r>
      <w:r w:rsidR="003A323D" w:rsidRPr="00E07EBA">
        <w:rPr>
          <w:lang w:val="en-GB"/>
        </w:rPr>
        <w:t xml:space="preserve">would </w:t>
      </w:r>
      <w:r w:rsidR="00FF56C2" w:rsidRPr="00F90716">
        <w:rPr>
          <w:lang w:val="en-GB"/>
        </w:rPr>
        <w:t>be at a real risk of persecution or abuse falling withi</w:t>
      </w:r>
      <w:r w:rsidR="00533667" w:rsidRPr="00F90716">
        <w:rPr>
          <w:lang w:val="en-GB"/>
        </w:rPr>
        <w:t>n section 7 of the Aliens Act.</w:t>
      </w:r>
    </w:p>
    <w:p w:rsidR="00FF56C2" w:rsidRPr="00E07EBA" w:rsidRDefault="00303489" w:rsidP="0008593B">
      <w:pPr>
        <w:pStyle w:val="SingleTxtG"/>
        <w:rPr>
          <w:lang w:val="en-GB"/>
        </w:rPr>
      </w:pPr>
      <w:r w:rsidRPr="00F90716">
        <w:rPr>
          <w:lang w:val="en-GB"/>
        </w:rPr>
        <w:t>4.1</w:t>
      </w:r>
      <w:r w:rsidR="00C76A9C" w:rsidRPr="00F90716">
        <w:rPr>
          <w:lang w:val="en-GB"/>
        </w:rPr>
        <w:t>6</w:t>
      </w:r>
      <w:r w:rsidRPr="00F90716">
        <w:rPr>
          <w:lang w:val="en-GB"/>
        </w:rPr>
        <w:tab/>
        <w:t>The State party observes that the author’s alleg</w:t>
      </w:r>
      <w:r w:rsidR="00500844" w:rsidRPr="00F90716">
        <w:rPr>
          <w:lang w:val="en-GB"/>
        </w:rPr>
        <w:t>ations before the Committee are</w:t>
      </w:r>
      <w:r w:rsidR="00FF56C2" w:rsidRPr="00F90716">
        <w:rPr>
          <w:lang w:val="en-GB"/>
        </w:rPr>
        <w:t xml:space="preserve"> largely identical </w:t>
      </w:r>
      <w:r w:rsidR="00500844" w:rsidRPr="00F90716">
        <w:rPr>
          <w:lang w:val="en-GB"/>
        </w:rPr>
        <w:t>to those presented in his</w:t>
      </w:r>
      <w:r w:rsidR="00FF56C2" w:rsidRPr="00F90716">
        <w:rPr>
          <w:lang w:val="en-GB"/>
        </w:rPr>
        <w:t xml:space="preserve"> request for reopening </w:t>
      </w:r>
      <w:r w:rsidR="003A323D" w:rsidRPr="00E07EBA">
        <w:rPr>
          <w:lang w:val="en-GB"/>
        </w:rPr>
        <w:t xml:space="preserve">of proceedings </w:t>
      </w:r>
      <w:r w:rsidR="00FF56C2" w:rsidRPr="00F90716">
        <w:rPr>
          <w:lang w:val="en-GB"/>
        </w:rPr>
        <w:t xml:space="preserve">submitted to the </w:t>
      </w:r>
      <w:r w:rsidR="0008593B" w:rsidRPr="00E07EBA">
        <w:rPr>
          <w:lang w:val="en-GB"/>
        </w:rPr>
        <w:t>r</w:t>
      </w:r>
      <w:r w:rsidR="00FF56C2" w:rsidRPr="00F90716">
        <w:rPr>
          <w:lang w:val="en-GB"/>
        </w:rPr>
        <w:t xml:space="preserve">efugee </w:t>
      </w:r>
      <w:r w:rsidR="0008593B" w:rsidRPr="00E07EBA">
        <w:rPr>
          <w:lang w:val="en-GB"/>
        </w:rPr>
        <w:t>a</w:t>
      </w:r>
      <w:r w:rsidR="00FF56C2" w:rsidRPr="00F90716">
        <w:rPr>
          <w:lang w:val="en-GB"/>
        </w:rPr>
        <w:t xml:space="preserve">ppeals </w:t>
      </w:r>
      <w:r w:rsidR="0008593B" w:rsidRPr="00E07EBA">
        <w:rPr>
          <w:lang w:val="en-GB"/>
        </w:rPr>
        <w:t>b</w:t>
      </w:r>
      <w:r w:rsidR="00FF56C2" w:rsidRPr="00F90716">
        <w:rPr>
          <w:lang w:val="en-GB"/>
        </w:rPr>
        <w:t xml:space="preserve">oard on 23 October 2014. </w:t>
      </w:r>
    </w:p>
    <w:p w:rsidR="00C419EE" w:rsidRPr="00E07EBA" w:rsidRDefault="00EE2F3A" w:rsidP="003A323D">
      <w:pPr>
        <w:pStyle w:val="SingleTxtG"/>
        <w:rPr>
          <w:lang w:val="en-GB"/>
        </w:rPr>
      </w:pPr>
      <w:r w:rsidRPr="00F90716">
        <w:rPr>
          <w:lang w:val="en-GB"/>
        </w:rPr>
        <w:t>4.1</w:t>
      </w:r>
      <w:r w:rsidR="00C76A9C" w:rsidRPr="00F90716">
        <w:rPr>
          <w:lang w:val="en-GB"/>
        </w:rPr>
        <w:t>7</w:t>
      </w:r>
      <w:r w:rsidR="00C419EE" w:rsidRPr="00F90716">
        <w:rPr>
          <w:lang w:val="en-GB"/>
        </w:rPr>
        <w:tab/>
        <w:t>According to the State party, t</w:t>
      </w:r>
      <w:r w:rsidR="00FF56C2" w:rsidRPr="00F90716">
        <w:rPr>
          <w:lang w:val="en-GB"/>
        </w:rPr>
        <w:t>he author has failed to establish a prima f</w:t>
      </w:r>
      <w:r w:rsidR="00160036" w:rsidRPr="00F90716">
        <w:rPr>
          <w:lang w:val="en-GB"/>
        </w:rPr>
        <w:t>acie case for the purpose of</w:t>
      </w:r>
      <w:r w:rsidR="00FF56C2" w:rsidRPr="00F90716">
        <w:rPr>
          <w:lang w:val="en-GB"/>
        </w:rPr>
        <w:t xml:space="preserve"> his communicati</w:t>
      </w:r>
      <w:r w:rsidR="00C419EE" w:rsidRPr="00F90716">
        <w:rPr>
          <w:lang w:val="en-GB"/>
        </w:rPr>
        <w:t xml:space="preserve">on under </w:t>
      </w:r>
      <w:r w:rsidR="003A323D" w:rsidRPr="00E07EBA">
        <w:rPr>
          <w:lang w:val="en-GB"/>
        </w:rPr>
        <w:t>a</w:t>
      </w:r>
      <w:r w:rsidR="00C419EE" w:rsidRPr="00F90716">
        <w:rPr>
          <w:lang w:val="en-GB"/>
        </w:rPr>
        <w:t xml:space="preserve">rticle 7 of the </w:t>
      </w:r>
      <w:r w:rsidR="003A323D" w:rsidRPr="00E07EBA">
        <w:rPr>
          <w:lang w:val="en-GB"/>
        </w:rPr>
        <w:t>Covenant</w:t>
      </w:r>
      <w:r w:rsidR="00C419EE" w:rsidRPr="00F90716">
        <w:rPr>
          <w:lang w:val="en-GB"/>
        </w:rPr>
        <w:t xml:space="preserve">. It </w:t>
      </w:r>
      <w:r w:rsidR="00FF56C2" w:rsidRPr="00F90716">
        <w:rPr>
          <w:lang w:val="en-GB"/>
        </w:rPr>
        <w:t xml:space="preserve">has not been established that there are substantial grounds for believing that </w:t>
      </w:r>
      <w:r w:rsidR="0051203C" w:rsidRPr="00F90716">
        <w:rPr>
          <w:lang w:val="en-GB"/>
        </w:rPr>
        <w:t>he</w:t>
      </w:r>
      <w:r w:rsidR="00FF56C2" w:rsidRPr="00F90716">
        <w:rPr>
          <w:lang w:val="en-GB"/>
        </w:rPr>
        <w:t xml:space="preserve"> </w:t>
      </w:r>
      <w:r w:rsidR="003A323D" w:rsidRPr="00E07EBA">
        <w:rPr>
          <w:lang w:val="en-GB"/>
        </w:rPr>
        <w:t xml:space="preserve">would be </w:t>
      </w:r>
      <w:r w:rsidR="00FF56C2" w:rsidRPr="00F90716">
        <w:rPr>
          <w:lang w:val="en-GB"/>
        </w:rPr>
        <w:t>in danger of being subjected to torture or to other cruel, inhuman or degrading treatment or punishment if returned to A</w:t>
      </w:r>
      <w:r w:rsidR="003B6B4C" w:rsidRPr="00F90716">
        <w:rPr>
          <w:lang w:val="en-GB"/>
        </w:rPr>
        <w:t>fghanistan.</w:t>
      </w:r>
    </w:p>
    <w:p w:rsidR="00FF56C2" w:rsidRPr="00E07EBA" w:rsidRDefault="00C76A9C" w:rsidP="003A323D">
      <w:pPr>
        <w:pStyle w:val="SingleTxtG"/>
        <w:rPr>
          <w:lang w:val="en-GB"/>
        </w:rPr>
      </w:pPr>
      <w:r w:rsidRPr="00F90716">
        <w:rPr>
          <w:lang w:val="en-GB"/>
        </w:rPr>
        <w:t>4.18</w:t>
      </w:r>
      <w:r w:rsidR="00C419EE" w:rsidRPr="00F90716">
        <w:rPr>
          <w:lang w:val="en-GB"/>
        </w:rPr>
        <w:tab/>
        <w:t xml:space="preserve">With respect to </w:t>
      </w:r>
      <w:r w:rsidR="0051203C" w:rsidRPr="00F90716">
        <w:rPr>
          <w:lang w:val="en-GB"/>
        </w:rPr>
        <w:t>his</w:t>
      </w:r>
      <w:r w:rsidR="00C419EE" w:rsidRPr="00F90716">
        <w:rPr>
          <w:lang w:val="en-GB"/>
        </w:rPr>
        <w:t xml:space="preserve"> allegations </w:t>
      </w:r>
      <w:r w:rsidR="003A323D" w:rsidRPr="00E07EBA">
        <w:rPr>
          <w:lang w:val="en-GB"/>
        </w:rPr>
        <w:t xml:space="preserve">concerning </w:t>
      </w:r>
      <w:r w:rsidR="00C419EE" w:rsidRPr="00F90716">
        <w:rPr>
          <w:lang w:val="en-GB"/>
        </w:rPr>
        <w:t>article 19 of the Covenant, the State party</w:t>
      </w:r>
      <w:r w:rsidR="00FF56C2" w:rsidRPr="00F90716">
        <w:rPr>
          <w:lang w:val="en-GB"/>
        </w:rPr>
        <w:t xml:space="preserve"> observes that the author is seeking to apply the obligations </w:t>
      </w:r>
      <w:r w:rsidR="003A323D" w:rsidRPr="00E07EBA">
        <w:rPr>
          <w:lang w:val="en-GB"/>
        </w:rPr>
        <w:t>with regard to that a</w:t>
      </w:r>
      <w:r w:rsidR="00FF56C2" w:rsidRPr="00F90716">
        <w:rPr>
          <w:lang w:val="en-GB"/>
        </w:rPr>
        <w:t>rticle in an extraterritorial manner</w:t>
      </w:r>
      <w:r w:rsidR="00C419EE" w:rsidRPr="00F90716">
        <w:rPr>
          <w:lang w:val="en-GB"/>
        </w:rPr>
        <w:t xml:space="preserve">, as his claims do </w:t>
      </w:r>
      <w:r w:rsidR="00FF56C2" w:rsidRPr="00F90716">
        <w:rPr>
          <w:lang w:val="en-GB"/>
        </w:rPr>
        <w:t xml:space="preserve">not rest on any treatment that he has suffered in Denmark or in an area where Danish authorities are in effective control or </w:t>
      </w:r>
      <w:r w:rsidR="003A323D" w:rsidRPr="00E07EBA">
        <w:rPr>
          <w:lang w:val="en-GB"/>
        </w:rPr>
        <w:t xml:space="preserve">owing </w:t>
      </w:r>
      <w:r w:rsidR="00FF56C2" w:rsidRPr="00F90716">
        <w:rPr>
          <w:lang w:val="en-GB"/>
        </w:rPr>
        <w:t xml:space="preserve">to the conduct of Danish authorities. </w:t>
      </w:r>
      <w:r w:rsidR="0051203C" w:rsidRPr="00F90716">
        <w:rPr>
          <w:lang w:val="en-GB"/>
        </w:rPr>
        <w:t>A</w:t>
      </w:r>
      <w:r w:rsidR="00FF56C2" w:rsidRPr="00F90716">
        <w:rPr>
          <w:lang w:val="en-GB"/>
        </w:rPr>
        <w:t>ccordingly</w:t>
      </w:r>
      <w:r w:rsidR="0051203C" w:rsidRPr="00F90716">
        <w:rPr>
          <w:lang w:val="en-GB"/>
        </w:rPr>
        <w:t>, the State party submits that the Committee</w:t>
      </w:r>
      <w:r w:rsidR="00177957" w:rsidRPr="00F90716">
        <w:rPr>
          <w:lang w:val="en-GB"/>
        </w:rPr>
        <w:t xml:space="preserve"> lacks jurisdiction over this alleged</w:t>
      </w:r>
      <w:r w:rsidR="00FF56C2" w:rsidRPr="00F90716">
        <w:rPr>
          <w:lang w:val="en-GB"/>
        </w:rPr>
        <w:t xml:space="preserve"> violation in respect of Denmark and </w:t>
      </w:r>
      <w:r w:rsidR="00177957" w:rsidRPr="00F90716">
        <w:rPr>
          <w:lang w:val="en-GB"/>
        </w:rPr>
        <w:t xml:space="preserve">that </w:t>
      </w:r>
      <w:r w:rsidR="00FF56C2" w:rsidRPr="00F90716">
        <w:rPr>
          <w:lang w:val="en-GB"/>
        </w:rPr>
        <w:t>this part of the communication is thus</w:t>
      </w:r>
      <w:r w:rsidR="00663A05" w:rsidRPr="00F90716">
        <w:rPr>
          <w:lang w:val="en-GB"/>
        </w:rPr>
        <w:t xml:space="preserve"> inadmissible </w:t>
      </w:r>
      <w:r w:rsidR="00663A05" w:rsidRPr="00F90716">
        <w:rPr>
          <w:i/>
          <w:lang w:val="en-GB"/>
        </w:rPr>
        <w:t xml:space="preserve">ratione loci </w:t>
      </w:r>
      <w:r w:rsidR="00663A05" w:rsidRPr="00F90716">
        <w:rPr>
          <w:lang w:val="en-GB"/>
        </w:rPr>
        <w:t xml:space="preserve">and </w:t>
      </w:r>
      <w:r w:rsidR="00663A05" w:rsidRPr="00F90716">
        <w:rPr>
          <w:i/>
          <w:lang w:val="en-GB"/>
        </w:rPr>
        <w:t>ratione materiae</w:t>
      </w:r>
      <w:r w:rsidR="00663A05" w:rsidRPr="00F90716">
        <w:rPr>
          <w:lang w:val="en-GB"/>
        </w:rPr>
        <w:t xml:space="preserve">, and </w:t>
      </w:r>
      <w:r w:rsidR="003A323D" w:rsidRPr="00E07EBA">
        <w:rPr>
          <w:lang w:val="en-GB"/>
        </w:rPr>
        <w:t xml:space="preserve">is </w:t>
      </w:r>
      <w:r w:rsidR="00663A05" w:rsidRPr="00F90716">
        <w:rPr>
          <w:lang w:val="en-GB"/>
        </w:rPr>
        <w:t>incompatible with the provisions of the Covenant</w:t>
      </w:r>
      <w:r w:rsidR="00FF56C2" w:rsidRPr="00F90716">
        <w:rPr>
          <w:lang w:val="en-GB"/>
        </w:rPr>
        <w:t xml:space="preserve">. </w:t>
      </w:r>
    </w:p>
    <w:p w:rsidR="004443A4" w:rsidRPr="00E07EBA" w:rsidRDefault="00AD1E64" w:rsidP="003A323D">
      <w:pPr>
        <w:pStyle w:val="SingleTxtG"/>
        <w:rPr>
          <w:lang w:val="en-GB"/>
        </w:rPr>
      </w:pPr>
      <w:r w:rsidRPr="00F90716">
        <w:rPr>
          <w:lang w:val="en-GB"/>
        </w:rPr>
        <w:t>4.19</w:t>
      </w:r>
      <w:r w:rsidR="00C419EE" w:rsidRPr="00F90716">
        <w:rPr>
          <w:lang w:val="en-GB"/>
        </w:rPr>
        <w:tab/>
      </w:r>
      <w:r w:rsidR="00FF56C2" w:rsidRPr="00F90716">
        <w:rPr>
          <w:lang w:val="en-GB"/>
        </w:rPr>
        <w:t>Should the Committee find the author’s communication admissible, the Government submits that the author has not sufficiently established that it would constitute a vi</w:t>
      </w:r>
      <w:r w:rsidR="00C419EE" w:rsidRPr="00F90716">
        <w:rPr>
          <w:lang w:val="en-GB"/>
        </w:rPr>
        <w:t xml:space="preserve">olation of </w:t>
      </w:r>
      <w:r w:rsidR="003A323D" w:rsidRPr="00E07EBA">
        <w:rPr>
          <w:lang w:val="en-GB"/>
        </w:rPr>
        <w:t>a</w:t>
      </w:r>
      <w:r w:rsidR="00C419EE" w:rsidRPr="00F90716">
        <w:rPr>
          <w:lang w:val="en-GB"/>
        </w:rPr>
        <w:t>rticle 7 of the Covenant</w:t>
      </w:r>
      <w:r w:rsidR="00341043" w:rsidRPr="00F90716">
        <w:rPr>
          <w:lang w:val="en-GB"/>
        </w:rPr>
        <w:t xml:space="preserve"> to return him to Afghanistan, on account of his lack of credibility with respect to </w:t>
      </w:r>
      <w:r w:rsidR="00FF56C2" w:rsidRPr="00F90716">
        <w:rPr>
          <w:lang w:val="en-GB"/>
        </w:rPr>
        <w:t>several crucial elements of his</w:t>
      </w:r>
      <w:r w:rsidR="005C5DF3" w:rsidRPr="00F90716">
        <w:rPr>
          <w:lang w:val="en-GB"/>
        </w:rPr>
        <w:t xml:space="preserve"> asylum application</w:t>
      </w:r>
      <w:r w:rsidR="00FF56C2" w:rsidRPr="00F90716">
        <w:rPr>
          <w:lang w:val="en-GB"/>
        </w:rPr>
        <w:t xml:space="preserve">. </w:t>
      </w:r>
    </w:p>
    <w:p w:rsidR="004443A4" w:rsidRPr="00E07EBA" w:rsidRDefault="00AD1E64" w:rsidP="003625FE">
      <w:pPr>
        <w:pStyle w:val="SingleTxtG"/>
        <w:rPr>
          <w:lang w:val="en-GB"/>
        </w:rPr>
      </w:pPr>
      <w:r w:rsidRPr="00F90716">
        <w:rPr>
          <w:lang w:val="en-GB"/>
        </w:rPr>
        <w:t>4.20</w:t>
      </w:r>
      <w:r w:rsidR="00F02F14" w:rsidRPr="00F90716">
        <w:rPr>
          <w:lang w:val="en-GB"/>
        </w:rPr>
        <w:tab/>
      </w:r>
      <w:r w:rsidR="004443A4" w:rsidRPr="00F90716">
        <w:rPr>
          <w:lang w:val="en-GB"/>
        </w:rPr>
        <w:t>The State party</w:t>
      </w:r>
      <w:r w:rsidR="005C5DF3" w:rsidRPr="00F90716">
        <w:rPr>
          <w:lang w:val="en-GB"/>
        </w:rPr>
        <w:t xml:space="preserve"> further</w:t>
      </w:r>
      <w:r w:rsidR="004443A4" w:rsidRPr="00F90716">
        <w:rPr>
          <w:lang w:val="en-GB"/>
        </w:rPr>
        <w:t xml:space="preserve"> refers to reports included as background information available to the </w:t>
      </w:r>
      <w:r w:rsidR="0008593B" w:rsidRPr="00E07EBA">
        <w:rPr>
          <w:lang w:val="en-GB"/>
        </w:rPr>
        <w:t>refugee appeals board</w:t>
      </w:r>
      <w:r w:rsidR="004443A4" w:rsidRPr="00F90716">
        <w:rPr>
          <w:lang w:val="en-GB"/>
        </w:rPr>
        <w:t xml:space="preserve"> and forming the basis of its decision, including the </w:t>
      </w:r>
      <w:r w:rsidR="003A323D" w:rsidRPr="00E07EBA">
        <w:rPr>
          <w:lang w:val="en-GB"/>
        </w:rPr>
        <w:t xml:space="preserve">UNHCR </w:t>
      </w:r>
      <w:r w:rsidR="00FF56C2" w:rsidRPr="00F90716">
        <w:rPr>
          <w:lang w:val="en-GB"/>
        </w:rPr>
        <w:t>International Protection Needs of Asylum</w:t>
      </w:r>
      <w:r w:rsidR="00E520C9" w:rsidRPr="00E07EBA">
        <w:rPr>
          <w:lang w:val="en-GB"/>
        </w:rPr>
        <w:t xml:space="preserve"> </w:t>
      </w:r>
      <w:r w:rsidR="00FF56C2" w:rsidRPr="00F90716">
        <w:rPr>
          <w:lang w:val="en-GB"/>
        </w:rPr>
        <w:t>Seekers from Afghanistan</w:t>
      </w:r>
      <w:r w:rsidR="004443A4" w:rsidRPr="00F90716">
        <w:rPr>
          <w:lang w:val="en-GB"/>
        </w:rPr>
        <w:t xml:space="preserve"> </w:t>
      </w:r>
      <w:r w:rsidR="003A323D" w:rsidRPr="00E07EBA">
        <w:rPr>
          <w:lang w:val="en-GB"/>
        </w:rPr>
        <w:t xml:space="preserve">and </w:t>
      </w:r>
      <w:r w:rsidR="00FF56C2" w:rsidRPr="00F90716">
        <w:rPr>
          <w:lang w:val="en-GB"/>
        </w:rPr>
        <w:t xml:space="preserve">the </w:t>
      </w:r>
      <w:r w:rsidR="003A323D" w:rsidRPr="00E07EBA">
        <w:rPr>
          <w:lang w:val="en-GB"/>
        </w:rPr>
        <w:t xml:space="preserve">2012 </w:t>
      </w:r>
      <w:r w:rsidR="00FF56C2" w:rsidRPr="00F90716">
        <w:rPr>
          <w:lang w:val="en-GB"/>
        </w:rPr>
        <w:lastRenderedPageBreak/>
        <w:t xml:space="preserve">report </w:t>
      </w:r>
      <w:r w:rsidR="003A323D" w:rsidRPr="00E07EBA">
        <w:rPr>
          <w:lang w:val="en-GB"/>
        </w:rPr>
        <w:t xml:space="preserve">of the Danish immigration service fact-finding mission to Kabul entitled </w:t>
      </w:r>
      <w:r w:rsidR="00AE02DC">
        <w:rPr>
          <w:lang w:val="en-GB"/>
        </w:rPr>
        <w:t>“</w:t>
      </w:r>
      <w:r w:rsidR="00FF56C2" w:rsidRPr="00F90716">
        <w:rPr>
          <w:lang w:val="en-GB"/>
        </w:rPr>
        <w:t>Afghanistan – Country of Origin Information for Use in the Asylum Determination Process</w:t>
      </w:r>
      <w:r w:rsidR="00AE02DC">
        <w:rPr>
          <w:lang w:val="en-GB"/>
        </w:rPr>
        <w:t>”</w:t>
      </w:r>
      <w:r w:rsidR="004443A4" w:rsidRPr="00F90716">
        <w:rPr>
          <w:lang w:val="en-GB"/>
        </w:rPr>
        <w:t>.</w:t>
      </w:r>
      <w:r w:rsidR="003A323D" w:rsidRPr="003625FE">
        <w:rPr>
          <w:rStyle w:val="FootnoteReference"/>
        </w:rPr>
        <w:footnoteReference w:id="10"/>
      </w:r>
      <w:r w:rsidR="004443A4" w:rsidRPr="00F90716">
        <w:rPr>
          <w:lang w:val="en-GB"/>
        </w:rPr>
        <w:t xml:space="preserve"> </w:t>
      </w:r>
      <w:r w:rsidR="003A323D" w:rsidRPr="00E07EBA">
        <w:rPr>
          <w:lang w:val="en-GB"/>
        </w:rPr>
        <w:t>O</w:t>
      </w:r>
      <w:r w:rsidR="004443A4" w:rsidRPr="00F90716">
        <w:rPr>
          <w:lang w:val="en-GB"/>
        </w:rPr>
        <w:t xml:space="preserve">n </w:t>
      </w:r>
      <w:r w:rsidR="003A323D" w:rsidRPr="00E07EBA">
        <w:rPr>
          <w:lang w:val="en-GB"/>
        </w:rPr>
        <w:t xml:space="preserve">the basis of that </w:t>
      </w:r>
      <w:r w:rsidR="004443A4" w:rsidRPr="00F90716">
        <w:rPr>
          <w:lang w:val="en-GB"/>
        </w:rPr>
        <w:t>documentation, it appears that t</w:t>
      </w:r>
      <w:r w:rsidR="00FF56C2" w:rsidRPr="00F90716">
        <w:rPr>
          <w:lang w:val="en-GB"/>
        </w:rPr>
        <w:t xml:space="preserve">he decisive factor is whether, following an assessment of the information in the specific case in conjunction with the current background information, it is found that the relevant person </w:t>
      </w:r>
      <w:r w:rsidR="003A323D" w:rsidRPr="00E07EBA">
        <w:rPr>
          <w:lang w:val="en-GB"/>
        </w:rPr>
        <w:t xml:space="preserve">would </w:t>
      </w:r>
      <w:r w:rsidR="00FF56C2" w:rsidRPr="00F90716">
        <w:rPr>
          <w:lang w:val="en-GB"/>
        </w:rPr>
        <w:t xml:space="preserve">be at a specific and individual risk of persecution in case of his return to Afghanistan. </w:t>
      </w:r>
    </w:p>
    <w:p w:rsidR="00F02F14" w:rsidRPr="00E07EBA" w:rsidRDefault="00AB0F9E" w:rsidP="00EE3F84">
      <w:pPr>
        <w:pStyle w:val="SingleTxtG"/>
        <w:rPr>
          <w:iCs/>
          <w:lang w:val="en-GB"/>
        </w:rPr>
      </w:pPr>
      <w:r w:rsidRPr="00F90716">
        <w:rPr>
          <w:lang w:val="en-GB"/>
        </w:rPr>
        <w:t>4.21</w:t>
      </w:r>
      <w:r w:rsidR="00195E21" w:rsidRPr="00F90716">
        <w:rPr>
          <w:lang w:val="en-GB"/>
        </w:rPr>
        <w:tab/>
      </w:r>
      <w:r w:rsidR="00F02F14" w:rsidRPr="00F90716">
        <w:rPr>
          <w:lang w:val="en-GB"/>
        </w:rPr>
        <w:t>The State party also refers to the jud</w:t>
      </w:r>
      <w:r w:rsidR="00FF56C2" w:rsidRPr="00F90716">
        <w:rPr>
          <w:lang w:val="en-GB"/>
        </w:rPr>
        <w:t xml:space="preserve">gment of 9 March 2013 </w:t>
      </w:r>
      <w:r w:rsidR="00F02F14" w:rsidRPr="00F90716">
        <w:rPr>
          <w:lang w:val="en-GB"/>
        </w:rPr>
        <w:t>of</w:t>
      </w:r>
      <w:r w:rsidR="00484A40" w:rsidRPr="00F90716">
        <w:rPr>
          <w:lang w:val="en-GB"/>
        </w:rPr>
        <w:t xml:space="preserve"> </w:t>
      </w:r>
      <w:r w:rsidR="00FF56C2" w:rsidRPr="00F90716">
        <w:rPr>
          <w:lang w:val="en-GB"/>
        </w:rPr>
        <w:t xml:space="preserve">the European Court of Human Rights in </w:t>
      </w:r>
      <w:r w:rsidR="00FF56C2" w:rsidRPr="00F90716">
        <w:rPr>
          <w:i/>
          <w:iCs/>
          <w:lang w:val="en-GB"/>
        </w:rPr>
        <w:t>H. and B. v. the United Kingdom</w:t>
      </w:r>
      <w:r w:rsidR="00FF56C2" w:rsidRPr="00F90716">
        <w:rPr>
          <w:lang w:val="en-GB"/>
        </w:rPr>
        <w:t xml:space="preserve"> (applications Nos. 70073/10 and 44539/11),</w:t>
      </w:r>
      <w:r w:rsidR="003A323D" w:rsidRPr="003625FE">
        <w:rPr>
          <w:rStyle w:val="FootnoteReference"/>
        </w:rPr>
        <w:footnoteReference w:id="11"/>
      </w:r>
      <w:r w:rsidR="00FF56C2" w:rsidRPr="00F90716">
        <w:rPr>
          <w:lang w:val="en-GB"/>
        </w:rPr>
        <w:t xml:space="preserve"> which concerned, inter alia, an Afghan national who had previously been employed as an interpreter for </w:t>
      </w:r>
      <w:r w:rsidR="003A323D" w:rsidRPr="00E07EBA">
        <w:rPr>
          <w:lang w:val="en-GB"/>
        </w:rPr>
        <w:t xml:space="preserve">United States </w:t>
      </w:r>
      <w:r w:rsidR="00FF56C2" w:rsidRPr="00F90716">
        <w:rPr>
          <w:lang w:val="en-GB"/>
        </w:rPr>
        <w:t xml:space="preserve">forces in Afghanistan. In </w:t>
      </w:r>
      <w:r w:rsidR="003A323D" w:rsidRPr="00E07EBA">
        <w:rPr>
          <w:lang w:val="en-GB"/>
        </w:rPr>
        <w:t xml:space="preserve">that </w:t>
      </w:r>
      <w:r w:rsidR="00FF56C2" w:rsidRPr="00F90716">
        <w:rPr>
          <w:lang w:val="en-GB"/>
        </w:rPr>
        <w:t>judgment</w:t>
      </w:r>
      <w:r w:rsidR="003A323D" w:rsidRPr="00E07EBA">
        <w:rPr>
          <w:lang w:val="en-GB"/>
        </w:rPr>
        <w:t>,</w:t>
      </w:r>
      <w:r w:rsidR="00FF56C2" w:rsidRPr="00F90716">
        <w:rPr>
          <w:lang w:val="en-GB"/>
        </w:rPr>
        <w:t xml:space="preserve"> the</w:t>
      </w:r>
      <w:r w:rsidR="00F02F14" w:rsidRPr="00F90716">
        <w:rPr>
          <w:lang w:val="en-GB"/>
        </w:rPr>
        <w:t xml:space="preserve"> Court rejected that the applicant</w:t>
      </w:r>
      <w:r w:rsidR="00FF56C2" w:rsidRPr="00F90716">
        <w:rPr>
          <w:lang w:val="en-GB"/>
        </w:rPr>
        <w:t xml:space="preserve"> would not be safe in Kabul because of his profile and the security situation there</w:t>
      </w:r>
      <w:r w:rsidR="00EE3F84" w:rsidRPr="00E07EBA">
        <w:rPr>
          <w:lang w:val="en-GB"/>
        </w:rPr>
        <w:t xml:space="preserve">. It </w:t>
      </w:r>
      <w:r w:rsidR="00FF56C2" w:rsidRPr="00F90716">
        <w:rPr>
          <w:lang w:val="en-GB"/>
        </w:rPr>
        <w:t xml:space="preserve">not convinced that the second applicant would be at risk in Kabul </w:t>
      </w:r>
      <w:r w:rsidR="00FF56C2" w:rsidRPr="00F90716">
        <w:rPr>
          <w:iCs/>
          <w:lang w:val="en-GB"/>
        </w:rPr>
        <w:t xml:space="preserve">solely because of his previous work as an interpreter for the </w:t>
      </w:r>
      <w:r w:rsidR="00EE3F84" w:rsidRPr="00E07EBA">
        <w:rPr>
          <w:iCs/>
          <w:lang w:val="en-GB"/>
        </w:rPr>
        <w:t xml:space="preserve">United States </w:t>
      </w:r>
      <w:r w:rsidR="00FF56C2" w:rsidRPr="00F90716">
        <w:rPr>
          <w:iCs/>
          <w:lang w:val="en-GB"/>
        </w:rPr>
        <w:t>forces</w:t>
      </w:r>
      <w:r w:rsidR="00EE3F84" w:rsidRPr="00E07EBA">
        <w:rPr>
          <w:iCs/>
          <w:lang w:val="en-GB"/>
        </w:rPr>
        <w:t>,</w:t>
      </w:r>
      <w:r w:rsidR="00FF56C2" w:rsidRPr="00F90716">
        <w:rPr>
          <w:iCs/>
          <w:lang w:val="en-GB"/>
        </w:rPr>
        <w:t xml:space="preserve"> </w:t>
      </w:r>
      <w:r w:rsidR="00EE3F84" w:rsidRPr="00E07EBA">
        <w:rPr>
          <w:iCs/>
          <w:lang w:val="en-GB"/>
        </w:rPr>
        <w:t xml:space="preserve">and stated that it </w:t>
      </w:r>
      <w:r w:rsidR="00FF56C2" w:rsidRPr="00F90716">
        <w:rPr>
          <w:iCs/>
          <w:lang w:val="en-GB"/>
        </w:rPr>
        <w:t xml:space="preserve">must instead examine the individual circumstances of his case, the nature of his connections and his profile. </w:t>
      </w:r>
    </w:p>
    <w:p w:rsidR="00FF56C2" w:rsidRPr="00E07EBA" w:rsidRDefault="00AB0F9E" w:rsidP="00EE3F84">
      <w:pPr>
        <w:pStyle w:val="SingleTxtG"/>
        <w:rPr>
          <w:lang w:val="en-GB"/>
        </w:rPr>
      </w:pPr>
      <w:r w:rsidRPr="00F90716">
        <w:rPr>
          <w:lang w:val="en-GB"/>
        </w:rPr>
        <w:t>4.22</w:t>
      </w:r>
      <w:r w:rsidR="00195E21" w:rsidRPr="00F90716">
        <w:rPr>
          <w:lang w:val="en-GB"/>
        </w:rPr>
        <w:tab/>
      </w:r>
      <w:r w:rsidR="00F02F14" w:rsidRPr="00F90716">
        <w:rPr>
          <w:lang w:val="en-GB"/>
        </w:rPr>
        <w:t xml:space="preserve">In the present case, the State party reiterates the </w:t>
      </w:r>
      <w:r w:rsidR="0008593B" w:rsidRPr="00E07EBA">
        <w:rPr>
          <w:lang w:val="en-GB"/>
        </w:rPr>
        <w:t>refugee appeals board</w:t>
      </w:r>
      <w:r w:rsidR="00AE02DC">
        <w:rPr>
          <w:lang w:val="en-GB"/>
        </w:rPr>
        <w:t>’</w:t>
      </w:r>
      <w:r w:rsidR="00EE3F84" w:rsidRPr="00E07EBA">
        <w:rPr>
          <w:lang w:val="en-GB"/>
        </w:rPr>
        <w:t>s</w:t>
      </w:r>
      <w:r w:rsidR="00F02F14" w:rsidRPr="00F90716">
        <w:rPr>
          <w:lang w:val="en-GB"/>
        </w:rPr>
        <w:t xml:space="preserve"> findings that </w:t>
      </w:r>
      <w:r w:rsidR="00FF56C2" w:rsidRPr="00F90716">
        <w:rPr>
          <w:lang w:val="en-GB"/>
        </w:rPr>
        <w:t xml:space="preserve">the author </w:t>
      </w:r>
      <w:r w:rsidR="00EE3F84" w:rsidRPr="00E07EBA">
        <w:rPr>
          <w:lang w:val="en-GB"/>
        </w:rPr>
        <w:t xml:space="preserve">had </w:t>
      </w:r>
      <w:r w:rsidR="00FF56C2" w:rsidRPr="00F90716">
        <w:rPr>
          <w:lang w:val="en-GB"/>
        </w:rPr>
        <w:t>made inconsistent statements on several crucial elements of his grounds for asylum</w:t>
      </w:r>
      <w:r w:rsidR="007854DE" w:rsidRPr="00F90716">
        <w:rPr>
          <w:lang w:val="en-GB"/>
        </w:rPr>
        <w:t>,</w:t>
      </w:r>
      <w:r w:rsidR="002D1C16" w:rsidRPr="00F90716">
        <w:rPr>
          <w:lang w:val="en-GB"/>
        </w:rPr>
        <w:t xml:space="preserve"> and that he</w:t>
      </w:r>
      <w:r w:rsidR="00FF56C2" w:rsidRPr="00F90716">
        <w:rPr>
          <w:lang w:val="en-GB"/>
        </w:rPr>
        <w:t xml:space="preserve"> </w:t>
      </w:r>
      <w:r w:rsidR="00EE3F84" w:rsidRPr="00E07EBA">
        <w:rPr>
          <w:lang w:val="en-GB"/>
        </w:rPr>
        <w:t xml:space="preserve">was </w:t>
      </w:r>
      <w:r w:rsidR="00FF56C2" w:rsidRPr="00F90716">
        <w:rPr>
          <w:lang w:val="en-GB"/>
        </w:rPr>
        <w:t xml:space="preserve">trying to use the Committee as an appellate body </w:t>
      </w:r>
      <w:r w:rsidR="00EE3F84" w:rsidRPr="00E07EBA">
        <w:rPr>
          <w:lang w:val="en-GB"/>
        </w:rPr>
        <w:t xml:space="preserve">and </w:t>
      </w:r>
      <w:r w:rsidR="00FF56C2" w:rsidRPr="00F90716">
        <w:rPr>
          <w:lang w:val="en-GB"/>
        </w:rPr>
        <w:t xml:space="preserve">have </w:t>
      </w:r>
      <w:r w:rsidR="00EE3F84" w:rsidRPr="00E07EBA">
        <w:rPr>
          <w:lang w:val="en-GB"/>
        </w:rPr>
        <w:t xml:space="preserve">the Committee reassess </w:t>
      </w:r>
      <w:r w:rsidR="00FF56C2" w:rsidRPr="00F90716">
        <w:rPr>
          <w:lang w:val="en-GB"/>
        </w:rPr>
        <w:t xml:space="preserve">the factual circumstances relied upon in support of his claim for asylum. The Government submits that the Committee must give considerable weight to the findings of facts made by the </w:t>
      </w:r>
      <w:r w:rsidR="0008593B" w:rsidRPr="00E07EBA">
        <w:rPr>
          <w:lang w:val="en-GB"/>
        </w:rPr>
        <w:t>b</w:t>
      </w:r>
      <w:r w:rsidR="00FF56C2" w:rsidRPr="00F90716">
        <w:rPr>
          <w:lang w:val="en-GB"/>
        </w:rPr>
        <w:t>oard, which is better placed to assess the factual circu</w:t>
      </w:r>
      <w:r w:rsidR="00F02F14" w:rsidRPr="00F90716">
        <w:rPr>
          <w:lang w:val="en-GB"/>
        </w:rPr>
        <w:t>mstances in the author’s case. T</w:t>
      </w:r>
      <w:r w:rsidR="002D1C16" w:rsidRPr="00F90716">
        <w:rPr>
          <w:lang w:val="en-GB"/>
        </w:rPr>
        <w:t>he State party concludes by reiterating</w:t>
      </w:r>
      <w:r w:rsidR="00F02F14" w:rsidRPr="00F90716">
        <w:rPr>
          <w:lang w:val="en-GB"/>
        </w:rPr>
        <w:t xml:space="preserve"> that th</w:t>
      </w:r>
      <w:r w:rsidR="00FF56C2" w:rsidRPr="00F90716">
        <w:rPr>
          <w:lang w:val="en-GB"/>
        </w:rPr>
        <w:t>e author has failed to establish a prima facie case for the purpose of admissibility of his communication</w:t>
      </w:r>
      <w:r w:rsidR="00F02F14" w:rsidRPr="00F90716">
        <w:rPr>
          <w:lang w:val="en-GB"/>
        </w:rPr>
        <w:t xml:space="preserve"> under </w:t>
      </w:r>
      <w:r w:rsidR="00EE3F84" w:rsidRPr="00E07EBA">
        <w:rPr>
          <w:lang w:val="en-GB"/>
        </w:rPr>
        <w:t>a</w:t>
      </w:r>
      <w:r w:rsidR="00F02F14" w:rsidRPr="00F90716">
        <w:rPr>
          <w:lang w:val="en-GB"/>
        </w:rPr>
        <w:t>rticles 7 and 19 of the Covenant</w:t>
      </w:r>
      <w:r w:rsidR="00EE3F84" w:rsidRPr="00E07EBA">
        <w:rPr>
          <w:lang w:val="en-GB"/>
        </w:rPr>
        <w:t>,</w:t>
      </w:r>
      <w:r w:rsidR="00F02F14" w:rsidRPr="00F90716">
        <w:rPr>
          <w:lang w:val="en-GB"/>
        </w:rPr>
        <w:t xml:space="preserve"> and that it </w:t>
      </w:r>
      <w:r w:rsidR="00FF56C2" w:rsidRPr="00F90716">
        <w:rPr>
          <w:lang w:val="en-GB"/>
        </w:rPr>
        <w:t>sho</w:t>
      </w:r>
      <w:r w:rsidR="00F02F14" w:rsidRPr="00F90716">
        <w:rPr>
          <w:lang w:val="en-GB"/>
        </w:rPr>
        <w:t>uld be rejected as inadmissible.</w:t>
      </w:r>
      <w:r w:rsidR="0049052C" w:rsidRPr="00F90716">
        <w:rPr>
          <w:lang w:val="en-GB"/>
        </w:rPr>
        <w:t xml:space="preserve"> Should the Committee find the communication admissible, the Government further submits that it has not been established that there are substantial grounds for believing that it would constitute a violation of </w:t>
      </w:r>
      <w:r w:rsidR="00EE3F84" w:rsidRPr="00E07EBA">
        <w:rPr>
          <w:lang w:val="en-GB"/>
        </w:rPr>
        <w:t>a</w:t>
      </w:r>
      <w:r w:rsidR="002D1C16" w:rsidRPr="00F90716">
        <w:rPr>
          <w:lang w:val="en-GB"/>
        </w:rPr>
        <w:t>rticle 7 of the Covenant</w:t>
      </w:r>
      <w:r w:rsidR="0049052C" w:rsidRPr="00F90716">
        <w:rPr>
          <w:lang w:val="en-GB"/>
        </w:rPr>
        <w:t xml:space="preserve"> to return the author to Afghanistan. </w:t>
      </w:r>
    </w:p>
    <w:p w:rsidR="0049052C" w:rsidRPr="00E07EBA" w:rsidRDefault="00484A40" w:rsidP="00484A40">
      <w:pPr>
        <w:pStyle w:val="H23G"/>
      </w:pPr>
      <w:r w:rsidRPr="00E07EBA">
        <w:tab/>
      </w:r>
      <w:r w:rsidRPr="00E07EBA">
        <w:tab/>
      </w:r>
      <w:r w:rsidR="00431396" w:rsidRPr="00E07EBA">
        <w:t>Author’</w:t>
      </w:r>
      <w:r w:rsidR="00446ABC" w:rsidRPr="00E07EBA">
        <w:t>s</w:t>
      </w:r>
      <w:r w:rsidR="009A19F8" w:rsidRPr="00E07EBA">
        <w:t xml:space="preserve"> </w:t>
      </w:r>
      <w:r w:rsidR="00883276" w:rsidRPr="00E07EBA">
        <w:t>comments on the State party’s observations</w:t>
      </w:r>
    </w:p>
    <w:p w:rsidR="008819B8" w:rsidRPr="00E07EBA" w:rsidRDefault="009A19F8" w:rsidP="00D569B6">
      <w:pPr>
        <w:pStyle w:val="SingleTxtG"/>
        <w:rPr>
          <w:lang w:val="en-GB"/>
        </w:rPr>
      </w:pPr>
      <w:r w:rsidRPr="00F90716">
        <w:rPr>
          <w:lang w:val="en-GB"/>
        </w:rPr>
        <w:t>5.</w:t>
      </w:r>
      <w:r w:rsidR="008730D5" w:rsidRPr="00F90716">
        <w:rPr>
          <w:lang w:val="en-GB"/>
        </w:rPr>
        <w:t>1</w:t>
      </w:r>
      <w:r w:rsidRPr="00F90716">
        <w:rPr>
          <w:lang w:val="en-GB"/>
        </w:rPr>
        <w:tab/>
      </w:r>
      <w:r w:rsidR="00FE63C0" w:rsidRPr="00F90716">
        <w:rPr>
          <w:lang w:val="en-GB"/>
        </w:rPr>
        <w:t xml:space="preserve">On </w:t>
      </w:r>
      <w:r w:rsidR="00B27384" w:rsidRPr="00F90716">
        <w:rPr>
          <w:lang w:val="en-GB"/>
        </w:rPr>
        <w:t>3 July</w:t>
      </w:r>
      <w:r w:rsidR="00FE63C0" w:rsidRPr="00F90716">
        <w:rPr>
          <w:lang w:val="en-GB"/>
        </w:rPr>
        <w:t xml:space="preserve"> 2015, the author submitted his comments to the State party’s observations. </w:t>
      </w:r>
      <w:r w:rsidR="00FB147A" w:rsidRPr="00F90716">
        <w:rPr>
          <w:lang w:val="en-GB"/>
        </w:rPr>
        <w:t>He notes that</w:t>
      </w:r>
      <w:r w:rsidR="00367599" w:rsidRPr="00E07EBA">
        <w:rPr>
          <w:lang w:val="en-GB"/>
        </w:rPr>
        <w:t>,</w:t>
      </w:r>
      <w:r w:rsidR="00FB147A" w:rsidRPr="00F90716">
        <w:rPr>
          <w:lang w:val="en-GB"/>
        </w:rPr>
        <w:t xml:space="preserve"> since he </w:t>
      </w:r>
      <w:r w:rsidR="00367599" w:rsidRPr="00E07EBA">
        <w:rPr>
          <w:lang w:val="en-GB"/>
        </w:rPr>
        <w:t xml:space="preserve">has been </w:t>
      </w:r>
      <w:r w:rsidR="00FB147A" w:rsidRPr="00F90716">
        <w:rPr>
          <w:lang w:val="en-GB"/>
        </w:rPr>
        <w:t xml:space="preserve">in Denmark, he has applied for a </w:t>
      </w:r>
      <w:r w:rsidR="00367599" w:rsidRPr="00E07EBA">
        <w:rPr>
          <w:lang w:val="en-GB"/>
        </w:rPr>
        <w:t xml:space="preserve">United States </w:t>
      </w:r>
      <w:r w:rsidR="00FB147A" w:rsidRPr="00F90716">
        <w:rPr>
          <w:lang w:val="en-GB"/>
        </w:rPr>
        <w:t>“</w:t>
      </w:r>
      <w:r w:rsidR="00367599" w:rsidRPr="00E07EBA">
        <w:rPr>
          <w:lang w:val="en-GB"/>
        </w:rPr>
        <w:t>s</w:t>
      </w:r>
      <w:r w:rsidR="00FB147A" w:rsidRPr="00F90716">
        <w:rPr>
          <w:lang w:val="en-GB"/>
        </w:rPr>
        <w:t xml:space="preserve">pecial </w:t>
      </w:r>
      <w:r w:rsidR="00367599" w:rsidRPr="00E07EBA">
        <w:rPr>
          <w:lang w:val="en-GB"/>
        </w:rPr>
        <w:t>i</w:t>
      </w:r>
      <w:r w:rsidR="00FB147A" w:rsidRPr="00F90716">
        <w:rPr>
          <w:lang w:val="en-GB"/>
        </w:rPr>
        <w:t xml:space="preserve">mmigrant </w:t>
      </w:r>
      <w:r w:rsidR="00367599" w:rsidRPr="00E07EBA">
        <w:rPr>
          <w:lang w:val="en-GB"/>
        </w:rPr>
        <w:t>v</w:t>
      </w:r>
      <w:r w:rsidR="00FB147A" w:rsidRPr="00F90716">
        <w:rPr>
          <w:lang w:val="en-GB"/>
        </w:rPr>
        <w:t xml:space="preserve">isa” using </w:t>
      </w:r>
      <w:r w:rsidR="00367599" w:rsidRPr="00E07EBA">
        <w:rPr>
          <w:lang w:val="en-GB"/>
        </w:rPr>
        <w:t xml:space="preserve">the pro bono legal counsel of an American </w:t>
      </w:r>
      <w:r w:rsidR="00FB147A" w:rsidRPr="00F90716">
        <w:rPr>
          <w:lang w:val="en-GB"/>
        </w:rPr>
        <w:t>law firm in partnership with the Iraqi Refugee Assistance Project, which provides legal representation for Iraqi</w:t>
      </w:r>
      <w:r w:rsidR="009A0D25" w:rsidRPr="00F90716">
        <w:rPr>
          <w:lang w:val="en-GB"/>
        </w:rPr>
        <w:t>s</w:t>
      </w:r>
      <w:r w:rsidR="00FB147A" w:rsidRPr="00F90716">
        <w:rPr>
          <w:lang w:val="en-GB"/>
        </w:rPr>
        <w:t xml:space="preserve"> and Afghans </w:t>
      </w:r>
      <w:r w:rsidR="00367599" w:rsidRPr="00E07EBA">
        <w:rPr>
          <w:lang w:val="en-GB"/>
        </w:rPr>
        <w:t xml:space="preserve">who </w:t>
      </w:r>
      <w:r w:rsidR="00FB147A" w:rsidRPr="00F90716">
        <w:rPr>
          <w:lang w:val="en-GB"/>
        </w:rPr>
        <w:t xml:space="preserve">at risk as a result of their work as interpreters with the </w:t>
      </w:r>
      <w:r w:rsidR="00367599" w:rsidRPr="00E07EBA">
        <w:rPr>
          <w:lang w:val="en-GB"/>
        </w:rPr>
        <w:t xml:space="preserve">United States </w:t>
      </w:r>
      <w:r w:rsidR="00FB147A" w:rsidRPr="00F90716">
        <w:rPr>
          <w:lang w:val="en-GB"/>
        </w:rPr>
        <w:t>military.</w:t>
      </w:r>
      <w:r w:rsidR="009A0D25" w:rsidRPr="00F90716">
        <w:rPr>
          <w:lang w:val="en-GB"/>
        </w:rPr>
        <w:t xml:space="preserve"> The author annexes a letter </w:t>
      </w:r>
      <w:r w:rsidR="00613B1A" w:rsidRPr="00E07EBA">
        <w:rPr>
          <w:lang w:val="en-GB"/>
        </w:rPr>
        <w:t xml:space="preserve">dated 23 June 2015 </w:t>
      </w:r>
      <w:r w:rsidR="009A0D25" w:rsidRPr="00F90716">
        <w:rPr>
          <w:lang w:val="en-GB"/>
        </w:rPr>
        <w:t xml:space="preserve">from </w:t>
      </w:r>
      <w:r w:rsidR="00613B1A" w:rsidRPr="00E07EBA">
        <w:rPr>
          <w:lang w:val="en-GB"/>
        </w:rPr>
        <w:t xml:space="preserve">the </w:t>
      </w:r>
      <w:r w:rsidR="009A0D25" w:rsidRPr="00F90716">
        <w:rPr>
          <w:lang w:val="en-GB"/>
        </w:rPr>
        <w:t xml:space="preserve">law firm, which describes the author’s application process for a </w:t>
      </w:r>
      <w:r w:rsidR="00367599" w:rsidRPr="00E07EBA">
        <w:rPr>
          <w:lang w:val="en-GB"/>
        </w:rPr>
        <w:t>special immigrant visa</w:t>
      </w:r>
      <w:r w:rsidR="009A0D25" w:rsidRPr="00F90716">
        <w:rPr>
          <w:lang w:val="en-GB"/>
        </w:rPr>
        <w:t xml:space="preserve">, and notes that his legal counsels in the </w:t>
      </w:r>
      <w:r w:rsidR="00613B1A" w:rsidRPr="00E07EBA">
        <w:rPr>
          <w:lang w:val="en-GB"/>
        </w:rPr>
        <w:t xml:space="preserve">United States </w:t>
      </w:r>
      <w:r w:rsidR="009A0D25" w:rsidRPr="00F90716">
        <w:rPr>
          <w:lang w:val="en-GB"/>
        </w:rPr>
        <w:t xml:space="preserve">have repeatedly attempted to contact one supervisor, </w:t>
      </w:r>
      <w:r w:rsidR="00FB05B8" w:rsidRPr="00F90716">
        <w:rPr>
          <w:lang w:val="en-GB"/>
        </w:rPr>
        <w:t>M.W.</w:t>
      </w:r>
      <w:r w:rsidR="009A0D25" w:rsidRPr="00F90716">
        <w:rPr>
          <w:lang w:val="en-GB"/>
        </w:rPr>
        <w:t>, but have been unsuccessful so far. This may be due to his involvement</w:t>
      </w:r>
      <w:r w:rsidR="008A11CF" w:rsidRPr="00F90716">
        <w:rPr>
          <w:lang w:val="en-GB"/>
        </w:rPr>
        <w:t xml:space="preserve"> in intelligence matters, </w:t>
      </w:r>
      <w:r w:rsidR="00613B1A" w:rsidRPr="00E07EBA">
        <w:rPr>
          <w:lang w:val="en-GB"/>
        </w:rPr>
        <w:t xml:space="preserve">which </w:t>
      </w:r>
      <w:r w:rsidR="009A0D25" w:rsidRPr="00F90716">
        <w:rPr>
          <w:lang w:val="en-GB"/>
        </w:rPr>
        <w:t xml:space="preserve">require </w:t>
      </w:r>
      <w:r w:rsidR="00613B1A" w:rsidRPr="00E07EBA">
        <w:rPr>
          <w:lang w:val="en-GB"/>
        </w:rPr>
        <w:t xml:space="preserve">personnel to </w:t>
      </w:r>
      <w:r w:rsidR="009A0D25" w:rsidRPr="00F90716">
        <w:rPr>
          <w:lang w:val="en-GB"/>
        </w:rPr>
        <w:t xml:space="preserve">change </w:t>
      </w:r>
      <w:r w:rsidR="00613B1A" w:rsidRPr="00E07EBA">
        <w:rPr>
          <w:lang w:val="en-GB"/>
        </w:rPr>
        <w:t xml:space="preserve">their </w:t>
      </w:r>
      <w:r w:rsidR="009A0D25" w:rsidRPr="00F90716">
        <w:rPr>
          <w:lang w:val="en-GB"/>
        </w:rPr>
        <w:t>contact information</w:t>
      </w:r>
      <w:r w:rsidR="00613B1A" w:rsidRPr="00E07EBA">
        <w:rPr>
          <w:lang w:val="en-GB"/>
        </w:rPr>
        <w:t xml:space="preserve"> frequently</w:t>
      </w:r>
      <w:r w:rsidR="009A0D25" w:rsidRPr="00F90716">
        <w:rPr>
          <w:lang w:val="en-GB"/>
        </w:rPr>
        <w:t>.</w:t>
      </w:r>
      <w:r w:rsidR="00484A40" w:rsidRPr="00F90716">
        <w:rPr>
          <w:lang w:val="en-GB"/>
        </w:rPr>
        <w:t xml:space="preserve"> </w:t>
      </w:r>
      <w:r w:rsidR="00D80012" w:rsidRPr="00F90716">
        <w:rPr>
          <w:lang w:val="en-GB"/>
        </w:rPr>
        <w:t xml:space="preserve">The firm also managed </w:t>
      </w:r>
      <w:r w:rsidR="00561902" w:rsidRPr="00F90716">
        <w:rPr>
          <w:lang w:val="en-GB"/>
        </w:rPr>
        <w:t xml:space="preserve">to collect statements from two </w:t>
      </w:r>
      <w:r w:rsidR="00D80012" w:rsidRPr="00F90716">
        <w:rPr>
          <w:lang w:val="en-GB"/>
        </w:rPr>
        <w:t xml:space="preserve">interpreters who worked </w:t>
      </w:r>
      <w:r w:rsidR="00613B1A" w:rsidRPr="00E07EBA">
        <w:rPr>
          <w:lang w:val="en-GB"/>
        </w:rPr>
        <w:t xml:space="preserve">at </w:t>
      </w:r>
      <w:r w:rsidR="00D80012" w:rsidRPr="00F90716">
        <w:rPr>
          <w:lang w:val="en-GB"/>
        </w:rPr>
        <w:t>the same base as the author.</w:t>
      </w:r>
      <w:r w:rsidR="0044050D" w:rsidRPr="00F90716">
        <w:rPr>
          <w:lang w:val="en-GB"/>
        </w:rPr>
        <w:t xml:space="preserve"> The author tried several times to contact </w:t>
      </w:r>
      <w:r w:rsidR="00FB05B8" w:rsidRPr="00F90716">
        <w:rPr>
          <w:lang w:val="en-GB"/>
        </w:rPr>
        <w:t>M.W.</w:t>
      </w:r>
      <w:r w:rsidR="0044050D" w:rsidRPr="00F90716">
        <w:rPr>
          <w:lang w:val="en-GB"/>
        </w:rPr>
        <w:t xml:space="preserve">, without success. He therefore rejects the </w:t>
      </w:r>
      <w:r w:rsidR="0008593B" w:rsidRPr="00E07EBA">
        <w:rPr>
          <w:lang w:val="en-GB"/>
        </w:rPr>
        <w:t>refugee appeals board</w:t>
      </w:r>
      <w:r w:rsidR="0044050D" w:rsidRPr="00F90716">
        <w:rPr>
          <w:lang w:val="en-GB"/>
        </w:rPr>
        <w:t xml:space="preserve">’s determination that no explanation has been offered as to why a statement </w:t>
      </w:r>
      <w:r w:rsidR="00613B1A" w:rsidRPr="00E07EBA">
        <w:rPr>
          <w:lang w:val="en-GB"/>
        </w:rPr>
        <w:t xml:space="preserve">was </w:t>
      </w:r>
      <w:r w:rsidR="0044050D" w:rsidRPr="00F90716">
        <w:rPr>
          <w:lang w:val="en-GB"/>
        </w:rPr>
        <w:t xml:space="preserve">produced from a commanding officer </w:t>
      </w:r>
      <w:r w:rsidR="00D569B6" w:rsidRPr="00E07EBA">
        <w:rPr>
          <w:lang w:val="en-GB"/>
        </w:rPr>
        <w:t xml:space="preserve">but </w:t>
      </w:r>
      <w:r w:rsidR="0044050D" w:rsidRPr="00F90716">
        <w:rPr>
          <w:lang w:val="en-GB"/>
        </w:rPr>
        <w:t xml:space="preserve">not from </w:t>
      </w:r>
      <w:r w:rsidR="00FB05B8" w:rsidRPr="00F90716">
        <w:rPr>
          <w:lang w:val="en-GB"/>
        </w:rPr>
        <w:t>M.W.</w:t>
      </w:r>
      <w:r w:rsidR="0044050D" w:rsidRPr="00F90716">
        <w:rPr>
          <w:lang w:val="en-GB"/>
        </w:rPr>
        <w:t>, to whom the author ha</w:t>
      </w:r>
      <w:r w:rsidR="00D569B6" w:rsidRPr="00E07EBA">
        <w:rPr>
          <w:lang w:val="en-GB"/>
        </w:rPr>
        <w:t>d</w:t>
      </w:r>
      <w:r w:rsidR="0044050D" w:rsidRPr="00F90716">
        <w:rPr>
          <w:lang w:val="en-GB"/>
        </w:rPr>
        <w:t xml:space="preserve"> referred several times and who was allegedly his main contact person.</w:t>
      </w:r>
    </w:p>
    <w:p w:rsidR="005E4A9A" w:rsidRPr="00E07EBA" w:rsidRDefault="008819B8" w:rsidP="007C5D6F">
      <w:pPr>
        <w:pStyle w:val="SingleTxtG"/>
        <w:rPr>
          <w:lang w:val="en-GB"/>
        </w:rPr>
      </w:pPr>
      <w:r w:rsidRPr="00F90716">
        <w:rPr>
          <w:lang w:val="en-GB"/>
        </w:rPr>
        <w:t>5.2</w:t>
      </w:r>
      <w:r w:rsidRPr="00F90716">
        <w:rPr>
          <w:lang w:val="en-GB"/>
        </w:rPr>
        <w:tab/>
      </w:r>
      <w:r w:rsidR="002C311F" w:rsidRPr="00F90716">
        <w:rPr>
          <w:lang w:val="en-GB"/>
        </w:rPr>
        <w:t xml:space="preserve">With respect to the State party’s assertion endorsing the </w:t>
      </w:r>
      <w:r w:rsidR="0008593B" w:rsidRPr="00E07EBA">
        <w:rPr>
          <w:lang w:val="en-GB"/>
        </w:rPr>
        <w:t>r</w:t>
      </w:r>
      <w:r w:rsidR="002C311F" w:rsidRPr="00F90716">
        <w:rPr>
          <w:lang w:val="en-GB"/>
        </w:rPr>
        <w:t xml:space="preserve">efugee </w:t>
      </w:r>
      <w:r w:rsidR="0008593B" w:rsidRPr="00E07EBA">
        <w:rPr>
          <w:lang w:val="en-GB"/>
        </w:rPr>
        <w:t>a</w:t>
      </w:r>
      <w:r w:rsidR="002C311F" w:rsidRPr="00F90716">
        <w:rPr>
          <w:lang w:val="en-GB"/>
        </w:rPr>
        <w:t xml:space="preserve">ppeals </w:t>
      </w:r>
      <w:r w:rsidR="0008593B" w:rsidRPr="00E07EBA">
        <w:rPr>
          <w:lang w:val="en-GB"/>
        </w:rPr>
        <w:t>b</w:t>
      </w:r>
      <w:r w:rsidR="002C311F" w:rsidRPr="00F90716">
        <w:rPr>
          <w:lang w:val="en-GB"/>
        </w:rPr>
        <w:t xml:space="preserve">oard’s conclusion that it seems strange and not very likely that the police </w:t>
      </w:r>
      <w:r w:rsidR="007C5D6F" w:rsidRPr="00E07EBA">
        <w:rPr>
          <w:lang w:val="en-GB"/>
        </w:rPr>
        <w:t xml:space="preserve">would </w:t>
      </w:r>
      <w:r w:rsidR="002C311F" w:rsidRPr="00F90716">
        <w:rPr>
          <w:lang w:val="en-GB"/>
        </w:rPr>
        <w:t xml:space="preserve">confirm in writing </w:t>
      </w:r>
      <w:r w:rsidR="002C311F" w:rsidRPr="00F90716">
        <w:rPr>
          <w:lang w:val="en-GB"/>
        </w:rPr>
        <w:lastRenderedPageBreak/>
        <w:t>that the author’s brother</w:t>
      </w:r>
      <w:r w:rsidR="007C5D6F" w:rsidRPr="00E07EBA">
        <w:rPr>
          <w:lang w:val="en-GB"/>
        </w:rPr>
        <w:t>-</w:t>
      </w:r>
      <w:r w:rsidR="002C311F" w:rsidRPr="00F90716">
        <w:rPr>
          <w:lang w:val="en-GB"/>
        </w:rPr>
        <w:t>in</w:t>
      </w:r>
      <w:r w:rsidR="007C5D6F" w:rsidRPr="00E07EBA">
        <w:rPr>
          <w:lang w:val="en-GB"/>
        </w:rPr>
        <w:t>-</w:t>
      </w:r>
      <w:r w:rsidR="002C311F" w:rsidRPr="00F90716">
        <w:rPr>
          <w:lang w:val="en-GB"/>
        </w:rPr>
        <w:t xml:space="preserve">law </w:t>
      </w:r>
      <w:r w:rsidR="007C5D6F" w:rsidRPr="00E07EBA">
        <w:rPr>
          <w:lang w:val="en-GB"/>
        </w:rPr>
        <w:t xml:space="preserve">had been </w:t>
      </w:r>
      <w:r w:rsidR="002C311F" w:rsidRPr="00F90716">
        <w:rPr>
          <w:lang w:val="en-GB"/>
        </w:rPr>
        <w:t xml:space="preserve">killed by terrorists because of the author, </w:t>
      </w:r>
      <w:r w:rsidR="00A07120" w:rsidRPr="00F90716">
        <w:rPr>
          <w:lang w:val="en-GB"/>
        </w:rPr>
        <w:t>the author reiterates his previous statement and attaches the original police report in the Dari language, as well as Danish and English translations.</w:t>
      </w:r>
      <w:r w:rsidRPr="00F90716">
        <w:rPr>
          <w:lang w:val="en-GB"/>
        </w:rPr>
        <w:t xml:space="preserve"> </w:t>
      </w:r>
      <w:r w:rsidR="002947B4" w:rsidRPr="00F90716">
        <w:rPr>
          <w:lang w:val="en-GB"/>
        </w:rPr>
        <w:t xml:space="preserve">He further refers to </w:t>
      </w:r>
      <w:r w:rsidR="007C5D6F" w:rsidRPr="00E07EBA">
        <w:rPr>
          <w:lang w:val="en-GB"/>
        </w:rPr>
        <w:t xml:space="preserve">page 35 of the </w:t>
      </w:r>
      <w:r w:rsidR="002947B4" w:rsidRPr="00F90716">
        <w:rPr>
          <w:lang w:val="en-GB"/>
        </w:rPr>
        <w:t xml:space="preserve">UNHCR report </w:t>
      </w:r>
      <w:r w:rsidR="007C5D6F" w:rsidRPr="00E07EBA">
        <w:rPr>
          <w:lang w:val="en-GB"/>
        </w:rPr>
        <w:t xml:space="preserve">entitled </w:t>
      </w:r>
      <w:r w:rsidR="002947B4" w:rsidRPr="00F90716">
        <w:rPr>
          <w:lang w:val="en-GB"/>
        </w:rPr>
        <w:t>“Beyond proof</w:t>
      </w:r>
      <w:r w:rsidR="007C5D6F" w:rsidRPr="00E07EBA">
        <w:rPr>
          <w:lang w:val="en-GB"/>
        </w:rPr>
        <w:t>:</w:t>
      </w:r>
      <w:r w:rsidR="002947B4" w:rsidRPr="00F90716">
        <w:rPr>
          <w:lang w:val="en-GB"/>
        </w:rPr>
        <w:t xml:space="preserve"> </w:t>
      </w:r>
      <w:r w:rsidR="007C5D6F" w:rsidRPr="00E07EBA">
        <w:rPr>
          <w:lang w:val="en-GB"/>
        </w:rPr>
        <w:t>C</w:t>
      </w:r>
      <w:r w:rsidR="002947B4" w:rsidRPr="00F90716">
        <w:rPr>
          <w:lang w:val="en-GB"/>
        </w:rPr>
        <w:t xml:space="preserve">redibility </w:t>
      </w:r>
      <w:r w:rsidR="007C5D6F" w:rsidRPr="00E07EBA">
        <w:rPr>
          <w:lang w:val="en-GB"/>
        </w:rPr>
        <w:t>A</w:t>
      </w:r>
      <w:r w:rsidR="002947B4" w:rsidRPr="00F90716">
        <w:rPr>
          <w:lang w:val="en-GB"/>
        </w:rPr>
        <w:t>ssessment in E</w:t>
      </w:r>
      <w:r w:rsidR="007C5D6F" w:rsidRPr="00E07EBA">
        <w:rPr>
          <w:lang w:val="en-GB"/>
        </w:rPr>
        <w:t xml:space="preserve">uropean </w:t>
      </w:r>
      <w:r w:rsidR="002947B4" w:rsidRPr="00F90716">
        <w:rPr>
          <w:lang w:val="en-GB"/>
        </w:rPr>
        <w:t>U</w:t>
      </w:r>
      <w:r w:rsidR="007C5D6F" w:rsidRPr="00E07EBA">
        <w:rPr>
          <w:lang w:val="en-GB"/>
        </w:rPr>
        <w:t>nion</w:t>
      </w:r>
      <w:r w:rsidR="002947B4" w:rsidRPr="00F90716">
        <w:rPr>
          <w:lang w:val="en-GB"/>
        </w:rPr>
        <w:t xml:space="preserve"> </w:t>
      </w:r>
      <w:r w:rsidR="007C5D6F" w:rsidRPr="00E07EBA">
        <w:rPr>
          <w:lang w:val="en-GB"/>
        </w:rPr>
        <w:t>A</w:t>
      </w:r>
      <w:r w:rsidR="002947B4" w:rsidRPr="00F90716">
        <w:rPr>
          <w:lang w:val="en-GB"/>
        </w:rPr>
        <w:t xml:space="preserve">sylum </w:t>
      </w:r>
      <w:r w:rsidR="007C5D6F" w:rsidRPr="00E07EBA">
        <w:rPr>
          <w:lang w:val="en-GB"/>
        </w:rPr>
        <w:t>S</w:t>
      </w:r>
      <w:r w:rsidR="002947B4" w:rsidRPr="00F90716">
        <w:rPr>
          <w:lang w:val="en-GB"/>
        </w:rPr>
        <w:t>ystems”,</w:t>
      </w:r>
      <w:r w:rsidR="007C5D6F" w:rsidRPr="003625FE">
        <w:rPr>
          <w:rStyle w:val="FootnoteReference"/>
        </w:rPr>
        <w:footnoteReference w:id="12"/>
      </w:r>
      <w:r w:rsidR="002947B4" w:rsidRPr="00F90716">
        <w:rPr>
          <w:lang w:val="en-GB"/>
        </w:rPr>
        <w:t xml:space="preserve"> </w:t>
      </w:r>
      <w:r w:rsidR="007C5D6F" w:rsidRPr="00E07EBA">
        <w:rPr>
          <w:lang w:val="en-GB"/>
        </w:rPr>
        <w:t xml:space="preserve">which states </w:t>
      </w:r>
      <w:r w:rsidR="002947B4" w:rsidRPr="00F90716">
        <w:rPr>
          <w:lang w:val="en-GB"/>
        </w:rPr>
        <w:t>that a finding of implausibility must be based on reasonably drawn objectively justifiable inferences</w:t>
      </w:r>
      <w:r w:rsidR="007C5D6F" w:rsidRPr="00E07EBA">
        <w:rPr>
          <w:lang w:val="en-GB"/>
        </w:rPr>
        <w:t>,</w:t>
      </w:r>
      <w:r w:rsidR="002947B4" w:rsidRPr="00F90716">
        <w:rPr>
          <w:lang w:val="en-GB"/>
        </w:rPr>
        <w:t xml:space="preserve"> </w:t>
      </w:r>
      <w:r w:rsidR="007C5D6F" w:rsidRPr="00E07EBA">
        <w:rPr>
          <w:lang w:val="en-GB"/>
        </w:rPr>
        <w:t>and that t</w:t>
      </w:r>
      <w:r w:rsidR="002947B4" w:rsidRPr="00F90716">
        <w:rPr>
          <w:lang w:val="en-GB"/>
        </w:rPr>
        <w:t>he examiner should not speculate on how events could have or should have unfolded or how the applicant or a third party ought to have behaved</w:t>
      </w:r>
      <w:r w:rsidR="00645BF6" w:rsidRPr="00F90716">
        <w:rPr>
          <w:lang w:val="en-GB"/>
        </w:rPr>
        <w:t xml:space="preserve">. The author notes that, in any event, whether </w:t>
      </w:r>
      <w:r w:rsidR="007C5D6F" w:rsidRPr="00E07EBA">
        <w:rPr>
          <w:lang w:val="en-GB"/>
        </w:rPr>
        <w:t xml:space="preserve">or not </w:t>
      </w:r>
      <w:r w:rsidR="00645BF6" w:rsidRPr="00F90716">
        <w:rPr>
          <w:lang w:val="en-GB"/>
        </w:rPr>
        <w:t>his brother</w:t>
      </w:r>
      <w:r w:rsidR="007C5D6F" w:rsidRPr="00E07EBA">
        <w:rPr>
          <w:lang w:val="en-GB"/>
        </w:rPr>
        <w:t>-</w:t>
      </w:r>
      <w:r w:rsidR="00645BF6" w:rsidRPr="00F90716">
        <w:rPr>
          <w:lang w:val="en-GB"/>
        </w:rPr>
        <w:t>in</w:t>
      </w:r>
      <w:r w:rsidR="007C5D6F" w:rsidRPr="00E07EBA">
        <w:rPr>
          <w:lang w:val="en-GB"/>
        </w:rPr>
        <w:t>-</w:t>
      </w:r>
      <w:r w:rsidR="00645BF6" w:rsidRPr="00F90716">
        <w:rPr>
          <w:lang w:val="en-GB"/>
        </w:rPr>
        <w:t xml:space="preserve">law was killed because of the author’s conflict with </w:t>
      </w:r>
      <w:r w:rsidR="0068724A" w:rsidRPr="00F90716">
        <w:rPr>
          <w:lang w:val="en-GB"/>
        </w:rPr>
        <w:t>A.M.W</w:t>
      </w:r>
      <w:r w:rsidR="00A66370" w:rsidRPr="00E07EBA">
        <w:rPr>
          <w:lang w:val="en-GB"/>
        </w:rPr>
        <w:t>.</w:t>
      </w:r>
      <w:r w:rsidR="00645BF6" w:rsidRPr="00F90716">
        <w:rPr>
          <w:lang w:val="en-GB"/>
        </w:rPr>
        <w:t xml:space="preserve"> is not the key issue in the case. It is </w:t>
      </w:r>
      <w:r w:rsidR="007C5D6F" w:rsidRPr="00E07EBA">
        <w:rPr>
          <w:lang w:val="en-GB"/>
        </w:rPr>
        <w:t>im</w:t>
      </w:r>
      <w:r w:rsidR="005E4A9A" w:rsidRPr="00F90716">
        <w:rPr>
          <w:lang w:val="en-GB"/>
        </w:rPr>
        <w:t>possible for the author</w:t>
      </w:r>
      <w:r w:rsidR="00645BF6" w:rsidRPr="00F90716">
        <w:rPr>
          <w:lang w:val="en-GB"/>
        </w:rPr>
        <w:t xml:space="preserve"> </w:t>
      </w:r>
      <w:r w:rsidR="007C5D6F" w:rsidRPr="00E07EBA">
        <w:rPr>
          <w:lang w:val="en-GB"/>
        </w:rPr>
        <w:t xml:space="preserve">or </w:t>
      </w:r>
      <w:r w:rsidR="00645BF6" w:rsidRPr="00F90716">
        <w:rPr>
          <w:lang w:val="en-GB"/>
        </w:rPr>
        <w:t>the Kandahar police to establish and fully document the circumstances of the killing of the author’s brother</w:t>
      </w:r>
      <w:r w:rsidR="007C5D6F" w:rsidRPr="00E07EBA">
        <w:rPr>
          <w:lang w:val="en-GB"/>
        </w:rPr>
        <w:t>-</w:t>
      </w:r>
      <w:r w:rsidR="00645BF6" w:rsidRPr="00F90716">
        <w:rPr>
          <w:lang w:val="en-GB"/>
        </w:rPr>
        <w:t>in</w:t>
      </w:r>
      <w:r w:rsidR="007C5D6F" w:rsidRPr="00E07EBA">
        <w:rPr>
          <w:lang w:val="en-GB"/>
        </w:rPr>
        <w:t>-</w:t>
      </w:r>
      <w:r w:rsidR="00645BF6" w:rsidRPr="00F90716">
        <w:rPr>
          <w:lang w:val="en-GB"/>
        </w:rPr>
        <w:t xml:space="preserve">law. However, </w:t>
      </w:r>
      <w:r w:rsidR="00645BF6" w:rsidRPr="00F90716">
        <w:rPr>
          <w:iCs/>
          <w:lang w:val="en-GB"/>
        </w:rPr>
        <w:t>it cannot be excluded that he was killed as an act of retaliation for the author’s work as an</w:t>
      </w:r>
      <w:r w:rsidR="00645BF6" w:rsidRPr="00F90716">
        <w:rPr>
          <w:lang w:val="en-GB"/>
        </w:rPr>
        <w:t xml:space="preserve"> interpreter. The most important element is the question of the risk faced by the author upon return. </w:t>
      </w:r>
    </w:p>
    <w:p w:rsidR="0044050D" w:rsidRPr="00E07EBA" w:rsidRDefault="00A86D28" w:rsidP="007C5D6F">
      <w:pPr>
        <w:pStyle w:val="SingleTxtG"/>
        <w:rPr>
          <w:lang w:val="en-GB"/>
        </w:rPr>
      </w:pPr>
      <w:r w:rsidRPr="00F90716">
        <w:rPr>
          <w:lang w:val="en-GB"/>
        </w:rPr>
        <w:t>5.3</w:t>
      </w:r>
      <w:r w:rsidR="005E4A9A" w:rsidRPr="00F90716">
        <w:rPr>
          <w:lang w:val="en-GB"/>
        </w:rPr>
        <w:tab/>
        <w:t xml:space="preserve">Concerning the issue of dates, the author recalls that he </w:t>
      </w:r>
      <w:r w:rsidR="007C5D6F" w:rsidRPr="00E07EBA">
        <w:rPr>
          <w:lang w:val="en-GB"/>
        </w:rPr>
        <w:t xml:space="preserve">worked </w:t>
      </w:r>
      <w:r w:rsidR="00945445" w:rsidRPr="00F90716">
        <w:rPr>
          <w:lang w:val="en-GB"/>
        </w:rPr>
        <w:t xml:space="preserve">with the Afghan police from the beginning of 2009 until the beginning of 2010. He was </w:t>
      </w:r>
      <w:r w:rsidR="007C5D6F" w:rsidRPr="00E07EBA">
        <w:rPr>
          <w:lang w:val="en-GB"/>
        </w:rPr>
        <w:t xml:space="preserve">later </w:t>
      </w:r>
      <w:r w:rsidR="00945445" w:rsidRPr="00F90716">
        <w:rPr>
          <w:lang w:val="en-GB"/>
        </w:rPr>
        <w:t xml:space="preserve">employed </w:t>
      </w:r>
      <w:r w:rsidR="007C5D6F" w:rsidRPr="00E07EBA">
        <w:rPr>
          <w:lang w:val="en-GB"/>
        </w:rPr>
        <w:t xml:space="preserve">by </w:t>
      </w:r>
      <w:r w:rsidR="000001E9" w:rsidRPr="00E07EBA">
        <w:rPr>
          <w:lang w:val="en-GB"/>
        </w:rPr>
        <w:t>Mission Essential Personnel</w:t>
      </w:r>
      <w:r w:rsidR="00945445" w:rsidRPr="00F90716">
        <w:rPr>
          <w:lang w:val="en-GB"/>
        </w:rPr>
        <w:t xml:space="preserve">, which </w:t>
      </w:r>
      <w:r w:rsidR="007C5D6F" w:rsidRPr="00E07EBA">
        <w:rPr>
          <w:lang w:val="en-GB"/>
        </w:rPr>
        <w:t xml:space="preserve">establishes </w:t>
      </w:r>
      <w:r w:rsidR="00945445" w:rsidRPr="00F90716">
        <w:rPr>
          <w:lang w:val="en-GB"/>
        </w:rPr>
        <w:t xml:space="preserve">contracts </w:t>
      </w:r>
      <w:r w:rsidR="007C5D6F" w:rsidRPr="00E07EBA">
        <w:rPr>
          <w:lang w:val="en-GB"/>
        </w:rPr>
        <w:t xml:space="preserve">between </w:t>
      </w:r>
      <w:r w:rsidR="00945445" w:rsidRPr="00F90716">
        <w:rPr>
          <w:lang w:val="en-GB"/>
        </w:rPr>
        <w:t xml:space="preserve">interpreters and companies, in this case the </w:t>
      </w:r>
      <w:r w:rsidR="00E520C9" w:rsidRPr="00E07EBA">
        <w:rPr>
          <w:lang w:val="en-GB"/>
        </w:rPr>
        <w:t xml:space="preserve">United States </w:t>
      </w:r>
      <w:r w:rsidR="00945445" w:rsidRPr="00F90716">
        <w:rPr>
          <w:lang w:val="en-GB"/>
        </w:rPr>
        <w:t xml:space="preserve">and </w:t>
      </w:r>
      <w:r w:rsidR="00E520C9" w:rsidRPr="00E07EBA">
        <w:rPr>
          <w:lang w:val="en-GB"/>
        </w:rPr>
        <w:t>i</w:t>
      </w:r>
      <w:r w:rsidR="00945445" w:rsidRPr="00F90716">
        <w:rPr>
          <w:lang w:val="en-GB"/>
        </w:rPr>
        <w:t xml:space="preserve">nternational </w:t>
      </w:r>
      <w:r w:rsidR="00E520C9" w:rsidRPr="00E07EBA">
        <w:rPr>
          <w:lang w:val="en-GB"/>
        </w:rPr>
        <w:t>s</w:t>
      </w:r>
      <w:r w:rsidR="00945445" w:rsidRPr="00F90716">
        <w:rPr>
          <w:lang w:val="en-GB"/>
        </w:rPr>
        <w:t xml:space="preserve">ecurity </w:t>
      </w:r>
      <w:r w:rsidR="00E520C9" w:rsidRPr="00E07EBA">
        <w:rPr>
          <w:lang w:val="en-GB"/>
        </w:rPr>
        <w:t>f</w:t>
      </w:r>
      <w:r w:rsidR="00945445" w:rsidRPr="00F90716">
        <w:rPr>
          <w:lang w:val="en-GB"/>
        </w:rPr>
        <w:t xml:space="preserve">orces. In other words, the author was employed with </w:t>
      </w:r>
      <w:r w:rsidR="000001E9" w:rsidRPr="00E07EBA">
        <w:rPr>
          <w:lang w:val="en-GB"/>
        </w:rPr>
        <w:t>Mission Essential Personnel</w:t>
      </w:r>
      <w:r w:rsidR="00945445" w:rsidRPr="00F90716">
        <w:rPr>
          <w:lang w:val="en-GB"/>
        </w:rPr>
        <w:t xml:space="preserve"> but on contract with the </w:t>
      </w:r>
      <w:r w:rsidR="00E520C9" w:rsidRPr="00E07EBA">
        <w:rPr>
          <w:lang w:val="en-GB"/>
        </w:rPr>
        <w:t xml:space="preserve">United States </w:t>
      </w:r>
      <w:r w:rsidR="00945445" w:rsidRPr="00F90716">
        <w:rPr>
          <w:lang w:val="en-GB"/>
        </w:rPr>
        <w:t xml:space="preserve">and </w:t>
      </w:r>
      <w:r w:rsidR="00E520C9" w:rsidRPr="00E07EBA">
        <w:rPr>
          <w:lang w:val="en-GB"/>
        </w:rPr>
        <w:t xml:space="preserve">international security forces </w:t>
      </w:r>
      <w:r w:rsidR="00945445" w:rsidRPr="00F90716">
        <w:rPr>
          <w:lang w:val="en-GB"/>
        </w:rPr>
        <w:t>from the beginning of 2010 until May 2011.</w:t>
      </w:r>
    </w:p>
    <w:p w:rsidR="007854DE" w:rsidRPr="00E07EBA" w:rsidRDefault="00AB0F9E" w:rsidP="007C5D6F">
      <w:pPr>
        <w:pStyle w:val="SingleTxtG"/>
        <w:rPr>
          <w:lang w:val="en-GB"/>
        </w:rPr>
      </w:pPr>
      <w:r w:rsidRPr="00F90716">
        <w:rPr>
          <w:lang w:val="en-GB"/>
        </w:rPr>
        <w:t>5.4</w:t>
      </w:r>
      <w:r w:rsidR="0044050D" w:rsidRPr="00F90716">
        <w:rPr>
          <w:lang w:val="en-GB"/>
        </w:rPr>
        <w:tab/>
        <w:t>The author worked in three different teams</w:t>
      </w:r>
      <w:r w:rsidR="007C5D6F" w:rsidRPr="00E07EBA">
        <w:rPr>
          <w:lang w:val="en-GB"/>
        </w:rPr>
        <w:t>:</w:t>
      </w:r>
      <w:r w:rsidR="0044050D" w:rsidRPr="00F90716">
        <w:rPr>
          <w:lang w:val="en-GB"/>
        </w:rPr>
        <w:t xml:space="preserve"> </w:t>
      </w:r>
      <w:r w:rsidR="007C5D6F" w:rsidRPr="00E07EBA">
        <w:rPr>
          <w:lang w:val="en-GB"/>
        </w:rPr>
        <w:t xml:space="preserve">first </w:t>
      </w:r>
      <w:r w:rsidR="0044050D" w:rsidRPr="00F90716">
        <w:rPr>
          <w:lang w:val="en-GB"/>
        </w:rPr>
        <w:t xml:space="preserve">in Laghman camp, </w:t>
      </w:r>
      <w:r w:rsidR="007C5D6F" w:rsidRPr="00E07EBA">
        <w:rPr>
          <w:lang w:val="en-GB"/>
        </w:rPr>
        <w:t xml:space="preserve">then </w:t>
      </w:r>
      <w:r w:rsidR="00800EB9">
        <w:rPr>
          <w:lang w:val="en-GB"/>
        </w:rPr>
        <w:t>after six </w:t>
      </w:r>
      <w:r w:rsidR="0044050D" w:rsidRPr="00F90716">
        <w:rPr>
          <w:lang w:val="en-GB"/>
        </w:rPr>
        <w:t xml:space="preserve">months he joined a team at the Qalat </w:t>
      </w:r>
      <w:r w:rsidR="006675A7" w:rsidRPr="00E07EBA">
        <w:rPr>
          <w:lang w:val="en-GB"/>
        </w:rPr>
        <w:t>p</w:t>
      </w:r>
      <w:r w:rsidR="0044050D" w:rsidRPr="00F90716">
        <w:rPr>
          <w:lang w:val="en-GB"/>
        </w:rPr>
        <w:t>olice</w:t>
      </w:r>
      <w:r w:rsidRPr="00F90716">
        <w:rPr>
          <w:lang w:val="en-GB"/>
        </w:rPr>
        <w:t xml:space="preserve"> </w:t>
      </w:r>
      <w:r w:rsidR="006675A7" w:rsidRPr="00E07EBA">
        <w:rPr>
          <w:lang w:val="en-GB"/>
        </w:rPr>
        <w:t>h</w:t>
      </w:r>
      <w:r w:rsidRPr="00F90716">
        <w:rPr>
          <w:lang w:val="en-GB"/>
        </w:rPr>
        <w:t xml:space="preserve">eadquarters, under the leadership of </w:t>
      </w:r>
      <w:r w:rsidR="0068724A" w:rsidRPr="00F90716">
        <w:rPr>
          <w:lang w:val="en-GB"/>
        </w:rPr>
        <w:t>J.S</w:t>
      </w:r>
      <w:r w:rsidR="0044050D" w:rsidRPr="00F90716">
        <w:rPr>
          <w:lang w:val="en-GB"/>
        </w:rPr>
        <w:t>.</w:t>
      </w:r>
      <w:r w:rsidR="007C5D6F" w:rsidRPr="00E07EBA">
        <w:rPr>
          <w:lang w:val="en-GB"/>
        </w:rPr>
        <w:t>,</w:t>
      </w:r>
      <w:r w:rsidR="0044050D" w:rsidRPr="00F90716">
        <w:rPr>
          <w:lang w:val="en-GB"/>
        </w:rPr>
        <w:t xml:space="preserve"> </w:t>
      </w:r>
      <w:r w:rsidR="007C5D6F" w:rsidRPr="00E07EBA">
        <w:rPr>
          <w:lang w:val="en-GB"/>
        </w:rPr>
        <w:t>and finally a</w:t>
      </w:r>
      <w:r w:rsidR="0044050D" w:rsidRPr="00F90716">
        <w:rPr>
          <w:lang w:val="en-GB"/>
        </w:rPr>
        <w:t xml:space="preserve">fter </w:t>
      </w:r>
      <w:r w:rsidR="007C5D6F" w:rsidRPr="00E07EBA">
        <w:rPr>
          <w:lang w:val="en-GB"/>
        </w:rPr>
        <w:t xml:space="preserve">a further </w:t>
      </w:r>
      <w:r w:rsidR="0044050D" w:rsidRPr="00F90716">
        <w:rPr>
          <w:lang w:val="en-GB"/>
        </w:rPr>
        <w:t xml:space="preserve">two months the author was </w:t>
      </w:r>
      <w:r w:rsidR="007C5D6F" w:rsidRPr="00E07EBA">
        <w:rPr>
          <w:lang w:val="en-GB"/>
        </w:rPr>
        <w:t xml:space="preserve">informed </w:t>
      </w:r>
      <w:r w:rsidR="0044050D" w:rsidRPr="00F90716">
        <w:rPr>
          <w:lang w:val="en-GB"/>
        </w:rPr>
        <w:t xml:space="preserve">that he should interpret for the </w:t>
      </w:r>
      <w:r w:rsidR="007C5D6F" w:rsidRPr="00E07EBA">
        <w:rPr>
          <w:lang w:val="en-GB"/>
        </w:rPr>
        <w:t>i</w:t>
      </w:r>
      <w:r w:rsidR="0044050D" w:rsidRPr="00F90716">
        <w:rPr>
          <w:lang w:val="en-GB"/>
        </w:rPr>
        <w:t xml:space="preserve">ntelligence </w:t>
      </w:r>
      <w:r w:rsidR="007C5D6F" w:rsidRPr="00E07EBA">
        <w:rPr>
          <w:lang w:val="en-GB"/>
        </w:rPr>
        <w:t>s</w:t>
      </w:r>
      <w:r w:rsidR="0044050D" w:rsidRPr="00F90716">
        <w:rPr>
          <w:lang w:val="en-GB"/>
        </w:rPr>
        <w:t xml:space="preserve">ervice, under </w:t>
      </w:r>
      <w:r w:rsidR="0068724A" w:rsidRPr="00F90716">
        <w:rPr>
          <w:lang w:val="en-GB"/>
        </w:rPr>
        <w:t>M.W</w:t>
      </w:r>
      <w:r w:rsidR="0044050D" w:rsidRPr="00F90716">
        <w:rPr>
          <w:lang w:val="en-GB"/>
        </w:rPr>
        <w:t xml:space="preserve">. </w:t>
      </w:r>
    </w:p>
    <w:p w:rsidR="00CB4374" w:rsidRPr="00E07EBA" w:rsidRDefault="00A86D28" w:rsidP="007C5D6F">
      <w:pPr>
        <w:pStyle w:val="SingleTxtG"/>
        <w:rPr>
          <w:lang w:val="en-GB"/>
        </w:rPr>
      </w:pPr>
      <w:r w:rsidRPr="00F90716">
        <w:rPr>
          <w:lang w:val="en-GB"/>
        </w:rPr>
        <w:t>5.</w:t>
      </w:r>
      <w:r w:rsidR="00AB0F9E" w:rsidRPr="00F90716">
        <w:rPr>
          <w:lang w:val="en-GB"/>
        </w:rPr>
        <w:t>5</w:t>
      </w:r>
      <w:r w:rsidRPr="00F90716">
        <w:rPr>
          <w:lang w:val="en-GB"/>
        </w:rPr>
        <w:tab/>
        <w:t xml:space="preserve">The State party has relied on the </w:t>
      </w:r>
      <w:r w:rsidR="0008593B" w:rsidRPr="00E07EBA">
        <w:rPr>
          <w:lang w:val="en-GB"/>
        </w:rPr>
        <w:t>refugee appeals board</w:t>
      </w:r>
      <w:r w:rsidRPr="00F90716">
        <w:rPr>
          <w:lang w:val="en-GB"/>
        </w:rPr>
        <w:t xml:space="preserve">’s decision of 2 March 2015 to challenge the author’s credibility with respect to dates. </w:t>
      </w:r>
      <w:r w:rsidR="007C5D6F" w:rsidRPr="00E07EBA">
        <w:rPr>
          <w:lang w:val="en-GB"/>
        </w:rPr>
        <w:t>I</w:t>
      </w:r>
      <w:r w:rsidRPr="00F90716">
        <w:rPr>
          <w:lang w:val="en-GB"/>
        </w:rPr>
        <w:t xml:space="preserve">n particular, </w:t>
      </w:r>
      <w:r w:rsidR="007C5D6F" w:rsidRPr="00E07EBA">
        <w:rPr>
          <w:lang w:val="en-GB"/>
        </w:rPr>
        <w:t xml:space="preserve">it has referred </w:t>
      </w:r>
      <w:r w:rsidRPr="00F90716">
        <w:rPr>
          <w:lang w:val="en-GB"/>
        </w:rPr>
        <w:t xml:space="preserve">to a letter of recommendation from </w:t>
      </w:r>
      <w:r w:rsidR="0068724A" w:rsidRPr="00F90716">
        <w:rPr>
          <w:lang w:val="en-GB"/>
        </w:rPr>
        <w:t>J.S</w:t>
      </w:r>
      <w:r w:rsidR="00FC1305" w:rsidRPr="00E07EBA">
        <w:rPr>
          <w:lang w:val="en-GB"/>
        </w:rPr>
        <w:t>.</w:t>
      </w:r>
      <w:r w:rsidRPr="00F90716">
        <w:rPr>
          <w:lang w:val="en-GB"/>
        </w:rPr>
        <w:t xml:space="preserve">, which stated that the author </w:t>
      </w:r>
      <w:r w:rsidR="007C5D6F" w:rsidRPr="00E07EBA">
        <w:rPr>
          <w:lang w:val="en-GB"/>
        </w:rPr>
        <w:t xml:space="preserve">had </w:t>
      </w:r>
      <w:r w:rsidRPr="00F90716">
        <w:rPr>
          <w:lang w:val="en-GB"/>
        </w:rPr>
        <w:t xml:space="preserve">worked as an interpreter for </w:t>
      </w:r>
      <w:r w:rsidR="005909E6" w:rsidRPr="00E07EBA">
        <w:rPr>
          <w:lang w:val="en-GB"/>
        </w:rPr>
        <w:t>international security forces</w:t>
      </w:r>
      <w:r w:rsidRPr="00F90716">
        <w:rPr>
          <w:lang w:val="en-GB"/>
        </w:rPr>
        <w:t xml:space="preserve"> </w:t>
      </w:r>
      <w:r w:rsidR="007C5D6F" w:rsidRPr="00E07EBA">
        <w:rPr>
          <w:lang w:val="en-GB"/>
        </w:rPr>
        <w:t xml:space="preserve">at </w:t>
      </w:r>
      <w:r w:rsidRPr="00F90716">
        <w:rPr>
          <w:lang w:val="en-GB"/>
        </w:rPr>
        <w:t xml:space="preserve">Qalat police </w:t>
      </w:r>
      <w:r w:rsidR="006675A7" w:rsidRPr="00E07EBA">
        <w:rPr>
          <w:lang w:val="en-GB"/>
        </w:rPr>
        <w:t>h</w:t>
      </w:r>
      <w:r w:rsidRPr="00F90716">
        <w:rPr>
          <w:lang w:val="en-GB"/>
        </w:rPr>
        <w:t xml:space="preserve">eadquarters </w:t>
      </w:r>
      <w:r w:rsidR="007C5D6F" w:rsidRPr="00E07EBA">
        <w:rPr>
          <w:lang w:val="en-GB"/>
        </w:rPr>
        <w:t xml:space="preserve">in </w:t>
      </w:r>
      <w:r w:rsidRPr="00F90716">
        <w:rPr>
          <w:lang w:val="en-GB"/>
        </w:rPr>
        <w:t>Zabul</w:t>
      </w:r>
      <w:r w:rsidR="007F2EE2">
        <w:rPr>
          <w:lang w:val="en-GB"/>
        </w:rPr>
        <w:t xml:space="preserve"> from 1 </w:t>
      </w:r>
      <w:r w:rsidRPr="00F90716">
        <w:rPr>
          <w:lang w:val="en-GB"/>
        </w:rPr>
        <w:t xml:space="preserve">July 2010 to </w:t>
      </w:r>
      <w:r w:rsidR="00660F12" w:rsidRPr="00E07EBA">
        <w:rPr>
          <w:lang w:val="en-GB"/>
        </w:rPr>
        <w:t>31 May</w:t>
      </w:r>
      <w:r w:rsidRPr="00F90716">
        <w:rPr>
          <w:lang w:val="en-GB"/>
        </w:rPr>
        <w:t xml:space="preserve"> 2011. The </w:t>
      </w:r>
      <w:r w:rsidR="0008593B" w:rsidRPr="00E07EBA">
        <w:rPr>
          <w:lang w:val="en-GB"/>
        </w:rPr>
        <w:t>board</w:t>
      </w:r>
      <w:r w:rsidRPr="00F90716">
        <w:rPr>
          <w:lang w:val="en-GB"/>
        </w:rPr>
        <w:t xml:space="preserve"> also relied on the author’s interview of 13 January 2012 before the Danish </w:t>
      </w:r>
      <w:r w:rsidR="00E520C9" w:rsidRPr="00E07EBA">
        <w:rPr>
          <w:lang w:val="en-GB"/>
        </w:rPr>
        <w:t>i</w:t>
      </w:r>
      <w:r w:rsidRPr="00F90716">
        <w:rPr>
          <w:lang w:val="en-GB"/>
        </w:rPr>
        <w:t xml:space="preserve">mmigration </w:t>
      </w:r>
      <w:r w:rsidR="00E520C9" w:rsidRPr="00E07EBA">
        <w:rPr>
          <w:lang w:val="en-GB"/>
        </w:rPr>
        <w:t>s</w:t>
      </w:r>
      <w:r w:rsidRPr="00F90716">
        <w:rPr>
          <w:lang w:val="en-GB"/>
        </w:rPr>
        <w:t xml:space="preserve">ervice, during which the author claimed he </w:t>
      </w:r>
      <w:r w:rsidR="007C5D6F" w:rsidRPr="00E07EBA">
        <w:rPr>
          <w:lang w:val="en-GB"/>
        </w:rPr>
        <w:t xml:space="preserve">had </w:t>
      </w:r>
      <w:r w:rsidRPr="00F90716">
        <w:rPr>
          <w:lang w:val="en-GB"/>
        </w:rPr>
        <w:t xml:space="preserve">started working for the intelligence service around March 2011 and therefore then no longer worked with </w:t>
      </w:r>
      <w:r w:rsidR="0068724A" w:rsidRPr="00F90716">
        <w:rPr>
          <w:lang w:val="en-GB"/>
        </w:rPr>
        <w:t>J.S</w:t>
      </w:r>
      <w:r w:rsidRPr="00F90716">
        <w:rPr>
          <w:lang w:val="en-GB"/>
        </w:rPr>
        <w:t>.</w:t>
      </w:r>
      <w:r w:rsidR="00CB4374" w:rsidRPr="00F90716">
        <w:rPr>
          <w:lang w:val="en-GB"/>
        </w:rPr>
        <w:t xml:space="preserve"> </w:t>
      </w:r>
    </w:p>
    <w:p w:rsidR="005E1A5E" w:rsidRPr="00E07EBA" w:rsidRDefault="00DB2E2F" w:rsidP="0023020A">
      <w:pPr>
        <w:pStyle w:val="SingleTxtG"/>
        <w:rPr>
          <w:lang w:val="en-GB"/>
        </w:rPr>
      </w:pPr>
      <w:r w:rsidRPr="00F90716">
        <w:rPr>
          <w:lang w:val="en-GB"/>
        </w:rPr>
        <w:t>5.6</w:t>
      </w:r>
      <w:r w:rsidR="00CB4374" w:rsidRPr="00F90716">
        <w:rPr>
          <w:lang w:val="en-GB"/>
        </w:rPr>
        <w:tab/>
        <w:t xml:space="preserve">The author submits that he correctly asserted before the Danish </w:t>
      </w:r>
      <w:r w:rsidR="00E520C9" w:rsidRPr="00E07EBA">
        <w:rPr>
          <w:lang w:val="en-GB"/>
        </w:rPr>
        <w:t>i</w:t>
      </w:r>
      <w:r w:rsidR="00CB4374" w:rsidRPr="00F90716">
        <w:rPr>
          <w:lang w:val="en-GB"/>
        </w:rPr>
        <w:t xml:space="preserve">mmigration </w:t>
      </w:r>
      <w:r w:rsidR="00E520C9" w:rsidRPr="00E07EBA">
        <w:rPr>
          <w:lang w:val="en-GB"/>
        </w:rPr>
        <w:t>s</w:t>
      </w:r>
      <w:r w:rsidR="00CB4374" w:rsidRPr="00F90716">
        <w:rPr>
          <w:lang w:val="en-GB"/>
        </w:rPr>
        <w:t xml:space="preserve">ervice that he </w:t>
      </w:r>
      <w:r w:rsidR="007C5D6F" w:rsidRPr="00E07EBA">
        <w:rPr>
          <w:lang w:val="en-GB"/>
        </w:rPr>
        <w:t xml:space="preserve">had </w:t>
      </w:r>
      <w:r w:rsidR="00CB4374" w:rsidRPr="00F90716">
        <w:rPr>
          <w:lang w:val="en-GB"/>
        </w:rPr>
        <w:t xml:space="preserve">started working for the intelligence service around </w:t>
      </w:r>
      <w:r w:rsidR="00A04159" w:rsidRPr="00F90716">
        <w:rPr>
          <w:lang w:val="en-GB"/>
        </w:rPr>
        <w:t>M</w:t>
      </w:r>
      <w:r w:rsidR="00CB4374" w:rsidRPr="00F90716">
        <w:rPr>
          <w:lang w:val="en-GB"/>
        </w:rPr>
        <w:t xml:space="preserve">arch 2011. </w:t>
      </w:r>
      <w:r w:rsidR="00A04159" w:rsidRPr="00F90716">
        <w:rPr>
          <w:lang w:val="en-GB"/>
        </w:rPr>
        <w:t xml:space="preserve">He did not mention that he no longer worked with </w:t>
      </w:r>
      <w:r w:rsidR="0068724A" w:rsidRPr="00F90716">
        <w:rPr>
          <w:lang w:val="en-GB"/>
        </w:rPr>
        <w:t>J.S</w:t>
      </w:r>
      <w:r w:rsidR="00A04159" w:rsidRPr="00F90716">
        <w:rPr>
          <w:lang w:val="en-GB"/>
        </w:rPr>
        <w:t>.</w:t>
      </w:r>
      <w:r w:rsidR="00A9586B" w:rsidRPr="00E07EBA">
        <w:rPr>
          <w:lang w:val="en-GB"/>
        </w:rPr>
        <w:t>,</w:t>
      </w:r>
      <w:r w:rsidR="00A04159" w:rsidRPr="00F90716">
        <w:rPr>
          <w:lang w:val="en-GB"/>
        </w:rPr>
        <w:t xml:space="preserve"> </w:t>
      </w:r>
      <w:r w:rsidR="00A9586B" w:rsidRPr="00E07EBA">
        <w:rPr>
          <w:lang w:val="en-GB"/>
        </w:rPr>
        <w:t xml:space="preserve">and </w:t>
      </w:r>
      <w:r w:rsidR="0023020A" w:rsidRPr="00E07EBA">
        <w:rPr>
          <w:lang w:val="en-GB"/>
        </w:rPr>
        <w:t xml:space="preserve">that was simply </w:t>
      </w:r>
      <w:r w:rsidR="00A04159" w:rsidRPr="00F90716">
        <w:rPr>
          <w:lang w:val="en-GB"/>
        </w:rPr>
        <w:t xml:space="preserve">the </w:t>
      </w:r>
      <w:r w:rsidR="0023020A" w:rsidRPr="00E07EBA">
        <w:rPr>
          <w:lang w:val="en-GB"/>
        </w:rPr>
        <w:t xml:space="preserve">conclusion of the </w:t>
      </w:r>
      <w:r w:rsidR="0008593B" w:rsidRPr="00E07EBA">
        <w:rPr>
          <w:lang w:val="en-GB"/>
        </w:rPr>
        <w:t>refugee appeals board</w:t>
      </w:r>
      <w:r w:rsidR="00A04159" w:rsidRPr="00F90716">
        <w:rPr>
          <w:lang w:val="en-GB"/>
        </w:rPr>
        <w:t xml:space="preserve">. </w:t>
      </w:r>
      <w:r w:rsidR="0023020A" w:rsidRPr="00E07EBA">
        <w:rPr>
          <w:lang w:val="en-GB"/>
        </w:rPr>
        <w:t xml:space="preserve">In fact, </w:t>
      </w:r>
      <w:r w:rsidR="0068724A" w:rsidRPr="00F90716">
        <w:rPr>
          <w:lang w:val="en-GB"/>
        </w:rPr>
        <w:t>J.S</w:t>
      </w:r>
      <w:r w:rsidR="00FC1305" w:rsidRPr="00E07EBA">
        <w:rPr>
          <w:lang w:val="en-GB"/>
        </w:rPr>
        <w:t>.</w:t>
      </w:r>
      <w:r w:rsidR="005062DA" w:rsidRPr="00F90716">
        <w:rPr>
          <w:lang w:val="en-GB"/>
        </w:rPr>
        <w:t xml:space="preserve"> was the head officer of all troops </w:t>
      </w:r>
      <w:r w:rsidR="0023020A" w:rsidRPr="00E07EBA">
        <w:rPr>
          <w:lang w:val="en-GB"/>
        </w:rPr>
        <w:t xml:space="preserve">at </w:t>
      </w:r>
      <w:r w:rsidR="005062DA" w:rsidRPr="00F90716">
        <w:rPr>
          <w:lang w:val="en-GB"/>
        </w:rPr>
        <w:t xml:space="preserve">the Qalat police </w:t>
      </w:r>
      <w:r w:rsidR="006675A7" w:rsidRPr="00E07EBA">
        <w:rPr>
          <w:lang w:val="en-GB"/>
        </w:rPr>
        <w:t>h</w:t>
      </w:r>
      <w:r w:rsidR="005062DA" w:rsidRPr="00F90716">
        <w:rPr>
          <w:lang w:val="en-GB"/>
        </w:rPr>
        <w:t xml:space="preserve">eadquarters </w:t>
      </w:r>
      <w:r w:rsidR="006675A7" w:rsidRPr="00E07EBA">
        <w:rPr>
          <w:lang w:val="en-GB"/>
        </w:rPr>
        <w:t xml:space="preserve">in </w:t>
      </w:r>
      <w:r w:rsidR="005062DA" w:rsidRPr="00F90716">
        <w:rPr>
          <w:lang w:val="en-GB"/>
        </w:rPr>
        <w:t xml:space="preserve">Zabul, including the </w:t>
      </w:r>
      <w:r w:rsidR="0023020A" w:rsidRPr="00E07EBA">
        <w:rPr>
          <w:lang w:val="en-GB"/>
        </w:rPr>
        <w:t>i</w:t>
      </w:r>
      <w:r w:rsidR="005062DA" w:rsidRPr="00F90716">
        <w:rPr>
          <w:lang w:val="en-GB"/>
        </w:rPr>
        <w:t xml:space="preserve">ntelligence </w:t>
      </w:r>
      <w:r w:rsidR="0023020A" w:rsidRPr="00E07EBA">
        <w:rPr>
          <w:lang w:val="en-GB"/>
        </w:rPr>
        <w:t>s</w:t>
      </w:r>
      <w:r w:rsidR="005062DA" w:rsidRPr="00F90716">
        <w:rPr>
          <w:lang w:val="en-GB"/>
        </w:rPr>
        <w:t xml:space="preserve">ervice. The author </w:t>
      </w:r>
      <w:r w:rsidR="0023020A" w:rsidRPr="00E07EBA">
        <w:rPr>
          <w:lang w:val="en-GB"/>
        </w:rPr>
        <w:t xml:space="preserve">worked </w:t>
      </w:r>
      <w:r w:rsidR="005062DA" w:rsidRPr="00F90716">
        <w:rPr>
          <w:lang w:val="en-GB"/>
        </w:rPr>
        <w:t xml:space="preserve">under different supervisors, but worked </w:t>
      </w:r>
      <w:r w:rsidR="0023020A" w:rsidRPr="00E07EBA">
        <w:rPr>
          <w:lang w:val="en-GB"/>
        </w:rPr>
        <w:t xml:space="preserve">at </w:t>
      </w:r>
      <w:r w:rsidR="005062DA" w:rsidRPr="00F90716">
        <w:rPr>
          <w:lang w:val="en-GB"/>
        </w:rPr>
        <w:t xml:space="preserve">Qalat police </w:t>
      </w:r>
      <w:r w:rsidR="00A75A1B" w:rsidRPr="00E07EBA">
        <w:rPr>
          <w:lang w:val="en-GB"/>
        </w:rPr>
        <w:t>h</w:t>
      </w:r>
      <w:r w:rsidR="005062DA" w:rsidRPr="00F90716">
        <w:rPr>
          <w:lang w:val="en-GB"/>
        </w:rPr>
        <w:t xml:space="preserve">eadquarters from July 2010 until May 2011. </w:t>
      </w:r>
    </w:p>
    <w:p w:rsidR="00622476" w:rsidRPr="00F90716" w:rsidRDefault="00DB2E2F" w:rsidP="00242753">
      <w:pPr>
        <w:pStyle w:val="SingleTxtG"/>
        <w:rPr>
          <w:lang w:val="en-GB"/>
        </w:rPr>
      </w:pPr>
      <w:r w:rsidRPr="00F90716">
        <w:rPr>
          <w:lang w:val="en-GB"/>
        </w:rPr>
        <w:t>5.7</w:t>
      </w:r>
      <w:r w:rsidR="005E1A5E" w:rsidRPr="00F90716">
        <w:rPr>
          <w:lang w:val="en-GB"/>
        </w:rPr>
        <w:tab/>
        <w:t xml:space="preserve">The undated letter of recommendation from </w:t>
      </w:r>
      <w:r w:rsidR="0068724A" w:rsidRPr="00F90716">
        <w:rPr>
          <w:lang w:val="en-GB"/>
        </w:rPr>
        <w:t>J.S</w:t>
      </w:r>
      <w:r w:rsidR="00FC1305" w:rsidRPr="00E07EBA">
        <w:rPr>
          <w:lang w:val="en-GB"/>
        </w:rPr>
        <w:t>.</w:t>
      </w:r>
      <w:r w:rsidR="005E1A5E" w:rsidRPr="00F90716">
        <w:rPr>
          <w:lang w:val="en-GB"/>
        </w:rPr>
        <w:t xml:space="preserve">, which states that the author worked for </w:t>
      </w:r>
      <w:r w:rsidR="005909E6" w:rsidRPr="00E07EBA">
        <w:rPr>
          <w:lang w:val="en-GB"/>
        </w:rPr>
        <w:t>international security forces</w:t>
      </w:r>
      <w:r w:rsidR="005E1A5E" w:rsidRPr="00F90716">
        <w:rPr>
          <w:lang w:val="en-GB"/>
        </w:rPr>
        <w:t xml:space="preserve"> from 1 July 2010 to </w:t>
      </w:r>
      <w:r w:rsidR="00660F12" w:rsidRPr="00E07EBA">
        <w:rPr>
          <w:lang w:val="en-GB"/>
        </w:rPr>
        <w:t xml:space="preserve">31 May </w:t>
      </w:r>
      <w:r w:rsidR="005E1A5E" w:rsidRPr="00F90716">
        <w:rPr>
          <w:lang w:val="en-GB"/>
        </w:rPr>
        <w:t xml:space="preserve">2011, </w:t>
      </w:r>
      <w:r w:rsidR="00242753" w:rsidRPr="00E07EBA">
        <w:rPr>
          <w:lang w:val="en-GB"/>
        </w:rPr>
        <w:t xml:space="preserve">was </w:t>
      </w:r>
      <w:r w:rsidR="005E1A5E" w:rsidRPr="00F90716">
        <w:rPr>
          <w:lang w:val="en-GB"/>
        </w:rPr>
        <w:t xml:space="preserve">written as a recommendation letter to the interpreters who needed one when applying for a </w:t>
      </w:r>
      <w:r w:rsidR="00367599" w:rsidRPr="00E07EBA">
        <w:rPr>
          <w:lang w:val="en-GB"/>
        </w:rPr>
        <w:t xml:space="preserve">special immigrant </w:t>
      </w:r>
      <w:r w:rsidR="005E1A5E" w:rsidRPr="00F90716">
        <w:rPr>
          <w:lang w:val="en-GB"/>
        </w:rPr>
        <w:t xml:space="preserve">visa to the </w:t>
      </w:r>
      <w:r w:rsidR="00367599" w:rsidRPr="00E07EBA">
        <w:rPr>
          <w:lang w:val="en-GB"/>
        </w:rPr>
        <w:t>United States</w:t>
      </w:r>
      <w:r w:rsidR="005E1A5E" w:rsidRPr="00F90716">
        <w:rPr>
          <w:lang w:val="en-GB"/>
        </w:rPr>
        <w:t xml:space="preserve">. It is not meant to provide an employment record with precise start and end dates. The letter </w:t>
      </w:r>
      <w:r w:rsidR="00242753" w:rsidRPr="00E07EBA">
        <w:rPr>
          <w:lang w:val="en-GB"/>
        </w:rPr>
        <w:t xml:space="preserve">was </w:t>
      </w:r>
      <w:r w:rsidR="005E1A5E" w:rsidRPr="00F90716">
        <w:rPr>
          <w:lang w:val="en-GB"/>
        </w:rPr>
        <w:t xml:space="preserve">probably </w:t>
      </w:r>
      <w:r w:rsidR="0068724A" w:rsidRPr="00F90716">
        <w:rPr>
          <w:lang w:val="en-GB"/>
        </w:rPr>
        <w:t>a standard one, in which J.S.</w:t>
      </w:r>
      <w:r w:rsidR="005E1A5E" w:rsidRPr="00F90716">
        <w:rPr>
          <w:lang w:val="en-GB"/>
        </w:rPr>
        <w:t xml:space="preserve"> only changed names and regiments for each interpreter in need of a recommendation letter. </w:t>
      </w:r>
    </w:p>
    <w:p w:rsidR="005A688A" w:rsidRPr="00E07EBA" w:rsidRDefault="00E37070" w:rsidP="00242753">
      <w:pPr>
        <w:pStyle w:val="SingleTxtG"/>
        <w:rPr>
          <w:lang w:val="en-GB"/>
        </w:rPr>
      </w:pPr>
      <w:r w:rsidRPr="00F90716">
        <w:rPr>
          <w:lang w:val="en-GB"/>
        </w:rPr>
        <w:t>5.</w:t>
      </w:r>
      <w:r w:rsidR="00DB2E2F" w:rsidRPr="00F90716">
        <w:rPr>
          <w:lang w:val="en-GB"/>
        </w:rPr>
        <w:t>8</w:t>
      </w:r>
      <w:r w:rsidRPr="00F90716">
        <w:rPr>
          <w:lang w:val="en-GB"/>
        </w:rPr>
        <w:tab/>
        <w:t xml:space="preserve">The author also </w:t>
      </w:r>
      <w:r w:rsidR="00242753" w:rsidRPr="00E07EBA">
        <w:rPr>
          <w:lang w:val="en-GB"/>
        </w:rPr>
        <w:t xml:space="preserve">includes </w:t>
      </w:r>
      <w:r w:rsidRPr="00F90716">
        <w:rPr>
          <w:lang w:val="en-GB"/>
        </w:rPr>
        <w:t xml:space="preserve">a letter of recommendation </w:t>
      </w:r>
      <w:r w:rsidR="00242753" w:rsidRPr="00E07EBA">
        <w:rPr>
          <w:lang w:val="en-GB"/>
        </w:rPr>
        <w:t xml:space="preserve">dated 29 January 2015, </w:t>
      </w:r>
      <w:r w:rsidRPr="00F90716">
        <w:rPr>
          <w:lang w:val="en-GB"/>
        </w:rPr>
        <w:t xml:space="preserve">drafted by </w:t>
      </w:r>
      <w:r w:rsidR="0068724A" w:rsidRPr="00F90716">
        <w:rPr>
          <w:lang w:val="en-GB"/>
        </w:rPr>
        <w:t>J.A.</w:t>
      </w:r>
      <w:r w:rsidRPr="00F90716">
        <w:rPr>
          <w:lang w:val="en-GB"/>
        </w:rPr>
        <w:t xml:space="preserve">, </w:t>
      </w:r>
      <w:r w:rsidR="0068724A" w:rsidRPr="00F90716">
        <w:rPr>
          <w:lang w:val="en-GB"/>
        </w:rPr>
        <w:t xml:space="preserve">which states that J.A </w:t>
      </w:r>
      <w:r w:rsidR="00242753" w:rsidRPr="00E07EBA">
        <w:rPr>
          <w:lang w:val="en-GB"/>
        </w:rPr>
        <w:t xml:space="preserve">had been </w:t>
      </w:r>
      <w:r w:rsidRPr="00F90716">
        <w:rPr>
          <w:lang w:val="en-GB"/>
        </w:rPr>
        <w:t xml:space="preserve">the author’s immediate supervisor from 15 July 2010 to 20 May 2011, </w:t>
      </w:r>
      <w:r w:rsidR="00242753" w:rsidRPr="00E07EBA">
        <w:rPr>
          <w:lang w:val="en-GB"/>
        </w:rPr>
        <w:t xml:space="preserve">during which time </w:t>
      </w:r>
      <w:r w:rsidRPr="00F90716">
        <w:rPr>
          <w:lang w:val="en-GB"/>
        </w:rPr>
        <w:t xml:space="preserve">the author </w:t>
      </w:r>
      <w:r w:rsidR="00242753" w:rsidRPr="00E07EBA">
        <w:rPr>
          <w:lang w:val="en-GB"/>
        </w:rPr>
        <w:t xml:space="preserve">had </w:t>
      </w:r>
      <w:r w:rsidRPr="00F90716">
        <w:rPr>
          <w:lang w:val="en-GB"/>
        </w:rPr>
        <w:t>worked as his “trusted and personal linguist in Police headquarters”</w:t>
      </w:r>
      <w:r w:rsidR="00AC39A5" w:rsidRPr="00F90716">
        <w:rPr>
          <w:lang w:val="en-GB"/>
        </w:rPr>
        <w:t xml:space="preserve"> </w:t>
      </w:r>
      <w:r w:rsidR="0068724A" w:rsidRPr="00F90716">
        <w:rPr>
          <w:lang w:val="en-GB"/>
        </w:rPr>
        <w:t>while J.A</w:t>
      </w:r>
      <w:r w:rsidR="00D07E3D" w:rsidRPr="00F90716">
        <w:rPr>
          <w:lang w:val="en-GB"/>
        </w:rPr>
        <w:t xml:space="preserve"> served with the Afghan National Police </w:t>
      </w:r>
      <w:r w:rsidR="00D07E3D" w:rsidRPr="00F90716">
        <w:rPr>
          <w:lang w:val="en-GB"/>
        </w:rPr>
        <w:lastRenderedPageBreak/>
        <w:t xml:space="preserve">in Zabul. </w:t>
      </w:r>
      <w:r w:rsidR="0013108D" w:rsidRPr="00F90716">
        <w:rPr>
          <w:lang w:val="en-GB"/>
        </w:rPr>
        <w:t>The letter further states that</w:t>
      </w:r>
      <w:r w:rsidR="00242753" w:rsidRPr="00E07EBA">
        <w:rPr>
          <w:lang w:val="en-GB"/>
        </w:rPr>
        <w:t>,</w:t>
      </w:r>
      <w:r w:rsidR="0013108D" w:rsidRPr="00F90716">
        <w:rPr>
          <w:lang w:val="en-GB"/>
        </w:rPr>
        <w:t xml:space="preserve"> as a result of his service to the </w:t>
      </w:r>
      <w:r w:rsidR="00242753" w:rsidRPr="00E07EBA">
        <w:rPr>
          <w:lang w:val="en-GB"/>
        </w:rPr>
        <w:t xml:space="preserve">United States </w:t>
      </w:r>
      <w:r w:rsidR="0013108D" w:rsidRPr="00F90716">
        <w:rPr>
          <w:lang w:val="en-GB"/>
        </w:rPr>
        <w:t xml:space="preserve">army, the author faced a constant threat while in Afghanistan and would be in danger from individuals and groups opposed to the </w:t>
      </w:r>
      <w:r w:rsidR="00242753" w:rsidRPr="00E07EBA">
        <w:rPr>
          <w:lang w:val="en-GB"/>
        </w:rPr>
        <w:t xml:space="preserve">United States </w:t>
      </w:r>
      <w:r w:rsidR="0013108D" w:rsidRPr="00F90716">
        <w:rPr>
          <w:lang w:val="en-GB"/>
        </w:rPr>
        <w:t>presence if returned.</w:t>
      </w:r>
    </w:p>
    <w:p w:rsidR="00476604" w:rsidRPr="00E07EBA" w:rsidRDefault="005A688A" w:rsidP="00B43D10">
      <w:pPr>
        <w:pStyle w:val="SingleTxtG"/>
        <w:rPr>
          <w:lang w:val="en-GB"/>
        </w:rPr>
      </w:pPr>
      <w:r w:rsidRPr="00F90716">
        <w:rPr>
          <w:lang w:val="en-GB"/>
        </w:rPr>
        <w:t>5.</w:t>
      </w:r>
      <w:r w:rsidR="00DB2E2F" w:rsidRPr="00F90716">
        <w:rPr>
          <w:lang w:val="en-GB"/>
        </w:rPr>
        <w:t>9</w:t>
      </w:r>
      <w:r w:rsidRPr="00F90716">
        <w:rPr>
          <w:lang w:val="en-GB"/>
        </w:rPr>
        <w:tab/>
        <w:t xml:space="preserve">The </w:t>
      </w:r>
      <w:r w:rsidR="002B3FAD" w:rsidRPr="00F90716">
        <w:rPr>
          <w:lang w:val="en-GB"/>
        </w:rPr>
        <w:t xml:space="preserve">also </w:t>
      </w:r>
      <w:r w:rsidRPr="00F90716">
        <w:rPr>
          <w:lang w:val="en-GB"/>
        </w:rPr>
        <w:t xml:space="preserve">author refers to an </w:t>
      </w:r>
      <w:r w:rsidR="00B43D10" w:rsidRPr="00E07EBA">
        <w:rPr>
          <w:lang w:val="en-GB"/>
        </w:rPr>
        <w:t xml:space="preserve">e-mail </w:t>
      </w:r>
      <w:r w:rsidR="00AE413B" w:rsidRPr="00F90716">
        <w:rPr>
          <w:lang w:val="en-GB"/>
        </w:rPr>
        <w:t>dated 24 June 2015</w:t>
      </w:r>
      <w:r w:rsidRPr="00F90716">
        <w:rPr>
          <w:lang w:val="en-GB"/>
        </w:rPr>
        <w:t xml:space="preserve"> from </w:t>
      </w:r>
      <w:r w:rsidR="0068724A" w:rsidRPr="00F90716">
        <w:rPr>
          <w:lang w:val="en-GB"/>
        </w:rPr>
        <w:t>S.B.</w:t>
      </w:r>
      <w:r w:rsidRPr="00F90716">
        <w:rPr>
          <w:lang w:val="en-GB"/>
        </w:rPr>
        <w:t>, one of the pro</w:t>
      </w:r>
      <w:r w:rsidR="00024454" w:rsidRPr="00E07EBA">
        <w:rPr>
          <w:lang w:val="en-GB"/>
        </w:rPr>
        <w:t xml:space="preserve"> </w:t>
      </w:r>
      <w:r w:rsidRPr="00F90716">
        <w:rPr>
          <w:lang w:val="en-GB"/>
        </w:rPr>
        <w:t xml:space="preserve">bono lawyers providing </w:t>
      </w:r>
      <w:r w:rsidR="00B43D10" w:rsidRPr="00E07EBA">
        <w:rPr>
          <w:lang w:val="en-GB"/>
        </w:rPr>
        <w:t xml:space="preserve">the author </w:t>
      </w:r>
      <w:r w:rsidRPr="00F90716">
        <w:rPr>
          <w:lang w:val="en-GB"/>
        </w:rPr>
        <w:t xml:space="preserve">with legal counsel for his </w:t>
      </w:r>
      <w:r w:rsidR="00367599" w:rsidRPr="00E07EBA">
        <w:rPr>
          <w:lang w:val="en-GB"/>
        </w:rPr>
        <w:t xml:space="preserve">special immigrant </w:t>
      </w:r>
      <w:r w:rsidRPr="00F90716">
        <w:rPr>
          <w:lang w:val="en-GB"/>
        </w:rPr>
        <w:t xml:space="preserve">visa. </w:t>
      </w:r>
      <w:r w:rsidR="00B43D10" w:rsidRPr="00E07EBA">
        <w:rPr>
          <w:lang w:val="en-GB"/>
        </w:rPr>
        <w:t xml:space="preserve">Having worked for the United States military, </w:t>
      </w:r>
      <w:r w:rsidR="0068724A" w:rsidRPr="00F90716">
        <w:rPr>
          <w:lang w:val="en-GB"/>
        </w:rPr>
        <w:t>S.B.</w:t>
      </w:r>
      <w:r w:rsidRPr="00F90716">
        <w:rPr>
          <w:lang w:val="en-GB"/>
        </w:rPr>
        <w:t xml:space="preserve"> </w:t>
      </w:r>
      <w:r w:rsidR="00B43D10" w:rsidRPr="00E07EBA">
        <w:rPr>
          <w:lang w:val="en-GB"/>
        </w:rPr>
        <w:t xml:space="preserve">confirms </w:t>
      </w:r>
      <w:r w:rsidRPr="00F90716">
        <w:rPr>
          <w:lang w:val="en-GB"/>
        </w:rPr>
        <w:t xml:space="preserve">that, there is nothing unusual about </w:t>
      </w:r>
      <w:r w:rsidR="00B43D10" w:rsidRPr="00E07EBA">
        <w:rPr>
          <w:lang w:val="en-GB"/>
        </w:rPr>
        <w:t xml:space="preserve">such </w:t>
      </w:r>
      <w:r w:rsidRPr="00F90716">
        <w:rPr>
          <w:lang w:val="en-GB"/>
        </w:rPr>
        <w:t>date discrepancies</w:t>
      </w:r>
      <w:r w:rsidR="00B43D10" w:rsidRPr="00E07EBA">
        <w:rPr>
          <w:lang w:val="en-GB"/>
        </w:rPr>
        <w:t>,</w:t>
      </w:r>
      <w:r w:rsidRPr="00F90716">
        <w:rPr>
          <w:lang w:val="en-GB"/>
        </w:rPr>
        <w:t xml:space="preserve"> </w:t>
      </w:r>
      <w:r w:rsidR="00B43D10" w:rsidRPr="00E07EBA">
        <w:rPr>
          <w:lang w:val="en-GB"/>
        </w:rPr>
        <w:t xml:space="preserve">and that </w:t>
      </w:r>
      <w:r w:rsidRPr="00F90716">
        <w:rPr>
          <w:lang w:val="en-GB"/>
        </w:rPr>
        <w:t xml:space="preserve">awards and letters of appreciation are not intended to be formal records of employment, and often reflect the dates that particular units were present rather than the precise dates that the interpreter started or ended working. </w:t>
      </w:r>
      <w:r w:rsidR="00B43D10" w:rsidRPr="00E07EBA">
        <w:rPr>
          <w:lang w:val="en-GB"/>
        </w:rPr>
        <w:t xml:space="preserve">He </w:t>
      </w:r>
      <w:r w:rsidRPr="00F90716">
        <w:rPr>
          <w:lang w:val="en-GB"/>
        </w:rPr>
        <w:t xml:space="preserve">also </w:t>
      </w:r>
      <w:r w:rsidR="00B43D10" w:rsidRPr="00E07EBA">
        <w:rPr>
          <w:lang w:val="en-GB"/>
        </w:rPr>
        <w:t xml:space="preserve">states that it is </w:t>
      </w:r>
      <w:r w:rsidRPr="00F90716">
        <w:rPr>
          <w:lang w:val="en-GB"/>
        </w:rPr>
        <w:t xml:space="preserve">not surprising that the author would continue to work with </w:t>
      </w:r>
      <w:r w:rsidR="0068724A" w:rsidRPr="00F90716">
        <w:rPr>
          <w:lang w:val="en-GB"/>
        </w:rPr>
        <w:t>J.S</w:t>
      </w:r>
      <w:r w:rsidR="00FC1305" w:rsidRPr="00E07EBA">
        <w:rPr>
          <w:lang w:val="en-GB"/>
        </w:rPr>
        <w:t>.</w:t>
      </w:r>
      <w:r w:rsidRPr="00F90716">
        <w:rPr>
          <w:lang w:val="en-GB"/>
        </w:rPr>
        <w:t>’s unit even as he assisted others in the intelligence service.</w:t>
      </w:r>
    </w:p>
    <w:p w:rsidR="007C397E" w:rsidRPr="00E07EBA" w:rsidRDefault="003D71B8" w:rsidP="00B43D10">
      <w:pPr>
        <w:pStyle w:val="SingleTxtG"/>
        <w:rPr>
          <w:lang w:val="en-GB"/>
        </w:rPr>
      </w:pPr>
      <w:r w:rsidRPr="00F90716">
        <w:rPr>
          <w:lang w:val="en-GB"/>
        </w:rPr>
        <w:t>5.1</w:t>
      </w:r>
      <w:r w:rsidR="00DB2E2F" w:rsidRPr="00F90716">
        <w:rPr>
          <w:lang w:val="en-GB"/>
        </w:rPr>
        <w:t>0</w:t>
      </w:r>
      <w:r w:rsidRPr="00F90716">
        <w:rPr>
          <w:lang w:val="en-GB"/>
        </w:rPr>
        <w:tab/>
        <w:t>The author explains that</w:t>
      </w:r>
      <w:r w:rsidR="00B43D10" w:rsidRPr="00E07EBA">
        <w:rPr>
          <w:lang w:val="en-GB"/>
        </w:rPr>
        <w:t>,</w:t>
      </w:r>
      <w:r w:rsidRPr="00F90716">
        <w:rPr>
          <w:lang w:val="en-GB"/>
        </w:rPr>
        <w:t xml:space="preserve"> by mistake, he mentioned June and July instead of May and June. The only remaining question is whether he ended his work on 1 May, 31 May or another date in May 2011.</w:t>
      </w:r>
      <w:r w:rsidR="00484A40" w:rsidRPr="00F90716">
        <w:rPr>
          <w:lang w:val="en-GB"/>
        </w:rPr>
        <w:t xml:space="preserve"> </w:t>
      </w:r>
      <w:r w:rsidR="00BC2DD4" w:rsidRPr="00F90716">
        <w:rPr>
          <w:lang w:val="en-GB"/>
        </w:rPr>
        <w:t xml:space="preserve">The author does not remember the exact dates, but states that he went on </w:t>
      </w:r>
      <w:r w:rsidR="00B43D10" w:rsidRPr="00E07EBA">
        <w:rPr>
          <w:lang w:val="en-GB"/>
        </w:rPr>
        <w:t xml:space="preserve">vacation </w:t>
      </w:r>
      <w:r w:rsidR="00BC2DD4" w:rsidRPr="00F90716">
        <w:rPr>
          <w:lang w:val="en-GB"/>
        </w:rPr>
        <w:t xml:space="preserve">in Kandahar </w:t>
      </w:r>
      <w:r w:rsidR="00B43D10" w:rsidRPr="00E07EBA">
        <w:rPr>
          <w:lang w:val="en-GB"/>
        </w:rPr>
        <w:t xml:space="preserve">at </w:t>
      </w:r>
      <w:r w:rsidR="00BC2DD4" w:rsidRPr="00F90716">
        <w:rPr>
          <w:lang w:val="en-GB"/>
        </w:rPr>
        <w:t xml:space="preserve">the end of May 2011. He </w:t>
      </w:r>
      <w:r w:rsidR="00B43D10" w:rsidRPr="00E07EBA">
        <w:rPr>
          <w:lang w:val="en-GB"/>
        </w:rPr>
        <w:t xml:space="preserve">then </w:t>
      </w:r>
      <w:r w:rsidR="00BC2DD4" w:rsidRPr="00F90716">
        <w:rPr>
          <w:lang w:val="en-GB"/>
        </w:rPr>
        <w:t xml:space="preserve">left Kandahar in the middle of June and was on his way back with his sister and her children </w:t>
      </w:r>
      <w:r w:rsidR="00B43D10" w:rsidRPr="00E07EBA">
        <w:rPr>
          <w:lang w:val="en-GB"/>
        </w:rPr>
        <w:t xml:space="preserve">at </w:t>
      </w:r>
      <w:r w:rsidR="00BC2DD4" w:rsidRPr="00F90716">
        <w:rPr>
          <w:lang w:val="en-GB"/>
        </w:rPr>
        <w:t>the end of June/beginning of July</w:t>
      </w:r>
      <w:r w:rsidR="000B7C62" w:rsidRPr="00F90716">
        <w:rPr>
          <w:lang w:val="en-GB"/>
        </w:rPr>
        <w:t xml:space="preserve"> 2011</w:t>
      </w:r>
      <w:r w:rsidR="00BC2DD4" w:rsidRPr="00F90716">
        <w:rPr>
          <w:lang w:val="en-GB"/>
        </w:rPr>
        <w:t>, when he left Afghanistan.</w:t>
      </w:r>
    </w:p>
    <w:p w:rsidR="006A0634" w:rsidRPr="00E07EBA" w:rsidRDefault="00DB2E2F" w:rsidP="00B43D10">
      <w:pPr>
        <w:pStyle w:val="SingleTxtG"/>
        <w:rPr>
          <w:lang w:val="en-GB"/>
        </w:rPr>
      </w:pPr>
      <w:r w:rsidRPr="00F90716">
        <w:rPr>
          <w:lang w:val="en-GB"/>
        </w:rPr>
        <w:t>5.11</w:t>
      </w:r>
      <w:r w:rsidR="007C397E" w:rsidRPr="00F90716">
        <w:rPr>
          <w:lang w:val="en-GB"/>
        </w:rPr>
        <w:tab/>
      </w:r>
      <w:r w:rsidR="00B43D10" w:rsidRPr="00E07EBA">
        <w:rPr>
          <w:lang w:val="en-GB"/>
        </w:rPr>
        <w:t>However, t</w:t>
      </w:r>
      <w:r w:rsidR="00492BE2" w:rsidRPr="00F90716">
        <w:rPr>
          <w:lang w:val="en-GB"/>
        </w:rPr>
        <w:t xml:space="preserve">he author submits that the essential matter is not the precise date when he officially terminated his contract as interpreter with the </w:t>
      </w:r>
      <w:r w:rsidR="00B43D10" w:rsidRPr="00E07EBA">
        <w:rPr>
          <w:lang w:val="en-GB"/>
        </w:rPr>
        <w:t xml:space="preserve">United States </w:t>
      </w:r>
      <w:r w:rsidR="00492BE2" w:rsidRPr="00F90716">
        <w:rPr>
          <w:lang w:val="en-GB"/>
        </w:rPr>
        <w:t xml:space="preserve">forces, but rather the fact that he </w:t>
      </w:r>
      <w:r w:rsidR="00B43D10" w:rsidRPr="00E07EBA">
        <w:rPr>
          <w:lang w:val="en-GB"/>
        </w:rPr>
        <w:t xml:space="preserve">had </w:t>
      </w:r>
      <w:r w:rsidR="00492BE2" w:rsidRPr="00F90716">
        <w:rPr>
          <w:lang w:val="en-GB"/>
        </w:rPr>
        <w:t xml:space="preserve">acted as such for almost </w:t>
      </w:r>
      <w:r w:rsidR="00B43D10" w:rsidRPr="00E07EBA">
        <w:rPr>
          <w:lang w:val="en-GB"/>
        </w:rPr>
        <w:t xml:space="preserve">a </w:t>
      </w:r>
      <w:r w:rsidR="00492BE2" w:rsidRPr="00F90716">
        <w:rPr>
          <w:lang w:val="en-GB"/>
        </w:rPr>
        <w:t xml:space="preserve">year and a half, during which </w:t>
      </w:r>
      <w:r w:rsidR="00B43D10" w:rsidRPr="00E07EBA">
        <w:rPr>
          <w:lang w:val="en-GB"/>
        </w:rPr>
        <w:t xml:space="preserve">time </w:t>
      </w:r>
      <w:r w:rsidR="00492BE2" w:rsidRPr="00F90716">
        <w:rPr>
          <w:lang w:val="en-GB"/>
        </w:rPr>
        <w:t xml:space="preserve">he had a conflict with </w:t>
      </w:r>
      <w:r w:rsidR="0068724A" w:rsidRPr="00F90716">
        <w:rPr>
          <w:lang w:val="en-GB"/>
        </w:rPr>
        <w:t>A.M.W</w:t>
      </w:r>
      <w:r w:rsidR="00A66370" w:rsidRPr="00E07EBA">
        <w:rPr>
          <w:lang w:val="en-GB"/>
        </w:rPr>
        <w:t>.</w:t>
      </w:r>
      <w:r w:rsidR="00492BE2" w:rsidRPr="00F90716">
        <w:rPr>
          <w:lang w:val="en-GB"/>
        </w:rPr>
        <w:t xml:space="preserve">, a powerful </w:t>
      </w:r>
      <w:r w:rsidR="00FA40C0" w:rsidRPr="00E07EBA">
        <w:rPr>
          <w:lang w:val="en-GB"/>
        </w:rPr>
        <w:t>c</w:t>
      </w:r>
      <w:r w:rsidR="00492BE2" w:rsidRPr="00F90716">
        <w:rPr>
          <w:lang w:val="en-GB"/>
        </w:rPr>
        <w:t>olonel and owner of construction companies.</w:t>
      </w:r>
      <w:r w:rsidR="00492BE2" w:rsidRPr="00F90716">
        <w:rPr>
          <w:rStyle w:val="FootnoteReference"/>
          <w:lang w:val="en-GB"/>
        </w:rPr>
        <w:footnoteReference w:id="13"/>
      </w:r>
      <w:r w:rsidR="00492BE2" w:rsidRPr="00F90716">
        <w:rPr>
          <w:lang w:val="en-GB"/>
        </w:rPr>
        <w:t xml:space="preserve"> </w:t>
      </w:r>
    </w:p>
    <w:p w:rsidR="006A0634" w:rsidRPr="00E07EBA" w:rsidRDefault="006A0634" w:rsidP="008B6648">
      <w:pPr>
        <w:pStyle w:val="SingleTxtG"/>
        <w:rPr>
          <w:lang w:val="en-GB"/>
        </w:rPr>
      </w:pPr>
      <w:r w:rsidRPr="00F90716">
        <w:rPr>
          <w:lang w:val="en-GB"/>
        </w:rPr>
        <w:t>5.1</w:t>
      </w:r>
      <w:r w:rsidR="00DB2E2F" w:rsidRPr="00F90716">
        <w:rPr>
          <w:lang w:val="en-GB"/>
        </w:rPr>
        <w:t>2</w:t>
      </w:r>
      <w:r w:rsidR="00484A40" w:rsidRPr="00E07EBA">
        <w:rPr>
          <w:lang w:val="en-GB"/>
        </w:rPr>
        <w:tab/>
      </w:r>
      <w:r w:rsidRPr="00F90716">
        <w:rPr>
          <w:lang w:val="en-GB"/>
        </w:rPr>
        <w:t xml:space="preserve">The author adds that all employees with contracts with international forces are at high risk of assault and murder from rebel groups, including </w:t>
      </w:r>
      <w:r w:rsidR="008B6648" w:rsidRPr="00E07EBA">
        <w:rPr>
          <w:lang w:val="en-GB"/>
        </w:rPr>
        <w:t xml:space="preserve">the </w:t>
      </w:r>
      <w:r w:rsidRPr="00F90716">
        <w:rPr>
          <w:lang w:val="en-GB"/>
        </w:rPr>
        <w:t xml:space="preserve">Taliban. Interpreters are at particular risk as they are seen as “the eyes of the Americans”. </w:t>
      </w:r>
    </w:p>
    <w:p w:rsidR="009C4D0D" w:rsidRPr="00E07EBA" w:rsidRDefault="00484A40" w:rsidP="00484A40">
      <w:pPr>
        <w:pStyle w:val="H23G"/>
      </w:pPr>
      <w:r w:rsidRPr="00E07EBA">
        <w:tab/>
      </w:r>
      <w:r w:rsidRPr="00E07EBA">
        <w:tab/>
      </w:r>
      <w:r w:rsidR="009C4D0D" w:rsidRPr="00E07EBA">
        <w:t>State party’s further obs</w:t>
      </w:r>
      <w:r w:rsidRPr="00E07EBA">
        <w:t>ervations</w:t>
      </w:r>
    </w:p>
    <w:p w:rsidR="006A0634" w:rsidRPr="00E07EBA" w:rsidRDefault="009C4D0D" w:rsidP="008B6648">
      <w:pPr>
        <w:pStyle w:val="SingleTxtG"/>
        <w:rPr>
          <w:lang w:val="en-GB"/>
        </w:rPr>
      </w:pPr>
      <w:r w:rsidRPr="00F90716">
        <w:rPr>
          <w:lang w:val="en-GB"/>
        </w:rPr>
        <w:t>6.1</w:t>
      </w:r>
      <w:r w:rsidRPr="00F90716">
        <w:rPr>
          <w:lang w:val="en-GB"/>
        </w:rPr>
        <w:tab/>
      </w:r>
      <w:r w:rsidR="00CB5A27" w:rsidRPr="00F90716">
        <w:rPr>
          <w:lang w:val="en-GB"/>
        </w:rPr>
        <w:t xml:space="preserve">On 24 February 2016, the State party reiterated its previous submission. It recalled that the </w:t>
      </w:r>
      <w:r w:rsidR="0008593B" w:rsidRPr="00E07EBA">
        <w:rPr>
          <w:lang w:val="en-GB"/>
        </w:rPr>
        <w:t>r</w:t>
      </w:r>
      <w:r w:rsidRPr="00F90716">
        <w:rPr>
          <w:lang w:val="en-GB"/>
        </w:rPr>
        <w:t xml:space="preserve">efugee </w:t>
      </w:r>
      <w:r w:rsidR="0008593B" w:rsidRPr="00E07EBA">
        <w:rPr>
          <w:lang w:val="en-GB"/>
        </w:rPr>
        <w:t>a</w:t>
      </w:r>
      <w:r w:rsidRPr="00F90716">
        <w:rPr>
          <w:lang w:val="en-GB"/>
        </w:rPr>
        <w:t xml:space="preserve">ppeals </w:t>
      </w:r>
      <w:r w:rsidR="0008593B" w:rsidRPr="00E07EBA">
        <w:rPr>
          <w:lang w:val="en-GB"/>
        </w:rPr>
        <w:t>b</w:t>
      </w:r>
      <w:r w:rsidRPr="00F90716">
        <w:rPr>
          <w:lang w:val="en-GB"/>
        </w:rPr>
        <w:t xml:space="preserve">oard </w:t>
      </w:r>
      <w:r w:rsidR="008B6648" w:rsidRPr="00E07EBA">
        <w:rPr>
          <w:lang w:val="en-GB"/>
        </w:rPr>
        <w:t xml:space="preserve">had </w:t>
      </w:r>
      <w:r w:rsidR="00DB2E2F" w:rsidRPr="00F90716">
        <w:rPr>
          <w:lang w:val="en-GB"/>
        </w:rPr>
        <w:t>accepted as</w:t>
      </w:r>
      <w:r w:rsidR="00CB5A27" w:rsidRPr="00F90716">
        <w:rPr>
          <w:lang w:val="en-GB"/>
        </w:rPr>
        <w:t xml:space="preserve"> a fact that the author </w:t>
      </w:r>
      <w:r w:rsidR="008B6648" w:rsidRPr="00E07EBA">
        <w:rPr>
          <w:lang w:val="en-GB"/>
        </w:rPr>
        <w:t xml:space="preserve">had </w:t>
      </w:r>
      <w:r w:rsidR="00DB2E2F" w:rsidRPr="00F90716">
        <w:rPr>
          <w:lang w:val="en-GB"/>
        </w:rPr>
        <w:t>worked</w:t>
      </w:r>
      <w:r w:rsidRPr="00F90716">
        <w:rPr>
          <w:lang w:val="en-GB"/>
        </w:rPr>
        <w:t xml:space="preserve"> as an interpreter for the American forces, including </w:t>
      </w:r>
      <w:r w:rsidR="00CB5A27" w:rsidRPr="00F90716">
        <w:rPr>
          <w:lang w:val="en-GB"/>
        </w:rPr>
        <w:t xml:space="preserve">that the author </w:t>
      </w:r>
      <w:r w:rsidRPr="00F90716">
        <w:rPr>
          <w:lang w:val="en-GB"/>
        </w:rPr>
        <w:t>had interpreted</w:t>
      </w:r>
      <w:r w:rsidR="001008DD" w:rsidRPr="00F90716">
        <w:rPr>
          <w:lang w:val="en-GB"/>
        </w:rPr>
        <w:t xml:space="preserve"> conversations with </w:t>
      </w:r>
      <w:r w:rsidR="0060044E" w:rsidRPr="00F90716">
        <w:rPr>
          <w:lang w:val="en-GB"/>
        </w:rPr>
        <w:t>A.M.W</w:t>
      </w:r>
      <w:r w:rsidR="001008DD" w:rsidRPr="00F90716">
        <w:rPr>
          <w:lang w:val="en-GB"/>
        </w:rPr>
        <w:t xml:space="preserve">. However, the </w:t>
      </w:r>
      <w:r w:rsidR="0008593B" w:rsidRPr="00E07EBA">
        <w:rPr>
          <w:lang w:val="en-GB"/>
        </w:rPr>
        <w:t>board</w:t>
      </w:r>
      <w:r w:rsidRPr="00F90716">
        <w:rPr>
          <w:lang w:val="en-GB"/>
        </w:rPr>
        <w:t xml:space="preserve"> did not </w:t>
      </w:r>
      <w:r w:rsidR="001008DD" w:rsidRPr="00F90716">
        <w:rPr>
          <w:lang w:val="en-GB"/>
        </w:rPr>
        <w:t>accept the author’s allegation that he</w:t>
      </w:r>
      <w:r w:rsidRPr="00F90716">
        <w:rPr>
          <w:lang w:val="en-GB"/>
        </w:rPr>
        <w:t xml:space="preserve"> </w:t>
      </w:r>
      <w:r w:rsidR="008B6648" w:rsidRPr="00E07EBA">
        <w:rPr>
          <w:lang w:val="en-GB"/>
        </w:rPr>
        <w:t xml:space="preserve">had </w:t>
      </w:r>
      <w:r w:rsidRPr="00F90716">
        <w:rPr>
          <w:lang w:val="en-GB"/>
        </w:rPr>
        <w:t xml:space="preserve">experienced subsequent conflicts with </w:t>
      </w:r>
      <w:r w:rsidR="0060044E" w:rsidRPr="00F90716">
        <w:rPr>
          <w:lang w:val="en-GB"/>
        </w:rPr>
        <w:t xml:space="preserve">A.M.W. </w:t>
      </w:r>
      <w:r w:rsidRPr="00F90716">
        <w:rPr>
          <w:lang w:val="en-GB"/>
        </w:rPr>
        <w:t xml:space="preserve">as the </w:t>
      </w:r>
      <w:r w:rsidR="0008593B" w:rsidRPr="00E07EBA">
        <w:rPr>
          <w:lang w:val="en-GB"/>
        </w:rPr>
        <w:t>b</w:t>
      </w:r>
      <w:r w:rsidRPr="00F90716">
        <w:rPr>
          <w:lang w:val="en-GB"/>
        </w:rPr>
        <w:t>oard found that the</w:t>
      </w:r>
      <w:r w:rsidR="001008DD" w:rsidRPr="00F90716">
        <w:rPr>
          <w:lang w:val="en-GB"/>
        </w:rPr>
        <w:t xml:space="preserve"> </w:t>
      </w:r>
      <w:r w:rsidRPr="00F90716">
        <w:rPr>
          <w:lang w:val="en-GB"/>
        </w:rPr>
        <w:t>author had made non-credible and inconsist</w:t>
      </w:r>
      <w:r w:rsidR="001008DD" w:rsidRPr="00F90716">
        <w:rPr>
          <w:lang w:val="en-GB"/>
        </w:rPr>
        <w:t xml:space="preserve">ent statements in this respect. The State party adds that the </w:t>
      </w:r>
      <w:r w:rsidR="0008593B" w:rsidRPr="00E07EBA">
        <w:rPr>
          <w:lang w:val="en-GB"/>
        </w:rPr>
        <w:t>board</w:t>
      </w:r>
      <w:r w:rsidRPr="00F90716">
        <w:rPr>
          <w:lang w:val="en-GB"/>
        </w:rPr>
        <w:t xml:space="preserve"> </w:t>
      </w:r>
      <w:r w:rsidR="001008DD" w:rsidRPr="00F90716">
        <w:rPr>
          <w:lang w:val="en-GB"/>
        </w:rPr>
        <w:t xml:space="preserve">thoroughly </w:t>
      </w:r>
      <w:r w:rsidRPr="00F90716">
        <w:rPr>
          <w:lang w:val="en-GB"/>
        </w:rPr>
        <w:t>examined each of the author’s claims, and particular</w:t>
      </w:r>
      <w:r w:rsidR="001008DD" w:rsidRPr="00F90716">
        <w:rPr>
          <w:lang w:val="en-GB"/>
        </w:rPr>
        <w:t xml:space="preserve">ly analysed the threats </w:t>
      </w:r>
      <w:r w:rsidRPr="00F90716">
        <w:rPr>
          <w:lang w:val="en-GB"/>
        </w:rPr>
        <w:t xml:space="preserve">allegedly received by the author in Afghanistan, and </w:t>
      </w:r>
      <w:r w:rsidR="008B6648" w:rsidRPr="00E07EBA">
        <w:rPr>
          <w:lang w:val="en-GB"/>
        </w:rPr>
        <w:t xml:space="preserve">had </w:t>
      </w:r>
      <w:r w:rsidRPr="00F90716">
        <w:rPr>
          <w:lang w:val="en-GB"/>
        </w:rPr>
        <w:t>fo</w:t>
      </w:r>
      <w:r w:rsidR="001008DD" w:rsidRPr="00F90716">
        <w:rPr>
          <w:lang w:val="en-GB"/>
        </w:rPr>
        <w:t xml:space="preserve">und them to be inconsistent and </w:t>
      </w:r>
      <w:r w:rsidRPr="00F90716">
        <w:rPr>
          <w:lang w:val="en-GB"/>
        </w:rPr>
        <w:t xml:space="preserve">implausible on several grounds. </w:t>
      </w:r>
    </w:p>
    <w:p w:rsidR="001008DD" w:rsidRPr="00E07EBA" w:rsidRDefault="00CD61FF" w:rsidP="008B6648">
      <w:pPr>
        <w:pStyle w:val="SingleTxtG"/>
        <w:rPr>
          <w:lang w:val="en-GB"/>
        </w:rPr>
      </w:pPr>
      <w:r w:rsidRPr="00F90716">
        <w:rPr>
          <w:lang w:val="en-GB"/>
        </w:rPr>
        <w:t>6.2</w:t>
      </w:r>
      <w:r w:rsidRPr="00F90716">
        <w:rPr>
          <w:lang w:val="en-GB"/>
        </w:rPr>
        <w:tab/>
        <w:t>The State party adds that the statements from</w:t>
      </w:r>
      <w:r w:rsidR="009D40E7" w:rsidRPr="00F90716">
        <w:rPr>
          <w:lang w:val="en-GB"/>
        </w:rPr>
        <w:t xml:space="preserve"> two</w:t>
      </w:r>
      <w:r w:rsidRPr="00F90716">
        <w:rPr>
          <w:lang w:val="en-GB"/>
        </w:rPr>
        <w:t xml:space="preserve"> interpreters in support of the author cannot be considered to provide first-hand information about the alleged conflict of the author with </w:t>
      </w:r>
      <w:r w:rsidR="00FB05B8" w:rsidRPr="00F90716">
        <w:rPr>
          <w:lang w:val="en-GB"/>
        </w:rPr>
        <w:t>A.M.W.</w:t>
      </w:r>
      <w:r w:rsidRPr="00F90716">
        <w:rPr>
          <w:lang w:val="en-GB"/>
        </w:rPr>
        <w:t xml:space="preserve">, but merely confirm that a powerful person named </w:t>
      </w:r>
      <w:r w:rsidR="0060044E" w:rsidRPr="00F90716">
        <w:rPr>
          <w:lang w:val="en-GB"/>
        </w:rPr>
        <w:t xml:space="preserve">A.M.W. </w:t>
      </w:r>
      <w:r w:rsidRPr="00F90716">
        <w:rPr>
          <w:lang w:val="en-GB"/>
        </w:rPr>
        <w:t xml:space="preserve">operated in the area, which has not been dismissed by the </w:t>
      </w:r>
      <w:r w:rsidR="0008593B" w:rsidRPr="00E07EBA">
        <w:rPr>
          <w:lang w:val="en-GB"/>
        </w:rPr>
        <w:t>refugee appeals board</w:t>
      </w:r>
      <w:r w:rsidRPr="00F90716">
        <w:rPr>
          <w:lang w:val="en-GB"/>
        </w:rPr>
        <w:t>.</w:t>
      </w:r>
    </w:p>
    <w:p w:rsidR="009C4D0D" w:rsidRPr="00E07EBA" w:rsidRDefault="00CD61FF" w:rsidP="008B6648">
      <w:pPr>
        <w:pStyle w:val="SingleTxtG"/>
        <w:rPr>
          <w:lang w:val="en-GB"/>
        </w:rPr>
      </w:pPr>
      <w:r w:rsidRPr="00F90716">
        <w:rPr>
          <w:lang w:val="en-GB"/>
        </w:rPr>
        <w:t>6.3</w:t>
      </w:r>
      <w:r w:rsidR="001008DD" w:rsidRPr="00F90716">
        <w:rPr>
          <w:lang w:val="en-GB"/>
        </w:rPr>
        <w:tab/>
        <w:t>The State party</w:t>
      </w:r>
      <w:r w:rsidR="009C4D0D" w:rsidRPr="00F90716">
        <w:rPr>
          <w:lang w:val="en-GB"/>
        </w:rPr>
        <w:t xml:space="preserve"> maintains that the author has failed to establish a prima facie case for the</w:t>
      </w:r>
      <w:r w:rsidR="001008DD" w:rsidRPr="00F90716">
        <w:rPr>
          <w:lang w:val="en-GB"/>
        </w:rPr>
        <w:t xml:space="preserve"> </w:t>
      </w:r>
      <w:r w:rsidR="009C4D0D" w:rsidRPr="00F90716">
        <w:rPr>
          <w:lang w:val="en-GB"/>
        </w:rPr>
        <w:t>purpose of admissibil</w:t>
      </w:r>
      <w:r w:rsidR="001008DD" w:rsidRPr="00F90716">
        <w:rPr>
          <w:lang w:val="en-GB"/>
        </w:rPr>
        <w:t>ity of his communication under a</w:t>
      </w:r>
      <w:r w:rsidR="009C4D0D" w:rsidRPr="00F90716">
        <w:rPr>
          <w:lang w:val="en-GB"/>
        </w:rPr>
        <w:t xml:space="preserve">rticles 7 and 19 of the </w:t>
      </w:r>
      <w:r w:rsidR="001008DD" w:rsidRPr="00F90716">
        <w:rPr>
          <w:lang w:val="en-GB"/>
        </w:rPr>
        <w:t>Covenant</w:t>
      </w:r>
      <w:r w:rsidR="009C4D0D" w:rsidRPr="00F90716">
        <w:rPr>
          <w:lang w:val="en-GB"/>
        </w:rPr>
        <w:t>, and that the communication is therefore</w:t>
      </w:r>
      <w:r w:rsidR="001008DD" w:rsidRPr="00F90716">
        <w:rPr>
          <w:lang w:val="en-GB"/>
        </w:rPr>
        <w:t xml:space="preserve"> </w:t>
      </w:r>
      <w:r w:rsidR="009C4D0D" w:rsidRPr="00F90716">
        <w:rPr>
          <w:lang w:val="en-GB"/>
        </w:rPr>
        <w:t>manifestly ill-founded and sho</w:t>
      </w:r>
      <w:r w:rsidR="001008DD" w:rsidRPr="00F90716">
        <w:rPr>
          <w:lang w:val="en-GB"/>
        </w:rPr>
        <w:t xml:space="preserve">uld be considered inadmissible. </w:t>
      </w:r>
      <w:r w:rsidR="009C4D0D" w:rsidRPr="00F90716">
        <w:rPr>
          <w:lang w:val="en-GB"/>
        </w:rPr>
        <w:t xml:space="preserve">Should the Committee find the communication admissible, the </w:t>
      </w:r>
      <w:r w:rsidR="001008DD" w:rsidRPr="00F90716">
        <w:rPr>
          <w:lang w:val="en-GB"/>
        </w:rPr>
        <w:t xml:space="preserve">State party </w:t>
      </w:r>
      <w:r w:rsidR="009C4D0D" w:rsidRPr="00F90716">
        <w:rPr>
          <w:lang w:val="en-GB"/>
        </w:rPr>
        <w:t>maint</w:t>
      </w:r>
      <w:r w:rsidR="001008DD" w:rsidRPr="00F90716">
        <w:rPr>
          <w:lang w:val="en-GB"/>
        </w:rPr>
        <w:t xml:space="preserve">ains </w:t>
      </w:r>
      <w:r w:rsidR="009C4D0D" w:rsidRPr="00F90716">
        <w:rPr>
          <w:lang w:val="en-GB"/>
        </w:rPr>
        <w:t>that it has not been established that there are substantial grou</w:t>
      </w:r>
      <w:r w:rsidR="001008DD" w:rsidRPr="00F90716">
        <w:rPr>
          <w:lang w:val="en-GB"/>
        </w:rPr>
        <w:t xml:space="preserve">nds for believing </w:t>
      </w:r>
      <w:r w:rsidR="001008DD" w:rsidRPr="00F90716">
        <w:rPr>
          <w:lang w:val="en-GB"/>
        </w:rPr>
        <w:lastRenderedPageBreak/>
        <w:t xml:space="preserve">that it would </w:t>
      </w:r>
      <w:r w:rsidR="009C4D0D" w:rsidRPr="00F90716">
        <w:rPr>
          <w:lang w:val="en-GB"/>
        </w:rPr>
        <w:t xml:space="preserve">constitute a violation of </w:t>
      </w:r>
      <w:r w:rsidR="008B6648" w:rsidRPr="00E07EBA">
        <w:rPr>
          <w:lang w:val="en-GB"/>
        </w:rPr>
        <w:t>a</w:t>
      </w:r>
      <w:r w:rsidR="009C4D0D" w:rsidRPr="00F90716">
        <w:rPr>
          <w:lang w:val="en-GB"/>
        </w:rPr>
        <w:t xml:space="preserve">rticle 7 of the </w:t>
      </w:r>
      <w:r w:rsidR="001008DD" w:rsidRPr="00F90716">
        <w:rPr>
          <w:lang w:val="en-GB"/>
        </w:rPr>
        <w:t>Covenant to</w:t>
      </w:r>
      <w:r w:rsidR="009C4D0D" w:rsidRPr="00F90716">
        <w:rPr>
          <w:lang w:val="en-GB"/>
        </w:rPr>
        <w:t xml:space="preserve"> return the author to Afghanistan.</w:t>
      </w:r>
    </w:p>
    <w:p w:rsidR="000852FA" w:rsidRPr="00E07EBA" w:rsidRDefault="00484A40" w:rsidP="008B6648">
      <w:pPr>
        <w:pStyle w:val="H23G"/>
      </w:pPr>
      <w:r w:rsidRPr="00E07EBA">
        <w:tab/>
      </w:r>
      <w:r w:rsidRPr="00E07EBA">
        <w:tab/>
      </w:r>
      <w:r w:rsidR="000852FA" w:rsidRPr="00E07EBA">
        <w:t>Author’s additional comments</w:t>
      </w:r>
    </w:p>
    <w:p w:rsidR="0023367F" w:rsidRPr="00E07EBA" w:rsidRDefault="0023367F" w:rsidP="00FA5F48">
      <w:pPr>
        <w:pStyle w:val="SingleTxtG"/>
        <w:rPr>
          <w:lang w:val="en-GB"/>
        </w:rPr>
      </w:pPr>
      <w:r w:rsidRPr="00F90716">
        <w:rPr>
          <w:lang w:val="en-GB"/>
        </w:rPr>
        <w:t>7.1</w:t>
      </w:r>
      <w:r w:rsidRPr="00F90716">
        <w:rPr>
          <w:lang w:val="en-GB"/>
        </w:rPr>
        <w:tab/>
        <w:t xml:space="preserve">On 28 April 2016, the author submitted that the State party relied </w:t>
      </w:r>
      <w:r w:rsidR="00FA5F48" w:rsidRPr="00E07EBA">
        <w:rPr>
          <w:lang w:val="en-GB"/>
        </w:rPr>
        <w:t xml:space="preserve">solely </w:t>
      </w:r>
      <w:r w:rsidRPr="00F90716">
        <w:rPr>
          <w:lang w:val="en-GB"/>
        </w:rPr>
        <w:t xml:space="preserve">on a correspondence dated 12 June 2012, received by the Danish Ministry of Foreign Affairs from </w:t>
      </w:r>
      <w:r w:rsidR="000001E9" w:rsidRPr="00E07EBA">
        <w:rPr>
          <w:lang w:val="en-GB"/>
        </w:rPr>
        <w:t>Mission Essential Personnel</w:t>
      </w:r>
      <w:r w:rsidRPr="00F90716">
        <w:rPr>
          <w:lang w:val="en-GB"/>
        </w:rPr>
        <w:t xml:space="preserve">, which stated that the author </w:t>
      </w:r>
      <w:r w:rsidR="00FA5F48" w:rsidRPr="00E07EBA">
        <w:rPr>
          <w:lang w:val="en-GB"/>
        </w:rPr>
        <w:t xml:space="preserve">had </w:t>
      </w:r>
      <w:r w:rsidRPr="00F90716">
        <w:rPr>
          <w:lang w:val="en-GB"/>
        </w:rPr>
        <w:t>worked from April 2010 to 1 May 2011, and that he had resigned from his position for family reasons.</w:t>
      </w:r>
    </w:p>
    <w:p w:rsidR="00E80AFB" w:rsidRPr="00E07EBA" w:rsidRDefault="008A11CF" w:rsidP="00FA5F48">
      <w:pPr>
        <w:pStyle w:val="SingleTxtG"/>
        <w:rPr>
          <w:lang w:val="en-GB"/>
        </w:rPr>
      </w:pPr>
      <w:r w:rsidRPr="00F90716">
        <w:rPr>
          <w:lang w:val="en-GB"/>
        </w:rPr>
        <w:t>7.2</w:t>
      </w:r>
      <w:r w:rsidRPr="00F90716">
        <w:rPr>
          <w:lang w:val="en-GB"/>
        </w:rPr>
        <w:tab/>
        <w:t>In August 2015, t</w:t>
      </w:r>
      <w:r w:rsidR="0023367F" w:rsidRPr="00F90716">
        <w:rPr>
          <w:lang w:val="en-GB"/>
        </w:rPr>
        <w:t xml:space="preserve">he author’s counsel contacted </w:t>
      </w:r>
      <w:r w:rsidR="000001E9" w:rsidRPr="00E07EBA">
        <w:rPr>
          <w:lang w:val="en-GB"/>
        </w:rPr>
        <w:t>Mission Essential Personnel</w:t>
      </w:r>
      <w:r w:rsidR="0023367F" w:rsidRPr="00F90716">
        <w:rPr>
          <w:lang w:val="en-GB"/>
        </w:rPr>
        <w:t>, which con</w:t>
      </w:r>
      <w:r w:rsidR="00800692" w:rsidRPr="00F90716">
        <w:rPr>
          <w:lang w:val="en-GB"/>
        </w:rPr>
        <w:t xml:space="preserve">firmed that the author </w:t>
      </w:r>
      <w:r w:rsidR="00FA5F48" w:rsidRPr="00E07EBA">
        <w:rPr>
          <w:lang w:val="en-GB"/>
        </w:rPr>
        <w:t xml:space="preserve">had </w:t>
      </w:r>
      <w:r w:rsidR="00800692" w:rsidRPr="00F90716">
        <w:rPr>
          <w:lang w:val="en-GB"/>
        </w:rPr>
        <w:t xml:space="preserve">never formally </w:t>
      </w:r>
      <w:r w:rsidR="00FA5F48" w:rsidRPr="00E07EBA">
        <w:rPr>
          <w:lang w:val="en-GB"/>
        </w:rPr>
        <w:t xml:space="preserve">given </w:t>
      </w:r>
      <w:r w:rsidR="00800692" w:rsidRPr="00F90716">
        <w:rPr>
          <w:lang w:val="en-GB"/>
        </w:rPr>
        <w:t xml:space="preserve">the </w:t>
      </w:r>
      <w:r w:rsidR="000001E9" w:rsidRPr="00E07EBA">
        <w:rPr>
          <w:lang w:val="en-GB"/>
        </w:rPr>
        <w:t>company</w:t>
      </w:r>
      <w:r w:rsidR="000001E9" w:rsidRPr="00F90716">
        <w:rPr>
          <w:lang w:val="en-GB"/>
        </w:rPr>
        <w:t xml:space="preserve"> </w:t>
      </w:r>
      <w:r w:rsidR="00800692" w:rsidRPr="00F90716">
        <w:rPr>
          <w:lang w:val="en-GB"/>
        </w:rPr>
        <w:t xml:space="preserve">his formal resignation, but </w:t>
      </w:r>
      <w:r w:rsidR="00FA5F48" w:rsidRPr="00E07EBA">
        <w:rPr>
          <w:lang w:val="en-GB"/>
        </w:rPr>
        <w:t xml:space="preserve">had </w:t>
      </w:r>
      <w:r w:rsidR="00800692" w:rsidRPr="00F90716">
        <w:rPr>
          <w:lang w:val="en-GB"/>
        </w:rPr>
        <w:t xml:space="preserve">only orally </w:t>
      </w:r>
      <w:r w:rsidR="00FA5F48" w:rsidRPr="00E07EBA">
        <w:rPr>
          <w:lang w:val="en-GB"/>
        </w:rPr>
        <w:t xml:space="preserve">given the </w:t>
      </w:r>
      <w:r w:rsidR="00800692" w:rsidRPr="00F90716">
        <w:rPr>
          <w:lang w:val="en-GB"/>
        </w:rPr>
        <w:t xml:space="preserve">“point of contact” of his resignation, which was then notified to </w:t>
      </w:r>
      <w:r w:rsidR="000001E9" w:rsidRPr="00E07EBA">
        <w:rPr>
          <w:lang w:val="en-GB"/>
        </w:rPr>
        <w:t>Mission Essential Personnel</w:t>
      </w:r>
      <w:r w:rsidR="00800692" w:rsidRPr="00F90716">
        <w:rPr>
          <w:lang w:val="en-GB"/>
        </w:rPr>
        <w:t>.</w:t>
      </w:r>
      <w:r w:rsidR="00800692" w:rsidRPr="00F90716">
        <w:rPr>
          <w:rStyle w:val="FootnoteReference"/>
          <w:lang w:val="en-GB"/>
        </w:rPr>
        <w:footnoteReference w:id="14"/>
      </w:r>
      <w:r w:rsidR="00800692" w:rsidRPr="00F90716">
        <w:rPr>
          <w:lang w:val="en-GB"/>
        </w:rPr>
        <w:t xml:space="preserve"> </w:t>
      </w:r>
    </w:p>
    <w:p w:rsidR="00AC4D71" w:rsidRPr="00E07EBA" w:rsidRDefault="00E80AFB" w:rsidP="00FA5F48">
      <w:pPr>
        <w:pStyle w:val="SingleTxtG"/>
        <w:rPr>
          <w:lang w:val="en-GB"/>
        </w:rPr>
      </w:pPr>
      <w:r w:rsidRPr="00F90716">
        <w:rPr>
          <w:lang w:val="en-GB"/>
        </w:rPr>
        <w:t>7.3</w:t>
      </w:r>
      <w:r w:rsidRPr="00F90716">
        <w:rPr>
          <w:lang w:val="en-GB"/>
        </w:rPr>
        <w:tab/>
        <w:t xml:space="preserve">The author adds that he </w:t>
      </w:r>
      <w:r w:rsidR="00FA5F48" w:rsidRPr="00E07EBA">
        <w:rPr>
          <w:lang w:val="en-GB"/>
        </w:rPr>
        <w:t xml:space="preserve">had </w:t>
      </w:r>
      <w:r w:rsidRPr="00F90716">
        <w:rPr>
          <w:lang w:val="en-GB"/>
        </w:rPr>
        <w:t xml:space="preserve">left his job and Afghanistan without informing anyone. During his interview with the Danish </w:t>
      </w:r>
      <w:r w:rsidR="00E520C9" w:rsidRPr="00E07EBA">
        <w:rPr>
          <w:lang w:val="en-GB"/>
        </w:rPr>
        <w:t>i</w:t>
      </w:r>
      <w:r w:rsidRPr="00F90716">
        <w:rPr>
          <w:lang w:val="en-GB"/>
        </w:rPr>
        <w:t xml:space="preserve">mmigration </w:t>
      </w:r>
      <w:r w:rsidR="00E520C9" w:rsidRPr="00E07EBA">
        <w:rPr>
          <w:lang w:val="en-GB"/>
        </w:rPr>
        <w:t>s</w:t>
      </w:r>
      <w:r w:rsidRPr="00F90716">
        <w:rPr>
          <w:lang w:val="en-GB"/>
        </w:rPr>
        <w:t xml:space="preserve">ervice on 11 July 2012, he stated that </w:t>
      </w:r>
      <w:r w:rsidR="0060044E" w:rsidRPr="00F90716">
        <w:rPr>
          <w:lang w:val="en-GB"/>
        </w:rPr>
        <w:t>an Afghan colleague of his</w:t>
      </w:r>
      <w:r w:rsidRPr="00F90716">
        <w:rPr>
          <w:lang w:val="en-GB"/>
        </w:rPr>
        <w:t xml:space="preserve">, </w:t>
      </w:r>
      <w:r w:rsidR="00FA5F48" w:rsidRPr="00E07EBA">
        <w:rPr>
          <w:lang w:val="en-GB"/>
        </w:rPr>
        <w:t xml:space="preserve">the </w:t>
      </w:r>
      <w:r w:rsidRPr="00F90716">
        <w:rPr>
          <w:lang w:val="en-GB"/>
        </w:rPr>
        <w:t xml:space="preserve">head of </w:t>
      </w:r>
      <w:r w:rsidR="00FA5F48" w:rsidRPr="00F90716">
        <w:rPr>
          <w:lang w:val="en-GB"/>
        </w:rPr>
        <w:t>interpreting</w:t>
      </w:r>
      <w:r w:rsidRPr="00F90716">
        <w:rPr>
          <w:lang w:val="en-GB"/>
        </w:rPr>
        <w:t xml:space="preserve">, might have stated that the author </w:t>
      </w:r>
      <w:r w:rsidR="00FA5F48" w:rsidRPr="00E07EBA">
        <w:rPr>
          <w:lang w:val="en-GB"/>
        </w:rPr>
        <w:t xml:space="preserve">had </w:t>
      </w:r>
      <w:r w:rsidRPr="00F90716">
        <w:rPr>
          <w:lang w:val="en-GB"/>
        </w:rPr>
        <w:t>resigned for family reasons, so as not to jeopardi</w:t>
      </w:r>
      <w:r w:rsidR="00FA5F48" w:rsidRPr="00E07EBA">
        <w:rPr>
          <w:lang w:val="en-GB"/>
        </w:rPr>
        <w:t>z</w:t>
      </w:r>
      <w:r w:rsidRPr="00F90716">
        <w:rPr>
          <w:lang w:val="en-GB"/>
        </w:rPr>
        <w:t xml:space="preserve">e his possible resumption of duties, and that this reason </w:t>
      </w:r>
      <w:r w:rsidR="00FA5F48" w:rsidRPr="00E07EBA">
        <w:rPr>
          <w:lang w:val="en-GB"/>
        </w:rPr>
        <w:t xml:space="preserve">had </w:t>
      </w:r>
      <w:r w:rsidRPr="00F90716">
        <w:rPr>
          <w:lang w:val="en-GB"/>
        </w:rPr>
        <w:t xml:space="preserve">later </w:t>
      </w:r>
      <w:r w:rsidR="00FA5F48" w:rsidRPr="00E07EBA">
        <w:rPr>
          <w:lang w:val="en-GB"/>
        </w:rPr>
        <w:t xml:space="preserve">been </w:t>
      </w:r>
      <w:r w:rsidRPr="00F90716">
        <w:rPr>
          <w:lang w:val="en-GB"/>
        </w:rPr>
        <w:t xml:space="preserve">retained as the official </w:t>
      </w:r>
      <w:r w:rsidR="00FA5F48" w:rsidRPr="00E07EBA">
        <w:rPr>
          <w:lang w:val="en-GB"/>
        </w:rPr>
        <w:t xml:space="preserve">reason </w:t>
      </w:r>
      <w:r w:rsidRPr="00F90716">
        <w:rPr>
          <w:lang w:val="en-GB"/>
        </w:rPr>
        <w:t>for his resignation.</w:t>
      </w:r>
      <w:r w:rsidR="005F3468" w:rsidRPr="00F90716">
        <w:rPr>
          <w:lang w:val="en-GB"/>
        </w:rPr>
        <w:t xml:space="preserve"> Th</w:t>
      </w:r>
      <w:r w:rsidR="00FA5F48" w:rsidRPr="00E07EBA">
        <w:rPr>
          <w:lang w:val="en-GB"/>
        </w:rPr>
        <w:t>e fact th</w:t>
      </w:r>
      <w:r w:rsidR="005F3468" w:rsidRPr="00F90716">
        <w:rPr>
          <w:lang w:val="en-GB"/>
        </w:rPr>
        <w:t xml:space="preserve">at the author resigned and left the country without telling anyone is further confirmed </w:t>
      </w:r>
      <w:r w:rsidR="00FA5F48" w:rsidRPr="00E07EBA">
        <w:rPr>
          <w:lang w:val="en-GB"/>
        </w:rPr>
        <w:t xml:space="preserve">in </w:t>
      </w:r>
      <w:r w:rsidR="005F3468" w:rsidRPr="00F90716">
        <w:rPr>
          <w:lang w:val="en-GB"/>
        </w:rPr>
        <w:t>an e</w:t>
      </w:r>
      <w:r w:rsidR="00FA5F48" w:rsidRPr="00E07EBA">
        <w:rPr>
          <w:lang w:val="en-GB"/>
        </w:rPr>
        <w:t>-</w:t>
      </w:r>
      <w:r w:rsidR="005F3468" w:rsidRPr="00F90716">
        <w:rPr>
          <w:lang w:val="en-GB"/>
        </w:rPr>
        <w:t xml:space="preserve">mail sent to the author by </w:t>
      </w:r>
      <w:r w:rsidR="0060044E" w:rsidRPr="00F90716">
        <w:rPr>
          <w:lang w:val="en-GB"/>
        </w:rPr>
        <w:t>M.W.</w:t>
      </w:r>
      <w:r w:rsidR="005F3468" w:rsidRPr="00F90716">
        <w:rPr>
          <w:lang w:val="en-GB"/>
        </w:rPr>
        <w:t>, dated 15 January 2013, which states</w:t>
      </w:r>
      <w:r w:rsidR="00D34CF9" w:rsidRPr="00F90716">
        <w:rPr>
          <w:lang w:val="en-GB"/>
        </w:rPr>
        <w:t>:</w:t>
      </w:r>
      <w:r w:rsidR="005F3468" w:rsidRPr="00F90716">
        <w:rPr>
          <w:lang w:val="en-GB"/>
        </w:rPr>
        <w:t xml:space="preserve"> “since you had your vacation in June, you disappeared”.</w:t>
      </w:r>
      <w:r w:rsidR="005F3468" w:rsidRPr="00F90716">
        <w:rPr>
          <w:rStyle w:val="FootnoteReference"/>
          <w:lang w:val="en-GB"/>
        </w:rPr>
        <w:footnoteReference w:id="15"/>
      </w:r>
    </w:p>
    <w:p w:rsidR="00AC4D71" w:rsidRPr="00E07EBA" w:rsidRDefault="00AC4D71">
      <w:pPr>
        <w:pStyle w:val="SingleTxtG"/>
        <w:rPr>
          <w:lang w:val="en-GB"/>
        </w:rPr>
      </w:pPr>
      <w:r w:rsidRPr="00F90716">
        <w:rPr>
          <w:lang w:val="en-GB"/>
        </w:rPr>
        <w:t>7.4</w:t>
      </w:r>
      <w:r w:rsidRPr="00F90716">
        <w:rPr>
          <w:lang w:val="en-GB"/>
        </w:rPr>
        <w:tab/>
        <w:t xml:space="preserve">The author agrees that there are discrepancies in dates: </w:t>
      </w:r>
      <w:r w:rsidR="00FA5F48" w:rsidRPr="00E07EBA">
        <w:rPr>
          <w:lang w:val="en-GB"/>
        </w:rPr>
        <w:t>i</w:t>
      </w:r>
      <w:r w:rsidRPr="00F90716">
        <w:rPr>
          <w:lang w:val="en-GB"/>
        </w:rPr>
        <w:t xml:space="preserve">n the letter from </w:t>
      </w:r>
      <w:r w:rsidR="0060044E" w:rsidRPr="00F90716">
        <w:rPr>
          <w:lang w:val="en-GB"/>
        </w:rPr>
        <w:t>J.S.</w:t>
      </w:r>
      <w:r w:rsidRPr="00F90716">
        <w:rPr>
          <w:lang w:val="en-GB"/>
        </w:rPr>
        <w:t xml:space="preserve">, it is stated that the author acted as an interpreter for </w:t>
      </w:r>
      <w:r w:rsidR="005909E6" w:rsidRPr="00E07EBA">
        <w:rPr>
          <w:lang w:val="en-GB"/>
        </w:rPr>
        <w:t>international security forces</w:t>
      </w:r>
      <w:r w:rsidRPr="00F90716">
        <w:rPr>
          <w:lang w:val="en-GB"/>
        </w:rPr>
        <w:t xml:space="preserve"> </w:t>
      </w:r>
      <w:r w:rsidR="00FA5F48" w:rsidRPr="00E07EBA">
        <w:rPr>
          <w:lang w:val="en-GB"/>
        </w:rPr>
        <w:t xml:space="preserve">at </w:t>
      </w:r>
      <w:r w:rsidRPr="00F90716">
        <w:rPr>
          <w:lang w:val="en-GB"/>
        </w:rPr>
        <w:t xml:space="preserve">Qalat police headquarters </w:t>
      </w:r>
      <w:r w:rsidR="00A75A1B" w:rsidRPr="00E07EBA">
        <w:rPr>
          <w:lang w:val="en-GB"/>
        </w:rPr>
        <w:t xml:space="preserve">in </w:t>
      </w:r>
      <w:r w:rsidRPr="00F90716">
        <w:rPr>
          <w:lang w:val="en-GB"/>
        </w:rPr>
        <w:t xml:space="preserve">Zabul from 1 July 2010 to </w:t>
      </w:r>
      <w:r w:rsidR="00837FFB" w:rsidRPr="00F90716">
        <w:rPr>
          <w:lang w:val="en-GB"/>
        </w:rPr>
        <w:t>31 May</w:t>
      </w:r>
      <w:r w:rsidRPr="00F90716">
        <w:rPr>
          <w:lang w:val="en-GB"/>
        </w:rPr>
        <w:t xml:space="preserve"> 2011; in </w:t>
      </w:r>
      <w:r w:rsidR="0033367D">
        <w:rPr>
          <w:lang w:val="en-GB"/>
        </w:rPr>
        <w:t>the consultation response of 12 </w:t>
      </w:r>
      <w:r w:rsidRPr="00F90716">
        <w:rPr>
          <w:lang w:val="en-GB"/>
        </w:rPr>
        <w:t xml:space="preserve">June from </w:t>
      </w:r>
      <w:r w:rsidR="000001E9" w:rsidRPr="00E07EBA">
        <w:rPr>
          <w:lang w:val="en-GB"/>
        </w:rPr>
        <w:t>Mission Essential Personnel</w:t>
      </w:r>
      <w:r w:rsidRPr="00F90716">
        <w:rPr>
          <w:lang w:val="en-GB"/>
        </w:rPr>
        <w:t>, received by the Danish Ministry of Foreign Affairs, the author is reported to have worked from April 2010 to 1 May 2011; finally</w:t>
      </w:r>
      <w:r w:rsidR="00FA5F48" w:rsidRPr="00E07EBA">
        <w:rPr>
          <w:lang w:val="en-GB"/>
        </w:rPr>
        <w:t>,</w:t>
      </w:r>
      <w:r w:rsidRPr="00F90716">
        <w:rPr>
          <w:lang w:val="en-GB"/>
        </w:rPr>
        <w:t xml:space="preserve"> in the le</w:t>
      </w:r>
      <w:r w:rsidR="00AF1EEE" w:rsidRPr="00F90716">
        <w:rPr>
          <w:lang w:val="en-GB"/>
        </w:rPr>
        <w:t xml:space="preserve">tter produced by </w:t>
      </w:r>
      <w:r w:rsidR="0060044E" w:rsidRPr="00F90716">
        <w:rPr>
          <w:lang w:val="en-GB"/>
        </w:rPr>
        <w:t>S.B.</w:t>
      </w:r>
      <w:r w:rsidR="00AF1EEE" w:rsidRPr="00F90716">
        <w:rPr>
          <w:lang w:val="en-GB"/>
        </w:rPr>
        <w:t xml:space="preserve"> </w:t>
      </w:r>
      <w:r w:rsidR="00FA5F48" w:rsidRPr="00E07EBA">
        <w:rPr>
          <w:lang w:val="en-GB"/>
        </w:rPr>
        <w:t>— </w:t>
      </w:r>
      <w:r w:rsidRPr="00F90716">
        <w:rPr>
          <w:lang w:val="en-GB"/>
        </w:rPr>
        <w:t>the a</w:t>
      </w:r>
      <w:r w:rsidR="00AF1EEE" w:rsidRPr="00F90716">
        <w:rPr>
          <w:lang w:val="en-GB"/>
        </w:rPr>
        <w:t xml:space="preserve">uthor’s legal counsel in the </w:t>
      </w:r>
      <w:r w:rsidR="00E7218F" w:rsidRPr="00E07EBA">
        <w:rPr>
          <w:lang w:val="en-GB"/>
        </w:rPr>
        <w:t xml:space="preserve">United States </w:t>
      </w:r>
      <w:r w:rsidR="00FA5F48" w:rsidRPr="00E07EBA">
        <w:rPr>
          <w:lang w:val="en-GB"/>
        </w:rPr>
        <w:t>— </w:t>
      </w:r>
      <w:r w:rsidRPr="00F90716">
        <w:rPr>
          <w:lang w:val="en-GB"/>
        </w:rPr>
        <w:t xml:space="preserve">received from </w:t>
      </w:r>
      <w:r w:rsidR="0060044E" w:rsidRPr="00F90716">
        <w:rPr>
          <w:lang w:val="en-GB"/>
        </w:rPr>
        <w:t xml:space="preserve">J.A., it appears that J.A </w:t>
      </w:r>
      <w:r w:rsidRPr="00F90716">
        <w:rPr>
          <w:lang w:val="en-GB"/>
        </w:rPr>
        <w:t>was the author’s supervisor from 15 July 2010 to 20 May 2011</w:t>
      </w:r>
      <w:r w:rsidR="00AF1EEE" w:rsidRPr="00F90716">
        <w:rPr>
          <w:lang w:val="en-GB"/>
        </w:rPr>
        <w:t>. Consequently, a</w:t>
      </w:r>
      <w:r w:rsidRPr="00F90716">
        <w:rPr>
          <w:lang w:val="en-GB"/>
        </w:rPr>
        <w:t>ccording to the author, such discrepancies support the fact that there is no precise date for his resignation, as the</w:t>
      </w:r>
      <w:r w:rsidR="00484A40" w:rsidRPr="00F90716">
        <w:rPr>
          <w:lang w:val="en-GB"/>
        </w:rPr>
        <w:t>re was no official resignation.</w:t>
      </w:r>
    </w:p>
    <w:p w:rsidR="00C8533C" w:rsidRPr="00E07EBA" w:rsidRDefault="00AC4D71" w:rsidP="00FA5F48">
      <w:pPr>
        <w:pStyle w:val="SingleTxtG"/>
        <w:rPr>
          <w:lang w:val="en-GB"/>
        </w:rPr>
      </w:pPr>
      <w:r w:rsidRPr="00F90716">
        <w:rPr>
          <w:lang w:val="en-GB"/>
        </w:rPr>
        <w:t>7.5</w:t>
      </w:r>
      <w:r w:rsidRPr="00F90716">
        <w:rPr>
          <w:lang w:val="en-GB"/>
        </w:rPr>
        <w:tab/>
      </w:r>
      <w:r w:rsidR="00FA5F48" w:rsidRPr="00E07EBA">
        <w:rPr>
          <w:lang w:val="en-GB"/>
        </w:rPr>
        <w:t xml:space="preserve">However, </w:t>
      </w:r>
      <w:r w:rsidRPr="00F90716">
        <w:rPr>
          <w:lang w:val="en-GB"/>
        </w:rPr>
        <w:t xml:space="preserve">the author notes that the main reason for the rejection of his claims is </w:t>
      </w:r>
      <w:r w:rsidR="00A976B5" w:rsidRPr="00F90716">
        <w:rPr>
          <w:lang w:val="en-GB"/>
        </w:rPr>
        <w:t xml:space="preserve">precisely </w:t>
      </w:r>
      <w:r w:rsidRPr="00F90716">
        <w:rPr>
          <w:lang w:val="en-GB"/>
        </w:rPr>
        <w:t xml:space="preserve">the discrepancies in the dates for his resignation, although the </w:t>
      </w:r>
      <w:r w:rsidR="0008593B" w:rsidRPr="00E07EBA">
        <w:rPr>
          <w:lang w:val="en-GB"/>
        </w:rPr>
        <w:t>refugee appeals board</w:t>
      </w:r>
      <w:r w:rsidRPr="00F90716">
        <w:rPr>
          <w:lang w:val="en-GB"/>
        </w:rPr>
        <w:t xml:space="preserve"> accepted for a fact that the author acted as interpreter for the </w:t>
      </w:r>
      <w:r w:rsidR="00FA5F48" w:rsidRPr="00E07EBA">
        <w:rPr>
          <w:lang w:val="en-GB"/>
        </w:rPr>
        <w:t xml:space="preserve">United States </w:t>
      </w:r>
      <w:r w:rsidRPr="00F90716">
        <w:rPr>
          <w:lang w:val="en-GB"/>
        </w:rPr>
        <w:t>forces in Afghanistan. The author reiterates that</w:t>
      </w:r>
      <w:r w:rsidR="00FA5F48" w:rsidRPr="00E07EBA">
        <w:rPr>
          <w:lang w:val="en-GB"/>
        </w:rPr>
        <w:t>,</w:t>
      </w:r>
      <w:r w:rsidRPr="00F90716">
        <w:rPr>
          <w:lang w:val="en-GB"/>
        </w:rPr>
        <w:t xml:space="preserve"> by upholding the denial of his asylum claim, the State party has </w:t>
      </w:r>
      <w:r w:rsidR="00FA5F48" w:rsidRPr="00E07EBA">
        <w:rPr>
          <w:lang w:val="en-GB"/>
        </w:rPr>
        <w:t xml:space="preserve">put at </w:t>
      </w:r>
      <w:r w:rsidRPr="00F90716">
        <w:rPr>
          <w:lang w:val="en-GB"/>
        </w:rPr>
        <w:t>great risk his right to life and his right not to be exposed to acts of torture or other degrading treatment if he were returned to Afghanistan.</w:t>
      </w:r>
    </w:p>
    <w:p w:rsidR="00E11ABE" w:rsidRPr="00E07EBA" w:rsidRDefault="00484A40" w:rsidP="00484A40">
      <w:pPr>
        <w:pStyle w:val="H23G"/>
      </w:pPr>
      <w:r w:rsidRPr="00E07EBA">
        <w:tab/>
      </w:r>
      <w:r w:rsidRPr="00E07EBA">
        <w:tab/>
      </w:r>
      <w:r w:rsidR="00F35149" w:rsidRPr="00E07EBA">
        <w:t>Issues and p</w:t>
      </w:r>
      <w:r w:rsidRPr="00E07EBA">
        <w:t>roceedings before the Committee</w:t>
      </w:r>
    </w:p>
    <w:p w:rsidR="00E11ABE" w:rsidRPr="00E07EBA" w:rsidRDefault="00484A40" w:rsidP="00484A40">
      <w:pPr>
        <w:pStyle w:val="H4G"/>
      </w:pPr>
      <w:r w:rsidRPr="00E07EBA">
        <w:tab/>
      </w:r>
      <w:r w:rsidRPr="00E07EBA">
        <w:tab/>
        <w:t>Consideration of admissibility</w:t>
      </w:r>
    </w:p>
    <w:p w:rsidR="00A009A6" w:rsidRPr="00E07EBA" w:rsidRDefault="00721D83" w:rsidP="00484A40">
      <w:pPr>
        <w:pStyle w:val="SingleTxtG"/>
        <w:rPr>
          <w:lang w:val="en-GB"/>
        </w:rPr>
      </w:pPr>
      <w:r w:rsidRPr="00F90716">
        <w:rPr>
          <w:lang w:val="en-GB"/>
        </w:rPr>
        <w:t>8</w:t>
      </w:r>
      <w:r w:rsidR="00F35149" w:rsidRPr="00F90716">
        <w:rPr>
          <w:lang w:val="en-GB"/>
        </w:rPr>
        <w:t>.1</w:t>
      </w:r>
      <w:r w:rsidR="00F35149" w:rsidRPr="00F90716">
        <w:rPr>
          <w:lang w:val="en-GB"/>
        </w:rPr>
        <w:tab/>
        <w:t>Before considering any claims contained in a communication, the Human Rights Committee must, in accordance with rule 93 of its rules of procedure, decide whether or not it is admissible under the Optional Protocol to the Covenant.</w:t>
      </w:r>
    </w:p>
    <w:p w:rsidR="00A009A6" w:rsidRPr="00E07EBA" w:rsidRDefault="00721D83">
      <w:pPr>
        <w:pStyle w:val="SingleTxtG"/>
        <w:rPr>
          <w:lang w:val="en-GB"/>
        </w:rPr>
      </w:pPr>
      <w:r w:rsidRPr="00F90716">
        <w:rPr>
          <w:lang w:val="en-GB"/>
        </w:rPr>
        <w:t>8</w:t>
      </w:r>
      <w:r w:rsidR="00F35149" w:rsidRPr="00F90716">
        <w:rPr>
          <w:lang w:val="en-GB"/>
        </w:rPr>
        <w:t>.2</w:t>
      </w:r>
      <w:r w:rsidR="00F35149" w:rsidRPr="00F90716">
        <w:rPr>
          <w:lang w:val="en-GB"/>
        </w:rPr>
        <w:tab/>
        <w:t xml:space="preserve">The Committee has ascertained, as required </w:t>
      </w:r>
      <w:r w:rsidR="0061544C" w:rsidRPr="00E07EBA">
        <w:rPr>
          <w:lang w:val="en-GB"/>
        </w:rPr>
        <w:t xml:space="preserve">under </w:t>
      </w:r>
      <w:r w:rsidR="00F35149" w:rsidRPr="00F90716">
        <w:rPr>
          <w:lang w:val="en-GB"/>
        </w:rPr>
        <w:t xml:space="preserve">article 5 </w:t>
      </w:r>
      <w:r w:rsidR="00A219C7" w:rsidRPr="00E07EBA">
        <w:rPr>
          <w:lang w:val="en-GB"/>
        </w:rPr>
        <w:t>(</w:t>
      </w:r>
      <w:r w:rsidR="00F35149" w:rsidRPr="00F90716">
        <w:rPr>
          <w:lang w:val="en-GB"/>
        </w:rPr>
        <w:t>2</w:t>
      </w:r>
      <w:r w:rsidR="00A219C7" w:rsidRPr="00E07EBA">
        <w:rPr>
          <w:lang w:val="en-GB"/>
        </w:rPr>
        <w:t>)</w:t>
      </w:r>
      <w:r w:rsidR="00F35149" w:rsidRPr="00F90716">
        <w:rPr>
          <w:lang w:val="en-GB"/>
        </w:rPr>
        <w:t xml:space="preserve"> (a) of the Optional Protocol, that the same matter is not being examined under </w:t>
      </w:r>
      <w:r w:rsidR="00D15ECA" w:rsidRPr="00F90716">
        <w:rPr>
          <w:lang w:val="en-GB"/>
        </w:rPr>
        <w:t>an</w:t>
      </w:r>
      <w:r w:rsidR="00F35149" w:rsidRPr="00F90716">
        <w:rPr>
          <w:lang w:val="en-GB"/>
        </w:rPr>
        <w:t>other procedure of international investigation or settlement.</w:t>
      </w:r>
      <w:r w:rsidR="00F573E7" w:rsidRPr="00F90716">
        <w:rPr>
          <w:lang w:val="en-GB"/>
        </w:rPr>
        <w:t xml:space="preserve"> </w:t>
      </w:r>
      <w:r w:rsidR="0086775C" w:rsidRPr="00F90716">
        <w:rPr>
          <w:lang w:val="en-GB"/>
        </w:rPr>
        <w:t xml:space="preserve">The Committee </w:t>
      </w:r>
      <w:r w:rsidR="00F573E7" w:rsidRPr="00F90716">
        <w:rPr>
          <w:lang w:val="en-GB"/>
        </w:rPr>
        <w:t xml:space="preserve">notes that it is undisputed that the </w:t>
      </w:r>
      <w:r w:rsidR="00F573E7" w:rsidRPr="00F90716">
        <w:rPr>
          <w:lang w:val="en-GB"/>
        </w:rPr>
        <w:lastRenderedPageBreak/>
        <w:t xml:space="preserve">author has exhausted all available domestic remedies, as </w:t>
      </w:r>
      <w:r w:rsidR="008C7622" w:rsidRPr="00F90716">
        <w:rPr>
          <w:lang w:val="en-GB"/>
        </w:rPr>
        <w:t xml:space="preserve">required by </w:t>
      </w:r>
      <w:r w:rsidR="00F60C3B" w:rsidRPr="00F90716">
        <w:rPr>
          <w:lang w:val="en-GB"/>
        </w:rPr>
        <w:t xml:space="preserve">article 5 </w:t>
      </w:r>
      <w:r w:rsidR="00A219C7" w:rsidRPr="00E07EBA">
        <w:rPr>
          <w:lang w:val="en-GB"/>
        </w:rPr>
        <w:t>(</w:t>
      </w:r>
      <w:r w:rsidR="00F60C3B" w:rsidRPr="00F90716">
        <w:rPr>
          <w:lang w:val="en-GB"/>
        </w:rPr>
        <w:t>2</w:t>
      </w:r>
      <w:r w:rsidR="00A219C7" w:rsidRPr="00E07EBA">
        <w:rPr>
          <w:lang w:val="en-GB"/>
        </w:rPr>
        <w:t>)</w:t>
      </w:r>
      <w:r w:rsidR="00F60C3B" w:rsidRPr="00F90716">
        <w:rPr>
          <w:lang w:val="en-GB"/>
        </w:rPr>
        <w:t xml:space="preserve"> (b) of the Optional Protocol.</w:t>
      </w:r>
      <w:r w:rsidR="00D42B6D" w:rsidRPr="00F90716">
        <w:rPr>
          <w:lang w:val="en-GB"/>
        </w:rPr>
        <w:t xml:space="preserve"> </w:t>
      </w:r>
    </w:p>
    <w:p w:rsidR="00E7218F" w:rsidRPr="00E07EBA" w:rsidRDefault="00721D83">
      <w:pPr>
        <w:pStyle w:val="SingleTxtG"/>
        <w:rPr>
          <w:lang w:val="en-GB"/>
        </w:rPr>
      </w:pPr>
      <w:r w:rsidRPr="00F90716">
        <w:rPr>
          <w:lang w:val="en-GB"/>
        </w:rPr>
        <w:t>8.3</w:t>
      </w:r>
      <w:r w:rsidR="00382A62" w:rsidRPr="00F90716">
        <w:rPr>
          <w:lang w:val="en-GB"/>
        </w:rPr>
        <w:tab/>
      </w:r>
      <w:r w:rsidR="00BD465B" w:rsidRPr="00F90716">
        <w:rPr>
          <w:lang w:val="en-GB"/>
        </w:rPr>
        <w:t xml:space="preserve">The Committee </w:t>
      </w:r>
      <w:r w:rsidR="00E7218F" w:rsidRPr="00E07EBA">
        <w:rPr>
          <w:lang w:val="en-GB"/>
        </w:rPr>
        <w:t xml:space="preserve">takes </w:t>
      </w:r>
      <w:r w:rsidR="00BD465B" w:rsidRPr="00F90716">
        <w:rPr>
          <w:lang w:val="en-GB"/>
        </w:rPr>
        <w:t xml:space="preserve">note of the author’s claim </w:t>
      </w:r>
      <w:r w:rsidR="00FD314D" w:rsidRPr="00F90716">
        <w:rPr>
          <w:lang w:val="en-GB"/>
        </w:rPr>
        <w:t>that</w:t>
      </w:r>
      <w:r w:rsidR="00E7218F" w:rsidRPr="00E07EBA">
        <w:rPr>
          <w:lang w:val="en-GB"/>
        </w:rPr>
        <w:t>,</w:t>
      </w:r>
      <w:r w:rsidR="00FD314D" w:rsidRPr="00F90716">
        <w:rPr>
          <w:lang w:val="en-GB"/>
        </w:rPr>
        <w:t xml:space="preserve"> </w:t>
      </w:r>
      <w:r w:rsidR="00663A05" w:rsidRPr="00F90716">
        <w:rPr>
          <w:lang w:val="en-GB"/>
        </w:rPr>
        <w:t xml:space="preserve">as an interpreter, which </w:t>
      </w:r>
      <w:r w:rsidR="00FD314D" w:rsidRPr="00F90716">
        <w:rPr>
          <w:lang w:val="en-GB"/>
        </w:rPr>
        <w:t>implies</w:t>
      </w:r>
      <w:r w:rsidR="00663A05" w:rsidRPr="00F90716">
        <w:rPr>
          <w:lang w:val="en-GB"/>
        </w:rPr>
        <w:t xml:space="preserve"> a manifestation of his right to freedom of expression, </w:t>
      </w:r>
      <w:r w:rsidR="00FD314D" w:rsidRPr="00F90716">
        <w:rPr>
          <w:lang w:val="en-GB"/>
        </w:rPr>
        <w:t xml:space="preserve">his rights under article 19 </w:t>
      </w:r>
      <w:r w:rsidR="00A6576F" w:rsidRPr="00F90716">
        <w:rPr>
          <w:lang w:val="en-GB"/>
        </w:rPr>
        <w:t>would be breached if he was</w:t>
      </w:r>
      <w:r w:rsidR="00FD314D" w:rsidRPr="00F90716">
        <w:rPr>
          <w:lang w:val="en-GB"/>
        </w:rPr>
        <w:t xml:space="preserve"> removed</w:t>
      </w:r>
      <w:r w:rsidR="00663A05" w:rsidRPr="00F90716">
        <w:rPr>
          <w:lang w:val="en-GB"/>
        </w:rPr>
        <w:t xml:space="preserve"> to Afghanistan. In </w:t>
      </w:r>
      <w:r w:rsidR="00E7218F" w:rsidRPr="00E07EBA">
        <w:rPr>
          <w:lang w:val="en-GB"/>
        </w:rPr>
        <w:t xml:space="preserve">that </w:t>
      </w:r>
      <w:r w:rsidR="00663A05" w:rsidRPr="00F90716">
        <w:rPr>
          <w:lang w:val="en-GB"/>
        </w:rPr>
        <w:t xml:space="preserve">connection, the Committee notes that the State party has argued that </w:t>
      </w:r>
      <w:r w:rsidR="00993A29" w:rsidRPr="00F90716">
        <w:rPr>
          <w:lang w:val="en-GB"/>
        </w:rPr>
        <w:t xml:space="preserve">the </w:t>
      </w:r>
      <w:r w:rsidR="00663A05" w:rsidRPr="00F90716">
        <w:rPr>
          <w:lang w:val="en-GB"/>
        </w:rPr>
        <w:t xml:space="preserve">author’s claim under article 19 is inadmissible </w:t>
      </w:r>
      <w:r w:rsidR="00663A05" w:rsidRPr="00F90716">
        <w:rPr>
          <w:i/>
          <w:lang w:val="en-GB"/>
        </w:rPr>
        <w:t xml:space="preserve">ratione loci </w:t>
      </w:r>
      <w:r w:rsidR="00663A05" w:rsidRPr="00F90716">
        <w:rPr>
          <w:lang w:val="en-GB"/>
        </w:rPr>
        <w:t xml:space="preserve">and </w:t>
      </w:r>
      <w:r w:rsidR="00663A05" w:rsidRPr="00F90716">
        <w:rPr>
          <w:i/>
          <w:lang w:val="en-GB"/>
        </w:rPr>
        <w:t>ratione materiae</w:t>
      </w:r>
      <w:r w:rsidR="00D1223B" w:rsidRPr="00F90716">
        <w:rPr>
          <w:lang w:val="en-GB"/>
        </w:rPr>
        <w:t xml:space="preserve">. The Committee </w:t>
      </w:r>
      <w:r w:rsidR="00D1223B" w:rsidRPr="00E07EBA">
        <w:rPr>
          <w:lang w:val="en-GB"/>
        </w:rPr>
        <w:t>recalls that article 2</w:t>
      </w:r>
      <w:r w:rsidR="00114E0B" w:rsidRPr="00F90716">
        <w:rPr>
          <w:lang w:val="en-GB"/>
        </w:rPr>
        <w:t xml:space="preserve"> of the Covenant imposes an</w:t>
      </w:r>
      <w:r w:rsidR="00D1223B" w:rsidRPr="00F90716">
        <w:rPr>
          <w:lang w:val="en-GB"/>
        </w:rPr>
        <w:t xml:space="preserve"> obligation </w:t>
      </w:r>
      <w:r w:rsidR="00114E0B" w:rsidRPr="00F90716">
        <w:rPr>
          <w:lang w:val="en-GB"/>
        </w:rPr>
        <w:t>upon</w:t>
      </w:r>
      <w:r w:rsidR="00D1223B" w:rsidRPr="00F90716">
        <w:rPr>
          <w:lang w:val="en-GB"/>
        </w:rPr>
        <w:t xml:space="preserve"> States Parties not to deport a person from their territory where there are substantial grounds for believing that there is a real risk of irreparable harm</w:t>
      </w:r>
      <w:r w:rsidR="00D1223B" w:rsidRPr="00F90716">
        <w:rPr>
          <w:i/>
          <w:lang w:val="en-GB"/>
        </w:rPr>
        <w:t xml:space="preserve">, </w:t>
      </w:r>
      <w:r w:rsidR="00D1223B" w:rsidRPr="00F90716">
        <w:rPr>
          <w:lang w:val="en-GB"/>
        </w:rPr>
        <w:t>such as that contemplated by articles 6 and 7 of the Covenant</w:t>
      </w:r>
      <w:r w:rsidR="00E7218F" w:rsidRPr="00E07EBA">
        <w:rPr>
          <w:lang w:val="en-GB"/>
        </w:rPr>
        <w:t>,</w:t>
      </w:r>
      <w:r w:rsidR="00114E0B" w:rsidRPr="00F90716">
        <w:rPr>
          <w:i/>
          <w:lang w:val="en-GB"/>
        </w:rPr>
        <w:t xml:space="preserve"> </w:t>
      </w:r>
      <w:r w:rsidR="00D1223B" w:rsidRPr="00F90716">
        <w:rPr>
          <w:lang w:val="en-GB"/>
        </w:rPr>
        <w:t>in the country to which removal is to be effected</w:t>
      </w:r>
      <w:r w:rsidR="00114E0B" w:rsidRPr="00F90716">
        <w:rPr>
          <w:lang w:val="en-GB"/>
        </w:rPr>
        <w:t>.</w:t>
      </w:r>
      <w:r w:rsidR="00114E0B" w:rsidRPr="003625FE">
        <w:rPr>
          <w:rStyle w:val="FootnoteReference"/>
        </w:rPr>
        <w:footnoteReference w:id="16"/>
      </w:r>
      <w:r w:rsidR="003464FF" w:rsidRPr="00E07EBA">
        <w:rPr>
          <w:lang w:val="en-GB"/>
        </w:rPr>
        <w:t xml:space="preserve"> </w:t>
      </w:r>
      <w:r w:rsidR="00114E0B" w:rsidRPr="00F90716">
        <w:rPr>
          <w:lang w:val="en-GB"/>
        </w:rPr>
        <w:t xml:space="preserve">Accordingly, to the extent that </w:t>
      </w:r>
      <w:r w:rsidR="00663A05" w:rsidRPr="00F90716">
        <w:rPr>
          <w:lang w:val="en-GB"/>
        </w:rPr>
        <w:t xml:space="preserve">the author’s allegations of a violation </w:t>
      </w:r>
      <w:r w:rsidR="00114E0B" w:rsidRPr="00F90716">
        <w:rPr>
          <w:lang w:val="en-GB"/>
        </w:rPr>
        <w:t>of article 19 rely</w:t>
      </w:r>
      <w:r w:rsidR="00663A05" w:rsidRPr="00F90716">
        <w:rPr>
          <w:lang w:val="en-GB"/>
        </w:rPr>
        <w:t xml:space="preserve"> on consequences that he </w:t>
      </w:r>
      <w:r w:rsidR="00E7218F" w:rsidRPr="00E07EBA">
        <w:rPr>
          <w:lang w:val="en-GB"/>
        </w:rPr>
        <w:t xml:space="preserve">would </w:t>
      </w:r>
      <w:r w:rsidR="00663A05" w:rsidRPr="00F90716">
        <w:rPr>
          <w:lang w:val="en-GB"/>
        </w:rPr>
        <w:t>allegedly suffer if returned to Afghanistan</w:t>
      </w:r>
      <w:r w:rsidR="00114E0B" w:rsidRPr="00F90716">
        <w:rPr>
          <w:lang w:val="en-GB"/>
        </w:rPr>
        <w:t xml:space="preserve">, </w:t>
      </w:r>
      <w:r w:rsidR="0027243E" w:rsidRPr="00E07EBA">
        <w:rPr>
          <w:lang w:val="en-GB"/>
        </w:rPr>
        <w:t xml:space="preserve">and that article 19 does not have extraterritorial application, </w:t>
      </w:r>
      <w:r w:rsidR="00114E0B" w:rsidRPr="00F90716">
        <w:rPr>
          <w:lang w:val="en-GB"/>
        </w:rPr>
        <w:t>the</w:t>
      </w:r>
      <w:r w:rsidR="00663A05" w:rsidRPr="00F90716">
        <w:rPr>
          <w:lang w:val="en-GB"/>
        </w:rPr>
        <w:t xml:space="preserve"> Committee considers that </w:t>
      </w:r>
      <w:r w:rsidR="00D1223B" w:rsidRPr="00F90716">
        <w:rPr>
          <w:lang w:val="en-GB"/>
        </w:rPr>
        <w:t>this part of</w:t>
      </w:r>
      <w:r w:rsidR="003464FF" w:rsidRPr="00E07EBA">
        <w:rPr>
          <w:lang w:val="en-GB"/>
        </w:rPr>
        <w:t xml:space="preserve"> </w:t>
      </w:r>
      <w:r w:rsidR="00D1223B" w:rsidRPr="00F90716">
        <w:rPr>
          <w:lang w:val="en-GB"/>
        </w:rPr>
        <w:t xml:space="preserve">the author’s complaint is incompatible </w:t>
      </w:r>
      <w:r w:rsidR="00D1223B" w:rsidRPr="00F90716">
        <w:rPr>
          <w:i/>
          <w:iCs/>
          <w:lang w:val="en-GB"/>
        </w:rPr>
        <w:t>ratione materiae</w:t>
      </w:r>
      <w:r w:rsidR="00D1223B" w:rsidRPr="00F90716">
        <w:rPr>
          <w:lang w:val="en-GB"/>
        </w:rPr>
        <w:t xml:space="preserve"> with the provisions of the Covenant and declares it inadmissible under article 3 of the Optional Protocol. </w:t>
      </w:r>
    </w:p>
    <w:p w:rsidR="00B37F9D" w:rsidRPr="00E07EBA" w:rsidRDefault="00BD465B" w:rsidP="003625FE">
      <w:pPr>
        <w:pStyle w:val="SingleTxtG"/>
        <w:rPr>
          <w:lang w:val="en-GB"/>
        </w:rPr>
      </w:pPr>
      <w:r w:rsidRPr="00F90716">
        <w:rPr>
          <w:lang w:val="en-GB"/>
        </w:rPr>
        <w:t>8.4</w:t>
      </w:r>
      <w:r w:rsidRPr="00F90716">
        <w:rPr>
          <w:lang w:val="en-GB"/>
        </w:rPr>
        <w:tab/>
      </w:r>
      <w:r w:rsidR="00382A62" w:rsidRPr="00F90716">
        <w:rPr>
          <w:lang w:val="en-GB"/>
        </w:rPr>
        <w:t xml:space="preserve">The Committee notes the State party’s argument that the author’s claims with respect to </w:t>
      </w:r>
      <w:r w:rsidR="009F003E" w:rsidRPr="00F90716">
        <w:rPr>
          <w:lang w:val="en-GB"/>
        </w:rPr>
        <w:t>article</w:t>
      </w:r>
      <w:r w:rsidR="00382A62" w:rsidRPr="00F90716">
        <w:rPr>
          <w:lang w:val="en-GB"/>
        </w:rPr>
        <w:t xml:space="preserve"> 7 of the Covenant should be held inadmissible owing to insufficient substantiation</w:t>
      </w:r>
      <w:r w:rsidR="00E7218F" w:rsidRPr="00E07EBA">
        <w:rPr>
          <w:lang w:val="en-GB"/>
        </w:rPr>
        <w:t>,</w:t>
      </w:r>
      <w:r w:rsidR="00382A62" w:rsidRPr="00F90716">
        <w:rPr>
          <w:lang w:val="en-GB"/>
        </w:rPr>
        <w:t xml:space="preserve"> as the author </w:t>
      </w:r>
      <w:r w:rsidR="00AE02DC">
        <w:rPr>
          <w:lang w:val="en-GB"/>
        </w:rPr>
        <w:t>“</w:t>
      </w:r>
      <w:r w:rsidR="00382A62" w:rsidRPr="00F90716">
        <w:rPr>
          <w:lang w:val="en-GB"/>
        </w:rPr>
        <w:t>has failed to establish a prima facie case for the purpose of admissibility of his communication</w:t>
      </w:r>
      <w:r w:rsidR="00AE02DC">
        <w:rPr>
          <w:lang w:val="en-GB"/>
        </w:rPr>
        <w:t>”</w:t>
      </w:r>
      <w:r w:rsidR="00382A62" w:rsidRPr="00F90716">
        <w:rPr>
          <w:lang w:val="en-GB"/>
        </w:rPr>
        <w:t xml:space="preserve">. </w:t>
      </w:r>
      <w:r w:rsidR="00D42B6D" w:rsidRPr="00F90716">
        <w:rPr>
          <w:lang w:val="en-GB"/>
        </w:rPr>
        <w:t>At the same time, however, t</w:t>
      </w:r>
      <w:r w:rsidR="00382A62" w:rsidRPr="00F90716">
        <w:rPr>
          <w:lang w:val="en-GB"/>
        </w:rPr>
        <w:t xml:space="preserve">he Committee notes the </w:t>
      </w:r>
      <w:r w:rsidR="00B83477" w:rsidRPr="00F90716">
        <w:rPr>
          <w:lang w:val="en-GB"/>
        </w:rPr>
        <w:t xml:space="preserve">author’s detailed claims regarding the existing risks for him if deported to Afghanistan </w:t>
      </w:r>
      <w:r w:rsidR="00382A62" w:rsidRPr="00F90716">
        <w:rPr>
          <w:lang w:val="en-GB"/>
        </w:rPr>
        <w:t xml:space="preserve">due to </w:t>
      </w:r>
      <w:r w:rsidR="00B83477" w:rsidRPr="00F90716">
        <w:rPr>
          <w:lang w:val="en-GB"/>
        </w:rPr>
        <w:t>hi</w:t>
      </w:r>
      <w:r w:rsidR="00382A62" w:rsidRPr="00F90716">
        <w:rPr>
          <w:lang w:val="en-GB"/>
        </w:rPr>
        <w:t xml:space="preserve">s </w:t>
      </w:r>
      <w:r w:rsidR="00B83477" w:rsidRPr="00F90716">
        <w:rPr>
          <w:lang w:val="en-GB"/>
        </w:rPr>
        <w:t xml:space="preserve">past </w:t>
      </w:r>
      <w:r w:rsidR="00382A62" w:rsidRPr="00F90716">
        <w:rPr>
          <w:lang w:val="en-GB"/>
        </w:rPr>
        <w:t xml:space="preserve">work </w:t>
      </w:r>
      <w:r w:rsidR="00891A7D" w:rsidRPr="00F90716">
        <w:rPr>
          <w:lang w:val="en-GB"/>
        </w:rPr>
        <w:t>as an interpreter</w:t>
      </w:r>
      <w:r w:rsidR="00A72875" w:rsidRPr="00F90716">
        <w:rPr>
          <w:lang w:val="en-GB"/>
        </w:rPr>
        <w:t xml:space="preserve"> in favour of the </w:t>
      </w:r>
      <w:r w:rsidR="00E7218F" w:rsidRPr="00E07EBA">
        <w:rPr>
          <w:lang w:val="en-GB"/>
        </w:rPr>
        <w:t xml:space="preserve">United States </w:t>
      </w:r>
      <w:r w:rsidR="00A72875" w:rsidRPr="00F90716">
        <w:rPr>
          <w:lang w:val="en-GB"/>
        </w:rPr>
        <w:t>forces in Afghanistan for close to two years</w:t>
      </w:r>
      <w:r w:rsidRPr="00F90716">
        <w:rPr>
          <w:lang w:val="en-GB"/>
        </w:rPr>
        <w:t xml:space="preserve">, including with </w:t>
      </w:r>
      <w:r w:rsidR="00E7218F" w:rsidRPr="00E07EBA">
        <w:rPr>
          <w:lang w:val="en-GB"/>
        </w:rPr>
        <w:t>United States i</w:t>
      </w:r>
      <w:r w:rsidRPr="00F90716">
        <w:rPr>
          <w:lang w:val="en-GB"/>
        </w:rPr>
        <w:t>ntelligence</w:t>
      </w:r>
      <w:r w:rsidR="00166C9F" w:rsidRPr="00F90716">
        <w:rPr>
          <w:lang w:val="en-GB"/>
        </w:rPr>
        <w:t xml:space="preserve">. The Committee further notes </w:t>
      </w:r>
      <w:r w:rsidR="00382A62" w:rsidRPr="00F90716">
        <w:rPr>
          <w:lang w:val="en-GB"/>
        </w:rPr>
        <w:t xml:space="preserve">the </w:t>
      </w:r>
      <w:r w:rsidRPr="00F90716">
        <w:rPr>
          <w:lang w:val="en-GB"/>
        </w:rPr>
        <w:t xml:space="preserve">author’s </w:t>
      </w:r>
      <w:r w:rsidR="00382A62" w:rsidRPr="00F90716">
        <w:rPr>
          <w:lang w:val="en-GB"/>
        </w:rPr>
        <w:t xml:space="preserve">allegations </w:t>
      </w:r>
      <w:r w:rsidRPr="00F90716">
        <w:rPr>
          <w:lang w:val="en-GB"/>
        </w:rPr>
        <w:t>that</w:t>
      </w:r>
      <w:r w:rsidR="006328EC" w:rsidRPr="00E07EBA">
        <w:rPr>
          <w:lang w:val="en-GB"/>
        </w:rPr>
        <w:t>,</w:t>
      </w:r>
      <w:r w:rsidRPr="00F90716">
        <w:rPr>
          <w:lang w:val="en-GB"/>
        </w:rPr>
        <w:t xml:space="preserve"> because of his work with </w:t>
      </w:r>
      <w:r w:rsidR="006328EC" w:rsidRPr="00E07EBA">
        <w:rPr>
          <w:lang w:val="en-GB"/>
        </w:rPr>
        <w:t>United States i</w:t>
      </w:r>
      <w:r w:rsidRPr="00F90716">
        <w:rPr>
          <w:lang w:val="en-GB"/>
        </w:rPr>
        <w:t xml:space="preserve">ntelligence, he had a conflict with a powerful local officer and entrepreneur </w:t>
      </w:r>
      <w:r w:rsidR="00606163" w:rsidRPr="00F90716">
        <w:rPr>
          <w:lang w:val="en-GB"/>
        </w:rPr>
        <w:t xml:space="preserve">affiliated </w:t>
      </w:r>
      <w:r w:rsidRPr="00F90716">
        <w:rPr>
          <w:lang w:val="en-GB"/>
        </w:rPr>
        <w:t xml:space="preserve">with the Taliban, who </w:t>
      </w:r>
      <w:r w:rsidR="00C504A0" w:rsidRPr="00F90716">
        <w:rPr>
          <w:lang w:val="en-GB"/>
        </w:rPr>
        <w:t>may be involved in</w:t>
      </w:r>
      <w:r w:rsidRPr="00F90716">
        <w:rPr>
          <w:lang w:val="en-GB"/>
        </w:rPr>
        <w:t xml:space="preserve"> the murder of his brother</w:t>
      </w:r>
      <w:r w:rsidR="006328EC" w:rsidRPr="00E07EBA">
        <w:rPr>
          <w:lang w:val="en-GB"/>
        </w:rPr>
        <w:t>-</w:t>
      </w:r>
      <w:r w:rsidRPr="00F90716">
        <w:rPr>
          <w:lang w:val="en-GB"/>
        </w:rPr>
        <w:t>in</w:t>
      </w:r>
      <w:r w:rsidR="006328EC" w:rsidRPr="00E07EBA">
        <w:rPr>
          <w:lang w:val="en-GB"/>
        </w:rPr>
        <w:t>-</w:t>
      </w:r>
      <w:r w:rsidRPr="00F90716">
        <w:rPr>
          <w:lang w:val="en-GB"/>
        </w:rPr>
        <w:t xml:space="preserve">law. The author has </w:t>
      </w:r>
      <w:r w:rsidR="00606163" w:rsidRPr="00F90716">
        <w:rPr>
          <w:lang w:val="en-GB"/>
        </w:rPr>
        <w:t>claimed</w:t>
      </w:r>
      <w:r w:rsidRPr="00F90716">
        <w:rPr>
          <w:lang w:val="en-GB"/>
        </w:rPr>
        <w:t xml:space="preserve"> that th</w:t>
      </w:r>
      <w:r w:rsidR="006328EC" w:rsidRPr="00E07EBA">
        <w:rPr>
          <w:lang w:val="en-GB"/>
        </w:rPr>
        <w:t>o</w:t>
      </w:r>
      <w:r w:rsidRPr="00F90716">
        <w:rPr>
          <w:lang w:val="en-GB"/>
        </w:rPr>
        <w:t>se elements</w:t>
      </w:r>
      <w:r w:rsidR="00382A62" w:rsidRPr="00F90716">
        <w:rPr>
          <w:lang w:val="en-GB"/>
        </w:rPr>
        <w:t xml:space="preserve"> provide substantial grounds for believing that </w:t>
      </w:r>
      <w:r w:rsidRPr="00F90716">
        <w:rPr>
          <w:lang w:val="en-GB"/>
        </w:rPr>
        <w:t xml:space="preserve">he </w:t>
      </w:r>
      <w:r w:rsidR="006328EC" w:rsidRPr="00E07EBA">
        <w:rPr>
          <w:lang w:val="en-GB"/>
        </w:rPr>
        <w:t xml:space="preserve">would </w:t>
      </w:r>
      <w:r w:rsidR="00382A62" w:rsidRPr="00F90716">
        <w:rPr>
          <w:lang w:val="en-GB"/>
        </w:rPr>
        <w:t>be in danger of being subjected to torture or to cruel, inhuman or degrading treatment or punishment</w:t>
      </w:r>
      <w:r w:rsidR="00606163" w:rsidRPr="00F90716">
        <w:rPr>
          <w:lang w:val="en-GB"/>
        </w:rPr>
        <w:t xml:space="preserve"> if returned to Afghanistan</w:t>
      </w:r>
      <w:r w:rsidR="00382A62" w:rsidRPr="00F90716">
        <w:rPr>
          <w:lang w:val="en-GB"/>
        </w:rPr>
        <w:t>. The Committee is</w:t>
      </w:r>
      <w:r w:rsidR="00606163" w:rsidRPr="00F90716">
        <w:rPr>
          <w:lang w:val="en-GB"/>
        </w:rPr>
        <w:t xml:space="preserve"> therefore</w:t>
      </w:r>
      <w:r w:rsidR="00382A62" w:rsidRPr="00F90716">
        <w:rPr>
          <w:lang w:val="en-GB"/>
        </w:rPr>
        <w:t xml:space="preserve"> of the opinion that, for the purposes of admissibility, the author has sufficiently substantiate</w:t>
      </w:r>
      <w:r w:rsidRPr="00F90716">
        <w:rPr>
          <w:lang w:val="en-GB"/>
        </w:rPr>
        <w:t>d his allegations under article</w:t>
      </w:r>
      <w:r w:rsidR="00382A62" w:rsidRPr="00F90716">
        <w:rPr>
          <w:lang w:val="en-GB"/>
        </w:rPr>
        <w:t xml:space="preserve"> 7 of the Covenant</w:t>
      </w:r>
      <w:r w:rsidR="00166C9F" w:rsidRPr="00F90716">
        <w:rPr>
          <w:lang w:val="en-GB"/>
        </w:rPr>
        <w:t>.</w:t>
      </w:r>
    </w:p>
    <w:p w:rsidR="00A81D2D" w:rsidRPr="00E07EBA" w:rsidRDefault="00BD465B" w:rsidP="00484A40">
      <w:pPr>
        <w:pStyle w:val="SingleTxtG"/>
        <w:rPr>
          <w:lang w:val="en-GB"/>
        </w:rPr>
      </w:pPr>
      <w:r w:rsidRPr="00E07EBA">
        <w:rPr>
          <w:lang w:val="en-GB"/>
        </w:rPr>
        <w:t>8.5</w:t>
      </w:r>
      <w:r w:rsidR="00A81D2D" w:rsidRPr="00F90716">
        <w:rPr>
          <w:lang w:val="en-GB"/>
        </w:rPr>
        <w:tab/>
        <w:t xml:space="preserve">In the light of the </w:t>
      </w:r>
      <w:r w:rsidR="00D42B6D" w:rsidRPr="00E07EBA">
        <w:rPr>
          <w:lang w:val="en-GB"/>
        </w:rPr>
        <w:t xml:space="preserve">above, </w:t>
      </w:r>
      <w:r w:rsidR="00A81D2D" w:rsidRPr="00F90716">
        <w:rPr>
          <w:lang w:val="en-GB"/>
        </w:rPr>
        <w:t>the Committee considers that</w:t>
      </w:r>
      <w:r w:rsidR="00D42B6D" w:rsidRPr="00E07EBA">
        <w:rPr>
          <w:lang w:val="en-GB"/>
        </w:rPr>
        <w:t xml:space="preserve"> </w:t>
      </w:r>
      <w:r w:rsidR="00A81D2D" w:rsidRPr="00F90716">
        <w:rPr>
          <w:lang w:val="en-GB"/>
        </w:rPr>
        <w:t>the communication is admissible</w:t>
      </w:r>
      <w:r w:rsidR="00D42B6D" w:rsidRPr="00E07EBA">
        <w:rPr>
          <w:lang w:val="en-GB"/>
        </w:rPr>
        <w:t>,</w:t>
      </w:r>
      <w:r w:rsidR="00A81D2D" w:rsidRPr="00F90716">
        <w:rPr>
          <w:lang w:val="en-GB"/>
        </w:rPr>
        <w:t xml:space="preserve"> insofar as it raises issues</w:t>
      </w:r>
      <w:r w:rsidR="00D42B6D" w:rsidRPr="00E07EBA">
        <w:rPr>
          <w:lang w:val="en-GB"/>
        </w:rPr>
        <w:t xml:space="preserve"> under </w:t>
      </w:r>
      <w:r w:rsidR="005E5626" w:rsidRPr="00F90716">
        <w:rPr>
          <w:lang w:val="en-GB"/>
        </w:rPr>
        <w:t>article</w:t>
      </w:r>
      <w:r w:rsidR="00A81D2D" w:rsidRPr="00F90716">
        <w:rPr>
          <w:lang w:val="en-GB"/>
        </w:rPr>
        <w:t xml:space="preserve"> 7 of the Covenant</w:t>
      </w:r>
      <w:r w:rsidR="005E5626" w:rsidRPr="00E07EBA">
        <w:rPr>
          <w:lang w:val="en-GB"/>
        </w:rPr>
        <w:t>,</w:t>
      </w:r>
      <w:r w:rsidR="00A81D2D" w:rsidRPr="00F90716">
        <w:rPr>
          <w:lang w:val="en-GB"/>
        </w:rPr>
        <w:t xml:space="preserve"> and proceeds with its examination on the merits.</w:t>
      </w:r>
    </w:p>
    <w:p w:rsidR="00001AE9" w:rsidRPr="00E07EBA" w:rsidRDefault="0017125E" w:rsidP="000E78C2">
      <w:pPr>
        <w:pStyle w:val="H4G"/>
        <w:jc w:val="both"/>
      </w:pPr>
      <w:r w:rsidRPr="00E07EBA">
        <w:tab/>
      </w:r>
      <w:r w:rsidRPr="00E07EBA">
        <w:tab/>
      </w:r>
      <w:r w:rsidR="00E93CC4" w:rsidRPr="00E07EBA">
        <w:t>Consideration of the merits</w:t>
      </w:r>
    </w:p>
    <w:p w:rsidR="009020F8" w:rsidRPr="00F90716" w:rsidRDefault="001E38F3">
      <w:pPr>
        <w:pStyle w:val="SingleTxtG"/>
        <w:rPr>
          <w:lang w:val="en-GB"/>
        </w:rPr>
      </w:pPr>
      <w:r w:rsidRPr="00F90716">
        <w:rPr>
          <w:lang w:val="en-GB"/>
        </w:rPr>
        <w:t>9</w:t>
      </w:r>
      <w:r w:rsidR="009020F8" w:rsidRPr="00F90716">
        <w:rPr>
          <w:lang w:val="en-GB"/>
        </w:rPr>
        <w:t>.1</w:t>
      </w:r>
      <w:r w:rsidR="009020F8" w:rsidRPr="00F90716">
        <w:rPr>
          <w:lang w:val="en-GB"/>
        </w:rPr>
        <w:tab/>
        <w:t xml:space="preserve">The Committee has considered the present communication in the light of all the information made available to it by the parties, as required under article 5 </w:t>
      </w:r>
      <w:r w:rsidR="00A219C7" w:rsidRPr="00E07EBA">
        <w:rPr>
          <w:lang w:val="en-GB"/>
        </w:rPr>
        <w:t>(</w:t>
      </w:r>
      <w:r w:rsidR="009020F8" w:rsidRPr="00F90716">
        <w:rPr>
          <w:lang w:val="en-GB"/>
        </w:rPr>
        <w:t>1</w:t>
      </w:r>
      <w:r w:rsidR="00A219C7" w:rsidRPr="00E07EBA">
        <w:rPr>
          <w:lang w:val="en-GB"/>
        </w:rPr>
        <w:t>)</w:t>
      </w:r>
      <w:r w:rsidR="009020F8" w:rsidRPr="00F90716">
        <w:rPr>
          <w:lang w:val="en-GB"/>
        </w:rPr>
        <w:t xml:space="preserve"> of the Optional Protocol.</w:t>
      </w:r>
    </w:p>
    <w:p w:rsidR="00D42B6D" w:rsidRPr="00F90716" w:rsidRDefault="001E38F3">
      <w:pPr>
        <w:pStyle w:val="SingleTxtG"/>
        <w:rPr>
          <w:lang w:val="en-GB"/>
        </w:rPr>
      </w:pPr>
      <w:r w:rsidRPr="00F90716">
        <w:rPr>
          <w:lang w:val="en-GB"/>
        </w:rPr>
        <w:t>9</w:t>
      </w:r>
      <w:r w:rsidR="009020F8" w:rsidRPr="00F90716">
        <w:rPr>
          <w:lang w:val="en-GB"/>
        </w:rPr>
        <w:t>.</w:t>
      </w:r>
      <w:r w:rsidR="00001AE9" w:rsidRPr="00F90716">
        <w:rPr>
          <w:lang w:val="en-GB"/>
        </w:rPr>
        <w:t>2</w:t>
      </w:r>
      <w:r w:rsidR="009020F8" w:rsidRPr="00F90716">
        <w:rPr>
          <w:lang w:val="en-GB"/>
        </w:rPr>
        <w:tab/>
      </w:r>
      <w:r w:rsidR="00D42B6D" w:rsidRPr="00F90716">
        <w:rPr>
          <w:lang w:val="en-GB"/>
        </w:rPr>
        <w:t>The issue before the Committee is whether the removal of the author to Afghani</w:t>
      </w:r>
      <w:r w:rsidR="00DA3CDA" w:rsidRPr="00F90716">
        <w:rPr>
          <w:lang w:val="en-GB"/>
        </w:rPr>
        <w:t>s</w:t>
      </w:r>
      <w:r w:rsidR="00D42B6D" w:rsidRPr="00F90716">
        <w:rPr>
          <w:lang w:val="en-GB"/>
        </w:rPr>
        <w:t xml:space="preserve">tan </w:t>
      </w:r>
      <w:r w:rsidRPr="00F90716">
        <w:rPr>
          <w:lang w:val="en-GB"/>
        </w:rPr>
        <w:t>would amount</w:t>
      </w:r>
      <w:r w:rsidR="00D42B6D" w:rsidRPr="00F90716">
        <w:rPr>
          <w:lang w:val="en-GB"/>
        </w:rPr>
        <w:t xml:space="preserve"> to a</w:t>
      </w:r>
      <w:r w:rsidR="00DA3CDA" w:rsidRPr="00F90716">
        <w:rPr>
          <w:lang w:val="en-GB"/>
        </w:rPr>
        <w:t xml:space="preserve"> </w:t>
      </w:r>
      <w:r w:rsidR="00D42B6D" w:rsidRPr="00F90716">
        <w:rPr>
          <w:lang w:val="en-GB"/>
        </w:rPr>
        <w:t>violation by th</w:t>
      </w:r>
      <w:r w:rsidR="00DA3CDA" w:rsidRPr="00F90716">
        <w:rPr>
          <w:lang w:val="en-GB"/>
        </w:rPr>
        <w:t>e</w:t>
      </w:r>
      <w:r w:rsidR="00D42B6D" w:rsidRPr="00F90716">
        <w:rPr>
          <w:lang w:val="en-GB"/>
        </w:rPr>
        <w:t xml:space="preserve"> St</w:t>
      </w:r>
      <w:r w:rsidR="00DA3CDA" w:rsidRPr="00F90716">
        <w:rPr>
          <w:lang w:val="en-GB"/>
        </w:rPr>
        <w:t>at</w:t>
      </w:r>
      <w:r w:rsidR="00D42B6D" w:rsidRPr="00F90716">
        <w:rPr>
          <w:lang w:val="en-GB"/>
        </w:rPr>
        <w:t>e party o</w:t>
      </w:r>
      <w:r w:rsidRPr="00F90716">
        <w:rPr>
          <w:lang w:val="en-GB"/>
        </w:rPr>
        <w:t>f its obligations under article</w:t>
      </w:r>
      <w:r w:rsidR="00D42B6D" w:rsidRPr="00F90716">
        <w:rPr>
          <w:lang w:val="en-GB"/>
        </w:rPr>
        <w:t xml:space="preserve"> 7</w:t>
      </w:r>
      <w:r w:rsidR="00DA3CDA" w:rsidRPr="00F90716">
        <w:rPr>
          <w:lang w:val="en-GB"/>
        </w:rPr>
        <w:t xml:space="preserve"> </w:t>
      </w:r>
      <w:r w:rsidR="00D42B6D" w:rsidRPr="00F90716">
        <w:rPr>
          <w:lang w:val="en-GB"/>
        </w:rPr>
        <w:t>of th</w:t>
      </w:r>
      <w:r w:rsidR="00DA3CDA" w:rsidRPr="00F90716">
        <w:rPr>
          <w:lang w:val="en-GB"/>
        </w:rPr>
        <w:t>e</w:t>
      </w:r>
      <w:r w:rsidR="00D42B6D" w:rsidRPr="00F90716">
        <w:rPr>
          <w:lang w:val="en-GB"/>
        </w:rPr>
        <w:t xml:space="preserve"> Covenant. </w:t>
      </w:r>
    </w:p>
    <w:p w:rsidR="009020F8" w:rsidRPr="00F90716" w:rsidRDefault="001E38F3">
      <w:pPr>
        <w:pStyle w:val="SingleTxtG"/>
        <w:rPr>
          <w:lang w:val="en-GB"/>
        </w:rPr>
      </w:pPr>
      <w:r w:rsidRPr="00F90716">
        <w:rPr>
          <w:lang w:val="en-GB"/>
        </w:rPr>
        <w:t>9</w:t>
      </w:r>
      <w:r w:rsidR="00D42B6D" w:rsidRPr="00F90716">
        <w:rPr>
          <w:lang w:val="en-GB"/>
        </w:rPr>
        <w:t>.</w:t>
      </w:r>
      <w:r w:rsidR="00001AE9" w:rsidRPr="00F90716">
        <w:rPr>
          <w:lang w:val="en-GB"/>
        </w:rPr>
        <w:t>3</w:t>
      </w:r>
      <w:r w:rsidR="008A16B6" w:rsidRPr="00F90716">
        <w:rPr>
          <w:lang w:val="en-GB"/>
        </w:rPr>
        <w:tab/>
      </w:r>
      <w:r w:rsidR="009020F8" w:rsidRPr="00F90716">
        <w:rPr>
          <w:lang w:val="en-GB"/>
        </w:rPr>
        <w:t>The Committee recalls</w:t>
      </w:r>
      <w:r w:rsidR="00161D02" w:rsidRPr="00F90716">
        <w:rPr>
          <w:lang w:val="en-GB"/>
        </w:rPr>
        <w:t xml:space="preserve"> </w:t>
      </w:r>
      <w:r w:rsidR="009020F8" w:rsidRPr="00F90716">
        <w:rPr>
          <w:lang w:val="en-GB"/>
        </w:rPr>
        <w:t>its general comment No. 31</w:t>
      </w:r>
      <w:r w:rsidR="00A02022" w:rsidRPr="00E07EBA">
        <w:rPr>
          <w:lang w:val="en-GB"/>
        </w:rPr>
        <w:t> (2004) on t</w:t>
      </w:r>
      <w:r w:rsidR="00A02022" w:rsidRPr="00E07EBA">
        <w:t>he nature of the general legal obligation imposed on States parties to the Covenant</w:t>
      </w:r>
      <w:r w:rsidR="00D42B6D" w:rsidRPr="00F90716">
        <w:rPr>
          <w:lang w:val="en-GB"/>
        </w:rPr>
        <w:t xml:space="preserve">, </w:t>
      </w:r>
      <w:r w:rsidR="00161D02" w:rsidRPr="00F90716">
        <w:rPr>
          <w:lang w:val="en-GB"/>
        </w:rPr>
        <w:t xml:space="preserve">in which </w:t>
      </w:r>
      <w:r w:rsidR="009020F8" w:rsidRPr="00F90716">
        <w:rPr>
          <w:lang w:val="en-GB"/>
        </w:rPr>
        <w:t xml:space="preserve">it refers to the obligation of States parties not to extradite, deport, expel or otherwise remove a person from their territory when there are substantial grounds for believing that there is a real risk </w:t>
      </w:r>
      <w:r w:rsidR="009020F8" w:rsidRPr="00F90716">
        <w:rPr>
          <w:lang w:val="en-GB"/>
        </w:rPr>
        <w:lastRenderedPageBreak/>
        <w:t>of irreparable harm, such as that contemplated by articles 6 and 7 of the Covenant.</w:t>
      </w:r>
      <w:r w:rsidR="009020F8" w:rsidRPr="00F90716">
        <w:rPr>
          <w:rStyle w:val="FootnoteReference"/>
          <w:lang w:val="en-GB"/>
        </w:rPr>
        <w:footnoteReference w:id="17"/>
      </w:r>
      <w:r w:rsidR="009020F8" w:rsidRPr="00F90716">
        <w:rPr>
          <w:lang w:val="en-GB"/>
        </w:rPr>
        <w:t xml:space="preserve"> The Committee has also indicated that the risk must be personal</w:t>
      </w:r>
      <w:r w:rsidR="009020F8" w:rsidRPr="00F90716">
        <w:rPr>
          <w:rStyle w:val="FootnoteReference"/>
          <w:lang w:val="en-GB"/>
        </w:rPr>
        <w:footnoteReference w:id="18"/>
      </w:r>
      <w:r w:rsidR="009020F8" w:rsidRPr="00F90716">
        <w:rPr>
          <w:lang w:val="en-GB"/>
        </w:rPr>
        <w:t xml:space="preserve"> and that there is a high threshold for providing substantial grounds to establish that a real risk of irreparable harm exists.</w:t>
      </w:r>
      <w:r w:rsidR="009020F8" w:rsidRPr="00F90716">
        <w:rPr>
          <w:rStyle w:val="FootnoteReference"/>
          <w:lang w:val="en-GB"/>
        </w:rPr>
        <w:footnoteReference w:id="19"/>
      </w:r>
      <w:r w:rsidR="009020F8" w:rsidRPr="00F90716">
        <w:rPr>
          <w:lang w:val="en-GB"/>
        </w:rPr>
        <w:t xml:space="preserve"> Thus, all relevant facts and circumstances must be considered, including the general human rights situation in the author</w:t>
      </w:r>
      <w:r w:rsidR="00AE02DC">
        <w:rPr>
          <w:lang w:val="en-GB"/>
        </w:rPr>
        <w:t>’</w:t>
      </w:r>
      <w:r w:rsidR="009020F8" w:rsidRPr="00F90716">
        <w:rPr>
          <w:lang w:val="en-GB"/>
        </w:rPr>
        <w:t>s country of origin.</w:t>
      </w:r>
      <w:r w:rsidR="009020F8" w:rsidRPr="00F90716">
        <w:rPr>
          <w:rStyle w:val="FootnoteReference"/>
          <w:lang w:val="en-GB"/>
        </w:rPr>
        <w:footnoteReference w:id="20"/>
      </w:r>
      <w:r w:rsidR="009020F8" w:rsidRPr="00F90716">
        <w:rPr>
          <w:lang w:val="en-GB"/>
        </w:rPr>
        <w:t xml:space="preserve"> </w:t>
      </w:r>
    </w:p>
    <w:p w:rsidR="0046436D" w:rsidRPr="00E07EBA" w:rsidRDefault="001E38F3" w:rsidP="00E7218F">
      <w:pPr>
        <w:spacing w:after="120"/>
        <w:ind w:left="1134" w:right="1134"/>
        <w:jc w:val="both"/>
      </w:pPr>
      <w:r w:rsidRPr="00E07EBA">
        <w:t>9</w:t>
      </w:r>
      <w:r w:rsidR="009020F8" w:rsidRPr="00F90716">
        <w:t>.4</w:t>
      </w:r>
      <w:r w:rsidR="009020F8" w:rsidRPr="00F90716">
        <w:tab/>
      </w:r>
      <w:r w:rsidR="0046436D" w:rsidRPr="00E07EBA">
        <w:t>The Committee takes note of the author’s allegation that</w:t>
      </w:r>
      <w:r w:rsidR="00A02022" w:rsidRPr="00E07EBA">
        <w:t>,</w:t>
      </w:r>
      <w:r w:rsidR="0046436D" w:rsidRPr="00E07EBA">
        <w:t xml:space="preserve"> as a result of his </w:t>
      </w:r>
      <w:r w:rsidR="00161D02" w:rsidRPr="00E07EBA">
        <w:t xml:space="preserve">work </w:t>
      </w:r>
      <w:r w:rsidR="0046436D" w:rsidRPr="00E07EBA">
        <w:t xml:space="preserve">as interpreter for the </w:t>
      </w:r>
      <w:r w:rsidR="00E7218F" w:rsidRPr="00E07EBA">
        <w:t xml:space="preserve">United States </w:t>
      </w:r>
      <w:r w:rsidR="0046436D" w:rsidRPr="00E07EBA">
        <w:t>forces in Afghanistan between 20</w:t>
      </w:r>
      <w:r w:rsidR="00161D02" w:rsidRPr="00E07EBA">
        <w:t>09</w:t>
      </w:r>
      <w:r w:rsidR="0046436D" w:rsidRPr="00E07EBA">
        <w:t xml:space="preserve"> and 2011, including the </w:t>
      </w:r>
      <w:r w:rsidR="00A02022" w:rsidRPr="00E07EBA">
        <w:t>intelligence services</w:t>
      </w:r>
      <w:r w:rsidR="0046436D" w:rsidRPr="00E07EBA">
        <w:t xml:space="preserve">, and because of a related conflict with a powerful individual affiliated with the Taliban, he faces a real and personal risk to be subjected to a violation of his rights under article 7 of the Covenant, if forcibly returned to Afghanistan. </w:t>
      </w:r>
    </w:p>
    <w:p w:rsidR="00DF7041" w:rsidRPr="00F90716" w:rsidRDefault="0046436D">
      <w:pPr>
        <w:pStyle w:val="SingleTxtG"/>
        <w:rPr>
          <w:lang w:val="en-GB"/>
        </w:rPr>
      </w:pPr>
      <w:r w:rsidRPr="00F90716">
        <w:rPr>
          <w:lang w:val="en-GB"/>
        </w:rPr>
        <w:t>9.5</w:t>
      </w:r>
      <w:r w:rsidRPr="00F90716">
        <w:rPr>
          <w:lang w:val="en-GB"/>
        </w:rPr>
        <w:tab/>
      </w:r>
      <w:r w:rsidR="009020F8" w:rsidRPr="00F90716">
        <w:rPr>
          <w:lang w:val="en-GB"/>
        </w:rPr>
        <w:t xml:space="preserve">The Committee notes the </w:t>
      </w:r>
      <w:r w:rsidR="003530F4" w:rsidRPr="00F90716">
        <w:rPr>
          <w:lang w:val="en-GB"/>
        </w:rPr>
        <w:t xml:space="preserve">State party’s </w:t>
      </w:r>
      <w:r w:rsidR="006E3781" w:rsidRPr="00F90716">
        <w:rPr>
          <w:lang w:val="en-GB"/>
        </w:rPr>
        <w:t xml:space="preserve">general </w:t>
      </w:r>
      <w:r w:rsidR="00D42B6D" w:rsidRPr="00F90716">
        <w:rPr>
          <w:lang w:val="en-GB"/>
        </w:rPr>
        <w:t xml:space="preserve">observation </w:t>
      </w:r>
      <w:r w:rsidR="003530F4" w:rsidRPr="00F90716">
        <w:rPr>
          <w:lang w:val="en-GB"/>
        </w:rPr>
        <w:t>that its obligations under articles 6 and 7 of the Covenant are reflected in section 7</w:t>
      </w:r>
      <w:r w:rsidR="00A02022" w:rsidRPr="00E07EBA">
        <w:rPr>
          <w:lang w:val="en-GB"/>
        </w:rPr>
        <w:t> </w:t>
      </w:r>
      <w:r w:rsidR="003530F4" w:rsidRPr="00F90716">
        <w:rPr>
          <w:lang w:val="en-GB"/>
        </w:rPr>
        <w:t xml:space="preserve">(2) of the Aliens Act, under which a residence permit will be issued to an alien upon application if the alien risks the death penalty or being subjected to torture or inhuman or degrading treatment or punishment in case of his return to his country of origin. The Committee </w:t>
      </w:r>
      <w:r w:rsidR="00D42B6D" w:rsidRPr="00F90716">
        <w:rPr>
          <w:lang w:val="en-GB"/>
        </w:rPr>
        <w:t>further</w:t>
      </w:r>
      <w:r w:rsidR="003530F4" w:rsidRPr="00F90716">
        <w:rPr>
          <w:lang w:val="en-GB"/>
        </w:rPr>
        <w:t xml:space="preserve"> notes the State party’s observation </w:t>
      </w:r>
      <w:r w:rsidR="00DF7041" w:rsidRPr="00F90716">
        <w:rPr>
          <w:lang w:val="en-GB"/>
        </w:rPr>
        <w:t>that the onus is on the asylum</w:t>
      </w:r>
      <w:r w:rsidR="00E520C9" w:rsidRPr="00E07EBA">
        <w:rPr>
          <w:lang w:val="en-GB"/>
        </w:rPr>
        <w:t xml:space="preserve"> </w:t>
      </w:r>
      <w:r w:rsidR="00DF7041" w:rsidRPr="00F90716">
        <w:rPr>
          <w:lang w:val="en-GB"/>
        </w:rPr>
        <w:t xml:space="preserve">seeker to substantiate his claim; that the </w:t>
      </w:r>
      <w:r w:rsidR="0008593B" w:rsidRPr="00E07EBA">
        <w:rPr>
          <w:lang w:val="en-GB"/>
        </w:rPr>
        <w:t>refugee appeals board</w:t>
      </w:r>
      <w:r w:rsidR="00DF7041" w:rsidRPr="00F90716">
        <w:rPr>
          <w:lang w:val="en-GB"/>
        </w:rPr>
        <w:t xml:space="preserve"> will accept apparently coherent and consistent statements as facts; and that inconsistent statements may weaken the asylum</w:t>
      </w:r>
      <w:r w:rsidR="00E520C9" w:rsidRPr="00E07EBA">
        <w:rPr>
          <w:lang w:val="en-GB"/>
        </w:rPr>
        <w:t xml:space="preserve"> </w:t>
      </w:r>
      <w:r w:rsidR="00DF7041" w:rsidRPr="00F90716">
        <w:rPr>
          <w:lang w:val="en-GB"/>
        </w:rPr>
        <w:t>seeker’s credibility.</w:t>
      </w:r>
    </w:p>
    <w:p w:rsidR="006E3781" w:rsidRPr="00F90716" w:rsidRDefault="006E3781">
      <w:pPr>
        <w:pStyle w:val="SingleTxtG"/>
        <w:rPr>
          <w:lang w:val="en-GB"/>
        </w:rPr>
      </w:pPr>
      <w:r w:rsidRPr="00F90716">
        <w:rPr>
          <w:lang w:val="en-GB"/>
        </w:rPr>
        <w:t>9.6</w:t>
      </w:r>
      <w:r w:rsidRPr="00F90716">
        <w:rPr>
          <w:lang w:val="en-GB"/>
        </w:rPr>
        <w:tab/>
        <w:t>With respect to the particular circumstances of the case, the</w:t>
      </w:r>
      <w:r w:rsidR="00BB69B1" w:rsidRPr="00F90716">
        <w:rPr>
          <w:lang w:val="en-GB"/>
        </w:rPr>
        <w:t xml:space="preserve"> Committee observes that the</w:t>
      </w:r>
      <w:r w:rsidRPr="00F90716">
        <w:rPr>
          <w:lang w:val="en-GB"/>
        </w:rPr>
        <w:t xml:space="preserve"> State party has rejected the author’</w:t>
      </w:r>
      <w:r w:rsidR="00606617" w:rsidRPr="00F90716">
        <w:rPr>
          <w:lang w:val="en-GB"/>
        </w:rPr>
        <w:t>s allegations, mainly on the ground</w:t>
      </w:r>
      <w:r w:rsidR="00A62CBA" w:rsidRPr="00E07EBA">
        <w:rPr>
          <w:lang w:val="en-GB"/>
        </w:rPr>
        <w:t>s</w:t>
      </w:r>
      <w:r w:rsidR="00606617" w:rsidRPr="00F90716">
        <w:rPr>
          <w:lang w:val="en-GB"/>
        </w:rPr>
        <w:t xml:space="preserve"> that the author made several inconsistent statements. In i</w:t>
      </w:r>
      <w:r w:rsidR="00E71392" w:rsidRPr="00F90716">
        <w:rPr>
          <w:lang w:val="en-GB"/>
        </w:rPr>
        <w:t>ts decision of 31 January 2013,</w:t>
      </w:r>
      <w:r w:rsidR="003D741E">
        <w:rPr>
          <w:lang w:val="en-GB"/>
        </w:rPr>
        <w:t xml:space="preserve"> upheld on 2 </w:t>
      </w:r>
      <w:r w:rsidR="00606617" w:rsidRPr="00F90716">
        <w:rPr>
          <w:lang w:val="en-GB"/>
        </w:rPr>
        <w:t xml:space="preserve">March 2015, the </w:t>
      </w:r>
      <w:r w:rsidR="0008593B" w:rsidRPr="00E07EBA">
        <w:rPr>
          <w:lang w:val="en-GB"/>
        </w:rPr>
        <w:t>refugee appeals board</w:t>
      </w:r>
      <w:r w:rsidR="00606617" w:rsidRPr="00F90716">
        <w:rPr>
          <w:lang w:val="en-GB"/>
        </w:rPr>
        <w:t xml:space="preserve"> has challenged, in particular, the author’s statements with respect to his attempts to establish contacts with the </w:t>
      </w:r>
      <w:r w:rsidR="00E7218F" w:rsidRPr="00E07EBA">
        <w:rPr>
          <w:lang w:val="en-GB"/>
        </w:rPr>
        <w:t>United States i</w:t>
      </w:r>
      <w:r w:rsidR="00606617" w:rsidRPr="00F90716">
        <w:rPr>
          <w:lang w:val="en-GB"/>
        </w:rPr>
        <w:t xml:space="preserve">ntelligence </w:t>
      </w:r>
      <w:r w:rsidR="00E7218F" w:rsidRPr="00E07EBA">
        <w:rPr>
          <w:lang w:val="en-GB"/>
        </w:rPr>
        <w:t>o</w:t>
      </w:r>
      <w:r w:rsidR="00606617" w:rsidRPr="00F90716">
        <w:rPr>
          <w:lang w:val="en-GB"/>
        </w:rPr>
        <w:t xml:space="preserve">fficer </w:t>
      </w:r>
      <w:r w:rsidR="00FB05B8" w:rsidRPr="00F90716">
        <w:rPr>
          <w:lang w:val="en-GB"/>
        </w:rPr>
        <w:t>M.W.</w:t>
      </w:r>
      <w:r w:rsidR="00606617" w:rsidRPr="00F90716">
        <w:rPr>
          <w:lang w:val="en-GB"/>
        </w:rPr>
        <w:t xml:space="preserve">; the date on which the author became aware of the imminent arrest of </w:t>
      </w:r>
      <w:r w:rsidR="00FB05B8" w:rsidRPr="00F90716">
        <w:rPr>
          <w:lang w:val="en-GB"/>
        </w:rPr>
        <w:t>A.M.W</w:t>
      </w:r>
      <w:r w:rsidR="00A66370" w:rsidRPr="00E07EBA">
        <w:rPr>
          <w:lang w:val="en-GB"/>
        </w:rPr>
        <w:t>.</w:t>
      </w:r>
      <w:r w:rsidR="00606617" w:rsidRPr="00F90716">
        <w:rPr>
          <w:lang w:val="en-GB"/>
        </w:rPr>
        <w:t xml:space="preserve">; and the period of employment of the author with the company </w:t>
      </w:r>
      <w:r w:rsidR="000001E9" w:rsidRPr="00E07EBA">
        <w:rPr>
          <w:lang w:val="en-GB"/>
        </w:rPr>
        <w:t>Mission Essential Personnel</w:t>
      </w:r>
      <w:r w:rsidR="00606617" w:rsidRPr="00F90716">
        <w:rPr>
          <w:lang w:val="en-GB"/>
        </w:rPr>
        <w:t>.</w:t>
      </w:r>
      <w:r w:rsidR="004B33B9" w:rsidRPr="00F90716">
        <w:rPr>
          <w:lang w:val="en-GB"/>
        </w:rPr>
        <w:t xml:space="preserve"> The </w:t>
      </w:r>
      <w:r w:rsidR="0008593B" w:rsidRPr="00E07EBA">
        <w:rPr>
          <w:lang w:val="en-GB"/>
        </w:rPr>
        <w:t>board</w:t>
      </w:r>
      <w:r w:rsidR="004B33B9" w:rsidRPr="00F90716">
        <w:rPr>
          <w:lang w:val="en-GB"/>
        </w:rPr>
        <w:t xml:space="preserve"> also rejected the author’s </w:t>
      </w:r>
      <w:r w:rsidR="0099456A" w:rsidRPr="00F90716">
        <w:rPr>
          <w:lang w:val="en-GB"/>
        </w:rPr>
        <w:t>claim</w:t>
      </w:r>
      <w:r w:rsidR="004B33B9" w:rsidRPr="00F90716">
        <w:rPr>
          <w:lang w:val="en-GB"/>
        </w:rPr>
        <w:t xml:space="preserve"> that his brother-in-law was killed </w:t>
      </w:r>
      <w:r w:rsidR="00A62CBA" w:rsidRPr="00E07EBA">
        <w:rPr>
          <w:lang w:val="en-GB"/>
        </w:rPr>
        <w:t xml:space="preserve">by </w:t>
      </w:r>
      <w:r w:rsidR="008F31BC" w:rsidRPr="00E07EBA">
        <w:rPr>
          <w:lang w:val="en-GB"/>
        </w:rPr>
        <w:t xml:space="preserve">individuals who had been searching </w:t>
      </w:r>
      <w:r w:rsidR="00A62CBA" w:rsidRPr="00E07EBA">
        <w:rPr>
          <w:lang w:val="en-GB"/>
        </w:rPr>
        <w:t xml:space="preserve">for </w:t>
      </w:r>
      <w:r w:rsidR="004B33B9" w:rsidRPr="00F90716">
        <w:rPr>
          <w:lang w:val="en-GB"/>
        </w:rPr>
        <w:t>the author.</w:t>
      </w:r>
    </w:p>
    <w:p w:rsidR="00364DDF" w:rsidRPr="00F90716" w:rsidRDefault="00364DDF" w:rsidP="00484A40">
      <w:pPr>
        <w:pStyle w:val="SingleTxtG"/>
        <w:rPr>
          <w:lang w:val="en-GB"/>
        </w:rPr>
      </w:pPr>
      <w:r w:rsidRPr="00F90716">
        <w:rPr>
          <w:lang w:val="en-GB"/>
        </w:rPr>
        <w:t>9.</w:t>
      </w:r>
      <w:r w:rsidR="00BF06E4" w:rsidRPr="00F90716">
        <w:rPr>
          <w:lang w:val="en-GB"/>
        </w:rPr>
        <w:t>7</w:t>
      </w:r>
      <w:r w:rsidRPr="00F90716">
        <w:rPr>
          <w:lang w:val="en-GB"/>
        </w:rPr>
        <w:tab/>
        <w:t>The Committee recalls its jurisprudence that important weight should be given to the assessment conducted by the States parties’ authorities, unless it is found that the evaluation was clearly arbitrary or amounted to a denial of justice,</w:t>
      </w:r>
      <w:r w:rsidRPr="00F90716">
        <w:rPr>
          <w:rStyle w:val="FootnoteReference"/>
          <w:lang w:val="en-GB"/>
        </w:rPr>
        <w:footnoteReference w:id="21"/>
      </w:r>
      <w:r w:rsidRPr="00F90716">
        <w:rPr>
          <w:lang w:val="en-GB"/>
        </w:rPr>
        <w:t xml:space="preserve"> and that it is generally for the organs of States parties to the Covenant to review or evaluate facts and evidence in order to determine whether such a risk exists.</w:t>
      </w:r>
      <w:r w:rsidRPr="00F90716">
        <w:rPr>
          <w:rStyle w:val="FootnoteReference"/>
          <w:lang w:val="en-GB"/>
        </w:rPr>
        <w:footnoteReference w:id="22"/>
      </w:r>
      <w:r w:rsidRPr="00F90716">
        <w:rPr>
          <w:lang w:val="en-GB"/>
        </w:rPr>
        <w:t xml:space="preserve"> </w:t>
      </w:r>
    </w:p>
    <w:p w:rsidR="00FB6F4A" w:rsidRPr="00E07EBA" w:rsidRDefault="00364DDF">
      <w:pPr>
        <w:spacing w:after="120"/>
        <w:ind w:left="1134" w:right="1134"/>
        <w:jc w:val="both"/>
      </w:pPr>
      <w:r w:rsidRPr="00E07EBA">
        <w:t>9</w:t>
      </w:r>
      <w:r w:rsidR="008E2ABE" w:rsidRPr="00E07EBA">
        <w:t>.</w:t>
      </w:r>
      <w:r w:rsidR="007E7824" w:rsidRPr="00E07EBA">
        <w:t>8</w:t>
      </w:r>
      <w:r w:rsidR="007E7824" w:rsidRPr="00E07EBA">
        <w:tab/>
      </w:r>
      <w:r w:rsidR="00A773A1" w:rsidRPr="00E07EBA">
        <w:t xml:space="preserve">The Committee finds that, in the circumstances, and notwithstanding the inconsistencies highlighted by the State party, insufficient attention was given to the author’s allegations about the real risk he might face if deported to his country of origin. </w:t>
      </w:r>
      <w:r w:rsidR="00A773A1" w:rsidRPr="00E07EBA">
        <w:lastRenderedPageBreak/>
        <w:t>The State party</w:t>
      </w:r>
      <w:r w:rsidR="00E43057" w:rsidRPr="00E07EBA">
        <w:t xml:space="preserve"> refers</w:t>
      </w:r>
      <w:r w:rsidR="009130EF" w:rsidRPr="00E07EBA">
        <w:t xml:space="preserve"> to </w:t>
      </w:r>
      <w:r w:rsidR="00E43057" w:rsidRPr="00E07EBA">
        <w:t xml:space="preserve">the </w:t>
      </w:r>
      <w:r w:rsidR="009130EF" w:rsidRPr="00E07EBA">
        <w:t xml:space="preserve">jurisprudence of the European Court of Human Rights, </w:t>
      </w:r>
      <w:r w:rsidR="00E43057" w:rsidRPr="00E07EBA">
        <w:t>in support of its argument</w:t>
      </w:r>
      <w:r w:rsidR="009130EF" w:rsidRPr="00E07EBA">
        <w:t xml:space="preserve"> that</w:t>
      </w:r>
      <w:r w:rsidR="008F31BC" w:rsidRPr="00E07EBA">
        <w:t>,</w:t>
      </w:r>
      <w:r w:rsidR="009130EF" w:rsidRPr="00E07EBA">
        <w:t xml:space="preserve"> notwithstanding the author’s previous work as interpreter for the </w:t>
      </w:r>
      <w:r w:rsidR="00E7218F" w:rsidRPr="00E07EBA">
        <w:t xml:space="preserve">United States </w:t>
      </w:r>
      <w:r w:rsidR="009130EF" w:rsidRPr="00E07EBA">
        <w:t xml:space="preserve">forces, the </w:t>
      </w:r>
      <w:r w:rsidR="008F31BC" w:rsidRPr="00E07EBA">
        <w:t xml:space="preserve">author </w:t>
      </w:r>
      <w:r w:rsidR="009130EF" w:rsidRPr="00E07EBA">
        <w:t>should demonstrate that</w:t>
      </w:r>
      <w:r w:rsidR="008F31BC" w:rsidRPr="00E07EBA">
        <w:t>,</w:t>
      </w:r>
      <w:r w:rsidR="009130EF" w:rsidRPr="00E07EBA">
        <w:t xml:space="preserve"> </w:t>
      </w:r>
      <w:r w:rsidR="008F31BC" w:rsidRPr="00E07EBA">
        <w:t xml:space="preserve">owing to </w:t>
      </w:r>
      <w:r w:rsidR="009130EF" w:rsidRPr="00F90716">
        <w:t>the individual circumstances of his case</w:t>
      </w:r>
      <w:r w:rsidR="00484A40" w:rsidRPr="00E07EBA">
        <w:t xml:space="preserve">, he faces a risk upon return. </w:t>
      </w:r>
      <w:r w:rsidR="009130EF" w:rsidRPr="00E07EBA">
        <w:t xml:space="preserve">However, the Committee observes that no such analysis was undertaken in the </w:t>
      </w:r>
      <w:r w:rsidR="0008593B" w:rsidRPr="00E07EBA">
        <w:t>refugee appeals board</w:t>
      </w:r>
      <w:r w:rsidR="004E6A23" w:rsidRPr="00E07EBA">
        <w:t xml:space="preserve">, which </w:t>
      </w:r>
      <w:r w:rsidR="00BB69B1" w:rsidRPr="00E07EBA">
        <w:t xml:space="preserve">has based its decision solely on the assessment of the author’s credibility. </w:t>
      </w:r>
    </w:p>
    <w:p w:rsidR="004E6A23" w:rsidRPr="00F90716" w:rsidRDefault="00FB6F4A">
      <w:pPr>
        <w:pStyle w:val="SingleTxtG"/>
        <w:rPr>
          <w:lang w:val="en-GB" w:eastAsia="en-GB"/>
        </w:rPr>
      </w:pPr>
      <w:r w:rsidRPr="00F90716">
        <w:rPr>
          <w:lang w:val="en-GB"/>
        </w:rPr>
        <w:t>9.9</w:t>
      </w:r>
      <w:r w:rsidRPr="00F90716">
        <w:rPr>
          <w:lang w:val="en-GB"/>
        </w:rPr>
        <w:tab/>
      </w:r>
      <w:r w:rsidR="00BB69B1" w:rsidRPr="00F90716">
        <w:rPr>
          <w:lang w:val="en-GB"/>
        </w:rPr>
        <w:t xml:space="preserve">The Committee notes the author’s claim that he mixed dates as a result of pressure felt during the interview with the </w:t>
      </w:r>
      <w:r w:rsidR="00E520C9" w:rsidRPr="00E07EBA">
        <w:rPr>
          <w:lang w:val="en-GB"/>
        </w:rPr>
        <w:t>i</w:t>
      </w:r>
      <w:r w:rsidR="00BB69B1" w:rsidRPr="00F90716">
        <w:rPr>
          <w:lang w:val="en-GB"/>
        </w:rPr>
        <w:t xml:space="preserve">mmigration </w:t>
      </w:r>
      <w:r w:rsidR="00E520C9" w:rsidRPr="00E07EBA">
        <w:rPr>
          <w:lang w:val="en-GB"/>
        </w:rPr>
        <w:t>s</w:t>
      </w:r>
      <w:r w:rsidR="00BB69B1" w:rsidRPr="00F90716">
        <w:rPr>
          <w:lang w:val="en-GB"/>
        </w:rPr>
        <w:t xml:space="preserve">ervices and because he </w:t>
      </w:r>
      <w:r w:rsidR="008F31BC" w:rsidRPr="00E07EBA">
        <w:rPr>
          <w:lang w:val="en-GB"/>
        </w:rPr>
        <w:t xml:space="preserve">was </w:t>
      </w:r>
      <w:r w:rsidR="00BB69B1" w:rsidRPr="00F90716">
        <w:rPr>
          <w:lang w:val="en-GB"/>
        </w:rPr>
        <w:t>not famil</w:t>
      </w:r>
      <w:r w:rsidR="00E43057" w:rsidRPr="00F90716">
        <w:rPr>
          <w:lang w:val="en-GB"/>
        </w:rPr>
        <w:t>iar with the Gregorian calendar. The Committee further observes</w:t>
      </w:r>
      <w:r w:rsidR="00A773A1" w:rsidRPr="00F90716">
        <w:rPr>
          <w:lang w:val="en-GB"/>
        </w:rPr>
        <w:t xml:space="preserve"> </w:t>
      </w:r>
      <w:r w:rsidR="00E43057" w:rsidRPr="00F90716">
        <w:rPr>
          <w:lang w:val="en-GB"/>
        </w:rPr>
        <w:t>that the author made</w:t>
      </w:r>
      <w:r w:rsidR="00A773A1" w:rsidRPr="00F90716">
        <w:rPr>
          <w:lang w:val="en-GB"/>
        </w:rPr>
        <w:t xml:space="preserve"> </w:t>
      </w:r>
      <w:r w:rsidR="009130EF" w:rsidRPr="00F90716">
        <w:rPr>
          <w:lang w:val="en-GB"/>
        </w:rPr>
        <w:t xml:space="preserve">numerous </w:t>
      </w:r>
      <w:r w:rsidR="00E43057" w:rsidRPr="00F90716">
        <w:rPr>
          <w:lang w:val="en-GB"/>
        </w:rPr>
        <w:t xml:space="preserve">and convincing </w:t>
      </w:r>
      <w:r w:rsidR="009130EF" w:rsidRPr="00F90716">
        <w:rPr>
          <w:lang w:val="en-GB"/>
        </w:rPr>
        <w:t>attempts to try and clarify discrepancies in dates</w:t>
      </w:r>
      <w:r w:rsidRPr="00F90716">
        <w:rPr>
          <w:lang w:val="en-GB"/>
        </w:rPr>
        <w:t xml:space="preserve"> (whether he terminated his employment on</w:t>
      </w:r>
      <w:r w:rsidR="00622476" w:rsidRPr="00F90716">
        <w:rPr>
          <w:lang w:val="en-GB"/>
        </w:rPr>
        <w:t xml:space="preserve"> </w:t>
      </w:r>
      <w:r w:rsidR="00837FFB" w:rsidRPr="00E07EBA">
        <w:rPr>
          <w:lang w:val="en-GB"/>
        </w:rPr>
        <w:t>1 May, 20 May or 31 May</w:t>
      </w:r>
      <w:r w:rsidRPr="00F90716">
        <w:rPr>
          <w:lang w:val="en-GB"/>
        </w:rPr>
        <w:t xml:space="preserve"> </w:t>
      </w:r>
      <w:r w:rsidR="00837FFB" w:rsidRPr="00E07EBA">
        <w:rPr>
          <w:lang w:val="en-GB"/>
        </w:rPr>
        <w:t>2011</w:t>
      </w:r>
      <w:r w:rsidRPr="00F90716">
        <w:rPr>
          <w:lang w:val="en-GB"/>
        </w:rPr>
        <w:t>)</w:t>
      </w:r>
      <w:r w:rsidR="009130EF" w:rsidRPr="00F90716">
        <w:rPr>
          <w:lang w:val="en-GB"/>
        </w:rPr>
        <w:t xml:space="preserve">, which cannot in and of themselves be considered to </w:t>
      </w:r>
      <w:r w:rsidR="009130EF" w:rsidRPr="00F90716">
        <w:rPr>
          <w:lang w:val="en-GB" w:eastAsia="en-GB"/>
        </w:rPr>
        <w:t>vitiate the whole credibility of his allegations</w:t>
      </w:r>
      <w:r w:rsidR="004E6A23" w:rsidRPr="00F90716">
        <w:rPr>
          <w:lang w:val="en-GB" w:eastAsia="en-GB"/>
        </w:rPr>
        <w:t>.</w:t>
      </w:r>
    </w:p>
    <w:p w:rsidR="004E6A23" w:rsidRPr="00F90716" w:rsidRDefault="00FB6F4A">
      <w:pPr>
        <w:pStyle w:val="SingleTxtG"/>
        <w:rPr>
          <w:lang w:val="en-GB"/>
        </w:rPr>
      </w:pPr>
      <w:r w:rsidRPr="00F90716">
        <w:rPr>
          <w:lang w:val="en-GB" w:eastAsia="en-GB"/>
        </w:rPr>
        <w:t>9.10</w:t>
      </w:r>
      <w:r w:rsidR="004E6A23" w:rsidRPr="00F90716">
        <w:rPr>
          <w:lang w:val="en-GB" w:eastAsia="en-GB"/>
        </w:rPr>
        <w:tab/>
        <w:t>The Committee took note of the author’s claim that</w:t>
      </w:r>
      <w:r w:rsidR="008F31BC" w:rsidRPr="00E07EBA">
        <w:rPr>
          <w:lang w:val="en-GB" w:eastAsia="en-GB"/>
        </w:rPr>
        <w:t>,</w:t>
      </w:r>
      <w:r w:rsidR="004E6A23" w:rsidRPr="00F90716">
        <w:rPr>
          <w:lang w:val="en-GB" w:eastAsia="en-GB"/>
        </w:rPr>
        <w:t xml:space="preserve"> </w:t>
      </w:r>
      <w:r w:rsidR="008F31BC" w:rsidRPr="00E07EBA">
        <w:rPr>
          <w:lang w:val="en-GB"/>
        </w:rPr>
        <w:t xml:space="preserve">owing </w:t>
      </w:r>
      <w:r w:rsidR="004E6A23" w:rsidRPr="00F90716">
        <w:rPr>
          <w:lang w:val="en-GB"/>
        </w:rPr>
        <w:t xml:space="preserve">to his past work, </w:t>
      </w:r>
      <w:r w:rsidR="00735A49" w:rsidRPr="00F90716">
        <w:rPr>
          <w:lang w:val="en-GB"/>
        </w:rPr>
        <w:t>he</w:t>
      </w:r>
      <w:r w:rsidR="004E6A23" w:rsidRPr="00F90716">
        <w:rPr>
          <w:lang w:val="en-GB"/>
        </w:rPr>
        <w:t xml:space="preserve"> belongs to </w:t>
      </w:r>
      <w:r w:rsidR="00735A49" w:rsidRPr="00F90716">
        <w:rPr>
          <w:lang w:val="en-GB"/>
        </w:rPr>
        <w:t>a risk group</w:t>
      </w:r>
      <w:r w:rsidR="004E6A23" w:rsidRPr="00F90716">
        <w:rPr>
          <w:lang w:val="en-GB"/>
        </w:rPr>
        <w:t xml:space="preserve"> under the UNHCR Eligibility Guidelines for Assessing the International Protection Needs of Asylum</w:t>
      </w:r>
      <w:r w:rsidR="00E520C9" w:rsidRPr="00E07EBA">
        <w:rPr>
          <w:lang w:val="en-GB"/>
        </w:rPr>
        <w:t xml:space="preserve"> </w:t>
      </w:r>
      <w:r w:rsidR="004E6A23" w:rsidRPr="00F90716">
        <w:rPr>
          <w:lang w:val="en-GB"/>
        </w:rPr>
        <w:t>Seekers from Afghanistan</w:t>
      </w:r>
      <w:r w:rsidR="00692F62" w:rsidRPr="00F90716">
        <w:rPr>
          <w:lang w:val="en-GB"/>
        </w:rPr>
        <w:t>, which was not contested by the State party. The author has also claimed</w:t>
      </w:r>
      <w:r w:rsidR="004E6A23" w:rsidRPr="00F90716">
        <w:rPr>
          <w:lang w:val="en-GB"/>
        </w:rPr>
        <w:t xml:space="preserve"> that his brother-in-law was killed by individuals who </w:t>
      </w:r>
      <w:r w:rsidR="008F31BC" w:rsidRPr="00E07EBA">
        <w:rPr>
          <w:lang w:val="en-GB"/>
        </w:rPr>
        <w:t xml:space="preserve">had been </w:t>
      </w:r>
      <w:r w:rsidR="004E6A23" w:rsidRPr="00F90716">
        <w:rPr>
          <w:lang w:val="en-GB"/>
        </w:rPr>
        <w:t xml:space="preserve">searching </w:t>
      </w:r>
      <w:r w:rsidR="008F31BC" w:rsidRPr="00E07EBA">
        <w:rPr>
          <w:lang w:val="en-GB"/>
        </w:rPr>
        <w:t xml:space="preserve">for </w:t>
      </w:r>
      <w:r w:rsidR="004E6A23" w:rsidRPr="00F90716">
        <w:rPr>
          <w:lang w:val="en-GB"/>
        </w:rPr>
        <w:t xml:space="preserve">him, </w:t>
      </w:r>
      <w:r w:rsidR="00692F62" w:rsidRPr="00F90716">
        <w:rPr>
          <w:lang w:val="en-GB"/>
        </w:rPr>
        <w:t xml:space="preserve">a claim </w:t>
      </w:r>
      <w:r w:rsidR="008F31BC" w:rsidRPr="00E07EBA">
        <w:rPr>
          <w:lang w:val="en-GB"/>
        </w:rPr>
        <w:t xml:space="preserve">that </w:t>
      </w:r>
      <w:r w:rsidR="004E6A23" w:rsidRPr="00F90716">
        <w:rPr>
          <w:lang w:val="en-GB"/>
        </w:rPr>
        <w:t xml:space="preserve">was dismissed by the </w:t>
      </w:r>
      <w:r w:rsidR="0008593B" w:rsidRPr="00E07EBA">
        <w:rPr>
          <w:lang w:val="en-GB"/>
        </w:rPr>
        <w:t>refugee appeals board</w:t>
      </w:r>
      <w:r w:rsidR="004E6A23" w:rsidRPr="00F90716">
        <w:rPr>
          <w:lang w:val="en-GB"/>
        </w:rPr>
        <w:t xml:space="preserve"> as insufficiently substantiated. The Committee </w:t>
      </w:r>
      <w:r w:rsidR="00692F62" w:rsidRPr="00F90716">
        <w:rPr>
          <w:lang w:val="en-GB"/>
        </w:rPr>
        <w:t xml:space="preserve">however </w:t>
      </w:r>
      <w:r w:rsidR="004E6A23" w:rsidRPr="00F90716">
        <w:rPr>
          <w:lang w:val="en-GB"/>
        </w:rPr>
        <w:t xml:space="preserve">notes </w:t>
      </w:r>
      <w:r w:rsidR="00735A49" w:rsidRPr="00F90716">
        <w:rPr>
          <w:lang w:val="en-GB"/>
        </w:rPr>
        <w:t xml:space="preserve">that </w:t>
      </w:r>
      <w:r w:rsidR="004E6A23" w:rsidRPr="00F90716">
        <w:rPr>
          <w:lang w:val="en-GB"/>
        </w:rPr>
        <w:t xml:space="preserve">neither the Danish </w:t>
      </w:r>
      <w:r w:rsidR="00E520C9" w:rsidRPr="00E07EBA">
        <w:rPr>
          <w:lang w:val="en-GB"/>
        </w:rPr>
        <w:t>i</w:t>
      </w:r>
      <w:r w:rsidR="004E6A23" w:rsidRPr="00F90716">
        <w:rPr>
          <w:lang w:val="en-GB"/>
        </w:rPr>
        <w:t xml:space="preserve">mmigration </w:t>
      </w:r>
      <w:r w:rsidR="00E520C9" w:rsidRPr="00E07EBA">
        <w:rPr>
          <w:lang w:val="en-GB"/>
        </w:rPr>
        <w:t>s</w:t>
      </w:r>
      <w:r w:rsidR="004E6A23" w:rsidRPr="00F90716">
        <w:rPr>
          <w:lang w:val="en-GB"/>
        </w:rPr>
        <w:t xml:space="preserve">ervice nor the </w:t>
      </w:r>
      <w:r w:rsidR="0008593B" w:rsidRPr="00E07EBA">
        <w:rPr>
          <w:lang w:val="en-GB"/>
        </w:rPr>
        <w:t>b</w:t>
      </w:r>
      <w:r w:rsidR="004E6A23" w:rsidRPr="00F90716">
        <w:rPr>
          <w:lang w:val="en-GB"/>
        </w:rPr>
        <w:t xml:space="preserve">oard initiated any investigation as to the veracity and validity of the evidence produced in support of his </w:t>
      </w:r>
      <w:r w:rsidR="00735A49" w:rsidRPr="00F90716">
        <w:rPr>
          <w:lang w:val="en-GB"/>
        </w:rPr>
        <w:t>allegations,</w:t>
      </w:r>
      <w:r w:rsidR="004E6A23" w:rsidRPr="003625FE">
        <w:rPr>
          <w:rStyle w:val="FootnoteReference"/>
        </w:rPr>
        <w:footnoteReference w:id="23"/>
      </w:r>
      <w:r w:rsidR="00735A49" w:rsidRPr="00F90716">
        <w:rPr>
          <w:lang w:val="en-GB"/>
        </w:rPr>
        <w:t xml:space="preserve"> aside from rejecting a police report produced by the author as a result of his reporting of the crime to the </w:t>
      </w:r>
      <w:r w:rsidR="00B23D8F" w:rsidRPr="00F90716">
        <w:rPr>
          <w:lang w:val="en-GB"/>
        </w:rPr>
        <w:t xml:space="preserve">Afghan </w:t>
      </w:r>
      <w:r w:rsidR="00735A49" w:rsidRPr="00F90716">
        <w:rPr>
          <w:lang w:val="en-GB"/>
        </w:rPr>
        <w:t xml:space="preserve">police authorities. </w:t>
      </w:r>
    </w:p>
    <w:p w:rsidR="00001AE9" w:rsidRPr="00F90716" w:rsidRDefault="0046542E">
      <w:pPr>
        <w:pStyle w:val="SingleTxtG"/>
        <w:rPr>
          <w:vertAlign w:val="superscript"/>
          <w:lang w:val="en-GB"/>
        </w:rPr>
      </w:pPr>
      <w:r w:rsidRPr="00F90716">
        <w:rPr>
          <w:lang w:val="en-GB" w:eastAsia="en-GB"/>
        </w:rPr>
        <w:t>9.11</w:t>
      </w:r>
      <w:r w:rsidR="004E6A23" w:rsidRPr="00F90716">
        <w:rPr>
          <w:lang w:val="en-GB" w:eastAsia="en-GB"/>
        </w:rPr>
        <w:tab/>
      </w:r>
      <w:r w:rsidR="005C6EDB" w:rsidRPr="00F90716">
        <w:rPr>
          <w:lang w:val="en-GB"/>
        </w:rPr>
        <w:t xml:space="preserve">In the circumstances of this case, </w:t>
      </w:r>
      <w:r w:rsidR="004E6A23" w:rsidRPr="00F90716">
        <w:rPr>
          <w:lang w:val="en-GB"/>
        </w:rPr>
        <w:t>and reiterating that t</w:t>
      </w:r>
      <w:r w:rsidR="009130EF" w:rsidRPr="00F90716">
        <w:rPr>
          <w:lang w:val="en-GB"/>
        </w:rPr>
        <w:t xml:space="preserve">he </w:t>
      </w:r>
      <w:r w:rsidR="0008593B" w:rsidRPr="00E07EBA">
        <w:rPr>
          <w:lang w:val="en-GB"/>
        </w:rPr>
        <w:t>refugee appeals board</w:t>
      </w:r>
      <w:r w:rsidR="009130EF" w:rsidRPr="00F90716">
        <w:rPr>
          <w:lang w:val="en-GB"/>
        </w:rPr>
        <w:t xml:space="preserve"> based its decision to </w:t>
      </w:r>
      <w:r w:rsidR="005C6EDB" w:rsidRPr="00F90716">
        <w:rPr>
          <w:lang w:val="en-GB"/>
        </w:rPr>
        <w:t>reject the author’s asylum claim merely on inconsistencies that</w:t>
      </w:r>
      <w:r w:rsidR="009130EF" w:rsidRPr="00F90716">
        <w:rPr>
          <w:lang w:val="en-GB"/>
        </w:rPr>
        <w:t xml:space="preserve"> are not central to the general </w:t>
      </w:r>
      <w:r w:rsidR="004E52CA" w:rsidRPr="00F90716">
        <w:rPr>
          <w:lang w:val="en-GB"/>
        </w:rPr>
        <w:t xml:space="preserve">claim </w:t>
      </w:r>
      <w:r w:rsidR="00A21755" w:rsidRPr="00F90716">
        <w:rPr>
          <w:lang w:val="en-GB"/>
        </w:rPr>
        <w:t>made</w:t>
      </w:r>
      <w:r w:rsidR="005C6EDB" w:rsidRPr="00F90716">
        <w:rPr>
          <w:lang w:val="en-GB"/>
        </w:rPr>
        <w:t xml:space="preserve"> by the author as </w:t>
      </w:r>
      <w:r w:rsidR="009130EF" w:rsidRPr="00F90716">
        <w:rPr>
          <w:lang w:val="en-GB"/>
        </w:rPr>
        <w:t xml:space="preserve">a former interpreter for the </w:t>
      </w:r>
      <w:r w:rsidR="00E7218F" w:rsidRPr="00E07EBA">
        <w:rPr>
          <w:lang w:val="en-GB"/>
        </w:rPr>
        <w:t xml:space="preserve">United States </w:t>
      </w:r>
      <w:r w:rsidR="009130EF" w:rsidRPr="00F90716">
        <w:rPr>
          <w:lang w:val="en-GB"/>
        </w:rPr>
        <w:t>forces in Afghanistan</w:t>
      </w:r>
      <w:r w:rsidR="004E6A23" w:rsidRPr="00F90716">
        <w:rPr>
          <w:lang w:val="en-GB"/>
        </w:rPr>
        <w:t>, t</w:t>
      </w:r>
      <w:r w:rsidR="005C6EDB" w:rsidRPr="00F90716">
        <w:rPr>
          <w:lang w:val="en-GB"/>
        </w:rPr>
        <w:t xml:space="preserve">he Committee </w:t>
      </w:r>
      <w:r w:rsidR="004E6A23" w:rsidRPr="00F90716">
        <w:rPr>
          <w:lang w:val="en-GB"/>
        </w:rPr>
        <w:t>concludes</w:t>
      </w:r>
      <w:r w:rsidR="005C6EDB" w:rsidRPr="00F90716">
        <w:rPr>
          <w:lang w:val="en-GB"/>
        </w:rPr>
        <w:t xml:space="preserve"> that the m</w:t>
      </w:r>
      <w:r w:rsidR="009130EF" w:rsidRPr="00F90716">
        <w:rPr>
          <w:lang w:val="en-GB"/>
        </w:rPr>
        <w:t xml:space="preserve">aterial before it suggests that </w:t>
      </w:r>
      <w:r w:rsidR="005C6EDB" w:rsidRPr="00F90716">
        <w:rPr>
          <w:lang w:val="en-GB"/>
        </w:rPr>
        <w:t>insufficient weight was give</w:t>
      </w:r>
      <w:r w:rsidR="004E6A23" w:rsidRPr="00F90716">
        <w:rPr>
          <w:lang w:val="en-GB"/>
        </w:rPr>
        <w:t>n to the author’ allegations and that, n</w:t>
      </w:r>
      <w:r w:rsidR="005C6EDB" w:rsidRPr="00F90716">
        <w:rPr>
          <w:lang w:val="en-GB"/>
        </w:rPr>
        <w:t>otwithstanding the deference given to</w:t>
      </w:r>
      <w:r w:rsidR="009130EF" w:rsidRPr="00F90716">
        <w:rPr>
          <w:lang w:val="en-GB"/>
        </w:rPr>
        <w:t xml:space="preserve"> the immigration authorities to </w:t>
      </w:r>
      <w:r w:rsidR="005C6EDB" w:rsidRPr="00F90716">
        <w:rPr>
          <w:lang w:val="en-GB"/>
        </w:rPr>
        <w:t>appreciate the evidence before them</w:t>
      </w:r>
      <w:r w:rsidR="004E6A23" w:rsidRPr="00F90716">
        <w:rPr>
          <w:lang w:val="en-GB"/>
        </w:rPr>
        <w:t>,</w:t>
      </w:r>
      <w:r w:rsidR="00735A49" w:rsidRPr="00F90716">
        <w:rPr>
          <w:lang w:val="en-GB"/>
        </w:rPr>
        <w:t xml:space="preserve"> the State party has not adequately addressed the author’s personal circumstances, </w:t>
      </w:r>
      <w:r w:rsidR="002B44C4" w:rsidRPr="00F90716">
        <w:rPr>
          <w:lang w:val="en-GB"/>
        </w:rPr>
        <w:t xml:space="preserve">which should have been devoted </w:t>
      </w:r>
      <w:r w:rsidR="005C6EDB" w:rsidRPr="00F90716">
        <w:rPr>
          <w:lang w:val="en-GB"/>
        </w:rPr>
        <w:t>furth</w:t>
      </w:r>
      <w:r w:rsidR="009130EF" w:rsidRPr="00F90716">
        <w:rPr>
          <w:lang w:val="en-GB"/>
        </w:rPr>
        <w:t>er analysis</w:t>
      </w:r>
      <w:r w:rsidR="00735A49" w:rsidRPr="00F90716">
        <w:rPr>
          <w:lang w:val="en-GB"/>
        </w:rPr>
        <w:t xml:space="preserve">. </w:t>
      </w:r>
    </w:p>
    <w:p w:rsidR="0089586D" w:rsidRPr="00F90716" w:rsidRDefault="0046542E" w:rsidP="00484A40">
      <w:pPr>
        <w:pStyle w:val="SingleTxtG"/>
        <w:rPr>
          <w:lang w:val="en-GB"/>
        </w:rPr>
      </w:pPr>
      <w:r w:rsidRPr="00F90716">
        <w:rPr>
          <w:lang w:val="en-GB"/>
        </w:rPr>
        <w:t>9.12</w:t>
      </w:r>
      <w:r w:rsidR="00735A49" w:rsidRPr="00F90716">
        <w:rPr>
          <w:lang w:val="en-GB"/>
        </w:rPr>
        <w:tab/>
        <w:t>Accordingly, the Committee concludes that t</w:t>
      </w:r>
      <w:r w:rsidR="00001AE9" w:rsidRPr="00F90716">
        <w:rPr>
          <w:lang w:val="en-GB"/>
        </w:rPr>
        <w:t>he author</w:t>
      </w:r>
      <w:r w:rsidR="00735A49" w:rsidRPr="00F90716">
        <w:rPr>
          <w:lang w:val="en-GB"/>
        </w:rPr>
        <w:t>’s removal</w:t>
      </w:r>
      <w:r w:rsidR="00001AE9" w:rsidRPr="00F90716">
        <w:rPr>
          <w:lang w:val="en-GB"/>
        </w:rPr>
        <w:t xml:space="preserve"> to Afghanistan</w:t>
      </w:r>
      <w:r w:rsidR="00735A49" w:rsidRPr="00F90716">
        <w:rPr>
          <w:lang w:val="en-GB"/>
        </w:rPr>
        <w:t xml:space="preserve"> would constitute a breach by </w:t>
      </w:r>
      <w:r w:rsidR="00001AE9" w:rsidRPr="00F90716">
        <w:rPr>
          <w:lang w:val="en-GB"/>
        </w:rPr>
        <w:t xml:space="preserve">the State party </w:t>
      </w:r>
      <w:r w:rsidR="00735A49" w:rsidRPr="00F90716">
        <w:rPr>
          <w:lang w:val="en-GB"/>
        </w:rPr>
        <w:t xml:space="preserve">of </w:t>
      </w:r>
      <w:r w:rsidR="00001AE9" w:rsidRPr="00F90716">
        <w:rPr>
          <w:lang w:val="en-GB"/>
        </w:rPr>
        <w:t>its obligations under article 7 of the Covenant.</w:t>
      </w:r>
      <w:r w:rsidR="004350E7" w:rsidRPr="00F90716">
        <w:rPr>
          <w:lang w:val="en-GB"/>
        </w:rPr>
        <w:t xml:space="preserve"> </w:t>
      </w:r>
    </w:p>
    <w:p w:rsidR="00001AE9" w:rsidRPr="00F90716" w:rsidRDefault="00735A49">
      <w:pPr>
        <w:pStyle w:val="SingleTxtG"/>
        <w:rPr>
          <w:lang w:val="en-GB"/>
        </w:rPr>
      </w:pPr>
      <w:r w:rsidRPr="00F90716">
        <w:rPr>
          <w:lang w:val="en-GB"/>
        </w:rPr>
        <w:t>10</w:t>
      </w:r>
      <w:r w:rsidR="00001AE9" w:rsidRPr="00F90716">
        <w:rPr>
          <w:lang w:val="en-GB"/>
        </w:rPr>
        <w:t>.</w:t>
      </w:r>
      <w:r w:rsidR="00001AE9" w:rsidRPr="00F90716">
        <w:rPr>
          <w:lang w:val="en-GB"/>
        </w:rPr>
        <w:tab/>
        <w:t xml:space="preserve">The Committee acting under article 5 </w:t>
      </w:r>
      <w:r w:rsidR="00A219C7" w:rsidRPr="00E07EBA">
        <w:rPr>
          <w:lang w:val="en-GB"/>
        </w:rPr>
        <w:t>(</w:t>
      </w:r>
      <w:r w:rsidR="00001AE9" w:rsidRPr="00F90716">
        <w:rPr>
          <w:lang w:val="en-GB"/>
        </w:rPr>
        <w:t>4</w:t>
      </w:r>
      <w:r w:rsidR="00A219C7" w:rsidRPr="00E07EBA">
        <w:rPr>
          <w:lang w:val="en-GB"/>
        </w:rPr>
        <w:t>)</w:t>
      </w:r>
      <w:r w:rsidR="00001AE9" w:rsidRPr="00F90716">
        <w:rPr>
          <w:lang w:val="en-GB"/>
        </w:rPr>
        <w:t xml:space="preserve"> of the Optional Protocol to the International Covenant on Civil and Political Rights, is of the view that the author</w:t>
      </w:r>
      <w:r w:rsidR="008E41BD" w:rsidRPr="00F90716">
        <w:rPr>
          <w:lang w:val="en-GB"/>
        </w:rPr>
        <w:t>’s removal</w:t>
      </w:r>
      <w:r w:rsidR="00001AE9" w:rsidRPr="00F90716">
        <w:rPr>
          <w:lang w:val="en-GB"/>
        </w:rPr>
        <w:t xml:space="preserve"> to Afghanistan</w:t>
      </w:r>
      <w:r w:rsidR="008E41BD" w:rsidRPr="00F90716">
        <w:rPr>
          <w:lang w:val="en-GB"/>
        </w:rPr>
        <w:t xml:space="preserve"> by</w:t>
      </w:r>
      <w:r w:rsidR="00001AE9" w:rsidRPr="00F90716">
        <w:rPr>
          <w:lang w:val="en-GB"/>
        </w:rPr>
        <w:t xml:space="preserve"> the State party </w:t>
      </w:r>
      <w:r w:rsidR="008E41BD" w:rsidRPr="00F90716">
        <w:rPr>
          <w:lang w:val="en-GB"/>
        </w:rPr>
        <w:t>would violate</w:t>
      </w:r>
      <w:r w:rsidR="00001AE9" w:rsidRPr="00F90716">
        <w:rPr>
          <w:lang w:val="en-GB"/>
        </w:rPr>
        <w:t xml:space="preserve"> his rights under article 7 of the Covenant. </w:t>
      </w:r>
    </w:p>
    <w:p w:rsidR="001B46C5" w:rsidRPr="00F90716" w:rsidRDefault="001B46C5">
      <w:pPr>
        <w:pStyle w:val="SingleTxtG"/>
        <w:rPr>
          <w:lang w:val="en-GB"/>
        </w:rPr>
      </w:pPr>
      <w:r w:rsidRPr="00F90716">
        <w:rPr>
          <w:lang w:val="en-GB"/>
        </w:rPr>
        <w:t>11.</w:t>
      </w:r>
      <w:r w:rsidRPr="00F90716">
        <w:rPr>
          <w:lang w:val="en-GB"/>
        </w:rPr>
        <w:tab/>
        <w:t>In accordance with article 2 (1) of the Covenant, which establishes that</w:t>
      </w:r>
      <w:r w:rsidR="003464FF" w:rsidRPr="00F90716">
        <w:rPr>
          <w:lang w:val="en-GB"/>
        </w:rPr>
        <w:t xml:space="preserve"> </w:t>
      </w:r>
      <w:r w:rsidRPr="00F90716">
        <w:rPr>
          <w:lang w:val="en-GB"/>
        </w:rPr>
        <w:t>States Parties undertake to respect and to ensure to all individuals</w:t>
      </w:r>
      <w:r w:rsidR="003464FF" w:rsidRPr="00F90716">
        <w:rPr>
          <w:lang w:val="en-GB"/>
        </w:rPr>
        <w:t xml:space="preserve"> </w:t>
      </w:r>
      <w:r w:rsidRPr="00F90716">
        <w:rPr>
          <w:lang w:val="en-GB"/>
        </w:rPr>
        <w:t>within their territory and subject to their jurisdiction the rights</w:t>
      </w:r>
      <w:r w:rsidR="003464FF" w:rsidRPr="00F90716">
        <w:rPr>
          <w:lang w:val="en-GB"/>
        </w:rPr>
        <w:t xml:space="preserve"> </w:t>
      </w:r>
      <w:r w:rsidRPr="00F90716">
        <w:rPr>
          <w:lang w:val="en-GB"/>
        </w:rPr>
        <w:t>recognized in the Covenant, the State party is under an obligation to</w:t>
      </w:r>
      <w:r w:rsidR="003464FF" w:rsidRPr="00F90716">
        <w:rPr>
          <w:lang w:val="en-GB"/>
        </w:rPr>
        <w:t xml:space="preserve"> </w:t>
      </w:r>
      <w:r w:rsidRPr="00F90716">
        <w:rPr>
          <w:lang w:val="en-GB"/>
        </w:rPr>
        <w:t xml:space="preserve">proceed to a review of the decision to forcibly remove </w:t>
      </w:r>
      <w:r w:rsidR="00BA1490" w:rsidRPr="00E07EBA">
        <w:rPr>
          <w:lang w:val="en-GB"/>
        </w:rPr>
        <w:t xml:space="preserve">the author </w:t>
      </w:r>
      <w:r w:rsidRPr="00F90716">
        <w:rPr>
          <w:lang w:val="en-GB"/>
        </w:rPr>
        <w:t>to Afghanistan, taking into account the State party</w:t>
      </w:r>
      <w:r w:rsidR="00AE02DC">
        <w:rPr>
          <w:lang w:val="en-GB"/>
        </w:rPr>
        <w:t>’</w:t>
      </w:r>
      <w:r w:rsidRPr="00F90716">
        <w:rPr>
          <w:lang w:val="en-GB"/>
        </w:rPr>
        <w:t>s</w:t>
      </w:r>
      <w:r w:rsidR="003464FF" w:rsidRPr="00F90716">
        <w:rPr>
          <w:lang w:val="en-GB"/>
        </w:rPr>
        <w:t xml:space="preserve"> </w:t>
      </w:r>
      <w:r w:rsidRPr="00F90716">
        <w:rPr>
          <w:lang w:val="en-GB"/>
        </w:rPr>
        <w:t>obligations under the Covenant and the Committee</w:t>
      </w:r>
      <w:r w:rsidR="00AE02DC">
        <w:rPr>
          <w:lang w:val="en-GB"/>
        </w:rPr>
        <w:t>’</w:t>
      </w:r>
      <w:r w:rsidRPr="00F90716">
        <w:rPr>
          <w:lang w:val="en-GB"/>
        </w:rPr>
        <w:t>s present Views. The</w:t>
      </w:r>
      <w:r w:rsidR="003464FF" w:rsidRPr="00F90716">
        <w:rPr>
          <w:lang w:val="en-GB"/>
        </w:rPr>
        <w:t xml:space="preserve"> </w:t>
      </w:r>
      <w:r w:rsidRPr="00F90716">
        <w:rPr>
          <w:lang w:val="en-GB"/>
        </w:rPr>
        <w:t>State party is also requested to refrain from expelling the author while</w:t>
      </w:r>
      <w:r w:rsidR="003464FF" w:rsidRPr="00F90716">
        <w:rPr>
          <w:lang w:val="en-GB"/>
        </w:rPr>
        <w:t xml:space="preserve"> </w:t>
      </w:r>
      <w:r w:rsidRPr="00F90716">
        <w:rPr>
          <w:lang w:val="en-GB"/>
        </w:rPr>
        <w:t>his request for asylum is being reconsidered.</w:t>
      </w:r>
    </w:p>
    <w:p w:rsidR="00337E8A" w:rsidRPr="00F90716" w:rsidRDefault="002D2450" w:rsidP="00F90716">
      <w:pPr>
        <w:pStyle w:val="SingleTxtG"/>
        <w:keepLines/>
        <w:rPr>
          <w:lang w:val="en-GB"/>
        </w:rPr>
      </w:pPr>
      <w:r w:rsidRPr="00F90716">
        <w:rPr>
          <w:lang w:val="en-GB"/>
        </w:rPr>
        <w:lastRenderedPageBreak/>
        <w:t>12</w:t>
      </w:r>
      <w:r w:rsidR="008A16B6" w:rsidRPr="00F90716">
        <w:rPr>
          <w:lang w:val="en-GB"/>
        </w:rPr>
        <w:t>.</w:t>
      </w:r>
      <w:r w:rsidR="00001AE9" w:rsidRPr="00F90716">
        <w:rPr>
          <w:lang w:val="en-GB"/>
        </w:rPr>
        <w:tab/>
        <w:t>B</w:t>
      </w:r>
      <w:r w:rsidR="00BA1490" w:rsidRPr="00E07EBA">
        <w:t xml:space="preserve">earing in mind that, </w:t>
      </w:r>
      <w:r w:rsidR="00BA1490" w:rsidRPr="00E07EBA">
        <w:rPr>
          <w:lang w:val="en-US"/>
        </w:rPr>
        <w:t>b</w:t>
      </w:r>
      <w:r w:rsidR="00001AE9" w:rsidRPr="00F90716">
        <w:rPr>
          <w:lang w:val="en-GB"/>
        </w:rPr>
        <w:t>y becoming a party to the Optional Protocol, the State party has recognized the competence of the Committee to determine whether there has been a violation of the Covenant</w:t>
      </w:r>
      <w:r w:rsidR="00BA1490" w:rsidRPr="00E07EBA">
        <w:rPr>
          <w:lang w:val="en-GB"/>
        </w:rPr>
        <w:t xml:space="preserve"> and that</w:t>
      </w:r>
      <w:r w:rsidR="00001AE9" w:rsidRPr="00F90716">
        <w:rPr>
          <w:lang w:val="en-GB"/>
        </w:rPr>
        <w:t xml:space="preserve">, pursuant to article 2 of the Covenant, the State party has undertaken to </w:t>
      </w:r>
      <w:r w:rsidR="00BA1490" w:rsidRPr="00E07EBA">
        <w:rPr>
          <w:lang w:val="en-GB"/>
        </w:rPr>
        <w:t xml:space="preserve">ensure </w:t>
      </w:r>
      <w:r w:rsidR="00001AE9" w:rsidRPr="00F90716">
        <w:rPr>
          <w:lang w:val="en-GB"/>
        </w:rPr>
        <w:t>to all individuals within its territory and subject to its jurisdiction the rights recognized in the Covenant and to provide an effective and enforceable remedy where it has been determined that a violation has occurred</w:t>
      </w:r>
      <w:r w:rsidR="00BA1490" w:rsidRPr="00E07EBA">
        <w:rPr>
          <w:lang w:val="en-GB"/>
        </w:rPr>
        <w:t>,</w:t>
      </w:r>
      <w:r w:rsidR="00001AE9" w:rsidRPr="00F90716">
        <w:rPr>
          <w:lang w:val="en-GB"/>
        </w:rPr>
        <w:t xml:space="preserve"> </w:t>
      </w:r>
      <w:r w:rsidR="00BA1490" w:rsidRPr="00E07EBA">
        <w:rPr>
          <w:lang w:val="en-GB"/>
        </w:rPr>
        <w:t>t</w:t>
      </w:r>
      <w:r w:rsidR="00001AE9" w:rsidRPr="00F90716">
        <w:rPr>
          <w:lang w:val="en-GB"/>
        </w:rPr>
        <w:t xml:space="preserve">he Committee </w:t>
      </w:r>
      <w:r w:rsidR="00BA1490" w:rsidRPr="00E07EBA">
        <w:t xml:space="preserve">wishes to receive from </w:t>
      </w:r>
      <w:r w:rsidR="00001AE9" w:rsidRPr="00F90716">
        <w:rPr>
          <w:lang w:val="en-GB"/>
        </w:rPr>
        <w:t>the State party, within 180 days, information about the measures taken to give effect to the present Views. The State party is also requested to publish the present Views, to have them translated into the official language of the State party, and to ensure tha</w:t>
      </w:r>
      <w:r w:rsidR="008A16B6" w:rsidRPr="00F90716">
        <w:rPr>
          <w:lang w:val="en-GB"/>
        </w:rPr>
        <w:t>t they are widely disseminated.</w:t>
      </w:r>
    </w:p>
    <w:p w:rsidR="00F04F02" w:rsidRPr="00F90716" w:rsidRDefault="00F04F02" w:rsidP="00484A40">
      <w:pPr>
        <w:pStyle w:val="SingleTxtG"/>
        <w:rPr>
          <w:lang w:val="en-GB"/>
        </w:rPr>
        <w:sectPr w:rsidR="00F04F02" w:rsidRPr="00F90716" w:rsidSect="00BC66A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F04F02" w:rsidRPr="00F90716" w:rsidRDefault="00F04F02" w:rsidP="00F04F02">
      <w:pPr>
        <w:pStyle w:val="HMG"/>
        <w:rPr>
          <w:sz w:val="28"/>
          <w:szCs w:val="28"/>
        </w:rPr>
      </w:pPr>
      <w:r w:rsidRPr="00F90716">
        <w:rPr>
          <w:sz w:val="28"/>
          <w:szCs w:val="28"/>
        </w:rPr>
        <w:lastRenderedPageBreak/>
        <w:t>Annex I</w:t>
      </w:r>
    </w:p>
    <w:p w:rsidR="00F04F02" w:rsidRPr="00E07EBA" w:rsidRDefault="00F04F02" w:rsidP="00F04F02">
      <w:pPr>
        <w:pStyle w:val="H1G"/>
        <w:rPr>
          <w:lang w:eastAsia="en-GB"/>
        </w:rPr>
      </w:pPr>
      <w:r w:rsidRPr="00E07EBA">
        <w:rPr>
          <w:lang w:eastAsia="en-GB"/>
        </w:rPr>
        <w:tab/>
      </w:r>
      <w:r w:rsidRPr="00E07EBA">
        <w:rPr>
          <w:lang w:eastAsia="en-GB"/>
        </w:rPr>
        <w:tab/>
      </w:r>
      <w:r w:rsidR="00256B6A" w:rsidRPr="00E07EBA">
        <w:rPr>
          <w:lang w:eastAsia="en-GB"/>
        </w:rPr>
        <w:t>Joint</w:t>
      </w:r>
      <w:r w:rsidRPr="00E07EBA">
        <w:rPr>
          <w:lang w:eastAsia="en-GB"/>
        </w:rPr>
        <w:t xml:space="preserve"> opinion of Committee members Yuval Shany, Yuji Iwasawa, Sir</w:t>
      </w:r>
      <w:r w:rsidR="003625FE">
        <w:rPr>
          <w:lang w:eastAsia="en-GB"/>
        </w:rPr>
        <w:t> </w:t>
      </w:r>
      <w:r w:rsidRPr="00E07EBA">
        <w:rPr>
          <w:lang w:eastAsia="en-GB"/>
        </w:rPr>
        <w:t>Nigel Rodley and Konstantin Vardzelashvili (dissenting)</w:t>
      </w:r>
    </w:p>
    <w:p w:rsidR="00F04F02" w:rsidRPr="00F90716" w:rsidRDefault="00F04F02">
      <w:pPr>
        <w:pStyle w:val="SingleTxtG"/>
        <w:rPr>
          <w:lang w:val="en-GB"/>
        </w:rPr>
      </w:pPr>
      <w:r w:rsidRPr="00F90716">
        <w:rPr>
          <w:lang w:val="en-GB"/>
        </w:rPr>
        <w:t>1.</w:t>
      </w:r>
      <w:r w:rsidRPr="00F90716">
        <w:rPr>
          <w:lang w:val="en-GB"/>
        </w:rPr>
        <w:tab/>
        <w:t xml:space="preserve">We regret that we are unable to join the majority on the Committee in finding that, in deciding to deport the author, Denmark would, if it implemented the decision, violate its obligations under article 7 of the Covenant. </w:t>
      </w:r>
    </w:p>
    <w:p w:rsidR="00F04F02" w:rsidRPr="00F90716" w:rsidRDefault="00F04F02">
      <w:pPr>
        <w:pStyle w:val="SingleTxtG"/>
        <w:rPr>
          <w:lang w:val="en-GB"/>
        </w:rPr>
      </w:pPr>
      <w:r w:rsidRPr="00F90716">
        <w:rPr>
          <w:lang w:val="en-GB"/>
        </w:rPr>
        <w:t>2.</w:t>
      </w:r>
      <w:r w:rsidRPr="00F90716">
        <w:rPr>
          <w:lang w:val="en-GB"/>
        </w:rPr>
        <w:tab/>
        <w:t>In paragraph 9.7. of the Views, the Committee recalls that “important weight should be given to the assessment conducted by the States parties’ authorities, unless it is found that the evaluation was clearly arbitrary or amounted to a denial of justice, and that it is generally for the organs of States parties to the Covenant to review or evaluate facts and evidence in order to determine whether such a risk exists”. Despite this, the majority of the Committee engaged in what appears to us to be an independent analysis of the credibility of the author, which involved an evaluation of the discrepancies in his statements and their significance (“the author made numerous and convincing attempts to try and clarify discrepancies in dates (whether he terminated his employment on 1 May, 20 May or 31</w:t>
      </w:r>
      <w:r w:rsidR="003625FE">
        <w:rPr>
          <w:lang w:val="en-GB"/>
        </w:rPr>
        <w:t> </w:t>
      </w:r>
      <w:r w:rsidRPr="00F90716">
        <w:rPr>
          <w:lang w:val="en-GB"/>
        </w:rPr>
        <w:t>May 2011), which cannot in and of themselves be considered to vitiate the whole credibility of his allegations” (para</w:t>
      </w:r>
      <w:r w:rsidR="00A219C7" w:rsidRPr="00E07EBA">
        <w:rPr>
          <w:lang w:val="en-GB"/>
        </w:rPr>
        <w:t>.</w:t>
      </w:r>
      <w:r w:rsidRPr="00F90716">
        <w:rPr>
          <w:lang w:val="en-GB"/>
        </w:rPr>
        <w:t xml:space="preserve"> 9.9); “the </w:t>
      </w:r>
      <w:r w:rsidR="0008593B" w:rsidRPr="00E07EBA">
        <w:rPr>
          <w:lang w:val="en-GB"/>
        </w:rPr>
        <w:t>refugee appeals board</w:t>
      </w:r>
      <w:r w:rsidRPr="00F90716">
        <w:rPr>
          <w:lang w:val="en-GB"/>
        </w:rPr>
        <w:t xml:space="preserve"> based its decision to reject the author’s asylum claim merely on inconsistencies that are not central to the general claim made by the author as a former interpreter for the </w:t>
      </w:r>
      <w:r w:rsidR="00E7218F" w:rsidRPr="00E07EBA">
        <w:rPr>
          <w:lang w:val="en-GB"/>
        </w:rPr>
        <w:t xml:space="preserve">United States </w:t>
      </w:r>
      <w:r w:rsidRPr="00F90716">
        <w:rPr>
          <w:lang w:val="en-GB"/>
        </w:rPr>
        <w:t>forces in Afghanistan” (para</w:t>
      </w:r>
      <w:r w:rsidR="00A219C7" w:rsidRPr="00E07EBA">
        <w:rPr>
          <w:lang w:val="en-GB"/>
        </w:rPr>
        <w:t>.</w:t>
      </w:r>
      <w:r w:rsidRPr="00F90716">
        <w:rPr>
          <w:lang w:val="en-GB"/>
        </w:rPr>
        <w:t xml:space="preserve"> 9.11)).</w:t>
      </w:r>
    </w:p>
    <w:p w:rsidR="00F04F02" w:rsidRPr="00F90716" w:rsidRDefault="00F04F02" w:rsidP="003625FE">
      <w:pPr>
        <w:pStyle w:val="SingleTxtG"/>
        <w:rPr>
          <w:lang w:val="en-GB"/>
        </w:rPr>
      </w:pPr>
      <w:r w:rsidRPr="00F90716">
        <w:rPr>
          <w:lang w:val="en-GB"/>
        </w:rPr>
        <w:t>3.</w:t>
      </w:r>
      <w:r w:rsidRPr="00F90716">
        <w:rPr>
          <w:lang w:val="en-GB"/>
        </w:rPr>
        <w:tab/>
        <w:t xml:space="preserve">We find the willingness of the Committee to evaluate de novo the credibility of the author’s statements and to form a different conclusion about them than the </w:t>
      </w:r>
      <w:r w:rsidR="0008593B" w:rsidRPr="00E07EBA">
        <w:rPr>
          <w:lang w:val="en-GB"/>
        </w:rPr>
        <w:t>refugee appeals board</w:t>
      </w:r>
      <w:r w:rsidRPr="00F90716">
        <w:rPr>
          <w:lang w:val="en-GB"/>
        </w:rPr>
        <w:t xml:space="preserve"> to run contrary to the </w:t>
      </w:r>
      <w:r w:rsidR="00AE02DC">
        <w:rPr>
          <w:lang w:val="en-GB"/>
        </w:rPr>
        <w:t>“</w:t>
      </w:r>
      <w:r w:rsidRPr="00F90716">
        <w:rPr>
          <w:lang w:val="en-GB"/>
        </w:rPr>
        <w:t>clearly arbitrary or denial of justice</w:t>
      </w:r>
      <w:r w:rsidR="00AE02DC">
        <w:rPr>
          <w:lang w:val="en-GB"/>
        </w:rPr>
        <w:t>”</w:t>
      </w:r>
      <w:r w:rsidRPr="00F90716">
        <w:rPr>
          <w:lang w:val="en-GB"/>
        </w:rPr>
        <w:t xml:space="preserve"> standard articulated in para</w:t>
      </w:r>
      <w:r w:rsidR="00775B26" w:rsidRPr="00E07EBA">
        <w:rPr>
          <w:lang w:val="en-GB"/>
        </w:rPr>
        <w:t>graph</w:t>
      </w:r>
      <w:r w:rsidRPr="00F90716">
        <w:rPr>
          <w:lang w:val="en-GB"/>
        </w:rPr>
        <w:t xml:space="preserve"> 9.7 of the Views, </w:t>
      </w:r>
      <w:r w:rsidR="00775B26" w:rsidRPr="00E07EBA">
        <w:rPr>
          <w:lang w:val="en-GB"/>
        </w:rPr>
        <w:t xml:space="preserve">and </w:t>
      </w:r>
      <w:r w:rsidRPr="00F90716">
        <w:rPr>
          <w:lang w:val="en-GB"/>
        </w:rPr>
        <w:t xml:space="preserve">to past Views of the Committee </w:t>
      </w:r>
      <w:r w:rsidR="00775B26" w:rsidRPr="00E07EBA">
        <w:rPr>
          <w:lang w:val="en-GB"/>
        </w:rPr>
        <w:t xml:space="preserve">that </w:t>
      </w:r>
      <w:r w:rsidRPr="00F90716">
        <w:rPr>
          <w:lang w:val="en-GB"/>
        </w:rPr>
        <w:t xml:space="preserve">emphasized that it is not </w:t>
      </w:r>
      <w:r w:rsidR="00AE02DC">
        <w:rPr>
          <w:lang w:val="en-GB"/>
        </w:rPr>
        <w:t>“</w:t>
      </w:r>
      <w:r w:rsidRPr="00F90716">
        <w:rPr>
          <w:lang w:val="en-GB"/>
        </w:rPr>
        <w:t xml:space="preserve">a fourth instance competent to </w:t>
      </w:r>
      <w:r w:rsidR="00CA4786" w:rsidRPr="00F90716">
        <w:rPr>
          <w:lang w:val="en-GB"/>
        </w:rPr>
        <w:t>re-evaluate findings of fact</w:t>
      </w:r>
      <w:r w:rsidR="00AE02DC">
        <w:rPr>
          <w:lang w:val="en-GB"/>
        </w:rPr>
        <w:t>”</w:t>
      </w:r>
      <w:r w:rsidR="00CA4786" w:rsidRPr="00F90716">
        <w:rPr>
          <w:lang w:val="en-GB"/>
        </w:rPr>
        <w:t>.</w:t>
      </w:r>
      <w:r w:rsidR="00CA4786" w:rsidRPr="00F90716">
        <w:rPr>
          <w:rStyle w:val="FootnoteReference"/>
          <w:lang w:val="en-GB"/>
        </w:rPr>
        <w:footnoteReference w:id="24"/>
      </w:r>
    </w:p>
    <w:p w:rsidR="00F04F02" w:rsidRPr="00F90716" w:rsidRDefault="00F04F02">
      <w:pPr>
        <w:pStyle w:val="SingleTxtG"/>
        <w:rPr>
          <w:lang w:val="en-GB"/>
        </w:rPr>
      </w:pPr>
      <w:r w:rsidRPr="00F90716">
        <w:rPr>
          <w:lang w:val="en-GB"/>
        </w:rPr>
        <w:t>4.</w:t>
      </w:r>
      <w:r w:rsidRPr="00F90716">
        <w:rPr>
          <w:lang w:val="en-GB"/>
        </w:rPr>
        <w:tab/>
        <w:t xml:space="preserve">In past cases in which the decision of </w:t>
      </w:r>
      <w:r w:rsidR="00775B26" w:rsidRPr="00E07EBA">
        <w:rPr>
          <w:lang w:val="en-GB"/>
        </w:rPr>
        <w:t>S</w:t>
      </w:r>
      <w:r w:rsidRPr="00F90716">
        <w:rPr>
          <w:lang w:val="en-GB"/>
        </w:rPr>
        <w:t>tate organs to deport an individual was found by the Committee to run contrary to the Covenant, the Committee sought to base its position on inadequacies in the domestic decision-making process, such as failure to properly take into account available evidence or the specific rights of t</w:t>
      </w:r>
      <w:r w:rsidR="00CA4786" w:rsidRPr="00F90716">
        <w:rPr>
          <w:lang w:val="en-GB"/>
        </w:rPr>
        <w:t>he author under the Covenant,</w:t>
      </w:r>
      <w:r w:rsidR="00CA4786" w:rsidRPr="00F90716">
        <w:rPr>
          <w:rStyle w:val="FootnoteReference"/>
          <w:lang w:val="en-GB"/>
        </w:rPr>
        <w:footnoteReference w:id="25"/>
      </w:r>
      <w:r w:rsidRPr="00F90716">
        <w:rPr>
          <w:lang w:val="en-GB"/>
        </w:rPr>
        <w:t xml:space="preserve"> serious procedural flaws in the conduct of the</w:t>
      </w:r>
      <w:r w:rsidR="00CA4786" w:rsidRPr="00F90716">
        <w:rPr>
          <w:lang w:val="en-GB"/>
        </w:rPr>
        <w:t xml:space="preserve"> domestic review proceedings</w:t>
      </w:r>
      <w:r w:rsidR="00CA4786" w:rsidRPr="00F90716">
        <w:rPr>
          <w:rStyle w:val="FootnoteReference"/>
          <w:lang w:val="en-GB"/>
        </w:rPr>
        <w:footnoteReference w:id="26"/>
      </w:r>
      <w:r w:rsidRPr="00F90716">
        <w:rPr>
          <w:lang w:val="en-GB"/>
        </w:rPr>
        <w:t xml:space="preserve"> or the inability of the State party to provide a reasonable ju</w:t>
      </w:r>
      <w:r w:rsidR="00CA4786" w:rsidRPr="00F90716">
        <w:rPr>
          <w:lang w:val="en-GB"/>
        </w:rPr>
        <w:t>stification for its decision</w:t>
      </w:r>
      <w:r w:rsidRPr="00F90716">
        <w:rPr>
          <w:lang w:val="en-GB"/>
        </w:rPr>
        <w:t>.</w:t>
      </w:r>
      <w:r w:rsidR="00CA4786" w:rsidRPr="00F90716">
        <w:rPr>
          <w:rStyle w:val="FootnoteReference"/>
          <w:lang w:val="en-GB"/>
        </w:rPr>
        <w:footnoteReference w:id="27"/>
      </w:r>
      <w:r w:rsidRPr="00F90716">
        <w:rPr>
          <w:lang w:val="en-GB"/>
        </w:rPr>
        <w:t xml:space="preserve"> In the present case, however, the Committee’s Views do not point to a failure to consider an important piece of information, any procedural flaw or lack of motivation of the decision to deport. Instead, the majority on the Committee appears to have formed an independent opinion on the credibility of the author, without having the benefit of interviewing him directly and without adequately explaining why the multiple inconsistencies in his statements concerning key parts in his story (the dates in which the events giving rise to the alleged risk took place) and the serious doubts about the authenticity of the documents he </w:t>
      </w:r>
      <w:r w:rsidRPr="00F90716">
        <w:rPr>
          <w:lang w:val="en-GB"/>
        </w:rPr>
        <w:lastRenderedPageBreak/>
        <w:t xml:space="preserve">submitted to the </w:t>
      </w:r>
      <w:r w:rsidR="0008593B" w:rsidRPr="00E07EBA">
        <w:rPr>
          <w:lang w:val="en-GB"/>
        </w:rPr>
        <w:t>refugee appeals board</w:t>
      </w:r>
      <w:r w:rsidRPr="00F90716">
        <w:rPr>
          <w:lang w:val="en-GB"/>
        </w:rPr>
        <w:t xml:space="preserve">, should not have led a reasonable decision-maker to regard his statement as lacking in credibility. We are equally unpersuaded by the explanations for the inconsistencies provided by the author (and uncritically adopted by the majority), that he was not familiar with the Gregorian </w:t>
      </w:r>
      <w:r w:rsidR="00BC7640" w:rsidRPr="00E07EBA">
        <w:rPr>
          <w:lang w:val="en-GB"/>
        </w:rPr>
        <w:t>c</w:t>
      </w:r>
      <w:r w:rsidRPr="00F90716">
        <w:rPr>
          <w:lang w:val="en-GB"/>
        </w:rPr>
        <w:t xml:space="preserve">alendar despite having worked for more than two years with international forces in Afghanistan as a bodyguard and an interpreter. We are therefore of the view that the Committee should not have second-guessed the findings of the </w:t>
      </w:r>
      <w:r w:rsidR="0008593B" w:rsidRPr="00E07EBA">
        <w:rPr>
          <w:lang w:val="en-GB"/>
        </w:rPr>
        <w:t>board</w:t>
      </w:r>
      <w:r w:rsidRPr="00F90716">
        <w:rPr>
          <w:lang w:val="en-GB"/>
        </w:rPr>
        <w:t xml:space="preserve"> that his statements lacked in credibility. </w:t>
      </w:r>
    </w:p>
    <w:p w:rsidR="00F04F02" w:rsidRPr="00F90716" w:rsidRDefault="00F04F02">
      <w:pPr>
        <w:pStyle w:val="SingleTxtG"/>
        <w:rPr>
          <w:lang w:val="en-GB"/>
        </w:rPr>
      </w:pPr>
      <w:r w:rsidRPr="00F90716">
        <w:rPr>
          <w:lang w:val="en-GB"/>
        </w:rPr>
        <w:t>5.</w:t>
      </w:r>
      <w:r w:rsidRPr="00F90716">
        <w:rPr>
          <w:lang w:val="en-GB"/>
        </w:rPr>
        <w:tab/>
        <w:t>While the majority on the Committee is correct in observing that findings on credibility do not fully absolve the State party from engaging in an assessment of the risk to the author if deported (para</w:t>
      </w:r>
      <w:r w:rsidR="00A219C7" w:rsidRPr="00E07EBA">
        <w:rPr>
          <w:lang w:val="en-GB"/>
        </w:rPr>
        <w:t>.</w:t>
      </w:r>
      <w:r w:rsidRPr="00F90716">
        <w:rPr>
          <w:lang w:val="en-GB"/>
        </w:rPr>
        <w:t xml:space="preserve"> 9.8), we do not find a basis in the case file to hold that the State party failed to evaluate the risk to the author. On the contrary, it relied on a recent European Co</w:t>
      </w:r>
      <w:r w:rsidR="00CA4786" w:rsidRPr="00F90716">
        <w:rPr>
          <w:lang w:val="en-GB"/>
        </w:rPr>
        <w:t>urt of Human Rights judgment</w:t>
      </w:r>
      <w:r w:rsidR="00CA4786" w:rsidRPr="00F90716">
        <w:rPr>
          <w:rStyle w:val="FootnoteReference"/>
          <w:lang w:val="en-GB"/>
        </w:rPr>
        <w:footnoteReference w:id="28"/>
      </w:r>
      <w:r w:rsidRPr="00F90716">
        <w:rPr>
          <w:lang w:val="en-GB"/>
        </w:rPr>
        <w:t xml:space="preserve"> to support the conclusion that the author’s past employment as an interpreter for international forces would not in itself place him under real risk if returned to Kabul. Furthermore, we note that the author himself admitted that he “cannot be sure that the murder of his brother-in-law is related to the conflict with A</w:t>
      </w:r>
      <w:r w:rsidR="0031288D" w:rsidRPr="00E07EBA">
        <w:rPr>
          <w:lang w:val="en-GB"/>
        </w:rPr>
        <w:t>.</w:t>
      </w:r>
      <w:r w:rsidRPr="00F90716">
        <w:rPr>
          <w:lang w:val="en-GB"/>
        </w:rPr>
        <w:t>M</w:t>
      </w:r>
      <w:r w:rsidR="0031288D" w:rsidRPr="00E07EBA">
        <w:rPr>
          <w:lang w:val="en-GB"/>
        </w:rPr>
        <w:t>.</w:t>
      </w:r>
      <w:r w:rsidRPr="00F90716">
        <w:rPr>
          <w:lang w:val="en-GB"/>
        </w:rPr>
        <w:t>W</w:t>
      </w:r>
      <w:r w:rsidR="0031288D" w:rsidRPr="00E07EBA">
        <w:rPr>
          <w:lang w:val="en-GB"/>
        </w:rPr>
        <w:t>.</w:t>
      </w:r>
      <w:r w:rsidRPr="00F90716">
        <w:rPr>
          <w:lang w:val="en-GB"/>
        </w:rPr>
        <w:t>” (para</w:t>
      </w:r>
      <w:r w:rsidR="00A219C7" w:rsidRPr="00E07EBA">
        <w:rPr>
          <w:lang w:val="en-GB"/>
        </w:rPr>
        <w:t>.</w:t>
      </w:r>
      <w:r w:rsidRPr="00F90716">
        <w:rPr>
          <w:lang w:val="en-GB"/>
        </w:rPr>
        <w:t xml:space="preserve"> 3.3) and has not shown that the Afghan authorities would not be able to protect a low-profile person such as him from violence by the Taliban. It thus does not appear to us to be manifestly arbitrary or a denial of justice for the </w:t>
      </w:r>
      <w:r w:rsidR="0008593B" w:rsidRPr="00E07EBA">
        <w:rPr>
          <w:lang w:val="en-GB"/>
        </w:rPr>
        <w:t>refugee appeals board</w:t>
      </w:r>
      <w:r w:rsidRPr="00F90716">
        <w:rPr>
          <w:lang w:val="en-GB"/>
        </w:rPr>
        <w:t xml:space="preserve"> to find the author not subject to a real risk of irreparable </w:t>
      </w:r>
      <w:r w:rsidR="00CA4786" w:rsidRPr="00F90716">
        <w:rPr>
          <w:lang w:val="en-GB"/>
        </w:rPr>
        <w:t>harm if returned to Afghanistan.</w:t>
      </w:r>
      <w:r w:rsidR="00CA4786" w:rsidRPr="00F90716">
        <w:rPr>
          <w:rStyle w:val="FootnoteReference"/>
          <w:lang w:val="en-GB"/>
        </w:rPr>
        <w:footnoteReference w:id="29"/>
      </w:r>
    </w:p>
    <w:p w:rsidR="00F04F02" w:rsidRPr="00F90716" w:rsidRDefault="00F04F02">
      <w:pPr>
        <w:pStyle w:val="SingleTxtG"/>
        <w:rPr>
          <w:lang w:val="en-GB"/>
        </w:rPr>
      </w:pPr>
      <w:r w:rsidRPr="00F90716">
        <w:rPr>
          <w:lang w:val="en-GB"/>
        </w:rPr>
        <w:t>6.</w:t>
      </w:r>
      <w:r w:rsidRPr="00F90716">
        <w:rPr>
          <w:lang w:val="en-GB"/>
        </w:rPr>
        <w:tab/>
        <w:t>Finally, with respect to the position taken by the majority on the Committee, according to which the State party should have engaged in an independent investigation of the events in Afghanistan alleged by the author (para</w:t>
      </w:r>
      <w:r w:rsidR="00A219C7" w:rsidRPr="00E07EBA">
        <w:rPr>
          <w:lang w:val="en-GB"/>
        </w:rPr>
        <w:t>.</w:t>
      </w:r>
      <w:r w:rsidRPr="00F90716">
        <w:rPr>
          <w:lang w:val="en-GB"/>
        </w:rPr>
        <w:t xml:space="preserve"> 9.10), we are of a view that such a duty to investigate can only be triggered by statements </w:t>
      </w:r>
      <w:r w:rsidR="0031288D" w:rsidRPr="00E07EBA">
        <w:rPr>
          <w:lang w:val="en-GB"/>
        </w:rPr>
        <w:t xml:space="preserve">that </w:t>
      </w:r>
      <w:r w:rsidRPr="00F90716">
        <w:rPr>
          <w:lang w:val="en-GB"/>
        </w:rPr>
        <w:t xml:space="preserve">establish a prima facie case for a real risk of irreparable harm. However, </w:t>
      </w:r>
      <w:r w:rsidR="0031288D" w:rsidRPr="00E07EBA">
        <w:rPr>
          <w:lang w:val="en-GB"/>
        </w:rPr>
        <w:t xml:space="preserve">owing </w:t>
      </w:r>
      <w:r w:rsidRPr="00F90716">
        <w:rPr>
          <w:lang w:val="en-GB"/>
        </w:rPr>
        <w:t xml:space="preserve">to his vague allegations about the risk he currently </w:t>
      </w:r>
      <w:r w:rsidR="0031288D" w:rsidRPr="00E07EBA">
        <w:rPr>
          <w:lang w:val="en-GB"/>
        </w:rPr>
        <w:t xml:space="preserve">faces </w:t>
      </w:r>
      <w:r w:rsidRPr="00F90716">
        <w:rPr>
          <w:lang w:val="en-GB"/>
        </w:rPr>
        <w:t xml:space="preserve">in Afghanistan, his lack of certainty about the circumstances leading to his brother-in-law’s death and his lack of credibility, the author </w:t>
      </w:r>
      <w:r w:rsidR="00CA4786" w:rsidRPr="00F90716">
        <w:rPr>
          <w:lang w:val="en-GB"/>
        </w:rPr>
        <w:t>failed to meet this standard.</w:t>
      </w:r>
    </w:p>
    <w:p w:rsidR="00F04F02" w:rsidRPr="00F90716" w:rsidRDefault="00F04F02" w:rsidP="005909E6">
      <w:pPr>
        <w:pStyle w:val="SingleTxtG"/>
        <w:rPr>
          <w:lang w:val="en-GB"/>
        </w:rPr>
      </w:pPr>
      <w:r w:rsidRPr="00F90716">
        <w:rPr>
          <w:lang w:val="en-GB"/>
        </w:rPr>
        <w:t>7.</w:t>
      </w:r>
      <w:r w:rsidRPr="00F90716">
        <w:rPr>
          <w:lang w:val="en-GB"/>
        </w:rPr>
        <w:tab/>
        <w:t xml:space="preserve">We therefore respectfully dissent from the position taken by the majority on the Committee in this case. Needless to say, our dissent cannot be interpreted as an endorsement of the morality of the conduct of officials in countries providing </w:t>
      </w:r>
      <w:r w:rsidR="005909E6" w:rsidRPr="00E07EBA">
        <w:rPr>
          <w:lang w:val="en-GB"/>
        </w:rPr>
        <w:t>international security force</w:t>
      </w:r>
      <w:r w:rsidRPr="00F90716">
        <w:rPr>
          <w:lang w:val="en-GB"/>
        </w:rPr>
        <w:t xml:space="preserve"> contingents, who have failed to make suitable arrangements for those locally recruited personnel who collaborated with them.</w:t>
      </w:r>
    </w:p>
    <w:p w:rsidR="00CA4786" w:rsidRPr="00F90716" w:rsidRDefault="00CA4786" w:rsidP="00F04F02">
      <w:pPr>
        <w:pStyle w:val="SingleTxtG"/>
        <w:rPr>
          <w:lang w:val="en-GB"/>
        </w:rPr>
        <w:sectPr w:rsidR="00CA4786" w:rsidRPr="00F90716" w:rsidSect="00F04F02">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rsidR="00CA4786" w:rsidRPr="00F90716" w:rsidRDefault="00CA4786" w:rsidP="00CA4786">
      <w:pPr>
        <w:pStyle w:val="HMG"/>
        <w:rPr>
          <w:sz w:val="28"/>
          <w:szCs w:val="28"/>
        </w:rPr>
      </w:pPr>
      <w:r w:rsidRPr="00F90716">
        <w:rPr>
          <w:sz w:val="28"/>
          <w:szCs w:val="28"/>
        </w:rPr>
        <w:lastRenderedPageBreak/>
        <w:t>Annex II</w:t>
      </w:r>
    </w:p>
    <w:p w:rsidR="00CA4786" w:rsidRPr="00E07EBA" w:rsidRDefault="00CA4786" w:rsidP="00CA4786">
      <w:pPr>
        <w:pStyle w:val="H1G"/>
        <w:rPr>
          <w:lang w:eastAsia="en-GB"/>
        </w:rPr>
      </w:pPr>
      <w:r w:rsidRPr="00E07EBA">
        <w:rPr>
          <w:lang w:eastAsia="en-GB"/>
        </w:rPr>
        <w:tab/>
      </w:r>
      <w:r w:rsidRPr="00E07EBA">
        <w:rPr>
          <w:lang w:eastAsia="en-GB"/>
        </w:rPr>
        <w:tab/>
        <w:t xml:space="preserve">Individual opinion of Committee member </w:t>
      </w:r>
      <w:r w:rsidRPr="00F90716">
        <w:rPr>
          <w:lang w:eastAsia="en-GB"/>
        </w:rPr>
        <w:t>Anja Seibert-Fohr</w:t>
      </w:r>
      <w:r w:rsidRPr="00E07EBA">
        <w:rPr>
          <w:lang w:eastAsia="en-GB"/>
        </w:rPr>
        <w:t xml:space="preserve"> (dissenting)</w:t>
      </w:r>
    </w:p>
    <w:p w:rsidR="00256B6A" w:rsidRPr="00F90716" w:rsidRDefault="00256B6A">
      <w:pPr>
        <w:pStyle w:val="SingleTxtG"/>
        <w:rPr>
          <w:lang w:val="en-GB"/>
        </w:rPr>
      </w:pPr>
      <w:r w:rsidRPr="00F90716">
        <w:rPr>
          <w:lang w:val="en-GB"/>
        </w:rPr>
        <w:t>1.</w:t>
      </w:r>
      <w:r w:rsidRPr="00F90716">
        <w:rPr>
          <w:lang w:val="en-GB"/>
        </w:rPr>
        <w:tab/>
        <w:t>I am unable to agree with the majority o</w:t>
      </w:r>
      <w:r w:rsidR="0031288D" w:rsidRPr="00E07EBA">
        <w:rPr>
          <w:lang w:val="en-GB"/>
        </w:rPr>
        <w:t>n</w:t>
      </w:r>
      <w:r w:rsidRPr="00F90716">
        <w:rPr>
          <w:lang w:val="en-GB"/>
        </w:rPr>
        <w:t xml:space="preserve"> the Committee that Denmark would violate its obligation under article 7 if it deported the author to Afghanistan for the reasons</w:t>
      </w:r>
      <w:r w:rsidR="0031288D" w:rsidRPr="00E07EBA">
        <w:rPr>
          <w:lang w:val="en-GB"/>
        </w:rPr>
        <w:t xml:space="preserve"> below</w:t>
      </w:r>
      <w:r w:rsidRPr="00F90716">
        <w:rPr>
          <w:lang w:val="en-GB"/>
        </w:rPr>
        <w:t>.</w:t>
      </w:r>
    </w:p>
    <w:p w:rsidR="00256B6A" w:rsidRPr="00F90716" w:rsidRDefault="00256B6A">
      <w:pPr>
        <w:pStyle w:val="SingleTxtG"/>
        <w:rPr>
          <w:lang w:val="en-GB"/>
        </w:rPr>
      </w:pPr>
      <w:r w:rsidRPr="00F90716">
        <w:rPr>
          <w:lang w:val="en-GB"/>
        </w:rPr>
        <w:t>2.</w:t>
      </w:r>
      <w:r w:rsidRPr="00F90716">
        <w:rPr>
          <w:lang w:val="en-GB"/>
        </w:rPr>
        <w:tab/>
        <w:t>According to the Committee’s standing jurisprudence, States parties are under an obligation “not to extradite, deport, expel or otherwise remove a person from their territory,</w:t>
      </w:r>
      <w:r w:rsidRPr="00F90716">
        <w:rPr>
          <w:bCs/>
          <w:lang w:val="en-GB"/>
        </w:rPr>
        <w:t xml:space="preserve"> </w:t>
      </w:r>
      <w:r w:rsidRPr="00F90716">
        <w:rPr>
          <w:lang w:val="en-GB"/>
        </w:rPr>
        <w:t>where there are substantial grounds for believing that there is a real risk of irreparable harm,</w:t>
      </w:r>
      <w:r w:rsidRPr="00F90716">
        <w:rPr>
          <w:bCs/>
          <w:i/>
          <w:lang w:val="en-GB"/>
        </w:rPr>
        <w:t xml:space="preserve"> </w:t>
      </w:r>
      <w:r w:rsidRPr="00F90716">
        <w:rPr>
          <w:lang w:val="en-GB"/>
        </w:rPr>
        <w:t>such as that</w:t>
      </w:r>
      <w:r w:rsidRPr="00F90716">
        <w:rPr>
          <w:i/>
          <w:lang w:val="en-GB"/>
        </w:rPr>
        <w:t xml:space="preserve"> </w:t>
      </w:r>
      <w:r w:rsidRPr="00F90716">
        <w:rPr>
          <w:lang w:val="en-GB"/>
        </w:rPr>
        <w:t>contemplated by articles 6 and 7 of the Covenant”.</w:t>
      </w:r>
      <w:r w:rsidRPr="00F90716">
        <w:rPr>
          <w:rStyle w:val="FootnoteReference"/>
          <w:lang w:val="en-GB"/>
        </w:rPr>
        <w:footnoteReference w:id="30"/>
      </w:r>
      <w:r w:rsidRPr="00F90716">
        <w:rPr>
          <w:lang w:val="en-GB"/>
        </w:rPr>
        <w:t xml:space="preserve"> The Committee reaffirms this principle in paragraph 9.3 </w:t>
      </w:r>
      <w:r w:rsidR="004B5D92" w:rsidRPr="00E07EBA">
        <w:rPr>
          <w:lang w:val="en-GB"/>
        </w:rPr>
        <w:t xml:space="preserve">of the Views, </w:t>
      </w:r>
      <w:r w:rsidRPr="00F90716">
        <w:rPr>
          <w:lang w:val="en-GB"/>
        </w:rPr>
        <w:t>stressing in addition that th</w:t>
      </w:r>
      <w:r w:rsidR="004B5D92" w:rsidRPr="00E07EBA">
        <w:rPr>
          <w:lang w:val="en-GB"/>
        </w:rPr>
        <w:t>e</w:t>
      </w:r>
      <w:r w:rsidRPr="00F90716">
        <w:rPr>
          <w:lang w:val="en-GB"/>
        </w:rPr>
        <w:t xml:space="preserve"> risk must be personal and that the threshold for providing substantial grounds is high. </w:t>
      </w:r>
    </w:p>
    <w:p w:rsidR="00256B6A" w:rsidRPr="00F90716" w:rsidRDefault="00256B6A" w:rsidP="00256B6A">
      <w:pPr>
        <w:pStyle w:val="SingleTxtG"/>
        <w:rPr>
          <w:lang w:val="en-GB"/>
        </w:rPr>
      </w:pPr>
      <w:r w:rsidRPr="00F90716">
        <w:rPr>
          <w:lang w:val="en-GB"/>
        </w:rPr>
        <w:t>3.</w:t>
      </w:r>
      <w:r w:rsidRPr="00F90716">
        <w:rPr>
          <w:lang w:val="en-GB"/>
        </w:rPr>
        <w:tab/>
        <w:t>It is thus for the author of a communication to adduce evidence capable of proving that there are substantial grounds for believing that he would be exposed to a real risk of being subjected to treatment contrary to article 6 or 7. Once such evidence is adduced, it is for the State party to dispel any doubts about it.</w:t>
      </w:r>
      <w:r w:rsidRPr="00F90716">
        <w:rPr>
          <w:rStyle w:val="FootnoteReference"/>
          <w:lang w:val="en-GB"/>
        </w:rPr>
        <w:footnoteReference w:id="31"/>
      </w:r>
      <w:r w:rsidRPr="00F90716">
        <w:rPr>
          <w:lang w:val="en-GB"/>
        </w:rPr>
        <w:t xml:space="preserve"> The Committee in paragraph 9.7 reaffirms that it is generally not for the Committee but for the organs of States parties to the Covenant to review or evaluate facts and evidence in order to determine whether a real risk exists. Therefore, in the past the Committee has found decisions of local immigration authorities to be in violation of the Covenant if the author was able to point to substantial irregularities in the decision-making procedures, such as where no substantive justification was given for a decision, where inadequate consideration was given to the author’s Covenant rights or relevant evidence was not examined.</w:t>
      </w:r>
      <w:r w:rsidRPr="00F90716">
        <w:rPr>
          <w:rStyle w:val="FootnoteReference"/>
          <w:lang w:val="en-GB"/>
        </w:rPr>
        <w:footnoteReference w:id="32"/>
      </w:r>
      <w:r w:rsidRPr="00F90716">
        <w:rPr>
          <w:lang w:val="en-GB"/>
        </w:rPr>
        <w:t xml:space="preserve"> </w:t>
      </w:r>
    </w:p>
    <w:p w:rsidR="00256B6A" w:rsidRPr="00F90716" w:rsidRDefault="00256B6A">
      <w:pPr>
        <w:pStyle w:val="SingleTxtG"/>
        <w:rPr>
          <w:lang w:val="en-GB"/>
        </w:rPr>
      </w:pPr>
      <w:r w:rsidRPr="00F90716">
        <w:rPr>
          <w:lang w:val="en-GB"/>
        </w:rPr>
        <w:t>4.</w:t>
      </w:r>
      <w:r w:rsidRPr="00F90716">
        <w:rPr>
          <w:lang w:val="en-GB"/>
        </w:rPr>
        <w:tab/>
        <w:t>In the present case</w:t>
      </w:r>
      <w:r w:rsidR="004B5D92" w:rsidRPr="00E07EBA">
        <w:rPr>
          <w:lang w:val="en-GB"/>
        </w:rPr>
        <w:t>,</w:t>
      </w:r>
      <w:r w:rsidRPr="00F90716">
        <w:rPr>
          <w:lang w:val="en-GB"/>
        </w:rPr>
        <w:t xml:space="preserve"> I am not able to recognize such shortcomings. The </w:t>
      </w:r>
      <w:r w:rsidR="0008593B" w:rsidRPr="00E07EBA">
        <w:rPr>
          <w:lang w:val="en-GB"/>
        </w:rPr>
        <w:t>refugee appeals board</w:t>
      </w:r>
      <w:r w:rsidRPr="00F90716">
        <w:rPr>
          <w:lang w:val="en-GB"/>
        </w:rPr>
        <w:t xml:space="preserve"> considered the situation in Afghanistan and determined in reference to a judgment of the European Court of Human Rights that the employment as an interpreter for </w:t>
      </w:r>
      <w:r w:rsidR="005909E6" w:rsidRPr="00E07EBA">
        <w:rPr>
          <w:lang w:val="en-GB"/>
        </w:rPr>
        <w:t>international security forces</w:t>
      </w:r>
      <w:r w:rsidRPr="00F90716">
        <w:rPr>
          <w:lang w:val="en-GB"/>
        </w:rPr>
        <w:t xml:space="preserve"> in itself does not form a basis for asylum. The author’s claim under article 7 hence stood or fell by his assertion that he </w:t>
      </w:r>
      <w:r w:rsidR="004B5D92" w:rsidRPr="00E07EBA">
        <w:rPr>
          <w:lang w:val="en-GB"/>
        </w:rPr>
        <w:t xml:space="preserve">would </w:t>
      </w:r>
      <w:r w:rsidRPr="00F90716">
        <w:rPr>
          <w:lang w:val="en-GB"/>
        </w:rPr>
        <w:t>be at risk of assault because he had withheld information from a local officer of the Afghan Army affiliated with the Taliban. In his submission</w:t>
      </w:r>
      <w:r w:rsidR="004B5D92" w:rsidRPr="00E07EBA">
        <w:rPr>
          <w:lang w:val="en-GB"/>
        </w:rPr>
        <w:t>,</w:t>
      </w:r>
      <w:r w:rsidRPr="00F90716">
        <w:rPr>
          <w:lang w:val="en-GB"/>
        </w:rPr>
        <w:t xml:space="preserve"> the author claims that he had interpreted secret conversations concerning the officer and that shortly thereafter the officer had threatened to kill him if he did not inform him about such conversations. The author also claims that subsequently his brother-in-law was killed because of the author’s conflict with the officer. </w:t>
      </w:r>
    </w:p>
    <w:p w:rsidR="00256B6A" w:rsidRPr="00F90716" w:rsidRDefault="00256B6A">
      <w:pPr>
        <w:pStyle w:val="SingleTxtG"/>
        <w:rPr>
          <w:lang w:val="en-GB"/>
        </w:rPr>
      </w:pPr>
      <w:r w:rsidRPr="00F90716">
        <w:rPr>
          <w:lang w:val="en-GB"/>
        </w:rPr>
        <w:t>5.</w:t>
      </w:r>
      <w:r w:rsidRPr="00F90716">
        <w:rPr>
          <w:lang w:val="en-GB"/>
        </w:rPr>
        <w:tab/>
        <w:t>The Danish authorities examined the author’s submissions. With respect to the murder of the author’s brother-in-law</w:t>
      </w:r>
      <w:r w:rsidR="0068232B" w:rsidRPr="00E07EBA">
        <w:rPr>
          <w:lang w:val="en-GB"/>
        </w:rPr>
        <w:t>,</w:t>
      </w:r>
      <w:r w:rsidRPr="00F90716">
        <w:rPr>
          <w:lang w:val="en-GB"/>
        </w:rPr>
        <w:t xml:space="preserve"> the </w:t>
      </w:r>
      <w:r w:rsidR="0008593B" w:rsidRPr="00E07EBA">
        <w:rPr>
          <w:lang w:val="en-GB"/>
        </w:rPr>
        <w:t>refugee appeals board</w:t>
      </w:r>
      <w:r w:rsidRPr="00F90716">
        <w:rPr>
          <w:lang w:val="en-GB"/>
        </w:rPr>
        <w:t xml:space="preserve"> questioned that it </w:t>
      </w:r>
      <w:r w:rsidR="0068232B" w:rsidRPr="00E07EBA">
        <w:rPr>
          <w:lang w:val="en-GB"/>
        </w:rPr>
        <w:t xml:space="preserve">had </w:t>
      </w:r>
      <w:r w:rsidRPr="00F90716">
        <w:rPr>
          <w:lang w:val="en-GB"/>
        </w:rPr>
        <w:t xml:space="preserve">related to the author and considered that the document from local police authorities confirming the link appeared to be fabricated for the occasion. Furthermore, the </w:t>
      </w:r>
      <w:r w:rsidR="0008593B" w:rsidRPr="00E07EBA">
        <w:rPr>
          <w:lang w:val="en-GB"/>
        </w:rPr>
        <w:t>board</w:t>
      </w:r>
      <w:r w:rsidRPr="00F90716">
        <w:rPr>
          <w:lang w:val="en-GB"/>
        </w:rPr>
        <w:t xml:space="preserve"> found the author’s account of his alleged conflict with the officer to be incredible. During </w:t>
      </w:r>
      <w:r w:rsidRPr="00F90716">
        <w:rPr>
          <w:lang w:val="en-GB"/>
        </w:rPr>
        <w:lastRenderedPageBreak/>
        <w:t>his hearing</w:t>
      </w:r>
      <w:r w:rsidR="0068232B" w:rsidRPr="00E07EBA">
        <w:rPr>
          <w:lang w:val="en-GB"/>
        </w:rPr>
        <w:t>,</w:t>
      </w:r>
      <w:r w:rsidRPr="00F90716">
        <w:rPr>
          <w:lang w:val="en-GB"/>
        </w:rPr>
        <w:t xml:space="preserve"> the author had stated that the events </w:t>
      </w:r>
      <w:r w:rsidR="0068232B" w:rsidRPr="00E07EBA">
        <w:rPr>
          <w:lang w:val="en-GB"/>
        </w:rPr>
        <w:t xml:space="preserve">had taken </w:t>
      </w:r>
      <w:r w:rsidRPr="00F90716">
        <w:rPr>
          <w:lang w:val="en-GB"/>
        </w:rPr>
        <w:t xml:space="preserve">place in June 2011. Later, when the </w:t>
      </w:r>
      <w:r w:rsidR="0008593B" w:rsidRPr="00E07EBA">
        <w:rPr>
          <w:lang w:val="en-GB"/>
        </w:rPr>
        <w:t>board</w:t>
      </w:r>
      <w:r w:rsidRPr="00F90716">
        <w:rPr>
          <w:lang w:val="en-GB"/>
        </w:rPr>
        <w:t xml:space="preserve"> obtained information indicating that he had resigned from his position in May, he explained that he had mentioned June and July instead of May and June as a result of pressure felt during the interview with the </w:t>
      </w:r>
      <w:r w:rsidR="00E520C9" w:rsidRPr="00E07EBA">
        <w:rPr>
          <w:lang w:val="en-GB"/>
        </w:rPr>
        <w:t>i</w:t>
      </w:r>
      <w:r w:rsidRPr="00F90716">
        <w:rPr>
          <w:lang w:val="en-GB"/>
        </w:rPr>
        <w:t xml:space="preserve">mmigration </w:t>
      </w:r>
      <w:r w:rsidR="00E520C9" w:rsidRPr="00E07EBA">
        <w:rPr>
          <w:lang w:val="en-GB"/>
        </w:rPr>
        <w:t>s</w:t>
      </w:r>
      <w:r w:rsidRPr="00F90716">
        <w:rPr>
          <w:lang w:val="en-GB"/>
        </w:rPr>
        <w:t>ervices and because he was not familiar with the Gregorian calendar.</w:t>
      </w:r>
      <w:r w:rsidRPr="00F90716">
        <w:rPr>
          <w:rStyle w:val="FootnoteReference"/>
          <w:lang w:val="en-GB"/>
        </w:rPr>
        <w:footnoteReference w:id="33"/>
      </w:r>
      <w:r w:rsidRPr="00F90716">
        <w:rPr>
          <w:lang w:val="en-GB"/>
        </w:rPr>
        <w:t xml:space="preserve"> </w:t>
      </w:r>
    </w:p>
    <w:p w:rsidR="00256B6A" w:rsidRPr="00F90716" w:rsidRDefault="00256B6A">
      <w:pPr>
        <w:pStyle w:val="SingleTxtG"/>
        <w:rPr>
          <w:lang w:val="en-GB"/>
        </w:rPr>
      </w:pPr>
      <w:r w:rsidRPr="00F90716">
        <w:rPr>
          <w:lang w:val="en-GB"/>
        </w:rPr>
        <w:t>6.</w:t>
      </w:r>
      <w:r w:rsidRPr="00F90716">
        <w:rPr>
          <w:lang w:val="en-GB"/>
        </w:rPr>
        <w:tab/>
        <w:t xml:space="preserve">Following an overall assessment, the </w:t>
      </w:r>
      <w:r w:rsidR="0008593B" w:rsidRPr="00E07EBA">
        <w:rPr>
          <w:lang w:val="en-GB"/>
        </w:rPr>
        <w:t>refugee appeals board</w:t>
      </w:r>
      <w:r w:rsidRPr="00F90716">
        <w:rPr>
          <w:lang w:val="en-GB"/>
        </w:rPr>
        <w:t xml:space="preserve"> held that the author’s account was not credible. It based its assessment </w:t>
      </w:r>
      <w:r w:rsidRPr="00F90716">
        <w:rPr>
          <w:iCs/>
          <w:lang w:val="en-GB"/>
        </w:rPr>
        <w:t>inter alia</w:t>
      </w:r>
      <w:r w:rsidRPr="00F90716">
        <w:rPr>
          <w:i/>
          <w:lang w:val="en-GB"/>
        </w:rPr>
        <w:t xml:space="preserve"> </w:t>
      </w:r>
      <w:r w:rsidRPr="00F90716">
        <w:rPr>
          <w:lang w:val="en-GB"/>
        </w:rPr>
        <w:t xml:space="preserve">on inconsistent statements on the period of the author’s employment as interpreter and inconsistencies in the reported dates on which the events giving rise to the alleged risk </w:t>
      </w:r>
      <w:r w:rsidR="0068232B" w:rsidRPr="00E07EBA">
        <w:rPr>
          <w:lang w:val="en-GB"/>
        </w:rPr>
        <w:t xml:space="preserve">had taken </w:t>
      </w:r>
      <w:r w:rsidRPr="00F90716">
        <w:rPr>
          <w:lang w:val="en-GB"/>
        </w:rPr>
        <w:t>place</w:t>
      </w:r>
      <w:r w:rsidR="0068232B" w:rsidRPr="00E07EBA">
        <w:rPr>
          <w:lang w:val="en-GB"/>
        </w:rPr>
        <w:t>,</w:t>
      </w:r>
      <w:r w:rsidRPr="00F90716">
        <w:rPr>
          <w:lang w:val="en-GB"/>
        </w:rPr>
        <w:t xml:space="preserve"> and concluded that he had failed to substantiate a real risk of irreparable harm. </w:t>
      </w:r>
    </w:p>
    <w:p w:rsidR="00256B6A" w:rsidRPr="00F90716" w:rsidRDefault="00256B6A">
      <w:pPr>
        <w:pStyle w:val="SingleTxtG"/>
        <w:rPr>
          <w:lang w:val="en-GB"/>
        </w:rPr>
      </w:pPr>
      <w:r w:rsidRPr="00F90716">
        <w:rPr>
          <w:lang w:val="en-GB"/>
        </w:rPr>
        <w:t>7.</w:t>
      </w:r>
      <w:r w:rsidRPr="00F90716">
        <w:rPr>
          <w:lang w:val="en-GB"/>
        </w:rPr>
        <w:tab/>
        <w:t>Against this background</w:t>
      </w:r>
      <w:r w:rsidR="0068232B" w:rsidRPr="00E07EBA">
        <w:rPr>
          <w:lang w:val="en-GB"/>
        </w:rPr>
        <w:t>,</w:t>
      </w:r>
      <w:r w:rsidRPr="00F90716">
        <w:rPr>
          <w:lang w:val="en-GB"/>
        </w:rPr>
        <w:t xml:space="preserve"> I am not able to agree with the majority’s criticism that the State party failed to evaluate the individual circumstances of the author’s case. On the contrary, the State party examined the evidence submitted by the author, analysed the alleged threats received by the author in Afghanistan and explained why it found them to be inconsistent and implausible. The inconsistently reported dates </w:t>
      </w:r>
      <w:r w:rsidR="0068232B" w:rsidRPr="00E07EBA">
        <w:rPr>
          <w:lang w:val="en-GB"/>
        </w:rPr>
        <w:t xml:space="preserve">had </w:t>
      </w:r>
      <w:r w:rsidRPr="00F90716">
        <w:rPr>
          <w:lang w:val="en-GB"/>
        </w:rPr>
        <w:t xml:space="preserve">related to the events </w:t>
      </w:r>
      <w:r w:rsidR="0068232B" w:rsidRPr="00E07EBA">
        <w:rPr>
          <w:lang w:val="en-GB"/>
        </w:rPr>
        <w:t xml:space="preserve">that </w:t>
      </w:r>
      <w:r w:rsidRPr="00F90716">
        <w:rPr>
          <w:lang w:val="en-GB"/>
        </w:rPr>
        <w:t>allegedly gave rise to the author’s claimed risk and thus cannot be described as peripheral to his claim.</w:t>
      </w:r>
    </w:p>
    <w:p w:rsidR="00256B6A" w:rsidRPr="00F90716" w:rsidRDefault="00256B6A">
      <w:pPr>
        <w:pStyle w:val="SingleTxtG"/>
        <w:rPr>
          <w:lang w:val="en-GB"/>
        </w:rPr>
      </w:pPr>
      <w:r w:rsidRPr="00F90716">
        <w:rPr>
          <w:lang w:val="en-GB"/>
        </w:rPr>
        <w:t>8.</w:t>
      </w:r>
      <w:r w:rsidRPr="00F90716">
        <w:rPr>
          <w:lang w:val="en-GB"/>
        </w:rPr>
        <w:tab/>
        <w:t>I also disagree with the criticism voiced by the majority of the Committee regarding the investigation of the murder, namely</w:t>
      </w:r>
      <w:r w:rsidR="00CE59E7" w:rsidRPr="00E07EBA">
        <w:rPr>
          <w:lang w:val="en-GB"/>
        </w:rPr>
        <w:t>,</w:t>
      </w:r>
      <w:r w:rsidRPr="00F90716">
        <w:rPr>
          <w:lang w:val="en-GB"/>
        </w:rPr>
        <w:t xml:space="preserve"> the failure to investigate the veracity and validity of the evidence.</w:t>
      </w:r>
      <w:r w:rsidRPr="00F90716">
        <w:rPr>
          <w:rStyle w:val="FootnoteReference"/>
          <w:lang w:val="en-GB"/>
        </w:rPr>
        <w:footnoteReference w:id="34"/>
      </w:r>
      <w:r w:rsidRPr="00F90716">
        <w:rPr>
          <w:lang w:val="en-GB"/>
        </w:rPr>
        <w:t xml:space="preserve"> The author concedes that it is not possible to establish and fully document the circumstance of the killing</w:t>
      </w:r>
      <w:r w:rsidRPr="00F90716">
        <w:rPr>
          <w:rStyle w:val="FootnoteReference"/>
          <w:lang w:val="en-GB"/>
        </w:rPr>
        <w:footnoteReference w:id="35"/>
      </w:r>
      <w:r w:rsidRPr="00F90716">
        <w:rPr>
          <w:lang w:val="en-GB"/>
        </w:rPr>
        <w:t xml:space="preserve"> and maintains that at least it could not be excluded that the murder </w:t>
      </w:r>
      <w:r w:rsidR="00CE59E7" w:rsidRPr="00E07EBA">
        <w:rPr>
          <w:lang w:val="en-GB"/>
        </w:rPr>
        <w:t xml:space="preserve">had been </w:t>
      </w:r>
      <w:r w:rsidRPr="00F90716">
        <w:rPr>
          <w:lang w:val="en-GB"/>
        </w:rPr>
        <w:t>an act of retaliation against the author. This vague submission, however, is insufficient for the purpose of adducing evidence capable of proving substantial grounds for a real risk</w:t>
      </w:r>
      <w:r w:rsidRPr="00F90716">
        <w:rPr>
          <w:rStyle w:val="FootnoteReference"/>
          <w:lang w:val="en-GB"/>
        </w:rPr>
        <w:footnoteReference w:id="36"/>
      </w:r>
      <w:r w:rsidRPr="00F90716">
        <w:rPr>
          <w:lang w:val="en-GB"/>
        </w:rPr>
        <w:t xml:space="preserve"> and thus does not demand further investigative measures by the State party. </w:t>
      </w:r>
    </w:p>
    <w:p w:rsidR="007B14A0" w:rsidRPr="00C30D8A" w:rsidRDefault="00256B6A" w:rsidP="00C30D8A">
      <w:pPr>
        <w:pStyle w:val="SingleTxtG"/>
      </w:pPr>
      <w:r w:rsidRPr="00C30D8A">
        <w:t>9.</w:t>
      </w:r>
      <w:r w:rsidRPr="00C30D8A">
        <w:tab/>
        <w:t xml:space="preserve">Denmark therefore </w:t>
      </w:r>
      <w:r w:rsidR="008277F1" w:rsidRPr="00C30D8A">
        <w:t xml:space="preserve">cannot </w:t>
      </w:r>
      <w:r w:rsidRPr="00C30D8A">
        <w:t xml:space="preserve">be reproached </w:t>
      </w:r>
      <w:r w:rsidR="008277F1" w:rsidRPr="00C30D8A">
        <w:t xml:space="preserve">either </w:t>
      </w:r>
      <w:r w:rsidRPr="00C30D8A">
        <w:t xml:space="preserve">for a failure to examine relevant evidence </w:t>
      </w:r>
      <w:r w:rsidR="008277F1" w:rsidRPr="00C30D8A">
        <w:t xml:space="preserve">or </w:t>
      </w:r>
      <w:r w:rsidRPr="00C30D8A">
        <w:t xml:space="preserve">for inadequate consideration of information provided by the author. Nevertheless, the majority of the Committee holds that insufficient weight was given to the author’ allegations, and that the State party has not adequately addressed the author’s personal circumstances. I fail to see which other individual circumstances the majority of the Committee may envisage that the </w:t>
      </w:r>
      <w:r w:rsidR="0008593B" w:rsidRPr="00C30D8A">
        <w:t>refugee appeals board</w:t>
      </w:r>
      <w:r w:rsidRPr="00C30D8A">
        <w:t xml:space="preserve"> has failed to analyse and therefore respectfully dissent from the Committee’s Views.</w:t>
      </w:r>
    </w:p>
    <w:p w:rsidR="00E93CC4" w:rsidRPr="003625FE" w:rsidRDefault="003625FE" w:rsidP="00F90716">
      <w:pPr>
        <w:spacing w:before="240"/>
        <w:ind w:left="1134" w:right="1134"/>
        <w:jc w:val="center"/>
        <w:rPr>
          <w:u w:val="single"/>
        </w:rPr>
      </w:pPr>
      <w:r>
        <w:rPr>
          <w:u w:val="single"/>
        </w:rPr>
        <w:tab/>
      </w:r>
      <w:r>
        <w:rPr>
          <w:u w:val="single"/>
        </w:rPr>
        <w:tab/>
      </w:r>
      <w:r>
        <w:rPr>
          <w:u w:val="single"/>
        </w:rPr>
        <w:tab/>
      </w:r>
    </w:p>
    <w:sectPr w:rsidR="00E93CC4" w:rsidRPr="003625FE" w:rsidSect="00F90716">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D5" w:rsidRDefault="00005BD5"/>
  </w:endnote>
  <w:endnote w:type="continuationSeparator" w:id="0">
    <w:p w:rsidR="00005BD5" w:rsidRDefault="00005BD5"/>
  </w:endnote>
  <w:endnote w:type="continuationNotice" w:id="1">
    <w:p w:rsidR="00005BD5" w:rsidRDefault="00005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4C" w:rsidRPr="00781C83" w:rsidRDefault="0061544C"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E73227">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4C" w:rsidRPr="00F90716" w:rsidRDefault="0061544C" w:rsidP="00781C83">
    <w:pPr>
      <w:pStyle w:val="Footer"/>
      <w:tabs>
        <w:tab w:val="right" w:pos="9638"/>
      </w:tabs>
      <w:rPr>
        <w:b/>
        <w:bCs/>
        <w:sz w:val="18"/>
      </w:rPr>
    </w:pPr>
    <w:r>
      <w:rPr>
        <w:b/>
        <w:sz w:val="18"/>
      </w:rPr>
      <w:tab/>
    </w:r>
    <w:r w:rsidRPr="00F90716">
      <w:rPr>
        <w:b/>
        <w:bCs/>
        <w:sz w:val="18"/>
      </w:rPr>
      <w:fldChar w:fldCharType="begin"/>
    </w:r>
    <w:r w:rsidRPr="00F90716">
      <w:rPr>
        <w:b/>
        <w:bCs/>
        <w:sz w:val="18"/>
      </w:rPr>
      <w:instrText xml:space="preserve"> PAGE  \* MERGEFORMAT </w:instrText>
    </w:r>
    <w:r w:rsidRPr="00F90716">
      <w:rPr>
        <w:b/>
        <w:bCs/>
        <w:sz w:val="18"/>
      </w:rPr>
      <w:fldChar w:fldCharType="separate"/>
    </w:r>
    <w:r w:rsidR="00E73227">
      <w:rPr>
        <w:b/>
        <w:bCs/>
        <w:noProof/>
        <w:sz w:val="18"/>
      </w:rPr>
      <w:t>3</w:t>
    </w:r>
    <w:r w:rsidRPr="00F90716">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F33" w:rsidRDefault="00AE4F33" w:rsidP="00AE4F33">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AE4F33" w:rsidRDefault="00AE4F33" w:rsidP="00AE4F33">
    <w:pPr>
      <w:pStyle w:val="Footer"/>
      <w:ind w:right="1134"/>
      <w:rPr>
        <w:sz w:val="20"/>
      </w:rPr>
    </w:pPr>
    <w:r>
      <w:rPr>
        <w:sz w:val="20"/>
      </w:rPr>
      <w:t>GE.16-15666(E)</w:t>
    </w:r>
  </w:p>
  <w:p w:rsidR="00AE4F33" w:rsidRPr="00AE4F33" w:rsidRDefault="00AE4F33" w:rsidP="00AE4F3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CCPR/C/117/D/2469/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469/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D5" w:rsidRPr="000B175B" w:rsidRDefault="00005BD5" w:rsidP="000B175B">
      <w:pPr>
        <w:tabs>
          <w:tab w:val="right" w:pos="2155"/>
        </w:tabs>
        <w:spacing w:after="80"/>
        <w:ind w:left="680"/>
        <w:rPr>
          <w:u w:val="single"/>
        </w:rPr>
      </w:pPr>
      <w:r>
        <w:rPr>
          <w:u w:val="single"/>
        </w:rPr>
        <w:tab/>
      </w:r>
    </w:p>
  </w:footnote>
  <w:footnote w:type="continuationSeparator" w:id="0">
    <w:p w:rsidR="00005BD5" w:rsidRPr="00FC68B7" w:rsidRDefault="00005BD5" w:rsidP="00FC68B7">
      <w:pPr>
        <w:tabs>
          <w:tab w:val="left" w:pos="2155"/>
        </w:tabs>
        <w:spacing w:after="80"/>
        <w:ind w:left="680"/>
        <w:rPr>
          <w:u w:val="single"/>
        </w:rPr>
      </w:pPr>
      <w:r>
        <w:rPr>
          <w:u w:val="single"/>
        </w:rPr>
        <w:tab/>
      </w:r>
    </w:p>
  </w:footnote>
  <w:footnote w:type="continuationNotice" w:id="1">
    <w:p w:rsidR="00005BD5" w:rsidRDefault="00005BD5"/>
  </w:footnote>
  <w:footnote w:id="2">
    <w:p w:rsidR="0061544C" w:rsidRPr="00F90716" w:rsidRDefault="0061544C" w:rsidP="001147E8">
      <w:pPr>
        <w:pStyle w:val="FootnoteText"/>
      </w:pPr>
      <w:r w:rsidRPr="003625FE">
        <w:rPr>
          <w:rStyle w:val="FootnoteReference"/>
        </w:rPr>
        <w:tab/>
      </w:r>
      <w:r w:rsidRPr="003625FE">
        <w:rPr>
          <w:rStyle w:val="FootnoteReference"/>
          <w:sz w:val="20"/>
          <w:vertAlign w:val="baseline"/>
        </w:rPr>
        <w:t>*</w:t>
      </w:r>
      <w:r w:rsidRPr="003625FE">
        <w:rPr>
          <w:rStyle w:val="FootnoteReference"/>
          <w:sz w:val="20"/>
          <w:vertAlign w:val="baseline"/>
        </w:rPr>
        <w:tab/>
      </w:r>
      <w:r w:rsidRPr="00F90716">
        <w:t>Adopted by the Committee at its 117th session (20 June-15 July 2016).</w:t>
      </w:r>
    </w:p>
  </w:footnote>
  <w:footnote w:id="3">
    <w:p w:rsidR="0061544C" w:rsidRPr="00F90716" w:rsidRDefault="0061544C" w:rsidP="001147E8">
      <w:pPr>
        <w:pStyle w:val="FootnoteText"/>
      </w:pPr>
      <w:r w:rsidRPr="003625FE">
        <w:rPr>
          <w:rStyle w:val="FootnoteReference"/>
          <w:sz w:val="20"/>
          <w:vertAlign w:val="baseline"/>
        </w:rPr>
        <w:tab/>
        <w:t>**</w:t>
      </w:r>
      <w:r w:rsidRPr="003625FE">
        <w:tab/>
      </w:r>
      <w:r w:rsidRPr="00F90716">
        <w:t>The following members of the Committee participated in the examination of the present communication: Yadh Ben Achour, Lazhari Bouzid, Olivier de Frouville, Ahmed Amin Fathalla, Yuji</w:t>
      </w:r>
      <w:r w:rsidR="00936473">
        <w:t> </w:t>
      </w:r>
      <w:r w:rsidRPr="00F90716">
        <w:t>Iwasawa, Duncan Muhumuza Laki, Photini Pazartzis, Mauro Politi, Sir Nigel Rodley, Victor</w:t>
      </w:r>
      <w:r w:rsidR="00936473">
        <w:t> </w:t>
      </w:r>
      <w:r w:rsidRPr="00F90716">
        <w:t>Manuel Rodríguez-Rescia, Fabián Omar Salvioli, Dheerujlall Seetulsingh, Anja Seibert-Fohr, Yuval Shany, Konstantine Vardzelashvili and Margo Waterval.</w:t>
      </w:r>
    </w:p>
    <w:p w:rsidR="0061544C" w:rsidRPr="00F90716" w:rsidRDefault="0061544C" w:rsidP="000001E9">
      <w:pPr>
        <w:pStyle w:val="FootnoteText"/>
      </w:pPr>
      <w:r w:rsidRPr="00F90716">
        <w:rPr>
          <w:rStyle w:val="FootnoteReference"/>
          <w:sz w:val="20"/>
        </w:rPr>
        <w:tab/>
      </w:r>
      <w:r w:rsidRPr="00F90716">
        <w:rPr>
          <w:rStyle w:val="FootnoteReference"/>
          <w:sz w:val="20"/>
        </w:rPr>
        <w:tab/>
      </w:r>
      <w:r w:rsidRPr="00F90716">
        <w:rPr>
          <w:lang w:val="x-none"/>
        </w:rPr>
        <w:t xml:space="preserve">The texts of </w:t>
      </w:r>
      <w:r w:rsidRPr="00DF5B06">
        <w:t xml:space="preserve">one </w:t>
      </w:r>
      <w:r w:rsidRPr="00F90716">
        <w:t>individual</w:t>
      </w:r>
      <w:r w:rsidRPr="003625FE">
        <w:t xml:space="preserve"> </w:t>
      </w:r>
      <w:r w:rsidRPr="00F90716">
        <w:t xml:space="preserve">and one joint (dissenting) </w:t>
      </w:r>
      <w:r w:rsidRPr="003625FE">
        <w:t xml:space="preserve">opinions </w:t>
      </w:r>
      <w:r w:rsidRPr="00F90716">
        <w:t>by five Committee members are appended to the present Views.</w:t>
      </w:r>
    </w:p>
  </w:footnote>
  <w:footnote w:id="4">
    <w:p w:rsidR="0061544C" w:rsidRPr="00DF5B06" w:rsidRDefault="0061544C" w:rsidP="003625FE">
      <w:pPr>
        <w:pStyle w:val="FootnoteText"/>
      </w:pPr>
      <w:r w:rsidRPr="00DF5B06">
        <w:tab/>
      </w:r>
      <w:r w:rsidRPr="003625FE">
        <w:rPr>
          <w:rStyle w:val="FootnoteReference"/>
        </w:rPr>
        <w:footnoteRef/>
      </w:r>
      <w:r w:rsidRPr="00DF5B06">
        <w:tab/>
        <w:t>The author remains in Denmark to date.</w:t>
      </w:r>
    </w:p>
  </w:footnote>
  <w:footnote w:id="5">
    <w:p w:rsidR="0061544C" w:rsidRPr="00DF5B06" w:rsidRDefault="0061544C" w:rsidP="00F90716">
      <w:pPr>
        <w:pStyle w:val="FootnoteText"/>
      </w:pPr>
      <w:r w:rsidRPr="00DF5B06">
        <w:tab/>
      </w:r>
      <w:r w:rsidRPr="003625FE">
        <w:rPr>
          <w:rStyle w:val="FootnoteReference"/>
        </w:rPr>
        <w:footnoteRef/>
      </w:r>
      <w:r w:rsidRPr="00DF5B06">
        <w:tab/>
        <w:t>The agent/source informed that A.M.W’s people had placed roadside bombs under bridges, and that the bombs had exploded when the international forces crossed the bridges. Enayat, the construction company, had made an agreement with the Afghan Army to rebuild the bridge. The owner of the company was A.M.W. The Afghan Army had not been aware that A.M.W was the owner of the construction company, but the agent had provided this information to the US intelligence service. When the bridge exploded, vehicles were destroyed and some members of US personnel were injured.</w:t>
      </w:r>
    </w:p>
  </w:footnote>
  <w:footnote w:id="6">
    <w:p w:rsidR="0061544C" w:rsidRPr="00F90716" w:rsidRDefault="0061544C" w:rsidP="003625FE">
      <w:pPr>
        <w:pStyle w:val="FootnoteText"/>
      </w:pPr>
      <w:r w:rsidRPr="00DF5B06">
        <w:tab/>
      </w:r>
      <w:r w:rsidRPr="003625FE">
        <w:rPr>
          <w:rStyle w:val="FootnoteReference"/>
        </w:rPr>
        <w:footnoteRef/>
      </w:r>
      <w:r w:rsidRPr="00DF5B06">
        <w:tab/>
        <w:t xml:space="preserve">The author declined to pass on intelligence information to </w:t>
      </w:r>
      <w:r w:rsidRPr="003625FE">
        <w:t>A.M.W.</w:t>
      </w:r>
    </w:p>
  </w:footnote>
  <w:footnote w:id="7">
    <w:p w:rsidR="0061544C" w:rsidRPr="00F90716" w:rsidRDefault="0061544C" w:rsidP="00F90716">
      <w:pPr>
        <w:pStyle w:val="FootnoteText"/>
        <w:rPr>
          <w:lang w:eastAsia="en-GB"/>
        </w:rPr>
      </w:pPr>
      <w:r w:rsidRPr="00DF5B06">
        <w:tab/>
      </w:r>
      <w:r w:rsidRPr="003625FE">
        <w:rPr>
          <w:rStyle w:val="FootnoteReference"/>
        </w:rPr>
        <w:footnoteRef/>
      </w:r>
      <w:r w:rsidRPr="00DF5B06">
        <w:tab/>
      </w:r>
      <w:r w:rsidRPr="00F90716">
        <w:t>Available from www.refworld.org/docid/570f96564.html.</w:t>
      </w:r>
    </w:p>
  </w:footnote>
  <w:footnote w:id="8">
    <w:p w:rsidR="0061544C" w:rsidRPr="00DF5B06" w:rsidRDefault="0061544C" w:rsidP="00F90716">
      <w:pPr>
        <w:pStyle w:val="FootnoteText"/>
      </w:pPr>
      <w:r w:rsidRPr="00DF5B06">
        <w:tab/>
      </w:r>
      <w:r w:rsidRPr="003625FE">
        <w:rPr>
          <w:rStyle w:val="FootnoteReference"/>
        </w:rPr>
        <w:footnoteRef/>
      </w:r>
      <w:r w:rsidRPr="00DF5B06">
        <w:tab/>
        <w:t xml:space="preserve">The author </w:t>
      </w:r>
      <w:r w:rsidRPr="00F90716">
        <w:t xml:space="preserve">stated </w:t>
      </w:r>
      <w:r w:rsidRPr="003625FE">
        <w:t>that A.M.W</w:t>
      </w:r>
      <w:r w:rsidRPr="00F90716">
        <w:t>.</w:t>
      </w:r>
      <w:r w:rsidRPr="003625FE">
        <w:t xml:space="preserve"> had been arrested in June, whereas it </w:t>
      </w:r>
      <w:r w:rsidRPr="00F90716">
        <w:t xml:space="preserve">had in fact been </w:t>
      </w:r>
      <w:r w:rsidRPr="003625FE">
        <w:t>in May</w:t>
      </w:r>
      <w:r w:rsidRPr="00F90716">
        <w:t>,</w:t>
      </w:r>
      <w:r w:rsidRPr="003625FE">
        <w:t xml:space="preserve"> and that he </w:t>
      </w:r>
      <w:r w:rsidRPr="00F90716">
        <w:t xml:space="preserve">had </w:t>
      </w:r>
      <w:r w:rsidRPr="003625FE">
        <w:t xml:space="preserve">left on </w:t>
      </w:r>
      <w:r w:rsidRPr="00F90716">
        <w:t xml:space="preserve">vacation </w:t>
      </w:r>
      <w:r w:rsidRPr="003625FE">
        <w:t>in July 2011, instead of June.</w:t>
      </w:r>
    </w:p>
  </w:footnote>
  <w:footnote w:id="9">
    <w:p w:rsidR="0061544C" w:rsidRPr="00DF5B06" w:rsidRDefault="0061544C" w:rsidP="00F90716">
      <w:pPr>
        <w:pStyle w:val="FootnoteText"/>
      </w:pPr>
      <w:r w:rsidRPr="00DF5B06">
        <w:tab/>
      </w:r>
      <w:r w:rsidRPr="003625FE">
        <w:rPr>
          <w:rStyle w:val="FootnoteReference"/>
        </w:rPr>
        <w:footnoteRef/>
      </w:r>
      <w:r w:rsidRPr="00DF5B06">
        <w:tab/>
        <w:t xml:space="preserve">The author refers to </w:t>
      </w:r>
      <w:r w:rsidRPr="00F90716">
        <w:t xml:space="preserve">page 35 of the </w:t>
      </w:r>
      <w:r w:rsidRPr="003625FE">
        <w:t>UNHCR</w:t>
      </w:r>
      <w:r w:rsidRPr="00F90716">
        <w:t xml:space="preserve"> </w:t>
      </w:r>
      <w:r w:rsidRPr="003625FE">
        <w:t xml:space="preserve">Eligibility Guidelines for </w:t>
      </w:r>
      <w:r w:rsidRPr="00DF5B06">
        <w:t>Assessing the International Protection Needs of Asylum Seekers from Afghanistan, which states that “Anti-Government elements have reportedly threatened and attacked Afghan civilians who work for international military forces as drivers and interpreters or in other civilian capacities”.</w:t>
      </w:r>
    </w:p>
  </w:footnote>
  <w:footnote w:id="10">
    <w:p w:rsidR="0061544C" w:rsidRPr="003625FE" w:rsidRDefault="0061544C" w:rsidP="00F90716">
      <w:pPr>
        <w:pStyle w:val="FootnoteText"/>
      </w:pPr>
      <w:r w:rsidRPr="00F90716">
        <w:tab/>
      </w:r>
      <w:r w:rsidRPr="003625FE">
        <w:rPr>
          <w:rStyle w:val="FootnoteReference"/>
        </w:rPr>
        <w:footnoteRef/>
      </w:r>
      <w:r w:rsidRPr="00F90716">
        <w:tab/>
        <w:t>Available from www.refworld.org/docid/505af0352.html.</w:t>
      </w:r>
    </w:p>
  </w:footnote>
  <w:footnote w:id="11">
    <w:p w:rsidR="0061544C" w:rsidRPr="003625FE" w:rsidRDefault="0061544C" w:rsidP="00F90716">
      <w:pPr>
        <w:pStyle w:val="FootnoteText"/>
      </w:pPr>
      <w:r w:rsidRPr="00F90716">
        <w:tab/>
      </w:r>
      <w:r w:rsidRPr="003625FE">
        <w:rPr>
          <w:rStyle w:val="FootnoteReference"/>
        </w:rPr>
        <w:footnoteRef/>
      </w:r>
      <w:r w:rsidRPr="00F90716">
        <w:tab/>
        <w:t>Available from www.refworld.org/docid/5165b6764.html</w:t>
      </w:r>
      <w:r w:rsidR="00BC66A4">
        <w:t>.</w:t>
      </w:r>
    </w:p>
  </w:footnote>
  <w:footnote w:id="12">
    <w:p w:rsidR="0061544C" w:rsidRPr="003625FE" w:rsidRDefault="0061544C" w:rsidP="00F90716">
      <w:pPr>
        <w:pStyle w:val="FootnoteText"/>
      </w:pPr>
      <w:r w:rsidRPr="00F90716">
        <w:tab/>
      </w:r>
      <w:r w:rsidRPr="003625FE">
        <w:rPr>
          <w:rStyle w:val="FootnoteReference"/>
        </w:rPr>
        <w:footnoteRef/>
      </w:r>
      <w:r w:rsidRPr="00F90716">
        <w:tab/>
        <w:t>Available from www.refworld.org/docid/519b1fb54.html.</w:t>
      </w:r>
    </w:p>
  </w:footnote>
  <w:footnote w:id="13">
    <w:p w:rsidR="0061544C" w:rsidRPr="00DF5B06" w:rsidRDefault="0061544C" w:rsidP="00F90716">
      <w:pPr>
        <w:pStyle w:val="FootnoteText"/>
      </w:pPr>
      <w:r w:rsidRPr="00DF5B06">
        <w:tab/>
      </w:r>
      <w:r w:rsidRPr="003625FE">
        <w:rPr>
          <w:rStyle w:val="FootnoteReference"/>
        </w:rPr>
        <w:footnoteRef/>
      </w:r>
      <w:r w:rsidRPr="00DF5B06">
        <w:tab/>
        <w:t xml:space="preserve">The author annexed the testimony of two of his colleagues/interpreters, who </w:t>
      </w:r>
      <w:r w:rsidR="004B5D92" w:rsidRPr="00DF5B06">
        <w:t>provided information on the author</w:t>
      </w:r>
      <w:r w:rsidRPr="00F90716">
        <w:t>.</w:t>
      </w:r>
    </w:p>
  </w:footnote>
  <w:footnote w:id="14">
    <w:p w:rsidR="0061544C" w:rsidRPr="00DF5B06" w:rsidRDefault="0061544C" w:rsidP="00F90716">
      <w:pPr>
        <w:pStyle w:val="FootnoteText"/>
      </w:pPr>
      <w:r w:rsidRPr="00DF5B06">
        <w:tab/>
      </w:r>
      <w:r w:rsidRPr="003625FE">
        <w:rPr>
          <w:rStyle w:val="FootnoteReference"/>
        </w:rPr>
        <w:footnoteRef/>
      </w:r>
      <w:r w:rsidRPr="00DF5B06">
        <w:tab/>
        <w:t>The author annexes the relevant e</w:t>
      </w:r>
      <w:r w:rsidR="00E7218F" w:rsidRPr="00DF5B06">
        <w:t>-</w:t>
      </w:r>
      <w:r w:rsidRPr="00DF5B06">
        <w:t xml:space="preserve">mail exchange his counsel had with </w:t>
      </w:r>
      <w:r w:rsidR="00E7218F" w:rsidRPr="00DF5B06">
        <w:t>Mission Essential Personnel</w:t>
      </w:r>
      <w:r w:rsidRPr="00DF5B06">
        <w:t xml:space="preserve"> in this respect between 13 and 19 August 2015.</w:t>
      </w:r>
    </w:p>
  </w:footnote>
  <w:footnote w:id="15">
    <w:p w:rsidR="0061544C" w:rsidRPr="00DF5B06" w:rsidRDefault="0061544C" w:rsidP="00F90716">
      <w:pPr>
        <w:pStyle w:val="FootnoteText"/>
      </w:pPr>
      <w:r w:rsidRPr="00DF5B06">
        <w:tab/>
      </w:r>
      <w:r w:rsidRPr="003625FE">
        <w:rPr>
          <w:rStyle w:val="FootnoteReference"/>
        </w:rPr>
        <w:footnoteRef/>
      </w:r>
      <w:r w:rsidRPr="00DF5B06">
        <w:tab/>
        <w:t>The author annexes this exchange.</w:t>
      </w:r>
    </w:p>
  </w:footnote>
  <w:footnote w:id="16">
    <w:p w:rsidR="0061544C" w:rsidRPr="003625FE" w:rsidRDefault="00A02022" w:rsidP="00F90716">
      <w:pPr>
        <w:pStyle w:val="FootnoteText"/>
      </w:pPr>
      <w:r w:rsidRPr="00DF5B06">
        <w:tab/>
      </w:r>
      <w:r w:rsidR="0061544C" w:rsidRPr="003625FE">
        <w:rPr>
          <w:rStyle w:val="FootnoteReference"/>
        </w:rPr>
        <w:footnoteRef/>
      </w:r>
      <w:r w:rsidRPr="00DF5B06">
        <w:tab/>
      </w:r>
      <w:r w:rsidR="0061544C" w:rsidRPr="00DF5B06">
        <w:t>See General comment No. 31 (2004) on the nature of the general legal obligation imposed on States parties to the Covenant, para. 12.</w:t>
      </w:r>
    </w:p>
  </w:footnote>
  <w:footnote w:id="17">
    <w:p w:rsidR="0061544C" w:rsidRPr="00DF5B06" w:rsidRDefault="0061544C" w:rsidP="00F90716">
      <w:pPr>
        <w:pStyle w:val="FootnoteText"/>
      </w:pPr>
      <w:r w:rsidRPr="00DF5B06">
        <w:tab/>
      </w:r>
      <w:r w:rsidRPr="00F90716">
        <w:rPr>
          <w:rStyle w:val="FootnoteReference"/>
        </w:rPr>
        <w:footnoteRef/>
      </w:r>
      <w:r w:rsidRPr="00DF5B06">
        <w:tab/>
        <w:t>See general comment No. 31 (2004), para. 12.</w:t>
      </w:r>
    </w:p>
  </w:footnote>
  <w:footnote w:id="18">
    <w:p w:rsidR="0061544C" w:rsidRPr="00F90716" w:rsidRDefault="0061544C" w:rsidP="00F90716">
      <w:pPr>
        <w:pStyle w:val="FootnoteText"/>
      </w:pPr>
      <w:r w:rsidRPr="003625FE">
        <w:tab/>
      </w:r>
      <w:r w:rsidRPr="00F90716">
        <w:rPr>
          <w:rStyle w:val="FootnoteReference"/>
        </w:rPr>
        <w:footnoteRef/>
      </w:r>
      <w:r w:rsidRPr="003625FE">
        <w:tab/>
        <w:t xml:space="preserve">See, for example, </w:t>
      </w:r>
      <w:r w:rsidR="00A62CBA" w:rsidRPr="00DF5B06">
        <w:t>c</w:t>
      </w:r>
      <w:r w:rsidRPr="003625FE">
        <w:t xml:space="preserve">ommunications </w:t>
      </w:r>
      <w:r w:rsidR="00A62CBA" w:rsidRPr="00DF5B06">
        <w:t>No</w:t>
      </w:r>
      <w:r w:rsidRPr="00DF5B06">
        <w:t xml:space="preserve">. 2007/2010, </w:t>
      </w:r>
      <w:r w:rsidRPr="00DF5B06">
        <w:rPr>
          <w:i/>
        </w:rPr>
        <w:t>J.J. N. v. Denmark</w:t>
      </w:r>
      <w:r w:rsidRPr="00DF5B06">
        <w:t xml:space="preserve">, Views adopted on 26 March 2014, para. 9.2; No. 282/2005, </w:t>
      </w:r>
      <w:r w:rsidRPr="003625FE">
        <w:rPr>
          <w:i/>
        </w:rPr>
        <w:t>S.P.A. v. Canada</w:t>
      </w:r>
      <w:r w:rsidRPr="00F90716">
        <w:t xml:space="preserve">, decision adopted on 7 November 2006; No. 333/2007, </w:t>
      </w:r>
      <w:r w:rsidRPr="00F90716">
        <w:rPr>
          <w:i/>
        </w:rPr>
        <w:t>T.I. v. Canada</w:t>
      </w:r>
      <w:r w:rsidRPr="00F90716">
        <w:t xml:space="preserve">, decision adopted on 15 November 2010; No. 344/2008, </w:t>
      </w:r>
      <w:r w:rsidRPr="00F90716">
        <w:rPr>
          <w:i/>
        </w:rPr>
        <w:t xml:space="preserve">A.M.A. </w:t>
      </w:r>
      <w:r w:rsidRPr="00F90716">
        <w:rPr>
          <w:i/>
          <w:iCs/>
        </w:rPr>
        <w:t>v. Switzerland</w:t>
      </w:r>
      <w:r w:rsidRPr="003625FE">
        <w:t>, decision adopted on 12 November 2010</w:t>
      </w:r>
      <w:r w:rsidR="008F31BC" w:rsidRPr="00DF5B06">
        <w:t>;</w:t>
      </w:r>
      <w:r w:rsidRPr="003625FE">
        <w:t> </w:t>
      </w:r>
      <w:r w:rsidR="008F31BC" w:rsidRPr="00DF5B06">
        <w:t xml:space="preserve">and </w:t>
      </w:r>
      <w:r w:rsidRPr="003625FE">
        <w:t xml:space="preserve">No. 692/1996, </w:t>
      </w:r>
      <w:r w:rsidRPr="00F90716">
        <w:rPr>
          <w:i/>
          <w:iCs/>
        </w:rPr>
        <w:t>A.R.J. v. Australia</w:t>
      </w:r>
      <w:r w:rsidRPr="00F90716">
        <w:t>, Views</w:t>
      </w:r>
      <w:r w:rsidR="003625FE">
        <w:t> </w:t>
      </w:r>
      <w:r w:rsidRPr="00F90716">
        <w:t>adopted on 28 July 1997, para. 6.6. </w:t>
      </w:r>
    </w:p>
  </w:footnote>
  <w:footnote w:id="19">
    <w:p w:rsidR="0061544C" w:rsidRPr="00F90716" w:rsidRDefault="0061544C" w:rsidP="00F90716">
      <w:pPr>
        <w:pStyle w:val="FootnoteText"/>
      </w:pPr>
      <w:r w:rsidRPr="00F90716">
        <w:tab/>
      </w:r>
      <w:r w:rsidRPr="00F90716">
        <w:rPr>
          <w:rStyle w:val="FootnoteReference"/>
        </w:rPr>
        <w:footnoteRef/>
      </w:r>
      <w:r w:rsidRPr="003625FE">
        <w:tab/>
        <w:t xml:space="preserve">See, for example, </w:t>
      </w:r>
      <w:r w:rsidRPr="00F90716">
        <w:rPr>
          <w:i/>
          <w:iCs/>
        </w:rPr>
        <w:t>J.J. N. v. Denmark</w:t>
      </w:r>
      <w:r w:rsidRPr="00DF5B06">
        <w:t xml:space="preserve"> </w:t>
      </w:r>
      <w:r w:rsidR="008F31BC" w:rsidRPr="00DF5B06">
        <w:t>(note 17 above)</w:t>
      </w:r>
      <w:r w:rsidRPr="00DF5B06">
        <w:t xml:space="preserve">, para. 9.2; </w:t>
      </w:r>
      <w:r w:rsidR="008F31BC" w:rsidRPr="00DF5B06">
        <w:t>N</w:t>
      </w:r>
      <w:r w:rsidRPr="00DF5B06">
        <w:t>o. 1833/2008</w:t>
      </w:r>
      <w:r w:rsidRPr="003625FE">
        <w:rPr>
          <w:i/>
        </w:rPr>
        <w:t>, X. v. Sweden</w:t>
      </w:r>
      <w:r w:rsidRPr="00F90716">
        <w:t>, Views</w:t>
      </w:r>
      <w:r w:rsidR="003625FE">
        <w:t> </w:t>
      </w:r>
      <w:r w:rsidRPr="00F90716">
        <w:t xml:space="preserve">adopted on 1 November 2011, para. 5.18. </w:t>
      </w:r>
    </w:p>
  </w:footnote>
  <w:footnote w:id="20">
    <w:p w:rsidR="0061544C" w:rsidRPr="00DF5B06" w:rsidRDefault="0061544C" w:rsidP="00F90716">
      <w:pPr>
        <w:pStyle w:val="FootnoteText"/>
      </w:pPr>
      <w:r w:rsidRPr="00F90716">
        <w:tab/>
      </w:r>
      <w:r w:rsidRPr="00F90716">
        <w:rPr>
          <w:rStyle w:val="FootnoteReference"/>
        </w:rPr>
        <w:footnoteRef/>
      </w:r>
      <w:r w:rsidRPr="003625FE">
        <w:tab/>
        <w:t xml:space="preserve">Ibid. </w:t>
      </w:r>
    </w:p>
  </w:footnote>
  <w:footnote w:id="21">
    <w:p w:rsidR="0061544C" w:rsidRPr="00F90716" w:rsidRDefault="0061544C" w:rsidP="00F90716">
      <w:pPr>
        <w:pStyle w:val="FootnoteText"/>
      </w:pPr>
      <w:r w:rsidRPr="003625FE">
        <w:tab/>
      </w:r>
      <w:r w:rsidRPr="00F90716">
        <w:rPr>
          <w:rStyle w:val="FootnoteReference"/>
        </w:rPr>
        <w:footnoteRef/>
      </w:r>
      <w:r w:rsidRPr="003625FE">
        <w:tab/>
        <w:t>See, inter alia, i</w:t>
      </w:r>
      <w:r w:rsidRPr="00F90716">
        <w:rPr>
          <w:iCs/>
        </w:rPr>
        <w:t xml:space="preserve">bid. </w:t>
      </w:r>
      <w:r w:rsidRPr="00F90716">
        <w:t xml:space="preserve">and communication No. 541/1993, </w:t>
      </w:r>
      <w:r w:rsidRPr="00F90716">
        <w:rPr>
          <w:i/>
        </w:rPr>
        <w:t>Errol Simms v. Jamaica</w:t>
      </w:r>
      <w:r w:rsidRPr="00F90716">
        <w:t>, inadmissibility decision adopted on 3 April 1995, para. 6.2.</w:t>
      </w:r>
    </w:p>
  </w:footnote>
  <w:footnote w:id="22">
    <w:p w:rsidR="0061544C" w:rsidRPr="00DF5B06" w:rsidRDefault="0061544C" w:rsidP="00F90716">
      <w:pPr>
        <w:pStyle w:val="FootnoteText"/>
      </w:pPr>
      <w:r w:rsidRPr="00DF5B06">
        <w:tab/>
      </w:r>
      <w:r w:rsidRPr="003625FE">
        <w:rPr>
          <w:rStyle w:val="FootnoteReference"/>
        </w:rPr>
        <w:footnoteRef/>
      </w:r>
      <w:r w:rsidRPr="00DF5B06">
        <w:tab/>
        <w:t xml:space="preserve">See communications No. 1763/2008, </w:t>
      </w:r>
      <w:r w:rsidRPr="00DF5B06">
        <w:rPr>
          <w:i/>
        </w:rPr>
        <w:t>Pillai et al. v</w:t>
      </w:r>
      <w:r w:rsidRPr="00DF5B06">
        <w:rPr>
          <w:iCs/>
        </w:rPr>
        <w:t>.</w:t>
      </w:r>
      <w:r w:rsidRPr="00DF5B06">
        <w:t xml:space="preserve"> </w:t>
      </w:r>
      <w:r w:rsidRPr="00DF5B06">
        <w:rPr>
          <w:i/>
        </w:rPr>
        <w:t>Canada</w:t>
      </w:r>
      <w:r w:rsidRPr="00DF5B06">
        <w:t>, Views adopted on 25 March 2011, para.</w:t>
      </w:r>
      <w:r w:rsidR="003625FE">
        <w:t> </w:t>
      </w:r>
      <w:r w:rsidRPr="00DF5B06">
        <w:t xml:space="preserve">11.4 and No. 1957/2010, </w:t>
      </w:r>
      <w:r w:rsidRPr="00DF5B06">
        <w:rPr>
          <w:i/>
        </w:rPr>
        <w:t>Lin v. Australia</w:t>
      </w:r>
      <w:r w:rsidRPr="00DF5B06">
        <w:t xml:space="preserve">, Views adopted on 21 March 2013, para. 9.3. See also communications No. 1819/2008, </w:t>
      </w:r>
      <w:r w:rsidRPr="00DF5B06">
        <w:rPr>
          <w:i/>
        </w:rPr>
        <w:t>A.A. v. Canada</w:t>
      </w:r>
      <w:r w:rsidRPr="00DF5B06">
        <w:t xml:space="preserve">, inadmissibility decision adopted on 31 October 2010, para. 7.8, and No. 2049/2011, </w:t>
      </w:r>
      <w:r w:rsidRPr="00DF5B06">
        <w:rPr>
          <w:i/>
        </w:rPr>
        <w:t>Z. v. Australia</w:t>
      </w:r>
      <w:r w:rsidRPr="00DF5B06">
        <w:t xml:space="preserve">, Views adopted on 18 July 2014, para. 9.3. </w:t>
      </w:r>
    </w:p>
  </w:footnote>
  <w:footnote w:id="23">
    <w:p w:rsidR="0061544C" w:rsidRPr="00DF5B06" w:rsidRDefault="0061544C" w:rsidP="00F90716">
      <w:pPr>
        <w:pStyle w:val="FootnoteText"/>
      </w:pPr>
      <w:r w:rsidRPr="00DF5B06">
        <w:tab/>
      </w:r>
      <w:r w:rsidRPr="003625FE">
        <w:rPr>
          <w:rStyle w:val="FootnoteReference"/>
        </w:rPr>
        <w:footnoteRef/>
      </w:r>
      <w:r w:rsidRPr="00DF5B06">
        <w:tab/>
        <w:t xml:space="preserve">See communication No. 2370/2014, </w:t>
      </w:r>
      <w:r w:rsidRPr="00F90716">
        <w:rPr>
          <w:i/>
          <w:iCs/>
        </w:rPr>
        <w:t>A.H. v. Denmark</w:t>
      </w:r>
      <w:r w:rsidRPr="00DF5B06">
        <w:t>, Views adopted on 16 July 2015, par</w:t>
      </w:r>
      <w:r w:rsidR="004B5D92" w:rsidRPr="00DF5B06">
        <w:t>a</w:t>
      </w:r>
      <w:r w:rsidRPr="00DF5B06">
        <w:t>. 8.7. See</w:t>
      </w:r>
      <w:r w:rsidR="003625FE">
        <w:t> </w:t>
      </w:r>
      <w:r w:rsidRPr="00DF5B06">
        <w:t xml:space="preserve">also communication No. 2393/2014, </w:t>
      </w:r>
      <w:r w:rsidRPr="00F90716">
        <w:rPr>
          <w:i/>
          <w:iCs/>
        </w:rPr>
        <w:t>K. v. Denmark</w:t>
      </w:r>
      <w:r w:rsidRPr="00DF5B06">
        <w:t>, Views adopted on 16 July 2015.</w:t>
      </w:r>
    </w:p>
  </w:footnote>
  <w:footnote w:id="24">
    <w:p w:rsidR="0061544C" w:rsidRPr="00F90716" w:rsidRDefault="0061544C" w:rsidP="00F90716">
      <w:pPr>
        <w:pStyle w:val="FootnoteText"/>
      </w:pPr>
      <w:r w:rsidRPr="003625FE">
        <w:tab/>
      </w:r>
      <w:r w:rsidRPr="003625FE">
        <w:rPr>
          <w:rStyle w:val="FootnoteReference"/>
        </w:rPr>
        <w:footnoteRef/>
      </w:r>
      <w:r w:rsidRPr="003625FE">
        <w:tab/>
      </w:r>
      <w:r w:rsidRPr="00F90716">
        <w:rPr>
          <w:lang w:bidi="he-IL"/>
        </w:rPr>
        <w:t>See</w:t>
      </w:r>
      <w:r w:rsidR="00A52CD7" w:rsidRPr="00DF5B06">
        <w:rPr>
          <w:lang w:bidi="he-IL"/>
        </w:rPr>
        <w:t>,</w:t>
      </w:r>
      <w:r w:rsidRPr="003625FE">
        <w:rPr>
          <w:lang w:bidi="he-IL"/>
        </w:rPr>
        <w:t xml:space="preserve"> </w:t>
      </w:r>
      <w:r w:rsidR="00A52CD7" w:rsidRPr="00E07EBA">
        <w:rPr>
          <w:lang w:bidi="he-IL"/>
        </w:rPr>
        <w:t>for example</w:t>
      </w:r>
      <w:r w:rsidRPr="003625FE">
        <w:rPr>
          <w:lang w:bidi="he-IL"/>
        </w:rPr>
        <w:t xml:space="preserve">, </w:t>
      </w:r>
      <w:r w:rsidR="00A52CD7" w:rsidRPr="00E07EBA">
        <w:rPr>
          <w:lang w:bidi="he-IL"/>
        </w:rPr>
        <w:t>c</w:t>
      </w:r>
      <w:r w:rsidRPr="003625FE">
        <w:rPr>
          <w:lang w:bidi="he-IL"/>
        </w:rPr>
        <w:t xml:space="preserve">ommunication No. 1138/2002, </w:t>
      </w:r>
      <w:r w:rsidRPr="00F90716">
        <w:rPr>
          <w:i/>
          <w:iCs/>
          <w:lang w:bidi="he-IL"/>
        </w:rPr>
        <w:t xml:space="preserve">Arenz </w:t>
      </w:r>
      <w:r w:rsidR="00BC7640" w:rsidRPr="00E07EBA">
        <w:rPr>
          <w:i/>
          <w:iCs/>
          <w:lang w:bidi="he-IL"/>
        </w:rPr>
        <w:t xml:space="preserve">et al </w:t>
      </w:r>
      <w:r w:rsidRPr="00F90716">
        <w:rPr>
          <w:i/>
          <w:iCs/>
          <w:lang w:bidi="he-IL"/>
        </w:rPr>
        <w:t>v</w:t>
      </w:r>
      <w:r w:rsidR="00BC7640" w:rsidRPr="00E07EBA">
        <w:rPr>
          <w:i/>
          <w:iCs/>
          <w:lang w:bidi="he-IL"/>
        </w:rPr>
        <w:t>.</w:t>
      </w:r>
      <w:r w:rsidRPr="00F90716">
        <w:rPr>
          <w:i/>
          <w:iCs/>
          <w:lang w:bidi="he-IL"/>
        </w:rPr>
        <w:t xml:space="preserve"> Germany</w:t>
      </w:r>
      <w:r w:rsidRPr="003625FE">
        <w:rPr>
          <w:lang w:bidi="he-IL"/>
        </w:rPr>
        <w:t xml:space="preserve">, Views adopted on </w:t>
      </w:r>
      <w:r w:rsidR="00BC7640" w:rsidRPr="00E07EBA">
        <w:rPr>
          <w:lang w:bidi="he-IL"/>
        </w:rPr>
        <w:t>24</w:t>
      </w:r>
      <w:r w:rsidR="003625FE">
        <w:rPr>
          <w:lang w:bidi="he-IL"/>
        </w:rPr>
        <w:t> </w:t>
      </w:r>
      <w:r w:rsidR="00BC7640" w:rsidRPr="00E07EBA">
        <w:rPr>
          <w:lang w:bidi="he-IL"/>
        </w:rPr>
        <w:t xml:space="preserve">March </w:t>
      </w:r>
      <w:r w:rsidRPr="003625FE">
        <w:rPr>
          <w:lang w:bidi="he-IL"/>
        </w:rPr>
        <w:t>2004, para. 8.6.</w:t>
      </w:r>
      <w:r w:rsidRPr="00F90716">
        <w:t xml:space="preserve"> </w:t>
      </w:r>
    </w:p>
  </w:footnote>
  <w:footnote w:id="25">
    <w:p w:rsidR="0061544C" w:rsidRPr="00F90716" w:rsidRDefault="0061544C" w:rsidP="00F90716">
      <w:pPr>
        <w:pStyle w:val="FootnoteText"/>
      </w:pPr>
      <w:r w:rsidRPr="00F90716">
        <w:tab/>
      </w:r>
      <w:r w:rsidRPr="003625FE">
        <w:rPr>
          <w:rStyle w:val="FootnoteReference"/>
        </w:rPr>
        <w:footnoteRef/>
      </w:r>
      <w:r w:rsidRPr="003625FE">
        <w:tab/>
      </w:r>
      <w:r w:rsidRPr="00F90716">
        <w:rPr>
          <w:lang w:bidi="he-IL"/>
        </w:rPr>
        <w:t>See</w:t>
      </w:r>
      <w:r w:rsidR="00A52CD7" w:rsidRPr="00E07EBA">
        <w:rPr>
          <w:lang w:bidi="he-IL"/>
        </w:rPr>
        <w:t>, for example</w:t>
      </w:r>
      <w:r w:rsidRPr="00F90716">
        <w:rPr>
          <w:lang w:bidi="he-IL"/>
        </w:rPr>
        <w:t xml:space="preserve">, </w:t>
      </w:r>
      <w:r w:rsidR="00A52CD7" w:rsidRPr="00E07EBA">
        <w:t>c</w:t>
      </w:r>
      <w:r w:rsidRPr="003625FE">
        <w:t>ommunication No.</w:t>
      </w:r>
      <w:r w:rsidRPr="00F90716">
        <w:rPr>
          <w:lang w:bidi="he-IL"/>
        </w:rPr>
        <w:t xml:space="preserve"> 1544/2007, </w:t>
      </w:r>
      <w:r w:rsidRPr="00F90716">
        <w:rPr>
          <w:i/>
          <w:iCs/>
          <w:lang w:bidi="he-IL"/>
        </w:rPr>
        <w:t>Hamida v. Canada</w:t>
      </w:r>
      <w:r w:rsidRPr="003625FE">
        <w:rPr>
          <w:i/>
          <w:lang w:bidi="he-IL"/>
        </w:rPr>
        <w:t xml:space="preserve">, </w:t>
      </w:r>
      <w:r w:rsidRPr="00F90716">
        <w:rPr>
          <w:lang w:bidi="he-IL"/>
        </w:rPr>
        <w:t>Views adopted on 18 Mar</w:t>
      </w:r>
      <w:r w:rsidR="00A52CD7" w:rsidRPr="00E07EBA">
        <w:rPr>
          <w:lang w:bidi="he-IL"/>
        </w:rPr>
        <w:t>ch</w:t>
      </w:r>
      <w:r w:rsidRPr="00F90716">
        <w:rPr>
          <w:lang w:bidi="he-IL"/>
        </w:rPr>
        <w:t xml:space="preserve"> 2010, paras. 8.4 </w:t>
      </w:r>
      <w:r w:rsidR="00A52CD7" w:rsidRPr="00E07EBA">
        <w:rPr>
          <w:lang w:bidi="he-IL"/>
        </w:rPr>
        <w:t>to</w:t>
      </w:r>
      <w:r w:rsidRPr="003625FE">
        <w:rPr>
          <w:lang w:bidi="he-IL"/>
        </w:rPr>
        <w:t xml:space="preserve"> 8.6</w:t>
      </w:r>
      <w:r w:rsidR="003625FE">
        <w:t>.</w:t>
      </w:r>
    </w:p>
  </w:footnote>
  <w:footnote w:id="26">
    <w:p w:rsidR="0061544C" w:rsidRPr="00F90716" w:rsidRDefault="0061544C" w:rsidP="00F90716">
      <w:pPr>
        <w:pStyle w:val="FootnoteText"/>
      </w:pPr>
      <w:r w:rsidRPr="00F90716">
        <w:tab/>
      </w:r>
      <w:r w:rsidRPr="003625FE">
        <w:rPr>
          <w:rStyle w:val="FootnoteReference"/>
        </w:rPr>
        <w:footnoteRef/>
      </w:r>
      <w:r w:rsidRPr="003625FE">
        <w:tab/>
      </w:r>
      <w:r w:rsidRPr="00F90716">
        <w:rPr>
          <w:bCs/>
          <w:color w:val="000000"/>
          <w:shd w:val="clear" w:color="auto" w:fill="FFFFFF"/>
          <w:lang w:bidi="he-IL"/>
        </w:rPr>
        <w:t>See</w:t>
      </w:r>
      <w:r w:rsidR="00A52CD7" w:rsidRPr="00E07EBA">
        <w:rPr>
          <w:lang w:bidi="he-IL"/>
        </w:rPr>
        <w:t>, for example</w:t>
      </w:r>
      <w:r w:rsidRPr="00F90716">
        <w:rPr>
          <w:bCs/>
          <w:color w:val="000000"/>
          <w:shd w:val="clear" w:color="auto" w:fill="FFFFFF"/>
          <w:lang w:bidi="he-IL"/>
        </w:rPr>
        <w:t xml:space="preserve">, </w:t>
      </w:r>
      <w:r w:rsidR="00A52CD7" w:rsidRPr="00E07EBA">
        <w:t>c</w:t>
      </w:r>
      <w:r w:rsidRPr="003625FE">
        <w:t>ommunication No. 1908/2009</w:t>
      </w:r>
      <w:r w:rsidRPr="00F90716">
        <w:rPr>
          <w:lang w:bidi="he-IL"/>
        </w:rPr>
        <w:t xml:space="preserve">, </w:t>
      </w:r>
      <w:r w:rsidRPr="00F90716">
        <w:rPr>
          <w:i/>
          <w:iCs/>
          <w:lang w:bidi="he-IL"/>
        </w:rPr>
        <w:t>X</w:t>
      </w:r>
      <w:r w:rsidR="00A52CD7" w:rsidRPr="00E07EBA">
        <w:rPr>
          <w:i/>
          <w:iCs/>
          <w:lang w:bidi="he-IL"/>
        </w:rPr>
        <w:t>.</w:t>
      </w:r>
      <w:r w:rsidRPr="00F90716">
        <w:rPr>
          <w:i/>
          <w:iCs/>
          <w:lang w:bidi="he-IL"/>
        </w:rPr>
        <w:t xml:space="preserve"> v</w:t>
      </w:r>
      <w:r w:rsidR="00BC7640" w:rsidRPr="00E07EBA">
        <w:rPr>
          <w:i/>
          <w:iCs/>
          <w:lang w:bidi="he-IL"/>
        </w:rPr>
        <w:t>.</w:t>
      </w:r>
      <w:r w:rsidRPr="00F90716">
        <w:rPr>
          <w:i/>
          <w:iCs/>
          <w:lang w:bidi="he-IL"/>
        </w:rPr>
        <w:t xml:space="preserve"> Republic of Korea</w:t>
      </w:r>
      <w:r w:rsidRPr="003625FE">
        <w:rPr>
          <w:lang w:bidi="he-IL"/>
        </w:rPr>
        <w:t>, Views adopted on 25</w:t>
      </w:r>
      <w:r w:rsidR="003625FE">
        <w:rPr>
          <w:lang w:bidi="he-IL"/>
        </w:rPr>
        <w:t> </w:t>
      </w:r>
      <w:r w:rsidR="00BC7640" w:rsidRPr="00E07EBA">
        <w:rPr>
          <w:lang w:bidi="he-IL"/>
        </w:rPr>
        <w:t>March</w:t>
      </w:r>
      <w:r w:rsidRPr="003625FE">
        <w:rPr>
          <w:lang w:bidi="he-IL"/>
        </w:rPr>
        <w:t xml:space="preserve"> 2014, para. 11.5.</w:t>
      </w:r>
      <w:r w:rsidRPr="00F90716">
        <w:t xml:space="preserve"> </w:t>
      </w:r>
    </w:p>
  </w:footnote>
  <w:footnote w:id="27">
    <w:p w:rsidR="0061544C" w:rsidRPr="00F90716" w:rsidRDefault="0061544C" w:rsidP="00F90716">
      <w:pPr>
        <w:pStyle w:val="FootnoteText"/>
      </w:pPr>
      <w:r w:rsidRPr="00F90716">
        <w:tab/>
      </w:r>
      <w:r w:rsidRPr="003625FE">
        <w:rPr>
          <w:rStyle w:val="FootnoteReference"/>
        </w:rPr>
        <w:footnoteRef/>
      </w:r>
      <w:r w:rsidRPr="003625FE">
        <w:tab/>
      </w:r>
      <w:r w:rsidRPr="00F90716">
        <w:rPr>
          <w:shd w:val="clear" w:color="auto" w:fill="FFFFFF"/>
          <w:lang w:bidi="he-IL"/>
        </w:rPr>
        <w:t>See</w:t>
      </w:r>
      <w:r w:rsidR="00A52CD7" w:rsidRPr="00E07EBA">
        <w:rPr>
          <w:lang w:bidi="he-IL"/>
        </w:rPr>
        <w:t>, for example</w:t>
      </w:r>
      <w:r w:rsidRPr="00F90716">
        <w:rPr>
          <w:shd w:val="clear" w:color="auto" w:fill="FFFFFF"/>
          <w:lang w:bidi="he-IL"/>
        </w:rPr>
        <w:t xml:space="preserve">, </w:t>
      </w:r>
      <w:r w:rsidR="00A52CD7" w:rsidRPr="00E07EBA">
        <w:rPr>
          <w:shd w:val="clear" w:color="auto" w:fill="FFFFFF"/>
        </w:rPr>
        <w:t>c</w:t>
      </w:r>
      <w:r w:rsidRPr="003625FE">
        <w:rPr>
          <w:shd w:val="clear" w:color="auto" w:fill="FFFFFF"/>
        </w:rPr>
        <w:t>ommunication No. 1222/2003</w:t>
      </w:r>
      <w:r w:rsidRPr="00F90716">
        <w:rPr>
          <w:shd w:val="clear" w:color="auto" w:fill="FFFFFF"/>
          <w:lang w:bidi="he-IL"/>
        </w:rPr>
        <w:t xml:space="preserve">, </w:t>
      </w:r>
      <w:r w:rsidRPr="00F90716">
        <w:rPr>
          <w:i/>
          <w:iCs/>
          <w:shd w:val="clear" w:color="auto" w:fill="FFFFFF"/>
        </w:rPr>
        <w:t>Byahuranga v. Denmark</w:t>
      </w:r>
      <w:r w:rsidRPr="003625FE">
        <w:rPr>
          <w:shd w:val="clear" w:color="auto" w:fill="FFFFFF"/>
        </w:rPr>
        <w:t xml:space="preserve">, </w:t>
      </w:r>
      <w:r w:rsidRPr="00F90716">
        <w:rPr>
          <w:shd w:val="clear" w:color="auto" w:fill="FFFFFF"/>
          <w:lang w:bidi="he-IL"/>
        </w:rPr>
        <w:t>Views adopted on 1</w:t>
      </w:r>
      <w:r w:rsidR="003625FE">
        <w:rPr>
          <w:shd w:val="clear" w:color="auto" w:fill="FFFFFF"/>
          <w:lang w:bidi="he-IL"/>
        </w:rPr>
        <w:t> </w:t>
      </w:r>
      <w:r w:rsidRPr="00F90716">
        <w:rPr>
          <w:shd w:val="clear" w:color="auto" w:fill="FFFFFF"/>
          <w:lang w:bidi="he-IL"/>
        </w:rPr>
        <w:t>Nov</w:t>
      </w:r>
      <w:r w:rsidR="00A52CD7" w:rsidRPr="00E07EBA">
        <w:rPr>
          <w:shd w:val="clear" w:color="auto" w:fill="FFFFFF"/>
          <w:lang w:bidi="he-IL"/>
        </w:rPr>
        <w:t>ember</w:t>
      </w:r>
      <w:r w:rsidRPr="00F90716">
        <w:rPr>
          <w:shd w:val="clear" w:color="auto" w:fill="FFFFFF"/>
          <w:lang w:bidi="he-IL"/>
        </w:rPr>
        <w:t xml:space="preserve"> 2004, para. 11.3</w:t>
      </w:r>
      <w:r w:rsidR="00A52CD7" w:rsidRPr="00E07EBA">
        <w:rPr>
          <w:shd w:val="clear" w:color="auto" w:fill="FFFFFF"/>
          <w:lang w:bidi="he-IL"/>
        </w:rPr>
        <w:t xml:space="preserve"> and </w:t>
      </w:r>
      <w:r w:rsidRPr="003625FE">
        <w:rPr>
          <w:shd w:val="clear" w:color="auto" w:fill="FFFFFF"/>
          <w:lang w:bidi="he-IL"/>
        </w:rPr>
        <w:t>11.4.</w:t>
      </w:r>
      <w:r w:rsidRPr="00F90716">
        <w:t xml:space="preserve"> </w:t>
      </w:r>
    </w:p>
  </w:footnote>
  <w:footnote w:id="28">
    <w:p w:rsidR="0061544C" w:rsidRPr="00F90716" w:rsidRDefault="0061544C" w:rsidP="00F90716">
      <w:pPr>
        <w:pStyle w:val="FootnoteText"/>
        <w:rPr>
          <w:shd w:val="clear" w:color="auto" w:fill="FFFFFF"/>
          <w:lang w:bidi="he-IL"/>
        </w:rPr>
      </w:pPr>
      <w:r w:rsidRPr="00F90716">
        <w:tab/>
      </w:r>
      <w:r w:rsidRPr="003625FE">
        <w:rPr>
          <w:rStyle w:val="FootnoteReference"/>
        </w:rPr>
        <w:footnoteRef/>
      </w:r>
      <w:r w:rsidRPr="003625FE">
        <w:tab/>
      </w:r>
      <w:r w:rsidR="0031288D" w:rsidRPr="00E07EBA">
        <w:t xml:space="preserve">See </w:t>
      </w:r>
      <w:r w:rsidR="0031288D" w:rsidRPr="00E07EBA">
        <w:rPr>
          <w:i/>
          <w:iCs/>
        </w:rPr>
        <w:t>H. and B. v. the United Kingdom</w:t>
      </w:r>
      <w:r w:rsidR="0031288D" w:rsidRPr="00E07EBA">
        <w:t xml:space="preserve"> (applications Nos. 70073/10 and 44539/11), judgment of the European Court of Human Rights of 9 March 2013</w:t>
      </w:r>
      <w:r w:rsidRPr="00F90716">
        <w:rPr>
          <w:shd w:val="clear" w:color="auto" w:fill="FFFFFF"/>
          <w:lang w:bidi="he-IL"/>
        </w:rPr>
        <w:t>.</w:t>
      </w:r>
    </w:p>
  </w:footnote>
  <w:footnote w:id="29">
    <w:p w:rsidR="0061544C" w:rsidRPr="003625FE" w:rsidRDefault="0061544C" w:rsidP="00F90716">
      <w:pPr>
        <w:pStyle w:val="FootnoteText"/>
      </w:pPr>
      <w:r w:rsidRPr="003625FE">
        <w:tab/>
      </w:r>
      <w:r w:rsidRPr="003625FE">
        <w:rPr>
          <w:rStyle w:val="FootnoteReference"/>
        </w:rPr>
        <w:footnoteRef/>
      </w:r>
      <w:r w:rsidRPr="003625FE">
        <w:tab/>
      </w:r>
      <w:r w:rsidR="0031288D" w:rsidRPr="00E07EBA">
        <w:t xml:space="preserve">See </w:t>
      </w:r>
      <w:r w:rsidR="004B5D92" w:rsidRPr="00E07EBA">
        <w:t>g</w:t>
      </w:r>
      <w:r w:rsidR="0031288D" w:rsidRPr="00E07EBA">
        <w:t>eneral comment No. 31 (2004) on the nature of the general legal obligation imposed on States parties to the Covenant, para. 12.</w:t>
      </w:r>
    </w:p>
  </w:footnote>
  <w:footnote w:id="30">
    <w:p w:rsidR="0061544C" w:rsidRPr="003625FE" w:rsidRDefault="0061544C" w:rsidP="00F90716">
      <w:pPr>
        <w:pStyle w:val="FootnoteText"/>
      </w:pPr>
      <w:r w:rsidRPr="00E07EBA">
        <w:tab/>
      </w:r>
      <w:r w:rsidRPr="003625FE">
        <w:rPr>
          <w:rStyle w:val="FootnoteReference"/>
        </w:rPr>
        <w:footnoteRef/>
      </w:r>
      <w:r w:rsidRPr="00E07EBA">
        <w:tab/>
      </w:r>
      <w:r w:rsidR="004B5D92" w:rsidRPr="00E07EBA">
        <w:t>See general comment No. 31 (2004) on the nature of the general legal obligation imposed on States parties to the Covenant, para. 12.</w:t>
      </w:r>
    </w:p>
  </w:footnote>
  <w:footnote w:id="31">
    <w:p w:rsidR="0061544C" w:rsidRPr="00E07EBA" w:rsidRDefault="0061544C" w:rsidP="003625FE">
      <w:pPr>
        <w:pStyle w:val="FootnoteText"/>
      </w:pPr>
      <w:r w:rsidRPr="00F90716">
        <w:tab/>
      </w:r>
      <w:r w:rsidRPr="003625FE">
        <w:rPr>
          <w:rStyle w:val="FootnoteReference"/>
        </w:rPr>
        <w:footnoteRef/>
      </w:r>
      <w:r w:rsidRPr="00F90716">
        <w:tab/>
        <w:t xml:space="preserve">See </w:t>
      </w:r>
      <w:r w:rsidRPr="003625FE">
        <w:rPr>
          <w:rStyle w:val="Emphasis"/>
        </w:rPr>
        <w:t>mutatis mutạ</w:t>
      </w:r>
      <w:r w:rsidRPr="00F90716">
        <w:rPr>
          <w:rStyle w:val="Emphasis"/>
        </w:rPr>
        <w:t>ndis</w:t>
      </w:r>
      <w:r w:rsidRPr="00E07EBA">
        <w:t xml:space="preserve">, </w:t>
      </w:r>
      <w:r w:rsidRPr="00E07EBA">
        <w:rPr>
          <w:i/>
        </w:rPr>
        <w:t xml:space="preserve">Sufi and Elmi v. </w:t>
      </w:r>
      <w:r w:rsidR="004B5D92" w:rsidRPr="00E07EBA">
        <w:rPr>
          <w:i/>
        </w:rPr>
        <w:t>t</w:t>
      </w:r>
      <w:r w:rsidRPr="00E07EBA">
        <w:rPr>
          <w:i/>
        </w:rPr>
        <w:t xml:space="preserve">he </w:t>
      </w:r>
      <w:r w:rsidR="004B5D92" w:rsidRPr="00E07EBA">
        <w:rPr>
          <w:i/>
        </w:rPr>
        <w:t>United Kingdom</w:t>
      </w:r>
      <w:r w:rsidRPr="00E07EBA">
        <w:t xml:space="preserve"> </w:t>
      </w:r>
      <w:r w:rsidR="004B5D92" w:rsidRPr="00E07EBA">
        <w:t>(a</w:t>
      </w:r>
      <w:r w:rsidRPr="003625FE">
        <w:t xml:space="preserve">pplications nos. </w:t>
      </w:r>
      <w:hyperlink r:id="rId1" w:anchor="{" w:tgtFrame="_blank" w:history="1">
        <w:r w:rsidRPr="003625FE">
          <w:rPr>
            <w:rStyle w:val="Hyperlink"/>
          </w:rPr>
          <w:t>8319/07</w:t>
        </w:r>
      </w:hyperlink>
      <w:r w:rsidRPr="003625FE">
        <w:t xml:space="preserve"> and </w:t>
      </w:r>
      <w:hyperlink r:id="rId2" w:anchor="{" w:tgtFrame="_blank" w:history="1">
        <w:r w:rsidRPr="003625FE">
          <w:rPr>
            <w:rStyle w:val="Hyperlink"/>
          </w:rPr>
          <w:t>11449/07</w:t>
        </w:r>
      </w:hyperlink>
      <w:r w:rsidR="004B5D92" w:rsidRPr="00E07EBA">
        <w:t>)</w:t>
      </w:r>
      <w:r w:rsidRPr="003625FE">
        <w:t xml:space="preserve">, </w:t>
      </w:r>
      <w:r w:rsidR="004B5D92" w:rsidRPr="00E07EBA">
        <w:t xml:space="preserve">judgment of the European Court of Human Rights of 28 June 2011, </w:t>
      </w:r>
      <w:r w:rsidRPr="003625FE">
        <w:t>para</w:t>
      </w:r>
      <w:r w:rsidR="003625FE">
        <w:t>.</w:t>
      </w:r>
      <w:r w:rsidRPr="003625FE">
        <w:t xml:space="preserve"> 214.</w:t>
      </w:r>
    </w:p>
  </w:footnote>
  <w:footnote w:id="32">
    <w:p w:rsidR="0061544C" w:rsidRPr="003625FE" w:rsidRDefault="0061544C" w:rsidP="003625FE">
      <w:pPr>
        <w:pStyle w:val="FootnoteText"/>
        <w:rPr>
          <w:lang w:bidi="he-IL"/>
        </w:rPr>
      </w:pPr>
      <w:r w:rsidRPr="00F90716">
        <w:tab/>
      </w:r>
      <w:r w:rsidRPr="003625FE">
        <w:rPr>
          <w:rStyle w:val="FootnoteReference"/>
        </w:rPr>
        <w:footnoteRef/>
      </w:r>
      <w:r w:rsidRPr="003625FE">
        <w:tab/>
      </w:r>
      <w:r w:rsidRPr="003625FE">
        <w:rPr>
          <w:lang w:bidi="he-IL"/>
        </w:rPr>
        <w:t>See</w:t>
      </w:r>
      <w:r w:rsidR="004B5D92" w:rsidRPr="00E07EBA">
        <w:rPr>
          <w:lang w:bidi="he-IL"/>
        </w:rPr>
        <w:t>,</w:t>
      </w:r>
      <w:r w:rsidRPr="003625FE">
        <w:rPr>
          <w:lang w:bidi="he-IL"/>
        </w:rPr>
        <w:t xml:space="preserve"> </w:t>
      </w:r>
      <w:r w:rsidR="004B5D92" w:rsidRPr="00E07EBA">
        <w:rPr>
          <w:lang w:bidi="he-IL"/>
        </w:rPr>
        <w:t>for example,</w:t>
      </w:r>
      <w:r w:rsidRPr="003625FE">
        <w:rPr>
          <w:lang w:bidi="he-IL"/>
        </w:rPr>
        <w:t xml:space="preserve"> </w:t>
      </w:r>
      <w:r w:rsidR="004B5D92" w:rsidRPr="00E07EBA">
        <w:t>c</w:t>
      </w:r>
      <w:r w:rsidRPr="00E07EBA">
        <w:t>ommunication No. 1222/2003,</w:t>
      </w:r>
      <w:r w:rsidR="004B5D92" w:rsidRPr="00E07EBA">
        <w:t xml:space="preserve"> </w:t>
      </w:r>
      <w:r w:rsidRPr="00E07EBA">
        <w:rPr>
          <w:i/>
        </w:rPr>
        <w:t>Byahuranga v. Denmark</w:t>
      </w:r>
      <w:r w:rsidRPr="00E07EBA">
        <w:t>, Views adopted on 1</w:t>
      </w:r>
      <w:r w:rsidR="003625FE">
        <w:t> </w:t>
      </w:r>
      <w:r w:rsidRPr="00E07EBA">
        <w:t>Nov</w:t>
      </w:r>
      <w:r w:rsidR="004B5D92" w:rsidRPr="00E07EBA">
        <w:t>ember</w:t>
      </w:r>
      <w:r w:rsidRPr="00E07EBA">
        <w:t xml:space="preserve"> 2004, paras. 11.3</w:t>
      </w:r>
      <w:r w:rsidR="004B5D92" w:rsidRPr="00E07EBA">
        <w:t xml:space="preserve"> and </w:t>
      </w:r>
      <w:r w:rsidRPr="00E07EBA">
        <w:t xml:space="preserve">11.4; </w:t>
      </w:r>
      <w:r w:rsidRPr="00F90716">
        <w:t xml:space="preserve">No. 1544/2007, </w:t>
      </w:r>
      <w:r w:rsidRPr="00E07EBA">
        <w:rPr>
          <w:i/>
        </w:rPr>
        <w:t>Hamida v. Canada</w:t>
      </w:r>
      <w:r w:rsidRPr="00E07EBA">
        <w:t>, Views adopted on 18</w:t>
      </w:r>
      <w:r w:rsidR="003625FE">
        <w:t> </w:t>
      </w:r>
      <w:r w:rsidRPr="00E07EBA">
        <w:t xml:space="preserve">March 2010, para. 8.5; </w:t>
      </w:r>
      <w:r w:rsidRPr="003625FE">
        <w:rPr>
          <w:lang w:bidi="he-IL"/>
        </w:rPr>
        <w:t xml:space="preserve">No. 1908/2009, </w:t>
      </w:r>
      <w:r w:rsidRPr="00F90716">
        <w:rPr>
          <w:i/>
          <w:lang w:bidi="he-IL"/>
        </w:rPr>
        <w:t>X</w:t>
      </w:r>
      <w:r w:rsidR="004B5D92" w:rsidRPr="00E07EBA">
        <w:rPr>
          <w:i/>
          <w:lang w:bidi="he-IL"/>
        </w:rPr>
        <w:t>.</w:t>
      </w:r>
      <w:r w:rsidRPr="003625FE">
        <w:rPr>
          <w:i/>
          <w:lang w:bidi="he-IL"/>
        </w:rPr>
        <w:t xml:space="preserve"> v Republic of Korea</w:t>
      </w:r>
      <w:r w:rsidRPr="003625FE">
        <w:rPr>
          <w:lang w:bidi="he-IL"/>
        </w:rPr>
        <w:t xml:space="preserve">, Views adopted on 25 </w:t>
      </w:r>
      <w:r w:rsidR="004B5D92" w:rsidRPr="00E07EBA">
        <w:rPr>
          <w:lang w:bidi="he-IL"/>
        </w:rPr>
        <w:t>March</w:t>
      </w:r>
      <w:r w:rsidRPr="003625FE">
        <w:rPr>
          <w:lang w:bidi="he-IL"/>
        </w:rPr>
        <w:t xml:space="preserve"> 2014, para. 11.5.</w:t>
      </w:r>
    </w:p>
  </w:footnote>
  <w:footnote w:id="33">
    <w:p w:rsidR="0061544C" w:rsidRPr="00E07EBA" w:rsidRDefault="0061544C" w:rsidP="00F90716">
      <w:pPr>
        <w:pStyle w:val="FootnoteText"/>
      </w:pPr>
      <w:r w:rsidRPr="00F90716">
        <w:tab/>
      </w:r>
      <w:r w:rsidRPr="003625FE">
        <w:rPr>
          <w:rStyle w:val="FootnoteReference"/>
        </w:rPr>
        <w:footnoteRef/>
      </w:r>
      <w:r w:rsidRPr="00F90716">
        <w:tab/>
      </w:r>
      <w:r w:rsidRPr="00E07EBA">
        <w:t>See footnote 5 and para</w:t>
      </w:r>
      <w:r w:rsidR="003625FE">
        <w:t>.</w:t>
      </w:r>
      <w:r w:rsidRPr="00E07EBA">
        <w:t xml:space="preserve"> 5.10.</w:t>
      </w:r>
    </w:p>
  </w:footnote>
  <w:footnote w:id="34">
    <w:p w:rsidR="0061544C" w:rsidRPr="00E07EBA" w:rsidRDefault="0061544C" w:rsidP="00F90716">
      <w:pPr>
        <w:pStyle w:val="FootnoteText"/>
      </w:pPr>
      <w:r w:rsidRPr="00F90716">
        <w:tab/>
      </w:r>
      <w:r w:rsidRPr="003625FE">
        <w:rPr>
          <w:rStyle w:val="FootnoteReference"/>
        </w:rPr>
        <w:footnoteRef/>
      </w:r>
      <w:r w:rsidRPr="00F90716">
        <w:tab/>
      </w:r>
      <w:r w:rsidRPr="00E07EBA">
        <w:t>Para</w:t>
      </w:r>
      <w:r w:rsidR="003625FE">
        <w:t>.</w:t>
      </w:r>
      <w:r w:rsidRPr="00E07EBA">
        <w:t xml:space="preserve"> 9.10.</w:t>
      </w:r>
    </w:p>
  </w:footnote>
  <w:footnote w:id="35">
    <w:p w:rsidR="0061544C" w:rsidRPr="003625FE" w:rsidRDefault="0061544C" w:rsidP="00F90716">
      <w:pPr>
        <w:pStyle w:val="FootnoteText"/>
      </w:pPr>
      <w:r w:rsidRPr="00E07EBA">
        <w:tab/>
      </w:r>
      <w:r w:rsidRPr="003625FE">
        <w:rPr>
          <w:rStyle w:val="FootnoteReference"/>
        </w:rPr>
        <w:footnoteRef/>
      </w:r>
      <w:r w:rsidRPr="00E07EBA">
        <w:tab/>
        <w:t>See para</w:t>
      </w:r>
      <w:r w:rsidR="003625FE">
        <w:t>.</w:t>
      </w:r>
      <w:r w:rsidRPr="00E07EBA">
        <w:t xml:space="preserve"> 5.2</w:t>
      </w:r>
      <w:r w:rsidR="003625FE">
        <w:t>.</w:t>
      </w:r>
    </w:p>
  </w:footnote>
  <w:footnote w:id="36">
    <w:p w:rsidR="0061544C" w:rsidRPr="00A62CBA" w:rsidRDefault="0061544C" w:rsidP="00F90716">
      <w:pPr>
        <w:pStyle w:val="FootnoteText"/>
      </w:pPr>
      <w:r w:rsidRPr="00F90716">
        <w:tab/>
      </w:r>
      <w:r w:rsidRPr="003625FE">
        <w:rPr>
          <w:rStyle w:val="FootnoteReference"/>
        </w:rPr>
        <w:footnoteRef/>
      </w:r>
      <w:r w:rsidRPr="00F90716">
        <w:tab/>
      </w:r>
      <w:r w:rsidRPr="00E07EBA">
        <w:t>See para</w:t>
      </w:r>
      <w:r w:rsidR="003625FE">
        <w:t>.</w:t>
      </w:r>
      <w:r w:rsidRPr="00E07EBA">
        <w:t xml:space="preserve"> 3 of this opinion.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4C" w:rsidRPr="00781C83" w:rsidRDefault="0061544C" w:rsidP="00781C83">
    <w:pPr>
      <w:pStyle w:val="Header"/>
    </w:pPr>
    <w:r>
      <w:t>CCPR/C/117/D/2469/2014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4C" w:rsidRPr="00781C83" w:rsidRDefault="0061544C" w:rsidP="00781C83">
    <w:pPr>
      <w:pStyle w:val="Header"/>
      <w:jc w:val="right"/>
    </w:pPr>
    <w:r>
      <w:t>CCPR/C/117/D/2469/2014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B25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611DB9"/>
    <w:multiLevelType w:val="hybridMultilevel"/>
    <w:tmpl w:val="7AF44444"/>
    <w:lvl w:ilvl="0" w:tplc="812A8D9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AC007DB"/>
    <w:multiLevelType w:val="multilevel"/>
    <w:tmpl w:val="A6D0185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45924618"/>
    <w:multiLevelType w:val="multilevel"/>
    <w:tmpl w:val="42A0587E"/>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01E9"/>
    <w:rsid w:val="00001AE9"/>
    <w:rsid w:val="00001C66"/>
    <w:rsid w:val="000026EA"/>
    <w:rsid w:val="000044E2"/>
    <w:rsid w:val="00005379"/>
    <w:rsid w:val="00005BD5"/>
    <w:rsid w:val="0000756B"/>
    <w:rsid w:val="0001224C"/>
    <w:rsid w:val="000150F6"/>
    <w:rsid w:val="0001627B"/>
    <w:rsid w:val="000166B9"/>
    <w:rsid w:val="000170C3"/>
    <w:rsid w:val="000200E9"/>
    <w:rsid w:val="00020142"/>
    <w:rsid w:val="00023024"/>
    <w:rsid w:val="00024454"/>
    <w:rsid w:val="00024522"/>
    <w:rsid w:val="00025D41"/>
    <w:rsid w:val="0002635B"/>
    <w:rsid w:val="000272B3"/>
    <w:rsid w:val="000319D6"/>
    <w:rsid w:val="0003383A"/>
    <w:rsid w:val="0003387B"/>
    <w:rsid w:val="00033B86"/>
    <w:rsid w:val="00033CD0"/>
    <w:rsid w:val="00035062"/>
    <w:rsid w:val="000357B3"/>
    <w:rsid w:val="0003611B"/>
    <w:rsid w:val="00036F3F"/>
    <w:rsid w:val="00037609"/>
    <w:rsid w:val="000377A5"/>
    <w:rsid w:val="0004092D"/>
    <w:rsid w:val="00041994"/>
    <w:rsid w:val="00044037"/>
    <w:rsid w:val="00050F6B"/>
    <w:rsid w:val="00054A4E"/>
    <w:rsid w:val="00055FFE"/>
    <w:rsid w:val="000569F0"/>
    <w:rsid w:val="0005782B"/>
    <w:rsid w:val="00057E97"/>
    <w:rsid w:val="00060C3A"/>
    <w:rsid w:val="00063BDE"/>
    <w:rsid w:val="00066476"/>
    <w:rsid w:val="000673A3"/>
    <w:rsid w:val="00067CCE"/>
    <w:rsid w:val="00067CF3"/>
    <w:rsid w:val="000707D1"/>
    <w:rsid w:val="00072C8C"/>
    <w:rsid w:val="000733B5"/>
    <w:rsid w:val="000771C2"/>
    <w:rsid w:val="00080009"/>
    <w:rsid w:val="00081815"/>
    <w:rsid w:val="00081BF7"/>
    <w:rsid w:val="0008245C"/>
    <w:rsid w:val="000852FA"/>
    <w:rsid w:val="0008593B"/>
    <w:rsid w:val="00090022"/>
    <w:rsid w:val="00090758"/>
    <w:rsid w:val="00091F15"/>
    <w:rsid w:val="000931C0"/>
    <w:rsid w:val="00095F34"/>
    <w:rsid w:val="0009642A"/>
    <w:rsid w:val="000970C1"/>
    <w:rsid w:val="000A2425"/>
    <w:rsid w:val="000A2EE4"/>
    <w:rsid w:val="000A310C"/>
    <w:rsid w:val="000A5559"/>
    <w:rsid w:val="000A69CF"/>
    <w:rsid w:val="000B02C3"/>
    <w:rsid w:val="000B175B"/>
    <w:rsid w:val="000B1788"/>
    <w:rsid w:val="000B1998"/>
    <w:rsid w:val="000B3A0F"/>
    <w:rsid w:val="000B3AA1"/>
    <w:rsid w:val="000B4907"/>
    <w:rsid w:val="000B4EF7"/>
    <w:rsid w:val="000B5EFF"/>
    <w:rsid w:val="000B705A"/>
    <w:rsid w:val="000B7C62"/>
    <w:rsid w:val="000C2AB9"/>
    <w:rsid w:val="000C2C03"/>
    <w:rsid w:val="000C2D2E"/>
    <w:rsid w:val="000C2E06"/>
    <w:rsid w:val="000C46B7"/>
    <w:rsid w:val="000C46E7"/>
    <w:rsid w:val="000C4DA0"/>
    <w:rsid w:val="000C695D"/>
    <w:rsid w:val="000D0ABB"/>
    <w:rsid w:val="000D3D17"/>
    <w:rsid w:val="000D6E0C"/>
    <w:rsid w:val="000E0415"/>
    <w:rsid w:val="000E07B1"/>
    <w:rsid w:val="000E0E8E"/>
    <w:rsid w:val="000E20F8"/>
    <w:rsid w:val="000E29B9"/>
    <w:rsid w:val="000E78C2"/>
    <w:rsid w:val="000F2EF4"/>
    <w:rsid w:val="000F39F9"/>
    <w:rsid w:val="000F6A6B"/>
    <w:rsid w:val="000F7458"/>
    <w:rsid w:val="000F7E69"/>
    <w:rsid w:val="001008DD"/>
    <w:rsid w:val="00102617"/>
    <w:rsid w:val="001037D9"/>
    <w:rsid w:val="001103AA"/>
    <w:rsid w:val="00110F83"/>
    <w:rsid w:val="00112792"/>
    <w:rsid w:val="00112984"/>
    <w:rsid w:val="001133DB"/>
    <w:rsid w:val="001147E8"/>
    <w:rsid w:val="00114E0B"/>
    <w:rsid w:val="0011580E"/>
    <w:rsid w:val="00115BC0"/>
    <w:rsid w:val="00117506"/>
    <w:rsid w:val="0011787A"/>
    <w:rsid w:val="00120FDB"/>
    <w:rsid w:val="001223A2"/>
    <w:rsid w:val="00123712"/>
    <w:rsid w:val="0012433C"/>
    <w:rsid w:val="00125919"/>
    <w:rsid w:val="00127619"/>
    <w:rsid w:val="001306DD"/>
    <w:rsid w:val="00130D48"/>
    <w:rsid w:val="0013108D"/>
    <w:rsid w:val="0013113A"/>
    <w:rsid w:val="00131B64"/>
    <w:rsid w:val="00131D2D"/>
    <w:rsid w:val="0013235B"/>
    <w:rsid w:val="001340B3"/>
    <w:rsid w:val="00136DE8"/>
    <w:rsid w:val="00137249"/>
    <w:rsid w:val="0013726A"/>
    <w:rsid w:val="001375A9"/>
    <w:rsid w:val="00142286"/>
    <w:rsid w:val="00142600"/>
    <w:rsid w:val="001469F4"/>
    <w:rsid w:val="001470F5"/>
    <w:rsid w:val="00151470"/>
    <w:rsid w:val="00152045"/>
    <w:rsid w:val="001529AA"/>
    <w:rsid w:val="00154DA5"/>
    <w:rsid w:val="00157820"/>
    <w:rsid w:val="00157D19"/>
    <w:rsid w:val="00160036"/>
    <w:rsid w:val="00161364"/>
    <w:rsid w:val="00161D02"/>
    <w:rsid w:val="00162DB2"/>
    <w:rsid w:val="0016419F"/>
    <w:rsid w:val="00164C92"/>
    <w:rsid w:val="00165F3A"/>
    <w:rsid w:val="00166183"/>
    <w:rsid w:val="00166C9F"/>
    <w:rsid w:val="00170DDB"/>
    <w:rsid w:val="0017125E"/>
    <w:rsid w:val="00171827"/>
    <w:rsid w:val="001721A9"/>
    <w:rsid w:val="0017277A"/>
    <w:rsid w:val="00174528"/>
    <w:rsid w:val="001756D6"/>
    <w:rsid w:val="001758E2"/>
    <w:rsid w:val="001762F0"/>
    <w:rsid w:val="00176D6B"/>
    <w:rsid w:val="001771AE"/>
    <w:rsid w:val="00177957"/>
    <w:rsid w:val="00181F7C"/>
    <w:rsid w:val="0018309A"/>
    <w:rsid w:val="00183968"/>
    <w:rsid w:val="001844A0"/>
    <w:rsid w:val="0018481A"/>
    <w:rsid w:val="00185919"/>
    <w:rsid w:val="001868A7"/>
    <w:rsid w:val="00187127"/>
    <w:rsid w:val="0018753A"/>
    <w:rsid w:val="001878F1"/>
    <w:rsid w:val="001905FB"/>
    <w:rsid w:val="001912DB"/>
    <w:rsid w:val="00191845"/>
    <w:rsid w:val="00195E21"/>
    <w:rsid w:val="001965C0"/>
    <w:rsid w:val="00196CDF"/>
    <w:rsid w:val="001A09DE"/>
    <w:rsid w:val="001A2C08"/>
    <w:rsid w:val="001A32CB"/>
    <w:rsid w:val="001A4429"/>
    <w:rsid w:val="001A6461"/>
    <w:rsid w:val="001A660B"/>
    <w:rsid w:val="001A6686"/>
    <w:rsid w:val="001A67B5"/>
    <w:rsid w:val="001A7125"/>
    <w:rsid w:val="001A723C"/>
    <w:rsid w:val="001A7E43"/>
    <w:rsid w:val="001B1F21"/>
    <w:rsid w:val="001B3619"/>
    <w:rsid w:val="001B4041"/>
    <w:rsid w:val="001B4485"/>
    <w:rsid w:val="001B46C5"/>
    <w:rsid w:val="001B4B04"/>
    <w:rsid w:val="001B7017"/>
    <w:rsid w:val="001B7D22"/>
    <w:rsid w:val="001C3320"/>
    <w:rsid w:val="001C4471"/>
    <w:rsid w:val="001C5BED"/>
    <w:rsid w:val="001C657F"/>
    <w:rsid w:val="001C6663"/>
    <w:rsid w:val="001C7895"/>
    <w:rsid w:val="001C7D37"/>
    <w:rsid w:val="001D0C8C"/>
    <w:rsid w:val="001D25DE"/>
    <w:rsid w:val="001D26DF"/>
    <w:rsid w:val="001D32E3"/>
    <w:rsid w:val="001D3743"/>
    <w:rsid w:val="001D3A03"/>
    <w:rsid w:val="001D52A1"/>
    <w:rsid w:val="001D5F2D"/>
    <w:rsid w:val="001D6813"/>
    <w:rsid w:val="001E10EC"/>
    <w:rsid w:val="001E2B4C"/>
    <w:rsid w:val="001E38F3"/>
    <w:rsid w:val="001E4617"/>
    <w:rsid w:val="001E48A9"/>
    <w:rsid w:val="001E6148"/>
    <w:rsid w:val="001E718D"/>
    <w:rsid w:val="001E77C3"/>
    <w:rsid w:val="001E7AF9"/>
    <w:rsid w:val="001F0720"/>
    <w:rsid w:val="001F08A3"/>
    <w:rsid w:val="001F0F1A"/>
    <w:rsid w:val="001F11EA"/>
    <w:rsid w:val="001F3407"/>
    <w:rsid w:val="00202DA8"/>
    <w:rsid w:val="002069CC"/>
    <w:rsid w:val="00211E0B"/>
    <w:rsid w:val="00213E21"/>
    <w:rsid w:val="00215778"/>
    <w:rsid w:val="00217D74"/>
    <w:rsid w:val="00220677"/>
    <w:rsid w:val="0022258C"/>
    <w:rsid w:val="00222689"/>
    <w:rsid w:val="00224AED"/>
    <w:rsid w:val="0022501D"/>
    <w:rsid w:val="002252DE"/>
    <w:rsid w:val="002256A1"/>
    <w:rsid w:val="002272BD"/>
    <w:rsid w:val="0023020A"/>
    <w:rsid w:val="00230D7F"/>
    <w:rsid w:val="002314F8"/>
    <w:rsid w:val="0023210C"/>
    <w:rsid w:val="00232334"/>
    <w:rsid w:val="00232447"/>
    <w:rsid w:val="0023367F"/>
    <w:rsid w:val="00233707"/>
    <w:rsid w:val="00235021"/>
    <w:rsid w:val="002361D0"/>
    <w:rsid w:val="00240564"/>
    <w:rsid w:val="00240606"/>
    <w:rsid w:val="00240F4B"/>
    <w:rsid w:val="00242753"/>
    <w:rsid w:val="00247D69"/>
    <w:rsid w:val="00250292"/>
    <w:rsid w:val="0025162E"/>
    <w:rsid w:val="0025487E"/>
    <w:rsid w:val="00256B6A"/>
    <w:rsid w:val="002633B3"/>
    <w:rsid w:val="002650C2"/>
    <w:rsid w:val="002656E9"/>
    <w:rsid w:val="00265CF8"/>
    <w:rsid w:val="00266AB4"/>
    <w:rsid w:val="00266EB7"/>
    <w:rsid w:val="00267F5F"/>
    <w:rsid w:val="00271484"/>
    <w:rsid w:val="0027243E"/>
    <w:rsid w:val="00272A54"/>
    <w:rsid w:val="002735C5"/>
    <w:rsid w:val="00273B14"/>
    <w:rsid w:val="002748ED"/>
    <w:rsid w:val="00276AA6"/>
    <w:rsid w:val="00281144"/>
    <w:rsid w:val="00281E28"/>
    <w:rsid w:val="00282899"/>
    <w:rsid w:val="0028489A"/>
    <w:rsid w:val="002863A9"/>
    <w:rsid w:val="00286B4D"/>
    <w:rsid w:val="00286FB9"/>
    <w:rsid w:val="00292F7D"/>
    <w:rsid w:val="0029316F"/>
    <w:rsid w:val="0029365C"/>
    <w:rsid w:val="00293B90"/>
    <w:rsid w:val="002947B4"/>
    <w:rsid w:val="00296530"/>
    <w:rsid w:val="002A00B8"/>
    <w:rsid w:val="002A0E62"/>
    <w:rsid w:val="002A0FD4"/>
    <w:rsid w:val="002A1243"/>
    <w:rsid w:val="002A3CBA"/>
    <w:rsid w:val="002A4B67"/>
    <w:rsid w:val="002A61CB"/>
    <w:rsid w:val="002A728F"/>
    <w:rsid w:val="002B1BB5"/>
    <w:rsid w:val="002B3B76"/>
    <w:rsid w:val="002B3F1E"/>
    <w:rsid w:val="002B3FAD"/>
    <w:rsid w:val="002B43F1"/>
    <w:rsid w:val="002B44C4"/>
    <w:rsid w:val="002C06BA"/>
    <w:rsid w:val="002C07F5"/>
    <w:rsid w:val="002C2E76"/>
    <w:rsid w:val="002C311F"/>
    <w:rsid w:val="002C3376"/>
    <w:rsid w:val="002C3BF8"/>
    <w:rsid w:val="002C4E77"/>
    <w:rsid w:val="002C5BCD"/>
    <w:rsid w:val="002D18B7"/>
    <w:rsid w:val="002D1C16"/>
    <w:rsid w:val="002D2450"/>
    <w:rsid w:val="002D3AF5"/>
    <w:rsid w:val="002D3DF6"/>
    <w:rsid w:val="002D49ED"/>
    <w:rsid w:val="002D4CB1"/>
    <w:rsid w:val="002D76B1"/>
    <w:rsid w:val="002E1084"/>
    <w:rsid w:val="002E4963"/>
    <w:rsid w:val="002E52B1"/>
    <w:rsid w:val="002E595E"/>
    <w:rsid w:val="002E5C99"/>
    <w:rsid w:val="002E69AE"/>
    <w:rsid w:val="002E7513"/>
    <w:rsid w:val="002F039C"/>
    <w:rsid w:val="002F175C"/>
    <w:rsid w:val="002F1942"/>
    <w:rsid w:val="002F4557"/>
    <w:rsid w:val="002F4621"/>
    <w:rsid w:val="002F5159"/>
    <w:rsid w:val="002F582A"/>
    <w:rsid w:val="0030138D"/>
    <w:rsid w:val="003023AA"/>
    <w:rsid w:val="00303489"/>
    <w:rsid w:val="003049A5"/>
    <w:rsid w:val="00306124"/>
    <w:rsid w:val="00307164"/>
    <w:rsid w:val="00307884"/>
    <w:rsid w:val="0031288D"/>
    <w:rsid w:val="00313386"/>
    <w:rsid w:val="003134AC"/>
    <w:rsid w:val="0031721B"/>
    <w:rsid w:val="00317544"/>
    <w:rsid w:val="00320E07"/>
    <w:rsid w:val="0032230D"/>
    <w:rsid w:val="003229D8"/>
    <w:rsid w:val="00323632"/>
    <w:rsid w:val="00327502"/>
    <w:rsid w:val="00331F5B"/>
    <w:rsid w:val="00332F91"/>
    <w:rsid w:val="003331FA"/>
    <w:rsid w:val="0033367D"/>
    <w:rsid w:val="00333A3C"/>
    <w:rsid w:val="00335D53"/>
    <w:rsid w:val="00335DD7"/>
    <w:rsid w:val="003365FF"/>
    <w:rsid w:val="00337E8A"/>
    <w:rsid w:val="00340A69"/>
    <w:rsid w:val="00341043"/>
    <w:rsid w:val="00341E55"/>
    <w:rsid w:val="00344919"/>
    <w:rsid w:val="003450A5"/>
    <w:rsid w:val="00345647"/>
    <w:rsid w:val="003464FF"/>
    <w:rsid w:val="00346A8D"/>
    <w:rsid w:val="00347AD0"/>
    <w:rsid w:val="00351398"/>
    <w:rsid w:val="00352709"/>
    <w:rsid w:val="00352774"/>
    <w:rsid w:val="003530F4"/>
    <w:rsid w:val="00354AA8"/>
    <w:rsid w:val="00357C1D"/>
    <w:rsid w:val="003603CB"/>
    <w:rsid w:val="0036129D"/>
    <w:rsid w:val="003625FE"/>
    <w:rsid w:val="00363A98"/>
    <w:rsid w:val="00364DDF"/>
    <w:rsid w:val="0036645D"/>
    <w:rsid w:val="003667AD"/>
    <w:rsid w:val="00367567"/>
    <w:rsid w:val="00367599"/>
    <w:rsid w:val="003705C9"/>
    <w:rsid w:val="00371095"/>
    <w:rsid w:val="00371178"/>
    <w:rsid w:val="0037301C"/>
    <w:rsid w:val="003730DD"/>
    <w:rsid w:val="0037429D"/>
    <w:rsid w:val="00375119"/>
    <w:rsid w:val="00376720"/>
    <w:rsid w:val="00377828"/>
    <w:rsid w:val="00377C66"/>
    <w:rsid w:val="0038000B"/>
    <w:rsid w:val="003803FA"/>
    <w:rsid w:val="003823CB"/>
    <w:rsid w:val="00382A62"/>
    <w:rsid w:val="00383063"/>
    <w:rsid w:val="0038336C"/>
    <w:rsid w:val="00384F90"/>
    <w:rsid w:val="00385C53"/>
    <w:rsid w:val="00386624"/>
    <w:rsid w:val="00387ECB"/>
    <w:rsid w:val="003903FC"/>
    <w:rsid w:val="003909E7"/>
    <w:rsid w:val="00392947"/>
    <w:rsid w:val="0039347E"/>
    <w:rsid w:val="003954DB"/>
    <w:rsid w:val="003A123C"/>
    <w:rsid w:val="003A1602"/>
    <w:rsid w:val="003A323D"/>
    <w:rsid w:val="003A325A"/>
    <w:rsid w:val="003A46E4"/>
    <w:rsid w:val="003A563F"/>
    <w:rsid w:val="003A6810"/>
    <w:rsid w:val="003A6EFA"/>
    <w:rsid w:val="003A70FC"/>
    <w:rsid w:val="003A729C"/>
    <w:rsid w:val="003A7AF2"/>
    <w:rsid w:val="003B0CAE"/>
    <w:rsid w:val="003B6B4C"/>
    <w:rsid w:val="003C02AB"/>
    <w:rsid w:val="003C2CC4"/>
    <w:rsid w:val="003C46C3"/>
    <w:rsid w:val="003C4946"/>
    <w:rsid w:val="003C6B59"/>
    <w:rsid w:val="003C730E"/>
    <w:rsid w:val="003D1C5A"/>
    <w:rsid w:val="003D2795"/>
    <w:rsid w:val="003D29D2"/>
    <w:rsid w:val="003D3315"/>
    <w:rsid w:val="003D3751"/>
    <w:rsid w:val="003D3E59"/>
    <w:rsid w:val="003D4B23"/>
    <w:rsid w:val="003D52B0"/>
    <w:rsid w:val="003D71B8"/>
    <w:rsid w:val="003D741E"/>
    <w:rsid w:val="003E2BA4"/>
    <w:rsid w:val="003E4173"/>
    <w:rsid w:val="003E5BED"/>
    <w:rsid w:val="003E6A36"/>
    <w:rsid w:val="003E6F7E"/>
    <w:rsid w:val="003E75F0"/>
    <w:rsid w:val="003E79B5"/>
    <w:rsid w:val="003F75C9"/>
    <w:rsid w:val="00401F18"/>
    <w:rsid w:val="00403F4E"/>
    <w:rsid w:val="00405473"/>
    <w:rsid w:val="00406CF0"/>
    <w:rsid w:val="00407E6B"/>
    <w:rsid w:val="00410C89"/>
    <w:rsid w:val="00414167"/>
    <w:rsid w:val="00414931"/>
    <w:rsid w:val="00414B35"/>
    <w:rsid w:val="00414F92"/>
    <w:rsid w:val="004227C0"/>
    <w:rsid w:val="004237D6"/>
    <w:rsid w:val="00426B9B"/>
    <w:rsid w:val="0043003F"/>
    <w:rsid w:val="004312CA"/>
    <w:rsid w:val="00431396"/>
    <w:rsid w:val="004325CB"/>
    <w:rsid w:val="0043469F"/>
    <w:rsid w:val="004350E7"/>
    <w:rsid w:val="004353FF"/>
    <w:rsid w:val="00436972"/>
    <w:rsid w:val="00436B33"/>
    <w:rsid w:val="00436E7E"/>
    <w:rsid w:val="00437253"/>
    <w:rsid w:val="0044050D"/>
    <w:rsid w:val="00442A83"/>
    <w:rsid w:val="00442C9D"/>
    <w:rsid w:val="00442EB6"/>
    <w:rsid w:val="004443A4"/>
    <w:rsid w:val="00445790"/>
    <w:rsid w:val="00445A57"/>
    <w:rsid w:val="00446ABC"/>
    <w:rsid w:val="00450D0E"/>
    <w:rsid w:val="00450F64"/>
    <w:rsid w:val="004526FE"/>
    <w:rsid w:val="0045285D"/>
    <w:rsid w:val="0045495B"/>
    <w:rsid w:val="00455C43"/>
    <w:rsid w:val="004607BF"/>
    <w:rsid w:val="0046175C"/>
    <w:rsid w:val="00463A2A"/>
    <w:rsid w:val="0046436D"/>
    <w:rsid w:val="00464446"/>
    <w:rsid w:val="004653C7"/>
    <w:rsid w:val="0046542E"/>
    <w:rsid w:val="00466B4C"/>
    <w:rsid w:val="00466FA4"/>
    <w:rsid w:val="00467A53"/>
    <w:rsid w:val="0047173A"/>
    <w:rsid w:val="004736B4"/>
    <w:rsid w:val="00473963"/>
    <w:rsid w:val="00474FAD"/>
    <w:rsid w:val="00476073"/>
    <w:rsid w:val="00476604"/>
    <w:rsid w:val="00476F45"/>
    <w:rsid w:val="00480BAE"/>
    <w:rsid w:val="00481CB1"/>
    <w:rsid w:val="00483777"/>
    <w:rsid w:val="00484A40"/>
    <w:rsid w:val="00485130"/>
    <w:rsid w:val="00487488"/>
    <w:rsid w:val="00487FB8"/>
    <w:rsid w:val="0049052C"/>
    <w:rsid w:val="00491B1C"/>
    <w:rsid w:val="0049219B"/>
    <w:rsid w:val="00492BE2"/>
    <w:rsid w:val="00494183"/>
    <w:rsid w:val="0049418F"/>
    <w:rsid w:val="00494D6A"/>
    <w:rsid w:val="00495924"/>
    <w:rsid w:val="00495A34"/>
    <w:rsid w:val="0049774B"/>
    <w:rsid w:val="00497CBC"/>
    <w:rsid w:val="004A2789"/>
    <w:rsid w:val="004A28A7"/>
    <w:rsid w:val="004A3E34"/>
    <w:rsid w:val="004A4E95"/>
    <w:rsid w:val="004B256A"/>
    <w:rsid w:val="004B33B9"/>
    <w:rsid w:val="004B455D"/>
    <w:rsid w:val="004B5D92"/>
    <w:rsid w:val="004C2CAF"/>
    <w:rsid w:val="004C3D90"/>
    <w:rsid w:val="004C55DD"/>
    <w:rsid w:val="004C65F8"/>
    <w:rsid w:val="004D0446"/>
    <w:rsid w:val="004D5BD1"/>
    <w:rsid w:val="004E15CC"/>
    <w:rsid w:val="004E52CA"/>
    <w:rsid w:val="004E6A23"/>
    <w:rsid w:val="004E7047"/>
    <w:rsid w:val="004E7226"/>
    <w:rsid w:val="004F1D45"/>
    <w:rsid w:val="004F286C"/>
    <w:rsid w:val="004F36C2"/>
    <w:rsid w:val="004F5078"/>
    <w:rsid w:val="004F56B6"/>
    <w:rsid w:val="005007C9"/>
    <w:rsid w:val="00500844"/>
    <w:rsid w:val="0050328D"/>
    <w:rsid w:val="00505D08"/>
    <w:rsid w:val="005062DA"/>
    <w:rsid w:val="00507DE8"/>
    <w:rsid w:val="0051203C"/>
    <w:rsid w:val="005125F0"/>
    <w:rsid w:val="005137AD"/>
    <w:rsid w:val="005167F1"/>
    <w:rsid w:val="00517A25"/>
    <w:rsid w:val="00520190"/>
    <w:rsid w:val="00520400"/>
    <w:rsid w:val="0052136D"/>
    <w:rsid w:val="00522575"/>
    <w:rsid w:val="005232E6"/>
    <w:rsid w:val="00525203"/>
    <w:rsid w:val="00525395"/>
    <w:rsid w:val="0052775E"/>
    <w:rsid w:val="005312EF"/>
    <w:rsid w:val="00532057"/>
    <w:rsid w:val="00533667"/>
    <w:rsid w:val="00533FA3"/>
    <w:rsid w:val="005409DC"/>
    <w:rsid w:val="00540F02"/>
    <w:rsid w:val="0054109A"/>
    <w:rsid w:val="0054150C"/>
    <w:rsid w:val="005420F2"/>
    <w:rsid w:val="00542BB5"/>
    <w:rsid w:val="00543575"/>
    <w:rsid w:val="00546665"/>
    <w:rsid w:val="00550D3B"/>
    <w:rsid w:val="00555470"/>
    <w:rsid w:val="00560BA5"/>
    <w:rsid w:val="00561902"/>
    <w:rsid w:val="005619D1"/>
    <w:rsid w:val="00561B68"/>
    <w:rsid w:val="005628B6"/>
    <w:rsid w:val="005640D1"/>
    <w:rsid w:val="00564714"/>
    <w:rsid w:val="0056473A"/>
    <w:rsid w:val="00565BE7"/>
    <w:rsid w:val="0056624F"/>
    <w:rsid w:val="00567011"/>
    <w:rsid w:val="005722B3"/>
    <w:rsid w:val="00573284"/>
    <w:rsid w:val="0057585A"/>
    <w:rsid w:val="0057598A"/>
    <w:rsid w:val="00575BA3"/>
    <w:rsid w:val="005768BB"/>
    <w:rsid w:val="005770B9"/>
    <w:rsid w:val="00577E84"/>
    <w:rsid w:val="005848B3"/>
    <w:rsid w:val="005909E6"/>
    <w:rsid w:val="00590F87"/>
    <w:rsid w:val="005918DF"/>
    <w:rsid w:val="00591A9E"/>
    <w:rsid w:val="00592C4A"/>
    <w:rsid w:val="005A0415"/>
    <w:rsid w:val="005A1339"/>
    <w:rsid w:val="005A23CB"/>
    <w:rsid w:val="005A2ACD"/>
    <w:rsid w:val="005A610E"/>
    <w:rsid w:val="005A688A"/>
    <w:rsid w:val="005B0971"/>
    <w:rsid w:val="005B09AE"/>
    <w:rsid w:val="005B15AD"/>
    <w:rsid w:val="005B2E24"/>
    <w:rsid w:val="005B38A5"/>
    <w:rsid w:val="005B3DB3"/>
    <w:rsid w:val="005B46C1"/>
    <w:rsid w:val="005B4B88"/>
    <w:rsid w:val="005B4F61"/>
    <w:rsid w:val="005B6047"/>
    <w:rsid w:val="005C064D"/>
    <w:rsid w:val="005C11C1"/>
    <w:rsid w:val="005C176E"/>
    <w:rsid w:val="005C1C11"/>
    <w:rsid w:val="005C2131"/>
    <w:rsid w:val="005C223E"/>
    <w:rsid w:val="005C3AC5"/>
    <w:rsid w:val="005C413D"/>
    <w:rsid w:val="005C4A9E"/>
    <w:rsid w:val="005C5103"/>
    <w:rsid w:val="005C5DF3"/>
    <w:rsid w:val="005C6EDB"/>
    <w:rsid w:val="005D0679"/>
    <w:rsid w:val="005D32AF"/>
    <w:rsid w:val="005D5721"/>
    <w:rsid w:val="005D5AF5"/>
    <w:rsid w:val="005D7CB5"/>
    <w:rsid w:val="005E021C"/>
    <w:rsid w:val="005E1A5E"/>
    <w:rsid w:val="005E2F71"/>
    <w:rsid w:val="005E333B"/>
    <w:rsid w:val="005E3CA4"/>
    <w:rsid w:val="005E4A9A"/>
    <w:rsid w:val="005E5626"/>
    <w:rsid w:val="005E5805"/>
    <w:rsid w:val="005E783D"/>
    <w:rsid w:val="005E7BDB"/>
    <w:rsid w:val="005F1320"/>
    <w:rsid w:val="005F3468"/>
    <w:rsid w:val="005F527D"/>
    <w:rsid w:val="005F5699"/>
    <w:rsid w:val="005F7717"/>
    <w:rsid w:val="005F7B75"/>
    <w:rsid w:val="005F7F93"/>
    <w:rsid w:val="006001B0"/>
    <w:rsid w:val="006001EE"/>
    <w:rsid w:val="0060044E"/>
    <w:rsid w:val="00605042"/>
    <w:rsid w:val="00606163"/>
    <w:rsid w:val="00606617"/>
    <w:rsid w:val="00607BC1"/>
    <w:rsid w:val="00607DFA"/>
    <w:rsid w:val="00610758"/>
    <w:rsid w:val="006108E0"/>
    <w:rsid w:val="00611FC4"/>
    <w:rsid w:val="00613B1A"/>
    <w:rsid w:val="00613FE0"/>
    <w:rsid w:val="006148AF"/>
    <w:rsid w:val="0061544C"/>
    <w:rsid w:val="006160CB"/>
    <w:rsid w:val="006176FB"/>
    <w:rsid w:val="00622476"/>
    <w:rsid w:val="006239C9"/>
    <w:rsid w:val="00623FD3"/>
    <w:rsid w:val="0062462D"/>
    <w:rsid w:val="0062630E"/>
    <w:rsid w:val="0062645D"/>
    <w:rsid w:val="006274AD"/>
    <w:rsid w:val="00627FB0"/>
    <w:rsid w:val="00631C31"/>
    <w:rsid w:val="006321A4"/>
    <w:rsid w:val="006328EC"/>
    <w:rsid w:val="00632E25"/>
    <w:rsid w:val="0063379B"/>
    <w:rsid w:val="00635DDA"/>
    <w:rsid w:val="006362BD"/>
    <w:rsid w:val="00640B26"/>
    <w:rsid w:val="00640C76"/>
    <w:rsid w:val="006411AF"/>
    <w:rsid w:val="00641231"/>
    <w:rsid w:val="006427DB"/>
    <w:rsid w:val="0064330C"/>
    <w:rsid w:val="00645379"/>
    <w:rsid w:val="00645949"/>
    <w:rsid w:val="00645BF6"/>
    <w:rsid w:val="006500A8"/>
    <w:rsid w:val="006507CD"/>
    <w:rsid w:val="006509F9"/>
    <w:rsid w:val="00652D0A"/>
    <w:rsid w:val="00653DBF"/>
    <w:rsid w:val="00654447"/>
    <w:rsid w:val="006566CD"/>
    <w:rsid w:val="00657CBA"/>
    <w:rsid w:val="00660559"/>
    <w:rsid w:val="00660F12"/>
    <w:rsid w:val="006626CE"/>
    <w:rsid w:val="00662BB6"/>
    <w:rsid w:val="006637A4"/>
    <w:rsid w:val="00663A05"/>
    <w:rsid w:val="006675A7"/>
    <w:rsid w:val="00671948"/>
    <w:rsid w:val="00672110"/>
    <w:rsid w:val="006743E9"/>
    <w:rsid w:val="00674D65"/>
    <w:rsid w:val="006806C0"/>
    <w:rsid w:val="00681678"/>
    <w:rsid w:val="00681702"/>
    <w:rsid w:val="00682284"/>
    <w:rsid w:val="0068232B"/>
    <w:rsid w:val="006838C8"/>
    <w:rsid w:val="00684C21"/>
    <w:rsid w:val="00685B12"/>
    <w:rsid w:val="00685FA6"/>
    <w:rsid w:val="00686C0D"/>
    <w:rsid w:val="0068724A"/>
    <w:rsid w:val="0068743C"/>
    <w:rsid w:val="00690B05"/>
    <w:rsid w:val="00692BBE"/>
    <w:rsid w:val="00692F62"/>
    <w:rsid w:val="00694AE6"/>
    <w:rsid w:val="006954C6"/>
    <w:rsid w:val="00695991"/>
    <w:rsid w:val="00696006"/>
    <w:rsid w:val="00697145"/>
    <w:rsid w:val="0069763E"/>
    <w:rsid w:val="00697F3E"/>
    <w:rsid w:val="006A0634"/>
    <w:rsid w:val="006A2079"/>
    <w:rsid w:val="006B346D"/>
    <w:rsid w:val="006B4FA2"/>
    <w:rsid w:val="006B58E5"/>
    <w:rsid w:val="006C0435"/>
    <w:rsid w:val="006C05C1"/>
    <w:rsid w:val="006C0C74"/>
    <w:rsid w:val="006C3AD1"/>
    <w:rsid w:val="006C65A6"/>
    <w:rsid w:val="006D0125"/>
    <w:rsid w:val="006D168C"/>
    <w:rsid w:val="006D37AF"/>
    <w:rsid w:val="006D4701"/>
    <w:rsid w:val="006D51D0"/>
    <w:rsid w:val="006D53C0"/>
    <w:rsid w:val="006E1B74"/>
    <w:rsid w:val="006E212F"/>
    <w:rsid w:val="006E3781"/>
    <w:rsid w:val="006E564B"/>
    <w:rsid w:val="006E5A29"/>
    <w:rsid w:val="006E6C46"/>
    <w:rsid w:val="006E7191"/>
    <w:rsid w:val="006E7196"/>
    <w:rsid w:val="006F1433"/>
    <w:rsid w:val="006F30DF"/>
    <w:rsid w:val="006F464F"/>
    <w:rsid w:val="006F48FF"/>
    <w:rsid w:val="006F4B86"/>
    <w:rsid w:val="006F52C5"/>
    <w:rsid w:val="006F6515"/>
    <w:rsid w:val="0070170D"/>
    <w:rsid w:val="00703577"/>
    <w:rsid w:val="007042EC"/>
    <w:rsid w:val="00705625"/>
    <w:rsid w:val="00705752"/>
    <w:rsid w:val="00707DC0"/>
    <w:rsid w:val="0071171F"/>
    <w:rsid w:val="007117A8"/>
    <w:rsid w:val="00711F00"/>
    <w:rsid w:val="00712A45"/>
    <w:rsid w:val="00713C74"/>
    <w:rsid w:val="00715DDD"/>
    <w:rsid w:val="00716EC7"/>
    <w:rsid w:val="00717ADC"/>
    <w:rsid w:val="00717CAD"/>
    <w:rsid w:val="00717F03"/>
    <w:rsid w:val="0072050A"/>
    <w:rsid w:val="00721D83"/>
    <w:rsid w:val="0072328C"/>
    <w:rsid w:val="00723942"/>
    <w:rsid w:val="0072632A"/>
    <w:rsid w:val="007264CC"/>
    <w:rsid w:val="00726A48"/>
    <w:rsid w:val="00727C31"/>
    <w:rsid w:val="00731946"/>
    <w:rsid w:val="007327D5"/>
    <w:rsid w:val="00732C60"/>
    <w:rsid w:val="007334A8"/>
    <w:rsid w:val="00734ABE"/>
    <w:rsid w:val="00735A49"/>
    <w:rsid w:val="00735CA1"/>
    <w:rsid w:val="00735F4E"/>
    <w:rsid w:val="00736EAD"/>
    <w:rsid w:val="0074058B"/>
    <w:rsid w:val="007435F7"/>
    <w:rsid w:val="007449A6"/>
    <w:rsid w:val="0074537D"/>
    <w:rsid w:val="007463A2"/>
    <w:rsid w:val="00746750"/>
    <w:rsid w:val="00746D61"/>
    <w:rsid w:val="007509EB"/>
    <w:rsid w:val="00750FC5"/>
    <w:rsid w:val="0075395D"/>
    <w:rsid w:val="00760B80"/>
    <w:rsid w:val="00762878"/>
    <w:rsid w:val="00762922"/>
    <w:rsid w:val="007629C8"/>
    <w:rsid w:val="00762E39"/>
    <w:rsid w:val="007635DF"/>
    <w:rsid w:val="00764972"/>
    <w:rsid w:val="007661CD"/>
    <w:rsid w:val="007734FC"/>
    <w:rsid w:val="007740F1"/>
    <w:rsid w:val="00775B26"/>
    <w:rsid w:val="00776E5E"/>
    <w:rsid w:val="00777322"/>
    <w:rsid w:val="007800F4"/>
    <w:rsid w:val="00781373"/>
    <w:rsid w:val="00781C83"/>
    <w:rsid w:val="007826F4"/>
    <w:rsid w:val="0078300D"/>
    <w:rsid w:val="007854DE"/>
    <w:rsid w:val="00785DB2"/>
    <w:rsid w:val="0078601B"/>
    <w:rsid w:val="0078676D"/>
    <w:rsid w:val="00787E5D"/>
    <w:rsid w:val="0079034E"/>
    <w:rsid w:val="00792116"/>
    <w:rsid w:val="0079547E"/>
    <w:rsid w:val="00795788"/>
    <w:rsid w:val="0079681E"/>
    <w:rsid w:val="00797BA1"/>
    <w:rsid w:val="007A1C99"/>
    <w:rsid w:val="007A212F"/>
    <w:rsid w:val="007A2138"/>
    <w:rsid w:val="007A23F3"/>
    <w:rsid w:val="007A36C9"/>
    <w:rsid w:val="007A6642"/>
    <w:rsid w:val="007A7E83"/>
    <w:rsid w:val="007B14A0"/>
    <w:rsid w:val="007B3302"/>
    <w:rsid w:val="007B5E7F"/>
    <w:rsid w:val="007B6311"/>
    <w:rsid w:val="007B6BA5"/>
    <w:rsid w:val="007B7842"/>
    <w:rsid w:val="007C1241"/>
    <w:rsid w:val="007C296F"/>
    <w:rsid w:val="007C3390"/>
    <w:rsid w:val="007C397E"/>
    <w:rsid w:val="007C3FFB"/>
    <w:rsid w:val="007C4F4B"/>
    <w:rsid w:val="007C55BE"/>
    <w:rsid w:val="007C5D6F"/>
    <w:rsid w:val="007C784F"/>
    <w:rsid w:val="007D00CF"/>
    <w:rsid w:val="007D2684"/>
    <w:rsid w:val="007D564F"/>
    <w:rsid w:val="007E0410"/>
    <w:rsid w:val="007E0B2D"/>
    <w:rsid w:val="007E0ED5"/>
    <w:rsid w:val="007E2CC8"/>
    <w:rsid w:val="007E4594"/>
    <w:rsid w:val="007E4BBE"/>
    <w:rsid w:val="007E533F"/>
    <w:rsid w:val="007E5EA4"/>
    <w:rsid w:val="007E7824"/>
    <w:rsid w:val="007E7E46"/>
    <w:rsid w:val="007F098E"/>
    <w:rsid w:val="007F12FC"/>
    <w:rsid w:val="007F2396"/>
    <w:rsid w:val="007F2D0D"/>
    <w:rsid w:val="007F2EE2"/>
    <w:rsid w:val="007F3A2C"/>
    <w:rsid w:val="007F4853"/>
    <w:rsid w:val="007F6611"/>
    <w:rsid w:val="00800692"/>
    <w:rsid w:val="00800EB9"/>
    <w:rsid w:val="00803B4A"/>
    <w:rsid w:val="0080502F"/>
    <w:rsid w:val="00805663"/>
    <w:rsid w:val="0081043C"/>
    <w:rsid w:val="008105B8"/>
    <w:rsid w:val="0081060C"/>
    <w:rsid w:val="00811D06"/>
    <w:rsid w:val="008123D2"/>
    <w:rsid w:val="00812971"/>
    <w:rsid w:val="00813327"/>
    <w:rsid w:val="008146B2"/>
    <w:rsid w:val="00816972"/>
    <w:rsid w:val="00816E23"/>
    <w:rsid w:val="00816EE0"/>
    <w:rsid w:val="00817902"/>
    <w:rsid w:val="00817A02"/>
    <w:rsid w:val="008216A5"/>
    <w:rsid w:val="00821A8D"/>
    <w:rsid w:val="008240EE"/>
    <w:rsid w:val="008242D7"/>
    <w:rsid w:val="00824C73"/>
    <w:rsid w:val="00824FE2"/>
    <w:rsid w:val="00825546"/>
    <w:rsid w:val="00825659"/>
    <w:rsid w:val="008257B1"/>
    <w:rsid w:val="008277F1"/>
    <w:rsid w:val="00830FF4"/>
    <w:rsid w:val="0083185A"/>
    <w:rsid w:val="00833370"/>
    <w:rsid w:val="008360B7"/>
    <w:rsid w:val="008379A8"/>
    <w:rsid w:val="00837FFB"/>
    <w:rsid w:val="008406D2"/>
    <w:rsid w:val="0084126F"/>
    <w:rsid w:val="00843767"/>
    <w:rsid w:val="0084582D"/>
    <w:rsid w:val="00846666"/>
    <w:rsid w:val="00847B18"/>
    <w:rsid w:val="0085030B"/>
    <w:rsid w:val="00851F2A"/>
    <w:rsid w:val="00856F01"/>
    <w:rsid w:val="00860CA5"/>
    <w:rsid w:val="00861599"/>
    <w:rsid w:val="00861700"/>
    <w:rsid w:val="00863638"/>
    <w:rsid w:val="00864797"/>
    <w:rsid w:val="008655A1"/>
    <w:rsid w:val="0086775C"/>
    <w:rsid w:val="008679D9"/>
    <w:rsid w:val="00871051"/>
    <w:rsid w:val="00871750"/>
    <w:rsid w:val="00872F86"/>
    <w:rsid w:val="008730D5"/>
    <w:rsid w:val="00875FE5"/>
    <w:rsid w:val="00880AF2"/>
    <w:rsid w:val="008819B8"/>
    <w:rsid w:val="00883276"/>
    <w:rsid w:val="00883BBF"/>
    <w:rsid w:val="00884FCB"/>
    <w:rsid w:val="0088719B"/>
    <w:rsid w:val="00891792"/>
    <w:rsid w:val="00891A7D"/>
    <w:rsid w:val="00891C2B"/>
    <w:rsid w:val="00892347"/>
    <w:rsid w:val="008933B1"/>
    <w:rsid w:val="00893534"/>
    <w:rsid w:val="00894F53"/>
    <w:rsid w:val="0089586D"/>
    <w:rsid w:val="00896597"/>
    <w:rsid w:val="008979B1"/>
    <w:rsid w:val="00897F0A"/>
    <w:rsid w:val="008A09B5"/>
    <w:rsid w:val="008A11CF"/>
    <w:rsid w:val="008A16B6"/>
    <w:rsid w:val="008A1DB2"/>
    <w:rsid w:val="008A270D"/>
    <w:rsid w:val="008A6B25"/>
    <w:rsid w:val="008A6C4F"/>
    <w:rsid w:val="008B012F"/>
    <w:rsid w:val="008B0D62"/>
    <w:rsid w:val="008B2335"/>
    <w:rsid w:val="008B629E"/>
    <w:rsid w:val="008B6648"/>
    <w:rsid w:val="008C0D17"/>
    <w:rsid w:val="008C22CC"/>
    <w:rsid w:val="008C3223"/>
    <w:rsid w:val="008C3294"/>
    <w:rsid w:val="008C4B5A"/>
    <w:rsid w:val="008C4EDC"/>
    <w:rsid w:val="008C4EFE"/>
    <w:rsid w:val="008C6E58"/>
    <w:rsid w:val="008C7622"/>
    <w:rsid w:val="008C77CB"/>
    <w:rsid w:val="008D083C"/>
    <w:rsid w:val="008D0C03"/>
    <w:rsid w:val="008D1459"/>
    <w:rsid w:val="008D2A46"/>
    <w:rsid w:val="008E0678"/>
    <w:rsid w:val="008E0CFD"/>
    <w:rsid w:val="008E2ABE"/>
    <w:rsid w:val="008E41BD"/>
    <w:rsid w:val="008E41E3"/>
    <w:rsid w:val="008E4C4F"/>
    <w:rsid w:val="008E56DB"/>
    <w:rsid w:val="008E5A83"/>
    <w:rsid w:val="008E5FF6"/>
    <w:rsid w:val="008E6067"/>
    <w:rsid w:val="008E611D"/>
    <w:rsid w:val="008F0336"/>
    <w:rsid w:val="008F0E3C"/>
    <w:rsid w:val="008F16E4"/>
    <w:rsid w:val="008F1FA8"/>
    <w:rsid w:val="008F31BC"/>
    <w:rsid w:val="008F5EDE"/>
    <w:rsid w:val="008F6145"/>
    <w:rsid w:val="00900036"/>
    <w:rsid w:val="009002FE"/>
    <w:rsid w:val="009020F8"/>
    <w:rsid w:val="00903876"/>
    <w:rsid w:val="00904589"/>
    <w:rsid w:val="009053CE"/>
    <w:rsid w:val="009062A7"/>
    <w:rsid w:val="0090637F"/>
    <w:rsid w:val="00910AD7"/>
    <w:rsid w:val="00910F40"/>
    <w:rsid w:val="0091197B"/>
    <w:rsid w:val="00911E57"/>
    <w:rsid w:val="00912C08"/>
    <w:rsid w:val="009130EF"/>
    <w:rsid w:val="00913616"/>
    <w:rsid w:val="0091377B"/>
    <w:rsid w:val="00915F13"/>
    <w:rsid w:val="009203F5"/>
    <w:rsid w:val="00920BF9"/>
    <w:rsid w:val="00921672"/>
    <w:rsid w:val="009223CA"/>
    <w:rsid w:val="00926A05"/>
    <w:rsid w:val="00927FBE"/>
    <w:rsid w:val="009302BC"/>
    <w:rsid w:val="00930548"/>
    <w:rsid w:val="00936473"/>
    <w:rsid w:val="009377CE"/>
    <w:rsid w:val="00937F60"/>
    <w:rsid w:val="0094095A"/>
    <w:rsid w:val="00940F93"/>
    <w:rsid w:val="009431A8"/>
    <w:rsid w:val="00943611"/>
    <w:rsid w:val="00945445"/>
    <w:rsid w:val="00946553"/>
    <w:rsid w:val="00946696"/>
    <w:rsid w:val="00951E0D"/>
    <w:rsid w:val="00951EAC"/>
    <w:rsid w:val="00952C29"/>
    <w:rsid w:val="0095347F"/>
    <w:rsid w:val="00953563"/>
    <w:rsid w:val="009568BE"/>
    <w:rsid w:val="0096073F"/>
    <w:rsid w:val="00960911"/>
    <w:rsid w:val="009633D7"/>
    <w:rsid w:val="00967F59"/>
    <w:rsid w:val="009701C4"/>
    <w:rsid w:val="009710F0"/>
    <w:rsid w:val="00972C38"/>
    <w:rsid w:val="009735A8"/>
    <w:rsid w:val="00973F26"/>
    <w:rsid w:val="00974EF5"/>
    <w:rsid w:val="009760F3"/>
    <w:rsid w:val="00977275"/>
    <w:rsid w:val="009800FA"/>
    <w:rsid w:val="0098042C"/>
    <w:rsid w:val="00980EA8"/>
    <w:rsid w:val="009817F4"/>
    <w:rsid w:val="00982D14"/>
    <w:rsid w:val="009873ED"/>
    <w:rsid w:val="009909F5"/>
    <w:rsid w:val="00990FCA"/>
    <w:rsid w:val="00991BB9"/>
    <w:rsid w:val="0099273E"/>
    <w:rsid w:val="00993A29"/>
    <w:rsid w:val="0099456A"/>
    <w:rsid w:val="0099515D"/>
    <w:rsid w:val="009A0D25"/>
    <w:rsid w:val="009A0E8D"/>
    <w:rsid w:val="009A19F8"/>
    <w:rsid w:val="009A2EA4"/>
    <w:rsid w:val="009A39AE"/>
    <w:rsid w:val="009A5F70"/>
    <w:rsid w:val="009B0FC5"/>
    <w:rsid w:val="009B1780"/>
    <w:rsid w:val="009B26E7"/>
    <w:rsid w:val="009B37E6"/>
    <w:rsid w:val="009B4E6F"/>
    <w:rsid w:val="009C162C"/>
    <w:rsid w:val="009C4519"/>
    <w:rsid w:val="009C4D0D"/>
    <w:rsid w:val="009C4D84"/>
    <w:rsid w:val="009C4FB2"/>
    <w:rsid w:val="009C53D7"/>
    <w:rsid w:val="009C60EB"/>
    <w:rsid w:val="009C6DFE"/>
    <w:rsid w:val="009D1E8D"/>
    <w:rsid w:val="009D40E7"/>
    <w:rsid w:val="009D4F57"/>
    <w:rsid w:val="009D7F96"/>
    <w:rsid w:val="009E0CC4"/>
    <w:rsid w:val="009E2F54"/>
    <w:rsid w:val="009E3B88"/>
    <w:rsid w:val="009E63AD"/>
    <w:rsid w:val="009E7D26"/>
    <w:rsid w:val="009F003E"/>
    <w:rsid w:val="009F03D3"/>
    <w:rsid w:val="009F2AC1"/>
    <w:rsid w:val="009F5182"/>
    <w:rsid w:val="009F5D68"/>
    <w:rsid w:val="009F7636"/>
    <w:rsid w:val="00A009A6"/>
    <w:rsid w:val="00A00A3F"/>
    <w:rsid w:val="00A01489"/>
    <w:rsid w:val="00A018AB"/>
    <w:rsid w:val="00A01A63"/>
    <w:rsid w:val="00A02022"/>
    <w:rsid w:val="00A0336A"/>
    <w:rsid w:val="00A03A0A"/>
    <w:rsid w:val="00A03ABA"/>
    <w:rsid w:val="00A03ED0"/>
    <w:rsid w:val="00A04159"/>
    <w:rsid w:val="00A07120"/>
    <w:rsid w:val="00A206FC"/>
    <w:rsid w:val="00A21755"/>
    <w:rsid w:val="00A219C7"/>
    <w:rsid w:val="00A230A0"/>
    <w:rsid w:val="00A232DB"/>
    <w:rsid w:val="00A31B81"/>
    <w:rsid w:val="00A338F1"/>
    <w:rsid w:val="00A343D0"/>
    <w:rsid w:val="00A34580"/>
    <w:rsid w:val="00A34582"/>
    <w:rsid w:val="00A377A8"/>
    <w:rsid w:val="00A41A5C"/>
    <w:rsid w:val="00A42B98"/>
    <w:rsid w:val="00A44487"/>
    <w:rsid w:val="00A44615"/>
    <w:rsid w:val="00A447CC"/>
    <w:rsid w:val="00A44916"/>
    <w:rsid w:val="00A4728C"/>
    <w:rsid w:val="00A47874"/>
    <w:rsid w:val="00A52CD7"/>
    <w:rsid w:val="00A52FFA"/>
    <w:rsid w:val="00A53415"/>
    <w:rsid w:val="00A55EA5"/>
    <w:rsid w:val="00A62CBA"/>
    <w:rsid w:val="00A647C7"/>
    <w:rsid w:val="00A65032"/>
    <w:rsid w:val="00A6576F"/>
    <w:rsid w:val="00A66370"/>
    <w:rsid w:val="00A70EA1"/>
    <w:rsid w:val="00A72875"/>
    <w:rsid w:val="00A72C5E"/>
    <w:rsid w:val="00A72C70"/>
    <w:rsid w:val="00A72F22"/>
    <w:rsid w:val="00A7360F"/>
    <w:rsid w:val="00A74283"/>
    <w:rsid w:val="00A748A6"/>
    <w:rsid w:val="00A75355"/>
    <w:rsid w:val="00A75A1B"/>
    <w:rsid w:val="00A75E0E"/>
    <w:rsid w:val="00A76648"/>
    <w:rsid w:val="00A769F4"/>
    <w:rsid w:val="00A773A1"/>
    <w:rsid w:val="00A774F9"/>
    <w:rsid w:val="00A776B4"/>
    <w:rsid w:val="00A777C5"/>
    <w:rsid w:val="00A777CF"/>
    <w:rsid w:val="00A80013"/>
    <w:rsid w:val="00A81971"/>
    <w:rsid w:val="00A81D2D"/>
    <w:rsid w:val="00A81D4E"/>
    <w:rsid w:val="00A825AD"/>
    <w:rsid w:val="00A85EA0"/>
    <w:rsid w:val="00A86D28"/>
    <w:rsid w:val="00A91A32"/>
    <w:rsid w:val="00A94361"/>
    <w:rsid w:val="00A9586B"/>
    <w:rsid w:val="00A96BCF"/>
    <w:rsid w:val="00A97536"/>
    <w:rsid w:val="00A976B5"/>
    <w:rsid w:val="00AA0900"/>
    <w:rsid w:val="00AA175A"/>
    <w:rsid w:val="00AA293C"/>
    <w:rsid w:val="00AA2D0D"/>
    <w:rsid w:val="00AA56FB"/>
    <w:rsid w:val="00AA5813"/>
    <w:rsid w:val="00AA672A"/>
    <w:rsid w:val="00AA6FA4"/>
    <w:rsid w:val="00AB0648"/>
    <w:rsid w:val="00AB0F9E"/>
    <w:rsid w:val="00AB1804"/>
    <w:rsid w:val="00AB19FA"/>
    <w:rsid w:val="00AB2855"/>
    <w:rsid w:val="00AB3E4E"/>
    <w:rsid w:val="00AB43F1"/>
    <w:rsid w:val="00AB45A3"/>
    <w:rsid w:val="00AB4CA5"/>
    <w:rsid w:val="00AB6D0B"/>
    <w:rsid w:val="00AC27B8"/>
    <w:rsid w:val="00AC39A5"/>
    <w:rsid w:val="00AC4B52"/>
    <w:rsid w:val="00AC4D71"/>
    <w:rsid w:val="00AC505B"/>
    <w:rsid w:val="00AC696C"/>
    <w:rsid w:val="00AC6A0A"/>
    <w:rsid w:val="00AD1E64"/>
    <w:rsid w:val="00AD46B8"/>
    <w:rsid w:val="00AD4A9E"/>
    <w:rsid w:val="00AE02DC"/>
    <w:rsid w:val="00AE1A18"/>
    <w:rsid w:val="00AE1CFF"/>
    <w:rsid w:val="00AE3A93"/>
    <w:rsid w:val="00AE413B"/>
    <w:rsid w:val="00AE425E"/>
    <w:rsid w:val="00AE4730"/>
    <w:rsid w:val="00AE4F33"/>
    <w:rsid w:val="00AE50CE"/>
    <w:rsid w:val="00AE55CB"/>
    <w:rsid w:val="00AE5BCF"/>
    <w:rsid w:val="00AE673B"/>
    <w:rsid w:val="00AF0BB7"/>
    <w:rsid w:val="00AF1A44"/>
    <w:rsid w:val="00AF1EEE"/>
    <w:rsid w:val="00AF3148"/>
    <w:rsid w:val="00AF34D9"/>
    <w:rsid w:val="00AF5CCF"/>
    <w:rsid w:val="00AF65DD"/>
    <w:rsid w:val="00AF6D3A"/>
    <w:rsid w:val="00AF71E0"/>
    <w:rsid w:val="00AF7286"/>
    <w:rsid w:val="00B030B7"/>
    <w:rsid w:val="00B03884"/>
    <w:rsid w:val="00B04543"/>
    <w:rsid w:val="00B10640"/>
    <w:rsid w:val="00B1156E"/>
    <w:rsid w:val="00B11BC2"/>
    <w:rsid w:val="00B129BE"/>
    <w:rsid w:val="00B13E9B"/>
    <w:rsid w:val="00B16852"/>
    <w:rsid w:val="00B174D5"/>
    <w:rsid w:val="00B2280C"/>
    <w:rsid w:val="00B23D8F"/>
    <w:rsid w:val="00B23D94"/>
    <w:rsid w:val="00B2525A"/>
    <w:rsid w:val="00B25D3D"/>
    <w:rsid w:val="00B2683D"/>
    <w:rsid w:val="00B27384"/>
    <w:rsid w:val="00B30179"/>
    <w:rsid w:val="00B304B6"/>
    <w:rsid w:val="00B339A7"/>
    <w:rsid w:val="00B33ABD"/>
    <w:rsid w:val="00B37F9D"/>
    <w:rsid w:val="00B410C3"/>
    <w:rsid w:val="00B41A37"/>
    <w:rsid w:val="00B41ACB"/>
    <w:rsid w:val="00B41BA6"/>
    <w:rsid w:val="00B42976"/>
    <w:rsid w:val="00B43D10"/>
    <w:rsid w:val="00B46514"/>
    <w:rsid w:val="00B467BE"/>
    <w:rsid w:val="00B46DF7"/>
    <w:rsid w:val="00B47DB8"/>
    <w:rsid w:val="00B503FD"/>
    <w:rsid w:val="00B52C14"/>
    <w:rsid w:val="00B53680"/>
    <w:rsid w:val="00B55522"/>
    <w:rsid w:val="00B56E4A"/>
    <w:rsid w:val="00B56E9C"/>
    <w:rsid w:val="00B60748"/>
    <w:rsid w:val="00B617AE"/>
    <w:rsid w:val="00B64B1F"/>
    <w:rsid w:val="00B64E33"/>
    <w:rsid w:val="00B65097"/>
    <w:rsid w:val="00B6524C"/>
    <w:rsid w:val="00B6553F"/>
    <w:rsid w:val="00B66E5E"/>
    <w:rsid w:val="00B67FC8"/>
    <w:rsid w:val="00B707C0"/>
    <w:rsid w:val="00B7113C"/>
    <w:rsid w:val="00B73070"/>
    <w:rsid w:val="00B76950"/>
    <w:rsid w:val="00B77D05"/>
    <w:rsid w:val="00B77EC5"/>
    <w:rsid w:val="00B80ACC"/>
    <w:rsid w:val="00B81206"/>
    <w:rsid w:val="00B8190A"/>
    <w:rsid w:val="00B81CCC"/>
    <w:rsid w:val="00B81E12"/>
    <w:rsid w:val="00B83477"/>
    <w:rsid w:val="00B85756"/>
    <w:rsid w:val="00B85AF8"/>
    <w:rsid w:val="00B86C63"/>
    <w:rsid w:val="00B87274"/>
    <w:rsid w:val="00B87C54"/>
    <w:rsid w:val="00B90572"/>
    <w:rsid w:val="00B9067B"/>
    <w:rsid w:val="00B915E0"/>
    <w:rsid w:val="00B91791"/>
    <w:rsid w:val="00B940C1"/>
    <w:rsid w:val="00B94491"/>
    <w:rsid w:val="00B94CD2"/>
    <w:rsid w:val="00B94E87"/>
    <w:rsid w:val="00B95A99"/>
    <w:rsid w:val="00B96623"/>
    <w:rsid w:val="00B968B5"/>
    <w:rsid w:val="00B97074"/>
    <w:rsid w:val="00B97698"/>
    <w:rsid w:val="00B97AFE"/>
    <w:rsid w:val="00BA0869"/>
    <w:rsid w:val="00BA1490"/>
    <w:rsid w:val="00BA167F"/>
    <w:rsid w:val="00BA434C"/>
    <w:rsid w:val="00BA5934"/>
    <w:rsid w:val="00BB22D5"/>
    <w:rsid w:val="00BB26BD"/>
    <w:rsid w:val="00BB6283"/>
    <w:rsid w:val="00BB69B1"/>
    <w:rsid w:val="00BC01E3"/>
    <w:rsid w:val="00BC2C23"/>
    <w:rsid w:val="00BC2DD4"/>
    <w:rsid w:val="00BC48F3"/>
    <w:rsid w:val="00BC5363"/>
    <w:rsid w:val="00BC66A4"/>
    <w:rsid w:val="00BC6E5E"/>
    <w:rsid w:val="00BC74E9"/>
    <w:rsid w:val="00BC7640"/>
    <w:rsid w:val="00BC7809"/>
    <w:rsid w:val="00BD465B"/>
    <w:rsid w:val="00BD4AD9"/>
    <w:rsid w:val="00BD6CE9"/>
    <w:rsid w:val="00BE26B2"/>
    <w:rsid w:val="00BE2B29"/>
    <w:rsid w:val="00BE3F3C"/>
    <w:rsid w:val="00BE4C53"/>
    <w:rsid w:val="00BE4F3F"/>
    <w:rsid w:val="00BE62B5"/>
    <w:rsid w:val="00BE6D6E"/>
    <w:rsid w:val="00BF0311"/>
    <w:rsid w:val="00BF06E4"/>
    <w:rsid w:val="00BF1F47"/>
    <w:rsid w:val="00BF3A1F"/>
    <w:rsid w:val="00BF4613"/>
    <w:rsid w:val="00BF5565"/>
    <w:rsid w:val="00BF61C5"/>
    <w:rsid w:val="00BF68A8"/>
    <w:rsid w:val="00BF72FD"/>
    <w:rsid w:val="00C01DD5"/>
    <w:rsid w:val="00C02623"/>
    <w:rsid w:val="00C02E7A"/>
    <w:rsid w:val="00C038D2"/>
    <w:rsid w:val="00C04639"/>
    <w:rsid w:val="00C065DB"/>
    <w:rsid w:val="00C06E28"/>
    <w:rsid w:val="00C07DD8"/>
    <w:rsid w:val="00C11207"/>
    <w:rsid w:val="00C11870"/>
    <w:rsid w:val="00C11A03"/>
    <w:rsid w:val="00C144EC"/>
    <w:rsid w:val="00C151CC"/>
    <w:rsid w:val="00C15602"/>
    <w:rsid w:val="00C1683C"/>
    <w:rsid w:val="00C2007A"/>
    <w:rsid w:val="00C20A72"/>
    <w:rsid w:val="00C2284D"/>
    <w:rsid w:val="00C30236"/>
    <w:rsid w:val="00C30D8A"/>
    <w:rsid w:val="00C34926"/>
    <w:rsid w:val="00C34DBA"/>
    <w:rsid w:val="00C361F7"/>
    <w:rsid w:val="00C36A62"/>
    <w:rsid w:val="00C418BB"/>
    <w:rsid w:val="00C419EE"/>
    <w:rsid w:val="00C42190"/>
    <w:rsid w:val="00C44183"/>
    <w:rsid w:val="00C44D49"/>
    <w:rsid w:val="00C463DD"/>
    <w:rsid w:val="00C46474"/>
    <w:rsid w:val="00C4724C"/>
    <w:rsid w:val="00C47927"/>
    <w:rsid w:val="00C50356"/>
    <w:rsid w:val="00C504A0"/>
    <w:rsid w:val="00C50ECF"/>
    <w:rsid w:val="00C51355"/>
    <w:rsid w:val="00C53316"/>
    <w:rsid w:val="00C53963"/>
    <w:rsid w:val="00C54A13"/>
    <w:rsid w:val="00C55779"/>
    <w:rsid w:val="00C56114"/>
    <w:rsid w:val="00C56528"/>
    <w:rsid w:val="00C57758"/>
    <w:rsid w:val="00C57A10"/>
    <w:rsid w:val="00C606D3"/>
    <w:rsid w:val="00C60E92"/>
    <w:rsid w:val="00C61C48"/>
    <w:rsid w:val="00C629A0"/>
    <w:rsid w:val="00C663E1"/>
    <w:rsid w:val="00C7116B"/>
    <w:rsid w:val="00C73736"/>
    <w:rsid w:val="00C745C3"/>
    <w:rsid w:val="00C75185"/>
    <w:rsid w:val="00C75F86"/>
    <w:rsid w:val="00C76890"/>
    <w:rsid w:val="00C76A9C"/>
    <w:rsid w:val="00C77115"/>
    <w:rsid w:val="00C7728B"/>
    <w:rsid w:val="00C773F4"/>
    <w:rsid w:val="00C80234"/>
    <w:rsid w:val="00C803EC"/>
    <w:rsid w:val="00C80BD3"/>
    <w:rsid w:val="00C80D50"/>
    <w:rsid w:val="00C819E8"/>
    <w:rsid w:val="00C845EF"/>
    <w:rsid w:val="00C8504E"/>
    <w:rsid w:val="00C85113"/>
    <w:rsid w:val="00C8533C"/>
    <w:rsid w:val="00C87756"/>
    <w:rsid w:val="00C916FF"/>
    <w:rsid w:val="00C947CF"/>
    <w:rsid w:val="00C95B84"/>
    <w:rsid w:val="00C965DC"/>
    <w:rsid w:val="00CA4786"/>
    <w:rsid w:val="00CA7760"/>
    <w:rsid w:val="00CB0915"/>
    <w:rsid w:val="00CB1F0A"/>
    <w:rsid w:val="00CB351A"/>
    <w:rsid w:val="00CB4374"/>
    <w:rsid w:val="00CB4608"/>
    <w:rsid w:val="00CB480D"/>
    <w:rsid w:val="00CB5A27"/>
    <w:rsid w:val="00CB6E28"/>
    <w:rsid w:val="00CC0477"/>
    <w:rsid w:val="00CC0BB4"/>
    <w:rsid w:val="00CC3D39"/>
    <w:rsid w:val="00CC6D30"/>
    <w:rsid w:val="00CD546D"/>
    <w:rsid w:val="00CD61FF"/>
    <w:rsid w:val="00CE4A8F"/>
    <w:rsid w:val="00CE59E7"/>
    <w:rsid w:val="00CE71DC"/>
    <w:rsid w:val="00CE736B"/>
    <w:rsid w:val="00CF1984"/>
    <w:rsid w:val="00CF2621"/>
    <w:rsid w:val="00CF587D"/>
    <w:rsid w:val="00CF76D6"/>
    <w:rsid w:val="00CF793E"/>
    <w:rsid w:val="00D027F2"/>
    <w:rsid w:val="00D02C2A"/>
    <w:rsid w:val="00D062A4"/>
    <w:rsid w:val="00D06AB9"/>
    <w:rsid w:val="00D06B7E"/>
    <w:rsid w:val="00D06EEA"/>
    <w:rsid w:val="00D06F74"/>
    <w:rsid w:val="00D07E3D"/>
    <w:rsid w:val="00D119B7"/>
    <w:rsid w:val="00D12158"/>
    <w:rsid w:val="00D1223B"/>
    <w:rsid w:val="00D1315B"/>
    <w:rsid w:val="00D13268"/>
    <w:rsid w:val="00D141CF"/>
    <w:rsid w:val="00D15ECA"/>
    <w:rsid w:val="00D2031B"/>
    <w:rsid w:val="00D257E7"/>
    <w:rsid w:val="00D25FE2"/>
    <w:rsid w:val="00D2637A"/>
    <w:rsid w:val="00D3001F"/>
    <w:rsid w:val="00D30034"/>
    <w:rsid w:val="00D3087C"/>
    <w:rsid w:val="00D311E9"/>
    <w:rsid w:val="00D33493"/>
    <w:rsid w:val="00D33B1B"/>
    <w:rsid w:val="00D34CF9"/>
    <w:rsid w:val="00D35B7F"/>
    <w:rsid w:val="00D35FCA"/>
    <w:rsid w:val="00D360FA"/>
    <w:rsid w:val="00D409EA"/>
    <w:rsid w:val="00D42B6D"/>
    <w:rsid w:val="00D43252"/>
    <w:rsid w:val="00D43E06"/>
    <w:rsid w:val="00D443F4"/>
    <w:rsid w:val="00D44984"/>
    <w:rsid w:val="00D46C27"/>
    <w:rsid w:val="00D47EEA"/>
    <w:rsid w:val="00D501D0"/>
    <w:rsid w:val="00D509AE"/>
    <w:rsid w:val="00D51D6E"/>
    <w:rsid w:val="00D51E4A"/>
    <w:rsid w:val="00D52316"/>
    <w:rsid w:val="00D53BAD"/>
    <w:rsid w:val="00D543C9"/>
    <w:rsid w:val="00D569B6"/>
    <w:rsid w:val="00D60DC1"/>
    <w:rsid w:val="00D6148A"/>
    <w:rsid w:val="00D61822"/>
    <w:rsid w:val="00D625E3"/>
    <w:rsid w:val="00D64A94"/>
    <w:rsid w:val="00D66146"/>
    <w:rsid w:val="00D729E4"/>
    <w:rsid w:val="00D72AD0"/>
    <w:rsid w:val="00D73CB8"/>
    <w:rsid w:val="00D747CE"/>
    <w:rsid w:val="00D80012"/>
    <w:rsid w:val="00D80EDF"/>
    <w:rsid w:val="00D864CC"/>
    <w:rsid w:val="00D90F93"/>
    <w:rsid w:val="00D913B0"/>
    <w:rsid w:val="00D94BB8"/>
    <w:rsid w:val="00D94CDD"/>
    <w:rsid w:val="00D9506F"/>
    <w:rsid w:val="00D95303"/>
    <w:rsid w:val="00D96673"/>
    <w:rsid w:val="00D96E57"/>
    <w:rsid w:val="00D96E8E"/>
    <w:rsid w:val="00D97597"/>
    <w:rsid w:val="00D975A7"/>
    <w:rsid w:val="00D9765F"/>
    <w:rsid w:val="00D978C6"/>
    <w:rsid w:val="00DA0BDA"/>
    <w:rsid w:val="00DA1F7E"/>
    <w:rsid w:val="00DA3111"/>
    <w:rsid w:val="00DA3C1C"/>
    <w:rsid w:val="00DA3CDA"/>
    <w:rsid w:val="00DA4BBB"/>
    <w:rsid w:val="00DA6032"/>
    <w:rsid w:val="00DB0C79"/>
    <w:rsid w:val="00DB2C7B"/>
    <w:rsid w:val="00DB2CE7"/>
    <w:rsid w:val="00DB2E2F"/>
    <w:rsid w:val="00DB338D"/>
    <w:rsid w:val="00DB5B2F"/>
    <w:rsid w:val="00DC0714"/>
    <w:rsid w:val="00DC2CE5"/>
    <w:rsid w:val="00DC33F5"/>
    <w:rsid w:val="00DC465A"/>
    <w:rsid w:val="00DD2848"/>
    <w:rsid w:val="00DD471E"/>
    <w:rsid w:val="00DD531E"/>
    <w:rsid w:val="00DD593B"/>
    <w:rsid w:val="00DD6EF0"/>
    <w:rsid w:val="00DE1DF6"/>
    <w:rsid w:val="00DE6FAB"/>
    <w:rsid w:val="00DE79A8"/>
    <w:rsid w:val="00DE7F59"/>
    <w:rsid w:val="00DE7F65"/>
    <w:rsid w:val="00DF0799"/>
    <w:rsid w:val="00DF0EC1"/>
    <w:rsid w:val="00DF4252"/>
    <w:rsid w:val="00DF528D"/>
    <w:rsid w:val="00DF5B06"/>
    <w:rsid w:val="00DF6975"/>
    <w:rsid w:val="00DF7041"/>
    <w:rsid w:val="00E0216D"/>
    <w:rsid w:val="00E0255B"/>
    <w:rsid w:val="00E04FF1"/>
    <w:rsid w:val="00E07EBA"/>
    <w:rsid w:val="00E11ABE"/>
    <w:rsid w:val="00E142AF"/>
    <w:rsid w:val="00E15CC1"/>
    <w:rsid w:val="00E17AD2"/>
    <w:rsid w:val="00E17C73"/>
    <w:rsid w:val="00E2097C"/>
    <w:rsid w:val="00E209FD"/>
    <w:rsid w:val="00E21400"/>
    <w:rsid w:val="00E21B7A"/>
    <w:rsid w:val="00E22346"/>
    <w:rsid w:val="00E25B12"/>
    <w:rsid w:val="00E25E54"/>
    <w:rsid w:val="00E26263"/>
    <w:rsid w:val="00E27346"/>
    <w:rsid w:val="00E30002"/>
    <w:rsid w:val="00E31E79"/>
    <w:rsid w:val="00E34156"/>
    <w:rsid w:val="00E37070"/>
    <w:rsid w:val="00E40A07"/>
    <w:rsid w:val="00E41BFE"/>
    <w:rsid w:val="00E43057"/>
    <w:rsid w:val="00E4363C"/>
    <w:rsid w:val="00E46788"/>
    <w:rsid w:val="00E47196"/>
    <w:rsid w:val="00E51DD5"/>
    <w:rsid w:val="00E520C9"/>
    <w:rsid w:val="00E53D02"/>
    <w:rsid w:val="00E57B1D"/>
    <w:rsid w:val="00E6074E"/>
    <w:rsid w:val="00E61088"/>
    <w:rsid w:val="00E632CC"/>
    <w:rsid w:val="00E64123"/>
    <w:rsid w:val="00E65396"/>
    <w:rsid w:val="00E66A0C"/>
    <w:rsid w:val="00E67325"/>
    <w:rsid w:val="00E71392"/>
    <w:rsid w:val="00E71BC8"/>
    <w:rsid w:val="00E7218F"/>
    <w:rsid w:val="00E7260F"/>
    <w:rsid w:val="00E73227"/>
    <w:rsid w:val="00E74206"/>
    <w:rsid w:val="00E77185"/>
    <w:rsid w:val="00E779FC"/>
    <w:rsid w:val="00E80AFB"/>
    <w:rsid w:val="00E848D3"/>
    <w:rsid w:val="00E849B2"/>
    <w:rsid w:val="00E85728"/>
    <w:rsid w:val="00E86349"/>
    <w:rsid w:val="00E8663D"/>
    <w:rsid w:val="00E90BE1"/>
    <w:rsid w:val="00E921CF"/>
    <w:rsid w:val="00E93CC4"/>
    <w:rsid w:val="00E94466"/>
    <w:rsid w:val="00E96630"/>
    <w:rsid w:val="00E97FB7"/>
    <w:rsid w:val="00EA0822"/>
    <w:rsid w:val="00EA1031"/>
    <w:rsid w:val="00EA15BD"/>
    <w:rsid w:val="00EA31F7"/>
    <w:rsid w:val="00EA395F"/>
    <w:rsid w:val="00EA43E5"/>
    <w:rsid w:val="00EB11F3"/>
    <w:rsid w:val="00EB2581"/>
    <w:rsid w:val="00EB439E"/>
    <w:rsid w:val="00EB4759"/>
    <w:rsid w:val="00EB4FDB"/>
    <w:rsid w:val="00EB5373"/>
    <w:rsid w:val="00EC14EF"/>
    <w:rsid w:val="00EC4B91"/>
    <w:rsid w:val="00EC58E9"/>
    <w:rsid w:val="00ED00FD"/>
    <w:rsid w:val="00ED1FD4"/>
    <w:rsid w:val="00ED483F"/>
    <w:rsid w:val="00ED507D"/>
    <w:rsid w:val="00ED536F"/>
    <w:rsid w:val="00ED6970"/>
    <w:rsid w:val="00ED74C0"/>
    <w:rsid w:val="00ED7A2A"/>
    <w:rsid w:val="00ED7E6E"/>
    <w:rsid w:val="00EE01F6"/>
    <w:rsid w:val="00EE06DA"/>
    <w:rsid w:val="00EE2F3A"/>
    <w:rsid w:val="00EE3F84"/>
    <w:rsid w:val="00EE5C7E"/>
    <w:rsid w:val="00EE6929"/>
    <w:rsid w:val="00EE7E71"/>
    <w:rsid w:val="00EF0235"/>
    <w:rsid w:val="00EF0322"/>
    <w:rsid w:val="00EF0580"/>
    <w:rsid w:val="00EF0C54"/>
    <w:rsid w:val="00EF1D7A"/>
    <w:rsid w:val="00EF1D7F"/>
    <w:rsid w:val="00EF3514"/>
    <w:rsid w:val="00EF4740"/>
    <w:rsid w:val="00EF5026"/>
    <w:rsid w:val="00EF560D"/>
    <w:rsid w:val="00F02C19"/>
    <w:rsid w:val="00F02F14"/>
    <w:rsid w:val="00F03190"/>
    <w:rsid w:val="00F038B8"/>
    <w:rsid w:val="00F03A99"/>
    <w:rsid w:val="00F03B96"/>
    <w:rsid w:val="00F0403F"/>
    <w:rsid w:val="00F04CDE"/>
    <w:rsid w:val="00F04F02"/>
    <w:rsid w:val="00F06D31"/>
    <w:rsid w:val="00F075CC"/>
    <w:rsid w:val="00F119EC"/>
    <w:rsid w:val="00F132E3"/>
    <w:rsid w:val="00F14DD9"/>
    <w:rsid w:val="00F15270"/>
    <w:rsid w:val="00F17BD5"/>
    <w:rsid w:val="00F20017"/>
    <w:rsid w:val="00F20C3D"/>
    <w:rsid w:val="00F21FE3"/>
    <w:rsid w:val="00F22A52"/>
    <w:rsid w:val="00F22E3E"/>
    <w:rsid w:val="00F231DB"/>
    <w:rsid w:val="00F24C84"/>
    <w:rsid w:val="00F24F92"/>
    <w:rsid w:val="00F2653D"/>
    <w:rsid w:val="00F27889"/>
    <w:rsid w:val="00F3026E"/>
    <w:rsid w:val="00F31056"/>
    <w:rsid w:val="00F31242"/>
    <w:rsid w:val="00F31D47"/>
    <w:rsid w:val="00F32BA6"/>
    <w:rsid w:val="00F32F70"/>
    <w:rsid w:val="00F34D48"/>
    <w:rsid w:val="00F35149"/>
    <w:rsid w:val="00F373CD"/>
    <w:rsid w:val="00F41576"/>
    <w:rsid w:val="00F416DC"/>
    <w:rsid w:val="00F41B9F"/>
    <w:rsid w:val="00F41F7D"/>
    <w:rsid w:val="00F4204E"/>
    <w:rsid w:val="00F43AA5"/>
    <w:rsid w:val="00F43E9E"/>
    <w:rsid w:val="00F44820"/>
    <w:rsid w:val="00F52BE2"/>
    <w:rsid w:val="00F53964"/>
    <w:rsid w:val="00F53F5C"/>
    <w:rsid w:val="00F5461C"/>
    <w:rsid w:val="00F546EA"/>
    <w:rsid w:val="00F571D9"/>
    <w:rsid w:val="00F573E7"/>
    <w:rsid w:val="00F60C3B"/>
    <w:rsid w:val="00F63FC4"/>
    <w:rsid w:val="00F6633E"/>
    <w:rsid w:val="00F66A74"/>
    <w:rsid w:val="00F67C0C"/>
    <w:rsid w:val="00F70D30"/>
    <w:rsid w:val="00F72A4B"/>
    <w:rsid w:val="00F748B6"/>
    <w:rsid w:val="00F749F8"/>
    <w:rsid w:val="00F81975"/>
    <w:rsid w:val="00F82653"/>
    <w:rsid w:val="00F82F23"/>
    <w:rsid w:val="00F83A0D"/>
    <w:rsid w:val="00F84513"/>
    <w:rsid w:val="00F8467B"/>
    <w:rsid w:val="00F85733"/>
    <w:rsid w:val="00F86121"/>
    <w:rsid w:val="00F8772A"/>
    <w:rsid w:val="00F902D4"/>
    <w:rsid w:val="00F9057C"/>
    <w:rsid w:val="00F906D7"/>
    <w:rsid w:val="00F90716"/>
    <w:rsid w:val="00F908D7"/>
    <w:rsid w:val="00F90FD3"/>
    <w:rsid w:val="00F92236"/>
    <w:rsid w:val="00F92CB6"/>
    <w:rsid w:val="00F93781"/>
    <w:rsid w:val="00F9653B"/>
    <w:rsid w:val="00F9682C"/>
    <w:rsid w:val="00F96BA5"/>
    <w:rsid w:val="00F96BF6"/>
    <w:rsid w:val="00FA0057"/>
    <w:rsid w:val="00FA059B"/>
    <w:rsid w:val="00FA1718"/>
    <w:rsid w:val="00FA40C0"/>
    <w:rsid w:val="00FA57D4"/>
    <w:rsid w:val="00FA5F48"/>
    <w:rsid w:val="00FA6B7C"/>
    <w:rsid w:val="00FB05B8"/>
    <w:rsid w:val="00FB147A"/>
    <w:rsid w:val="00FB148B"/>
    <w:rsid w:val="00FB2745"/>
    <w:rsid w:val="00FB2925"/>
    <w:rsid w:val="00FB45D9"/>
    <w:rsid w:val="00FB5EB5"/>
    <w:rsid w:val="00FB613B"/>
    <w:rsid w:val="00FB6F4A"/>
    <w:rsid w:val="00FB78D7"/>
    <w:rsid w:val="00FC0349"/>
    <w:rsid w:val="00FC0622"/>
    <w:rsid w:val="00FC1305"/>
    <w:rsid w:val="00FC48D6"/>
    <w:rsid w:val="00FC5E6B"/>
    <w:rsid w:val="00FC68B7"/>
    <w:rsid w:val="00FD002A"/>
    <w:rsid w:val="00FD0381"/>
    <w:rsid w:val="00FD28AF"/>
    <w:rsid w:val="00FD314D"/>
    <w:rsid w:val="00FD4F04"/>
    <w:rsid w:val="00FD4FB8"/>
    <w:rsid w:val="00FD6046"/>
    <w:rsid w:val="00FD61DA"/>
    <w:rsid w:val="00FD7CD0"/>
    <w:rsid w:val="00FE106A"/>
    <w:rsid w:val="00FE11D6"/>
    <w:rsid w:val="00FE2B82"/>
    <w:rsid w:val="00FE5713"/>
    <w:rsid w:val="00FE5BA0"/>
    <w:rsid w:val="00FE61C0"/>
    <w:rsid w:val="00FE63C0"/>
    <w:rsid w:val="00FE64FF"/>
    <w:rsid w:val="00FF0000"/>
    <w:rsid w:val="00FF4BF4"/>
    <w:rsid w:val="00FF56C2"/>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32EF1-F50F-4005-94DF-18EFDEA6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93647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93647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customStyle="1" w:styleId="ColorfulShading-Accent11">
    <w:name w:val="Colorful Shading - Accent 11"/>
    <w:hidden/>
    <w:uiPriority w:val="99"/>
    <w:semiHidden/>
    <w:rsid w:val="00BB26BD"/>
    <w:rPr>
      <w:lang w:eastAsia="en-US"/>
    </w:rPr>
  </w:style>
  <w:style w:type="paragraph" w:customStyle="1" w:styleId="Default">
    <w:name w:val="Default"/>
    <w:rsid w:val="00FF56C2"/>
    <w:pPr>
      <w:autoSpaceDE w:val="0"/>
      <w:autoSpaceDN w:val="0"/>
      <w:adjustRightInd w:val="0"/>
    </w:pPr>
    <w:rPr>
      <w:color w:val="000000"/>
      <w:sz w:val="24"/>
      <w:szCs w:val="24"/>
      <w:lang w:eastAsia="en-US"/>
    </w:rPr>
  </w:style>
  <w:style w:type="paragraph" w:styleId="NormalWeb">
    <w:name w:val="Normal (Web)"/>
    <w:basedOn w:val="Normal"/>
    <w:uiPriority w:val="99"/>
    <w:unhideWhenUsed/>
    <w:rsid w:val="00A773A1"/>
    <w:pPr>
      <w:suppressAutoHyphens w:val="0"/>
      <w:spacing w:before="100" w:beforeAutospacing="1" w:after="100" w:afterAutospacing="1" w:line="240" w:lineRule="auto"/>
    </w:pPr>
    <w:rPr>
      <w:sz w:val="24"/>
      <w:szCs w:val="24"/>
      <w:lang w:eastAsia="en-GB"/>
    </w:rPr>
  </w:style>
  <w:style w:type="character" w:styleId="Emphasis">
    <w:name w:val="Emphasis"/>
    <w:qFormat/>
    <w:rsid w:val="00CA4786"/>
    <w:rPr>
      <w:i/>
      <w:iCs/>
    </w:rPr>
  </w:style>
  <w:style w:type="paragraph" w:styleId="Revision">
    <w:name w:val="Revision"/>
    <w:hidden/>
    <w:uiPriority w:val="99"/>
    <w:semiHidden/>
    <w:rsid w:val="000001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420516139">
      <w:bodyDiv w:val="1"/>
      <w:marLeft w:val="0"/>
      <w:marRight w:val="0"/>
      <w:marTop w:val="0"/>
      <w:marBottom w:val="0"/>
      <w:divBdr>
        <w:top w:val="none" w:sz="0" w:space="0" w:color="auto"/>
        <w:left w:val="none" w:sz="0" w:space="0" w:color="auto"/>
        <w:bottom w:val="none" w:sz="0" w:space="0" w:color="auto"/>
        <w:right w:val="none" w:sz="0" w:space="0" w:color="auto"/>
      </w:divBdr>
      <w:divsChild>
        <w:div w:id="1141927362">
          <w:marLeft w:val="0"/>
          <w:marRight w:val="0"/>
          <w:marTop w:val="0"/>
          <w:marBottom w:val="0"/>
          <w:divBdr>
            <w:top w:val="none" w:sz="0" w:space="0" w:color="auto"/>
            <w:left w:val="none" w:sz="0" w:space="0" w:color="auto"/>
            <w:bottom w:val="none" w:sz="0" w:space="0" w:color="auto"/>
            <w:right w:val="none" w:sz="0" w:space="0" w:color="auto"/>
          </w:divBdr>
          <w:divsChild>
            <w:div w:id="102310179">
              <w:marLeft w:val="0"/>
              <w:marRight w:val="0"/>
              <w:marTop w:val="0"/>
              <w:marBottom w:val="0"/>
              <w:divBdr>
                <w:top w:val="none" w:sz="0" w:space="0" w:color="auto"/>
                <w:left w:val="none" w:sz="0" w:space="0" w:color="auto"/>
                <w:bottom w:val="none" w:sz="0" w:space="0" w:color="auto"/>
                <w:right w:val="none" w:sz="0" w:space="0" w:color="auto"/>
              </w:divBdr>
              <w:divsChild>
                <w:div w:id="1277057087">
                  <w:marLeft w:val="0"/>
                  <w:marRight w:val="0"/>
                  <w:marTop w:val="0"/>
                  <w:marBottom w:val="0"/>
                  <w:divBdr>
                    <w:top w:val="none" w:sz="0" w:space="0" w:color="auto"/>
                    <w:left w:val="none" w:sz="0" w:space="0" w:color="auto"/>
                    <w:bottom w:val="none" w:sz="0" w:space="0" w:color="auto"/>
                    <w:right w:val="none" w:sz="0" w:space="0" w:color="auto"/>
                  </w:divBdr>
                  <w:divsChild>
                    <w:div w:id="560018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hudoc.echr.coe.int/eng" TargetMode="External"/><Relationship Id="rId1" Type="http://schemas.openxmlformats.org/officeDocument/2006/relationships/hyperlink" Target="http://hudoc.echr.coe.int/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9DFF-EA4B-48E3-BFE8-BDD77EC0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18</Pages>
  <Words>8479</Words>
  <Characters>48335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1615666</vt:lpstr>
    </vt:vector>
  </TitlesOfParts>
  <Company>CSD</Company>
  <LinksUpToDate>false</LinksUpToDate>
  <CharactersWithSpaces>56701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1615666</dc:title>
  <dc:subject>CCPR/C/117/D/2469/2014</dc:subject>
  <dc:creator>Lukas Machon</dc:creator>
  <cp:keywords/>
  <dc:description/>
  <cp:lastModifiedBy>Sarah Willig</cp:lastModifiedBy>
  <cp:revision>2</cp:revision>
  <cp:lastPrinted>2015-04-01T14:05:00Z</cp:lastPrinted>
  <dcterms:created xsi:type="dcterms:W3CDTF">2017-04-05T17:39:00Z</dcterms:created>
  <dcterms:modified xsi:type="dcterms:W3CDTF">2017-04-05T17:39:00Z</dcterms:modified>
</cp:coreProperties>
</file>