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3108" w:rsidRPr="001444FB">
        <w:trPr>
          <w:trHeight w:val="851"/>
        </w:trPr>
        <w:tc>
          <w:tcPr>
            <w:tcW w:w="1259" w:type="dxa"/>
            <w:tcBorders>
              <w:top w:val="nil"/>
              <w:left w:val="nil"/>
              <w:bottom w:val="single" w:sz="4" w:space="0" w:color="auto"/>
              <w:right w:val="nil"/>
            </w:tcBorders>
            <w:vAlign w:val="bottom"/>
          </w:tcPr>
          <w:p w:rsidR="001C3108" w:rsidRPr="00AC22EE" w:rsidRDefault="001C3108" w:rsidP="001C3108">
            <w:pPr>
              <w:jc w:val="right"/>
            </w:pPr>
            <w:bookmarkStart w:id="0" w:name="_GoBack"/>
            <w:bookmarkEnd w:id="0"/>
          </w:p>
        </w:tc>
        <w:tc>
          <w:tcPr>
            <w:tcW w:w="2236" w:type="dxa"/>
            <w:tcBorders>
              <w:top w:val="nil"/>
              <w:left w:val="nil"/>
              <w:bottom w:val="single" w:sz="4" w:space="0" w:color="auto"/>
              <w:right w:val="nil"/>
            </w:tcBorders>
            <w:vAlign w:val="bottom"/>
          </w:tcPr>
          <w:p w:rsidR="001C3108" w:rsidRPr="00C01A95" w:rsidRDefault="001C3108" w:rsidP="001C3108">
            <w:r w:rsidRPr="00C01A95">
              <w:rPr>
                <w:sz w:val="28"/>
                <w:szCs w:val="28"/>
              </w:rPr>
              <w:t>United Nations</w:t>
            </w:r>
          </w:p>
        </w:tc>
        <w:tc>
          <w:tcPr>
            <w:tcW w:w="6144" w:type="dxa"/>
            <w:gridSpan w:val="2"/>
            <w:tcBorders>
              <w:top w:val="nil"/>
              <w:left w:val="nil"/>
              <w:bottom w:val="single" w:sz="4" w:space="0" w:color="auto"/>
              <w:right w:val="nil"/>
            </w:tcBorders>
            <w:vAlign w:val="bottom"/>
          </w:tcPr>
          <w:p w:rsidR="001C3108" w:rsidRPr="001444FB" w:rsidRDefault="001C3108" w:rsidP="005474FA">
            <w:pPr>
              <w:jc w:val="right"/>
            </w:pPr>
            <w:r w:rsidRPr="00C01A95">
              <w:rPr>
                <w:sz w:val="40"/>
              </w:rPr>
              <w:t>CCPR</w:t>
            </w:r>
            <w:r w:rsidRPr="00C01A95">
              <w:t>/C/113/D</w:t>
            </w:r>
            <w:r w:rsidRPr="001444FB">
              <w:t>/2515/2014</w:t>
            </w:r>
          </w:p>
        </w:tc>
      </w:tr>
      <w:tr w:rsidR="001C3108" w:rsidRPr="001444FB">
        <w:trPr>
          <w:trHeight w:val="2835"/>
        </w:trPr>
        <w:tc>
          <w:tcPr>
            <w:tcW w:w="1259" w:type="dxa"/>
            <w:tcBorders>
              <w:top w:val="single" w:sz="4" w:space="0" w:color="auto"/>
              <w:left w:val="nil"/>
              <w:bottom w:val="single" w:sz="12" w:space="0" w:color="auto"/>
              <w:right w:val="nil"/>
            </w:tcBorders>
          </w:tcPr>
          <w:p w:rsidR="001C3108" w:rsidRPr="001444FB" w:rsidRDefault="00591E64" w:rsidP="001C3108">
            <w:r>
              <w:rPr>
                <w:noProof/>
                <w:lang w:val="en-US"/>
              </w:rPr>
              <w:drawing>
                <wp:inline distT="0" distB="0" distL="0" distR="0">
                  <wp:extent cx="713740" cy="5797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5797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474FA" w:rsidRPr="001444FB" w:rsidRDefault="001C3108" w:rsidP="001C3108">
            <w:pPr>
              <w:rPr>
                <w:b/>
                <w:sz w:val="34"/>
                <w:szCs w:val="40"/>
              </w:rPr>
            </w:pPr>
            <w:r w:rsidRPr="001444FB">
              <w:rPr>
                <w:b/>
                <w:sz w:val="34"/>
                <w:szCs w:val="40"/>
              </w:rPr>
              <w:t>International Covenant on</w:t>
            </w:r>
            <w:r w:rsidRPr="001444FB">
              <w:rPr>
                <w:b/>
                <w:sz w:val="34"/>
                <w:szCs w:val="40"/>
              </w:rPr>
              <w:br/>
              <w:t>Civil and Political Rights</w:t>
            </w:r>
          </w:p>
        </w:tc>
        <w:tc>
          <w:tcPr>
            <w:tcW w:w="2930" w:type="dxa"/>
            <w:tcBorders>
              <w:top w:val="single" w:sz="4" w:space="0" w:color="auto"/>
              <w:left w:val="nil"/>
              <w:bottom w:val="single" w:sz="12" w:space="0" w:color="auto"/>
              <w:right w:val="nil"/>
            </w:tcBorders>
          </w:tcPr>
          <w:p w:rsidR="001C3108" w:rsidRPr="001444FB" w:rsidRDefault="001C3108" w:rsidP="001C3108">
            <w:pPr>
              <w:spacing w:before="240" w:line="240" w:lineRule="exact"/>
            </w:pPr>
            <w:r w:rsidRPr="001444FB">
              <w:t xml:space="preserve">Distr.: </w:t>
            </w:r>
            <w:r w:rsidR="005474FA" w:rsidRPr="001444FB">
              <w:t>General</w:t>
            </w:r>
          </w:p>
          <w:p w:rsidR="001C3108" w:rsidRPr="001444FB" w:rsidRDefault="00FA03F9" w:rsidP="001444FB">
            <w:pPr>
              <w:spacing w:line="240" w:lineRule="exact"/>
            </w:pPr>
            <w:r w:rsidRPr="001444FB">
              <w:t>11</w:t>
            </w:r>
            <w:r w:rsidR="00897766" w:rsidRPr="001444FB">
              <w:t xml:space="preserve"> May </w:t>
            </w:r>
            <w:r w:rsidR="001C3108" w:rsidRPr="001444FB">
              <w:t>2015</w:t>
            </w:r>
          </w:p>
          <w:p w:rsidR="001C3108" w:rsidRPr="001444FB" w:rsidRDefault="001C3108" w:rsidP="001C3108">
            <w:pPr>
              <w:spacing w:line="240" w:lineRule="exact"/>
            </w:pPr>
          </w:p>
          <w:p w:rsidR="001C3108" w:rsidRPr="001444FB" w:rsidRDefault="001C3108" w:rsidP="001C3108">
            <w:pPr>
              <w:spacing w:line="240" w:lineRule="exact"/>
            </w:pPr>
            <w:r w:rsidRPr="001444FB">
              <w:t>Original: English</w:t>
            </w:r>
          </w:p>
          <w:p w:rsidR="00CC1294" w:rsidRPr="001444FB" w:rsidRDefault="00CC1294" w:rsidP="001C3108">
            <w:pPr>
              <w:spacing w:line="240" w:lineRule="exact"/>
            </w:pPr>
          </w:p>
        </w:tc>
      </w:tr>
    </w:tbl>
    <w:p w:rsidR="001C3108" w:rsidRPr="001444FB" w:rsidRDefault="001C3108" w:rsidP="001C3108">
      <w:pPr>
        <w:spacing w:before="120"/>
        <w:rPr>
          <w:b/>
          <w:sz w:val="24"/>
          <w:szCs w:val="24"/>
        </w:rPr>
      </w:pPr>
      <w:r w:rsidRPr="001444FB">
        <w:rPr>
          <w:b/>
          <w:sz w:val="24"/>
          <w:szCs w:val="24"/>
        </w:rPr>
        <w:t>Human Rights Committee</w:t>
      </w:r>
    </w:p>
    <w:p w:rsidR="001C3108" w:rsidRPr="001444FB" w:rsidRDefault="001C3108" w:rsidP="001C3108">
      <w:pPr>
        <w:pStyle w:val="HChG"/>
      </w:pPr>
      <w:r w:rsidRPr="001444FB">
        <w:tab/>
      </w:r>
      <w:r w:rsidRPr="001444FB">
        <w:tab/>
        <w:t>Communication No. 2</w:t>
      </w:r>
      <w:r w:rsidR="00CF19BE" w:rsidRPr="001444FB">
        <w:t>515</w:t>
      </w:r>
      <w:r w:rsidRPr="001444FB">
        <w:t>/201</w:t>
      </w:r>
      <w:r w:rsidR="00CF19BE" w:rsidRPr="001444FB">
        <w:t>4</w:t>
      </w:r>
    </w:p>
    <w:p w:rsidR="005474FA" w:rsidRPr="001444FB" w:rsidRDefault="001C3108" w:rsidP="001444FB">
      <w:pPr>
        <w:pStyle w:val="H1G"/>
        <w:rPr>
          <w:bCs/>
        </w:rPr>
      </w:pPr>
      <w:r w:rsidRPr="001444FB">
        <w:tab/>
      </w:r>
      <w:r w:rsidRPr="001444FB">
        <w:tab/>
      </w:r>
      <w:r w:rsidR="005474FA" w:rsidRPr="001444FB">
        <w:t>Decision adopted by the Committee at its 113</w:t>
      </w:r>
      <w:r w:rsidR="00155EFA" w:rsidRPr="001444FB">
        <w:t>th</w:t>
      </w:r>
      <w:r w:rsidR="005474FA" w:rsidRPr="001444FB">
        <w:t xml:space="preserve"> session</w:t>
      </w:r>
      <w:r w:rsidR="00155EFA" w:rsidRPr="001444FB">
        <w:t>,</w:t>
      </w:r>
      <w:r w:rsidR="005474FA" w:rsidRPr="001444FB">
        <w:t xml:space="preserve"> </w:t>
      </w:r>
      <w:r w:rsidR="0081435B" w:rsidRPr="001444FB">
        <w:br/>
      </w:r>
      <w:r w:rsidR="005474FA" w:rsidRPr="001444FB">
        <w:t>(</w:t>
      </w:r>
      <w:r w:rsidR="005474FA" w:rsidRPr="001444FB">
        <w:rPr>
          <w:bCs/>
        </w:rPr>
        <w:t>16 March–2 April 2015)</w:t>
      </w:r>
    </w:p>
    <w:p w:rsidR="001C3108" w:rsidRPr="001444FB" w:rsidRDefault="001C3108" w:rsidP="001444FB">
      <w:pPr>
        <w:pStyle w:val="SingleTxtG"/>
        <w:ind w:left="4536" w:hanging="3402"/>
        <w:jc w:val="left"/>
        <w:rPr>
          <w:lang w:val="en-GB"/>
        </w:rPr>
      </w:pPr>
      <w:r w:rsidRPr="001444FB">
        <w:rPr>
          <w:i/>
          <w:lang w:val="en-GB"/>
        </w:rPr>
        <w:t>Submitted by:</w:t>
      </w:r>
      <w:r w:rsidRPr="001444FB">
        <w:rPr>
          <w:lang w:val="en-GB"/>
        </w:rPr>
        <w:tab/>
        <w:t>X (represented by counsel, Helge Norrug)</w:t>
      </w:r>
    </w:p>
    <w:p w:rsidR="001C3108" w:rsidRPr="001444FB" w:rsidRDefault="001C3108" w:rsidP="001444FB">
      <w:pPr>
        <w:pStyle w:val="SingleTxtG"/>
        <w:ind w:left="4536" w:hanging="3402"/>
        <w:jc w:val="left"/>
        <w:rPr>
          <w:lang w:val="en-GB"/>
        </w:rPr>
      </w:pPr>
      <w:r w:rsidRPr="001444FB">
        <w:rPr>
          <w:i/>
          <w:lang w:val="en-GB"/>
        </w:rPr>
        <w:t>Alleged victim:</w:t>
      </w:r>
      <w:r w:rsidRPr="001444FB">
        <w:rPr>
          <w:lang w:val="en-GB"/>
        </w:rPr>
        <w:tab/>
        <w:t>The author</w:t>
      </w:r>
    </w:p>
    <w:p w:rsidR="001C3108" w:rsidRPr="001444FB" w:rsidRDefault="001C3108" w:rsidP="001444FB">
      <w:pPr>
        <w:pStyle w:val="SingleTxtG"/>
        <w:ind w:left="4536" w:hanging="3402"/>
        <w:jc w:val="left"/>
        <w:rPr>
          <w:lang w:val="en-GB"/>
        </w:rPr>
      </w:pPr>
      <w:r w:rsidRPr="001444FB">
        <w:rPr>
          <w:i/>
          <w:lang w:val="en-GB"/>
        </w:rPr>
        <w:t>State party:</w:t>
      </w:r>
      <w:r w:rsidRPr="001444FB">
        <w:rPr>
          <w:lang w:val="en-GB"/>
        </w:rPr>
        <w:tab/>
        <w:t>Denmark</w:t>
      </w:r>
    </w:p>
    <w:p w:rsidR="001C3108" w:rsidRPr="001444FB" w:rsidRDefault="001C3108" w:rsidP="001444FB">
      <w:pPr>
        <w:pStyle w:val="SingleTxtG"/>
        <w:ind w:left="4536" w:hanging="3402"/>
        <w:jc w:val="left"/>
        <w:rPr>
          <w:lang w:val="en-GB"/>
        </w:rPr>
      </w:pPr>
      <w:r w:rsidRPr="001444FB">
        <w:rPr>
          <w:i/>
          <w:lang w:val="en-GB"/>
        </w:rPr>
        <w:t>Date of communication:</w:t>
      </w:r>
      <w:r w:rsidRPr="001444FB">
        <w:rPr>
          <w:lang w:val="en-GB"/>
        </w:rPr>
        <w:tab/>
        <w:t>11 December 2014 (initial submission)</w:t>
      </w:r>
    </w:p>
    <w:p w:rsidR="001C3108" w:rsidRPr="001444FB" w:rsidRDefault="001C3108" w:rsidP="001444FB">
      <w:pPr>
        <w:pStyle w:val="SingleTxtG"/>
        <w:ind w:left="4536" w:hanging="3402"/>
        <w:jc w:val="left"/>
        <w:rPr>
          <w:lang w:val="en-GB"/>
        </w:rPr>
      </w:pPr>
      <w:r w:rsidRPr="001444FB">
        <w:rPr>
          <w:i/>
          <w:lang w:val="en-GB"/>
        </w:rPr>
        <w:t>Date of decision:</w:t>
      </w:r>
      <w:r w:rsidRPr="001444FB">
        <w:rPr>
          <w:lang w:val="en-GB"/>
        </w:rPr>
        <w:tab/>
      </w:r>
      <w:r w:rsidR="005474FA" w:rsidRPr="001444FB">
        <w:rPr>
          <w:lang w:val="en-GB"/>
        </w:rPr>
        <w:t>1 April</w:t>
      </w:r>
      <w:r w:rsidRPr="001444FB">
        <w:rPr>
          <w:lang w:val="en-GB"/>
        </w:rPr>
        <w:t xml:space="preserve"> 2015</w:t>
      </w:r>
    </w:p>
    <w:p w:rsidR="001C3108" w:rsidRPr="001444FB" w:rsidRDefault="001C3108" w:rsidP="001444FB">
      <w:pPr>
        <w:pStyle w:val="SingleTxtG"/>
        <w:ind w:left="4536" w:hanging="3402"/>
        <w:jc w:val="left"/>
        <w:rPr>
          <w:highlight w:val="yellow"/>
          <w:lang w:val="en-GB"/>
        </w:rPr>
      </w:pPr>
      <w:r w:rsidRPr="001444FB">
        <w:rPr>
          <w:i/>
          <w:lang w:val="en-GB"/>
        </w:rPr>
        <w:t>Subject matter:</w:t>
      </w:r>
      <w:r w:rsidR="006004F2" w:rsidRPr="001444FB">
        <w:rPr>
          <w:i/>
          <w:lang w:val="en-GB"/>
        </w:rPr>
        <w:t xml:space="preserve"> </w:t>
      </w:r>
      <w:r w:rsidRPr="001444FB">
        <w:rPr>
          <w:i/>
          <w:lang w:val="en-GB"/>
        </w:rPr>
        <w:tab/>
      </w:r>
      <w:r w:rsidRPr="001444FB">
        <w:rPr>
          <w:lang w:val="en-GB"/>
        </w:rPr>
        <w:t>Deportation to Afghanistan</w:t>
      </w:r>
      <w:r w:rsidRPr="001444FB">
        <w:rPr>
          <w:highlight w:val="yellow"/>
          <w:lang w:val="en-GB"/>
        </w:rPr>
        <w:t xml:space="preserve"> </w:t>
      </w:r>
    </w:p>
    <w:p w:rsidR="001C3108" w:rsidRPr="001444FB" w:rsidRDefault="001C3108" w:rsidP="001444FB">
      <w:pPr>
        <w:pStyle w:val="SingleTxtG"/>
        <w:ind w:left="4536" w:hanging="3402"/>
        <w:jc w:val="left"/>
        <w:rPr>
          <w:iCs/>
          <w:lang w:val="en-GB"/>
        </w:rPr>
      </w:pPr>
      <w:r w:rsidRPr="001444FB">
        <w:rPr>
          <w:i/>
          <w:lang w:val="en-GB"/>
        </w:rPr>
        <w:t xml:space="preserve">Procedural issues: </w:t>
      </w:r>
      <w:r w:rsidRPr="001444FB">
        <w:rPr>
          <w:i/>
          <w:lang w:val="en-GB"/>
        </w:rPr>
        <w:tab/>
      </w:r>
      <w:r w:rsidRPr="001444FB">
        <w:rPr>
          <w:iCs/>
          <w:lang w:val="en-GB"/>
        </w:rPr>
        <w:t>Insufficient substantiation of claims</w:t>
      </w:r>
    </w:p>
    <w:p w:rsidR="00FB5CF4" w:rsidRPr="001444FB" w:rsidRDefault="00FB5CF4" w:rsidP="001444FB">
      <w:pPr>
        <w:pStyle w:val="SingleTxtG"/>
        <w:ind w:left="4536" w:hanging="3402"/>
        <w:jc w:val="left"/>
        <w:rPr>
          <w:lang w:val="en-GB"/>
        </w:rPr>
      </w:pPr>
      <w:r w:rsidRPr="001444FB">
        <w:rPr>
          <w:i/>
          <w:lang w:val="en-GB"/>
        </w:rPr>
        <w:t xml:space="preserve">Substantive issues: </w:t>
      </w:r>
      <w:r w:rsidRPr="001444FB">
        <w:rPr>
          <w:i/>
          <w:lang w:val="en-GB"/>
        </w:rPr>
        <w:tab/>
      </w:r>
      <w:r w:rsidRPr="001444FB">
        <w:rPr>
          <w:lang w:val="en-GB"/>
        </w:rPr>
        <w:t>Risk of torture and ill-treatment, infringement of freedom of religion</w:t>
      </w:r>
    </w:p>
    <w:p w:rsidR="001C3108" w:rsidRPr="001444FB" w:rsidRDefault="001C3108" w:rsidP="001444FB">
      <w:pPr>
        <w:pStyle w:val="SingleTxtG"/>
        <w:ind w:left="4536" w:hanging="3402"/>
        <w:jc w:val="left"/>
        <w:rPr>
          <w:lang w:val="en-GB"/>
        </w:rPr>
      </w:pPr>
      <w:r w:rsidRPr="001444FB">
        <w:rPr>
          <w:i/>
          <w:lang w:val="en-GB"/>
        </w:rPr>
        <w:t>Articles of the Covenant:</w:t>
      </w:r>
      <w:r w:rsidRPr="001444FB">
        <w:rPr>
          <w:lang w:val="en-GB"/>
        </w:rPr>
        <w:t xml:space="preserve"> </w:t>
      </w:r>
      <w:r w:rsidRPr="001444FB">
        <w:rPr>
          <w:lang w:val="en-GB"/>
        </w:rPr>
        <w:tab/>
      </w:r>
      <w:r w:rsidRPr="001444FB">
        <w:rPr>
          <w:iCs/>
          <w:lang w:val="en-GB"/>
        </w:rPr>
        <w:t>7</w:t>
      </w:r>
      <w:r w:rsidR="00672369" w:rsidRPr="001444FB">
        <w:rPr>
          <w:iCs/>
          <w:lang w:val="en-GB"/>
        </w:rPr>
        <w:t>;</w:t>
      </w:r>
      <w:r w:rsidRPr="001444FB">
        <w:rPr>
          <w:iCs/>
          <w:lang w:val="en-GB"/>
        </w:rPr>
        <w:t xml:space="preserve"> 18 and 26</w:t>
      </w:r>
    </w:p>
    <w:p w:rsidR="00D1575B" w:rsidRPr="001444FB" w:rsidRDefault="001C3108" w:rsidP="001444FB">
      <w:pPr>
        <w:pStyle w:val="SingleTxtG"/>
        <w:ind w:left="4536" w:hanging="3402"/>
        <w:jc w:val="left"/>
        <w:rPr>
          <w:lang w:val="en-GB"/>
        </w:rPr>
      </w:pPr>
      <w:r w:rsidRPr="001444FB">
        <w:rPr>
          <w:i/>
          <w:lang w:val="en-GB"/>
        </w:rPr>
        <w:t>Article of the Optional Protocol:</w:t>
      </w:r>
      <w:r w:rsidRPr="001444FB">
        <w:rPr>
          <w:i/>
          <w:lang w:val="en-GB"/>
        </w:rPr>
        <w:tab/>
      </w:r>
      <w:r w:rsidRPr="001444FB">
        <w:rPr>
          <w:lang w:val="en-GB"/>
        </w:rPr>
        <w:t>2</w:t>
      </w:r>
    </w:p>
    <w:p w:rsidR="00AF0BA3" w:rsidRPr="001444FB" w:rsidRDefault="00FB0CBA" w:rsidP="001444FB">
      <w:pPr>
        <w:pStyle w:val="SingleTxtG"/>
        <w:ind w:left="4536" w:hanging="3402"/>
        <w:rPr>
          <w:lang w:val="en-GB"/>
        </w:rPr>
      </w:pPr>
      <w:r>
        <w:rPr>
          <w:noProof/>
          <w:lang w:val="en-US"/>
        </w:rPr>
        <w:drawing>
          <wp:anchor distT="0" distB="0" distL="114300" distR="114300" simplePos="0" relativeHeight="251658240" behindDoc="0" locked="0" layoutInCell="1" allowOverlap="1" wp14:anchorId="1404A0EE" wp14:editId="109E89DA">
            <wp:simplePos x="0" y="0"/>
            <wp:positionH relativeFrom="margin">
              <wp:posOffset>5474691</wp:posOffset>
            </wp:positionH>
            <wp:positionV relativeFrom="margin">
              <wp:posOffset>8035290</wp:posOffset>
            </wp:positionV>
            <wp:extent cx="635000" cy="635000"/>
            <wp:effectExtent l="0" t="0" r="0" b="0"/>
            <wp:wrapNone/>
            <wp:docPr id="3" name="Picture 2" descr="http://undocs.org/m2/QRCode.ashx?DS=CCPR/C/113/D/2515/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515/2014&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5B" w:rsidRPr="001444FB">
        <w:rPr>
          <w:lang w:val="en-GB"/>
        </w:rPr>
        <w:br w:type="page"/>
      </w:r>
    </w:p>
    <w:p w:rsidR="005474FA" w:rsidRPr="001444FB" w:rsidRDefault="00AF0BA3" w:rsidP="001444FB">
      <w:pPr>
        <w:pStyle w:val="H1G"/>
      </w:pPr>
      <w:r w:rsidRPr="001444FB">
        <w:lastRenderedPageBreak/>
        <w:tab/>
      </w:r>
      <w:r w:rsidR="001C3108" w:rsidRPr="001444FB">
        <w:tab/>
        <w:t>Decision on admissibility</w:t>
      </w:r>
      <w:r w:rsidR="00FA03F9" w:rsidRPr="001444FB">
        <w:rPr>
          <w:rStyle w:val="FootnoteReference"/>
          <w:rFonts w:eastAsia="Calibri"/>
          <w:b w:val="0"/>
          <w:bCs/>
          <w:sz w:val="20"/>
          <w:vertAlign w:val="baseline"/>
        </w:rPr>
        <w:footnoteReference w:customMarkFollows="1" w:id="2"/>
        <w:t>*</w:t>
      </w:r>
    </w:p>
    <w:p w:rsidR="001C3108" w:rsidRPr="001444FB" w:rsidRDefault="001C3108" w:rsidP="001444FB">
      <w:pPr>
        <w:pStyle w:val="SingleTxtG"/>
        <w:spacing w:line="240" w:lineRule="auto"/>
        <w:rPr>
          <w:lang w:val="en-GB"/>
        </w:rPr>
      </w:pPr>
      <w:r w:rsidRPr="001444FB">
        <w:rPr>
          <w:lang w:val="en-GB"/>
        </w:rPr>
        <w:t>1.1</w:t>
      </w:r>
      <w:r w:rsidRPr="001444FB">
        <w:rPr>
          <w:lang w:val="en-GB"/>
        </w:rPr>
        <w:tab/>
        <w:t xml:space="preserve">The author of the communication is </w:t>
      </w:r>
      <w:r w:rsidR="00C10BB9" w:rsidRPr="001444FB">
        <w:rPr>
          <w:lang w:val="en-GB"/>
        </w:rPr>
        <w:t>Mr. </w:t>
      </w:r>
      <w:r w:rsidRPr="001444FB">
        <w:rPr>
          <w:lang w:val="en-GB"/>
        </w:rPr>
        <w:t xml:space="preserve">X, an Afghan national born on </w:t>
      </w:r>
      <w:r w:rsidR="00503573" w:rsidRPr="001444FB">
        <w:rPr>
          <w:lang w:val="en-GB"/>
        </w:rPr>
        <w:t>1 </w:t>
      </w:r>
      <w:r w:rsidRPr="001444FB">
        <w:rPr>
          <w:lang w:val="en-GB"/>
        </w:rPr>
        <w:t xml:space="preserve">January 1983. He claims that his deportation to Afghanistan by the State party would constitute a violation of his rights under </w:t>
      </w:r>
      <w:r w:rsidR="00C10BB9" w:rsidRPr="001444FB">
        <w:rPr>
          <w:lang w:val="en-GB"/>
        </w:rPr>
        <w:t>articles </w:t>
      </w:r>
      <w:r w:rsidRPr="001444FB">
        <w:rPr>
          <w:lang w:val="en-GB"/>
        </w:rPr>
        <w:t>7, 18 and 26 of the Covenant. The author is represented by counsel.</w:t>
      </w:r>
    </w:p>
    <w:p w:rsidR="001C3108" w:rsidRPr="001444FB" w:rsidRDefault="001C3108" w:rsidP="001C3108">
      <w:pPr>
        <w:pStyle w:val="SingleTxtG"/>
        <w:spacing w:line="240" w:lineRule="auto"/>
        <w:rPr>
          <w:lang w:val="en-GB"/>
        </w:rPr>
      </w:pPr>
      <w:r w:rsidRPr="001444FB">
        <w:rPr>
          <w:lang w:val="en-GB"/>
        </w:rPr>
        <w:t>1.2</w:t>
      </w:r>
      <w:r w:rsidRPr="001444FB">
        <w:rPr>
          <w:lang w:val="en-GB"/>
        </w:rPr>
        <w:tab/>
        <w:t>On 22 December 2015, the Special Rapporteur on new communications and interim measures, acting on behalf of the Committee, decided not to issue a request for interim measures under rule 92 of the Committee’s rules of procedure. He also determined that observations from the State party were not needed to ascertain the admissibility of the present communication.</w:t>
      </w:r>
    </w:p>
    <w:p w:rsidR="001C3108" w:rsidRPr="001444FB" w:rsidRDefault="001C3108" w:rsidP="001444FB">
      <w:pPr>
        <w:pStyle w:val="H23G"/>
      </w:pPr>
      <w:r w:rsidRPr="001444FB">
        <w:tab/>
      </w:r>
      <w:r w:rsidRPr="001444FB">
        <w:tab/>
        <w:t>The facts as presented by the author</w:t>
      </w:r>
    </w:p>
    <w:p w:rsidR="001C3108" w:rsidRPr="001444FB" w:rsidRDefault="001C3108" w:rsidP="001C3108">
      <w:pPr>
        <w:pStyle w:val="SingleTxtG"/>
        <w:rPr>
          <w:lang w:val="en-GB"/>
        </w:rPr>
      </w:pPr>
      <w:r w:rsidRPr="001444FB">
        <w:rPr>
          <w:lang w:val="en-GB"/>
        </w:rPr>
        <w:t>2.1</w:t>
      </w:r>
      <w:r w:rsidRPr="001444FB">
        <w:rPr>
          <w:lang w:val="en-GB"/>
        </w:rPr>
        <w:tab/>
        <w:t xml:space="preserve">The author is ethnic Pashto and originally professed Sunni Muslim faith. He used to live in the town of Shindan, province of Herat, Afghanistan, with his parents, brother and sister. He worked as a photographer. The author claims that he was asked by a powerful rich man, </w:t>
      </w:r>
      <w:r w:rsidR="00C10BB9" w:rsidRPr="001444FB">
        <w:rPr>
          <w:lang w:val="en-GB"/>
        </w:rPr>
        <w:t>Mr. </w:t>
      </w:r>
      <w:r w:rsidRPr="001444FB">
        <w:rPr>
          <w:lang w:val="en-GB"/>
        </w:rPr>
        <w:t>H.A.K., to record his daughter’s wedding; that shortly after the wedding, the video was stolen by unknown people; and that</w:t>
      </w:r>
      <w:r w:rsidR="00AF0BA3" w:rsidRPr="001444FB">
        <w:rPr>
          <w:lang w:val="en-GB"/>
        </w:rPr>
        <w:t>,</w:t>
      </w:r>
      <w:r w:rsidRPr="001444FB">
        <w:rPr>
          <w:lang w:val="en-GB"/>
        </w:rPr>
        <w:t xml:space="preserve"> when </w:t>
      </w:r>
      <w:r w:rsidR="00C10BB9" w:rsidRPr="001444FB">
        <w:rPr>
          <w:lang w:val="en-GB"/>
        </w:rPr>
        <w:t>Mr. </w:t>
      </w:r>
      <w:r w:rsidRPr="001444FB">
        <w:rPr>
          <w:lang w:val="en-GB"/>
        </w:rPr>
        <w:t xml:space="preserve">H.A.K became aware of it, he and other men abducted the author and his sister and kept them in a cellar. He further alleges that </w:t>
      </w:r>
      <w:r w:rsidR="00C10BB9" w:rsidRPr="001444FB">
        <w:rPr>
          <w:lang w:val="en-GB"/>
        </w:rPr>
        <w:t>Mr. </w:t>
      </w:r>
      <w:r w:rsidRPr="001444FB">
        <w:rPr>
          <w:lang w:val="en-GB"/>
        </w:rPr>
        <w:t>H.A.K. broke his legs, jaw and nose. Two weeks later, he moved to Tehran, where he resided illegally for two years</w:t>
      </w:r>
      <w:r w:rsidR="00AF0BA3" w:rsidRPr="001444FB">
        <w:rPr>
          <w:lang w:val="en-GB"/>
        </w:rPr>
        <w:t>,</w:t>
      </w:r>
      <w:r w:rsidRPr="001444FB">
        <w:rPr>
          <w:lang w:val="en-GB"/>
        </w:rPr>
        <w:t xml:space="preserve"> and then to Greece, where he worked and resided legally for about six years. After receiving threats by </w:t>
      </w:r>
      <w:r w:rsidR="00503573" w:rsidRPr="001444FB">
        <w:rPr>
          <w:lang w:val="en-GB"/>
        </w:rPr>
        <w:t>tele</w:t>
      </w:r>
      <w:r w:rsidRPr="001444FB">
        <w:rPr>
          <w:lang w:val="en-GB"/>
        </w:rPr>
        <w:t xml:space="preserve">phone from an unknown person, who told him that </w:t>
      </w:r>
      <w:r w:rsidR="00C10BB9" w:rsidRPr="001444FB">
        <w:rPr>
          <w:lang w:val="en-GB"/>
        </w:rPr>
        <w:t>Mr. </w:t>
      </w:r>
      <w:r w:rsidRPr="001444FB">
        <w:rPr>
          <w:lang w:val="en-GB"/>
        </w:rPr>
        <w:t>H.K.A. would kill his brother, he felt insecure and decided to leave Greece.</w:t>
      </w:r>
    </w:p>
    <w:p w:rsidR="001C3108" w:rsidRPr="001444FB" w:rsidRDefault="001C3108" w:rsidP="001444FB">
      <w:pPr>
        <w:pStyle w:val="SingleTxtG"/>
        <w:rPr>
          <w:lang w:val="en-GB"/>
        </w:rPr>
      </w:pPr>
      <w:r w:rsidRPr="001444FB">
        <w:rPr>
          <w:lang w:val="en-GB"/>
        </w:rPr>
        <w:t>2.2</w:t>
      </w:r>
      <w:r w:rsidR="00911AEA" w:rsidRPr="001444FB">
        <w:rPr>
          <w:lang w:val="en-GB"/>
        </w:rPr>
        <w:tab/>
      </w:r>
      <w:r w:rsidRPr="001444FB">
        <w:rPr>
          <w:lang w:val="en-GB"/>
        </w:rPr>
        <w:t xml:space="preserve">On 17 January 2012, the author arrived in Denmark </w:t>
      </w:r>
      <w:r w:rsidR="00AF0BA3" w:rsidRPr="001444FB">
        <w:rPr>
          <w:lang w:val="en-GB"/>
        </w:rPr>
        <w:t>where,</w:t>
      </w:r>
      <w:r w:rsidRPr="001444FB">
        <w:rPr>
          <w:lang w:val="en-GB"/>
        </w:rPr>
        <w:t xml:space="preserve"> </w:t>
      </w:r>
      <w:r w:rsidR="002432AB" w:rsidRPr="001444FB">
        <w:rPr>
          <w:lang w:val="en-GB"/>
        </w:rPr>
        <w:t>on 24 January</w:t>
      </w:r>
      <w:r w:rsidR="00AF0BA3" w:rsidRPr="001444FB">
        <w:rPr>
          <w:lang w:val="en-GB"/>
        </w:rPr>
        <w:t>,</w:t>
      </w:r>
      <w:r w:rsidR="002432AB" w:rsidRPr="001444FB">
        <w:rPr>
          <w:lang w:val="en-GB"/>
        </w:rPr>
        <w:t xml:space="preserve"> </w:t>
      </w:r>
      <w:r w:rsidR="00AF0BA3" w:rsidRPr="001444FB">
        <w:rPr>
          <w:lang w:val="en-GB"/>
        </w:rPr>
        <w:t xml:space="preserve">he </w:t>
      </w:r>
      <w:r w:rsidRPr="001444FB">
        <w:rPr>
          <w:lang w:val="en-GB"/>
        </w:rPr>
        <w:t>requested</w:t>
      </w:r>
      <w:r w:rsidR="006004F2" w:rsidRPr="001444FB">
        <w:rPr>
          <w:lang w:val="en-GB"/>
        </w:rPr>
        <w:t xml:space="preserve"> </w:t>
      </w:r>
      <w:r w:rsidRPr="001444FB">
        <w:rPr>
          <w:lang w:val="en-GB"/>
        </w:rPr>
        <w:t xml:space="preserve">asylum before the Danish Immigration Service. He referred to the </w:t>
      </w:r>
      <w:r w:rsidR="00775848" w:rsidRPr="001444FB">
        <w:rPr>
          <w:lang w:val="en-GB"/>
        </w:rPr>
        <w:t xml:space="preserve">experiences </w:t>
      </w:r>
      <w:r w:rsidRPr="001444FB">
        <w:rPr>
          <w:lang w:val="en-GB"/>
        </w:rPr>
        <w:t xml:space="preserve">that he </w:t>
      </w:r>
      <w:r w:rsidR="002432AB" w:rsidRPr="001444FB">
        <w:rPr>
          <w:lang w:val="en-GB"/>
        </w:rPr>
        <w:t>under</w:t>
      </w:r>
      <w:r w:rsidRPr="001444FB">
        <w:rPr>
          <w:lang w:val="en-GB"/>
        </w:rPr>
        <w:t>went</w:t>
      </w:r>
      <w:r w:rsidR="006004F2" w:rsidRPr="001444FB">
        <w:rPr>
          <w:lang w:val="en-GB"/>
        </w:rPr>
        <w:t xml:space="preserve"> </w:t>
      </w:r>
      <w:r w:rsidRPr="001444FB">
        <w:rPr>
          <w:lang w:val="en-GB"/>
        </w:rPr>
        <w:t>in Afghanistan and Greece and claimed that</w:t>
      </w:r>
      <w:r w:rsidR="00503573" w:rsidRPr="001444FB">
        <w:rPr>
          <w:lang w:val="en-GB"/>
        </w:rPr>
        <w:t>,</w:t>
      </w:r>
      <w:r w:rsidRPr="001444FB">
        <w:rPr>
          <w:lang w:val="en-GB"/>
        </w:rPr>
        <w:t xml:space="preserve"> if returned to his country of origin</w:t>
      </w:r>
      <w:r w:rsidR="00503573" w:rsidRPr="001444FB">
        <w:rPr>
          <w:lang w:val="en-GB"/>
        </w:rPr>
        <w:t>,</w:t>
      </w:r>
      <w:r w:rsidRPr="001444FB">
        <w:rPr>
          <w:lang w:val="en-GB"/>
        </w:rPr>
        <w:t xml:space="preserve"> he would be persecuted by </w:t>
      </w:r>
      <w:r w:rsidR="00C10BB9" w:rsidRPr="001444FB">
        <w:rPr>
          <w:lang w:val="en-GB"/>
        </w:rPr>
        <w:t>Mr. </w:t>
      </w:r>
      <w:r w:rsidRPr="001444FB">
        <w:rPr>
          <w:lang w:val="en-GB"/>
        </w:rPr>
        <w:t xml:space="preserve">H.A.K., who was still a </w:t>
      </w:r>
      <w:r w:rsidR="00584B31" w:rsidRPr="001444FB">
        <w:rPr>
          <w:lang w:val="en-GB"/>
        </w:rPr>
        <w:t xml:space="preserve">powerful </w:t>
      </w:r>
      <w:r w:rsidRPr="001444FB">
        <w:rPr>
          <w:lang w:val="en-GB"/>
        </w:rPr>
        <w:t xml:space="preserve">local man. He also pointed out that he was illiterate and that he professed Sunni </w:t>
      </w:r>
      <w:r w:rsidR="00503573" w:rsidRPr="001444FB">
        <w:rPr>
          <w:lang w:val="en-GB"/>
        </w:rPr>
        <w:t xml:space="preserve">Muslim </w:t>
      </w:r>
      <w:r w:rsidRPr="001444FB">
        <w:rPr>
          <w:lang w:val="en-GB"/>
        </w:rPr>
        <w:t>faith. The author claims that</w:t>
      </w:r>
      <w:r w:rsidR="00503573" w:rsidRPr="001444FB">
        <w:rPr>
          <w:lang w:val="en-GB"/>
        </w:rPr>
        <w:t>,</w:t>
      </w:r>
      <w:r w:rsidR="002432AB" w:rsidRPr="001444FB">
        <w:rPr>
          <w:lang w:val="en-GB"/>
        </w:rPr>
        <w:t xml:space="preserve"> a</w:t>
      </w:r>
      <w:r w:rsidRPr="001444FB">
        <w:rPr>
          <w:lang w:val="en-GB"/>
        </w:rPr>
        <w:t xml:space="preserve"> few weeks later, he entered in contact with a Christian Iranian man</w:t>
      </w:r>
      <w:r w:rsidR="00503573" w:rsidRPr="001444FB">
        <w:rPr>
          <w:lang w:val="en-GB"/>
        </w:rPr>
        <w:t>,</w:t>
      </w:r>
      <w:r w:rsidRPr="001444FB">
        <w:rPr>
          <w:lang w:val="en-GB"/>
        </w:rPr>
        <w:t xml:space="preserve"> who introduced him to this new religion. </w:t>
      </w:r>
    </w:p>
    <w:p w:rsidR="001C3108" w:rsidRPr="001444FB" w:rsidRDefault="00911AEA" w:rsidP="001444FB">
      <w:pPr>
        <w:pStyle w:val="SingleTxtG"/>
        <w:rPr>
          <w:lang w:val="en-GB"/>
        </w:rPr>
      </w:pPr>
      <w:r w:rsidRPr="001444FB">
        <w:rPr>
          <w:lang w:val="en-GB"/>
        </w:rPr>
        <w:t>2.3</w:t>
      </w:r>
      <w:r w:rsidR="001C3108" w:rsidRPr="001444FB">
        <w:rPr>
          <w:lang w:val="en-GB"/>
        </w:rPr>
        <w:tab/>
        <w:t>On 8 June 2012, the Danish Immigration Service rejected the author’s request for asylum.</w:t>
      </w:r>
      <w:r w:rsidR="006004F2" w:rsidRPr="001444FB">
        <w:rPr>
          <w:lang w:val="en-GB"/>
        </w:rPr>
        <w:t xml:space="preserve"> </w:t>
      </w:r>
      <w:r w:rsidR="001C3108" w:rsidRPr="001444FB">
        <w:rPr>
          <w:lang w:val="en-GB"/>
        </w:rPr>
        <w:t>The author’s appeal was dismissed by the Danish Refugee Board on 3</w:t>
      </w:r>
      <w:r w:rsidR="00C10BB9" w:rsidRPr="001444FB">
        <w:rPr>
          <w:lang w:val="en-GB"/>
        </w:rPr>
        <w:t> </w:t>
      </w:r>
      <w:r w:rsidR="001C3108" w:rsidRPr="001444FB">
        <w:rPr>
          <w:lang w:val="en-GB"/>
        </w:rPr>
        <w:t>October 2012.</w:t>
      </w:r>
      <w:r w:rsidR="001C3108" w:rsidRPr="001444FB">
        <w:rPr>
          <w:rStyle w:val="FootnoteReference"/>
          <w:lang w:val="en-GB"/>
        </w:rPr>
        <w:t xml:space="preserve"> </w:t>
      </w:r>
    </w:p>
    <w:p w:rsidR="001C3108" w:rsidRPr="001444FB" w:rsidRDefault="00911AEA" w:rsidP="001444FB">
      <w:pPr>
        <w:pStyle w:val="SingleTxtG"/>
        <w:rPr>
          <w:lang w:val="en-GB"/>
        </w:rPr>
      </w:pPr>
      <w:r w:rsidRPr="001444FB">
        <w:rPr>
          <w:lang w:val="en-GB"/>
        </w:rPr>
        <w:t>2.4</w:t>
      </w:r>
      <w:r w:rsidR="001C3108" w:rsidRPr="001444FB">
        <w:rPr>
          <w:lang w:val="en-GB"/>
        </w:rPr>
        <w:tab/>
        <w:t>The author claims that</w:t>
      </w:r>
      <w:r w:rsidR="00503573" w:rsidRPr="001444FB">
        <w:rPr>
          <w:lang w:val="en-GB"/>
        </w:rPr>
        <w:t>,</w:t>
      </w:r>
      <w:r w:rsidR="001C3108" w:rsidRPr="001444FB">
        <w:rPr>
          <w:lang w:val="en-GB"/>
        </w:rPr>
        <w:t xml:space="preserve"> in or after the </w:t>
      </w:r>
      <w:r w:rsidR="00775848" w:rsidRPr="001444FB">
        <w:rPr>
          <w:lang w:val="en-GB"/>
        </w:rPr>
        <w:t>autumn</w:t>
      </w:r>
      <w:r w:rsidR="00584B31" w:rsidRPr="001444FB">
        <w:rPr>
          <w:lang w:val="en-GB"/>
        </w:rPr>
        <w:t xml:space="preserve"> </w:t>
      </w:r>
      <w:r w:rsidR="001C3108" w:rsidRPr="001444FB">
        <w:rPr>
          <w:lang w:val="en-GB"/>
        </w:rPr>
        <w:t>of 2012, he visited for the first time a Christian church that was located near the asylum centre in Ranum</w:t>
      </w:r>
      <w:r w:rsidR="00503573" w:rsidRPr="001444FB">
        <w:rPr>
          <w:lang w:val="en-GB"/>
        </w:rPr>
        <w:t>,</w:t>
      </w:r>
      <w:r w:rsidR="001C3108" w:rsidRPr="001444FB">
        <w:rPr>
          <w:lang w:val="en-GB"/>
        </w:rPr>
        <w:t xml:space="preserve"> </w:t>
      </w:r>
      <w:r w:rsidR="00503573" w:rsidRPr="001444FB">
        <w:rPr>
          <w:lang w:val="en-GB"/>
        </w:rPr>
        <w:t xml:space="preserve">where </w:t>
      </w:r>
      <w:r w:rsidR="001C3108" w:rsidRPr="001444FB">
        <w:rPr>
          <w:lang w:val="en-GB"/>
        </w:rPr>
        <w:t xml:space="preserve">he met a Presbyterian pastor, </w:t>
      </w:r>
      <w:r w:rsidR="00C10BB9" w:rsidRPr="001444FB">
        <w:rPr>
          <w:lang w:val="en-GB"/>
        </w:rPr>
        <w:t>Mr. </w:t>
      </w:r>
      <w:r w:rsidR="001C3108" w:rsidRPr="001444FB">
        <w:rPr>
          <w:lang w:val="en-GB"/>
        </w:rPr>
        <w:t xml:space="preserve">P.V., who later became his teacher of Christianity. Since he felt harassed by other asylum seekers </w:t>
      </w:r>
      <w:r w:rsidR="00503573" w:rsidRPr="001444FB">
        <w:rPr>
          <w:lang w:val="en-GB"/>
        </w:rPr>
        <w:t xml:space="preserve">at </w:t>
      </w:r>
      <w:r w:rsidR="001C3108" w:rsidRPr="001444FB">
        <w:rPr>
          <w:lang w:val="en-GB"/>
        </w:rPr>
        <w:t xml:space="preserve">the centre, who disliked his attendance </w:t>
      </w:r>
      <w:r w:rsidR="002432AB" w:rsidRPr="001444FB">
        <w:rPr>
          <w:lang w:val="en-GB"/>
        </w:rPr>
        <w:t>at</w:t>
      </w:r>
      <w:r w:rsidR="001C3108" w:rsidRPr="001444FB">
        <w:rPr>
          <w:lang w:val="en-GB"/>
        </w:rPr>
        <w:t xml:space="preserve"> the church, he was transferred </w:t>
      </w:r>
      <w:r w:rsidR="00584B31" w:rsidRPr="001444FB">
        <w:rPr>
          <w:lang w:val="en-GB"/>
        </w:rPr>
        <w:t xml:space="preserve">at pastor P.V.’s request </w:t>
      </w:r>
      <w:r w:rsidR="001C3108" w:rsidRPr="001444FB">
        <w:rPr>
          <w:lang w:val="en-GB"/>
        </w:rPr>
        <w:t>to another asylum centre in Avnstrup</w:t>
      </w:r>
      <w:r w:rsidRPr="001444FB">
        <w:rPr>
          <w:lang w:val="en-GB"/>
        </w:rPr>
        <w:t>.</w:t>
      </w:r>
      <w:r w:rsidR="001C3108" w:rsidRPr="001444FB">
        <w:rPr>
          <w:lang w:val="en-GB"/>
        </w:rPr>
        <w:t xml:space="preserve"> He started </w:t>
      </w:r>
      <w:r w:rsidR="00503573" w:rsidRPr="001444FB">
        <w:rPr>
          <w:lang w:val="en-GB"/>
        </w:rPr>
        <w:t xml:space="preserve">to </w:t>
      </w:r>
      <w:r w:rsidR="001C3108" w:rsidRPr="001444FB">
        <w:rPr>
          <w:lang w:val="en-GB"/>
        </w:rPr>
        <w:t>participat</w:t>
      </w:r>
      <w:r w:rsidR="00503573" w:rsidRPr="001444FB">
        <w:rPr>
          <w:lang w:val="en-GB"/>
        </w:rPr>
        <w:t>e</w:t>
      </w:r>
      <w:r w:rsidR="001C3108" w:rsidRPr="001444FB">
        <w:rPr>
          <w:lang w:val="en-GB"/>
        </w:rPr>
        <w:t xml:space="preserve"> in Farsi-speaking Christian groups, </w:t>
      </w:r>
      <w:r w:rsidR="00503573" w:rsidRPr="001444FB">
        <w:rPr>
          <w:lang w:val="en-GB"/>
        </w:rPr>
        <w:t xml:space="preserve">at </w:t>
      </w:r>
      <w:r w:rsidR="001C3108" w:rsidRPr="001444FB">
        <w:rPr>
          <w:lang w:val="en-GB"/>
        </w:rPr>
        <w:t>Saint Luke</w:t>
      </w:r>
      <w:r w:rsidR="001A35A5" w:rsidRPr="001444FB">
        <w:rPr>
          <w:lang w:val="en-GB"/>
        </w:rPr>
        <w:t>ʼs</w:t>
      </w:r>
      <w:r w:rsidR="001C3108" w:rsidRPr="001444FB">
        <w:rPr>
          <w:lang w:val="en-GB"/>
        </w:rPr>
        <w:t xml:space="preserve"> Church, where he was bapti</w:t>
      </w:r>
      <w:r w:rsidR="00503573" w:rsidRPr="001444FB">
        <w:rPr>
          <w:lang w:val="en-GB"/>
        </w:rPr>
        <w:t>z</w:t>
      </w:r>
      <w:r w:rsidR="001C3108" w:rsidRPr="001444FB">
        <w:rPr>
          <w:lang w:val="en-GB"/>
        </w:rPr>
        <w:t xml:space="preserve">ed on 2 June 2013, and then </w:t>
      </w:r>
      <w:r w:rsidR="00503573" w:rsidRPr="001444FB">
        <w:rPr>
          <w:lang w:val="en-GB"/>
        </w:rPr>
        <w:t xml:space="preserve">at </w:t>
      </w:r>
      <w:r w:rsidR="001C3108" w:rsidRPr="001444FB">
        <w:rPr>
          <w:lang w:val="en-GB"/>
        </w:rPr>
        <w:t>the Church of the Apostles.</w:t>
      </w:r>
    </w:p>
    <w:p w:rsidR="001C3108" w:rsidRPr="001444FB" w:rsidRDefault="001C3108" w:rsidP="001444FB">
      <w:pPr>
        <w:pStyle w:val="SingleTxtG"/>
        <w:rPr>
          <w:lang w:val="en-GB"/>
        </w:rPr>
      </w:pPr>
      <w:r w:rsidRPr="001444FB">
        <w:rPr>
          <w:lang w:val="en-GB"/>
        </w:rPr>
        <w:t>2.5</w:t>
      </w:r>
      <w:r w:rsidR="006004F2" w:rsidRPr="001444FB">
        <w:rPr>
          <w:lang w:val="en-GB"/>
        </w:rPr>
        <w:tab/>
      </w:r>
      <w:r w:rsidRPr="001444FB">
        <w:rPr>
          <w:lang w:val="en-GB"/>
        </w:rPr>
        <w:t xml:space="preserve">On 26 July 2013, the author requested </w:t>
      </w:r>
      <w:r w:rsidR="00584B31" w:rsidRPr="001444FB">
        <w:rPr>
          <w:lang w:val="en-GB"/>
        </w:rPr>
        <w:t xml:space="preserve">that </w:t>
      </w:r>
      <w:r w:rsidRPr="001444FB">
        <w:rPr>
          <w:lang w:val="en-GB"/>
        </w:rPr>
        <w:t xml:space="preserve">the </w:t>
      </w:r>
      <w:r w:rsidR="00503573" w:rsidRPr="001444FB">
        <w:rPr>
          <w:lang w:val="en-GB"/>
        </w:rPr>
        <w:t>Danish Refugee Board</w:t>
      </w:r>
      <w:r w:rsidRPr="001444FB">
        <w:rPr>
          <w:lang w:val="en-GB"/>
        </w:rPr>
        <w:t xml:space="preserve"> reopen his case on grounds of his conversion to Christianity. On 13 August 2013, the </w:t>
      </w:r>
      <w:r w:rsidR="00503573" w:rsidRPr="001444FB">
        <w:rPr>
          <w:lang w:val="en-GB"/>
        </w:rPr>
        <w:t>Board</w:t>
      </w:r>
      <w:r w:rsidRPr="001444FB">
        <w:rPr>
          <w:lang w:val="en-GB"/>
        </w:rPr>
        <w:t xml:space="preserve"> rejected </w:t>
      </w:r>
      <w:r w:rsidRPr="001444FB">
        <w:rPr>
          <w:lang w:val="en-GB"/>
        </w:rPr>
        <w:lastRenderedPageBreak/>
        <w:t xml:space="preserve">his request and ordered him to leave the State party. On 31 August and 12 November 2013, the author submitted a request for reconsideration before the </w:t>
      </w:r>
      <w:r w:rsidR="00503573" w:rsidRPr="001444FB">
        <w:rPr>
          <w:lang w:val="en-GB"/>
        </w:rPr>
        <w:t>Board</w:t>
      </w:r>
      <w:r w:rsidRPr="001444FB">
        <w:rPr>
          <w:lang w:val="en-GB"/>
        </w:rPr>
        <w:t>. Meanwhile, in October 2013, he was taken to the Ellebæk deportation centre</w:t>
      </w:r>
      <w:r w:rsidR="001A35A5" w:rsidRPr="001444FB">
        <w:rPr>
          <w:lang w:val="en-GB"/>
        </w:rPr>
        <w:t xml:space="preserve">, where he </w:t>
      </w:r>
      <w:r w:rsidRPr="001444FB">
        <w:rPr>
          <w:lang w:val="en-GB"/>
        </w:rPr>
        <w:t>claims he attended the worship services led by chaplain P.B every Thursday and</w:t>
      </w:r>
      <w:r w:rsidR="001A35A5" w:rsidRPr="001444FB">
        <w:rPr>
          <w:lang w:val="en-GB"/>
        </w:rPr>
        <w:t>,</w:t>
      </w:r>
      <w:r w:rsidRPr="001444FB">
        <w:rPr>
          <w:lang w:val="en-GB"/>
        </w:rPr>
        <w:t xml:space="preserve"> as a consequence of his Christian faith, he received threats and was assaulted by other Afghan inmates </w:t>
      </w:r>
      <w:r w:rsidR="001A35A5" w:rsidRPr="001444FB">
        <w:rPr>
          <w:lang w:val="en-GB"/>
        </w:rPr>
        <w:t xml:space="preserve">at </w:t>
      </w:r>
      <w:r w:rsidRPr="001444FB">
        <w:rPr>
          <w:lang w:val="en-GB"/>
        </w:rPr>
        <w:t>the centre.</w:t>
      </w:r>
    </w:p>
    <w:p w:rsidR="001C3108" w:rsidRPr="001444FB" w:rsidRDefault="001C3108" w:rsidP="001444FB">
      <w:pPr>
        <w:pStyle w:val="SingleTxtG"/>
        <w:rPr>
          <w:lang w:val="en-GB"/>
        </w:rPr>
      </w:pPr>
      <w:r w:rsidRPr="001444FB">
        <w:rPr>
          <w:lang w:val="en-GB"/>
        </w:rPr>
        <w:t>2.6</w:t>
      </w:r>
      <w:r w:rsidR="00911AEA" w:rsidRPr="001444FB">
        <w:rPr>
          <w:lang w:val="en-GB"/>
        </w:rPr>
        <w:tab/>
      </w:r>
      <w:r w:rsidRPr="001444FB">
        <w:rPr>
          <w:lang w:val="en-GB"/>
        </w:rPr>
        <w:t xml:space="preserve">On 22 November 2013, the </w:t>
      </w:r>
      <w:r w:rsidR="00503573" w:rsidRPr="001444FB">
        <w:rPr>
          <w:lang w:val="en-GB"/>
        </w:rPr>
        <w:t>Danish Refugee Board</w:t>
      </w:r>
      <w:r w:rsidRPr="001444FB">
        <w:rPr>
          <w:lang w:val="en-GB"/>
        </w:rPr>
        <w:t xml:space="preserve"> decided to reopen the author’s case. The author left the deportation centre and continued </w:t>
      </w:r>
      <w:r w:rsidR="001A35A5" w:rsidRPr="001444FB">
        <w:rPr>
          <w:lang w:val="en-GB"/>
        </w:rPr>
        <w:t xml:space="preserve">to </w:t>
      </w:r>
      <w:r w:rsidRPr="001444FB">
        <w:rPr>
          <w:lang w:val="en-GB"/>
        </w:rPr>
        <w:t xml:space="preserve">study Christianity at the Lutheran Mission College. On 23 October 2014, the author </w:t>
      </w:r>
      <w:r w:rsidR="001A35A5" w:rsidRPr="001444FB">
        <w:rPr>
          <w:lang w:val="en-GB"/>
        </w:rPr>
        <w:t>a</w:t>
      </w:r>
      <w:r w:rsidR="00775848" w:rsidRPr="001444FB">
        <w:rPr>
          <w:lang w:val="en-GB"/>
        </w:rPr>
        <w:t>rgu</w:t>
      </w:r>
      <w:r w:rsidR="001A35A5" w:rsidRPr="001444FB">
        <w:rPr>
          <w:lang w:val="en-GB"/>
        </w:rPr>
        <w:t xml:space="preserve">ed </w:t>
      </w:r>
      <w:r w:rsidRPr="001444FB">
        <w:rPr>
          <w:lang w:val="en-GB"/>
        </w:rPr>
        <w:t xml:space="preserve">before the </w:t>
      </w:r>
      <w:r w:rsidR="00503573" w:rsidRPr="001444FB">
        <w:rPr>
          <w:lang w:val="en-GB"/>
        </w:rPr>
        <w:t>Board</w:t>
      </w:r>
      <w:r w:rsidRPr="001444FB">
        <w:rPr>
          <w:lang w:val="en-GB"/>
        </w:rPr>
        <w:t xml:space="preserve"> that he was at risk of persecution if returned to Afghanistan, since </w:t>
      </w:r>
      <w:r w:rsidR="001A35A5" w:rsidRPr="001444FB">
        <w:rPr>
          <w:lang w:val="en-GB"/>
        </w:rPr>
        <w:t>s</w:t>
      </w:r>
      <w:r w:rsidRPr="001444FB">
        <w:rPr>
          <w:lang w:val="en-GB"/>
        </w:rPr>
        <w:t xml:space="preserve">haria </w:t>
      </w:r>
      <w:r w:rsidR="001A35A5" w:rsidRPr="001444FB">
        <w:rPr>
          <w:lang w:val="en-GB"/>
        </w:rPr>
        <w:t>l</w:t>
      </w:r>
      <w:r w:rsidRPr="001444FB">
        <w:rPr>
          <w:lang w:val="en-GB"/>
        </w:rPr>
        <w:t xml:space="preserve">aw provided for capital punishment for those who converted from Islam to Christianity. He further </w:t>
      </w:r>
      <w:r w:rsidR="002432AB" w:rsidRPr="001444FB">
        <w:rPr>
          <w:lang w:val="en-GB"/>
        </w:rPr>
        <w:t>maintained</w:t>
      </w:r>
      <w:r w:rsidRPr="001444FB">
        <w:rPr>
          <w:lang w:val="en-GB"/>
        </w:rPr>
        <w:t xml:space="preserve"> that</w:t>
      </w:r>
      <w:r w:rsidR="001A35A5" w:rsidRPr="001444FB">
        <w:rPr>
          <w:lang w:val="en-GB"/>
        </w:rPr>
        <w:t>,</w:t>
      </w:r>
      <w:r w:rsidRPr="001444FB">
        <w:rPr>
          <w:lang w:val="en-GB"/>
        </w:rPr>
        <w:t xml:space="preserve"> in </w:t>
      </w:r>
      <w:r w:rsidR="001A35A5" w:rsidRPr="001444FB">
        <w:rPr>
          <w:lang w:val="en-GB"/>
        </w:rPr>
        <w:t xml:space="preserve">the </w:t>
      </w:r>
      <w:r w:rsidRPr="001444FB">
        <w:rPr>
          <w:lang w:val="en-GB"/>
        </w:rPr>
        <w:t xml:space="preserve">light of the assault that </w:t>
      </w:r>
      <w:r w:rsidR="001A35A5" w:rsidRPr="001444FB">
        <w:rPr>
          <w:lang w:val="en-GB"/>
        </w:rPr>
        <w:t xml:space="preserve">had </w:t>
      </w:r>
      <w:r w:rsidRPr="001444FB">
        <w:rPr>
          <w:lang w:val="en-GB"/>
        </w:rPr>
        <w:t xml:space="preserve">occurred </w:t>
      </w:r>
      <w:r w:rsidR="001A35A5" w:rsidRPr="001444FB">
        <w:rPr>
          <w:lang w:val="en-GB"/>
        </w:rPr>
        <w:t xml:space="preserve">at </w:t>
      </w:r>
      <w:r w:rsidRPr="001444FB">
        <w:rPr>
          <w:lang w:val="en-GB"/>
        </w:rPr>
        <w:t>the Ellebæk deportation centre by some Afghan inmates, it must be assumed that he would be recognized as Christian in Afghanistan</w:t>
      </w:r>
      <w:r w:rsidR="00911AEA" w:rsidRPr="001444FB">
        <w:rPr>
          <w:lang w:val="en-GB"/>
        </w:rPr>
        <w:t>.</w:t>
      </w:r>
      <w:r w:rsidRPr="001444FB">
        <w:rPr>
          <w:lang w:val="en-GB"/>
        </w:rPr>
        <w:t xml:space="preserve"> In support of his allegations, he offered a certificate of baptism issued by Saint Luke</w:t>
      </w:r>
      <w:r w:rsidR="001A35A5" w:rsidRPr="001444FB">
        <w:rPr>
          <w:lang w:val="en-GB"/>
        </w:rPr>
        <w:t>ʼs</w:t>
      </w:r>
      <w:r w:rsidRPr="001444FB">
        <w:rPr>
          <w:lang w:val="en-GB"/>
        </w:rPr>
        <w:t xml:space="preserve"> Church</w:t>
      </w:r>
      <w:r w:rsidR="001A35A5" w:rsidRPr="001444FB">
        <w:rPr>
          <w:lang w:val="en-GB"/>
        </w:rPr>
        <w:t>,</w:t>
      </w:r>
      <w:r w:rsidRPr="001444FB">
        <w:rPr>
          <w:lang w:val="en-GB"/>
        </w:rPr>
        <w:t xml:space="preserve"> </w:t>
      </w:r>
      <w:r w:rsidR="001A35A5" w:rsidRPr="001444FB">
        <w:rPr>
          <w:lang w:val="en-GB"/>
        </w:rPr>
        <w:t xml:space="preserve">a </w:t>
      </w:r>
      <w:r w:rsidRPr="001444FB">
        <w:rPr>
          <w:lang w:val="en-GB"/>
        </w:rPr>
        <w:t xml:space="preserve">written statement by the principal </w:t>
      </w:r>
      <w:r w:rsidR="001A35A5" w:rsidRPr="001444FB">
        <w:rPr>
          <w:lang w:val="en-GB"/>
        </w:rPr>
        <w:t xml:space="preserve">of the Lutheran Mission College </w:t>
      </w:r>
      <w:r w:rsidRPr="001444FB">
        <w:rPr>
          <w:lang w:val="en-GB"/>
        </w:rPr>
        <w:t xml:space="preserve">and </w:t>
      </w:r>
      <w:r w:rsidR="001A35A5" w:rsidRPr="001444FB">
        <w:rPr>
          <w:lang w:val="en-GB"/>
        </w:rPr>
        <w:t xml:space="preserve">a joint statement by </w:t>
      </w:r>
      <w:r w:rsidR="002432AB" w:rsidRPr="001444FB">
        <w:rPr>
          <w:lang w:val="en-GB"/>
        </w:rPr>
        <w:t>six</w:t>
      </w:r>
      <w:r w:rsidRPr="001444FB">
        <w:rPr>
          <w:lang w:val="en-GB"/>
        </w:rPr>
        <w:t xml:space="preserve"> </w:t>
      </w:r>
      <w:r w:rsidR="001A35A5" w:rsidRPr="001444FB">
        <w:rPr>
          <w:lang w:val="en-GB"/>
        </w:rPr>
        <w:t xml:space="preserve">of its </w:t>
      </w:r>
      <w:r w:rsidRPr="001444FB">
        <w:rPr>
          <w:lang w:val="en-GB"/>
        </w:rPr>
        <w:t>students</w:t>
      </w:r>
      <w:r w:rsidR="00911AEA" w:rsidRPr="001444FB">
        <w:rPr>
          <w:lang w:val="en-GB"/>
        </w:rPr>
        <w:t>.</w:t>
      </w:r>
      <w:r w:rsidRPr="001444FB">
        <w:rPr>
          <w:lang w:val="en-GB"/>
        </w:rPr>
        <w:t xml:space="preserve"> </w:t>
      </w:r>
    </w:p>
    <w:p w:rsidR="001C3108" w:rsidRPr="001444FB" w:rsidRDefault="00911AEA" w:rsidP="001444FB">
      <w:pPr>
        <w:pStyle w:val="SingleTxtG"/>
        <w:rPr>
          <w:lang w:val="en-GB"/>
        </w:rPr>
      </w:pPr>
      <w:r w:rsidRPr="001444FB">
        <w:rPr>
          <w:lang w:val="en-GB"/>
        </w:rPr>
        <w:t>2.7</w:t>
      </w:r>
      <w:r w:rsidR="001C3108" w:rsidRPr="001444FB">
        <w:rPr>
          <w:lang w:val="en-GB"/>
        </w:rPr>
        <w:tab/>
        <w:t xml:space="preserve">On 27 October 2014, the </w:t>
      </w:r>
      <w:r w:rsidR="00503573" w:rsidRPr="001444FB">
        <w:rPr>
          <w:lang w:val="en-GB"/>
        </w:rPr>
        <w:t>Danish Refugee Board</w:t>
      </w:r>
      <w:r w:rsidR="001C3108" w:rsidRPr="001444FB">
        <w:rPr>
          <w:lang w:val="en-GB"/>
        </w:rPr>
        <w:t xml:space="preserve"> rejected the author’s request for asylum and stated that there was no ground for believing that he would be persecuted if returned to his country of origin. It found that it was unlikely that his alleged conversion to Christianity was genuine, lasting and firm, and that he would live and practice this religion upon his return to Afghanistan. Moreover, his limited Christian activities in the State party could not be known by the Afghan authorities</w:t>
      </w:r>
      <w:r w:rsidRPr="001444FB">
        <w:rPr>
          <w:lang w:val="en-GB"/>
        </w:rPr>
        <w:t>.</w:t>
      </w:r>
      <w:r w:rsidR="001C3108" w:rsidRPr="001444FB">
        <w:rPr>
          <w:lang w:val="en-GB"/>
        </w:rPr>
        <w:t xml:space="preserve"> The </w:t>
      </w:r>
      <w:r w:rsidR="00503573" w:rsidRPr="001444FB">
        <w:rPr>
          <w:lang w:val="en-GB"/>
        </w:rPr>
        <w:t>Board</w:t>
      </w:r>
      <w:r w:rsidR="001C3108" w:rsidRPr="001444FB">
        <w:rPr>
          <w:lang w:val="en-GB"/>
        </w:rPr>
        <w:t xml:space="preserve"> also noted that he had lived outside his country of origin for about </w:t>
      </w:r>
      <w:r w:rsidR="002432AB" w:rsidRPr="001444FB">
        <w:rPr>
          <w:lang w:val="en-GB"/>
        </w:rPr>
        <w:t>eight</w:t>
      </w:r>
      <w:r w:rsidR="001C3108" w:rsidRPr="001444FB">
        <w:rPr>
          <w:lang w:val="en-GB"/>
        </w:rPr>
        <w:t xml:space="preserve"> years; that his alleged conversion only took place after his original asylum request had been dismissed by the </w:t>
      </w:r>
      <w:r w:rsidR="00503573" w:rsidRPr="001444FB">
        <w:rPr>
          <w:lang w:val="en-GB"/>
        </w:rPr>
        <w:t>Board</w:t>
      </w:r>
      <w:r w:rsidR="00C10BB9" w:rsidRPr="001444FB">
        <w:rPr>
          <w:lang w:val="en-GB"/>
        </w:rPr>
        <w:t>;</w:t>
      </w:r>
      <w:r w:rsidR="001C3108" w:rsidRPr="001444FB">
        <w:rPr>
          <w:lang w:val="en-GB"/>
        </w:rPr>
        <w:t xml:space="preserve"> and that his statements about the daily practice of his faith </w:t>
      </w:r>
      <w:r w:rsidR="00C10BB9" w:rsidRPr="001444FB">
        <w:rPr>
          <w:lang w:val="en-GB"/>
        </w:rPr>
        <w:t>—</w:t>
      </w:r>
      <w:r w:rsidR="002432AB" w:rsidRPr="001444FB">
        <w:rPr>
          <w:lang w:val="en-GB"/>
        </w:rPr>
        <w:t xml:space="preserve"> </w:t>
      </w:r>
      <w:r w:rsidR="001C3108" w:rsidRPr="001444FB">
        <w:rPr>
          <w:lang w:val="en-GB"/>
        </w:rPr>
        <w:t>reading the Bible and participating in the Church’s activities</w:t>
      </w:r>
      <w:r w:rsidR="002432AB" w:rsidRPr="001444FB">
        <w:rPr>
          <w:lang w:val="en-GB"/>
        </w:rPr>
        <w:t xml:space="preserve"> </w:t>
      </w:r>
      <w:r w:rsidR="00C10BB9" w:rsidRPr="001444FB">
        <w:rPr>
          <w:lang w:val="en-GB"/>
        </w:rPr>
        <w:t>—</w:t>
      </w:r>
      <w:r w:rsidR="001C3108" w:rsidRPr="001444FB">
        <w:rPr>
          <w:lang w:val="en-GB"/>
        </w:rPr>
        <w:t xml:space="preserve"> were inconsistent with his previous allegations of being illiterate and lacking skills to speak in other languages, including Danish, than his mother tongue</w:t>
      </w:r>
      <w:r w:rsidRPr="001444FB">
        <w:rPr>
          <w:lang w:val="en-GB"/>
        </w:rPr>
        <w:t>.</w:t>
      </w:r>
      <w:r w:rsidR="001C3108" w:rsidRPr="001444FB">
        <w:rPr>
          <w:lang w:val="en-GB"/>
        </w:rPr>
        <w:t xml:space="preserve"> It also found that there was no need to call the witnesses offered by the author, including pastor P.V.,</w:t>
      </w:r>
      <w:r w:rsidR="006004F2" w:rsidRPr="001444FB">
        <w:rPr>
          <w:lang w:val="en-GB"/>
        </w:rPr>
        <w:t xml:space="preserve"> </w:t>
      </w:r>
      <w:r w:rsidR="001C3108" w:rsidRPr="001444FB">
        <w:rPr>
          <w:lang w:val="en-GB"/>
        </w:rPr>
        <w:t xml:space="preserve">since they had already produced written statements. </w:t>
      </w:r>
    </w:p>
    <w:p w:rsidR="001C3108" w:rsidRPr="001444FB" w:rsidRDefault="001C3108" w:rsidP="001C3108">
      <w:pPr>
        <w:pStyle w:val="H23G"/>
        <w:spacing w:line="240" w:lineRule="auto"/>
      </w:pPr>
      <w:r w:rsidRPr="001444FB">
        <w:tab/>
      </w:r>
      <w:r w:rsidRPr="001444FB">
        <w:tab/>
        <w:t>The complaint</w:t>
      </w:r>
    </w:p>
    <w:p w:rsidR="001C3108" w:rsidRPr="001444FB" w:rsidRDefault="001C3108" w:rsidP="001444FB">
      <w:pPr>
        <w:pStyle w:val="SingleTxtG"/>
        <w:rPr>
          <w:lang w:val="en-GB"/>
        </w:rPr>
      </w:pPr>
      <w:r w:rsidRPr="001444FB">
        <w:rPr>
          <w:lang w:val="en-GB"/>
        </w:rPr>
        <w:t>3.1</w:t>
      </w:r>
      <w:r w:rsidRPr="001444FB">
        <w:rPr>
          <w:lang w:val="en-GB"/>
        </w:rPr>
        <w:tab/>
        <w:t xml:space="preserve">The author </w:t>
      </w:r>
      <w:r w:rsidR="002432AB" w:rsidRPr="001444FB">
        <w:rPr>
          <w:lang w:val="en-GB"/>
        </w:rPr>
        <w:t>asserts</w:t>
      </w:r>
      <w:r w:rsidRPr="001444FB">
        <w:rPr>
          <w:lang w:val="en-GB"/>
        </w:rPr>
        <w:t xml:space="preserve"> that</w:t>
      </w:r>
      <w:r w:rsidRPr="001444FB">
        <w:rPr>
          <w:b/>
          <w:lang w:val="en-GB"/>
        </w:rPr>
        <w:t xml:space="preserve"> </w:t>
      </w:r>
      <w:r w:rsidRPr="001444FB">
        <w:rPr>
          <w:lang w:val="en-GB"/>
        </w:rPr>
        <w:t>the State party’s authorities did not assess adequately the risk</w:t>
      </w:r>
      <w:r w:rsidR="002432AB" w:rsidRPr="001444FB">
        <w:rPr>
          <w:lang w:val="en-GB"/>
        </w:rPr>
        <w:t xml:space="preserve"> that</w:t>
      </w:r>
      <w:r w:rsidRPr="001444FB">
        <w:rPr>
          <w:lang w:val="en-GB"/>
        </w:rPr>
        <w:t xml:space="preserve"> he would be subject to if returned to Afghanistan, notably persecution or torture and other cruel, inhuman or degrading treatment or punishment, which would violate </w:t>
      </w:r>
      <w:r w:rsidR="00C10BB9" w:rsidRPr="001444FB">
        <w:rPr>
          <w:lang w:val="en-GB"/>
        </w:rPr>
        <w:t>article </w:t>
      </w:r>
      <w:r w:rsidRPr="001444FB">
        <w:rPr>
          <w:lang w:val="en-GB"/>
        </w:rPr>
        <w:t xml:space="preserve">7 of the Covenant. If returned, he would be persecuted </w:t>
      </w:r>
      <w:r w:rsidR="001A35A5" w:rsidRPr="001444FB">
        <w:rPr>
          <w:lang w:val="en-GB"/>
        </w:rPr>
        <w:t xml:space="preserve">owing </w:t>
      </w:r>
      <w:r w:rsidRPr="001444FB">
        <w:rPr>
          <w:lang w:val="en-GB"/>
        </w:rPr>
        <w:t xml:space="preserve">to his conversion to Christianity. However, the </w:t>
      </w:r>
      <w:r w:rsidR="00503573" w:rsidRPr="001444FB">
        <w:rPr>
          <w:lang w:val="en-GB"/>
        </w:rPr>
        <w:t>Danish Refugee Board</w:t>
      </w:r>
      <w:r w:rsidRPr="001444FB">
        <w:rPr>
          <w:lang w:val="en-GB"/>
        </w:rPr>
        <w:t xml:space="preserve"> arbitrarily concluded that </w:t>
      </w:r>
      <w:r w:rsidR="001A35A5" w:rsidRPr="001444FB">
        <w:rPr>
          <w:lang w:val="en-GB"/>
        </w:rPr>
        <w:t xml:space="preserve">his conversion </w:t>
      </w:r>
      <w:r w:rsidRPr="001444FB">
        <w:rPr>
          <w:lang w:val="en-GB"/>
        </w:rPr>
        <w:t>was not genuine</w:t>
      </w:r>
      <w:r w:rsidR="007E2616" w:rsidRPr="001444FB">
        <w:rPr>
          <w:lang w:val="en-GB"/>
        </w:rPr>
        <w:t xml:space="preserve">, without taking into account that his interest in Christianity </w:t>
      </w:r>
      <w:r w:rsidR="00584B31" w:rsidRPr="001444FB">
        <w:rPr>
          <w:lang w:val="en-GB"/>
        </w:rPr>
        <w:t xml:space="preserve">had begun </w:t>
      </w:r>
      <w:r w:rsidR="007E2616" w:rsidRPr="001444FB">
        <w:rPr>
          <w:lang w:val="en-GB"/>
        </w:rPr>
        <w:t>more than one year before his baptism, which was preceded by several months of preparation guided by a Christian pastor</w:t>
      </w:r>
      <w:r w:rsidR="0072262B" w:rsidRPr="001444FB">
        <w:rPr>
          <w:lang w:val="en-GB"/>
        </w:rPr>
        <w:t xml:space="preserve">; that he </w:t>
      </w:r>
      <w:r w:rsidR="00584B31" w:rsidRPr="001444FB">
        <w:rPr>
          <w:lang w:val="en-GB"/>
        </w:rPr>
        <w:t xml:space="preserve">had </w:t>
      </w:r>
      <w:r w:rsidR="0072262B" w:rsidRPr="001444FB">
        <w:rPr>
          <w:lang w:val="en-GB"/>
        </w:rPr>
        <w:t>openly announce</w:t>
      </w:r>
      <w:r w:rsidR="00D84C97" w:rsidRPr="001444FB">
        <w:rPr>
          <w:lang w:val="en-GB"/>
        </w:rPr>
        <w:t>d</w:t>
      </w:r>
      <w:r w:rsidR="0072262B" w:rsidRPr="001444FB">
        <w:rPr>
          <w:lang w:val="en-GB"/>
        </w:rPr>
        <w:t xml:space="preserve"> and practi</w:t>
      </w:r>
      <w:r w:rsidR="002432AB" w:rsidRPr="001444FB">
        <w:rPr>
          <w:lang w:val="en-GB"/>
        </w:rPr>
        <w:t>s</w:t>
      </w:r>
      <w:r w:rsidR="0072262B" w:rsidRPr="001444FB">
        <w:rPr>
          <w:lang w:val="en-GB"/>
        </w:rPr>
        <w:t xml:space="preserve">ed his Christian faith; and that he </w:t>
      </w:r>
      <w:r w:rsidR="00584B31" w:rsidRPr="001444FB">
        <w:rPr>
          <w:lang w:val="en-GB"/>
        </w:rPr>
        <w:t xml:space="preserve">had been </w:t>
      </w:r>
      <w:r w:rsidR="0072262B" w:rsidRPr="001444FB">
        <w:rPr>
          <w:lang w:val="en-GB"/>
        </w:rPr>
        <w:t xml:space="preserve">threatened by other Afghan persons </w:t>
      </w:r>
      <w:r w:rsidR="00584B31" w:rsidRPr="001444FB">
        <w:rPr>
          <w:lang w:val="en-GB"/>
        </w:rPr>
        <w:t xml:space="preserve">at </w:t>
      </w:r>
      <w:r w:rsidR="0072262B" w:rsidRPr="001444FB">
        <w:rPr>
          <w:lang w:val="en-GB"/>
        </w:rPr>
        <w:t>the Ellebæk deportation centre</w:t>
      </w:r>
      <w:r w:rsidRPr="001444FB">
        <w:rPr>
          <w:lang w:val="en-GB"/>
        </w:rPr>
        <w:t>. Furthermore, it set aside the statements produced by pastors in Denmark</w:t>
      </w:r>
      <w:r w:rsidR="001A35A5" w:rsidRPr="001444FB">
        <w:rPr>
          <w:lang w:val="en-GB"/>
        </w:rPr>
        <w:t>,</w:t>
      </w:r>
      <w:r w:rsidRPr="001444FB">
        <w:rPr>
          <w:lang w:val="en-GB"/>
        </w:rPr>
        <w:t xml:space="preserve"> who were better placed than the </w:t>
      </w:r>
      <w:r w:rsidR="00503573" w:rsidRPr="001444FB">
        <w:rPr>
          <w:lang w:val="en-GB"/>
        </w:rPr>
        <w:t>Board</w:t>
      </w:r>
      <w:r w:rsidRPr="001444FB">
        <w:rPr>
          <w:lang w:val="en-GB"/>
        </w:rPr>
        <w:t xml:space="preserve"> members to assess the reality of the conversion</w:t>
      </w:r>
      <w:r w:rsidR="001A35A5" w:rsidRPr="001444FB">
        <w:rPr>
          <w:lang w:val="en-GB"/>
        </w:rPr>
        <w:t>,</w:t>
      </w:r>
      <w:r w:rsidRPr="001444FB">
        <w:rPr>
          <w:lang w:val="en-GB"/>
        </w:rPr>
        <w:t xml:space="preserve"> as they ha</w:t>
      </w:r>
      <w:r w:rsidR="001A35A5" w:rsidRPr="001444FB">
        <w:rPr>
          <w:lang w:val="en-GB"/>
        </w:rPr>
        <w:t>d</w:t>
      </w:r>
      <w:r w:rsidRPr="001444FB">
        <w:rPr>
          <w:lang w:val="en-GB"/>
        </w:rPr>
        <w:t xml:space="preserve"> theological knowledge. </w:t>
      </w:r>
    </w:p>
    <w:p w:rsidR="001C3108" w:rsidRPr="001444FB" w:rsidRDefault="001C3108" w:rsidP="001444FB">
      <w:pPr>
        <w:pStyle w:val="SingleTxtG"/>
        <w:rPr>
          <w:lang w:val="en-GB"/>
        </w:rPr>
      </w:pPr>
      <w:r w:rsidRPr="001444FB">
        <w:rPr>
          <w:lang w:val="en-GB"/>
        </w:rPr>
        <w:t>3.2</w:t>
      </w:r>
      <w:r w:rsidRPr="001444FB">
        <w:rPr>
          <w:lang w:val="en-GB"/>
        </w:rPr>
        <w:tab/>
        <w:t xml:space="preserve">The </w:t>
      </w:r>
      <w:r w:rsidR="00503573" w:rsidRPr="001444FB">
        <w:rPr>
          <w:lang w:val="en-GB"/>
        </w:rPr>
        <w:t>Danish Refugee Board</w:t>
      </w:r>
      <w:r w:rsidRPr="001444FB">
        <w:rPr>
          <w:lang w:val="en-GB"/>
        </w:rPr>
        <w:t xml:space="preserve"> focused excessively on the fact that </w:t>
      </w:r>
      <w:r w:rsidR="001A35A5" w:rsidRPr="001444FB">
        <w:rPr>
          <w:lang w:val="en-GB"/>
        </w:rPr>
        <w:t xml:space="preserve">the author </w:t>
      </w:r>
      <w:r w:rsidRPr="001444FB">
        <w:rPr>
          <w:lang w:val="en-GB"/>
        </w:rPr>
        <w:t xml:space="preserve">provided contradicting statements as to his </w:t>
      </w:r>
      <w:r w:rsidR="001A35A5" w:rsidRPr="001444FB">
        <w:rPr>
          <w:lang w:val="en-GB"/>
        </w:rPr>
        <w:t xml:space="preserve">ability to </w:t>
      </w:r>
      <w:r w:rsidRPr="001444FB">
        <w:rPr>
          <w:lang w:val="en-GB"/>
        </w:rPr>
        <w:t xml:space="preserve">read and speak different languages. In </w:t>
      </w:r>
      <w:r w:rsidR="001A35A5" w:rsidRPr="001444FB">
        <w:rPr>
          <w:lang w:val="en-GB"/>
        </w:rPr>
        <w:t xml:space="preserve">that </w:t>
      </w:r>
      <w:r w:rsidRPr="001444FB">
        <w:rPr>
          <w:lang w:val="en-GB"/>
        </w:rPr>
        <w:t xml:space="preserve">regard, the author holds that he has been studying and </w:t>
      </w:r>
      <w:r w:rsidR="001A35A5" w:rsidRPr="001444FB">
        <w:rPr>
          <w:lang w:val="en-GB"/>
        </w:rPr>
        <w:t xml:space="preserve">was </w:t>
      </w:r>
      <w:r w:rsidRPr="001444FB">
        <w:rPr>
          <w:lang w:val="en-GB"/>
        </w:rPr>
        <w:t>taught Christianity in Danish and Farsi</w:t>
      </w:r>
      <w:r w:rsidR="00911AEA" w:rsidRPr="001444FB">
        <w:rPr>
          <w:lang w:val="en-GB"/>
        </w:rPr>
        <w:t>.</w:t>
      </w:r>
      <w:r w:rsidRPr="001444FB">
        <w:rPr>
          <w:lang w:val="en-GB"/>
        </w:rPr>
        <w:t xml:space="preserve"> He also maintains that it is well</w:t>
      </w:r>
      <w:r w:rsidR="001A35A5" w:rsidRPr="001444FB">
        <w:rPr>
          <w:lang w:val="en-GB"/>
        </w:rPr>
        <w:t xml:space="preserve"> </w:t>
      </w:r>
      <w:r w:rsidRPr="001444FB">
        <w:rPr>
          <w:lang w:val="en-GB"/>
        </w:rPr>
        <w:t>known that converts from Islam are at risk of persecution in Afghanistan and that</w:t>
      </w:r>
      <w:r w:rsidR="0072262B" w:rsidRPr="001444FB">
        <w:rPr>
          <w:lang w:val="en-GB"/>
        </w:rPr>
        <w:t>, in any case,</w:t>
      </w:r>
      <w:r w:rsidRPr="001444FB">
        <w:rPr>
          <w:lang w:val="en-GB"/>
        </w:rPr>
        <w:t xml:space="preserve"> it is not relevant whether the Afghan authorities </w:t>
      </w:r>
      <w:r w:rsidR="0072262B" w:rsidRPr="001444FB">
        <w:rPr>
          <w:lang w:val="en-GB"/>
        </w:rPr>
        <w:t xml:space="preserve">currently </w:t>
      </w:r>
      <w:r w:rsidRPr="001444FB">
        <w:rPr>
          <w:lang w:val="en-GB"/>
        </w:rPr>
        <w:t>know about his conversion.</w:t>
      </w:r>
      <w:r w:rsidR="006004F2" w:rsidRPr="001444FB">
        <w:rPr>
          <w:lang w:val="en-GB"/>
        </w:rPr>
        <w:t xml:space="preserve"> </w:t>
      </w:r>
    </w:p>
    <w:p w:rsidR="001C3108" w:rsidRPr="001444FB" w:rsidRDefault="001C3108" w:rsidP="001444FB">
      <w:pPr>
        <w:pStyle w:val="SingleTxtG"/>
        <w:rPr>
          <w:lang w:val="en-GB"/>
        </w:rPr>
      </w:pPr>
      <w:r w:rsidRPr="001444FB">
        <w:rPr>
          <w:lang w:val="en-GB"/>
        </w:rPr>
        <w:t>3.3</w:t>
      </w:r>
      <w:r w:rsidRPr="001444FB">
        <w:rPr>
          <w:lang w:val="en-GB"/>
        </w:rPr>
        <w:tab/>
        <w:t xml:space="preserve">As to his claims under </w:t>
      </w:r>
      <w:r w:rsidR="00C10BB9" w:rsidRPr="001444FB">
        <w:rPr>
          <w:lang w:val="en-GB"/>
        </w:rPr>
        <w:t>article </w:t>
      </w:r>
      <w:r w:rsidRPr="001444FB">
        <w:rPr>
          <w:lang w:val="en-GB"/>
        </w:rPr>
        <w:t xml:space="preserve">18, the author </w:t>
      </w:r>
      <w:r w:rsidR="002432AB" w:rsidRPr="001444FB">
        <w:rPr>
          <w:lang w:val="en-GB"/>
        </w:rPr>
        <w:t>argues</w:t>
      </w:r>
      <w:r w:rsidRPr="001444FB">
        <w:rPr>
          <w:lang w:val="en-GB"/>
        </w:rPr>
        <w:t xml:space="preserve"> that</w:t>
      </w:r>
      <w:r w:rsidR="001A35A5" w:rsidRPr="001444FB">
        <w:rPr>
          <w:lang w:val="en-GB"/>
        </w:rPr>
        <w:t>,</w:t>
      </w:r>
      <w:r w:rsidRPr="001444FB">
        <w:rPr>
          <w:lang w:val="en-GB"/>
        </w:rPr>
        <w:t xml:space="preserve"> if deported to Afghanistan, he would not be able to practice his faith</w:t>
      </w:r>
      <w:r w:rsidR="001A35A5" w:rsidRPr="001444FB">
        <w:rPr>
          <w:lang w:val="en-GB"/>
        </w:rPr>
        <w:t>,</w:t>
      </w:r>
      <w:r w:rsidRPr="001444FB">
        <w:rPr>
          <w:lang w:val="en-GB"/>
        </w:rPr>
        <w:t xml:space="preserve"> and that the decision </w:t>
      </w:r>
      <w:r w:rsidR="00503573" w:rsidRPr="001444FB">
        <w:rPr>
          <w:lang w:val="en-GB"/>
        </w:rPr>
        <w:t xml:space="preserve">of the Danish Refugee Board </w:t>
      </w:r>
      <w:r w:rsidRPr="001444FB">
        <w:rPr>
          <w:lang w:val="en-GB"/>
        </w:rPr>
        <w:t xml:space="preserve">could not be based on the assumption that he will hide it. As part of the rights </w:t>
      </w:r>
      <w:r w:rsidRPr="001444FB">
        <w:rPr>
          <w:lang w:val="en-GB"/>
        </w:rPr>
        <w:lastRenderedPageBreak/>
        <w:t xml:space="preserve">enshrined in </w:t>
      </w:r>
      <w:r w:rsidR="00C10BB9" w:rsidRPr="001444FB">
        <w:rPr>
          <w:lang w:val="en-GB"/>
        </w:rPr>
        <w:t>article </w:t>
      </w:r>
      <w:r w:rsidRPr="001444FB">
        <w:rPr>
          <w:lang w:val="en-GB"/>
        </w:rPr>
        <w:t xml:space="preserve">18, he must be able to manifest his religion and to carry out activities related to it. </w:t>
      </w:r>
    </w:p>
    <w:p w:rsidR="001C3108" w:rsidRPr="001444FB" w:rsidRDefault="001C3108" w:rsidP="001444FB">
      <w:pPr>
        <w:pStyle w:val="SingleTxtG"/>
        <w:rPr>
          <w:lang w:val="en-GB"/>
        </w:rPr>
      </w:pPr>
      <w:r w:rsidRPr="001444FB">
        <w:rPr>
          <w:lang w:val="en-GB"/>
        </w:rPr>
        <w:t>3.4</w:t>
      </w:r>
      <w:r w:rsidRPr="001444FB">
        <w:rPr>
          <w:lang w:val="en-GB"/>
        </w:rPr>
        <w:tab/>
        <w:t xml:space="preserve">The author claims that the State party violated his right under </w:t>
      </w:r>
      <w:r w:rsidR="00C10BB9" w:rsidRPr="001444FB">
        <w:rPr>
          <w:lang w:val="en-GB"/>
        </w:rPr>
        <w:t>article </w:t>
      </w:r>
      <w:r w:rsidRPr="001444FB">
        <w:rPr>
          <w:lang w:val="en-GB"/>
        </w:rPr>
        <w:t xml:space="preserve">26 of the Covenant since the question of his conversation to Christianity was not examined at the first instance by the Danish Immigration Service but only by the </w:t>
      </w:r>
      <w:r w:rsidR="00503573" w:rsidRPr="001444FB">
        <w:rPr>
          <w:lang w:val="en-GB"/>
        </w:rPr>
        <w:t>Danish Refugee Board</w:t>
      </w:r>
      <w:r w:rsidR="00911AEA" w:rsidRPr="001444FB">
        <w:rPr>
          <w:lang w:val="en-GB"/>
        </w:rPr>
        <w:t>.</w:t>
      </w:r>
      <w:r w:rsidRPr="001444FB">
        <w:rPr>
          <w:lang w:val="en-GB"/>
        </w:rPr>
        <w:t xml:space="preserve"> </w:t>
      </w:r>
    </w:p>
    <w:p w:rsidR="001C3108" w:rsidRPr="001444FB" w:rsidRDefault="001C3108" w:rsidP="001C3108">
      <w:pPr>
        <w:pStyle w:val="H23G"/>
      </w:pPr>
      <w:r w:rsidRPr="001444FB">
        <w:tab/>
      </w:r>
      <w:r w:rsidRPr="001444FB">
        <w:tab/>
        <w:t>Issues and proceedings before the Committee</w:t>
      </w:r>
    </w:p>
    <w:p w:rsidR="001C3108" w:rsidRPr="001444FB" w:rsidRDefault="001C3108" w:rsidP="00775848">
      <w:pPr>
        <w:pStyle w:val="SingleTxtG"/>
        <w:spacing w:line="240" w:lineRule="auto"/>
        <w:rPr>
          <w:lang w:val="en-GB"/>
        </w:rPr>
      </w:pPr>
      <w:r w:rsidRPr="001444FB">
        <w:rPr>
          <w:lang w:val="en-GB"/>
        </w:rPr>
        <w:t>4.1</w:t>
      </w:r>
      <w:r w:rsidRPr="001444FB">
        <w:rPr>
          <w:lang w:val="en-GB"/>
        </w:rPr>
        <w:tab/>
        <w:t>Before considering any claim contained in a communication, the Human Rights Committee must determine whether it is admissible under the Optional Protocol to the Covenant.</w:t>
      </w:r>
    </w:p>
    <w:p w:rsidR="00951071" w:rsidRPr="001444FB" w:rsidRDefault="001C3108" w:rsidP="001444FB">
      <w:pPr>
        <w:pStyle w:val="SingleTxtG"/>
        <w:rPr>
          <w:lang w:val="en-GB"/>
        </w:rPr>
      </w:pPr>
      <w:r w:rsidRPr="001444FB">
        <w:rPr>
          <w:lang w:val="en-GB"/>
        </w:rPr>
        <w:t>4.2</w:t>
      </w:r>
      <w:r w:rsidRPr="001444FB">
        <w:rPr>
          <w:lang w:val="en-GB"/>
        </w:rPr>
        <w:tab/>
      </w:r>
      <w:r w:rsidR="005415C6" w:rsidRPr="001444FB">
        <w:rPr>
          <w:lang w:val="en-GB"/>
        </w:rPr>
        <w:t>A</w:t>
      </w:r>
      <w:r w:rsidR="00951071" w:rsidRPr="001444FB">
        <w:rPr>
          <w:lang w:val="en-GB"/>
        </w:rPr>
        <w:t xml:space="preserve">s required under </w:t>
      </w:r>
      <w:r w:rsidR="00C10BB9" w:rsidRPr="001444FB">
        <w:rPr>
          <w:lang w:val="en-GB"/>
        </w:rPr>
        <w:t>article </w:t>
      </w:r>
      <w:r w:rsidR="00951071" w:rsidRPr="001444FB">
        <w:rPr>
          <w:lang w:val="en-GB"/>
        </w:rPr>
        <w:t xml:space="preserve">5, </w:t>
      </w:r>
      <w:r w:rsidR="00C10BB9" w:rsidRPr="001444FB">
        <w:rPr>
          <w:lang w:val="en-GB"/>
        </w:rPr>
        <w:t>paragraph </w:t>
      </w:r>
      <w:r w:rsidR="00951071" w:rsidRPr="001444FB">
        <w:rPr>
          <w:lang w:val="en-GB"/>
        </w:rPr>
        <w:t xml:space="preserve">2 (a), of the Optional Protocol, </w:t>
      </w:r>
      <w:r w:rsidR="005415C6" w:rsidRPr="001444FB">
        <w:rPr>
          <w:lang w:val="en-GB"/>
        </w:rPr>
        <w:t xml:space="preserve">the Committee has ascertained </w:t>
      </w:r>
      <w:r w:rsidR="00951071" w:rsidRPr="001444FB">
        <w:rPr>
          <w:lang w:val="en-GB"/>
        </w:rPr>
        <w:t xml:space="preserve">that the same matter is not being examined under another procedure of international investigation or settlement. </w:t>
      </w:r>
    </w:p>
    <w:p w:rsidR="00646E2F" w:rsidRPr="001444FB" w:rsidRDefault="00911AEA" w:rsidP="001444FB">
      <w:pPr>
        <w:pStyle w:val="SingleTxtG"/>
        <w:rPr>
          <w:lang w:val="en-GB" w:eastAsia="en-GB"/>
        </w:rPr>
      </w:pPr>
      <w:r w:rsidRPr="001444FB">
        <w:rPr>
          <w:lang w:val="en-GB"/>
        </w:rPr>
        <w:t>4.3</w:t>
      </w:r>
      <w:r w:rsidR="00646E2F" w:rsidRPr="001444FB">
        <w:rPr>
          <w:lang w:val="en-GB"/>
        </w:rPr>
        <w:tab/>
        <w:t xml:space="preserve">The Committee observes that the author’s original request for asylum on </w:t>
      </w:r>
      <w:r w:rsidR="00F3711E" w:rsidRPr="001444FB">
        <w:rPr>
          <w:lang w:val="en-GB"/>
        </w:rPr>
        <w:t xml:space="preserve">the </w:t>
      </w:r>
      <w:r w:rsidR="00646E2F" w:rsidRPr="001444FB">
        <w:rPr>
          <w:lang w:val="en-GB"/>
        </w:rPr>
        <w:t xml:space="preserve">grounds of his fear of persecution by a private individual was refused by the Danish Immigration Service and the </w:t>
      </w:r>
      <w:r w:rsidR="00503573" w:rsidRPr="001444FB">
        <w:rPr>
          <w:lang w:val="en-GB"/>
        </w:rPr>
        <w:t>Danish Refugee Board</w:t>
      </w:r>
      <w:r w:rsidR="00646E2F" w:rsidRPr="001444FB">
        <w:rPr>
          <w:lang w:val="en-GB"/>
        </w:rPr>
        <w:t>. Since the author claimed that he had converted to Christianity after these decisions, on 22 November 2014</w:t>
      </w:r>
      <w:r w:rsidR="00AF0BA3" w:rsidRPr="001444FB">
        <w:rPr>
          <w:lang w:val="en-GB"/>
        </w:rPr>
        <w:t>,</w:t>
      </w:r>
      <w:r w:rsidR="00646E2F" w:rsidRPr="001444FB">
        <w:rPr>
          <w:lang w:val="en-GB"/>
        </w:rPr>
        <w:t xml:space="preserve"> the </w:t>
      </w:r>
      <w:r w:rsidR="00503573" w:rsidRPr="001444FB">
        <w:rPr>
          <w:lang w:val="en-GB"/>
        </w:rPr>
        <w:t>Board</w:t>
      </w:r>
      <w:r w:rsidR="00646E2F" w:rsidRPr="001444FB">
        <w:rPr>
          <w:lang w:val="en-GB"/>
        </w:rPr>
        <w:t xml:space="preserve"> reopened the author’s case in order to examine his request for asylum on this new ground, giving the author opportunity to substantiate his new allegations and to submit evidence in support of them. On 27 October 2014, the </w:t>
      </w:r>
      <w:r w:rsidR="00503573" w:rsidRPr="001444FB">
        <w:rPr>
          <w:lang w:val="en-GB"/>
        </w:rPr>
        <w:t>Board</w:t>
      </w:r>
      <w:r w:rsidR="00646E2F" w:rsidRPr="001444FB">
        <w:rPr>
          <w:lang w:val="en-GB"/>
        </w:rPr>
        <w:t xml:space="preserve"> dismissed his new allegation</w:t>
      </w:r>
      <w:r w:rsidR="009B519E" w:rsidRPr="001444FB">
        <w:rPr>
          <w:lang w:val="en-GB"/>
        </w:rPr>
        <w:t>s</w:t>
      </w:r>
      <w:r w:rsidR="00646E2F" w:rsidRPr="001444FB">
        <w:rPr>
          <w:lang w:val="en-GB"/>
        </w:rPr>
        <w:t xml:space="preserve"> due to</w:t>
      </w:r>
      <w:r w:rsidR="00AF0BA3" w:rsidRPr="001444FB">
        <w:rPr>
          <w:lang w:val="en-GB"/>
        </w:rPr>
        <w:t>,</w:t>
      </w:r>
      <w:r w:rsidR="00646E2F" w:rsidRPr="001444FB">
        <w:rPr>
          <w:lang w:val="en-GB"/>
        </w:rPr>
        <w:t xml:space="preserve"> </w:t>
      </w:r>
      <w:r w:rsidR="00646E2F" w:rsidRPr="001444FB">
        <w:rPr>
          <w:iCs/>
          <w:lang w:val="en-GB"/>
        </w:rPr>
        <w:t>inter alia</w:t>
      </w:r>
      <w:r w:rsidR="00AF0BA3" w:rsidRPr="001444FB">
        <w:rPr>
          <w:iCs/>
          <w:lang w:val="en-GB"/>
        </w:rPr>
        <w:t>,</w:t>
      </w:r>
      <w:r w:rsidR="00646E2F" w:rsidRPr="001444FB">
        <w:rPr>
          <w:lang w:val="en-GB"/>
        </w:rPr>
        <w:t xml:space="preserve"> his contradicting statements and his failure to show that the Afghan authorities might be aware of his conversion</w:t>
      </w:r>
      <w:r w:rsidRPr="001444FB">
        <w:rPr>
          <w:lang w:val="en-GB"/>
        </w:rPr>
        <w:t>.</w:t>
      </w:r>
      <w:r w:rsidR="00646E2F" w:rsidRPr="001444FB">
        <w:rPr>
          <w:lang w:val="en-GB"/>
        </w:rPr>
        <w:t xml:space="preserve"> The author disagrees with this decision</w:t>
      </w:r>
      <w:r w:rsidR="00646E2F" w:rsidRPr="001444FB">
        <w:rPr>
          <w:lang w:val="en-GB" w:eastAsia="en-GB"/>
        </w:rPr>
        <w:t xml:space="preserve">. However, the Committee observes that his claims mainly rely on his mere membership </w:t>
      </w:r>
      <w:r w:rsidR="00AF0BA3" w:rsidRPr="001444FB">
        <w:rPr>
          <w:lang w:val="en-GB" w:eastAsia="en-GB"/>
        </w:rPr>
        <w:t xml:space="preserve">of </w:t>
      </w:r>
      <w:r w:rsidR="00646E2F" w:rsidRPr="001444FB">
        <w:rPr>
          <w:lang w:val="en-GB" w:eastAsia="en-GB"/>
        </w:rPr>
        <w:t xml:space="preserve">a particular Christian church and that he has failed to identify any irregularity in the decision-making process, or to explain why the decision </w:t>
      </w:r>
      <w:r w:rsidR="00503573" w:rsidRPr="001444FB">
        <w:rPr>
          <w:lang w:val="en-GB" w:eastAsia="en-GB"/>
        </w:rPr>
        <w:t xml:space="preserve">of the </w:t>
      </w:r>
      <w:r w:rsidR="00503573" w:rsidRPr="001444FB">
        <w:rPr>
          <w:lang w:val="en-GB"/>
        </w:rPr>
        <w:t xml:space="preserve">Board </w:t>
      </w:r>
      <w:r w:rsidR="00646E2F" w:rsidRPr="001444FB">
        <w:rPr>
          <w:lang w:val="en-GB" w:eastAsia="en-GB"/>
        </w:rPr>
        <w:t>is manifestly arbitrary, for instance</w:t>
      </w:r>
      <w:r w:rsidR="00AF0BA3" w:rsidRPr="001444FB">
        <w:rPr>
          <w:lang w:val="en-GB" w:eastAsia="en-GB"/>
        </w:rPr>
        <w:t>,</w:t>
      </w:r>
      <w:r w:rsidR="00646E2F" w:rsidRPr="001444FB">
        <w:rPr>
          <w:lang w:val="en-GB" w:eastAsia="en-GB"/>
        </w:rPr>
        <w:t xml:space="preserve"> </w:t>
      </w:r>
      <w:r w:rsidR="00AF0BA3" w:rsidRPr="001444FB">
        <w:rPr>
          <w:lang w:val="en-GB" w:eastAsia="en-GB"/>
        </w:rPr>
        <w:t xml:space="preserve">owing </w:t>
      </w:r>
      <w:r w:rsidR="00646E2F" w:rsidRPr="001444FB">
        <w:rPr>
          <w:lang w:val="en-GB" w:eastAsia="en-GB"/>
        </w:rPr>
        <w:t xml:space="preserve">to its failure to take properly into account a relevant risk factor. </w:t>
      </w:r>
      <w:r w:rsidR="00646E2F" w:rsidRPr="001444FB">
        <w:rPr>
          <w:lang w:val="en-GB"/>
        </w:rPr>
        <w:t>Accordingly, the Committee considers that the author’s claim</w:t>
      </w:r>
      <w:r w:rsidR="00E22499" w:rsidRPr="001444FB">
        <w:rPr>
          <w:lang w:val="en-GB"/>
        </w:rPr>
        <w:t>s</w:t>
      </w:r>
      <w:r w:rsidR="00646E2F" w:rsidRPr="001444FB">
        <w:rPr>
          <w:lang w:val="en-GB"/>
        </w:rPr>
        <w:t xml:space="preserve"> under </w:t>
      </w:r>
      <w:r w:rsidR="00C10BB9" w:rsidRPr="001444FB">
        <w:rPr>
          <w:lang w:val="en-GB"/>
        </w:rPr>
        <w:t>articles </w:t>
      </w:r>
      <w:r w:rsidR="00646E2F" w:rsidRPr="001444FB">
        <w:rPr>
          <w:lang w:val="en-GB"/>
        </w:rPr>
        <w:t xml:space="preserve">7, 18 and 26 of the Covenant </w:t>
      </w:r>
      <w:r w:rsidR="00AF0BA3" w:rsidRPr="001444FB">
        <w:rPr>
          <w:lang w:val="en-GB"/>
        </w:rPr>
        <w:t xml:space="preserve">have </w:t>
      </w:r>
      <w:r w:rsidR="00646E2F" w:rsidRPr="001444FB">
        <w:rPr>
          <w:lang w:val="en-GB"/>
        </w:rPr>
        <w:t xml:space="preserve">been insufficiently substantiated for the purposes of admissibility, and concludes that the </w:t>
      </w:r>
      <w:r w:rsidR="00AF0BA3" w:rsidRPr="001444FB">
        <w:rPr>
          <w:lang w:val="en-GB"/>
        </w:rPr>
        <w:t xml:space="preserve">present </w:t>
      </w:r>
      <w:r w:rsidR="00646E2F" w:rsidRPr="001444FB">
        <w:rPr>
          <w:lang w:val="en-GB"/>
        </w:rPr>
        <w:t xml:space="preserve">communication is inadmissible under </w:t>
      </w:r>
      <w:r w:rsidR="00C10BB9" w:rsidRPr="001444FB">
        <w:rPr>
          <w:lang w:val="en-GB"/>
        </w:rPr>
        <w:t>article </w:t>
      </w:r>
      <w:r w:rsidR="00646E2F" w:rsidRPr="001444FB">
        <w:rPr>
          <w:lang w:val="en-GB"/>
        </w:rPr>
        <w:t>2 of the Optional Protocol.</w:t>
      </w:r>
    </w:p>
    <w:p w:rsidR="00911AEA" w:rsidRPr="001444FB" w:rsidRDefault="001C3108" w:rsidP="001444FB">
      <w:pPr>
        <w:pStyle w:val="SingleTxtG"/>
        <w:keepNext/>
        <w:spacing w:line="240" w:lineRule="auto"/>
        <w:rPr>
          <w:lang w:val="en-GB"/>
        </w:rPr>
      </w:pPr>
      <w:r w:rsidRPr="001444FB">
        <w:rPr>
          <w:lang w:val="en-GB"/>
        </w:rPr>
        <w:t>5.</w:t>
      </w:r>
      <w:r w:rsidRPr="001444FB">
        <w:rPr>
          <w:lang w:val="en-GB"/>
        </w:rPr>
        <w:tab/>
        <w:t>The Human Rights Committee therefore decides:</w:t>
      </w:r>
    </w:p>
    <w:p w:rsidR="00911AEA" w:rsidRPr="001444FB" w:rsidRDefault="001C3108" w:rsidP="00C10BB9">
      <w:pPr>
        <w:pStyle w:val="SingleTxtG"/>
        <w:spacing w:line="240" w:lineRule="auto"/>
        <w:ind w:firstLine="567"/>
        <w:rPr>
          <w:lang w:val="en-GB"/>
        </w:rPr>
      </w:pPr>
      <w:r w:rsidRPr="001444FB">
        <w:rPr>
          <w:lang w:val="en-GB"/>
        </w:rPr>
        <w:t>(a)</w:t>
      </w:r>
      <w:r w:rsidRPr="001444FB">
        <w:rPr>
          <w:lang w:val="en-GB"/>
        </w:rPr>
        <w:tab/>
        <w:t xml:space="preserve">That the communication is inadmissible under </w:t>
      </w:r>
      <w:r w:rsidR="00C10BB9" w:rsidRPr="001444FB">
        <w:rPr>
          <w:lang w:val="en-GB"/>
        </w:rPr>
        <w:t>article </w:t>
      </w:r>
      <w:r w:rsidRPr="001444FB">
        <w:rPr>
          <w:lang w:val="en-GB"/>
        </w:rPr>
        <w:t>2 of the Optional Protocol;</w:t>
      </w:r>
    </w:p>
    <w:p w:rsidR="001C3108" w:rsidRPr="001444FB" w:rsidRDefault="001C3108" w:rsidP="00C10BB9">
      <w:pPr>
        <w:pStyle w:val="SingleTxtG"/>
        <w:spacing w:line="240" w:lineRule="auto"/>
        <w:ind w:firstLine="567"/>
        <w:rPr>
          <w:lang w:val="en-GB"/>
        </w:rPr>
      </w:pPr>
      <w:r w:rsidRPr="001444FB">
        <w:rPr>
          <w:lang w:val="en-GB"/>
        </w:rPr>
        <w:t>(b)</w:t>
      </w:r>
      <w:r w:rsidRPr="001444FB">
        <w:rPr>
          <w:lang w:val="en-GB"/>
        </w:rPr>
        <w:tab/>
        <w:t>That the decision be transmitted to the State party and to the author.</w:t>
      </w:r>
    </w:p>
    <w:p w:rsidR="00911AEA" w:rsidRPr="001444FB" w:rsidRDefault="00911AEA" w:rsidP="00911AEA">
      <w:pPr>
        <w:pStyle w:val="SingleTxtG"/>
        <w:spacing w:before="240" w:after="0"/>
        <w:jc w:val="center"/>
        <w:rPr>
          <w:u w:val="single"/>
          <w:lang w:val="en-GB"/>
        </w:rPr>
      </w:pPr>
      <w:r w:rsidRPr="001444FB">
        <w:rPr>
          <w:u w:val="single"/>
          <w:lang w:val="en-GB"/>
        </w:rPr>
        <w:tab/>
      </w:r>
      <w:r w:rsidRPr="001444FB">
        <w:rPr>
          <w:u w:val="single"/>
          <w:lang w:val="en-GB"/>
        </w:rPr>
        <w:tab/>
      </w:r>
      <w:r w:rsidRPr="001444FB">
        <w:rPr>
          <w:u w:val="single"/>
          <w:lang w:val="en-GB"/>
        </w:rPr>
        <w:tab/>
      </w:r>
    </w:p>
    <w:sectPr w:rsidR="00911AEA" w:rsidRPr="001444FB" w:rsidSect="0072573D">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60B" w:rsidRDefault="004C160B"/>
    <w:p w:rsidR="004C160B" w:rsidRDefault="004C160B"/>
  </w:endnote>
  <w:endnote w:type="continuationSeparator" w:id="0">
    <w:p w:rsidR="004C160B" w:rsidRDefault="004C160B"/>
    <w:p w:rsidR="004C160B" w:rsidRDefault="004C160B"/>
  </w:endnote>
  <w:endnote w:type="continuationNotice" w:id="1">
    <w:p w:rsidR="004C160B" w:rsidRDefault="004C160B"/>
    <w:p w:rsidR="004C160B" w:rsidRDefault="004C1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108" w:rsidRDefault="001C3108" w:rsidP="001444FB">
    <w:pPr>
      <w:pStyle w:val="Footer"/>
      <w:tabs>
        <w:tab w:val="right" w:pos="9638"/>
      </w:tabs>
    </w:pPr>
    <w:r w:rsidRPr="00EF1126">
      <w:rPr>
        <w:b/>
        <w:sz w:val="18"/>
        <w:szCs w:val="18"/>
      </w:rPr>
      <w:fldChar w:fldCharType="begin"/>
    </w:r>
    <w:r w:rsidRPr="00EF1126">
      <w:rPr>
        <w:b/>
        <w:sz w:val="18"/>
        <w:szCs w:val="18"/>
      </w:rPr>
      <w:instrText xml:space="preserve"> </w:instrText>
    </w:r>
    <w:r w:rsidR="003975F2">
      <w:rPr>
        <w:b/>
        <w:sz w:val="18"/>
        <w:szCs w:val="18"/>
      </w:rPr>
      <w:instrText>PAGE</w:instrText>
    </w:r>
    <w:r w:rsidRPr="00EF1126">
      <w:rPr>
        <w:b/>
        <w:sz w:val="18"/>
        <w:szCs w:val="18"/>
      </w:rPr>
      <w:instrText xml:space="preserve">  \* MERGEFORMAT </w:instrText>
    </w:r>
    <w:r w:rsidRPr="00EF1126">
      <w:rPr>
        <w:b/>
        <w:sz w:val="18"/>
        <w:szCs w:val="18"/>
      </w:rPr>
      <w:fldChar w:fldCharType="separate"/>
    </w:r>
    <w:r w:rsidR="00B879EF">
      <w:rPr>
        <w:b/>
        <w:noProof/>
        <w:sz w:val="18"/>
        <w:szCs w:val="18"/>
      </w:rPr>
      <w:t>2</w:t>
    </w:r>
    <w:r w:rsidRPr="00EF1126">
      <w:rPr>
        <w:b/>
        <w:sz w:val="18"/>
        <w:szCs w:val="18"/>
      </w:rPr>
      <w:fldChar w:fldCharType="end"/>
    </w:r>
    <w:r w:rsidRPr="00EF1126">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108" w:rsidRDefault="001C3108" w:rsidP="001444FB">
    <w:pPr>
      <w:pStyle w:val="Footer"/>
      <w:tabs>
        <w:tab w:val="right" w:pos="9638"/>
      </w:tabs>
    </w:pPr>
    <w:r>
      <w:tab/>
    </w:r>
    <w:r w:rsidRPr="007C1F31">
      <w:rPr>
        <w:b/>
        <w:sz w:val="18"/>
      </w:rPr>
      <w:fldChar w:fldCharType="begin"/>
    </w:r>
    <w:r w:rsidRPr="007C1F31">
      <w:rPr>
        <w:b/>
        <w:sz w:val="18"/>
      </w:rPr>
      <w:instrText xml:space="preserve"> </w:instrText>
    </w:r>
    <w:r w:rsidR="003975F2">
      <w:rPr>
        <w:b/>
        <w:sz w:val="18"/>
      </w:rPr>
      <w:instrText>PAGE</w:instrText>
    </w:r>
    <w:r w:rsidRPr="007C1F31">
      <w:rPr>
        <w:b/>
        <w:sz w:val="18"/>
      </w:rPr>
      <w:instrText xml:space="preserve">  \* MERGEFORMAT </w:instrText>
    </w:r>
    <w:r w:rsidRPr="007C1F31">
      <w:rPr>
        <w:b/>
        <w:sz w:val="18"/>
      </w:rPr>
      <w:fldChar w:fldCharType="separate"/>
    </w:r>
    <w:r w:rsidR="00B879EF">
      <w:rPr>
        <w:b/>
        <w:noProof/>
        <w:sz w:val="18"/>
      </w:rPr>
      <w:t>3</w:t>
    </w:r>
    <w:r w:rsidRPr="007C1F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108" w:rsidRPr="00EF1126" w:rsidRDefault="00FB0CBA">
    <w:pPr>
      <w:pStyle w:val="Footer"/>
      <w:rPr>
        <w:sz w:val="20"/>
      </w:rPr>
    </w:pPr>
    <w:r>
      <w:rPr>
        <w:noProof/>
        <w:sz w:val="20"/>
        <w:lang w:val="en-US"/>
      </w:rPr>
      <w:drawing>
        <wp:anchor distT="0" distB="0" distL="114300" distR="114300" simplePos="0" relativeHeight="251659264" behindDoc="0" locked="0" layoutInCell="1" allowOverlap="1" wp14:anchorId="4D7DD123" wp14:editId="6ECCFCB6">
          <wp:simplePos x="0" y="0"/>
          <wp:positionH relativeFrom="margin">
            <wp:posOffset>4283710</wp:posOffset>
          </wp:positionH>
          <wp:positionV relativeFrom="margin">
            <wp:posOffset>8207375</wp:posOffset>
          </wp:positionV>
          <wp:extent cx="936702" cy="234176"/>
          <wp:effectExtent l="0" t="0" r="0" b="0"/>
          <wp:wrapNone/>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702" cy="234176"/>
                  </a:xfrm>
                  <a:prstGeom prst="rect">
                    <a:avLst/>
                  </a:prstGeom>
                  <a:noFill/>
                </pic:spPr>
              </pic:pic>
            </a:graphicData>
          </a:graphic>
          <wp14:sizeRelH relativeFrom="page">
            <wp14:pctWidth>0</wp14:pctWidth>
          </wp14:sizeRelH>
          <wp14:sizeRelV relativeFrom="page">
            <wp14:pctHeight>0</wp14:pctHeight>
          </wp14:sizeRelV>
        </wp:anchor>
      </w:drawing>
    </w:r>
    <w:r w:rsidR="001C3108" w:rsidRPr="00EF1126">
      <w:rPr>
        <w:sz w:val="20"/>
      </w:rPr>
      <w:t>GE.1</w:t>
    </w:r>
    <w:r w:rsidR="0072573D">
      <w:rPr>
        <w:sz w:val="20"/>
      </w:rPr>
      <w:t>5</w:t>
    </w:r>
    <w:r w:rsidR="001C3108" w:rsidRPr="00EF1126">
      <w:rPr>
        <w:sz w:val="20"/>
      </w:rPr>
      <w:t>-</w:t>
    </w:r>
    <w:r w:rsidR="003F618B">
      <w:rPr>
        <w:sz w:val="20"/>
      </w:rPr>
      <w:t>09222</w:t>
    </w:r>
    <w:r>
      <w:rPr>
        <w:sz w:val="20"/>
      </w:rPr>
      <w:t xml:space="preserve">  (E)</w:t>
    </w:r>
    <w:r w:rsidR="003E7F39">
      <w:rPr>
        <w:sz w:val="20"/>
      </w:rPr>
      <w:br/>
    </w:r>
    <w:r w:rsidR="003E7F39" w:rsidRPr="003E7F39">
      <w:rPr>
        <w:rFonts w:ascii="C39T30Lfz" w:hAnsi="C39T30Lfz"/>
        <w:sz w:val="56"/>
      </w:rPr>
      <w:t></w:t>
    </w:r>
    <w:r w:rsidR="003E7F39" w:rsidRPr="003E7F39">
      <w:rPr>
        <w:rFonts w:ascii="C39T30Lfz" w:hAnsi="C39T30Lfz"/>
        <w:sz w:val="56"/>
      </w:rPr>
      <w:t></w:t>
    </w:r>
    <w:r w:rsidR="003E7F39" w:rsidRPr="003E7F39">
      <w:rPr>
        <w:rFonts w:ascii="C39T30Lfz" w:hAnsi="C39T30Lfz"/>
        <w:sz w:val="56"/>
      </w:rPr>
      <w:t></w:t>
    </w:r>
    <w:r w:rsidR="003E7F39" w:rsidRPr="003E7F39">
      <w:rPr>
        <w:rFonts w:ascii="C39T30Lfz" w:hAnsi="C39T30Lfz"/>
        <w:sz w:val="56"/>
      </w:rPr>
      <w:t></w:t>
    </w:r>
    <w:r w:rsidR="003E7F39" w:rsidRPr="003E7F39">
      <w:rPr>
        <w:rFonts w:ascii="C39T30Lfz" w:hAnsi="C39T30Lfz"/>
        <w:sz w:val="56"/>
      </w:rPr>
      <w:t></w:t>
    </w:r>
    <w:r w:rsidR="003E7F39" w:rsidRPr="003E7F39">
      <w:rPr>
        <w:rFonts w:ascii="C39T30Lfz" w:hAnsi="C39T30Lfz"/>
        <w:sz w:val="56"/>
      </w:rPr>
      <w:t></w:t>
    </w:r>
    <w:r w:rsidR="003E7F39" w:rsidRPr="003E7F39">
      <w:rPr>
        <w:rFonts w:ascii="C39T30Lfz" w:hAnsi="C39T30Lfz"/>
        <w:sz w:val="56"/>
      </w:rPr>
      <w:t></w:t>
    </w:r>
    <w:r w:rsidR="003E7F39" w:rsidRPr="003E7F39">
      <w:rPr>
        <w:rFonts w:ascii="C39T30Lfz" w:hAnsi="C39T30Lfz"/>
        <w:sz w:val="56"/>
      </w:rPr>
      <w:t></w:t>
    </w:r>
    <w:r w:rsidR="003E7F39" w:rsidRPr="003E7F3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60B" w:rsidRDefault="004C160B" w:rsidP="001444FB">
      <w:pPr>
        <w:tabs>
          <w:tab w:val="right" w:pos="2155"/>
        </w:tabs>
        <w:spacing w:after="80"/>
        <w:ind w:left="680"/>
      </w:pPr>
      <w:r>
        <w:separator/>
      </w:r>
    </w:p>
  </w:footnote>
  <w:footnote w:type="continuationSeparator" w:id="0">
    <w:p w:rsidR="004C160B" w:rsidRPr="00FC68B7" w:rsidRDefault="004C160B" w:rsidP="001C3108">
      <w:pPr>
        <w:tabs>
          <w:tab w:val="left" w:pos="2155"/>
        </w:tabs>
        <w:spacing w:after="80"/>
        <w:ind w:left="680"/>
        <w:rPr>
          <w:u w:val="single"/>
        </w:rPr>
      </w:pPr>
      <w:r>
        <w:rPr>
          <w:u w:val="single"/>
        </w:rPr>
        <w:tab/>
      </w:r>
    </w:p>
    <w:p w:rsidR="004C160B" w:rsidRDefault="004C160B"/>
  </w:footnote>
  <w:footnote w:type="continuationNotice" w:id="1">
    <w:p w:rsidR="004C160B" w:rsidRDefault="004C160B"/>
    <w:p w:rsidR="004C160B" w:rsidRDefault="004C160B"/>
  </w:footnote>
  <w:footnote w:id="2">
    <w:p w:rsidR="00FA03F9" w:rsidRPr="005474FA" w:rsidRDefault="00FA03F9" w:rsidP="00FA03F9">
      <w:pPr>
        <w:pStyle w:val="FootnoteText"/>
        <w:rPr>
          <w:lang w:val="en-GB"/>
        </w:rPr>
      </w:pPr>
      <w:r w:rsidRPr="001444FB">
        <w:rPr>
          <w:rStyle w:val="FootnoteReference"/>
          <w:sz w:val="20"/>
          <w:vertAlign w:val="baseline"/>
        </w:rPr>
        <w:tab/>
        <w:t>*</w:t>
      </w:r>
      <w:r>
        <w:rPr>
          <w:rStyle w:val="FootnoteReference"/>
          <w:sz w:val="20"/>
        </w:rPr>
        <w:tab/>
      </w:r>
      <w:r>
        <w:t xml:space="preserve">The following members of the </w:t>
      </w:r>
      <w:r w:rsidRPr="00B27E40">
        <w:rPr>
          <w:lang w:val="fr-CH"/>
        </w:rPr>
        <w:t>Committee</w:t>
      </w:r>
      <w:r>
        <w:t xml:space="preserve"> participated in the examination of the present communication: Yadh Ben Achour, Lazhari Bouzid, Sarah Cleveland, Olivier De Frouville, </w:t>
      </w:r>
      <w:r w:rsidRPr="00B27E40">
        <w:rPr>
          <w:lang w:val="fr-CH"/>
        </w:rPr>
        <w:t>A</w:t>
      </w:r>
      <w:r>
        <w:rPr>
          <w:lang w:val="en-GB"/>
        </w:rPr>
        <w:t xml:space="preserve">hmed Amin Fathalla, </w:t>
      </w:r>
      <w:r>
        <w:t>Yuji Iwasawa, Ivana Jeli</w:t>
      </w:r>
      <w:r w:rsidRPr="00503573">
        <w:t>ć</w:t>
      </w:r>
      <w:r>
        <w:t>, Duncan Muhumuza Laki, Photini Pazartzis, Mauro Politi, Sir Nigel Rodley, Victor Manuel Rodr</w:t>
      </w:r>
      <w:r w:rsidRPr="00B27E40">
        <w:rPr>
          <w:lang w:val="fr-CH"/>
        </w:rPr>
        <w:t>í</w:t>
      </w:r>
      <w:r>
        <w:t xml:space="preserve">guez-Rescia, Fabián Omar Salvioli, Dheerujlall </w:t>
      </w:r>
      <w:r>
        <w:rPr>
          <w:lang w:val="en-US"/>
        </w:rPr>
        <w:t>B. </w:t>
      </w:r>
      <w:r>
        <w:t xml:space="preserve">Seetulsingh, Anja Seibert-Fohr, Yuval Shany, Konstantine Vardzelashvili </w:t>
      </w:r>
      <w:r>
        <w:rPr>
          <w:lang w:val="en-US"/>
        </w:rPr>
        <w:t>and</w:t>
      </w:r>
      <w:r>
        <w:t xml:space="preserve"> Margo Waterval.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108" w:rsidRPr="007C1F31" w:rsidRDefault="001C3108" w:rsidP="001C3108">
    <w:pPr>
      <w:pStyle w:val="Header"/>
    </w:pPr>
    <w:r>
      <w:t>CCPR/C/113/D/2515/2014</w:t>
    </w:r>
  </w:p>
  <w:p w:rsidR="001C3108" w:rsidRDefault="001C31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108" w:rsidRPr="007C1F31" w:rsidRDefault="001C3108" w:rsidP="001C3108">
    <w:pPr>
      <w:pStyle w:val="Header"/>
      <w:jc w:val="right"/>
    </w:pPr>
    <w:r>
      <w:t>CCPR/C/113/D/2515/2014</w:t>
    </w:r>
  </w:p>
  <w:p w:rsidR="001C3108" w:rsidRDefault="001C3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8DC3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57E679C2"/>
    <w:lvl w:ilvl="0" w:tplc="075A6416">
      <w:start w:val="1"/>
      <w:numFmt w:val="decimal"/>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A4C77"/>
    <w:multiLevelType w:val="multilevel"/>
    <w:tmpl w:val="7E0298D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8758B1"/>
    <w:multiLevelType w:val="hybridMultilevel"/>
    <w:tmpl w:val="1AA45662"/>
    <w:lvl w:ilvl="0" w:tplc="EE328C9A">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72083A22">
      <w:start w:val="3"/>
      <w:numFmt w:val="decimal"/>
      <w:lvlText w:val="3.%3"/>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0A168E"/>
    <w:multiLevelType w:val="multilevel"/>
    <w:tmpl w:val="8CFAC89A"/>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3"/>
      <w:numFmt w:val="decimal"/>
      <w:lvlText w:val="3.%3"/>
      <w:lvlJc w:val="left"/>
      <w:pPr>
        <w:tabs>
          <w:tab w:val="num" w:pos="846"/>
        </w:tabs>
        <w:ind w:left="1980"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A96A0A"/>
    <w:multiLevelType w:val="multilevel"/>
    <w:tmpl w:val="23F48C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59A1C03"/>
    <w:multiLevelType w:val="multilevel"/>
    <w:tmpl w:val="9C225246"/>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7"/>
  </w:num>
  <w:num w:numId="6">
    <w:abstractNumId w:val="5"/>
  </w:num>
  <w:num w:numId="7">
    <w:abstractNumId w:val="1"/>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31"/>
    <w:rsid w:val="0003230C"/>
    <w:rsid w:val="00074DEC"/>
    <w:rsid w:val="0009159A"/>
    <w:rsid w:val="000C27AF"/>
    <w:rsid w:val="000F6C63"/>
    <w:rsid w:val="001057B8"/>
    <w:rsid w:val="001444FB"/>
    <w:rsid w:val="0015263E"/>
    <w:rsid w:val="00155EFA"/>
    <w:rsid w:val="00170CAB"/>
    <w:rsid w:val="001A35A5"/>
    <w:rsid w:val="001C3108"/>
    <w:rsid w:val="001D7E67"/>
    <w:rsid w:val="001E77E2"/>
    <w:rsid w:val="002432AB"/>
    <w:rsid w:val="002C0BB7"/>
    <w:rsid w:val="002E2265"/>
    <w:rsid w:val="0035393B"/>
    <w:rsid w:val="003577CC"/>
    <w:rsid w:val="003634B8"/>
    <w:rsid w:val="00374BE3"/>
    <w:rsid w:val="003975F2"/>
    <w:rsid w:val="003D5FD0"/>
    <w:rsid w:val="003E7F39"/>
    <w:rsid w:val="003F618B"/>
    <w:rsid w:val="00405E78"/>
    <w:rsid w:val="00407E3A"/>
    <w:rsid w:val="00412307"/>
    <w:rsid w:val="00415250"/>
    <w:rsid w:val="00415837"/>
    <w:rsid w:val="004166D4"/>
    <w:rsid w:val="00423058"/>
    <w:rsid w:val="004358E9"/>
    <w:rsid w:val="00453C6B"/>
    <w:rsid w:val="00470595"/>
    <w:rsid w:val="0049560C"/>
    <w:rsid w:val="004A57AD"/>
    <w:rsid w:val="004C160B"/>
    <w:rsid w:val="00503573"/>
    <w:rsid w:val="0051462A"/>
    <w:rsid w:val="005415C6"/>
    <w:rsid w:val="005474FA"/>
    <w:rsid w:val="00584B31"/>
    <w:rsid w:val="00591E64"/>
    <w:rsid w:val="005B77A6"/>
    <w:rsid w:val="005C0B82"/>
    <w:rsid w:val="005C0D7D"/>
    <w:rsid w:val="006004F2"/>
    <w:rsid w:val="006020B7"/>
    <w:rsid w:val="00607311"/>
    <w:rsid w:val="00613988"/>
    <w:rsid w:val="006271A0"/>
    <w:rsid w:val="00646E2F"/>
    <w:rsid w:val="00672369"/>
    <w:rsid w:val="007047B8"/>
    <w:rsid w:val="0072262B"/>
    <w:rsid w:val="00723E36"/>
    <w:rsid w:val="0072573D"/>
    <w:rsid w:val="007319DC"/>
    <w:rsid w:val="00775848"/>
    <w:rsid w:val="007B5E1D"/>
    <w:rsid w:val="007C1F31"/>
    <w:rsid w:val="007D5163"/>
    <w:rsid w:val="007E2616"/>
    <w:rsid w:val="007E7188"/>
    <w:rsid w:val="00811572"/>
    <w:rsid w:val="0081435B"/>
    <w:rsid w:val="00830C5B"/>
    <w:rsid w:val="0084068A"/>
    <w:rsid w:val="00857311"/>
    <w:rsid w:val="0086764D"/>
    <w:rsid w:val="00894DBD"/>
    <w:rsid w:val="00897766"/>
    <w:rsid w:val="008E7B70"/>
    <w:rsid w:val="00911AEA"/>
    <w:rsid w:val="00951071"/>
    <w:rsid w:val="009B519E"/>
    <w:rsid w:val="009B730A"/>
    <w:rsid w:val="009C0902"/>
    <w:rsid w:val="009C2F7D"/>
    <w:rsid w:val="009D0D6D"/>
    <w:rsid w:val="00A42478"/>
    <w:rsid w:val="00A546C9"/>
    <w:rsid w:val="00AC22EE"/>
    <w:rsid w:val="00AF0BA3"/>
    <w:rsid w:val="00B24C21"/>
    <w:rsid w:val="00B24CF9"/>
    <w:rsid w:val="00B27E40"/>
    <w:rsid w:val="00B645C4"/>
    <w:rsid w:val="00B879EF"/>
    <w:rsid w:val="00BD3666"/>
    <w:rsid w:val="00C01A95"/>
    <w:rsid w:val="00C0701F"/>
    <w:rsid w:val="00C10BB9"/>
    <w:rsid w:val="00C21DD2"/>
    <w:rsid w:val="00C3437A"/>
    <w:rsid w:val="00CC1294"/>
    <w:rsid w:val="00CC5578"/>
    <w:rsid w:val="00CE4B76"/>
    <w:rsid w:val="00CF19BE"/>
    <w:rsid w:val="00D141B0"/>
    <w:rsid w:val="00D1575B"/>
    <w:rsid w:val="00D424DF"/>
    <w:rsid w:val="00D84C97"/>
    <w:rsid w:val="00DA2581"/>
    <w:rsid w:val="00DF2DD2"/>
    <w:rsid w:val="00E11582"/>
    <w:rsid w:val="00E22499"/>
    <w:rsid w:val="00E439B9"/>
    <w:rsid w:val="00E805A3"/>
    <w:rsid w:val="00E957A9"/>
    <w:rsid w:val="00EB4DE2"/>
    <w:rsid w:val="00ED5E0A"/>
    <w:rsid w:val="00EF612C"/>
    <w:rsid w:val="00F02ABB"/>
    <w:rsid w:val="00F13DA3"/>
    <w:rsid w:val="00F3711E"/>
    <w:rsid w:val="00F60BAD"/>
    <w:rsid w:val="00F72A3C"/>
    <w:rsid w:val="00F92CDE"/>
    <w:rsid w:val="00FA03F9"/>
    <w:rsid w:val="00FB0CBA"/>
    <w:rsid w:val="00FB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CB713-1708-43AC-A05C-01424260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rPr>
      <w:lang w:val="x-none"/>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tref"/>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ootnote Reference1,Char"/>
    <w:basedOn w:val="Normal"/>
    <w:link w:val="FootnoteTextChar"/>
    <w:rsid w:val="00503228"/>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A75AB7"/>
    <w:rPr>
      <w:rFonts w:ascii="Tahoma" w:hAnsi="Tahoma" w:cs="Tahoma"/>
      <w:sz w:val="16"/>
      <w:szCs w:val="16"/>
    </w:rPr>
  </w:style>
  <w:style w:type="character" w:customStyle="1" w:styleId="SingleTxtGChar">
    <w:name w:val="_ Single Txt_G Char"/>
    <w:link w:val="SingleTxtG"/>
    <w:rsid w:val="00A6498B"/>
    <w:rPr>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w:link w:val="FootnoteText"/>
    <w:rsid w:val="00A6498B"/>
    <w:rPr>
      <w:sz w:val="18"/>
      <w:lang w:eastAsia="en-US"/>
    </w:rPr>
  </w:style>
  <w:style w:type="paragraph" w:customStyle="1" w:styleId="Default">
    <w:name w:val="Default"/>
    <w:rsid w:val="00A772FD"/>
    <w:pPr>
      <w:autoSpaceDE w:val="0"/>
      <w:autoSpaceDN w:val="0"/>
      <w:adjustRightInd w:val="0"/>
    </w:pPr>
    <w:rPr>
      <w:color w:val="000000"/>
      <w:sz w:val="24"/>
      <w:szCs w:val="24"/>
    </w:rPr>
  </w:style>
  <w:style w:type="paragraph" w:customStyle="1" w:styleId="ParaNoG">
    <w:name w:val="_ParaNo._G"/>
    <w:basedOn w:val="SingleTxtG"/>
    <w:rsid w:val="00D03FA1"/>
  </w:style>
  <w:style w:type="character" w:styleId="CommentReference">
    <w:name w:val="annotation reference"/>
    <w:rsid w:val="00750E7B"/>
    <w:rPr>
      <w:sz w:val="16"/>
      <w:szCs w:val="16"/>
    </w:rPr>
  </w:style>
  <w:style w:type="paragraph" w:styleId="CommentText">
    <w:name w:val="annotation text"/>
    <w:basedOn w:val="Normal"/>
    <w:link w:val="CommentTextChar"/>
    <w:rsid w:val="00750E7B"/>
  </w:style>
  <w:style w:type="character" w:customStyle="1" w:styleId="CommentTextChar">
    <w:name w:val="Comment Text Char"/>
    <w:link w:val="CommentText"/>
    <w:rsid w:val="00750E7B"/>
    <w:rPr>
      <w:lang w:val="en-GB" w:eastAsia="en-US"/>
    </w:rPr>
  </w:style>
  <w:style w:type="paragraph" w:styleId="CommentSubject">
    <w:name w:val="annotation subject"/>
    <w:basedOn w:val="CommentText"/>
    <w:next w:val="CommentText"/>
    <w:link w:val="CommentSubjectChar"/>
    <w:rsid w:val="00750E7B"/>
    <w:rPr>
      <w:b/>
      <w:bCs/>
    </w:rPr>
  </w:style>
  <w:style w:type="character" w:customStyle="1" w:styleId="CommentSubjectChar">
    <w:name w:val="Comment Subject Char"/>
    <w:link w:val="CommentSubject"/>
    <w:rsid w:val="00750E7B"/>
    <w:rPr>
      <w:b/>
      <w:bCs/>
      <w:lang w:val="en-GB" w:eastAsia="en-US"/>
    </w:rPr>
  </w:style>
  <w:style w:type="paragraph" w:customStyle="1" w:styleId="parrafo1">
    <w:name w:val="parrafo1"/>
    <w:basedOn w:val="Normal"/>
    <w:rsid w:val="00FE178B"/>
    <w:pPr>
      <w:suppressAutoHyphens w:val="0"/>
      <w:spacing w:before="180" w:after="180" w:line="240" w:lineRule="auto"/>
      <w:ind w:firstLine="360"/>
      <w:jc w:val="both"/>
    </w:pPr>
    <w:rPr>
      <w:sz w:val="24"/>
      <w:szCs w:val="24"/>
      <w:lang w:eastAsia="en-GB"/>
    </w:rPr>
  </w:style>
  <w:style w:type="character" w:customStyle="1" w:styleId="const">
    <w:name w:val="const"/>
    <w:rsid w:val="00B36BDD"/>
  </w:style>
  <w:style w:type="paragraph" w:customStyle="1" w:styleId="const1">
    <w:name w:val="const1"/>
    <w:basedOn w:val="Normal"/>
    <w:rsid w:val="00B36BDD"/>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16451">
      <w:bodyDiv w:val="1"/>
      <w:marLeft w:val="0"/>
      <w:marRight w:val="0"/>
      <w:marTop w:val="0"/>
      <w:marBottom w:val="0"/>
      <w:divBdr>
        <w:top w:val="none" w:sz="0" w:space="0" w:color="auto"/>
        <w:left w:val="none" w:sz="0" w:space="0" w:color="auto"/>
        <w:bottom w:val="none" w:sz="0" w:space="0" w:color="auto"/>
        <w:right w:val="none" w:sz="0" w:space="0" w:color="auto"/>
      </w:divBdr>
      <w:divsChild>
        <w:div w:id="269433147">
          <w:marLeft w:val="0"/>
          <w:marRight w:val="0"/>
          <w:marTop w:val="720"/>
          <w:marBottom w:val="720"/>
          <w:divBdr>
            <w:top w:val="none" w:sz="0" w:space="0" w:color="auto"/>
            <w:left w:val="none" w:sz="0" w:space="0" w:color="auto"/>
            <w:bottom w:val="none" w:sz="0" w:space="0" w:color="auto"/>
            <w:right w:val="none" w:sz="0" w:space="0" w:color="auto"/>
          </w:divBdr>
          <w:divsChild>
            <w:div w:id="81143334">
              <w:marLeft w:val="0"/>
              <w:marRight w:val="0"/>
              <w:marTop w:val="0"/>
              <w:marBottom w:val="0"/>
              <w:divBdr>
                <w:top w:val="none" w:sz="0" w:space="0" w:color="auto"/>
                <w:left w:val="none" w:sz="0" w:space="0" w:color="auto"/>
                <w:bottom w:val="none" w:sz="0" w:space="0" w:color="auto"/>
                <w:right w:val="none" w:sz="0" w:space="0" w:color="auto"/>
              </w:divBdr>
              <w:divsChild>
                <w:div w:id="91620614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738745077">
      <w:bodyDiv w:val="1"/>
      <w:marLeft w:val="0"/>
      <w:marRight w:val="0"/>
      <w:marTop w:val="0"/>
      <w:marBottom w:val="0"/>
      <w:divBdr>
        <w:top w:val="none" w:sz="0" w:space="0" w:color="auto"/>
        <w:left w:val="none" w:sz="0" w:space="0" w:color="auto"/>
        <w:bottom w:val="none" w:sz="0" w:space="0" w:color="auto"/>
        <w:right w:val="none" w:sz="0" w:space="0" w:color="auto"/>
      </w:divBdr>
      <w:divsChild>
        <w:div w:id="684088976">
          <w:marLeft w:val="0"/>
          <w:marRight w:val="0"/>
          <w:marTop w:val="0"/>
          <w:marBottom w:val="0"/>
          <w:divBdr>
            <w:top w:val="none" w:sz="0" w:space="0" w:color="auto"/>
            <w:left w:val="none" w:sz="0" w:space="0" w:color="auto"/>
            <w:bottom w:val="none" w:sz="0" w:space="0" w:color="auto"/>
            <w:right w:val="none" w:sz="0" w:space="0" w:color="auto"/>
          </w:divBdr>
        </w:div>
      </w:divsChild>
    </w:div>
    <w:div w:id="213852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825A-288A-406B-A7FE-D5052415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CCPR/C/97/D/1744/2007</vt:lpstr>
    </vt:vector>
  </TitlesOfParts>
  <Company>CSD</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CCPR/C/97/D/1744/2007</dc:title>
  <dc:subject/>
  <dc:creator>Neogi</dc:creator>
  <cp:keywords/>
  <cp:lastModifiedBy>Sarah Willig</cp:lastModifiedBy>
  <cp:revision>2</cp:revision>
  <cp:lastPrinted>2015-01-21T11:32:00Z</cp:lastPrinted>
  <dcterms:created xsi:type="dcterms:W3CDTF">2017-04-05T19:42:00Z</dcterms:created>
  <dcterms:modified xsi:type="dcterms:W3CDTF">2017-04-05T19:42:00Z</dcterms:modified>
</cp:coreProperties>
</file>