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1C3108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108" w:rsidRPr="007369EB" w:rsidRDefault="001C3108" w:rsidP="001C3108">
            <w:pPr>
              <w:jc w:val="right"/>
            </w:pPr>
            <w:bookmarkStart w:id="0" w:name="_GoBack"/>
            <w:bookmarkEnd w:id="0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108" w:rsidRPr="007369EB" w:rsidRDefault="001C3108" w:rsidP="001C3108"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108" w:rsidRPr="00DE3EC0" w:rsidRDefault="001C3108" w:rsidP="00A11E52">
            <w:pPr>
              <w:jc w:val="right"/>
            </w:pPr>
            <w:r w:rsidRPr="007C1F31">
              <w:rPr>
                <w:sz w:val="40"/>
              </w:rPr>
              <w:t>CCPR</w:t>
            </w:r>
            <w:r>
              <w:t>/C/113/D</w:t>
            </w:r>
            <w:r w:rsidR="00203EE8">
              <w:t>/</w:t>
            </w:r>
            <w:r>
              <w:t>25</w:t>
            </w:r>
            <w:r w:rsidR="00245B05">
              <w:t>23</w:t>
            </w:r>
            <w:r>
              <w:t>/201</w:t>
            </w:r>
            <w:r w:rsidR="00245B05">
              <w:t>5</w:t>
            </w:r>
          </w:p>
        </w:tc>
      </w:tr>
      <w:tr w:rsidR="001C3108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1C3108" w:rsidRDefault="00654441" w:rsidP="001C3108">
            <w:r>
              <w:rPr>
                <w:noProof/>
                <w:lang w:val="en-US"/>
              </w:rPr>
              <w:drawing>
                <wp:inline distT="0" distB="0" distL="0" distR="0">
                  <wp:extent cx="715645" cy="57277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11E52" w:rsidRPr="00160707" w:rsidRDefault="001C3108" w:rsidP="001C3108">
            <w:pPr>
              <w:rPr>
                <w:b/>
                <w:sz w:val="34"/>
                <w:szCs w:val="40"/>
              </w:rPr>
            </w:pPr>
            <w:r w:rsidRPr="00267F5F">
              <w:rPr>
                <w:b/>
                <w:sz w:val="34"/>
                <w:szCs w:val="40"/>
              </w:rPr>
              <w:t xml:space="preserve">International </w:t>
            </w:r>
            <w:r>
              <w:rPr>
                <w:b/>
                <w:sz w:val="34"/>
                <w:szCs w:val="40"/>
              </w:rPr>
              <w:t>Covenant on</w:t>
            </w:r>
            <w:r>
              <w:rPr>
                <w:b/>
                <w:sz w:val="34"/>
                <w:szCs w:val="40"/>
              </w:rPr>
              <w:br/>
              <w:t>Civil and Political R</w:t>
            </w:r>
            <w:r w:rsidRPr="00267F5F">
              <w:rPr>
                <w:b/>
                <w:sz w:val="34"/>
                <w:szCs w:val="40"/>
              </w:rPr>
              <w:t>ights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11E52" w:rsidRDefault="00A11E52" w:rsidP="00A11E52">
            <w:pPr>
              <w:spacing w:before="240" w:line="240" w:lineRule="exact"/>
            </w:pPr>
            <w:r>
              <w:t>Distr.: General</w:t>
            </w:r>
          </w:p>
          <w:p w:rsidR="00A11E52" w:rsidRDefault="00BD07A1" w:rsidP="00A11E52">
            <w:pPr>
              <w:spacing w:line="240" w:lineRule="exact"/>
            </w:pPr>
            <w:r>
              <w:t>11</w:t>
            </w:r>
            <w:r w:rsidR="001B5C07">
              <w:t xml:space="preserve"> May</w:t>
            </w:r>
            <w:r w:rsidR="00A11E52">
              <w:t xml:space="preserve"> 2015</w:t>
            </w:r>
          </w:p>
          <w:p w:rsidR="00A15110" w:rsidRDefault="00A15110" w:rsidP="001C3108">
            <w:pPr>
              <w:spacing w:line="240" w:lineRule="exact"/>
            </w:pPr>
          </w:p>
          <w:p w:rsidR="001C3108" w:rsidRDefault="001C3108" w:rsidP="001C3108">
            <w:pPr>
              <w:spacing w:line="240" w:lineRule="exact"/>
            </w:pPr>
            <w:r>
              <w:t>Original: English</w:t>
            </w:r>
          </w:p>
          <w:p w:rsidR="002E1682" w:rsidRDefault="002E1682" w:rsidP="001C3108">
            <w:pPr>
              <w:spacing w:line="240" w:lineRule="exact"/>
            </w:pPr>
          </w:p>
        </w:tc>
      </w:tr>
    </w:tbl>
    <w:p w:rsidR="001C3108" w:rsidRPr="00BC411F" w:rsidRDefault="001C3108" w:rsidP="001C3108">
      <w:pPr>
        <w:spacing w:before="120"/>
        <w:rPr>
          <w:b/>
          <w:sz w:val="24"/>
          <w:szCs w:val="24"/>
        </w:rPr>
      </w:pPr>
      <w:r w:rsidRPr="0041431D">
        <w:rPr>
          <w:b/>
          <w:sz w:val="24"/>
          <w:szCs w:val="24"/>
        </w:rPr>
        <w:t>Human Rights Comm</w:t>
      </w:r>
      <w:r w:rsidRPr="00BC411F">
        <w:rPr>
          <w:b/>
          <w:sz w:val="24"/>
          <w:szCs w:val="24"/>
        </w:rPr>
        <w:t>ittee</w:t>
      </w:r>
    </w:p>
    <w:p w:rsidR="001C3108" w:rsidRPr="00BC411F" w:rsidRDefault="001C3108" w:rsidP="001C3108">
      <w:pPr>
        <w:pStyle w:val="HChG"/>
      </w:pPr>
      <w:r w:rsidRPr="00BC411F">
        <w:tab/>
      </w:r>
      <w:r w:rsidRPr="00BC411F">
        <w:tab/>
        <w:t>Communication No.</w:t>
      </w:r>
      <w:r w:rsidR="00841168">
        <w:t> </w:t>
      </w:r>
      <w:r w:rsidRPr="00BC411F">
        <w:t>2</w:t>
      </w:r>
      <w:r w:rsidR="00CF19BE" w:rsidRPr="00BC411F">
        <w:t>5</w:t>
      </w:r>
      <w:r w:rsidR="00245B05" w:rsidRPr="00BC411F">
        <w:t>23</w:t>
      </w:r>
      <w:r w:rsidRPr="00BC411F">
        <w:t>/201</w:t>
      </w:r>
      <w:r w:rsidR="00245B05" w:rsidRPr="00BC411F">
        <w:t>5</w:t>
      </w:r>
    </w:p>
    <w:p w:rsidR="001C3108" w:rsidRPr="000E1B7A" w:rsidRDefault="001C3108" w:rsidP="000E1B7A">
      <w:pPr>
        <w:pStyle w:val="H1G"/>
        <w:rPr>
          <w:bCs/>
          <w:lang w:val="en-US"/>
        </w:rPr>
      </w:pPr>
      <w:r w:rsidRPr="00BC411F">
        <w:tab/>
      </w:r>
      <w:r w:rsidRPr="00BC411F">
        <w:tab/>
      </w:r>
      <w:r w:rsidR="00A11E52">
        <w:t>Decision</w:t>
      </w:r>
      <w:r w:rsidR="00A11E52" w:rsidRPr="005474FA">
        <w:t xml:space="preserve"> </w:t>
      </w:r>
      <w:r w:rsidR="001B5C07" w:rsidRPr="001B5C07">
        <w:rPr>
          <w:bCs/>
          <w:lang w:val="en-US"/>
        </w:rPr>
        <w:t>under the Optional Protocol to the International Covenant on</w:t>
      </w:r>
      <w:r w:rsidR="001B5C07">
        <w:rPr>
          <w:bCs/>
          <w:lang w:val="en-US"/>
        </w:rPr>
        <w:t xml:space="preserve"> </w:t>
      </w:r>
      <w:r w:rsidR="001B5C07" w:rsidRPr="001B5C07">
        <w:rPr>
          <w:bCs/>
          <w:lang w:val="en-US"/>
        </w:rPr>
        <w:t>Civil and Political Rights</w:t>
      </w:r>
      <w:r w:rsidR="001B5C07">
        <w:rPr>
          <w:bCs/>
          <w:lang w:val="en-US"/>
        </w:rPr>
        <w:t xml:space="preserve">, </w:t>
      </w:r>
      <w:r w:rsidR="00A11E52" w:rsidRPr="005474FA">
        <w:t>adopted by the Committee at its 113</w:t>
      </w:r>
      <w:r w:rsidR="00A11E52" w:rsidRPr="000E1B7A">
        <w:t>th</w:t>
      </w:r>
      <w:r w:rsidR="00A11E52" w:rsidRPr="005474FA">
        <w:t xml:space="preserve"> session</w:t>
      </w:r>
      <w:r w:rsidR="00A11E52">
        <w:t xml:space="preserve"> </w:t>
      </w:r>
      <w:r w:rsidR="00841168">
        <w:br/>
      </w:r>
      <w:r w:rsidR="00A11E52" w:rsidRPr="005474FA">
        <w:t>(</w:t>
      </w:r>
      <w:r w:rsidR="00A11E52" w:rsidRPr="005474FA">
        <w:rPr>
          <w:bCs/>
          <w:lang w:val="en-US"/>
        </w:rPr>
        <w:t>16 March–2 April 2015)</w:t>
      </w:r>
    </w:p>
    <w:p w:rsidR="001C3108" w:rsidRPr="00BC411F" w:rsidRDefault="001C3108" w:rsidP="000E1B7A">
      <w:pPr>
        <w:pStyle w:val="SingleTxtG"/>
        <w:ind w:left="4536" w:hanging="3402"/>
        <w:jc w:val="left"/>
        <w:rPr>
          <w:lang w:val="en-GB"/>
        </w:rPr>
      </w:pPr>
      <w:r w:rsidRPr="00BC411F">
        <w:rPr>
          <w:i/>
          <w:lang w:val="en-GB"/>
        </w:rPr>
        <w:t>Submitted by:</w:t>
      </w:r>
      <w:r w:rsidRPr="00BC411F">
        <w:rPr>
          <w:lang w:val="en-GB"/>
        </w:rPr>
        <w:tab/>
        <w:t xml:space="preserve">X (represented by counsel, </w:t>
      </w:r>
      <w:r w:rsidR="00245B05" w:rsidRPr="00BC411F">
        <w:rPr>
          <w:lang w:val="en-GB"/>
        </w:rPr>
        <w:t xml:space="preserve">Cecilia Vejby Andersen from </w:t>
      </w:r>
      <w:r w:rsidR="001B5C07">
        <w:rPr>
          <w:lang w:val="en-GB"/>
        </w:rPr>
        <w:t xml:space="preserve">the </w:t>
      </w:r>
      <w:r w:rsidR="00245B05" w:rsidRPr="00BC411F">
        <w:rPr>
          <w:lang w:val="en-GB"/>
        </w:rPr>
        <w:t>Danish Refugee Council</w:t>
      </w:r>
      <w:r w:rsidRPr="00BC411F">
        <w:rPr>
          <w:lang w:val="en-GB"/>
        </w:rPr>
        <w:t>)</w:t>
      </w:r>
    </w:p>
    <w:p w:rsidR="001C3108" w:rsidRPr="00BC411F" w:rsidRDefault="001C3108" w:rsidP="000E1B7A">
      <w:pPr>
        <w:pStyle w:val="SingleTxtG"/>
        <w:ind w:left="4536" w:hanging="3402"/>
        <w:jc w:val="left"/>
        <w:rPr>
          <w:lang w:val="en-GB"/>
        </w:rPr>
      </w:pPr>
      <w:r w:rsidRPr="00BC411F">
        <w:rPr>
          <w:i/>
          <w:lang w:val="en-GB"/>
        </w:rPr>
        <w:t>Alleged victim:</w:t>
      </w:r>
      <w:r w:rsidRPr="00BC411F">
        <w:rPr>
          <w:lang w:val="en-GB"/>
        </w:rPr>
        <w:tab/>
        <w:t>The author</w:t>
      </w:r>
    </w:p>
    <w:p w:rsidR="001C3108" w:rsidRPr="00BC411F" w:rsidRDefault="001C3108" w:rsidP="000E1B7A">
      <w:pPr>
        <w:pStyle w:val="SingleTxtG"/>
        <w:ind w:left="4536" w:hanging="3402"/>
        <w:jc w:val="left"/>
        <w:rPr>
          <w:lang w:val="en-GB"/>
        </w:rPr>
      </w:pPr>
      <w:r w:rsidRPr="00BC411F">
        <w:rPr>
          <w:i/>
          <w:lang w:val="en-GB"/>
        </w:rPr>
        <w:t>State party:</w:t>
      </w:r>
      <w:r w:rsidRPr="00BC411F">
        <w:rPr>
          <w:lang w:val="en-GB"/>
        </w:rPr>
        <w:tab/>
        <w:t>Denmark</w:t>
      </w:r>
    </w:p>
    <w:p w:rsidR="001C3108" w:rsidRPr="00BC411F" w:rsidRDefault="001C3108" w:rsidP="000E1B7A">
      <w:pPr>
        <w:pStyle w:val="SingleTxtG"/>
        <w:ind w:left="4536" w:hanging="3402"/>
        <w:jc w:val="left"/>
        <w:rPr>
          <w:lang w:val="en-GB"/>
        </w:rPr>
      </w:pPr>
      <w:r w:rsidRPr="00BC411F">
        <w:rPr>
          <w:i/>
          <w:lang w:val="en-GB"/>
        </w:rPr>
        <w:t>Date of communication:</w:t>
      </w:r>
      <w:r w:rsidRPr="00BC411F">
        <w:rPr>
          <w:lang w:val="en-GB"/>
        </w:rPr>
        <w:tab/>
      </w:r>
      <w:r w:rsidR="00245B05" w:rsidRPr="00BC411F">
        <w:rPr>
          <w:lang w:val="en-GB"/>
        </w:rPr>
        <w:t>7 January</w:t>
      </w:r>
      <w:r w:rsidRPr="00BC411F">
        <w:rPr>
          <w:lang w:val="en-GB"/>
        </w:rPr>
        <w:t xml:space="preserve"> 201</w:t>
      </w:r>
      <w:r w:rsidR="00245B05" w:rsidRPr="00BC411F">
        <w:rPr>
          <w:lang w:val="en-GB"/>
        </w:rPr>
        <w:t>5</w:t>
      </w:r>
      <w:r w:rsidRPr="00BC411F">
        <w:rPr>
          <w:lang w:val="en-GB"/>
        </w:rPr>
        <w:t xml:space="preserve"> (initial submission)</w:t>
      </w:r>
    </w:p>
    <w:p w:rsidR="001C3108" w:rsidRPr="00BC411F" w:rsidRDefault="001C3108" w:rsidP="000E1B7A">
      <w:pPr>
        <w:pStyle w:val="SingleTxtG"/>
        <w:ind w:left="4536" w:hanging="3402"/>
        <w:jc w:val="left"/>
        <w:rPr>
          <w:lang w:val="en-GB"/>
        </w:rPr>
      </w:pPr>
      <w:r w:rsidRPr="00BC411F">
        <w:rPr>
          <w:i/>
          <w:lang w:val="en-GB"/>
        </w:rPr>
        <w:t>Date of decision:</w:t>
      </w:r>
      <w:r w:rsidRPr="00BC411F">
        <w:rPr>
          <w:lang w:val="en-GB"/>
        </w:rPr>
        <w:tab/>
      </w:r>
      <w:r w:rsidR="00A11E52">
        <w:rPr>
          <w:lang w:val="en-GB"/>
        </w:rPr>
        <w:t>1 April</w:t>
      </w:r>
      <w:r w:rsidR="00A11E52" w:rsidRPr="00BC411F">
        <w:rPr>
          <w:lang w:val="en-GB"/>
        </w:rPr>
        <w:t xml:space="preserve"> </w:t>
      </w:r>
      <w:r w:rsidRPr="00BC411F">
        <w:rPr>
          <w:lang w:val="en-GB"/>
        </w:rPr>
        <w:t>2015</w:t>
      </w:r>
    </w:p>
    <w:p w:rsidR="001C3108" w:rsidRPr="00BC411F" w:rsidRDefault="001C3108" w:rsidP="000E1B7A">
      <w:pPr>
        <w:pStyle w:val="SingleTxtG"/>
        <w:ind w:left="4536" w:hanging="3402"/>
        <w:jc w:val="left"/>
        <w:rPr>
          <w:highlight w:val="yellow"/>
          <w:lang w:val="en-GB"/>
        </w:rPr>
      </w:pPr>
      <w:r w:rsidRPr="00BC411F">
        <w:rPr>
          <w:i/>
          <w:lang w:val="en-GB"/>
        </w:rPr>
        <w:t>Subject matter:</w:t>
      </w:r>
      <w:r w:rsidR="006004F2" w:rsidRPr="00BC411F">
        <w:rPr>
          <w:i/>
          <w:lang w:val="en-GB"/>
        </w:rPr>
        <w:t xml:space="preserve"> </w:t>
      </w:r>
      <w:r w:rsidRPr="00BC411F">
        <w:rPr>
          <w:i/>
          <w:lang w:val="en-GB"/>
        </w:rPr>
        <w:tab/>
      </w:r>
      <w:r w:rsidRPr="00BC411F">
        <w:rPr>
          <w:lang w:val="en-GB"/>
        </w:rPr>
        <w:t xml:space="preserve">Deportation to </w:t>
      </w:r>
      <w:r w:rsidR="00245B05" w:rsidRPr="00BC411F">
        <w:rPr>
          <w:lang w:val="en-GB"/>
        </w:rPr>
        <w:t>Greece</w:t>
      </w:r>
      <w:r w:rsidRPr="00BC411F">
        <w:rPr>
          <w:highlight w:val="yellow"/>
          <w:lang w:val="en-GB"/>
        </w:rPr>
        <w:t xml:space="preserve"> </w:t>
      </w:r>
    </w:p>
    <w:p w:rsidR="001C3108" w:rsidRPr="00BC411F" w:rsidRDefault="001C3108" w:rsidP="000E1B7A">
      <w:pPr>
        <w:pStyle w:val="SingleTxtG"/>
        <w:ind w:left="4536" w:hanging="3402"/>
        <w:jc w:val="left"/>
        <w:rPr>
          <w:iCs/>
          <w:lang w:val="en-GB"/>
        </w:rPr>
      </w:pPr>
      <w:r w:rsidRPr="00BC411F">
        <w:rPr>
          <w:i/>
          <w:lang w:val="en-GB"/>
        </w:rPr>
        <w:t>Procedural issue</w:t>
      </w:r>
      <w:r w:rsidR="001B5C07">
        <w:rPr>
          <w:i/>
          <w:lang w:val="en-GB"/>
        </w:rPr>
        <w:t>s</w:t>
      </w:r>
      <w:r w:rsidRPr="00BC411F">
        <w:rPr>
          <w:i/>
          <w:lang w:val="en-GB"/>
        </w:rPr>
        <w:t xml:space="preserve">: </w:t>
      </w:r>
      <w:r w:rsidRPr="00BC411F">
        <w:rPr>
          <w:i/>
          <w:lang w:val="en-GB"/>
        </w:rPr>
        <w:tab/>
      </w:r>
      <w:r w:rsidR="008132DE" w:rsidRPr="00BC411F">
        <w:rPr>
          <w:iCs/>
          <w:lang w:val="en-GB"/>
        </w:rPr>
        <w:t xml:space="preserve">Level of </w:t>
      </w:r>
      <w:r w:rsidRPr="00BC411F">
        <w:rPr>
          <w:iCs/>
          <w:lang w:val="en-GB"/>
        </w:rPr>
        <w:t>substantiation of claims</w:t>
      </w:r>
    </w:p>
    <w:p w:rsidR="00FB5CF4" w:rsidRPr="00BC411F" w:rsidRDefault="00FB5CF4" w:rsidP="000E1B7A">
      <w:pPr>
        <w:pStyle w:val="SingleTxtG"/>
        <w:ind w:left="4536" w:hanging="3402"/>
        <w:jc w:val="left"/>
        <w:rPr>
          <w:lang w:val="en-GB"/>
        </w:rPr>
      </w:pPr>
      <w:r w:rsidRPr="00BC411F">
        <w:rPr>
          <w:i/>
          <w:lang w:val="en-GB"/>
        </w:rPr>
        <w:t xml:space="preserve">Substantive issues: </w:t>
      </w:r>
      <w:r w:rsidRPr="00BC411F">
        <w:rPr>
          <w:i/>
          <w:lang w:val="en-GB"/>
        </w:rPr>
        <w:tab/>
      </w:r>
      <w:r w:rsidRPr="00BC411F">
        <w:rPr>
          <w:lang w:val="en-GB"/>
        </w:rPr>
        <w:t>Ris</w:t>
      </w:r>
      <w:r w:rsidR="00245B05" w:rsidRPr="00BC411F">
        <w:rPr>
          <w:lang w:val="en-GB"/>
        </w:rPr>
        <w:t>k of torture and ill-treatment</w:t>
      </w:r>
    </w:p>
    <w:p w:rsidR="001C3108" w:rsidRPr="00BC411F" w:rsidRDefault="001C3108" w:rsidP="000E1B7A">
      <w:pPr>
        <w:pStyle w:val="SingleTxtG"/>
        <w:ind w:left="4536" w:hanging="3402"/>
        <w:jc w:val="left"/>
        <w:rPr>
          <w:lang w:val="en-GB"/>
        </w:rPr>
      </w:pPr>
      <w:r w:rsidRPr="00BC411F">
        <w:rPr>
          <w:i/>
          <w:lang w:val="en-GB"/>
        </w:rPr>
        <w:t>Article</w:t>
      </w:r>
      <w:r w:rsidR="001B5C07">
        <w:rPr>
          <w:i/>
          <w:lang w:val="en-GB"/>
        </w:rPr>
        <w:t>s</w:t>
      </w:r>
      <w:r w:rsidRPr="00BC411F">
        <w:rPr>
          <w:i/>
          <w:lang w:val="en-GB"/>
        </w:rPr>
        <w:t xml:space="preserve"> of the Covenant:</w:t>
      </w:r>
      <w:r w:rsidRPr="00BC411F">
        <w:rPr>
          <w:lang w:val="en-GB"/>
        </w:rPr>
        <w:t xml:space="preserve"> </w:t>
      </w:r>
      <w:r w:rsidRPr="00BC411F">
        <w:rPr>
          <w:lang w:val="en-GB"/>
        </w:rPr>
        <w:tab/>
      </w:r>
      <w:r w:rsidR="001B5C07">
        <w:rPr>
          <w:lang w:val="en-GB"/>
        </w:rPr>
        <w:t xml:space="preserve">Article </w:t>
      </w:r>
      <w:r w:rsidR="00245B05" w:rsidRPr="00BC411F">
        <w:rPr>
          <w:iCs/>
          <w:lang w:val="en-GB"/>
        </w:rPr>
        <w:t>7</w:t>
      </w:r>
    </w:p>
    <w:p w:rsidR="001C3108" w:rsidRPr="00BC411F" w:rsidRDefault="001C3108" w:rsidP="000E1B7A">
      <w:pPr>
        <w:pStyle w:val="SingleTxtG"/>
        <w:ind w:left="4536" w:hanging="3402"/>
        <w:jc w:val="left"/>
        <w:rPr>
          <w:i/>
          <w:lang w:val="en-GB"/>
        </w:rPr>
      </w:pPr>
      <w:r w:rsidRPr="00BC411F">
        <w:rPr>
          <w:i/>
          <w:lang w:val="en-GB"/>
        </w:rPr>
        <w:t>Article</w:t>
      </w:r>
      <w:r w:rsidR="001B5C07">
        <w:rPr>
          <w:i/>
          <w:lang w:val="en-GB"/>
        </w:rPr>
        <w:t>s</w:t>
      </w:r>
      <w:r w:rsidRPr="00BC411F">
        <w:rPr>
          <w:i/>
          <w:lang w:val="en-GB"/>
        </w:rPr>
        <w:t xml:space="preserve"> of the Optional Protocol:</w:t>
      </w:r>
      <w:r w:rsidRPr="00BC411F">
        <w:rPr>
          <w:i/>
          <w:lang w:val="en-GB"/>
        </w:rPr>
        <w:tab/>
      </w:r>
      <w:r w:rsidR="001B5C07">
        <w:rPr>
          <w:iCs/>
          <w:lang w:val="en-GB"/>
        </w:rPr>
        <w:t xml:space="preserve">Article </w:t>
      </w:r>
      <w:r w:rsidRPr="00BC411F">
        <w:rPr>
          <w:lang w:val="en-GB"/>
        </w:rPr>
        <w:t>2</w:t>
      </w:r>
    </w:p>
    <w:p w:rsidR="001C3108" w:rsidRPr="00BC411F" w:rsidRDefault="00654441" w:rsidP="001C3108">
      <w:pPr>
        <w:pStyle w:val="H1G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5496560</wp:posOffset>
            </wp:positionH>
            <wp:positionV relativeFrom="margin">
              <wp:posOffset>8116570</wp:posOffset>
            </wp:positionV>
            <wp:extent cx="638175" cy="638175"/>
            <wp:effectExtent l="0" t="0" r="9525" b="9525"/>
            <wp:wrapNone/>
            <wp:docPr id="4" name="Picture 2" descr="http://undocs.org/m2/QRCode.ashx?DS=CCPR/C/113/D/2523/2015&amp;Size=2 &amp;Lang=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ndocs.org/m2/QRCode.ashx?DS=CCPR/C/113/D/2523/2015&amp;Size=2 &amp;Lang=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margin">
              <wp:posOffset>4403090</wp:posOffset>
            </wp:positionH>
            <wp:positionV relativeFrom="margin">
              <wp:posOffset>8334375</wp:posOffset>
            </wp:positionV>
            <wp:extent cx="933450" cy="228600"/>
            <wp:effectExtent l="0" t="0" r="0" b="0"/>
            <wp:wrapNone/>
            <wp:docPr id="3" name="Picture 2" descr="recycle_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ycle_Englis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108" w:rsidRPr="00BC411F">
        <w:rPr>
          <w:i/>
        </w:rPr>
        <w:br w:type="page"/>
      </w:r>
      <w:r w:rsidR="001C3108" w:rsidRPr="00BC411F">
        <w:lastRenderedPageBreak/>
        <w:tab/>
      </w:r>
      <w:r w:rsidR="001C3108" w:rsidRPr="00BC411F">
        <w:tab/>
        <w:t>Decision on admissibility</w:t>
      </w:r>
      <w:r w:rsidR="00A11E52" w:rsidRPr="000E1B7A">
        <w:rPr>
          <w:rStyle w:val="FootnoteReference"/>
          <w:rFonts w:eastAsia="Calibri"/>
          <w:b w:val="0"/>
          <w:bCs/>
          <w:sz w:val="20"/>
          <w:vertAlign w:val="baseline"/>
        </w:rPr>
        <w:footnoteReference w:customMarkFollows="1" w:id="2"/>
        <w:t>*</w:t>
      </w:r>
    </w:p>
    <w:p w:rsidR="001C3108" w:rsidRPr="00B81E97" w:rsidRDefault="001C3108" w:rsidP="001C3108">
      <w:pPr>
        <w:pStyle w:val="SingleTxtG"/>
        <w:spacing w:line="240" w:lineRule="auto"/>
        <w:rPr>
          <w:lang w:val="en-GB"/>
        </w:rPr>
      </w:pPr>
      <w:r w:rsidRPr="00B81E97">
        <w:rPr>
          <w:lang w:val="en-GB"/>
        </w:rPr>
        <w:t>1.1</w:t>
      </w:r>
      <w:r w:rsidRPr="00B81E97">
        <w:rPr>
          <w:lang w:val="en-GB"/>
        </w:rPr>
        <w:tab/>
        <w:t>The author of the communication is Mr.</w:t>
      </w:r>
      <w:r w:rsidR="000740BC">
        <w:rPr>
          <w:lang w:val="en-GB"/>
        </w:rPr>
        <w:t> </w:t>
      </w:r>
      <w:r w:rsidRPr="00B81E97">
        <w:rPr>
          <w:lang w:val="en-GB"/>
        </w:rPr>
        <w:t xml:space="preserve">X, a </w:t>
      </w:r>
      <w:r w:rsidR="001D5E04" w:rsidRPr="00B81E97">
        <w:rPr>
          <w:lang w:val="en-GB"/>
        </w:rPr>
        <w:t xml:space="preserve">Syrian </w:t>
      </w:r>
      <w:r w:rsidR="008132DE" w:rsidRPr="00B81E97">
        <w:rPr>
          <w:lang w:val="en-GB"/>
        </w:rPr>
        <w:t>citizen</w:t>
      </w:r>
      <w:r w:rsidR="001D5E04" w:rsidRPr="00B81E97">
        <w:rPr>
          <w:lang w:val="en-GB"/>
        </w:rPr>
        <w:t xml:space="preserve"> </w:t>
      </w:r>
      <w:r w:rsidR="00AD2F62">
        <w:rPr>
          <w:lang w:val="en-GB"/>
        </w:rPr>
        <w:t xml:space="preserve">of Kurdish origin </w:t>
      </w:r>
      <w:r w:rsidR="001D5E04" w:rsidRPr="00B81E97">
        <w:rPr>
          <w:lang w:val="en-GB"/>
        </w:rPr>
        <w:t>born i</w:t>
      </w:r>
      <w:r w:rsidRPr="00B81E97">
        <w:rPr>
          <w:lang w:val="en-GB"/>
        </w:rPr>
        <w:t>n 19</w:t>
      </w:r>
      <w:r w:rsidR="001D5E04" w:rsidRPr="00B81E97">
        <w:rPr>
          <w:lang w:val="en-GB"/>
        </w:rPr>
        <w:t>77</w:t>
      </w:r>
      <w:r w:rsidRPr="00B81E97">
        <w:rPr>
          <w:lang w:val="en-GB"/>
        </w:rPr>
        <w:t xml:space="preserve">. He claims that his deportation to </w:t>
      </w:r>
      <w:r w:rsidR="001D5E04" w:rsidRPr="00B81E97">
        <w:rPr>
          <w:lang w:val="en-GB"/>
        </w:rPr>
        <w:t>Greece</w:t>
      </w:r>
      <w:r w:rsidRPr="00B81E97">
        <w:rPr>
          <w:lang w:val="en-GB"/>
        </w:rPr>
        <w:t xml:space="preserve"> would constitute a violation</w:t>
      </w:r>
      <w:r w:rsidR="008132DE" w:rsidRPr="00B81E97">
        <w:rPr>
          <w:lang w:val="en-GB"/>
        </w:rPr>
        <w:t xml:space="preserve">, by Denmark, </w:t>
      </w:r>
      <w:r w:rsidRPr="00B81E97">
        <w:rPr>
          <w:lang w:val="en-GB"/>
        </w:rPr>
        <w:t xml:space="preserve">of his rights under </w:t>
      </w:r>
      <w:r w:rsidR="00841168">
        <w:rPr>
          <w:lang w:val="en-GB"/>
        </w:rPr>
        <w:t>article </w:t>
      </w:r>
      <w:r w:rsidRPr="00B81E97">
        <w:rPr>
          <w:lang w:val="en-GB"/>
        </w:rPr>
        <w:t>7</w:t>
      </w:r>
      <w:r w:rsidR="001D5E04" w:rsidRPr="00B81E97">
        <w:rPr>
          <w:lang w:val="en-GB"/>
        </w:rPr>
        <w:t xml:space="preserve"> </w:t>
      </w:r>
      <w:r w:rsidRPr="00B81E97">
        <w:rPr>
          <w:lang w:val="en-GB"/>
        </w:rPr>
        <w:t>of the Covenant. The author is represented by counsel.</w:t>
      </w:r>
    </w:p>
    <w:p w:rsidR="001C3108" w:rsidRPr="00B81E97" w:rsidRDefault="001C3108" w:rsidP="001C3108">
      <w:pPr>
        <w:pStyle w:val="SingleTxtG"/>
        <w:spacing w:line="240" w:lineRule="auto"/>
        <w:rPr>
          <w:lang w:val="en-GB"/>
        </w:rPr>
      </w:pPr>
      <w:r w:rsidRPr="00B81E97">
        <w:rPr>
          <w:lang w:val="en-GB"/>
        </w:rPr>
        <w:t>1.2</w:t>
      </w:r>
      <w:r w:rsidRPr="00B81E97">
        <w:rPr>
          <w:lang w:val="en-GB"/>
        </w:rPr>
        <w:tab/>
        <w:t xml:space="preserve">On </w:t>
      </w:r>
      <w:r w:rsidR="002B4048" w:rsidRPr="00B81E97">
        <w:rPr>
          <w:lang w:val="en-GB"/>
        </w:rPr>
        <w:t>9 January</w:t>
      </w:r>
      <w:r w:rsidRPr="00B81E97">
        <w:rPr>
          <w:lang w:val="en-GB"/>
        </w:rPr>
        <w:t xml:space="preserve"> 2015, </w:t>
      </w:r>
      <w:r w:rsidR="00BD07A1">
        <w:rPr>
          <w:lang w:val="en-GB"/>
        </w:rPr>
        <w:t xml:space="preserve">the </w:t>
      </w:r>
      <w:r w:rsidR="008132DE" w:rsidRPr="00B81E97">
        <w:rPr>
          <w:lang w:val="en-GB"/>
        </w:rPr>
        <w:t xml:space="preserve">Committee, acting through its </w:t>
      </w:r>
      <w:r w:rsidRPr="00B81E97">
        <w:rPr>
          <w:lang w:val="en-GB"/>
        </w:rPr>
        <w:t>Special Rapporteur on new communications and interim measures, decided not to issue a request for interim measures under rule</w:t>
      </w:r>
      <w:r w:rsidR="00ED7450">
        <w:rPr>
          <w:lang w:val="en-GB"/>
        </w:rPr>
        <w:t> </w:t>
      </w:r>
      <w:r w:rsidRPr="00B81E97">
        <w:rPr>
          <w:lang w:val="en-GB"/>
        </w:rPr>
        <w:t>92 of the Committee’s rules of procedure</w:t>
      </w:r>
      <w:r w:rsidR="008132DE" w:rsidRPr="00B81E97">
        <w:rPr>
          <w:lang w:val="en-GB"/>
        </w:rPr>
        <w:t>, and</w:t>
      </w:r>
      <w:r w:rsidR="00BD07A1">
        <w:rPr>
          <w:lang w:val="en-GB"/>
        </w:rPr>
        <w:t xml:space="preserve"> determined</w:t>
      </w:r>
      <w:r w:rsidR="008132DE" w:rsidRPr="00B81E97">
        <w:rPr>
          <w:lang w:val="en-GB"/>
        </w:rPr>
        <w:t xml:space="preserve"> </w:t>
      </w:r>
      <w:r w:rsidRPr="00B81E97">
        <w:rPr>
          <w:lang w:val="en-GB"/>
        </w:rPr>
        <w:t xml:space="preserve">that </w:t>
      </w:r>
      <w:r w:rsidR="008132DE" w:rsidRPr="00B81E97">
        <w:rPr>
          <w:lang w:val="en-GB"/>
        </w:rPr>
        <w:t xml:space="preserve">no </w:t>
      </w:r>
      <w:r w:rsidRPr="00B81E97">
        <w:rPr>
          <w:lang w:val="en-GB"/>
        </w:rPr>
        <w:t>observations from the State party were needed to ascertain the admissibility of the present communication.</w:t>
      </w:r>
    </w:p>
    <w:p w:rsidR="001C3108" w:rsidRPr="00BC411F" w:rsidRDefault="001C3108" w:rsidP="001C3108">
      <w:pPr>
        <w:pStyle w:val="H23G"/>
      </w:pPr>
      <w:r w:rsidRPr="00BC411F">
        <w:tab/>
      </w:r>
      <w:r w:rsidRPr="00BC411F">
        <w:tab/>
        <w:t>The facts as presented by the author</w:t>
      </w:r>
    </w:p>
    <w:p w:rsidR="002B4048" w:rsidRPr="00BC411F" w:rsidRDefault="002B4048" w:rsidP="00BD07A1">
      <w:pPr>
        <w:pStyle w:val="SingleTxtG"/>
        <w:rPr>
          <w:lang w:val="en-GB"/>
        </w:rPr>
      </w:pPr>
      <w:r w:rsidRPr="00BC411F">
        <w:rPr>
          <w:lang w:val="en-GB"/>
        </w:rPr>
        <w:t>2.1</w:t>
      </w:r>
      <w:r w:rsidRPr="00BC411F">
        <w:rPr>
          <w:lang w:val="en-GB"/>
        </w:rPr>
        <w:tab/>
        <w:t xml:space="preserve">The author </w:t>
      </w:r>
      <w:r w:rsidR="005759D8">
        <w:rPr>
          <w:lang w:val="en-GB"/>
        </w:rPr>
        <w:t>is</w:t>
      </w:r>
      <w:r w:rsidR="005759D8" w:rsidRPr="00BC411F">
        <w:rPr>
          <w:lang w:val="en-GB"/>
        </w:rPr>
        <w:t xml:space="preserve"> </w:t>
      </w:r>
      <w:r w:rsidRPr="00BC411F">
        <w:rPr>
          <w:lang w:val="en-GB"/>
        </w:rPr>
        <w:t>from Maydanke, Afrin, Syria</w:t>
      </w:r>
      <w:r w:rsidR="005759D8">
        <w:rPr>
          <w:lang w:val="en-GB"/>
        </w:rPr>
        <w:t>n Arab Republic</w:t>
      </w:r>
      <w:r w:rsidRPr="00BC411F">
        <w:rPr>
          <w:lang w:val="en-GB"/>
        </w:rPr>
        <w:t xml:space="preserve"> and is of Kurdish ethnicity</w:t>
      </w:r>
      <w:r w:rsidR="001C3108" w:rsidRPr="00BC411F">
        <w:rPr>
          <w:lang w:val="en-GB"/>
        </w:rPr>
        <w:t xml:space="preserve">. </w:t>
      </w:r>
      <w:r w:rsidRPr="00BC411F">
        <w:rPr>
          <w:lang w:val="en-GB"/>
        </w:rPr>
        <w:t>In 2007</w:t>
      </w:r>
      <w:r w:rsidR="008132DE" w:rsidRPr="00BC411F">
        <w:rPr>
          <w:lang w:val="en-GB"/>
        </w:rPr>
        <w:t>,</w:t>
      </w:r>
      <w:r w:rsidRPr="00BC411F">
        <w:rPr>
          <w:lang w:val="en-GB"/>
        </w:rPr>
        <w:t xml:space="preserve"> he </w:t>
      </w:r>
      <w:r w:rsidR="0061421F">
        <w:rPr>
          <w:lang w:val="en-GB"/>
        </w:rPr>
        <w:t>went</w:t>
      </w:r>
      <w:r w:rsidRPr="00BC411F">
        <w:rPr>
          <w:lang w:val="en-GB"/>
        </w:rPr>
        <w:t xml:space="preserve"> to Greece from </w:t>
      </w:r>
      <w:r w:rsidR="006169F5">
        <w:rPr>
          <w:lang w:val="en-GB"/>
        </w:rPr>
        <w:t xml:space="preserve">the </w:t>
      </w:r>
      <w:r w:rsidRPr="00BC411F">
        <w:rPr>
          <w:lang w:val="en-GB"/>
        </w:rPr>
        <w:t>Syria</w:t>
      </w:r>
      <w:r w:rsidR="006169F5">
        <w:rPr>
          <w:lang w:val="en-GB"/>
        </w:rPr>
        <w:t>n Arab Republic</w:t>
      </w:r>
      <w:r w:rsidRPr="00BC411F">
        <w:rPr>
          <w:lang w:val="en-GB"/>
        </w:rPr>
        <w:t xml:space="preserve"> and applied for asylum. He was issued a residence permit. He states that he was registered as an asylum seeker, but that he is </w:t>
      </w:r>
      <w:r w:rsidR="008132DE" w:rsidRPr="00BC411F">
        <w:rPr>
          <w:lang w:val="en-GB"/>
        </w:rPr>
        <w:t xml:space="preserve">not </w:t>
      </w:r>
      <w:r w:rsidRPr="00BC411F">
        <w:rPr>
          <w:lang w:val="en-GB"/>
        </w:rPr>
        <w:t>sure whether he was granted international protection in Greece</w:t>
      </w:r>
      <w:r w:rsidRPr="00BC411F">
        <w:rPr>
          <w:sz w:val="24"/>
          <w:szCs w:val="24"/>
          <w:lang w:val="en-GB"/>
        </w:rPr>
        <w:t>.</w:t>
      </w:r>
      <w:r w:rsidRPr="00BC411F">
        <w:rPr>
          <w:rStyle w:val="FootnoteReference"/>
          <w:lang w:val="en-GB"/>
        </w:rPr>
        <w:footnoteReference w:id="3"/>
      </w:r>
      <w:r w:rsidRPr="00BC411F">
        <w:rPr>
          <w:sz w:val="24"/>
          <w:szCs w:val="24"/>
          <w:lang w:val="en-GB"/>
        </w:rPr>
        <w:t xml:space="preserve"> </w:t>
      </w:r>
      <w:r w:rsidRPr="00BC411F">
        <w:rPr>
          <w:lang w:val="en-GB"/>
        </w:rPr>
        <w:t>The author resided in Greece from 2007 to 2010. In 2010</w:t>
      </w:r>
      <w:r w:rsidR="008132DE" w:rsidRPr="00BC411F">
        <w:rPr>
          <w:lang w:val="en-GB"/>
        </w:rPr>
        <w:t>,</w:t>
      </w:r>
      <w:r w:rsidRPr="00BC411F">
        <w:rPr>
          <w:lang w:val="en-GB"/>
        </w:rPr>
        <w:t xml:space="preserve"> he returned to </w:t>
      </w:r>
      <w:r w:rsidR="009064A2">
        <w:rPr>
          <w:lang w:val="en-GB"/>
        </w:rPr>
        <w:t xml:space="preserve">the </w:t>
      </w:r>
      <w:r w:rsidRPr="00BC411F">
        <w:rPr>
          <w:lang w:val="en-GB"/>
        </w:rPr>
        <w:t>Syria</w:t>
      </w:r>
      <w:r w:rsidR="009064A2">
        <w:rPr>
          <w:lang w:val="en-GB"/>
        </w:rPr>
        <w:t>n Arab Republic</w:t>
      </w:r>
      <w:r w:rsidRPr="00BC411F">
        <w:rPr>
          <w:lang w:val="en-GB"/>
        </w:rPr>
        <w:t xml:space="preserve">. </w:t>
      </w:r>
    </w:p>
    <w:p w:rsidR="001C3108" w:rsidRPr="00BC411F" w:rsidRDefault="002B4048" w:rsidP="00AA3F52">
      <w:pPr>
        <w:pStyle w:val="SingleTxtG"/>
        <w:rPr>
          <w:lang w:val="en-GB"/>
        </w:rPr>
      </w:pPr>
      <w:r w:rsidRPr="00BC411F">
        <w:rPr>
          <w:lang w:val="en-GB"/>
        </w:rPr>
        <w:t>2.2</w:t>
      </w:r>
      <w:r w:rsidRPr="00BC411F">
        <w:rPr>
          <w:lang w:val="en-GB"/>
        </w:rPr>
        <w:tab/>
        <w:t>In February 2014</w:t>
      </w:r>
      <w:r w:rsidR="008132DE" w:rsidRPr="00BC411F">
        <w:rPr>
          <w:lang w:val="en-GB"/>
        </w:rPr>
        <w:t>,</w:t>
      </w:r>
      <w:r w:rsidRPr="00BC411F">
        <w:rPr>
          <w:lang w:val="en-GB"/>
        </w:rPr>
        <w:t xml:space="preserve"> </w:t>
      </w:r>
      <w:r w:rsidR="00BD07A1">
        <w:rPr>
          <w:lang w:val="en-GB"/>
        </w:rPr>
        <w:t>the author</w:t>
      </w:r>
      <w:r w:rsidR="008132DE" w:rsidRPr="00BC411F">
        <w:rPr>
          <w:lang w:val="en-GB"/>
        </w:rPr>
        <w:t xml:space="preserve"> </w:t>
      </w:r>
      <w:r w:rsidRPr="00BC411F">
        <w:rPr>
          <w:lang w:val="en-GB"/>
        </w:rPr>
        <w:t xml:space="preserve">left </w:t>
      </w:r>
      <w:r w:rsidR="009064A2">
        <w:rPr>
          <w:lang w:val="en-GB"/>
        </w:rPr>
        <w:t xml:space="preserve">the </w:t>
      </w:r>
      <w:r w:rsidRPr="00BC411F">
        <w:rPr>
          <w:lang w:val="en-GB"/>
        </w:rPr>
        <w:t>Syria</w:t>
      </w:r>
      <w:r w:rsidR="009064A2">
        <w:rPr>
          <w:lang w:val="en-GB"/>
        </w:rPr>
        <w:t>n Arab Republic</w:t>
      </w:r>
      <w:r w:rsidRPr="00BC411F">
        <w:rPr>
          <w:lang w:val="en-GB"/>
        </w:rPr>
        <w:t xml:space="preserve"> and</w:t>
      </w:r>
      <w:r w:rsidR="009064A2">
        <w:rPr>
          <w:lang w:val="en-GB"/>
        </w:rPr>
        <w:t>,</w:t>
      </w:r>
      <w:r w:rsidRPr="00BC411F">
        <w:rPr>
          <w:lang w:val="en-GB"/>
        </w:rPr>
        <w:t xml:space="preserve"> having travelled through Turkey, returned to Greece. He stayed with friends and other people of Kurdish ethnicity, and occasionally in </w:t>
      </w:r>
      <w:r w:rsidR="009064A2">
        <w:rPr>
          <w:lang w:val="en-GB"/>
        </w:rPr>
        <w:t>the Lavrio</w:t>
      </w:r>
      <w:r w:rsidRPr="00BC411F">
        <w:rPr>
          <w:lang w:val="en-GB"/>
        </w:rPr>
        <w:t xml:space="preserve"> refugee camp with friends, </w:t>
      </w:r>
      <w:r w:rsidR="008132DE" w:rsidRPr="00BC411F">
        <w:rPr>
          <w:lang w:val="en-GB"/>
        </w:rPr>
        <w:t xml:space="preserve">not far from </w:t>
      </w:r>
      <w:r w:rsidRPr="00BC411F">
        <w:rPr>
          <w:lang w:val="en-GB"/>
        </w:rPr>
        <w:t>Athens. In Greece</w:t>
      </w:r>
      <w:r w:rsidR="008132DE" w:rsidRPr="00BC411F">
        <w:rPr>
          <w:lang w:val="en-GB"/>
        </w:rPr>
        <w:t>,</w:t>
      </w:r>
      <w:r w:rsidRPr="00BC411F">
        <w:rPr>
          <w:lang w:val="en-GB"/>
        </w:rPr>
        <w:t xml:space="preserve"> the author paid 1</w:t>
      </w:r>
      <w:r w:rsidR="00ED7450">
        <w:rPr>
          <w:lang w:val="en-GB"/>
        </w:rPr>
        <w:t>,</w:t>
      </w:r>
      <w:r w:rsidRPr="00BC411F">
        <w:rPr>
          <w:lang w:val="en-GB"/>
        </w:rPr>
        <w:t>000</w:t>
      </w:r>
      <w:r w:rsidR="00ED7450">
        <w:rPr>
          <w:lang w:val="en-GB"/>
        </w:rPr>
        <w:t> </w:t>
      </w:r>
      <w:r w:rsidR="009064A2">
        <w:rPr>
          <w:lang w:val="en-GB"/>
        </w:rPr>
        <w:t>e</w:t>
      </w:r>
      <w:r w:rsidR="008132DE" w:rsidRPr="00BC411F">
        <w:rPr>
          <w:lang w:val="en-GB"/>
        </w:rPr>
        <w:t>uro</w:t>
      </w:r>
      <w:r w:rsidR="009064A2">
        <w:rPr>
          <w:lang w:val="en-GB"/>
        </w:rPr>
        <w:t>s</w:t>
      </w:r>
      <w:r w:rsidRPr="00BC411F">
        <w:rPr>
          <w:lang w:val="en-GB"/>
        </w:rPr>
        <w:t xml:space="preserve"> to an intermediary who assisted him in getting a residence permit faster.</w:t>
      </w:r>
      <w:r w:rsidRPr="00BC411F">
        <w:rPr>
          <w:vertAlign w:val="superscript"/>
          <w:lang w:val="en-GB"/>
        </w:rPr>
        <w:footnoteReference w:id="4"/>
      </w:r>
      <w:r w:rsidRPr="00BC411F">
        <w:rPr>
          <w:vertAlign w:val="superscript"/>
          <w:lang w:val="en-GB"/>
        </w:rPr>
        <w:t xml:space="preserve"> </w:t>
      </w:r>
      <w:r w:rsidRPr="00BC411F">
        <w:rPr>
          <w:lang w:val="en-GB"/>
        </w:rPr>
        <w:t xml:space="preserve">The </w:t>
      </w:r>
      <w:r w:rsidR="008132DE" w:rsidRPr="00BC411F">
        <w:rPr>
          <w:lang w:val="en-GB"/>
        </w:rPr>
        <w:t xml:space="preserve">author explains </w:t>
      </w:r>
      <w:r w:rsidRPr="00BC411F">
        <w:rPr>
          <w:lang w:val="en-GB"/>
        </w:rPr>
        <w:t xml:space="preserve">that </w:t>
      </w:r>
      <w:r w:rsidR="008132DE" w:rsidRPr="00BC411F">
        <w:rPr>
          <w:lang w:val="en-GB"/>
        </w:rPr>
        <w:t xml:space="preserve">with this </w:t>
      </w:r>
      <w:r w:rsidRPr="00BC411F">
        <w:rPr>
          <w:lang w:val="en-GB"/>
        </w:rPr>
        <w:t>permit</w:t>
      </w:r>
      <w:r w:rsidR="008132DE" w:rsidRPr="00BC411F">
        <w:rPr>
          <w:lang w:val="en-GB"/>
        </w:rPr>
        <w:t xml:space="preserve">, he </w:t>
      </w:r>
      <w:r w:rsidRPr="00BC411F">
        <w:rPr>
          <w:lang w:val="en-GB"/>
        </w:rPr>
        <w:t>travel</w:t>
      </w:r>
      <w:r w:rsidR="008132DE" w:rsidRPr="00BC411F">
        <w:rPr>
          <w:lang w:val="en-GB"/>
        </w:rPr>
        <w:t>led</w:t>
      </w:r>
      <w:r w:rsidRPr="00BC411F">
        <w:rPr>
          <w:lang w:val="en-GB"/>
        </w:rPr>
        <w:t xml:space="preserve"> to Denmark to visit friends. He travelled through Norway on 14 August 2014, </w:t>
      </w:r>
      <w:r w:rsidR="00572F14" w:rsidRPr="00BC411F">
        <w:rPr>
          <w:lang w:val="en-GB"/>
        </w:rPr>
        <w:t>and</w:t>
      </w:r>
      <w:r w:rsidRPr="00BC411F">
        <w:rPr>
          <w:lang w:val="en-GB"/>
        </w:rPr>
        <w:t xml:space="preserve"> was apprehended at the Norwegian international airport. He was transferred back to Greece on 15 August 2014, after having failed to </w:t>
      </w:r>
      <w:r w:rsidR="00AA3F52">
        <w:rPr>
          <w:lang w:val="en-GB"/>
        </w:rPr>
        <w:t>explain</w:t>
      </w:r>
      <w:r w:rsidR="00AA3F52" w:rsidRPr="00BC411F">
        <w:rPr>
          <w:lang w:val="en-GB"/>
        </w:rPr>
        <w:t xml:space="preserve"> </w:t>
      </w:r>
      <w:r w:rsidRPr="00BC411F">
        <w:rPr>
          <w:lang w:val="en-GB"/>
        </w:rPr>
        <w:t xml:space="preserve">the purpose for his </w:t>
      </w:r>
      <w:r w:rsidR="00007253" w:rsidRPr="00BC411F">
        <w:rPr>
          <w:lang w:val="en-GB"/>
        </w:rPr>
        <w:t xml:space="preserve">arrival </w:t>
      </w:r>
      <w:r w:rsidRPr="00BC411F">
        <w:rPr>
          <w:lang w:val="en-GB"/>
        </w:rPr>
        <w:t>in Norway.</w:t>
      </w:r>
    </w:p>
    <w:p w:rsidR="001C3108" w:rsidRPr="00BC411F" w:rsidRDefault="001C3108" w:rsidP="00081EE8">
      <w:pPr>
        <w:pStyle w:val="SingleTxtG"/>
        <w:rPr>
          <w:lang w:val="en-GB"/>
        </w:rPr>
      </w:pPr>
      <w:r w:rsidRPr="00BC411F">
        <w:rPr>
          <w:lang w:val="en-GB"/>
        </w:rPr>
        <w:t>2.</w:t>
      </w:r>
      <w:r w:rsidR="002B4048" w:rsidRPr="00BC411F">
        <w:rPr>
          <w:lang w:val="en-GB"/>
        </w:rPr>
        <w:t>3</w:t>
      </w:r>
      <w:r w:rsidR="00911AEA" w:rsidRPr="00BC411F">
        <w:rPr>
          <w:lang w:val="en-GB"/>
        </w:rPr>
        <w:tab/>
      </w:r>
      <w:r w:rsidR="002B4048" w:rsidRPr="00BC411F">
        <w:rPr>
          <w:lang w:val="en-GB"/>
        </w:rPr>
        <w:t>On 18 or 19 August 2014</w:t>
      </w:r>
      <w:r w:rsidR="00007253" w:rsidRPr="00BC411F">
        <w:rPr>
          <w:lang w:val="en-GB"/>
        </w:rPr>
        <w:t>,</w:t>
      </w:r>
      <w:r w:rsidR="002B4048" w:rsidRPr="00BC411F">
        <w:rPr>
          <w:lang w:val="en-GB"/>
        </w:rPr>
        <w:t xml:space="preserve"> </w:t>
      </w:r>
      <w:r w:rsidR="00081EE8">
        <w:rPr>
          <w:lang w:val="en-GB"/>
        </w:rPr>
        <w:t>the author</w:t>
      </w:r>
      <w:r w:rsidR="002B4048" w:rsidRPr="00BC411F">
        <w:rPr>
          <w:lang w:val="en-GB"/>
        </w:rPr>
        <w:t xml:space="preserve"> was assaulted in Athens by </w:t>
      </w:r>
      <w:r w:rsidR="009064A2">
        <w:rPr>
          <w:lang w:val="en-GB"/>
        </w:rPr>
        <w:t>eight or nine</w:t>
      </w:r>
      <w:r w:rsidR="002B4048" w:rsidRPr="00BC411F">
        <w:rPr>
          <w:lang w:val="en-GB"/>
        </w:rPr>
        <w:t xml:space="preserve"> men affiliated with the</w:t>
      </w:r>
      <w:r w:rsidR="00572F14" w:rsidRPr="00BC411F">
        <w:rPr>
          <w:lang w:val="en-GB"/>
        </w:rPr>
        <w:t xml:space="preserve"> Greek right-</w:t>
      </w:r>
      <w:r w:rsidR="002B4048" w:rsidRPr="00BC411F">
        <w:rPr>
          <w:lang w:val="en-GB"/>
        </w:rPr>
        <w:t>wing party Golden Dawn.</w:t>
      </w:r>
      <w:r w:rsidR="002B4048" w:rsidRPr="00BC411F">
        <w:rPr>
          <w:vertAlign w:val="superscript"/>
          <w:lang w:val="en-GB"/>
        </w:rPr>
        <w:footnoteReference w:id="5"/>
      </w:r>
      <w:r w:rsidR="002B4048" w:rsidRPr="000E1B7A">
        <w:rPr>
          <w:lang w:val="en-GB"/>
        </w:rPr>
        <w:t xml:space="preserve"> </w:t>
      </w:r>
      <w:r w:rsidR="002B4048" w:rsidRPr="00BC411F">
        <w:rPr>
          <w:lang w:val="en-GB"/>
        </w:rPr>
        <w:t xml:space="preserve">He was beaten </w:t>
      </w:r>
      <w:r w:rsidR="005464F4" w:rsidRPr="005464F4">
        <w:rPr>
          <w:lang w:val="en-GB"/>
        </w:rPr>
        <w:t>severely</w:t>
      </w:r>
      <w:r w:rsidR="005464F4">
        <w:rPr>
          <w:lang w:val="en-GB"/>
        </w:rPr>
        <w:t xml:space="preserve"> </w:t>
      </w:r>
      <w:r w:rsidR="002B4048" w:rsidRPr="00BC411F">
        <w:rPr>
          <w:lang w:val="en-GB"/>
        </w:rPr>
        <w:t>by the men</w:t>
      </w:r>
      <w:r w:rsidR="005464F4">
        <w:rPr>
          <w:lang w:val="en-GB"/>
        </w:rPr>
        <w:t>,</w:t>
      </w:r>
      <w:r w:rsidR="002B4048" w:rsidRPr="00BC411F">
        <w:rPr>
          <w:lang w:val="en-GB"/>
        </w:rPr>
        <w:t xml:space="preserve"> who shouted xenophobic phrases, such as “you foreigners</w:t>
      </w:r>
      <w:r w:rsidR="000019A6" w:rsidRPr="00BC411F">
        <w:rPr>
          <w:lang w:val="en-GB"/>
        </w:rPr>
        <w:t xml:space="preserve"> have ruined our country” and “e</w:t>
      </w:r>
      <w:r w:rsidR="002B4048" w:rsidRPr="00BC411F">
        <w:rPr>
          <w:lang w:val="en-GB"/>
        </w:rPr>
        <w:t>verything is your fault”. The men tore his residence permit. They took pictures of him, and stated that next time they would kill him. The next morning</w:t>
      </w:r>
      <w:r w:rsidR="00007253" w:rsidRPr="00BC411F">
        <w:rPr>
          <w:lang w:val="en-GB"/>
        </w:rPr>
        <w:t>,</w:t>
      </w:r>
      <w:r w:rsidR="002B4048" w:rsidRPr="00BC411F">
        <w:rPr>
          <w:lang w:val="en-GB"/>
        </w:rPr>
        <w:t xml:space="preserve"> he went to </w:t>
      </w:r>
      <w:r w:rsidR="00007253" w:rsidRPr="00BC411F">
        <w:rPr>
          <w:lang w:val="en-GB"/>
        </w:rPr>
        <w:t xml:space="preserve">the </w:t>
      </w:r>
      <w:r w:rsidR="002B4048" w:rsidRPr="00BC411F">
        <w:rPr>
          <w:lang w:val="en-GB"/>
        </w:rPr>
        <w:t>Attica police station in Athens to report the assault and the death threats. However</w:t>
      </w:r>
      <w:r w:rsidR="00007253" w:rsidRPr="00BC411F">
        <w:rPr>
          <w:lang w:val="en-GB"/>
        </w:rPr>
        <w:t xml:space="preserve">, </w:t>
      </w:r>
      <w:r w:rsidR="002B4048" w:rsidRPr="00BC411F">
        <w:rPr>
          <w:lang w:val="en-GB"/>
        </w:rPr>
        <w:t>the police file</w:t>
      </w:r>
      <w:r w:rsidR="00B81E97">
        <w:rPr>
          <w:lang w:val="en-GB"/>
        </w:rPr>
        <w:t>d</w:t>
      </w:r>
      <w:r w:rsidR="002B4048" w:rsidRPr="00BC411F">
        <w:rPr>
          <w:lang w:val="en-GB"/>
        </w:rPr>
        <w:t xml:space="preserve"> </w:t>
      </w:r>
      <w:r w:rsidR="00007253" w:rsidRPr="00BC411F">
        <w:rPr>
          <w:lang w:val="en-GB"/>
        </w:rPr>
        <w:t>no</w:t>
      </w:r>
      <w:r w:rsidR="002B4048" w:rsidRPr="00BC411F">
        <w:rPr>
          <w:lang w:val="en-GB"/>
        </w:rPr>
        <w:t xml:space="preserve"> report and even though the a</w:t>
      </w:r>
      <w:r w:rsidR="00007253" w:rsidRPr="00BC411F">
        <w:rPr>
          <w:lang w:val="en-GB"/>
        </w:rPr>
        <w:t xml:space="preserve">uthor </w:t>
      </w:r>
      <w:r w:rsidR="002B4048" w:rsidRPr="00BC411F">
        <w:rPr>
          <w:lang w:val="en-GB"/>
        </w:rPr>
        <w:t>was severely bruised</w:t>
      </w:r>
      <w:r w:rsidR="00007253" w:rsidRPr="00BC411F">
        <w:rPr>
          <w:lang w:val="en-GB"/>
        </w:rPr>
        <w:t xml:space="preserve">, he was </w:t>
      </w:r>
      <w:r w:rsidR="002B4048" w:rsidRPr="00BC411F">
        <w:rPr>
          <w:lang w:val="en-GB"/>
        </w:rPr>
        <w:t xml:space="preserve">told that </w:t>
      </w:r>
      <w:r w:rsidR="0016787C" w:rsidRPr="00BC411F">
        <w:rPr>
          <w:lang w:val="en-GB"/>
        </w:rPr>
        <w:t xml:space="preserve">he would get no </w:t>
      </w:r>
      <w:r w:rsidR="002B4048" w:rsidRPr="00BC411F">
        <w:rPr>
          <w:lang w:val="en-GB"/>
        </w:rPr>
        <w:t>assist</w:t>
      </w:r>
      <w:r w:rsidR="0016787C" w:rsidRPr="00BC411F">
        <w:rPr>
          <w:lang w:val="en-GB"/>
        </w:rPr>
        <w:t>ance</w:t>
      </w:r>
      <w:r w:rsidR="002B4048" w:rsidRPr="00BC411F">
        <w:rPr>
          <w:lang w:val="en-GB"/>
        </w:rPr>
        <w:t>. Due to the threats to his life</w:t>
      </w:r>
      <w:r w:rsidR="0016787C" w:rsidRPr="00BC411F">
        <w:rPr>
          <w:lang w:val="en-GB"/>
        </w:rPr>
        <w:t xml:space="preserve">, </w:t>
      </w:r>
      <w:r w:rsidR="002B4048" w:rsidRPr="00BC411F">
        <w:rPr>
          <w:lang w:val="en-GB"/>
        </w:rPr>
        <w:t>the a</w:t>
      </w:r>
      <w:r w:rsidR="0016787C" w:rsidRPr="00BC411F">
        <w:rPr>
          <w:lang w:val="en-GB"/>
        </w:rPr>
        <w:t>uthor</w:t>
      </w:r>
      <w:r w:rsidR="002B4048" w:rsidRPr="00BC411F">
        <w:rPr>
          <w:lang w:val="en-GB"/>
        </w:rPr>
        <w:t xml:space="preserve"> stayed indoors until he fled Greece with the assistance of an agent</w:t>
      </w:r>
      <w:r w:rsidR="005464F4">
        <w:rPr>
          <w:lang w:val="en-GB"/>
        </w:rPr>
        <w:t>,</w:t>
      </w:r>
      <w:r w:rsidR="002B4048" w:rsidRPr="00BC411F">
        <w:rPr>
          <w:lang w:val="en-GB"/>
        </w:rPr>
        <w:t xml:space="preserve"> </w:t>
      </w:r>
      <w:r w:rsidR="005464F4">
        <w:rPr>
          <w:lang w:val="en-GB"/>
        </w:rPr>
        <w:t>about</w:t>
      </w:r>
      <w:r w:rsidR="005464F4" w:rsidRPr="00BC411F">
        <w:rPr>
          <w:lang w:val="en-GB"/>
        </w:rPr>
        <w:t xml:space="preserve"> </w:t>
      </w:r>
      <w:r w:rsidR="002B4048" w:rsidRPr="00BC411F">
        <w:rPr>
          <w:lang w:val="en-GB"/>
        </w:rPr>
        <w:t>one week after the assault.</w:t>
      </w:r>
      <w:r w:rsidRPr="00BC411F">
        <w:rPr>
          <w:lang w:val="en-GB"/>
        </w:rPr>
        <w:t xml:space="preserve"> </w:t>
      </w:r>
    </w:p>
    <w:p w:rsidR="00FB2D52" w:rsidRPr="00BC411F" w:rsidRDefault="00DB6592" w:rsidP="00081EE8">
      <w:pPr>
        <w:pStyle w:val="SingleTxtG"/>
        <w:rPr>
          <w:lang w:val="en-GB"/>
        </w:rPr>
      </w:pPr>
      <w:r w:rsidRPr="00BC411F">
        <w:rPr>
          <w:lang w:val="en-GB"/>
        </w:rPr>
        <w:t>2.4</w:t>
      </w:r>
      <w:r w:rsidR="001C3108" w:rsidRPr="00BC411F">
        <w:rPr>
          <w:lang w:val="en-GB"/>
        </w:rPr>
        <w:tab/>
      </w:r>
      <w:r w:rsidRPr="00BC411F">
        <w:rPr>
          <w:lang w:val="en-GB"/>
        </w:rPr>
        <w:t>On 30 August 2014</w:t>
      </w:r>
      <w:r w:rsidR="00FB2D52" w:rsidRPr="00BC411F">
        <w:rPr>
          <w:lang w:val="en-GB"/>
        </w:rPr>
        <w:t>,</w:t>
      </w:r>
      <w:r w:rsidRPr="00BC411F">
        <w:rPr>
          <w:lang w:val="en-GB"/>
        </w:rPr>
        <w:t xml:space="preserve"> the author </w:t>
      </w:r>
      <w:r w:rsidR="00FB2D52" w:rsidRPr="00BC411F">
        <w:rPr>
          <w:lang w:val="en-GB"/>
        </w:rPr>
        <w:t xml:space="preserve">arrived in Denmark and </w:t>
      </w:r>
      <w:r w:rsidRPr="00BC411F">
        <w:rPr>
          <w:lang w:val="en-GB"/>
        </w:rPr>
        <w:t>appli</w:t>
      </w:r>
      <w:r w:rsidR="00FB2D52" w:rsidRPr="00BC411F">
        <w:rPr>
          <w:lang w:val="en-GB"/>
        </w:rPr>
        <w:t>ed</w:t>
      </w:r>
      <w:r w:rsidRPr="00BC411F">
        <w:rPr>
          <w:lang w:val="en-GB"/>
        </w:rPr>
        <w:t xml:space="preserve"> for asylum. As a reason for </w:t>
      </w:r>
      <w:r w:rsidR="00FB2D52" w:rsidRPr="00BC411F">
        <w:rPr>
          <w:lang w:val="en-GB"/>
        </w:rPr>
        <w:t xml:space="preserve">his request, </w:t>
      </w:r>
      <w:r w:rsidRPr="00BC411F">
        <w:rPr>
          <w:lang w:val="en-GB"/>
        </w:rPr>
        <w:t xml:space="preserve">he invoked the fact that he </w:t>
      </w:r>
      <w:r w:rsidR="005464F4">
        <w:rPr>
          <w:lang w:val="en-GB"/>
        </w:rPr>
        <w:t>had been</w:t>
      </w:r>
      <w:r w:rsidR="005464F4" w:rsidRPr="00BC411F">
        <w:rPr>
          <w:lang w:val="en-GB"/>
        </w:rPr>
        <w:t xml:space="preserve"> </w:t>
      </w:r>
      <w:r w:rsidRPr="00BC411F">
        <w:rPr>
          <w:lang w:val="en-GB"/>
        </w:rPr>
        <w:t xml:space="preserve">re-drafted for military service in </w:t>
      </w:r>
      <w:r w:rsidR="005464F4">
        <w:rPr>
          <w:lang w:val="en-GB"/>
        </w:rPr>
        <w:lastRenderedPageBreak/>
        <w:t xml:space="preserve">the </w:t>
      </w:r>
      <w:r w:rsidRPr="00BC411F">
        <w:rPr>
          <w:lang w:val="en-GB"/>
        </w:rPr>
        <w:t>Syria</w:t>
      </w:r>
      <w:r w:rsidR="005464F4">
        <w:rPr>
          <w:lang w:val="en-GB"/>
        </w:rPr>
        <w:t>n Arab Republic</w:t>
      </w:r>
      <w:r w:rsidR="00D60AE2">
        <w:rPr>
          <w:lang w:val="en-GB"/>
        </w:rPr>
        <w:t>,</w:t>
      </w:r>
      <w:r w:rsidRPr="00BC411F">
        <w:rPr>
          <w:lang w:val="en-GB"/>
        </w:rPr>
        <w:t xml:space="preserve"> and did not mention the fact that he </w:t>
      </w:r>
      <w:r w:rsidR="00572F14" w:rsidRPr="00BC411F">
        <w:rPr>
          <w:lang w:val="en-GB"/>
        </w:rPr>
        <w:t>had</w:t>
      </w:r>
      <w:r w:rsidRPr="00BC411F">
        <w:rPr>
          <w:lang w:val="en-GB"/>
        </w:rPr>
        <w:t xml:space="preserve"> </w:t>
      </w:r>
      <w:r w:rsidR="00FB2D52" w:rsidRPr="00BC411F">
        <w:rPr>
          <w:lang w:val="en-GB"/>
        </w:rPr>
        <w:t xml:space="preserve">been issued </w:t>
      </w:r>
      <w:r w:rsidRPr="00BC411F">
        <w:rPr>
          <w:lang w:val="en-GB"/>
        </w:rPr>
        <w:t xml:space="preserve">a residence permit in Greece. </w:t>
      </w:r>
      <w:r w:rsidR="00263475" w:rsidRPr="00BC411F">
        <w:rPr>
          <w:lang w:val="en-GB"/>
        </w:rPr>
        <w:t xml:space="preserve">His application was processed within the Dublin procedure after the State party’s authorities found prior registration </w:t>
      </w:r>
      <w:r w:rsidR="00572F14" w:rsidRPr="00BC411F">
        <w:rPr>
          <w:lang w:val="en-GB"/>
        </w:rPr>
        <w:t xml:space="preserve">of the author’s </w:t>
      </w:r>
      <w:r w:rsidR="00263475" w:rsidRPr="00BC411F">
        <w:rPr>
          <w:lang w:val="en-GB"/>
        </w:rPr>
        <w:t>illegal entry in</w:t>
      </w:r>
      <w:r w:rsidR="005464F4">
        <w:rPr>
          <w:lang w:val="en-GB"/>
        </w:rPr>
        <w:t>to</w:t>
      </w:r>
      <w:r w:rsidR="00263475" w:rsidRPr="00BC411F">
        <w:rPr>
          <w:lang w:val="en-GB"/>
        </w:rPr>
        <w:t xml:space="preserve"> Norway. On </w:t>
      </w:r>
      <w:r w:rsidR="0061421F">
        <w:rPr>
          <w:lang w:val="en-GB"/>
        </w:rPr>
        <w:t xml:space="preserve">an </w:t>
      </w:r>
      <w:r w:rsidR="00263475" w:rsidRPr="00BC411F">
        <w:rPr>
          <w:lang w:val="en-GB"/>
        </w:rPr>
        <w:t>unspecified date</w:t>
      </w:r>
      <w:r w:rsidR="00FB2D52" w:rsidRPr="00BC411F">
        <w:rPr>
          <w:lang w:val="en-GB"/>
        </w:rPr>
        <w:t>,</w:t>
      </w:r>
      <w:r w:rsidR="00263475" w:rsidRPr="00BC411F">
        <w:rPr>
          <w:lang w:val="en-GB"/>
        </w:rPr>
        <w:t xml:space="preserve"> the Danish Immigration Service</w:t>
      </w:r>
      <w:r w:rsidRPr="00BC411F">
        <w:rPr>
          <w:lang w:val="en-GB"/>
        </w:rPr>
        <w:t xml:space="preserve"> requested the Norwegian authorities to accept the author’s transfer under the Dublin Regulation. The Norwegian authorities refused t</w:t>
      </w:r>
      <w:r w:rsidR="00FB2D52" w:rsidRPr="00BC411F">
        <w:rPr>
          <w:lang w:val="en-GB"/>
        </w:rPr>
        <w:t xml:space="preserve">o accept him, noting </w:t>
      </w:r>
      <w:r w:rsidRPr="00BC411F">
        <w:rPr>
          <w:lang w:val="en-GB"/>
        </w:rPr>
        <w:t xml:space="preserve">that the author </w:t>
      </w:r>
      <w:r w:rsidR="005464F4">
        <w:rPr>
          <w:lang w:val="en-GB"/>
        </w:rPr>
        <w:t xml:space="preserve">had </w:t>
      </w:r>
      <w:r w:rsidRPr="00BC411F">
        <w:rPr>
          <w:lang w:val="en-GB"/>
        </w:rPr>
        <w:t xml:space="preserve">never applied for asylum in Norway and had a residence permit and refugee status in Greece. </w:t>
      </w:r>
    </w:p>
    <w:p w:rsidR="001C3108" w:rsidRPr="00BC411F" w:rsidRDefault="00FB2D52" w:rsidP="001C3108">
      <w:pPr>
        <w:pStyle w:val="SingleTxtG"/>
        <w:rPr>
          <w:lang w:val="en-GB"/>
        </w:rPr>
      </w:pPr>
      <w:r w:rsidRPr="00BC411F">
        <w:rPr>
          <w:lang w:val="en-GB"/>
        </w:rPr>
        <w:t>2.5</w:t>
      </w:r>
      <w:r w:rsidRPr="00BC411F">
        <w:rPr>
          <w:lang w:val="en-GB"/>
        </w:rPr>
        <w:tab/>
      </w:r>
      <w:r w:rsidR="00DB6592" w:rsidRPr="00BC411F">
        <w:rPr>
          <w:lang w:val="en-GB"/>
        </w:rPr>
        <w:t xml:space="preserve">On 7 December 2014, the Danish Immigration Service refused to process the author’s request for asylum and refused </w:t>
      </w:r>
      <w:r w:rsidRPr="00BC411F">
        <w:rPr>
          <w:lang w:val="en-GB"/>
        </w:rPr>
        <w:t xml:space="preserve">to allow him to stay in </w:t>
      </w:r>
      <w:r w:rsidR="00DB6592" w:rsidRPr="00BC411F">
        <w:rPr>
          <w:lang w:val="en-GB"/>
        </w:rPr>
        <w:t>Denmark</w:t>
      </w:r>
      <w:r w:rsidR="005464F4">
        <w:rPr>
          <w:lang w:val="en-GB"/>
        </w:rPr>
        <w:t>,</w:t>
      </w:r>
      <w:r w:rsidR="00DB6592" w:rsidRPr="00BC411F">
        <w:rPr>
          <w:lang w:val="en-GB"/>
        </w:rPr>
        <w:t xml:space="preserve"> </w:t>
      </w:r>
      <w:r w:rsidR="005464F4">
        <w:rPr>
          <w:lang w:val="en-GB"/>
        </w:rPr>
        <w:t>owing</w:t>
      </w:r>
      <w:r w:rsidRPr="00BC411F">
        <w:rPr>
          <w:lang w:val="en-GB"/>
        </w:rPr>
        <w:t xml:space="preserve"> to his </w:t>
      </w:r>
      <w:r w:rsidR="00DB6592" w:rsidRPr="00BC411F">
        <w:rPr>
          <w:lang w:val="en-GB"/>
        </w:rPr>
        <w:t xml:space="preserve">refugee status in Greece and </w:t>
      </w:r>
      <w:r w:rsidRPr="00BC411F">
        <w:rPr>
          <w:lang w:val="en-GB"/>
        </w:rPr>
        <w:t xml:space="preserve">given that he </w:t>
      </w:r>
      <w:r w:rsidR="00DB6592" w:rsidRPr="00BC411F">
        <w:rPr>
          <w:lang w:val="en-GB"/>
        </w:rPr>
        <w:t>could return and reside legally there. The decision of the Immigration Service was appealed to the Immigration Appeals Board on 6 January 2015. This appeal does not have suspensive effect. The author’s deportation to Greece was scheduled for 9 January 2014.</w:t>
      </w:r>
      <w:r w:rsidR="004A618D">
        <w:rPr>
          <w:lang w:val="en-GB"/>
        </w:rPr>
        <w:t xml:space="preserve"> </w:t>
      </w:r>
    </w:p>
    <w:p w:rsidR="001C3108" w:rsidRPr="00BC411F" w:rsidRDefault="001C3108" w:rsidP="001C3108">
      <w:pPr>
        <w:pStyle w:val="H23G"/>
        <w:spacing w:line="240" w:lineRule="auto"/>
      </w:pPr>
      <w:r w:rsidRPr="00BC411F">
        <w:tab/>
      </w:r>
      <w:r w:rsidRPr="00BC411F">
        <w:tab/>
        <w:t>The complaint</w:t>
      </w:r>
    </w:p>
    <w:p w:rsidR="002B7DB5" w:rsidRPr="00BC411F" w:rsidRDefault="001C3108" w:rsidP="00BD07A1">
      <w:pPr>
        <w:pStyle w:val="SingleTxtG"/>
        <w:rPr>
          <w:lang w:val="en-GB"/>
        </w:rPr>
      </w:pPr>
      <w:r w:rsidRPr="00BC411F">
        <w:rPr>
          <w:lang w:val="en-GB"/>
        </w:rPr>
        <w:t>3.1</w:t>
      </w:r>
      <w:r w:rsidRPr="00BC411F">
        <w:rPr>
          <w:lang w:val="en-GB"/>
        </w:rPr>
        <w:tab/>
        <w:t>The author</w:t>
      </w:r>
      <w:r w:rsidR="00036888" w:rsidRPr="00BC411F">
        <w:rPr>
          <w:lang w:val="en-GB"/>
        </w:rPr>
        <w:t xml:space="preserve"> claims that </w:t>
      </w:r>
      <w:r w:rsidR="002B7DB5" w:rsidRPr="00BC411F">
        <w:rPr>
          <w:lang w:val="en-GB"/>
        </w:rPr>
        <w:t xml:space="preserve">his rights under </w:t>
      </w:r>
      <w:r w:rsidR="00841168">
        <w:rPr>
          <w:lang w:val="en-GB"/>
        </w:rPr>
        <w:t>article </w:t>
      </w:r>
      <w:r w:rsidR="002B7DB5" w:rsidRPr="00BC411F">
        <w:rPr>
          <w:lang w:val="en-GB"/>
        </w:rPr>
        <w:t>7 of the Covenant will be violated</w:t>
      </w:r>
      <w:r w:rsidR="00C55414">
        <w:rPr>
          <w:lang w:val="en-GB"/>
        </w:rPr>
        <w:t xml:space="preserve"> </w:t>
      </w:r>
      <w:r w:rsidR="00FB2D52" w:rsidRPr="00BC411F">
        <w:rPr>
          <w:lang w:val="en-GB"/>
        </w:rPr>
        <w:t xml:space="preserve">by the State party </w:t>
      </w:r>
      <w:r w:rsidR="00036888" w:rsidRPr="00BC411F">
        <w:rPr>
          <w:lang w:val="en-GB"/>
        </w:rPr>
        <w:t xml:space="preserve">in </w:t>
      </w:r>
      <w:r w:rsidR="005464F4">
        <w:rPr>
          <w:lang w:val="en-GB"/>
        </w:rPr>
        <w:t>the event of</w:t>
      </w:r>
      <w:r w:rsidR="00036888" w:rsidRPr="00BC411F">
        <w:rPr>
          <w:lang w:val="en-GB"/>
        </w:rPr>
        <w:t xml:space="preserve"> his deportation to Greece</w:t>
      </w:r>
      <w:r w:rsidR="002B7DB5" w:rsidRPr="00BC411F">
        <w:rPr>
          <w:lang w:val="en-GB"/>
        </w:rPr>
        <w:t>. H</w:t>
      </w:r>
      <w:r w:rsidR="00036888" w:rsidRPr="00BC411F">
        <w:rPr>
          <w:lang w:val="en-GB"/>
        </w:rPr>
        <w:t xml:space="preserve">e </w:t>
      </w:r>
      <w:r w:rsidR="002B7DB5" w:rsidRPr="00BC411F">
        <w:rPr>
          <w:lang w:val="en-GB"/>
        </w:rPr>
        <w:t xml:space="preserve">claims that he </w:t>
      </w:r>
      <w:r w:rsidR="00036888" w:rsidRPr="00BC411F">
        <w:rPr>
          <w:lang w:val="en-GB"/>
        </w:rPr>
        <w:t xml:space="preserve">would risk being targeted by neo-Nazis </w:t>
      </w:r>
      <w:r w:rsidR="00FB2D52" w:rsidRPr="00BC411F">
        <w:rPr>
          <w:lang w:val="en-GB"/>
        </w:rPr>
        <w:t xml:space="preserve">there, </w:t>
      </w:r>
      <w:r w:rsidR="00036888" w:rsidRPr="00BC411F">
        <w:rPr>
          <w:lang w:val="en-GB"/>
        </w:rPr>
        <w:t xml:space="preserve">due to his prior assault, </w:t>
      </w:r>
      <w:r w:rsidR="005464F4">
        <w:rPr>
          <w:lang w:val="en-GB"/>
        </w:rPr>
        <w:t>during which</w:t>
      </w:r>
      <w:r w:rsidR="005464F4" w:rsidRPr="00BC411F">
        <w:rPr>
          <w:lang w:val="en-GB"/>
        </w:rPr>
        <w:t xml:space="preserve"> </w:t>
      </w:r>
      <w:r w:rsidR="00036888" w:rsidRPr="00BC411F">
        <w:rPr>
          <w:lang w:val="en-GB"/>
        </w:rPr>
        <w:t xml:space="preserve">his documents were confiscated and destroyed, his photo </w:t>
      </w:r>
      <w:r w:rsidR="00FB2D52" w:rsidRPr="00BC411F">
        <w:rPr>
          <w:lang w:val="en-GB"/>
        </w:rPr>
        <w:t xml:space="preserve">was </w:t>
      </w:r>
      <w:r w:rsidR="00036888" w:rsidRPr="00BC411F">
        <w:rPr>
          <w:lang w:val="en-GB"/>
        </w:rPr>
        <w:t>taken and he received death threats</w:t>
      </w:r>
      <w:r w:rsidRPr="00BC411F">
        <w:rPr>
          <w:lang w:val="en-GB"/>
        </w:rPr>
        <w:t xml:space="preserve">. </w:t>
      </w:r>
      <w:r w:rsidR="002B7DB5" w:rsidRPr="00BC411F">
        <w:rPr>
          <w:lang w:val="en-GB"/>
        </w:rPr>
        <w:t>He fear</w:t>
      </w:r>
      <w:r w:rsidR="00FB2D52" w:rsidRPr="00BC411F">
        <w:rPr>
          <w:lang w:val="en-GB"/>
        </w:rPr>
        <w:t>s</w:t>
      </w:r>
      <w:r w:rsidR="002B7DB5" w:rsidRPr="00BC411F">
        <w:rPr>
          <w:lang w:val="en-GB"/>
        </w:rPr>
        <w:t xml:space="preserve"> that he would not be able to avail himself of </w:t>
      </w:r>
      <w:r w:rsidR="00FB2D52" w:rsidRPr="00BC411F">
        <w:rPr>
          <w:lang w:val="en-GB"/>
        </w:rPr>
        <w:t xml:space="preserve">the </w:t>
      </w:r>
      <w:r w:rsidR="002B7DB5" w:rsidRPr="00BC411F">
        <w:rPr>
          <w:lang w:val="en-GB"/>
        </w:rPr>
        <w:t xml:space="preserve">protection </w:t>
      </w:r>
      <w:r w:rsidR="00FB2D52" w:rsidRPr="00BC411F">
        <w:rPr>
          <w:lang w:val="en-GB"/>
        </w:rPr>
        <w:t>of</w:t>
      </w:r>
      <w:r w:rsidR="002B7DB5" w:rsidRPr="00BC411F">
        <w:rPr>
          <w:lang w:val="en-GB"/>
        </w:rPr>
        <w:t xml:space="preserve"> the Greek authorities.</w:t>
      </w:r>
      <w:r w:rsidR="002B7DB5" w:rsidRPr="00BC411F">
        <w:rPr>
          <w:rStyle w:val="FootnoteReference"/>
          <w:lang w:val="en-GB"/>
        </w:rPr>
        <w:footnoteReference w:id="6"/>
      </w:r>
      <w:r w:rsidR="002B7DB5" w:rsidRPr="00BC411F">
        <w:rPr>
          <w:lang w:val="en-GB"/>
        </w:rPr>
        <w:t xml:space="preserve"> </w:t>
      </w:r>
    </w:p>
    <w:p w:rsidR="001C3108" w:rsidRPr="00BC411F" w:rsidRDefault="001C3108" w:rsidP="00467595">
      <w:pPr>
        <w:pStyle w:val="SingleTxtG"/>
        <w:rPr>
          <w:lang w:val="en-GB"/>
        </w:rPr>
      </w:pPr>
      <w:r w:rsidRPr="00BC411F">
        <w:rPr>
          <w:lang w:val="en-GB"/>
        </w:rPr>
        <w:t>3.2</w:t>
      </w:r>
      <w:r w:rsidRPr="00BC411F">
        <w:rPr>
          <w:lang w:val="en-GB"/>
        </w:rPr>
        <w:tab/>
        <w:t xml:space="preserve">The </w:t>
      </w:r>
      <w:r w:rsidR="002B7DB5" w:rsidRPr="00BC411F">
        <w:rPr>
          <w:lang w:val="en-GB"/>
        </w:rPr>
        <w:t>author also claims that his deportation would expose him to substandard living conditions, lack of social assistance from the authorities and no prospect of finding a durable humanitarian solution</w:t>
      </w:r>
      <w:r w:rsidR="00FB2D52" w:rsidRPr="00BC411F">
        <w:rPr>
          <w:lang w:val="en-GB"/>
        </w:rPr>
        <w:t>,</w:t>
      </w:r>
      <w:r w:rsidR="00467595" w:rsidRPr="00BC411F">
        <w:rPr>
          <w:lang w:val="en-GB"/>
        </w:rPr>
        <w:t xml:space="preserve"> thus subjecting him to inhuman and degrading treatment</w:t>
      </w:r>
      <w:r w:rsidR="00FB2D52" w:rsidRPr="00BC411F">
        <w:rPr>
          <w:lang w:val="en-GB"/>
        </w:rPr>
        <w:t>,</w:t>
      </w:r>
      <w:r w:rsidR="00301F42" w:rsidRPr="00BC411F">
        <w:rPr>
          <w:lang w:val="en-GB"/>
        </w:rPr>
        <w:t xml:space="preserve"> contrary to </w:t>
      </w:r>
      <w:r w:rsidR="00841168">
        <w:rPr>
          <w:lang w:val="en-GB"/>
        </w:rPr>
        <w:t>article </w:t>
      </w:r>
      <w:r w:rsidR="00301F42" w:rsidRPr="00BC411F">
        <w:rPr>
          <w:lang w:val="en-GB"/>
        </w:rPr>
        <w:t>7 of the Covenant</w:t>
      </w:r>
      <w:r w:rsidR="00467595" w:rsidRPr="00BC411F">
        <w:rPr>
          <w:lang w:val="en-GB"/>
        </w:rPr>
        <w:t>.</w:t>
      </w:r>
      <w:r w:rsidRPr="00BC411F">
        <w:rPr>
          <w:lang w:val="en-GB"/>
        </w:rPr>
        <w:t xml:space="preserve"> </w:t>
      </w:r>
    </w:p>
    <w:p w:rsidR="001C3108" w:rsidRPr="00BC411F" w:rsidRDefault="001C3108" w:rsidP="001C3108">
      <w:pPr>
        <w:pStyle w:val="H23G"/>
      </w:pPr>
      <w:r w:rsidRPr="00BC411F">
        <w:tab/>
      </w:r>
      <w:r w:rsidRPr="00BC411F">
        <w:tab/>
        <w:t>Issues and proceedings before the Committee</w:t>
      </w:r>
    </w:p>
    <w:p w:rsidR="001C3108" w:rsidRPr="00BC411F" w:rsidRDefault="001C3108" w:rsidP="00D60AE2">
      <w:pPr>
        <w:pStyle w:val="SingleTxtG"/>
        <w:spacing w:line="240" w:lineRule="auto"/>
        <w:rPr>
          <w:lang w:val="en-GB"/>
        </w:rPr>
      </w:pPr>
      <w:r w:rsidRPr="00BC411F">
        <w:rPr>
          <w:lang w:val="en-GB"/>
        </w:rPr>
        <w:t>4.1</w:t>
      </w:r>
      <w:r w:rsidRPr="00BC411F">
        <w:rPr>
          <w:lang w:val="en-GB"/>
        </w:rPr>
        <w:tab/>
        <w:t>Before considering any claim contained in a communication, the Human Rights Committee must determine whether it is admissible under the Optional Protocol to the Covenant.</w:t>
      </w:r>
    </w:p>
    <w:p w:rsidR="00951071" w:rsidRPr="00BC411F" w:rsidRDefault="001C3108" w:rsidP="00847AF3">
      <w:pPr>
        <w:pStyle w:val="SingleTxtG"/>
        <w:rPr>
          <w:lang w:val="en-GB"/>
        </w:rPr>
      </w:pPr>
      <w:r w:rsidRPr="00BC411F">
        <w:rPr>
          <w:lang w:val="en-GB"/>
        </w:rPr>
        <w:t>4.2</w:t>
      </w:r>
      <w:r w:rsidRPr="00BC411F">
        <w:rPr>
          <w:lang w:val="en-GB"/>
        </w:rPr>
        <w:tab/>
      </w:r>
      <w:r w:rsidR="00847AF3">
        <w:rPr>
          <w:lang w:val="en-GB"/>
        </w:rPr>
        <w:t>A</w:t>
      </w:r>
      <w:r w:rsidR="00951071" w:rsidRPr="00BC411F">
        <w:rPr>
          <w:lang w:val="en-GB"/>
        </w:rPr>
        <w:t xml:space="preserve">s required under </w:t>
      </w:r>
      <w:r w:rsidR="00841168">
        <w:rPr>
          <w:lang w:val="en-GB"/>
        </w:rPr>
        <w:t>article </w:t>
      </w:r>
      <w:r w:rsidR="00951071" w:rsidRPr="00BC411F">
        <w:rPr>
          <w:lang w:val="en-GB"/>
        </w:rPr>
        <w:t>5</w:t>
      </w:r>
      <w:r w:rsidR="00551470">
        <w:rPr>
          <w:lang w:val="en-GB"/>
        </w:rPr>
        <w:t> </w:t>
      </w:r>
      <w:r w:rsidR="00151FCE">
        <w:rPr>
          <w:lang w:val="en-GB"/>
        </w:rPr>
        <w:t>(</w:t>
      </w:r>
      <w:r w:rsidR="00951071" w:rsidRPr="00BC411F">
        <w:rPr>
          <w:lang w:val="en-GB"/>
        </w:rPr>
        <w:t>2</w:t>
      </w:r>
      <w:r w:rsidR="00551470">
        <w:rPr>
          <w:lang w:val="en-GB"/>
        </w:rPr>
        <w:t> </w:t>
      </w:r>
      <w:r w:rsidR="00951071" w:rsidRPr="00BC411F">
        <w:rPr>
          <w:lang w:val="en-GB"/>
        </w:rPr>
        <w:t>(a)</w:t>
      </w:r>
      <w:r w:rsidR="00151FCE">
        <w:rPr>
          <w:lang w:val="en-GB"/>
        </w:rPr>
        <w:t>)</w:t>
      </w:r>
      <w:r w:rsidR="00951071" w:rsidRPr="00BC411F">
        <w:rPr>
          <w:lang w:val="en-GB"/>
        </w:rPr>
        <w:t xml:space="preserve"> of the Optional Protocol, </w:t>
      </w:r>
      <w:r w:rsidR="00847AF3">
        <w:rPr>
          <w:lang w:val="en-GB"/>
        </w:rPr>
        <w:t>t</w:t>
      </w:r>
      <w:r w:rsidR="00847AF3" w:rsidRPr="00847AF3">
        <w:rPr>
          <w:lang w:val="en-GB"/>
        </w:rPr>
        <w:t>he Committee has ascertained</w:t>
      </w:r>
      <w:r w:rsidR="00847AF3">
        <w:rPr>
          <w:lang w:val="en-GB"/>
        </w:rPr>
        <w:t xml:space="preserve"> </w:t>
      </w:r>
      <w:r w:rsidR="00951071" w:rsidRPr="00BC411F">
        <w:rPr>
          <w:lang w:val="en-GB"/>
        </w:rPr>
        <w:t xml:space="preserve">that the same matter is not being examined under another procedure of international investigation or settlement. </w:t>
      </w:r>
    </w:p>
    <w:p w:rsidR="00BC411F" w:rsidRPr="00BC411F" w:rsidRDefault="00911AEA" w:rsidP="007049A0">
      <w:pPr>
        <w:pStyle w:val="SingleTxtG"/>
        <w:rPr>
          <w:lang w:val="en-GB"/>
        </w:rPr>
      </w:pPr>
      <w:r w:rsidRPr="00BC411F">
        <w:rPr>
          <w:lang w:val="en-GB"/>
        </w:rPr>
        <w:t>4.3</w:t>
      </w:r>
      <w:r w:rsidR="00646E2F" w:rsidRPr="00BC411F">
        <w:rPr>
          <w:lang w:val="en-GB"/>
        </w:rPr>
        <w:tab/>
        <w:t xml:space="preserve">The Committee observes that </w:t>
      </w:r>
      <w:r w:rsidR="00282A15" w:rsidRPr="00BC411F">
        <w:rPr>
          <w:lang w:val="en-GB"/>
        </w:rPr>
        <w:t>in his original asylum request before the State party’s authorities</w:t>
      </w:r>
      <w:r w:rsidR="00FB2D52" w:rsidRPr="00BC411F">
        <w:rPr>
          <w:lang w:val="en-GB"/>
        </w:rPr>
        <w:t>,</w:t>
      </w:r>
      <w:r w:rsidR="00282A15" w:rsidRPr="00BC411F">
        <w:rPr>
          <w:lang w:val="en-GB"/>
        </w:rPr>
        <w:t xml:space="preserve"> </w:t>
      </w:r>
      <w:r w:rsidR="00646E2F" w:rsidRPr="00BC411F">
        <w:rPr>
          <w:lang w:val="en-GB"/>
        </w:rPr>
        <w:t>the author</w:t>
      </w:r>
      <w:r w:rsidR="00055926" w:rsidRPr="00BC411F">
        <w:rPr>
          <w:lang w:val="en-GB"/>
        </w:rPr>
        <w:t xml:space="preserve"> </w:t>
      </w:r>
      <w:r w:rsidR="00282A15" w:rsidRPr="00BC411F">
        <w:rPr>
          <w:lang w:val="en-GB"/>
        </w:rPr>
        <w:t xml:space="preserve">invoked different grounds </w:t>
      </w:r>
      <w:r w:rsidR="0061421F">
        <w:rPr>
          <w:lang w:val="en-GB"/>
        </w:rPr>
        <w:t>from</w:t>
      </w:r>
      <w:r w:rsidR="00282A15" w:rsidRPr="00BC411F">
        <w:rPr>
          <w:lang w:val="en-GB"/>
        </w:rPr>
        <w:t xml:space="preserve"> those </w:t>
      </w:r>
      <w:r w:rsidR="00FB2D52" w:rsidRPr="00BC411F">
        <w:rPr>
          <w:lang w:val="en-GB"/>
        </w:rPr>
        <w:t xml:space="preserve">invoked </w:t>
      </w:r>
      <w:r w:rsidR="00055926" w:rsidRPr="00BC411F">
        <w:rPr>
          <w:lang w:val="en-GB"/>
        </w:rPr>
        <w:t>before the Committee</w:t>
      </w:r>
      <w:r w:rsidR="00282A15" w:rsidRPr="00BC411F">
        <w:rPr>
          <w:lang w:val="en-GB"/>
        </w:rPr>
        <w:t>. In his asylum request</w:t>
      </w:r>
      <w:r w:rsidR="00FB2D52" w:rsidRPr="00BC411F">
        <w:rPr>
          <w:lang w:val="en-GB"/>
        </w:rPr>
        <w:t xml:space="preserve">, </w:t>
      </w:r>
      <w:r w:rsidR="00282A15" w:rsidRPr="00BC411F">
        <w:rPr>
          <w:lang w:val="en-GB"/>
        </w:rPr>
        <w:t>he claimed</w:t>
      </w:r>
      <w:r w:rsidR="00151FCE">
        <w:rPr>
          <w:lang w:val="en-GB"/>
        </w:rPr>
        <w:t>,</w:t>
      </w:r>
      <w:r w:rsidR="00282A15" w:rsidRPr="00BC411F">
        <w:rPr>
          <w:lang w:val="en-GB"/>
        </w:rPr>
        <w:t xml:space="preserve"> </w:t>
      </w:r>
      <w:r w:rsidR="00FB2D52" w:rsidRPr="00BC411F">
        <w:rPr>
          <w:lang w:val="en-GB"/>
        </w:rPr>
        <w:t>for instance</w:t>
      </w:r>
      <w:r w:rsidR="00151FCE">
        <w:rPr>
          <w:lang w:val="en-GB"/>
        </w:rPr>
        <w:t>,</w:t>
      </w:r>
      <w:r w:rsidR="00FB2D52" w:rsidRPr="00BC411F">
        <w:rPr>
          <w:lang w:val="en-GB"/>
        </w:rPr>
        <w:t xml:space="preserve"> that he </w:t>
      </w:r>
      <w:r w:rsidR="00282A15" w:rsidRPr="00BC411F">
        <w:rPr>
          <w:lang w:val="en-GB"/>
        </w:rPr>
        <w:t>fear</w:t>
      </w:r>
      <w:r w:rsidR="00FB2D52" w:rsidRPr="00BC411F">
        <w:rPr>
          <w:lang w:val="en-GB"/>
        </w:rPr>
        <w:t>ed</w:t>
      </w:r>
      <w:r w:rsidR="00282A15" w:rsidRPr="00BC411F">
        <w:rPr>
          <w:lang w:val="en-GB"/>
        </w:rPr>
        <w:t xml:space="preserve"> </w:t>
      </w:r>
      <w:r w:rsidR="00FB2D52" w:rsidRPr="00BC411F">
        <w:rPr>
          <w:lang w:val="en-GB"/>
        </w:rPr>
        <w:t xml:space="preserve">a </w:t>
      </w:r>
      <w:r w:rsidR="00282A15" w:rsidRPr="00BC411F">
        <w:rPr>
          <w:lang w:val="en-GB"/>
        </w:rPr>
        <w:t xml:space="preserve">return to </w:t>
      </w:r>
      <w:r w:rsidR="00151FCE">
        <w:rPr>
          <w:lang w:val="en-GB"/>
        </w:rPr>
        <w:t xml:space="preserve">the </w:t>
      </w:r>
      <w:r w:rsidR="00282A15" w:rsidRPr="00BC411F">
        <w:rPr>
          <w:lang w:val="en-GB"/>
        </w:rPr>
        <w:t>Syria</w:t>
      </w:r>
      <w:r w:rsidR="00151FCE">
        <w:rPr>
          <w:lang w:val="en-GB"/>
        </w:rPr>
        <w:t>n Arab Republic</w:t>
      </w:r>
      <w:r w:rsidR="00282A15" w:rsidRPr="00BC411F">
        <w:rPr>
          <w:lang w:val="en-GB"/>
        </w:rPr>
        <w:t xml:space="preserve">, while the complaint before the Committee is based on </w:t>
      </w:r>
      <w:r w:rsidR="00FB2D52" w:rsidRPr="00BC411F">
        <w:rPr>
          <w:lang w:val="en-GB"/>
        </w:rPr>
        <w:t>his</w:t>
      </w:r>
      <w:r w:rsidR="00282A15" w:rsidRPr="00BC411F">
        <w:rPr>
          <w:lang w:val="en-GB"/>
        </w:rPr>
        <w:t xml:space="preserve"> fear of return to Greece. The Committee also notes the author’s allegation of having be</w:t>
      </w:r>
      <w:r w:rsidR="00151FCE">
        <w:rPr>
          <w:lang w:val="en-GB"/>
        </w:rPr>
        <w:t>en</w:t>
      </w:r>
      <w:r w:rsidR="00282A15" w:rsidRPr="00BC411F">
        <w:rPr>
          <w:lang w:val="en-GB"/>
        </w:rPr>
        <w:t xml:space="preserve"> attacked by </w:t>
      </w:r>
      <w:r w:rsidR="0061421F">
        <w:rPr>
          <w:lang w:val="en-GB"/>
        </w:rPr>
        <w:t xml:space="preserve">affiliates of </w:t>
      </w:r>
      <w:r w:rsidR="00282A15" w:rsidRPr="00BC411F">
        <w:rPr>
          <w:lang w:val="en-GB"/>
        </w:rPr>
        <w:t>a</w:t>
      </w:r>
      <w:r w:rsidR="00FB2D52" w:rsidRPr="00BC411F">
        <w:rPr>
          <w:lang w:val="en-GB"/>
        </w:rPr>
        <w:t xml:space="preserve">n extremist </w:t>
      </w:r>
      <w:r w:rsidR="00282A15" w:rsidRPr="00BC411F">
        <w:rPr>
          <w:lang w:val="en-GB"/>
        </w:rPr>
        <w:t xml:space="preserve">party before leaving Greece and the fact that the State party was not informed of this assault by the author in his asylum application. </w:t>
      </w:r>
    </w:p>
    <w:p w:rsidR="007049A0" w:rsidRPr="00BC411F" w:rsidRDefault="00BC411F" w:rsidP="00BD07A1">
      <w:pPr>
        <w:pStyle w:val="SingleTxtG"/>
        <w:rPr>
          <w:lang w:val="en-GB" w:eastAsia="en-GB"/>
        </w:rPr>
      </w:pPr>
      <w:r w:rsidRPr="00BC411F">
        <w:rPr>
          <w:lang w:val="en-GB"/>
        </w:rPr>
        <w:t>4.4</w:t>
      </w:r>
      <w:r>
        <w:rPr>
          <w:lang w:val="en-GB"/>
        </w:rPr>
        <w:tab/>
      </w:r>
      <w:r w:rsidR="00126586" w:rsidRPr="00BC411F">
        <w:rPr>
          <w:lang w:val="en-GB"/>
        </w:rPr>
        <w:t xml:space="preserve">The Committee </w:t>
      </w:r>
      <w:r w:rsidR="00FB2D52" w:rsidRPr="00BC411F">
        <w:rPr>
          <w:lang w:val="en-GB"/>
        </w:rPr>
        <w:t xml:space="preserve">further notes </w:t>
      </w:r>
      <w:r w:rsidR="007049A0" w:rsidRPr="00BC411F">
        <w:rPr>
          <w:lang w:val="en-GB"/>
        </w:rPr>
        <w:t xml:space="preserve">the author’s claim regarding </w:t>
      </w:r>
      <w:r w:rsidR="00FB2D52" w:rsidRPr="00BC411F">
        <w:rPr>
          <w:lang w:val="en-GB"/>
        </w:rPr>
        <w:t xml:space="preserve">the </w:t>
      </w:r>
      <w:r w:rsidR="007049A0" w:rsidRPr="00BC411F">
        <w:rPr>
          <w:lang w:val="en-GB"/>
        </w:rPr>
        <w:t xml:space="preserve">poor living conditions </w:t>
      </w:r>
      <w:r w:rsidRPr="00BC411F">
        <w:rPr>
          <w:lang w:val="en-GB"/>
        </w:rPr>
        <w:t>of individuals in similar situation</w:t>
      </w:r>
      <w:r w:rsidR="00151FCE">
        <w:rPr>
          <w:lang w:val="en-GB"/>
        </w:rPr>
        <w:t>s</w:t>
      </w:r>
      <w:r w:rsidRPr="00BC411F">
        <w:rPr>
          <w:lang w:val="en-GB"/>
        </w:rPr>
        <w:t xml:space="preserve"> </w:t>
      </w:r>
      <w:r w:rsidR="007049A0" w:rsidRPr="00BC411F">
        <w:rPr>
          <w:lang w:val="en-GB"/>
        </w:rPr>
        <w:t>in Greece and</w:t>
      </w:r>
      <w:r w:rsidR="00151FCE">
        <w:rPr>
          <w:lang w:val="en-GB"/>
        </w:rPr>
        <w:t xml:space="preserve"> a</w:t>
      </w:r>
      <w:r w:rsidR="007049A0" w:rsidRPr="00BC411F">
        <w:rPr>
          <w:lang w:val="en-GB"/>
        </w:rPr>
        <w:t xml:space="preserve"> lack of </w:t>
      </w:r>
      <w:r w:rsidRPr="00BC411F">
        <w:rPr>
          <w:lang w:val="en-GB"/>
        </w:rPr>
        <w:t xml:space="preserve">adequate </w:t>
      </w:r>
      <w:r w:rsidR="007049A0" w:rsidRPr="00BC411F">
        <w:rPr>
          <w:lang w:val="en-GB"/>
        </w:rPr>
        <w:t xml:space="preserve">assistance </w:t>
      </w:r>
      <w:r w:rsidRPr="00BC411F">
        <w:rPr>
          <w:lang w:val="en-GB"/>
        </w:rPr>
        <w:t xml:space="preserve">by </w:t>
      </w:r>
      <w:r w:rsidR="007049A0" w:rsidRPr="00BC411F">
        <w:rPr>
          <w:lang w:val="en-GB"/>
        </w:rPr>
        <w:t>the authorities. At the same time</w:t>
      </w:r>
      <w:r w:rsidRPr="00BC411F">
        <w:rPr>
          <w:lang w:val="en-GB"/>
        </w:rPr>
        <w:t xml:space="preserve">, however, </w:t>
      </w:r>
      <w:r w:rsidR="007049A0" w:rsidRPr="00BC411F">
        <w:rPr>
          <w:lang w:val="en-GB"/>
        </w:rPr>
        <w:t xml:space="preserve">the Committee </w:t>
      </w:r>
      <w:r w:rsidR="00126586" w:rsidRPr="00BC411F">
        <w:rPr>
          <w:lang w:val="en-GB"/>
        </w:rPr>
        <w:t>observes that</w:t>
      </w:r>
      <w:r w:rsidR="00282A15" w:rsidRPr="00BC411F">
        <w:rPr>
          <w:lang w:val="en-GB"/>
        </w:rPr>
        <w:t xml:space="preserve"> the author is not an </w:t>
      </w:r>
      <w:r w:rsidR="00282A15" w:rsidRPr="00BC411F">
        <w:rPr>
          <w:lang w:val="en-GB"/>
        </w:rPr>
        <w:lastRenderedPageBreak/>
        <w:t xml:space="preserve">asylum seeker, but </w:t>
      </w:r>
      <w:r w:rsidRPr="00BC411F">
        <w:rPr>
          <w:lang w:val="en-GB"/>
        </w:rPr>
        <w:t xml:space="preserve">was </w:t>
      </w:r>
      <w:r w:rsidR="00282A15" w:rsidRPr="00BC411F">
        <w:rPr>
          <w:lang w:val="en-GB"/>
        </w:rPr>
        <w:t xml:space="preserve">recognized </w:t>
      </w:r>
      <w:r w:rsidRPr="00BC411F">
        <w:rPr>
          <w:lang w:val="en-GB"/>
        </w:rPr>
        <w:t xml:space="preserve">as a </w:t>
      </w:r>
      <w:r w:rsidR="00282A15" w:rsidRPr="00BC411F">
        <w:rPr>
          <w:lang w:val="en-GB"/>
        </w:rPr>
        <w:t>refugee</w:t>
      </w:r>
      <w:r w:rsidRPr="00BC411F">
        <w:rPr>
          <w:lang w:val="en-GB"/>
        </w:rPr>
        <w:t xml:space="preserve">, with the right to work legally </w:t>
      </w:r>
      <w:r w:rsidR="00282A15" w:rsidRPr="00BC411F">
        <w:rPr>
          <w:lang w:val="en-GB"/>
        </w:rPr>
        <w:t>in Greece</w:t>
      </w:r>
      <w:r w:rsidRPr="00BC411F">
        <w:rPr>
          <w:lang w:val="en-GB"/>
        </w:rPr>
        <w:t>,</w:t>
      </w:r>
      <w:r w:rsidR="00D12F50">
        <w:rPr>
          <w:lang w:val="en-GB"/>
        </w:rPr>
        <w:t xml:space="preserve"> </w:t>
      </w:r>
      <w:r w:rsidR="00282A15" w:rsidRPr="00BC411F">
        <w:rPr>
          <w:lang w:val="en-GB"/>
        </w:rPr>
        <w:t>and that h</w:t>
      </w:r>
      <w:r w:rsidR="0061421F">
        <w:rPr>
          <w:lang w:val="en-GB"/>
        </w:rPr>
        <w:t>e</w:t>
      </w:r>
      <w:r w:rsidR="00282A15" w:rsidRPr="00BC411F">
        <w:rPr>
          <w:lang w:val="en-GB"/>
        </w:rPr>
        <w:t xml:space="preserve"> lived in Greece from 2007 to 2010</w:t>
      </w:r>
      <w:r w:rsidRPr="00BC411F">
        <w:rPr>
          <w:lang w:val="en-GB"/>
        </w:rPr>
        <w:t>,</w:t>
      </w:r>
      <w:r w:rsidR="00282A15" w:rsidRPr="00BC411F">
        <w:rPr>
          <w:lang w:val="en-GB"/>
        </w:rPr>
        <w:t xml:space="preserve"> without reporting any violation of his rights; that</w:t>
      </w:r>
      <w:r w:rsidRPr="00BC411F">
        <w:rPr>
          <w:lang w:val="en-GB"/>
        </w:rPr>
        <w:t xml:space="preserve">, subsequently, </w:t>
      </w:r>
      <w:r w:rsidR="00CB51DE" w:rsidRPr="00BC411F">
        <w:rPr>
          <w:lang w:val="en-GB"/>
        </w:rPr>
        <w:t>he</w:t>
      </w:r>
      <w:r w:rsidRPr="00BC411F">
        <w:rPr>
          <w:lang w:val="en-GB"/>
        </w:rPr>
        <w:t xml:space="preserve"> </w:t>
      </w:r>
      <w:r w:rsidR="00282A15" w:rsidRPr="00BC411F">
        <w:rPr>
          <w:lang w:val="en-GB"/>
        </w:rPr>
        <w:t xml:space="preserve">returned to </w:t>
      </w:r>
      <w:r w:rsidR="00151FCE">
        <w:rPr>
          <w:lang w:val="en-GB"/>
        </w:rPr>
        <w:t xml:space="preserve">the </w:t>
      </w:r>
      <w:r w:rsidR="00282A15" w:rsidRPr="00BC411F">
        <w:rPr>
          <w:lang w:val="en-GB"/>
        </w:rPr>
        <w:t>Syria</w:t>
      </w:r>
      <w:r w:rsidR="00151FCE">
        <w:rPr>
          <w:lang w:val="en-GB"/>
        </w:rPr>
        <w:t>n Arab Republic,</w:t>
      </w:r>
      <w:r w:rsidR="00282A15" w:rsidRPr="00BC411F">
        <w:rPr>
          <w:lang w:val="en-GB"/>
        </w:rPr>
        <w:t xml:space="preserve"> </w:t>
      </w:r>
      <w:r w:rsidRPr="00BC411F">
        <w:rPr>
          <w:lang w:val="en-GB"/>
        </w:rPr>
        <w:t xml:space="preserve">where he </w:t>
      </w:r>
      <w:r w:rsidR="00282A15" w:rsidRPr="00BC411F">
        <w:rPr>
          <w:lang w:val="en-GB"/>
        </w:rPr>
        <w:t xml:space="preserve">lived for </w:t>
      </w:r>
      <w:r w:rsidR="00151FCE">
        <w:rPr>
          <w:lang w:val="en-GB"/>
        </w:rPr>
        <w:t>four</w:t>
      </w:r>
      <w:r w:rsidR="00282A15" w:rsidRPr="00BC411F">
        <w:rPr>
          <w:lang w:val="en-GB"/>
        </w:rPr>
        <w:t xml:space="preserve"> </w:t>
      </w:r>
      <w:r w:rsidRPr="00BC411F">
        <w:rPr>
          <w:lang w:val="en-GB"/>
        </w:rPr>
        <w:t xml:space="preserve">more </w:t>
      </w:r>
      <w:r w:rsidR="00282A15" w:rsidRPr="00BC411F">
        <w:rPr>
          <w:lang w:val="en-GB"/>
        </w:rPr>
        <w:t xml:space="preserve">years; that within a period of </w:t>
      </w:r>
      <w:r w:rsidR="0061421F">
        <w:rPr>
          <w:lang w:val="en-GB"/>
        </w:rPr>
        <w:t>seven</w:t>
      </w:r>
      <w:r w:rsidR="00282A15" w:rsidRPr="00BC411F">
        <w:rPr>
          <w:lang w:val="en-GB"/>
        </w:rPr>
        <w:t xml:space="preserve"> months</w:t>
      </w:r>
      <w:r w:rsidRPr="00BC411F">
        <w:rPr>
          <w:lang w:val="en-GB"/>
        </w:rPr>
        <w:t>,</w:t>
      </w:r>
      <w:r w:rsidR="00282A15" w:rsidRPr="00BC411F">
        <w:rPr>
          <w:lang w:val="en-GB"/>
        </w:rPr>
        <w:t xml:space="preserve"> </w:t>
      </w:r>
      <w:r w:rsidR="00CB51DE" w:rsidRPr="00BC411F">
        <w:rPr>
          <w:lang w:val="en-GB"/>
        </w:rPr>
        <w:t xml:space="preserve">he </w:t>
      </w:r>
      <w:r w:rsidR="00282A15" w:rsidRPr="00BC411F">
        <w:rPr>
          <w:lang w:val="en-GB"/>
        </w:rPr>
        <w:t xml:space="preserve">managed to travel from </w:t>
      </w:r>
      <w:r w:rsidR="00151FCE">
        <w:rPr>
          <w:lang w:val="en-GB"/>
        </w:rPr>
        <w:t xml:space="preserve">the </w:t>
      </w:r>
      <w:r w:rsidR="00282A15" w:rsidRPr="00BC411F">
        <w:rPr>
          <w:lang w:val="en-GB"/>
        </w:rPr>
        <w:t>Syria</w:t>
      </w:r>
      <w:r w:rsidR="00151FCE">
        <w:rPr>
          <w:lang w:val="en-GB"/>
        </w:rPr>
        <w:t>n Arab Republic</w:t>
      </w:r>
      <w:r w:rsidR="00282A15" w:rsidRPr="00BC411F">
        <w:rPr>
          <w:lang w:val="en-GB"/>
        </w:rPr>
        <w:t xml:space="preserve"> to Greece,</w:t>
      </w:r>
      <w:r w:rsidRPr="00BC411F">
        <w:rPr>
          <w:lang w:val="en-GB"/>
        </w:rPr>
        <w:t xml:space="preserve"> </w:t>
      </w:r>
      <w:r w:rsidR="00282A15" w:rsidRPr="00BC411F">
        <w:rPr>
          <w:lang w:val="en-GB"/>
        </w:rPr>
        <w:t>pay for a residence permit there and travel to Norway and Denmark by air</w:t>
      </w:r>
      <w:r w:rsidR="00572F14" w:rsidRPr="00BC411F">
        <w:rPr>
          <w:lang w:val="en-GB"/>
        </w:rPr>
        <w:t xml:space="preserve">; </w:t>
      </w:r>
      <w:r w:rsidR="00151FCE">
        <w:rPr>
          <w:lang w:val="en-GB"/>
        </w:rPr>
        <w:t>and</w:t>
      </w:r>
      <w:r w:rsidR="00572F14" w:rsidRPr="00BC411F">
        <w:rPr>
          <w:lang w:val="en-GB"/>
        </w:rPr>
        <w:t xml:space="preserve"> that his complaint to the Committee is based on an isolated incident</w:t>
      </w:r>
      <w:r w:rsidRPr="00BC411F">
        <w:rPr>
          <w:lang w:val="en-GB"/>
        </w:rPr>
        <w:t>,</w:t>
      </w:r>
      <w:r w:rsidR="00572F14" w:rsidRPr="00BC411F">
        <w:rPr>
          <w:lang w:val="en-GB"/>
        </w:rPr>
        <w:t xml:space="preserve"> </w:t>
      </w:r>
      <w:r w:rsidRPr="00BC411F">
        <w:rPr>
          <w:lang w:val="en-GB"/>
        </w:rPr>
        <w:t xml:space="preserve">committed by </w:t>
      </w:r>
      <w:r w:rsidR="00572F14" w:rsidRPr="00BC411F">
        <w:rPr>
          <w:lang w:val="en-GB"/>
        </w:rPr>
        <w:t>non-</w:t>
      </w:r>
      <w:r w:rsidR="00151FCE">
        <w:rPr>
          <w:lang w:val="en-GB"/>
        </w:rPr>
        <w:t>S</w:t>
      </w:r>
      <w:r w:rsidR="00572F14" w:rsidRPr="00BC411F">
        <w:rPr>
          <w:lang w:val="en-GB"/>
        </w:rPr>
        <w:t>tate actor</w:t>
      </w:r>
      <w:r w:rsidRPr="00BC411F">
        <w:rPr>
          <w:lang w:val="en-GB"/>
        </w:rPr>
        <w:t>s</w:t>
      </w:r>
      <w:r w:rsidR="00282A15" w:rsidRPr="00BC411F">
        <w:rPr>
          <w:lang w:val="en-GB"/>
        </w:rPr>
        <w:t>. In</w:t>
      </w:r>
      <w:r w:rsidR="00151FCE">
        <w:rPr>
          <w:lang w:val="en-GB"/>
        </w:rPr>
        <w:t xml:space="preserve"> the</w:t>
      </w:r>
      <w:r w:rsidR="00282A15" w:rsidRPr="00BC411F">
        <w:rPr>
          <w:lang w:val="en-GB"/>
        </w:rPr>
        <w:t xml:space="preserve"> light of the above </w:t>
      </w:r>
      <w:r w:rsidRPr="00BC411F">
        <w:rPr>
          <w:lang w:val="en-GB"/>
        </w:rPr>
        <w:t xml:space="preserve">considerations, </w:t>
      </w:r>
      <w:r w:rsidR="00282A15" w:rsidRPr="00BC411F">
        <w:rPr>
          <w:lang w:val="en-GB"/>
        </w:rPr>
        <w:t xml:space="preserve">the </w:t>
      </w:r>
      <w:r w:rsidR="007049A0" w:rsidRPr="00BC411F">
        <w:rPr>
          <w:lang w:val="en-GB"/>
        </w:rPr>
        <w:t>Committee</w:t>
      </w:r>
      <w:r w:rsidR="00282A15" w:rsidRPr="00BC411F">
        <w:rPr>
          <w:lang w:val="en-GB"/>
        </w:rPr>
        <w:t xml:space="preserve"> considers </w:t>
      </w:r>
      <w:r w:rsidR="007049A0" w:rsidRPr="00BC411F">
        <w:rPr>
          <w:lang w:val="en-GB"/>
        </w:rPr>
        <w:t xml:space="preserve">that the author’s claims under </w:t>
      </w:r>
      <w:r w:rsidR="00841168">
        <w:rPr>
          <w:lang w:val="en-GB"/>
        </w:rPr>
        <w:t>article </w:t>
      </w:r>
      <w:r w:rsidR="007049A0" w:rsidRPr="00BC411F">
        <w:rPr>
          <w:lang w:val="en-GB"/>
        </w:rPr>
        <w:t xml:space="preserve">7 of the Covenant </w:t>
      </w:r>
      <w:r w:rsidRPr="00BC411F">
        <w:rPr>
          <w:lang w:val="en-GB"/>
        </w:rPr>
        <w:t xml:space="preserve">cannot be seen as having </w:t>
      </w:r>
      <w:r w:rsidR="007049A0" w:rsidRPr="00BC411F">
        <w:rPr>
          <w:lang w:val="en-GB"/>
        </w:rPr>
        <w:t>been sufficiently substantiated for the purposes of admissibility</w:t>
      </w:r>
      <w:r w:rsidRPr="00BC411F">
        <w:rPr>
          <w:lang w:val="en-GB"/>
        </w:rPr>
        <w:t>. Accordingly, t</w:t>
      </w:r>
      <w:r>
        <w:rPr>
          <w:lang w:val="en-GB"/>
        </w:rPr>
        <w:t>he Committee</w:t>
      </w:r>
      <w:r w:rsidRPr="00BC411F">
        <w:rPr>
          <w:lang w:val="en-GB"/>
        </w:rPr>
        <w:t xml:space="preserve"> </w:t>
      </w:r>
      <w:r w:rsidR="007049A0" w:rsidRPr="00BC411F">
        <w:rPr>
          <w:lang w:val="en-GB"/>
        </w:rPr>
        <w:t xml:space="preserve">concludes that the communication is inadmissible under </w:t>
      </w:r>
      <w:r w:rsidR="00841168">
        <w:rPr>
          <w:lang w:val="en-GB"/>
        </w:rPr>
        <w:t>article </w:t>
      </w:r>
      <w:r w:rsidR="007049A0" w:rsidRPr="00BC411F">
        <w:rPr>
          <w:lang w:val="en-GB"/>
        </w:rPr>
        <w:t>2 of the Optional Protocol.</w:t>
      </w:r>
    </w:p>
    <w:p w:rsidR="007049A0" w:rsidRPr="00BC411F" w:rsidRDefault="007049A0" w:rsidP="007049A0">
      <w:pPr>
        <w:pStyle w:val="SingleTxtG"/>
        <w:spacing w:line="240" w:lineRule="auto"/>
        <w:rPr>
          <w:lang w:val="en-GB"/>
        </w:rPr>
      </w:pPr>
      <w:r w:rsidRPr="00BC411F">
        <w:rPr>
          <w:lang w:val="en-GB"/>
        </w:rPr>
        <w:t>5.</w:t>
      </w:r>
      <w:r w:rsidRPr="00BC411F">
        <w:rPr>
          <w:lang w:val="en-GB"/>
        </w:rPr>
        <w:tab/>
        <w:t>The Human Rights Committee therefore decides:</w:t>
      </w:r>
    </w:p>
    <w:p w:rsidR="007049A0" w:rsidRPr="00BC411F" w:rsidRDefault="007049A0" w:rsidP="000E1B7A">
      <w:pPr>
        <w:pStyle w:val="SingleTxtG"/>
        <w:spacing w:line="240" w:lineRule="auto"/>
        <w:ind w:firstLine="567"/>
        <w:rPr>
          <w:lang w:val="en-GB"/>
        </w:rPr>
      </w:pPr>
      <w:r w:rsidRPr="00BC411F">
        <w:rPr>
          <w:lang w:val="en-GB"/>
        </w:rPr>
        <w:t>(a)</w:t>
      </w:r>
      <w:r w:rsidRPr="00BC411F">
        <w:rPr>
          <w:lang w:val="en-GB"/>
        </w:rPr>
        <w:tab/>
        <w:t xml:space="preserve">That the communication is inadmissible under </w:t>
      </w:r>
      <w:r w:rsidR="00841168">
        <w:rPr>
          <w:lang w:val="en-GB"/>
        </w:rPr>
        <w:t>article </w:t>
      </w:r>
      <w:r w:rsidRPr="00BC411F">
        <w:rPr>
          <w:lang w:val="en-GB"/>
        </w:rPr>
        <w:t>2 of the Optional Protocol;</w:t>
      </w:r>
    </w:p>
    <w:p w:rsidR="007049A0" w:rsidRPr="00BC411F" w:rsidRDefault="007049A0" w:rsidP="000E1B7A">
      <w:pPr>
        <w:pStyle w:val="SingleTxtG"/>
        <w:spacing w:line="240" w:lineRule="auto"/>
        <w:ind w:firstLine="567"/>
        <w:rPr>
          <w:lang w:val="en-GB"/>
        </w:rPr>
      </w:pPr>
      <w:r w:rsidRPr="00BC411F">
        <w:rPr>
          <w:lang w:val="en-GB"/>
        </w:rPr>
        <w:t>(b)</w:t>
      </w:r>
      <w:r w:rsidRPr="00BC411F">
        <w:rPr>
          <w:lang w:val="en-GB"/>
        </w:rPr>
        <w:tab/>
        <w:t>That th</w:t>
      </w:r>
      <w:r w:rsidR="00151FCE">
        <w:rPr>
          <w:lang w:val="en-GB"/>
        </w:rPr>
        <w:t>is</w:t>
      </w:r>
      <w:r w:rsidRPr="00BC411F">
        <w:rPr>
          <w:lang w:val="en-GB"/>
        </w:rPr>
        <w:t xml:space="preserve"> decision </w:t>
      </w:r>
      <w:r w:rsidR="00151FCE">
        <w:rPr>
          <w:lang w:val="en-GB"/>
        </w:rPr>
        <w:t xml:space="preserve">shall </w:t>
      </w:r>
      <w:r w:rsidRPr="00BC411F">
        <w:rPr>
          <w:lang w:val="en-GB"/>
        </w:rPr>
        <w:t>be transmitted to the State party and to the author.</w:t>
      </w:r>
    </w:p>
    <w:p w:rsidR="00911AEA" w:rsidRPr="007049A0" w:rsidRDefault="00F222BD" w:rsidP="00F222BD">
      <w:pPr>
        <w:pStyle w:val="SingleTxtG"/>
        <w:spacing w:before="240" w:after="0"/>
        <w:jc w:val="center"/>
        <w:rPr>
          <w:u w:val="single"/>
          <w:lang w:val="en-GB"/>
        </w:rPr>
      </w:pP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</w:p>
    <w:sectPr w:rsidR="00911AEA" w:rsidRPr="007049A0" w:rsidSect="001C3108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B6" w:rsidRDefault="009F04B6"/>
  </w:endnote>
  <w:endnote w:type="continuationSeparator" w:id="0">
    <w:p w:rsidR="009F04B6" w:rsidRDefault="009F04B6"/>
  </w:endnote>
  <w:endnote w:type="continuationNotice" w:id="1">
    <w:p w:rsidR="009F04B6" w:rsidRDefault="009F0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39T30Lfz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108" w:rsidRPr="00EF1126" w:rsidRDefault="001C3108" w:rsidP="001C3108">
    <w:pPr>
      <w:pStyle w:val="Footer"/>
      <w:tabs>
        <w:tab w:val="right" w:pos="9638"/>
      </w:tabs>
      <w:rPr>
        <w:sz w:val="18"/>
        <w:szCs w:val="18"/>
      </w:rPr>
    </w:pPr>
    <w:r w:rsidRPr="00EF1126">
      <w:rPr>
        <w:b/>
        <w:sz w:val="18"/>
        <w:szCs w:val="18"/>
      </w:rPr>
      <w:fldChar w:fldCharType="begin"/>
    </w:r>
    <w:r w:rsidRPr="00EF1126">
      <w:rPr>
        <w:b/>
        <w:sz w:val="18"/>
        <w:szCs w:val="18"/>
      </w:rPr>
      <w:instrText xml:space="preserve"> </w:instrText>
    </w:r>
    <w:r w:rsidR="003975F2">
      <w:rPr>
        <w:b/>
        <w:sz w:val="18"/>
        <w:szCs w:val="18"/>
      </w:rPr>
      <w:instrText>PAGE</w:instrText>
    </w:r>
    <w:r w:rsidRPr="00EF1126">
      <w:rPr>
        <w:b/>
        <w:sz w:val="18"/>
        <w:szCs w:val="18"/>
      </w:rPr>
      <w:instrText xml:space="preserve">  \* MERGEFORMAT </w:instrText>
    </w:r>
    <w:r w:rsidRPr="00EF1126">
      <w:rPr>
        <w:b/>
        <w:sz w:val="18"/>
        <w:szCs w:val="18"/>
      </w:rPr>
      <w:fldChar w:fldCharType="separate"/>
    </w:r>
    <w:r w:rsidR="009035AC">
      <w:rPr>
        <w:b/>
        <w:noProof/>
        <w:sz w:val="18"/>
        <w:szCs w:val="18"/>
      </w:rPr>
      <w:t>2</w:t>
    </w:r>
    <w:r w:rsidRPr="00EF1126">
      <w:rPr>
        <w:b/>
        <w:sz w:val="18"/>
        <w:szCs w:val="18"/>
      </w:rPr>
      <w:fldChar w:fldCharType="end"/>
    </w:r>
    <w:r w:rsidRPr="00EF1126"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108" w:rsidRPr="007C1F31" w:rsidRDefault="001C3108" w:rsidP="001C3108">
    <w:pPr>
      <w:pStyle w:val="Footer"/>
      <w:tabs>
        <w:tab w:val="right" w:pos="9638"/>
      </w:tabs>
      <w:rPr>
        <w:b/>
        <w:sz w:val="18"/>
      </w:rPr>
    </w:pPr>
    <w:r>
      <w:tab/>
    </w:r>
    <w:r w:rsidRPr="007C1F31">
      <w:rPr>
        <w:b/>
        <w:sz w:val="18"/>
      </w:rPr>
      <w:fldChar w:fldCharType="begin"/>
    </w:r>
    <w:r w:rsidRPr="007C1F31">
      <w:rPr>
        <w:b/>
        <w:sz w:val="18"/>
      </w:rPr>
      <w:instrText xml:space="preserve"> </w:instrText>
    </w:r>
    <w:r w:rsidR="003975F2">
      <w:rPr>
        <w:b/>
        <w:sz w:val="18"/>
      </w:rPr>
      <w:instrText>PAGE</w:instrText>
    </w:r>
    <w:r w:rsidRPr="007C1F31">
      <w:rPr>
        <w:b/>
        <w:sz w:val="18"/>
      </w:rPr>
      <w:instrText xml:space="preserve">  \* MERGEFORMAT </w:instrText>
    </w:r>
    <w:r w:rsidRPr="007C1F31">
      <w:rPr>
        <w:b/>
        <w:sz w:val="18"/>
      </w:rPr>
      <w:fldChar w:fldCharType="separate"/>
    </w:r>
    <w:r w:rsidR="009035AC">
      <w:rPr>
        <w:b/>
        <w:noProof/>
        <w:sz w:val="18"/>
      </w:rPr>
      <w:t>3</w:t>
    </w:r>
    <w:r w:rsidRPr="007C1F3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108" w:rsidRPr="00EF1126" w:rsidRDefault="001C3108">
    <w:pPr>
      <w:pStyle w:val="Footer"/>
      <w:rPr>
        <w:sz w:val="20"/>
      </w:rPr>
    </w:pPr>
    <w:r w:rsidRPr="00EF1126">
      <w:rPr>
        <w:sz w:val="20"/>
      </w:rPr>
      <w:t>GE.</w:t>
    </w:r>
    <w:r w:rsidRPr="005759D8">
      <w:rPr>
        <w:sz w:val="20"/>
      </w:rPr>
      <w:t>1</w:t>
    </w:r>
    <w:r w:rsidR="001B5C07">
      <w:rPr>
        <w:sz w:val="20"/>
      </w:rPr>
      <w:t>5</w:t>
    </w:r>
    <w:r w:rsidRPr="00EF1126">
      <w:rPr>
        <w:sz w:val="20"/>
      </w:rPr>
      <w:t>-</w:t>
    </w:r>
    <w:r w:rsidR="00972DBE">
      <w:rPr>
        <w:sz w:val="20"/>
      </w:rPr>
      <w:t>09430</w:t>
    </w:r>
    <w:r w:rsidR="00654441">
      <w:rPr>
        <w:sz w:val="20"/>
      </w:rPr>
      <w:t xml:space="preserve">  (E)</w:t>
    </w:r>
    <w:r w:rsidR="00654441">
      <w:rPr>
        <w:sz w:val="20"/>
      </w:rPr>
      <w:br/>
    </w:r>
    <w:r w:rsidR="00654441" w:rsidRPr="00654441">
      <w:rPr>
        <w:rFonts w:ascii="C39T30Lfz" w:hAnsi="C39T30Lfz"/>
        <w:sz w:val="56"/>
      </w:rPr>
      <w:t></w:t>
    </w:r>
    <w:r w:rsidR="00654441" w:rsidRPr="00654441">
      <w:rPr>
        <w:rFonts w:ascii="C39T30Lfz" w:hAnsi="C39T30Lfz"/>
        <w:sz w:val="56"/>
      </w:rPr>
      <w:t></w:t>
    </w:r>
    <w:r w:rsidR="00654441" w:rsidRPr="00654441">
      <w:rPr>
        <w:rFonts w:ascii="C39T30Lfz" w:hAnsi="C39T30Lfz"/>
        <w:sz w:val="56"/>
      </w:rPr>
      <w:t></w:t>
    </w:r>
    <w:r w:rsidR="00654441" w:rsidRPr="00654441">
      <w:rPr>
        <w:rFonts w:ascii="C39T30Lfz" w:hAnsi="C39T30Lfz"/>
        <w:sz w:val="56"/>
      </w:rPr>
      <w:t></w:t>
    </w:r>
    <w:r w:rsidR="00654441" w:rsidRPr="00654441">
      <w:rPr>
        <w:rFonts w:ascii="C39T30Lfz" w:hAnsi="C39T30Lfz"/>
        <w:sz w:val="56"/>
      </w:rPr>
      <w:t></w:t>
    </w:r>
    <w:r w:rsidR="00654441" w:rsidRPr="00654441">
      <w:rPr>
        <w:rFonts w:ascii="C39T30Lfz" w:hAnsi="C39T30Lfz"/>
        <w:sz w:val="56"/>
      </w:rPr>
      <w:t></w:t>
    </w:r>
    <w:r w:rsidR="00654441" w:rsidRPr="00654441">
      <w:rPr>
        <w:rFonts w:ascii="C39T30Lfz" w:hAnsi="C39T30Lfz"/>
        <w:sz w:val="56"/>
      </w:rPr>
      <w:t></w:t>
    </w:r>
    <w:r w:rsidR="00654441" w:rsidRPr="00654441">
      <w:rPr>
        <w:rFonts w:ascii="C39T30Lfz" w:hAnsi="C39T30Lfz"/>
        <w:sz w:val="56"/>
      </w:rPr>
      <w:t></w:t>
    </w:r>
    <w:r w:rsidR="00654441" w:rsidRPr="00654441">
      <w:rPr>
        <w:rFonts w:ascii="C39T30Lfz" w:hAnsi="C39T30Lfz"/>
        <w:sz w:val="56"/>
      </w:rPr>
      <w:t>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B6" w:rsidRPr="000B175B" w:rsidRDefault="009F04B6" w:rsidP="001C310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9F04B6" w:rsidRPr="00FC68B7" w:rsidRDefault="009F04B6" w:rsidP="001C3108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9F04B6" w:rsidRDefault="009F04B6"/>
  </w:footnote>
  <w:footnote w:id="2">
    <w:p w:rsidR="00A11E52" w:rsidRPr="005474FA" w:rsidRDefault="00A11E52" w:rsidP="005759D8">
      <w:pPr>
        <w:pStyle w:val="FootnoteText"/>
        <w:rPr>
          <w:lang w:val="en-GB"/>
        </w:rPr>
      </w:pPr>
      <w:r>
        <w:rPr>
          <w:rStyle w:val="FootnoteReference"/>
        </w:rPr>
        <w:tab/>
      </w:r>
      <w:r w:rsidRPr="00007CB9">
        <w:rPr>
          <w:rStyle w:val="FootnoteReference"/>
          <w:sz w:val="20"/>
          <w:vertAlign w:val="baseline"/>
        </w:rPr>
        <w:t>*</w:t>
      </w:r>
      <w:r w:rsidRPr="00007CB9">
        <w:rPr>
          <w:rStyle w:val="FootnoteReference"/>
          <w:sz w:val="20"/>
          <w:vertAlign w:val="baseline"/>
        </w:rPr>
        <w:tab/>
      </w:r>
      <w:r>
        <w:t xml:space="preserve">The following members of the </w:t>
      </w:r>
      <w:r w:rsidRPr="003D44CD">
        <w:rPr>
          <w:lang w:val="en-GB"/>
        </w:rPr>
        <w:t>Committee</w:t>
      </w:r>
      <w:r>
        <w:t xml:space="preserve"> participated in the </w:t>
      </w:r>
      <w:r w:rsidR="005759D8">
        <w:t>consideration</w:t>
      </w:r>
      <w:r>
        <w:t xml:space="preserve"> of the present communication: Yadh Ben Achour, Lazhari Bouzid, Sarah Cleveland, Olivier </w:t>
      </w:r>
      <w:r w:rsidR="005759D8">
        <w:t>d</w:t>
      </w:r>
      <w:r>
        <w:t>e Frouville, Yuji</w:t>
      </w:r>
      <w:r w:rsidR="00841168" w:rsidRPr="000E1B7A">
        <w:rPr>
          <w:lang w:val="en-GB"/>
        </w:rPr>
        <w:t> </w:t>
      </w:r>
      <w:r>
        <w:t>Iwasawa, Ivana Jeli</w:t>
      </w:r>
      <w:r w:rsidR="005759D8" w:rsidRPr="005759D8">
        <w:rPr>
          <w:bCs/>
          <w:lang w:val="en-GB"/>
        </w:rPr>
        <w:t>ć</w:t>
      </w:r>
      <w:r>
        <w:t>, Duncan Muhumuza Laki, Photini Pazartzis, Mauro Politi, Sir Nigel Rodley, Victor Manuel Rodr</w:t>
      </w:r>
      <w:r w:rsidR="005759D8">
        <w:t>í</w:t>
      </w:r>
      <w:r>
        <w:t>guez-Rescia, Fabián Omar Salvioli, Dheerujlall Seetulsingh, Anja</w:t>
      </w:r>
      <w:r w:rsidR="00841168" w:rsidRPr="000E1B7A">
        <w:rPr>
          <w:lang w:val="en-GB"/>
        </w:rPr>
        <w:t> </w:t>
      </w:r>
      <w:r>
        <w:t>Seibert-Fohr, Yuval Shany, Konstantine Vardzelashvili and</w:t>
      </w:r>
      <w:r w:rsidR="00F24BE3">
        <w:t xml:space="preserve"> </w:t>
      </w:r>
      <w:r>
        <w:t>Margo Waterval.</w:t>
      </w:r>
    </w:p>
  </w:footnote>
  <w:footnote w:id="3">
    <w:p w:rsidR="002B4048" w:rsidRPr="00987EB2" w:rsidRDefault="00F222BD" w:rsidP="00F222BD">
      <w:pPr>
        <w:pStyle w:val="FootnoteText"/>
      </w:pPr>
      <w:r w:rsidRPr="000E1B7A">
        <w:rPr>
          <w:lang w:val="en-GB"/>
        </w:rPr>
        <w:tab/>
      </w:r>
      <w:r w:rsidR="002B4048">
        <w:rPr>
          <w:rStyle w:val="FootnoteReference"/>
        </w:rPr>
        <w:footnoteRef/>
      </w:r>
      <w:r w:rsidRPr="000E1B7A">
        <w:tab/>
      </w:r>
      <w:r w:rsidR="002B4048">
        <w:t>According to the information provided in the submission, the Danish Immigration Service received a confirmation from Greece that the author ha</w:t>
      </w:r>
      <w:r w:rsidR="00081EE8">
        <w:t>d</w:t>
      </w:r>
      <w:r w:rsidR="002B4048">
        <w:t xml:space="preserve"> been granted refugee status in Greece (the date is not specified).</w:t>
      </w:r>
    </w:p>
  </w:footnote>
  <w:footnote w:id="4">
    <w:p w:rsidR="002B4048" w:rsidRPr="000E1B7A" w:rsidRDefault="00F222BD" w:rsidP="00F222BD">
      <w:pPr>
        <w:pStyle w:val="FootnoteText"/>
        <w:rPr>
          <w:lang w:val="fr-CH"/>
        </w:rPr>
      </w:pPr>
      <w:r w:rsidRPr="000E1B7A">
        <w:tab/>
      </w:r>
      <w:r w:rsidR="002B4048">
        <w:rPr>
          <w:rStyle w:val="FootnoteReference"/>
        </w:rPr>
        <w:footnoteRef/>
      </w:r>
      <w:r w:rsidRPr="000E1B7A">
        <w:tab/>
      </w:r>
      <w:r w:rsidR="002B4048">
        <w:t>The new residence permit</w:t>
      </w:r>
      <w:r w:rsidR="009064A2">
        <w:t>,</w:t>
      </w:r>
      <w:r w:rsidR="002B4048">
        <w:t xml:space="preserve"> valid as of June 2014, issued in August 2014, does not indicate the grounds on which it </w:t>
      </w:r>
      <w:r w:rsidR="00081EE8">
        <w:t>wa</w:t>
      </w:r>
      <w:r w:rsidR="002B4048">
        <w:t xml:space="preserve">s issued. It is also unclear until when it is valid, as there is an error in the date. </w:t>
      </w:r>
    </w:p>
  </w:footnote>
  <w:footnote w:id="5">
    <w:p w:rsidR="002B4048" w:rsidRPr="00103308" w:rsidRDefault="00F222BD" w:rsidP="00F222BD">
      <w:pPr>
        <w:pStyle w:val="FootnoteText"/>
      </w:pPr>
      <w:r>
        <w:rPr>
          <w:lang w:val="fr-CH"/>
        </w:rPr>
        <w:tab/>
      </w:r>
      <w:r w:rsidR="002B4048">
        <w:rPr>
          <w:rStyle w:val="FootnoteReference"/>
        </w:rPr>
        <w:footnoteRef/>
      </w:r>
      <w:r w:rsidRPr="000E1B7A">
        <w:tab/>
      </w:r>
      <w:r w:rsidR="002B4048" w:rsidRPr="00103308">
        <w:t xml:space="preserve">The </w:t>
      </w:r>
      <w:r w:rsidR="002B4048">
        <w:t>author</w:t>
      </w:r>
      <w:r w:rsidR="002B4048" w:rsidRPr="00103308">
        <w:t xml:space="preserve"> stated that assaults by people affiliated with </w:t>
      </w:r>
      <w:r w:rsidR="002B4048">
        <w:t>Golden D</w:t>
      </w:r>
      <w:r w:rsidR="002B4048" w:rsidRPr="00103308">
        <w:t>awn against refugees and other foreigners are widespread in Greece, and that the</w:t>
      </w:r>
      <w:r w:rsidR="002B4048">
        <w:t>y</w:t>
      </w:r>
      <w:r w:rsidR="002B4048" w:rsidRPr="00103308">
        <w:t xml:space="preserve"> often occur without</w:t>
      </w:r>
      <w:r w:rsidR="002B4048">
        <w:t xml:space="preserve"> </w:t>
      </w:r>
      <w:r w:rsidR="002B4048" w:rsidRPr="00103308">
        <w:t>police interference.</w:t>
      </w:r>
    </w:p>
  </w:footnote>
  <w:footnote w:id="6">
    <w:p w:rsidR="002B7DB5" w:rsidRPr="00036888" w:rsidRDefault="00F222BD" w:rsidP="00BD07A1">
      <w:pPr>
        <w:pStyle w:val="FootnoteText"/>
      </w:pPr>
      <w:r w:rsidRPr="000E1B7A">
        <w:tab/>
      </w:r>
      <w:r w:rsidR="002B7DB5">
        <w:rPr>
          <w:rStyle w:val="FootnoteReference"/>
        </w:rPr>
        <w:footnoteRef/>
      </w:r>
      <w:r w:rsidRPr="00CD3C23">
        <w:rPr>
          <w:lang w:val="en-GB"/>
        </w:rPr>
        <w:tab/>
      </w:r>
      <w:r w:rsidR="002B7DB5">
        <w:t xml:space="preserve">The author refers to the </w:t>
      </w:r>
      <w:r w:rsidR="002B7DB5" w:rsidRPr="00F222BD">
        <w:t>following international sources to substantiate his claim about widespread xenophobia in Greece and lack of protec</w:t>
      </w:r>
      <w:r w:rsidR="002B7DB5">
        <w:t xml:space="preserve">tion from the authorities: Human Rights Watch, </w:t>
      </w:r>
      <w:r w:rsidR="002B7DB5">
        <w:rPr>
          <w:i/>
        </w:rPr>
        <w:t>Unwelcome Guests</w:t>
      </w:r>
      <w:r w:rsidR="00641D5A">
        <w:rPr>
          <w:i/>
        </w:rPr>
        <w:t>: Greek Police Abuses of Migrants in Athens</w:t>
      </w:r>
      <w:r w:rsidR="002B7DB5" w:rsidRPr="000E1B7A">
        <w:rPr>
          <w:iCs/>
        </w:rPr>
        <w:t xml:space="preserve"> </w:t>
      </w:r>
      <w:r w:rsidR="00641D5A">
        <w:rPr>
          <w:iCs/>
        </w:rPr>
        <w:t>(</w:t>
      </w:r>
      <w:r w:rsidR="002B7DB5">
        <w:t>12</w:t>
      </w:r>
      <w:r>
        <w:rPr>
          <w:i/>
        </w:rPr>
        <w:t xml:space="preserve"> </w:t>
      </w:r>
      <w:r w:rsidR="002B7DB5">
        <w:t>June 2013</w:t>
      </w:r>
      <w:r w:rsidR="00641D5A">
        <w:t>)</w:t>
      </w:r>
      <w:r w:rsidR="002B7DB5">
        <w:t xml:space="preserve">; </w:t>
      </w:r>
      <w:r w:rsidR="00151FCE">
        <w:t>r</w:t>
      </w:r>
      <w:r w:rsidR="002B7DB5">
        <w:t>eport by Nils Mui</w:t>
      </w:r>
      <w:r w:rsidR="002B7DB5" w:rsidRPr="00F85AD2">
        <w:t>ž</w:t>
      </w:r>
      <w:r w:rsidR="002B7DB5">
        <w:t>nieks, Commissioner for Human Rights</w:t>
      </w:r>
      <w:r w:rsidR="00641D5A">
        <w:t xml:space="preserve"> of the </w:t>
      </w:r>
      <w:r w:rsidR="00641D5A" w:rsidRPr="00641D5A">
        <w:rPr>
          <w:lang w:val="en-GB"/>
        </w:rPr>
        <w:t>Council of Europe</w:t>
      </w:r>
      <w:r w:rsidR="002B7DB5">
        <w:t>, following his visit to Greece from 28 January to 1 February 2013; U</w:t>
      </w:r>
      <w:r w:rsidR="00641D5A">
        <w:t>nited States</w:t>
      </w:r>
      <w:r w:rsidR="002B7DB5">
        <w:t xml:space="preserve"> Department of State</w:t>
      </w:r>
      <w:r w:rsidR="00151FCE">
        <w:t>,</w:t>
      </w:r>
      <w:r w:rsidR="002B7DB5">
        <w:t xml:space="preserve"> </w:t>
      </w:r>
      <w:r w:rsidR="00151FCE">
        <w:t>“</w:t>
      </w:r>
      <w:r w:rsidR="002B7DB5" w:rsidRPr="000E1B7A">
        <w:rPr>
          <w:iCs/>
        </w:rPr>
        <w:t xml:space="preserve">Country report on </w:t>
      </w:r>
      <w:r w:rsidR="00151FCE">
        <w:rPr>
          <w:iCs/>
        </w:rPr>
        <w:t>h</w:t>
      </w:r>
      <w:r w:rsidR="002B7DB5" w:rsidRPr="000E1B7A">
        <w:rPr>
          <w:iCs/>
        </w:rPr>
        <w:t xml:space="preserve">uman </w:t>
      </w:r>
      <w:r w:rsidR="00151FCE">
        <w:rPr>
          <w:iCs/>
        </w:rPr>
        <w:t>r</w:t>
      </w:r>
      <w:r w:rsidR="002B7DB5" w:rsidRPr="000E1B7A">
        <w:rPr>
          <w:iCs/>
        </w:rPr>
        <w:t xml:space="preserve">ights </w:t>
      </w:r>
      <w:r w:rsidR="00151FCE">
        <w:rPr>
          <w:iCs/>
        </w:rPr>
        <w:t>p</w:t>
      </w:r>
      <w:r w:rsidR="002B7DB5" w:rsidRPr="000E1B7A">
        <w:rPr>
          <w:iCs/>
        </w:rPr>
        <w:t>ractices 2013 – Greece</w:t>
      </w:r>
      <w:r w:rsidR="00151FCE">
        <w:rPr>
          <w:iCs/>
        </w:rPr>
        <w:t>”</w:t>
      </w:r>
      <w:r w:rsidR="002B7DB5" w:rsidRPr="000E1B7A">
        <w:rPr>
          <w:iCs/>
        </w:rPr>
        <w:t xml:space="preserve">, </w:t>
      </w:r>
      <w:r w:rsidR="002B7DB5">
        <w:t xml:space="preserve">27 February 2014.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108" w:rsidRPr="007C1F31" w:rsidRDefault="001C3108" w:rsidP="001C3108">
    <w:pPr>
      <w:pStyle w:val="Header"/>
    </w:pPr>
    <w:r>
      <w:t>CCPR/C/113/D/</w:t>
    </w:r>
    <w:r w:rsidR="002E1682">
      <w:t>2523</w:t>
    </w:r>
    <w:r>
      <w:t>/</w:t>
    </w:r>
    <w:r w:rsidR="002E1682">
      <w:t>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108" w:rsidRPr="007C1F31" w:rsidRDefault="001C3108" w:rsidP="001C3108">
    <w:pPr>
      <w:pStyle w:val="Header"/>
      <w:jc w:val="right"/>
    </w:pPr>
    <w:r>
      <w:t>CCPR/C/113/D/</w:t>
    </w:r>
    <w:r w:rsidR="002E1682">
      <w:t>2523/2015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4C078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C49F8"/>
    <w:multiLevelType w:val="hybridMultilevel"/>
    <w:tmpl w:val="57E679C2"/>
    <w:lvl w:ilvl="0" w:tplc="075A6416">
      <w:start w:val="1"/>
      <w:numFmt w:val="decimal"/>
      <w:lvlText w:val="%1."/>
      <w:lvlJc w:val="left"/>
      <w:pPr>
        <w:tabs>
          <w:tab w:val="num" w:pos="1494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A4C77"/>
    <w:multiLevelType w:val="multilevel"/>
    <w:tmpl w:val="7E0298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8758B1"/>
    <w:multiLevelType w:val="hybridMultilevel"/>
    <w:tmpl w:val="1AA45662"/>
    <w:lvl w:ilvl="0" w:tplc="EE328C9A">
      <w:start w:val="3"/>
      <w:numFmt w:val="decimal"/>
      <w:lvlText w:val="3.%1"/>
      <w:lvlJc w:val="left"/>
      <w:pPr>
        <w:tabs>
          <w:tab w:val="num" w:pos="0"/>
        </w:tabs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083A22">
      <w:start w:val="3"/>
      <w:numFmt w:val="decimal"/>
      <w:lvlText w:val="3.%3"/>
      <w:lvlJc w:val="left"/>
      <w:pPr>
        <w:tabs>
          <w:tab w:val="num" w:pos="0"/>
        </w:tabs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0A168E"/>
    <w:multiLevelType w:val="multilevel"/>
    <w:tmpl w:val="8CFAC89A"/>
    <w:lvl w:ilvl="0">
      <w:start w:val="3"/>
      <w:numFmt w:val="decimal"/>
      <w:lvlText w:val="3.%1"/>
      <w:lvlJc w:val="left"/>
      <w:pPr>
        <w:tabs>
          <w:tab w:val="num" w:pos="0"/>
        </w:tabs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3.%3"/>
      <w:lvlJc w:val="left"/>
      <w:pPr>
        <w:tabs>
          <w:tab w:val="num" w:pos="846"/>
        </w:tabs>
        <w:ind w:left="198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A96A0A"/>
    <w:multiLevelType w:val="multilevel"/>
    <w:tmpl w:val="23F48C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59A1C03"/>
    <w:multiLevelType w:val="multilevel"/>
    <w:tmpl w:val="9C225246"/>
    <w:lvl w:ilvl="0">
      <w:start w:val="3"/>
      <w:numFmt w:val="decimal"/>
      <w:lvlText w:val="3.%1"/>
      <w:lvlJc w:val="left"/>
      <w:pPr>
        <w:tabs>
          <w:tab w:val="num" w:pos="0"/>
        </w:tabs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31"/>
    <w:rsid w:val="000019A6"/>
    <w:rsid w:val="00007253"/>
    <w:rsid w:val="00007CB9"/>
    <w:rsid w:val="0003230C"/>
    <w:rsid w:val="00036888"/>
    <w:rsid w:val="00055926"/>
    <w:rsid w:val="000740BC"/>
    <w:rsid w:val="00074DEC"/>
    <w:rsid w:val="00081EE8"/>
    <w:rsid w:val="00096EBB"/>
    <w:rsid w:val="00097123"/>
    <w:rsid w:val="000C27AF"/>
    <w:rsid w:val="000D08F2"/>
    <w:rsid w:val="000E1B7A"/>
    <w:rsid w:val="000E24CD"/>
    <w:rsid w:val="000F6C63"/>
    <w:rsid w:val="00126586"/>
    <w:rsid w:val="00151FCE"/>
    <w:rsid w:val="0015263E"/>
    <w:rsid w:val="00160707"/>
    <w:rsid w:val="00165C28"/>
    <w:rsid w:val="0016787C"/>
    <w:rsid w:val="00177BD6"/>
    <w:rsid w:val="001B5C07"/>
    <w:rsid w:val="001C3108"/>
    <w:rsid w:val="001D5E04"/>
    <w:rsid w:val="001F6695"/>
    <w:rsid w:val="00203EE8"/>
    <w:rsid w:val="002432AB"/>
    <w:rsid w:val="00245B05"/>
    <w:rsid w:val="00263475"/>
    <w:rsid w:val="00282A15"/>
    <w:rsid w:val="00282A20"/>
    <w:rsid w:val="002B4048"/>
    <w:rsid w:val="002B7DB5"/>
    <w:rsid w:val="002C0BB7"/>
    <w:rsid w:val="002D5B2B"/>
    <w:rsid w:val="002E1682"/>
    <w:rsid w:val="002E2265"/>
    <w:rsid w:val="002E5352"/>
    <w:rsid w:val="002F176D"/>
    <w:rsid w:val="00301F42"/>
    <w:rsid w:val="003078C5"/>
    <w:rsid w:val="00351580"/>
    <w:rsid w:val="003634B8"/>
    <w:rsid w:val="0039607A"/>
    <w:rsid w:val="003975F2"/>
    <w:rsid w:val="003D5FD0"/>
    <w:rsid w:val="004015C2"/>
    <w:rsid w:val="00407E3A"/>
    <w:rsid w:val="00415250"/>
    <w:rsid w:val="00415837"/>
    <w:rsid w:val="00423058"/>
    <w:rsid w:val="004358E9"/>
    <w:rsid w:val="00454D49"/>
    <w:rsid w:val="00467595"/>
    <w:rsid w:val="00470595"/>
    <w:rsid w:val="00474EA8"/>
    <w:rsid w:val="0049560C"/>
    <w:rsid w:val="004A57AD"/>
    <w:rsid w:val="004A618D"/>
    <w:rsid w:val="00513B16"/>
    <w:rsid w:val="0051462A"/>
    <w:rsid w:val="005252D0"/>
    <w:rsid w:val="005464F4"/>
    <w:rsid w:val="00551470"/>
    <w:rsid w:val="00572F14"/>
    <w:rsid w:val="005759D8"/>
    <w:rsid w:val="005935B6"/>
    <w:rsid w:val="005C0D7D"/>
    <w:rsid w:val="005C5898"/>
    <w:rsid w:val="005E7DD6"/>
    <w:rsid w:val="005F2D25"/>
    <w:rsid w:val="006004F2"/>
    <w:rsid w:val="006020B7"/>
    <w:rsid w:val="00607311"/>
    <w:rsid w:val="006130D0"/>
    <w:rsid w:val="0061421F"/>
    <w:rsid w:val="006169F5"/>
    <w:rsid w:val="00624311"/>
    <w:rsid w:val="006271A0"/>
    <w:rsid w:val="006336AA"/>
    <w:rsid w:val="00641D5A"/>
    <w:rsid w:val="00646E2F"/>
    <w:rsid w:val="00654441"/>
    <w:rsid w:val="0065753C"/>
    <w:rsid w:val="006C15F8"/>
    <w:rsid w:val="006D08E0"/>
    <w:rsid w:val="007049A0"/>
    <w:rsid w:val="00717B8B"/>
    <w:rsid w:val="0072262B"/>
    <w:rsid w:val="007C1F31"/>
    <w:rsid w:val="007C37C2"/>
    <w:rsid w:val="007D7A04"/>
    <w:rsid w:val="007E2616"/>
    <w:rsid w:val="007F2856"/>
    <w:rsid w:val="007F6D5D"/>
    <w:rsid w:val="00811572"/>
    <w:rsid w:val="008132DE"/>
    <w:rsid w:val="00830C5B"/>
    <w:rsid w:val="00841168"/>
    <w:rsid w:val="00844357"/>
    <w:rsid w:val="00847AF3"/>
    <w:rsid w:val="0086764D"/>
    <w:rsid w:val="00894DBD"/>
    <w:rsid w:val="009035AC"/>
    <w:rsid w:val="009064A2"/>
    <w:rsid w:val="00911AEA"/>
    <w:rsid w:val="009152F6"/>
    <w:rsid w:val="009279B6"/>
    <w:rsid w:val="00951071"/>
    <w:rsid w:val="00972DBE"/>
    <w:rsid w:val="009B519E"/>
    <w:rsid w:val="009B730A"/>
    <w:rsid w:val="009C0902"/>
    <w:rsid w:val="009C0CA7"/>
    <w:rsid w:val="009C2F7D"/>
    <w:rsid w:val="009D0D6D"/>
    <w:rsid w:val="009F04B6"/>
    <w:rsid w:val="009F50BD"/>
    <w:rsid w:val="00A11E52"/>
    <w:rsid w:val="00A15110"/>
    <w:rsid w:val="00A26220"/>
    <w:rsid w:val="00A36FA8"/>
    <w:rsid w:val="00A546C9"/>
    <w:rsid w:val="00A640C5"/>
    <w:rsid w:val="00AA3F52"/>
    <w:rsid w:val="00AB16C8"/>
    <w:rsid w:val="00AD2F62"/>
    <w:rsid w:val="00B24CF9"/>
    <w:rsid w:val="00B4359D"/>
    <w:rsid w:val="00B62DED"/>
    <w:rsid w:val="00B645C4"/>
    <w:rsid w:val="00B81E97"/>
    <w:rsid w:val="00B84649"/>
    <w:rsid w:val="00BC17EF"/>
    <w:rsid w:val="00BC411F"/>
    <w:rsid w:val="00BD07A1"/>
    <w:rsid w:val="00BD4716"/>
    <w:rsid w:val="00C02187"/>
    <w:rsid w:val="00C1094B"/>
    <w:rsid w:val="00C259C0"/>
    <w:rsid w:val="00C4226E"/>
    <w:rsid w:val="00C55414"/>
    <w:rsid w:val="00C836D7"/>
    <w:rsid w:val="00CA163A"/>
    <w:rsid w:val="00CB51DE"/>
    <w:rsid w:val="00CC5578"/>
    <w:rsid w:val="00CD3C23"/>
    <w:rsid w:val="00CE4B76"/>
    <w:rsid w:val="00CF19BE"/>
    <w:rsid w:val="00D12F50"/>
    <w:rsid w:val="00D32D14"/>
    <w:rsid w:val="00D424DF"/>
    <w:rsid w:val="00D60AE2"/>
    <w:rsid w:val="00D84C97"/>
    <w:rsid w:val="00D84E97"/>
    <w:rsid w:val="00D91BC9"/>
    <w:rsid w:val="00DA1196"/>
    <w:rsid w:val="00DB306A"/>
    <w:rsid w:val="00DB6592"/>
    <w:rsid w:val="00E07ED7"/>
    <w:rsid w:val="00E22499"/>
    <w:rsid w:val="00E249D1"/>
    <w:rsid w:val="00E439B9"/>
    <w:rsid w:val="00E45AE1"/>
    <w:rsid w:val="00E55D8C"/>
    <w:rsid w:val="00E805A3"/>
    <w:rsid w:val="00E91F0B"/>
    <w:rsid w:val="00E957A9"/>
    <w:rsid w:val="00ED7450"/>
    <w:rsid w:val="00EF280A"/>
    <w:rsid w:val="00EF612C"/>
    <w:rsid w:val="00EF6224"/>
    <w:rsid w:val="00F222BD"/>
    <w:rsid w:val="00F24BE3"/>
    <w:rsid w:val="00F40CAF"/>
    <w:rsid w:val="00F477B8"/>
    <w:rsid w:val="00F64576"/>
    <w:rsid w:val="00F72A3C"/>
    <w:rsid w:val="00F85AD2"/>
    <w:rsid w:val="00FB2D52"/>
    <w:rsid w:val="00FB5CF4"/>
    <w:rsid w:val="00FC468D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6223CB-7C0D-4A77-8B71-9C8040C5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228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503228"/>
    <w:pPr>
      <w:spacing w:after="120"/>
      <w:ind w:left="1134" w:right="1134"/>
      <w:jc w:val="both"/>
    </w:pPr>
    <w:rPr>
      <w:lang w:val="x-none"/>
    </w:r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qFormat/>
    <w:rsid w:val="00CA163A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qFormat/>
    <w:rsid w:val="00CA163A"/>
    <w:pPr>
      <w:tabs>
        <w:tab w:val="right" w:pos="1021"/>
      </w:tabs>
      <w:kinsoku w:val="0"/>
      <w:overflowPunct w:val="0"/>
      <w:autoSpaceDE w:val="0"/>
      <w:autoSpaceDN w:val="0"/>
      <w:adjustRightInd w:val="0"/>
      <w:snapToGrid w:val="0"/>
      <w:spacing w:line="220" w:lineRule="exact"/>
      <w:ind w:left="1134" w:right="1134" w:hanging="1134"/>
    </w:pPr>
    <w:rPr>
      <w:rFonts w:eastAsia="SimSun"/>
      <w:sz w:val="18"/>
      <w:lang w:val="en-US" w:eastAsia="zh-CN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uiPriority w:val="99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alloonText">
    <w:name w:val="Balloon Text"/>
    <w:basedOn w:val="Normal"/>
    <w:semiHidden/>
    <w:rsid w:val="00A75AB7"/>
    <w:rPr>
      <w:rFonts w:ascii="Tahoma" w:hAnsi="Tahoma" w:cs="Tahoma"/>
      <w:sz w:val="16"/>
      <w:szCs w:val="16"/>
    </w:rPr>
  </w:style>
  <w:style w:type="character" w:customStyle="1" w:styleId="SingleTxtGChar">
    <w:name w:val="_ Single Txt_G Char"/>
    <w:link w:val="SingleTxtG"/>
    <w:rsid w:val="00A6498B"/>
    <w:rPr>
      <w:lang w:eastAsia="en-US"/>
    </w:rPr>
  </w:style>
  <w:style w:type="character" w:customStyle="1" w:styleId="FootnoteTextChar">
    <w:name w:val="Footnote Text Char"/>
    <w:aliases w:val="5_G Char"/>
    <w:link w:val="FootnoteText"/>
    <w:rsid w:val="00A6498B"/>
    <w:rPr>
      <w:rFonts w:eastAsia="SimSun"/>
      <w:sz w:val="18"/>
    </w:rPr>
  </w:style>
  <w:style w:type="paragraph" w:customStyle="1" w:styleId="Default">
    <w:name w:val="Default"/>
    <w:rsid w:val="00A772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NoG">
    <w:name w:val="_ParaNo._G"/>
    <w:basedOn w:val="SingleTxtG"/>
    <w:rsid w:val="00D03FA1"/>
  </w:style>
  <w:style w:type="character" w:styleId="CommentReference">
    <w:name w:val="annotation reference"/>
    <w:rsid w:val="00750E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0E7B"/>
  </w:style>
  <w:style w:type="character" w:customStyle="1" w:styleId="CommentTextChar">
    <w:name w:val="Comment Text Char"/>
    <w:link w:val="CommentText"/>
    <w:rsid w:val="00750E7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50E7B"/>
    <w:rPr>
      <w:b/>
      <w:bCs/>
    </w:rPr>
  </w:style>
  <w:style w:type="character" w:customStyle="1" w:styleId="CommentSubjectChar">
    <w:name w:val="Comment Subject Char"/>
    <w:link w:val="CommentSubject"/>
    <w:rsid w:val="00750E7B"/>
    <w:rPr>
      <w:b/>
      <w:bCs/>
      <w:lang w:val="en-GB" w:eastAsia="en-US"/>
    </w:rPr>
  </w:style>
  <w:style w:type="paragraph" w:customStyle="1" w:styleId="parrafo1">
    <w:name w:val="parrafo1"/>
    <w:basedOn w:val="Normal"/>
    <w:rsid w:val="00FE178B"/>
    <w:pPr>
      <w:suppressAutoHyphens w:val="0"/>
      <w:spacing w:before="180" w:after="180" w:line="240" w:lineRule="auto"/>
      <w:ind w:firstLine="360"/>
      <w:jc w:val="both"/>
    </w:pPr>
    <w:rPr>
      <w:sz w:val="24"/>
      <w:szCs w:val="24"/>
      <w:lang w:eastAsia="en-GB"/>
    </w:rPr>
  </w:style>
  <w:style w:type="character" w:customStyle="1" w:styleId="const">
    <w:name w:val="const"/>
    <w:rsid w:val="00B36BDD"/>
  </w:style>
  <w:style w:type="paragraph" w:customStyle="1" w:styleId="const1">
    <w:name w:val="const1"/>
    <w:basedOn w:val="Normal"/>
    <w:rsid w:val="00B36BDD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character" w:styleId="Emphasis">
    <w:name w:val="Emphasis"/>
    <w:uiPriority w:val="20"/>
    <w:qFormat/>
    <w:rsid w:val="00F85AD2"/>
    <w:rPr>
      <w:i/>
      <w:iCs/>
    </w:rPr>
  </w:style>
  <w:style w:type="paragraph" w:styleId="Revision">
    <w:name w:val="Revision"/>
    <w:hidden/>
    <w:uiPriority w:val="99"/>
    <w:semiHidden/>
    <w:rsid w:val="00081EE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14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145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7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3797-3CF7-4928-A7EC-EFCE9E03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CCPR/C/97/D/1744/2007</vt:lpstr>
    </vt:vector>
  </TitlesOfParts>
  <Company>CSD</Company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CCPR/C/97/D/1744/2007</dc:title>
  <dc:subject/>
  <dc:creator>Neogi</dc:creator>
  <cp:keywords/>
  <cp:lastModifiedBy>Sarah Willig</cp:lastModifiedBy>
  <cp:revision>2</cp:revision>
  <cp:lastPrinted>2015-05-13T11:28:00Z</cp:lastPrinted>
  <dcterms:created xsi:type="dcterms:W3CDTF">2017-01-24T21:35:00Z</dcterms:created>
  <dcterms:modified xsi:type="dcterms:W3CDTF">2017-01-24T21:35:00Z</dcterms:modified>
</cp:coreProperties>
</file>