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ED1569" w:rsidTr="00B6553F">
        <w:trPr>
          <w:cantSplit/>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2268" w:type="dxa"/>
            <w:tcBorders>
              <w:bottom w:val="single" w:sz="4" w:space="0" w:color="auto"/>
            </w:tcBorders>
            <w:vAlign w:val="bottom"/>
          </w:tcPr>
          <w:p w:rsidR="00B56E9C" w:rsidRPr="00ED1569" w:rsidRDefault="00B56E9C" w:rsidP="00B6553F">
            <w:pPr>
              <w:spacing w:after="80" w:line="300" w:lineRule="exact"/>
              <w:rPr>
                <w:b/>
                <w:sz w:val="24"/>
                <w:szCs w:val="24"/>
              </w:rPr>
            </w:pPr>
            <w:r w:rsidRPr="00ED1569">
              <w:rPr>
                <w:sz w:val="28"/>
                <w:szCs w:val="28"/>
              </w:rPr>
              <w:t>United Nations</w:t>
            </w:r>
          </w:p>
        </w:tc>
        <w:tc>
          <w:tcPr>
            <w:tcW w:w="6095" w:type="dxa"/>
            <w:gridSpan w:val="2"/>
            <w:tcBorders>
              <w:bottom w:val="single" w:sz="4" w:space="0" w:color="auto"/>
            </w:tcBorders>
            <w:vAlign w:val="bottom"/>
          </w:tcPr>
          <w:p w:rsidR="00B56E9C" w:rsidRPr="00ED1569" w:rsidRDefault="00CA0F65" w:rsidP="003A1395">
            <w:pPr>
              <w:jc w:val="right"/>
            </w:pPr>
            <w:r w:rsidRPr="00ED1569">
              <w:rPr>
                <w:sz w:val="40"/>
              </w:rPr>
              <w:t>CCPR</w:t>
            </w:r>
            <w:r w:rsidRPr="00ED1569">
              <w:t>/C/110/D/2177/2012</w:t>
            </w:r>
          </w:p>
        </w:tc>
      </w:tr>
      <w:tr w:rsidR="00B56E9C" w:rsidRPr="00ED1569" w:rsidTr="00B6553F">
        <w:trPr>
          <w:cantSplit/>
          <w:trHeight w:hRule="exact" w:val="2835"/>
        </w:trPr>
        <w:tc>
          <w:tcPr>
            <w:tcW w:w="1276" w:type="dxa"/>
            <w:tcBorders>
              <w:top w:val="single" w:sz="4" w:space="0" w:color="auto"/>
              <w:bottom w:val="single" w:sz="12" w:space="0" w:color="auto"/>
            </w:tcBorders>
          </w:tcPr>
          <w:p w:rsidR="00B56E9C" w:rsidRPr="00ED1569" w:rsidRDefault="008E03A0"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Pr="00ED1569" w:rsidRDefault="00B56E9C" w:rsidP="00267F5F">
            <w:pPr>
              <w:spacing w:before="120" w:line="380" w:lineRule="exact"/>
              <w:rPr>
                <w:sz w:val="34"/>
              </w:rPr>
            </w:pPr>
            <w:r w:rsidRPr="00ED1569">
              <w:rPr>
                <w:b/>
                <w:sz w:val="34"/>
                <w:szCs w:val="40"/>
              </w:rPr>
              <w:t xml:space="preserve">International </w:t>
            </w:r>
            <w:r w:rsidR="00060C3A" w:rsidRPr="00ED1569">
              <w:rPr>
                <w:b/>
                <w:sz w:val="34"/>
                <w:szCs w:val="40"/>
              </w:rPr>
              <w:t>Covenant on</w:t>
            </w:r>
            <w:r w:rsidR="00060C3A" w:rsidRPr="00ED1569">
              <w:rPr>
                <w:b/>
                <w:sz w:val="34"/>
                <w:szCs w:val="40"/>
              </w:rPr>
              <w:br/>
              <w:t>Civil and Political R</w:t>
            </w:r>
            <w:r w:rsidR="00703577" w:rsidRPr="00ED1569">
              <w:rPr>
                <w:b/>
                <w:sz w:val="34"/>
                <w:szCs w:val="40"/>
              </w:rPr>
              <w:t>ights</w:t>
            </w:r>
          </w:p>
        </w:tc>
        <w:tc>
          <w:tcPr>
            <w:tcW w:w="2835" w:type="dxa"/>
            <w:tcBorders>
              <w:top w:val="single" w:sz="4" w:space="0" w:color="auto"/>
              <w:bottom w:val="single" w:sz="12" w:space="0" w:color="auto"/>
            </w:tcBorders>
          </w:tcPr>
          <w:p w:rsidR="00B56E9C" w:rsidRPr="00ED1569" w:rsidRDefault="00CA0F65" w:rsidP="00CA0F65">
            <w:pPr>
              <w:spacing w:before="240" w:line="240" w:lineRule="exact"/>
            </w:pPr>
            <w:r w:rsidRPr="00ED1569">
              <w:t xml:space="preserve">Distr.: </w:t>
            </w:r>
            <w:r w:rsidR="003A1395" w:rsidRPr="00ED1569">
              <w:t>General</w:t>
            </w:r>
          </w:p>
          <w:p w:rsidR="00CA0F65" w:rsidRPr="00ED1569" w:rsidRDefault="00145CF0" w:rsidP="00FC6C73">
            <w:pPr>
              <w:spacing w:line="240" w:lineRule="exact"/>
            </w:pPr>
            <w:r>
              <w:t>6</w:t>
            </w:r>
            <w:r w:rsidR="00B7086B">
              <w:t xml:space="preserve"> May</w:t>
            </w:r>
            <w:r w:rsidR="00CA0F65" w:rsidRPr="00ED1569">
              <w:t xml:space="preserve"> 2014</w:t>
            </w:r>
          </w:p>
          <w:p w:rsidR="00CA0F65" w:rsidRPr="00ED1569" w:rsidRDefault="00CA0F65" w:rsidP="00CA0F65">
            <w:pPr>
              <w:spacing w:line="240" w:lineRule="exact"/>
            </w:pPr>
          </w:p>
          <w:p w:rsidR="003A1395" w:rsidRPr="00FB5F7E" w:rsidRDefault="00CA0F65" w:rsidP="00CA0F65">
            <w:pPr>
              <w:spacing w:line="240" w:lineRule="exact"/>
            </w:pPr>
            <w:r w:rsidRPr="00ED1569">
              <w:t>Original: English</w:t>
            </w:r>
          </w:p>
        </w:tc>
      </w:tr>
    </w:tbl>
    <w:p w:rsidR="00CA0F65" w:rsidRPr="00ED1569" w:rsidRDefault="00CA0F65" w:rsidP="00CA0F65">
      <w:pPr>
        <w:spacing w:before="120"/>
        <w:rPr>
          <w:b/>
          <w:sz w:val="24"/>
          <w:szCs w:val="24"/>
        </w:rPr>
      </w:pPr>
      <w:r w:rsidRPr="00ED1569">
        <w:rPr>
          <w:b/>
          <w:sz w:val="24"/>
          <w:szCs w:val="24"/>
          <w:lang w:val="en-US"/>
        </w:rPr>
        <w:t>Human Rights Committee</w:t>
      </w:r>
      <w:r w:rsidR="008E03A0">
        <w:rPr>
          <w:b/>
          <w:noProof/>
          <w:sz w:val="24"/>
          <w:szCs w:val="24"/>
          <w:lang w:val="en-US"/>
        </w:rPr>
        <w:pict>
          <v:shape id="_x0000_s1026" type="#_x0000_t75" style="position:absolute;margin-left:432.55pt;margin-top:623.6pt;width:50.25pt;height:50.25pt;z-index:1;mso-position-horizontal-relative:margin;mso-position-vertical-relative:margin" o:allowoverlap="f">
            <v:imagedata r:id="rId8" o:title="2012&amp;Size=2 &amp;Lang=E"/>
            <w10:wrap anchorx="margin" anchory="margin"/>
          </v:shape>
        </w:pict>
      </w:r>
    </w:p>
    <w:p w:rsidR="00CA0F65" w:rsidRPr="00ED1569" w:rsidRDefault="00CA0F65" w:rsidP="00CA0F65">
      <w:pPr>
        <w:pStyle w:val="HChG"/>
      </w:pPr>
      <w:r w:rsidRPr="00ED1569">
        <w:tab/>
      </w:r>
      <w:r w:rsidRPr="00ED1569">
        <w:tab/>
        <w:t>Communication No. 2177/2012</w:t>
      </w:r>
    </w:p>
    <w:p w:rsidR="00CA0F65" w:rsidRPr="00ED1569" w:rsidRDefault="00CA0F65" w:rsidP="004A6B2D">
      <w:pPr>
        <w:pStyle w:val="H1G"/>
        <w:rPr>
          <w:i/>
        </w:rPr>
      </w:pPr>
      <w:r w:rsidRPr="00ED1569">
        <w:tab/>
      </w:r>
      <w:r w:rsidRPr="00ED1569">
        <w:tab/>
      </w:r>
      <w:r w:rsidR="003A1395" w:rsidRPr="00ED1569">
        <w:t xml:space="preserve">Views adopted by the Committee at its 110th session </w:t>
      </w:r>
      <w:r w:rsidR="003A1395" w:rsidRPr="00ED1569">
        <w:br/>
        <w:t>(10</w:t>
      </w:r>
      <w:r w:rsidR="004A6B2D" w:rsidRPr="00ED1569">
        <w:t>–</w:t>
      </w:r>
      <w:r w:rsidR="003A1395" w:rsidRPr="00ED1569">
        <w:t>28 March 2014)</w:t>
      </w:r>
    </w:p>
    <w:p w:rsidR="00CA0F65" w:rsidRPr="00ED1569" w:rsidRDefault="00CA0F65" w:rsidP="00CA0F65">
      <w:pPr>
        <w:pStyle w:val="SingleTxtG"/>
        <w:ind w:left="4536" w:hanging="3402"/>
        <w:rPr>
          <w:i/>
        </w:rPr>
      </w:pPr>
      <w:r w:rsidRPr="00ED1569">
        <w:rPr>
          <w:i/>
        </w:rPr>
        <w:t>Submitted by:</w:t>
      </w:r>
      <w:r w:rsidRPr="00ED1569">
        <w:tab/>
        <w:t xml:space="preserve">Dexter Eddie Johnson (represented by </w:t>
      </w:r>
      <w:r w:rsidR="00DA0DA2" w:rsidRPr="00ED1569">
        <w:t xml:space="preserve">The </w:t>
      </w:r>
      <w:r w:rsidRPr="00ED1569">
        <w:t>Death Penalty Project)</w:t>
      </w:r>
    </w:p>
    <w:p w:rsidR="00CA0F65" w:rsidRPr="00ED1569" w:rsidRDefault="00CA0F65" w:rsidP="00CA0F65">
      <w:pPr>
        <w:pStyle w:val="SingleTxtG"/>
        <w:ind w:left="4536" w:hanging="3402"/>
        <w:rPr>
          <w:i/>
        </w:rPr>
      </w:pPr>
      <w:r w:rsidRPr="00ED1569">
        <w:rPr>
          <w:i/>
        </w:rPr>
        <w:t>Alleged victim:</w:t>
      </w:r>
      <w:r w:rsidRPr="00ED1569">
        <w:tab/>
        <w:t>The author</w:t>
      </w:r>
    </w:p>
    <w:p w:rsidR="00CA0F65" w:rsidRPr="00ED1569" w:rsidRDefault="00CA0F65" w:rsidP="00CA0F65">
      <w:pPr>
        <w:pStyle w:val="SingleTxtG"/>
        <w:ind w:left="4536" w:hanging="3402"/>
        <w:rPr>
          <w:i/>
        </w:rPr>
      </w:pPr>
      <w:r w:rsidRPr="00ED1569">
        <w:rPr>
          <w:i/>
        </w:rPr>
        <w:t>State party:</w:t>
      </w:r>
      <w:r w:rsidRPr="00ED1569">
        <w:tab/>
      </w:r>
      <w:smartTag w:uri="urn:schemas-microsoft-com:office:smarttags" w:element="place">
        <w:smartTag w:uri="urn:schemas-microsoft-com:office:smarttags" w:element="country-region">
          <w:r w:rsidRPr="00ED1569">
            <w:t>Ghana</w:t>
          </w:r>
        </w:smartTag>
      </w:smartTag>
    </w:p>
    <w:p w:rsidR="00CA0F65" w:rsidRPr="00ED1569" w:rsidRDefault="00CA0F65" w:rsidP="00CA0F65">
      <w:pPr>
        <w:pStyle w:val="SingleTxtG"/>
        <w:ind w:left="4536" w:hanging="3402"/>
        <w:rPr>
          <w:i/>
        </w:rPr>
      </w:pPr>
      <w:r w:rsidRPr="00ED1569">
        <w:rPr>
          <w:i/>
        </w:rPr>
        <w:t>Date of communication:</w:t>
      </w:r>
      <w:r w:rsidRPr="00ED1569">
        <w:tab/>
        <w:t>18 July 2012 (initial submission)</w:t>
      </w:r>
    </w:p>
    <w:p w:rsidR="00CA0F65" w:rsidRPr="00ED1569" w:rsidRDefault="00CA0F65" w:rsidP="00CA0F65">
      <w:pPr>
        <w:pStyle w:val="SingleTxtG"/>
        <w:ind w:left="4536" w:hanging="3402"/>
        <w:rPr>
          <w:i/>
        </w:rPr>
      </w:pPr>
      <w:r w:rsidRPr="00ED1569">
        <w:rPr>
          <w:i/>
        </w:rPr>
        <w:t>Document references:</w:t>
      </w:r>
      <w:r w:rsidRPr="00ED1569">
        <w:tab/>
        <w:t xml:space="preserve">Special Rapporteur’s rule 92 and 97 decision, transmitted to the State party on 19 July 2012 </w:t>
      </w:r>
      <w:r w:rsidR="00C66E92" w:rsidRPr="00ED1569">
        <w:t>(not issued in document form)</w:t>
      </w:r>
    </w:p>
    <w:p w:rsidR="00CA0F65" w:rsidRPr="00ED1569" w:rsidRDefault="00CA0F65" w:rsidP="00CA0F65">
      <w:pPr>
        <w:pStyle w:val="SingleTxtG"/>
        <w:ind w:left="4536" w:hanging="3402"/>
      </w:pPr>
      <w:r w:rsidRPr="00ED1569">
        <w:rPr>
          <w:i/>
        </w:rPr>
        <w:t>Date of adoption of Views:</w:t>
      </w:r>
      <w:r w:rsidRPr="00ED1569">
        <w:tab/>
      </w:r>
      <w:r w:rsidR="003A1395" w:rsidRPr="00ED1569">
        <w:t xml:space="preserve">27 </w:t>
      </w:r>
      <w:r w:rsidRPr="00ED1569">
        <w:t>March 2014</w:t>
      </w:r>
    </w:p>
    <w:p w:rsidR="00CA0F65" w:rsidRPr="00ED1569" w:rsidRDefault="00C66E92" w:rsidP="00CA0F65">
      <w:pPr>
        <w:pStyle w:val="SingleTxtG"/>
        <w:ind w:left="4536" w:hanging="3402"/>
        <w:rPr>
          <w:i/>
        </w:rPr>
      </w:pPr>
      <w:r w:rsidRPr="00ED1569">
        <w:rPr>
          <w:i/>
        </w:rPr>
        <w:t>Subject matter:</w:t>
      </w:r>
      <w:r w:rsidR="002E77D2" w:rsidRPr="00ED1569">
        <w:rPr>
          <w:i/>
        </w:rPr>
        <w:tab/>
      </w:r>
      <w:r w:rsidR="002E77D2" w:rsidRPr="00ED1569">
        <w:t>Mandatory</w:t>
      </w:r>
      <w:r w:rsidR="002E77D2" w:rsidRPr="00ED1569">
        <w:rPr>
          <w:i/>
        </w:rPr>
        <w:t xml:space="preserve"> </w:t>
      </w:r>
      <w:r w:rsidR="00D42E2D" w:rsidRPr="00ED1569">
        <w:t>d</w:t>
      </w:r>
      <w:r w:rsidR="002E77D2" w:rsidRPr="00ED1569">
        <w:t xml:space="preserve">eath </w:t>
      </w:r>
      <w:r w:rsidR="00D42E2D" w:rsidRPr="00ED1569">
        <w:t>p</w:t>
      </w:r>
      <w:r w:rsidR="002E77D2" w:rsidRPr="00ED1569">
        <w:t>enalty</w:t>
      </w:r>
    </w:p>
    <w:p w:rsidR="00CA0F65" w:rsidRPr="00ED1569" w:rsidRDefault="00CA0F65" w:rsidP="00CA0F65">
      <w:pPr>
        <w:pStyle w:val="SingleTxtG"/>
        <w:ind w:left="4536" w:hanging="3402"/>
        <w:rPr>
          <w:i/>
        </w:rPr>
      </w:pPr>
      <w:r w:rsidRPr="00ED1569">
        <w:rPr>
          <w:i/>
        </w:rPr>
        <w:t>Substantive issues:</w:t>
      </w:r>
      <w:r w:rsidRPr="00ED1569">
        <w:rPr>
          <w:i/>
        </w:rPr>
        <w:tab/>
      </w:r>
      <w:r w:rsidRPr="00ED1569">
        <w:t>Right to life, prohibition of inhuman or degrading treatment or punishment, right to fair trial</w:t>
      </w:r>
    </w:p>
    <w:p w:rsidR="00CA0F65" w:rsidRPr="00ED1569" w:rsidRDefault="00CA0F65" w:rsidP="00CA0F65">
      <w:pPr>
        <w:pStyle w:val="SingleTxtG"/>
        <w:ind w:left="4536" w:hanging="3402"/>
        <w:rPr>
          <w:i/>
        </w:rPr>
      </w:pPr>
      <w:r w:rsidRPr="00ED1569">
        <w:rPr>
          <w:i/>
        </w:rPr>
        <w:t>Procedural issue:</w:t>
      </w:r>
      <w:r w:rsidRPr="00ED1569">
        <w:rPr>
          <w:i/>
        </w:rPr>
        <w:tab/>
      </w:r>
      <w:r w:rsidRPr="00ED1569">
        <w:t>None</w:t>
      </w:r>
      <w:r w:rsidRPr="00ED1569">
        <w:rPr>
          <w:i/>
        </w:rPr>
        <w:t xml:space="preserve"> </w:t>
      </w:r>
    </w:p>
    <w:p w:rsidR="00CA0F65" w:rsidRPr="00ED1569" w:rsidRDefault="00CA0F65" w:rsidP="00CA0F65">
      <w:pPr>
        <w:pStyle w:val="SingleTxtG"/>
        <w:ind w:left="4536" w:hanging="3402"/>
        <w:rPr>
          <w:i/>
        </w:rPr>
      </w:pPr>
      <w:r w:rsidRPr="00ED1569">
        <w:rPr>
          <w:i/>
        </w:rPr>
        <w:t>Articles of the Covenant:</w:t>
      </w:r>
      <w:r w:rsidRPr="00ED1569">
        <w:t xml:space="preserve"> </w:t>
      </w:r>
      <w:r w:rsidRPr="00ED1569">
        <w:tab/>
        <w:t>6, para</w:t>
      </w:r>
      <w:r w:rsidR="00522A11" w:rsidRPr="00ED1569">
        <w:t>.</w:t>
      </w:r>
      <w:r w:rsidRPr="00ED1569">
        <w:t xml:space="preserve"> 1; 7; and 14, paras</w:t>
      </w:r>
      <w:r w:rsidR="004A6B2D" w:rsidRPr="00ED1569">
        <w:t>.</w:t>
      </w:r>
      <w:r w:rsidRPr="00ED1569">
        <w:t xml:space="preserve"> 1 and 5</w:t>
      </w:r>
    </w:p>
    <w:p w:rsidR="00CA0F65" w:rsidRPr="00ED1569" w:rsidRDefault="00CA0F65" w:rsidP="00CA0F65">
      <w:pPr>
        <w:pStyle w:val="SingleTxtG"/>
        <w:ind w:left="4536" w:hanging="3402"/>
      </w:pPr>
      <w:r w:rsidRPr="00ED1569">
        <w:rPr>
          <w:i/>
        </w:rPr>
        <w:t xml:space="preserve">Article of the Optional Protocol: </w:t>
      </w:r>
      <w:r w:rsidRPr="00ED1569">
        <w:rPr>
          <w:i/>
        </w:rPr>
        <w:tab/>
      </w:r>
      <w:r w:rsidRPr="00ED1569">
        <w:t>2</w:t>
      </w:r>
    </w:p>
    <w:p w:rsidR="00CA0F65" w:rsidRPr="00ED1569" w:rsidRDefault="00CA0F65" w:rsidP="00CA0F65">
      <w:pPr>
        <w:pStyle w:val="HChG"/>
      </w:pPr>
      <w:r w:rsidRPr="00ED1569">
        <w:br w:type="page"/>
      </w:r>
      <w:r w:rsidRPr="00ED1569">
        <w:lastRenderedPageBreak/>
        <w:t>Annex</w:t>
      </w:r>
    </w:p>
    <w:p w:rsidR="00CA0F65" w:rsidRPr="00ED1569" w:rsidRDefault="00CA0F65" w:rsidP="00CA0F65">
      <w:pPr>
        <w:pStyle w:val="HChG"/>
      </w:pPr>
      <w:r w:rsidRPr="00ED1569">
        <w:tab/>
      </w:r>
      <w:r w:rsidRPr="00ED1569">
        <w:tab/>
        <w:t>Views of the Human Rights Committee under article 5, paragraph 4</w:t>
      </w:r>
      <w:r w:rsidR="00D42E2D" w:rsidRPr="00ED1569">
        <w:t>,</w:t>
      </w:r>
      <w:r w:rsidRPr="00ED1569">
        <w:t xml:space="preserve"> of the Optional Protocol to the International Covenant on Civil and Political Rights (110th session)</w:t>
      </w:r>
    </w:p>
    <w:p w:rsidR="00CA0F65" w:rsidRPr="00ED1569" w:rsidRDefault="00CA0F65" w:rsidP="00CA0F65">
      <w:pPr>
        <w:pStyle w:val="SingleTxtG"/>
      </w:pPr>
      <w:r w:rsidRPr="00ED1569">
        <w:t>concerning</w:t>
      </w:r>
    </w:p>
    <w:p w:rsidR="00CA0F65" w:rsidRPr="00ED1569" w:rsidRDefault="00CA0F65" w:rsidP="00CA0F65">
      <w:pPr>
        <w:pStyle w:val="H1G"/>
        <w:rPr>
          <w:i/>
        </w:rPr>
      </w:pPr>
      <w:r w:rsidRPr="00ED1569">
        <w:tab/>
      </w:r>
      <w:r w:rsidRPr="00ED1569">
        <w:tab/>
        <w:t>Communication No. 2177/2012</w:t>
      </w:r>
      <w:r w:rsidR="003A1395" w:rsidRPr="00ED1569">
        <w:rPr>
          <w:rStyle w:val="FootnoteReference"/>
          <w:b w:val="0"/>
          <w:bCs/>
          <w:sz w:val="20"/>
          <w:vertAlign w:val="baseline"/>
        </w:rPr>
        <w:footnoteReference w:customMarkFollows="1" w:id="2"/>
        <w:t>*</w:t>
      </w:r>
    </w:p>
    <w:p w:rsidR="00CA0F65" w:rsidRPr="00ED1569" w:rsidRDefault="00CA0F65" w:rsidP="00CA0F65">
      <w:pPr>
        <w:pStyle w:val="SingleTxtG"/>
        <w:ind w:left="4536" w:hanging="3402"/>
        <w:rPr>
          <w:i/>
        </w:rPr>
      </w:pPr>
      <w:r w:rsidRPr="00ED1569">
        <w:rPr>
          <w:i/>
        </w:rPr>
        <w:t>Submitted by:</w:t>
      </w:r>
      <w:r w:rsidRPr="00ED1569">
        <w:tab/>
        <w:t>Dexter Eddie Johnson (represented by Death Penalty Project)</w:t>
      </w:r>
    </w:p>
    <w:p w:rsidR="00CA0F65" w:rsidRPr="00ED1569" w:rsidRDefault="00CA0F65" w:rsidP="00CA0F65">
      <w:pPr>
        <w:pStyle w:val="SingleTxtG"/>
        <w:ind w:left="4536" w:hanging="3402"/>
        <w:rPr>
          <w:i/>
        </w:rPr>
      </w:pPr>
      <w:r w:rsidRPr="00ED1569">
        <w:rPr>
          <w:i/>
        </w:rPr>
        <w:t>Alleged victim:</w:t>
      </w:r>
      <w:r w:rsidRPr="00ED1569">
        <w:tab/>
        <w:t>The author</w:t>
      </w:r>
    </w:p>
    <w:p w:rsidR="00CA0F65" w:rsidRPr="00ED1569" w:rsidRDefault="00CA0F65" w:rsidP="00CA0F65">
      <w:pPr>
        <w:pStyle w:val="SingleTxtG"/>
        <w:ind w:left="4536" w:hanging="3402"/>
        <w:rPr>
          <w:i/>
        </w:rPr>
      </w:pPr>
      <w:r w:rsidRPr="00ED1569">
        <w:rPr>
          <w:i/>
        </w:rPr>
        <w:t>State party:</w:t>
      </w:r>
      <w:r w:rsidRPr="00ED1569">
        <w:tab/>
      </w:r>
      <w:smartTag w:uri="urn:schemas-microsoft-com:office:smarttags" w:element="place">
        <w:smartTag w:uri="urn:schemas-microsoft-com:office:smarttags" w:element="country-region">
          <w:r w:rsidRPr="00ED1569">
            <w:t>Ghana</w:t>
          </w:r>
        </w:smartTag>
      </w:smartTag>
    </w:p>
    <w:p w:rsidR="00CA0F65" w:rsidRPr="00ED1569" w:rsidRDefault="00CA0F65" w:rsidP="00CA0F65">
      <w:pPr>
        <w:pStyle w:val="SingleTxtG"/>
        <w:ind w:left="4536" w:hanging="3402"/>
        <w:rPr>
          <w:i/>
        </w:rPr>
      </w:pPr>
      <w:r w:rsidRPr="00ED1569">
        <w:rPr>
          <w:i/>
        </w:rPr>
        <w:t>Date of communication:</w:t>
      </w:r>
      <w:r w:rsidRPr="00ED1569">
        <w:tab/>
        <w:t>18 July 2012 (initial submission)</w:t>
      </w:r>
    </w:p>
    <w:p w:rsidR="00CA0F65" w:rsidRPr="00ED1569" w:rsidRDefault="00CA0F65" w:rsidP="00CA0F65">
      <w:pPr>
        <w:pStyle w:val="SingleTxtG"/>
      </w:pPr>
      <w:r w:rsidRPr="00ED1569">
        <w:rPr>
          <w:i/>
        </w:rPr>
        <w:tab/>
        <w:t>The Human Rights Committee</w:t>
      </w:r>
      <w:r w:rsidRPr="00ED1569">
        <w:t>, established under article 28 of the International Covenant on Civil and Political Rights,</w:t>
      </w:r>
    </w:p>
    <w:p w:rsidR="00CA0F65" w:rsidRPr="00ED1569" w:rsidRDefault="00CA0F65" w:rsidP="00CA0F65">
      <w:pPr>
        <w:pStyle w:val="SingleTxtG"/>
      </w:pPr>
      <w:r w:rsidRPr="00ED1569">
        <w:tab/>
      </w:r>
      <w:r w:rsidRPr="00ED1569">
        <w:rPr>
          <w:i/>
        </w:rPr>
        <w:t>Meeting on</w:t>
      </w:r>
      <w:r w:rsidRPr="00ED1569">
        <w:t xml:space="preserve"> </w:t>
      </w:r>
      <w:r w:rsidR="003A1395" w:rsidRPr="00ED1569">
        <w:t>27</w:t>
      </w:r>
      <w:r w:rsidRPr="00ED1569">
        <w:t xml:space="preserve"> March 2014,</w:t>
      </w:r>
    </w:p>
    <w:p w:rsidR="00CA0F65" w:rsidRPr="00ED1569" w:rsidRDefault="00CA0F65" w:rsidP="00CA0F65">
      <w:pPr>
        <w:pStyle w:val="SingleTxtG"/>
      </w:pPr>
      <w:r w:rsidRPr="00ED1569">
        <w:tab/>
      </w:r>
      <w:r w:rsidRPr="00ED1569">
        <w:rPr>
          <w:i/>
        </w:rPr>
        <w:t>Having concluded</w:t>
      </w:r>
      <w:r w:rsidRPr="00ED1569">
        <w:t xml:space="preserve"> its consideration of communication No. 2177/2012, submitted to the Human Rights Committee on behalf of Dexter Eddie Johnson under the Optional Protocol to the International Covenant on Civil and Political Rights,</w:t>
      </w:r>
    </w:p>
    <w:p w:rsidR="00CA0F65" w:rsidRPr="00ED1569" w:rsidRDefault="00CA0F65" w:rsidP="00CA0F65">
      <w:pPr>
        <w:pStyle w:val="SingleTxtG"/>
      </w:pPr>
      <w:r w:rsidRPr="00ED1569">
        <w:tab/>
      </w:r>
      <w:r w:rsidRPr="00ED1569">
        <w:rPr>
          <w:i/>
        </w:rPr>
        <w:t>Having taken into account</w:t>
      </w:r>
      <w:r w:rsidRPr="00ED1569">
        <w:t xml:space="preserve"> all written information made available to it by the author of the communication and the State party,</w:t>
      </w:r>
    </w:p>
    <w:p w:rsidR="00CA0F65" w:rsidRPr="00ED1569" w:rsidRDefault="00CA0F65" w:rsidP="00CA0F65">
      <w:pPr>
        <w:pStyle w:val="SingleTxtG"/>
      </w:pPr>
      <w:r w:rsidRPr="00ED1569">
        <w:tab/>
      </w:r>
      <w:r w:rsidRPr="00ED1569">
        <w:rPr>
          <w:i/>
        </w:rPr>
        <w:t>Adopts the following</w:t>
      </w:r>
      <w:r w:rsidRPr="00ED1569">
        <w:t>:</w:t>
      </w:r>
    </w:p>
    <w:p w:rsidR="00CA0F65" w:rsidRPr="00ED1569" w:rsidRDefault="00CA0F65" w:rsidP="00CA0F65">
      <w:pPr>
        <w:pStyle w:val="H1G"/>
      </w:pPr>
      <w:r w:rsidRPr="00ED1569">
        <w:tab/>
      </w:r>
      <w:r w:rsidRPr="00ED1569">
        <w:tab/>
        <w:t>Views pursuant to article 5, paragraph 4</w:t>
      </w:r>
      <w:r w:rsidR="00953089" w:rsidRPr="00ED1569">
        <w:t>,</w:t>
      </w:r>
      <w:r w:rsidRPr="00ED1569">
        <w:t xml:space="preserve"> of the Optional Protocol </w:t>
      </w:r>
    </w:p>
    <w:p w:rsidR="00CA0F65" w:rsidRPr="00ED1569" w:rsidRDefault="00611A44" w:rsidP="00DA0DA2">
      <w:pPr>
        <w:pStyle w:val="SingleTxtG"/>
      </w:pPr>
      <w:r w:rsidRPr="00ED1569">
        <w:t>1.1</w:t>
      </w:r>
      <w:r w:rsidR="00CA0F65" w:rsidRPr="00ED1569">
        <w:tab/>
        <w:t xml:space="preserve">The author of the communication is Dexter Eddie Johnson, a national of </w:t>
      </w:r>
      <w:smartTag w:uri="urn:schemas-microsoft-com:office:smarttags" w:element="country-region">
        <w:r w:rsidR="00CA0F65" w:rsidRPr="00ED1569">
          <w:t>Ghana</w:t>
        </w:r>
      </w:smartTag>
      <w:r w:rsidR="00CA0F65" w:rsidRPr="00ED1569">
        <w:t xml:space="preserve"> and the </w:t>
      </w:r>
      <w:smartTag w:uri="urn:schemas-microsoft-com:office:smarttags" w:element="place">
        <w:smartTag w:uri="urn:schemas-microsoft-com:office:smarttags" w:element="country-region">
          <w:r w:rsidR="00CA0F65" w:rsidRPr="00ED1569">
            <w:t>United Kingdom</w:t>
          </w:r>
        </w:smartTag>
      </w:smartTag>
      <w:r w:rsidR="00CA0F65" w:rsidRPr="00ED1569">
        <w:t xml:space="preserve"> born in 1967. He </w:t>
      </w:r>
      <w:r w:rsidR="00D42E2D" w:rsidRPr="00ED1569">
        <w:t xml:space="preserve">has been </w:t>
      </w:r>
      <w:r w:rsidR="00CA0F65" w:rsidRPr="00ED1569">
        <w:t xml:space="preserve">sentenced to </w:t>
      </w:r>
      <w:r w:rsidR="00D42E2D" w:rsidRPr="00ED1569">
        <w:t xml:space="preserve">the </w:t>
      </w:r>
      <w:r w:rsidR="00CA0F65" w:rsidRPr="00ED1569">
        <w:t>death penalty and claims that if Ghana</w:t>
      </w:r>
      <w:r w:rsidR="00CA0F65" w:rsidRPr="00ED1569">
        <w:rPr>
          <w:rStyle w:val="FootnoteReference"/>
        </w:rPr>
        <w:footnoteReference w:id="3"/>
      </w:r>
      <w:r w:rsidR="00CA0F65" w:rsidRPr="00ED1569">
        <w:t xml:space="preserve"> proceeded with the execution, it would violate his rights under articles 2, para</w:t>
      </w:r>
      <w:r w:rsidR="00207FE1" w:rsidRPr="00ED1569">
        <w:t>graph</w:t>
      </w:r>
      <w:r w:rsidR="00CA0F65" w:rsidRPr="00ED1569">
        <w:t xml:space="preserve"> 3; 6, para</w:t>
      </w:r>
      <w:r w:rsidR="00207FE1" w:rsidRPr="00ED1569">
        <w:t>graph</w:t>
      </w:r>
      <w:r w:rsidR="00CA0F65" w:rsidRPr="00ED1569">
        <w:t xml:space="preserve"> 1; 7; and 14, para</w:t>
      </w:r>
      <w:r w:rsidR="00207FE1" w:rsidRPr="00ED1569">
        <w:t>graph</w:t>
      </w:r>
      <w:r w:rsidR="00CA0F65" w:rsidRPr="00ED1569">
        <w:t>s 1 and 5, of the International Covenant on Civil and Political Rights. He is represented by The Death Penalty Project.</w:t>
      </w:r>
    </w:p>
    <w:p w:rsidR="00CA0F65" w:rsidRPr="00ED1569" w:rsidRDefault="009F73D3" w:rsidP="00AE756B">
      <w:pPr>
        <w:pStyle w:val="SingleTxtG"/>
      </w:pPr>
      <w:r w:rsidRPr="00ED1569">
        <w:t>1.2</w:t>
      </w:r>
      <w:r w:rsidR="00CA0F65" w:rsidRPr="00ED1569">
        <w:tab/>
        <w:t>On 19 July 2012, pursu</w:t>
      </w:r>
      <w:r w:rsidR="00177664" w:rsidRPr="00ED1569">
        <w:t>ant to rule 92 of the Committee’</w:t>
      </w:r>
      <w:r w:rsidR="00CA0F65" w:rsidRPr="00ED1569">
        <w:t xml:space="preserve">s rules of procedure, the Committee, acting through its Special Rapporteur on </w:t>
      </w:r>
      <w:r w:rsidR="00B1799F" w:rsidRPr="00ED1569">
        <w:t>n</w:t>
      </w:r>
      <w:r w:rsidR="00CA0F65" w:rsidRPr="00ED1569">
        <w:t xml:space="preserve">ew </w:t>
      </w:r>
      <w:r w:rsidR="00AE756B" w:rsidRPr="00ED1569">
        <w:t>c</w:t>
      </w:r>
      <w:r w:rsidR="00CA0F65" w:rsidRPr="00ED1569">
        <w:t xml:space="preserve">ommunications and </w:t>
      </w:r>
      <w:r w:rsidR="00B1799F" w:rsidRPr="00ED1569">
        <w:t>i</w:t>
      </w:r>
      <w:r w:rsidR="00CA0F65" w:rsidRPr="00ED1569">
        <w:t xml:space="preserve">nterim </w:t>
      </w:r>
      <w:r w:rsidR="00AE756B" w:rsidRPr="00ED1569">
        <w:lastRenderedPageBreak/>
        <w:t>m</w:t>
      </w:r>
      <w:r w:rsidR="00CA0F65" w:rsidRPr="00ED1569">
        <w:t>easures</w:t>
      </w:r>
      <w:r w:rsidR="00953089" w:rsidRPr="00ED1569">
        <w:t>,</w:t>
      </w:r>
      <w:r w:rsidR="00CA0F65" w:rsidRPr="00ED1569">
        <w:t xml:space="preserve"> requested the State party to ensure that the death sentence against Dexter Eddie Johnson was not carried out while the communication was being examined by the Committee.</w:t>
      </w:r>
    </w:p>
    <w:p w:rsidR="00CA0F65" w:rsidRPr="00ED1569" w:rsidRDefault="00CA0F65" w:rsidP="00CA0F65">
      <w:pPr>
        <w:pStyle w:val="H23G"/>
      </w:pPr>
      <w:r w:rsidRPr="00ED1569">
        <w:tab/>
      </w:r>
      <w:r w:rsidRPr="00ED1569">
        <w:tab/>
        <w:t>Facts as submitted by the author</w:t>
      </w:r>
    </w:p>
    <w:p w:rsidR="00CA0F65" w:rsidRPr="00ED1569" w:rsidRDefault="007A7EE6" w:rsidP="00DA15D8">
      <w:pPr>
        <w:pStyle w:val="SingleTxtG"/>
      </w:pPr>
      <w:r w:rsidRPr="00ED1569">
        <w:t>2.1</w:t>
      </w:r>
      <w:r w:rsidR="00CA0F65" w:rsidRPr="00ED1569">
        <w:tab/>
        <w:t xml:space="preserve">On 27 May 2004 an American national was murdered near the </w:t>
      </w:r>
      <w:smartTag w:uri="urn:schemas-microsoft-com:office:smarttags" w:element="PlaceType">
        <w:r w:rsidR="00CA0F65" w:rsidRPr="00ED1569">
          <w:t>village</w:t>
        </w:r>
      </w:smartTag>
      <w:r w:rsidR="00CA0F65" w:rsidRPr="00ED1569">
        <w:t xml:space="preserve"> of </w:t>
      </w:r>
      <w:smartTag w:uri="urn:schemas-microsoft-com:office:smarttags" w:element="PlaceName">
        <w:r w:rsidR="00CA0F65" w:rsidRPr="00ED1569">
          <w:t>Ningo</w:t>
        </w:r>
      </w:smartTag>
      <w:r w:rsidR="00CA0F65" w:rsidRPr="00ED1569">
        <w:t xml:space="preserve"> in the Greater Accra Region in </w:t>
      </w:r>
      <w:smartTag w:uri="urn:schemas-microsoft-com:office:smarttags" w:element="place">
        <w:smartTag w:uri="urn:schemas-microsoft-com:office:smarttags" w:element="country-region">
          <w:r w:rsidR="00CA0F65" w:rsidRPr="00ED1569">
            <w:t>Ghana</w:t>
          </w:r>
        </w:smartTag>
      </w:smartTag>
      <w:r w:rsidR="00CA0F65" w:rsidRPr="00ED1569">
        <w:t xml:space="preserve">. The author was accused of committing the crime and brought to trial. He denied the offence. On 18 June 2008 the Fast Track High Court in </w:t>
      </w:r>
      <w:smartTag w:uri="urn:schemas-microsoft-com:office:smarttags" w:element="place">
        <w:smartTag w:uri="urn:schemas-microsoft-com:office:smarttags" w:element="City">
          <w:r w:rsidR="00CA0F65" w:rsidRPr="00ED1569">
            <w:t>Accra</w:t>
          </w:r>
        </w:smartTag>
      </w:smartTag>
      <w:r w:rsidR="00CA0F65" w:rsidRPr="00ED1569">
        <w:t xml:space="preserve"> convicted the author </w:t>
      </w:r>
      <w:r w:rsidR="00B1799F" w:rsidRPr="00ED1569">
        <w:t xml:space="preserve">of the </w:t>
      </w:r>
      <w:r w:rsidR="00CA0F65" w:rsidRPr="00ED1569">
        <w:t>murder and sentenced him to death</w:t>
      </w:r>
      <w:r w:rsidR="00E529BA" w:rsidRPr="00ED1569">
        <w:t>,</w:t>
      </w:r>
      <w:r w:rsidR="00CA0F65" w:rsidRPr="00ED1569">
        <w:t xml:space="preserve"> the only sentence available for the offence of murder under </w:t>
      </w:r>
      <w:r w:rsidR="00DA15D8" w:rsidRPr="00ED1569">
        <w:t>Ghanaian</w:t>
      </w:r>
      <w:r w:rsidR="00DA15D8" w:rsidRPr="00ED1569" w:rsidDel="00DA15D8">
        <w:t xml:space="preserve"> </w:t>
      </w:r>
      <w:r w:rsidR="00CA0F65" w:rsidRPr="00ED1569">
        <w:t>law.</w:t>
      </w:r>
    </w:p>
    <w:p w:rsidR="00CA0F65" w:rsidRPr="00ED1569" w:rsidRDefault="007A7EE6" w:rsidP="00B54F64">
      <w:pPr>
        <w:pStyle w:val="SingleTxtG"/>
      </w:pPr>
      <w:r w:rsidRPr="00ED1569">
        <w:t>2.2</w:t>
      </w:r>
      <w:r w:rsidR="00CA0F65" w:rsidRPr="00ED1569">
        <w:tab/>
        <w:t>The author submits that</w:t>
      </w:r>
      <w:r w:rsidR="00DA15D8" w:rsidRPr="00ED1569">
        <w:t>,</w:t>
      </w:r>
      <w:r w:rsidR="00CA0F65" w:rsidRPr="00ED1569">
        <w:t xml:space="preserve"> according to Section 46 of </w:t>
      </w:r>
      <w:r w:rsidR="00B95D4B" w:rsidRPr="00ED1569">
        <w:t xml:space="preserve">the </w:t>
      </w:r>
      <w:r w:rsidR="00CA0F65" w:rsidRPr="00ED1569">
        <w:t xml:space="preserve">Criminal </w:t>
      </w:r>
      <w:r w:rsidR="00D9619B" w:rsidRPr="00ED1569">
        <w:t>and Other Offences Act (1960), “</w:t>
      </w:r>
      <w:r w:rsidR="00CA0F65" w:rsidRPr="00ED1569">
        <w:t>a person who commits murder is liable to suffer death</w:t>
      </w:r>
      <w:r w:rsidR="00D9619B" w:rsidRPr="00ED1569">
        <w:rPr>
          <w:bCs/>
        </w:rPr>
        <w:t>”</w:t>
      </w:r>
      <w:r w:rsidR="00CA0F65" w:rsidRPr="00ED1569">
        <w:rPr>
          <w:bCs/>
        </w:rPr>
        <w:t xml:space="preserve">. </w:t>
      </w:r>
      <w:r w:rsidR="00D9619B" w:rsidRPr="00ED1569">
        <w:t>He adds that whereas the term “</w:t>
      </w:r>
      <w:r w:rsidR="00CA0F65" w:rsidRPr="00ED1569">
        <w:t>liable</w:t>
      </w:r>
      <w:r w:rsidR="00D9619B" w:rsidRPr="00ED1569">
        <w:t>”</w:t>
      </w:r>
      <w:r w:rsidR="00CA0F65" w:rsidRPr="00ED1569">
        <w:t xml:space="preserve"> is ambiguous, it was construed in Ghana</w:t>
      </w:r>
      <w:r w:rsidR="00B95D4B" w:rsidRPr="00ED1569">
        <w:t>ian</w:t>
      </w:r>
      <w:r w:rsidR="00CA0F65" w:rsidRPr="00ED1569">
        <w:t xml:space="preserve"> courts that </w:t>
      </w:r>
      <w:r w:rsidR="00E529BA" w:rsidRPr="00ED1569">
        <w:t xml:space="preserve">the </w:t>
      </w:r>
      <w:r w:rsidR="00CA0F65" w:rsidRPr="00ED1569">
        <w:t xml:space="preserve">death penalty </w:t>
      </w:r>
      <w:r w:rsidR="00B95D4B" w:rsidRPr="00ED1569">
        <w:t xml:space="preserve">was </w:t>
      </w:r>
      <w:r w:rsidR="00CA0F65" w:rsidRPr="00ED1569">
        <w:t xml:space="preserve">mandatory in all cases of murder. He further claims that the right to life is </w:t>
      </w:r>
      <w:r w:rsidR="00E529BA" w:rsidRPr="00ED1569">
        <w:t xml:space="preserve">enshrined </w:t>
      </w:r>
      <w:r w:rsidR="00CA0F65" w:rsidRPr="00ED1569">
        <w:t>in article 13</w:t>
      </w:r>
      <w:r w:rsidR="00E529BA" w:rsidRPr="00ED1569">
        <w:t xml:space="preserve">, paragraph </w:t>
      </w:r>
      <w:r w:rsidR="00CA0F65" w:rsidRPr="00ED1569">
        <w:t>1</w:t>
      </w:r>
      <w:r w:rsidR="00E529BA" w:rsidRPr="00ED1569">
        <w:t>,</w:t>
      </w:r>
      <w:r w:rsidR="00CA0F65" w:rsidRPr="00ED1569">
        <w:t xml:space="preserve"> of </w:t>
      </w:r>
      <w:r w:rsidR="00E529BA" w:rsidRPr="00ED1569">
        <w:t xml:space="preserve">the </w:t>
      </w:r>
      <w:r w:rsidR="00CA0F65" w:rsidRPr="00ED1569">
        <w:t xml:space="preserve">Constitution </w:t>
      </w:r>
      <w:r w:rsidR="00E529BA" w:rsidRPr="00ED1569">
        <w:t xml:space="preserve">of Ghana </w:t>
      </w:r>
      <w:r w:rsidR="00CA0F65" w:rsidRPr="00ED1569">
        <w:t>(199</w:t>
      </w:r>
      <w:r w:rsidR="00B54F64" w:rsidRPr="00ED1569">
        <w:t>2</w:t>
      </w:r>
      <w:r w:rsidR="00CA0F65" w:rsidRPr="00ED1569">
        <w:t>), according to which</w:t>
      </w:r>
      <w:r w:rsidR="00CA0F65" w:rsidRPr="00ED1569">
        <w:rPr>
          <w:bCs/>
        </w:rPr>
        <w:t xml:space="preserve"> </w:t>
      </w:r>
      <w:r w:rsidR="00D9619B" w:rsidRPr="00ED1569">
        <w:rPr>
          <w:bCs/>
        </w:rPr>
        <w:t>“</w:t>
      </w:r>
      <w:r w:rsidR="00CA0F65" w:rsidRPr="00ED1569">
        <w:t>no person shall be deprived of his life intentionally except in the exercise of the execution of a sentence of a court in respect of a criminal offence under the laws of Ghana of which he has been convicted</w:t>
      </w:r>
      <w:r w:rsidR="00D9619B" w:rsidRPr="00ED1569">
        <w:t>”</w:t>
      </w:r>
      <w:r w:rsidR="00CA0F65" w:rsidRPr="00ED1569">
        <w:rPr>
          <w:bCs/>
        </w:rPr>
        <w:t xml:space="preserve">. </w:t>
      </w:r>
      <w:r w:rsidR="00CA0F65" w:rsidRPr="00ED1569">
        <w:t xml:space="preserve">The author further submits that the Criminal </w:t>
      </w:r>
      <w:r w:rsidR="008042DA" w:rsidRPr="00ED1569">
        <w:t xml:space="preserve">and Other Offences </w:t>
      </w:r>
      <w:r w:rsidR="00CA0F65" w:rsidRPr="00ED1569">
        <w:t xml:space="preserve">Act must be construed to give effect to the fundamental rights provisions in the Constitution, in particular the right to life. Although the Covenant is not incorporated in </w:t>
      </w:r>
      <w:r w:rsidR="00B95D4B" w:rsidRPr="00ED1569">
        <w:t xml:space="preserve">the </w:t>
      </w:r>
      <w:r w:rsidR="00CA0F65" w:rsidRPr="00ED1569">
        <w:t>domestic law</w:t>
      </w:r>
      <w:r w:rsidR="00B95D4B" w:rsidRPr="00ED1569">
        <w:t xml:space="preserve"> of </w:t>
      </w:r>
      <w:smartTag w:uri="urn:schemas-microsoft-com:office:smarttags" w:element="place">
        <w:smartTag w:uri="urn:schemas-microsoft-com:office:smarttags" w:element="country-region">
          <w:r w:rsidR="00B95D4B" w:rsidRPr="00ED1569">
            <w:t>Ghana</w:t>
          </w:r>
        </w:smartTag>
      </w:smartTag>
      <w:r w:rsidR="00CA0F65" w:rsidRPr="00ED1569">
        <w:t>, it nonetheless provides persuasive guidance to the interpretation of the right to life provision under article</w:t>
      </w:r>
      <w:r w:rsidR="0070329E" w:rsidRPr="00ED1569">
        <w:t> </w:t>
      </w:r>
      <w:r w:rsidR="00CA0F65" w:rsidRPr="00ED1569">
        <w:t>13</w:t>
      </w:r>
      <w:r w:rsidR="00F9764A" w:rsidRPr="00ED1569">
        <w:t xml:space="preserve">, </w:t>
      </w:r>
      <w:r w:rsidR="00E529BA" w:rsidRPr="00ED1569">
        <w:t>paragraph</w:t>
      </w:r>
      <w:r w:rsidR="00F9764A" w:rsidRPr="00ED1569">
        <w:t xml:space="preserve"> </w:t>
      </w:r>
      <w:r w:rsidR="00CA0F65" w:rsidRPr="00ED1569">
        <w:t>1</w:t>
      </w:r>
      <w:r w:rsidR="00B95D4B" w:rsidRPr="00ED1569">
        <w:t>,</w:t>
      </w:r>
      <w:r w:rsidR="00CA0F65" w:rsidRPr="00ED1569">
        <w:t xml:space="preserve"> of </w:t>
      </w:r>
      <w:r w:rsidR="00F9764A" w:rsidRPr="00ED1569">
        <w:t xml:space="preserve">the </w:t>
      </w:r>
      <w:r w:rsidR="00CA0F65" w:rsidRPr="00ED1569">
        <w:t>Constitution.</w:t>
      </w:r>
    </w:p>
    <w:p w:rsidR="00CA0F65" w:rsidRPr="00ED1569" w:rsidRDefault="007A7EE6" w:rsidP="00B54F64">
      <w:pPr>
        <w:pStyle w:val="SingleTxtG"/>
      </w:pPr>
      <w:r w:rsidRPr="00ED1569">
        <w:t>2.3</w:t>
      </w:r>
      <w:r w:rsidR="00CA0F65" w:rsidRPr="00ED1569">
        <w:tab/>
        <w:t xml:space="preserve">The author appealed to the Court of Appeal and challenged the conviction and sentence. He claimed that whilst </w:t>
      </w:r>
      <w:r w:rsidR="00B95D4B" w:rsidRPr="00ED1569">
        <w:t xml:space="preserve">the </w:t>
      </w:r>
      <w:r w:rsidR="00CA0F65" w:rsidRPr="00ED1569">
        <w:t xml:space="preserve">death penalty </w:t>
      </w:r>
      <w:r w:rsidR="00CA0F65" w:rsidRPr="00ED1569">
        <w:rPr>
          <w:iCs/>
        </w:rPr>
        <w:t>per se</w:t>
      </w:r>
      <w:r w:rsidR="00CA0F65" w:rsidRPr="00ED1569">
        <w:t xml:space="preserve"> is authorized </w:t>
      </w:r>
      <w:r w:rsidR="00F9764A" w:rsidRPr="00ED1569">
        <w:t xml:space="preserve">under </w:t>
      </w:r>
      <w:r w:rsidR="00CA0F65" w:rsidRPr="00ED1569">
        <w:t>article 13</w:t>
      </w:r>
      <w:r w:rsidR="00F9764A" w:rsidRPr="00ED1569">
        <w:t xml:space="preserve">, </w:t>
      </w:r>
      <w:r w:rsidR="00E529BA" w:rsidRPr="00ED1569">
        <w:t xml:space="preserve">paragraph </w:t>
      </w:r>
      <w:r w:rsidR="00CA0F65" w:rsidRPr="00ED1569">
        <w:t>1</w:t>
      </w:r>
      <w:r w:rsidR="00F9764A" w:rsidRPr="00ED1569">
        <w:t>,</w:t>
      </w:r>
      <w:r w:rsidR="00CA0F65" w:rsidRPr="00ED1569">
        <w:t xml:space="preserve"> of the Constitution, mandatory death sentence</w:t>
      </w:r>
      <w:r w:rsidR="00F9764A" w:rsidRPr="00ED1569">
        <w:t>,</w:t>
      </w:r>
      <w:r w:rsidR="00CA0F65" w:rsidRPr="00ED1569">
        <w:t xml:space="preserve"> </w:t>
      </w:r>
      <w:r w:rsidR="00B95D4B" w:rsidRPr="00ED1569">
        <w:t xml:space="preserve">on </w:t>
      </w:r>
      <w:r w:rsidR="00CA0F65" w:rsidRPr="00ED1569">
        <w:t xml:space="preserve">which the Constitution is silent, is unconstitutional. The author substantiated his claim by arguing that </w:t>
      </w:r>
      <w:r w:rsidR="00F9764A" w:rsidRPr="00ED1569">
        <w:t xml:space="preserve">the </w:t>
      </w:r>
      <w:r w:rsidR="00CA0F65" w:rsidRPr="00ED1569">
        <w:t xml:space="preserve">mandatory death penalty violated the right not to be subjected to inhuman and degrading treatment or punishment; the right not to be subjected to arbitrary deprivation of life; and the right to a fair trial, all of which rights are protected </w:t>
      </w:r>
      <w:r w:rsidR="00F9764A" w:rsidRPr="00ED1569">
        <w:t xml:space="preserve">under the </w:t>
      </w:r>
      <w:r w:rsidR="00CA0F65" w:rsidRPr="00ED1569">
        <w:t xml:space="preserve">Constitution. On 16 July 2009, the Court of Appeal dismissed the appeal both on the conviction and sentence. The Court of Appeal held, inter alia, that it had no jurisdiction to deliberate on the author’s challenge to the constitutionality of the mandatory death penalty as this issue </w:t>
      </w:r>
      <w:r w:rsidR="00F9764A" w:rsidRPr="00ED1569">
        <w:t xml:space="preserve">had </w:t>
      </w:r>
      <w:r w:rsidR="00CA0F65" w:rsidRPr="00ED1569">
        <w:t xml:space="preserve">not </w:t>
      </w:r>
      <w:r w:rsidR="00F9764A" w:rsidRPr="00ED1569">
        <w:t xml:space="preserve">been </w:t>
      </w:r>
      <w:r w:rsidR="00CA0F65" w:rsidRPr="00ED1569">
        <w:t xml:space="preserve">raised before the lower Court and </w:t>
      </w:r>
      <w:r w:rsidR="00F9764A" w:rsidRPr="00ED1569">
        <w:t xml:space="preserve">was </w:t>
      </w:r>
      <w:r w:rsidR="00CA0F65" w:rsidRPr="00ED1569">
        <w:t>not reflected in the record of proceedings. It further referred to article 13</w:t>
      </w:r>
      <w:r w:rsidR="00F9764A" w:rsidRPr="00ED1569">
        <w:t>,</w:t>
      </w:r>
      <w:r w:rsidR="00E529BA" w:rsidRPr="00ED1569">
        <w:t xml:space="preserve"> paragraph </w:t>
      </w:r>
      <w:r w:rsidR="00CA0F65" w:rsidRPr="00ED1569">
        <w:t>1</w:t>
      </w:r>
      <w:r w:rsidR="00F9764A" w:rsidRPr="00ED1569">
        <w:t>,</w:t>
      </w:r>
      <w:r w:rsidR="00CA0F65" w:rsidRPr="00ED1569">
        <w:t xml:space="preserve"> of the Constitution on the legality of </w:t>
      </w:r>
      <w:r w:rsidR="00D335DC" w:rsidRPr="00ED1569">
        <w:t xml:space="preserve">the </w:t>
      </w:r>
      <w:r w:rsidR="00CA0F65" w:rsidRPr="00ED1569">
        <w:t>death penalty.</w:t>
      </w:r>
      <w:r w:rsidR="00B54F64" w:rsidRPr="00ED1569" w:rsidDel="00B54F64">
        <w:rPr>
          <w:rStyle w:val="FootnoteReference"/>
        </w:rPr>
        <w:t xml:space="preserve"> </w:t>
      </w:r>
    </w:p>
    <w:p w:rsidR="00CA0F65" w:rsidRPr="00ED1569" w:rsidRDefault="007A7EE6" w:rsidP="00D335DC">
      <w:pPr>
        <w:pStyle w:val="SingleTxtG"/>
      </w:pPr>
      <w:r w:rsidRPr="00ED1569">
        <w:t>2.4</w:t>
      </w:r>
      <w:r w:rsidR="00CA0F65" w:rsidRPr="00ED1569">
        <w:tab/>
        <w:t xml:space="preserve">The author appealed to the Supreme Court against the conviction and sentence. On 16 March 2011, the Supreme Court dismissed the appeal against the conviction. </w:t>
      </w:r>
      <w:r w:rsidR="00D335DC" w:rsidRPr="00ED1569">
        <w:t xml:space="preserve">With regard </w:t>
      </w:r>
      <w:r w:rsidR="00CA0F65" w:rsidRPr="00ED1569">
        <w:t xml:space="preserve">to the sentence, it rejected the Court of Appeal’s decision on </w:t>
      </w:r>
      <w:r w:rsidR="00D26921" w:rsidRPr="00ED1569">
        <w:t xml:space="preserve">its own </w:t>
      </w:r>
      <w:r w:rsidR="00CA0F65" w:rsidRPr="00ED1569">
        <w:t xml:space="preserve">lack of jurisdiction to deliberate on the constitutionality of the mandatory death penalty, as matters of law </w:t>
      </w:r>
      <w:r w:rsidR="00F9764A" w:rsidRPr="00ED1569">
        <w:t xml:space="preserve">could </w:t>
      </w:r>
      <w:r w:rsidR="00CA0F65" w:rsidRPr="00ED1569">
        <w:t>be raised at any</w:t>
      </w:r>
      <w:r w:rsidR="00F9764A" w:rsidRPr="00ED1569">
        <w:t xml:space="preserve"> </w:t>
      </w:r>
      <w:r w:rsidR="00CA0F65" w:rsidRPr="00ED1569">
        <w:t xml:space="preserve">time in the proceedings. Lastly, it rejected the merits of the author’s challenge to the constitutionality of the mandatory death penalty, by holding that the mandatory death sentence for murder was consistent with </w:t>
      </w:r>
      <w:r w:rsidR="00F9764A" w:rsidRPr="00ED1569">
        <w:t xml:space="preserve">the </w:t>
      </w:r>
      <w:r w:rsidR="00CA0F65" w:rsidRPr="00ED1569">
        <w:t xml:space="preserve">Constitution. It further added that only the </w:t>
      </w:r>
      <w:r w:rsidR="00F9764A" w:rsidRPr="00ED1569">
        <w:t>p</w:t>
      </w:r>
      <w:r w:rsidR="00CA0F65" w:rsidRPr="00ED1569">
        <w:t>arliament could amend the Criminal and Other Offences Act to incorporate the various degrees of murder and enable trial courts to determine the type of punishment to be imposed on a convicted murderer.</w:t>
      </w:r>
      <w:r w:rsidR="0070329E" w:rsidRPr="00ED1569">
        <w:t xml:space="preserve"> </w:t>
      </w:r>
    </w:p>
    <w:p w:rsidR="00CA0F65" w:rsidRPr="00ED1569" w:rsidRDefault="00645271" w:rsidP="00D335DC">
      <w:pPr>
        <w:pStyle w:val="SingleTxtG"/>
      </w:pPr>
      <w:r w:rsidRPr="00ED1569">
        <w:t>2.5</w:t>
      </w:r>
      <w:r w:rsidR="00CA0F65" w:rsidRPr="00ED1569">
        <w:tab/>
        <w:t xml:space="preserve">The author submits that he </w:t>
      </w:r>
      <w:r w:rsidR="00D335DC" w:rsidRPr="00ED1569">
        <w:t>has</w:t>
      </w:r>
      <w:r w:rsidR="00F9764A" w:rsidRPr="00ED1569">
        <w:t xml:space="preserve"> </w:t>
      </w:r>
      <w:r w:rsidR="00CA0F65" w:rsidRPr="00ED1569">
        <w:t>exhausted domestic remedies</w:t>
      </w:r>
      <w:r w:rsidR="00D26921" w:rsidRPr="00ED1569">
        <w:t>,</w:t>
      </w:r>
      <w:r w:rsidR="00CA0F65" w:rsidRPr="00ED1569">
        <w:t xml:space="preserve"> as there is no right to appeal against the </w:t>
      </w:r>
      <w:r w:rsidR="0070329E" w:rsidRPr="00ED1569">
        <w:t>decision of the Supreme Court.</w:t>
      </w:r>
    </w:p>
    <w:p w:rsidR="00CA0F65" w:rsidRPr="00ED1569" w:rsidRDefault="00CA0F65" w:rsidP="00CA0F65">
      <w:pPr>
        <w:pStyle w:val="H23G"/>
      </w:pPr>
      <w:r w:rsidRPr="00ED1569">
        <w:tab/>
      </w:r>
      <w:r w:rsidRPr="00ED1569">
        <w:tab/>
        <w:t>The complaint</w:t>
      </w:r>
    </w:p>
    <w:p w:rsidR="00CA0F65" w:rsidRPr="00ED1569" w:rsidRDefault="0070329E" w:rsidP="00916700">
      <w:pPr>
        <w:pStyle w:val="SingleTxtG"/>
      </w:pPr>
      <w:r w:rsidRPr="00ED1569">
        <w:t>3.1</w:t>
      </w:r>
      <w:r w:rsidR="00CA0F65" w:rsidRPr="00ED1569">
        <w:tab/>
        <w:t xml:space="preserve">The author claims that </w:t>
      </w:r>
      <w:r w:rsidR="00916700" w:rsidRPr="00ED1569">
        <w:t xml:space="preserve">a </w:t>
      </w:r>
      <w:r w:rsidR="00CA0F65" w:rsidRPr="00ED1569">
        <w:t>mandatory death penalty for all offences of a particular kind, such as murder, prevent</w:t>
      </w:r>
      <w:r w:rsidR="00916700" w:rsidRPr="00ED1569">
        <w:t>s</w:t>
      </w:r>
      <w:r w:rsidR="00CA0F65" w:rsidRPr="00ED1569">
        <w:t xml:space="preserve"> the trial court from considering whether this exceptional </w:t>
      </w:r>
      <w:r w:rsidR="00CA0F65" w:rsidRPr="00ED1569">
        <w:lastRenderedPageBreak/>
        <w:t xml:space="preserve">form of punishment is appropriate in the circumstances of the case. He thus claims that such </w:t>
      </w:r>
      <w:r w:rsidR="00916700" w:rsidRPr="00ED1569">
        <w:t xml:space="preserve">an </w:t>
      </w:r>
      <w:r w:rsidR="00CA0F65" w:rsidRPr="00ED1569">
        <w:t xml:space="preserve">indiscriminate imposition </w:t>
      </w:r>
      <w:r w:rsidR="00D335DC" w:rsidRPr="00ED1569">
        <w:t xml:space="preserve">of the death penalty </w:t>
      </w:r>
      <w:r w:rsidR="00CA0F65" w:rsidRPr="00ED1569">
        <w:t>amounts to a violation of his right to life under article 6, para</w:t>
      </w:r>
      <w:r w:rsidR="00916700" w:rsidRPr="00ED1569">
        <w:t>graph</w:t>
      </w:r>
      <w:r w:rsidR="00CA0F65" w:rsidRPr="00ED1569">
        <w:t xml:space="preserve"> 1, of the Covenant.</w:t>
      </w:r>
    </w:p>
    <w:p w:rsidR="00CA0F65" w:rsidRPr="00ED1569" w:rsidRDefault="00645271" w:rsidP="00CA0F65">
      <w:pPr>
        <w:pStyle w:val="SingleTxtG"/>
      </w:pPr>
      <w:r w:rsidRPr="00ED1569">
        <w:t>3.2</w:t>
      </w:r>
      <w:r w:rsidR="00CA0F65" w:rsidRPr="00ED1569">
        <w:tab/>
        <w:t xml:space="preserve">The author submits that the imposition of </w:t>
      </w:r>
      <w:r w:rsidR="00916700" w:rsidRPr="00ED1569">
        <w:t xml:space="preserve">a </w:t>
      </w:r>
      <w:r w:rsidR="00CA0F65" w:rsidRPr="00ED1569">
        <w:t>mandatory death sentence with no judicial discretion to impose a lesser sentence violates the prohibition of inhuman or degrading treatment or punishment</w:t>
      </w:r>
      <w:r w:rsidR="00041AC2" w:rsidRPr="00ED1569">
        <w:t xml:space="preserve"> under</w:t>
      </w:r>
      <w:r w:rsidR="00183801" w:rsidRPr="00ED1569">
        <w:t xml:space="preserve"> article 7 of the </w:t>
      </w:r>
      <w:r w:rsidR="00041AC2" w:rsidRPr="00ED1569">
        <w:t>Covenant</w:t>
      </w:r>
      <w:r w:rsidR="00183801" w:rsidRPr="00ED1569">
        <w:t>.</w:t>
      </w:r>
      <w:r w:rsidR="00CA0F65" w:rsidRPr="00ED1569">
        <w:t xml:space="preserve"> In this respect, the author cites jurisprudence from national courts as well as the judgement of the European Court of Human Rights in </w:t>
      </w:r>
      <w:r w:rsidR="00CA0F65" w:rsidRPr="00ED1569">
        <w:rPr>
          <w:i/>
        </w:rPr>
        <w:t xml:space="preserve">Soering </w:t>
      </w:r>
      <w:r w:rsidR="00CA0F65" w:rsidRPr="00ED1569">
        <w:rPr>
          <w:iCs/>
        </w:rPr>
        <w:t>v.</w:t>
      </w:r>
      <w:r w:rsidR="00CA0F65" w:rsidRPr="00ED1569">
        <w:rPr>
          <w:i/>
        </w:rPr>
        <w:t xml:space="preserve"> </w:t>
      </w:r>
      <w:smartTag w:uri="urn:schemas-microsoft-com:office:smarttags" w:element="place">
        <w:smartTag w:uri="urn:schemas-microsoft-com:office:smarttags" w:element="country-region">
          <w:r w:rsidR="00CA0F65" w:rsidRPr="00ED1569">
            <w:rPr>
              <w:i/>
            </w:rPr>
            <w:t>United Kingdom</w:t>
          </w:r>
        </w:smartTag>
      </w:smartTag>
      <w:r w:rsidR="00CA0F65" w:rsidRPr="00ED1569">
        <w:rPr>
          <w:rStyle w:val="FootnoteReference"/>
        </w:rPr>
        <w:footnoteReference w:id="4"/>
      </w:r>
      <w:r w:rsidR="00CA0F65" w:rsidRPr="00ED1569">
        <w:t>.</w:t>
      </w:r>
    </w:p>
    <w:p w:rsidR="00CA0F65" w:rsidRPr="00ED1569" w:rsidRDefault="00645271" w:rsidP="00F63ACA">
      <w:pPr>
        <w:pStyle w:val="SingleTxtG"/>
      </w:pPr>
      <w:r w:rsidRPr="00ED1569">
        <w:t>3.3</w:t>
      </w:r>
      <w:r w:rsidR="00CA0F65" w:rsidRPr="00ED1569">
        <w:tab/>
        <w:t xml:space="preserve">The author also submits that the mandatory imposition of the death penalty in his case violated his right to a fair trial, </w:t>
      </w:r>
      <w:r w:rsidR="00916700" w:rsidRPr="00ED1569">
        <w:t xml:space="preserve">since </w:t>
      </w:r>
      <w:r w:rsidR="00CA0F65" w:rsidRPr="00ED1569">
        <w:t>part of that right is the right to review of his sentence by a superior court, and his sentence</w:t>
      </w:r>
      <w:r w:rsidR="00916700" w:rsidRPr="00ED1569">
        <w:t xml:space="preserve"> thus</w:t>
      </w:r>
      <w:r w:rsidR="00CA0F65" w:rsidRPr="00ED1569">
        <w:t xml:space="preserve"> amounts to a violation of his rights under article 14, para</w:t>
      </w:r>
      <w:r w:rsidR="00916700" w:rsidRPr="00ED1569">
        <w:t>graph</w:t>
      </w:r>
      <w:r w:rsidR="00CA0F65" w:rsidRPr="00ED1569">
        <w:t>s 1 and 5, of the Covenant. He explains that such obligatory sentences prevent courts from determining the sentence for the individual concerned. Instead they impose a unique sentence regardless of the specific circumstance</w:t>
      </w:r>
      <w:r w:rsidR="00F63ACA" w:rsidRPr="00ED1569">
        <w:t>s</w:t>
      </w:r>
      <w:r w:rsidR="00CA0F65" w:rsidRPr="00ED1569">
        <w:t xml:space="preserve"> of the offence or </w:t>
      </w:r>
      <w:r w:rsidR="00F63ACA" w:rsidRPr="00ED1569">
        <w:t xml:space="preserve">of </w:t>
      </w:r>
      <w:r w:rsidR="00CA0F65" w:rsidRPr="00ED1569">
        <w:t xml:space="preserve">the offender. They also prevent any consideration of factual issues at the appeal stage, </w:t>
      </w:r>
      <w:r w:rsidR="00F63ACA" w:rsidRPr="00ED1569">
        <w:t xml:space="preserve">thereby </w:t>
      </w:r>
      <w:r w:rsidR="00CA0F65" w:rsidRPr="00ED1569">
        <w:t xml:space="preserve">violating the offender’s right to have his sentence reviewed by a higher court. </w:t>
      </w:r>
    </w:p>
    <w:p w:rsidR="00CA0F65" w:rsidRPr="00ED1569" w:rsidRDefault="00645271" w:rsidP="00334201">
      <w:pPr>
        <w:pStyle w:val="SingleTxtG"/>
      </w:pPr>
      <w:r w:rsidRPr="00ED1569">
        <w:t>3.4</w:t>
      </w:r>
      <w:r w:rsidR="00CA0F65" w:rsidRPr="00ED1569">
        <w:tab/>
        <w:t>Lastly, the author submits that the State party has failed in its obligation under article 2</w:t>
      </w:r>
      <w:r w:rsidR="00F63ACA" w:rsidRPr="00ED1569">
        <w:t>,</w:t>
      </w:r>
      <w:r w:rsidR="00CA0F65" w:rsidRPr="00ED1569">
        <w:t xml:space="preserve"> para</w:t>
      </w:r>
      <w:r w:rsidR="00522A11" w:rsidRPr="00ED1569">
        <w:t>graph</w:t>
      </w:r>
      <w:r w:rsidR="00CA0F65" w:rsidRPr="00ED1569">
        <w:t xml:space="preserve"> 3</w:t>
      </w:r>
      <w:r w:rsidR="00F63ACA" w:rsidRPr="00ED1569">
        <w:t>,</w:t>
      </w:r>
      <w:r w:rsidR="00CA0F65" w:rsidRPr="00ED1569">
        <w:t xml:space="preserve"> of the Covenant to </w:t>
      </w:r>
      <w:r w:rsidR="00F63ACA" w:rsidRPr="00ED1569">
        <w:t xml:space="preserve">provide </w:t>
      </w:r>
      <w:r w:rsidR="00CA0F65" w:rsidRPr="00ED1569">
        <w:t xml:space="preserve">an effective remedy to the aforementioned violations of his rights, and requests the Committee to make a finding to that effect. </w:t>
      </w:r>
    </w:p>
    <w:p w:rsidR="00CA0F65" w:rsidRPr="00ED1569" w:rsidRDefault="00CA0F65" w:rsidP="00CA0F65">
      <w:pPr>
        <w:pStyle w:val="H23G"/>
      </w:pPr>
      <w:r w:rsidRPr="00ED1569">
        <w:tab/>
      </w:r>
      <w:r w:rsidRPr="00ED1569">
        <w:tab/>
        <w:t>The State party’s observations on admissibility and merits</w:t>
      </w:r>
    </w:p>
    <w:p w:rsidR="00CA0F65" w:rsidRPr="00ED1569" w:rsidRDefault="00645271" w:rsidP="00334201">
      <w:pPr>
        <w:pStyle w:val="SingleTxtG"/>
      </w:pPr>
      <w:r w:rsidRPr="00ED1569">
        <w:t>4.1</w:t>
      </w:r>
      <w:r w:rsidR="00CA0F65" w:rsidRPr="00ED1569">
        <w:tab/>
        <w:t xml:space="preserve">The State party submits that it is a </w:t>
      </w:r>
      <w:r w:rsidR="00CA0F65" w:rsidRPr="00ED1569">
        <w:rPr>
          <w:iCs/>
        </w:rPr>
        <w:t>de facto</w:t>
      </w:r>
      <w:r w:rsidR="00CA0F65" w:rsidRPr="00ED1569">
        <w:t xml:space="preserve"> </w:t>
      </w:r>
      <w:smartTag w:uri="urn:schemas-microsoft-com:office:smarttags" w:element="place">
        <w:smartTag w:uri="urn:schemas-microsoft-com:office:smarttags" w:element="PlaceName">
          <w:r w:rsidR="00CA0F65" w:rsidRPr="00ED1569">
            <w:t>abolitionist</w:t>
          </w:r>
        </w:smartTag>
        <w:r w:rsidR="00CA0F65" w:rsidRPr="00ED1569">
          <w:t xml:space="preserve"> </w:t>
        </w:r>
        <w:smartTag w:uri="urn:schemas-microsoft-com:office:smarttags" w:element="PlaceType">
          <w:r w:rsidR="00916700" w:rsidRPr="00ED1569">
            <w:t>S</w:t>
          </w:r>
          <w:r w:rsidR="00CA0F65" w:rsidRPr="00ED1569">
            <w:t>tate</w:t>
          </w:r>
        </w:smartTag>
      </w:smartTag>
      <w:r w:rsidR="00334201" w:rsidRPr="00ED1569">
        <w:t>,</w:t>
      </w:r>
      <w:r w:rsidR="00CA0F65" w:rsidRPr="00ED1569">
        <w:t xml:space="preserve"> since it has not </w:t>
      </w:r>
      <w:r w:rsidR="00522A11" w:rsidRPr="00ED1569">
        <w:t xml:space="preserve">carried out </w:t>
      </w:r>
      <w:r w:rsidR="00CA0F65" w:rsidRPr="00ED1569">
        <w:t>any death sentence</w:t>
      </w:r>
      <w:r w:rsidR="00916700" w:rsidRPr="00ED1569">
        <w:t>s</w:t>
      </w:r>
      <w:r w:rsidR="00CA0F65" w:rsidRPr="00ED1569">
        <w:t xml:space="preserve"> in the </w:t>
      </w:r>
      <w:r w:rsidR="00334201" w:rsidRPr="00ED1569">
        <w:t>p</w:t>
      </w:r>
      <w:r w:rsidR="00CA0F65" w:rsidRPr="00ED1569">
        <w:t xml:space="preserve">ast 20 years, and therefore it would be highly unlikely that the death penalty would be </w:t>
      </w:r>
      <w:r w:rsidR="00522A11" w:rsidRPr="00ED1569">
        <w:t xml:space="preserve">carried out </w:t>
      </w:r>
      <w:r w:rsidR="00CA0F65" w:rsidRPr="00ED1569">
        <w:t xml:space="preserve">in the present case. Furthermore, while reaffirming that </w:t>
      </w:r>
      <w:r w:rsidR="00522A11" w:rsidRPr="00ED1569">
        <w:t xml:space="preserve">the </w:t>
      </w:r>
      <w:r w:rsidR="00CA0F65" w:rsidRPr="00ED1569">
        <w:t xml:space="preserve">Constitution, </w:t>
      </w:r>
      <w:r w:rsidR="00522A11" w:rsidRPr="00ED1569">
        <w:t xml:space="preserve">which </w:t>
      </w:r>
      <w:r w:rsidR="00CA0F65" w:rsidRPr="00ED1569">
        <w:t>retain</w:t>
      </w:r>
      <w:r w:rsidR="00522A11" w:rsidRPr="00ED1569">
        <w:t>s</w:t>
      </w:r>
      <w:r w:rsidR="00CA0F65" w:rsidRPr="00ED1569">
        <w:t xml:space="preserve"> the death penalty, is the supreme law in </w:t>
      </w:r>
      <w:smartTag w:uri="urn:schemas-microsoft-com:office:smarttags" w:element="place">
        <w:smartTag w:uri="urn:schemas-microsoft-com:office:smarttags" w:element="country-region">
          <w:r w:rsidR="00CA0F65" w:rsidRPr="00ED1569">
            <w:t>Ghana</w:t>
          </w:r>
        </w:smartTag>
      </w:smartTag>
      <w:r w:rsidR="00CA0F65" w:rsidRPr="00ED1569">
        <w:t>, the State party submits that constitutional reform is under</w:t>
      </w:r>
      <w:r w:rsidR="00522A11" w:rsidRPr="00ED1569">
        <w:t xml:space="preserve"> </w:t>
      </w:r>
      <w:r w:rsidR="00CA0F65" w:rsidRPr="00ED1569">
        <w:t xml:space="preserve">way in relation to </w:t>
      </w:r>
      <w:r w:rsidR="00522A11" w:rsidRPr="00ED1569">
        <w:t xml:space="preserve">the </w:t>
      </w:r>
      <w:r w:rsidR="00CA0F65" w:rsidRPr="00ED1569">
        <w:t>death penalty.</w:t>
      </w:r>
    </w:p>
    <w:p w:rsidR="00CA0F65" w:rsidRPr="00ED1569" w:rsidRDefault="00645271" w:rsidP="00B23CDE">
      <w:pPr>
        <w:pStyle w:val="SingleTxtG"/>
      </w:pPr>
      <w:r w:rsidRPr="00ED1569">
        <w:t>4.2</w:t>
      </w:r>
      <w:r w:rsidR="00CA0F65" w:rsidRPr="00ED1569">
        <w:tab/>
        <w:t xml:space="preserve">The State party submits that international instruments to which it is party, including the Covenant and its Optional Protocol, </w:t>
      </w:r>
      <w:r w:rsidR="00522A11" w:rsidRPr="00ED1569">
        <w:t>have</w:t>
      </w:r>
      <w:r w:rsidR="00916700" w:rsidRPr="00ED1569">
        <w:t xml:space="preserve"> </w:t>
      </w:r>
      <w:r w:rsidR="00CA0F65" w:rsidRPr="00ED1569">
        <w:t xml:space="preserve">not </w:t>
      </w:r>
      <w:r w:rsidR="00916700" w:rsidRPr="00ED1569">
        <w:t xml:space="preserve">been </w:t>
      </w:r>
      <w:r w:rsidR="00B23CDE" w:rsidRPr="00ED1569">
        <w:t xml:space="preserve">given effect </w:t>
      </w:r>
      <w:r w:rsidR="00CA0F65" w:rsidRPr="00ED1569">
        <w:t>in its legal system, and thus do not take precedence over national law. It further notes that it has not ratified the Covenant</w:t>
      </w:r>
      <w:r w:rsidR="00916700" w:rsidRPr="00ED1569">
        <w:t>’s</w:t>
      </w:r>
      <w:r w:rsidR="00CA0F65" w:rsidRPr="00ED1569">
        <w:t xml:space="preserve"> second Optional Protocol. It adds that the author’s challenge to the constitutionality of the mandatory death penalty has been rejected by the highest judicial body in </w:t>
      </w:r>
      <w:smartTag w:uri="urn:schemas-microsoft-com:office:smarttags" w:element="place">
        <w:smartTag w:uri="urn:schemas-microsoft-com:office:smarttags" w:element="country-region">
          <w:r w:rsidR="00CA0F65" w:rsidRPr="00ED1569">
            <w:t>Ghana</w:t>
          </w:r>
        </w:smartTag>
      </w:smartTag>
      <w:r w:rsidR="00CA0F65" w:rsidRPr="00ED1569">
        <w:t xml:space="preserve">. </w:t>
      </w:r>
    </w:p>
    <w:p w:rsidR="00CA0F65" w:rsidRPr="00ED1569" w:rsidRDefault="00645271" w:rsidP="00334201">
      <w:pPr>
        <w:pStyle w:val="SingleTxtG"/>
      </w:pPr>
      <w:r w:rsidRPr="00ED1569">
        <w:t>4.3</w:t>
      </w:r>
      <w:r w:rsidR="00CA0F65" w:rsidRPr="00ED1569">
        <w:tab/>
        <w:t>Whereas article 13</w:t>
      </w:r>
      <w:r w:rsidR="00916700" w:rsidRPr="00ED1569">
        <w:t>,</w:t>
      </w:r>
      <w:r w:rsidR="00E529BA" w:rsidRPr="00ED1569">
        <w:t xml:space="preserve"> paragraph </w:t>
      </w:r>
      <w:r w:rsidR="00CA0F65" w:rsidRPr="00ED1569">
        <w:t>1</w:t>
      </w:r>
      <w:r w:rsidR="00916700" w:rsidRPr="00ED1569">
        <w:t>,</w:t>
      </w:r>
      <w:r w:rsidR="00CA0F65" w:rsidRPr="00ED1569">
        <w:t xml:space="preserve"> of the Constitution allows </w:t>
      </w:r>
      <w:r w:rsidR="00916700" w:rsidRPr="00ED1569">
        <w:t xml:space="preserve">the </w:t>
      </w:r>
      <w:r w:rsidR="00CA0F65" w:rsidRPr="00ED1569">
        <w:t xml:space="preserve">death penalty for certain serious crimes, which are murder, genocide and treason, such </w:t>
      </w:r>
      <w:r w:rsidR="00916700" w:rsidRPr="00ED1569">
        <w:t xml:space="preserve">a </w:t>
      </w:r>
      <w:r w:rsidR="00CA0F65" w:rsidRPr="00ED1569">
        <w:t xml:space="preserve">penalty is not indiscriminately imposed, </w:t>
      </w:r>
      <w:r w:rsidR="00976439" w:rsidRPr="00ED1569">
        <w:t xml:space="preserve">and </w:t>
      </w:r>
      <w:r w:rsidR="00CA0F65" w:rsidRPr="00ED1569">
        <w:t xml:space="preserve">the personal circumstances of a </w:t>
      </w:r>
      <w:r w:rsidR="00976439" w:rsidRPr="00ED1569">
        <w:t xml:space="preserve">person </w:t>
      </w:r>
      <w:r w:rsidR="00CA0F65" w:rsidRPr="00ED1569">
        <w:t xml:space="preserve">convicted for murder may </w:t>
      </w:r>
      <w:r w:rsidR="00334201" w:rsidRPr="00ED1569">
        <w:t>lead to</w:t>
      </w:r>
      <w:r w:rsidR="00522A11" w:rsidRPr="00ED1569">
        <w:t xml:space="preserve"> </w:t>
      </w:r>
      <w:r w:rsidR="00CA0F65" w:rsidRPr="00ED1569">
        <w:t xml:space="preserve">a reduced sentence. The State party further submits that as a sovereign </w:t>
      </w:r>
      <w:r w:rsidR="00976439" w:rsidRPr="00ED1569">
        <w:t>S</w:t>
      </w:r>
      <w:r w:rsidR="00CA0F65" w:rsidRPr="00ED1569">
        <w:t xml:space="preserve">tate, it can and does decide on how to balance competing rights </w:t>
      </w:r>
      <w:r w:rsidR="00C66E92" w:rsidRPr="00ED1569">
        <w:t>enshrined in its Constitution.</w:t>
      </w:r>
    </w:p>
    <w:p w:rsidR="00CA0F65" w:rsidRPr="00ED1569" w:rsidRDefault="00645271" w:rsidP="004212D1">
      <w:pPr>
        <w:pStyle w:val="SingleTxtG"/>
      </w:pPr>
      <w:r w:rsidRPr="00ED1569">
        <w:t>4.4</w:t>
      </w:r>
      <w:r w:rsidR="00CA0F65" w:rsidRPr="00ED1569">
        <w:tab/>
        <w:t xml:space="preserve">It adds that in cases of murder, the jury trial assesses the circumstances of the particular case, and must come to a unanimous decision </w:t>
      </w:r>
      <w:r w:rsidR="004212D1" w:rsidRPr="00ED1569">
        <w:t>for a</w:t>
      </w:r>
      <w:r w:rsidR="00CA0F65" w:rsidRPr="00ED1569">
        <w:t xml:space="preserve"> conviction </w:t>
      </w:r>
      <w:r w:rsidR="004212D1" w:rsidRPr="00ED1569">
        <w:t xml:space="preserve">to be issued regarding a murder </w:t>
      </w:r>
      <w:r w:rsidR="00CA0F65" w:rsidRPr="00ED1569">
        <w:t xml:space="preserve">charge. The State party adds that convicted persons may seek pardon </w:t>
      </w:r>
      <w:r w:rsidR="00F9314C" w:rsidRPr="00ED1569">
        <w:t xml:space="preserve">from </w:t>
      </w:r>
      <w:r w:rsidR="00CA0F65" w:rsidRPr="00ED1569">
        <w:t>the President, who can commute the death</w:t>
      </w:r>
      <w:r w:rsidR="00C66E92" w:rsidRPr="00ED1569">
        <w:t xml:space="preserve"> penalty to a lesser sentence. </w:t>
      </w:r>
    </w:p>
    <w:p w:rsidR="00CA0F65" w:rsidRPr="00ED1569" w:rsidRDefault="00645271" w:rsidP="00334201">
      <w:pPr>
        <w:pStyle w:val="SingleTxtG"/>
      </w:pPr>
      <w:r w:rsidRPr="00ED1569">
        <w:t>4.5</w:t>
      </w:r>
      <w:r w:rsidR="00CA0F65" w:rsidRPr="00ED1569">
        <w:tab/>
        <w:t xml:space="preserve">As long as the deprivation of life is not arbitrary, international human rights law does not </w:t>
      </w:r>
      <w:r w:rsidR="00953089" w:rsidRPr="00ED1569">
        <w:t>object</w:t>
      </w:r>
      <w:r w:rsidR="00CA0F65" w:rsidRPr="00ED1569">
        <w:t xml:space="preserve"> to the imposition of </w:t>
      </w:r>
      <w:r w:rsidR="00F9314C" w:rsidRPr="00ED1569">
        <w:t xml:space="preserve">the </w:t>
      </w:r>
      <w:r w:rsidR="00CA0F65" w:rsidRPr="00ED1569">
        <w:t xml:space="preserve">death penalty, rather it tries to encourage </w:t>
      </w:r>
      <w:r w:rsidR="00F9314C" w:rsidRPr="00ED1569">
        <w:t>S</w:t>
      </w:r>
      <w:r w:rsidR="00CA0F65" w:rsidRPr="00ED1569">
        <w:t xml:space="preserve">tates to abolish it, and to introduce </w:t>
      </w:r>
      <w:r w:rsidR="007022BF" w:rsidRPr="00ED1569">
        <w:t xml:space="preserve">certain </w:t>
      </w:r>
      <w:r w:rsidR="00CA0F65" w:rsidRPr="00ED1569">
        <w:t xml:space="preserve">limits </w:t>
      </w:r>
      <w:r w:rsidR="007022BF" w:rsidRPr="00ED1569">
        <w:t>as to how</w:t>
      </w:r>
      <w:r w:rsidR="00CA0F65" w:rsidRPr="00ED1569">
        <w:t xml:space="preserve"> such </w:t>
      </w:r>
      <w:r w:rsidR="00F9314C" w:rsidRPr="00ED1569">
        <w:t xml:space="preserve">a </w:t>
      </w:r>
      <w:r w:rsidR="00CA0F65" w:rsidRPr="00ED1569">
        <w:t>sentence is imposed. Moreover, the death penalty in Ghana is practi</w:t>
      </w:r>
      <w:r w:rsidR="00F9314C" w:rsidRPr="00ED1569">
        <w:t>s</w:t>
      </w:r>
      <w:r w:rsidR="00CA0F65" w:rsidRPr="00ED1569">
        <w:t xml:space="preserve">ed within international limits, as it is permitted only for the aforementioned three serious crimes; pardon can be sought; and some categories of offenders may not </w:t>
      </w:r>
      <w:r w:rsidR="00F9314C" w:rsidRPr="00ED1569">
        <w:t xml:space="preserve">be subject to the </w:t>
      </w:r>
      <w:r w:rsidR="00CA0F65" w:rsidRPr="00ED1569">
        <w:t xml:space="preserve">death penalty. </w:t>
      </w:r>
      <w:r w:rsidR="00F9314C" w:rsidRPr="00ED1569">
        <w:t xml:space="preserve"> The death penalty </w:t>
      </w:r>
      <w:r w:rsidR="00A745F7" w:rsidRPr="00ED1569">
        <w:t>is</w:t>
      </w:r>
      <w:r w:rsidR="00F9314C" w:rsidRPr="00ED1569">
        <w:t xml:space="preserve"> not carried out i</w:t>
      </w:r>
      <w:r w:rsidR="00CA0F65" w:rsidRPr="00ED1569">
        <w:t xml:space="preserve">n the case of defendants who are juveniles, pregnant women or nursing mothers. Moreover, persons with mental disability </w:t>
      </w:r>
      <w:r w:rsidR="008042DA" w:rsidRPr="00ED1569">
        <w:t xml:space="preserve">or illness </w:t>
      </w:r>
      <w:r w:rsidR="00CA0F65" w:rsidRPr="00ED1569">
        <w:t xml:space="preserve">who would not understand the consequences of their acts, or persons in a </w:t>
      </w:r>
      <w:r w:rsidR="00334201" w:rsidRPr="00ED1569">
        <w:t>“</w:t>
      </w:r>
      <w:r w:rsidR="00CA0F65" w:rsidRPr="00ED1569">
        <w:t>paroxysm of madness</w:t>
      </w:r>
      <w:r w:rsidR="00334201" w:rsidRPr="00ED1569">
        <w:t>”</w:t>
      </w:r>
      <w:r w:rsidR="00CA0F65" w:rsidRPr="00ED1569">
        <w:t xml:space="preserve"> </w:t>
      </w:r>
      <w:r w:rsidR="004E22D5" w:rsidRPr="00ED1569">
        <w:t>who are incapable of knowing that murder is a crime</w:t>
      </w:r>
      <w:r w:rsidR="008042DA" w:rsidRPr="00ED1569">
        <w:t>,</w:t>
      </w:r>
      <w:r w:rsidR="004E22D5" w:rsidRPr="00ED1569">
        <w:t xml:space="preserve"> </w:t>
      </w:r>
      <w:r w:rsidR="00A745F7" w:rsidRPr="00ED1569">
        <w:t>are</w:t>
      </w:r>
      <w:r w:rsidR="00F9314C" w:rsidRPr="00ED1569">
        <w:t xml:space="preserve"> </w:t>
      </w:r>
      <w:r w:rsidR="00CA0F65" w:rsidRPr="00ED1569">
        <w:t xml:space="preserve">not subject to punishment. </w:t>
      </w:r>
      <w:r w:rsidR="004E22D5" w:rsidRPr="00ED1569">
        <w:t>Intoxication is also a defence if the individual was involuntar</w:t>
      </w:r>
      <w:r w:rsidR="00A745F7" w:rsidRPr="00ED1569">
        <w:t>il</w:t>
      </w:r>
      <w:r w:rsidR="004E22D5" w:rsidRPr="00ED1569">
        <w:t xml:space="preserve">y intoxicated or intoxicated to the point of insanity. </w:t>
      </w:r>
      <w:r w:rsidR="00334201" w:rsidRPr="00ED1569">
        <w:t>T</w:t>
      </w:r>
      <w:r w:rsidR="00CA0F65" w:rsidRPr="00ED1569">
        <w:t xml:space="preserve">he State party </w:t>
      </w:r>
      <w:r w:rsidR="00334201" w:rsidRPr="00ED1569">
        <w:t xml:space="preserve">thus </w:t>
      </w:r>
      <w:r w:rsidR="00CA0F65" w:rsidRPr="00ED1569">
        <w:t xml:space="preserve">concludes that the personal circumstances of defendants are taken into account when </w:t>
      </w:r>
      <w:r w:rsidR="00334201" w:rsidRPr="00ED1569">
        <w:t>a</w:t>
      </w:r>
      <w:r w:rsidR="00CA0F65" w:rsidRPr="00ED1569">
        <w:t xml:space="preserve"> death sentence</w:t>
      </w:r>
      <w:r w:rsidR="00334201" w:rsidRPr="00ED1569">
        <w:t xml:space="preserve"> is imposed</w:t>
      </w:r>
      <w:r w:rsidR="00CA0F65" w:rsidRPr="00ED1569">
        <w:t>.</w:t>
      </w:r>
    </w:p>
    <w:p w:rsidR="00CA0F65" w:rsidRPr="00ED1569" w:rsidRDefault="00645271" w:rsidP="00A6268D">
      <w:pPr>
        <w:pStyle w:val="SingleTxtG"/>
      </w:pPr>
      <w:r w:rsidRPr="00ED1569">
        <w:t>4.6</w:t>
      </w:r>
      <w:r w:rsidR="00CA0F65" w:rsidRPr="00ED1569">
        <w:tab/>
        <w:t xml:space="preserve">The State party concludes that </w:t>
      </w:r>
      <w:r w:rsidR="00A745F7" w:rsidRPr="00ED1569">
        <w:t xml:space="preserve">the </w:t>
      </w:r>
      <w:r w:rsidR="00CA0F65" w:rsidRPr="00ED1569">
        <w:t xml:space="preserve">death penalty for murder in </w:t>
      </w:r>
      <w:smartTag w:uri="urn:schemas-microsoft-com:office:smarttags" w:element="place">
        <w:smartTag w:uri="urn:schemas-microsoft-com:office:smarttags" w:element="country-region">
          <w:r w:rsidR="00CA0F65" w:rsidRPr="00ED1569">
            <w:t>Ghana</w:t>
          </w:r>
        </w:smartTag>
      </w:smartTag>
      <w:r w:rsidR="00CA0F65" w:rsidRPr="00ED1569">
        <w:t xml:space="preserve"> </w:t>
      </w:r>
      <w:r w:rsidR="00A6268D" w:rsidRPr="00ED1569">
        <w:t xml:space="preserve">takes account of </w:t>
      </w:r>
      <w:r w:rsidR="00CA0F65" w:rsidRPr="00ED1569">
        <w:t>varying degrees of seriousness</w:t>
      </w:r>
      <w:r w:rsidR="00A745F7" w:rsidRPr="00ED1569">
        <w:t>,</w:t>
      </w:r>
      <w:r w:rsidR="00CA0F65" w:rsidRPr="00ED1569">
        <w:t xml:space="preserve"> as courts are not prevented from considering the basic circumstances of defendants or from individualizing the sentence. Courts do not indiscriminately impose </w:t>
      </w:r>
      <w:r w:rsidR="00A745F7" w:rsidRPr="00ED1569">
        <w:t xml:space="preserve">a </w:t>
      </w:r>
      <w:r w:rsidR="00CA0F65" w:rsidRPr="00ED1569">
        <w:t xml:space="preserve">mandatory death penalty. It thus invites the Committee to find that a mandatory death penalty </w:t>
      </w:r>
      <w:r w:rsidR="00A745F7" w:rsidRPr="00ED1569">
        <w:t xml:space="preserve">is </w:t>
      </w:r>
      <w:r w:rsidR="00CA0F65" w:rsidRPr="00ED1569">
        <w:t xml:space="preserve">not imposed for all offences of a particular kind in </w:t>
      </w:r>
      <w:smartTag w:uri="urn:schemas-microsoft-com:office:smarttags" w:element="place">
        <w:smartTag w:uri="urn:schemas-microsoft-com:office:smarttags" w:element="country-region">
          <w:r w:rsidR="00CA0F65" w:rsidRPr="00ED1569">
            <w:t>Ghana</w:t>
          </w:r>
        </w:smartTag>
      </w:smartTag>
      <w:r w:rsidR="00CA0F65" w:rsidRPr="00ED1569">
        <w:t xml:space="preserve">, due to the various categories of persons </w:t>
      </w:r>
      <w:r w:rsidR="00A745F7" w:rsidRPr="00ED1569">
        <w:t xml:space="preserve">for </w:t>
      </w:r>
      <w:r w:rsidR="00CA0F65" w:rsidRPr="00ED1569">
        <w:t xml:space="preserve">which </w:t>
      </w:r>
      <w:r w:rsidR="00A745F7" w:rsidRPr="00ED1569">
        <w:t xml:space="preserve">the </w:t>
      </w:r>
      <w:r w:rsidR="00CA0F65" w:rsidRPr="00ED1569">
        <w:t xml:space="preserve">death penalty </w:t>
      </w:r>
      <w:r w:rsidR="00A745F7" w:rsidRPr="00ED1569">
        <w:t>can</w:t>
      </w:r>
      <w:r w:rsidR="00CA0F65" w:rsidRPr="00ED1569">
        <w:t xml:space="preserve">not be </w:t>
      </w:r>
      <w:r w:rsidR="00A745F7" w:rsidRPr="00ED1569">
        <w:t>carried out</w:t>
      </w:r>
      <w:r w:rsidR="00CA0F65" w:rsidRPr="00ED1569">
        <w:t>.</w:t>
      </w:r>
    </w:p>
    <w:p w:rsidR="00CA0F65" w:rsidRPr="00ED1569" w:rsidRDefault="00645271" w:rsidP="002B5DBD">
      <w:pPr>
        <w:pStyle w:val="SingleTxtG"/>
      </w:pPr>
      <w:r w:rsidRPr="00ED1569">
        <w:t>4.7</w:t>
      </w:r>
      <w:r w:rsidR="00CA0F65" w:rsidRPr="00ED1569">
        <w:tab/>
        <w:t xml:space="preserve">With regard to the author’s claim under article 7 of the Covenant, the State party submits that, as there are </w:t>
      </w:r>
      <w:r w:rsidR="00A745F7" w:rsidRPr="00ED1569">
        <w:t>several</w:t>
      </w:r>
      <w:r w:rsidR="00CA0F65" w:rsidRPr="00ED1569">
        <w:t xml:space="preserve"> categories of person against whom </w:t>
      </w:r>
      <w:r w:rsidR="00A745F7" w:rsidRPr="00ED1569">
        <w:t xml:space="preserve">the </w:t>
      </w:r>
      <w:r w:rsidR="00CA0F65" w:rsidRPr="00ED1569">
        <w:t xml:space="preserve">death penalty cannot be </w:t>
      </w:r>
      <w:r w:rsidR="00A745F7" w:rsidRPr="00ED1569">
        <w:t>carried out</w:t>
      </w:r>
      <w:r w:rsidR="00CA0F65" w:rsidRPr="00ED1569">
        <w:t>, criminal sentence</w:t>
      </w:r>
      <w:r w:rsidR="00A745F7" w:rsidRPr="00ED1569">
        <w:t>s</w:t>
      </w:r>
      <w:r w:rsidR="00CA0F65" w:rsidRPr="00ED1569">
        <w:t xml:space="preserve"> </w:t>
      </w:r>
      <w:r w:rsidR="00A745F7" w:rsidRPr="00ED1569">
        <w:t xml:space="preserve">are </w:t>
      </w:r>
      <w:r w:rsidR="00CA0F65" w:rsidRPr="00ED1569">
        <w:t>individuali</w:t>
      </w:r>
      <w:r w:rsidR="00A745F7" w:rsidRPr="00ED1569">
        <w:t>z</w:t>
      </w:r>
      <w:r w:rsidR="00CA0F65" w:rsidRPr="00ED1569">
        <w:t xml:space="preserve">ed to some extent and the imposition of </w:t>
      </w:r>
      <w:r w:rsidR="00A745F7" w:rsidRPr="00ED1569">
        <w:t xml:space="preserve">the </w:t>
      </w:r>
      <w:r w:rsidR="00CA0F65" w:rsidRPr="00ED1569">
        <w:t xml:space="preserve">death penalty is not mandatory in all </w:t>
      </w:r>
      <w:r w:rsidR="002B5DBD" w:rsidRPr="00ED1569">
        <w:t xml:space="preserve">cases </w:t>
      </w:r>
      <w:r w:rsidR="00CA0F65" w:rsidRPr="00ED1569">
        <w:t xml:space="preserve">of murder. It adds that the sentence is proportionate to the gravity of the offence, as murder </w:t>
      </w:r>
      <w:r w:rsidR="001C5145" w:rsidRPr="00ED1569">
        <w:t xml:space="preserve">is </w:t>
      </w:r>
      <w:r w:rsidR="00CA0F65" w:rsidRPr="00ED1569">
        <w:t xml:space="preserve">normally </w:t>
      </w:r>
      <w:r w:rsidR="001C5145" w:rsidRPr="00ED1569">
        <w:t xml:space="preserve">punishable by </w:t>
      </w:r>
      <w:r w:rsidR="00CA0F65" w:rsidRPr="00ED1569">
        <w:t xml:space="preserve">sentence of death, </w:t>
      </w:r>
      <w:r w:rsidR="00A745F7" w:rsidRPr="00ED1569">
        <w:t xml:space="preserve">but </w:t>
      </w:r>
      <w:r w:rsidR="00CA0F65" w:rsidRPr="00ED1569">
        <w:t>that mitigating factors allow the non-</w:t>
      </w:r>
      <w:r w:rsidR="00A745F7" w:rsidRPr="00ED1569">
        <w:t xml:space="preserve">application </w:t>
      </w:r>
      <w:r w:rsidR="00CA0F65" w:rsidRPr="00ED1569">
        <w:t xml:space="preserve">of </w:t>
      </w:r>
      <w:r w:rsidR="00A745F7" w:rsidRPr="00ED1569">
        <w:t xml:space="preserve">the </w:t>
      </w:r>
      <w:r w:rsidR="00CA0F65" w:rsidRPr="00ED1569">
        <w:t>death penalty for the crime of murder. Therefore, there is no violation of the prohibition of inhuman or degrading treatment or punishment un</w:t>
      </w:r>
      <w:r w:rsidR="00C66E92" w:rsidRPr="00ED1569">
        <w:t>der article 7 of the Covenant.</w:t>
      </w:r>
    </w:p>
    <w:p w:rsidR="00CA0F65" w:rsidRPr="00ED1569" w:rsidRDefault="00645271" w:rsidP="007022BF">
      <w:pPr>
        <w:pStyle w:val="SingleTxtG"/>
      </w:pPr>
      <w:r w:rsidRPr="00ED1569">
        <w:t>4.8</w:t>
      </w:r>
      <w:r w:rsidR="00CA0F65" w:rsidRPr="00ED1569">
        <w:tab/>
        <w:t>With regard to article 14, para</w:t>
      </w:r>
      <w:r w:rsidR="00522A11" w:rsidRPr="00ED1569">
        <w:t>graph</w:t>
      </w:r>
      <w:r w:rsidR="00CA0F65" w:rsidRPr="00ED1569">
        <w:t xml:space="preserve">s 1 and 5, of the Covenant, the State party claims that a mandatory imposition of </w:t>
      </w:r>
      <w:r w:rsidR="00A745F7" w:rsidRPr="00ED1569">
        <w:t xml:space="preserve">the </w:t>
      </w:r>
      <w:r w:rsidR="00CA0F65" w:rsidRPr="00ED1569">
        <w:t>death penalty for the offence of murder does not violate the author’s rights under article 14, para</w:t>
      </w:r>
      <w:r w:rsidR="00522A11" w:rsidRPr="00ED1569">
        <w:t>graph</w:t>
      </w:r>
      <w:r w:rsidR="00CA0F65" w:rsidRPr="00ED1569">
        <w:t xml:space="preserve">s 1 and 5, as </w:t>
      </w:r>
      <w:r w:rsidR="00A745F7" w:rsidRPr="00ED1569">
        <w:t xml:space="preserve">the </w:t>
      </w:r>
      <w:r w:rsidR="00CA0F65" w:rsidRPr="00ED1569">
        <w:t xml:space="preserve">Supreme Court is empowered to conduct judicial review as well as to rule on the constitutionality of any legislation or executive action. It further endorses the Supreme Court conclusion that Section 46 of the Criminal and Other Offences Act is consistent with the Constitution and thus only the </w:t>
      </w:r>
      <w:r w:rsidR="00B3049F" w:rsidRPr="00ED1569">
        <w:t>p</w:t>
      </w:r>
      <w:r w:rsidR="00CA0F65" w:rsidRPr="00ED1569">
        <w:t>arliament has the power to change the law with regard to the sentence for murder.</w:t>
      </w:r>
    </w:p>
    <w:p w:rsidR="00CA0F65" w:rsidRPr="00ED1569" w:rsidRDefault="00645271" w:rsidP="006744A6">
      <w:pPr>
        <w:pStyle w:val="SingleTxtG"/>
      </w:pPr>
      <w:r w:rsidRPr="00ED1569">
        <w:t>4.9</w:t>
      </w:r>
      <w:r w:rsidR="00CA0F65" w:rsidRPr="00ED1569">
        <w:tab/>
        <w:t xml:space="preserve">The State party recapitulates by stating that: international law does not prohibit capital punishment; Ghana is not </w:t>
      </w:r>
      <w:r w:rsidR="00F01509" w:rsidRPr="00ED1569">
        <w:t xml:space="preserve">a </w:t>
      </w:r>
      <w:r w:rsidR="00CA0F65" w:rsidRPr="00ED1569">
        <w:t xml:space="preserve">party to the second Optional Protocol to the Covenant; it has not </w:t>
      </w:r>
      <w:r w:rsidR="00F01509" w:rsidRPr="00ED1569">
        <w:t>to date</w:t>
      </w:r>
      <w:r w:rsidR="00CA0F65" w:rsidRPr="00ED1569">
        <w:t xml:space="preserve"> voted in favour of the </w:t>
      </w:r>
      <w:r w:rsidR="00F01509" w:rsidRPr="00ED1569">
        <w:t>United Nations</w:t>
      </w:r>
      <w:r w:rsidR="00CA0F65" w:rsidRPr="00ED1569">
        <w:t xml:space="preserve"> moratorium on </w:t>
      </w:r>
      <w:r w:rsidR="00F01509" w:rsidRPr="00ED1569">
        <w:t xml:space="preserve">the </w:t>
      </w:r>
      <w:r w:rsidR="00CA0F65" w:rsidRPr="00ED1569">
        <w:t xml:space="preserve">death penalty; it asserts its sovereign right to balance competing rights; </w:t>
      </w:r>
      <w:r w:rsidR="00F01509" w:rsidRPr="00ED1569">
        <w:t xml:space="preserve">the </w:t>
      </w:r>
      <w:r w:rsidR="00CA0F65" w:rsidRPr="00ED1569">
        <w:t xml:space="preserve">death penalty is </w:t>
      </w:r>
      <w:r w:rsidR="00B3049F" w:rsidRPr="00ED1569">
        <w:t xml:space="preserve">permitted </w:t>
      </w:r>
      <w:r w:rsidR="00CA0F65" w:rsidRPr="00ED1569">
        <w:t xml:space="preserve">in its legal system, and since the provision permitting that is consistent with the Constitution, it is the role of the </w:t>
      </w:r>
      <w:r w:rsidR="00B3049F" w:rsidRPr="00ED1569">
        <w:t>p</w:t>
      </w:r>
      <w:r w:rsidR="00CA0F65" w:rsidRPr="00ED1569">
        <w:t xml:space="preserve">arliament to change the law and not </w:t>
      </w:r>
      <w:r w:rsidR="002B5DBD" w:rsidRPr="00ED1569">
        <w:t xml:space="preserve">that of </w:t>
      </w:r>
      <w:r w:rsidR="00CA0F65" w:rsidRPr="00ED1569">
        <w:t xml:space="preserve">the judiciary; the application of </w:t>
      </w:r>
      <w:r w:rsidR="00B3049F" w:rsidRPr="00ED1569">
        <w:t xml:space="preserve">the </w:t>
      </w:r>
      <w:r w:rsidR="00CA0F65" w:rsidRPr="00ED1569">
        <w:t xml:space="preserve">death penalty in Ghana is reserved only </w:t>
      </w:r>
      <w:r w:rsidR="00F01509" w:rsidRPr="00ED1569">
        <w:t xml:space="preserve">for the </w:t>
      </w:r>
      <w:r w:rsidR="00CA0F65" w:rsidRPr="00ED1569">
        <w:t>most serious crimes, in line with article 6, para</w:t>
      </w:r>
      <w:r w:rsidR="00522A11" w:rsidRPr="00ED1569">
        <w:t>graph</w:t>
      </w:r>
      <w:r w:rsidR="00CA0F65" w:rsidRPr="00ED1569">
        <w:t xml:space="preserve"> 2, of the Covenant, and is not automatically applied </w:t>
      </w:r>
      <w:r w:rsidR="00F01509" w:rsidRPr="00ED1569">
        <w:t xml:space="preserve">to </w:t>
      </w:r>
      <w:r w:rsidR="00CA0F65" w:rsidRPr="00ED1569">
        <w:t>defendants; legal safeguards are in place to preve</w:t>
      </w:r>
      <w:r w:rsidR="00C66E92" w:rsidRPr="00ED1569">
        <w:t xml:space="preserve">nt miscarriages of justice, in </w:t>
      </w:r>
      <w:r w:rsidR="00CA0F65" w:rsidRPr="00ED1569">
        <w:t>particular in</w:t>
      </w:r>
      <w:r w:rsidR="00B3049F" w:rsidRPr="00ED1569">
        <w:t xml:space="preserve"> connection with</w:t>
      </w:r>
      <w:r w:rsidR="00CA0F65" w:rsidRPr="00ED1569">
        <w:t xml:space="preserve"> criminal charges for which </w:t>
      </w:r>
      <w:r w:rsidR="00F01509" w:rsidRPr="00ED1569">
        <w:t xml:space="preserve">the </w:t>
      </w:r>
      <w:r w:rsidR="00CA0F65" w:rsidRPr="00ED1569">
        <w:t xml:space="preserve">death penalty may be applied; </w:t>
      </w:r>
      <w:r w:rsidR="00F01509" w:rsidRPr="00ED1569">
        <w:t xml:space="preserve">the </w:t>
      </w:r>
      <w:r w:rsidR="00CA0F65" w:rsidRPr="00ED1569">
        <w:t>death penalty has not been executed in Ghana in the last two decades</w:t>
      </w:r>
      <w:r w:rsidR="00B3049F" w:rsidRPr="00ED1569">
        <w:t>;</w:t>
      </w:r>
      <w:r w:rsidR="00CA0F65" w:rsidRPr="00ED1569">
        <w:t xml:space="preserve"> and legal reform that, inter alia, aims at abolishing </w:t>
      </w:r>
      <w:r w:rsidR="00F01509" w:rsidRPr="00ED1569">
        <w:t xml:space="preserve">the </w:t>
      </w:r>
      <w:r w:rsidR="00CA0F65" w:rsidRPr="00ED1569">
        <w:t>death penalty in Ghana is under</w:t>
      </w:r>
      <w:r w:rsidR="00F01509" w:rsidRPr="00ED1569">
        <w:t xml:space="preserve"> </w:t>
      </w:r>
      <w:r w:rsidR="00CA0F65" w:rsidRPr="00ED1569">
        <w:t>way.</w:t>
      </w:r>
    </w:p>
    <w:p w:rsidR="00CA0F65" w:rsidRPr="00ED1569" w:rsidRDefault="00CA0F65" w:rsidP="00B3049F">
      <w:pPr>
        <w:pStyle w:val="SingleTxtG"/>
      </w:pPr>
      <w:r w:rsidRPr="00ED1569">
        <w:t>4.10</w:t>
      </w:r>
      <w:r w:rsidRPr="00ED1569">
        <w:tab/>
        <w:t>The State party concludes that</w:t>
      </w:r>
      <w:r w:rsidR="00317A62" w:rsidRPr="00ED1569">
        <w:t>,</w:t>
      </w:r>
      <w:r w:rsidRPr="00ED1569">
        <w:t xml:space="preserve"> until the Constitution reflects the </w:t>
      </w:r>
      <w:r w:rsidR="00B3049F" w:rsidRPr="00ED1569">
        <w:t xml:space="preserve">ultimate </w:t>
      </w:r>
      <w:r w:rsidRPr="00ED1569">
        <w:t xml:space="preserve">shift in its law </w:t>
      </w:r>
      <w:r w:rsidR="00522A11" w:rsidRPr="00ED1569">
        <w:t xml:space="preserve">on the </w:t>
      </w:r>
      <w:r w:rsidRPr="00ED1569">
        <w:t xml:space="preserve">death penalty, the Committee is invited to recognize the supremacy of </w:t>
      </w:r>
      <w:r w:rsidR="00522A11" w:rsidRPr="00ED1569">
        <w:t xml:space="preserve">the </w:t>
      </w:r>
      <w:r w:rsidRPr="00ED1569">
        <w:t>Constitution, and not to make any adverse findings against it.</w:t>
      </w:r>
    </w:p>
    <w:p w:rsidR="00CA0F65" w:rsidRPr="00ED1569" w:rsidRDefault="00CA0F65" w:rsidP="00CA0F65">
      <w:pPr>
        <w:pStyle w:val="H23G"/>
      </w:pPr>
      <w:r w:rsidRPr="00ED1569">
        <w:tab/>
      </w:r>
      <w:r w:rsidRPr="00ED1569">
        <w:tab/>
        <w:t>Author’s comments on the State party’s observations</w:t>
      </w:r>
    </w:p>
    <w:p w:rsidR="00CA0F65" w:rsidRPr="00ED1569" w:rsidRDefault="00645271" w:rsidP="006744A6">
      <w:pPr>
        <w:pStyle w:val="SingleTxtG"/>
      </w:pPr>
      <w:r w:rsidRPr="00ED1569">
        <w:t>5.1</w:t>
      </w:r>
      <w:r w:rsidR="00CA0F65" w:rsidRPr="00ED1569">
        <w:tab/>
        <w:t xml:space="preserve">The author agrees with the State party’s assertions that: the Covenant </w:t>
      </w:r>
      <w:r w:rsidR="00522A11" w:rsidRPr="00ED1569">
        <w:t xml:space="preserve">has </w:t>
      </w:r>
      <w:r w:rsidR="00CA0F65" w:rsidRPr="00ED1569">
        <w:t xml:space="preserve">not </w:t>
      </w:r>
      <w:r w:rsidR="00522A11" w:rsidRPr="00ED1569">
        <w:t xml:space="preserve">been </w:t>
      </w:r>
      <w:r w:rsidR="006744A6" w:rsidRPr="00ED1569">
        <w:t xml:space="preserve">given effect </w:t>
      </w:r>
      <w:r w:rsidR="00CA0F65" w:rsidRPr="00ED1569">
        <w:t xml:space="preserve">in </w:t>
      </w:r>
      <w:r w:rsidR="00522A11" w:rsidRPr="00ED1569">
        <w:t xml:space="preserve">the Ghanaian </w:t>
      </w:r>
      <w:r w:rsidR="00CA0F65" w:rsidRPr="00ED1569">
        <w:t xml:space="preserve">legal system; Ghana is a sovereign </w:t>
      </w:r>
      <w:r w:rsidR="00522A11" w:rsidRPr="00ED1569">
        <w:t>S</w:t>
      </w:r>
      <w:r w:rsidR="00CA0F65" w:rsidRPr="00ED1569">
        <w:t xml:space="preserve">tate retaining its right to balance competing rights; legal safeguards to prevent miscarriages of justice are in place; and that there are current moves in Ghana to abolish </w:t>
      </w:r>
      <w:r w:rsidR="00522A11" w:rsidRPr="00ED1569">
        <w:t xml:space="preserve">the </w:t>
      </w:r>
      <w:r w:rsidR="00CA0F65" w:rsidRPr="00ED1569">
        <w:t>death penalty. However, the author claims that these assertions have no bearing on the merits of his communication before the Committee.</w:t>
      </w:r>
    </w:p>
    <w:p w:rsidR="00CA0F65" w:rsidRPr="00ED1569" w:rsidRDefault="00645271" w:rsidP="001C5145">
      <w:pPr>
        <w:pStyle w:val="SingleTxtG"/>
      </w:pPr>
      <w:r w:rsidRPr="00ED1569">
        <w:t>5.2</w:t>
      </w:r>
      <w:r w:rsidR="00CA0F65" w:rsidRPr="00ED1569">
        <w:tab/>
        <w:t xml:space="preserve">The State party erred in its assertion that the crime of murder </w:t>
      </w:r>
      <w:r w:rsidR="001C5145" w:rsidRPr="00ED1569">
        <w:t xml:space="preserve">is </w:t>
      </w:r>
      <w:r w:rsidR="00CA0F65" w:rsidRPr="00ED1569">
        <w:t xml:space="preserve">normally </w:t>
      </w:r>
      <w:r w:rsidR="001C5145" w:rsidRPr="00ED1569">
        <w:t xml:space="preserve">punishable by </w:t>
      </w:r>
      <w:r w:rsidR="00CA0F65" w:rsidRPr="00ED1569">
        <w:t xml:space="preserve">the death penalty, as in Ghana the crime of murder </w:t>
      </w:r>
      <w:r w:rsidR="001C5145" w:rsidRPr="00ED1569">
        <w:t xml:space="preserve">is </w:t>
      </w:r>
      <w:r w:rsidR="00D3799E" w:rsidRPr="00ED1569">
        <w:t>necessarily</w:t>
      </w:r>
      <w:r w:rsidR="00CA0F65" w:rsidRPr="00ED1569">
        <w:t xml:space="preserve"> </w:t>
      </w:r>
      <w:r w:rsidR="001C5145" w:rsidRPr="00ED1569">
        <w:t xml:space="preserve">punishable by </w:t>
      </w:r>
      <w:r w:rsidR="00CA0F65" w:rsidRPr="00ED1569">
        <w:t xml:space="preserve">the death penalty and courts have no discretion or power to impose a different sentence. In his case, the trial judge pronounced the death sentence immediately after his conviction as the only available sentence for the crime of murder. </w:t>
      </w:r>
      <w:r w:rsidR="00F01509" w:rsidRPr="00ED1569">
        <w:t>The d</w:t>
      </w:r>
      <w:r w:rsidR="00CA0F65" w:rsidRPr="00ED1569">
        <w:t xml:space="preserve">eath penalty was mandatory, and there was no room for any judicial discretion not to impose </w:t>
      </w:r>
      <w:r w:rsidR="00F01509" w:rsidRPr="00ED1569">
        <w:t xml:space="preserve">the </w:t>
      </w:r>
      <w:r w:rsidR="00CA0F65" w:rsidRPr="00ED1569">
        <w:t xml:space="preserve">death penalty against him once </w:t>
      </w:r>
      <w:r w:rsidR="00F01509" w:rsidRPr="00ED1569">
        <w:t xml:space="preserve">he had been </w:t>
      </w:r>
      <w:r w:rsidR="00CA0F65" w:rsidRPr="00ED1569">
        <w:t xml:space="preserve">convicted of murder. </w:t>
      </w:r>
    </w:p>
    <w:p w:rsidR="00CA0F65" w:rsidRPr="00ED1569" w:rsidRDefault="00645271" w:rsidP="00D9619B">
      <w:pPr>
        <w:pStyle w:val="SingleTxtG"/>
      </w:pPr>
      <w:r w:rsidRPr="00ED1569">
        <w:t>5.3</w:t>
      </w:r>
      <w:r w:rsidR="00CA0F65" w:rsidRPr="00ED1569">
        <w:tab/>
        <w:t xml:space="preserve">The author reiterates that there were no mitigating circumstances that the court could have applied in order to change the death sentence. He further quotes the trial judge </w:t>
      </w:r>
      <w:r w:rsidR="001C5145" w:rsidRPr="00ED1569">
        <w:t xml:space="preserve">as </w:t>
      </w:r>
      <w:r w:rsidR="00CA0F65" w:rsidRPr="00ED1569">
        <w:t>stating immediate</w:t>
      </w:r>
      <w:r w:rsidR="00D9619B" w:rsidRPr="00ED1569">
        <w:t>ly after his conviction; “</w:t>
      </w:r>
      <w:r w:rsidR="00CA0F65" w:rsidRPr="00ED1569">
        <w:t>the only sentence for the crime you committed is death. You are therefore sentenced accordingly</w:t>
      </w:r>
      <w:r w:rsidR="00D9619B" w:rsidRPr="00ED1569">
        <w:t>”</w:t>
      </w:r>
      <w:r w:rsidR="00CA0F65" w:rsidRPr="00ED1569">
        <w:t>.</w:t>
      </w:r>
    </w:p>
    <w:p w:rsidR="00CA0F65" w:rsidRPr="00ED1569" w:rsidRDefault="00645271" w:rsidP="001C5145">
      <w:pPr>
        <w:pStyle w:val="SingleTxtG"/>
      </w:pPr>
      <w:r w:rsidRPr="00ED1569">
        <w:t>5.4</w:t>
      </w:r>
      <w:r w:rsidR="00CA0F65" w:rsidRPr="00ED1569">
        <w:tab/>
        <w:t xml:space="preserve">Regarding the State party’s claim </w:t>
      </w:r>
      <w:r w:rsidR="00F01509" w:rsidRPr="00ED1569">
        <w:t xml:space="preserve">as to </w:t>
      </w:r>
      <w:r w:rsidR="00CA0F65" w:rsidRPr="00ED1569">
        <w:t xml:space="preserve">the existence of the clemency provision in its Criminal </w:t>
      </w:r>
      <w:r w:rsidR="004E22D5" w:rsidRPr="00ED1569">
        <w:t xml:space="preserve">and Other Offences </w:t>
      </w:r>
      <w:r w:rsidR="00CA0F65" w:rsidRPr="00ED1569">
        <w:t xml:space="preserve">Act, he submits that this </w:t>
      </w:r>
      <w:r w:rsidR="001C5145" w:rsidRPr="00ED1569">
        <w:t xml:space="preserve">argument </w:t>
      </w:r>
      <w:r w:rsidR="00CA0F65" w:rsidRPr="00ED1569">
        <w:t>has no bearing on his complaint, since such discretionary measures cannot replace judicial review of a criminal case.</w:t>
      </w:r>
    </w:p>
    <w:p w:rsidR="00CA0F65" w:rsidRPr="00ED1569" w:rsidRDefault="00645271" w:rsidP="009E0A86">
      <w:pPr>
        <w:pStyle w:val="SingleTxtG"/>
      </w:pPr>
      <w:r w:rsidRPr="00ED1569">
        <w:t>5.5</w:t>
      </w:r>
      <w:r w:rsidR="00CA0F65" w:rsidRPr="00ED1569">
        <w:tab/>
        <w:t>As regards the State party’s arguments under article 14 of the Covenant, he comments that</w:t>
      </w:r>
      <w:r w:rsidR="00F01509" w:rsidRPr="00ED1569">
        <w:t>,</w:t>
      </w:r>
      <w:r w:rsidR="00CA0F65" w:rsidRPr="00ED1569">
        <w:t xml:space="preserve"> since the Supreme Court </w:t>
      </w:r>
      <w:r w:rsidR="00F01509" w:rsidRPr="00ED1569">
        <w:t xml:space="preserve">has </w:t>
      </w:r>
      <w:r w:rsidR="00CA0F65" w:rsidRPr="00ED1569">
        <w:t xml:space="preserve">rejected his challenge to the constitutionality of the mandatory death penalty for murder, no court in </w:t>
      </w:r>
      <w:smartTag w:uri="urn:schemas-microsoft-com:office:smarttags" w:element="place">
        <w:smartTag w:uri="urn:schemas-microsoft-com:office:smarttags" w:element="country-region">
          <w:r w:rsidR="00CA0F65" w:rsidRPr="00ED1569">
            <w:t>Ghana</w:t>
          </w:r>
        </w:smartTag>
      </w:smartTag>
      <w:r w:rsidR="00CA0F65" w:rsidRPr="00ED1569">
        <w:t xml:space="preserve"> has the power to review the sentence in </w:t>
      </w:r>
      <w:r w:rsidR="009E0A86" w:rsidRPr="00ED1569">
        <w:t xml:space="preserve">cases where the defendant is </w:t>
      </w:r>
      <w:r w:rsidR="00CA0F65" w:rsidRPr="00ED1569">
        <w:t xml:space="preserve">convicted </w:t>
      </w:r>
      <w:r w:rsidR="009E0A86" w:rsidRPr="00ED1569">
        <w:t xml:space="preserve">of </w:t>
      </w:r>
      <w:r w:rsidR="00CA0F65" w:rsidRPr="00ED1569">
        <w:t>murder.</w:t>
      </w:r>
    </w:p>
    <w:p w:rsidR="00CA0F65" w:rsidRPr="00ED1569" w:rsidRDefault="00645271" w:rsidP="009E0A86">
      <w:pPr>
        <w:pStyle w:val="SingleTxtG"/>
      </w:pPr>
      <w:r w:rsidRPr="00ED1569">
        <w:t>5.6</w:t>
      </w:r>
      <w:r w:rsidR="00CA0F65" w:rsidRPr="00ED1569">
        <w:tab/>
        <w:t xml:space="preserve">Lastly, the author comments on the State party’s assertion that it is a </w:t>
      </w:r>
      <w:r w:rsidR="00CA0F65" w:rsidRPr="00ED1569">
        <w:rPr>
          <w:iCs/>
        </w:rPr>
        <w:t xml:space="preserve">de facto </w:t>
      </w:r>
      <w:smartTag w:uri="urn:schemas-microsoft-com:office:smarttags" w:element="place">
        <w:smartTag w:uri="urn:schemas-microsoft-com:office:smarttags" w:element="PlaceName">
          <w:r w:rsidR="00CA0F65" w:rsidRPr="00ED1569">
            <w:t>abolitionist</w:t>
          </w:r>
        </w:smartTag>
        <w:r w:rsidR="00CA0F65" w:rsidRPr="00ED1569">
          <w:t xml:space="preserve"> </w:t>
        </w:r>
        <w:smartTag w:uri="urn:schemas-microsoft-com:office:smarttags" w:element="PlaceType">
          <w:r w:rsidR="00F01509" w:rsidRPr="00ED1569">
            <w:t>S</w:t>
          </w:r>
          <w:r w:rsidR="00CA0F65" w:rsidRPr="00ED1569">
            <w:t>tate</w:t>
          </w:r>
        </w:smartTag>
      </w:smartTag>
      <w:r w:rsidR="00CA0F65" w:rsidRPr="00ED1569">
        <w:t>. He states that this is a matter of political discretion, and that execution</w:t>
      </w:r>
      <w:r w:rsidR="009E0A86" w:rsidRPr="00ED1569">
        <w:t>s</w:t>
      </w:r>
      <w:r w:rsidR="00CA0F65" w:rsidRPr="00ED1569">
        <w:t xml:space="preserve"> can resume </w:t>
      </w:r>
      <w:r w:rsidR="00F01509" w:rsidRPr="00ED1569">
        <w:t xml:space="preserve">at </w:t>
      </w:r>
      <w:r w:rsidR="00CA0F65" w:rsidRPr="00ED1569">
        <w:t>any</w:t>
      </w:r>
      <w:r w:rsidR="00F01509" w:rsidRPr="00ED1569">
        <w:t xml:space="preserve"> </w:t>
      </w:r>
      <w:r w:rsidR="00CA0F65" w:rsidRPr="00ED1569">
        <w:t xml:space="preserve">time. </w:t>
      </w:r>
      <w:r w:rsidR="00F01509" w:rsidRPr="00ED1569">
        <w:t>T</w:t>
      </w:r>
      <w:r w:rsidR="00CA0F65" w:rsidRPr="00ED1569">
        <w:t xml:space="preserve">he Committee is </w:t>
      </w:r>
      <w:r w:rsidR="00F01509" w:rsidRPr="00ED1569">
        <w:t xml:space="preserve">thus </w:t>
      </w:r>
      <w:r w:rsidR="00CA0F65" w:rsidRPr="00ED1569">
        <w:t>invited to afford the author a measure that would</w:t>
      </w:r>
      <w:r w:rsidRPr="00ED1569">
        <w:t xml:space="preserve"> stop his execution.</w:t>
      </w:r>
    </w:p>
    <w:p w:rsidR="00CA0F65" w:rsidRPr="00ED1569" w:rsidRDefault="00CA0F65" w:rsidP="00CA0F65">
      <w:pPr>
        <w:pStyle w:val="H23G"/>
      </w:pPr>
      <w:r w:rsidRPr="00ED1569">
        <w:tab/>
      </w:r>
      <w:r w:rsidRPr="00ED1569">
        <w:tab/>
        <w:t>Issues and proceedings before the Committee</w:t>
      </w:r>
    </w:p>
    <w:p w:rsidR="00CA0F65" w:rsidRPr="00ED1569" w:rsidRDefault="00CA0F65" w:rsidP="00CA0F65">
      <w:pPr>
        <w:pStyle w:val="H4G"/>
      </w:pPr>
      <w:r w:rsidRPr="00ED1569">
        <w:tab/>
      </w:r>
      <w:r w:rsidRPr="00ED1569">
        <w:tab/>
        <w:t>Consideration of admissibility</w:t>
      </w:r>
    </w:p>
    <w:p w:rsidR="00CA0F65" w:rsidRPr="00ED1569" w:rsidRDefault="00645271" w:rsidP="00CA0F65">
      <w:pPr>
        <w:pStyle w:val="SingleTxtG"/>
      </w:pPr>
      <w:r w:rsidRPr="00ED1569">
        <w:t>6.1</w:t>
      </w:r>
      <w:r w:rsidR="00CA0F65" w:rsidRPr="00ED1569">
        <w:tab/>
        <w:t>Before considering any claim contained in a communication, the Human Rights Committee must, in accordance with rule 93 of its rules of procedure, decide whether or not the case is admissible under the Optional Protocol to the Covenant.</w:t>
      </w:r>
    </w:p>
    <w:p w:rsidR="00CA0F65" w:rsidRPr="00ED1569" w:rsidRDefault="00645271" w:rsidP="00CA0F65">
      <w:pPr>
        <w:pStyle w:val="SingleTxtG"/>
      </w:pPr>
      <w:r w:rsidRPr="00ED1569">
        <w:t>6.2</w:t>
      </w:r>
      <w:r w:rsidR="00CA0F65" w:rsidRPr="00ED1569">
        <w:tab/>
        <w:t>The Committee has ascertained, as required under article 5, paragraph 2</w:t>
      </w:r>
      <w:r w:rsidR="00E529BA" w:rsidRPr="00ED1569">
        <w:t xml:space="preserve"> </w:t>
      </w:r>
      <w:r w:rsidR="00CA0F65" w:rsidRPr="00ED1569">
        <w:t xml:space="preserve">(a), of the Optional Protocol, that the same matter is not being examined under another procedure of international investigation or settlement. It also notes that domestic remedies have been exhausted. No challenge from the State party to this conclusion has been received. The requirements of article 5, paragraph 2 (a) and (b), of the Optional Protocol have thus been met. </w:t>
      </w:r>
    </w:p>
    <w:p w:rsidR="00CA0F65" w:rsidRPr="00ED1569" w:rsidRDefault="00645271" w:rsidP="00CA0F65">
      <w:pPr>
        <w:pStyle w:val="SingleTxtG"/>
      </w:pPr>
      <w:r w:rsidRPr="00ED1569">
        <w:t>6.3</w:t>
      </w:r>
      <w:r w:rsidR="00CA0F65" w:rsidRPr="00ED1569">
        <w:tab/>
        <w:t>The Committee considers that the author’s claims under articles</w:t>
      </w:r>
      <w:r w:rsidR="004E22D5" w:rsidRPr="00ED1569">
        <w:t xml:space="preserve"> 2, para</w:t>
      </w:r>
      <w:r w:rsidR="00522A11" w:rsidRPr="00ED1569">
        <w:t>graph</w:t>
      </w:r>
      <w:r w:rsidR="004E22D5" w:rsidRPr="00ED1569">
        <w:t xml:space="preserve"> 3;</w:t>
      </w:r>
      <w:r w:rsidR="00CA0F65" w:rsidRPr="00ED1569">
        <w:t xml:space="preserve"> 6, para</w:t>
      </w:r>
      <w:r w:rsidR="00522A11" w:rsidRPr="00ED1569">
        <w:t>graph</w:t>
      </w:r>
      <w:r w:rsidR="00CA0F65" w:rsidRPr="00ED1569">
        <w:t xml:space="preserve"> 1; 7; and 14, para</w:t>
      </w:r>
      <w:r w:rsidR="00F01509" w:rsidRPr="00ED1569">
        <w:t>graph</w:t>
      </w:r>
      <w:r w:rsidR="00CA0F65" w:rsidRPr="00ED1569">
        <w:t xml:space="preserve">s 1 and 5, have been sufficiently substantiated for </w:t>
      </w:r>
      <w:r w:rsidR="00F01509" w:rsidRPr="00ED1569">
        <w:t xml:space="preserve">the </w:t>
      </w:r>
      <w:r w:rsidR="00CA0F65" w:rsidRPr="00ED1569">
        <w:t xml:space="preserve">purposes of admissibility. Accordingly, the Committee declares the communication admissible and proceeds to its examination on the merits. </w:t>
      </w:r>
    </w:p>
    <w:p w:rsidR="00CA0F65" w:rsidRPr="00ED1569" w:rsidRDefault="00CA0F65" w:rsidP="00CA0F65">
      <w:pPr>
        <w:pStyle w:val="H4G"/>
      </w:pPr>
      <w:r w:rsidRPr="00ED1569">
        <w:tab/>
      </w:r>
      <w:r w:rsidRPr="00ED1569">
        <w:tab/>
        <w:t>Consideration of the merits</w:t>
      </w:r>
    </w:p>
    <w:p w:rsidR="00CA0F65" w:rsidRPr="00ED1569" w:rsidRDefault="00645271" w:rsidP="00CA0F65">
      <w:pPr>
        <w:pStyle w:val="SingleTxtG"/>
      </w:pPr>
      <w:r w:rsidRPr="00ED1569">
        <w:t>7.1</w:t>
      </w:r>
      <w:r w:rsidR="00CA0F65" w:rsidRPr="00ED1569">
        <w:tab/>
        <w:t>The Human Rights Committee has considered the present communication in the light of all information made available to it, in accordance with article 5, paragraph 1, of the Optional Protocol.</w:t>
      </w:r>
    </w:p>
    <w:p w:rsidR="005E7E51" w:rsidRPr="00ED1569" w:rsidRDefault="00645271" w:rsidP="00317A62">
      <w:pPr>
        <w:pStyle w:val="SingleTxtG"/>
      </w:pPr>
      <w:r w:rsidRPr="00ED1569">
        <w:t>7.2</w:t>
      </w:r>
      <w:r w:rsidR="00CA0F65" w:rsidRPr="00ED1569">
        <w:tab/>
      </w:r>
      <w:r w:rsidR="000B6277" w:rsidRPr="00ED1569">
        <w:t xml:space="preserve">The Committee notes the author’s </w:t>
      </w:r>
      <w:r w:rsidR="00CA0F65" w:rsidRPr="00ED1569">
        <w:t>claim</w:t>
      </w:r>
      <w:r w:rsidR="000B6277" w:rsidRPr="00ED1569">
        <w:t>s</w:t>
      </w:r>
      <w:r w:rsidR="00CA0F65" w:rsidRPr="00ED1569">
        <w:t xml:space="preserve"> under article 6, para</w:t>
      </w:r>
      <w:r w:rsidR="00522A11" w:rsidRPr="00ED1569">
        <w:t>graph</w:t>
      </w:r>
      <w:r w:rsidR="00CA0F65" w:rsidRPr="00ED1569">
        <w:t xml:space="preserve"> 1, of the Covenant, that Section 46 of </w:t>
      </w:r>
      <w:r w:rsidR="00F01509" w:rsidRPr="00ED1569">
        <w:t xml:space="preserve">the </w:t>
      </w:r>
      <w:r w:rsidR="00CA0F65" w:rsidRPr="00ED1569">
        <w:t xml:space="preserve">Criminal and Other Offences Act prescribes </w:t>
      </w:r>
      <w:r w:rsidR="00F01509" w:rsidRPr="00ED1569">
        <w:t xml:space="preserve">the </w:t>
      </w:r>
      <w:r w:rsidR="00CA0F65" w:rsidRPr="00ED1569">
        <w:t xml:space="preserve">death penalty for the offence of murder as </w:t>
      </w:r>
      <w:r w:rsidR="00CB6F4B" w:rsidRPr="00ED1569">
        <w:t>the</w:t>
      </w:r>
      <w:r w:rsidR="00CA0F65" w:rsidRPr="00ED1569">
        <w:t xml:space="preserve"> only penalty</w:t>
      </w:r>
      <w:r w:rsidR="000B6277" w:rsidRPr="00ED1569">
        <w:t xml:space="preserve">, and </w:t>
      </w:r>
      <w:r w:rsidR="00CA0F65" w:rsidRPr="00ED1569">
        <w:t xml:space="preserve">that </w:t>
      </w:r>
      <w:r w:rsidR="00F1515A" w:rsidRPr="00ED1569">
        <w:t xml:space="preserve">the </w:t>
      </w:r>
      <w:r w:rsidR="00CA0F65" w:rsidRPr="00ED1569">
        <w:t xml:space="preserve">State party’s Constitution is silent </w:t>
      </w:r>
      <w:r w:rsidR="00317A62" w:rsidRPr="00ED1569">
        <w:t xml:space="preserve">as to </w:t>
      </w:r>
      <w:r w:rsidR="001A248C" w:rsidRPr="00ED1569">
        <w:t xml:space="preserve">whether </w:t>
      </w:r>
      <w:r w:rsidR="00F01509" w:rsidRPr="00ED1569">
        <w:t xml:space="preserve">the </w:t>
      </w:r>
      <w:r w:rsidR="00CA0F65" w:rsidRPr="00ED1569">
        <w:t>death penalty</w:t>
      </w:r>
      <w:r w:rsidR="001A248C" w:rsidRPr="00ED1569">
        <w:t xml:space="preserve"> must be imposed in relation to the offence of murder</w:t>
      </w:r>
      <w:r w:rsidR="000B6277" w:rsidRPr="00ED1569">
        <w:t xml:space="preserve">. </w:t>
      </w:r>
      <w:r w:rsidR="00CA0F65" w:rsidRPr="00ED1569">
        <w:t xml:space="preserve">The Committee </w:t>
      </w:r>
      <w:r w:rsidR="000B6277" w:rsidRPr="00ED1569">
        <w:t xml:space="preserve">also </w:t>
      </w:r>
      <w:r w:rsidR="00CA0F65" w:rsidRPr="00ED1569">
        <w:t>notes the State party’s claims that convicted persons may seek pardon from the President</w:t>
      </w:r>
      <w:r w:rsidR="000B6277" w:rsidRPr="00ED1569">
        <w:t xml:space="preserve">; </w:t>
      </w:r>
      <w:r w:rsidR="00CA0F65" w:rsidRPr="00ED1569">
        <w:t xml:space="preserve">that </w:t>
      </w:r>
      <w:smartTag w:uri="urn:schemas-microsoft-com:office:smarttags" w:element="country-region">
        <w:r w:rsidR="00CA0F65" w:rsidRPr="00ED1569">
          <w:t>Ghana</w:t>
        </w:r>
      </w:smartTag>
      <w:r w:rsidR="00CA0F65" w:rsidRPr="00ED1569">
        <w:t xml:space="preserve"> is a de facto </w:t>
      </w:r>
      <w:smartTag w:uri="urn:schemas-microsoft-com:office:smarttags" w:element="place">
        <w:smartTag w:uri="urn:schemas-microsoft-com:office:smarttags" w:element="PlaceName">
          <w:r w:rsidR="00CA0F65" w:rsidRPr="00ED1569">
            <w:t>abolitionist</w:t>
          </w:r>
        </w:smartTag>
        <w:r w:rsidR="00CA0F65" w:rsidRPr="00ED1569">
          <w:t xml:space="preserve"> </w:t>
        </w:r>
        <w:smartTag w:uri="urn:schemas-microsoft-com:office:smarttags" w:element="PlaceType">
          <w:r w:rsidR="00CA0F65" w:rsidRPr="00ED1569">
            <w:t>State</w:t>
          </w:r>
        </w:smartTag>
      </w:smartTag>
      <w:r w:rsidR="000B6277" w:rsidRPr="00ED1569">
        <w:t>; and that</w:t>
      </w:r>
      <w:r w:rsidR="00CA0F65" w:rsidRPr="00ED1569">
        <w:t xml:space="preserve"> </w:t>
      </w:r>
      <w:r w:rsidR="000B6277" w:rsidRPr="00ED1569">
        <w:t xml:space="preserve">some categories of offender </w:t>
      </w:r>
      <w:r w:rsidR="009E0A86" w:rsidRPr="00ED1569">
        <w:t xml:space="preserve">are </w:t>
      </w:r>
      <w:r w:rsidR="000B6277" w:rsidRPr="00ED1569">
        <w:t xml:space="preserve">not </w:t>
      </w:r>
      <w:r w:rsidR="009E0A86" w:rsidRPr="00ED1569">
        <w:t xml:space="preserve">subject to </w:t>
      </w:r>
      <w:r w:rsidR="00F01509" w:rsidRPr="00ED1569">
        <w:t xml:space="preserve">the </w:t>
      </w:r>
      <w:r w:rsidR="000B6277" w:rsidRPr="00ED1569">
        <w:t xml:space="preserve">death penalty, including pregnant women, nursing mothers, minors and persons with mental disability or illness. </w:t>
      </w:r>
      <w:r w:rsidR="001A248C" w:rsidRPr="00ED1569">
        <w:t xml:space="preserve">While recognizing </w:t>
      </w:r>
      <w:r w:rsidR="00CB6F4B" w:rsidRPr="00ED1569">
        <w:t xml:space="preserve">that </w:t>
      </w:r>
      <w:r w:rsidR="001A248C" w:rsidRPr="00ED1569">
        <w:t>the State party</w:t>
      </w:r>
      <w:r w:rsidR="00CB6F4B" w:rsidRPr="00ED1569">
        <w:t xml:space="preserve"> is</w:t>
      </w:r>
      <w:r w:rsidR="001A248C" w:rsidRPr="00ED1569">
        <w:t xml:space="preserve"> de facto abolitionist, the Committee notes the author’</w:t>
      </w:r>
      <w:r w:rsidR="00CB6F4B" w:rsidRPr="00ED1569">
        <w:t>s response</w:t>
      </w:r>
      <w:r w:rsidR="001A248C" w:rsidRPr="00ED1569">
        <w:t xml:space="preserve"> that the de facto moratorium does not guarantee that </w:t>
      </w:r>
      <w:r w:rsidR="00CB6F4B" w:rsidRPr="00ED1569">
        <w:t xml:space="preserve">a </w:t>
      </w:r>
      <w:r w:rsidR="001A248C" w:rsidRPr="00ED1569">
        <w:t xml:space="preserve">death sentence will not be carried out at a later point. In this connection it recalls the State party’s </w:t>
      </w:r>
      <w:r w:rsidR="002A0DD9" w:rsidRPr="00ED1569">
        <w:t>statement</w:t>
      </w:r>
      <w:r w:rsidR="001A248C" w:rsidRPr="00ED1569">
        <w:t xml:space="preserve"> that it has thus far not voted in favour of </w:t>
      </w:r>
      <w:r w:rsidR="00F01509" w:rsidRPr="00ED1569">
        <w:t>General Assembly</w:t>
      </w:r>
      <w:r w:rsidR="001A248C" w:rsidRPr="00ED1569">
        <w:t xml:space="preserve"> </w:t>
      </w:r>
      <w:r w:rsidR="00F01509" w:rsidRPr="00ED1569">
        <w:t>resolution 62/149</w:t>
      </w:r>
      <w:r w:rsidR="009E0A86" w:rsidRPr="00ED1569">
        <w:t>, which</w:t>
      </w:r>
      <w:r w:rsidR="00F01509" w:rsidRPr="00ED1569">
        <w:t xml:space="preserve"> </w:t>
      </w:r>
      <w:r w:rsidR="009E0A86" w:rsidRPr="00ED1569">
        <w:t>calls</w:t>
      </w:r>
      <w:r w:rsidR="00F01509" w:rsidRPr="00ED1569">
        <w:t xml:space="preserve"> for a worldwide </w:t>
      </w:r>
      <w:r w:rsidR="001A248C" w:rsidRPr="00ED1569">
        <w:t xml:space="preserve">moratorium on </w:t>
      </w:r>
      <w:r w:rsidR="00F01509" w:rsidRPr="00ED1569">
        <w:t>executions</w:t>
      </w:r>
      <w:r w:rsidR="001A248C" w:rsidRPr="00ED1569">
        <w:t>.</w:t>
      </w:r>
    </w:p>
    <w:p w:rsidR="00CA0F65" w:rsidRPr="00ED1569" w:rsidRDefault="00CA0F65" w:rsidP="00742875">
      <w:pPr>
        <w:pStyle w:val="SingleTxtG"/>
      </w:pPr>
      <w:r w:rsidRPr="00ED1569">
        <w:t>7.</w:t>
      </w:r>
      <w:r w:rsidR="001A248C" w:rsidRPr="00ED1569">
        <w:t>3</w:t>
      </w:r>
      <w:r w:rsidRPr="00ED1569">
        <w:tab/>
        <w:t>The Committee notes that in the case of the author, there was no room for judicial discretion at the first instance or appeal courts so as not to impose the only sentence provided by law</w:t>
      </w:r>
      <w:r w:rsidR="00C95C85" w:rsidRPr="00ED1569">
        <w:t>,</w:t>
      </w:r>
      <w:r w:rsidR="003A7302" w:rsidRPr="00ED1569">
        <w:t xml:space="preserve"> </w:t>
      </w:r>
      <w:r w:rsidRPr="00ED1569">
        <w:t>that is</w:t>
      </w:r>
      <w:r w:rsidR="009E0A86" w:rsidRPr="00ED1569">
        <w:t>,</w:t>
      </w:r>
      <w:r w:rsidRPr="00ED1569">
        <w:t xml:space="preserve"> the death penalty, </w:t>
      </w:r>
      <w:r w:rsidR="00DB0D14" w:rsidRPr="00ED1569">
        <w:t xml:space="preserve">after </w:t>
      </w:r>
      <w:r w:rsidRPr="00ED1569">
        <w:t xml:space="preserve">he </w:t>
      </w:r>
      <w:r w:rsidR="00DB0D14" w:rsidRPr="00ED1569">
        <w:t xml:space="preserve">had been </w:t>
      </w:r>
      <w:r w:rsidRPr="00ED1569">
        <w:t>convicted for murder. The Committee further notes that</w:t>
      </w:r>
      <w:r w:rsidR="00DB0D14" w:rsidRPr="00ED1569">
        <w:t>,</w:t>
      </w:r>
      <w:r w:rsidRPr="00ED1569">
        <w:t xml:space="preserve"> </w:t>
      </w:r>
      <w:r w:rsidR="003A7302" w:rsidRPr="00ED1569">
        <w:t xml:space="preserve">while the State party’s legislation excludes </w:t>
      </w:r>
      <w:r w:rsidRPr="00ED1569">
        <w:t xml:space="preserve">the </w:t>
      </w:r>
      <w:r w:rsidR="003A7302" w:rsidRPr="00ED1569">
        <w:t>imposition of</w:t>
      </w:r>
      <w:r w:rsidR="00F01509" w:rsidRPr="00ED1569">
        <w:t xml:space="preserve"> the</w:t>
      </w:r>
      <w:r w:rsidR="003A7302" w:rsidRPr="00ED1569">
        <w:t xml:space="preserve"> death penalty </w:t>
      </w:r>
      <w:r w:rsidR="00DB0D14" w:rsidRPr="00ED1569">
        <w:t>for</w:t>
      </w:r>
      <w:r w:rsidR="00F01509" w:rsidRPr="00ED1569">
        <w:t xml:space="preserve"> </w:t>
      </w:r>
      <w:r w:rsidR="003A7302" w:rsidRPr="00ED1569">
        <w:t xml:space="preserve">certain categories of persons, the </w:t>
      </w:r>
      <w:r w:rsidRPr="00ED1569">
        <w:t xml:space="preserve">mandatory </w:t>
      </w:r>
      <w:r w:rsidR="003A7302" w:rsidRPr="00ED1569">
        <w:t xml:space="preserve">imposition of </w:t>
      </w:r>
      <w:r w:rsidR="00F01509" w:rsidRPr="00ED1569">
        <w:t xml:space="preserve">the </w:t>
      </w:r>
      <w:r w:rsidR="003A7302" w:rsidRPr="00ED1569">
        <w:t xml:space="preserve">death penalty </w:t>
      </w:r>
      <w:r w:rsidR="00742875" w:rsidRPr="00ED1569">
        <w:t>for</w:t>
      </w:r>
      <w:r w:rsidR="00F01509" w:rsidRPr="00ED1569">
        <w:t xml:space="preserve"> </w:t>
      </w:r>
      <w:r w:rsidR="003A7302" w:rsidRPr="00ED1569">
        <w:t>any other offender</w:t>
      </w:r>
      <w:r w:rsidRPr="00ED1569">
        <w:t xml:space="preserve"> is based solely upon the category of crime for which the offender is found guilty, with </w:t>
      </w:r>
      <w:r w:rsidR="00DB0D14" w:rsidRPr="00ED1569">
        <w:t xml:space="preserve">no margin for </w:t>
      </w:r>
      <w:r w:rsidRPr="00ED1569">
        <w:t xml:space="preserve">the judge to evaluate the circumstances of the particular offence. In this context, the Committee refers to its jurisprudence </w:t>
      </w:r>
      <w:r w:rsidR="00F01509" w:rsidRPr="00ED1569">
        <w:t xml:space="preserve">to the effect </w:t>
      </w:r>
      <w:r w:rsidRPr="00ED1569">
        <w:t>that the automatic and mandatory imposition of the death penalty constitutes an arbitrary deprivation of life, in vi</w:t>
      </w:r>
      <w:r w:rsidR="00645271" w:rsidRPr="00ED1569">
        <w:t>olation of article 6, paragraph </w:t>
      </w:r>
      <w:r w:rsidRPr="00ED1569">
        <w:t xml:space="preserve">1, of the Covenant, in circumstances where the death penalty is imposed without regard </w:t>
      </w:r>
      <w:r w:rsidR="00177664" w:rsidRPr="00ED1569">
        <w:t>to the defendant’</w:t>
      </w:r>
      <w:r w:rsidRPr="00ED1569">
        <w:t>s personal circumstances or the circumstances of the particular offence.</w:t>
      </w:r>
      <w:r w:rsidRPr="00ED1569">
        <w:rPr>
          <w:rStyle w:val="FootnoteReference"/>
        </w:rPr>
        <w:footnoteReference w:id="5"/>
      </w:r>
      <w:r w:rsidRPr="00ED1569">
        <w:t xml:space="preserve"> </w:t>
      </w:r>
      <w:r w:rsidR="001A248C" w:rsidRPr="00ED1569">
        <w:t xml:space="preserve">The existence of a de facto moratorium on </w:t>
      </w:r>
      <w:r w:rsidR="00F01509" w:rsidRPr="00ED1569">
        <w:t xml:space="preserve">the </w:t>
      </w:r>
      <w:r w:rsidR="001A248C" w:rsidRPr="00ED1569">
        <w:t xml:space="preserve">death penalty is not sufficient to make </w:t>
      </w:r>
      <w:r w:rsidR="00F01509" w:rsidRPr="00ED1569">
        <w:t xml:space="preserve">a </w:t>
      </w:r>
      <w:r w:rsidR="001A248C" w:rsidRPr="00ED1569">
        <w:t>mandatory death sentence consistent with the Covenant.</w:t>
      </w:r>
      <w:r w:rsidR="001A248C" w:rsidRPr="00ED1569">
        <w:rPr>
          <w:rStyle w:val="FootnoteReference"/>
        </w:rPr>
        <w:footnoteReference w:id="6"/>
      </w:r>
      <w:r w:rsidR="001A248C" w:rsidRPr="00ED1569">
        <w:t xml:space="preserve"> Furthermore, the Committee recalls that the existence of a right to seek pardon or commutation, as required </w:t>
      </w:r>
      <w:r w:rsidR="00DB0D14" w:rsidRPr="00ED1569">
        <w:t>under</w:t>
      </w:r>
      <w:r w:rsidR="001A248C" w:rsidRPr="00ED1569">
        <w:t xml:space="preserve"> article 6, paragraph 4, of the Covenant, does not secure adequate protection to the right to life, as these discretionary measures by the executive are subject to a wide range of other considerations compared to appropriate judicial review of all aspects of a criminal case.</w:t>
      </w:r>
      <w:r w:rsidR="001A248C" w:rsidRPr="00ED1569">
        <w:rPr>
          <w:rStyle w:val="FootnoteReference"/>
        </w:rPr>
        <w:footnoteReference w:id="7"/>
      </w:r>
      <w:r w:rsidR="001A248C" w:rsidRPr="00ED1569">
        <w:t xml:space="preserve"> </w:t>
      </w:r>
      <w:r w:rsidRPr="00ED1569">
        <w:t>It follows that the automatic imposition of the death penalty in the author’s case, by virtue of Section 46 of the Criminal and Other Offences Act, violated the author’s rights under article 6, paragraph 1, of the Covenant.</w:t>
      </w:r>
      <w:r w:rsidR="001A248C" w:rsidRPr="00ED1569">
        <w:t xml:space="preserve"> The Committee also reminds the State party that by becoming a party to the Covenant it undertook to adopt legislative measures in order to fulfil its legal obligations.</w:t>
      </w:r>
      <w:r w:rsidR="001A248C" w:rsidRPr="00ED1569">
        <w:rPr>
          <w:rStyle w:val="FootnoteReference"/>
        </w:rPr>
        <w:footnoteReference w:id="8"/>
      </w:r>
    </w:p>
    <w:p w:rsidR="00CA0F65" w:rsidRPr="00ED1569" w:rsidRDefault="00CA0F65" w:rsidP="001A248C">
      <w:pPr>
        <w:pStyle w:val="SingleTxtG"/>
      </w:pPr>
      <w:r w:rsidRPr="00ED1569">
        <w:t>7.</w:t>
      </w:r>
      <w:r w:rsidR="00CB6F4B" w:rsidRPr="00ED1569">
        <w:t>4</w:t>
      </w:r>
      <w:r w:rsidRPr="00ED1569">
        <w:tab/>
        <w:t>In the light of the above finding of a violation of article 6, p</w:t>
      </w:r>
      <w:r w:rsidR="00C66E92" w:rsidRPr="00ED1569">
        <w:t>ara</w:t>
      </w:r>
      <w:r w:rsidR="00522A11" w:rsidRPr="00ED1569">
        <w:t>graph</w:t>
      </w:r>
      <w:r w:rsidR="00C66E92" w:rsidRPr="00ED1569">
        <w:t xml:space="preserve"> 1, of the Covenant,</w:t>
      </w:r>
      <w:r w:rsidRPr="00ED1569">
        <w:t xml:space="preserve"> the Committee will not address the author’s remaining claims </w:t>
      </w:r>
      <w:r w:rsidR="00C66E92" w:rsidRPr="00ED1569">
        <w:t>under articles 7 and 14, para</w:t>
      </w:r>
      <w:r w:rsidR="001513C2" w:rsidRPr="00ED1569">
        <w:t>graph</w:t>
      </w:r>
      <w:r w:rsidR="00C66E92" w:rsidRPr="00ED1569">
        <w:t>s </w:t>
      </w:r>
      <w:r w:rsidR="0074316B" w:rsidRPr="00ED1569">
        <w:t>1 and 5</w:t>
      </w:r>
      <w:r w:rsidR="001A248C" w:rsidRPr="00ED1569">
        <w:t>.</w:t>
      </w:r>
      <w:r w:rsidRPr="00ED1569">
        <w:rPr>
          <w:rStyle w:val="FootnoteReference"/>
        </w:rPr>
        <w:footnoteReference w:id="9"/>
      </w:r>
    </w:p>
    <w:p w:rsidR="00CA0F65" w:rsidRPr="00ED1569" w:rsidRDefault="00C66E92" w:rsidP="001513C2">
      <w:pPr>
        <w:pStyle w:val="SingleTxtG"/>
      </w:pPr>
      <w:r w:rsidRPr="00ED1569">
        <w:t>8.</w:t>
      </w:r>
      <w:r w:rsidR="00CA0F65" w:rsidRPr="00ED1569">
        <w:tab/>
        <w:t>The Human Rights Committee, acting under article 5, paragraph 4</w:t>
      </w:r>
      <w:r w:rsidR="001513C2" w:rsidRPr="00ED1569">
        <w:t>,</w:t>
      </w:r>
      <w:r w:rsidR="00CA0F65" w:rsidRPr="00ED1569">
        <w:t xml:space="preserve"> of the Optional Protocol to the International Covenant on Civil and Political Rights, is of the view that the facts before it </w:t>
      </w:r>
      <w:r w:rsidR="001513C2" w:rsidRPr="00ED1569">
        <w:t xml:space="preserve">reveal </w:t>
      </w:r>
      <w:r w:rsidR="00CA0F65" w:rsidRPr="00ED1569">
        <w:t>a violation of the author’s right under article 6, para</w:t>
      </w:r>
      <w:r w:rsidR="001513C2" w:rsidRPr="00ED1569">
        <w:t>graph</w:t>
      </w:r>
      <w:r w:rsidR="00CA0F65" w:rsidRPr="00ED1569">
        <w:t xml:space="preserve"> 1, of the Covenant</w:t>
      </w:r>
      <w:r w:rsidR="0074316B" w:rsidRPr="00ED1569">
        <w:t>.</w:t>
      </w:r>
    </w:p>
    <w:p w:rsidR="00CA0F65" w:rsidRPr="00ED1569" w:rsidRDefault="00CA0F65" w:rsidP="00CA0F65">
      <w:pPr>
        <w:pStyle w:val="SingleTxtG"/>
      </w:pPr>
      <w:r w:rsidRPr="00ED1569">
        <w:t xml:space="preserve">9. </w:t>
      </w:r>
      <w:r w:rsidRPr="00ED1569">
        <w:tab/>
        <w:t>In accordance with article 2, paragraph 3 (a)</w:t>
      </w:r>
      <w:r w:rsidR="001513C2" w:rsidRPr="00ED1569">
        <w:t>,</w:t>
      </w:r>
      <w:r w:rsidRPr="00ED1569">
        <w:t xml:space="preserve"> of the Covenant, the State party is under an obligation to provide the author with an effective remedy, including the commutation of the author’s death sentence. The State party is under an obligation to avoid similar violations in the future</w:t>
      </w:r>
      <w:r w:rsidR="0074316B" w:rsidRPr="00ED1569">
        <w:t>, including by adjusting its legislation to the provisions of the Covenant</w:t>
      </w:r>
      <w:r w:rsidR="008042DA" w:rsidRPr="00ED1569">
        <w:t>.</w:t>
      </w:r>
    </w:p>
    <w:p w:rsidR="00CA0F65" w:rsidRPr="00ED1569" w:rsidRDefault="00C66E92" w:rsidP="00CA0F65">
      <w:pPr>
        <w:pStyle w:val="SingleTxtG"/>
      </w:pPr>
      <w:r w:rsidRPr="00ED1569">
        <w:t>10.</w:t>
      </w:r>
      <w:r w:rsidR="00CA0F65" w:rsidRPr="00ED1569">
        <w:tab/>
        <w:t xml:space="preserve">Bearing in mind that, by becoming a party to the Optional Protocol, the State party has recognized the competence of the Committee to determine whether there has been a violation of the Covenant or not and that, pursuant to article 2 of the Covenant, the State party has undertaken to ensure to all individuals within its territory or subject to its jurisdiction the rights recognized in the Covenant and to provide an effective and enforceable remedy when a violation has been established, the Committee wishes to receive from the State party, within 180 days, information about the measures taken </w:t>
      </w:r>
      <w:r w:rsidR="00177664" w:rsidRPr="00ED1569">
        <w:t>to give effect to the Committee’</w:t>
      </w:r>
      <w:r w:rsidR="00CA0F65" w:rsidRPr="00ED1569">
        <w:t>s Views. The State party is also requested to publish the present Views and to have them widely disseminated in the State party.</w:t>
      </w:r>
    </w:p>
    <w:p w:rsidR="00442A83" w:rsidRDefault="00CA0F65" w:rsidP="00CA0F65">
      <w:pPr>
        <w:pStyle w:val="SingleTxtG"/>
      </w:pPr>
      <w:r w:rsidRPr="00ED1569">
        <w:t>[Adopted in English, French and Spanish, the English text being the original version. Subsequently to be issued also in Arabic, Chinese and Russian as part of the Committee’s annual report to the General Assembly.]</w:t>
      </w:r>
    </w:p>
    <w:p w:rsidR="00CA0F65" w:rsidRPr="00CA0F65" w:rsidRDefault="00CA0F65" w:rsidP="00CA0F65">
      <w:pPr>
        <w:pStyle w:val="SingleTxtG"/>
        <w:spacing w:before="240" w:after="0"/>
        <w:jc w:val="center"/>
        <w:rPr>
          <w:u w:val="single"/>
        </w:rPr>
      </w:pPr>
      <w:r>
        <w:rPr>
          <w:u w:val="single"/>
        </w:rPr>
        <w:tab/>
      </w:r>
      <w:r>
        <w:rPr>
          <w:u w:val="single"/>
        </w:rPr>
        <w:tab/>
      </w:r>
      <w:r>
        <w:rPr>
          <w:u w:val="single"/>
        </w:rPr>
        <w:tab/>
      </w:r>
    </w:p>
    <w:sectPr w:rsidR="00CA0F65" w:rsidRPr="00CA0F65" w:rsidSect="00D3799E">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3A0" w:rsidRDefault="008E03A0"/>
  </w:endnote>
  <w:endnote w:type="continuationSeparator" w:id="0">
    <w:p w:rsidR="008E03A0" w:rsidRDefault="008E03A0"/>
  </w:endnote>
  <w:endnote w:type="continuationNotice" w:id="1">
    <w:p w:rsidR="008E03A0" w:rsidRDefault="008E03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DAA" w:rsidRPr="00D3799E" w:rsidRDefault="007D3DAA" w:rsidP="00D3799E">
    <w:pPr>
      <w:pStyle w:val="Footer"/>
      <w:tabs>
        <w:tab w:val="right" w:pos="9638"/>
      </w:tabs>
    </w:pPr>
    <w:r w:rsidRPr="00D3799E">
      <w:rPr>
        <w:b/>
        <w:sz w:val="18"/>
      </w:rPr>
      <w:fldChar w:fldCharType="begin"/>
    </w:r>
    <w:r w:rsidRPr="00D3799E">
      <w:rPr>
        <w:b/>
        <w:sz w:val="18"/>
      </w:rPr>
      <w:instrText xml:space="preserve"> PAGE  \* MERGEFORMAT </w:instrText>
    </w:r>
    <w:r w:rsidRPr="00D3799E">
      <w:rPr>
        <w:b/>
        <w:sz w:val="18"/>
      </w:rPr>
      <w:fldChar w:fldCharType="separate"/>
    </w:r>
    <w:r w:rsidR="0093439C">
      <w:rPr>
        <w:b/>
        <w:noProof/>
        <w:sz w:val="18"/>
      </w:rPr>
      <w:t>2</w:t>
    </w:r>
    <w:r w:rsidRPr="00D3799E">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DAA" w:rsidRPr="00D3799E" w:rsidRDefault="007D3DAA" w:rsidP="00D3799E">
    <w:pPr>
      <w:pStyle w:val="Footer"/>
      <w:tabs>
        <w:tab w:val="right" w:pos="9638"/>
      </w:tabs>
      <w:rPr>
        <w:sz w:val="18"/>
      </w:rPr>
    </w:pPr>
    <w:r>
      <w:rPr>
        <w:b/>
        <w:sz w:val="18"/>
      </w:rPr>
      <w:tab/>
    </w:r>
    <w:r w:rsidRPr="00D3799E">
      <w:rPr>
        <w:sz w:val="18"/>
      </w:rPr>
      <w:fldChar w:fldCharType="begin"/>
    </w:r>
    <w:r w:rsidRPr="00D3799E">
      <w:rPr>
        <w:sz w:val="18"/>
      </w:rPr>
      <w:instrText xml:space="preserve"> PAGE  \* MERGEFORMAT </w:instrText>
    </w:r>
    <w:r w:rsidRPr="00D3799E">
      <w:rPr>
        <w:sz w:val="18"/>
      </w:rPr>
      <w:fldChar w:fldCharType="separate"/>
    </w:r>
    <w:r w:rsidR="0093439C">
      <w:rPr>
        <w:noProof/>
        <w:sz w:val="18"/>
      </w:rPr>
      <w:t>3</w:t>
    </w:r>
    <w:r w:rsidRPr="00D3799E">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DAA" w:rsidRDefault="008E03A0">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43.35pt;margin-top:11.25pt;width:73.25pt;height:18.15pt;z-index:1">
          <v:imagedata r:id="rId1" o:title="recycle_English"/>
          <w10:anchorlock/>
        </v:shape>
      </w:pict>
    </w:r>
    <w:r w:rsidR="007D3DAA">
      <w:t>GE.14-43209</w:t>
    </w:r>
    <w:r w:rsidR="007D3DAA">
      <w:br/>
    </w:r>
    <w:r w:rsidR="007D3DAA" w:rsidRPr="00FB5F7E">
      <w:rPr>
        <w:rFonts w:ascii="C39T30Lfz" w:hAnsi="C39T30Lfz"/>
        <w:sz w:val="56"/>
      </w:rPr>
      <w:t></w:t>
    </w:r>
    <w:r w:rsidR="007D3DAA" w:rsidRPr="00FB5F7E">
      <w:rPr>
        <w:rFonts w:ascii="C39T30Lfz" w:hAnsi="C39T30Lfz"/>
        <w:sz w:val="56"/>
      </w:rPr>
      <w:t></w:t>
    </w:r>
    <w:r w:rsidR="007D3DAA" w:rsidRPr="00FB5F7E">
      <w:rPr>
        <w:rFonts w:ascii="C39T30Lfz" w:hAnsi="C39T30Lfz"/>
        <w:sz w:val="56"/>
      </w:rPr>
      <w:t></w:t>
    </w:r>
    <w:r w:rsidR="007D3DAA" w:rsidRPr="00FB5F7E">
      <w:rPr>
        <w:rFonts w:ascii="C39T30Lfz" w:hAnsi="C39T30Lfz"/>
        <w:sz w:val="56"/>
      </w:rPr>
      <w:t></w:t>
    </w:r>
    <w:r w:rsidR="007D3DAA" w:rsidRPr="00FB5F7E">
      <w:rPr>
        <w:rFonts w:ascii="C39T30Lfz" w:hAnsi="C39T30Lfz"/>
        <w:sz w:val="56"/>
      </w:rPr>
      <w:t></w:t>
    </w:r>
    <w:r w:rsidR="007D3DAA" w:rsidRPr="00FB5F7E">
      <w:rPr>
        <w:rFonts w:ascii="C39T30Lfz" w:hAnsi="C39T30Lfz"/>
        <w:sz w:val="56"/>
      </w:rPr>
      <w:t></w:t>
    </w:r>
    <w:r w:rsidR="007D3DAA" w:rsidRPr="00FB5F7E">
      <w:rPr>
        <w:rFonts w:ascii="C39T30Lfz" w:hAnsi="C39T30Lfz"/>
        <w:sz w:val="56"/>
      </w:rPr>
      <w:t></w:t>
    </w:r>
    <w:r w:rsidR="007D3DAA" w:rsidRPr="00FB5F7E">
      <w:rPr>
        <w:rFonts w:ascii="C39T30Lfz" w:hAnsi="C39T30Lfz"/>
        <w:sz w:val="56"/>
      </w:rPr>
      <w:t></w:t>
    </w:r>
    <w:r w:rsidR="007D3DAA" w:rsidRPr="00FB5F7E">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3A0" w:rsidRPr="000B175B" w:rsidRDefault="008E03A0" w:rsidP="000B175B">
      <w:pPr>
        <w:tabs>
          <w:tab w:val="right" w:pos="2155"/>
        </w:tabs>
        <w:spacing w:after="80"/>
        <w:ind w:left="680"/>
        <w:rPr>
          <w:u w:val="single"/>
        </w:rPr>
      </w:pPr>
      <w:r>
        <w:rPr>
          <w:u w:val="single"/>
        </w:rPr>
        <w:tab/>
      </w:r>
    </w:p>
  </w:footnote>
  <w:footnote w:type="continuationSeparator" w:id="0">
    <w:p w:rsidR="008E03A0" w:rsidRPr="00FC68B7" w:rsidRDefault="008E03A0" w:rsidP="00FC68B7">
      <w:pPr>
        <w:tabs>
          <w:tab w:val="left" w:pos="2155"/>
        </w:tabs>
        <w:spacing w:after="80"/>
        <w:ind w:left="680"/>
        <w:rPr>
          <w:u w:val="single"/>
        </w:rPr>
      </w:pPr>
      <w:r>
        <w:rPr>
          <w:u w:val="single"/>
        </w:rPr>
        <w:tab/>
      </w:r>
    </w:p>
  </w:footnote>
  <w:footnote w:type="continuationNotice" w:id="1">
    <w:p w:rsidR="008E03A0" w:rsidRDefault="008E03A0"/>
  </w:footnote>
  <w:footnote w:id="2">
    <w:p w:rsidR="007D3DAA" w:rsidRPr="00ED1569" w:rsidRDefault="007D3DAA">
      <w:pPr>
        <w:pStyle w:val="FootnoteText"/>
        <w:rPr>
          <w:bCs/>
          <w:szCs w:val="18"/>
          <w:lang w:val="en-US"/>
        </w:rPr>
      </w:pPr>
      <w:r>
        <w:rPr>
          <w:rStyle w:val="FootnoteReference"/>
        </w:rPr>
        <w:tab/>
      </w:r>
      <w:r w:rsidRPr="00ED1569">
        <w:rPr>
          <w:rStyle w:val="FootnoteReference"/>
          <w:sz w:val="20"/>
          <w:vertAlign w:val="baseline"/>
        </w:rPr>
        <w:t>*</w:t>
      </w:r>
      <w:r w:rsidRPr="00ED1569">
        <w:tab/>
      </w:r>
      <w:r w:rsidRPr="00ED1569">
        <w:rPr>
          <w:szCs w:val="18"/>
        </w:rPr>
        <w:t xml:space="preserve">The following members of the Committee participated in the examination of the present communication: Mr. Yadh Ben Achour, </w:t>
      </w:r>
      <w:r w:rsidRPr="00ED1569">
        <w:rPr>
          <w:bCs/>
          <w:szCs w:val="18"/>
        </w:rPr>
        <w:t xml:space="preserve">Mr. Lazhari Bouzid, </w:t>
      </w:r>
      <w:r w:rsidRPr="00ED1569">
        <w:rPr>
          <w:bCs/>
          <w:szCs w:val="18"/>
          <w:lang w:val="en-US"/>
        </w:rPr>
        <w:t xml:space="preserve">Ms. Christine Chanet, Mr. Ahmad Amin Fathalla, </w:t>
      </w:r>
      <w:r w:rsidRPr="00ED1569">
        <w:rPr>
          <w:bCs/>
          <w:szCs w:val="18"/>
        </w:rPr>
        <w:t xml:space="preserve">Mr. Cornelis Flinterman, Mr. Yuji Iwasawa, Mr. Walter Kälin, Ms. Zonke Zanele Majodina, Mr. Gerald L. Neuman, Mr. Victor Manuel Rodríguez-Rescia, </w:t>
      </w:r>
      <w:r w:rsidRPr="00ED1569">
        <w:rPr>
          <w:bCs/>
          <w:szCs w:val="18"/>
          <w:lang w:val="en-US"/>
        </w:rPr>
        <w:t xml:space="preserve">Mr. Fabian Omar Salvioli, Ms. Anja Seibert-Fohr, Mr. Yuval Shany, Mr. Konstantine Vardzelashvili, </w:t>
      </w:r>
      <w:r w:rsidRPr="00ED1569">
        <w:rPr>
          <w:bCs/>
          <w:szCs w:val="18"/>
        </w:rPr>
        <w:t xml:space="preserve">Ms. Margo Waterval and </w:t>
      </w:r>
      <w:r w:rsidRPr="00ED1569">
        <w:rPr>
          <w:bCs/>
          <w:szCs w:val="18"/>
          <w:lang w:val="en-US"/>
        </w:rPr>
        <w:t>Mr. Andrei Paul Zlatescu.</w:t>
      </w:r>
    </w:p>
    <w:p w:rsidR="007D3DAA" w:rsidRPr="00ED1569" w:rsidRDefault="007D3DAA">
      <w:pPr>
        <w:pStyle w:val="FootnoteText"/>
        <w:rPr>
          <w:lang w:val="en-US"/>
        </w:rPr>
      </w:pPr>
      <w:r w:rsidRPr="00ED1569">
        <w:rPr>
          <w:bCs/>
          <w:szCs w:val="18"/>
          <w:lang w:val="en-US"/>
        </w:rPr>
        <w:tab/>
      </w:r>
      <w:r w:rsidRPr="00ED1569">
        <w:rPr>
          <w:bCs/>
          <w:szCs w:val="18"/>
          <w:lang w:val="en-US"/>
        </w:rPr>
        <w:tab/>
      </w:r>
      <w:r w:rsidRPr="00ED1569">
        <w:rPr>
          <w:bCs/>
          <w:szCs w:val="18"/>
        </w:rPr>
        <w:t xml:space="preserve">In accordance with </w:t>
      </w:r>
      <w:r w:rsidRPr="00ED1569">
        <w:t xml:space="preserve">article 91 of the Committee’s rules of procedure, </w:t>
      </w:r>
      <w:r w:rsidRPr="00ED1569">
        <w:rPr>
          <w:bCs/>
          <w:szCs w:val="18"/>
        </w:rPr>
        <w:t>Sir Nigel Rodley</w:t>
      </w:r>
      <w:r w:rsidRPr="00ED1569">
        <w:t>, member of the Committee, did not take part in the consideration of the communication.</w:t>
      </w:r>
    </w:p>
  </w:footnote>
  <w:footnote w:id="3">
    <w:p w:rsidR="007D3DAA" w:rsidRPr="00ED1569" w:rsidRDefault="007D3DAA" w:rsidP="00CA7A8F">
      <w:pPr>
        <w:pStyle w:val="FootnoteText"/>
        <w:rPr>
          <w:szCs w:val="18"/>
        </w:rPr>
      </w:pPr>
      <w:r w:rsidRPr="00ED1569">
        <w:rPr>
          <w:szCs w:val="18"/>
        </w:rPr>
        <w:tab/>
      </w:r>
      <w:r w:rsidRPr="00ED1569">
        <w:rPr>
          <w:rStyle w:val="FootnoteReference"/>
        </w:rPr>
        <w:footnoteRef/>
      </w:r>
      <w:r w:rsidRPr="00ED1569">
        <w:rPr>
          <w:szCs w:val="18"/>
        </w:rPr>
        <w:tab/>
      </w:r>
      <w:r w:rsidRPr="00ED1569">
        <w:rPr>
          <w:szCs w:val="18"/>
          <w:lang w:eastAsia="fr-CH"/>
        </w:rPr>
        <w:t xml:space="preserve">The Optional Protocol entered into force for </w:t>
      </w:r>
      <w:smartTag w:uri="urn:schemas-microsoft-com:office:smarttags" w:element="place">
        <w:smartTag w:uri="urn:schemas-microsoft-com:office:smarttags" w:element="country-region">
          <w:r w:rsidRPr="00ED1569">
            <w:rPr>
              <w:szCs w:val="18"/>
              <w:lang w:eastAsia="fr-CH"/>
            </w:rPr>
            <w:t>Ghana</w:t>
          </w:r>
        </w:smartTag>
      </w:smartTag>
      <w:r w:rsidRPr="00ED1569">
        <w:rPr>
          <w:szCs w:val="18"/>
          <w:lang w:eastAsia="fr-CH"/>
        </w:rPr>
        <w:t xml:space="preserve"> on 7 December 2000.</w:t>
      </w:r>
    </w:p>
  </w:footnote>
  <w:footnote w:id="4">
    <w:p w:rsidR="007D3DAA" w:rsidRPr="00ED1569" w:rsidRDefault="007D3DAA" w:rsidP="00FC6C73">
      <w:pPr>
        <w:pStyle w:val="FootnoteText"/>
        <w:rPr>
          <w:szCs w:val="18"/>
        </w:rPr>
      </w:pPr>
      <w:r w:rsidRPr="00ED1569">
        <w:rPr>
          <w:szCs w:val="18"/>
        </w:rPr>
        <w:tab/>
      </w:r>
      <w:r w:rsidRPr="00ED1569">
        <w:rPr>
          <w:rStyle w:val="FootnoteReference"/>
        </w:rPr>
        <w:footnoteRef/>
      </w:r>
      <w:r w:rsidRPr="00ED1569">
        <w:rPr>
          <w:szCs w:val="18"/>
        </w:rPr>
        <w:tab/>
      </w:r>
      <w:r w:rsidRPr="00ED1569">
        <w:rPr>
          <w:i/>
          <w:szCs w:val="18"/>
        </w:rPr>
        <w:t xml:space="preserve">Case of Soering </w:t>
      </w:r>
      <w:r w:rsidRPr="00ED1569">
        <w:rPr>
          <w:iCs/>
          <w:szCs w:val="18"/>
        </w:rPr>
        <w:t>v.</w:t>
      </w:r>
      <w:r w:rsidRPr="00ED1569">
        <w:rPr>
          <w:i/>
          <w:szCs w:val="18"/>
        </w:rPr>
        <w:t xml:space="preserve"> the </w:t>
      </w:r>
      <w:smartTag w:uri="urn:schemas-microsoft-com:office:smarttags" w:element="place">
        <w:smartTag w:uri="urn:schemas-microsoft-com:office:smarttags" w:element="country-region">
          <w:r w:rsidRPr="00ED1569">
            <w:rPr>
              <w:i/>
              <w:szCs w:val="18"/>
            </w:rPr>
            <w:t>United Kingdom</w:t>
          </w:r>
        </w:smartTag>
      </w:smartTag>
      <w:r w:rsidRPr="00ED1569">
        <w:rPr>
          <w:szCs w:val="18"/>
        </w:rPr>
        <w:t xml:space="preserve"> (Application no. 14038/88), judgment of 7 July 1989, para. 104.</w:t>
      </w:r>
    </w:p>
  </w:footnote>
  <w:footnote w:id="5">
    <w:p w:rsidR="007D3DAA" w:rsidRPr="00ED1569" w:rsidRDefault="007D3DAA" w:rsidP="005B4F0A">
      <w:pPr>
        <w:pStyle w:val="FootnoteText"/>
        <w:rPr>
          <w:szCs w:val="18"/>
        </w:rPr>
      </w:pPr>
      <w:r w:rsidRPr="00ED1569">
        <w:rPr>
          <w:szCs w:val="18"/>
        </w:rPr>
        <w:tab/>
      </w:r>
      <w:r w:rsidRPr="00ED1569">
        <w:rPr>
          <w:rStyle w:val="FootnoteReference"/>
        </w:rPr>
        <w:footnoteRef/>
      </w:r>
      <w:r w:rsidRPr="00ED1569">
        <w:rPr>
          <w:szCs w:val="18"/>
        </w:rPr>
        <w:tab/>
        <w:t xml:space="preserve">Inter alia, communications No. 1520/2006, </w:t>
      </w:r>
      <w:r w:rsidRPr="00ED1569">
        <w:rPr>
          <w:i/>
          <w:szCs w:val="18"/>
        </w:rPr>
        <w:t xml:space="preserve">Mwamba </w:t>
      </w:r>
      <w:r w:rsidRPr="00ED1569">
        <w:rPr>
          <w:iCs/>
          <w:szCs w:val="18"/>
        </w:rPr>
        <w:t>v.</w:t>
      </w:r>
      <w:r w:rsidRPr="00ED1569">
        <w:rPr>
          <w:i/>
          <w:szCs w:val="18"/>
        </w:rPr>
        <w:t xml:space="preserve"> </w:t>
      </w:r>
      <w:smartTag w:uri="urn:schemas-microsoft-com:office:smarttags" w:element="place">
        <w:smartTag w:uri="urn:schemas-microsoft-com:office:smarttags" w:element="country-region">
          <w:r w:rsidRPr="00ED1569">
            <w:rPr>
              <w:i/>
              <w:szCs w:val="18"/>
            </w:rPr>
            <w:t>Zambia</w:t>
          </w:r>
        </w:smartTag>
      </w:smartTag>
      <w:r w:rsidRPr="00ED1569">
        <w:rPr>
          <w:szCs w:val="18"/>
        </w:rPr>
        <w:t xml:space="preserve">, Views adopted on 10 March 2010, para. 6.3; No. 1132/2002, </w:t>
      </w:r>
      <w:r w:rsidRPr="00ED1569">
        <w:rPr>
          <w:i/>
          <w:szCs w:val="18"/>
        </w:rPr>
        <w:t xml:space="preserve">Chisanga </w:t>
      </w:r>
      <w:r w:rsidRPr="00ED1569">
        <w:rPr>
          <w:iCs/>
          <w:szCs w:val="18"/>
        </w:rPr>
        <w:t>v.</w:t>
      </w:r>
      <w:r w:rsidRPr="00ED1569">
        <w:rPr>
          <w:i/>
          <w:szCs w:val="18"/>
        </w:rPr>
        <w:t xml:space="preserve"> </w:t>
      </w:r>
      <w:smartTag w:uri="urn:schemas-microsoft-com:office:smarttags" w:element="place">
        <w:smartTag w:uri="urn:schemas-microsoft-com:office:smarttags" w:element="country-region">
          <w:r w:rsidRPr="00ED1569">
            <w:rPr>
              <w:i/>
              <w:szCs w:val="18"/>
            </w:rPr>
            <w:t>Zambia</w:t>
          </w:r>
        </w:smartTag>
      </w:smartTag>
      <w:r w:rsidRPr="00ED1569">
        <w:rPr>
          <w:szCs w:val="18"/>
        </w:rPr>
        <w:t xml:space="preserve">, Views adopted on 18 October 2005, para. 7.4; No. 845/1998, </w:t>
      </w:r>
      <w:r w:rsidRPr="00ED1569">
        <w:rPr>
          <w:i/>
          <w:szCs w:val="18"/>
        </w:rPr>
        <w:t xml:space="preserve">Kennedy </w:t>
      </w:r>
      <w:r w:rsidRPr="00ED1569">
        <w:rPr>
          <w:iCs/>
          <w:szCs w:val="18"/>
        </w:rPr>
        <w:t>v.</w:t>
      </w:r>
      <w:r w:rsidRPr="00ED1569">
        <w:rPr>
          <w:i/>
          <w:szCs w:val="18"/>
        </w:rPr>
        <w:t xml:space="preserve"> </w:t>
      </w:r>
      <w:smartTag w:uri="urn:schemas-microsoft-com:office:smarttags" w:element="place">
        <w:smartTag w:uri="urn:schemas-microsoft-com:office:smarttags" w:element="country-region">
          <w:r w:rsidRPr="00ED1569">
            <w:rPr>
              <w:i/>
              <w:szCs w:val="18"/>
            </w:rPr>
            <w:t>Trinidad and Tobago</w:t>
          </w:r>
        </w:smartTag>
      </w:smartTag>
      <w:r w:rsidRPr="00ED1569">
        <w:rPr>
          <w:szCs w:val="18"/>
        </w:rPr>
        <w:t xml:space="preserve">, Views adopted on 26 March 2002, para. 7.3; and No. 806/1998, </w:t>
      </w:r>
      <w:r w:rsidRPr="00ED1569">
        <w:rPr>
          <w:i/>
          <w:szCs w:val="18"/>
        </w:rPr>
        <w:t xml:space="preserve">Thompson </w:t>
      </w:r>
      <w:r w:rsidRPr="00ED1569">
        <w:rPr>
          <w:iCs/>
          <w:szCs w:val="18"/>
        </w:rPr>
        <w:t>v.</w:t>
      </w:r>
      <w:r w:rsidRPr="00ED1569">
        <w:rPr>
          <w:i/>
          <w:szCs w:val="18"/>
        </w:rPr>
        <w:t xml:space="preserve"> St. Vincent &amp; The Grenadines</w:t>
      </w:r>
      <w:r w:rsidRPr="00ED1569">
        <w:rPr>
          <w:szCs w:val="18"/>
        </w:rPr>
        <w:t>, Views adopted on 18 October 2000, para. 8.2.</w:t>
      </w:r>
    </w:p>
  </w:footnote>
  <w:footnote w:id="6">
    <w:p w:rsidR="007D3DAA" w:rsidRPr="00ED1569" w:rsidRDefault="007D3DAA" w:rsidP="001A248C">
      <w:pPr>
        <w:pStyle w:val="FootnoteText"/>
      </w:pPr>
      <w:r w:rsidRPr="00ED1569">
        <w:tab/>
      </w:r>
      <w:r w:rsidRPr="00ED1569">
        <w:rPr>
          <w:rStyle w:val="FootnoteReference"/>
        </w:rPr>
        <w:footnoteRef/>
      </w:r>
      <w:r w:rsidRPr="00ED1569">
        <w:tab/>
        <w:t xml:space="preserve">Communication No. 1406/2005, </w:t>
      </w:r>
      <w:r w:rsidRPr="00ED1569">
        <w:rPr>
          <w:i/>
          <w:iCs/>
        </w:rPr>
        <w:t xml:space="preserve">Weerawansa </w:t>
      </w:r>
      <w:r w:rsidRPr="00ED1569">
        <w:t>v.</w:t>
      </w:r>
      <w:r w:rsidRPr="00ED1569">
        <w:rPr>
          <w:i/>
          <w:iCs/>
        </w:rPr>
        <w:t xml:space="preserve"> </w:t>
      </w:r>
      <w:smartTag w:uri="urn:schemas-microsoft-com:office:smarttags" w:element="place">
        <w:smartTag w:uri="urn:schemas-microsoft-com:office:smarttags" w:element="country-region">
          <w:r w:rsidRPr="00ED1569">
            <w:rPr>
              <w:i/>
              <w:iCs/>
            </w:rPr>
            <w:t>Sri Lanka</w:t>
          </w:r>
        </w:smartTag>
      </w:smartTag>
      <w:r w:rsidRPr="00ED1569">
        <w:rPr>
          <w:i/>
          <w:iCs/>
        </w:rPr>
        <w:t xml:space="preserve">, </w:t>
      </w:r>
      <w:r w:rsidRPr="00ED1569">
        <w:rPr>
          <w:szCs w:val="18"/>
        </w:rPr>
        <w:t>Views adopted on 17 March 2009,</w:t>
      </w:r>
      <w:r w:rsidRPr="00ED1569">
        <w:t xml:space="preserve"> para. 7.2.</w:t>
      </w:r>
    </w:p>
  </w:footnote>
  <w:footnote w:id="7">
    <w:p w:rsidR="007D3DAA" w:rsidRPr="00ED1569" w:rsidRDefault="007D3DAA" w:rsidP="002103F7">
      <w:pPr>
        <w:tabs>
          <w:tab w:val="right" w:pos="1021"/>
        </w:tabs>
        <w:autoSpaceDE w:val="0"/>
        <w:autoSpaceDN w:val="0"/>
        <w:adjustRightInd w:val="0"/>
        <w:spacing w:line="220" w:lineRule="exact"/>
        <w:ind w:left="1134" w:right="1134" w:hanging="1134"/>
        <w:rPr>
          <w:sz w:val="18"/>
          <w:szCs w:val="18"/>
        </w:rPr>
      </w:pPr>
      <w:r w:rsidRPr="00ED1569">
        <w:rPr>
          <w:sz w:val="18"/>
          <w:szCs w:val="18"/>
        </w:rPr>
        <w:tab/>
      </w:r>
      <w:r w:rsidRPr="00ED1569">
        <w:rPr>
          <w:rStyle w:val="FootnoteReference"/>
        </w:rPr>
        <w:footnoteRef/>
      </w:r>
      <w:r w:rsidRPr="00ED1569">
        <w:rPr>
          <w:sz w:val="18"/>
          <w:szCs w:val="18"/>
        </w:rPr>
        <w:t xml:space="preserve"> </w:t>
      </w:r>
      <w:r w:rsidRPr="00ED1569">
        <w:rPr>
          <w:sz w:val="18"/>
          <w:szCs w:val="18"/>
        </w:rPr>
        <w:tab/>
        <w:t xml:space="preserve">Communication No. 806/1998, </w:t>
      </w:r>
      <w:r w:rsidRPr="00ED1569">
        <w:rPr>
          <w:i/>
          <w:sz w:val="18"/>
          <w:szCs w:val="18"/>
        </w:rPr>
        <w:t xml:space="preserve">Thompson </w:t>
      </w:r>
      <w:r w:rsidRPr="00ED1569">
        <w:rPr>
          <w:iCs/>
          <w:sz w:val="18"/>
          <w:szCs w:val="18"/>
        </w:rPr>
        <w:t>v.</w:t>
      </w:r>
      <w:r w:rsidRPr="00ED1569">
        <w:rPr>
          <w:i/>
          <w:sz w:val="18"/>
          <w:szCs w:val="18"/>
        </w:rPr>
        <w:t xml:space="preserve"> St. Vincent &amp; the Grenadines</w:t>
      </w:r>
      <w:r w:rsidRPr="00ED1569">
        <w:rPr>
          <w:sz w:val="18"/>
          <w:szCs w:val="18"/>
        </w:rPr>
        <w:t>, Views adopted on 18 October 2000, para. 8.2.</w:t>
      </w:r>
    </w:p>
  </w:footnote>
  <w:footnote w:id="8">
    <w:p w:rsidR="007D3DAA" w:rsidRPr="00ED1569" w:rsidRDefault="007D3DAA" w:rsidP="002103F7">
      <w:pPr>
        <w:pStyle w:val="FootnoteText"/>
        <w:rPr>
          <w:szCs w:val="18"/>
        </w:rPr>
      </w:pPr>
      <w:r w:rsidRPr="00ED1569">
        <w:rPr>
          <w:szCs w:val="18"/>
        </w:rPr>
        <w:tab/>
      </w:r>
      <w:r w:rsidRPr="00ED1569">
        <w:rPr>
          <w:rStyle w:val="FootnoteReference"/>
        </w:rPr>
        <w:footnoteRef/>
      </w:r>
      <w:r w:rsidRPr="00ED1569">
        <w:rPr>
          <w:szCs w:val="18"/>
        </w:rPr>
        <w:t xml:space="preserve"> </w:t>
      </w:r>
      <w:r w:rsidRPr="00ED1569">
        <w:rPr>
          <w:szCs w:val="18"/>
        </w:rPr>
        <w:tab/>
        <w:t xml:space="preserve">Article 2, paragraph 2, of the Covenant, and </w:t>
      </w:r>
      <w:r w:rsidRPr="00ED1569">
        <w:rPr>
          <w:bCs/>
          <w:szCs w:val="18"/>
        </w:rPr>
        <w:t xml:space="preserve">general comment No. 31 (2004) on the nature of the general legal obligation on States Parties to the Covenant, </w:t>
      </w:r>
      <w:r w:rsidRPr="00ED1569">
        <w:rPr>
          <w:bCs/>
          <w:i/>
          <w:iCs/>
          <w:szCs w:val="18"/>
        </w:rPr>
        <w:t>Official Records of the General Assembly, Fifty-ninth Session, Supplement No. 40</w:t>
      </w:r>
      <w:r w:rsidRPr="00ED1569">
        <w:rPr>
          <w:bCs/>
          <w:szCs w:val="18"/>
        </w:rPr>
        <w:t>, vol. I (A/59/40 (Vol. I)), annex III,</w:t>
      </w:r>
      <w:r w:rsidRPr="00ED1569" w:rsidDel="005F4A37">
        <w:rPr>
          <w:bCs/>
          <w:szCs w:val="18"/>
        </w:rPr>
        <w:t xml:space="preserve"> </w:t>
      </w:r>
      <w:r w:rsidRPr="00ED1569">
        <w:rPr>
          <w:bCs/>
          <w:szCs w:val="18"/>
        </w:rPr>
        <w:t>paras. 7 and 13.</w:t>
      </w:r>
    </w:p>
  </w:footnote>
  <w:footnote w:id="9">
    <w:p w:rsidR="007D3DAA" w:rsidRPr="00CA7A8F" w:rsidRDefault="007D3DAA" w:rsidP="00CA7A8F">
      <w:pPr>
        <w:pStyle w:val="FootnoteText"/>
        <w:rPr>
          <w:szCs w:val="18"/>
        </w:rPr>
      </w:pPr>
      <w:r w:rsidRPr="00ED1569">
        <w:rPr>
          <w:szCs w:val="18"/>
        </w:rPr>
        <w:tab/>
      </w:r>
      <w:r w:rsidRPr="00ED1569">
        <w:rPr>
          <w:rStyle w:val="FootnoteReference"/>
        </w:rPr>
        <w:footnoteRef/>
      </w:r>
      <w:r w:rsidRPr="00ED1569">
        <w:rPr>
          <w:szCs w:val="18"/>
        </w:rPr>
        <w:t xml:space="preserve"> </w:t>
      </w:r>
      <w:r w:rsidRPr="00ED1569">
        <w:rPr>
          <w:szCs w:val="18"/>
        </w:rPr>
        <w:tab/>
        <w:t xml:space="preserve">Communication No. 1077/2002, </w:t>
      </w:r>
      <w:r w:rsidRPr="00ED1569">
        <w:rPr>
          <w:i/>
          <w:szCs w:val="18"/>
        </w:rPr>
        <w:t xml:space="preserve">Carpo et al. </w:t>
      </w:r>
      <w:r w:rsidRPr="00ED1569">
        <w:rPr>
          <w:iCs/>
          <w:szCs w:val="18"/>
        </w:rPr>
        <w:t>v.</w:t>
      </w:r>
      <w:r w:rsidRPr="00ED1569">
        <w:rPr>
          <w:i/>
          <w:szCs w:val="18"/>
        </w:rPr>
        <w:t xml:space="preserve"> the </w:t>
      </w:r>
      <w:smartTag w:uri="urn:schemas-microsoft-com:office:smarttags" w:element="place">
        <w:smartTag w:uri="urn:schemas-microsoft-com:office:smarttags" w:element="country-region">
          <w:r w:rsidRPr="00ED1569">
            <w:rPr>
              <w:i/>
              <w:szCs w:val="18"/>
            </w:rPr>
            <w:t>Philippines</w:t>
          </w:r>
        </w:smartTag>
      </w:smartTag>
      <w:r w:rsidRPr="00ED1569">
        <w:rPr>
          <w:szCs w:val="18"/>
        </w:rPr>
        <w:t>, Views adopted on 28 March 2003, para. 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DAA" w:rsidRPr="004379A2" w:rsidRDefault="007D3DAA" w:rsidP="003A1395">
    <w:pPr>
      <w:pStyle w:val="Header"/>
      <w:tabs>
        <w:tab w:val="right" w:pos="9639"/>
      </w:tabs>
    </w:pPr>
    <w:r>
      <w:t>CCPR/C/110/D/2177/2012</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DAA" w:rsidRPr="00D3799E" w:rsidRDefault="007D3DAA" w:rsidP="003A1395">
    <w:pPr>
      <w:pStyle w:val="Header"/>
      <w:tabs>
        <w:tab w:val="right" w:pos="9639"/>
      </w:tabs>
    </w:pPr>
    <w:r>
      <w:tab/>
      <w:t>CCPR/C/110/D/2177/2012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0F65"/>
    <w:rsid w:val="0000218F"/>
    <w:rsid w:val="00024158"/>
    <w:rsid w:val="000245B3"/>
    <w:rsid w:val="000272B3"/>
    <w:rsid w:val="00041AC2"/>
    <w:rsid w:val="00050F6B"/>
    <w:rsid w:val="00057E97"/>
    <w:rsid w:val="00060C3A"/>
    <w:rsid w:val="00072C8C"/>
    <w:rsid w:val="0007300E"/>
    <w:rsid w:val="000733B5"/>
    <w:rsid w:val="00081815"/>
    <w:rsid w:val="00085435"/>
    <w:rsid w:val="000874CF"/>
    <w:rsid w:val="00087E45"/>
    <w:rsid w:val="000931C0"/>
    <w:rsid w:val="000B175B"/>
    <w:rsid w:val="000B3A0F"/>
    <w:rsid w:val="000B4EF7"/>
    <w:rsid w:val="000B6277"/>
    <w:rsid w:val="000B65A6"/>
    <w:rsid w:val="000C2C03"/>
    <w:rsid w:val="000C2D2E"/>
    <w:rsid w:val="000E0415"/>
    <w:rsid w:val="000E39DB"/>
    <w:rsid w:val="000F7687"/>
    <w:rsid w:val="0010514C"/>
    <w:rsid w:val="001103AA"/>
    <w:rsid w:val="001175E5"/>
    <w:rsid w:val="001369BC"/>
    <w:rsid w:val="001407E8"/>
    <w:rsid w:val="00145CF0"/>
    <w:rsid w:val="001513C2"/>
    <w:rsid w:val="0016170C"/>
    <w:rsid w:val="00165F3A"/>
    <w:rsid w:val="00173F89"/>
    <w:rsid w:val="00177664"/>
    <w:rsid w:val="00183801"/>
    <w:rsid w:val="00183968"/>
    <w:rsid w:val="0019635B"/>
    <w:rsid w:val="001A248C"/>
    <w:rsid w:val="001A6686"/>
    <w:rsid w:val="001B3B26"/>
    <w:rsid w:val="001B4B04"/>
    <w:rsid w:val="001C5145"/>
    <w:rsid w:val="001C6663"/>
    <w:rsid w:val="001C7895"/>
    <w:rsid w:val="001D0C8C"/>
    <w:rsid w:val="001D26DF"/>
    <w:rsid w:val="001D3A03"/>
    <w:rsid w:val="002028D1"/>
    <w:rsid w:val="00202DA8"/>
    <w:rsid w:val="00207FE1"/>
    <w:rsid w:val="002103F7"/>
    <w:rsid w:val="00211E0B"/>
    <w:rsid w:val="0023210C"/>
    <w:rsid w:val="00267F5F"/>
    <w:rsid w:val="00286B4D"/>
    <w:rsid w:val="00297D79"/>
    <w:rsid w:val="00297E68"/>
    <w:rsid w:val="002A0DD9"/>
    <w:rsid w:val="002B5DBD"/>
    <w:rsid w:val="002D008B"/>
    <w:rsid w:val="002E77D2"/>
    <w:rsid w:val="002F175C"/>
    <w:rsid w:val="00312F02"/>
    <w:rsid w:val="00317A62"/>
    <w:rsid w:val="003229D8"/>
    <w:rsid w:val="00334201"/>
    <w:rsid w:val="00352709"/>
    <w:rsid w:val="00367567"/>
    <w:rsid w:val="00371178"/>
    <w:rsid w:val="0038336C"/>
    <w:rsid w:val="003918A1"/>
    <w:rsid w:val="003A1395"/>
    <w:rsid w:val="003A5289"/>
    <w:rsid w:val="003A6810"/>
    <w:rsid w:val="003A6A84"/>
    <w:rsid w:val="003A7302"/>
    <w:rsid w:val="003A77B5"/>
    <w:rsid w:val="003B6BB8"/>
    <w:rsid w:val="003C2CC4"/>
    <w:rsid w:val="003D257A"/>
    <w:rsid w:val="003D4B23"/>
    <w:rsid w:val="00404FF9"/>
    <w:rsid w:val="004064B4"/>
    <w:rsid w:val="00406703"/>
    <w:rsid w:val="00410C89"/>
    <w:rsid w:val="004212D1"/>
    <w:rsid w:val="00426B9B"/>
    <w:rsid w:val="004325CB"/>
    <w:rsid w:val="00436B33"/>
    <w:rsid w:val="004379A2"/>
    <w:rsid w:val="00441C43"/>
    <w:rsid w:val="00442A83"/>
    <w:rsid w:val="0045495B"/>
    <w:rsid w:val="00476464"/>
    <w:rsid w:val="00487488"/>
    <w:rsid w:val="004A6B2D"/>
    <w:rsid w:val="004E22D5"/>
    <w:rsid w:val="00504BE6"/>
    <w:rsid w:val="0052136D"/>
    <w:rsid w:val="00522A11"/>
    <w:rsid w:val="0052775E"/>
    <w:rsid w:val="00532608"/>
    <w:rsid w:val="005420F2"/>
    <w:rsid w:val="005628B6"/>
    <w:rsid w:val="005848B3"/>
    <w:rsid w:val="00590F87"/>
    <w:rsid w:val="00592C4A"/>
    <w:rsid w:val="005A6908"/>
    <w:rsid w:val="005B13FF"/>
    <w:rsid w:val="005B3DB3"/>
    <w:rsid w:val="005B4F0A"/>
    <w:rsid w:val="005E7E51"/>
    <w:rsid w:val="005F4A37"/>
    <w:rsid w:val="005F7717"/>
    <w:rsid w:val="005F7B75"/>
    <w:rsid w:val="006001EE"/>
    <w:rsid w:val="00605042"/>
    <w:rsid w:val="00611A44"/>
    <w:rsid w:val="00611FC4"/>
    <w:rsid w:val="006176FB"/>
    <w:rsid w:val="00633720"/>
    <w:rsid w:val="00640B26"/>
    <w:rsid w:val="00645271"/>
    <w:rsid w:val="00652D0A"/>
    <w:rsid w:val="00662BB6"/>
    <w:rsid w:val="006729B9"/>
    <w:rsid w:val="006744A6"/>
    <w:rsid w:val="00684C21"/>
    <w:rsid w:val="00686D39"/>
    <w:rsid w:val="006A2B89"/>
    <w:rsid w:val="006A5A10"/>
    <w:rsid w:val="006C19F9"/>
    <w:rsid w:val="006D14B4"/>
    <w:rsid w:val="006D37AF"/>
    <w:rsid w:val="006D51D0"/>
    <w:rsid w:val="006E564B"/>
    <w:rsid w:val="006E7191"/>
    <w:rsid w:val="007022BF"/>
    <w:rsid w:val="00702622"/>
    <w:rsid w:val="0070329E"/>
    <w:rsid w:val="00703577"/>
    <w:rsid w:val="0072632A"/>
    <w:rsid w:val="007327D5"/>
    <w:rsid w:val="00742875"/>
    <w:rsid w:val="0074316B"/>
    <w:rsid w:val="007629C8"/>
    <w:rsid w:val="00784B54"/>
    <w:rsid w:val="007A7BA1"/>
    <w:rsid w:val="007A7EE6"/>
    <w:rsid w:val="007B6BA5"/>
    <w:rsid w:val="007C3390"/>
    <w:rsid w:val="007C4F4B"/>
    <w:rsid w:val="007C784F"/>
    <w:rsid w:val="007D3DAA"/>
    <w:rsid w:val="007D4D1C"/>
    <w:rsid w:val="007E0B2D"/>
    <w:rsid w:val="007F6611"/>
    <w:rsid w:val="008042DA"/>
    <w:rsid w:val="008105B8"/>
    <w:rsid w:val="008242D7"/>
    <w:rsid w:val="008257B1"/>
    <w:rsid w:val="00843767"/>
    <w:rsid w:val="008533EE"/>
    <w:rsid w:val="008634C6"/>
    <w:rsid w:val="008679D9"/>
    <w:rsid w:val="008733E3"/>
    <w:rsid w:val="00886EED"/>
    <w:rsid w:val="00894753"/>
    <w:rsid w:val="008979B1"/>
    <w:rsid w:val="008A1DB2"/>
    <w:rsid w:val="008A6B25"/>
    <w:rsid w:val="008A6C4F"/>
    <w:rsid w:val="008B2335"/>
    <w:rsid w:val="008E03A0"/>
    <w:rsid w:val="008E0678"/>
    <w:rsid w:val="008F147C"/>
    <w:rsid w:val="008F5568"/>
    <w:rsid w:val="00910F40"/>
    <w:rsid w:val="00912C08"/>
    <w:rsid w:val="00916700"/>
    <w:rsid w:val="009223CA"/>
    <w:rsid w:val="009334D4"/>
    <w:rsid w:val="0093439C"/>
    <w:rsid w:val="00940F93"/>
    <w:rsid w:val="00953089"/>
    <w:rsid w:val="0095347F"/>
    <w:rsid w:val="009760F3"/>
    <w:rsid w:val="00976439"/>
    <w:rsid w:val="009866A8"/>
    <w:rsid w:val="009909F5"/>
    <w:rsid w:val="009A0E8D"/>
    <w:rsid w:val="009A1F5A"/>
    <w:rsid w:val="009B26E7"/>
    <w:rsid w:val="009E0A86"/>
    <w:rsid w:val="009F73D3"/>
    <w:rsid w:val="00A00A3F"/>
    <w:rsid w:val="00A01489"/>
    <w:rsid w:val="00A338F1"/>
    <w:rsid w:val="00A44615"/>
    <w:rsid w:val="00A56410"/>
    <w:rsid w:val="00A6268D"/>
    <w:rsid w:val="00A67720"/>
    <w:rsid w:val="00A72F22"/>
    <w:rsid w:val="00A7360F"/>
    <w:rsid w:val="00A745F7"/>
    <w:rsid w:val="00A748A6"/>
    <w:rsid w:val="00A769F4"/>
    <w:rsid w:val="00A776B4"/>
    <w:rsid w:val="00A8567C"/>
    <w:rsid w:val="00A9196C"/>
    <w:rsid w:val="00A93B24"/>
    <w:rsid w:val="00A94361"/>
    <w:rsid w:val="00AA293C"/>
    <w:rsid w:val="00AE62F6"/>
    <w:rsid w:val="00AE756B"/>
    <w:rsid w:val="00B13E9B"/>
    <w:rsid w:val="00B1799F"/>
    <w:rsid w:val="00B23CDE"/>
    <w:rsid w:val="00B30179"/>
    <w:rsid w:val="00B3049F"/>
    <w:rsid w:val="00B339A7"/>
    <w:rsid w:val="00B54F64"/>
    <w:rsid w:val="00B56E4A"/>
    <w:rsid w:val="00B56E9C"/>
    <w:rsid w:val="00B64B1F"/>
    <w:rsid w:val="00B6553F"/>
    <w:rsid w:val="00B66E5E"/>
    <w:rsid w:val="00B7086B"/>
    <w:rsid w:val="00B713A8"/>
    <w:rsid w:val="00B77D05"/>
    <w:rsid w:val="00B81206"/>
    <w:rsid w:val="00B81E12"/>
    <w:rsid w:val="00B9067B"/>
    <w:rsid w:val="00B95D4B"/>
    <w:rsid w:val="00BA6153"/>
    <w:rsid w:val="00BC2C23"/>
    <w:rsid w:val="00BC74E9"/>
    <w:rsid w:val="00BD2CA1"/>
    <w:rsid w:val="00BF68A8"/>
    <w:rsid w:val="00C11A03"/>
    <w:rsid w:val="00C16EDD"/>
    <w:rsid w:val="00C411EB"/>
    <w:rsid w:val="00C463DD"/>
    <w:rsid w:val="00C471FE"/>
    <w:rsid w:val="00C4724C"/>
    <w:rsid w:val="00C629A0"/>
    <w:rsid w:val="00C62F84"/>
    <w:rsid w:val="00C66E92"/>
    <w:rsid w:val="00C712D2"/>
    <w:rsid w:val="00C745C3"/>
    <w:rsid w:val="00C75F47"/>
    <w:rsid w:val="00C95C85"/>
    <w:rsid w:val="00CA0F65"/>
    <w:rsid w:val="00CA7A8F"/>
    <w:rsid w:val="00CB6F4B"/>
    <w:rsid w:val="00CD3C68"/>
    <w:rsid w:val="00CE4A8F"/>
    <w:rsid w:val="00CF782A"/>
    <w:rsid w:val="00D05C6D"/>
    <w:rsid w:val="00D11CD1"/>
    <w:rsid w:val="00D15136"/>
    <w:rsid w:val="00D2031B"/>
    <w:rsid w:val="00D23FA3"/>
    <w:rsid w:val="00D25FE2"/>
    <w:rsid w:val="00D26921"/>
    <w:rsid w:val="00D3333F"/>
    <w:rsid w:val="00D335DC"/>
    <w:rsid w:val="00D3799E"/>
    <w:rsid w:val="00D42E2D"/>
    <w:rsid w:val="00D43252"/>
    <w:rsid w:val="00D47EEA"/>
    <w:rsid w:val="00D513DB"/>
    <w:rsid w:val="00D62A7F"/>
    <w:rsid w:val="00D95303"/>
    <w:rsid w:val="00D9619B"/>
    <w:rsid w:val="00D978C6"/>
    <w:rsid w:val="00DA0DA2"/>
    <w:rsid w:val="00DA15D8"/>
    <w:rsid w:val="00DA3111"/>
    <w:rsid w:val="00DA3C1C"/>
    <w:rsid w:val="00DB0C79"/>
    <w:rsid w:val="00DB0D14"/>
    <w:rsid w:val="00DB3F00"/>
    <w:rsid w:val="00DC35D5"/>
    <w:rsid w:val="00DE2641"/>
    <w:rsid w:val="00E071FB"/>
    <w:rsid w:val="00E12C88"/>
    <w:rsid w:val="00E267BC"/>
    <w:rsid w:val="00E27346"/>
    <w:rsid w:val="00E30E1A"/>
    <w:rsid w:val="00E31D2D"/>
    <w:rsid w:val="00E529BA"/>
    <w:rsid w:val="00E71BC8"/>
    <w:rsid w:val="00E7260F"/>
    <w:rsid w:val="00E779FC"/>
    <w:rsid w:val="00E949F1"/>
    <w:rsid w:val="00E96630"/>
    <w:rsid w:val="00EB2581"/>
    <w:rsid w:val="00EB30A9"/>
    <w:rsid w:val="00EB6AEE"/>
    <w:rsid w:val="00ED1569"/>
    <w:rsid w:val="00ED7A2A"/>
    <w:rsid w:val="00EF1D7F"/>
    <w:rsid w:val="00F01509"/>
    <w:rsid w:val="00F1515A"/>
    <w:rsid w:val="00F20C3D"/>
    <w:rsid w:val="00F338E7"/>
    <w:rsid w:val="00F3434F"/>
    <w:rsid w:val="00F43E9E"/>
    <w:rsid w:val="00F458F6"/>
    <w:rsid w:val="00F63ACA"/>
    <w:rsid w:val="00F9057C"/>
    <w:rsid w:val="00F906D7"/>
    <w:rsid w:val="00F9314C"/>
    <w:rsid w:val="00F93781"/>
    <w:rsid w:val="00F9764A"/>
    <w:rsid w:val="00FA7C5F"/>
    <w:rsid w:val="00FB5F7E"/>
    <w:rsid w:val="00FB613B"/>
    <w:rsid w:val="00FC68B7"/>
    <w:rsid w:val="00FC6C73"/>
    <w:rsid w:val="00FE106A"/>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1"/>
    <o:shapelayout v:ext="edit">
      <o:idmap v:ext="edit" data="1"/>
    </o:shapelayout>
  </w:shapeDefaults>
  <w:decimalSymbol w:val="."/>
  <w:listSeparator w:val=","/>
  <w15:docId w15:val="{0510064A-4BD6-468B-AD75-322D2DDBA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rsid w:val="000272B3"/>
    <w:pPr>
      <w:tabs>
        <w:tab w:val="right" w:pos="1021"/>
      </w:tabs>
      <w:spacing w:line="220" w:lineRule="exact"/>
      <w:ind w:left="1134" w:right="1134" w:hanging="1134"/>
    </w:pPr>
    <w:rPr>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rsid w:val="000272B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paragraph" w:styleId="BalloonText">
    <w:name w:val="Balloon Text"/>
    <w:basedOn w:val="Normal"/>
    <w:link w:val="BalloonTextChar"/>
    <w:rsid w:val="00183801"/>
    <w:pPr>
      <w:spacing w:line="240" w:lineRule="auto"/>
    </w:pPr>
    <w:rPr>
      <w:rFonts w:ascii="Tahoma" w:hAnsi="Tahoma"/>
      <w:sz w:val="16"/>
      <w:szCs w:val="16"/>
    </w:rPr>
  </w:style>
  <w:style w:type="character" w:customStyle="1" w:styleId="BalloonTextChar">
    <w:name w:val="Balloon Text Char"/>
    <w:link w:val="BalloonText"/>
    <w:rsid w:val="00183801"/>
    <w:rPr>
      <w:rFonts w:ascii="Tahoma" w:hAnsi="Tahoma" w:cs="Tahoma"/>
      <w:sz w:val="16"/>
      <w:szCs w:val="16"/>
      <w:lang w:eastAsia="en-US"/>
    </w:rPr>
  </w:style>
  <w:style w:type="character" w:styleId="CommentReference">
    <w:name w:val="annotation reference"/>
    <w:semiHidden/>
    <w:rsid w:val="00E529BA"/>
    <w:rPr>
      <w:sz w:val="16"/>
      <w:szCs w:val="16"/>
    </w:rPr>
  </w:style>
  <w:style w:type="paragraph" w:styleId="CommentText">
    <w:name w:val="annotation text"/>
    <w:basedOn w:val="Normal"/>
    <w:semiHidden/>
    <w:rsid w:val="00E529BA"/>
  </w:style>
  <w:style w:type="paragraph" w:styleId="CommentSubject">
    <w:name w:val="annotation subject"/>
    <w:basedOn w:val="CommentText"/>
    <w:next w:val="CommentText"/>
    <w:semiHidden/>
    <w:rsid w:val="00E529BA"/>
    <w:rPr>
      <w:b/>
      <w:bCs/>
    </w:rPr>
  </w:style>
  <w:style w:type="paragraph" w:styleId="Revision">
    <w:name w:val="Revision"/>
    <w:hidden/>
    <w:uiPriority w:val="99"/>
    <w:semiHidden/>
    <w:rsid w:val="000874C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CCPR_E</Template>
  <TotalTime>0</TotalTime>
  <Pages>4</Pages>
  <Words>3378</Words>
  <Characters>19255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22588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temp Neogi</dc:creator>
  <cp:keywords/>
  <cp:lastModifiedBy>Sarah Willig</cp:lastModifiedBy>
  <cp:revision>2</cp:revision>
  <cp:lastPrinted>2014-05-09T12:33:00Z</cp:lastPrinted>
  <dcterms:created xsi:type="dcterms:W3CDTF">2017-01-24T22:01:00Z</dcterms:created>
  <dcterms:modified xsi:type="dcterms:W3CDTF">2017-01-24T22:01:00Z</dcterms:modified>
</cp:coreProperties>
</file>