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RPr="00DF23DE" w14:paraId="797D4BCB" w14:textId="77777777">
        <w:trPr>
          <w:trHeight w:hRule="exact" w:val="851"/>
        </w:trPr>
        <w:tc>
          <w:tcPr>
            <w:tcW w:w="1276" w:type="dxa"/>
            <w:tcBorders>
              <w:bottom w:val="single" w:sz="4" w:space="0" w:color="auto"/>
            </w:tcBorders>
            <w:vAlign w:val="bottom"/>
          </w:tcPr>
          <w:p w14:paraId="445BCEE3" w14:textId="77777777" w:rsidR="00B56E9C" w:rsidRPr="0006683C" w:rsidRDefault="0006683C" w:rsidP="0006683C">
            <w:pPr>
              <w:spacing w:line="20" w:lineRule="exact"/>
              <w:rPr>
                <w:sz w:val="2"/>
              </w:rPr>
            </w:pPr>
            <w:r>
              <w:rPr>
                <w:rStyle w:val="CommentReference"/>
              </w:rPr>
              <w:commentReference w:id="0"/>
            </w:r>
            <w:bookmarkStart w:id="1" w:name="_GoBack"/>
            <w:bookmarkEnd w:id="1"/>
          </w:p>
          <w:p w14:paraId="111CA09A" w14:textId="77777777" w:rsidR="0006683C" w:rsidRPr="00044076" w:rsidRDefault="0006683C" w:rsidP="00B6553F">
            <w:pPr>
              <w:spacing w:after="80"/>
            </w:pPr>
          </w:p>
        </w:tc>
        <w:tc>
          <w:tcPr>
            <w:tcW w:w="1985" w:type="dxa"/>
            <w:tcBorders>
              <w:bottom w:val="single" w:sz="4" w:space="0" w:color="auto"/>
            </w:tcBorders>
            <w:vAlign w:val="bottom"/>
          </w:tcPr>
          <w:p w14:paraId="1249E806" w14:textId="77777777" w:rsidR="00B56E9C" w:rsidRPr="00DF23DE" w:rsidRDefault="005D5AC7" w:rsidP="00B6553F">
            <w:pPr>
              <w:spacing w:after="80" w:line="300" w:lineRule="exact"/>
              <w:rPr>
                <w:b/>
                <w:sz w:val="24"/>
                <w:szCs w:val="24"/>
              </w:rPr>
            </w:pPr>
            <w:r w:rsidRPr="00DF23DE">
              <w:rPr>
                <w:sz w:val="28"/>
                <w:szCs w:val="28"/>
              </w:rPr>
              <w:t>United Nations</w:t>
            </w:r>
          </w:p>
        </w:tc>
        <w:tc>
          <w:tcPr>
            <w:tcW w:w="6378" w:type="dxa"/>
            <w:gridSpan w:val="2"/>
            <w:tcBorders>
              <w:bottom w:val="single" w:sz="4" w:space="0" w:color="auto"/>
            </w:tcBorders>
            <w:vAlign w:val="bottom"/>
          </w:tcPr>
          <w:p w14:paraId="3856EADF" w14:textId="77777777" w:rsidR="00B56E9C" w:rsidRPr="00DF23DE" w:rsidRDefault="00785A61" w:rsidP="0026218D">
            <w:pPr>
              <w:jc w:val="right"/>
            </w:pPr>
            <w:r w:rsidRPr="00DF23DE">
              <w:rPr>
                <w:sz w:val="40"/>
              </w:rPr>
              <w:t>CAT</w:t>
            </w:r>
            <w:r w:rsidRPr="00DF23DE">
              <w:t>/C/</w:t>
            </w:r>
            <w:r w:rsidR="000360C6" w:rsidRPr="00DF23DE">
              <w:t>5</w:t>
            </w:r>
            <w:r w:rsidR="000C705B" w:rsidRPr="00DF23DE">
              <w:t>5</w:t>
            </w:r>
            <w:r w:rsidRPr="00DF23DE">
              <w:t>/</w:t>
            </w:r>
            <w:r w:rsidR="0026218D" w:rsidRPr="00DF23DE">
              <w:t>D</w:t>
            </w:r>
            <w:r w:rsidR="000077B8" w:rsidRPr="00DF23DE">
              <w:t>/554</w:t>
            </w:r>
            <w:r w:rsidRPr="00DF23DE">
              <w:t>/201</w:t>
            </w:r>
            <w:r w:rsidR="000360C6" w:rsidRPr="00DF23DE">
              <w:t>3</w:t>
            </w:r>
          </w:p>
        </w:tc>
      </w:tr>
      <w:tr w:rsidR="00B56E9C" w:rsidRPr="00DF23DE" w14:paraId="5959992F" w14:textId="77777777">
        <w:trPr>
          <w:cantSplit/>
          <w:trHeight w:hRule="exact" w:val="2835"/>
        </w:trPr>
        <w:tc>
          <w:tcPr>
            <w:tcW w:w="1276" w:type="dxa"/>
            <w:tcBorders>
              <w:top w:val="single" w:sz="4" w:space="0" w:color="auto"/>
              <w:bottom w:val="single" w:sz="12" w:space="0" w:color="auto"/>
            </w:tcBorders>
          </w:tcPr>
          <w:p w14:paraId="56D1A255" w14:textId="77777777" w:rsidR="00B56E9C" w:rsidRPr="00DF23DE" w:rsidRDefault="0006683C" w:rsidP="00B6553F">
            <w:pPr>
              <w:spacing w:before="120"/>
            </w:pPr>
            <w:r>
              <w:rPr>
                <w:noProof/>
                <w:lang w:val="en-US"/>
              </w:rPr>
              <w:drawing>
                <wp:inline distT="0" distB="0" distL="0" distR="0" wp14:anchorId="365103F0" wp14:editId="5D10F0A4">
                  <wp:extent cx="714375" cy="590550"/>
                  <wp:effectExtent l="0" t="0" r="9525"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34D6CD2" w14:textId="77777777" w:rsidR="00B56E9C" w:rsidRPr="00DF23DE" w:rsidRDefault="005D5AC7" w:rsidP="00267F5F">
            <w:pPr>
              <w:spacing w:before="120" w:line="380" w:lineRule="exact"/>
              <w:rPr>
                <w:sz w:val="34"/>
              </w:rPr>
            </w:pPr>
            <w:r w:rsidRPr="00DF23DE">
              <w:rPr>
                <w:b/>
                <w:sz w:val="34"/>
                <w:szCs w:val="34"/>
              </w:rPr>
              <w:t>Convention against Torture</w:t>
            </w:r>
            <w:r w:rsidRPr="00DF23DE">
              <w:rPr>
                <w:b/>
                <w:sz w:val="34"/>
                <w:szCs w:val="34"/>
              </w:rPr>
              <w:br/>
              <w:t>and Other Cruel, Inhuman or Degrading Treatment</w:t>
            </w:r>
            <w:r w:rsidRPr="00DF23DE">
              <w:rPr>
                <w:b/>
                <w:sz w:val="34"/>
                <w:szCs w:val="34"/>
              </w:rPr>
              <w:br/>
              <w:t>or Punishment</w:t>
            </w:r>
          </w:p>
        </w:tc>
        <w:tc>
          <w:tcPr>
            <w:tcW w:w="2835" w:type="dxa"/>
            <w:tcBorders>
              <w:top w:val="single" w:sz="4" w:space="0" w:color="auto"/>
              <w:bottom w:val="single" w:sz="12" w:space="0" w:color="auto"/>
            </w:tcBorders>
          </w:tcPr>
          <w:p w14:paraId="0C549B3E" w14:textId="77777777" w:rsidR="00AD2038" w:rsidRPr="00DF23DE" w:rsidRDefault="00785A61" w:rsidP="00B02F55">
            <w:pPr>
              <w:suppressAutoHyphens w:val="0"/>
              <w:spacing w:before="240" w:line="240" w:lineRule="exact"/>
            </w:pPr>
            <w:r w:rsidRPr="00DF23DE">
              <w:t xml:space="preserve">Distr.: </w:t>
            </w:r>
            <w:r w:rsidR="00B02F55" w:rsidRPr="005E4862">
              <w:t>General</w:t>
            </w:r>
          </w:p>
          <w:p w14:paraId="24D46308" w14:textId="77777777" w:rsidR="00785A61" w:rsidRPr="00DF23DE" w:rsidRDefault="008A4724" w:rsidP="00B5356B">
            <w:pPr>
              <w:spacing w:line="240" w:lineRule="exact"/>
            </w:pPr>
            <w:r>
              <w:t>9</w:t>
            </w:r>
            <w:r w:rsidRPr="005E4862">
              <w:t xml:space="preserve"> </w:t>
            </w:r>
            <w:r w:rsidR="00E21A27" w:rsidRPr="005E4862">
              <w:t xml:space="preserve">October </w:t>
            </w:r>
            <w:r w:rsidR="00E666A6" w:rsidRPr="00DF23DE">
              <w:t>2015</w:t>
            </w:r>
          </w:p>
          <w:p w14:paraId="02E7E4A7" w14:textId="77777777" w:rsidR="00785A61" w:rsidRPr="00DF23DE" w:rsidRDefault="00785A61" w:rsidP="00785A61">
            <w:pPr>
              <w:spacing w:line="240" w:lineRule="exact"/>
            </w:pPr>
          </w:p>
          <w:p w14:paraId="153B9DBB" w14:textId="77777777" w:rsidR="00B56E9C" w:rsidRPr="00DF23DE" w:rsidRDefault="00785A61" w:rsidP="00785A61">
            <w:pPr>
              <w:spacing w:line="240" w:lineRule="exact"/>
            </w:pPr>
            <w:r w:rsidRPr="00DF23DE">
              <w:t>Original: English</w:t>
            </w:r>
          </w:p>
          <w:p w14:paraId="2B1ED838" w14:textId="77777777" w:rsidR="00991F66" w:rsidRPr="00DF23DE" w:rsidRDefault="00991F66" w:rsidP="005715BB">
            <w:pPr>
              <w:spacing w:line="240" w:lineRule="exact"/>
            </w:pPr>
          </w:p>
        </w:tc>
      </w:tr>
    </w:tbl>
    <w:p w14:paraId="5D568CCB" w14:textId="77777777" w:rsidR="001275E2" w:rsidRPr="00DF23DE" w:rsidRDefault="001275E2" w:rsidP="001275E2">
      <w:pPr>
        <w:spacing w:before="120"/>
        <w:rPr>
          <w:b/>
          <w:sz w:val="24"/>
          <w:szCs w:val="24"/>
        </w:rPr>
      </w:pPr>
      <w:r w:rsidRPr="00DF23DE">
        <w:rPr>
          <w:b/>
          <w:sz w:val="24"/>
          <w:szCs w:val="24"/>
        </w:rPr>
        <w:t>Committee against Torture</w:t>
      </w:r>
    </w:p>
    <w:p w14:paraId="5C643717" w14:textId="77777777" w:rsidR="00AD2038" w:rsidRPr="00DF23DE" w:rsidRDefault="001275E2" w:rsidP="0078413D">
      <w:pPr>
        <w:pStyle w:val="HChG"/>
      </w:pPr>
      <w:r w:rsidRPr="00DF23DE">
        <w:rPr>
          <w:snapToGrid w:val="0"/>
        </w:rPr>
        <w:tab/>
      </w:r>
      <w:r w:rsidR="004C7ED7" w:rsidRPr="00DF23DE">
        <w:rPr>
          <w:snapToGrid w:val="0"/>
        </w:rPr>
        <w:tab/>
      </w:r>
      <w:r w:rsidR="000360C6" w:rsidRPr="00DF23DE">
        <w:rPr>
          <w:snapToGrid w:val="0"/>
        </w:rPr>
        <w:t>Communication No. 5</w:t>
      </w:r>
      <w:r w:rsidR="000C705B" w:rsidRPr="00DF23DE">
        <w:rPr>
          <w:snapToGrid w:val="0"/>
        </w:rPr>
        <w:t>54</w:t>
      </w:r>
      <w:r w:rsidR="00AD2038" w:rsidRPr="00DF23DE">
        <w:rPr>
          <w:snapToGrid w:val="0"/>
        </w:rPr>
        <w:t>/201</w:t>
      </w:r>
      <w:r w:rsidR="000360C6" w:rsidRPr="00DF23DE">
        <w:rPr>
          <w:snapToGrid w:val="0"/>
        </w:rPr>
        <w:t>3</w:t>
      </w:r>
    </w:p>
    <w:p w14:paraId="0BA2440D" w14:textId="77777777" w:rsidR="0065674C" w:rsidRPr="005E4862" w:rsidRDefault="008306AF" w:rsidP="0065674C">
      <w:pPr>
        <w:pStyle w:val="H1G"/>
      </w:pPr>
      <w:r w:rsidRPr="00DF23DE">
        <w:rPr>
          <w:b w:val="0"/>
          <w:snapToGrid w:val="0"/>
          <w:sz w:val="28"/>
          <w:szCs w:val="28"/>
        </w:rPr>
        <w:tab/>
      </w:r>
      <w:r w:rsidRPr="00DF23DE">
        <w:rPr>
          <w:b w:val="0"/>
          <w:snapToGrid w:val="0"/>
          <w:sz w:val="28"/>
          <w:szCs w:val="28"/>
        </w:rPr>
        <w:tab/>
      </w:r>
      <w:r w:rsidR="0065674C" w:rsidRPr="00DF23DE">
        <w:rPr>
          <w:szCs w:val="24"/>
        </w:rPr>
        <w:t xml:space="preserve">Decision adopted by the Committee at its fifty-fifth session </w:t>
      </w:r>
      <w:r w:rsidR="008B419E" w:rsidRPr="00DF23DE">
        <w:rPr>
          <w:szCs w:val="24"/>
        </w:rPr>
        <w:br/>
      </w:r>
      <w:r w:rsidR="0065674C" w:rsidRPr="00DF23DE">
        <w:rPr>
          <w:szCs w:val="24"/>
        </w:rPr>
        <w:t>(27 July-14 August 2015)</w:t>
      </w:r>
    </w:p>
    <w:tbl>
      <w:tblPr>
        <w:tblW w:w="0" w:type="auto"/>
        <w:tblInd w:w="1200" w:type="dxa"/>
        <w:tblLayout w:type="fixed"/>
        <w:tblCellMar>
          <w:left w:w="0" w:type="dxa"/>
          <w:right w:w="0" w:type="dxa"/>
        </w:tblCellMar>
        <w:tblLook w:val="01E0" w:firstRow="1" w:lastRow="1" w:firstColumn="1" w:lastColumn="1" w:noHBand="0" w:noVBand="0"/>
      </w:tblPr>
      <w:tblGrid>
        <w:gridCol w:w="3119"/>
        <w:gridCol w:w="4253"/>
      </w:tblGrid>
      <w:tr w:rsidR="00AD2038" w:rsidRPr="00DF23DE" w14:paraId="53A88722" w14:textId="77777777" w:rsidTr="005E4862">
        <w:tc>
          <w:tcPr>
            <w:tcW w:w="3119" w:type="dxa"/>
          </w:tcPr>
          <w:p w14:paraId="6B196044" w14:textId="77777777" w:rsidR="00AD2038" w:rsidRPr="00DF23DE" w:rsidRDefault="00AD2038" w:rsidP="00117576">
            <w:pPr>
              <w:pStyle w:val="SingleTxtG"/>
              <w:ind w:left="0" w:right="0"/>
              <w:jc w:val="left"/>
              <w:rPr>
                <w:i/>
              </w:rPr>
            </w:pPr>
            <w:r w:rsidRPr="00DF23DE">
              <w:rPr>
                <w:i/>
              </w:rPr>
              <w:t>Submitted by:</w:t>
            </w:r>
          </w:p>
        </w:tc>
        <w:tc>
          <w:tcPr>
            <w:tcW w:w="4253" w:type="dxa"/>
          </w:tcPr>
          <w:p w14:paraId="478EFDB9" w14:textId="77777777" w:rsidR="00AD2038" w:rsidRPr="00DF23DE" w:rsidRDefault="00DB16FC" w:rsidP="000C705B">
            <w:pPr>
              <w:pStyle w:val="SingleTxtG"/>
              <w:ind w:left="0" w:right="0"/>
              <w:jc w:val="left"/>
            </w:pPr>
            <w:r w:rsidRPr="00DF23DE">
              <w:t>X.</w:t>
            </w:r>
            <w:r w:rsidR="00FF118F" w:rsidRPr="00DF23DE">
              <w:t xml:space="preserve"> (represented by counsel, Yaroslav</w:t>
            </w:r>
            <w:r w:rsidR="008B419E" w:rsidRPr="00DF23DE">
              <w:t> </w:t>
            </w:r>
            <w:r w:rsidR="00FF118F" w:rsidRPr="00DF23DE">
              <w:t>Ravdel)</w:t>
            </w:r>
            <w:r w:rsidR="00FF118F" w:rsidRPr="00DF23DE">
              <w:rPr>
                <w:rStyle w:val="FootnoteReference"/>
              </w:rPr>
              <w:footnoteReference w:id="2"/>
            </w:r>
          </w:p>
        </w:tc>
      </w:tr>
      <w:tr w:rsidR="00AD2038" w:rsidRPr="00DF23DE" w14:paraId="4F6365D8" w14:textId="77777777" w:rsidTr="005E4862">
        <w:tc>
          <w:tcPr>
            <w:tcW w:w="3119" w:type="dxa"/>
          </w:tcPr>
          <w:p w14:paraId="035516E5" w14:textId="77777777" w:rsidR="00AD2038" w:rsidRPr="00DF23DE" w:rsidRDefault="00AD2038" w:rsidP="00960527">
            <w:pPr>
              <w:pStyle w:val="SingleTxtG"/>
              <w:ind w:left="0" w:right="0"/>
              <w:jc w:val="left"/>
              <w:rPr>
                <w:i/>
              </w:rPr>
            </w:pPr>
            <w:r w:rsidRPr="00DF23DE">
              <w:rPr>
                <w:i/>
              </w:rPr>
              <w:t>Alleged victim:</w:t>
            </w:r>
          </w:p>
        </w:tc>
        <w:tc>
          <w:tcPr>
            <w:tcW w:w="4253" w:type="dxa"/>
          </w:tcPr>
          <w:p w14:paraId="725C061C" w14:textId="77777777" w:rsidR="00AD2038" w:rsidRPr="00DF23DE" w:rsidRDefault="008B419E" w:rsidP="00117576">
            <w:pPr>
              <w:pStyle w:val="SingleTxtG"/>
              <w:ind w:left="0" w:right="0"/>
              <w:jc w:val="left"/>
            </w:pPr>
            <w:r w:rsidRPr="00DF23DE">
              <w:rPr>
                <w:snapToGrid w:val="0"/>
              </w:rPr>
              <w:t>T</w:t>
            </w:r>
            <w:r w:rsidR="00FF118F" w:rsidRPr="00DF23DE">
              <w:rPr>
                <w:snapToGrid w:val="0"/>
              </w:rPr>
              <w:t>he complainant</w:t>
            </w:r>
          </w:p>
        </w:tc>
      </w:tr>
      <w:tr w:rsidR="00AD2038" w:rsidRPr="00DF23DE" w14:paraId="1303629B" w14:textId="77777777" w:rsidTr="005E4862">
        <w:tc>
          <w:tcPr>
            <w:tcW w:w="3119" w:type="dxa"/>
          </w:tcPr>
          <w:p w14:paraId="3347022F" w14:textId="77777777" w:rsidR="00AD2038" w:rsidRPr="00DF23DE" w:rsidRDefault="00AD2038" w:rsidP="00117576">
            <w:pPr>
              <w:pStyle w:val="SingleTxtG"/>
              <w:ind w:left="0" w:right="0"/>
              <w:jc w:val="left"/>
              <w:rPr>
                <w:i/>
              </w:rPr>
            </w:pPr>
            <w:r w:rsidRPr="00DF23DE">
              <w:rPr>
                <w:i/>
              </w:rPr>
              <w:t>State party:</w:t>
            </w:r>
          </w:p>
        </w:tc>
        <w:tc>
          <w:tcPr>
            <w:tcW w:w="4253" w:type="dxa"/>
          </w:tcPr>
          <w:p w14:paraId="462BA26F" w14:textId="77777777" w:rsidR="00AD2038" w:rsidRPr="00DF23DE" w:rsidRDefault="00AD2038" w:rsidP="00117576">
            <w:pPr>
              <w:pStyle w:val="SingleTxtG"/>
              <w:ind w:left="0" w:right="0"/>
              <w:jc w:val="left"/>
            </w:pPr>
            <w:r w:rsidRPr="00DF23DE">
              <w:t>Kazakhstan</w:t>
            </w:r>
          </w:p>
        </w:tc>
      </w:tr>
      <w:tr w:rsidR="00AD2038" w:rsidRPr="00DF23DE" w14:paraId="70A8BC14" w14:textId="77777777" w:rsidTr="005E4862">
        <w:tc>
          <w:tcPr>
            <w:tcW w:w="3119" w:type="dxa"/>
          </w:tcPr>
          <w:p w14:paraId="03EA8577" w14:textId="77777777" w:rsidR="00AD2038" w:rsidRPr="00DF23DE" w:rsidRDefault="00AD2038" w:rsidP="00117576">
            <w:pPr>
              <w:pStyle w:val="SingleTxtG"/>
              <w:ind w:left="0" w:right="0"/>
              <w:jc w:val="left"/>
              <w:rPr>
                <w:i/>
              </w:rPr>
            </w:pPr>
            <w:r w:rsidRPr="00DF23DE">
              <w:rPr>
                <w:i/>
              </w:rPr>
              <w:t>Date of complaint:</w:t>
            </w:r>
          </w:p>
        </w:tc>
        <w:tc>
          <w:tcPr>
            <w:tcW w:w="4253" w:type="dxa"/>
          </w:tcPr>
          <w:p w14:paraId="570EDFB3" w14:textId="77777777" w:rsidR="00AD2038" w:rsidRPr="00DF23DE" w:rsidRDefault="00764D3F" w:rsidP="00764D3F">
            <w:pPr>
              <w:pStyle w:val="SingleTxtG"/>
              <w:ind w:left="0" w:right="0"/>
              <w:jc w:val="left"/>
            </w:pPr>
            <w:r w:rsidRPr="00DF23DE">
              <w:t xml:space="preserve">25 June </w:t>
            </w:r>
            <w:r w:rsidR="00AD2038" w:rsidRPr="00DF23DE">
              <w:t>201</w:t>
            </w:r>
            <w:r w:rsidR="000360C6" w:rsidRPr="00DF23DE">
              <w:t>3</w:t>
            </w:r>
            <w:r w:rsidR="00AD2038" w:rsidRPr="00DF23DE">
              <w:t xml:space="preserve"> (initial submission)</w:t>
            </w:r>
          </w:p>
        </w:tc>
      </w:tr>
      <w:tr w:rsidR="00AD2038" w:rsidRPr="00DF23DE" w14:paraId="48720BDC" w14:textId="77777777" w:rsidTr="005E4862">
        <w:tc>
          <w:tcPr>
            <w:tcW w:w="3119" w:type="dxa"/>
          </w:tcPr>
          <w:p w14:paraId="1444343E" w14:textId="77777777" w:rsidR="00AD2038" w:rsidRPr="00DF23DE" w:rsidRDefault="00AD2038" w:rsidP="00117576">
            <w:pPr>
              <w:pStyle w:val="SingleTxtG"/>
              <w:ind w:left="0" w:right="0"/>
              <w:jc w:val="left"/>
              <w:rPr>
                <w:i/>
              </w:rPr>
            </w:pPr>
            <w:r w:rsidRPr="00DF23DE">
              <w:rPr>
                <w:i/>
              </w:rPr>
              <w:t>Date of present decision:</w:t>
            </w:r>
          </w:p>
        </w:tc>
        <w:tc>
          <w:tcPr>
            <w:tcW w:w="4253" w:type="dxa"/>
            <w:vAlign w:val="bottom"/>
          </w:tcPr>
          <w:p w14:paraId="1794F46F" w14:textId="77777777" w:rsidR="00AD2038" w:rsidRPr="00DF23DE" w:rsidRDefault="003F4589" w:rsidP="001978A6">
            <w:pPr>
              <w:pStyle w:val="SingleTxtG"/>
              <w:ind w:left="0" w:right="0"/>
              <w:jc w:val="left"/>
            </w:pPr>
            <w:r w:rsidRPr="005E4862">
              <w:rPr>
                <w:snapToGrid w:val="0"/>
              </w:rPr>
              <w:t xml:space="preserve">3 August </w:t>
            </w:r>
            <w:r w:rsidR="000360C6" w:rsidRPr="005E4862">
              <w:rPr>
                <w:snapToGrid w:val="0"/>
              </w:rPr>
              <w:t>201</w:t>
            </w:r>
            <w:r w:rsidR="00D5558F" w:rsidRPr="005E4862">
              <w:rPr>
                <w:snapToGrid w:val="0"/>
              </w:rPr>
              <w:t>5</w:t>
            </w:r>
          </w:p>
        </w:tc>
      </w:tr>
      <w:tr w:rsidR="00AD2038" w:rsidRPr="00DF23DE" w14:paraId="665DC578" w14:textId="77777777" w:rsidTr="005E4862">
        <w:tc>
          <w:tcPr>
            <w:tcW w:w="3119" w:type="dxa"/>
          </w:tcPr>
          <w:p w14:paraId="5A3DBFFA" w14:textId="77777777" w:rsidR="00AD2038" w:rsidRPr="00DF23DE" w:rsidRDefault="00AD2038" w:rsidP="00117576">
            <w:pPr>
              <w:pStyle w:val="SingleTxtG"/>
              <w:ind w:left="0" w:right="0"/>
              <w:jc w:val="left"/>
              <w:rPr>
                <w:i/>
              </w:rPr>
            </w:pPr>
            <w:r w:rsidRPr="00DF23DE">
              <w:rPr>
                <w:i/>
                <w:iCs/>
              </w:rPr>
              <w:t>Subject matter:</w:t>
            </w:r>
          </w:p>
        </w:tc>
        <w:tc>
          <w:tcPr>
            <w:tcW w:w="4253" w:type="dxa"/>
          </w:tcPr>
          <w:p w14:paraId="0DFAB77C" w14:textId="77777777" w:rsidR="00AD2038" w:rsidRPr="00DF23DE" w:rsidRDefault="00AD2038" w:rsidP="00764D3F">
            <w:pPr>
              <w:pStyle w:val="SingleTxtG"/>
              <w:ind w:left="0" w:right="0"/>
              <w:jc w:val="left"/>
            </w:pPr>
            <w:r w:rsidRPr="00DF23DE">
              <w:t xml:space="preserve">Extradition to </w:t>
            </w:r>
            <w:r w:rsidR="00764D3F" w:rsidRPr="00DF23DE">
              <w:t>the Russian Federation</w:t>
            </w:r>
          </w:p>
        </w:tc>
      </w:tr>
      <w:tr w:rsidR="00AD2038" w:rsidRPr="00DF23DE" w14:paraId="5BF4E27D" w14:textId="77777777" w:rsidTr="005E4862">
        <w:tc>
          <w:tcPr>
            <w:tcW w:w="3119" w:type="dxa"/>
          </w:tcPr>
          <w:p w14:paraId="366D79FD" w14:textId="77777777" w:rsidR="00AD2038" w:rsidRPr="00DF23DE" w:rsidRDefault="00AD2038" w:rsidP="00117576">
            <w:pPr>
              <w:pStyle w:val="SingleTxtG"/>
              <w:ind w:left="0" w:right="0"/>
              <w:jc w:val="left"/>
              <w:rPr>
                <w:i/>
                <w:iCs/>
              </w:rPr>
            </w:pPr>
            <w:r w:rsidRPr="00DF23DE">
              <w:rPr>
                <w:i/>
                <w:iCs/>
              </w:rPr>
              <w:t>Substantive issue:</w:t>
            </w:r>
          </w:p>
        </w:tc>
        <w:tc>
          <w:tcPr>
            <w:tcW w:w="4253" w:type="dxa"/>
          </w:tcPr>
          <w:p w14:paraId="20EDC03F" w14:textId="77777777" w:rsidR="00AD2038" w:rsidRPr="00DF23DE" w:rsidRDefault="00AD2038" w:rsidP="00117576">
            <w:pPr>
              <w:pStyle w:val="SingleTxtG"/>
              <w:ind w:left="0" w:right="0"/>
              <w:jc w:val="left"/>
            </w:pPr>
            <w:r w:rsidRPr="00DF23DE">
              <w:t xml:space="preserve">Risk of torture </w:t>
            </w:r>
            <w:r w:rsidR="00522E7C" w:rsidRPr="00DF23DE">
              <w:t xml:space="preserve">and death </w:t>
            </w:r>
            <w:r w:rsidRPr="00DF23DE">
              <w:t>upon return to the country of origin</w:t>
            </w:r>
          </w:p>
        </w:tc>
      </w:tr>
      <w:tr w:rsidR="00AD2038" w:rsidRPr="00DF23DE" w14:paraId="36918459" w14:textId="77777777" w:rsidTr="005E4862">
        <w:tc>
          <w:tcPr>
            <w:tcW w:w="3119" w:type="dxa"/>
          </w:tcPr>
          <w:p w14:paraId="5CA1B8B0" w14:textId="77777777" w:rsidR="00AD2038" w:rsidRPr="00DF23DE" w:rsidRDefault="00AD2038" w:rsidP="00117576">
            <w:pPr>
              <w:pStyle w:val="SingleTxtG"/>
              <w:ind w:left="0" w:right="0"/>
              <w:jc w:val="left"/>
              <w:rPr>
                <w:i/>
                <w:iCs/>
              </w:rPr>
            </w:pPr>
            <w:r w:rsidRPr="00DF23DE">
              <w:rPr>
                <w:i/>
                <w:iCs/>
              </w:rPr>
              <w:t>Procedural issue</w:t>
            </w:r>
            <w:r w:rsidR="00C669CC" w:rsidRPr="00DF23DE">
              <w:rPr>
                <w:i/>
                <w:iCs/>
              </w:rPr>
              <w:t>s</w:t>
            </w:r>
            <w:r w:rsidRPr="00DF23DE">
              <w:rPr>
                <w:i/>
              </w:rPr>
              <w:t>:</w:t>
            </w:r>
          </w:p>
        </w:tc>
        <w:tc>
          <w:tcPr>
            <w:tcW w:w="4253" w:type="dxa"/>
          </w:tcPr>
          <w:p w14:paraId="43372BA0" w14:textId="77777777" w:rsidR="00AD2038" w:rsidRPr="00DF23DE" w:rsidRDefault="00DB0E68">
            <w:pPr>
              <w:pStyle w:val="SingleTxtG"/>
              <w:ind w:left="0" w:right="0"/>
              <w:jc w:val="left"/>
            </w:pPr>
            <w:r w:rsidRPr="00DF23DE">
              <w:t>E</w:t>
            </w:r>
            <w:r w:rsidR="008A3D89" w:rsidRPr="00DF23DE">
              <w:t>xhaustion of domestic remedies</w:t>
            </w:r>
            <w:r w:rsidR="00307A89" w:rsidRPr="00DF23DE">
              <w:t xml:space="preserve">, </w:t>
            </w:r>
            <w:r w:rsidR="005F7BCE" w:rsidRPr="00DF23DE">
              <w:t>substantiation of</w:t>
            </w:r>
            <w:r w:rsidR="00A74571" w:rsidRPr="00DF23DE">
              <w:t> </w:t>
            </w:r>
            <w:r w:rsidR="005F7BCE" w:rsidRPr="00DF23DE">
              <w:t>the complaint</w:t>
            </w:r>
          </w:p>
        </w:tc>
      </w:tr>
      <w:tr w:rsidR="00AD2038" w:rsidRPr="00DF23DE" w14:paraId="5B932177" w14:textId="77777777" w:rsidTr="005E4862">
        <w:tc>
          <w:tcPr>
            <w:tcW w:w="3119" w:type="dxa"/>
          </w:tcPr>
          <w:p w14:paraId="078F2167" w14:textId="77777777" w:rsidR="00AD2038" w:rsidRPr="00DF23DE" w:rsidRDefault="00AD2038" w:rsidP="00117576">
            <w:pPr>
              <w:pStyle w:val="SingleTxtG"/>
              <w:spacing w:after="240"/>
              <w:ind w:left="0" w:right="0"/>
              <w:jc w:val="left"/>
              <w:rPr>
                <w:i/>
                <w:iCs/>
              </w:rPr>
            </w:pPr>
            <w:r w:rsidRPr="00DF23DE">
              <w:rPr>
                <w:i/>
                <w:iCs/>
              </w:rPr>
              <w:t>Article of the Convention</w:t>
            </w:r>
            <w:r w:rsidRPr="00DF23DE">
              <w:rPr>
                <w:i/>
              </w:rPr>
              <w:t>:</w:t>
            </w:r>
          </w:p>
        </w:tc>
        <w:tc>
          <w:tcPr>
            <w:tcW w:w="4253" w:type="dxa"/>
          </w:tcPr>
          <w:p w14:paraId="19012272" w14:textId="77777777" w:rsidR="00AD2038" w:rsidRPr="00DF23DE" w:rsidRDefault="00AD2038" w:rsidP="00DB0E68">
            <w:pPr>
              <w:pStyle w:val="SingleTxtG"/>
              <w:spacing w:after="240"/>
              <w:ind w:left="0" w:right="0"/>
              <w:jc w:val="left"/>
            </w:pPr>
            <w:r w:rsidRPr="00DF23DE">
              <w:t>3</w:t>
            </w:r>
            <w:r w:rsidR="00EE69E1" w:rsidRPr="00DF23DE">
              <w:t>, 6, 7</w:t>
            </w:r>
            <w:r w:rsidR="00DB0E68" w:rsidRPr="00DF23DE">
              <w:t xml:space="preserve"> and</w:t>
            </w:r>
            <w:r w:rsidR="007F7B15" w:rsidRPr="00DF23DE">
              <w:t xml:space="preserve"> 22</w:t>
            </w:r>
          </w:p>
        </w:tc>
      </w:tr>
    </w:tbl>
    <w:p w14:paraId="3677B8F5" w14:textId="77777777" w:rsidR="002F6F0F" w:rsidRPr="00DF23DE" w:rsidRDefault="004C7ED7" w:rsidP="004C7ED7">
      <w:pPr>
        <w:pStyle w:val="HChG"/>
        <w:rPr>
          <w:snapToGrid w:val="0"/>
        </w:rPr>
      </w:pPr>
      <w:r w:rsidRPr="00DF23DE">
        <w:br w:type="page"/>
      </w:r>
      <w:r w:rsidR="002F6F0F" w:rsidRPr="00DF23DE">
        <w:rPr>
          <w:snapToGrid w:val="0"/>
        </w:rPr>
        <w:lastRenderedPageBreak/>
        <w:t>Annex</w:t>
      </w:r>
    </w:p>
    <w:p w14:paraId="29FF69F8" w14:textId="77777777" w:rsidR="00D5558F" w:rsidRPr="005E4862" w:rsidRDefault="002F6F0F">
      <w:pPr>
        <w:pStyle w:val="HChG"/>
        <w:rPr>
          <w:rFonts w:eastAsia="Calibri"/>
        </w:rPr>
      </w:pPr>
      <w:r w:rsidRPr="00DF23DE">
        <w:rPr>
          <w:snapToGrid w:val="0"/>
        </w:rPr>
        <w:tab/>
      </w:r>
      <w:r w:rsidR="004C7ED7" w:rsidRPr="00DF23DE">
        <w:rPr>
          <w:snapToGrid w:val="0"/>
        </w:rPr>
        <w:tab/>
      </w:r>
      <w:r w:rsidR="00D5558F" w:rsidRPr="00DF23DE">
        <w:rPr>
          <w:rFonts w:eastAsia="Calibri"/>
          <w:lang w:eastAsia="zh-CN"/>
        </w:rPr>
        <w:t xml:space="preserve">Decision of the Committee against Torture under article 22 of the Convention against Torture and Other Cruel, Inhuman or Degrading Treatment or Punishment (fifty </w:t>
      </w:r>
      <w:r w:rsidR="000077B8" w:rsidRPr="00DF23DE">
        <w:rPr>
          <w:rFonts w:eastAsia="Calibri"/>
          <w:lang w:eastAsia="zh-CN"/>
        </w:rPr>
        <w:t>fifth</w:t>
      </w:r>
      <w:r w:rsidR="00D5558F" w:rsidRPr="00DF23DE">
        <w:rPr>
          <w:rFonts w:eastAsia="Calibri"/>
          <w:lang w:eastAsia="zh-CN"/>
        </w:rPr>
        <w:t xml:space="preserve"> session)</w:t>
      </w:r>
    </w:p>
    <w:p w14:paraId="46911633" w14:textId="77777777" w:rsidR="002F6F0F" w:rsidRPr="00DF23DE" w:rsidRDefault="004C7ED7" w:rsidP="004C7ED7">
      <w:pPr>
        <w:rPr>
          <w:snapToGrid w:val="0"/>
        </w:rPr>
      </w:pPr>
      <w:r w:rsidRPr="00DF23DE">
        <w:rPr>
          <w:snapToGrid w:val="0"/>
        </w:rPr>
        <w:tab/>
      </w:r>
      <w:r w:rsidR="002F6F0F" w:rsidRPr="00DF23DE">
        <w:rPr>
          <w:snapToGrid w:val="0"/>
        </w:rPr>
        <w:tab/>
        <w:t>concerning</w:t>
      </w:r>
    </w:p>
    <w:p w14:paraId="470D8AD4" w14:textId="77777777" w:rsidR="001B51BE" w:rsidRPr="00DF23DE" w:rsidRDefault="002F6F0F" w:rsidP="005E4862">
      <w:pPr>
        <w:pStyle w:val="H1G"/>
        <w:rPr>
          <w:snapToGrid w:val="0"/>
        </w:rPr>
      </w:pPr>
      <w:r w:rsidRPr="00DF23DE">
        <w:rPr>
          <w:snapToGrid w:val="0"/>
        </w:rPr>
        <w:tab/>
      </w:r>
      <w:r w:rsidR="004C7ED7" w:rsidRPr="00DF23DE">
        <w:rPr>
          <w:snapToGrid w:val="0"/>
        </w:rPr>
        <w:tab/>
      </w:r>
      <w:r w:rsidRPr="00DF23DE">
        <w:rPr>
          <w:snapToGrid w:val="0"/>
        </w:rPr>
        <w:t xml:space="preserve">Communication No. </w:t>
      </w:r>
      <w:r w:rsidR="00D5558F" w:rsidRPr="00DF23DE">
        <w:rPr>
          <w:snapToGrid w:val="0"/>
        </w:rPr>
        <w:t>5</w:t>
      </w:r>
      <w:r w:rsidR="000077B8" w:rsidRPr="00DF23DE">
        <w:rPr>
          <w:snapToGrid w:val="0"/>
        </w:rPr>
        <w:t>54</w:t>
      </w:r>
      <w:r w:rsidR="00D5558F" w:rsidRPr="00DF23DE">
        <w:rPr>
          <w:snapToGrid w:val="0"/>
        </w:rPr>
        <w:t>/2013</w:t>
      </w:r>
      <w:r w:rsidR="00536EAF" w:rsidRPr="005E4862">
        <w:rPr>
          <w:rStyle w:val="FootnoteReference"/>
          <w:rFonts w:eastAsia="Calibri"/>
          <w:b w:val="0"/>
          <w:sz w:val="20"/>
          <w:vertAlign w:val="baseline"/>
        </w:rPr>
        <w:footnoteReference w:customMarkFollows="1" w:id="3"/>
        <w:t>*</w:t>
      </w:r>
      <w:r w:rsidR="008B419E" w:rsidRPr="005E4862">
        <w:rPr>
          <w:rFonts w:eastAsia="Calibri"/>
          <w:b w:val="0"/>
          <w:position w:val="4"/>
          <w:sz w:val="20"/>
        </w:rPr>
        <w:t>,</w:t>
      </w:r>
      <w:r w:rsidR="008B419E" w:rsidRPr="005E4862">
        <w:rPr>
          <w:rFonts w:eastAsia="Calibri"/>
          <w:b w:val="0"/>
        </w:rPr>
        <w:t xml:space="preserve"> </w:t>
      </w:r>
      <w:r w:rsidR="000926FA" w:rsidRPr="005E4862">
        <w:rPr>
          <w:b w:val="0"/>
          <w:bCs/>
          <w:sz w:val="20"/>
        </w:rPr>
        <w:footnoteReference w:customMarkFollows="1" w:id="4"/>
        <w:t>**</w:t>
      </w:r>
    </w:p>
    <w:tbl>
      <w:tblPr>
        <w:tblW w:w="0" w:type="auto"/>
        <w:tblInd w:w="1100" w:type="dxa"/>
        <w:tblLayout w:type="fixed"/>
        <w:tblCellMar>
          <w:left w:w="0" w:type="dxa"/>
          <w:right w:w="0" w:type="dxa"/>
        </w:tblCellMar>
        <w:tblLook w:val="01E0" w:firstRow="1" w:lastRow="1" w:firstColumn="1" w:lastColumn="1" w:noHBand="0" w:noVBand="0"/>
      </w:tblPr>
      <w:tblGrid>
        <w:gridCol w:w="3119"/>
        <w:gridCol w:w="4253"/>
      </w:tblGrid>
      <w:tr w:rsidR="001B51BE" w:rsidRPr="00DF23DE" w14:paraId="289C90B9" w14:textId="77777777" w:rsidTr="005E4862">
        <w:tc>
          <w:tcPr>
            <w:tcW w:w="3119" w:type="dxa"/>
          </w:tcPr>
          <w:p w14:paraId="6D93BADC" w14:textId="77777777" w:rsidR="001B51BE" w:rsidRPr="00DF23DE" w:rsidRDefault="001B51BE">
            <w:pPr>
              <w:spacing w:after="120"/>
              <w:rPr>
                <w:i/>
              </w:rPr>
            </w:pPr>
            <w:r w:rsidRPr="00DF23DE">
              <w:rPr>
                <w:i/>
              </w:rPr>
              <w:t>Submitted by:</w:t>
            </w:r>
          </w:p>
        </w:tc>
        <w:tc>
          <w:tcPr>
            <w:tcW w:w="4253" w:type="dxa"/>
          </w:tcPr>
          <w:p w14:paraId="57746D93" w14:textId="77777777" w:rsidR="001B51BE" w:rsidRPr="00DF23DE" w:rsidRDefault="00DB16FC" w:rsidP="00FF118F">
            <w:pPr>
              <w:spacing w:after="120"/>
            </w:pPr>
            <w:r w:rsidRPr="00DF23DE">
              <w:t>X.</w:t>
            </w:r>
            <w:r w:rsidR="000077B8" w:rsidRPr="00DF23DE">
              <w:t xml:space="preserve"> (represented by counsel, Yaroslav Ravdel)</w:t>
            </w:r>
          </w:p>
        </w:tc>
      </w:tr>
      <w:tr w:rsidR="001B51BE" w:rsidRPr="00DF23DE" w14:paraId="67440BA4" w14:textId="77777777" w:rsidTr="005E4862">
        <w:tc>
          <w:tcPr>
            <w:tcW w:w="3119" w:type="dxa"/>
          </w:tcPr>
          <w:p w14:paraId="1968C766" w14:textId="77777777" w:rsidR="001B51BE" w:rsidRPr="00DF23DE" w:rsidRDefault="001B51BE" w:rsidP="00960527">
            <w:pPr>
              <w:spacing w:after="120"/>
              <w:rPr>
                <w:i/>
              </w:rPr>
            </w:pPr>
            <w:r w:rsidRPr="00DF23DE">
              <w:rPr>
                <w:i/>
              </w:rPr>
              <w:t>Alleged victim:</w:t>
            </w:r>
          </w:p>
        </w:tc>
        <w:tc>
          <w:tcPr>
            <w:tcW w:w="4253" w:type="dxa"/>
          </w:tcPr>
          <w:p w14:paraId="63B664C0" w14:textId="77777777" w:rsidR="001B51BE" w:rsidRPr="00DF23DE" w:rsidRDefault="008B419E" w:rsidP="00D63904">
            <w:pPr>
              <w:spacing w:after="120"/>
            </w:pPr>
            <w:r w:rsidRPr="00DF23DE">
              <w:rPr>
                <w:snapToGrid w:val="0"/>
              </w:rPr>
              <w:t>T</w:t>
            </w:r>
            <w:r w:rsidR="000077B8" w:rsidRPr="00DF23DE">
              <w:rPr>
                <w:snapToGrid w:val="0"/>
              </w:rPr>
              <w:t>he complainant</w:t>
            </w:r>
          </w:p>
        </w:tc>
      </w:tr>
      <w:tr w:rsidR="001B51BE" w:rsidRPr="00DF23DE" w14:paraId="6CF486A3" w14:textId="77777777" w:rsidTr="005E4862">
        <w:tc>
          <w:tcPr>
            <w:tcW w:w="3119" w:type="dxa"/>
          </w:tcPr>
          <w:p w14:paraId="387F7004" w14:textId="77777777" w:rsidR="001B51BE" w:rsidRPr="00DF23DE" w:rsidRDefault="001B51BE">
            <w:pPr>
              <w:spacing w:after="120"/>
              <w:rPr>
                <w:i/>
              </w:rPr>
            </w:pPr>
            <w:r w:rsidRPr="00DF23DE">
              <w:rPr>
                <w:i/>
              </w:rPr>
              <w:t>State party:</w:t>
            </w:r>
          </w:p>
        </w:tc>
        <w:tc>
          <w:tcPr>
            <w:tcW w:w="4253" w:type="dxa"/>
          </w:tcPr>
          <w:p w14:paraId="0BF91057" w14:textId="77777777" w:rsidR="001B51BE" w:rsidRPr="00DF23DE" w:rsidRDefault="001B51BE">
            <w:pPr>
              <w:spacing w:after="120"/>
            </w:pPr>
            <w:r w:rsidRPr="00DF23DE">
              <w:rPr>
                <w:snapToGrid w:val="0"/>
              </w:rPr>
              <w:t>Kazakhstan</w:t>
            </w:r>
          </w:p>
        </w:tc>
      </w:tr>
      <w:tr w:rsidR="001B51BE" w:rsidRPr="00DF23DE" w14:paraId="2DD873A6" w14:textId="77777777" w:rsidTr="005E4862">
        <w:tc>
          <w:tcPr>
            <w:tcW w:w="3119" w:type="dxa"/>
          </w:tcPr>
          <w:p w14:paraId="7BDDFB6B" w14:textId="77777777" w:rsidR="001B51BE" w:rsidRPr="00DF23DE" w:rsidRDefault="001B51BE">
            <w:pPr>
              <w:spacing w:after="120"/>
              <w:rPr>
                <w:i/>
              </w:rPr>
            </w:pPr>
            <w:r w:rsidRPr="00DF23DE">
              <w:rPr>
                <w:i/>
              </w:rPr>
              <w:t>Date of complaint:</w:t>
            </w:r>
          </w:p>
        </w:tc>
        <w:tc>
          <w:tcPr>
            <w:tcW w:w="4253" w:type="dxa"/>
          </w:tcPr>
          <w:p w14:paraId="0E0340C5" w14:textId="77777777" w:rsidR="001B51BE" w:rsidRPr="00DF23DE" w:rsidRDefault="000077B8" w:rsidP="000077B8">
            <w:pPr>
              <w:spacing w:after="120"/>
            </w:pPr>
            <w:r w:rsidRPr="00DF23DE">
              <w:t xml:space="preserve">25 June 2013 </w:t>
            </w:r>
            <w:r w:rsidR="00D5558F" w:rsidRPr="00DF23DE">
              <w:t>(initial submission)</w:t>
            </w:r>
          </w:p>
        </w:tc>
      </w:tr>
    </w:tbl>
    <w:p w14:paraId="63D975FA" w14:textId="77777777" w:rsidR="002F6F0F" w:rsidRPr="00DF23DE" w:rsidRDefault="002F6F0F" w:rsidP="004C7ED7">
      <w:pPr>
        <w:spacing w:after="120"/>
        <w:ind w:left="1134" w:right="1134"/>
        <w:jc w:val="both"/>
        <w:rPr>
          <w:snapToGrid w:val="0"/>
        </w:rPr>
      </w:pPr>
      <w:r w:rsidRPr="00DF23DE">
        <w:rPr>
          <w:snapToGrid w:val="0"/>
        </w:rPr>
        <w:tab/>
      </w:r>
      <w:r w:rsidRPr="00DF23DE">
        <w:rPr>
          <w:i/>
          <w:iCs/>
          <w:snapToGrid w:val="0"/>
        </w:rPr>
        <w:t>The Committee against Torture</w:t>
      </w:r>
      <w:r w:rsidRPr="00DF23DE">
        <w:rPr>
          <w:snapToGrid w:val="0"/>
        </w:rPr>
        <w:t>, established under article 17 of the Convention against Torture and Other Cruel, Inhuman or Degrading Treatment or Punishment,</w:t>
      </w:r>
    </w:p>
    <w:p w14:paraId="288FED62" w14:textId="77777777" w:rsidR="002F6F0F" w:rsidRPr="00DF23DE" w:rsidRDefault="004C7ED7" w:rsidP="004C7ED7">
      <w:pPr>
        <w:spacing w:after="120"/>
        <w:ind w:left="1134" w:right="1134"/>
        <w:jc w:val="both"/>
        <w:rPr>
          <w:snapToGrid w:val="0"/>
        </w:rPr>
      </w:pPr>
      <w:r w:rsidRPr="00DF23DE">
        <w:rPr>
          <w:snapToGrid w:val="0"/>
        </w:rPr>
        <w:tab/>
      </w:r>
      <w:r w:rsidR="002F6F0F" w:rsidRPr="00DF23DE">
        <w:rPr>
          <w:i/>
          <w:iCs/>
          <w:snapToGrid w:val="0"/>
        </w:rPr>
        <w:t>Meeting</w:t>
      </w:r>
      <w:r w:rsidR="002F6F0F" w:rsidRPr="00DF23DE">
        <w:rPr>
          <w:snapToGrid w:val="0"/>
        </w:rPr>
        <w:t xml:space="preserve"> on </w:t>
      </w:r>
      <w:r w:rsidR="003F4589" w:rsidRPr="005E4862">
        <w:rPr>
          <w:snapToGrid w:val="0"/>
        </w:rPr>
        <w:t xml:space="preserve">3 August </w:t>
      </w:r>
      <w:r w:rsidR="00D5558F" w:rsidRPr="005E4862">
        <w:rPr>
          <w:snapToGrid w:val="0"/>
        </w:rPr>
        <w:t>2015</w:t>
      </w:r>
      <w:r w:rsidR="002F6F0F" w:rsidRPr="00DF23DE">
        <w:rPr>
          <w:snapToGrid w:val="0"/>
        </w:rPr>
        <w:t>,</w:t>
      </w:r>
    </w:p>
    <w:p w14:paraId="3492A238" w14:textId="77777777" w:rsidR="002F6F0F" w:rsidRPr="00DF23DE" w:rsidRDefault="002F6F0F" w:rsidP="00B02F55">
      <w:pPr>
        <w:spacing w:after="120"/>
        <w:ind w:left="1134" w:right="1134"/>
        <w:jc w:val="both"/>
      </w:pPr>
      <w:r w:rsidRPr="00DF23DE">
        <w:rPr>
          <w:snapToGrid w:val="0"/>
        </w:rPr>
        <w:tab/>
      </w:r>
      <w:r w:rsidRPr="00DF23DE">
        <w:rPr>
          <w:i/>
          <w:iCs/>
          <w:snapToGrid w:val="0"/>
        </w:rPr>
        <w:t>Having concluded</w:t>
      </w:r>
      <w:r w:rsidRPr="00DF23DE">
        <w:rPr>
          <w:snapToGrid w:val="0"/>
        </w:rPr>
        <w:t xml:space="preserve"> </w:t>
      </w:r>
      <w:r w:rsidRPr="00DF23DE">
        <w:t xml:space="preserve">its consideration of complaint No. </w:t>
      </w:r>
      <w:r w:rsidR="00D5558F" w:rsidRPr="00DF23DE">
        <w:t>5</w:t>
      </w:r>
      <w:r w:rsidR="000077B8" w:rsidRPr="00DF23DE">
        <w:t>54</w:t>
      </w:r>
      <w:r w:rsidR="00D5558F" w:rsidRPr="00DF23DE">
        <w:t>/2013</w:t>
      </w:r>
      <w:r w:rsidRPr="00DF23DE">
        <w:t xml:space="preserve">, submitted to the Committee against Torture on behalf of </w:t>
      </w:r>
      <w:r w:rsidR="00DB16FC" w:rsidRPr="00DF23DE">
        <w:rPr>
          <w:snapToGrid w:val="0"/>
        </w:rPr>
        <w:t>X.</w:t>
      </w:r>
      <w:r w:rsidR="000077B8" w:rsidRPr="00DF23DE">
        <w:rPr>
          <w:snapToGrid w:val="0"/>
        </w:rPr>
        <w:t xml:space="preserve"> </w:t>
      </w:r>
      <w:r w:rsidRPr="00DF23DE">
        <w:t>under article 22 of the Convention</w:t>
      </w:r>
      <w:r w:rsidR="00B02F55" w:rsidRPr="00DF23DE">
        <w:t>,</w:t>
      </w:r>
      <w:r w:rsidRPr="00DF23DE">
        <w:t xml:space="preserve"> </w:t>
      </w:r>
    </w:p>
    <w:p w14:paraId="7865FB1C" w14:textId="77777777" w:rsidR="004C7ED7" w:rsidRPr="00DF23DE" w:rsidRDefault="002F6F0F" w:rsidP="000D342F">
      <w:pPr>
        <w:spacing w:after="120"/>
        <w:ind w:left="1134" w:right="1134" w:firstLine="567"/>
        <w:jc w:val="both"/>
        <w:rPr>
          <w:snapToGrid w:val="0"/>
        </w:rPr>
      </w:pPr>
      <w:r w:rsidRPr="00DF23DE">
        <w:rPr>
          <w:i/>
          <w:iCs/>
          <w:snapToGrid w:val="0"/>
        </w:rPr>
        <w:t>Having taken into account</w:t>
      </w:r>
      <w:r w:rsidRPr="00DF23DE">
        <w:rPr>
          <w:snapToGrid w:val="0"/>
        </w:rPr>
        <w:t xml:space="preserve"> all information made available to it by the complainant, </w:t>
      </w:r>
      <w:r w:rsidR="000077B8" w:rsidRPr="00DF23DE">
        <w:rPr>
          <w:snapToGrid w:val="0"/>
        </w:rPr>
        <w:t>h</w:t>
      </w:r>
      <w:r w:rsidR="00C669CC" w:rsidRPr="00DF23DE">
        <w:rPr>
          <w:snapToGrid w:val="0"/>
        </w:rPr>
        <w:t>is</w:t>
      </w:r>
      <w:r w:rsidRPr="00DF23DE">
        <w:rPr>
          <w:snapToGrid w:val="0"/>
        </w:rPr>
        <w:t xml:space="preserve"> counsel and the State party,</w:t>
      </w:r>
    </w:p>
    <w:p w14:paraId="7B5F46EC" w14:textId="77777777" w:rsidR="00F078D7" w:rsidRPr="00DF23DE" w:rsidRDefault="002F6F0F" w:rsidP="00F078D7">
      <w:pPr>
        <w:spacing w:after="120"/>
        <w:ind w:left="1134" w:right="1134"/>
        <w:jc w:val="both"/>
        <w:rPr>
          <w:snapToGrid w:val="0"/>
        </w:rPr>
      </w:pPr>
      <w:r w:rsidRPr="00DF23DE">
        <w:rPr>
          <w:snapToGrid w:val="0"/>
        </w:rPr>
        <w:tab/>
      </w:r>
      <w:r w:rsidRPr="00DF23DE">
        <w:rPr>
          <w:i/>
          <w:iCs/>
          <w:snapToGrid w:val="0"/>
        </w:rPr>
        <w:t xml:space="preserve">Adopts </w:t>
      </w:r>
      <w:r w:rsidRPr="005E4862">
        <w:rPr>
          <w:iCs/>
          <w:snapToGrid w:val="0"/>
        </w:rPr>
        <w:t>the following:</w:t>
      </w:r>
    </w:p>
    <w:p w14:paraId="1130BF5A" w14:textId="77777777" w:rsidR="007821E7" w:rsidRPr="00DF23DE" w:rsidRDefault="007821E7" w:rsidP="007821E7">
      <w:pPr>
        <w:pStyle w:val="H1G"/>
        <w:rPr>
          <w:snapToGrid w:val="0"/>
        </w:rPr>
      </w:pPr>
      <w:r w:rsidRPr="00DF23DE">
        <w:rPr>
          <w:snapToGrid w:val="0"/>
        </w:rPr>
        <w:tab/>
      </w:r>
      <w:r w:rsidRPr="00DF23DE">
        <w:rPr>
          <w:snapToGrid w:val="0"/>
        </w:rPr>
        <w:tab/>
        <w:t>Decision under article 22, paragraph 7, of the Convention against Torture</w:t>
      </w:r>
    </w:p>
    <w:p w14:paraId="16299DAA" w14:textId="77777777" w:rsidR="007821E7" w:rsidRPr="00DF23DE" w:rsidRDefault="00D5558F" w:rsidP="005E4862">
      <w:pPr>
        <w:pStyle w:val="SingleTxtG"/>
        <w:rPr>
          <w:snapToGrid w:val="0"/>
        </w:rPr>
      </w:pPr>
      <w:r w:rsidRPr="00DF23DE">
        <w:rPr>
          <w:snapToGrid w:val="0"/>
        </w:rPr>
        <w:t>1.1</w:t>
      </w:r>
      <w:r w:rsidRPr="00DF23DE">
        <w:rPr>
          <w:snapToGrid w:val="0"/>
        </w:rPr>
        <w:tab/>
        <w:t>The complainant</w:t>
      </w:r>
      <w:r w:rsidR="00522E7C" w:rsidRPr="00DF23DE">
        <w:rPr>
          <w:snapToGrid w:val="0"/>
        </w:rPr>
        <w:t xml:space="preserve"> is</w:t>
      </w:r>
      <w:r w:rsidR="00DB189D" w:rsidRPr="00DF23DE">
        <w:rPr>
          <w:snapToGrid w:val="0"/>
        </w:rPr>
        <w:t xml:space="preserve"> </w:t>
      </w:r>
      <w:r w:rsidR="00DB16FC" w:rsidRPr="00DF23DE">
        <w:rPr>
          <w:snapToGrid w:val="0"/>
        </w:rPr>
        <w:t>X.</w:t>
      </w:r>
      <w:r w:rsidRPr="00DF23DE">
        <w:t>,</w:t>
      </w:r>
      <w:r w:rsidRPr="00DF23DE">
        <w:rPr>
          <w:snapToGrid w:val="0"/>
        </w:rPr>
        <w:t xml:space="preserve"> a citizen of </w:t>
      </w:r>
      <w:r w:rsidR="00DB189D" w:rsidRPr="00DF23DE">
        <w:rPr>
          <w:snapToGrid w:val="0"/>
        </w:rPr>
        <w:t>the Russian Federation</w:t>
      </w:r>
      <w:r w:rsidRPr="00DF23DE">
        <w:rPr>
          <w:snapToGrid w:val="0"/>
        </w:rPr>
        <w:t>, born in 19</w:t>
      </w:r>
      <w:r w:rsidR="00DB189D" w:rsidRPr="00DF23DE">
        <w:rPr>
          <w:snapToGrid w:val="0"/>
        </w:rPr>
        <w:t>81 in Grozny</w:t>
      </w:r>
      <w:r w:rsidR="007821E7" w:rsidRPr="00DF23DE">
        <w:rPr>
          <w:snapToGrid w:val="0"/>
        </w:rPr>
        <w:t>.</w:t>
      </w:r>
      <w:r w:rsidR="0005248B" w:rsidRPr="00DF23DE">
        <w:rPr>
          <w:snapToGrid w:val="0"/>
        </w:rPr>
        <w:t xml:space="preserve"> </w:t>
      </w:r>
      <w:r w:rsidR="00522E7C" w:rsidRPr="00DF23DE">
        <w:rPr>
          <w:snapToGrid w:val="0"/>
        </w:rPr>
        <w:t>He</w:t>
      </w:r>
      <w:r w:rsidR="007821E7" w:rsidRPr="00DF23DE">
        <w:rPr>
          <w:snapToGrid w:val="0"/>
        </w:rPr>
        <w:t xml:space="preserve"> claim</w:t>
      </w:r>
      <w:r w:rsidR="00B02F55" w:rsidRPr="00DF23DE">
        <w:rPr>
          <w:snapToGrid w:val="0"/>
        </w:rPr>
        <w:t>s</w:t>
      </w:r>
      <w:r w:rsidR="007821E7" w:rsidRPr="00DF23DE">
        <w:rPr>
          <w:snapToGrid w:val="0"/>
        </w:rPr>
        <w:t xml:space="preserve"> that </w:t>
      </w:r>
      <w:r w:rsidR="00522E7C" w:rsidRPr="00DF23DE">
        <w:rPr>
          <w:snapToGrid w:val="0"/>
        </w:rPr>
        <w:t xml:space="preserve">his </w:t>
      </w:r>
      <w:r w:rsidR="007821E7" w:rsidRPr="00DF23DE">
        <w:rPr>
          <w:snapToGrid w:val="0"/>
        </w:rPr>
        <w:t xml:space="preserve">extradition to </w:t>
      </w:r>
      <w:r w:rsidR="00DB189D" w:rsidRPr="00DF23DE">
        <w:rPr>
          <w:snapToGrid w:val="0"/>
        </w:rPr>
        <w:t>the Russian Federation</w:t>
      </w:r>
      <w:r w:rsidR="007821E7" w:rsidRPr="00DF23DE">
        <w:rPr>
          <w:snapToGrid w:val="0"/>
        </w:rPr>
        <w:t xml:space="preserve"> would constitute a violation by Kazakhstan</w:t>
      </w:r>
      <w:r w:rsidR="00233D4D" w:rsidRPr="00DF23DE">
        <w:rPr>
          <w:snapToGrid w:val="0"/>
        </w:rPr>
        <w:t xml:space="preserve"> of</w:t>
      </w:r>
      <w:r w:rsidR="007821E7" w:rsidRPr="00DF23DE">
        <w:rPr>
          <w:snapToGrid w:val="0"/>
        </w:rPr>
        <w:t xml:space="preserve"> </w:t>
      </w:r>
      <w:r w:rsidR="00233D4D" w:rsidRPr="00DF23DE">
        <w:rPr>
          <w:snapToGrid w:val="0"/>
        </w:rPr>
        <w:t xml:space="preserve">articles 3 (1), 6 and 7 (3) </w:t>
      </w:r>
      <w:r w:rsidR="007821E7" w:rsidRPr="00DF23DE">
        <w:rPr>
          <w:snapToGrid w:val="0"/>
        </w:rPr>
        <w:t xml:space="preserve">of the Convention against Torture. </w:t>
      </w:r>
      <w:r w:rsidR="00F44E1F" w:rsidRPr="00DF23DE">
        <w:rPr>
          <w:snapToGrid w:val="0"/>
        </w:rPr>
        <w:t>Th</w:t>
      </w:r>
      <w:r w:rsidR="00522E7C" w:rsidRPr="00DF23DE">
        <w:rPr>
          <w:snapToGrid w:val="0"/>
        </w:rPr>
        <w:t>e</w:t>
      </w:r>
      <w:r w:rsidRPr="00DF23DE">
        <w:rPr>
          <w:snapToGrid w:val="0"/>
        </w:rPr>
        <w:t xml:space="preserve"> </w:t>
      </w:r>
      <w:r w:rsidR="00F44E1F" w:rsidRPr="00DF23DE">
        <w:rPr>
          <w:snapToGrid w:val="0"/>
        </w:rPr>
        <w:t xml:space="preserve">complainant </w:t>
      </w:r>
      <w:r w:rsidRPr="00DF23DE">
        <w:rPr>
          <w:snapToGrid w:val="0"/>
        </w:rPr>
        <w:t>is</w:t>
      </w:r>
      <w:r w:rsidR="007821E7" w:rsidRPr="00DF23DE">
        <w:rPr>
          <w:snapToGrid w:val="0"/>
        </w:rPr>
        <w:t xml:space="preserve"> represented by counsel, </w:t>
      </w:r>
      <w:r w:rsidR="00DB189D" w:rsidRPr="00DF23DE">
        <w:t>Yaroslav Ravdel</w:t>
      </w:r>
      <w:r w:rsidR="007821E7" w:rsidRPr="00DF23DE">
        <w:rPr>
          <w:snapToGrid w:val="0"/>
        </w:rPr>
        <w:t xml:space="preserve"> </w:t>
      </w:r>
      <w:r w:rsidR="00DB189D" w:rsidRPr="00DF23DE">
        <w:rPr>
          <w:snapToGrid w:val="0"/>
        </w:rPr>
        <w:t>from the West</w:t>
      </w:r>
      <w:r w:rsidR="00AA1846" w:rsidRPr="00DF23DE">
        <w:rPr>
          <w:snapToGrid w:val="0"/>
        </w:rPr>
        <w:t xml:space="preserve"> </w:t>
      </w:r>
      <w:r w:rsidR="00DB189D" w:rsidRPr="00DF23DE">
        <w:rPr>
          <w:snapToGrid w:val="0"/>
        </w:rPr>
        <w:t xml:space="preserve">Kazakhstan </w:t>
      </w:r>
      <w:r w:rsidR="003B022C" w:rsidRPr="00DF23DE">
        <w:rPr>
          <w:snapToGrid w:val="0"/>
        </w:rPr>
        <w:t>office</w:t>
      </w:r>
      <w:r w:rsidR="00DB189D" w:rsidRPr="00DF23DE">
        <w:rPr>
          <w:snapToGrid w:val="0"/>
        </w:rPr>
        <w:t xml:space="preserve"> of </w:t>
      </w:r>
      <w:r w:rsidR="00B02F55" w:rsidRPr="00DF23DE">
        <w:rPr>
          <w:snapToGrid w:val="0"/>
        </w:rPr>
        <w:t xml:space="preserve">the </w:t>
      </w:r>
      <w:r w:rsidR="00DB189D" w:rsidRPr="00DF23DE">
        <w:rPr>
          <w:snapToGrid w:val="0"/>
        </w:rPr>
        <w:t xml:space="preserve">civil organization </w:t>
      </w:r>
      <w:r w:rsidR="009227F4" w:rsidRPr="00DF23DE">
        <w:rPr>
          <w:snapToGrid w:val="0"/>
        </w:rPr>
        <w:t>“</w:t>
      </w:r>
      <w:r w:rsidR="00DB189D" w:rsidRPr="00DF23DE">
        <w:rPr>
          <w:snapToGrid w:val="0"/>
        </w:rPr>
        <w:t>Kazakhstan International Bureau for Human Rights and Rule of Law</w:t>
      </w:r>
      <w:r w:rsidR="009227F4" w:rsidRPr="00DF23DE">
        <w:rPr>
          <w:snapToGrid w:val="0"/>
        </w:rPr>
        <w:t>”</w:t>
      </w:r>
      <w:r w:rsidR="007821E7" w:rsidRPr="00DF23DE">
        <w:rPr>
          <w:snapToGrid w:val="0"/>
        </w:rPr>
        <w:t>.</w:t>
      </w:r>
    </w:p>
    <w:p w14:paraId="55923E8D" w14:textId="77777777" w:rsidR="007821E7" w:rsidRPr="00DF23DE" w:rsidRDefault="007821E7" w:rsidP="005E4862">
      <w:pPr>
        <w:pStyle w:val="SingleTxtG"/>
        <w:rPr>
          <w:snapToGrid w:val="0"/>
        </w:rPr>
      </w:pPr>
      <w:r w:rsidRPr="00DF23DE">
        <w:rPr>
          <w:snapToGrid w:val="0"/>
        </w:rPr>
        <w:t>1.2</w:t>
      </w:r>
      <w:r w:rsidRPr="00DF23DE">
        <w:rPr>
          <w:snapToGrid w:val="0"/>
        </w:rPr>
        <w:tab/>
      </w:r>
      <w:r w:rsidR="00B02F55" w:rsidRPr="00DF23DE">
        <w:rPr>
          <w:snapToGrid w:val="0"/>
        </w:rPr>
        <w:t>On 28 June 2013, u</w:t>
      </w:r>
      <w:r w:rsidRPr="00DF23DE">
        <w:rPr>
          <w:snapToGrid w:val="0"/>
        </w:rPr>
        <w:t>nder rule 114 of its rules of procedure, the Committee requested the State party n</w:t>
      </w:r>
      <w:r w:rsidR="00177F76" w:rsidRPr="00DF23DE">
        <w:rPr>
          <w:snapToGrid w:val="0"/>
        </w:rPr>
        <w:t>ot to extradite the complainant</w:t>
      </w:r>
      <w:r w:rsidRPr="00DF23DE">
        <w:rPr>
          <w:snapToGrid w:val="0"/>
        </w:rPr>
        <w:t xml:space="preserve"> to </w:t>
      </w:r>
      <w:r w:rsidR="003B022C" w:rsidRPr="00DF23DE">
        <w:rPr>
          <w:snapToGrid w:val="0"/>
        </w:rPr>
        <w:t>the Russian Federation</w:t>
      </w:r>
      <w:r w:rsidRPr="00DF23DE">
        <w:rPr>
          <w:snapToGrid w:val="0"/>
        </w:rPr>
        <w:t xml:space="preserve"> while </w:t>
      </w:r>
      <w:r w:rsidR="00177F76" w:rsidRPr="00DF23DE">
        <w:rPr>
          <w:snapToGrid w:val="0"/>
        </w:rPr>
        <w:t>his</w:t>
      </w:r>
      <w:r w:rsidRPr="00DF23DE">
        <w:rPr>
          <w:snapToGrid w:val="0"/>
        </w:rPr>
        <w:t xml:space="preserve"> communication was under consideration by the Committee. </w:t>
      </w:r>
      <w:r w:rsidR="00CC151D" w:rsidRPr="00DF23DE">
        <w:rPr>
          <w:snapToGrid w:val="0"/>
        </w:rPr>
        <w:t>The request was reiterated on 9 July 2013</w:t>
      </w:r>
      <w:r w:rsidR="00545A68" w:rsidRPr="00DF23DE">
        <w:rPr>
          <w:snapToGrid w:val="0"/>
        </w:rPr>
        <w:t>, 24 March 2014</w:t>
      </w:r>
      <w:r w:rsidR="00CC151D" w:rsidRPr="00DF23DE">
        <w:rPr>
          <w:snapToGrid w:val="0"/>
        </w:rPr>
        <w:t xml:space="preserve"> and 16 April 2014. </w:t>
      </w:r>
      <w:r w:rsidR="00177F76" w:rsidRPr="00DF23DE">
        <w:rPr>
          <w:snapToGrid w:val="0"/>
        </w:rPr>
        <w:t>Nevertheless, the complainant</w:t>
      </w:r>
      <w:r w:rsidR="00432822" w:rsidRPr="00DF23DE">
        <w:rPr>
          <w:snapToGrid w:val="0"/>
        </w:rPr>
        <w:t xml:space="preserve"> w</w:t>
      </w:r>
      <w:r w:rsidR="00177F76" w:rsidRPr="00DF23DE">
        <w:rPr>
          <w:snapToGrid w:val="0"/>
        </w:rPr>
        <w:t>as</w:t>
      </w:r>
      <w:r w:rsidR="00432822" w:rsidRPr="00DF23DE">
        <w:rPr>
          <w:snapToGrid w:val="0"/>
        </w:rPr>
        <w:t xml:space="preserve"> extradited to </w:t>
      </w:r>
      <w:r w:rsidR="00264EB1" w:rsidRPr="00DF23DE">
        <w:rPr>
          <w:snapToGrid w:val="0"/>
        </w:rPr>
        <w:t xml:space="preserve">the Russian Federation </w:t>
      </w:r>
      <w:r w:rsidR="00432822" w:rsidRPr="00DF23DE">
        <w:rPr>
          <w:snapToGrid w:val="0"/>
        </w:rPr>
        <w:t xml:space="preserve">on </w:t>
      </w:r>
      <w:r w:rsidR="002D0C17" w:rsidRPr="00DF23DE">
        <w:rPr>
          <w:snapToGrid w:val="0"/>
        </w:rPr>
        <w:t>24</w:t>
      </w:r>
      <w:r w:rsidR="00432822" w:rsidRPr="00DF23DE">
        <w:rPr>
          <w:snapToGrid w:val="0"/>
        </w:rPr>
        <w:t xml:space="preserve"> </w:t>
      </w:r>
      <w:r w:rsidR="00CC151D" w:rsidRPr="00DF23DE">
        <w:rPr>
          <w:snapToGrid w:val="0"/>
        </w:rPr>
        <w:t>April 2014</w:t>
      </w:r>
      <w:r w:rsidR="00432822" w:rsidRPr="00DF23DE">
        <w:rPr>
          <w:snapToGrid w:val="0"/>
        </w:rPr>
        <w:t>.</w:t>
      </w:r>
      <w:r w:rsidRPr="00DF23DE">
        <w:rPr>
          <w:snapToGrid w:val="0"/>
        </w:rPr>
        <w:t xml:space="preserve"> </w:t>
      </w:r>
    </w:p>
    <w:p w14:paraId="66767F1D" w14:textId="77777777" w:rsidR="00122EBE" w:rsidRPr="00DF23DE" w:rsidRDefault="00122EBE" w:rsidP="005E4862">
      <w:pPr>
        <w:pStyle w:val="SingleTxtG"/>
        <w:rPr>
          <w:snapToGrid w:val="0"/>
        </w:rPr>
      </w:pPr>
      <w:r w:rsidRPr="00DF23DE">
        <w:rPr>
          <w:snapToGrid w:val="0"/>
        </w:rPr>
        <w:lastRenderedPageBreak/>
        <w:t>1.3</w:t>
      </w:r>
      <w:r w:rsidRPr="00DF23DE">
        <w:rPr>
          <w:snapToGrid w:val="0"/>
        </w:rPr>
        <w:tab/>
      </w:r>
      <w:r w:rsidRPr="00DF23DE">
        <w:t xml:space="preserve">On </w:t>
      </w:r>
      <w:r w:rsidR="008702D6" w:rsidRPr="00DF23DE">
        <w:t>16 April</w:t>
      </w:r>
      <w:r w:rsidRPr="00DF23DE">
        <w:t xml:space="preserve"> 201</w:t>
      </w:r>
      <w:r w:rsidR="008702D6" w:rsidRPr="00DF23DE">
        <w:t>4,</w:t>
      </w:r>
      <w:r w:rsidRPr="00DF23DE">
        <w:t xml:space="preserve"> the Committee, acting through its Rapporteur on new </w:t>
      </w:r>
      <w:r w:rsidR="008702D6" w:rsidRPr="00DF23DE">
        <w:t>complaints</w:t>
      </w:r>
      <w:r w:rsidRPr="00DF23DE">
        <w:t xml:space="preserve"> and interim measures, decided to examine the admissibility of the communication </w:t>
      </w:r>
      <w:r w:rsidR="008702D6" w:rsidRPr="00DF23DE">
        <w:t>together with</w:t>
      </w:r>
      <w:r w:rsidRPr="00DF23DE">
        <w:t xml:space="preserve"> </w:t>
      </w:r>
      <w:r w:rsidR="00673C52" w:rsidRPr="00DF23DE">
        <w:t>its</w:t>
      </w:r>
      <w:r w:rsidRPr="00DF23DE">
        <w:t xml:space="preserve"> merits.</w:t>
      </w:r>
    </w:p>
    <w:p w14:paraId="6AF757D8" w14:textId="77777777" w:rsidR="007821E7" w:rsidRPr="00DF23DE" w:rsidRDefault="007821E7" w:rsidP="007821E7">
      <w:pPr>
        <w:pStyle w:val="H23G"/>
        <w:rPr>
          <w:snapToGrid w:val="0"/>
        </w:rPr>
      </w:pPr>
      <w:r w:rsidRPr="00DF23DE">
        <w:rPr>
          <w:snapToGrid w:val="0"/>
        </w:rPr>
        <w:tab/>
      </w:r>
      <w:r w:rsidRPr="00DF23DE">
        <w:rPr>
          <w:snapToGrid w:val="0"/>
        </w:rPr>
        <w:tab/>
      </w:r>
      <w:r w:rsidR="00960527" w:rsidRPr="00DF23DE">
        <w:rPr>
          <w:snapToGrid w:val="0"/>
        </w:rPr>
        <w:t>T</w:t>
      </w:r>
      <w:r w:rsidRPr="00DF23DE">
        <w:rPr>
          <w:snapToGrid w:val="0"/>
        </w:rPr>
        <w:t>he facts as pre</w:t>
      </w:r>
      <w:r w:rsidR="003A48CB" w:rsidRPr="00DF23DE">
        <w:rPr>
          <w:snapToGrid w:val="0"/>
        </w:rPr>
        <w:t>sented by the complainant</w:t>
      </w:r>
    </w:p>
    <w:p w14:paraId="2DF1F148" w14:textId="77777777" w:rsidR="007B7291" w:rsidRPr="00DF23DE" w:rsidRDefault="007821E7" w:rsidP="005E4862">
      <w:pPr>
        <w:pStyle w:val="SingleTxtG"/>
        <w:rPr>
          <w:snapToGrid w:val="0"/>
        </w:rPr>
      </w:pPr>
      <w:r w:rsidRPr="00DF23DE">
        <w:rPr>
          <w:snapToGrid w:val="0"/>
        </w:rPr>
        <w:t>2.1</w:t>
      </w:r>
      <w:r w:rsidRPr="00DF23DE">
        <w:rPr>
          <w:snapToGrid w:val="0"/>
        </w:rPr>
        <w:tab/>
        <w:t xml:space="preserve">The complainant </w:t>
      </w:r>
      <w:r w:rsidR="00774F88" w:rsidRPr="00DF23DE">
        <w:rPr>
          <w:snapToGrid w:val="0"/>
        </w:rPr>
        <w:t>is</w:t>
      </w:r>
      <w:r w:rsidRPr="00DF23DE">
        <w:rPr>
          <w:snapToGrid w:val="0"/>
        </w:rPr>
        <w:t xml:space="preserve"> </w:t>
      </w:r>
      <w:r w:rsidR="00774F88" w:rsidRPr="00DF23DE">
        <w:rPr>
          <w:snapToGrid w:val="0"/>
        </w:rPr>
        <w:t xml:space="preserve">a citizen of </w:t>
      </w:r>
      <w:r w:rsidR="00545A68" w:rsidRPr="00DF23DE">
        <w:rPr>
          <w:snapToGrid w:val="0"/>
        </w:rPr>
        <w:t>the Russian Federation</w:t>
      </w:r>
      <w:r w:rsidR="002D0C17" w:rsidRPr="00DF23DE">
        <w:rPr>
          <w:snapToGrid w:val="0"/>
        </w:rPr>
        <w:t>. He resided</w:t>
      </w:r>
      <w:r w:rsidR="00545A68" w:rsidRPr="00DF23DE">
        <w:rPr>
          <w:snapToGrid w:val="0"/>
        </w:rPr>
        <w:t xml:space="preserve"> in the city of Nazran. </w:t>
      </w:r>
      <w:r w:rsidR="00233D4D" w:rsidRPr="00DF23DE">
        <w:rPr>
          <w:snapToGrid w:val="0"/>
        </w:rPr>
        <w:t>O</w:t>
      </w:r>
      <w:r w:rsidR="008A697D" w:rsidRPr="00DF23DE">
        <w:rPr>
          <w:snapToGrid w:val="0"/>
        </w:rPr>
        <w:t xml:space="preserve">n 18 October 2012, he and his friend, A.Z., were abducted </w:t>
      </w:r>
      <w:r w:rsidR="002D0C17" w:rsidRPr="00DF23DE">
        <w:rPr>
          <w:snapToGrid w:val="0"/>
        </w:rPr>
        <w:t xml:space="preserve">and detained </w:t>
      </w:r>
      <w:r w:rsidR="008A697D" w:rsidRPr="00DF23DE">
        <w:rPr>
          <w:snapToGrid w:val="0"/>
        </w:rPr>
        <w:t xml:space="preserve">by unknown people. </w:t>
      </w:r>
      <w:r w:rsidR="00E06689" w:rsidRPr="00DF23DE">
        <w:rPr>
          <w:snapToGrid w:val="0"/>
        </w:rPr>
        <w:t xml:space="preserve">While A.Z. was killed after one day in detention, the complainant </w:t>
      </w:r>
      <w:r w:rsidR="00B02F55" w:rsidRPr="00DF23DE">
        <w:rPr>
          <w:snapToGrid w:val="0"/>
        </w:rPr>
        <w:t xml:space="preserve">was </w:t>
      </w:r>
      <w:r w:rsidR="00E06689" w:rsidRPr="00DF23DE">
        <w:rPr>
          <w:snapToGrid w:val="0"/>
        </w:rPr>
        <w:t>beaten by the kidnappers for 11 days.</w:t>
      </w:r>
      <w:r w:rsidR="00BD7C6A" w:rsidRPr="00DF23DE">
        <w:rPr>
          <w:snapToGrid w:val="0"/>
        </w:rPr>
        <w:t xml:space="preserve"> </w:t>
      </w:r>
      <w:r w:rsidR="00E06689" w:rsidRPr="00DF23DE">
        <w:rPr>
          <w:snapToGrid w:val="0"/>
        </w:rPr>
        <w:t xml:space="preserve">He was asked </w:t>
      </w:r>
      <w:r w:rsidR="00247E03" w:rsidRPr="00DF23DE">
        <w:rPr>
          <w:snapToGrid w:val="0"/>
        </w:rPr>
        <w:t xml:space="preserve">about </w:t>
      </w:r>
      <w:r w:rsidR="00E06689" w:rsidRPr="00DF23DE">
        <w:rPr>
          <w:snapToGrid w:val="0"/>
        </w:rPr>
        <w:t xml:space="preserve">names </w:t>
      </w:r>
      <w:r w:rsidR="00247E03" w:rsidRPr="00DF23DE">
        <w:rPr>
          <w:snapToGrid w:val="0"/>
        </w:rPr>
        <w:t xml:space="preserve">of individuals </w:t>
      </w:r>
      <w:r w:rsidR="00E06689" w:rsidRPr="00DF23DE">
        <w:rPr>
          <w:snapToGrid w:val="0"/>
        </w:rPr>
        <w:t>and shown photog</w:t>
      </w:r>
      <w:r w:rsidR="002D0C17" w:rsidRPr="00DF23DE">
        <w:rPr>
          <w:snapToGrid w:val="0"/>
        </w:rPr>
        <w:t>raphs of people he did not know. On</w:t>
      </w:r>
      <w:r w:rsidR="00E06689" w:rsidRPr="00DF23DE">
        <w:rPr>
          <w:snapToGrid w:val="0"/>
        </w:rPr>
        <w:t xml:space="preserve"> </w:t>
      </w:r>
      <w:r w:rsidR="00247E03" w:rsidRPr="00DF23DE">
        <w:rPr>
          <w:snapToGrid w:val="0"/>
        </w:rPr>
        <w:t xml:space="preserve">the basis of </w:t>
      </w:r>
      <w:r w:rsidR="00E06689" w:rsidRPr="00DF23DE">
        <w:rPr>
          <w:snapToGrid w:val="0"/>
        </w:rPr>
        <w:t>this</w:t>
      </w:r>
      <w:r w:rsidR="002D0C17" w:rsidRPr="00DF23DE">
        <w:rPr>
          <w:snapToGrid w:val="0"/>
        </w:rPr>
        <w:t xml:space="preserve"> </w:t>
      </w:r>
      <w:r w:rsidR="00247E03" w:rsidRPr="00DF23DE">
        <w:rPr>
          <w:snapToGrid w:val="0"/>
        </w:rPr>
        <w:t>and other things</w:t>
      </w:r>
      <w:r w:rsidR="002D0C17" w:rsidRPr="00DF23DE">
        <w:rPr>
          <w:snapToGrid w:val="0"/>
        </w:rPr>
        <w:t>,</w:t>
      </w:r>
      <w:r w:rsidR="00E06689" w:rsidRPr="00DF23DE">
        <w:rPr>
          <w:snapToGrid w:val="0"/>
        </w:rPr>
        <w:t xml:space="preserve"> </w:t>
      </w:r>
      <w:r w:rsidR="002D0C17" w:rsidRPr="00DF23DE">
        <w:rPr>
          <w:snapToGrid w:val="0"/>
        </w:rPr>
        <w:t xml:space="preserve">he </w:t>
      </w:r>
      <w:r w:rsidR="00247E03" w:rsidRPr="00DF23DE">
        <w:rPr>
          <w:snapToGrid w:val="0"/>
        </w:rPr>
        <w:t xml:space="preserve">concluded </w:t>
      </w:r>
      <w:r w:rsidR="00E06689" w:rsidRPr="00DF23DE">
        <w:rPr>
          <w:snapToGrid w:val="0"/>
        </w:rPr>
        <w:t xml:space="preserve">that his kidnappers were representatives of law enforcement agencies. On the </w:t>
      </w:r>
      <w:r w:rsidR="00247E03" w:rsidRPr="00DF23DE">
        <w:rPr>
          <w:snapToGrid w:val="0"/>
        </w:rPr>
        <w:t xml:space="preserve">eighteenth </w:t>
      </w:r>
      <w:r w:rsidR="00E06689" w:rsidRPr="00DF23DE">
        <w:rPr>
          <w:snapToGrid w:val="0"/>
        </w:rPr>
        <w:t>day</w:t>
      </w:r>
      <w:r w:rsidR="00233D4D" w:rsidRPr="00DF23DE">
        <w:rPr>
          <w:snapToGrid w:val="0"/>
        </w:rPr>
        <w:t xml:space="preserve"> of </w:t>
      </w:r>
      <w:r w:rsidR="00247E03" w:rsidRPr="00DF23DE">
        <w:rPr>
          <w:snapToGrid w:val="0"/>
        </w:rPr>
        <w:t xml:space="preserve">his </w:t>
      </w:r>
      <w:r w:rsidR="00233D4D" w:rsidRPr="00DF23DE">
        <w:rPr>
          <w:snapToGrid w:val="0"/>
        </w:rPr>
        <w:t>detention</w:t>
      </w:r>
      <w:r w:rsidR="00E06689" w:rsidRPr="00DF23DE">
        <w:rPr>
          <w:snapToGrid w:val="0"/>
        </w:rPr>
        <w:t xml:space="preserve">, he overheard a telephone conversation of one of his kidnappers, from which he understood that </w:t>
      </w:r>
      <w:r w:rsidR="00A43432" w:rsidRPr="00DF23DE">
        <w:rPr>
          <w:snapToGrid w:val="0"/>
        </w:rPr>
        <w:t xml:space="preserve">they </w:t>
      </w:r>
      <w:r w:rsidR="00233D4D" w:rsidRPr="00DF23DE">
        <w:rPr>
          <w:snapToGrid w:val="0"/>
        </w:rPr>
        <w:t xml:space="preserve">planned </w:t>
      </w:r>
      <w:r w:rsidR="00A43432" w:rsidRPr="00DF23DE">
        <w:rPr>
          <w:snapToGrid w:val="0"/>
        </w:rPr>
        <w:t>to kill him. He managed to escape. After 28 days of w</w:t>
      </w:r>
      <w:r w:rsidR="001360DB" w:rsidRPr="00DF23DE">
        <w:rPr>
          <w:snapToGrid w:val="0"/>
        </w:rPr>
        <w:t>a</w:t>
      </w:r>
      <w:r w:rsidR="00A43432" w:rsidRPr="00DF23DE">
        <w:rPr>
          <w:snapToGrid w:val="0"/>
        </w:rPr>
        <w:t>ndering in the woods</w:t>
      </w:r>
      <w:r w:rsidR="00247E03" w:rsidRPr="00DF23DE">
        <w:rPr>
          <w:snapToGrid w:val="0"/>
        </w:rPr>
        <w:t>,</w:t>
      </w:r>
      <w:r w:rsidR="00A43432" w:rsidRPr="00DF23DE">
        <w:rPr>
          <w:snapToGrid w:val="0"/>
        </w:rPr>
        <w:t xml:space="preserve"> he was able to return home with </w:t>
      </w:r>
      <w:r w:rsidR="00247E03" w:rsidRPr="00DF23DE">
        <w:rPr>
          <w:snapToGrid w:val="0"/>
        </w:rPr>
        <w:t xml:space="preserve">the </w:t>
      </w:r>
      <w:r w:rsidR="00A43432" w:rsidRPr="00DF23DE">
        <w:rPr>
          <w:snapToGrid w:val="0"/>
        </w:rPr>
        <w:t xml:space="preserve">help of a man he </w:t>
      </w:r>
      <w:r w:rsidR="00247E03" w:rsidRPr="00DF23DE">
        <w:rPr>
          <w:snapToGrid w:val="0"/>
        </w:rPr>
        <w:t xml:space="preserve">had </w:t>
      </w:r>
      <w:r w:rsidR="00A43432" w:rsidRPr="00DF23DE">
        <w:rPr>
          <w:snapToGrid w:val="0"/>
        </w:rPr>
        <w:t xml:space="preserve">met. Meanwhile, </w:t>
      </w:r>
      <w:r w:rsidR="006B60F3" w:rsidRPr="00DF23DE">
        <w:rPr>
          <w:snapToGrid w:val="0"/>
        </w:rPr>
        <w:t xml:space="preserve">on </w:t>
      </w:r>
      <w:r w:rsidR="0079139D" w:rsidRPr="00DF23DE">
        <w:rPr>
          <w:snapToGrid w:val="0"/>
        </w:rPr>
        <w:t xml:space="preserve">19 October 2012, the complainant’s brother reported </w:t>
      </w:r>
      <w:r w:rsidR="00247E03" w:rsidRPr="00DF23DE">
        <w:rPr>
          <w:snapToGrid w:val="0"/>
        </w:rPr>
        <w:t xml:space="preserve">his </w:t>
      </w:r>
      <w:r w:rsidR="0079139D" w:rsidRPr="00DF23DE">
        <w:rPr>
          <w:snapToGrid w:val="0"/>
        </w:rPr>
        <w:t>disappearance to the Om</w:t>
      </w:r>
      <w:r w:rsidR="00247E03" w:rsidRPr="00DF23DE">
        <w:rPr>
          <w:snapToGrid w:val="0"/>
        </w:rPr>
        <w:t>b</w:t>
      </w:r>
      <w:r w:rsidR="0079139D" w:rsidRPr="00DF23DE">
        <w:rPr>
          <w:snapToGrid w:val="0"/>
        </w:rPr>
        <w:t xml:space="preserve">udsman of Ingushetia. On </w:t>
      </w:r>
      <w:r w:rsidR="006B60F3" w:rsidRPr="00DF23DE">
        <w:rPr>
          <w:snapToGrid w:val="0"/>
        </w:rPr>
        <w:t xml:space="preserve">22 October 2012, the </w:t>
      </w:r>
      <w:r w:rsidR="001F0F61" w:rsidRPr="00DF23DE">
        <w:rPr>
          <w:snapToGrid w:val="0"/>
        </w:rPr>
        <w:t xml:space="preserve">parents of the complainant and A.Z. requested the prosecutor’s office of </w:t>
      </w:r>
      <w:r w:rsidR="006B60F3" w:rsidRPr="00DF23DE">
        <w:rPr>
          <w:snapToGrid w:val="0"/>
        </w:rPr>
        <w:t>Nazran district</w:t>
      </w:r>
      <w:r w:rsidR="001F0F61" w:rsidRPr="00DF23DE">
        <w:rPr>
          <w:snapToGrid w:val="0"/>
        </w:rPr>
        <w:t xml:space="preserve"> to find their son</w:t>
      </w:r>
      <w:r w:rsidR="006B60F3" w:rsidRPr="00DF23DE">
        <w:rPr>
          <w:snapToGrid w:val="0"/>
        </w:rPr>
        <w:t>s</w:t>
      </w:r>
      <w:r w:rsidR="00247E03" w:rsidRPr="00DF23DE">
        <w:rPr>
          <w:snapToGrid w:val="0"/>
        </w:rPr>
        <w:t>,</w:t>
      </w:r>
      <w:r w:rsidR="006B60F3" w:rsidRPr="00DF23DE">
        <w:rPr>
          <w:snapToGrid w:val="0"/>
        </w:rPr>
        <w:t xml:space="preserve"> who </w:t>
      </w:r>
      <w:r w:rsidR="00247E03" w:rsidRPr="00DF23DE">
        <w:rPr>
          <w:snapToGrid w:val="0"/>
        </w:rPr>
        <w:t xml:space="preserve">had gone </w:t>
      </w:r>
      <w:r w:rsidR="006B60F3" w:rsidRPr="00DF23DE">
        <w:rPr>
          <w:snapToGrid w:val="0"/>
        </w:rPr>
        <w:t>missing on 18 October 2012</w:t>
      </w:r>
      <w:r w:rsidR="001F0F61" w:rsidRPr="00DF23DE">
        <w:rPr>
          <w:snapToGrid w:val="0"/>
        </w:rPr>
        <w:t xml:space="preserve">. </w:t>
      </w:r>
      <w:r w:rsidR="006B60F3" w:rsidRPr="00DF23DE">
        <w:rPr>
          <w:snapToGrid w:val="0"/>
        </w:rPr>
        <w:t xml:space="preserve">On 1 November 2012, a criminal investigation was opened </w:t>
      </w:r>
      <w:r w:rsidR="002D0C17" w:rsidRPr="00DF23DE">
        <w:rPr>
          <w:snapToGrid w:val="0"/>
        </w:rPr>
        <w:t xml:space="preserve">into </w:t>
      </w:r>
      <w:r w:rsidR="00247E03" w:rsidRPr="00DF23DE">
        <w:rPr>
          <w:snapToGrid w:val="0"/>
        </w:rPr>
        <w:t xml:space="preserve">the </w:t>
      </w:r>
      <w:r w:rsidR="006B60F3" w:rsidRPr="00DF23DE">
        <w:rPr>
          <w:snapToGrid w:val="0"/>
        </w:rPr>
        <w:t xml:space="preserve">possible murder of the complainant and A.Z. On 3 November 2012, the complainant’s wife was recognized as a victim in the criminal </w:t>
      </w:r>
      <w:r w:rsidR="00AF1E53" w:rsidRPr="00DF23DE">
        <w:rPr>
          <w:snapToGrid w:val="0"/>
        </w:rPr>
        <w:t>proceedings connected to</w:t>
      </w:r>
      <w:r w:rsidR="006B60F3" w:rsidRPr="00DF23DE">
        <w:rPr>
          <w:snapToGrid w:val="0"/>
        </w:rPr>
        <w:t xml:space="preserve"> his disappearance. </w:t>
      </w:r>
      <w:r w:rsidR="002D0C17" w:rsidRPr="00DF23DE">
        <w:rPr>
          <w:snapToGrid w:val="0"/>
        </w:rPr>
        <w:t>On</w:t>
      </w:r>
      <w:r w:rsidR="00AF1E53" w:rsidRPr="00DF23DE">
        <w:rPr>
          <w:snapToGrid w:val="0"/>
        </w:rPr>
        <w:t xml:space="preserve"> an unspecified date, while the complainant was still missing,</w:t>
      </w:r>
      <w:r w:rsidR="001F0F61" w:rsidRPr="00DF23DE">
        <w:rPr>
          <w:snapToGrid w:val="0"/>
        </w:rPr>
        <w:t xml:space="preserve"> </w:t>
      </w:r>
      <w:r w:rsidR="00A43432" w:rsidRPr="00DF23DE">
        <w:rPr>
          <w:snapToGrid w:val="0"/>
        </w:rPr>
        <w:t xml:space="preserve">the authorities informed his </w:t>
      </w:r>
      <w:r w:rsidR="008E5DD2" w:rsidRPr="00DF23DE">
        <w:rPr>
          <w:snapToGrid w:val="0"/>
        </w:rPr>
        <w:t xml:space="preserve">mother </w:t>
      </w:r>
      <w:r w:rsidR="00AF1E53" w:rsidRPr="00DF23DE">
        <w:rPr>
          <w:snapToGrid w:val="0"/>
        </w:rPr>
        <w:t xml:space="preserve">of his death in </w:t>
      </w:r>
      <w:r w:rsidR="00A43432" w:rsidRPr="00DF23DE">
        <w:rPr>
          <w:snapToGrid w:val="0"/>
        </w:rPr>
        <w:t>a landmine</w:t>
      </w:r>
      <w:r w:rsidR="00247E03" w:rsidRPr="00DF23DE">
        <w:rPr>
          <w:snapToGrid w:val="0"/>
        </w:rPr>
        <w:t xml:space="preserve"> explosion</w:t>
      </w:r>
      <w:r w:rsidR="00A43432" w:rsidRPr="00DF23DE">
        <w:rPr>
          <w:snapToGrid w:val="0"/>
        </w:rPr>
        <w:t xml:space="preserve">. The complainant’s mother refused to recognize the </w:t>
      </w:r>
      <w:r w:rsidR="008E5DD2" w:rsidRPr="00DF23DE">
        <w:rPr>
          <w:snapToGrid w:val="0"/>
        </w:rPr>
        <w:t xml:space="preserve">remains of the </w:t>
      </w:r>
      <w:r w:rsidR="00A43432" w:rsidRPr="00DF23DE">
        <w:rPr>
          <w:snapToGrid w:val="0"/>
        </w:rPr>
        <w:t xml:space="preserve">body </w:t>
      </w:r>
      <w:r w:rsidR="003202D5" w:rsidRPr="00DF23DE">
        <w:rPr>
          <w:snapToGrid w:val="0"/>
        </w:rPr>
        <w:t xml:space="preserve">shown to her </w:t>
      </w:r>
      <w:r w:rsidR="00A43432" w:rsidRPr="00DF23DE">
        <w:rPr>
          <w:snapToGrid w:val="0"/>
        </w:rPr>
        <w:t>as that of her son</w:t>
      </w:r>
      <w:r w:rsidR="00233D4D" w:rsidRPr="00DF23DE">
        <w:rPr>
          <w:snapToGrid w:val="0"/>
        </w:rPr>
        <w:t>; t</w:t>
      </w:r>
      <w:r w:rsidR="00AF1E53" w:rsidRPr="00DF23DE">
        <w:rPr>
          <w:snapToGrid w:val="0"/>
        </w:rPr>
        <w:t xml:space="preserve">he </w:t>
      </w:r>
      <w:r w:rsidR="003202D5" w:rsidRPr="00DF23DE">
        <w:rPr>
          <w:snapToGrid w:val="0"/>
        </w:rPr>
        <w:t xml:space="preserve">body was recognized by the </w:t>
      </w:r>
      <w:r w:rsidR="007F6FF8" w:rsidRPr="00DF23DE">
        <w:rPr>
          <w:snapToGrid w:val="0"/>
        </w:rPr>
        <w:t>parents</w:t>
      </w:r>
      <w:r w:rsidR="00DC47EB" w:rsidRPr="00DF23DE">
        <w:rPr>
          <w:snapToGrid w:val="0"/>
        </w:rPr>
        <w:t xml:space="preserve"> of A.Z. </w:t>
      </w:r>
      <w:r w:rsidR="00AF1E53" w:rsidRPr="00DF23DE">
        <w:rPr>
          <w:snapToGrid w:val="0"/>
        </w:rPr>
        <w:t xml:space="preserve">as </w:t>
      </w:r>
      <w:r w:rsidR="008E5DD2" w:rsidRPr="00DF23DE">
        <w:rPr>
          <w:snapToGrid w:val="0"/>
        </w:rPr>
        <w:t xml:space="preserve">belonging to </w:t>
      </w:r>
      <w:r w:rsidR="00DC47EB" w:rsidRPr="00DF23DE">
        <w:rPr>
          <w:snapToGrid w:val="0"/>
        </w:rPr>
        <w:t>their son</w:t>
      </w:r>
      <w:r w:rsidR="00AF1E53" w:rsidRPr="00DF23DE">
        <w:rPr>
          <w:snapToGrid w:val="0"/>
        </w:rPr>
        <w:t>.</w:t>
      </w:r>
    </w:p>
    <w:p w14:paraId="35C21BB7" w14:textId="77777777" w:rsidR="00545C95" w:rsidRPr="00DF23DE" w:rsidRDefault="007821E7" w:rsidP="005E4862">
      <w:pPr>
        <w:pStyle w:val="SingleTxtG"/>
        <w:rPr>
          <w:snapToGrid w:val="0"/>
        </w:rPr>
      </w:pPr>
      <w:r w:rsidRPr="00DF23DE">
        <w:rPr>
          <w:snapToGrid w:val="0"/>
        </w:rPr>
        <w:t>2.2</w:t>
      </w:r>
      <w:r w:rsidRPr="00DF23DE">
        <w:rPr>
          <w:snapToGrid w:val="0"/>
        </w:rPr>
        <w:tab/>
      </w:r>
      <w:r w:rsidR="00B539AA" w:rsidRPr="00DF23DE">
        <w:rPr>
          <w:snapToGrid w:val="0"/>
        </w:rPr>
        <w:t xml:space="preserve">On 14 March 2013, the complainant arrived </w:t>
      </w:r>
      <w:r w:rsidR="00247E03" w:rsidRPr="00DF23DE">
        <w:rPr>
          <w:snapToGrid w:val="0"/>
        </w:rPr>
        <w:t xml:space="preserve">in </w:t>
      </w:r>
      <w:r w:rsidR="00B539AA" w:rsidRPr="00DF23DE">
        <w:rPr>
          <w:snapToGrid w:val="0"/>
        </w:rPr>
        <w:t xml:space="preserve">Kazakhstan, where his </w:t>
      </w:r>
      <w:r w:rsidR="00AF1E53" w:rsidRPr="00DF23DE">
        <w:rPr>
          <w:snapToGrid w:val="0"/>
        </w:rPr>
        <w:t xml:space="preserve">uncle </w:t>
      </w:r>
      <w:r w:rsidR="00BD7C6A" w:rsidRPr="00DF23DE">
        <w:rPr>
          <w:snapToGrid w:val="0"/>
        </w:rPr>
        <w:t>resided</w:t>
      </w:r>
      <w:r w:rsidR="00B539AA" w:rsidRPr="00DF23DE">
        <w:rPr>
          <w:snapToGrid w:val="0"/>
        </w:rPr>
        <w:t xml:space="preserve">, and registered with the </w:t>
      </w:r>
      <w:r w:rsidR="00AA1846" w:rsidRPr="00DF23DE">
        <w:rPr>
          <w:snapToGrid w:val="0"/>
        </w:rPr>
        <w:t>im</w:t>
      </w:r>
      <w:r w:rsidR="00B539AA" w:rsidRPr="00DF23DE">
        <w:rPr>
          <w:snapToGrid w:val="0"/>
        </w:rPr>
        <w:t xml:space="preserve">migration authorities in the city of Uralsk. </w:t>
      </w:r>
      <w:r w:rsidR="00D3255D" w:rsidRPr="00DF23DE">
        <w:rPr>
          <w:snapToGrid w:val="0"/>
        </w:rPr>
        <w:t xml:space="preserve">On 7 March 2013, the complainant was registered </w:t>
      </w:r>
      <w:r w:rsidR="00247E03" w:rsidRPr="00DF23DE">
        <w:rPr>
          <w:snapToGrid w:val="0"/>
        </w:rPr>
        <w:t xml:space="preserve">by </w:t>
      </w:r>
      <w:r w:rsidR="00D3255D" w:rsidRPr="00DF23DE">
        <w:rPr>
          <w:snapToGrid w:val="0"/>
        </w:rPr>
        <w:t xml:space="preserve">the Russian Federation as a </w:t>
      </w:r>
      <w:r w:rsidR="00247E03" w:rsidRPr="00DF23DE">
        <w:rPr>
          <w:snapToGrid w:val="0"/>
        </w:rPr>
        <w:t xml:space="preserve">wanted </w:t>
      </w:r>
      <w:r w:rsidR="00D3255D" w:rsidRPr="00DF23DE">
        <w:rPr>
          <w:snapToGrid w:val="0"/>
        </w:rPr>
        <w:t xml:space="preserve">suspect in a criminal case concerning </w:t>
      </w:r>
      <w:r w:rsidR="000F2318" w:rsidRPr="00DF23DE">
        <w:rPr>
          <w:snapToGrid w:val="0"/>
        </w:rPr>
        <w:t xml:space="preserve">the activities </w:t>
      </w:r>
      <w:r w:rsidR="00D3255D" w:rsidRPr="00DF23DE">
        <w:rPr>
          <w:snapToGrid w:val="0"/>
        </w:rPr>
        <w:t xml:space="preserve">of an organized armed group in the territory of Ingushetia. </w:t>
      </w:r>
      <w:r w:rsidR="00AA1846" w:rsidRPr="00DF23DE">
        <w:rPr>
          <w:snapToGrid w:val="0"/>
        </w:rPr>
        <w:t>The r</w:t>
      </w:r>
      <w:r w:rsidR="00D3255D" w:rsidRPr="00DF23DE">
        <w:rPr>
          <w:snapToGrid w:val="0"/>
        </w:rPr>
        <w:t>elevant document</w:t>
      </w:r>
      <w:r w:rsidR="00247E03" w:rsidRPr="00DF23DE">
        <w:rPr>
          <w:snapToGrid w:val="0"/>
        </w:rPr>
        <w:t>ation</w:t>
      </w:r>
      <w:r w:rsidR="00D3255D" w:rsidRPr="00DF23DE">
        <w:rPr>
          <w:snapToGrid w:val="0"/>
        </w:rPr>
        <w:t xml:space="preserve"> was transmitted to the </w:t>
      </w:r>
      <w:r w:rsidR="00233D4D" w:rsidRPr="00DF23DE">
        <w:rPr>
          <w:snapToGrid w:val="0"/>
        </w:rPr>
        <w:t xml:space="preserve">Kazakh </w:t>
      </w:r>
      <w:r w:rsidR="00D3255D" w:rsidRPr="00DF23DE">
        <w:rPr>
          <w:snapToGrid w:val="0"/>
        </w:rPr>
        <w:t>authorities</w:t>
      </w:r>
      <w:r w:rsidR="00233D4D" w:rsidRPr="00DF23DE">
        <w:rPr>
          <w:snapToGrid w:val="0"/>
        </w:rPr>
        <w:t xml:space="preserve"> </w:t>
      </w:r>
      <w:r w:rsidR="00D3255D" w:rsidRPr="00DF23DE">
        <w:rPr>
          <w:snapToGrid w:val="0"/>
        </w:rPr>
        <w:t xml:space="preserve">on 24 April 2013. An identical document dated 23 March 2013 was transmitted to the authorities of Kazakhstan on 14 May 2013. </w:t>
      </w:r>
      <w:r w:rsidR="001360DB" w:rsidRPr="00DF23DE">
        <w:rPr>
          <w:snapToGrid w:val="0"/>
        </w:rPr>
        <w:t xml:space="preserve">On 23 April 2013, </w:t>
      </w:r>
      <w:r w:rsidR="00D3255D" w:rsidRPr="00DF23DE">
        <w:rPr>
          <w:snapToGrid w:val="0"/>
        </w:rPr>
        <w:t>the complainant</w:t>
      </w:r>
      <w:r w:rsidR="001360DB" w:rsidRPr="00DF23DE">
        <w:rPr>
          <w:snapToGrid w:val="0"/>
        </w:rPr>
        <w:t xml:space="preserve"> was charged with criminal offence</w:t>
      </w:r>
      <w:r w:rsidR="00586B44" w:rsidRPr="00DF23DE">
        <w:rPr>
          <w:snapToGrid w:val="0"/>
        </w:rPr>
        <w:t>s</w:t>
      </w:r>
      <w:r w:rsidR="001360DB" w:rsidRPr="00DF23DE">
        <w:rPr>
          <w:snapToGrid w:val="0"/>
        </w:rPr>
        <w:t xml:space="preserve"> </w:t>
      </w:r>
      <w:r w:rsidR="00247E03" w:rsidRPr="00DF23DE">
        <w:rPr>
          <w:snapToGrid w:val="0"/>
        </w:rPr>
        <w:t xml:space="preserve">under the Russian Criminal Code, specifically </w:t>
      </w:r>
      <w:r w:rsidR="001360DB" w:rsidRPr="00DF23DE">
        <w:rPr>
          <w:snapToGrid w:val="0"/>
        </w:rPr>
        <w:t>under article 209</w:t>
      </w:r>
      <w:r w:rsidR="00247E03" w:rsidRPr="00DF23DE">
        <w:rPr>
          <w:snapToGrid w:val="0"/>
        </w:rPr>
        <w:t>,</w:t>
      </w:r>
      <w:r w:rsidR="001360DB" w:rsidRPr="00DF23DE">
        <w:rPr>
          <w:snapToGrid w:val="0"/>
        </w:rPr>
        <w:t xml:space="preserve"> </w:t>
      </w:r>
      <w:r w:rsidR="00247E03" w:rsidRPr="00DF23DE">
        <w:rPr>
          <w:snapToGrid w:val="0"/>
        </w:rPr>
        <w:t xml:space="preserve">concerning </w:t>
      </w:r>
      <w:r w:rsidR="00586B44" w:rsidRPr="00DF23DE">
        <w:rPr>
          <w:snapToGrid w:val="0"/>
        </w:rPr>
        <w:t>banditry</w:t>
      </w:r>
      <w:r w:rsidR="00247E03" w:rsidRPr="00DF23DE">
        <w:rPr>
          <w:snapToGrid w:val="0"/>
        </w:rPr>
        <w:t>,</w:t>
      </w:r>
      <w:r w:rsidR="00586B44" w:rsidRPr="00DF23DE">
        <w:rPr>
          <w:snapToGrid w:val="0"/>
        </w:rPr>
        <w:t xml:space="preserve"> and </w:t>
      </w:r>
      <w:r w:rsidR="00247E03" w:rsidRPr="00DF23DE">
        <w:rPr>
          <w:snapToGrid w:val="0"/>
        </w:rPr>
        <w:t xml:space="preserve">article </w:t>
      </w:r>
      <w:r w:rsidR="00586B44" w:rsidRPr="00DF23DE">
        <w:rPr>
          <w:snapToGrid w:val="0"/>
        </w:rPr>
        <w:t>222</w:t>
      </w:r>
      <w:r w:rsidR="00247E03" w:rsidRPr="00DF23DE">
        <w:rPr>
          <w:snapToGrid w:val="0"/>
        </w:rPr>
        <w:t>,</w:t>
      </w:r>
      <w:r w:rsidR="00586B44" w:rsidRPr="00DF23DE">
        <w:rPr>
          <w:snapToGrid w:val="0"/>
        </w:rPr>
        <w:t xml:space="preserve"> </w:t>
      </w:r>
      <w:r w:rsidR="00247E03" w:rsidRPr="00DF23DE">
        <w:rPr>
          <w:snapToGrid w:val="0"/>
        </w:rPr>
        <w:t xml:space="preserve">concerning the </w:t>
      </w:r>
      <w:r w:rsidR="00586B44" w:rsidRPr="00DF23DE">
        <w:rPr>
          <w:snapToGrid w:val="0"/>
        </w:rPr>
        <w:t xml:space="preserve">illegal acquisition, transfer, selling, </w:t>
      </w:r>
      <w:r w:rsidR="001360DB" w:rsidRPr="00DF23DE">
        <w:rPr>
          <w:snapToGrid w:val="0"/>
        </w:rPr>
        <w:t>storage</w:t>
      </w:r>
      <w:r w:rsidR="00586B44" w:rsidRPr="00DF23DE">
        <w:rPr>
          <w:snapToGrid w:val="0"/>
        </w:rPr>
        <w:t xml:space="preserve">, transportation and carrying </w:t>
      </w:r>
      <w:r w:rsidR="001360DB" w:rsidRPr="00DF23DE">
        <w:rPr>
          <w:snapToGrid w:val="0"/>
        </w:rPr>
        <w:t xml:space="preserve">of </w:t>
      </w:r>
      <w:r w:rsidR="00586B44" w:rsidRPr="00DF23DE">
        <w:rPr>
          <w:snapToGrid w:val="0"/>
        </w:rPr>
        <w:t>firearms</w:t>
      </w:r>
      <w:r w:rsidR="001360DB" w:rsidRPr="00DF23DE">
        <w:rPr>
          <w:snapToGrid w:val="0"/>
        </w:rPr>
        <w:t xml:space="preserve">. </w:t>
      </w:r>
      <w:r w:rsidR="00247E03" w:rsidRPr="00DF23DE">
        <w:rPr>
          <w:snapToGrid w:val="0"/>
        </w:rPr>
        <w:t xml:space="preserve">The relevant documentation </w:t>
      </w:r>
      <w:r w:rsidR="00D3255D" w:rsidRPr="00DF23DE">
        <w:rPr>
          <w:snapToGrid w:val="0"/>
        </w:rPr>
        <w:t xml:space="preserve">was transmitted to </w:t>
      </w:r>
      <w:r w:rsidR="007F6FF8" w:rsidRPr="00DF23DE">
        <w:rPr>
          <w:snapToGrid w:val="0"/>
        </w:rPr>
        <w:t>the</w:t>
      </w:r>
      <w:r w:rsidR="00D3255D" w:rsidRPr="00DF23DE">
        <w:rPr>
          <w:snapToGrid w:val="0"/>
        </w:rPr>
        <w:t xml:space="preserve"> </w:t>
      </w:r>
      <w:r w:rsidR="003A1E6E" w:rsidRPr="00DF23DE">
        <w:rPr>
          <w:snapToGrid w:val="0"/>
        </w:rPr>
        <w:t xml:space="preserve">Kazakh </w:t>
      </w:r>
      <w:r w:rsidR="00D3255D" w:rsidRPr="00DF23DE">
        <w:rPr>
          <w:snapToGrid w:val="0"/>
        </w:rPr>
        <w:t>authorities</w:t>
      </w:r>
      <w:r w:rsidR="007F6FF8" w:rsidRPr="00DF23DE">
        <w:rPr>
          <w:snapToGrid w:val="0"/>
        </w:rPr>
        <w:t xml:space="preserve"> </w:t>
      </w:r>
      <w:r w:rsidR="00D3255D" w:rsidRPr="00DF23DE">
        <w:rPr>
          <w:snapToGrid w:val="0"/>
        </w:rPr>
        <w:t xml:space="preserve">on 14 May 2013. </w:t>
      </w:r>
      <w:r w:rsidR="001F0F61" w:rsidRPr="00DF23DE">
        <w:rPr>
          <w:snapToGrid w:val="0"/>
        </w:rPr>
        <w:t xml:space="preserve">On 23 April 2013, the complainant was </w:t>
      </w:r>
      <w:r w:rsidR="00D3255D" w:rsidRPr="00DF23DE">
        <w:rPr>
          <w:snapToGrid w:val="0"/>
        </w:rPr>
        <w:t xml:space="preserve">registered </w:t>
      </w:r>
      <w:r w:rsidR="00247E03" w:rsidRPr="00DF23DE">
        <w:rPr>
          <w:snapToGrid w:val="0"/>
        </w:rPr>
        <w:t xml:space="preserve">on </w:t>
      </w:r>
      <w:r w:rsidR="001F0F61" w:rsidRPr="00DF23DE">
        <w:rPr>
          <w:snapToGrid w:val="0"/>
        </w:rPr>
        <w:t xml:space="preserve">the international wanted list. </w:t>
      </w:r>
      <w:r w:rsidR="00A86702" w:rsidRPr="00DF23DE">
        <w:rPr>
          <w:snapToGrid w:val="0"/>
        </w:rPr>
        <w:t xml:space="preserve">On 25 April 2013, </w:t>
      </w:r>
      <w:r w:rsidR="00247E03" w:rsidRPr="00DF23DE">
        <w:rPr>
          <w:snapToGrid w:val="0"/>
        </w:rPr>
        <w:t xml:space="preserve">the </w:t>
      </w:r>
      <w:r w:rsidR="00AA1846" w:rsidRPr="00DF23DE">
        <w:rPr>
          <w:snapToGrid w:val="0"/>
        </w:rPr>
        <w:t xml:space="preserve">Alania District Court </w:t>
      </w:r>
      <w:r w:rsidR="00247E03" w:rsidRPr="00DF23DE">
        <w:rPr>
          <w:snapToGrid w:val="0"/>
        </w:rPr>
        <w:t xml:space="preserve">in Northern Ossetia </w:t>
      </w:r>
      <w:r w:rsidR="00A86702" w:rsidRPr="00DF23DE">
        <w:rPr>
          <w:snapToGrid w:val="0"/>
        </w:rPr>
        <w:t>authorized</w:t>
      </w:r>
      <w:r w:rsidR="003A1E6E" w:rsidRPr="00DF23DE">
        <w:rPr>
          <w:snapToGrid w:val="0"/>
        </w:rPr>
        <w:t xml:space="preserve"> the placement </w:t>
      </w:r>
      <w:r w:rsidR="00863C85" w:rsidRPr="00DF23DE">
        <w:rPr>
          <w:snapToGrid w:val="0"/>
        </w:rPr>
        <w:t xml:space="preserve">in custody </w:t>
      </w:r>
      <w:r w:rsidR="003A1E6E" w:rsidRPr="00DF23DE">
        <w:rPr>
          <w:snapToGrid w:val="0"/>
        </w:rPr>
        <w:t xml:space="preserve">of the complainant </w:t>
      </w:r>
      <w:r w:rsidR="00A86702" w:rsidRPr="00DF23DE">
        <w:rPr>
          <w:snapToGrid w:val="0"/>
        </w:rPr>
        <w:t>as a preventive measure.</w:t>
      </w:r>
    </w:p>
    <w:p w14:paraId="72AE1D09" w14:textId="77777777" w:rsidR="007821E7" w:rsidRPr="00DF23DE" w:rsidRDefault="00545C95" w:rsidP="005E4862">
      <w:pPr>
        <w:pStyle w:val="SingleTxtG"/>
        <w:rPr>
          <w:snapToGrid w:val="0"/>
        </w:rPr>
      </w:pPr>
      <w:r w:rsidRPr="00DF23DE">
        <w:rPr>
          <w:snapToGrid w:val="0"/>
        </w:rPr>
        <w:t>2.3</w:t>
      </w:r>
      <w:r w:rsidRPr="00DF23DE">
        <w:rPr>
          <w:snapToGrid w:val="0"/>
        </w:rPr>
        <w:tab/>
      </w:r>
      <w:r w:rsidR="00BD7C6A" w:rsidRPr="00DF23DE">
        <w:rPr>
          <w:snapToGrid w:val="0"/>
        </w:rPr>
        <w:t xml:space="preserve">On 26 April 2013, </w:t>
      </w:r>
      <w:r w:rsidR="00586B44" w:rsidRPr="00DF23DE">
        <w:rPr>
          <w:snapToGrid w:val="0"/>
        </w:rPr>
        <w:t>the complainant</w:t>
      </w:r>
      <w:r w:rsidR="00BD7C6A" w:rsidRPr="00DF23DE">
        <w:rPr>
          <w:snapToGrid w:val="0"/>
        </w:rPr>
        <w:t xml:space="preserve"> was apprehended by </w:t>
      </w:r>
      <w:r w:rsidRPr="00DF23DE">
        <w:rPr>
          <w:snapToGrid w:val="0"/>
        </w:rPr>
        <w:t xml:space="preserve">officers of the </w:t>
      </w:r>
      <w:r w:rsidR="00BD7C6A" w:rsidRPr="00DF23DE">
        <w:rPr>
          <w:snapToGrid w:val="0"/>
        </w:rPr>
        <w:t>West</w:t>
      </w:r>
      <w:r w:rsidR="00863C85" w:rsidRPr="00DF23DE">
        <w:rPr>
          <w:snapToGrid w:val="0"/>
        </w:rPr>
        <w:t xml:space="preserve"> </w:t>
      </w:r>
      <w:r w:rsidR="00BD7C6A" w:rsidRPr="00DF23DE">
        <w:rPr>
          <w:snapToGrid w:val="0"/>
        </w:rPr>
        <w:t xml:space="preserve">Kazakhstan Regional Department of </w:t>
      </w:r>
      <w:r w:rsidR="00863C85" w:rsidRPr="00DF23DE">
        <w:rPr>
          <w:snapToGrid w:val="0"/>
        </w:rPr>
        <w:t xml:space="preserve">the </w:t>
      </w:r>
      <w:r w:rsidR="00BD7C6A" w:rsidRPr="00DF23DE">
        <w:rPr>
          <w:snapToGrid w:val="0"/>
        </w:rPr>
        <w:t>Interior</w:t>
      </w:r>
      <w:r w:rsidR="001360DB" w:rsidRPr="00DF23DE">
        <w:rPr>
          <w:snapToGrid w:val="0"/>
        </w:rPr>
        <w:t>. On</w:t>
      </w:r>
      <w:r w:rsidR="00CE01AA" w:rsidRPr="00DF23DE">
        <w:rPr>
          <w:snapToGrid w:val="0"/>
        </w:rPr>
        <w:t xml:space="preserve"> 27 April 2013, his detention with the aim of extradition to the Russian Federation was authorized by the Prosecutor of Uralsk. This decision was maintained on </w:t>
      </w:r>
      <w:r w:rsidR="001360DB" w:rsidRPr="00DF23DE">
        <w:rPr>
          <w:snapToGrid w:val="0"/>
        </w:rPr>
        <w:t>2</w:t>
      </w:r>
      <w:r w:rsidR="008C530C" w:rsidRPr="00DF23DE">
        <w:rPr>
          <w:snapToGrid w:val="0"/>
        </w:rPr>
        <w:t>9</w:t>
      </w:r>
      <w:r w:rsidR="001360DB" w:rsidRPr="00DF23DE">
        <w:rPr>
          <w:snapToGrid w:val="0"/>
        </w:rPr>
        <w:t xml:space="preserve"> April 2013</w:t>
      </w:r>
      <w:r w:rsidR="00CE01AA" w:rsidRPr="00DF23DE">
        <w:rPr>
          <w:snapToGrid w:val="0"/>
        </w:rPr>
        <w:t xml:space="preserve"> by</w:t>
      </w:r>
      <w:r w:rsidR="001360DB" w:rsidRPr="00DF23DE">
        <w:rPr>
          <w:snapToGrid w:val="0"/>
        </w:rPr>
        <w:t xml:space="preserve"> the City Court of Uralsk</w:t>
      </w:r>
      <w:r w:rsidR="00BD7C6A" w:rsidRPr="00DF23DE">
        <w:rPr>
          <w:snapToGrid w:val="0"/>
        </w:rPr>
        <w:t>.</w:t>
      </w:r>
      <w:r w:rsidR="001360DB" w:rsidRPr="00DF23DE">
        <w:rPr>
          <w:snapToGrid w:val="0"/>
        </w:rPr>
        <w:t xml:space="preserve"> </w:t>
      </w:r>
      <w:r w:rsidR="00746A6B" w:rsidRPr="00DF23DE">
        <w:rPr>
          <w:snapToGrid w:val="0"/>
        </w:rPr>
        <w:t xml:space="preserve">The complainant appealed the decision on </w:t>
      </w:r>
      <w:r w:rsidR="003A1E6E" w:rsidRPr="00DF23DE">
        <w:rPr>
          <w:snapToGrid w:val="0"/>
        </w:rPr>
        <w:t xml:space="preserve">his </w:t>
      </w:r>
      <w:r w:rsidR="00746A6B" w:rsidRPr="00DF23DE">
        <w:rPr>
          <w:snapToGrid w:val="0"/>
        </w:rPr>
        <w:t>detention to the West</w:t>
      </w:r>
      <w:r w:rsidR="00AA1846" w:rsidRPr="00DF23DE">
        <w:rPr>
          <w:snapToGrid w:val="0"/>
        </w:rPr>
        <w:t xml:space="preserve"> </w:t>
      </w:r>
      <w:r w:rsidR="00746A6B" w:rsidRPr="00DF23DE">
        <w:rPr>
          <w:snapToGrid w:val="0"/>
        </w:rPr>
        <w:t>Kazakhstan Regional Court</w:t>
      </w:r>
      <w:r w:rsidR="00AA1846" w:rsidRPr="00DF23DE">
        <w:rPr>
          <w:snapToGrid w:val="0"/>
        </w:rPr>
        <w:t>,</w:t>
      </w:r>
      <w:r w:rsidR="00746A6B" w:rsidRPr="00DF23DE">
        <w:rPr>
          <w:snapToGrid w:val="0"/>
        </w:rPr>
        <w:t xml:space="preserve"> arguing that the criminal charges against him </w:t>
      </w:r>
      <w:r w:rsidR="00AA1846" w:rsidRPr="00DF23DE">
        <w:rPr>
          <w:snapToGrid w:val="0"/>
        </w:rPr>
        <w:t xml:space="preserve">had been </w:t>
      </w:r>
      <w:r w:rsidR="00746A6B" w:rsidRPr="00DF23DE">
        <w:rPr>
          <w:snapToGrid w:val="0"/>
        </w:rPr>
        <w:t xml:space="preserve">fabricated, that he </w:t>
      </w:r>
      <w:r w:rsidR="00AA1846" w:rsidRPr="00DF23DE">
        <w:rPr>
          <w:snapToGrid w:val="0"/>
        </w:rPr>
        <w:t xml:space="preserve">had been </w:t>
      </w:r>
      <w:r w:rsidR="00746A6B" w:rsidRPr="00DF23DE">
        <w:rPr>
          <w:snapToGrid w:val="0"/>
        </w:rPr>
        <w:t xml:space="preserve">subjected to torture, the evidence of which </w:t>
      </w:r>
      <w:r w:rsidR="00AA1846" w:rsidRPr="00DF23DE">
        <w:rPr>
          <w:snapToGrid w:val="0"/>
        </w:rPr>
        <w:t xml:space="preserve">were </w:t>
      </w:r>
      <w:r w:rsidR="00746A6B" w:rsidRPr="00DF23DE">
        <w:rPr>
          <w:snapToGrid w:val="0"/>
        </w:rPr>
        <w:t xml:space="preserve">the marks on his body, and that he </w:t>
      </w:r>
      <w:r w:rsidR="00AA1846" w:rsidRPr="00DF23DE">
        <w:rPr>
          <w:snapToGrid w:val="0"/>
        </w:rPr>
        <w:t xml:space="preserve">had intended </w:t>
      </w:r>
      <w:r w:rsidR="00746A6B" w:rsidRPr="00DF23DE">
        <w:rPr>
          <w:snapToGrid w:val="0"/>
        </w:rPr>
        <w:t>to request asylum in Kazakhstan. On 8 May 2013, the Regional Court rejected his appeal</w:t>
      </w:r>
      <w:r w:rsidR="00AA1846" w:rsidRPr="00DF23DE">
        <w:rPr>
          <w:snapToGrid w:val="0"/>
        </w:rPr>
        <w:t>,</w:t>
      </w:r>
      <w:r w:rsidR="00746A6B" w:rsidRPr="00DF23DE">
        <w:rPr>
          <w:snapToGrid w:val="0"/>
        </w:rPr>
        <w:t xml:space="preserve"> stating that the criminal charges against him </w:t>
      </w:r>
      <w:r w:rsidR="00AA1846" w:rsidRPr="00DF23DE">
        <w:rPr>
          <w:snapToGrid w:val="0"/>
        </w:rPr>
        <w:t xml:space="preserve">had been </w:t>
      </w:r>
      <w:r w:rsidR="00746A6B" w:rsidRPr="00DF23DE">
        <w:rPr>
          <w:snapToGrid w:val="0"/>
        </w:rPr>
        <w:t xml:space="preserve">confirmed by the documents provided by the Russian authorities. </w:t>
      </w:r>
      <w:r w:rsidR="001360DB" w:rsidRPr="00DF23DE">
        <w:rPr>
          <w:snapToGrid w:val="0"/>
        </w:rPr>
        <w:t xml:space="preserve">The duration of </w:t>
      </w:r>
      <w:r w:rsidR="00746A6B" w:rsidRPr="00DF23DE">
        <w:rPr>
          <w:snapToGrid w:val="0"/>
        </w:rPr>
        <w:t>the complainant’s</w:t>
      </w:r>
      <w:r w:rsidR="001360DB" w:rsidRPr="00DF23DE">
        <w:rPr>
          <w:snapToGrid w:val="0"/>
        </w:rPr>
        <w:t xml:space="preserve"> detention was extended by the City Court </w:t>
      </w:r>
      <w:r w:rsidRPr="00DF23DE">
        <w:rPr>
          <w:snapToGrid w:val="0"/>
        </w:rPr>
        <w:t xml:space="preserve">on </w:t>
      </w:r>
      <w:r w:rsidR="001360DB" w:rsidRPr="00DF23DE">
        <w:rPr>
          <w:snapToGrid w:val="0"/>
        </w:rPr>
        <w:t>24 June 2013</w:t>
      </w:r>
      <w:r w:rsidR="00A420B0" w:rsidRPr="00DF23DE">
        <w:rPr>
          <w:snapToGrid w:val="0"/>
        </w:rPr>
        <w:t xml:space="preserve">, </w:t>
      </w:r>
      <w:r w:rsidR="00C66978" w:rsidRPr="00DF23DE">
        <w:rPr>
          <w:snapToGrid w:val="0"/>
        </w:rPr>
        <w:t>19 July 2013</w:t>
      </w:r>
      <w:r w:rsidR="00A420B0" w:rsidRPr="00DF23DE">
        <w:rPr>
          <w:snapToGrid w:val="0"/>
        </w:rPr>
        <w:t xml:space="preserve"> and 21 January 2014</w:t>
      </w:r>
      <w:r w:rsidRPr="00DF23DE">
        <w:rPr>
          <w:snapToGrid w:val="0"/>
        </w:rPr>
        <w:t>.</w:t>
      </w:r>
      <w:r w:rsidR="001360DB" w:rsidRPr="00DF23DE">
        <w:rPr>
          <w:snapToGrid w:val="0"/>
        </w:rPr>
        <w:t xml:space="preserve"> The complainant appealed the </w:t>
      </w:r>
      <w:r w:rsidRPr="00DF23DE">
        <w:rPr>
          <w:snapToGrid w:val="0"/>
        </w:rPr>
        <w:t xml:space="preserve">City </w:t>
      </w:r>
      <w:r w:rsidR="001360DB" w:rsidRPr="00DF23DE">
        <w:rPr>
          <w:snapToGrid w:val="0"/>
        </w:rPr>
        <w:t>Court decision</w:t>
      </w:r>
      <w:r w:rsidRPr="00DF23DE">
        <w:rPr>
          <w:snapToGrid w:val="0"/>
        </w:rPr>
        <w:t>s</w:t>
      </w:r>
      <w:r w:rsidR="005E7AC6" w:rsidRPr="00DF23DE">
        <w:rPr>
          <w:snapToGrid w:val="0"/>
        </w:rPr>
        <w:t xml:space="preserve"> </w:t>
      </w:r>
      <w:r w:rsidR="00A420B0" w:rsidRPr="00DF23DE">
        <w:rPr>
          <w:snapToGrid w:val="0"/>
        </w:rPr>
        <w:t>of 24 June and 19 July 2013</w:t>
      </w:r>
      <w:r w:rsidR="003A1E6E" w:rsidRPr="00DF23DE">
        <w:rPr>
          <w:snapToGrid w:val="0"/>
        </w:rPr>
        <w:t xml:space="preserve"> to</w:t>
      </w:r>
      <w:r w:rsidR="003A1E6E" w:rsidRPr="00DF23DE">
        <w:t xml:space="preserve"> </w:t>
      </w:r>
      <w:r w:rsidR="003A1E6E" w:rsidRPr="00DF23DE">
        <w:rPr>
          <w:snapToGrid w:val="0"/>
        </w:rPr>
        <w:t>the West</w:t>
      </w:r>
      <w:r w:rsidR="00AA1846" w:rsidRPr="00DF23DE">
        <w:rPr>
          <w:snapToGrid w:val="0"/>
        </w:rPr>
        <w:t xml:space="preserve"> </w:t>
      </w:r>
      <w:r w:rsidR="003A1E6E" w:rsidRPr="00DF23DE">
        <w:rPr>
          <w:snapToGrid w:val="0"/>
        </w:rPr>
        <w:t xml:space="preserve">Kazakhstan Regional Court, </w:t>
      </w:r>
      <w:r w:rsidR="005E7AC6" w:rsidRPr="00DF23DE">
        <w:rPr>
          <w:snapToGrid w:val="0"/>
        </w:rPr>
        <w:t xml:space="preserve">on the grounds that </w:t>
      </w:r>
      <w:r w:rsidR="00A420B0" w:rsidRPr="00DF23DE">
        <w:rPr>
          <w:snapToGrid w:val="0"/>
        </w:rPr>
        <w:t>he</w:t>
      </w:r>
      <w:r w:rsidR="005E7AC6" w:rsidRPr="00DF23DE">
        <w:rPr>
          <w:snapToGrid w:val="0"/>
        </w:rPr>
        <w:t xml:space="preserve"> </w:t>
      </w:r>
      <w:r w:rsidR="00AA1846" w:rsidRPr="00DF23DE">
        <w:rPr>
          <w:snapToGrid w:val="0"/>
        </w:rPr>
        <w:t xml:space="preserve">had been </w:t>
      </w:r>
      <w:r w:rsidR="005E7AC6" w:rsidRPr="00DF23DE">
        <w:rPr>
          <w:snapToGrid w:val="0"/>
        </w:rPr>
        <w:t>abducted and tortured</w:t>
      </w:r>
      <w:r w:rsidR="00AA1846" w:rsidRPr="00DF23DE">
        <w:rPr>
          <w:snapToGrid w:val="0"/>
        </w:rPr>
        <w:t>,</w:t>
      </w:r>
      <w:r w:rsidR="005E7AC6" w:rsidRPr="00DF23DE">
        <w:rPr>
          <w:snapToGrid w:val="0"/>
        </w:rPr>
        <w:t xml:space="preserve"> allegedly by Russian law enforcement offic</w:t>
      </w:r>
      <w:r w:rsidR="003A1E6E" w:rsidRPr="00DF23DE">
        <w:rPr>
          <w:snapToGrid w:val="0"/>
        </w:rPr>
        <w:t>ials</w:t>
      </w:r>
      <w:r w:rsidR="00AA1846" w:rsidRPr="00DF23DE">
        <w:rPr>
          <w:snapToGrid w:val="0"/>
        </w:rPr>
        <w:t>,</w:t>
      </w:r>
      <w:r w:rsidR="005E7AC6" w:rsidRPr="00DF23DE">
        <w:rPr>
          <w:snapToGrid w:val="0"/>
        </w:rPr>
        <w:t xml:space="preserve"> and that he </w:t>
      </w:r>
      <w:r w:rsidR="00AA1846" w:rsidRPr="00DF23DE">
        <w:rPr>
          <w:snapToGrid w:val="0"/>
        </w:rPr>
        <w:t xml:space="preserve">would </w:t>
      </w:r>
      <w:r w:rsidR="005E7AC6" w:rsidRPr="00DF23DE">
        <w:rPr>
          <w:snapToGrid w:val="0"/>
        </w:rPr>
        <w:t xml:space="preserve">be </w:t>
      </w:r>
      <w:r w:rsidR="003A1E6E" w:rsidRPr="00DF23DE">
        <w:rPr>
          <w:snapToGrid w:val="0"/>
        </w:rPr>
        <w:t xml:space="preserve">placed at </w:t>
      </w:r>
      <w:r w:rsidR="005E7AC6" w:rsidRPr="00DF23DE">
        <w:rPr>
          <w:snapToGrid w:val="0"/>
        </w:rPr>
        <w:t xml:space="preserve">risk </w:t>
      </w:r>
      <w:r w:rsidR="00AA1846" w:rsidRPr="00DF23DE">
        <w:rPr>
          <w:snapToGrid w:val="0"/>
        </w:rPr>
        <w:t xml:space="preserve">of </w:t>
      </w:r>
      <w:r w:rsidR="005E7AC6" w:rsidRPr="00DF23DE">
        <w:rPr>
          <w:snapToGrid w:val="0"/>
        </w:rPr>
        <w:t>torture and possibly death if extradited</w:t>
      </w:r>
      <w:r w:rsidR="00586B44" w:rsidRPr="00DF23DE">
        <w:rPr>
          <w:snapToGrid w:val="0"/>
        </w:rPr>
        <w:t xml:space="preserve">. </w:t>
      </w:r>
      <w:r w:rsidRPr="00DF23DE">
        <w:rPr>
          <w:snapToGrid w:val="0"/>
        </w:rPr>
        <w:t>His appeal</w:t>
      </w:r>
      <w:r w:rsidR="00C66978" w:rsidRPr="00DF23DE">
        <w:rPr>
          <w:snapToGrid w:val="0"/>
        </w:rPr>
        <w:t>s</w:t>
      </w:r>
      <w:r w:rsidR="00746A6B" w:rsidRPr="00DF23DE">
        <w:rPr>
          <w:snapToGrid w:val="0"/>
        </w:rPr>
        <w:t xml:space="preserve"> w</w:t>
      </w:r>
      <w:r w:rsidR="00C66978" w:rsidRPr="00DF23DE">
        <w:rPr>
          <w:snapToGrid w:val="0"/>
        </w:rPr>
        <w:t>ere</w:t>
      </w:r>
      <w:r w:rsidRPr="00DF23DE">
        <w:rPr>
          <w:snapToGrid w:val="0"/>
        </w:rPr>
        <w:t xml:space="preserve"> rejected by the Regional Court o</w:t>
      </w:r>
      <w:r w:rsidR="00586B44" w:rsidRPr="00DF23DE">
        <w:rPr>
          <w:snapToGrid w:val="0"/>
        </w:rPr>
        <w:t xml:space="preserve">n </w:t>
      </w:r>
      <w:r w:rsidR="008C530C" w:rsidRPr="00DF23DE">
        <w:rPr>
          <w:snapToGrid w:val="0"/>
        </w:rPr>
        <w:lastRenderedPageBreak/>
        <w:t>14 June 2013</w:t>
      </w:r>
      <w:r w:rsidR="00C66978" w:rsidRPr="00DF23DE">
        <w:rPr>
          <w:snapToGrid w:val="0"/>
        </w:rPr>
        <w:t xml:space="preserve"> and 26 July 2013</w:t>
      </w:r>
      <w:r w:rsidR="001360DB" w:rsidRPr="00DF23DE">
        <w:rPr>
          <w:snapToGrid w:val="0"/>
        </w:rPr>
        <w:t>.</w:t>
      </w:r>
      <w:r w:rsidR="008C530C" w:rsidRPr="00DF23DE">
        <w:rPr>
          <w:snapToGrid w:val="0"/>
        </w:rPr>
        <w:t xml:space="preserve"> </w:t>
      </w:r>
      <w:r w:rsidR="003A1E6E" w:rsidRPr="00DF23DE">
        <w:rPr>
          <w:snapToGrid w:val="0"/>
        </w:rPr>
        <w:t>A</w:t>
      </w:r>
      <w:r w:rsidR="008C530C" w:rsidRPr="00DF23DE">
        <w:rPr>
          <w:snapToGrid w:val="0"/>
        </w:rPr>
        <w:t xml:space="preserve"> third appeal, filed on 2</w:t>
      </w:r>
      <w:r w:rsidR="00FA7230" w:rsidRPr="00DF23DE">
        <w:rPr>
          <w:snapToGrid w:val="0"/>
        </w:rPr>
        <w:t>6</w:t>
      </w:r>
      <w:r w:rsidR="008C530C" w:rsidRPr="00DF23DE">
        <w:rPr>
          <w:snapToGrid w:val="0"/>
        </w:rPr>
        <w:t xml:space="preserve"> June 2013, was pending before the Regional Court at the </w:t>
      </w:r>
      <w:r w:rsidR="00AA1846" w:rsidRPr="00DF23DE">
        <w:rPr>
          <w:snapToGrid w:val="0"/>
        </w:rPr>
        <w:t xml:space="preserve">time </w:t>
      </w:r>
      <w:r w:rsidR="008C530C" w:rsidRPr="00DF23DE">
        <w:rPr>
          <w:snapToGrid w:val="0"/>
        </w:rPr>
        <w:t xml:space="preserve">of submission of the complaint. </w:t>
      </w:r>
    </w:p>
    <w:p w14:paraId="1C9CCF25" w14:textId="77777777" w:rsidR="00133158" w:rsidRPr="00DF23DE" w:rsidRDefault="007821E7" w:rsidP="005E4862">
      <w:pPr>
        <w:pStyle w:val="SingleTxtG"/>
        <w:rPr>
          <w:snapToGrid w:val="0"/>
        </w:rPr>
      </w:pPr>
      <w:r w:rsidRPr="00DF23DE">
        <w:rPr>
          <w:snapToGrid w:val="0"/>
        </w:rPr>
        <w:t>2.</w:t>
      </w:r>
      <w:r w:rsidR="001F0F61" w:rsidRPr="00DF23DE">
        <w:rPr>
          <w:snapToGrid w:val="0"/>
        </w:rPr>
        <w:t>4</w:t>
      </w:r>
      <w:r w:rsidRPr="00DF23DE">
        <w:rPr>
          <w:snapToGrid w:val="0"/>
        </w:rPr>
        <w:tab/>
      </w:r>
      <w:r w:rsidR="00C22A6A" w:rsidRPr="00DF23DE">
        <w:rPr>
          <w:snapToGrid w:val="0"/>
        </w:rPr>
        <w:t xml:space="preserve">On 21 May 2013, the Prosecutor General’s Office of the Russian Federation formally requested </w:t>
      </w:r>
      <w:r w:rsidR="00AA1846" w:rsidRPr="00DF23DE">
        <w:rPr>
          <w:snapToGrid w:val="0"/>
        </w:rPr>
        <w:t xml:space="preserve">the </w:t>
      </w:r>
      <w:r w:rsidR="00C22A6A" w:rsidRPr="00DF23DE">
        <w:rPr>
          <w:snapToGrid w:val="0"/>
        </w:rPr>
        <w:t xml:space="preserve">extradition of the complainant. </w:t>
      </w:r>
      <w:r w:rsidR="00883E11" w:rsidRPr="00DF23DE">
        <w:rPr>
          <w:snapToGrid w:val="0"/>
        </w:rPr>
        <w:t xml:space="preserve">By a </w:t>
      </w:r>
      <w:r w:rsidR="00AA1846" w:rsidRPr="00DF23DE">
        <w:rPr>
          <w:snapToGrid w:val="0"/>
        </w:rPr>
        <w:t>r</w:t>
      </w:r>
      <w:r w:rsidR="00883E11" w:rsidRPr="00DF23DE">
        <w:rPr>
          <w:snapToGrid w:val="0"/>
        </w:rPr>
        <w:t>esolution of 2</w:t>
      </w:r>
      <w:r w:rsidR="001F0F61" w:rsidRPr="00DF23DE">
        <w:rPr>
          <w:snapToGrid w:val="0"/>
        </w:rPr>
        <w:t>3</w:t>
      </w:r>
      <w:r w:rsidR="00883E11" w:rsidRPr="00DF23DE">
        <w:rPr>
          <w:snapToGrid w:val="0"/>
        </w:rPr>
        <w:t xml:space="preserve"> </w:t>
      </w:r>
      <w:r w:rsidR="001F0F61" w:rsidRPr="00DF23DE">
        <w:rPr>
          <w:snapToGrid w:val="0"/>
        </w:rPr>
        <w:t xml:space="preserve">May 2013, </w:t>
      </w:r>
      <w:r w:rsidR="00A04BEC" w:rsidRPr="00DF23DE">
        <w:rPr>
          <w:snapToGrid w:val="0"/>
        </w:rPr>
        <w:t xml:space="preserve">the </w:t>
      </w:r>
      <w:r w:rsidR="001F0F61" w:rsidRPr="00DF23DE">
        <w:rPr>
          <w:snapToGrid w:val="0"/>
        </w:rPr>
        <w:t xml:space="preserve">Deputy </w:t>
      </w:r>
      <w:r w:rsidR="00A04BEC" w:rsidRPr="00DF23DE">
        <w:rPr>
          <w:snapToGrid w:val="0"/>
        </w:rPr>
        <w:t xml:space="preserve">Prosecutor </w:t>
      </w:r>
      <w:r w:rsidR="001F0F61" w:rsidRPr="00DF23DE">
        <w:rPr>
          <w:snapToGrid w:val="0"/>
        </w:rPr>
        <w:t xml:space="preserve">General </w:t>
      </w:r>
      <w:r w:rsidR="00A04BEC" w:rsidRPr="00DF23DE">
        <w:rPr>
          <w:snapToGrid w:val="0"/>
        </w:rPr>
        <w:t xml:space="preserve">of </w:t>
      </w:r>
      <w:r w:rsidR="001F0F61" w:rsidRPr="00DF23DE">
        <w:rPr>
          <w:snapToGrid w:val="0"/>
        </w:rPr>
        <w:t>Kazakhstan</w:t>
      </w:r>
      <w:r w:rsidR="00883E11" w:rsidRPr="00DF23DE">
        <w:rPr>
          <w:snapToGrid w:val="0"/>
        </w:rPr>
        <w:t xml:space="preserve"> </w:t>
      </w:r>
      <w:r w:rsidR="00886660" w:rsidRPr="00DF23DE">
        <w:rPr>
          <w:snapToGrid w:val="0"/>
        </w:rPr>
        <w:t xml:space="preserve">granted the extradition request </w:t>
      </w:r>
      <w:r w:rsidR="008B4E93" w:rsidRPr="00DF23DE">
        <w:rPr>
          <w:snapToGrid w:val="0"/>
        </w:rPr>
        <w:t xml:space="preserve">on </w:t>
      </w:r>
      <w:r w:rsidR="00AA1846" w:rsidRPr="00DF23DE">
        <w:rPr>
          <w:snapToGrid w:val="0"/>
        </w:rPr>
        <w:t xml:space="preserve">the basis of </w:t>
      </w:r>
      <w:r w:rsidR="00B34174" w:rsidRPr="00DF23DE">
        <w:rPr>
          <w:snapToGrid w:val="0"/>
        </w:rPr>
        <w:t xml:space="preserve">the </w:t>
      </w:r>
      <w:r w:rsidR="00256C5E" w:rsidRPr="00DF23DE">
        <w:rPr>
          <w:snapToGrid w:val="0"/>
        </w:rPr>
        <w:t xml:space="preserve">Convention on </w:t>
      </w:r>
      <w:r w:rsidR="00CF0F87" w:rsidRPr="00DF23DE">
        <w:rPr>
          <w:snapToGrid w:val="0"/>
        </w:rPr>
        <w:t xml:space="preserve">Legal </w:t>
      </w:r>
      <w:r w:rsidR="00AA1846" w:rsidRPr="00DF23DE">
        <w:rPr>
          <w:snapToGrid w:val="0"/>
        </w:rPr>
        <w:t xml:space="preserve">Assistance </w:t>
      </w:r>
      <w:r w:rsidR="00CF0F87" w:rsidRPr="00DF23DE">
        <w:rPr>
          <w:snapToGrid w:val="0"/>
        </w:rPr>
        <w:t>and L</w:t>
      </w:r>
      <w:r w:rsidR="00256C5E" w:rsidRPr="00DF23DE">
        <w:rPr>
          <w:snapToGrid w:val="0"/>
        </w:rPr>
        <w:t xml:space="preserve">egal </w:t>
      </w:r>
      <w:r w:rsidR="00CF0F87" w:rsidRPr="00DF23DE">
        <w:rPr>
          <w:snapToGrid w:val="0"/>
        </w:rPr>
        <w:t xml:space="preserve">Relations in Civil, Family and Criminal </w:t>
      </w:r>
      <w:r w:rsidR="00AA1846" w:rsidRPr="00DF23DE">
        <w:rPr>
          <w:snapToGrid w:val="0"/>
        </w:rPr>
        <w:t xml:space="preserve">Matters </w:t>
      </w:r>
      <w:r w:rsidR="00B34174" w:rsidRPr="00DF23DE">
        <w:rPr>
          <w:snapToGrid w:val="0"/>
        </w:rPr>
        <w:t>(</w:t>
      </w:r>
      <w:r w:rsidR="00D6618D" w:rsidRPr="00DF23DE">
        <w:rPr>
          <w:snapToGrid w:val="0"/>
        </w:rPr>
        <w:t xml:space="preserve">the </w:t>
      </w:r>
      <w:r w:rsidR="00B34174" w:rsidRPr="00DF23DE">
        <w:rPr>
          <w:snapToGrid w:val="0"/>
        </w:rPr>
        <w:t>Minsk Conventio</w:t>
      </w:r>
      <w:r w:rsidR="00D6618D" w:rsidRPr="00DF23DE">
        <w:rPr>
          <w:snapToGrid w:val="0"/>
        </w:rPr>
        <w:t>n</w:t>
      </w:r>
      <w:r w:rsidR="00B34174" w:rsidRPr="00DF23DE">
        <w:rPr>
          <w:snapToGrid w:val="0"/>
        </w:rPr>
        <w:t>)</w:t>
      </w:r>
      <w:r w:rsidR="00886660" w:rsidRPr="00DF23DE">
        <w:rPr>
          <w:snapToGrid w:val="0"/>
        </w:rPr>
        <w:t xml:space="preserve">. </w:t>
      </w:r>
    </w:p>
    <w:p w14:paraId="46C36F12" w14:textId="77777777" w:rsidR="00896F54" w:rsidRPr="00DF23DE" w:rsidRDefault="00133158" w:rsidP="005E4862">
      <w:pPr>
        <w:pStyle w:val="SingleTxtG"/>
        <w:rPr>
          <w:snapToGrid w:val="0"/>
        </w:rPr>
      </w:pPr>
      <w:r w:rsidRPr="00DF23DE">
        <w:rPr>
          <w:snapToGrid w:val="0"/>
        </w:rPr>
        <w:t>2.5</w:t>
      </w:r>
      <w:r w:rsidRPr="00DF23DE">
        <w:rPr>
          <w:snapToGrid w:val="0"/>
        </w:rPr>
        <w:tab/>
      </w:r>
      <w:r w:rsidR="00C22A6A" w:rsidRPr="00DF23DE">
        <w:rPr>
          <w:snapToGrid w:val="0"/>
        </w:rPr>
        <w:t>On 20 June 2013, t</w:t>
      </w:r>
      <w:r w:rsidR="00886660" w:rsidRPr="00DF23DE">
        <w:rPr>
          <w:snapToGrid w:val="0"/>
        </w:rPr>
        <w:t xml:space="preserve">he complainant appealed </w:t>
      </w:r>
      <w:r w:rsidR="006D49CE" w:rsidRPr="00DF23DE">
        <w:rPr>
          <w:snapToGrid w:val="0"/>
        </w:rPr>
        <w:t xml:space="preserve">the Deputy Prosecutor General’s </w:t>
      </w:r>
      <w:r w:rsidR="00886660" w:rsidRPr="00DF23DE">
        <w:rPr>
          <w:snapToGrid w:val="0"/>
        </w:rPr>
        <w:t>decision</w:t>
      </w:r>
      <w:r w:rsidR="007F1728" w:rsidRPr="00DF23DE">
        <w:t xml:space="preserve"> to the </w:t>
      </w:r>
      <w:r w:rsidR="00AA1846" w:rsidRPr="00DF23DE">
        <w:t xml:space="preserve">Uralsk </w:t>
      </w:r>
      <w:r w:rsidR="00C22A6A" w:rsidRPr="00DF23DE">
        <w:t>City Court</w:t>
      </w:r>
      <w:r w:rsidR="00AA1846" w:rsidRPr="00DF23DE">
        <w:t>,</w:t>
      </w:r>
      <w:r w:rsidR="00C22A6A" w:rsidRPr="00DF23DE">
        <w:t xml:space="preserve"> </w:t>
      </w:r>
      <w:r w:rsidR="006D49CE" w:rsidRPr="00DF23DE">
        <w:t xml:space="preserve">providing details of his previous torture and expressing his fear of torture </w:t>
      </w:r>
      <w:r w:rsidR="008B4E93" w:rsidRPr="00DF23DE">
        <w:t>or</w:t>
      </w:r>
      <w:r w:rsidR="006D49CE" w:rsidRPr="00DF23DE">
        <w:t xml:space="preserve"> death in </w:t>
      </w:r>
      <w:r w:rsidR="00AA1846" w:rsidRPr="00DF23DE">
        <w:t xml:space="preserve">the event of his </w:t>
      </w:r>
      <w:r w:rsidR="006D49CE" w:rsidRPr="00DF23DE">
        <w:t>extradition</w:t>
      </w:r>
      <w:r w:rsidR="00886660" w:rsidRPr="00DF23DE">
        <w:rPr>
          <w:snapToGrid w:val="0"/>
        </w:rPr>
        <w:t>.</w:t>
      </w:r>
      <w:r w:rsidR="00337E17" w:rsidRPr="00DF23DE">
        <w:rPr>
          <w:snapToGrid w:val="0"/>
        </w:rPr>
        <w:t xml:space="preserve"> On 21 June 2013, the City Court rejected the appeal</w:t>
      </w:r>
      <w:r w:rsidR="00AA1846" w:rsidRPr="00DF23DE">
        <w:rPr>
          <w:snapToGrid w:val="0"/>
        </w:rPr>
        <w:t xml:space="preserve">, having not found </w:t>
      </w:r>
      <w:r w:rsidR="00C87749" w:rsidRPr="00DF23DE">
        <w:rPr>
          <w:snapToGrid w:val="0"/>
        </w:rPr>
        <w:t xml:space="preserve">any grounds to overturn the extradition </w:t>
      </w:r>
      <w:r w:rsidR="00AA1846" w:rsidRPr="00DF23DE">
        <w:rPr>
          <w:snapToGrid w:val="0"/>
        </w:rPr>
        <w:t xml:space="preserve">decision </w:t>
      </w:r>
      <w:r w:rsidR="00C87749" w:rsidRPr="00DF23DE">
        <w:rPr>
          <w:snapToGrid w:val="0"/>
        </w:rPr>
        <w:t xml:space="preserve">and </w:t>
      </w:r>
      <w:r w:rsidR="00AA1846" w:rsidRPr="00DF23DE">
        <w:rPr>
          <w:snapToGrid w:val="0"/>
        </w:rPr>
        <w:t>stating</w:t>
      </w:r>
      <w:r w:rsidR="000B3C2B" w:rsidRPr="00DF23DE">
        <w:rPr>
          <w:snapToGrid w:val="0"/>
        </w:rPr>
        <w:t>, inter alia,</w:t>
      </w:r>
      <w:r w:rsidR="00AA1846" w:rsidRPr="00DF23DE">
        <w:rPr>
          <w:snapToGrid w:val="0"/>
        </w:rPr>
        <w:t xml:space="preserve"> </w:t>
      </w:r>
      <w:r w:rsidR="00337E17" w:rsidRPr="00DF23DE">
        <w:rPr>
          <w:snapToGrid w:val="0"/>
        </w:rPr>
        <w:t xml:space="preserve">that the complainant </w:t>
      </w:r>
      <w:r w:rsidR="00AA1846" w:rsidRPr="00DF23DE">
        <w:rPr>
          <w:snapToGrid w:val="0"/>
        </w:rPr>
        <w:t xml:space="preserve">had </w:t>
      </w:r>
      <w:r w:rsidR="00337E17" w:rsidRPr="00DF23DE">
        <w:rPr>
          <w:snapToGrid w:val="0"/>
        </w:rPr>
        <w:t>not inform</w:t>
      </w:r>
      <w:r w:rsidR="00AA1846" w:rsidRPr="00DF23DE">
        <w:rPr>
          <w:snapToGrid w:val="0"/>
        </w:rPr>
        <w:t>ed</w:t>
      </w:r>
      <w:r w:rsidR="00337E17" w:rsidRPr="00DF23DE">
        <w:rPr>
          <w:snapToGrid w:val="0"/>
        </w:rPr>
        <w:t xml:space="preserve"> the police about his alleged torture, and </w:t>
      </w:r>
      <w:r w:rsidR="000B3C2B" w:rsidRPr="00DF23DE">
        <w:rPr>
          <w:snapToGrid w:val="0"/>
        </w:rPr>
        <w:t xml:space="preserve">had </w:t>
      </w:r>
      <w:r w:rsidR="00337E17" w:rsidRPr="00DF23DE">
        <w:rPr>
          <w:snapToGrid w:val="0"/>
        </w:rPr>
        <w:t xml:space="preserve">applied for asylum only after the extradition decision concerning him </w:t>
      </w:r>
      <w:r w:rsidR="000B3C2B" w:rsidRPr="00DF23DE">
        <w:rPr>
          <w:snapToGrid w:val="0"/>
        </w:rPr>
        <w:t xml:space="preserve">had been </w:t>
      </w:r>
      <w:r w:rsidR="00337E17" w:rsidRPr="00DF23DE">
        <w:rPr>
          <w:snapToGrid w:val="0"/>
        </w:rPr>
        <w:t xml:space="preserve">made. </w:t>
      </w:r>
      <w:r w:rsidR="001C5F3F" w:rsidRPr="00DF23DE">
        <w:rPr>
          <w:snapToGrid w:val="0"/>
        </w:rPr>
        <w:t xml:space="preserve">On 1 July 2013, the complainant appealed the decision </w:t>
      </w:r>
      <w:r w:rsidR="000B3C2B" w:rsidRPr="00DF23DE">
        <w:rPr>
          <w:snapToGrid w:val="0"/>
        </w:rPr>
        <w:t xml:space="preserve">of the City Court </w:t>
      </w:r>
      <w:r w:rsidR="001C5F3F" w:rsidRPr="00DF23DE">
        <w:rPr>
          <w:snapToGrid w:val="0"/>
        </w:rPr>
        <w:t>to the West</w:t>
      </w:r>
      <w:r w:rsidR="00AA1846" w:rsidRPr="00DF23DE">
        <w:rPr>
          <w:snapToGrid w:val="0"/>
        </w:rPr>
        <w:t xml:space="preserve"> </w:t>
      </w:r>
      <w:r w:rsidR="001C5F3F" w:rsidRPr="00DF23DE">
        <w:rPr>
          <w:snapToGrid w:val="0"/>
        </w:rPr>
        <w:t xml:space="preserve">Kazakhstan Regional Court. He provided details of his previous abduction and torture and stated that the </w:t>
      </w:r>
      <w:r w:rsidR="008B4E93" w:rsidRPr="00DF23DE">
        <w:rPr>
          <w:snapToGrid w:val="0"/>
        </w:rPr>
        <w:t xml:space="preserve">marks </w:t>
      </w:r>
      <w:r w:rsidR="001C5F3F" w:rsidRPr="00DF23DE">
        <w:rPr>
          <w:snapToGrid w:val="0"/>
        </w:rPr>
        <w:t xml:space="preserve">of torture, including broken bones, </w:t>
      </w:r>
      <w:r w:rsidR="000B3C2B" w:rsidRPr="00DF23DE">
        <w:rPr>
          <w:snapToGrid w:val="0"/>
        </w:rPr>
        <w:t xml:space="preserve">were </w:t>
      </w:r>
      <w:r w:rsidR="001C5F3F" w:rsidRPr="00DF23DE">
        <w:rPr>
          <w:snapToGrid w:val="0"/>
        </w:rPr>
        <w:t>still visible on his body.</w:t>
      </w:r>
      <w:r w:rsidR="00FC187B" w:rsidRPr="00DF23DE">
        <w:rPr>
          <w:snapToGrid w:val="0"/>
        </w:rPr>
        <w:t xml:space="preserve"> </w:t>
      </w:r>
      <w:r w:rsidR="00F74FE8" w:rsidRPr="00DF23DE">
        <w:rPr>
          <w:snapToGrid w:val="0"/>
        </w:rPr>
        <w:t>He referred to article 532 (1</w:t>
      </w:r>
      <w:r w:rsidR="00DE63DC" w:rsidRPr="00DF23DE">
        <w:rPr>
          <w:snapToGrid w:val="0"/>
        </w:rPr>
        <w:t>)</w:t>
      </w:r>
      <w:r w:rsidR="00F74FE8" w:rsidRPr="00DF23DE">
        <w:rPr>
          <w:snapToGrid w:val="0"/>
        </w:rPr>
        <w:t xml:space="preserve"> (</w:t>
      </w:r>
      <w:r w:rsidR="00FC187B" w:rsidRPr="00DF23DE">
        <w:rPr>
          <w:snapToGrid w:val="0"/>
        </w:rPr>
        <w:t>5</w:t>
      </w:r>
      <w:r w:rsidR="00F74FE8" w:rsidRPr="00DF23DE">
        <w:rPr>
          <w:snapToGrid w:val="0"/>
        </w:rPr>
        <w:t>)</w:t>
      </w:r>
      <w:r w:rsidR="00FC187B" w:rsidRPr="00DF23DE">
        <w:rPr>
          <w:snapToGrid w:val="0"/>
        </w:rPr>
        <w:t xml:space="preserve"> of the Criminal Procedure Code of Kazakhstan, which prohibits </w:t>
      </w:r>
      <w:r w:rsidR="000B3C2B" w:rsidRPr="00DF23DE">
        <w:rPr>
          <w:snapToGrid w:val="0"/>
        </w:rPr>
        <w:t xml:space="preserve">the </w:t>
      </w:r>
      <w:r w:rsidR="00FC187B" w:rsidRPr="00DF23DE">
        <w:rPr>
          <w:snapToGrid w:val="0"/>
        </w:rPr>
        <w:t xml:space="preserve">extradition of a person </w:t>
      </w:r>
      <w:r w:rsidR="0087361A" w:rsidRPr="00DF23DE">
        <w:rPr>
          <w:snapToGrid w:val="0"/>
        </w:rPr>
        <w:t xml:space="preserve">who </w:t>
      </w:r>
      <w:r w:rsidR="00FC187B" w:rsidRPr="00DF23DE">
        <w:rPr>
          <w:snapToGrid w:val="0"/>
        </w:rPr>
        <w:t>faces a risk of being subjected to torture in the country where he is returned.</w:t>
      </w:r>
      <w:r w:rsidR="00AF657A" w:rsidRPr="00DF23DE">
        <w:rPr>
          <w:snapToGrid w:val="0"/>
        </w:rPr>
        <w:t xml:space="preserve"> He also </w:t>
      </w:r>
      <w:r w:rsidR="00F44E1F" w:rsidRPr="00DF23DE">
        <w:rPr>
          <w:snapToGrid w:val="0"/>
        </w:rPr>
        <w:t xml:space="preserve">reiterated </w:t>
      </w:r>
      <w:r w:rsidR="00AF657A" w:rsidRPr="00DF23DE">
        <w:rPr>
          <w:snapToGrid w:val="0"/>
        </w:rPr>
        <w:t xml:space="preserve">that the criminal charges against him </w:t>
      </w:r>
      <w:r w:rsidR="000B3C2B" w:rsidRPr="00DF23DE">
        <w:rPr>
          <w:snapToGrid w:val="0"/>
        </w:rPr>
        <w:t xml:space="preserve">had been </w:t>
      </w:r>
      <w:r w:rsidR="00AF657A" w:rsidRPr="00DF23DE">
        <w:rPr>
          <w:snapToGrid w:val="0"/>
        </w:rPr>
        <w:t xml:space="preserve">fabricated and referred in this regard to </w:t>
      </w:r>
      <w:r w:rsidR="000B3C2B" w:rsidRPr="00DF23DE">
        <w:rPr>
          <w:snapToGrid w:val="0"/>
        </w:rPr>
        <w:t xml:space="preserve">the </w:t>
      </w:r>
      <w:r w:rsidR="00AF657A" w:rsidRPr="00DF23DE">
        <w:rPr>
          <w:snapToGrid w:val="0"/>
        </w:rPr>
        <w:t>different dates on two identical documents concerning his registration on a wanted list</w:t>
      </w:r>
      <w:r w:rsidR="00710A7E" w:rsidRPr="00DF23DE">
        <w:rPr>
          <w:snapToGrid w:val="0"/>
        </w:rPr>
        <w:t xml:space="preserve"> in the Russian Federation</w:t>
      </w:r>
      <w:r w:rsidR="00AF657A" w:rsidRPr="00DF23DE">
        <w:rPr>
          <w:snapToGrid w:val="0"/>
        </w:rPr>
        <w:t>.</w:t>
      </w:r>
      <w:r w:rsidR="00710A7E" w:rsidRPr="00DF23DE">
        <w:rPr>
          <w:snapToGrid w:val="0"/>
        </w:rPr>
        <w:t xml:space="preserve"> He also claimed that the documents provided by the Russian authorities concerning his alleged criminal activities </w:t>
      </w:r>
      <w:r w:rsidR="000B3C2B" w:rsidRPr="00DF23DE">
        <w:rPr>
          <w:snapToGrid w:val="0"/>
        </w:rPr>
        <w:t xml:space="preserve">did </w:t>
      </w:r>
      <w:r w:rsidRPr="00DF23DE">
        <w:rPr>
          <w:snapToGrid w:val="0"/>
        </w:rPr>
        <w:t>not contain any concrete dates</w:t>
      </w:r>
      <w:r w:rsidR="00710A7E" w:rsidRPr="00DF23DE">
        <w:rPr>
          <w:snapToGrid w:val="0"/>
        </w:rPr>
        <w:t>, names or details.</w:t>
      </w:r>
      <w:r w:rsidR="00FF46DB" w:rsidRPr="00DF23DE">
        <w:rPr>
          <w:snapToGrid w:val="0"/>
        </w:rPr>
        <w:t xml:space="preserve"> He referred to the principle of </w:t>
      </w:r>
      <w:r w:rsidR="00FF46DB" w:rsidRPr="005E4862">
        <w:rPr>
          <w:iCs/>
          <w:snapToGrid w:val="0"/>
        </w:rPr>
        <w:t>non-refoul</w:t>
      </w:r>
      <w:r w:rsidR="000B3C2B" w:rsidRPr="005E4862">
        <w:rPr>
          <w:iCs/>
          <w:snapToGrid w:val="0"/>
        </w:rPr>
        <w:t>e</w:t>
      </w:r>
      <w:r w:rsidR="00FF46DB" w:rsidRPr="005E4862">
        <w:rPr>
          <w:iCs/>
          <w:snapToGrid w:val="0"/>
        </w:rPr>
        <w:t>ment</w:t>
      </w:r>
      <w:r w:rsidR="00FF46DB" w:rsidRPr="00DF23DE">
        <w:rPr>
          <w:snapToGrid w:val="0"/>
        </w:rPr>
        <w:t xml:space="preserve"> in the Convention, claimed that the authorities </w:t>
      </w:r>
      <w:r w:rsidR="000B3C2B" w:rsidRPr="00DF23DE">
        <w:rPr>
          <w:snapToGrid w:val="0"/>
        </w:rPr>
        <w:t xml:space="preserve">had </w:t>
      </w:r>
      <w:r w:rsidR="00FF46DB" w:rsidRPr="00DF23DE">
        <w:rPr>
          <w:snapToGrid w:val="0"/>
        </w:rPr>
        <w:t xml:space="preserve">to take into account the existence of a </w:t>
      </w:r>
      <w:r w:rsidR="00FF46DB" w:rsidRPr="00DF23DE">
        <w:rPr>
          <w:rFonts w:eastAsia="Cambria"/>
          <w:snapToGrid w:val="0"/>
        </w:rPr>
        <w:t xml:space="preserve">pattern of gross, flagrant or mass violations of human rights in a country when making </w:t>
      </w:r>
      <w:r w:rsidR="000B3C2B" w:rsidRPr="00DF23DE">
        <w:rPr>
          <w:rFonts w:eastAsia="Cambria"/>
          <w:snapToGrid w:val="0"/>
        </w:rPr>
        <w:t xml:space="preserve">a </w:t>
      </w:r>
      <w:r w:rsidR="00FF46DB" w:rsidRPr="00DF23DE">
        <w:rPr>
          <w:rFonts w:eastAsia="Cambria"/>
          <w:snapToGrid w:val="0"/>
        </w:rPr>
        <w:t>decision on extradition</w:t>
      </w:r>
      <w:r w:rsidR="000B3C2B" w:rsidRPr="00DF23DE">
        <w:rPr>
          <w:rFonts w:eastAsia="Cambria"/>
          <w:snapToGrid w:val="0"/>
        </w:rPr>
        <w:t>,</w:t>
      </w:r>
      <w:r w:rsidR="00FF46DB" w:rsidRPr="00DF23DE">
        <w:rPr>
          <w:rFonts w:eastAsia="Cambria"/>
          <w:snapToGrid w:val="0"/>
        </w:rPr>
        <w:t xml:space="preserve"> and provided the Court with articles confirming a practice of abductions and torture in Ingushetia.</w:t>
      </w:r>
      <w:r w:rsidR="002C3239" w:rsidRPr="00DF23DE">
        <w:rPr>
          <w:rFonts w:eastAsia="Cambria"/>
          <w:snapToGrid w:val="0"/>
        </w:rPr>
        <w:t xml:space="preserve"> The complainant </w:t>
      </w:r>
      <w:r w:rsidR="000B3C2B" w:rsidRPr="00DF23DE">
        <w:rPr>
          <w:rFonts w:eastAsia="Cambria"/>
          <w:snapToGrid w:val="0"/>
        </w:rPr>
        <w:t xml:space="preserve">also </w:t>
      </w:r>
      <w:r w:rsidR="002C3239" w:rsidRPr="00DF23DE">
        <w:rPr>
          <w:rFonts w:eastAsia="Cambria"/>
          <w:snapToGrid w:val="0"/>
        </w:rPr>
        <w:t xml:space="preserve">referred to the request by the Committee not to extradite him while his case </w:t>
      </w:r>
      <w:r w:rsidR="000B3C2B" w:rsidRPr="00DF23DE">
        <w:rPr>
          <w:rFonts w:eastAsia="Cambria"/>
          <w:snapToGrid w:val="0"/>
        </w:rPr>
        <w:t xml:space="preserve">was </w:t>
      </w:r>
      <w:r w:rsidR="002C3239" w:rsidRPr="00DF23DE">
        <w:rPr>
          <w:rFonts w:eastAsia="Cambria"/>
          <w:snapToGrid w:val="0"/>
        </w:rPr>
        <w:t>pending before the Committee.</w:t>
      </w:r>
      <w:r w:rsidRPr="00DF23DE">
        <w:rPr>
          <w:rFonts w:eastAsia="Cambria"/>
          <w:snapToGrid w:val="0"/>
        </w:rPr>
        <w:t xml:space="preserve"> His a</w:t>
      </w:r>
      <w:r w:rsidR="0087361A" w:rsidRPr="00DF23DE">
        <w:rPr>
          <w:rFonts w:eastAsia="Cambria"/>
          <w:snapToGrid w:val="0"/>
        </w:rPr>
        <w:t>ppeal was rejected on 9</w:t>
      </w:r>
      <w:r w:rsidRPr="00DF23DE">
        <w:rPr>
          <w:rFonts w:eastAsia="Cambria"/>
          <w:snapToGrid w:val="0"/>
        </w:rPr>
        <w:t xml:space="preserve"> July 2013.</w:t>
      </w:r>
    </w:p>
    <w:p w14:paraId="5288DAF5" w14:textId="77777777" w:rsidR="00896F54" w:rsidRPr="00DF23DE" w:rsidRDefault="00133158" w:rsidP="005E4862">
      <w:pPr>
        <w:pStyle w:val="SingleTxtG"/>
        <w:rPr>
          <w:snapToGrid w:val="0"/>
        </w:rPr>
      </w:pPr>
      <w:r w:rsidRPr="00DF23DE">
        <w:rPr>
          <w:snapToGrid w:val="0"/>
        </w:rPr>
        <w:t>2.6</w:t>
      </w:r>
      <w:r w:rsidR="00896F54" w:rsidRPr="00DF23DE">
        <w:rPr>
          <w:snapToGrid w:val="0"/>
        </w:rPr>
        <w:tab/>
        <w:t xml:space="preserve">On 6 May 2013, 13 May 2013, 24 May 2013, 13 June 2013, and 24 June 2013, the complainant applied for asylum </w:t>
      </w:r>
      <w:r w:rsidR="00337E17" w:rsidRPr="00DF23DE">
        <w:rPr>
          <w:snapToGrid w:val="0"/>
        </w:rPr>
        <w:t>to</w:t>
      </w:r>
      <w:r w:rsidR="00896F54" w:rsidRPr="00DF23DE">
        <w:rPr>
          <w:snapToGrid w:val="0"/>
        </w:rPr>
        <w:t xml:space="preserve"> the </w:t>
      </w:r>
      <w:r w:rsidR="00863C85" w:rsidRPr="00DF23DE">
        <w:rPr>
          <w:snapToGrid w:val="0"/>
        </w:rPr>
        <w:t xml:space="preserve">Immigration </w:t>
      </w:r>
      <w:r w:rsidR="00896F54" w:rsidRPr="00DF23DE">
        <w:rPr>
          <w:snapToGrid w:val="0"/>
        </w:rPr>
        <w:t xml:space="preserve">Police Service of the </w:t>
      </w:r>
      <w:r w:rsidR="00863C85" w:rsidRPr="00DF23DE">
        <w:rPr>
          <w:snapToGrid w:val="0"/>
        </w:rPr>
        <w:t>West Kazakhstan Regional Department of the Interior</w:t>
      </w:r>
      <w:r w:rsidR="00896F54" w:rsidRPr="00DF23DE">
        <w:rPr>
          <w:snapToGrid w:val="0"/>
        </w:rPr>
        <w:t xml:space="preserve">. His applications were rejected </w:t>
      </w:r>
      <w:r w:rsidR="00980B3B" w:rsidRPr="00DF23DE">
        <w:rPr>
          <w:snapToGrid w:val="0"/>
        </w:rPr>
        <w:t xml:space="preserve">without being considered on </w:t>
      </w:r>
      <w:r w:rsidR="000B3C2B" w:rsidRPr="00DF23DE">
        <w:rPr>
          <w:snapToGrid w:val="0"/>
        </w:rPr>
        <w:t xml:space="preserve">the </w:t>
      </w:r>
      <w:r w:rsidR="00980B3B" w:rsidRPr="00DF23DE">
        <w:rPr>
          <w:snapToGrid w:val="0"/>
        </w:rPr>
        <w:t xml:space="preserve">merits </w:t>
      </w:r>
      <w:r w:rsidR="00896F54" w:rsidRPr="00DF23DE">
        <w:rPr>
          <w:snapToGrid w:val="0"/>
        </w:rPr>
        <w:t xml:space="preserve">because they did not meet formal requirements, the copy of </w:t>
      </w:r>
      <w:r w:rsidR="00F44E1F" w:rsidRPr="00DF23DE">
        <w:rPr>
          <w:snapToGrid w:val="0"/>
        </w:rPr>
        <w:t>his</w:t>
      </w:r>
      <w:r w:rsidR="00896F54" w:rsidRPr="00DF23DE">
        <w:rPr>
          <w:snapToGrid w:val="0"/>
        </w:rPr>
        <w:t xml:space="preserve"> passport was not readable and the complainant </w:t>
      </w:r>
      <w:r w:rsidR="000B3C2B" w:rsidRPr="00DF23DE">
        <w:rPr>
          <w:snapToGrid w:val="0"/>
        </w:rPr>
        <w:t xml:space="preserve">had </w:t>
      </w:r>
      <w:r w:rsidR="00896F54" w:rsidRPr="00DF23DE">
        <w:rPr>
          <w:snapToGrid w:val="0"/>
        </w:rPr>
        <w:t xml:space="preserve">not undertaken </w:t>
      </w:r>
      <w:r w:rsidR="000B3C2B" w:rsidRPr="00DF23DE">
        <w:rPr>
          <w:snapToGrid w:val="0"/>
        </w:rPr>
        <w:t xml:space="preserve">the necessary </w:t>
      </w:r>
      <w:r w:rsidR="00896F54" w:rsidRPr="00DF23DE">
        <w:rPr>
          <w:snapToGrid w:val="0"/>
        </w:rPr>
        <w:t>medical examination</w:t>
      </w:r>
      <w:r w:rsidR="000B3C2B" w:rsidRPr="00DF23DE">
        <w:rPr>
          <w:snapToGrid w:val="0"/>
        </w:rPr>
        <w:t xml:space="preserve">. </w:t>
      </w:r>
    </w:p>
    <w:p w14:paraId="6744C58A" w14:textId="77777777" w:rsidR="007821E7" w:rsidRPr="00DF23DE" w:rsidRDefault="007821E7" w:rsidP="007821E7">
      <w:pPr>
        <w:pStyle w:val="H23G"/>
        <w:rPr>
          <w:snapToGrid w:val="0"/>
        </w:rPr>
      </w:pPr>
      <w:r w:rsidRPr="00DF23DE">
        <w:rPr>
          <w:snapToGrid w:val="0"/>
        </w:rPr>
        <w:tab/>
      </w:r>
      <w:r w:rsidRPr="00DF23DE">
        <w:rPr>
          <w:snapToGrid w:val="0"/>
        </w:rPr>
        <w:tab/>
      </w:r>
      <w:r w:rsidR="007F1728" w:rsidRPr="00DF23DE">
        <w:rPr>
          <w:snapToGrid w:val="0"/>
        </w:rPr>
        <w:t>T</w:t>
      </w:r>
      <w:r w:rsidRPr="00DF23DE">
        <w:rPr>
          <w:snapToGrid w:val="0"/>
        </w:rPr>
        <w:t>he complaint</w:t>
      </w:r>
    </w:p>
    <w:p w14:paraId="545B257C" w14:textId="77777777" w:rsidR="00F44E1F" w:rsidRPr="00DF23DE" w:rsidRDefault="001F3BCA" w:rsidP="005E4862">
      <w:pPr>
        <w:pStyle w:val="SingleTxtG"/>
        <w:rPr>
          <w:snapToGrid w:val="0"/>
        </w:rPr>
      </w:pPr>
      <w:r w:rsidRPr="00DF23DE">
        <w:rPr>
          <w:snapToGrid w:val="0"/>
        </w:rPr>
        <w:t>3.</w:t>
      </w:r>
      <w:r w:rsidR="00E3472B" w:rsidRPr="00DF23DE">
        <w:rPr>
          <w:snapToGrid w:val="0"/>
        </w:rPr>
        <w:tab/>
      </w:r>
      <w:r w:rsidR="007F1728" w:rsidRPr="00DF23DE">
        <w:rPr>
          <w:snapToGrid w:val="0"/>
        </w:rPr>
        <w:t>When submitting the communication, t</w:t>
      </w:r>
      <w:r w:rsidR="00E3472B" w:rsidRPr="00DF23DE">
        <w:rPr>
          <w:snapToGrid w:val="0"/>
        </w:rPr>
        <w:t xml:space="preserve">he complainant </w:t>
      </w:r>
      <w:r w:rsidR="007F1728" w:rsidRPr="00DF23DE">
        <w:rPr>
          <w:snapToGrid w:val="0"/>
        </w:rPr>
        <w:t xml:space="preserve">claimed </w:t>
      </w:r>
      <w:r w:rsidR="00E3472B" w:rsidRPr="00DF23DE">
        <w:rPr>
          <w:snapToGrid w:val="0"/>
        </w:rPr>
        <w:t xml:space="preserve">that his extradition to </w:t>
      </w:r>
      <w:r w:rsidR="006A2B5E" w:rsidRPr="00DF23DE">
        <w:rPr>
          <w:snapToGrid w:val="0"/>
        </w:rPr>
        <w:t>the Russian Federation</w:t>
      </w:r>
      <w:r w:rsidR="00E3472B" w:rsidRPr="00DF23DE">
        <w:rPr>
          <w:snapToGrid w:val="0"/>
        </w:rPr>
        <w:t xml:space="preserve"> w</w:t>
      </w:r>
      <w:r w:rsidR="007F1728" w:rsidRPr="00DF23DE">
        <w:rPr>
          <w:snapToGrid w:val="0"/>
        </w:rPr>
        <w:t>ould</w:t>
      </w:r>
      <w:r w:rsidR="00E3472B" w:rsidRPr="00DF23DE">
        <w:rPr>
          <w:snapToGrid w:val="0"/>
        </w:rPr>
        <w:t xml:space="preserve"> be in violation of article</w:t>
      </w:r>
      <w:r w:rsidR="006A2B5E" w:rsidRPr="00DF23DE">
        <w:rPr>
          <w:snapToGrid w:val="0"/>
        </w:rPr>
        <w:t>s</w:t>
      </w:r>
      <w:r w:rsidR="00E3472B" w:rsidRPr="00DF23DE">
        <w:rPr>
          <w:snapToGrid w:val="0"/>
        </w:rPr>
        <w:t xml:space="preserve"> 3</w:t>
      </w:r>
      <w:r w:rsidR="006A2B5E" w:rsidRPr="00DF23DE">
        <w:rPr>
          <w:snapToGrid w:val="0"/>
        </w:rPr>
        <w:t xml:space="preserve"> (1), 6 and 7 (3)</w:t>
      </w:r>
      <w:r w:rsidR="00C96E0C" w:rsidRPr="00DF23DE">
        <w:rPr>
          <w:snapToGrid w:val="0"/>
        </w:rPr>
        <w:t xml:space="preserve"> of the Convention</w:t>
      </w:r>
      <w:r w:rsidR="00E3472B" w:rsidRPr="00DF23DE">
        <w:rPr>
          <w:snapToGrid w:val="0"/>
        </w:rPr>
        <w:t>.</w:t>
      </w:r>
      <w:r w:rsidR="00115DA8" w:rsidRPr="00DF23DE">
        <w:rPr>
          <w:snapToGrid w:val="0"/>
        </w:rPr>
        <w:t xml:space="preserve"> </w:t>
      </w:r>
      <w:r w:rsidR="002117B3" w:rsidRPr="00DF23DE">
        <w:rPr>
          <w:snapToGrid w:val="0"/>
        </w:rPr>
        <w:t xml:space="preserve">He claimed that the situation in Ingushetia </w:t>
      </w:r>
      <w:r w:rsidR="000B3C2B" w:rsidRPr="00DF23DE">
        <w:rPr>
          <w:snapToGrid w:val="0"/>
        </w:rPr>
        <w:t xml:space="preserve">was </w:t>
      </w:r>
      <w:r w:rsidR="002117B3" w:rsidRPr="00DF23DE">
        <w:rPr>
          <w:snapToGrid w:val="0"/>
        </w:rPr>
        <w:t>unstable and that th</w:t>
      </w:r>
      <w:r w:rsidR="000F6D48" w:rsidRPr="00DF23DE">
        <w:rPr>
          <w:snapToGrid w:val="0"/>
        </w:rPr>
        <w:t xml:space="preserve">ere </w:t>
      </w:r>
      <w:r w:rsidR="000B3C2B" w:rsidRPr="00DF23DE">
        <w:rPr>
          <w:snapToGrid w:val="0"/>
        </w:rPr>
        <w:t xml:space="preserve">was </w:t>
      </w:r>
      <w:r w:rsidR="000F6D48" w:rsidRPr="00DF23DE">
        <w:rPr>
          <w:snapToGrid w:val="0"/>
        </w:rPr>
        <w:t xml:space="preserve">a practice of abductions, </w:t>
      </w:r>
      <w:r w:rsidR="002117B3" w:rsidRPr="00DF23DE">
        <w:rPr>
          <w:snapToGrid w:val="0"/>
        </w:rPr>
        <w:t>torture a</w:t>
      </w:r>
      <w:r w:rsidR="000F6D48" w:rsidRPr="00DF23DE">
        <w:rPr>
          <w:snapToGrid w:val="0"/>
        </w:rPr>
        <w:t xml:space="preserve">nd </w:t>
      </w:r>
      <w:r w:rsidR="002117B3" w:rsidRPr="00DF23DE">
        <w:rPr>
          <w:snapToGrid w:val="0"/>
        </w:rPr>
        <w:t xml:space="preserve">fabrication of criminal charges. </w:t>
      </w:r>
      <w:r w:rsidR="00C96E0C" w:rsidRPr="00DF23DE">
        <w:rPr>
          <w:snapToGrid w:val="0"/>
        </w:rPr>
        <w:t xml:space="preserve">This practice, taken together with his previous abduction and torture, </w:t>
      </w:r>
      <w:r w:rsidR="006D4AB3" w:rsidRPr="00DF23DE">
        <w:rPr>
          <w:snapToGrid w:val="0"/>
        </w:rPr>
        <w:t xml:space="preserve">would </w:t>
      </w:r>
      <w:r w:rsidR="00C96E0C" w:rsidRPr="00DF23DE">
        <w:rPr>
          <w:snapToGrid w:val="0"/>
        </w:rPr>
        <w:t>put him at a risk of torture and death</w:t>
      </w:r>
      <w:r w:rsidR="006D4AB3" w:rsidRPr="00DF23DE">
        <w:rPr>
          <w:snapToGrid w:val="0"/>
        </w:rPr>
        <w:t>.</w:t>
      </w:r>
      <w:r w:rsidR="00F44E1F" w:rsidRPr="00DF23DE">
        <w:rPr>
          <w:snapToGrid w:val="0"/>
        </w:rPr>
        <w:t xml:space="preserve"> </w:t>
      </w:r>
    </w:p>
    <w:p w14:paraId="47B9E488" w14:textId="77777777" w:rsidR="007821E7" w:rsidRPr="00DF23DE" w:rsidRDefault="007821E7" w:rsidP="007821E7">
      <w:pPr>
        <w:pStyle w:val="H23G"/>
        <w:rPr>
          <w:snapToGrid w:val="0"/>
        </w:rPr>
      </w:pPr>
      <w:r w:rsidRPr="00DF23DE">
        <w:rPr>
          <w:snapToGrid w:val="0"/>
        </w:rPr>
        <w:tab/>
      </w:r>
      <w:r w:rsidRPr="00DF23DE">
        <w:rPr>
          <w:snapToGrid w:val="0"/>
        </w:rPr>
        <w:tab/>
        <w:t xml:space="preserve">State party’s observations on </w:t>
      </w:r>
      <w:r w:rsidR="006A2B5E" w:rsidRPr="00DF23DE">
        <w:rPr>
          <w:snapToGrid w:val="0"/>
        </w:rPr>
        <w:t>admissibility</w:t>
      </w:r>
    </w:p>
    <w:p w14:paraId="4181111E" w14:textId="77777777" w:rsidR="00265340" w:rsidRPr="00DF23DE" w:rsidRDefault="007821E7" w:rsidP="005E4862">
      <w:pPr>
        <w:pStyle w:val="SingleTxtG"/>
        <w:rPr>
          <w:snapToGrid w:val="0"/>
        </w:rPr>
      </w:pPr>
      <w:r w:rsidRPr="00DF23DE">
        <w:rPr>
          <w:snapToGrid w:val="0"/>
        </w:rPr>
        <w:t>4.1</w:t>
      </w:r>
      <w:r w:rsidRPr="00DF23DE">
        <w:rPr>
          <w:snapToGrid w:val="0"/>
        </w:rPr>
        <w:tab/>
        <w:t xml:space="preserve">On </w:t>
      </w:r>
      <w:r w:rsidR="001F3BCA" w:rsidRPr="00DF23DE">
        <w:rPr>
          <w:snapToGrid w:val="0"/>
        </w:rPr>
        <w:t>2</w:t>
      </w:r>
      <w:r w:rsidR="00265340" w:rsidRPr="00DF23DE">
        <w:rPr>
          <w:snapToGrid w:val="0"/>
        </w:rPr>
        <w:t>8</w:t>
      </w:r>
      <w:r w:rsidR="001F3BCA" w:rsidRPr="00DF23DE">
        <w:rPr>
          <w:snapToGrid w:val="0"/>
        </w:rPr>
        <w:t xml:space="preserve"> </w:t>
      </w:r>
      <w:r w:rsidR="00265340" w:rsidRPr="00DF23DE">
        <w:rPr>
          <w:snapToGrid w:val="0"/>
        </w:rPr>
        <w:t>August</w:t>
      </w:r>
      <w:r w:rsidR="001F3BCA" w:rsidRPr="00DF23DE">
        <w:rPr>
          <w:snapToGrid w:val="0"/>
        </w:rPr>
        <w:t xml:space="preserve"> 2013</w:t>
      </w:r>
      <w:r w:rsidRPr="00DF23DE">
        <w:rPr>
          <w:snapToGrid w:val="0"/>
        </w:rPr>
        <w:t xml:space="preserve">, the State party </w:t>
      </w:r>
      <w:r w:rsidR="00265340" w:rsidRPr="00DF23DE">
        <w:rPr>
          <w:snapToGrid w:val="0"/>
        </w:rPr>
        <w:t>c</w:t>
      </w:r>
      <w:r w:rsidR="00A25891" w:rsidRPr="00DF23DE">
        <w:rPr>
          <w:snapToGrid w:val="0"/>
        </w:rPr>
        <w:t xml:space="preserve">hallenged </w:t>
      </w:r>
      <w:r w:rsidR="00265340" w:rsidRPr="00DF23DE">
        <w:rPr>
          <w:snapToGrid w:val="0"/>
        </w:rPr>
        <w:t>the</w:t>
      </w:r>
      <w:r w:rsidR="00A70E86" w:rsidRPr="00DF23DE">
        <w:rPr>
          <w:snapToGrid w:val="0"/>
        </w:rPr>
        <w:t xml:space="preserve"> </w:t>
      </w:r>
      <w:r w:rsidR="00265340" w:rsidRPr="00DF23DE">
        <w:rPr>
          <w:snapToGrid w:val="0"/>
        </w:rPr>
        <w:t>admissibility of the complaint</w:t>
      </w:r>
      <w:r w:rsidR="000B3C2B" w:rsidRPr="00DF23DE">
        <w:rPr>
          <w:snapToGrid w:val="0"/>
        </w:rPr>
        <w:t>,</w:t>
      </w:r>
      <w:r w:rsidR="00265340" w:rsidRPr="00DF23DE">
        <w:rPr>
          <w:snapToGrid w:val="0"/>
        </w:rPr>
        <w:t xml:space="preserve"> </w:t>
      </w:r>
      <w:r w:rsidR="00A25891" w:rsidRPr="00DF23DE">
        <w:rPr>
          <w:snapToGrid w:val="0"/>
        </w:rPr>
        <w:t xml:space="preserve">noting </w:t>
      </w:r>
      <w:r w:rsidR="00265340" w:rsidRPr="00DF23DE">
        <w:rPr>
          <w:snapToGrid w:val="0"/>
        </w:rPr>
        <w:t xml:space="preserve">that the complainant </w:t>
      </w:r>
      <w:r w:rsidR="000B3C2B" w:rsidRPr="00DF23DE">
        <w:rPr>
          <w:snapToGrid w:val="0"/>
        </w:rPr>
        <w:t xml:space="preserve">had </w:t>
      </w:r>
      <w:r w:rsidR="00265340" w:rsidRPr="00DF23DE">
        <w:rPr>
          <w:snapToGrid w:val="0"/>
        </w:rPr>
        <w:t xml:space="preserve">not appealed against the rejection of his </w:t>
      </w:r>
      <w:r w:rsidR="00A25891" w:rsidRPr="00DF23DE">
        <w:rPr>
          <w:snapToGrid w:val="0"/>
        </w:rPr>
        <w:t xml:space="preserve">asylum </w:t>
      </w:r>
      <w:r w:rsidR="00265340" w:rsidRPr="00DF23DE">
        <w:rPr>
          <w:snapToGrid w:val="0"/>
        </w:rPr>
        <w:t>request</w:t>
      </w:r>
      <w:r w:rsidR="00A25891" w:rsidRPr="00DF23DE">
        <w:rPr>
          <w:snapToGrid w:val="0"/>
        </w:rPr>
        <w:t xml:space="preserve"> </w:t>
      </w:r>
      <w:r w:rsidR="00265340" w:rsidRPr="00DF23DE">
        <w:rPr>
          <w:snapToGrid w:val="0"/>
        </w:rPr>
        <w:t xml:space="preserve">by the Immigration Police Service. </w:t>
      </w:r>
      <w:r w:rsidR="00A615C9" w:rsidRPr="00DF23DE">
        <w:rPr>
          <w:snapToGrid w:val="0"/>
        </w:rPr>
        <w:t>It also stated that the</w:t>
      </w:r>
      <w:r w:rsidR="00A25891" w:rsidRPr="00DF23DE">
        <w:rPr>
          <w:snapToGrid w:val="0"/>
        </w:rPr>
        <w:t xml:space="preserve"> complainant’s </w:t>
      </w:r>
      <w:r w:rsidR="00A615C9" w:rsidRPr="00DF23DE">
        <w:rPr>
          <w:snapToGrid w:val="0"/>
        </w:rPr>
        <w:t xml:space="preserve">allegations about a risk of torture upon extradition </w:t>
      </w:r>
      <w:r w:rsidR="000B3C2B" w:rsidRPr="00DF23DE">
        <w:rPr>
          <w:snapToGrid w:val="0"/>
        </w:rPr>
        <w:t xml:space="preserve">had </w:t>
      </w:r>
      <w:r w:rsidR="00A615C9" w:rsidRPr="00DF23DE">
        <w:rPr>
          <w:snapToGrid w:val="0"/>
        </w:rPr>
        <w:t xml:space="preserve">not </w:t>
      </w:r>
      <w:r w:rsidR="000B3C2B" w:rsidRPr="00DF23DE">
        <w:rPr>
          <w:snapToGrid w:val="0"/>
        </w:rPr>
        <w:t xml:space="preserve">been </w:t>
      </w:r>
      <w:r w:rsidR="00A615C9" w:rsidRPr="00DF23DE">
        <w:rPr>
          <w:snapToGrid w:val="0"/>
        </w:rPr>
        <w:t>confirmed by the Prosecutor General</w:t>
      </w:r>
      <w:r w:rsidR="00646B5B" w:rsidRPr="00DF23DE">
        <w:rPr>
          <w:snapToGrid w:val="0"/>
        </w:rPr>
        <w:t>’s Office of Kazakhstan</w:t>
      </w:r>
      <w:r w:rsidR="00244166" w:rsidRPr="00DF23DE">
        <w:rPr>
          <w:snapToGrid w:val="0"/>
        </w:rPr>
        <w:t xml:space="preserve"> and that the complainant </w:t>
      </w:r>
      <w:r w:rsidR="000B3C2B" w:rsidRPr="00DF23DE">
        <w:rPr>
          <w:snapToGrid w:val="0"/>
        </w:rPr>
        <w:t xml:space="preserve">had </w:t>
      </w:r>
      <w:r w:rsidR="00244166" w:rsidRPr="00DF23DE">
        <w:rPr>
          <w:snapToGrid w:val="0"/>
        </w:rPr>
        <w:t xml:space="preserve">never raised claims of torture </w:t>
      </w:r>
      <w:r w:rsidR="000B3C2B" w:rsidRPr="00DF23DE">
        <w:rPr>
          <w:snapToGrid w:val="0"/>
        </w:rPr>
        <w:t xml:space="preserve">either </w:t>
      </w:r>
      <w:r w:rsidR="00244166" w:rsidRPr="00DF23DE">
        <w:rPr>
          <w:snapToGrid w:val="0"/>
        </w:rPr>
        <w:t xml:space="preserve">at the </w:t>
      </w:r>
      <w:r w:rsidR="000B3C2B" w:rsidRPr="00DF23DE">
        <w:rPr>
          <w:snapToGrid w:val="0"/>
        </w:rPr>
        <w:t xml:space="preserve">time </w:t>
      </w:r>
      <w:r w:rsidR="00244166" w:rsidRPr="00DF23DE">
        <w:rPr>
          <w:snapToGrid w:val="0"/>
        </w:rPr>
        <w:t xml:space="preserve">of apprehension </w:t>
      </w:r>
      <w:r w:rsidR="000B3C2B" w:rsidRPr="00DF23DE">
        <w:rPr>
          <w:snapToGrid w:val="0"/>
        </w:rPr>
        <w:t xml:space="preserve">or </w:t>
      </w:r>
      <w:r w:rsidR="00244166" w:rsidRPr="00DF23DE">
        <w:rPr>
          <w:snapToGrid w:val="0"/>
        </w:rPr>
        <w:t>during his detention</w:t>
      </w:r>
      <w:r w:rsidR="00A615C9" w:rsidRPr="00DF23DE">
        <w:rPr>
          <w:snapToGrid w:val="0"/>
        </w:rPr>
        <w:t>.</w:t>
      </w:r>
      <w:r w:rsidR="00244166" w:rsidRPr="00DF23DE">
        <w:rPr>
          <w:snapToGrid w:val="0"/>
        </w:rPr>
        <w:t xml:space="preserve"> He </w:t>
      </w:r>
      <w:r w:rsidR="00E01137" w:rsidRPr="00DF23DE">
        <w:rPr>
          <w:snapToGrid w:val="0"/>
        </w:rPr>
        <w:t xml:space="preserve">also </w:t>
      </w:r>
      <w:r w:rsidR="000B3C2B" w:rsidRPr="00DF23DE">
        <w:rPr>
          <w:snapToGrid w:val="0"/>
        </w:rPr>
        <w:t xml:space="preserve">had </w:t>
      </w:r>
      <w:r w:rsidR="00244166" w:rsidRPr="00DF23DE">
        <w:rPr>
          <w:snapToGrid w:val="0"/>
        </w:rPr>
        <w:t>not complain</w:t>
      </w:r>
      <w:r w:rsidR="000B3C2B" w:rsidRPr="00DF23DE">
        <w:rPr>
          <w:snapToGrid w:val="0"/>
        </w:rPr>
        <w:t>ed</w:t>
      </w:r>
      <w:r w:rsidR="00244166" w:rsidRPr="00DF23DE">
        <w:rPr>
          <w:snapToGrid w:val="0"/>
        </w:rPr>
        <w:t xml:space="preserve"> about any health-related </w:t>
      </w:r>
      <w:r w:rsidR="00244166" w:rsidRPr="00DF23DE">
        <w:rPr>
          <w:snapToGrid w:val="0"/>
        </w:rPr>
        <w:lastRenderedPageBreak/>
        <w:t>problems.</w:t>
      </w:r>
      <w:r w:rsidR="00CE0EC6" w:rsidRPr="00DF23DE">
        <w:rPr>
          <w:snapToGrid w:val="0"/>
        </w:rPr>
        <w:t xml:space="preserve"> Furthermore, the Russian Prosecutor General’s Office </w:t>
      </w:r>
      <w:r w:rsidR="00E01137" w:rsidRPr="00DF23DE">
        <w:rPr>
          <w:snapToGrid w:val="0"/>
        </w:rPr>
        <w:t xml:space="preserve">had </w:t>
      </w:r>
      <w:r w:rsidR="00CE0EC6" w:rsidRPr="00DF23DE">
        <w:rPr>
          <w:snapToGrid w:val="0"/>
        </w:rPr>
        <w:t xml:space="preserve">provided diplomatic assurances that the complainant would be offered every opportunity to defend himself, including through legal assistance, and that he would not be subjected to torture or any cruel, inhuman and degrading treatment or punishment. </w:t>
      </w:r>
    </w:p>
    <w:p w14:paraId="0F7A9254" w14:textId="77777777" w:rsidR="007821E7" w:rsidRPr="00DF23DE" w:rsidRDefault="00265340" w:rsidP="005E4862">
      <w:pPr>
        <w:pStyle w:val="SingleTxtG"/>
        <w:rPr>
          <w:snapToGrid w:val="0"/>
        </w:rPr>
      </w:pPr>
      <w:r w:rsidRPr="00DF23DE">
        <w:rPr>
          <w:snapToGrid w:val="0"/>
        </w:rPr>
        <w:t>4.2</w:t>
      </w:r>
      <w:r w:rsidRPr="00DF23DE">
        <w:rPr>
          <w:snapToGrid w:val="0"/>
        </w:rPr>
        <w:tab/>
        <w:t xml:space="preserve">The State party also informed the Committee that the extradition of the complainant to the Russian Federation </w:t>
      </w:r>
      <w:r w:rsidR="00E01137" w:rsidRPr="00DF23DE">
        <w:rPr>
          <w:snapToGrid w:val="0"/>
        </w:rPr>
        <w:t xml:space="preserve">had </w:t>
      </w:r>
      <w:r w:rsidRPr="00DF23DE">
        <w:rPr>
          <w:snapToGrid w:val="0"/>
        </w:rPr>
        <w:t>been postponed in accordance with the Committee’s request for interim protection</w:t>
      </w:r>
      <w:r w:rsidR="00DF23B6" w:rsidRPr="00DF23DE">
        <w:rPr>
          <w:snapToGrid w:val="0"/>
        </w:rPr>
        <w:t xml:space="preserve"> measures</w:t>
      </w:r>
      <w:r w:rsidRPr="00DF23DE">
        <w:rPr>
          <w:snapToGrid w:val="0"/>
        </w:rPr>
        <w:t>.</w:t>
      </w:r>
      <w:r w:rsidR="00A54142" w:rsidRPr="00DF23DE">
        <w:rPr>
          <w:snapToGrid w:val="0"/>
        </w:rPr>
        <w:t xml:space="preserve"> </w:t>
      </w:r>
    </w:p>
    <w:p w14:paraId="6C4C5F9A" w14:textId="77777777" w:rsidR="00775D23" w:rsidRPr="00DF23DE" w:rsidRDefault="007821E7" w:rsidP="007821E7">
      <w:pPr>
        <w:pStyle w:val="H23G"/>
        <w:rPr>
          <w:snapToGrid w:val="0"/>
        </w:rPr>
      </w:pPr>
      <w:r w:rsidRPr="00DF23DE">
        <w:rPr>
          <w:snapToGrid w:val="0"/>
        </w:rPr>
        <w:tab/>
      </w:r>
      <w:r w:rsidRPr="00DF23DE">
        <w:rPr>
          <w:snapToGrid w:val="0"/>
        </w:rPr>
        <w:tab/>
      </w:r>
      <w:r w:rsidR="00775D23" w:rsidRPr="00DF23DE">
        <w:rPr>
          <w:snapToGrid w:val="0"/>
        </w:rPr>
        <w:t>Additional information by the complainant</w:t>
      </w:r>
    </w:p>
    <w:p w14:paraId="48FC94E6" w14:textId="77777777" w:rsidR="00775D23" w:rsidRPr="00DF23DE" w:rsidRDefault="00775D23" w:rsidP="005E4862">
      <w:pPr>
        <w:pStyle w:val="SingleTxtG"/>
        <w:rPr>
          <w:snapToGrid w:val="0"/>
        </w:rPr>
      </w:pPr>
      <w:r w:rsidRPr="00DF23DE">
        <w:rPr>
          <w:snapToGrid w:val="0"/>
        </w:rPr>
        <w:t>5.</w:t>
      </w:r>
      <w:r w:rsidRPr="00DF23DE">
        <w:rPr>
          <w:snapToGrid w:val="0"/>
        </w:rPr>
        <w:tab/>
        <w:t xml:space="preserve">On 3 March 2014, the complainant informed the Committee that he </w:t>
      </w:r>
      <w:r w:rsidR="00E01137" w:rsidRPr="00DF23DE">
        <w:rPr>
          <w:snapToGrid w:val="0"/>
        </w:rPr>
        <w:t xml:space="preserve">had </w:t>
      </w:r>
      <w:r w:rsidRPr="00DF23DE">
        <w:rPr>
          <w:snapToGrid w:val="0"/>
        </w:rPr>
        <w:t xml:space="preserve">filed an appeal against the rejection of his </w:t>
      </w:r>
      <w:r w:rsidR="00E01137" w:rsidRPr="00DF23DE">
        <w:rPr>
          <w:snapToGrid w:val="0"/>
        </w:rPr>
        <w:t xml:space="preserve">five </w:t>
      </w:r>
      <w:r w:rsidRPr="00DF23DE">
        <w:rPr>
          <w:snapToGrid w:val="0"/>
        </w:rPr>
        <w:t xml:space="preserve">requests for asylum by the Immigration Police Service. The appeal was lodged on 20 September 2013 </w:t>
      </w:r>
      <w:r w:rsidR="008265E3" w:rsidRPr="00DF23DE">
        <w:rPr>
          <w:snapToGrid w:val="0"/>
        </w:rPr>
        <w:t>with</w:t>
      </w:r>
      <w:r w:rsidRPr="00DF23DE">
        <w:rPr>
          <w:snapToGrid w:val="0"/>
        </w:rPr>
        <w:t xml:space="preserve"> the Court </w:t>
      </w:r>
      <w:r w:rsidR="008D66CA" w:rsidRPr="00DF23DE">
        <w:rPr>
          <w:snapToGrid w:val="0"/>
        </w:rPr>
        <w:t>No.</w:t>
      </w:r>
      <w:r w:rsidR="00617729" w:rsidRPr="00DF23DE">
        <w:rPr>
          <w:snapToGrid w:val="0"/>
        </w:rPr>
        <w:t xml:space="preserve"> </w:t>
      </w:r>
      <w:r w:rsidR="008D66CA" w:rsidRPr="00DF23DE">
        <w:rPr>
          <w:snapToGrid w:val="0"/>
        </w:rPr>
        <w:t xml:space="preserve">2 </w:t>
      </w:r>
      <w:r w:rsidRPr="00DF23DE">
        <w:rPr>
          <w:snapToGrid w:val="0"/>
        </w:rPr>
        <w:t xml:space="preserve">of Uralsk. </w:t>
      </w:r>
    </w:p>
    <w:p w14:paraId="1CE9226F" w14:textId="77777777" w:rsidR="008265E3" w:rsidRPr="00DF23DE" w:rsidRDefault="00BC34B7" w:rsidP="005E4862">
      <w:pPr>
        <w:pStyle w:val="H23G"/>
        <w:rPr>
          <w:snapToGrid w:val="0"/>
        </w:rPr>
      </w:pPr>
      <w:r w:rsidRPr="00DF23DE">
        <w:rPr>
          <w:snapToGrid w:val="0"/>
        </w:rPr>
        <w:tab/>
      </w:r>
      <w:r w:rsidRPr="00DF23DE">
        <w:rPr>
          <w:snapToGrid w:val="0"/>
        </w:rPr>
        <w:tab/>
      </w:r>
      <w:r w:rsidR="008265E3" w:rsidRPr="00DF23DE">
        <w:rPr>
          <w:snapToGrid w:val="0"/>
        </w:rPr>
        <w:t>Additional information by the State party</w:t>
      </w:r>
    </w:p>
    <w:p w14:paraId="36DABEDD" w14:textId="77777777" w:rsidR="008265E3" w:rsidRPr="00DF23DE" w:rsidRDefault="008265E3" w:rsidP="005E4862">
      <w:pPr>
        <w:pStyle w:val="SingleTxtG"/>
        <w:rPr>
          <w:snapToGrid w:val="0"/>
        </w:rPr>
      </w:pPr>
      <w:r w:rsidRPr="00DF23DE">
        <w:rPr>
          <w:snapToGrid w:val="0"/>
        </w:rPr>
        <w:t>6.</w:t>
      </w:r>
      <w:r w:rsidR="00910707" w:rsidRPr="00DF23DE">
        <w:rPr>
          <w:snapToGrid w:val="0"/>
        </w:rPr>
        <w:t>1</w:t>
      </w:r>
      <w:r w:rsidR="003F4589" w:rsidRPr="00DF23DE">
        <w:rPr>
          <w:snapToGrid w:val="0"/>
        </w:rPr>
        <w:tab/>
      </w:r>
      <w:r w:rsidRPr="00DF23DE">
        <w:rPr>
          <w:snapToGrid w:val="0"/>
        </w:rPr>
        <w:t>On 7 March 2014, the State party informed the Committee that</w:t>
      </w:r>
      <w:r w:rsidR="00DF23B6" w:rsidRPr="00DF23DE">
        <w:rPr>
          <w:snapToGrid w:val="0"/>
        </w:rPr>
        <w:t>,</w:t>
      </w:r>
      <w:r w:rsidRPr="00DF23DE">
        <w:rPr>
          <w:snapToGrid w:val="0"/>
        </w:rPr>
        <w:t xml:space="preserve"> on 26 April 2014, the complainant’s detention would reach </w:t>
      </w:r>
      <w:r w:rsidR="00F74FE8" w:rsidRPr="00DF23DE">
        <w:rPr>
          <w:snapToGrid w:val="0"/>
        </w:rPr>
        <w:t>one year. Under national law</w:t>
      </w:r>
      <w:r w:rsidR="00A25891" w:rsidRPr="00DF23DE">
        <w:rPr>
          <w:snapToGrid w:val="0"/>
        </w:rPr>
        <w:t>,</w:t>
      </w:r>
      <w:r w:rsidR="00F74FE8" w:rsidRPr="00DF23DE">
        <w:rPr>
          <w:snapToGrid w:val="0"/>
        </w:rPr>
        <w:t xml:space="preserve"> </w:t>
      </w:r>
      <w:r w:rsidR="00DF23B6" w:rsidRPr="00DF23DE">
        <w:rPr>
          <w:snapToGrid w:val="0"/>
        </w:rPr>
        <w:t xml:space="preserve">that </w:t>
      </w:r>
      <w:r w:rsidRPr="00DF23DE">
        <w:rPr>
          <w:snapToGrid w:val="0"/>
        </w:rPr>
        <w:t xml:space="preserve">is the maximum duration of extradition detention, after which a person </w:t>
      </w:r>
      <w:r w:rsidR="00DF23B6" w:rsidRPr="00DF23DE">
        <w:rPr>
          <w:snapToGrid w:val="0"/>
        </w:rPr>
        <w:t xml:space="preserve">must be either </w:t>
      </w:r>
      <w:r w:rsidR="00A25891" w:rsidRPr="00DF23DE">
        <w:rPr>
          <w:snapToGrid w:val="0"/>
        </w:rPr>
        <w:t xml:space="preserve">extradited or </w:t>
      </w:r>
      <w:r w:rsidRPr="00DF23DE">
        <w:rPr>
          <w:snapToGrid w:val="0"/>
        </w:rPr>
        <w:t xml:space="preserve">released. Taking into account the Committee’s request for interim </w:t>
      </w:r>
      <w:r w:rsidR="00DF23B6" w:rsidRPr="00DF23DE">
        <w:rPr>
          <w:snapToGrid w:val="0"/>
        </w:rPr>
        <w:t xml:space="preserve">protection </w:t>
      </w:r>
      <w:r w:rsidRPr="00DF23DE">
        <w:rPr>
          <w:snapToGrid w:val="0"/>
        </w:rPr>
        <w:t xml:space="preserve">measures and </w:t>
      </w:r>
      <w:r w:rsidR="00DF23B6" w:rsidRPr="00DF23DE">
        <w:rPr>
          <w:snapToGrid w:val="0"/>
        </w:rPr>
        <w:t xml:space="preserve">the </w:t>
      </w:r>
      <w:r w:rsidRPr="00DF23DE">
        <w:rPr>
          <w:snapToGrid w:val="0"/>
        </w:rPr>
        <w:t xml:space="preserve">subsequent suspension of extradition of the complainant, the State party asked the Committee for guidance on </w:t>
      </w:r>
      <w:r w:rsidR="00A25891" w:rsidRPr="00DF23DE">
        <w:rPr>
          <w:snapToGrid w:val="0"/>
        </w:rPr>
        <w:t>how to proceed</w:t>
      </w:r>
      <w:r w:rsidRPr="00DF23DE">
        <w:rPr>
          <w:snapToGrid w:val="0"/>
        </w:rPr>
        <w:t>.</w:t>
      </w:r>
    </w:p>
    <w:p w14:paraId="00D8E327" w14:textId="77777777" w:rsidR="00910707" w:rsidRPr="00DF23DE" w:rsidRDefault="00910707" w:rsidP="005E4862">
      <w:pPr>
        <w:pStyle w:val="SingleTxtG"/>
      </w:pPr>
      <w:r w:rsidRPr="00DF23DE">
        <w:rPr>
          <w:snapToGrid w:val="0"/>
        </w:rPr>
        <w:t>6.2</w:t>
      </w:r>
      <w:r w:rsidRPr="00DF23DE">
        <w:rPr>
          <w:snapToGrid w:val="0"/>
        </w:rPr>
        <w:tab/>
        <w:t xml:space="preserve">The State party </w:t>
      </w:r>
      <w:r w:rsidR="00A25891" w:rsidRPr="00DF23DE">
        <w:rPr>
          <w:snapToGrid w:val="0"/>
        </w:rPr>
        <w:t xml:space="preserve">notes </w:t>
      </w:r>
      <w:r w:rsidRPr="00DF23DE">
        <w:rPr>
          <w:snapToGrid w:val="0"/>
        </w:rPr>
        <w:t>that no reasons for refusing the extradition were found by the domestic authorities</w:t>
      </w:r>
      <w:r w:rsidR="00A25891" w:rsidRPr="00DF23DE">
        <w:rPr>
          <w:snapToGrid w:val="0"/>
        </w:rPr>
        <w:t xml:space="preserve">. It reiterates </w:t>
      </w:r>
      <w:r w:rsidRPr="00DF23DE">
        <w:rPr>
          <w:snapToGrid w:val="0"/>
        </w:rPr>
        <w:t>that the Russian Federation provided diplomatic assurances t</w:t>
      </w:r>
      <w:r w:rsidR="00A25891" w:rsidRPr="00DF23DE">
        <w:rPr>
          <w:snapToGrid w:val="0"/>
        </w:rPr>
        <w:t>o the effect t</w:t>
      </w:r>
      <w:r w:rsidRPr="00DF23DE">
        <w:rPr>
          <w:snapToGrid w:val="0"/>
        </w:rPr>
        <w:t xml:space="preserve">hat the complainant </w:t>
      </w:r>
      <w:r w:rsidR="00F74FE8" w:rsidRPr="00DF23DE">
        <w:rPr>
          <w:snapToGrid w:val="0"/>
        </w:rPr>
        <w:t>would</w:t>
      </w:r>
      <w:r w:rsidRPr="00DF23DE">
        <w:rPr>
          <w:snapToGrid w:val="0"/>
        </w:rPr>
        <w:t xml:space="preserve"> be prosecut</w:t>
      </w:r>
      <w:r w:rsidR="00A25891" w:rsidRPr="00DF23DE">
        <w:rPr>
          <w:snapToGrid w:val="0"/>
        </w:rPr>
        <w:t xml:space="preserve">ed </w:t>
      </w:r>
      <w:r w:rsidRPr="00DF23DE">
        <w:rPr>
          <w:snapToGrid w:val="0"/>
        </w:rPr>
        <w:t xml:space="preserve">on the basis of criminal charges </w:t>
      </w:r>
      <w:r w:rsidR="00A25891" w:rsidRPr="00DF23DE">
        <w:rPr>
          <w:snapToGrid w:val="0"/>
        </w:rPr>
        <w:t xml:space="preserve">listed </w:t>
      </w:r>
      <w:r w:rsidRPr="00DF23DE">
        <w:rPr>
          <w:snapToGrid w:val="0"/>
        </w:rPr>
        <w:t xml:space="preserve">in the extradition request and that he </w:t>
      </w:r>
      <w:r w:rsidR="00F74FE8" w:rsidRPr="00DF23DE">
        <w:rPr>
          <w:snapToGrid w:val="0"/>
        </w:rPr>
        <w:t>would</w:t>
      </w:r>
      <w:r w:rsidRPr="00DF23DE">
        <w:rPr>
          <w:snapToGrid w:val="0"/>
        </w:rPr>
        <w:t xml:space="preserve"> not be subjected to torture. </w:t>
      </w:r>
    </w:p>
    <w:p w14:paraId="1B8F11DB" w14:textId="77777777" w:rsidR="007821E7" w:rsidRPr="00DF23DE" w:rsidRDefault="00775D23" w:rsidP="007821E7">
      <w:pPr>
        <w:pStyle w:val="H23G"/>
        <w:rPr>
          <w:snapToGrid w:val="0"/>
        </w:rPr>
      </w:pPr>
      <w:r w:rsidRPr="00DF23DE">
        <w:rPr>
          <w:snapToGrid w:val="0"/>
        </w:rPr>
        <w:tab/>
      </w:r>
      <w:r w:rsidRPr="00DF23DE">
        <w:rPr>
          <w:snapToGrid w:val="0"/>
        </w:rPr>
        <w:tab/>
      </w:r>
      <w:r w:rsidR="00A44CC0" w:rsidRPr="00DF23DE">
        <w:rPr>
          <w:snapToGrid w:val="0"/>
        </w:rPr>
        <w:t>C</w:t>
      </w:r>
      <w:r w:rsidR="007821E7" w:rsidRPr="00DF23DE">
        <w:rPr>
          <w:snapToGrid w:val="0"/>
        </w:rPr>
        <w:t>omplainant’</w:t>
      </w:r>
      <w:r w:rsidR="00E2526B" w:rsidRPr="00DF23DE">
        <w:rPr>
          <w:snapToGrid w:val="0"/>
        </w:rPr>
        <w:t>s</w:t>
      </w:r>
      <w:r w:rsidR="007821E7" w:rsidRPr="00DF23DE">
        <w:rPr>
          <w:snapToGrid w:val="0"/>
        </w:rPr>
        <w:t xml:space="preserve"> comments on the State party’s observations on </w:t>
      </w:r>
      <w:r w:rsidR="00265340" w:rsidRPr="00DF23DE">
        <w:rPr>
          <w:snapToGrid w:val="0"/>
        </w:rPr>
        <w:t xml:space="preserve">admissibility </w:t>
      </w:r>
    </w:p>
    <w:p w14:paraId="5AACCB5C" w14:textId="77777777" w:rsidR="00AA451C" w:rsidRPr="00DF23DE" w:rsidRDefault="00390DD6" w:rsidP="005E4862">
      <w:pPr>
        <w:pStyle w:val="SingleTxtG"/>
        <w:rPr>
          <w:snapToGrid w:val="0"/>
        </w:rPr>
      </w:pPr>
      <w:r w:rsidRPr="00DF23DE">
        <w:rPr>
          <w:snapToGrid w:val="0"/>
        </w:rPr>
        <w:t>7</w:t>
      </w:r>
      <w:r w:rsidR="007821E7" w:rsidRPr="00DF23DE">
        <w:rPr>
          <w:snapToGrid w:val="0"/>
        </w:rPr>
        <w:t>.1</w:t>
      </w:r>
      <w:r w:rsidR="007821E7" w:rsidRPr="00DF23DE">
        <w:rPr>
          <w:snapToGrid w:val="0"/>
        </w:rPr>
        <w:tab/>
        <w:t xml:space="preserve">On </w:t>
      </w:r>
      <w:r w:rsidR="007B09AE" w:rsidRPr="00DF23DE">
        <w:rPr>
          <w:snapToGrid w:val="0"/>
        </w:rPr>
        <w:t>1</w:t>
      </w:r>
      <w:r w:rsidR="00D1588A" w:rsidRPr="00DF23DE">
        <w:rPr>
          <w:snapToGrid w:val="0"/>
        </w:rPr>
        <w:t>2</w:t>
      </w:r>
      <w:r w:rsidR="007821E7" w:rsidRPr="00DF23DE">
        <w:rPr>
          <w:snapToGrid w:val="0"/>
        </w:rPr>
        <w:t xml:space="preserve"> </w:t>
      </w:r>
      <w:r w:rsidR="007B09AE" w:rsidRPr="00DF23DE">
        <w:rPr>
          <w:snapToGrid w:val="0"/>
        </w:rPr>
        <w:t>April</w:t>
      </w:r>
      <w:r w:rsidR="007821E7" w:rsidRPr="00DF23DE">
        <w:rPr>
          <w:snapToGrid w:val="0"/>
        </w:rPr>
        <w:t xml:space="preserve"> 201</w:t>
      </w:r>
      <w:r w:rsidR="007B09AE" w:rsidRPr="00DF23DE">
        <w:rPr>
          <w:snapToGrid w:val="0"/>
        </w:rPr>
        <w:t>4</w:t>
      </w:r>
      <w:r w:rsidR="00D1588A" w:rsidRPr="00DF23DE">
        <w:rPr>
          <w:snapToGrid w:val="0"/>
        </w:rPr>
        <w:t>,</w:t>
      </w:r>
      <w:r w:rsidR="007821E7" w:rsidRPr="00DF23DE">
        <w:rPr>
          <w:snapToGrid w:val="0"/>
        </w:rPr>
        <w:t xml:space="preserve"> </w:t>
      </w:r>
      <w:r w:rsidR="007B09AE" w:rsidRPr="00DF23DE">
        <w:rPr>
          <w:snapToGrid w:val="0"/>
        </w:rPr>
        <w:t xml:space="preserve">the complainant submitted his comments on the State party’s observations </w:t>
      </w:r>
      <w:r w:rsidR="00DF23B6" w:rsidRPr="00DF23DE">
        <w:rPr>
          <w:snapToGrid w:val="0"/>
        </w:rPr>
        <w:t xml:space="preserve">and </w:t>
      </w:r>
      <w:r w:rsidR="00413CEC" w:rsidRPr="00DF23DE">
        <w:rPr>
          <w:snapToGrid w:val="0"/>
        </w:rPr>
        <w:t>additional submission</w:t>
      </w:r>
      <w:r w:rsidR="00DF23B6" w:rsidRPr="00DF23DE">
        <w:rPr>
          <w:snapToGrid w:val="0"/>
        </w:rPr>
        <w:t>,</w:t>
      </w:r>
      <w:r w:rsidR="0028626B" w:rsidRPr="00DF23DE">
        <w:rPr>
          <w:snapToGrid w:val="0"/>
        </w:rPr>
        <w:t xml:space="preserve"> arguing that the domestic remedies requested by the State party </w:t>
      </w:r>
      <w:r w:rsidR="00DF23B6" w:rsidRPr="00DF23DE">
        <w:rPr>
          <w:snapToGrid w:val="0"/>
        </w:rPr>
        <w:t xml:space="preserve">were </w:t>
      </w:r>
      <w:r w:rsidR="0028626B" w:rsidRPr="00DF23DE">
        <w:rPr>
          <w:snapToGrid w:val="0"/>
        </w:rPr>
        <w:t>not effective</w:t>
      </w:r>
      <w:r w:rsidR="00AA451C" w:rsidRPr="00DF23DE">
        <w:rPr>
          <w:snapToGrid w:val="0"/>
        </w:rPr>
        <w:t xml:space="preserve"> as </w:t>
      </w:r>
      <w:r w:rsidR="006A4445" w:rsidRPr="00DF23DE">
        <w:rPr>
          <w:snapToGrid w:val="0"/>
        </w:rPr>
        <w:t xml:space="preserve">not a single </w:t>
      </w:r>
      <w:r w:rsidR="00AA451C" w:rsidRPr="00DF23DE">
        <w:rPr>
          <w:snapToGrid w:val="0"/>
        </w:rPr>
        <w:t xml:space="preserve">case </w:t>
      </w:r>
      <w:r w:rsidR="00DF23B6" w:rsidRPr="00DF23DE">
        <w:rPr>
          <w:snapToGrid w:val="0"/>
        </w:rPr>
        <w:t xml:space="preserve">had </w:t>
      </w:r>
      <w:r w:rsidR="006A4445" w:rsidRPr="00DF23DE">
        <w:rPr>
          <w:snapToGrid w:val="0"/>
        </w:rPr>
        <w:t xml:space="preserve">existed </w:t>
      </w:r>
      <w:r w:rsidR="00DF23B6" w:rsidRPr="00DF23DE">
        <w:rPr>
          <w:snapToGrid w:val="0"/>
        </w:rPr>
        <w:t xml:space="preserve">in which </w:t>
      </w:r>
      <w:r w:rsidR="006A4445" w:rsidRPr="00DF23DE">
        <w:rPr>
          <w:snapToGrid w:val="0"/>
        </w:rPr>
        <w:t xml:space="preserve">the </w:t>
      </w:r>
      <w:r w:rsidR="00DF23B6" w:rsidRPr="00DF23DE">
        <w:rPr>
          <w:snapToGrid w:val="0"/>
        </w:rPr>
        <w:t>im</w:t>
      </w:r>
      <w:r w:rsidR="00AA451C" w:rsidRPr="00DF23DE">
        <w:rPr>
          <w:snapToGrid w:val="0"/>
        </w:rPr>
        <w:t>m</w:t>
      </w:r>
      <w:r w:rsidR="0034364D" w:rsidRPr="00DF23DE">
        <w:rPr>
          <w:snapToGrid w:val="0"/>
        </w:rPr>
        <w:t xml:space="preserve">igration authorities </w:t>
      </w:r>
      <w:r w:rsidR="006A4445" w:rsidRPr="00DF23DE">
        <w:rPr>
          <w:snapToGrid w:val="0"/>
        </w:rPr>
        <w:t xml:space="preserve">had </w:t>
      </w:r>
      <w:r w:rsidR="0034364D" w:rsidRPr="00DF23DE">
        <w:rPr>
          <w:snapToGrid w:val="0"/>
        </w:rPr>
        <w:t>granted asylum in</w:t>
      </w:r>
      <w:r w:rsidR="00D3615A" w:rsidRPr="00DF23DE">
        <w:rPr>
          <w:snapToGrid w:val="0"/>
        </w:rPr>
        <w:t xml:space="preserve"> an</w:t>
      </w:r>
      <w:r w:rsidR="0034364D" w:rsidRPr="00DF23DE">
        <w:rPr>
          <w:snapToGrid w:val="0"/>
        </w:rPr>
        <w:t xml:space="preserve"> extradition </w:t>
      </w:r>
      <w:r w:rsidR="00D3615A" w:rsidRPr="00DF23DE">
        <w:rPr>
          <w:snapToGrid w:val="0"/>
        </w:rPr>
        <w:t>case</w:t>
      </w:r>
      <w:r w:rsidR="0034364D" w:rsidRPr="00DF23DE">
        <w:rPr>
          <w:snapToGrid w:val="0"/>
        </w:rPr>
        <w:t xml:space="preserve"> like his own</w:t>
      </w:r>
      <w:r w:rsidR="007B09AE" w:rsidRPr="00DF23DE">
        <w:rPr>
          <w:snapToGrid w:val="0"/>
        </w:rPr>
        <w:t xml:space="preserve">. </w:t>
      </w:r>
    </w:p>
    <w:p w14:paraId="320274BB" w14:textId="77777777" w:rsidR="00C6760E" w:rsidRPr="00DF23DE" w:rsidRDefault="00390DD6" w:rsidP="005E4862">
      <w:pPr>
        <w:pStyle w:val="SingleTxtG"/>
        <w:rPr>
          <w:snapToGrid w:val="0"/>
        </w:rPr>
      </w:pPr>
      <w:r w:rsidRPr="00DF23DE">
        <w:rPr>
          <w:snapToGrid w:val="0"/>
        </w:rPr>
        <w:t>7</w:t>
      </w:r>
      <w:r w:rsidR="00AA451C" w:rsidRPr="00DF23DE">
        <w:rPr>
          <w:snapToGrid w:val="0"/>
        </w:rPr>
        <w:t>.2</w:t>
      </w:r>
      <w:r w:rsidR="00AA451C" w:rsidRPr="00DF23DE">
        <w:rPr>
          <w:snapToGrid w:val="0"/>
        </w:rPr>
        <w:tab/>
      </w:r>
      <w:r w:rsidR="006A4445" w:rsidRPr="00DF23DE">
        <w:rPr>
          <w:snapToGrid w:val="0"/>
        </w:rPr>
        <w:t xml:space="preserve">He adds </w:t>
      </w:r>
      <w:r w:rsidR="0028626B" w:rsidRPr="00DF23DE">
        <w:rPr>
          <w:snapToGrid w:val="0"/>
        </w:rPr>
        <w:t>that</w:t>
      </w:r>
      <w:r w:rsidR="00DF23B6" w:rsidRPr="00DF23DE">
        <w:rPr>
          <w:snapToGrid w:val="0"/>
        </w:rPr>
        <w:t>,</w:t>
      </w:r>
      <w:r w:rsidR="0028626B" w:rsidRPr="00DF23DE">
        <w:rPr>
          <w:snapToGrid w:val="0"/>
        </w:rPr>
        <w:t xml:space="preserve"> on 1 November 2013, the Court No.</w:t>
      </w:r>
      <w:r w:rsidR="00617729" w:rsidRPr="00DF23DE">
        <w:rPr>
          <w:snapToGrid w:val="0"/>
        </w:rPr>
        <w:t xml:space="preserve"> </w:t>
      </w:r>
      <w:r w:rsidR="0028626B" w:rsidRPr="00DF23DE">
        <w:rPr>
          <w:snapToGrid w:val="0"/>
        </w:rPr>
        <w:t xml:space="preserve">2 of Uralsk rejected his appeal against the rejection of his </w:t>
      </w:r>
      <w:r w:rsidR="00DF23B6" w:rsidRPr="00DF23DE">
        <w:rPr>
          <w:snapToGrid w:val="0"/>
        </w:rPr>
        <w:t xml:space="preserve">five </w:t>
      </w:r>
      <w:r w:rsidR="0028626B" w:rsidRPr="00DF23DE">
        <w:rPr>
          <w:snapToGrid w:val="0"/>
        </w:rPr>
        <w:t>asylum requests and</w:t>
      </w:r>
      <w:r w:rsidR="00DF23B6" w:rsidRPr="00DF23DE">
        <w:rPr>
          <w:snapToGrid w:val="0"/>
        </w:rPr>
        <w:t>,</w:t>
      </w:r>
      <w:r w:rsidR="0028626B" w:rsidRPr="00DF23DE">
        <w:rPr>
          <w:snapToGrid w:val="0"/>
        </w:rPr>
        <w:t xml:space="preserve"> on 19 December 2013, the West</w:t>
      </w:r>
      <w:r w:rsidR="00AA1846" w:rsidRPr="00DF23DE">
        <w:rPr>
          <w:snapToGrid w:val="0"/>
        </w:rPr>
        <w:t xml:space="preserve"> </w:t>
      </w:r>
      <w:r w:rsidR="0028626B" w:rsidRPr="00DF23DE">
        <w:rPr>
          <w:snapToGrid w:val="0"/>
        </w:rPr>
        <w:t xml:space="preserve">Kazakhstan Regional Court maintained </w:t>
      </w:r>
      <w:r w:rsidR="00DF23B6" w:rsidRPr="00DF23DE">
        <w:rPr>
          <w:snapToGrid w:val="0"/>
        </w:rPr>
        <w:t xml:space="preserve">that </w:t>
      </w:r>
      <w:r w:rsidR="0028626B" w:rsidRPr="00DF23DE">
        <w:rPr>
          <w:snapToGrid w:val="0"/>
        </w:rPr>
        <w:t>decision.</w:t>
      </w:r>
      <w:r w:rsidR="0034364D" w:rsidRPr="00DF23DE">
        <w:rPr>
          <w:snapToGrid w:val="0"/>
        </w:rPr>
        <w:t xml:space="preserve"> </w:t>
      </w:r>
      <w:r w:rsidR="00AA451C" w:rsidRPr="00DF23DE">
        <w:rPr>
          <w:snapToGrid w:val="0"/>
        </w:rPr>
        <w:t xml:space="preserve">He also submitted another request for asylum on 23 December 2013, which was rejected on 13 March 2014 by the </w:t>
      </w:r>
      <w:r w:rsidR="00863C85" w:rsidRPr="00DF23DE">
        <w:rPr>
          <w:snapToGrid w:val="0"/>
        </w:rPr>
        <w:t xml:space="preserve">Immigration </w:t>
      </w:r>
      <w:r w:rsidR="00AA451C" w:rsidRPr="00DF23DE">
        <w:rPr>
          <w:snapToGrid w:val="0"/>
        </w:rPr>
        <w:t>Police Service. Th</w:t>
      </w:r>
      <w:r w:rsidR="00DA71CB" w:rsidRPr="00DF23DE">
        <w:rPr>
          <w:snapToGrid w:val="0"/>
        </w:rPr>
        <w:t xml:space="preserve">e complainant appealed </w:t>
      </w:r>
      <w:r w:rsidR="00DF23B6" w:rsidRPr="00DF23DE">
        <w:rPr>
          <w:snapToGrid w:val="0"/>
        </w:rPr>
        <w:t xml:space="preserve">that </w:t>
      </w:r>
      <w:r w:rsidR="00AA451C" w:rsidRPr="00DF23DE">
        <w:rPr>
          <w:snapToGrid w:val="0"/>
        </w:rPr>
        <w:t>decision to the Court No.</w:t>
      </w:r>
      <w:r w:rsidR="00617729" w:rsidRPr="00DF23DE">
        <w:rPr>
          <w:snapToGrid w:val="0"/>
        </w:rPr>
        <w:t xml:space="preserve"> </w:t>
      </w:r>
      <w:r w:rsidR="00AA451C" w:rsidRPr="00DF23DE">
        <w:rPr>
          <w:snapToGrid w:val="0"/>
        </w:rPr>
        <w:t xml:space="preserve">2 of Uralsk </w:t>
      </w:r>
      <w:r w:rsidR="00DA71CB" w:rsidRPr="00DF23DE">
        <w:rPr>
          <w:snapToGrid w:val="0"/>
        </w:rPr>
        <w:t>on an unspecified date</w:t>
      </w:r>
      <w:r w:rsidR="00AA451C" w:rsidRPr="00DF23DE">
        <w:rPr>
          <w:snapToGrid w:val="0"/>
        </w:rPr>
        <w:t>.</w:t>
      </w:r>
    </w:p>
    <w:p w14:paraId="23450619" w14:textId="77777777" w:rsidR="008B3CAD" w:rsidRPr="00DF23DE" w:rsidRDefault="00390DD6" w:rsidP="005E4862">
      <w:pPr>
        <w:pStyle w:val="SingleTxtG"/>
        <w:rPr>
          <w:snapToGrid w:val="0"/>
        </w:rPr>
      </w:pPr>
      <w:r w:rsidRPr="00DF23DE">
        <w:rPr>
          <w:snapToGrid w:val="0"/>
        </w:rPr>
        <w:t>7</w:t>
      </w:r>
      <w:r w:rsidR="008B3CAD" w:rsidRPr="00DF23DE">
        <w:rPr>
          <w:snapToGrid w:val="0"/>
        </w:rPr>
        <w:t>.3</w:t>
      </w:r>
      <w:r w:rsidR="008B3CAD" w:rsidRPr="00DF23DE">
        <w:rPr>
          <w:snapToGrid w:val="0"/>
        </w:rPr>
        <w:tab/>
      </w:r>
      <w:r w:rsidR="00DF23B6" w:rsidRPr="00DF23DE">
        <w:rPr>
          <w:snapToGrid w:val="0"/>
        </w:rPr>
        <w:t xml:space="preserve">The complainant </w:t>
      </w:r>
      <w:r w:rsidR="008B3CAD" w:rsidRPr="00DF23DE">
        <w:rPr>
          <w:snapToGrid w:val="0"/>
        </w:rPr>
        <w:t>reiterate</w:t>
      </w:r>
      <w:r w:rsidR="006A4445" w:rsidRPr="00DF23DE">
        <w:rPr>
          <w:snapToGrid w:val="0"/>
        </w:rPr>
        <w:t>s</w:t>
      </w:r>
      <w:r w:rsidR="008B3CAD" w:rsidRPr="00DF23DE">
        <w:rPr>
          <w:snapToGrid w:val="0"/>
        </w:rPr>
        <w:t xml:space="preserve"> his claims that the criminal charges </w:t>
      </w:r>
      <w:r w:rsidR="006A4445" w:rsidRPr="00DF23DE">
        <w:rPr>
          <w:snapToGrid w:val="0"/>
        </w:rPr>
        <w:t xml:space="preserve">in the Russian Federation </w:t>
      </w:r>
      <w:r w:rsidR="008B3CAD" w:rsidRPr="00DF23DE">
        <w:rPr>
          <w:snapToGrid w:val="0"/>
        </w:rPr>
        <w:t xml:space="preserve">against him were fabricated. He </w:t>
      </w:r>
      <w:r w:rsidR="00DF23B6" w:rsidRPr="00DF23DE">
        <w:rPr>
          <w:snapToGrid w:val="0"/>
        </w:rPr>
        <w:t xml:space="preserve">refers </w:t>
      </w:r>
      <w:r w:rsidR="008B3CAD" w:rsidRPr="00DF23DE">
        <w:rPr>
          <w:snapToGrid w:val="0"/>
        </w:rPr>
        <w:t xml:space="preserve">to a letter from a lawyer hired by </w:t>
      </w:r>
      <w:r w:rsidR="006A4445" w:rsidRPr="00DF23DE">
        <w:rPr>
          <w:snapToGrid w:val="0"/>
        </w:rPr>
        <w:t>his</w:t>
      </w:r>
      <w:r w:rsidR="008B3CAD" w:rsidRPr="00DF23DE">
        <w:rPr>
          <w:snapToGrid w:val="0"/>
        </w:rPr>
        <w:t xml:space="preserve"> family to represent h</w:t>
      </w:r>
      <w:r w:rsidR="006A4445" w:rsidRPr="00DF23DE">
        <w:rPr>
          <w:snapToGrid w:val="0"/>
        </w:rPr>
        <w:t>im</w:t>
      </w:r>
      <w:r w:rsidR="008B3CAD" w:rsidRPr="00DF23DE">
        <w:rPr>
          <w:snapToGrid w:val="0"/>
        </w:rPr>
        <w:t xml:space="preserve"> at all stages of investigation</w:t>
      </w:r>
      <w:r w:rsidR="006A4445" w:rsidRPr="00DF23DE">
        <w:rPr>
          <w:snapToGrid w:val="0"/>
        </w:rPr>
        <w:t xml:space="preserve"> in the Russian Federation</w:t>
      </w:r>
      <w:r w:rsidR="008B3CAD" w:rsidRPr="00DF23DE">
        <w:rPr>
          <w:snapToGrid w:val="0"/>
        </w:rPr>
        <w:t xml:space="preserve">. According to the lawyer, his request </w:t>
      </w:r>
      <w:r w:rsidR="00F74FE8" w:rsidRPr="00DF23DE">
        <w:rPr>
          <w:snapToGrid w:val="0"/>
        </w:rPr>
        <w:t xml:space="preserve">for information addressed </w:t>
      </w:r>
      <w:r w:rsidR="008B3CAD" w:rsidRPr="00DF23DE">
        <w:rPr>
          <w:snapToGrid w:val="0"/>
        </w:rPr>
        <w:t>to the main investigator in the complainant’s case remained unanswered</w:t>
      </w:r>
      <w:r w:rsidR="0046348A" w:rsidRPr="00DF23DE">
        <w:rPr>
          <w:snapToGrid w:val="0"/>
        </w:rPr>
        <w:t xml:space="preserve">. This </w:t>
      </w:r>
      <w:r w:rsidR="008B3CAD" w:rsidRPr="00DF23DE">
        <w:rPr>
          <w:snapToGrid w:val="0"/>
        </w:rPr>
        <w:t xml:space="preserve">could mean that the complainant’s right to defence </w:t>
      </w:r>
      <w:r w:rsidR="00DF23B6" w:rsidRPr="00DF23DE">
        <w:rPr>
          <w:snapToGrid w:val="0"/>
        </w:rPr>
        <w:t xml:space="preserve">would </w:t>
      </w:r>
      <w:r w:rsidR="008B3CAD" w:rsidRPr="00DF23DE">
        <w:rPr>
          <w:snapToGrid w:val="0"/>
        </w:rPr>
        <w:t>be restricted upon his extradition and</w:t>
      </w:r>
      <w:r w:rsidR="006A4445" w:rsidRPr="00DF23DE">
        <w:rPr>
          <w:snapToGrid w:val="0"/>
        </w:rPr>
        <w:t>,</w:t>
      </w:r>
      <w:r w:rsidR="008B3CAD" w:rsidRPr="00DF23DE">
        <w:rPr>
          <w:snapToGrid w:val="0"/>
        </w:rPr>
        <w:t xml:space="preserve"> </w:t>
      </w:r>
      <w:r w:rsidR="00EB08F6" w:rsidRPr="00DF23DE">
        <w:rPr>
          <w:snapToGrid w:val="0"/>
        </w:rPr>
        <w:t>in the absence of his lawyer</w:t>
      </w:r>
      <w:r w:rsidR="006A4445" w:rsidRPr="00DF23DE">
        <w:rPr>
          <w:snapToGrid w:val="0"/>
        </w:rPr>
        <w:t>,</w:t>
      </w:r>
      <w:r w:rsidR="00EB08F6" w:rsidRPr="00DF23DE">
        <w:rPr>
          <w:snapToGrid w:val="0"/>
        </w:rPr>
        <w:t xml:space="preserve"> </w:t>
      </w:r>
      <w:r w:rsidR="008B3CAD" w:rsidRPr="00DF23DE">
        <w:rPr>
          <w:snapToGrid w:val="0"/>
        </w:rPr>
        <w:t xml:space="preserve">he </w:t>
      </w:r>
      <w:r w:rsidR="00DF23B6" w:rsidRPr="00DF23DE">
        <w:rPr>
          <w:snapToGrid w:val="0"/>
        </w:rPr>
        <w:t xml:space="preserve">would </w:t>
      </w:r>
      <w:r w:rsidR="008B3CAD" w:rsidRPr="00DF23DE">
        <w:rPr>
          <w:snapToGrid w:val="0"/>
        </w:rPr>
        <w:t xml:space="preserve">be </w:t>
      </w:r>
      <w:r w:rsidR="006A4445" w:rsidRPr="00DF23DE">
        <w:rPr>
          <w:snapToGrid w:val="0"/>
        </w:rPr>
        <w:t xml:space="preserve">coerced to confess </w:t>
      </w:r>
      <w:r w:rsidR="008B3CAD" w:rsidRPr="00DF23DE">
        <w:rPr>
          <w:snapToGrid w:val="0"/>
        </w:rPr>
        <w:t xml:space="preserve">guilt under </w:t>
      </w:r>
      <w:r w:rsidR="006A4445" w:rsidRPr="00DF23DE">
        <w:rPr>
          <w:snapToGrid w:val="0"/>
        </w:rPr>
        <w:t>duress</w:t>
      </w:r>
      <w:r w:rsidR="008B3CAD" w:rsidRPr="00DF23DE">
        <w:rPr>
          <w:snapToGrid w:val="0"/>
        </w:rPr>
        <w:t>.</w:t>
      </w:r>
    </w:p>
    <w:p w14:paraId="2A07B098" w14:textId="77777777" w:rsidR="00AA451C" w:rsidRPr="00DF23DE" w:rsidRDefault="00390DD6" w:rsidP="005E4862">
      <w:pPr>
        <w:pStyle w:val="SingleTxtG"/>
        <w:rPr>
          <w:snapToGrid w:val="0"/>
        </w:rPr>
      </w:pPr>
      <w:r w:rsidRPr="00DF23DE">
        <w:rPr>
          <w:snapToGrid w:val="0"/>
        </w:rPr>
        <w:t>7</w:t>
      </w:r>
      <w:r w:rsidR="00AA451C" w:rsidRPr="00DF23DE">
        <w:rPr>
          <w:snapToGrid w:val="0"/>
        </w:rPr>
        <w:t>.</w:t>
      </w:r>
      <w:r w:rsidR="008B3CAD" w:rsidRPr="00DF23DE">
        <w:rPr>
          <w:snapToGrid w:val="0"/>
        </w:rPr>
        <w:t>4</w:t>
      </w:r>
      <w:r w:rsidR="00AA451C" w:rsidRPr="00DF23DE">
        <w:rPr>
          <w:snapToGrid w:val="0"/>
        </w:rPr>
        <w:tab/>
        <w:t xml:space="preserve">The complainant asked the Committee to reiterate </w:t>
      </w:r>
      <w:r w:rsidR="005A43C9" w:rsidRPr="00DF23DE">
        <w:rPr>
          <w:snapToGrid w:val="0"/>
        </w:rPr>
        <w:t>its</w:t>
      </w:r>
      <w:r w:rsidR="00AA451C" w:rsidRPr="00DF23DE">
        <w:rPr>
          <w:snapToGrid w:val="0"/>
        </w:rPr>
        <w:t xml:space="preserve"> request for interim protection </w:t>
      </w:r>
      <w:r w:rsidR="00DF23B6" w:rsidRPr="00DF23DE">
        <w:rPr>
          <w:snapToGrid w:val="0"/>
        </w:rPr>
        <w:t xml:space="preserve">measures, </w:t>
      </w:r>
      <w:r w:rsidR="00D3615A" w:rsidRPr="00DF23DE">
        <w:rPr>
          <w:snapToGrid w:val="0"/>
        </w:rPr>
        <w:t xml:space="preserve">taking into account that the </w:t>
      </w:r>
      <w:r w:rsidR="00AA451C" w:rsidRPr="00DF23DE">
        <w:rPr>
          <w:snapToGrid w:val="0"/>
        </w:rPr>
        <w:t>asylum appeal</w:t>
      </w:r>
      <w:r w:rsidR="00237410" w:rsidRPr="00DF23DE">
        <w:rPr>
          <w:snapToGrid w:val="0"/>
        </w:rPr>
        <w:t>s</w:t>
      </w:r>
      <w:r w:rsidR="00AA451C" w:rsidRPr="00DF23DE">
        <w:rPr>
          <w:snapToGrid w:val="0"/>
        </w:rPr>
        <w:t xml:space="preserve"> proceedings</w:t>
      </w:r>
      <w:r w:rsidR="00D3615A" w:rsidRPr="00DF23DE">
        <w:rPr>
          <w:snapToGrid w:val="0"/>
        </w:rPr>
        <w:t xml:space="preserve"> have no suspensive effect</w:t>
      </w:r>
      <w:r w:rsidR="00AA451C" w:rsidRPr="00DF23DE">
        <w:rPr>
          <w:snapToGrid w:val="0"/>
        </w:rPr>
        <w:t xml:space="preserve">. </w:t>
      </w:r>
    </w:p>
    <w:p w14:paraId="040E83F3" w14:textId="77777777" w:rsidR="00E91F65" w:rsidRDefault="00E91F65">
      <w:pPr>
        <w:suppressAutoHyphens w:val="0"/>
        <w:spacing w:line="240" w:lineRule="auto"/>
        <w:rPr>
          <w:b/>
          <w:snapToGrid w:val="0"/>
        </w:rPr>
      </w:pPr>
      <w:r>
        <w:rPr>
          <w:snapToGrid w:val="0"/>
        </w:rPr>
        <w:br w:type="page"/>
      </w:r>
    </w:p>
    <w:p w14:paraId="3BE8B4C1" w14:textId="77777777" w:rsidR="007821E7" w:rsidRPr="00DF23DE" w:rsidRDefault="00BC34B7" w:rsidP="005E4862">
      <w:pPr>
        <w:pStyle w:val="H23G"/>
        <w:rPr>
          <w:snapToGrid w:val="0"/>
        </w:rPr>
      </w:pPr>
      <w:r w:rsidRPr="00DF23DE">
        <w:rPr>
          <w:snapToGrid w:val="0"/>
        </w:rPr>
        <w:lastRenderedPageBreak/>
        <w:tab/>
      </w:r>
      <w:r w:rsidRPr="00DF23DE">
        <w:rPr>
          <w:snapToGrid w:val="0"/>
        </w:rPr>
        <w:tab/>
      </w:r>
      <w:r w:rsidR="00BF783D" w:rsidRPr="00DF23DE">
        <w:rPr>
          <w:snapToGrid w:val="0"/>
        </w:rPr>
        <w:t>A</w:t>
      </w:r>
      <w:r w:rsidR="007821E7" w:rsidRPr="00DF23DE">
        <w:rPr>
          <w:snapToGrid w:val="0"/>
        </w:rPr>
        <w:t>dditional information by the State party</w:t>
      </w:r>
    </w:p>
    <w:p w14:paraId="696B21C8" w14:textId="77777777" w:rsidR="0010113D" w:rsidRPr="00DF23DE" w:rsidRDefault="00390DD6" w:rsidP="005E4862">
      <w:pPr>
        <w:pStyle w:val="SingleTxtG"/>
        <w:rPr>
          <w:snapToGrid w:val="0"/>
        </w:rPr>
      </w:pPr>
      <w:r w:rsidRPr="00DF23DE">
        <w:rPr>
          <w:snapToGrid w:val="0"/>
        </w:rPr>
        <w:t>8</w:t>
      </w:r>
      <w:r w:rsidR="00F906F5" w:rsidRPr="00DF23DE">
        <w:rPr>
          <w:snapToGrid w:val="0"/>
        </w:rPr>
        <w:t>.1</w:t>
      </w:r>
      <w:r w:rsidR="00F906F5" w:rsidRPr="00DF23DE">
        <w:rPr>
          <w:snapToGrid w:val="0"/>
        </w:rPr>
        <w:tab/>
        <w:t xml:space="preserve">On </w:t>
      </w:r>
      <w:r w:rsidR="0010113D" w:rsidRPr="00DF23DE">
        <w:rPr>
          <w:snapToGrid w:val="0"/>
        </w:rPr>
        <w:t>25 April</w:t>
      </w:r>
      <w:r w:rsidR="007821E7" w:rsidRPr="00DF23DE">
        <w:rPr>
          <w:snapToGrid w:val="0"/>
        </w:rPr>
        <w:t xml:space="preserve"> 201</w:t>
      </w:r>
      <w:r w:rsidR="0010113D" w:rsidRPr="00DF23DE">
        <w:rPr>
          <w:snapToGrid w:val="0"/>
        </w:rPr>
        <w:t>4</w:t>
      </w:r>
      <w:r w:rsidR="007821E7" w:rsidRPr="00DF23DE">
        <w:rPr>
          <w:snapToGrid w:val="0"/>
        </w:rPr>
        <w:t xml:space="preserve">, the State party </w:t>
      </w:r>
      <w:r w:rsidR="0010113D" w:rsidRPr="00DF23DE">
        <w:rPr>
          <w:snapToGrid w:val="0"/>
        </w:rPr>
        <w:t>informed the Committee that</w:t>
      </w:r>
      <w:r w:rsidR="00DF23B6" w:rsidRPr="00DF23DE">
        <w:rPr>
          <w:snapToGrid w:val="0"/>
        </w:rPr>
        <w:t>,</w:t>
      </w:r>
      <w:r w:rsidR="0010113D" w:rsidRPr="00DF23DE">
        <w:rPr>
          <w:snapToGrid w:val="0"/>
        </w:rPr>
        <w:t xml:space="preserve"> </w:t>
      </w:r>
      <w:r w:rsidR="00DF23B6" w:rsidRPr="00DF23DE">
        <w:rPr>
          <w:snapToGrid w:val="0"/>
        </w:rPr>
        <w:t xml:space="preserve">owing </w:t>
      </w:r>
      <w:r w:rsidR="0010113D" w:rsidRPr="00DF23DE">
        <w:rPr>
          <w:snapToGrid w:val="0"/>
        </w:rPr>
        <w:t xml:space="preserve">to </w:t>
      </w:r>
      <w:r w:rsidR="005A43C9" w:rsidRPr="00DF23DE">
        <w:rPr>
          <w:snapToGrid w:val="0"/>
        </w:rPr>
        <w:t xml:space="preserve">the </w:t>
      </w:r>
      <w:r w:rsidR="0010113D" w:rsidRPr="00DF23DE">
        <w:rPr>
          <w:snapToGrid w:val="0"/>
        </w:rPr>
        <w:t xml:space="preserve">expiration of the maximum one-year term </w:t>
      </w:r>
      <w:r w:rsidR="005A43C9" w:rsidRPr="00DF23DE">
        <w:rPr>
          <w:snapToGrid w:val="0"/>
        </w:rPr>
        <w:t>of</w:t>
      </w:r>
      <w:r w:rsidR="0010113D" w:rsidRPr="00DF23DE">
        <w:rPr>
          <w:snapToGrid w:val="0"/>
        </w:rPr>
        <w:t xml:space="preserve"> extradition detention, the General Prosecutor’s Office </w:t>
      </w:r>
      <w:r w:rsidR="00DF23B6" w:rsidRPr="00DF23DE">
        <w:rPr>
          <w:snapToGrid w:val="0"/>
        </w:rPr>
        <w:t xml:space="preserve">had </w:t>
      </w:r>
      <w:r w:rsidR="005A43C9" w:rsidRPr="00DF23DE">
        <w:rPr>
          <w:snapToGrid w:val="0"/>
        </w:rPr>
        <w:t xml:space="preserve">decided </w:t>
      </w:r>
      <w:r w:rsidR="0010113D" w:rsidRPr="00DF23DE">
        <w:rPr>
          <w:snapToGrid w:val="0"/>
        </w:rPr>
        <w:t xml:space="preserve">to extradite the complainant to the Russian Federation. His further detention would </w:t>
      </w:r>
      <w:r w:rsidR="00F74FE8" w:rsidRPr="00DF23DE">
        <w:rPr>
          <w:snapToGrid w:val="0"/>
        </w:rPr>
        <w:t xml:space="preserve">have </w:t>
      </w:r>
      <w:r w:rsidR="005A43C9" w:rsidRPr="00DF23DE">
        <w:rPr>
          <w:snapToGrid w:val="0"/>
        </w:rPr>
        <w:t xml:space="preserve">violated </w:t>
      </w:r>
      <w:r w:rsidR="0010113D" w:rsidRPr="00DF23DE">
        <w:rPr>
          <w:snapToGrid w:val="0"/>
        </w:rPr>
        <w:t xml:space="preserve">the Code of Criminal Procedure of Kazakhstan, while his release would </w:t>
      </w:r>
      <w:r w:rsidR="00F74FE8" w:rsidRPr="00DF23DE">
        <w:rPr>
          <w:snapToGrid w:val="0"/>
        </w:rPr>
        <w:t xml:space="preserve">have </w:t>
      </w:r>
      <w:r w:rsidR="0010113D" w:rsidRPr="00DF23DE">
        <w:rPr>
          <w:snapToGrid w:val="0"/>
        </w:rPr>
        <w:t>pose</w:t>
      </w:r>
      <w:r w:rsidR="00F74FE8" w:rsidRPr="00DF23DE">
        <w:rPr>
          <w:snapToGrid w:val="0"/>
        </w:rPr>
        <w:t>d</w:t>
      </w:r>
      <w:r w:rsidR="0010113D" w:rsidRPr="00DF23DE">
        <w:rPr>
          <w:snapToGrid w:val="0"/>
        </w:rPr>
        <w:t xml:space="preserve"> a threat to national security. </w:t>
      </w:r>
    </w:p>
    <w:p w14:paraId="4DFBF569" w14:textId="77777777" w:rsidR="007821E7" w:rsidRPr="00DF23DE" w:rsidRDefault="00390DD6" w:rsidP="005E4862">
      <w:pPr>
        <w:pStyle w:val="SingleTxtG"/>
        <w:rPr>
          <w:snapToGrid w:val="0"/>
        </w:rPr>
      </w:pPr>
      <w:r w:rsidRPr="00DF23DE">
        <w:rPr>
          <w:snapToGrid w:val="0"/>
        </w:rPr>
        <w:t>8</w:t>
      </w:r>
      <w:r w:rsidR="007821E7" w:rsidRPr="00DF23DE">
        <w:rPr>
          <w:snapToGrid w:val="0"/>
        </w:rPr>
        <w:t>.2</w:t>
      </w:r>
      <w:r w:rsidR="007821E7" w:rsidRPr="00DF23DE">
        <w:rPr>
          <w:snapToGrid w:val="0"/>
        </w:rPr>
        <w:tab/>
      </w:r>
      <w:r w:rsidR="0010113D" w:rsidRPr="00DF23DE">
        <w:rPr>
          <w:snapToGrid w:val="0"/>
        </w:rPr>
        <w:t xml:space="preserve">The State party assured the Committee that there </w:t>
      </w:r>
      <w:r w:rsidR="00DF23B6" w:rsidRPr="00DF23DE">
        <w:rPr>
          <w:snapToGrid w:val="0"/>
        </w:rPr>
        <w:t xml:space="preserve">were </w:t>
      </w:r>
      <w:r w:rsidR="0010113D" w:rsidRPr="00DF23DE">
        <w:rPr>
          <w:snapToGrid w:val="0"/>
        </w:rPr>
        <w:t>no grounds to believe that the complainant would face a risk of torture or ill-treatment upon his extradition. It also pledged to monitor the complainant’s situation upon his return, in cooperation with the authorities of the Russian Federation</w:t>
      </w:r>
      <w:r w:rsidR="00DF23B6" w:rsidRPr="00DF23DE">
        <w:rPr>
          <w:snapToGrid w:val="0"/>
        </w:rPr>
        <w:t>,</w:t>
      </w:r>
      <w:r w:rsidR="0010113D" w:rsidRPr="00DF23DE">
        <w:rPr>
          <w:snapToGrid w:val="0"/>
        </w:rPr>
        <w:t xml:space="preserve"> and to provide the Committee with updated information on a regular basis. </w:t>
      </w:r>
    </w:p>
    <w:p w14:paraId="56028B5E" w14:textId="77777777" w:rsidR="007821E7" w:rsidRPr="00DF23DE" w:rsidRDefault="00390DD6" w:rsidP="005E4862">
      <w:pPr>
        <w:pStyle w:val="SingleTxtG"/>
        <w:rPr>
          <w:snapToGrid w:val="0"/>
        </w:rPr>
      </w:pPr>
      <w:r w:rsidRPr="00DF23DE">
        <w:rPr>
          <w:snapToGrid w:val="0"/>
        </w:rPr>
        <w:t>8</w:t>
      </w:r>
      <w:r w:rsidR="007821E7" w:rsidRPr="00DF23DE">
        <w:rPr>
          <w:snapToGrid w:val="0"/>
        </w:rPr>
        <w:t>.3</w:t>
      </w:r>
      <w:r w:rsidR="007821E7" w:rsidRPr="00DF23DE">
        <w:rPr>
          <w:snapToGrid w:val="0"/>
        </w:rPr>
        <w:tab/>
      </w:r>
      <w:r w:rsidR="0010113D" w:rsidRPr="00DF23DE">
        <w:rPr>
          <w:snapToGrid w:val="0"/>
        </w:rPr>
        <w:t xml:space="preserve">The State party requested a meeting with the Committee members in order to </w:t>
      </w:r>
      <w:r w:rsidR="00C002FF" w:rsidRPr="00DF23DE">
        <w:rPr>
          <w:snapToGrid w:val="0"/>
        </w:rPr>
        <w:t>share more detailed information on the case.</w:t>
      </w:r>
    </w:p>
    <w:p w14:paraId="3AA98744" w14:textId="77777777" w:rsidR="003F7DFF" w:rsidRPr="00DF23DE" w:rsidRDefault="00390DD6" w:rsidP="005E4862">
      <w:pPr>
        <w:pStyle w:val="SingleTxtG"/>
        <w:rPr>
          <w:snapToGrid w:val="0"/>
        </w:rPr>
      </w:pPr>
      <w:r w:rsidRPr="00DF23DE">
        <w:rPr>
          <w:snapToGrid w:val="0"/>
        </w:rPr>
        <w:t>8</w:t>
      </w:r>
      <w:r w:rsidR="003F7DFF" w:rsidRPr="00DF23DE">
        <w:rPr>
          <w:snapToGrid w:val="0"/>
        </w:rPr>
        <w:t>.4</w:t>
      </w:r>
      <w:r w:rsidR="003F7DFF" w:rsidRPr="00DF23DE">
        <w:rPr>
          <w:snapToGrid w:val="0"/>
        </w:rPr>
        <w:tab/>
        <w:t xml:space="preserve">On 24 June 2014, the State party reiterated </w:t>
      </w:r>
      <w:r w:rsidR="00DF23B6" w:rsidRPr="00DF23DE">
        <w:rPr>
          <w:snapToGrid w:val="0"/>
        </w:rPr>
        <w:t xml:space="preserve">the </w:t>
      </w:r>
      <w:r w:rsidR="003F7DFF" w:rsidRPr="00DF23DE">
        <w:rPr>
          <w:snapToGrid w:val="0"/>
        </w:rPr>
        <w:t xml:space="preserve">information contained in its note verbale of 25 April 2014. </w:t>
      </w:r>
    </w:p>
    <w:p w14:paraId="14B707AF" w14:textId="77777777" w:rsidR="00025F8E" w:rsidRPr="00DF23DE" w:rsidRDefault="00BC34B7" w:rsidP="005E4862">
      <w:pPr>
        <w:pStyle w:val="H23G"/>
        <w:rPr>
          <w:snapToGrid w:val="0"/>
        </w:rPr>
      </w:pPr>
      <w:r w:rsidRPr="00DF23DE">
        <w:rPr>
          <w:snapToGrid w:val="0"/>
        </w:rPr>
        <w:tab/>
      </w:r>
      <w:r w:rsidRPr="00DF23DE">
        <w:rPr>
          <w:snapToGrid w:val="0"/>
        </w:rPr>
        <w:tab/>
      </w:r>
      <w:r w:rsidR="00025F8E" w:rsidRPr="00DF23DE">
        <w:rPr>
          <w:snapToGrid w:val="0"/>
        </w:rPr>
        <w:t>Additional submissions by the parties</w:t>
      </w:r>
    </w:p>
    <w:p w14:paraId="4CAE7F18" w14:textId="77777777" w:rsidR="00CE290C" w:rsidRPr="00DF23DE" w:rsidRDefault="00390DD6" w:rsidP="005E4862">
      <w:pPr>
        <w:pStyle w:val="SingleTxtG"/>
        <w:rPr>
          <w:snapToGrid w:val="0"/>
        </w:rPr>
      </w:pPr>
      <w:r w:rsidRPr="00DF23DE">
        <w:rPr>
          <w:snapToGrid w:val="0"/>
        </w:rPr>
        <w:t>9</w:t>
      </w:r>
      <w:r w:rsidR="003F7DFF" w:rsidRPr="00DF23DE">
        <w:rPr>
          <w:snapToGrid w:val="0"/>
        </w:rPr>
        <w:t>.1</w:t>
      </w:r>
      <w:r w:rsidR="003F7DFF" w:rsidRPr="00DF23DE">
        <w:rPr>
          <w:snapToGrid w:val="0"/>
        </w:rPr>
        <w:tab/>
        <w:t xml:space="preserve">On 18 August 2014, the State party submitted its observations on the merits of the complaint. </w:t>
      </w:r>
      <w:r w:rsidR="00CE290C" w:rsidRPr="00DF23DE">
        <w:rPr>
          <w:snapToGrid w:val="0"/>
        </w:rPr>
        <w:t xml:space="preserve">It </w:t>
      </w:r>
      <w:r w:rsidR="000404CF" w:rsidRPr="00DF23DE">
        <w:rPr>
          <w:snapToGrid w:val="0"/>
        </w:rPr>
        <w:t>reiterated</w:t>
      </w:r>
      <w:r w:rsidR="005A43C9" w:rsidRPr="00DF23DE">
        <w:rPr>
          <w:snapToGrid w:val="0"/>
        </w:rPr>
        <w:t xml:space="preserve"> the</w:t>
      </w:r>
      <w:r w:rsidR="000404CF" w:rsidRPr="00DF23DE">
        <w:rPr>
          <w:snapToGrid w:val="0"/>
        </w:rPr>
        <w:t xml:space="preserve"> information provided in its observations on admissibility and </w:t>
      </w:r>
      <w:r w:rsidR="00CE290C" w:rsidRPr="00DF23DE">
        <w:rPr>
          <w:snapToGrid w:val="0"/>
        </w:rPr>
        <w:t xml:space="preserve">stated that the allegations of the complainant concerning a risk of torture upon extradition </w:t>
      </w:r>
      <w:r w:rsidR="0059347A" w:rsidRPr="00DF23DE">
        <w:rPr>
          <w:snapToGrid w:val="0"/>
        </w:rPr>
        <w:t xml:space="preserve">had </w:t>
      </w:r>
      <w:r w:rsidR="00CE290C" w:rsidRPr="00DF23DE">
        <w:rPr>
          <w:snapToGrid w:val="0"/>
        </w:rPr>
        <w:t xml:space="preserve">not </w:t>
      </w:r>
      <w:r w:rsidR="0059347A" w:rsidRPr="00DF23DE">
        <w:rPr>
          <w:snapToGrid w:val="0"/>
        </w:rPr>
        <w:t xml:space="preserve">been </w:t>
      </w:r>
      <w:r w:rsidR="00CE290C" w:rsidRPr="00DF23DE">
        <w:rPr>
          <w:snapToGrid w:val="0"/>
        </w:rPr>
        <w:t xml:space="preserve">corroborated by the Prosecutor General’s Office. The State party </w:t>
      </w:r>
      <w:r w:rsidR="00143907" w:rsidRPr="00DF23DE">
        <w:rPr>
          <w:snapToGrid w:val="0"/>
        </w:rPr>
        <w:t>concluded</w:t>
      </w:r>
      <w:r w:rsidR="00CE290C" w:rsidRPr="00DF23DE">
        <w:rPr>
          <w:snapToGrid w:val="0"/>
        </w:rPr>
        <w:t xml:space="preserve"> that the complaint should be dismissed as insufficiently substantiated under article 5 (2</w:t>
      </w:r>
      <w:r w:rsidR="004A57F8" w:rsidRPr="00DF23DE">
        <w:rPr>
          <w:snapToGrid w:val="0"/>
        </w:rPr>
        <w:t>) (b)</w:t>
      </w:r>
      <w:r w:rsidR="00CE290C" w:rsidRPr="00DF23DE">
        <w:rPr>
          <w:snapToGrid w:val="0"/>
        </w:rPr>
        <w:t xml:space="preserve"> of the Optional Protocol</w:t>
      </w:r>
      <w:r w:rsidR="0059347A" w:rsidRPr="00DF23DE">
        <w:rPr>
          <w:snapToGrid w:val="0"/>
        </w:rPr>
        <w:t xml:space="preserve"> to the </w:t>
      </w:r>
      <w:r w:rsidR="0059347A" w:rsidRPr="005E4862">
        <w:rPr>
          <w:snapToGrid w:val="0"/>
        </w:rPr>
        <w:t>Convention against Torture and Other Cruel, Inhuman or Degrading Treatment or Punishment</w:t>
      </w:r>
      <w:r w:rsidR="00CE290C" w:rsidRPr="00DF23DE">
        <w:rPr>
          <w:snapToGrid w:val="0"/>
        </w:rPr>
        <w:t xml:space="preserve">. </w:t>
      </w:r>
    </w:p>
    <w:p w14:paraId="5D4E903D" w14:textId="77777777" w:rsidR="003F7DFF" w:rsidRPr="00DF23DE" w:rsidRDefault="00390DD6" w:rsidP="005E4862">
      <w:pPr>
        <w:pStyle w:val="SingleTxtG"/>
        <w:rPr>
          <w:snapToGrid w:val="0"/>
        </w:rPr>
      </w:pPr>
      <w:r w:rsidRPr="00DF23DE">
        <w:rPr>
          <w:snapToGrid w:val="0"/>
        </w:rPr>
        <w:t>9</w:t>
      </w:r>
      <w:r w:rsidR="00CE290C" w:rsidRPr="00DF23DE">
        <w:rPr>
          <w:snapToGrid w:val="0"/>
        </w:rPr>
        <w:t>.2</w:t>
      </w:r>
      <w:r w:rsidR="00CE290C" w:rsidRPr="00DF23DE">
        <w:rPr>
          <w:snapToGrid w:val="0"/>
        </w:rPr>
        <w:tab/>
      </w:r>
      <w:r w:rsidR="00604051" w:rsidRPr="00DF23DE">
        <w:rPr>
          <w:snapToGrid w:val="0"/>
        </w:rPr>
        <w:t xml:space="preserve">Furthermore, the </w:t>
      </w:r>
      <w:r w:rsidR="00CE290C" w:rsidRPr="00DF23DE">
        <w:rPr>
          <w:snapToGrid w:val="0"/>
        </w:rPr>
        <w:t xml:space="preserve">State party stated that the complainant’s extradition </w:t>
      </w:r>
      <w:r w:rsidR="00604051" w:rsidRPr="00DF23DE">
        <w:rPr>
          <w:snapToGrid w:val="0"/>
        </w:rPr>
        <w:t xml:space="preserve">had been </w:t>
      </w:r>
      <w:r w:rsidR="00CE290C" w:rsidRPr="00DF23DE">
        <w:rPr>
          <w:snapToGrid w:val="0"/>
        </w:rPr>
        <w:t xml:space="preserve">suspended for </w:t>
      </w:r>
      <w:r w:rsidR="005A43C9" w:rsidRPr="00DF23DE">
        <w:rPr>
          <w:snapToGrid w:val="0"/>
        </w:rPr>
        <w:t>the</w:t>
      </w:r>
      <w:r w:rsidR="00CE290C" w:rsidRPr="00DF23DE">
        <w:rPr>
          <w:snapToGrid w:val="0"/>
        </w:rPr>
        <w:t xml:space="preserve"> maximum possible period</w:t>
      </w:r>
      <w:r w:rsidR="00604051" w:rsidRPr="00DF23DE">
        <w:rPr>
          <w:snapToGrid w:val="0"/>
        </w:rPr>
        <w:t>,</w:t>
      </w:r>
      <w:r w:rsidR="00CE290C" w:rsidRPr="00DF23DE">
        <w:rPr>
          <w:snapToGrid w:val="0"/>
        </w:rPr>
        <w:t xml:space="preserve"> </w:t>
      </w:r>
      <w:r w:rsidR="00604051" w:rsidRPr="00DF23DE">
        <w:rPr>
          <w:snapToGrid w:val="0"/>
        </w:rPr>
        <w:t xml:space="preserve">at the </w:t>
      </w:r>
      <w:r w:rsidR="00CE290C" w:rsidRPr="00DF23DE">
        <w:rPr>
          <w:snapToGrid w:val="0"/>
        </w:rPr>
        <w:t xml:space="preserve">request of the Committee. However, in view of the expiration of the maximum extradition detention allowed </w:t>
      </w:r>
      <w:r w:rsidR="005A43C9" w:rsidRPr="00DF23DE">
        <w:rPr>
          <w:snapToGrid w:val="0"/>
        </w:rPr>
        <w:t>under the law</w:t>
      </w:r>
      <w:r w:rsidR="00CE290C" w:rsidRPr="00DF23DE">
        <w:rPr>
          <w:snapToGrid w:val="0"/>
        </w:rPr>
        <w:t xml:space="preserve"> and the State party’s obligations under the Minsk Convention</w:t>
      </w:r>
      <w:r w:rsidR="00DA6285" w:rsidRPr="00DF23DE">
        <w:rPr>
          <w:snapToGrid w:val="0"/>
        </w:rPr>
        <w:t>,</w:t>
      </w:r>
      <w:r w:rsidR="00CE290C" w:rsidRPr="00DF23DE">
        <w:rPr>
          <w:snapToGrid w:val="0"/>
        </w:rPr>
        <w:t xml:space="preserve"> the Prosecutor General’s Officer </w:t>
      </w:r>
      <w:r w:rsidR="00604051" w:rsidRPr="00DF23DE">
        <w:rPr>
          <w:snapToGrid w:val="0"/>
        </w:rPr>
        <w:t xml:space="preserve">had </w:t>
      </w:r>
      <w:r w:rsidR="00CE290C" w:rsidRPr="00DF23DE">
        <w:rPr>
          <w:snapToGrid w:val="0"/>
        </w:rPr>
        <w:t xml:space="preserve">decided to extradite the complainant. </w:t>
      </w:r>
    </w:p>
    <w:p w14:paraId="2A0049CE" w14:textId="77777777" w:rsidR="00C02D4B" w:rsidRPr="00DF23DE" w:rsidRDefault="00390DD6" w:rsidP="005E4862">
      <w:pPr>
        <w:pStyle w:val="SingleTxtG"/>
        <w:rPr>
          <w:snapToGrid w:val="0"/>
        </w:rPr>
      </w:pPr>
      <w:r w:rsidRPr="00DF23DE">
        <w:rPr>
          <w:snapToGrid w:val="0"/>
        </w:rPr>
        <w:t>9</w:t>
      </w:r>
      <w:r w:rsidR="00025F8E" w:rsidRPr="00DF23DE">
        <w:rPr>
          <w:snapToGrid w:val="0"/>
        </w:rPr>
        <w:t>.3</w:t>
      </w:r>
      <w:r w:rsidR="00C02D4B" w:rsidRPr="00DF23DE">
        <w:rPr>
          <w:snapToGrid w:val="0"/>
        </w:rPr>
        <w:tab/>
        <w:t xml:space="preserve">On 5 October 2014, the complainant’s counsel </w:t>
      </w:r>
      <w:r w:rsidR="005A43C9" w:rsidRPr="00DF23DE">
        <w:rPr>
          <w:snapToGrid w:val="0"/>
        </w:rPr>
        <w:t xml:space="preserve">commented </w:t>
      </w:r>
      <w:r w:rsidR="00C02D4B" w:rsidRPr="00DF23DE">
        <w:rPr>
          <w:snapToGrid w:val="0"/>
        </w:rPr>
        <w:t>o</w:t>
      </w:r>
      <w:r w:rsidR="005A43C9" w:rsidRPr="00DF23DE">
        <w:rPr>
          <w:snapToGrid w:val="0"/>
        </w:rPr>
        <w:t>n</w:t>
      </w:r>
      <w:r w:rsidR="00C02D4B" w:rsidRPr="00DF23DE">
        <w:rPr>
          <w:snapToGrid w:val="0"/>
        </w:rPr>
        <w:t xml:space="preserve"> the </w:t>
      </w:r>
      <w:r w:rsidR="005A43C9" w:rsidRPr="00DF23DE">
        <w:rPr>
          <w:snapToGrid w:val="0"/>
        </w:rPr>
        <w:t xml:space="preserve">additional </w:t>
      </w:r>
      <w:r w:rsidR="00C02D4B" w:rsidRPr="00DF23DE">
        <w:rPr>
          <w:snapToGrid w:val="0"/>
        </w:rPr>
        <w:t xml:space="preserve">observations of the State party and informed the Committee that the complainant </w:t>
      </w:r>
      <w:r w:rsidR="00604051" w:rsidRPr="00DF23DE">
        <w:rPr>
          <w:snapToGrid w:val="0"/>
        </w:rPr>
        <w:t xml:space="preserve">had been </w:t>
      </w:r>
      <w:r w:rsidR="00C02D4B" w:rsidRPr="00DF23DE">
        <w:rPr>
          <w:snapToGrid w:val="0"/>
        </w:rPr>
        <w:t xml:space="preserve">extradited on 24 April 2014, while </w:t>
      </w:r>
      <w:r w:rsidR="00A964C9" w:rsidRPr="00DF23DE">
        <w:rPr>
          <w:snapToGrid w:val="0"/>
        </w:rPr>
        <w:t xml:space="preserve">an </w:t>
      </w:r>
      <w:r w:rsidR="00C02D4B" w:rsidRPr="00DF23DE">
        <w:rPr>
          <w:snapToGrid w:val="0"/>
        </w:rPr>
        <w:t>appeal in his asylum case w</w:t>
      </w:r>
      <w:r w:rsidR="00A964C9" w:rsidRPr="00DF23DE">
        <w:rPr>
          <w:snapToGrid w:val="0"/>
        </w:rPr>
        <w:t>as</w:t>
      </w:r>
      <w:r w:rsidR="00C02D4B" w:rsidRPr="00DF23DE">
        <w:rPr>
          <w:snapToGrid w:val="0"/>
        </w:rPr>
        <w:t xml:space="preserve"> ongoing. </w:t>
      </w:r>
      <w:r w:rsidR="002D511C" w:rsidRPr="00DF23DE">
        <w:rPr>
          <w:snapToGrid w:val="0"/>
        </w:rPr>
        <w:t xml:space="preserve">That </w:t>
      </w:r>
      <w:r w:rsidR="00C02D4B" w:rsidRPr="00DF23DE">
        <w:rPr>
          <w:snapToGrid w:val="0"/>
        </w:rPr>
        <w:t>appeal</w:t>
      </w:r>
      <w:r w:rsidR="002D511C" w:rsidRPr="00DF23DE">
        <w:rPr>
          <w:snapToGrid w:val="0"/>
        </w:rPr>
        <w:t>,</w:t>
      </w:r>
      <w:r w:rsidR="00C02D4B" w:rsidRPr="00DF23DE">
        <w:rPr>
          <w:snapToGrid w:val="0"/>
        </w:rPr>
        <w:t xml:space="preserve"> </w:t>
      </w:r>
      <w:r w:rsidR="002D511C" w:rsidRPr="00DF23DE">
        <w:rPr>
          <w:snapToGrid w:val="0"/>
        </w:rPr>
        <w:t xml:space="preserve">dated </w:t>
      </w:r>
      <w:r w:rsidR="00C02D4B" w:rsidRPr="00DF23DE">
        <w:rPr>
          <w:snapToGrid w:val="0"/>
        </w:rPr>
        <w:t>11 April 2014</w:t>
      </w:r>
      <w:r w:rsidR="002D511C" w:rsidRPr="00DF23DE">
        <w:rPr>
          <w:snapToGrid w:val="0"/>
        </w:rPr>
        <w:t>,</w:t>
      </w:r>
      <w:r w:rsidR="00C02D4B" w:rsidRPr="00DF23DE">
        <w:rPr>
          <w:snapToGrid w:val="0"/>
        </w:rPr>
        <w:t xml:space="preserve"> </w:t>
      </w:r>
      <w:r w:rsidR="002D511C" w:rsidRPr="00DF23DE">
        <w:rPr>
          <w:snapToGrid w:val="0"/>
        </w:rPr>
        <w:t xml:space="preserve">had been </w:t>
      </w:r>
      <w:r w:rsidR="00C02D4B" w:rsidRPr="00DF23DE">
        <w:rPr>
          <w:snapToGrid w:val="0"/>
        </w:rPr>
        <w:t>rejected by the Court No.</w:t>
      </w:r>
      <w:r w:rsidR="002D511C" w:rsidRPr="00DF23DE">
        <w:rPr>
          <w:snapToGrid w:val="0"/>
        </w:rPr>
        <w:t> </w:t>
      </w:r>
      <w:r w:rsidR="00C02D4B" w:rsidRPr="00DF23DE">
        <w:rPr>
          <w:snapToGrid w:val="0"/>
        </w:rPr>
        <w:t>2 of Uralsk on 4 A</w:t>
      </w:r>
      <w:r w:rsidR="00D32A2D" w:rsidRPr="00DF23DE">
        <w:rPr>
          <w:snapToGrid w:val="0"/>
        </w:rPr>
        <w:t xml:space="preserve">pril 2014, </w:t>
      </w:r>
      <w:r w:rsidR="002D511C" w:rsidRPr="00DF23DE">
        <w:rPr>
          <w:snapToGrid w:val="0"/>
        </w:rPr>
        <w:t xml:space="preserve">then </w:t>
      </w:r>
      <w:r w:rsidR="00D32A2D" w:rsidRPr="00DF23DE">
        <w:rPr>
          <w:snapToGrid w:val="0"/>
        </w:rPr>
        <w:t>by the West</w:t>
      </w:r>
      <w:r w:rsidR="00AA1846" w:rsidRPr="00DF23DE">
        <w:rPr>
          <w:snapToGrid w:val="0"/>
        </w:rPr>
        <w:t xml:space="preserve"> </w:t>
      </w:r>
      <w:r w:rsidR="00D32A2D" w:rsidRPr="00DF23DE">
        <w:rPr>
          <w:snapToGrid w:val="0"/>
        </w:rPr>
        <w:t>Kazakhstan Regional Court</w:t>
      </w:r>
      <w:r w:rsidR="002D511C" w:rsidRPr="00DF23DE">
        <w:rPr>
          <w:snapToGrid w:val="0"/>
        </w:rPr>
        <w:t>,</w:t>
      </w:r>
      <w:r w:rsidR="00D32A2D" w:rsidRPr="00DF23DE">
        <w:rPr>
          <w:snapToGrid w:val="0"/>
        </w:rPr>
        <w:t xml:space="preserve"> acting </w:t>
      </w:r>
      <w:r w:rsidR="002D511C" w:rsidRPr="00DF23DE">
        <w:rPr>
          <w:snapToGrid w:val="0"/>
        </w:rPr>
        <w:t xml:space="preserve">as the </w:t>
      </w:r>
      <w:r w:rsidR="00D32A2D" w:rsidRPr="00DF23DE">
        <w:rPr>
          <w:snapToGrid w:val="0"/>
        </w:rPr>
        <w:t xml:space="preserve">appeal </w:t>
      </w:r>
      <w:r w:rsidR="002D511C" w:rsidRPr="00DF23DE">
        <w:rPr>
          <w:snapToGrid w:val="0"/>
        </w:rPr>
        <w:t xml:space="preserve">court, </w:t>
      </w:r>
      <w:r w:rsidR="00D32A2D" w:rsidRPr="00DF23DE">
        <w:rPr>
          <w:snapToGrid w:val="0"/>
        </w:rPr>
        <w:t>on 24 June 2014</w:t>
      </w:r>
      <w:r w:rsidR="002D511C" w:rsidRPr="00DF23DE">
        <w:rPr>
          <w:snapToGrid w:val="0"/>
        </w:rPr>
        <w:t>,</w:t>
      </w:r>
      <w:r w:rsidR="00C02D4B" w:rsidRPr="00DF23DE">
        <w:rPr>
          <w:snapToGrid w:val="0"/>
        </w:rPr>
        <w:t xml:space="preserve"> </w:t>
      </w:r>
      <w:r w:rsidR="00D32A2D" w:rsidRPr="00DF23DE">
        <w:rPr>
          <w:snapToGrid w:val="0"/>
        </w:rPr>
        <w:t xml:space="preserve">and </w:t>
      </w:r>
      <w:r w:rsidR="002D511C" w:rsidRPr="00DF23DE">
        <w:rPr>
          <w:snapToGrid w:val="0"/>
        </w:rPr>
        <w:t xml:space="preserve">finally </w:t>
      </w:r>
      <w:r w:rsidR="00D32A2D" w:rsidRPr="00DF23DE">
        <w:rPr>
          <w:snapToGrid w:val="0"/>
        </w:rPr>
        <w:t>by the West</w:t>
      </w:r>
      <w:r w:rsidR="00AA1846" w:rsidRPr="00DF23DE">
        <w:rPr>
          <w:snapToGrid w:val="0"/>
        </w:rPr>
        <w:t xml:space="preserve"> </w:t>
      </w:r>
      <w:r w:rsidR="00D32A2D" w:rsidRPr="00DF23DE">
        <w:rPr>
          <w:snapToGrid w:val="0"/>
        </w:rPr>
        <w:t>Kazakhstan Regional Court</w:t>
      </w:r>
      <w:r w:rsidR="002D511C" w:rsidRPr="00DF23DE">
        <w:rPr>
          <w:snapToGrid w:val="0"/>
        </w:rPr>
        <w:t>,</w:t>
      </w:r>
      <w:r w:rsidR="00D32A2D" w:rsidRPr="00DF23DE">
        <w:rPr>
          <w:snapToGrid w:val="0"/>
        </w:rPr>
        <w:t xml:space="preserve"> </w:t>
      </w:r>
      <w:r w:rsidR="002D511C" w:rsidRPr="00DF23DE">
        <w:rPr>
          <w:snapToGrid w:val="0"/>
        </w:rPr>
        <w:t xml:space="preserve">acting </w:t>
      </w:r>
      <w:r w:rsidR="00D32A2D" w:rsidRPr="00DF23DE">
        <w:rPr>
          <w:snapToGrid w:val="0"/>
        </w:rPr>
        <w:t>as the court of cassation</w:t>
      </w:r>
      <w:r w:rsidR="002D511C" w:rsidRPr="00DF23DE">
        <w:rPr>
          <w:snapToGrid w:val="0"/>
        </w:rPr>
        <w:t>,</w:t>
      </w:r>
      <w:r w:rsidR="00D32A2D" w:rsidRPr="00DF23DE">
        <w:rPr>
          <w:snapToGrid w:val="0"/>
        </w:rPr>
        <w:t xml:space="preserve"> on 4 September 2014.</w:t>
      </w:r>
    </w:p>
    <w:p w14:paraId="681C2EE9" w14:textId="77777777" w:rsidR="00C02D4B" w:rsidRPr="00DF23DE" w:rsidRDefault="00390DD6" w:rsidP="005E4862">
      <w:pPr>
        <w:pStyle w:val="SingleTxtG"/>
        <w:rPr>
          <w:snapToGrid w:val="0"/>
        </w:rPr>
      </w:pPr>
      <w:r w:rsidRPr="00DF23DE">
        <w:rPr>
          <w:snapToGrid w:val="0"/>
        </w:rPr>
        <w:t>9</w:t>
      </w:r>
      <w:r w:rsidR="00025F8E" w:rsidRPr="00DF23DE">
        <w:rPr>
          <w:snapToGrid w:val="0"/>
        </w:rPr>
        <w:t>.4</w:t>
      </w:r>
      <w:r w:rsidR="00C02D4B" w:rsidRPr="00DF23DE">
        <w:rPr>
          <w:snapToGrid w:val="0"/>
        </w:rPr>
        <w:tab/>
      </w:r>
      <w:r w:rsidR="00D32A2D" w:rsidRPr="00DF23DE">
        <w:rPr>
          <w:snapToGrid w:val="0"/>
        </w:rPr>
        <w:t xml:space="preserve">The complainant’s counsel claimed that the State party </w:t>
      </w:r>
      <w:r w:rsidR="002D511C" w:rsidRPr="00DF23DE">
        <w:rPr>
          <w:snapToGrid w:val="0"/>
        </w:rPr>
        <w:t xml:space="preserve">had </w:t>
      </w:r>
      <w:r w:rsidR="00BC6718" w:rsidRPr="00DF23DE">
        <w:rPr>
          <w:snapToGrid w:val="0"/>
        </w:rPr>
        <w:t>failed to consider the complainant’s allegations of his previous abduction and torture, despite the evident marks on his body</w:t>
      </w:r>
      <w:r w:rsidR="002D511C" w:rsidRPr="00DF23DE">
        <w:rPr>
          <w:snapToGrid w:val="0"/>
        </w:rPr>
        <w:t>,</w:t>
      </w:r>
      <w:r w:rsidR="00BC6718" w:rsidRPr="00DF23DE">
        <w:rPr>
          <w:snapToGrid w:val="0"/>
        </w:rPr>
        <w:t xml:space="preserve"> and </w:t>
      </w:r>
      <w:r w:rsidR="002D511C" w:rsidRPr="00DF23DE">
        <w:rPr>
          <w:snapToGrid w:val="0"/>
        </w:rPr>
        <w:t xml:space="preserve">had </w:t>
      </w:r>
      <w:r w:rsidR="00BC6718" w:rsidRPr="00DF23DE">
        <w:rPr>
          <w:snapToGrid w:val="0"/>
        </w:rPr>
        <w:t xml:space="preserve">ignored his claims </w:t>
      </w:r>
      <w:r w:rsidR="002D511C" w:rsidRPr="00DF23DE">
        <w:rPr>
          <w:snapToGrid w:val="0"/>
        </w:rPr>
        <w:t xml:space="preserve">concerning the fabrication of </w:t>
      </w:r>
      <w:r w:rsidR="00BC6718" w:rsidRPr="00DF23DE">
        <w:rPr>
          <w:snapToGrid w:val="0"/>
        </w:rPr>
        <w:t>criminal charges</w:t>
      </w:r>
      <w:r w:rsidR="002D511C" w:rsidRPr="00DF23DE">
        <w:rPr>
          <w:snapToGrid w:val="0"/>
        </w:rPr>
        <w:t>.</w:t>
      </w:r>
      <w:r w:rsidR="00BC6718" w:rsidRPr="00DF23DE">
        <w:rPr>
          <w:snapToGrid w:val="0"/>
        </w:rPr>
        <w:t xml:space="preserve"> He </w:t>
      </w:r>
      <w:r w:rsidR="002D511C" w:rsidRPr="00DF23DE">
        <w:rPr>
          <w:snapToGrid w:val="0"/>
        </w:rPr>
        <w:t xml:space="preserve">also </w:t>
      </w:r>
      <w:r w:rsidR="00BC6718" w:rsidRPr="00DF23DE">
        <w:rPr>
          <w:snapToGrid w:val="0"/>
        </w:rPr>
        <w:t xml:space="preserve">claimed that the State party </w:t>
      </w:r>
      <w:r w:rsidR="002D511C" w:rsidRPr="00DF23DE">
        <w:rPr>
          <w:snapToGrid w:val="0"/>
        </w:rPr>
        <w:t xml:space="preserve">had </w:t>
      </w:r>
      <w:r w:rsidR="00D32A2D" w:rsidRPr="00DF23DE">
        <w:rPr>
          <w:snapToGrid w:val="0"/>
        </w:rPr>
        <w:t>violated the non-refoul</w:t>
      </w:r>
      <w:r w:rsidR="002D511C" w:rsidRPr="00DF23DE">
        <w:rPr>
          <w:snapToGrid w:val="0"/>
        </w:rPr>
        <w:t>e</w:t>
      </w:r>
      <w:r w:rsidR="00D32A2D" w:rsidRPr="00DF23DE">
        <w:rPr>
          <w:snapToGrid w:val="0"/>
        </w:rPr>
        <w:t xml:space="preserve">ment principle and </w:t>
      </w:r>
      <w:r w:rsidR="002D511C" w:rsidRPr="00DF23DE">
        <w:rPr>
          <w:snapToGrid w:val="0"/>
        </w:rPr>
        <w:t xml:space="preserve">had </w:t>
      </w:r>
      <w:r w:rsidR="00D32A2D" w:rsidRPr="00DF23DE">
        <w:rPr>
          <w:snapToGrid w:val="0"/>
        </w:rPr>
        <w:t>not take</w:t>
      </w:r>
      <w:r w:rsidR="002D511C" w:rsidRPr="00DF23DE">
        <w:rPr>
          <w:snapToGrid w:val="0"/>
        </w:rPr>
        <w:t>n</w:t>
      </w:r>
      <w:r w:rsidR="00D32A2D" w:rsidRPr="00DF23DE">
        <w:rPr>
          <w:snapToGrid w:val="0"/>
        </w:rPr>
        <w:t xml:space="preserve"> into account the practice of human rights violations in Ingushetia</w:t>
      </w:r>
      <w:r w:rsidR="002D511C" w:rsidRPr="00DF23DE">
        <w:rPr>
          <w:snapToGrid w:val="0"/>
        </w:rPr>
        <w:t>,</w:t>
      </w:r>
      <w:r w:rsidR="00D32A2D" w:rsidRPr="00DF23DE">
        <w:rPr>
          <w:snapToGrid w:val="0"/>
        </w:rPr>
        <w:t xml:space="preserve"> when taking </w:t>
      </w:r>
      <w:r w:rsidR="002D511C" w:rsidRPr="00DF23DE">
        <w:rPr>
          <w:snapToGrid w:val="0"/>
        </w:rPr>
        <w:t xml:space="preserve">its </w:t>
      </w:r>
      <w:r w:rsidR="00D32A2D" w:rsidRPr="00DF23DE">
        <w:rPr>
          <w:snapToGrid w:val="0"/>
        </w:rPr>
        <w:t>decision to extradite the complainant.</w:t>
      </w:r>
      <w:r w:rsidR="00E75863" w:rsidRPr="00DF23DE">
        <w:rPr>
          <w:snapToGrid w:val="0"/>
        </w:rPr>
        <w:t xml:space="preserve"> He </w:t>
      </w:r>
      <w:r w:rsidR="002D511C" w:rsidRPr="00DF23DE">
        <w:rPr>
          <w:snapToGrid w:val="0"/>
        </w:rPr>
        <w:t xml:space="preserve">further </w:t>
      </w:r>
      <w:r w:rsidR="00E75863" w:rsidRPr="00DF23DE">
        <w:rPr>
          <w:snapToGrid w:val="0"/>
        </w:rPr>
        <w:t xml:space="preserve">claimed that the State party </w:t>
      </w:r>
      <w:r w:rsidR="002D511C" w:rsidRPr="00DF23DE">
        <w:rPr>
          <w:snapToGrid w:val="0"/>
        </w:rPr>
        <w:t xml:space="preserve">had </w:t>
      </w:r>
      <w:r w:rsidR="00E75863" w:rsidRPr="00DF23DE">
        <w:rPr>
          <w:snapToGrid w:val="0"/>
        </w:rPr>
        <w:t xml:space="preserve">failed to provide arguments to its claims that the complainant would pose a security </w:t>
      </w:r>
      <w:r w:rsidR="00A964C9" w:rsidRPr="00DF23DE">
        <w:rPr>
          <w:snapToGrid w:val="0"/>
        </w:rPr>
        <w:t xml:space="preserve">threat </w:t>
      </w:r>
      <w:r w:rsidR="00D43A58" w:rsidRPr="00DF23DE">
        <w:rPr>
          <w:snapToGrid w:val="0"/>
        </w:rPr>
        <w:t>if released.</w:t>
      </w:r>
      <w:r w:rsidR="00892376" w:rsidRPr="00DF23DE">
        <w:rPr>
          <w:snapToGrid w:val="0"/>
        </w:rPr>
        <w:t xml:space="preserve"> </w:t>
      </w:r>
    </w:p>
    <w:p w14:paraId="1C40A100" w14:textId="77777777" w:rsidR="004309A3" w:rsidRPr="00DF23DE" w:rsidRDefault="00390DD6" w:rsidP="005E4862">
      <w:pPr>
        <w:pStyle w:val="SingleTxtG"/>
        <w:rPr>
          <w:snapToGrid w:val="0"/>
        </w:rPr>
      </w:pPr>
      <w:r w:rsidRPr="00DF23DE">
        <w:rPr>
          <w:snapToGrid w:val="0"/>
        </w:rPr>
        <w:t>9</w:t>
      </w:r>
      <w:r w:rsidR="00025F8E" w:rsidRPr="00DF23DE">
        <w:rPr>
          <w:snapToGrid w:val="0"/>
        </w:rPr>
        <w:t>.5</w:t>
      </w:r>
      <w:r w:rsidR="004309A3" w:rsidRPr="00DF23DE">
        <w:rPr>
          <w:snapToGrid w:val="0"/>
        </w:rPr>
        <w:tab/>
      </w:r>
      <w:r w:rsidR="002D511C" w:rsidRPr="00DF23DE">
        <w:rPr>
          <w:snapToGrid w:val="0"/>
        </w:rPr>
        <w:t xml:space="preserve">The complainant’s counsel added </w:t>
      </w:r>
      <w:r w:rsidR="003C3975" w:rsidRPr="00DF23DE">
        <w:rPr>
          <w:snapToGrid w:val="0"/>
        </w:rPr>
        <w:t xml:space="preserve">that the State party </w:t>
      </w:r>
      <w:r w:rsidR="002D511C" w:rsidRPr="00DF23DE">
        <w:rPr>
          <w:snapToGrid w:val="0"/>
        </w:rPr>
        <w:t xml:space="preserve">had </w:t>
      </w:r>
      <w:r w:rsidR="003C3975" w:rsidRPr="00DF23DE">
        <w:rPr>
          <w:snapToGrid w:val="0"/>
        </w:rPr>
        <w:t xml:space="preserve">not provided any details of how it </w:t>
      </w:r>
      <w:r w:rsidR="00FC2E43" w:rsidRPr="00DF23DE">
        <w:rPr>
          <w:snapToGrid w:val="0"/>
        </w:rPr>
        <w:t>would</w:t>
      </w:r>
      <w:r w:rsidR="003C3975" w:rsidRPr="00DF23DE">
        <w:rPr>
          <w:snapToGrid w:val="0"/>
        </w:rPr>
        <w:t xml:space="preserve"> monitor the complainant’s situation upon his extradition and </w:t>
      </w:r>
      <w:r w:rsidR="004309A3" w:rsidRPr="00DF23DE">
        <w:rPr>
          <w:snapToGrid w:val="0"/>
        </w:rPr>
        <w:t xml:space="preserve">expressed doubts about </w:t>
      </w:r>
      <w:r w:rsidR="002D511C" w:rsidRPr="00DF23DE">
        <w:rPr>
          <w:snapToGrid w:val="0"/>
        </w:rPr>
        <w:t xml:space="preserve">the </w:t>
      </w:r>
      <w:r w:rsidR="004309A3" w:rsidRPr="00DF23DE">
        <w:rPr>
          <w:snapToGrid w:val="0"/>
        </w:rPr>
        <w:t xml:space="preserve">possibility to conduct </w:t>
      </w:r>
      <w:r w:rsidR="00892376" w:rsidRPr="00DF23DE">
        <w:rPr>
          <w:snapToGrid w:val="0"/>
        </w:rPr>
        <w:t>effective</w:t>
      </w:r>
      <w:r w:rsidR="004309A3" w:rsidRPr="00DF23DE">
        <w:rPr>
          <w:snapToGrid w:val="0"/>
        </w:rPr>
        <w:t xml:space="preserve"> monitoring outside </w:t>
      </w:r>
      <w:r w:rsidR="00892376" w:rsidRPr="00DF23DE">
        <w:rPr>
          <w:snapToGrid w:val="0"/>
        </w:rPr>
        <w:t>the State party’s</w:t>
      </w:r>
      <w:r w:rsidR="004309A3" w:rsidRPr="00DF23DE">
        <w:rPr>
          <w:snapToGrid w:val="0"/>
        </w:rPr>
        <w:t xml:space="preserve"> jurisdiction.</w:t>
      </w:r>
      <w:r w:rsidR="003C3975" w:rsidRPr="00DF23DE">
        <w:rPr>
          <w:snapToGrid w:val="0"/>
        </w:rPr>
        <w:t xml:space="preserve"> </w:t>
      </w:r>
    </w:p>
    <w:p w14:paraId="766D363E" w14:textId="77777777" w:rsidR="00892376" w:rsidRPr="00DF23DE" w:rsidRDefault="00390DD6" w:rsidP="005E4862">
      <w:pPr>
        <w:pStyle w:val="SingleTxtG"/>
        <w:rPr>
          <w:snapToGrid w:val="0"/>
        </w:rPr>
      </w:pPr>
      <w:r w:rsidRPr="00DF23DE">
        <w:rPr>
          <w:snapToGrid w:val="0"/>
        </w:rPr>
        <w:lastRenderedPageBreak/>
        <w:t>9</w:t>
      </w:r>
      <w:r w:rsidR="00025F8E" w:rsidRPr="00DF23DE">
        <w:rPr>
          <w:snapToGrid w:val="0"/>
        </w:rPr>
        <w:t>.6</w:t>
      </w:r>
      <w:r w:rsidR="00892376" w:rsidRPr="00DF23DE">
        <w:rPr>
          <w:snapToGrid w:val="0"/>
        </w:rPr>
        <w:tab/>
      </w:r>
      <w:r w:rsidR="002D511C" w:rsidRPr="00DF23DE">
        <w:rPr>
          <w:snapToGrid w:val="0"/>
        </w:rPr>
        <w:t xml:space="preserve">The complainant’s counsel claimed </w:t>
      </w:r>
      <w:r w:rsidR="00892376" w:rsidRPr="00DF23DE">
        <w:rPr>
          <w:snapToGrid w:val="0"/>
        </w:rPr>
        <w:t>that</w:t>
      </w:r>
      <w:r w:rsidR="002D511C" w:rsidRPr="00DF23DE">
        <w:rPr>
          <w:snapToGrid w:val="0"/>
        </w:rPr>
        <w:t>,</w:t>
      </w:r>
      <w:r w:rsidR="00892376" w:rsidRPr="00DF23DE">
        <w:rPr>
          <w:snapToGrid w:val="0"/>
        </w:rPr>
        <w:t xml:space="preserve"> </w:t>
      </w:r>
      <w:r w:rsidR="002D511C" w:rsidRPr="00DF23DE">
        <w:rPr>
          <w:snapToGrid w:val="0"/>
        </w:rPr>
        <w:t xml:space="preserve">by extraditing the complainant, </w:t>
      </w:r>
      <w:r w:rsidR="00892376" w:rsidRPr="00DF23DE">
        <w:rPr>
          <w:snapToGrid w:val="0"/>
        </w:rPr>
        <w:t xml:space="preserve">the State party </w:t>
      </w:r>
      <w:r w:rsidR="002D511C" w:rsidRPr="00DF23DE">
        <w:rPr>
          <w:snapToGrid w:val="0"/>
        </w:rPr>
        <w:t xml:space="preserve">had </w:t>
      </w:r>
      <w:r w:rsidR="00892376" w:rsidRPr="00DF23DE">
        <w:rPr>
          <w:snapToGrid w:val="0"/>
        </w:rPr>
        <w:t xml:space="preserve">violated the Committee’s request for interim </w:t>
      </w:r>
      <w:r w:rsidR="002D511C" w:rsidRPr="00DF23DE">
        <w:rPr>
          <w:snapToGrid w:val="0"/>
        </w:rPr>
        <w:t xml:space="preserve">protection </w:t>
      </w:r>
      <w:r w:rsidR="00892376" w:rsidRPr="00DF23DE">
        <w:rPr>
          <w:snapToGrid w:val="0"/>
        </w:rPr>
        <w:t>measures.</w:t>
      </w:r>
    </w:p>
    <w:p w14:paraId="56C6E008" w14:textId="77777777" w:rsidR="00892376" w:rsidRPr="00DF23DE" w:rsidRDefault="00390DD6" w:rsidP="005E4862">
      <w:pPr>
        <w:pStyle w:val="SingleTxtG"/>
        <w:rPr>
          <w:snapToGrid w:val="0"/>
        </w:rPr>
      </w:pPr>
      <w:r w:rsidRPr="00DF23DE">
        <w:rPr>
          <w:snapToGrid w:val="0"/>
        </w:rPr>
        <w:t>9</w:t>
      </w:r>
      <w:r w:rsidR="00025F8E" w:rsidRPr="00DF23DE">
        <w:rPr>
          <w:snapToGrid w:val="0"/>
        </w:rPr>
        <w:t>.7</w:t>
      </w:r>
      <w:r w:rsidR="00892376" w:rsidRPr="00DF23DE">
        <w:rPr>
          <w:snapToGrid w:val="0"/>
        </w:rPr>
        <w:tab/>
        <w:t xml:space="preserve">On 19 February 2015, the State party contested the </w:t>
      </w:r>
      <w:r w:rsidR="00D55823" w:rsidRPr="00DF23DE">
        <w:rPr>
          <w:snapToGrid w:val="0"/>
        </w:rPr>
        <w:t xml:space="preserve">counsel’s </w:t>
      </w:r>
      <w:r w:rsidR="00892376" w:rsidRPr="00DF23DE">
        <w:rPr>
          <w:snapToGrid w:val="0"/>
        </w:rPr>
        <w:t xml:space="preserve">claim </w:t>
      </w:r>
      <w:r w:rsidR="00D55823" w:rsidRPr="00DF23DE">
        <w:rPr>
          <w:snapToGrid w:val="0"/>
        </w:rPr>
        <w:t xml:space="preserve">about </w:t>
      </w:r>
      <w:r w:rsidR="00A964C9" w:rsidRPr="00DF23DE">
        <w:rPr>
          <w:snapToGrid w:val="0"/>
        </w:rPr>
        <w:t xml:space="preserve">the </w:t>
      </w:r>
      <w:r w:rsidR="00D55823" w:rsidRPr="00DF23DE">
        <w:rPr>
          <w:snapToGrid w:val="0"/>
        </w:rPr>
        <w:t>violati</w:t>
      </w:r>
      <w:r w:rsidR="00A964C9" w:rsidRPr="00DF23DE">
        <w:rPr>
          <w:snapToGrid w:val="0"/>
        </w:rPr>
        <w:t>o</w:t>
      </w:r>
      <w:r w:rsidR="00D55823" w:rsidRPr="00DF23DE">
        <w:rPr>
          <w:snapToGrid w:val="0"/>
        </w:rPr>
        <w:t xml:space="preserve">n </w:t>
      </w:r>
      <w:r w:rsidR="00A964C9" w:rsidRPr="00DF23DE">
        <w:rPr>
          <w:snapToGrid w:val="0"/>
        </w:rPr>
        <w:t xml:space="preserve">of </w:t>
      </w:r>
      <w:r w:rsidR="00D55823" w:rsidRPr="00DF23DE">
        <w:rPr>
          <w:snapToGrid w:val="0"/>
        </w:rPr>
        <w:t>the Committee’s request for interim protection</w:t>
      </w:r>
      <w:r w:rsidR="00AB1033" w:rsidRPr="00DF23DE">
        <w:rPr>
          <w:snapToGrid w:val="0"/>
        </w:rPr>
        <w:t xml:space="preserve"> measures</w:t>
      </w:r>
      <w:r w:rsidR="00D55823" w:rsidRPr="00DF23DE">
        <w:rPr>
          <w:snapToGrid w:val="0"/>
        </w:rPr>
        <w:t xml:space="preserve">. It stated that the complainant’s detention </w:t>
      </w:r>
      <w:r w:rsidR="00AB1033" w:rsidRPr="00DF23DE">
        <w:rPr>
          <w:snapToGrid w:val="0"/>
        </w:rPr>
        <w:t xml:space="preserve">had been </w:t>
      </w:r>
      <w:r w:rsidR="00D55823" w:rsidRPr="00DF23DE">
        <w:rPr>
          <w:snapToGrid w:val="0"/>
        </w:rPr>
        <w:t>extended by the domestic courts up to</w:t>
      </w:r>
      <w:r w:rsidR="00892376" w:rsidRPr="00DF23DE">
        <w:rPr>
          <w:snapToGrid w:val="0"/>
        </w:rPr>
        <w:t xml:space="preserve"> </w:t>
      </w:r>
      <w:r w:rsidR="00D55823" w:rsidRPr="00DF23DE">
        <w:rPr>
          <w:snapToGrid w:val="0"/>
        </w:rPr>
        <w:t xml:space="preserve">the maximum period possible </w:t>
      </w:r>
      <w:r w:rsidR="00A964C9" w:rsidRPr="00DF23DE">
        <w:rPr>
          <w:snapToGrid w:val="0"/>
        </w:rPr>
        <w:t xml:space="preserve">in </w:t>
      </w:r>
      <w:r w:rsidR="00AB1033" w:rsidRPr="00DF23DE">
        <w:rPr>
          <w:snapToGrid w:val="0"/>
        </w:rPr>
        <w:t xml:space="preserve">the </w:t>
      </w:r>
      <w:r w:rsidR="00A964C9" w:rsidRPr="00DF23DE">
        <w:rPr>
          <w:snapToGrid w:val="0"/>
        </w:rPr>
        <w:t xml:space="preserve">light </w:t>
      </w:r>
      <w:r w:rsidR="00D55823" w:rsidRPr="00DF23DE">
        <w:rPr>
          <w:snapToGrid w:val="0"/>
        </w:rPr>
        <w:t>of the Committee’s request</w:t>
      </w:r>
      <w:r w:rsidR="00AB1033" w:rsidRPr="00DF23DE">
        <w:rPr>
          <w:snapToGrid w:val="0"/>
        </w:rPr>
        <w:t>,</w:t>
      </w:r>
      <w:r w:rsidR="00D55823" w:rsidRPr="00DF23DE">
        <w:rPr>
          <w:snapToGrid w:val="0"/>
        </w:rPr>
        <w:t xml:space="preserve"> </w:t>
      </w:r>
      <w:r w:rsidR="00AB1033" w:rsidRPr="00DF23DE">
        <w:rPr>
          <w:snapToGrid w:val="0"/>
        </w:rPr>
        <w:t>and that t</w:t>
      </w:r>
      <w:r w:rsidR="00D55823" w:rsidRPr="00DF23DE">
        <w:rPr>
          <w:snapToGrid w:val="0"/>
        </w:rPr>
        <w:t xml:space="preserve">he complainant </w:t>
      </w:r>
      <w:r w:rsidR="00AB1033" w:rsidRPr="00DF23DE">
        <w:rPr>
          <w:snapToGrid w:val="0"/>
        </w:rPr>
        <w:t xml:space="preserve">had been </w:t>
      </w:r>
      <w:r w:rsidR="00D55823" w:rsidRPr="00DF23DE">
        <w:rPr>
          <w:snapToGrid w:val="0"/>
        </w:rPr>
        <w:t xml:space="preserve">extradited when his detention was no longer </w:t>
      </w:r>
      <w:r w:rsidR="00A964C9" w:rsidRPr="00DF23DE">
        <w:rPr>
          <w:snapToGrid w:val="0"/>
        </w:rPr>
        <w:t xml:space="preserve">possible </w:t>
      </w:r>
      <w:r w:rsidR="00D55823" w:rsidRPr="00DF23DE">
        <w:rPr>
          <w:snapToGrid w:val="0"/>
        </w:rPr>
        <w:t>and in compliance with the State party’s international obligations</w:t>
      </w:r>
      <w:r w:rsidR="00A964C9" w:rsidRPr="00DF23DE">
        <w:rPr>
          <w:snapToGrid w:val="0"/>
        </w:rPr>
        <w:t xml:space="preserve">, including </w:t>
      </w:r>
      <w:r w:rsidR="00D55823" w:rsidRPr="00DF23DE">
        <w:rPr>
          <w:snapToGrid w:val="0"/>
        </w:rPr>
        <w:t>under the Minsk Convention.</w:t>
      </w:r>
    </w:p>
    <w:p w14:paraId="268D8852" w14:textId="77777777" w:rsidR="00CB6AEA" w:rsidRPr="00DF23DE" w:rsidRDefault="007821E7" w:rsidP="00240CD4">
      <w:pPr>
        <w:pStyle w:val="H23G"/>
        <w:rPr>
          <w:rFonts w:eastAsia="Cambria"/>
          <w:snapToGrid w:val="0"/>
        </w:rPr>
      </w:pPr>
      <w:r w:rsidRPr="00DF23DE">
        <w:rPr>
          <w:snapToGrid w:val="0"/>
        </w:rPr>
        <w:tab/>
      </w:r>
      <w:r w:rsidRPr="00DF23DE">
        <w:rPr>
          <w:snapToGrid w:val="0"/>
        </w:rPr>
        <w:tab/>
      </w:r>
      <w:r w:rsidR="00CB6AEA" w:rsidRPr="00DF23DE">
        <w:rPr>
          <w:rFonts w:eastAsia="Cambria"/>
          <w:snapToGrid w:val="0"/>
        </w:rPr>
        <w:t>Issues and proceedings before the Committee</w:t>
      </w:r>
    </w:p>
    <w:p w14:paraId="1EB37D78" w14:textId="77777777" w:rsidR="00A7036F" w:rsidRPr="005E4862" w:rsidRDefault="00D91B02" w:rsidP="005E4862">
      <w:pPr>
        <w:pStyle w:val="H4G"/>
        <w:rPr>
          <w:i w:val="0"/>
        </w:rPr>
      </w:pPr>
      <w:r w:rsidRPr="00DF23DE">
        <w:tab/>
      </w:r>
      <w:r w:rsidRPr="00DF23DE">
        <w:tab/>
      </w:r>
      <w:r w:rsidR="00A7036F" w:rsidRPr="00DF23DE">
        <w:t>The State party’s failure to cooperate and to respect the Committee’s request for interim measures</w:t>
      </w:r>
      <w:r w:rsidR="00FA4CC8" w:rsidRPr="00DF23DE">
        <w:t xml:space="preserve"> </w:t>
      </w:r>
      <w:r w:rsidR="00A7036F" w:rsidRPr="00DF23DE">
        <w:t>pursuant to rule 114 of its rules of procedures</w:t>
      </w:r>
      <w:r w:rsidRPr="00DF23DE">
        <w:t>.</w:t>
      </w:r>
    </w:p>
    <w:p w14:paraId="66E1299A" w14:textId="77777777" w:rsidR="00A7036F" w:rsidRPr="005E4862" w:rsidRDefault="00390DD6" w:rsidP="006945DC">
      <w:pPr>
        <w:pStyle w:val="SingleTxtG"/>
        <w:rPr>
          <w:snapToGrid w:val="0"/>
        </w:rPr>
      </w:pPr>
      <w:r w:rsidRPr="00DF23DE">
        <w:t>10</w:t>
      </w:r>
      <w:r w:rsidR="00A7036F" w:rsidRPr="00DF23DE">
        <w:t>.1</w:t>
      </w:r>
      <w:r w:rsidR="00A7036F" w:rsidRPr="00DF23DE">
        <w:tab/>
        <w:t>The Committee notes that the adoption of interim measures pursuant to rule 114 of its rules of procedure, in accordance with article 22 of the Convention, is vital to the role entrusted to the Committee under that article. Failure to respect</w:t>
      </w:r>
      <w:r w:rsidRPr="00DF23DE">
        <w:t xml:space="preserve"> </w:t>
      </w:r>
      <w:r w:rsidR="006945DC" w:rsidRPr="00DF23DE">
        <w:t>that provision</w:t>
      </w:r>
      <w:r w:rsidR="00A7036F" w:rsidRPr="00DF23DE">
        <w:t>, in particular through such irreparable action as extraditing an alleged victim, undermines the protection of the rights enshrined in the Convention.</w:t>
      </w:r>
      <w:r w:rsidR="00AC1F8D" w:rsidRPr="00DF23DE">
        <w:rPr>
          <w:rStyle w:val="FootnoteReference"/>
        </w:rPr>
        <w:footnoteReference w:id="5"/>
      </w:r>
      <w:r w:rsidR="00A7036F" w:rsidRPr="00DF23DE">
        <w:t xml:space="preserve"> </w:t>
      </w:r>
    </w:p>
    <w:p w14:paraId="6705DDF2" w14:textId="77777777" w:rsidR="003D4DE7" w:rsidRPr="00DF23DE" w:rsidRDefault="00857A8A" w:rsidP="006945DC">
      <w:pPr>
        <w:pStyle w:val="SingleTxtG"/>
      </w:pPr>
      <w:r w:rsidRPr="00DF23DE">
        <w:t>10</w:t>
      </w:r>
      <w:r w:rsidR="00A7036F" w:rsidRPr="00DF23DE">
        <w:t>.2</w:t>
      </w:r>
      <w:r w:rsidR="00A7036F" w:rsidRPr="00DF23DE">
        <w:tab/>
        <w:t xml:space="preserve">The Committee observes that any State party </w:t>
      </w:r>
      <w:r w:rsidR="006945DC" w:rsidRPr="00DF23DE">
        <w:t xml:space="preserve">that has made a </w:t>
      </w:r>
      <w:r w:rsidR="00A7036F" w:rsidRPr="00DF23DE">
        <w:t>declaration under article 22</w:t>
      </w:r>
      <w:r w:rsidR="006945DC" w:rsidRPr="00DF23DE">
        <w:t> (1)</w:t>
      </w:r>
      <w:r w:rsidR="00A7036F" w:rsidRPr="00DF23DE">
        <w:t xml:space="preserve"> of the Convention recognizes the competence of the Committee to receive and consider complaints from individuals who claim to be victims of violations of the provisions of the Convention. By making </w:t>
      </w:r>
      <w:r w:rsidR="006945DC" w:rsidRPr="00DF23DE">
        <w:t xml:space="preserve">such a </w:t>
      </w:r>
      <w:r w:rsidR="00A7036F" w:rsidRPr="00DF23DE">
        <w:t xml:space="preserve">declaration, States parties implicitly </w:t>
      </w:r>
      <w:r w:rsidR="006945DC" w:rsidRPr="00DF23DE">
        <w:t xml:space="preserve">undertake </w:t>
      </w:r>
      <w:r w:rsidR="00A7036F" w:rsidRPr="00DF23DE">
        <w:t xml:space="preserve">to cooperate with the Committee in good faith by providing it with the means to examine the complaints submitted to it and, after such examination, to communicate its comments to the State party and the complainant. </w:t>
      </w:r>
      <w:r w:rsidR="006945DC" w:rsidRPr="00DF23DE">
        <w:t>By failing to respect the request for interim measures transmitted to the State party on 28 June 2013, and reiterated on three occasions, the State party seriously failed in its obligations under article 22 of the Convention because it prevented the Committee from fully examining a complaint relating to a violation of the Convention, rendering the action by the Committee futile and its findings without effect.</w:t>
      </w:r>
    </w:p>
    <w:p w14:paraId="6720876B" w14:textId="77777777" w:rsidR="006C386B" w:rsidRPr="00DF23DE" w:rsidRDefault="00857A8A" w:rsidP="006945DC">
      <w:pPr>
        <w:pStyle w:val="SingleTxtG"/>
      </w:pPr>
      <w:r w:rsidRPr="00DF23DE">
        <w:t>10</w:t>
      </w:r>
      <w:r w:rsidR="003D4DE7" w:rsidRPr="00DF23DE">
        <w:t>.3</w:t>
      </w:r>
      <w:r w:rsidR="003D4DE7" w:rsidRPr="00DF23DE">
        <w:tab/>
      </w:r>
      <w:r w:rsidR="006C386B" w:rsidRPr="00DF23DE">
        <w:t xml:space="preserve">The Committee takes note of the State party’s argument, </w:t>
      </w:r>
      <w:r w:rsidR="006945DC" w:rsidRPr="00DF23DE">
        <w:t xml:space="preserve">in accordance with </w:t>
      </w:r>
      <w:r w:rsidR="006C386B" w:rsidRPr="00DF23DE">
        <w:t xml:space="preserve">its submission of 7 March 2014 and its subsequent submissions, that the </w:t>
      </w:r>
      <w:r w:rsidR="006945DC" w:rsidRPr="00DF23DE">
        <w:t xml:space="preserve">maximum period in which it could hold </w:t>
      </w:r>
      <w:r w:rsidR="00A964C9" w:rsidRPr="00DF23DE">
        <w:t xml:space="preserve">the </w:t>
      </w:r>
      <w:r w:rsidR="006C386B" w:rsidRPr="00DF23DE">
        <w:t>complainant</w:t>
      </w:r>
      <w:r w:rsidR="00A964C9" w:rsidRPr="00DF23DE">
        <w:t xml:space="preserve"> in extradition </w:t>
      </w:r>
      <w:r w:rsidR="006C386B" w:rsidRPr="00DF23DE">
        <w:t>detention expire</w:t>
      </w:r>
      <w:r w:rsidR="007C3033" w:rsidRPr="00DF23DE">
        <w:t>d</w:t>
      </w:r>
      <w:r w:rsidR="006C386B" w:rsidRPr="00DF23DE">
        <w:t xml:space="preserve"> on 26 April 2014 and that, under domestic l</w:t>
      </w:r>
      <w:r w:rsidR="00A964C9" w:rsidRPr="00DF23DE">
        <w:t>aw</w:t>
      </w:r>
      <w:r w:rsidR="006C386B" w:rsidRPr="00DF23DE">
        <w:t xml:space="preserve">, </w:t>
      </w:r>
      <w:r w:rsidR="00A964C9" w:rsidRPr="00DF23DE">
        <w:t xml:space="preserve">on this date </w:t>
      </w:r>
      <w:r w:rsidR="006C386B" w:rsidRPr="00DF23DE">
        <w:t xml:space="preserve">the complainant should </w:t>
      </w:r>
      <w:r w:rsidR="00A964C9" w:rsidRPr="00DF23DE">
        <w:t xml:space="preserve">either </w:t>
      </w:r>
      <w:r w:rsidR="007C3033" w:rsidRPr="00DF23DE">
        <w:t xml:space="preserve">have </w:t>
      </w:r>
      <w:r w:rsidR="006C386B" w:rsidRPr="00DF23DE">
        <w:t>be</w:t>
      </w:r>
      <w:r w:rsidR="007C3033" w:rsidRPr="00DF23DE">
        <w:t>en</w:t>
      </w:r>
      <w:r w:rsidR="006C386B" w:rsidRPr="00DF23DE">
        <w:t xml:space="preserve"> released </w:t>
      </w:r>
      <w:r w:rsidR="00A964C9" w:rsidRPr="00DF23DE">
        <w:t>or extradited, and that</w:t>
      </w:r>
      <w:r w:rsidR="006945DC" w:rsidRPr="00DF23DE">
        <w:t>,</w:t>
      </w:r>
      <w:r w:rsidR="00A964C9" w:rsidRPr="00DF23DE">
        <w:t xml:space="preserve"> </w:t>
      </w:r>
      <w:r w:rsidR="006C386B" w:rsidRPr="00DF23DE">
        <w:t xml:space="preserve">if released, he would </w:t>
      </w:r>
      <w:r w:rsidR="007C3033" w:rsidRPr="00DF23DE">
        <w:t xml:space="preserve">have </w:t>
      </w:r>
      <w:r w:rsidR="006C386B" w:rsidRPr="00DF23DE">
        <w:t>pose</w:t>
      </w:r>
      <w:r w:rsidR="007C3033" w:rsidRPr="00DF23DE">
        <w:t>d</w:t>
      </w:r>
      <w:r w:rsidR="006C386B" w:rsidRPr="00DF23DE">
        <w:t xml:space="preserve"> a threat to </w:t>
      </w:r>
      <w:r w:rsidR="00A964C9" w:rsidRPr="00DF23DE">
        <w:t xml:space="preserve">the </w:t>
      </w:r>
      <w:r w:rsidR="006C386B" w:rsidRPr="00DF23DE">
        <w:t xml:space="preserve">national security. Therefore, a decision was taken to extradite the complainant to the Russian Federation in accordance with the existing mutual assistance treaty. </w:t>
      </w:r>
      <w:r w:rsidR="000006A4" w:rsidRPr="00DF23DE">
        <w:t>T</w:t>
      </w:r>
      <w:r w:rsidR="006C386B" w:rsidRPr="00DF23DE">
        <w:t xml:space="preserve">he Committee recalls that the </w:t>
      </w:r>
      <w:r w:rsidR="00AF67D6" w:rsidRPr="00DF23DE">
        <w:t>non-refoulement principle</w:t>
      </w:r>
      <w:r w:rsidR="000006A4" w:rsidRPr="00DF23DE">
        <w:t xml:space="preserve"> codified</w:t>
      </w:r>
      <w:r w:rsidR="00AF67D6" w:rsidRPr="00DF23DE">
        <w:t xml:space="preserve"> in article 3 of the Convention </w:t>
      </w:r>
      <w:r w:rsidR="001818E0" w:rsidRPr="00DF23DE">
        <w:t>is absolute</w:t>
      </w:r>
      <w:r w:rsidR="0071573F" w:rsidRPr="00DF23DE">
        <w:t>.</w:t>
      </w:r>
      <w:r w:rsidR="00AF67D6" w:rsidRPr="00DF23DE">
        <w:rPr>
          <w:rStyle w:val="FootnoteReference"/>
        </w:rPr>
        <w:footnoteReference w:id="6"/>
      </w:r>
      <w:r w:rsidR="000006A4" w:rsidRPr="00DF23DE">
        <w:t xml:space="preserve"> </w:t>
      </w:r>
      <w:r w:rsidR="0071573F" w:rsidRPr="00DF23DE">
        <w:t>T</w:t>
      </w:r>
      <w:r w:rsidR="00E16D5D" w:rsidRPr="00DF23DE">
        <w:t>he Committee refers to article 27 of the Vienna Convention on the Law of Treaties, according to which a party may not invoke the provisions of its internal law as justification for its failure to perform a treaty.</w:t>
      </w:r>
      <w:r w:rsidR="009A414A" w:rsidRPr="00DF23DE">
        <w:t xml:space="preserve"> </w:t>
      </w:r>
    </w:p>
    <w:p w14:paraId="65F81366" w14:textId="77777777" w:rsidR="00C31926" w:rsidRPr="00DF23DE" w:rsidRDefault="00240CD4" w:rsidP="00240CD4">
      <w:pPr>
        <w:pStyle w:val="H4G"/>
        <w:rPr>
          <w:rFonts w:eastAsia="Cambria"/>
          <w:snapToGrid w:val="0"/>
        </w:rPr>
      </w:pPr>
      <w:r w:rsidRPr="00DF23DE">
        <w:rPr>
          <w:rFonts w:eastAsia="Cambria"/>
          <w:snapToGrid w:val="0"/>
        </w:rPr>
        <w:tab/>
      </w:r>
      <w:r w:rsidRPr="00DF23DE">
        <w:rPr>
          <w:rFonts w:eastAsia="Cambria"/>
          <w:snapToGrid w:val="0"/>
        </w:rPr>
        <w:tab/>
      </w:r>
      <w:r w:rsidR="00C31926" w:rsidRPr="00DF23DE">
        <w:rPr>
          <w:rFonts w:eastAsia="Calibri"/>
          <w:kern w:val="3"/>
          <w:lang w:eastAsia="zh-CN"/>
        </w:rPr>
        <w:t>Consideration of admissibility</w:t>
      </w:r>
      <w:r w:rsidR="00C31926" w:rsidRPr="00DF23DE">
        <w:rPr>
          <w:rFonts w:eastAsia="Cambria"/>
          <w:snapToGrid w:val="0"/>
        </w:rPr>
        <w:t xml:space="preserve"> </w:t>
      </w:r>
    </w:p>
    <w:p w14:paraId="790D0FBC" w14:textId="77777777" w:rsidR="00C31926" w:rsidRPr="00DF23DE" w:rsidRDefault="00857A8A" w:rsidP="00FF6EB6">
      <w:pPr>
        <w:pStyle w:val="SingleTxtG"/>
        <w:rPr>
          <w:lang w:eastAsia="zh-CN"/>
        </w:rPr>
      </w:pPr>
      <w:r w:rsidRPr="00DF23DE">
        <w:rPr>
          <w:rFonts w:eastAsia="Cambria"/>
          <w:snapToGrid w:val="0"/>
        </w:rPr>
        <w:t>11</w:t>
      </w:r>
      <w:r w:rsidR="00C31926" w:rsidRPr="00DF23DE">
        <w:rPr>
          <w:rFonts w:eastAsia="Cambria"/>
          <w:snapToGrid w:val="0"/>
        </w:rPr>
        <w:t>.1</w:t>
      </w:r>
      <w:r w:rsidR="00C31926" w:rsidRPr="00DF23DE">
        <w:rPr>
          <w:rFonts w:eastAsia="Cambria"/>
          <w:i/>
          <w:snapToGrid w:val="0"/>
        </w:rPr>
        <w:tab/>
      </w:r>
      <w:r w:rsidR="00C31926" w:rsidRPr="00DF23DE">
        <w:rPr>
          <w:lang w:eastAsia="zh-CN"/>
        </w:rPr>
        <w:t xml:space="preserve">Before considering any complaint submitted in a communication, the Committee against Torture must decide whether or not it is admissible under article 22 of the </w:t>
      </w:r>
      <w:r w:rsidR="00C31926" w:rsidRPr="00DF23DE">
        <w:rPr>
          <w:lang w:eastAsia="zh-CN"/>
        </w:rPr>
        <w:lastRenderedPageBreak/>
        <w:t>Convention. The Committee has ascertained, as it is required to do under article 22</w:t>
      </w:r>
      <w:r w:rsidR="00FF6EB6" w:rsidRPr="00DF23DE">
        <w:rPr>
          <w:lang w:eastAsia="zh-CN"/>
        </w:rPr>
        <w:t xml:space="preserve"> (5) (a)</w:t>
      </w:r>
      <w:r w:rsidR="00C31926" w:rsidRPr="00DF23DE">
        <w:rPr>
          <w:lang w:eastAsia="zh-CN"/>
        </w:rPr>
        <w:t xml:space="preserve"> of the Convention, that the same matter has not been and is not being examined under another procedure of international investigation or settlement. </w:t>
      </w:r>
    </w:p>
    <w:p w14:paraId="05219DC8" w14:textId="77777777" w:rsidR="00964A81" w:rsidRPr="00DF23DE" w:rsidRDefault="00857A8A" w:rsidP="00C31926">
      <w:pPr>
        <w:pStyle w:val="SingleTxtG"/>
        <w:rPr>
          <w:lang w:eastAsia="zh-CN"/>
        </w:rPr>
      </w:pPr>
      <w:r w:rsidRPr="00DF23DE">
        <w:rPr>
          <w:lang w:eastAsia="zh-CN"/>
        </w:rPr>
        <w:t>11</w:t>
      </w:r>
      <w:r w:rsidR="00964A81" w:rsidRPr="00DF23DE">
        <w:rPr>
          <w:lang w:eastAsia="zh-CN"/>
        </w:rPr>
        <w:t>.2</w:t>
      </w:r>
      <w:r w:rsidR="00964A81" w:rsidRPr="00DF23DE">
        <w:rPr>
          <w:lang w:eastAsia="zh-CN"/>
        </w:rPr>
        <w:tab/>
        <w:t xml:space="preserve">The Committee notes that the complainant does not provide any information concerning </w:t>
      </w:r>
      <w:r w:rsidR="00FF6EB6" w:rsidRPr="00DF23DE">
        <w:rPr>
          <w:lang w:eastAsia="zh-CN"/>
        </w:rPr>
        <w:t xml:space="preserve">an </w:t>
      </w:r>
      <w:r w:rsidR="00964A81" w:rsidRPr="00DF23DE">
        <w:rPr>
          <w:lang w:eastAsia="zh-CN"/>
        </w:rPr>
        <w:t xml:space="preserve">alleged violation of articles 6 and 7 of the Convention. The Committee therefore finds that his claims under these two articles are not sufficiently substantiated for the purpose of admissibility. </w:t>
      </w:r>
    </w:p>
    <w:p w14:paraId="75AEA625" w14:textId="77777777" w:rsidR="00C31926" w:rsidRPr="00DF23DE" w:rsidRDefault="00857A8A" w:rsidP="00FF6EB6">
      <w:pPr>
        <w:pStyle w:val="SingleTxtG"/>
        <w:rPr>
          <w:rFonts w:eastAsia="Cambria"/>
          <w:i/>
          <w:snapToGrid w:val="0"/>
        </w:rPr>
      </w:pPr>
      <w:r w:rsidRPr="00DF23DE">
        <w:rPr>
          <w:lang w:eastAsia="zh-CN"/>
        </w:rPr>
        <w:t>11</w:t>
      </w:r>
      <w:r w:rsidR="00C31926" w:rsidRPr="00DF23DE">
        <w:rPr>
          <w:lang w:eastAsia="zh-CN"/>
        </w:rPr>
        <w:t>.</w:t>
      </w:r>
      <w:r w:rsidR="00964A81" w:rsidRPr="00DF23DE">
        <w:rPr>
          <w:lang w:eastAsia="zh-CN"/>
        </w:rPr>
        <w:t>3</w:t>
      </w:r>
      <w:r w:rsidR="00C31926" w:rsidRPr="00DF23DE">
        <w:rPr>
          <w:lang w:eastAsia="zh-CN"/>
        </w:rPr>
        <w:t xml:space="preserve"> </w:t>
      </w:r>
      <w:r w:rsidR="00C31926" w:rsidRPr="00DF23DE">
        <w:rPr>
          <w:lang w:eastAsia="zh-CN"/>
        </w:rPr>
        <w:tab/>
      </w:r>
      <w:r w:rsidR="009668CA" w:rsidRPr="00DF23DE">
        <w:rPr>
          <w:lang w:eastAsia="zh-CN"/>
        </w:rPr>
        <w:t xml:space="preserve">As to the complainant’s </w:t>
      </w:r>
      <w:r w:rsidR="00264EB1" w:rsidRPr="00DF23DE">
        <w:rPr>
          <w:lang w:eastAsia="zh-CN"/>
        </w:rPr>
        <w:t xml:space="preserve">remaining </w:t>
      </w:r>
      <w:r w:rsidR="009668CA" w:rsidRPr="00DF23DE">
        <w:rPr>
          <w:lang w:eastAsia="zh-CN"/>
        </w:rPr>
        <w:t>claims under article 3 of the Convention, t</w:t>
      </w:r>
      <w:r w:rsidR="00C31926" w:rsidRPr="00DF23DE">
        <w:t xml:space="preserve">he Committee recalls that, in accordance with article 22 </w:t>
      </w:r>
      <w:r w:rsidR="00FF6EB6" w:rsidRPr="00DF23DE">
        <w:t>(</w:t>
      </w:r>
      <w:r w:rsidR="00C31926" w:rsidRPr="00DF23DE">
        <w:t>5</w:t>
      </w:r>
      <w:r w:rsidR="00FF6EB6" w:rsidRPr="00DF23DE">
        <w:t>)</w:t>
      </w:r>
      <w:r w:rsidR="00061F70" w:rsidRPr="00DF23DE">
        <w:t xml:space="preserve"> </w:t>
      </w:r>
      <w:r w:rsidR="00C31926" w:rsidRPr="00DF23DE">
        <w:t>(b) of the Convention, it shall not consider any communication from an individual unless it has ascertained that the individual has exhausted all available domestic remedies. The Committee notes that</w:t>
      </w:r>
      <w:r w:rsidR="00FF6EB6" w:rsidRPr="00DF23DE">
        <w:t>,</w:t>
      </w:r>
      <w:r w:rsidR="00C31926" w:rsidRPr="00DF23DE">
        <w:t xml:space="preserve"> in the </w:t>
      </w:r>
      <w:r w:rsidR="00FF6EB6" w:rsidRPr="00DF23DE">
        <w:t xml:space="preserve">present </w:t>
      </w:r>
      <w:r w:rsidR="00C31926" w:rsidRPr="00DF23DE">
        <w:t>case</w:t>
      </w:r>
      <w:r w:rsidR="00B0741E" w:rsidRPr="00DF23DE">
        <w:t>,</w:t>
      </w:r>
      <w:r w:rsidR="00C31926" w:rsidRPr="00DF23DE">
        <w:t xml:space="preserve"> the State party </w:t>
      </w:r>
      <w:r w:rsidR="00EE3A5A" w:rsidRPr="00DF23DE">
        <w:t xml:space="preserve">claims that the complainant has not appealed the refusal of the </w:t>
      </w:r>
      <w:r w:rsidR="00863C85" w:rsidRPr="00DF23DE">
        <w:rPr>
          <w:snapToGrid w:val="0"/>
        </w:rPr>
        <w:t xml:space="preserve">Immigration </w:t>
      </w:r>
      <w:r w:rsidR="00EE3A5A" w:rsidRPr="00DF23DE">
        <w:t xml:space="preserve">Police Service to consider his </w:t>
      </w:r>
      <w:r w:rsidR="00FF6EB6" w:rsidRPr="00DF23DE">
        <w:t xml:space="preserve">five </w:t>
      </w:r>
      <w:r w:rsidR="00EE3A5A" w:rsidRPr="00DF23DE">
        <w:t xml:space="preserve">asylum requests on </w:t>
      </w:r>
      <w:r w:rsidR="00FF6EB6" w:rsidRPr="00DF23DE">
        <w:t xml:space="preserve">the </w:t>
      </w:r>
      <w:r w:rsidR="00EE3A5A" w:rsidRPr="00DF23DE">
        <w:t xml:space="preserve">merits. </w:t>
      </w:r>
      <w:r w:rsidR="00FF6EB6" w:rsidRPr="00DF23DE">
        <w:t xml:space="preserve">It also </w:t>
      </w:r>
      <w:r w:rsidR="00EE3A5A" w:rsidRPr="00DF23DE">
        <w:t xml:space="preserve">notes the complainant’s allegations that such </w:t>
      </w:r>
      <w:r w:rsidR="00FF6EB6" w:rsidRPr="00DF23DE">
        <w:t xml:space="preserve">an </w:t>
      </w:r>
      <w:r w:rsidR="00EE3A5A" w:rsidRPr="00DF23DE">
        <w:t xml:space="preserve">appeal would not be effective as it would not suspend his extradition. </w:t>
      </w:r>
      <w:r w:rsidR="00D07338" w:rsidRPr="00DF23DE">
        <w:t xml:space="preserve">It </w:t>
      </w:r>
      <w:r w:rsidR="00FF6EB6" w:rsidRPr="00DF23DE">
        <w:t xml:space="preserve">further </w:t>
      </w:r>
      <w:r w:rsidR="00D07338" w:rsidRPr="00DF23DE">
        <w:t xml:space="preserve">notes that the complainant was extradited while the judicial proceedings on the appeal in his asylum case were ongoing. </w:t>
      </w:r>
      <w:r w:rsidR="00EE3A5A" w:rsidRPr="00DF23DE">
        <w:t xml:space="preserve">In </w:t>
      </w:r>
      <w:r w:rsidR="00FF6EB6" w:rsidRPr="00DF23DE">
        <w:t xml:space="preserve">the </w:t>
      </w:r>
      <w:r w:rsidR="00D07338" w:rsidRPr="00DF23DE">
        <w:t>light</w:t>
      </w:r>
      <w:r w:rsidR="00FF6EB6" w:rsidRPr="00DF23DE">
        <w:t xml:space="preserve"> of this</w:t>
      </w:r>
      <w:r w:rsidR="00EE3A5A" w:rsidRPr="00DF23DE">
        <w:t xml:space="preserve">, the Committee concludes that </w:t>
      </w:r>
      <w:r w:rsidR="00264EB1" w:rsidRPr="00DF23DE">
        <w:t>it is not precluded, for purposes of admissibility, by article 22</w:t>
      </w:r>
      <w:r w:rsidR="00FF6EB6" w:rsidRPr="00DF23DE">
        <w:t> (</w:t>
      </w:r>
      <w:r w:rsidR="00264EB1" w:rsidRPr="00DF23DE">
        <w:t>5</w:t>
      </w:r>
      <w:r w:rsidR="00FF6EB6" w:rsidRPr="00DF23DE">
        <w:t>) </w:t>
      </w:r>
      <w:r w:rsidR="00264EB1" w:rsidRPr="00DF23DE">
        <w:t xml:space="preserve">(b) from examining the present case. </w:t>
      </w:r>
      <w:r w:rsidR="00C31926" w:rsidRPr="00DF23DE">
        <w:t>As the Committee finds no further obstacles to admissibility, it declares the communication</w:t>
      </w:r>
      <w:r w:rsidR="009668CA" w:rsidRPr="00DF23DE">
        <w:t xml:space="preserve"> submitted under article 3 of the Convention</w:t>
      </w:r>
      <w:r w:rsidR="00C31926" w:rsidRPr="00DF23DE">
        <w:t xml:space="preserve"> admissible</w:t>
      </w:r>
      <w:r w:rsidR="00213695" w:rsidRPr="00DF23DE">
        <w:t xml:space="preserve"> and proceeds with its examination on the merits</w:t>
      </w:r>
      <w:r w:rsidR="00C31926" w:rsidRPr="00DF23DE">
        <w:t>.</w:t>
      </w:r>
    </w:p>
    <w:p w14:paraId="4828C4E3" w14:textId="77777777" w:rsidR="00CB6AEA" w:rsidRPr="005E4862" w:rsidRDefault="009227F4" w:rsidP="005E4862">
      <w:pPr>
        <w:pStyle w:val="H4G"/>
        <w:rPr>
          <w:rFonts w:eastAsia="Cambria"/>
        </w:rPr>
      </w:pPr>
      <w:r w:rsidRPr="00DF23DE">
        <w:rPr>
          <w:rFonts w:eastAsia="Cambria"/>
          <w:snapToGrid w:val="0"/>
        </w:rPr>
        <w:tab/>
      </w:r>
      <w:r w:rsidRPr="00DF23DE">
        <w:rPr>
          <w:rFonts w:eastAsia="Cambria"/>
          <w:snapToGrid w:val="0"/>
        </w:rPr>
        <w:tab/>
      </w:r>
      <w:r w:rsidR="00CB6AEA" w:rsidRPr="00DF23DE">
        <w:rPr>
          <w:rFonts w:eastAsia="Cambria"/>
          <w:snapToGrid w:val="0"/>
        </w:rPr>
        <w:t>Consideration of the merits</w:t>
      </w:r>
    </w:p>
    <w:p w14:paraId="5F162496" w14:textId="77777777" w:rsidR="00CB6AEA" w:rsidRPr="005E4862" w:rsidRDefault="00964A81" w:rsidP="00BB5BCD">
      <w:pPr>
        <w:pStyle w:val="SingleTxtG"/>
        <w:rPr>
          <w:rFonts w:eastAsia="Cambria"/>
        </w:rPr>
      </w:pPr>
      <w:r w:rsidRPr="00DF23DE">
        <w:rPr>
          <w:rFonts w:eastAsia="Cambria"/>
          <w:snapToGrid w:val="0"/>
        </w:rPr>
        <w:t>1</w:t>
      </w:r>
      <w:r w:rsidR="00857A8A" w:rsidRPr="00DF23DE">
        <w:rPr>
          <w:rFonts w:eastAsia="Cambria"/>
          <w:snapToGrid w:val="0"/>
        </w:rPr>
        <w:t>2</w:t>
      </w:r>
      <w:r w:rsidR="00CB6AEA" w:rsidRPr="00DF23DE">
        <w:rPr>
          <w:rFonts w:eastAsia="Cambria"/>
          <w:snapToGrid w:val="0"/>
        </w:rPr>
        <w:t>.1</w:t>
      </w:r>
      <w:r w:rsidR="00CB6AEA" w:rsidRPr="00DF23DE">
        <w:rPr>
          <w:rFonts w:eastAsia="Cambria"/>
          <w:snapToGrid w:val="0"/>
        </w:rPr>
        <w:tab/>
        <w:t>The Committee has considered the communication in the light of all the information made available to it by the parties</w:t>
      </w:r>
      <w:r w:rsidR="00BB5BCD" w:rsidRPr="00DF23DE">
        <w:rPr>
          <w:rFonts w:eastAsia="Cambria"/>
          <w:snapToGrid w:val="0"/>
        </w:rPr>
        <w:t xml:space="preserve"> concerned</w:t>
      </w:r>
      <w:r w:rsidR="00CB6AEA" w:rsidRPr="00DF23DE">
        <w:rPr>
          <w:rFonts w:eastAsia="Cambria"/>
          <w:snapToGrid w:val="0"/>
        </w:rPr>
        <w:t>, in accordance with article 22</w:t>
      </w:r>
      <w:r w:rsidR="007C3033" w:rsidRPr="00DF23DE">
        <w:rPr>
          <w:rFonts w:eastAsia="Cambria"/>
          <w:snapToGrid w:val="0"/>
        </w:rPr>
        <w:t xml:space="preserve"> (</w:t>
      </w:r>
      <w:r w:rsidR="00CB6AEA" w:rsidRPr="00DF23DE">
        <w:rPr>
          <w:rFonts w:eastAsia="Cambria"/>
          <w:snapToGrid w:val="0"/>
        </w:rPr>
        <w:t>4</w:t>
      </w:r>
      <w:r w:rsidR="007C3033" w:rsidRPr="00DF23DE">
        <w:rPr>
          <w:rFonts w:eastAsia="Cambria"/>
          <w:snapToGrid w:val="0"/>
        </w:rPr>
        <w:t>)</w:t>
      </w:r>
      <w:r w:rsidR="00CB6AEA" w:rsidRPr="00DF23DE">
        <w:rPr>
          <w:rFonts w:eastAsia="Cambria"/>
          <w:snapToGrid w:val="0"/>
        </w:rPr>
        <w:t xml:space="preserve"> of the Convention.</w:t>
      </w:r>
    </w:p>
    <w:p w14:paraId="6F866C73" w14:textId="77777777" w:rsidR="00CB6AEA" w:rsidRPr="00DF23DE" w:rsidRDefault="00964A81" w:rsidP="00BB5BCD">
      <w:pPr>
        <w:pStyle w:val="SingleTxtG"/>
      </w:pPr>
      <w:r w:rsidRPr="005E4862">
        <w:rPr>
          <w:rFonts w:eastAsia="Cambria"/>
        </w:rPr>
        <w:t>1</w:t>
      </w:r>
      <w:r w:rsidR="00857A8A" w:rsidRPr="005E4862">
        <w:rPr>
          <w:rFonts w:eastAsia="Cambria"/>
        </w:rPr>
        <w:t>2</w:t>
      </w:r>
      <w:r w:rsidR="00CB6AEA" w:rsidRPr="00DF23DE">
        <w:rPr>
          <w:rFonts w:eastAsia="Cambria"/>
        </w:rPr>
        <w:t>.2</w:t>
      </w:r>
      <w:r w:rsidR="00CB6AEA" w:rsidRPr="00DF23DE">
        <w:rPr>
          <w:rFonts w:eastAsia="Cambria"/>
        </w:rPr>
        <w:tab/>
      </w:r>
      <w:r w:rsidR="00BB5BCD" w:rsidRPr="00DF23DE">
        <w:t xml:space="preserve">The issue before the Committee is </w:t>
      </w:r>
      <w:r w:rsidR="00CB6AEA" w:rsidRPr="00DF23DE">
        <w:rPr>
          <w:rFonts w:eastAsia="Cambria"/>
        </w:rPr>
        <w:t xml:space="preserve">whether the </w:t>
      </w:r>
      <w:r w:rsidR="008A726F" w:rsidRPr="00DF23DE">
        <w:rPr>
          <w:rFonts w:eastAsia="Cambria"/>
        </w:rPr>
        <w:t>extradition</w:t>
      </w:r>
      <w:r w:rsidR="00CB6AEA" w:rsidRPr="00DF23DE">
        <w:rPr>
          <w:rFonts w:eastAsia="Cambria"/>
        </w:rPr>
        <w:t xml:space="preserve"> of the complainant to </w:t>
      </w:r>
      <w:r w:rsidRPr="00DF23DE">
        <w:rPr>
          <w:rFonts w:eastAsia="Cambria"/>
        </w:rPr>
        <w:t>the Russian Federation</w:t>
      </w:r>
      <w:r w:rsidR="00CB6AEA" w:rsidRPr="00DF23DE">
        <w:rPr>
          <w:rFonts w:eastAsia="Cambria"/>
        </w:rPr>
        <w:t xml:space="preserve"> violates the State party</w:t>
      </w:r>
      <w:r w:rsidR="00EB7728" w:rsidRPr="00DF23DE">
        <w:rPr>
          <w:rFonts w:eastAsia="Cambria"/>
        </w:rPr>
        <w:t>’</w:t>
      </w:r>
      <w:r w:rsidR="00CB6AEA" w:rsidRPr="00DF23DE">
        <w:rPr>
          <w:rFonts w:eastAsia="Cambria"/>
        </w:rPr>
        <w:t>s obligations under article 3</w:t>
      </w:r>
      <w:r w:rsidR="007C3033" w:rsidRPr="00DF23DE">
        <w:rPr>
          <w:rFonts w:eastAsia="Cambria"/>
        </w:rPr>
        <w:t xml:space="preserve"> (</w:t>
      </w:r>
      <w:r w:rsidR="00CB6AEA" w:rsidRPr="00DF23DE">
        <w:rPr>
          <w:rFonts w:eastAsia="Cambria"/>
        </w:rPr>
        <w:t>1</w:t>
      </w:r>
      <w:r w:rsidR="007C3033" w:rsidRPr="00DF23DE">
        <w:rPr>
          <w:rFonts w:eastAsia="Cambria"/>
        </w:rPr>
        <w:t>)</w:t>
      </w:r>
      <w:r w:rsidR="00CB6AEA" w:rsidRPr="00DF23DE">
        <w:rPr>
          <w:rFonts w:eastAsia="Cambria"/>
        </w:rPr>
        <w:t xml:space="preserve"> of the Convention not to expel or return an individual to another State where there are substantial grounds for believing that he or she would be in danger of being subjected to torture. The Committee</w:t>
      </w:r>
      <w:r w:rsidR="00BB5BCD" w:rsidRPr="00DF23DE">
        <w:rPr>
          <w:rFonts w:eastAsia="Cambria"/>
        </w:rPr>
        <w:t>’s</w:t>
      </w:r>
      <w:r w:rsidR="00CB6AEA" w:rsidRPr="00DF23DE">
        <w:rPr>
          <w:rFonts w:eastAsia="Cambria"/>
        </w:rPr>
        <w:t xml:space="preserve"> decision on </w:t>
      </w:r>
      <w:r w:rsidR="00BB5BCD" w:rsidRPr="00DF23DE">
        <w:rPr>
          <w:rFonts w:eastAsia="Cambria"/>
        </w:rPr>
        <w:t xml:space="preserve">this issue is taken </w:t>
      </w:r>
      <w:r w:rsidR="00CB6AEA" w:rsidRPr="00DF23DE">
        <w:rPr>
          <w:rFonts w:eastAsia="Cambria"/>
        </w:rPr>
        <w:t xml:space="preserve">in the light of the information </w:t>
      </w:r>
      <w:r w:rsidR="00BB5BCD" w:rsidRPr="00DF23DE">
        <w:rPr>
          <w:rFonts w:eastAsia="Cambria"/>
        </w:rPr>
        <w:t xml:space="preserve">that </w:t>
      </w:r>
      <w:r w:rsidR="00CB6AEA" w:rsidRPr="00DF23DE">
        <w:rPr>
          <w:rFonts w:eastAsia="Cambria"/>
        </w:rPr>
        <w:t xml:space="preserve">the authorities of the State party had or </w:t>
      </w:r>
      <w:r w:rsidR="00CB6AEA" w:rsidRPr="00DF23DE">
        <w:t>should have had in their possession at the time of the extradition.</w:t>
      </w:r>
    </w:p>
    <w:p w14:paraId="12FB6F71" w14:textId="77777777" w:rsidR="00CB6AEA" w:rsidRPr="005E4862" w:rsidRDefault="00D63F6F" w:rsidP="00BB5BCD">
      <w:pPr>
        <w:pStyle w:val="SingleTxtG"/>
        <w:rPr>
          <w:rFonts w:eastAsia="Cambria"/>
        </w:rPr>
      </w:pPr>
      <w:r w:rsidRPr="00DF23DE">
        <w:rPr>
          <w:rFonts w:eastAsia="Cambria"/>
          <w:snapToGrid w:val="0"/>
        </w:rPr>
        <w:t>1</w:t>
      </w:r>
      <w:r w:rsidR="00857A8A" w:rsidRPr="00DF23DE">
        <w:rPr>
          <w:rFonts w:eastAsia="Cambria"/>
          <w:snapToGrid w:val="0"/>
        </w:rPr>
        <w:t>2</w:t>
      </w:r>
      <w:r w:rsidR="00CB6AEA" w:rsidRPr="00DF23DE">
        <w:rPr>
          <w:rFonts w:eastAsia="Cambria"/>
          <w:snapToGrid w:val="0"/>
        </w:rPr>
        <w:t>.3</w:t>
      </w:r>
      <w:r w:rsidR="00CB6AEA" w:rsidRPr="00DF23DE">
        <w:rPr>
          <w:rFonts w:eastAsia="Cambria"/>
          <w:snapToGrid w:val="0"/>
        </w:rPr>
        <w:tab/>
        <w:t xml:space="preserve">In assessing whether the extradition of the complainant to </w:t>
      </w:r>
      <w:r w:rsidR="00346358" w:rsidRPr="00DF23DE">
        <w:rPr>
          <w:rFonts w:eastAsia="Cambria"/>
        </w:rPr>
        <w:t>the Russian Federation</w:t>
      </w:r>
      <w:r w:rsidR="00346358" w:rsidRPr="00DF23DE">
        <w:rPr>
          <w:rFonts w:eastAsia="Cambria"/>
          <w:snapToGrid w:val="0"/>
        </w:rPr>
        <w:t xml:space="preserve"> </w:t>
      </w:r>
      <w:r w:rsidR="00CB6AEA" w:rsidRPr="00DF23DE">
        <w:rPr>
          <w:rFonts w:eastAsia="Cambria"/>
          <w:snapToGrid w:val="0"/>
        </w:rPr>
        <w:t>violate</w:t>
      </w:r>
      <w:r w:rsidR="008244AB" w:rsidRPr="00DF23DE">
        <w:rPr>
          <w:rFonts w:eastAsia="Cambria"/>
          <w:snapToGrid w:val="0"/>
        </w:rPr>
        <w:t>s</w:t>
      </w:r>
      <w:r w:rsidR="00CB6AEA" w:rsidRPr="00DF23DE">
        <w:rPr>
          <w:rFonts w:eastAsia="Cambria"/>
          <w:snapToGrid w:val="0"/>
        </w:rPr>
        <w:t xml:space="preserve"> the State part</w:t>
      </w:r>
      <w:r w:rsidR="00346358" w:rsidRPr="00DF23DE">
        <w:rPr>
          <w:rFonts w:eastAsia="Cambria"/>
          <w:snapToGrid w:val="0"/>
        </w:rPr>
        <w:t>y’s obligations under article 3</w:t>
      </w:r>
      <w:r w:rsidR="00CB6AEA" w:rsidRPr="00DF23DE">
        <w:rPr>
          <w:rFonts w:eastAsia="Cambria"/>
          <w:snapToGrid w:val="0"/>
        </w:rPr>
        <w:t xml:space="preserve"> of the Convention, the Committee must take </w:t>
      </w:r>
      <w:r w:rsidR="00BB5BCD" w:rsidRPr="00DF23DE">
        <w:rPr>
          <w:rFonts w:eastAsia="Cambria"/>
          <w:snapToGrid w:val="0"/>
        </w:rPr>
        <w:t xml:space="preserve">into account </w:t>
      </w:r>
      <w:r w:rsidR="00CB6AEA" w:rsidRPr="00DF23DE">
        <w:rPr>
          <w:rFonts w:eastAsia="Cambria"/>
          <w:snapToGrid w:val="0"/>
        </w:rPr>
        <w:t xml:space="preserve">all relevant considerations, including the existence of a consistent pattern of gross, flagrant or mass violations of human rights. The Committee reiterates that the existence of </w:t>
      </w:r>
      <w:r w:rsidR="00BB5BCD" w:rsidRPr="00DF23DE">
        <w:rPr>
          <w:rFonts w:eastAsia="Cambria"/>
          <w:snapToGrid w:val="0"/>
        </w:rPr>
        <w:t xml:space="preserve">such </w:t>
      </w:r>
      <w:r w:rsidR="00CB6AEA" w:rsidRPr="00DF23DE">
        <w:rPr>
          <w:rFonts w:eastAsia="Cambria"/>
          <w:snapToGrid w:val="0"/>
        </w:rPr>
        <w:t>violations in a country does not as such constitute sufficient reason for determining that a particular person would be in danger of being subjected to torture on return to that country; additional grounds must be adduced to show that the individual concerned would be personally at risk.</w:t>
      </w:r>
      <w:r w:rsidR="001A3D74" w:rsidRPr="00DF23DE">
        <w:rPr>
          <w:rStyle w:val="FootnoteReference"/>
          <w:rFonts w:eastAsia="Cambria"/>
          <w:snapToGrid w:val="0"/>
        </w:rPr>
        <w:footnoteReference w:id="7"/>
      </w:r>
      <w:r w:rsidR="00CB6AEA" w:rsidRPr="00DF23DE">
        <w:rPr>
          <w:rFonts w:eastAsia="Cambria"/>
          <w:snapToGrid w:val="0"/>
        </w:rPr>
        <w:t xml:space="preserve"> Similarly, the absence of a consistent pattern of flagrant violations of human rights does not mean that a person might not be subjected to torture in his or her specific circumstances.</w:t>
      </w:r>
    </w:p>
    <w:p w14:paraId="52EEF8AC" w14:textId="77777777" w:rsidR="00C66DFD" w:rsidRPr="005E4862" w:rsidRDefault="00D63F6F" w:rsidP="00BB5BCD">
      <w:pPr>
        <w:pStyle w:val="SingleTxtG"/>
        <w:rPr>
          <w:rFonts w:eastAsia="Cambria"/>
        </w:rPr>
      </w:pPr>
      <w:r w:rsidRPr="00DF23DE">
        <w:rPr>
          <w:rFonts w:eastAsia="Cambria"/>
          <w:snapToGrid w:val="0"/>
        </w:rPr>
        <w:t>1</w:t>
      </w:r>
      <w:r w:rsidR="00857A8A" w:rsidRPr="00DF23DE">
        <w:rPr>
          <w:rFonts w:eastAsia="Cambria"/>
          <w:snapToGrid w:val="0"/>
        </w:rPr>
        <w:t>2</w:t>
      </w:r>
      <w:r w:rsidR="00CB6AEA" w:rsidRPr="00DF23DE">
        <w:rPr>
          <w:rFonts w:eastAsia="Cambria"/>
          <w:snapToGrid w:val="0"/>
        </w:rPr>
        <w:t>.4</w:t>
      </w:r>
      <w:r w:rsidR="00CB6AEA" w:rsidRPr="00DF23DE">
        <w:rPr>
          <w:rFonts w:eastAsia="Cambria"/>
          <w:snapToGrid w:val="0"/>
        </w:rPr>
        <w:tab/>
        <w:t xml:space="preserve">The Committee recalls its general comment </w:t>
      </w:r>
      <w:r w:rsidR="004605BC" w:rsidRPr="00DF23DE">
        <w:rPr>
          <w:rFonts w:eastAsia="Cambria"/>
          <w:snapToGrid w:val="0"/>
        </w:rPr>
        <w:t>No. 1</w:t>
      </w:r>
      <w:r w:rsidR="00BB5BCD" w:rsidRPr="00DF23DE">
        <w:rPr>
          <w:rFonts w:eastAsia="Cambria"/>
          <w:snapToGrid w:val="0"/>
        </w:rPr>
        <w:t>,</w:t>
      </w:r>
      <w:r w:rsidR="004605BC" w:rsidRPr="00DF23DE">
        <w:rPr>
          <w:rFonts w:eastAsia="Cambria"/>
          <w:snapToGrid w:val="0"/>
        </w:rPr>
        <w:t xml:space="preserve"> </w:t>
      </w:r>
      <w:r w:rsidR="00CB6AEA" w:rsidRPr="00DF23DE">
        <w:rPr>
          <w:rFonts w:eastAsia="Cambria"/>
          <w:snapToGrid w:val="0"/>
        </w:rPr>
        <w:t>that the risk of torture must be assessed on grounds that go beyond mere theory or suspicion</w:t>
      </w:r>
      <w:r w:rsidR="00BB5BCD" w:rsidRPr="00DF23DE">
        <w:rPr>
          <w:rFonts w:eastAsia="Cambria"/>
          <w:snapToGrid w:val="0"/>
        </w:rPr>
        <w:t>;</w:t>
      </w:r>
      <w:r w:rsidR="00CB6AEA" w:rsidRPr="00DF23DE">
        <w:rPr>
          <w:rFonts w:eastAsia="Cambria"/>
          <w:snapToGrid w:val="0"/>
        </w:rPr>
        <w:t xml:space="preserve"> </w:t>
      </w:r>
      <w:r w:rsidR="00BB5BCD" w:rsidRPr="00DF23DE">
        <w:rPr>
          <w:rFonts w:eastAsia="Cambria"/>
          <w:snapToGrid w:val="0"/>
        </w:rPr>
        <w:t>h</w:t>
      </w:r>
      <w:r w:rsidR="00CB6AEA" w:rsidRPr="00DF23DE">
        <w:rPr>
          <w:rFonts w:eastAsia="Cambria"/>
          <w:snapToGrid w:val="0"/>
        </w:rPr>
        <w:t xml:space="preserve">owever, the risk does not have to meet the test of being highly probable, but it must be personal and present. In </w:t>
      </w:r>
      <w:r w:rsidR="00BB5BCD" w:rsidRPr="00DF23DE">
        <w:rPr>
          <w:rFonts w:eastAsia="Cambria"/>
          <w:snapToGrid w:val="0"/>
        </w:rPr>
        <w:t xml:space="preserve">that </w:t>
      </w:r>
      <w:r w:rsidR="00CB6AEA" w:rsidRPr="00DF23DE">
        <w:rPr>
          <w:rFonts w:eastAsia="Cambria"/>
          <w:snapToGrid w:val="0"/>
        </w:rPr>
        <w:lastRenderedPageBreak/>
        <w:t>regard, in previous decisions, the Committee has determined that the risk of torture must be foreseeable, real and personal.</w:t>
      </w:r>
      <w:r w:rsidR="00CB6AEA" w:rsidRPr="00DF23DE">
        <w:rPr>
          <w:rFonts w:eastAsia="Cambria"/>
          <w:snapToGrid w:val="0"/>
          <w:sz w:val="18"/>
          <w:vertAlign w:val="superscript"/>
        </w:rPr>
        <w:footnoteReference w:id="8"/>
      </w:r>
      <w:r w:rsidR="00CB6AEA" w:rsidRPr="00DF23DE">
        <w:rPr>
          <w:rFonts w:eastAsia="Cambria"/>
          <w:snapToGrid w:val="0"/>
        </w:rPr>
        <w:t xml:space="preserve"> </w:t>
      </w:r>
    </w:p>
    <w:p w14:paraId="34C6C849" w14:textId="77777777" w:rsidR="00E24F3D" w:rsidRPr="00DF23DE" w:rsidRDefault="00D63F6F" w:rsidP="00055D93">
      <w:pPr>
        <w:pStyle w:val="SingleTxtG"/>
      </w:pPr>
      <w:r w:rsidRPr="00DF23DE">
        <w:t>1</w:t>
      </w:r>
      <w:r w:rsidR="00857A8A" w:rsidRPr="00DF23DE">
        <w:t>2</w:t>
      </w:r>
      <w:r w:rsidR="00CB6AEA" w:rsidRPr="00DF23DE">
        <w:t>.5</w:t>
      </w:r>
      <w:r w:rsidR="00CB6AEA" w:rsidRPr="00DF23DE">
        <w:tab/>
      </w:r>
      <w:r w:rsidR="00E24F3D" w:rsidRPr="00DF23DE">
        <w:rPr>
          <w:rFonts w:eastAsia="Cambria"/>
          <w:snapToGrid w:val="0"/>
        </w:rPr>
        <w:t xml:space="preserve">The Committee </w:t>
      </w:r>
      <w:r w:rsidR="00E24F3D" w:rsidRPr="00DF23DE">
        <w:t xml:space="preserve">notes </w:t>
      </w:r>
      <w:r w:rsidR="00FB70C1" w:rsidRPr="00DF23DE">
        <w:t xml:space="preserve">the </w:t>
      </w:r>
      <w:r w:rsidR="00D46717" w:rsidRPr="00DF23DE">
        <w:t>complainant’s</w:t>
      </w:r>
      <w:r w:rsidR="00E24F3D" w:rsidRPr="00DF23DE">
        <w:t xml:space="preserve"> claim that </w:t>
      </w:r>
      <w:r w:rsidR="00BB5BCD" w:rsidRPr="00DF23DE">
        <w:t xml:space="preserve">the </w:t>
      </w:r>
      <w:r w:rsidR="006327A9" w:rsidRPr="00DF23DE">
        <w:t xml:space="preserve">fabrication of criminal charges, abductions and </w:t>
      </w:r>
      <w:r w:rsidR="00E24F3D" w:rsidRPr="00DF23DE">
        <w:t xml:space="preserve">use of torture and ill-treatment </w:t>
      </w:r>
      <w:r w:rsidR="006327A9" w:rsidRPr="00DF23DE">
        <w:t>are widespread in Ingushetia</w:t>
      </w:r>
      <w:r w:rsidR="00C664E5" w:rsidRPr="00DF23DE">
        <w:t>.</w:t>
      </w:r>
      <w:r w:rsidR="00D46717" w:rsidRPr="00DF23DE">
        <w:t xml:space="preserve"> </w:t>
      </w:r>
      <w:r w:rsidR="00CF702E" w:rsidRPr="00DF23DE">
        <w:t xml:space="preserve">It also notes </w:t>
      </w:r>
      <w:r w:rsidR="00D46717" w:rsidRPr="00DF23DE">
        <w:t xml:space="preserve">that the complainant provided </w:t>
      </w:r>
      <w:r w:rsidR="001203E5" w:rsidRPr="00DF23DE">
        <w:t xml:space="preserve">to the State party’s authorities the </w:t>
      </w:r>
      <w:r w:rsidR="00D46717" w:rsidRPr="00DF23DE">
        <w:t>details of his abduction and torture by</w:t>
      </w:r>
      <w:r w:rsidR="00BB5BCD" w:rsidRPr="00DF23DE">
        <w:t>,</w:t>
      </w:r>
      <w:r w:rsidR="00D46717" w:rsidRPr="00DF23DE">
        <w:t xml:space="preserve"> allegedly, law enforcement offic</w:t>
      </w:r>
      <w:r w:rsidR="00B51ED4" w:rsidRPr="00DF23DE">
        <w:t xml:space="preserve">ials </w:t>
      </w:r>
      <w:r w:rsidR="008244AB" w:rsidRPr="00DF23DE">
        <w:t>prio</w:t>
      </w:r>
      <w:r w:rsidR="00D3615A" w:rsidRPr="00DF23DE">
        <w:t xml:space="preserve">r to his departure to Kazakhstan. </w:t>
      </w:r>
      <w:r w:rsidR="00A62A23" w:rsidRPr="00DF23DE">
        <w:t xml:space="preserve">The Committee </w:t>
      </w:r>
      <w:r w:rsidR="008244AB" w:rsidRPr="00DF23DE">
        <w:t>t</w:t>
      </w:r>
      <w:r w:rsidR="00CF702E" w:rsidRPr="00DF23DE">
        <w:t xml:space="preserve">akes </w:t>
      </w:r>
      <w:r w:rsidR="008244AB" w:rsidRPr="00DF23DE">
        <w:t>note</w:t>
      </w:r>
      <w:r w:rsidR="00D3615A" w:rsidRPr="00DF23DE">
        <w:t xml:space="preserve"> </w:t>
      </w:r>
      <w:r w:rsidR="008244AB" w:rsidRPr="00DF23DE">
        <w:t xml:space="preserve">of </w:t>
      </w:r>
      <w:r w:rsidR="001B14E9" w:rsidRPr="00DF23DE">
        <w:t xml:space="preserve">the complainant’s </w:t>
      </w:r>
      <w:r w:rsidR="00E24F3D" w:rsidRPr="00DF23DE">
        <w:t>argument</w:t>
      </w:r>
      <w:r w:rsidR="008244AB" w:rsidRPr="00DF23DE">
        <w:t>ation</w:t>
      </w:r>
      <w:r w:rsidR="00E24F3D" w:rsidRPr="00DF23DE">
        <w:t xml:space="preserve"> that the </w:t>
      </w:r>
      <w:r w:rsidR="001B14E9" w:rsidRPr="00DF23DE">
        <w:t xml:space="preserve">authorities of the </w:t>
      </w:r>
      <w:r w:rsidR="00E24F3D" w:rsidRPr="00DF23DE">
        <w:t xml:space="preserve">State party </w:t>
      </w:r>
      <w:r w:rsidR="001B14E9" w:rsidRPr="00DF23DE">
        <w:t xml:space="preserve">ignored his claims of previous abduction and torture, as well as </w:t>
      </w:r>
      <w:r w:rsidR="00055D93" w:rsidRPr="00DF23DE">
        <w:t xml:space="preserve">his claims of </w:t>
      </w:r>
      <w:r w:rsidR="001B14E9" w:rsidRPr="00DF23DE">
        <w:t xml:space="preserve">the widespread and well-known practice </w:t>
      </w:r>
      <w:r w:rsidR="00055D93" w:rsidRPr="00DF23DE">
        <w:t xml:space="preserve">and </w:t>
      </w:r>
      <w:r w:rsidR="001B14E9" w:rsidRPr="00DF23DE">
        <w:t>use of torture</w:t>
      </w:r>
      <w:r w:rsidR="00055D93" w:rsidRPr="00DF23DE">
        <w:t xml:space="preserve"> and </w:t>
      </w:r>
      <w:r w:rsidR="00B51ED4" w:rsidRPr="00DF23DE">
        <w:t>ill-treatment</w:t>
      </w:r>
      <w:r w:rsidR="001B14E9" w:rsidRPr="00DF23DE">
        <w:t xml:space="preserve"> in the Russian Federation. The Committee notes </w:t>
      </w:r>
      <w:r w:rsidR="00E24F3D" w:rsidRPr="00DF23DE">
        <w:t xml:space="preserve">the State party’s assertion that </w:t>
      </w:r>
      <w:r w:rsidR="00984734" w:rsidRPr="00DF23DE">
        <w:t>there were no indications of a risk of torture upon the complainant’s review and</w:t>
      </w:r>
      <w:r w:rsidR="00A62A23" w:rsidRPr="00DF23DE">
        <w:t xml:space="preserve"> </w:t>
      </w:r>
      <w:r w:rsidR="00CF702E" w:rsidRPr="00DF23DE">
        <w:t>takes due account of</w:t>
      </w:r>
      <w:r w:rsidR="00A62A23" w:rsidRPr="00DF23DE">
        <w:t xml:space="preserve"> the State party’s statement about </w:t>
      </w:r>
      <w:r w:rsidR="009F23F4" w:rsidRPr="00DF23DE">
        <w:t xml:space="preserve">the assurances </w:t>
      </w:r>
      <w:r w:rsidR="00A62A23" w:rsidRPr="00DF23DE">
        <w:t xml:space="preserve">obtained from the </w:t>
      </w:r>
      <w:r w:rsidR="00984734" w:rsidRPr="00DF23DE">
        <w:t>Russian</w:t>
      </w:r>
      <w:r w:rsidR="00A62A23" w:rsidRPr="00DF23DE">
        <w:t xml:space="preserve"> authorities that the complainant would not be </w:t>
      </w:r>
      <w:r w:rsidR="00A62A23" w:rsidRPr="00DF23DE">
        <w:rPr>
          <w:snapToGrid w:val="0"/>
        </w:rPr>
        <w:t>subjected to torture, violence</w:t>
      </w:r>
      <w:r w:rsidR="00B51ED4" w:rsidRPr="00DF23DE">
        <w:rPr>
          <w:snapToGrid w:val="0"/>
        </w:rPr>
        <w:t xml:space="preserve"> or</w:t>
      </w:r>
      <w:r w:rsidR="00A62A23" w:rsidRPr="00DF23DE">
        <w:rPr>
          <w:snapToGrid w:val="0"/>
        </w:rPr>
        <w:t xml:space="preserve"> inhuman or degrading treatment</w:t>
      </w:r>
      <w:r w:rsidR="00A62A23" w:rsidRPr="00DF23DE">
        <w:t>.</w:t>
      </w:r>
      <w:r w:rsidR="00CF702E" w:rsidRPr="00DF23DE">
        <w:t xml:space="preserve"> </w:t>
      </w:r>
    </w:p>
    <w:p w14:paraId="48FE5E47" w14:textId="77777777" w:rsidR="00C24F84" w:rsidRPr="00DF23DE" w:rsidRDefault="00D63F6F" w:rsidP="00FF168B">
      <w:pPr>
        <w:pStyle w:val="SingleTxtG"/>
      </w:pPr>
      <w:r w:rsidRPr="00DF23DE">
        <w:t>1</w:t>
      </w:r>
      <w:r w:rsidR="00857A8A" w:rsidRPr="00DF23DE">
        <w:t>2</w:t>
      </w:r>
      <w:r w:rsidR="008B3C8D" w:rsidRPr="00DF23DE">
        <w:t>.6</w:t>
      </w:r>
      <w:r w:rsidR="008B3C8D" w:rsidRPr="00DF23DE">
        <w:tab/>
      </w:r>
      <w:r w:rsidR="00CF702E" w:rsidRPr="00DF23DE">
        <w:rPr>
          <w:rFonts w:eastAsia="Cambria"/>
          <w:snapToGrid w:val="0"/>
        </w:rPr>
        <w:t xml:space="preserve">With regard to the existence of a consistent pattern of gross, flagrant or mass human rights violations, the Committee recalls </w:t>
      </w:r>
      <w:r w:rsidR="00C664E5" w:rsidRPr="00DF23DE">
        <w:t>its concluding observations on the fifth periodic report of the Russian Federation</w:t>
      </w:r>
      <w:r w:rsidR="00FF168B" w:rsidRPr="00DF23DE">
        <w:t>,</w:t>
      </w:r>
      <w:r w:rsidR="00C664E5" w:rsidRPr="00DF23DE">
        <w:rPr>
          <w:rStyle w:val="FootnoteReference"/>
        </w:rPr>
        <w:footnoteReference w:id="9"/>
      </w:r>
      <w:r w:rsidR="00CF702E" w:rsidRPr="00DF23DE">
        <w:rPr>
          <w:rFonts w:eastAsia="Cambria"/>
          <w:snapToGrid w:val="0"/>
        </w:rPr>
        <w:t xml:space="preserve"> in which it expressed its concern about numerous, ongoing and consistent allegations of </w:t>
      </w:r>
      <w:r w:rsidR="00FF168B" w:rsidRPr="00DF23DE">
        <w:rPr>
          <w:rFonts w:eastAsia="Cambria"/>
          <w:snapToGrid w:val="0"/>
        </w:rPr>
        <w:t xml:space="preserve">the </w:t>
      </w:r>
      <w:r w:rsidR="00C664E5" w:rsidRPr="00DF23DE">
        <w:rPr>
          <w:rFonts w:eastAsia="Cambria"/>
          <w:snapToGrid w:val="0"/>
        </w:rPr>
        <w:t xml:space="preserve">use of torture and ill-treatment </w:t>
      </w:r>
      <w:r w:rsidR="00C664E5" w:rsidRPr="00DF23DE">
        <w:t>of detainees, including as a means to extract confessions</w:t>
      </w:r>
      <w:r w:rsidR="00FF168B" w:rsidRPr="00DF23DE">
        <w:rPr>
          <w:rFonts w:eastAsia="Cambria"/>
          <w:snapToGrid w:val="0"/>
        </w:rPr>
        <w:t>,</w:t>
      </w:r>
      <w:r w:rsidR="00414771" w:rsidRPr="00DF23DE">
        <w:rPr>
          <w:rFonts w:eastAsia="Cambria"/>
          <w:snapToGrid w:val="0"/>
        </w:rPr>
        <w:t xml:space="preserve"> </w:t>
      </w:r>
      <w:r w:rsidR="00FF168B" w:rsidRPr="00DF23DE">
        <w:rPr>
          <w:rFonts w:eastAsia="Cambria"/>
          <w:snapToGrid w:val="0"/>
        </w:rPr>
        <w:t xml:space="preserve">and </w:t>
      </w:r>
      <w:r w:rsidR="00414771" w:rsidRPr="00DF23DE">
        <w:rPr>
          <w:rFonts w:eastAsia="Cambria"/>
          <w:snapToGrid w:val="0"/>
        </w:rPr>
        <w:t xml:space="preserve">about </w:t>
      </w:r>
      <w:r w:rsidR="00414771" w:rsidRPr="00DF23DE">
        <w:t>serious human rights abuses inflicted by or at the instigation or with the consent or acquiescence of public officials or other persons acting in official capacities in the northern Caucasus, including torture and ill-treatment, abductions, enforced disappearances and extrajudicial killings.</w:t>
      </w:r>
      <w:r w:rsidR="00076017" w:rsidRPr="00DF23DE">
        <w:t xml:space="preserve"> Therefore, the </w:t>
      </w:r>
      <w:r w:rsidR="00CB6AEA" w:rsidRPr="00DF23DE">
        <w:t>Committee considers that</w:t>
      </w:r>
      <w:r w:rsidR="00FF168B" w:rsidRPr="00DF23DE">
        <w:t>,</w:t>
      </w:r>
      <w:r w:rsidR="00CB6AEA" w:rsidRPr="00DF23DE">
        <w:t xml:space="preserve"> </w:t>
      </w:r>
      <w:r w:rsidR="00D862FD" w:rsidRPr="00DF23DE">
        <w:t>in the present case</w:t>
      </w:r>
      <w:r w:rsidR="00CB6AEA" w:rsidRPr="00DF23DE">
        <w:t xml:space="preserve">, the pattern of gross, flagrant or mass violations of human rights and the significant risk of torture or other cruel, inhuman or degrading treatment in </w:t>
      </w:r>
      <w:r w:rsidR="00076017" w:rsidRPr="00DF23DE">
        <w:t xml:space="preserve">the north Caucasus region of the Russian Federation </w:t>
      </w:r>
      <w:r w:rsidR="00CB6AEA" w:rsidRPr="00DF23DE">
        <w:t xml:space="preserve">has been sufficiently established. </w:t>
      </w:r>
    </w:p>
    <w:p w14:paraId="6173A7C0" w14:textId="77777777" w:rsidR="00CB6AEA" w:rsidRPr="00DF23DE" w:rsidRDefault="00D63F6F" w:rsidP="00540EFE">
      <w:pPr>
        <w:pStyle w:val="SingleTxtG"/>
        <w:rPr>
          <w:rFonts w:eastAsia="Cambria"/>
        </w:rPr>
      </w:pPr>
      <w:r w:rsidRPr="00DF23DE">
        <w:t>1</w:t>
      </w:r>
      <w:r w:rsidR="00857A8A" w:rsidRPr="00DF23DE">
        <w:t>2</w:t>
      </w:r>
      <w:r w:rsidR="00C24F84" w:rsidRPr="00DF23DE">
        <w:t>.</w:t>
      </w:r>
      <w:r w:rsidRPr="00DF23DE">
        <w:t>7</w:t>
      </w:r>
      <w:r w:rsidR="00C24F84" w:rsidRPr="00DF23DE">
        <w:tab/>
      </w:r>
      <w:r w:rsidR="00CB6AEA" w:rsidRPr="00DF23DE">
        <w:t>The Committee recalls that</w:t>
      </w:r>
      <w:r w:rsidR="00FF168B" w:rsidRPr="00DF23DE">
        <w:t>,</w:t>
      </w:r>
      <w:r w:rsidR="00CB6AEA" w:rsidRPr="00DF23DE">
        <w:t xml:space="preserve"> under the terms of its </w:t>
      </w:r>
      <w:r w:rsidR="00694F01" w:rsidRPr="00DF23DE">
        <w:t>g</w:t>
      </w:r>
      <w:r w:rsidR="00CB6AEA" w:rsidRPr="00DF23DE">
        <w:t xml:space="preserve">eneral </w:t>
      </w:r>
      <w:r w:rsidR="00694F01" w:rsidRPr="00DF23DE">
        <w:t>c</w:t>
      </w:r>
      <w:r w:rsidR="00CB6AEA" w:rsidRPr="00DF23DE">
        <w:t>omment No. 1</w:t>
      </w:r>
      <w:r w:rsidR="00FF168B" w:rsidRPr="00DF23DE">
        <w:t>,</w:t>
      </w:r>
      <w:r w:rsidR="00CB6AEA" w:rsidRPr="00DF23DE">
        <w:t xml:space="preserve"> it will give considerable weight to findings of fact that are made by</w:t>
      </w:r>
      <w:r w:rsidR="00CB6AEA" w:rsidRPr="00DF23DE">
        <w:rPr>
          <w:rFonts w:eastAsia="Cambria"/>
          <w:snapToGrid w:val="0"/>
        </w:rPr>
        <w:t xml:space="preserve"> </w:t>
      </w:r>
      <w:r w:rsidR="00CB6AEA" w:rsidRPr="00DF23DE">
        <w:t xml:space="preserve">organs of the State party concerned, but that the Committee is not bound by such findings and has the power, provided by article 22 </w:t>
      </w:r>
      <w:r w:rsidR="00FF168B" w:rsidRPr="00DF23DE">
        <w:t>(</w:t>
      </w:r>
      <w:r w:rsidR="00CB6AEA" w:rsidRPr="00DF23DE">
        <w:t>4</w:t>
      </w:r>
      <w:r w:rsidR="00FF168B" w:rsidRPr="00DF23DE">
        <w:t>)</w:t>
      </w:r>
      <w:r w:rsidR="00CB6AEA" w:rsidRPr="00DF23DE">
        <w:t xml:space="preserve"> of the Convention, of free </w:t>
      </w:r>
      <w:r w:rsidR="00CB6AEA" w:rsidRPr="00DF23DE">
        <w:rPr>
          <w:rFonts w:eastAsia="Cambria"/>
        </w:rPr>
        <w:t xml:space="preserve">assessment of the facts </w:t>
      </w:r>
      <w:r w:rsidR="00FF168B" w:rsidRPr="00DF23DE">
        <w:rPr>
          <w:rFonts w:eastAsia="Cambria"/>
        </w:rPr>
        <w:t xml:space="preserve">on the basis of </w:t>
      </w:r>
      <w:r w:rsidR="00CB6AEA" w:rsidRPr="00DF23DE">
        <w:rPr>
          <w:rFonts w:eastAsia="Cambria"/>
        </w:rPr>
        <w:t>the full set of circumstances in every case.</w:t>
      </w:r>
      <w:r w:rsidR="002D3031" w:rsidRPr="00DF23DE">
        <w:rPr>
          <w:rStyle w:val="FootnoteReference"/>
          <w:rFonts w:eastAsia="Cambria"/>
        </w:rPr>
        <w:footnoteReference w:id="10"/>
      </w:r>
      <w:r w:rsidR="004605BC" w:rsidRPr="00DF23DE">
        <w:rPr>
          <w:rFonts w:eastAsia="Cambria"/>
        </w:rPr>
        <w:t xml:space="preserve"> </w:t>
      </w:r>
      <w:r w:rsidR="00CB6AEA" w:rsidRPr="00DF23DE">
        <w:rPr>
          <w:rFonts w:eastAsia="Cambria"/>
        </w:rPr>
        <w:t xml:space="preserve">In the present case, the Committee observes that </w:t>
      </w:r>
      <w:r w:rsidR="00CE4658" w:rsidRPr="00DF23DE">
        <w:rPr>
          <w:rFonts w:eastAsia="Cambria"/>
        </w:rPr>
        <w:t>the complainant</w:t>
      </w:r>
      <w:r w:rsidR="00437047" w:rsidRPr="00DF23DE">
        <w:rPr>
          <w:rFonts w:eastAsia="Cambria"/>
        </w:rPr>
        <w:t xml:space="preserve"> claims to have been abducted and tortured </w:t>
      </w:r>
      <w:r w:rsidR="00B51ED4" w:rsidRPr="00DF23DE">
        <w:rPr>
          <w:rFonts w:eastAsia="Cambria"/>
        </w:rPr>
        <w:t xml:space="preserve">in October 2012 </w:t>
      </w:r>
      <w:r w:rsidR="00437047" w:rsidRPr="00DF23DE">
        <w:rPr>
          <w:rFonts w:eastAsia="Cambria"/>
        </w:rPr>
        <w:t xml:space="preserve">and </w:t>
      </w:r>
      <w:r w:rsidR="00437047" w:rsidRPr="00DF23DE">
        <w:t xml:space="preserve">provides documents confirming the fact that a criminal investigation </w:t>
      </w:r>
      <w:r w:rsidR="00540EFE" w:rsidRPr="00DF23DE">
        <w:t xml:space="preserve">into </w:t>
      </w:r>
      <w:r w:rsidR="00437047" w:rsidRPr="00DF23DE">
        <w:t>his disappearance and possible murder was opened in November 2012</w:t>
      </w:r>
      <w:r w:rsidR="009F7150" w:rsidRPr="00DF23DE">
        <w:t xml:space="preserve"> by </w:t>
      </w:r>
      <w:r w:rsidR="009F7150" w:rsidRPr="00DF23DE">
        <w:rPr>
          <w:snapToGrid w:val="0"/>
        </w:rPr>
        <w:t xml:space="preserve">the </w:t>
      </w:r>
      <w:r w:rsidR="00540EFE" w:rsidRPr="00DF23DE">
        <w:rPr>
          <w:snapToGrid w:val="0"/>
        </w:rPr>
        <w:t>P</w:t>
      </w:r>
      <w:r w:rsidR="009F7150" w:rsidRPr="00DF23DE">
        <w:rPr>
          <w:snapToGrid w:val="0"/>
        </w:rPr>
        <w:t xml:space="preserve">rosecutor’s </w:t>
      </w:r>
      <w:r w:rsidR="00540EFE" w:rsidRPr="00DF23DE">
        <w:rPr>
          <w:snapToGrid w:val="0"/>
        </w:rPr>
        <w:t>O</w:t>
      </w:r>
      <w:r w:rsidR="009F7150" w:rsidRPr="00DF23DE">
        <w:rPr>
          <w:snapToGrid w:val="0"/>
        </w:rPr>
        <w:t xml:space="preserve">ffice of Nazran </w:t>
      </w:r>
      <w:r w:rsidR="00540EFE" w:rsidRPr="00DF23DE">
        <w:rPr>
          <w:snapToGrid w:val="0"/>
        </w:rPr>
        <w:t>D</w:t>
      </w:r>
      <w:r w:rsidR="009F7150" w:rsidRPr="00DF23DE">
        <w:rPr>
          <w:snapToGrid w:val="0"/>
        </w:rPr>
        <w:t>istrict</w:t>
      </w:r>
      <w:r w:rsidR="00437047" w:rsidRPr="00DF23DE">
        <w:t>.</w:t>
      </w:r>
      <w:r w:rsidR="00437047" w:rsidRPr="00DF23DE">
        <w:rPr>
          <w:rFonts w:eastAsia="Cambria"/>
        </w:rPr>
        <w:t xml:space="preserve"> </w:t>
      </w:r>
      <w:r w:rsidR="000653B2" w:rsidRPr="00DF23DE">
        <w:rPr>
          <w:rFonts w:eastAsia="Cambria"/>
        </w:rPr>
        <w:t>I</w:t>
      </w:r>
      <w:r w:rsidR="00437047" w:rsidRPr="00DF23DE">
        <w:rPr>
          <w:rFonts w:eastAsia="Cambria"/>
        </w:rPr>
        <w:t xml:space="preserve">n his appeal of </w:t>
      </w:r>
      <w:r w:rsidR="00437047" w:rsidRPr="00DF23DE">
        <w:rPr>
          <w:snapToGrid w:val="0"/>
        </w:rPr>
        <w:t>1 July 2013 to the West</w:t>
      </w:r>
      <w:r w:rsidR="00AA1846" w:rsidRPr="00DF23DE">
        <w:rPr>
          <w:snapToGrid w:val="0"/>
        </w:rPr>
        <w:t xml:space="preserve"> </w:t>
      </w:r>
      <w:r w:rsidR="00437047" w:rsidRPr="00DF23DE">
        <w:rPr>
          <w:snapToGrid w:val="0"/>
        </w:rPr>
        <w:t>Kazakhstan Regional Court</w:t>
      </w:r>
      <w:r w:rsidR="00437047" w:rsidRPr="00DF23DE">
        <w:rPr>
          <w:rFonts w:eastAsia="Cambria"/>
        </w:rPr>
        <w:t>, the complainant explicitly mentioned numerous marks of torture on his body, including broken bones</w:t>
      </w:r>
      <w:r w:rsidR="000653B2" w:rsidRPr="00DF23DE">
        <w:rPr>
          <w:rFonts w:eastAsia="Cambria"/>
        </w:rPr>
        <w:t>, but</w:t>
      </w:r>
      <w:r w:rsidR="00437047" w:rsidRPr="00DF23DE">
        <w:rPr>
          <w:rFonts w:eastAsia="Cambria"/>
        </w:rPr>
        <w:t xml:space="preserve"> </w:t>
      </w:r>
      <w:r w:rsidR="0051042E" w:rsidRPr="00DF23DE">
        <w:rPr>
          <w:rFonts w:eastAsia="Cambria"/>
        </w:rPr>
        <w:t xml:space="preserve">no examination was </w:t>
      </w:r>
      <w:r w:rsidR="000653B2" w:rsidRPr="00DF23DE">
        <w:rPr>
          <w:rFonts w:eastAsia="Cambria"/>
        </w:rPr>
        <w:t>order</w:t>
      </w:r>
      <w:r w:rsidR="0051042E" w:rsidRPr="00DF23DE">
        <w:rPr>
          <w:rFonts w:eastAsia="Cambria"/>
        </w:rPr>
        <w:t>ed</w:t>
      </w:r>
      <w:r w:rsidR="000653B2" w:rsidRPr="00DF23DE">
        <w:rPr>
          <w:rFonts w:eastAsia="Cambria"/>
        </w:rPr>
        <w:t xml:space="preserve"> to </w:t>
      </w:r>
      <w:r w:rsidR="00B51ED4" w:rsidRPr="00DF23DE">
        <w:rPr>
          <w:rFonts w:eastAsia="Cambria"/>
        </w:rPr>
        <w:t xml:space="preserve">verify the veracity of these torture </w:t>
      </w:r>
      <w:r w:rsidR="0051042E" w:rsidRPr="00DF23DE">
        <w:rPr>
          <w:rFonts w:eastAsia="Cambria"/>
        </w:rPr>
        <w:t>allegations</w:t>
      </w:r>
      <w:r w:rsidR="00437047" w:rsidRPr="00DF23DE">
        <w:rPr>
          <w:rFonts w:eastAsia="Cambria"/>
        </w:rPr>
        <w:t xml:space="preserve">. </w:t>
      </w:r>
      <w:r w:rsidR="00ED6F5C" w:rsidRPr="00DF23DE">
        <w:rPr>
          <w:rFonts w:eastAsia="Cambria"/>
        </w:rPr>
        <w:t>The Committee notes that</w:t>
      </w:r>
      <w:r w:rsidR="004109C5" w:rsidRPr="00DF23DE">
        <w:rPr>
          <w:rFonts w:eastAsia="Cambria"/>
        </w:rPr>
        <w:t xml:space="preserve"> the</w:t>
      </w:r>
      <w:r w:rsidR="00ED6F5C" w:rsidRPr="00DF23DE">
        <w:rPr>
          <w:rFonts w:eastAsia="Cambria"/>
        </w:rPr>
        <w:t xml:space="preserve"> information provided by the complainant</w:t>
      </w:r>
      <w:r w:rsidR="00CC4B27" w:rsidRPr="00DF23DE">
        <w:rPr>
          <w:rFonts w:eastAsia="Cambria"/>
        </w:rPr>
        <w:t xml:space="preserve">, </w:t>
      </w:r>
      <w:r w:rsidR="00ED6F5C" w:rsidRPr="00DF23DE">
        <w:rPr>
          <w:rFonts w:eastAsia="Cambria"/>
        </w:rPr>
        <w:t xml:space="preserve">viewed together with the </w:t>
      </w:r>
      <w:r w:rsidR="004109C5" w:rsidRPr="00DF23DE">
        <w:rPr>
          <w:rFonts w:eastAsia="Cambria"/>
        </w:rPr>
        <w:t xml:space="preserve">practice of torture and ill-treatment </w:t>
      </w:r>
      <w:r w:rsidR="0045018F" w:rsidRPr="00DF23DE">
        <w:rPr>
          <w:rFonts w:eastAsia="Cambria"/>
        </w:rPr>
        <w:t xml:space="preserve">of detained persons </w:t>
      </w:r>
      <w:r w:rsidR="004109C5" w:rsidRPr="00DF23DE">
        <w:rPr>
          <w:rFonts w:eastAsia="Cambria"/>
        </w:rPr>
        <w:t xml:space="preserve">in the Russian Federation, </w:t>
      </w:r>
      <w:r w:rsidR="003F4589" w:rsidRPr="00DF23DE">
        <w:rPr>
          <w:rFonts w:eastAsia="Cambria"/>
        </w:rPr>
        <w:t xml:space="preserve">as observed by the Committee in its </w:t>
      </w:r>
      <w:r w:rsidR="003F4589" w:rsidRPr="00DF23DE">
        <w:t>concluding observations</w:t>
      </w:r>
      <w:r w:rsidR="003F4589" w:rsidRPr="00DF23DE">
        <w:rPr>
          <w:rFonts w:eastAsia="Cambria"/>
        </w:rPr>
        <w:t xml:space="preserve"> (see para</w:t>
      </w:r>
      <w:r w:rsidR="00A74571" w:rsidRPr="00DF23DE">
        <w:rPr>
          <w:rFonts w:eastAsia="Cambria"/>
        </w:rPr>
        <w:t>.</w:t>
      </w:r>
      <w:r w:rsidR="003F4589" w:rsidRPr="00DF23DE">
        <w:rPr>
          <w:rFonts w:eastAsia="Cambria"/>
        </w:rPr>
        <w:t xml:space="preserve"> 12.6 above) </w:t>
      </w:r>
      <w:r w:rsidR="004109C5" w:rsidRPr="00DF23DE">
        <w:rPr>
          <w:rFonts w:eastAsia="Cambria"/>
        </w:rPr>
        <w:t>sufficiently demonstrated</w:t>
      </w:r>
      <w:r w:rsidR="00CB6AEA" w:rsidRPr="00DF23DE">
        <w:rPr>
          <w:rFonts w:eastAsia="Cambria"/>
        </w:rPr>
        <w:t xml:space="preserve"> </w:t>
      </w:r>
      <w:r w:rsidR="00CF529F" w:rsidRPr="00DF23DE">
        <w:rPr>
          <w:rFonts w:eastAsia="Cambria"/>
        </w:rPr>
        <w:t xml:space="preserve">that </w:t>
      </w:r>
      <w:r w:rsidR="00CE4658" w:rsidRPr="00DF23DE">
        <w:rPr>
          <w:rFonts w:eastAsia="Cambria"/>
        </w:rPr>
        <w:t>a</w:t>
      </w:r>
      <w:r w:rsidR="00CB6AEA" w:rsidRPr="00DF23DE">
        <w:rPr>
          <w:rFonts w:eastAsia="Cambria"/>
        </w:rPr>
        <w:t xml:space="preserve"> foreseeable, real and personal risk of torture </w:t>
      </w:r>
      <w:r w:rsidR="00540EFE" w:rsidRPr="00DF23DE">
        <w:rPr>
          <w:rFonts w:eastAsia="Cambria"/>
        </w:rPr>
        <w:t xml:space="preserve">had </w:t>
      </w:r>
      <w:r w:rsidR="00CF529F" w:rsidRPr="00DF23DE">
        <w:rPr>
          <w:rFonts w:eastAsia="Cambria"/>
        </w:rPr>
        <w:t xml:space="preserve">existed for </w:t>
      </w:r>
      <w:r w:rsidR="004109C5" w:rsidRPr="00DF23DE">
        <w:rPr>
          <w:rFonts w:eastAsia="Cambria"/>
        </w:rPr>
        <w:t>the complainant</w:t>
      </w:r>
      <w:r w:rsidR="00CF529F" w:rsidRPr="00DF23DE">
        <w:rPr>
          <w:rFonts w:eastAsia="Cambria"/>
        </w:rPr>
        <w:t xml:space="preserve"> </w:t>
      </w:r>
      <w:r w:rsidR="004109C5" w:rsidRPr="00DF23DE">
        <w:rPr>
          <w:rFonts w:eastAsia="Cambria"/>
        </w:rPr>
        <w:t>upon extradition to the Russian Federation</w:t>
      </w:r>
      <w:r w:rsidR="00CB6AEA" w:rsidRPr="00DF23DE">
        <w:rPr>
          <w:rFonts w:eastAsia="Cambria"/>
        </w:rPr>
        <w:t>.</w:t>
      </w:r>
      <w:r w:rsidR="00522740" w:rsidRPr="00DF23DE">
        <w:rPr>
          <w:rFonts w:eastAsia="Cambria"/>
          <w:snapToGrid w:val="0"/>
        </w:rPr>
        <w:t xml:space="preserve"> </w:t>
      </w:r>
      <w:r w:rsidR="00CE4658" w:rsidRPr="00DF23DE">
        <w:rPr>
          <w:rFonts w:eastAsia="Cambria"/>
          <w:snapToGrid w:val="0"/>
        </w:rPr>
        <w:t>In such circumstances, the courts of the State party were obliged to duly assess</w:t>
      </w:r>
      <w:r w:rsidR="00540EFE" w:rsidRPr="00DF23DE">
        <w:rPr>
          <w:rFonts w:eastAsia="Cambria"/>
          <w:snapToGrid w:val="0"/>
        </w:rPr>
        <w:t>,</w:t>
      </w:r>
      <w:r w:rsidR="00CE4658" w:rsidRPr="00DF23DE">
        <w:rPr>
          <w:rFonts w:eastAsia="Cambria"/>
          <w:snapToGrid w:val="0"/>
        </w:rPr>
        <w:t xml:space="preserve"> under</w:t>
      </w:r>
      <w:r w:rsidR="00B51ED4" w:rsidRPr="00DF23DE">
        <w:rPr>
          <w:rFonts w:eastAsia="Cambria"/>
          <w:snapToGrid w:val="0"/>
        </w:rPr>
        <w:t xml:space="preserve"> the provisions of </w:t>
      </w:r>
      <w:r w:rsidR="0045018F" w:rsidRPr="00DF23DE">
        <w:rPr>
          <w:rFonts w:eastAsia="Cambria"/>
        </w:rPr>
        <w:t>article 532 (</w:t>
      </w:r>
      <w:r w:rsidR="00665B89" w:rsidRPr="00DF23DE">
        <w:rPr>
          <w:rFonts w:eastAsia="Cambria"/>
        </w:rPr>
        <w:t>5</w:t>
      </w:r>
      <w:r w:rsidR="0045018F" w:rsidRPr="00DF23DE">
        <w:rPr>
          <w:rFonts w:eastAsia="Cambria"/>
        </w:rPr>
        <w:t>)</w:t>
      </w:r>
      <w:r w:rsidR="00665B89" w:rsidRPr="00DF23DE">
        <w:rPr>
          <w:rFonts w:eastAsia="Cambria"/>
        </w:rPr>
        <w:t xml:space="preserve"> of the </w:t>
      </w:r>
      <w:r w:rsidR="00665B89" w:rsidRPr="00DF23DE">
        <w:rPr>
          <w:rFonts w:eastAsia="Cambria"/>
          <w:snapToGrid w:val="0"/>
        </w:rPr>
        <w:t xml:space="preserve">Criminal Procedure Code </w:t>
      </w:r>
      <w:r w:rsidR="00B51ED4" w:rsidRPr="00DF23DE">
        <w:rPr>
          <w:rFonts w:eastAsia="Cambria"/>
          <w:snapToGrid w:val="0"/>
        </w:rPr>
        <w:t xml:space="preserve">and </w:t>
      </w:r>
      <w:r w:rsidR="004109C5" w:rsidRPr="00DF23DE">
        <w:rPr>
          <w:rFonts w:eastAsia="Cambria"/>
          <w:snapToGrid w:val="0"/>
        </w:rPr>
        <w:t>a</w:t>
      </w:r>
      <w:r w:rsidR="008923C7" w:rsidRPr="00DF23DE">
        <w:rPr>
          <w:rFonts w:eastAsia="Cambria"/>
          <w:snapToGrid w:val="0"/>
        </w:rPr>
        <w:t>rticle 3 of the Convention</w:t>
      </w:r>
      <w:r w:rsidR="00B51ED4" w:rsidRPr="00DF23DE">
        <w:rPr>
          <w:rFonts w:eastAsia="Cambria"/>
          <w:snapToGrid w:val="0"/>
        </w:rPr>
        <w:t xml:space="preserve">, the </w:t>
      </w:r>
      <w:r w:rsidR="00CE4658" w:rsidRPr="00DF23DE">
        <w:rPr>
          <w:rFonts w:eastAsia="Cambria"/>
          <w:snapToGrid w:val="0"/>
        </w:rPr>
        <w:t>possible risk of torture run by the complainant</w:t>
      </w:r>
      <w:r w:rsidR="00B51ED4" w:rsidRPr="00DF23DE">
        <w:rPr>
          <w:rFonts w:eastAsia="Cambria"/>
          <w:snapToGrid w:val="0"/>
        </w:rPr>
        <w:t xml:space="preserve"> in </w:t>
      </w:r>
      <w:r w:rsidR="00540EFE" w:rsidRPr="00DF23DE">
        <w:rPr>
          <w:rFonts w:eastAsia="Cambria"/>
          <w:snapToGrid w:val="0"/>
        </w:rPr>
        <w:t xml:space="preserve">the event </w:t>
      </w:r>
      <w:r w:rsidR="00B51ED4" w:rsidRPr="00DF23DE">
        <w:rPr>
          <w:rFonts w:eastAsia="Cambria"/>
          <w:snapToGrid w:val="0"/>
        </w:rPr>
        <w:t xml:space="preserve">of </w:t>
      </w:r>
      <w:r w:rsidR="00540EFE" w:rsidRPr="00DF23DE">
        <w:rPr>
          <w:rFonts w:eastAsia="Cambria"/>
          <w:snapToGrid w:val="0"/>
        </w:rPr>
        <w:t xml:space="preserve">his </w:t>
      </w:r>
      <w:r w:rsidR="00B51ED4" w:rsidRPr="00DF23DE">
        <w:rPr>
          <w:rFonts w:eastAsia="Cambria"/>
          <w:snapToGrid w:val="0"/>
        </w:rPr>
        <w:t>extradition</w:t>
      </w:r>
      <w:r w:rsidR="00CE4658" w:rsidRPr="00DF23DE">
        <w:rPr>
          <w:rFonts w:eastAsia="Cambria"/>
          <w:snapToGrid w:val="0"/>
        </w:rPr>
        <w:t xml:space="preserve">. </w:t>
      </w:r>
      <w:r w:rsidR="008923C7" w:rsidRPr="00DF23DE">
        <w:rPr>
          <w:rFonts w:eastAsia="Cambria"/>
        </w:rPr>
        <w:t>The Committee therefore concludes that the State party</w:t>
      </w:r>
      <w:r w:rsidR="004C6343" w:rsidRPr="00DF23DE">
        <w:rPr>
          <w:rFonts w:eastAsia="Cambria"/>
        </w:rPr>
        <w:t xml:space="preserve">’s authorities </w:t>
      </w:r>
      <w:r w:rsidR="00C537C8" w:rsidRPr="00DF23DE">
        <w:rPr>
          <w:rFonts w:eastAsia="Cambria"/>
        </w:rPr>
        <w:t xml:space="preserve">failed in </w:t>
      </w:r>
      <w:r w:rsidR="004C6343" w:rsidRPr="00DF23DE">
        <w:rPr>
          <w:rFonts w:eastAsia="Cambria"/>
        </w:rPr>
        <w:t xml:space="preserve">their </w:t>
      </w:r>
      <w:r w:rsidR="00C537C8" w:rsidRPr="00DF23DE">
        <w:rPr>
          <w:rFonts w:eastAsia="Cambria"/>
        </w:rPr>
        <w:t xml:space="preserve">duty to </w:t>
      </w:r>
      <w:r w:rsidR="00523C5D" w:rsidRPr="00DF23DE">
        <w:rPr>
          <w:rFonts w:eastAsia="Cambria"/>
        </w:rPr>
        <w:t xml:space="preserve">carry out </w:t>
      </w:r>
      <w:r w:rsidR="00B51ED4" w:rsidRPr="00DF23DE">
        <w:rPr>
          <w:rFonts w:eastAsia="Cambria"/>
        </w:rPr>
        <w:t xml:space="preserve">a thorough </w:t>
      </w:r>
      <w:r w:rsidR="00523C5D" w:rsidRPr="00DF23DE">
        <w:rPr>
          <w:rFonts w:eastAsia="Cambria"/>
        </w:rPr>
        <w:t>an</w:t>
      </w:r>
      <w:r w:rsidR="00B51ED4" w:rsidRPr="00DF23DE">
        <w:rPr>
          <w:rFonts w:eastAsia="Cambria"/>
        </w:rPr>
        <w:t>d</w:t>
      </w:r>
      <w:r w:rsidR="00523C5D" w:rsidRPr="00DF23DE">
        <w:rPr>
          <w:rFonts w:eastAsia="Cambria"/>
        </w:rPr>
        <w:t xml:space="preserve"> </w:t>
      </w:r>
      <w:r w:rsidR="00523C5D" w:rsidRPr="00DF23DE">
        <w:rPr>
          <w:rFonts w:eastAsia="Cambria"/>
        </w:rPr>
        <w:lastRenderedPageBreak/>
        <w:t>individualized risk assessment</w:t>
      </w:r>
      <w:r w:rsidR="008923C7" w:rsidRPr="00DF23DE">
        <w:rPr>
          <w:rFonts w:eastAsia="Cambria"/>
        </w:rPr>
        <w:t xml:space="preserve"> </w:t>
      </w:r>
      <w:r w:rsidR="00523C5D" w:rsidRPr="00DF23DE">
        <w:rPr>
          <w:rFonts w:eastAsia="Cambria"/>
        </w:rPr>
        <w:t xml:space="preserve">before </w:t>
      </w:r>
      <w:r w:rsidR="008923C7" w:rsidRPr="00DF23DE">
        <w:rPr>
          <w:rFonts w:eastAsia="Cambria"/>
        </w:rPr>
        <w:t>return</w:t>
      </w:r>
      <w:r w:rsidR="00523C5D" w:rsidRPr="00DF23DE">
        <w:rPr>
          <w:rFonts w:eastAsia="Cambria"/>
        </w:rPr>
        <w:t xml:space="preserve">ing </w:t>
      </w:r>
      <w:r w:rsidR="00B51ED4" w:rsidRPr="00DF23DE">
        <w:rPr>
          <w:rFonts w:eastAsia="Cambria"/>
        </w:rPr>
        <w:t xml:space="preserve">the complainant </w:t>
      </w:r>
      <w:r w:rsidR="008923C7" w:rsidRPr="00DF23DE">
        <w:rPr>
          <w:rFonts w:eastAsia="Cambria"/>
        </w:rPr>
        <w:t xml:space="preserve">to </w:t>
      </w:r>
      <w:r w:rsidR="004109C5" w:rsidRPr="00DF23DE">
        <w:rPr>
          <w:rFonts w:eastAsia="Cambria"/>
        </w:rPr>
        <w:t>the Russian Federation</w:t>
      </w:r>
      <w:r w:rsidR="008923C7" w:rsidRPr="00DF23DE">
        <w:rPr>
          <w:rFonts w:eastAsia="Cambria"/>
        </w:rPr>
        <w:t xml:space="preserve">. </w:t>
      </w:r>
      <w:r w:rsidR="00522740" w:rsidRPr="00DF23DE">
        <w:rPr>
          <w:rFonts w:eastAsia="Cambria"/>
          <w:snapToGrid w:val="0"/>
        </w:rPr>
        <w:t xml:space="preserve">Accordingly, the Committee concludes that the State party’s extradition of the complainant to </w:t>
      </w:r>
      <w:r w:rsidR="004109C5" w:rsidRPr="00DF23DE">
        <w:rPr>
          <w:rFonts w:eastAsia="Cambria"/>
        </w:rPr>
        <w:t>the Russian Federation</w:t>
      </w:r>
      <w:r w:rsidR="004109C5" w:rsidRPr="00DF23DE">
        <w:rPr>
          <w:rFonts w:eastAsia="Cambria"/>
          <w:snapToGrid w:val="0"/>
        </w:rPr>
        <w:t xml:space="preserve"> </w:t>
      </w:r>
      <w:r w:rsidR="00C537C8" w:rsidRPr="00DF23DE">
        <w:rPr>
          <w:rFonts w:eastAsia="Cambria"/>
          <w:snapToGrid w:val="0"/>
        </w:rPr>
        <w:t>constitutes a</w:t>
      </w:r>
      <w:r w:rsidR="00522740" w:rsidRPr="00DF23DE">
        <w:rPr>
          <w:rFonts w:eastAsia="Cambria"/>
          <w:snapToGrid w:val="0"/>
        </w:rPr>
        <w:t xml:space="preserve"> breach of article 3 of the Convention.</w:t>
      </w:r>
    </w:p>
    <w:p w14:paraId="2CF76869" w14:textId="77777777" w:rsidR="00CB6AEA" w:rsidRPr="00DF23DE" w:rsidRDefault="00D63F6F" w:rsidP="00F65158">
      <w:pPr>
        <w:pStyle w:val="SingleTxtG"/>
        <w:rPr>
          <w:rFonts w:eastAsia="Cambria"/>
          <w:snapToGrid w:val="0"/>
        </w:rPr>
      </w:pPr>
      <w:r w:rsidRPr="00DF23DE">
        <w:rPr>
          <w:rFonts w:eastAsia="Cambria"/>
          <w:snapToGrid w:val="0"/>
        </w:rPr>
        <w:t>1</w:t>
      </w:r>
      <w:r w:rsidR="00857A8A" w:rsidRPr="00DF23DE">
        <w:rPr>
          <w:rFonts w:eastAsia="Cambria"/>
          <w:snapToGrid w:val="0"/>
        </w:rPr>
        <w:t>2</w:t>
      </w:r>
      <w:r w:rsidR="00CB6AEA" w:rsidRPr="00DF23DE">
        <w:rPr>
          <w:rFonts w:eastAsia="Cambria"/>
          <w:snapToGrid w:val="0"/>
        </w:rPr>
        <w:t>.</w:t>
      </w:r>
      <w:r w:rsidRPr="00DF23DE">
        <w:rPr>
          <w:rFonts w:eastAsia="Cambria"/>
          <w:snapToGrid w:val="0"/>
        </w:rPr>
        <w:t>8</w:t>
      </w:r>
      <w:r w:rsidR="00CB6AEA" w:rsidRPr="00DF23DE">
        <w:rPr>
          <w:rFonts w:eastAsia="Cambria"/>
          <w:snapToGrid w:val="0"/>
        </w:rPr>
        <w:tab/>
      </w:r>
      <w:r w:rsidR="004A4699" w:rsidRPr="00DF23DE">
        <w:rPr>
          <w:rFonts w:eastAsia="Cambria"/>
          <w:snapToGrid w:val="0"/>
        </w:rPr>
        <w:t>Regarding</w:t>
      </w:r>
      <w:r w:rsidR="00CB6AEA" w:rsidRPr="00DF23DE">
        <w:rPr>
          <w:rFonts w:eastAsia="Cambria"/>
          <w:snapToGrid w:val="0"/>
        </w:rPr>
        <w:t xml:space="preserve"> the diplomatic assurances </w:t>
      </w:r>
      <w:r w:rsidR="00C537C8" w:rsidRPr="00DF23DE">
        <w:rPr>
          <w:rFonts w:eastAsia="Cambria"/>
          <w:snapToGrid w:val="0"/>
        </w:rPr>
        <w:t xml:space="preserve">received </w:t>
      </w:r>
      <w:r w:rsidR="004A4699" w:rsidRPr="00DF23DE">
        <w:rPr>
          <w:rFonts w:eastAsia="Cambria"/>
          <w:snapToGrid w:val="0"/>
        </w:rPr>
        <w:t xml:space="preserve">by the State party </w:t>
      </w:r>
      <w:r w:rsidR="00C537C8" w:rsidRPr="00DF23DE">
        <w:rPr>
          <w:rFonts w:eastAsia="Cambria"/>
          <w:snapToGrid w:val="0"/>
        </w:rPr>
        <w:t xml:space="preserve">from </w:t>
      </w:r>
      <w:r w:rsidR="00540EFE" w:rsidRPr="00DF23DE">
        <w:rPr>
          <w:rFonts w:eastAsia="Cambria"/>
          <w:snapToGrid w:val="0"/>
        </w:rPr>
        <w:t xml:space="preserve">the </w:t>
      </w:r>
      <w:r w:rsidR="004109C5" w:rsidRPr="00DF23DE">
        <w:rPr>
          <w:rFonts w:eastAsia="Cambria"/>
          <w:snapToGrid w:val="0"/>
        </w:rPr>
        <w:t>Russian</w:t>
      </w:r>
      <w:r w:rsidR="00C537C8" w:rsidRPr="00DF23DE">
        <w:rPr>
          <w:rFonts w:eastAsia="Cambria"/>
          <w:snapToGrid w:val="0"/>
        </w:rPr>
        <w:t xml:space="preserve"> authorities </w:t>
      </w:r>
      <w:r w:rsidR="00CB6AEA" w:rsidRPr="00DF23DE">
        <w:rPr>
          <w:rFonts w:eastAsia="Cambria"/>
          <w:snapToGrid w:val="0"/>
        </w:rPr>
        <w:t>as sufficient protection against this manifest risk</w:t>
      </w:r>
      <w:r w:rsidR="004A4699" w:rsidRPr="00DF23DE">
        <w:rPr>
          <w:rFonts w:eastAsia="Cambria"/>
          <w:snapToGrid w:val="0"/>
        </w:rPr>
        <w:t>, t</w:t>
      </w:r>
      <w:r w:rsidR="00CB6AEA" w:rsidRPr="00DF23DE">
        <w:rPr>
          <w:rFonts w:eastAsia="Cambria"/>
          <w:snapToGrid w:val="0"/>
        </w:rPr>
        <w:t xml:space="preserve">he Committee recalls that </w:t>
      </w:r>
      <w:r w:rsidR="004A4699" w:rsidRPr="00DF23DE">
        <w:rPr>
          <w:rFonts w:eastAsia="Cambria"/>
          <w:snapToGrid w:val="0"/>
        </w:rPr>
        <w:t>such</w:t>
      </w:r>
      <w:r w:rsidR="00CB6AEA" w:rsidRPr="00DF23DE">
        <w:rPr>
          <w:rFonts w:eastAsia="Cambria"/>
          <w:snapToGrid w:val="0"/>
        </w:rPr>
        <w:t xml:space="preserve"> assurances cannot be </w:t>
      </w:r>
      <w:r w:rsidR="00F65158" w:rsidRPr="00DF23DE">
        <w:rPr>
          <w:rFonts w:eastAsia="Cambria"/>
          <w:snapToGrid w:val="0"/>
        </w:rPr>
        <w:t xml:space="preserve">used as </w:t>
      </w:r>
      <w:r w:rsidR="00CB6AEA" w:rsidRPr="00DF23DE">
        <w:rPr>
          <w:rFonts w:eastAsia="Cambria"/>
          <w:snapToGrid w:val="0"/>
        </w:rPr>
        <w:t xml:space="preserve">an instrument to avoid the application of the principle of non-refoulement. </w:t>
      </w:r>
      <w:r w:rsidR="004109C5" w:rsidRPr="00DF23DE">
        <w:t xml:space="preserve">The Committee also notes that the State party has </w:t>
      </w:r>
      <w:r w:rsidR="0051042E" w:rsidRPr="00DF23DE">
        <w:t>failed to</w:t>
      </w:r>
      <w:r w:rsidR="004109C5" w:rsidRPr="00DF23DE">
        <w:t xml:space="preserve"> provide any updates on the situation of the complainant after his extradition, as it pledged to do in its submissions.</w:t>
      </w:r>
      <w:r w:rsidR="00CB6AEA" w:rsidRPr="00DF23DE">
        <w:rPr>
          <w:rFonts w:eastAsia="Cambria"/>
          <w:snapToGrid w:val="0"/>
        </w:rPr>
        <w:t xml:space="preserve"> </w:t>
      </w:r>
    </w:p>
    <w:p w14:paraId="2A6D610F" w14:textId="77777777" w:rsidR="00CB6AEA" w:rsidRPr="00DF23DE" w:rsidRDefault="00CE4658" w:rsidP="00540EFE">
      <w:pPr>
        <w:pStyle w:val="SingleTxtG"/>
        <w:rPr>
          <w:rFonts w:eastAsia="Cambria"/>
          <w:snapToGrid w:val="0"/>
        </w:rPr>
      </w:pPr>
      <w:r w:rsidRPr="00DF23DE">
        <w:rPr>
          <w:rFonts w:eastAsia="Cambria"/>
          <w:snapToGrid w:val="0"/>
        </w:rPr>
        <w:t>1</w:t>
      </w:r>
      <w:r w:rsidR="00857A8A" w:rsidRPr="00DF23DE">
        <w:rPr>
          <w:rFonts w:eastAsia="Cambria"/>
          <w:snapToGrid w:val="0"/>
        </w:rPr>
        <w:t>3</w:t>
      </w:r>
      <w:r w:rsidR="00CB6AEA" w:rsidRPr="00DF23DE">
        <w:rPr>
          <w:rFonts w:eastAsia="Cambria"/>
          <w:snapToGrid w:val="0"/>
        </w:rPr>
        <w:t>.</w:t>
      </w:r>
      <w:r w:rsidR="00CB6AEA" w:rsidRPr="00DF23DE">
        <w:rPr>
          <w:rFonts w:eastAsia="Cambria"/>
          <w:snapToGrid w:val="0"/>
        </w:rPr>
        <w:tab/>
        <w:t>The Committee against Torture, acting under article 22</w:t>
      </w:r>
      <w:r w:rsidR="0045018F" w:rsidRPr="00DF23DE">
        <w:rPr>
          <w:rFonts w:eastAsia="Cambria"/>
          <w:snapToGrid w:val="0"/>
        </w:rPr>
        <w:t xml:space="preserve"> (7)</w:t>
      </w:r>
      <w:r w:rsidR="00CB6AEA" w:rsidRPr="00DF23DE">
        <w:rPr>
          <w:rFonts w:eastAsia="Cambria"/>
          <w:snapToGrid w:val="0"/>
        </w:rPr>
        <w:t xml:space="preserve"> of the Convention against Torture and Other Cruel, Inhuman or Degrading Treatment or Punishment, decides that the facts before it </w:t>
      </w:r>
      <w:r w:rsidR="00C66DFD" w:rsidRPr="00DF23DE">
        <w:rPr>
          <w:rFonts w:eastAsia="Cambria"/>
          <w:snapToGrid w:val="0"/>
        </w:rPr>
        <w:t xml:space="preserve">reveal </w:t>
      </w:r>
      <w:r w:rsidR="00CB6AEA" w:rsidRPr="00DF23DE">
        <w:rPr>
          <w:rFonts w:eastAsia="Cambria"/>
          <w:snapToGrid w:val="0"/>
        </w:rPr>
        <w:t xml:space="preserve">a breach by the State party of articles 3 and 22 of the Convention. </w:t>
      </w:r>
    </w:p>
    <w:p w14:paraId="413138EB" w14:textId="77777777" w:rsidR="00CB6AEA" w:rsidRPr="00DF23DE" w:rsidRDefault="00D63F6F" w:rsidP="00540EFE">
      <w:pPr>
        <w:pStyle w:val="SingleTxtG"/>
        <w:rPr>
          <w:rFonts w:eastAsia="Cambria"/>
          <w:snapToGrid w:val="0"/>
        </w:rPr>
      </w:pPr>
      <w:r w:rsidRPr="00DF23DE">
        <w:rPr>
          <w:rFonts w:eastAsia="Cambria"/>
          <w:snapToGrid w:val="0"/>
        </w:rPr>
        <w:t>1</w:t>
      </w:r>
      <w:r w:rsidR="00857A8A" w:rsidRPr="00DF23DE">
        <w:rPr>
          <w:rFonts w:eastAsia="Cambria"/>
          <w:snapToGrid w:val="0"/>
        </w:rPr>
        <w:t>4</w:t>
      </w:r>
      <w:r w:rsidR="00CB6AEA" w:rsidRPr="00DF23DE">
        <w:rPr>
          <w:rFonts w:eastAsia="Cambria"/>
          <w:snapToGrid w:val="0"/>
        </w:rPr>
        <w:t>.</w:t>
      </w:r>
      <w:r w:rsidR="00CB6AEA" w:rsidRPr="00DF23DE">
        <w:rPr>
          <w:rFonts w:eastAsia="Cambria"/>
          <w:snapToGrid w:val="0"/>
        </w:rPr>
        <w:tab/>
        <w:t xml:space="preserve">In conformity with article 118 </w:t>
      </w:r>
      <w:r w:rsidR="00540EFE" w:rsidRPr="00DF23DE">
        <w:rPr>
          <w:rFonts w:eastAsia="Cambria"/>
          <w:snapToGrid w:val="0"/>
        </w:rPr>
        <w:t>(</w:t>
      </w:r>
      <w:r w:rsidR="00CB6AEA" w:rsidRPr="00DF23DE">
        <w:rPr>
          <w:rFonts w:eastAsia="Cambria"/>
          <w:snapToGrid w:val="0"/>
        </w:rPr>
        <w:t>5</w:t>
      </w:r>
      <w:r w:rsidR="00540EFE" w:rsidRPr="00DF23DE">
        <w:rPr>
          <w:rFonts w:eastAsia="Cambria"/>
          <w:snapToGrid w:val="0"/>
        </w:rPr>
        <w:t>)</w:t>
      </w:r>
      <w:r w:rsidR="00CB6AEA" w:rsidRPr="00DF23DE">
        <w:rPr>
          <w:rFonts w:eastAsia="Cambria"/>
          <w:snapToGrid w:val="0"/>
        </w:rPr>
        <w:t xml:space="preserve"> of its rules of procedure, the Committee urges the State party to prov</w:t>
      </w:r>
      <w:r w:rsidR="00CE4658" w:rsidRPr="00DF23DE">
        <w:rPr>
          <w:rFonts w:eastAsia="Cambria"/>
          <w:snapToGrid w:val="0"/>
        </w:rPr>
        <w:t>ide redress for the complainant</w:t>
      </w:r>
      <w:r w:rsidR="00CB6AEA" w:rsidRPr="00DF23DE">
        <w:rPr>
          <w:rFonts w:eastAsia="Cambria"/>
          <w:snapToGrid w:val="0"/>
        </w:rPr>
        <w:t>, including</w:t>
      </w:r>
      <w:r w:rsidR="002F55B4" w:rsidRPr="00DF23DE">
        <w:rPr>
          <w:rFonts w:eastAsia="Cambria"/>
          <w:snapToGrid w:val="0"/>
        </w:rPr>
        <w:t xml:space="preserve"> his return to Kazakhstan, if necessary, or</w:t>
      </w:r>
      <w:r w:rsidR="004C6343" w:rsidRPr="00DF23DE">
        <w:rPr>
          <w:rFonts w:eastAsia="Cambria"/>
          <w:snapToGrid w:val="0"/>
        </w:rPr>
        <w:t xml:space="preserve"> </w:t>
      </w:r>
      <w:r w:rsidR="00FC1897" w:rsidRPr="00DF23DE">
        <w:rPr>
          <w:rFonts w:eastAsia="Cambria"/>
          <w:snapToGrid w:val="0"/>
        </w:rPr>
        <w:t xml:space="preserve">regular visits and </w:t>
      </w:r>
      <w:r w:rsidR="004C6343" w:rsidRPr="00DF23DE">
        <w:rPr>
          <w:rFonts w:eastAsia="Cambria"/>
          <w:snapToGrid w:val="0"/>
        </w:rPr>
        <w:t xml:space="preserve">effective </w:t>
      </w:r>
      <w:r w:rsidR="00FC1897" w:rsidRPr="00DF23DE">
        <w:rPr>
          <w:rFonts w:eastAsia="Cambria"/>
          <w:snapToGrid w:val="0"/>
        </w:rPr>
        <w:t xml:space="preserve">monitoring </w:t>
      </w:r>
      <w:r w:rsidR="002F55B4" w:rsidRPr="00DF23DE">
        <w:rPr>
          <w:rFonts w:eastAsia="Cambria"/>
          <w:snapToGrid w:val="0"/>
        </w:rPr>
        <w:t xml:space="preserve">if he is in detention, </w:t>
      </w:r>
      <w:r w:rsidR="00FC1897" w:rsidRPr="00DF23DE">
        <w:rPr>
          <w:rFonts w:eastAsia="Cambria"/>
          <w:snapToGrid w:val="0"/>
        </w:rPr>
        <w:t>t</w:t>
      </w:r>
      <w:r w:rsidR="004C6343" w:rsidRPr="00DF23DE">
        <w:rPr>
          <w:rFonts w:eastAsia="Cambria"/>
          <w:snapToGrid w:val="0"/>
        </w:rPr>
        <w:t>o ensure tha</w:t>
      </w:r>
      <w:r w:rsidR="00FC1897" w:rsidRPr="00DF23DE">
        <w:rPr>
          <w:rFonts w:eastAsia="Cambria"/>
          <w:snapToGrid w:val="0"/>
        </w:rPr>
        <w:t>t he is not subjected to treatment contrary to article 3 of the Convention</w:t>
      </w:r>
      <w:r w:rsidR="004C6343" w:rsidRPr="00DF23DE">
        <w:rPr>
          <w:rFonts w:eastAsia="Cambria"/>
          <w:snapToGrid w:val="0"/>
        </w:rPr>
        <w:t xml:space="preserve">. The complainant is also entitled to </w:t>
      </w:r>
      <w:r w:rsidR="00FC1897" w:rsidRPr="00DF23DE">
        <w:rPr>
          <w:rFonts w:eastAsia="Cambria"/>
          <w:snapToGrid w:val="0"/>
        </w:rPr>
        <w:t xml:space="preserve">an </w:t>
      </w:r>
      <w:r w:rsidR="00CB6AEA" w:rsidRPr="00DF23DE">
        <w:rPr>
          <w:rFonts w:eastAsia="Cambria"/>
          <w:snapToGrid w:val="0"/>
        </w:rPr>
        <w:t>adequate compensation</w:t>
      </w:r>
      <w:r w:rsidR="008C7C8F" w:rsidRPr="00DF23DE">
        <w:rPr>
          <w:rFonts w:eastAsia="Cambria"/>
          <w:snapToGrid w:val="0"/>
        </w:rPr>
        <w:t xml:space="preserve">. </w:t>
      </w:r>
      <w:r w:rsidR="004C6343" w:rsidRPr="00DF23DE">
        <w:rPr>
          <w:rFonts w:eastAsia="Cambria"/>
          <w:snapToGrid w:val="0"/>
        </w:rPr>
        <w:t xml:space="preserve">The Committee </w:t>
      </w:r>
      <w:r w:rsidR="00CB6AEA" w:rsidRPr="00DF23DE">
        <w:rPr>
          <w:rFonts w:eastAsia="Cambria"/>
          <w:snapToGrid w:val="0"/>
        </w:rPr>
        <w:t xml:space="preserve">wishes to be informed, within 90 days, </w:t>
      </w:r>
      <w:r w:rsidR="00F65158" w:rsidRPr="00DF23DE">
        <w:rPr>
          <w:rFonts w:eastAsia="Cambria"/>
          <w:snapToGrid w:val="0"/>
        </w:rPr>
        <w:t xml:space="preserve">of </w:t>
      </w:r>
      <w:r w:rsidR="00CB6AEA" w:rsidRPr="00DF23DE">
        <w:rPr>
          <w:rFonts w:eastAsia="Cambria"/>
          <w:snapToGrid w:val="0"/>
        </w:rPr>
        <w:t xml:space="preserve">the steps taken by the State party to respond to </w:t>
      </w:r>
      <w:r w:rsidR="00540EFE" w:rsidRPr="00DF23DE">
        <w:rPr>
          <w:rFonts w:eastAsia="Cambria"/>
          <w:snapToGrid w:val="0"/>
        </w:rPr>
        <w:t xml:space="preserve">the present </w:t>
      </w:r>
      <w:r w:rsidR="00E735D6" w:rsidRPr="00DF23DE">
        <w:rPr>
          <w:rFonts w:eastAsia="Cambria"/>
          <w:snapToGrid w:val="0"/>
        </w:rPr>
        <w:t>Decision</w:t>
      </w:r>
      <w:r w:rsidR="00CB6AEA" w:rsidRPr="00DF23DE">
        <w:rPr>
          <w:rFonts w:eastAsia="Cambria"/>
          <w:snapToGrid w:val="0"/>
        </w:rPr>
        <w:t>.</w:t>
      </w:r>
    </w:p>
    <w:p w14:paraId="18615941" w14:textId="77777777" w:rsidR="007821E7" w:rsidRPr="00DF23DE" w:rsidRDefault="00CB6AEA" w:rsidP="007669C7">
      <w:pPr>
        <w:pStyle w:val="SingleTxtG"/>
        <w:spacing w:before="240" w:after="0"/>
        <w:jc w:val="center"/>
        <w:rPr>
          <w:u w:val="single"/>
        </w:rPr>
      </w:pPr>
      <w:r w:rsidRPr="00DF23DE">
        <w:rPr>
          <w:u w:val="single"/>
        </w:rPr>
        <w:tab/>
      </w:r>
      <w:r w:rsidRPr="00DF23DE">
        <w:rPr>
          <w:u w:val="single"/>
        </w:rPr>
        <w:tab/>
      </w:r>
      <w:r w:rsidRPr="00DF23DE">
        <w:rPr>
          <w:u w:val="single"/>
        </w:rPr>
        <w:tab/>
      </w:r>
    </w:p>
    <w:p w14:paraId="69A9C9D5" w14:textId="77777777" w:rsidR="00C669CC" w:rsidRPr="00DF23DE" w:rsidRDefault="00C669CC">
      <w:pPr>
        <w:suppressAutoHyphens w:val="0"/>
        <w:spacing w:line="240" w:lineRule="auto"/>
        <w:rPr>
          <w:u w:val="single"/>
        </w:rPr>
      </w:pPr>
      <w:r w:rsidRPr="00DF23DE">
        <w:rPr>
          <w:u w:val="single"/>
        </w:rPr>
        <w:br w:type="page"/>
      </w:r>
    </w:p>
    <w:p w14:paraId="31B0EB90" w14:textId="77777777" w:rsidR="00C669CC" w:rsidRPr="00DF23DE" w:rsidRDefault="00C669CC" w:rsidP="00C669CC">
      <w:pPr>
        <w:pStyle w:val="HChG"/>
      </w:pPr>
      <w:r w:rsidRPr="00DF23DE">
        <w:t>Appendix</w:t>
      </w:r>
    </w:p>
    <w:p w14:paraId="6B49BE77" w14:textId="77777777" w:rsidR="00C669CC" w:rsidRPr="00DF23DE" w:rsidRDefault="00C669CC" w:rsidP="00E71125">
      <w:pPr>
        <w:keepNext/>
        <w:keepLines/>
        <w:spacing w:before="360" w:after="240" w:line="270" w:lineRule="exact"/>
        <w:ind w:left="1134" w:right="1134"/>
        <w:rPr>
          <w:u w:val="single"/>
        </w:rPr>
      </w:pPr>
      <w:r w:rsidRPr="00DF23DE">
        <w:rPr>
          <w:b/>
          <w:sz w:val="24"/>
        </w:rPr>
        <w:t>Individual dissenting opinion of Committee member Alessio Bruni</w:t>
      </w:r>
    </w:p>
    <w:p w14:paraId="071CBC31" w14:textId="77777777" w:rsidR="00C669CC" w:rsidRPr="00DF23DE" w:rsidRDefault="00C669CC" w:rsidP="00044076">
      <w:pPr>
        <w:pStyle w:val="SingleTxtG"/>
        <w:rPr>
          <w:lang w:eastAsia="zh-CN"/>
        </w:rPr>
      </w:pPr>
      <w:r w:rsidRPr="00DF23DE">
        <w:rPr>
          <w:lang w:eastAsia="zh-CN"/>
        </w:rPr>
        <w:t>1.</w:t>
      </w:r>
      <w:r w:rsidRPr="00DF23DE">
        <w:rPr>
          <w:lang w:eastAsia="zh-CN"/>
        </w:rPr>
        <w:tab/>
        <w:t>It is my opinion that the words “the State party seriously failed in its obligations under article 22 of the Convention” appearing in paragraph 10.</w:t>
      </w:r>
      <w:r w:rsidR="00044076" w:rsidRPr="00DF23DE">
        <w:rPr>
          <w:lang w:eastAsia="zh-CN"/>
        </w:rPr>
        <w:t xml:space="preserve">2 </w:t>
      </w:r>
      <w:r w:rsidRPr="00DF23DE">
        <w:rPr>
          <w:lang w:eastAsia="zh-CN"/>
        </w:rPr>
        <w:t>of the Committee’s decision should be replaced by the words “the State party raised serious doubts about its willingness to implement article 22 of the Convention in good faith”.</w:t>
      </w:r>
    </w:p>
    <w:p w14:paraId="746C5912" w14:textId="77777777" w:rsidR="00C669CC" w:rsidRPr="00DF23DE" w:rsidRDefault="00C669CC" w:rsidP="00E467B0">
      <w:pPr>
        <w:pStyle w:val="SingleTxtG"/>
        <w:rPr>
          <w:lang w:eastAsia="zh-CN"/>
        </w:rPr>
      </w:pPr>
      <w:r w:rsidRPr="00DF23DE">
        <w:rPr>
          <w:lang w:eastAsia="zh-CN"/>
        </w:rPr>
        <w:t>2.</w:t>
      </w:r>
      <w:r w:rsidRPr="00DF23DE">
        <w:rPr>
          <w:lang w:eastAsia="zh-CN"/>
        </w:rPr>
        <w:tab/>
        <w:t xml:space="preserve">Consequently, the last sentence of paragraph 10.3 should be deleted because the State party’s failure concerned its compliance with the Committee’s request for interim measures pursuant to rule 114 of its </w:t>
      </w:r>
      <w:r w:rsidR="00044076" w:rsidRPr="00DF23DE">
        <w:rPr>
          <w:lang w:eastAsia="zh-CN"/>
        </w:rPr>
        <w:t>r</w:t>
      </w:r>
      <w:r w:rsidRPr="00DF23DE">
        <w:rPr>
          <w:lang w:eastAsia="zh-CN"/>
        </w:rPr>
        <w:t xml:space="preserve">ules of </w:t>
      </w:r>
      <w:r w:rsidR="00044076" w:rsidRPr="00DF23DE">
        <w:rPr>
          <w:lang w:eastAsia="zh-CN"/>
        </w:rPr>
        <w:t>p</w:t>
      </w:r>
      <w:r w:rsidRPr="00DF23DE">
        <w:rPr>
          <w:lang w:eastAsia="zh-CN"/>
        </w:rPr>
        <w:t>rocedure and not the Convention.</w:t>
      </w:r>
    </w:p>
    <w:p w14:paraId="7BA20D5C" w14:textId="77777777" w:rsidR="00C669CC" w:rsidRPr="00DF23DE" w:rsidRDefault="00C669CC" w:rsidP="00C669CC">
      <w:pPr>
        <w:pStyle w:val="SingleTxtG"/>
        <w:rPr>
          <w:lang w:eastAsia="zh-CN"/>
        </w:rPr>
      </w:pPr>
      <w:r w:rsidRPr="00DF23DE">
        <w:rPr>
          <w:lang w:eastAsia="zh-CN"/>
        </w:rPr>
        <w:t>3.</w:t>
      </w:r>
      <w:r w:rsidRPr="00DF23DE">
        <w:rPr>
          <w:lang w:eastAsia="zh-CN"/>
        </w:rPr>
        <w:tab/>
        <w:t>In addition, paragraph 13 should be reformulated as follows:</w:t>
      </w:r>
    </w:p>
    <w:p w14:paraId="12E76C26" w14:textId="77777777" w:rsidR="00C669CC" w:rsidRPr="00DF23DE" w:rsidRDefault="00C669CC" w:rsidP="00C90A5B">
      <w:pPr>
        <w:pStyle w:val="SingleTxtG"/>
        <w:ind w:left="1701"/>
        <w:rPr>
          <w:lang w:eastAsia="zh-CN"/>
        </w:rPr>
      </w:pPr>
      <w:r w:rsidRPr="00DF23DE">
        <w:rPr>
          <w:lang w:eastAsia="zh-CN"/>
        </w:rPr>
        <w:t xml:space="preserve">The Committee against Torture, acting under article 22 </w:t>
      </w:r>
      <w:r w:rsidR="00C90A5B" w:rsidRPr="00DF23DE">
        <w:rPr>
          <w:lang w:eastAsia="zh-CN"/>
        </w:rPr>
        <w:t>(</w:t>
      </w:r>
      <w:r w:rsidRPr="00DF23DE">
        <w:rPr>
          <w:lang w:eastAsia="zh-CN"/>
        </w:rPr>
        <w:t>7</w:t>
      </w:r>
      <w:r w:rsidR="00C90A5B" w:rsidRPr="00DF23DE">
        <w:rPr>
          <w:lang w:eastAsia="zh-CN"/>
        </w:rPr>
        <w:t>)</w:t>
      </w:r>
      <w:r w:rsidRPr="00DF23DE">
        <w:rPr>
          <w:lang w:eastAsia="zh-CN"/>
        </w:rPr>
        <w:t xml:space="preserve"> of the Convention against Torture and Other Cruel, Inhuman or Degrading Treatment or Punishment, decides that the facts before it reveal a breach by the State party of article 3 of the Convention.</w:t>
      </w:r>
      <w:r w:rsidR="00E71125" w:rsidRPr="00DF23DE">
        <w:rPr>
          <w:lang w:eastAsia="zh-CN"/>
        </w:rPr>
        <w:t xml:space="preserve"> </w:t>
      </w:r>
      <w:r w:rsidRPr="00DF23DE">
        <w:rPr>
          <w:lang w:eastAsia="zh-CN"/>
        </w:rPr>
        <w:t xml:space="preserve">In addition, the non-compliance by the State party with the Committee’s reiterated requests for interim measures pursuant to rule 114 of its </w:t>
      </w:r>
      <w:r w:rsidR="00C90A5B" w:rsidRPr="00DF23DE">
        <w:rPr>
          <w:lang w:eastAsia="zh-CN"/>
        </w:rPr>
        <w:t>r</w:t>
      </w:r>
      <w:r w:rsidRPr="00DF23DE">
        <w:rPr>
          <w:lang w:eastAsia="zh-CN"/>
        </w:rPr>
        <w:t xml:space="preserve">ules of </w:t>
      </w:r>
      <w:r w:rsidR="00C90A5B" w:rsidRPr="00DF23DE">
        <w:rPr>
          <w:lang w:eastAsia="zh-CN"/>
        </w:rPr>
        <w:t>p</w:t>
      </w:r>
      <w:r w:rsidRPr="00DF23DE">
        <w:rPr>
          <w:lang w:eastAsia="zh-CN"/>
        </w:rPr>
        <w:t>rocedure caused a serious damage to the effectiveness of the Committee’s deliberations and raised a serious doubt about the willingness of the State party to implement article 22 of the Convention in good faith.</w:t>
      </w:r>
    </w:p>
    <w:p w14:paraId="532CACAB" w14:textId="77777777" w:rsidR="00C669CC" w:rsidRPr="00DF23DE" w:rsidRDefault="00E71125" w:rsidP="00C90A5B">
      <w:pPr>
        <w:pStyle w:val="SingleTxtG"/>
        <w:rPr>
          <w:lang w:eastAsia="zh-CN"/>
        </w:rPr>
      </w:pPr>
      <w:r w:rsidRPr="00DF23DE">
        <w:rPr>
          <w:lang w:eastAsia="zh-CN"/>
        </w:rPr>
        <w:t>4.</w:t>
      </w:r>
      <w:r w:rsidRPr="00DF23DE">
        <w:rPr>
          <w:lang w:eastAsia="zh-CN"/>
        </w:rPr>
        <w:tab/>
      </w:r>
      <w:r w:rsidR="00C669CC" w:rsidRPr="00DF23DE">
        <w:rPr>
          <w:lang w:eastAsia="zh-CN"/>
        </w:rPr>
        <w:t xml:space="preserve">In the present case, in its information </w:t>
      </w:r>
      <w:r w:rsidR="00C90A5B" w:rsidRPr="00DF23DE">
        <w:rPr>
          <w:lang w:eastAsia="zh-CN"/>
        </w:rPr>
        <w:t xml:space="preserve">dated </w:t>
      </w:r>
      <w:r w:rsidR="00C669CC" w:rsidRPr="00DF23DE">
        <w:rPr>
          <w:lang w:eastAsia="zh-CN"/>
        </w:rPr>
        <w:t xml:space="preserve">26 April 2014, the State party explained that, under its national law, one year is the maximum duration of extradition detention, after which a person has to be extradited or released. Taking into account the Committee’s request for interim </w:t>
      </w:r>
      <w:r w:rsidR="00C90A5B" w:rsidRPr="00DF23DE">
        <w:rPr>
          <w:lang w:eastAsia="zh-CN"/>
        </w:rPr>
        <w:t xml:space="preserve">protection </w:t>
      </w:r>
      <w:r w:rsidR="00C669CC" w:rsidRPr="00DF23DE">
        <w:rPr>
          <w:lang w:eastAsia="zh-CN"/>
        </w:rPr>
        <w:t>measures and subsequent suspension of extradition of the complainant, the State party asked the Committee for guidance on how to proceed. The Committee reiterated the interim measures without providing any guidance (</w:t>
      </w:r>
      <w:r w:rsidR="00C90A5B" w:rsidRPr="00DF23DE">
        <w:rPr>
          <w:lang w:eastAsia="zh-CN"/>
        </w:rPr>
        <w:t xml:space="preserve">see para. </w:t>
      </w:r>
      <w:r w:rsidR="00C669CC" w:rsidRPr="00DF23DE">
        <w:rPr>
          <w:lang w:eastAsia="zh-CN"/>
        </w:rPr>
        <w:t>6.1</w:t>
      </w:r>
      <w:r w:rsidR="00C90A5B" w:rsidRPr="00DF23DE">
        <w:rPr>
          <w:lang w:eastAsia="zh-CN"/>
        </w:rPr>
        <w:t xml:space="preserve"> of the Committee’s decision</w:t>
      </w:r>
      <w:r w:rsidR="00C669CC" w:rsidRPr="00DF23DE">
        <w:rPr>
          <w:lang w:eastAsia="zh-CN"/>
        </w:rPr>
        <w:t>).</w:t>
      </w:r>
    </w:p>
    <w:p w14:paraId="73E9052B" w14:textId="77777777" w:rsidR="00C669CC" w:rsidRPr="00DF23DE" w:rsidRDefault="00E71125" w:rsidP="00C90A5B">
      <w:pPr>
        <w:pStyle w:val="SingleTxtG"/>
        <w:rPr>
          <w:lang w:eastAsia="zh-CN"/>
        </w:rPr>
      </w:pPr>
      <w:r w:rsidRPr="00DF23DE">
        <w:rPr>
          <w:lang w:eastAsia="zh-CN"/>
        </w:rPr>
        <w:t>5.</w:t>
      </w:r>
      <w:r w:rsidRPr="00DF23DE">
        <w:rPr>
          <w:lang w:eastAsia="zh-CN"/>
        </w:rPr>
        <w:tab/>
      </w:r>
      <w:r w:rsidR="00C669CC" w:rsidRPr="00DF23DE">
        <w:rPr>
          <w:lang w:eastAsia="zh-CN"/>
        </w:rPr>
        <w:t xml:space="preserve">As a consequence, the State party gave priority to the respect of its national law and its obligations under the </w:t>
      </w:r>
      <w:r w:rsidR="00C90A5B" w:rsidRPr="00DF23DE">
        <w:rPr>
          <w:snapToGrid w:val="0"/>
        </w:rPr>
        <w:t xml:space="preserve">Convention on Legal Assistance and Legal Relations in Civil, Family and Criminal Matters (the Minsk Convention) </w:t>
      </w:r>
      <w:r w:rsidR="00C669CC" w:rsidRPr="00DF23DE">
        <w:rPr>
          <w:lang w:eastAsia="zh-CN"/>
        </w:rPr>
        <w:t xml:space="preserve">over one of the Committee’s </w:t>
      </w:r>
      <w:r w:rsidR="00C90A5B" w:rsidRPr="00DF23DE">
        <w:rPr>
          <w:lang w:eastAsia="zh-CN"/>
        </w:rPr>
        <w:t>r</w:t>
      </w:r>
      <w:r w:rsidR="00C669CC" w:rsidRPr="00DF23DE">
        <w:rPr>
          <w:lang w:eastAsia="zh-CN"/>
        </w:rPr>
        <w:t xml:space="preserve">ules of </w:t>
      </w:r>
      <w:r w:rsidR="00C90A5B" w:rsidRPr="00DF23DE">
        <w:rPr>
          <w:lang w:eastAsia="zh-CN"/>
        </w:rPr>
        <w:t>p</w:t>
      </w:r>
      <w:r w:rsidR="00C669CC" w:rsidRPr="00DF23DE">
        <w:rPr>
          <w:lang w:eastAsia="zh-CN"/>
        </w:rPr>
        <w:t>rocedure (</w:t>
      </w:r>
      <w:r w:rsidR="00C90A5B" w:rsidRPr="00DF23DE">
        <w:rPr>
          <w:lang w:eastAsia="zh-CN"/>
        </w:rPr>
        <w:t xml:space="preserve">see para. </w:t>
      </w:r>
      <w:r w:rsidR="00C669CC" w:rsidRPr="00DF23DE">
        <w:rPr>
          <w:lang w:eastAsia="zh-CN"/>
        </w:rPr>
        <w:t>9.2</w:t>
      </w:r>
      <w:r w:rsidR="00C90A5B" w:rsidRPr="00DF23DE">
        <w:rPr>
          <w:lang w:eastAsia="zh-CN"/>
        </w:rPr>
        <w:t xml:space="preserve"> of the Committee’s decision</w:t>
      </w:r>
      <w:r w:rsidR="00C669CC" w:rsidRPr="00DF23DE">
        <w:rPr>
          <w:lang w:eastAsia="zh-CN"/>
        </w:rPr>
        <w:t>).</w:t>
      </w:r>
    </w:p>
    <w:p w14:paraId="4D7835C9" w14:textId="77777777" w:rsidR="00C669CC" w:rsidRPr="00044076" w:rsidRDefault="00E71125" w:rsidP="00C90A5B">
      <w:pPr>
        <w:pStyle w:val="SingleTxtG"/>
        <w:rPr>
          <w:lang w:eastAsia="zh-CN"/>
        </w:rPr>
      </w:pPr>
      <w:r w:rsidRPr="00DF23DE">
        <w:rPr>
          <w:lang w:eastAsia="zh-CN"/>
        </w:rPr>
        <w:t>6</w:t>
      </w:r>
      <w:r w:rsidR="00C669CC" w:rsidRPr="00DF23DE">
        <w:rPr>
          <w:lang w:eastAsia="zh-CN"/>
        </w:rPr>
        <w:t>.</w:t>
      </w:r>
      <w:r w:rsidR="00C669CC" w:rsidRPr="00DF23DE">
        <w:rPr>
          <w:lang w:eastAsia="zh-CN"/>
        </w:rPr>
        <w:tab/>
        <w:t xml:space="preserve">In these circumstances, the Committee should not have decided that the facts before it reveal a breach by the State party of </w:t>
      </w:r>
      <w:r w:rsidR="00C90A5B" w:rsidRPr="00DF23DE">
        <w:rPr>
          <w:lang w:eastAsia="zh-CN"/>
        </w:rPr>
        <w:t>a</w:t>
      </w:r>
      <w:r w:rsidR="00C669CC" w:rsidRPr="00DF23DE">
        <w:rPr>
          <w:lang w:eastAsia="zh-CN"/>
        </w:rPr>
        <w:t>rticle 22 of the Convention, but should have blamed the State party for its lack of cooperation with the Committee in the present case</w:t>
      </w:r>
      <w:r w:rsidR="00C90A5B" w:rsidRPr="00DF23DE">
        <w:rPr>
          <w:lang w:eastAsia="zh-CN"/>
        </w:rPr>
        <w:t>,</w:t>
      </w:r>
      <w:r w:rsidR="00C669CC" w:rsidRPr="00DF23DE">
        <w:rPr>
          <w:lang w:eastAsia="zh-CN"/>
        </w:rPr>
        <w:t xml:space="preserve"> which undermined the Committee’s effectiveness of its mandate under article 22 of the Convention.</w:t>
      </w:r>
      <w:r w:rsidR="00C669CC" w:rsidRPr="00044076">
        <w:rPr>
          <w:lang w:eastAsia="zh-CN"/>
        </w:rPr>
        <w:t xml:space="preserve"> </w:t>
      </w:r>
    </w:p>
    <w:p w14:paraId="17B440E8" w14:textId="77777777" w:rsidR="00C669CC" w:rsidRPr="00044076" w:rsidRDefault="00C669CC" w:rsidP="00C669CC">
      <w:pPr>
        <w:pStyle w:val="SingleTxtG"/>
        <w:rPr>
          <w:lang w:eastAsia="zh-CN"/>
        </w:rPr>
      </w:pPr>
    </w:p>
    <w:p w14:paraId="792AB26F" w14:textId="77777777" w:rsidR="00C669CC" w:rsidRPr="00044076" w:rsidRDefault="00C669CC" w:rsidP="00E71125">
      <w:pPr>
        <w:pStyle w:val="SingleTxtG"/>
        <w:spacing w:before="240" w:after="0"/>
        <w:jc w:val="center"/>
        <w:rPr>
          <w:rFonts w:ascii="Calibri" w:hAnsi="Calibri"/>
          <w:lang w:eastAsia="zh-CN"/>
        </w:rPr>
      </w:pPr>
      <w:r w:rsidRPr="00044076">
        <w:rPr>
          <w:u w:val="single"/>
          <w:lang w:eastAsia="zh-CN"/>
        </w:rPr>
        <w:tab/>
      </w:r>
      <w:r w:rsidRPr="00044076">
        <w:rPr>
          <w:u w:val="single"/>
          <w:lang w:eastAsia="zh-CN"/>
        </w:rPr>
        <w:tab/>
      </w:r>
      <w:r w:rsidRPr="00044076">
        <w:rPr>
          <w:u w:val="single"/>
          <w:lang w:eastAsia="zh-CN"/>
        </w:rPr>
        <w:tab/>
      </w:r>
    </w:p>
    <w:p w14:paraId="760C4854" w14:textId="77777777" w:rsidR="00C669CC" w:rsidRPr="00044076" w:rsidRDefault="00C669CC" w:rsidP="00C669CC">
      <w:pPr>
        <w:pStyle w:val="SingleTxtG"/>
        <w:spacing w:before="240" w:after="0"/>
      </w:pPr>
    </w:p>
    <w:p w14:paraId="503FB008" w14:textId="77777777" w:rsidR="00C669CC" w:rsidRPr="00044076" w:rsidRDefault="00C669CC" w:rsidP="007669C7">
      <w:pPr>
        <w:pStyle w:val="SingleTxtG"/>
        <w:spacing w:before="240" w:after="0"/>
        <w:jc w:val="center"/>
      </w:pPr>
    </w:p>
    <w:sectPr w:rsidR="00C669CC" w:rsidRPr="00044076" w:rsidSect="0006683C">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0-09T15:49:00Z" w:initials="Start">
    <w:p w14:paraId="6DECB757" w14:textId="77777777" w:rsidR="0006683C" w:rsidRDefault="000668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NO&gt;&gt;N1523131E&lt;&lt;ODS JOB NO&gt;&gt;</w:t>
      </w:r>
    </w:p>
    <w:p w14:paraId="2D4276CC" w14:textId="77777777" w:rsidR="0006683C" w:rsidRDefault="0006683C">
      <w:pPr>
        <w:pStyle w:val="CommentText"/>
      </w:pPr>
      <w:r>
        <w:t>&lt;&lt;ODS DOC SYMBOL1&gt;&gt;CAT/C/55/D/554/2013&lt;&lt;ODS DOC SYMBOL1&gt;&gt;</w:t>
      </w:r>
    </w:p>
    <w:p w14:paraId="69D4430E" w14:textId="77777777" w:rsidR="0006683C" w:rsidRDefault="0006683C">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D443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D7141" w14:textId="77777777" w:rsidR="004E7E59" w:rsidRDefault="004E7E59"/>
  </w:endnote>
  <w:endnote w:type="continuationSeparator" w:id="0">
    <w:p w14:paraId="2B07E8EC" w14:textId="77777777" w:rsidR="004E7E59" w:rsidRDefault="004E7E59"/>
  </w:endnote>
  <w:endnote w:type="continuationNotice" w:id="1">
    <w:p w14:paraId="585CDDF5" w14:textId="77777777" w:rsidR="004E7E59" w:rsidRDefault="004E7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rcode 3 of 9 by reques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6C66C" w14:textId="77777777" w:rsidR="000B3C2B" w:rsidRPr="00785A61" w:rsidRDefault="000B3C2B" w:rsidP="000654EB">
    <w:pPr>
      <w:pStyle w:val="Footer"/>
      <w:tabs>
        <w:tab w:val="right" w:pos="9638"/>
      </w:tabs>
    </w:pPr>
    <w:r w:rsidRPr="00785A61">
      <w:rPr>
        <w:b/>
        <w:sz w:val="18"/>
      </w:rPr>
      <w:fldChar w:fldCharType="begin"/>
    </w:r>
    <w:r w:rsidRPr="00785A61">
      <w:rPr>
        <w:b/>
        <w:sz w:val="18"/>
      </w:rPr>
      <w:instrText xml:space="preserve"> PAGE  \* MERGEFORMAT </w:instrText>
    </w:r>
    <w:r w:rsidRPr="00785A61">
      <w:rPr>
        <w:b/>
        <w:sz w:val="18"/>
      </w:rPr>
      <w:fldChar w:fldCharType="separate"/>
    </w:r>
    <w:r w:rsidR="00164E6C">
      <w:rPr>
        <w:b/>
        <w:noProof/>
        <w:sz w:val="18"/>
      </w:rPr>
      <w:t>2</w:t>
    </w:r>
    <w:r w:rsidRPr="00785A61">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8031E" w14:textId="77777777" w:rsidR="000B3C2B" w:rsidRPr="00785A61" w:rsidRDefault="000B3C2B" w:rsidP="00785A61">
    <w:pPr>
      <w:pStyle w:val="Footer"/>
      <w:tabs>
        <w:tab w:val="right" w:pos="9638"/>
      </w:tabs>
      <w:rPr>
        <w:b/>
        <w:sz w:val="18"/>
      </w:rPr>
    </w:pPr>
    <w:r>
      <w:tab/>
    </w:r>
    <w:r w:rsidRPr="00785A61">
      <w:rPr>
        <w:b/>
        <w:sz w:val="18"/>
      </w:rPr>
      <w:fldChar w:fldCharType="begin"/>
    </w:r>
    <w:r w:rsidRPr="00785A61">
      <w:rPr>
        <w:b/>
        <w:sz w:val="18"/>
      </w:rPr>
      <w:instrText xml:space="preserve"> PAGE  \* MERGEFORMAT </w:instrText>
    </w:r>
    <w:r w:rsidRPr="00785A61">
      <w:rPr>
        <w:b/>
        <w:sz w:val="18"/>
      </w:rPr>
      <w:fldChar w:fldCharType="separate"/>
    </w:r>
    <w:r w:rsidR="00164E6C">
      <w:rPr>
        <w:b/>
        <w:noProof/>
        <w:sz w:val="18"/>
      </w:rPr>
      <w:t>3</w:t>
    </w:r>
    <w:r w:rsidRPr="00785A6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06683C" w14:paraId="0EE045EE" w14:textId="77777777" w:rsidTr="0006683C">
      <w:tc>
        <w:tcPr>
          <w:tcW w:w="3614" w:type="dxa"/>
          <w:shd w:val="clear" w:color="auto" w:fill="auto"/>
        </w:tcPr>
        <w:p w14:paraId="49D9DAD3" w14:textId="77777777" w:rsidR="0006683C" w:rsidRDefault="0006683C" w:rsidP="0006683C">
          <w:pPr>
            <w:pStyle w:val="Footer"/>
            <w:rPr>
              <w:sz w:val="20"/>
            </w:rPr>
          </w:pPr>
          <w:r>
            <w:rPr>
              <w:noProof/>
              <w:lang w:val="en-US"/>
            </w:rPr>
            <w:drawing>
              <wp:anchor distT="0" distB="0" distL="114300" distR="114300" simplePos="0" relativeHeight="251659264" behindDoc="0" locked="0" layoutInCell="1" allowOverlap="1" wp14:anchorId="532205E6" wp14:editId="5B49380C">
                <wp:simplePos x="0" y="0"/>
                <wp:positionH relativeFrom="page">
                  <wp:posOffset>5339715</wp:posOffset>
                </wp:positionH>
                <wp:positionV relativeFrom="page">
                  <wp:posOffset>-365760</wp:posOffset>
                </wp:positionV>
                <wp:extent cx="694690" cy="694690"/>
                <wp:effectExtent l="0" t="0" r="0" b="0"/>
                <wp:wrapNone/>
                <wp:docPr id="1" name="Picture 1" descr="http://undocs.org/m2/QRCode2.ashx?DS=CAT/C/55/D/554/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5/D/554/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20"/>
            </w:rPr>
            <w:t>GE.15-17474(E)</w:t>
          </w:r>
        </w:p>
        <w:p w14:paraId="45ACA64C" w14:textId="77777777" w:rsidR="0006683C" w:rsidRPr="0006683C" w:rsidRDefault="0006683C" w:rsidP="0006683C">
          <w:pPr>
            <w:pStyle w:val="Footer"/>
            <w:rPr>
              <w:rFonts w:ascii="Barcode 3 of 9 by request" w:hAnsi="Barcode 3 of 9 by request"/>
              <w:sz w:val="24"/>
            </w:rPr>
          </w:pPr>
          <w:r>
            <w:rPr>
              <w:rFonts w:ascii="Barcode 3 of 9 by request" w:hAnsi="Barcode 3 of 9 by request"/>
              <w:sz w:val="24"/>
            </w:rPr>
            <w:t>*1517474*</w:t>
          </w:r>
        </w:p>
      </w:tc>
      <w:tc>
        <w:tcPr>
          <w:tcW w:w="4752" w:type="dxa"/>
          <w:shd w:val="clear" w:color="auto" w:fill="auto"/>
        </w:tcPr>
        <w:p w14:paraId="0B747CB1" w14:textId="77777777" w:rsidR="0006683C" w:rsidRDefault="0006683C" w:rsidP="0006683C">
          <w:pPr>
            <w:pStyle w:val="Footer"/>
            <w:spacing w:line="240" w:lineRule="atLeast"/>
            <w:jc w:val="right"/>
            <w:rPr>
              <w:sz w:val="20"/>
            </w:rPr>
          </w:pPr>
          <w:r>
            <w:rPr>
              <w:noProof/>
              <w:sz w:val="20"/>
              <w:lang w:val="en-US"/>
            </w:rPr>
            <w:drawing>
              <wp:inline distT="0" distB="0" distL="0" distR="0" wp14:anchorId="22F808FD" wp14:editId="207DA994">
                <wp:extent cx="933450" cy="228600"/>
                <wp:effectExtent l="0" t="0" r="0" b="0"/>
                <wp:docPr id="2" name="Picture 2" descr="C:\Word2010\WordMacros\recycle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ord2010\WordMacros\recycle_Englis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p>
      </w:tc>
    </w:tr>
  </w:tbl>
  <w:p w14:paraId="4CE774B5" w14:textId="77777777" w:rsidR="0006683C" w:rsidRPr="0006683C" w:rsidRDefault="0006683C" w:rsidP="0006683C">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0F9C0" w14:textId="77777777" w:rsidR="004E7E59" w:rsidRPr="000B175B" w:rsidRDefault="004E7E59" w:rsidP="000B175B">
      <w:pPr>
        <w:tabs>
          <w:tab w:val="right" w:pos="2155"/>
        </w:tabs>
        <w:spacing w:after="80"/>
        <w:ind w:left="680"/>
        <w:rPr>
          <w:u w:val="single"/>
        </w:rPr>
      </w:pPr>
      <w:r>
        <w:rPr>
          <w:u w:val="single"/>
        </w:rPr>
        <w:tab/>
      </w:r>
    </w:p>
  </w:footnote>
  <w:footnote w:type="continuationSeparator" w:id="0">
    <w:p w14:paraId="5F14956B" w14:textId="77777777" w:rsidR="004E7E59" w:rsidRPr="00FC68B7" w:rsidRDefault="004E7E59" w:rsidP="00FC68B7">
      <w:pPr>
        <w:tabs>
          <w:tab w:val="left" w:pos="2155"/>
        </w:tabs>
        <w:spacing w:after="80"/>
        <w:ind w:left="680"/>
        <w:rPr>
          <w:u w:val="single"/>
        </w:rPr>
      </w:pPr>
      <w:r>
        <w:rPr>
          <w:u w:val="single"/>
        </w:rPr>
        <w:tab/>
      </w:r>
    </w:p>
  </w:footnote>
  <w:footnote w:type="continuationNotice" w:id="1">
    <w:p w14:paraId="45308E33" w14:textId="77777777" w:rsidR="004E7E59" w:rsidRDefault="004E7E59"/>
  </w:footnote>
  <w:footnote w:id="2">
    <w:p w14:paraId="0FDF5A2D" w14:textId="77777777" w:rsidR="000B3C2B" w:rsidRPr="00DF23DE" w:rsidRDefault="000B3C2B" w:rsidP="00FF118F">
      <w:pPr>
        <w:pStyle w:val="FootnoteText"/>
        <w:ind w:hanging="141"/>
      </w:pPr>
      <w:r w:rsidRPr="00DF23DE">
        <w:rPr>
          <w:rStyle w:val="FootnoteReference"/>
        </w:rPr>
        <w:footnoteRef/>
      </w:r>
      <w:r w:rsidRPr="00DF23DE">
        <w:t xml:space="preserve"> </w:t>
      </w:r>
      <w:r w:rsidRPr="00DF23DE">
        <w:tab/>
        <w:t xml:space="preserve">The submission to the Committee was made on behalf of the complainant by his mother. </w:t>
      </w:r>
    </w:p>
  </w:footnote>
  <w:footnote w:id="3">
    <w:p w14:paraId="069327CC" w14:textId="77777777" w:rsidR="000B3C2B" w:rsidRPr="00DF23DE" w:rsidRDefault="000B3C2B" w:rsidP="005E4862">
      <w:pPr>
        <w:pStyle w:val="FootnoteText"/>
        <w:rPr>
          <w:szCs w:val="24"/>
        </w:rPr>
      </w:pPr>
      <w:r w:rsidRPr="00DF23DE">
        <w:rPr>
          <w:rStyle w:val="FootnoteReference"/>
          <w:sz w:val="20"/>
        </w:rPr>
        <w:tab/>
      </w:r>
      <w:r w:rsidRPr="005E4862">
        <w:rPr>
          <w:rStyle w:val="FootnoteReference"/>
          <w:sz w:val="20"/>
          <w:vertAlign w:val="baseline"/>
        </w:rPr>
        <w:t>*</w:t>
      </w:r>
      <w:bookmarkStart w:id="2" w:name="OLE_LINK2"/>
      <w:bookmarkStart w:id="3" w:name="OLE_LINK1"/>
      <w:r w:rsidRPr="005E4862">
        <w:rPr>
          <w:rStyle w:val="FootnoteReference"/>
          <w:sz w:val="20"/>
          <w:vertAlign w:val="baseline"/>
        </w:rPr>
        <w:tab/>
      </w:r>
      <w:r w:rsidRPr="005E4862">
        <w:t>The following members of the Committee participated in the consideration of the present communication:</w:t>
      </w:r>
      <w:bookmarkEnd w:id="2"/>
      <w:bookmarkEnd w:id="3"/>
      <w:r w:rsidRPr="00DF23DE">
        <w:rPr>
          <w:color w:val="000000"/>
          <w:szCs w:val="24"/>
        </w:rPr>
        <w:t xml:space="preserve"> Essadia Belmir, </w:t>
      </w:r>
      <w:r w:rsidRPr="00DF23DE">
        <w:rPr>
          <w:szCs w:val="24"/>
        </w:rPr>
        <w:t xml:space="preserve">Alessio Bruni, </w:t>
      </w:r>
      <w:r w:rsidRPr="00DF23DE">
        <w:rPr>
          <w:color w:val="000000"/>
          <w:szCs w:val="24"/>
        </w:rPr>
        <w:t xml:space="preserve">Satyabhoosun Gupt Domah, </w:t>
      </w:r>
      <w:r w:rsidRPr="00DF23DE">
        <w:rPr>
          <w:szCs w:val="24"/>
        </w:rPr>
        <w:t xml:space="preserve">Felice Gaer, Abdoulaye Gaye, Claudio Grossman, </w:t>
      </w:r>
      <w:r w:rsidRPr="00DF23DE">
        <w:rPr>
          <w:snapToGrid w:val="0"/>
          <w:szCs w:val="24"/>
        </w:rPr>
        <w:t xml:space="preserve">Jens Modvig, Sapana Pradhan-Malla, </w:t>
      </w:r>
      <w:r w:rsidRPr="00DF23DE">
        <w:rPr>
          <w:szCs w:val="24"/>
        </w:rPr>
        <w:t>George Tugushi and Kening Zhang</w:t>
      </w:r>
      <w:r w:rsidRPr="00DF23DE">
        <w:t>.</w:t>
      </w:r>
    </w:p>
  </w:footnote>
  <w:footnote w:id="4">
    <w:p w14:paraId="566A8078" w14:textId="77777777" w:rsidR="000B3C2B" w:rsidRPr="00DF23DE" w:rsidRDefault="000B3C2B" w:rsidP="000926FA">
      <w:pPr>
        <w:pStyle w:val="FootnoteText"/>
        <w:spacing w:line="240" w:lineRule="auto"/>
      </w:pPr>
      <w:r w:rsidRPr="00DF23DE">
        <w:rPr>
          <w:rStyle w:val="FootnoteReference"/>
          <w:sz w:val="16"/>
          <w:szCs w:val="16"/>
        </w:rPr>
        <w:tab/>
      </w:r>
      <w:r w:rsidRPr="005E4862">
        <w:rPr>
          <w:rStyle w:val="FootnoteReference"/>
          <w:sz w:val="20"/>
          <w:vertAlign w:val="baseline"/>
        </w:rPr>
        <w:t>**</w:t>
      </w:r>
      <w:r w:rsidRPr="00DF23DE">
        <w:rPr>
          <w:rStyle w:val="FootnoteReference"/>
          <w:sz w:val="20"/>
          <w:vertAlign w:val="baseline"/>
        </w:rPr>
        <w:tab/>
      </w:r>
      <w:r w:rsidRPr="00DF23DE">
        <w:t>The text of an individual</w:t>
      </w:r>
      <w:r w:rsidRPr="005E4862">
        <w:rPr>
          <w:lang w:val="en-GB"/>
        </w:rPr>
        <w:t xml:space="preserve"> </w:t>
      </w:r>
      <w:r w:rsidRPr="00DF23DE">
        <w:t>opinion (dissenting) of Committee member Alessio Bruni is appended to the present decision.</w:t>
      </w:r>
    </w:p>
  </w:footnote>
  <w:footnote w:id="5">
    <w:p w14:paraId="4ECF60BF" w14:textId="77777777" w:rsidR="000B3C2B" w:rsidRPr="00DF23DE" w:rsidRDefault="000B3C2B" w:rsidP="00AC1F8D">
      <w:pPr>
        <w:pStyle w:val="FootnoteText"/>
        <w:widowControl w:val="0"/>
        <w:tabs>
          <w:tab w:val="clear" w:pos="1021"/>
          <w:tab w:val="right" w:pos="1020"/>
        </w:tabs>
      </w:pPr>
      <w:r w:rsidRPr="00DF23DE">
        <w:tab/>
      </w:r>
      <w:r w:rsidRPr="00DF23DE">
        <w:rPr>
          <w:rStyle w:val="FootnoteReference"/>
        </w:rPr>
        <w:footnoteRef/>
      </w:r>
      <w:r w:rsidRPr="00DF23DE">
        <w:tab/>
      </w:r>
      <w:r w:rsidRPr="00DF23DE">
        <w:rPr>
          <w:szCs w:val="18"/>
        </w:rPr>
        <w:t xml:space="preserve">See communication No. 444/2010, </w:t>
      </w:r>
      <w:r w:rsidRPr="00DF23DE">
        <w:rPr>
          <w:i/>
          <w:szCs w:val="18"/>
        </w:rPr>
        <w:t>Toirjon Abdussamatov et al. v. Kazakhstan</w:t>
      </w:r>
      <w:r w:rsidRPr="00DF23DE">
        <w:rPr>
          <w:szCs w:val="18"/>
        </w:rPr>
        <w:t>, decision on admissibility of 15 November 2011, paras. 10.1 and 10.2</w:t>
      </w:r>
      <w:r w:rsidRPr="00DF23DE">
        <w:t>.</w:t>
      </w:r>
    </w:p>
  </w:footnote>
  <w:footnote w:id="6">
    <w:p w14:paraId="04BF6179" w14:textId="77777777" w:rsidR="000B3C2B" w:rsidRPr="00DF23DE" w:rsidRDefault="000B3C2B" w:rsidP="005E4862">
      <w:pPr>
        <w:pStyle w:val="FootnoteText"/>
        <w:widowControl w:val="0"/>
      </w:pPr>
      <w:r w:rsidRPr="00DF23DE">
        <w:tab/>
      </w:r>
      <w:r w:rsidRPr="00DF23DE">
        <w:rPr>
          <w:rStyle w:val="FootnoteReference"/>
        </w:rPr>
        <w:footnoteRef/>
      </w:r>
      <w:r w:rsidRPr="00DF23DE">
        <w:t xml:space="preserve"> </w:t>
      </w:r>
      <w:r w:rsidRPr="00DF23DE">
        <w:tab/>
        <w:t xml:space="preserve">See communications No. 444/2010, </w:t>
      </w:r>
      <w:r w:rsidRPr="00DF23DE">
        <w:rPr>
          <w:i/>
          <w:szCs w:val="18"/>
        </w:rPr>
        <w:t>Toirjon Abdussamatov et al. v. Kazakhstan</w:t>
      </w:r>
      <w:r w:rsidRPr="00DF23DE">
        <w:rPr>
          <w:szCs w:val="18"/>
        </w:rPr>
        <w:t>, decision of 1 June 2012, para. 13.7</w:t>
      </w:r>
      <w:r w:rsidR="00BB5BCD" w:rsidRPr="00DF23DE">
        <w:rPr>
          <w:szCs w:val="18"/>
        </w:rPr>
        <w:t>;</w:t>
      </w:r>
      <w:r w:rsidRPr="00DF23DE">
        <w:rPr>
          <w:szCs w:val="18"/>
        </w:rPr>
        <w:t xml:space="preserve"> and No. 39/1996, </w:t>
      </w:r>
      <w:r w:rsidRPr="00DF23DE">
        <w:rPr>
          <w:i/>
          <w:szCs w:val="18"/>
        </w:rPr>
        <w:t xml:space="preserve">Paez v. Sweden, </w:t>
      </w:r>
      <w:r w:rsidRPr="00DF23DE">
        <w:rPr>
          <w:szCs w:val="18"/>
        </w:rPr>
        <w:t>decision of 28 April 1996, para. 14.5.</w:t>
      </w:r>
    </w:p>
  </w:footnote>
  <w:footnote w:id="7">
    <w:p w14:paraId="3D0B0984" w14:textId="77777777" w:rsidR="000B3C2B" w:rsidRPr="00DF23DE" w:rsidRDefault="000B3C2B" w:rsidP="005E4862">
      <w:pPr>
        <w:pStyle w:val="FootnoteText"/>
        <w:ind w:hanging="283"/>
      </w:pPr>
      <w:r w:rsidRPr="00DF23DE">
        <w:rPr>
          <w:rStyle w:val="FootnoteReference"/>
        </w:rPr>
        <w:footnoteRef/>
      </w:r>
      <w:r w:rsidRPr="00DF23DE">
        <w:t xml:space="preserve"> </w:t>
      </w:r>
      <w:r w:rsidRPr="00DF23DE">
        <w:tab/>
      </w:r>
      <w:r w:rsidRPr="00DF23DE">
        <w:tab/>
        <w:t xml:space="preserve">See communications No. 426/2010, </w:t>
      </w:r>
      <w:r w:rsidRPr="00DF23DE">
        <w:rPr>
          <w:i/>
        </w:rPr>
        <w:t xml:space="preserve">R.D. </w:t>
      </w:r>
      <w:r w:rsidRPr="005E4862">
        <w:rPr>
          <w:i/>
        </w:rPr>
        <w:t>v.</w:t>
      </w:r>
      <w:r w:rsidRPr="00DF23DE">
        <w:rPr>
          <w:i/>
        </w:rPr>
        <w:t xml:space="preserve"> Switzerland, </w:t>
      </w:r>
      <w:r w:rsidRPr="00DF23DE">
        <w:t xml:space="preserve">decision adopted on 8 November 2013, para. 9.2; No. 344/2008, </w:t>
      </w:r>
      <w:r w:rsidRPr="00DF23DE">
        <w:rPr>
          <w:i/>
        </w:rPr>
        <w:t xml:space="preserve">A.M.A. </w:t>
      </w:r>
      <w:r w:rsidRPr="005E4862">
        <w:rPr>
          <w:i/>
        </w:rPr>
        <w:t>v.</w:t>
      </w:r>
      <w:r w:rsidRPr="00DF23DE">
        <w:rPr>
          <w:i/>
        </w:rPr>
        <w:t xml:space="preserve"> Switzerland, </w:t>
      </w:r>
      <w:r w:rsidRPr="00DF23DE">
        <w:t xml:space="preserve">decision adopted on 12 November 2010, para. 7.2; </w:t>
      </w:r>
      <w:r w:rsidR="00BB5BCD" w:rsidRPr="00DF23DE">
        <w:t xml:space="preserve">and </w:t>
      </w:r>
      <w:r w:rsidRPr="00DF23DE">
        <w:t xml:space="preserve">No. 333/2007, </w:t>
      </w:r>
      <w:r w:rsidRPr="00DF23DE">
        <w:rPr>
          <w:i/>
        </w:rPr>
        <w:t xml:space="preserve">Ismaev v. Canada, </w:t>
      </w:r>
      <w:r w:rsidRPr="00DF23DE">
        <w:t>decision adopted on 15 November 2010, para. 7.3.</w:t>
      </w:r>
    </w:p>
  </w:footnote>
  <w:footnote w:id="8">
    <w:p w14:paraId="6B78ED62" w14:textId="77777777" w:rsidR="000B3C2B" w:rsidRPr="00DF23DE" w:rsidRDefault="000B3C2B" w:rsidP="00BB5BCD">
      <w:pPr>
        <w:pStyle w:val="FootnoteText"/>
        <w:widowControl w:val="0"/>
        <w:rPr>
          <w:szCs w:val="18"/>
        </w:rPr>
      </w:pPr>
      <w:r w:rsidRPr="00DF23DE">
        <w:rPr>
          <w:szCs w:val="18"/>
        </w:rPr>
        <w:tab/>
      </w:r>
      <w:r w:rsidRPr="00DF23DE">
        <w:rPr>
          <w:rStyle w:val="FootnoteReference"/>
          <w:szCs w:val="18"/>
        </w:rPr>
        <w:footnoteRef/>
      </w:r>
      <w:r w:rsidRPr="00DF23DE">
        <w:rPr>
          <w:szCs w:val="18"/>
        </w:rPr>
        <w:t xml:space="preserve"> </w:t>
      </w:r>
      <w:r w:rsidRPr="00DF23DE">
        <w:rPr>
          <w:szCs w:val="18"/>
        </w:rPr>
        <w:tab/>
      </w:r>
      <w:r w:rsidR="00BB5BCD" w:rsidRPr="00DF23DE">
        <w:rPr>
          <w:szCs w:val="18"/>
        </w:rPr>
        <w:t xml:space="preserve">See </w:t>
      </w:r>
      <w:r w:rsidRPr="00DF23DE">
        <w:rPr>
          <w:szCs w:val="18"/>
        </w:rPr>
        <w:t xml:space="preserve">A/53/44 </w:t>
      </w:r>
      <w:r w:rsidRPr="00DF23DE">
        <w:t xml:space="preserve">and Corr.1, </w:t>
      </w:r>
      <w:r w:rsidRPr="00DF23DE">
        <w:rPr>
          <w:szCs w:val="18"/>
        </w:rPr>
        <w:t>annex IX, para. 6.</w:t>
      </w:r>
    </w:p>
  </w:footnote>
  <w:footnote w:id="9">
    <w:p w14:paraId="1937C00A" w14:textId="77777777" w:rsidR="000B3C2B" w:rsidRPr="00DF23DE" w:rsidRDefault="000B3C2B" w:rsidP="005E4862">
      <w:pPr>
        <w:pStyle w:val="FootnoteText"/>
        <w:widowControl w:val="0"/>
      </w:pPr>
      <w:r w:rsidRPr="00DF23DE">
        <w:tab/>
      </w:r>
      <w:r w:rsidRPr="00DF23DE">
        <w:rPr>
          <w:rStyle w:val="FootnoteReference"/>
        </w:rPr>
        <w:footnoteRef/>
      </w:r>
      <w:r w:rsidRPr="00DF23DE">
        <w:tab/>
      </w:r>
      <w:r w:rsidR="00FF168B" w:rsidRPr="00DF23DE">
        <w:t xml:space="preserve">See </w:t>
      </w:r>
      <w:r w:rsidRPr="00DF23DE">
        <w:t>CAT/</w:t>
      </w:r>
      <w:r w:rsidR="00FF168B" w:rsidRPr="00DF23DE">
        <w:t>C</w:t>
      </w:r>
      <w:r w:rsidRPr="00DF23DE">
        <w:t xml:space="preserve">/RUS/CO/5, paras. 6 </w:t>
      </w:r>
      <w:r w:rsidR="00FF168B" w:rsidRPr="00DF23DE">
        <w:t xml:space="preserve">and </w:t>
      </w:r>
      <w:r w:rsidRPr="00DF23DE">
        <w:t>13.</w:t>
      </w:r>
    </w:p>
  </w:footnote>
  <w:footnote w:id="10">
    <w:p w14:paraId="0ACF07CB" w14:textId="77777777" w:rsidR="000B3C2B" w:rsidRPr="002D3031" w:rsidRDefault="000B3C2B" w:rsidP="00540EFE">
      <w:pPr>
        <w:pStyle w:val="FootnoteText"/>
      </w:pPr>
      <w:r w:rsidRPr="00DF23DE">
        <w:tab/>
      </w:r>
      <w:r w:rsidRPr="00DF23DE">
        <w:rPr>
          <w:rStyle w:val="FootnoteReference"/>
        </w:rPr>
        <w:footnoteRef/>
      </w:r>
      <w:r w:rsidRPr="00DF23DE">
        <w:t xml:space="preserve"> </w:t>
      </w:r>
      <w:r w:rsidRPr="00DF23DE">
        <w:tab/>
      </w:r>
      <w:r w:rsidR="00540EFE" w:rsidRPr="00DF23DE">
        <w:rPr>
          <w:szCs w:val="18"/>
        </w:rPr>
        <w:t xml:space="preserve">See A/53/44 </w:t>
      </w:r>
      <w:r w:rsidR="00540EFE" w:rsidRPr="00DF23DE">
        <w:t xml:space="preserve">and Corr.1, </w:t>
      </w:r>
      <w:r w:rsidR="00540EFE" w:rsidRPr="00DF23DE">
        <w:rPr>
          <w:szCs w:val="18"/>
        </w:rPr>
        <w:t xml:space="preserve">annex IX, </w:t>
      </w:r>
      <w:r w:rsidRPr="00DF23DE">
        <w:rPr>
          <w:szCs w:val="18"/>
        </w:rPr>
        <w:t>and</w:t>
      </w:r>
      <w:r w:rsidR="00540EFE" w:rsidRPr="00DF23DE">
        <w:rPr>
          <w:szCs w:val="18"/>
        </w:rPr>
        <w:t>,</w:t>
      </w:r>
      <w:r w:rsidRPr="00DF23DE">
        <w:rPr>
          <w:szCs w:val="18"/>
        </w:rPr>
        <w:t xml:space="preserve"> inter alia, communication No. 356/2008, </w:t>
      </w:r>
      <w:r w:rsidRPr="00DF23DE">
        <w:rPr>
          <w:i/>
          <w:iCs/>
          <w:szCs w:val="18"/>
        </w:rPr>
        <w:t>N.S.</w:t>
      </w:r>
      <w:r w:rsidRPr="005E4862">
        <w:rPr>
          <w:i/>
          <w:iCs/>
          <w:szCs w:val="18"/>
        </w:rPr>
        <w:t xml:space="preserve"> v. </w:t>
      </w:r>
      <w:r w:rsidRPr="00DF23DE">
        <w:rPr>
          <w:i/>
          <w:iCs/>
          <w:szCs w:val="18"/>
        </w:rPr>
        <w:t>Switzerland</w:t>
      </w:r>
      <w:r w:rsidRPr="00DF23DE">
        <w:rPr>
          <w:szCs w:val="18"/>
        </w:rPr>
        <w:t>, decision adopted on 6 May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CA21F" w14:textId="77777777" w:rsidR="000B3C2B" w:rsidRPr="00785A61" w:rsidRDefault="00C669CC" w:rsidP="000654EB">
    <w:pPr>
      <w:pStyle w:val="Header"/>
    </w:pPr>
    <w:r>
      <w:t>CAT/C/55/D/554/2013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887AA" w14:textId="77777777" w:rsidR="000B3C2B" w:rsidRPr="00785A61" w:rsidRDefault="000B3C2B" w:rsidP="00785A61">
    <w:pPr>
      <w:pStyle w:val="Header"/>
      <w:jc w:val="right"/>
    </w:pPr>
    <w:r>
      <w:t>CAT/C/55/D/554/2013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A201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38"/>
    <w:rsid w:val="000006A4"/>
    <w:rsid w:val="0000248A"/>
    <w:rsid w:val="000077B8"/>
    <w:rsid w:val="00010311"/>
    <w:rsid w:val="00016464"/>
    <w:rsid w:val="000218EA"/>
    <w:rsid w:val="000218FE"/>
    <w:rsid w:val="00025F8E"/>
    <w:rsid w:val="00026A50"/>
    <w:rsid w:val="00030A80"/>
    <w:rsid w:val="0003225A"/>
    <w:rsid w:val="0003276C"/>
    <w:rsid w:val="0003386B"/>
    <w:rsid w:val="000360C6"/>
    <w:rsid w:val="00037536"/>
    <w:rsid w:val="00040296"/>
    <w:rsid w:val="000404CF"/>
    <w:rsid w:val="000407ED"/>
    <w:rsid w:val="000425A8"/>
    <w:rsid w:val="000431A6"/>
    <w:rsid w:val="00044076"/>
    <w:rsid w:val="000440EF"/>
    <w:rsid w:val="00045224"/>
    <w:rsid w:val="000465D1"/>
    <w:rsid w:val="00050F6B"/>
    <w:rsid w:val="00051496"/>
    <w:rsid w:val="0005248B"/>
    <w:rsid w:val="00055D93"/>
    <w:rsid w:val="00057E97"/>
    <w:rsid w:val="00061F70"/>
    <w:rsid w:val="000620B7"/>
    <w:rsid w:val="000653B2"/>
    <w:rsid w:val="000654EB"/>
    <w:rsid w:val="0006683C"/>
    <w:rsid w:val="000707C1"/>
    <w:rsid w:val="00072C8C"/>
    <w:rsid w:val="000732DE"/>
    <w:rsid w:val="000733B5"/>
    <w:rsid w:val="00076017"/>
    <w:rsid w:val="00080555"/>
    <w:rsid w:val="00081815"/>
    <w:rsid w:val="000926FA"/>
    <w:rsid w:val="000931C0"/>
    <w:rsid w:val="00094A47"/>
    <w:rsid w:val="00094B47"/>
    <w:rsid w:val="00095FA9"/>
    <w:rsid w:val="00096278"/>
    <w:rsid w:val="000964F6"/>
    <w:rsid w:val="0009681D"/>
    <w:rsid w:val="000B175B"/>
    <w:rsid w:val="000B3672"/>
    <w:rsid w:val="000B3A0F"/>
    <w:rsid w:val="000B3C2B"/>
    <w:rsid w:val="000B4EF7"/>
    <w:rsid w:val="000C28B7"/>
    <w:rsid w:val="000C2C03"/>
    <w:rsid w:val="000C2C07"/>
    <w:rsid w:val="000C2D2E"/>
    <w:rsid w:val="000C37A8"/>
    <w:rsid w:val="000C4331"/>
    <w:rsid w:val="000C705B"/>
    <w:rsid w:val="000D020F"/>
    <w:rsid w:val="000D342F"/>
    <w:rsid w:val="000D6A51"/>
    <w:rsid w:val="000D6CFD"/>
    <w:rsid w:val="000E01F5"/>
    <w:rsid w:val="000E0415"/>
    <w:rsid w:val="000E210C"/>
    <w:rsid w:val="000E5354"/>
    <w:rsid w:val="000E7C3D"/>
    <w:rsid w:val="000E7CA0"/>
    <w:rsid w:val="000F2318"/>
    <w:rsid w:val="000F4619"/>
    <w:rsid w:val="000F5257"/>
    <w:rsid w:val="000F6D48"/>
    <w:rsid w:val="0010113D"/>
    <w:rsid w:val="001051BF"/>
    <w:rsid w:val="001103AA"/>
    <w:rsid w:val="001119BE"/>
    <w:rsid w:val="00114FA0"/>
    <w:rsid w:val="00115DA8"/>
    <w:rsid w:val="00115E3A"/>
    <w:rsid w:val="001162D4"/>
    <w:rsid w:val="00117576"/>
    <w:rsid w:val="001203E5"/>
    <w:rsid w:val="00120B2E"/>
    <w:rsid w:val="00122EBE"/>
    <w:rsid w:val="00124A72"/>
    <w:rsid w:val="001255FA"/>
    <w:rsid w:val="00125AB0"/>
    <w:rsid w:val="00126520"/>
    <w:rsid w:val="001275E2"/>
    <w:rsid w:val="00127DE9"/>
    <w:rsid w:val="00131211"/>
    <w:rsid w:val="00131E66"/>
    <w:rsid w:val="00132792"/>
    <w:rsid w:val="00133158"/>
    <w:rsid w:val="001360DB"/>
    <w:rsid w:val="00141919"/>
    <w:rsid w:val="00143907"/>
    <w:rsid w:val="001450BD"/>
    <w:rsid w:val="001516F0"/>
    <w:rsid w:val="00153179"/>
    <w:rsid w:val="00153E70"/>
    <w:rsid w:val="001541A1"/>
    <w:rsid w:val="00161D69"/>
    <w:rsid w:val="00164501"/>
    <w:rsid w:val="00164E6C"/>
    <w:rsid w:val="00165F3A"/>
    <w:rsid w:val="00170096"/>
    <w:rsid w:val="001774E9"/>
    <w:rsid w:val="00177F76"/>
    <w:rsid w:val="001818E0"/>
    <w:rsid w:val="00181B4D"/>
    <w:rsid w:val="00182B7C"/>
    <w:rsid w:val="00183227"/>
    <w:rsid w:val="00185FC6"/>
    <w:rsid w:val="00191C9C"/>
    <w:rsid w:val="0019432A"/>
    <w:rsid w:val="0019442B"/>
    <w:rsid w:val="001978A6"/>
    <w:rsid w:val="0019793D"/>
    <w:rsid w:val="00197B02"/>
    <w:rsid w:val="001A03E6"/>
    <w:rsid w:val="001A20C4"/>
    <w:rsid w:val="001A3AB7"/>
    <w:rsid w:val="001A3D74"/>
    <w:rsid w:val="001A7E38"/>
    <w:rsid w:val="001A7F19"/>
    <w:rsid w:val="001A7FDB"/>
    <w:rsid w:val="001B14E9"/>
    <w:rsid w:val="001B1858"/>
    <w:rsid w:val="001B1AE4"/>
    <w:rsid w:val="001B1BD3"/>
    <w:rsid w:val="001B1FE3"/>
    <w:rsid w:val="001B28F6"/>
    <w:rsid w:val="001B3C5D"/>
    <w:rsid w:val="001B4B04"/>
    <w:rsid w:val="001B51BE"/>
    <w:rsid w:val="001B63F8"/>
    <w:rsid w:val="001C1CD1"/>
    <w:rsid w:val="001C1D4E"/>
    <w:rsid w:val="001C3527"/>
    <w:rsid w:val="001C5F3F"/>
    <w:rsid w:val="001C6663"/>
    <w:rsid w:val="001C7895"/>
    <w:rsid w:val="001D0C8C"/>
    <w:rsid w:val="001D26DF"/>
    <w:rsid w:val="001D31C5"/>
    <w:rsid w:val="001D3A03"/>
    <w:rsid w:val="001D602B"/>
    <w:rsid w:val="001E1188"/>
    <w:rsid w:val="001E2856"/>
    <w:rsid w:val="001E2B6D"/>
    <w:rsid w:val="001E350B"/>
    <w:rsid w:val="001E414E"/>
    <w:rsid w:val="001F0F0B"/>
    <w:rsid w:val="001F0F61"/>
    <w:rsid w:val="001F17D1"/>
    <w:rsid w:val="001F19C1"/>
    <w:rsid w:val="001F3BCA"/>
    <w:rsid w:val="001F4BD8"/>
    <w:rsid w:val="001F6885"/>
    <w:rsid w:val="00201120"/>
    <w:rsid w:val="00202DA8"/>
    <w:rsid w:val="00202F3D"/>
    <w:rsid w:val="0020302F"/>
    <w:rsid w:val="00205AD1"/>
    <w:rsid w:val="002117B3"/>
    <w:rsid w:val="00211E0B"/>
    <w:rsid w:val="00213695"/>
    <w:rsid w:val="00214161"/>
    <w:rsid w:val="002149B4"/>
    <w:rsid w:val="002178F2"/>
    <w:rsid w:val="00220622"/>
    <w:rsid w:val="00222B37"/>
    <w:rsid w:val="0022571C"/>
    <w:rsid w:val="00226752"/>
    <w:rsid w:val="00231149"/>
    <w:rsid w:val="00231394"/>
    <w:rsid w:val="00233774"/>
    <w:rsid w:val="00233D4D"/>
    <w:rsid w:val="00234705"/>
    <w:rsid w:val="00237410"/>
    <w:rsid w:val="00240CD4"/>
    <w:rsid w:val="00241811"/>
    <w:rsid w:val="00244166"/>
    <w:rsid w:val="00247E03"/>
    <w:rsid w:val="00251186"/>
    <w:rsid w:val="002554DD"/>
    <w:rsid w:val="002564D6"/>
    <w:rsid w:val="00256C5E"/>
    <w:rsid w:val="00257ECF"/>
    <w:rsid w:val="0026218D"/>
    <w:rsid w:val="00264EB1"/>
    <w:rsid w:val="00265340"/>
    <w:rsid w:val="00267CF0"/>
    <w:rsid w:val="00267F5F"/>
    <w:rsid w:val="00275BB9"/>
    <w:rsid w:val="002762A4"/>
    <w:rsid w:val="002771DB"/>
    <w:rsid w:val="0027730D"/>
    <w:rsid w:val="002809C5"/>
    <w:rsid w:val="002834B6"/>
    <w:rsid w:val="00283EDD"/>
    <w:rsid w:val="00285580"/>
    <w:rsid w:val="0028582C"/>
    <w:rsid w:val="0028626B"/>
    <w:rsid w:val="00286B4D"/>
    <w:rsid w:val="00286C54"/>
    <w:rsid w:val="0028771D"/>
    <w:rsid w:val="00291663"/>
    <w:rsid w:val="002955D6"/>
    <w:rsid w:val="00297799"/>
    <w:rsid w:val="002A004D"/>
    <w:rsid w:val="002A45E1"/>
    <w:rsid w:val="002A54E3"/>
    <w:rsid w:val="002A683C"/>
    <w:rsid w:val="002B3C39"/>
    <w:rsid w:val="002B466B"/>
    <w:rsid w:val="002B71F7"/>
    <w:rsid w:val="002C2857"/>
    <w:rsid w:val="002C3239"/>
    <w:rsid w:val="002D05C2"/>
    <w:rsid w:val="002D0A13"/>
    <w:rsid w:val="002D0C17"/>
    <w:rsid w:val="002D3031"/>
    <w:rsid w:val="002D45D8"/>
    <w:rsid w:val="002D511C"/>
    <w:rsid w:val="002D5515"/>
    <w:rsid w:val="002D7846"/>
    <w:rsid w:val="002F0D9F"/>
    <w:rsid w:val="002F1546"/>
    <w:rsid w:val="002F175C"/>
    <w:rsid w:val="002F1A00"/>
    <w:rsid w:val="002F4A6E"/>
    <w:rsid w:val="002F55B4"/>
    <w:rsid w:val="002F6F0F"/>
    <w:rsid w:val="00303FC2"/>
    <w:rsid w:val="003046C1"/>
    <w:rsid w:val="00305210"/>
    <w:rsid w:val="00307A89"/>
    <w:rsid w:val="0031435D"/>
    <w:rsid w:val="00314AEE"/>
    <w:rsid w:val="00314F7A"/>
    <w:rsid w:val="003165BD"/>
    <w:rsid w:val="003202D5"/>
    <w:rsid w:val="00320E27"/>
    <w:rsid w:val="003229D8"/>
    <w:rsid w:val="00323B6C"/>
    <w:rsid w:val="0032453D"/>
    <w:rsid w:val="003279E5"/>
    <w:rsid w:val="00331BDA"/>
    <w:rsid w:val="003331F6"/>
    <w:rsid w:val="003351BF"/>
    <w:rsid w:val="003370D9"/>
    <w:rsid w:val="0033745E"/>
    <w:rsid w:val="00337473"/>
    <w:rsid w:val="00337E17"/>
    <w:rsid w:val="00340548"/>
    <w:rsid w:val="00341118"/>
    <w:rsid w:val="0034254A"/>
    <w:rsid w:val="0034364D"/>
    <w:rsid w:val="0034428F"/>
    <w:rsid w:val="00346358"/>
    <w:rsid w:val="00347C0E"/>
    <w:rsid w:val="00352709"/>
    <w:rsid w:val="00353D26"/>
    <w:rsid w:val="00354302"/>
    <w:rsid w:val="00357D7C"/>
    <w:rsid w:val="0036586F"/>
    <w:rsid w:val="003710E7"/>
    <w:rsid w:val="00371178"/>
    <w:rsid w:val="0037556C"/>
    <w:rsid w:val="00375E9B"/>
    <w:rsid w:val="00376654"/>
    <w:rsid w:val="00381A41"/>
    <w:rsid w:val="00383364"/>
    <w:rsid w:val="003850DF"/>
    <w:rsid w:val="00390DD6"/>
    <w:rsid w:val="00390E97"/>
    <w:rsid w:val="00395F31"/>
    <w:rsid w:val="00396BAC"/>
    <w:rsid w:val="003A0945"/>
    <w:rsid w:val="003A1E6E"/>
    <w:rsid w:val="003A408F"/>
    <w:rsid w:val="003A48CB"/>
    <w:rsid w:val="003A552B"/>
    <w:rsid w:val="003A6810"/>
    <w:rsid w:val="003A701B"/>
    <w:rsid w:val="003B022C"/>
    <w:rsid w:val="003B1D53"/>
    <w:rsid w:val="003B20D4"/>
    <w:rsid w:val="003B4314"/>
    <w:rsid w:val="003C1586"/>
    <w:rsid w:val="003C2CC4"/>
    <w:rsid w:val="003C3975"/>
    <w:rsid w:val="003C3F5A"/>
    <w:rsid w:val="003C6111"/>
    <w:rsid w:val="003D1F3E"/>
    <w:rsid w:val="003D2FFD"/>
    <w:rsid w:val="003D4253"/>
    <w:rsid w:val="003D4B23"/>
    <w:rsid w:val="003D4DE7"/>
    <w:rsid w:val="003D79A9"/>
    <w:rsid w:val="003E2F9B"/>
    <w:rsid w:val="003E4BE2"/>
    <w:rsid w:val="003F3814"/>
    <w:rsid w:val="003F4553"/>
    <w:rsid w:val="003F4589"/>
    <w:rsid w:val="003F7618"/>
    <w:rsid w:val="003F7DFF"/>
    <w:rsid w:val="00406B87"/>
    <w:rsid w:val="00407B05"/>
    <w:rsid w:val="004109C5"/>
    <w:rsid w:val="00410C89"/>
    <w:rsid w:val="00413CEC"/>
    <w:rsid w:val="00414771"/>
    <w:rsid w:val="00416EAF"/>
    <w:rsid w:val="004221D4"/>
    <w:rsid w:val="0042438D"/>
    <w:rsid w:val="00426B9B"/>
    <w:rsid w:val="004309A3"/>
    <w:rsid w:val="00431C6E"/>
    <w:rsid w:val="00431E72"/>
    <w:rsid w:val="0043207E"/>
    <w:rsid w:val="004325CB"/>
    <w:rsid w:val="0043276D"/>
    <w:rsid w:val="00432822"/>
    <w:rsid w:val="00436114"/>
    <w:rsid w:val="00437047"/>
    <w:rsid w:val="00442A83"/>
    <w:rsid w:val="004437F2"/>
    <w:rsid w:val="00444E73"/>
    <w:rsid w:val="00444FDE"/>
    <w:rsid w:val="0045018F"/>
    <w:rsid w:val="00451C9B"/>
    <w:rsid w:val="00452CAF"/>
    <w:rsid w:val="0045495B"/>
    <w:rsid w:val="004559F9"/>
    <w:rsid w:val="004605BC"/>
    <w:rsid w:val="00461F0D"/>
    <w:rsid w:val="0046348A"/>
    <w:rsid w:val="00467A4C"/>
    <w:rsid w:val="004711D9"/>
    <w:rsid w:val="00472839"/>
    <w:rsid w:val="004735BD"/>
    <w:rsid w:val="0047366A"/>
    <w:rsid w:val="0047398D"/>
    <w:rsid w:val="00475072"/>
    <w:rsid w:val="0048541D"/>
    <w:rsid w:val="00485DF1"/>
    <w:rsid w:val="0048765F"/>
    <w:rsid w:val="00494E19"/>
    <w:rsid w:val="00497A6A"/>
    <w:rsid w:val="004A4699"/>
    <w:rsid w:val="004A57F0"/>
    <w:rsid w:val="004A57F8"/>
    <w:rsid w:val="004A63C3"/>
    <w:rsid w:val="004B07D8"/>
    <w:rsid w:val="004B2B84"/>
    <w:rsid w:val="004B473F"/>
    <w:rsid w:val="004B4C23"/>
    <w:rsid w:val="004B4E89"/>
    <w:rsid w:val="004B5A15"/>
    <w:rsid w:val="004B6683"/>
    <w:rsid w:val="004B7802"/>
    <w:rsid w:val="004C0DF7"/>
    <w:rsid w:val="004C1E30"/>
    <w:rsid w:val="004C6343"/>
    <w:rsid w:val="004C7ED7"/>
    <w:rsid w:val="004D0D0F"/>
    <w:rsid w:val="004D37F4"/>
    <w:rsid w:val="004D4F87"/>
    <w:rsid w:val="004E0A2D"/>
    <w:rsid w:val="004E3783"/>
    <w:rsid w:val="004E4810"/>
    <w:rsid w:val="004E5846"/>
    <w:rsid w:val="004E5D93"/>
    <w:rsid w:val="004E6B36"/>
    <w:rsid w:val="004E7E59"/>
    <w:rsid w:val="004F4E52"/>
    <w:rsid w:val="00503A46"/>
    <w:rsid w:val="005045AB"/>
    <w:rsid w:val="00505919"/>
    <w:rsid w:val="0051042E"/>
    <w:rsid w:val="00510ECA"/>
    <w:rsid w:val="005119FD"/>
    <w:rsid w:val="00516043"/>
    <w:rsid w:val="00516EBF"/>
    <w:rsid w:val="0052136D"/>
    <w:rsid w:val="005214F6"/>
    <w:rsid w:val="00522740"/>
    <w:rsid w:val="00522E7C"/>
    <w:rsid w:val="00523C5D"/>
    <w:rsid w:val="00526898"/>
    <w:rsid w:val="0052775E"/>
    <w:rsid w:val="005307A0"/>
    <w:rsid w:val="00533F55"/>
    <w:rsid w:val="0053422B"/>
    <w:rsid w:val="005356F4"/>
    <w:rsid w:val="00536EAF"/>
    <w:rsid w:val="00540EFE"/>
    <w:rsid w:val="005420F2"/>
    <w:rsid w:val="00545389"/>
    <w:rsid w:val="00545A68"/>
    <w:rsid w:val="00545C95"/>
    <w:rsid w:val="00545EEB"/>
    <w:rsid w:val="00551027"/>
    <w:rsid w:val="005556BF"/>
    <w:rsid w:val="0056249B"/>
    <w:rsid w:val="005628B6"/>
    <w:rsid w:val="005636C7"/>
    <w:rsid w:val="00564F50"/>
    <w:rsid w:val="00565CEE"/>
    <w:rsid w:val="005668D9"/>
    <w:rsid w:val="00566B76"/>
    <w:rsid w:val="00567E09"/>
    <w:rsid w:val="00570419"/>
    <w:rsid w:val="00571184"/>
    <w:rsid w:val="005715BB"/>
    <w:rsid w:val="00576268"/>
    <w:rsid w:val="00586664"/>
    <w:rsid w:val="00586B44"/>
    <w:rsid w:val="005875F6"/>
    <w:rsid w:val="00590CD4"/>
    <w:rsid w:val="00591835"/>
    <w:rsid w:val="00591EEF"/>
    <w:rsid w:val="005923C0"/>
    <w:rsid w:val="0059347A"/>
    <w:rsid w:val="00594A73"/>
    <w:rsid w:val="00594B48"/>
    <w:rsid w:val="0059567B"/>
    <w:rsid w:val="005A06DC"/>
    <w:rsid w:val="005A1975"/>
    <w:rsid w:val="005A3A05"/>
    <w:rsid w:val="005A43C9"/>
    <w:rsid w:val="005B1388"/>
    <w:rsid w:val="005B3DB3"/>
    <w:rsid w:val="005B57F4"/>
    <w:rsid w:val="005C185C"/>
    <w:rsid w:val="005C3812"/>
    <w:rsid w:val="005C45E3"/>
    <w:rsid w:val="005D0FDF"/>
    <w:rsid w:val="005D21E5"/>
    <w:rsid w:val="005D2FD3"/>
    <w:rsid w:val="005D5AC7"/>
    <w:rsid w:val="005D63C2"/>
    <w:rsid w:val="005D6D06"/>
    <w:rsid w:val="005E0F10"/>
    <w:rsid w:val="005E11C1"/>
    <w:rsid w:val="005E4862"/>
    <w:rsid w:val="005E6B99"/>
    <w:rsid w:val="005E70DE"/>
    <w:rsid w:val="005E7AC6"/>
    <w:rsid w:val="005F3D09"/>
    <w:rsid w:val="005F63F2"/>
    <w:rsid w:val="005F7B75"/>
    <w:rsid w:val="005F7BCE"/>
    <w:rsid w:val="006001EE"/>
    <w:rsid w:val="00604051"/>
    <w:rsid w:val="00605042"/>
    <w:rsid w:val="00606C59"/>
    <w:rsid w:val="00607063"/>
    <w:rsid w:val="00607B2D"/>
    <w:rsid w:val="00610918"/>
    <w:rsid w:val="00611960"/>
    <w:rsid w:val="00611FC4"/>
    <w:rsid w:val="00612984"/>
    <w:rsid w:val="00617666"/>
    <w:rsid w:val="006176FB"/>
    <w:rsid w:val="00617729"/>
    <w:rsid w:val="00617744"/>
    <w:rsid w:val="006241A2"/>
    <w:rsid w:val="00630255"/>
    <w:rsid w:val="00630551"/>
    <w:rsid w:val="00630D71"/>
    <w:rsid w:val="006327A9"/>
    <w:rsid w:val="006368EB"/>
    <w:rsid w:val="00640123"/>
    <w:rsid w:val="00640B26"/>
    <w:rsid w:val="00642F32"/>
    <w:rsid w:val="00646B5B"/>
    <w:rsid w:val="00647EB5"/>
    <w:rsid w:val="00651AFE"/>
    <w:rsid w:val="00652D0A"/>
    <w:rsid w:val="00655A09"/>
    <w:rsid w:val="006561EC"/>
    <w:rsid w:val="0065674C"/>
    <w:rsid w:val="00660479"/>
    <w:rsid w:val="00662BB6"/>
    <w:rsid w:val="006632E2"/>
    <w:rsid w:val="006642B1"/>
    <w:rsid w:val="00665519"/>
    <w:rsid w:val="00665B89"/>
    <w:rsid w:val="00670A6F"/>
    <w:rsid w:val="006721BA"/>
    <w:rsid w:val="00673C52"/>
    <w:rsid w:val="00684C21"/>
    <w:rsid w:val="006850DE"/>
    <w:rsid w:val="00687553"/>
    <w:rsid w:val="006879A4"/>
    <w:rsid w:val="00687E46"/>
    <w:rsid w:val="006938D7"/>
    <w:rsid w:val="006945DC"/>
    <w:rsid w:val="00694F01"/>
    <w:rsid w:val="00695491"/>
    <w:rsid w:val="006970AD"/>
    <w:rsid w:val="006A2B5E"/>
    <w:rsid w:val="006A4445"/>
    <w:rsid w:val="006A4EA3"/>
    <w:rsid w:val="006A57E6"/>
    <w:rsid w:val="006B2584"/>
    <w:rsid w:val="006B2B77"/>
    <w:rsid w:val="006B4766"/>
    <w:rsid w:val="006B60F3"/>
    <w:rsid w:val="006B6695"/>
    <w:rsid w:val="006B7360"/>
    <w:rsid w:val="006B7805"/>
    <w:rsid w:val="006C044D"/>
    <w:rsid w:val="006C19AB"/>
    <w:rsid w:val="006C386B"/>
    <w:rsid w:val="006C40E8"/>
    <w:rsid w:val="006C5D61"/>
    <w:rsid w:val="006D37AF"/>
    <w:rsid w:val="006D3DD8"/>
    <w:rsid w:val="006D47B4"/>
    <w:rsid w:val="006D49CE"/>
    <w:rsid w:val="006D4AB3"/>
    <w:rsid w:val="006D51D0"/>
    <w:rsid w:val="006D6D8B"/>
    <w:rsid w:val="006E3202"/>
    <w:rsid w:val="006E564B"/>
    <w:rsid w:val="006E7191"/>
    <w:rsid w:val="006F5689"/>
    <w:rsid w:val="006F63A7"/>
    <w:rsid w:val="006F7096"/>
    <w:rsid w:val="00700431"/>
    <w:rsid w:val="007019E5"/>
    <w:rsid w:val="00703577"/>
    <w:rsid w:val="00703E95"/>
    <w:rsid w:val="00707420"/>
    <w:rsid w:val="0070769A"/>
    <w:rsid w:val="00710A7E"/>
    <w:rsid w:val="0071573F"/>
    <w:rsid w:val="00717B83"/>
    <w:rsid w:val="00723D2B"/>
    <w:rsid w:val="0072632A"/>
    <w:rsid w:val="007304C9"/>
    <w:rsid w:val="007327D5"/>
    <w:rsid w:val="00733D14"/>
    <w:rsid w:val="00734376"/>
    <w:rsid w:val="0073586F"/>
    <w:rsid w:val="00741DBD"/>
    <w:rsid w:val="00746A6B"/>
    <w:rsid w:val="0075141A"/>
    <w:rsid w:val="007629C8"/>
    <w:rsid w:val="00764D3F"/>
    <w:rsid w:val="007669C7"/>
    <w:rsid w:val="007733FD"/>
    <w:rsid w:val="00774F88"/>
    <w:rsid w:val="00775D23"/>
    <w:rsid w:val="00776D09"/>
    <w:rsid w:val="007821E7"/>
    <w:rsid w:val="0078413D"/>
    <w:rsid w:val="00785A61"/>
    <w:rsid w:val="0079139D"/>
    <w:rsid w:val="00795724"/>
    <w:rsid w:val="007A0EEE"/>
    <w:rsid w:val="007A4CA3"/>
    <w:rsid w:val="007A7AA7"/>
    <w:rsid w:val="007B09AE"/>
    <w:rsid w:val="007B1F8F"/>
    <w:rsid w:val="007B5467"/>
    <w:rsid w:val="007B6BA5"/>
    <w:rsid w:val="007B70BB"/>
    <w:rsid w:val="007B7291"/>
    <w:rsid w:val="007C1D00"/>
    <w:rsid w:val="007C3033"/>
    <w:rsid w:val="007C3390"/>
    <w:rsid w:val="007C36FB"/>
    <w:rsid w:val="007C4F4B"/>
    <w:rsid w:val="007D3CD2"/>
    <w:rsid w:val="007D7E03"/>
    <w:rsid w:val="007F1728"/>
    <w:rsid w:val="007F6611"/>
    <w:rsid w:val="007F6FF8"/>
    <w:rsid w:val="007F7B15"/>
    <w:rsid w:val="00800B26"/>
    <w:rsid w:val="008038A9"/>
    <w:rsid w:val="00806534"/>
    <w:rsid w:val="008103D1"/>
    <w:rsid w:val="008121F7"/>
    <w:rsid w:val="008242D7"/>
    <w:rsid w:val="008244AB"/>
    <w:rsid w:val="008257B1"/>
    <w:rsid w:val="008265E3"/>
    <w:rsid w:val="008306AF"/>
    <w:rsid w:val="00830B10"/>
    <w:rsid w:val="008314DD"/>
    <w:rsid w:val="008326D5"/>
    <w:rsid w:val="00836769"/>
    <w:rsid w:val="00836B63"/>
    <w:rsid w:val="00836D1B"/>
    <w:rsid w:val="00841B90"/>
    <w:rsid w:val="00843086"/>
    <w:rsid w:val="00843767"/>
    <w:rsid w:val="0084575D"/>
    <w:rsid w:val="008472A9"/>
    <w:rsid w:val="00847B9F"/>
    <w:rsid w:val="008536B7"/>
    <w:rsid w:val="008579BB"/>
    <w:rsid w:val="00857A8A"/>
    <w:rsid w:val="00862194"/>
    <w:rsid w:val="00862A3D"/>
    <w:rsid w:val="00863C85"/>
    <w:rsid w:val="00864804"/>
    <w:rsid w:val="00865D49"/>
    <w:rsid w:val="008676EC"/>
    <w:rsid w:val="008679D9"/>
    <w:rsid w:val="008702D6"/>
    <w:rsid w:val="00870E1B"/>
    <w:rsid w:val="0087361A"/>
    <w:rsid w:val="008816CB"/>
    <w:rsid w:val="00882F2B"/>
    <w:rsid w:val="00883E11"/>
    <w:rsid w:val="00886660"/>
    <w:rsid w:val="0088739E"/>
    <w:rsid w:val="00890240"/>
    <w:rsid w:val="008918F3"/>
    <w:rsid w:val="0089225C"/>
    <w:rsid w:val="00892376"/>
    <w:rsid w:val="008923C7"/>
    <w:rsid w:val="00893007"/>
    <w:rsid w:val="008942A2"/>
    <w:rsid w:val="00896F54"/>
    <w:rsid w:val="00896F5C"/>
    <w:rsid w:val="008976B8"/>
    <w:rsid w:val="008979B1"/>
    <w:rsid w:val="008A3D89"/>
    <w:rsid w:val="008A4724"/>
    <w:rsid w:val="008A4939"/>
    <w:rsid w:val="008A697D"/>
    <w:rsid w:val="008A6B25"/>
    <w:rsid w:val="008A6C4F"/>
    <w:rsid w:val="008A6CD1"/>
    <w:rsid w:val="008A726F"/>
    <w:rsid w:val="008B0C2D"/>
    <w:rsid w:val="008B18AE"/>
    <w:rsid w:val="008B2335"/>
    <w:rsid w:val="008B368C"/>
    <w:rsid w:val="008B3C8D"/>
    <w:rsid w:val="008B3CAD"/>
    <w:rsid w:val="008B419E"/>
    <w:rsid w:val="008B4E93"/>
    <w:rsid w:val="008B6971"/>
    <w:rsid w:val="008B6DB6"/>
    <w:rsid w:val="008B7C8C"/>
    <w:rsid w:val="008C01BC"/>
    <w:rsid w:val="008C25B1"/>
    <w:rsid w:val="008C336C"/>
    <w:rsid w:val="008C42FE"/>
    <w:rsid w:val="008C530C"/>
    <w:rsid w:val="008C7C8F"/>
    <w:rsid w:val="008D3847"/>
    <w:rsid w:val="008D3E95"/>
    <w:rsid w:val="008D66CA"/>
    <w:rsid w:val="008E0678"/>
    <w:rsid w:val="008E0882"/>
    <w:rsid w:val="008E2F37"/>
    <w:rsid w:val="008E3A34"/>
    <w:rsid w:val="008E4285"/>
    <w:rsid w:val="008E5DD2"/>
    <w:rsid w:val="008F0D4C"/>
    <w:rsid w:val="008F1834"/>
    <w:rsid w:val="00900E34"/>
    <w:rsid w:val="00901748"/>
    <w:rsid w:val="00902968"/>
    <w:rsid w:val="00903232"/>
    <w:rsid w:val="009067E1"/>
    <w:rsid w:val="00907347"/>
    <w:rsid w:val="00910707"/>
    <w:rsid w:val="00916F1E"/>
    <w:rsid w:val="00917D15"/>
    <w:rsid w:val="009223CA"/>
    <w:rsid w:val="009227F4"/>
    <w:rsid w:val="00923116"/>
    <w:rsid w:val="00924130"/>
    <w:rsid w:val="009248FC"/>
    <w:rsid w:val="00930173"/>
    <w:rsid w:val="0093193D"/>
    <w:rsid w:val="00940F93"/>
    <w:rsid w:val="00941411"/>
    <w:rsid w:val="009419FA"/>
    <w:rsid w:val="009437A6"/>
    <w:rsid w:val="00944260"/>
    <w:rsid w:val="00945D3C"/>
    <w:rsid w:val="009462F6"/>
    <w:rsid w:val="0095157F"/>
    <w:rsid w:val="00953B82"/>
    <w:rsid w:val="00954527"/>
    <w:rsid w:val="009602E1"/>
    <w:rsid w:val="00960527"/>
    <w:rsid w:val="00964A81"/>
    <w:rsid w:val="009668CA"/>
    <w:rsid w:val="00966CDA"/>
    <w:rsid w:val="009723C9"/>
    <w:rsid w:val="00973FE7"/>
    <w:rsid w:val="00974974"/>
    <w:rsid w:val="009749C7"/>
    <w:rsid w:val="009760F3"/>
    <w:rsid w:val="009774D4"/>
    <w:rsid w:val="00980B3B"/>
    <w:rsid w:val="00982B71"/>
    <w:rsid w:val="00984734"/>
    <w:rsid w:val="009878EA"/>
    <w:rsid w:val="00987DA7"/>
    <w:rsid w:val="00991F66"/>
    <w:rsid w:val="00994206"/>
    <w:rsid w:val="00995E1C"/>
    <w:rsid w:val="009965C8"/>
    <w:rsid w:val="0099794D"/>
    <w:rsid w:val="009A0E8D"/>
    <w:rsid w:val="009A196C"/>
    <w:rsid w:val="009A414A"/>
    <w:rsid w:val="009A5997"/>
    <w:rsid w:val="009A6BF4"/>
    <w:rsid w:val="009A746F"/>
    <w:rsid w:val="009A7B68"/>
    <w:rsid w:val="009B06B3"/>
    <w:rsid w:val="009B26E7"/>
    <w:rsid w:val="009B3A80"/>
    <w:rsid w:val="009B5609"/>
    <w:rsid w:val="009C0574"/>
    <w:rsid w:val="009C064A"/>
    <w:rsid w:val="009C3B5C"/>
    <w:rsid w:val="009C40B0"/>
    <w:rsid w:val="009C49D3"/>
    <w:rsid w:val="009C4AD2"/>
    <w:rsid w:val="009D1C5F"/>
    <w:rsid w:val="009D4F9B"/>
    <w:rsid w:val="009D682E"/>
    <w:rsid w:val="009E2A24"/>
    <w:rsid w:val="009E31B5"/>
    <w:rsid w:val="009E3DA1"/>
    <w:rsid w:val="009E3F3B"/>
    <w:rsid w:val="009E5C79"/>
    <w:rsid w:val="009F23F4"/>
    <w:rsid w:val="009F28F0"/>
    <w:rsid w:val="009F56EF"/>
    <w:rsid w:val="009F572F"/>
    <w:rsid w:val="009F5B1C"/>
    <w:rsid w:val="009F5B46"/>
    <w:rsid w:val="009F7150"/>
    <w:rsid w:val="00A00A3F"/>
    <w:rsid w:val="00A01489"/>
    <w:rsid w:val="00A03A7E"/>
    <w:rsid w:val="00A04BEC"/>
    <w:rsid w:val="00A06117"/>
    <w:rsid w:val="00A069A6"/>
    <w:rsid w:val="00A149E6"/>
    <w:rsid w:val="00A25891"/>
    <w:rsid w:val="00A25EC5"/>
    <w:rsid w:val="00A26D66"/>
    <w:rsid w:val="00A27329"/>
    <w:rsid w:val="00A31244"/>
    <w:rsid w:val="00A32B60"/>
    <w:rsid w:val="00A32EA2"/>
    <w:rsid w:val="00A338F1"/>
    <w:rsid w:val="00A37804"/>
    <w:rsid w:val="00A420B0"/>
    <w:rsid w:val="00A43432"/>
    <w:rsid w:val="00A43512"/>
    <w:rsid w:val="00A44971"/>
    <w:rsid w:val="00A44CC0"/>
    <w:rsid w:val="00A5214F"/>
    <w:rsid w:val="00A53CD6"/>
    <w:rsid w:val="00A54142"/>
    <w:rsid w:val="00A544AA"/>
    <w:rsid w:val="00A55169"/>
    <w:rsid w:val="00A615C9"/>
    <w:rsid w:val="00A618E1"/>
    <w:rsid w:val="00A61B32"/>
    <w:rsid w:val="00A62A23"/>
    <w:rsid w:val="00A64C9B"/>
    <w:rsid w:val="00A7036F"/>
    <w:rsid w:val="00A70E86"/>
    <w:rsid w:val="00A72F22"/>
    <w:rsid w:val="00A7357A"/>
    <w:rsid w:val="00A7360F"/>
    <w:rsid w:val="00A73F02"/>
    <w:rsid w:val="00A74571"/>
    <w:rsid w:val="00A747CF"/>
    <w:rsid w:val="00A748A6"/>
    <w:rsid w:val="00A76746"/>
    <w:rsid w:val="00A769F4"/>
    <w:rsid w:val="00A776B4"/>
    <w:rsid w:val="00A77A48"/>
    <w:rsid w:val="00A86702"/>
    <w:rsid w:val="00A90EFF"/>
    <w:rsid w:val="00A94361"/>
    <w:rsid w:val="00A94975"/>
    <w:rsid w:val="00A94A7D"/>
    <w:rsid w:val="00A964C9"/>
    <w:rsid w:val="00AA1846"/>
    <w:rsid w:val="00AA19AC"/>
    <w:rsid w:val="00AA293C"/>
    <w:rsid w:val="00AA451C"/>
    <w:rsid w:val="00AA5EC9"/>
    <w:rsid w:val="00AA654F"/>
    <w:rsid w:val="00AB1033"/>
    <w:rsid w:val="00AB1123"/>
    <w:rsid w:val="00AC1F8D"/>
    <w:rsid w:val="00AC24F2"/>
    <w:rsid w:val="00AC3551"/>
    <w:rsid w:val="00AC639E"/>
    <w:rsid w:val="00AD2038"/>
    <w:rsid w:val="00AD60F0"/>
    <w:rsid w:val="00AD7AB3"/>
    <w:rsid w:val="00AE0CE8"/>
    <w:rsid w:val="00AE382C"/>
    <w:rsid w:val="00AE41A7"/>
    <w:rsid w:val="00AE5125"/>
    <w:rsid w:val="00AE7328"/>
    <w:rsid w:val="00AF1C7B"/>
    <w:rsid w:val="00AF1E53"/>
    <w:rsid w:val="00AF29E9"/>
    <w:rsid w:val="00AF4A5C"/>
    <w:rsid w:val="00AF5670"/>
    <w:rsid w:val="00AF657A"/>
    <w:rsid w:val="00AF67D6"/>
    <w:rsid w:val="00AF75D9"/>
    <w:rsid w:val="00AF7A8D"/>
    <w:rsid w:val="00B02F55"/>
    <w:rsid w:val="00B064F8"/>
    <w:rsid w:val="00B0741E"/>
    <w:rsid w:val="00B13B54"/>
    <w:rsid w:val="00B1695E"/>
    <w:rsid w:val="00B225A1"/>
    <w:rsid w:val="00B22C8A"/>
    <w:rsid w:val="00B24943"/>
    <w:rsid w:val="00B25F3D"/>
    <w:rsid w:val="00B30179"/>
    <w:rsid w:val="00B34174"/>
    <w:rsid w:val="00B4173A"/>
    <w:rsid w:val="00B502F4"/>
    <w:rsid w:val="00B51ED4"/>
    <w:rsid w:val="00B5356B"/>
    <w:rsid w:val="00B539AA"/>
    <w:rsid w:val="00B54F31"/>
    <w:rsid w:val="00B55C51"/>
    <w:rsid w:val="00B56E4A"/>
    <w:rsid w:val="00B56E9C"/>
    <w:rsid w:val="00B60B7B"/>
    <w:rsid w:val="00B63019"/>
    <w:rsid w:val="00B648D1"/>
    <w:rsid w:val="00B64B1F"/>
    <w:rsid w:val="00B6529C"/>
    <w:rsid w:val="00B6553F"/>
    <w:rsid w:val="00B67D69"/>
    <w:rsid w:val="00B70101"/>
    <w:rsid w:val="00B7409A"/>
    <w:rsid w:val="00B74BA4"/>
    <w:rsid w:val="00B75008"/>
    <w:rsid w:val="00B773A6"/>
    <w:rsid w:val="00B77D05"/>
    <w:rsid w:val="00B81206"/>
    <w:rsid w:val="00B81E12"/>
    <w:rsid w:val="00B82192"/>
    <w:rsid w:val="00B8310E"/>
    <w:rsid w:val="00B84933"/>
    <w:rsid w:val="00B8572E"/>
    <w:rsid w:val="00B90BC8"/>
    <w:rsid w:val="00B911ED"/>
    <w:rsid w:val="00B91E3C"/>
    <w:rsid w:val="00B92937"/>
    <w:rsid w:val="00B93182"/>
    <w:rsid w:val="00B9587E"/>
    <w:rsid w:val="00B97A1E"/>
    <w:rsid w:val="00B97EE2"/>
    <w:rsid w:val="00BA0F69"/>
    <w:rsid w:val="00BA2E7A"/>
    <w:rsid w:val="00BB0725"/>
    <w:rsid w:val="00BB4587"/>
    <w:rsid w:val="00BB5BCD"/>
    <w:rsid w:val="00BC065B"/>
    <w:rsid w:val="00BC34B7"/>
    <w:rsid w:val="00BC6718"/>
    <w:rsid w:val="00BC74E9"/>
    <w:rsid w:val="00BD1705"/>
    <w:rsid w:val="00BD3455"/>
    <w:rsid w:val="00BD77B8"/>
    <w:rsid w:val="00BD7C6A"/>
    <w:rsid w:val="00BE02C9"/>
    <w:rsid w:val="00BE4753"/>
    <w:rsid w:val="00BE7331"/>
    <w:rsid w:val="00BF2B01"/>
    <w:rsid w:val="00BF3DA0"/>
    <w:rsid w:val="00BF4194"/>
    <w:rsid w:val="00BF604B"/>
    <w:rsid w:val="00BF68A8"/>
    <w:rsid w:val="00BF783D"/>
    <w:rsid w:val="00C002FF"/>
    <w:rsid w:val="00C02D4B"/>
    <w:rsid w:val="00C059CD"/>
    <w:rsid w:val="00C11A03"/>
    <w:rsid w:val="00C1613C"/>
    <w:rsid w:val="00C22386"/>
    <w:rsid w:val="00C22A6A"/>
    <w:rsid w:val="00C24F84"/>
    <w:rsid w:val="00C25817"/>
    <w:rsid w:val="00C27052"/>
    <w:rsid w:val="00C31926"/>
    <w:rsid w:val="00C364D6"/>
    <w:rsid w:val="00C42634"/>
    <w:rsid w:val="00C463DD"/>
    <w:rsid w:val="00C4724C"/>
    <w:rsid w:val="00C537C8"/>
    <w:rsid w:val="00C578F1"/>
    <w:rsid w:val="00C61ADE"/>
    <w:rsid w:val="00C629A0"/>
    <w:rsid w:val="00C664E5"/>
    <w:rsid w:val="00C66978"/>
    <w:rsid w:val="00C669CC"/>
    <w:rsid w:val="00C66DFD"/>
    <w:rsid w:val="00C6760E"/>
    <w:rsid w:val="00C7097D"/>
    <w:rsid w:val="00C71AF4"/>
    <w:rsid w:val="00C745C3"/>
    <w:rsid w:val="00C802AB"/>
    <w:rsid w:val="00C80C5E"/>
    <w:rsid w:val="00C83A14"/>
    <w:rsid w:val="00C87749"/>
    <w:rsid w:val="00C90A5B"/>
    <w:rsid w:val="00C9101C"/>
    <w:rsid w:val="00C96E0C"/>
    <w:rsid w:val="00C9704F"/>
    <w:rsid w:val="00CB5C40"/>
    <w:rsid w:val="00CB6442"/>
    <w:rsid w:val="00CB6AEA"/>
    <w:rsid w:val="00CC05CF"/>
    <w:rsid w:val="00CC0642"/>
    <w:rsid w:val="00CC151D"/>
    <w:rsid w:val="00CC372C"/>
    <w:rsid w:val="00CC4032"/>
    <w:rsid w:val="00CC4B27"/>
    <w:rsid w:val="00CD5FC4"/>
    <w:rsid w:val="00CD64D1"/>
    <w:rsid w:val="00CE01AA"/>
    <w:rsid w:val="00CE0AEF"/>
    <w:rsid w:val="00CE0EC6"/>
    <w:rsid w:val="00CE290C"/>
    <w:rsid w:val="00CE4658"/>
    <w:rsid w:val="00CE4A8F"/>
    <w:rsid w:val="00CF0F87"/>
    <w:rsid w:val="00CF529F"/>
    <w:rsid w:val="00CF702E"/>
    <w:rsid w:val="00D030DE"/>
    <w:rsid w:val="00D07338"/>
    <w:rsid w:val="00D10B74"/>
    <w:rsid w:val="00D11158"/>
    <w:rsid w:val="00D1588A"/>
    <w:rsid w:val="00D16DEC"/>
    <w:rsid w:val="00D2031B"/>
    <w:rsid w:val="00D20EC6"/>
    <w:rsid w:val="00D21697"/>
    <w:rsid w:val="00D22FC8"/>
    <w:rsid w:val="00D25FE2"/>
    <w:rsid w:val="00D3034F"/>
    <w:rsid w:val="00D303B7"/>
    <w:rsid w:val="00D32217"/>
    <w:rsid w:val="00D3255D"/>
    <w:rsid w:val="00D3276F"/>
    <w:rsid w:val="00D32A2D"/>
    <w:rsid w:val="00D3362F"/>
    <w:rsid w:val="00D3615A"/>
    <w:rsid w:val="00D41B56"/>
    <w:rsid w:val="00D43252"/>
    <w:rsid w:val="00D43A58"/>
    <w:rsid w:val="00D46717"/>
    <w:rsid w:val="00D47706"/>
    <w:rsid w:val="00D47AC7"/>
    <w:rsid w:val="00D47EEA"/>
    <w:rsid w:val="00D5166F"/>
    <w:rsid w:val="00D53B6C"/>
    <w:rsid w:val="00D5558F"/>
    <w:rsid w:val="00D55823"/>
    <w:rsid w:val="00D55B97"/>
    <w:rsid w:val="00D5602B"/>
    <w:rsid w:val="00D618FE"/>
    <w:rsid w:val="00D633EA"/>
    <w:rsid w:val="00D63904"/>
    <w:rsid w:val="00D63F6F"/>
    <w:rsid w:val="00D64765"/>
    <w:rsid w:val="00D6618D"/>
    <w:rsid w:val="00D668C8"/>
    <w:rsid w:val="00D67D7A"/>
    <w:rsid w:val="00D7481D"/>
    <w:rsid w:val="00D76E67"/>
    <w:rsid w:val="00D813D0"/>
    <w:rsid w:val="00D82C30"/>
    <w:rsid w:val="00D85072"/>
    <w:rsid w:val="00D862FD"/>
    <w:rsid w:val="00D91B02"/>
    <w:rsid w:val="00D9347E"/>
    <w:rsid w:val="00D93CC8"/>
    <w:rsid w:val="00D95303"/>
    <w:rsid w:val="00D95A36"/>
    <w:rsid w:val="00D978C6"/>
    <w:rsid w:val="00DA28D8"/>
    <w:rsid w:val="00DA3C1C"/>
    <w:rsid w:val="00DA5DED"/>
    <w:rsid w:val="00DA6285"/>
    <w:rsid w:val="00DA71CB"/>
    <w:rsid w:val="00DA7C42"/>
    <w:rsid w:val="00DB06BA"/>
    <w:rsid w:val="00DB0E68"/>
    <w:rsid w:val="00DB13AB"/>
    <w:rsid w:val="00DB16FC"/>
    <w:rsid w:val="00DB189D"/>
    <w:rsid w:val="00DB26B2"/>
    <w:rsid w:val="00DB41D2"/>
    <w:rsid w:val="00DC0D8F"/>
    <w:rsid w:val="00DC1764"/>
    <w:rsid w:val="00DC20F6"/>
    <w:rsid w:val="00DC47EB"/>
    <w:rsid w:val="00DC552A"/>
    <w:rsid w:val="00DC7595"/>
    <w:rsid w:val="00DD6AE9"/>
    <w:rsid w:val="00DE086D"/>
    <w:rsid w:val="00DE08FF"/>
    <w:rsid w:val="00DE17F4"/>
    <w:rsid w:val="00DE63DC"/>
    <w:rsid w:val="00DE6D70"/>
    <w:rsid w:val="00DF23B6"/>
    <w:rsid w:val="00DF23DE"/>
    <w:rsid w:val="00DF2600"/>
    <w:rsid w:val="00DF319A"/>
    <w:rsid w:val="00DF5B7D"/>
    <w:rsid w:val="00DF7CB0"/>
    <w:rsid w:val="00E00752"/>
    <w:rsid w:val="00E01137"/>
    <w:rsid w:val="00E03386"/>
    <w:rsid w:val="00E04264"/>
    <w:rsid w:val="00E04C84"/>
    <w:rsid w:val="00E06689"/>
    <w:rsid w:val="00E10201"/>
    <w:rsid w:val="00E1227A"/>
    <w:rsid w:val="00E15476"/>
    <w:rsid w:val="00E16444"/>
    <w:rsid w:val="00E16D5D"/>
    <w:rsid w:val="00E16EFC"/>
    <w:rsid w:val="00E20264"/>
    <w:rsid w:val="00E21A27"/>
    <w:rsid w:val="00E24F3D"/>
    <w:rsid w:val="00E25070"/>
    <w:rsid w:val="00E2526B"/>
    <w:rsid w:val="00E2604A"/>
    <w:rsid w:val="00E27346"/>
    <w:rsid w:val="00E32EFC"/>
    <w:rsid w:val="00E3472B"/>
    <w:rsid w:val="00E35236"/>
    <w:rsid w:val="00E41971"/>
    <w:rsid w:val="00E467B0"/>
    <w:rsid w:val="00E46CE2"/>
    <w:rsid w:val="00E5408A"/>
    <w:rsid w:val="00E63979"/>
    <w:rsid w:val="00E64279"/>
    <w:rsid w:val="00E666A6"/>
    <w:rsid w:val="00E710C2"/>
    <w:rsid w:val="00E71125"/>
    <w:rsid w:val="00E71BC8"/>
    <w:rsid w:val="00E7260F"/>
    <w:rsid w:val="00E735D6"/>
    <w:rsid w:val="00E737BB"/>
    <w:rsid w:val="00E75863"/>
    <w:rsid w:val="00E807EF"/>
    <w:rsid w:val="00E82196"/>
    <w:rsid w:val="00E856B5"/>
    <w:rsid w:val="00E85AD0"/>
    <w:rsid w:val="00E85E7F"/>
    <w:rsid w:val="00E91F65"/>
    <w:rsid w:val="00E959E0"/>
    <w:rsid w:val="00E96630"/>
    <w:rsid w:val="00E96CE0"/>
    <w:rsid w:val="00EA0709"/>
    <w:rsid w:val="00EA4118"/>
    <w:rsid w:val="00EA6049"/>
    <w:rsid w:val="00EB08F6"/>
    <w:rsid w:val="00EB1E49"/>
    <w:rsid w:val="00EB4C6E"/>
    <w:rsid w:val="00EB7728"/>
    <w:rsid w:val="00EC153A"/>
    <w:rsid w:val="00EC17D9"/>
    <w:rsid w:val="00EC3875"/>
    <w:rsid w:val="00EC765A"/>
    <w:rsid w:val="00ED47FF"/>
    <w:rsid w:val="00ED6F5C"/>
    <w:rsid w:val="00ED7A2A"/>
    <w:rsid w:val="00EE16C9"/>
    <w:rsid w:val="00EE2F57"/>
    <w:rsid w:val="00EE3830"/>
    <w:rsid w:val="00EE3A5A"/>
    <w:rsid w:val="00EE69E1"/>
    <w:rsid w:val="00EF0A9D"/>
    <w:rsid w:val="00EF1D7F"/>
    <w:rsid w:val="00EF2C11"/>
    <w:rsid w:val="00F071E4"/>
    <w:rsid w:val="00F078D7"/>
    <w:rsid w:val="00F1765F"/>
    <w:rsid w:val="00F20C84"/>
    <w:rsid w:val="00F20C99"/>
    <w:rsid w:val="00F2779F"/>
    <w:rsid w:val="00F32383"/>
    <w:rsid w:val="00F34539"/>
    <w:rsid w:val="00F3480C"/>
    <w:rsid w:val="00F412B8"/>
    <w:rsid w:val="00F44E1F"/>
    <w:rsid w:val="00F514DA"/>
    <w:rsid w:val="00F52CF8"/>
    <w:rsid w:val="00F5393A"/>
    <w:rsid w:val="00F54BE9"/>
    <w:rsid w:val="00F57012"/>
    <w:rsid w:val="00F60A0D"/>
    <w:rsid w:val="00F65158"/>
    <w:rsid w:val="00F70147"/>
    <w:rsid w:val="00F71B36"/>
    <w:rsid w:val="00F72A51"/>
    <w:rsid w:val="00F72D60"/>
    <w:rsid w:val="00F738E0"/>
    <w:rsid w:val="00F74FE8"/>
    <w:rsid w:val="00F75696"/>
    <w:rsid w:val="00F906F5"/>
    <w:rsid w:val="00F92AEB"/>
    <w:rsid w:val="00F93781"/>
    <w:rsid w:val="00F94550"/>
    <w:rsid w:val="00F94C3A"/>
    <w:rsid w:val="00FA1C9D"/>
    <w:rsid w:val="00FA4165"/>
    <w:rsid w:val="00FA4CC8"/>
    <w:rsid w:val="00FA5869"/>
    <w:rsid w:val="00FA5AD3"/>
    <w:rsid w:val="00FA7230"/>
    <w:rsid w:val="00FB06CC"/>
    <w:rsid w:val="00FB1778"/>
    <w:rsid w:val="00FB4221"/>
    <w:rsid w:val="00FB613B"/>
    <w:rsid w:val="00FB70C1"/>
    <w:rsid w:val="00FC1527"/>
    <w:rsid w:val="00FC187B"/>
    <w:rsid w:val="00FC1897"/>
    <w:rsid w:val="00FC2659"/>
    <w:rsid w:val="00FC2E43"/>
    <w:rsid w:val="00FC2F6F"/>
    <w:rsid w:val="00FC3E6D"/>
    <w:rsid w:val="00FC6503"/>
    <w:rsid w:val="00FC68B7"/>
    <w:rsid w:val="00FD0578"/>
    <w:rsid w:val="00FD5207"/>
    <w:rsid w:val="00FE106A"/>
    <w:rsid w:val="00FE3208"/>
    <w:rsid w:val="00FF118F"/>
    <w:rsid w:val="00FF168B"/>
    <w:rsid w:val="00FF2DEB"/>
    <w:rsid w:val="00FF42B4"/>
    <w:rsid w:val="00FF46DB"/>
    <w:rsid w:val="00FF602A"/>
    <w:rsid w:val="00FF6EB6"/>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0531B"/>
  <w15:docId w15:val="{8B4D0824-8DB1-416B-A3BD-4FCCED0C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8B419E"/>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qFormat/>
    <w:rsid w:val="008B419E"/>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AD2038"/>
    <w:rPr>
      <w:rFonts w:eastAsia="SimSun"/>
      <w:sz w:val="18"/>
      <w:lang w:val="en-US" w:eastAsia="zh-CN"/>
    </w:rPr>
  </w:style>
  <w:style w:type="character" w:customStyle="1" w:styleId="SingleTxtGChar">
    <w:name w:val="_ Single Txt_G Char"/>
    <w:link w:val="SingleTxtG"/>
    <w:locked/>
    <w:rsid w:val="00AD2038"/>
    <w:rPr>
      <w:lang w:val="en-GB" w:eastAsia="en-US" w:bidi="ar-SA"/>
    </w:rPr>
  </w:style>
  <w:style w:type="paragraph" w:customStyle="1" w:styleId="Default">
    <w:name w:val="Default"/>
    <w:rsid w:val="00AD2038"/>
    <w:pPr>
      <w:autoSpaceDE w:val="0"/>
      <w:autoSpaceDN w:val="0"/>
      <w:adjustRightInd w:val="0"/>
    </w:pPr>
    <w:rPr>
      <w:rFonts w:eastAsia="SimSun"/>
      <w:color w:val="000000"/>
      <w:sz w:val="24"/>
      <w:szCs w:val="24"/>
      <w:lang w:val="en-US" w:eastAsia="zh-CN"/>
    </w:rPr>
  </w:style>
  <w:style w:type="character" w:styleId="CommentReference">
    <w:name w:val="annotation reference"/>
    <w:semiHidden/>
    <w:rsid w:val="00B75008"/>
    <w:rPr>
      <w:sz w:val="16"/>
    </w:rPr>
  </w:style>
  <w:style w:type="paragraph" w:styleId="BalloonText">
    <w:name w:val="Balloon Text"/>
    <w:basedOn w:val="Normal"/>
    <w:link w:val="BalloonTextChar"/>
    <w:rsid w:val="00660479"/>
    <w:pPr>
      <w:spacing w:line="240" w:lineRule="auto"/>
    </w:pPr>
    <w:rPr>
      <w:rFonts w:ascii="Tahoma" w:hAnsi="Tahoma" w:cs="Tahoma"/>
      <w:sz w:val="16"/>
      <w:szCs w:val="16"/>
    </w:rPr>
  </w:style>
  <w:style w:type="character" w:customStyle="1" w:styleId="BalloonTextChar">
    <w:name w:val="Balloon Text Char"/>
    <w:link w:val="BalloonText"/>
    <w:rsid w:val="00660479"/>
    <w:rPr>
      <w:rFonts w:ascii="Tahoma" w:hAnsi="Tahoma" w:cs="Tahoma"/>
      <w:sz w:val="16"/>
      <w:szCs w:val="16"/>
      <w:lang w:eastAsia="en-US"/>
    </w:rPr>
  </w:style>
  <w:style w:type="paragraph" w:styleId="CommentText">
    <w:name w:val="annotation text"/>
    <w:basedOn w:val="Normal"/>
    <w:link w:val="CommentTextChar"/>
    <w:rsid w:val="00AD60F0"/>
  </w:style>
  <w:style w:type="character" w:customStyle="1" w:styleId="CommentTextChar">
    <w:name w:val="Comment Text Char"/>
    <w:link w:val="CommentText"/>
    <w:rsid w:val="00AD60F0"/>
    <w:rPr>
      <w:lang w:eastAsia="en-US"/>
    </w:rPr>
  </w:style>
  <w:style w:type="paragraph" w:styleId="CommentSubject">
    <w:name w:val="annotation subject"/>
    <w:basedOn w:val="CommentText"/>
    <w:next w:val="CommentText"/>
    <w:link w:val="CommentSubjectChar"/>
    <w:rsid w:val="00AD60F0"/>
    <w:rPr>
      <w:b/>
      <w:bCs/>
    </w:rPr>
  </w:style>
  <w:style w:type="character" w:customStyle="1" w:styleId="CommentSubjectChar">
    <w:name w:val="Comment Subject Char"/>
    <w:link w:val="CommentSubject"/>
    <w:rsid w:val="00AD60F0"/>
    <w:rPr>
      <w:b/>
      <w:bCs/>
      <w:lang w:eastAsia="en-US"/>
    </w:rPr>
  </w:style>
  <w:style w:type="paragraph" w:customStyle="1" w:styleId="MediumList2-Accent21">
    <w:name w:val="Medium List 2 - Accent 21"/>
    <w:hidden/>
    <w:uiPriority w:val="99"/>
    <w:semiHidden/>
    <w:rsid w:val="00EF0A9D"/>
    <w:rPr>
      <w:lang w:eastAsia="en-US"/>
    </w:rPr>
  </w:style>
  <w:style w:type="paragraph" w:styleId="NormalWeb">
    <w:name w:val="Normal (Web)"/>
    <w:basedOn w:val="Normal"/>
    <w:uiPriority w:val="99"/>
    <w:unhideWhenUsed/>
    <w:rsid w:val="00EB4C6E"/>
    <w:pPr>
      <w:suppressAutoHyphens w:val="0"/>
      <w:spacing w:before="100" w:beforeAutospacing="1" w:after="100" w:afterAutospacing="1" w:line="240" w:lineRule="auto"/>
    </w:pPr>
    <w:rPr>
      <w:rFonts w:ascii="Verdana" w:hAnsi="Verdana"/>
      <w:color w:val="555555"/>
      <w:sz w:val="17"/>
      <w:szCs w:val="17"/>
      <w:lang w:eastAsia="en-GB"/>
    </w:rPr>
  </w:style>
  <w:style w:type="character" w:customStyle="1" w:styleId="normal--char">
    <w:name w:val="normal--char"/>
    <w:rsid w:val="00CB6AEA"/>
  </w:style>
  <w:style w:type="character" w:customStyle="1" w:styleId="FootnoteTextChar1">
    <w:name w:val="Footnote Text Char1"/>
    <w:aliases w:val="5_G Char1"/>
    <w:semiHidden/>
    <w:locked/>
    <w:rsid w:val="00CB6AEA"/>
    <w:rPr>
      <w:sz w:val="18"/>
      <w:lang w:eastAsia="en-US"/>
    </w:rPr>
  </w:style>
  <w:style w:type="paragraph" w:styleId="Revision">
    <w:name w:val="Revision"/>
    <w:hidden/>
    <w:uiPriority w:val="99"/>
    <w:semiHidden/>
    <w:rsid w:val="00F2779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425">
      <w:bodyDiv w:val="1"/>
      <w:marLeft w:val="0"/>
      <w:marRight w:val="0"/>
      <w:marTop w:val="0"/>
      <w:marBottom w:val="0"/>
      <w:divBdr>
        <w:top w:val="none" w:sz="0" w:space="0" w:color="auto"/>
        <w:left w:val="none" w:sz="0" w:space="0" w:color="auto"/>
        <w:bottom w:val="none" w:sz="0" w:space="0" w:color="auto"/>
        <w:right w:val="none" w:sz="0" w:space="0" w:color="auto"/>
      </w:divBdr>
    </w:div>
    <w:div w:id="314845667">
      <w:bodyDiv w:val="1"/>
      <w:marLeft w:val="0"/>
      <w:marRight w:val="0"/>
      <w:marTop w:val="0"/>
      <w:marBottom w:val="0"/>
      <w:divBdr>
        <w:top w:val="none" w:sz="0" w:space="0" w:color="auto"/>
        <w:left w:val="none" w:sz="0" w:space="0" w:color="auto"/>
        <w:bottom w:val="none" w:sz="0" w:space="0" w:color="auto"/>
        <w:right w:val="none" w:sz="0" w:space="0" w:color="auto"/>
      </w:divBdr>
    </w:div>
    <w:div w:id="582030743">
      <w:bodyDiv w:val="1"/>
      <w:marLeft w:val="0"/>
      <w:marRight w:val="0"/>
      <w:marTop w:val="0"/>
      <w:marBottom w:val="0"/>
      <w:divBdr>
        <w:top w:val="none" w:sz="0" w:space="0" w:color="auto"/>
        <w:left w:val="none" w:sz="0" w:space="0" w:color="auto"/>
        <w:bottom w:val="none" w:sz="0" w:space="0" w:color="auto"/>
        <w:right w:val="none" w:sz="0" w:space="0" w:color="auto"/>
      </w:divBdr>
    </w:div>
    <w:div w:id="592588002">
      <w:bodyDiv w:val="1"/>
      <w:marLeft w:val="0"/>
      <w:marRight w:val="0"/>
      <w:marTop w:val="0"/>
      <w:marBottom w:val="0"/>
      <w:divBdr>
        <w:top w:val="none" w:sz="0" w:space="0" w:color="auto"/>
        <w:left w:val="none" w:sz="0" w:space="0" w:color="auto"/>
        <w:bottom w:val="none" w:sz="0" w:space="0" w:color="auto"/>
        <w:right w:val="none" w:sz="0" w:space="0" w:color="auto"/>
      </w:divBdr>
    </w:div>
    <w:div w:id="1047484783">
      <w:bodyDiv w:val="1"/>
      <w:marLeft w:val="0"/>
      <w:marRight w:val="0"/>
      <w:marTop w:val="0"/>
      <w:marBottom w:val="0"/>
      <w:divBdr>
        <w:top w:val="none" w:sz="0" w:space="0" w:color="auto"/>
        <w:left w:val="none" w:sz="0" w:space="0" w:color="auto"/>
        <w:bottom w:val="none" w:sz="0" w:space="0" w:color="auto"/>
        <w:right w:val="none" w:sz="0" w:space="0" w:color="auto"/>
      </w:divBdr>
    </w:div>
    <w:div w:id="1455903716">
      <w:bodyDiv w:val="1"/>
      <w:marLeft w:val="0"/>
      <w:marRight w:val="0"/>
      <w:marTop w:val="0"/>
      <w:marBottom w:val="0"/>
      <w:divBdr>
        <w:top w:val="none" w:sz="0" w:space="0" w:color="auto"/>
        <w:left w:val="none" w:sz="0" w:space="0" w:color="auto"/>
        <w:bottom w:val="none" w:sz="0" w:space="0" w:color="auto"/>
        <w:right w:val="none" w:sz="0" w:space="0" w:color="auto"/>
      </w:divBdr>
    </w:div>
    <w:div w:id="1470198427">
      <w:bodyDiv w:val="1"/>
      <w:marLeft w:val="0"/>
      <w:marRight w:val="0"/>
      <w:marTop w:val="0"/>
      <w:marBottom w:val="0"/>
      <w:divBdr>
        <w:top w:val="none" w:sz="0" w:space="0" w:color="auto"/>
        <w:left w:val="none" w:sz="0" w:space="0" w:color="auto"/>
        <w:bottom w:val="none" w:sz="0" w:space="0" w:color="auto"/>
        <w:right w:val="none" w:sz="0" w:space="0" w:color="auto"/>
      </w:divBdr>
    </w:div>
    <w:div w:id="1870409517">
      <w:bodyDiv w:val="1"/>
      <w:marLeft w:val="0"/>
      <w:marRight w:val="0"/>
      <w:marTop w:val="0"/>
      <w:marBottom w:val="0"/>
      <w:divBdr>
        <w:top w:val="none" w:sz="0" w:space="0" w:color="auto"/>
        <w:left w:val="none" w:sz="0" w:space="0" w:color="auto"/>
        <w:bottom w:val="none" w:sz="0" w:space="0" w:color="auto"/>
        <w:right w:val="none" w:sz="0" w:space="0" w:color="auto"/>
      </w:divBdr>
    </w:div>
    <w:div w:id="1915581488">
      <w:bodyDiv w:val="1"/>
      <w:marLeft w:val="0"/>
      <w:marRight w:val="0"/>
      <w:marTop w:val="0"/>
      <w:marBottom w:val="0"/>
      <w:divBdr>
        <w:top w:val="none" w:sz="0" w:space="0" w:color="auto"/>
        <w:left w:val="none" w:sz="0" w:space="0" w:color="auto"/>
        <w:bottom w:val="none" w:sz="0" w:space="0" w:color="auto"/>
        <w:right w:val="none" w:sz="0" w:space="0" w:color="auto"/>
      </w:divBdr>
    </w:div>
    <w:div w:id="1992246634">
      <w:bodyDiv w:val="1"/>
      <w:marLeft w:val="0"/>
      <w:marRight w:val="0"/>
      <w:marTop w:val="0"/>
      <w:marBottom w:val="0"/>
      <w:divBdr>
        <w:top w:val="none" w:sz="0" w:space="0" w:color="auto"/>
        <w:left w:val="none" w:sz="0" w:space="0" w:color="auto"/>
        <w:bottom w:val="none" w:sz="0" w:space="0" w:color="auto"/>
        <w:right w:val="none" w:sz="0" w:space="0" w:color="auto"/>
      </w:divBdr>
    </w:div>
    <w:div w:id="2015263752">
      <w:bodyDiv w:val="1"/>
      <w:marLeft w:val="0"/>
      <w:marRight w:val="0"/>
      <w:marTop w:val="0"/>
      <w:marBottom w:val="0"/>
      <w:divBdr>
        <w:top w:val="none" w:sz="0" w:space="0" w:color="auto"/>
        <w:left w:val="none" w:sz="0" w:space="0" w:color="auto"/>
        <w:bottom w:val="none" w:sz="0" w:space="0" w:color="auto"/>
        <w:right w:val="none" w:sz="0" w:space="0" w:color="auto"/>
      </w:divBdr>
    </w:div>
    <w:div w:id="21394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93B05-17FB-4089-9966-D7C7E182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4873</Words>
  <Characters>27779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default</dc:creator>
  <cp:lastModifiedBy>Sarah Willig</cp:lastModifiedBy>
  <cp:revision>2</cp:revision>
  <cp:lastPrinted>2015-09-24T07:35:00Z</cp:lastPrinted>
  <dcterms:created xsi:type="dcterms:W3CDTF">2017-01-24T22:28:00Z</dcterms:created>
  <dcterms:modified xsi:type="dcterms:W3CDTF">2017-01-24T22:28:00Z</dcterms:modified>
</cp:coreProperties>
</file>