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7F5FE5D3" w14:textId="77777777" w:rsidTr="00B6553F">
        <w:trPr>
          <w:cantSplit/>
          <w:trHeight w:hRule="exact" w:val="851"/>
        </w:trPr>
        <w:tc>
          <w:tcPr>
            <w:tcW w:w="1276" w:type="dxa"/>
            <w:tcBorders>
              <w:bottom w:val="single" w:sz="4" w:space="0" w:color="auto"/>
            </w:tcBorders>
            <w:vAlign w:val="bottom"/>
          </w:tcPr>
          <w:p w14:paraId="3A0256FC" w14:textId="77777777" w:rsidR="00B56E9C" w:rsidRPr="00694F24" w:rsidRDefault="00B56E9C" w:rsidP="00B6553F">
            <w:pPr>
              <w:keepNext/>
              <w:keepLines/>
              <w:tabs>
                <w:tab w:val="right" w:pos="851"/>
              </w:tabs>
              <w:spacing w:before="240" w:after="80"/>
              <w:ind w:left="1134" w:right="1134" w:hanging="1134"/>
              <w:rPr>
                <w:lang w:val="en-US"/>
              </w:rPr>
            </w:pPr>
          </w:p>
        </w:tc>
        <w:tc>
          <w:tcPr>
            <w:tcW w:w="2268" w:type="dxa"/>
            <w:tcBorders>
              <w:bottom w:val="single" w:sz="4" w:space="0" w:color="auto"/>
            </w:tcBorders>
            <w:vAlign w:val="bottom"/>
          </w:tcPr>
          <w:p w14:paraId="06CFC8BC"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C5476D6" w14:textId="086853C9" w:rsidR="00B56E9C" w:rsidRPr="00D47EEA" w:rsidRDefault="008216A5" w:rsidP="00EF3A25">
            <w:pPr>
              <w:jc w:val="right"/>
            </w:pPr>
            <w:r w:rsidRPr="008216A5">
              <w:rPr>
                <w:sz w:val="40"/>
              </w:rPr>
              <w:t>CCPR</w:t>
            </w:r>
            <w:r>
              <w:t>/C/1</w:t>
            </w:r>
            <w:r w:rsidR="00711F00">
              <w:t>1</w:t>
            </w:r>
            <w:r w:rsidR="00685D9C">
              <w:t>6</w:t>
            </w:r>
            <w:r>
              <w:t>/D/</w:t>
            </w:r>
            <w:r w:rsidR="008B5946">
              <w:t>2</w:t>
            </w:r>
            <w:r w:rsidR="00FB603B">
              <w:t>12</w:t>
            </w:r>
            <w:r w:rsidR="008B5946">
              <w:t>9</w:t>
            </w:r>
            <w:r>
              <w:t>/</w:t>
            </w:r>
            <w:r w:rsidR="00AE50CE">
              <w:t>20</w:t>
            </w:r>
            <w:r w:rsidR="008B5946">
              <w:t>1</w:t>
            </w:r>
            <w:r w:rsidR="00FB603B">
              <w:t>2</w:t>
            </w:r>
          </w:p>
        </w:tc>
      </w:tr>
      <w:tr w:rsidR="00B56E9C" w14:paraId="570E6D11" w14:textId="77777777" w:rsidTr="00A9008E">
        <w:trPr>
          <w:cantSplit/>
          <w:trHeight w:hRule="exact" w:val="2706"/>
        </w:trPr>
        <w:tc>
          <w:tcPr>
            <w:tcW w:w="1276" w:type="dxa"/>
            <w:tcBorders>
              <w:top w:val="single" w:sz="4" w:space="0" w:color="auto"/>
              <w:bottom w:val="single" w:sz="12" w:space="0" w:color="auto"/>
            </w:tcBorders>
          </w:tcPr>
          <w:p w14:paraId="1D00DA0C" w14:textId="77777777" w:rsidR="00B56E9C" w:rsidRDefault="00B92AA1" w:rsidP="00B6553F">
            <w:pPr>
              <w:spacing w:before="120"/>
            </w:pPr>
            <w:r>
              <w:rPr>
                <w:noProof/>
                <w:lang w:val="en-US" w:eastAsia="zh-CN"/>
              </w:rPr>
              <w:drawing>
                <wp:inline distT="0" distB="0" distL="0" distR="0" wp14:anchorId="22A414AE" wp14:editId="0BBA260A">
                  <wp:extent cx="713740"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740"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4B9C4B8" w14:textId="67747B87" w:rsidR="00A71667" w:rsidRPr="006262E9"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25BC8FD3" w14:textId="227CA4F2" w:rsidR="00675A40" w:rsidRPr="00463B9A" w:rsidRDefault="00675A40" w:rsidP="00675A40">
            <w:pPr>
              <w:spacing w:before="240" w:line="240" w:lineRule="exact"/>
            </w:pPr>
            <w:r w:rsidRPr="00463B9A">
              <w:t xml:space="preserve">Distr.: </w:t>
            </w:r>
            <w:r w:rsidR="00C13155">
              <w:t>General</w:t>
            </w:r>
          </w:p>
          <w:p w14:paraId="4DE66858" w14:textId="23F63D07" w:rsidR="00675A40" w:rsidRPr="00463B9A" w:rsidRDefault="00292A01" w:rsidP="00675A40">
            <w:pPr>
              <w:spacing w:line="240" w:lineRule="exact"/>
            </w:pPr>
            <w:r>
              <w:t>4</w:t>
            </w:r>
            <w:r w:rsidR="00A71667">
              <w:t xml:space="preserve"> </w:t>
            </w:r>
            <w:r w:rsidR="00493974">
              <w:t>May</w:t>
            </w:r>
            <w:r w:rsidR="00675A40" w:rsidRPr="00463B9A">
              <w:t xml:space="preserve"> 201</w:t>
            </w:r>
            <w:r w:rsidR="00675A40">
              <w:t>6</w:t>
            </w:r>
          </w:p>
          <w:p w14:paraId="1B3DD7E1" w14:textId="77777777" w:rsidR="00675A40" w:rsidRPr="00463B9A" w:rsidRDefault="00675A40" w:rsidP="00675A40">
            <w:pPr>
              <w:spacing w:line="240" w:lineRule="exact"/>
            </w:pPr>
          </w:p>
          <w:p w14:paraId="2E8F9966" w14:textId="77777777" w:rsidR="00675A40" w:rsidRPr="00463B9A" w:rsidRDefault="00675A40" w:rsidP="00675A40">
            <w:pPr>
              <w:spacing w:line="240" w:lineRule="exact"/>
            </w:pPr>
            <w:r w:rsidRPr="00463B9A">
              <w:t>Original: English</w:t>
            </w:r>
          </w:p>
          <w:p w14:paraId="55FC9C8B" w14:textId="09185ADF" w:rsidR="000E7537" w:rsidRDefault="000E7537" w:rsidP="008216A5">
            <w:pPr>
              <w:spacing w:line="240" w:lineRule="exact"/>
            </w:pPr>
          </w:p>
        </w:tc>
      </w:tr>
    </w:tbl>
    <w:p w14:paraId="5F7B0695" w14:textId="77777777" w:rsidR="00254D64" w:rsidRPr="00254D64" w:rsidRDefault="00254D64" w:rsidP="00254D64">
      <w:pPr>
        <w:spacing w:line="20" w:lineRule="exact"/>
        <w:rPr>
          <w:b/>
          <w:sz w:val="2"/>
          <w:szCs w:val="24"/>
        </w:rPr>
      </w:pPr>
    </w:p>
    <w:p w14:paraId="056CBBBB" w14:textId="0F887740" w:rsidR="008B4173" w:rsidRPr="00463B9A" w:rsidRDefault="00675A40" w:rsidP="008B4173">
      <w:pPr>
        <w:spacing w:before="120"/>
        <w:rPr>
          <w:b/>
          <w:sz w:val="24"/>
          <w:szCs w:val="24"/>
        </w:rPr>
      </w:pPr>
      <w:r w:rsidRPr="00463B9A">
        <w:rPr>
          <w:b/>
          <w:sz w:val="24"/>
          <w:szCs w:val="24"/>
        </w:rPr>
        <w:t>Human Rights Committee</w:t>
      </w:r>
      <w:r w:rsidR="008B4173" w:rsidRPr="008B4173">
        <w:rPr>
          <w:b/>
          <w:noProof/>
          <w:sz w:val="24"/>
          <w:szCs w:val="24"/>
          <w:lang w:val="en-US"/>
        </w:rPr>
        <w:drawing>
          <wp:anchor distT="0" distB="0" distL="114300" distR="114300" simplePos="0" relativeHeight="251659264" behindDoc="0" locked="0" layoutInCell="1" allowOverlap="1" wp14:anchorId="3EA221E9" wp14:editId="6CFBB62B">
            <wp:simplePos x="0" y="0"/>
            <wp:positionH relativeFrom="margin">
              <wp:posOffset>4382770</wp:posOffset>
            </wp:positionH>
            <wp:positionV relativeFrom="margin">
              <wp:posOffset>8324215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18964913" w14:textId="05398D94" w:rsidR="003134AC" w:rsidRDefault="003134AC" w:rsidP="006262E9">
      <w:pPr>
        <w:pStyle w:val="H1G"/>
      </w:pPr>
      <w:r w:rsidRPr="009E31DB">
        <w:tab/>
      </w:r>
      <w:r w:rsidRPr="009E31DB">
        <w:tab/>
      </w:r>
      <w:r w:rsidR="00EF3A25">
        <w:t xml:space="preserve">Views </w:t>
      </w:r>
      <w:r w:rsidR="00EF3A25" w:rsidRPr="00420977">
        <w:t>a</w:t>
      </w:r>
      <w:r w:rsidR="00EF3A25">
        <w:t xml:space="preserve">dopted by the Committee </w:t>
      </w:r>
      <w:r w:rsidR="00EF3A25" w:rsidRPr="00324427">
        <w:t xml:space="preserve">under article 5 </w:t>
      </w:r>
      <w:r w:rsidR="00EF3A25">
        <w:t>(</w:t>
      </w:r>
      <w:r w:rsidR="00EF3A25" w:rsidRPr="00324427">
        <w:t>4</w:t>
      </w:r>
      <w:r w:rsidR="00EF3A25">
        <w:t>)</w:t>
      </w:r>
      <w:r w:rsidR="00EF3A25" w:rsidRPr="00324427">
        <w:t xml:space="preserve"> of the Optional Protocol</w:t>
      </w:r>
      <w:r w:rsidR="00EF3A25">
        <w:t>,</w:t>
      </w:r>
      <w:r w:rsidR="00EF3A25" w:rsidRPr="00FB3457">
        <w:t xml:space="preserve"> </w:t>
      </w:r>
      <w:r w:rsidR="00EF3A25">
        <w:t>concerning communication</w:t>
      </w:r>
      <w:r w:rsidR="00EF3A25" w:rsidRPr="008216A5">
        <w:t xml:space="preserve"> No. </w:t>
      </w:r>
      <w:r w:rsidR="008B5946">
        <w:t>2</w:t>
      </w:r>
      <w:r w:rsidR="00FB603B">
        <w:t>12</w:t>
      </w:r>
      <w:r w:rsidR="008B5946">
        <w:t>9</w:t>
      </w:r>
      <w:r>
        <w:t>/20</w:t>
      </w:r>
      <w:r w:rsidR="00154275">
        <w:t>1</w:t>
      </w:r>
      <w:r w:rsidR="00FB603B">
        <w:t>2</w:t>
      </w:r>
      <w:r w:rsidR="00EF3A25" w:rsidRPr="006262E9">
        <w:rPr>
          <w:rStyle w:val="FootnoteReference"/>
          <w:b w:val="0"/>
          <w:bCs/>
          <w:sz w:val="20"/>
          <w:vertAlign w:val="baseline"/>
        </w:rPr>
        <w:footnoteReference w:customMarkFollows="1" w:id="2"/>
        <w:t>*</w:t>
      </w:r>
      <w:r w:rsidR="002F1733" w:rsidRPr="006262E9">
        <w:rPr>
          <w:rStyle w:val="FootnoteReference"/>
          <w:b w:val="0"/>
          <w:bCs/>
          <w:position w:val="4"/>
          <w:sz w:val="20"/>
          <w:vertAlign w:val="baseline"/>
        </w:rPr>
        <w:t>,</w:t>
      </w:r>
      <w:r w:rsidR="00EF3A25" w:rsidRPr="006262E9">
        <w:rPr>
          <w:rStyle w:val="FootnoteReference"/>
          <w:sz w:val="20"/>
          <w:vertAlign w:val="baseline"/>
        </w:rPr>
        <w:t xml:space="preserve"> </w:t>
      </w:r>
      <w:r w:rsidR="00EF3A25" w:rsidRPr="006262E9">
        <w:rPr>
          <w:rStyle w:val="FootnoteReference"/>
          <w:b w:val="0"/>
          <w:bCs/>
          <w:sz w:val="20"/>
          <w:vertAlign w:val="baseline"/>
        </w:rPr>
        <w:t>**</w:t>
      </w:r>
    </w:p>
    <w:p w14:paraId="7AD1A0DA" w14:textId="6C3BC216" w:rsidR="00650921" w:rsidRPr="009E31DB" w:rsidRDefault="00227A16" w:rsidP="00675A40">
      <w:pPr>
        <w:pStyle w:val="SingleTxtG"/>
        <w:ind w:left="4536" w:hanging="3402"/>
        <w:jc w:val="left"/>
      </w:pPr>
      <w:r>
        <w:rPr>
          <w:i/>
          <w:lang w:val="en-US"/>
        </w:rPr>
        <w:t>Communication s</w:t>
      </w:r>
      <w:proofErr w:type="spellStart"/>
      <w:r w:rsidR="00650921" w:rsidRPr="009707F5">
        <w:rPr>
          <w:i/>
        </w:rPr>
        <w:t>ubmitted</w:t>
      </w:r>
      <w:proofErr w:type="spellEnd"/>
      <w:r w:rsidR="00650921" w:rsidRPr="009707F5">
        <w:rPr>
          <w:i/>
        </w:rPr>
        <w:t xml:space="preserve"> by:</w:t>
      </w:r>
      <w:r w:rsidR="00650921" w:rsidRPr="009E31DB">
        <w:tab/>
      </w:r>
      <w:proofErr w:type="spellStart"/>
      <w:r w:rsidR="00650921" w:rsidRPr="00650921">
        <w:rPr>
          <w:lang w:val="en-US"/>
        </w:rPr>
        <w:t>Ramazan</w:t>
      </w:r>
      <w:proofErr w:type="spellEnd"/>
      <w:r w:rsidR="00650921" w:rsidRPr="00650921">
        <w:rPr>
          <w:lang w:val="en-US"/>
        </w:rPr>
        <w:t xml:space="preserve"> </w:t>
      </w:r>
      <w:proofErr w:type="spellStart"/>
      <w:r w:rsidR="00650921" w:rsidRPr="00650921">
        <w:rPr>
          <w:lang w:val="en-US"/>
        </w:rPr>
        <w:t>E</w:t>
      </w:r>
      <w:r w:rsidR="00650921">
        <w:rPr>
          <w:lang w:val="en-US"/>
        </w:rPr>
        <w:t>sergepov</w:t>
      </w:r>
      <w:proofErr w:type="spellEnd"/>
      <w:r w:rsidR="00650921">
        <w:rPr>
          <w:lang w:val="en-US"/>
        </w:rPr>
        <w:t xml:space="preserve"> (</w:t>
      </w:r>
      <w:r w:rsidR="00650921" w:rsidRPr="00650921">
        <w:rPr>
          <w:lang w:val="en-US"/>
        </w:rPr>
        <w:t xml:space="preserve">represented by his wife, </w:t>
      </w:r>
      <w:proofErr w:type="spellStart"/>
      <w:r w:rsidR="00650921" w:rsidRPr="00650921">
        <w:rPr>
          <w:lang w:val="en-US"/>
        </w:rPr>
        <w:t>Raushan</w:t>
      </w:r>
      <w:proofErr w:type="spellEnd"/>
      <w:r w:rsidR="00650921" w:rsidRPr="00650921">
        <w:rPr>
          <w:lang w:val="en-US"/>
        </w:rPr>
        <w:t xml:space="preserve"> </w:t>
      </w:r>
      <w:proofErr w:type="spellStart"/>
      <w:r w:rsidR="00650921" w:rsidRPr="00650921">
        <w:rPr>
          <w:lang w:val="en-US"/>
        </w:rPr>
        <w:t>Esergepova</w:t>
      </w:r>
      <w:proofErr w:type="spellEnd"/>
      <w:r w:rsidR="008C0C32">
        <w:rPr>
          <w:lang w:val="en-US"/>
        </w:rPr>
        <w:t xml:space="preserve"> and by the Kazakhstan International Bureau </w:t>
      </w:r>
      <w:r w:rsidR="00806F90">
        <w:rPr>
          <w:lang w:val="en-US"/>
        </w:rPr>
        <w:t>for</w:t>
      </w:r>
      <w:r w:rsidR="008C0C32">
        <w:rPr>
          <w:lang w:val="en-US"/>
        </w:rPr>
        <w:t xml:space="preserve"> Human Rights</w:t>
      </w:r>
      <w:r w:rsidR="00806F90">
        <w:rPr>
          <w:lang w:val="en-US"/>
        </w:rPr>
        <w:t xml:space="preserve"> and Rule of Law</w:t>
      </w:r>
      <w:r w:rsidR="008C0C32">
        <w:rPr>
          <w:lang w:val="en-US"/>
        </w:rPr>
        <w:t>)</w:t>
      </w:r>
    </w:p>
    <w:p w14:paraId="5714BA03" w14:textId="77777777" w:rsidR="00650921" w:rsidRPr="00A9008E" w:rsidRDefault="00650921" w:rsidP="00675A40">
      <w:pPr>
        <w:pStyle w:val="SingleTxtG"/>
        <w:ind w:left="4536" w:hanging="3402"/>
        <w:jc w:val="left"/>
        <w:rPr>
          <w:lang w:val="en-GB"/>
        </w:rPr>
      </w:pPr>
      <w:r w:rsidRPr="009707F5">
        <w:rPr>
          <w:i/>
        </w:rPr>
        <w:t>Alleged victim:</w:t>
      </w:r>
      <w:r w:rsidRPr="009E31DB">
        <w:tab/>
        <w:t>The author</w:t>
      </w:r>
    </w:p>
    <w:p w14:paraId="5130F7CE" w14:textId="77777777" w:rsidR="00650921" w:rsidRPr="00A9008E" w:rsidRDefault="00650921" w:rsidP="00675A40">
      <w:pPr>
        <w:pStyle w:val="SingleTxtG"/>
        <w:ind w:left="4536" w:hanging="3402"/>
        <w:jc w:val="left"/>
        <w:rPr>
          <w:lang w:val="en-GB"/>
        </w:rPr>
      </w:pPr>
      <w:r w:rsidRPr="009707F5">
        <w:rPr>
          <w:i/>
        </w:rPr>
        <w:t>State party:</w:t>
      </w:r>
      <w:r w:rsidRPr="009E31DB">
        <w:tab/>
      </w:r>
      <w:r w:rsidRPr="00650921">
        <w:rPr>
          <w:lang w:val="en-GB"/>
        </w:rPr>
        <w:t>Kazakhstan</w:t>
      </w:r>
    </w:p>
    <w:p w14:paraId="5E9F7732" w14:textId="77777777" w:rsidR="00650921" w:rsidRPr="00803534" w:rsidRDefault="00650921" w:rsidP="00675A40">
      <w:pPr>
        <w:pStyle w:val="SingleTxtG"/>
        <w:ind w:left="4536" w:hanging="3402"/>
        <w:jc w:val="left"/>
        <w:rPr>
          <w:lang w:val="en-GB"/>
        </w:rPr>
      </w:pPr>
      <w:r w:rsidRPr="009707F5">
        <w:rPr>
          <w:i/>
        </w:rPr>
        <w:t>Date of communication:</w:t>
      </w:r>
      <w:r w:rsidRPr="009E31DB">
        <w:tab/>
      </w:r>
      <w:r w:rsidRPr="00650921">
        <w:rPr>
          <w:lang w:val="en-GB"/>
        </w:rPr>
        <w:t>30 Dec</w:t>
      </w:r>
      <w:r>
        <w:rPr>
          <w:lang w:val="en-GB"/>
        </w:rPr>
        <w:t>ember</w:t>
      </w:r>
      <w:r w:rsidRPr="00650921">
        <w:rPr>
          <w:lang w:val="en-GB"/>
        </w:rPr>
        <w:t xml:space="preserve"> 2010 </w:t>
      </w:r>
      <w:r>
        <w:t>(initial submission)</w:t>
      </w:r>
    </w:p>
    <w:p w14:paraId="26AC9F71" w14:textId="0E9D963F" w:rsidR="003134AC" w:rsidRPr="009E31DB" w:rsidRDefault="003134AC" w:rsidP="00675A40">
      <w:pPr>
        <w:pStyle w:val="SingleTxtG"/>
        <w:ind w:left="4536" w:hanging="3402"/>
        <w:jc w:val="left"/>
      </w:pPr>
      <w:r w:rsidRPr="009707F5">
        <w:rPr>
          <w:i/>
        </w:rPr>
        <w:t>Document references:</w:t>
      </w:r>
      <w:r w:rsidRPr="009E31DB">
        <w:tab/>
      </w:r>
      <w:r w:rsidR="00A71667" w:rsidRPr="00C4298A">
        <w:rPr>
          <w:lang w:val="en-GB"/>
        </w:rPr>
        <w:t>Decision taken pursuant</w:t>
      </w:r>
      <w:r w:rsidR="00A71667" w:rsidRPr="009E31DB">
        <w:t xml:space="preserve"> </w:t>
      </w:r>
      <w:r w:rsidR="00A71667" w:rsidRPr="00C4298A">
        <w:rPr>
          <w:lang w:val="en-GB"/>
        </w:rPr>
        <w:t>to</w:t>
      </w:r>
      <w:r w:rsidR="00A71667" w:rsidRPr="009E31DB" w:rsidDel="00EB462B">
        <w:t xml:space="preserve"> </w:t>
      </w:r>
      <w:r w:rsidR="00A71667" w:rsidRPr="009E31DB">
        <w:t>rule 97</w:t>
      </w:r>
      <w:r w:rsidR="00A71667">
        <w:t>of the Committee’s rules of procedure</w:t>
      </w:r>
      <w:r w:rsidRPr="009E31DB">
        <w:t xml:space="preserve">, transmitted to the State party on </w:t>
      </w:r>
      <w:r w:rsidR="00650921" w:rsidRPr="00650921">
        <w:rPr>
          <w:lang w:val="en-GB"/>
        </w:rPr>
        <w:t>23 Jan</w:t>
      </w:r>
      <w:r w:rsidR="00650921">
        <w:rPr>
          <w:lang w:val="en-GB"/>
        </w:rPr>
        <w:t>uary</w:t>
      </w:r>
      <w:r w:rsidR="00650921" w:rsidRPr="00650921">
        <w:rPr>
          <w:lang w:val="en-GB"/>
        </w:rPr>
        <w:t xml:space="preserve"> 2012 </w:t>
      </w:r>
      <w:r w:rsidRPr="009E31DB">
        <w:t>(not issued in document form)</w:t>
      </w:r>
    </w:p>
    <w:p w14:paraId="76B8EDB5" w14:textId="7A3DF5B1" w:rsidR="008261E4" w:rsidRDefault="003134AC" w:rsidP="006262E9">
      <w:pPr>
        <w:pStyle w:val="SingleTxtG"/>
        <w:ind w:left="4536" w:hanging="3402"/>
        <w:jc w:val="left"/>
        <w:rPr>
          <w:lang w:val="en-GB"/>
        </w:rPr>
      </w:pPr>
      <w:r w:rsidRPr="009707F5">
        <w:rPr>
          <w:i/>
        </w:rPr>
        <w:t>Date of adoption of Views:</w:t>
      </w:r>
      <w:r w:rsidRPr="009E31DB">
        <w:tab/>
      </w:r>
      <w:r w:rsidR="00EF3A25" w:rsidRPr="006262E9">
        <w:rPr>
          <w:lang w:val="en-GB"/>
        </w:rPr>
        <w:t>29</w:t>
      </w:r>
      <w:r w:rsidRPr="009E31DB">
        <w:t xml:space="preserve"> </w:t>
      </w:r>
      <w:r w:rsidR="00685D9C" w:rsidRPr="001342E6">
        <w:rPr>
          <w:lang w:val="en-GB"/>
        </w:rPr>
        <w:t>March</w:t>
      </w:r>
      <w:r w:rsidRPr="009E31DB">
        <w:t xml:space="preserve"> 201</w:t>
      </w:r>
      <w:r w:rsidR="00685D9C" w:rsidRPr="001342E6">
        <w:rPr>
          <w:lang w:val="en-GB"/>
        </w:rPr>
        <w:t>6</w:t>
      </w:r>
    </w:p>
    <w:p w14:paraId="38AD984F" w14:textId="5FDAD959" w:rsidR="008261E4" w:rsidRPr="001342E6" w:rsidRDefault="008261E4" w:rsidP="00675A40">
      <w:pPr>
        <w:pStyle w:val="SingleTxtG"/>
        <w:ind w:left="4536" w:hanging="3402"/>
        <w:jc w:val="left"/>
        <w:rPr>
          <w:lang w:val="en-GB"/>
        </w:rPr>
      </w:pPr>
      <w:r w:rsidRPr="009E31DB">
        <w:rPr>
          <w:i/>
          <w:iCs/>
        </w:rPr>
        <w:t>Subject matter:</w:t>
      </w:r>
      <w:r w:rsidRPr="009E31DB">
        <w:tab/>
      </w:r>
      <w:r w:rsidRPr="001342E6">
        <w:rPr>
          <w:lang w:val="en-GB"/>
        </w:rPr>
        <w:t>Author tried and convicted for publishing documents classifie</w:t>
      </w:r>
      <w:r>
        <w:rPr>
          <w:lang w:val="en-GB"/>
        </w:rPr>
        <w:t xml:space="preserve">d </w:t>
      </w:r>
      <w:r w:rsidR="00806F90">
        <w:rPr>
          <w:lang w:val="en-GB"/>
        </w:rPr>
        <w:t xml:space="preserve">as </w:t>
      </w:r>
      <w:r>
        <w:rPr>
          <w:lang w:val="en-GB"/>
        </w:rPr>
        <w:t>secret</w:t>
      </w:r>
      <w:r w:rsidRPr="001342E6">
        <w:rPr>
          <w:lang w:val="en-GB"/>
        </w:rPr>
        <w:t xml:space="preserve"> </w:t>
      </w:r>
    </w:p>
    <w:p w14:paraId="43B3E447" w14:textId="6FF44BAC" w:rsidR="00A17E37" w:rsidRPr="001342E6" w:rsidRDefault="00A17E37">
      <w:pPr>
        <w:pStyle w:val="SingleTxtG"/>
        <w:ind w:left="4536" w:hanging="3402"/>
        <w:jc w:val="left"/>
        <w:rPr>
          <w:iCs/>
          <w:lang w:val="en-GB"/>
        </w:rPr>
      </w:pPr>
      <w:r w:rsidRPr="005B6047">
        <w:rPr>
          <w:i/>
          <w:iCs/>
        </w:rPr>
        <w:t>Procedural issue</w:t>
      </w:r>
      <w:r w:rsidR="00806F90">
        <w:rPr>
          <w:i/>
          <w:iCs/>
          <w:lang w:val="en-US"/>
        </w:rPr>
        <w:t>s</w:t>
      </w:r>
      <w:r w:rsidRPr="005B6047">
        <w:rPr>
          <w:i/>
          <w:iCs/>
        </w:rPr>
        <w:t xml:space="preserve">: </w:t>
      </w:r>
      <w:r w:rsidR="001342E6" w:rsidRPr="001342E6">
        <w:rPr>
          <w:iCs/>
          <w:lang w:val="en-GB"/>
        </w:rPr>
        <w:tab/>
        <w:t xml:space="preserve">Admissibility </w:t>
      </w:r>
      <w:r w:rsidR="00806F90">
        <w:rPr>
          <w:iCs/>
          <w:lang w:val="en-GB"/>
        </w:rPr>
        <w:t xml:space="preserve">– </w:t>
      </w:r>
      <w:proofErr w:type="spellStart"/>
      <w:r w:rsidR="001342E6" w:rsidRPr="006262E9">
        <w:rPr>
          <w:i/>
          <w:iCs/>
          <w:lang w:val="en-GB"/>
        </w:rPr>
        <w:t>ratione</w:t>
      </w:r>
      <w:proofErr w:type="spellEnd"/>
      <w:r w:rsidR="001342E6" w:rsidRPr="006262E9">
        <w:rPr>
          <w:i/>
          <w:iCs/>
          <w:lang w:val="en-GB"/>
        </w:rPr>
        <w:t xml:space="preserve"> </w:t>
      </w:r>
      <w:proofErr w:type="spellStart"/>
      <w:r w:rsidR="001342E6" w:rsidRPr="006262E9">
        <w:rPr>
          <w:i/>
          <w:iCs/>
          <w:lang w:val="en-GB"/>
        </w:rPr>
        <w:t>temporis</w:t>
      </w:r>
      <w:proofErr w:type="spellEnd"/>
      <w:r w:rsidR="001342E6" w:rsidRPr="001342E6">
        <w:rPr>
          <w:iCs/>
          <w:lang w:val="en-GB"/>
        </w:rPr>
        <w:t xml:space="preserve">; admissibility </w:t>
      </w:r>
      <w:r w:rsidR="00806F90">
        <w:rPr>
          <w:iCs/>
          <w:lang w:val="en-GB"/>
        </w:rPr>
        <w:t>–</w:t>
      </w:r>
      <w:r w:rsidR="001342E6" w:rsidRPr="001342E6">
        <w:rPr>
          <w:iCs/>
          <w:lang w:val="en"/>
        </w:rPr>
        <w:t>exhaustion of domestic remedies</w:t>
      </w:r>
    </w:p>
    <w:p w14:paraId="674960C4" w14:textId="0A07F0A3" w:rsidR="003134AC" w:rsidRPr="00283A20" w:rsidRDefault="003134AC" w:rsidP="00675A40">
      <w:pPr>
        <w:pStyle w:val="SingleTxtG"/>
        <w:ind w:left="4536" w:hanging="3402"/>
        <w:jc w:val="left"/>
        <w:rPr>
          <w:lang w:val="en-GB"/>
        </w:rPr>
      </w:pPr>
      <w:r w:rsidRPr="005B6047">
        <w:rPr>
          <w:i/>
          <w:iCs/>
        </w:rPr>
        <w:t xml:space="preserve">Substantive issues: </w:t>
      </w:r>
      <w:r w:rsidRPr="005B6047">
        <w:rPr>
          <w:i/>
          <w:iCs/>
        </w:rPr>
        <w:tab/>
      </w:r>
      <w:r w:rsidR="001342E6">
        <w:rPr>
          <w:lang w:val="en-GB"/>
        </w:rPr>
        <w:t>Arbitrary detention; conditions of detention; fair trial; preparation of defence; freedom of expression</w:t>
      </w:r>
    </w:p>
    <w:p w14:paraId="05122B67" w14:textId="4A252573" w:rsidR="005C11C1" w:rsidRPr="005C11C1" w:rsidRDefault="003134AC" w:rsidP="00675A40">
      <w:pPr>
        <w:pStyle w:val="SingleTxtG"/>
        <w:ind w:left="4536" w:hanging="3402"/>
        <w:jc w:val="left"/>
        <w:rPr>
          <w:lang w:val="en-GB"/>
        </w:rPr>
      </w:pPr>
      <w:r w:rsidRPr="005C11C1">
        <w:rPr>
          <w:i/>
          <w:iCs/>
        </w:rPr>
        <w:t>Articles of the Covenant:</w:t>
      </w:r>
      <w:r w:rsidRPr="005C11C1">
        <w:t xml:space="preserve"> </w:t>
      </w:r>
      <w:r w:rsidRPr="005C11C1">
        <w:tab/>
      </w:r>
      <w:r w:rsidR="002F6911" w:rsidRPr="00650921">
        <w:rPr>
          <w:lang w:val="en-US"/>
        </w:rPr>
        <w:t xml:space="preserve">9 </w:t>
      </w:r>
      <w:r w:rsidR="007F0F42">
        <w:rPr>
          <w:lang w:val="en-US"/>
        </w:rPr>
        <w:t>(</w:t>
      </w:r>
      <w:r w:rsidR="002F6911" w:rsidRPr="006262E9">
        <w:rPr>
          <w:lang w:val="en-US"/>
        </w:rPr>
        <w:t>1</w:t>
      </w:r>
      <w:r w:rsidR="007F0F42" w:rsidRPr="006262E9">
        <w:rPr>
          <w:lang w:val="en-US"/>
        </w:rPr>
        <w:t>)</w:t>
      </w:r>
      <w:r w:rsidR="002F6911" w:rsidRPr="006262E9">
        <w:rPr>
          <w:lang w:val="en-US"/>
        </w:rPr>
        <w:t xml:space="preserve"> and </w:t>
      </w:r>
      <w:r w:rsidR="007F0F42" w:rsidRPr="006262E9">
        <w:rPr>
          <w:lang w:val="en-US"/>
        </w:rPr>
        <w:t>(</w:t>
      </w:r>
      <w:r w:rsidR="002F6911" w:rsidRPr="006262E9">
        <w:rPr>
          <w:lang w:val="en-US"/>
        </w:rPr>
        <w:t>2</w:t>
      </w:r>
      <w:r w:rsidR="007F0F42" w:rsidRPr="006262E9">
        <w:rPr>
          <w:lang w:val="en-US"/>
        </w:rPr>
        <w:t>)</w:t>
      </w:r>
      <w:r w:rsidR="00806F90">
        <w:rPr>
          <w:lang w:val="en-US"/>
        </w:rPr>
        <w:t>,</w:t>
      </w:r>
      <w:r w:rsidR="002F6911" w:rsidRPr="006262E9">
        <w:rPr>
          <w:lang w:val="en-US"/>
        </w:rPr>
        <w:t xml:space="preserve"> 10</w:t>
      </w:r>
      <w:r w:rsidR="00806F90">
        <w:rPr>
          <w:lang w:val="en-US"/>
        </w:rPr>
        <w:t> </w:t>
      </w:r>
      <w:r w:rsidR="007F0F42" w:rsidRPr="006262E9">
        <w:rPr>
          <w:lang w:val="en-US"/>
        </w:rPr>
        <w:t>(</w:t>
      </w:r>
      <w:r w:rsidR="002F6911" w:rsidRPr="006262E9">
        <w:rPr>
          <w:lang w:val="en-US"/>
        </w:rPr>
        <w:t>1</w:t>
      </w:r>
      <w:r w:rsidR="007F0F42" w:rsidRPr="006262E9">
        <w:rPr>
          <w:lang w:val="en-US"/>
        </w:rPr>
        <w:t>)</w:t>
      </w:r>
      <w:r w:rsidR="00806F90">
        <w:rPr>
          <w:lang w:val="en-US"/>
        </w:rPr>
        <w:t>,</w:t>
      </w:r>
      <w:r w:rsidR="002F6911" w:rsidRPr="006262E9">
        <w:rPr>
          <w:lang w:val="en-US"/>
        </w:rPr>
        <w:t xml:space="preserve"> 14</w:t>
      </w:r>
      <w:r w:rsidR="00806F90">
        <w:rPr>
          <w:lang w:val="en-US"/>
        </w:rPr>
        <w:t> </w:t>
      </w:r>
      <w:r w:rsidR="007F0F42" w:rsidRPr="006262E9">
        <w:rPr>
          <w:lang w:val="en-US"/>
        </w:rPr>
        <w:t>(</w:t>
      </w:r>
      <w:r w:rsidR="002F6911" w:rsidRPr="006262E9">
        <w:rPr>
          <w:lang w:val="en-US"/>
        </w:rPr>
        <w:t>1</w:t>
      </w:r>
      <w:r w:rsidR="007F0F42" w:rsidRPr="006262E9">
        <w:rPr>
          <w:lang w:val="en-US"/>
        </w:rPr>
        <w:t>)</w:t>
      </w:r>
      <w:r w:rsidR="002F6911" w:rsidRPr="006262E9">
        <w:rPr>
          <w:lang w:val="en-US"/>
        </w:rPr>
        <w:t xml:space="preserve">, </w:t>
      </w:r>
      <w:r w:rsidR="007F0F42" w:rsidRPr="006262E9">
        <w:rPr>
          <w:lang w:val="en-US"/>
        </w:rPr>
        <w:t>(</w:t>
      </w:r>
      <w:r w:rsidR="002F6911" w:rsidRPr="006262E9">
        <w:rPr>
          <w:lang w:val="en-US"/>
        </w:rPr>
        <w:t>2</w:t>
      </w:r>
      <w:r w:rsidR="007F0F42" w:rsidRPr="006262E9">
        <w:rPr>
          <w:lang w:val="en-US"/>
        </w:rPr>
        <w:t>)</w:t>
      </w:r>
      <w:r w:rsidR="00806F90">
        <w:rPr>
          <w:lang w:val="en-US"/>
        </w:rPr>
        <w:t xml:space="preserve"> and</w:t>
      </w:r>
      <w:r w:rsidR="002F6911" w:rsidRPr="006262E9">
        <w:rPr>
          <w:lang w:val="en-US"/>
        </w:rPr>
        <w:t xml:space="preserve"> </w:t>
      </w:r>
      <w:r w:rsidR="007F0F42" w:rsidRPr="006262E9">
        <w:rPr>
          <w:lang w:val="en-US"/>
        </w:rPr>
        <w:t>(</w:t>
      </w:r>
      <w:r w:rsidR="002F6911" w:rsidRPr="006262E9">
        <w:rPr>
          <w:lang w:val="en-US"/>
        </w:rPr>
        <w:t>3</w:t>
      </w:r>
      <w:r w:rsidR="007F0F42" w:rsidRPr="006262E9">
        <w:rPr>
          <w:lang w:val="en-US"/>
        </w:rPr>
        <w:t>)</w:t>
      </w:r>
      <w:r w:rsidR="002F6911" w:rsidRPr="006262E9">
        <w:rPr>
          <w:lang w:val="en-US"/>
        </w:rPr>
        <w:t xml:space="preserve"> (b), (d)</w:t>
      </w:r>
      <w:r w:rsidR="00806F90">
        <w:rPr>
          <w:lang w:val="en-US"/>
        </w:rPr>
        <w:t xml:space="preserve"> and</w:t>
      </w:r>
      <w:r w:rsidR="002F6911" w:rsidRPr="006262E9">
        <w:rPr>
          <w:lang w:val="en-US"/>
        </w:rPr>
        <w:t xml:space="preserve"> (e)</w:t>
      </w:r>
      <w:r w:rsidR="00806F90">
        <w:rPr>
          <w:lang w:val="en-US"/>
        </w:rPr>
        <w:t>,</w:t>
      </w:r>
      <w:r w:rsidR="002F6911" w:rsidRPr="006262E9">
        <w:rPr>
          <w:lang w:val="en-US"/>
        </w:rPr>
        <w:t xml:space="preserve"> 17</w:t>
      </w:r>
      <w:r w:rsidR="00806F90">
        <w:rPr>
          <w:lang w:val="en-US"/>
        </w:rPr>
        <w:t> </w:t>
      </w:r>
      <w:r w:rsidR="007F0F42" w:rsidRPr="006262E9">
        <w:rPr>
          <w:lang w:val="en-US"/>
        </w:rPr>
        <w:t>(</w:t>
      </w:r>
      <w:r w:rsidR="002F6911" w:rsidRPr="00650921">
        <w:rPr>
          <w:lang w:val="en-US"/>
        </w:rPr>
        <w:t>1</w:t>
      </w:r>
      <w:r w:rsidR="007F0F42">
        <w:rPr>
          <w:lang w:val="en-US"/>
        </w:rPr>
        <w:t>)</w:t>
      </w:r>
      <w:r w:rsidR="002F6911" w:rsidRPr="00650921">
        <w:rPr>
          <w:lang w:val="en-US"/>
        </w:rPr>
        <w:t xml:space="preserve"> and </w:t>
      </w:r>
      <w:r w:rsidR="007F0F42">
        <w:rPr>
          <w:lang w:val="en-US"/>
        </w:rPr>
        <w:t>(</w:t>
      </w:r>
      <w:r w:rsidR="002F6911" w:rsidRPr="00650921">
        <w:rPr>
          <w:lang w:val="en-US"/>
        </w:rPr>
        <w:t>2</w:t>
      </w:r>
      <w:r w:rsidR="007F0F42">
        <w:rPr>
          <w:lang w:val="en-US"/>
        </w:rPr>
        <w:t>)</w:t>
      </w:r>
      <w:r w:rsidR="00806F90">
        <w:rPr>
          <w:lang w:val="en-US"/>
        </w:rPr>
        <w:t xml:space="preserve"> and</w:t>
      </w:r>
      <w:r w:rsidR="002F6911" w:rsidRPr="00650921">
        <w:rPr>
          <w:lang w:val="en-US"/>
        </w:rPr>
        <w:t xml:space="preserve"> 19</w:t>
      </w:r>
      <w:r w:rsidR="00806F90">
        <w:rPr>
          <w:lang w:val="en-US"/>
        </w:rPr>
        <w:t> </w:t>
      </w:r>
      <w:r w:rsidR="007F0F42">
        <w:rPr>
          <w:lang w:val="en-US"/>
        </w:rPr>
        <w:t>(</w:t>
      </w:r>
      <w:r w:rsidR="002F6911" w:rsidRPr="00650921">
        <w:rPr>
          <w:lang w:val="en-US"/>
        </w:rPr>
        <w:t>1</w:t>
      </w:r>
      <w:r w:rsidR="007F0F42">
        <w:rPr>
          <w:lang w:val="en-US"/>
        </w:rPr>
        <w:t>)</w:t>
      </w:r>
      <w:r w:rsidR="002F6911" w:rsidRPr="00650921">
        <w:rPr>
          <w:lang w:val="en-US"/>
        </w:rPr>
        <w:t xml:space="preserve"> and </w:t>
      </w:r>
      <w:r w:rsidR="007F0F42">
        <w:rPr>
          <w:lang w:val="en-US"/>
        </w:rPr>
        <w:t>(</w:t>
      </w:r>
      <w:r w:rsidR="002F6911" w:rsidRPr="00650921">
        <w:rPr>
          <w:lang w:val="en-US"/>
        </w:rPr>
        <w:t>2</w:t>
      </w:r>
      <w:r w:rsidR="007F0F42">
        <w:rPr>
          <w:lang w:val="en-US"/>
        </w:rPr>
        <w:t>)</w:t>
      </w:r>
    </w:p>
    <w:p w14:paraId="2517CCFC" w14:textId="0E1A9AED" w:rsidR="007E3B72" w:rsidRDefault="003134AC" w:rsidP="00675A40">
      <w:pPr>
        <w:pStyle w:val="SingleTxtG"/>
        <w:ind w:left="4536" w:hanging="3402"/>
        <w:jc w:val="left"/>
        <w:rPr>
          <w:lang w:val="en-GB"/>
        </w:rPr>
      </w:pPr>
      <w:r w:rsidRPr="009E31DB">
        <w:rPr>
          <w:i/>
          <w:iCs/>
        </w:rPr>
        <w:t>Art</w:t>
      </w:r>
      <w:r>
        <w:rPr>
          <w:i/>
          <w:iCs/>
        </w:rPr>
        <w:t>icle</w:t>
      </w:r>
      <w:r w:rsidR="00806F90">
        <w:rPr>
          <w:i/>
          <w:iCs/>
          <w:lang w:val="en-US"/>
        </w:rPr>
        <w:t>s</w:t>
      </w:r>
      <w:r>
        <w:rPr>
          <w:i/>
          <w:iCs/>
        </w:rPr>
        <w:t xml:space="preserve"> of the Optional Protocol:</w:t>
      </w:r>
      <w:r w:rsidR="00735F4E" w:rsidRPr="00735F4E">
        <w:rPr>
          <w:i/>
          <w:iCs/>
          <w:lang w:val="en-GB"/>
        </w:rPr>
        <w:tab/>
      </w:r>
      <w:r w:rsidR="0078625F">
        <w:rPr>
          <w:iCs/>
          <w:lang w:val="en-GB"/>
        </w:rPr>
        <w:t>3, 5 (2)</w:t>
      </w:r>
      <w:r w:rsidR="00806F90">
        <w:rPr>
          <w:iCs/>
          <w:lang w:val="en-GB"/>
        </w:rPr>
        <w:t> </w:t>
      </w:r>
      <w:r w:rsidR="0078625F">
        <w:rPr>
          <w:iCs/>
          <w:lang w:val="en-GB"/>
        </w:rPr>
        <w:t>(a)</w:t>
      </w:r>
      <w:r w:rsidR="00806F90">
        <w:rPr>
          <w:iCs/>
          <w:lang w:val="en-GB"/>
        </w:rPr>
        <w:t xml:space="preserve"> and </w:t>
      </w:r>
      <w:r w:rsidR="0078625F">
        <w:rPr>
          <w:iCs/>
          <w:lang w:val="en-GB"/>
        </w:rPr>
        <w:t>(b)</w:t>
      </w:r>
    </w:p>
    <w:p w14:paraId="44B07CA2" w14:textId="54A02953" w:rsidR="008B5946" w:rsidRPr="008B5946" w:rsidRDefault="00675A40">
      <w:pPr>
        <w:pStyle w:val="SingleTxtG"/>
        <w:rPr>
          <w:lang w:val="en-US"/>
        </w:rPr>
      </w:pPr>
      <w:r w:rsidRPr="00694F24">
        <w:rPr>
          <w:lang w:val="en-GB"/>
        </w:rPr>
        <w:tab/>
      </w:r>
    </w:p>
    <w:p w14:paraId="41AA384E" w14:textId="2736833D" w:rsidR="00650921" w:rsidRPr="00650921" w:rsidRDefault="00675A40" w:rsidP="00923A0E">
      <w:pPr>
        <w:pStyle w:val="SingleTxtG"/>
        <w:rPr>
          <w:lang w:val="en-US"/>
        </w:rPr>
      </w:pPr>
      <w:r>
        <w:rPr>
          <w:lang w:val="en-US"/>
        </w:rPr>
        <w:lastRenderedPageBreak/>
        <w:t>1.</w:t>
      </w:r>
      <w:r w:rsidR="008B5946" w:rsidRPr="008B5946">
        <w:rPr>
          <w:lang w:val="en-US"/>
        </w:rPr>
        <w:tab/>
      </w:r>
      <w:r w:rsidR="00650921" w:rsidRPr="00650921">
        <w:rPr>
          <w:lang w:val="en-US"/>
        </w:rPr>
        <w:t>The author of the communication</w:t>
      </w:r>
      <w:r w:rsidR="009B17A6">
        <w:rPr>
          <w:lang w:val="en-US"/>
        </w:rPr>
        <w:t xml:space="preserve"> is </w:t>
      </w:r>
      <w:proofErr w:type="spellStart"/>
      <w:r w:rsidR="00650921" w:rsidRPr="00650921">
        <w:rPr>
          <w:lang w:val="en-US"/>
        </w:rPr>
        <w:t>Ramazan</w:t>
      </w:r>
      <w:proofErr w:type="spellEnd"/>
      <w:r w:rsidR="00650921" w:rsidRPr="00650921">
        <w:rPr>
          <w:lang w:val="en-US"/>
        </w:rPr>
        <w:t xml:space="preserve"> </w:t>
      </w:r>
      <w:proofErr w:type="spellStart"/>
      <w:r w:rsidR="00650921" w:rsidRPr="00650921">
        <w:rPr>
          <w:lang w:val="en-US"/>
        </w:rPr>
        <w:t>E</w:t>
      </w:r>
      <w:r w:rsidR="00650921">
        <w:rPr>
          <w:lang w:val="en-US"/>
        </w:rPr>
        <w:t>sergepov</w:t>
      </w:r>
      <w:proofErr w:type="spellEnd"/>
      <w:r w:rsidR="00650921" w:rsidRPr="00650921">
        <w:rPr>
          <w:lang w:val="en-US"/>
        </w:rPr>
        <w:t xml:space="preserve">, a national of Kazakhstan born in 1956. </w:t>
      </w:r>
      <w:r w:rsidR="00650921" w:rsidRPr="00675A40">
        <w:t>He</w:t>
      </w:r>
      <w:r w:rsidR="00650921" w:rsidRPr="00650921">
        <w:rPr>
          <w:lang w:val="en-US"/>
        </w:rPr>
        <w:t xml:space="preserve"> claims to be a victim of violations</w:t>
      </w:r>
      <w:r w:rsidR="006A1001">
        <w:rPr>
          <w:lang w:val="en-US"/>
        </w:rPr>
        <w:t>,</w:t>
      </w:r>
      <w:r w:rsidR="00650921" w:rsidRPr="00650921">
        <w:rPr>
          <w:lang w:val="en-US"/>
        </w:rPr>
        <w:t xml:space="preserve"> by Kazakhstan</w:t>
      </w:r>
      <w:r w:rsidR="006A1001">
        <w:rPr>
          <w:lang w:val="en-US"/>
        </w:rPr>
        <w:t>,</w:t>
      </w:r>
      <w:r w:rsidR="00650921" w:rsidRPr="00650921">
        <w:rPr>
          <w:lang w:val="en-US"/>
        </w:rPr>
        <w:t xml:space="preserve"> of his rights under article </w:t>
      </w:r>
      <w:r w:rsidR="00F15973">
        <w:rPr>
          <w:lang w:val="en-US"/>
        </w:rPr>
        <w:t>2</w:t>
      </w:r>
      <w:r w:rsidR="006A1001">
        <w:rPr>
          <w:lang w:val="en-US"/>
        </w:rPr>
        <w:t xml:space="preserve"> </w:t>
      </w:r>
      <w:r w:rsidR="00F15973">
        <w:rPr>
          <w:lang w:val="en-US"/>
        </w:rPr>
        <w:t>(3)</w:t>
      </w:r>
      <w:r w:rsidR="000A5192">
        <w:rPr>
          <w:lang w:val="en-US"/>
        </w:rPr>
        <w:t>, read</w:t>
      </w:r>
      <w:r w:rsidR="00990C0C">
        <w:rPr>
          <w:lang w:val="en-US"/>
        </w:rPr>
        <w:t xml:space="preserve"> in conjunction with article 9</w:t>
      </w:r>
      <w:r w:rsidR="0007695F">
        <w:rPr>
          <w:lang w:val="en-US"/>
        </w:rPr>
        <w:t xml:space="preserve"> </w:t>
      </w:r>
      <w:r w:rsidR="00990C0C">
        <w:rPr>
          <w:lang w:val="en-US"/>
        </w:rPr>
        <w:t>(5)</w:t>
      </w:r>
      <w:r w:rsidR="00F15973">
        <w:rPr>
          <w:lang w:val="en-US"/>
        </w:rPr>
        <w:t xml:space="preserve">, </w:t>
      </w:r>
      <w:r w:rsidR="005E237C">
        <w:rPr>
          <w:lang w:val="en-US"/>
        </w:rPr>
        <w:t xml:space="preserve">and article </w:t>
      </w:r>
      <w:r w:rsidR="00650921" w:rsidRPr="00650921">
        <w:rPr>
          <w:lang w:val="en-US"/>
        </w:rPr>
        <w:t>9</w:t>
      </w:r>
      <w:r w:rsidR="0007695F">
        <w:rPr>
          <w:lang w:val="en-US"/>
        </w:rPr>
        <w:t xml:space="preserve"> </w:t>
      </w:r>
      <w:r w:rsidR="00016A5F">
        <w:rPr>
          <w:lang w:val="en-US"/>
        </w:rPr>
        <w:t>(1)</w:t>
      </w:r>
      <w:r w:rsidR="00F15973">
        <w:rPr>
          <w:lang w:val="en-US"/>
        </w:rPr>
        <w:t>,</w:t>
      </w:r>
      <w:r w:rsidR="00016A5F">
        <w:rPr>
          <w:lang w:val="en-US"/>
        </w:rPr>
        <w:t xml:space="preserve"> </w:t>
      </w:r>
      <w:r w:rsidR="00F15973">
        <w:rPr>
          <w:lang w:val="en-US"/>
        </w:rPr>
        <w:t>(2)</w:t>
      </w:r>
      <w:r w:rsidR="000A5192">
        <w:rPr>
          <w:lang w:val="en-US"/>
        </w:rPr>
        <w:t xml:space="preserve"> and</w:t>
      </w:r>
      <w:r w:rsidR="00990C0C">
        <w:rPr>
          <w:lang w:val="en-US"/>
        </w:rPr>
        <w:t xml:space="preserve"> </w:t>
      </w:r>
      <w:r w:rsidR="00F15973">
        <w:rPr>
          <w:lang w:val="en-US"/>
        </w:rPr>
        <w:t>(5)</w:t>
      </w:r>
      <w:r>
        <w:rPr>
          <w:lang w:val="en-US"/>
        </w:rPr>
        <w:t>,</w:t>
      </w:r>
      <w:r w:rsidR="00016A5F">
        <w:rPr>
          <w:lang w:val="en-US"/>
        </w:rPr>
        <w:t xml:space="preserve"> </w:t>
      </w:r>
      <w:r w:rsidR="000A5192">
        <w:rPr>
          <w:lang w:val="en-US"/>
        </w:rPr>
        <w:t xml:space="preserve">article </w:t>
      </w:r>
      <w:r w:rsidR="00016A5F" w:rsidRPr="00016A5F">
        <w:rPr>
          <w:lang w:val="en-GB"/>
        </w:rPr>
        <w:t>10</w:t>
      </w:r>
      <w:r w:rsidR="0007695F">
        <w:rPr>
          <w:lang w:val="en-GB"/>
        </w:rPr>
        <w:t xml:space="preserve"> </w:t>
      </w:r>
      <w:r w:rsidR="00016A5F" w:rsidRPr="00016A5F">
        <w:rPr>
          <w:lang w:val="en-GB"/>
        </w:rPr>
        <w:t>(</w:t>
      </w:r>
      <w:r w:rsidR="00650921" w:rsidRPr="00016A5F">
        <w:rPr>
          <w:lang w:val="en-GB"/>
        </w:rPr>
        <w:t>1</w:t>
      </w:r>
      <w:r w:rsidR="00016A5F">
        <w:rPr>
          <w:lang w:val="en-GB"/>
        </w:rPr>
        <w:t>),</w:t>
      </w:r>
      <w:r w:rsidR="00650921" w:rsidRPr="00016A5F">
        <w:rPr>
          <w:lang w:val="en-GB"/>
        </w:rPr>
        <w:t xml:space="preserve"> </w:t>
      </w:r>
      <w:r w:rsidR="000A5192">
        <w:rPr>
          <w:lang w:val="en-GB"/>
        </w:rPr>
        <w:t xml:space="preserve">article </w:t>
      </w:r>
      <w:r w:rsidR="00650921" w:rsidRPr="00016A5F">
        <w:rPr>
          <w:lang w:val="en-GB"/>
        </w:rPr>
        <w:t>14</w:t>
      </w:r>
      <w:r w:rsidR="00016A5F">
        <w:rPr>
          <w:lang w:val="en-GB"/>
        </w:rPr>
        <w:t xml:space="preserve"> (</w:t>
      </w:r>
      <w:r w:rsidR="00650921" w:rsidRPr="00016A5F">
        <w:rPr>
          <w:lang w:val="en-GB"/>
        </w:rPr>
        <w:t>1</w:t>
      </w:r>
      <w:r w:rsidR="00016A5F">
        <w:rPr>
          <w:lang w:val="en-GB"/>
        </w:rPr>
        <w:t>)</w:t>
      </w:r>
      <w:r w:rsidR="00650921" w:rsidRPr="00016A5F">
        <w:rPr>
          <w:lang w:val="en-GB"/>
        </w:rPr>
        <w:t xml:space="preserve">, </w:t>
      </w:r>
      <w:r w:rsidR="00016A5F">
        <w:rPr>
          <w:lang w:val="en-GB"/>
        </w:rPr>
        <w:t>(</w:t>
      </w:r>
      <w:r w:rsidR="00650921" w:rsidRPr="00016A5F">
        <w:rPr>
          <w:lang w:val="en-GB"/>
        </w:rPr>
        <w:t>2</w:t>
      </w:r>
      <w:r w:rsidR="00016A5F">
        <w:rPr>
          <w:lang w:val="en-GB"/>
        </w:rPr>
        <w:t>)</w:t>
      </w:r>
      <w:r w:rsidR="00650921" w:rsidRPr="00016A5F">
        <w:rPr>
          <w:lang w:val="en-GB"/>
        </w:rPr>
        <w:t xml:space="preserve"> and </w:t>
      </w:r>
      <w:r w:rsidR="00016A5F">
        <w:rPr>
          <w:lang w:val="en-GB"/>
        </w:rPr>
        <w:t>(</w:t>
      </w:r>
      <w:r w:rsidR="00650921" w:rsidRPr="00016A5F">
        <w:rPr>
          <w:lang w:val="en-GB"/>
        </w:rPr>
        <w:t>3</w:t>
      </w:r>
      <w:r w:rsidR="00016A5F">
        <w:rPr>
          <w:lang w:val="en-GB"/>
        </w:rPr>
        <w:t>)</w:t>
      </w:r>
      <w:r w:rsidR="00650921" w:rsidRPr="00016A5F">
        <w:rPr>
          <w:lang w:val="en-GB"/>
        </w:rPr>
        <w:t xml:space="preserve"> (b), (d)</w:t>
      </w:r>
      <w:r w:rsidR="000A5192">
        <w:rPr>
          <w:lang w:val="en-GB"/>
        </w:rPr>
        <w:t xml:space="preserve"> and</w:t>
      </w:r>
      <w:r w:rsidR="00650921" w:rsidRPr="00016A5F">
        <w:rPr>
          <w:lang w:val="en-GB"/>
        </w:rPr>
        <w:t xml:space="preserve"> (e)</w:t>
      </w:r>
      <w:r w:rsidR="00016A5F">
        <w:rPr>
          <w:lang w:val="en-GB"/>
        </w:rPr>
        <w:t>,</w:t>
      </w:r>
      <w:r w:rsidR="000A5192">
        <w:rPr>
          <w:lang w:val="en-GB"/>
        </w:rPr>
        <w:t xml:space="preserve"> article</w:t>
      </w:r>
      <w:r w:rsidR="00016A5F">
        <w:rPr>
          <w:lang w:val="en-GB"/>
        </w:rPr>
        <w:t xml:space="preserve"> </w:t>
      </w:r>
      <w:r w:rsidR="00650921" w:rsidRPr="00016A5F">
        <w:rPr>
          <w:lang w:val="en-GB"/>
        </w:rPr>
        <w:t>17</w:t>
      </w:r>
      <w:r w:rsidR="00016A5F">
        <w:rPr>
          <w:lang w:val="en-GB"/>
        </w:rPr>
        <w:t xml:space="preserve"> (</w:t>
      </w:r>
      <w:r w:rsidR="00650921" w:rsidRPr="00650921">
        <w:rPr>
          <w:lang w:val="en-US"/>
        </w:rPr>
        <w:t>1</w:t>
      </w:r>
      <w:r w:rsidR="00016A5F">
        <w:rPr>
          <w:lang w:val="en-US"/>
        </w:rPr>
        <w:t>)</w:t>
      </w:r>
      <w:r w:rsidR="00650921" w:rsidRPr="00650921">
        <w:rPr>
          <w:lang w:val="en-US"/>
        </w:rPr>
        <w:t xml:space="preserve"> and </w:t>
      </w:r>
      <w:r w:rsidR="00016A5F">
        <w:rPr>
          <w:lang w:val="en-US"/>
        </w:rPr>
        <w:t>(</w:t>
      </w:r>
      <w:r w:rsidR="00650921" w:rsidRPr="00650921">
        <w:rPr>
          <w:lang w:val="en-US"/>
        </w:rPr>
        <w:t>2</w:t>
      </w:r>
      <w:r w:rsidR="00016A5F">
        <w:rPr>
          <w:lang w:val="en-US"/>
        </w:rPr>
        <w:t>)</w:t>
      </w:r>
      <w:r w:rsidR="000A5192">
        <w:rPr>
          <w:lang w:val="en-US"/>
        </w:rPr>
        <w:t xml:space="preserve"> and article</w:t>
      </w:r>
      <w:r w:rsidR="00650921" w:rsidRPr="00650921">
        <w:rPr>
          <w:lang w:val="en-US"/>
        </w:rPr>
        <w:t xml:space="preserve"> 19 </w:t>
      </w:r>
      <w:r w:rsidR="00016A5F">
        <w:rPr>
          <w:lang w:val="en-US"/>
        </w:rPr>
        <w:t>(</w:t>
      </w:r>
      <w:r w:rsidR="00650921" w:rsidRPr="00650921">
        <w:rPr>
          <w:lang w:val="en-US"/>
        </w:rPr>
        <w:t>1</w:t>
      </w:r>
      <w:r w:rsidR="00016A5F">
        <w:rPr>
          <w:lang w:val="en-US"/>
        </w:rPr>
        <w:t>)</w:t>
      </w:r>
      <w:r w:rsidR="00650921" w:rsidRPr="00650921">
        <w:rPr>
          <w:lang w:val="en-US"/>
        </w:rPr>
        <w:t xml:space="preserve"> and </w:t>
      </w:r>
      <w:r w:rsidR="00016A5F">
        <w:rPr>
          <w:lang w:val="en-US"/>
        </w:rPr>
        <w:t>(</w:t>
      </w:r>
      <w:r w:rsidR="00650921" w:rsidRPr="00650921">
        <w:rPr>
          <w:lang w:val="en-US"/>
        </w:rPr>
        <w:t>2</w:t>
      </w:r>
      <w:r w:rsidR="00016A5F">
        <w:rPr>
          <w:lang w:val="en-US"/>
        </w:rPr>
        <w:t>)</w:t>
      </w:r>
      <w:r w:rsidR="00650921" w:rsidRPr="00650921">
        <w:rPr>
          <w:lang w:val="en-US"/>
        </w:rPr>
        <w:t xml:space="preserve"> of the Covenant.</w:t>
      </w:r>
      <w:r>
        <w:rPr>
          <w:lang w:val="en-US"/>
        </w:rPr>
        <w:t xml:space="preserve"> </w:t>
      </w:r>
      <w:r w:rsidRPr="00675A40">
        <w:rPr>
          <w:lang w:val="en-US"/>
        </w:rPr>
        <w:t>The Optional Protocol entered into force for Kazakhstan on 30 September 2009.</w:t>
      </w:r>
      <w:r w:rsidRPr="00650921">
        <w:rPr>
          <w:lang w:val="en-US"/>
        </w:rPr>
        <w:t xml:space="preserve"> </w:t>
      </w:r>
      <w:r w:rsidR="00650921" w:rsidRPr="00650921">
        <w:rPr>
          <w:lang w:val="en-US"/>
        </w:rPr>
        <w:t>The auth</w:t>
      </w:r>
      <w:r w:rsidR="008C0C32">
        <w:rPr>
          <w:lang w:val="en-US"/>
        </w:rPr>
        <w:t xml:space="preserve">or </w:t>
      </w:r>
      <w:proofErr w:type="gramStart"/>
      <w:r w:rsidR="008C0C32">
        <w:rPr>
          <w:lang w:val="en-US"/>
        </w:rPr>
        <w:t>is represented</w:t>
      </w:r>
      <w:proofErr w:type="gramEnd"/>
      <w:r w:rsidR="008C0C32">
        <w:rPr>
          <w:lang w:val="en-US"/>
        </w:rPr>
        <w:t xml:space="preserve"> by his wife, </w:t>
      </w:r>
      <w:proofErr w:type="spellStart"/>
      <w:r w:rsidR="00650921" w:rsidRPr="00650921">
        <w:rPr>
          <w:lang w:val="en-US"/>
        </w:rPr>
        <w:t>Raushan</w:t>
      </w:r>
      <w:proofErr w:type="spellEnd"/>
      <w:r w:rsidR="00650921" w:rsidRPr="00650921">
        <w:rPr>
          <w:lang w:val="en-US"/>
        </w:rPr>
        <w:t xml:space="preserve"> </w:t>
      </w:r>
      <w:proofErr w:type="spellStart"/>
      <w:r w:rsidR="00650921" w:rsidRPr="00650921">
        <w:rPr>
          <w:lang w:val="en-US"/>
        </w:rPr>
        <w:t>Esergepova</w:t>
      </w:r>
      <w:proofErr w:type="spellEnd"/>
      <w:r w:rsidR="007357B3">
        <w:rPr>
          <w:lang w:val="en-US"/>
        </w:rPr>
        <w:t>,</w:t>
      </w:r>
      <w:r w:rsidR="008C0C32">
        <w:rPr>
          <w:lang w:val="en-US"/>
        </w:rPr>
        <w:t xml:space="preserve"> and by th</w:t>
      </w:r>
      <w:r w:rsidR="0007695F">
        <w:rPr>
          <w:lang w:val="en-US"/>
        </w:rPr>
        <w:t xml:space="preserve">e </w:t>
      </w:r>
      <w:r w:rsidR="008C0C32">
        <w:rPr>
          <w:lang w:val="en-US"/>
        </w:rPr>
        <w:t xml:space="preserve">Kazakhstan International Bureau </w:t>
      </w:r>
      <w:r w:rsidR="007357B3">
        <w:rPr>
          <w:lang w:val="en-US"/>
        </w:rPr>
        <w:t>for</w:t>
      </w:r>
      <w:r w:rsidR="008C0C32">
        <w:rPr>
          <w:lang w:val="en-US"/>
        </w:rPr>
        <w:t xml:space="preserve"> Human Rights</w:t>
      </w:r>
      <w:r w:rsidR="007357B3">
        <w:rPr>
          <w:lang w:val="en-US"/>
        </w:rPr>
        <w:t xml:space="preserve"> and Rule of Law</w:t>
      </w:r>
      <w:r w:rsidR="00650921" w:rsidRPr="00650921">
        <w:rPr>
          <w:lang w:val="en-US"/>
        </w:rPr>
        <w:t xml:space="preserve">. </w:t>
      </w:r>
    </w:p>
    <w:p w14:paraId="3A3EDFEE" w14:textId="715580C4" w:rsidR="008B5946" w:rsidRPr="008B5946" w:rsidRDefault="00675A40" w:rsidP="00675A40">
      <w:pPr>
        <w:pStyle w:val="H23G"/>
        <w:rPr>
          <w:lang w:val="en-US"/>
        </w:rPr>
      </w:pPr>
      <w:r>
        <w:rPr>
          <w:lang w:val="en-US"/>
        </w:rPr>
        <w:tab/>
      </w:r>
      <w:r>
        <w:rPr>
          <w:lang w:val="en-US"/>
        </w:rPr>
        <w:tab/>
      </w:r>
      <w:r w:rsidR="008B5946" w:rsidRPr="007E3B72">
        <w:rPr>
          <w:lang w:val="en-US"/>
        </w:rPr>
        <w:t xml:space="preserve">The facts as </w:t>
      </w:r>
      <w:r w:rsidR="007357B3">
        <w:rPr>
          <w:lang w:val="en-US"/>
        </w:rPr>
        <w:t>submitted</w:t>
      </w:r>
      <w:r w:rsidR="008B5946" w:rsidRPr="007E3B72">
        <w:rPr>
          <w:lang w:val="en-US"/>
        </w:rPr>
        <w:t xml:space="preserve"> by the author</w:t>
      </w:r>
    </w:p>
    <w:p w14:paraId="19216DE7" w14:textId="3A94E7CF" w:rsidR="00650921" w:rsidRPr="00650921" w:rsidRDefault="008B5946" w:rsidP="00923A0E">
      <w:pPr>
        <w:pStyle w:val="SingleTxtG"/>
        <w:rPr>
          <w:lang w:val="en-US"/>
        </w:rPr>
      </w:pPr>
      <w:r w:rsidRPr="008B5946">
        <w:rPr>
          <w:lang w:val="en-US"/>
        </w:rPr>
        <w:t>2.1</w:t>
      </w:r>
      <w:r w:rsidRPr="008B5946">
        <w:rPr>
          <w:lang w:val="en-US"/>
        </w:rPr>
        <w:tab/>
      </w:r>
      <w:r w:rsidR="00650921" w:rsidRPr="00650921">
        <w:rPr>
          <w:lang w:val="en-US"/>
        </w:rPr>
        <w:t>The author is Editor-</w:t>
      </w:r>
      <w:r w:rsidR="00650921" w:rsidRPr="00675A40">
        <w:t>in</w:t>
      </w:r>
      <w:r w:rsidR="00650921" w:rsidRPr="00650921">
        <w:rPr>
          <w:lang w:val="en-US"/>
        </w:rPr>
        <w:t xml:space="preserve">-Chief of the </w:t>
      </w:r>
      <w:r w:rsidR="00650921" w:rsidRPr="006262E9">
        <w:rPr>
          <w:i/>
          <w:lang w:val="en-US"/>
        </w:rPr>
        <w:t>Alma-Ata INFO</w:t>
      </w:r>
      <w:r w:rsidR="007357B3">
        <w:rPr>
          <w:i/>
          <w:lang w:val="en-US"/>
        </w:rPr>
        <w:t xml:space="preserve"> </w:t>
      </w:r>
      <w:r w:rsidR="007357B3" w:rsidRPr="00650921">
        <w:rPr>
          <w:lang w:val="en-US"/>
        </w:rPr>
        <w:t>newspaper</w:t>
      </w:r>
      <w:r w:rsidR="00650921" w:rsidRPr="00650921">
        <w:rPr>
          <w:lang w:val="en-US"/>
        </w:rPr>
        <w:t xml:space="preserve">. On 21 November 2008, the author published </w:t>
      </w:r>
      <w:r w:rsidR="004705A6">
        <w:rPr>
          <w:lang w:val="en-US"/>
        </w:rPr>
        <w:t>in the newspaper</w:t>
      </w:r>
      <w:r w:rsidR="007357B3">
        <w:rPr>
          <w:lang w:val="en-US"/>
        </w:rPr>
        <w:t xml:space="preserve"> an</w:t>
      </w:r>
      <w:r w:rsidR="00650921" w:rsidRPr="00650921">
        <w:rPr>
          <w:lang w:val="en-US"/>
        </w:rPr>
        <w:t xml:space="preserve"> article </w:t>
      </w:r>
      <w:r w:rsidR="007357B3">
        <w:rPr>
          <w:lang w:val="en-US"/>
        </w:rPr>
        <w:t xml:space="preserve">entitled </w:t>
      </w:r>
      <w:r w:rsidR="00650921" w:rsidRPr="00650921">
        <w:rPr>
          <w:lang w:val="en-US"/>
        </w:rPr>
        <w:t xml:space="preserve">“Who </w:t>
      </w:r>
      <w:r w:rsidR="007357B3">
        <w:rPr>
          <w:lang w:val="en-US"/>
        </w:rPr>
        <w:t>r</w:t>
      </w:r>
      <w:r w:rsidR="00650921" w:rsidRPr="00650921">
        <w:rPr>
          <w:lang w:val="en-US"/>
        </w:rPr>
        <w:t xml:space="preserve">ules </w:t>
      </w:r>
      <w:r w:rsidR="007357B3">
        <w:rPr>
          <w:lang w:val="en-US"/>
        </w:rPr>
        <w:t>o</w:t>
      </w:r>
      <w:r w:rsidR="00650921" w:rsidRPr="00650921">
        <w:rPr>
          <w:lang w:val="en-US"/>
        </w:rPr>
        <w:t xml:space="preserve">ur </w:t>
      </w:r>
      <w:r w:rsidR="007357B3">
        <w:rPr>
          <w:lang w:val="en-US"/>
        </w:rPr>
        <w:t>c</w:t>
      </w:r>
      <w:r w:rsidR="00650921" w:rsidRPr="00650921">
        <w:rPr>
          <w:lang w:val="en-US"/>
        </w:rPr>
        <w:t xml:space="preserve">ountry – the </w:t>
      </w:r>
      <w:r w:rsidR="007357B3">
        <w:rPr>
          <w:lang w:val="en-US"/>
        </w:rPr>
        <w:t>p</w:t>
      </w:r>
      <w:r w:rsidR="00650921" w:rsidRPr="00650921">
        <w:rPr>
          <w:lang w:val="en-US"/>
        </w:rPr>
        <w:t>resident or the NSC?</w:t>
      </w:r>
      <w:proofErr w:type="gramStart"/>
      <w:r w:rsidR="00650921" w:rsidRPr="00650921">
        <w:rPr>
          <w:lang w:val="en-US"/>
        </w:rPr>
        <w:t>”</w:t>
      </w:r>
      <w:r w:rsidR="004705A6">
        <w:rPr>
          <w:lang w:val="en-US"/>
        </w:rPr>
        <w:t>,</w:t>
      </w:r>
      <w:proofErr w:type="gramEnd"/>
      <w:r w:rsidR="007357B3">
        <w:rPr>
          <w:rStyle w:val="FootnoteReference"/>
          <w:lang w:val="en-US"/>
        </w:rPr>
        <w:footnoteReference w:id="3"/>
      </w:r>
      <w:r w:rsidR="004705A6">
        <w:rPr>
          <w:lang w:val="en-US"/>
        </w:rPr>
        <w:t xml:space="preserve"> which he wrote.</w:t>
      </w:r>
      <w:r w:rsidR="00650921" w:rsidRPr="00650921">
        <w:rPr>
          <w:lang w:val="en-US"/>
        </w:rPr>
        <w:t xml:space="preserve"> Th</w:t>
      </w:r>
      <w:r w:rsidR="004705A6">
        <w:rPr>
          <w:lang w:val="en-US"/>
        </w:rPr>
        <w:t>e</w:t>
      </w:r>
      <w:r w:rsidR="00650921" w:rsidRPr="00650921">
        <w:rPr>
          <w:lang w:val="en-US"/>
        </w:rPr>
        <w:t xml:space="preserve"> article contained photocopies of t</w:t>
      </w:r>
      <w:r w:rsidR="003432EC">
        <w:rPr>
          <w:lang w:val="en-US"/>
        </w:rPr>
        <w:t>wo</w:t>
      </w:r>
      <w:r w:rsidR="00650921" w:rsidRPr="00650921">
        <w:rPr>
          <w:lang w:val="en-US"/>
        </w:rPr>
        <w:t xml:space="preserve"> draft file reports of the Head of the </w:t>
      </w:r>
      <w:r w:rsidR="00650921" w:rsidRPr="0031322D">
        <w:rPr>
          <w:lang w:val="en-US"/>
        </w:rPr>
        <w:t xml:space="preserve">National Security Committee </w:t>
      </w:r>
      <w:r w:rsidR="0031322D">
        <w:rPr>
          <w:lang w:val="en-US"/>
        </w:rPr>
        <w:t xml:space="preserve">Department </w:t>
      </w:r>
      <w:r w:rsidR="00650921" w:rsidRPr="0031322D">
        <w:rPr>
          <w:lang w:val="en-US"/>
        </w:rPr>
        <w:t>of</w:t>
      </w:r>
      <w:r w:rsidR="00650921" w:rsidRPr="00650921">
        <w:rPr>
          <w:lang w:val="en-US"/>
        </w:rPr>
        <w:t xml:space="preserve"> </w:t>
      </w:r>
      <w:proofErr w:type="spellStart"/>
      <w:r w:rsidR="00650921" w:rsidRPr="00650921">
        <w:rPr>
          <w:lang w:val="en-US"/>
        </w:rPr>
        <w:t>Zhambyl</w:t>
      </w:r>
      <w:proofErr w:type="spellEnd"/>
      <w:r w:rsidR="00650921" w:rsidRPr="00650921">
        <w:rPr>
          <w:lang w:val="en-US"/>
        </w:rPr>
        <w:t xml:space="preserve"> </w:t>
      </w:r>
      <w:r w:rsidR="004705A6">
        <w:rPr>
          <w:lang w:val="en-US"/>
        </w:rPr>
        <w:t>R</w:t>
      </w:r>
      <w:r w:rsidR="00650921" w:rsidRPr="00650921">
        <w:rPr>
          <w:lang w:val="en-US"/>
        </w:rPr>
        <w:t xml:space="preserve">egion addressed to the Head of the National Security Committee of Kazakhstan. </w:t>
      </w:r>
      <w:proofErr w:type="gramStart"/>
      <w:r w:rsidR="00650921" w:rsidRPr="00650921">
        <w:rPr>
          <w:lang w:val="en-US"/>
        </w:rPr>
        <w:t>The photocopies were left at the office</w:t>
      </w:r>
      <w:r w:rsidR="00E77257">
        <w:rPr>
          <w:lang w:val="en-US"/>
        </w:rPr>
        <w:t xml:space="preserve"> of the newspaper</w:t>
      </w:r>
      <w:r w:rsidR="00650921" w:rsidRPr="00650921">
        <w:rPr>
          <w:lang w:val="en-US"/>
        </w:rPr>
        <w:t xml:space="preserve"> by an unidentified person</w:t>
      </w:r>
      <w:proofErr w:type="gramEnd"/>
      <w:r w:rsidR="004705A6">
        <w:rPr>
          <w:lang w:val="en-US"/>
        </w:rPr>
        <w:t>;</w:t>
      </w:r>
      <w:r w:rsidR="00304F66">
        <w:rPr>
          <w:lang w:val="en-US"/>
        </w:rPr>
        <w:t xml:space="preserve"> </w:t>
      </w:r>
      <w:r w:rsidR="00304F66" w:rsidRPr="00650921">
        <w:rPr>
          <w:lang w:val="en-US"/>
        </w:rPr>
        <w:t>the</w:t>
      </w:r>
      <w:r w:rsidR="00650921" w:rsidRPr="00650921">
        <w:rPr>
          <w:lang w:val="en-US"/>
        </w:rPr>
        <w:t xml:space="preserve"> newspaper </w:t>
      </w:r>
      <w:r w:rsidR="003432EC">
        <w:rPr>
          <w:lang w:val="en-US"/>
        </w:rPr>
        <w:t xml:space="preserve">had previously </w:t>
      </w:r>
      <w:r w:rsidR="00650921" w:rsidRPr="00650921">
        <w:rPr>
          <w:lang w:val="en-US"/>
        </w:rPr>
        <w:t xml:space="preserve">devoted </w:t>
      </w:r>
      <w:r w:rsidR="003432EC">
        <w:rPr>
          <w:lang w:val="en-US"/>
        </w:rPr>
        <w:t xml:space="preserve">10 articles </w:t>
      </w:r>
      <w:r w:rsidR="00650921" w:rsidRPr="00650921">
        <w:rPr>
          <w:lang w:val="en-US"/>
        </w:rPr>
        <w:t xml:space="preserve">to the same topic. It followed from the content of the file reports that the </w:t>
      </w:r>
      <w:r w:rsidR="00C14676">
        <w:rPr>
          <w:lang w:val="en-US"/>
        </w:rPr>
        <w:t>National Security Committee</w:t>
      </w:r>
      <w:r w:rsidR="00C14676" w:rsidRPr="00650921">
        <w:rPr>
          <w:lang w:val="en-US"/>
        </w:rPr>
        <w:t xml:space="preserve"> </w:t>
      </w:r>
      <w:r w:rsidR="00650921" w:rsidRPr="00650921">
        <w:rPr>
          <w:lang w:val="en-US"/>
        </w:rPr>
        <w:t xml:space="preserve">of Kazakhstan, as well as </w:t>
      </w:r>
      <w:r w:rsidR="00C14676">
        <w:rPr>
          <w:lang w:val="en-US"/>
        </w:rPr>
        <w:t>some</w:t>
      </w:r>
      <w:r w:rsidR="00C14676" w:rsidRPr="00650921">
        <w:rPr>
          <w:lang w:val="en-US"/>
        </w:rPr>
        <w:t xml:space="preserve"> </w:t>
      </w:r>
      <w:r w:rsidR="0031322D">
        <w:rPr>
          <w:lang w:val="en-US"/>
        </w:rPr>
        <w:t xml:space="preserve">officials of the </w:t>
      </w:r>
      <w:r w:rsidR="00C14676">
        <w:rPr>
          <w:lang w:val="en-US"/>
        </w:rPr>
        <w:t>National Security Committee</w:t>
      </w:r>
      <w:r w:rsidR="00C14676" w:rsidRPr="00650921">
        <w:rPr>
          <w:lang w:val="en-US"/>
        </w:rPr>
        <w:t xml:space="preserve"> </w:t>
      </w:r>
      <w:r w:rsidR="0031322D">
        <w:rPr>
          <w:lang w:val="en-US"/>
        </w:rPr>
        <w:t>in</w:t>
      </w:r>
      <w:r w:rsidR="00650921" w:rsidRPr="00650921">
        <w:rPr>
          <w:lang w:val="en-US"/>
        </w:rPr>
        <w:t xml:space="preserve"> the </w:t>
      </w:r>
      <w:proofErr w:type="spellStart"/>
      <w:r w:rsidR="00650921" w:rsidRPr="00650921">
        <w:rPr>
          <w:lang w:val="en-US"/>
        </w:rPr>
        <w:t>Zhambyl</w:t>
      </w:r>
      <w:proofErr w:type="spellEnd"/>
      <w:r w:rsidR="00650921" w:rsidRPr="00650921">
        <w:rPr>
          <w:lang w:val="en-US"/>
        </w:rPr>
        <w:t xml:space="preserve"> </w:t>
      </w:r>
      <w:r w:rsidR="00C14676">
        <w:rPr>
          <w:lang w:val="en-US"/>
        </w:rPr>
        <w:t>R</w:t>
      </w:r>
      <w:r w:rsidR="00650921" w:rsidRPr="00650921">
        <w:rPr>
          <w:lang w:val="en-US"/>
        </w:rPr>
        <w:t xml:space="preserve">egion, </w:t>
      </w:r>
      <w:r w:rsidR="00C14676">
        <w:rPr>
          <w:lang w:val="en-US"/>
        </w:rPr>
        <w:t xml:space="preserve">had </w:t>
      </w:r>
      <w:r w:rsidR="00650921" w:rsidRPr="00650921">
        <w:rPr>
          <w:lang w:val="en-US"/>
        </w:rPr>
        <w:t>interfered in the activity of the President, the General Prosecutor’s Office, the Regional Prosecutor’s Office and courts. The files also</w:t>
      </w:r>
      <w:r w:rsidR="00C14676">
        <w:rPr>
          <w:lang w:val="en-US"/>
        </w:rPr>
        <w:t xml:space="preserve"> contained</w:t>
      </w:r>
      <w:r w:rsidR="00650921" w:rsidRPr="00650921">
        <w:rPr>
          <w:lang w:val="en-US"/>
        </w:rPr>
        <w:t xml:space="preserve"> </w:t>
      </w:r>
      <w:r w:rsidR="00C14676">
        <w:rPr>
          <w:lang w:val="en-US"/>
        </w:rPr>
        <w:t>refer</w:t>
      </w:r>
      <w:r w:rsidR="00650921" w:rsidRPr="00650921">
        <w:rPr>
          <w:lang w:val="en-US"/>
        </w:rPr>
        <w:t>e</w:t>
      </w:r>
      <w:r w:rsidR="00C14676">
        <w:rPr>
          <w:lang w:val="en-US"/>
        </w:rPr>
        <w:t>nces</w:t>
      </w:r>
      <w:r w:rsidR="00650921" w:rsidRPr="00650921">
        <w:rPr>
          <w:lang w:val="en-US"/>
        </w:rPr>
        <w:t xml:space="preserve"> to violations of the Constitution, the principle</w:t>
      </w:r>
      <w:r w:rsidR="003432EC">
        <w:rPr>
          <w:lang w:val="en-US"/>
        </w:rPr>
        <w:t>s</w:t>
      </w:r>
      <w:r w:rsidR="00650921" w:rsidRPr="00650921">
        <w:rPr>
          <w:lang w:val="en-US"/>
        </w:rPr>
        <w:t xml:space="preserve"> of administration of justice and the presumption of innocen</w:t>
      </w:r>
      <w:r w:rsidR="004B5352">
        <w:rPr>
          <w:lang w:val="en-US"/>
        </w:rPr>
        <w:t>ce</w:t>
      </w:r>
      <w:r w:rsidR="00650921" w:rsidRPr="00650921">
        <w:rPr>
          <w:lang w:val="en-US"/>
        </w:rPr>
        <w:t xml:space="preserve"> by a </w:t>
      </w:r>
      <w:r w:rsidR="00C14676">
        <w:rPr>
          <w:lang w:val="en-US"/>
        </w:rPr>
        <w:t>particular</w:t>
      </w:r>
      <w:r w:rsidR="00C14676" w:rsidRPr="00650921">
        <w:rPr>
          <w:lang w:val="en-US"/>
        </w:rPr>
        <w:t xml:space="preserve"> </w:t>
      </w:r>
      <w:r w:rsidR="00650921" w:rsidRPr="00650921">
        <w:rPr>
          <w:lang w:val="en-US"/>
        </w:rPr>
        <w:t xml:space="preserve">prosecutor and a judge. </w:t>
      </w:r>
      <w:r w:rsidR="00C14676">
        <w:rPr>
          <w:lang w:val="en-US"/>
        </w:rPr>
        <w:t>As he c</w:t>
      </w:r>
      <w:r w:rsidR="00B31D6E">
        <w:rPr>
          <w:lang w:val="en-US"/>
        </w:rPr>
        <w:t>onsider</w:t>
      </w:r>
      <w:r w:rsidR="00C14676">
        <w:rPr>
          <w:lang w:val="en-US"/>
        </w:rPr>
        <w:t>ed</w:t>
      </w:r>
      <w:r w:rsidR="00650921" w:rsidRPr="00650921">
        <w:rPr>
          <w:lang w:val="en-US"/>
        </w:rPr>
        <w:t xml:space="preserve"> the information contained in the reports</w:t>
      </w:r>
      <w:r w:rsidR="00B31D6E">
        <w:rPr>
          <w:lang w:val="en-US"/>
        </w:rPr>
        <w:t xml:space="preserve"> </w:t>
      </w:r>
      <w:r w:rsidR="00C14676">
        <w:rPr>
          <w:lang w:val="en-US"/>
        </w:rPr>
        <w:t xml:space="preserve">to be </w:t>
      </w:r>
      <w:r w:rsidR="00650921" w:rsidRPr="00650921">
        <w:rPr>
          <w:lang w:val="en-US"/>
        </w:rPr>
        <w:t>of public concern, the author publish</w:t>
      </w:r>
      <w:r w:rsidR="00923A0E">
        <w:rPr>
          <w:lang w:val="en-US"/>
        </w:rPr>
        <w:t>ed</w:t>
      </w:r>
      <w:r w:rsidR="00650921" w:rsidRPr="00650921">
        <w:rPr>
          <w:lang w:val="en-US"/>
        </w:rPr>
        <w:t xml:space="preserve"> it in the newspaper. </w:t>
      </w:r>
    </w:p>
    <w:p w14:paraId="3281F27D" w14:textId="142D89A9" w:rsidR="00650921" w:rsidRPr="00650921" w:rsidRDefault="00650921" w:rsidP="00650921">
      <w:pPr>
        <w:pStyle w:val="SingleTxtG"/>
        <w:rPr>
          <w:lang w:val="en-US"/>
        </w:rPr>
      </w:pPr>
      <w:r w:rsidRPr="00650921">
        <w:rPr>
          <w:lang w:val="en-US"/>
        </w:rPr>
        <w:t>2.2</w:t>
      </w:r>
      <w:r w:rsidRPr="00650921">
        <w:rPr>
          <w:lang w:val="en-US"/>
        </w:rPr>
        <w:tab/>
        <w:t xml:space="preserve">On 1 December 2008, the author </w:t>
      </w:r>
      <w:proofErr w:type="gramStart"/>
      <w:r w:rsidRPr="00650921">
        <w:rPr>
          <w:lang w:val="en-US"/>
        </w:rPr>
        <w:t>was summoned</w:t>
      </w:r>
      <w:proofErr w:type="gramEnd"/>
      <w:r w:rsidRPr="00650921">
        <w:rPr>
          <w:lang w:val="en-US"/>
        </w:rPr>
        <w:t xml:space="preserve"> to the Investigative Department of the </w:t>
      </w:r>
      <w:r w:rsidR="00C14676">
        <w:rPr>
          <w:lang w:val="en-US"/>
        </w:rPr>
        <w:t>National Security Committee</w:t>
      </w:r>
      <w:r w:rsidR="00C14676" w:rsidRPr="00650921">
        <w:rPr>
          <w:lang w:val="en-US"/>
        </w:rPr>
        <w:t xml:space="preserve"> </w:t>
      </w:r>
      <w:r w:rsidRPr="0031322D">
        <w:rPr>
          <w:lang w:val="en-US"/>
        </w:rPr>
        <w:t>for</w:t>
      </w:r>
      <w:r w:rsidRPr="00650921">
        <w:rPr>
          <w:lang w:val="en-US"/>
        </w:rPr>
        <w:t xml:space="preserve"> Almaty</w:t>
      </w:r>
      <w:r w:rsidR="00C14676">
        <w:rPr>
          <w:lang w:val="en-US"/>
        </w:rPr>
        <w:t xml:space="preserve"> </w:t>
      </w:r>
      <w:r w:rsidR="00C14676" w:rsidRPr="00650921">
        <w:rPr>
          <w:lang w:val="en-US"/>
        </w:rPr>
        <w:t>for interrogation as a witness</w:t>
      </w:r>
      <w:r w:rsidRPr="00650921">
        <w:rPr>
          <w:lang w:val="en-US"/>
        </w:rPr>
        <w:t>. Several</w:t>
      </w:r>
      <w:r w:rsidR="005A3F03">
        <w:rPr>
          <w:lang w:val="en-US"/>
        </w:rPr>
        <w:t xml:space="preserve"> Department</w:t>
      </w:r>
      <w:r w:rsidRPr="00650921">
        <w:rPr>
          <w:lang w:val="en-US"/>
        </w:rPr>
        <w:t xml:space="preserve"> officers tried to force him in</w:t>
      </w:r>
      <w:r w:rsidR="005A3F03">
        <w:rPr>
          <w:lang w:val="en-US"/>
        </w:rPr>
        <w:t>to</w:t>
      </w:r>
      <w:r w:rsidRPr="00650921">
        <w:rPr>
          <w:lang w:val="en-US"/>
        </w:rPr>
        <w:t xml:space="preserve"> a car and take him to </w:t>
      </w:r>
      <w:proofErr w:type="spellStart"/>
      <w:r w:rsidRPr="00650921">
        <w:rPr>
          <w:lang w:val="en-US"/>
        </w:rPr>
        <w:t>Taraz</w:t>
      </w:r>
      <w:proofErr w:type="spellEnd"/>
      <w:r w:rsidRPr="00650921">
        <w:rPr>
          <w:lang w:val="en-US"/>
        </w:rPr>
        <w:t xml:space="preserve">, explaining that they were complying with a request </w:t>
      </w:r>
      <w:r w:rsidR="00923A0E">
        <w:rPr>
          <w:lang w:val="en-US"/>
        </w:rPr>
        <w:t xml:space="preserve">made </w:t>
      </w:r>
      <w:r w:rsidRPr="00650921">
        <w:rPr>
          <w:lang w:val="en-US"/>
        </w:rPr>
        <w:t xml:space="preserve">by officials of the </w:t>
      </w:r>
      <w:r w:rsidR="005A3F03" w:rsidRPr="0031322D">
        <w:rPr>
          <w:lang w:val="en-US"/>
        </w:rPr>
        <w:t>National Security Committee</w:t>
      </w:r>
      <w:r w:rsidRPr="0031322D">
        <w:rPr>
          <w:lang w:val="en-US"/>
        </w:rPr>
        <w:t xml:space="preserve"> of </w:t>
      </w:r>
      <w:proofErr w:type="spellStart"/>
      <w:r w:rsidRPr="0031322D">
        <w:rPr>
          <w:lang w:val="en-US"/>
        </w:rPr>
        <w:t>Zhambyl</w:t>
      </w:r>
      <w:proofErr w:type="spellEnd"/>
      <w:r w:rsidRPr="0031322D">
        <w:rPr>
          <w:lang w:val="en-US"/>
        </w:rPr>
        <w:t xml:space="preserve"> </w:t>
      </w:r>
      <w:r w:rsidR="005A3F03" w:rsidRPr="0031322D">
        <w:rPr>
          <w:lang w:val="en-US"/>
        </w:rPr>
        <w:t>R</w:t>
      </w:r>
      <w:r w:rsidRPr="0031322D">
        <w:rPr>
          <w:lang w:val="en-US"/>
        </w:rPr>
        <w:t>egion</w:t>
      </w:r>
      <w:r w:rsidRPr="00650921">
        <w:rPr>
          <w:lang w:val="en-US"/>
        </w:rPr>
        <w:t xml:space="preserve">. No formal documents regarding his arrest and detention </w:t>
      </w:r>
      <w:proofErr w:type="gramStart"/>
      <w:r w:rsidRPr="00650921">
        <w:rPr>
          <w:lang w:val="en-US"/>
        </w:rPr>
        <w:t>were produced or read out</w:t>
      </w:r>
      <w:proofErr w:type="gramEnd"/>
      <w:r w:rsidRPr="00650921">
        <w:rPr>
          <w:lang w:val="en-US"/>
        </w:rPr>
        <w:t xml:space="preserve">. The author </w:t>
      </w:r>
      <w:proofErr w:type="gramStart"/>
      <w:r w:rsidRPr="00650921">
        <w:rPr>
          <w:lang w:val="en-US"/>
        </w:rPr>
        <w:t>was released</w:t>
      </w:r>
      <w:proofErr w:type="gramEnd"/>
      <w:r w:rsidRPr="00650921">
        <w:rPr>
          <w:lang w:val="en-US"/>
        </w:rPr>
        <w:t xml:space="preserve"> </w:t>
      </w:r>
      <w:r w:rsidR="00161EEA">
        <w:rPr>
          <w:lang w:val="en-US"/>
        </w:rPr>
        <w:t xml:space="preserve">on the same day </w:t>
      </w:r>
      <w:r w:rsidRPr="00650921">
        <w:rPr>
          <w:lang w:val="en-US"/>
        </w:rPr>
        <w:t xml:space="preserve">only </w:t>
      </w:r>
      <w:r w:rsidR="009E1818">
        <w:rPr>
          <w:lang w:val="en-US"/>
        </w:rPr>
        <w:t xml:space="preserve">following </w:t>
      </w:r>
      <w:r w:rsidRPr="00650921">
        <w:rPr>
          <w:lang w:val="en-US"/>
        </w:rPr>
        <w:t>intervention</w:t>
      </w:r>
      <w:r w:rsidR="009E1818">
        <w:rPr>
          <w:lang w:val="en-US"/>
        </w:rPr>
        <w:t>s</w:t>
      </w:r>
      <w:r w:rsidRPr="00650921">
        <w:rPr>
          <w:lang w:val="en-US"/>
        </w:rPr>
        <w:t xml:space="preserve"> </w:t>
      </w:r>
      <w:r w:rsidR="004B5352">
        <w:rPr>
          <w:lang w:val="en-US"/>
        </w:rPr>
        <w:t xml:space="preserve">by </w:t>
      </w:r>
      <w:r w:rsidRPr="00650921">
        <w:rPr>
          <w:lang w:val="en-US"/>
        </w:rPr>
        <w:t xml:space="preserve">his relatives and journalists. </w:t>
      </w:r>
    </w:p>
    <w:p w14:paraId="3E406865" w14:textId="3CCD02CD" w:rsidR="00650921" w:rsidRPr="00650921" w:rsidRDefault="00650921" w:rsidP="00650921">
      <w:pPr>
        <w:pStyle w:val="SingleTxtG"/>
        <w:rPr>
          <w:lang w:val="en-US"/>
        </w:rPr>
      </w:pPr>
      <w:r w:rsidRPr="00650921">
        <w:rPr>
          <w:lang w:val="en-US"/>
        </w:rPr>
        <w:t>2.3</w:t>
      </w:r>
      <w:r w:rsidRPr="00650921">
        <w:rPr>
          <w:lang w:val="en-US"/>
        </w:rPr>
        <w:tab/>
        <w:t xml:space="preserve">On 3 December 2008, the Prosecutor </w:t>
      </w:r>
      <w:r w:rsidR="005A3F03">
        <w:rPr>
          <w:lang w:val="en-US"/>
        </w:rPr>
        <w:t>for</w:t>
      </w:r>
      <w:r w:rsidRPr="00650921">
        <w:rPr>
          <w:lang w:val="en-US"/>
        </w:rPr>
        <w:t xml:space="preserve"> </w:t>
      </w:r>
      <w:proofErr w:type="spellStart"/>
      <w:r w:rsidRPr="00650921">
        <w:rPr>
          <w:lang w:val="en-US"/>
        </w:rPr>
        <w:t>Medeu</w:t>
      </w:r>
      <w:proofErr w:type="spellEnd"/>
      <w:r w:rsidRPr="00650921">
        <w:rPr>
          <w:lang w:val="en-US"/>
        </w:rPr>
        <w:t xml:space="preserve"> </w:t>
      </w:r>
      <w:r w:rsidR="005A3F03">
        <w:rPr>
          <w:lang w:val="en-US"/>
        </w:rPr>
        <w:t>D</w:t>
      </w:r>
      <w:r w:rsidRPr="00650921">
        <w:rPr>
          <w:lang w:val="en-US"/>
        </w:rPr>
        <w:t>istrict</w:t>
      </w:r>
      <w:r w:rsidR="005A3F03">
        <w:rPr>
          <w:lang w:val="en-US"/>
        </w:rPr>
        <w:t xml:space="preserve"> in</w:t>
      </w:r>
      <w:r w:rsidRPr="00650921">
        <w:rPr>
          <w:lang w:val="en-US"/>
        </w:rPr>
        <w:t xml:space="preserve"> Almaty filed a suit before the </w:t>
      </w:r>
      <w:r w:rsidR="00E77257">
        <w:rPr>
          <w:lang w:val="en-US"/>
        </w:rPr>
        <w:t xml:space="preserve">Special </w:t>
      </w:r>
      <w:proofErr w:type="spellStart"/>
      <w:r w:rsidR="00E77257">
        <w:rPr>
          <w:lang w:val="en-US"/>
        </w:rPr>
        <w:t>I</w:t>
      </w:r>
      <w:r w:rsidRPr="00650921">
        <w:rPr>
          <w:lang w:val="en-US"/>
        </w:rPr>
        <w:t>nterdistrict</w:t>
      </w:r>
      <w:proofErr w:type="spellEnd"/>
      <w:r w:rsidRPr="00650921">
        <w:rPr>
          <w:lang w:val="en-US"/>
        </w:rPr>
        <w:t xml:space="preserve"> Economic Court of Almaty against </w:t>
      </w:r>
      <w:proofErr w:type="spellStart"/>
      <w:r w:rsidRPr="00650921">
        <w:rPr>
          <w:lang w:val="en-US"/>
        </w:rPr>
        <w:t>Zhuldyz</w:t>
      </w:r>
      <w:proofErr w:type="spellEnd"/>
      <w:r w:rsidRPr="00650921">
        <w:rPr>
          <w:lang w:val="en-US"/>
        </w:rPr>
        <w:t xml:space="preserve"> Ltd.</w:t>
      </w:r>
      <w:r w:rsidR="005A3F03">
        <w:rPr>
          <w:lang w:val="en-US"/>
        </w:rPr>
        <w:t>,</w:t>
      </w:r>
      <w:r w:rsidRPr="00650921">
        <w:rPr>
          <w:lang w:val="en-US"/>
        </w:rPr>
        <w:t xml:space="preserve"> </w:t>
      </w:r>
      <w:r w:rsidR="005A3F03">
        <w:rPr>
          <w:lang w:val="en-US"/>
        </w:rPr>
        <w:t xml:space="preserve">the </w:t>
      </w:r>
      <w:r w:rsidR="00161EEA">
        <w:rPr>
          <w:lang w:val="en-US"/>
        </w:rPr>
        <w:t>owner</w:t>
      </w:r>
      <w:r w:rsidRPr="00650921">
        <w:rPr>
          <w:lang w:val="en-US"/>
        </w:rPr>
        <w:t xml:space="preserve"> of the newspaper, requesting th</w:t>
      </w:r>
      <w:r w:rsidR="005A3F03">
        <w:rPr>
          <w:lang w:val="en-US"/>
        </w:rPr>
        <w:t>at</w:t>
      </w:r>
      <w:r w:rsidRPr="00650921">
        <w:rPr>
          <w:lang w:val="en-US"/>
        </w:rPr>
        <w:t xml:space="preserve"> printing of the newspaper</w:t>
      </w:r>
      <w:r w:rsidR="005A3F03">
        <w:rPr>
          <w:lang w:val="en-US"/>
        </w:rPr>
        <w:t xml:space="preserve"> </w:t>
      </w:r>
      <w:proofErr w:type="gramStart"/>
      <w:r w:rsidR="005A3F03">
        <w:rPr>
          <w:lang w:val="en-US"/>
        </w:rPr>
        <w:t>be suspended</w:t>
      </w:r>
      <w:proofErr w:type="gramEnd"/>
      <w:r w:rsidRPr="00650921">
        <w:rPr>
          <w:lang w:val="en-US"/>
        </w:rPr>
        <w:t xml:space="preserve"> for three months in connection with the publication of the article. On 15 December 2008, the author submitted a complaint to the General Prosecutor’s Office and to the </w:t>
      </w:r>
      <w:r w:rsidRPr="009E7698">
        <w:rPr>
          <w:lang w:val="en-US"/>
        </w:rPr>
        <w:t>Head</w:t>
      </w:r>
      <w:r w:rsidRPr="00650921">
        <w:rPr>
          <w:lang w:val="en-US"/>
        </w:rPr>
        <w:t xml:space="preserve"> of the </w:t>
      </w:r>
      <w:r w:rsidR="005A3F03" w:rsidRPr="009E7698">
        <w:rPr>
          <w:lang w:val="en-US"/>
        </w:rPr>
        <w:t>National Security Committee</w:t>
      </w:r>
      <w:r w:rsidR="005A3F03" w:rsidRPr="00650921">
        <w:rPr>
          <w:lang w:val="en-US"/>
        </w:rPr>
        <w:t xml:space="preserve"> </w:t>
      </w:r>
      <w:r w:rsidR="003F58DD">
        <w:rPr>
          <w:lang w:val="en-US"/>
        </w:rPr>
        <w:t>claiming</w:t>
      </w:r>
      <w:r w:rsidRPr="00650921">
        <w:rPr>
          <w:lang w:val="en-US"/>
        </w:rPr>
        <w:t xml:space="preserve"> </w:t>
      </w:r>
      <w:r w:rsidR="005A3F03">
        <w:rPr>
          <w:lang w:val="en-US"/>
        </w:rPr>
        <w:t xml:space="preserve">that it was </w:t>
      </w:r>
      <w:r w:rsidRPr="00650921">
        <w:rPr>
          <w:lang w:val="en-US"/>
        </w:rPr>
        <w:t>illegal</w:t>
      </w:r>
      <w:r w:rsidR="005A3F03">
        <w:rPr>
          <w:lang w:val="en-US"/>
        </w:rPr>
        <w:t xml:space="preserve"> to</w:t>
      </w:r>
      <w:r w:rsidRPr="00650921">
        <w:rPr>
          <w:lang w:val="en-US"/>
        </w:rPr>
        <w:t xml:space="preserve"> classify the </w:t>
      </w:r>
      <w:r w:rsidR="005A3F03">
        <w:rPr>
          <w:lang w:val="en-US"/>
        </w:rPr>
        <w:t>Committee’s</w:t>
      </w:r>
      <w:r w:rsidRPr="00650921">
        <w:rPr>
          <w:lang w:val="en-US"/>
        </w:rPr>
        <w:t xml:space="preserve"> interdepartmental correspondence as secret. </w:t>
      </w:r>
      <w:r w:rsidR="00B10790">
        <w:rPr>
          <w:lang w:val="en-US"/>
        </w:rPr>
        <w:t>On 24 December</w:t>
      </w:r>
      <w:r w:rsidR="000971ED">
        <w:rPr>
          <w:lang w:val="en-US"/>
        </w:rPr>
        <w:t xml:space="preserve"> 2008</w:t>
      </w:r>
      <w:r w:rsidR="00B10790">
        <w:rPr>
          <w:lang w:val="en-US"/>
        </w:rPr>
        <w:t>, the author,</w:t>
      </w:r>
      <w:r w:rsidR="00675A40">
        <w:rPr>
          <w:lang w:val="en-US"/>
        </w:rPr>
        <w:t xml:space="preserve"> </w:t>
      </w:r>
      <w:r w:rsidR="00161EEA">
        <w:rPr>
          <w:lang w:val="en-US"/>
        </w:rPr>
        <w:t xml:space="preserve">on behalf of </w:t>
      </w:r>
      <w:proofErr w:type="spellStart"/>
      <w:r w:rsidR="00161EEA">
        <w:rPr>
          <w:lang w:val="en-US"/>
        </w:rPr>
        <w:t>Zhuldyz</w:t>
      </w:r>
      <w:proofErr w:type="spellEnd"/>
      <w:r w:rsidR="00161EEA">
        <w:rPr>
          <w:lang w:val="en-US"/>
        </w:rPr>
        <w:t xml:space="preserve"> </w:t>
      </w:r>
      <w:r w:rsidR="005A3F03">
        <w:rPr>
          <w:lang w:val="en-US"/>
        </w:rPr>
        <w:t>Ltd.</w:t>
      </w:r>
      <w:r w:rsidR="00161EEA">
        <w:rPr>
          <w:lang w:val="en-US"/>
        </w:rPr>
        <w:t xml:space="preserve">, </w:t>
      </w:r>
      <w:r w:rsidR="005A3F03">
        <w:rPr>
          <w:lang w:val="en-US"/>
        </w:rPr>
        <w:t xml:space="preserve">filed a </w:t>
      </w:r>
      <w:r w:rsidR="005A3F03" w:rsidRPr="006262E9">
        <w:rPr>
          <w:lang w:val="en-US"/>
        </w:rPr>
        <w:t>countersuit</w:t>
      </w:r>
      <w:r w:rsidR="005A3F03" w:rsidRPr="00650921">
        <w:rPr>
          <w:lang w:val="en-US"/>
        </w:rPr>
        <w:t xml:space="preserve"> </w:t>
      </w:r>
      <w:r w:rsidR="005A3F03">
        <w:rPr>
          <w:lang w:val="en-US"/>
        </w:rPr>
        <w:t>before</w:t>
      </w:r>
      <w:r w:rsidRPr="00650921">
        <w:rPr>
          <w:lang w:val="en-US"/>
        </w:rPr>
        <w:t xml:space="preserve"> the </w:t>
      </w:r>
      <w:r w:rsidR="00161EEA">
        <w:rPr>
          <w:lang w:val="en-US"/>
        </w:rPr>
        <w:t>S</w:t>
      </w:r>
      <w:r w:rsidRPr="00650921">
        <w:rPr>
          <w:lang w:val="en-US"/>
        </w:rPr>
        <w:t xml:space="preserve">pecial </w:t>
      </w:r>
      <w:proofErr w:type="spellStart"/>
      <w:r w:rsidR="00161EEA">
        <w:rPr>
          <w:lang w:val="en-US"/>
        </w:rPr>
        <w:t>I</w:t>
      </w:r>
      <w:r w:rsidRPr="00650921">
        <w:rPr>
          <w:lang w:val="en-US"/>
        </w:rPr>
        <w:t>nterdistrict</w:t>
      </w:r>
      <w:proofErr w:type="spellEnd"/>
      <w:r w:rsidRPr="00650921">
        <w:rPr>
          <w:lang w:val="en-US"/>
        </w:rPr>
        <w:t xml:space="preserve"> Economic Court of Almaty, raising the same </w:t>
      </w:r>
      <w:r w:rsidR="000971ED">
        <w:rPr>
          <w:lang w:val="en-US"/>
        </w:rPr>
        <w:t>claim</w:t>
      </w:r>
      <w:r w:rsidRPr="00650921">
        <w:rPr>
          <w:lang w:val="en-US"/>
        </w:rPr>
        <w:t xml:space="preserve">. </w:t>
      </w:r>
    </w:p>
    <w:p w14:paraId="47F1D35E" w14:textId="18D14D50" w:rsidR="00A2492D" w:rsidRPr="00A2492D" w:rsidRDefault="00650921" w:rsidP="00675A40">
      <w:pPr>
        <w:pStyle w:val="SingleTxtG"/>
        <w:rPr>
          <w:lang w:val="en-US"/>
        </w:rPr>
      </w:pPr>
      <w:r w:rsidRPr="00650921">
        <w:rPr>
          <w:lang w:val="en-US"/>
        </w:rPr>
        <w:t>2.4</w:t>
      </w:r>
      <w:r w:rsidRPr="00650921">
        <w:rPr>
          <w:lang w:val="en-US"/>
        </w:rPr>
        <w:tab/>
      </w:r>
      <w:r w:rsidR="00A2492D" w:rsidRPr="00A2492D">
        <w:rPr>
          <w:lang w:val="en-US"/>
        </w:rPr>
        <w:t xml:space="preserve">On 25 December 2008, the author was hospitalized at the Cardiology Institute with ischemic cardiac disease, progressive </w:t>
      </w:r>
      <w:proofErr w:type="spellStart"/>
      <w:r w:rsidR="00A2492D" w:rsidRPr="00A2492D">
        <w:rPr>
          <w:lang w:val="en-US"/>
        </w:rPr>
        <w:t>stenocardia</w:t>
      </w:r>
      <w:proofErr w:type="spellEnd"/>
      <w:r w:rsidR="00A2492D" w:rsidRPr="00A2492D">
        <w:rPr>
          <w:lang w:val="en-US"/>
        </w:rPr>
        <w:t xml:space="preserve">, </w:t>
      </w:r>
      <w:proofErr w:type="gramStart"/>
      <w:r w:rsidR="00E52AE3">
        <w:rPr>
          <w:lang w:val="en-US"/>
        </w:rPr>
        <w:t>third</w:t>
      </w:r>
      <w:proofErr w:type="gramEnd"/>
      <w:r w:rsidR="00E52AE3">
        <w:rPr>
          <w:lang w:val="en-US"/>
        </w:rPr>
        <w:t xml:space="preserve"> </w:t>
      </w:r>
      <w:r w:rsidR="00A2492D" w:rsidRPr="00A2492D">
        <w:rPr>
          <w:lang w:val="en-US"/>
        </w:rPr>
        <w:t xml:space="preserve">degree hypertension and diabetes myelitis. While in hospital, the author </w:t>
      </w:r>
      <w:r w:rsidR="002A1918">
        <w:rPr>
          <w:lang w:val="en-US"/>
        </w:rPr>
        <w:t>granted his wife a</w:t>
      </w:r>
      <w:r w:rsidR="00A2492D" w:rsidRPr="00A2492D">
        <w:rPr>
          <w:lang w:val="en-US"/>
        </w:rPr>
        <w:t xml:space="preserve"> power of attorney valid for three years, to </w:t>
      </w:r>
      <w:r w:rsidR="00A2492D" w:rsidRPr="00675A40">
        <w:t>represent</w:t>
      </w:r>
      <w:r w:rsidR="00A2492D" w:rsidRPr="00A2492D">
        <w:rPr>
          <w:lang w:val="en-US"/>
        </w:rPr>
        <w:t xml:space="preserve"> his interests in any civil </w:t>
      </w:r>
      <w:r w:rsidR="00923A0E">
        <w:rPr>
          <w:lang w:val="en-US"/>
        </w:rPr>
        <w:t>or</w:t>
      </w:r>
      <w:r w:rsidR="00A2492D" w:rsidRPr="00A2492D">
        <w:rPr>
          <w:lang w:val="en-US"/>
        </w:rPr>
        <w:t xml:space="preserve"> criminal matter. On 6</w:t>
      </w:r>
      <w:r w:rsidR="00EA727E">
        <w:rPr>
          <w:lang w:val="en-US"/>
        </w:rPr>
        <w:t> </w:t>
      </w:r>
      <w:r w:rsidR="00A2492D" w:rsidRPr="00A2492D">
        <w:rPr>
          <w:lang w:val="en-US"/>
        </w:rPr>
        <w:t xml:space="preserve">January 2009, </w:t>
      </w:r>
      <w:proofErr w:type="gramStart"/>
      <w:r w:rsidR="00A2492D" w:rsidRPr="00A2492D">
        <w:rPr>
          <w:lang w:val="en-US"/>
        </w:rPr>
        <w:t xml:space="preserve">the author’s medical treatment </w:t>
      </w:r>
      <w:r w:rsidR="004B5352">
        <w:rPr>
          <w:lang w:val="en-US"/>
        </w:rPr>
        <w:t xml:space="preserve">was </w:t>
      </w:r>
      <w:r w:rsidR="00A2492D" w:rsidRPr="00A2492D">
        <w:rPr>
          <w:lang w:val="en-US"/>
        </w:rPr>
        <w:t xml:space="preserve">interrupted by officers of the </w:t>
      </w:r>
      <w:r w:rsidR="000971ED">
        <w:rPr>
          <w:lang w:val="en-US"/>
        </w:rPr>
        <w:t>National Security Committee,</w:t>
      </w:r>
      <w:r w:rsidR="000971ED" w:rsidRPr="00A2492D">
        <w:rPr>
          <w:lang w:val="en-US"/>
        </w:rPr>
        <w:t xml:space="preserve"> </w:t>
      </w:r>
      <w:r w:rsidR="00A2492D" w:rsidRPr="00A2492D">
        <w:rPr>
          <w:lang w:val="en-US"/>
        </w:rPr>
        <w:t>who arrested him without providing any reasons for the arrest</w:t>
      </w:r>
      <w:proofErr w:type="gramEnd"/>
      <w:r w:rsidR="00A2492D" w:rsidRPr="00A2492D">
        <w:rPr>
          <w:lang w:val="en-US"/>
        </w:rPr>
        <w:t xml:space="preserve">. They referred </w:t>
      </w:r>
      <w:r w:rsidR="000971ED" w:rsidRPr="00A2492D">
        <w:rPr>
          <w:lang w:val="en-US"/>
        </w:rPr>
        <w:t xml:space="preserve">only </w:t>
      </w:r>
      <w:r w:rsidR="00A2492D" w:rsidRPr="00A2492D">
        <w:rPr>
          <w:lang w:val="en-US"/>
        </w:rPr>
        <w:t xml:space="preserve">to a </w:t>
      </w:r>
      <w:r w:rsidR="000971ED">
        <w:rPr>
          <w:lang w:val="en-US"/>
        </w:rPr>
        <w:t>verbal</w:t>
      </w:r>
      <w:r w:rsidR="00A2492D" w:rsidRPr="00A2492D">
        <w:rPr>
          <w:lang w:val="en-US"/>
        </w:rPr>
        <w:t xml:space="preserve"> instruction </w:t>
      </w:r>
      <w:r w:rsidR="000971ED">
        <w:rPr>
          <w:lang w:val="en-US"/>
        </w:rPr>
        <w:t>from</w:t>
      </w:r>
      <w:r w:rsidR="00A2492D" w:rsidRPr="00A2492D">
        <w:rPr>
          <w:lang w:val="en-US"/>
        </w:rPr>
        <w:t xml:space="preserve"> the </w:t>
      </w:r>
      <w:r w:rsidR="000971ED">
        <w:rPr>
          <w:lang w:val="en-US"/>
        </w:rPr>
        <w:t>National Security Committee</w:t>
      </w:r>
      <w:r w:rsidR="000971ED" w:rsidRPr="00A2492D" w:rsidDel="000971ED">
        <w:rPr>
          <w:lang w:val="en-US"/>
        </w:rPr>
        <w:t xml:space="preserve"> </w:t>
      </w:r>
      <w:r w:rsidR="00A2492D" w:rsidRPr="00A2492D">
        <w:rPr>
          <w:lang w:val="en-US"/>
        </w:rPr>
        <w:t xml:space="preserve">of </w:t>
      </w:r>
      <w:proofErr w:type="spellStart"/>
      <w:r w:rsidR="00A2492D" w:rsidRPr="00A2492D">
        <w:rPr>
          <w:lang w:val="en-US"/>
        </w:rPr>
        <w:t>Z</w:t>
      </w:r>
      <w:r w:rsidR="00AC62EF">
        <w:rPr>
          <w:lang w:val="en-US"/>
        </w:rPr>
        <w:t>h</w:t>
      </w:r>
      <w:r w:rsidR="00A2492D" w:rsidRPr="00A2492D">
        <w:rPr>
          <w:lang w:val="en-US"/>
        </w:rPr>
        <w:t>ambyl</w:t>
      </w:r>
      <w:proofErr w:type="spellEnd"/>
      <w:r w:rsidR="00A2492D" w:rsidRPr="00A2492D">
        <w:rPr>
          <w:lang w:val="en-US"/>
        </w:rPr>
        <w:t xml:space="preserve"> </w:t>
      </w:r>
      <w:r w:rsidR="000971ED">
        <w:rPr>
          <w:lang w:val="en-US"/>
        </w:rPr>
        <w:t>R</w:t>
      </w:r>
      <w:r w:rsidR="00A2492D" w:rsidRPr="00A2492D">
        <w:rPr>
          <w:lang w:val="en-US"/>
        </w:rPr>
        <w:t xml:space="preserve">egion to arrest </w:t>
      </w:r>
      <w:r w:rsidR="000971ED">
        <w:rPr>
          <w:lang w:val="en-US"/>
        </w:rPr>
        <w:t xml:space="preserve">the author </w:t>
      </w:r>
      <w:r w:rsidR="00A2492D" w:rsidRPr="00A2492D">
        <w:rPr>
          <w:lang w:val="en-US"/>
        </w:rPr>
        <w:t xml:space="preserve">and deliver him to </w:t>
      </w:r>
      <w:proofErr w:type="spellStart"/>
      <w:r w:rsidR="00A2492D" w:rsidRPr="00A2492D">
        <w:rPr>
          <w:lang w:val="en-US"/>
        </w:rPr>
        <w:t>Taraz</w:t>
      </w:r>
      <w:proofErr w:type="spellEnd"/>
      <w:r w:rsidR="00A2492D" w:rsidRPr="00A2492D">
        <w:rPr>
          <w:lang w:val="en-US"/>
        </w:rPr>
        <w:t xml:space="preserve">. In the course of the eight-hour journey to </w:t>
      </w:r>
      <w:proofErr w:type="spellStart"/>
      <w:r w:rsidR="00A2492D" w:rsidRPr="00A2492D">
        <w:rPr>
          <w:lang w:val="en-US"/>
        </w:rPr>
        <w:t>Taraz</w:t>
      </w:r>
      <w:proofErr w:type="spellEnd"/>
      <w:r w:rsidR="000971ED">
        <w:rPr>
          <w:lang w:val="en-US"/>
        </w:rPr>
        <w:t xml:space="preserve">, </w:t>
      </w:r>
      <w:r w:rsidR="00A2492D" w:rsidRPr="00A2492D">
        <w:rPr>
          <w:lang w:val="en-US"/>
        </w:rPr>
        <w:t xml:space="preserve">the author </w:t>
      </w:r>
      <w:proofErr w:type="gramStart"/>
      <w:r w:rsidR="00A2492D" w:rsidRPr="00A2492D">
        <w:rPr>
          <w:lang w:val="en-US"/>
        </w:rPr>
        <w:t>was handcuffed</w:t>
      </w:r>
      <w:proofErr w:type="gramEnd"/>
      <w:r w:rsidR="00A2492D" w:rsidRPr="00A2492D">
        <w:rPr>
          <w:lang w:val="en-US"/>
        </w:rPr>
        <w:t xml:space="preserve">, despite </w:t>
      </w:r>
      <w:r w:rsidR="003432EC">
        <w:rPr>
          <w:lang w:val="en-US"/>
        </w:rPr>
        <w:t>his</w:t>
      </w:r>
      <w:r w:rsidR="00A2492D" w:rsidRPr="00A2492D">
        <w:rPr>
          <w:lang w:val="en-US"/>
        </w:rPr>
        <w:t xml:space="preserve"> physical condition</w:t>
      </w:r>
      <w:r w:rsidR="002A1918">
        <w:rPr>
          <w:lang w:val="en-US"/>
        </w:rPr>
        <w:t>.</w:t>
      </w:r>
      <w:r w:rsidR="00A2492D" w:rsidRPr="00A2492D">
        <w:rPr>
          <w:lang w:val="en-US"/>
        </w:rPr>
        <w:t xml:space="preserve"> Upon arrival, he </w:t>
      </w:r>
      <w:proofErr w:type="gramStart"/>
      <w:r w:rsidR="00A2492D" w:rsidRPr="00A2492D">
        <w:rPr>
          <w:lang w:val="en-US"/>
        </w:rPr>
        <w:t>was placed</w:t>
      </w:r>
      <w:proofErr w:type="gramEnd"/>
      <w:r w:rsidR="00A2492D" w:rsidRPr="00A2492D">
        <w:rPr>
          <w:lang w:val="en-US"/>
        </w:rPr>
        <w:t xml:space="preserve"> in the temporary detention facility of </w:t>
      </w:r>
      <w:proofErr w:type="spellStart"/>
      <w:r w:rsidR="00A2492D" w:rsidRPr="00A2492D">
        <w:rPr>
          <w:lang w:val="en-US"/>
        </w:rPr>
        <w:t>Z</w:t>
      </w:r>
      <w:r w:rsidR="00AC62EF">
        <w:rPr>
          <w:lang w:val="en-US"/>
        </w:rPr>
        <w:t>h</w:t>
      </w:r>
      <w:r w:rsidR="00A2492D" w:rsidRPr="00A2492D">
        <w:rPr>
          <w:lang w:val="en-US"/>
        </w:rPr>
        <w:t>ambyl</w:t>
      </w:r>
      <w:proofErr w:type="spellEnd"/>
      <w:r w:rsidR="00A2492D" w:rsidRPr="00A2492D">
        <w:rPr>
          <w:lang w:val="en-US"/>
        </w:rPr>
        <w:t xml:space="preserve"> </w:t>
      </w:r>
      <w:r w:rsidR="00B74E29">
        <w:rPr>
          <w:lang w:val="en-US"/>
        </w:rPr>
        <w:t>R</w:t>
      </w:r>
      <w:r w:rsidR="00A2492D" w:rsidRPr="00A2492D">
        <w:rPr>
          <w:lang w:val="en-US"/>
        </w:rPr>
        <w:t xml:space="preserve">egion where, because of the low temperature in the cell, he fell ill with bronchitis. On 9 January 2009, </w:t>
      </w:r>
      <w:proofErr w:type="gramStart"/>
      <w:r w:rsidR="00A2492D" w:rsidRPr="00A2492D">
        <w:rPr>
          <w:lang w:val="en-US"/>
        </w:rPr>
        <w:t>his</w:t>
      </w:r>
      <w:r w:rsidR="00161EEA">
        <w:rPr>
          <w:lang w:val="en-US"/>
        </w:rPr>
        <w:t xml:space="preserve"> detention</w:t>
      </w:r>
      <w:r w:rsidR="00A2492D" w:rsidRPr="00A2492D">
        <w:rPr>
          <w:lang w:val="en-US"/>
        </w:rPr>
        <w:t xml:space="preserve"> was authorized by Court No. 2 of </w:t>
      </w:r>
      <w:proofErr w:type="spellStart"/>
      <w:r w:rsidR="00A2492D" w:rsidRPr="00A2492D">
        <w:rPr>
          <w:lang w:val="en-US"/>
        </w:rPr>
        <w:t>Taraz</w:t>
      </w:r>
      <w:proofErr w:type="spellEnd"/>
      <w:proofErr w:type="gramEnd"/>
      <w:r w:rsidR="00A2492D" w:rsidRPr="00A2492D">
        <w:rPr>
          <w:lang w:val="en-US"/>
        </w:rPr>
        <w:t xml:space="preserve">. It was only </w:t>
      </w:r>
      <w:r w:rsidR="002A1918">
        <w:rPr>
          <w:lang w:val="en-US"/>
        </w:rPr>
        <w:t>during the</w:t>
      </w:r>
      <w:r w:rsidR="00A2492D" w:rsidRPr="00A2492D">
        <w:rPr>
          <w:lang w:val="en-US"/>
        </w:rPr>
        <w:t xml:space="preserve"> court hearing that the author learned about the charges</w:t>
      </w:r>
      <w:r w:rsidR="00B74E29">
        <w:rPr>
          <w:lang w:val="en-US"/>
        </w:rPr>
        <w:t xml:space="preserve"> brought by the National Security Committee</w:t>
      </w:r>
      <w:r w:rsidR="00A2492D" w:rsidRPr="00A2492D">
        <w:rPr>
          <w:lang w:val="en-US"/>
        </w:rPr>
        <w:t xml:space="preserve"> against him and that his status of witness had been changed to suspect for </w:t>
      </w:r>
      <w:r w:rsidR="00E77257">
        <w:rPr>
          <w:lang w:val="en-US"/>
        </w:rPr>
        <w:t xml:space="preserve">the </w:t>
      </w:r>
      <w:r w:rsidR="00A2492D" w:rsidRPr="00A2492D">
        <w:rPr>
          <w:lang w:val="en-US"/>
        </w:rPr>
        <w:t xml:space="preserve">commission of crimes </w:t>
      </w:r>
      <w:r w:rsidR="00F31F11">
        <w:rPr>
          <w:lang w:val="en-US"/>
        </w:rPr>
        <w:t>falling</w:t>
      </w:r>
      <w:r w:rsidR="00F31F11" w:rsidRPr="00A2492D">
        <w:rPr>
          <w:lang w:val="en-US"/>
        </w:rPr>
        <w:t xml:space="preserve"> </w:t>
      </w:r>
      <w:r w:rsidR="00F31F11">
        <w:rPr>
          <w:lang w:val="en-US"/>
        </w:rPr>
        <w:t>under</w:t>
      </w:r>
      <w:r w:rsidR="00A2492D" w:rsidRPr="00A2492D">
        <w:rPr>
          <w:lang w:val="en-US"/>
        </w:rPr>
        <w:t xml:space="preserve"> art</w:t>
      </w:r>
      <w:r w:rsidR="00AC62EF">
        <w:rPr>
          <w:lang w:val="en-US"/>
        </w:rPr>
        <w:t>icles</w:t>
      </w:r>
      <w:r w:rsidR="00A2492D" w:rsidRPr="00A2492D">
        <w:rPr>
          <w:lang w:val="en-US"/>
        </w:rPr>
        <w:t xml:space="preserve"> 172</w:t>
      </w:r>
      <w:r w:rsidR="00F31F11">
        <w:rPr>
          <w:lang w:val="en-US"/>
        </w:rPr>
        <w:t> </w:t>
      </w:r>
      <w:r w:rsidR="00AC62EF">
        <w:rPr>
          <w:lang w:val="en-US"/>
        </w:rPr>
        <w:t>(</w:t>
      </w:r>
      <w:r w:rsidR="00A2492D" w:rsidRPr="00A2492D">
        <w:rPr>
          <w:lang w:val="en-US"/>
        </w:rPr>
        <w:t>3</w:t>
      </w:r>
      <w:r w:rsidR="00AC62EF">
        <w:rPr>
          <w:lang w:val="en-US"/>
        </w:rPr>
        <w:t>)</w:t>
      </w:r>
      <w:r w:rsidR="00A2492D" w:rsidRPr="00A2492D">
        <w:rPr>
          <w:lang w:val="en-US"/>
        </w:rPr>
        <w:t xml:space="preserve"> and 228 of the Criminal Code. Subsequently, the </w:t>
      </w:r>
      <w:r w:rsidR="00F31F11">
        <w:rPr>
          <w:lang w:val="en-US"/>
        </w:rPr>
        <w:t>articles</w:t>
      </w:r>
      <w:r w:rsidR="00E77257">
        <w:rPr>
          <w:lang w:val="en-US"/>
        </w:rPr>
        <w:t xml:space="preserve"> </w:t>
      </w:r>
      <w:r w:rsidR="00F31F11">
        <w:rPr>
          <w:lang w:val="en-US"/>
        </w:rPr>
        <w:t xml:space="preserve">cited </w:t>
      </w:r>
      <w:r w:rsidR="00E77257">
        <w:rPr>
          <w:lang w:val="en-US"/>
        </w:rPr>
        <w:t xml:space="preserve">were </w:t>
      </w:r>
      <w:r w:rsidR="00F31F11">
        <w:rPr>
          <w:lang w:val="en-US"/>
        </w:rPr>
        <w:t>changed, with charges being brought under</w:t>
      </w:r>
      <w:r w:rsidR="00A2492D" w:rsidRPr="00A2492D">
        <w:rPr>
          <w:lang w:val="en-US"/>
        </w:rPr>
        <w:t xml:space="preserve"> art</w:t>
      </w:r>
      <w:r w:rsidR="00AC62EF">
        <w:rPr>
          <w:lang w:val="en-US"/>
        </w:rPr>
        <w:t>icles</w:t>
      </w:r>
      <w:r w:rsidR="00A2492D" w:rsidRPr="00A2492D">
        <w:rPr>
          <w:lang w:val="en-US"/>
        </w:rPr>
        <w:t xml:space="preserve"> 172</w:t>
      </w:r>
      <w:r w:rsidR="00F31F11">
        <w:rPr>
          <w:lang w:val="en-US"/>
        </w:rPr>
        <w:t> </w:t>
      </w:r>
      <w:r w:rsidR="00AC62EF">
        <w:rPr>
          <w:lang w:val="en-US"/>
        </w:rPr>
        <w:t>(</w:t>
      </w:r>
      <w:r w:rsidR="00A2492D" w:rsidRPr="00A2492D">
        <w:rPr>
          <w:lang w:val="en-US"/>
        </w:rPr>
        <w:t>4</w:t>
      </w:r>
      <w:r w:rsidR="00AC62EF">
        <w:rPr>
          <w:lang w:val="en-US"/>
        </w:rPr>
        <w:t>)</w:t>
      </w:r>
      <w:r w:rsidR="00A2492D" w:rsidRPr="00A2492D">
        <w:rPr>
          <w:lang w:val="en-US"/>
        </w:rPr>
        <w:t>, 228 and 339</w:t>
      </w:r>
      <w:r w:rsidR="00F31F11">
        <w:rPr>
          <w:lang w:val="en-US"/>
        </w:rPr>
        <w:t> </w:t>
      </w:r>
      <w:r w:rsidR="00AC62EF">
        <w:rPr>
          <w:lang w:val="en-US"/>
        </w:rPr>
        <w:t>(</w:t>
      </w:r>
      <w:r w:rsidR="00A2492D" w:rsidRPr="00A2492D">
        <w:rPr>
          <w:lang w:val="en-US"/>
        </w:rPr>
        <w:t>2</w:t>
      </w:r>
      <w:r w:rsidR="00AC62EF">
        <w:rPr>
          <w:lang w:val="en-US"/>
        </w:rPr>
        <w:t>)</w:t>
      </w:r>
      <w:r w:rsidR="00A2492D" w:rsidRPr="00A2492D">
        <w:rPr>
          <w:lang w:val="en-US"/>
        </w:rPr>
        <w:t xml:space="preserve"> of the Criminal Code. The author claims that he</w:t>
      </w:r>
      <w:r w:rsidR="003432EC">
        <w:rPr>
          <w:lang w:val="en-US"/>
        </w:rPr>
        <w:t xml:space="preserve"> </w:t>
      </w:r>
      <w:r w:rsidR="00A2492D" w:rsidRPr="00A2492D">
        <w:rPr>
          <w:lang w:val="en-US"/>
        </w:rPr>
        <w:t xml:space="preserve">never received any court </w:t>
      </w:r>
      <w:r w:rsidR="006E7384">
        <w:rPr>
          <w:lang w:val="en-US"/>
        </w:rPr>
        <w:t>document</w:t>
      </w:r>
      <w:r w:rsidR="00A2492D" w:rsidRPr="00A2492D">
        <w:rPr>
          <w:lang w:val="en-US"/>
        </w:rPr>
        <w:t xml:space="preserve"> pertaining </w:t>
      </w:r>
      <w:r w:rsidR="00F31F11">
        <w:rPr>
          <w:lang w:val="en-US"/>
        </w:rPr>
        <w:t xml:space="preserve">to </w:t>
      </w:r>
      <w:r w:rsidR="006E7384">
        <w:rPr>
          <w:lang w:val="en-US"/>
        </w:rPr>
        <w:t xml:space="preserve">his </w:t>
      </w:r>
      <w:r w:rsidR="00161EEA">
        <w:rPr>
          <w:lang w:val="en-US"/>
        </w:rPr>
        <w:t>detention</w:t>
      </w:r>
      <w:r w:rsidR="006E7384">
        <w:rPr>
          <w:lang w:val="en-US"/>
        </w:rPr>
        <w:t xml:space="preserve"> </w:t>
      </w:r>
      <w:r w:rsidR="00A2492D" w:rsidRPr="00A2492D">
        <w:rPr>
          <w:lang w:val="en-US"/>
        </w:rPr>
        <w:t>or its subsequent extension</w:t>
      </w:r>
      <w:r w:rsidR="00675A40">
        <w:rPr>
          <w:lang w:val="en-US"/>
        </w:rPr>
        <w:t>.</w:t>
      </w:r>
    </w:p>
    <w:p w14:paraId="23468D79" w14:textId="302A4F6A" w:rsidR="00650921" w:rsidRPr="00650921" w:rsidRDefault="00650921" w:rsidP="00923A0E">
      <w:pPr>
        <w:pStyle w:val="SingleTxtG"/>
        <w:rPr>
          <w:lang w:val="en-US"/>
        </w:rPr>
      </w:pPr>
      <w:r w:rsidRPr="00650921">
        <w:rPr>
          <w:lang w:val="en-US"/>
        </w:rPr>
        <w:t>2.5</w:t>
      </w:r>
      <w:r w:rsidRPr="00650921">
        <w:rPr>
          <w:lang w:val="en-US"/>
        </w:rPr>
        <w:tab/>
        <w:t xml:space="preserve">On 15 January 2009, the author’s wife was informed by </w:t>
      </w:r>
      <w:r w:rsidR="00923A0E">
        <w:rPr>
          <w:lang w:val="en-US"/>
        </w:rPr>
        <w:t>an</w:t>
      </w:r>
      <w:r w:rsidR="00923A0E" w:rsidRPr="00650921">
        <w:rPr>
          <w:lang w:val="en-US"/>
        </w:rPr>
        <w:t xml:space="preserve"> </w:t>
      </w:r>
      <w:r w:rsidRPr="00650921">
        <w:rPr>
          <w:lang w:val="en-US"/>
        </w:rPr>
        <w:t xml:space="preserve">investigator of the </w:t>
      </w:r>
      <w:r w:rsidR="00F31F11">
        <w:rPr>
          <w:lang w:val="en-US"/>
        </w:rPr>
        <w:t>National Security Committee</w:t>
      </w:r>
      <w:r w:rsidR="00F31F11" w:rsidRPr="00650921">
        <w:rPr>
          <w:lang w:val="en-US"/>
        </w:rPr>
        <w:t xml:space="preserve"> </w:t>
      </w:r>
      <w:r w:rsidRPr="00650921">
        <w:rPr>
          <w:lang w:val="en-US"/>
        </w:rPr>
        <w:t xml:space="preserve">of </w:t>
      </w:r>
      <w:proofErr w:type="spellStart"/>
      <w:r w:rsidRPr="00650921">
        <w:rPr>
          <w:lang w:val="en-US"/>
        </w:rPr>
        <w:t>Z</w:t>
      </w:r>
      <w:r w:rsidR="00AC62EF">
        <w:rPr>
          <w:lang w:val="en-US"/>
        </w:rPr>
        <w:t>h</w:t>
      </w:r>
      <w:r w:rsidRPr="00650921">
        <w:rPr>
          <w:lang w:val="en-US"/>
        </w:rPr>
        <w:t>ambyl</w:t>
      </w:r>
      <w:proofErr w:type="spellEnd"/>
      <w:r w:rsidRPr="00650921">
        <w:rPr>
          <w:lang w:val="en-US"/>
        </w:rPr>
        <w:t xml:space="preserve"> </w:t>
      </w:r>
      <w:r w:rsidR="00F31F11">
        <w:rPr>
          <w:lang w:val="en-US"/>
        </w:rPr>
        <w:t>R</w:t>
      </w:r>
      <w:r w:rsidRPr="00650921">
        <w:rPr>
          <w:lang w:val="en-US"/>
        </w:rPr>
        <w:t xml:space="preserve">egion that she </w:t>
      </w:r>
      <w:proofErr w:type="gramStart"/>
      <w:r w:rsidRPr="00650921">
        <w:rPr>
          <w:lang w:val="en-US"/>
        </w:rPr>
        <w:t>could be recognized</w:t>
      </w:r>
      <w:proofErr w:type="gramEnd"/>
      <w:r w:rsidRPr="00650921">
        <w:rPr>
          <w:lang w:val="en-US"/>
        </w:rPr>
        <w:t xml:space="preserve"> as her husband’s </w:t>
      </w:r>
      <w:r w:rsidR="003432EC">
        <w:rPr>
          <w:lang w:val="en-US"/>
        </w:rPr>
        <w:t>legal re</w:t>
      </w:r>
      <w:r w:rsidR="00E87C4C">
        <w:rPr>
          <w:lang w:val="en-US"/>
        </w:rPr>
        <w:t>presentative</w:t>
      </w:r>
      <w:r w:rsidRPr="00650921">
        <w:rPr>
          <w:lang w:val="en-US"/>
        </w:rPr>
        <w:t xml:space="preserve"> only if she had </w:t>
      </w:r>
      <w:r w:rsidR="00161EEA">
        <w:rPr>
          <w:lang w:val="en-US"/>
        </w:rPr>
        <w:t>security clearance</w:t>
      </w:r>
      <w:r w:rsidR="00AC62EF">
        <w:rPr>
          <w:lang w:val="en-US"/>
        </w:rPr>
        <w:t xml:space="preserve"> to </w:t>
      </w:r>
      <w:r w:rsidRPr="00650921">
        <w:rPr>
          <w:lang w:val="en-US"/>
        </w:rPr>
        <w:t>access material</w:t>
      </w:r>
      <w:r w:rsidR="00F31F11">
        <w:rPr>
          <w:lang w:val="en-US"/>
        </w:rPr>
        <w:t xml:space="preserve"> classified as secret</w:t>
      </w:r>
      <w:r w:rsidRPr="00650921">
        <w:rPr>
          <w:lang w:val="en-US"/>
        </w:rPr>
        <w:t xml:space="preserve">. </w:t>
      </w:r>
      <w:r w:rsidR="00AC62EF">
        <w:rPr>
          <w:lang w:val="en-US"/>
        </w:rPr>
        <w:t xml:space="preserve">An appeal against that </w:t>
      </w:r>
      <w:r w:rsidRPr="00650921">
        <w:rPr>
          <w:lang w:val="en-US"/>
        </w:rPr>
        <w:t xml:space="preserve">decision </w:t>
      </w:r>
      <w:proofErr w:type="gramStart"/>
      <w:r w:rsidRPr="00650921">
        <w:rPr>
          <w:lang w:val="en-US"/>
        </w:rPr>
        <w:t xml:space="preserve">was </w:t>
      </w:r>
      <w:r w:rsidR="00AC62EF">
        <w:rPr>
          <w:lang w:val="en-US"/>
        </w:rPr>
        <w:t>filed</w:t>
      </w:r>
      <w:r w:rsidRPr="00650921">
        <w:rPr>
          <w:lang w:val="en-US"/>
        </w:rPr>
        <w:t xml:space="preserve"> </w:t>
      </w:r>
      <w:r w:rsidR="006E7384">
        <w:rPr>
          <w:lang w:val="en-US"/>
        </w:rPr>
        <w:t>with</w:t>
      </w:r>
      <w:r w:rsidRPr="00650921">
        <w:rPr>
          <w:lang w:val="en-US"/>
        </w:rPr>
        <w:t xml:space="preserve"> the Prosecutor’s Office of </w:t>
      </w:r>
      <w:proofErr w:type="spellStart"/>
      <w:r w:rsidRPr="00650921">
        <w:rPr>
          <w:lang w:val="en-US"/>
        </w:rPr>
        <w:t>Z</w:t>
      </w:r>
      <w:r w:rsidR="00F31F11">
        <w:rPr>
          <w:lang w:val="en-US"/>
        </w:rPr>
        <w:t>h</w:t>
      </w:r>
      <w:r w:rsidRPr="00650921">
        <w:rPr>
          <w:lang w:val="en-US"/>
        </w:rPr>
        <w:t>ambyl</w:t>
      </w:r>
      <w:proofErr w:type="spellEnd"/>
      <w:r w:rsidRPr="00650921">
        <w:rPr>
          <w:lang w:val="en-US"/>
        </w:rPr>
        <w:t xml:space="preserve"> </w:t>
      </w:r>
      <w:r w:rsidR="00F31F11">
        <w:rPr>
          <w:lang w:val="en-US"/>
        </w:rPr>
        <w:t>R</w:t>
      </w:r>
      <w:r w:rsidRPr="00650921">
        <w:rPr>
          <w:lang w:val="en-US"/>
        </w:rPr>
        <w:t>egion on 22 January 2009 and rejected on 16 March 2009</w:t>
      </w:r>
      <w:proofErr w:type="gramEnd"/>
      <w:r w:rsidRPr="00650921">
        <w:rPr>
          <w:lang w:val="en-US"/>
        </w:rPr>
        <w:t>.</w:t>
      </w:r>
    </w:p>
    <w:p w14:paraId="64AE2A01" w14:textId="17B0B61D" w:rsidR="00650921" w:rsidRPr="00650921" w:rsidRDefault="00650921" w:rsidP="00650921">
      <w:pPr>
        <w:pStyle w:val="SingleTxtG"/>
        <w:rPr>
          <w:lang w:val="en-US"/>
        </w:rPr>
      </w:pPr>
      <w:r w:rsidRPr="00650921">
        <w:rPr>
          <w:lang w:val="en-US"/>
        </w:rPr>
        <w:t>2.6</w:t>
      </w:r>
      <w:r w:rsidRPr="00650921">
        <w:rPr>
          <w:lang w:val="en-US"/>
        </w:rPr>
        <w:tab/>
        <w:t xml:space="preserve">The author </w:t>
      </w:r>
      <w:r w:rsidR="00BC1B65">
        <w:rPr>
          <w:lang w:val="en-US"/>
        </w:rPr>
        <w:t>submits that</w:t>
      </w:r>
      <w:r w:rsidRPr="00650921">
        <w:rPr>
          <w:lang w:val="en-US"/>
        </w:rPr>
        <w:t xml:space="preserve"> </w:t>
      </w:r>
      <w:r w:rsidR="00BC1B65">
        <w:rPr>
          <w:lang w:val="en-US"/>
        </w:rPr>
        <w:t xml:space="preserve">given the interest of </w:t>
      </w:r>
      <w:r w:rsidRPr="00650921">
        <w:rPr>
          <w:lang w:val="en-US"/>
        </w:rPr>
        <w:t xml:space="preserve">the </w:t>
      </w:r>
      <w:r w:rsidR="00F31F11">
        <w:rPr>
          <w:lang w:val="en-US"/>
        </w:rPr>
        <w:t>National Security Committee</w:t>
      </w:r>
      <w:r w:rsidR="00F31F11" w:rsidRPr="00650921">
        <w:rPr>
          <w:lang w:val="en-US"/>
        </w:rPr>
        <w:t xml:space="preserve"> </w:t>
      </w:r>
      <w:r w:rsidRPr="00650921">
        <w:rPr>
          <w:lang w:val="en-US"/>
        </w:rPr>
        <w:t xml:space="preserve">of </w:t>
      </w:r>
      <w:proofErr w:type="spellStart"/>
      <w:r w:rsidRPr="00650921">
        <w:rPr>
          <w:lang w:val="en-US"/>
        </w:rPr>
        <w:t>Z</w:t>
      </w:r>
      <w:r w:rsidR="00AC62EF">
        <w:rPr>
          <w:lang w:val="en-US"/>
        </w:rPr>
        <w:t>h</w:t>
      </w:r>
      <w:r w:rsidRPr="00650921">
        <w:rPr>
          <w:lang w:val="en-US"/>
        </w:rPr>
        <w:t>ambyl</w:t>
      </w:r>
      <w:proofErr w:type="spellEnd"/>
      <w:r w:rsidRPr="00650921">
        <w:rPr>
          <w:lang w:val="en-US"/>
        </w:rPr>
        <w:t xml:space="preserve"> </w:t>
      </w:r>
      <w:r w:rsidR="00F31F11">
        <w:rPr>
          <w:lang w:val="en-US"/>
        </w:rPr>
        <w:t>R</w:t>
      </w:r>
      <w:r w:rsidRPr="00650921">
        <w:rPr>
          <w:lang w:val="en-US"/>
        </w:rPr>
        <w:t>egion</w:t>
      </w:r>
      <w:r w:rsidR="00BC1B65">
        <w:rPr>
          <w:lang w:val="en-US"/>
        </w:rPr>
        <w:t xml:space="preserve"> in the outcome of the case</w:t>
      </w:r>
      <w:r w:rsidRPr="00650921">
        <w:rPr>
          <w:lang w:val="en-US"/>
        </w:rPr>
        <w:t xml:space="preserve">, </w:t>
      </w:r>
      <w:r w:rsidR="00BC1B65">
        <w:rPr>
          <w:lang w:val="en-US"/>
        </w:rPr>
        <w:t xml:space="preserve">its investigators could not ensure an objective and impartial </w:t>
      </w:r>
      <w:r w:rsidRPr="00650921">
        <w:rPr>
          <w:lang w:val="en-US"/>
        </w:rPr>
        <w:t xml:space="preserve">criminal investigation. Therefore, on 2 February 2009, the author submitted a request to Court No. 2 of </w:t>
      </w:r>
      <w:proofErr w:type="spellStart"/>
      <w:r w:rsidRPr="00650921">
        <w:rPr>
          <w:lang w:val="en-US"/>
        </w:rPr>
        <w:t>Taraz</w:t>
      </w:r>
      <w:proofErr w:type="spellEnd"/>
      <w:r w:rsidRPr="00650921">
        <w:rPr>
          <w:lang w:val="en-US"/>
        </w:rPr>
        <w:t xml:space="preserve"> to delegate the criminal investigation to other bodies, </w:t>
      </w:r>
      <w:r w:rsidR="000A5BDC">
        <w:rPr>
          <w:lang w:val="en-US"/>
        </w:rPr>
        <w:t>claiming</w:t>
      </w:r>
      <w:r w:rsidRPr="00650921">
        <w:rPr>
          <w:lang w:val="en-US"/>
        </w:rPr>
        <w:t xml:space="preserve"> a violation of </w:t>
      </w:r>
      <w:r w:rsidR="00722614">
        <w:rPr>
          <w:lang w:val="en-US"/>
        </w:rPr>
        <w:t>criminal process principles</w:t>
      </w:r>
      <w:r w:rsidRPr="00650921">
        <w:rPr>
          <w:lang w:val="en-US"/>
        </w:rPr>
        <w:t xml:space="preserve">. He addressed </w:t>
      </w:r>
      <w:r w:rsidR="00722614">
        <w:rPr>
          <w:lang w:val="en-US"/>
        </w:rPr>
        <w:t xml:space="preserve">similar </w:t>
      </w:r>
      <w:r w:rsidRPr="00650921">
        <w:rPr>
          <w:lang w:val="en-US"/>
        </w:rPr>
        <w:t>request</w:t>
      </w:r>
      <w:r w:rsidR="00722614">
        <w:rPr>
          <w:lang w:val="en-US"/>
        </w:rPr>
        <w:t>s</w:t>
      </w:r>
      <w:r w:rsidRPr="00650921">
        <w:rPr>
          <w:lang w:val="en-US"/>
        </w:rPr>
        <w:t xml:space="preserve"> to the General Prosecutor’s Office of Kazakhstan and to the Prosecutor’s Office of </w:t>
      </w:r>
      <w:proofErr w:type="spellStart"/>
      <w:r w:rsidRPr="00650921">
        <w:rPr>
          <w:lang w:val="en-US"/>
        </w:rPr>
        <w:t>Z</w:t>
      </w:r>
      <w:r w:rsidR="00AC62EF">
        <w:rPr>
          <w:lang w:val="en-US"/>
        </w:rPr>
        <w:t>h</w:t>
      </w:r>
      <w:r w:rsidRPr="00650921">
        <w:rPr>
          <w:lang w:val="en-US"/>
        </w:rPr>
        <w:t>ambyl</w:t>
      </w:r>
      <w:proofErr w:type="spellEnd"/>
      <w:r w:rsidRPr="00650921">
        <w:rPr>
          <w:lang w:val="en-US"/>
        </w:rPr>
        <w:t xml:space="preserve"> </w:t>
      </w:r>
      <w:r w:rsidR="00F31F11">
        <w:rPr>
          <w:lang w:val="en-US"/>
        </w:rPr>
        <w:t>R</w:t>
      </w:r>
      <w:r w:rsidRPr="00650921">
        <w:rPr>
          <w:lang w:val="en-US"/>
        </w:rPr>
        <w:t>egion on</w:t>
      </w:r>
      <w:r w:rsidR="00722614">
        <w:rPr>
          <w:lang w:val="en-US"/>
        </w:rPr>
        <w:t xml:space="preserve"> </w:t>
      </w:r>
      <w:proofErr w:type="gramStart"/>
      <w:r w:rsidRPr="00650921">
        <w:rPr>
          <w:lang w:val="en-US"/>
        </w:rPr>
        <w:t>5</w:t>
      </w:r>
      <w:proofErr w:type="gramEnd"/>
      <w:r w:rsidRPr="00650921">
        <w:rPr>
          <w:lang w:val="en-US"/>
        </w:rPr>
        <w:t xml:space="preserve"> and</w:t>
      </w:r>
      <w:r w:rsidR="00E77257">
        <w:rPr>
          <w:lang w:val="en-US"/>
        </w:rPr>
        <w:t xml:space="preserve"> </w:t>
      </w:r>
      <w:r w:rsidRPr="00650921">
        <w:rPr>
          <w:lang w:val="en-US"/>
        </w:rPr>
        <w:t>9 February 2009</w:t>
      </w:r>
      <w:r w:rsidR="00F31F11">
        <w:rPr>
          <w:lang w:val="en-US"/>
        </w:rPr>
        <w:t xml:space="preserve">, </w:t>
      </w:r>
      <w:r w:rsidR="00F31F11" w:rsidRPr="009E7698">
        <w:rPr>
          <w:lang w:val="en-US"/>
        </w:rPr>
        <w:t>respectively</w:t>
      </w:r>
      <w:r w:rsidRPr="009E7698">
        <w:rPr>
          <w:lang w:val="en-US"/>
        </w:rPr>
        <w:t>.</w:t>
      </w:r>
      <w:r w:rsidRPr="00650921">
        <w:rPr>
          <w:lang w:val="en-US"/>
        </w:rPr>
        <w:t xml:space="preserve"> Although the appeals </w:t>
      </w:r>
      <w:proofErr w:type="gramStart"/>
      <w:r w:rsidR="00722614">
        <w:rPr>
          <w:lang w:val="en-US"/>
        </w:rPr>
        <w:t xml:space="preserve">were </w:t>
      </w:r>
      <w:r w:rsidRPr="00650921">
        <w:rPr>
          <w:lang w:val="en-US"/>
        </w:rPr>
        <w:t>forwarded</w:t>
      </w:r>
      <w:proofErr w:type="gramEnd"/>
      <w:r w:rsidRPr="00650921">
        <w:rPr>
          <w:lang w:val="en-US"/>
        </w:rPr>
        <w:t xml:space="preserve"> to Court No. 2 of </w:t>
      </w:r>
      <w:proofErr w:type="spellStart"/>
      <w:r w:rsidRPr="00650921">
        <w:rPr>
          <w:lang w:val="en-US"/>
        </w:rPr>
        <w:t>Taraz</w:t>
      </w:r>
      <w:proofErr w:type="spellEnd"/>
      <w:r w:rsidRPr="00650921">
        <w:rPr>
          <w:lang w:val="en-US"/>
        </w:rPr>
        <w:t xml:space="preserve">, it never considered them. </w:t>
      </w:r>
    </w:p>
    <w:p w14:paraId="088E5A68" w14:textId="2A84D95A" w:rsidR="00650921" w:rsidRPr="00650921" w:rsidRDefault="00650921" w:rsidP="00650921">
      <w:pPr>
        <w:pStyle w:val="SingleTxtG"/>
        <w:rPr>
          <w:lang w:val="en-US"/>
        </w:rPr>
      </w:pPr>
      <w:r w:rsidRPr="00650921">
        <w:rPr>
          <w:lang w:val="en-US"/>
        </w:rPr>
        <w:t>2.7</w:t>
      </w:r>
      <w:r w:rsidRPr="00650921">
        <w:rPr>
          <w:lang w:val="en-US"/>
        </w:rPr>
        <w:tab/>
        <w:t xml:space="preserve">On 3 February 2009, the press officer of the </w:t>
      </w:r>
      <w:r w:rsidR="00F31F11">
        <w:rPr>
          <w:lang w:val="en-US"/>
        </w:rPr>
        <w:t>National Security Committee</w:t>
      </w:r>
      <w:r w:rsidR="00F31F11" w:rsidRPr="00650921">
        <w:rPr>
          <w:lang w:val="en-US"/>
        </w:rPr>
        <w:t xml:space="preserve"> </w:t>
      </w:r>
      <w:r w:rsidR="00F31F11">
        <w:rPr>
          <w:lang w:val="en-US"/>
        </w:rPr>
        <w:t>held</w:t>
      </w:r>
      <w:r w:rsidR="00F31F11" w:rsidRPr="00650921">
        <w:rPr>
          <w:lang w:val="en-US"/>
        </w:rPr>
        <w:t xml:space="preserve"> </w:t>
      </w:r>
      <w:r w:rsidRPr="00650921">
        <w:rPr>
          <w:lang w:val="en-US"/>
        </w:rPr>
        <w:t>a press conference where he presented to journalists a copy of a letter</w:t>
      </w:r>
      <w:r w:rsidR="009C5467">
        <w:rPr>
          <w:lang w:val="en-US"/>
        </w:rPr>
        <w:t>,</w:t>
      </w:r>
      <w:r w:rsidRPr="00650921">
        <w:rPr>
          <w:lang w:val="en-US"/>
        </w:rPr>
        <w:t xml:space="preserve"> </w:t>
      </w:r>
      <w:r w:rsidR="009C5467">
        <w:rPr>
          <w:lang w:val="en-US"/>
        </w:rPr>
        <w:t xml:space="preserve">allegedly written by the author </w:t>
      </w:r>
      <w:r w:rsidRPr="00650921">
        <w:rPr>
          <w:lang w:val="en-US"/>
        </w:rPr>
        <w:t xml:space="preserve">to </w:t>
      </w:r>
      <w:proofErr w:type="gramStart"/>
      <w:r w:rsidR="004B5352">
        <w:rPr>
          <w:lang w:val="en-US"/>
        </w:rPr>
        <w:t xml:space="preserve">a </w:t>
      </w:r>
      <w:r w:rsidRPr="00650921">
        <w:rPr>
          <w:lang w:val="en-US"/>
        </w:rPr>
        <w:t>businessman</w:t>
      </w:r>
      <w:proofErr w:type="gramEnd"/>
      <w:r w:rsidR="00161EEA">
        <w:rPr>
          <w:lang w:val="en-US"/>
        </w:rPr>
        <w:t>, M.</w:t>
      </w:r>
      <w:r w:rsidR="00F15DF5">
        <w:rPr>
          <w:lang w:val="en-US"/>
        </w:rPr>
        <w:t>,</w:t>
      </w:r>
      <w:r w:rsidRPr="00650921">
        <w:rPr>
          <w:lang w:val="en-US"/>
        </w:rPr>
        <w:t xml:space="preserve"> as evidence confirming the author’s financial interest in publicizing the </w:t>
      </w:r>
      <w:r w:rsidR="00F15DF5">
        <w:rPr>
          <w:lang w:val="en-US"/>
        </w:rPr>
        <w:t>National Security Committee’s</w:t>
      </w:r>
      <w:r w:rsidR="00F15DF5" w:rsidRPr="00650921">
        <w:rPr>
          <w:lang w:val="en-US"/>
        </w:rPr>
        <w:t xml:space="preserve"> </w:t>
      </w:r>
      <w:r w:rsidRPr="00650921">
        <w:rPr>
          <w:lang w:val="en-US"/>
        </w:rPr>
        <w:t>documents.</w:t>
      </w:r>
      <w:r w:rsidR="00304F66">
        <w:rPr>
          <w:lang w:val="en-US"/>
        </w:rPr>
        <w:t xml:space="preserve"> </w:t>
      </w:r>
      <w:r w:rsidR="00E77257">
        <w:rPr>
          <w:lang w:val="en-US"/>
        </w:rPr>
        <w:t xml:space="preserve">The author maintains that the letter was </w:t>
      </w:r>
      <w:proofErr w:type="gramStart"/>
      <w:r w:rsidR="00E77257">
        <w:rPr>
          <w:lang w:val="en-US"/>
        </w:rPr>
        <w:t>fake</w:t>
      </w:r>
      <w:proofErr w:type="gramEnd"/>
      <w:r w:rsidR="00E77257">
        <w:rPr>
          <w:lang w:val="en-US"/>
        </w:rPr>
        <w:t>.</w:t>
      </w:r>
    </w:p>
    <w:p w14:paraId="582F0CCA" w14:textId="233ECADC" w:rsidR="00A2492D" w:rsidRPr="00A2492D" w:rsidRDefault="00650921" w:rsidP="00D05084">
      <w:pPr>
        <w:pStyle w:val="SingleTxtG"/>
        <w:rPr>
          <w:lang w:val="en-US"/>
        </w:rPr>
      </w:pPr>
      <w:r w:rsidRPr="00650921">
        <w:rPr>
          <w:lang w:val="en-US"/>
        </w:rPr>
        <w:t>2.8</w:t>
      </w:r>
      <w:r w:rsidRPr="00650921">
        <w:rPr>
          <w:lang w:val="en-US"/>
        </w:rPr>
        <w:tab/>
      </w:r>
      <w:r w:rsidR="00A2492D" w:rsidRPr="00A2492D">
        <w:rPr>
          <w:lang w:val="en-US"/>
        </w:rPr>
        <w:t xml:space="preserve">On 10 February 2009, the </w:t>
      </w:r>
      <w:r w:rsidR="00161EEA">
        <w:rPr>
          <w:lang w:val="en-US"/>
        </w:rPr>
        <w:t>S</w:t>
      </w:r>
      <w:r w:rsidR="00A2492D" w:rsidRPr="00A2492D">
        <w:rPr>
          <w:lang w:val="en-US"/>
        </w:rPr>
        <w:t xml:space="preserve">pecial </w:t>
      </w:r>
      <w:proofErr w:type="spellStart"/>
      <w:r w:rsidR="00161EEA">
        <w:rPr>
          <w:lang w:val="en-US"/>
        </w:rPr>
        <w:t>I</w:t>
      </w:r>
      <w:r w:rsidR="00A2492D" w:rsidRPr="00A2492D">
        <w:rPr>
          <w:lang w:val="en-US"/>
        </w:rPr>
        <w:t>nterdistrict</w:t>
      </w:r>
      <w:proofErr w:type="spellEnd"/>
      <w:r w:rsidR="00A2492D" w:rsidRPr="00A2492D">
        <w:rPr>
          <w:lang w:val="en-US"/>
        </w:rPr>
        <w:t xml:space="preserve"> Economic Court of Almaty recognized the </w:t>
      </w:r>
      <w:r w:rsidR="00F15DF5">
        <w:rPr>
          <w:lang w:val="en-US"/>
        </w:rPr>
        <w:t>National Security Committee’s</w:t>
      </w:r>
      <w:r w:rsidR="00A2492D" w:rsidRPr="00A2492D">
        <w:rPr>
          <w:lang w:val="en-US"/>
        </w:rPr>
        <w:t xml:space="preserve"> </w:t>
      </w:r>
      <w:r w:rsidR="009C5467">
        <w:rPr>
          <w:lang w:val="en-US"/>
        </w:rPr>
        <w:t>reports</w:t>
      </w:r>
      <w:r w:rsidR="00A2492D" w:rsidRPr="00A2492D">
        <w:rPr>
          <w:lang w:val="en-US"/>
        </w:rPr>
        <w:t xml:space="preserve"> as secret and suspended the printing of the newspaper for one month. </w:t>
      </w:r>
      <w:proofErr w:type="gramStart"/>
      <w:r w:rsidR="00E77257">
        <w:rPr>
          <w:lang w:val="en-US"/>
        </w:rPr>
        <w:t>N</w:t>
      </w:r>
      <w:r w:rsidR="004B5352">
        <w:rPr>
          <w:lang w:val="en-US"/>
        </w:rPr>
        <w:t>either</w:t>
      </w:r>
      <w:r w:rsidR="00E77257">
        <w:rPr>
          <w:lang w:val="en-US"/>
        </w:rPr>
        <w:t xml:space="preserve"> t</w:t>
      </w:r>
      <w:r w:rsidR="00A2492D" w:rsidRPr="00A2492D">
        <w:rPr>
          <w:lang w:val="en-US"/>
        </w:rPr>
        <w:t>he author, as Editor-in-Chief and</w:t>
      </w:r>
      <w:proofErr w:type="gramEnd"/>
      <w:r w:rsidR="00A2492D" w:rsidRPr="00A2492D">
        <w:rPr>
          <w:lang w:val="en-US"/>
        </w:rPr>
        <w:t xml:space="preserve"> author of the article,</w:t>
      </w:r>
      <w:r w:rsidR="004B5352">
        <w:rPr>
          <w:lang w:val="en-US"/>
        </w:rPr>
        <w:t xml:space="preserve"> nor</w:t>
      </w:r>
      <w:r w:rsidR="00A2492D" w:rsidRPr="00A2492D">
        <w:rPr>
          <w:lang w:val="en-US"/>
        </w:rPr>
        <w:t xml:space="preserve"> other representatives of the editorial staff </w:t>
      </w:r>
      <w:r w:rsidR="00E77257">
        <w:rPr>
          <w:lang w:val="en-US"/>
        </w:rPr>
        <w:t>had</w:t>
      </w:r>
      <w:r w:rsidR="00A2492D" w:rsidRPr="00A2492D">
        <w:rPr>
          <w:lang w:val="en-US"/>
        </w:rPr>
        <w:t xml:space="preserve"> been admitted to </w:t>
      </w:r>
      <w:r w:rsidR="00722614">
        <w:rPr>
          <w:lang w:val="en-US"/>
        </w:rPr>
        <w:t xml:space="preserve">the </w:t>
      </w:r>
      <w:r w:rsidR="00A2492D" w:rsidRPr="00A2492D">
        <w:rPr>
          <w:lang w:val="en-US"/>
        </w:rPr>
        <w:t>court hearings</w:t>
      </w:r>
      <w:r w:rsidR="00722614">
        <w:rPr>
          <w:lang w:val="en-US"/>
        </w:rPr>
        <w:t>,</w:t>
      </w:r>
      <w:r w:rsidR="00A2492D" w:rsidRPr="00A2492D">
        <w:rPr>
          <w:lang w:val="en-US"/>
        </w:rPr>
        <w:t xml:space="preserve"> on </w:t>
      </w:r>
      <w:r w:rsidR="00E77257">
        <w:rPr>
          <w:lang w:val="en-US"/>
        </w:rPr>
        <w:t>the ground</w:t>
      </w:r>
      <w:r w:rsidR="00A2492D" w:rsidRPr="00A2492D">
        <w:rPr>
          <w:lang w:val="en-US"/>
        </w:rPr>
        <w:t xml:space="preserve"> that none of them </w:t>
      </w:r>
      <w:r w:rsidR="00F15DF5">
        <w:rPr>
          <w:lang w:val="en-US"/>
        </w:rPr>
        <w:t>were</w:t>
      </w:r>
      <w:r w:rsidR="00F15DF5" w:rsidRPr="00A2492D">
        <w:rPr>
          <w:lang w:val="en-US"/>
        </w:rPr>
        <w:t xml:space="preserve"> </w:t>
      </w:r>
      <w:r w:rsidR="00A2492D" w:rsidRPr="00A2492D">
        <w:rPr>
          <w:lang w:val="en-US"/>
        </w:rPr>
        <w:t xml:space="preserve">authorized </w:t>
      </w:r>
      <w:r w:rsidR="00F15DF5">
        <w:rPr>
          <w:lang w:val="en-US"/>
        </w:rPr>
        <w:t xml:space="preserve">to </w:t>
      </w:r>
      <w:r w:rsidR="00A2492D" w:rsidRPr="00A2492D">
        <w:rPr>
          <w:lang w:val="en-US"/>
        </w:rPr>
        <w:t>access secret materials.</w:t>
      </w:r>
      <w:r w:rsidR="00A2492D" w:rsidRPr="00A2492D">
        <w:rPr>
          <w:vertAlign w:val="superscript"/>
          <w:lang w:val="en-US"/>
        </w:rPr>
        <w:footnoteReference w:id="4"/>
      </w:r>
      <w:r w:rsidR="00A2492D" w:rsidRPr="00A2492D">
        <w:rPr>
          <w:lang w:val="en-US"/>
        </w:rPr>
        <w:t xml:space="preserve"> On 18 March 2009, </w:t>
      </w:r>
      <w:proofErr w:type="gramStart"/>
      <w:r w:rsidR="00A2492D" w:rsidRPr="00A2492D">
        <w:rPr>
          <w:lang w:val="en-US"/>
        </w:rPr>
        <w:t xml:space="preserve">the author’s appeal </w:t>
      </w:r>
      <w:r w:rsidR="00161EEA">
        <w:rPr>
          <w:lang w:val="en-US"/>
        </w:rPr>
        <w:t xml:space="preserve">on behalf of </w:t>
      </w:r>
      <w:proofErr w:type="spellStart"/>
      <w:r w:rsidR="00161EEA">
        <w:rPr>
          <w:lang w:val="en-US"/>
        </w:rPr>
        <w:t>Zhuldyz</w:t>
      </w:r>
      <w:proofErr w:type="spellEnd"/>
      <w:r w:rsidR="00161EEA">
        <w:rPr>
          <w:lang w:val="en-US"/>
        </w:rPr>
        <w:t xml:space="preserve"> </w:t>
      </w:r>
      <w:r w:rsidR="00F15DF5">
        <w:rPr>
          <w:lang w:val="en-US"/>
        </w:rPr>
        <w:t>Ltd.</w:t>
      </w:r>
      <w:r w:rsidR="00F15DF5" w:rsidRPr="00A2492D">
        <w:rPr>
          <w:lang w:val="en-US"/>
        </w:rPr>
        <w:t xml:space="preserve"> </w:t>
      </w:r>
      <w:r w:rsidR="00A2492D" w:rsidRPr="00A2492D">
        <w:rPr>
          <w:lang w:val="en-US"/>
        </w:rPr>
        <w:t>was rejected by Almaty City Court</w:t>
      </w:r>
      <w:proofErr w:type="gramEnd"/>
      <w:r w:rsidR="00A2492D" w:rsidRPr="00A2492D">
        <w:rPr>
          <w:lang w:val="en-US"/>
        </w:rPr>
        <w:t>. Subsequent appeals also proved unsuccessful</w:t>
      </w:r>
      <w:r w:rsidR="009C02FF">
        <w:rPr>
          <w:lang w:val="en-US"/>
        </w:rPr>
        <w:t>:</w:t>
      </w:r>
      <w:r w:rsidR="00A2492D" w:rsidRPr="00A2492D">
        <w:rPr>
          <w:lang w:val="en-US"/>
        </w:rPr>
        <w:t xml:space="preserve"> the supervisory review application was rejected on 7 May 2009, and on 13 August </w:t>
      </w:r>
      <w:proofErr w:type="gramStart"/>
      <w:r w:rsidR="00A2492D" w:rsidRPr="00A2492D">
        <w:rPr>
          <w:lang w:val="en-US"/>
        </w:rPr>
        <w:t>2009</w:t>
      </w:r>
      <w:proofErr w:type="gramEnd"/>
      <w:r w:rsidR="00A2492D" w:rsidRPr="00A2492D">
        <w:rPr>
          <w:lang w:val="en-US"/>
        </w:rPr>
        <w:t xml:space="preserve"> the Supreme Court upheld the decision </w:t>
      </w:r>
      <w:r w:rsidR="00466943" w:rsidRPr="00466943">
        <w:rPr>
          <w:lang w:val="en-US"/>
        </w:rPr>
        <w:t>of 10 February 2009</w:t>
      </w:r>
      <w:r w:rsidR="00466943">
        <w:rPr>
          <w:lang w:val="en-US"/>
        </w:rPr>
        <w:t xml:space="preserve"> </w:t>
      </w:r>
      <w:r w:rsidR="00A2492D" w:rsidRPr="00A2492D">
        <w:rPr>
          <w:lang w:val="en-US"/>
        </w:rPr>
        <w:t xml:space="preserve">of the </w:t>
      </w:r>
      <w:r w:rsidR="00E77257">
        <w:rPr>
          <w:lang w:val="en-US"/>
        </w:rPr>
        <w:t>S</w:t>
      </w:r>
      <w:r w:rsidR="00A2492D" w:rsidRPr="00A2492D">
        <w:rPr>
          <w:lang w:val="en-US"/>
        </w:rPr>
        <w:t xml:space="preserve">pecial </w:t>
      </w:r>
      <w:proofErr w:type="spellStart"/>
      <w:r w:rsidR="00E77257">
        <w:rPr>
          <w:lang w:val="en-US"/>
        </w:rPr>
        <w:t>I</w:t>
      </w:r>
      <w:r w:rsidR="00A2492D" w:rsidRPr="00A2492D">
        <w:rPr>
          <w:lang w:val="en-US"/>
        </w:rPr>
        <w:t>nterdistrict</w:t>
      </w:r>
      <w:proofErr w:type="spellEnd"/>
      <w:r w:rsidR="00A2492D" w:rsidRPr="00A2492D">
        <w:rPr>
          <w:lang w:val="en-US"/>
        </w:rPr>
        <w:t xml:space="preserve"> Economic Court of Almaty. </w:t>
      </w:r>
    </w:p>
    <w:p w14:paraId="200A8663" w14:textId="3AF90D66" w:rsidR="00650921" w:rsidRPr="00650921" w:rsidRDefault="00650921" w:rsidP="00650921">
      <w:pPr>
        <w:pStyle w:val="SingleTxtG"/>
        <w:rPr>
          <w:lang w:val="en-US"/>
        </w:rPr>
      </w:pPr>
      <w:r w:rsidRPr="00650921">
        <w:rPr>
          <w:lang w:val="en-US"/>
        </w:rPr>
        <w:t>2.9</w:t>
      </w:r>
      <w:r w:rsidRPr="00650921">
        <w:rPr>
          <w:lang w:val="en-US"/>
        </w:rPr>
        <w:tab/>
        <w:t xml:space="preserve">On 3 March 2009, the author’s wife submitted to the </w:t>
      </w:r>
      <w:r w:rsidR="009C02FF">
        <w:rPr>
          <w:lang w:val="en-US"/>
        </w:rPr>
        <w:t>National Security Committee</w:t>
      </w:r>
      <w:r w:rsidR="009C02FF" w:rsidRPr="00650921">
        <w:rPr>
          <w:lang w:val="en-US"/>
        </w:rPr>
        <w:t xml:space="preserve"> </w:t>
      </w:r>
      <w:r w:rsidRPr="00650921">
        <w:rPr>
          <w:lang w:val="en-US"/>
        </w:rPr>
        <w:t>of Almaty a request for</w:t>
      </w:r>
      <w:r w:rsidR="00BC1B65">
        <w:rPr>
          <w:lang w:val="en-US"/>
        </w:rPr>
        <w:t xml:space="preserve"> </w:t>
      </w:r>
      <w:r w:rsidRPr="00650921">
        <w:rPr>
          <w:lang w:val="en-US"/>
        </w:rPr>
        <w:t>access to secret materials in order to be able to represent her husband’s interest</w:t>
      </w:r>
      <w:r w:rsidR="00BC1B65">
        <w:rPr>
          <w:lang w:val="en-US"/>
        </w:rPr>
        <w:t>s</w:t>
      </w:r>
      <w:r w:rsidRPr="00650921">
        <w:rPr>
          <w:lang w:val="en-US"/>
        </w:rPr>
        <w:t xml:space="preserve"> in court. The request </w:t>
      </w:r>
      <w:proofErr w:type="gramStart"/>
      <w:r w:rsidRPr="00650921">
        <w:rPr>
          <w:lang w:val="en-US"/>
        </w:rPr>
        <w:t>was rejected</w:t>
      </w:r>
      <w:proofErr w:type="gramEnd"/>
      <w:r w:rsidRPr="00650921">
        <w:rPr>
          <w:lang w:val="en-US"/>
        </w:rPr>
        <w:t xml:space="preserve"> on 28 March 2009. </w:t>
      </w:r>
    </w:p>
    <w:p w14:paraId="4ED2581C" w14:textId="48FA87E3" w:rsidR="00A2492D" w:rsidRPr="00A2492D" w:rsidRDefault="00650921" w:rsidP="00A2492D">
      <w:pPr>
        <w:pStyle w:val="SingleTxtG"/>
        <w:rPr>
          <w:lang w:val="en-US"/>
        </w:rPr>
      </w:pPr>
      <w:r w:rsidRPr="00650921">
        <w:rPr>
          <w:lang w:val="en-US"/>
        </w:rPr>
        <w:t>2.10</w:t>
      </w:r>
      <w:r w:rsidRPr="00650921">
        <w:rPr>
          <w:lang w:val="en-US"/>
        </w:rPr>
        <w:tab/>
      </w:r>
      <w:r w:rsidR="00A2492D" w:rsidRPr="00A2492D">
        <w:rPr>
          <w:lang w:val="en-US"/>
        </w:rPr>
        <w:t>On 24 July 2009, the author’s wife</w:t>
      </w:r>
      <w:r w:rsidR="00FB4522">
        <w:rPr>
          <w:lang w:val="en-US"/>
        </w:rPr>
        <w:t xml:space="preserve"> </w:t>
      </w:r>
      <w:r w:rsidR="00A2492D" w:rsidRPr="00A2492D">
        <w:rPr>
          <w:lang w:val="en-US"/>
        </w:rPr>
        <w:t xml:space="preserve">filed a </w:t>
      </w:r>
      <w:r w:rsidR="00904773">
        <w:rPr>
          <w:lang w:val="en-US"/>
        </w:rPr>
        <w:t xml:space="preserve">civil </w:t>
      </w:r>
      <w:r w:rsidR="00A2492D" w:rsidRPr="00A2492D">
        <w:rPr>
          <w:lang w:val="en-US"/>
        </w:rPr>
        <w:t>complaint</w:t>
      </w:r>
      <w:r w:rsidR="00FB4522">
        <w:rPr>
          <w:lang w:val="en-US"/>
        </w:rPr>
        <w:t xml:space="preserve"> on behalf of the author</w:t>
      </w:r>
      <w:r w:rsidR="00A2492D" w:rsidRPr="00A2492D">
        <w:rPr>
          <w:lang w:val="en-US"/>
        </w:rPr>
        <w:t xml:space="preserve"> to the </w:t>
      </w:r>
      <w:proofErr w:type="spellStart"/>
      <w:r w:rsidR="00A2492D" w:rsidRPr="00A2492D">
        <w:rPr>
          <w:lang w:val="en-US"/>
        </w:rPr>
        <w:t>Medeu</w:t>
      </w:r>
      <w:proofErr w:type="spellEnd"/>
      <w:r w:rsidR="00A2492D" w:rsidRPr="00A2492D">
        <w:rPr>
          <w:lang w:val="en-US"/>
        </w:rPr>
        <w:t xml:space="preserve"> District Court, claiming that the letters </w:t>
      </w:r>
      <w:r w:rsidR="009C02FF">
        <w:rPr>
          <w:lang w:val="en-US"/>
        </w:rPr>
        <w:t>of the National Security Committee</w:t>
      </w:r>
      <w:r w:rsidR="009C02FF" w:rsidRPr="00A2492D">
        <w:rPr>
          <w:lang w:val="en-US"/>
        </w:rPr>
        <w:t xml:space="preserve"> </w:t>
      </w:r>
      <w:r w:rsidR="00A2492D" w:rsidRPr="00A2492D">
        <w:rPr>
          <w:lang w:val="en-US"/>
        </w:rPr>
        <w:t xml:space="preserve">published in the newspaper disclosed no State secrets. </w:t>
      </w:r>
      <w:proofErr w:type="gramStart"/>
      <w:r w:rsidR="00A2492D" w:rsidRPr="00A2492D">
        <w:rPr>
          <w:lang w:val="en-US"/>
        </w:rPr>
        <w:t xml:space="preserve">She based her arguments on the provisions of article 17, </w:t>
      </w:r>
      <w:r w:rsidR="00176114">
        <w:rPr>
          <w:lang w:val="en-US"/>
        </w:rPr>
        <w:t>p</w:t>
      </w:r>
      <w:r w:rsidR="00A2492D" w:rsidRPr="00A2492D">
        <w:rPr>
          <w:lang w:val="en-US"/>
        </w:rPr>
        <w:t>art I</w:t>
      </w:r>
      <w:r w:rsidR="009C02FF">
        <w:rPr>
          <w:lang w:val="en-US"/>
        </w:rPr>
        <w:t>,</w:t>
      </w:r>
      <w:r w:rsidR="00A2492D" w:rsidRPr="00A2492D">
        <w:rPr>
          <w:lang w:val="en-US"/>
        </w:rPr>
        <w:t xml:space="preserve"> subparagraphs 4 and 6</w:t>
      </w:r>
      <w:r w:rsidR="009C02FF">
        <w:rPr>
          <w:lang w:val="en-US"/>
        </w:rPr>
        <w:t>,</w:t>
      </w:r>
      <w:r w:rsidR="00A2492D" w:rsidRPr="00A2492D">
        <w:rPr>
          <w:lang w:val="en-US"/>
        </w:rPr>
        <w:t xml:space="preserve"> and </w:t>
      </w:r>
      <w:r w:rsidR="00176114">
        <w:rPr>
          <w:lang w:val="en-US"/>
        </w:rPr>
        <w:t>p</w:t>
      </w:r>
      <w:r w:rsidR="00A2492D" w:rsidRPr="00A2492D">
        <w:rPr>
          <w:lang w:val="en-US"/>
        </w:rPr>
        <w:t xml:space="preserve">art II, of the Law </w:t>
      </w:r>
      <w:r w:rsidR="009C02FF">
        <w:rPr>
          <w:lang w:val="en-US"/>
        </w:rPr>
        <w:t>o</w:t>
      </w:r>
      <w:r w:rsidR="00A2492D" w:rsidRPr="00A2492D">
        <w:rPr>
          <w:lang w:val="en-US"/>
        </w:rPr>
        <w:t xml:space="preserve">n State </w:t>
      </w:r>
      <w:r w:rsidR="00783E64">
        <w:rPr>
          <w:lang w:val="en-US"/>
        </w:rPr>
        <w:t>s</w:t>
      </w:r>
      <w:r w:rsidR="00A2492D" w:rsidRPr="00A2492D">
        <w:rPr>
          <w:lang w:val="en-US"/>
        </w:rPr>
        <w:t>ecrets.</w:t>
      </w:r>
      <w:proofErr w:type="gramEnd"/>
      <w:r w:rsidR="00A2492D" w:rsidRPr="00A2492D">
        <w:rPr>
          <w:lang w:val="en-US"/>
        </w:rPr>
        <w:t xml:space="preserve"> On 29 September 2009, the Court terminated the proceedings on </w:t>
      </w:r>
      <w:r w:rsidR="00672D9E">
        <w:rPr>
          <w:lang w:val="en-US"/>
        </w:rPr>
        <w:t xml:space="preserve">the </w:t>
      </w:r>
      <w:r w:rsidR="00A2492D" w:rsidRPr="00A2492D">
        <w:rPr>
          <w:lang w:val="en-US"/>
        </w:rPr>
        <w:t xml:space="preserve">ground that such claims </w:t>
      </w:r>
      <w:proofErr w:type="gramStart"/>
      <w:r w:rsidR="00A2492D" w:rsidRPr="00A2492D">
        <w:rPr>
          <w:lang w:val="en-US"/>
        </w:rPr>
        <w:t>could not be examined</w:t>
      </w:r>
      <w:proofErr w:type="gramEnd"/>
      <w:r w:rsidR="00A2492D" w:rsidRPr="00A2492D">
        <w:rPr>
          <w:lang w:val="en-US"/>
        </w:rPr>
        <w:t xml:space="preserve"> within civil proceedings. Th</w:t>
      </w:r>
      <w:r w:rsidR="00176114">
        <w:rPr>
          <w:lang w:val="en-US"/>
        </w:rPr>
        <w:t>e</w:t>
      </w:r>
      <w:r w:rsidR="00A2492D" w:rsidRPr="00A2492D">
        <w:rPr>
          <w:lang w:val="en-US"/>
        </w:rPr>
        <w:t xml:space="preserve"> </w:t>
      </w:r>
      <w:proofErr w:type="gramStart"/>
      <w:r w:rsidR="00A2492D" w:rsidRPr="00A2492D">
        <w:rPr>
          <w:lang w:val="en-US"/>
        </w:rPr>
        <w:t>decision was upheld by the Judicial Chamber</w:t>
      </w:r>
      <w:proofErr w:type="gramEnd"/>
      <w:r w:rsidR="00A2492D" w:rsidRPr="00A2492D">
        <w:rPr>
          <w:lang w:val="en-US"/>
        </w:rPr>
        <w:t xml:space="preserve"> for Civil Cases of the Almaty City Court on 8 December 2009.</w:t>
      </w:r>
    </w:p>
    <w:p w14:paraId="768B0355" w14:textId="44C2BE49" w:rsidR="00650921" w:rsidRPr="00650921" w:rsidRDefault="00650921" w:rsidP="004034A7">
      <w:pPr>
        <w:pStyle w:val="SingleTxtG"/>
        <w:rPr>
          <w:lang w:val="en-US"/>
        </w:rPr>
      </w:pPr>
      <w:r w:rsidRPr="00650921">
        <w:rPr>
          <w:lang w:val="en-US"/>
        </w:rPr>
        <w:t>2.11</w:t>
      </w:r>
      <w:r w:rsidRPr="00650921">
        <w:rPr>
          <w:lang w:val="en-US"/>
        </w:rPr>
        <w:tab/>
        <w:t xml:space="preserve">On 8 August 2009, Court No. 2 of </w:t>
      </w:r>
      <w:proofErr w:type="spellStart"/>
      <w:r w:rsidRPr="00650921">
        <w:rPr>
          <w:lang w:val="en-US"/>
        </w:rPr>
        <w:t>Taraz</w:t>
      </w:r>
      <w:proofErr w:type="spellEnd"/>
      <w:r w:rsidRPr="00650921">
        <w:rPr>
          <w:lang w:val="en-US"/>
        </w:rPr>
        <w:t xml:space="preserve"> found the author guilty of criminal offences under art</w:t>
      </w:r>
      <w:r w:rsidR="00176114">
        <w:rPr>
          <w:lang w:val="en-US"/>
        </w:rPr>
        <w:t>icle</w:t>
      </w:r>
      <w:r w:rsidR="004034A7">
        <w:rPr>
          <w:lang w:val="en-US"/>
        </w:rPr>
        <w:t>s</w:t>
      </w:r>
      <w:r w:rsidRPr="00650921">
        <w:rPr>
          <w:lang w:val="en-US"/>
        </w:rPr>
        <w:t xml:space="preserve"> 172 </w:t>
      </w:r>
      <w:r w:rsidR="004034A7">
        <w:rPr>
          <w:lang w:val="en-US"/>
        </w:rPr>
        <w:t>(</w:t>
      </w:r>
      <w:r w:rsidRPr="00650921">
        <w:rPr>
          <w:lang w:val="en-US"/>
        </w:rPr>
        <w:t>1</w:t>
      </w:r>
      <w:r w:rsidR="004034A7">
        <w:rPr>
          <w:lang w:val="en-US"/>
        </w:rPr>
        <w:t>)</w:t>
      </w:r>
      <w:r w:rsidRPr="00650921">
        <w:rPr>
          <w:lang w:val="en-US"/>
        </w:rPr>
        <w:t xml:space="preserve"> and 339 </w:t>
      </w:r>
      <w:r w:rsidR="004034A7">
        <w:rPr>
          <w:lang w:val="en-US"/>
        </w:rPr>
        <w:t>(</w:t>
      </w:r>
      <w:r w:rsidR="00151928">
        <w:rPr>
          <w:lang w:val="en-US"/>
        </w:rPr>
        <w:t>2</w:t>
      </w:r>
      <w:r w:rsidR="004034A7">
        <w:rPr>
          <w:lang w:val="en-US"/>
        </w:rPr>
        <w:t>)</w:t>
      </w:r>
      <w:r w:rsidR="003432EC">
        <w:rPr>
          <w:lang w:val="en-US"/>
        </w:rPr>
        <w:t xml:space="preserve"> </w:t>
      </w:r>
      <w:r w:rsidRPr="00650921">
        <w:rPr>
          <w:lang w:val="en-US"/>
        </w:rPr>
        <w:t>of the Criminal Code</w:t>
      </w:r>
      <w:r w:rsidR="00176114">
        <w:rPr>
          <w:lang w:val="en-US"/>
        </w:rPr>
        <w:t>,</w:t>
      </w:r>
      <w:r w:rsidRPr="00650921">
        <w:rPr>
          <w:lang w:val="en-US"/>
        </w:rPr>
        <w:t xml:space="preserve"> sentenc</w:t>
      </w:r>
      <w:r w:rsidR="00176114">
        <w:rPr>
          <w:lang w:val="en-US"/>
        </w:rPr>
        <w:t>ing</w:t>
      </w:r>
      <w:r w:rsidRPr="00650921">
        <w:rPr>
          <w:lang w:val="en-US"/>
        </w:rPr>
        <w:t xml:space="preserve"> him to </w:t>
      </w:r>
      <w:r w:rsidR="00E535BE">
        <w:rPr>
          <w:lang w:val="en-US"/>
        </w:rPr>
        <w:t xml:space="preserve">three </w:t>
      </w:r>
      <w:r w:rsidRPr="00650921">
        <w:rPr>
          <w:lang w:val="en-US"/>
        </w:rPr>
        <w:t xml:space="preserve">years of imprisonment </w:t>
      </w:r>
      <w:r w:rsidR="00176114">
        <w:rPr>
          <w:lang w:val="en-US"/>
        </w:rPr>
        <w:t>and</w:t>
      </w:r>
      <w:r w:rsidRPr="00650921">
        <w:rPr>
          <w:lang w:val="en-US"/>
        </w:rPr>
        <w:t xml:space="preserve"> </w:t>
      </w:r>
      <w:r w:rsidR="00176114">
        <w:rPr>
          <w:lang w:val="en-US"/>
        </w:rPr>
        <w:t>suspending his</w:t>
      </w:r>
      <w:r w:rsidRPr="00650921">
        <w:rPr>
          <w:lang w:val="en-US"/>
        </w:rPr>
        <w:t xml:space="preserve"> right to </w:t>
      </w:r>
      <w:r w:rsidR="00176114">
        <w:rPr>
          <w:lang w:val="en-US"/>
        </w:rPr>
        <w:t>engage in</w:t>
      </w:r>
      <w:r w:rsidRPr="00650921">
        <w:rPr>
          <w:lang w:val="en-US"/>
        </w:rPr>
        <w:t xml:space="preserve"> publishing activit</w:t>
      </w:r>
      <w:r w:rsidR="00176114">
        <w:rPr>
          <w:lang w:val="en-US"/>
        </w:rPr>
        <w:t>ies</w:t>
      </w:r>
      <w:r w:rsidRPr="00650921">
        <w:rPr>
          <w:lang w:val="en-US"/>
        </w:rPr>
        <w:t xml:space="preserve"> for two years. </w:t>
      </w:r>
    </w:p>
    <w:p w14:paraId="4E0BD9ED" w14:textId="05F2D2E7" w:rsidR="00650921" w:rsidRPr="00650921" w:rsidRDefault="00650921" w:rsidP="00650921">
      <w:pPr>
        <w:pStyle w:val="SingleTxtG"/>
        <w:rPr>
          <w:lang w:val="en-US"/>
        </w:rPr>
      </w:pPr>
      <w:r w:rsidRPr="00650921">
        <w:rPr>
          <w:lang w:val="en-US"/>
        </w:rPr>
        <w:t>2.12</w:t>
      </w:r>
      <w:r w:rsidRPr="00650921">
        <w:rPr>
          <w:lang w:val="en-US"/>
        </w:rPr>
        <w:tab/>
        <w:t xml:space="preserve">On 22 October 2009, the Judicial Chamber for Criminal Cases of the </w:t>
      </w:r>
      <w:proofErr w:type="spellStart"/>
      <w:r w:rsidRPr="00650921">
        <w:rPr>
          <w:lang w:val="en-US"/>
        </w:rPr>
        <w:t>Z</w:t>
      </w:r>
      <w:r w:rsidR="00AC62EF">
        <w:rPr>
          <w:lang w:val="en-US"/>
        </w:rPr>
        <w:t>h</w:t>
      </w:r>
      <w:r w:rsidRPr="00650921">
        <w:rPr>
          <w:lang w:val="en-US"/>
        </w:rPr>
        <w:t>ambyl</w:t>
      </w:r>
      <w:proofErr w:type="spellEnd"/>
      <w:r w:rsidRPr="00650921">
        <w:rPr>
          <w:lang w:val="en-US"/>
        </w:rPr>
        <w:t xml:space="preserve"> Regional Court upheld the decision of Court No. 2 of </w:t>
      </w:r>
      <w:proofErr w:type="spellStart"/>
      <w:r w:rsidRPr="00650921">
        <w:rPr>
          <w:lang w:val="en-US"/>
        </w:rPr>
        <w:t>Taraz</w:t>
      </w:r>
      <w:proofErr w:type="spellEnd"/>
      <w:r w:rsidR="00E535BE">
        <w:rPr>
          <w:lang w:val="en-US"/>
        </w:rPr>
        <w:t xml:space="preserve"> upon appeal</w:t>
      </w:r>
      <w:r w:rsidRPr="00650921">
        <w:rPr>
          <w:lang w:val="en-US"/>
        </w:rPr>
        <w:t xml:space="preserve">. The author’s application for supervisory review </w:t>
      </w:r>
      <w:r w:rsidR="00813EAF">
        <w:rPr>
          <w:lang w:val="en-US"/>
        </w:rPr>
        <w:t xml:space="preserve">before the </w:t>
      </w:r>
      <w:r w:rsidR="00813EAF" w:rsidRPr="00650921">
        <w:rPr>
          <w:lang w:val="en-US"/>
        </w:rPr>
        <w:t xml:space="preserve">Regional Court </w:t>
      </w:r>
      <w:proofErr w:type="gramStart"/>
      <w:r w:rsidRPr="00650921">
        <w:rPr>
          <w:lang w:val="en-US"/>
        </w:rPr>
        <w:t>was rejected</w:t>
      </w:r>
      <w:proofErr w:type="gramEnd"/>
      <w:r w:rsidRPr="00650921">
        <w:rPr>
          <w:lang w:val="en-US"/>
        </w:rPr>
        <w:t xml:space="preserve"> on 14</w:t>
      </w:r>
      <w:r w:rsidR="003C1161">
        <w:rPr>
          <w:lang w:val="en-US"/>
        </w:rPr>
        <w:t> </w:t>
      </w:r>
      <w:r w:rsidRPr="00650921">
        <w:rPr>
          <w:lang w:val="en-US"/>
        </w:rPr>
        <w:t xml:space="preserve">December 2009. </w:t>
      </w:r>
      <w:proofErr w:type="gramStart"/>
      <w:r w:rsidRPr="00650921">
        <w:rPr>
          <w:lang w:val="en-US"/>
        </w:rPr>
        <w:t>A similar application was dismissed by the Supreme Court</w:t>
      </w:r>
      <w:proofErr w:type="gramEnd"/>
      <w:r w:rsidRPr="00650921">
        <w:rPr>
          <w:lang w:val="en-US"/>
        </w:rPr>
        <w:t xml:space="preserve"> on 24 May 2010. The appeals submitted to the </w:t>
      </w:r>
      <w:r w:rsidR="00AE768A">
        <w:rPr>
          <w:lang w:val="en-US"/>
        </w:rPr>
        <w:t>p</w:t>
      </w:r>
      <w:r w:rsidRPr="00650921">
        <w:rPr>
          <w:lang w:val="en-US"/>
        </w:rPr>
        <w:t>rosecutor</w:t>
      </w:r>
      <w:r w:rsidR="000A5BDC">
        <w:rPr>
          <w:lang w:val="en-US"/>
        </w:rPr>
        <w:t>s</w:t>
      </w:r>
      <w:r w:rsidRPr="00650921">
        <w:rPr>
          <w:lang w:val="en-US"/>
        </w:rPr>
        <w:t xml:space="preserve"> also proved unsuccessful.</w:t>
      </w:r>
      <w:r w:rsidR="00304F66">
        <w:rPr>
          <w:lang w:val="en-US"/>
        </w:rPr>
        <w:t xml:space="preserve"> </w:t>
      </w:r>
    </w:p>
    <w:p w14:paraId="37B4314A" w14:textId="22256ACB" w:rsidR="00650921" w:rsidRPr="00650921" w:rsidRDefault="00650921" w:rsidP="00650921">
      <w:pPr>
        <w:pStyle w:val="SingleTxtG"/>
        <w:rPr>
          <w:lang w:val="en-US"/>
        </w:rPr>
      </w:pPr>
      <w:r w:rsidRPr="00650921">
        <w:rPr>
          <w:lang w:val="en-US"/>
        </w:rPr>
        <w:t>2.13</w:t>
      </w:r>
      <w:r w:rsidRPr="00650921">
        <w:rPr>
          <w:lang w:val="en-US"/>
        </w:rPr>
        <w:tab/>
      </w:r>
      <w:r w:rsidR="00DF4580">
        <w:rPr>
          <w:lang w:val="en-US"/>
        </w:rPr>
        <w:t>T</w:t>
      </w:r>
      <w:r w:rsidRPr="00650921">
        <w:rPr>
          <w:lang w:val="en-US"/>
        </w:rPr>
        <w:t xml:space="preserve">he author </w:t>
      </w:r>
      <w:r w:rsidR="00E535BE">
        <w:rPr>
          <w:lang w:val="en-US"/>
        </w:rPr>
        <w:t xml:space="preserve">submits </w:t>
      </w:r>
      <w:r w:rsidRPr="00650921">
        <w:rPr>
          <w:lang w:val="en-US"/>
        </w:rPr>
        <w:t xml:space="preserve">that the case materials </w:t>
      </w:r>
      <w:proofErr w:type="gramStart"/>
      <w:r w:rsidRPr="00650921">
        <w:rPr>
          <w:lang w:val="en-US"/>
        </w:rPr>
        <w:t>have been classified</w:t>
      </w:r>
      <w:proofErr w:type="gramEnd"/>
      <w:r w:rsidRPr="00650921">
        <w:rPr>
          <w:lang w:val="en-US"/>
        </w:rPr>
        <w:t xml:space="preserve"> as secret and</w:t>
      </w:r>
      <w:r w:rsidR="00F32BBF">
        <w:rPr>
          <w:lang w:val="en-US"/>
        </w:rPr>
        <w:t xml:space="preserve"> that </w:t>
      </w:r>
      <w:r w:rsidRPr="00650921">
        <w:rPr>
          <w:lang w:val="en-US"/>
        </w:rPr>
        <w:t>he</w:t>
      </w:r>
      <w:r w:rsidR="00F32BBF">
        <w:rPr>
          <w:lang w:val="en-US"/>
        </w:rPr>
        <w:t xml:space="preserve"> ha</w:t>
      </w:r>
      <w:r w:rsidR="00DF4580">
        <w:rPr>
          <w:lang w:val="en-US"/>
        </w:rPr>
        <w:t>s</w:t>
      </w:r>
      <w:r w:rsidR="00F32BBF">
        <w:rPr>
          <w:lang w:val="en-US"/>
        </w:rPr>
        <w:t xml:space="preserve"> not been</w:t>
      </w:r>
      <w:r w:rsidR="00AB7CFC">
        <w:rPr>
          <w:lang w:val="en-US"/>
        </w:rPr>
        <w:t xml:space="preserve"> </w:t>
      </w:r>
      <w:r w:rsidRPr="00650921">
        <w:rPr>
          <w:lang w:val="en-US"/>
        </w:rPr>
        <w:t xml:space="preserve">provided with the complete text of any procedural documents, including the sentence and the appeal decisions. Consequently, he </w:t>
      </w:r>
      <w:proofErr w:type="gramStart"/>
      <w:r w:rsidRPr="00650921">
        <w:rPr>
          <w:lang w:val="en-US"/>
        </w:rPr>
        <w:t>was prevented</w:t>
      </w:r>
      <w:proofErr w:type="gramEnd"/>
      <w:r w:rsidRPr="00650921">
        <w:rPr>
          <w:lang w:val="en-US"/>
        </w:rPr>
        <w:t xml:space="preserve"> from appealing </w:t>
      </w:r>
      <w:r w:rsidR="00176114" w:rsidRPr="00650921">
        <w:rPr>
          <w:lang w:val="en-US"/>
        </w:rPr>
        <w:t xml:space="preserve">effectively </w:t>
      </w:r>
      <w:r w:rsidRPr="00650921">
        <w:rPr>
          <w:lang w:val="en-US"/>
        </w:rPr>
        <w:t>against the court decisions taken in his case and from exhausting all available remedies at the domestic level.</w:t>
      </w:r>
    </w:p>
    <w:p w14:paraId="16D3B5B5" w14:textId="77777777" w:rsidR="00650921" w:rsidRPr="00650921" w:rsidRDefault="00675A40" w:rsidP="00675A40">
      <w:pPr>
        <w:pStyle w:val="H23G"/>
        <w:rPr>
          <w:lang w:val="en-US"/>
        </w:rPr>
      </w:pPr>
      <w:r>
        <w:rPr>
          <w:lang w:val="en-US"/>
        </w:rPr>
        <w:tab/>
      </w:r>
      <w:r>
        <w:rPr>
          <w:lang w:val="en-US"/>
        </w:rPr>
        <w:tab/>
      </w:r>
      <w:r w:rsidR="00650921" w:rsidRPr="00650921">
        <w:rPr>
          <w:lang w:val="en-US"/>
        </w:rPr>
        <w:t>The complaint</w:t>
      </w:r>
    </w:p>
    <w:p w14:paraId="52EEA1B7" w14:textId="089291A9" w:rsidR="00650921" w:rsidRPr="00650921" w:rsidRDefault="00675A40" w:rsidP="00650921">
      <w:pPr>
        <w:pStyle w:val="SingleTxtG"/>
        <w:rPr>
          <w:lang w:val="en-US"/>
        </w:rPr>
      </w:pPr>
      <w:r>
        <w:rPr>
          <w:lang w:val="en-US"/>
        </w:rPr>
        <w:t>3.1</w:t>
      </w:r>
      <w:r w:rsidR="00650921" w:rsidRPr="00650921">
        <w:rPr>
          <w:lang w:val="en-US"/>
        </w:rPr>
        <w:tab/>
        <w:t xml:space="preserve">The author claims that </w:t>
      </w:r>
      <w:proofErr w:type="gramStart"/>
      <w:r w:rsidR="00650921" w:rsidRPr="00650921">
        <w:rPr>
          <w:lang w:val="en-US"/>
        </w:rPr>
        <w:t xml:space="preserve">he was </w:t>
      </w:r>
      <w:r w:rsidR="00DF4580">
        <w:rPr>
          <w:lang w:val="en-US"/>
        </w:rPr>
        <w:t>unlawfully</w:t>
      </w:r>
      <w:r w:rsidR="00C34E86">
        <w:rPr>
          <w:lang w:val="en-US"/>
        </w:rPr>
        <w:t xml:space="preserve"> arrested</w:t>
      </w:r>
      <w:r w:rsidR="00650921" w:rsidRPr="00650921">
        <w:rPr>
          <w:lang w:val="en-US"/>
        </w:rPr>
        <w:t xml:space="preserve"> twice by officers of the </w:t>
      </w:r>
      <w:r w:rsidR="00176114">
        <w:rPr>
          <w:lang w:val="en-US"/>
        </w:rPr>
        <w:t>National Security Committee</w:t>
      </w:r>
      <w:proofErr w:type="gramEnd"/>
      <w:r w:rsidR="00176114" w:rsidRPr="00650921">
        <w:rPr>
          <w:lang w:val="en-US"/>
        </w:rPr>
        <w:t xml:space="preserve"> </w:t>
      </w:r>
      <w:r w:rsidR="00650921" w:rsidRPr="00650921">
        <w:rPr>
          <w:lang w:val="en-US"/>
        </w:rPr>
        <w:t xml:space="preserve">before being accused of any crime: on 1 December 2008, when he was summoned for interrogation as a witness; </w:t>
      </w:r>
      <w:r w:rsidR="00176114">
        <w:rPr>
          <w:lang w:val="en-US"/>
        </w:rPr>
        <w:t>and</w:t>
      </w:r>
      <w:r w:rsidR="00650921" w:rsidRPr="00650921">
        <w:rPr>
          <w:lang w:val="en-US"/>
        </w:rPr>
        <w:t xml:space="preserve"> </w:t>
      </w:r>
      <w:r w:rsidR="00E535BE">
        <w:rPr>
          <w:lang w:val="en-US"/>
        </w:rPr>
        <w:t xml:space="preserve">on 6 January 2009, </w:t>
      </w:r>
      <w:r w:rsidR="00650921" w:rsidRPr="00650921">
        <w:rPr>
          <w:lang w:val="en-US"/>
        </w:rPr>
        <w:t xml:space="preserve">when he was taken from the Cardiology Institute and </w:t>
      </w:r>
      <w:r w:rsidR="00DF4580">
        <w:rPr>
          <w:lang w:val="en-US"/>
        </w:rPr>
        <w:t xml:space="preserve">detained </w:t>
      </w:r>
      <w:r w:rsidR="00650921" w:rsidRPr="00650921">
        <w:rPr>
          <w:lang w:val="en-US"/>
        </w:rPr>
        <w:t xml:space="preserve">in the temporary detention facility of </w:t>
      </w:r>
      <w:proofErr w:type="spellStart"/>
      <w:r w:rsidR="00650921" w:rsidRPr="00650921">
        <w:rPr>
          <w:lang w:val="en-US"/>
        </w:rPr>
        <w:t>Z</w:t>
      </w:r>
      <w:r w:rsidR="00AC62EF">
        <w:rPr>
          <w:lang w:val="en-US"/>
        </w:rPr>
        <w:t>h</w:t>
      </w:r>
      <w:r w:rsidR="00650921" w:rsidRPr="00650921">
        <w:rPr>
          <w:lang w:val="en-US"/>
        </w:rPr>
        <w:t>ambyl</w:t>
      </w:r>
      <w:proofErr w:type="spellEnd"/>
      <w:r w:rsidR="00650921" w:rsidRPr="00650921">
        <w:rPr>
          <w:lang w:val="en-US"/>
        </w:rPr>
        <w:t xml:space="preserve"> </w:t>
      </w:r>
      <w:r w:rsidR="00176114">
        <w:rPr>
          <w:lang w:val="en-US"/>
        </w:rPr>
        <w:t>R</w:t>
      </w:r>
      <w:r w:rsidR="00650921" w:rsidRPr="00650921">
        <w:rPr>
          <w:lang w:val="en-US"/>
        </w:rPr>
        <w:t xml:space="preserve">egion. On </w:t>
      </w:r>
      <w:r w:rsidR="00176114">
        <w:rPr>
          <w:lang w:val="en-US"/>
        </w:rPr>
        <w:t>neither</w:t>
      </w:r>
      <w:r w:rsidR="00650921" w:rsidRPr="00650921">
        <w:rPr>
          <w:lang w:val="en-US"/>
        </w:rPr>
        <w:t xml:space="preserve"> occasion </w:t>
      </w:r>
      <w:proofErr w:type="gramStart"/>
      <w:r w:rsidR="00650921" w:rsidRPr="00650921">
        <w:rPr>
          <w:lang w:val="en-US"/>
        </w:rPr>
        <w:t xml:space="preserve">was </w:t>
      </w:r>
      <w:r w:rsidR="00176114">
        <w:rPr>
          <w:lang w:val="en-US"/>
        </w:rPr>
        <w:t>he</w:t>
      </w:r>
      <w:r w:rsidR="00650921" w:rsidRPr="00650921">
        <w:rPr>
          <w:lang w:val="en-US"/>
        </w:rPr>
        <w:t xml:space="preserve"> informed</w:t>
      </w:r>
      <w:proofErr w:type="gramEnd"/>
      <w:r w:rsidR="00650921" w:rsidRPr="00650921">
        <w:rPr>
          <w:lang w:val="en-US"/>
        </w:rPr>
        <w:t xml:space="preserve"> of the reasons for his arrest </w:t>
      </w:r>
      <w:r w:rsidR="00FB4522">
        <w:rPr>
          <w:lang w:val="en-US"/>
        </w:rPr>
        <w:t xml:space="preserve">or of any </w:t>
      </w:r>
      <w:r w:rsidR="00650921" w:rsidRPr="00650921">
        <w:rPr>
          <w:lang w:val="en-US"/>
        </w:rPr>
        <w:t xml:space="preserve">formal charges against him. It was only in the course of the court hearing concerning the authorization of his arrest that the author learned about the charges against him. Therefore, he </w:t>
      </w:r>
      <w:r w:rsidR="00AC62EF">
        <w:rPr>
          <w:lang w:val="en-US"/>
        </w:rPr>
        <w:t>claims a violation of article 9</w:t>
      </w:r>
      <w:r w:rsidR="00650921" w:rsidRPr="00650921">
        <w:rPr>
          <w:lang w:val="en-US"/>
        </w:rPr>
        <w:t xml:space="preserve"> </w:t>
      </w:r>
      <w:r w:rsidR="00AC62EF">
        <w:rPr>
          <w:lang w:val="en-US"/>
        </w:rPr>
        <w:t>(</w:t>
      </w:r>
      <w:r w:rsidR="00650921" w:rsidRPr="00650921">
        <w:rPr>
          <w:lang w:val="en-US"/>
        </w:rPr>
        <w:t>1</w:t>
      </w:r>
      <w:r w:rsidR="00AC62EF">
        <w:rPr>
          <w:lang w:val="en-US"/>
        </w:rPr>
        <w:t>)</w:t>
      </w:r>
      <w:r w:rsidR="00650921" w:rsidRPr="00650921">
        <w:rPr>
          <w:lang w:val="en-US"/>
        </w:rPr>
        <w:t xml:space="preserve"> and </w:t>
      </w:r>
      <w:r w:rsidR="00AC62EF">
        <w:rPr>
          <w:lang w:val="en-US"/>
        </w:rPr>
        <w:t>(</w:t>
      </w:r>
      <w:r w:rsidR="00650921" w:rsidRPr="00650921">
        <w:rPr>
          <w:lang w:val="en-US"/>
        </w:rPr>
        <w:t>2</w:t>
      </w:r>
      <w:r w:rsidR="00AC62EF">
        <w:rPr>
          <w:lang w:val="en-US"/>
        </w:rPr>
        <w:t>)</w:t>
      </w:r>
      <w:r w:rsidR="00650921" w:rsidRPr="00650921">
        <w:rPr>
          <w:lang w:val="en-US"/>
        </w:rPr>
        <w:t xml:space="preserve"> of the Covenant.</w:t>
      </w:r>
    </w:p>
    <w:p w14:paraId="27BED5D4" w14:textId="1BFC5620" w:rsidR="00650921" w:rsidRPr="00650921" w:rsidRDefault="00650921" w:rsidP="00650921">
      <w:pPr>
        <w:pStyle w:val="SingleTxtG"/>
        <w:rPr>
          <w:lang w:val="en-US"/>
        </w:rPr>
      </w:pPr>
      <w:r w:rsidRPr="00650921">
        <w:rPr>
          <w:lang w:val="en-US"/>
        </w:rPr>
        <w:t>3.2</w:t>
      </w:r>
      <w:r w:rsidRPr="00650921">
        <w:rPr>
          <w:lang w:val="en-US"/>
        </w:rPr>
        <w:tab/>
        <w:t>The author also claims a violation of article 10</w:t>
      </w:r>
      <w:r w:rsidR="00797586">
        <w:rPr>
          <w:lang w:val="en-US"/>
        </w:rPr>
        <w:t xml:space="preserve"> </w:t>
      </w:r>
      <w:r w:rsidR="00AC62EF">
        <w:rPr>
          <w:lang w:val="en-US"/>
        </w:rPr>
        <w:t>(1)</w:t>
      </w:r>
      <w:r w:rsidRPr="00650921">
        <w:rPr>
          <w:lang w:val="en-US"/>
        </w:rPr>
        <w:t xml:space="preserve">, because in the course of </w:t>
      </w:r>
      <w:r w:rsidR="00FB4522">
        <w:rPr>
          <w:lang w:val="en-US"/>
        </w:rPr>
        <w:t xml:space="preserve">the </w:t>
      </w:r>
      <w:r w:rsidRPr="00650921">
        <w:rPr>
          <w:lang w:val="en-US"/>
        </w:rPr>
        <w:t>investigation and legal proceedings</w:t>
      </w:r>
      <w:r w:rsidR="00176114">
        <w:rPr>
          <w:lang w:val="en-US"/>
        </w:rPr>
        <w:t>,</w:t>
      </w:r>
      <w:r w:rsidRPr="00650921">
        <w:rPr>
          <w:lang w:val="en-US"/>
        </w:rPr>
        <w:t xml:space="preserve"> in the period from January to December 2009</w:t>
      </w:r>
      <w:r w:rsidR="00176114">
        <w:rPr>
          <w:lang w:val="en-US"/>
        </w:rPr>
        <w:t>,</w:t>
      </w:r>
      <w:r w:rsidRPr="00650921">
        <w:rPr>
          <w:lang w:val="en-US"/>
        </w:rPr>
        <w:t xml:space="preserve"> he had no access to medical care and did not receive the treatment required for his </w:t>
      </w:r>
      <w:r w:rsidR="00151928">
        <w:rPr>
          <w:lang w:val="en-US"/>
        </w:rPr>
        <w:t>i</w:t>
      </w:r>
      <w:r w:rsidR="00DB37D1">
        <w:rPr>
          <w:lang w:val="en-US"/>
        </w:rPr>
        <w:t>l</w:t>
      </w:r>
      <w:r w:rsidR="00151928">
        <w:rPr>
          <w:lang w:val="en-US"/>
        </w:rPr>
        <w:t>lnesses</w:t>
      </w:r>
      <w:r w:rsidRPr="00650921">
        <w:rPr>
          <w:lang w:val="en-US"/>
        </w:rPr>
        <w:t xml:space="preserve"> in the medical unit of the detention facility. </w:t>
      </w:r>
      <w:r w:rsidR="00176114">
        <w:rPr>
          <w:lang w:val="en-US"/>
        </w:rPr>
        <w:t>Neither did he receive treatment</w:t>
      </w:r>
      <w:r w:rsidRPr="00650921">
        <w:rPr>
          <w:lang w:val="en-US"/>
        </w:rPr>
        <w:t xml:space="preserve"> in the penal colony where </w:t>
      </w:r>
      <w:r w:rsidR="00176114">
        <w:rPr>
          <w:lang w:val="en-US"/>
        </w:rPr>
        <w:t>he</w:t>
      </w:r>
      <w:r w:rsidRPr="00650921">
        <w:rPr>
          <w:lang w:val="en-US"/>
        </w:rPr>
        <w:t xml:space="preserve"> serv</w:t>
      </w:r>
      <w:r w:rsidR="00E535BE">
        <w:rPr>
          <w:lang w:val="en-US"/>
        </w:rPr>
        <w:t>ed</w:t>
      </w:r>
      <w:r w:rsidRPr="00650921">
        <w:rPr>
          <w:lang w:val="en-US"/>
        </w:rPr>
        <w:t xml:space="preserve"> his </w:t>
      </w:r>
      <w:r w:rsidR="00151928">
        <w:rPr>
          <w:lang w:val="en-US"/>
        </w:rPr>
        <w:t>sentence</w:t>
      </w:r>
      <w:r w:rsidRPr="00650921">
        <w:rPr>
          <w:lang w:val="en-US"/>
        </w:rPr>
        <w:t xml:space="preserve">. </w:t>
      </w:r>
    </w:p>
    <w:p w14:paraId="5F1DF284" w14:textId="77B0D53E" w:rsidR="00650921" w:rsidRPr="00650921" w:rsidRDefault="00650921" w:rsidP="00650921">
      <w:pPr>
        <w:pStyle w:val="SingleTxtG"/>
        <w:rPr>
          <w:lang w:val="en-US"/>
        </w:rPr>
      </w:pPr>
      <w:r w:rsidRPr="00650921">
        <w:rPr>
          <w:lang w:val="en-US"/>
        </w:rPr>
        <w:t>3.3</w:t>
      </w:r>
      <w:r w:rsidR="00675A40">
        <w:rPr>
          <w:lang w:val="en-US"/>
        </w:rPr>
        <w:tab/>
      </w:r>
      <w:r w:rsidR="00797586">
        <w:rPr>
          <w:lang w:val="en-US"/>
        </w:rPr>
        <w:t xml:space="preserve">As to his allegations under </w:t>
      </w:r>
      <w:r w:rsidRPr="00650921">
        <w:rPr>
          <w:lang w:val="en-US"/>
        </w:rPr>
        <w:t>article 14</w:t>
      </w:r>
      <w:r w:rsidR="00AC62EF">
        <w:rPr>
          <w:lang w:val="en-US"/>
        </w:rPr>
        <w:t xml:space="preserve"> (1)</w:t>
      </w:r>
      <w:r w:rsidRPr="00650921">
        <w:rPr>
          <w:lang w:val="en-US"/>
        </w:rPr>
        <w:t xml:space="preserve"> of the Covenant</w:t>
      </w:r>
      <w:r w:rsidR="00797586">
        <w:rPr>
          <w:lang w:val="en-US"/>
        </w:rPr>
        <w:t>, the author claims that</w:t>
      </w:r>
      <w:r w:rsidRPr="00650921">
        <w:rPr>
          <w:lang w:val="en-US"/>
        </w:rPr>
        <w:t xml:space="preserve"> </w:t>
      </w:r>
      <w:r w:rsidR="00797586">
        <w:rPr>
          <w:lang w:val="en-US"/>
        </w:rPr>
        <w:t>t</w:t>
      </w:r>
      <w:r w:rsidRPr="00650921">
        <w:rPr>
          <w:lang w:val="en-US"/>
        </w:rPr>
        <w:t xml:space="preserve">he legal proceedings in his case did not meet the requirement of </w:t>
      </w:r>
      <w:r w:rsidRPr="0075209D">
        <w:rPr>
          <w:lang w:val="en-US"/>
        </w:rPr>
        <w:t>publicity</w:t>
      </w:r>
      <w:r w:rsidRPr="00650921">
        <w:rPr>
          <w:lang w:val="en-US"/>
        </w:rPr>
        <w:t xml:space="preserve">. The court hearings </w:t>
      </w:r>
      <w:proofErr w:type="gramStart"/>
      <w:r w:rsidRPr="00650921">
        <w:rPr>
          <w:lang w:val="en-US"/>
        </w:rPr>
        <w:t>were closed</w:t>
      </w:r>
      <w:proofErr w:type="gramEnd"/>
      <w:r w:rsidRPr="00650921">
        <w:rPr>
          <w:lang w:val="en-US"/>
        </w:rPr>
        <w:t xml:space="preserve"> to the public on grounds of national security since the court considered that </w:t>
      </w:r>
      <w:r w:rsidR="0075209D">
        <w:rPr>
          <w:lang w:val="en-US"/>
        </w:rPr>
        <w:t xml:space="preserve">the </w:t>
      </w:r>
      <w:r w:rsidRPr="00650921">
        <w:rPr>
          <w:lang w:val="en-US"/>
        </w:rPr>
        <w:t xml:space="preserve">case materials contained State secrets. The </w:t>
      </w:r>
      <w:r w:rsidR="00E535BE">
        <w:rPr>
          <w:lang w:val="en-US"/>
        </w:rPr>
        <w:t>verdict</w:t>
      </w:r>
      <w:r w:rsidRPr="00650921">
        <w:rPr>
          <w:lang w:val="en-US"/>
        </w:rPr>
        <w:t xml:space="preserve"> was pronounced in closed session and after the </w:t>
      </w:r>
      <w:proofErr w:type="gramStart"/>
      <w:r w:rsidRPr="00650921">
        <w:rPr>
          <w:lang w:val="en-US"/>
        </w:rPr>
        <w:t>trial</w:t>
      </w:r>
      <w:proofErr w:type="gramEnd"/>
      <w:r w:rsidRPr="00650921">
        <w:rPr>
          <w:lang w:val="en-US"/>
        </w:rPr>
        <w:t xml:space="preserve"> a press release with the operative part of the sentence was issued. The author was not served a copy of the </w:t>
      </w:r>
      <w:r w:rsidR="00E535BE">
        <w:rPr>
          <w:lang w:val="en-US"/>
        </w:rPr>
        <w:t xml:space="preserve">verdict </w:t>
      </w:r>
      <w:r w:rsidRPr="00650921">
        <w:rPr>
          <w:lang w:val="en-US"/>
        </w:rPr>
        <w:t>and</w:t>
      </w:r>
      <w:r w:rsidR="0075209D">
        <w:rPr>
          <w:lang w:val="en-US"/>
        </w:rPr>
        <w:t xml:space="preserve"> </w:t>
      </w:r>
      <w:r w:rsidR="0075209D" w:rsidRPr="009E7698">
        <w:rPr>
          <w:lang w:val="en-US"/>
        </w:rPr>
        <w:t>to date</w:t>
      </w:r>
      <w:r w:rsidRPr="009E7698">
        <w:rPr>
          <w:lang w:val="en-US"/>
        </w:rPr>
        <w:t xml:space="preserve"> he </w:t>
      </w:r>
      <w:r w:rsidR="0075209D" w:rsidRPr="009E7698">
        <w:rPr>
          <w:lang w:val="en-US"/>
        </w:rPr>
        <w:t>has</w:t>
      </w:r>
      <w:r w:rsidRPr="009E7698">
        <w:rPr>
          <w:lang w:val="en-US"/>
        </w:rPr>
        <w:t xml:space="preserve"> not </w:t>
      </w:r>
      <w:r w:rsidR="0075209D" w:rsidRPr="009E7698">
        <w:rPr>
          <w:lang w:val="en-US"/>
        </w:rPr>
        <w:t xml:space="preserve">been </w:t>
      </w:r>
      <w:r w:rsidRPr="009E7698">
        <w:rPr>
          <w:lang w:val="en-US"/>
        </w:rPr>
        <w:t>provided</w:t>
      </w:r>
      <w:r w:rsidRPr="00650921">
        <w:rPr>
          <w:lang w:val="en-US"/>
        </w:rPr>
        <w:t xml:space="preserve"> with its complete text. </w:t>
      </w:r>
      <w:r w:rsidR="003B67CF">
        <w:rPr>
          <w:lang w:val="en-US"/>
        </w:rPr>
        <w:t>Furthermore, according to the author, the</w:t>
      </w:r>
      <w:r w:rsidR="00161EEA">
        <w:rPr>
          <w:lang w:val="en-US"/>
        </w:rPr>
        <w:t xml:space="preserve"> </w:t>
      </w:r>
      <w:r w:rsidRPr="00650921">
        <w:rPr>
          <w:lang w:val="en-US"/>
        </w:rPr>
        <w:t>requirement of independence</w:t>
      </w:r>
      <w:r w:rsidR="00161EEA">
        <w:rPr>
          <w:lang w:val="en-US"/>
        </w:rPr>
        <w:t xml:space="preserve"> was not met</w:t>
      </w:r>
      <w:r w:rsidRPr="00650921">
        <w:rPr>
          <w:lang w:val="en-US"/>
        </w:rPr>
        <w:t xml:space="preserve">, because </w:t>
      </w:r>
      <w:proofErr w:type="gramStart"/>
      <w:r w:rsidRPr="00650921">
        <w:rPr>
          <w:lang w:val="en-US"/>
        </w:rPr>
        <w:t xml:space="preserve">the sentence was handed down by a judge whose brother was an official </w:t>
      </w:r>
      <w:r w:rsidR="004D4E51">
        <w:rPr>
          <w:lang w:val="en-US"/>
        </w:rPr>
        <w:t>in</w:t>
      </w:r>
      <w:r w:rsidRPr="00650921">
        <w:rPr>
          <w:lang w:val="en-US"/>
        </w:rPr>
        <w:t xml:space="preserve"> the </w:t>
      </w:r>
      <w:r w:rsidR="004D4E51">
        <w:rPr>
          <w:lang w:val="en-US"/>
        </w:rPr>
        <w:t>National Security Committee</w:t>
      </w:r>
      <w:r w:rsidR="004D4E51" w:rsidRPr="00650921">
        <w:rPr>
          <w:lang w:val="en-US"/>
        </w:rPr>
        <w:t xml:space="preserve"> </w:t>
      </w:r>
      <w:r w:rsidRPr="00650921">
        <w:rPr>
          <w:lang w:val="en-US"/>
        </w:rPr>
        <w:t xml:space="preserve">of </w:t>
      </w:r>
      <w:proofErr w:type="spellStart"/>
      <w:r w:rsidRPr="00650921">
        <w:rPr>
          <w:lang w:val="en-US"/>
        </w:rPr>
        <w:t>Z</w:t>
      </w:r>
      <w:r w:rsidR="00AC62EF">
        <w:rPr>
          <w:lang w:val="en-US"/>
        </w:rPr>
        <w:t>h</w:t>
      </w:r>
      <w:r w:rsidRPr="00650921">
        <w:rPr>
          <w:lang w:val="en-US"/>
        </w:rPr>
        <w:t>ambyl</w:t>
      </w:r>
      <w:proofErr w:type="spellEnd"/>
      <w:r w:rsidRPr="00650921">
        <w:rPr>
          <w:lang w:val="en-US"/>
        </w:rPr>
        <w:t xml:space="preserve"> </w:t>
      </w:r>
      <w:r w:rsidR="004D4E51">
        <w:rPr>
          <w:lang w:val="en-US"/>
        </w:rPr>
        <w:t>R</w:t>
      </w:r>
      <w:r w:rsidRPr="00650921">
        <w:rPr>
          <w:lang w:val="en-US"/>
        </w:rPr>
        <w:t>egion</w:t>
      </w:r>
      <w:proofErr w:type="gramEnd"/>
      <w:r w:rsidRPr="00650921">
        <w:rPr>
          <w:lang w:val="en-US"/>
        </w:rPr>
        <w:t xml:space="preserve">. </w:t>
      </w:r>
      <w:r w:rsidR="004D4E51">
        <w:rPr>
          <w:lang w:val="en-US"/>
        </w:rPr>
        <w:t>T</w:t>
      </w:r>
      <w:r w:rsidRPr="00650921">
        <w:rPr>
          <w:lang w:val="en-US"/>
        </w:rPr>
        <w:t xml:space="preserve">he author requested the recusal of the judge several times, </w:t>
      </w:r>
      <w:r w:rsidR="004D4E51">
        <w:rPr>
          <w:lang w:val="en-US"/>
        </w:rPr>
        <w:t xml:space="preserve">but </w:t>
      </w:r>
      <w:r w:rsidRPr="00650921">
        <w:rPr>
          <w:lang w:val="en-US"/>
        </w:rPr>
        <w:t xml:space="preserve">his requests </w:t>
      </w:r>
      <w:proofErr w:type="gramStart"/>
      <w:r w:rsidRPr="00650921">
        <w:rPr>
          <w:lang w:val="en-US"/>
        </w:rPr>
        <w:t>were rejected</w:t>
      </w:r>
      <w:proofErr w:type="gramEnd"/>
      <w:r w:rsidRPr="00650921">
        <w:rPr>
          <w:lang w:val="en-US"/>
        </w:rPr>
        <w:t xml:space="preserve">. </w:t>
      </w:r>
    </w:p>
    <w:p w14:paraId="1AED9D41" w14:textId="065D08B0" w:rsidR="00650921" w:rsidRPr="00650921" w:rsidRDefault="00650921" w:rsidP="00650921">
      <w:pPr>
        <w:pStyle w:val="SingleTxtG"/>
        <w:rPr>
          <w:lang w:val="en-US"/>
        </w:rPr>
      </w:pPr>
      <w:r w:rsidRPr="00650921">
        <w:rPr>
          <w:lang w:val="en-US"/>
        </w:rPr>
        <w:t>3.4</w:t>
      </w:r>
      <w:r w:rsidRPr="00650921">
        <w:rPr>
          <w:lang w:val="en-US"/>
        </w:rPr>
        <w:tab/>
        <w:t xml:space="preserve">The author submits that </w:t>
      </w:r>
      <w:r w:rsidR="00C34E86">
        <w:rPr>
          <w:lang w:val="en-US"/>
        </w:rPr>
        <w:t xml:space="preserve">his right </w:t>
      </w:r>
      <w:r w:rsidR="003B67CF">
        <w:rPr>
          <w:lang w:val="en-US"/>
        </w:rPr>
        <w:t xml:space="preserve">to </w:t>
      </w:r>
      <w:r w:rsidRPr="00650921">
        <w:rPr>
          <w:lang w:val="en-US"/>
        </w:rPr>
        <w:t xml:space="preserve">the presumption of innocence </w:t>
      </w:r>
      <w:r w:rsidR="00C34E86">
        <w:rPr>
          <w:lang w:val="en-US"/>
        </w:rPr>
        <w:t>was</w:t>
      </w:r>
      <w:r w:rsidR="003B67CF">
        <w:rPr>
          <w:lang w:val="en-US"/>
        </w:rPr>
        <w:t xml:space="preserve"> </w:t>
      </w:r>
      <w:r w:rsidRPr="00650921">
        <w:rPr>
          <w:lang w:val="en-US"/>
        </w:rPr>
        <w:t>not respected, in violation of article 14</w:t>
      </w:r>
      <w:r w:rsidR="00AC62EF">
        <w:rPr>
          <w:lang w:val="en-US"/>
        </w:rPr>
        <w:t xml:space="preserve"> (2)</w:t>
      </w:r>
      <w:r w:rsidRPr="00650921">
        <w:rPr>
          <w:lang w:val="en-US"/>
        </w:rPr>
        <w:t xml:space="preserve"> of the Covenant. In the course of the preliminary investigation, the press secretary of the </w:t>
      </w:r>
      <w:r w:rsidR="004D4E51">
        <w:rPr>
          <w:lang w:val="en-US"/>
        </w:rPr>
        <w:t>National Security Committee,</w:t>
      </w:r>
      <w:r w:rsidRPr="00650921">
        <w:rPr>
          <w:lang w:val="en-US"/>
        </w:rPr>
        <w:t xml:space="preserve"> during a press conference</w:t>
      </w:r>
      <w:r w:rsidR="004D4E51">
        <w:rPr>
          <w:lang w:val="en-US"/>
        </w:rPr>
        <w:t>,</w:t>
      </w:r>
      <w:r w:rsidRPr="00650921">
        <w:rPr>
          <w:lang w:val="en-US"/>
        </w:rPr>
        <w:t xml:space="preserve"> made unverified statements about </w:t>
      </w:r>
      <w:r w:rsidR="004D4E51">
        <w:rPr>
          <w:lang w:val="en-US"/>
        </w:rPr>
        <w:t>an</w:t>
      </w:r>
      <w:r w:rsidRPr="00650921">
        <w:rPr>
          <w:lang w:val="en-US"/>
        </w:rPr>
        <w:t xml:space="preserve"> alleged conspiracy between the author and a businessman from </w:t>
      </w:r>
      <w:proofErr w:type="spellStart"/>
      <w:r w:rsidRPr="00650921">
        <w:rPr>
          <w:lang w:val="en-US"/>
        </w:rPr>
        <w:t>Taraz</w:t>
      </w:r>
      <w:proofErr w:type="spellEnd"/>
      <w:r w:rsidRPr="00650921">
        <w:rPr>
          <w:lang w:val="en-US"/>
        </w:rPr>
        <w:t xml:space="preserve"> and presented a copy of a letter allegedly written by the author confirming </w:t>
      </w:r>
      <w:r w:rsidR="004D4E51">
        <w:rPr>
          <w:lang w:val="en-US"/>
        </w:rPr>
        <w:t>the author’s</w:t>
      </w:r>
      <w:r w:rsidRPr="00650921">
        <w:rPr>
          <w:lang w:val="en-US"/>
        </w:rPr>
        <w:t xml:space="preserve"> interest in publishing the </w:t>
      </w:r>
      <w:r w:rsidR="004D4E51">
        <w:rPr>
          <w:lang w:val="en-US"/>
        </w:rPr>
        <w:t>National Security Committee’s</w:t>
      </w:r>
      <w:r w:rsidR="004D4E51" w:rsidRPr="00650921">
        <w:rPr>
          <w:lang w:val="en-US"/>
        </w:rPr>
        <w:t xml:space="preserve"> </w:t>
      </w:r>
      <w:r w:rsidRPr="00650921">
        <w:rPr>
          <w:lang w:val="en-US"/>
        </w:rPr>
        <w:t xml:space="preserve">letters in the newspaper. </w:t>
      </w:r>
    </w:p>
    <w:p w14:paraId="28B67E49" w14:textId="3E38E5CB" w:rsidR="00650921" w:rsidRPr="00650921" w:rsidRDefault="00650921" w:rsidP="00650921">
      <w:pPr>
        <w:pStyle w:val="SingleTxtG"/>
        <w:rPr>
          <w:lang w:val="en-US"/>
        </w:rPr>
      </w:pPr>
      <w:proofErr w:type="gramStart"/>
      <w:r w:rsidRPr="00650921">
        <w:rPr>
          <w:lang w:val="en-US"/>
        </w:rPr>
        <w:t>3.5</w:t>
      </w:r>
      <w:r w:rsidRPr="00650921">
        <w:rPr>
          <w:lang w:val="en-US"/>
        </w:rPr>
        <w:tab/>
        <w:t xml:space="preserve">The author claims that, </w:t>
      </w:r>
      <w:r w:rsidR="004D4E51">
        <w:rPr>
          <w:lang w:val="en-US"/>
        </w:rPr>
        <w:t>owing</w:t>
      </w:r>
      <w:r w:rsidRPr="00650921">
        <w:rPr>
          <w:lang w:val="en-US"/>
        </w:rPr>
        <w:t xml:space="preserve"> to the classification</w:t>
      </w:r>
      <w:r w:rsidR="004D4E51">
        <w:rPr>
          <w:lang w:val="en-US"/>
        </w:rPr>
        <w:t xml:space="preserve"> of documents</w:t>
      </w:r>
      <w:r w:rsidRPr="00650921">
        <w:rPr>
          <w:lang w:val="en-US"/>
        </w:rPr>
        <w:t xml:space="preserve"> as secret and the failure of </w:t>
      </w:r>
      <w:r w:rsidR="00E535BE">
        <w:rPr>
          <w:lang w:val="en-US"/>
        </w:rPr>
        <w:t xml:space="preserve">the </w:t>
      </w:r>
      <w:r w:rsidRPr="00650921">
        <w:rPr>
          <w:lang w:val="en-US"/>
        </w:rPr>
        <w:t xml:space="preserve">authorities to provide the majority of the documents related to his criminal and civil cases, he has been deprived of the possibility to prepare his </w:t>
      </w:r>
      <w:proofErr w:type="spellStart"/>
      <w:r w:rsidRPr="00650921">
        <w:rPr>
          <w:lang w:val="en-US"/>
        </w:rPr>
        <w:t>defen</w:t>
      </w:r>
      <w:r w:rsidR="008E43FD">
        <w:rPr>
          <w:lang w:val="en-US"/>
        </w:rPr>
        <w:t>c</w:t>
      </w:r>
      <w:r w:rsidRPr="00650921">
        <w:rPr>
          <w:lang w:val="en-US"/>
        </w:rPr>
        <w:t>e</w:t>
      </w:r>
      <w:proofErr w:type="spellEnd"/>
      <w:r w:rsidRPr="00650921">
        <w:rPr>
          <w:lang w:val="en-US"/>
        </w:rPr>
        <w:t xml:space="preserve"> and to communicate with counsel of his own choosing, in violation of article 14</w:t>
      </w:r>
      <w:r w:rsidR="00AC62EF">
        <w:rPr>
          <w:lang w:val="en-US"/>
        </w:rPr>
        <w:t xml:space="preserve"> (</w:t>
      </w:r>
      <w:r w:rsidRPr="00650921">
        <w:rPr>
          <w:lang w:val="en-US"/>
        </w:rPr>
        <w:t>3</w:t>
      </w:r>
      <w:r w:rsidR="00AC62EF">
        <w:rPr>
          <w:lang w:val="en-US"/>
        </w:rPr>
        <w:t>)</w:t>
      </w:r>
      <w:r w:rsidRPr="00650921">
        <w:rPr>
          <w:lang w:val="en-US"/>
        </w:rPr>
        <w:t xml:space="preserve"> (b) and (d)</w:t>
      </w:r>
      <w:r w:rsidR="003B67CF">
        <w:rPr>
          <w:lang w:val="en-US"/>
        </w:rPr>
        <w:t xml:space="preserve"> </w:t>
      </w:r>
      <w:r w:rsidRPr="00650921">
        <w:rPr>
          <w:lang w:val="en-US"/>
        </w:rPr>
        <w:t>of the Covenant.</w:t>
      </w:r>
      <w:proofErr w:type="gramEnd"/>
      <w:r w:rsidRPr="00650921">
        <w:rPr>
          <w:lang w:val="en-US"/>
        </w:rPr>
        <w:t xml:space="preserve"> The </w:t>
      </w:r>
      <w:r w:rsidR="004D4E51">
        <w:rPr>
          <w:lang w:val="en-US"/>
        </w:rPr>
        <w:t>National Security Committee’s</w:t>
      </w:r>
      <w:r w:rsidR="004D4E51" w:rsidRPr="00650921">
        <w:rPr>
          <w:lang w:val="en-US"/>
        </w:rPr>
        <w:t xml:space="preserve"> </w:t>
      </w:r>
      <w:r w:rsidRPr="00650921">
        <w:rPr>
          <w:lang w:val="en-US"/>
        </w:rPr>
        <w:t xml:space="preserve">investigative officer refused </w:t>
      </w:r>
      <w:r w:rsidRPr="00690251">
        <w:rPr>
          <w:lang w:val="en-US"/>
        </w:rPr>
        <w:t xml:space="preserve">to allow </w:t>
      </w:r>
      <w:r w:rsidR="00673BCB">
        <w:rPr>
          <w:lang w:val="en-US"/>
        </w:rPr>
        <w:t xml:space="preserve">two attorneys and </w:t>
      </w:r>
      <w:r w:rsidR="004D4E51">
        <w:rPr>
          <w:lang w:val="en-US"/>
        </w:rPr>
        <w:t>the author’s</w:t>
      </w:r>
      <w:r w:rsidR="00673BCB">
        <w:rPr>
          <w:lang w:val="en-US"/>
        </w:rPr>
        <w:t xml:space="preserve"> wife</w:t>
      </w:r>
      <w:r w:rsidRPr="00690251">
        <w:rPr>
          <w:lang w:val="en-US"/>
        </w:rPr>
        <w:t xml:space="preserve"> to participate in the process</w:t>
      </w:r>
      <w:r w:rsidR="008E1B34">
        <w:rPr>
          <w:lang w:val="en-US"/>
        </w:rPr>
        <w:t>,</w:t>
      </w:r>
      <w:r w:rsidRPr="00690251">
        <w:rPr>
          <w:lang w:val="en-US"/>
        </w:rPr>
        <w:t xml:space="preserve"> invoking the </w:t>
      </w:r>
      <w:r w:rsidR="003B67CF">
        <w:rPr>
          <w:lang w:val="en-US"/>
        </w:rPr>
        <w:t xml:space="preserve">absence of </w:t>
      </w:r>
      <w:r w:rsidRPr="00690251">
        <w:rPr>
          <w:lang w:val="en-US"/>
        </w:rPr>
        <w:t>authorization</w:t>
      </w:r>
      <w:r w:rsidRPr="00650921">
        <w:rPr>
          <w:lang w:val="en-US"/>
        </w:rPr>
        <w:t xml:space="preserve"> for access to secret materials. </w:t>
      </w:r>
      <w:r w:rsidR="00690251">
        <w:rPr>
          <w:lang w:val="en-US"/>
        </w:rPr>
        <w:t xml:space="preserve">During the court proceedings in the </w:t>
      </w:r>
      <w:proofErr w:type="spellStart"/>
      <w:r w:rsidR="00690251">
        <w:rPr>
          <w:lang w:val="en-US"/>
        </w:rPr>
        <w:t>Taraz</w:t>
      </w:r>
      <w:proofErr w:type="spellEnd"/>
      <w:r w:rsidR="00690251">
        <w:rPr>
          <w:lang w:val="en-US"/>
        </w:rPr>
        <w:t xml:space="preserve"> </w:t>
      </w:r>
      <w:r w:rsidR="00AE768A">
        <w:rPr>
          <w:lang w:val="en-US"/>
        </w:rPr>
        <w:t>c</w:t>
      </w:r>
      <w:r w:rsidR="00690251">
        <w:rPr>
          <w:lang w:val="en-US"/>
        </w:rPr>
        <w:t xml:space="preserve">ourt, the author again requested to </w:t>
      </w:r>
      <w:proofErr w:type="gramStart"/>
      <w:r w:rsidR="00690251">
        <w:rPr>
          <w:lang w:val="en-US"/>
        </w:rPr>
        <w:t>be defended</w:t>
      </w:r>
      <w:proofErr w:type="gramEnd"/>
      <w:r w:rsidR="00690251">
        <w:rPr>
          <w:lang w:val="en-US"/>
        </w:rPr>
        <w:t xml:space="preserve"> by his wife and two attorneys, but his request was rejected </w:t>
      </w:r>
      <w:r w:rsidR="00E13BC1">
        <w:rPr>
          <w:lang w:val="en-US"/>
        </w:rPr>
        <w:t>for the same reason</w:t>
      </w:r>
      <w:r w:rsidR="00690251">
        <w:rPr>
          <w:lang w:val="en-US"/>
        </w:rPr>
        <w:t xml:space="preserve">. On unspecified </w:t>
      </w:r>
      <w:proofErr w:type="gramStart"/>
      <w:r w:rsidR="00690251">
        <w:rPr>
          <w:lang w:val="en-US"/>
        </w:rPr>
        <w:t>dates</w:t>
      </w:r>
      <w:proofErr w:type="gramEnd"/>
      <w:r w:rsidR="00690251">
        <w:rPr>
          <w:lang w:val="en-US"/>
        </w:rPr>
        <w:t xml:space="preserve"> </w:t>
      </w:r>
      <w:r w:rsidR="008E1B34">
        <w:rPr>
          <w:lang w:val="en-US"/>
        </w:rPr>
        <w:t>his</w:t>
      </w:r>
      <w:r w:rsidR="00690251">
        <w:rPr>
          <w:lang w:val="en-US"/>
        </w:rPr>
        <w:t xml:space="preserve"> wife and the attorneys filed</w:t>
      </w:r>
      <w:r w:rsidRPr="00650921">
        <w:rPr>
          <w:lang w:val="en-US"/>
        </w:rPr>
        <w:t xml:space="preserve"> numerous petitions </w:t>
      </w:r>
      <w:r w:rsidR="00904773">
        <w:rPr>
          <w:lang w:val="en-US"/>
        </w:rPr>
        <w:t xml:space="preserve">requesting </w:t>
      </w:r>
      <w:r w:rsidR="00690251">
        <w:rPr>
          <w:lang w:val="en-US"/>
        </w:rPr>
        <w:t xml:space="preserve">security clearance, but </w:t>
      </w:r>
      <w:r w:rsidR="008E1B34">
        <w:rPr>
          <w:lang w:val="en-US"/>
        </w:rPr>
        <w:t xml:space="preserve">all </w:t>
      </w:r>
      <w:r w:rsidR="00690251">
        <w:rPr>
          <w:lang w:val="en-US"/>
        </w:rPr>
        <w:t>were</w:t>
      </w:r>
      <w:r w:rsidRPr="00650921">
        <w:rPr>
          <w:lang w:val="en-US"/>
        </w:rPr>
        <w:t xml:space="preserve"> dismissed.</w:t>
      </w:r>
      <w:r w:rsidR="00C01B37">
        <w:rPr>
          <w:rStyle w:val="FootnoteReference"/>
          <w:lang w:val="en-US"/>
        </w:rPr>
        <w:footnoteReference w:id="5"/>
      </w:r>
      <w:r w:rsidRPr="00650921">
        <w:rPr>
          <w:lang w:val="en-US"/>
        </w:rPr>
        <w:t xml:space="preserve"> The </w:t>
      </w:r>
      <w:r w:rsidR="00B85301">
        <w:rPr>
          <w:lang w:val="en-US"/>
        </w:rPr>
        <w:t>C</w:t>
      </w:r>
      <w:r w:rsidRPr="00B85301">
        <w:rPr>
          <w:lang w:val="en-US"/>
        </w:rPr>
        <w:t>ourt</w:t>
      </w:r>
      <w:r w:rsidRPr="00650921">
        <w:rPr>
          <w:lang w:val="en-US"/>
        </w:rPr>
        <w:t xml:space="preserve"> also dismissed the author’s request to defend himself in person and assigned</w:t>
      </w:r>
      <w:r w:rsidR="003B67CF">
        <w:rPr>
          <w:lang w:val="en-US"/>
        </w:rPr>
        <w:t xml:space="preserve"> </w:t>
      </w:r>
      <w:r w:rsidRPr="00650921">
        <w:rPr>
          <w:lang w:val="en-US"/>
        </w:rPr>
        <w:t>a</w:t>
      </w:r>
      <w:r w:rsidR="00690251">
        <w:rPr>
          <w:lang w:val="en-US"/>
        </w:rPr>
        <w:t xml:space="preserve">n ex officio </w:t>
      </w:r>
      <w:r w:rsidRPr="00650921">
        <w:rPr>
          <w:lang w:val="en-US"/>
        </w:rPr>
        <w:t xml:space="preserve">lawyer to represent </w:t>
      </w:r>
      <w:r w:rsidR="00B85301">
        <w:rPr>
          <w:lang w:val="en-US"/>
        </w:rPr>
        <w:t>the author’s</w:t>
      </w:r>
      <w:r w:rsidR="00B85301" w:rsidRPr="00650921">
        <w:rPr>
          <w:lang w:val="en-US"/>
        </w:rPr>
        <w:t xml:space="preserve"> </w:t>
      </w:r>
      <w:r w:rsidRPr="00650921">
        <w:rPr>
          <w:lang w:val="en-US"/>
        </w:rPr>
        <w:t>interests</w:t>
      </w:r>
      <w:r w:rsidR="003B67CF">
        <w:rPr>
          <w:lang w:val="en-US"/>
        </w:rPr>
        <w:t xml:space="preserve">, without </w:t>
      </w:r>
      <w:r w:rsidR="00B85301">
        <w:rPr>
          <w:lang w:val="en-US"/>
        </w:rPr>
        <w:t>the author’s</w:t>
      </w:r>
      <w:r w:rsidR="003B67CF">
        <w:rPr>
          <w:lang w:val="en-US"/>
        </w:rPr>
        <w:t xml:space="preserve"> consent</w:t>
      </w:r>
      <w:r w:rsidRPr="00650921">
        <w:rPr>
          <w:lang w:val="en-US"/>
        </w:rPr>
        <w:t>. The author refused the services of t</w:t>
      </w:r>
      <w:r>
        <w:rPr>
          <w:lang w:val="en-US"/>
        </w:rPr>
        <w:t>h</w:t>
      </w:r>
      <w:r w:rsidRPr="00650921">
        <w:rPr>
          <w:lang w:val="en-US"/>
        </w:rPr>
        <w:t xml:space="preserve">e latter. </w:t>
      </w:r>
    </w:p>
    <w:p w14:paraId="7C178EC8" w14:textId="1403C2EC" w:rsidR="00650921" w:rsidRPr="00650921" w:rsidRDefault="00650921" w:rsidP="00650921">
      <w:pPr>
        <w:pStyle w:val="SingleTxtG"/>
        <w:rPr>
          <w:lang w:val="en-US"/>
        </w:rPr>
      </w:pPr>
      <w:r w:rsidRPr="00650921">
        <w:rPr>
          <w:lang w:val="en-US"/>
        </w:rPr>
        <w:t>3.6</w:t>
      </w:r>
      <w:r w:rsidRPr="00650921">
        <w:rPr>
          <w:lang w:val="en-US"/>
        </w:rPr>
        <w:tab/>
        <w:t xml:space="preserve">The author </w:t>
      </w:r>
      <w:r w:rsidR="00673BCB">
        <w:rPr>
          <w:lang w:val="en-US"/>
        </w:rPr>
        <w:t xml:space="preserve">also </w:t>
      </w:r>
      <w:r w:rsidRPr="00650921">
        <w:rPr>
          <w:lang w:val="en-US"/>
        </w:rPr>
        <w:t xml:space="preserve">claims a violation of article 14 </w:t>
      </w:r>
      <w:r w:rsidR="00AC62EF">
        <w:rPr>
          <w:lang w:val="en-US"/>
        </w:rPr>
        <w:t>(</w:t>
      </w:r>
      <w:r w:rsidRPr="00650921">
        <w:rPr>
          <w:lang w:val="en-US"/>
        </w:rPr>
        <w:t>3</w:t>
      </w:r>
      <w:r w:rsidR="00AC62EF">
        <w:rPr>
          <w:lang w:val="en-US"/>
        </w:rPr>
        <w:t>)</w:t>
      </w:r>
      <w:r w:rsidRPr="00650921">
        <w:rPr>
          <w:lang w:val="en-US"/>
        </w:rPr>
        <w:t xml:space="preserve"> (e), since the </w:t>
      </w:r>
      <w:r w:rsidR="00B85301">
        <w:rPr>
          <w:lang w:val="en-US"/>
        </w:rPr>
        <w:t>C</w:t>
      </w:r>
      <w:r w:rsidRPr="00B85301">
        <w:rPr>
          <w:lang w:val="en-US"/>
        </w:rPr>
        <w:t>ourt</w:t>
      </w:r>
      <w:r w:rsidRPr="00650921">
        <w:rPr>
          <w:lang w:val="en-US"/>
        </w:rPr>
        <w:t xml:space="preserve"> refused to summon several important witnesses </w:t>
      </w:r>
      <w:r w:rsidR="002B63BC">
        <w:rPr>
          <w:lang w:val="en-US"/>
        </w:rPr>
        <w:t xml:space="preserve">requested by the author, such as officials of the </w:t>
      </w:r>
      <w:r w:rsidR="00B85301">
        <w:rPr>
          <w:lang w:val="en-US"/>
        </w:rPr>
        <w:t>National Security Committee</w:t>
      </w:r>
      <w:r w:rsidR="002B63BC">
        <w:rPr>
          <w:lang w:val="en-US"/>
        </w:rPr>
        <w:t xml:space="preserve"> and a prosecutor</w:t>
      </w:r>
      <w:r w:rsidR="002B63BC" w:rsidRPr="00761E83">
        <w:rPr>
          <w:lang w:val="en-US"/>
        </w:rPr>
        <w:t xml:space="preserve">, </w:t>
      </w:r>
      <w:r w:rsidRPr="00761E83">
        <w:rPr>
          <w:lang w:val="en-US"/>
        </w:rPr>
        <w:t>whose testimonies could have had considerable significance for the outcome of the proceedings</w:t>
      </w:r>
      <w:r w:rsidR="00C72943">
        <w:rPr>
          <w:lang w:val="en-US"/>
        </w:rPr>
        <w:t>.</w:t>
      </w:r>
      <w:r w:rsidRPr="00761E83">
        <w:rPr>
          <w:lang w:val="en-US"/>
        </w:rPr>
        <w:t xml:space="preserve"> </w:t>
      </w:r>
      <w:r w:rsidR="002B450B" w:rsidRPr="00761E83">
        <w:rPr>
          <w:lang w:val="en-US"/>
        </w:rPr>
        <w:t>The court</w:t>
      </w:r>
      <w:r w:rsidRPr="00761E83">
        <w:rPr>
          <w:lang w:val="en-US"/>
        </w:rPr>
        <w:t xml:space="preserve"> also refused to appoint independent and impartial</w:t>
      </w:r>
      <w:r w:rsidRPr="00650921">
        <w:rPr>
          <w:lang w:val="en-US"/>
        </w:rPr>
        <w:t xml:space="preserve"> linguistic experts to analys</w:t>
      </w:r>
      <w:r w:rsidR="00B85301">
        <w:rPr>
          <w:lang w:val="en-US"/>
        </w:rPr>
        <w:t>e</w:t>
      </w:r>
      <w:r w:rsidRPr="00650921">
        <w:rPr>
          <w:lang w:val="en-US"/>
        </w:rPr>
        <w:t xml:space="preserve"> the letters </w:t>
      </w:r>
      <w:r w:rsidR="00B85301">
        <w:rPr>
          <w:lang w:val="en-US"/>
        </w:rPr>
        <w:t xml:space="preserve">of the National Security Committee that </w:t>
      </w:r>
      <w:proofErr w:type="gramStart"/>
      <w:r w:rsidR="00B85301">
        <w:rPr>
          <w:lang w:val="en-US"/>
        </w:rPr>
        <w:t xml:space="preserve">were </w:t>
      </w:r>
      <w:r w:rsidRPr="00650921">
        <w:rPr>
          <w:lang w:val="en-US"/>
        </w:rPr>
        <w:t>published</w:t>
      </w:r>
      <w:proofErr w:type="gramEnd"/>
      <w:r w:rsidRPr="00650921">
        <w:rPr>
          <w:lang w:val="en-US"/>
        </w:rPr>
        <w:t xml:space="preserve"> in the newspaper</w:t>
      </w:r>
      <w:r w:rsidR="002B450B">
        <w:rPr>
          <w:lang w:val="en-US"/>
        </w:rPr>
        <w:t>.</w:t>
      </w:r>
      <w:r w:rsidRPr="00650921">
        <w:rPr>
          <w:lang w:val="en-US"/>
        </w:rPr>
        <w:t xml:space="preserve"> </w:t>
      </w:r>
    </w:p>
    <w:p w14:paraId="2ECD8DD0" w14:textId="2FB1BC53" w:rsidR="00650921" w:rsidRPr="00650921" w:rsidRDefault="00650921" w:rsidP="00142EF6">
      <w:pPr>
        <w:pStyle w:val="SingleTxtG"/>
        <w:rPr>
          <w:lang w:val="en-US"/>
        </w:rPr>
      </w:pPr>
      <w:r w:rsidRPr="00650921">
        <w:rPr>
          <w:lang w:val="en-US"/>
        </w:rPr>
        <w:t>3.7</w:t>
      </w:r>
      <w:r w:rsidRPr="00650921">
        <w:rPr>
          <w:lang w:val="en-US"/>
        </w:rPr>
        <w:tab/>
        <w:t xml:space="preserve">The author </w:t>
      </w:r>
      <w:r w:rsidR="009B4C24">
        <w:rPr>
          <w:lang w:val="en-US"/>
        </w:rPr>
        <w:t>claims</w:t>
      </w:r>
      <w:r w:rsidRPr="00650921">
        <w:rPr>
          <w:lang w:val="en-US"/>
        </w:rPr>
        <w:t xml:space="preserve"> that his rights under article 17</w:t>
      </w:r>
      <w:r w:rsidR="00797586">
        <w:rPr>
          <w:lang w:val="en-US"/>
        </w:rPr>
        <w:t xml:space="preserve"> </w:t>
      </w:r>
      <w:r w:rsidR="00AC62EF">
        <w:rPr>
          <w:lang w:val="en-US"/>
        </w:rPr>
        <w:t>(</w:t>
      </w:r>
      <w:r w:rsidRPr="00650921">
        <w:rPr>
          <w:lang w:val="en-US"/>
        </w:rPr>
        <w:t>1</w:t>
      </w:r>
      <w:r w:rsidR="00AC62EF">
        <w:rPr>
          <w:lang w:val="en-US"/>
        </w:rPr>
        <w:t>)</w:t>
      </w:r>
      <w:r w:rsidRPr="00650921">
        <w:rPr>
          <w:lang w:val="en-US"/>
        </w:rPr>
        <w:t xml:space="preserve"> and </w:t>
      </w:r>
      <w:r w:rsidR="00AC62EF">
        <w:rPr>
          <w:lang w:val="en-US"/>
        </w:rPr>
        <w:t>(</w:t>
      </w:r>
      <w:r w:rsidRPr="00650921">
        <w:rPr>
          <w:lang w:val="en-US"/>
        </w:rPr>
        <w:t>2</w:t>
      </w:r>
      <w:r w:rsidR="00AC62EF">
        <w:rPr>
          <w:lang w:val="en-US"/>
        </w:rPr>
        <w:t>)</w:t>
      </w:r>
      <w:r w:rsidRPr="00650921">
        <w:rPr>
          <w:lang w:val="en-US"/>
        </w:rPr>
        <w:t xml:space="preserve"> </w:t>
      </w:r>
      <w:r w:rsidR="00B85301">
        <w:rPr>
          <w:lang w:val="en-US"/>
        </w:rPr>
        <w:t xml:space="preserve">of the Covenant </w:t>
      </w:r>
      <w:proofErr w:type="gramStart"/>
      <w:r w:rsidRPr="00650921">
        <w:rPr>
          <w:lang w:val="en-US"/>
        </w:rPr>
        <w:t>ha</w:t>
      </w:r>
      <w:r w:rsidR="00C72943">
        <w:rPr>
          <w:lang w:val="en-US"/>
        </w:rPr>
        <w:t>ve</w:t>
      </w:r>
      <w:r w:rsidRPr="00650921">
        <w:rPr>
          <w:lang w:val="en-US"/>
        </w:rPr>
        <w:t xml:space="preserve"> been violated</w:t>
      </w:r>
      <w:proofErr w:type="gramEnd"/>
      <w:r w:rsidRPr="00650921">
        <w:rPr>
          <w:lang w:val="en-US"/>
        </w:rPr>
        <w:t xml:space="preserve">. He submits that in December 2008, during a press conference, officials of the </w:t>
      </w:r>
      <w:r w:rsidR="00B85301">
        <w:rPr>
          <w:lang w:val="en-US"/>
        </w:rPr>
        <w:t>National Security Committee</w:t>
      </w:r>
      <w:r w:rsidR="00B85301" w:rsidRPr="00650921">
        <w:rPr>
          <w:lang w:val="en-US"/>
        </w:rPr>
        <w:t xml:space="preserve"> </w:t>
      </w:r>
      <w:r w:rsidRPr="00650921">
        <w:rPr>
          <w:lang w:val="en-US"/>
        </w:rPr>
        <w:t>stated that they h</w:t>
      </w:r>
      <w:r w:rsidR="00C72943">
        <w:rPr>
          <w:lang w:val="en-US"/>
        </w:rPr>
        <w:t xml:space="preserve">ad </w:t>
      </w:r>
      <w:r w:rsidRPr="00650921">
        <w:rPr>
          <w:lang w:val="en-US"/>
        </w:rPr>
        <w:t xml:space="preserve">allegedly found other secret documents ready for publication during a search </w:t>
      </w:r>
      <w:r w:rsidR="00B85301">
        <w:rPr>
          <w:lang w:val="en-US"/>
        </w:rPr>
        <w:t>of</w:t>
      </w:r>
      <w:r w:rsidRPr="00650921">
        <w:rPr>
          <w:lang w:val="en-US"/>
        </w:rPr>
        <w:t xml:space="preserve"> the author’s house. In addition, </w:t>
      </w:r>
      <w:r w:rsidR="00B85301">
        <w:rPr>
          <w:lang w:val="en-US"/>
        </w:rPr>
        <w:t xml:space="preserve">in </w:t>
      </w:r>
      <w:r w:rsidRPr="00650921">
        <w:rPr>
          <w:lang w:val="en-US"/>
        </w:rPr>
        <w:t xml:space="preserve">a search at </w:t>
      </w:r>
      <w:r w:rsidR="00B85301">
        <w:rPr>
          <w:lang w:val="en-US"/>
        </w:rPr>
        <w:t xml:space="preserve">an unnamed </w:t>
      </w:r>
      <w:proofErr w:type="gramStart"/>
      <w:r w:rsidR="00B85301">
        <w:rPr>
          <w:lang w:val="en-US"/>
        </w:rPr>
        <w:t>businessman’s</w:t>
      </w:r>
      <w:proofErr w:type="gramEnd"/>
      <w:r w:rsidR="00B85301" w:rsidRPr="00650921">
        <w:rPr>
          <w:lang w:val="en-US"/>
        </w:rPr>
        <w:t xml:space="preserve"> </w:t>
      </w:r>
      <w:r w:rsidRPr="00650921">
        <w:rPr>
          <w:lang w:val="en-US"/>
        </w:rPr>
        <w:t xml:space="preserve">company 2 billion </w:t>
      </w:r>
      <w:proofErr w:type="spellStart"/>
      <w:r w:rsidR="00B85301">
        <w:rPr>
          <w:lang w:val="en-US"/>
        </w:rPr>
        <w:t>t</w:t>
      </w:r>
      <w:r w:rsidRPr="00650921">
        <w:rPr>
          <w:lang w:val="en-US"/>
        </w:rPr>
        <w:t>enge</w:t>
      </w:r>
      <w:proofErr w:type="spellEnd"/>
      <w:r w:rsidR="00B85301">
        <w:rPr>
          <w:lang w:val="en-US"/>
        </w:rPr>
        <w:t xml:space="preserve"> were found,</w:t>
      </w:r>
      <w:r w:rsidRPr="00650921">
        <w:rPr>
          <w:lang w:val="en-US"/>
        </w:rPr>
        <w:t xml:space="preserve"> allegedly meant for the author as a reward for the publication of secret information in his newspaper.</w:t>
      </w:r>
      <w:r w:rsidR="009B4C24">
        <w:rPr>
          <w:lang w:val="en-US"/>
        </w:rPr>
        <w:t xml:space="preserve"> </w:t>
      </w:r>
      <w:proofErr w:type="gramStart"/>
      <w:r w:rsidRPr="00650921">
        <w:rPr>
          <w:lang w:val="en-US"/>
        </w:rPr>
        <w:t xml:space="preserve">Although the investigation did not </w:t>
      </w:r>
      <w:r w:rsidR="009B4C24">
        <w:rPr>
          <w:lang w:val="en-US"/>
        </w:rPr>
        <w:t>reveal</w:t>
      </w:r>
      <w:r w:rsidRPr="00650921">
        <w:rPr>
          <w:lang w:val="en-US"/>
        </w:rPr>
        <w:t xml:space="preserve"> any eviden</w:t>
      </w:r>
      <w:r w:rsidR="009B4C24">
        <w:rPr>
          <w:lang w:val="en-US"/>
        </w:rPr>
        <w:t>ce co</w:t>
      </w:r>
      <w:r w:rsidRPr="00650921">
        <w:rPr>
          <w:lang w:val="en-US"/>
        </w:rPr>
        <w:t>rroborating th</w:t>
      </w:r>
      <w:r w:rsidR="00E97A5A">
        <w:rPr>
          <w:lang w:val="en-US"/>
        </w:rPr>
        <w:t>at</w:t>
      </w:r>
      <w:r w:rsidRPr="00650921">
        <w:rPr>
          <w:lang w:val="en-US"/>
        </w:rPr>
        <w:t xml:space="preserve"> information, it has been </w:t>
      </w:r>
      <w:r w:rsidR="009B4C24">
        <w:rPr>
          <w:lang w:val="en-US"/>
        </w:rPr>
        <w:t xml:space="preserve">widely </w:t>
      </w:r>
      <w:r w:rsidRPr="00650921">
        <w:rPr>
          <w:lang w:val="en-US"/>
        </w:rPr>
        <w:t xml:space="preserve">disseminated by the Head of </w:t>
      </w:r>
      <w:r w:rsidR="00E97A5A">
        <w:rPr>
          <w:lang w:val="en-US"/>
        </w:rPr>
        <w:t>the National Security Committee</w:t>
      </w:r>
      <w:r w:rsidRPr="00650921">
        <w:rPr>
          <w:lang w:val="en-US"/>
        </w:rPr>
        <w:t xml:space="preserve">, who </w:t>
      </w:r>
      <w:r w:rsidR="00151928">
        <w:rPr>
          <w:lang w:val="en-US"/>
        </w:rPr>
        <w:t xml:space="preserve">at the time </w:t>
      </w:r>
      <w:r w:rsidRPr="00650921">
        <w:rPr>
          <w:lang w:val="en-US"/>
        </w:rPr>
        <w:t>was also</w:t>
      </w:r>
      <w:r w:rsidR="00151928">
        <w:rPr>
          <w:lang w:val="en-US"/>
        </w:rPr>
        <w:t xml:space="preserve"> </w:t>
      </w:r>
      <w:r w:rsidR="009B4C24">
        <w:rPr>
          <w:lang w:val="en-US"/>
        </w:rPr>
        <w:t xml:space="preserve">the </w:t>
      </w:r>
      <w:r w:rsidR="00151928" w:rsidRPr="00650921">
        <w:rPr>
          <w:lang w:val="en-US"/>
        </w:rPr>
        <w:t xml:space="preserve">Kazakhstan </w:t>
      </w:r>
      <w:r w:rsidRPr="00650921">
        <w:rPr>
          <w:lang w:val="en-US"/>
        </w:rPr>
        <w:t xml:space="preserve">representative to the </w:t>
      </w:r>
      <w:r w:rsidR="00142EF6" w:rsidRPr="00142EF6">
        <w:rPr>
          <w:lang w:val="en-US"/>
        </w:rPr>
        <w:t>Organization for Security and Cooperation in Europe</w:t>
      </w:r>
      <w:r w:rsidR="00142EF6">
        <w:rPr>
          <w:lang w:val="en-US"/>
        </w:rPr>
        <w:t xml:space="preserve"> (</w:t>
      </w:r>
      <w:r w:rsidRPr="00650921">
        <w:rPr>
          <w:lang w:val="en-US"/>
        </w:rPr>
        <w:t>OSCE</w:t>
      </w:r>
      <w:r w:rsidR="00142EF6">
        <w:rPr>
          <w:lang w:val="en-US"/>
        </w:rPr>
        <w:t>)</w:t>
      </w:r>
      <w:r w:rsidRPr="00650921">
        <w:rPr>
          <w:lang w:val="en-US"/>
        </w:rPr>
        <w:t xml:space="preserve">, in mass media </w:t>
      </w:r>
      <w:r w:rsidR="00151928">
        <w:rPr>
          <w:lang w:val="en-US"/>
        </w:rPr>
        <w:t>and at</w:t>
      </w:r>
      <w:r w:rsidRPr="00650921">
        <w:rPr>
          <w:lang w:val="en-US"/>
        </w:rPr>
        <w:t xml:space="preserve"> OSCE meetings.</w:t>
      </w:r>
      <w:proofErr w:type="gramEnd"/>
      <w:r w:rsidRPr="00650921">
        <w:rPr>
          <w:lang w:val="en-US"/>
        </w:rPr>
        <w:t xml:space="preserve"> </w:t>
      </w:r>
      <w:r w:rsidR="00142EF6">
        <w:rPr>
          <w:lang w:val="en-US"/>
        </w:rPr>
        <w:t>T</w:t>
      </w:r>
      <w:r w:rsidR="00142EF6" w:rsidRPr="00142EF6">
        <w:rPr>
          <w:lang w:val="en-US"/>
        </w:rPr>
        <w:t>he author maintains</w:t>
      </w:r>
      <w:r w:rsidR="00142EF6">
        <w:rPr>
          <w:lang w:val="en-US"/>
        </w:rPr>
        <w:t xml:space="preserve"> that</w:t>
      </w:r>
      <w:r w:rsidR="00142EF6" w:rsidRPr="00142EF6">
        <w:rPr>
          <w:lang w:val="en-US"/>
        </w:rPr>
        <w:t xml:space="preserve"> his reputation </w:t>
      </w:r>
      <w:r w:rsidR="00142EF6">
        <w:rPr>
          <w:lang w:val="en-US"/>
        </w:rPr>
        <w:t>was</w:t>
      </w:r>
      <w:r w:rsidR="00142EF6" w:rsidRPr="00142EF6">
        <w:rPr>
          <w:lang w:val="en-US"/>
        </w:rPr>
        <w:t xml:space="preserve"> damaged </w:t>
      </w:r>
      <w:proofErr w:type="gramStart"/>
      <w:r w:rsidR="00142EF6">
        <w:rPr>
          <w:lang w:val="en-US"/>
        </w:rPr>
        <w:t>as a result</w:t>
      </w:r>
      <w:proofErr w:type="gramEnd"/>
      <w:r w:rsidR="00142EF6">
        <w:rPr>
          <w:lang w:val="en-US"/>
        </w:rPr>
        <w:t xml:space="preserve"> of the </w:t>
      </w:r>
      <w:r w:rsidRPr="00650921">
        <w:rPr>
          <w:lang w:val="en-US"/>
        </w:rPr>
        <w:t>disseminati</w:t>
      </w:r>
      <w:r w:rsidR="00142EF6">
        <w:rPr>
          <w:lang w:val="en-US"/>
        </w:rPr>
        <w:t>o</w:t>
      </w:r>
      <w:r w:rsidRPr="00650921">
        <w:rPr>
          <w:lang w:val="en-US"/>
        </w:rPr>
        <w:t xml:space="preserve">n </w:t>
      </w:r>
      <w:r w:rsidR="00142EF6">
        <w:rPr>
          <w:lang w:val="en-US"/>
        </w:rPr>
        <w:t xml:space="preserve">of </w:t>
      </w:r>
      <w:r w:rsidRPr="00650921">
        <w:rPr>
          <w:lang w:val="en-US"/>
        </w:rPr>
        <w:t xml:space="preserve">defamatory information and </w:t>
      </w:r>
      <w:r w:rsidR="00142EF6">
        <w:rPr>
          <w:lang w:val="en-US"/>
        </w:rPr>
        <w:t xml:space="preserve">that </w:t>
      </w:r>
      <w:r w:rsidRPr="00650921">
        <w:rPr>
          <w:lang w:val="en-US"/>
        </w:rPr>
        <w:t xml:space="preserve">the principle of presumption of innocence was </w:t>
      </w:r>
      <w:r w:rsidR="00151928">
        <w:rPr>
          <w:lang w:val="en-US"/>
        </w:rPr>
        <w:t>violated</w:t>
      </w:r>
      <w:r w:rsidRPr="00650921">
        <w:rPr>
          <w:lang w:val="en-US"/>
        </w:rPr>
        <w:t xml:space="preserve">. </w:t>
      </w:r>
    </w:p>
    <w:p w14:paraId="1EC6217B" w14:textId="6A21FBE9" w:rsidR="0069134D" w:rsidRPr="00650921" w:rsidRDefault="00650921" w:rsidP="00D13BD5">
      <w:pPr>
        <w:pStyle w:val="SingleTxtG"/>
        <w:rPr>
          <w:lang w:val="en-US"/>
        </w:rPr>
      </w:pPr>
      <w:r w:rsidRPr="00650921">
        <w:rPr>
          <w:lang w:val="en-US"/>
        </w:rPr>
        <w:t>3.8</w:t>
      </w:r>
      <w:r w:rsidRPr="00650921">
        <w:rPr>
          <w:lang w:val="en-US"/>
        </w:rPr>
        <w:tab/>
        <w:t xml:space="preserve">Finally, with reference to the </w:t>
      </w:r>
      <w:r w:rsidR="007D4357">
        <w:rPr>
          <w:lang w:val="en-US"/>
        </w:rPr>
        <w:t xml:space="preserve">Human Rights </w:t>
      </w:r>
      <w:r w:rsidRPr="00650921">
        <w:rPr>
          <w:lang w:val="en-US"/>
        </w:rPr>
        <w:t xml:space="preserve">Committee’s </w:t>
      </w:r>
      <w:r w:rsidR="00142EF6">
        <w:rPr>
          <w:lang w:val="en-US"/>
        </w:rPr>
        <w:t>g</w:t>
      </w:r>
      <w:r w:rsidRPr="00650921">
        <w:rPr>
          <w:lang w:val="en-US"/>
        </w:rPr>
        <w:t xml:space="preserve">eneral </w:t>
      </w:r>
      <w:r w:rsidR="00142EF6">
        <w:rPr>
          <w:lang w:val="en-US"/>
        </w:rPr>
        <w:t>c</w:t>
      </w:r>
      <w:r w:rsidRPr="00650921">
        <w:rPr>
          <w:lang w:val="en-US"/>
        </w:rPr>
        <w:t xml:space="preserve">omment </w:t>
      </w:r>
      <w:r w:rsidR="00D13BD5">
        <w:rPr>
          <w:lang w:val="en-US"/>
        </w:rPr>
        <w:t xml:space="preserve">No. 34 (2011) </w:t>
      </w:r>
      <w:r w:rsidRPr="00650921">
        <w:rPr>
          <w:lang w:val="en-US"/>
        </w:rPr>
        <w:t xml:space="preserve">on </w:t>
      </w:r>
      <w:r w:rsidR="00D13BD5" w:rsidRPr="00D13BD5">
        <w:rPr>
          <w:lang w:val="en-GB"/>
        </w:rPr>
        <w:t>the freedoms of opinion and expression</w:t>
      </w:r>
      <w:r w:rsidRPr="00650921">
        <w:rPr>
          <w:lang w:val="en-US"/>
        </w:rPr>
        <w:t>, the author claims a violation of his rights under article 19</w:t>
      </w:r>
      <w:r w:rsidR="00AC62EF">
        <w:rPr>
          <w:lang w:val="en-US"/>
        </w:rPr>
        <w:t xml:space="preserve"> (1) </w:t>
      </w:r>
      <w:r w:rsidRPr="00650921">
        <w:rPr>
          <w:lang w:val="en-US"/>
        </w:rPr>
        <w:t xml:space="preserve">and </w:t>
      </w:r>
      <w:r w:rsidR="00AC62EF">
        <w:rPr>
          <w:lang w:val="en-US"/>
        </w:rPr>
        <w:t>(</w:t>
      </w:r>
      <w:r w:rsidRPr="00650921">
        <w:rPr>
          <w:lang w:val="en-US"/>
        </w:rPr>
        <w:t>2</w:t>
      </w:r>
      <w:r w:rsidR="00AC62EF">
        <w:rPr>
          <w:lang w:val="en-US"/>
        </w:rPr>
        <w:t>)</w:t>
      </w:r>
      <w:r w:rsidR="003B67CF">
        <w:rPr>
          <w:lang w:val="en-US"/>
        </w:rPr>
        <w:t xml:space="preserve"> </w:t>
      </w:r>
      <w:r w:rsidRPr="00650921">
        <w:rPr>
          <w:lang w:val="en-US"/>
        </w:rPr>
        <w:t xml:space="preserve">of the Covenant. </w:t>
      </w:r>
      <w:r w:rsidR="002B450B">
        <w:rPr>
          <w:lang w:val="en-US"/>
        </w:rPr>
        <w:t xml:space="preserve">He alleges that he </w:t>
      </w:r>
      <w:proofErr w:type="gramStart"/>
      <w:r w:rsidR="002B450B">
        <w:rPr>
          <w:lang w:val="en-US"/>
        </w:rPr>
        <w:t xml:space="preserve">was convicted and sentenced to imprisonment for expressing </w:t>
      </w:r>
      <w:r w:rsidR="009B4C24">
        <w:rPr>
          <w:lang w:val="en-US"/>
        </w:rPr>
        <w:t xml:space="preserve">his personal and critical </w:t>
      </w:r>
      <w:r w:rsidR="002B450B">
        <w:rPr>
          <w:lang w:val="en-US"/>
        </w:rPr>
        <w:t>opinion</w:t>
      </w:r>
      <w:proofErr w:type="gramEnd"/>
      <w:r w:rsidR="002B450B">
        <w:rPr>
          <w:lang w:val="en-US"/>
        </w:rPr>
        <w:t xml:space="preserve">. He maintains that the files that he published did not contain information that </w:t>
      </w:r>
      <w:proofErr w:type="gramStart"/>
      <w:r w:rsidR="002B450B">
        <w:rPr>
          <w:lang w:val="en-US"/>
        </w:rPr>
        <w:t>could be viewed</w:t>
      </w:r>
      <w:proofErr w:type="gramEnd"/>
      <w:r w:rsidR="002B450B">
        <w:rPr>
          <w:lang w:val="en-US"/>
        </w:rPr>
        <w:t xml:space="preserve"> as </w:t>
      </w:r>
      <w:r w:rsidR="00D13BD5">
        <w:rPr>
          <w:lang w:val="en-US"/>
        </w:rPr>
        <w:t>S</w:t>
      </w:r>
      <w:r w:rsidR="002B450B">
        <w:rPr>
          <w:lang w:val="en-US"/>
        </w:rPr>
        <w:t>tate secret</w:t>
      </w:r>
      <w:r w:rsidR="00AD2BFB">
        <w:rPr>
          <w:lang w:val="en-US"/>
        </w:rPr>
        <w:t>s</w:t>
      </w:r>
      <w:r w:rsidR="002B450B">
        <w:rPr>
          <w:lang w:val="en-US"/>
        </w:rPr>
        <w:t xml:space="preserve"> in military, economy, education, science and technology, intelligence or counterintelligence spheres. The files did not contain any information disclosing forces, means and methods of investigation of criminal cases affecting security interests of the State party, nor did they contain information that posed a threat to the </w:t>
      </w:r>
      <w:r w:rsidR="00D13BD5">
        <w:rPr>
          <w:lang w:val="en-US"/>
        </w:rPr>
        <w:t>S</w:t>
      </w:r>
      <w:r w:rsidR="002B450B">
        <w:rPr>
          <w:lang w:val="en-US"/>
        </w:rPr>
        <w:t>tate</w:t>
      </w:r>
      <w:r w:rsidR="00904773">
        <w:rPr>
          <w:lang w:val="en-US"/>
        </w:rPr>
        <w:t>’s</w:t>
      </w:r>
      <w:r w:rsidR="002B450B">
        <w:rPr>
          <w:lang w:val="en-US"/>
        </w:rPr>
        <w:t xml:space="preserve"> territorial integrity or political independence. </w:t>
      </w:r>
      <w:proofErr w:type="gramStart"/>
      <w:r w:rsidR="003A7A35">
        <w:rPr>
          <w:lang w:val="en-US"/>
        </w:rPr>
        <w:t xml:space="preserve">Referring </w:t>
      </w:r>
      <w:r w:rsidR="002B450B">
        <w:rPr>
          <w:lang w:val="en-US"/>
        </w:rPr>
        <w:t>to the Committee’s general comment No</w:t>
      </w:r>
      <w:r w:rsidR="003B67CF">
        <w:rPr>
          <w:lang w:val="en-US"/>
        </w:rPr>
        <w:t xml:space="preserve">. </w:t>
      </w:r>
      <w:r w:rsidR="002B450B">
        <w:rPr>
          <w:lang w:val="en-US"/>
        </w:rPr>
        <w:t>10</w:t>
      </w:r>
      <w:r w:rsidR="00D13BD5">
        <w:rPr>
          <w:lang w:val="en-US"/>
        </w:rPr>
        <w:t xml:space="preserve"> (1983) on freedom of opinion</w:t>
      </w:r>
      <w:r w:rsidR="003A7A35">
        <w:rPr>
          <w:lang w:val="en-US"/>
        </w:rPr>
        <w:t xml:space="preserve">, the author </w:t>
      </w:r>
      <w:r w:rsidR="00AD2BFB">
        <w:rPr>
          <w:lang w:val="en-US"/>
        </w:rPr>
        <w:t>considers</w:t>
      </w:r>
      <w:r w:rsidR="002B450B">
        <w:rPr>
          <w:lang w:val="en-US"/>
        </w:rPr>
        <w:t xml:space="preserve"> that the </w:t>
      </w:r>
      <w:r w:rsidR="00215A51">
        <w:rPr>
          <w:lang w:val="en-US"/>
        </w:rPr>
        <w:t>restriction</w:t>
      </w:r>
      <w:r w:rsidR="002B450B">
        <w:rPr>
          <w:lang w:val="en-US"/>
        </w:rPr>
        <w:t xml:space="preserve"> of his freedom of exp</w:t>
      </w:r>
      <w:r w:rsidR="009643C0">
        <w:rPr>
          <w:lang w:val="en-US"/>
        </w:rPr>
        <w:t>ression w</w:t>
      </w:r>
      <w:r w:rsidR="00121C50">
        <w:rPr>
          <w:lang w:val="en-US"/>
        </w:rPr>
        <w:t>as</w:t>
      </w:r>
      <w:r w:rsidR="009643C0">
        <w:rPr>
          <w:lang w:val="en-US"/>
        </w:rPr>
        <w:t xml:space="preserve"> not </w:t>
      </w:r>
      <w:r w:rsidR="00215A51">
        <w:rPr>
          <w:lang w:val="en-US"/>
        </w:rPr>
        <w:t>imposed on the grounds</w:t>
      </w:r>
      <w:r w:rsidR="009643C0">
        <w:rPr>
          <w:lang w:val="en-US"/>
        </w:rPr>
        <w:t xml:space="preserve"> enumerated under article 19 (3) of the Covenant</w:t>
      </w:r>
      <w:r w:rsidR="00D13BD5">
        <w:rPr>
          <w:lang w:val="en-US"/>
        </w:rPr>
        <w:t>,</w:t>
      </w:r>
      <w:r w:rsidR="009643C0">
        <w:rPr>
          <w:lang w:val="en-US"/>
        </w:rPr>
        <w:t xml:space="preserve"> </w:t>
      </w:r>
      <w:r w:rsidR="00AD2BFB">
        <w:rPr>
          <w:lang w:val="en-US"/>
        </w:rPr>
        <w:t>since</w:t>
      </w:r>
      <w:r w:rsidR="009643C0">
        <w:rPr>
          <w:lang w:val="en-US"/>
        </w:rPr>
        <w:t xml:space="preserve"> he merely disclosed possible misconduct by members of the security services as they investigated a local businessman</w:t>
      </w:r>
      <w:r w:rsidR="00A439ED">
        <w:rPr>
          <w:lang w:val="en-US"/>
        </w:rPr>
        <w:t>,</w:t>
      </w:r>
      <w:r w:rsidR="009643C0">
        <w:rPr>
          <w:lang w:val="en-US"/>
        </w:rPr>
        <w:t xml:space="preserve"> and such information by no means implicates the national security of the State.</w:t>
      </w:r>
      <w:proofErr w:type="gramEnd"/>
      <w:r w:rsidR="009643C0">
        <w:rPr>
          <w:lang w:val="en-US"/>
        </w:rPr>
        <w:t xml:space="preserve"> He further submits that the </w:t>
      </w:r>
      <w:r w:rsidR="007A17AD">
        <w:rPr>
          <w:lang w:val="en-US"/>
        </w:rPr>
        <w:t>restriction</w:t>
      </w:r>
      <w:r w:rsidR="009643C0">
        <w:rPr>
          <w:lang w:val="en-US"/>
        </w:rPr>
        <w:t xml:space="preserve"> </w:t>
      </w:r>
      <w:proofErr w:type="gramStart"/>
      <w:r w:rsidR="009643C0">
        <w:rPr>
          <w:lang w:val="en-US"/>
        </w:rPr>
        <w:t>w</w:t>
      </w:r>
      <w:r w:rsidR="007A17AD">
        <w:rPr>
          <w:lang w:val="en-US"/>
        </w:rPr>
        <w:t>as</w:t>
      </w:r>
      <w:r w:rsidR="009643C0">
        <w:rPr>
          <w:lang w:val="en-US"/>
        </w:rPr>
        <w:t xml:space="preserve"> not </w:t>
      </w:r>
      <w:r w:rsidR="00121C50">
        <w:rPr>
          <w:lang w:val="en-US"/>
        </w:rPr>
        <w:t>imposed</w:t>
      </w:r>
      <w:proofErr w:type="gramEnd"/>
      <w:r w:rsidR="009643C0">
        <w:rPr>
          <w:lang w:val="en-US"/>
        </w:rPr>
        <w:t xml:space="preserve"> to protect the rights and repu</w:t>
      </w:r>
      <w:r w:rsidR="00BF7295">
        <w:rPr>
          <w:lang w:val="en-US"/>
        </w:rPr>
        <w:t>tation of others, because the possible wrongdoing</w:t>
      </w:r>
      <w:r w:rsidR="00A439ED">
        <w:rPr>
          <w:lang w:val="en-US"/>
        </w:rPr>
        <w:t>s</w:t>
      </w:r>
      <w:r w:rsidR="00BF7295">
        <w:rPr>
          <w:lang w:val="en-US"/>
        </w:rPr>
        <w:t xml:space="preserve"> of security officials had been </w:t>
      </w:r>
      <w:r w:rsidR="00A439ED">
        <w:rPr>
          <w:lang w:val="en-US"/>
        </w:rPr>
        <w:t>the</w:t>
      </w:r>
      <w:r w:rsidR="00BF7295">
        <w:rPr>
          <w:lang w:val="en-US"/>
        </w:rPr>
        <w:t xml:space="preserve"> subject of previous articles and there appears to be no allegation by the </w:t>
      </w:r>
      <w:r w:rsidR="00D13BD5">
        <w:rPr>
          <w:lang w:val="en-US"/>
        </w:rPr>
        <w:t>G</w:t>
      </w:r>
      <w:r w:rsidR="00BF7295">
        <w:rPr>
          <w:lang w:val="en-US"/>
        </w:rPr>
        <w:t xml:space="preserve">overnment that the article contained false information. </w:t>
      </w:r>
      <w:r w:rsidR="00D13BD5">
        <w:rPr>
          <w:lang w:val="en-US"/>
        </w:rPr>
        <w:t>W</w:t>
      </w:r>
      <w:r w:rsidR="00BF7295">
        <w:rPr>
          <w:lang w:val="en-US"/>
        </w:rPr>
        <w:t xml:space="preserve">ould that have been the case, he </w:t>
      </w:r>
      <w:proofErr w:type="gramStart"/>
      <w:r w:rsidR="00BF7295">
        <w:rPr>
          <w:lang w:val="en-US"/>
        </w:rPr>
        <w:t>would have been charged</w:t>
      </w:r>
      <w:proofErr w:type="gramEnd"/>
      <w:r w:rsidR="00BF7295">
        <w:rPr>
          <w:lang w:val="en-US"/>
        </w:rPr>
        <w:t xml:space="preserve"> with defamation. He also states that the </w:t>
      </w:r>
      <w:r w:rsidR="00121C50">
        <w:rPr>
          <w:lang w:val="en-US"/>
        </w:rPr>
        <w:t>restriction</w:t>
      </w:r>
      <w:r w:rsidR="00BF7295">
        <w:rPr>
          <w:lang w:val="en-US"/>
        </w:rPr>
        <w:t xml:space="preserve"> was not necessary or proportionate under the terms of article 19. He was not a </w:t>
      </w:r>
      <w:r w:rsidR="00D13BD5">
        <w:rPr>
          <w:lang w:val="en-US"/>
        </w:rPr>
        <w:t>S</w:t>
      </w:r>
      <w:r w:rsidR="00BF7295">
        <w:rPr>
          <w:lang w:val="en-US"/>
        </w:rPr>
        <w:t xml:space="preserve">tate official charged with </w:t>
      </w:r>
      <w:r w:rsidR="00D13BD5">
        <w:rPr>
          <w:lang w:val="en-US"/>
        </w:rPr>
        <w:t xml:space="preserve">a </w:t>
      </w:r>
      <w:r w:rsidR="00BF7295">
        <w:rPr>
          <w:lang w:val="en-US"/>
        </w:rPr>
        <w:t xml:space="preserve">duty to maintain </w:t>
      </w:r>
      <w:r w:rsidR="00D13BD5">
        <w:rPr>
          <w:lang w:val="en-US"/>
        </w:rPr>
        <w:t xml:space="preserve">the </w:t>
      </w:r>
      <w:r w:rsidR="00BF7295">
        <w:rPr>
          <w:lang w:val="en-US"/>
        </w:rPr>
        <w:t xml:space="preserve">confidentiality of </w:t>
      </w:r>
      <w:r w:rsidR="00D13BD5">
        <w:rPr>
          <w:lang w:val="en-US"/>
        </w:rPr>
        <w:t>S</w:t>
      </w:r>
      <w:r w:rsidR="00BF7295">
        <w:rPr>
          <w:lang w:val="en-US"/>
        </w:rPr>
        <w:t xml:space="preserve">tate secrets, but a journalist, who fulfilled his duty to inform society of allegations of corruption. He maintains that his </w:t>
      </w:r>
      <w:r w:rsidR="00D13BD5">
        <w:rPr>
          <w:lang w:val="en-US"/>
        </w:rPr>
        <w:t>sentence of</w:t>
      </w:r>
      <w:r w:rsidR="00BF7295">
        <w:rPr>
          <w:lang w:val="en-US"/>
        </w:rPr>
        <w:t xml:space="preserve"> a prison term </w:t>
      </w:r>
      <w:r w:rsidR="005E237C">
        <w:rPr>
          <w:lang w:val="en-US"/>
        </w:rPr>
        <w:t>for</w:t>
      </w:r>
      <w:r w:rsidR="00BF7295">
        <w:rPr>
          <w:lang w:val="en-US"/>
        </w:rPr>
        <w:t xml:space="preserve"> publishing documents of significant public import was disproportionate, violated his freedom of expression, had </w:t>
      </w:r>
      <w:r w:rsidR="00904773">
        <w:rPr>
          <w:lang w:val="en-US"/>
        </w:rPr>
        <w:t xml:space="preserve">a </w:t>
      </w:r>
      <w:r w:rsidR="00BF7295">
        <w:rPr>
          <w:lang w:val="en-US"/>
        </w:rPr>
        <w:t>chilling effect on the press and human rights defenders in Kazakhstan and failed to meet the “necessity” requirement of article 19</w:t>
      </w:r>
      <w:r w:rsidR="00D13BD5">
        <w:rPr>
          <w:lang w:val="en-US"/>
        </w:rPr>
        <w:t> </w:t>
      </w:r>
      <w:r w:rsidR="00BF7295">
        <w:rPr>
          <w:lang w:val="en-US"/>
        </w:rPr>
        <w:t>(3).</w:t>
      </w:r>
    </w:p>
    <w:p w14:paraId="31FF3903" w14:textId="34CA088A" w:rsidR="001C3120" w:rsidRDefault="00675A40" w:rsidP="00675A40">
      <w:pPr>
        <w:pStyle w:val="H23G"/>
      </w:pPr>
      <w:r>
        <w:tab/>
      </w:r>
      <w:r>
        <w:tab/>
      </w:r>
      <w:r w:rsidR="001C3120" w:rsidRPr="00650921">
        <w:t>State party</w:t>
      </w:r>
      <w:r w:rsidR="001E0EB7">
        <w:t>’</w:t>
      </w:r>
      <w:r w:rsidR="001C3120" w:rsidRPr="00650921">
        <w:t>s observations on admissibility</w:t>
      </w:r>
      <w:r w:rsidR="002278E3" w:rsidRPr="00650921">
        <w:t xml:space="preserve"> and </w:t>
      </w:r>
      <w:r w:rsidR="00D13BD5">
        <w:t xml:space="preserve">the </w:t>
      </w:r>
      <w:r w:rsidR="002278E3" w:rsidRPr="00650921">
        <w:t xml:space="preserve">merits </w:t>
      </w:r>
    </w:p>
    <w:p w14:paraId="273AECF3" w14:textId="4A2A5804" w:rsidR="00D52391" w:rsidRDefault="001C3120" w:rsidP="007A2C04">
      <w:pPr>
        <w:pStyle w:val="SingleTxtG"/>
        <w:rPr>
          <w:lang w:val="en-GB"/>
        </w:rPr>
      </w:pPr>
      <w:r>
        <w:t>4.</w:t>
      </w:r>
      <w:r w:rsidR="00442317">
        <w:rPr>
          <w:lang w:val="en-US"/>
        </w:rPr>
        <w:t>1</w:t>
      </w:r>
      <w:r>
        <w:tab/>
      </w:r>
      <w:r w:rsidR="00286DFA">
        <w:rPr>
          <w:lang w:val="en-US"/>
        </w:rPr>
        <w:t>In its submission</w:t>
      </w:r>
      <w:r w:rsidR="00442317">
        <w:rPr>
          <w:lang w:val="en-US"/>
        </w:rPr>
        <w:t xml:space="preserve"> </w:t>
      </w:r>
      <w:r w:rsidR="00783E64">
        <w:rPr>
          <w:lang w:val="en-US"/>
        </w:rPr>
        <w:t>dated</w:t>
      </w:r>
      <w:r w:rsidR="00442317">
        <w:rPr>
          <w:lang w:val="en-US"/>
        </w:rPr>
        <w:t xml:space="preserve"> 9 April 2012</w:t>
      </w:r>
      <w:r w:rsidR="00D52391" w:rsidRPr="00D52391">
        <w:rPr>
          <w:lang w:val="en-US"/>
        </w:rPr>
        <w:t>,</w:t>
      </w:r>
      <w:r w:rsidR="00442317">
        <w:rPr>
          <w:lang w:val="en-US"/>
        </w:rPr>
        <w:t xml:space="preserve"> </w:t>
      </w:r>
      <w:r w:rsidR="002D10F2">
        <w:rPr>
          <w:lang w:val="en-US"/>
        </w:rPr>
        <w:t>t</w:t>
      </w:r>
      <w:r w:rsidR="00F45966">
        <w:rPr>
          <w:lang w:val="en-US"/>
        </w:rPr>
        <w:t>he State party</w:t>
      </w:r>
      <w:r w:rsidR="002E6B3C">
        <w:rPr>
          <w:lang w:val="en-US"/>
        </w:rPr>
        <w:t xml:space="preserve"> provide</w:t>
      </w:r>
      <w:r w:rsidR="00783E64">
        <w:rPr>
          <w:lang w:val="en-US"/>
        </w:rPr>
        <w:t>s</w:t>
      </w:r>
      <w:r w:rsidR="002E6B3C">
        <w:rPr>
          <w:lang w:val="en-US"/>
        </w:rPr>
        <w:t xml:space="preserve"> its observations on the merits of the communication. </w:t>
      </w:r>
      <w:proofErr w:type="gramStart"/>
      <w:r w:rsidR="002E6B3C">
        <w:rPr>
          <w:lang w:val="en-US"/>
        </w:rPr>
        <w:t>The State party</w:t>
      </w:r>
      <w:r w:rsidR="00F45966">
        <w:rPr>
          <w:lang w:val="en-US"/>
        </w:rPr>
        <w:t xml:space="preserve"> submits that</w:t>
      </w:r>
      <w:r w:rsidR="00783E64">
        <w:rPr>
          <w:lang w:val="en-US"/>
        </w:rPr>
        <w:t xml:space="preserve"> in</w:t>
      </w:r>
      <w:r w:rsidR="00F45966">
        <w:rPr>
          <w:lang w:val="en-US"/>
        </w:rPr>
        <w:t xml:space="preserve"> accord</w:t>
      </w:r>
      <w:r w:rsidR="00783E64">
        <w:rPr>
          <w:lang w:val="en-US"/>
        </w:rPr>
        <w:t>ance</w:t>
      </w:r>
      <w:r w:rsidR="00F45966">
        <w:rPr>
          <w:lang w:val="en-US"/>
        </w:rPr>
        <w:t xml:space="preserve"> </w:t>
      </w:r>
      <w:r w:rsidR="00783E64">
        <w:rPr>
          <w:lang w:val="en-US"/>
        </w:rPr>
        <w:t>with</w:t>
      </w:r>
      <w:r w:rsidR="00F45966">
        <w:rPr>
          <w:lang w:val="en-US"/>
        </w:rPr>
        <w:t xml:space="preserve"> article 19 of the Covenant and article 39 of </w:t>
      </w:r>
      <w:r w:rsidR="00783E64">
        <w:rPr>
          <w:lang w:val="en-US"/>
        </w:rPr>
        <w:t xml:space="preserve">the </w:t>
      </w:r>
      <w:r w:rsidR="00F45966">
        <w:rPr>
          <w:lang w:val="en-US"/>
        </w:rPr>
        <w:t>Constitution</w:t>
      </w:r>
      <w:r w:rsidR="00783E64">
        <w:rPr>
          <w:lang w:val="en-US"/>
        </w:rPr>
        <w:t xml:space="preserve"> of the State party</w:t>
      </w:r>
      <w:r w:rsidR="00F45966">
        <w:rPr>
          <w:lang w:val="en-US"/>
        </w:rPr>
        <w:t xml:space="preserve">, human rights and freedoms may be </w:t>
      </w:r>
      <w:r w:rsidR="00F45966" w:rsidRPr="00F45966">
        <w:rPr>
          <w:lang w:val="en-GB"/>
        </w:rPr>
        <w:t>be subject to certain restrictions as are pr</w:t>
      </w:r>
      <w:r w:rsidR="00F45966">
        <w:rPr>
          <w:lang w:val="en-GB"/>
        </w:rPr>
        <w:t>ovided by law and are necessary f</w:t>
      </w:r>
      <w:r w:rsidR="00F45966" w:rsidRPr="00F45966">
        <w:rPr>
          <w:lang w:val="en-GB"/>
        </w:rPr>
        <w:t xml:space="preserve">or respect of the </w:t>
      </w:r>
      <w:r w:rsidR="00F45966">
        <w:rPr>
          <w:lang w:val="en-GB"/>
        </w:rPr>
        <w:t>rights or reputation</w:t>
      </w:r>
      <w:r w:rsidR="00783E64">
        <w:rPr>
          <w:lang w:val="en-GB"/>
        </w:rPr>
        <w:t>s</w:t>
      </w:r>
      <w:r w:rsidR="00F45966">
        <w:rPr>
          <w:lang w:val="en-GB"/>
        </w:rPr>
        <w:t xml:space="preserve"> of others or f</w:t>
      </w:r>
      <w:r w:rsidR="00F45966" w:rsidRPr="00F45966">
        <w:rPr>
          <w:lang w:val="en-GB"/>
        </w:rPr>
        <w:t>or the protection of national security</w:t>
      </w:r>
      <w:r w:rsidR="002E76F4">
        <w:rPr>
          <w:lang w:val="en-GB"/>
        </w:rPr>
        <w:t xml:space="preserve">, </w:t>
      </w:r>
      <w:r w:rsidR="00F45966" w:rsidRPr="00F45966">
        <w:rPr>
          <w:lang w:val="en-GB"/>
        </w:rPr>
        <w:t>public order</w:t>
      </w:r>
      <w:r w:rsidR="00783E64">
        <w:rPr>
          <w:lang w:val="en-GB"/>
        </w:rPr>
        <w:t xml:space="preserve"> or</w:t>
      </w:r>
      <w:r w:rsidR="00F45966" w:rsidRPr="00F45966">
        <w:rPr>
          <w:lang w:val="en-GB"/>
        </w:rPr>
        <w:t xml:space="preserve"> public health or</w:t>
      </w:r>
      <w:r w:rsidR="00F45966">
        <w:rPr>
          <w:lang w:val="en-GB"/>
        </w:rPr>
        <w:t xml:space="preserve"> </w:t>
      </w:r>
      <w:r w:rsidR="00F45966" w:rsidRPr="00F45966">
        <w:rPr>
          <w:lang w:val="en-GB"/>
        </w:rPr>
        <w:t>morals.</w:t>
      </w:r>
      <w:proofErr w:type="gramEnd"/>
      <w:r w:rsidR="00F45966">
        <w:rPr>
          <w:lang w:val="en-GB"/>
        </w:rPr>
        <w:t xml:space="preserve"> </w:t>
      </w:r>
      <w:proofErr w:type="gramStart"/>
      <w:r w:rsidR="00F45966">
        <w:rPr>
          <w:lang w:val="en-GB"/>
        </w:rPr>
        <w:t xml:space="preserve">The Law </w:t>
      </w:r>
      <w:r w:rsidR="00783E64">
        <w:rPr>
          <w:lang w:val="en-GB"/>
        </w:rPr>
        <w:t>o</w:t>
      </w:r>
      <w:r w:rsidR="00F45966">
        <w:rPr>
          <w:lang w:val="en-GB"/>
        </w:rPr>
        <w:t xml:space="preserve">n </w:t>
      </w:r>
      <w:r w:rsidR="00783E64">
        <w:rPr>
          <w:lang w:val="en-GB"/>
        </w:rPr>
        <w:t>m</w:t>
      </w:r>
      <w:r w:rsidR="00F45966">
        <w:rPr>
          <w:lang w:val="en-GB"/>
        </w:rPr>
        <w:t xml:space="preserve">ass </w:t>
      </w:r>
      <w:r w:rsidR="00783E64">
        <w:rPr>
          <w:lang w:val="en-GB"/>
        </w:rPr>
        <w:t>m</w:t>
      </w:r>
      <w:r w:rsidR="00F45966">
        <w:rPr>
          <w:lang w:val="en-GB"/>
        </w:rPr>
        <w:t xml:space="preserve">edia prohibits the divulgation of information </w:t>
      </w:r>
      <w:r w:rsidR="00783E64">
        <w:rPr>
          <w:lang w:val="en-GB"/>
        </w:rPr>
        <w:t>that</w:t>
      </w:r>
      <w:r w:rsidR="00F45966">
        <w:rPr>
          <w:lang w:val="en-GB"/>
        </w:rPr>
        <w:t xml:space="preserve"> constitutes a </w:t>
      </w:r>
      <w:r w:rsidR="00783E64">
        <w:rPr>
          <w:lang w:val="en-GB"/>
        </w:rPr>
        <w:t>S</w:t>
      </w:r>
      <w:r w:rsidR="00F45966">
        <w:rPr>
          <w:lang w:val="en-GB"/>
        </w:rPr>
        <w:t>tate secret or another secret guarde</w:t>
      </w:r>
      <w:r w:rsidR="00E535BE">
        <w:rPr>
          <w:lang w:val="en-GB"/>
        </w:rPr>
        <w:t>d</w:t>
      </w:r>
      <w:r w:rsidR="00F45966">
        <w:rPr>
          <w:lang w:val="en-GB"/>
        </w:rPr>
        <w:t xml:space="preserve"> by the law; the </w:t>
      </w:r>
      <w:r w:rsidR="007A2C04">
        <w:rPr>
          <w:lang w:val="en-GB"/>
        </w:rPr>
        <w:t xml:space="preserve">promotion of </w:t>
      </w:r>
      <w:r w:rsidR="00F45966">
        <w:rPr>
          <w:lang w:val="en-GB"/>
        </w:rPr>
        <w:t xml:space="preserve">propaganda </w:t>
      </w:r>
      <w:r w:rsidR="007A2C04">
        <w:rPr>
          <w:lang w:val="en-GB"/>
        </w:rPr>
        <w:t xml:space="preserve">about </w:t>
      </w:r>
      <w:r w:rsidR="00F45966">
        <w:rPr>
          <w:lang w:val="en-GB"/>
        </w:rPr>
        <w:t xml:space="preserve">and justification of extremism or terrorism; </w:t>
      </w:r>
      <w:r w:rsidR="007A2C04">
        <w:rPr>
          <w:lang w:val="en-GB"/>
        </w:rPr>
        <w:t xml:space="preserve">the </w:t>
      </w:r>
      <w:r w:rsidR="00F45966">
        <w:rPr>
          <w:lang w:val="en-GB"/>
        </w:rPr>
        <w:t xml:space="preserve">dissemination of information regarding technical methods and tactics of anti-terrorist operations during their conduct; </w:t>
      </w:r>
      <w:r w:rsidR="007A2C04">
        <w:rPr>
          <w:lang w:val="en-GB"/>
        </w:rPr>
        <w:t xml:space="preserve">the promotion of </w:t>
      </w:r>
      <w:r w:rsidR="00F45966">
        <w:rPr>
          <w:lang w:val="en-GB"/>
        </w:rPr>
        <w:t xml:space="preserve">propaganda </w:t>
      </w:r>
      <w:r w:rsidR="007A2C04">
        <w:rPr>
          <w:lang w:val="en-GB"/>
        </w:rPr>
        <w:t>about</w:t>
      </w:r>
      <w:r w:rsidR="00F45966">
        <w:rPr>
          <w:lang w:val="en-GB"/>
        </w:rPr>
        <w:t xml:space="preserve"> illicit drugs; </w:t>
      </w:r>
      <w:r w:rsidR="007A2C04">
        <w:rPr>
          <w:lang w:val="en-GB"/>
        </w:rPr>
        <w:t>and the promotion of</w:t>
      </w:r>
      <w:r w:rsidR="00F45966">
        <w:rPr>
          <w:lang w:val="en-GB"/>
        </w:rPr>
        <w:t xml:space="preserve"> </w:t>
      </w:r>
      <w:r w:rsidR="00F45966" w:rsidRPr="00442317">
        <w:rPr>
          <w:lang w:val="en-GB"/>
        </w:rPr>
        <w:t>the cult</w:t>
      </w:r>
      <w:r w:rsidR="00892B97" w:rsidRPr="00442317">
        <w:rPr>
          <w:lang w:val="en-GB"/>
        </w:rPr>
        <w:t xml:space="preserve"> </w:t>
      </w:r>
      <w:r w:rsidR="00F45966" w:rsidRPr="00442317">
        <w:rPr>
          <w:lang w:val="en-GB"/>
        </w:rPr>
        <w:t>of cruelty, violence and pornography.</w:t>
      </w:r>
      <w:proofErr w:type="gramEnd"/>
      <w:r w:rsidR="00F45966" w:rsidRPr="00442317">
        <w:rPr>
          <w:lang w:val="en-GB"/>
        </w:rPr>
        <w:t xml:space="preserve"> Under article 14</w:t>
      </w:r>
      <w:r w:rsidR="00322BDD">
        <w:rPr>
          <w:lang w:val="en-GB"/>
        </w:rPr>
        <w:t xml:space="preserve"> (</w:t>
      </w:r>
      <w:r w:rsidR="00F45966" w:rsidRPr="00442317">
        <w:rPr>
          <w:lang w:val="en-GB"/>
        </w:rPr>
        <w:t>1</w:t>
      </w:r>
      <w:r w:rsidR="00322BDD">
        <w:rPr>
          <w:lang w:val="en-GB"/>
        </w:rPr>
        <w:t>)</w:t>
      </w:r>
      <w:r w:rsidR="00F45966" w:rsidRPr="00442317">
        <w:rPr>
          <w:lang w:val="en-GB"/>
        </w:rPr>
        <w:t xml:space="preserve"> of the Law </w:t>
      </w:r>
      <w:r w:rsidR="007A2C04">
        <w:rPr>
          <w:lang w:val="en-GB"/>
        </w:rPr>
        <w:t>o</w:t>
      </w:r>
      <w:r w:rsidR="00912103" w:rsidRPr="00442317">
        <w:rPr>
          <w:lang w:val="en-GB"/>
        </w:rPr>
        <w:t>n</w:t>
      </w:r>
      <w:r w:rsidR="00F45966" w:rsidRPr="00442317">
        <w:rPr>
          <w:lang w:val="en-GB"/>
        </w:rPr>
        <w:t xml:space="preserve"> State </w:t>
      </w:r>
      <w:r w:rsidR="007A2C04">
        <w:rPr>
          <w:lang w:val="en-GB"/>
        </w:rPr>
        <w:t>s</w:t>
      </w:r>
      <w:r w:rsidR="00F45966" w:rsidRPr="00442317">
        <w:rPr>
          <w:lang w:val="en-GB"/>
        </w:rPr>
        <w:t>ecrets</w:t>
      </w:r>
      <w:r w:rsidR="007A2C04">
        <w:rPr>
          <w:lang w:val="en-GB"/>
        </w:rPr>
        <w:t>,</w:t>
      </w:r>
      <w:r w:rsidR="00F45966" w:rsidRPr="00442317">
        <w:rPr>
          <w:rStyle w:val="FootnoteReference"/>
          <w:lang w:val="en-GB"/>
        </w:rPr>
        <w:footnoteReference w:id="6"/>
      </w:r>
      <w:r w:rsidR="00070CC1">
        <w:rPr>
          <w:lang w:val="en-GB"/>
        </w:rPr>
        <w:t xml:space="preserve"> </w:t>
      </w:r>
      <w:r w:rsidR="00761E83" w:rsidRPr="00442317">
        <w:rPr>
          <w:lang w:val="en-GB"/>
        </w:rPr>
        <w:t xml:space="preserve">information disclosing </w:t>
      </w:r>
      <w:r w:rsidR="006D7614">
        <w:rPr>
          <w:lang w:val="en-GB"/>
        </w:rPr>
        <w:t xml:space="preserve">the </w:t>
      </w:r>
      <w:r w:rsidR="00761E83" w:rsidRPr="00442317">
        <w:rPr>
          <w:lang w:val="en-GB"/>
        </w:rPr>
        <w:t>forces, methods, sources, means</w:t>
      </w:r>
      <w:r w:rsidR="006D7614">
        <w:rPr>
          <w:lang w:val="en-GB"/>
        </w:rPr>
        <w:t xml:space="preserve"> and</w:t>
      </w:r>
      <w:r w:rsidR="00761E83" w:rsidRPr="00442317">
        <w:rPr>
          <w:lang w:val="en-GB"/>
        </w:rPr>
        <w:t xml:space="preserve"> plans</w:t>
      </w:r>
      <w:r w:rsidR="006D7614">
        <w:rPr>
          <w:lang w:val="en-GB"/>
        </w:rPr>
        <w:t xml:space="preserve"> used in investigations and/or the</w:t>
      </w:r>
      <w:r w:rsidR="00761E83" w:rsidRPr="00442317">
        <w:rPr>
          <w:lang w:val="en-GB"/>
        </w:rPr>
        <w:t xml:space="preserve"> status, organi</w:t>
      </w:r>
      <w:r w:rsidR="006D7614">
        <w:rPr>
          <w:lang w:val="en-GB"/>
        </w:rPr>
        <w:t>z</w:t>
      </w:r>
      <w:r w:rsidR="00761E83" w:rsidRPr="00442317">
        <w:rPr>
          <w:lang w:val="en-GB"/>
        </w:rPr>
        <w:t>ation</w:t>
      </w:r>
      <w:r w:rsidR="006D7614">
        <w:rPr>
          <w:lang w:val="en-GB"/>
        </w:rPr>
        <w:t xml:space="preserve"> and</w:t>
      </w:r>
      <w:r w:rsidR="00761E83" w:rsidRPr="00442317">
        <w:rPr>
          <w:lang w:val="en-GB"/>
        </w:rPr>
        <w:t xml:space="preserve"> results of </w:t>
      </w:r>
      <w:r w:rsidR="006D7614">
        <w:rPr>
          <w:lang w:val="en-GB"/>
        </w:rPr>
        <w:t xml:space="preserve">those </w:t>
      </w:r>
      <w:r w:rsidR="00761E83" w:rsidRPr="00442317">
        <w:rPr>
          <w:lang w:val="en-GB"/>
        </w:rPr>
        <w:t>investigations, and which has not been used in a criminal trial</w:t>
      </w:r>
      <w:r w:rsidR="00304F66">
        <w:rPr>
          <w:lang w:val="en-GB"/>
        </w:rPr>
        <w:t xml:space="preserve"> </w:t>
      </w:r>
      <w:r w:rsidR="00761E83" w:rsidRPr="00442317">
        <w:rPr>
          <w:lang w:val="en-GB"/>
        </w:rPr>
        <w:t xml:space="preserve">constitutes a </w:t>
      </w:r>
      <w:r w:rsidR="006D7614">
        <w:rPr>
          <w:lang w:val="en-GB"/>
        </w:rPr>
        <w:t>S</w:t>
      </w:r>
      <w:r w:rsidR="00761E83" w:rsidRPr="00442317">
        <w:rPr>
          <w:lang w:val="en-GB"/>
        </w:rPr>
        <w:t>tate secret. The State party also refers to article 172</w:t>
      </w:r>
      <w:r w:rsidR="004034A7">
        <w:rPr>
          <w:lang w:val="en-GB"/>
        </w:rPr>
        <w:t xml:space="preserve"> (</w:t>
      </w:r>
      <w:r w:rsidR="00761E83" w:rsidRPr="00442317">
        <w:rPr>
          <w:lang w:val="en-GB"/>
        </w:rPr>
        <w:t>1</w:t>
      </w:r>
      <w:r w:rsidR="004034A7">
        <w:rPr>
          <w:lang w:val="en-GB"/>
        </w:rPr>
        <w:t>)</w:t>
      </w:r>
      <w:r w:rsidR="00761E83" w:rsidRPr="00442317">
        <w:rPr>
          <w:lang w:val="en-GB"/>
        </w:rPr>
        <w:t xml:space="preserve"> of the Criminal Code,</w:t>
      </w:r>
      <w:r w:rsidR="00761E83">
        <w:rPr>
          <w:lang w:val="en-GB"/>
        </w:rPr>
        <w:t xml:space="preserve"> and concludes that the Law </w:t>
      </w:r>
      <w:r w:rsidR="006D7614">
        <w:rPr>
          <w:lang w:val="en-GB"/>
        </w:rPr>
        <w:t>o</w:t>
      </w:r>
      <w:r w:rsidR="00912103">
        <w:rPr>
          <w:lang w:val="en-GB"/>
        </w:rPr>
        <w:t xml:space="preserve">n </w:t>
      </w:r>
      <w:r w:rsidR="00761E83">
        <w:rPr>
          <w:lang w:val="en-GB"/>
        </w:rPr>
        <w:t xml:space="preserve">State </w:t>
      </w:r>
      <w:r w:rsidR="006D7614">
        <w:rPr>
          <w:lang w:val="en-GB"/>
        </w:rPr>
        <w:t>s</w:t>
      </w:r>
      <w:r w:rsidR="00761E83">
        <w:rPr>
          <w:lang w:val="en-GB"/>
        </w:rPr>
        <w:t xml:space="preserve">ecrets does not contradict international law, including the Covenant. </w:t>
      </w:r>
    </w:p>
    <w:p w14:paraId="1AA0FD59" w14:textId="01CB3D7A" w:rsidR="000F2810" w:rsidRDefault="00761E83" w:rsidP="00DF4EBE">
      <w:pPr>
        <w:pStyle w:val="SingleTxtG"/>
        <w:rPr>
          <w:lang w:val="en-US"/>
        </w:rPr>
      </w:pPr>
      <w:r>
        <w:rPr>
          <w:lang w:val="en-GB"/>
        </w:rPr>
        <w:t>4.</w:t>
      </w:r>
      <w:r w:rsidR="00D930F9">
        <w:rPr>
          <w:lang w:val="en-GB"/>
        </w:rPr>
        <w:t>2</w:t>
      </w:r>
      <w:r>
        <w:rPr>
          <w:lang w:val="en-GB"/>
        </w:rPr>
        <w:tab/>
        <w:t>The State party submits that, despite the above</w:t>
      </w:r>
      <w:r w:rsidR="006D7614">
        <w:rPr>
          <w:lang w:val="en-GB"/>
        </w:rPr>
        <w:t>-</w:t>
      </w:r>
      <w:r>
        <w:rPr>
          <w:lang w:val="en-GB"/>
        </w:rPr>
        <w:t>mentioned limitations, on 27</w:t>
      </w:r>
      <w:r w:rsidR="001E0EB7">
        <w:rPr>
          <w:lang w:val="en-GB"/>
        </w:rPr>
        <w:t> </w:t>
      </w:r>
      <w:r>
        <w:rPr>
          <w:lang w:val="en-GB"/>
        </w:rPr>
        <w:t>November 2008, the author, in his capacity as Editor</w:t>
      </w:r>
      <w:r w:rsidR="005B7DE0">
        <w:rPr>
          <w:lang w:val="en-GB"/>
        </w:rPr>
        <w:t>-in-Chief</w:t>
      </w:r>
      <w:r>
        <w:rPr>
          <w:lang w:val="en-GB"/>
        </w:rPr>
        <w:t xml:space="preserve"> of the </w:t>
      </w:r>
      <w:r w:rsidRPr="006262E9">
        <w:rPr>
          <w:i/>
          <w:iCs/>
          <w:lang w:val="en-GB"/>
        </w:rPr>
        <w:t>Alma-Ata INFO</w:t>
      </w:r>
      <w:r w:rsidR="005B7DE0">
        <w:rPr>
          <w:lang w:val="en-GB"/>
        </w:rPr>
        <w:t xml:space="preserve"> </w:t>
      </w:r>
      <w:r w:rsidR="005B7DE0" w:rsidRPr="005B7DE0">
        <w:rPr>
          <w:lang w:val="en-GB"/>
        </w:rPr>
        <w:t>newspaper</w:t>
      </w:r>
      <w:r w:rsidR="005B7DE0">
        <w:rPr>
          <w:lang w:val="en-GB"/>
        </w:rPr>
        <w:t>,</w:t>
      </w:r>
      <w:r>
        <w:rPr>
          <w:lang w:val="en-GB"/>
        </w:rPr>
        <w:t xml:space="preserve"> published and posted on </w:t>
      </w:r>
      <w:r w:rsidR="005B7DE0">
        <w:rPr>
          <w:lang w:val="en-GB"/>
        </w:rPr>
        <w:t>the newspaper’s</w:t>
      </w:r>
      <w:r>
        <w:rPr>
          <w:lang w:val="en-GB"/>
        </w:rPr>
        <w:t xml:space="preserve"> website an article containing data regarding the </w:t>
      </w:r>
      <w:r w:rsidR="005B7DE0" w:rsidRPr="009752D6">
        <w:rPr>
          <w:lang w:val="en-GB"/>
        </w:rPr>
        <w:t xml:space="preserve">activities </w:t>
      </w:r>
      <w:r w:rsidR="009752D6">
        <w:rPr>
          <w:lang w:val="en-GB"/>
        </w:rPr>
        <w:t>conducted for</w:t>
      </w:r>
      <w:r w:rsidR="005B7DE0" w:rsidRPr="009752D6">
        <w:rPr>
          <w:lang w:val="en-GB"/>
        </w:rPr>
        <w:t xml:space="preserve"> an </w:t>
      </w:r>
      <w:r w:rsidRPr="009752D6">
        <w:rPr>
          <w:lang w:val="en-GB"/>
        </w:rPr>
        <w:t>investigati</w:t>
      </w:r>
      <w:r w:rsidR="005B7DE0" w:rsidRPr="009752D6">
        <w:rPr>
          <w:lang w:val="en-GB"/>
        </w:rPr>
        <w:t>on</w:t>
      </w:r>
      <w:r w:rsidR="00E535BE" w:rsidRPr="009752D6">
        <w:rPr>
          <w:lang w:val="en-GB"/>
        </w:rPr>
        <w:t xml:space="preserve"> </w:t>
      </w:r>
      <w:r w:rsidRPr="009752D6">
        <w:rPr>
          <w:lang w:val="en-GB"/>
        </w:rPr>
        <w:t>in</w:t>
      </w:r>
      <w:r w:rsidR="005B7DE0" w:rsidRPr="009752D6">
        <w:rPr>
          <w:lang w:val="en-GB"/>
        </w:rPr>
        <w:t>to</w:t>
      </w:r>
      <w:r w:rsidRPr="009752D6">
        <w:rPr>
          <w:lang w:val="en-GB"/>
        </w:rPr>
        <w:t xml:space="preserve"> </w:t>
      </w:r>
      <w:r w:rsidR="002E76F4" w:rsidRPr="009752D6">
        <w:rPr>
          <w:lang w:val="en-GB"/>
        </w:rPr>
        <w:t xml:space="preserve">a </w:t>
      </w:r>
      <w:r w:rsidRPr="009752D6">
        <w:rPr>
          <w:lang w:val="en-GB"/>
        </w:rPr>
        <w:t>criminal affair</w:t>
      </w:r>
      <w:r w:rsidR="002E76F4" w:rsidRPr="009752D6">
        <w:rPr>
          <w:lang w:val="en-GB"/>
        </w:rPr>
        <w:t xml:space="preserve"> </w:t>
      </w:r>
      <w:r w:rsidRPr="009752D6">
        <w:rPr>
          <w:lang w:val="en-GB"/>
        </w:rPr>
        <w:t>related to tax evasion</w:t>
      </w:r>
      <w:r>
        <w:rPr>
          <w:lang w:val="en-GB"/>
        </w:rPr>
        <w:t xml:space="preserve">. According to the assessment of the </w:t>
      </w:r>
      <w:r w:rsidR="00492590">
        <w:rPr>
          <w:lang w:val="en-GB"/>
        </w:rPr>
        <w:t>s</w:t>
      </w:r>
      <w:r>
        <w:rPr>
          <w:lang w:val="en-GB"/>
        </w:rPr>
        <w:t>ta</w:t>
      </w:r>
      <w:r w:rsidR="005A7124">
        <w:rPr>
          <w:lang w:val="en-GB"/>
        </w:rPr>
        <w:t>n</w:t>
      </w:r>
      <w:r>
        <w:rPr>
          <w:lang w:val="en-GB"/>
        </w:rPr>
        <w:t xml:space="preserve">ding </w:t>
      </w:r>
      <w:r w:rsidR="00492590">
        <w:rPr>
          <w:lang w:val="en-GB"/>
        </w:rPr>
        <w:t>c</w:t>
      </w:r>
      <w:r>
        <w:rPr>
          <w:lang w:val="en-GB"/>
        </w:rPr>
        <w:t xml:space="preserve">ommission on the </w:t>
      </w:r>
      <w:r w:rsidR="00492590">
        <w:rPr>
          <w:lang w:val="en-GB"/>
        </w:rPr>
        <w:t>p</w:t>
      </w:r>
      <w:r>
        <w:rPr>
          <w:lang w:val="en-GB"/>
        </w:rPr>
        <w:t xml:space="preserve">rotection of State </w:t>
      </w:r>
      <w:r w:rsidR="00492590">
        <w:rPr>
          <w:lang w:val="en-GB"/>
        </w:rPr>
        <w:t>s</w:t>
      </w:r>
      <w:r>
        <w:rPr>
          <w:lang w:val="en-GB"/>
        </w:rPr>
        <w:t>ecrets</w:t>
      </w:r>
      <w:r w:rsidR="00587B02">
        <w:rPr>
          <w:lang w:val="en-GB"/>
        </w:rPr>
        <w:t xml:space="preserve"> </w:t>
      </w:r>
      <w:r w:rsidR="005A7124">
        <w:rPr>
          <w:lang w:val="en-GB"/>
        </w:rPr>
        <w:t xml:space="preserve">of </w:t>
      </w:r>
      <w:proofErr w:type="spellStart"/>
      <w:r w:rsidR="005A7124">
        <w:rPr>
          <w:lang w:val="en-GB"/>
        </w:rPr>
        <w:t>Zhambyl</w:t>
      </w:r>
      <w:proofErr w:type="spellEnd"/>
      <w:r w:rsidR="005A7124">
        <w:rPr>
          <w:lang w:val="en-GB"/>
        </w:rPr>
        <w:t xml:space="preserve"> Region, the information published by the author constituted an official secret</w:t>
      </w:r>
      <w:r w:rsidR="00161EEA">
        <w:rPr>
          <w:lang w:val="en-GB"/>
        </w:rPr>
        <w:t>.</w:t>
      </w:r>
      <w:r w:rsidR="005A7124">
        <w:rPr>
          <w:lang w:val="en-GB"/>
        </w:rPr>
        <w:t xml:space="preserve"> The author compromised the </w:t>
      </w:r>
      <w:r w:rsidR="00492590">
        <w:rPr>
          <w:lang w:val="en-GB"/>
        </w:rPr>
        <w:t>S</w:t>
      </w:r>
      <w:r w:rsidR="005A7124">
        <w:rPr>
          <w:lang w:val="en-GB"/>
        </w:rPr>
        <w:t xml:space="preserve">tate security </w:t>
      </w:r>
      <w:r w:rsidR="00E535BE">
        <w:rPr>
          <w:lang w:val="en-GB"/>
        </w:rPr>
        <w:t>body</w:t>
      </w:r>
      <w:r w:rsidR="005A7124">
        <w:rPr>
          <w:lang w:val="en-GB"/>
        </w:rPr>
        <w:t xml:space="preserve"> by attempting to prevent the comprehensive investigation of the case against </w:t>
      </w:r>
      <w:r w:rsidR="00492590">
        <w:rPr>
          <w:lang w:val="en-GB"/>
        </w:rPr>
        <w:t xml:space="preserve">M., </w:t>
      </w:r>
      <w:r w:rsidR="005A7124">
        <w:rPr>
          <w:lang w:val="en-GB"/>
        </w:rPr>
        <w:t xml:space="preserve">the head of the company </w:t>
      </w:r>
      <w:proofErr w:type="gramStart"/>
      <w:r w:rsidR="009752D6">
        <w:rPr>
          <w:lang w:val="en-GB"/>
        </w:rPr>
        <w:t>being investigated</w:t>
      </w:r>
      <w:proofErr w:type="gramEnd"/>
      <w:r w:rsidR="005A7124">
        <w:rPr>
          <w:lang w:val="en-GB"/>
        </w:rPr>
        <w:t xml:space="preserve">. </w:t>
      </w:r>
      <w:r w:rsidR="00492590">
        <w:rPr>
          <w:lang w:val="en-GB"/>
        </w:rPr>
        <w:t>T</w:t>
      </w:r>
      <w:r w:rsidR="00492590" w:rsidRPr="00492590">
        <w:rPr>
          <w:lang w:val="en-GB"/>
        </w:rPr>
        <w:t>hrough tax evasion</w:t>
      </w:r>
      <w:r w:rsidR="00492590">
        <w:rPr>
          <w:lang w:val="en-GB"/>
        </w:rPr>
        <w:t>, M.</w:t>
      </w:r>
      <w:r w:rsidR="005A7124">
        <w:rPr>
          <w:lang w:val="en-GB"/>
        </w:rPr>
        <w:t xml:space="preserve"> and his associates caused damages to the </w:t>
      </w:r>
      <w:r w:rsidR="007A17AD">
        <w:rPr>
          <w:lang w:val="en-GB"/>
        </w:rPr>
        <w:t>S</w:t>
      </w:r>
      <w:r w:rsidR="005A7124">
        <w:rPr>
          <w:lang w:val="en-GB"/>
        </w:rPr>
        <w:t>tate amounting to 2</w:t>
      </w:r>
      <w:r w:rsidR="00DC04F3">
        <w:rPr>
          <w:lang w:val="en-GB"/>
        </w:rPr>
        <w:t xml:space="preserve">3 billion </w:t>
      </w:r>
      <w:proofErr w:type="spellStart"/>
      <w:r w:rsidR="00492590">
        <w:rPr>
          <w:lang w:val="en-GB"/>
        </w:rPr>
        <w:t>t</w:t>
      </w:r>
      <w:r w:rsidR="005A7124">
        <w:rPr>
          <w:lang w:val="en-GB"/>
        </w:rPr>
        <w:t>enge</w:t>
      </w:r>
      <w:proofErr w:type="spellEnd"/>
      <w:r w:rsidR="005A7124">
        <w:rPr>
          <w:lang w:val="en-GB"/>
        </w:rPr>
        <w:t xml:space="preserve"> (about </w:t>
      </w:r>
      <w:r w:rsidR="00492590">
        <w:rPr>
          <w:lang w:val="en-GB"/>
        </w:rPr>
        <w:t>$</w:t>
      </w:r>
      <w:r w:rsidR="005A7124">
        <w:rPr>
          <w:lang w:val="en-GB"/>
        </w:rPr>
        <w:t>1</w:t>
      </w:r>
      <w:r w:rsidR="00DC04F3">
        <w:rPr>
          <w:lang w:val="en-GB"/>
        </w:rPr>
        <w:t>57 million</w:t>
      </w:r>
      <w:r w:rsidR="005A7124">
        <w:rPr>
          <w:lang w:val="en-GB"/>
        </w:rPr>
        <w:t>). The publication of the article resulted in a great number of persons obtaining information regarding the forms and methods of the investigation</w:t>
      </w:r>
      <w:r w:rsidR="00492590">
        <w:rPr>
          <w:lang w:val="en-GB"/>
        </w:rPr>
        <w:t xml:space="preserve"> and</w:t>
      </w:r>
      <w:r w:rsidR="005A7124">
        <w:rPr>
          <w:lang w:val="en-GB"/>
        </w:rPr>
        <w:t xml:space="preserve"> individuals cooperating with the investigation and resulted in losses for the </w:t>
      </w:r>
      <w:r w:rsidR="00492590">
        <w:rPr>
          <w:lang w:val="en-GB"/>
        </w:rPr>
        <w:t>S</w:t>
      </w:r>
      <w:r w:rsidR="005A7124">
        <w:rPr>
          <w:lang w:val="en-GB"/>
        </w:rPr>
        <w:t xml:space="preserve">tate amounting to </w:t>
      </w:r>
      <w:r w:rsidR="001E6DA2">
        <w:rPr>
          <w:lang w:val="en-GB"/>
        </w:rPr>
        <w:t xml:space="preserve">about </w:t>
      </w:r>
      <w:r w:rsidR="005A7124">
        <w:rPr>
          <w:lang w:val="en-GB"/>
        </w:rPr>
        <w:t>24</w:t>
      </w:r>
      <w:r w:rsidR="001E6DA2">
        <w:rPr>
          <w:lang w:val="en-GB"/>
        </w:rPr>
        <w:t>.</w:t>
      </w:r>
      <w:r w:rsidR="005A7124">
        <w:rPr>
          <w:lang w:val="en-GB"/>
        </w:rPr>
        <w:t>5</w:t>
      </w:r>
      <w:r w:rsidR="001E6DA2">
        <w:rPr>
          <w:lang w:val="en-GB"/>
        </w:rPr>
        <w:t xml:space="preserve"> billion</w:t>
      </w:r>
      <w:r w:rsidR="005A7124">
        <w:rPr>
          <w:lang w:val="en-GB"/>
        </w:rPr>
        <w:t xml:space="preserve"> </w:t>
      </w:r>
      <w:proofErr w:type="spellStart"/>
      <w:r w:rsidR="00492590">
        <w:rPr>
          <w:lang w:val="en-GB"/>
        </w:rPr>
        <w:t>t</w:t>
      </w:r>
      <w:r w:rsidR="005A7124">
        <w:rPr>
          <w:lang w:val="en-GB"/>
        </w:rPr>
        <w:t>enge</w:t>
      </w:r>
      <w:proofErr w:type="spellEnd"/>
      <w:r w:rsidR="005A7124">
        <w:rPr>
          <w:lang w:val="en-GB"/>
        </w:rPr>
        <w:t xml:space="preserve">. </w:t>
      </w:r>
      <w:r w:rsidR="000F2810">
        <w:rPr>
          <w:lang w:val="en-GB"/>
        </w:rPr>
        <w:t>O</w:t>
      </w:r>
      <w:r w:rsidR="005A7124">
        <w:rPr>
          <w:lang w:val="en-GB"/>
        </w:rPr>
        <w:t>n 24 January 2009</w:t>
      </w:r>
      <w:r w:rsidR="000F2810">
        <w:rPr>
          <w:lang w:val="en-GB"/>
        </w:rPr>
        <w:t>, M.</w:t>
      </w:r>
      <w:r w:rsidR="00912103">
        <w:rPr>
          <w:lang w:val="en-GB"/>
        </w:rPr>
        <w:t xml:space="preserve"> </w:t>
      </w:r>
      <w:r w:rsidR="005A7124">
        <w:rPr>
          <w:lang w:val="en-GB"/>
        </w:rPr>
        <w:t xml:space="preserve">fully admitted his guilt and </w:t>
      </w:r>
      <w:proofErr w:type="gramStart"/>
      <w:r w:rsidR="005A7124">
        <w:rPr>
          <w:lang w:val="en-GB"/>
        </w:rPr>
        <w:t>was convicted</w:t>
      </w:r>
      <w:proofErr w:type="gramEnd"/>
      <w:r w:rsidR="005A7124">
        <w:rPr>
          <w:lang w:val="en-GB"/>
        </w:rPr>
        <w:t>.</w:t>
      </w:r>
      <w:r w:rsidR="00D56E29" w:rsidRPr="00D56E29">
        <w:rPr>
          <w:vertAlign w:val="superscript"/>
          <w:lang w:val="en-GB"/>
        </w:rPr>
        <w:footnoteReference w:id="7"/>
      </w:r>
      <w:r w:rsidR="005A7124">
        <w:rPr>
          <w:lang w:val="en-GB"/>
        </w:rPr>
        <w:t xml:space="preserve"> An officer from the </w:t>
      </w:r>
      <w:r w:rsidR="005A7124" w:rsidRPr="00D96693">
        <w:rPr>
          <w:lang w:val="en-GB"/>
        </w:rPr>
        <w:t xml:space="preserve">investigative department </w:t>
      </w:r>
      <w:proofErr w:type="gramStart"/>
      <w:r w:rsidR="005A7124">
        <w:rPr>
          <w:lang w:val="en-GB"/>
        </w:rPr>
        <w:t>was convicted</w:t>
      </w:r>
      <w:proofErr w:type="gramEnd"/>
      <w:r w:rsidR="005A7124">
        <w:rPr>
          <w:lang w:val="en-GB"/>
        </w:rPr>
        <w:t xml:space="preserve"> for taking a bribe</w:t>
      </w:r>
      <w:r w:rsidR="000F2810">
        <w:rPr>
          <w:lang w:val="en-GB"/>
        </w:rPr>
        <w:t xml:space="preserve"> from</w:t>
      </w:r>
      <w:r w:rsidR="000F7F0B">
        <w:rPr>
          <w:lang w:val="en-GB"/>
        </w:rPr>
        <w:t xml:space="preserve"> M.</w:t>
      </w:r>
      <w:r w:rsidR="000F2810">
        <w:rPr>
          <w:lang w:val="en-GB"/>
        </w:rPr>
        <w:t xml:space="preserve"> </w:t>
      </w:r>
      <w:r w:rsidR="005A7124">
        <w:rPr>
          <w:lang w:val="en-GB"/>
        </w:rPr>
        <w:t>and providing</w:t>
      </w:r>
      <w:r w:rsidR="000F7F0B">
        <w:rPr>
          <w:lang w:val="en-GB"/>
        </w:rPr>
        <w:t xml:space="preserve"> him with</w:t>
      </w:r>
      <w:r w:rsidR="005A7124">
        <w:rPr>
          <w:lang w:val="en-GB"/>
        </w:rPr>
        <w:t xml:space="preserve"> </w:t>
      </w:r>
      <w:r w:rsidR="000F2810">
        <w:rPr>
          <w:lang w:val="en-GB"/>
        </w:rPr>
        <w:t xml:space="preserve">the </w:t>
      </w:r>
      <w:r w:rsidR="005A7124">
        <w:rPr>
          <w:lang w:val="en-GB"/>
        </w:rPr>
        <w:t>secret</w:t>
      </w:r>
      <w:r w:rsidR="000F2810">
        <w:rPr>
          <w:lang w:val="en-GB"/>
        </w:rPr>
        <w:t xml:space="preserve"> documents published by the author. On 8 August 2009, the author </w:t>
      </w:r>
      <w:proofErr w:type="gramStart"/>
      <w:r w:rsidR="000F2810">
        <w:rPr>
          <w:lang w:val="en-GB"/>
        </w:rPr>
        <w:t>was convicted</w:t>
      </w:r>
      <w:proofErr w:type="gramEnd"/>
      <w:r w:rsidR="000F2810">
        <w:rPr>
          <w:lang w:val="en-GB"/>
        </w:rPr>
        <w:t xml:space="preserve"> for crimes under articles 172</w:t>
      </w:r>
      <w:r w:rsidR="004034A7">
        <w:rPr>
          <w:lang w:val="en-GB"/>
        </w:rPr>
        <w:t xml:space="preserve"> (</w:t>
      </w:r>
      <w:r w:rsidR="000F2810">
        <w:rPr>
          <w:lang w:val="en-GB"/>
        </w:rPr>
        <w:t>1</w:t>
      </w:r>
      <w:r w:rsidR="004034A7">
        <w:rPr>
          <w:lang w:val="en-GB"/>
        </w:rPr>
        <w:t>)</w:t>
      </w:r>
      <w:r w:rsidR="000F2810">
        <w:rPr>
          <w:lang w:val="en-GB"/>
        </w:rPr>
        <w:t xml:space="preserve"> and 339</w:t>
      </w:r>
      <w:r w:rsidR="004034A7">
        <w:rPr>
          <w:lang w:val="en-GB"/>
        </w:rPr>
        <w:t xml:space="preserve"> (</w:t>
      </w:r>
      <w:r w:rsidR="000F2810">
        <w:rPr>
          <w:lang w:val="en-GB"/>
        </w:rPr>
        <w:t>2</w:t>
      </w:r>
      <w:r w:rsidR="004034A7">
        <w:rPr>
          <w:lang w:val="en-GB"/>
        </w:rPr>
        <w:t>)</w:t>
      </w:r>
      <w:r w:rsidR="000F2810">
        <w:rPr>
          <w:lang w:val="en-GB"/>
        </w:rPr>
        <w:t xml:space="preserve"> </w:t>
      </w:r>
      <w:r w:rsidR="000F7F0B">
        <w:rPr>
          <w:lang w:val="en-GB"/>
        </w:rPr>
        <w:t>of the Criminal Code,</w:t>
      </w:r>
      <w:r w:rsidR="000F2810">
        <w:rPr>
          <w:lang w:val="en-GB"/>
        </w:rPr>
        <w:t xml:space="preserve"> </w:t>
      </w:r>
      <w:r w:rsidR="00E535BE">
        <w:rPr>
          <w:lang w:val="en-GB"/>
        </w:rPr>
        <w:t>sentenced</w:t>
      </w:r>
      <w:r w:rsidR="000F2810">
        <w:rPr>
          <w:lang w:val="en-GB"/>
        </w:rPr>
        <w:t xml:space="preserve"> to a cumulative sentence of </w:t>
      </w:r>
      <w:r w:rsidR="00E535BE">
        <w:rPr>
          <w:lang w:val="en-GB"/>
        </w:rPr>
        <w:t>three</w:t>
      </w:r>
      <w:r w:rsidR="000F2810">
        <w:rPr>
          <w:lang w:val="en-GB"/>
        </w:rPr>
        <w:t xml:space="preserve"> years of imprisonment and </w:t>
      </w:r>
      <w:r w:rsidR="000F7F0B">
        <w:rPr>
          <w:lang w:val="en-US"/>
        </w:rPr>
        <w:t>his</w:t>
      </w:r>
      <w:r w:rsidR="000F2810" w:rsidRPr="00650921">
        <w:rPr>
          <w:lang w:val="en-US"/>
        </w:rPr>
        <w:t xml:space="preserve"> right to </w:t>
      </w:r>
      <w:r w:rsidR="000F7F0B">
        <w:rPr>
          <w:lang w:val="en-US"/>
        </w:rPr>
        <w:t>engage in</w:t>
      </w:r>
      <w:r w:rsidR="000F2810" w:rsidRPr="00650921">
        <w:rPr>
          <w:lang w:val="en-US"/>
        </w:rPr>
        <w:t xml:space="preserve"> publishing activit</w:t>
      </w:r>
      <w:r w:rsidR="000F7F0B">
        <w:rPr>
          <w:lang w:val="en-US"/>
        </w:rPr>
        <w:t>ies was suspended</w:t>
      </w:r>
      <w:r w:rsidR="000F2810" w:rsidRPr="00650921">
        <w:rPr>
          <w:lang w:val="en-US"/>
        </w:rPr>
        <w:t xml:space="preserve"> for two years. </w:t>
      </w:r>
    </w:p>
    <w:p w14:paraId="2D23F55B" w14:textId="39F311D9" w:rsidR="00F00747" w:rsidRDefault="00D930F9" w:rsidP="000F7F0B">
      <w:pPr>
        <w:pStyle w:val="SingleTxtG"/>
        <w:rPr>
          <w:lang w:val="en-US"/>
        </w:rPr>
      </w:pPr>
      <w:proofErr w:type="gramStart"/>
      <w:r>
        <w:rPr>
          <w:lang w:val="en-US"/>
        </w:rPr>
        <w:t>4.3</w:t>
      </w:r>
      <w:r w:rsidR="000F2810">
        <w:rPr>
          <w:lang w:val="en-US"/>
        </w:rPr>
        <w:tab/>
        <w:t xml:space="preserve">The verdict was confirmed upon appeal on 22 October 2009 by the </w:t>
      </w:r>
      <w:r w:rsidR="000F2810" w:rsidRPr="000F2810">
        <w:rPr>
          <w:lang w:val="en-US"/>
        </w:rPr>
        <w:t>Judicial Chamber</w:t>
      </w:r>
      <w:proofErr w:type="gramEnd"/>
      <w:r w:rsidR="000F2810" w:rsidRPr="000F2810">
        <w:rPr>
          <w:lang w:val="en-US"/>
        </w:rPr>
        <w:t xml:space="preserve"> for Criminal Cases of the </w:t>
      </w:r>
      <w:proofErr w:type="spellStart"/>
      <w:r w:rsidR="000F2810" w:rsidRPr="000F2810">
        <w:rPr>
          <w:lang w:val="en-US"/>
        </w:rPr>
        <w:t>Z</w:t>
      </w:r>
      <w:r w:rsidR="00AC62EF">
        <w:rPr>
          <w:lang w:val="en-US"/>
        </w:rPr>
        <w:t>h</w:t>
      </w:r>
      <w:r w:rsidR="000F2810" w:rsidRPr="000F2810">
        <w:rPr>
          <w:lang w:val="en-US"/>
        </w:rPr>
        <w:t>ambyl</w:t>
      </w:r>
      <w:proofErr w:type="spellEnd"/>
      <w:r w:rsidR="000F2810" w:rsidRPr="000F2810">
        <w:rPr>
          <w:lang w:val="en-US"/>
        </w:rPr>
        <w:t xml:space="preserve"> Regional Court</w:t>
      </w:r>
      <w:r w:rsidR="000F2810">
        <w:rPr>
          <w:lang w:val="en-US"/>
        </w:rPr>
        <w:t xml:space="preserve">. The punishment for divulging </w:t>
      </w:r>
      <w:r w:rsidR="000F7F0B">
        <w:rPr>
          <w:lang w:val="en-US"/>
        </w:rPr>
        <w:t>S</w:t>
      </w:r>
      <w:r w:rsidR="000F2810">
        <w:rPr>
          <w:lang w:val="en-US"/>
        </w:rPr>
        <w:t xml:space="preserve">tate secrets is in full compliance with the international standards. The sentencing of the author </w:t>
      </w:r>
      <w:proofErr w:type="gramStart"/>
      <w:r w:rsidR="000F2810">
        <w:rPr>
          <w:lang w:val="en-US"/>
        </w:rPr>
        <w:t>is not related</w:t>
      </w:r>
      <w:proofErr w:type="gramEnd"/>
      <w:r w:rsidR="000F2810">
        <w:rPr>
          <w:lang w:val="en-US"/>
        </w:rPr>
        <w:t xml:space="preserve"> to his critical statements or political views. The prohibition </w:t>
      </w:r>
      <w:r w:rsidR="000F7F0B">
        <w:rPr>
          <w:lang w:val="en-US"/>
        </w:rPr>
        <w:t>on</w:t>
      </w:r>
      <w:r w:rsidR="000F2810">
        <w:rPr>
          <w:lang w:val="en-US"/>
        </w:rPr>
        <w:t xml:space="preserve"> </w:t>
      </w:r>
      <w:r w:rsidR="000F7F0B">
        <w:rPr>
          <w:lang w:val="en-US"/>
        </w:rPr>
        <w:t>engaging in</w:t>
      </w:r>
      <w:r w:rsidR="00B71A60">
        <w:rPr>
          <w:lang w:val="en-US"/>
        </w:rPr>
        <w:t xml:space="preserve"> </w:t>
      </w:r>
      <w:r w:rsidR="000F2810" w:rsidRPr="00650921">
        <w:rPr>
          <w:lang w:val="en-US"/>
        </w:rPr>
        <w:t>publishing activit</w:t>
      </w:r>
      <w:r w:rsidR="000F7F0B">
        <w:rPr>
          <w:lang w:val="en-US"/>
        </w:rPr>
        <w:t>ies</w:t>
      </w:r>
      <w:r w:rsidR="000F2810" w:rsidRPr="00650921">
        <w:rPr>
          <w:lang w:val="en-US"/>
        </w:rPr>
        <w:t xml:space="preserve"> for two years</w:t>
      </w:r>
      <w:r w:rsidR="000F2810">
        <w:rPr>
          <w:lang w:val="en-US"/>
        </w:rPr>
        <w:t xml:space="preserve"> </w:t>
      </w:r>
      <w:proofErr w:type="gramStart"/>
      <w:r w:rsidR="000F2810">
        <w:rPr>
          <w:lang w:val="en-US"/>
        </w:rPr>
        <w:t>was intended</w:t>
      </w:r>
      <w:proofErr w:type="gramEnd"/>
      <w:r w:rsidR="000F2810">
        <w:rPr>
          <w:lang w:val="en-US"/>
        </w:rPr>
        <w:t xml:space="preserve"> to prevent him from committing further crimes, since he committed a crime through publishing and journalism. However, </w:t>
      </w:r>
      <w:proofErr w:type="gramStart"/>
      <w:r w:rsidR="000F2810">
        <w:rPr>
          <w:lang w:val="en-US"/>
        </w:rPr>
        <w:t>as a citizen of Kazakhstan,</w:t>
      </w:r>
      <w:proofErr w:type="gramEnd"/>
      <w:r w:rsidR="000F2810">
        <w:rPr>
          <w:lang w:val="en-US"/>
        </w:rPr>
        <w:t xml:space="preserve"> </w:t>
      </w:r>
      <w:proofErr w:type="gramStart"/>
      <w:r w:rsidR="000F2810">
        <w:rPr>
          <w:lang w:val="en-US"/>
        </w:rPr>
        <w:t>his freedom to hold an opinion and express it</w:t>
      </w:r>
      <w:r w:rsidR="002D10F2">
        <w:rPr>
          <w:lang w:val="en-US"/>
        </w:rPr>
        <w:t xml:space="preserve"> under article 19</w:t>
      </w:r>
      <w:proofErr w:type="gramEnd"/>
      <w:r w:rsidR="002D10F2">
        <w:rPr>
          <w:lang w:val="en-US"/>
        </w:rPr>
        <w:t xml:space="preserve"> had not been limited. The author </w:t>
      </w:r>
      <w:proofErr w:type="gramStart"/>
      <w:r w:rsidR="002D10F2">
        <w:rPr>
          <w:lang w:val="en-US"/>
        </w:rPr>
        <w:t>was released</w:t>
      </w:r>
      <w:proofErr w:type="gramEnd"/>
      <w:r w:rsidR="002D10F2">
        <w:rPr>
          <w:lang w:val="en-US"/>
        </w:rPr>
        <w:t xml:space="preserve"> from </w:t>
      </w:r>
      <w:r w:rsidR="000F7F0B">
        <w:rPr>
          <w:lang w:val="en-US"/>
        </w:rPr>
        <w:t xml:space="preserve">prison </w:t>
      </w:r>
      <w:r w:rsidR="002D10F2">
        <w:rPr>
          <w:lang w:val="en-US"/>
        </w:rPr>
        <w:t>on 6 January 2012, having served his sentence.</w:t>
      </w:r>
    </w:p>
    <w:p w14:paraId="57887C79" w14:textId="709B6BA1" w:rsidR="002D10F2" w:rsidRDefault="00D930F9" w:rsidP="00AA52A4">
      <w:pPr>
        <w:pStyle w:val="SingleTxtG"/>
        <w:rPr>
          <w:lang w:val="en-US"/>
        </w:rPr>
      </w:pPr>
      <w:proofErr w:type="gramStart"/>
      <w:r>
        <w:rPr>
          <w:lang w:val="en-US"/>
        </w:rPr>
        <w:t>4.4</w:t>
      </w:r>
      <w:r w:rsidR="002D10F2">
        <w:rPr>
          <w:lang w:val="en-US"/>
        </w:rPr>
        <w:tab/>
        <w:t>During the trial</w:t>
      </w:r>
      <w:proofErr w:type="gramEnd"/>
      <w:r w:rsidR="002D10F2">
        <w:rPr>
          <w:lang w:val="en-US"/>
        </w:rPr>
        <w:t xml:space="preserve"> the author and his wife filed </w:t>
      </w:r>
      <w:r w:rsidR="000F7F0B">
        <w:rPr>
          <w:lang w:val="en-US"/>
        </w:rPr>
        <w:t xml:space="preserve">12 </w:t>
      </w:r>
      <w:r w:rsidR="002D10F2">
        <w:rPr>
          <w:lang w:val="en-US"/>
        </w:rPr>
        <w:t xml:space="preserve">different motions to the </w:t>
      </w:r>
      <w:r w:rsidR="000F7F0B">
        <w:rPr>
          <w:lang w:val="en-US"/>
        </w:rPr>
        <w:t>c</w:t>
      </w:r>
      <w:r w:rsidR="002D10F2">
        <w:rPr>
          <w:lang w:val="en-US"/>
        </w:rPr>
        <w:t xml:space="preserve">ourt claiming biased consideration of his case. The motions </w:t>
      </w:r>
      <w:proofErr w:type="gramStart"/>
      <w:r w:rsidR="002D10F2">
        <w:rPr>
          <w:lang w:val="en-US"/>
        </w:rPr>
        <w:t>were forwarded</w:t>
      </w:r>
      <w:proofErr w:type="gramEnd"/>
      <w:r w:rsidR="002D10F2">
        <w:rPr>
          <w:lang w:val="en-US"/>
        </w:rPr>
        <w:t xml:space="preserve"> to the court with the explanation that in </w:t>
      </w:r>
      <w:r w:rsidR="000F7F0B">
        <w:rPr>
          <w:lang w:val="en-US"/>
        </w:rPr>
        <w:t xml:space="preserve">the event </w:t>
      </w:r>
      <w:r w:rsidR="002D10F2">
        <w:rPr>
          <w:lang w:val="en-US"/>
        </w:rPr>
        <w:t xml:space="preserve">of disagreement with the first instance decision, the participants in </w:t>
      </w:r>
      <w:r w:rsidR="000F7F0B">
        <w:rPr>
          <w:lang w:val="en-US"/>
        </w:rPr>
        <w:t xml:space="preserve">a </w:t>
      </w:r>
      <w:r w:rsidR="002D10F2">
        <w:rPr>
          <w:lang w:val="en-US"/>
        </w:rPr>
        <w:t>trial have the right to appeal. After the trial</w:t>
      </w:r>
      <w:r w:rsidR="000F7F0B">
        <w:rPr>
          <w:lang w:val="en-US"/>
        </w:rPr>
        <w:t xml:space="preserve"> ended</w:t>
      </w:r>
      <w:r w:rsidR="00912103">
        <w:rPr>
          <w:lang w:val="en-US"/>
        </w:rPr>
        <w:t>,</w:t>
      </w:r>
      <w:r w:rsidR="002D10F2">
        <w:rPr>
          <w:lang w:val="en-US"/>
        </w:rPr>
        <w:t xml:space="preserve"> </w:t>
      </w:r>
      <w:proofErr w:type="gramStart"/>
      <w:r w:rsidR="002D10F2">
        <w:rPr>
          <w:lang w:val="en-US"/>
        </w:rPr>
        <w:t>six more complaints were filed by the author and his wife</w:t>
      </w:r>
      <w:proofErr w:type="gramEnd"/>
      <w:r w:rsidR="002D10F2">
        <w:rPr>
          <w:lang w:val="en-US"/>
        </w:rPr>
        <w:t>. T</w:t>
      </w:r>
      <w:r w:rsidR="007C6E2E">
        <w:rPr>
          <w:lang w:val="en-US"/>
        </w:rPr>
        <w:t xml:space="preserve">he General Prosecutor’s Office requested the file from </w:t>
      </w:r>
      <w:proofErr w:type="spellStart"/>
      <w:r w:rsidR="00871506">
        <w:rPr>
          <w:lang w:val="en-US"/>
        </w:rPr>
        <w:t>th</w:t>
      </w:r>
      <w:proofErr w:type="spellEnd"/>
      <w:r w:rsidR="00871506" w:rsidRPr="00675A40">
        <w:t>e</w:t>
      </w:r>
      <w:r w:rsidR="007C6E2E" w:rsidRPr="00675A40">
        <w:t xml:space="preserve"> court, reviewed the case and provided a motivated response regarding the absence of</w:t>
      </w:r>
      <w:r w:rsidR="007C6E2E">
        <w:rPr>
          <w:lang w:val="en-US"/>
        </w:rPr>
        <w:t xml:space="preserve"> grounds for filing a protest. Following two further complaints from the author and his wife, on 19 March 2010, the General Prosecutor’s</w:t>
      </w:r>
      <w:r w:rsidR="00912103">
        <w:rPr>
          <w:lang w:val="en-US"/>
        </w:rPr>
        <w:t xml:space="preserve"> Office</w:t>
      </w:r>
      <w:r w:rsidR="007C6E2E">
        <w:rPr>
          <w:lang w:val="en-US"/>
        </w:rPr>
        <w:t xml:space="preserve"> again requested the case file. The </w:t>
      </w:r>
      <w:proofErr w:type="spellStart"/>
      <w:r w:rsidR="007C6E2E">
        <w:rPr>
          <w:lang w:val="en-US"/>
        </w:rPr>
        <w:t>Z</w:t>
      </w:r>
      <w:r w:rsidR="00AC62EF">
        <w:rPr>
          <w:lang w:val="en-US"/>
        </w:rPr>
        <w:t>h</w:t>
      </w:r>
      <w:r w:rsidR="007C6E2E">
        <w:rPr>
          <w:lang w:val="en-US"/>
        </w:rPr>
        <w:t>ambyl</w:t>
      </w:r>
      <w:proofErr w:type="spellEnd"/>
      <w:r w:rsidR="007C6E2E">
        <w:rPr>
          <w:lang w:val="en-US"/>
        </w:rPr>
        <w:t xml:space="preserve"> Prosecutor’s Office </w:t>
      </w:r>
      <w:r w:rsidR="00AA52A4">
        <w:rPr>
          <w:lang w:val="en-US"/>
        </w:rPr>
        <w:t xml:space="preserve">reported </w:t>
      </w:r>
      <w:r w:rsidR="007C6E2E">
        <w:rPr>
          <w:lang w:val="en-US"/>
        </w:rPr>
        <w:t xml:space="preserve">that, on 17 March 2010, the case file </w:t>
      </w:r>
      <w:proofErr w:type="gramStart"/>
      <w:r w:rsidR="007C6E2E">
        <w:rPr>
          <w:lang w:val="en-US"/>
        </w:rPr>
        <w:t>had been sent</w:t>
      </w:r>
      <w:proofErr w:type="gramEnd"/>
      <w:r w:rsidR="007C6E2E">
        <w:rPr>
          <w:lang w:val="en-US"/>
        </w:rPr>
        <w:t xml:space="preserve"> to the supervisory review chamber of the Supreme Court.</w:t>
      </w:r>
      <w:r w:rsidR="002D10F2" w:rsidRPr="00D52391">
        <w:rPr>
          <w:lang w:val="en-US"/>
        </w:rPr>
        <w:t xml:space="preserve"> The author </w:t>
      </w:r>
      <w:proofErr w:type="gramStart"/>
      <w:r w:rsidR="002D10F2" w:rsidRPr="00D52391">
        <w:rPr>
          <w:lang w:val="en-US"/>
        </w:rPr>
        <w:t>was advised</w:t>
      </w:r>
      <w:proofErr w:type="gramEnd"/>
      <w:r w:rsidR="002D10F2" w:rsidRPr="00D52391">
        <w:rPr>
          <w:lang w:val="en-US"/>
        </w:rPr>
        <w:t xml:space="preserve"> that, should the Supreme Court reject his application, he would have the right to request the General Prosecutor’s Office to file a </w:t>
      </w:r>
      <w:r w:rsidR="002D10F2" w:rsidRPr="00D52391">
        <w:rPr>
          <w:lang w:val="en-GB"/>
        </w:rPr>
        <w:t>protest motion</w:t>
      </w:r>
      <w:r w:rsidR="002D10F2" w:rsidRPr="00D52391">
        <w:rPr>
          <w:lang w:val="en-US"/>
        </w:rPr>
        <w:t xml:space="preserve"> against the decisions taken in his case. On 24 May 2010, the Supreme Court rejected the author’s supervisory review application. Following that date, no other supervisory </w:t>
      </w:r>
      <w:r w:rsidR="00E535BE">
        <w:rPr>
          <w:lang w:val="en-US"/>
        </w:rPr>
        <w:t xml:space="preserve">review </w:t>
      </w:r>
      <w:r w:rsidR="002D10F2" w:rsidRPr="00D52391">
        <w:rPr>
          <w:lang w:val="en-US"/>
        </w:rPr>
        <w:t xml:space="preserve">applications </w:t>
      </w:r>
      <w:proofErr w:type="gramStart"/>
      <w:r w:rsidR="002D10F2" w:rsidRPr="00D52391">
        <w:rPr>
          <w:lang w:val="en-US"/>
        </w:rPr>
        <w:t>were lodged</w:t>
      </w:r>
      <w:proofErr w:type="gramEnd"/>
      <w:r w:rsidR="002D10F2" w:rsidRPr="00D52391">
        <w:rPr>
          <w:lang w:val="en-US"/>
        </w:rPr>
        <w:t xml:space="preserve"> with the Prosecutor’s Office. In </w:t>
      </w:r>
      <w:r w:rsidR="00D56E29">
        <w:rPr>
          <w:lang w:val="en-US"/>
        </w:rPr>
        <w:t xml:space="preserve">the </w:t>
      </w:r>
      <w:r w:rsidR="002D10F2" w:rsidRPr="00D52391">
        <w:rPr>
          <w:lang w:val="en-US"/>
        </w:rPr>
        <w:t xml:space="preserve">light of the above, the State party maintains that at the time of </w:t>
      </w:r>
      <w:r w:rsidR="00D56E29">
        <w:rPr>
          <w:lang w:val="en-US"/>
        </w:rPr>
        <w:t xml:space="preserve">the </w:t>
      </w:r>
      <w:r w:rsidR="002D10F2" w:rsidRPr="00D52391">
        <w:rPr>
          <w:lang w:val="en-US"/>
        </w:rPr>
        <w:t xml:space="preserve">submission of his communication to the </w:t>
      </w:r>
      <w:r w:rsidR="007D4357">
        <w:rPr>
          <w:lang w:val="en-US"/>
        </w:rPr>
        <w:t xml:space="preserve">Human Rights </w:t>
      </w:r>
      <w:r w:rsidR="002D10F2" w:rsidRPr="00D52391">
        <w:rPr>
          <w:lang w:val="en-US"/>
        </w:rPr>
        <w:t>Committee, the author ha</w:t>
      </w:r>
      <w:r w:rsidR="001D4ED0">
        <w:rPr>
          <w:lang w:val="en-US"/>
        </w:rPr>
        <w:t>d</w:t>
      </w:r>
      <w:r w:rsidR="002D10F2" w:rsidRPr="00D52391">
        <w:rPr>
          <w:lang w:val="en-US"/>
        </w:rPr>
        <w:t xml:space="preserve"> not exhausted all available domestic remedies and therefore his communication is inadmissible under article 5</w:t>
      </w:r>
      <w:r w:rsidR="00D56E29">
        <w:rPr>
          <w:lang w:val="en-US"/>
        </w:rPr>
        <w:t> </w:t>
      </w:r>
      <w:r w:rsidR="00780883">
        <w:rPr>
          <w:lang w:val="en-US"/>
        </w:rPr>
        <w:t>(</w:t>
      </w:r>
      <w:r w:rsidR="002D10F2" w:rsidRPr="00D52391">
        <w:rPr>
          <w:lang w:val="en-US"/>
        </w:rPr>
        <w:t>2</w:t>
      </w:r>
      <w:r w:rsidR="00780883">
        <w:rPr>
          <w:lang w:val="en-US"/>
        </w:rPr>
        <w:t>)</w:t>
      </w:r>
      <w:r w:rsidR="002D10F2" w:rsidRPr="00D52391">
        <w:rPr>
          <w:lang w:val="en-US"/>
        </w:rPr>
        <w:t xml:space="preserve"> (b) of the Optional Protocol. </w:t>
      </w:r>
    </w:p>
    <w:p w14:paraId="2A1C14AF" w14:textId="01C93337" w:rsidR="004769CA" w:rsidRDefault="00D930F9" w:rsidP="00E82772">
      <w:pPr>
        <w:pStyle w:val="SingleTxtG"/>
        <w:rPr>
          <w:lang w:val="en-US"/>
        </w:rPr>
      </w:pPr>
      <w:r>
        <w:rPr>
          <w:lang w:val="en-US"/>
        </w:rPr>
        <w:t>4.5</w:t>
      </w:r>
      <w:r w:rsidR="007C6E2E">
        <w:rPr>
          <w:lang w:val="en-US"/>
        </w:rPr>
        <w:tab/>
        <w:t>Regarding the author</w:t>
      </w:r>
      <w:r w:rsidR="00892B97">
        <w:rPr>
          <w:lang w:val="en-US"/>
        </w:rPr>
        <w:t>’</w:t>
      </w:r>
      <w:r w:rsidR="007C6E2E">
        <w:rPr>
          <w:lang w:val="en-US"/>
        </w:rPr>
        <w:t xml:space="preserve">s claim that he had been </w:t>
      </w:r>
      <w:r w:rsidR="00912103">
        <w:rPr>
          <w:lang w:val="en-US"/>
        </w:rPr>
        <w:t>unlawfully arrested</w:t>
      </w:r>
      <w:r w:rsidR="007C6E2E">
        <w:rPr>
          <w:lang w:val="en-US"/>
        </w:rPr>
        <w:t xml:space="preserve"> by </w:t>
      </w:r>
      <w:r w:rsidR="00D56E29">
        <w:rPr>
          <w:lang w:val="en-US"/>
        </w:rPr>
        <w:t xml:space="preserve">National Security Committee </w:t>
      </w:r>
      <w:r w:rsidR="007C6E2E">
        <w:rPr>
          <w:lang w:val="en-US"/>
        </w:rPr>
        <w:t xml:space="preserve">operatives, the State party submits that on 27 November 2008, the </w:t>
      </w:r>
      <w:r w:rsidR="007C6E2E" w:rsidRPr="00AA52A4">
        <w:rPr>
          <w:lang w:val="en-US"/>
        </w:rPr>
        <w:t xml:space="preserve">Investigative Department of </w:t>
      </w:r>
      <w:proofErr w:type="spellStart"/>
      <w:r w:rsidR="007C6E2E" w:rsidRPr="00AA52A4">
        <w:rPr>
          <w:lang w:val="en-US"/>
        </w:rPr>
        <w:t>Z</w:t>
      </w:r>
      <w:r w:rsidR="00AC62EF" w:rsidRPr="00AA52A4">
        <w:rPr>
          <w:lang w:val="en-US"/>
        </w:rPr>
        <w:t>h</w:t>
      </w:r>
      <w:r w:rsidR="007C6E2E" w:rsidRPr="00AA52A4">
        <w:rPr>
          <w:lang w:val="en-US"/>
        </w:rPr>
        <w:t>ambyl</w:t>
      </w:r>
      <w:proofErr w:type="spellEnd"/>
      <w:r w:rsidR="007C6E2E" w:rsidRPr="00AA52A4">
        <w:rPr>
          <w:lang w:val="en-US"/>
        </w:rPr>
        <w:t xml:space="preserve"> Region</w:t>
      </w:r>
      <w:r w:rsidR="007C6E2E">
        <w:rPr>
          <w:lang w:val="en-US"/>
        </w:rPr>
        <w:t xml:space="preserve"> initiated a criminal investigation against the author under article 172</w:t>
      </w:r>
      <w:r w:rsidR="004034A7">
        <w:rPr>
          <w:lang w:val="en-US"/>
        </w:rPr>
        <w:t xml:space="preserve"> (</w:t>
      </w:r>
      <w:r w:rsidR="007C6E2E">
        <w:rPr>
          <w:lang w:val="en-US"/>
        </w:rPr>
        <w:t>3</w:t>
      </w:r>
      <w:r w:rsidR="004034A7">
        <w:rPr>
          <w:lang w:val="en-US"/>
        </w:rPr>
        <w:t>)</w:t>
      </w:r>
      <w:r w:rsidR="007C6E2E">
        <w:rPr>
          <w:lang w:val="en-US"/>
        </w:rPr>
        <w:t xml:space="preserve"> of the Criminal Code. On the same </w:t>
      </w:r>
      <w:proofErr w:type="gramStart"/>
      <w:r w:rsidR="007C6E2E">
        <w:rPr>
          <w:lang w:val="en-US"/>
        </w:rPr>
        <w:t>date</w:t>
      </w:r>
      <w:proofErr w:type="gramEnd"/>
      <w:r w:rsidR="007C6E2E">
        <w:rPr>
          <w:lang w:val="en-US"/>
        </w:rPr>
        <w:t xml:space="preserve"> a </w:t>
      </w:r>
      <w:r w:rsidR="009D4025">
        <w:rPr>
          <w:lang w:val="en-US"/>
        </w:rPr>
        <w:t>restraint</w:t>
      </w:r>
      <w:r w:rsidR="007C6E2E">
        <w:rPr>
          <w:lang w:val="en-US"/>
        </w:rPr>
        <w:t xml:space="preserve"> </w:t>
      </w:r>
      <w:r w:rsidR="007A17AD">
        <w:rPr>
          <w:lang w:val="en-US"/>
        </w:rPr>
        <w:t>order</w:t>
      </w:r>
      <w:r w:rsidR="009C2573">
        <w:rPr>
          <w:lang w:val="en-US"/>
        </w:rPr>
        <w:t xml:space="preserve"> </w:t>
      </w:r>
      <w:r w:rsidR="009C2573" w:rsidRPr="009C2573">
        <w:rPr>
          <w:lang w:val="en-US"/>
        </w:rPr>
        <w:t>was issued for the author</w:t>
      </w:r>
      <w:r w:rsidR="009C2573">
        <w:rPr>
          <w:lang w:val="en-US"/>
        </w:rPr>
        <w:t>, according to which he was</w:t>
      </w:r>
      <w:r w:rsidR="007C6E2E">
        <w:rPr>
          <w:lang w:val="en-US"/>
        </w:rPr>
        <w:t xml:space="preserve"> </w:t>
      </w:r>
      <w:r w:rsidR="009D4025">
        <w:rPr>
          <w:lang w:val="en-US"/>
        </w:rPr>
        <w:t xml:space="preserve">not to leave his town of residence without court permission, </w:t>
      </w:r>
      <w:r w:rsidR="009C2573">
        <w:rPr>
          <w:lang w:val="en-US"/>
        </w:rPr>
        <w:t xml:space="preserve">was </w:t>
      </w:r>
      <w:r w:rsidR="009D4025">
        <w:rPr>
          <w:lang w:val="en-US"/>
        </w:rPr>
        <w:t>not to interfere with the investigation and</w:t>
      </w:r>
      <w:r w:rsidR="009C2573">
        <w:rPr>
          <w:lang w:val="en-US"/>
        </w:rPr>
        <w:t xml:space="preserve"> was</w:t>
      </w:r>
      <w:r w:rsidR="009D4025">
        <w:rPr>
          <w:lang w:val="en-US"/>
        </w:rPr>
        <w:t xml:space="preserve"> to appear for questioning by the investigat</w:t>
      </w:r>
      <w:r w:rsidR="009C2573">
        <w:rPr>
          <w:lang w:val="en-US"/>
        </w:rPr>
        <w:t>ors</w:t>
      </w:r>
      <w:r w:rsidR="009D4025">
        <w:rPr>
          <w:lang w:val="en-US"/>
        </w:rPr>
        <w:t xml:space="preserve">. On 29 November 2008, during a search of the newspaper’s premises, the author </w:t>
      </w:r>
      <w:r w:rsidR="009C2573">
        <w:rPr>
          <w:lang w:val="en-US"/>
        </w:rPr>
        <w:t>began</w:t>
      </w:r>
      <w:r w:rsidR="009D4025">
        <w:rPr>
          <w:lang w:val="en-US"/>
        </w:rPr>
        <w:t xml:space="preserve"> swearing </w:t>
      </w:r>
      <w:r w:rsidR="009C2573">
        <w:rPr>
          <w:lang w:val="en-US"/>
        </w:rPr>
        <w:t xml:space="preserve">at </w:t>
      </w:r>
      <w:r w:rsidR="009D4025">
        <w:rPr>
          <w:lang w:val="en-US"/>
        </w:rPr>
        <w:t xml:space="preserve">the operatives and creating </w:t>
      </w:r>
      <w:r w:rsidR="009C2573">
        <w:rPr>
          <w:lang w:val="en-US"/>
        </w:rPr>
        <w:t xml:space="preserve">an </w:t>
      </w:r>
      <w:r w:rsidR="0093334D">
        <w:rPr>
          <w:lang w:val="en-US"/>
        </w:rPr>
        <w:t>obstruction</w:t>
      </w:r>
      <w:r w:rsidR="009D4025">
        <w:rPr>
          <w:lang w:val="en-US"/>
        </w:rPr>
        <w:t>. He became queasy, his blood pressure spiked and he refused to be present at the search. The emergency medical personnel summoned</w:t>
      </w:r>
      <w:r w:rsidR="007A17AD">
        <w:rPr>
          <w:lang w:val="en-US"/>
        </w:rPr>
        <w:t xml:space="preserve"> to the premises</w:t>
      </w:r>
      <w:r w:rsidR="009D4025">
        <w:rPr>
          <w:lang w:val="en-US"/>
        </w:rPr>
        <w:t xml:space="preserve"> directed him to a </w:t>
      </w:r>
      <w:r w:rsidR="009D4025">
        <w:rPr>
          <w:lang w:val="en-GB"/>
        </w:rPr>
        <w:t>cardio</w:t>
      </w:r>
      <w:r w:rsidR="009D4025" w:rsidRPr="009D4025">
        <w:rPr>
          <w:lang w:val="en-GB"/>
        </w:rPr>
        <w:t>log</w:t>
      </w:r>
      <w:r w:rsidR="009D4025">
        <w:rPr>
          <w:lang w:val="en-GB"/>
        </w:rPr>
        <w:t>y</w:t>
      </w:r>
      <w:r w:rsidR="009D4025">
        <w:rPr>
          <w:lang w:val="en-US"/>
        </w:rPr>
        <w:t xml:space="preserve"> hospital. The search continued in the presence of newspaper personnel and sworn witnesses. </w:t>
      </w:r>
      <w:r w:rsidR="00507E4F">
        <w:rPr>
          <w:lang w:val="en-US"/>
        </w:rPr>
        <w:t>T</w:t>
      </w:r>
      <w:r w:rsidR="009D4025">
        <w:rPr>
          <w:lang w:val="en-US"/>
        </w:rPr>
        <w:t xml:space="preserve">he author </w:t>
      </w:r>
      <w:proofErr w:type="gramStart"/>
      <w:r w:rsidR="009D4025">
        <w:rPr>
          <w:lang w:val="en-US"/>
        </w:rPr>
        <w:t>was su</w:t>
      </w:r>
      <w:r w:rsidR="00E54C96">
        <w:rPr>
          <w:lang w:val="en-US"/>
        </w:rPr>
        <w:t>mmoned</w:t>
      </w:r>
      <w:proofErr w:type="gramEnd"/>
      <w:r w:rsidR="00E54C96">
        <w:rPr>
          <w:lang w:val="en-US"/>
        </w:rPr>
        <w:t xml:space="preserve"> for questioning to the Investigative Department in Almaty on 1 December 2008. There he </w:t>
      </w:r>
      <w:proofErr w:type="gramStart"/>
      <w:r w:rsidR="00E54C96">
        <w:rPr>
          <w:lang w:val="en-US"/>
        </w:rPr>
        <w:t>was informed</w:t>
      </w:r>
      <w:proofErr w:type="gramEnd"/>
      <w:r w:rsidR="00E54C96">
        <w:rPr>
          <w:lang w:val="en-US"/>
        </w:rPr>
        <w:t xml:space="preserve"> that he should travel to the </w:t>
      </w:r>
      <w:r w:rsidR="009C2573" w:rsidRPr="00AA52A4">
        <w:rPr>
          <w:lang w:val="en-US"/>
        </w:rPr>
        <w:t xml:space="preserve">National Security Committee </w:t>
      </w:r>
      <w:r w:rsidR="00AC62EF" w:rsidRPr="00AA52A4">
        <w:rPr>
          <w:lang w:val="en-US"/>
        </w:rPr>
        <w:t>Department</w:t>
      </w:r>
      <w:r w:rsidR="00E54C96" w:rsidRPr="00AA52A4">
        <w:rPr>
          <w:lang w:val="en-US"/>
        </w:rPr>
        <w:t xml:space="preserve"> in </w:t>
      </w:r>
      <w:proofErr w:type="spellStart"/>
      <w:r w:rsidR="00E54C96" w:rsidRPr="00AA52A4">
        <w:rPr>
          <w:lang w:val="en-US"/>
        </w:rPr>
        <w:t>Z</w:t>
      </w:r>
      <w:r w:rsidR="00AC62EF" w:rsidRPr="00AA52A4">
        <w:rPr>
          <w:lang w:val="en-US"/>
        </w:rPr>
        <w:t>h</w:t>
      </w:r>
      <w:r w:rsidR="00E54C96" w:rsidRPr="00AA52A4">
        <w:rPr>
          <w:lang w:val="en-US"/>
        </w:rPr>
        <w:t>ambyl</w:t>
      </w:r>
      <w:proofErr w:type="spellEnd"/>
      <w:r w:rsidR="00E54C96">
        <w:rPr>
          <w:lang w:val="en-US"/>
        </w:rPr>
        <w:t xml:space="preserve"> </w:t>
      </w:r>
      <w:r w:rsidR="0093334D">
        <w:rPr>
          <w:lang w:val="en-US"/>
        </w:rPr>
        <w:t>for the purposes of the investigation</w:t>
      </w:r>
      <w:r w:rsidR="00E54C96">
        <w:rPr>
          <w:lang w:val="en-US"/>
        </w:rPr>
        <w:t xml:space="preserve">; he was given a summons to appear in the </w:t>
      </w:r>
      <w:r w:rsidR="009C2573">
        <w:rPr>
          <w:lang w:val="en-US"/>
        </w:rPr>
        <w:t xml:space="preserve">National Security Committee </w:t>
      </w:r>
      <w:r w:rsidR="00E54C96">
        <w:rPr>
          <w:lang w:val="en-US"/>
        </w:rPr>
        <w:t xml:space="preserve">office in </w:t>
      </w:r>
      <w:proofErr w:type="spellStart"/>
      <w:r w:rsidR="00E54C96">
        <w:rPr>
          <w:lang w:val="en-US"/>
        </w:rPr>
        <w:t>Taraz</w:t>
      </w:r>
      <w:proofErr w:type="spellEnd"/>
      <w:r w:rsidR="00EA1530">
        <w:rPr>
          <w:lang w:val="en-US"/>
        </w:rPr>
        <w:t>, with which</w:t>
      </w:r>
      <w:r w:rsidR="00E54C96">
        <w:rPr>
          <w:lang w:val="en-US"/>
        </w:rPr>
        <w:t xml:space="preserve"> he </w:t>
      </w:r>
      <w:r w:rsidR="007A17AD">
        <w:rPr>
          <w:lang w:val="en-US"/>
        </w:rPr>
        <w:t>complied</w:t>
      </w:r>
      <w:r w:rsidR="00E54C96">
        <w:rPr>
          <w:lang w:val="en-US"/>
        </w:rPr>
        <w:t>. After leaving</w:t>
      </w:r>
      <w:r w:rsidR="009C2573">
        <w:rPr>
          <w:lang w:val="en-US"/>
        </w:rPr>
        <w:t>,</w:t>
      </w:r>
      <w:r w:rsidR="00E54C96">
        <w:rPr>
          <w:lang w:val="en-US"/>
        </w:rPr>
        <w:t xml:space="preserve"> accompanied by </w:t>
      </w:r>
      <w:r w:rsidR="009C2573">
        <w:rPr>
          <w:lang w:val="en-US"/>
        </w:rPr>
        <w:t xml:space="preserve">National Security Committee </w:t>
      </w:r>
      <w:r w:rsidR="00E54C96" w:rsidRPr="00AA52A4">
        <w:rPr>
          <w:lang w:val="en-US"/>
        </w:rPr>
        <w:t>officers</w:t>
      </w:r>
      <w:r w:rsidR="00E54C96">
        <w:rPr>
          <w:lang w:val="en-US"/>
        </w:rPr>
        <w:t xml:space="preserve">, </w:t>
      </w:r>
      <w:r w:rsidR="009C2573">
        <w:rPr>
          <w:lang w:val="en-US"/>
        </w:rPr>
        <w:t>the author</w:t>
      </w:r>
      <w:r w:rsidR="00E54C96">
        <w:rPr>
          <w:lang w:val="en-US"/>
        </w:rPr>
        <w:t xml:space="preserve"> suddenly jumped out of the vehicle and started shouting that he </w:t>
      </w:r>
      <w:proofErr w:type="gramStart"/>
      <w:r w:rsidR="00E54C96">
        <w:rPr>
          <w:lang w:val="en-US"/>
        </w:rPr>
        <w:t>was being kidnapped</w:t>
      </w:r>
      <w:proofErr w:type="gramEnd"/>
      <w:r w:rsidR="00E54C96">
        <w:rPr>
          <w:lang w:val="en-US"/>
        </w:rPr>
        <w:t xml:space="preserve">. Attempts to calm him down were not successful and he </w:t>
      </w:r>
      <w:proofErr w:type="gramStart"/>
      <w:r w:rsidR="00E54C96">
        <w:rPr>
          <w:lang w:val="en-US"/>
        </w:rPr>
        <w:t xml:space="preserve">was released </w:t>
      </w:r>
      <w:r w:rsidR="009C2573">
        <w:rPr>
          <w:lang w:val="en-US"/>
        </w:rPr>
        <w:t xml:space="preserve">and allowed </w:t>
      </w:r>
      <w:r w:rsidR="00E54C96">
        <w:rPr>
          <w:lang w:val="en-US"/>
        </w:rPr>
        <w:t>to go home</w:t>
      </w:r>
      <w:proofErr w:type="gramEnd"/>
      <w:r w:rsidR="00E54C96">
        <w:rPr>
          <w:lang w:val="en-US"/>
        </w:rPr>
        <w:t xml:space="preserve">. </w:t>
      </w:r>
      <w:r w:rsidR="00507E4F">
        <w:rPr>
          <w:lang w:val="en-US"/>
        </w:rPr>
        <w:t xml:space="preserve">Subsequently, </w:t>
      </w:r>
      <w:r w:rsidR="00E54C96">
        <w:rPr>
          <w:lang w:val="en-US"/>
        </w:rPr>
        <w:t xml:space="preserve">an investigator issued an order for the author’s forcible delivery to </w:t>
      </w:r>
      <w:proofErr w:type="spellStart"/>
      <w:r w:rsidR="00E54C96">
        <w:rPr>
          <w:lang w:val="en-US"/>
        </w:rPr>
        <w:t>Taraz</w:t>
      </w:r>
      <w:proofErr w:type="spellEnd"/>
      <w:r w:rsidR="00507E4F">
        <w:rPr>
          <w:lang w:val="en-US"/>
        </w:rPr>
        <w:t>,</w:t>
      </w:r>
      <w:r w:rsidR="00E54C96">
        <w:rPr>
          <w:lang w:val="en-US"/>
        </w:rPr>
        <w:t xml:space="preserve"> in accordance with article 158 of the </w:t>
      </w:r>
      <w:r w:rsidR="00E82772">
        <w:rPr>
          <w:lang w:val="en-US"/>
        </w:rPr>
        <w:t>Criminal Procedure Code</w:t>
      </w:r>
      <w:r w:rsidR="00E54C96">
        <w:rPr>
          <w:lang w:val="en-US"/>
        </w:rPr>
        <w:t xml:space="preserve">. On 6 January 2009, </w:t>
      </w:r>
      <w:proofErr w:type="gramStart"/>
      <w:r w:rsidR="00E54C96">
        <w:rPr>
          <w:lang w:val="en-US"/>
        </w:rPr>
        <w:t>the author, who at the time was hospitalized in Almaty, was delivered by officers</w:t>
      </w:r>
      <w:proofErr w:type="gramEnd"/>
      <w:r w:rsidR="00E54C96">
        <w:rPr>
          <w:lang w:val="en-US"/>
        </w:rPr>
        <w:t xml:space="preserve"> from the special forces, </w:t>
      </w:r>
      <w:r w:rsidR="00507E4F">
        <w:rPr>
          <w:lang w:val="en-US"/>
        </w:rPr>
        <w:t xml:space="preserve">accompanied by </w:t>
      </w:r>
      <w:r w:rsidR="00E54C96">
        <w:rPr>
          <w:lang w:val="en-US"/>
        </w:rPr>
        <w:t>a cardiologist</w:t>
      </w:r>
      <w:r w:rsidR="00507E4F">
        <w:rPr>
          <w:lang w:val="en-US"/>
        </w:rPr>
        <w:t>,</w:t>
      </w:r>
      <w:r w:rsidR="00E54C96">
        <w:rPr>
          <w:lang w:val="en-US"/>
        </w:rPr>
        <w:t xml:space="preserve"> to the </w:t>
      </w:r>
      <w:r w:rsidR="00E82772">
        <w:rPr>
          <w:lang w:val="en-US"/>
        </w:rPr>
        <w:t xml:space="preserve">National Security Committee </w:t>
      </w:r>
      <w:r w:rsidR="00E54C96">
        <w:rPr>
          <w:lang w:val="en-US"/>
        </w:rPr>
        <w:t xml:space="preserve">office in </w:t>
      </w:r>
      <w:proofErr w:type="spellStart"/>
      <w:r w:rsidR="00E54C96">
        <w:rPr>
          <w:lang w:val="en-US"/>
        </w:rPr>
        <w:t>Taraz</w:t>
      </w:r>
      <w:proofErr w:type="spellEnd"/>
      <w:r w:rsidR="00E54C96">
        <w:rPr>
          <w:lang w:val="en-US"/>
        </w:rPr>
        <w:t xml:space="preserve">, where he was questioned. </w:t>
      </w:r>
      <w:proofErr w:type="gramStart"/>
      <w:r w:rsidR="00E54C96">
        <w:rPr>
          <w:lang w:val="en-US"/>
        </w:rPr>
        <w:t>A medical certificate was provided by cardiology specialists</w:t>
      </w:r>
      <w:proofErr w:type="gramEnd"/>
      <w:r w:rsidR="00E54C96">
        <w:rPr>
          <w:lang w:val="en-US"/>
        </w:rPr>
        <w:t xml:space="preserve"> that there were no medical restrictions regarding the transportation and questioning of the author. The author </w:t>
      </w:r>
      <w:proofErr w:type="gramStart"/>
      <w:r w:rsidR="00E54C96">
        <w:rPr>
          <w:lang w:val="en-US"/>
        </w:rPr>
        <w:t>was not subjected</w:t>
      </w:r>
      <w:proofErr w:type="gramEnd"/>
      <w:r w:rsidR="00E54C96">
        <w:rPr>
          <w:lang w:val="en-US"/>
        </w:rPr>
        <w:t xml:space="preserve"> to any illegal methods of interrogation, he was not handcuffed and his condition was satisfactory.</w:t>
      </w:r>
    </w:p>
    <w:p w14:paraId="1252588A" w14:textId="4CCCDC41" w:rsidR="007C6E2E" w:rsidRDefault="00D930F9" w:rsidP="004D3918">
      <w:pPr>
        <w:pStyle w:val="SingleTxtG"/>
        <w:rPr>
          <w:lang w:val="en-US"/>
        </w:rPr>
      </w:pPr>
      <w:r>
        <w:rPr>
          <w:lang w:val="en-US"/>
        </w:rPr>
        <w:t>4.6</w:t>
      </w:r>
      <w:r w:rsidR="00675A40">
        <w:rPr>
          <w:lang w:val="en-US"/>
        </w:rPr>
        <w:tab/>
      </w:r>
      <w:r w:rsidR="00E82772">
        <w:rPr>
          <w:lang w:val="en-US"/>
        </w:rPr>
        <w:t>Also o</w:t>
      </w:r>
      <w:r w:rsidR="004769CA">
        <w:rPr>
          <w:lang w:val="en-US"/>
        </w:rPr>
        <w:t xml:space="preserve">n </w:t>
      </w:r>
      <w:r w:rsidR="00E82772">
        <w:rPr>
          <w:lang w:val="en-US"/>
        </w:rPr>
        <w:t>6 January</w:t>
      </w:r>
      <w:r w:rsidR="00507E4F">
        <w:rPr>
          <w:lang w:val="en-US"/>
        </w:rPr>
        <w:t>,</w:t>
      </w:r>
      <w:r w:rsidR="004769CA">
        <w:rPr>
          <w:lang w:val="en-US"/>
        </w:rPr>
        <w:t xml:space="preserve"> the author</w:t>
      </w:r>
      <w:r w:rsidR="00E54C96">
        <w:rPr>
          <w:lang w:val="en-US"/>
        </w:rPr>
        <w:t xml:space="preserve"> </w:t>
      </w:r>
      <w:proofErr w:type="gramStart"/>
      <w:r w:rsidR="004769CA">
        <w:rPr>
          <w:lang w:val="en-US"/>
        </w:rPr>
        <w:t>was placed</w:t>
      </w:r>
      <w:proofErr w:type="gramEnd"/>
      <w:r w:rsidR="004769CA">
        <w:rPr>
          <w:lang w:val="en-US"/>
        </w:rPr>
        <w:t xml:space="preserve"> in an investigative detention cent</w:t>
      </w:r>
      <w:r w:rsidR="00E82772">
        <w:rPr>
          <w:lang w:val="en-US"/>
        </w:rPr>
        <w:t>r</w:t>
      </w:r>
      <w:r w:rsidR="004769CA">
        <w:rPr>
          <w:lang w:val="en-US"/>
        </w:rPr>
        <w:t xml:space="preserve">e of the Department of Internal Affairs of </w:t>
      </w:r>
      <w:proofErr w:type="spellStart"/>
      <w:r w:rsidR="004769CA">
        <w:rPr>
          <w:lang w:val="en-US"/>
        </w:rPr>
        <w:t>Z</w:t>
      </w:r>
      <w:r w:rsidR="00AC62EF">
        <w:rPr>
          <w:lang w:val="en-US"/>
        </w:rPr>
        <w:t>h</w:t>
      </w:r>
      <w:r w:rsidR="004769CA">
        <w:rPr>
          <w:lang w:val="en-US"/>
        </w:rPr>
        <w:t>ambyl</w:t>
      </w:r>
      <w:proofErr w:type="spellEnd"/>
      <w:r w:rsidR="004769CA">
        <w:rPr>
          <w:lang w:val="en-US"/>
        </w:rPr>
        <w:t xml:space="preserve"> Region. He </w:t>
      </w:r>
      <w:proofErr w:type="gramStart"/>
      <w:r w:rsidR="004769CA">
        <w:rPr>
          <w:lang w:val="en-US"/>
        </w:rPr>
        <w:t>was detained</w:t>
      </w:r>
      <w:proofErr w:type="gramEnd"/>
      <w:r w:rsidR="004769CA">
        <w:rPr>
          <w:lang w:val="en-US"/>
        </w:rPr>
        <w:t xml:space="preserve"> separately from other detainees. On 8 January 2009, a criminal case </w:t>
      </w:r>
      <w:proofErr w:type="gramStart"/>
      <w:r w:rsidR="004769CA">
        <w:rPr>
          <w:lang w:val="en-US"/>
        </w:rPr>
        <w:t>was initiated</w:t>
      </w:r>
      <w:proofErr w:type="gramEnd"/>
      <w:r w:rsidR="004769CA">
        <w:rPr>
          <w:lang w:val="en-US"/>
        </w:rPr>
        <w:t xml:space="preserve"> and the author was presented with charges under article 339 of the Criminal Code.</w:t>
      </w:r>
      <w:r w:rsidR="00B5285E">
        <w:rPr>
          <w:lang w:val="en-US"/>
        </w:rPr>
        <w:t xml:space="preserve"> On the same date, an order for detention on remand </w:t>
      </w:r>
      <w:proofErr w:type="gramStart"/>
      <w:r w:rsidR="00B5285E">
        <w:rPr>
          <w:lang w:val="en-US"/>
        </w:rPr>
        <w:t>was issued</w:t>
      </w:r>
      <w:proofErr w:type="gramEnd"/>
      <w:r w:rsidR="00B5285E">
        <w:rPr>
          <w:lang w:val="en-US"/>
        </w:rPr>
        <w:t xml:space="preserve"> by </w:t>
      </w:r>
      <w:r w:rsidR="00B5285E" w:rsidRPr="00AA52A4">
        <w:rPr>
          <w:lang w:val="en-US"/>
        </w:rPr>
        <w:t xml:space="preserve">the </w:t>
      </w:r>
      <w:proofErr w:type="spellStart"/>
      <w:r w:rsidR="00B5285E" w:rsidRPr="00AA52A4">
        <w:rPr>
          <w:lang w:val="en-US"/>
        </w:rPr>
        <w:t>Taraz</w:t>
      </w:r>
      <w:proofErr w:type="spellEnd"/>
      <w:r w:rsidR="00B5285E" w:rsidRPr="00AA52A4">
        <w:rPr>
          <w:lang w:val="en-US"/>
        </w:rPr>
        <w:t xml:space="preserve"> </w:t>
      </w:r>
      <w:r w:rsidR="00AE768A">
        <w:rPr>
          <w:lang w:val="en-US"/>
        </w:rPr>
        <w:t>c</w:t>
      </w:r>
      <w:r w:rsidR="00B5285E" w:rsidRPr="00AA52A4">
        <w:rPr>
          <w:lang w:val="en-US"/>
        </w:rPr>
        <w:t>ourt</w:t>
      </w:r>
      <w:r w:rsidR="00B5285E">
        <w:rPr>
          <w:lang w:val="en-US"/>
        </w:rPr>
        <w:t xml:space="preserve">. The author filed a complaint against the </w:t>
      </w:r>
      <w:r w:rsidR="004D3918">
        <w:rPr>
          <w:lang w:val="en-US"/>
        </w:rPr>
        <w:t xml:space="preserve">National Security Committee </w:t>
      </w:r>
      <w:r w:rsidR="00B5285E" w:rsidRPr="00AA52A4">
        <w:rPr>
          <w:lang w:val="en-US"/>
        </w:rPr>
        <w:t>officers</w:t>
      </w:r>
      <w:r w:rsidR="00B5285E">
        <w:rPr>
          <w:lang w:val="en-US"/>
        </w:rPr>
        <w:t xml:space="preserve"> who detained him. </w:t>
      </w:r>
      <w:r w:rsidR="00BB61AC">
        <w:rPr>
          <w:lang w:val="en-US"/>
        </w:rPr>
        <w:t>H</w:t>
      </w:r>
      <w:r w:rsidR="00B5285E">
        <w:rPr>
          <w:lang w:val="en-US"/>
        </w:rPr>
        <w:t xml:space="preserve">is claims </w:t>
      </w:r>
      <w:proofErr w:type="gramStart"/>
      <w:r w:rsidR="00B5285E">
        <w:rPr>
          <w:lang w:val="en-US"/>
        </w:rPr>
        <w:t>w</w:t>
      </w:r>
      <w:r w:rsidR="00BB61AC">
        <w:rPr>
          <w:lang w:val="en-US"/>
        </w:rPr>
        <w:t>ere examined</w:t>
      </w:r>
      <w:proofErr w:type="gramEnd"/>
      <w:r w:rsidR="00B5285E">
        <w:rPr>
          <w:lang w:val="en-US"/>
        </w:rPr>
        <w:t xml:space="preserve"> and a decision was issued on 14 March 2009 by a </w:t>
      </w:r>
      <w:r w:rsidR="00EA1530">
        <w:rPr>
          <w:lang w:val="en-US"/>
        </w:rPr>
        <w:t>s</w:t>
      </w:r>
      <w:r w:rsidR="00B5285E">
        <w:rPr>
          <w:lang w:val="en-US"/>
        </w:rPr>
        <w:t xml:space="preserve">enior </w:t>
      </w:r>
      <w:r w:rsidR="00EA1530">
        <w:rPr>
          <w:lang w:val="en-US"/>
        </w:rPr>
        <w:t>i</w:t>
      </w:r>
      <w:r w:rsidR="00B5285E">
        <w:rPr>
          <w:lang w:val="en-US"/>
        </w:rPr>
        <w:t>nspector</w:t>
      </w:r>
      <w:r w:rsidR="004D3918">
        <w:rPr>
          <w:lang w:val="en-US"/>
        </w:rPr>
        <w:t xml:space="preserve"> of the National Security Committee,</w:t>
      </w:r>
      <w:r w:rsidR="00B5285E">
        <w:rPr>
          <w:lang w:val="en-US"/>
        </w:rPr>
        <w:t xml:space="preserve"> </w:t>
      </w:r>
      <w:r w:rsidR="00332AB3">
        <w:rPr>
          <w:lang w:val="en-US"/>
        </w:rPr>
        <w:t xml:space="preserve">refusing </w:t>
      </w:r>
      <w:r w:rsidR="00B5285E">
        <w:rPr>
          <w:lang w:val="en-US"/>
        </w:rPr>
        <w:t>the</w:t>
      </w:r>
      <w:r w:rsidR="004D3918">
        <w:rPr>
          <w:lang w:val="en-US"/>
        </w:rPr>
        <w:t xml:space="preserve"> request to</w:t>
      </w:r>
      <w:r w:rsidR="00B5285E">
        <w:rPr>
          <w:lang w:val="en-US"/>
        </w:rPr>
        <w:t xml:space="preserve"> open</w:t>
      </w:r>
      <w:r w:rsidR="003A7E53">
        <w:rPr>
          <w:lang w:val="en-US"/>
        </w:rPr>
        <w:t xml:space="preserve"> a criminal case against the </w:t>
      </w:r>
      <w:r w:rsidR="003A7E53" w:rsidRPr="00AA52A4">
        <w:rPr>
          <w:lang w:val="en-US"/>
        </w:rPr>
        <w:t>officers</w:t>
      </w:r>
      <w:r w:rsidR="003A7E53">
        <w:rPr>
          <w:lang w:val="en-US"/>
        </w:rPr>
        <w:t xml:space="preserve">. The Chief Military Prosecutor’s Office </w:t>
      </w:r>
      <w:r w:rsidR="00BB61AC">
        <w:rPr>
          <w:lang w:val="en-US"/>
        </w:rPr>
        <w:t xml:space="preserve">concurred with the </w:t>
      </w:r>
      <w:r w:rsidR="003A7E53">
        <w:rPr>
          <w:lang w:val="en-US"/>
        </w:rPr>
        <w:t>decision</w:t>
      </w:r>
      <w:r w:rsidR="00C87F51">
        <w:rPr>
          <w:lang w:val="en-US"/>
        </w:rPr>
        <w:t>.</w:t>
      </w:r>
    </w:p>
    <w:p w14:paraId="7C1B6D3D" w14:textId="67DF1D61" w:rsidR="00C11547" w:rsidRDefault="00D930F9" w:rsidP="00D01D31">
      <w:pPr>
        <w:pStyle w:val="SingleTxtG"/>
        <w:rPr>
          <w:lang w:val="en-GB"/>
        </w:rPr>
      </w:pPr>
      <w:r>
        <w:rPr>
          <w:lang w:val="en-US"/>
        </w:rPr>
        <w:t>4.7</w:t>
      </w:r>
      <w:r w:rsidR="003A7E53">
        <w:rPr>
          <w:lang w:val="en-US"/>
        </w:rPr>
        <w:tab/>
        <w:t xml:space="preserve">Regarding the author’s claims </w:t>
      </w:r>
      <w:r w:rsidR="00CC0B9A">
        <w:rPr>
          <w:lang w:val="en-US"/>
        </w:rPr>
        <w:t xml:space="preserve">of </w:t>
      </w:r>
      <w:r w:rsidR="003A7E53">
        <w:rPr>
          <w:lang w:val="en-US"/>
        </w:rPr>
        <w:t>violations of his right</w:t>
      </w:r>
      <w:r w:rsidR="004D3918">
        <w:rPr>
          <w:lang w:val="en-US"/>
        </w:rPr>
        <w:t>s</w:t>
      </w:r>
      <w:r w:rsidR="003A7E53">
        <w:rPr>
          <w:lang w:val="en-US"/>
        </w:rPr>
        <w:t xml:space="preserve"> to </w:t>
      </w:r>
      <w:proofErr w:type="spellStart"/>
      <w:r w:rsidR="003A7E53" w:rsidRPr="003A7E53">
        <w:rPr>
          <w:lang w:val="en-US"/>
        </w:rPr>
        <w:t>defen</w:t>
      </w:r>
      <w:r w:rsidR="008E43FD">
        <w:rPr>
          <w:lang w:val="en-US"/>
        </w:rPr>
        <w:t>c</w:t>
      </w:r>
      <w:r w:rsidR="003A7E53" w:rsidRPr="003A7E53">
        <w:rPr>
          <w:lang w:val="en-US"/>
        </w:rPr>
        <w:t>e</w:t>
      </w:r>
      <w:proofErr w:type="spellEnd"/>
      <w:r w:rsidR="003A7E53">
        <w:rPr>
          <w:lang w:val="en-US"/>
        </w:rPr>
        <w:t xml:space="preserve"> and to </w:t>
      </w:r>
      <w:proofErr w:type="gramStart"/>
      <w:r w:rsidR="003A7E53">
        <w:rPr>
          <w:lang w:val="en-US"/>
        </w:rPr>
        <w:t>be represented</w:t>
      </w:r>
      <w:proofErr w:type="gramEnd"/>
      <w:r w:rsidR="003A7E53">
        <w:rPr>
          <w:lang w:val="en-US"/>
        </w:rPr>
        <w:t xml:space="preserve"> by a lawyer of his choice, the State party submits that </w:t>
      </w:r>
      <w:r w:rsidR="002533BB">
        <w:rPr>
          <w:lang w:val="en-US"/>
        </w:rPr>
        <w:t>his arguments are un</w:t>
      </w:r>
      <w:r w:rsidR="00332AB3">
        <w:rPr>
          <w:lang w:val="en-US"/>
        </w:rPr>
        <w:t>founded</w:t>
      </w:r>
      <w:r w:rsidR="002533BB">
        <w:rPr>
          <w:lang w:val="en-US"/>
        </w:rPr>
        <w:t>, since</w:t>
      </w:r>
      <w:r w:rsidR="00BB61AC">
        <w:rPr>
          <w:lang w:val="en-US"/>
        </w:rPr>
        <w:t xml:space="preserve"> the case file contained</w:t>
      </w:r>
      <w:r w:rsidR="002533BB">
        <w:rPr>
          <w:lang w:val="en-US"/>
        </w:rPr>
        <w:t xml:space="preserve"> classified documents. In accordance with article 53 of the </w:t>
      </w:r>
      <w:r w:rsidR="004D3918">
        <w:rPr>
          <w:lang w:val="en-US"/>
        </w:rPr>
        <w:t>Criminal Procedure Code</w:t>
      </w:r>
      <w:r w:rsidR="002533BB">
        <w:rPr>
          <w:lang w:val="en-US"/>
        </w:rPr>
        <w:t xml:space="preserve">, measures </w:t>
      </w:r>
      <w:proofErr w:type="gramStart"/>
      <w:r w:rsidR="002533BB">
        <w:rPr>
          <w:lang w:val="en-US"/>
        </w:rPr>
        <w:t>must be taken</w:t>
      </w:r>
      <w:proofErr w:type="gramEnd"/>
      <w:r w:rsidR="002533BB">
        <w:rPr>
          <w:lang w:val="en-US"/>
        </w:rPr>
        <w:t xml:space="preserve"> during trial to protect </w:t>
      </w:r>
      <w:r w:rsidR="004D3918">
        <w:rPr>
          <w:lang w:val="en-US"/>
        </w:rPr>
        <w:t>S</w:t>
      </w:r>
      <w:r w:rsidR="002533BB">
        <w:rPr>
          <w:lang w:val="en-US"/>
        </w:rPr>
        <w:t xml:space="preserve">tate secrets. Evidence </w:t>
      </w:r>
      <w:r w:rsidR="004D3918">
        <w:rPr>
          <w:lang w:val="en-US"/>
        </w:rPr>
        <w:t xml:space="preserve">that </w:t>
      </w:r>
      <w:r w:rsidR="002533BB">
        <w:rPr>
          <w:lang w:val="en-US"/>
        </w:rPr>
        <w:t xml:space="preserve">contains </w:t>
      </w:r>
      <w:r w:rsidR="004D3918">
        <w:rPr>
          <w:lang w:val="en-US"/>
        </w:rPr>
        <w:t>S</w:t>
      </w:r>
      <w:r w:rsidR="002533BB">
        <w:rPr>
          <w:lang w:val="en-US"/>
        </w:rPr>
        <w:t xml:space="preserve">tate </w:t>
      </w:r>
      <w:r w:rsidR="00F076FF">
        <w:rPr>
          <w:lang w:val="en-US"/>
        </w:rPr>
        <w:t>secrets</w:t>
      </w:r>
      <w:r w:rsidR="002533BB">
        <w:rPr>
          <w:lang w:val="en-US"/>
        </w:rPr>
        <w:t xml:space="preserve"> </w:t>
      </w:r>
      <w:proofErr w:type="gramStart"/>
      <w:r w:rsidR="002533BB">
        <w:rPr>
          <w:lang w:val="en-US"/>
        </w:rPr>
        <w:t>must be reviewed</w:t>
      </w:r>
      <w:proofErr w:type="gramEnd"/>
      <w:r w:rsidR="002533BB">
        <w:rPr>
          <w:lang w:val="en-US"/>
        </w:rPr>
        <w:t xml:space="preserve"> in closed sessions.</w:t>
      </w:r>
      <w:r w:rsidR="00F076FF">
        <w:rPr>
          <w:lang w:val="en-US"/>
        </w:rPr>
        <w:t xml:space="preserve"> </w:t>
      </w:r>
      <w:r w:rsidR="00BB61AC">
        <w:rPr>
          <w:lang w:val="en-US"/>
        </w:rPr>
        <w:t>G</w:t>
      </w:r>
      <w:r w:rsidR="00F076FF">
        <w:rPr>
          <w:lang w:val="en-US"/>
        </w:rPr>
        <w:t xml:space="preserve">ranting access to participants of </w:t>
      </w:r>
      <w:r w:rsidR="00BB61AC">
        <w:rPr>
          <w:lang w:val="en-US"/>
        </w:rPr>
        <w:t xml:space="preserve">a </w:t>
      </w:r>
      <w:r w:rsidR="00F076FF">
        <w:rPr>
          <w:lang w:val="en-US"/>
        </w:rPr>
        <w:t xml:space="preserve">trial to secret information </w:t>
      </w:r>
      <w:proofErr w:type="gramStart"/>
      <w:r w:rsidR="00F076FF">
        <w:rPr>
          <w:lang w:val="en-US"/>
        </w:rPr>
        <w:t>is defined</w:t>
      </w:r>
      <w:proofErr w:type="gramEnd"/>
      <w:r w:rsidR="00F076FF">
        <w:rPr>
          <w:lang w:val="en-US"/>
        </w:rPr>
        <w:t xml:space="preserve"> in the </w:t>
      </w:r>
      <w:r w:rsidR="00F076FF">
        <w:rPr>
          <w:lang w:val="en-GB"/>
        </w:rPr>
        <w:t xml:space="preserve">Law </w:t>
      </w:r>
      <w:r w:rsidR="004D3918">
        <w:rPr>
          <w:lang w:val="en-GB"/>
        </w:rPr>
        <w:t>o</w:t>
      </w:r>
      <w:r w:rsidR="000B647D">
        <w:rPr>
          <w:lang w:val="en-GB"/>
        </w:rPr>
        <w:t xml:space="preserve">n </w:t>
      </w:r>
      <w:r w:rsidR="00F076FF">
        <w:rPr>
          <w:lang w:val="en-GB"/>
        </w:rPr>
        <w:t xml:space="preserve">State </w:t>
      </w:r>
      <w:r w:rsidR="004D3918">
        <w:rPr>
          <w:lang w:val="en-GB"/>
        </w:rPr>
        <w:t>s</w:t>
      </w:r>
      <w:r w:rsidR="00F076FF">
        <w:rPr>
          <w:lang w:val="en-GB"/>
        </w:rPr>
        <w:t xml:space="preserve">ecrets. </w:t>
      </w:r>
      <w:proofErr w:type="gramStart"/>
      <w:r w:rsidR="00F076FF">
        <w:rPr>
          <w:lang w:val="en-GB"/>
        </w:rPr>
        <w:t>Therefore</w:t>
      </w:r>
      <w:proofErr w:type="gramEnd"/>
      <w:r w:rsidR="00F076FF">
        <w:rPr>
          <w:lang w:val="en-GB"/>
        </w:rPr>
        <w:t xml:space="preserve"> the trial was held in closed sessions. During the </w:t>
      </w:r>
      <w:proofErr w:type="spellStart"/>
      <w:r w:rsidR="00F076FF">
        <w:rPr>
          <w:lang w:val="en-GB"/>
        </w:rPr>
        <w:t>pretrial</w:t>
      </w:r>
      <w:proofErr w:type="spellEnd"/>
      <w:r w:rsidR="00F076FF">
        <w:rPr>
          <w:lang w:val="en-GB"/>
        </w:rPr>
        <w:t xml:space="preserve"> </w:t>
      </w:r>
      <w:proofErr w:type="gramStart"/>
      <w:r w:rsidR="00F076FF">
        <w:rPr>
          <w:lang w:val="en-GB"/>
        </w:rPr>
        <w:t>investigation</w:t>
      </w:r>
      <w:proofErr w:type="gramEnd"/>
      <w:r w:rsidR="00F076FF">
        <w:rPr>
          <w:lang w:val="en-GB"/>
        </w:rPr>
        <w:t xml:space="preserve"> the author </w:t>
      </w:r>
      <w:r w:rsidR="006F1AD3">
        <w:rPr>
          <w:lang w:val="en-GB"/>
        </w:rPr>
        <w:t xml:space="preserve">chose </w:t>
      </w:r>
      <w:r w:rsidR="00F076FF">
        <w:rPr>
          <w:lang w:val="en-GB"/>
        </w:rPr>
        <w:t>four attorneys, th</w:t>
      </w:r>
      <w:r w:rsidR="00CC0B9A">
        <w:rPr>
          <w:lang w:val="en-GB"/>
        </w:rPr>
        <w:t>e</w:t>
      </w:r>
      <w:r w:rsidR="00F076FF">
        <w:rPr>
          <w:lang w:val="en-GB"/>
        </w:rPr>
        <w:t xml:space="preserve">n refused their services. </w:t>
      </w:r>
      <w:r w:rsidR="00BB61AC">
        <w:rPr>
          <w:lang w:val="en-GB"/>
        </w:rPr>
        <w:t>T</w:t>
      </w:r>
      <w:r w:rsidR="00F076FF">
        <w:rPr>
          <w:lang w:val="en-GB"/>
        </w:rPr>
        <w:t xml:space="preserve">he judge presiding over the trial appointed an ex officio defender, who had security clearance, to </w:t>
      </w:r>
      <w:r w:rsidR="006C15C7">
        <w:rPr>
          <w:lang w:val="en-GB"/>
        </w:rPr>
        <w:t>represent</w:t>
      </w:r>
      <w:r w:rsidR="00F076FF">
        <w:rPr>
          <w:lang w:val="en-GB"/>
        </w:rPr>
        <w:t xml:space="preserve"> the author. Taking into consideration that the </w:t>
      </w:r>
      <w:r w:rsidR="006C15C7">
        <w:rPr>
          <w:lang w:val="en-GB"/>
        </w:rPr>
        <w:t xml:space="preserve">lawyers </w:t>
      </w:r>
      <w:r w:rsidR="00F076FF">
        <w:rPr>
          <w:lang w:val="en-GB"/>
        </w:rPr>
        <w:t xml:space="preserve">chosen by the author did not have security clearance, three of the </w:t>
      </w:r>
      <w:r w:rsidR="006C15C7">
        <w:rPr>
          <w:lang w:val="en-GB"/>
        </w:rPr>
        <w:t>lawyers</w:t>
      </w:r>
      <w:r w:rsidR="00F076FF">
        <w:rPr>
          <w:lang w:val="en-GB"/>
        </w:rPr>
        <w:t xml:space="preserve"> </w:t>
      </w:r>
      <w:proofErr w:type="gramStart"/>
      <w:r w:rsidR="00F076FF">
        <w:rPr>
          <w:lang w:val="en-GB"/>
        </w:rPr>
        <w:t>were issued</w:t>
      </w:r>
      <w:proofErr w:type="gramEnd"/>
      <w:r w:rsidR="00F076FF">
        <w:rPr>
          <w:lang w:val="en-GB"/>
        </w:rPr>
        <w:t xml:space="preserve"> permission to have access to confidential materials. </w:t>
      </w:r>
      <w:r w:rsidR="00C11547">
        <w:rPr>
          <w:lang w:val="en-GB"/>
        </w:rPr>
        <w:t xml:space="preserve">The author </w:t>
      </w:r>
      <w:proofErr w:type="gramStart"/>
      <w:r w:rsidR="00C11547">
        <w:rPr>
          <w:lang w:val="en-GB"/>
        </w:rPr>
        <w:t>was provided</w:t>
      </w:r>
      <w:proofErr w:type="gramEnd"/>
      <w:r w:rsidR="00C11547">
        <w:rPr>
          <w:lang w:val="en-GB"/>
        </w:rPr>
        <w:t xml:space="preserve"> with summaries of the indictment and the verdict, since th</w:t>
      </w:r>
      <w:r w:rsidR="00D01D31">
        <w:rPr>
          <w:lang w:val="en-GB"/>
        </w:rPr>
        <w:t>o</w:t>
      </w:r>
      <w:r w:rsidR="00C11547">
        <w:rPr>
          <w:lang w:val="en-GB"/>
        </w:rPr>
        <w:t xml:space="preserve">se documents contained classified information. </w:t>
      </w:r>
      <w:r w:rsidR="00D01D31">
        <w:rPr>
          <w:lang w:val="en-GB"/>
        </w:rPr>
        <w:t>T</w:t>
      </w:r>
      <w:r w:rsidR="00C11547">
        <w:rPr>
          <w:lang w:val="en-GB"/>
        </w:rPr>
        <w:t xml:space="preserve">he author’s right to defence </w:t>
      </w:r>
      <w:proofErr w:type="gramStart"/>
      <w:r w:rsidR="00C11547">
        <w:rPr>
          <w:lang w:val="en-GB"/>
        </w:rPr>
        <w:t xml:space="preserve">was </w:t>
      </w:r>
      <w:r w:rsidR="00D01D31">
        <w:rPr>
          <w:lang w:val="en-GB"/>
        </w:rPr>
        <w:t xml:space="preserve">thus </w:t>
      </w:r>
      <w:r w:rsidR="00C11547">
        <w:rPr>
          <w:lang w:val="en-GB"/>
        </w:rPr>
        <w:t>respected</w:t>
      </w:r>
      <w:proofErr w:type="gramEnd"/>
      <w:r w:rsidR="00C11547">
        <w:rPr>
          <w:lang w:val="en-GB"/>
        </w:rPr>
        <w:t>.</w:t>
      </w:r>
    </w:p>
    <w:p w14:paraId="433AA576" w14:textId="79AC9199" w:rsidR="00975CF2" w:rsidRPr="00D52391" w:rsidRDefault="00D930F9" w:rsidP="00D01D31">
      <w:pPr>
        <w:pStyle w:val="SingleTxtG"/>
        <w:rPr>
          <w:lang w:val="en-US"/>
        </w:rPr>
      </w:pPr>
      <w:r>
        <w:rPr>
          <w:lang w:val="en-US"/>
        </w:rPr>
        <w:t>4.8</w:t>
      </w:r>
      <w:r w:rsidR="00F076FF">
        <w:rPr>
          <w:lang w:val="en-US"/>
        </w:rPr>
        <w:tab/>
      </w:r>
      <w:r w:rsidR="00255058">
        <w:rPr>
          <w:lang w:val="en-US"/>
        </w:rPr>
        <w:t>The State party rejects</w:t>
      </w:r>
      <w:r w:rsidR="00F076FF">
        <w:rPr>
          <w:lang w:val="en-US"/>
        </w:rPr>
        <w:t xml:space="preserve"> the author’s </w:t>
      </w:r>
      <w:r w:rsidR="00E535BE">
        <w:rPr>
          <w:lang w:val="en-US"/>
        </w:rPr>
        <w:t>allegation</w:t>
      </w:r>
      <w:r w:rsidR="00F076FF">
        <w:rPr>
          <w:lang w:val="en-US"/>
        </w:rPr>
        <w:t xml:space="preserve">s that he </w:t>
      </w:r>
      <w:proofErr w:type="gramStart"/>
      <w:r w:rsidR="00F076FF">
        <w:rPr>
          <w:lang w:val="en-US"/>
        </w:rPr>
        <w:t xml:space="preserve">was not </w:t>
      </w:r>
      <w:r w:rsidR="00CC0B9A">
        <w:rPr>
          <w:lang w:val="en-US"/>
        </w:rPr>
        <w:t>given</w:t>
      </w:r>
      <w:proofErr w:type="gramEnd"/>
      <w:r w:rsidR="00CC0B9A">
        <w:rPr>
          <w:lang w:val="en-US"/>
        </w:rPr>
        <w:t xml:space="preserve"> </w:t>
      </w:r>
      <w:r w:rsidR="00F076FF">
        <w:rPr>
          <w:lang w:val="en-US"/>
        </w:rPr>
        <w:t>medical assistance upon arrest</w:t>
      </w:r>
      <w:r w:rsidR="00D01D31">
        <w:rPr>
          <w:lang w:val="en-US"/>
        </w:rPr>
        <w:t>. It</w:t>
      </w:r>
      <w:r w:rsidR="00F076FF">
        <w:rPr>
          <w:lang w:val="en-US"/>
        </w:rPr>
        <w:t xml:space="preserve"> submits that </w:t>
      </w:r>
      <w:r w:rsidR="00D01D31">
        <w:rPr>
          <w:lang w:val="en-US"/>
        </w:rPr>
        <w:t>that the author</w:t>
      </w:r>
      <w:r w:rsidR="00255058">
        <w:rPr>
          <w:lang w:val="en-US"/>
        </w:rPr>
        <w:t xml:space="preserve"> </w:t>
      </w:r>
      <w:proofErr w:type="gramStart"/>
      <w:r w:rsidR="00255058">
        <w:rPr>
          <w:lang w:val="en-US"/>
        </w:rPr>
        <w:t>was arrested on 6 January 2009</w:t>
      </w:r>
      <w:r w:rsidR="00C11547">
        <w:rPr>
          <w:lang w:val="en-US"/>
        </w:rPr>
        <w:t xml:space="preserve"> and placed in a temporary investigation detention</w:t>
      </w:r>
      <w:proofErr w:type="gramEnd"/>
      <w:r w:rsidR="00C11547">
        <w:rPr>
          <w:lang w:val="en-US"/>
        </w:rPr>
        <w:t xml:space="preserve"> cent</w:t>
      </w:r>
      <w:r w:rsidR="00D01D31">
        <w:rPr>
          <w:lang w:val="en-US"/>
        </w:rPr>
        <w:t>r</w:t>
      </w:r>
      <w:r w:rsidR="00C11547">
        <w:rPr>
          <w:lang w:val="en-US"/>
        </w:rPr>
        <w:t xml:space="preserve">e, where he underwent a medical examination. His condition </w:t>
      </w:r>
      <w:proofErr w:type="gramStart"/>
      <w:r w:rsidR="00C11547">
        <w:rPr>
          <w:lang w:val="en-US"/>
        </w:rPr>
        <w:t>was assessed</w:t>
      </w:r>
      <w:proofErr w:type="gramEnd"/>
      <w:r w:rsidR="00C11547">
        <w:rPr>
          <w:lang w:val="en-US"/>
        </w:rPr>
        <w:t xml:space="preserve"> as satisfactory; he was diagnosed with hypertension and </w:t>
      </w:r>
      <w:r w:rsidR="00C11547" w:rsidRPr="00C11547">
        <w:rPr>
          <w:lang w:val="en-US"/>
        </w:rPr>
        <w:t>coronary artery disease</w:t>
      </w:r>
      <w:r w:rsidR="00C11547">
        <w:rPr>
          <w:lang w:val="en-US"/>
        </w:rPr>
        <w:t>. On 10 January 2009, he was moved to an investigation detention cent</w:t>
      </w:r>
      <w:r w:rsidR="00D01D31">
        <w:rPr>
          <w:lang w:val="en-US"/>
        </w:rPr>
        <w:t>r</w:t>
      </w:r>
      <w:r w:rsidR="00C11547">
        <w:rPr>
          <w:lang w:val="en-US"/>
        </w:rPr>
        <w:t xml:space="preserve">e, where </w:t>
      </w:r>
      <w:proofErr w:type="gramStart"/>
      <w:r w:rsidR="00C11547">
        <w:rPr>
          <w:lang w:val="en-US"/>
        </w:rPr>
        <w:t>he was again examined by a medical doctor</w:t>
      </w:r>
      <w:proofErr w:type="gramEnd"/>
      <w:r w:rsidR="00C11547">
        <w:rPr>
          <w:lang w:val="en-US"/>
        </w:rPr>
        <w:t>. He had no health</w:t>
      </w:r>
      <w:r w:rsidR="00D01D31">
        <w:rPr>
          <w:lang w:val="en-US"/>
        </w:rPr>
        <w:t>-</w:t>
      </w:r>
      <w:r w:rsidR="00C11547">
        <w:rPr>
          <w:lang w:val="en-US"/>
        </w:rPr>
        <w:t>related complaints. During his stay in the cent</w:t>
      </w:r>
      <w:r w:rsidR="00D01D31">
        <w:rPr>
          <w:lang w:val="en-US"/>
        </w:rPr>
        <w:t>r</w:t>
      </w:r>
      <w:r w:rsidR="00C11547">
        <w:rPr>
          <w:lang w:val="en-US"/>
        </w:rPr>
        <w:t xml:space="preserve">e he </w:t>
      </w:r>
      <w:proofErr w:type="gramStart"/>
      <w:r w:rsidR="00C11547">
        <w:rPr>
          <w:lang w:val="en-US"/>
        </w:rPr>
        <w:t>was examined</w:t>
      </w:r>
      <w:proofErr w:type="gramEnd"/>
      <w:r w:rsidR="00C11547">
        <w:rPr>
          <w:lang w:val="en-US"/>
        </w:rPr>
        <w:t xml:space="preserve"> twice </w:t>
      </w:r>
      <w:r w:rsidR="00D01D31">
        <w:rPr>
          <w:lang w:val="en-US"/>
        </w:rPr>
        <w:t>per</w:t>
      </w:r>
      <w:r w:rsidR="00C11547">
        <w:rPr>
          <w:lang w:val="en-US"/>
        </w:rPr>
        <w:t xml:space="preserve"> month; he </w:t>
      </w:r>
      <w:r w:rsidR="00D01D31">
        <w:rPr>
          <w:lang w:val="en-US"/>
        </w:rPr>
        <w:t xml:space="preserve">contacted </w:t>
      </w:r>
      <w:r w:rsidR="00C11547">
        <w:rPr>
          <w:lang w:val="en-US"/>
        </w:rPr>
        <w:t>the medical cent</w:t>
      </w:r>
      <w:r w:rsidR="00D01D31">
        <w:rPr>
          <w:lang w:val="en-US"/>
        </w:rPr>
        <w:t>r</w:t>
      </w:r>
      <w:r w:rsidR="00C11547">
        <w:rPr>
          <w:lang w:val="en-US"/>
        </w:rPr>
        <w:t xml:space="preserve">e on his own nine </w:t>
      </w:r>
      <w:r w:rsidR="00D01D31">
        <w:rPr>
          <w:lang w:val="en-US"/>
        </w:rPr>
        <w:t xml:space="preserve">other </w:t>
      </w:r>
      <w:r w:rsidR="00C11547">
        <w:rPr>
          <w:lang w:val="en-US"/>
        </w:rPr>
        <w:t xml:space="preserve">times. He </w:t>
      </w:r>
      <w:proofErr w:type="gramStart"/>
      <w:r w:rsidR="00C11547">
        <w:rPr>
          <w:lang w:val="en-US"/>
        </w:rPr>
        <w:t>was given</w:t>
      </w:r>
      <w:proofErr w:type="gramEnd"/>
      <w:r w:rsidR="00C11547">
        <w:rPr>
          <w:lang w:val="en-US"/>
        </w:rPr>
        <w:t xml:space="preserve"> cardiac medication, diuretics and vitamins. He never filed </w:t>
      </w:r>
      <w:r w:rsidR="00EA1530">
        <w:rPr>
          <w:lang w:val="en-US"/>
        </w:rPr>
        <w:t xml:space="preserve">a </w:t>
      </w:r>
      <w:r w:rsidR="00C11547">
        <w:rPr>
          <w:lang w:val="en-US"/>
        </w:rPr>
        <w:t xml:space="preserve">complaint regarding lack of medical treatment. On 16 December 2009, the author </w:t>
      </w:r>
      <w:proofErr w:type="gramStart"/>
      <w:r w:rsidR="00C11547">
        <w:rPr>
          <w:lang w:val="en-US"/>
        </w:rPr>
        <w:t>was moved</w:t>
      </w:r>
      <w:proofErr w:type="gramEnd"/>
      <w:r w:rsidR="00C11547">
        <w:rPr>
          <w:lang w:val="en-US"/>
        </w:rPr>
        <w:t xml:space="preserve"> to the </w:t>
      </w:r>
      <w:proofErr w:type="spellStart"/>
      <w:r w:rsidR="00C11547">
        <w:rPr>
          <w:lang w:val="en-US"/>
        </w:rPr>
        <w:t>Z</w:t>
      </w:r>
      <w:r w:rsidR="00442317">
        <w:rPr>
          <w:lang w:val="en-US"/>
        </w:rPr>
        <w:t>hamby</w:t>
      </w:r>
      <w:r w:rsidR="00C11547">
        <w:rPr>
          <w:lang w:val="en-US"/>
        </w:rPr>
        <w:t>l</w:t>
      </w:r>
      <w:proofErr w:type="spellEnd"/>
      <w:r w:rsidR="00C11547">
        <w:rPr>
          <w:lang w:val="en-US"/>
        </w:rPr>
        <w:t xml:space="preserve"> Region Prison </w:t>
      </w:r>
      <w:r w:rsidR="00DC6447">
        <w:rPr>
          <w:lang w:val="en-US"/>
        </w:rPr>
        <w:t xml:space="preserve">to serve his sentence. Upon </w:t>
      </w:r>
      <w:proofErr w:type="gramStart"/>
      <w:r w:rsidR="00DC6447">
        <w:rPr>
          <w:lang w:val="en-US"/>
        </w:rPr>
        <w:t>arrival</w:t>
      </w:r>
      <w:proofErr w:type="gramEnd"/>
      <w:r w:rsidR="00DC6447">
        <w:rPr>
          <w:lang w:val="en-US"/>
        </w:rPr>
        <w:t xml:space="preserve"> he underwent a medical examination. He had no health</w:t>
      </w:r>
      <w:r w:rsidR="00D01D31">
        <w:rPr>
          <w:lang w:val="en-US"/>
        </w:rPr>
        <w:t>-</w:t>
      </w:r>
      <w:r w:rsidR="00DC6447">
        <w:rPr>
          <w:lang w:val="en-US"/>
        </w:rPr>
        <w:t>related complaints. On 20</w:t>
      </w:r>
      <w:r w:rsidR="007E54C1">
        <w:rPr>
          <w:lang w:val="en-US"/>
        </w:rPr>
        <w:t> </w:t>
      </w:r>
      <w:r w:rsidR="00DC6447">
        <w:rPr>
          <w:lang w:val="en-US"/>
        </w:rPr>
        <w:t xml:space="preserve">December </w:t>
      </w:r>
      <w:proofErr w:type="gramStart"/>
      <w:r w:rsidR="00DC6447">
        <w:rPr>
          <w:lang w:val="en-US"/>
        </w:rPr>
        <w:t>2009</w:t>
      </w:r>
      <w:proofErr w:type="gramEnd"/>
      <w:r w:rsidR="00DC6447">
        <w:rPr>
          <w:lang w:val="en-US"/>
        </w:rPr>
        <w:t xml:space="preserve"> he </w:t>
      </w:r>
      <w:r w:rsidR="00D01D31">
        <w:rPr>
          <w:lang w:val="en-US"/>
        </w:rPr>
        <w:t xml:space="preserve">began </w:t>
      </w:r>
      <w:r w:rsidR="00DC6447">
        <w:rPr>
          <w:lang w:val="en-US"/>
        </w:rPr>
        <w:t xml:space="preserve">complaining of headaches, queasiness and chest pain. He </w:t>
      </w:r>
      <w:proofErr w:type="gramStart"/>
      <w:r w:rsidR="00DC6447">
        <w:rPr>
          <w:lang w:val="en-US"/>
        </w:rPr>
        <w:t>was hospitalized</w:t>
      </w:r>
      <w:proofErr w:type="gramEnd"/>
      <w:r w:rsidR="00DC6447">
        <w:rPr>
          <w:lang w:val="en-US"/>
        </w:rPr>
        <w:t xml:space="preserve"> in the prison medical section</w:t>
      </w:r>
      <w:r w:rsidR="00332AB3">
        <w:rPr>
          <w:lang w:val="en-US"/>
        </w:rPr>
        <w:t xml:space="preserve">, where he was </w:t>
      </w:r>
      <w:r w:rsidR="00DC6447">
        <w:rPr>
          <w:lang w:val="en-US"/>
        </w:rPr>
        <w:t xml:space="preserve">diagnosed with diabetes, </w:t>
      </w:r>
      <w:proofErr w:type="spellStart"/>
      <w:r w:rsidR="00DC6447">
        <w:rPr>
          <w:lang w:val="en-US"/>
        </w:rPr>
        <w:t>stenocardia</w:t>
      </w:r>
      <w:proofErr w:type="spellEnd"/>
      <w:r w:rsidR="00DC6447">
        <w:rPr>
          <w:lang w:val="en-US"/>
        </w:rPr>
        <w:t xml:space="preserve"> and hypertension and </w:t>
      </w:r>
      <w:r w:rsidR="00332AB3">
        <w:rPr>
          <w:lang w:val="en-US"/>
        </w:rPr>
        <w:t xml:space="preserve">was </w:t>
      </w:r>
      <w:r w:rsidR="00DC6447">
        <w:rPr>
          <w:lang w:val="en-US"/>
        </w:rPr>
        <w:t xml:space="preserve">given medication. He remained in the medical section until 11 January 2010. On 9 February 2010, the author </w:t>
      </w:r>
      <w:proofErr w:type="gramStart"/>
      <w:r w:rsidR="00DC6447">
        <w:rPr>
          <w:lang w:val="en-US"/>
        </w:rPr>
        <w:t>was taken</w:t>
      </w:r>
      <w:proofErr w:type="gramEnd"/>
      <w:r w:rsidR="00DC6447">
        <w:rPr>
          <w:lang w:val="en-US"/>
        </w:rPr>
        <w:t xml:space="preserve"> to the </w:t>
      </w:r>
      <w:proofErr w:type="spellStart"/>
      <w:r w:rsidR="00DC6447">
        <w:rPr>
          <w:lang w:val="en-US"/>
        </w:rPr>
        <w:t>Taraz</w:t>
      </w:r>
      <w:proofErr w:type="spellEnd"/>
      <w:r w:rsidR="00DC6447">
        <w:rPr>
          <w:lang w:val="en-US"/>
        </w:rPr>
        <w:t xml:space="preserve"> hospital for consultation and </w:t>
      </w:r>
      <w:r w:rsidR="00D01D31">
        <w:rPr>
          <w:lang w:val="en-US"/>
        </w:rPr>
        <w:t xml:space="preserve">a </w:t>
      </w:r>
      <w:r w:rsidR="00332AB3">
        <w:rPr>
          <w:lang w:val="en-US"/>
        </w:rPr>
        <w:t>medical examination</w:t>
      </w:r>
      <w:r w:rsidR="00286DFA">
        <w:rPr>
          <w:lang w:val="en-US"/>
        </w:rPr>
        <w:t xml:space="preserve"> and was </w:t>
      </w:r>
      <w:r w:rsidR="00DC6447">
        <w:rPr>
          <w:lang w:val="en-US"/>
        </w:rPr>
        <w:t xml:space="preserve">given appropriate medication. He </w:t>
      </w:r>
      <w:proofErr w:type="gramStart"/>
      <w:r w:rsidR="00DC6447">
        <w:rPr>
          <w:lang w:val="en-US"/>
        </w:rPr>
        <w:t>was also hospitalized</w:t>
      </w:r>
      <w:proofErr w:type="gramEnd"/>
      <w:r w:rsidR="00DC6447">
        <w:rPr>
          <w:lang w:val="en-US"/>
        </w:rPr>
        <w:t xml:space="preserve"> in the medical section of the prison between 12 and 30 July 2010 and was examined by </w:t>
      </w:r>
      <w:r w:rsidR="00D01D31">
        <w:rPr>
          <w:lang w:val="en-US"/>
        </w:rPr>
        <w:t xml:space="preserve">a </w:t>
      </w:r>
      <w:r w:rsidR="00DC6447">
        <w:rPr>
          <w:lang w:val="en-US"/>
        </w:rPr>
        <w:t>specialist on 8 November 2010 and 2 September 2011.</w:t>
      </w:r>
    </w:p>
    <w:p w14:paraId="3BEA73B6" w14:textId="77777777" w:rsidR="00F00747" w:rsidRPr="00F422CA" w:rsidRDefault="0000397C" w:rsidP="0000397C">
      <w:pPr>
        <w:pStyle w:val="H23G"/>
      </w:pPr>
      <w:r>
        <w:tab/>
      </w:r>
      <w:r>
        <w:tab/>
      </w:r>
      <w:r w:rsidR="00F00747" w:rsidRPr="00F422CA">
        <w:t>Author’s comments on the State party’s observations</w:t>
      </w:r>
    </w:p>
    <w:p w14:paraId="2C65F0C6" w14:textId="0AF13F8A" w:rsidR="00D52391" w:rsidRPr="00D52391" w:rsidRDefault="00375CDD" w:rsidP="00EA1530">
      <w:pPr>
        <w:pStyle w:val="SingleTxtG"/>
        <w:rPr>
          <w:lang w:val="en-US"/>
        </w:rPr>
      </w:pPr>
      <w:r>
        <w:rPr>
          <w:lang w:val="en-GB"/>
        </w:rPr>
        <w:t>5.1</w:t>
      </w:r>
      <w:r>
        <w:rPr>
          <w:lang w:val="en-GB"/>
        </w:rPr>
        <w:tab/>
      </w:r>
      <w:r w:rsidR="00FF6EBB">
        <w:rPr>
          <w:lang w:val="en-GB"/>
        </w:rPr>
        <w:t>In his comments dated</w:t>
      </w:r>
      <w:r w:rsidR="00D52391" w:rsidRPr="00D52391">
        <w:rPr>
          <w:lang w:val="en-US"/>
        </w:rPr>
        <w:t xml:space="preserve"> 20 June 2012, the author submits that the information provided by the State party contains inaccuracies </w:t>
      </w:r>
      <w:r w:rsidR="00CC0B9A">
        <w:rPr>
          <w:lang w:val="en-US"/>
        </w:rPr>
        <w:t xml:space="preserve">on the </w:t>
      </w:r>
      <w:r w:rsidR="00D52391" w:rsidRPr="00D52391">
        <w:rPr>
          <w:lang w:val="en-US"/>
        </w:rPr>
        <w:t xml:space="preserve">non-exhaustion of domestic remedies. </w:t>
      </w:r>
      <w:r w:rsidR="00FF6EBB">
        <w:rPr>
          <w:lang w:val="en-US"/>
        </w:rPr>
        <w:t>He</w:t>
      </w:r>
      <w:r w:rsidR="00D52391" w:rsidRPr="00D52391">
        <w:rPr>
          <w:lang w:val="en-US"/>
        </w:rPr>
        <w:t xml:space="preserve"> submits that he did file supervisory appeals to the Prosecutor’s Office </w:t>
      </w:r>
      <w:r w:rsidR="00FF6EBB">
        <w:rPr>
          <w:lang w:val="en-US"/>
        </w:rPr>
        <w:t>and</w:t>
      </w:r>
      <w:r w:rsidR="00D52391" w:rsidRPr="00D52391">
        <w:rPr>
          <w:lang w:val="en-US"/>
        </w:rPr>
        <w:t xml:space="preserve"> to the Chairperson of the Supreme Court of Kazakhstan</w:t>
      </w:r>
      <w:r w:rsidR="00675A40">
        <w:rPr>
          <w:lang w:val="en-US"/>
        </w:rPr>
        <w:t>.</w:t>
      </w:r>
      <w:r w:rsidR="00D52391" w:rsidRPr="00D52391">
        <w:rPr>
          <w:vertAlign w:val="superscript"/>
          <w:lang w:val="en-US"/>
        </w:rPr>
        <w:footnoteReference w:id="8"/>
      </w:r>
      <w:r w:rsidR="00D52391" w:rsidRPr="00D52391">
        <w:rPr>
          <w:lang w:val="en-US"/>
        </w:rPr>
        <w:t xml:space="preserve"> The supervisory appeals were </w:t>
      </w:r>
      <w:r w:rsidR="00332AB3">
        <w:rPr>
          <w:lang w:val="en-US"/>
        </w:rPr>
        <w:t>dismissed</w:t>
      </w:r>
      <w:r w:rsidR="00D52391" w:rsidRPr="00D52391">
        <w:rPr>
          <w:lang w:val="en-US"/>
        </w:rPr>
        <w:t xml:space="preserve"> </w:t>
      </w:r>
      <w:r w:rsidR="00FF6EBB">
        <w:rPr>
          <w:lang w:val="en-US"/>
        </w:rPr>
        <w:t xml:space="preserve">on the </w:t>
      </w:r>
      <w:r w:rsidR="00D52391" w:rsidRPr="00D52391">
        <w:rPr>
          <w:lang w:val="en-US"/>
        </w:rPr>
        <w:t>bas</w:t>
      </w:r>
      <w:r w:rsidR="00FF6EBB">
        <w:rPr>
          <w:lang w:val="en-US"/>
        </w:rPr>
        <w:t>is</w:t>
      </w:r>
      <w:r w:rsidR="00D52391" w:rsidRPr="00D52391">
        <w:rPr>
          <w:lang w:val="en-US"/>
        </w:rPr>
        <w:t xml:space="preserve"> that </w:t>
      </w:r>
      <w:proofErr w:type="gramStart"/>
      <w:r w:rsidR="00D52391" w:rsidRPr="00D52391">
        <w:rPr>
          <w:lang w:val="en-US"/>
        </w:rPr>
        <w:t>criminal convictions c</w:t>
      </w:r>
      <w:r w:rsidR="00FF6EBB">
        <w:rPr>
          <w:lang w:val="en-US"/>
        </w:rPr>
        <w:t>ould</w:t>
      </w:r>
      <w:r w:rsidR="00D52391" w:rsidRPr="00D52391">
        <w:rPr>
          <w:lang w:val="en-US"/>
        </w:rPr>
        <w:t xml:space="preserve"> be appealed</w:t>
      </w:r>
      <w:r w:rsidR="00EA1530">
        <w:rPr>
          <w:lang w:val="en-US"/>
        </w:rPr>
        <w:t xml:space="preserve"> only</w:t>
      </w:r>
      <w:r w:rsidR="00D52391" w:rsidRPr="00D52391">
        <w:rPr>
          <w:lang w:val="en-US"/>
        </w:rPr>
        <w:t xml:space="preserve"> by the participants of the court proceedings</w:t>
      </w:r>
      <w:proofErr w:type="gramEnd"/>
      <w:r w:rsidR="00D52391" w:rsidRPr="00D52391">
        <w:rPr>
          <w:lang w:val="en-US"/>
        </w:rPr>
        <w:t>. The author claims that his wife and his lawyers</w:t>
      </w:r>
      <w:r w:rsidR="00332AB3">
        <w:rPr>
          <w:lang w:val="en-US"/>
        </w:rPr>
        <w:t xml:space="preserve"> </w:t>
      </w:r>
      <w:proofErr w:type="gramStart"/>
      <w:r w:rsidR="00D52391" w:rsidRPr="00D52391">
        <w:rPr>
          <w:lang w:val="en-US"/>
        </w:rPr>
        <w:t>were not allowed</w:t>
      </w:r>
      <w:proofErr w:type="gramEnd"/>
      <w:r w:rsidR="00D52391" w:rsidRPr="00D52391">
        <w:rPr>
          <w:lang w:val="en-US"/>
        </w:rPr>
        <w:t xml:space="preserve"> to participate in court hearings. His court-appointed lawyer</w:t>
      </w:r>
      <w:r w:rsidR="00332AB3">
        <w:rPr>
          <w:lang w:val="en-US"/>
        </w:rPr>
        <w:t xml:space="preserve"> </w:t>
      </w:r>
      <w:r w:rsidR="00D52391" w:rsidRPr="00D52391">
        <w:rPr>
          <w:lang w:val="en-US"/>
        </w:rPr>
        <w:t>did not act t</w:t>
      </w:r>
      <w:r w:rsidR="00675A40">
        <w:rPr>
          <w:lang w:val="en-US"/>
        </w:rPr>
        <w:t>o defend his position in court.</w:t>
      </w:r>
    </w:p>
    <w:p w14:paraId="5DD2A5BC" w14:textId="5B9C9F72" w:rsidR="00D52391" w:rsidRDefault="00D52391" w:rsidP="00FF6EBB">
      <w:pPr>
        <w:pStyle w:val="SingleTxtG"/>
        <w:rPr>
          <w:lang w:val="en-US"/>
        </w:rPr>
      </w:pPr>
      <w:r>
        <w:rPr>
          <w:lang w:val="en-US"/>
        </w:rPr>
        <w:t>5</w:t>
      </w:r>
      <w:r w:rsidRPr="00D52391">
        <w:rPr>
          <w:lang w:val="en-US"/>
        </w:rPr>
        <w:t>.2</w:t>
      </w:r>
      <w:r w:rsidRPr="00D52391">
        <w:rPr>
          <w:lang w:val="en-US"/>
        </w:rPr>
        <w:tab/>
        <w:t xml:space="preserve">The author claims that his numerous complaints addressed to law enforcement bodies and international organizations never reached the intended addressees. </w:t>
      </w:r>
      <w:r w:rsidR="00FF6EBB">
        <w:rPr>
          <w:lang w:val="en-US"/>
        </w:rPr>
        <w:t>He</w:t>
      </w:r>
      <w:r w:rsidRPr="00D52391">
        <w:rPr>
          <w:lang w:val="en-US"/>
        </w:rPr>
        <w:t xml:space="preserve"> contends</w:t>
      </w:r>
      <w:r w:rsidR="00FF6EBB">
        <w:rPr>
          <w:lang w:val="en-US"/>
        </w:rPr>
        <w:t>, therefore,</w:t>
      </w:r>
      <w:r w:rsidRPr="00D52391">
        <w:rPr>
          <w:lang w:val="en-US"/>
        </w:rPr>
        <w:t xml:space="preserve"> that all the remedies available under national legislation </w:t>
      </w:r>
      <w:proofErr w:type="gramStart"/>
      <w:r w:rsidRPr="00D52391">
        <w:rPr>
          <w:lang w:val="en-US"/>
        </w:rPr>
        <w:t>have been exhausted</w:t>
      </w:r>
      <w:proofErr w:type="gramEnd"/>
      <w:r w:rsidRPr="00D52391">
        <w:rPr>
          <w:lang w:val="en-US"/>
        </w:rPr>
        <w:t xml:space="preserve">. </w:t>
      </w:r>
    </w:p>
    <w:p w14:paraId="752CF3E9" w14:textId="7B23B20C" w:rsidR="00F00747" w:rsidRDefault="00975CF2" w:rsidP="002962AC">
      <w:pPr>
        <w:pStyle w:val="SingleTxtG"/>
        <w:rPr>
          <w:lang w:val="en-US"/>
        </w:rPr>
      </w:pPr>
      <w:r>
        <w:rPr>
          <w:lang w:val="en-US"/>
        </w:rPr>
        <w:t>5.3</w:t>
      </w:r>
      <w:r>
        <w:rPr>
          <w:lang w:val="en-US"/>
        </w:rPr>
        <w:tab/>
        <w:t xml:space="preserve">The author also </w:t>
      </w:r>
      <w:r w:rsidR="00332AB3">
        <w:rPr>
          <w:lang w:val="en-US"/>
        </w:rPr>
        <w:t>claims</w:t>
      </w:r>
      <w:r>
        <w:rPr>
          <w:lang w:val="en-US"/>
        </w:rPr>
        <w:t xml:space="preserve"> that, </w:t>
      </w:r>
      <w:r w:rsidR="00E535BE">
        <w:rPr>
          <w:lang w:val="en-US"/>
        </w:rPr>
        <w:t>while</w:t>
      </w:r>
      <w:r>
        <w:rPr>
          <w:lang w:val="en-US"/>
        </w:rPr>
        <w:t xml:space="preserve"> the State party submi</w:t>
      </w:r>
      <w:r w:rsidR="00E535BE">
        <w:rPr>
          <w:lang w:val="en-US"/>
        </w:rPr>
        <w:t>tted that</w:t>
      </w:r>
      <w:r>
        <w:rPr>
          <w:lang w:val="en-US"/>
        </w:rPr>
        <w:t xml:space="preserve"> the criminal investigation against him </w:t>
      </w:r>
      <w:proofErr w:type="gramStart"/>
      <w:r w:rsidR="00FF6EBB">
        <w:rPr>
          <w:lang w:val="en-US"/>
        </w:rPr>
        <w:t xml:space="preserve">had been </w:t>
      </w:r>
      <w:r>
        <w:rPr>
          <w:lang w:val="en-US"/>
        </w:rPr>
        <w:t>initiated</w:t>
      </w:r>
      <w:proofErr w:type="gramEnd"/>
      <w:r>
        <w:rPr>
          <w:lang w:val="en-US"/>
        </w:rPr>
        <w:t xml:space="preserve"> on 27 November 2008, in reality </w:t>
      </w:r>
      <w:r w:rsidR="00EA1530">
        <w:rPr>
          <w:lang w:val="en-US"/>
        </w:rPr>
        <w:t xml:space="preserve">it </w:t>
      </w:r>
      <w:r>
        <w:rPr>
          <w:lang w:val="en-US"/>
        </w:rPr>
        <w:t>was not initiated until 5 January 2009.</w:t>
      </w:r>
      <w:r w:rsidR="00313DFE">
        <w:rPr>
          <w:rStyle w:val="FootnoteReference"/>
          <w:lang w:val="en-US"/>
        </w:rPr>
        <w:footnoteReference w:id="9"/>
      </w:r>
      <w:r>
        <w:rPr>
          <w:lang w:val="en-US"/>
        </w:rPr>
        <w:t xml:space="preserve"> </w:t>
      </w:r>
      <w:r w:rsidR="00313DFE">
        <w:rPr>
          <w:lang w:val="en-US"/>
        </w:rPr>
        <w:t xml:space="preserve">He maintains that he </w:t>
      </w:r>
      <w:proofErr w:type="gramStart"/>
      <w:r w:rsidR="00313DFE">
        <w:rPr>
          <w:lang w:val="en-US"/>
        </w:rPr>
        <w:t>was not informed</w:t>
      </w:r>
      <w:proofErr w:type="gramEnd"/>
      <w:r w:rsidR="00313DFE">
        <w:rPr>
          <w:lang w:val="en-US"/>
        </w:rPr>
        <w:t xml:space="preserve"> that a </w:t>
      </w:r>
      <w:r w:rsidR="00313DFE" w:rsidRPr="00AA52A4">
        <w:rPr>
          <w:lang w:val="en-US"/>
        </w:rPr>
        <w:t>restraint</w:t>
      </w:r>
      <w:r w:rsidR="00313DFE">
        <w:rPr>
          <w:lang w:val="en-US"/>
        </w:rPr>
        <w:t xml:space="preserve"> </w:t>
      </w:r>
      <w:r w:rsidR="00286DFA">
        <w:rPr>
          <w:lang w:val="en-US"/>
        </w:rPr>
        <w:t xml:space="preserve">order </w:t>
      </w:r>
      <w:r w:rsidR="00FF6EBB">
        <w:rPr>
          <w:lang w:val="en-US"/>
        </w:rPr>
        <w:t>had been</w:t>
      </w:r>
      <w:r w:rsidR="00313DFE">
        <w:rPr>
          <w:lang w:val="en-US"/>
        </w:rPr>
        <w:t xml:space="preserve"> issued </w:t>
      </w:r>
      <w:r w:rsidR="00FF6EBB">
        <w:rPr>
          <w:lang w:val="en-US"/>
        </w:rPr>
        <w:t>against</w:t>
      </w:r>
      <w:r w:rsidR="00313DFE">
        <w:rPr>
          <w:lang w:val="en-US"/>
        </w:rPr>
        <w:t xml:space="preserve"> him on 27 November 2008, and that he found out about </w:t>
      </w:r>
      <w:r w:rsidR="00FF6EBB">
        <w:rPr>
          <w:lang w:val="en-US"/>
        </w:rPr>
        <w:t xml:space="preserve">the order only </w:t>
      </w:r>
      <w:r w:rsidR="00313DFE">
        <w:rPr>
          <w:lang w:val="en-US"/>
        </w:rPr>
        <w:t xml:space="preserve">from the </w:t>
      </w:r>
      <w:r w:rsidR="00FF6EBB">
        <w:rPr>
          <w:lang w:val="en-US"/>
        </w:rPr>
        <w:t>S</w:t>
      </w:r>
      <w:r w:rsidR="00313DFE">
        <w:rPr>
          <w:lang w:val="en-US"/>
        </w:rPr>
        <w:t xml:space="preserve">tate party’s submission to the </w:t>
      </w:r>
      <w:r w:rsidR="00FF6EBB">
        <w:rPr>
          <w:lang w:val="en-US"/>
        </w:rPr>
        <w:t xml:space="preserve">Human Rights </w:t>
      </w:r>
      <w:r w:rsidR="00313DFE">
        <w:rPr>
          <w:lang w:val="en-US"/>
        </w:rPr>
        <w:t xml:space="preserve">Committee. He </w:t>
      </w:r>
      <w:r w:rsidR="00E535BE">
        <w:rPr>
          <w:lang w:val="en-US"/>
        </w:rPr>
        <w:t>denies</w:t>
      </w:r>
      <w:r w:rsidR="00313DFE">
        <w:rPr>
          <w:lang w:val="en-US"/>
        </w:rPr>
        <w:t xml:space="preserve"> creating conflict during the search of the premise</w:t>
      </w:r>
      <w:r w:rsidR="00CC0B9A">
        <w:rPr>
          <w:lang w:val="en-US"/>
        </w:rPr>
        <w:t>s</w:t>
      </w:r>
      <w:r w:rsidR="00313DFE">
        <w:rPr>
          <w:lang w:val="en-US"/>
        </w:rPr>
        <w:t xml:space="preserve"> of his newspaper and states that the search </w:t>
      </w:r>
      <w:proofErr w:type="gramStart"/>
      <w:r w:rsidR="00313DFE">
        <w:rPr>
          <w:lang w:val="en-US"/>
        </w:rPr>
        <w:t>was filmed</w:t>
      </w:r>
      <w:proofErr w:type="gramEnd"/>
      <w:r w:rsidR="00313DFE">
        <w:rPr>
          <w:lang w:val="en-US"/>
        </w:rPr>
        <w:t>; he also maintains that the search was conducted in violation of article 22</w:t>
      </w:r>
      <w:r w:rsidR="00EC168D">
        <w:rPr>
          <w:lang w:val="bg-BG"/>
        </w:rPr>
        <w:t>0</w:t>
      </w:r>
      <w:r w:rsidR="00313DFE">
        <w:rPr>
          <w:lang w:val="en-US"/>
        </w:rPr>
        <w:t xml:space="preserve"> of the </w:t>
      </w:r>
      <w:r w:rsidR="00FF6EBB">
        <w:rPr>
          <w:lang w:val="en-US"/>
        </w:rPr>
        <w:t>Criminal Procedure Code</w:t>
      </w:r>
      <w:r w:rsidR="00675A40">
        <w:rPr>
          <w:lang w:val="bg-BG"/>
        </w:rPr>
        <w:t>.</w:t>
      </w:r>
      <w:r w:rsidR="00EC168D">
        <w:rPr>
          <w:lang w:val="en-US"/>
        </w:rPr>
        <w:t xml:space="preserve"> The author reiterates that on 1 December 2008</w:t>
      </w:r>
      <w:r w:rsidR="00286DFA">
        <w:rPr>
          <w:lang w:val="en-US"/>
        </w:rPr>
        <w:t>,</w:t>
      </w:r>
      <w:r w:rsidR="00EC168D">
        <w:rPr>
          <w:lang w:val="en-US"/>
        </w:rPr>
        <w:t xml:space="preserve"> </w:t>
      </w:r>
      <w:r w:rsidR="00FF6EBB">
        <w:rPr>
          <w:lang w:val="en-US"/>
        </w:rPr>
        <w:t xml:space="preserve">National Security Committee </w:t>
      </w:r>
      <w:r w:rsidR="00EC168D">
        <w:rPr>
          <w:lang w:val="en-US"/>
        </w:rPr>
        <w:t xml:space="preserve">operatives </w:t>
      </w:r>
      <w:r w:rsidR="00286DFA">
        <w:rPr>
          <w:lang w:val="en-US"/>
        </w:rPr>
        <w:t xml:space="preserve">arrested him </w:t>
      </w:r>
      <w:r w:rsidR="00EC168D">
        <w:rPr>
          <w:lang w:val="en-US"/>
        </w:rPr>
        <w:t xml:space="preserve">without presenting any documents, but he managed to avoid </w:t>
      </w:r>
      <w:proofErr w:type="gramStart"/>
      <w:r w:rsidR="00EC168D">
        <w:rPr>
          <w:lang w:val="en-US"/>
        </w:rPr>
        <w:t>being taken</w:t>
      </w:r>
      <w:proofErr w:type="gramEnd"/>
      <w:r w:rsidR="00EC168D">
        <w:rPr>
          <w:lang w:val="en-US"/>
        </w:rPr>
        <w:t xml:space="preserve"> with the help of journalists and relatives and asked for asylum </w:t>
      </w:r>
      <w:r w:rsidR="002962AC">
        <w:rPr>
          <w:lang w:val="en-US"/>
        </w:rPr>
        <w:t>at</w:t>
      </w:r>
      <w:r w:rsidR="00EC168D">
        <w:rPr>
          <w:lang w:val="en-US"/>
        </w:rPr>
        <w:t xml:space="preserve"> the </w:t>
      </w:r>
      <w:r w:rsidR="002962AC">
        <w:rPr>
          <w:lang w:val="en-US"/>
        </w:rPr>
        <w:t>e</w:t>
      </w:r>
      <w:r w:rsidR="00EC168D">
        <w:rPr>
          <w:lang w:val="en-US"/>
        </w:rPr>
        <w:t>mbassy</w:t>
      </w:r>
      <w:r w:rsidR="002962AC">
        <w:rPr>
          <w:lang w:val="en-US"/>
        </w:rPr>
        <w:t xml:space="preserve"> of the United States of America</w:t>
      </w:r>
      <w:r w:rsidR="00EC168D">
        <w:rPr>
          <w:lang w:val="en-US"/>
        </w:rPr>
        <w:t xml:space="preserve">. </w:t>
      </w:r>
      <w:r w:rsidR="00286DFA">
        <w:rPr>
          <w:lang w:val="en-US"/>
        </w:rPr>
        <w:t>I</w:t>
      </w:r>
      <w:r w:rsidR="00EC168D">
        <w:rPr>
          <w:lang w:val="en-US"/>
        </w:rPr>
        <w:t>n a press</w:t>
      </w:r>
      <w:r w:rsidR="002962AC">
        <w:rPr>
          <w:lang w:val="en-US"/>
        </w:rPr>
        <w:t xml:space="preserve"> </w:t>
      </w:r>
      <w:r w:rsidR="00EC168D">
        <w:rPr>
          <w:lang w:val="en-US"/>
        </w:rPr>
        <w:t>conference</w:t>
      </w:r>
      <w:r w:rsidR="00286DFA">
        <w:rPr>
          <w:lang w:val="en-US"/>
        </w:rPr>
        <w:t xml:space="preserve"> the next day, the</w:t>
      </w:r>
      <w:r w:rsidR="00EC168D">
        <w:rPr>
          <w:lang w:val="en-US"/>
        </w:rPr>
        <w:t xml:space="preserve"> </w:t>
      </w:r>
      <w:r w:rsidR="002962AC">
        <w:rPr>
          <w:lang w:val="en-US"/>
        </w:rPr>
        <w:t xml:space="preserve">National Security Committee </w:t>
      </w:r>
      <w:r w:rsidR="00EC168D">
        <w:rPr>
          <w:lang w:val="en-US"/>
        </w:rPr>
        <w:t xml:space="preserve">stated that </w:t>
      </w:r>
      <w:r w:rsidR="002962AC">
        <w:rPr>
          <w:lang w:val="en-US"/>
        </w:rPr>
        <w:t>the author</w:t>
      </w:r>
      <w:r w:rsidR="00EC168D">
        <w:rPr>
          <w:lang w:val="en-US"/>
        </w:rPr>
        <w:t xml:space="preserve"> was a witness and that he could choose to give testimony</w:t>
      </w:r>
      <w:r w:rsidR="002962AC">
        <w:rPr>
          <w:lang w:val="en-US"/>
        </w:rPr>
        <w:t xml:space="preserve"> either</w:t>
      </w:r>
      <w:r w:rsidR="00EC168D">
        <w:rPr>
          <w:lang w:val="en-US"/>
        </w:rPr>
        <w:t xml:space="preserve"> in Almaty or in </w:t>
      </w:r>
      <w:proofErr w:type="spellStart"/>
      <w:r w:rsidR="00EC168D">
        <w:rPr>
          <w:lang w:val="en-US"/>
        </w:rPr>
        <w:t>Taraz</w:t>
      </w:r>
      <w:proofErr w:type="spellEnd"/>
      <w:r w:rsidR="00EC168D">
        <w:rPr>
          <w:lang w:val="en-US"/>
        </w:rPr>
        <w:t xml:space="preserve">. On 6 January 2009, the author </w:t>
      </w:r>
      <w:proofErr w:type="gramStart"/>
      <w:r w:rsidR="00EC168D">
        <w:rPr>
          <w:lang w:val="en-US"/>
        </w:rPr>
        <w:t>was kidnapped</w:t>
      </w:r>
      <w:proofErr w:type="gramEnd"/>
      <w:r w:rsidR="00EC168D">
        <w:rPr>
          <w:lang w:val="en-US"/>
        </w:rPr>
        <w:t xml:space="preserve"> from the hospital, without being allowed to </w:t>
      </w:r>
      <w:r w:rsidR="002962AC">
        <w:rPr>
          <w:lang w:val="en-US"/>
        </w:rPr>
        <w:t xml:space="preserve">complete </w:t>
      </w:r>
      <w:r w:rsidR="00EC168D">
        <w:rPr>
          <w:lang w:val="en-US"/>
        </w:rPr>
        <w:t xml:space="preserve">his medical treatment. Upon arrival in </w:t>
      </w:r>
      <w:proofErr w:type="spellStart"/>
      <w:proofErr w:type="gramStart"/>
      <w:r w:rsidR="00EC168D">
        <w:rPr>
          <w:lang w:val="en-US"/>
        </w:rPr>
        <w:t>Taraz</w:t>
      </w:r>
      <w:proofErr w:type="spellEnd"/>
      <w:proofErr w:type="gramEnd"/>
      <w:r w:rsidR="00EC168D">
        <w:rPr>
          <w:lang w:val="en-US"/>
        </w:rPr>
        <w:t xml:space="preserve"> his arterial tension was 100/190 and the medical doctor had to administer “an emergency shot”.</w:t>
      </w:r>
      <w:r w:rsidR="00304F66">
        <w:rPr>
          <w:lang w:val="en-US"/>
        </w:rPr>
        <w:t xml:space="preserve"> </w:t>
      </w:r>
      <w:r w:rsidR="00EC168D">
        <w:rPr>
          <w:lang w:val="en-US"/>
        </w:rPr>
        <w:t xml:space="preserve">The author </w:t>
      </w:r>
      <w:r w:rsidR="00D7111B">
        <w:rPr>
          <w:lang w:val="en-US"/>
        </w:rPr>
        <w:t>reiterates</w:t>
      </w:r>
      <w:r w:rsidR="00EC168D">
        <w:rPr>
          <w:lang w:val="en-US"/>
        </w:rPr>
        <w:t xml:space="preserve"> that he did not receive any medical treatment while in pretrial detention and that while he received medication in prison, whenever he </w:t>
      </w:r>
      <w:r w:rsidR="002962AC">
        <w:rPr>
          <w:lang w:val="en-US"/>
        </w:rPr>
        <w:t xml:space="preserve">complained of </w:t>
      </w:r>
      <w:r w:rsidR="00EC168D">
        <w:rPr>
          <w:lang w:val="en-US"/>
        </w:rPr>
        <w:t>experienc</w:t>
      </w:r>
      <w:r w:rsidR="002962AC">
        <w:rPr>
          <w:lang w:val="en-US"/>
        </w:rPr>
        <w:t>ing</w:t>
      </w:r>
      <w:r w:rsidR="00EC168D">
        <w:rPr>
          <w:lang w:val="en-US"/>
        </w:rPr>
        <w:t xml:space="preserve"> heart </w:t>
      </w:r>
      <w:proofErr w:type="gramStart"/>
      <w:r w:rsidR="002962AC">
        <w:rPr>
          <w:lang w:val="en-US"/>
        </w:rPr>
        <w:t>pain</w:t>
      </w:r>
      <w:r w:rsidR="00EC168D">
        <w:rPr>
          <w:lang w:val="en-US"/>
        </w:rPr>
        <w:t>,</w:t>
      </w:r>
      <w:proofErr w:type="gramEnd"/>
      <w:r w:rsidR="00EC168D">
        <w:rPr>
          <w:lang w:val="en-US"/>
        </w:rPr>
        <w:t xml:space="preserve"> the ambulance arrived a week</w:t>
      </w:r>
      <w:r w:rsidR="00286DFA">
        <w:rPr>
          <w:lang w:val="en-US"/>
        </w:rPr>
        <w:t xml:space="preserve"> later</w:t>
      </w:r>
      <w:r w:rsidR="00EC168D">
        <w:rPr>
          <w:lang w:val="en-US"/>
        </w:rPr>
        <w:t>.</w:t>
      </w:r>
      <w:r w:rsidR="00C23653">
        <w:rPr>
          <w:rStyle w:val="FootnoteReference"/>
          <w:lang w:val="en-US"/>
        </w:rPr>
        <w:footnoteReference w:id="10"/>
      </w:r>
      <w:r w:rsidR="003F6F6A">
        <w:rPr>
          <w:lang w:val="en-US"/>
        </w:rPr>
        <w:t xml:space="preserve"> </w:t>
      </w:r>
    </w:p>
    <w:p w14:paraId="589630F2" w14:textId="23728014" w:rsidR="00286DFA" w:rsidRDefault="00D7111B" w:rsidP="002433D8">
      <w:pPr>
        <w:pStyle w:val="SingleTxtG"/>
        <w:rPr>
          <w:lang w:val="en-US"/>
        </w:rPr>
      </w:pPr>
      <w:r>
        <w:rPr>
          <w:lang w:val="en-US"/>
        </w:rPr>
        <w:t>5.</w:t>
      </w:r>
      <w:r w:rsidR="00E535BE">
        <w:rPr>
          <w:lang w:val="en-US"/>
        </w:rPr>
        <w:t>4</w:t>
      </w:r>
      <w:r>
        <w:rPr>
          <w:lang w:val="en-US"/>
        </w:rPr>
        <w:tab/>
      </w:r>
      <w:r w:rsidR="00286DFA">
        <w:rPr>
          <w:lang w:val="en-US"/>
        </w:rPr>
        <w:t>The author</w:t>
      </w:r>
      <w:r>
        <w:rPr>
          <w:lang w:val="en-US"/>
        </w:rPr>
        <w:t xml:space="preserve"> reiterates most of his arguments regarding the legality of his conviction and maintains that the </w:t>
      </w:r>
      <w:r w:rsidR="00F43066">
        <w:rPr>
          <w:lang w:val="en-US"/>
        </w:rPr>
        <w:t>p</w:t>
      </w:r>
      <w:r w:rsidRPr="00F43066">
        <w:rPr>
          <w:lang w:val="en-US"/>
        </w:rPr>
        <w:t>rosecution</w:t>
      </w:r>
      <w:r>
        <w:rPr>
          <w:lang w:val="en-US"/>
        </w:rPr>
        <w:t xml:space="preserve"> never proved that he obtained the </w:t>
      </w:r>
      <w:r w:rsidR="00675A40">
        <w:rPr>
          <w:lang w:val="en-US"/>
        </w:rPr>
        <w:t>published documents illegally.</w:t>
      </w:r>
    </w:p>
    <w:p w14:paraId="14E0A522" w14:textId="7AA8538F" w:rsidR="00D7111B" w:rsidRDefault="00675A40" w:rsidP="002962AC">
      <w:pPr>
        <w:pStyle w:val="H23G"/>
        <w:rPr>
          <w:lang w:val="en-US"/>
        </w:rPr>
      </w:pPr>
      <w:r>
        <w:rPr>
          <w:lang w:val="en-US"/>
        </w:rPr>
        <w:tab/>
      </w:r>
      <w:r>
        <w:rPr>
          <w:lang w:val="en-US"/>
        </w:rPr>
        <w:tab/>
      </w:r>
      <w:r w:rsidR="00D7111B">
        <w:rPr>
          <w:lang w:val="en-US"/>
        </w:rPr>
        <w:t xml:space="preserve">State party’s </w:t>
      </w:r>
      <w:r w:rsidR="002962AC">
        <w:rPr>
          <w:lang w:val="en-US"/>
        </w:rPr>
        <w:t xml:space="preserve">additional </w:t>
      </w:r>
      <w:r w:rsidR="00D7111B">
        <w:rPr>
          <w:lang w:val="en-US"/>
        </w:rPr>
        <w:t>observations</w:t>
      </w:r>
    </w:p>
    <w:p w14:paraId="092BCE70" w14:textId="6808C269" w:rsidR="00D7111B" w:rsidRDefault="00D7111B" w:rsidP="00EA1530">
      <w:pPr>
        <w:pStyle w:val="SingleTxtG"/>
        <w:spacing w:before="240"/>
        <w:rPr>
          <w:lang w:val="en-US"/>
        </w:rPr>
      </w:pPr>
      <w:proofErr w:type="gramStart"/>
      <w:r>
        <w:rPr>
          <w:lang w:val="en-US"/>
        </w:rPr>
        <w:t>6.1</w:t>
      </w:r>
      <w:r>
        <w:rPr>
          <w:lang w:val="en-US"/>
        </w:rPr>
        <w:tab/>
      </w:r>
      <w:r w:rsidR="002962AC">
        <w:rPr>
          <w:lang w:val="en-US"/>
        </w:rPr>
        <w:t>I</w:t>
      </w:r>
      <w:r w:rsidR="00286DFA">
        <w:rPr>
          <w:lang w:val="en-US"/>
        </w:rPr>
        <w:t>n its observations</w:t>
      </w:r>
      <w:r w:rsidR="002962AC">
        <w:rPr>
          <w:lang w:val="en-US"/>
        </w:rPr>
        <w:t xml:space="preserve"> dated</w:t>
      </w:r>
      <w:r w:rsidR="002962AC" w:rsidRPr="002962AC">
        <w:rPr>
          <w:lang w:val="en-US"/>
        </w:rPr>
        <w:t xml:space="preserve"> 27 July 2012</w:t>
      </w:r>
      <w:r w:rsidR="00286DFA">
        <w:rPr>
          <w:lang w:val="en-US"/>
        </w:rPr>
        <w:t xml:space="preserve">, </w:t>
      </w:r>
      <w:r>
        <w:rPr>
          <w:lang w:val="en-US"/>
        </w:rPr>
        <w:t xml:space="preserve">the State party </w:t>
      </w:r>
      <w:r w:rsidR="00871506">
        <w:rPr>
          <w:lang w:val="en-US"/>
        </w:rPr>
        <w:t xml:space="preserve">reiterates that the author </w:t>
      </w:r>
      <w:r w:rsidR="002962AC">
        <w:rPr>
          <w:lang w:val="en-US"/>
        </w:rPr>
        <w:t>was</w:t>
      </w:r>
      <w:r w:rsidR="00871506">
        <w:rPr>
          <w:lang w:val="en-US"/>
        </w:rPr>
        <w:t xml:space="preserve"> convicted and sentenced under articles 172</w:t>
      </w:r>
      <w:r w:rsidR="004034A7">
        <w:rPr>
          <w:lang w:val="en-US"/>
        </w:rPr>
        <w:t xml:space="preserve"> (</w:t>
      </w:r>
      <w:r w:rsidR="00871506">
        <w:rPr>
          <w:lang w:val="en-US"/>
        </w:rPr>
        <w:t>1</w:t>
      </w:r>
      <w:r w:rsidR="004034A7">
        <w:rPr>
          <w:lang w:val="en-US"/>
        </w:rPr>
        <w:t>)</w:t>
      </w:r>
      <w:r w:rsidR="00871506">
        <w:rPr>
          <w:lang w:val="en-US"/>
        </w:rPr>
        <w:t xml:space="preserve"> and 339</w:t>
      </w:r>
      <w:r w:rsidR="004034A7">
        <w:rPr>
          <w:lang w:val="en-US"/>
        </w:rPr>
        <w:t xml:space="preserve"> (</w:t>
      </w:r>
      <w:r w:rsidR="00871506">
        <w:rPr>
          <w:lang w:val="en-US"/>
        </w:rPr>
        <w:t>2</w:t>
      </w:r>
      <w:r w:rsidR="004034A7">
        <w:rPr>
          <w:lang w:val="en-US"/>
        </w:rPr>
        <w:t>)</w:t>
      </w:r>
      <w:r w:rsidR="00871506">
        <w:rPr>
          <w:lang w:val="en-US"/>
        </w:rPr>
        <w:t xml:space="preserve"> of the Criminal Code</w:t>
      </w:r>
      <w:r w:rsidR="00442317">
        <w:rPr>
          <w:lang w:val="en-US"/>
        </w:rPr>
        <w:t xml:space="preserve"> (see para</w:t>
      </w:r>
      <w:r w:rsidR="001E0EB7">
        <w:rPr>
          <w:lang w:val="en-US"/>
        </w:rPr>
        <w:t>.</w:t>
      </w:r>
      <w:r w:rsidR="00EA1530">
        <w:rPr>
          <w:lang w:val="en-US"/>
        </w:rPr>
        <w:t> </w:t>
      </w:r>
      <w:r w:rsidR="00442317">
        <w:rPr>
          <w:lang w:val="en-US"/>
        </w:rPr>
        <w:t>4.2</w:t>
      </w:r>
      <w:r w:rsidR="002962AC">
        <w:rPr>
          <w:lang w:val="en-US"/>
        </w:rPr>
        <w:t xml:space="preserve"> above)</w:t>
      </w:r>
      <w:r w:rsidR="00871506">
        <w:rPr>
          <w:lang w:val="en-US"/>
        </w:rPr>
        <w:t xml:space="preserve">, that the verdict </w:t>
      </w:r>
      <w:r w:rsidR="00FA09F9">
        <w:rPr>
          <w:lang w:val="en-US"/>
        </w:rPr>
        <w:t>was</w:t>
      </w:r>
      <w:r w:rsidR="00871506">
        <w:rPr>
          <w:lang w:val="en-US"/>
        </w:rPr>
        <w:t xml:space="preserve"> confirmed upon appeal and that the </w:t>
      </w:r>
      <w:proofErr w:type="spellStart"/>
      <w:r w:rsidR="008E43FD">
        <w:rPr>
          <w:lang w:val="en-US"/>
        </w:rPr>
        <w:t>Zhambyl</w:t>
      </w:r>
      <w:proofErr w:type="spellEnd"/>
      <w:r w:rsidR="008E43FD">
        <w:rPr>
          <w:lang w:val="en-US"/>
        </w:rPr>
        <w:t xml:space="preserve"> </w:t>
      </w:r>
      <w:r w:rsidR="00871506">
        <w:rPr>
          <w:lang w:val="en-US"/>
        </w:rPr>
        <w:t>Regional Court and the Supreme Court rejected supervisory review requests on 14 December 2009 and 24 May 2010</w:t>
      </w:r>
      <w:r w:rsidR="00FA09F9">
        <w:rPr>
          <w:lang w:val="en-US"/>
        </w:rPr>
        <w:t>, respectively</w:t>
      </w:r>
      <w:r w:rsidR="00871506">
        <w:rPr>
          <w:lang w:val="en-US"/>
        </w:rPr>
        <w:t>.</w:t>
      </w:r>
      <w:proofErr w:type="gramEnd"/>
      <w:r w:rsidR="00871506">
        <w:rPr>
          <w:lang w:val="en-US"/>
        </w:rPr>
        <w:t xml:space="preserve"> </w:t>
      </w:r>
      <w:r w:rsidR="00CB0E2A">
        <w:rPr>
          <w:lang w:val="en-US"/>
        </w:rPr>
        <w:t>The State party</w:t>
      </w:r>
      <w:r w:rsidR="00871506">
        <w:rPr>
          <w:lang w:val="en-US"/>
        </w:rPr>
        <w:t xml:space="preserve"> </w:t>
      </w:r>
      <w:r w:rsidR="00EA1530">
        <w:rPr>
          <w:lang w:val="en-US"/>
        </w:rPr>
        <w:t xml:space="preserve">reiterates </w:t>
      </w:r>
      <w:r w:rsidR="00871506">
        <w:rPr>
          <w:lang w:val="en-US"/>
        </w:rPr>
        <w:t xml:space="preserve">that </w:t>
      </w:r>
      <w:r w:rsidR="00CB0E2A">
        <w:rPr>
          <w:lang w:val="en-US"/>
        </w:rPr>
        <w:t>the author’s</w:t>
      </w:r>
      <w:r w:rsidR="00871506">
        <w:rPr>
          <w:lang w:val="en-US"/>
        </w:rPr>
        <w:t xml:space="preserve"> claims regarding violations of his right to </w:t>
      </w:r>
      <w:proofErr w:type="spellStart"/>
      <w:r w:rsidR="00871506">
        <w:rPr>
          <w:lang w:val="en-US"/>
        </w:rPr>
        <w:t>defen</w:t>
      </w:r>
      <w:r w:rsidR="008E43FD">
        <w:rPr>
          <w:lang w:val="en-US"/>
        </w:rPr>
        <w:t>c</w:t>
      </w:r>
      <w:r w:rsidR="00871506">
        <w:rPr>
          <w:lang w:val="en-US"/>
        </w:rPr>
        <w:t>e</w:t>
      </w:r>
      <w:proofErr w:type="spellEnd"/>
      <w:r w:rsidR="00871506">
        <w:rPr>
          <w:lang w:val="en-US"/>
        </w:rPr>
        <w:t xml:space="preserve"> were un</w:t>
      </w:r>
      <w:r w:rsidR="008E43FD">
        <w:rPr>
          <w:lang w:val="en-US"/>
        </w:rPr>
        <w:t>f</w:t>
      </w:r>
      <w:r w:rsidR="00871506">
        <w:rPr>
          <w:lang w:val="en-US"/>
        </w:rPr>
        <w:t>ound</w:t>
      </w:r>
      <w:r w:rsidR="008E43FD">
        <w:rPr>
          <w:lang w:val="en-US"/>
        </w:rPr>
        <w:t>ed</w:t>
      </w:r>
      <w:r w:rsidR="00871506">
        <w:rPr>
          <w:lang w:val="en-US"/>
        </w:rPr>
        <w:t>, because the case file</w:t>
      </w:r>
      <w:r w:rsidR="00CB0E2A">
        <w:rPr>
          <w:lang w:val="en-US"/>
        </w:rPr>
        <w:t xml:space="preserve"> contained classified material</w:t>
      </w:r>
      <w:r w:rsidR="00675A40">
        <w:rPr>
          <w:lang w:val="en-US"/>
        </w:rPr>
        <w:t>.</w:t>
      </w:r>
    </w:p>
    <w:p w14:paraId="709B644B" w14:textId="0EB070F0" w:rsidR="00871506" w:rsidRDefault="00871506" w:rsidP="003F0950">
      <w:pPr>
        <w:pStyle w:val="SingleTxtG"/>
        <w:rPr>
          <w:lang w:val="en-US"/>
        </w:rPr>
      </w:pPr>
      <w:r>
        <w:rPr>
          <w:lang w:val="en-US"/>
        </w:rPr>
        <w:t>6.2</w:t>
      </w:r>
      <w:r>
        <w:rPr>
          <w:lang w:val="en-US"/>
        </w:rPr>
        <w:tab/>
        <w:t xml:space="preserve">The State party </w:t>
      </w:r>
      <w:r w:rsidR="003F0950">
        <w:rPr>
          <w:lang w:val="en-US"/>
        </w:rPr>
        <w:t xml:space="preserve">also </w:t>
      </w:r>
      <w:r>
        <w:rPr>
          <w:lang w:val="en-US"/>
        </w:rPr>
        <w:t xml:space="preserve">reiterates that the author’s claims that </w:t>
      </w:r>
      <w:r w:rsidR="003F0950">
        <w:rPr>
          <w:lang w:val="en-US"/>
        </w:rPr>
        <w:t xml:space="preserve">National Security Committee </w:t>
      </w:r>
      <w:r>
        <w:rPr>
          <w:lang w:val="en-US"/>
        </w:rPr>
        <w:t>operatives ha</w:t>
      </w:r>
      <w:r w:rsidR="00E535BE">
        <w:rPr>
          <w:lang w:val="en-US"/>
        </w:rPr>
        <w:t>d</w:t>
      </w:r>
      <w:r>
        <w:rPr>
          <w:lang w:val="en-US"/>
        </w:rPr>
        <w:t xml:space="preserve"> violated his rights had been subject to verification by the court. </w:t>
      </w:r>
      <w:proofErr w:type="gramStart"/>
      <w:r>
        <w:rPr>
          <w:lang w:val="en-US"/>
        </w:rPr>
        <w:t>I</w:t>
      </w:r>
      <w:r w:rsidR="00CB0E2A">
        <w:rPr>
          <w:lang w:val="en-US"/>
        </w:rPr>
        <w:t xml:space="preserve">n this respect, it </w:t>
      </w:r>
      <w:r>
        <w:rPr>
          <w:lang w:val="en-US"/>
        </w:rPr>
        <w:t xml:space="preserve">refers to </w:t>
      </w:r>
      <w:r w:rsidR="003F0950">
        <w:rPr>
          <w:lang w:val="en-US"/>
        </w:rPr>
        <w:t>r</w:t>
      </w:r>
      <w:r>
        <w:rPr>
          <w:lang w:val="en-US"/>
        </w:rPr>
        <w:t>uling No</w:t>
      </w:r>
      <w:r w:rsidR="003F0950">
        <w:rPr>
          <w:lang w:val="en-US"/>
        </w:rPr>
        <w:t>.</w:t>
      </w:r>
      <w:r>
        <w:rPr>
          <w:lang w:val="en-US"/>
        </w:rPr>
        <w:t xml:space="preserve"> 7 of the Supreme Court of 28 December 2009 </w:t>
      </w:r>
      <w:r w:rsidR="003F0950">
        <w:rPr>
          <w:lang w:val="en-US"/>
        </w:rPr>
        <w:t>on</w:t>
      </w:r>
      <w:r>
        <w:rPr>
          <w:lang w:val="en-US"/>
        </w:rPr>
        <w:t xml:space="preserve"> the application of criminal and criminal</w:t>
      </w:r>
      <w:r w:rsidR="003F0950">
        <w:rPr>
          <w:lang w:val="en-US"/>
        </w:rPr>
        <w:t>-</w:t>
      </w:r>
      <w:r>
        <w:rPr>
          <w:lang w:val="en-US"/>
        </w:rPr>
        <w:t xml:space="preserve">procedure legislation concerning respect for personal liberty and </w:t>
      </w:r>
      <w:r w:rsidR="003F0950">
        <w:rPr>
          <w:lang w:val="en-US"/>
        </w:rPr>
        <w:t xml:space="preserve">the </w:t>
      </w:r>
      <w:r>
        <w:rPr>
          <w:lang w:val="en-US"/>
        </w:rPr>
        <w:t>dignity of the individual</w:t>
      </w:r>
      <w:r w:rsidR="003F0950">
        <w:rPr>
          <w:lang w:val="en-US"/>
        </w:rPr>
        <w:t xml:space="preserve"> and the combatting of</w:t>
      </w:r>
      <w:r>
        <w:rPr>
          <w:lang w:val="en-US"/>
        </w:rPr>
        <w:t xml:space="preserve"> torture, violence</w:t>
      </w:r>
      <w:r w:rsidR="003F0950">
        <w:rPr>
          <w:lang w:val="en-US"/>
        </w:rPr>
        <w:t xml:space="preserve"> and</w:t>
      </w:r>
      <w:r>
        <w:rPr>
          <w:lang w:val="en-US"/>
        </w:rPr>
        <w:t xml:space="preserve"> other cruel or degrading</w:t>
      </w:r>
      <w:r w:rsidR="00192C20">
        <w:rPr>
          <w:lang w:val="en-US"/>
        </w:rPr>
        <w:t xml:space="preserve"> treatment and punishment, </w:t>
      </w:r>
      <w:r w:rsidR="000B647D">
        <w:rPr>
          <w:lang w:val="en-US"/>
        </w:rPr>
        <w:t>according to which</w:t>
      </w:r>
      <w:r w:rsidR="00192C20">
        <w:rPr>
          <w:lang w:val="en-US"/>
        </w:rPr>
        <w:t xml:space="preserve"> courts should delegate the necessary verifications to </w:t>
      </w:r>
      <w:r w:rsidR="00192C20" w:rsidRPr="00F43066">
        <w:rPr>
          <w:lang w:val="en-US"/>
        </w:rPr>
        <w:t>the prosecution</w:t>
      </w:r>
      <w:r w:rsidR="00192C20">
        <w:rPr>
          <w:lang w:val="en-US"/>
        </w:rPr>
        <w:t xml:space="preserve"> and prescribe a particular deadline</w:t>
      </w:r>
      <w:r w:rsidR="0072144E">
        <w:rPr>
          <w:lang w:val="en-US"/>
        </w:rPr>
        <w:t xml:space="preserve"> for completion of the verification</w:t>
      </w:r>
      <w:r w:rsidR="00192C20">
        <w:rPr>
          <w:lang w:val="en-US"/>
        </w:rPr>
        <w:t>.</w:t>
      </w:r>
      <w:proofErr w:type="gramEnd"/>
    </w:p>
    <w:p w14:paraId="146387A3" w14:textId="21E96D66" w:rsidR="00192C20" w:rsidRDefault="00675A40" w:rsidP="003F0950">
      <w:pPr>
        <w:pStyle w:val="H23G"/>
        <w:rPr>
          <w:lang w:val="en-US"/>
        </w:rPr>
      </w:pPr>
      <w:r>
        <w:rPr>
          <w:lang w:val="en-US"/>
        </w:rPr>
        <w:tab/>
      </w:r>
      <w:r>
        <w:rPr>
          <w:lang w:val="en-US"/>
        </w:rPr>
        <w:tab/>
      </w:r>
      <w:r w:rsidR="003F0950">
        <w:rPr>
          <w:lang w:val="en-US"/>
        </w:rPr>
        <w:t>Additional</w:t>
      </w:r>
      <w:r w:rsidR="003F0950" w:rsidRPr="00192C20">
        <w:rPr>
          <w:lang w:val="en-US"/>
        </w:rPr>
        <w:t xml:space="preserve"> </w:t>
      </w:r>
      <w:r w:rsidR="00192C20" w:rsidRPr="00192C20">
        <w:rPr>
          <w:lang w:val="en-US"/>
        </w:rPr>
        <w:t>submissions by the author</w:t>
      </w:r>
    </w:p>
    <w:p w14:paraId="49572B64" w14:textId="7879D779" w:rsidR="00192C20" w:rsidRDefault="00192C20" w:rsidP="003F0950">
      <w:pPr>
        <w:pStyle w:val="SingleTxtG"/>
        <w:rPr>
          <w:lang w:val="en-US"/>
        </w:rPr>
      </w:pPr>
      <w:r>
        <w:rPr>
          <w:lang w:val="en-US"/>
        </w:rPr>
        <w:t>7.1</w:t>
      </w:r>
      <w:r>
        <w:rPr>
          <w:lang w:val="en-US"/>
        </w:rPr>
        <w:tab/>
      </w:r>
      <w:r w:rsidR="003F0950">
        <w:rPr>
          <w:lang w:val="en-US"/>
        </w:rPr>
        <w:t>In a communication dated</w:t>
      </w:r>
      <w:r w:rsidR="00906A26">
        <w:rPr>
          <w:lang w:val="en-US"/>
        </w:rPr>
        <w:t xml:space="preserve"> 2 September 2013, the author submits that </w:t>
      </w:r>
      <w:r w:rsidR="00CB0E2A">
        <w:rPr>
          <w:lang w:val="en-US"/>
        </w:rPr>
        <w:t xml:space="preserve">he </w:t>
      </w:r>
      <w:proofErr w:type="gramStart"/>
      <w:r w:rsidR="00CB0E2A">
        <w:rPr>
          <w:lang w:val="en-US"/>
        </w:rPr>
        <w:t xml:space="preserve">was </w:t>
      </w:r>
      <w:r w:rsidR="00906A26">
        <w:rPr>
          <w:lang w:val="en-US"/>
        </w:rPr>
        <w:t>released</w:t>
      </w:r>
      <w:proofErr w:type="gramEnd"/>
      <w:r w:rsidR="00906A26">
        <w:rPr>
          <w:lang w:val="en-US"/>
        </w:rPr>
        <w:t xml:space="preserve"> on 6 January 2012</w:t>
      </w:r>
      <w:r w:rsidR="003F0950">
        <w:rPr>
          <w:lang w:val="en-US"/>
        </w:rPr>
        <w:t xml:space="preserve">, </w:t>
      </w:r>
      <w:r w:rsidR="003F0950" w:rsidRPr="003F0950">
        <w:rPr>
          <w:lang w:val="en-US"/>
        </w:rPr>
        <w:t>after serving his sentence</w:t>
      </w:r>
      <w:r w:rsidR="00CD475D">
        <w:rPr>
          <w:lang w:val="en-US"/>
        </w:rPr>
        <w:t xml:space="preserve">. </w:t>
      </w:r>
      <w:r w:rsidR="003F0950">
        <w:rPr>
          <w:lang w:val="en-US"/>
        </w:rPr>
        <w:t>He</w:t>
      </w:r>
      <w:r w:rsidR="00CD475D">
        <w:rPr>
          <w:lang w:val="en-US"/>
        </w:rPr>
        <w:t xml:space="preserve"> </w:t>
      </w:r>
      <w:proofErr w:type="gramStart"/>
      <w:r w:rsidR="00CD475D">
        <w:rPr>
          <w:lang w:val="en-US"/>
        </w:rPr>
        <w:t xml:space="preserve">had been </w:t>
      </w:r>
      <w:r w:rsidR="00CB0E2A">
        <w:rPr>
          <w:lang w:val="en-US"/>
        </w:rPr>
        <w:t>arrested</w:t>
      </w:r>
      <w:proofErr w:type="gramEnd"/>
      <w:r w:rsidR="00CD475D">
        <w:rPr>
          <w:lang w:val="en-US"/>
        </w:rPr>
        <w:t xml:space="preserve"> on 6 January 2009</w:t>
      </w:r>
      <w:r w:rsidR="00B27534">
        <w:rPr>
          <w:lang w:val="en-US"/>
        </w:rPr>
        <w:t xml:space="preserve">. </w:t>
      </w:r>
      <w:proofErr w:type="gramStart"/>
      <w:r w:rsidR="003F0950">
        <w:rPr>
          <w:lang w:val="en-US"/>
        </w:rPr>
        <w:t>On the b</w:t>
      </w:r>
      <w:r w:rsidR="00CD475D">
        <w:rPr>
          <w:lang w:val="en-US"/>
        </w:rPr>
        <w:t>as</w:t>
      </w:r>
      <w:r w:rsidR="00063B51">
        <w:rPr>
          <w:lang w:val="en-US"/>
        </w:rPr>
        <w:t>is</w:t>
      </w:r>
      <w:r w:rsidR="00CD475D">
        <w:rPr>
          <w:lang w:val="en-US"/>
        </w:rPr>
        <w:t xml:space="preserve"> o</w:t>
      </w:r>
      <w:r w:rsidR="003F0950">
        <w:rPr>
          <w:lang w:val="en-US"/>
        </w:rPr>
        <w:t>f</w:t>
      </w:r>
      <w:r w:rsidR="00CD475D">
        <w:rPr>
          <w:lang w:val="en-US"/>
        </w:rPr>
        <w:t xml:space="preserve"> </w:t>
      </w:r>
      <w:r w:rsidR="00B27534">
        <w:rPr>
          <w:lang w:val="en-US"/>
        </w:rPr>
        <w:t>article 62</w:t>
      </w:r>
      <w:r w:rsidR="00472F6D">
        <w:rPr>
          <w:lang w:val="en-US"/>
        </w:rPr>
        <w:t xml:space="preserve"> (</w:t>
      </w:r>
      <w:r w:rsidR="00B27534">
        <w:rPr>
          <w:lang w:val="en-US"/>
        </w:rPr>
        <w:t>1</w:t>
      </w:r>
      <w:r w:rsidR="00472F6D">
        <w:rPr>
          <w:lang w:val="en-US"/>
        </w:rPr>
        <w:t>)</w:t>
      </w:r>
      <w:r w:rsidR="00B27534">
        <w:rPr>
          <w:lang w:val="en-US"/>
        </w:rPr>
        <w:t xml:space="preserve"> of the Law </w:t>
      </w:r>
      <w:r w:rsidR="003F0950">
        <w:rPr>
          <w:lang w:val="en-US"/>
        </w:rPr>
        <w:t>o</w:t>
      </w:r>
      <w:r w:rsidR="00442317">
        <w:rPr>
          <w:lang w:val="en-US"/>
        </w:rPr>
        <w:t xml:space="preserve">n </w:t>
      </w:r>
      <w:r w:rsidR="00063B51">
        <w:rPr>
          <w:lang w:val="en-US"/>
        </w:rPr>
        <w:t xml:space="preserve">the </w:t>
      </w:r>
      <w:r w:rsidR="003F0950">
        <w:rPr>
          <w:lang w:val="en-US"/>
        </w:rPr>
        <w:t>c</w:t>
      </w:r>
      <w:r w:rsidR="00442317">
        <w:rPr>
          <w:lang w:val="en-US"/>
        </w:rPr>
        <w:t xml:space="preserve">alculation </w:t>
      </w:r>
      <w:r w:rsidR="003F0950">
        <w:rPr>
          <w:lang w:val="en-US"/>
        </w:rPr>
        <w:t xml:space="preserve">and commencement </w:t>
      </w:r>
      <w:r w:rsidR="00442317">
        <w:rPr>
          <w:lang w:val="en-US"/>
        </w:rPr>
        <w:t xml:space="preserve">of </w:t>
      </w:r>
      <w:r w:rsidR="003F0950">
        <w:rPr>
          <w:lang w:val="en-US"/>
        </w:rPr>
        <w:t>p</w:t>
      </w:r>
      <w:r w:rsidR="00442317">
        <w:rPr>
          <w:lang w:val="en-US"/>
        </w:rPr>
        <w:t>unishment</w:t>
      </w:r>
      <w:r w:rsidR="00B27534">
        <w:rPr>
          <w:lang w:val="en-US"/>
        </w:rPr>
        <w:t>, stating that the period of punishment is calculated in months and year</w:t>
      </w:r>
      <w:r w:rsidR="00063B51">
        <w:rPr>
          <w:lang w:val="en-US"/>
        </w:rPr>
        <w:t>s</w:t>
      </w:r>
      <w:r w:rsidR="00B27534">
        <w:rPr>
          <w:lang w:val="en-US"/>
        </w:rPr>
        <w:t xml:space="preserve">, and article 173 of the Criminal Executive Code, stating that when calculating a term in months, the term expires on the </w:t>
      </w:r>
      <w:r w:rsidR="00B27534" w:rsidRPr="00675A40">
        <w:t>corresponding</w:t>
      </w:r>
      <w:r w:rsidR="00B27534">
        <w:rPr>
          <w:lang w:val="en-US"/>
        </w:rPr>
        <w:t xml:space="preserve"> date of the last month,</w:t>
      </w:r>
      <w:r w:rsidR="00CD475D">
        <w:rPr>
          <w:lang w:val="en-US"/>
        </w:rPr>
        <w:t xml:space="preserve"> </w:t>
      </w:r>
      <w:r w:rsidR="00B27534">
        <w:rPr>
          <w:lang w:val="en-US"/>
        </w:rPr>
        <w:t>t</w:t>
      </w:r>
      <w:r w:rsidR="00CD475D">
        <w:rPr>
          <w:lang w:val="en-US"/>
        </w:rPr>
        <w:t xml:space="preserve">he </w:t>
      </w:r>
      <w:r w:rsidR="00B27534">
        <w:rPr>
          <w:lang w:val="en-US"/>
        </w:rPr>
        <w:t xml:space="preserve">author </w:t>
      </w:r>
      <w:r w:rsidR="00E535BE">
        <w:rPr>
          <w:lang w:val="en-US"/>
        </w:rPr>
        <w:t>expected</w:t>
      </w:r>
      <w:r w:rsidR="00B27534">
        <w:rPr>
          <w:lang w:val="en-US"/>
        </w:rPr>
        <w:t xml:space="preserve"> </w:t>
      </w:r>
      <w:r w:rsidR="00CD475D">
        <w:rPr>
          <w:lang w:val="en-US"/>
        </w:rPr>
        <w:t>t</w:t>
      </w:r>
      <w:r w:rsidR="00E535BE">
        <w:rPr>
          <w:lang w:val="en-US"/>
        </w:rPr>
        <w:t>o</w:t>
      </w:r>
      <w:r w:rsidR="00CD475D">
        <w:rPr>
          <w:lang w:val="en-US"/>
        </w:rPr>
        <w:t xml:space="preserve"> be released before noon on 5 </w:t>
      </w:r>
      <w:r w:rsidR="00B27534">
        <w:rPr>
          <w:lang w:val="en-US"/>
        </w:rPr>
        <w:t>January</w:t>
      </w:r>
      <w:r w:rsidR="00CD475D">
        <w:rPr>
          <w:lang w:val="en-US"/>
        </w:rPr>
        <w:t xml:space="preserve"> 2012</w:t>
      </w:r>
      <w:r w:rsidR="00B27534">
        <w:rPr>
          <w:lang w:val="en-US"/>
        </w:rPr>
        <w:t>.</w:t>
      </w:r>
      <w:proofErr w:type="gramEnd"/>
      <w:r w:rsidR="00B27534">
        <w:rPr>
          <w:lang w:val="en-US"/>
        </w:rPr>
        <w:t xml:space="preserve"> However, the prison administration and the </w:t>
      </w:r>
      <w:r w:rsidR="00B27534" w:rsidRPr="00AE768A">
        <w:rPr>
          <w:lang w:val="en-US"/>
        </w:rPr>
        <w:t>Prosecutor’s Office</w:t>
      </w:r>
      <w:r w:rsidR="00B27534">
        <w:rPr>
          <w:lang w:val="en-US"/>
        </w:rPr>
        <w:t xml:space="preserve"> informed him that he </w:t>
      </w:r>
      <w:proofErr w:type="gramStart"/>
      <w:r w:rsidR="00B27534">
        <w:rPr>
          <w:lang w:val="en-US"/>
        </w:rPr>
        <w:t>would be released</w:t>
      </w:r>
      <w:proofErr w:type="gramEnd"/>
      <w:r w:rsidR="00B27534">
        <w:rPr>
          <w:lang w:val="en-US"/>
        </w:rPr>
        <w:t xml:space="preserve"> on 6 January 2012 and that the usual practice was to release prisoners who had served their sentence on the date </w:t>
      </w:r>
      <w:r w:rsidR="00D2616F">
        <w:rPr>
          <w:lang w:val="en-US"/>
        </w:rPr>
        <w:t>corresponding to the date of their arrest.</w:t>
      </w:r>
      <w:r w:rsidR="00B27534">
        <w:rPr>
          <w:lang w:val="en-US"/>
        </w:rPr>
        <w:t xml:space="preserve"> On 15 March 2012, the author filed a claim with the </w:t>
      </w:r>
      <w:proofErr w:type="spellStart"/>
      <w:r w:rsidR="00B27534">
        <w:rPr>
          <w:lang w:val="en-US"/>
        </w:rPr>
        <w:t>Medeu</w:t>
      </w:r>
      <w:proofErr w:type="spellEnd"/>
      <w:r w:rsidR="00B27534">
        <w:rPr>
          <w:lang w:val="en-US"/>
        </w:rPr>
        <w:t xml:space="preserve"> District Court in Almaty, challenging the unlawful actions of the </w:t>
      </w:r>
      <w:r w:rsidR="00063B51">
        <w:rPr>
          <w:lang w:val="en-US"/>
        </w:rPr>
        <w:t>S</w:t>
      </w:r>
      <w:r w:rsidR="00B27534">
        <w:rPr>
          <w:lang w:val="en-US"/>
        </w:rPr>
        <w:t>tate officials in accordance with article 278</w:t>
      </w:r>
      <w:r w:rsidR="00063B51">
        <w:rPr>
          <w:lang w:val="en-US"/>
        </w:rPr>
        <w:t xml:space="preserve"> </w:t>
      </w:r>
      <w:r w:rsidR="00B27534">
        <w:rPr>
          <w:lang w:val="en-US"/>
        </w:rPr>
        <w:t>(1) and (2) of the Civil Procedure Code. On 24 April 2012</w:t>
      </w:r>
      <w:r w:rsidR="00E535BE">
        <w:rPr>
          <w:lang w:val="en-US"/>
        </w:rPr>
        <w:t>,</w:t>
      </w:r>
      <w:r w:rsidR="00B27534">
        <w:rPr>
          <w:lang w:val="en-US"/>
        </w:rPr>
        <w:t xml:space="preserve"> the </w:t>
      </w:r>
      <w:r w:rsidR="00CB0E2A">
        <w:rPr>
          <w:lang w:val="en-US"/>
        </w:rPr>
        <w:t>C</w:t>
      </w:r>
      <w:r w:rsidR="00B27534">
        <w:rPr>
          <w:lang w:val="en-US"/>
        </w:rPr>
        <w:t>ourt rejected his appeal. On 1 June 2012</w:t>
      </w:r>
      <w:r w:rsidR="00D2616F">
        <w:rPr>
          <w:lang w:val="en-US"/>
        </w:rPr>
        <w:t>,</w:t>
      </w:r>
      <w:r w:rsidR="00B27534">
        <w:rPr>
          <w:lang w:val="en-US"/>
        </w:rPr>
        <w:t xml:space="preserve"> the Appellate Panel of Judges of the Almaty City Court upheld the ruling of the </w:t>
      </w:r>
      <w:proofErr w:type="spellStart"/>
      <w:r w:rsidR="00B27534">
        <w:rPr>
          <w:lang w:val="en-US"/>
        </w:rPr>
        <w:t>Medeu</w:t>
      </w:r>
      <w:proofErr w:type="spellEnd"/>
      <w:r w:rsidR="00B27534">
        <w:rPr>
          <w:lang w:val="en-US"/>
        </w:rPr>
        <w:t xml:space="preserve"> District Court</w:t>
      </w:r>
      <w:r w:rsidR="00DD0B8A">
        <w:rPr>
          <w:lang w:val="en-US"/>
        </w:rPr>
        <w:t xml:space="preserve">. On 16 August 2012, the Court of Cassation in Almaty upheld the decisions of the lower courts upon cassation appeal. On 29 November 2012, the Supervisory Panel of Judges for Civil and Administrative Cases of the Supreme Court issued a decree granting a supervisory review; on 11 January 2013 the same </w:t>
      </w:r>
      <w:r w:rsidR="00580FA0">
        <w:rPr>
          <w:lang w:val="en-US"/>
        </w:rPr>
        <w:t>p</w:t>
      </w:r>
      <w:r w:rsidR="00DD0B8A">
        <w:rPr>
          <w:lang w:val="en-US"/>
        </w:rPr>
        <w:t>anel issued a ruling partially satisfying the author’s motion for supervision</w:t>
      </w:r>
      <w:r w:rsidR="00D2616F">
        <w:rPr>
          <w:lang w:val="en-US"/>
        </w:rPr>
        <w:t xml:space="preserve">, but </w:t>
      </w:r>
      <w:r w:rsidR="00A30E5E">
        <w:rPr>
          <w:lang w:val="en-US"/>
        </w:rPr>
        <w:t>not</w:t>
      </w:r>
      <w:r w:rsidR="00D2616F">
        <w:rPr>
          <w:lang w:val="en-US"/>
        </w:rPr>
        <w:t xml:space="preserve"> award</w:t>
      </w:r>
      <w:r w:rsidR="00A30E5E">
        <w:rPr>
          <w:lang w:val="en-US"/>
        </w:rPr>
        <w:t>ing</w:t>
      </w:r>
      <w:r w:rsidR="00D2616F">
        <w:rPr>
          <w:lang w:val="en-US"/>
        </w:rPr>
        <w:t xml:space="preserve"> compensation to the author</w:t>
      </w:r>
      <w:r w:rsidR="00675A40">
        <w:rPr>
          <w:lang w:val="en-US"/>
        </w:rPr>
        <w:t>.</w:t>
      </w:r>
    </w:p>
    <w:p w14:paraId="3028777E" w14:textId="33BBF172" w:rsidR="00DD0B8A" w:rsidRDefault="00DD0B8A" w:rsidP="00675A40">
      <w:pPr>
        <w:pStyle w:val="SingleTxtG"/>
        <w:rPr>
          <w:lang w:val="en-US"/>
        </w:rPr>
      </w:pPr>
      <w:r>
        <w:rPr>
          <w:lang w:val="en-US"/>
        </w:rPr>
        <w:t>7.2</w:t>
      </w:r>
      <w:r>
        <w:rPr>
          <w:lang w:val="en-US"/>
        </w:rPr>
        <w:tab/>
        <w:t xml:space="preserve">The author maintains that he </w:t>
      </w:r>
      <w:r w:rsidR="00AB2DEE">
        <w:rPr>
          <w:lang w:val="en-US"/>
        </w:rPr>
        <w:t>was</w:t>
      </w:r>
      <w:r>
        <w:rPr>
          <w:lang w:val="en-US"/>
        </w:rPr>
        <w:t xml:space="preserve"> illegally deprived of his liberty from </w:t>
      </w:r>
      <w:proofErr w:type="gramStart"/>
      <w:r>
        <w:rPr>
          <w:lang w:val="en-US"/>
        </w:rPr>
        <w:t>5</w:t>
      </w:r>
      <w:proofErr w:type="gramEnd"/>
      <w:r>
        <w:rPr>
          <w:lang w:val="en-US"/>
        </w:rPr>
        <w:t xml:space="preserve"> to 6 January 2012, for one day after the </w:t>
      </w:r>
      <w:r w:rsidRPr="00675A40">
        <w:t>expiry</w:t>
      </w:r>
      <w:r>
        <w:rPr>
          <w:lang w:val="en-US"/>
        </w:rPr>
        <w:t xml:space="preserve"> of his prison term.</w:t>
      </w:r>
      <w:r w:rsidR="00D2616F">
        <w:rPr>
          <w:lang w:val="en-US"/>
        </w:rPr>
        <w:t xml:space="preserve"> He maintains that th</w:t>
      </w:r>
      <w:r w:rsidR="00A30E5E">
        <w:rPr>
          <w:lang w:val="en-US"/>
        </w:rPr>
        <w:t>is</w:t>
      </w:r>
      <w:r w:rsidR="00D2616F">
        <w:rPr>
          <w:lang w:val="en-US"/>
        </w:rPr>
        <w:t xml:space="preserve"> violated his rights under article 9</w:t>
      </w:r>
      <w:r w:rsidR="00580FA0">
        <w:rPr>
          <w:lang w:val="en-US"/>
        </w:rPr>
        <w:t> </w:t>
      </w:r>
      <w:r w:rsidR="00D2616F">
        <w:rPr>
          <w:lang w:val="en-US"/>
        </w:rPr>
        <w:t xml:space="preserve">(1) of the Covenant and refers to the </w:t>
      </w:r>
      <w:r w:rsidR="007D4357">
        <w:rPr>
          <w:lang w:val="en-US"/>
        </w:rPr>
        <w:t xml:space="preserve">Human Rights </w:t>
      </w:r>
      <w:r w:rsidR="00D2616F">
        <w:rPr>
          <w:lang w:val="en-US"/>
        </w:rPr>
        <w:t>Committee’s jurisprudence.</w:t>
      </w:r>
      <w:r w:rsidR="00D2616F">
        <w:rPr>
          <w:rStyle w:val="FootnoteReference"/>
          <w:lang w:val="en-US"/>
        </w:rPr>
        <w:footnoteReference w:id="11"/>
      </w:r>
      <w:r w:rsidR="00D2616F">
        <w:rPr>
          <w:lang w:val="en-US"/>
        </w:rPr>
        <w:t xml:space="preserve"> He also maintains that the fact that he was not awarded compensation for the late release from prison violates his rights under article 9</w:t>
      </w:r>
      <w:r w:rsidR="00BB7CCB">
        <w:rPr>
          <w:lang w:val="en-US"/>
        </w:rPr>
        <w:t> </w:t>
      </w:r>
      <w:r w:rsidR="00D2616F">
        <w:rPr>
          <w:lang w:val="en-US"/>
        </w:rPr>
        <w:t>(5) of the Covenant</w:t>
      </w:r>
      <w:r w:rsidR="00926998">
        <w:rPr>
          <w:lang w:val="en-US"/>
        </w:rPr>
        <w:t xml:space="preserve"> and that he was not granted an effective remedy for the above violations by the State party</w:t>
      </w:r>
      <w:r w:rsidR="00BB7CCB">
        <w:rPr>
          <w:lang w:val="en-US"/>
        </w:rPr>
        <w:t>,</w:t>
      </w:r>
      <w:r w:rsidR="00926998">
        <w:rPr>
          <w:lang w:val="en-US"/>
        </w:rPr>
        <w:t xml:space="preserve"> in violation of article 2</w:t>
      </w:r>
      <w:r w:rsidR="00BB7CCB">
        <w:rPr>
          <w:lang w:val="en-US"/>
        </w:rPr>
        <w:t> </w:t>
      </w:r>
      <w:r w:rsidR="00926998">
        <w:rPr>
          <w:lang w:val="en-US"/>
        </w:rPr>
        <w:t>(3) of the Covenant.</w:t>
      </w:r>
    </w:p>
    <w:p w14:paraId="1B7CE049" w14:textId="77777777" w:rsidR="00CD475D" w:rsidRDefault="00675A40" w:rsidP="00675A40">
      <w:pPr>
        <w:pStyle w:val="H23G"/>
        <w:rPr>
          <w:lang w:val="en-US"/>
        </w:rPr>
      </w:pPr>
      <w:r>
        <w:rPr>
          <w:lang w:val="en-US"/>
        </w:rPr>
        <w:tab/>
      </w:r>
      <w:r>
        <w:rPr>
          <w:lang w:val="en-US"/>
        </w:rPr>
        <w:tab/>
      </w:r>
      <w:r w:rsidR="00D2616F">
        <w:rPr>
          <w:lang w:val="en-US"/>
        </w:rPr>
        <w:t>State party’s further observations</w:t>
      </w:r>
    </w:p>
    <w:p w14:paraId="20B51D40" w14:textId="65400AC3" w:rsidR="00D2616F" w:rsidRDefault="00D2616F" w:rsidP="005D40BA">
      <w:pPr>
        <w:pStyle w:val="SingleTxtG"/>
        <w:rPr>
          <w:lang w:val="en-US"/>
        </w:rPr>
      </w:pPr>
      <w:r>
        <w:rPr>
          <w:lang w:val="en-US"/>
        </w:rPr>
        <w:t>8.</w:t>
      </w:r>
      <w:r w:rsidR="00095F8E">
        <w:rPr>
          <w:lang w:val="en-US"/>
        </w:rPr>
        <w:t>1</w:t>
      </w:r>
      <w:r>
        <w:rPr>
          <w:lang w:val="en-US"/>
        </w:rPr>
        <w:tab/>
      </w:r>
      <w:r w:rsidR="00BB7CCB">
        <w:rPr>
          <w:lang w:val="en-US"/>
        </w:rPr>
        <w:t>In its observations dated</w:t>
      </w:r>
      <w:r>
        <w:rPr>
          <w:lang w:val="en-US"/>
        </w:rPr>
        <w:t xml:space="preserve"> 27 November 2013, the State party submits that, on 11 January </w:t>
      </w:r>
      <w:r w:rsidRPr="00442317">
        <w:rPr>
          <w:lang w:val="en-US"/>
        </w:rPr>
        <w:t>2012,</w:t>
      </w:r>
      <w:r>
        <w:rPr>
          <w:lang w:val="en-US"/>
        </w:rPr>
        <w:t xml:space="preserve"> the Supreme Court issued a ruling declaring unlawful the actions of the Director of Prison 158/2, namely the </w:t>
      </w:r>
      <w:r w:rsidR="008225B5">
        <w:rPr>
          <w:lang w:val="en-US"/>
        </w:rPr>
        <w:t xml:space="preserve">belated </w:t>
      </w:r>
      <w:r>
        <w:rPr>
          <w:lang w:val="en-US"/>
        </w:rPr>
        <w:t xml:space="preserve">release of the author. The Court also ruled that, since the release of prisoners who have served their sentences </w:t>
      </w:r>
      <w:r w:rsidR="008225B5">
        <w:rPr>
          <w:lang w:val="en-US"/>
        </w:rPr>
        <w:t>is</w:t>
      </w:r>
      <w:r>
        <w:rPr>
          <w:lang w:val="en-US"/>
        </w:rPr>
        <w:t xml:space="preserve"> not within the competence of the General Prosecutor’s Office, the </w:t>
      </w:r>
      <w:proofErr w:type="spellStart"/>
      <w:r>
        <w:rPr>
          <w:lang w:val="en-US"/>
        </w:rPr>
        <w:t>Z</w:t>
      </w:r>
      <w:r w:rsidR="00AC62EF">
        <w:rPr>
          <w:lang w:val="en-US"/>
        </w:rPr>
        <w:t>h</w:t>
      </w:r>
      <w:r>
        <w:rPr>
          <w:lang w:val="en-US"/>
        </w:rPr>
        <w:t>ambyl</w:t>
      </w:r>
      <w:proofErr w:type="spellEnd"/>
      <w:r>
        <w:rPr>
          <w:lang w:val="en-US"/>
        </w:rPr>
        <w:t xml:space="preserve"> </w:t>
      </w:r>
      <w:proofErr w:type="gramStart"/>
      <w:r>
        <w:rPr>
          <w:lang w:val="en-US"/>
        </w:rPr>
        <w:t>Prosecutor’s</w:t>
      </w:r>
      <w:proofErr w:type="gramEnd"/>
      <w:r>
        <w:rPr>
          <w:lang w:val="en-US"/>
        </w:rPr>
        <w:t xml:space="preserve"> Office or the Ministry of Internal Affairs, officers of </w:t>
      </w:r>
      <w:r w:rsidR="008225B5">
        <w:rPr>
          <w:lang w:val="en-US"/>
        </w:rPr>
        <w:t>th</w:t>
      </w:r>
      <w:r w:rsidR="00BB7CCB">
        <w:rPr>
          <w:lang w:val="en-US"/>
        </w:rPr>
        <w:t>o</w:t>
      </w:r>
      <w:r w:rsidR="008225B5">
        <w:rPr>
          <w:lang w:val="en-US"/>
        </w:rPr>
        <w:t xml:space="preserve">se </w:t>
      </w:r>
      <w:r>
        <w:rPr>
          <w:lang w:val="en-US"/>
        </w:rPr>
        <w:t xml:space="preserve">institutions did not violate the law. The Court did not award compensation for the belated release of the author. </w:t>
      </w:r>
    </w:p>
    <w:p w14:paraId="5F2FD3B9" w14:textId="20B7DE5F" w:rsidR="007D3F7D" w:rsidRPr="00694F24" w:rsidRDefault="007D3F7D" w:rsidP="00546115">
      <w:pPr>
        <w:pStyle w:val="SingleTxtG"/>
        <w:rPr>
          <w:lang w:val="en-US"/>
        </w:rPr>
      </w:pPr>
      <w:r w:rsidRPr="007D3F7D">
        <w:rPr>
          <w:lang w:val="en-US"/>
        </w:rPr>
        <w:t>8.2</w:t>
      </w:r>
      <w:r w:rsidRPr="007D3F7D">
        <w:rPr>
          <w:lang w:val="en-US"/>
        </w:rPr>
        <w:tab/>
      </w:r>
      <w:r w:rsidR="00BB7CCB">
        <w:rPr>
          <w:lang w:val="en-US"/>
        </w:rPr>
        <w:t>In a communication dated</w:t>
      </w:r>
      <w:r w:rsidRPr="007D3F7D">
        <w:rPr>
          <w:lang w:val="en-US"/>
        </w:rPr>
        <w:t xml:space="preserve"> 18 </w:t>
      </w:r>
      <w:r>
        <w:rPr>
          <w:lang w:val="en-US"/>
        </w:rPr>
        <w:t>February</w:t>
      </w:r>
      <w:r w:rsidRPr="007D3F7D">
        <w:rPr>
          <w:lang w:val="en-US"/>
        </w:rPr>
        <w:t xml:space="preserve"> 2016, </w:t>
      </w:r>
      <w:r>
        <w:rPr>
          <w:lang w:val="en-US"/>
        </w:rPr>
        <w:t>the</w:t>
      </w:r>
      <w:r w:rsidRPr="007D3F7D">
        <w:rPr>
          <w:lang w:val="en-US"/>
        </w:rPr>
        <w:t xml:space="preserve"> </w:t>
      </w:r>
      <w:r>
        <w:rPr>
          <w:lang w:val="en-US"/>
        </w:rPr>
        <w:t>State</w:t>
      </w:r>
      <w:r w:rsidRPr="007D3F7D">
        <w:rPr>
          <w:lang w:val="en-US"/>
        </w:rPr>
        <w:t xml:space="preserve"> </w:t>
      </w:r>
      <w:r>
        <w:rPr>
          <w:lang w:val="en-US"/>
        </w:rPr>
        <w:t>party</w:t>
      </w:r>
      <w:r w:rsidRPr="007D3F7D">
        <w:rPr>
          <w:lang w:val="en-US"/>
        </w:rPr>
        <w:t xml:space="preserve"> </w:t>
      </w:r>
      <w:r w:rsidRPr="00694F24">
        <w:rPr>
          <w:lang w:val="en-US"/>
        </w:rPr>
        <w:t>submit</w:t>
      </w:r>
      <w:r w:rsidR="00446097">
        <w:rPr>
          <w:lang w:val="en-US"/>
        </w:rPr>
        <w:t>s</w:t>
      </w:r>
      <w:r w:rsidRPr="00694F24">
        <w:rPr>
          <w:lang w:val="en-US"/>
        </w:rPr>
        <w:t xml:space="preserve"> that the communication </w:t>
      </w:r>
      <w:r w:rsidR="00BB7CCB">
        <w:rPr>
          <w:lang w:val="en-US"/>
        </w:rPr>
        <w:t>is</w:t>
      </w:r>
      <w:r w:rsidRPr="00694F24">
        <w:rPr>
          <w:lang w:val="en-US"/>
        </w:rPr>
        <w:t xml:space="preserve"> inadmissible </w:t>
      </w:r>
      <w:proofErr w:type="spellStart"/>
      <w:r w:rsidR="003E0175" w:rsidRPr="00694F24">
        <w:rPr>
          <w:i/>
          <w:lang w:val="en-US"/>
        </w:rPr>
        <w:t>ratione</w:t>
      </w:r>
      <w:proofErr w:type="spellEnd"/>
      <w:r w:rsidR="003E0175" w:rsidRPr="00694F24">
        <w:rPr>
          <w:i/>
          <w:lang w:val="en-US"/>
        </w:rPr>
        <w:t xml:space="preserve"> </w:t>
      </w:r>
      <w:proofErr w:type="spellStart"/>
      <w:r w:rsidR="003E0175" w:rsidRPr="00694F24">
        <w:rPr>
          <w:i/>
          <w:lang w:val="en-US"/>
        </w:rPr>
        <w:t>temporis</w:t>
      </w:r>
      <w:proofErr w:type="spellEnd"/>
      <w:r w:rsidR="003E0175">
        <w:rPr>
          <w:lang w:val="en-US"/>
        </w:rPr>
        <w:t xml:space="preserve"> under article 1 of the Optional Protocol </w:t>
      </w:r>
      <w:r w:rsidRPr="00694F24">
        <w:rPr>
          <w:lang w:val="en-US"/>
        </w:rPr>
        <w:t xml:space="preserve">because the actions and decisions of the </w:t>
      </w:r>
      <w:r>
        <w:rPr>
          <w:lang w:val="en-US"/>
        </w:rPr>
        <w:t>law enforcement and judicial authorities</w:t>
      </w:r>
      <w:r w:rsidRPr="00694F24">
        <w:rPr>
          <w:lang w:val="en-US"/>
        </w:rPr>
        <w:t xml:space="preserve"> </w:t>
      </w:r>
      <w:r w:rsidR="00BB7CCB">
        <w:rPr>
          <w:lang w:val="en-US"/>
        </w:rPr>
        <w:t>occurred</w:t>
      </w:r>
      <w:r>
        <w:rPr>
          <w:lang w:val="en-US"/>
        </w:rPr>
        <w:t xml:space="preserve"> before the e</w:t>
      </w:r>
      <w:r w:rsidRPr="00694F24">
        <w:rPr>
          <w:lang w:val="en-US"/>
        </w:rPr>
        <w:t xml:space="preserve">ntry </w:t>
      </w:r>
      <w:r w:rsidR="00255511">
        <w:rPr>
          <w:lang w:val="en-US"/>
        </w:rPr>
        <w:t>i</w:t>
      </w:r>
      <w:r w:rsidRPr="00694F24">
        <w:rPr>
          <w:lang w:val="en-US"/>
        </w:rPr>
        <w:t>nto force of the Optional Protocol</w:t>
      </w:r>
      <w:r>
        <w:rPr>
          <w:lang w:val="en-US"/>
        </w:rPr>
        <w:t xml:space="preserve"> for Kazakhstan and </w:t>
      </w:r>
      <w:proofErr w:type="gramStart"/>
      <w:r>
        <w:rPr>
          <w:lang w:val="en-US"/>
        </w:rPr>
        <w:t xml:space="preserve">could not be </w:t>
      </w:r>
      <w:r w:rsidR="00BB7CCB">
        <w:rPr>
          <w:lang w:val="en-US"/>
        </w:rPr>
        <w:t>considered</w:t>
      </w:r>
      <w:proofErr w:type="gramEnd"/>
      <w:r w:rsidR="00BB7CCB">
        <w:rPr>
          <w:lang w:val="en-US"/>
        </w:rPr>
        <w:t xml:space="preserve"> </w:t>
      </w:r>
      <w:r>
        <w:rPr>
          <w:lang w:val="en-US"/>
        </w:rPr>
        <w:t>as continuous.</w:t>
      </w:r>
      <w:r w:rsidR="005368E3">
        <w:rPr>
          <w:rStyle w:val="FootnoteReference"/>
          <w:lang w:val="en-US"/>
        </w:rPr>
        <w:footnoteReference w:id="12"/>
      </w:r>
      <w:r w:rsidR="005368E3">
        <w:rPr>
          <w:lang w:val="en-US"/>
        </w:rPr>
        <w:t xml:space="preserve"> The</w:t>
      </w:r>
      <w:r w:rsidR="005368E3" w:rsidRPr="00694F24">
        <w:rPr>
          <w:lang w:val="en-GB"/>
        </w:rPr>
        <w:t xml:space="preserve"> </w:t>
      </w:r>
      <w:r w:rsidR="005368E3">
        <w:rPr>
          <w:lang w:val="en-US"/>
        </w:rPr>
        <w:t>criminal</w:t>
      </w:r>
      <w:r w:rsidR="005368E3" w:rsidRPr="00694F24">
        <w:rPr>
          <w:lang w:val="en-GB"/>
        </w:rPr>
        <w:t xml:space="preserve"> </w:t>
      </w:r>
      <w:r w:rsidR="005368E3">
        <w:rPr>
          <w:lang w:val="en-US"/>
        </w:rPr>
        <w:t>case</w:t>
      </w:r>
      <w:r w:rsidR="005368E3" w:rsidRPr="00694F24">
        <w:rPr>
          <w:lang w:val="en-GB"/>
        </w:rPr>
        <w:t xml:space="preserve"> </w:t>
      </w:r>
      <w:r w:rsidR="005368E3">
        <w:rPr>
          <w:lang w:val="en-US"/>
        </w:rPr>
        <w:t>against</w:t>
      </w:r>
      <w:r w:rsidR="005368E3" w:rsidRPr="00694F24">
        <w:rPr>
          <w:lang w:val="en-GB"/>
        </w:rPr>
        <w:t xml:space="preserve"> </w:t>
      </w:r>
      <w:r w:rsidR="005368E3">
        <w:rPr>
          <w:lang w:val="en-US"/>
        </w:rPr>
        <w:t>the</w:t>
      </w:r>
      <w:r w:rsidR="005368E3" w:rsidRPr="00694F24">
        <w:rPr>
          <w:lang w:val="en-GB"/>
        </w:rPr>
        <w:t xml:space="preserve"> </w:t>
      </w:r>
      <w:r w:rsidR="005368E3">
        <w:rPr>
          <w:lang w:val="en-US"/>
        </w:rPr>
        <w:t>author</w:t>
      </w:r>
      <w:r w:rsidR="005368E3" w:rsidRPr="00694F24">
        <w:rPr>
          <w:lang w:val="en-GB"/>
        </w:rPr>
        <w:t xml:space="preserve"> </w:t>
      </w:r>
      <w:proofErr w:type="gramStart"/>
      <w:r w:rsidR="005368E3">
        <w:rPr>
          <w:lang w:val="en-US"/>
        </w:rPr>
        <w:t>was</w:t>
      </w:r>
      <w:r w:rsidR="003E0175">
        <w:rPr>
          <w:lang w:val="en-US"/>
        </w:rPr>
        <w:t xml:space="preserve"> initiated</w:t>
      </w:r>
      <w:proofErr w:type="gramEnd"/>
      <w:r w:rsidR="003E0175">
        <w:rPr>
          <w:lang w:val="en-US"/>
        </w:rPr>
        <w:t xml:space="preserve"> on 27 November 2008; the </w:t>
      </w:r>
      <w:proofErr w:type="spellStart"/>
      <w:r w:rsidR="003E0175" w:rsidRPr="00F43066">
        <w:rPr>
          <w:lang w:val="en-US"/>
        </w:rPr>
        <w:t>Taraz</w:t>
      </w:r>
      <w:proofErr w:type="spellEnd"/>
      <w:r w:rsidR="003E0175" w:rsidRPr="00F43066">
        <w:rPr>
          <w:lang w:val="en-US"/>
        </w:rPr>
        <w:t xml:space="preserve"> </w:t>
      </w:r>
      <w:r w:rsidR="00AE768A">
        <w:rPr>
          <w:lang w:val="en-US"/>
        </w:rPr>
        <w:t>c</w:t>
      </w:r>
      <w:r w:rsidR="003E0175" w:rsidRPr="00F43066">
        <w:rPr>
          <w:lang w:val="en-US"/>
        </w:rPr>
        <w:t>ourt</w:t>
      </w:r>
      <w:r w:rsidR="003E0175">
        <w:rPr>
          <w:lang w:val="en-US"/>
        </w:rPr>
        <w:t xml:space="preserve"> issued a verdict again</w:t>
      </w:r>
      <w:r w:rsidR="00446097">
        <w:rPr>
          <w:lang w:val="en-US"/>
        </w:rPr>
        <w:t>s</w:t>
      </w:r>
      <w:r w:rsidR="003E0175">
        <w:rPr>
          <w:lang w:val="en-US"/>
        </w:rPr>
        <w:t>t him on 8 August 2009 and the verdict w</w:t>
      </w:r>
      <w:r w:rsidR="00446097">
        <w:rPr>
          <w:lang w:val="en-US"/>
        </w:rPr>
        <w:t>a</w:t>
      </w:r>
      <w:r w:rsidR="003E0175">
        <w:rPr>
          <w:lang w:val="en-US"/>
        </w:rPr>
        <w:t>s confirmed by the second instance court on 22 October 2009.</w:t>
      </w:r>
      <w:r w:rsidR="001E0EB7">
        <w:rPr>
          <w:lang w:val="en-GB"/>
        </w:rPr>
        <w:t xml:space="preserve"> </w:t>
      </w:r>
    </w:p>
    <w:p w14:paraId="48DA583E" w14:textId="1B423DE9" w:rsidR="007D3F7D" w:rsidRPr="00694F24" w:rsidRDefault="003E0175" w:rsidP="00AD2DE6">
      <w:pPr>
        <w:pStyle w:val="SingleTxtG"/>
        <w:rPr>
          <w:lang w:val="en-GB"/>
        </w:rPr>
      </w:pPr>
      <w:r w:rsidRPr="00694F24">
        <w:rPr>
          <w:lang w:val="en-GB"/>
        </w:rPr>
        <w:t>8.3</w:t>
      </w:r>
      <w:r w:rsidRPr="00694F24">
        <w:rPr>
          <w:lang w:val="en-GB"/>
        </w:rPr>
        <w:tab/>
        <w:t>On the merits of the communication, the State party reiterat</w:t>
      </w:r>
      <w:r w:rsidR="00446097">
        <w:rPr>
          <w:lang w:val="en-GB"/>
        </w:rPr>
        <w:t>es</w:t>
      </w:r>
      <w:r w:rsidRPr="00694F24">
        <w:rPr>
          <w:lang w:val="en-GB"/>
        </w:rPr>
        <w:t xml:space="preserve"> that it </w:t>
      </w:r>
      <w:proofErr w:type="gramStart"/>
      <w:r w:rsidRPr="00694F24">
        <w:rPr>
          <w:lang w:val="en-GB"/>
        </w:rPr>
        <w:t>should be declared</w:t>
      </w:r>
      <w:proofErr w:type="gramEnd"/>
      <w:r w:rsidRPr="00694F24">
        <w:rPr>
          <w:lang w:val="en-GB"/>
        </w:rPr>
        <w:t xml:space="preserve"> unfounded</w:t>
      </w:r>
      <w:r>
        <w:rPr>
          <w:lang w:val="en-GB"/>
        </w:rPr>
        <w:t xml:space="preserve">, because the rights </w:t>
      </w:r>
      <w:r w:rsidR="005D40BA">
        <w:rPr>
          <w:lang w:val="en-GB"/>
        </w:rPr>
        <w:t>protected under</w:t>
      </w:r>
      <w:r>
        <w:rPr>
          <w:lang w:val="en-GB"/>
        </w:rPr>
        <w:t xml:space="preserve"> article 19</w:t>
      </w:r>
      <w:r w:rsidR="005D40BA">
        <w:rPr>
          <w:lang w:val="en-GB"/>
        </w:rPr>
        <w:t> </w:t>
      </w:r>
      <w:r w:rsidRPr="00694F24">
        <w:rPr>
          <w:lang w:val="en-GB"/>
        </w:rPr>
        <w:t xml:space="preserve">(2) </w:t>
      </w:r>
      <w:r>
        <w:rPr>
          <w:lang w:val="en-GB"/>
        </w:rPr>
        <w:t>of the Covenant can be subjected to limitations as per article 19</w:t>
      </w:r>
      <w:r w:rsidR="005D40BA">
        <w:rPr>
          <w:lang w:val="en-GB"/>
        </w:rPr>
        <w:t> </w:t>
      </w:r>
      <w:r>
        <w:rPr>
          <w:lang w:val="en-GB"/>
        </w:rPr>
        <w:t>(3)</w:t>
      </w:r>
      <w:r w:rsidR="005D40BA">
        <w:rPr>
          <w:lang w:val="en-GB"/>
        </w:rPr>
        <w:t>. Referring to article 20 of its Constitution,</w:t>
      </w:r>
      <w:r>
        <w:rPr>
          <w:lang w:val="en-GB"/>
        </w:rPr>
        <w:t xml:space="preserve"> the State party</w:t>
      </w:r>
      <w:r w:rsidR="005D40BA">
        <w:rPr>
          <w:lang w:val="en-GB"/>
        </w:rPr>
        <w:t xml:space="preserve"> states that its</w:t>
      </w:r>
      <w:r>
        <w:rPr>
          <w:lang w:val="en-GB"/>
        </w:rPr>
        <w:t xml:space="preserve"> national law is in full compliance with the above provisions. It submit</w:t>
      </w:r>
      <w:r w:rsidR="00255511">
        <w:rPr>
          <w:lang w:val="en-GB"/>
        </w:rPr>
        <w:t>s</w:t>
      </w:r>
      <w:r>
        <w:rPr>
          <w:lang w:val="en-GB"/>
        </w:rPr>
        <w:t xml:space="preserve"> that the publication of </w:t>
      </w:r>
      <w:r w:rsidR="005D40BA">
        <w:rPr>
          <w:lang w:val="en-GB"/>
        </w:rPr>
        <w:t>S</w:t>
      </w:r>
      <w:r>
        <w:rPr>
          <w:lang w:val="en-GB"/>
        </w:rPr>
        <w:t xml:space="preserve">tate secrets </w:t>
      </w:r>
      <w:proofErr w:type="gramStart"/>
      <w:r>
        <w:rPr>
          <w:lang w:val="en-GB"/>
        </w:rPr>
        <w:t>is considered</w:t>
      </w:r>
      <w:proofErr w:type="gramEnd"/>
      <w:r>
        <w:rPr>
          <w:lang w:val="en-GB"/>
        </w:rPr>
        <w:t xml:space="preserve"> as disclosure under article 1 of the Law </w:t>
      </w:r>
      <w:r w:rsidR="005D40BA">
        <w:rPr>
          <w:lang w:val="en-GB"/>
        </w:rPr>
        <w:t>o</w:t>
      </w:r>
      <w:r>
        <w:rPr>
          <w:lang w:val="en-GB"/>
        </w:rPr>
        <w:t xml:space="preserve">n </w:t>
      </w:r>
      <w:r w:rsidR="005D40BA">
        <w:rPr>
          <w:lang w:val="en-GB"/>
        </w:rPr>
        <w:t>S</w:t>
      </w:r>
      <w:r>
        <w:rPr>
          <w:lang w:val="en-GB"/>
        </w:rPr>
        <w:t>tate secrets and is punishable under article 172 of the Criminal Code. The State party reiterates its previous submission regarding the legality of the verdict and the sentence.</w:t>
      </w:r>
    </w:p>
    <w:p w14:paraId="7B781BE9" w14:textId="23D87AE6" w:rsidR="007D3F7D" w:rsidRPr="00694F24" w:rsidRDefault="003E0175">
      <w:pPr>
        <w:pStyle w:val="SingleTxtG"/>
        <w:rPr>
          <w:lang w:val="en-GB"/>
        </w:rPr>
      </w:pPr>
      <w:r w:rsidRPr="009C4234">
        <w:rPr>
          <w:lang w:val="en-GB"/>
        </w:rPr>
        <w:t>8.4</w:t>
      </w:r>
      <w:r w:rsidRPr="009C4234">
        <w:rPr>
          <w:lang w:val="en-GB"/>
        </w:rPr>
        <w:tab/>
        <w:t xml:space="preserve">The State party also </w:t>
      </w:r>
      <w:r w:rsidR="009C4234" w:rsidRPr="00694F24">
        <w:rPr>
          <w:lang w:val="en-GB"/>
        </w:rPr>
        <w:t>reiterat</w:t>
      </w:r>
      <w:r w:rsidR="00446097">
        <w:rPr>
          <w:lang w:val="en-GB"/>
        </w:rPr>
        <w:t>es</w:t>
      </w:r>
      <w:r w:rsidR="009C4234" w:rsidRPr="00694F24">
        <w:rPr>
          <w:lang w:val="en-GB"/>
        </w:rPr>
        <w:t xml:space="preserve"> that during the </w:t>
      </w:r>
      <w:proofErr w:type="spellStart"/>
      <w:r w:rsidR="009C4234" w:rsidRPr="00694F24">
        <w:rPr>
          <w:lang w:val="en-GB"/>
        </w:rPr>
        <w:t>pretrial</w:t>
      </w:r>
      <w:proofErr w:type="spellEnd"/>
      <w:r w:rsidR="009C4234" w:rsidRPr="00694F24">
        <w:rPr>
          <w:lang w:val="en-GB"/>
        </w:rPr>
        <w:t xml:space="preserve"> investigation and the trial the author selected four attorneys to represent him, </w:t>
      </w:r>
      <w:proofErr w:type="gramStart"/>
      <w:r w:rsidR="00CB171E" w:rsidRPr="009C4234">
        <w:rPr>
          <w:lang w:val="en-GB"/>
        </w:rPr>
        <w:t>th</w:t>
      </w:r>
      <w:r w:rsidR="00CB171E">
        <w:rPr>
          <w:lang w:val="en-GB"/>
        </w:rPr>
        <w:t>e</w:t>
      </w:r>
      <w:r w:rsidR="00CB171E" w:rsidRPr="009C4234">
        <w:rPr>
          <w:lang w:val="en-GB"/>
        </w:rPr>
        <w:t>n</w:t>
      </w:r>
      <w:proofErr w:type="gramEnd"/>
      <w:r w:rsidR="009C4234" w:rsidRPr="00694F24">
        <w:rPr>
          <w:lang w:val="en-GB"/>
        </w:rPr>
        <w:t xml:space="preserve"> refused their services. </w:t>
      </w:r>
      <w:r w:rsidR="009C4234">
        <w:rPr>
          <w:lang w:val="en-GB"/>
        </w:rPr>
        <w:t>On 13 April 2009, Court No</w:t>
      </w:r>
      <w:r w:rsidR="00255511">
        <w:rPr>
          <w:lang w:val="en-GB"/>
        </w:rPr>
        <w:t>.</w:t>
      </w:r>
      <w:r w:rsidR="005D40BA">
        <w:rPr>
          <w:lang w:val="en-GB"/>
        </w:rPr>
        <w:t xml:space="preserve"> </w:t>
      </w:r>
      <w:r w:rsidR="009C4234">
        <w:rPr>
          <w:lang w:val="en-GB"/>
        </w:rPr>
        <w:t xml:space="preserve">2 of </w:t>
      </w:r>
      <w:proofErr w:type="spellStart"/>
      <w:r w:rsidR="009C4234">
        <w:rPr>
          <w:lang w:val="en-GB"/>
        </w:rPr>
        <w:t>Taraz</w:t>
      </w:r>
      <w:proofErr w:type="spellEnd"/>
      <w:r w:rsidR="009C4234">
        <w:rPr>
          <w:lang w:val="en-GB"/>
        </w:rPr>
        <w:t xml:space="preserve"> issued a ruling </w:t>
      </w:r>
      <w:r w:rsidR="00255511">
        <w:rPr>
          <w:lang w:val="en-GB"/>
        </w:rPr>
        <w:t>allowing</w:t>
      </w:r>
      <w:r w:rsidR="009C4234">
        <w:rPr>
          <w:lang w:val="en-GB"/>
        </w:rPr>
        <w:t xml:space="preserve"> three attorneys and three public defenders to participate in </w:t>
      </w:r>
      <w:r w:rsidR="005D40BA">
        <w:rPr>
          <w:lang w:val="en-GB"/>
        </w:rPr>
        <w:t xml:space="preserve">the author’s </w:t>
      </w:r>
      <w:r w:rsidR="009C4234">
        <w:rPr>
          <w:lang w:val="en-GB"/>
        </w:rPr>
        <w:t>defence, provided they present</w:t>
      </w:r>
      <w:r w:rsidR="005D40BA">
        <w:rPr>
          <w:lang w:val="en-GB"/>
        </w:rPr>
        <w:t>ed</w:t>
      </w:r>
      <w:r w:rsidR="009C4234">
        <w:rPr>
          <w:lang w:val="en-GB"/>
        </w:rPr>
        <w:t xml:space="preserve"> </w:t>
      </w:r>
      <w:r w:rsidR="00255511">
        <w:rPr>
          <w:lang w:val="en-GB"/>
        </w:rPr>
        <w:t>proof of</w:t>
      </w:r>
      <w:r w:rsidR="009C4234">
        <w:rPr>
          <w:lang w:val="en-GB"/>
        </w:rPr>
        <w:t xml:space="preserve"> security clearance to access </w:t>
      </w:r>
      <w:r w:rsidR="005D40BA">
        <w:rPr>
          <w:lang w:val="en-GB"/>
        </w:rPr>
        <w:t>S</w:t>
      </w:r>
      <w:r w:rsidR="009C4234">
        <w:rPr>
          <w:lang w:val="en-GB"/>
        </w:rPr>
        <w:t xml:space="preserve">tate secrets. Following a request from the Court, the </w:t>
      </w:r>
      <w:r w:rsidR="005D40BA" w:rsidRPr="00F43066">
        <w:rPr>
          <w:lang w:val="en-US"/>
        </w:rPr>
        <w:t xml:space="preserve">National Security Committee </w:t>
      </w:r>
      <w:r w:rsidR="009C4234" w:rsidRPr="00F43066">
        <w:rPr>
          <w:lang w:val="en-US"/>
        </w:rPr>
        <w:t>Department</w:t>
      </w:r>
      <w:r w:rsidR="009C4234">
        <w:rPr>
          <w:lang w:val="en-US"/>
        </w:rPr>
        <w:t xml:space="preserve"> in </w:t>
      </w:r>
      <w:proofErr w:type="spellStart"/>
      <w:r w:rsidR="009C4234">
        <w:rPr>
          <w:lang w:val="en-US"/>
        </w:rPr>
        <w:t>Zhambyl</w:t>
      </w:r>
      <w:proofErr w:type="spellEnd"/>
      <w:r w:rsidR="009C4234">
        <w:rPr>
          <w:lang w:val="en-US"/>
        </w:rPr>
        <w:t xml:space="preserve"> informed the attorney</w:t>
      </w:r>
      <w:r w:rsidR="00F12CAA">
        <w:rPr>
          <w:lang w:val="en-US"/>
        </w:rPr>
        <w:t>s</w:t>
      </w:r>
      <w:r w:rsidR="009C4234">
        <w:rPr>
          <w:lang w:val="en-US"/>
        </w:rPr>
        <w:t xml:space="preserve"> </w:t>
      </w:r>
      <w:r w:rsidR="00255511">
        <w:rPr>
          <w:lang w:val="en-US"/>
        </w:rPr>
        <w:t>of the procedure</w:t>
      </w:r>
      <w:r w:rsidR="009C4234">
        <w:rPr>
          <w:lang w:val="en-US"/>
        </w:rPr>
        <w:t xml:space="preserve"> for security clearance, but they failed to follow the indicated procedure and to present security clearances to the </w:t>
      </w:r>
      <w:r w:rsidR="005D40BA">
        <w:rPr>
          <w:lang w:val="en-US"/>
        </w:rPr>
        <w:t>C</w:t>
      </w:r>
      <w:r w:rsidR="009C4234">
        <w:rPr>
          <w:lang w:val="en-US"/>
        </w:rPr>
        <w:t>ourt. Thereafter</w:t>
      </w:r>
      <w:r w:rsidR="005D40BA">
        <w:rPr>
          <w:lang w:val="en-US"/>
        </w:rPr>
        <w:t>,</w:t>
      </w:r>
      <w:r w:rsidR="009C4234">
        <w:rPr>
          <w:lang w:val="en-US"/>
        </w:rPr>
        <w:t xml:space="preserve"> the author appointed </w:t>
      </w:r>
      <w:r w:rsidR="005D40BA">
        <w:rPr>
          <w:lang w:val="en-US"/>
        </w:rPr>
        <w:t xml:space="preserve">another </w:t>
      </w:r>
      <w:r w:rsidR="009C4234">
        <w:rPr>
          <w:lang w:val="en-US"/>
        </w:rPr>
        <w:t>attorney</w:t>
      </w:r>
      <w:r w:rsidR="005D40BA">
        <w:rPr>
          <w:lang w:val="en-US"/>
        </w:rPr>
        <w:t>,</w:t>
      </w:r>
      <w:r w:rsidR="009C4234">
        <w:rPr>
          <w:lang w:val="en-US"/>
        </w:rPr>
        <w:t xml:space="preserve"> M.</w:t>
      </w:r>
      <w:r w:rsidR="005D40BA">
        <w:rPr>
          <w:lang w:val="en-US"/>
        </w:rPr>
        <w:t>,</w:t>
      </w:r>
      <w:r w:rsidR="009C4234">
        <w:rPr>
          <w:lang w:val="en-US"/>
        </w:rPr>
        <w:t xml:space="preserve"> to represent him and the latter </w:t>
      </w:r>
      <w:proofErr w:type="gramStart"/>
      <w:r w:rsidR="009C4234">
        <w:rPr>
          <w:lang w:val="en-US"/>
        </w:rPr>
        <w:t>was granted</w:t>
      </w:r>
      <w:proofErr w:type="gramEnd"/>
      <w:r w:rsidR="009C4234">
        <w:rPr>
          <w:lang w:val="en-US"/>
        </w:rPr>
        <w:t xml:space="preserve"> security clearance</w:t>
      </w:r>
      <w:r w:rsidR="005D40BA">
        <w:rPr>
          <w:lang w:val="en-US"/>
        </w:rPr>
        <w:t>.</w:t>
      </w:r>
      <w:r w:rsidR="009C4234">
        <w:rPr>
          <w:lang w:val="en-US"/>
        </w:rPr>
        <w:t xml:space="preserve"> </w:t>
      </w:r>
      <w:r w:rsidR="005D40BA">
        <w:rPr>
          <w:lang w:val="en-US"/>
        </w:rPr>
        <w:t>O</w:t>
      </w:r>
      <w:r w:rsidR="009C4234">
        <w:rPr>
          <w:lang w:val="en-US"/>
        </w:rPr>
        <w:t>n 5 June 2009</w:t>
      </w:r>
      <w:r w:rsidR="005D40BA">
        <w:rPr>
          <w:lang w:val="en-US"/>
        </w:rPr>
        <w:t>, however,</w:t>
      </w:r>
      <w:r w:rsidR="009C4234">
        <w:rPr>
          <w:lang w:val="en-US"/>
        </w:rPr>
        <w:t xml:space="preserve"> </w:t>
      </w:r>
      <w:r w:rsidR="00CB171E">
        <w:rPr>
          <w:lang w:val="en-US"/>
        </w:rPr>
        <w:t>t</w:t>
      </w:r>
      <w:r w:rsidR="009C4234">
        <w:rPr>
          <w:lang w:val="en-US"/>
        </w:rPr>
        <w:t>he</w:t>
      </w:r>
      <w:r w:rsidR="00CB171E">
        <w:rPr>
          <w:lang w:val="en-US"/>
        </w:rPr>
        <w:t xml:space="preserve"> attorney</w:t>
      </w:r>
      <w:r w:rsidR="009C4234">
        <w:rPr>
          <w:lang w:val="en-US"/>
        </w:rPr>
        <w:t xml:space="preserve"> informed the </w:t>
      </w:r>
      <w:r w:rsidR="005D40BA">
        <w:rPr>
          <w:lang w:val="en-US"/>
        </w:rPr>
        <w:t>C</w:t>
      </w:r>
      <w:r w:rsidR="009C4234">
        <w:rPr>
          <w:lang w:val="en-US"/>
        </w:rPr>
        <w:t>ourt that he no longer represent</w:t>
      </w:r>
      <w:r w:rsidR="00255511">
        <w:rPr>
          <w:lang w:val="en-US"/>
        </w:rPr>
        <w:t>ed</w:t>
      </w:r>
      <w:r w:rsidR="009C4234">
        <w:rPr>
          <w:lang w:val="en-US"/>
        </w:rPr>
        <w:t xml:space="preserve"> the author. The author submitted a declaration that he refuse</w:t>
      </w:r>
      <w:r w:rsidR="00255511">
        <w:rPr>
          <w:lang w:val="en-US"/>
        </w:rPr>
        <w:t>d</w:t>
      </w:r>
      <w:r w:rsidR="009C4234">
        <w:rPr>
          <w:lang w:val="en-US"/>
        </w:rPr>
        <w:t xml:space="preserve"> the services of M. or of any other attorney and </w:t>
      </w:r>
      <w:proofErr w:type="gramStart"/>
      <w:r w:rsidR="009C4234">
        <w:rPr>
          <w:lang w:val="en-US"/>
        </w:rPr>
        <w:t>that</w:t>
      </w:r>
      <w:proofErr w:type="gramEnd"/>
      <w:r w:rsidR="009C4234">
        <w:rPr>
          <w:lang w:val="en-US"/>
        </w:rPr>
        <w:t xml:space="preserve"> he would like to represent himself. The</w:t>
      </w:r>
      <w:r w:rsidR="009C4234" w:rsidRPr="0017533A">
        <w:rPr>
          <w:lang w:val="en-US"/>
        </w:rPr>
        <w:t xml:space="preserve"> </w:t>
      </w:r>
      <w:r w:rsidR="009C4234">
        <w:rPr>
          <w:lang w:val="en-US"/>
        </w:rPr>
        <w:t>Court</w:t>
      </w:r>
      <w:r w:rsidR="009C4234" w:rsidRPr="0017533A">
        <w:rPr>
          <w:lang w:val="en-US"/>
        </w:rPr>
        <w:t xml:space="preserve"> </w:t>
      </w:r>
      <w:r w:rsidR="009C4234">
        <w:rPr>
          <w:lang w:val="en-US"/>
        </w:rPr>
        <w:t>took</w:t>
      </w:r>
      <w:r w:rsidR="009C4234" w:rsidRPr="0017533A">
        <w:rPr>
          <w:lang w:val="en-US"/>
        </w:rPr>
        <w:t xml:space="preserve"> </w:t>
      </w:r>
      <w:r w:rsidR="009C4234">
        <w:rPr>
          <w:lang w:val="en-US"/>
        </w:rPr>
        <w:t>into</w:t>
      </w:r>
      <w:r w:rsidR="009C4234" w:rsidRPr="0017533A">
        <w:rPr>
          <w:lang w:val="en-US"/>
        </w:rPr>
        <w:t xml:space="preserve"> </w:t>
      </w:r>
      <w:r w:rsidR="009C4234">
        <w:rPr>
          <w:lang w:val="en-US"/>
        </w:rPr>
        <w:t>consideration</w:t>
      </w:r>
      <w:r w:rsidR="009C4234" w:rsidRPr="0017533A">
        <w:rPr>
          <w:lang w:val="en-US"/>
        </w:rPr>
        <w:t xml:space="preserve"> </w:t>
      </w:r>
      <w:r w:rsidR="009C4234">
        <w:rPr>
          <w:lang w:val="en-US"/>
        </w:rPr>
        <w:t>the</w:t>
      </w:r>
      <w:r w:rsidR="009C4234" w:rsidRPr="0017533A">
        <w:rPr>
          <w:lang w:val="en-US"/>
        </w:rPr>
        <w:t xml:space="preserve"> </w:t>
      </w:r>
      <w:r w:rsidR="009C4234">
        <w:rPr>
          <w:lang w:val="en-US"/>
        </w:rPr>
        <w:t>requirement</w:t>
      </w:r>
      <w:r w:rsidR="009C4234" w:rsidRPr="0017533A">
        <w:rPr>
          <w:lang w:val="en-US"/>
        </w:rPr>
        <w:t xml:space="preserve"> </w:t>
      </w:r>
      <w:r w:rsidR="009C4234">
        <w:rPr>
          <w:lang w:val="en-US"/>
        </w:rPr>
        <w:t>of</w:t>
      </w:r>
      <w:r w:rsidR="009C4234" w:rsidRPr="0017533A">
        <w:rPr>
          <w:lang w:val="en-US"/>
        </w:rPr>
        <w:t xml:space="preserve"> </w:t>
      </w:r>
      <w:r w:rsidR="009C4234">
        <w:rPr>
          <w:lang w:val="en-US"/>
        </w:rPr>
        <w:t>article</w:t>
      </w:r>
      <w:r w:rsidR="009C4234" w:rsidRPr="0017533A">
        <w:rPr>
          <w:lang w:val="en-US"/>
        </w:rPr>
        <w:t xml:space="preserve"> 71</w:t>
      </w:r>
      <w:r w:rsidR="005D40BA">
        <w:rPr>
          <w:lang w:val="en-US"/>
        </w:rPr>
        <w:t> </w:t>
      </w:r>
      <w:r w:rsidR="009C4234" w:rsidRPr="0017533A">
        <w:rPr>
          <w:lang w:val="en-US"/>
        </w:rPr>
        <w:t>(1)</w:t>
      </w:r>
      <w:r w:rsidR="005D40BA">
        <w:rPr>
          <w:lang w:val="en-US"/>
        </w:rPr>
        <w:t> </w:t>
      </w:r>
      <w:r w:rsidR="009C4234" w:rsidRPr="0017533A">
        <w:rPr>
          <w:lang w:val="en-US"/>
        </w:rPr>
        <w:t xml:space="preserve">(9) </w:t>
      </w:r>
      <w:r w:rsidR="009C4234">
        <w:rPr>
          <w:lang w:val="en-US"/>
        </w:rPr>
        <w:t>of</w:t>
      </w:r>
      <w:r w:rsidR="009C4234" w:rsidRPr="0017533A">
        <w:rPr>
          <w:lang w:val="en-US"/>
        </w:rPr>
        <w:t xml:space="preserve"> </w:t>
      </w:r>
      <w:r w:rsidR="009C4234">
        <w:rPr>
          <w:lang w:val="en-US"/>
        </w:rPr>
        <w:t>the</w:t>
      </w:r>
      <w:r w:rsidR="009C4234" w:rsidRPr="0017533A">
        <w:rPr>
          <w:lang w:val="en-US"/>
        </w:rPr>
        <w:t xml:space="preserve"> </w:t>
      </w:r>
      <w:r w:rsidR="009C4234">
        <w:rPr>
          <w:lang w:val="en-US"/>
        </w:rPr>
        <w:t>Criminal</w:t>
      </w:r>
      <w:r w:rsidR="009C4234" w:rsidRPr="0017533A">
        <w:rPr>
          <w:lang w:val="en-US"/>
        </w:rPr>
        <w:t xml:space="preserve"> </w:t>
      </w:r>
      <w:r w:rsidR="009C4234">
        <w:rPr>
          <w:lang w:val="en-US"/>
        </w:rPr>
        <w:t>Procedure</w:t>
      </w:r>
      <w:r w:rsidR="009C4234" w:rsidRPr="0017533A">
        <w:rPr>
          <w:lang w:val="en-US"/>
        </w:rPr>
        <w:t xml:space="preserve"> </w:t>
      </w:r>
      <w:r w:rsidR="009C4234">
        <w:rPr>
          <w:lang w:val="en-US"/>
        </w:rPr>
        <w:t>Code</w:t>
      </w:r>
      <w:r w:rsidR="009C4234" w:rsidRPr="0017533A">
        <w:rPr>
          <w:lang w:val="en-US"/>
        </w:rPr>
        <w:t xml:space="preserve"> </w:t>
      </w:r>
      <w:r w:rsidR="009C4234">
        <w:rPr>
          <w:lang w:val="en-US"/>
        </w:rPr>
        <w:t>in</w:t>
      </w:r>
      <w:r w:rsidR="009C4234" w:rsidRPr="0017533A">
        <w:rPr>
          <w:lang w:val="en-US"/>
        </w:rPr>
        <w:t xml:space="preserve"> </w:t>
      </w:r>
      <w:r w:rsidR="009C4234">
        <w:rPr>
          <w:lang w:val="en-US"/>
        </w:rPr>
        <w:t>force</w:t>
      </w:r>
      <w:r w:rsidR="009C4234" w:rsidRPr="0017533A">
        <w:rPr>
          <w:lang w:val="en-US"/>
        </w:rPr>
        <w:t xml:space="preserve"> at the time</w:t>
      </w:r>
      <w:r w:rsidR="0017533A" w:rsidRPr="00694F24">
        <w:rPr>
          <w:lang w:val="en-US"/>
        </w:rPr>
        <w:t xml:space="preserve">, according to which the </w:t>
      </w:r>
      <w:r w:rsidR="0017533A" w:rsidRPr="0017533A">
        <w:rPr>
          <w:lang w:val="en-US"/>
        </w:rPr>
        <w:t>participation</w:t>
      </w:r>
      <w:r w:rsidR="0017533A" w:rsidRPr="00694F24">
        <w:rPr>
          <w:lang w:val="en-US"/>
        </w:rPr>
        <w:t xml:space="preserve"> of a </w:t>
      </w:r>
      <w:proofErr w:type="spellStart"/>
      <w:r w:rsidR="0017533A" w:rsidRPr="0017533A">
        <w:rPr>
          <w:lang w:val="en-US"/>
        </w:rPr>
        <w:t>defen</w:t>
      </w:r>
      <w:r w:rsidR="008E43FD">
        <w:rPr>
          <w:lang w:val="en-US"/>
        </w:rPr>
        <w:t>c</w:t>
      </w:r>
      <w:r w:rsidR="0017533A" w:rsidRPr="0017533A">
        <w:rPr>
          <w:lang w:val="en-US"/>
        </w:rPr>
        <w:t>e</w:t>
      </w:r>
      <w:proofErr w:type="spellEnd"/>
      <w:r w:rsidR="0017533A" w:rsidRPr="00694F24">
        <w:rPr>
          <w:lang w:val="en-US"/>
        </w:rPr>
        <w:t xml:space="preserve"> attorney is mandatory if a prosecutor participates in the cr</w:t>
      </w:r>
      <w:r w:rsidR="0017533A">
        <w:rPr>
          <w:lang w:val="en-US"/>
        </w:rPr>
        <w:t>iminal trial</w:t>
      </w:r>
      <w:r w:rsidR="005D40BA">
        <w:rPr>
          <w:lang w:val="en-US"/>
        </w:rPr>
        <w:t>,</w:t>
      </w:r>
      <w:r w:rsidR="0017533A">
        <w:rPr>
          <w:lang w:val="en-US"/>
        </w:rPr>
        <w:t xml:space="preserve"> </w:t>
      </w:r>
      <w:r w:rsidR="009C4234" w:rsidRPr="00694F24">
        <w:rPr>
          <w:lang w:val="en-US"/>
        </w:rPr>
        <w:t xml:space="preserve">and </w:t>
      </w:r>
      <w:r w:rsidR="0017533A" w:rsidRPr="00694F24">
        <w:rPr>
          <w:lang w:val="en-GB"/>
        </w:rPr>
        <w:t>appoi</w:t>
      </w:r>
      <w:r w:rsidR="0017533A">
        <w:rPr>
          <w:lang w:val="en-GB"/>
        </w:rPr>
        <w:t>nted ex officio an attorney wh</w:t>
      </w:r>
      <w:r w:rsidR="0017533A" w:rsidRPr="00694F24">
        <w:rPr>
          <w:lang w:val="en-GB"/>
        </w:rPr>
        <w:t>o had security clearance to represent the author.</w:t>
      </w:r>
    </w:p>
    <w:p w14:paraId="49D3AE3C" w14:textId="77777777" w:rsidR="007D3F7D" w:rsidRDefault="000010B6" w:rsidP="00694F24">
      <w:pPr>
        <w:pStyle w:val="H23G"/>
        <w:rPr>
          <w:lang w:val="en-US"/>
        </w:rPr>
      </w:pPr>
      <w:r>
        <w:rPr>
          <w:lang w:val="en-US"/>
        </w:rPr>
        <w:tab/>
      </w:r>
      <w:r>
        <w:rPr>
          <w:lang w:val="en-US"/>
        </w:rPr>
        <w:tab/>
      </w:r>
      <w:r w:rsidR="007D3F7D" w:rsidRPr="000010B6">
        <w:rPr>
          <w:lang w:val="en-US"/>
        </w:rPr>
        <w:t>Further submissions by the author</w:t>
      </w:r>
    </w:p>
    <w:p w14:paraId="58CFFF8C" w14:textId="51E7C639" w:rsidR="005B2E20" w:rsidRDefault="007D3F7D" w:rsidP="007D4357">
      <w:pPr>
        <w:pStyle w:val="SingleTxtG"/>
        <w:rPr>
          <w:lang w:val="en-US"/>
        </w:rPr>
      </w:pPr>
      <w:r>
        <w:rPr>
          <w:lang w:val="en-US"/>
        </w:rPr>
        <w:t>9.</w:t>
      </w:r>
      <w:r w:rsidR="005B2E20">
        <w:rPr>
          <w:lang w:val="en-US"/>
        </w:rPr>
        <w:t>1</w:t>
      </w:r>
      <w:r w:rsidR="0017533A">
        <w:rPr>
          <w:lang w:val="en-US"/>
        </w:rPr>
        <w:tab/>
      </w:r>
      <w:r w:rsidR="005D40BA">
        <w:rPr>
          <w:lang w:val="en-US"/>
        </w:rPr>
        <w:t>In his submission dated</w:t>
      </w:r>
      <w:r w:rsidR="0017533A">
        <w:rPr>
          <w:lang w:val="en-US"/>
        </w:rPr>
        <w:t xml:space="preserve"> 26 February 2016, the author </w:t>
      </w:r>
      <w:r w:rsidR="00F12CAA">
        <w:rPr>
          <w:lang w:val="en-US"/>
        </w:rPr>
        <w:t>contest</w:t>
      </w:r>
      <w:r w:rsidR="005D40BA">
        <w:rPr>
          <w:lang w:val="en-US"/>
        </w:rPr>
        <w:t>s</w:t>
      </w:r>
      <w:r w:rsidR="00255511">
        <w:rPr>
          <w:lang w:val="en-US"/>
        </w:rPr>
        <w:t xml:space="preserve"> the State </w:t>
      </w:r>
      <w:r w:rsidR="005D40BA">
        <w:rPr>
          <w:lang w:val="en-US"/>
        </w:rPr>
        <w:t>p</w:t>
      </w:r>
      <w:r w:rsidR="00255511">
        <w:rPr>
          <w:lang w:val="en-US"/>
        </w:rPr>
        <w:t>arty’s submission</w:t>
      </w:r>
      <w:r w:rsidR="00F12CAA">
        <w:rPr>
          <w:lang w:val="en-US"/>
        </w:rPr>
        <w:t xml:space="preserve"> </w:t>
      </w:r>
      <w:r w:rsidR="0017533A">
        <w:rPr>
          <w:lang w:val="en-US"/>
        </w:rPr>
        <w:t xml:space="preserve">that his communication </w:t>
      </w:r>
      <w:r w:rsidR="005D40BA">
        <w:rPr>
          <w:lang w:val="en-US"/>
        </w:rPr>
        <w:t xml:space="preserve">is </w:t>
      </w:r>
      <w:r w:rsidR="0017533A">
        <w:rPr>
          <w:lang w:val="en-US"/>
        </w:rPr>
        <w:t xml:space="preserve">inadmissible </w:t>
      </w:r>
      <w:proofErr w:type="spellStart"/>
      <w:r w:rsidR="0017533A" w:rsidRPr="00694F24">
        <w:rPr>
          <w:i/>
          <w:lang w:val="en-US"/>
        </w:rPr>
        <w:t>ratione</w:t>
      </w:r>
      <w:proofErr w:type="spellEnd"/>
      <w:r w:rsidR="0017533A" w:rsidRPr="00694F24">
        <w:rPr>
          <w:i/>
          <w:lang w:val="en-US"/>
        </w:rPr>
        <w:t xml:space="preserve"> </w:t>
      </w:r>
      <w:proofErr w:type="spellStart"/>
      <w:r w:rsidR="0017533A" w:rsidRPr="00694F24">
        <w:rPr>
          <w:i/>
          <w:lang w:val="en-US"/>
        </w:rPr>
        <w:t>temporis</w:t>
      </w:r>
      <w:proofErr w:type="spellEnd"/>
      <w:r w:rsidR="0017533A">
        <w:rPr>
          <w:lang w:val="en-US"/>
        </w:rPr>
        <w:t xml:space="preserve">. </w:t>
      </w:r>
      <w:r w:rsidR="00EB4E8F">
        <w:rPr>
          <w:lang w:val="en-US"/>
        </w:rPr>
        <w:t>He submits that</w:t>
      </w:r>
      <w:r w:rsidR="00255511">
        <w:rPr>
          <w:lang w:val="en-US"/>
        </w:rPr>
        <w:t>, despite his protests,</w:t>
      </w:r>
      <w:r w:rsidR="00EB4E8F">
        <w:rPr>
          <w:lang w:val="en-US"/>
        </w:rPr>
        <w:t xml:space="preserve"> the appellate court reviewed his case on 22 October 2009, in his absence, but in the presence of the attorney appointed by the court ex officio. </w:t>
      </w:r>
      <w:r w:rsidR="005D40BA">
        <w:rPr>
          <w:lang w:val="en-US"/>
        </w:rPr>
        <w:t>N</w:t>
      </w:r>
      <w:r w:rsidR="00EB4E8F">
        <w:rPr>
          <w:lang w:val="en-US"/>
        </w:rPr>
        <w:t>either the author nor the attorneys selected by him participated in the cassation proceedings</w:t>
      </w:r>
      <w:r w:rsidR="00EB4E8F" w:rsidRPr="00EB4E8F">
        <w:rPr>
          <w:lang w:val="en-US"/>
        </w:rPr>
        <w:t xml:space="preserve"> </w:t>
      </w:r>
      <w:r w:rsidR="00EB4E8F">
        <w:rPr>
          <w:lang w:val="en-US"/>
        </w:rPr>
        <w:t>(on 14</w:t>
      </w:r>
      <w:r w:rsidR="00805B7C">
        <w:rPr>
          <w:lang w:val="en-US"/>
        </w:rPr>
        <w:t> </w:t>
      </w:r>
      <w:r w:rsidR="00EB4E8F">
        <w:rPr>
          <w:lang w:val="en-US"/>
        </w:rPr>
        <w:t xml:space="preserve">December 2009) </w:t>
      </w:r>
      <w:r w:rsidR="00C47BAC">
        <w:rPr>
          <w:lang w:val="en-US"/>
        </w:rPr>
        <w:t xml:space="preserve">nor </w:t>
      </w:r>
      <w:r w:rsidR="00EB4E8F">
        <w:rPr>
          <w:lang w:val="en-US"/>
        </w:rPr>
        <w:t xml:space="preserve">in the supervisory review proceedings in the Supreme Court (date not specified). </w:t>
      </w:r>
      <w:r w:rsidR="0017533A">
        <w:rPr>
          <w:lang w:val="en-US"/>
        </w:rPr>
        <w:t>The</w:t>
      </w:r>
      <w:r w:rsidR="00EB4E8F">
        <w:rPr>
          <w:lang w:val="en-US"/>
        </w:rPr>
        <w:t xml:space="preserve"> author </w:t>
      </w:r>
      <w:r w:rsidR="0017533A">
        <w:rPr>
          <w:lang w:val="en-US"/>
        </w:rPr>
        <w:t>reiterat</w:t>
      </w:r>
      <w:r w:rsidR="00C47BAC">
        <w:rPr>
          <w:lang w:val="en-US"/>
        </w:rPr>
        <w:t>es</w:t>
      </w:r>
      <w:r w:rsidR="00EB4E8F">
        <w:rPr>
          <w:lang w:val="en-US"/>
        </w:rPr>
        <w:t xml:space="preserve"> that the </w:t>
      </w:r>
      <w:r w:rsidR="00F72D82">
        <w:rPr>
          <w:lang w:val="en-US"/>
        </w:rPr>
        <w:t>National Security Committee</w:t>
      </w:r>
      <w:r w:rsidR="00F72D82" w:rsidRPr="00650921">
        <w:rPr>
          <w:lang w:val="en-US"/>
        </w:rPr>
        <w:t xml:space="preserve"> </w:t>
      </w:r>
      <w:r w:rsidR="00EB4E8F" w:rsidRPr="00650921">
        <w:rPr>
          <w:lang w:val="en-US"/>
        </w:rPr>
        <w:t xml:space="preserve">refused </w:t>
      </w:r>
      <w:r w:rsidR="00EB4E8F" w:rsidRPr="00690251">
        <w:rPr>
          <w:lang w:val="en-US"/>
        </w:rPr>
        <w:t xml:space="preserve">to allow </w:t>
      </w:r>
      <w:r w:rsidR="00EB4E8F">
        <w:rPr>
          <w:lang w:val="en-US"/>
        </w:rPr>
        <w:t>his attorneys and his wife</w:t>
      </w:r>
      <w:r w:rsidR="00DF1050">
        <w:rPr>
          <w:lang w:val="en-US"/>
        </w:rPr>
        <w:t xml:space="preserve"> </w:t>
      </w:r>
      <w:r w:rsidR="00EB4E8F" w:rsidRPr="00690251">
        <w:rPr>
          <w:lang w:val="en-US"/>
        </w:rPr>
        <w:t xml:space="preserve">to participate in the process </w:t>
      </w:r>
      <w:r w:rsidR="00F72D82">
        <w:rPr>
          <w:lang w:val="en-US"/>
        </w:rPr>
        <w:t>on the grounds of their lack</w:t>
      </w:r>
      <w:r w:rsidR="00EB4E8F" w:rsidRPr="00690251">
        <w:rPr>
          <w:lang w:val="en-US"/>
        </w:rPr>
        <w:t xml:space="preserve"> </w:t>
      </w:r>
      <w:r w:rsidR="00EB4E8F">
        <w:rPr>
          <w:lang w:val="en-US"/>
        </w:rPr>
        <w:t xml:space="preserve">of </w:t>
      </w:r>
      <w:r w:rsidR="00EB4E8F" w:rsidRPr="00690251">
        <w:rPr>
          <w:lang w:val="en-US"/>
        </w:rPr>
        <w:t>authorization</w:t>
      </w:r>
      <w:r w:rsidR="00EB4E8F" w:rsidRPr="00650921">
        <w:rPr>
          <w:lang w:val="en-US"/>
        </w:rPr>
        <w:t xml:space="preserve"> for access to secret materials</w:t>
      </w:r>
      <w:r w:rsidR="00F72D82">
        <w:rPr>
          <w:lang w:val="en-US"/>
        </w:rPr>
        <w:t>,</w:t>
      </w:r>
      <w:r w:rsidR="00F72D82" w:rsidRPr="00F72D82">
        <w:rPr>
          <w:vertAlign w:val="superscript"/>
          <w:lang w:val="en-US"/>
        </w:rPr>
        <w:footnoteReference w:id="13"/>
      </w:r>
      <w:r w:rsidR="00EB4E8F">
        <w:rPr>
          <w:lang w:val="en-US"/>
        </w:rPr>
        <w:t xml:space="preserve"> and maintains that the </w:t>
      </w:r>
      <w:r w:rsidR="00F72D82">
        <w:rPr>
          <w:lang w:val="en-US"/>
        </w:rPr>
        <w:t xml:space="preserve">National Security Committee </w:t>
      </w:r>
      <w:r w:rsidR="00EB4E8F">
        <w:rPr>
          <w:lang w:val="en-US"/>
        </w:rPr>
        <w:t xml:space="preserve">failed to implement the </w:t>
      </w:r>
      <w:r w:rsidR="00F72D82">
        <w:rPr>
          <w:lang w:val="en-US"/>
        </w:rPr>
        <w:t>c</w:t>
      </w:r>
      <w:r w:rsidR="00EB4E8F">
        <w:rPr>
          <w:lang w:val="en-US"/>
        </w:rPr>
        <w:t xml:space="preserve">ourt ruling of </w:t>
      </w:r>
      <w:r w:rsidR="00EB4E8F">
        <w:rPr>
          <w:lang w:val="en-GB"/>
        </w:rPr>
        <w:t>13 April 2009</w:t>
      </w:r>
      <w:r w:rsidR="00EB4E8F" w:rsidRPr="00650921">
        <w:rPr>
          <w:lang w:val="en-US"/>
        </w:rPr>
        <w:t xml:space="preserve">. </w:t>
      </w:r>
      <w:r w:rsidR="00DF1050">
        <w:rPr>
          <w:lang w:val="en-US"/>
        </w:rPr>
        <w:t>The author contends that t</w:t>
      </w:r>
      <w:r w:rsidR="00EB4E8F" w:rsidRPr="00650921">
        <w:rPr>
          <w:lang w:val="en-US"/>
        </w:rPr>
        <w:t xml:space="preserve">he </w:t>
      </w:r>
      <w:proofErr w:type="spellStart"/>
      <w:r w:rsidR="00A479F3">
        <w:rPr>
          <w:lang w:val="en-US"/>
        </w:rPr>
        <w:t>Taraz</w:t>
      </w:r>
      <w:proofErr w:type="spellEnd"/>
      <w:r w:rsidR="00A479F3">
        <w:rPr>
          <w:lang w:val="en-US"/>
        </w:rPr>
        <w:t xml:space="preserve"> c</w:t>
      </w:r>
      <w:r w:rsidR="00EB4E8F" w:rsidRPr="00650921">
        <w:rPr>
          <w:lang w:val="en-US"/>
        </w:rPr>
        <w:t xml:space="preserve">ourt dismissed </w:t>
      </w:r>
      <w:r w:rsidR="00DF1050">
        <w:rPr>
          <w:lang w:val="en-US"/>
        </w:rPr>
        <w:t xml:space="preserve">his </w:t>
      </w:r>
      <w:r w:rsidR="00EB4E8F" w:rsidRPr="00650921">
        <w:rPr>
          <w:lang w:val="en-US"/>
        </w:rPr>
        <w:t>request to defend himself in person and assigned</w:t>
      </w:r>
      <w:r w:rsidR="007D4357">
        <w:rPr>
          <w:lang w:val="en-US"/>
        </w:rPr>
        <w:t>, without the author’s</w:t>
      </w:r>
      <w:r w:rsidR="007D4357" w:rsidRPr="007D4357">
        <w:rPr>
          <w:lang w:val="en-US"/>
        </w:rPr>
        <w:t xml:space="preserve"> consent</w:t>
      </w:r>
      <w:r w:rsidR="007D4357">
        <w:rPr>
          <w:lang w:val="en-US"/>
        </w:rPr>
        <w:t>,</w:t>
      </w:r>
      <w:r w:rsidR="00EB4E8F">
        <w:rPr>
          <w:lang w:val="en-US"/>
        </w:rPr>
        <w:t xml:space="preserve"> </w:t>
      </w:r>
      <w:r w:rsidR="00EB4E8F" w:rsidRPr="00650921">
        <w:rPr>
          <w:lang w:val="en-US"/>
        </w:rPr>
        <w:t>a</w:t>
      </w:r>
      <w:r w:rsidR="00EB4E8F">
        <w:rPr>
          <w:lang w:val="en-US"/>
        </w:rPr>
        <w:t xml:space="preserve">n ex officio </w:t>
      </w:r>
      <w:r w:rsidR="00EB4E8F" w:rsidRPr="00650921">
        <w:rPr>
          <w:lang w:val="en-US"/>
        </w:rPr>
        <w:t>lawyer to represent his interests</w:t>
      </w:r>
      <w:r w:rsidR="00EB4E8F">
        <w:rPr>
          <w:lang w:val="en-US"/>
        </w:rPr>
        <w:t xml:space="preserve">, </w:t>
      </w:r>
      <w:r w:rsidR="005B5381">
        <w:rPr>
          <w:lang w:val="en-US"/>
        </w:rPr>
        <w:t xml:space="preserve">and that the lawyer acted to </w:t>
      </w:r>
      <w:r w:rsidR="007D4357">
        <w:rPr>
          <w:lang w:val="en-US"/>
        </w:rPr>
        <w:t xml:space="preserve">the author’s </w:t>
      </w:r>
      <w:r w:rsidR="005B5381">
        <w:rPr>
          <w:lang w:val="en-US"/>
        </w:rPr>
        <w:t>detriment</w:t>
      </w:r>
      <w:r w:rsidR="00EB4E8F">
        <w:rPr>
          <w:lang w:val="en-US"/>
        </w:rPr>
        <w:t>.</w:t>
      </w:r>
      <w:r w:rsidR="008F20F9">
        <w:rPr>
          <w:lang w:val="en-US"/>
        </w:rPr>
        <w:t xml:space="preserve"> The author reiterates that his attempts to challenge the classification as secret of the published documents </w:t>
      </w:r>
      <w:proofErr w:type="gramStart"/>
      <w:r w:rsidR="008F20F9">
        <w:rPr>
          <w:lang w:val="en-US"/>
        </w:rPr>
        <w:t>were rejected</w:t>
      </w:r>
      <w:proofErr w:type="gramEnd"/>
      <w:r w:rsidR="008F20F9">
        <w:rPr>
          <w:lang w:val="en-US"/>
        </w:rPr>
        <w:t xml:space="preserve"> by the courts (see para</w:t>
      </w:r>
      <w:r w:rsidR="00C47BAC">
        <w:rPr>
          <w:lang w:val="en-US"/>
        </w:rPr>
        <w:t>.</w:t>
      </w:r>
      <w:r w:rsidR="008F20F9">
        <w:rPr>
          <w:lang w:val="en-US"/>
        </w:rPr>
        <w:t xml:space="preserve"> 2.10</w:t>
      </w:r>
      <w:r w:rsidR="007D4357">
        <w:rPr>
          <w:lang w:val="en-US"/>
        </w:rPr>
        <w:t xml:space="preserve"> above</w:t>
      </w:r>
      <w:r w:rsidR="008F20F9">
        <w:rPr>
          <w:lang w:val="en-US"/>
        </w:rPr>
        <w:t xml:space="preserve">) and that </w:t>
      </w:r>
      <w:r w:rsidR="00A46BA4">
        <w:rPr>
          <w:lang w:val="en-US"/>
        </w:rPr>
        <w:t>he was thus denied</w:t>
      </w:r>
      <w:r w:rsidR="008F20F9">
        <w:rPr>
          <w:lang w:val="en-US"/>
        </w:rPr>
        <w:t xml:space="preserve"> the right to be defended by an attorney of his choice. </w:t>
      </w:r>
    </w:p>
    <w:p w14:paraId="3E8B9033" w14:textId="46EA1F62" w:rsidR="007D3F7D" w:rsidRDefault="005B2E20" w:rsidP="007D4357">
      <w:pPr>
        <w:pStyle w:val="SingleTxtG"/>
        <w:rPr>
          <w:lang w:val="en"/>
        </w:rPr>
      </w:pPr>
      <w:r>
        <w:rPr>
          <w:lang w:val="en-US"/>
        </w:rPr>
        <w:t>9.2</w:t>
      </w:r>
      <w:r>
        <w:rPr>
          <w:lang w:val="en-US"/>
        </w:rPr>
        <w:tab/>
        <w:t>The author maintains</w:t>
      </w:r>
      <w:r w:rsidR="008F20F9">
        <w:rPr>
          <w:lang w:val="en-US"/>
        </w:rPr>
        <w:t xml:space="preserve"> that the criminal proceeding</w:t>
      </w:r>
      <w:r w:rsidR="007D4357">
        <w:rPr>
          <w:lang w:val="en-US"/>
        </w:rPr>
        <w:t>s</w:t>
      </w:r>
      <w:r w:rsidR="008F20F9">
        <w:rPr>
          <w:lang w:val="en-US"/>
        </w:rPr>
        <w:t xml:space="preserve"> </w:t>
      </w:r>
      <w:r w:rsidR="008F20F9">
        <w:rPr>
          <w:lang w:val="en"/>
        </w:rPr>
        <w:t xml:space="preserve">against him were </w:t>
      </w:r>
      <w:r w:rsidR="008D2A25">
        <w:rPr>
          <w:lang w:val="en"/>
        </w:rPr>
        <w:t>instigated</w:t>
      </w:r>
      <w:r w:rsidR="008F20F9">
        <w:rPr>
          <w:lang w:val="en"/>
        </w:rPr>
        <w:t xml:space="preserve"> </w:t>
      </w:r>
      <w:proofErr w:type="gramStart"/>
      <w:r w:rsidR="008F20F9">
        <w:rPr>
          <w:lang w:val="en"/>
        </w:rPr>
        <w:t>f</w:t>
      </w:r>
      <w:r w:rsidR="008F20F9" w:rsidRPr="008F20F9">
        <w:rPr>
          <w:lang w:val="en"/>
        </w:rPr>
        <w:t>or the purpose of</w:t>
      </w:r>
      <w:proofErr w:type="gramEnd"/>
      <w:r w:rsidR="008F20F9" w:rsidRPr="008F20F9">
        <w:rPr>
          <w:lang w:val="en"/>
        </w:rPr>
        <w:t xml:space="preserve"> </w:t>
      </w:r>
      <w:r w:rsidR="00C47BAC">
        <w:rPr>
          <w:lang w:val="en"/>
        </w:rPr>
        <w:t xml:space="preserve">obstructing </w:t>
      </w:r>
      <w:r w:rsidR="008D2A25">
        <w:rPr>
          <w:lang w:val="en"/>
        </w:rPr>
        <w:t xml:space="preserve">his </w:t>
      </w:r>
      <w:r w:rsidR="008F20F9" w:rsidRPr="008F20F9">
        <w:rPr>
          <w:lang w:val="en"/>
        </w:rPr>
        <w:t>freedom of speech</w:t>
      </w:r>
      <w:r>
        <w:rPr>
          <w:lang w:val="en"/>
        </w:rPr>
        <w:t>, intimidating civil society and covering</w:t>
      </w:r>
      <w:r w:rsidR="00C47BAC">
        <w:rPr>
          <w:lang w:val="en"/>
        </w:rPr>
        <w:t xml:space="preserve"> </w:t>
      </w:r>
      <w:r>
        <w:rPr>
          <w:lang w:val="en"/>
        </w:rPr>
        <w:t>up</w:t>
      </w:r>
      <w:r w:rsidR="005568DE">
        <w:rPr>
          <w:lang w:val="en"/>
        </w:rPr>
        <w:t xml:space="preserve"> </w:t>
      </w:r>
      <w:r>
        <w:rPr>
          <w:lang w:val="en"/>
        </w:rPr>
        <w:t xml:space="preserve">corruption among </w:t>
      </w:r>
      <w:r w:rsidR="007D4357">
        <w:rPr>
          <w:lang w:val="en"/>
        </w:rPr>
        <w:t>S</w:t>
      </w:r>
      <w:r>
        <w:rPr>
          <w:lang w:val="en"/>
        </w:rPr>
        <w:t xml:space="preserve">tate officials. He maintains that the verdict against him was illegal, since at the time only </w:t>
      </w:r>
      <w:r w:rsidR="007D4357">
        <w:rPr>
          <w:lang w:val="en"/>
        </w:rPr>
        <w:t xml:space="preserve">National Security Committee </w:t>
      </w:r>
      <w:r>
        <w:rPr>
          <w:lang w:val="en"/>
        </w:rPr>
        <w:t>operatives, and not journalists, were liable under article 172</w:t>
      </w:r>
      <w:r w:rsidR="007D4357">
        <w:rPr>
          <w:lang w:val="en"/>
        </w:rPr>
        <w:t> </w:t>
      </w:r>
      <w:r>
        <w:rPr>
          <w:lang w:val="en"/>
        </w:rPr>
        <w:t>(1) and article 339</w:t>
      </w:r>
      <w:r w:rsidR="007D4357">
        <w:rPr>
          <w:lang w:val="en"/>
        </w:rPr>
        <w:t> </w:t>
      </w:r>
      <w:r>
        <w:rPr>
          <w:lang w:val="en"/>
        </w:rPr>
        <w:t>(2) of the Criminal Code</w:t>
      </w:r>
      <w:r w:rsidR="007D4357">
        <w:rPr>
          <w:lang w:val="en"/>
        </w:rPr>
        <w:t>,</w:t>
      </w:r>
      <w:r>
        <w:rPr>
          <w:lang w:val="en"/>
        </w:rPr>
        <w:t xml:space="preserve"> and </w:t>
      </w:r>
      <w:r w:rsidR="007D4357">
        <w:rPr>
          <w:lang w:val="en"/>
        </w:rPr>
        <w:t xml:space="preserve">notes </w:t>
      </w:r>
      <w:r>
        <w:rPr>
          <w:lang w:val="en"/>
        </w:rPr>
        <w:t xml:space="preserve">that the provision </w:t>
      </w:r>
      <w:proofErr w:type="gramStart"/>
      <w:r>
        <w:rPr>
          <w:lang w:val="en"/>
        </w:rPr>
        <w:t>was amended</w:t>
      </w:r>
      <w:proofErr w:type="gramEnd"/>
      <w:r>
        <w:rPr>
          <w:lang w:val="en"/>
        </w:rPr>
        <w:t xml:space="preserve"> to include journalists only as of 16 November 2011.</w:t>
      </w:r>
      <w:r>
        <w:rPr>
          <w:rStyle w:val="FootnoteReference"/>
          <w:lang w:val="en"/>
        </w:rPr>
        <w:footnoteReference w:id="14"/>
      </w:r>
    </w:p>
    <w:p w14:paraId="0B27D56A" w14:textId="1EC2C33A" w:rsidR="00095F8E" w:rsidRPr="00694F24" w:rsidRDefault="00095F8E" w:rsidP="002433D8">
      <w:pPr>
        <w:pStyle w:val="SingleTxtG"/>
        <w:rPr>
          <w:lang w:val="en-GB"/>
        </w:rPr>
      </w:pPr>
      <w:r>
        <w:rPr>
          <w:lang w:val="en-US"/>
        </w:rPr>
        <w:t>9.3</w:t>
      </w:r>
      <w:r>
        <w:rPr>
          <w:lang w:val="en-US"/>
        </w:rPr>
        <w:tab/>
        <w:t xml:space="preserve">The author reiterates that he was illegally deprived of his liberty from </w:t>
      </w:r>
      <w:proofErr w:type="gramStart"/>
      <w:r>
        <w:rPr>
          <w:lang w:val="en-US"/>
        </w:rPr>
        <w:t>5</w:t>
      </w:r>
      <w:proofErr w:type="gramEnd"/>
      <w:r>
        <w:rPr>
          <w:lang w:val="en-US"/>
        </w:rPr>
        <w:t xml:space="preserve"> to 6 January 2012 and that</w:t>
      </w:r>
      <w:r w:rsidR="007D4357">
        <w:rPr>
          <w:lang w:val="en-US"/>
        </w:rPr>
        <w:t>,</w:t>
      </w:r>
      <w:r>
        <w:rPr>
          <w:lang w:val="en-US"/>
        </w:rPr>
        <w:t xml:space="preserve"> despite the fact that the Supreme Court recognized the illegal detention, no officials were punished.</w:t>
      </w:r>
    </w:p>
    <w:p w14:paraId="1232F1AB" w14:textId="77777777" w:rsidR="00F35149" w:rsidRPr="006C6C87" w:rsidRDefault="003134AC" w:rsidP="00F35149">
      <w:pPr>
        <w:pStyle w:val="H23G"/>
      </w:pPr>
      <w:r w:rsidRPr="007B3302">
        <w:tab/>
      </w:r>
      <w:r w:rsidRPr="007B3302">
        <w:tab/>
      </w:r>
      <w:r w:rsidR="00F35149" w:rsidRPr="006C6C87">
        <w:t>Issues and proceedings before the Committee</w:t>
      </w:r>
    </w:p>
    <w:p w14:paraId="476DDC67" w14:textId="77777777" w:rsidR="00F35149" w:rsidRPr="00C93256" w:rsidRDefault="00F35149" w:rsidP="00FD1D08">
      <w:pPr>
        <w:pStyle w:val="H4G"/>
      </w:pPr>
      <w:r w:rsidRPr="006C6C87">
        <w:tab/>
      </w:r>
      <w:r w:rsidRPr="006C6C87">
        <w:tab/>
      </w:r>
      <w:r w:rsidRPr="00C93256">
        <w:t>Consideration of admissibility</w:t>
      </w:r>
    </w:p>
    <w:p w14:paraId="5CAD267F" w14:textId="42821020" w:rsidR="00F35149" w:rsidRPr="006C6C87" w:rsidRDefault="007D3F7D" w:rsidP="003B6419">
      <w:pPr>
        <w:pStyle w:val="SingleTxtG"/>
        <w:rPr>
          <w:bCs/>
        </w:rPr>
      </w:pPr>
      <w:proofErr w:type="gramStart"/>
      <w:r>
        <w:rPr>
          <w:bCs/>
          <w:lang w:val="en-GB"/>
        </w:rPr>
        <w:t>10</w:t>
      </w:r>
      <w:r w:rsidR="00F35149" w:rsidRPr="006C6C87">
        <w:rPr>
          <w:bCs/>
        </w:rPr>
        <w:t>.1</w:t>
      </w:r>
      <w:r w:rsidR="00F35149" w:rsidRPr="006C6C87">
        <w:rPr>
          <w:bCs/>
        </w:rPr>
        <w:tab/>
        <w:t>Before considering any claim contained in a communication, the Committee must</w:t>
      </w:r>
      <w:r w:rsidR="007D4357">
        <w:rPr>
          <w:bCs/>
          <w:lang w:val="en-US"/>
        </w:rPr>
        <w:t xml:space="preserve"> decide</w:t>
      </w:r>
      <w:r w:rsidR="00F35149" w:rsidRPr="006C6C87">
        <w:rPr>
          <w:bCs/>
        </w:rPr>
        <w:t xml:space="preserve">, in accordance with rule 93 of its rules of procedure, whether </w:t>
      </w:r>
      <w:r w:rsidR="007D4357">
        <w:rPr>
          <w:bCs/>
          <w:lang w:val="en-US"/>
        </w:rPr>
        <w:t>the claim</w:t>
      </w:r>
      <w:r w:rsidR="00F35149" w:rsidRPr="006C6C87">
        <w:rPr>
          <w:bCs/>
        </w:rPr>
        <w:t xml:space="preserve"> is admissible under the Optional Protocol.</w:t>
      </w:r>
      <w:proofErr w:type="gramEnd"/>
    </w:p>
    <w:p w14:paraId="79AAB01F" w14:textId="3DF9BC22" w:rsidR="00F35149" w:rsidRDefault="007D3F7D" w:rsidP="00F35149">
      <w:pPr>
        <w:pStyle w:val="SingleTxtG"/>
        <w:rPr>
          <w:bCs/>
        </w:rPr>
      </w:pPr>
      <w:r>
        <w:rPr>
          <w:bCs/>
          <w:lang w:val="en-GB"/>
        </w:rPr>
        <w:t>10</w:t>
      </w:r>
      <w:r w:rsidR="00F35149" w:rsidRPr="006C6C87">
        <w:rPr>
          <w:bCs/>
        </w:rPr>
        <w:t>.2</w:t>
      </w:r>
      <w:r w:rsidR="00F35149" w:rsidRPr="006C6C87">
        <w:rPr>
          <w:bCs/>
        </w:rPr>
        <w:tab/>
        <w:t>The Committee has ascertained, as required under article 5</w:t>
      </w:r>
      <w:r w:rsidR="00780883" w:rsidRPr="006262E9">
        <w:rPr>
          <w:bCs/>
          <w:lang w:val="en-GB"/>
        </w:rPr>
        <w:t xml:space="preserve"> (</w:t>
      </w:r>
      <w:r w:rsidR="00F35149" w:rsidRPr="006C6C87">
        <w:rPr>
          <w:bCs/>
        </w:rPr>
        <w:t>2</w:t>
      </w:r>
      <w:r w:rsidR="00780883" w:rsidRPr="006262E9">
        <w:rPr>
          <w:bCs/>
          <w:lang w:val="en-GB"/>
        </w:rPr>
        <w:t>)</w:t>
      </w:r>
      <w:r w:rsidR="00F35149" w:rsidRPr="006C6C87">
        <w:rPr>
          <w:bCs/>
        </w:rPr>
        <w:t xml:space="preserve"> (a) of the Optional Protocol, that the same matter is not being examined under another procedure of international investigation or settlement.</w:t>
      </w:r>
    </w:p>
    <w:p w14:paraId="24339B3C" w14:textId="57C3263F" w:rsidR="008914CA" w:rsidRPr="008914CA" w:rsidRDefault="007D3F7D" w:rsidP="00546115">
      <w:pPr>
        <w:pStyle w:val="SingleTxtG"/>
        <w:rPr>
          <w:lang w:val="en-GB"/>
        </w:rPr>
      </w:pPr>
      <w:proofErr w:type="gramStart"/>
      <w:r>
        <w:rPr>
          <w:lang w:val="en-GB"/>
        </w:rPr>
        <w:t>10</w:t>
      </w:r>
      <w:r w:rsidR="006B1618">
        <w:rPr>
          <w:lang w:val="en-GB"/>
        </w:rPr>
        <w:t>.3</w:t>
      </w:r>
      <w:r w:rsidR="006B1618">
        <w:rPr>
          <w:lang w:val="en-GB"/>
        </w:rPr>
        <w:tab/>
        <w:t>The Committee takes note that the State party has challenged the admissibility of the communication for non-exhaustion of domestic remedies under article 5</w:t>
      </w:r>
      <w:r w:rsidR="007D4357">
        <w:rPr>
          <w:lang w:val="en-GB"/>
        </w:rPr>
        <w:t> </w:t>
      </w:r>
      <w:r w:rsidR="00780883">
        <w:rPr>
          <w:lang w:val="en-GB"/>
        </w:rPr>
        <w:t>(</w:t>
      </w:r>
      <w:r w:rsidR="006B1618">
        <w:rPr>
          <w:lang w:val="en-GB"/>
        </w:rPr>
        <w:t>2</w:t>
      </w:r>
      <w:r w:rsidR="00780883">
        <w:rPr>
          <w:lang w:val="en-GB"/>
        </w:rPr>
        <w:t>)</w:t>
      </w:r>
      <w:r w:rsidR="007D4357">
        <w:rPr>
          <w:lang w:val="en-GB"/>
        </w:rPr>
        <w:t> </w:t>
      </w:r>
      <w:r w:rsidR="006B1618">
        <w:rPr>
          <w:lang w:val="en-GB"/>
        </w:rPr>
        <w:t xml:space="preserve">(b) of the Optional Protocol on the ground that, after </w:t>
      </w:r>
      <w:r w:rsidR="006B1618" w:rsidRPr="00D52391">
        <w:rPr>
          <w:lang w:val="en-US"/>
        </w:rPr>
        <w:t>the Supreme Court</w:t>
      </w:r>
      <w:r w:rsidR="006B1618">
        <w:rPr>
          <w:lang w:val="en-US"/>
        </w:rPr>
        <w:t xml:space="preserve"> </w:t>
      </w:r>
      <w:r w:rsidR="006B1618" w:rsidRPr="00D52391">
        <w:rPr>
          <w:lang w:val="en-US"/>
        </w:rPr>
        <w:t>reject</w:t>
      </w:r>
      <w:r w:rsidR="006B1618">
        <w:rPr>
          <w:lang w:val="en-US"/>
        </w:rPr>
        <w:t>ed</w:t>
      </w:r>
      <w:r w:rsidR="006B1618" w:rsidRPr="00D52391">
        <w:rPr>
          <w:lang w:val="en-US"/>
        </w:rPr>
        <w:t xml:space="preserve"> his </w:t>
      </w:r>
      <w:r w:rsidR="006B1618">
        <w:rPr>
          <w:lang w:val="en-US"/>
        </w:rPr>
        <w:t xml:space="preserve">supervisory review </w:t>
      </w:r>
      <w:r w:rsidR="006B1618" w:rsidRPr="00D52391">
        <w:rPr>
          <w:lang w:val="en-US"/>
        </w:rPr>
        <w:t>application</w:t>
      </w:r>
      <w:r w:rsidR="006B1618" w:rsidRPr="00D930F9">
        <w:rPr>
          <w:lang w:val="en-US"/>
        </w:rPr>
        <w:t xml:space="preserve"> </w:t>
      </w:r>
      <w:r w:rsidR="006B1618">
        <w:rPr>
          <w:lang w:val="en-US"/>
        </w:rPr>
        <w:t>o</w:t>
      </w:r>
      <w:r w:rsidR="006B1618" w:rsidRPr="00D52391">
        <w:rPr>
          <w:lang w:val="en-US"/>
        </w:rPr>
        <w:t>n 24 May 2010,</w:t>
      </w:r>
      <w:r w:rsidR="006B1618">
        <w:rPr>
          <w:lang w:val="en-US"/>
        </w:rPr>
        <w:t xml:space="preserve"> the author</w:t>
      </w:r>
      <w:r w:rsidR="006B1618" w:rsidRPr="00D52391">
        <w:rPr>
          <w:lang w:val="en-US"/>
        </w:rPr>
        <w:t xml:space="preserve"> </w:t>
      </w:r>
      <w:r w:rsidR="006B1618">
        <w:rPr>
          <w:lang w:val="en-US"/>
        </w:rPr>
        <w:t>had</w:t>
      </w:r>
      <w:r w:rsidR="006B1618" w:rsidRPr="00D52391">
        <w:rPr>
          <w:lang w:val="en-US"/>
        </w:rPr>
        <w:t xml:space="preserve"> the right to request the General Prosecutor’s Office to file a </w:t>
      </w:r>
      <w:r w:rsidR="006B1618" w:rsidRPr="00D52391">
        <w:rPr>
          <w:lang w:val="en-GB"/>
        </w:rPr>
        <w:t>protest motion</w:t>
      </w:r>
      <w:r w:rsidR="006B1618" w:rsidRPr="00D52391">
        <w:rPr>
          <w:lang w:val="en-US"/>
        </w:rPr>
        <w:t xml:space="preserve"> against the decisions taken in his case</w:t>
      </w:r>
      <w:r w:rsidR="006B1618">
        <w:rPr>
          <w:lang w:val="en-US"/>
        </w:rPr>
        <w:t>.</w:t>
      </w:r>
      <w:proofErr w:type="gramEnd"/>
      <w:r w:rsidR="006B1618">
        <w:rPr>
          <w:lang w:val="en-GB"/>
        </w:rPr>
        <w:t xml:space="preserve"> T</w:t>
      </w:r>
      <w:r w:rsidR="006B1618" w:rsidRPr="002345C1">
        <w:rPr>
          <w:lang w:val="en-GB"/>
        </w:rPr>
        <w:t>he Committee recalls its jurisprudence, according to</w:t>
      </w:r>
      <w:r w:rsidR="006B1618">
        <w:rPr>
          <w:lang w:val="en-GB"/>
        </w:rPr>
        <w:t xml:space="preserve"> </w:t>
      </w:r>
      <w:r w:rsidR="006B1618" w:rsidRPr="00CD0118">
        <w:rPr>
          <w:lang w:val="en-GB"/>
        </w:rPr>
        <w:t xml:space="preserve">which </w:t>
      </w:r>
      <w:r w:rsidR="007F0F42" w:rsidRPr="00CD0118">
        <w:t xml:space="preserve">a petition to a </w:t>
      </w:r>
      <w:r w:rsidR="006D37DF">
        <w:rPr>
          <w:lang w:val="en-US"/>
        </w:rPr>
        <w:t>p</w:t>
      </w:r>
      <w:proofErr w:type="spellStart"/>
      <w:r w:rsidR="007F0F42" w:rsidRPr="00CD0118">
        <w:t>rosecutor’s</w:t>
      </w:r>
      <w:proofErr w:type="spellEnd"/>
      <w:r w:rsidR="007F0F42" w:rsidRPr="00CD0118">
        <w:t xml:space="preserve"> </w:t>
      </w:r>
      <w:r w:rsidR="006D37DF">
        <w:rPr>
          <w:lang w:val="en-US"/>
        </w:rPr>
        <w:t>o</w:t>
      </w:r>
      <w:proofErr w:type="spellStart"/>
      <w:r w:rsidR="007F0F42" w:rsidRPr="00CD0118">
        <w:t>ffice</w:t>
      </w:r>
      <w:proofErr w:type="spellEnd"/>
      <w:r w:rsidR="007F0F42" w:rsidRPr="00CD0118">
        <w:t xml:space="preserve"> for supervisory review of court decisions that have taken effect does not constitute a remedy </w:t>
      </w:r>
      <w:r w:rsidR="006D37DF">
        <w:rPr>
          <w:lang w:val="en-US"/>
        </w:rPr>
        <w:t>that</w:t>
      </w:r>
      <w:r w:rsidR="007F0F42" w:rsidRPr="00CD0118">
        <w:t xml:space="preserve"> has to be exhausted for the purposes of article 5</w:t>
      </w:r>
      <w:r w:rsidR="006D37DF">
        <w:rPr>
          <w:lang w:val="en-US"/>
        </w:rPr>
        <w:t> </w:t>
      </w:r>
      <w:r w:rsidR="00780883" w:rsidRPr="006262E9">
        <w:rPr>
          <w:lang w:val="en-GB"/>
        </w:rPr>
        <w:t>(</w:t>
      </w:r>
      <w:r w:rsidR="007F0F42" w:rsidRPr="00CD0118">
        <w:t>2</w:t>
      </w:r>
      <w:r w:rsidR="00780883" w:rsidRPr="006262E9">
        <w:rPr>
          <w:lang w:val="en-GB"/>
        </w:rPr>
        <w:t>)</w:t>
      </w:r>
      <w:r w:rsidR="006D37DF">
        <w:rPr>
          <w:lang w:val="en-US"/>
        </w:rPr>
        <w:t> </w:t>
      </w:r>
      <w:r w:rsidR="007F0F42" w:rsidRPr="00CD0118">
        <w:t>(b) of the Optional Protocol</w:t>
      </w:r>
      <w:r w:rsidR="006B1618" w:rsidRPr="00CD0118">
        <w:rPr>
          <w:lang w:val="en-GB"/>
        </w:rPr>
        <w:t>.</w:t>
      </w:r>
      <w:r w:rsidR="006B1618" w:rsidRPr="00CD0118">
        <w:rPr>
          <w:rStyle w:val="FootnoteReference"/>
        </w:rPr>
        <w:footnoteReference w:id="15"/>
      </w:r>
      <w:r w:rsidR="006B1618" w:rsidRPr="002345C1">
        <w:rPr>
          <w:lang w:val="en-GB"/>
        </w:rPr>
        <w:t xml:space="preserve"> </w:t>
      </w:r>
      <w:proofErr w:type="gramStart"/>
      <w:r w:rsidR="006B1618">
        <w:rPr>
          <w:lang w:val="en-GB"/>
        </w:rPr>
        <w:t>The Committee further observes that, according to the State party’s submission, after the trial</w:t>
      </w:r>
      <w:r w:rsidR="00D57E56">
        <w:rPr>
          <w:lang w:val="en-GB"/>
        </w:rPr>
        <w:t xml:space="preserve"> ended</w:t>
      </w:r>
      <w:r w:rsidR="006B1618">
        <w:rPr>
          <w:lang w:val="en-GB"/>
        </w:rPr>
        <w:t xml:space="preserve">, </w:t>
      </w:r>
      <w:r w:rsidR="006B1618">
        <w:rPr>
          <w:lang w:val="en-US"/>
        </w:rPr>
        <w:t>the author and his wife filed six more complaints to the General Prosecutor’s Office, that the above complaints were reviewed together and</w:t>
      </w:r>
      <w:r w:rsidR="00D57E56">
        <w:rPr>
          <w:lang w:val="en-US"/>
        </w:rPr>
        <w:t xml:space="preserve"> that</w:t>
      </w:r>
      <w:r w:rsidR="006B1618">
        <w:rPr>
          <w:lang w:val="en-US"/>
        </w:rPr>
        <w:t xml:space="preserve"> the Office reviewed the case and, on an unspecified date, provided a </w:t>
      </w:r>
      <w:r w:rsidR="006B1618" w:rsidRPr="0004616E">
        <w:rPr>
          <w:lang w:val="en-US"/>
        </w:rPr>
        <w:t>motivated</w:t>
      </w:r>
      <w:r w:rsidR="006B1618">
        <w:rPr>
          <w:lang w:val="en-US"/>
        </w:rPr>
        <w:t xml:space="preserve"> response regarding the absence of grounds for filing a protest.</w:t>
      </w:r>
      <w:proofErr w:type="gramEnd"/>
      <w:r w:rsidR="006B1618">
        <w:rPr>
          <w:lang w:val="en-GB"/>
        </w:rPr>
        <w:t xml:space="preserve"> </w:t>
      </w:r>
      <w:r w:rsidR="00D57E56">
        <w:rPr>
          <w:lang w:val="en-GB"/>
        </w:rPr>
        <w:t>Given</w:t>
      </w:r>
      <w:r w:rsidR="00D57E56" w:rsidRPr="002345C1">
        <w:rPr>
          <w:lang w:val="en-GB"/>
        </w:rPr>
        <w:t xml:space="preserve"> </w:t>
      </w:r>
      <w:r w:rsidR="006B1618" w:rsidRPr="002345C1">
        <w:rPr>
          <w:lang w:val="en-GB"/>
        </w:rPr>
        <w:t>th</w:t>
      </w:r>
      <w:r w:rsidR="00D57E56">
        <w:rPr>
          <w:lang w:val="en-GB"/>
        </w:rPr>
        <w:t>o</w:t>
      </w:r>
      <w:r w:rsidR="006B1618">
        <w:rPr>
          <w:lang w:val="en-GB"/>
        </w:rPr>
        <w:t>se</w:t>
      </w:r>
      <w:r w:rsidR="006B1618" w:rsidRPr="002345C1">
        <w:rPr>
          <w:lang w:val="en-GB"/>
        </w:rPr>
        <w:t xml:space="preserve"> circumstances, the Committee considers that it is not precluded by article 5</w:t>
      </w:r>
      <w:r w:rsidR="00D57E56">
        <w:rPr>
          <w:lang w:val="en-GB"/>
        </w:rPr>
        <w:t> </w:t>
      </w:r>
      <w:r w:rsidR="00780883">
        <w:rPr>
          <w:lang w:val="en-GB"/>
        </w:rPr>
        <w:t>(</w:t>
      </w:r>
      <w:r w:rsidR="006B1618" w:rsidRPr="002345C1">
        <w:rPr>
          <w:lang w:val="en-GB"/>
        </w:rPr>
        <w:t>2</w:t>
      </w:r>
      <w:r w:rsidR="00780883">
        <w:rPr>
          <w:lang w:val="en-GB"/>
        </w:rPr>
        <w:t>)</w:t>
      </w:r>
      <w:r w:rsidR="006B1618" w:rsidRPr="002345C1">
        <w:rPr>
          <w:lang w:val="en-GB"/>
        </w:rPr>
        <w:t xml:space="preserve"> (b) of the Optional Protocol from examining the present communication.</w:t>
      </w:r>
    </w:p>
    <w:p w14:paraId="6AD71DF1" w14:textId="12B4FC1A" w:rsidR="00993D15" w:rsidRDefault="007D3F7D" w:rsidP="00AD2DE6">
      <w:pPr>
        <w:pStyle w:val="SingleTxtG"/>
        <w:rPr>
          <w:lang w:val="en-GB"/>
        </w:rPr>
      </w:pPr>
      <w:r>
        <w:rPr>
          <w:lang w:val="en-GB"/>
        </w:rPr>
        <w:t>10</w:t>
      </w:r>
      <w:r w:rsidR="00F60C3B" w:rsidRPr="00F60C3B">
        <w:rPr>
          <w:lang w:val="en-GB"/>
        </w:rPr>
        <w:t>.</w:t>
      </w:r>
      <w:r w:rsidR="009B1F40">
        <w:rPr>
          <w:lang w:val="en-GB"/>
        </w:rPr>
        <w:t>4</w:t>
      </w:r>
      <w:r w:rsidR="00F60C3B">
        <w:rPr>
          <w:lang w:val="en-GB"/>
        </w:rPr>
        <w:tab/>
      </w:r>
      <w:r w:rsidR="00993D15" w:rsidRPr="002B43BC">
        <w:rPr>
          <w:iCs/>
          <w:lang w:val="en-US" w:eastAsia="en-GB"/>
        </w:rPr>
        <w:t xml:space="preserve">The Committee notes that the alleged violations of </w:t>
      </w:r>
      <w:r w:rsidR="00993D15" w:rsidRPr="002B43BC">
        <w:t xml:space="preserve">article </w:t>
      </w:r>
      <w:r w:rsidR="00993D15">
        <w:t xml:space="preserve">9 of the Covenant, </w:t>
      </w:r>
      <w:r w:rsidR="00993D15" w:rsidRPr="002B43BC">
        <w:rPr>
          <w:iCs/>
          <w:lang w:val="en-US" w:eastAsia="en-GB"/>
        </w:rPr>
        <w:t xml:space="preserve">relating to </w:t>
      </w:r>
      <w:r w:rsidR="00993D15">
        <w:rPr>
          <w:iCs/>
          <w:lang w:val="en-US" w:eastAsia="en-GB"/>
        </w:rPr>
        <w:t xml:space="preserve">the author’s </w:t>
      </w:r>
      <w:r w:rsidR="008225B5">
        <w:rPr>
          <w:iCs/>
          <w:lang w:val="en-US" w:eastAsia="en-GB"/>
        </w:rPr>
        <w:t>a</w:t>
      </w:r>
      <w:r w:rsidR="008D2A25">
        <w:rPr>
          <w:iCs/>
          <w:lang w:val="en-US" w:eastAsia="en-GB"/>
        </w:rPr>
        <w:t>bd</w:t>
      </w:r>
      <w:r w:rsidR="008225B5">
        <w:rPr>
          <w:iCs/>
          <w:lang w:val="en-US" w:eastAsia="en-GB"/>
        </w:rPr>
        <w:t>uction</w:t>
      </w:r>
      <w:r w:rsidR="00993D15">
        <w:rPr>
          <w:iCs/>
          <w:lang w:val="en-US" w:eastAsia="en-GB"/>
        </w:rPr>
        <w:t xml:space="preserve"> by the </w:t>
      </w:r>
      <w:r w:rsidR="00D57E56">
        <w:rPr>
          <w:iCs/>
          <w:lang w:val="en-US" w:eastAsia="en-GB"/>
        </w:rPr>
        <w:t xml:space="preserve">National Security Committee </w:t>
      </w:r>
      <w:r w:rsidR="00993D15" w:rsidRPr="0004616E">
        <w:rPr>
          <w:iCs/>
          <w:lang w:val="en-US" w:eastAsia="en-GB"/>
        </w:rPr>
        <w:t>officers</w:t>
      </w:r>
      <w:r w:rsidR="00993D15">
        <w:rPr>
          <w:iCs/>
          <w:lang w:val="en-US" w:eastAsia="en-GB"/>
        </w:rPr>
        <w:t xml:space="preserve"> on 1 December 2008 and on 6 January 2009</w:t>
      </w:r>
      <w:r w:rsidR="00993D15">
        <w:t xml:space="preserve">, </w:t>
      </w:r>
      <w:r w:rsidR="00993D15" w:rsidRPr="002B43BC">
        <w:rPr>
          <w:iCs/>
          <w:lang w:val="en-US" w:eastAsia="en-GB"/>
        </w:rPr>
        <w:t>occurred prior to the entry into force of the Optional Protocol for the State party</w:t>
      </w:r>
      <w:r w:rsidR="00760DE3">
        <w:rPr>
          <w:iCs/>
          <w:lang w:val="en-US" w:eastAsia="en-GB"/>
        </w:rPr>
        <w:t>,</w:t>
      </w:r>
      <w:r w:rsidR="00993D15" w:rsidRPr="002B43BC">
        <w:rPr>
          <w:iCs/>
          <w:lang w:val="en-US" w:eastAsia="en-GB"/>
        </w:rPr>
        <w:t xml:space="preserve"> </w:t>
      </w:r>
      <w:r w:rsidR="00D57E56">
        <w:rPr>
          <w:iCs/>
          <w:lang w:val="en-US" w:eastAsia="en-GB"/>
        </w:rPr>
        <w:t>that is,</w:t>
      </w:r>
      <w:r w:rsidR="00993D15" w:rsidRPr="002B43BC">
        <w:rPr>
          <w:iCs/>
          <w:lang w:val="en-US" w:eastAsia="en-GB"/>
        </w:rPr>
        <w:t xml:space="preserve"> before 30 September 2009. </w:t>
      </w:r>
      <w:r w:rsidR="00813EAF" w:rsidRPr="00650921">
        <w:rPr>
          <w:lang w:val="en-US"/>
        </w:rPr>
        <w:t xml:space="preserve">The </w:t>
      </w:r>
      <w:r w:rsidR="00813EAF">
        <w:rPr>
          <w:lang w:val="en-US"/>
        </w:rPr>
        <w:t xml:space="preserve">Committee also notes that the </w:t>
      </w:r>
      <w:r w:rsidR="00813EAF" w:rsidRPr="00650921">
        <w:rPr>
          <w:lang w:val="en-US"/>
        </w:rPr>
        <w:t>author</w:t>
      </w:r>
      <w:r w:rsidR="008239DF">
        <w:rPr>
          <w:lang w:val="en-US"/>
        </w:rPr>
        <w:t>’s</w:t>
      </w:r>
      <w:r w:rsidR="00813EAF" w:rsidRPr="00650921">
        <w:rPr>
          <w:lang w:val="en-US"/>
        </w:rPr>
        <w:t xml:space="preserve"> claims that his rights under article 17</w:t>
      </w:r>
      <w:r w:rsidR="008239DF">
        <w:rPr>
          <w:lang w:val="en-US"/>
        </w:rPr>
        <w:t xml:space="preserve"> (</w:t>
      </w:r>
      <w:r w:rsidR="00813EAF" w:rsidRPr="00650921">
        <w:rPr>
          <w:lang w:val="en-US"/>
        </w:rPr>
        <w:t>1</w:t>
      </w:r>
      <w:r w:rsidR="008239DF">
        <w:rPr>
          <w:lang w:val="en-US"/>
        </w:rPr>
        <w:t>)</w:t>
      </w:r>
      <w:r w:rsidR="00813EAF" w:rsidRPr="00650921">
        <w:rPr>
          <w:lang w:val="en-US"/>
        </w:rPr>
        <w:t xml:space="preserve"> and </w:t>
      </w:r>
      <w:proofErr w:type="gramStart"/>
      <w:r w:rsidR="008239DF">
        <w:rPr>
          <w:lang w:val="en-US"/>
        </w:rPr>
        <w:t>(</w:t>
      </w:r>
      <w:r w:rsidR="00813EAF" w:rsidRPr="00650921">
        <w:rPr>
          <w:lang w:val="en-US"/>
        </w:rPr>
        <w:t>2</w:t>
      </w:r>
      <w:r w:rsidR="008239DF">
        <w:rPr>
          <w:lang w:val="en-US"/>
        </w:rPr>
        <w:t>) were violated</w:t>
      </w:r>
      <w:proofErr w:type="gramEnd"/>
      <w:r w:rsidR="008914CA">
        <w:rPr>
          <w:lang w:val="en-US"/>
        </w:rPr>
        <w:t xml:space="preserve"> refer to</w:t>
      </w:r>
      <w:r w:rsidR="008225B5">
        <w:rPr>
          <w:lang w:val="en-US"/>
        </w:rPr>
        <w:t xml:space="preserve"> </w:t>
      </w:r>
      <w:r w:rsidR="00813EAF">
        <w:rPr>
          <w:lang w:val="en-US"/>
        </w:rPr>
        <w:t xml:space="preserve">events </w:t>
      </w:r>
      <w:r w:rsidR="00D57E56">
        <w:rPr>
          <w:lang w:val="en-US"/>
        </w:rPr>
        <w:t>that</w:t>
      </w:r>
      <w:r w:rsidR="008914CA">
        <w:rPr>
          <w:lang w:val="en-US"/>
        </w:rPr>
        <w:t xml:space="preserve"> </w:t>
      </w:r>
      <w:r w:rsidR="00813EAF">
        <w:rPr>
          <w:lang w:val="en-US"/>
        </w:rPr>
        <w:t xml:space="preserve">also took place before the entry into force of </w:t>
      </w:r>
      <w:r w:rsidR="00D57E56">
        <w:rPr>
          <w:lang w:val="en-US"/>
        </w:rPr>
        <w:t xml:space="preserve">the </w:t>
      </w:r>
      <w:r w:rsidR="00813EAF">
        <w:rPr>
          <w:lang w:val="en-US"/>
        </w:rPr>
        <w:t>Optional Protocol</w:t>
      </w:r>
      <w:r w:rsidR="00813EAF" w:rsidRPr="00650921">
        <w:rPr>
          <w:lang w:val="en-US"/>
        </w:rPr>
        <w:t>.</w:t>
      </w:r>
      <w:r w:rsidR="00813EAF">
        <w:rPr>
          <w:lang w:val="en-US"/>
        </w:rPr>
        <w:t xml:space="preserve"> </w:t>
      </w:r>
      <w:r w:rsidR="00D57E56">
        <w:rPr>
          <w:iCs/>
          <w:lang w:val="en-US" w:eastAsia="en-GB"/>
        </w:rPr>
        <w:t>T</w:t>
      </w:r>
      <w:r w:rsidR="00993D15">
        <w:rPr>
          <w:iCs/>
          <w:lang w:val="en-US" w:eastAsia="en-GB"/>
        </w:rPr>
        <w:t>he Committee is</w:t>
      </w:r>
      <w:r w:rsidR="00993D15">
        <w:rPr>
          <w:lang w:val="en-US"/>
        </w:rPr>
        <w:t xml:space="preserve"> </w:t>
      </w:r>
      <w:r w:rsidR="00D57E56">
        <w:rPr>
          <w:lang w:val="en-US"/>
        </w:rPr>
        <w:t xml:space="preserve">thus </w:t>
      </w:r>
      <w:r w:rsidR="00993D15">
        <w:rPr>
          <w:lang w:val="en-US"/>
        </w:rPr>
        <w:t xml:space="preserve">precluded </w:t>
      </w:r>
      <w:proofErr w:type="spellStart"/>
      <w:r w:rsidR="00993D15" w:rsidRPr="00160C46">
        <w:rPr>
          <w:i/>
          <w:lang w:val="en-US"/>
        </w:rPr>
        <w:t>ratione</w:t>
      </w:r>
      <w:proofErr w:type="spellEnd"/>
      <w:r w:rsidR="00993D15" w:rsidRPr="00160C46">
        <w:rPr>
          <w:i/>
          <w:lang w:val="en-US"/>
        </w:rPr>
        <w:t xml:space="preserve"> </w:t>
      </w:r>
      <w:proofErr w:type="spellStart"/>
      <w:r w:rsidR="00993D15" w:rsidRPr="00160C46">
        <w:rPr>
          <w:i/>
          <w:lang w:val="en-US"/>
        </w:rPr>
        <w:t>temporis</w:t>
      </w:r>
      <w:proofErr w:type="spellEnd"/>
      <w:r w:rsidR="00993D15">
        <w:rPr>
          <w:lang w:val="en-US"/>
        </w:rPr>
        <w:t xml:space="preserve"> from considering th</w:t>
      </w:r>
      <w:r w:rsidR="00D57E56">
        <w:rPr>
          <w:lang w:val="en-US"/>
        </w:rPr>
        <w:t>o</w:t>
      </w:r>
      <w:r w:rsidR="00813EAF">
        <w:rPr>
          <w:lang w:val="en-US"/>
        </w:rPr>
        <w:t>se claims</w:t>
      </w:r>
      <w:r w:rsidR="008225B5">
        <w:rPr>
          <w:lang w:val="en-US"/>
        </w:rPr>
        <w:t>,</w:t>
      </w:r>
      <w:r w:rsidR="00993D15">
        <w:rPr>
          <w:lang w:val="en-US"/>
        </w:rPr>
        <w:t xml:space="preserve"> in accordance with article </w:t>
      </w:r>
      <w:r w:rsidR="00AB03E6">
        <w:rPr>
          <w:lang w:val="en-US"/>
        </w:rPr>
        <w:t>1</w:t>
      </w:r>
      <w:r w:rsidR="00993D15">
        <w:rPr>
          <w:lang w:val="en-US"/>
        </w:rPr>
        <w:t xml:space="preserve"> of the Optional Protocol.</w:t>
      </w:r>
    </w:p>
    <w:p w14:paraId="59A49BE3" w14:textId="37DC2FB1" w:rsidR="00D930F9" w:rsidRDefault="007D3F7D">
      <w:pPr>
        <w:pStyle w:val="SingleTxtG"/>
        <w:rPr>
          <w:lang w:val="en-US"/>
        </w:rPr>
      </w:pPr>
      <w:proofErr w:type="gramStart"/>
      <w:r>
        <w:rPr>
          <w:lang w:val="en-GB"/>
        </w:rPr>
        <w:t>10</w:t>
      </w:r>
      <w:r w:rsidR="00993D15">
        <w:rPr>
          <w:lang w:val="en-GB"/>
        </w:rPr>
        <w:t>.</w:t>
      </w:r>
      <w:r w:rsidR="009B1F40">
        <w:rPr>
          <w:lang w:val="en-GB"/>
        </w:rPr>
        <w:t>5</w:t>
      </w:r>
      <w:r w:rsidR="00993D15">
        <w:rPr>
          <w:lang w:val="en-GB"/>
        </w:rPr>
        <w:tab/>
      </w:r>
      <w:r w:rsidR="00813EAF">
        <w:rPr>
          <w:lang w:val="en-GB"/>
        </w:rPr>
        <w:t>The Committee also notes that</w:t>
      </w:r>
      <w:r w:rsidR="008239DF">
        <w:rPr>
          <w:lang w:val="en-GB"/>
        </w:rPr>
        <w:t xml:space="preserve">, while </w:t>
      </w:r>
      <w:r w:rsidR="00813EAF">
        <w:rPr>
          <w:lang w:val="en-GB"/>
        </w:rPr>
        <w:t xml:space="preserve">the first instance trial took place before the entry into force of the </w:t>
      </w:r>
      <w:r w:rsidR="00813EAF" w:rsidRPr="00675A40">
        <w:t>Optional</w:t>
      </w:r>
      <w:r w:rsidR="00813EAF">
        <w:rPr>
          <w:lang w:val="en-GB"/>
        </w:rPr>
        <w:t xml:space="preserve"> Protocol for the State party,</w:t>
      </w:r>
      <w:r w:rsidR="008239DF">
        <w:rPr>
          <w:lang w:val="en-GB"/>
        </w:rPr>
        <w:t xml:space="preserve"> </w:t>
      </w:r>
      <w:r w:rsidR="00813EAF">
        <w:rPr>
          <w:lang w:val="en-GB"/>
        </w:rPr>
        <w:t>the second instance decision, fully confirming the verdict against the author</w:t>
      </w:r>
      <w:r w:rsidR="00D57E56">
        <w:rPr>
          <w:lang w:val="en-GB"/>
        </w:rPr>
        <w:t>,</w:t>
      </w:r>
      <w:r w:rsidR="00813EAF">
        <w:rPr>
          <w:lang w:val="en-GB"/>
        </w:rPr>
        <w:t xml:space="preserve"> was issued on 22 October 2009</w:t>
      </w:r>
      <w:r w:rsidR="008239DF">
        <w:rPr>
          <w:lang w:val="en-GB"/>
        </w:rPr>
        <w:t xml:space="preserve">, and </w:t>
      </w:r>
      <w:r w:rsidR="00813EAF">
        <w:rPr>
          <w:lang w:val="en-GB"/>
        </w:rPr>
        <w:t xml:space="preserve">the </w:t>
      </w:r>
      <w:r w:rsidR="00D930F9" w:rsidRPr="00650921">
        <w:rPr>
          <w:lang w:val="en-US"/>
        </w:rPr>
        <w:t>author’s application</w:t>
      </w:r>
      <w:r w:rsidR="00D930F9">
        <w:rPr>
          <w:lang w:val="en-US"/>
        </w:rPr>
        <w:t>s</w:t>
      </w:r>
      <w:r w:rsidR="00D930F9" w:rsidRPr="00650921">
        <w:rPr>
          <w:lang w:val="en-US"/>
        </w:rPr>
        <w:t xml:space="preserve"> for supervisory review </w:t>
      </w:r>
      <w:r w:rsidR="00D930F9">
        <w:rPr>
          <w:lang w:val="en-US"/>
        </w:rPr>
        <w:t xml:space="preserve">before the </w:t>
      </w:r>
      <w:r w:rsidR="00D930F9" w:rsidRPr="00650921">
        <w:rPr>
          <w:lang w:val="en-US"/>
        </w:rPr>
        <w:t xml:space="preserve">Regional Court </w:t>
      </w:r>
      <w:r w:rsidR="00D930F9">
        <w:rPr>
          <w:lang w:val="en-US"/>
        </w:rPr>
        <w:t>and the Supreme Court were</w:t>
      </w:r>
      <w:r w:rsidR="00D930F9" w:rsidRPr="00650921">
        <w:rPr>
          <w:lang w:val="en-US"/>
        </w:rPr>
        <w:t xml:space="preserve"> rejected on 14 December 2009</w:t>
      </w:r>
      <w:r w:rsidR="00D930F9">
        <w:rPr>
          <w:lang w:val="en-US"/>
        </w:rPr>
        <w:t xml:space="preserve"> and </w:t>
      </w:r>
      <w:r w:rsidR="00D930F9" w:rsidRPr="00650921">
        <w:rPr>
          <w:lang w:val="en-US"/>
        </w:rPr>
        <w:t>24 May 2010</w:t>
      </w:r>
      <w:r w:rsidR="00D57E56">
        <w:rPr>
          <w:lang w:val="en-US"/>
        </w:rPr>
        <w:t xml:space="preserve">, </w:t>
      </w:r>
      <w:r w:rsidR="00D57E56" w:rsidRPr="00D57E56">
        <w:rPr>
          <w:lang w:val="en-US"/>
        </w:rPr>
        <w:t>respectively</w:t>
      </w:r>
      <w:r w:rsidR="00D930F9" w:rsidRPr="00650921">
        <w:rPr>
          <w:lang w:val="en-US"/>
        </w:rPr>
        <w:t>.</w:t>
      </w:r>
      <w:proofErr w:type="gramEnd"/>
      <w:r w:rsidR="00D930F9">
        <w:rPr>
          <w:lang w:val="en-US"/>
        </w:rPr>
        <w:t xml:space="preserve"> Accordingly</w:t>
      </w:r>
      <w:r w:rsidR="008239DF">
        <w:rPr>
          <w:lang w:val="en-US"/>
        </w:rPr>
        <w:t>,</w:t>
      </w:r>
      <w:r w:rsidR="00D930F9">
        <w:rPr>
          <w:lang w:val="en-US"/>
        </w:rPr>
        <w:t xml:space="preserve"> the Committee is not precluded </w:t>
      </w:r>
      <w:r w:rsidR="00D930F9" w:rsidRPr="00160C46">
        <w:rPr>
          <w:i/>
          <w:lang w:val="en-US"/>
        </w:rPr>
        <w:t>ratione temporis</w:t>
      </w:r>
      <w:r w:rsidR="00D930F9">
        <w:rPr>
          <w:lang w:val="en-US"/>
        </w:rPr>
        <w:t xml:space="preserve"> from considering the author’s claims under article</w:t>
      </w:r>
      <w:r w:rsidR="008239DF">
        <w:rPr>
          <w:lang w:val="en-US"/>
        </w:rPr>
        <w:t>s</w:t>
      </w:r>
      <w:r w:rsidR="00D930F9">
        <w:rPr>
          <w:lang w:val="en-US"/>
        </w:rPr>
        <w:t xml:space="preserve"> 14 and 19 of the Covenant. Similarly, the Committee is not precluded </w:t>
      </w:r>
      <w:r w:rsidR="00D930F9" w:rsidRPr="00160C46">
        <w:rPr>
          <w:i/>
          <w:lang w:val="en-US"/>
        </w:rPr>
        <w:t>ratione temporis</w:t>
      </w:r>
      <w:r w:rsidR="00D930F9">
        <w:rPr>
          <w:lang w:val="en-US"/>
        </w:rPr>
        <w:t xml:space="preserve"> from considering the author’s claims under article 10, </w:t>
      </w:r>
      <w:r w:rsidR="008239DF">
        <w:rPr>
          <w:lang w:val="en-US"/>
        </w:rPr>
        <w:t>inso</w:t>
      </w:r>
      <w:r w:rsidR="00D930F9">
        <w:rPr>
          <w:lang w:val="en-US"/>
        </w:rPr>
        <w:t>far as the above claims concern the period after 30 September 2009.</w:t>
      </w:r>
    </w:p>
    <w:p w14:paraId="1AFD3EB1" w14:textId="58079ABF" w:rsidR="00242AE6" w:rsidRDefault="007D3F7D">
      <w:pPr>
        <w:pStyle w:val="SingleTxtG"/>
        <w:rPr>
          <w:lang w:val="en-GB"/>
        </w:rPr>
      </w:pPr>
      <w:r>
        <w:rPr>
          <w:lang w:val="en-GB"/>
        </w:rPr>
        <w:t>10</w:t>
      </w:r>
      <w:r w:rsidR="00242AE6">
        <w:rPr>
          <w:lang w:val="en-GB"/>
        </w:rPr>
        <w:t>.6</w:t>
      </w:r>
      <w:r w:rsidR="00242AE6">
        <w:rPr>
          <w:lang w:val="en-GB"/>
        </w:rPr>
        <w:tab/>
      </w:r>
      <w:r w:rsidR="00242AE6" w:rsidRPr="00BA48A2">
        <w:t xml:space="preserve">The Committee further notes the author’s allegations that the principle of presumption of innocence </w:t>
      </w:r>
      <w:r w:rsidR="00242AE6" w:rsidRPr="00DC04F3">
        <w:rPr>
          <w:lang w:val="en-GB"/>
        </w:rPr>
        <w:t>under article 14</w:t>
      </w:r>
      <w:r w:rsidR="00D57E56">
        <w:rPr>
          <w:lang w:val="en-GB"/>
        </w:rPr>
        <w:t> </w:t>
      </w:r>
      <w:r w:rsidR="00242AE6" w:rsidRPr="00DC04F3">
        <w:rPr>
          <w:lang w:val="en-GB"/>
        </w:rPr>
        <w:t xml:space="preserve">(2) of the Covenant </w:t>
      </w:r>
      <w:r w:rsidR="00242AE6" w:rsidRPr="00BA48A2">
        <w:t xml:space="preserve">was not respected in his case, because </w:t>
      </w:r>
      <w:r w:rsidR="00242AE6" w:rsidRPr="00BA48A2">
        <w:rPr>
          <w:lang w:val="en-US"/>
        </w:rPr>
        <w:t>in the course of the preliminary investigation</w:t>
      </w:r>
      <w:r w:rsidR="00242AE6" w:rsidRPr="00CD0118">
        <w:rPr>
          <w:lang w:val="en-US"/>
        </w:rPr>
        <w:t xml:space="preserve">, </w:t>
      </w:r>
      <w:r w:rsidR="00AB03E6" w:rsidRPr="00CD0118">
        <w:rPr>
          <w:lang w:val="en-US"/>
        </w:rPr>
        <w:t xml:space="preserve">statements </w:t>
      </w:r>
      <w:r w:rsidR="007F0F42" w:rsidRPr="00CD0118">
        <w:rPr>
          <w:lang w:val="en-US"/>
        </w:rPr>
        <w:t xml:space="preserve">by </w:t>
      </w:r>
      <w:r w:rsidR="005568DE" w:rsidRPr="00CD0118">
        <w:rPr>
          <w:lang w:val="en-US"/>
        </w:rPr>
        <w:t xml:space="preserve">a </w:t>
      </w:r>
      <w:r w:rsidR="007F0F42" w:rsidRPr="00CD0118">
        <w:rPr>
          <w:lang w:val="en-US"/>
        </w:rPr>
        <w:t>high</w:t>
      </w:r>
      <w:r w:rsidR="00D57E56">
        <w:rPr>
          <w:lang w:val="en-US"/>
        </w:rPr>
        <w:t>-ranking</w:t>
      </w:r>
      <w:r w:rsidR="007F0F42" w:rsidRPr="00CD0118">
        <w:rPr>
          <w:lang w:val="en-US"/>
        </w:rPr>
        <w:t xml:space="preserve"> government official </w:t>
      </w:r>
      <w:r w:rsidR="00AB03E6" w:rsidRPr="00CD0118">
        <w:rPr>
          <w:lang w:val="en-US"/>
        </w:rPr>
        <w:t xml:space="preserve">were disseminated in mass media and </w:t>
      </w:r>
      <w:r w:rsidR="00242AE6" w:rsidRPr="00CD0118">
        <w:rPr>
          <w:lang w:val="en-US"/>
        </w:rPr>
        <w:t>during OSCE meetings.</w:t>
      </w:r>
      <w:r w:rsidR="00242AE6" w:rsidRPr="00CD0118">
        <w:rPr>
          <w:lang w:val="en-GB"/>
        </w:rPr>
        <w:t xml:space="preserve"> </w:t>
      </w:r>
      <w:r w:rsidR="00242AE6" w:rsidRPr="00CD0118">
        <w:t xml:space="preserve">The Committee notes that </w:t>
      </w:r>
      <w:r w:rsidR="007F0F42" w:rsidRPr="00694F24">
        <w:rPr>
          <w:lang w:val="en-GB"/>
        </w:rPr>
        <w:t>the statem</w:t>
      </w:r>
      <w:r w:rsidR="007F0F42" w:rsidRPr="00CD0118">
        <w:rPr>
          <w:lang w:val="en-GB"/>
        </w:rPr>
        <w:t>e</w:t>
      </w:r>
      <w:r w:rsidR="007F0F42" w:rsidRPr="00694F24">
        <w:rPr>
          <w:lang w:val="en-GB"/>
        </w:rPr>
        <w:t>nt made by a Kazakh official in</w:t>
      </w:r>
      <w:r w:rsidR="007F0F42" w:rsidRPr="00CD0118">
        <w:rPr>
          <w:lang w:val="en-GB"/>
        </w:rPr>
        <w:t xml:space="preserve"> a</w:t>
      </w:r>
      <w:r w:rsidR="005568DE" w:rsidRPr="00CD0118">
        <w:rPr>
          <w:lang w:val="en-GB"/>
        </w:rPr>
        <w:t xml:space="preserve">n </w:t>
      </w:r>
      <w:r w:rsidR="007F0F42" w:rsidRPr="00694F24">
        <w:rPr>
          <w:lang w:val="en-GB"/>
        </w:rPr>
        <w:t>OSCE meeting</w:t>
      </w:r>
      <w:r w:rsidR="007F0F42" w:rsidRPr="00CD0118">
        <w:rPr>
          <w:lang w:val="en-GB"/>
        </w:rPr>
        <w:t xml:space="preserve"> in response to a statement addressed to the </w:t>
      </w:r>
      <w:r w:rsidR="00D57E56">
        <w:rPr>
          <w:lang w:val="en-GB"/>
        </w:rPr>
        <w:t>G</w:t>
      </w:r>
      <w:r w:rsidR="007F0F42" w:rsidRPr="00CD0118">
        <w:rPr>
          <w:lang w:val="en-GB"/>
        </w:rPr>
        <w:t>overnment</w:t>
      </w:r>
      <w:r w:rsidR="00D57E56">
        <w:rPr>
          <w:lang w:val="en-GB"/>
        </w:rPr>
        <w:t xml:space="preserve"> of Kazakhstan</w:t>
      </w:r>
      <w:r w:rsidR="007F0F42" w:rsidRPr="00CD0118">
        <w:rPr>
          <w:lang w:val="en-GB"/>
        </w:rPr>
        <w:t xml:space="preserve"> was of a general nature and </w:t>
      </w:r>
      <w:r w:rsidR="00242AE6" w:rsidRPr="00CD0118">
        <w:t xml:space="preserve">there is no indication in the information before it </w:t>
      </w:r>
      <w:r w:rsidR="00D57E56">
        <w:rPr>
          <w:lang w:val="en-US"/>
        </w:rPr>
        <w:t>that</w:t>
      </w:r>
      <w:r w:rsidR="00D57E56" w:rsidRPr="00CD0118">
        <w:t xml:space="preserve"> </w:t>
      </w:r>
      <w:r w:rsidR="00242AE6" w:rsidRPr="00CD0118">
        <w:t>shows how</w:t>
      </w:r>
      <w:r w:rsidR="00242AE6" w:rsidRPr="00CD0118">
        <w:rPr>
          <w:lang w:val="en-GB"/>
        </w:rPr>
        <w:t xml:space="preserve"> </w:t>
      </w:r>
      <w:r w:rsidR="007F0F42" w:rsidRPr="00CD0118">
        <w:rPr>
          <w:lang w:val="en-GB"/>
        </w:rPr>
        <w:t>it</w:t>
      </w:r>
      <w:r w:rsidR="00242AE6" w:rsidRPr="00CD0118">
        <w:t xml:space="preserve"> would have affected the author’s right to be presumed innocent</w:t>
      </w:r>
      <w:r w:rsidR="007F0F42" w:rsidRPr="00694F24">
        <w:rPr>
          <w:lang w:val="en-GB"/>
        </w:rPr>
        <w:t xml:space="preserve">. The Committee therefore </w:t>
      </w:r>
      <w:r w:rsidR="00242AE6" w:rsidRPr="00CD0118">
        <w:t>considers the author’s</w:t>
      </w:r>
      <w:r w:rsidR="00242AE6">
        <w:t xml:space="preserve"> claim under article 14</w:t>
      </w:r>
      <w:r w:rsidR="00D57E56">
        <w:rPr>
          <w:lang w:val="en-US"/>
        </w:rPr>
        <w:t> </w:t>
      </w:r>
      <w:r w:rsidR="0022175C">
        <w:t>(</w:t>
      </w:r>
      <w:r w:rsidR="00242AE6">
        <w:t>2</w:t>
      </w:r>
      <w:r w:rsidR="0022175C">
        <w:t>)</w:t>
      </w:r>
      <w:r w:rsidR="00242AE6">
        <w:t xml:space="preserve"> of the Covenant</w:t>
      </w:r>
      <w:r w:rsidR="00242AE6" w:rsidRPr="004F35C0">
        <w:t xml:space="preserve"> inadmissible under article </w:t>
      </w:r>
      <w:proofErr w:type="gramStart"/>
      <w:r w:rsidR="00AB03E6">
        <w:t>2</w:t>
      </w:r>
      <w:proofErr w:type="gramEnd"/>
      <w:r w:rsidR="00242AE6" w:rsidRPr="004F35C0">
        <w:t xml:space="preserve"> of the Optional Protocol</w:t>
      </w:r>
      <w:r w:rsidR="00242AE6">
        <w:t xml:space="preserve"> as insufficiently substantiated</w:t>
      </w:r>
      <w:r w:rsidR="00242AE6" w:rsidRPr="004F35C0">
        <w:t>.</w:t>
      </w:r>
      <w:r w:rsidR="00304F66">
        <w:t xml:space="preserve"> </w:t>
      </w:r>
    </w:p>
    <w:p w14:paraId="005ABD02" w14:textId="2FA71C36" w:rsidR="001F1088" w:rsidRPr="001F1088" w:rsidRDefault="007D3F7D" w:rsidP="001F1088">
      <w:pPr>
        <w:pStyle w:val="SingleTxtG"/>
        <w:rPr>
          <w:lang w:val="en-GB"/>
        </w:rPr>
      </w:pPr>
      <w:proofErr w:type="gramStart"/>
      <w:r>
        <w:rPr>
          <w:lang w:val="en-GB"/>
        </w:rPr>
        <w:t>10</w:t>
      </w:r>
      <w:r w:rsidR="00D930F9">
        <w:rPr>
          <w:lang w:val="en-GB"/>
        </w:rPr>
        <w:t>.</w:t>
      </w:r>
      <w:r w:rsidR="00242AE6">
        <w:rPr>
          <w:lang w:val="en-GB"/>
        </w:rPr>
        <w:t>7</w:t>
      </w:r>
      <w:r w:rsidR="001F1088" w:rsidRPr="001F1088">
        <w:rPr>
          <w:lang w:val="en-GB"/>
        </w:rPr>
        <w:tab/>
      </w:r>
      <w:r w:rsidR="0022175C">
        <w:rPr>
          <w:lang w:val="en-GB"/>
        </w:rPr>
        <w:t>In the Committee’s view, the author has sufficiently substantiated, for the purposes of admissibility, his</w:t>
      </w:r>
      <w:r w:rsidR="004352DD">
        <w:rPr>
          <w:lang w:val="en-GB"/>
        </w:rPr>
        <w:t xml:space="preserve"> </w:t>
      </w:r>
      <w:r w:rsidR="001F1088" w:rsidRPr="001F1088">
        <w:rPr>
          <w:lang w:val="en-GB"/>
        </w:rPr>
        <w:t xml:space="preserve">claims </w:t>
      </w:r>
      <w:r w:rsidR="0022175C">
        <w:rPr>
          <w:lang w:val="en-GB"/>
        </w:rPr>
        <w:t xml:space="preserve">under </w:t>
      </w:r>
      <w:r w:rsidR="001F1088" w:rsidRPr="001F1088">
        <w:rPr>
          <w:lang w:val="en-GB"/>
        </w:rPr>
        <w:t>article 9</w:t>
      </w:r>
      <w:r w:rsidR="00D57E56">
        <w:rPr>
          <w:lang w:val="en-GB"/>
        </w:rPr>
        <w:t> </w:t>
      </w:r>
      <w:r w:rsidR="0022175C">
        <w:rPr>
          <w:lang w:val="en-GB"/>
        </w:rPr>
        <w:t>(</w:t>
      </w:r>
      <w:r w:rsidR="00CC2C70">
        <w:rPr>
          <w:lang w:val="en-GB"/>
        </w:rPr>
        <w:t>1</w:t>
      </w:r>
      <w:r w:rsidR="0022175C">
        <w:rPr>
          <w:lang w:val="en-GB"/>
        </w:rPr>
        <w:t>)</w:t>
      </w:r>
      <w:r w:rsidR="00CC2C70">
        <w:rPr>
          <w:lang w:val="en-GB"/>
        </w:rPr>
        <w:t xml:space="preserve"> </w:t>
      </w:r>
      <w:r w:rsidR="00D930F9">
        <w:rPr>
          <w:lang w:val="en-GB"/>
        </w:rPr>
        <w:t>and</w:t>
      </w:r>
      <w:r w:rsidR="00D57E56">
        <w:rPr>
          <w:lang w:val="en-GB"/>
        </w:rPr>
        <w:t> </w:t>
      </w:r>
      <w:r w:rsidR="0022175C">
        <w:rPr>
          <w:lang w:val="en-GB"/>
        </w:rPr>
        <w:t>(</w:t>
      </w:r>
      <w:r w:rsidR="00D930F9">
        <w:rPr>
          <w:lang w:val="en-GB"/>
        </w:rPr>
        <w:t>5</w:t>
      </w:r>
      <w:r w:rsidR="0022175C">
        <w:rPr>
          <w:lang w:val="en-GB"/>
        </w:rPr>
        <w:t>)</w:t>
      </w:r>
      <w:r w:rsidR="00D930F9">
        <w:rPr>
          <w:lang w:val="en-GB"/>
        </w:rPr>
        <w:t xml:space="preserve"> </w:t>
      </w:r>
      <w:r w:rsidR="00926998">
        <w:rPr>
          <w:lang w:val="en-GB"/>
        </w:rPr>
        <w:t>and under article 2</w:t>
      </w:r>
      <w:r w:rsidR="00D57E56">
        <w:rPr>
          <w:lang w:val="en-GB"/>
        </w:rPr>
        <w:t> </w:t>
      </w:r>
      <w:r w:rsidR="00926998">
        <w:rPr>
          <w:lang w:val="en-GB"/>
        </w:rPr>
        <w:t>(3)</w:t>
      </w:r>
      <w:r w:rsidR="00D57E56">
        <w:rPr>
          <w:lang w:val="en-GB"/>
        </w:rPr>
        <w:t>,</w:t>
      </w:r>
      <w:r w:rsidR="00926998">
        <w:rPr>
          <w:lang w:val="en-GB"/>
        </w:rPr>
        <w:t xml:space="preserve"> read in conjunction with article 9</w:t>
      </w:r>
      <w:r w:rsidR="00D57E56">
        <w:rPr>
          <w:lang w:val="en-GB"/>
        </w:rPr>
        <w:t> </w:t>
      </w:r>
      <w:r w:rsidR="00926998">
        <w:rPr>
          <w:lang w:val="en-GB"/>
        </w:rPr>
        <w:t xml:space="preserve">(1) and (5) </w:t>
      </w:r>
      <w:r w:rsidR="00D930F9">
        <w:rPr>
          <w:lang w:val="en-GB"/>
        </w:rPr>
        <w:t xml:space="preserve">(in relation to his belated release from prison after serving his sentence), article </w:t>
      </w:r>
      <w:r w:rsidR="00BA48A2">
        <w:rPr>
          <w:lang w:val="en-GB"/>
        </w:rPr>
        <w:t xml:space="preserve">10, article </w:t>
      </w:r>
      <w:r w:rsidR="00D930F9">
        <w:rPr>
          <w:lang w:val="en-GB"/>
        </w:rPr>
        <w:t>14</w:t>
      </w:r>
      <w:r w:rsidR="001F1088" w:rsidRPr="001F1088">
        <w:rPr>
          <w:lang w:val="en-GB"/>
        </w:rPr>
        <w:t xml:space="preserve"> and article </w:t>
      </w:r>
      <w:r w:rsidR="00D930F9">
        <w:rPr>
          <w:lang w:val="en-GB"/>
        </w:rPr>
        <w:t>19</w:t>
      </w:r>
      <w:r w:rsidR="00FA5BA0">
        <w:rPr>
          <w:lang w:val="en-GB"/>
        </w:rPr>
        <w:t xml:space="preserve"> </w:t>
      </w:r>
      <w:r w:rsidR="001F1088" w:rsidRPr="001F1088">
        <w:rPr>
          <w:lang w:val="en-GB"/>
        </w:rPr>
        <w:t>of the Covenant</w:t>
      </w:r>
      <w:r w:rsidR="00873755">
        <w:rPr>
          <w:lang w:val="en-GB"/>
        </w:rPr>
        <w:t>,</w:t>
      </w:r>
      <w:r w:rsidR="0022175C">
        <w:rPr>
          <w:lang w:val="en-GB"/>
        </w:rPr>
        <w:t xml:space="preserve"> and therefore</w:t>
      </w:r>
      <w:r w:rsidR="00442317">
        <w:rPr>
          <w:lang w:val="en-GB"/>
        </w:rPr>
        <w:t xml:space="preserve"> </w:t>
      </w:r>
      <w:r w:rsidR="001F1088" w:rsidRPr="001F1088">
        <w:rPr>
          <w:lang w:val="en-GB"/>
        </w:rPr>
        <w:t xml:space="preserve">proceeds </w:t>
      </w:r>
      <w:r w:rsidR="004352DD">
        <w:rPr>
          <w:lang w:val="en-GB"/>
        </w:rPr>
        <w:t xml:space="preserve">with </w:t>
      </w:r>
      <w:r w:rsidR="0022175C">
        <w:rPr>
          <w:lang w:val="en-GB"/>
        </w:rPr>
        <w:t>its consideration</w:t>
      </w:r>
      <w:r w:rsidR="001F1088" w:rsidRPr="001F1088">
        <w:rPr>
          <w:lang w:val="en-GB"/>
        </w:rPr>
        <w:t xml:space="preserve"> o</w:t>
      </w:r>
      <w:r w:rsidR="0022175C">
        <w:rPr>
          <w:lang w:val="en-GB"/>
        </w:rPr>
        <w:t>f</w:t>
      </w:r>
      <w:r w:rsidR="001F1088" w:rsidRPr="001F1088">
        <w:rPr>
          <w:lang w:val="en-GB"/>
        </w:rPr>
        <w:t xml:space="preserve"> the merits.</w:t>
      </w:r>
      <w:proofErr w:type="gramEnd"/>
    </w:p>
    <w:p w14:paraId="3411ABC0" w14:textId="77777777" w:rsidR="00F35149" w:rsidRPr="006C6C87" w:rsidRDefault="00F35149" w:rsidP="00F35149">
      <w:pPr>
        <w:pStyle w:val="H4G"/>
      </w:pPr>
      <w:r w:rsidRPr="006C6C87">
        <w:tab/>
      </w:r>
      <w:r w:rsidRPr="006C6C87">
        <w:tab/>
        <w:t>Consideration of the merits</w:t>
      </w:r>
    </w:p>
    <w:p w14:paraId="24F6BD2B" w14:textId="7B76B1AB" w:rsidR="0018481A" w:rsidRDefault="00926998" w:rsidP="00546115">
      <w:pPr>
        <w:pStyle w:val="SingleTxtG"/>
      </w:pPr>
      <w:r w:rsidRPr="00926998">
        <w:rPr>
          <w:lang w:val="en-GB"/>
        </w:rPr>
        <w:t>1</w:t>
      </w:r>
      <w:r w:rsidR="007D3F7D">
        <w:rPr>
          <w:lang w:val="en-GB"/>
        </w:rPr>
        <w:t>1</w:t>
      </w:r>
      <w:r w:rsidR="00F35149" w:rsidRPr="006C6C87">
        <w:t>.</w:t>
      </w:r>
      <w:r w:rsidR="0018481A" w:rsidRPr="0018481A">
        <w:rPr>
          <w:lang w:val="en-GB"/>
        </w:rPr>
        <w:t>1</w:t>
      </w:r>
      <w:r w:rsidR="00F35149" w:rsidRPr="006C6C87">
        <w:tab/>
      </w:r>
      <w:r w:rsidR="0018481A">
        <w:t xml:space="preserve">The Committee has considered the present communication in the light of all the information made available to it by the parties, as </w:t>
      </w:r>
      <w:r w:rsidR="00873755">
        <w:rPr>
          <w:lang w:val="en-US"/>
        </w:rPr>
        <w:t>provided</w:t>
      </w:r>
      <w:r w:rsidR="00873755">
        <w:t xml:space="preserve"> </w:t>
      </w:r>
      <w:r w:rsidR="0018481A">
        <w:t>under article 5</w:t>
      </w:r>
      <w:r w:rsidR="00873755">
        <w:rPr>
          <w:lang w:val="en-US"/>
        </w:rPr>
        <w:t> </w:t>
      </w:r>
      <w:r w:rsidR="0072144E" w:rsidRPr="006262E9">
        <w:rPr>
          <w:lang w:val="en-GB"/>
        </w:rPr>
        <w:t>(1)</w:t>
      </w:r>
      <w:r w:rsidR="0018481A">
        <w:t xml:space="preserve"> of the Optional Protocol.</w:t>
      </w:r>
    </w:p>
    <w:p w14:paraId="28C3E95F" w14:textId="624426B1" w:rsidR="002B65FE" w:rsidRPr="00694F24" w:rsidRDefault="00926998" w:rsidP="00820122">
      <w:pPr>
        <w:pStyle w:val="SingleTxtG"/>
        <w:rPr>
          <w:lang w:val="en-GB"/>
        </w:rPr>
      </w:pPr>
      <w:r w:rsidRPr="00BA48A2">
        <w:rPr>
          <w:lang w:val="en-GB"/>
        </w:rPr>
        <w:t>1</w:t>
      </w:r>
      <w:r w:rsidR="007D3F7D">
        <w:rPr>
          <w:lang w:val="en-GB"/>
        </w:rPr>
        <w:t>1</w:t>
      </w:r>
      <w:r w:rsidR="00F60246" w:rsidRPr="00BA48A2">
        <w:rPr>
          <w:lang w:val="en-GB"/>
        </w:rPr>
        <w:t>.2</w:t>
      </w:r>
      <w:r w:rsidR="00F60246" w:rsidRPr="00BA48A2">
        <w:rPr>
          <w:lang w:val="en-GB"/>
        </w:rPr>
        <w:tab/>
      </w:r>
      <w:r w:rsidR="00820FB8" w:rsidRPr="00BA48A2">
        <w:rPr>
          <w:lang w:val="en-GB"/>
        </w:rPr>
        <w:t>The</w:t>
      </w:r>
      <w:r w:rsidR="00820FB8">
        <w:rPr>
          <w:lang w:val="en-GB"/>
        </w:rPr>
        <w:t xml:space="preserve"> Committee notes the author’s claims that </w:t>
      </w:r>
      <w:r w:rsidR="00820FB8">
        <w:rPr>
          <w:lang w:val="en-US"/>
        </w:rPr>
        <w:t>his rights under article</w:t>
      </w:r>
      <w:r w:rsidR="00820FB8" w:rsidRPr="00650921">
        <w:rPr>
          <w:lang w:val="en-US"/>
        </w:rPr>
        <w:t xml:space="preserve"> 10</w:t>
      </w:r>
      <w:r w:rsidR="00873755">
        <w:rPr>
          <w:lang w:val="en-US"/>
        </w:rPr>
        <w:t> </w:t>
      </w:r>
      <w:r w:rsidR="00820FB8">
        <w:rPr>
          <w:lang w:val="en-US"/>
        </w:rPr>
        <w:t xml:space="preserve">(1) </w:t>
      </w:r>
      <w:r w:rsidR="0022175C">
        <w:rPr>
          <w:lang w:val="en-US"/>
        </w:rPr>
        <w:t>were</w:t>
      </w:r>
      <w:r w:rsidR="00820FB8">
        <w:rPr>
          <w:lang w:val="en-US"/>
        </w:rPr>
        <w:t xml:space="preserve"> violated </w:t>
      </w:r>
      <w:r w:rsidR="00820FB8" w:rsidRPr="00650921">
        <w:rPr>
          <w:lang w:val="en-US"/>
        </w:rPr>
        <w:t>because in the course of investigation and legal proceedings</w:t>
      </w:r>
      <w:r w:rsidR="0022175C">
        <w:rPr>
          <w:lang w:val="en-US"/>
        </w:rPr>
        <w:t xml:space="preserve"> and his incarceration</w:t>
      </w:r>
      <w:r w:rsidR="00820FB8" w:rsidRPr="00650921">
        <w:rPr>
          <w:lang w:val="en-US"/>
        </w:rPr>
        <w:t xml:space="preserve"> he had no access to medical care and did not receive the treatment required for his </w:t>
      </w:r>
      <w:r w:rsidR="00820FB8">
        <w:rPr>
          <w:lang w:val="en-US"/>
        </w:rPr>
        <w:t xml:space="preserve">illnesses. </w:t>
      </w:r>
      <w:r w:rsidR="00820FB8" w:rsidRPr="00820122">
        <w:t>The</w:t>
      </w:r>
      <w:r w:rsidR="002B65FE" w:rsidRPr="00DC04F3">
        <w:rPr>
          <w:lang w:val="en-GB"/>
        </w:rPr>
        <w:t xml:space="preserve"> Committee, however</w:t>
      </w:r>
      <w:r w:rsidR="0022175C">
        <w:rPr>
          <w:lang w:val="en-GB"/>
        </w:rPr>
        <w:t>,</w:t>
      </w:r>
      <w:r w:rsidR="002B65FE" w:rsidRPr="00DC04F3">
        <w:rPr>
          <w:lang w:val="en-GB"/>
        </w:rPr>
        <w:t xml:space="preserve"> not</w:t>
      </w:r>
      <w:r w:rsidR="002B65FE">
        <w:rPr>
          <w:lang w:val="en-GB"/>
        </w:rPr>
        <w:t>e</w:t>
      </w:r>
      <w:r w:rsidR="002B65FE" w:rsidRPr="00DC04F3">
        <w:rPr>
          <w:lang w:val="en-GB"/>
        </w:rPr>
        <w:t xml:space="preserve">s the </w:t>
      </w:r>
      <w:r w:rsidR="00820FB8" w:rsidRPr="00820122">
        <w:t>State party</w:t>
      </w:r>
      <w:r w:rsidR="002B65FE" w:rsidRPr="00DC04F3">
        <w:rPr>
          <w:lang w:val="en-GB"/>
        </w:rPr>
        <w:t>’s submission</w:t>
      </w:r>
      <w:r w:rsidR="00820FB8" w:rsidRPr="00820122">
        <w:t xml:space="preserve"> that the author received </w:t>
      </w:r>
      <w:r w:rsidR="00820FB8" w:rsidRPr="00820FB8">
        <w:rPr>
          <w:lang w:val="en-GB"/>
        </w:rPr>
        <w:t>ade</w:t>
      </w:r>
      <w:r w:rsidR="00820FB8">
        <w:rPr>
          <w:lang w:val="en-GB"/>
        </w:rPr>
        <w:t>q</w:t>
      </w:r>
      <w:r w:rsidR="00820FB8" w:rsidRPr="00820FB8">
        <w:rPr>
          <w:lang w:val="en-GB"/>
        </w:rPr>
        <w:t>uate medical care</w:t>
      </w:r>
      <w:r w:rsidR="00820FB8">
        <w:rPr>
          <w:lang w:val="en-GB"/>
        </w:rPr>
        <w:t xml:space="preserve"> </w:t>
      </w:r>
      <w:r w:rsidR="00820FB8" w:rsidRPr="00820122">
        <w:t>when requ</w:t>
      </w:r>
      <w:r w:rsidR="00820FB8" w:rsidRPr="00820FB8">
        <w:rPr>
          <w:lang w:val="en-GB"/>
        </w:rPr>
        <w:t>i</w:t>
      </w:r>
      <w:r w:rsidR="00820FB8">
        <w:rPr>
          <w:lang w:val="en-GB"/>
        </w:rPr>
        <w:t>red while he was in the invest</w:t>
      </w:r>
      <w:r w:rsidR="00820FB8" w:rsidRPr="00820FB8">
        <w:rPr>
          <w:lang w:val="en-GB"/>
        </w:rPr>
        <w:t>igati</w:t>
      </w:r>
      <w:r w:rsidR="00820FB8">
        <w:rPr>
          <w:lang w:val="en-GB"/>
        </w:rPr>
        <w:t>ve</w:t>
      </w:r>
      <w:r w:rsidR="00820FB8" w:rsidRPr="00820FB8">
        <w:rPr>
          <w:lang w:val="en-GB"/>
        </w:rPr>
        <w:t xml:space="preserve"> detention cent</w:t>
      </w:r>
      <w:r w:rsidR="00873755">
        <w:rPr>
          <w:lang w:val="en-GB"/>
        </w:rPr>
        <w:t>r</w:t>
      </w:r>
      <w:r w:rsidR="00820FB8" w:rsidRPr="00820FB8">
        <w:rPr>
          <w:lang w:val="en-GB"/>
        </w:rPr>
        <w:t xml:space="preserve">e </w:t>
      </w:r>
      <w:r w:rsidR="00820FB8">
        <w:rPr>
          <w:lang w:val="en-GB"/>
        </w:rPr>
        <w:t xml:space="preserve">and while he was serving his sentence </w:t>
      </w:r>
      <w:r w:rsidR="002B65FE">
        <w:rPr>
          <w:lang w:val="en-GB"/>
        </w:rPr>
        <w:t xml:space="preserve">and provides detailed information regarding the medical services and treatment provided to the author </w:t>
      </w:r>
      <w:r w:rsidR="00820FB8">
        <w:rPr>
          <w:lang w:val="en-GB"/>
        </w:rPr>
        <w:t>(see para</w:t>
      </w:r>
      <w:r w:rsidR="001E0EB7">
        <w:rPr>
          <w:lang w:val="en-GB"/>
        </w:rPr>
        <w:t>.</w:t>
      </w:r>
      <w:r w:rsidR="00820FB8">
        <w:rPr>
          <w:lang w:val="en-GB"/>
        </w:rPr>
        <w:t xml:space="preserve"> 4.8). </w:t>
      </w:r>
      <w:r w:rsidR="002B65FE">
        <w:t xml:space="preserve">In </w:t>
      </w:r>
      <w:r w:rsidR="00873755">
        <w:rPr>
          <w:lang w:val="en-US"/>
        </w:rPr>
        <w:t xml:space="preserve">the </w:t>
      </w:r>
      <w:r w:rsidR="002B65FE">
        <w:t xml:space="preserve">light of </w:t>
      </w:r>
      <w:proofErr w:type="spellStart"/>
      <w:r w:rsidR="002B65FE">
        <w:t>th</w:t>
      </w:r>
      <w:r w:rsidR="00873755">
        <w:rPr>
          <w:lang w:val="en-US"/>
        </w:rPr>
        <w:t>o</w:t>
      </w:r>
      <w:proofErr w:type="spellEnd"/>
      <w:r w:rsidR="002B65FE">
        <w:t xml:space="preserve">se circumstances, the Committee considers that the facts before it do not permit it to conclude that </w:t>
      </w:r>
      <w:r w:rsidR="002B65FE" w:rsidRPr="00DC04F3">
        <w:rPr>
          <w:lang w:val="en-GB"/>
        </w:rPr>
        <w:t>the author’s rights</w:t>
      </w:r>
      <w:r w:rsidR="002B65FE">
        <w:t xml:space="preserve"> under article 1</w:t>
      </w:r>
      <w:r w:rsidR="002B65FE" w:rsidRPr="00DC04F3">
        <w:rPr>
          <w:lang w:val="en-GB"/>
        </w:rPr>
        <w:t>0</w:t>
      </w:r>
      <w:r w:rsidR="0022175C">
        <w:rPr>
          <w:lang w:val="en-GB"/>
        </w:rPr>
        <w:t xml:space="preserve"> </w:t>
      </w:r>
      <w:r w:rsidR="002B65FE" w:rsidRPr="00DC04F3">
        <w:rPr>
          <w:lang w:val="en-GB"/>
        </w:rPr>
        <w:t>(1)</w:t>
      </w:r>
      <w:r w:rsidR="002B65FE">
        <w:t xml:space="preserve"> of the Covenant have been violated.</w:t>
      </w:r>
    </w:p>
    <w:p w14:paraId="7EDCB7AD" w14:textId="325CDC8C" w:rsidR="00820122" w:rsidRPr="00694F24" w:rsidRDefault="00BA48A2" w:rsidP="00621DE9">
      <w:pPr>
        <w:pStyle w:val="SingleTxtG"/>
        <w:rPr>
          <w:lang w:val="en-GB"/>
        </w:rPr>
      </w:pPr>
      <w:r w:rsidRPr="00B928C9">
        <w:rPr>
          <w:lang w:val="en-GB"/>
        </w:rPr>
        <w:t>1</w:t>
      </w:r>
      <w:r w:rsidR="007D3F7D" w:rsidRPr="00B928C9">
        <w:rPr>
          <w:lang w:val="en-GB"/>
        </w:rPr>
        <w:t>1</w:t>
      </w:r>
      <w:r w:rsidRPr="00B928C9">
        <w:rPr>
          <w:lang w:val="en-GB"/>
        </w:rPr>
        <w:t>.3</w:t>
      </w:r>
      <w:r w:rsidRPr="00B928C9">
        <w:rPr>
          <w:lang w:val="en-GB"/>
        </w:rPr>
        <w:tab/>
      </w:r>
      <w:r w:rsidR="00820122" w:rsidRPr="00B928C9">
        <w:t xml:space="preserve">The Committee </w:t>
      </w:r>
      <w:r w:rsidR="00DE6ABD" w:rsidRPr="00B928C9">
        <w:t>takes note of the author’s claim</w:t>
      </w:r>
      <w:r w:rsidR="00820122" w:rsidRPr="00B928C9">
        <w:t xml:space="preserve"> that </w:t>
      </w:r>
      <w:r w:rsidR="00DE6ABD" w:rsidRPr="00B928C9">
        <w:t xml:space="preserve">his </w:t>
      </w:r>
      <w:r w:rsidR="00820122" w:rsidRPr="00B928C9">
        <w:t xml:space="preserve">trial </w:t>
      </w:r>
      <w:r w:rsidR="00805CC8" w:rsidRPr="00B928C9">
        <w:t>was not open to the public</w:t>
      </w:r>
      <w:r w:rsidR="00820122" w:rsidRPr="00B928C9">
        <w:t xml:space="preserve"> and</w:t>
      </w:r>
      <w:r w:rsidR="00820122" w:rsidRPr="00BA48A2">
        <w:t xml:space="preserve"> that </w:t>
      </w:r>
      <w:r w:rsidR="00805CC8" w:rsidRPr="00BA48A2">
        <w:rPr>
          <w:lang w:val="en-GB"/>
        </w:rPr>
        <w:t xml:space="preserve">only a summary of </w:t>
      </w:r>
      <w:r w:rsidR="0007685A" w:rsidRPr="00BA48A2">
        <w:rPr>
          <w:lang w:val="en-GB"/>
        </w:rPr>
        <w:t>the</w:t>
      </w:r>
      <w:r w:rsidR="00805CC8" w:rsidRPr="00BA48A2">
        <w:rPr>
          <w:lang w:val="en-GB"/>
        </w:rPr>
        <w:t xml:space="preserve"> verdict </w:t>
      </w:r>
      <w:proofErr w:type="gramStart"/>
      <w:r w:rsidR="00805CC8" w:rsidRPr="00BA48A2">
        <w:rPr>
          <w:lang w:val="en-GB"/>
        </w:rPr>
        <w:t>was made</w:t>
      </w:r>
      <w:proofErr w:type="gramEnd"/>
      <w:r w:rsidR="00805CC8" w:rsidRPr="00BA48A2">
        <w:rPr>
          <w:lang w:val="en-GB"/>
        </w:rPr>
        <w:t xml:space="preserve"> </w:t>
      </w:r>
      <w:r w:rsidR="00805CC8" w:rsidRPr="00CD0118">
        <w:rPr>
          <w:lang w:val="en-GB"/>
        </w:rPr>
        <w:t>public</w:t>
      </w:r>
      <w:r w:rsidR="00820122" w:rsidRPr="00CD0118">
        <w:t xml:space="preserve">. </w:t>
      </w:r>
      <w:r w:rsidR="00E25BEF" w:rsidRPr="00694F24">
        <w:rPr>
          <w:lang w:val="en-GB"/>
        </w:rPr>
        <w:t xml:space="preserve">The Committee also notes that </w:t>
      </w:r>
      <w:r w:rsidR="00760DE3">
        <w:rPr>
          <w:lang w:val="en-GB"/>
        </w:rPr>
        <w:t xml:space="preserve">in </w:t>
      </w:r>
      <w:r w:rsidR="00546115">
        <w:rPr>
          <w:lang w:val="en-GB"/>
        </w:rPr>
        <w:t>its</w:t>
      </w:r>
      <w:r w:rsidR="00E25BEF" w:rsidRPr="00694F24">
        <w:rPr>
          <w:lang w:val="en-GB"/>
        </w:rPr>
        <w:t xml:space="preserve"> decision</w:t>
      </w:r>
      <w:r w:rsidR="00546115">
        <w:rPr>
          <w:lang w:val="en-GB"/>
        </w:rPr>
        <w:t xml:space="preserve"> dated 24 May 2010,</w:t>
      </w:r>
      <w:r w:rsidR="00E25BEF" w:rsidRPr="00694F24">
        <w:rPr>
          <w:lang w:val="en-GB"/>
        </w:rPr>
        <w:t xml:space="preserve"> the </w:t>
      </w:r>
      <w:r w:rsidR="00546115">
        <w:rPr>
          <w:lang w:val="en-GB"/>
        </w:rPr>
        <w:t>s</w:t>
      </w:r>
      <w:r w:rsidR="00E25BEF" w:rsidRPr="00CD0118">
        <w:rPr>
          <w:lang w:val="en-GB"/>
        </w:rPr>
        <w:t xml:space="preserve">upervisory </w:t>
      </w:r>
      <w:r w:rsidR="00546115">
        <w:rPr>
          <w:lang w:val="en-GB"/>
        </w:rPr>
        <w:t>b</w:t>
      </w:r>
      <w:r w:rsidR="00E25BEF" w:rsidRPr="00CD0118">
        <w:rPr>
          <w:lang w:val="en-GB"/>
        </w:rPr>
        <w:t xml:space="preserve">ench for </w:t>
      </w:r>
      <w:r w:rsidR="00546115">
        <w:rPr>
          <w:lang w:val="en-GB"/>
        </w:rPr>
        <w:t>c</w:t>
      </w:r>
      <w:r w:rsidR="00E25BEF" w:rsidRPr="00CD0118">
        <w:rPr>
          <w:lang w:val="en-GB"/>
        </w:rPr>
        <w:t xml:space="preserve">riminal </w:t>
      </w:r>
      <w:r w:rsidR="00546115">
        <w:rPr>
          <w:lang w:val="en-GB"/>
        </w:rPr>
        <w:t>c</w:t>
      </w:r>
      <w:r w:rsidR="00E25BEF" w:rsidRPr="00CD0118">
        <w:rPr>
          <w:lang w:val="en-GB"/>
        </w:rPr>
        <w:t>ases of the Supreme Court confirms</w:t>
      </w:r>
      <w:r w:rsidR="00E25BEF" w:rsidRPr="00694F24">
        <w:rPr>
          <w:lang w:val="en-GB"/>
        </w:rPr>
        <w:t xml:space="preserve"> </w:t>
      </w:r>
      <w:r w:rsidR="00E25BEF" w:rsidRPr="00CD0118">
        <w:rPr>
          <w:lang w:val="en-GB"/>
        </w:rPr>
        <w:t xml:space="preserve">that only excerpts of the indictment and the verdict </w:t>
      </w:r>
      <w:proofErr w:type="gramStart"/>
      <w:r w:rsidR="00E25BEF" w:rsidRPr="00CD0118">
        <w:rPr>
          <w:lang w:val="en-GB"/>
        </w:rPr>
        <w:t>were provided</w:t>
      </w:r>
      <w:proofErr w:type="gramEnd"/>
      <w:r w:rsidR="00E25BEF" w:rsidRPr="00CD0118">
        <w:rPr>
          <w:lang w:val="en-GB"/>
        </w:rPr>
        <w:t xml:space="preserve"> to the author because the criminal case was rated “strictly confidential”.</w:t>
      </w:r>
      <w:r w:rsidR="001E0EB7">
        <w:rPr>
          <w:lang w:val="en-GB"/>
        </w:rPr>
        <w:t xml:space="preserve"> </w:t>
      </w:r>
      <w:r w:rsidR="00820122" w:rsidRPr="00CD0118">
        <w:t>The</w:t>
      </w:r>
      <w:r w:rsidR="00820122" w:rsidRPr="00BA48A2">
        <w:t xml:space="preserve"> Committee </w:t>
      </w:r>
      <w:r w:rsidR="00E25BEF" w:rsidRPr="00694F24">
        <w:rPr>
          <w:lang w:val="en-GB"/>
        </w:rPr>
        <w:t>observes</w:t>
      </w:r>
      <w:r w:rsidR="00820122" w:rsidRPr="00BA48A2">
        <w:t xml:space="preserve"> that </w:t>
      </w:r>
      <w:r w:rsidR="00805CC8" w:rsidRPr="00BA48A2">
        <w:rPr>
          <w:lang w:val="en-GB"/>
        </w:rPr>
        <w:t xml:space="preserve">the author </w:t>
      </w:r>
      <w:r w:rsidR="00621DE9">
        <w:rPr>
          <w:lang w:val="en-GB"/>
        </w:rPr>
        <w:t>was charged with</w:t>
      </w:r>
      <w:r w:rsidR="00621DE9" w:rsidRPr="00BA48A2">
        <w:rPr>
          <w:lang w:val="en-GB"/>
        </w:rPr>
        <w:t xml:space="preserve"> </w:t>
      </w:r>
      <w:r w:rsidR="00805CC8" w:rsidRPr="00BA48A2">
        <w:rPr>
          <w:lang w:val="en-GB"/>
        </w:rPr>
        <w:t xml:space="preserve">publishing documents classified as secret </w:t>
      </w:r>
      <w:r w:rsidR="00621DE9">
        <w:rPr>
          <w:lang w:val="en-GB"/>
        </w:rPr>
        <w:t>that</w:t>
      </w:r>
      <w:r w:rsidR="00805CC8" w:rsidRPr="00BA48A2">
        <w:rPr>
          <w:lang w:val="en-GB"/>
        </w:rPr>
        <w:t xml:space="preserve"> were already in the public space at the time of the trial. The </w:t>
      </w:r>
      <w:r w:rsidR="00820122" w:rsidRPr="00BA48A2">
        <w:t xml:space="preserve">State party </w:t>
      </w:r>
      <w:r w:rsidR="00DE6ABD">
        <w:t xml:space="preserve">failed </w:t>
      </w:r>
      <w:proofErr w:type="gramStart"/>
      <w:r w:rsidR="00DE6ABD">
        <w:t>to</w:t>
      </w:r>
      <w:r w:rsidR="005A6663">
        <w:t xml:space="preserve"> adequately </w:t>
      </w:r>
      <w:r w:rsidR="00DE6ABD">
        <w:t>explain</w:t>
      </w:r>
      <w:proofErr w:type="gramEnd"/>
      <w:r w:rsidR="00820122" w:rsidRPr="00BA48A2">
        <w:t xml:space="preserve"> </w:t>
      </w:r>
      <w:r w:rsidR="00805CC8" w:rsidRPr="00BA48A2">
        <w:rPr>
          <w:lang w:val="en-GB"/>
        </w:rPr>
        <w:t xml:space="preserve">what </w:t>
      </w:r>
      <w:r w:rsidR="00805CC8" w:rsidRPr="00BA48A2">
        <w:rPr>
          <w:lang w:val="en-US"/>
        </w:rPr>
        <w:t>necessitated</w:t>
      </w:r>
      <w:r w:rsidR="00805CC8" w:rsidRPr="00BA48A2">
        <w:rPr>
          <w:lang w:val="en-GB"/>
        </w:rPr>
        <w:t xml:space="preserve"> </w:t>
      </w:r>
      <w:r w:rsidR="00820122" w:rsidRPr="00BA48A2">
        <w:t>the secre</w:t>
      </w:r>
      <w:r w:rsidR="000838BA">
        <w:t>cy</w:t>
      </w:r>
      <w:r w:rsidR="00820122" w:rsidRPr="00BA48A2">
        <w:t xml:space="preserve"> of the proceedings, conten</w:t>
      </w:r>
      <w:r w:rsidR="00621DE9">
        <w:rPr>
          <w:lang w:val="en-US"/>
        </w:rPr>
        <w:t>ding only</w:t>
      </w:r>
      <w:r w:rsidR="00820122" w:rsidRPr="00BA48A2">
        <w:t xml:space="preserve"> that </w:t>
      </w:r>
      <w:r w:rsidR="000B7CF0" w:rsidRPr="000B7CF0">
        <w:rPr>
          <w:lang w:val="en-GB"/>
        </w:rPr>
        <w:t xml:space="preserve">classified </w:t>
      </w:r>
      <w:r w:rsidR="005A6663">
        <w:rPr>
          <w:lang w:val="en-GB"/>
        </w:rPr>
        <w:t>documents</w:t>
      </w:r>
      <w:r w:rsidR="000B7CF0" w:rsidRPr="000B7CF0">
        <w:rPr>
          <w:lang w:val="en-GB"/>
        </w:rPr>
        <w:t xml:space="preserve"> were involved and </w:t>
      </w:r>
      <w:r w:rsidR="00621DE9">
        <w:rPr>
          <w:lang w:val="en-GB"/>
        </w:rPr>
        <w:t xml:space="preserve">that </w:t>
      </w:r>
      <w:r w:rsidR="000B7CF0" w:rsidRPr="000B7CF0">
        <w:rPr>
          <w:lang w:val="en-GB"/>
        </w:rPr>
        <w:t xml:space="preserve">the </w:t>
      </w:r>
      <w:r w:rsidR="00820122" w:rsidRPr="00BA48A2">
        <w:t>counsel</w:t>
      </w:r>
      <w:r w:rsidR="00805CC8" w:rsidRPr="00BA48A2">
        <w:rPr>
          <w:lang w:val="en-GB"/>
        </w:rPr>
        <w:t>s</w:t>
      </w:r>
      <w:r w:rsidR="00820122" w:rsidRPr="00BA48A2">
        <w:t xml:space="preserve"> for the author needed security clearance to </w:t>
      </w:r>
      <w:r w:rsidR="000838BA">
        <w:t xml:space="preserve">access </w:t>
      </w:r>
      <w:r w:rsidR="00820122" w:rsidRPr="00BA48A2">
        <w:t>s</w:t>
      </w:r>
      <w:r w:rsidR="005A6663">
        <w:t xml:space="preserve">uch </w:t>
      </w:r>
      <w:r w:rsidR="00820122" w:rsidRPr="00BA48A2">
        <w:t>documents. The Committee recalls its general comment No. 32</w:t>
      </w:r>
      <w:r w:rsidR="00DE6ABD">
        <w:t xml:space="preserve"> (2007)</w:t>
      </w:r>
      <w:r w:rsidR="00820122" w:rsidRPr="00BA48A2">
        <w:t xml:space="preserve"> on the right to equality before courts and tribunals and to a fair trial, in which it stated that all trials in criminal matters must in principle be conducted orally and in public, unless the court decides to exclude all or part of the public for reasons of morals, public order (</w:t>
      </w:r>
      <w:r w:rsidR="00820122" w:rsidRPr="00BA48A2">
        <w:rPr>
          <w:i/>
        </w:rPr>
        <w:t>ordre public</w:t>
      </w:r>
      <w:r w:rsidR="00820122" w:rsidRPr="00BA48A2">
        <w:t xml:space="preserve">) or national security. Even in cases in which the public is excluded from </w:t>
      </w:r>
      <w:r w:rsidR="00621DE9">
        <w:rPr>
          <w:lang w:val="en-US"/>
        </w:rPr>
        <w:t>the</w:t>
      </w:r>
      <w:r w:rsidR="00820122" w:rsidRPr="00BA48A2">
        <w:t xml:space="preserve"> trial, the judgment, including the essential findings, evidence and legal reasoning, must be made public.</w:t>
      </w:r>
      <w:r w:rsidR="002B65FE">
        <w:rPr>
          <w:rStyle w:val="FootnoteReference"/>
        </w:rPr>
        <w:footnoteReference w:id="16"/>
      </w:r>
      <w:r w:rsidR="00820122" w:rsidRPr="00BA48A2">
        <w:t xml:space="preserve"> The Committee considers that the State party failed to justify the exclusion of the public from the author’s trial </w:t>
      </w:r>
      <w:r w:rsidR="000B7CF0" w:rsidRPr="000B7CF0">
        <w:rPr>
          <w:lang w:val="en-GB"/>
        </w:rPr>
        <w:t>an</w:t>
      </w:r>
      <w:r w:rsidR="000B7CF0">
        <w:rPr>
          <w:lang w:val="en-GB"/>
        </w:rPr>
        <w:t xml:space="preserve">d the failure to make the full verdict public </w:t>
      </w:r>
      <w:r w:rsidR="00820122" w:rsidRPr="00BA48A2">
        <w:t>under one of the justifications laid out in article 14 (1).</w:t>
      </w:r>
      <w:r w:rsidR="00E76342" w:rsidRPr="00BA48A2">
        <w:rPr>
          <w:rStyle w:val="FootnoteReference"/>
        </w:rPr>
        <w:footnoteReference w:id="17"/>
      </w:r>
      <w:r w:rsidR="00805CC8" w:rsidRPr="00BA48A2">
        <w:rPr>
          <w:lang w:val="en-GB"/>
        </w:rPr>
        <w:t xml:space="preserve"> </w:t>
      </w:r>
      <w:r w:rsidR="00820122" w:rsidRPr="00BA48A2">
        <w:t>In the absence of other pertinent information on file, the Committee considers that the State party violated the author’s rights under article 14 (1) of the Covenant.</w:t>
      </w:r>
    </w:p>
    <w:p w14:paraId="747F63B4" w14:textId="067B6B4D" w:rsidR="00FE41BA" w:rsidRPr="00675A40" w:rsidRDefault="00FE41BA" w:rsidP="00EB1879">
      <w:pPr>
        <w:pStyle w:val="SingleTxtG"/>
        <w:rPr>
          <w:bCs/>
          <w:lang w:val="en-GB"/>
        </w:rPr>
      </w:pPr>
      <w:r w:rsidRPr="00BA48A2">
        <w:rPr>
          <w:bCs/>
          <w:lang w:val="en-GB"/>
        </w:rPr>
        <w:t>1</w:t>
      </w:r>
      <w:r w:rsidR="007D3F7D">
        <w:rPr>
          <w:bCs/>
          <w:lang w:val="en-GB"/>
        </w:rPr>
        <w:t>1</w:t>
      </w:r>
      <w:r w:rsidRPr="00BA48A2">
        <w:rPr>
          <w:bCs/>
          <w:lang w:val="en-GB"/>
        </w:rPr>
        <w:t>.</w:t>
      </w:r>
      <w:r>
        <w:rPr>
          <w:bCs/>
          <w:lang w:val="en-GB"/>
        </w:rPr>
        <w:t>4</w:t>
      </w:r>
      <w:r w:rsidRPr="00BA48A2">
        <w:rPr>
          <w:bCs/>
          <w:lang w:val="en-GB"/>
        </w:rPr>
        <w:tab/>
        <w:t>The Committe</w:t>
      </w:r>
      <w:r>
        <w:rPr>
          <w:bCs/>
          <w:lang w:val="en-GB"/>
        </w:rPr>
        <w:t>e also notes the author’s claim</w:t>
      </w:r>
      <w:r w:rsidRPr="00BA48A2">
        <w:rPr>
          <w:bCs/>
          <w:lang w:val="en-GB"/>
        </w:rPr>
        <w:t xml:space="preserve"> that </w:t>
      </w:r>
      <w:r w:rsidR="00EB1879">
        <w:rPr>
          <w:lang w:val="en-US"/>
        </w:rPr>
        <w:t>owing</w:t>
      </w:r>
      <w:r w:rsidRPr="00BA48A2">
        <w:rPr>
          <w:lang w:val="en-US"/>
        </w:rPr>
        <w:t xml:space="preserve"> to the </w:t>
      </w:r>
      <w:r>
        <w:rPr>
          <w:lang w:val="en-US"/>
        </w:rPr>
        <w:t xml:space="preserve">restricted access to the </w:t>
      </w:r>
      <w:r w:rsidRPr="00BA48A2">
        <w:rPr>
          <w:lang w:val="en-US"/>
        </w:rPr>
        <w:t xml:space="preserve">majority of the documents related to his case, </w:t>
      </w:r>
      <w:r w:rsidR="00EB1879">
        <w:rPr>
          <w:lang w:val="en-US"/>
        </w:rPr>
        <w:t>the author</w:t>
      </w:r>
      <w:r w:rsidR="00EB1879" w:rsidRPr="00BA48A2">
        <w:rPr>
          <w:lang w:val="en-US"/>
        </w:rPr>
        <w:t xml:space="preserve"> </w:t>
      </w:r>
      <w:proofErr w:type="gramStart"/>
      <w:r>
        <w:rPr>
          <w:lang w:val="en-US"/>
        </w:rPr>
        <w:t>was deprived</w:t>
      </w:r>
      <w:proofErr w:type="gramEnd"/>
      <w:r>
        <w:rPr>
          <w:lang w:val="en-US"/>
        </w:rPr>
        <w:t xml:space="preserve"> of his right </w:t>
      </w:r>
      <w:r w:rsidRPr="00BA48A2">
        <w:rPr>
          <w:lang w:val="en-US"/>
        </w:rPr>
        <w:t xml:space="preserve">to prepare his </w:t>
      </w:r>
      <w:proofErr w:type="spellStart"/>
      <w:r w:rsidRPr="00BA48A2">
        <w:rPr>
          <w:lang w:val="en-US"/>
        </w:rPr>
        <w:t>defen</w:t>
      </w:r>
      <w:r w:rsidR="008E43FD">
        <w:rPr>
          <w:lang w:val="en-US"/>
        </w:rPr>
        <w:t>c</w:t>
      </w:r>
      <w:r w:rsidRPr="00BA48A2">
        <w:rPr>
          <w:lang w:val="en-US"/>
        </w:rPr>
        <w:t>e</w:t>
      </w:r>
      <w:proofErr w:type="spellEnd"/>
      <w:r w:rsidRPr="00BA48A2">
        <w:rPr>
          <w:lang w:val="en-US"/>
        </w:rPr>
        <w:t xml:space="preserve">. The Committee observes that the State party in its submission has confirmed that the author </w:t>
      </w:r>
      <w:proofErr w:type="gramStart"/>
      <w:r w:rsidRPr="00BA48A2">
        <w:rPr>
          <w:lang w:val="en-US"/>
        </w:rPr>
        <w:t>was provided</w:t>
      </w:r>
      <w:proofErr w:type="gramEnd"/>
      <w:r w:rsidRPr="00BA48A2">
        <w:rPr>
          <w:lang w:val="en-US"/>
        </w:rPr>
        <w:t xml:space="preserve"> only with a redacted version of the indictment. The Committee recalls that </w:t>
      </w:r>
      <w:r w:rsidRPr="00BA48A2">
        <w:rPr>
          <w:bCs/>
          <w:lang w:val="en-GB"/>
        </w:rPr>
        <w:t>“adequate facilities” within the meaning of article 14</w:t>
      </w:r>
      <w:r w:rsidR="00EB1879">
        <w:rPr>
          <w:bCs/>
          <w:lang w:val="en-GB"/>
        </w:rPr>
        <w:t> </w:t>
      </w:r>
      <w:r w:rsidRPr="00BA48A2">
        <w:rPr>
          <w:bCs/>
          <w:lang w:val="en-GB"/>
        </w:rPr>
        <w:t>(3)</w:t>
      </w:r>
      <w:r w:rsidR="00EB1879">
        <w:rPr>
          <w:bCs/>
          <w:lang w:val="en-GB"/>
        </w:rPr>
        <w:t> </w:t>
      </w:r>
      <w:r w:rsidRPr="00BA48A2">
        <w:rPr>
          <w:bCs/>
          <w:lang w:val="en-GB"/>
        </w:rPr>
        <w:t xml:space="preserve">(b) must include access to documents and other evidence; this access must include </w:t>
      </w:r>
      <w:r w:rsidRPr="00BA48A2">
        <w:rPr>
          <w:lang w:val="en-GB"/>
        </w:rPr>
        <w:t xml:space="preserve">all </w:t>
      </w:r>
      <w:r w:rsidRPr="00BA48A2">
        <w:rPr>
          <w:bCs/>
          <w:lang w:val="en-GB"/>
        </w:rPr>
        <w:t>materials</w:t>
      </w:r>
      <w:r>
        <w:rPr>
          <w:bCs/>
          <w:lang w:val="en-GB"/>
        </w:rPr>
        <w:t xml:space="preserve"> that the prosecution plans to offer in court.</w:t>
      </w:r>
      <w:r w:rsidRPr="00BA48A2">
        <w:rPr>
          <w:bCs/>
          <w:vertAlign w:val="superscript"/>
          <w:lang w:val="en-GB"/>
        </w:rPr>
        <w:footnoteReference w:id="18"/>
      </w:r>
      <w:r w:rsidR="00675A40">
        <w:rPr>
          <w:bCs/>
          <w:lang w:val="en-GB"/>
        </w:rPr>
        <w:t xml:space="preserve"> </w:t>
      </w:r>
      <w:r w:rsidR="002655E0">
        <w:rPr>
          <w:lang w:val="en-GB"/>
        </w:rPr>
        <w:t xml:space="preserve">The Committee further </w:t>
      </w:r>
      <w:r>
        <w:rPr>
          <w:lang w:val="en-GB"/>
        </w:rPr>
        <w:t xml:space="preserve">notes the State party’s submission that </w:t>
      </w:r>
      <w:r w:rsidRPr="00BA48A2">
        <w:rPr>
          <w:lang w:val="en-GB"/>
        </w:rPr>
        <w:t>the judge presiding over the trial appointed an ex officio defender, who had security clearance</w:t>
      </w:r>
      <w:r>
        <w:rPr>
          <w:lang w:val="en-GB"/>
        </w:rPr>
        <w:t xml:space="preserve">. The Committee, however, observes that the author refused the services of the </w:t>
      </w:r>
      <w:r w:rsidR="00EB1879">
        <w:rPr>
          <w:lang w:val="en-GB"/>
        </w:rPr>
        <w:t>S</w:t>
      </w:r>
      <w:r>
        <w:rPr>
          <w:lang w:val="en-GB"/>
        </w:rPr>
        <w:t>tate</w:t>
      </w:r>
      <w:r w:rsidR="00EB1879">
        <w:rPr>
          <w:lang w:val="en-GB"/>
        </w:rPr>
        <w:t>-</w:t>
      </w:r>
      <w:r>
        <w:rPr>
          <w:lang w:val="en-GB"/>
        </w:rPr>
        <w:t xml:space="preserve">appointed lawyer; furthermore, even if the lawyer had full access to the prosecution evidence, </w:t>
      </w:r>
      <w:r>
        <w:t>the author</w:t>
      </w:r>
      <w:r w:rsidRPr="009C51BD">
        <w:rPr>
          <w:lang w:val="en-GB"/>
        </w:rPr>
        <w:t xml:space="preserve"> himself lacked</w:t>
      </w:r>
      <w:r>
        <w:t xml:space="preserve"> information permitting him to instruct </w:t>
      </w:r>
      <w:r>
        <w:rPr>
          <w:lang w:val="en-GB"/>
        </w:rPr>
        <w:t>his lawyer</w:t>
      </w:r>
      <w:r w:rsidRPr="009C51BD">
        <w:rPr>
          <w:lang w:val="en-GB"/>
        </w:rPr>
        <w:t xml:space="preserve"> </w:t>
      </w:r>
      <w:r>
        <w:t xml:space="preserve">and to refute the </w:t>
      </w:r>
      <w:r w:rsidRPr="009C51BD">
        <w:rPr>
          <w:lang w:val="en-GB"/>
        </w:rPr>
        <w:t>criminal charges against him.</w:t>
      </w:r>
      <w:r>
        <w:rPr>
          <w:rStyle w:val="FootnoteReference"/>
          <w:lang w:val="en-GB"/>
        </w:rPr>
        <w:footnoteReference w:id="19"/>
      </w:r>
      <w:r w:rsidRPr="009C51BD">
        <w:rPr>
          <w:lang w:val="en-GB"/>
        </w:rPr>
        <w:t xml:space="preserve"> </w:t>
      </w:r>
      <w:r w:rsidRPr="00BA48A2">
        <w:rPr>
          <w:lang w:val="en-US"/>
        </w:rPr>
        <w:t>The Committee considers that the facts before it disclose a violation of the author’s rights under article 14</w:t>
      </w:r>
      <w:r w:rsidR="001A4402">
        <w:rPr>
          <w:lang w:val="en-US"/>
        </w:rPr>
        <w:t> </w:t>
      </w:r>
      <w:r w:rsidRPr="00BA48A2">
        <w:rPr>
          <w:lang w:val="en-US"/>
        </w:rPr>
        <w:t>(3)</w:t>
      </w:r>
      <w:r w:rsidR="001A4402">
        <w:rPr>
          <w:lang w:val="en-US"/>
        </w:rPr>
        <w:t> </w:t>
      </w:r>
      <w:r w:rsidRPr="00BA48A2">
        <w:rPr>
          <w:lang w:val="en-US"/>
        </w:rPr>
        <w:t>(b) of the Covenant.</w:t>
      </w:r>
    </w:p>
    <w:p w14:paraId="5620D3F8" w14:textId="5525B3C6" w:rsidR="000D0C6A" w:rsidRPr="002A5AEF" w:rsidRDefault="00BA48A2" w:rsidP="00AE768A">
      <w:pPr>
        <w:pStyle w:val="SingleTxtG"/>
        <w:rPr>
          <w:bCs/>
          <w:lang w:val="en-GB"/>
        </w:rPr>
      </w:pPr>
      <w:proofErr w:type="gramStart"/>
      <w:r w:rsidRPr="002A5AEF">
        <w:rPr>
          <w:lang w:val="en-GB"/>
        </w:rPr>
        <w:t>1</w:t>
      </w:r>
      <w:r w:rsidR="007D3F7D" w:rsidRPr="002A5AEF">
        <w:rPr>
          <w:lang w:val="en-GB"/>
        </w:rPr>
        <w:t>1</w:t>
      </w:r>
      <w:r w:rsidRPr="002A5AEF">
        <w:rPr>
          <w:lang w:val="en-GB"/>
        </w:rPr>
        <w:t>.</w:t>
      </w:r>
      <w:r w:rsidR="002655E0" w:rsidRPr="002A5AEF">
        <w:rPr>
          <w:lang w:val="en-GB"/>
        </w:rPr>
        <w:t>5</w:t>
      </w:r>
      <w:r w:rsidRPr="002A5AEF">
        <w:rPr>
          <w:lang w:val="en-GB"/>
        </w:rPr>
        <w:tab/>
      </w:r>
      <w:r w:rsidR="00820122" w:rsidRPr="00BA48A2">
        <w:t>The Committee further notes the author’s contention</w:t>
      </w:r>
      <w:r w:rsidR="005B5381" w:rsidRPr="00694F24">
        <w:rPr>
          <w:lang w:val="en-GB"/>
        </w:rPr>
        <w:t>s</w:t>
      </w:r>
      <w:r w:rsidR="00820122" w:rsidRPr="00BA48A2">
        <w:t xml:space="preserve"> that he was not </w:t>
      </w:r>
      <w:r w:rsidR="00CB171E" w:rsidRPr="002A5AEF">
        <w:rPr>
          <w:lang w:val="en-GB"/>
        </w:rPr>
        <w:t xml:space="preserve">represented by </w:t>
      </w:r>
      <w:r w:rsidR="00820122" w:rsidRPr="00BA48A2">
        <w:t xml:space="preserve">a lawyer of his own choosing </w:t>
      </w:r>
      <w:r w:rsidR="00CB171E" w:rsidRPr="00694F24">
        <w:rPr>
          <w:lang w:val="en-GB"/>
        </w:rPr>
        <w:t xml:space="preserve">during the criminal proceedings </w:t>
      </w:r>
      <w:r w:rsidR="00805CC8" w:rsidRPr="002A5AEF">
        <w:rPr>
          <w:lang w:val="en-GB"/>
        </w:rPr>
        <w:t>because the lawyers that he chose were rejected by the court on the ground that they did not have security clearance</w:t>
      </w:r>
      <w:r w:rsidR="005B5381" w:rsidRPr="002A5AEF">
        <w:rPr>
          <w:lang w:val="en-GB"/>
        </w:rPr>
        <w:t>, that t</w:t>
      </w:r>
      <w:r w:rsidR="005B5381" w:rsidRPr="002A5AEF">
        <w:rPr>
          <w:lang w:val="en-US"/>
        </w:rPr>
        <w:t>he court dismissed the author’s request to defend himself in person and assigned an ex</w:t>
      </w:r>
      <w:r w:rsidR="006C1A9F">
        <w:rPr>
          <w:lang w:val="en-US"/>
        </w:rPr>
        <w:t> </w:t>
      </w:r>
      <w:r w:rsidR="005B5381" w:rsidRPr="002A5AEF">
        <w:rPr>
          <w:lang w:val="en-US"/>
        </w:rPr>
        <w:t>officio lawyer to represent his interests, without his consent</w:t>
      </w:r>
      <w:r w:rsidR="001A4402">
        <w:rPr>
          <w:lang w:val="en-US"/>
        </w:rPr>
        <w:t>,</w:t>
      </w:r>
      <w:r w:rsidR="005B5381" w:rsidRPr="002A5AEF">
        <w:rPr>
          <w:lang w:val="en-US"/>
        </w:rPr>
        <w:t xml:space="preserve"> and that the </w:t>
      </w:r>
      <w:r w:rsidR="001A4402">
        <w:rPr>
          <w:lang w:val="en-US"/>
        </w:rPr>
        <w:t>ex officio</w:t>
      </w:r>
      <w:r w:rsidR="001A4402" w:rsidRPr="002A5AEF">
        <w:rPr>
          <w:lang w:val="en-US"/>
        </w:rPr>
        <w:t xml:space="preserve"> </w:t>
      </w:r>
      <w:r w:rsidR="005B5381" w:rsidRPr="002A5AEF">
        <w:rPr>
          <w:lang w:val="en-US"/>
        </w:rPr>
        <w:t xml:space="preserve">lawyer acted to </w:t>
      </w:r>
      <w:r w:rsidR="001A4402">
        <w:rPr>
          <w:lang w:val="en-US"/>
        </w:rPr>
        <w:t>the author’s</w:t>
      </w:r>
      <w:r w:rsidR="005B5381" w:rsidRPr="002A5AEF">
        <w:rPr>
          <w:lang w:val="en-US"/>
        </w:rPr>
        <w:t xml:space="preserve"> detriment.</w:t>
      </w:r>
      <w:proofErr w:type="gramEnd"/>
      <w:r w:rsidR="000B7CF0" w:rsidRPr="002A5AEF">
        <w:rPr>
          <w:lang w:val="en-GB"/>
        </w:rPr>
        <w:t xml:space="preserve"> The Committee notes that </w:t>
      </w:r>
      <w:r w:rsidR="00805CC8" w:rsidRPr="002A5AEF">
        <w:rPr>
          <w:lang w:val="en-GB"/>
        </w:rPr>
        <w:t xml:space="preserve">the author has presented documentary evidence that his chosen lawyers </w:t>
      </w:r>
      <w:proofErr w:type="gramStart"/>
      <w:r w:rsidR="00805CC8" w:rsidRPr="002A5AEF">
        <w:rPr>
          <w:lang w:val="en-GB"/>
        </w:rPr>
        <w:t>were denied</w:t>
      </w:r>
      <w:proofErr w:type="gramEnd"/>
      <w:r w:rsidR="00805CC8" w:rsidRPr="002A5AEF">
        <w:rPr>
          <w:lang w:val="en-GB"/>
        </w:rPr>
        <w:t xml:space="preserve"> </w:t>
      </w:r>
      <w:r w:rsidR="00C01B37" w:rsidRPr="002A5AEF">
        <w:rPr>
          <w:lang w:val="en-GB"/>
        </w:rPr>
        <w:t>clearance to access sec</w:t>
      </w:r>
      <w:r w:rsidR="00805CC8" w:rsidRPr="002A5AEF">
        <w:rPr>
          <w:lang w:val="en-GB"/>
        </w:rPr>
        <w:t xml:space="preserve">ret </w:t>
      </w:r>
      <w:r w:rsidR="00C01B37" w:rsidRPr="002A5AEF">
        <w:rPr>
          <w:lang w:val="en-GB"/>
        </w:rPr>
        <w:t>documents</w:t>
      </w:r>
      <w:r w:rsidR="000B7CF0" w:rsidRPr="002A5AEF">
        <w:rPr>
          <w:lang w:val="en-GB"/>
        </w:rPr>
        <w:t xml:space="preserve"> on at least one occasion</w:t>
      </w:r>
      <w:r w:rsidR="00296C0E" w:rsidRPr="002A5AEF">
        <w:rPr>
          <w:lang w:val="en-GB"/>
        </w:rPr>
        <w:t>,</w:t>
      </w:r>
      <w:r w:rsidR="000B7CF0" w:rsidRPr="002A5AEF">
        <w:rPr>
          <w:lang w:val="en-GB"/>
        </w:rPr>
        <w:t xml:space="preserve"> on 22 June 2009</w:t>
      </w:r>
      <w:r w:rsidR="00805CC8" w:rsidRPr="002A5AEF">
        <w:rPr>
          <w:lang w:val="en-GB"/>
        </w:rPr>
        <w:t>.</w:t>
      </w:r>
      <w:r w:rsidR="0007685A" w:rsidRPr="002A5AEF">
        <w:rPr>
          <w:lang w:val="en-GB"/>
        </w:rPr>
        <w:t xml:space="preserve"> </w:t>
      </w:r>
      <w:proofErr w:type="gramStart"/>
      <w:r w:rsidR="0007685A" w:rsidRPr="002A5AEF">
        <w:rPr>
          <w:lang w:val="en-GB"/>
        </w:rPr>
        <w:t xml:space="preserve">The Committee also notes the State party’s submission that during the </w:t>
      </w:r>
      <w:proofErr w:type="spellStart"/>
      <w:r w:rsidR="0007685A" w:rsidRPr="002A5AEF">
        <w:rPr>
          <w:lang w:val="en-GB"/>
        </w:rPr>
        <w:t>pretrial</w:t>
      </w:r>
      <w:proofErr w:type="spellEnd"/>
      <w:r w:rsidR="0007685A" w:rsidRPr="002A5AEF">
        <w:rPr>
          <w:lang w:val="en-GB"/>
        </w:rPr>
        <w:t xml:space="preserve"> investigation the author had hired four attorneys, but had th</w:t>
      </w:r>
      <w:r w:rsidR="003310A0" w:rsidRPr="002A5AEF">
        <w:rPr>
          <w:lang w:val="en-GB"/>
        </w:rPr>
        <w:t>e</w:t>
      </w:r>
      <w:r w:rsidR="0007685A" w:rsidRPr="002A5AEF">
        <w:rPr>
          <w:lang w:val="en-GB"/>
        </w:rPr>
        <w:t xml:space="preserve">n refused their services; </w:t>
      </w:r>
      <w:r w:rsidR="00CB171E" w:rsidRPr="002A5AEF">
        <w:rPr>
          <w:lang w:val="en-GB"/>
        </w:rPr>
        <w:t xml:space="preserve">that during the trial </w:t>
      </w:r>
      <w:r w:rsidR="00CB171E" w:rsidRPr="002A5AEF">
        <w:rPr>
          <w:lang w:val="en-US"/>
        </w:rPr>
        <w:t xml:space="preserve">the author appointed </w:t>
      </w:r>
      <w:r w:rsidR="001A4402">
        <w:rPr>
          <w:lang w:val="en-US"/>
        </w:rPr>
        <w:t xml:space="preserve">another </w:t>
      </w:r>
      <w:r w:rsidR="00CB171E" w:rsidRPr="002A5AEF">
        <w:rPr>
          <w:lang w:val="en-US"/>
        </w:rPr>
        <w:t>attorney</w:t>
      </w:r>
      <w:r w:rsidR="001A4402">
        <w:rPr>
          <w:lang w:val="en-US"/>
        </w:rPr>
        <w:t>,</w:t>
      </w:r>
      <w:r w:rsidR="00CB171E" w:rsidRPr="002A5AEF">
        <w:rPr>
          <w:lang w:val="en-US"/>
        </w:rPr>
        <w:t xml:space="preserve"> M.</w:t>
      </w:r>
      <w:r w:rsidR="001A4402">
        <w:rPr>
          <w:lang w:val="en-US"/>
        </w:rPr>
        <w:t>,</w:t>
      </w:r>
      <w:r w:rsidR="00CB171E" w:rsidRPr="002A5AEF">
        <w:rPr>
          <w:lang w:val="en-US"/>
        </w:rPr>
        <w:t xml:space="preserve"> to represent him and the latter was granted security clearance, but that on 5 June 2009 </w:t>
      </w:r>
      <w:r w:rsidR="001A4402">
        <w:rPr>
          <w:lang w:val="en-US"/>
        </w:rPr>
        <w:t>the author</w:t>
      </w:r>
      <w:r w:rsidR="00CB171E" w:rsidRPr="002A5AEF">
        <w:rPr>
          <w:lang w:val="en-US"/>
        </w:rPr>
        <w:t xml:space="preserve"> refused the services of </w:t>
      </w:r>
      <w:r w:rsidR="001A4402">
        <w:rPr>
          <w:lang w:val="en-US"/>
        </w:rPr>
        <w:t>that</w:t>
      </w:r>
      <w:r w:rsidR="00CB171E" w:rsidRPr="002A5AEF">
        <w:rPr>
          <w:lang w:val="en-US"/>
        </w:rPr>
        <w:t xml:space="preserve"> </w:t>
      </w:r>
      <w:r w:rsidR="00E65301">
        <w:rPr>
          <w:lang w:val="en-US"/>
        </w:rPr>
        <w:t>attorney</w:t>
      </w:r>
      <w:r w:rsidR="00CB171E" w:rsidRPr="002A5AEF">
        <w:rPr>
          <w:lang w:val="en-US"/>
        </w:rPr>
        <w:t xml:space="preserve"> and declared that he would like to represent himself</w:t>
      </w:r>
      <w:r w:rsidR="005B5381" w:rsidRPr="002A5AEF">
        <w:rPr>
          <w:lang w:val="en-US"/>
        </w:rPr>
        <w:t>;</w:t>
      </w:r>
      <w:r w:rsidR="00CB171E" w:rsidRPr="002A5AEF">
        <w:rPr>
          <w:lang w:val="en-US"/>
        </w:rPr>
        <w:t xml:space="preserve"> and </w:t>
      </w:r>
      <w:r w:rsidR="0007685A" w:rsidRPr="002A5AEF">
        <w:rPr>
          <w:lang w:val="en-GB"/>
        </w:rPr>
        <w:t xml:space="preserve">that the judge presiding over the trial appointed an </w:t>
      </w:r>
      <w:r w:rsidR="0007685A" w:rsidRPr="001A4402">
        <w:rPr>
          <w:lang w:val="en-GB"/>
        </w:rPr>
        <w:t>ex officio</w:t>
      </w:r>
      <w:r w:rsidR="0007685A" w:rsidRPr="002A5AEF">
        <w:rPr>
          <w:lang w:val="en-GB"/>
        </w:rPr>
        <w:t xml:space="preserve"> defender, who had security clearance, to </w:t>
      </w:r>
      <w:r w:rsidR="00A368EC" w:rsidRPr="002A5AEF">
        <w:rPr>
          <w:lang w:val="en-GB"/>
        </w:rPr>
        <w:t>represent</w:t>
      </w:r>
      <w:r w:rsidR="0007685A" w:rsidRPr="002A5AEF">
        <w:rPr>
          <w:lang w:val="en-GB"/>
        </w:rPr>
        <w:t xml:space="preserve"> the author</w:t>
      </w:r>
      <w:r w:rsidR="005B5381" w:rsidRPr="002A5AEF">
        <w:rPr>
          <w:lang w:val="en-GB"/>
        </w:rPr>
        <w:t>, because domestic legislation requir</w:t>
      </w:r>
      <w:r w:rsidR="008A3CAD">
        <w:rPr>
          <w:lang w:val="en-GB"/>
        </w:rPr>
        <w:t>es</w:t>
      </w:r>
      <w:r w:rsidR="005B5381" w:rsidRPr="002A5AEF">
        <w:rPr>
          <w:lang w:val="en-GB"/>
        </w:rPr>
        <w:t xml:space="preserve"> </w:t>
      </w:r>
      <w:r w:rsidR="005B5381" w:rsidRPr="00CD0118">
        <w:rPr>
          <w:lang w:val="en-GB"/>
        </w:rPr>
        <w:t xml:space="preserve">the participation of a defence attorney in cases where </w:t>
      </w:r>
      <w:r w:rsidR="008A3CAD" w:rsidRPr="00CD0118">
        <w:rPr>
          <w:lang w:val="en-GB"/>
        </w:rPr>
        <w:t xml:space="preserve">a </w:t>
      </w:r>
      <w:r w:rsidR="005B5381" w:rsidRPr="00CD0118">
        <w:rPr>
          <w:lang w:val="en-GB"/>
        </w:rPr>
        <w:t>prosecutor</w:t>
      </w:r>
      <w:r w:rsidR="008A3CAD" w:rsidRPr="00CD0118">
        <w:rPr>
          <w:lang w:val="en-GB"/>
        </w:rPr>
        <w:t xml:space="preserve"> participates</w:t>
      </w:r>
      <w:r w:rsidR="00CB171E" w:rsidRPr="00CD0118">
        <w:rPr>
          <w:lang w:val="en-GB"/>
        </w:rPr>
        <w:t>.</w:t>
      </w:r>
      <w:proofErr w:type="gramEnd"/>
      <w:r w:rsidR="00CB171E" w:rsidRPr="00CD0118">
        <w:rPr>
          <w:lang w:val="en-GB"/>
        </w:rPr>
        <w:t xml:space="preserve"> </w:t>
      </w:r>
      <w:proofErr w:type="gramStart"/>
      <w:r w:rsidR="00B928C9" w:rsidRPr="00CD0118">
        <w:rPr>
          <w:lang w:val="en-GB"/>
        </w:rPr>
        <w:t>The Committee further notes the author’s submission that</w:t>
      </w:r>
      <w:r w:rsidR="006C1A9F">
        <w:rPr>
          <w:lang w:val="en-GB"/>
        </w:rPr>
        <w:t>,</w:t>
      </w:r>
      <w:r w:rsidR="00B928C9" w:rsidRPr="00CD0118">
        <w:rPr>
          <w:lang w:val="en-GB"/>
        </w:rPr>
        <w:t xml:space="preserve"> despite his protests</w:t>
      </w:r>
      <w:r w:rsidR="00B928C9" w:rsidRPr="00CD0118">
        <w:rPr>
          <w:lang w:val="en-US"/>
        </w:rPr>
        <w:t>, the appellate court reviewed his case on 22</w:t>
      </w:r>
      <w:r w:rsidR="001B5C3F">
        <w:rPr>
          <w:lang w:val="en-US"/>
        </w:rPr>
        <w:t> </w:t>
      </w:r>
      <w:r w:rsidR="00B928C9" w:rsidRPr="00CD0118">
        <w:rPr>
          <w:lang w:val="en-US"/>
        </w:rPr>
        <w:t xml:space="preserve">October 2009, in his absence, but in the presence of the attorney appointed by the court </w:t>
      </w:r>
      <w:r w:rsidR="00B928C9" w:rsidRPr="001A4402">
        <w:rPr>
          <w:lang w:val="en-US"/>
        </w:rPr>
        <w:t>ex officio</w:t>
      </w:r>
      <w:r w:rsidR="006C1A9F">
        <w:rPr>
          <w:lang w:val="en-US"/>
        </w:rPr>
        <w:t>,</w:t>
      </w:r>
      <w:r w:rsidR="00B928C9" w:rsidRPr="00CD0118">
        <w:rPr>
          <w:lang w:val="en-US"/>
        </w:rPr>
        <w:t xml:space="preserve"> and that neither the author nor the attorneys selected by him participated in the cassation proceedings nor in the supervisory review proceedings in the Supreme Court.</w:t>
      </w:r>
      <w:proofErr w:type="gramEnd"/>
      <w:r w:rsidR="001A4402">
        <w:rPr>
          <w:lang w:val="en-US"/>
        </w:rPr>
        <w:t xml:space="preserve"> </w:t>
      </w:r>
      <w:r w:rsidR="0007685A" w:rsidRPr="002A5AEF">
        <w:rPr>
          <w:bCs/>
          <w:lang w:val="en-GB"/>
        </w:rPr>
        <w:t xml:space="preserve">The Committee recalls that </w:t>
      </w:r>
      <w:r w:rsidR="0007685A" w:rsidRPr="002A5AEF">
        <w:rPr>
          <w:bCs/>
        </w:rPr>
        <w:t>the right to a</w:t>
      </w:r>
      <w:r w:rsidR="0007685A" w:rsidRPr="002A5AEF">
        <w:rPr>
          <w:bCs/>
          <w:lang w:val="en-GB"/>
        </w:rPr>
        <w:t xml:space="preserve"> </w:t>
      </w:r>
      <w:r w:rsidR="0007685A" w:rsidRPr="002A5AEF">
        <w:rPr>
          <w:bCs/>
        </w:rPr>
        <w:t xml:space="preserve">defence </w:t>
      </w:r>
      <w:r w:rsidR="0007685A" w:rsidRPr="002A5AEF">
        <w:rPr>
          <w:bCs/>
          <w:lang w:val="en-GB"/>
        </w:rPr>
        <w:t>in criminal proceedings is a fundamental right</w:t>
      </w:r>
      <w:r w:rsidR="000838BA" w:rsidRPr="002A5AEF">
        <w:rPr>
          <w:bCs/>
          <w:lang w:val="en-GB"/>
        </w:rPr>
        <w:t>,</w:t>
      </w:r>
      <w:r w:rsidR="0007685A" w:rsidRPr="002A5AEF">
        <w:rPr>
          <w:bCs/>
          <w:lang w:val="en-GB"/>
        </w:rPr>
        <w:t xml:space="preserve"> which </w:t>
      </w:r>
      <w:r w:rsidR="0007685A" w:rsidRPr="002A5AEF">
        <w:rPr>
          <w:bCs/>
        </w:rPr>
        <w:t xml:space="preserve">entails the right to </w:t>
      </w:r>
      <w:proofErr w:type="gramStart"/>
      <w:r w:rsidR="0007685A" w:rsidRPr="002A5AEF">
        <w:rPr>
          <w:bCs/>
        </w:rPr>
        <w:t>be tried</w:t>
      </w:r>
      <w:proofErr w:type="gramEnd"/>
      <w:r w:rsidR="0007685A" w:rsidRPr="002A5AEF">
        <w:rPr>
          <w:bCs/>
        </w:rPr>
        <w:t xml:space="preserve"> in one</w:t>
      </w:r>
      <w:r w:rsidR="001E0EB7">
        <w:rPr>
          <w:bCs/>
        </w:rPr>
        <w:t>’</w:t>
      </w:r>
      <w:r w:rsidR="0007685A" w:rsidRPr="002A5AEF">
        <w:rPr>
          <w:bCs/>
        </w:rPr>
        <w:t>s presence</w:t>
      </w:r>
      <w:r w:rsidR="0007685A" w:rsidRPr="002A5AEF">
        <w:rPr>
          <w:bCs/>
          <w:lang w:val="en-GB"/>
        </w:rPr>
        <w:t xml:space="preserve"> and </w:t>
      </w:r>
      <w:r w:rsidR="0007685A" w:rsidRPr="002A5AEF">
        <w:rPr>
          <w:bCs/>
        </w:rPr>
        <w:t>through legal assistance of</w:t>
      </w:r>
      <w:r w:rsidR="0007685A" w:rsidRPr="002A5AEF">
        <w:rPr>
          <w:bCs/>
          <w:lang w:val="en-GB"/>
        </w:rPr>
        <w:t xml:space="preserve"> one’s own choosing</w:t>
      </w:r>
      <w:r w:rsidR="0007685A" w:rsidRPr="002A5AEF">
        <w:rPr>
          <w:bCs/>
        </w:rPr>
        <w:t>.</w:t>
      </w:r>
      <w:r w:rsidR="0007685A" w:rsidRPr="00BA48A2">
        <w:rPr>
          <w:rStyle w:val="FootnoteReference"/>
          <w:bCs/>
        </w:rPr>
        <w:footnoteReference w:id="20"/>
      </w:r>
      <w:r w:rsidR="0007685A" w:rsidRPr="002A5AEF">
        <w:rPr>
          <w:bCs/>
        </w:rPr>
        <w:t xml:space="preserve"> The </w:t>
      </w:r>
      <w:r w:rsidR="0007685A" w:rsidRPr="002A5AEF">
        <w:rPr>
          <w:bCs/>
          <w:lang w:val="en-GB"/>
        </w:rPr>
        <w:t xml:space="preserve">Committee also recalls that the </w:t>
      </w:r>
      <w:r w:rsidR="0007685A" w:rsidRPr="002A5AEF">
        <w:rPr>
          <w:bCs/>
        </w:rPr>
        <w:t>interests of justice may require the assignment of a lawyer against the wishes of the accused.</w:t>
      </w:r>
      <w:r w:rsidR="0007685A" w:rsidRPr="00BA48A2">
        <w:rPr>
          <w:rStyle w:val="FootnoteReference"/>
          <w:bCs/>
        </w:rPr>
        <w:footnoteReference w:id="21"/>
      </w:r>
      <w:r w:rsidR="0007685A" w:rsidRPr="002A5AEF">
        <w:rPr>
          <w:bCs/>
        </w:rPr>
        <w:t xml:space="preserve"> However, any </w:t>
      </w:r>
      <w:r w:rsidR="0007685A" w:rsidRPr="002A5AEF">
        <w:rPr>
          <w:bCs/>
          <w:lang w:val="en-GB"/>
        </w:rPr>
        <w:t xml:space="preserve">such </w:t>
      </w:r>
      <w:r w:rsidR="0007685A" w:rsidRPr="002A5AEF">
        <w:rPr>
          <w:bCs/>
        </w:rPr>
        <w:t xml:space="preserve">restriction </w:t>
      </w:r>
      <w:r w:rsidR="0007685A" w:rsidRPr="002A5AEF">
        <w:rPr>
          <w:bCs/>
          <w:lang w:val="en-GB"/>
        </w:rPr>
        <w:t>m</w:t>
      </w:r>
      <w:r w:rsidR="0007685A" w:rsidRPr="002A5AEF">
        <w:rPr>
          <w:bCs/>
        </w:rPr>
        <w:t>ust have an objective and sufficiently serious purpose and not go beyond what is necessary to uphold the interests of justice</w:t>
      </w:r>
      <w:r w:rsidR="0007685A" w:rsidRPr="00BA48A2">
        <w:rPr>
          <w:rStyle w:val="FootnoteReference"/>
          <w:bCs/>
        </w:rPr>
        <w:footnoteReference w:id="22"/>
      </w:r>
      <w:r w:rsidR="00ED3880" w:rsidRPr="00694F24">
        <w:rPr>
          <w:bCs/>
          <w:lang w:val="en-GB"/>
        </w:rPr>
        <w:t xml:space="preserve"> </w:t>
      </w:r>
      <w:r w:rsidR="00ED3880" w:rsidRPr="002A5AEF">
        <w:rPr>
          <w:bCs/>
          <w:lang w:val="en-GB"/>
        </w:rPr>
        <w:t>and</w:t>
      </w:r>
      <w:r w:rsidR="008A3CAD">
        <w:rPr>
          <w:bCs/>
          <w:lang w:val="en-US"/>
        </w:rPr>
        <w:t xml:space="preserve"> </w:t>
      </w:r>
      <w:r w:rsidR="00ED3880" w:rsidRPr="002A5AEF">
        <w:rPr>
          <w:bCs/>
          <w:lang w:val="en-US"/>
        </w:rPr>
        <w:t xml:space="preserve">domestic law should avoid any absolute bar against the right to defend oneself in criminal proceedings </w:t>
      </w:r>
      <w:r w:rsidR="00ED3880" w:rsidRPr="002A5AEF">
        <w:rPr>
          <w:bCs/>
          <w:lang w:val="en-GB"/>
        </w:rPr>
        <w:t>without the assistance of counsel.</w:t>
      </w:r>
      <w:r w:rsidR="00ED3880" w:rsidRPr="00ED3880">
        <w:rPr>
          <w:bCs/>
          <w:vertAlign w:val="superscript"/>
          <w:lang w:val="en-US"/>
        </w:rPr>
        <w:footnoteReference w:id="23"/>
      </w:r>
      <w:r w:rsidR="00ED3880" w:rsidRPr="002A5AEF">
        <w:rPr>
          <w:bCs/>
          <w:lang w:val="en-GB"/>
        </w:rPr>
        <w:t xml:space="preserve"> </w:t>
      </w:r>
      <w:r w:rsidR="002A5AEF" w:rsidRPr="002A5AEF">
        <w:rPr>
          <w:bCs/>
          <w:lang w:val="en-GB"/>
        </w:rPr>
        <w:t xml:space="preserve">The Committee observes that the State party has not justified how the interests of justice in the present case required the participation of an </w:t>
      </w:r>
      <w:r w:rsidR="002A5AEF" w:rsidRPr="006262E9">
        <w:rPr>
          <w:bCs/>
          <w:iCs/>
          <w:lang w:val="en-GB"/>
        </w:rPr>
        <w:t>ex officio</w:t>
      </w:r>
      <w:r w:rsidR="002A5AEF" w:rsidRPr="002A5AEF">
        <w:rPr>
          <w:bCs/>
          <w:lang w:val="en-GB"/>
        </w:rPr>
        <w:t xml:space="preserve"> defender</w:t>
      </w:r>
      <w:r w:rsidR="00013CD2">
        <w:rPr>
          <w:bCs/>
          <w:lang w:val="en-GB"/>
        </w:rPr>
        <w:t>,</w:t>
      </w:r>
      <w:r w:rsidR="002A5AEF" w:rsidRPr="002A5AEF">
        <w:rPr>
          <w:bCs/>
          <w:lang w:val="en-GB"/>
        </w:rPr>
        <w:t xml:space="preserve"> but </w:t>
      </w:r>
      <w:r w:rsidR="00013CD2">
        <w:rPr>
          <w:bCs/>
          <w:lang w:val="en-GB"/>
        </w:rPr>
        <w:t xml:space="preserve">rather </w:t>
      </w:r>
      <w:r w:rsidR="00F12CAA">
        <w:rPr>
          <w:bCs/>
          <w:lang w:val="en-GB"/>
        </w:rPr>
        <w:t xml:space="preserve">has simply </w:t>
      </w:r>
      <w:r w:rsidR="002A5AEF" w:rsidRPr="002A5AEF">
        <w:rPr>
          <w:bCs/>
          <w:lang w:val="en-GB"/>
        </w:rPr>
        <w:t>refer</w:t>
      </w:r>
      <w:r w:rsidR="00F12CAA">
        <w:rPr>
          <w:bCs/>
          <w:lang w:val="en-GB"/>
        </w:rPr>
        <w:t>red</w:t>
      </w:r>
      <w:r w:rsidR="002A5AEF" w:rsidRPr="002A5AEF">
        <w:rPr>
          <w:bCs/>
          <w:lang w:val="en-GB"/>
        </w:rPr>
        <w:t xml:space="preserve"> to </w:t>
      </w:r>
      <w:r w:rsidR="00013CD2">
        <w:rPr>
          <w:bCs/>
          <w:lang w:val="en-GB"/>
        </w:rPr>
        <w:t xml:space="preserve">article </w:t>
      </w:r>
      <w:r w:rsidR="002A5AEF" w:rsidRPr="002A5AEF">
        <w:rPr>
          <w:lang w:val="en-US"/>
        </w:rPr>
        <w:t>71</w:t>
      </w:r>
      <w:r w:rsidR="00013CD2">
        <w:rPr>
          <w:lang w:val="en-US"/>
        </w:rPr>
        <w:t> </w:t>
      </w:r>
      <w:r w:rsidR="002A5AEF" w:rsidRPr="002A5AEF">
        <w:rPr>
          <w:lang w:val="en-US"/>
        </w:rPr>
        <w:t>(1)</w:t>
      </w:r>
      <w:r w:rsidR="00013CD2">
        <w:rPr>
          <w:lang w:val="en-US"/>
        </w:rPr>
        <w:t> </w:t>
      </w:r>
      <w:r w:rsidR="002A5AEF" w:rsidRPr="002A5AEF">
        <w:rPr>
          <w:lang w:val="en-US"/>
        </w:rPr>
        <w:t>(9) of the Criminal Procedure Code, which require</w:t>
      </w:r>
      <w:r w:rsidR="008A3CAD">
        <w:rPr>
          <w:lang w:val="en-US"/>
        </w:rPr>
        <w:t>s</w:t>
      </w:r>
      <w:r w:rsidR="002A5AEF" w:rsidRPr="002A5AEF">
        <w:rPr>
          <w:lang w:val="en-US"/>
        </w:rPr>
        <w:t xml:space="preserve"> participation of a </w:t>
      </w:r>
      <w:proofErr w:type="spellStart"/>
      <w:r w:rsidR="002A5AEF" w:rsidRPr="002A5AEF">
        <w:rPr>
          <w:lang w:val="en-US"/>
        </w:rPr>
        <w:t>defen</w:t>
      </w:r>
      <w:r w:rsidR="008E43FD">
        <w:rPr>
          <w:lang w:val="en-US"/>
        </w:rPr>
        <w:t>c</w:t>
      </w:r>
      <w:r w:rsidR="002A5AEF" w:rsidRPr="002A5AEF">
        <w:rPr>
          <w:lang w:val="en-US"/>
        </w:rPr>
        <w:t>e</w:t>
      </w:r>
      <w:proofErr w:type="spellEnd"/>
      <w:r w:rsidR="002A5AEF" w:rsidRPr="002A5AEF">
        <w:rPr>
          <w:lang w:val="en-US"/>
        </w:rPr>
        <w:t xml:space="preserve"> attorney in all cases where </w:t>
      </w:r>
      <w:r w:rsidR="008A3CAD">
        <w:rPr>
          <w:bCs/>
          <w:lang w:val="en-GB"/>
        </w:rPr>
        <w:t>a</w:t>
      </w:r>
      <w:r w:rsidR="002A5AEF" w:rsidRPr="002A5AEF">
        <w:rPr>
          <w:bCs/>
          <w:lang w:val="en-GB"/>
        </w:rPr>
        <w:t xml:space="preserve"> prosecutor</w:t>
      </w:r>
      <w:r w:rsidR="008A3CAD">
        <w:rPr>
          <w:bCs/>
          <w:lang w:val="en-GB"/>
        </w:rPr>
        <w:t xml:space="preserve"> is present</w:t>
      </w:r>
      <w:r w:rsidR="002A5AEF" w:rsidRPr="002A5AEF">
        <w:rPr>
          <w:bCs/>
          <w:lang w:val="en-GB"/>
        </w:rPr>
        <w:t>.</w:t>
      </w:r>
      <w:r w:rsidR="0007685A" w:rsidRPr="002A5AEF">
        <w:rPr>
          <w:bCs/>
          <w:lang w:val="en-GB"/>
        </w:rPr>
        <w:t xml:space="preserve"> </w:t>
      </w:r>
      <w:r w:rsidR="000D0C6A" w:rsidRPr="002A5AEF">
        <w:rPr>
          <w:bCs/>
        </w:rPr>
        <w:t>Accordingly, the Committee concludes that the facts in the instant case</w:t>
      </w:r>
      <w:r w:rsidR="000D0C6A" w:rsidRPr="002A5AEF">
        <w:rPr>
          <w:bCs/>
          <w:lang w:val="en-GB"/>
        </w:rPr>
        <w:t xml:space="preserve"> disclose a violation of </w:t>
      </w:r>
      <w:r w:rsidR="000D0C6A" w:rsidRPr="002A5AEF">
        <w:rPr>
          <w:bCs/>
          <w:lang w:val="en-GB" w:eastAsia="ja-JP"/>
        </w:rPr>
        <w:t>the author</w:t>
      </w:r>
      <w:r w:rsidR="001E0EB7">
        <w:rPr>
          <w:bCs/>
          <w:lang w:val="en-GB" w:eastAsia="ja-JP"/>
        </w:rPr>
        <w:t>’</w:t>
      </w:r>
      <w:r w:rsidR="000D0C6A" w:rsidRPr="002A5AEF">
        <w:rPr>
          <w:bCs/>
          <w:lang w:val="en-GB" w:eastAsia="ja-JP"/>
        </w:rPr>
        <w:t xml:space="preserve">s right under </w:t>
      </w:r>
      <w:r w:rsidR="000D0C6A" w:rsidRPr="002A5AEF">
        <w:rPr>
          <w:bCs/>
          <w:lang w:val="en-GB"/>
        </w:rPr>
        <w:t xml:space="preserve">article 14, </w:t>
      </w:r>
      <w:r w:rsidR="00780883">
        <w:rPr>
          <w:bCs/>
          <w:lang w:val="en-GB"/>
        </w:rPr>
        <w:t>(</w:t>
      </w:r>
      <w:r w:rsidR="000D0C6A" w:rsidRPr="002A5AEF">
        <w:rPr>
          <w:bCs/>
          <w:lang w:val="en-GB"/>
        </w:rPr>
        <w:t>3</w:t>
      </w:r>
      <w:r w:rsidR="00780883">
        <w:rPr>
          <w:bCs/>
          <w:lang w:val="en-GB"/>
        </w:rPr>
        <w:t>)</w:t>
      </w:r>
      <w:r w:rsidR="00013CD2">
        <w:rPr>
          <w:bCs/>
          <w:lang w:val="en-GB"/>
        </w:rPr>
        <w:t> </w:t>
      </w:r>
      <w:r w:rsidR="000D0C6A" w:rsidRPr="002A5AEF">
        <w:rPr>
          <w:bCs/>
          <w:lang w:val="en-GB"/>
        </w:rPr>
        <w:t>(d)</w:t>
      </w:r>
      <w:r w:rsidR="000D0C6A" w:rsidRPr="002A5AEF">
        <w:rPr>
          <w:bCs/>
          <w:lang w:val="en-GB" w:eastAsia="ja-JP"/>
        </w:rPr>
        <w:t xml:space="preserve"> to be assisted by counsel of his choice</w:t>
      </w:r>
      <w:r w:rsidR="000D0C6A" w:rsidRPr="002A5AEF">
        <w:rPr>
          <w:bCs/>
          <w:lang w:val="en-GB"/>
        </w:rPr>
        <w:t>.</w:t>
      </w:r>
    </w:p>
    <w:p w14:paraId="4470BA5E" w14:textId="4FD66ECC" w:rsidR="00AC62EF" w:rsidRPr="00BA48A2" w:rsidRDefault="005E237C" w:rsidP="00013CD2">
      <w:pPr>
        <w:pStyle w:val="SingleTxtG"/>
      </w:pPr>
      <w:r w:rsidRPr="00BA48A2">
        <w:t>1</w:t>
      </w:r>
      <w:r w:rsidR="007D3F7D" w:rsidRPr="00694F24">
        <w:rPr>
          <w:lang w:val="en-GB"/>
        </w:rPr>
        <w:t>1</w:t>
      </w:r>
      <w:r w:rsidRPr="00BA48A2">
        <w:t>.</w:t>
      </w:r>
      <w:r w:rsidR="00242AE6">
        <w:t>6</w:t>
      </w:r>
      <w:r w:rsidRPr="00BA48A2">
        <w:tab/>
        <w:t>The Committee takes not</w:t>
      </w:r>
      <w:r w:rsidR="00E54106">
        <w:t>e</w:t>
      </w:r>
      <w:r w:rsidRPr="00BA48A2">
        <w:t xml:space="preserve"> of the author’s allegations that </w:t>
      </w:r>
      <w:r w:rsidR="00AC62EF" w:rsidRPr="00BA48A2">
        <w:t>his rights under article</w:t>
      </w:r>
      <w:r w:rsidR="00013CD2">
        <w:rPr>
          <w:lang w:val="en-US"/>
        </w:rPr>
        <w:t> </w:t>
      </w:r>
      <w:r w:rsidR="00AC62EF" w:rsidRPr="00BA48A2">
        <w:t>19</w:t>
      </w:r>
      <w:r w:rsidR="00013CD2">
        <w:rPr>
          <w:lang w:val="en-US"/>
        </w:rPr>
        <w:t> </w:t>
      </w:r>
      <w:r w:rsidR="00AC62EF" w:rsidRPr="00BA48A2">
        <w:t>(1) and (2) of the Covenant</w:t>
      </w:r>
      <w:r w:rsidR="00C34104" w:rsidRPr="00BA48A2">
        <w:t xml:space="preserve"> were violated because of his conviction</w:t>
      </w:r>
      <w:r w:rsidR="005A3D9A" w:rsidRPr="00BA48A2">
        <w:t xml:space="preserve"> and </w:t>
      </w:r>
      <w:r w:rsidR="00013CD2">
        <w:rPr>
          <w:lang w:val="en-US"/>
        </w:rPr>
        <w:t xml:space="preserve">the </w:t>
      </w:r>
      <w:r w:rsidR="005A3D9A" w:rsidRPr="00BA48A2">
        <w:t xml:space="preserve">prohibition </w:t>
      </w:r>
      <w:r w:rsidR="00013CD2">
        <w:rPr>
          <w:lang w:val="en-US"/>
        </w:rPr>
        <w:t>on engaging in</w:t>
      </w:r>
      <w:r w:rsidR="005A3D9A" w:rsidRPr="00BA48A2">
        <w:t xml:space="preserve"> publishing activit</w:t>
      </w:r>
      <w:r w:rsidR="00013CD2">
        <w:rPr>
          <w:lang w:val="en-US"/>
        </w:rPr>
        <w:t>ies</w:t>
      </w:r>
      <w:r w:rsidR="005A3D9A" w:rsidRPr="00BA48A2">
        <w:t xml:space="preserve"> for two years,</w:t>
      </w:r>
      <w:r w:rsidR="00C34104" w:rsidRPr="00BA48A2">
        <w:t xml:space="preserve"> for publishing an article </w:t>
      </w:r>
      <w:r w:rsidR="00013CD2">
        <w:rPr>
          <w:lang w:val="en-US"/>
        </w:rPr>
        <w:t xml:space="preserve">in </w:t>
      </w:r>
      <w:r w:rsidR="00C34104" w:rsidRPr="00BA48A2">
        <w:t>wh</w:t>
      </w:r>
      <w:r w:rsidR="00013CD2">
        <w:rPr>
          <w:lang w:val="en-US"/>
        </w:rPr>
        <w:t>ich</w:t>
      </w:r>
      <w:r w:rsidR="00C34104" w:rsidRPr="00BA48A2">
        <w:t xml:space="preserve"> he expressed his personal critical opinion </w:t>
      </w:r>
      <w:r w:rsidR="00C67E9B">
        <w:t>o</w:t>
      </w:r>
      <w:r w:rsidR="00013CD2">
        <w:rPr>
          <w:lang w:val="en-US"/>
        </w:rPr>
        <w:t>f</w:t>
      </w:r>
      <w:r w:rsidR="00C67E9B">
        <w:t xml:space="preserve"> </w:t>
      </w:r>
      <w:r w:rsidR="00C34104" w:rsidRPr="00BA48A2">
        <w:t>documents</w:t>
      </w:r>
      <w:r w:rsidR="004955FB">
        <w:t xml:space="preserve"> </w:t>
      </w:r>
      <w:r w:rsidR="00C34104" w:rsidRPr="00BA48A2">
        <w:t xml:space="preserve">sent to his newspaper; </w:t>
      </w:r>
      <w:r w:rsidR="00AC62EF" w:rsidRPr="00BA48A2">
        <w:t xml:space="preserve">that the files that he published did not contain information that could be viewed as </w:t>
      </w:r>
      <w:r w:rsidR="00013CD2">
        <w:rPr>
          <w:lang w:val="en-US"/>
        </w:rPr>
        <w:t>S</w:t>
      </w:r>
      <w:proofErr w:type="spellStart"/>
      <w:r w:rsidR="00AC62EF" w:rsidRPr="00BA48A2">
        <w:t>tate</w:t>
      </w:r>
      <w:proofErr w:type="spellEnd"/>
      <w:r w:rsidR="00AC62EF" w:rsidRPr="00BA48A2">
        <w:t xml:space="preserve"> secret</w:t>
      </w:r>
      <w:r w:rsidR="00013CD2">
        <w:rPr>
          <w:lang w:val="en-US"/>
        </w:rPr>
        <w:t>s</w:t>
      </w:r>
      <w:r w:rsidR="00C34104" w:rsidRPr="00BA48A2">
        <w:t>,</w:t>
      </w:r>
      <w:r w:rsidR="00AC62EF" w:rsidRPr="00BA48A2">
        <w:t xml:space="preserve"> </w:t>
      </w:r>
      <w:r w:rsidR="00C34104" w:rsidRPr="00BA48A2">
        <w:t>nor did they cont</w:t>
      </w:r>
      <w:r w:rsidR="00AC62EF" w:rsidRPr="00BA48A2">
        <w:t>ain any information disclosing forces, means and methods of investigation of criminal cases affecting security interests of the State party</w:t>
      </w:r>
      <w:r w:rsidR="00C34104" w:rsidRPr="00BA48A2">
        <w:t xml:space="preserve"> </w:t>
      </w:r>
      <w:r w:rsidR="00AC62EF" w:rsidRPr="00BA48A2">
        <w:t xml:space="preserve">or information that posed a threat to the </w:t>
      </w:r>
      <w:r w:rsidR="00013CD2">
        <w:rPr>
          <w:lang w:val="en-US"/>
        </w:rPr>
        <w:t>S</w:t>
      </w:r>
      <w:proofErr w:type="spellStart"/>
      <w:r w:rsidR="00AC62EF" w:rsidRPr="00BA48A2">
        <w:t>tate</w:t>
      </w:r>
      <w:r w:rsidR="00013CD2">
        <w:rPr>
          <w:lang w:val="en-US"/>
        </w:rPr>
        <w:t>’s</w:t>
      </w:r>
      <w:proofErr w:type="spellEnd"/>
      <w:r w:rsidR="00AC62EF" w:rsidRPr="00BA48A2">
        <w:t xml:space="preserve"> territorial integrity or political independence. </w:t>
      </w:r>
      <w:r w:rsidR="00C34104" w:rsidRPr="00BA48A2">
        <w:t xml:space="preserve">The Committee also notes </w:t>
      </w:r>
      <w:r w:rsidR="00374C6F">
        <w:t>the author’s</w:t>
      </w:r>
      <w:r w:rsidR="00C34104" w:rsidRPr="00BA48A2">
        <w:t xml:space="preserve"> submission that </w:t>
      </w:r>
      <w:r w:rsidR="00AC62EF" w:rsidRPr="00BA48A2">
        <w:t>the limitation of his freedom of expression was not made for one of the purposes enumerated under article 19</w:t>
      </w:r>
      <w:r w:rsidR="00013CD2">
        <w:rPr>
          <w:lang w:val="en-US"/>
        </w:rPr>
        <w:t> </w:t>
      </w:r>
      <w:r w:rsidR="00AC62EF" w:rsidRPr="00BA48A2">
        <w:t>(3) of the Covenant</w:t>
      </w:r>
      <w:r w:rsidR="00C34104" w:rsidRPr="00BA48A2">
        <w:t>.</w:t>
      </w:r>
      <w:r w:rsidR="00AC62EF" w:rsidRPr="00BA48A2">
        <w:t xml:space="preserve"> </w:t>
      </w:r>
      <w:r w:rsidR="00C34104" w:rsidRPr="00BA48A2">
        <w:t xml:space="preserve">The Committee further notes the State party’s argument that the </w:t>
      </w:r>
      <w:r w:rsidR="009F794C" w:rsidRPr="00BA48A2">
        <w:t xml:space="preserve">author was convicted for publishing an article containing </w:t>
      </w:r>
      <w:r w:rsidR="004955FB">
        <w:t xml:space="preserve">classified </w:t>
      </w:r>
      <w:r w:rsidR="009F794C" w:rsidRPr="00BA48A2">
        <w:t xml:space="preserve">data regarding activities </w:t>
      </w:r>
      <w:r w:rsidR="009752D6">
        <w:rPr>
          <w:lang w:val="en-US"/>
        </w:rPr>
        <w:t>conducted for</w:t>
      </w:r>
      <w:r w:rsidR="00013CD2">
        <w:rPr>
          <w:lang w:val="en-US"/>
        </w:rPr>
        <w:t xml:space="preserve"> an </w:t>
      </w:r>
      <w:r w:rsidR="00013CD2" w:rsidRPr="00013CD2">
        <w:rPr>
          <w:lang w:val="en-GB"/>
        </w:rPr>
        <w:t>investigation</w:t>
      </w:r>
      <w:r w:rsidR="00013CD2">
        <w:rPr>
          <w:lang w:val="en-GB"/>
        </w:rPr>
        <w:t xml:space="preserve"> </w:t>
      </w:r>
      <w:r w:rsidR="009F794C" w:rsidRPr="00BA48A2">
        <w:t xml:space="preserve">into </w:t>
      </w:r>
      <w:r w:rsidR="009752D6">
        <w:rPr>
          <w:lang w:val="en-US"/>
        </w:rPr>
        <w:t xml:space="preserve">a </w:t>
      </w:r>
      <w:r w:rsidR="009F794C" w:rsidRPr="00BA48A2">
        <w:t>criminal affair related to a tax evasion</w:t>
      </w:r>
      <w:r w:rsidR="00013CD2">
        <w:rPr>
          <w:lang w:val="en-US"/>
        </w:rPr>
        <w:t>,</w:t>
      </w:r>
      <w:r w:rsidR="009F794C" w:rsidRPr="00BA48A2">
        <w:t xml:space="preserve"> and that </w:t>
      </w:r>
      <w:r w:rsidR="00013CD2">
        <w:rPr>
          <w:lang w:val="en-US"/>
        </w:rPr>
        <w:t xml:space="preserve">article </w:t>
      </w:r>
      <w:r w:rsidR="009F794C" w:rsidRPr="00BA48A2">
        <w:t>172</w:t>
      </w:r>
      <w:r w:rsidR="004034A7">
        <w:rPr>
          <w:lang w:val="en-US"/>
        </w:rPr>
        <w:t xml:space="preserve"> (</w:t>
      </w:r>
      <w:r w:rsidR="009F794C" w:rsidRPr="00BA48A2">
        <w:t>1</w:t>
      </w:r>
      <w:r w:rsidR="004034A7">
        <w:rPr>
          <w:lang w:val="en-US"/>
        </w:rPr>
        <w:t>)</w:t>
      </w:r>
      <w:r w:rsidR="009F794C" w:rsidRPr="00BA48A2">
        <w:t xml:space="preserve"> of the Criminal Code and the Law </w:t>
      </w:r>
      <w:proofErr w:type="spellStart"/>
      <w:r w:rsidR="00013CD2">
        <w:rPr>
          <w:lang w:val="en-US"/>
        </w:rPr>
        <w:t>o</w:t>
      </w:r>
      <w:r w:rsidR="009E1956">
        <w:t>n</w:t>
      </w:r>
      <w:proofErr w:type="spellEnd"/>
      <w:r w:rsidR="009E1956">
        <w:t xml:space="preserve"> </w:t>
      </w:r>
      <w:proofErr w:type="spellStart"/>
      <w:r w:rsidR="009F794C" w:rsidRPr="00BA48A2">
        <w:t xml:space="preserve">State </w:t>
      </w:r>
      <w:r w:rsidR="00013CD2">
        <w:rPr>
          <w:lang w:val="en-US"/>
        </w:rPr>
        <w:t>s</w:t>
      </w:r>
      <w:r w:rsidR="009F794C" w:rsidRPr="00BA48A2">
        <w:t>ecrets</w:t>
      </w:r>
      <w:proofErr w:type="spellEnd"/>
      <w:r w:rsidR="009F794C" w:rsidRPr="00BA48A2">
        <w:t xml:space="preserve"> are in accordance with international law.</w:t>
      </w:r>
    </w:p>
    <w:p w14:paraId="33AA89DB" w14:textId="615624BA" w:rsidR="00BA48A2" w:rsidRPr="006262E9" w:rsidRDefault="0005540B" w:rsidP="00013CD2">
      <w:pPr>
        <w:pStyle w:val="SingleTxtG"/>
        <w:rPr>
          <w:lang w:val="en-US"/>
        </w:rPr>
      </w:pPr>
      <w:r w:rsidRPr="00BA48A2">
        <w:t>1</w:t>
      </w:r>
      <w:r w:rsidR="007D3F7D" w:rsidRPr="00694F24">
        <w:rPr>
          <w:lang w:val="en-GB"/>
        </w:rPr>
        <w:t>1</w:t>
      </w:r>
      <w:r w:rsidRPr="00BA48A2">
        <w:t>.</w:t>
      </w:r>
      <w:r w:rsidR="00242AE6">
        <w:t>7</w:t>
      </w:r>
      <w:r w:rsidRPr="00BA48A2">
        <w:tab/>
        <w:t>The Committee recalls that article 19</w:t>
      </w:r>
      <w:r w:rsidR="00013CD2">
        <w:rPr>
          <w:lang w:val="en-US"/>
        </w:rPr>
        <w:t> </w:t>
      </w:r>
      <w:r w:rsidR="00820FB8" w:rsidRPr="00BA48A2">
        <w:t>(2)</w:t>
      </w:r>
      <w:r w:rsidRPr="00BA48A2">
        <w:t xml:space="preserve"> of the Covenant requires States parties to guarantee the right to freedom of expression, including the freedom to seek, receive and impart information and ideas of all kinds, regardless of frontiers, either orally, in writing or in print. The Committee refers to its </w:t>
      </w:r>
      <w:r w:rsidR="00013CD2">
        <w:rPr>
          <w:lang w:val="en-US"/>
        </w:rPr>
        <w:t>g</w:t>
      </w:r>
      <w:proofErr w:type="spellStart"/>
      <w:r w:rsidRPr="00BA48A2">
        <w:t>eneral</w:t>
      </w:r>
      <w:proofErr w:type="spellEnd"/>
      <w:r w:rsidRPr="00BA48A2">
        <w:t xml:space="preserve"> </w:t>
      </w:r>
      <w:r w:rsidR="00013CD2">
        <w:rPr>
          <w:lang w:val="en-US"/>
        </w:rPr>
        <w:t>c</w:t>
      </w:r>
      <w:proofErr w:type="spellStart"/>
      <w:r w:rsidRPr="00BA48A2">
        <w:t>omment</w:t>
      </w:r>
      <w:proofErr w:type="spellEnd"/>
      <w:r w:rsidRPr="00BA48A2">
        <w:t xml:space="preserve"> No. 34</w:t>
      </w:r>
      <w:r w:rsidR="004955FB">
        <w:t xml:space="preserve">, </w:t>
      </w:r>
      <w:r w:rsidRPr="00BA48A2">
        <w:t>according to which freedom of opinion and freedom of expression are essential for any society and constitute the foundation stone for every free and democratic society (para. 2).</w:t>
      </w:r>
      <w:r w:rsidRPr="006262E9">
        <w:t xml:space="preserve"> </w:t>
      </w:r>
      <w:r w:rsidRPr="00BA48A2">
        <w:t>Any restrictions on the exercise of these freedoms must conform to the strict tests of necessity and proportionality. Restrictions must be applied only for those purposes for which they were prescribed and must be directly related to the specific need on which they are predicated (</w:t>
      </w:r>
      <w:r w:rsidR="00013CD2">
        <w:rPr>
          <w:lang w:val="en-US"/>
        </w:rPr>
        <w:t xml:space="preserve">ibid., </w:t>
      </w:r>
      <w:r w:rsidRPr="00BA48A2">
        <w:t>para. 22).</w:t>
      </w:r>
      <w:r w:rsidRPr="00BA48A2">
        <w:rPr>
          <w:vertAlign w:val="superscript"/>
        </w:rPr>
        <w:footnoteReference w:id="24"/>
      </w:r>
    </w:p>
    <w:p w14:paraId="30776B01" w14:textId="1A488607" w:rsidR="00B928C9" w:rsidRPr="006262E9" w:rsidRDefault="00BA48A2" w:rsidP="00D81309">
      <w:pPr>
        <w:pStyle w:val="SingleTxtG"/>
        <w:rPr>
          <w:lang w:val="en-GB"/>
        </w:rPr>
      </w:pPr>
      <w:r>
        <w:t>1</w:t>
      </w:r>
      <w:r w:rsidR="007D3F7D" w:rsidRPr="00694F24">
        <w:rPr>
          <w:lang w:val="en-GB"/>
        </w:rPr>
        <w:t>1</w:t>
      </w:r>
      <w:r w:rsidR="0005540B" w:rsidRPr="00BA48A2">
        <w:t>.</w:t>
      </w:r>
      <w:r w:rsidR="00242AE6">
        <w:t>8</w:t>
      </w:r>
      <w:r w:rsidR="0005540B" w:rsidRPr="00BA48A2">
        <w:tab/>
        <w:t>The Committee recalls that article 19</w:t>
      </w:r>
      <w:r w:rsidR="003B0027">
        <w:rPr>
          <w:lang w:val="en-US"/>
        </w:rPr>
        <w:t> </w:t>
      </w:r>
      <w:r w:rsidR="00820FB8" w:rsidRPr="00BA48A2">
        <w:t>(3)</w:t>
      </w:r>
      <w:r w:rsidR="0005540B" w:rsidRPr="00BA48A2">
        <w:t xml:space="preserve"> of the Covenant allows certain restrictions, but only as provided by law and necessary: (a) for respect of the rights or reputation</w:t>
      </w:r>
      <w:r w:rsidR="003B0027">
        <w:rPr>
          <w:lang w:val="en-US"/>
        </w:rPr>
        <w:t>s</w:t>
      </w:r>
      <w:r w:rsidR="0005540B" w:rsidRPr="00BA48A2">
        <w:t xml:space="preserve"> of others; </w:t>
      </w:r>
      <w:r w:rsidR="003B0027">
        <w:rPr>
          <w:lang w:val="en-US"/>
        </w:rPr>
        <w:t xml:space="preserve">or </w:t>
      </w:r>
      <w:r w:rsidR="0005540B" w:rsidRPr="00BA48A2">
        <w:t>(b) for the protection of national security or of public order (</w:t>
      </w:r>
      <w:r w:rsidR="0005540B" w:rsidRPr="006262E9">
        <w:rPr>
          <w:i/>
          <w:iCs/>
        </w:rPr>
        <w:t>ordre public</w:t>
      </w:r>
      <w:r w:rsidR="0005540B" w:rsidRPr="00BA48A2">
        <w:t>), or of public health or morals. The Committee notes that if the State imposes a restriction</w:t>
      </w:r>
      <w:r w:rsidR="00374C6F">
        <w:t xml:space="preserve"> on rights </w:t>
      </w:r>
      <w:r w:rsidR="0072144E">
        <w:rPr>
          <w:lang w:val="en-GB"/>
        </w:rPr>
        <w:t xml:space="preserve">guaranteed </w:t>
      </w:r>
      <w:r w:rsidR="00374C6F">
        <w:t>under article 19 (2)</w:t>
      </w:r>
      <w:r w:rsidR="0005540B" w:rsidRPr="00BA48A2">
        <w:t xml:space="preserve">, it is up to the State party to demonstrate that </w:t>
      </w:r>
      <w:r w:rsidR="00374C6F">
        <w:t xml:space="preserve">such </w:t>
      </w:r>
      <w:r w:rsidR="0072144E">
        <w:t>restriction</w:t>
      </w:r>
      <w:r w:rsidR="00374C6F">
        <w:t xml:space="preserve"> </w:t>
      </w:r>
      <w:r w:rsidR="003B0027">
        <w:rPr>
          <w:lang w:val="en-US"/>
        </w:rPr>
        <w:t>is</w:t>
      </w:r>
      <w:r w:rsidR="0005540B" w:rsidRPr="00BA48A2">
        <w:t xml:space="preserve"> necessary in the case in question</w:t>
      </w:r>
      <w:r w:rsidR="00F30DF7" w:rsidRPr="00780883">
        <w:rPr>
          <w:lang w:val="en-GB"/>
        </w:rPr>
        <w:t xml:space="preserve"> </w:t>
      </w:r>
      <w:r w:rsidR="000062C1">
        <w:t>and does not operate in a way that is incompatible with the object and purpose of article 19 of the Covenant</w:t>
      </w:r>
      <w:r w:rsidR="00F30DF7" w:rsidRPr="006262E9">
        <w:rPr>
          <w:lang w:val="en-GB"/>
        </w:rPr>
        <w:t>.</w:t>
      </w:r>
      <w:r w:rsidR="0005540B" w:rsidRPr="00BA48A2">
        <w:rPr>
          <w:vertAlign w:val="superscript"/>
        </w:rPr>
        <w:footnoteReference w:id="25"/>
      </w:r>
      <w:r w:rsidR="00C547DD" w:rsidRPr="00BA48A2">
        <w:t xml:space="preserve"> </w:t>
      </w:r>
    </w:p>
    <w:p w14:paraId="7050D409" w14:textId="2FDF6387" w:rsidR="00BA48A2" w:rsidRPr="00694F24" w:rsidRDefault="00B928C9" w:rsidP="00DC315E">
      <w:pPr>
        <w:pStyle w:val="SingleTxtG"/>
        <w:rPr>
          <w:lang w:val="en-GB"/>
        </w:rPr>
      </w:pPr>
      <w:r w:rsidRPr="00694F24">
        <w:rPr>
          <w:lang w:val="en-GB"/>
        </w:rPr>
        <w:t>11.9</w:t>
      </w:r>
      <w:r w:rsidRPr="00694F24">
        <w:rPr>
          <w:lang w:val="en-GB"/>
        </w:rPr>
        <w:tab/>
      </w:r>
      <w:r w:rsidR="0005540B" w:rsidRPr="00CD0118">
        <w:t>The Committee observes that</w:t>
      </w:r>
      <w:r w:rsidR="00DF7B1B" w:rsidRPr="00CD0118">
        <w:t xml:space="preserve"> in the </w:t>
      </w:r>
      <w:r w:rsidR="008F07C3" w:rsidRPr="00CD0118">
        <w:t>present</w:t>
      </w:r>
      <w:r w:rsidR="00DF7B1B" w:rsidRPr="00CD0118">
        <w:t xml:space="preserve"> case</w:t>
      </w:r>
      <w:r w:rsidR="0005540B" w:rsidRPr="00CD0118">
        <w:t xml:space="preserve"> the national authorities </w:t>
      </w:r>
      <w:r w:rsidR="00DF7B1B" w:rsidRPr="00CD0118">
        <w:t>appear to justify the restriction of the author’s freedom of expression on the ground of</w:t>
      </w:r>
      <w:r w:rsidR="0005540B" w:rsidRPr="00CD0118">
        <w:t xml:space="preserve"> public order</w:t>
      </w:r>
      <w:r w:rsidR="005568DE" w:rsidRPr="00CD0118">
        <w:rPr>
          <w:lang w:val="en-GB"/>
        </w:rPr>
        <w:t>.</w:t>
      </w:r>
      <w:r w:rsidR="003B0027">
        <w:rPr>
          <w:lang w:val="en-GB"/>
        </w:rPr>
        <w:t xml:space="preserve"> </w:t>
      </w:r>
      <w:r w:rsidR="008150AD" w:rsidRPr="00CD0118">
        <w:t xml:space="preserve">The State party, however, fails to </w:t>
      </w:r>
      <w:r w:rsidR="008F07C3" w:rsidRPr="00CD0118">
        <w:t>adequately justify</w:t>
      </w:r>
      <w:r w:rsidR="008150AD" w:rsidRPr="00CD0118">
        <w:t xml:space="preserve"> how the publication of the documents in question </w:t>
      </w:r>
      <w:proofErr w:type="spellStart"/>
      <w:r w:rsidR="008150AD" w:rsidRPr="00CD0118">
        <w:t>jeopardi</w:t>
      </w:r>
      <w:r w:rsidR="003B0027">
        <w:rPr>
          <w:lang w:val="en-US"/>
        </w:rPr>
        <w:t>z</w:t>
      </w:r>
      <w:r w:rsidR="008150AD" w:rsidRPr="00CD0118">
        <w:t>ed</w:t>
      </w:r>
      <w:proofErr w:type="spellEnd"/>
      <w:r w:rsidR="008150AD" w:rsidRPr="00CD0118">
        <w:t xml:space="preserve"> </w:t>
      </w:r>
      <w:r w:rsidRPr="00694F24">
        <w:rPr>
          <w:lang w:val="en-GB"/>
        </w:rPr>
        <w:t>public order.</w:t>
      </w:r>
      <w:r w:rsidR="003B6419">
        <w:rPr>
          <w:lang w:val="en-GB"/>
        </w:rPr>
        <w:t xml:space="preserve"> </w:t>
      </w:r>
      <w:r w:rsidR="00C547DD" w:rsidRPr="00CD0118">
        <w:t xml:space="preserve">The Committee notes that the author is a journalist whose main professional </w:t>
      </w:r>
      <w:r w:rsidR="005568DE" w:rsidRPr="00CD0118">
        <w:t>task</w:t>
      </w:r>
      <w:r w:rsidR="00C547DD" w:rsidRPr="00CD0118">
        <w:t xml:space="preserve"> is to inform society </w:t>
      </w:r>
      <w:r w:rsidR="008F07C3" w:rsidRPr="00CD0118">
        <w:t xml:space="preserve">on </w:t>
      </w:r>
      <w:r w:rsidR="00C547DD" w:rsidRPr="00CD0118">
        <w:t>issues of public interest</w:t>
      </w:r>
      <w:r w:rsidR="003B0027">
        <w:rPr>
          <w:lang w:val="en-US"/>
        </w:rPr>
        <w:t>,</w:t>
      </w:r>
      <w:r w:rsidR="00C547DD" w:rsidRPr="00CD0118">
        <w:t xml:space="preserve"> and </w:t>
      </w:r>
      <w:r w:rsidR="003B0027">
        <w:rPr>
          <w:lang w:val="en-US"/>
        </w:rPr>
        <w:t xml:space="preserve">also </w:t>
      </w:r>
      <w:r w:rsidR="00046F2C" w:rsidRPr="00CD0118">
        <w:t>notes the author’s claim</w:t>
      </w:r>
      <w:r w:rsidR="00C547DD" w:rsidRPr="00CD0118">
        <w:t xml:space="preserve"> that the published</w:t>
      </w:r>
      <w:r w:rsidR="00C547DD" w:rsidRPr="00BA48A2">
        <w:t xml:space="preserve"> documents revealed corruption</w:t>
      </w:r>
      <w:r w:rsidR="000B7CF0">
        <w:t xml:space="preserve"> and abuse of power</w:t>
      </w:r>
      <w:r w:rsidR="00C547DD" w:rsidRPr="00BA48A2">
        <w:t xml:space="preserve"> among </w:t>
      </w:r>
      <w:r w:rsidR="003B0027">
        <w:rPr>
          <w:lang w:val="en-US"/>
        </w:rPr>
        <w:t>S</w:t>
      </w:r>
      <w:proofErr w:type="spellStart"/>
      <w:r w:rsidR="000B7CF0">
        <w:t>tate</w:t>
      </w:r>
      <w:proofErr w:type="spellEnd"/>
      <w:r w:rsidR="000B7CF0">
        <w:t xml:space="preserve"> officials</w:t>
      </w:r>
      <w:r w:rsidR="00C547DD" w:rsidRPr="00BA48A2">
        <w:t>. The State party has not refuted that allegation</w:t>
      </w:r>
      <w:r w:rsidR="00E76342" w:rsidRPr="00BA48A2">
        <w:t xml:space="preserve">, nor has it provided any specific argumentation as to why it was necessary to restrict the author’s freedom of expression, beyond a general reference to </w:t>
      </w:r>
      <w:r w:rsidR="000B7CF0">
        <w:t xml:space="preserve">the </w:t>
      </w:r>
      <w:r w:rsidR="00E76342" w:rsidRPr="00BA48A2">
        <w:t>permissible grounds for restrictions under article 19</w:t>
      </w:r>
      <w:r w:rsidR="003B0027">
        <w:rPr>
          <w:lang w:val="en-US"/>
        </w:rPr>
        <w:t> </w:t>
      </w:r>
      <w:r w:rsidR="00E76342" w:rsidRPr="00BA48A2">
        <w:t>(3)</w:t>
      </w:r>
      <w:r w:rsidR="00C547DD" w:rsidRPr="00BA48A2">
        <w:t xml:space="preserve">. </w:t>
      </w:r>
      <w:r w:rsidR="0005540B" w:rsidRPr="00BA48A2">
        <w:t xml:space="preserve">In the absence </w:t>
      </w:r>
      <w:r w:rsidR="00046F2C">
        <w:t xml:space="preserve">of </w:t>
      </w:r>
      <w:r w:rsidR="00DF7B1B" w:rsidRPr="00BA48A2">
        <w:t xml:space="preserve">sufficient justification by the State party </w:t>
      </w:r>
      <w:r w:rsidR="003B0027">
        <w:rPr>
          <w:lang w:val="en-US"/>
        </w:rPr>
        <w:t>as to</w:t>
      </w:r>
      <w:r w:rsidR="003B0027" w:rsidRPr="00BA48A2">
        <w:t xml:space="preserve"> </w:t>
      </w:r>
      <w:r w:rsidR="00DC315E">
        <w:rPr>
          <w:lang w:val="en-US"/>
        </w:rPr>
        <w:t>the way in which</w:t>
      </w:r>
      <w:r w:rsidR="00DF7B1B" w:rsidRPr="00BA48A2">
        <w:t xml:space="preserve"> publishing </w:t>
      </w:r>
      <w:r w:rsidR="009040FE" w:rsidRPr="00BA48A2">
        <w:t>the documents in question</w:t>
      </w:r>
      <w:r w:rsidR="00DF7B1B" w:rsidRPr="00BA48A2">
        <w:t xml:space="preserve"> </w:t>
      </w:r>
      <w:proofErr w:type="spellStart"/>
      <w:r w:rsidR="00DF7B1B" w:rsidRPr="00BA48A2">
        <w:t>jeopardi</w:t>
      </w:r>
      <w:r w:rsidR="003B0027">
        <w:rPr>
          <w:lang w:val="en-US"/>
        </w:rPr>
        <w:t>z</w:t>
      </w:r>
      <w:r w:rsidR="00DF7B1B" w:rsidRPr="00BA48A2">
        <w:t>ed</w:t>
      </w:r>
      <w:proofErr w:type="spellEnd"/>
      <w:r w:rsidR="00DF7B1B" w:rsidRPr="00BA48A2">
        <w:t xml:space="preserve"> the public order in the State party</w:t>
      </w:r>
      <w:r w:rsidR="009040FE" w:rsidRPr="00BA48A2">
        <w:t xml:space="preserve">, </w:t>
      </w:r>
      <w:r w:rsidR="0005540B" w:rsidRPr="00BA48A2">
        <w:t>the Committee concludes that the author’s rights under article 19</w:t>
      </w:r>
      <w:r w:rsidR="00DC315E">
        <w:rPr>
          <w:lang w:val="en-US"/>
        </w:rPr>
        <w:t> </w:t>
      </w:r>
      <w:r w:rsidR="009040FE" w:rsidRPr="00BA48A2">
        <w:t>(2)</w:t>
      </w:r>
      <w:r w:rsidR="0005540B" w:rsidRPr="00BA48A2">
        <w:t xml:space="preserve"> of t</w:t>
      </w:r>
      <w:r w:rsidR="00D81309">
        <w:t>he Covenant have been violated.</w:t>
      </w:r>
    </w:p>
    <w:p w14:paraId="67E352D4" w14:textId="4F8C4839" w:rsidR="00820FB8" w:rsidRPr="00BA48A2" w:rsidRDefault="00820FB8" w:rsidP="00DC315E">
      <w:pPr>
        <w:pStyle w:val="SingleTxtG"/>
      </w:pPr>
      <w:r w:rsidRPr="00BA48A2">
        <w:t>1</w:t>
      </w:r>
      <w:r w:rsidR="007D3F7D" w:rsidRPr="00694F24">
        <w:rPr>
          <w:lang w:val="en-GB"/>
        </w:rPr>
        <w:t>1</w:t>
      </w:r>
      <w:r w:rsidRPr="00BA48A2">
        <w:t>.</w:t>
      </w:r>
      <w:r w:rsidR="00C83ED2">
        <w:rPr>
          <w:lang w:val="en-GB"/>
        </w:rPr>
        <w:t>10</w:t>
      </w:r>
      <w:r w:rsidRPr="00BA48A2">
        <w:tab/>
        <w:t xml:space="preserve">The Committee </w:t>
      </w:r>
      <w:r w:rsidR="00046F2C">
        <w:t xml:space="preserve">finally notes </w:t>
      </w:r>
      <w:r w:rsidRPr="00BA48A2">
        <w:t xml:space="preserve">the author’s claim he </w:t>
      </w:r>
      <w:r w:rsidR="00DC315E">
        <w:rPr>
          <w:lang w:val="en-US"/>
        </w:rPr>
        <w:t>was</w:t>
      </w:r>
      <w:r w:rsidRPr="00BA48A2">
        <w:t xml:space="preserve"> illegally deprived of his liberty from 5 to 6 January 2012, because he was</w:t>
      </w:r>
      <w:r w:rsidR="00046F2C">
        <w:t xml:space="preserve"> </w:t>
      </w:r>
      <w:r w:rsidRPr="00BA48A2">
        <w:t>released from prison one day after the expiry of his prison term. The Committee also notes that the State party has not contested th</w:t>
      </w:r>
      <w:r w:rsidR="00046F2C">
        <w:t>is</w:t>
      </w:r>
      <w:r w:rsidRPr="00BA48A2">
        <w:t xml:space="preserve"> claim, but has submitted that its Supreme Court declared</w:t>
      </w:r>
      <w:r w:rsidR="00DC315E">
        <w:rPr>
          <w:lang w:val="en-US"/>
        </w:rPr>
        <w:t xml:space="preserve"> that</w:t>
      </w:r>
      <w:r w:rsidRPr="00BA48A2">
        <w:t xml:space="preserve"> the </w:t>
      </w:r>
      <w:r w:rsidR="00046F2C">
        <w:t xml:space="preserve">illegal </w:t>
      </w:r>
      <w:r w:rsidRPr="00BA48A2">
        <w:t>detention result</w:t>
      </w:r>
      <w:r w:rsidR="00DC315E">
        <w:rPr>
          <w:lang w:val="en-US"/>
        </w:rPr>
        <w:t>ed</w:t>
      </w:r>
      <w:r w:rsidRPr="00BA48A2">
        <w:t xml:space="preserve"> from unlawful actions of the </w:t>
      </w:r>
      <w:r w:rsidR="003B6419">
        <w:rPr>
          <w:lang w:val="en-US"/>
        </w:rPr>
        <w:t>d</w:t>
      </w:r>
      <w:proofErr w:type="spellStart"/>
      <w:r w:rsidRPr="00BA48A2">
        <w:t>irector</w:t>
      </w:r>
      <w:proofErr w:type="spellEnd"/>
      <w:r w:rsidRPr="00BA48A2">
        <w:t xml:space="preserve"> of the prison, w</w:t>
      </w:r>
      <w:r w:rsidR="00396D04">
        <w:t>ithout</w:t>
      </w:r>
      <w:r w:rsidRPr="00BA48A2">
        <w:t xml:space="preserve"> granting any compensation to the author. The Committee </w:t>
      </w:r>
      <w:r w:rsidR="005568DE">
        <w:t>considers</w:t>
      </w:r>
      <w:r w:rsidRPr="00BA48A2">
        <w:t xml:space="preserve"> that th</w:t>
      </w:r>
      <w:r w:rsidR="004955FB">
        <w:t>is constitutes</w:t>
      </w:r>
      <w:r w:rsidRPr="00BA48A2">
        <w:t xml:space="preserve"> a violation of the author’s right under article 9</w:t>
      </w:r>
      <w:r w:rsidR="00DC315E">
        <w:rPr>
          <w:lang w:val="en-US"/>
        </w:rPr>
        <w:t> </w:t>
      </w:r>
      <w:r w:rsidRPr="00BA48A2">
        <w:t xml:space="preserve">(5) of the Covenant. In </w:t>
      </w:r>
      <w:r w:rsidR="00DC315E">
        <w:rPr>
          <w:lang w:val="en-US"/>
        </w:rPr>
        <w:t xml:space="preserve">the </w:t>
      </w:r>
      <w:r w:rsidRPr="00BA48A2">
        <w:t>light of the above</w:t>
      </w:r>
      <w:r w:rsidR="004955FB">
        <w:t>,</w:t>
      </w:r>
      <w:r w:rsidRPr="00BA48A2">
        <w:t xml:space="preserve"> the Committee will not consider whether the circumstances of the case constitute a separate violation of article 2</w:t>
      </w:r>
      <w:r w:rsidR="00DC315E">
        <w:rPr>
          <w:lang w:val="en-US"/>
        </w:rPr>
        <w:t> </w:t>
      </w:r>
      <w:r w:rsidRPr="00BA48A2">
        <w:t>(3)</w:t>
      </w:r>
      <w:r w:rsidR="00DC315E">
        <w:rPr>
          <w:lang w:val="en-US"/>
        </w:rPr>
        <w:t>,</w:t>
      </w:r>
      <w:r w:rsidRPr="00BA48A2">
        <w:t xml:space="preserve"> read in conjunction with </w:t>
      </w:r>
      <w:r w:rsidR="000B7CF0">
        <w:t>article 9</w:t>
      </w:r>
      <w:r w:rsidR="00DC315E">
        <w:rPr>
          <w:lang w:val="en-US"/>
        </w:rPr>
        <w:t> </w:t>
      </w:r>
      <w:r w:rsidR="000B7CF0">
        <w:t>(5)</w:t>
      </w:r>
      <w:r w:rsidR="00DC315E">
        <w:rPr>
          <w:lang w:val="en-US"/>
        </w:rPr>
        <w:t>,</w:t>
      </w:r>
      <w:r w:rsidR="000B7CF0">
        <w:t xml:space="preserve"> </w:t>
      </w:r>
      <w:r w:rsidRPr="00BA48A2">
        <w:t xml:space="preserve">for the same facts. </w:t>
      </w:r>
    </w:p>
    <w:p w14:paraId="16ED8F12" w14:textId="24D91CF0" w:rsidR="007E431C" w:rsidRPr="00BA48A2" w:rsidRDefault="007E431C" w:rsidP="00AD2DE6">
      <w:pPr>
        <w:pStyle w:val="SingleTxtG"/>
        <w:rPr>
          <w:lang w:val="en-GB"/>
        </w:rPr>
      </w:pPr>
      <w:r w:rsidRPr="00BA48A2">
        <w:rPr>
          <w:lang w:val="en-GB"/>
        </w:rPr>
        <w:t>1</w:t>
      </w:r>
      <w:r w:rsidR="007D3F7D">
        <w:rPr>
          <w:lang w:val="en-GB"/>
        </w:rPr>
        <w:t>2</w:t>
      </w:r>
      <w:r w:rsidR="00FD1D08" w:rsidRPr="00BA48A2">
        <w:rPr>
          <w:lang w:val="en-GB"/>
        </w:rPr>
        <w:t>.</w:t>
      </w:r>
      <w:r w:rsidR="00C00847" w:rsidRPr="00BA48A2">
        <w:rPr>
          <w:lang w:val="en-GB"/>
        </w:rPr>
        <w:tab/>
      </w:r>
      <w:r w:rsidRPr="00BA48A2">
        <w:rPr>
          <w:lang w:val="en-GB"/>
        </w:rPr>
        <w:t>The Committee, acting under article 5</w:t>
      </w:r>
      <w:r w:rsidR="00DC315E">
        <w:rPr>
          <w:lang w:val="en-GB"/>
        </w:rPr>
        <w:t> </w:t>
      </w:r>
      <w:r w:rsidRPr="00BA48A2">
        <w:rPr>
          <w:lang w:val="en-GB"/>
        </w:rPr>
        <w:t>(4) of the Optional Protocol, is of the view that the facts before it disclose a violation by the State party of article 9</w:t>
      </w:r>
      <w:r w:rsidR="00AD2DE6">
        <w:rPr>
          <w:lang w:val="en-GB"/>
        </w:rPr>
        <w:t> </w:t>
      </w:r>
      <w:r w:rsidRPr="00BA48A2">
        <w:rPr>
          <w:lang w:val="en-GB"/>
        </w:rPr>
        <w:t xml:space="preserve">(5), </w:t>
      </w:r>
      <w:r w:rsidR="00AD2DE6">
        <w:rPr>
          <w:lang w:val="en-GB"/>
        </w:rPr>
        <w:t xml:space="preserve">article </w:t>
      </w:r>
      <w:r w:rsidR="00BA48A2">
        <w:rPr>
          <w:lang w:val="en-GB"/>
        </w:rPr>
        <w:t>14</w:t>
      </w:r>
      <w:r w:rsidR="00AD2DE6">
        <w:rPr>
          <w:lang w:val="en-GB"/>
        </w:rPr>
        <w:t> </w:t>
      </w:r>
      <w:r w:rsidR="00BA48A2">
        <w:rPr>
          <w:lang w:val="en-GB"/>
        </w:rPr>
        <w:t>(1</w:t>
      </w:r>
      <w:r w:rsidR="00C93408">
        <w:rPr>
          <w:lang w:val="en-GB"/>
        </w:rPr>
        <w:t>)</w:t>
      </w:r>
      <w:r w:rsidR="00AD2DE6">
        <w:rPr>
          <w:lang w:val="en-GB"/>
        </w:rPr>
        <w:t xml:space="preserve"> and</w:t>
      </w:r>
      <w:r w:rsidR="00396D04">
        <w:rPr>
          <w:lang w:val="en-GB"/>
        </w:rPr>
        <w:t xml:space="preserve"> </w:t>
      </w:r>
      <w:r w:rsidR="00B928C9">
        <w:rPr>
          <w:lang w:val="en-GB"/>
        </w:rPr>
        <w:t>(</w:t>
      </w:r>
      <w:r w:rsidR="00BA48A2">
        <w:rPr>
          <w:lang w:val="en-GB"/>
        </w:rPr>
        <w:t>3</w:t>
      </w:r>
      <w:r w:rsidR="00B928C9">
        <w:rPr>
          <w:lang w:val="en-GB"/>
        </w:rPr>
        <w:t>)</w:t>
      </w:r>
      <w:r w:rsidR="00AD2DE6">
        <w:rPr>
          <w:lang w:val="en-GB"/>
        </w:rPr>
        <w:t> </w:t>
      </w:r>
      <w:r w:rsidR="00BA48A2">
        <w:rPr>
          <w:lang w:val="en-GB"/>
        </w:rPr>
        <w:t xml:space="preserve">(b) and (d) </w:t>
      </w:r>
      <w:r w:rsidRPr="00BA48A2">
        <w:rPr>
          <w:lang w:val="en-GB"/>
        </w:rPr>
        <w:t>and</w:t>
      </w:r>
      <w:r w:rsidR="00BA48A2">
        <w:rPr>
          <w:lang w:val="en-GB"/>
        </w:rPr>
        <w:t xml:space="preserve"> </w:t>
      </w:r>
      <w:r w:rsidR="00AD2DE6">
        <w:rPr>
          <w:lang w:val="en-GB"/>
        </w:rPr>
        <w:t xml:space="preserve">article </w:t>
      </w:r>
      <w:r w:rsidR="00BA48A2">
        <w:rPr>
          <w:lang w:val="en-GB"/>
        </w:rPr>
        <w:t>19 (2)</w:t>
      </w:r>
      <w:r w:rsidRPr="00BA48A2">
        <w:rPr>
          <w:lang w:val="en-GB"/>
        </w:rPr>
        <w:t xml:space="preserve"> of the Covenant.</w:t>
      </w:r>
    </w:p>
    <w:p w14:paraId="32966946" w14:textId="6499ABE8" w:rsidR="00B00C5F" w:rsidRPr="00BA48A2" w:rsidRDefault="007E431C" w:rsidP="00AD2DE6">
      <w:pPr>
        <w:pStyle w:val="SingleTxtG"/>
      </w:pPr>
      <w:r w:rsidRPr="00BA48A2">
        <w:rPr>
          <w:lang w:val="en-GB"/>
        </w:rPr>
        <w:t>1</w:t>
      </w:r>
      <w:r w:rsidR="007D3F7D">
        <w:rPr>
          <w:lang w:val="en-GB"/>
        </w:rPr>
        <w:t>3</w:t>
      </w:r>
      <w:r w:rsidR="00C00847" w:rsidRPr="00BA48A2">
        <w:rPr>
          <w:lang w:val="en-GB"/>
        </w:rPr>
        <w:t>.</w:t>
      </w:r>
      <w:r w:rsidR="00C00847" w:rsidRPr="00BA48A2">
        <w:rPr>
          <w:lang w:val="en-GB"/>
        </w:rPr>
        <w:tab/>
      </w:r>
      <w:r w:rsidR="00AD2DE6">
        <w:rPr>
          <w:lang w:val="en-US"/>
        </w:rPr>
        <w:t>In accordance with</w:t>
      </w:r>
      <w:r w:rsidR="00B00C5F" w:rsidRPr="00BA48A2">
        <w:rPr>
          <w:lang w:val="en-US"/>
        </w:rPr>
        <w:t xml:space="preserve"> </w:t>
      </w:r>
      <w:r w:rsidR="00B00C5F" w:rsidRPr="00CD0118">
        <w:rPr>
          <w:lang w:val="en-US"/>
        </w:rPr>
        <w:t>article 2</w:t>
      </w:r>
      <w:r w:rsidR="00AD2DE6">
        <w:rPr>
          <w:lang w:val="en-US"/>
        </w:rPr>
        <w:t> </w:t>
      </w:r>
      <w:r w:rsidR="00B00C5F" w:rsidRPr="00CD0118">
        <w:rPr>
          <w:lang w:val="en-US"/>
        </w:rPr>
        <w:t>(3)</w:t>
      </w:r>
      <w:r w:rsidR="00AD2DE6">
        <w:rPr>
          <w:lang w:val="en-US"/>
        </w:rPr>
        <w:t> </w:t>
      </w:r>
      <w:r w:rsidR="00B00C5F" w:rsidRPr="00CD0118">
        <w:rPr>
          <w:lang w:val="en-US"/>
        </w:rPr>
        <w:t xml:space="preserve">(a) of the Covenant, </w:t>
      </w:r>
      <w:r w:rsidR="00B00C5F" w:rsidRPr="00CD0118">
        <w:t xml:space="preserve">the State party is under an obligation to provide the author with an effective remedy. </w:t>
      </w:r>
      <w:r w:rsidR="00B00C5F" w:rsidRPr="00CD0118">
        <w:rPr>
          <w:color w:val="000000"/>
        </w:rPr>
        <w:t>This requires it to make full reparation to individuals whose Covenant rights have been violated. Accordingly, the State party is obligated, inter alia, to</w:t>
      </w:r>
      <w:r w:rsidR="00B00C5F" w:rsidRPr="00CD0118">
        <w:t xml:space="preserve"> take appropriate steps to provide the author with adequate compensation</w:t>
      </w:r>
      <w:r w:rsidR="00B00C5F" w:rsidRPr="00CD0118">
        <w:rPr>
          <w:lang w:val="en-US"/>
        </w:rPr>
        <w:t>. The State party is also under an obligation to take steps to prevent similar</w:t>
      </w:r>
      <w:r w:rsidR="00B00C5F" w:rsidRPr="00BA48A2">
        <w:rPr>
          <w:lang w:val="en-US"/>
        </w:rPr>
        <w:t xml:space="preserve"> violations in the future.</w:t>
      </w:r>
    </w:p>
    <w:p w14:paraId="4F518410" w14:textId="4977BE9B" w:rsidR="00C00847" w:rsidRPr="00C00847" w:rsidRDefault="00C00847" w:rsidP="00AD2DE6">
      <w:pPr>
        <w:pStyle w:val="SingleTxtG"/>
        <w:rPr>
          <w:lang w:val="en-GB"/>
        </w:rPr>
      </w:pPr>
      <w:proofErr w:type="gramStart"/>
      <w:r w:rsidRPr="00BA48A2">
        <w:rPr>
          <w:lang w:val="en-GB"/>
        </w:rPr>
        <w:t>1</w:t>
      </w:r>
      <w:r w:rsidR="007D3F7D">
        <w:rPr>
          <w:lang w:val="en-GB"/>
        </w:rPr>
        <w:t>4</w:t>
      </w:r>
      <w:r w:rsidRPr="00BA48A2">
        <w:rPr>
          <w:lang w:val="en-GB"/>
        </w:rPr>
        <w:t>.</w:t>
      </w:r>
      <w:r w:rsidRPr="00BA48A2">
        <w:rPr>
          <w:lang w:val="en-GB"/>
        </w:rPr>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t>
      </w:r>
      <w:r w:rsidR="00AD2DE6">
        <w:rPr>
          <w:lang w:val="en-GB"/>
        </w:rPr>
        <w:t>when it has been determined that</w:t>
      </w:r>
      <w:r w:rsidRPr="00BA48A2">
        <w:rPr>
          <w:lang w:val="en-GB"/>
        </w:rPr>
        <w:t xml:space="preserve"> a violation has </w:t>
      </w:r>
      <w:r w:rsidR="00AD2DE6">
        <w:rPr>
          <w:lang w:val="en-GB"/>
        </w:rPr>
        <w:t>occurred</w:t>
      </w:r>
      <w:r w:rsidRPr="00BA48A2">
        <w:rPr>
          <w:lang w:val="en-GB"/>
        </w:rPr>
        <w:t>, the Committee wishes to receive from the State party, within 180 days, information about the measures taken to give effect to the Committee’s Views.</w:t>
      </w:r>
      <w:proofErr w:type="gramEnd"/>
      <w:r w:rsidRPr="00BA48A2">
        <w:rPr>
          <w:lang w:val="en-GB"/>
        </w:rPr>
        <w:t xml:space="preserve"> The State party </w:t>
      </w:r>
      <w:proofErr w:type="gramStart"/>
      <w:r w:rsidRPr="00BA48A2">
        <w:rPr>
          <w:lang w:val="en-GB"/>
        </w:rPr>
        <w:t>is also requested</w:t>
      </w:r>
      <w:proofErr w:type="gramEnd"/>
      <w:r w:rsidRPr="00BA48A2">
        <w:rPr>
          <w:lang w:val="en-GB"/>
        </w:rPr>
        <w:t xml:space="preserve"> to publish the present Views and to have them widely disseminated in the State party.</w:t>
      </w:r>
    </w:p>
    <w:p w14:paraId="0544274B" w14:textId="77777777" w:rsidR="00F35149" w:rsidRPr="00B40914" w:rsidRDefault="00F35149" w:rsidP="00F35149">
      <w:pPr>
        <w:pStyle w:val="SingleTxtG"/>
        <w:spacing w:before="240" w:after="0"/>
        <w:jc w:val="center"/>
        <w:rPr>
          <w:u w:val="single"/>
        </w:rPr>
      </w:pPr>
      <w:r>
        <w:rPr>
          <w:u w:val="single"/>
        </w:rPr>
        <w:tab/>
      </w:r>
      <w:r>
        <w:rPr>
          <w:u w:val="single"/>
        </w:rPr>
        <w:tab/>
      </w:r>
      <w:r>
        <w:rPr>
          <w:u w:val="single"/>
        </w:rPr>
        <w:tab/>
      </w:r>
    </w:p>
    <w:sectPr w:rsidR="00F35149" w:rsidRPr="00B40914" w:rsidSect="004705A6">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198601" w15:done="0"/>
  <w15:commentEx w15:paraId="5A1B3447" w15:done="0"/>
  <w15:commentEx w15:paraId="1ED65FDD" w15:done="0"/>
  <w15:commentEx w15:paraId="16717042" w15:done="0"/>
  <w15:commentEx w15:paraId="4F2690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D004" w14:textId="77777777" w:rsidR="00322BDD" w:rsidRDefault="00322BDD"/>
  </w:endnote>
  <w:endnote w:type="continuationSeparator" w:id="0">
    <w:p w14:paraId="1DC61EAE" w14:textId="77777777" w:rsidR="00322BDD" w:rsidRDefault="00322BDD"/>
  </w:endnote>
  <w:endnote w:type="continuationNotice" w:id="1">
    <w:p w14:paraId="40322F29" w14:textId="77777777" w:rsidR="00322BDD" w:rsidRDefault="00322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7C62" w14:textId="6699A099" w:rsidR="00322BDD" w:rsidRPr="00781C83" w:rsidRDefault="00322BDD"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8B4173">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D7901" w14:textId="229E124D" w:rsidR="00322BDD" w:rsidRPr="006262E9" w:rsidRDefault="00322BDD" w:rsidP="00781C83">
    <w:pPr>
      <w:pStyle w:val="Footer"/>
      <w:tabs>
        <w:tab w:val="right" w:pos="9638"/>
      </w:tabs>
      <w:rPr>
        <w:b/>
        <w:bCs/>
        <w:sz w:val="18"/>
      </w:rPr>
    </w:pPr>
    <w:r>
      <w:rPr>
        <w:b/>
        <w:sz w:val="18"/>
      </w:rPr>
      <w:tab/>
    </w:r>
    <w:r w:rsidRPr="006262E9">
      <w:rPr>
        <w:b/>
        <w:bCs/>
        <w:sz w:val="18"/>
      </w:rPr>
      <w:fldChar w:fldCharType="begin"/>
    </w:r>
    <w:r w:rsidRPr="006262E9">
      <w:rPr>
        <w:b/>
        <w:bCs/>
        <w:sz w:val="18"/>
      </w:rPr>
      <w:instrText xml:space="preserve"> PAGE  \* MERGEFORMAT </w:instrText>
    </w:r>
    <w:r w:rsidRPr="006262E9">
      <w:rPr>
        <w:b/>
        <w:bCs/>
        <w:sz w:val="18"/>
      </w:rPr>
      <w:fldChar w:fldCharType="separate"/>
    </w:r>
    <w:r w:rsidR="008B4173">
      <w:rPr>
        <w:b/>
        <w:bCs/>
        <w:noProof/>
        <w:sz w:val="18"/>
      </w:rPr>
      <w:t>15</w:t>
    </w:r>
    <w:r w:rsidRPr="006262E9">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9AF38" w14:textId="762474CC" w:rsidR="008B4173" w:rsidRDefault="008B4173">
    <w:pPr>
      <w:pStyle w:val="Footer"/>
      <w:rPr>
        <w:sz w:val="20"/>
      </w:rPr>
    </w:pPr>
    <w:r>
      <w:rPr>
        <w:sz w:val="20"/>
      </w:rPr>
      <w:t>GE.16-07292(E)</w:t>
    </w:r>
  </w:p>
  <w:p w14:paraId="6FA1B8C8" w14:textId="3B8060A6" w:rsidR="008B4173" w:rsidRPr="008B4173" w:rsidRDefault="008B4173">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58240" behindDoc="0" locked="0" layoutInCell="1" allowOverlap="1" wp14:anchorId="0ACF6D30" wp14:editId="46B45E53">
          <wp:simplePos x="0" y="0"/>
          <wp:positionH relativeFrom="column">
            <wp:align>right</wp:align>
          </wp:positionH>
          <wp:positionV relativeFrom="paragraph">
            <wp:posOffset>-292100</wp:posOffset>
          </wp:positionV>
          <wp:extent cx="638175" cy="638175"/>
          <wp:effectExtent l="0" t="0" r="9525" b="9525"/>
          <wp:wrapNone/>
          <wp:docPr id="2" name="Picture 1" descr="http://undocs.org/m2/QRCode.ashx?DS=CCPR/C/116/D/212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129/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2B52" w14:textId="77777777" w:rsidR="00322BDD" w:rsidRPr="000B175B" w:rsidRDefault="00322BDD" w:rsidP="000B175B">
      <w:pPr>
        <w:tabs>
          <w:tab w:val="right" w:pos="2155"/>
        </w:tabs>
        <w:spacing w:after="80"/>
        <w:ind w:left="680"/>
        <w:rPr>
          <w:u w:val="single"/>
        </w:rPr>
      </w:pPr>
      <w:r>
        <w:rPr>
          <w:u w:val="single"/>
        </w:rPr>
        <w:tab/>
      </w:r>
    </w:p>
  </w:footnote>
  <w:footnote w:type="continuationSeparator" w:id="0">
    <w:p w14:paraId="43897138" w14:textId="77777777" w:rsidR="00322BDD" w:rsidRPr="00FC68B7" w:rsidRDefault="00322BDD" w:rsidP="00FC68B7">
      <w:pPr>
        <w:tabs>
          <w:tab w:val="left" w:pos="2155"/>
        </w:tabs>
        <w:spacing w:after="80"/>
        <w:ind w:left="680"/>
        <w:rPr>
          <w:u w:val="single"/>
        </w:rPr>
      </w:pPr>
      <w:r>
        <w:rPr>
          <w:u w:val="single"/>
        </w:rPr>
        <w:tab/>
      </w:r>
    </w:p>
  </w:footnote>
  <w:footnote w:type="continuationNotice" w:id="1">
    <w:p w14:paraId="695B8477" w14:textId="77777777" w:rsidR="00322BDD" w:rsidRDefault="00322BDD"/>
  </w:footnote>
  <w:footnote w:id="2">
    <w:p w14:paraId="067BC8AE" w14:textId="49AB86A3" w:rsidR="00322BDD" w:rsidRDefault="00322BDD" w:rsidP="00EF3A25">
      <w:pPr>
        <w:pStyle w:val="FootnoteText"/>
      </w:pPr>
      <w:r w:rsidRPr="006262E9">
        <w:rPr>
          <w:rStyle w:val="FootnoteReference"/>
          <w:sz w:val="20"/>
          <w:vertAlign w:val="baseline"/>
        </w:rPr>
        <w:tab/>
        <w:t>*</w:t>
      </w:r>
      <w:r>
        <w:rPr>
          <w:rStyle w:val="FootnoteReference"/>
          <w:sz w:val="20"/>
          <w:vertAlign w:val="baseline"/>
        </w:rPr>
        <w:tab/>
      </w:r>
      <w:proofErr w:type="gramStart"/>
      <w:r>
        <w:t xml:space="preserve">Adopted by the Committee </w:t>
      </w:r>
      <w:r w:rsidRPr="00333A7F">
        <w:t xml:space="preserve">at its </w:t>
      </w:r>
      <w:r w:rsidRPr="006262E9">
        <w:t>116th</w:t>
      </w:r>
      <w:r w:rsidRPr="00333A7F">
        <w:t xml:space="preserve"> session (</w:t>
      </w:r>
      <w:r w:rsidRPr="006262E9">
        <w:t>7-31 March 2016</w:t>
      </w:r>
      <w:r w:rsidRPr="00333A7F">
        <w:t>)</w:t>
      </w:r>
      <w:r>
        <w:t>.</w:t>
      </w:r>
      <w:proofErr w:type="gramEnd"/>
    </w:p>
    <w:p w14:paraId="55CE7F2B" w14:textId="1BEA5B1C" w:rsidR="00322BDD" w:rsidRPr="00BB4F27" w:rsidRDefault="00322BDD">
      <w:pPr>
        <w:pStyle w:val="FootnoteText"/>
      </w:pPr>
      <w:r>
        <w:tab/>
      </w:r>
      <w:r w:rsidRPr="006262E9">
        <w:rPr>
          <w:rStyle w:val="FootnoteReference"/>
          <w:sz w:val="20"/>
          <w:vertAlign w:val="baseline"/>
        </w:rPr>
        <w:t>**</w:t>
      </w:r>
      <w:r>
        <w:tab/>
        <w:t>The following members of the Committee participated in the examination of the communication:</w:t>
      </w:r>
      <w:r w:rsidRPr="00465BDB">
        <w:t xml:space="preserve"> </w:t>
      </w:r>
      <w:r w:rsidRPr="00686139">
        <w:t xml:space="preserve">Yadh Ben Achour, Lazhari Bouzid, Sarah Cleveland, </w:t>
      </w:r>
      <w:r w:rsidRPr="006262E9">
        <w:rPr>
          <w:lang w:val="en-GB"/>
        </w:rPr>
        <w:t xml:space="preserve">Olivier de Frouville, </w:t>
      </w:r>
      <w:r w:rsidRPr="00686139">
        <w:t>Yuji Iwasawa, Ivana Jeli</w:t>
      </w:r>
      <w:r>
        <w:t>ć</w:t>
      </w:r>
      <w:r w:rsidRPr="00686139">
        <w:t xml:space="preserve">, </w:t>
      </w:r>
      <w:r>
        <w:rPr>
          <w:bCs/>
          <w:szCs w:val="18"/>
        </w:rPr>
        <w:t xml:space="preserve">Duncan Laki Muhumuza, </w:t>
      </w:r>
      <w:r w:rsidRPr="006262E9">
        <w:rPr>
          <w:lang w:val="en-GB"/>
        </w:rPr>
        <w:t>Photini Pazartzis</w:t>
      </w:r>
      <w:r w:rsidRPr="00686139">
        <w:t>, Sir Nigel Rodley, V</w:t>
      </w:r>
      <w:r>
        <w:t>í</w:t>
      </w:r>
      <w:r w:rsidRPr="00686139">
        <w:t xml:space="preserve">ctor Manuel Rodríguez-Rescia, Fabián Omar Salvioli, </w:t>
      </w:r>
      <w:r w:rsidRPr="006262E9">
        <w:rPr>
          <w:lang w:val="en-GB"/>
        </w:rPr>
        <w:t xml:space="preserve">Dheerujlall Seetulsingh, </w:t>
      </w:r>
      <w:r w:rsidRPr="00686139">
        <w:t xml:space="preserve">Anja Seibert-Fohr, Yuval Shany, </w:t>
      </w:r>
      <w:bookmarkStart w:id="0" w:name="_GoBack"/>
      <w:bookmarkEnd w:id="0"/>
      <w:r w:rsidRPr="00686139">
        <w:t>Konstantine</w:t>
      </w:r>
      <w:r>
        <w:t> </w:t>
      </w:r>
      <w:r w:rsidRPr="00686139">
        <w:t>Vardzelashvili and Margo Waterval.</w:t>
      </w:r>
    </w:p>
  </w:footnote>
  <w:footnote w:id="3">
    <w:p w14:paraId="42BF80DD" w14:textId="168F92B0" w:rsidR="00322BDD" w:rsidRPr="00DC04F3" w:rsidRDefault="00322BDD" w:rsidP="007357B3">
      <w:pPr>
        <w:pStyle w:val="FootnoteText"/>
        <w:rPr>
          <w:lang w:val="en-GB"/>
        </w:rPr>
      </w:pPr>
      <w:r w:rsidRPr="00694F24">
        <w:rPr>
          <w:lang w:val="en-GB"/>
        </w:rPr>
        <w:tab/>
      </w:r>
      <w:r>
        <w:rPr>
          <w:rStyle w:val="FootnoteReference"/>
        </w:rPr>
        <w:footnoteRef/>
      </w:r>
      <w:r w:rsidRPr="00694F24">
        <w:rPr>
          <w:lang w:val="en-GB"/>
        </w:rPr>
        <w:tab/>
      </w:r>
      <w:r w:rsidRPr="00DC04F3">
        <w:rPr>
          <w:lang w:val="en-GB"/>
        </w:rPr>
        <w:t xml:space="preserve">NSC stands for </w:t>
      </w:r>
      <w:r w:rsidRPr="00675A40">
        <w:t>National</w:t>
      </w:r>
      <w:r w:rsidRPr="00DC04F3">
        <w:rPr>
          <w:lang w:val="en-GB"/>
        </w:rPr>
        <w:t xml:space="preserve"> Security </w:t>
      </w:r>
      <w:r>
        <w:rPr>
          <w:lang w:val="en-GB"/>
        </w:rPr>
        <w:t>Committee</w:t>
      </w:r>
      <w:r w:rsidRPr="00DC04F3">
        <w:rPr>
          <w:lang w:val="en-GB"/>
        </w:rPr>
        <w:t>.</w:t>
      </w:r>
    </w:p>
  </w:footnote>
  <w:footnote w:id="4">
    <w:p w14:paraId="43B82D24" w14:textId="38EEE57F"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Pr="00C83FCD">
        <w:t>The author claims that the court did not take into consideration the legal opinion by</w:t>
      </w:r>
      <w:r w:rsidRPr="00694F24">
        <w:rPr>
          <w:lang w:val="en-GB"/>
        </w:rPr>
        <w:t xml:space="preserve"> an </w:t>
      </w:r>
      <w:r w:rsidRPr="00C83FCD">
        <w:t>expert</w:t>
      </w:r>
      <w:r>
        <w:t xml:space="preserve"> from a non-governmental organization </w:t>
      </w:r>
      <w:r w:rsidRPr="00C83FCD">
        <w:t xml:space="preserve">and </w:t>
      </w:r>
      <w:r>
        <w:t>the</w:t>
      </w:r>
      <w:r>
        <w:rPr>
          <w:lang w:val="en-GB"/>
        </w:rPr>
        <w:t xml:space="preserve"> opinion of a</w:t>
      </w:r>
      <w:r w:rsidRPr="00C83FCD">
        <w:t xml:space="preserve"> language expert, which both confirmed that the published letters did not contain any State</w:t>
      </w:r>
      <w:r>
        <w:t xml:space="preserve"> </w:t>
      </w:r>
      <w:r w:rsidRPr="009E7698">
        <w:t>secrets.</w:t>
      </w:r>
      <w:r>
        <w:t xml:space="preserve"> </w:t>
      </w:r>
    </w:p>
  </w:footnote>
  <w:footnote w:id="5">
    <w:p w14:paraId="6841BA23" w14:textId="511A3C54"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Pr="00C83FCD">
        <w:t xml:space="preserve">The author provides a copy of a letter </w:t>
      </w:r>
      <w:r>
        <w:t xml:space="preserve">dated 22 June 2009 </w:t>
      </w:r>
      <w:r w:rsidRPr="00C83FCD">
        <w:t xml:space="preserve">from the </w:t>
      </w:r>
      <w:r>
        <w:t>National Security Committee</w:t>
      </w:r>
      <w:r w:rsidRPr="00C83FCD">
        <w:t xml:space="preserve"> to a judge in </w:t>
      </w:r>
      <w:r w:rsidRPr="00AE768A">
        <w:t xml:space="preserve">the </w:t>
      </w:r>
      <w:proofErr w:type="spellStart"/>
      <w:r w:rsidRPr="00AE768A">
        <w:t>Taraz</w:t>
      </w:r>
      <w:proofErr w:type="spellEnd"/>
      <w:r w:rsidRPr="00AE768A">
        <w:t xml:space="preserve"> court</w:t>
      </w:r>
      <w:r>
        <w:t xml:space="preserve"> in which it </w:t>
      </w:r>
      <w:proofErr w:type="gramStart"/>
      <w:r>
        <w:t xml:space="preserve">is </w:t>
      </w:r>
      <w:r w:rsidRPr="00C83FCD">
        <w:t>stat</w:t>
      </w:r>
      <w:r>
        <w:t>ed</w:t>
      </w:r>
      <w:proofErr w:type="gramEnd"/>
      <w:r w:rsidRPr="00C83FCD">
        <w:t xml:space="preserve"> that </w:t>
      </w:r>
      <w:r>
        <w:t xml:space="preserve">the </w:t>
      </w:r>
      <w:r w:rsidRPr="00C83FCD">
        <w:t xml:space="preserve">two lawyers and the wife of the author </w:t>
      </w:r>
      <w:r>
        <w:t>have been</w:t>
      </w:r>
      <w:r w:rsidRPr="00C83FCD">
        <w:t xml:space="preserve"> refused security clearance to access secret documents.</w:t>
      </w:r>
    </w:p>
  </w:footnote>
  <w:footnote w:id="6">
    <w:p w14:paraId="232B0E38" w14:textId="23E3B8BB"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00AE768A">
        <w:rPr>
          <w:lang w:val="en-GB"/>
        </w:rPr>
        <w:t xml:space="preserve">See </w:t>
      </w:r>
      <w:r w:rsidRPr="00C83FCD">
        <w:t>http://cis-legislation.com/document.fwx?rgn=1224.</w:t>
      </w:r>
    </w:p>
  </w:footnote>
  <w:footnote w:id="7">
    <w:p w14:paraId="78823D4C" w14:textId="65CE0F2D" w:rsidR="00322BDD" w:rsidRPr="00DC04F3" w:rsidRDefault="00322BDD" w:rsidP="00D56E29">
      <w:pPr>
        <w:pStyle w:val="FootnoteText"/>
      </w:pPr>
      <w:r w:rsidRPr="00694F24">
        <w:rPr>
          <w:lang w:val="en-GB"/>
        </w:rPr>
        <w:tab/>
      </w:r>
      <w:r>
        <w:rPr>
          <w:rStyle w:val="FootnoteReference"/>
        </w:rPr>
        <w:footnoteRef/>
      </w:r>
      <w:r w:rsidRPr="00694F24">
        <w:rPr>
          <w:lang w:val="en-GB"/>
        </w:rPr>
        <w:tab/>
      </w:r>
      <w:r w:rsidRPr="00DC04F3">
        <w:t xml:space="preserve">According to the court </w:t>
      </w:r>
      <w:r w:rsidRPr="004C4CC8">
        <w:t>decisions</w:t>
      </w:r>
      <w:r>
        <w:t>,</w:t>
      </w:r>
      <w:r w:rsidRPr="00DC04F3">
        <w:t xml:space="preserve"> M</w:t>
      </w:r>
      <w:r>
        <w:t xml:space="preserve">., the owner of the </w:t>
      </w:r>
      <w:r w:rsidRPr="00D56E29">
        <w:rPr>
          <w:lang w:val="en-GB"/>
        </w:rPr>
        <w:t>company</w:t>
      </w:r>
      <w:r>
        <w:rPr>
          <w:lang w:val="en-GB"/>
        </w:rPr>
        <w:t xml:space="preserve"> being </w:t>
      </w:r>
      <w:r>
        <w:t>investigated, had bribed a National Security Committee officer to give him classified documents regarding the investigation and then paid the author to publish those documents in the newspaper.</w:t>
      </w:r>
    </w:p>
  </w:footnote>
  <w:footnote w:id="8">
    <w:p w14:paraId="67D3FF38" w14:textId="77777777"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Pr="00C83FCD">
        <w:t xml:space="preserve">The author provides copies of the relevant complaints, but they are illegible, so the dates are unclear. </w:t>
      </w:r>
    </w:p>
  </w:footnote>
  <w:footnote w:id="9">
    <w:p w14:paraId="4AF302C0" w14:textId="3F3C1327"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Pr="00C83FCD">
        <w:t xml:space="preserve">The author presents in evidence copies of two decisions of the </w:t>
      </w:r>
      <w:r w:rsidR="004D3036">
        <w:t>s</w:t>
      </w:r>
      <w:r w:rsidRPr="00C83FCD">
        <w:t xml:space="preserve">enior </w:t>
      </w:r>
      <w:r w:rsidR="004D3036">
        <w:t>i</w:t>
      </w:r>
      <w:r w:rsidRPr="00C83FCD">
        <w:t>nvestigator of the Investigative Department of the N</w:t>
      </w:r>
      <w:r>
        <w:t>ational Security Committee.</w:t>
      </w:r>
      <w:r w:rsidRPr="00C83FCD">
        <w:t xml:space="preserve"> </w:t>
      </w:r>
      <w:r>
        <w:t>T</w:t>
      </w:r>
      <w:r w:rsidRPr="00C83FCD">
        <w:t>he first decision, dated 27 November 2008</w:t>
      </w:r>
      <w:r>
        <w:t>,</w:t>
      </w:r>
      <w:r w:rsidRPr="00C83FCD">
        <w:t xml:space="preserve"> does not mention any names; the second</w:t>
      </w:r>
      <w:r>
        <w:t>,</w:t>
      </w:r>
      <w:r w:rsidRPr="00C83FCD">
        <w:t xml:space="preserve"> dated 5 January 2009, lists the author as a suspect.</w:t>
      </w:r>
    </w:p>
  </w:footnote>
  <w:footnote w:id="10">
    <w:p w14:paraId="67115CCB" w14:textId="0319EBE8" w:rsidR="00322BDD" w:rsidRPr="00C83FCD" w:rsidRDefault="00322BDD" w:rsidP="00675A40">
      <w:pPr>
        <w:pStyle w:val="FootnoteText"/>
      </w:pPr>
      <w:r w:rsidRPr="00694F24">
        <w:rPr>
          <w:lang w:val="en-GB"/>
        </w:rPr>
        <w:tab/>
      </w:r>
      <w:r w:rsidRPr="00C83FCD">
        <w:rPr>
          <w:rStyle w:val="FootnoteReference"/>
          <w:szCs w:val="18"/>
        </w:rPr>
        <w:footnoteRef/>
      </w:r>
      <w:r w:rsidRPr="00694F24">
        <w:rPr>
          <w:lang w:val="en-GB"/>
        </w:rPr>
        <w:tab/>
      </w:r>
      <w:r w:rsidRPr="00C83FCD">
        <w:t xml:space="preserve">The author provides </w:t>
      </w:r>
      <w:r>
        <w:t xml:space="preserve">two </w:t>
      </w:r>
      <w:r w:rsidRPr="00C83FCD">
        <w:t>medical certificates</w:t>
      </w:r>
      <w:r>
        <w:t xml:space="preserve"> dated </w:t>
      </w:r>
      <w:r w:rsidRPr="00AE768A">
        <w:t>December 2008</w:t>
      </w:r>
      <w:r>
        <w:t xml:space="preserve"> and one dated 25 September 2011</w:t>
      </w:r>
      <w:r w:rsidRPr="00C83FCD">
        <w:t xml:space="preserve"> in evidence of the multiple health problems that he experienced.</w:t>
      </w:r>
    </w:p>
  </w:footnote>
  <w:footnote w:id="11">
    <w:p w14:paraId="2021B45C" w14:textId="147BCB4C" w:rsidR="00322BDD" w:rsidRPr="00C83FCD" w:rsidRDefault="00322BDD">
      <w:pPr>
        <w:pStyle w:val="FootnoteText"/>
      </w:pPr>
      <w:r w:rsidRPr="00694F24">
        <w:rPr>
          <w:lang w:val="en-GB"/>
        </w:rPr>
        <w:tab/>
      </w:r>
      <w:r w:rsidRPr="00C83FCD">
        <w:rPr>
          <w:rStyle w:val="FootnoteReference"/>
          <w:szCs w:val="18"/>
        </w:rPr>
        <w:footnoteRef/>
      </w:r>
      <w:r w:rsidRPr="00694F24">
        <w:rPr>
          <w:lang w:val="en-GB"/>
        </w:rPr>
        <w:tab/>
      </w:r>
      <w:r w:rsidRPr="00C83FCD">
        <w:t>The author refers to communication No.</w:t>
      </w:r>
      <w:r>
        <w:t xml:space="preserve"> </w:t>
      </w:r>
      <w:r w:rsidRPr="00C83FCD">
        <w:t xml:space="preserve">702/1996, </w:t>
      </w:r>
      <w:r w:rsidRPr="00C83FCD">
        <w:rPr>
          <w:i/>
        </w:rPr>
        <w:t>McLawrence v. Jamaica</w:t>
      </w:r>
      <w:r w:rsidRPr="00C83FCD">
        <w:t>, Views adopted on 18</w:t>
      </w:r>
      <w:r>
        <w:t> </w:t>
      </w:r>
      <w:r w:rsidRPr="00C83FCD">
        <w:t xml:space="preserve">July 1977, </w:t>
      </w:r>
      <w:proofErr w:type="gramStart"/>
      <w:r w:rsidRPr="00C83FCD">
        <w:t>para</w:t>
      </w:r>
      <w:proofErr w:type="gramEnd"/>
      <w:r>
        <w:t>.</w:t>
      </w:r>
      <w:r w:rsidRPr="00C83FCD">
        <w:t xml:space="preserve"> 5.5.</w:t>
      </w:r>
    </w:p>
  </w:footnote>
  <w:footnote w:id="12">
    <w:p w14:paraId="4D7C079A" w14:textId="211C86BD" w:rsidR="00322BDD" w:rsidRPr="00694F24" w:rsidRDefault="00322BDD" w:rsidP="005D40BA">
      <w:pPr>
        <w:pStyle w:val="FootnoteText"/>
        <w:rPr>
          <w:lang w:val="en-GB"/>
        </w:rPr>
      </w:pPr>
      <w:r w:rsidRPr="006262E9">
        <w:rPr>
          <w:lang w:val="en-GB"/>
        </w:rPr>
        <w:tab/>
      </w:r>
      <w:r>
        <w:rPr>
          <w:rStyle w:val="FootnoteReference"/>
        </w:rPr>
        <w:footnoteRef/>
      </w:r>
      <w:r w:rsidRPr="006262E9">
        <w:rPr>
          <w:lang w:val="en-GB"/>
        </w:rPr>
        <w:tab/>
      </w:r>
      <w:r w:rsidRPr="00694F24">
        <w:rPr>
          <w:lang w:val="en-GB"/>
        </w:rPr>
        <w:t>The State party refers to the Committee</w:t>
      </w:r>
      <w:r>
        <w:rPr>
          <w:lang w:val="en-GB"/>
        </w:rPr>
        <w:t xml:space="preserve">’s decision in communication No. 2021/2010, </w:t>
      </w:r>
      <w:r>
        <w:rPr>
          <w:i/>
          <w:lang w:val="en-GB"/>
        </w:rPr>
        <w:t>E.Z.</w:t>
      </w:r>
      <w:r w:rsidRPr="00694F24">
        <w:rPr>
          <w:i/>
          <w:lang w:val="en-GB"/>
        </w:rPr>
        <w:t xml:space="preserve"> v.</w:t>
      </w:r>
      <w:r>
        <w:rPr>
          <w:i/>
          <w:lang w:val="en-GB"/>
        </w:rPr>
        <w:t> </w:t>
      </w:r>
      <w:r w:rsidRPr="00694F24">
        <w:rPr>
          <w:i/>
          <w:lang w:val="en-GB"/>
        </w:rPr>
        <w:t>Kazak</w:t>
      </w:r>
      <w:r>
        <w:rPr>
          <w:i/>
          <w:lang w:val="en-GB"/>
        </w:rPr>
        <w:t>h</w:t>
      </w:r>
      <w:r w:rsidRPr="00694F24">
        <w:rPr>
          <w:i/>
          <w:lang w:val="en-GB"/>
        </w:rPr>
        <w:t>stan</w:t>
      </w:r>
      <w:r>
        <w:rPr>
          <w:lang w:val="en-GB"/>
        </w:rPr>
        <w:t>, decision adopted on 1 April 2015.</w:t>
      </w:r>
    </w:p>
  </w:footnote>
  <w:footnote w:id="13">
    <w:p w14:paraId="57043AA2" w14:textId="77777777" w:rsidR="00322BDD" w:rsidRPr="00C83FCD" w:rsidRDefault="00322BDD" w:rsidP="00F72D82">
      <w:pPr>
        <w:pStyle w:val="FootnoteText"/>
      </w:pPr>
      <w:r w:rsidRPr="001031B0">
        <w:rPr>
          <w:lang w:val="en-GB"/>
        </w:rPr>
        <w:tab/>
      </w:r>
      <w:r w:rsidRPr="00C83FCD">
        <w:rPr>
          <w:rStyle w:val="FootnoteReference"/>
          <w:szCs w:val="18"/>
        </w:rPr>
        <w:footnoteRef/>
      </w:r>
      <w:r w:rsidRPr="001031B0">
        <w:rPr>
          <w:lang w:val="en-GB"/>
        </w:rPr>
        <w:tab/>
      </w:r>
      <w:r>
        <w:rPr>
          <w:lang w:val="en-GB"/>
        </w:rPr>
        <w:t>See footnote 3 above.</w:t>
      </w:r>
    </w:p>
  </w:footnote>
  <w:footnote w:id="14">
    <w:p w14:paraId="6D48C4CF" w14:textId="4DF6B70F" w:rsidR="00322BDD" w:rsidRPr="00694F24" w:rsidRDefault="00322BDD" w:rsidP="00546115">
      <w:pPr>
        <w:pStyle w:val="FootnoteText"/>
        <w:rPr>
          <w:lang w:val="en-GB"/>
        </w:rPr>
      </w:pPr>
      <w:r w:rsidRPr="006262E9">
        <w:rPr>
          <w:lang w:val="en-GB"/>
        </w:rPr>
        <w:tab/>
      </w:r>
      <w:r>
        <w:rPr>
          <w:rStyle w:val="FootnoteReference"/>
        </w:rPr>
        <w:footnoteRef/>
      </w:r>
      <w:r w:rsidRPr="006262E9">
        <w:rPr>
          <w:lang w:val="en-GB"/>
        </w:rPr>
        <w:tab/>
      </w:r>
      <w:r w:rsidRPr="00694F24">
        <w:rPr>
          <w:lang w:val="en-GB"/>
        </w:rPr>
        <w:t xml:space="preserve">The </w:t>
      </w:r>
      <w:r w:rsidRPr="00694F24">
        <w:t>author</w:t>
      </w:r>
      <w:r w:rsidRPr="00694F24">
        <w:rPr>
          <w:lang w:val="en-GB"/>
        </w:rPr>
        <w:t xml:space="preserve"> submits that article 172 </w:t>
      </w:r>
      <w:proofErr w:type="gramStart"/>
      <w:r w:rsidRPr="00694F24">
        <w:rPr>
          <w:lang w:val="en-GB"/>
        </w:rPr>
        <w:t>was amended</w:t>
      </w:r>
      <w:proofErr w:type="gramEnd"/>
      <w:r w:rsidRPr="00694F24">
        <w:rPr>
          <w:lang w:val="en-GB"/>
        </w:rPr>
        <w:t xml:space="preserve"> by </w:t>
      </w:r>
      <w:r w:rsidRPr="005B2E20">
        <w:rPr>
          <w:lang w:val="en-GB"/>
        </w:rPr>
        <w:t>the</w:t>
      </w:r>
      <w:r w:rsidRPr="00694F24">
        <w:rPr>
          <w:lang w:val="en-GB"/>
        </w:rPr>
        <w:t xml:space="preserve"> Law </w:t>
      </w:r>
      <w:r>
        <w:rPr>
          <w:lang w:val="en"/>
        </w:rPr>
        <w:t>o</w:t>
      </w:r>
      <w:r w:rsidRPr="005B2E20">
        <w:rPr>
          <w:lang w:val="en"/>
        </w:rPr>
        <w:t>n amendments and additions to legislative acts on issues of improving law enforcement and further humanization of criminal legislation</w:t>
      </w:r>
      <w:r>
        <w:rPr>
          <w:lang w:val="en-GB"/>
        </w:rPr>
        <w:t>.</w:t>
      </w:r>
    </w:p>
  </w:footnote>
  <w:footnote w:id="15">
    <w:p w14:paraId="1BB3306A" w14:textId="6B601284" w:rsidR="00322BDD" w:rsidRPr="00C83FCD" w:rsidRDefault="00322BDD">
      <w:pPr>
        <w:pStyle w:val="FootnoteText"/>
      </w:pPr>
      <w:r w:rsidRPr="00694F24">
        <w:rPr>
          <w:lang w:val="en-GB"/>
        </w:rPr>
        <w:tab/>
      </w:r>
      <w:r w:rsidRPr="00C83FCD">
        <w:rPr>
          <w:rStyle w:val="FootnoteReference"/>
          <w:szCs w:val="18"/>
        </w:rPr>
        <w:footnoteRef/>
      </w:r>
      <w:r w:rsidRPr="00694F24">
        <w:rPr>
          <w:lang w:val="en-GB"/>
        </w:rPr>
        <w:tab/>
      </w:r>
      <w:proofErr w:type="gramStart"/>
      <w:r w:rsidRPr="00C83FCD">
        <w:t>See communications No</w:t>
      </w:r>
      <w:r>
        <w:t xml:space="preserve">. </w:t>
      </w:r>
      <w:r w:rsidRPr="007F0F42">
        <w:rPr>
          <w:lang w:val="en-GB"/>
        </w:rPr>
        <w:t xml:space="preserve">1873/2009, </w:t>
      </w:r>
      <w:r w:rsidRPr="007F0F42">
        <w:rPr>
          <w:i/>
          <w:lang w:val="en-GB"/>
        </w:rPr>
        <w:t xml:space="preserve">Alekseev </w:t>
      </w:r>
      <w:r w:rsidRPr="006262E9">
        <w:rPr>
          <w:i/>
          <w:lang w:val="en-GB"/>
        </w:rPr>
        <w:t>v.</w:t>
      </w:r>
      <w:r w:rsidRPr="007F0F42">
        <w:rPr>
          <w:i/>
          <w:lang w:val="en-GB"/>
        </w:rPr>
        <w:t xml:space="preserve"> the Russian Federation</w:t>
      </w:r>
      <w:r w:rsidRPr="007F0F42">
        <w:rPr>
          <w:lang w:val="en-GB"/>
        </w:rPr>
        <w:t>, Views adopted on 25</w:t>
      </w:r>
      <w:r>
        <w:rPr>
          <w:lang w:val="en-GB"/>
        </w:rPr>
        <w:t> </w:t>
      </w:r>
      <w:r w:rsidRPr="007F0F42">
        <w:rPr>
          <w:lang w:val="en-GB"/>
        </w:rPr>
        <w:t>October 2013, para.</w:t>
      </w:r>
      <w:proofErr w:type="gramEnd"/>
      <w:r w:rsidRPr="007F0F42">
        <w:rPr>
          <w:lang w:val="en-GB"/>
        </w:rPr>
        <w:t> </w:t>
      </w:r>
      <w:proofErr w:type="gramStart"/>
      <w:r w:rsidRPr="007F0F42">
        <w:rPr>
          <w:lang w:val="en-GB"/>
        </w:rPr>
        <w:t>8.4</w:t>
      </w:r>
      <w:proofErr w:type="gramEnd"/>
      <w:r>
        <w:rPr>
          <w:lang w:val="en-GB"/>
        </w:rPr>
        <w:t>; and No.</w:t>
      </w:r>
      <w:r w:rsidRPr="007F0F42">
        <w:rPr>
          <w:lang w:val="en-GB"/>
        </w:rPr>
        <w:t xml:space="preserve"> </w:t>
      </w:r>
      <w:r>
        <w:t>2114/2011</w:t>
      </w:r>
      <w:r w:rsidRPr="00694F24">
        <w:rPr>
          <w:lang w:val="en-GB"/>
        </w:rPr>
        <w:t xml:space="preserve">, </w:t>
      </w:r>
      <w:r w:rsidRPr="00694F24">
        <w:rPr>
          <w:i/>
          <w:lang w:val="en-GB"/>
        </w:rPr>
        <w:t>Sudalenko v. Belarus</w:t>
      </w:r>
      <w:r>
        <w:rPr>
          <w:lang w:val="en-GB"/>
        </w:rPr>
        <w:t xml:space="preserve">, Views adopted on </w:t>
      </w:r>
      <w:r w:rsidRPr="007F0F42">
        <w:rPr>
          <w:lang w:val="en-GB"/>
        </w:rPr>
        <w:t>22 October 2014</w:t>
      </w:r>
      <w:r>
        <w:rPr>
          <w:lang w:val="en-GB"/>
        </w:rPr>
        <w:t xml:space="preserve">, para. 8.3. </w:t>
      </w:r>
    </w:p>
  </w:footnote>
  <w:footnote w:id="16">
    <w:p w14:paraId="445505AF" w14:textId="5FB3530E" w:rsidR="00322BDD" w:rsidRPr="00DC04F3" w:rsidRDefault="00322BDD" w:rsidP="00675A40">
      <w:pPr>
        <w:pStyle w:val="FootnoteText"/>
        <w:rPr>
          <w:lang w:val="en-GB"/>
        </w:rPr>
      </w:pPr>
      <w:r w:rsidRPr="00694F24">
        <w:rPr>
          <w:lang w:val="en-GB"/>
        </w:rPr>
        <w:tab/>
      </w:r>
      <w:r>
        <w:rPr>
          <w:rStyle w:val="FootnoteReference"/>
        </w:rPr>
        <w:footnoteRef/>
      </w:r>
      <w:r w:rsidRPr="00694F24">
        <w:rPr>
          <w:lang w:val="en-GB"/>
        </w:rPr>
        <w:tab/>
      </w:r>
      <w:r w:rsidRPr="00C83FCD">
        <w:t xml:space="preserve">See general </w:t>
      </w:r>
      <w:r w:rsidRPr="00675A40">
        <w:t>comment</w:t>
      </w:r>
      <w:r w:rsidRPr="00C83FCD">
        <w:t xml:space="preserve"> No. 32, para.</w:t>
      </w:r>
      <w:r>
        <w:t xml:space="preserve"> </w:t>
      </w:r>
      <w:r w:rsidRPr="00DC04F3">
        <w:rPr>
          <w:lang w:val="en-GB"/>
        </w:rPr>
        <w:t>29.</w:t>
      </w:r>
    </w:p>
  </w:footnote>
  <w:footnote w:id="17">
    <w:p w14:paraId="0CC7E6BD" w14:textId="7D8618B9" w:rsidR="00322BDD" w:rsidRPr="00C83FCD" w:rsidRDefault="00322BDD" w:rsidP="00EB1879">
      <w:pPr>
        <w:pStyle w:val="FootnoteText"/>
      </w:pPr>
      <w:r w:rsidRPr="00694F24">
        <w:rPr>
          <w:lang w:val="en-GB"/>
        </w:rPr>
        <w:tab/>
      </w:r>
      <w:r w:rsidRPr="00C83FCD">
        <w:rPr>
          <w:rStyle w:val="FootnoteReference"/>
          <w:szCs w:val="18"/>
        </w:rPr>
        <w:footnoteRef/>
      </w:r>
      <w:r w:rsidRPr="00694F24">
        <w:rPr>
          <w:lang w:val="en-GB"/>
        </w:rPr>
        <w:tab/>
      </w:r>
      <w:proofErr w:type="gramStart"/>
      <w:r w:rsidRPr="00C83FCD">
        <w:t xml:space="preserve">See also </w:t>
      </w:r>
      <w:r>
        <w:t>c</w:t>
      </w:r>
      <w:r w:rsidRPr="00C83FCD">
        <w:t>ommunication No</w:t>
      </w:r>
      <w:r>
        <w:t xml:space="preserve">. </w:t>
      </w:r>
      <w:r w:rsidRPr="00C83FCD">
        <w:t xml:space="preserve">2304/2013, </w:t>
      </w:r>
      <w:r>
        <w:rPr>
          <w:i/>
        </w:rPr>
        <w:t>Mukhtar</w:t>
      </w:r>
      <w:r w:rsidRPr="00C83FCD">
        <w:rPr>
          <w:i/>
        </w:rPr>
        <w:t xml:space="preserve"> v.</w:t>
      </w:r>
      <w:r>
        <w:rPr>
          <w:i/>
        </w:rPr>
        <w:t xml:space="preserve"> </w:t>
      </w:r>
      <w:r w:rsidRPr="00C83FCD">
        <w:rPr>
          <w:i/>
        </w:rPr>
        <w:t>Kazakhstan,</w:t>
      </w:r>
      <w:r w:rsidRPr="00C83FCD">
        <w:t xml:space="preserve"> Views adopted on 6 November 2015, para.</w:t>
      </w:r>
      <w:proofErr w:type="gramEnd"/>
      <w:r>
        <w:t xml:space="preserve"> </w:t>
      </w:r>
      <w:r w:rsidRPr="00C83FCD">
        <w:t>7.4.</w:t>
      </w:r>
    </w:p>
  </w:footnote>
  <w:footnote w:id="18">
    <w:p w14:paraId="6BEBA42B" w14:textId="1C6F6CD7" w:rsidR="00322BDD" w:rsidRPr="00C83FCD" w:rsidRDefault="00322BDD" w:rsidP="003B6419">
      <w:pPr>
        <w:pStyle w:val="FootnoteText"/>
      </w:pPr>
      <w:r w:rsidRPr="00694F24">
        <w:rPr>
          <w:lang w:val="en-GB"/>
        </w:rPr>
        <w:tab/>
      </w:r>
      <w:r w:rsidRPr="00C83FCD">
        <w:rPr>
          <w:rStyle w:val="FootnoteReference"/>
          <w:szCs w:val="18"/>
        </w:rPr>
        <w:footnoteRef/>
      </w:r>
      <w:r w:rsidRPr="00694F24">
        <w:rPr>
          <w:lang w:val="en-GB"/>
        </w:rPr>
        <w:tab/>
      </w:r>
      <w:r w:rsidRPr="00C83FCD">
        <w:t>See general comment 32, para</w:t>
      </w:r>
      <w:r>
        <w:t>.</w:t>
      </w:r>
      <w:r w:rsidRPr="00C83FCD">
        <w:t xml:space="preserve"> 33.</w:t>
      </w:r>
    </w:p>
  </w:footnote>
  <w:footnote w:id="19">
    <w:p w14:paraId="4A05F8B6" w14:textId="20A9ABAA" w:rsidR="00322BDD" w:rsidRPr="009C51BD" w:rsidRDefault="00322BDD" w:rsidP="00675A40">
      <w:pPr>
        <w:pStyle w:val="FootnoteText"/>
      </w:pPr>
      <w:r w:rsidRPr="00694F24">
        <w:rPr>
          <w:lang w:val="en-GB"/>
        </w:rPr>
        <w:tab/>
      </w:r>
      <w:r>
        <w:rPr>
          <w:rStyle w:val="FootnoteReference"/>
        </w:rPr>
        <w:footnoteRef/>
      </w:r>
      <w:r w:rsidRPr="00694F24">
        <w:rPr>
          <w:lang w:val="en-GB"/>
        </w:rPr>
        <w:tab/>
      </w:r>
      <w:r w:rsidRPr="009C51BD">
        <w:t>See communication No</w:t>
      </w:r>
      <w:r>
        <w:t>.</w:t>
      </w:r>
      <w:r w:rsidRPr="009C51BD">
        <w:t xml:space="preserve"> </w:t>
      </w:r>
      <w:r>
        <w:t>1937/2010</w:t>
      </w:r>
      <w:r w:rsidRPr="009C51BD">
        <w:t xml:space="preserve">, </w:t>
      </w:r>
      <w:r w:rsidRPr="009C51BD">
        <w:rPr>
          <w:i/>
        </w:rPr>
        <w:t>Leghaei et al. v. Australia</w:t>
      </w:r>
      <w:r>
        <w:t xml:space="preserve">, Views adopted on </w:t>
      </w:r>
      <w:r w:rsidRPr="008F3ACA">
        <w:t>26 March 2015</w:t>
      </w:r>
      <w:r>
        <w:t xml:space="preserve">, </w:t>
      </w:r>
      <w:proofErr w:type="gramStart"/>
      <w:r>
        <w:t>para</w:t>
      </w:r>
      <w:proofErr w:type="gramEnd"/>
      <w:r>
        <w:t>. 10.4.</w:t>
      </w:r>
    </w:p>
  </w:footnote>
  <w:footnote w:id="20">
    <w:p w14:paraId="622337F4" w14:textId="35D7ADB6" w:rsidR="00322BDD" w:rsidRPr="00C83FCD" w:rsidRDefault="00322BDD" w:rsidP="003054BA">
      <w:pPr>
        <w:pStyle w:val="FootnoteText"/>
        <w:rPr>
          <w:lang w:eastAsia="ja-JP"/>
        </w:rPr>
      </w:pPr>
      <w:r w:rsidRPr="00694F24">
        <w:rPr>
          <w:lang w:val="en-GB"/>
        </w:rPr>
        <w:tab/>
      </w:r>
      <w:r w:rsidRPr="00C83FCD">
        <w:rPr>
          <w:rStyle w:val="FootnoteReference"/>
          <w:szCs w:val="18"/>
        </w:rPr>
        <w:footnoteRef/>
      </w:r>
      <w:r w:rsidRPr="00694F24">
        <w:rPr>
          <w:lang w:val="en-GB"/>
        </w:rPr>
        <w:tab/>
      </w:r>
      <w:r w:rsidRPr="00C83FCD">
        <w:t>See</w:t>
      </w:r>
      <w:r>
        <w:t>,</w:t>
      </w:r>
      <w:r w:rsidRPr="00C83FCD">
        <w:t xml:space="preserve"> </w:t>
      </w:r>
      <w:r w:rsidRPr="006262E9">
        <w:rPr>
          <w:iCs/>
        </w:rPr>
        <w:t>inter alia,</w:t>
      </w:r>
      <w:r w:rsidRPr="00C83FCD">
        <w:rPr>
          <w:rFonts w:hint="eastAsia"/>
          <w:lang w:eastAsia="ja-JP"/>
        </w:rPr>
        <w:t xml:space="preserve"> </w:t>
      </w:r>
      <w:r w:rsidRPr="00C83FCD">
        <w:t>communication Nos.</w:t>
      </w:r>
      <w:r w:rsidRPr="00C83FCD">
        <w:rPr>
          <w:rFonts w:ascii="Courier New" w:hAnsi="Courier New" w:cs="Courier New"/>
          <w:lang w:eastAsia="en-GB"/>
        </w:rPr>
        <w:t xml:space="preserve"> </w:t>
      </w:r>
      <w:r w:rsidRPr="00C83FCD">
        <w:t>623/1995, 624/1995, 626/1995</w:t>
      </w:r>
      <w:r>
        <w:t xml:space="preserve"> and</w:t>
      </w:r>
      <w:r w:rsidRPr="00C83FCD">
        <w:t xml:space="preserve"> 627/1995, </w:t>
      </w:r>
      <w:proofErr w:type="spellStart"/>
      <w:r w:rsidRPr="00C83FCD">
        <w:rPr>
          <w:i/>
        </w:rPr>
        <w:t>Domukovsky</w:t>
      </w:r>
      <w:proofErr w:type="spellEnd"/>
      <w:r w:rsidRPr="00C83FCD">
        <w:rPr>
          <w:i/>
        </w:rPr>
        <w:t xml:space="preserve">, </w:t>
      </w:r>
      <w:proofErr w:type="spellStart"/>
      <w:r w:rsidRPr="00C83FCD">
        <w:rPr>
          <w:i/>
        </w:rPr>
        <w:t>Tsiklauri</w:t>
      </w:r>
      <w:proofErr w:type="spellEnd"/>
      <w:r w:rsidRPr="00C83FCD">
        <w:rPr>
          <w:i/>
        </w:rPr>
        <w:t xml:space="preserve">, </w:t>
      </w:r>
      <w:proofErr w:type="spellStart"/>
      <w:r w:rsidRPr="00C83FCD">
        <w:rPr>
          <w:i/>
        </w:rPr>
        <w:t>Gelbakhiani</w:t>
      </w:r>
      <w:proofErr w:type="spellEnd"/>
      <w:r w:rsidRPr="00C83FCD">
        <w:rPr>
          <w:i/>
        </w:rPr>
        <w:t xml:space="preserve"> and Dokvadze v. Georgia</w:t>
      </w:r>
      <w:r w:rsidRPr="00C83FCD">
        <w:t>,</w:t>
      </w:r>
      <w:r w:rsidRPr="00C83FCD">
        <w:rPr>
          <w:bCs/>
        </w:rPr>
        <w:t xml:space="preserve"> Views adopted on 6 April 1998, para. 18.9; </w:t>
      </w:r>
      <w:r w:rsidRPr="00C83FCD">
        <w:rPr>
          <w:rFonts w:hint="eastAsia"/>
          <w:bCs/>
          <w:lang w:eastAsia="ja-JP"/>
        </w:rPr>
        <w:t>No.</w:t>
      </w:r>
      <w:r>
        <w:rPr>
          <w:bCs/>
          <w:lang w:eastAsia="ja-JP"/>
        </w:rPr>
        <w:t> </w:t>
      </w:r>
      <w:r w:rsidRPr="00C83FCD">
        <w:t xml:space="preserve">52/1979, </w:t>
      </w:r>
      <w:r w:rsidRPr="00C83FCD">
        <w:rPr>
          <w:i/>
        </w:rPr>
        <w:t xml:space="preserve">Lopez </w:t>
      </w:r>
      <w:r>
        <w:rPr>
          <w:i/>
        </w:rPr>
        <w:t xml:space="preserve">Burgos </w:t>
      </w:r>
      <w:r w:rsidRPr="00C83FCD">
        <w:rPr>
          <w:i/>
        </w:rPr>
        <w:t>v. Uruguay</w:t>
      </w:r>
      <w:r w:rsidRPr="00C83FCD">
        <w:t>, Views adopted on 29 July 1981</w:t>
      </w:r>
      <w:r>
        <w:t>;</w:t>
      </w:r>
      <w:r w:rsidRPr="00C83FCD">
        <w:t xml:space="preserve"> </w:t>
      </w:r>
      <w:r>
        <w:t xml:space="preserve">and </w:t>
      </w:r>
      <w:r w:rsidRPr="00C83FCD">
        <w:rPr>
          <w:rFonts w:hint="eastAsia"/>
          <w:lang w:eastAsia="ja-JP"/>
        </w:rPr>
        <w:t xml:space="preserve">No. </w:t>
      </w:r>
      <w:r w:rsidRPr="00C83FCD">
        <w:t xml:space="preserve">74/1980, </w:t>
      </w:r>
      <w:r w:rsidRPr="00C83FCD">
        <w:rPr>
          <w:i/>
        </w:rPr>
        <w:t>Estrella v.</w:t>
      </w:r>
      <w:r>
        <w:rPr>
          <w:i/>
        </w:rPr>
        <w:t> </w:t>
      </w:r>
      <w:r w:rsidRPr="00C83FCD">
        <w:rPr>
          <w:i/>
        </w:rPr>
        <w:t>Uruguay</w:t>
      </w:r>
      <w:r w:rsidRPr="00C83FCD">
        <w:t xml:space="preserve">, Views adopted on 29 March 1983. See also </w:t>
      </w:r>
      <w:r w:rsidRPr="00C83FCD">
        <w:rPr>
          <w:rFonts w:hint="eastAsia"/>
          <w:lang w:eastAsia="ja-JP"/>
        </w:rPr>
        <w:t xml:space="preserve">communication No. </w:t>
      </w:r>
      <w:r w:rsidRPr="00C83FCD">
        <w:t xml:space="preserve">232/1987, </w:t>
      </w:r>
      <w:r w:rsidRPr="00C83FCD">
        <w:rPr>
          <w:i/>
        </w:rPr>
        <w:t>Pinto v.</w:t>
      </w:r>
      <w:r>
        <w:rPr>
          <w:i/>
        </w:rPr>
        <w:t> </w:t>
      </w:r>
      <w:r w:rsidRPr="00C83FCD">
        <w:rPr>
          <w:i/>
        </w:rPr>
        <w:t>Trinidad &amp; Tobago</w:t>
      </w:r>
      <w:r w:rsidRPr="00C83FCD">
        <w:t>, Views adopted on 20 July 1990</w:t>
      </w:r>
      <w:r w:rsidRPr="00C83FCD">
        <w:rPr>
          <w:rFonts w:hint="eastAsia"/>
          <w:lang w:eastAsia="ja-JP"/>
        </w:rPr>
        <w:t xml:space="preserve">, </w:t>
      </w:r>
      <w:proofErr w:type="gramStart"/>
      <w:r w:rsidRPr="00C83FCD">
        <w:rPr>
          <w:rFonts w:hint="eastAsia"/>
          <w:lang w:eastAsia="ja-JP"/>
        </w:rPr>
        <w:t>para</w:t>
      </w:r>
      <w:proofErr w:type="gramEnd"/>
      <w:r w:rsidRPr="00C83FCD">
        <w:rPr>
          <w:rFonts w:hint="eastAsia"/>
          <w:lang w:eastAsia="ja-JP"/>
        </w:rPr>
        <w:t>. 12.5.</w:t>
      </w:r>
    </w:p>
  </w:footnote>
  <w:footnote w:id="21">
    <w:p w14:paraId="7C2683AC" w14:textId="2E2FEDCB" w:rsidR="00322BDD" w:rsidRPr="006262E9" w:rsidRDefault="00322BDD" w:rsidP="00D81309">
      <w:pPr>
        <w:pStyle w:val="FootnoteText"/>
        <w:rPr>
          <w:bCs/>
          <w:lang w:val="es-ES"/>
        </w:rPr>
      </w:pPr>
      <w:r w:rsidRPr="00694F24">
        <w:rPr>
          <w:lang w:val="en-GB"/>
        </w:rPr>
        <w:tab/>
      </w:r>
      <w:r w:rsidRPr="00C83FCD">
        <w:rPr>
          <w:rStyle w:val="FootnoteReference"/>
          <w:szCs w:val="18"/>
        </w:rPr>
        <w:footnoteRef/>
      </w:r>
      <w:r w:rsidRPr="00694F24">
        <w:rPr>
          <w:lang w:val="en-GB"/>
        </w:rPr>
        <w:tab/>
      </w:r>
      <w:proofErr w:type="gramStart"/>
      <w:r w:rsidRPr="00C83FCD">
        <w:t>See communications No</w:t>
      </w:r>
      <w:r>
        <w:t xml:space="preserve">. </w:t>
      </w:r>
      <w:r w:rsidRPr="00C83FCD">
        <w:t xml:space="preserve">1123/2002, </w:t>
      </w:r>
      <w:r w:rsidRPr="00C83FCD">
        <w:rPr>
          <w:i/>
        </w:rPr>
        <w:t>Correia de Matos v. Portugal</w:t>
      </w:r>
      <w:r w:rsidRPr="00C83FCD">
        <w:t>, Views adopted on 28 March 2006, para</w:t>
      </w:r>
      <w:r>
        <w:t>.</w:t>
      </w:r>
      <w:proofErr w:type="gramEnd"/>
      <w:r w:rsidRPr="00C83FCD">
        <w:t xml:space="preserve"> 7.4 </w:t>
      </w:r>
      <w:proofErr w:type="gramStart"/>
      <w:r w:rsidRPr="00C83FCD">
        <w:t>and</w:t>
      </w:r>
      <w:proofErr w:type="gramEnd"/>
      <w:r w:rsidRPr="00C83FCD">
        <w:t xml:space="preserve"> </w:t>
      </w:r>
      <w:r w:rsidRPr="00C83FCD">
        <w:rPr>
          <w:bCs/>
        </w:rPr>
        <w:t>No</w:t>
      </w:r>
      <w:r>
        <w:rPr>
          <w:bCs/>
        </w:rPr>
        <w:t xml:space="preserve">. </w:t>
      </w:r>
      <w:r w:rsidRPr="00C83FCD">
        <w:rPr>
          <w:bCs/>
        </w:rPr>
        <w:t xml:space="preserve">2040/2011, </w:t>
      </w:r>
      <w:r w:rsidRPr="00C83FCD">
        <w:rPr>
          <w:bCs/>
          <w:i/>
        </w:rPr>
        <w:t>Zeynalov v. Estonia</w:t>
      </w:r>
      <w:r w:rsidRPr="00C83FCD">
        <w:rPr>
          <w:bCs/>
        </w:rPr>
        <w:t>, Views adopted on 4 November 2015, para</w:t>
      </w:r>
      <w:r>
        <w:rPr>
          <w:bCs/>
        </w:rPr>
        <w:t>.</w:t>
      </w:r>
      <w:r>
        <w:t> </w:t>
      </w:r>
      <w:r w:rsidRPr="006262E9">
        <w:rPr>
          <w:bCs/>
          <w:lang w:val="es-ES"/>
        </w:rPr>
        <w:t>9.6</w:t>
      </w:r>
      <w:r w:rsidRPr="006262E9">
        <w:rPr>
          <w:lang w:val="es-ES"/>
        </w:rPr>
        <w:t>.</w:t>
      </w:r>
    </w:p>
  </w:footnote>
  <w:footnote w:id="22">
    <w:p w14:paraId="6C965D3C" w14:textId="229A6AC3" w:rsidR="00322BDD" w:rsidRPr="006262E9" w:rsidRDefault="00322BDD" w:rsidP="003054BA">
      <w:pPr>
        <w:pStyle w:val="FootnoteText"/>
        <w:rPr>
          <w:lang w:val="es-ES" w:eastAsia="ja-JP"/>
        </w:rPr>
      </w:pPr>
      <w:r w:rsidRPr="006262E9">
        <w:rPr>
          <w:lang w:val="es-ES"/>
        </w:rPr>
        <w:tab/>
      </w:r>
      <w:r w:rsidRPr="00C83FCD">
        <w:rPr>
          <w:rStyle w:val="FootnoteReference"/>
          <w:szCs w:val="18"/>
        </w:rPr>
        <w:footnoteRef/>
      </w:r>
      <w:r w:rsidRPr="006262E9">
        <w:rPr>
          <w:lang w:val="es-ES"/>
        </w:rPr>
        <w:tab/>
      </w:r>
      <w:proofErr w:type="spellStart"/>
      <w:r w:rsidRPr="006262E9">
        <w:rPr>
          <w:lang w:val="es-ES"/>
        </w:rPr>
        <w:t>See</w:t>
      </w:r>
      <w:proofErr w:type="spellEnd"/>
      <w:r w:rsidRPr="006262E9">
        <w:rPr>
          <w:lang w:val="es-ES"/>
        </w:rPr>
        <w:t xml:space="preserve"> </w:t>
      </w:r>
      <w:r w:rsidRPr="006262E9">
        <w:rPr>
          <w:lang w:val="es-ES" w:eastAsia="ja-JP"/>
        </w:rPr>
        <w:t xml:space="preserve">general </w:t>
      </w:r>
      <w:proofErr w:type="spellStart"/>
      <w:r w:rsidRPr="006262E9">
        <w:rPr>
          <w:lang w:val="es-ES" w:eastAsia="ja-JP"/>
        </w:rPr>
        <w:t>comment</w:t>
      </w:r>
      <w:proofErr w:type="spellEnd"/>
      <w:r w:rsidRPr="006262E9">
        <w:rPr>
          <w:lang w:val="es-ES" w:eastAsia="ja-JP"/>
        </w:rPr>
        <w:t xml:space="preserve"> No. 32, para. 37 and </w:t>
      </w:r>
      <w:proofErr w:type="spellStart"/>
      <w:r w:rsidRPr="006262E9">
        <w:rPr>
          <w:i/>
          <w:lang w:val="es-ES" w:eastAsia="ja-JP"/>
        </w:rPr>
        <w:t>Zeynalov</w:t>
      </w:r>
      <w:proofErr w:type="spellEnd"/>
      <w:r w:rsidRPr="006262E9">
        <w:rPr>
          <w:i/>
          <w:lang w:val="es-ES" w:eastAsia="ja-JP"/>
        </w:rPr>
        <w:t xml:space="preserve"> v. Estonia</w:t>
      </w:r>
      <w:r w:rsidRPr="006262E9">
        <w:rPr>
          <w:lang w:val="es-ES" w:eastAsia="ja-JP"/>
        </w:rPr>
        <w:t>, para. 9.6.</w:t>
      </w:r>
    </w:p>
  </w:footnote>
  <w:footnote w:id="23">
    <w:p w14:paraId="5F83BB75" w14:textId="18FE9129" w:rsidR="00322BDD" w:rsidRPr="00694F24" w:rsidRDefault="00322BDD" w:rsidP="00013CD2">
      <w:pPr>
        <w:pStyle w:val="FootnoteText"/>
        <w:rPr>
          <w:lang w:val="en-GB"/>
        </w:rPr>
      </w:pPr>
      <w:r w:rsidRPr="006262E9">
        <w:rPr>
          <w:lang w:val="es-ES"/>
        </w:rPr>
        <w:tab/>
      </w:r>
      <w:r w:rsidRPr="00694F24">
        <w:rPr>
          <w:rStyle w:val="FootnoteReference"/>
          <w:szCs w:val="18"/>
          <w:lang w:val="en-GB"/>
        </w:rPr>
        <w:footnoteRef/>
      </w:r>
      <w:r w:rsidRPr="006262E9">
        <w:rPr>
          <w:lang w:val="es-ES"/>
        </w:rPr>
        <w:tab/>
      </w:r>
      <w:proofErr w:type="spellStart"/>
      <w:r w:rsidRPr="006262E9">
        <w:rPr>
          <w:lang w:val="es-ES"/>
        </w:rPr>
        <w:t>See</w:t>
      </w:r>
      <w:proofErr w:type="spellEnd"/>
      <w:r w:rsidRPr="006262E9">
        <w:rPr>
          <w:lang w:val="es-ES"/>
        </w:rPr>
        <w:t xml:space="preserve"> </w:t>
      </w:r>
      <w:proofErr w:type="spellStart"/>
      <w:r w:rsidRPr="006262E9">
        <w:rPr>
          <w:i/>
          <w:iCs/>
          <w:lang w:val="es-ES"/>
        </w:rPr>
        <w:t>Correia</w:t>
      </w:r>
      <w:proofErr w:type="spellEnd"/>
      <w:r w:rsidRPr="006262E9">
        <w:rPr>
          <w:i/>
          <w:iCs/>
          <w:lang w:val="es-ES"/>
        </w:rPr>
        <w:t xml:space="preserve"> de Matos v. Portugal</w:t>
      </w:r>
      <w:r w:rsidRPr="006262E9">
        <w:rPr>
          <w:lang w:val="es-ES"/>
        </w:rPr>
        <w:t xml:space="preserve">, paras. </w:t>
      </w:r>
      <w:r w:rsidRPr="00694F24">
        <w:rPr>
          <w:lang w:val="en-GB"/>
        </w:rPr>
        <w:t xml:space="preserve">7.4 </w:t>
      </w:r>
      <w:proofErr w:type="gramStart"/>
      <w:r w:rsidRPr="00694F24">
        <w:rPr>
          <w:lang w:val="en-GB"/>
        </w:rPr>
        <w:t>and</w:t>
      </w:r>
      <w:proofErr w:type="gramEnd"/>
      <w:r w:rsidRPr="00694F24">
        <w:rPr>
          <w:lang w:val="en-GB"/>
        </w:rPr>
        <w:t xml:space="preserve"> 7.5.</w:t>
      </w:r>
    </w:p>
  </w:footnote>
  <w:footnote w:id="24">
    <w:p w14:paraId="5BBB70A9" w14:textId="79138EF5" w:rsidR="00322BDD" w:rsidRPr="00C83FCD" w:rsidRDefault="00322BDD">
      <w:pPr>
        <w:pStyle w:val="FootnoteText"/>
      </w:pPr>
      <w:r w:rsidRPr="00694F24">
        <w:rPr>
          <w:lang w:val="en-GB"/>
        </w:rPr>
        <w:tab/>
      </w:r>
      <w:r w:rsidRPr="00C83FCD">
        <w:rPr>
          <w:rStyle w:val="FootnoteReference"/>
          <w:szCs w:val="18"/>
        </w:rPr>
        <w:footnoteRef/>
      </w:r>
      <w:r w:rsidRPr="00694F24">
        <w:rPr>
          <w:lang w:val="en-GB"/>
        </w:rPr>
        <w:tab/>
      </w:r>
      <w:r w:rsidRPr="00C83FCD">
        <w:t xml:space="preserve">See communications No. 1948/2010, </w:t>
      </w:r>
      <w:r w:rsidRPr="00C83FCD">
        <w:rPr>
          <w:i/>
        </w:rPr>
        <w:t xml:space="preserve">Turchenyak et al. </w:t>
      </w:r>
      <w:r w:rsidRPr="006262E9">
        <w:rPr>
          <w:i/>
          <w:iCs/>
        </w:rPr>
        <w:t>v.</w:t>
      </w:r>
      <w:r w:rsidRPr="00C83FCD">
        <w:rPr>
          <w:i/>
        </w:rPr>
        <w:t xml:space="preserve"> Belarus</w:t>
      </w:r>
      <w:r w:rsidRPr="00C83FCD">
        <w:t xml:space="preserve">, Views adopted on 24 July 2013, </w:t>
      </w:r>
      <w:proofErr w:type="gramStart"/>
      <w:r w:rsidRPr="00C83FCD">
        <w:t>para</w:t>
      </w:r>
      <w:proofErr w:type="gramEnd"/>
      <w:r w:rsidRPr="00C83FCD">
        <w:t xml:space="preserve">. </w:t>
      </w:r>
      <w:proofErr w:type="gramStart"/>
      <w:r w:rsidRPr="00C83FCD">
        <w:t>7.7</w:t>
      </w:r>
      <w:proofErr w:type="gramEnd"/>
      <w:r w:rsidRPr="00C83FCD">
        <w:t xml:space="preserve">; </w:t>
      </w:r>
      <w:r w:rsidR="003B6419">
        <w:t xml:space="preserve">and </w:t>
      </w:r>
      <w:r w:rsidRPr="00C83FCD">
        <w:t>No.</w:t>
      </w:r>
      <w:r>
        <w:t xml:space="preserve"> </w:t>
      </w:r>
      <w:r w:rsidRPr="00C83FCD">
        <w:t xml:space="preserve">1991/2010, </w:t>
      </w:r>
      <w:r w:rsidRPr="00C83FCD">
        <w:rPr>
          <w:i/>
        </w:rPr>
        <w:t>Volchek v. Belarus</w:t>
      </w:r>
      <w:r w:rsidRPr="00C83FCD">
        <w:t>, Views adopted on 24 July 2014, para</w:t>
      </w:r>
      <w:r>
        <w:t>.</w:t>
      </w:r>
      <w:r w:rsidRPr="00C83FCD">
        <w:t xml:space="preserve"> 7.3.</w:t>
      </w:r>
    </w:p>
  </w:footnote>
  <w:footnote w:id="25">
    <w:p w14:paraId="40DDF895" w14:textId="61B9F632" w:rsidR="00322BDD" w:rsidRPr="00C83FCD" w:rsidRDefault="00322BDD" w:rsidP="003B0027">
      <w:pPr>
        <w:pStyle w:val="FootnoteText"/>
      </w:pPr>
      <w:r w:rsidRPr="00694F24">
        <w:rPr>
          <w:vertAlign w:val="superscript"/>
          <w:lang w:val="en-GB"/>
        </w:rPr>
        <w:tab/>
      </w:r>
      <w:r w:rsidRPr="00C83FCD">
        <w:rPr>
          <w:rStyle w:val="FootnoteReference"/>
          <w:szCs w:val="18"/>
        </w:rPr>
        <w:footnoteRef/>
      </w:r>
      <w:r w:rsidRPr="00694F24">
        <w:rPr>
          <w:vertAlign w:val="superscript"/>
          <w:lang w:val="en-GB"/>
        </w:rPr>
        <w:tab/>
      </w:r>
      <w:proofErr w:type="gramStart"/>
      <w:r w:rsidRPr="00C83FCD">
        <w:t xml:space="preserve">See </w:t>
      </w:r>
      <w:proofErr w:type="spellStart"/>
      <w:r w:rsidRPr="00C83FCD">
        <w:rPr>
          <w:i/>
        </w:rPr>
        <w:t>Turchenyak</w:t>
      </w:r>
      <w:proofErr w:type="spellEnd"/>
      <w:r w:rsidRPr="00C83FCD">
        <w:rPr>
          <w:i/>
        </w:rPr>
        <w:t xml:space="preserve"> et al</w:t>
      </w:r>
      <w:r w:rsidRPr="001E0EB7">
        <w:rPr>
          <w:i/>
        </w:rPr>
        <w:t>. v.</w:t>
      </w:r>
      <w:r w:rsidRPr="00C83FCD">
        <w:rPr>
          <w:i/>
        </w:rPr>
        <w:t xml:space="preserve"> Belarus</w:t>
      </w:r>
      <w:r w:rsidRPr="00C83FCD">
        <w:t>, para.</w:t>
      </w:r>
      <w:proofErr w:type="gramEnd"/>
      <w:r w:rsidRPr="00C83FCD">
        <w:t xml:space="preserve"> </w:t>
      </w:r>
      <w:proofErr w:type="gramStart"/>
      <w:r w:rsidRPr="00C83FCD">
        <w:t>7.8</w:t>
      </w:r>
      <w:proofErr w:type="gramEnd"/>
      <w:r w:rsidRPr="00C83FCD">
        <w:t xml:space="preserve">; </w:t>
      </w:r>
      <w:r>
        <w:t>and</w:t>
      </w:r>
      <w:r w:rsidRPr="00C83FCD">
        <w:t xml:space="preserve"> </w:t>
      </w:r>
      <w:proofErr w:type="spellStart"/>
      <w:r w:rsidRPr="00C83FCD">
        <w:rPr>
          <w:i/>
        </w:rPr>
        <w:t>Volchek</w:t>
      </w:r>
      <w:proofErr w:type="spellEnd"/>
      <w:r w:rsidRPr="00C83FCD">
        <w:rPr>
          <w:i/>
        </w:rPr>
        <w:t xml:space="preserve"> v. Belarus</w:t>
      </w:r>
      <w:r w:rsidRPr="00C83FCD">
        <w:t>, para</w:t>
      </w:r>
      <w:r>
        <w:t>.</w:t>
      </w:r>
      <w:r w:rsidRPr="00C83FCD">
        <w:t xml:space="preserve">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12421" w14:textId="11D8223E" w:rsidR="00322BDD" w:rsidRPr="00781C83" w:rsidRDefault="00322BDD" w:rsidP="00781C83">
    <w:pPr>
      <w:pStyle w:val="Header"/>
    </w:pPr>
    <w:r>
      <w:t>CCPR/C/116/D/</w:t>
    </w:r>
    <w:r w:rsidRPr="00FB603B">
      <w:t>2129/2012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8AE70" w14:textId="2BA66783" w:rsidR="00322BDD" w:rsidRPr="00781C83" w:rsidRDefault="00322BDD" w:rsidP="00781C83">
    <w:pPr>
      <w:pStyle w:val="Header"/>
      <w:jc w:val="right"/>
    </w:pPr>
    <w:r>
      <w:t>CCPR/C/116/D/</w:t>
    </w:r>
    <w:r w:rsidRPr="00FB603B">
      <w:t>2129/2012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44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7C054F"/>
    <w:multiLevelType w:val="hybridMultilevel"/>
    <w:tmpl w:val="017C5D3E"/>
    <w:lvl w:ilvl="0" w:tplc="9AC0218A">
      <w:start w:val="1"/>
      <w:numFmt w:val="decimal"/>
      <w:lvlText w:val="%1."/>
      <w:lvlJc w:val="left"/>
      <w:pPr>
        <w:tabs>
          <w:tab w:val="num" w:pos="1065"/>
        </w:tabs>
        <w:ind w:left="1065" w:hanging="705"/>
      </w:pPr>
      <w:rPr>
        <w:rFonts w:hint="default"/>
        <w:b w:val="0"/>
        <w:bCs/>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rcevic">
    <w15:presenceInfo w15:providerId="None" w15:userId="Starce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0B6"/>
    <w:rsid w:val="00001C66"/>
    <w:rsid w:val="0000397C"/>
    <w:rsid w:val="000044E2"/>
    <w:rsid w:val="00004760"/>
    <w:rsid w:val="000062C1"/>
    <w:rsid w:val="00006AE6"/>
    <w:rsid w:val="00013CD2"/>
    <w:rsid w:val="0001627B"/>
    <w:rsid w:val="00016A5F"/>
    <w:rsid w:val="000170C3"/>
    <w:rsid w:val="00023024"/>
    <w:rsid w:val="00024522"/>
    <w:rsid w:val="00025D41"/>
    <w:rsid w:val="0002635B"/>
    <w:rsid w:val="000272B3"/>
    <w:rsid w:val="0003387B"/>
    <w:rsid w:val="00033CD0"/>
    <w:rsid w:val="00036B13"/>
    <w:rsid w:val="00036F3F"/>
    <w:rsid w:val="000377A5"/>
    <w:rsid w:val="000379DC"/>
    <w:rsid w:val="0004092D"/>
    <w:rsid w:val="00041994"/>
    <w:rsid w:val="00043AFA"/>
    <w:rsid w:val="000456AE"/>
    <w:rsid w:val="0004616E"/>
    <w:rsid w:val="00046766"/>
    <w:rsid w:val="00046F2C"/>
    <w:rsid w:val="00050F6B"/>
    <w:rsid w:val="00054DCF"/>
    <w:rsid w:val="0005540B"/>
    <w:rsid w:val="00055FFE"/>
    <w:rsid w:val="0005782B"/>
    <w:rsid w:val="00057E97"/>
    <w:rsid w:val="00060C3A"/>
    <w:rsid w:val="00061B18"/>
    <w:rsid w:val="000630DF"/>
    <w:rsid w:val="00063B51"/>
    <w:rsid w:val="00066476"/>
    <w:rsid w:val="000672D9"/>
    <w:rsid w:val="000673A3"/>
    <w:rsid w:val="00067CCE"/>
    <w:rsid w:val="000707D1"/>
    <w:rsid w:val="00070CC1"/>
    <w:rsid w:val="00072C8C"/>
    <w:rsid w:val="000733B5"/>
    <w:rsid w:val="0007475F"/>
    <w:rsid w:val="00076088"/>
    <w:rsid w:val="0007685A"/>
    <w:rsid w:val="0007695F"/>
    <w:rsid w:val="000803DA"/>
    <w:rsid w:val="00080B6B"/>
    <w:rsid w:val="00081815"/>
    <w:rsid w:val="00081BF7"/>
    <w:rsid w:val="0008245C"/>
    <w:rsid w:val="000838BA"/>
    <w:rsid w:val="00085A16"/>
    <w:rsid w:val="00090022"/>
    <w:rsid w:val="00090758"/>
    <w:rsid w:val="00091F15"/>
    <w:rsid w:val="000931C0"/>
    <w:rsid w:val="00093D88"/>
    <w:rsid w:val="00095F8E"/>
    <w:rsid w:val="0009642A"/>
    <w:rsid w:val="000970C1"/>
    <w:rsid w:val="000971ED"/>
    <w:rsid w:val="000A2EE4"/>
    <w:rsid w:val="000A310C"/>
    <w:rsid w:val="000A5192"/>
    <w:rsid w:val="000A5559"/>
    <w:rsid w:val="000A5BDC"/>
    <w:rsid w:val="000A69CF"/>
    <w:rsid w:val="000B02C3"/>
    <w:rsid w:val="000B11D9"/>
    <w:rsid w:val="000B175B"/>
    <w:rsid w:val="000B1788"/>
    <w:rsid w:val="000B3A0F"/>
    <w:rsid w:val="000B4EF7"/>
    <w:rsid w:val="000B647D"/>
    <w:rsid w:val="000B75E0"/>
    <w:rsid w:val="000B7CF0"/>
    <w:rsid w:val="000C2AB9"/>
    <w:rsid w:val="000C2C03"/>
    <w:rsid w:val="000C2D2E"/>
    <w:rsid w:val="000C2E06"/>
    <w:rsid w:val="000C3983"/>
    <w:rsid w:val="000C46B7"/>
    <w:rsid w:val="000C4DA0"/>
    <w:rsid w:val="000C6921"/>
    <w:rsid w:val="000C695D"/>
    <w:rsid w:val="000D0ABB"/>
    <w:rsid w:val="000D0C6A"/>
    <w:rsid w:val="000D2F8A"/>
    <w:rsid w:val="000D3D17"/>
    <w:rsid w:val="000D6E0C"/>
    <w:rsid w:val="000E0415"/>
    <w:rsid w:val="000E07B1"/>
    <w:rsid w:val="000E0E8E"/>
    <w:rsid w:val="000E20F8"/>
    <w:rsid w:val="000E29B9"/>
    <w:rsid w:val="000E3240"/>
    <w:rsid w:val="000E4550"/>
    <w:rsid w:val="000E7537"/>
    <w:rsid w:val="000F2810"/>
    <w:rsid w:val="000F3409"/>
    <w:rsid w:val="000F39F9"/>
    <w:rsid w:val="000F6A6B"/>
    <w:rsid w:val="000F7E69"/>
    <w:rsid w:val="000F7F0B"/>
    <w:rsid w:val="00102617"/>
    <w:rsid w:val="001037D9"/>
    <w:rsid w:val="00106197"/>
    <w:rsid w:val="001103AA"/>
    <w:rsid w:val="00110F83"/>
    <w:rsid w:val="00112792"/>
    <w:rsid w:val="00112984"/>
    <w:rsid w:val="001133DB"/>
    <w:rsid w:val="0011580E"/>
    <w:rsid w:val="00117506"/>
    <w:rsid w:val="0011787A"/>
    <w:rsid w:val="00121C50"/>
    <w:rsid w:val="001223A2"/>
    <w:rsid w:val="00123712"/>
    <w:rsid w:val="001306DD"/>
    <w:rsid w:val="00130D48"/>
    <w:rsid w:val="0013113A"/>
    <w:rsid w:val="00131B64"/>
    <w:rsid w:val="0013235B"/>
    <w:rsid w:val="001340B3"/>
    <w:rsid w:val="001342E6"/>
    <w:rsid w:val="00134B81"/>
    <w:rsid w:val="00136DE8"/>
    <w:rsid w:val="00137249"/>
    <w:rsid w:val="001375A9"/>
    <w:rsid w:val="00142286"/>
    <w:rsid w:val="00142EF6"/>
    <w:rsid w:val="00151928"/>
    <w:rsid w:val="00154275"/>
    <w:rsid w:val="00154DA5"/>
    <w:rsid w:val="0015520B"/>
    <w:rsid w:val="00157820"/>
    <w:rsid w:val="00161364"/>
    <w:rsid w:val="00161EEA"/>
    <w:rsid w:val="00162DB2"/>
    <w:rsid w:val="00163E0C"/>
    <w:rsid w:val="00164C92"/>
    <w:rsid w:val="00165F3A"/>
    <w:rsid w:val="00166183"/>
    <w:rsid w:val="001677FA"/>
    <w:rsid w:val="00170DDB"/>
    <w:rsid w:val="00171909"/>
    <w:rsid w:val="001721A9"/>
    <w:rsid w:val="0017277A"/>
    <w:rsid w:val="00172802"/>
    <w:rsid w:val="0017322C"/>
    <w:rsid w:val="0017342F"/>
    <w:rsid w:val="00174528"/>
    <w:rsid w:val="0017533A"/>
    <w:rsid w:val="001756D6"/>
    <w:rsid w:val="001758E2"/>
    <w:rsid w:val="00176114"/>
    <w:rsid w:val="00176D6B"/>
    <w:rsid w:val="00180263"/>
    <w:rsid w:val="00181F7C"/>
    <w:rsid w:val="00183968"/>
    <w:rsid w:val="001844A0"/>
    <w:rsid w:val="0018481A"/>
    <w:rsid w:val="00186302"/>
    <w:rsid w:val="00186A34"/>
    <w:rsid w:val="001905FB"/>
    <w:rsid w:val="001912DB"/>
    <w:rsid w:val="00191845"/>
    <w:rsid w:val="00192C20"/>
    <w:rsid w:val="001965C0"/>
    <w:rsid w:val="00196CDF"/>
    <w:rsid w:val="001A09DE"/>
    <w:rsid w:val="001A2C08"/>
    <w:rsid w:val="001A32CB"/>
    <w:rsid w:val="001A4402"/>
    <w:rsid w:val="001A4429"/>
    <w:rsid w:val="001A5489"/>
    <w:rsid w:val="001A6461"/>
    <w:rsid w:val="001A660B"/>
    <w:rsid w:val="001A6686"/>
    <w:rsid w:val="001A67B5"/>
    <w:rsid w:val="001A723C"/>
    <w:rsid w:val="001A7E43"/>
    <w:rsid w:val="001B4041"/>
    <w:rsid w:val="001B4485"/>
    <w:rsid w:val="001B4B04"/>
    <w:rsid w:val="001B5C3F"/>
    <w:rsid w:val="001B7D22"/>
    <w:rsid w:val="001C1926"/>
    <w:rsid w:val="001C3120"/>
    <w:rsid w:val="001C4471"/>
    <w:rsid w:val="001C4C03"/>
    <w:rsid w:val="001C5BED"/>
    <w:rsid w:val="001C657F"/>
    <w:rsid w:val="001C6663"/>
    <w:rsid w:val="001C7895"/>
    <w:rsid w:val="001C7D37"/>
    <w:rsid w:val="001D0C8C"/>
    <w:rsid w:val="001D26DF"/>
    <w:rsid w:val="001D3743"/>
    <w:rsid w:val="001D3A03"/>
    <w:rsid w:val="001D3B25"/>
    <w:rsid w:val="001D4ED0"/>
    <w:rsid w:val="001D6636"/>
    <w:rsid w:val="001D6813"/>
    <w:rsid w:val="001E06EB"/>
    <w:rsid w:val="001E0EB7"/>
    <w:rsid w:val="001E10EC"/>
    <w:rsid w:val="001E2B4C"/>
    <w:rsid w:val="001E4617"/>
    <w:rsid w:val="001E48A9"/>
    <w:rsid w:val="001E6148"/>
    <w:rsid w:val="001E6DA2"/>
    <w:rsid w:val="001E7073"/>
    <w:rsid w:val="001E718D"/>
    <w:rsid w:val="001E7AF9"/>
    <w:rsid w:val="001F0720"/>
    <w:rsid w:val="001F08A3"/>
    <w:rsid w:val="001F0F1A"/>
    <w:rsid w:val="001F1088"/>
    <w:rsid w:val="001F11EA"/>
    <w:rsid w:val="001F6A12"/>
    <w:rsid w:val="001F7C10"/>
    <w:rsid w:val="00202DA8"/>
    <w:rsid w:val="002069CC"/>
    <w:rsid w:val="00211E0B"/>
    <w:rsid w:val="00212673"/>
    <w:rsid w:val="00213E21"/>
    <w:rsid w:val="00215A51"/>
    <w:rsid w:val="002172B8"/>
    <w:rsid w:val="00217D74"/>
    <w:rsid w:val="00220677"/>
    <w:rsid w:val="0022175C"/>
    <w:rsid w:val="00222689"/>
    <w:rsid w:val="00223ED3"/>
    <w:rsid w:val="00224AED"/>
    <w:rsid w:val="0022501D"/>
    <w:rsid w:val="002256A1"/>
    <w:rsid w:val="002278E3"/>
    <w:rsid w:val="00227A16"/>
    <w:rsid w:val="00227EDC"/>
    <w:rsid w:val="00230959"/>
    <w:rsid w:val="002314F8"/>
    <w:rsid w:val="0023210C"/>
    <w:rsid w:val="00232334"/>
    <w:rsid w:val="00233707"/>
    <w:rsid w:val="0023438F"/>
    <w:rsid w:val="002345C1"/>
    <w:rsid w:val="002361D0"/>
    <w:rsid w:val="00240564"/>
    <w:rsid w:val="00240F4B"/>
    <w:rsid w:val="00242AE6"/>
    <w:rsid w:val="002433D8"/>
    <w:rsid w:val="0025162E"/>
    <w:rsid w:val="00253129"/>
    <w:rsid w:val="002533BB"/>
    <w:rsid w:val="0025421C"/>
    <w:rsid w:val="0025487E"/>
    <w:rsid w:val="00254D64"/>
    <w:rsid w:val="00255058"/>
    <w:rsid w:val="00255511"/>
    <w:rsid w:val="002633B3"/>
    <w:rsid w:val="00263CA1"/>
    <w:rsid w:val="002650C2"/>
    <w:rsid w:val="002655E0"/>
    <w:rsid w:val="002656E9"/>
    <w:rsid w:val="00265CF8"/>
    <w:rsid w:val="00266EB7"/>
    <w:rsid w:val="00267F5F"/>
    <w:rsid w:val="00271477"/>
    <w:rsid w:val="00271484"/>
    <w:rsid w:val="00273B14"/>
    <w:rsid w:val="00274BD3"/>
    <w:rsid w:val="00281144"/>
    <w:rsid w:val="00282899"/>
    <w:rsid w:val="00283A20"/>
    <w:rsid w:val="0028489A"/>
    <w:rsid w:val="002860DB"/>
    <w:rsid w:val="002863A9"/>
    <w:rsid w:val="00286B4D"/>
    <w:rsid w:val="00286DFA"/>
    <w:rsid w:val="00291295"/>
    <w:rsid w:val="00292A01"/>
    <w:rsid w:val="00292F7D"/>
    <w:rsid w:val="0029365C"/>
    <w:rsid w:val="00293B90"/>
    <w:rsid w:val="0029453D"/>
    <w:rsid w:val="002962AC"/>
    <w:rsid w:val="00296C0E"/>
    <w:rsid w:val="002A0E62"/>
    <w:rsid w:val="002A0EEE"/>
    <w:rsid w:val="002A1243"/>
    <w:rsid w:val="002A1918"/>
    <w:rsid w:val="002A3CBA"/>
    <w:rsid w:val="002A4B67"/>
    <w:rsid w:val="002A5AEF"/>
    <w:rsid w:val="002A5C82"/>
    <w:rsid w:val="002A728F"/>
    <w:rsid w:val="002B3B76"/>
    <w:rsid w:val="002B3F1E"/>
    <w:rsid w:val="002B450B"/>
    <w:rsid w:val="002B63BC"/>
    <w:rsid w:val="002B6513"/>
    <w:rsid w:val="002B65FE"/>
    <w:rsid w:val="002C06BA"/>
    <w:rsid w:val="002C1F2F"/>
    <w:rsid w:val="002C2508"/>
    <w:rsid w:val="002C5BCD"/>
    <w:rsid w:val="002D10F2"/>
    <w:rsid w:val="002D18B7"/>
    <w:rsid w:val="002D3AF5"/>
    <w:rsid w:val="002D4CB1"/>
    <w:rsid w:val="002D76B1"/>
    <w:rsid w:val="002E1084"/>
    <w:rsid w:val="002E1860"/>
    <w:rsid w:val="002E517D"/>
    <w:rsid w:val="002E52B1"/>
    <w:rsid w:val="002E538F"/>
    <w:rsid w:val="002E5C99"/>
    <w:rsid w:val="002E69AE"/>
    <w:rsid w:val="002E6B3C"/>
    <w:rsid w:val="002E76F4"/>
    <w:rsid w:val="002F00D8"/>
    <w:rsid w:val="002F039C"/>
    <w:rsid w:val="002F0BDF"/>
    <w:rsid w:val="002F0FA5"/>
    <w:rsid w:val="002F1733"/>
    <w:rsid w:val="002F175C"/>
    <w:rsid w:val="002F1942"/>
    <w:rsid w:val="002F4557"/>
    <w:rsid w:val="002F5159"/>
    <w:rsid w:val="002F582A"/>
    <w:rsid w:val="002F6911"/>
    <w:rsid w:val="0030138D"/>
    <w:rsid w:val="00304F66"/>
    <w:rsid w:val="003054BA"/>
    <w:rsid w:val="003055B7"/>
    <w:rsid w:val="00306124"/>
    <w:rsid w:val="00306B2B"/>
    <w:rsid w:val="00307164"/>
    <w:rsid w:val="0031322D"/>
    <w:rsid w:val="003134AC"/>
    <w:rsid w:val="00313DFE"/>
    <w:rsid w:val="0031721B"/>
    <w:rsid w:val="00317544"/>
    <w:rsid w:val="00320E07"/>
    <w:rsid w:val="00321438"/>
    <w:rsid w:val="00321C08"/>
    <w:rsid w:val="00321F98"/>
    <w:rsid w:val="0032230D"/>
    <w:rsid w:val="003229D8"/>
    <w:rsid w:val="00322BDD"/>
    <w:rsid w:val="00322F8A"/>
    <w:rsid w:val="00323632"/>
    <w:rsid w:val="00327502"/>
    <w:rsid w:val="00330BE1"/>
    <w:rsid w:val="003310A0"/>
    <w:rsid w:val="00331F5B"/>
    <w:rsid w:val="00332AB3"/>
    <w:rsid w:val="003331BD"/>
    <w:rsid w:val="00334AA8"/>
    <w:rsid w:val="00340A69"/>
    <w:rsid w:val="00341C46"/>
    <w:rsid w:val="00341E55"/>
    <w:rsid w:val="003429C4"/>
    <w:rsid w:val="00342DBC"/>
    <w:rsid w:val="003432EC"/>
    <w:rsid w:val="00345647"/>
    <w:rsid w:val="00351398"/>
    <w:rsid w:val="00352709"/>
    <w:rsid w:val="00354AA8"/>
    <w:rsid w:val="00361E8A"/>
    <w:rsid w:val="00363A98"/>
    <w:rsid w:val="00364426"/>
    <w:rsid w:val="0036645D"/>
    <w:rsid w:val="003667AD"/>
    <w:rsid w:val="00366CF9"/>
    <w:rsid w:val="00367567"/>
    <w:rsid w:val="003705C9"/>
    <w:rsid w:val="00371095"/>
    <w:rsid w:val="00371178"/>
    <w:rsid w:val="0037301C"/>
    <w:rsid w:val="003730DD"/>
    <w:rsid w:val="00373F8F"/>
    <w:rsid w:val="0037429D"/>
    <w:rsid w:val="00374C6F"/>
    <w:rsid w:val="00375119"/>
    <w:rsid w:val="00375CDD"/>
    <w:rsid w:val="00376720"/>
    <w:rsid w:val="00377828"/>
    <w:rsid w:val="00380E01"/>
    <w:rsid w:val="003823CB"/>
    <w:rsid w:val="0038336C"/>
    <w:rsid w:val="00384F90"/>
    <w:rsid w:val="00386624"/>
    <w:rsid w:val="00387ECB"/>
    <w:rsid w:val="003903FC"/>
    <w:rsid w:val="00391EE5"/>
    <w:rsid w:val="00392947"/>
    <w:rsid w:val="0039347E"/>
    <w:rsid w:val="00394773"/>
    <w:rsid w:val="003954DB"/>
    <w:rsid w:val="00396D04"/>
    <w:rsid w:val="003A1602"/>
    <w:rsid w:val="003A325A"/>
    <w:rsid w:val="003A6810"/>
    <w:rsid w:val="003A6EFA"/>
    <w:rsid w:val="003A70FC"/>
    <w:rsid w:val="003A7696"/>
    <w:rsid w:val="003A7A35"/>
    <w:rsid w:val="003A7AF2"/>
    <w:rsid w:val="003A7E53"/>
    <w:rsid w:val="003B0027"/>
    <w:rsid w:val="003B2E07"/>
    <w:rsid w:val="003B6419"/>
    <w:rsid w:val="003B67CF"/>
    <w:rsid w:val="003C02AB"/>
    <w:rsid w:val="003C1161"/>
    <w:rsid w:val="003C14F4"/>
    <w:rsid w:val="003C2CC4"/>
    <w:rsid w:val="003C3107"/>
    <w:rsid w:val="003C566E"/>
    <w:rsid w:val="003C730E"/>
    <w:rsid w:val="003D1C5A"/>
    <w:rsid w:val="003D2795"/>
    <w:rsid w:val="003D3AE9"/>
    <w:rsid w:val="003D3E59"/>
    <w:rsid w:val="003D4B23"/>
    <w:rsid w:val="003D52B0"/>
    <w:rsid w:val="003D7AEE"/>
    <w:rsid w:val="003E0175"/>
    <w:rsid w:val="003E1B51"/>
    <w:rsid w:val="003E2BA4"/>
    <w:rsid w:val="003E4173"/>
    <w:rsid w:val="003E4E9E"/>
    <w:rsid w:val="003E6A36"/>
    <w:rsid w:val="003E6F7E"/>
    <w:rsid w:val="003F08F1"/>
    <w:rsid w:val="003F0950"/>
    <w:rsid w:val="003F4F8E"/>
    <w:rsid w:val="003F58DD"/>
    <w:rsid w:val="003F67BD"/>
    <w:rsid w:val="003F6F6A"/>
    <w:rsid w:val="003F7A26"/>
    <w:rsid w:val="003F7D91"/>
    <w:rsid w:val="004034A7"/>
    <w:rsid w:val="004050C4"/>
    <w:rsid w:val="00405473"/>
    <w:rsid w:val="00410C89"/>
    <w:rsid w:val="00414931"/>
    <w:rsid w:val="00414B35"/>
    <w:rsid w:val="00414F92"/>
    <w:rsid w:val="004217A4"/>
    <w:rsid w:val="004217F0"/>
    <w:rsid w:val="004227C0"/>
    <w:rsid w:val="00423634"/>
    <w:rsid w:val="00423A59"/>
    <w:rsid w:val="00426B9B"/>
    <w:rsid w:val="0043003F"/>
    <w:rsid w:val="004310DF"/>
    <w:rsid w:val="00431396"/>
    <w:rsid w:val="004325CB"/>
    <w:rsid w:val="004352DD"/>
    <w:rsid w:val="00436B33"/>
    <w:rsid w:val="00436E7E"/>
    <w:rsid w:val="00437253"/>
    <w:rsid w:val="00437CC7"/>
    <w:rsid w:val="00442317"/>
    <w:rsid w:val="00442A83"/>
    <w:rsid w:val="00442C9D"/>
    <w:rsid w:val="00442EB6"/>
    <w:rsid w:val="00445A57"/>
    <w:rsid w:val="00446097"/>
    <w:rsid w:val="00446ABC"/>
    <w:rsid w:val="00450D0E"/>
    <w:rsid w:val="00451963"/>
    <w:rsid w:val="0045285D"/>
    <w:rsid w:val="0045495B"/>
    <w:rsid w:val="00455C43"/>
    <w:rsid w:val="004607BF"/>
    <w:rsid w:val="0046115E"/>
    <w:rsid w:val="00464446"/>
    <w:rsid w:val="004653C7"/>
    <w:rsid w:val="00466943"/>
    <w:rsid w:val="00466B4C"/>
    <w:rsid w:val="00466FA4"/>
    <w:rsid w:val="00467A53"/>
    <w:rsid w:val="004705A6"/>
    <w:rsid w:val="0047173A"/>
    <w:rsid w:val="00472F6D"/>
    <w:rsid w:val="00473963"/>
    <w:rsid w:val="00473B72"/>
    <w:rsid w:val="00476073"/>
    <w:rsid w:val="004769CA"/>
    <w:rsid w:val="00481CB1"/>
    <w:rsid w:val="00487488"/>
    <w:rsid w:val="00487FB8"/>
    <w:rsid w:val="0049219B"/>
    <w:rsid w:val="00492590"/>
    <w:rsid w:val="00492801"/>
    <w:rsid w:val="00492FCD"/>
    <w:rsid w:val="00493974"/>
    <w:rsid w:val="0049418F"/>
    <w:rsid w:val="004955FB"/>
    <w:rsid w:val="00495A34"/>
    <w:rsid w:val="00495FB9"/>
    <w:rsid w:val="00497CBC"/>
    <w:rsid w:val="004A0821"/>
    <w:rsid w:val="004A1D2A"/>
    <w:rsid w:val="004A2789"/>
    <w:rsid w:val="004A28A7"/>
    <w:rsid w:val="004A3FF1"/>
    <w:rsid w:val="004A4E95"/>
    <w:rsid w:val="004B5352"/>
    <w:rsid w:val="004C4CC8"/>
    <w:rsid w:val="004C55DD"/>
    <w:rsid w:val="004D0446"/>
    <w:rsid w:val="004D3036"/>
    <w:rsid w:val="004D3918"/>
    <w:rsid w:val="004D4E51"/>
    <w:rsid w:val="004D5BD1"/>
    <w:rsid w:val="004E01F0"/>
    <w:rsid w:val="004E15CC"/>
    <w:rsid w:val="004F1D45"/>
    <w:rsid w:val="004F392D"/>
    <w:rsid w:val="004F5078"/>
    <w:rsid w:val="004F56B6"/>
    <w:rsid w:val="004F6AA8"/>
    <w:rsid w:val="004F7287"/>
    <w:rsid w:val="0050328D"/>
    <w:rsid w:val="00505D08"/>
    <w:rsid w:val="00507E4F"/>
    <w:rsid w:val="005105B9"/>
    <w:rsid w:val="005125F0"/>
    <w:rsid w:val="005167F1"/>
    <w:rsid w:val="00516C94"/>
    <w:rsid w:val="00520400"/>
    <w:rsid w:val="0052136D"/>
    <w:rsid w:val="005232E6"/>
    <w:rsid w:val="00525395"/>
    <w:rsid w:val="0052775E"/>
    <w:rsid w:val="0053197A"/>
    <w:rsid w:val="00533FA3"/>
    <w:rsid w:val="0053582A"/>
    <w:rsid w:val="005368E3"/>
    <w:rsid w:val="005409DC"/>
    <w:rsid w:val="00540F02"/>
    <w:rsid w:val="0054109A"/>
    <w:rsid w:val="005411D9"/>
    <w:rsid w:val="0054150C"/>
    <w:rsid w:val="005420F2"/>
    <w:rsid w:val="00546115"/>
    <w:rsid w:val="00546665"/>
    <w:rsid w:val="005509CD"/>
    <w:rsid w:val="00550D3B"/>
    <w:rsid w:val="00555470"/>
    <w:rsid w:val="005568DE"/>
    <w:rsid w:val="00560BA5"/>
    <w:rsid w:val="00561B68"/>
    <w:rsid w:val="005624D4"/>
    <w:rsid w:val="005628B6"/>
    <w:rsid w:val="005640D1"/>
    <w:rsid w:val="00564714"/>
    <w:rsid w:val="00565BE7"/>
    <w:rsid w:val="0056624F"/>
    <w:rsid w:val="005722B3"/>
    <w:rsid w:val="00572DE0"/>
    <w:rsid w:val="00573078"/>
    <w:rsid w:val="0057585A"/>
    <w:rsid w:val="00575BA3"/>
    <w:rsid w:val="00577E84"/>
    <w:rsid w:val="00580FA0"/>
    <w:rsid w:val="005848B3"/>
    <w:rsid w:val="00587573"/>
    <w:rsid w:val="00587B02"/>
    <w:rsid w:val="00590F87"/>
    <w:rsid w:val="00592C4A"/>
    <w:rsid w:val="005A0415"/>
    <w:rsid w:val="005A2ACD"/>
    <w:rsid w:val="005A3D9A"/>
    <w:rsid w:val="005A3F03"/>
    <w:rsid w:val="005A6663"/>
    <w:rsid w:val="005A7124"/>
    <w:rsid w:val="005B09AE"/>
    <w:rsid w:val="005B15AD"/>
    <w:rsid w:val="005B2E20"/>
    <w:rsid w:val="005B38A5"/>
    <w:rsid w:val="005B3DB3"/>
    <w:rsid w:val="005B410E"/>
    <w:rsid w:val="005B4933"/>
    <w:rsid w:val="005B4F61"/>
    <w:rsid w:val="005B5381"/>
    <w:rsid w:val="005B6047"/>
    <w:rsid w:val="005B6F8E"/>
    <w:rsid w:val="005B7DE0"/>
    <w:rsid w:val="005C112F"/>
    <w:rsid w:val="005C11C1"/>
    <w:rsid w:val="005C176E"/>
    <w:rsid w:val="005C1C11"/>
    <w:rsid w:val="005C2131"/>
    <w:rsid w:val="005C223E"/>
    <w:rsid w:val="005C3893"/>
    <w:rsid w:val="005C413D"/>
    <w:rsid w:val="005C4A9E"/>
    <w:rsid w:val="005C5103"/>
    <w:rsid w:val="005C658D"/>
    <w:rsid w:val="005C6D10"/>
    <w:rsid w:val="005D0679"/>
    <w:rsid w:val="005D40BA"/>
    <w:rsid w:val="005D5721"/>
    <w:rsid w:val="005D5AF5"/>
    <w:rsid w:val="005D7CB5"/>
    <w:rsid w:val="005E021C"/>
    <w:rsid w:val="005E237C"/>
    <w:rsid w:val="005E2F71"/>
    <w:rsid w:val="005E5805"/>
    <w:rsid w:val="005E77C5"/>
    <w:rsid w:val="005E783D"/>
    <w:rsid w:val="005E7C99"/>
    <w:rsid w:val="005F06C6"/>
    <w:rsid w:val="005F5699"/>
    <w:rsid w:val="005F7717"/>
    <w:rsid w:val="005F7B75"/>
    <w:rsid w:val="005F7F93"/>
    <w:rsid w:val="006001B0"/>
    <w:rsid w:val="006001EE"/>
    <w:rsid w:val="00605042"/>
    <w:rsid w:val="00606E44"/>
    <w:rsid w:val="00607BC1"/>
    <w:rsid w:val="006108E0"/>
    <w:rsid w:val="00611FC4"/>
    <w:rsid w:val="00613FE0"/>
    <w:rsid w:val="006144BA"/>
    <w:rsid w:val="006148AF"/>
    <w:rsid w:val="00615ACA"/>
    <w:rsid w:val="006160CB"/>
    <w:rsid w:val="006176FB"/>
    <w:rsid w:val="00621DE9"/>
    <w:rsid w:val="006236F0"/>
    <w:rsid w:val="006239C9"/>
    <w:rsid w:val="00623FD3"/>
    <w:rsid w:val="0062462D"/>
    <w:rsid w:val="006262E9"/>
    <w:rsid w:val="0062630E"/>
    <w:rsid w:val="006274AD"/>
    <w:rsid w:val="006277A2"/>
    <w:rsid w:val="00627FB0"/>
    <w:rsid w:val="00631C31"/>
    <w:rsid w:val="00632E25"/>
    <w:rsid w:val="0063379B"/>
    <w:rsid w:val="006350FF"/>
    <w:rsid w:val="00637F97"/>
    <w:rsid w:val="00640B26"/>
    <w:rsid w:val="00640C76"/>
    <w:rsid w:val="00645379"/>
    <w:rsid w:val="00645949"/>
    <w:rsid w:val="006462AE"/>
    <w:rsid w:val="006507CD"/>
    <w:rsid w:val="00650921"/>
    <w:rsid w:val="0065298C"/>
    <w:rsid w:val="00652D0A"/>
    <w:rsid w:val="00653DBF"/>
    <w:rsid w:val="00654447"/>
    <w:rsid w:val="00660559"/>
    <w:rsid w:val="00662BB6"/>
    <w:rsid w:val="006637A4"/>
    <w:rsid w:val="006639CE"/>
    <w:rsid w:val="00665EB7"/>
    <w:rsid w:val="00671510"/>
    <w:rsid w:val="00671948"/>
    <w:rsid w:val="00672110"/>
    <w:rsid w:val="00672D9E"/>
    <w:rsid w:val="00673BCB"/>
    <w:rsid w:val="006743E9"/>
    <w:rsid w:val="00674B0A"/>
    <w:rsid w:val="00674D65"/>
    <w:rsid w:val="00675A40"/>
    <w:rsid w:val="00681702"/>
    <w:rsid w:val="00682284"/>
    <w:rsid w:val="006838C8"/>
    <w:rsid w:val="00684B7A"/>
    <w:rsid w:val="00684C21"/>
    <w:rsid w:val="0068589F"/>
    <w:rsid w:val="00685D9C"/>
    <w:rsid w:val="00685FA6"/>
    <w:rsid w:val="0068743C"/>
    <w:rsid w:val="00690251"/>
    <w:rsid w:val="0069134D"/>
    <w:rsid w:val="00692BBE"/>
    <w:rsid w:val="00694AE6"/>
    <w:rsid w:val="00694F24"/>
    <w:rsid w:val="006953EB"/>
    <w:rsid w:val="006954C6"/>
    <w:rsid w:val="00695991"/>
    <w:rsid w:val="0069763E"/>
    <w:rsid w:val="00697F3E"/>
    <w:rsid w:val="006A1001"/>
    <w:rsid w:val="006B1618"/>
    <w:rsid w:val="006B346D"/>
    <w:rsid w:val="006B4FA2"/>
    <w:rsid w:val="006B58E5"/>
    <w:rsid w:val="006C0435"/>
    <w:rsid w:val="006C05C1"/>
    <w:rsid w:val="006C15C7"/>
    <w:rsid w:val="006C1A9F"/>
    <w:rsid w:val="006C3AD1"/>
    <w:rsid w:val="006C65A6"/>
    <w:rsid w:val="006D37AF"/>
    <w:rsid w:val="006D37DF"/>
    <w:rsid w:val="006D51D0"/>
    <w:rsid w:val="006D53C0"/>
    <w:rsid w:val="006D5457"/>
    <w:rsid w:val="006D5961"/>
    <w:rsid w:val="006D7614"/>
    <w:rsid w:val="006E212F"/>
    <w:rsid w:val="006E5067"/>
    <w:rsid w:val="006E564B"/>
    <w:rsid w:val="006E5A29"/>
    <w:rsid w:val="006E7191"/>
    <w:rsid w:val="006E7196"/>
    <w:rsid w:val="006E7384"/>
    <w:rsid w:val="006E74F8"/>
    <w:rsid w:val="006F16C4"/>
    <w:rsid w:val="006F1AD3"/>
    <w:rsid w:val="006F30DF"/>
    <w:rsid w:val="006F37A1"/>
    <w:rsid w:val="006F464F"/>
    <w:rsid w:val="006F52C5"/>
    <w:rsid w:val="006F6515"/>
    <w:rsid w:val="00703577"/>
    <w:rsid w:val="00705201"/>
    <w:rsid w:val="00705625"/>
    <w:rsid w:val="00706988"/>
    <w:rsid w:val="0071171F"/>
    <w:rsid w:val="00711F00"/>
    <w:rsid w:val="00713571"/>
    <w:rsid w:val="00713C74"/>
    <w:rsid w:val="00715DDD"/>
    <w:rsid w:val="00715FA9"/>
    <w:rsid w:val="00716EC7"/>
    <w:rsid w:val="00717ADC"/>
    <w:rsid w:val="0072082B"/>
    <w:rsid w:val="0072144E"/>
    <w:rsid w:val="00722614"/>
    <w:rsid w:val="0072328C"/>
    <w:rsid w:val="0072632A"/>
    <w:rsid w:val="00726A48"/>
    <w:rsid w:val="00727C31"/>
    <w:rsid w:val="007312CA"/>
    <w:rsid w:val="007327D5"/>
    <w:rsid w:val="00732876"/>
    <w:rsid w:val="0073379D"/>
    <w:rsid w:val="00734ABE"/>
    <w:rsid w:val="007357B3"/>
    <w:rsid w:val="00735CA1"/>
    <w:rsid w:val="00735F4E"/>
    <w:rsid w:val="00736EAD"/>
    <w:rsid w:val="0074315D"/>
    <w:rsid w:val="007435F7"/>
    <w:rsid w:val="007449A6"/>
    <w:rsid w:val="00746750"/>
    <w:rsid w:val="00746D61"/>
    <w:rsid w:val="007509EB"/>
    <w:rsid w:val="00750FC5"/>
    <w:rsid w:val="0075209D"/>
    <w:rsid w:val="0075395D"/>
    <w:rsid w:val="00760B80"/>
    <w:rsid w:val="00760DE3"/>
    <w:rsid w:val="00761E83"/>
    <w:rsid w:val="00762878"/>
    <w:rsid w:val="00762922"/>
    <w:rsid w:val="007629C8"/>
    <w:rsid w:val="00762E39"/>
    <w:rsid w:val="007635DF"/>
    <w:rsid w:val="00764972"/>
    <w:rsid w:val="007661CD"/>
    <w:rsid w:val="00770F3B"/>
    <w:rsid w:val="0077327C"/>
    <w:rsid w:val="007734E8"/>
    <w:rsid w:val="007734FC"/>
    <w:rsid w:val="007740F1"/>
    <w:rsid w:val="00776E5E"/>
    <w:rsid w:val="00777322"/>
    <w:rsid w:val="00780883"/>
    <w:rsid w:val="00781C83"/>
    <w:rsid w:val="00782696"/>
    <w:rsid w:val="00782942"/>
    <w:rsid w:val="0078300D"/>
    <w:rsid w:val="00783E64"/>
    <w:rsid w:val="00785DB2"/>
    <w:rsid w:val="0078601B"/>
    <w:rsid w:val="0078625F"/>
    <w:rsid w:val="0078676D"/>
    <w:rsid w:val="00787E5D"/>
    <w:rsid w:val="0079034E"/>
    <w:rsid w:val="00790E83"/>
    <w:rsid w:val="00792116"/>
    <w:rsid w:val="0079681E"/>
    <w:rsid w:val="00797586"/>
    <w:rsid w:val="007A0EB2"/>
    <w:rsid w:val="007A17AD"/>
    <w:rsid w:val="007A212F"/>
    <w:rsid w:val="007A2C04"/>
    <w:rsid w:val="007A36C9"/>
    <w:rsid w:val="007A4B00"/>
    <w:rsid w:val="007B3302"/>
    <w:rsid w:val="007B412F"/>
    <w:rsid w:val="007B41DA"/>
    <w:rsid w:val="007B6BA5"/>
    <w:rsid w:val="007B7426"/>
    <w:rsid w:val="007C1241"/>
    <w:rsid w:val="007C3390"/>
    <w:rsid w:val="007C3FFB"/>
    <w:rsid w:val="007C4F4B"/>
    <w:rsid w:val="007C55BE"/>
    <w:rsid w:val="007C6E2E"/>
    <w:rsid w:val="007C784F"/>
    <w:rsid w:val="007D00CF"/>
    <w:rsid w:val="007D2684"/>
    <w:rsid w:val="007D3F7D"/>
    <w:rsid w:val="007D4357"/>
    <w:rsid w:val="007D564F"/>
    <w:rsid w:val="007E0B2D"/>
    <w:rsid w:val="007E0ED5"/>
    <w:rsid w:val="007E3B72"/>
    <w:rsid w:val="007E41CA"/>
    <w:rsid w:val="007E431C"/>
    <w:rsid w:val="007E4594"/>
    <w:rsid w:val="007E4BBE"/>
    <w:rsid w:val="007E533F"/>
    <w:rsid w:val="007E54C1"/>
    <w:rsid w:val="007E5EA4"/>
    <w:rsid w:val="007F098E"/>
    <w:rsid w:val="007F0F42"/>
    <w:rsid w:val="007F12FC"/>
    <w:rsid w:val="007F167F"/>
    <w:rsid w:val="007F2D0D"/>
    <w:rsid w:val="007F3A2C"/>
    <w:rsid w:val="007F4853"/>
    <w:rsid w:val="007F6611"/>
    <w:rsid w:val="00803534"/>
    <w:rsid w:val="00805B7C"/>
    <w:rsid w:val="00805CC8"/>
    <w:rsid w:val="00806F90"/>
    <w:rsid w:val="0081043C"/>
    <w:rsid w:val="008105B8"/>
    <w:rsid w:val="00810FCA"/>
    <w:rsid w:val="00811D06"/>
    <w:rsid w:val="008123D2"/>
    <w:rsid w:val="00812971"/>
    <w:rsid w:val="00813327"/>
    <w:rsid w:val="008138C5"/>
    <w:rsid w:val="00813EAF"/>
    <w:rsid w:val="008146B2"/>
    <w:rsid w:val="008150AD"/>
    <w:rsid w:val="00816972"/>
    <w:rsid w:val="00816E23"/>
    <w:rsid w:val="00816EE0"/>
    <w:rsid w:val="00817A02"/>
    <w:rsid w:val="00820122"/>
    <w:rsid w:val="00820FB8"/>
    <w:rsid w:val="008216A5"/>
    <w:rsid w:val="00821A8D"/>
    <w:rsid w:val="00821E25"/>
    <w:rsid w:val="008225B5"/>
    <w:rsid w:val="008239DF"/>
    <w:rsid w:val="0082420A"/>
    <w:rsid w:val="008242D7"/>
    <w:rsid w:val="00824565"/>
    <w:rsid w:val="00824C73"/>
    <w:rsid w:val="00824FE2"/>
    <w:rsid w:val="00825659"/>
    <w:rsid w:val="008257B1"/>
    <w:rsid w:val="00825B68"/>
    <w:rsid w:val="008261E4"/>
    <w:rsid w:val="008309E6"/>
    <w:rsid w:val="00830FF4"/>
    <w:rsid w:val="0083185A"/>
    <w:rsid w:val="0083223B"/>
    <w:rsid w:val="00833370"/>
    <w:rsid w:val="00835FBE"/>
    <w:rsid w:val="008379A8"/>
    <w:rsid w:val="0084033C"/>
    <w:rsid w:val="008406D2"/>
    <w:rsid w:val="0084126F"/>
    <w:rsid w:val="00841562"/>
    <w:rsid w:val="00843767"/>
    <w:rsid w:val="00846666"/>
    <w:rsid w:val="00847B18"/>
    <w:rsid w:val="00851F2A"/>
    <w:rsid w:val="00854DFD"/>
    <w:rsid w:val="00856F01"/>
    <w:rsid w:val="00861599"/>
    <w:rsid w:val="008643D8"/>
    <w:rsid w:val="0086457A"/>
    <w:rsid w:val="00864797"/>
    <w:rsid w:val="008655A1"/>
    <w:rsid w:val="008679D9"/>
    <w:rsid w:val="00871051"/>
    <w:rsid w:val="00871506"/>
    <w:rsid w:val="00871750"/>
    <w:rsid w:val="00872A6B"/>
    <w:rsid w:val="00872F86"/>
    <w:rsid w:val="008730D5"/>
    <w:rsid w:val="00873755"/>
    <w:rsid w:val="008747BF"/>
    <w:rsid w:val="00875F71"/>
    <w:rsid w:val="00875FE5"/>
    <w:rsid w:val="00880AF2"/>
    <w:rsid w:val="00883BBF"/>
    <w:rsid w:val="00884FCB"/>
    <w:rsid w:val="0088719B"/>
    <w:rsid w:val="008914CA"/>
    <w:rsid w:val="00891792"/>
    <w:rsid w:val="00891C2B"/>
    <w:rsid w:val="00892B97"/>
    <w:rsid w:val="008930C9"/>
    <w:rsid w:val="00894F53"/>
    <w:rsid w:val="00896597"/>
    <w:rsid w:val="008979B1"/>
    <w:rsid w:val="00897F0A"/>
    <w:rsid w:val="008A00C8"/>
    <w:rsid w:val="008A09B5"/>
    <w:rsid w:val="008A1A24"/>
    <w:rsid w:val="008A1DB2"/>
    <w:rsid w:val="008A3CAD"/>
    <w:rsid w:val="008A6B25"/>
    <w:rsid w:val="008A6C4F"/>
    <w:rsid w:val="008B012F"/>
    <w:rsid w:val="008B2335"/>
    <w:rsid w:val="008B4173"/>
    <w:rsid w:val="008B5946"/>
    <w:rsid w:val="008B629E"/>
    <w:rsid w:val="008C0C32"/>
    <w:rsid w:val="008C0D17"/>
    <w:rsid w:val="008C22CC"/>
    <w:rsid w:val="008C3223"/>
    <w:rsid w:val="008C3294"/>
    <w:rsid w:val="008C4B5A"/>
    <w:rsid w:val="008C4EDC"/>
    <w:rsid w:val="008C6E58"/>
    <w:rsid w:val="008C77CB"/>
    <w:rsid w:val="008D0C03"/>
    <w:rsid w:val="008D1459"/>
    <w:rsid w:val="008D1908"/>
    <w:rsid w:val="008D299D"/>
    <w:rsid w:val="008D2A25"/>
    <w:rsid w:val="008D2A46"/>
    <w:rsid w:val="008D7899"/>
    <w:rsid w:val="008E0678"/>
    <w:rsid w:val="008E0CFD"/>
    <w:rsid w:val="008E1B34"/>
    <w:rsid w:val="008E21C5"/>
    <w:rsid w:val="008E43FD"/>
    <w:rsid w:val="008E4C4F"/>
    <w:rsid w:val="008E5A83"/>
    <w:rsid w:val="008E5FF6"/>
    <w:rsid w:val="008E6067"/>
    <w:rsid w:val="008F0336"/>
    <w:rsid w:val="008F07C3"/>
    <w:rsid w:val="008F0E3C"/>
    <w:rsid w:val="008F16E4"/>
    <w:rsid w:val="008F1FA8"/>
    <w:rsid w:val="008F20F9"/>
    <w:rsid w:val="008F36B8"/>
    <w:rsid w:val="008F3ACA"/>
    <w:rsid w:val="008F6145"/>
    <w:rsid w:val="00900036"/>
    <w:rsid w:val="009002FE"/>
    <w:rsid w:val="00903876"/>
    <w:rsid w:val="009040FE"/>
    <w:rsid w:val="00904773"/>
    <w:rsid w:val="009062A7"/>
    <w:rsid w:val="0090637F"/>
    <w:rsid w:val="00906A26"/>
    <w:rsid w:val="00910F40"/>
    <w:rsid w:val="00912103"/>
    <w:rsid w:val="00912C08"/>
    <w:rsid w:val="00913616"/>
    <w:rsid w:val="0091377B"/>
    <w:rsid w:val="009223CA"/>
    <w:rsid w:val="00923A0E"/>
    <w:rsid w:val="00926998"/>
    <w:rsid w:val="00927397"/>
    <w:rsid w:val="00930548"/>
    <w:rsid w:val="0093334D"/>
    <w:rsid w:val="00933F8A"/>
    <w:rsid w:val="009377CE"/>
    <w:rsid w:val="00937F60"/>
    <w:rsid w:val="0094095A"/>
    <w:rsid w:val="00940F93"/>
    <w:rsid w:val="00941A83"/>
    <w:rsid w:val="00944934"/>
    <w:rsid w:val="00946696"/>
    <w:rsid w:val="00947422"/>
    <w:rsid w:val="00950F17"/>
    <w:rsid w:val="00951EAC"/>
    <w:rsid w:val="0095347F"/>
    <w:rsid w:val="00953725"/>
    <w:rsid w:val="00956845"/>
    <w:rsid w:val="009568BE"/>
    <w:rsid w:val="0096073F"/>
    <w:rsid w:val="00960911"/>
    <w:rsid w:val="00962BBA"/>
    <w:rsid w:val="009633D7"/>
    <w:rsid w:val="009643C0"/>
    <w:rsid w:val="00967F59"/>
    <w:rsid w:val="009701C4"/>
    <w:rsid w:val="00970EA1"/>
    <w:rsid w:val="00970EED"/>
    <w:rsid w:val="00972A48"/>
    <w:rsid w:val="00972C38"/>
    <w:rsid w:val="009735A8"/>
    <w:rsid w:val="00973F26"/>
    <w:rsid w:val="00974EF5"/>
    <w:rsid w:val="009752D6"/>
    <w:rsid w:val="00975CF2"/>
    <w:rsid w:val="009760F3"/>
    <w:rsid w:val="009800FA"/>
    <w:rsid w:val="00980EA8"/>
    <w:rsid w:val="009817F4"/>
    <w:rsid w:val="009873ED"/>
    <w:rsid w:val="009909F5"/>
    <w:rsid w:val="00990C0C"/>
    <w:rsid w:val="00990FCA"/>
    <w:rsid w:val="00993D15"/>
    <w:rsid w:val="0099515D"/>
    <w:rsid w:val="009960E6"/>
    <w:rsid w:val="009A078E"/>
    <w:rsid w:val="009A0E8D"/>
    <w:rsid w:val="009A19F8"/>
    <w:rsid w:val="009A79B7"/>
    <w:rsid w:val="009B0FC5"/>
    <w:rsid w:val="009B16A7"/>
    <w:rsid w:val="009B17A6"/>
    <w:rsid w:val="009B1F40"/>
    <w:rsid w:val="009B26E7"/>
    <w:rsid w:val="009B4C24"/>
    <w:rsid w:val="009B58BD"/>
    <w:rsid w:val="009C02FF"/>
    <w:rsid w:val="009C162C"/>
    <w:rsid w:val="009C2573"/>
    <w:rsid w:val="009C3FF1"/>
    <w:rsid w:val="009C4234"/>
    <w:rsid w:val="009C4FB2"/>
    <w:rsid w:val="009C50D8"/>
    <w:rsid w:val="009C5467"/>
    <w:rsid w:val="009C60EB"/>
    <w:rsid w:val="009C6DFE"/>
    <w:rsid w:val="009D14D6"/>
    <w:rsid w:val="009D1E8D"/>
    <w:rsid w:val="009D4025"/>
    <w:rsid w:val="009E086D"/>
    <w:rsid w:val="009E1818"/>
    <w:rsid w:val="009E1956"/>
    <w:rsid w:val="009E2F54"/>
    <w:rsid w:val="009E7698"/>
    <w:rsid w:val="009E7D26"/>
    <w:rsid w:val="009F03D3"/>
    <w:rsid w:val="009F2AC1"/>
    <w:rsid w:val="009F5182"/>
    <w:rsid w:val="009F7636"/>
    <w:rsid w:val="009F794C"/>
    <w:rsid w:val="00A00A3F"/>
    <w:rsid w:val="00A01489"/>
    <w:rsid w:val="00A017A9"/>
    <w:rsid w:val="00A018AB"/>
    <w:rsid w:val="00A03ED0"/>
    <w:rsid w:val="00A06DB2"/>
    <w:rsid w:val="00A11771"/>
    <w:rsid w:val="00A13A5B"/>
    <w:rsid w:val="00A17E37"/>
    <w:rsid w:val="00A206FC"/>
    <w:rsid w:val="00A230A0"/>
    <w:rsid w:val="00A232DB"/>
    <w:rsid w:val="00A2492D"/>
    <w:rsid w:val="00A26063"/>
    <w:rsid w:val="00A30E5E"/>
    <w:rsid w:val="00A31B81"/>
    <w:rsid w:val="00A338F1"/>
    <w:rsid w:val="00A33C96"/>
    <w:rsid w:val="00A340A3"/>
    <w:rsid w:val="00A343D0"/>
    <w:rsid w:val="00A35E72"/>
    <w:rsid w:val="00A368EC"/>
    <w:rsid w:val="00A377A8"/>
    <w:rsid w:val="00A40053"/>
    <w:rsid w:val="00A41A5C"/>
    <w:rsid w:val="00A42B98"/>
    <w:rsid w:val="00A439ED"/>
    <w:rsid w:val="00A44487"/>
    <w:rsid w:val="00A44615"/>
    <w:rsid w:val="00A447CC"/>
    <w:rsid w:val="00A46BA4"/>
    <w:rsid w:val="00A4728C"/>
    <w:rsid w:val="00A47874"/>
    <w:rsid w:val="00A479F3"/>
    <w:rsid w:val="00A52D60"/>
    <w:rsid w:val="00A52FFA"/>
    <w:rsid w:val="00A647C7"/>
    <w:rsid w:val="00A65032"/>
    <w:rsid w:val="00A66683"/>
    <w:rsid w:val="00A70EA1"/>
    <w:rsid w:val="00A71667"/>
    <w:rsid w:val="00A72C70"/>
    <w:rsid w:val="00A72F22"/>
    <w:rsid w:val="00A7360F"/>
    <w:rsid w:val="00A748A6"/>
    <w:rsid w:val="00A75355"/>
    <w:rsid w:val="00A76648"/>
    <w:rsid w:val="00A769F4"/>
    <w:rsid w:val="00A776B4"/>
    <w:rsid w:val="00A777C5"/>
    <w:rsid w:val="00A777CF"/>
    <w:rsid w:val="00A80107"/>
    <w:rsid w:val="00A81D4E"/>
    <w:rsid w:val="00A83DF0"/>
    <w:rsid w:val="00A85EA0"/>
    <w:rsid w:val="00A9008E"/>
    <w:rsid w:val="00A91A32"/>
    <w:rsid w:val="00A94361"/>
    <w:rsid w:val="00A95FBA"/>
    <w:rsid w:val="00A96BCF"/>
    <w:rsid w:val="00A97E2A"/>
    <w:rsid w:val="00A97F19"/>
    <w:rsid w:val="00AA293C"/>
    <w:rsid w:val="00AA2D0D"/>
    <w:rsid w:val="00AA52A4"/>
    <w:rsid w:val="00AA56FB"/>
    <w:rsid w:val="00AA672A"/>
    <w:rsid w:val="00AA6FA4"/>
    <w:rsid w:val="00AB03E6"/>
    <w:rsid w:val="00AB0648"/>
    <w:rsid w:val="00AB19FA"/>
    <w:rsid w:val="00AB2855"/>
    <w:rsid w:val="00AB2DEE"/>
    <w:rsid w:val="00AB45A3"/>
    <w:rsid w:val="00AB4CA5"/>
    <w:rsid w:val="00AB5490"/>
    <w:rsid w:val="00AB61F5"/>
    <w:rsid w:val="00AB75AC"/>
    <w:rsid w:val="00AB7CFC"/>
    <w:rsid w:val="00AC299B"/>
    <w:rsid w:val="00AC4B52"/>
    <w:rsid w:val="00AC505B"/>
    <w:rsid w:val="00AC62EF"/>
    <w:rsid w:val="00AC6A0A"/>
    <w:rsid w:val="00AD18CA"/>
    <w:rsid w:val="00AD2BFB"/>
    <w:rsid w:val="00AD2DE6"/>
    <w:rsid w:val="00AD46B8"/>
    <w:rsid w:val="00AD6CC2"/>
    <w:rsid w:val="00AE1CFF"/>
    <w:rsid w:val="00AE3A93"/>
    <w:rsid w:val="00AE4730"/>
    <w:rsid w:val="00AE50CE"/>
    <w:rsid w:val="00AE55CB"/>
    <w:rsid w:val="00AE673B"/>
    <w:rsid w:val="00AE768A"/>
    <w:rsid w:val="00AF0BB7"/>
    <w:rsid w:val="00AF1A44"/>
    <w:rsid w:val="00AF3148"/>
    <w:rsid w:val="00AF34D9"/>
    <w:rsid w:val="00AF5CCF"/>
    <w:rsid w:val="00AF7286"/>
    <w:rsid w:val="00B00C5F"/>
    <w:rsid w:val="00B03884"/>
    <w:rsid w:val="00B03AC1"/>
    <w:rsid w:val="00B04543"/>
    <w:rsid w:val="00B066B3"/>
    <w:rsid w:val="00B10640"/>
    <w:rsid w:val="00B10790"/>
    <w:rsid w:val="00B10C00"/>
    <w:rsid w:val="00B1156E"/>
    <w:rsid w:val="00B11BC2"/>
    <w:rsid w:val="00B13E9B"/>
    <w:rsid w:val="00B16852"/>
    <w:rsid w:val="00B16940"/>
    <w:rsid w:val="00B174D5"/>
    <w:rsid w:val="00B2280C"/>
    <w:rsid w:val="00B23D94"/>
    <w:rsid w:val="00B25A5F"/>
    <w:rsid w:val="00B25D3D"/>
    <w:rsid w:val="00B2683D"/>
    <w:rsid w:val="00B27534"/>
    <w:rsid w:val="00B30179"/>
    <w:rsid w:val="00B31D6E"/>
    <w:rsid w:val="00B339A7"/>
    <w:rsid w:val="00B33ABD"/>
    <w:rsid w:val="00B342E5"/>
    <w:rsid w:val="00B37097"/>
    <w:rsid w:val="00B41A37"/>
    <w:rsid w:val="00B41ACB"/>
    <w:rsid w:val="00B42976"/>
    <w:rsid w:val="00B46514"/>
    <w:rsid w:val="00B467BE"/>
    <w:rsid w:val="00B46DF7"/>
    <w:rsid w:val="00B47DB8"/>
    <w:rsid w:val="00B503FD"/>
    <w:rsid w:val="00B5285E"/>
    <w:rsid w:val="00B55522"/>
    <w:rsid w:val="00B56E4A"/>
    <w:rsid w:val="00B56E9C"/>
    <w:rsid w:val="00B60748"/>
    <w:rsid w:val="00B64B1F"/>
    <w:rsid w:val="00B6524C"/>
    <w:rsid w:val="00B653AE"/>
    <w:rsid w:val="00B6553F"/>
    <w:rsid w:val="00B66712"/>
    <w:rsid w:val="00B667F7"/>
    <w:rsid w:val="00B66E5E"/>
    <w:rsid w:val="00B71A60"/>
    <w:rsid w:val="00B724B2"/>
    <w:rsid w:val="00B739B5"/>
    <w:rsid w:val="00B73DC3"/>
    <w:rsid w:val="00B74E29"/>
    <w:rsid w:val="00B76950"/>
    <w:rsid w:val="00B77D05"/>
    <w:rsid w:val="00B81206"/>
    <w:rsid w:val="00B8190A"/>
    <w:rsid w:val="00B81E12"/>
    <w:rsid w:val="00B85301"/>
    <w:rsid w:val="00B85756"/>
    <w:rsid w:val="00B85AF8"/>
    <w:rsid w:val="00B8650D"/>
    <w:rsid w:val="00B86C63"/>
    <w:rsid w:val="00B9067B"/>
    <w:rsid w:val="00B915E0"/>
    <w:rsid w:val="00B928C9"/>
    <w:rsid w:val="00B92AA1"/>
    <w:rsid w:val="00B94491"/>
    <w:rsid w:val="00B95A99"/>
    <w:rsid w:val="00B96623"/>
    <w:rsid w:val="00B968B5"/>
    <w:rsid w:val="00B97074"/>
    <w:rsid w:val="00B9739D"/>
    <w:rsid w:val="00B97AFE"/>
    <w:rsid w:val="00BA0869"/>
    <w:rsid w:val="00BA2235"/>
    <w:rsid w:val="00BA434C"/>
    <w:rsid w:val="00BA48A2"/>
    <w:rsid w:val="00BA5934"/>
    <w:rsid w:val="00BB22D5"/>
    <w:rsid w:val="00BB3305"/>
    <w:rsid w:val="00BB3EAA"/>
    <w:rsid w:val="00BB4D08"/>
    <w:rsid w:val="00BB4F27"/>
    <w:rsid w:val="00BB5667"/>
    <w:rsid w:val="00BB61AC"/>
    <w:rsid w:val="00BB6283"/>
    <w:rsid w:val="00BB7CCB"/>
    <w:rsid w:val="00BC01E3"/>
    <w:rsid w:val="00BC1B65"/>
    <w:rsid w:val="00BC2C23"/>
    <w:rsid w:val="00BC48F3"/>
    <w:rsid w:val="00BC5363"/>
    <w:rsid w:val="00BC6E5E"/>
    <w:rsid w:val="00BC74E9"/>
    <w:rsid w:val="00BC75A3"/>
    <w:rsid w:val="00BD6CE9"/>
    <w:rsid w:val="00BE26B2"/>
    <w:rsid w:val="00BE4F3F"/>
    <w:rsid w:val="00BE62B5"/>
    <w:rsid w:val="00BF0285"/>
    <w:rsid w:val="00BF0311"/>
    <w:rsid w:val="00BF4613"/>
    <w:rsid w:val="00BF5E52"/>
    <w:rsid w:val="00BF61C5"/>
    <w:rsid w:val="00BF68A8"/>
    <w:rsid w:val="00BF7295"/>
    <w:rsid w:val="00BF72FD"/>
    <w:rsid w:val="00C00739"/>
    <w:rsid w:val="00C00847"/>
    <w:rsid w:val="00C01B37"/>
    <w:rsid w:val="00C02E7A"/>
    <w:rsid w:val="00C04639"/>
    <w:rsid w:val="00C05477"/>
    <w:rsid w:val="00C065DB"/>
    <w:rsid w:val="00C11092"/>
    <w:rsid w:val="00C11207"/>
    <w:rsid w:val="00C11547"/>
    <w:rsid w:val="00C11870"/>
    <w:rsid w:val="00C11A03"/>
    <w:rsid w:val="00C13155"/>
    <w:rsid w:val="00C144EC"/>
    <w:rsid w:val="00C14620"/>
    <w:rsid w:val="00C14676"/>
    <w:rsid w:val="00C159F7"/>
    <w:rsid w:val="00C20A72"/>
    <w:rsid w:val="00C2237C"/>
    <w:rsid w:val="00C2284D"/>
    <w:rsid w:val="00C23653"/>
    <w:rsid w:val="00C2473F"/>
    <w:rsid w:val="00C260C1"/>
    <w:rsid w:val="00C33A42"/>
    <w:rsid w:val="00C34104"/>
    <w:rsid w:val="00C34926"/>
    <w:rsid w:val="00C34E86"/>
    <w:rsid w:val="00C418BB"/>
    <w:rsid w:val="00C42190"/>
    <w:rsid w:val="00C42EAF"/>
    <w:rsid w:val="00C44D49"/>
    <w:rsid w:val="00C463DD"/>
    <w:rsid w:val="00C46474"/>
    <w:rsid w:val="00C4724C"/>
    <w:rsid w:val="00C47927"/>
    <w:rsid w:val="00C47BAC"/>
    <w:rsid w:val="00C50356"/>
    <w:rsid w:val="00C50ECF"/>
    <w:rsid w:val="00C53963"/>
    <w:rsid w:val="00C547DD"/>
    <w:rsid w:val="00C55706"/>
    <w:rsid w:val="00C55779"/>
    <w:rsid w:val="00C56114"/>
    <w:rsid w:val="00C57A10"/>
    <w:rsid w:val="00C606D3"/>
    <w:rsid w:val="00C61C48"/>
    <w:rsid w:val="00C629A0"/>
    <w:rsid w:val="00C651DA"/>
    <w:rsid w:val="00C67E9B"/>
    <w:rsid w:val="00C72943"/>
    <w:rsid w:val="00C73736"/>
    <w:rsid w:val="00C745C3"/>
    <w:rsid w:val="00C76890"/>
    <w:rsid w:val="00C7728B"/>
    <w:rsid w:val="00C80234"/>
    <w:rsid w:val="00C803EC"/>
    <w:rsid w:val="00C819E8"/>
    <w:rsid w:val="00C83ED2"/>
    <w:rsid w:val="00C83FCD"/>
    <w:rsid w:val="00C8504E"/>
    <w:rsid w:val="00C85113"/>
    <w:rsid w:val="00C85FE3"/>
    <w:rsid w:val="00C861CA"/>
    <w:rsid w:val="00C87F51"/>
    <w:rsid w:val="00C918F3"/>
    <w:rsid w:val="00C93256"/>
    <w:rsid w:val="00C93408"/>
    <w:rsid w:val="00C94DC9"/>
    <w:rsid w:val="00CA3EFF"/>
    <w:rsid w:val="00CB0E2A"/>
    <w:rsid w:val="00CB171E"/>
    <w:rsid w:val="00CB18DB"/>
    <w:rsid w:val="00CB1D44"/>
    <w:rsid w:val="00CB351A"/>
    <w:rsid w:val="00CB6E28"/>
    <w:rsid w:val="00CC03E1"/>
    <w:rsid w:val="00CC0B9A"/>
    <w:rsid w:val="00CC0BB4"/>
    <w:rsid w:val="00CC241F"/>
    <w:rsid w:val="00CC2C70"/>
    <w:rsid w:val="00CC423A"/>
    <w:rsid w:val="00CD0118"/>
    <w:rsid w:val="00CD475D"/>
    <w:rsid w:val="00CE089B"/>
    <w:rsid w:val="00CE4A8F"/>
    <w:rsid w:val="00CE736B"/>
    <w:rsid w:val="00CF1984"/>
    <w:rsid w:val="00CF2621"/>
    <w:rsid w:val="00CF6824"/>
    <w:rsid w:val="00CF76D6"/>
    <w:rsid w:val="00D01D31"/>
    <w:rsid w:val="00D02C2A"/>
    <w:rsid w:val="00D02F18"/>
    <w:rsid w:val="00D05084"/>
    <w:rsid w:val="00D06AB9"/>
    <w:rsid w:val="00D06B7E"/>
    <w:rsid w:val="00D12158"/>
    <w:rsid w:val="00D12AA9"/>
    <w:rsid w:val="00D1315B"/>
    <w:rsid w:val="00D13268"/>
    <w:rsid w:val="00D13BD5"/>
    <w:rsid w:val="00D141CF"/>
    <w:rsid w:val="00D2031B"/>
    <w:rsid w:val="00D257E7"/>
    <w:rsid w:val="00D25FE2"/>
    <w:rsid w:val="00D2616F"/>
    <w:rsid w:val="00D2637A"/>
    <w:rsid w:val="00D3001F"/>
    <w:rsid w:val="00D30034"/>
    <w:rsid w:val="00D32FFB"/>
    <w:rsid w:val="00D3430C"/>
    <w:rsid w:val="00D35B7F"/>
    <w:rsid w:val="00D35FCA"/>
    <w:rsid w:val="00D43252"/>
    <w:rsid w:val="00D43E06"/>
    <w:rsid w:val="00D46C27"/>
    <w:rsid w:val="00D47EEA"/>
    <w:rsid w:val="00D47F7B"/>
    <w:rsid w:val="00D501D0"/>
    <w:rsid w:val="00D509AE"/>
    <w:rsid w:val="00D51D6E"/>
    <w:rsid w:val="00D52391"/>
    <w:rsid w:val="00D53BAD"/>
    <w:rsid w:val="00D543C9"/>
    <w:rsid w:val="00D56E29"/>
    <w:rsid w:val="00D57E56"/>
    <w:rsid w:val="00D6148A"/>
    <w:rsid w:val="00D62D0F"/>
    <w:rsid w:val="00D70BF9"/>
    <w:rsid w:val="00D7111B"/>
    <w:rsid w:val="00D729E4"/>
    <w:rsid w:val="00D73CB8"/>
    <w:rsid w:val="00D80EDF"/>
    <w:rsid w:val="00D81309"/>
    <w:rsid w:val="00D81DA4"/>
    <w:rsid w:val="00D864CC"/>
    <w:rsid w:val="00D8683C"/>
    <w:rsid w:val="00D872C2"/>
    <w:rsid w:val="00D90F93"/>
    <w:rsid w:val="00D91275"/>
    <w:rsid w:val="00D913B0"/>
    <w:rsid w:val="00D930F9"/>
    <w:rsid w:val="00D94BB8"/>
    <w:rsid w:val="00D94CDD"/>
    <w:rsid w:val="00D95303"/>
    <w:rsid w:val="00D96693"/>
    <w:rsid w:val="00D96E57"/>
    <w:rsid w:val="00D97597"/>
    <w:rsid w:val="00D975A7"/>
    <w:rsid w:val="00D978C6"/>
    <w:rsid w:val="00DA3111"/>
    <w:rsid w:val="00DA3C1C"/>
    <w:rsid w:val="00DA4BBB"/>
    <w:rsid w:val="00DB0C79"/>
    <w:rsid w:val="00DB2CE7"/>
    <w:rsid w:val="00DB37D1"/>
    <w:rsid w:val="00DB5724"/>
    <w:rsid w:val="00DB5B2F"/>
    <w:rsid w:val="00DC04F3"/>
    <w:rsid w:val="00DC0714"/>
    <w:rsid w:val="00DC088A"/>
    <w:rsid w:val="00DC0C80"/>
    <w:rsid w:val="00DC315E"/>
    <w:rsid w:val="00DC3C17"/>
    <w:rsid w:val="00DC3D1B"/>
    <w:rsid w:val="00DC465A"/>
    <w:rsid w:val="00DC6447"/>
    <w:rsid w:val="00DD0B8A"/>
    <w:rsid w:val="00DD0F34"/>
    <w:rsid w:val="00DD2848"/>
    <w:rsid w:val="00DD471E"/>
    <w:rsid w:val="00DD593B"/>
    <w:rsid w:val="00DD7E98"/>
    <w:rsid w:val="00DE1DF6"/>
    <w:rsid w:val="00DE6ABD"/>
    <w:rsid w:val="00DE79A8"/>
    <w:rsid w:val="00DE79F4"/>
    <w:rsid w:val="00DE7F59"/>
    <w:rsid w:val="00DF0799"/>
    <w:rsid w:val="00DF1050"/>
    <w:rsid w:val="00DF4580"/>
    <w:rsid w:val="00DF4EBE"/>
    <w:rsid w:val="00DF528D"/>
    <w:rsid w:val="00DF7B1B"/>
    <w:rsid w:val="00E07CAE"/>
    <w:rsid w:val="00E104C9"/>
    <w:rsid w:val="00E13BC1"/>
    <w:rsid w:val="00E142AF"/>
    <w:rsid w:val="00E14989"/>
    <w:rsid w:val="00E15CC1"/>
    <w:rsid w:val="00E17C73"/>
    <w:rsid w:val="00E209FD"/>
    <w:rsid w:val="00E21400"/>
    <w:rsid w:val="00E25227"/>
    <w:rsid w:val="00E25BEF"/>
    <w:rsid w:val="00E25E54"/>
    <w:rsid w:val="00E27346"/>
    <w:rsid w:val="00E31E79"/>
    <w:rsid w:val="00E32132"/>
    <w:rsid w:val="00E34156"/>
    <w:rsid w:val="00E35AD2"/>
    <w:rsid w:val="00E378E9"/>
    <w:rsid w:val="00E40A07"/>
    <w:rsid w:val="00E41BFE"/>
    <w:rsid w:val="00E4363C"/>
    <w:rsid w:val="00E52AE3"/>
    <w:rsid w:val="00E535BE"/>
    <w:rsid w:val="00E53D02"/>
    <w:rsid w:val="00E54106"/>
    <w:rsid w:val="00E54C96"/>
    <w:rsid w:val="00E55EEB"/>
    <w:rsid w:val="00E6074E"/>
    <w:rsid w:val="00E61088"/>
    <w:rsid w:val="00E632CC"/>
    <w:rsid w:val="00E64123"/>
    <w:rsid w:val="00E65301"/>
    <w:rsid w:val="00E65396"/>
    <w:rsid w:val="00E67325"/>
    <w:rsid w:val="00E67DDB"/>
    <w:rsid w:val="00E71BC8"/>
    <w:rsid w:val="00E7260F"/>
    <w:rsid w:val="00E739E7"/>
    <w:rsid w:val="00E74206"/>
    <w:rsid w:val="00E76342"/>
    <w:rsid w:val="00E77185"/>
    <w:rsid w:val="00E77257"/>
    <w:rsid w:val="00E779FC"/>
    <w:rsid w:val="00E803B0"/>
    <w:rsid w:val="00E82772"/>
    <w:rsid w:val="00E848D3"/>
    <w:rsid w:val="00E849B2"/>
    <w:rsid w:val="00E85728"/>
    <w:rsid w:val="00E86349"/>
    <w:rsid w:val="00E87C4C"/>
    <w:rsid w:val="00E90299"/>
    <w:rsid w:val="00E9205D"/>
    <w:rsid w:val="00E921CF"/>
    <w:rsid w:val="00E925EC"/>
    <w:rsid w:val="00E94466"/>
    <w:rsid w:val="00E96630"/>
    <w:rsid w:val="00E97A5A"/>
    <w:rsid w:val="00EA0822"/>
    <w:rsid w:val="00EA1530"/>
    <w:rsid w:val="00EA1D97"/>
    <w:rsid w:val="00EA21F9"/>
    <w:rsid w:val="00EA31F7"/>
    <w:rsid w:val="00EA727E"/>
    <w:rsid w:val="00EB11F3"/>
    <w:rsid w:val="00EB1879"/>
    <w:rsid w:val="00EB2581"/>
    <w:rsid w:val="00EB3C71"/>
    <w:rsid w:val="00EB4E8F"/>
    <w:rsid w:val="00EB4FBD"/>
    <w:rsid w:val="00EB5373"/>
    <w:rsid w:val="00EB54F2"/>
    <w:rsid w:val="00EC14EF"/>
    <w:rsid w:val="00EC168D"/>
    <w:rsid w:val="00EC4B91"/>
    <w:rsid w:val="00EC71C9"/>
    <w:rsid w:val="00ED00FD"/>
    <w:rsid w:val="00ED16A2"/>
    <w:rsid w:val="00ED3551"/>
    <w:rsid w:val="00ED3880"/>
    <w:rsid w:val="00ED4C4A"/>
    <w:rsid w:val="00ED6970"/>
    <w:rsid w:val="00ED7A2A"/>
    <w:rsid w:val="00ED7E6E"/>
    <w:rsid w:val="00EE37B7"/>
    <w:rsid w:val="00EE5C7E"/>
    <w:rsid w:val="00EE6483"/>
    <w:rsid w:val="00EE6929"/>
    <w:rsid w:val="00EE6B37"/>
    <w:rsid w:val="00EF0235"/>
    <w:rsid w:val="00EF0C54"/>
    <w:rsid w:val="00EF162E"/>
    <w:rsid w:val="00EF1D7A"/>
    <w:rsid w:val="00EF1D7F"/>
    <w:rsid w:val="00EF3514"/>
    <w:rsid w:val="00EF3A25"/>
    <w:rsid w:val="00EF560D"/>
    <w:rsid w:val="00EF5935"/>
    <w:rsid w:val="00F00747"/>
    <w:rsid w:val="00F01F3B"/>
    <w:rsid w:val="00F03190"/>
    <w:rsid w:val="00F03A99"/>
    <w:rsid w:val="00F0403F"/>
    <w:rsid w:val="00F04475"/>
    <w:rsid w:val="00F04CDE"/>
    <w:rsid w:val="00F075CC"/>
    <w:rsid w:val="00F076FF"/>
    <w:rsid w:val="00F12CAA"/>
    <w:rsid w:val="00F15973"/>
    <w:rsid w:val="00F15DF5"/>
    <w:rsid w:val="00F17BD5"/>
    <w:rsid w:val="00F20C3D"/>
    <w:rsid w:val="00F21FE3"/>
    <w:rsid w:val="00F22E3E"/>
    <w:rsid w:val="00F24F92"/>
    <w:rsid w:val="00F2653D"/>
    <w:rsid w:val="00F3026E"/>
    <w:rsid w:val="00F30DF7"/>
    <w:rsid w:val="00F31056"/>
    <w:rsid w:val="00F31242"/>
    <w:rsid w:val="00F31F11"/>
    <w:rsid w:val="00F32BBF"/>
    <w:rsid w:val="00F339BE"/>
    <w:rsid w:val="00F33B6D"/>
    <w:rsid w:val="00F34D48"/>
    <w:rsid w:val="00F35149"/>
    <w:rsid w:val="00F373CD"/>
    <w:rsid w:val="00F41576"/>
    <w:rsid w:val="00F41B9F"/>
    <w:rsid w:val="00F41F7D"/>
    <w:rsid w:val="00F4204E"/>
    <w:rsid w:val="00F422CA"/>
    <w:rsid w:val="00F43066"/>
    <w:rsid w:val="00F4374D"/>
    <w:rsid w:val="00F43E9E"/>
    <w:rsid w:val="00F44820"/>
    <w:rsid w:val="00F4581C"/>
    <w:rsid w:val="00F45966"/>
    <w:rsid w:val="00F51EF1"/>
    <w:rsid w:val="00F52BE2"/>
    <w:rsid w:val="00F52E59"/>
    <w:rsid w:val="00F53964"/>
    <w:rsid w:val="00F53F5C"/>
    <w:rsid w:val="00F546EA"/>
    <w:rsid w:val="00F55845"/>
    <w:rsid w:val="00F60246"/>
    <w:rsid w:val="00F60C3B"/>
    <w:rsid w:val="00F65B24"/>
    <w:rsid w:val="00F70D25"/>
    <w:rsid w:val="00F70D30"/>
    <w:rsid w:val="00F72A4B"/>
    <w:rsid w:val="00F72D82"/>
    <w:rsid w:val="00F72FB8"/>
    <w:rsid w:val="00F730A1"/>
    <w:rsid w:val="00F748B6"/>
    <w:rsid w:val="00F75D67"/>
    <w:rsid w:val="00F82653"/>
    <w:rsid w:val="00F82F23"/>
    <w:rsid w:val="00F838DC"/>
    <w:rsid w:val="00F8467B"/>
    <w:rsid w:val="00F85733"/>
    <w:rsid w:val="00F86121"/>
    <w:rsid w:val="00F8772A"/>
    <w:rsid w:val="00F9057C"/>
    <w:rsid w:val="00F906D7"/>
    <w:rsid w:val="00F908D7"/>
    <w:rsid w:val="00F90FD3"/>
    <w:rsid w:val="00F93781"/>
    <w:rsid w:val="00F9532C"/>
    <w:rsid w:val="00F9653B"/>
    <w:rsid w:val="00F9682C"/>
    <w:rsid w:val="00F96BA5"/>
    <w:rsid w:val="00FA09F9"/>
    <w:rsid w:val="00FA1718"/>
    <w:rsid w:val="00FA2634"/>
    <w:rsid w:val="00FA5BA0"/>
    <w:rsid w:val="00FB148B"/>
    <w:rsid w:val="00FB2745"/>
    <w:rsid w:val="00FB4522"/>
    <w:rsid w:val="00FB45D9"/>
    <w:rsid w:val="00FB5EB5"/>
    <w:rsid w:val="00FB603B"/>
    <w:rsid w:val="00FB613B"/>
    <w:rsid w:val="00FB78D7"/>
    <w:rsid w:val="00FC0622"/>
    <w:rsid w:val="00FC6401"/>
    <w:rsid w:val="00FC68B7"/>
    <w:rsid w:val="00FD0381"/>
    <w:rsid w:val="00FD0555"/>
    <w:rsid w:val="00FD1D08"/>
    <w:rsid w:val="00FD28AF"/>
    <w:rsid w:val="00FD4F04"/>
    <w:rsid w:val="00FD4FB8"/>
    <w:rsid w:val="00FD61DA"/>
    <w:rsid w:val="00FD71F6"/>
    <w:rsid w:val="00FD7CD0"/>
    <w:rsid w:val="00FE106A"/>
    <w:rsid w:val="00FE2B82"/>
    <w:rsid w:val="00FE41BA"/>
    <w:rsid w:val="00FE5BA0"/>
    <w:rsid w:val="00FF0000"/>
    <w:rsid w:val="00FF30F6"/>
    <w:rsid w:val="00FF4BF4"/>
    <w:rsid w:val="00FF6608"/>
    <w:rsid w:val="00FF66E4"/>
    <w:rsid w:val="00FF6EBB"/>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4B9B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F173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F173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uiPriority w:val="99"/>
    <w:rsid w:val="00A2492D"/>
    <w:rPr>
      <w:sz w:val="24"/>
      <w:szCs w:val="24"/>
    </w:rPr>
  </w:style>
  <w:style w:type="character" w:styleId="Strong">
    <w:name w:val="Strong"/>
    <w:uiPriority w:val="22"/>
    <w:qFormat/>
    <w:rsid w:val="00A2492D"/>
    <w:rPr>
      <w:b/>
      <w:bCs/>
    </w:rPr>
  </w:style>
  <w:style w:type="paragraph" w:customStyle="1" w:styleId="MediumGrid21">
    <w:name w:val="Medium Grid 21"/>
    <w:uiPriority w:val="1"/>
    <w:qFormat/>
    <w:rsid w:val="00C83FCD"/>
    <w:pPr>
      <w:suppressAutoHyphens/>
    </w:pPr>
    <w:rPr>
      <w:lang w:eastAsia="en-US"/>
    </w:rPr>
  </w:style>
  <w:style w:type="paragraph" w:customStyle="1" w:styleId="ColorfulShading-Accent11">
    <w:name w:val="Colorful Shading - Accent 11"/>
    <w:hidden/>
    <w:uiPriority w:val="99"/>
    <w:semiHidden/>
    <w:rsid w:val="00161EEA"/>
    <w:rPr>
      <w:lang w:eastAsia="en-US"/>
    </w:rPr>
  </w:style>
  <w:style w:type="character" w:customStyle="1" w:styleId="hps">
    <w:name w:val="hps"/>
    <w:basedOn w:val="DefaultParagraphFont"/>
    <w:rsid w:val="008F20F9"/>
  </w:style>
  <w:style w:type="paragraph" w:styleId="Revision">
    <w:name w:val="Revision"/>
    <w:hidden/>
    <w:uiPriority w:val="99"/>
    <w:semiHidden/>
    <w:rsid w:val="00F30DF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F173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F173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uiPriority w:val="99"/>
    <w:rsid w:val="00A2492D"/>
    <w:rPr>
      <w:sz w:val="24"/>
      <w:szCs w:val="24"/>
    </w:rPr>
  </w:style>
  <w:style w:type="character" w:styleId="Strong">
    <w:name w:val="Strong"/>
    <w:uiPriority w:val="22"/>
    <w:qFormat/>
    <w:rsid w:val="00A2492D"/>
    <w:rPr>
      <w:b/>
      <w:bCs/>
    </w:rPr>
  </w:style>
  <w:style w:type="paragraph" w:customStyle="1" w:styleId="MediumGrid21">
    <w:name w:val="Medium Grid 21"/>
    <w:uiPriority w:val="1"/>
    <w:qFormat/>
    <w:rsid w:val="00C83FCD"/>
    <w:pPr>
      <w:suppressAutoHyphens/>
    </w:pPr>
    <w:rPr>
      <w:lang w:eastAsia="en-US"/>
    </w:rPr>
  </w:style>
  <w:style w:type="paragraph" w:customStyle="1" w:styleId="ColorfulShading-Accent11">
    <w:name w:val="Colorful Shading - Accent 11"/>
    <w:hidden/>
    <w:uiPriority w:val="99"/>
    <w:semiHidden/>
    <w:rsid w:val="00161EEA"/>
    <w:rPr>
      <w:lang w:eastAsia="en-US"/>
    </w:rPr>
  </w:style>
  <w:style w:type="character" w:customStyle="1" w:styleId="hps">
    <w:name w:val="hps"/>
    <w:basedOn w:val="DefaultParagraphFont"/>
    <w:rsid w:val="008F20F9"/>
  </w:style>
  <w:style w:type="paragraph" w:styleId="Revision">
    <w:name w:val="Revision"/>
    <w:hidden/>
    <w:uiPriority w:val="99"/>
    <w:semiHidden/>
    <w:rsid w:val="00F30D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62222390">
      <w:bodyDiv w:val="1"/>
      <w:marLeft w:val="0"/>
      <w:marRight w:val="0"/>
      <w:marTop w:val="0"/>
      <w:marBottom w:val="0"/>
      <w:divBdr>
        <w:top w:val="none" w:sz="0" w:space="0" w:color="auto"/>
        <w:left w:val="none" w:sz="0" w:space="0" w:color="auto"/>
        <w:bottom w:val="none" w:sz="0" w:space="0" w:color="auto"/>
        <w:right w:val="none" w:sz="0" w:space="0" w:color="auto"/>
      </w:divBdr>
    </w:div>
    <w:div w:id="113716142">
      <w:bodyDiv w:val="1"/>
      <w:marLeft w:val="0"/>
      <w:marRight w:val="0"/>
      <w:marTop w:val="0"/>
      <w:marBottom w:val="0"/>
      <w:divBdr>
        <w:top w:val="none" w:sz="0" w:space="0" w:color="auto"/>
        <w:left w:val="none" w:sz="0" w:space="0" w:color="auto"/>
        <w:bottom w:val="none" w:sz="0" w:space="0" w:color="auto"/>
        <w:right w:val="none" w:sz="0" w:space="0" w:color="auto"/>
      </w:divBdr>
    </w:div>
    <w:div w:id="163126842">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41523022">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958874787">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06462863">
      <w:bodyDiv w:val="1"/>
      <w:marLeft w:val="0"/>
      <w:marRight w:val="0"/>
      <w:marTop w:val="0"/>
      <w:marBottom w:val="0"/>
      <w:divBdr>
        <w:top w:val="none" w:sz="0" w:space="0" w:color="auto"/>
        <w:left w:val="none" w:sz="0" w:space="0" w:color="auto"/>
        <w:bottom w:val="none" w:sz="0" w:space="0" w:color="auto"/>
        <w:right w:val="none" w:sz="0" w:space="0" w:color="auto"/>
      </w:divBdr>
    </w:div>
    <w:div w:id="1173493717">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47073385">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 w:id="1930000497">
      <w:bodyDiv w:val="1"/>
      <w:marLeft w:val="0"/>
      <w:marRight w:val="0"/>
      <w:marTop w:val="0"/>
      <w:marBottom w:val="0"/>
      <w:divBdr>
        <w:top w:val="none" w:sz="0" w:space="0" w:color="auto"/>
        <w:left w:val="none" w:sz="0" w:space="0" w:color="auto"/>
        <w:bottom w:val="none" w:sz="0" w:space="0" w:color="auto"/>
        <w:right w:val="none" w:sz="0" w:space="0" w:color="auto"/>
      </w:divBdr>
      <w:divsChild>
        <w:div w:id="1995646571">
          <w:marLeft w:val="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471558642">
                  <w:marLeft w:val="0"/>
                  <w:marRight w:val="0"/>
                  <w:marTop w:val="0"/>
                  <w:marBottom w:val="0"/>
                  <w:divBdr>
                    <w:top w:val="none" w:sz="0" w:space="0" w:color="auto"/>
                    <w:left w:val="none" w:sz="0" w:space="0" w:color="auto"/>
                    <w:bottom w:val="none" w:sz="0" w:space="0" w:color="auto"/>
                    <w:right w:val="none" w:sz="0" w:space="0" w:color="auto"/>
                  </w:divBdr>
                  <w:divsChild>
                    <w:div w:id="1376276134">
                      <w:marLeft w:val="0"/>
                      <w:marRight w:val="0"/>
                      <w:marTop w:val="0"/>
                      <w:marBottom w:val="0"/>
                      <w:divBdr>
                        <w:top w:val="none" w:sz="0" w:space="0" w:color="auto"/>
                        <w:left w:val="none" w:sz="0" w:space="0" w:color="auto"/>
                        <w:bottom w:val="none" w:sz="0" w:space="0" w:color="auto"/>
                        <w:right w:val="none" w:sz="0" w:space="0" w:color="auto"/>
                      </w:divBdr>
                      <w:divsChild>
                        <w:div w:id="31004152">
                          <w:marLeft w:val="0"/>
                          <w:marRight w:val="0"/>
                          <w:marTop w:val="0"/>
                          <w:marBottom w:val="0"/>
                          <w:divBdr>
                            <w:top w:val="none" w:sz="0" w:space="0" w:color="auto"/>
                            <w:left w:val="none" w:sz="0" w:space="0" w:color="auto"/>
                            <w:bottom w:val="none" w:sz="0" w:space="0" w:color="auto"/>
                            <w:right w:val="none" w:sz="0" w:space="0" w:color="auto"/>
                          </w:divBdr>
                          <w:divsChild>
                            <w:div w:id="638152451">
                              <w:marLeft w:val="0"/>
                              <w:marRight w:val="0"/>
                              <w:marTop w:val="0"/>
                              <w:marBottom w:val="0"/>
                              <w:divBdr>
                                <w:top w:val="none" w:sz="0" w:space="0" w:color="auto"/>
                                <w:left w:val="none" w:sz="0" w:space="0" w:color="auto"/>
                                <w:bottom w:val="none" w:sz="0" w:space="0" w:color="auto"/>
                                <w:right w:val="none" w:sz="0" w:space="0" w:color="auto"/>
                              </w:divBdr>
                              <w:divsChild>
                                <w:div w:id="164903340">
                                  <w:marLeft w:val="0"/>
                                  <w:marRight w:val="0"/>
                                  <w:marTop w:val="0"/>
                                  <w:marBottom w:val="0"/>
                                  <w:divBdr>
                                    <w:top w:val="none" w:sz="0" w:space="0" w:color="auto"/>
                                    <w:left w:val="none" w:sz="0" w:space="0" w:color="auto"/>
                                    <w:bottom w:val="none" w:sz="0" w:space="0" w:color="auto"/>
                                    <w:right w:val="none" w:sz="0" w:space="0" w:color="auto"/>
                                  </w:divBdr>
                                  <w:divsChild>
                                    <w:div w:id="1431509798">
                                      <w:marLeft w:val="0"/>
                                      <w:marRight w:val="0"/>
                                      <w:marTop w:val="0"/>
                                      <w:marBottom w:val="0"/>
                                      <w:divBdr>
                                        <w:top w:val="single" w:sz="6" w:space="0" w:color="DFDFE0"/>
                                        <w:left w:val="single" w:sz="6" w:space="0" w:color="DFDFE0"/>
                                        <w:bottom w:val="none" w:sz="0" w:space="0" w:color="auto"/>
                                        <w:right w:val="single" w:sz="6" w:space="0" w:color="DFDFE0"/>
                                      </w:divBdr>
                                      <w:divsChild>
                                        <w:div w:id="2130394442">
                                          <w:marLeft w:val="0"/>
                                          <w:marRight w:val="0"/>
                                          <w:marTop w:val="0"/>
                                          <w:marBottom w:val="0"/>
                                          <w:divBdr>
                                            <w:top w:val="none" w:sz="0" w:space="0" w:color="auto"/>
                                            <w:left w:val="none" w:sz="0" w:space="0" w:color="auto"/>
                                            <w:bottom w:val="none" w:sz="0" w:space="0" w:color="auto"/>
                                            <w:right w:val="none" w:sz="0" w:space="0" w:color="auto"/>
                                          </w:divBdr>
                                          <w:divsChild>
                                            <w:div w:id="365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2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7527-A056-4C97-BE58-F4FDC1A6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16</Pages>
  <Words>9247</Words>
  <Characters>48025</Characters>
  <Application>Microsoft Office Word</Application>
  <DocSecurity>0</DocSecurity>
  <Lines>706</Lines>
  <Paragraphs>95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1607292</dc:title>
  <dc:subject>CCPR/C/116/D/2129/2012</dc:subject>
  <dc:creator>temp Neogi</dc:creator>
  <cp:keywords/>
  <dc:description/>
  <cp:lastModifiedBy>pdfeng</cp:lastModifiedBy>
  <cp:revision>2</cp:revision>
  <cp:lastPrinted>2016-04-05T08:34:00Z</cp:lastPrinted>
  <dcterms:created xsi:type="dcterms:W3CDTF">2016-05-06T14:32:00Z</dcterms:created>
  <dcterms:modified xsi:type="dcterms:W3CDTF">2016-05-06T14:32:00Z</dcterms:modified>
</cp:coreProperties>
</file>