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3D749D" w:rsidTr="00B6553F">
        <w:trPr>
          <w:cantSplit/>
          <w:trHeight w:hRule="exact" w:val="851"/>
        </w:trPr>
        <w:tc>
          <w:tcPr>
            <w:tcW w:w="1276" w:type="dxa"/>
            <w:tcBorders>
              <w:bottom w:val="single" w:sz="4" w:space="0" w:color="auto"/>
            </w:tcBorders>
            <w:vAlign w:val="bottom"/>
          </w:tcPr>
          <w:p w:rsidR="00B56E9C" w:rsidRPr="003D749D" w:rsidRDefault="00B56E9C" w:rsidP="00B6553F">
            <w:pPr>
              <w:spacing w:after="80"/>
            </w:pPr>
            <w:bookmarkStart w:id="0" w:name="_GoBack"/>
            <w:bookmarkEnd w:id="0"/>
          </w:p>
        </w:tc>
        <w:tc>
          <w:tcPr>
            <w:tcW w:w="2268" w:type="dxa"/>
            <w:tcBorders>
              <w:bottom w:val="single" w:sz="4" w:space="0" w:color="auto"/>
            </w:tcBorders>
            <w:vAlign w:val="bottom"/>
          </w:tcPr>
          <w:p w:rsidR="00B56E9C" w:rsidRPr="003D749D" w:rsidRDefault="00B56E9C" w:rsidP="00B6553F">
            <w:pPr>
              <w:spacing w:after="80" w:line="300" w:lineRule="exact"/>
              <w:rPr>
                <w:b/>
                <w:sz w:val="24"/>
                <w:szCs w:val="24"/>
              </w:rPr>
            </w:pPr>
            <w:r w:rsidRPr="003D749D">
              <w:rPr>
                <w:sz w:val="28"/>
                <w:szCs w:val="28"/>
              </w:rPr>
              <w:t>United Nations</w:t>
            </w:r>
          </w:p>
        </w:tc>
        <w:tc>
          <w:tcPr>
            <w:tcW w:w="6095" w:type="dxa"/>
            <w:gridSpan w:val="2"/>
            <w:tcBorders>
              <w:bottom w:val="single" w:sz="4" w:space="0" w:color="auto"/>
            </w:tcBorders>
            <w:vAlign w:val="bottom"/>
          </w:tcPr>
          <w:p w:rsidR="00B56E9C" w:rsidRPr="003D749D" w:rsidRDefault="008216A5" w:rsidP="00775EFE">
            <w:pPr>
              <w:jc w:val="right"/>
            </w:pPr>
            <w:r w:rsidRPr="003D749D">
              <w:rPr>
                <w:sz w:val="40"/>
              </w:rPr>
              <w:t>CCPR</w:t>
            </w:r>
            <w:r w:rsidRPr="003D749D">
              <w:t>/C/1</w:t>
            </w:r>
            <w:r w:rsidR="00711F00" w:rsidRPr="003D749D">
              <w:t>1</w:t>
            </w:r>
            <w:r w:rsidR="00883BBF" w:rsidRPr="003D749D">
              <w:t>2</w:t>
            </w:r>
            <w:r w:rsidRPr="003D749D">
              <w:t>/D/</w:t>
            </w:r>
            <w:r w:rsidR="003D12CB" w:rsidRPr="003D749D">
              <w:t>2131</w:t>
            </w:r>
            <w:r w:rsidRPr="003D749D">
              <w:t>/</w:t>
            </w:r>
            <w:r w:rsidR="00AE50CE" w:rsidRPr="003D749D">
              <w:t>20</w:t>
            </w:r>
            <w:r w:rsidR="003D12CB" w:rsidRPr="003D749D">
              <w:t>12</w:t>
            </w:r>
          </w:p>
        </w:tc>
      </w:tr>
      <w:tr w:rsidR="00B56E9C" w:rsidRPr="003D749D" w:rsidTr="00B6553F">
        <w:trPr>
          <w:cantSplit/>
          <w:trHeight w:hRule="exact" w:val="2835"/>
        </w:trPr>
        <w:tc>
          <w:tcPr>
            <w:tcW w:w="1276" w:type="dxa"/>
            <w:tcBorders>
              <w:top w:val="single" w:sz="4" w:space="0" w:color="auto"/>
              <w:bottom w:val="single" w:sz="12" w:space="0" w:color="auto"/>
            </w:tcBorders>
          </w:tcPr>
          <w:p w:rsidR="00B56E9C" w:rsidRPr="003D749D" w:rsidRDefault="00B45E70"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5E7783" w:rsidRDefault="00B56E9C" w:rsidP="00267F5F">
            <w:pPr>
              <w:spacing w:before="120" w:line="380" w:lineRule="exact"/>
              <w:rPr>
                <w:b/>
                <w:sz w:val="34"/>
                <w:szCs w:val="40"/>
              </w:rPr>
            </w:pPr>
            <w:r w:rsidRPr="005E7783">
              <w:rPr>
                <w:b/>
                <w:sz w:val="34"/>
                <w:szCs w:val="40"/>
              </w:rPr>
              <w:t xml:space="preserve">International </w:t>
            </w:r>
            <w:r w:rsidR="00060C3A" w:rsidRPr="005E7783">
              <w:rPr>
                <w:b/>
                <w:sz w:val="34"/>
                <w:szCs w:val="40"/>
              </w:rPr>
              <w:t>Covenant on</w:t>
            </w:r>
            <w:r w:rsidR="00060C3A" w:rsidRPr="005E7783">
              <w:rPr>
                <w:b/>
                <w:sz w:val="34"/>
                <w:szCs w:val="40"/>
              </w:rPr>
              <w:br/>
              <w:t>Civil and Political R</w:t>
            </w:r>
            <w:r w:rsidR="00703577" w:rsidRPr="005E7783">
              <w:rPr>
                <w:b/>
                <w:sz w:val="34"/>
                <w:szCs w:val="40"/>
              </w:rPr>
              <w:t>ights</w:t>
            </w:r>
          </w:p>
          <w:p w:rsidR="00581801" w:rsidRPr="005E7783" w:rsidRDefault="00581801" w:rsidP="00267F5F">
            <w:pPr>
              <w:spacing w:before="120" w:line="380" w:lineRule="exact"/>
              <w:rPr>
                <w:sz w:val="34"/>
              </w:rPr>
            </w:pPr>
          </w:p>
        </w:tc>
        <w:tc>
          <w:tcPr>
            <w:tcW w:w="2835" w:type="dxa"/>
            <w:tcBorders>
              <w:top w:val="single" w:sz="4" w:space="0" w:color="auto"/>
              <w:bottom w:val="single" w:sz="12" w:space="0" w:color="auto"/>
            </w:tcBorders>
          </w:tcPr>
          <w:p w:rsidR="00B56E9C" w:rsidRPr="005E7783" w:rsidRDefault="008216A5" w:rsidP="008216A5">
            <w:pPr>
              <w:spacing w:before="240" w:line="240" w:lineRule="exact"/>
            </w:pPr>
            <w:r w:rsidRPr="005E7783">
              <w:t xml:space="preserve">Distr.: </w:t>
            </w:r>
            <w:r w:rsidR="00581801" w:rsidRPr="005E7783">
              <w:t>General</w:t>
            </w:r>
          </w:p>
          <w:p w:rsidR="008216A5" w:rsidRPr="005E7783" w:rsidRDefault="007B2915" w:rsidP="005E7783">
            <w:pPr>
              <w:spacing w:line="240" w:lineRule="exact"/>
            </w:pPr>
            <w:r>
              <w:t>5</w:t>
            </w:r>
            <w:r w:rsidR="000718A7" w:rsidRPr="005E7783">
              <w:t xml:space="preserve"> </w:t>
            </w:r>
            <w:r>
              <w:t>January</w:t>
            </w:r>
            <w:r w:rsidR="00735F4E" w:rsidRPr="005E7783">
              <w:t xml:space="preserve"> </w:t>
            </w:r>
            <w:r w:rsidR="008216A5" w:rsidRPr="005E7783">
              <w:t>201</w:t>
            </w:r>
            <w:r>
              <w:t>5</w:t>
            </w:r>
            <w:r w:rsidR="001E3077" w:rsidRPr="005E7783">
              <w:t xml:space="preserve"> </w:t>
            </w:r>
          </w:p>
          <w:p w:rsidR="008216A5" w:rsidRPr="005E7783" w:rsidRDefault="008216A5" w:rsidP="008216A5">
            <w:pPr>
              <w:spacing w:line="240" w:lineRule="exact"/>
            </w:pPr>
          </w:p>
          <w:p w:rsidR="008216A5" w:rsidRPr="005E7783" w:rsidRDefault="008216A5" w:rsidP="008216A5">
            <w:pPr>
              <w:spacing w:line="240" w:lineRule="exact"/>
            </w:pPr>
            <w:r w:rsidRPr="005E7783">
              <w:t>Original: English</w:t>
            </w:r>
          </w:p>
        </w:tc>
      </w:tr>
    </w:tbl>
    <w:p w:rsidR="008216A5" w:rsidRPr="003D749D" w:rsidRDefault="008216A5" w:rsidP="001A26AE">
      <w:pPr>
        <w:spacing w:before="120"/>
        <w:rPr>
          <w:bCs/>
        </w:rPr>
      </w:pPr>
      <w:r w:rsidRPr="003D749D">
        <w:rPr>
          <w:b/>
          <w:sz w:val="24"/>
          <w:szCs w:val="24"/>
        </w:rPr>
        <w:t>Human Rights Committee</w:t>
      </w:r>
      <w:r w:rsidR="00B45E70">
        <w:rPr>
          <w:bCs/>
          <w:noProof/>
          <w:lang w:eastAsia="zh-CN"/>
        </w:rPr>
        <w:pict>
          <v:shape id="_x0000_s1026" type="#_x0000_t75" style="position:absolute;margin-left:432.25pt;margin-top:632.1pt;width:50.25pt;height:50.25pt;z-index:1;mso-position-horizontal-relative:margin;mso-position-vertical-relative:margin" o:allowoverlap="f">
            <v:imagedata r:id="rId8" o:title="2012&amp;Size=2 &amp;Lang=E"/>
            <w10:wrap anchorx="margin" anchory="margin"/>
          </v:shape>
        </w:pict>
      </w:r>
    </w:p>
    <w:p w:rsidR="003D12CB" w:rsidRPr="003D749D" w:rsidRDefault="003D12CB" w:rsidP="003D12CB">
      <w:pPr>
        <w:pStyle w:val="HChG"/>
      </w:pPr>
      <w:r w:rsidRPr="003D749D">
        <w:tab/>
      </w:r>
      <w:r w:rsidRPr="003D749D">
        <w:tab/>
        <w:t>Communication No. 2131/2012</w:t>
      </w:r>
    </w:p>
    <w:p w:rsidR="00E433FF" w:rsidRPr="003D749D" w:rsidRDefault="00E433FF" w:rsidP="004B1FC2">
      <w:pPr>
        <w:pStyle w:val="H1G"/>
      </w:pPr>
      <w:r w:rsidRPr="003D749D">
        <w:rPr>
          <w:rFonts w:eastAsia="MS Mincho"/>
        </w:rPr>
        <w:tab/>
      </w:r>
      <w:r w:rsidRPr="003D749D">
        <w:rPr>
          <w:rFonts w:eastAsia="MS Mincho"/>
        </w:rPr>
        <w:tab/>
        <w:t>Views adopted by the Committee at its 112th session</w:t>
      </w:r>
      <w:r w:rsidRPr="003D749D">
        <w:rPr>
          <w:rFonts w:eastAsia="MS Mincho"/>
        </w:rPr>
        <w:br/>
        <w:t>(7</w:t>
      </w:r>
      <w:r w:rsidR="004B1FC2">
        <w:rPr>
          <w:rFonts w:eastAsia="MS Mincho"/>
        </w:rPr>
        <w:t>–</w:t>
      </w:r>
      <w:r w:rsidRPr="003D749D">
        <w:rPr>
          <w:rFonts w:eastAsia="MS Mincho"/>
        </w:rPr>
        <w:t>31 October 2014)</w:t>
      </w:r>
    </w:p>
    <w:p w:rsidR="003D12CB" w:rsidRPr="003D749D" w:rsidRDefault="003D12CB" w:rsidP="004B1FC2">
      <w:pPr>
        <w:pStyle w:val="SingleTxtG"/>
        <w:ind w:left="4536" w:hanging="3402"/>
        <w:jc w:val="left"/>
      </w:pPr>
      <w:r w:rsidRPr="003D749D">
        <w:rPr>
          <w:i/>
        </w:rPr>
        <w:t>Submitted by:</w:t>
      </w:r>
      <w:r w:rsidRPr="003D749D">
        <w:tab/>
      </w:r>
      <w:r w:rsidRPr="003D749D">
        <w:rPr>
          <w:rFonts w:eastAsia="Verdana"/>
        </w:rPr>
        <w:t>Viktor Leven</w:t>
      </w:r>
      <w:r w:rsidRPr="003D749D">
        <w:t xml:space="preserve"> </w:t>
      </w:r>
      <w:r w:rsidRPr="003D749D">
        <w:rPr>
          <w:bCs/>
        </w:rPr>
        <w:t>(represented by counsel,</w:t>
      </w:r>
      <w:r w:rsidR="004B1FC2">
        <w:rPr>
          <w:bCs/>
        </w:rPr>
        <w:br/>
      </w:r>
      <w:r w:rsidRPr="003D749D">
        <w:rPr>
          <w:rFonts w:eastAsia="Verdana"/>
        </w:rPr>
        <w:t>Anastasia Miller</w:t>
      </w:r>
      <w:r w:rsidRPr="003D749D">
        <w:rPr>
          <w:bCs/>
        </w:rPr>
        <w:t>)</w:t>
      </w:r>
    </w:p>
    <w:p w:rsidR="003D12CB" w:rsidRPr="003D749D" w:rsidRDefault="003D12CB" w:rsidP="004B1FC2">
      <w:pPr>
        <w:pStyle w:val="SingleTxtG"/>
        <w:ind w:left="4536" w:hanging="3402"/>
        <w:jc w:val="left"/>
      </w:pPr>
      <w:r w:rsidRPr="003D749D">
        <w:rPr>
          <w:i/>
        </w:rPr>
        <w:t>Alleged victim:</w:t>
      </w:r>
      <w:r w:rsidRPr="003D749D">
        <w:tab/>
        <w:t>The author</w:t>
      </w:r>
    </w:p>
    <w:p w:rsidR="003D12CB" w:rsidRPr="003D749D" w:rsidRDefault="003D12CB" w:rsidP="00E433FF">
      <w:pPr>
        <w:pStyle w:val="SingleTxtG"/>
        <w:ind w:left="4536" w:hanging="3402"/>
        <w:jc w:val="left"/>
      </w:pPr>
      <w:r w:rsidRPr="003D749D">
        <w:rPr>
          <w:i/>
        </w:rPr>
        <w:t>State party:</w:t>
      </w:r>
      <w:r w:rsidRPr="003D749D">
        <w:tab/>
        <w:t>Kazakhstan</w:t>
      </w:r>
    </w:p>
    <w:p w:rsidR="003D12CB" w:rsidRPr="003D749D" w:rsidRDefault="003D12CB" w:rsidP="00E433FF">
      <w:pPr>
        <w:pStyle w:val="SingleTxtG"/>
        <w:ind w:left="4536" w:hanging="3402"/>
        <w:jc w:val="left"/>
      </w:pPr>
      <w:r w:rsidRPr="003D749D">
        <w:rPr>
          <w:i/>
        </w:rPr>
        <w:t>Date of communication:</w:t>
      </w:r>
      <w:r w:rsidRPr="003D749D">
        <w:tab/>
        <w:t>19 January 2012 (initial submission)</w:t>
      </w:r>
    </w:p>
    <w:p w:rsidR="003D12CB" w:rsidRPr="003D749D" w:rsidRDefault="003D12CB" w:rsidP="00E433FF">
      <w:pPr>
        <w:pStyle w:val="SingleTxtG"/>
        <w:ind w:left="4536" w:hanging="3402"/>
        <w:jc w:val="left"/>
      </w:pPr>
      <w:r w:rsidRPr="003D749D">
        <w:rPr>
          <w:i/>
        </w:rPr>
        <w:t>Document references:</w:t>
      </w:r>
      <w:r w:rsidRPr="003D749D">
        <w:tab/>
        <w:t>Special Rapporteur’s rule 97 decision, transmitted to the State party on 23 February 2012 (not issued in document form)</w:t>
      </w:r>
    </w:p>
    <w:p w:rsidR="003D12CB" w:rsidRPr="003D749D" w:rsidRDefault="003D12CB" w:rsidP="00AD4663">
      <w:pPr>
        <w:pStyle w:val="SingleTxtG"/>
        <w:ind w:left="4536" w:hanging="3402"/>
        <w:jc w:val="left"/>
        <w:rPr>
          <w:i/>
        </w:rPr>
      </w:pPr>
      <w:r w:rsidRPr="003D749D">
        <w:rPr>
          <w:i/>
        </w:rPr>
        <w:t xml:space="preserve">Date of adoption of </w:t>
      </w:r>
      <w:r w:rsidR="00891D89">
        <w:rPr>
          <w:i/>
        </w:rPr>
        <w:t>Views</w:t>
      </w:r>
      <w:r w:rsidRPr="003D749D">
        <w:rPr>
          <w:i/>
        </w:rPr>
        <w:t>:</w:t>
      </w:r>
      <w:r w:rsidRPr="003D749D">
        <w:tab/>
      </w:r>
      <w:r w:rsidR="00775EFE" w:rsidRPr="000A1497">
        <w:t>21</w:t>
      </w:r>
      <w:r w:rsidRPr="003D749D">
        <w:t xml:space="preserve"> October 2014</w:t>
      </w:r>
    </w:p>
    <w:p w:rsidR="003D12CB" w:rsidRPr="003D749D" w:rsidRDefault="003D12CB" w:rsidP="00E433FF">
      <w:pPr>
        <w:pStyle w:val="SingleTxtG"/>
        <w:ind w:left="4536" w:hanging="3402"/>
        <w:jc w:val="left"/>
      </w:pPr>
      <w:r w:rsidRPr="004E1EB3">
        <w:rPr>
          <w:i/>
        </w:rPr>
        <w:t>Subject matter:</w:t>
      </w:r>
      <w:r w:rsidR="005D1DC8" w:rsidRPr="004E1EB3">
        <w:rPr>
          <w:i/>
        </w:rPr>
        <w:t xml:space="preserve"> </w:t>
      </w:r>
      <w:r w:rsidRPr="004E1EB3">
        <w:rPr>
          <w:i/>
        </w:rPr>
        <w:tab/>
      </w:r>
      <w:r w:rsidRPr="004E1EB3">
        <w:t xml:space="preserve">Conviction </w:t>
      </w:r>
      <w:r w:rsidR="004A4B66">
        <w:t>with</w:t>
      </w:r>
      <w:r w:rsidRPr="004E1EB3">
        <w:t xml:space="preserve"> a fine and expulsio</w:t>
      </w:r>
      <w:r w:rsidRPr="003D749D">
        <w:t>n from the State party</w:t>
      </w:r>
      <w:r w:rsidR="004A4B66">
        <w:t>,</w:t>
      </w:r>
      <w:r w:rsidRPr="003D749D">
        <w:t xml:space="preserve"> of a foreign national</w:t>
      </w:r>
      <w:r w:rsidR="004A4B66">
        <w:t>,</w:t>
      </w:r>
      <w:r w:rsidRPr="003D749D">
        <w:t xml:space="preserve"> for participating in religious ceremonies</w:t>
      </w:r>
    </w:p>
    <w:p w:rsidR="003D12CB" w:rsidRPr="003D749D" w:rsidRDefault="003D12CB" w:rsidP="00E433FF">
      <w:pPr>
        <w:pStyle w:val="SingleTxtG"/>
        <w:ind w:left="4536" w:hanging="3402"/>
        <w:jc w:val="left"/>
      </w:pPr>
      <w:r w:rsidRPr="003D749D">
        <w:rPr>
          <w:i/>
        </w:rPr>
        <w:t xml:space="preserve">Substantive issues: </w:t>
      </w:r>
      <w:r w:rsidRPr="003D749D">
        <w:rPr>
          <w:i/>
        </w:rPr>
        <w:tab/>
      </w:r>
      <w:r w:rsidRPr="003D749D">
        <w:t xml:space="preserve">Freedom of religion, </w:t>
      </w:r>
      <w:r w:rsidR="003036DC">
        <w:t xml:space="preserve"> </w:t>
      </w:r>
      <w:r w:rsidRPr="003D749D">
        <w:t>effective remedy, discrimination</w:t>
      </w:r>
    </w:p>
    <w:p w:rsidR="001E3077" w:rsidRPr="003D749D" w:rsidRDefault="001E3077" w:rsidP="001E3077">
      <w:pPr>
        <w:pStyle w:val="SingleTxtG"/>
        <w:ind w:left="4536" w:hanging="3402"/>
        <w:jc w:val="left"/>
      </w:pPr>
      <w:r w:rsidRPr="003D749D">
        <w:rPr>
          <w:i/>
        </w:rPr>
        <w:t xml:space="preserve">Procedural issues: </w:t>
      </w:r>
      <w:r w:rsidRPr="003D749D">
        <w:rPr>
          <w:i/>
        </w:rPr>
        <w:tab/>
      </w:r>
      <w:r w:rsidRPr="003D749D">
        <w:tab/>
        <w:t>Non-exhaustion</w:t>
      </w:r>
    </w:p>
    <w:p w:rsidR="003D12CB" w:rsidRPr="003D749D" w:rsidRDefault="00EE06D9" w:rsidP="006D629C">
      <w:pPr>
        <w:pStyle w:val="SingleTxtG"/>
        <w:ind w:left="4536" w:hanging="3402"/>
        <w:jc w:val="left"/>
      </w:pPr>
      <w:r w:rsidRPr="003D749D">
        <w:rPr>
          <w:i/>
        </w:rPr>
        <w:t xml:space="preserve">Articles </w:t>
      </w:r>
      <w:r w:rsidR="003D12CB" w:rsidRPr="003D749D">
        <w:rPr>
          <w:i/>
        </w:rPr>
        <w:t>of the Covenant:</w:t>
      </w:r>
      <w:r w:rsidR="003D12CB" w:rsidRPr="003D749D">
        <w:t xml:space="preserve"> </w:t>
      </w:r>
      <w:r w:rsidR="003D12CB" w:rsidRPr="003D749D">
        <w:tab/>
      </w:r>
      <w:r w:rsidRPr="003D749D">
        <w:rPr>
          <w:rFonts w:eastAsia="Verdana"/>
        </w:rPr>
        <w:t xml:space="preserve">18 </w:t>
      </w:r>
      <w:r w:rsidR="00AD4663">
        <w:rPr>
          <w:rFonts w:eastAsia="Verdana"/>
        </w:rPr>
        <w:t>(paras.</w:t>
      </w:r>
      <w:r w:rsidR="00AD4663" w:rsidRPr="003D749D">
        <w:rPr>
          <w:rFonts w:eastAsia="Verdana"/>
        </w:rPr>
        <w:t> </w:t>
      </w:r>
      <w:r w:rsidR="003D12CB" w:rsidRPr="003D749D">
        <w:rPr>
          <w:rFonts w:eastAsia="Verdana"/>
        </w:rPr>
        <w:t>1 and 3</w:t>
      </w:r>
      <w:r w:rsidR="00AD4663">
        <w:rPr>
          <w:rFonts w:eastAsia="Verdana"/>
        </w:rPr>
        <w:t>)</w:t>
      </w:r>
      <w:r w:rsidR="003D12CB" w:rsidRPr="003D749D">
        <w:rPr>
          <w:rFonts w:eastAsia="Verdana"/>
        </w:rPr>
        <w:t xml:space="preserve"> read together with 2</w:t>
      </w:r>
      <w:r w:rsidRPr="003D749D">
        <w:rPr>
          <w:rFonts w:eastAsia="Verdana"/>
        </w:rPr>
        <w:t> </w:t>
      </w:r>
      <w:r w:rsidR="00AD4663">
        <w:rPr>
          <w:rFonts w:eastAsia="Verdana"/>
        </w:rPr>
        <w:t>(para.</w:t>
      </w:r>
      <w:r w:rsidR="00AD4663" w:rsidRPr="003D749D">
        <w:rPr>
          <w:rFonts w:eastAsia="Verdana"/>
        </w:rPr>
        <w:t> </w:t>
      </w:r>
      <w:r w:rsidR="003D12CB" w:rsidRPr="003D749D">
        <w:rPr>
          <w:rFonts w:eastAsia="Verdana"/>
        </w:rPr>
        <w:t>1</w:t>
      </w:r>
      <w:r w:rsidR="00AD4663">
        <w:rPr>
          <w:rFonts w:eastAsia="Verdana"/>
        </w:rPr>
        <w:t>)</w:t>
      </w:r>
      <w:r w:rsidR="003036DC">
        <w:rPr>
          <w:rFonts w:eastAsia="Verdana"/>
        </w:rPr>
        <w:t>;</w:t>
      </w:r>
      <w:r w:rsidR="00AD4663">
        <w:rPr>
          <w:rFonts w:eastAsia="Verdana"/>
        </w:rPr>
        <w:t xml:space="preserve"> and</w:t>
      </w:r>
      <w:r w:rsidR="003D12CB" w:rsidRPr="003D749D">
        <w:rPr>
          <w:rFonts w:eastAsia="Verdana"/>
        </w:rPr>
        <w:t xml:space="preserve"> 26</w:t>
      </w:r>
    </w:p>
    <w:p w:rsidR="003D12CB" w:rsidRPr="003D749D" w:rsidRDefault="00EE06D9" w:rsidP="007F52DD">
      <w:pPr>
        <w:pStyle w:val="SingleTxtG"/>
        <w:ind w:left="4536" w:hanging="3402"/>
        <w:jc w:val="left"/>
      </w:pPr>
      <w:r w:rsidRPr="003D749D">
        <w:rPr>
          <w:i/>
        </w:rPr>
        <w:t xml:space="preserve">Articles </w:t>
      </w:r>
      <w:r w:rsidR="003D12CB" w:rsidRPr="003D749D">
        <w:rPr>
          <w:i/>
        </w:rPr>
        <w:t xml:space="preserve">of the Optional Protocol: </w:t>
      </w:r>
      <w:r w:rsidR="003D12CB" w:rsidRPr="003D749D">
        <w:rPr>
          <w:i/>
        </w:rPr>
        <w:tab/>
      </w:r>
      <w:r w:rsidRPr="003D749D">
        <w:t xml:space="preserve">5 </w:t>
      </w:r>
      <w:r w:rsidR="007F52DD">
        <w:t>(</w:t>
      </w:r>
      <w:r w:rsidR="00F6425C" w:rsidRPr="003D749D">
        <w:t>para</w:t>
      </w:r>
      <w:r w:rsidR="007F52DD">
        <w:t>.</w:t>
      </w:r>
      <w:r w:rsidR="00F6425C" w:rsidRPr="003D749D">
        <w:t> </w:t>
      </w:r>
      <w:r w:rsidR="003D12CB" w:rsidRPr="003D749D">
        <w:t>2 (b)</w:t>
      </w:r>
      <w:r w:rsidR="007F52DD">
        <w:t>)</w:t>
      </w:r>
    </w:p>
    <w:p w:rsidR="003D12CB" w:rsidRPr="003D749D" w:rsidRDefault="003D12CB" w:rsidP="003D12CB">
      <w:pPr>
        <w:pStyle w:val="SingleTxtG"/>
        <w:ind w:left="4536" w:hanging="3402"/>
      </w:pPr>
    </w:p>
    <w:p w:rsidR="003D12CB" w:rsidRPr="003D749D" w:rsidRDefault="003D12CB" w:rsidP="003D12CB">
      <w:pPr>
        <w:pStyle w:val="HChG"/>
        <w:pageBreakBefore/>
      </w:pPr>
      <w:r w:rsidRPr="003D749D">
        <w:lastRenderedPageBreak/>
        <w:t>Annex</w:t>
      </w:r>
    </w:p>
    <w:p w:rsidR="003D12CB" w:rsidRPr="003D749D" w:rsidRDefault="003D12CB" w:rsidP="003D12CB">
      <w:pPr>
        <w:pStyle w:val="HChG"/>
      </w:pPr>
      <w:r w:rsidRPr="003D749D">
        <w:tab/>
      </w:r>
      <w:r w:rsidRPr="003D749D">
        <w:tab/>
        <w:t xml:space="preserve">Views of the Human Rights Committee under </w:t>
      </w:r>
      <w:r w:rsidR="00EE06D9" w:rsidRPr="003D749D">
        <w:t>article </w:t>
      </w:r>
      <w:r w:rsidRPr="003D749D">
        <w:t xml:space="preserve">5, </w:t>
      </w:r>
      <w:r w:rsidR="00F6425C" w:rsidRPr="003D749D">
        <w:t>paragraph </w:t>
      </w:r>
      <w:r w:rsidRPr="003D749D">
        <w:t>4</w:t>
      </w:r>
      <w:r w:rsidR="0042506D">
        <w:t>,</w:t>
      </w:r>
      <w:r w:rsidRPr="003D749D">
        <w:t xml:space="preserve"> of the Optional Protocol to the International Covenant on Civil and Political Rights (112</w:t>
      </w:r>
      <w:r w:rsidRPr="000A1497">
        <w:t>th</w:t>
      </w:r>
      <w:r w:rsidRPr="003D749D">
        <w:t xml:space="preserve"> session)</w:t>
      </w:r>
    </w:p>
    <w:p w:rsidR="003D12CB" w:rsidRPr="003D749D" w:rsidRDefault="003D12CB" w:rsidP="003D12CB">
      <w:pPr>
        <w:pStyle w:val="SingleTxtG"/>
      </w:pPr>
      <w:r w:rsidRPr="003D749D">
        <w:t>concerning</w:t>
      </w:r>
    </w:p>
    <w:p w:rsidR="003D12CB" w:rsidRPr="003D749D" w:rsidRDefault="00EE06D9" w:rsidP="00E433FF">
      <w:pPr>
        <w:pStyle w:val="H1G"/>
        <w:rPr>
          <w:i/>
        </w:rPr>
      </w:pPr>
      <w:r w:rsidRPr="003D749D">
        <w:tab/>
      </w:r>
      <w:r w:rsidRPr="003D749D">
        <w:tab/>
        <w:t>Communication No. </w:t>
      </w:r>
      <w:r w:rsidR="003D12CB" w:rsidRPr="003D749D">
        <w:t>2131/201</w:t>
      </w:r>
      <w:r w:rsidR="000F15B9" w:rsidRPr="003D749D">
        <w:t>2</w:t>
      </w:r>
      <w:r w:rsidR="00E433FF" w:rsidRPr="003D749D">
        <w:rPr>
          <w:rStyle w:val="FootnoteReference"/>
          <w:b w:val="0"/>
          <w:bCs/>
          <w:sz w:val="20"/>
          <w:vertAlign w:val="baseline"/>
        </w:rPr>
        <w:footnoteReference w:customMarkFollows="1" w:id="2"/>
        <w:t>*</w:t>
      </w:r>
    </w:p>
    <w:p w:rsidR="003D12CB" w:rsidRPr="003D749D" w:rsidRDefault="003D12CB" w:rsidP="002D14DA">
      <w:pPr>
        <w:pStyle w:val="SingleTxtG"/>
        <w:ind w:left="4536" w:hanging="3402"/>
        <w:jc w:val="left"/>
      </w:pPr>
      <w:r w:rsidRPr="003D749D">
        <w:rPr>
          <w:i/>
        </w:rPr>
        <w:t>Submitted by:</w:t>
      </w:r>
      <w:r w:rsidRPr="003D749D">
        <w:tab/>
      </w:r>
      <w:r w:rsidRPr="003D749D">
        <w:rPr>
          <w:rFonts w:eastAsia="Verdana"/>
        </w:rPr>
        <w:t>Viktor Leven</w:t>
      </w:r>
      <w:r w:rsidRPr="003D749D">
        <w:t xml:space="preserve"> </w:t>
      </w:r>
      <w:r w:rsidRPr="003D749D">
        <w:rPr>
          <w:bCs/>
        </w:rPr>
        <w:t>(represented by counsel</w:t>
      </w:r>
      <w:r w:rsidR="00E433FF" w:rsidRPr="003D749D">
        <w:rPr>
          <w:bCs/>
        </w:rPr>
        <w:t>,</w:t>
      </w:r>
      <w:r w:rsidR="002D14DA">
        <w:rPr>
          <w:bCs/>
        </w:rPr>
        <w:br/>
      </w:r>
      <w:r w:rsidRPr="003D749D">
        <w:rPr>
          <w:rFonts w:eastAsia="Verdana"/>
        </w:rPr>
        <w:t>Anastasia Miller</w:t>
      </w:r>
      <w:r w:rsidRPr="003D749D">
        <w:rPr>
          <w:bCs/>
        </w:rPr>
        <w:t>)</w:t>
      </w:r>
    </w:p>
    <w:p w:rsidR="003D12CB" w:rsidRPr="003D749D" w:rsidRDefault="003D12CB" w:rsidP="008B3B9F">
      <w:pPr>
        <w:pStyle w:val="SingleTxtG"/>
        <w:ind w:left="4536" w:hanging="3402"/>
        <w:jc w:val="left"/>
      </w:pPr>
      <w:r w:rsidRPr="003D749D">
        <w:rPr>
          <w:i/>
        </w:rPr>
        <w:t>Alleged victim:</w:t>
      </w:r>
      <w:r w:rsidRPr="003D749D">
        <w:tab/>
        <w:t>The author</w:t>
      </w:r>
    </w:p>
    <w:p w:rsidR="003D12CB" w:rsidRPr="003D749D" w:rsidRDefault="003D12CB" w:rsidP="00E433FF">
      <w:pPr>
        <w:pStyle w:val="SingleTxtG"/>
        <w:ind w:left="4536" w:hanging="3402"/>
        <w:jc w:val="left"/>
      </w:pPr>
      <w:r w:rsidRPr="003D749D">
        <w:rPr>
          <w:i/>
        </w:rPr>
        <w:t>State party:</w:t>
      </w:r>
      <w:r w:rsidRPr="003D749D">
        <w:tab/>
        <w:t>Kazakhstan</w:t>
      </w:r>
    </w:p>
    <w:p w:rsidR="003D12CB" w:rsidRPr="003D749D" w:rsidRDefault="003D12CB" w:rsidP="00E433FF">
      <w:pPr>
        <w:pStyle w:val="SingleTxtG"/>
        <w:ind w:left="4536" w:hanging="3402"/>
        <w:jc w:val="left"/>
      </w:pPr>
      <w:r w:rsidRPr="003D749D">
        <w:rPr>
          <w:i/>
        </w:rPr>
        <w:t>Date of communication:</w:t>
      </w:r>
      <w:r w:rsidRPr="003D749D">
        <w:tab/>
        <w:t>19 January 2012 (initial submission)</w:t>
      </w:r>
    </w:p>
    <w:p w:rsidR="003D12CB" w:rsidRPr="003D749D" w:rsidRDefault="003D12CB" w:rsidP="008B3B9F">
      <w:pPr>
        <w:pStyle w:val="SingleTxtG"/>
      </w:pPr>
      <w:r w:rsidRPr="003D749D">
        <w:rPr>
          <w:i/>
        </w:rPr>
        <w:tab/>
        <w:t>The Human Rights Committee</w:t>
      </w:r>
      <w:r w:rsidRPr="003D749D">
        <w:t xml:space="preserve">, established under </w:t>
      </w:r>
      <w:r w:rsidR="00EE06D9" w:rsidRPr="003D749D">
        <w:t>article</w:t>
      </w:r>
      <w:r w:rsidR="008B3B9F">
        <w:t xml:space="preserve"> </w:t>
      </w:r>
      <w:r w:rsidRPr="003D749D">
        <w:t>28 of the International Covenant on Civil and Political Rights,</w:t>
      </w:r>
    </w:p>
    <w:p w:rsidR="003D12CB" w:rsidRPr="003D749D" w:rsidRDefault="003D12CB" w:rsidP="003D12CB">
      <w:pPr>
        <w:pStyle w:val="SingleTxtG"/>
      </w:pPr>
      <w:r w:rsidRPr="003D749D">
        <w:tab/>
      </w:r>
      <w:r w:rsidRPr="003D749D">
        <w:rPr>
          <w:i/>
        </w:rPr>
        <w:t xml:space="preserve">Meeting </w:t>
      </w:r>
      <w:r w:rsidRPr="006E395E">
        <w:rPr>
          <w:iCs/>
        </w:rPr>
        <w:t xml:space="preserve">on </w:t>
      </w:r>
      <w:r w:rsidR="00775EFE" w:rsidRPr="003D749D">
        <w:t>21</w:t>
      </w:r>
      <w:r w:rsidRPr="003D749D">
        <w:t xml:space="preserve"> October 2014,</w:t>
      </w:r>
    </w:p>
    <w:p w:rsidR="003D12CB" w:rsidRPr="003D749D" w:rsidRDefault="003D12CB" w:rsidP="008B3B9F">
      <w:pPr>
        <w:pStyle w:val="SingleTxtG"/>
      </w:pPr>
      <w:r w:rsidRPr="003D749D">
        <w:tab/>
      </w:r>
      <w:r w:rsidRPr="003D749D">
        <w:rPr>
          <w:i/>
        </w:rPr>
        <w:t>Having concluded</w:t>
      </w:r>
      <w:r w:rsidRPr="003D749D">
        <w:t xml:space="preserve"> its con</w:t>
      </w:r>
      <w:r w:rsidR="001A26AE">
        <w:t>sideration of communication No. </w:t>
      </w:r>
      <w:r w:rsidRPr="003D749D">
        <w:t>2131/2012, submitted to th</w:t>
      </w:r>
      <w:r w:rsidR="001A26AE">
        <w:t xml:space="preserve">e Human Rights Committee by </w:t>
      </w:r>
      <w:r w:rsidRPr="003D749D">
        <w:rPr>
          <w:rFonts w:eastAsia="Verdana"/>
        </w:rPr>
        <w:t>Viktor Leven</w:t>
      </w:r>
      <w:r w:rsidRPr="003D749D">
        <w:t xml:space="preserve"> under the Optional Protocol to the International Covenant on Civil and Political Rights,</w:t>
      </w:r>
    </w:p>
    <w:p w:rsidR="003D12CB" w:rsidRPr="003D749D" w:rsidRDefault="003D12CB" w:rsidP="003D12CB">
      <w:pPr>
        <w:pStyle w:val="SingleTxtG"/>
      </w:pPr>
      <w:r w:rsidRPr="003D749D">
        <w:tab/>
      </w:r>
      <w:r w:rsidRPr="003D749D">
        <w:rPr>
          <w:i/>
        </w:rPr>
        <w:t>Having taken into account</w:t>
      </w:r>
      <w:r w:rsidRPr="003D749D">
        <w:t xml:space="preserve"> all written information made available to it by the author of the communication and the State party,</w:t>
      </w:r>
    </w:p>
    <w:p w:rsidR="003D12CB" w:rsidRPr="003D749D" w:rsidRDefault="003D12CB" w:rsidP="003D12CB">
      <w:pPr>
        <w:pStyle w:val="SingleTxtG"/>
      </w:pPr>
      <w:r w:rsidRPr="003D749D">
        <w:tab/>
      </w:r>
      <w:r w:rsidRPr="003D749D">
        <w:rPr>
          <w:i/>
        </w:rPr>
        <w:t xml:space="preserve">Adopts </w:t>
      </w:r>
      <w:r w:rsidRPr="000A1497">
        <w:rPr>
          <w:iCs/>
        </w:rPr>
        <w:t>the following</w:t>
      </w:r>
      <w:r w:rsidRPr="000B64D4">
        <w:rPr>
          <w:iCs/>
        </w:rPr>
        <w:t>:</w:t>
      </w:r>
      <w:r w:rsidR="00836820" w:rsidRPr="003D749D">
        <w:t xml:space="preserve"> </w:t>
      </w:r>
    </w:p>
    <w:p w:rsidR="003D12CB" w:rsidRPr="003D749D" w:rsidRDefault="003D12CB" w:rsidP="00624800">
      <w:pPr>
        <w:pStyle w:val="H1G"/>
      </w:pPr>
      <w:r w:rsidRPr="003D749D">
        <w:tab/>
      </w:r>
      <w:r w:rsidRPr="003D749D">
        <w:tab/>
        <w:t xml:space="preserve">Views </w:t>
      </w:r>
      <w:r w:rsidR="00624800">
        <w:t>under</w:t>
      </w:r>
      <w:r w:rsidRPr="003D749D">
        <w:t xml:space="preserve"> </w:t>
      </w:r>
      <w:r w:rsidR="00EE06D9" w:rsidRPr="003D749D">
        <w:t>article </w:t>
      </w:r>
      <w:r w:rsidRPr="003D749D">
        <w:t xml:space="preserve">5, </w:t>
      </w:r>
      <w:r w:rsidR="00F6425C" w:rsidRPr="003D749D">
        <w:t>paragraph </w:t>
      </w:r>
      <w:r w:rsidRPr="003D749D">
        <w:t>4</w:t>
      </w:r>
      <w:r w:rsidR="00B73C5A">
        <w:t>,</w:t>
      </w:r>
      <w:r w:rsidRPr="003D749D">
        <w:t xml:space="preserve"> of the Optional Protocol </w:t>
      </w:r>
    </w:p>
    <w:p w:rsidR="003D12CB" w:rsidRPr="003D749D" w:rsidRDefault="003D12CB" w:rsidP="006D629C">
      <w:pPr>
        <w:pStyle w:val="SingleTxtG"/>
        <w:rPr>
          <w:rFonts w:eastAsia="Verdana"/>
        </w:rPr>
      </w:pPr>
      <w:r w:rsidRPr="003D749D">
        <w:rPr>
          <w:rFonts w:eastAsia="Verdana"/>
        </w:rPr>
        <w:t>1.</w:t>
      </w:r>
      <w:r w:rsidRPr="003D749D">
        <w:rPr>
          <w:rFonts w:eastAsia="Verdana"/>
        </w:rPr>
        <w:tab/>
        <w:t>The author of the communication</w:t>
      </w:r>
      <w:r w:rsidR="001A26AE">
        <w:rPr>
          <w:rFonts w:eastAsia="Verdana"/>
        </w:rPr>
        <w:t xml:space="preserve">, dated 19 January 2012, is </w:t>
      </w:r>
      <w:r w:rsidRPr="003D749D">
        <w:rPr>
          <w:rFonts w:eastAsia="Verdana"/>
        </w:rPr>
        <w:t>Viktor Yakovlevich Leven, a German citizen born in Kazakhstan on 11 March 1973 and Kazakhstan</w:t>
      </w:r>
      <w:r w:rsidR="0022389B">
        <w:rPr>
          <w:rFonts w:eastAsia="Verdana"/>
        </w:rPr>
        <w:t>-</w:t>
      </w:r>
      <w:r w:rsidRPr="003D749D">
        <w:rPr>
          <w:rFonts w:eastAsia="Verdana"/>
        </w:rPr>
        <w:t xml:space="preserve">resident. The author claims to be a victim of violations by Kazakhstan of his rights under </w:t>
      </w:r>
      <w:r w:rsidR="00EE06D9" w:rsidRPr="003D749D">
        <w:rPr>
          <w:rFonts w:eastAsia="Verdana"/>
        </w:rPr>
        <w:t>article </w:t>
      </w:r>
      <w:r w:rsidR="00F6425C" w:rsidRPr="003D749D">
        <w:rPr>
          <w:rFonts w:eastAsia="Verdana"/>
        </w:rPr>
        <w:t xml:space="preserve">18 </w:t>
      </w:r>
      <w:r w:rsidR="004F6B52">
        <w:rPr>
          <w:rFonts w:eastAsia="Verdana"/>
        </w:rPr>
        <w:t>(</w:t>
      </w:r>
      <w:r w:rsidR="00F6425C" w:rsidRPr="003D749D">
        <w:rPr>
          <w:rFonts w:eastAsia="Verdana"/>
        </w:rPr>
        <w:t>paras</w:t>
      </w:r>
      <w:r w:rsidR="004F6B52">
        <w:rPr>
          <w:rFonts w:eastAsia="Verdana"/>
        </w:rPr>
        <w:t>.</w:t>
      </w:r>
      <w:r w:rsidR="00F6425C" w:rsidRPr="003D749D">
        <w:rPr>
          <w:rFonts w:eastAsia="Verdana"/>
        </w:rPr>
        <w:t> </w:t>
      </w:r>
      <w:r w:rsidRPr="003D749D">
        <w:rPr>
          <w:rFonts w:eastAsia="Verdana"/>
        </w:rPr>
        <w:t>1 and 3</w:t>
      </w:r>
      <w:r w:rsidR="004F6B52">
        <w:rPr>
          <w:rFonts w:eastAsia="Verdana"/>
        </w:rPr>
        <w:t>)</w:t>
      </w:r>
      <w:r w:rsidRPr="003D749D">
        <w:rPr>
          <w:rFonts w:eastAsia="Verdana"/>
        </w:rPr>
        <w:t xml:space="preserve"> read together with </w:t>
      </w:r>
      <w:r w:rsidR="00EE06D9" w:rsidRPr="003D749D">
        <w:rPr>
          <w:rFonts w:eastAsia="Verdana"/>
        </w:rPr>
        <w:t>article</w:t>
      </w:r>
      <w:r w:rsidR="00AD4663">
        <w:rPr>
          <w:rFonts w:eastAsia="Verdana"/>
        </w:rPr>
        <w:t xml:space="preserve"> </w:t>
      </w:r>
      <w:r w:rsidRPr="003D749D">
        <w:rPr>
          <w:rFonts w:eastAsia="Verdana"/>
        </w:rPr>
        <w:t xml:space="preserve">2 </w:t>
      </w:r>
      <w:r w:rsidR="004F6B52">
        <w:rPr>
          <w:rFonts w:eastAsia="Verdana"/>
        </w:rPr>
        <w:t>(</w:t>
      </w:r>
      <w:r w:rsidR="00F6425C" w:rsidRPr="003D749D">
        <w:rPr>
          <w:rFonts w:eastAsia="Verdana"/>
        </w:rPr>
        <w:t>par</w:t>
      </w:r>
      <w:r w:rsidR="00F6425C" w:rsidRPr="006D629C">
        <w:rPr>
          <w:rFonts w:eastAsia="Verdana"/>
        </w:rPr>
        <w:t>a</w:t>
      </w:r>
      <w:r w:rsidR="004F6B52" w:rsidRPr="006D629C">
        <w:rPr>
          <w:rFonts w:eastAsia="Verdana"/>
        </w:rPr>
        <w:t>.</w:t>
      </w:r>
      <w:r w:rsidR="00F6425C" w:rsidRPr="00890DD3">
        <w:rPr>
          <w:rFonts w:eastAsia="Verdana"/>
        </w:rPr>
        <w:t> </w:t>
      </w:r>
      <w:r w:rsidRPr="00D73C39">
        <w:rPr>
          <w:rFonts w:eastAsia="Verdana"/>
        </w:rPr>
        <w:t>1</w:t>
      </w:r>
      <w:r w:rsidR="004F6B52" w:rsidRPr="00D73C39">
        <w:rPr>
          <w:rFonts w:eastAsia="Verdana"/>
        </w:rPr>
        <w:t>)</w:t>
      </w:r>
      <w:r w:rsidRPr="00D73C39">
        <w:rPr>
          <w:rFonts w:eastAsia="Verdana"/>
        </w:rPr>
        <w:t xml:space="preserve">, and </w:t>
      </w:r>
      <w:r w:rsidR="00EE06D9" w:rsidRPr="00D73C39">
        <w:rPr>
          <w:rFonts w:eastAsia="Verdana"/>
        </w:rPr>
        <w:t>arti</w:t>
      </w:r>
      <w:r w:rsidR="00EE06D9" w:rsidRPr="003D749D">
        <w:rPr>
          <w:rFonts w:eastAsia="Verdana"/>
        </w:rPr>
        <w:t>cle</w:t>
      </w:r>
      <w:r w:rsidR="009569E7">
        <w:rPr>
          <w:rFonts w:eastAsia="Verdana"/>
        </w:rPr>
        <w:t xml:space="preserve"> </w:t>
      </w:r>
      <w:r w:rsidRPr="003D749D">
        <w:rPr>
          <w:rFonts w:eastAsia="Verdana"/>
        </w:rPr>
        <w:t>26</w:t>
      </w:r>
      <w:r w:rsidR="00D30296">
        <w:rPr>
          <w:rFonts w:eastAsia="Verdana"/>
        </w:rPr>
        <w:t>,</w:t>
      </w:r>
      <w:r w:rsidRPr="003D749D">
        <w:rPr>
          <w:rFonts w:eastAsia="Verdana"/>
        </w:rPr>
        <w:t xml:space="preserve"> of the International Covenant on Civil and Political Rights.</w:t>
      </w:r>
      <w:r w:rsidRPr="003D749D">
        <w:rPr>
          <w:rStyle w:val="FootnoteReference"/>
          <w:rFonts w:eastAsia="Verdana"/>
        </w:rPr>
        <w:footnoteReference w:id="3"/>
      </w:r>
      <w:r w:rsidRPr="003D749D">
        <w:rPr>
          <w:rFonts w:eastAsia="Verdana"/>
        </w:rPr>
        <w:t xml:space="preserve"> The author is represented by counsel, Anastasia Miller, Head of the Kostanay Branch of the Kazakhstan International Bureau on Human Rights and Rule of Law. </w:t>
      </w:r>
    </w:p>
    <w:p w:rsidR="003D12CB" w:rsidRPr="003D749D" w:rsidRDefault="003D12CB" w:rsidP="003D12CB">
      <w:pPr>
        <w:pStyle w:val="H23G"/>
        <w:rPr>
          <w:rFonts w:eastAsia="Verdana"/>
        </w:rPr>
      </w:pPr>
      <w:r w:rsidRPr="003D749D">
        <w:rPr>
          <w:rFonts w:eastAsia="Verdana"/>
        </w:rPr>
        <w:lastRenderedPageBreak/>
        <w:tab/>
      </w:r>
      <w:r w:rsidRPr="003D749D">
        <w:rPr>
          <w:rFonts w:eastAsia="Verdana"/>
        </w:rPr>
        <w:tab/>
        <w:t xml:space="preserve">The facts as </w:t>
      </w:r>
      <w:r w:rsidR="0042506D">
        <w:rPr>
          <w:rFonts w:eastAsia="Verdana"/>
        </w:rPr>
        <w:t>submitted</w:t>
      </w:r>
      <w:r w:rsidRPr="003D749D">
        <w:rPr>
          <w:rFonts w:eastAsia="Verdana"/>
        </w:rPr>
        <w:t xml:space="preserve"> by the author</w:t>
      </w:r>
    </w:p>
    <w:p w:rsidR="003D12CB" w:rsidRPr="003D749D" w:rsidRDefault="003D12CB" w:rsidP="004E1EB3">
      <w:pPr>
        <w:pStyle w:val="SingleTxtG"/>
        <w:rPr>
          <w:rFonts w:eastAsia="Verdana"/>
        </w:rPr>
      </w:pPr>
      <w:r w:rsidRPr="003D749D">
        <w:rPr>
          <w:rFonts w:eastAsia="Verdana"/>
        </w:rPr>
        <w:t>2.1</w:t>
      </w:r>
      <w:r w:rsidRPr="003D749D">
        <w:rPr>
          <w:rFonts w:eastAsia="Verdana"/>
        </w:rPr>
        <w:tab/>
        <w:t xml:space="preserve">The author is of German ethnicity and since his childhood has been a member of the Evangelist Christian Baptist </w:t>
      </w:r>
      <w:r w:rsidR="00B81BF1">
        <w:rPr>
          <w:rFonts w:eastAsia="Verdana"/>
        </w:rPr>
        <w:t>C</w:t>
      </w:r>
      <w:r w:rsidRPr="003D749D">
        <w:rPr>
          <w:rFonts w:eastAsia="Verdana"/>
        </w:rPr>
        <w:t>hurch</w:t>
      </w:r>
      <w:r w:rsidR="005D1DC8" w:rsidRPr="003D749D">
        <w:rPr>
          <w:rFonts w:eastAsia="Verdana"/>
        </w:rPr>
        <w:t xml:space="preserve"> </w:t>
      </w:r>
      <w:r w:rsidRPr="003D749D">
        <w:rPr>
          <w:rFonts w:eastAsia="Verdana"/>
        </w:rPr>
        <w:t>in Kazakhstan. He was born in Kazakhstan and lived there until 1992</w:t>
      </w:r>
      <w:r w:rsidR="00B81BF1">
        <w:rPr>
          <w:rFonts w:eastAsia="Verdana"/>
        </w:rPr>
        <w:t>,</w:t>
      </w:r>
      <w:r w:rsidRPr="003D749D">
        <w:rPr>
          <w:rFonts w:eastAsia="Verdana"/>
        </w:rPr>
        <w:t xml:space="preserve"> when he moved to Germany and received German citizenship. In </w:t>
      </w:r>
      <w:r w:rsidR="00E13CC2">
        <w:rPr>
          <w:rFonts w:eastAsia="Verdana"/>
        </w:rPr>
        <w:t xml:space="preserve">the year </w:t>
      </w:r>
      <w:r w:rsidRPr="003D749D">
        <w:rPr>
          <w:rFonts w:eastAsia="Verdana"/>
        </w:rPr>
        <w:t xml:space="preserve">2000 he returned to Kazakhstan together with his wife, with the intention </w:t>
      </w:r>
      <w:r w:rsidR="00E13CC2">
        <w:rPr>
          <w:rFonts w:eastAsia="Verdana"/>
        </w:rPr>
        <w:t>of residing</w:t>
      </w:r>
      <w:r w:rsidRPr="003D749D">
        <w:rPr>
          <w:rFonts w:eastAsia="Verdana"/>
        </w:rPr>
        <w:t xml:space="preserve"> there permanently. The couple ha</w:t>
      </w:r>
      <w:r w:rsidR="00E13CC2">
        <w:rPr>
          <w:rFonts w:eastAsia="Verdana"/>
        </w:rPr>
        <w:t>ve</w:t>
      </w:r>
      <w:r w:rsidRPr="003D749D">
        <w:rPr>
          <w:rFonts w:eastAsia="Verdana"/>
        </w:rPr>
        <w:t xml:space="preserve"> seven children, born between 2001 and 2011. After his return he attended the Evangelist Christian Baptist</w:t>
      </w:r>
      <w:r w:rsidR="005D1DC8" w:rsidRPr="003D749D">
        <w:rPr>
          <w:rFonts w:eastAsia="Verdana"/>
        </w:rPr>
        <w:t xml:space="preserve"> </w:t>
      </w:r>
      <w:r w:rsidR="00E13CC2">
        <w:rPr>
          <w:rFonts w:eastAsia="Verdana"/>
        </w:rPr>
        <w:t>C</w:t>
      </w:r>
      <w:r w:rsidRPr="003D749D">
        <w:rPr>
          <w:rFonts w:eastAsia="Verdana"/>
        </w:rPr>
        <w:t xml:space="preserve">hurch in Esil, Akmolin </w:t>
      </w:r>
      <w:r w:rsidR="00E13CC2">
        <w:rPr>
          <w:rFonts w:eastAsia="Verdana"/>
        </w:rPr>
        <w:t>r</w:t>
      </w:r>
      <w:r w:rsidRPr="003D749D">
        <w:rPr>
          <w:rFonts w:eastAsia="Verdana"/>
        </w:rPr>
        <w:t xml:space="preserve">egion, which he </w:t>
      </w:r>
      <w:r w:rsidR="00E13CC2">
        <w:rPr>
          <w:rFonts w:eastAsia="Verdana"/>
        </w:rPr>
        <w:t xml:space="preserve">had </w:t>
      </w:r>
      <w:r w:rsidR="006607B7">
        <w:rPr>
          <w:rFonts w:eastAsia="Verdana"/>
        </w:rPr>
        <w:t xml:space="preserve">also </w:t>
      </w:r>
      <w:r w:rsidR="00E13CC2">
        <w:rPr>
          <w:rFonts w:eastAsia="Verdana"/>
        </w:rPr>
        <w:t>attended</w:t>
      </w:r>
      <w:r w:rsidR="00E13CC2" w:rsidRPr="003D749D">
        <w:rPr>
          <w:rFonts w:eastAsia="Verdana"/>
        </w:rPr>
        <w:t xml:space="preserve"> </w:t>
      </w:r>
      <w:r w:rsidRPr="003D749D">
        <w:rPr>
          <w:rFonts w:eastAsia="Verdana"/>
        </w:rPr>
        <w:t>before his departure for Germany. In 2003</w:t>
      </w:r>
      <w:r w:rsidR="006607B7">
        <w:rPr>
          <w:rFonts w:eastAsia="Verdana"/>
        </w:rPr>
        <w:t>,</w:t>
      </w:r>
      <w:r w:rsidRPr="003D749D">
        <w:rPr>
          <w:rFonts w:eastAsia="Verdana"/>
        </w:rPr>
        <w:t xml:space="preserve"> he received a permanent residence permit as a foreign citizen residing in Kazakhstan. </w:t>
      </w:r>
    </w:p>
    <w:p w:rsidR="00836820" w:rsidRPr="003D749D" w:rsidRDefault="003D12CB" w:rsidP="004E1EB3">
      <w:pPr>
        <w:pStyle w:val="SingleTxtG"/>
        <w:rPr>
          <w:rFonts w:eastAsia="Verdana"/>
        </w:rPr>
      </w:pPr>
      <w:r w:rsidRPr="003D749D">
        <w:rPr>
          <w:rFonts w:eastAsia="Verdana"/>
        </w:rPr>
        <w:t>2.2</w:t>
      </w:r>
      <w:r w:rsidRPr="003D749D">
        <w:rPr>
          <w:rFonts w:eastAsia="Verdana"/>
        </w:rPr>
        <w:tab/>
        <w:t>In 2009, the author applied for Kazakh citizenship</w:t>
      </w:r>
      <w:r w:rsidR="005C03EB">
        <w:rPr>
          <w:rFonts w:eastAsia="Verdana"/>
        </w:rPr>
        <w:t>,</w:t>
      </w:r>
      <w:r w:rsidRPr="003D749D">
        <w:rPr>
          <w:rFonts w:eastAsia="Verdana"/>
        </w:rPr>
        <w:t xml:space="preserve"> and on 3 December 2009 he received permission for release from German citizenship with a view </w:t>
      </w:r>
      <w:r w:rsidR="005C03EB">
        <w:rPr>
          <w:rFonts w:eastAsia="Verdana"/>
        </w:rPr>
        <w:t>to</w:t>
      </w:r>
      <w:r w:rsidRPr="003D749D">
        <w:rPr>
          <w:rFonts w:eastAsia="Verdana"/>
        </w:rPr>
        <w:t xml:space="preserve"> obtaining Kazakh citizenship.</w:t>
      </w:r>
      <w:r w:rsidR="005D1DC8" w:rsidRPr="003D749D">
        <w:rPr>
          <w:rFonts w:eastAsia="Verdana"/>
        </w:rPr>
        <w:t xml:space="preserve"> </w:t>
      </w:r>
      <w:r w:rsidRPr="003D749D">
        <w:rPr>
          <w:rFonts w:eastAsia="Verdana"/>
        </w:rPr>
        <w:t>While he was waiting for his application for ci</w:t>
      </w:r>
      <w:r w:rsidR="00F6425C" w:rsidRPr="003D749D">
        <w:rPr>
          <w:rFonts w:eastAsia="Verdana"/>
        </w:rPr>
        <w:t xml:space="preserve">tizenship to be approved, </w:t>
      </w:r>
      <w:r w:rsidRPr="003D749D">
        <w:rPr>
          <w:rFonts w:eastAsia="Verdana"/>
        </w:rPr>
        <w:t xml:space="preserve">he was convicted </w:t>
      </w:r>
      <w:r w:rsidR="005C03EB">
        <w:rPr>
          <w:rFonts w:eastAsia="Verdana"/>
        </w:rPr>
        <w:t xml:space="preserve">on </w:t>
      </w:r>
      <w:r w:rsidR="005C03EB" w:rsidRPr="003D749D">
        <w:rPr>
          <w:rFonts w:eastAsia="Verdana"/>
        </w:rPr>
        <w:t xml:space="preserve">14 October 2009 </w:t>
      </w:r>
      <w:r w:rsidRPr="003D749D">
        <w:rPr>
          <w:rFonts w:eastAsia="Verdana"/>
        </w:rPr>
        <w:t xml:space="preserve">by Esil District Court of committing an administrative offence under </w:t>
      </w:r>
      <w:r w:rsidR="00EE06D9" w:rsidRPr="003D749D">
        <w:rPr>
          <w:rFonts w:eastAsia="Verdana"/>
        </w:rPr>
        <w:t>article</w:t>
      </w:r>
      <w:r w:rsidR="005C03EB">
        <w:rPr>
          <w:rFonts w:eastAsia="Verdana"/>
        </w:rPr>
        <w:t xml:space="preserve"> </w:t>
      </w:r>
      <w:r w:rsidRPr="003D749D">
        <w:rPr>
          <w:rFonts w:eastAsia="Verdana"/>
        </w:rPr>
        <w:t xml:space="preserve">375 of the Code of </w:t>
      </w:r>
      <w:r w:rsidR="00F6425C" w:rsidRPr="003D749D">
        <w:rPr>
          <w:rFonts w:eastAsia="Verdana"/>
        </w:rPr>
        <w:t>Administrative Violations —</w:t>
      </w:r>
      <w:r w:rsidRPr="003D749D">
        <w:rPr>
          <w:rFonts w:eastAsia="Verdana"/>
        </w:rPr>
        <w:t xml:space="preserve"> conducting missionary activity without registration</w:t>
      </w:r>
      <w:r w:rsidR="00F6425C" w:rsidRPr="003D749D">
        <w:rPr>
          <w:rFonts w:eastAsia="Verdana"/>
        </w:rPr>
        <w:t xml:space="preserve"> —</w:t>
      </w:r>
      <w:r w:rsidRPr="003D749D">
        <w:rPr>
          <w:rFonts w:eastAsia="Verdana"/>
        </w:rPr>
        <w:t xml:space="preserve"> and </w:t>
      </w:r>
      <w:r w:rsidR="005C03EB">
        <w:rPr>
          <w:rFonts w:eastAsia="Verdana"/>
        </w:rPr>
        <w:t xml:space="preserve">was </w:t>
      </w:r>
      <w:r w:rsidRPr="003D749D">
        <w:rPr>
          <w:rFonts w:eastAsia="Verdana"/>
        </w:rPr>
        <w:t>sentenced to a fine of 6</w:t>
      </w:r>
      <w:r w:rsidR="005C03EB">
        <w:rPr>
          <w:rFonts w:eastAsia="Verdana"/>
        </w:rPr>
        <w:t>,</w:t>
      </w:r>
      <w:r w:rsidRPr="003D749D">
        <w:rPr>
          <w:rFonts w:eastAsia="Verdana"/>
        </w:rPr>
        <w:t xml:space="preserve">480 </w:t>
      </w:r>
      <w:r w:rsidR="005C03EB">
        <w:rPr>
          <w:rFonts w:eastAsia="Verdana"/>
        </w:rPr>
        <w:t>t</w:t>
      </w:r>
      <w:r w:rsidRPr="003D749D">
        <w:rPr>
          <w:rFonts w:eastAsia="Verdana"/>
        </w:rPr>
        <w:t xml:space="preserve">enge and to expulsion from Kazakhstan. The Court ruled that, since the author </w:t>
      </w:r>
      <w:r w:rsidR="003C4634">
        <w:rPr>
          <w:rFonts w:eastAsia="Verdana"/>
        </w:rPr>
        <w:t>wa</w:t>
      </w:r>
      <w:r w:rsidRPr="003D749D">
        <w:rPr>
          <w:rFonts w:eastAsia="Verdana"/>
        </w:rPr>
        <w:t xml:space="preserve">s a German citizen, </w:t>
      </w:r>
      <w:r w:rsidR="003C4634">
        <w:rPr>
          <w:rFonts w:eastAsia="Verdana"/>
        </w:rPr>
        <w:t>his</w:t>
      </w:r>
      <w:r w:rsidRPr="003D749D">
        <w:rPr>
          <w:rFonts w:eastAsia="Verdana"/>
        </w:rPr>
        <w:t xml:space="preserve"> activities </w:t>
      </w:r>
      <w:r w:rsidR="00F6425C" w:rsidRPr="003D749D">
        <w:rPr>
          <w:rFonts w:eastAsia="Verdana"/>
        </w:rPr>
        <w:t>—</w:t>
      </w:r>
      <w:r w:rsidRPr="003D749D">
        <w:rPr>
          <w:rFonts w:eastAsia="Verdana"/>
        </w:rPr>
        <w:t xml:space="preserve"> namely repeatedly participating in services in the Evangelist Christian Baptist</w:t>
      </w:r>
      <w:r w:rsidR="005D1DC8" w:rsidRPr="003D749D">
        <w:rPr>
          <w:rFonts w:eastAsia="Verdana"/>
        </w:rPr>
        <w:t xml:space="preserve"> </w:t>
      </w:r>
      <w:r w:rsidR="00E13CC2">
        <w:rPr>
          <w:rFonts w:eastAsia="Verdana"/>
        </w:rPr>
        <w:t>C</w:t>
      </w:r>
      <w:r w:rsidRPr="003D749D">
        <w:rPr>
          <w:rFonts w:eastAsia="Verdana"/>
        </w:rPr>
        <w:t>hurch and re</w:t>
      </w:r>
      <w:r w:rsidR="00F6425C" w:rsidRPr="003D749D">
        <w:rPr>
          <w:rFonts w:eastAsia="Verdana"/>
        </w:rPr>
        <w:t>ading sermons —</w:t>
      </w:r>
      <w:r w:rsidRPr="003D749D">
        <w:rPr>
          <w:rFonts w:eastAsia="Verdana"/>
        </w:rPr>
        <w:t xml:space="preserve"> constitute</w:t>
      </w:r>
      <w:r w:rsidR="003C4634">
        <w:rPr>
          <w:rFonts w:eastAsia="Verdana"/>
        </w:rPr>
        <w:t>d</w:t>
      </w:r>
      <w:r w:rsidRPr="003D749D">
        <w:rPr>
          <w:rFonts w:eastAsia="Verdana"/>
        </w:rPr>
        <w:t xml:space="preserve"> missionary activity under the definition of the Law </w:t>
      </w:r>
      <w:r w:rsidR="003C4634">
        <w:rPr>
          <w:rFonts w:eastAsia="Verdana"/>
        </w:rPr>
        <w:t>o</w:t>
      </w:r>
      <w:r w:rsidRPr="003D749D">
        <w:rPr>
          <w:rFonts w:eastAsia="Verdana"/>
        </w:rPr>
        <w:t>n Freedom of Religion and Religious Unions</w:t>
      </w:r>
      <w:r w:rsidR="00836820" w:rsidRPr="003D749D">
        <w:rPr>
          <w:rFonts w:eastAsia="Verdana"/>
        </w:rPr>
        <w:t>.</w:t>
      </w:r>
      <w:r w:rsidR="009124AA">
        <w:rPr>
          <w:rFonts w:eastAsia="Verdana"/>
        </w:rPr>
        <w:t xml:space="preserve"> </w:t>
      </w:r>
    </w:p>
    <w:p w:rsidR="003D12CB" w:rsidRPr="003D749D" w:rsidRDefault="003D12CB" w:rsidP="004E1EB3">
      <w:pPr>
        <w:pStyle w:val="SingleTxtG"/>
        <w:rPr>
          <w:rFonts w:eastAsia="Verdana"/>
        </w:rPr>
      </w:pPr>
      <w:r w:rsidRPr="003D749D">
        <w:rPr>
          <w:rFonts w:eastAsia="Verdana"/>
        </w:rPr>
        <w:t>2.3</w:t>
      </w:r>
      <w:r w:rsidRPr="003D749D">
        <w:rPr>
          <w:rFonts w:eastAsia="Verdana"/>
        </w:rPr>
        <w:tab/>
        <w:t>During the court hearing</w:t>
      </w:r>
      <w:r w:rsidR="006F2FE4">
        <w:rPr>
          <w:rFonts w:eastAsia="Verdana"/>
        </w:rPr>
        <w:t>,</w:t>
      </w:r>
      <w:r w:rsidRPr="003D749D">
        <w:rPr>
          <w:rFonts w:eastAsia="Verdana"/>
        </w:rPr>
        <w:t xml:space="preserve"> the author was unrepresented. After his conviction he retained a lawyer, who, on an unspecified date, appealed his conviction. In the appeal</w:t>
      </w:r>
      <w:r w:rsidR="006F2FE4">
        <w:rPr>
          <w:rFonts w:eastAsia="Verdana"/>
        </w:rPr>
        <w:t>,</w:t>
      </w:r>
      <w:r w:rsidRPr="003D749D">
        <w:rPr>
          <w:rFonts w:eastAsia="Verdana"/>
        </w:rPr>
        <w:t xml:space="preserve"> the author claimed that he was not conducting missionary activity but </w:t>
      </w:r>
      <w:r w:rsidR="006F2FE4">
        <w:rPr>
          <w:rFonts w:eastAsia="Verdana"/>
        </w:rPr>
        <w:t>was simply participating</w:t>
      </w:r>
      <w:r w:rsidRPr="003D749D">
        <w:rPr>
          <w:rFonts w:eastAsia="Verdana"/>
        </w:rPr>
        <w:t xml:space="preserve"> in the church services</w:t>
      </w:r>
      <w:r w:rsidR="006F2FE4">
        <w:rPr>
          <w:rFonts w:eastAsia="Verdana"/>
        </w:rPr>
        <w:t>,</w:t>
      </w:r>
      <w:r w:rsidRPr="003D749D">
        <w:rPr>
          <w:rFonts w:eastAsia="Verdana"/>
        </w:rPr>
        <w:t xml:space="preserve"> and that even if he </w:t>
      </w:r>
      <w:r w:rsidR="006F2FE4">
        <w:rPr>
          <w:rFonts w:eastAsia="Verdana"/>
        </w:rPr>
        <w:t xml:space="preserve">had </w:t>
      </w:r>
      <w:r w:rsidRPr="003D749D">
        <w:rPr>
          <w:rFonts w:eastAsia="Verdana"/>
        </w:rPr>
        <w:t>wanted to register as a foreign missionary that would have been impossible, since he had no accreditation from any church or organization outside of Kazakhstan. On 2 November 2009, Akmolin Regional Court overturned the first instance decision, stating that the author’s activities</w:t>
      </w:r>
      <w:r w:rsidR="000A1246" w:rsidRPr="003D749D">
        <w:rPr>
          <w:rFonts w:eastAsia="Verdana"/>
        </w:rPr>
        <w:t xml:space="preserve"> — </w:t>
      </w:r>
      <w:r w:rsidRPr="003D749D">
        <w:rPr>
          <w:rFonts w:eastAsia="Verdana"/>
        </w:rPr>
        <w:t>namely participating in services and reading from the Bible an</w:t>
      </w:r>
      <w:r w:rsidR="006F54D3" w:rsidRPr="003D749D">
        <w:rPr>
          <w:rFonts w:eastAsia="Verdana"/>
        </w:rPr>
        <w:t>d discussing religious matters —</w:t>
      </w:r>
      <w:r w:rsidRPr="003D749D">
        <w:rPr>
          <w:rFonts w:eastAsia="Verdana"/>
        </w:rPr>
        <w:t xml:space="preserve"> did not correspond to the definition of missionary activity established by the law. </w:t>
      </w:r>
    </w:p>
    <w:p w:rsidR="003D12CB" w:rsidRPr="003D749D" w:rsidRDefault="003D12CB" w:rsidP="00CA4555">
      <w:pPr>
        <w:pStyle w:val="SingleTxtG"/>
        <w:rPr>
          <w:rFonts w:eastAsia="Verdana"/>
        </w:rPr>
      </w:pPr>
      <w:r w:rsidRPr="003D749D">
        <w:rPr>
          <w:rFonts w:eastAsia="Verdana"/>
        </w:rPr>
        <w:t>2.4</w:t>
      </w:r>
      <w:r w:rsidRPr="003D749D">
        <w:rPr>
          <w:rFonts w:eastAsia="Verdana"/>
        </w:rPr>
        <w:tab/>
        <w:t xml:space="preserve"> On 6 November 2009, the District Prosecutor’s </w:t>
      </w:r>
      <w:r w:rsidR="009453D6">
        <w:rPr>
          <w:rFonts w:eastAsia="Verdana"/>
        </w:rPr>
        <w:t>O</w:t>
      </w:r>
      <w:r w:rsidRPr="003D749D">
        <w:rPr>
          <w:rFonts w:eastAsia="Verdana"/>
        </w:rPr>
        <w:t xml:space="preserve">ffice filed a request for a supervisory review of the second instance decision. On 26 November 2009, the Supervisory </w:t>
      </w:r>
      <w:r w:rsidR="00CA4555">
        <w:rPr>
          <w:rFonts w:eastAsia="Verdana"/>
        </w:rPr>
        <w:t>Plenum</w:t>
      </w:r>
      <w:r w:rsidR="00CA4555" w:rsidRPr="003D749D">
        <w:rPr>
          <w:rFonts w:eastAsia="Verdana"/>
        </w:rPr>
        <w:t xml:space="preserve"> </w:t>
      </w:r>
      <w:r w:rsidR="004E1EB3">
        <w:rPr>
          <w:rFonts w:eastAsia="Verdana"/>
        </w:rPr>
        <w:t>of</w:t>
      </w:r>
      <w:r w:rsidRPr="003D749D">
        <w:rPr>
          <w:rFonts w:eastAsia="Verdana"/>
        </w:rPr>
        <w:t xml:space="preserve"> Akmolin Regional Court revoked the second instance decision and confirmed the author’s conviction. On 14 December 2009, the author attempted to overturn the decision by filing an application for supervisory review with the General Prosecutor’s </w:t>
      </w:r>
      <w:r w:rsidR="00134F19">
        <w:rPr>
          <w:rFonts w:eastAsia="Verdana"/>
        </w:rPr>
        <w:t>O</w:t>
      </w:r>
      <w:r w:rsidRPr="003D749D">
        <w:rPr>
          <w:rFonts w:eastAsia="Verdana"/>
        </w:rPr>
        <w:t>ffice, which was rejected on 26 January 2010 with the explanation that there were no grounds to request</w:t>
      </w:r>
      <w:r w:rsidR="00606B30" w:rsidRPr="003D749D">
        <w:rPr>
          <w:rFonts w:eastAsia="Verdana"/>
        </w:rPr>
        <w:t xml:space="preserve"> a supervisory review</w:t>
      </w:r>
      <w:r w:rsidRPr="003D749D">
        <w:rPr>
          <w:rFonts w:eastAsia="Verdana"/>
        </w:rPr>
        <w:t xml:space="preserve">. </w:t>
      </w:r>
    </w:p>
    <w:p w:rsidR="003D12CB" w:rsidRPr="003D749D" w:rsidRDefault="003D12CB" w:rsidP="003D12CB">
      <w:pPr>
        <w:pStyle w:val="SingleTxtG"/>
        <w:rPr>
          <w:rFonts w:eastAsia="Verdana"/>
        </w:rPr>
      </w:pPr>
      <w:r w:rsidRPr="003D749D">
        <w:rPr>
          <w:rFonts w:eastAsia="Verdana"/>
        </w:rPr>
        <w:t>2.5</w:t>
      </w:r>
      <w:r w:rsidRPr="003D749D">
        <w:rPr>
          <w:rFonts w:eastAsia="Verdana"/>
        </w:rPr>
        <w:tab/>
        <w:t>The author submits that his permanent residence permit expired on 5 January 2010 and</w:t>
      </w:r>
      <w:r w:rsidR="000574B4">
        <w:rPr>
          <w:rFonts w:eastAsia="Verdana"/>
        </w:rPr>
        <w:t xml:space="preserve"> that</w:t>
      </w:r>
      <w:r w:rsidRPr="003D749D">
        <w:rPr>
          <w:rFonts w:eastAsia="Verdana"/>
        </w:rPr>
        <w:t xml:space="preserve"> in June 2010 the Kazakh migration police took the document away from him. At the time of submission he was under threat of immediate deportation and being separated from his family. He is denied Kazakh citizenship. The author contends that he has exhausted all available and effective domestic remedies.</w:t>
      </w:r>
    </w:p>
    <w:p w:rsidR="003D12CB" w:rsidRPr="006D629C" w:rsidRDefault="003D12CB" w:rsidP="003D12CB">
      <w:pPr>
        <w:pStyle w:val="H23G"/>
        <w:rPr>
          <w:rFonts w:eastAsia="Verdana"/>
        </w:rPr>
      </w:pPr>
      <w:r w:rsidRPr="003D749D">
        <w:rPr>
          <w:rFonts w:eastAsia="Verdana"/>
        </w:rPr>
        <w:tab/>
      </w:r>
      <w:r w:rsidRPr="003D749D">
        <w:rPr>
          <w:rFonts w:eastAsia="Verdana"/>
        </w:rPr>
        <w:tab/>
      </w:r>
      <w:r w:rsidRPr="006D629C">
        <w:rPr>
          <w:rFonts w:eastAsia="Verdana"/>
        </w:rPr>
        <w:t>The complaint</w:t>
      </w:r>
    </w:p>
    <w:p w:rsidR="003D12CB" w:rsidRPr="003D749D" w:rsidRDefault="006F54D3" w:rsidP="00462A9C">
      <w:pPr>
        <w:pStyle w:val="SingleTxtG"/>
        <w:rPr>
          <w:rFonts w:eastAsia="Verdana"/>
        </w:rPr>
      </w:pPr>
      <w:r w:rsidRPr="006D629C">
        <w:rPr>
          <w:rFonts w:eastAsia="Verdana"/>
        </w:rPr>
        <w:t>3.1</w:t>
      </w:r>
      <w:r w:rsidRPr="006D629C">
        <w:rPr>
          <w:rFonts w:eastAsia="Verdana"/>
        </w:rPr>
        <w:tab/>
      </w:r>
      <w:r w:rsidR="003D12CB" w:rsidRPr="00890DD3">
        <w:rPr>
          <w:rFonts w:eastAsia="Verdana"/>
        </w:rPr>
        <w:t xml:space="preserve">The author submits that Kazakhstan violated his rights under </w:t>
      </w:r>
      <w:r w:rsidR="00EE06D9" w:rsidRPr="00890DD3">
        <w:rPr>
          <w:rFonts w:eastAsia="Verdana"/>
        </w:rPr>
        <w:t>article </w:t>
      </w:r>
      <w:r w:rsidRPr="00D73C39">
        <w:rPr>
          <w:rFonts w:eastAsia="Verdana"/>
        </w:rPr>
        <w:t>18</w:t>
      </w:r>
      <w:r w:rsidR="00E41738" w:rsidRPr="00D73C39">
        <w:rPr>
          <w:rFonts w:eastAsia="Verdana"/>
        </w:rPr>
        <w:t>,</w:t>
      </w:r>
      <w:r w:rsidRPr="00D73C39">
        <w:rPr>
          <w:rFonts w:eastAsia="Verdana"/>
        </w:rPr>
        <w:t xml:space="preserve"> paragraphs </w:t>
      </w:r>
      <w:r w:rsidR="003D12CB" w:rsidRPr="00D73C39">
        <w:rPr>
          <w:rFonts w:eastAsia="Verdana"/>
        </w:rPr>
        <w:t xml:space="preserve">1 and 3, read together with </w:t>
      </w:r>
      <w:r w:rsidR="00EE06D9" w:rsidRPr="00D73C39">
        <w:rPr>
          <w:rFonts w:eastAsia="Verdana"/>
        </w:rPr>
        <w:t>article </w:t>
      </w:r>
      <w:r w:rsidR="003D12CB" w:rsidRPr="00D73C39">
        <w:rPr>
          <w:rFonts w:eastAsia="Verdana"/>
        </w:rPr>
        <w:t xml:space="preserve">2, </w:t>
      </w:r>
      <w:r w:rsidR="00F6425C" w:rsidRPr="00D73C39">
        <w:rPr>
          <w:rFonts w:eastAsia="Verdana"/>
        </w:rPr>
        <w:t>paragraph </w:t>
      </w:r>
      <w:r w:rsidR="003D12CB" w:rsidRPr="00D73C39">
        <w:rPr>
          <w:rFonts w:eastAsia="Verdana"/>
        </w:rPr>
        <w:t>1</w:t>
      </w:r>
      <w:r w:rsidR="00E41738" w:rsidRPr="00D73C39">
        <w:rPr>
          <w:rFonts w:eastAsia="Verdana"/>
        </w:rPr>
        <w:t>,</w:t>
      </w:r>
      <w:r w:rsidR="003D12CB" w:rsidRPr="00D73C39">
        <w:rPr>
          <w:rFonts w:eastAsia="Verdana"/>
        </w:rPr>
        <w:t>of the Covenant,</w:t>
      </w:r>
      <w:r w:rsidR="003D12CB" w:rsidRPr="004E0802">
        <w:rPr>
          <w:rFonts w:eastAsia="Verdana"/>
        </w:rPr>
        <w:t xml:space="preserve"> because he was denied his right to freely manifest his religion in worship, observance and practice in c</w:t>
      </w:r>
      <w:r w:rsidR="003D12CB" w:rsidRPr="003D749D">
        <w:rPr>
          <w:rFonts w:eastAsia="Verdana"/>
        </w:rPr>
        <w:t>ommunity with others. He maintains that he was convicted for reading sermons, pray</w:t>
      </w:r>
      <w:r w:rsidR="00462A9C">
        <w:rPr>
          <w:rFonts w:eastAsia="Verdana"/>
        </w:rPr>
        <w:t>ing,</w:t>
      </w:r>
      <w:r w:rsidR="003D12CB" w:rsidRPr="003D749D">
        <w:rPr>
          <w:rFonts w:eastAsia="Verdana"/>
        </w:rPr>
        <w:t xml:space="preserve"> </w:t>
      </w:r>
      <w:r w:rsidR="00694C6C">
        <w:rPr>
          <w:rFonts w:eastAsia="Verdana"/>
        </w:rPr>
        <w:t xml:space="preserve">and </w:t>
      </w:r>
      <w:r w:rsidR="003D12CB" w:rsidRPr="003D749D">
        <w:rPr>
          <w:rFonts w:eastAsia="Verdana"/>
        </w:rPr>
        <w:t>conducting meetings and rituals among the followers of his religious beliefs</w:t>
      </w:r>
      <w:r w:rsidR="00694C6C">
        <w:rPr>
          <w:rFonts w:eastAsia="Verdana"/>
        </w:rPr>
        <w:t>,</w:t>
      </w:r>
      <w:r w:rsidR="003D12CB" w:rsidRPr="003D749D">
        <w:rPr>
          <w:rFonts w:eastAsia="Verdana"/>
        </w:rPr>
        <w:t xml:space="preserve"> and claims that the State punished him for utili</w:t>
      </w:r>
      <w:r w:rsidR="00694C6C">
        <w:rPr>
          <w:rFonts w:eastAsia="Verdana"/>
        </w:rPr>
        <w:t>z</w:t>
      </w:r>
      <w:r w:rsidR="003D12CB" w:rsidRPr="003D749D">
        <w:rPr>
          <w:rFonts w:eastAsia="Verdana"/>
        </w:rPr>
        <w:t xml:space="preserve">ing his right to freely manifest his religion together with other members of the parish. He submits that limitations </w:t>
      </w:r>
      <w:r w:rsidR="005C0F0A">
        <w:rPr>
          <w:rFonts w:eastAsia="Verdana"/>
        </w:rPr>
        <w:t>on</w:t>
      </w:r>
      <w:r w:rsidR="003D12CB" w:rsidRPr="003D749D">
        <w:rPr>
          <w:rFonts w:eastAsia="Verdana"/>
        </w:rPr>
        <w:t xml:space="preserve"> freedom of religion under </w:t>
      </w:r>
      <w:r w:rsidR="00EE06D9" w:rsidRPr="003D749D">
        <w:rPr>
          <w:rFonts w:eastAsia="Verdana"/>
        </w:rPr>
        <w:t>article </w:t>
      </w:r>
      <w:r w:rsidR="003D12CB" w:rsidRPr="003D749D">
        <w:rPr>
          <w:rFonts w:eastAsia="Verdana"/>
        </w:rPr>
        <w:t xml:space="preserve">18 are legitimate only if established by law and necessary for the protection of public safety, </w:t>
      </w:r>
      <w:r w:rsidR="003D12CB" w:rsidRPr="003D749D">
        <w:rPr>
          <w:rFonts w:eastAsia="Verdana"/>
        </w:rPr>
        <w:lastRenderedPageBreak/>
        <w:t xml:space="preserve">order, health, or morals or the fundamental rights and freedoms of others. He maintains that the State did not justify the limitation </w:t>
      </w:r>
      <w:r w:rsidR="005C0F0A">
        <w:rPr>
          <w:rFonts w:eastAsia="Verdana"/>
        </w:rPr>
        <w:t>on</w:t>
      </w:r>
      <w:r w:rsidR="003D12CB" w:rsidRPr="003D749D">
        <w:rPr>
          <w:rFonts w:eastAsia="Verdana"/>
        </w:rPr>
        <w:t xml:space="preserve"> his freedom of religion, and that the punishment imposed on him for practi</w:t>
      </w:r>
      <w:r w:rsidR="005C0F0A">
        <w:rPr>
          <w:rFonts w:eastAsia="Verdana"/>
        </w:rPr>
        <w:t>s</w:t>
      </w:r>
      <w:r w:rsidR="003D12CB" w:rsidRPr="003D749D">
        <w:rPr>
          <w:rFonts w:eastAsia="Verdana"/>
        </w:rPr>
        <w:t xml:space="preserve">ing it was disproportionate. He further maintains that his actions did not threaten public safety, order, health, or morals, nor did they violate the fundamental rights and freedoms of others. </w:t>
      </w:r>
    </w:p>
    <w:p w:rsidR="003D12CB" w:rsidRPr="003D749D" w:rsidRDefault="003D12CB" w:rsidP="004E0802">
      <w:pPr>
        <w:pStyle w:val="SingleTxtG"/>
        <w:rPr>
          <w:rFonts w:eastAsia="Verdana"/>
        </w:rPr>
      </w:pPr>
      <w:r w:rsidRPr="003D749D">
        <w:rPr>
          <w:rFonts w:eastAsia="Verdana"/>
        </w:rPr>
        <w:t>3.2</w:t>
      </w:r>
      <w:r w:rsidRPr="003D749D">
        <w:rPr>
          <w:rFonts w:eastAsia="Verdana"/>
        </w:rPr>
        <w:tab/>
        <w:t xml:space="preserve">The author refers to the Committee’s </w:t>
      </w:r>
      <w:r w:rsidR="00547C5E">
        <w:rPr>
          <w:rFonts w:eastAsia="Verdana"/>
        </w:rPr>
        <w:t>g</w:t>
      </w:r>
      <w:r w:rsidRPr="003D749D">
        <w:rPr>
          <w:rFonts w:eastAsia="Verdana"/>
        </w:rPr>
        <w:t>eneral c</w:t>
      </w:r>
      <w:r w:rsidR="006F54D3" w:rsidRPr="003D749D">
        <w:rPr>
          <w:rFonts w:eastAsia="Verdana"/>
        </w:rPr>
        <w:t>omments</w:t>
      </w:r>
      <w:r w:rsidR="00547C5E">
        <w:rPr>
          <w:rFonts w:eastAsia="Verdana"/>
        </w:rPr>
        <w:t xml:space="preserve"> Nos. </w:t>
      </w:r>
      <w:r w:rsidRPr="003D749D">
        <w:rPr>
          <w:rFonts w:eastAsia="Verdana"/>
        </w:rPr>
        <w:t>22 and 27,</w:t>
      </w:r>
      <w:r w:rsidR="004E0802">
        <w:rPr>
          <w:rStyle w:val="FootnoteReference"/>
          <w:rFonts w:eastAsia="Verdana"/>
        </w:rPr>
        <w:footnoteReference w:id="4"/>
      </w:r>
      <w:r w:rsidRPr="003D749D">
        <w:rPr>
          <w:rFonts w:eastAsia="Verdana"/>
        </w:rPr>
        <w:t xml:space="preserve"> and maintains that in the instant case the State party labelled him a missionary, defined in the domestic legislation as a foreign national who engages in preaching or spreading a religion through religious-educational activities, but that he simply returned to his country of birth to live and practi</w:t>
      </w:r>
      <w:r w:rsidR="00F77CA7">
        <w:rPr>
          <w:rFonts w:eastAsia="Verdana"/>
        </w:rPr>
        <w:t>s</w:t>
      </w:r>
      <w:r w:rsidRPr="003D749D">
        <w:rPr>
          <w:rFonts w:eastAsia="Verdana"/>
        </w:rPr>
        <w:t>e his religion. According to the State party’s logic, any foreign citizen practi</w:t>
      </w:r>
      <w:r w:rsidR="00F77CA7">
        <w:rPr>
          <w:rFonts w:eastAsia="Verdana"/>
        </w:rPr>
        <w:t>s</w:t>
      </w:r>
      <w:r w:rsidRPr="003D749D">
        <w:rPr>
          <w:rFonts w:eastAsia="Verdana"/>
        </w:rPr>
        <w:t xml:space="preserve">ing a religion would be considered a missionary and </w:t>
      </w:r>
      <w:r w:rsidR="00F77CA7">
        <w:rPr>
          <w:rFonts w:eastAsia="Verdana"/>
        </w:rPr>
        <w:t xml:space="preserve">would be </w:t>
      </w:r>
      <w:r w:rsidRPr="003D749D">
        <w:rPr>
          <w:rFonts w:eastAsia="Verdana"/>
        </w:rPr>
        <w:t xml:space="preserve">subjected to the requirement to </w:t>
      </w:r>
      <w:r w:rsidR="00F77CA7">
        <w:rPr>
          <w:rFonts w:eastAsia="Verdana"/>
        </w:rPr>
        <w:t>undergo</w:t>
      </w:r>
      <w:r w:rsidRPr="003D749D">
        <w:rPr>
          <w:rFonts w:eastAsia="Verdana"/>
        </w:rPr>
        <w:t xml:space="preserve"> registration and present a number of documents. The author maintains that, even if he tried, he would not be able to present such documents, in particular a copy of the registration of his church in another country or a letter authori</w:t>
      </w:r>
      <w:r w:rsidR="00F77CA7">
        <w:rPr>
          <w:rFonts w:eastAsia="Verdana"/>
        </w:rPr>
        <w:t>z</w:t>
      </w:r>
      <w:r w:rsidRPr="003D749D">
        <w:rPr>
          <w:rFonts w:eastAsia="Verdana"/>
        </w:rPr>
        <w:t xml:space="preserve">ing him to conduct missionary activities. He maintains that the acts of the State party also resulted in violation of its obligations under </w:t>
      </w:r>
      <w:r w:rsidR="00EE06D9" w:rsidRPr="003D749D">
        <w:rPr>
          <w:rFonts w:eastAsia="Verdana"/>
        </w:rPr>
        <w:t>article </w:t>
      </w:r>
      <w:r w:rsidRPr="003D749D">
        <w:rPr>
          <w:rFonts w:eastAsia="Verdana"/>
        </w:rPr>
        <w:t xml:space="preserve">2, </w:t>
      </w:r>
      <w:r w:rsidR="00F6425C" w:rsidRPr="003D749D">
        <w:rPr>
          <w:rFonts w:eastAsia="Verdana"/>
        </w:rPr>
        <w:t>paragraph </w:t>
      </w:r>
      <w:r w:rsidRPr="003D749D">
        <w:rPr>
          <w:rFonts w:eastAsia="Verdana"/>
        </w:rPr>
        <w:t>1</w:t>
      </w:r>
      <w:r w:rsidR="00F77CA7">
        <w:rPr>
          <w:rFonts w:eastAsia="Verdana"/>
        </w:rPr>
        <w:t>,</w:t>
      </w:r>
      <w:r w:rsidRPr="003D749D">
        <w:rPr>
          <w:rFonts w:eastAsia="Verdana"/>
        </w:rPr>
        <w:t xml:space="preserve"> of the Covenant, since they deprived him of the possibility </w:t>
      </w:r>
      <w:r w:rsidR="00230352">
        <w:rPr>
          <w:rFonts w:eastAsia="Verdana"/>
        </w:rPr>
        <w:t>of</w:t>
      </w:r>
      <w:r w:rsidR="00230352" w:rsidRPr="003D749D">
        <w:rPr>
          <w:rFonts w:eastAsia="Verdana"/>
        </w:rPr>
        <w:t xml:space="preserve"> </w:t>
      </w:r>
      <w:r w:rsidRPr="003D749D">
        <w:rPr>
          <w:rFonts w:eastAsia="Verdana"/>
        </w:rPr>
        <w:t>freely practi</w:t>
      </w:r>
      <w:r w:rsidR="00230352">
        <w:rPr>
          <w:rFonts w:eastAsia="Verdana"/>
        </w:rPr>
        <w:t>sing</w:t>
      </w:r>
      <w:r w:rsidRPr="003D749D">
        <w:rPr>
          <w:rFonts w:eastAsia="Verdana"/>
        </w:rPr>
        <w:t xml:space="preserve"> his religion. </w:t>
      </w:r>
    </w:p>
    <w:p w:rsidR="003D12CB" w:rsidRPr="00D73C39" w:rsidRDefault="003D12CB" w:rsidP="004E2669">
      <w:pPr>
        <w:pStyle w:val="SingleTxtG"/>
        <w:rPr>
          <w:rFonts w:eastAsia="Verdana"/>
        </w:rPr>
      </w:pPr>
      <w:r w:rsidRPr="003D749D">
        <w:rPr>
          <w:rFonts w:eastAsia="Verdana"/>
        </w:rPr>
        <w:t>3.3</w:t>
      </w:r>
      <w:r w:rsidRPr="003D749D">
        <w:rPr>
          <w:rFonts w:eastAsia="Verdana"/>
        </w:rPr>
        <w:tab/>
        <w:t xml:space="preserve">The author submits that Kazakhstan violated its obligation under </w:t>
      </w:r>
      <w:r w:rsidR="00EE06D9" w:rsidRPr="003D749D">
        <w:rPr>
          <w:rFonts w:eastAsia="Verdana"/>
        </w:rPr>
        <w:t>article </w:t>
      </w:r>
      <w:r w:rsidRPr="003D749D">
        <w:rPr>
          <w:rFonts w:eastAsia="Verdana"/>
        </w:rPr>
        <w:t xml:space="preserve">26 of the Covenant to refrain from discriminating against him </w:t>
      </w:r>
      <w:r w:rsidR="00230352">
        <w:rPr>
          <w:rFonts w:eastAsia="Verdana"/>
        </w:rPr>
        <w:t>on the basis of</w:t>
      </w:r>
      <w:r w:rsidR="00230352" w:rsidRPr="003D749D">
        <w:rPr>
          <w:rFonts w:eastAsia="Verdana"/>
        </w:rPr>
        <w:t xml:space="preserve"> </w:t>
      </w:r>
      <w:r w:rsidRPr="003D749D">
        <w:rPr>
          <w:rFonts w:eastAsia="Verdana"/>
        </w:rPr>
        <w:t xml:space="preserve">on his religious beliefs, because he is refused citizenship and is under threat of deportation and separation from his family only because he is a member of a particular religious denomination and was participating in Evangelist Christian Baptist </w:t>
      </w:r>
      <w:r w:rsidR="00E13CC2">
        <w:rPr>
          <w:rFonts w:eastAsia="Verdana"/>
        </w:rPr>
        <w:t>C</w:t>
      </w:r>
      <w:r w:rsidRPr="003D749D">
        <w:rPr>
          <w:rFonts w:eastAsia="Verdana"/>
        </w:rPr>
        <w:t>hurch services. In support of his claims</w:t>
      </w:r>
      <w:r w:rsidR="00230352">
        <w:rPr>
          <w:rFonts w:eastAsia="Verdana"/>
        </w:rPr>
        <w:t>,</w:t>
      </w:r>
      <w:r w:rsidRPr="003D749D">
        <w:rPr>
          <w:rFonts w:eastAsia="Verdana"/>
        </w:rPr>
        <w:t xml:space="preserve"> he submits a letter, dated 30 July 2009, from the </w:t>
      </w:r>
      <w:r w:rsidR="005966B6">
        <w:rPr>
          <w:rFonts w:eastAsia="Verdana"/>
        </w:rPr>
        <w:t>M</w:t>
      </w:r>
      <w:r w:rsidRPr="003D749D">
        <w:rPr>
          <w:rFonts w:eastAsia="Verdana"/>
        </w:rPr>
        <w:t xml:space="preserve">igration </w:t>
      </w:r>
      <w:r w:rsidR="005966B6">
        <w:rPr>
          <w:rFonts w:eastAsia="Verdana"/>
        </w:rPr>
        <w:t>P</w:t>
      </w:r>
      <w:r w:rsidRPr="003D749D">
        <w:rPr>
          <w:rFonts w:eastAsia="Verdana"/>
        </w:rPr>
        <w:t>olice</w:t>
      </w:r>
      <w:r w:rsidR="00230352">
        <w:rPr>
          <w:rFonts w:eastAsia="Verdana"/>
        </w:rPr>
        <w:t>,</w:t>
      </w:r>
      <w:r w:rsidRPr="003D749D">
        <w:rPr>
          <w:rFonts w:eastAsia="Verdana"/>
        </w:rPr>
        <w:t xml:space="preserve"> stating that they do not object to his receiving Kazakh citizenship, provided he </w:t>
      </w:r>
      <w:r w:rsidR="00230352">
        <w:rPr>
          <w:rFonts w:eastAsia="Verdana"/>
        </w:rPr>
        <w:t>renounces</w:t>
      </w:r>
      <w:r w:rsidR="00230352" w:rsidRPr="003D749D">
        <w:rPr>
          <w:rFonts w:eastAsia="Verdana"/>
        </w:rPr>
        <w:t xml:space="preserve"> </w:t>
      </w:r>
      <w:r w:rsidRPr="003D749D">
        <w:rPr>
          <w:rFonts w:eastAsia="Verdana"/>
        </w:rPr>
        <w:t xml:space="preserve">his German citizenship. He complied with that condition </w:t>
      </w:r>
      <w:r w:rsidR="00A714C7">
        <w:rPr>
          <w:rFonts w:eastAsia="Verdana"/>
        </w:rPr>
        <w:t xml:space="preserve">— </w:t>
      </w:r>
      <w:r w:rsidRPr="003D749D">
        <w:rPr>
          <w:rFonts w:eastAsia="Verdana"/>
        </w:rPr>
        <w:t>evidenced by the 3 December 2009 letter issued by the</w:t>
      </w:r>
      <w:r w:rsidR="00A714C7">
        <w:rPr>
          <w:rFonts w:eastAsia="Verdana"/>
        </w:rPr>
        <w:t xml:space="preserve"> </w:t>
      </w:r>
      <w:r w:rsidR="00A714C7" w:rsidRPr="006D629C">
        <w:rPr>
          <w:rFonts w:eastAsia="Verdana"/>
        </w:rPr>
        <w:t>Federal Office of Administration</w:t>
      </w:r>
      <w:r w:rsidRPr="006D629C">
        <w:rPr>
          <w:rFonts w:eastAsia="Verdana"/>
        </w:rPr>
        <w:t xml:space="preserve"> </w:t>
      </w:r>
      <w:r w:rsidR="00A714C7" w:rsidRPr="00890DD3">
        <w:rPr>
          <w:rFonts w:eastAsia="Verdana"/>
        </w:rPr>
        <w:t>(</w:t>
      </w:r>
      <w:r w:rsidRPr="00890DD3">
        <w:rPr>
          <w:rFonts w:eastAsia="Verdana"/>
        </w:rPr>
        <w:t>Bundesverwa</w:t>
      </w:r>
      <w:r w:rsidRPr="00D73C39">
        <w:rPr>
          <w:rFonts w:eastAsia="Verdana"/>
        </w:rPr>
        <w:t>ltungsamt)</w:t>
      </w:r>
      <w:r w:rsidR="00A714C7" w:rsidRPr="00D73C39">
        <w:rPr>
          <w:rFonts w:eastAsia="Verdana"/>
        </w:rPr>
        <w:t xml:space="preserve"> —</w:t>
      </w:r>
      <w:r w:rsidRPr="00D73C39">
        <w:rPr>
          <w:rFonts w:eastAsia="Verdana"/>
        </w:rPr>
        <w:t xml:space="preserve"> but was still refused citizenship</w:t>
      </w:r>
      <w:r w:rsidR="00A714C7" w:rsidRPr="00D73C39">
        <w:rPr>
          <w:rFonts w:eastAsia="Verdana"/>
        </w:rPr>
        <w:t>,</w:t>
      </w:r>
      <w:r w:rsidRPr="00D73C39">
        <w:rPr>
          <w:rFonts w:eastAsia="Verdana"/>
        </w:rPr>
        <w:t xml:space="preserve"> after his convictio</w:t>
      </w:r>
      <w:r w:rsidR="00276E56" w:rsidRPr="00D73C39">
        <w:rPr>
          <w:rFonts w:eastAsia="Verdana"/>
        </w:rPr>
        <w:t>n for “missionary activities”.</w:t>
      </w:r>
    </w:p>
    <w:p w:rsidR="003D12CB" w:rsidRPr="00D73C39" w:rsidRDefault="003D12CB" w:rsidP="003D12CB">
      <w:pPr>
        <w:pStyle w:val="H23G"/>
      </w:pPr>
      <w:r w:rsidRPr="00D73C39">
        <w:tab/>
      </w:r>
      <w:r w:rsidRPr="00D73C39">
        <w:tab/>
        <w:t>State party’s observations on admissibility</w:t>
      </w:r>
    </w:p>
    <w:p w:rsidR="003D12CB" w:rsidRPr="003D749D" w:rsidRDefault="006F54D3" w:rsidP="0063684E">
      <w:pPr>
        <w:pStyle w:val="SingleTxtG"/>
        <w:rPr>
          <w:rFonts w:eastAsia="Verdana"/>
        </w:rPr>
      </w:pPr>
      <w:r w:rsidRPr="00D73C39">
        <w:t>4.1</w:t>
      </w:r>
      <w:r w:rsidRPr="00D73C39">
        <w:tab/>
      </w:r>
      <w:r w:rsidR="003D12CB" w:rsidRPr="00D73C39">
        <w:t>On 27 April and 24 August 2012, the State party submit</w:t>
      </w:r>
      <w:r w:rsidR="00DB7BCD" w:rsidRPr="00D73C39">
        <w:t>ted</w:t>
      </w:r>
      <w:r w:rsidR="003D12CB" w:rsidRPr="00D73C39">
        <w:t xml:space="preserve"> that the author, a German citizen</w:t>
      </w:r>
      <w:r w:rsidR="00DB7BCD" w:rsidRPr="00D73C39">
        <w:t>,</w:t>
      </w:r>
      <w:r w:rsidR="003D12CB" w:rsidRPr="006D629C">
        <w:t xml:space="preserve"> </w:t>
      </w:r>
      <w:r w:rsidR="00DB7BCD" w:rsidRPr="006D629C">
        <w:t xml:space="preserve">had </w:t>
      </w:r>
      <w:r w:rsidR="003D12CB" w:rsidRPr="00890DD3">
        <w:t xml:space="preserve">conducted missionary activity in Esil </w:t>
      </w:r>
      <w:r w:rsidR="003D12CB" w:rsidRPr="00D73C39">
        <w:t xml:space="preserve">Region in 2009, an activity </w:t>
      </w:r>
      <w:r w:rsidR="00F0542E" w:rsidRPr="00D73C39">
        <w:t xml:space="preserve">that </w:t>
      </w:r>
      <w:r w:rsidR="003D12CB" w:rsidRPr="00D73C39">
        <w:t xml:space="preserve">is forbidden without registration. According to </w:t>
      </w:r>
      <w:r w:rsidR="00EE06D9" w:rsidRPr="00D73C39">
        <w:t>article</w:t>
      </w:r>
      <w:r w:rsidR="008757E5" w:rsidRPr="00D73C39">
        <w:t xml:space="preserve"> </w:t>
      </w:r>
      <w:r w:rsidR="003D12CB" w:rsidRPr="00D73C39">
        <w:t xml:space="preserve">4.1 of the Law </w:t>
      </w:r>
      <w:r w:rsidR="008757E5" w:rsidRPr="00D73C39">
        <w:t>o</w:t>
      </w:r>
      <w:r w:rsidR="003D12CB" w:rsidRPr="00D73C39">
        <w:t xml:space="preserve">n </w:t>
      </w:r>
      <w:r w:rsidR="0063684E">
        <w:t xml:space="preserve">Religious </w:t>
      </w:r>
      <w:r w:rsidR="003D12CB" w:rsidRPr="00D73C39">
        <w:t>Freedom</w:t>
      </w:r>
      <w:r w:rsidR="0063684E">
        <w:t xml:space="preserve"> </w:t>
      </w:r>
      <w:r w:rsidR="003D12CB" w:rsidRPr="006D629C">
        <w:t xml:space="preserve">and </w:t>
      </w:r>
      <w:r w:rsidR="0063684E">
        <w:t xml:space="preserve">on </w:t>
      </w:r>
      <w:r w:rsidR="003D12CB" w:rsidRPr="006D629C">
        <w:t>Religious Associations</w:t>
      </w:r>
      <w:r w:rsidR="003D12CB" w:rsidRPr="00890DD3">
        <w:t xml:space="preserve"> in force at the time, foreigners </w:t>
      </w:r>
      <w:r w:rsidR="00A35B89" w:rsidRPr="00D73C39">
        <w:t xml:space="preserve">were </w:t>
      </w:r>
      <w:r w:rsidR="003D12CB" w:rsidRPr="00D73C39">
        <w:t>entitled to conduct missionary activities in the t</w:t>
      </w:r>
      <w:r w:rsidR="003D12CB" w:rsidRPr="003D749D">
        <w:t>erritory of the State party only after registration with the local executive organs</w:t>
      </w:r>
      <w:r w:rsidR="00606B30" w:rsidRPr="003D749D">
        <w:t xml:space="preserve">. </w:t>
      </w:r>
      <w:r w:rsidR="003D12CB" w:rsidRPr="003D749D">
        <w:t xml:space="preserve">The guilt of the author had been proven by the evidence evaluated by the court. Since he </w:t>
      </w:r>
      <w:r w:rsidR="005E099A">
        <w:t xml:space="preserve">had </w:t>
      </w:r>
      <w:r w:rsidR="003D12CB" w:rsidRPr="003D749D">
        <w:t>violated the law</w:t>
      </w:r>
      <w:r w:rsidR="005E099A">
        <w:t>,</w:t>
      </w:r>
      <w:r w:rsidR="003D12CB" w:rsidRPr="003D749D">
        <w:t xml:space="preserve"> the court declared him guilty</w:t>
      </w:r>
      <w:r w:rsidR="00606B30" w:rsidRPr="003D749D">
        <w:t xml:space="preserve"> in accordance with </w:t>
      </w:r>
      <w:r w:rsidR="00EE06D9" w:rsidRPr="003D749D">
        <w:t>article</w:t>
      </w:r>
      <w:r w:rsidR="004A4B66">
        <w:t xml:space="preserve"> </w:t>
      </w:r>
      <w:r w:rsidR="00606B30" w:rsidRPr="003D749D">
        <w:t>375</w:t>
      </w:r>
      <w:r w:rsidR="003D12CB" w:rsidRPr="003D749D">
        <w:t xml:space="preserve"> of the Code of Administrative Violations and sentenced him to a fine and deportation from Kazakhstan. </w:t>
      </w:r>
      <w:r w:rsidR="008B408F">
        <w:t>That</w:t>
      </w:r>
      <w:r w:rsidR="003D12CB" w:rsidRPr="003D749D">
        <w:t xml:space="preserve"> ruling was revoked upon appeal by </w:t>
      </w:r>
      <w:r w:rsidR="003D12CB" w:rsidRPr="003D749D">
        <w:rPr>
          <w:rFonts w:eastAsia="Verdana"/>
        </w:rPr>
        <w:t>Akmolin Regional Court</w:t>
      </w:r>
      <w:r w:rsidR="004E1EB3">
        <w:rPr>
          <w:rFonts w:eastAsia="Verdana"/>
        </w:rPr>
        <w:t>,</w:t>
      </w:r>
      <w:r w:rsidR="003D12CB" w:rsidRPr="003D749D">
        <w:rPr>
          <w:rFonts w:eastAsia="Verdana"/>
        </w:rPr>
        <w:t xml:space="preserve"> </w:t>
      </w:r>
      <w:r w:rsidR="00B111FC">
        <w:rPr>
          <w:rFonts w:eastAsia="Verdana"/>
        </w:rPr>
        <w:t>o</w:t>
      </w:r>
      <w:r w:rsidR="003D12CB" w:rsidRPr="003D749D">
        <w:rPr>
          <w:rFonts w:eastAsia="Verdana"/>
        </w:rPr>
        <w:t>n 2 November 2009. The Akmolin Prosecutor’s Office disagreed and filed a request for a supervisory review of the Regional Court decision. The request was granted by the Supervisory Plenum of Akmolin Regional Court, which on</w:t>
      </w:r>
      <w:r w:rsidR="008B408F">
        <w:rPr>
          <w:rFonts w:eastAsia="Verdana"/>
        </w:rPr>
        <w:t xml:space="preserve"> </w:t>
      </w:r>
      <w:r w:rsidR="003D12CB" w:rsidRPr="003D749D">
        <w:rPr>
          <w:rFonts w:eastAsia="Verdana"/>
        </w:rPr>
        <w:t>26</w:t>
      </w:r>
      <w:r w:rsidRPr="003D749D">
        <w:rPr>
          <w:rFonts w:eastAsia="Verdana"/>
        </w:rPr>
        <w:t> </w:t>
      </w:r>
      <w:r w:rsidR="003D12CB" w:rsidRPr="003D749D">
        <w:rPr>
          <w:rFonts w:eastAsia="Verdana"/>
        </w:rPr>
        <w:t>November 2009</w:t>
      </w:r>
      <w:r w:rsidR="005D1DC8" w:rsidRPr="003D749D">
        <w:rPr>
          <w:rFonts w:eastAsia="Verdana"/>
        </w:rPr>
        <w:t xml:space="preserve"> </w:t>
      </w:r>
      <w:r w:rsidR="003D12CB" w:rsidRPr="003D749D">
        <w:rPr>
          <w:rFonts w:eastAsia="Verdana"/>
        </w:rPr>
        <w:t>revoked the second instance decision and confirmed the first instance decision. On 14 December 2009</w:t>
      </w:r>
      <w:r w:rsidR="0045703D">
        <w:rPr>
          <w:rFonts w:eastAsia="Verdana"/>
        </w:rPr>
        <w:t>,</w:t>
      </w:r>
      <w:r w:rsidR="003D12CB" w:rsidRPr="003D749D">
        <w:rPr>
          <w:rFonts w:eastAsia="Verdana"/>
        </w:rPr>
        <w:t xml:space="preserve"> the author filed a request for a supervisory review of that decision to the General Prosecutor’s Office. The latter rejected the request on 26 January 2010. The State party considers that the author had exhausted all available domestic remedies regarding the appeal of the court decision.</w:t>
      </w:r>
    </w:p>
    <w:p w:rsidR="003D12CB" w:rsidRPr="003D749D" w:rsidRDefault="003D12CB" w:rsidP="002E76FF">
      <w:pPr>
        <w:pStyle w:val="SingleTxtG"/>
        <w:rPr>
          <w:rFonts w:eastAsia="Verdana"/>
        </w:rPr>
      </w:pPr>
      <w:r w:rsidRPr="003D749D">
        <w:rPr>
          <w:rFonts w:eastAsia="Verdana"/>
        </w:rPr>
        <w:t>4.2</w:t>
      </w:r>
      <w:r w:rsidRPr="003D749D">
        <w:rPr>
          <w:rFonts w:eastAsia="Verdana"/>
        </w:rPr>
        <w:tab/>
        <w:t xml:space="preserve">The State party </w:t>
      </w:r>
      <w:r w:rsidR="00D8182A">
        <w:rPr>
          <w:rFonts w:eastAsia="Verdana"/>
        </w:rPr>
        <w:t xml:space="preserve">also </w:t>
      </w:r>
      <w:r w:rsidRPr="003D749D">
        <w:rPr>
          <w:rFonts w:eastAsia="Verdana"/>
        </w:rPr>
        <w:t xml:space="preserve">submits that the author was first </w:t>
      </w:r>
      <w:r w:rsidR="006F54D3" w:rsidRPr="003D749D">
        <w:rPr>
          <w:rFonts w:eastAsia="Verdana"/>
        </w:rPr>
        <w:t xml:space="preserve">issued </w:t>
      </w:r>
      <w:r w:rsidR="002C6B2C">
        <w:rPr>
          <w:rFonts w:eastAsia="Verdana"/>
        </w:rPr>
        <w:t xml:space="preserve">with </w:t>
      </w:r>
      <w:r w:rsidR="006F54D3" w:rsidRPr="003D749D">
        <w:rPr>
          <w:rFonts w:eastAsia="Verdana"/>
        </w:rPr>
        <w:t>a residence permit on 12</w:t>
      </w:r>
      <w:r w:rsidR="00D8182A">
        <w:rPr>
          <w:rFonts w:eastAsia="Verdana"/>
        </w:rPr>
        <w:t xml:space="preserve"> </w:t>
      </w:r>
      <w:r w:rsidRPr="003D749D">
        <w:rPr>
          <w:rFonts w:eastAsia="Verdana"/>
        </w:rPr>
        <w:t xml:space="preserve">March 2003, </w:t>
      </w:r>
      <w:r w:rsidR="005615CE">
        <w:rPr>
          <w:rFonts w:eastAsia="Verdana"/>
        </w:rPr>
        <w:t xml:space="preserve">which was </w:t>
      </w:r>
      <w:r w:rsidRPr="003D749D">
        <w:rPr>
          <w:rFonts w:eastAsia="Verdana"/>
        </w:rPr>
        <w:t xml:space="preserve">valid until 6 January 2010. On 5 January 2010, the author was issued </w:t>
      </w:r>
      <w:r w:rsidR="002C6B2C">
        <w:rPr>
          <w:rFonts w:eastAsia="Verdana"/>
        </w:rPr>
        <w:t xml:space="preserve">with </w:t>
      </w:r>
      <w:r w:rsidRPr="003D749D">
        <w:rPr>
          <w:rFonts w:eastAsia="Verdana"/>
        </w:rPr>
        <w:t xml:space="preserve">another residence permit. On 3 January 2010, the German Embassy in Kazakhstan issued the author </w:t>
      </w:r>
      <w:r w:rsidR="00C078B8">
        <w:rPr>
          <w:rFonts w:eastAsia="Verdana"/>
        </w:rPr>
        <w:t xml:space="preserve">with </w:t>
      </w:r>
      <w:r w:rsidRPr="003D749D">
        <w:rPr>
          <w:rFonts w:eastAsia="Verdana"/>
        </w:rPr>
        <w:t xml:space="preserve">permission for release from German citizenship with a view </w:t>
      </w:r>
      <w:r w:rsidR="00C078B8">
        <w:rPr>
          <w:rFonts w:eastAsia="Verdana"/>
        </w:rPr>
        <w:t>to</w:t>
      </w:r>
      <w:r w:rsidRPr="003D749D">
        <w:rPr>
          <w:rFonts w:eastAsia="Verdana"/>
        </w:rPr>
        <w:t xml:space="preserve"> obtaining Kazakh citizenship. </w:t>
      </w:r>
      <w:r w:rsidR="00B1060E">
        <w:rPr>
          <w:rFonts w:eastAsia="Verdana"/>
        </w:rPr>
        <w:t>In</w:t>
      </w:r>
      <w:r w:rsidRPr="003D749D">
        <w:rPr>
          <w:rFonts w:eastAsia="Verdana"/>
        </w:rPr>
        <w:t xml:space="preserve"> a decision </w:t>
      </w:r>
      <w:r w:rsidR="00B1060E">
        <w:rPr>
          <w:rFonts w:eastAsia="Verdana"/>
        </w:rPr>
        <w:t>by</w:t>
      </w:r>
      <w:r w:rsidRPr="003D749D">
        <w:rPr>
          <w:rFonts w:eastAsia="Verdana"/>
        </w:rPr>
        <w:t xml:space="preserve"> the Directorate of the Migration Police of the Internal Affairs Department of Akmolin Region, dated 20 April 2010, the author was deprived of the right to reside permanently on the territory of Kazakhstan and his residence permit was annulled. </w:t>
      </w:r>
      <w:r w:rsidR="00B1060E">
        <w:rPr>
          <w:rFonts w:eastAsia="Verdana"/>
        </w:rPr>
        <w:t>That</w:t>
      </w:r>
      <w:r w:rsidRPr="003D749D">
        <w:rPr>
          <w:rFonts w:eastAsia="Verdana"/>
        </w:rPr>
        <w:t xml:space="preserve"> decision was taken in accordance with </w:t>
      </w:r>
      <w:r w:rsidR="00EE06D9" w:rsidRPr="003D749D">
        <w:rPr>
          <w:rFonts w:eastAsia="Verdana"/>
        </w:rPr>
        <w:t>article </w:t>
      </w:r>
      <w:r w:rsidRPr="003D749D">
        <w:rPr>
          <w:rFonts w:eastAsia="Verdana"/>
        </w:rPr>
        <w:t xml:space="preserve">24.6 of the Law </w:t>
      </w:r>
      <w:r w:rsidR="00B1060E">
        <w:rPr>
          <w:rFonts w:eastAsia="Verdana"/>
        </w:rPr>
        <w:t>o</w:t>
      </w:r>
      <w:r w:rsidRPr="003D749D">
        <w:rPr>
          <w:rFonts w:eastAsia="Verdana"/>
        </w:rPr>
        <w:t xml:space="preserve">n Population Migration in force at the time, in relation </w:t>
      </w:r>
      <w:r w:rsidR="0042506D">
        <w:rPr>
          <w:rFonts w:eastAsia="Verdana"/>
        </w:rPr>
        <w:t>to</w:t>
      </w:r>
      <w:r w:rsidR="0042506D" w:rsidRPr="003D749D">
        <w:rPr>
          <w:rFonts w:eastAsia="Verdana"/>
        </w:rPr>
        <w:t xml:space="preserve"> </w:t>
      </w:r>
      <w:r w:rsidRPr="003D749D">
        <w:rPr>
          <w:rFonts w:eastAsia="Verdana"/>
        </w:rPr>
        <w:t xml:space="preserve">the violation of the domestic laws committed by the author during his residence in Kazakhstan. The author did not appeal the decision. </w:t>
      </w:r>
    </w:p>
    <w:p w:rsidR="003D12CB" w:rsidRPr="003D749D" w:rsidRDefault="003D12CB" w:rsidP="00F707FB">
      <w:pPr>
        <w:pStyle w:val="SingleTxtG"/>
        <w:rPr>
          <w:rFonts w:eastAsia="Verdana"/>
        </w:rPr>
      </w:pPr>
      <w:r w:rsidRPr="003D749D">
        <w:rPr>
          <w:rFonts w:eastAsia="Verdana"/>
        </w:rPr>
        <w:t>4.3</w:t>
      </w:r>
      <w:r w:rsidRPr="003D749D">
        <w:rPr>
          <w:rFonts w:eastAsia="Verdana"/>
        </w:rPr>
        <w:tab/>
        <w:t xml:space="preserve">The State party </w:t>
      </w:r>
      <w:r w:rsidR="00D8182A">
        <w:rPr>
          <w:rFonts w:eastAsia="Verdana"/>
        </w:rPr>
        <w:t xml:space="preserve">further </w:t>
      </w:r>
      <w:r w:rsidRPr="003D749D">
        <w:rPr>
          <w:rFonts w:eastAsia="Verdana"/>
        </w:rPr>
        <w:t xml:space="preserve">submits that the communication is inadmissible under </w:t>
      </w:r>
      <w:r w:rsidR="00EE06D9" w:rsidRPr="003D749D">
        <w:rPr>
          <w:rFonts w:eastAsia="Verdana"/>
        </w:rPr>
        <w:t>article </w:t>
      </w:r>
      <w:r w:rsidRPr="003D749D">
        <w:rPr>
          <w:rFonts w:eastAsia="Verdana"/>
        </w:rPr>
        <w:t xml:space="preserve">5, </w:t>
      </w:r>
      <w:r w:rsidR="00F6425C" w:rsidRPr="003D749D">
        <w:rPr>
          <w:rFonts w:eastAsia="Verdana"/>
        </w:rPr>
        <w:t>paragraph</w:t>
      </w:r>
      <w:r w:rsidR="0042506D">
        <w:rPr>
          <w:rFonts w:eastAsia="Verdana"/>
        </w:rPr>
        <w:t xml:space="preserve"> </w:t>
      </w:r>
      <w:r w:rsidRPr="003D749D">
        <w:rPr>
          <w:rFonts w:eastAsia="Verdana"/>
        </w:rPr>
        <w:t>2 (b)</w:t>
      </w:r>
      <w:r w:rsidR="0042506D">
        <w:rPr>
          <w:rFonts w:eastAsia="Verdana"/>
        </w:rPr>
        <w:t>,</w:t>
      </w:r>
      <w:r w:rsidRPr="003D749D">
        <w:rPr>
          <w:rFonts w:eastAsia="Verdana"/>
        </w:rPr>
        <w:t xml:space="preserve"> of the Optional Protocol, according to which the domestic remedies should be exhausted </w:t>
      </w:r>
      <w:r w:rsidR="0042506D">
        <w:rPr>
          <w:rFonts w:eastAsia="Verdana"/>
        </w:rPr>
        <w:t>in respect of</w:t>
      </w:r>
      <w:r w:rsidR="0042506D" w:rsidRPr="003D749D">
        <w:rPr>
          <w:rFonts w:eastAsia="Verdana"/>
        </w:rPr>
        <w:t xml:space="preserve"> </w:t>
      </w:r>
      <w:r w:rsidRPr="003D749D">
        <w:rPr>
          <w:rFonts w:eastAsia="Verdana"/>
        </w:rPr>
        <w:t xml:space="preserve">each of the alleged violations of the Covenant. The State party maintains that the author had the opportunity to appeal the decision of the Migration Police within three months </w:t>
      </w:r>
      <w:r w:rsidR="005966B6">
        <w:rPr>
          <w:rFonts w:eastAsia="Verdana"/>
        </w:rPr>
        <w:t>of</w:t>
      </w:r>
      <w:r w:rsidR="005966B6" w:rsidRPr="003D749D">
        <w:rPr>
          <w:rFonts w:eastAsia="Verdana"/>
        </w:rPr>
        <w:t xml:space="preserve"> </w:t>
      </w:r>
      <w:r w:rsidRPr="003D749D">
        <w:rPr>
          <w:rFonts w:eastAsia="Verdana"/>
        </w:rPr>
        <w:t>its issuance</w:t>
      </w:r>
      <w:r w:rsidR="008F1A86">
        <w:rPr>
          <w:rFonts w:eastAsia="Verdana"/>
        </w:rPr>
        <w:t>,</w:t>
      </w:r>
      <w:r w:rsidRPr="003D749D">
        <w:rPr>
          <w:rFonts w:eastAsia="Verdana"/>
        </w:rPr>
        <w:t xml:space="preserve"> under </w:t>
      </w:r>
      <w:r w:rsidR="00EE06D9" w:rsidRPr="003D749D">
        <w:rPr>
          <w:rFonts w:eastAsia="Verdana"/>
        </w:rPr>
        <w:t>articles </w:t>
      </w:r>
      <w:r w:rsidRPr="003D749D">
        <w:rPr>
          <w:rFonts w:eastAsia="Verdana"/>
        </w:rPr>
        <w:t>278</w:t>
      </w:r>
      <w:r w:rsidR="00F707FB">
        <w:rPr>
          <w:rFonts w:eastAsia="Verdana"/>
        </w:rPr>
        <w:t>–</w:t>
      </w:r>
      <w:r w:rsidRPr="003D749D">
        <w:rPr>
          <w:rFonts w:eastAsia="Verdana"/>
        </w:rPr>
        <w:t xml:space="preserve">282 of the Civil Procedure Code of Kazakhstan. </w:t>
      </w:r>
      <w:r w:rsidRPr="003D749D">
        <w:t xml:space="preserve">Missing the statutory three-month deadline for </w:t>
      </w:r>
      <w:r w:rsidR="008F1A86">
        <w:t>the submission</w:t>
      </w:r>
      <w:r w:rsidR="008F1A86" w:rsidRPr="003D749D">
        <w:t xml:space="preserve"> </w:t>
      </w:r>
      <w:r w:rsidRPr="003D749D">
        <w:t xml:space="preserve">of an appeal </w:t>
      </w:r>
      <w:r w:rsidR="008F1A86">
        <w:t>is not</w:t>
      </w:r>
      <w:r w:rsidR="004559B3">
        <w:t>, as such,</w:t>
      </w:r>
      <w:r w:rsidR="008F1A86">
        <w:t xml:space="preserve"> grounds</w:t>
      </w:r>
      <w:r w:rsidRPr="003D749D">
        <w:t xml:space="preserve"> for the court to refuse to grant the appeal. The reasons for missing the deadline are investigated during the court hearing and may be one of the grounds </w:t>
      </w:r>
      <w:r w:rsidR="00481833">
        <w:t>for rejection of</w:t>
      </w:r>
      <w:r w:rsidRPr="003D749D">
        <w:t xml:space="preserve"> the appeal. The State party maintains that the author has the opportunity to file an appeal to the court against the 20 April 2010 decision of the </w:t>
      </w:r>
      <w:r w:rsidRPr="003D749D">
        <w:rPr>
          <w:rFonts w:eastAsia="Verdana"/>
        </w:rPr>
        <w:t xml:space="preserve">Directorate of the Migration Police. </w:t>
      </w:r>
    </w:p>
    <w:p w:rsidR="003D12CB" w:rsidRPr="003D749D" w:rsidRDefault="003D12CB" w:rsidP="00510C86">
      <w:pPr>
        <w:pStyle w:val="SingleTxtG"/>
        <w:rPr>
          <w:rFonts w:eastAsia="Verdana"/>
        </w:rPr>
      </w:pPr>
      <w:r w:rsidRPr="003D749D">
        <w:rPr>
          <w:rFonts w:eastAsia="Verdana"/>
        </w:rPr>
        <w:t>4.4</w:t>
      </w:r>
      <w:r w:rsidRPr="003D749D">
        <w:rPr>
          <w:rFonts w:eastAsia="Verdana"/>
        </w:rPr>
        <w:tab/>
        <w:t xml:space="preserve">The State party maintains that the author </w:t>
      </w:r>
      <w:r w:rsidR="00510C86">
        <w:rPr>
          <w:rFonts w:eastAsia="Verdana"/>
        </w:rPr>
        <w:t>was not</w:t>
      </w:r>
      <w:r w:rsidRPr="003D749D">
        <w:rPr>
          <w:rFonts w:eastAsia="Verdana"/>
        </w:rPr>
        <w:t xml:space="preserve"> subjected to discrimination </w:t>
      </w:r>
      <w:r w:rsidR="00510C86">
        <w:rPr>
          <w:rFonts w:eastAsia="Verdana"/>
        </w:rPr>
        <w:t>on the basis of</w:t>
      </w:r>
      <w:r w:rsidRPr="003D749D">
        <w:rPr>
          <w:rFonts w:eastAsia="Verdana"/>
        </w:rPr>
        <w:t xml:space="preserve"> his religious beliefs, since the conviction for an administrative offence was imposed on him in accordance with the legislation in force</w:t>
      </w:r>
      <w:r w:rsidR="00510C86">
        <w:rPr>
          <w:rFonts w:eastAsia="Verdana"/>
        </w:rPr>
        <w:t>,</w:t>
      </w:r>
      <w:r w:rsidRPr="003D749D">
        <w:rPr>
          <w:rFonts w:eastAsia="Verdana"/>
        </w:rPr>
        <w:t xml:space="preserve"> and the actions of the </w:t>
      </w:r>
      <w:r w:rsidR="00510C86">
        <w:rPr>
          <w:rFonts w:eastAsia="Verdana"/>
        </w:rPr>
        <w:t>S</w:t>
      </w:r>
      <w:r w:rsidRPr="003D749D">
        <w:rPr>
          <w:rFonts w:eastAsia="Verdana"/>
        </w:rPr>
        <w:t>tate authorities were lawful. Further</w:t>
      </w:r>
      <w:r w:rsidR="00EA6F1B">
        <w:rPr>
          <w:rFonts w:eastAsia="Verdana"/>
        </w:rPr>
        <w:t>more</w:t>
      </w:r>
      <w:r w:rsidRPr="003D749D">
        <w:rPr>
          <w:rFonts w:eastAsia="Verdana"/>
        </w:rPr>
        <w:t xml:space="preserve">, he had been granted a residence permit on two occasions, in 2003 and in 2010. </w:t>
      </w:r>
    </w:p>
    <w:p w:rsidR="003D12CB" w:rsidRPr="003D749D" w:rsidRDefault="003D12CB" w:rsidP="0063684E">
      <w:pPr>
        <w:pStyle w:val="SingleTxtG"/>
        <w:rPr>
          <w:rFonts w:eastAsia="Verdana"/>
        </w:rPr>
      </w:pPr>
      <w:r w:rsidRPr="003D749D">
        <w:rPr>
          <w:rFonts w:eastAsia="Verdana"/>
        </w:rPr>
        <w:t>4.5</w:t>
      </w:r>
      <w:r w:rsidRPr="003D749D">
        <w:rPr>
          <w:rFonts w:eastAsia="Verdana"/>
        </w:rPr>
        <w:tab/>
        <w:t xml:space="preserve">With regard to the alleged violation of </w:t>
      </w:r>
      <w:r w:rsidR="00EE06D9" w:rsidRPr="003D749D">
        <w:rPr>
          <w:rFonts w:eastAsia="Verdana"/>
        </w:rPr>
        <w:t>article </w:t>
      </w:r>
      <w:r w:rsidRPr="003D749D">
        <w:rPr>
          <w:rFonts w:eastAsia="Verdana"/>
        </w:rPr>
        <w:t xml:space="preserve">18 of the Covenant, the State party submits that the author was convicted not because he belonged to a particular denomination, but because he </w:t>
      </w:r>
      <w:r w:rsidR="00C410D1">
        <w:rPr>
          <w:rFonts w:eastAsia="Verdana"/>
        </w:rPr>
        <w:t xml:space="preserve">had </w:t>
      </w:r>
      <w:r w:rsidRPr="003D749D">
        <w:rPr>
          <w:rFonts w:eastAsia="Verdana"/>
        </w:rPr>
        <w:t xml:space="preserve">violated the legislation regulating religious associations and the legislation regulating migration. There </w:t>
      </w:r>
      <w:r w:rsidR="00C410D1">
        <w:rPr>
          <w:rFonts w:eastAsia="Verdana"/>
        </w:rPr>
        <w:t>had been</w:t>
      </w:r>
      <w:r w:rsidR="00C410D1" w:rsidRPr="003D749D">
        <w:rPr>
          <w:rFonts w:eastAsia="Verdana"/>
        </w:rPr>
        <w:t xml:space="preserve"> </w:t>
      </w:r>
      <w:r w:rsidRPr="003D749D">
        <w:rPr>
          <w:rFonts w:eastAsia="Verdana"/>
        </w:rPr>
        <w:t>no pressure</w:t>
      </w:r>
      <w:r w:rsidR="00C410D1">
        <w:rPr>
          <w:rFonts w:eastAsia="Verdana"/>
        </w:rPr>
        <w:t xml:space="preserve"> on the author</w:t>
      </w:r>
      <w:r w:rsidRPr="003D749D">
        <w:rPr>
          <w:rFonts w:eastAsia="Verdana"/>
        </w:rPr>
        <w:t xml:space="preserve"> from the </w:t>
      </w:r>
      <w:r w:rsidR="00C410D1">
        <w:rPr>
          <w:rFonts w:eastAsia="Verdana"/>
        </w:rPr>
        <w:t>S</w:t>
      </w:r>
      <w:r w:rsidRPr="003D749D">
        <w:rPr>
          <w:rFonts w:eastAsia="Verdana"/>
        </w:rPr>
        <w:t xml:space="preserve">tate authorities to </w:t>
      </w:r>
      <w:r w:rsidR="00C410D1">
        <w:rPr>
          <w:rFonts w:eastAsia="Verdana"/>
        </w:rPr>
        <w:t>renounce</w:t>
      </w:r>
      <w:r w:rsidR="00C410D1" w:rsidRPr="003D749D">
        <w:rPr>
          <w:rFonts w:eastAsia="Verdana"/>
        </w:rPr>
        <w:t xml:space="preserve"> </w:t>
      </w:r>
      <w:r w:rsidRPr="003D749D">
        <w:rPr>
          <w:rFonts w:eastAsia="Verdana"/>
        </w:rPr>
        <w:t xml:space="preserve">his religious beliefs. </w:t>
      </w:r>
      <w:r w:rsidR="00EE06D9" w:rsidRPr="003D749D">
        <w:rPr>
          <w:rFonts w:eastAsia="Verdana"/>
        </w:rPr>
        <w:t>Article </w:t>
      </w:r>
      <w:r w:rsidRPr="003D749D">
        <w:rPr>
          <w:rFonts w:eastAsia="Verdana"/>
        </w:rPr>
        <w:t>14 of the Constitution states that</w:t>
      </w:r>
      <w:r w:rsidRPr="003D749D">
        <w:rPr>
          <w:rFonts w:ascii="Tahoma" w:hAnsi="Tahoma" w:cs="Tahoma"/>
          <w:sz w:val="22"/>
          <w:szCs w:val="22"/>
        </w:rPr>
        <w:t xml:space="preserve"> </w:t>
      </w:r>
      <w:r w:rsidRPr="003D749D">
        <w:rPr>
          <w:rFonts w:eastAsia="Verdana"/>
        </w:rPr>
        <w:t xml:space="preserve">no one shall be subject to any discrimination </w:t>
      </w:r>
      <w:r w:rsidR="008C0491">
        <w:rPr>
          <w:rFonts w:eastAsia="Verdana"/>
        </w:rPr>
        <w:t>for reasons of</w:t>
      </w:r>
      <w:r w:rsidRPr="003D749D">
        <w:rPr>
          <w:rFonts w:eastAsia="Verdana"/>
        </w:rPr>
        <w:t xml:space="preserve"> attitude towards religion.</w:t>
      </w:r>
      <w:r w:rsidRPr="003D749D">
        <w:rPr>
          <w:rStyle w:val="FootnoteReference"/>
          <w:rFonts w:eastAsia="Verdana"/>
        </w:rPr>
        <w:footnoteReference w:id="5"/>
      </w:r>
      <w:r w:rsidRPr="003D749D">
        <w:rPr>
          <w:rFonts w:eastAsia="Verdana"/>
        </w:rPr>
        <w:t xml:space="preserve"> </w:t>
      </w:r>
      <w:r w:rsidR="00EE06D9" w:rsidRPr="003D749D">
        <w:rPr>
          <w:rFonts w:eastAsia="Verdana"/>
        </w:rPr>
        <w:t>Article </w:t>
      </w:r>
      <w:r w:rsidR="00DA25F3" w:rsidRPr="003D749D">
        <w:rPr>
          <w:rFonts w:eastAsia="Verdana"/>
        </w:rPr>
        <w:t>3, paragraphs </w:t>
      </w:r>
      <w:r w:rsidRPr="003D749D">
        <w:rPr>
          <w:rFonts w:eastAsia="Verdana"/>
        </w:rPr>
        <w:t>5 and 6</w:t>
      </w:r>
      <w:r w:rsidR="008C0491">
        <w:rPr>
          <w:rFonts w:eastAsia="Verdana"/>
        </w:rPr>
        <w:t>,</w:t>
      </w:r>
      <w:r w:rsidRPr="003D749D">
        <w:rPr>
          <w:rFonts w:eastAsia="Verdana"/>
        </w:rPr>
        <w:t xml:space="preserve"> of the </w:t>
      </w:r>
      <w:r w:rsidR="0063684E" w:rsidRPr="00D73C39">
        <w:t xml:space="preserve">Law on </w:t>
      </w:r>
      <w:r w:rsidR="0063684E">
        <w:t xml:space="preserve">Religious </w:t>
      </w:r>
      <w:r w:rsidR="0063684E" w:rsidRPr="00D73C39">
        <w:t>Freedom</w:t>
      </w:r>
      <w:r w:rsidR="0063684E">
        <w:t xml:space="preserve"> </w:t>
      </w:r>
      <w:r w:rsidR="0063684E" w:rsidRPr="006D629C">
        <w:t xml:space="preserve">and </w:t>
      </w:r>
      <w:r w:rsidR="0063684E">
        <w:t xml:space="preserve">on </w:t>
      </w:r>
      <w:r w:rsidR="0063684E" w:rsidRPr="006D629C">
        <w:t>Religious Associations</w:t>
      </w:r>
      <w:r w:rsidRPr="003D749D">
        <w:t xml:space="preserve"> do</w:t>
      </w:r>
      <w:r w:rsidR="008C0491">
        <w:t>es</w:t>
      </w:r>
      <w:r w:rsidRPr="003D749D">
        <w:t xml:space="preserve"> not allow interference with lawful religious activity, violations of the civil rights of individuals </w:t>
      </w:r>
      <w:r w:rsidRPr="003D749D">
        <w:rPr>
          <w:rFonts w:eastAsia="Verdana"/>
        </w:rPr>
        <w:t xml:space="preserve">because of </w:t>
      </w:r>
      <w:r w:rsidR="008C0491">
        <w:rPr>
          <w:rFonts w:eastAsia="Verdana"/>
        </w:rPr>
        <w:t xml:space="preserve">their </w:t>
      </w:r>
      <w:r w:rsidRPr="003D749D">
        <w:rPr>
          <w:rFonts w:eastAsia="Verdana"/>
        </w:rPr>
        <w:t>attitude towards religion</w:t>
      </w:r>
      <w:r w:rsidR="008C0491">
        <w:rPr>
          <w:rFonts w:eastAsia="Verdana"/>
        </w:rPr>
        <w:t>,</w:t>
      </w:r>
      <w:r w:rsidRPr="003D749D">
        <w:rPr>
          <w:rFonts w:eastAsia="Verdana"/>
        </w:rPr>
        <w:t xml:space="preserve"> or insulting their religious feelings. Anyone has the right to have religious convictions, disseminate these, participate in the activities of religious associations and engage in missionary activities in accordance with the legislation of the State party. Therefore, the legislation in force guarantees the freedom of religion of citizens.</w:t>
      </w:r>
    </w:p>
    <w:p w:rsidR="003D12CB" w:rsidRPr="003D749D" w:rsidRDefault="003D12CB" w:rsidP="003D12CB">
      <w:pPr>
        <w:pStyle w:val="H23G"/>
      </w:pPr>
      <w:r w:rsidRPr="003D749D">
        <w:tab/>
      </w:r>
      <w:r w:rsidRPr="003D749D">
        <w:tab/>
        <w:t>Author’s comments on the State party’s submission</w:t>
      </w:r>
    </w:p>
    <w:p w:rsidR="003D12CB" w:rsidRPr="003D749D" w:rsidRDefault="003D12CB" w:rsidP="003077E6">
      <w:pPr>
        <w:pStyle w:val="SingleTxtG"/>
      </w:pPr>
      <w:r w:rsidRPr="003D749D">
        <w:t>5.1</w:t>
      </w:r>
      <w:r w:rsidRPr="003D749D">
        <w:tab/>
        <w:t>On 31 May 2012, the author reiterate</w:t>
      </w:r>
      <w:r w:rsidR="00EC1950">
        <w:t>d</w:t>
      </w:r>
      <w:r w:rsidRPr="003D749D">
        <w:t xml:space="preserve"> some of hi</w:t>
      </w:r>
      <w:r w:rsidR="00DA25F3" w:rsidRPr="003D749D">
        <w:t>s initial submission (see paras. </w:t>
      </w:r>
      <w:r w:rsidRPr="003D749D">
        <w:t xml:space="preserve">2.1, 2.2, 3.1 and 3.3). He </w:t>
      </w:r>
      <w:r w:rsidR="00787D62">
        <w:t xml:space="preserve">also </w:t>
      </w:r>
      <w:r w:rsidRPr="003D749D">
        <w:t>submits that</w:t>
      </w:r>
      <w:r w:rsidR="00787D62">
        <w:t>,</w:t>
      </w:r>
      <w:r w:rsidRPr="003D749D">
        <w:t xml:space="preserve"> according to </w:t>
      </w:r>
      <w:r w:rsidR="00EE06D9" w:rsidRPr="003D749D">
        <w:t>article </w:t>
      </w:r>
      <w:r w:rsidRPr="003D749D">
        <w:t xml:space="preserve">24 of the Law </w:t>
      </w:r>
      <w:r w:rsidR="00787D62">
        <w:t>o</w:t>
      </w:r>
      <w:r w:rsidRPr="003D749D">
        <w:t xml:space="preserve">n Population Migration, in force at the time, he could not have applied for a residence permit while the decision to deport him was in force. He </w:t>
      </w:r>
      <w:r w:rsidR="00787D62">
        <w:t>further</w:t>
      </w:r>
      <w:r w:rsidR="00787D62" w:rsidRPr="003D749D">
        <w:t xml:space="preserve"> </w:t>
      </w:r>
      <w:r w:rsidRPr="003D749D">
        <w:t xml:space="preserve">submits that he was afraid to go to the Migration Police because he could have been deported at any </w:t>
      </w:r>
      <w:r w:rsidR="00787D62">
        <w:t>time</w:t>
      </w:r>
      <w:r w:rsidRPr="003D749D">
        <w:t xml:space="preserve">, which would have resulted in </w:t>
      </w:r>
      <w:r w:rsidR="00787D62">
        <w:t xml:space="preserve">a </w:t>
      </w:r>
      <w:r w:rsidRPr="003D749D">
        <w:t xml:space="preserve">prohibition </w:t>
      </w:r>
      <w:r w:rsidR="00787D62">
        <w:t xml:space="preserve">on </w:t>
      </w:r>
      <w:r w:rsidR="006E067D">
        <w:t xml:space="preserve">his </w:t>
      </w:r>
      <w:r w:rsidR="00787D62">
        <w:t>entering</w:t>
      </w:r>
      <w:r w:rsidRPr="003D749D">
        <w:t xml:space="preserve"> the country for five years and </w:t>
      </w:r>
      <w:r w:rsidR="006E067D">
        <w:t>in separation</w:t>
      </w:r>
      <w:r w:rsidRPr="003D749D">
        <w:t xml:space="preserve"> from his family. The author refers to the Committee’s jurisprudence that exhaustion of domestic remedies could be required only to the extent that th</w:t>
      </w:r>
      <w:r w:rsidR="003077E6">
        <w:t>o</w:t>
      </w:r>
      <w:r w:rsidRPr="003D749D">
        <w:t xml:space="preserve">se remedies were effective and available within the meaning of </w:t>
      </w:r>
      <w:r w:rsidR="00EE06D9" w:rsidRPr="003D749D">
        <w:t>article </w:t>
      </w:r>
      <w:r w:rsidRPr="003D749D">
        <w:t xml:space="preserve">5, </w:t>
      </w:r>
      <w:r w:rsidR="00F6425C" w:rsidRPr="003D749D">
        <w:t>paragraph </w:t>
      </w:r>
      <w:r w:rsidR="00861B08" w:rsidRPr="003D749D">
        <w:t>2 </w:t>
      </w:r>
      <w:r w:rsidRPr="003D749D">
        <w:t>(b), of the Optional Protocol.</w:t>
      </w:r>
      <w:r w:rsidRPr="003D749D">
        <w:rPr>
          <w:rStyle w:val="FootnoteReference"/>
        </w:rPr>
        <w:footnoteReference w:id="6"/>
      </w:r>
      <w:r w:rsidRPr="003D749D">
        <w:t xml:space="preserve"> The author submits that he is not challenging the fact that his residence permit was annulled lawfully. He maintains that his freedom to practi</w:t>
      </w:r>
      <w:r w:rsidR="003077E6">
        <w:t>s</w:t>
      </w:r>
      <w:r w:rsidRPr="003D749D">
        <w:t xml:space="preserve">e his religion together with others had been violated. If he had not been tried and convicted for praying and conducting religious services together with other members of his church, he would have already received citizenship. </w:t>
      </w:r>
    </w:p>
    <w:p w:rsidR="003D12CB" w:rsidRPr="003D749D" w:rsidRDefault="003D12CB" w:rsidP="004E1EB3">
      <w:pPr>
        <w:pStyle w:val="SingleTxtG"/>
      </w:pPr>
      <w:r w:rsidRPr="003D749D">
        <w:t>5.2</w:t>
      </w:r>
      <w:r w:rsidRPr="003D749D">
        <w:tab/>
        <w:t>The author submits that he fully maintains his initial communication and</w:t>
      </w:r>
      <w:r w:rsidR="00564D24">
        <w:t>,</w:t>
      </w:r>
      <w:r w:rsidRPr="003D749D">
        <w:t xml:space="preserve"> in particular</w:t>
      </w:r>
      <w:r w:rsidR="00564D24">
        <w:t>,</w:t>
      </w:r>
      <w:r w:rsidRPr="003D749D">
        <w:t xml:space="preserve"> that he is denied citizenship, or even a residence permit, and is under threat of deportation and separation from his family, only because he is a member of the </w:t>
      </w:r>
      <w:r w:rsidRPr="003D749D">
        <w:rPr>
          <w:rFonts w:eastAsia="Verdana"/>
        </w:rPr>
        <w:t xml:space="preserve">Evangelist Christian Baptist </w:t>
      </w:r>
      <w:r w:rsidR="00E13CC2">
        <w:rPr>
          <w:rFonts w:eastAsia="Verdana"/>
        </w:rPr>
        <w:t>C</w:t>
      </w:r>
      <w:r w:rsidRPr="003D749D">
        <w:rPr>
          <w:rFonts w:eastAsia="Verdana"/>
        </w:rPr>
        <w:t>hurch</w:t>
      </w:r>
      <w:r w:rsidRPr="003D749D">
        <w:t>.</w:t>
      </w:r>
    </w:p>
    <w:p w:rsidR="003D12CB" w:rsidRPr="003D749D" w:rsidRDefault="003D12CB" w:rsidP="006772B2">
      <w:pPr>
        <w:pStyle w:val="SingleTxtG"/>
      </w:pPr>
      <w:r w:rsidRPr="003D749D">
        <w:t>5.3</w:t>
      </w:r>
      <w:r w:rsidRPr="003D749D">
        <w:tab/>
        <w:t>On 22 October 2012, the author note</w:t>
      </w:r>
      <w:r w:rsidR="00085D08">
        <w:t>d</w:t>
      </w:r>
      <w:r w:rsidRPr="003D749D">
        <w:t xml:space="preserve"> that the State party’s submission indicate</w:t>
      </w:r>
      <w:r w:rsidR="00085D08">
        <w:t>d</w:t>
      </w:r>
      <w:r w:rsidRPr="003D749D">
        <w:t xml:space="preserve"> that the domestic legislation in force guarantee</w:t>
      </w:r>
      <w:r w:rsidR="00085D08">
        <w:t>d</w:t>
      </w:r>
      <w:r w:rsidRPr="003D749D">
        <w:t xml:space="preserve"> the freedom of religion of citizens</w:t>
      </w:r>
      <w:r w:rsidR="00740F96">
        <w:t>,</w:t>
      </w:r>
      <w:r w:rsidRPr="003D749D">
        <w:t xml:space="preserve"> and maintain</w:t>
      </w:r>
      <w:r w:rsidR="00740F96">
        <w:t>ed</w:t>
      </w:r>
      <w:r w:rsidRPr="000A1497">
        <w:rPr>
          <w:lang w:val="en-US"/>
        </w:rPr>
        <w:t xml:space="preserve"> that </w:t>
      </w:r>
      <w:r w:rsidR="00740F96" w:rsidRPr="000A1497">
        <w:rPr>
          <w:lang w:val="en-US"/>
        </w:rPr>
        <w:t xml:space="preserve">this </w:t>
      </w:r>
      <w:r w:rsidR="006772B2" w:rsidRPr="000A1497">
        <w:rPr>
          <w:lang w:val="en-US"/>
        </w:rPr>
        <w:t>meant that only citizens of Kazakhstan were right-holders</w:t>
      </w:r>
      <w:r w:rsidRPr="000A1497">
        <w:rPr>
          <w:lang w:val="en-US"/>
        </w:rPr>
        <w:t xml:space="preserve">. He further notes that the State party’s submission indicates that he was convicted for conducting </w:t>
      </w:r>
      <w:r w:rsidRPr="003D749D">
        <w:t>missionary activity without registration, but does not specify what activity he is convicted for. The court decisions, however, state that the author was subjected to punishment because</w:t>
      </w:r>
      <w:r w:rsidR="008A2FBE">
        <w:t>,</w:t>
      </w:r>
      <w:r w:rsidRPr="003D749D">
        <w:t xml:space="preserve"> through preaching and praying</w:t>
      </w:r>
      <w:r w:rsidR="008A2FBE">
        <w:t xml:space="preserve"> and</w:t>
      </w:r>
      <w:r w:rsidRPr="003D749D">
        <w:t xml:space="preserve"> conducting meetings and religious rituals among the followers of the denomination, he was spreading the ideas of Protestantism. The author maintains that</w:t>
      </w:r>
      <w:r w:rsidR="00B07E69">
        <w:t>,</w:t>
      </w:r>
      <w:r w:rsidRPr="003D749D">
        <w:t xml:space="preserve"> in fact</w:t>
      </w:r>
      <w:r w:rsidR="00B07E69">
        <w:t>,</w:t>
      </w:r>
      <w:r w:rsidRPr="003D749D">
        <w:t xml:space="preserve"> he was implementing his right under </w:t>
      </w:r>
      <w:r w:rsidR="00EE06D9" w:rsidRPr="003D749D">
        <w:t>article </w:t>
      </w:r>
      <w:r w:rsidRPr="003D749D">
        <w:t xml:space="preserve">18, </w:t>
      </w:r>
      <w:r w:rsidR="00F6425C" w:rsidRPr="003D749D">
        <w:t>paragraph </w:t>
      </w:r>
      <w:r w:rsidRPr="003D749D">
        <w:t>1</w:t>
      </w:r>
      <w:r w:rsidR="00740F96">
        <w:t>,</w:t>
      </w:r>
      <w:r w:rsidRPr="003D749D">
        <w:t xml:space="preserve"> of the Covenant.</w:t>
      </w:r>
    </w:p>
    <w:p w:rsidR="003D12CB" w:rsidRPr="003D749D" w:rsidRDefault="003D12CB" w:rsidP="002D3275">
      <w:pPr>
        <w:pStyle w:val="SingleTxtG"/>
      </w:pPr>
      <w:r w:rsidRPr="003D749D">
        <w:t>5.4</w:t>
      </w:r>
      <w:r w:rsidRPr="003D749D">
        <w:tab/>
        <w:t xml:space="preserve">The author submits that filing an appeal against the 20 April 2010 decision of the Migration Police is not an effective remedy in his case, because that decision was taken </w:t>
      </w:r>
      <w:r w:rsidR="00D6171B">
        <w:t>on the basis of</w:t>
      </w:r>
      <w:r w:rsidRPr="003D749D">
        <w:t xml:space="preserve"> the existing decision of the administrative court for his deportation. Further</w:t>
      </w:r>
      <w:r w:rsidR="00D6171B">
        <w:t>more</w:t>
      </w:r>
      <w:r w:rsidRPr="003D749D">
        <w:t>, th</w:t>
      </w:r>
      <w:r w:rsidR="002D3275">
        <w:t>ose</w:t>
      </w:r>
      <w:r w:rsidRPr="003D749D">
        <w:t xml:space="preserve"> appeal proceeding</w:t>
      </w:r>
      <w:r w:rsidR="002D3275">
        <w:t>s</w:t>
      </w:r>
      <w:r w:rsidRPr="003D749D">
        <w:t xml:space="preserve"> concern issues relat</w:t>
      </w:r>
      <w:r w:rsidR="00D346A6">
        <w:t>ing</w:t>
      </w:r>
      <w:r w:rsidRPr="003D749D">
        <w:t xml:space="preserve"> to residence, but do not concern the enjoyment of freedom of religion.</w:t>
      </w:r>
    </w:p>
    <w:p w:rsidR="003D12CB" w:rsidRPr="003D749D" w:rsidRDefault="003D12CB" w:rsidP="00D346A6">
      <w:pPr>
        <w:pStyle w:val="H23G"/>
      </w:pPr>
      <w:r w:rsidRPr="003D749D">
        <w:tab/>
      </w:r>
      <w:r w:rsidRPr="003D749D">
        <w:tab/>
      </w:r>
      <w:r w:rsidR="00D346A6">
        <w:t>State party’s f</w:t>
      </w:r>
      <w:r w:rsidRPr="003D749D">
        <w:t>urther observations</w:t>
      </w:r>
    </w:p>
    <w:p w:rsidR="003D12CB" w:rsidRPr="003D749D" w:rsidRDefault="003D12CB" w:rsidP="005A1AC5">
      <w:pPr>
        <w:pStyle w:val="SingleTxtG"/>
      </w:pPr>
      <w:r w:rsidRPr="003D749D">
        <w:t>6.</w:t>
      </w:r>
      <w:r w:rsidRPr="003D749D">
        <w:tab/>
        <w:t>On 11 January 2013, the State party restate</w:t>
      </w:r>
      <w:r w:rsidR="005D2197">
        <w:t>d</w:t>
      </w:r>
      <w:r w:rsidRPr="003D749D">
        <w:t xml:space="preserve"> the fact</w:t>
      </w:r>
      <w:r w:rsidR="005D2197">
        <w:t>s</w:t>
      </w:r>
      <w:r w:rsidRPr="003D749D">
        <w:t xml:space="preserve"> relat</w:t>
      </w:r>
      <w:r w:rsidR="005D2197">
        <w:t>ing</w:t>
      </w:r>
      <w:r w:rsidRPr="003D749D">
        <w:t xml:space="preserve"> to the author’s conviction. It maintains that the author, a citizen of Germany, was convicted for unlicensed missionary activity</w:t>
      </w:r>
      <w:r w:rsidR="002E76FF">
        <w:t>,</w:t>
      </w:r>
      <w:r w:rsidRPr="003D749D">
        <w:t xml:space="preserve"> under </w:t>
      </w:r>
      <w:r w:rsidR="00EE06D9" w:rsidRPr="003D749D">
        <w:t>article </w:t>
      </w:r>
      <w:r w:rsidRPr="003D749D">
        <w:t xml:space="preserve">375 of the Code of Administrative </w:t>
      </w:r>
      <w:r w:rsidR="002E76FF">
        <w:t>V</w:t>
      </w:r>
      <w:r w:rsidRPr="003D749D">
        <w:t>iolations</w:t>
      </w:r>
      <w:r w:rsidR="002E76FF">
        <w:t>,</w:t>
      </w:r>
      <w:r w:rsidRPr="003D749D">
        <w:t xml:space="preserve"> and that his guilt was confirmed by the evidence presented to the court. The State party maintains that freedom of religion is guaranteed by its legislation for all individuals, regardless of citizenship status</w:t>
      </w:r>
      <w:r w:rsidR="002E76FF">
        <w:t>,</w:t>
      </w:r>
      <w:r w:rsidRPr="003D749D">
        <w:t xml:space="preserve"> and submits that at the time of its submission there were 381</w:t>
      </w:r>
      <w:r w:rsidR="00F76086" w:rsidRPr="003D749D">
        <w:t> </w:t>
      </w:r>
      <w:r w:rsidRPr="003D749D">
        <w:t xml:space="preserve">individuals conducting missionary activities, 350 of whom were foreign citizens. It refers to the definition of missionary activity under </w:t>
      </w:r>
      <w:r w:rsidR="00EE06D9" w:rsidRPr="003D749D">
        <w:t>article </w:t>
      </w:r>
      <w:r w:rsidRPr="003D749D">
        <w:t xml:space="preserve">1.1 of the </w:t>
      </w:r>
      <w:r w:rsidR="0063684E" w:rsidRPr="00D73C39">
        <w:t xml:space="preserve">Law on </w:t>
      </w:r>
      <w:r w:rsidR="0063684E">
        <w:t xml:space="preserve">Religious </w:t>
      </w:r>
      <w:r w:rsidR="0063684E" w:rsidRPr="00D73C39">
        <w:t>Freedom</w:t>
      </w:r>
      <w:r w:rsidR="0063684E">
        <w:t xml:space="preserve"> </w:t>
      </w:r>
      <w:r w:rsidR="0063684E" w:rsidRPr="006D629C">
        <w:t xml:space="preserve">and </w:t>
      </w:r>
      <w:r w:rsidR="0063684E">
        <w:t xml:space="preserve">on </w:t>
      </w:r>
      <w:r w:rsidR="0063684E" w:rsidRPr="006D629C">
        <w:t>Religious Associations</w:t>
      </w:r>
      <w:r w:rsidRPr="00262A8B">
        <w:rPr>
          <w:rFonts w:eastAsia="Verdana"/>
        </w:rPr>
        <w:t>, which defines it as preaching and disseminati</w:t>
      </w:r>
      <w:r w:rsidR="00D23C1D">
        <w:rPr>
          <w:rFonts w:eastAsia="Verdana"/>
        </w:rPr>
        <w:t>on</w:t>
      </w:r>
      <w:r w:rsidRPr="00262A8B">
        <w:rPr>
          <w:rFonts w:eastAsia="Verdana"/>
        </w:rPr>
        <w:t xml:space="preserve"> </w:t>
      </w:r>
      <w:r w:rsidR="00D23C1D">
        <w:rPr>
          <w:rFonts w:eastAsia="Verdana"/>
        </w:rPr>
        <w:t xml:space="preserve">via a church’s </w:t>
      </w:r>
      <w:r w:rsidRPr="00262A8B">
        <w:rPr>
          <w:rFonts w:eastAsia="Verdana"/>
        </w:rPr>
        <w:t xml:space="preserve">religious education </w:t>
      </w:r>
      <w:r w:rsidR="00D23C1D">
        <w:rPr>
          <w:rFonts w:eastAsia="Verdana"/>
        </w:rPr>
        <w:t>activities that</w:t>
      </w:r>
      <w:r w:rsidRPr="00262A8B">
        <w:rPr>
          <w:rFonts w:eastAsia="Verdana"/>
        </w:rPr>
        <w:t xml:space="preserve"> is not described in the charter of </w:t>
      </w:r>
      <w:r w:rsidR="005A1AC5">
        <w:rPr>
          <w:rFonts w:eastAsia="Verdana"/>
        </w:rPr>
        <w:t>the</w:t>
      </w:r>
      <w:r w:rsidR="005A1AC5" w:rsidRPr="00262A8B">
        <w:rPr>
          <w:rFonts w:eastAsia="Verdana"/>
        </w:rPr>
        <w:t xml:space="preserve"> </w:t>
      </w:r>
      <w:r w:rsidRPr="00262A8B">
        <w:rPr>
          <w:rFonts w:eastAsia="Verdana"/>
        </w:rPr>
        <w:t>religious association operating on the territory of Kazakhstan. Foreigners are only allowed to conduct such activity after li</w:t>
      </w:r>
      <w:r w:rsidRPr="003D749D">
        <w:rPr>
          <w:rFonts w:eastAsia="Verdana"/>
        </w:rPr>
        <w:t>cen</w:t>
      </w:r>
      <w:r w:rsidR="00E566EB">
        <w:rPr>
          <w:rFonts w:eastAsia="Verdana"/>
        </w:rPr>
        <w:t>s</w:t>
      </w:r>
      <w:r w:rsidRPr="003D749D">
        <w:rPr>
          <w:rFonts w:eastAsia="Verdana"/>
        </w:rPr>
        <w:t xml:space="preserve">ing of the </w:t>
      </w:r>
      <w:r w:rsidR="00E566EB">
        <w:rPr>
          <w:rFonts w:eastAsia="Verdana"/>
        </w:rPr>
        <w:t>association concerned</w:t>
      </w:r>
      <w:r w:rsidRPr="003D749D">
        <w:rPr>
          <w:rFonts w:eastAsia="Verdana"/>
        </w:rPr>
        <w:t>. In other words</w:t>
      </w:r>
      <w:r w:rsidR="00FF4E2C">
        <w:rPr>
          <w:rFonts w:eastAsia="Verdana"/>
        </w:rPr>
        <w:t>,</w:t>
      </w:r>
      <w:r w:rsidRPr="003D749D">
        <w:rPr>
          <w:rFonts w:eastAsia="Verdana"/>
        </w:rPr>
        <w:t xml:space="preserve"> the author was convicted for violating the legislation prescribing the mandatory registration of missionaries. The State party reiterates that the author failed to appeal the 20 </w:t>
      </w:r>
      <w:r w:rsidRPr="003D749D">
        <w:t>April 2010 decision of the Migration Police in accordance with the Civil Procedure Code. Currently</w:t>
      </w:r>
      <w:r w:rsidR="00A16F7B">
        <w:t>,</w:t>
      </w:r>
      <w:r w:rsidRPr="003D749D">
        <w:t xml:space="preserve"> the author </w:t>
      </w:r>
      <w:r w:rsidR="00A16F7B">
        <w:t>is residing</w:t>
      </w:r>
      <w:r w:rsidR="00A16F7B" w:rsidRPr="003D749D">
        <w:t xml:space="preserve"> </w:t>
      </w:r>
      <w:r w:rsidRPr="003D749D">
        <w:t xml:space="preserve">on the territory of the State party awaiting the decision of the Human Rights Committee regarding his communication. The State party maintains that he was never discriminated against </w:t>
      </w:r>
      <w:r w:rsidR="00A16F7B">
        <w:t>on the basis of</w:t>
      </w:r>
      <w:r w:rsidRPr="003D749D">
        <w:t xml:space="preserve"> his religious beliefs and </w:t>
      </w:r>
      <w:r w:rsidR="00A16F7B">
        <w:t xml:space="preserve">that </w:t>
      </w:r>
      <w:r w:rsidRPr="003D749D">
        <w:t xml:space="preserve">it had respected its obligation under </w:t>
      </w:r>
      <w:r w:rsidR="00EE06D9" w:rsidRPr="003D749D">
        <w:t>articles </w:t>
      </w:r>
      <w:r w:rsidRPr="003D749D">
        <w:t>18, 2 and 26 with regard to the author.</w:t>
      </w:r>
    </w:p>
    <w:p w:rsidR="003D12CB" w:rsidRPr="003D749D" w:rsidRDefault="003D12CB" w:rsidP="003D12CB">
      <w:pPr>
        <w:pStyle w:val="H23G"/>
      </w:pPr>
      <w:r w:rsidRPr="003D749D">
        <w:tab/>
      </w:r>
      <w:r w:rsidRPr="003D749D">
        <w:tab/>
        <w:t>Author’s further comments</w:t>
      </w:r>
    </w:p>
    <w:p w:rsidR="003D12CB" w:rsidRPr="003D749D" w:rsidRDefault="003D12CB" w:rsidP="00A16F7B">
      <w:pPr>
        <w:pStyle w:val="SingleTxtG"/>
      </w:pPr>
      <w:r w:rsidRPr="003D749D">
        <w:t>7.</w:t>
      </w:r>
      <w:r w:rsidRPr="003D749D">
        <w:tab/>
        <w:t>On 5 March 2013, the author submit</w:t>
      </w:r>
      <w:r w:rsidR="00A16F7B">
        <w:t>ted</w:t>
      </w:r>
      <w:r w:rsidRPr="003D749D">
        <w:t xml:space="preserve"> that the State party’s submission d</w:t>
      </w:r>
      <w:r w:rsidR="00A16F7B">
        <w:t>id</w:t>
      </w:r>
      <w:r w:rsidRPr="003D749D">
        <w:t xml:space="preserve"> not contain any new arguments and that he maintain</w:t>
      </w:r>
      <w:r w:rsidR="00A16F7B">
        <w:t>ed</w:t>
      </w:r>
      <w:r w:rsidRPr="003D749D">
        <w:t xml:space="preserve"> his initial communication.</w:t>
      </w:r>
    </w:p>
    <w:p w:rsidR="003D12CB" w:rsidRPr="003D749D" w:rsidRDefault="003D12CB" w:rsidP="003D12CB">
      <w:pPr>
        <w:pStyle w:val="H23G"/>
      </w:pPr>
      <w:r w:rsidRPr="003D749D">
        <w:tab/>
      </w:r>
      <w:r w:rsidRPr="003D749D">
        <w:tab/>
        <w:t>Issues and proceedings before the Committee</w:t>
      </w:r>
    </w:p>
    <w:p w:rsidR="003D12CB" w:rsidRPr="003D749D" w:rsidRDefault="003D12CB" w:rsidP="003D12CB">
      <w:pPr>
        <w:pStyle w:val="H4G"/>
      </w:pPr>
      <w:r w:rsidRPr="003D749D">
        <w:tab/>
      </w:r>
      <w:r w:rsidRPr="003D749D">
        <w:tab/>
        <w:t>Consideration of admissibility</w:t>
      </w:r>
    </w:p>
    <w:p w:rsidR="003D12CB" w:rsidRPr="003D749D" w:rsidRDefault="003D12CB" w:rsidP="003D12CB">
      <w:pPr>
        <w:pStyle w:val="SingleTxtG"/>
        <w:rPr>
          <w:bCs/>
        </w:rPr>
      </w:pPr>
      <w:r w:rsidRPr="003D749D">
        <w:t>8.1</w:t>
      </w:r>
      <w:r w:rsidRPr="003D749D">
        <w:tab/>
      </w:r>
      <w:r w:rsidRPr="003D749D">
        <w:rPr>
          <w:bCs/>
        </w:rPr>
        <w:t>Before considering any claim contained in a communication, the Human Rights Committee must</w:t>
      </w:r>
      <w:r w:rsidR="00277032">
        <w:rPr>
          <w:bCs/>
        </w:rPr>
        <w:t xml:space="preserve"> decide</w:t>
      </w:r>
      <w:r w:rsidRPr="003D749D">
        <w:rPr>
          <w:bCs/>
        </w:rPr>
        <w:t>, in accordance with rule 93 of its rules of procedure, whether or not the communication is admissible under the Optional Protocol to the Covenant.</w:t>
      </w:r>
    </w:p>
    <w:p w:rsidR="003D12CB" w:rsidRPr="003D749D" w:rsidRDefault="003D12CB" w:rsidP="00277032">
      <w:pPr>
        <w:pStyle w:val="SingleTxtG"/>
      </w:pPr>
      <w:r w:rsidRPr="003D749D">
        <w:t>8.2</w:t>
      </w:r>
      <w:r w:rsidRPr="003D749D">
        <w:tab/>
      </w:r>
      <w:r w:rsidR="00277032">
        <w:t>A</w:t>
      </w:r>
      <w:r w:rsidRPr="003D749D">
        <w:t xml:space="preserve">s required under </w:t>
      </w:r>
      <w:r w:rsidR="00EE06D9" w:rsidRPr="003D749D">
        <w:t>article </w:t>
      </w:r>
      <w:r w:rsidRPr="003D749D">
        <w:t xml:space="preserve">5, </w:t>
      </w:r>
      <w:r w:rsidR="00F6425C" w:rsidRPr="003D749D">
        <w:t>paragraph </w:t>
      </w:r>
      <w:r w:rsidRPr="003D749D">
        <w:t>2</w:t>
      </w:r>
      <w:r w:rsidR="00F76086" w:rsidRPr="003D749D">
        <w:t> </w:t>
      </w:r>
      <w:r w:rsidRPr="003D749D">
        <w:t xml:space="preserve">(a), of the Optional Protocol, </w:t>
      </w:r>
      <w:r w:rsidR="00277032">
        <w:t xml:space="preserve">the Committee has ascertained </w:t>
      </w:r>
      <w:r w:rsidRPr="003D749D">
        <w:t xml:space="preserve">that the same matter is not being examined under another procedure of international investigation or settlement. </w:t>
      </w:r>
    </w:p>
    <w:p w:rsidR="003D12CB" w:rsidRPr="003D749D" w:rsidRDefault="003D12CB" w:rsidP="00CA4555">
      <w:pPr>
        <w:pStyle w:val="SingleTxtG"/>
      </w:pPr>
      <w:r w:rsidRPr="003D749D">
        <w:t>8.3</w:t>
      </w:r>
      <w:r w:rsidRPr="003D749D">
        <w:tab/>
        <w:t xml:space="preserve">The Committee notes the State party’s submission that the author had failed to exhaust the domestic legal remedies in that he </w:t>
      </w:r>
      <w:r w:rsidRPr="003D749D">
        <w:rPr>
          <w:rFonts w:eastAsia="Verdana"/>
        </w:rPr>
        <w:t>did not appeal the decision of the Directorate of the Migration Police of the Internal Affairs Department of Akmolin Region, dated 20</w:t>
      </w:r>
      <w:r w:rsidR="00F76086" w:rsidRPr="003D749D">
        <w:rPr>
          <w:rFonts w:eastAsia="Verdana"/>
        </w:rPr>
        <w:t> </w:t>
      </w:r>
      <w:r w:rsidRPr="003D749D">
        <w:rPr>
          <w:rFonts w:eastAsia="Verdana"/>
        </w:rPr>
        <w:t xml:space="preserve">April 2010, under the procedure provided </w:t>
      </w:r>
      <w:r w:rsidR="00615BA6">
        <w:rPr>
          <w:rFonts w:eastAsia="Verdana"/>
        </w:rPr>
        <w:t xml:space="preserve">for </w:t>
      </w:r>
      <w:r w:rsidRPr="003D749D">
        <w:rPr>
          <w:rFonts w:eastAsia="Verdana"/>
        </w:rPr>
        <w:t xml:space="preserve">in </w:t>
      </w:r>
      <w:r w:rsidR="00EE06D9" w:rsidRPr="003D749D">
        <w:rPr>
          <w:rFonts w:eastAsia="Verdana"/>
        </w:rPr>
        <w:t>articles </w:t>
      </w:r>
      <w:r w:rsidRPr="003D749D">
        <w:rPr>
          <w:rFonts w:eastAsia="Verdana"/>
        </w:rPr>
        <w:t>278</w:t>
      </w:r>
      <w:r w:rsidR="00615BA6">
        <w:rPr>
          <w:rFonts w:eastAsia="Verdana"/>
        </w:rPr>
        <w:t>–</w:t>
      </w:r>
      <w:r w:rsidRPr="003D749D">
        <w:rPr>
          <w:rFonts w:eastAsia="Verdana"/>
        </w:rPr>
        <w:t>282 of the Civil Procedure Code of Kazakhstan. The Committee</w:t>
      </w:r>
      <w:r w:rsidR="00615BA6">
        <w:rPr>
          <w:rFonts w:eastAsia="Verdana"/>
        </w:rPr>
        <w:t xml:space="preserve"> observes, however,</w:t>
      </w:r>
      <w:r w:rsidRPr="003D749D">
        <w:rPr>
          <w:rFonts w:eastAsia="Verdana"/>
        </w:rPr>
        <w:t xml:space="preserve"> that even if the author</w:t>
      </w:r>
      <w:r w:rsidR="00615BA6">
        <w:rPr>
          <w:rFonts w:eastAsia="Verdana"/>
        </w:rPr>
        <w:t>, as part of those</w:t>
      </w:r>
      <w:r w:rsidRPr="003D749D">
        <w:rPr>
          <w:rFonts w:eastAsia="Verdana"/>
        </w:rPr>
        <w:t xml:space="preserve"> appeal proceedings</w:t>
      </w:r>
      <w:r w:rsidR="00615BA6">
        <w:rPr>
          <w:rFonts w:eastAsia="Verdana"/>
        </w:rPr>
        <w:t>,</w:t>
      </w:r>
      <w:r w:rsidRPr="003D749D">
        <w:rPr>
          <w:rFonts w:eastAsia="Verdana"/>
        </w:rPr>
        <w:t xml:space="preserve"> could have appealed the decision </w:t>
      </w:r>
      <w:r w:rsidR="00615BA6">
        <w:rPr>
          <w:rFonts w:eastAsia="Verdana"/>
        </w:rPr>
        <w:t>regarding</w:t>
      </w:r>
      <w:r w:rsidR="00615BA6" w:rsidRPr="003D749D">
        <w:rPr>
          <w:rFonts w:eastAsia="Verdana"/>
        </w:rPr>
        <w:t xml:space="preserve"> </w:t>
      </w:r>
      <w:r w:rsidRPr="003D749D">
        <w:rPr>
          <w:rFonts w:eastAsia="Verdana"/>
        </w:rPr>
        <w:t xml:space="preserve">his deportation, this would not have addressed his claim that his conviction </w:t>
      </w:r>
      <w:r w:rsidR="00615BA6">
        <w:rPr>
          <w:rFonts w:eastAsia="Verdana"/>
        </w:rPr>
        <w:t>for</w:t>
      </w:r>
      <w:r w:rsidRPr="003D749D">
        <w:rPr>
          <w:rFonts w:eastAsia="Verdana"/>
        </w:rPr>
        <w:t xml:space="preserve"> the administrative offence of missionary activities </w:t>
      </w:r>
      <w:r w:rsidR="00CA4555">
        <w:rPr>
          <w:lang w:val="en-US"/>
        </w:rPr>
        <w:t xml:space="preserve">was a violation by the State party of </w:t>
      </w:r>
      <w:r w:rsidR="00CA4555" w:rsidRPr="003D749D">
        <w:rPr>
          <w:rFonts w:eastAsia="Verdana"/>
        </w:rPr>
        <w:t>his right to manifest his religion and not to be discriminated agains</w:t>
      </w:r>
      <w:r w:rsidR="00CA4555">
        <w:rPr>
          <w:rFonts w:eastAsia="Verdana"/>
        </w:rPr>
        <w:t>t</w:t>
      </w:r>
      <w:r w:rsidRPr="003D749D">
        <w:rPr>
          <w:rFonts w:eastAsia="Verdana"/>
        </w:rPr>
        <w:t>. The Committee observes that</w:t>
      </w:r>
      <w:r w:rsidR="003C294C">
        <w:rPr>
          <w:rFonts w:eastAsia="Verdana"/>
        </w:rPr>
        <w:t>,</w:t>
      </w:r>
      <w:r w:rsidRPr="003D749D">
        <w:rPr>
          <w:rFonts w:eastAsia="Verdana"/>
        </w:rPr>
        <w:t xml:space="preserve"> in his communication</w:t>
      </w:r>
      <w:r w:rsidR="003C294C">
        <w:rPr>
          <w:rFonts w:eastAsia="Verdana"/>
        </w:rPr>
        <w:t>,</w:t>
      </w:r>
      <w:r w:rsidRPr="003D749D">
        <w:rPr>
          <w:rFonts w:eastAsia="Verdana"/>
        </w:rPr>
        <w:t xml:space="preserve"> the author raises issues under </w:t>
      </w:r>
      <w:r w:rsidR="00EE06D9" w:rsidRPr="003D749D">
        <w:rPr>
          <w:rFonts w:eastAsia="Verdana"/>
        </w:rPr>
        <w:t>articles </w:t>
      </w:r>
      <w:r w:rsidRPr="003D749D">
        <w:rPr>
          <w:rFonts w:eastAsia="Verdana"/>
        </w:rPr>
        <w:t>18</w:t>
      </w:r>
      <w:r w:rsidR="005D1DC8" w:rsidRPr="003D749D">
        <w:t xml:space="preserve"> </w:t>
      </w:r>
      <w:r w:rsidRPr="003D749D">
        <w:rPr>
          <w:rFonts w:eastAsia="Verdana"/>
        </w:rPr>
        <w:t>and 26 of the Covenant</w:t>
      </w:r>
      <w:r w:rsidR="003C294C">
        <w:rPr>
          <w:rFonts w:eastAsia="Verdana"/>
        </w:rPr>
        <w:t>,</w:t>
      </w:r>
      <w:r w:rsidRPr="003D749D">
        <w:rPr>
          <w:rFonts w:eastAsia="Verdana"/>
        </w:rPr>
        <w:t xml:space="preserve"> and finds that </w:t>
      </w:r>
      <w:r w:rsidR="00EE06D9" w:rsidRPr="003D749D">
        <w:rPr>
          <w:rFonts w:eastAsia="Verdana"/>
        </w:rPr>
        <w:t>article</w:t>
      </w:r>
      <w:r w:rsidR="003C294C">
        <w:rPr>
          <w:rFonts w:eastAsia="Verdana"/>
        </w:rPr>
        <w:t xml:space="preserve"> </w:t>
      </w:r>
      <w:r w:rsidRPr="003D749D">
        <w:rPr>
          <w:rFonts w:eastAsia="Verdana"/>
        </w:rPr>
        <w:t xml:space="preserve">5, </w:t>
      </w:r>
      <w:r w:rsidR="00F6425C" w:rsidRPr="003D749D">
        <w:rPr>
          <w:rFonts w:eastAsia="Verdana"/>
        </w:rPr>
        <w:t>paragraph</w:t>
      </w:r>
      <w:r w:rsidR="003C294C">
        <w:rPr>
          <w:rFonts w:eastAsia="Verdana"/>
        </w:rPr>
        <w:t xml:space="preserve"> </w:t>
      </w:r>
      <w:r w:rsidRPr="003D749D">
        <w:rPr>
          <w:rFonts w:eastAsia="Verdana"/>
        </w:rPr>
        <w:t>2</w:t>
      </w:r>
      <w:r w:rsidR="003C294C">
        <w:rPr>
          <w:rFonts w:eastAsia="Verdana"/>
        </w:rPr>
        <w:t xml:space="preserve"> </w:t>
      </w:r>
      <w:r w:rsidRPr="003D749D">
        <w:rPr>
          <w:rFonts w:eastAsia="Verdana"/>
        </w:rPr>
        <w:t>(b)</w:t>
      </w:r>
      <w:r w:rsidR="003C294C">
        <w:rPr>
          <w:rFonts w:eastAsia="Verdana"/>
        </w:rPr>
        <w:t>,</w:t>
      </w:r>
      <w:r w:rsidRPr="003D749D">
        <w:rPr>
          <w:rFonts w:eastAsia="Verdana"/>
        </w:rPr>
        <w:t xml:space="preserve"> of the Optional Protocol does not preclude it from considering the communication. </w:t>
      </w:r>
    </w:p>
    <w:p w:rsidR="003D12CB" w:rsidRPr="003D749D" w:rsidRDefault="003D12CB" w:rsidP="00E72432">
      <w:pPr>
        <w:pStyle w:val="SingleTxtG"/>
      </w:pPr>
      <w:r w:rsidRPr="003D749D">
        <w:t>8.4</w:t>
      </w:r>
      <w:r w:rsidRPr="003D749D">
        <w:tab/>
        <w:t>The Committee takes note of the author’s submission that</w:t>
      </w:r>
      <w:r w:rsidR="0099569A" w:rsidRPr="003D749D">
        <w:rPr>
          <w:rFonts w:eastAsia="Verdana"/>
        </w:rPr>
        <w:t xml:space="preserve"> </w:t>
      </w:r>
      <w:r w:rsidR="0099569A" w:rsidRPr="003D749D">
        <w:t>the acts of the State party</w:t>
      </w:r>
      <w:r w:rsidR="005D1DC8" w:rsidRPr="003D749D">
        <w:t xml:space="preserve"> </w:t>
      </w:r>
      <w:r w:rsidR="0099569A" w:rsidRPr="003D749D">
        <w:t xml:space="preserve">resulted in violation of its obligations under </w:t>
      </w:r>
      <w:r w:rsidR="00EE06D9" w:rsidRPr="003D749D">
        <w:t>article </w:t>
      </w:r>
      <w:r w:rsidR="0099569A" w:rsidRPr="003D749D">
        <w:t xml:space="preserve">2, </w:t>
      </w:r>
      <w:r w:rsidR="00F6425C" w:rsidRPr="003D749D">
        <w:t>paragraph </w:t>
      </w:r>
      <w:r w:rsidR="0099569A" w:rsidRPr="003D749D">
        <w:t>1</w:t>
      </w:r>
      <w:r w:rsidR="002304EC">
        <w:t>,</w:t>
      </w:r>
      <w:r w:rsidR="0099569A" w:rsidRPr="003D749D">
        <w:t xml:space="preserve"> of the Covenant, since they deprived him of the possibility </w:t>
      </w:r>
      <w:r w:rsidR="002304EC">
        <w:t>of</w:t>
      </w:r>
      <w:r w:rsidR="0099569A" w:rsidRPr="003D749D">
        <w:t xml:space="preserve"> freely practi</w:t>
      </w:r>
      <w:r w:rsidR="002304EC">
        <w:t>sing</w:t>
      </w:r>
      <w:r w:rsidR="0099569A" w:rsidRPr="003D749D">
        <w:t xml:space="preserve"> his religion.</w:t>
      </w:r>
      <w:r w:rsidR="002D3275">
        <w:t xml:space="preserve"> </w:t>
      </w:r>
      <w:r w:rsidRPr="003D749D">
        <w:t xml:space="preserve">The Committee recalls its jurisprudence, which indicates that the provisions of </w:t>
      </w:r>
      <w:r w:rsidR="00EE06D9" w:rsidRPr="003D749D">
        <w:t>article </w:t>
      </w:r>
      <w:r w:rsidRPr="003D749D">
        <w:t>2 of the Covenant lay down general obligations for States parties.</w:t>
      </w:r>
      <w:r w:rsidRPr="003D749D">
        <w:rPr>
          <w:rStyle w:val="FootnoteReference"/>
        </w:rPr>
        <w:footnoteReference w:id="7"/>
      </w:r>
      <w:r w:rsidRPr="003D749D">
        <w:t xml:space="preserve"> It also considers that the provisions of </w:t>
      </w:r>
      <w:r w:rsidR="00EE06D9" w:rsidRPr="003D749D">
        <w:t>article</w:t>
      </w:r>
      <w:r w:rsidR="00E72432">
        <w:t xml:space="preserve"> </w:t>
      </w:r>
      <w:r w:rsidRPr="003D749D">
        <w:t>2</w:t>
      </w:r>
      <w:r w:rsidR="00725095" w:rsidRPr="003D749D">
        <w:t>,</w:t>
      </w:r>
      <w:r w:rsidRPr="003D749D">
        <w:t xml:space="preserve"> </w:t>
      </w:r>
      <w:r w:rsidR="00F6425C" w:rsidRPr="003D749D">
        <w:t>paragraph </w:t>
      </w:r>
      <w:r w:rsidR="00725095" w:rsidRPr="003D749D">
        <w:t>1, “to respect and to ensure… the rights recognized in the present Covenant” do not afford any separate individual right that can be invoked in conjunction with other provisions of the Covenant</w:t>
      </w:r>
      <w:r w:rsidR="005D1DC8" w:rsidRPr="003D749D">
        <w:t xml:space="preserve"> </w:t>
      </w:r>
      <w:r w:rsidR="00725095" w:rsidRPr="003D749D">
        <w:t>in a claim in a communication under the Optional Protocol.</w:t>
      </w:r>
      <w:r w:rsidR="002D3275">
        <w:t xml:space="preserve"> </w:t>
      </w:r>
      <w:r w:rsidRPr="003D749D">
        <w:t>The Committee therefore considers that the author’s claims in th</w:t>
      </w:r>
      <w:r w:rsidR="0080625F">
        <w:t>at</w:t>
      </w:r>
      <w:r w:rsidRPr="003D749D">
        <w:t xml:space="preserve"> regard are incompatible with </w:t>
      </w:r>
      <w:r w:rsidR="00EE06D9" w:rsidRPr="003D749D">
        <w:t>article </w:t>
      </w:r>
      <w:r w:rsidRPr="003D749D">
        <w:t xml:space="preserve">2 of the Covenant and inadmissible under </w:t>
      </w:r>
      <w:r w:rsidR="00EE06D9" w:rsidRPr="003D749D">
        <w:t>article </w:t>
      </w:r>
      <w:r w:rsidRPr="003D749D">
        <w:t>3 of the Optional Protocol.</w:t>
      </w:r>
      <w:r w:rsidR="005D1DC8" w:rsidRPr="003D749D">
        <w:t xml:space="preserve"> </w:t>
      </w:r>
    </w:p>
    <w:p w:rsidR="003D12CB" w:rsidRPr="003D749D" w:rsidRDefault="003D12CB" w:rsidP="0080625F">
      <w:pPr>
        <w:pStyle w:val="SingleTxtG"/>
      </w:pPr>
      <w:r w:rsidRPr="003D749D">
        <w:t>8.5</w:t>
      </w:r>
      <w:r w:rsidRPr="003D749D">
        <w:tab/>
        <w:t>The Committee considers that the author has sufficiently substantiated his claim</w:t>
      </w:r>
      <w:r w:rsidR="00684680" w:rsidRPr="003D749D">
        <w:t>s</w:t>
      </w:r>
      <w:r w:rsidRPr="003D749D">
        <w:t xml:space="preserve"> under </w:t>
      </w:r>
      <w:r w:rsidR="00EE06D9" w:rsidRPr="003D749D">
        <w:t>articles </w:t>
      </w:r>
      <w:r w:rsidRPr="003D749D">
        <w:t>18 and 26 of the Covenant, for purposes of admissibility. Accordingly, it declares th</w:t>
      </w:r>
      <w:r w:rsidR="0080625F">
        <w:t>o</w:t>
      </w:r>
      <w:r w:rsidRPr="003D749D">
        <w:t>se claims admissible and proceeds to their examination on the merits.</w:t>
      </w:r>
    </w:p>
    <w:p w:rsidR="003D12CB" w:rsidRPr="003D749D" w:rsidRDefault="003D12CB" w:rsidP="003D12CB">
      <w:pPr>
        <w:pStyle w:val="H4G"/>
      </w:pPr>
      <w:r w:rsidRPr="003D749D">
        <w:tab/>
      </w:r>
      <w:r w:rsidRPr="003D749D">
        <w:tab/>
        <w:t>Consideration of the merits</w:t>
      </w:r>
    </w:p>
    <w:p w:rsidR="003D12CB" w:rsidRPr="003D749D" w:rsidRDefault="003D12CB" w:rsidP="0080625F">
      <w:pPr>
        <w:pStyle w:val="SingleTxtG"/>
      </w:pPr>
      <w:r w:rsidRPr="003D749D">
        <w:t>9.1</w:t>
      </w:r>
      <w:r w:rsidRPr="003D749D">
        <w:tab/>
        <w:t xml:space="preserve">The Human Rights Committee has considered </w:t>
      </w:r>
      <w:r w:rsidR="0080625F">
        <w:t>the present communication</w:t>
      </w:r>
      <w:r w:rsidRPr="003D749D">
        <w:t xml:space="preserve"> in the light of all the information made available to it by the parties, as </w:t>
      </w:r>
      <w:r w:rsidR="0080625F">
        <w:t>required</w:t>
      </w:r>
      <w:r w:rsidRPr="003D749D">
        <w:t xml:space="preserve"> under </w:t>
      </w:r>
      <w:r w:rsidR="00EE06D9" w:rsidRPr="003D749D">
        <w:t>article </w:t>
      </w:r>
      <w:r w:rsidRPr="003D749D">
        <w:t xml:space="preserve">5, </w:t>
      </w:r>
      <w:r w:rsidR="00F6425C" w:rsidRPr="003D749D">
        <w:t>paragraph </w:t>
      </w:r>
      <w:r w:rsidRPr="003D749D">
        <w:t>1, of the Optional Protocol.</w:t>
      </w:r>
    </w:p>
    <w:p w:rsidR="003D12CB" w:rsidRPr="003D749D" w:rsidRDefault="003D12CB" w:rsidP="004B0856">
      <w:pPr>
        <w:pStyle w:val="SingleTxtG"/>
      </w:pPr>
      <w:r w:rsidRPr="003D749D">
        <w:t>9.2</w:t>
      </w:r>
      <w:r w:rsidRPr="003D749D">
        <w:tab/>
        <w:t xml:space="preserve">In relation to the author’s claim under </w:t>
      </w:r>
      <w:r w:rsidR="00EE06D9" w:rsidRPr="003D749D">
        <w:t>article </w:t>
      </w:r>
      <w:r w:rsidRPr="003D749D">
        <w:t>18</w:t>
      </w:r>
      <w:r w:rsidRPr="003D749D">
        <w:rPr>
          <w:rFonts w:eastAsia="Verdana"/>
        </w:rPr>
        <w:t xml:space="preserve"> </w:t>
      </w:r>
      <w:r w:rsidRPr="003D749D">
        <w:t xml:space="preserve">of the Covenant, the Committee </w:t>
      </w:r>
      <w:r w:rsidRPr="004B0856">
        <w:t xml:space="preserve">recalls that </w:t>
      </w:r>
      <w:r w:rsidR="00EE06D9" w:rsidRPr="004B0856">
        <w:t>article </w:t>
      </w:r>
      <w:r w:rsidRPr="004B0856">
        <w:t xml:space="preserve">18, </w:t>
      </w:r>
      <w:r w:rsidR="00F6425C" w:rsidRPr="004B0856">
        <w:t>paragraph </w:t>
      </w:r>
      <w:r w:rsidRPr="004B0856">
        <w:t>3</w:t>
      </w:r>
      <w:r w:rsidR="00B334A4" w:rsidRPr="004B0856">
        <w:t>,</w:t>
      </w:r>
      <w:r w:rsidRPr="004B0856">
        <w:t xml:space="preserve"> of the Covenant states that the right to freedom to </w:t>
      </w:r>
      <w:r w:rsidRPr="000A1497">
        <w:t>manifest</w:t>
      </w:r>
      <w:r w:rsidR="003D749D" w:rsidRPr="004B0856">
        <w:t xml:space="preserve"> one’</w:t>
      </w:r>
      <w:r w:rsidRPr="004B0856">
        <w:t>s religion or beliefs may be subject to certain limitations, but only those prescribed by law an</w:t>
      </w:r>
      <w:r w:rsidRPr="003D749D">
        <w:t>d necessary to protect public safety, order, health or morals or the fundamental rights and freedoms of others.</w:t>
      </w:r>
      <w:r w:rsidR="00A30DFA" w:rsidRPr="0086465F">
        <w:rPr>
          <w:rStyle w:val="FootnoteReference"/>
          <w:vertAlign w:val="baseline"/>
        </w:rPr>
        <w:t xml:space="preserve"> </w:t>
      </w:r>
      <w:r w:rsidRPr="003D749D">
        <w:t>Further, the r</w:t>
      </w:r>
      <w:r w:rsidR="003D749D" w:rsidRPr="003D749D">
        <w:t>ight to freedom to manifest one’</w:t>
      </w:r>
      <w:r w:rsidRPr="003D749D">
        <w:t>s beliefs in worship, observance, practice and teaching encompasses a broad range of acts, including those integral to the conduct by the religious group of its basic affairs, such as the freedom to choose religious leaders, priests, and teachers, and the freedom to establish seminaries or religious schools.</w:t>
      </w:r>
      <w:r w:rsidRPr="003D749D">
        <w:rPr>
          <w:rStyle w:val="FootnoteReference"/>
        </w:rPr>
        <w:footnoteReference w:id="8"/>
      </w:r>
      <w:r w:rsidRPr="003D749D">
        <w:t xml:space="preserve"> In the present case, the Committee notes that</w:t>
      </w:r>
      <w:r w:rsidR="00A30DFA">
        <w:t>,</w:t>
      </w:r>
      <w:r w:rsidRPr="003D749D">
        <w:t xml:space="preserve"> </w:t>
      </w:r>
      <w:r w:rsidR="00775EFE" w:rsidRPr="000A1497">
        <w:t>not</w:t>
      </w:r>
      <w:r w:rsidRPr="003D749D">
        <w:t xml:space="preserve"> having been registered as a foreign missionary on behalf of his church, the author was convicted for conducting missionary activity, which consisted of preaching and praying</w:t>
      </w:r>
      <w:r w:rsidR="00A30DFA">
        <w:t xml:space="preserve"> and</w:t>
      </w:r>
      <w:r w:rsidRPr="003D749D">
        <w:t xml:space="preserve"> conducting meetings and religious rituals among the followers of the church. Consistent with its </w:t>
      </w:r>
      <w:r w:rsidR="00A30DFA">
        <w:t>g</w:t>
      </w:r>
      <w:r w:rsidRPr="003D749D">
        <w:t xml:space="preserve">eneral </w:t>
      </w:r>
      <w:r w:rsidR="00A30DFA">
        <w:t>c</w:t>
      </w:r>
      <w:r w:rsidRPr="003D749D">
        <w:t>omment</w:t>
      </w:r>
      <w:r w:rsidR="004B0856">
        <w:t xml:space="preserve"> No. 22</w:t>
      </w:r>
      <w:r w:rsidRPr="003D749D">
        <w:t>, the Committee considers that th</w:t>
      </w:r>
      <w:r w:rsidR="004B0856">
        <w:t>o</w:t>
      </w:r>
      <w:r w:rsidRPr="003D749D">
        <w:t xml:space="preserve">se activities form part of the author’s right to manifest his beliefs and that the conviction and sentence to a fine and deportation and the resulting loss of his residence permit constitute limitations of </w:t>
      </w:r>
      <w:r w:rsidR="004B0856">
        <w:t>that</w:t>
      </w:r>
      <w:r w:rsidRPr="003D749D">
        <w:t xml:space="preserve"> right.</w:t>
      </w:r>
    </w:p>
    <w:p w:rsidR="003D12CB" w:rsidRPr="003D749D" w:rsidRDefault="003D12CB" w:rsidP="002F7E65">
      <w:pPr>
        <w:pStyle w:val="SingleTxtG"/>
      </w:pPr>
      <w:r w:rsidRPr="003D749D">
        <w:t>9.3</w:t>
      </w:r>
      <w:r w:rsidRPr="003D749D">
        <w:tab/>
        <w:t>The Committee must now address the question of whether the relevant limitations on the author’s right to manifest his</w:t>
      </w:r>
      <w:r w:rsidR="003D749D" w:rsidRPr="003D749D">
        <w:t xml:space="preserve"> religion are </w:t>
      </w:r>
      <w:r w:rsidR="003D749D">
        <w:t>“</w:t>
      </w:r>
      <w:r w:rsidRPr="003D749D">
        <w:t>necessary to protect public safety, order, health, or morals, or the fundamental rights and freedoms of others</w:t>
      </w:r>
      <w:r w:rsidR="003D749D">
        <w:t>”</w:t>
      </w:r>
      <w:r w:rsidRPr="003D749D">
        <w:t xml:space="preserve">, within the meaning of </w:t>
      </w:r>
      <w:r w:rsidR="00EE06D9" w:rsidRPr="003D749D">
        <w:t>article </w:t>
      </w:r>
      <w:r w:rsidRPr="003D749D">
        <w:t xml:space="preserve">18, </w:t>
      </w:r>
      <w:r w:rsidR="00F6425C" w:rsidRPr="003D749D">
        <w:t>paragraph </w:t>
      </w:r>
      <w:r w:rsidRPr="003D749D">
        <w:t xml:space="preserve">3, of the Covenant. The Committee recalls its </w:t>
      </w:r>
      <w:r w:rsidR="002F7E65">
        <w:t>g</w:t>
      </w:r>
      <w:r w:rsidRPr="003D749D">
        <w:t xml:space="preserve">eneral </w:t>
      </w:r>
      <w:r w:rsidR="002F7E65">
        <w:t>c</w:t>
      </w:r>
      <w:r w:rsidRPr="003D749D">
        <w:t>omment No</w:t>
      </w:r>
      <w:r w:rsidR="00E330A7" w:rsidRPr="003D749D">
        <w:t>. </w:t>
      </w:r>
      <w:r w:rsidRPr="003D749D">
        <w:t xml:space="preserve">22, which states that </w:t>
      </w:r>
      <w:r w:rsidR="00F6425C" w:rsidRPr="003D749D">
        <w:t>paragraph</w:t>
      </w:r>
      <w:r w:rsidR="002F7E65">
        <w:t xml:space="preserve"> </w:t>
      </w:r>
      <w:r w:rsidRPr="003D749D">
        <w:t xml:space="preserve">3 of </w:t>
      </w:r>
      <w:r w:rsidR="00EE06D9" w:rsidRPr="003D749D">
        <w:t>article </w:t>
      </w:r>
      <w:r w:rsidRPr="003D749D">
        <w:t xml:space="preserve">18 is to be interpreted strictly, and that limitations may be applied </w:t>
      </w:r>
      <w:r w:rsidR="002F7E65">
        <w:t xml:space="preserve">only </w:t>
      </w:r>
      <w:r w:rsidRPr="003D749D">
        <w:t xml:space="preserve">for those purposes for which they </w:t>
      </w:r>
      <w:r w:rsidR="002F7E65">
        <w:t>were</w:t>
      </w:r>
      <w:r w:rsidR="002F7E65" w:rsidRPr="003D749D">
        <w:t xml:space="preserve"> </w:t>
      </w:r>
      <w:r w:rsidRPr="003D749D">
        <w:t>prescribed and must be directly related to and proportionate to the specific need on which they are predicated.</w:t>
      </w:r>
      <w:r w:rsidR="005D1DC8" w:rsidRPr="003D749D">
        <w:t xml:space="preserve"> </w:t>
      </w:r>
      <w:r w:rsidRPr="003D749D">
        <w:t>The Committee further recalls that</w:t>
      </w:r>
      <w:r w:rsidR="002F7E65">
        <w:t>,</w:t>
      </w:r>
      <w:r w:rsidRPr="003D749D">
        <w:t xml:space="preserve"> in interpreting the scope of permissible limitation clauses, States parties should proceed from the need to protect the rights guaranteed under the Covenant, including the right to equality and non-discrimination on all grounds specified in </w:t>
      </w:r>
      <w:r w:rsidR="00EE06D9" w:rsidRPr="003D749D">
        <w:t>articles </w:t>
      </w:r>
      <w:r w:rsidRPr="003D749D">
        <w:t>2, 3 and 26.</w:t>
      </w:r>
      <w:r w:rsidRPr="003D749D">
        <w:rPr>
          <w:rStyle w:val="FootnoteReference"/>
        </w:rPr>
        <w:footnoteReference w:id="9"/>
      </w:r>
    </w:p>
    <w:p w:rsidR="003D12CB" w:rsidRPr="003D749D" w:rsidRDefault="003D12CB" w:rsidP="0068354B">
      <w:pPr>
        <w:pStyle w:val="SingleTxtG"/>
      </w:pPr>
      <w:r w:rsidRPr="003D749D">
        <w:t>9.4</w:t>
      </w:r>
      <w:r w:rsidRPr="003D749D">
        <w:tab/>
        <w:t xml:space="preserve">The Committee notes that the State party has not advanced any argument as to why it is </w:t>
      </w:r>
      <w:r w:rsidRPr="003D749D">
        <w:rPr>
          <w:iCs/>
        </w:rPr>
        <w:t>necessary</w:t>
      </w:r>
      <w:r w:rsidR="00A233A0">
        <w:rPr>
          <w:iCs/>
        </w:rPr>
        <w:t>,</w:t>
      </w:r>
      <w:r w:rsidRPr="003D749D">
        <w:t xml:space="preserve"> for the purposes of </w:t>
      </w:r>
      <w:r w:rsidR="00EE06D9" w:rsidRPr="003D749D">
        <w:t>article </w:t>
      </w:r>
      <w:r w:rsidRPr="003D749D">
        <w:t xml:space="preserve">18, </w:t>
      </w:r>
      <w:r w:rsidR="00F6425C" w:rsidRPr="003D749D">
        <w:t>paragraph </w:t>
      </w:r>
      <w:r w:rsidRPr="003D749D">
        <w:t>3, for the author</w:t>
      </w:r>
      <w:r w:rsidR="00A233A0">
        <w:t>,</w:t>
      </w:r>
      <w:r w:rsidRPr="003D749D">
        <w:t xml:space="preserve"> in order to engage in prayer together with his associates from the same church, in conducting meetings between them in the premises of the church and in preaching, to first register as a foreign missionary. In fact</w:t>
      </w:r>
      <w:r w:rsidR="00474E2F">
        <w:t>,</w:t>
      </w:r>
      <w:r w:rsidRPr="003D749D">
        <w:t xml:space="preserve"> the State party has not sought to justify the infringement of rights</w:t>
      </w:r>
      <w:r w:rsidR="007A2DCD">
        <w:t>,</w:t>
      </w:r>
      <w:r w:rsidRPr="003D749D">
        <w:t xml:space="preserve"> other than by citing a provision of the domestic law </w:t>
      </w:r>
      <w:r w:rsidR="00467412">
        <w:t>that requires</w:t>
      </w:r>
      <w:r w:rsidR="00467412" w:rsidRPr="003D749D">
        <w:t xml:space="preserve"> </w:t>
      </w:r>
      <w:r w:rsidRPr="003D749D">
        <w:t xml:space="preserve">foreign missionaries to register their religious associations. </w:t>
      </w:r>
      <w:r w:rsidR="00725095" w:rsidRPr="003D749D">
        <w:t>The</w:t>
      </w:r>
      <w:r w:rsidR="005D1DC8" w:rsidRPr="003D749D">
        <w:t xml:space="preserve"> </w:t>
      </w:r>
      <w:r w:rsidR="00725095" w:rsidRPr="003D749D">
        <w:t xml:space="preserve">Committee reiterates that </w:t>
      </w:r>
      <w:r w:rsidR="00EE06D9" w:rsidRPr="003D749D">
        <w:t>article </w:t>
      </w:r>
      <w:r w:rsidR="00725095" w:rsidRPr="003D749D">
        <w:t xml:space="preserve">18, </w:t>
      </w:r>
      <w:r w:rsidR="00F6425C" w:rsidRPr="003D749D">
        <w:t>paragraph </w:t>
      </w:r>
      <w:r w:rsidR="00725095" w:rsidRPr="003D749D">
        <w:t xml:space="preserve">1, </w:t>
      </w:r>
      <w:r w:rsidR="007A2DCD">
        <w:t xml:space="preserve">of the Covenant </w:t>
      </w:r>
      <w:r w:rsidR="00725095" w:rsidRPr="003D749D">
        <w:t>protects the right of all members of a religious congregation, not only missionaries, and not only citizens, to manifest their religion in community with others, in worship, observance, practice and teaching.</w:t>
      </w:r>
      <w:r w:rsidR="005D1DC8" w:rsidRPr="003D749D">
        <w:t xml:space="preserve"> </w:t>
      </w:r>
      <w:r w:rsidRPr="003D749D">
        <w:t xml:space="preserve">The Committee also notes that the author’s submission, uncontested by the State party, that the church </w:t>
      </w:r>
      <w:r w:rsidR="007A2DCD">
        <w:t xml:space="preserve">that </w:t>
      </w:r>
      <w:r w:rsidRPr="003D749D">
        <w:t>he was frequenting had existed in Kazakhstan since he was a child and that he had participated in its religious activities before and after he had obtained German citizenship. The Committee concludes that the punishment imposed on the author</w:t>
      </w:r>
      <w:r w:rsidR="00775EFE" w:rsidRPr="003D749D">
        <w:t>, and in particular its</w:t>
      </w:r>
      <w:r w:rsidR="00775EFE" w:rsidRPr="000A1497">
        <w:t xml:space="preserve"> harsh consequences for t</w:t>
      </w:r>
      <w:r w:rsidR="00775EFE" w:rsidRPr="003D749D">
        <w:t>he author, who is facing deportation,</w:t>
      </w:r>
      <w:r w:rsidR="005D1DC8" w:rsidRPr="003D749D">
        <w:t xml:space="preserve"> </w:t>
      </w:r>
      <w:r w:rsidRPr="003D749D">
        <w:t xml:space="preserve">amount to a limitation of the author’s right to manifest his religion under </w:t>
      </w:r>
      <w:r w:rsidR="00EE06D9" w:rsidRPr="003D749D">
        <w:t>article </w:t>
      </w:r>
      <w:r w:rsidRPr="003D749D">
        <w:t xml:space="preserve">18, </w:t>
      </w:r>
      <w:r w:rsidR="00F6425C" w:rsidRPr="003D749D">
        <w:t>paragraph </w:t>
      </w:r>
      <w:r w:rsidRPr="003D749D">
        <w:t>1</w:t>
      </w:r>
      <w:r w:rsidR="00F27E5F" w:rsidRPr="003D749D">
        <w:t xml:space="preserve">; that </w:t>
      </w:r>
      <w:r w:rsidR="0068354B">
        <w:t>the limitation</w:t>
      </w:r>
      <w:r w:rsidR="0068354B" w:rsidRPr="003D749D">
        <w:t xml:space="preserve"> </w:t>
      </w:r>
      <w:r w:rsidR="00725095" w:rsidRPr="003D749D">
        <w:t xml:space="preserve">has not been shown to serve any legitimate purpose identified in </w:t>
      </w:r>
      <w:r w:rsidR="00EE06D9" w:rsidRPr="003D749D">
        <w:t>article </w:t>
      </w:r>
      <w:r w:rsidR="00725095" w:rsidRPr="003D749D">
        <w:t xml:space="preserve">18, </w:t>
      </w:r>
      <w:r w:rsidR="00F6425C" w:rsidRPr="003D749D">
        <w:t>paragraph </w:t>
      </w:r>
      <w:r w:rsidR="00725095" w:rsidRPr="003D749D">
        <w:t xml:space="preserve">3; </w:t>
      </w:r>
      <w:r w:rsidR="0068354B">
        <w:t xml:space="preserve">and </w:t>
      </w:r>
      <w:r w:rsidR="00725095" w:rsidRPr="003D749D">
        <w:t>neither has the State party shown that this sweeping limitation of the right to manifest religion is proportionate to any legitimate purpose that it might serve.</w:t>
      </w:r>
      <w:r w:rsidR="005D1DC8" w:rsidRPr="003D749D">
        <w:t xml:space="preserve"> </w:t>
      </w:r>
      <w:r w:rsidR="00725095" w:rsidRPr="003D749D">
        <w:t>The limitation therefore</w:t>
      </w:r>
      <w:r w:rsidRPr="003D749D">
        <w:t xml:space="preserve"> does not meet the requirements of </w:t>
      </w:r>
      <w:r w:rsidR="00EE06D9" w:rsidRPr="003D749D">
        <w:t>article </w:t>
      </w:r>
      <w:r w:rsidRPr="003D749D">
        <w:t xml:space="preserve">18, </w:t>
      </w:r>
      <w:r w:rsidR="00F6425C" w:rsidRPr="003D749D">
        <w:t>paragraph </w:t>
      </w:r>
      <w:r w:rsidRPr="003D749D">
        <w:t>3</w:t>
      </w:r>
      <w:r w:rsidR="007A2DCD">
        <w:t>,</w:t>
      </w:r>
      <w:r w:rsidR="00725095" w:rsidRPr="003D749D">
        <w:t xml:space="preserve"> and the Committee </w:t>
      </w:r>
      <w:r w:rsidR="00775EFE" w:rsidRPr="003D749D">
        <w:t xml:space="preserve">accordingly </w:t>
      </w:r>
      <w:r w:rsidR="00725095" w:rsidRPr="003D749D">
        <w:t>find</w:t>
      </w:r>
      <w:r w:rsidR="00775EFE" w:rsidRPr="003D749D">
        <w:t>s</w:t>
      </w:r>
      <w:r w:rsidR="00725095" w:rsidRPr="003D749D">
        <w:t xml:space="preserve"> that the</w:t>
      </w:r>
      <w:r w:rsidRPr="003D749D">
        <w:t xml:space="preserve"> author’s rights under </w:t>
      </w:r>
      <w:r w:rsidR="00EE06D9" w:rsidRPr="003D749D">
        <w:t>article </w:t>
      </w:r>
      <w:r w:rsidRPr="003D749D">
        <w:t xml:space="preserve">18, </w:t>
      </w:r>
      <w:r w:rsidR="00F6425C" w:rsidRPr="003D749D">
        <w:t>paragraph </w:t>
      </w:r>
      <w:r w:rsidRPr="003D749D">
        <w:t>1</w:t>
      </w:r>
      <w:r w:rsidR="007A2DCD">
        <w:t>,</w:t>
      </w:r>
      <w:r w:rsidR="005D1DC8" w:rsidRPr="003D749D">
        <w:t xml:space="preserve"> </w:t>
      </w:r>
      <w:r w:rsidRPr="003D749D">
        <w:t>have been violated.</w:t>
      </w:r>
    </w:p>
    <w:p w:rsidR="003D12CB" w:rsidRPr="003D749D" w:rsidRDefault="003D12CB" w:rsidP="00D9504B">
      <w:pPr>
        <w:pStyle w:val="SingleTxtG"/>
      </w:pPr>
      <w:r w:rsidRPr="003D749D">
        <w:t>9.5</w:t>
      </w:r>
      <w:r w:rsidRPr="003D749D">
        <w:tab/>
      </w:r>
      <w:r w:rsidR="003323B8" w:rsidRPr="003D749D">
        <w:t xml:space="preserve">In the light of its finding that there has been a violation of </w:t>
      </w:r>
      <w:r w:rsidR="00EE06D9" w:rsidRPr="003D749D">
        <w:t>article </w:t>
      </w:r>
      <w:r w:rsidR="003323B8" w:rsidRPr="003D749D">
        <w:t xml:space="preserve">18 of the Covenant, the Committee will not pronounce on </w:t>
      </w:r>
      <w:r w:rsidR="00D9504B">
        <w:t xml:space="preserve">a </w:t>
      </w:r>
      <w:r w:rsidR="003323B8" w:rsidRPr="003D749D">
        <w:t xml:space="preserve">possible violation of </w:t>
      </w:r>
      <w:r w:rsidR="00EE06D9" w:rsidRPr="003D749D">
        <w:t>article</w:t>
      </w:r>
      <w:r w:rsidR="00D9504B">
        <w:t xml:space="preserve"> </w:t>
      </w:r>
      <w:r w:rsidR="003323B8" w:rsidRPr="003D749D">
        <w:t>26</w:t>
      </w:r>
      <w:r w:rsidR="00276E56" w:rsidRPr="003D749D">
        <w:t xml:space="preserve"> of the Covenant.</w:t>
      </w:r>
    </w:p>
    <w:p w:rsidR="003D12CB" w:rsidRPr="003D749D" w:rsidRDefault="003D12CB" w:rsidP="00C76D8E">
      <w:pPr>
        <w:pStyle w:val="SingleTxtG"/>
      </w:pPr>
      <w:r w:rsidRPr="003D749D">
        <w:t>10.</w:t>
      </w:r>
      <w:r w:rsidRPr="003D749D">
        <w:tab/>
        <w:t xml:space="preserve">The Human Rights Committee, acting under </w:t>
      </w:r>
      <w:r w:rsidR="00EE06D9" w:rsidRPr="003D749D">
        <w:t>article </w:t>
      </w:r>
      <w:r w:rsidRPr="003D749D">
        <w:t xml:space="preserve">5, </w:t>
      </w:r>
      <w:r w:rsidR="00F6425C" w:rsidRPr="003D749D">
        <w:t>paragraph </w:t>
      </w:r>
      <w:r w:rsidRPr="003D749D">
        <w:t>4, of the Optional Protocol to the International Covenant on Civil and Political Rights, is of the view that the facts before it disclose</w:t>
      </w:r>
      <w:r w:rsidR="00C76D8E">
        <w:t>s</w:t>
      </w:r>
      <w:r w:rsidRPr="003D749D">
        <w:t xml:space="preserve"> a violation by </w:t>
      </w:r>
      <w:r w:rsidR="00C76D8E">
        <w:t>the State party</w:t>
      </w:r>
      <w:r w:rsidR="00C76D8E" w:rsidRPr="003D749D">
        <w:t xml:space="preserve"> </w:t>
      </w:r>
      <w:r w:rsidRPr="003D749D">
        <w:t>of the auth</w:t>
      </w:r>
      <w:r w:rsidR="003D749D">
        <w:t>or’</w:t>
      </w:r>
      <w:r w:rsidRPr="003D749D">
        <w:t xml:space="preserve">s rights under </w:t>
      </w:r>
      <w:r w:rsidR="00EE06D9" w:rsidRPr="003D749D">
        <w:t>article </w:t>
      </w:r>
      <w:r w:rsidRPr="003D749D">
        <w:t>18 of the Covenant.</w:t>
      </w:r>
    </w:p>
    <w:p w:rsidR="003D12CB" w:rsidRPr="003D749D" w:rsidRDefault="003D12CB" w:rsidP="00B57691">
      <w:pPr>
        <w:pStyle w:val="SingleTxtG"/>
      </w:pPr>
      <w:r w:rsidRPr="003D749D">
        <w:t>11.</w:t>
      </w:r>
      <w:r w:rsidRPr="003D749D">
        <w:tab/>
        <w:t xml:space="preserve">In accordance with </w:t>
      </w:r>
      <w:r w:rsidR="00B57691" w:rsidRPr="003D749D">
        <w:t>article</w:t>
      </w:r>
      <w:r w:rsidR="00B57691">
        <w:t xml:space="preserve"> </w:t>
      </w:r>
      <w:r w:rsidRPr="003D749D">
        <w:t xml:space="preserve">2, </w:t>
      </w:r>
      <w:r w:rsidR="00B57691" w:rsidRPr="003D749D">
        <w:t>paragraph</w:t>
      </w:r>
      <w:r w:rsidR="00B57691">
        <w:t xml:space="preserve"> </w:t>
      </w:r>
      <w:r w:rsidRPr="003D749D">
        <w:t xml:space="preserve">3 (a), of the Covenant, the State party is under an obligation to provide the author with an effective remedy, including review of his conviction and review of the cancellation of his residence permit. The State party is also under an obligation to prevent similar violations in the future. </w:t>
      </w:r>
    </w:p>
    <w:p w:rsidR="003D12CB" w:rsidRPr="003D749D" w:rsidRDefault="003D12CB" w:rsidP="006D6B2D">
      <w:pPr>
        <w:pStyle w:val="SingleTxtG"/>
      </w:pPr>
      <w:r w:rsidRPr="003D749D">
        <w:t>12.</w:t>
      </w:r>
      <w:r w:rsidRPr="003D749D">
        <w:tab/>
        <w:t xml:space="preserve">Bearing in mind that, by becoming a party to the Optional Protocol, the State party has recognized the competence of the Committee to determine whether </w:t>
      </w:r>
      <w:r w:rsidR="00B8779F">
        <w:t xml:space="preserve">or not </w:t>
      </w:r>
      <w:r w:rsidRPr="003D749D">
        <w:t xml:space="preserve">there has been a violation of the Covenant and that, pursuant to </w:t>
      </w:r>
      <w:r w:rsidR="00EE06D9" w:rsidRPr="003D749D">
        <w:t>article</w:t>
      </w:r>
      <w:r w:rsidR="00744EAD">
        <w:t xml:space="preserve"> </w:t>
      </w:r>
      <w:r w:rsidRPr="003D749D">
        <w:t xml:space="preserve">2 of the Covenant, the State party has undertaken to ensure to all individuals within its territory or subject to its jurisdiction the rights recognized in the Covenant and to provide an effective and enforceable remedy </w:t>
      </w:r>
      <w:r w:rsidR="00744EAD">
        <w:t>when</w:t>
      </w:r>
      <w:r w:rsidRPr="003D749D">
        <w:t xml:space="preserve"> a violation has been established, the Committee wishes to receive from the State party, within 180 days, information about the measures taken </w:t>
      </w:r>
      <w:r w:rsidR="00E330A7" w:rsidRPr="003D749D">
        <w:t>to give effect to the Committee</w:t>
      </w:r>
      <w:r w:rsidR="003D749D" w:rsidRPr="003D749D">
        <w:t>’</w:t>
      </w:r>
      <w:r w:rsidRPr="003D749D">
        <w:t>s Views. The State party is also req</w:t>
      </w:r>
      <w:r w:rsidR="00E330A7" w:rsidRPr="003D749D">
        <w:t xml:space="preserve">uested to publish </w:t>
      </w:r>
      <w:r w:rsidR="00744EAD">
        <w:t>the present</w:t>
      </w:r>
      <w:r w:rsidRPr="003D749D">
        <w:t xml:space="preserve"> Views, to have them translated in</w:t>
      </w:r>
      <w:r w:rsidR="00744EAD">
        <w:t>to the</w:t>
      </w:r>
      <w:r w:rsidRPr="003D749D">
        <w:t xml:space="preserve"> official languages of the State party</w:t>
      </w:r>
      <w:r w:rsidR="006D6B2D">
        <w:t>,</w:t>
      </w:r>
      <w:r w:rsidRPr="003D749D">
        <w:t xml:space="preserve"> and </w:t>
      </w:r>
      <w:r w:rsidR="006D6B2D">
        <w:t xml:space="preserve">to have them </w:t>
      </w:r>
      <w:r w:rsidRPr="003D749D">
        <w:t xml:space="preserve">widely </w:t>
      </w:r>
      <w:r w:rsidR="006D6B2D">
        <w:t>disseminated</w:t>
      </w:r>
      <w:r w:rsidRPr="003D749D">
        <w:t>.</w:t>
      </w:r>
    </w:p>
    <w:p w:rsidR="005D1DC8" w:rsidRPr="003D749D" w:rsidRDefault="003D12CB" w:rsidP="003D12CB">
      <w:pPr>
        <w:pStyle w:val="SingleTxtG"/>
        <w:spacing w:before="240" w:after="0"/>
        <w:jc w:val="center"/>
        <w:rPr>
          <w:u w:val="single"/>
        </w:rPr>
        <w:sectPr w:rsidR="005D1DC8" w:rsidRPr="003D749D" w:rsidSect="00781C83">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pPr>
      <w:r w:rsidRPr="003D749D">
        <w:rPr>
          <w:u w:val="single"/>
        </w:rPr>
        <w:tab/>
      </w:r>
      <w:r w:rsidRPr="003D749D">
        <w:rPr>
          <w:u w:val="single"/>
        </w:rPr>
        <w:tab/>
      </w:r>
      <w:r w:rsidRPr="003D749D">
        <w:rPr>
          <w:u w:val="single"/>
        </w:rPr>
        <w:tab/>
      </w:r>
    </w:p>
    <w:p w:rsidR="000718A7" w:rsidRPr="003D749D" w:rsidRDefault="000718A7" w:rsidP="000718A7">
      <w:pPr>
        <w:pStyle w:val="HChG"/>
      </w:pPr>
      <w:r w:rsidRPr="003D749D">
        <w:t>Appendices</w:t>
      </w:r>
    </w:p>
    <w:p w:rsidR="000718A7" w:rsidRPr="003D749D" w:rsidRDefault="000718A7" w:rsidP="000718A7">
      <w:pPr>
        <w:keepNext/>
        <w:keepLines/>
        <w:tabs>
          <w:tab w:val="right" w:pos="851"/>
        </w:tabs>
        <w:spacing w:before="360" w:after="240" w:line="300" w:lineRule="exact"/>
        <w:ind w:left="1134" w:right="1134" w:hanging="1134"/>
        <w:rPr>
          <w:b/>
          <w:sz w:val="28"/>
        </w:rPr>
      </w:pPr>
      <w:r w:rsidRPr="003D749D">
        <w:rPr>
          <w:b/>
          <w:sz w:val="28"/>
        </w:rPr>
        <w:t>Appendix I</w:t>
      </w:r>
    </w:p>
    <w:p w:rsidR="000718A7" w:rsidRPr="003D749D" w:rsidRDefault="000718A7" w:rsidP="00872A40">
      <w:pPr>
        <w:spacing w:after="120"/>
        <w:ind w:left="1134" w:right="1134"/>
        <w:jc w:val="right"/>
      </w:pPr>
      <w:r w:rsidRPr="003D749D">
        <w:t>[Original: English]</w:t>
      </w:r>
    </w:p>
    <w:p w:rsidR="000718A7" w:rsidRPr="003D749D" w:rsidRDefault="000718A7" w:rsidP="000A1497">
      <w:pPr>
        <w:pStyle w:val="H1G"/>
      </w:pPr>
      <w:r w:rsidRPr="003D749D">
        <w:tab/>
      </w:r>
      <w:r w:rsidRPr="003D749D">
        <w:tab/>
        <w:t xml:space="preserve">Individual opinion of Committee member Gerald L. Neuman (concurring) </w:t>
      </w:r>
    </w:p>
    <w:p w:rsidR="005D1DC8" w:rsidRPr="003D749D" w:rsidRDefault="005D1DC8" w:rsidP="005D1DC8">
      <w:pPr>
        <w:pStyle w:val="SingleTxtG"/>
      </w:pPr>
      <w:r w:rsidRPr="003D749D">
        <w:t>1.</w:t>
      </w:r>
      <w:r w:rsidRPr="003D749D">
        <w:tab/>
        <w:t>I concur fully in the reasoning and conclusions of the Committee, and write separately to make two brief observations.</w:t>
      </w:r>
    </w:p>
    <w:p w:rsidR="005D1DC8" w:rsidRPr="003D749D" w:rsidRDefault="005D1DC8" w:rsidP="00AF5E16">
      <w:pPr>
        <w:pStyle w:val="SingleTxtG"/>
      </w:pPr>
      <w:r w:rsidRPr="003D749D">
        <w:t>2.</w:t>
      </w:r>
      <w:r w:rsidRPr="003D749D">
        <w:tab/>
        <w:t xml:space="preserve">In </w:t>
      </w:r>
      <w:r w:rsidR="00F6425C" w:rsidRPr="003D749D">
        <w:t>paragraph</w:t>
      </w:r>
      <w:r w:rsidR="00AF5E16">
        <w:t xml:space="preserve"> </w:t>
      </w:r>
      <w:r w:rsidRPr="003D749D">
        <w:t xml:space="preserve">8.4 of its Views, the Committee discusses a claim relating to </w:t>
      </w:r>
      <w:r w:rsidR="00EE06D9" w:rsidRPr="003D749D">
        <w:t>article </w:t>
      </w:r>
      <w:r w:rsidRPr="003D749D">
        <w:t xml:space="preserve">2, </w:t>
      </w:r>
      <w:r w:rsidR="00F6425C" w:rsidRPr="003D749D">
        <w:t>paragraph </w:t>
      </w:r>
      <w:r w:rsidRPr="003D749D">
        <w:t xml:space="preserve">1, of the Covenant, which apparently asserts that by interfering with the author’s right to practice his religion, the State party failed to “to respect and to ensure” to him his right under </w:t>
      </w:r>
      <w:r w:rsidR="00EE06D9" w:rsidRPr="003D749D">
        <w:t>article </w:t>
      </w:r>
      <w:r w:rsidRPr="003D749D">
        <w:t xml:space="preserve">18 of the Covenant. The Committee finds this claim under </w:t>
      </w:r>
      <w:r w:rsidR="00EE06D9" w:rsidRPr="003D749D">
        <w:t>article </w:t>
      </w:r>
      <w:r w:rsidRPr="003D749D">
        <w:t xml:space="preserve">2, </w:t>
      </w:r>
      <w:r w:rsidR="00F6425C" w:rsidRPr="003D749D">
        <w:t>paragraph </w:t>
      </w:r>
      <w:r w:rsidRPr="003D749D">
        <w:t xml:space="preserve">1, in conjunction with </w:t>
      </w:r>
      <w:r w:rsidR="00EE06D9" w:rsidRPr="003D749D">
        <w:t>article </w:t>
      </w:r>
      <w:r w:rsidRPr="003D749D">
        <w:t>18, inadmissible</w:t>
      </w:r>
      <w:r w:rsidR="00B163BD">
        <w:t>,</w:t>
      </w:r>
      <w:r w:rsidRPr="003D749D">
        <w:t xml:space="preserve"> because there is no such individual right in addition to the right under </w:t>
      </w:r>
      <w:r w:rsidR="00EE06D9" w:rsidRPr="003D749D">
        <w:t>article </w:t>
      </w:r>
      <w:r w:rsidRPr="003D749D">
        <w:t xml:space="preserve">18 itself. The Committee subsequently goes on to find a violation of </w:t>
      </w:r>
      <w:r w:rsidR="00EE06D9" w:rsidRPr="003D749D">
        <w:t>article </w:t>
      </w:r>
      <w:r w:rsidRPr="003D749D">
        <w:t xml:space="preserve">18, taken alone. The Committee does not need to combine </w:t>
      </w:r>
      <w:r w:rsidR="00EE06D9" w:rsidRPr="003D749D">
        <w:t>article </w:t>
      </w:r>
      <w:r w:rsidRPr="003D749D">
        <w:t xml:space="preserve">18 with </w:t>
      </w:r>
      <w:r w:rsidR="00B163BD">
        <w:t>S</w:t>
      </w:r>
      <w:r w:rsidRPr="003D749D">
        <w:t xml:space="preserve">tates’ basic obligation under </w:t>
      </w:r>
      <w:r w:rsidR="00EE06D9" w:rsidRPr="003D749D">
        <w:t>article </w:t>
      </w:r>
      <w:r w:rsidRPr="003D749D">
        <w:t xml:space="preserve">2, </w:t>
      </w:r>
      <w:r w:rsidR="00F6425C" w:rsidRPr="003D749D">
        <w:t>paragraph </w:t>
      </w:r>
      <w:r w:rsidRPr="003D749D">
        <w:t xml:space="preserve">1, in order to find a violation, and if the Committee added such a violation in </w:t>
      </w:r>
      <w:r w:rsidR="00C34906">
        <w:t>the present</w:t>
      </w:r>
      <w:r w:rsidRPr="003D749D">
        <w:t xml:space="preserve"> case, it would have to add redundant violations involving </w:t>
      </w:r>
      <w:r w:rsidR="00EE06D9" w:rsidRPr="003D749D">
        <w:t>article </w:t>
      </w:r>
      <w:r w:rsidRPr="003D749D">
        <w:t xml:space="preserve">2, </w:t>
      </w:r>
      <w:r w:rsidR="00F6425C" w:rsidRPr="003D749D">
        <w:t>paragraph </w:t>
      </w:r>
      <w:r w:rsidRPr="003D749D">
        <w:t>1, in every instance in which it finds a violation of a substantive right. This would make no practical contribution to the protection of human rights.</w:t>
      </w:r>
      <w:r w:rsidRPr="003D749D">
        <w:rPr>
          <w:vertAlign w:val="superscript"/>
        </w:rPr>
        <w:footnoteReference w:id="10"/>
      </w:r>
    </w:p>
    <w:p w:rsidR="005D1DC8" w:rsidRPr="003D749D" w:rsidRDefault="005D1DC8" w:rsidP="009C7E58">
      <w:pPr>
        <w:pStyle w:val="SingleTxtG"/>
      </w:pPr>
      <w:r w:rsidRPr="003D749D">
        <w:t>3.</w:t>
      </w:r>
      <w:r w:rsidRPr="003D749D">
        <w:tab/>
      </w:r>
      <w:r w:rsidR="00F6425C" w:rsidRPr="003D749D">
        <w:t>Paragraph</w:t>
      </w:r>
      <w:r w:rsidR="00AF5E16">
        <w:t xml:space="preserve"> </w:t>
      </w:r>
      <w:r w:rsidRPr="003D749D">
        <w:t xml:space="preserve">8.4 does not, however, call into question the Committee’s traditional practice of recognizing discrimination with respect to a right protected by </w:t>
      </w:r>
      <w:r w:rsidR="00EE06D9" w:rsidRPr="003D749D">
        <w:t>articles</w:t>
      </w:r>
      <w:r w:rsidR="00AF5E16">
        <w:t xml:space="preserve"> </w:t>
      </w:r>
      <w:r w:rsidRPr="003D749D">
        <w:t>6</w:t>
      </w:r>
      <w:r w:rsidR="00350BDD">
        <w:t xml:space="preserve"> </w:t>
      </w:r>
      <w:r w:rsidR="00AF5E16">
        <w:t>to</w:t>
      </w:r>
      <w:r w:rsidRPr="003D749D">
        <w:t xml:space="preserve"> 27 of the Covenant as raising issues under the final phrase of </w:t>
      </w:r>
      <w:r w:rsidR="00EE06D9" w:rsidRPr="003D749D">
        <w:t>article</w:t>
      </w:r>
      <w:r w:rsidR="008D146A">
        <w:t xml:space="preserve"> </w:t>
      </w:r>
      <w:r w:rsidRPr="003D749D">
        <w:t xml:space="preserve">2, </w:t>
      </w:r>
      <w:r w:rsidR="00F6425C" w:rsidRPr="003D749D">
        <w:t>paragraph</w:t>
      </w:r>
      <w:r w:rsidR="008D146A">
        <w:t xml:space="preserve"> </w:t>
      </w:r>
      <w:r w:rsidRPr="003D749D">
        <w:t>1, in conjunction with that substantive right.</w:t>
      </w:r>
      <w:r w:rsidRPr="003D749D">
        <w:rPr>
          <w:vertAlign w:val="superscript"/>
        </w:rPr>
        <w:footnoteReference w:id="11"/>
      </w:r>
      <w:r w:rsidRPr="003D749D">
        <w:t xml:space="preserve"> The author’s submissions do not appear to assert a claim of th</w:t>
      </w:r>
      <w:r w:rsidR="009C7E58">
        <w:t>at</w:t>
      </w:r>
      <w:r w:rsidRPr="003D749D">
        <w:t xml:space="preserve"> kind in relation to </w:t>
      </w:r>
      <w:r w:rsidR="00EE06D9" w:rsidRPr="003D749D">
        <w:t>article </w:t>
      </w:r>
      <w:r w:rsidRPr="003D749D">
        <w:t xml:space="preserve">2, </w:t>
      </w:r>
      <w:r w:rsidR="00F6425C" w:rsidRPr="003D749D">
        <w:t>paragraph </w:t>
      </w:r>
      <w:r w:rsidRPr="003D749D">
        <w:t>1.</w:t>
      </w:r>
    </w:p>
    <w:p w:rsidR="000718A7" w:rsidRPr="003D749D" w:rsidRDefault="000718A7" w:rsidP="000A1497">
      <w:pPr>
        <w:pStyle w:val="SingleTxtG"/>
      </w:pPr>
    </w:p>
    <w:p w:rsidR="000718A7" w:rsidRPr="003D749D" w:rsidRDefault="000718A7" w:rsidP="000718A7">
      <w:pPr>
        <w:pStyle w:val="SingleTxtG"/>
        <w:sectPr w:rsidR="000718A7" w:rsidRPr="003D749D" w:rsidSect="000A1497">
          <w:footnotePr>
            <w:numFmt w:val="lowerLetter"/>
            <w:numRestart w:val="eachSect"/>
          </w:footnotePr>
          <w:endnotePr>
            <w:numFmt w:val="decimal"/>
          </w:endnotePr>
          <w:pgSz w:w="11907" w:h="16840" w:code="9"/>
          <w:pgMar w:top="1701" w:right="1134" w:bottom="2268" w:left="1134" w:header="1134" w:footer="1701" w:gutter="0"/>
          <w:cols w:space="720"/>
          <w:docGrid w:linePitch="272"/>
        </w:sectPr>
      </w:pPr>
    </w:p>
    <w:p w:rsidR="000718A7" w:rsidRPr="003D749D" w:rsidRDefault="000718A7" w:rsidP="000718A7">
      <w:pPr>
        <w:pStyle w:val="HChG"/>
      </w:pPr>
      <w:r w:rsidRPr="003D749D">
        <w:t>Appendix II</w:t>
      </w:r>
    </w:p>
    <w:p w:rsidR="000718A7" w:rsidRPr="003D749D" w:rsidRDefault="000718A7" w:rsidP="000718A7">
      <w:pPr>
        <w:pStyle w:val="SingleTxtG"/>
        <w:jc w:val="right"/>
      </w:pPr>
      <w:r w:rsidRPr="003D749D">
        <w:t>[Original: Spanish]</w:t>
      </w:r>
    </w:p>
    <w:p w:rsidR="000718A7" w:rsidRPr="003D749D" w:rsidRDefault="000718A7" w:rsidP="00E433FF">
      <w:pPr>
        <w:pStyle w:val="H1G"/>
      </w:pPr>
      <w:r w:rsidRPr="003D749D">
        <w:tab/>
      </w:r>
      <w:r w:rsidRPr="003D749D">
        <w:tab/>
        <w:t xml:space="preserve">Individual opinion of Committee member Fabián </w:t>
      </w:r>
      <w:r w:rsidR="00E27F2A">
        <w:t xml:space="preserve">Omar </w:t>
      </w:r>
      <w:r w:rsidRPr="003D749D">
        <w:t xml:space="preserve">Salvioli </w:t>
      </w:r>
    </w:p>
    <w:p w:rsidR="000718A7" w:rsidRPr="003D749D" w:rsidRDefault="000718A7" w:rsidP="00E72432">
      <w:pPr>
        <w:spacing w:after="120"/>
        <w:ind w:left="1134" w:right="1134"/>
        <w:jc w:val="both"/>
        <w:rPr>
          <w:rFonts w:eastAsia="SimSun"/>
          <w:lang w:eastAsia="zh-CN"/>
        </w:rPr>
      </w:pPr>
      <w:r w:rsidRPr="003D749D">
        <w:rPr>
          <w:rFonts w:eastAsia="SimSun"/>
          <w:lang w:eastAsia="zh-CN"/>
        </w:rPr>
        <w:t>1.</w:t>
      </w:r>
      <w:r w:rsidRPr="003D749D">
        <w:rPr>
          <w:rFonts w:eastAsia="SimSun"/>
          <w:lang w:eastAsia="zh-CN"/>
        </w:rPr>
        <w:tab/>
        <w:t xml:space="preserve">I share the opinion of the Committee in </w:t>
      </w:r>
      <w:r w:rsidRPr="003D749D">
        <w:rPr>
          <w:rFonts w:eastAsia="SimSun"/>
          <w:i/>
          <w:iCs/>
          <w:lang w:eastAsia="zh-CN"/>
        </w:rPr>
        <w:t xml:space="preserve">Leven </w:t>
      </w:r>
      <w:r w:rsidRPr="000A1497">
        <w:rPr>
          <w:rFonts w:eastAsia="SimSun"/>
          <w:lang w:eastAsia="zh-CN"/>
        </w:rPr>
        <w:t>v.</w:t>
      </w:r>
      <w:r w:rsidRPr="003D749D">
        <w:rPr>
          <w:rFonts w:eastAsia="SimSun"/>
          <w:i/>
          <w:iCs/>
          <w:lang w:eastAsia="zh-CN"/>
        </w:rPr>
        <w:t xml:space="preserve"> Kazakhstan</w:t>
      </w:r>
      <w:r w:rsidR="00E433FF" w:rsidRPr="003D749D">
        <w:rPr>
          <w:rFonts w:eastAsia="SimSun"/>
          <w:lang w:eastAsia="zh-CN"/>
        </w:rPr>
        <w:t xml:space="preserve"> (communication No. </w:t>
      </w:r>
      <w:r w:rsidRPr="003D749D">
        <w:rPr>
          <w:rFonts w:eastAsia="SimSun"/>
          <w:lang w:eastAsia="zh-CN"/>
        </w:rPr>
        <w:t xml:space="preserve">2131/2012). However, I do not agree with the statement made in the second-to-last sentence of </w:t>
      </w:r>
      <w:r w:rsidR="00F6425C" w:rsidRPr="003D749D">
        <w:rPr>
          <w:rFonts w:eastAsia="SimSun"/>
          <w:lang w:eastAsia="zh-CN"/>
        </w:rPr>
        <w:t>paragraph</w:t>
      </w:r>
      <w:r w:rsidR="00E72432">
        <w:rPr>
          <w:rFonts w:eastAsia="SimSun"/>
          <w:lang w:eastAsia="zh-CN"/>
        </w:rPr>
        <w:t xml:space="preserve"> </w:t>
      </w:r>
      <w:r w:rsidRPr="003D749D">
        <w:rPr>
          <w:rFonts w:eastAsia="SimSun"/>
          <w:lang w:eastAsia="zh-CN"/>
        </w:rPr>
        <w:t xml:space="preserve">8.4 of the Committee’s Views, in which it </w:t>
      </w:r>
      <w:r w:rsidR="00363EBF">
        <w:rPr>
          <w:rFonts w:eastAsia="SimSun"/>
          <w:lang w:eastAsia="zh-CN"/>
        </w:rPr>
        <w:t>is asserted</w:t>
      </w:r>
      <w:r w:rsidR="00363EBF" w:rsidRPr="003D749D">
        <w:rPr>
          <w:rFonts w:eastAsia="SimSun"/>
          <w:lang w:eastAsia="zh-CN"/>
        </w:rPr>
        <w:t xml:space="preserve"> </w:t>
      </w:r>
      <w:r w:rsidRPr="003D749D">
        <w:rPr>
          <w:rFonts w:eastAsia="SimSun"/>
          <w:lang w:eastAsia="zh-CN"/>
        </w:rPr>
        <w:t xml:space="preserve">that the provisions of </w:t>
      </w:r>
      <w:r w:rsidR="00EE06D9" w:rsidRPr="003D749D">
        <w:rPr>
          <w:rFonts w:eastAsia="SimSun"/>
          <w:lang w:eastAsia="zh-CN"/>
        </w:rPr>
        <w:t>article</w:t>
      </w:r>
      <w:r w:rsidR="00363EBF">
        <w:rPr>
          <w:rFonts w:eastAsia="SimSun"/>
          <w:lang w:eastAsia="zh-CN"/>
        </w:rPr>
        <w:t xml:space="preserve"> </w:t>
      </w:r>
      <w:r w:rsidRPr="003D749D">
        <w:rPr>
          <w:rFonts w:eastAsia="SimSun"/>
          <w:lang w:eastAsia="zh-CN"/>
        </w:rPr>
        <w:t xml:space="preserve">2, </w:t>
      </w:r>
      <w:r w:rsidR="00F6425C" w:rsidRPr="003D749D">
        <w:rPr>
          <w:rFonts w:eastAsia="SimSun"/>
          <w:lang w:eastAsia="zh-CN"/>
        </w:rPr>
        <w:t>paragraph</w:t>
      </w:r>
      <w:r w:rsidR="00363EBF">
        <w:rPr>
          <w:rFonts w:eastAsia="SimSun"/>
          <w:lang w:eastAsia="zh-CN"/>
        </w:rPr>
        <w:t xml:space="preserve"> </w:t>
      </w:r>
      <w:r w:rsidRPr="003D749D">
        <w:rPr>
          <w:rFonts w:eastAsia="SimSun"/>
          <w:lang w:eastAsia="zh-CN"/>
        </w:rPr>
        <w:t>1, “do not afford any separate individual right that can be invoked in conjunction with other provisions of the Covenant in a claim in a communication under the Optional Protocol”</w:t>
      </w:r>
      <w:r w:rsidR="00217DD7">
        <w:rPr>
          <w:rFonts w:eastAsia="SimSun"/>
          <w:lang w:eastAsia="zh-CN"/>
        </w:rPr>
        <w:t>.</w:t>
      </w:r>
    </w:p>
    <w:p w:rsidR="000718A7" w:rsidRPr="003D749D" w:rsidRDefault="000718A7" w:rsidP="000A1497">
      <w:pPr>
        <w:spacing w:after="120"/>
        <w:ind w:left="1134" w:right="1134"/>
        <w:jc w:val="both"/>
        <w:rPr>
          <w:rFonts w:eastAsia="SimSun"/>
          <w:lang w:eastAsia="zh-CN"/>
        </w:rPr>
      </w:pPr>
      <w:r w:rsidRPr="003D749D">
        <w:rPr>
          <w:rFonts w:eastAsia="SimSun"/>
          <w:lang w:eastAsia="zh-CN"/>
        </w:rPr>
        <w:t>2.</w:t>
      </w:r>
      <w:r w:rsidRPr="003D749D">
        <w:rPr>
          <w:rFonts w:eastAsia="SimSun"/>
          <w:lang w:eastAsia="zh-CN"/>
        </w:rPr>
        <w:tab/>
        <w:t xml:space="preserve">The reference made by the Committee to the jurisprudence cited in footnote </w:t>
      </w:r>
      <w:r w:rsidR="000A1497">
        <w:rPr>
          <w:rFonts w:eastAsia="SimSun"/>
          <w:lang w:eastAsia="zh-CN"/>
        </w:rPr>
        <w:t>5</w:t>
      </w:r>
      <w:r w:rsidR="00333D1E" w:rsidRPr="003D749D">
        <w:rPr>
          <w:rFonts w:eastAsia="SimSun"/>
          <w:lang w:eastAsia="zh-CN"/>
        </w:rPr>
        <w:t xml:space="preserve"> </w:t>
      </w:r>
      <w:r w:rsidRPr="003D749D">
        <w:rPr>
          <w:rFonts w:eastAsia="SimSun"/>
          <w:lang w:eastAsia="zh-CN"/>
        </w:rPr>
        <w:t xml:space="preserve">of the Committee’s Views is incomplete. In fact, the jurisprudence indicates that </w:t>
      </w:r>
      <w:r w:rsidR="00EE06D9" w:rsidRPr="003D749D">
        <w:rPr>
          <w:rFonts w:eastAsia="SimSun"/>
          <w:lang w:eastAsia="zh-CN"/>
        </w:rPr>
        <w:t>article </w:t>
      </w:r>
      <w:r w:rsidRPr="003D749D">
        <w:rPr>
          <w:rFonts w:eastAsia="SimSun"/>
          <w:lang w:eastAsia="zh-CN"/>
        </w:rPr>
        <w:t xml:space="preserve">2 of the Covenant imposes general obligations on States parties and that the invocation of that </w:t>
      </w:r>
      <w:r w:rsidR="00EE06D9" w:rsidRPr="003D749D">
        <w:rPr>
          <w:rFonts w:eastAsia="SimSun"/>
          <w:lang w:eastAsia="zh-CN"/>
        </w:rPr>
        <w:t xml:space="preserve">article </w:t>
      </w:r>
      <w:r w:rsidRPr="003D749D">
        <w:rPr>
          <w:rFonts w:eastAsia="SimSun"/>
          <w:lang w:eastAsia="zh-CN"/>
        </w:rPr>
        <w:t xml:space="preserve">alone may not give rise to a claim in a communication under the Optional Protocol. It does not say that any of the provisions of </w:t>
      </w:r>
      <w:r w:rsidR="00EE06D9" w:rsidRPr="003D749D">
        <w:rPr>
          <w:rFonts w:eastAsia="SimSun"/>
          <w:lang w:eastAsia="zh-CN"/>
        </w:rPr>
        <w:t>article </w:t>
      </w:r>
      <w:r w:rsidRPr="003D749D">
        <w:rPr>
          <w:rFonts w:eastAsia="SimSun"/>
          <w:lang w:eastAsia="zh-CN"/>
        </w:rPr>
        <w:t>2 may not be invoked in conjunction with ano</w:t>
      </w:r>
      <w:r w:rsidR="00E8044C">
        <w:rPr>
          <w:rFonts w:eastAsia="SimSun"/>
          <w:lang w:eastAsia="zh-CN"/>
        </w:rPr>
        <w:t>ther provision of the Covenant.</w:t>
      </w:r>
    </w:p>
    <w:p w:rsidR="000718A7" w:rsidRPr="003D749D" w:rsidRDefault="000718A7" w:rsidP="000718A7">
      <w:pPr>
        <w:spacing w:after="120"/>
        <w:ind w:left="1134" w:right="1134"/>
        <w:jc w:val="both"/>
        <w:rPr>
          <w:rFonts w:eastAsia="SimSun"/>
          <w:lang w:eastAsia="zh-CN"/>
        </w:rPr>
      </w:pPr>
      <w:r w:rsidRPr="003D749D">
        <w:rPr>
          <w:rFonts w:eastAsia="SimSun"/>
          <w:lang w:eastAsia="zh-CN"/>
        </w:rPr>
        <w:t>3.</w:t>
      </w:r>
      <w:r w:rsidRPr="003D749D">
        <w:rPr>
          <w:rFonts w:eastAsia="SimSun"/>
          <w:lang w:eastAsia="zh-CN"/>
        </w:rPr>
        <w:tab/>
        <w:t xml:space="preserve">It therefore follows from the jurisprudence that, a contrario sensu, the provisions of </w:t>
      </w:r>
      <w:r w:rsidR="00EE06D9" w:rsidRPr="003D749D">
        <w:rPr>
          <w:rFonts w:eastAsia="SimSun"/>
          <w:lang w:eastAsia="zh-CN"/>
        </w:rPr>
        <w:t>article </w:t>
      </w:r>
      <w:r w:rsidRPr="003D749D">
        <w:rPr>
          <w:rFonts w:eastAsia="SimSun"/>
          <w:lang w:eastAsia="zh-CN"/>
        </w:rPr>
        <w:t xml:space="preserve">2 can be invoked in conjunction with a right set forth in </w:t>
      </w:r>
      <w:r w:rsidR="00EE06D9" w:rsidRPr="003D749D">
        <w:rPr>
          <w:rFonts w:eastAsia="SimSun"/>
          <w:lang w:eastAsia="zh-CN"/>
        </w:rPr>
        <w:t>articles </w:t>
      </w:r>
      <w:r w:rsidRPr="003D749D">
        <w:rPr>
          <w:rFonts w:eastAsia="SimSun"/>
          <w:lang w:eastAsia="zh-CN"/>
        </w:rPr>
        <w:t xml:space="preserve">6 to 27 of the Covenant; otherwise, there would not be a vast body of jurisprudence in which the Committee has established the international responsibility of States parties for violations of </w:t>
      </w:r>
      <w:r w:rsidR="00EE06D9" w:rsidRPr="003D749D">
        <w:rPr>
          <w:rFonts w:eastAsia="SimSun"/>
          <w:lang w:eastAsia="zh-CN"/>
        </w:rPr>
        <w:t>article </w:t>
      </w:r>
      <w:r w:rsidRPr="003D749D">
        <w:rPr>
          <w:rFonts w:eastAsia="SimSun"/>
          <w:lang w:eastAsia="zh-CN"/>
        </w:rPr>
        <w:t xml:space="preserve">2, </w:t>
      </w:r>
      <w:r w:rsidR="00F6425C" w:rsidRPr="003D749D">
        <w:rPr>
          <w:rFonts w:eastAsia="SimSun"/>
          <w:lang w:eastAsia="zh-CN"/>
        </w:rPr>
        <w:t>paragraph </w:t>
      </w:r>
      <w:r w:rsidRPr="003D749D">
        <w:rPr>
          <w:rFonts w:eastAsia="SimSun"/>
          <w:lang w:eastAsia="zh-CN"/>
        </w:rPr>
        <w:t>3, read in conjunction with other provisions.</w:t>
      </w:r>
      <w:r w:rsidRPr="003D749D">
        <w:rPr>
          <w:rFonts w:eastAsia="SimSun"/>
          <w:sz w:val="18"/>
          <w:vertAlign w:val="superscript"/>
          <w:lang w:eastAsia="zh-CN"/>
        </w:rPr>
        <w:footnoteReference w:id="12"/>
      </w:r>
    </w:p>
    <w:p w:rsidR="000718A7" w:rsidRPr="003D749D" w:rsidRDefault="000718A7" w:rsidP="00EB1114">
      <w:pPr>
        <w:spacing w:after="120"/>
        <w:ind w:left="1134" w:right="1134"/>
        <w:jc w:val="both"/>
        <w:rPr>
          <w:rFonts w:eastAsia="SimSun"/>
          <w:lang w:eastAsia="zh-CN"/>
        </w:rPr>
      </w:pPr>
      <w:r w:rsidRPr="003D749D">
        <w:rPr>
          <w:rFonts w:eastAsia="SimSun"/>
          <w:lang w:eastAsia="zh-CN"/>
        </w:rPr>
        <w:t>4.</w:t>
      </w:r>
      <w:r w:rsidRPr="003D749D">
        <w:rPr>
          <w:rFonts w:eastAsia="SimSun"/>
          <w:lang w:eastAsia="zh-CN"/>
        </w:rPr>
        <w:tab/>
        <w:t xml:space="preserve">The general comment on </w:t>
      </w:r>
      <w:r w:rsidR="00EE06D9" w:rsidRPr="003D749D">
        <w:rPr>
          <w:rFonts w:eastAsia="SimSun"/>
          <w:lang w:eastAsia="zh-CN"/>
        </w:rPr>
        <w:t>article</w:t>
      </w:r>
      <w:r w:rsidR="00EB1114">
        <w:rPr>
          <w:rFonts w:eastAsia="SimSun"/>
          <w:lang w:eastAsia="zh-CN"/>
        </w:rPr>
        <w:t xml:space="preserve"> </w:t>
      </w:r>
      <w:r w:rsidRPr="003D749D">
        <w:rPr>
          <w:rFonts w:eastAsia="SimSun"/>
          <w:lang w:eastAsia="zh-CN"/>
        </w:rPr>
        <w:t xml:space="preserve">2 of the Covenant does not make any differentiation among the different paragraphs of </w:t>
      </w:r>
      <w:r w:rsidR="00EE06D9" w:rsidRPr="003D749D">
        <w:rPr>
          <w:rFonts w:eastAsia="SimSun"/>
          <w:lang w:eastAsia="zh-CN"/>
        </w:rPr>
        <w:t>article </w:t>
      </w:r>
      <w:r w:rsidRPr="003D749D">
        <w:rPr>
          <w:rFonts w:eastAsia="SimSun"/>
          <w:lang w:eastAsia="zh-CN"/>
        </w:rPr>
        <w:t xml:space="preserve">2 in terms of the possibility of invoking or applying them, and the Committee should therefore not arrive at a conclusion that indicates otherwise. Moreover, the Committee also has jurisprudence regarding </w:t>
      </w:r>
      <w:r w:rsidR="00EE06D9" w:rsidRPr="003D749D">
        <w:rPr>
          <w:rFonts w:eastAsia="SimSun"/>
          <w:lang w:eastAsia="zh-CN"/>
        </w:rPr>
        <w:t>article</w:t>
      </w:r>
      <w:r w:rsidR="00EB1114">
        <w:rPr>
          <w:rFonts w:eastAsia="SimSun"/>
          <w:lang w:eastAsia="zh-CN"/>
        </w:rPr>
        <w:t xml:space="preserve"> </w:t>
      </w:r>
      <w:r w:rsidRPr="003D749D">
        <w:rPr>
          <w:rFonts w:eastAsia="SimSun"/>
          <w:lang w:eastAsia="zh-CN"/>
        </w:rPr>
        <w:t xml:space="preserve">2, </w:t>
      </w:r>
      <w:r w:rsidR="00F6425C" w:rsidRPr="003D749D">
        <w:rPr>
          <w:rFonts w:eastAsia="SimSun"/>
          <w:lang w:eastAsia="zh-CN"/>
        </w:rPr>
        <w:t>paragraph </w:t>
      </w:r>
      <w:r w:rsidRPr="003D749D">
        <w:rPr>
          <w:rFonts w:eastAsia="SimSun"/>
          <w:lang w:eastAsia="zh-CN"/>
        </w:rPr>
        <w:t xml:space="preserve">1: in the case of </w:t>
      </w:r>
      <w:r w:rsidRPr="003D749D">
        <w:rPr>
          <w:rFonts w:eastAsia="SimSun"/>
          <w:i/>
          <w:iCs/>
          <w:lang w:eastAsia="zh-CN"/>
        </w:rPr>
        <w:t xml:space="preserve">Toonen </w:t>
      </w:r>
      <w:r w:rsidRPr="000A1497">
        <w:rPr>
          <w:rFonts w:eastAsia="SimSun"/>
          <w:lang w:eastAsia="zh-CN"/>
        </w:rPr>
        <w:t>v.</w:t>
      </w:r>
      <w:r w:rsidRPr="003D749D">
        <w:rPr>
          <w:rFonts w:eastAsia="SimSun"/>
          <w:i/>
          <w:iCs/>
          <w:lang w:eastAsia="zh-CN"/>
        </w:rPr>
        <w:t xml:space="preserve"> Australia</w:t>
      </w:r>
      <w:r w:rsidRPr="003D749D">
        <w:rPr>
          <w:rFonts w:eastAsia="SimSun"/>
          <w:lang w:eastAsia="zh-CN"/>
        </w:rPr>
        <w:t xml:space="preserve">, it found the State liable for a violation of </w:t>
      </w:r>
      <w:r w:rsidR="00EE06D9" w:rsidRPr="003D749D">
        <w:rPr>
          <w:rFonts w:eastAsia="SimSun"/>
          <w:lang w:eastAsia="zh-CN"/>
        </w:rPr>
        <w:t>article </w:t>
      </w:r>
      <w:r w:rsidRPr="003D749D">
        <w:rPr>
          <w:rFonts w:eastAsia="SimSun"/>
          <w:lang w:eastAsia="zh-CN"/>
        </w:rPr>
        <w:t xml:space="preserve">17, read in conjunction with </w:t>
      </w:r>
      <w:r w:rsidR="00EE06D9" w:rsidRPr="003D749D">
        <w:rPr>
          <w:rFonts w:eastAsia="SimSun"/>
          <w:lang w:eastAsia="zh-CN"/>
        </w:rPr>
        <w:t>article </w:t>
      </w:r>
      <w:r w:rsidRPr="003D749D">
        <w:rPr>
          <w:rFonts w:eastAsia="SimSun"/>
          <w:lang w:eastAsia="zh-CN"/>
        </w:rPr>
        <w:t xml:space="preserve">2, </w:t>
      </w:r>
      <w:r w:rsidR="00F6425C" w:rsidRPr="003D749D">
        <w:rPr>
          <w:rFonts w:eastAsia="SimSun"/>
          <w:lang w:eastAsia="zh-CN"/>
        </w:rPr>
        <w:t>paragraph </w:t>
      </w:r>
      <w:r w:rsidRPr="003D749D">
        <w:rPr>
          <w:rFonts w:eastAsia="SimSun"/>
          <w:lang w:eastAsia="zh-CN"/>
        </w:rPr>
        <w:t>1, of the Covenant.</w:t>
      </w:r>
      <w:r w:rsidRPr="003D749D">
        <w:rPr>
          <w:rFonts w:eastAsia="SimSun"/>
          <w:sz w:val="18"/>
          <w:vertAlign w:val="superscript"/>
          <w:lang w:eastAsia="zh-CN"/>
        </w:rPr>
        <w:footnoteReference w:id="13"/>
      </w:r>
    </w:p>
    <w:p w:rsidR="000718A7" w:rsidRPr="000A1497" w:rsidRDefault="000718A7" w:rsidP="006D629C">
      <w:pPr>
        <w:spacing w:after="120"/>
        <w:ind w:left="1134" w:right="1134"/>
        <w:jc w:val="both"/>
        <w:rPr>
          <w:rFonts w:eastAsia="SimSun"/>
          <w:color w:val="000000"/>
          <w:lang w:eastAsia="zh-CN"/>
        </w:rPr>
      </w:pPr>
      <w:r w:rsidRPr="003D749D">
        <w:rPr>
          <w:rFonts w:eastAsia="SimSun"/>
          <w:lang w:eastAsia="zh-CN"/>
        </w:rPr>
        <w:t>5.</w:t>
      </w:r>
      <w:r w:rsidRPr="003D749D">
        <w:rPr>
          <w:rFonts w:eastAsia="SimSun"/>
          <w:lang w:eastAsia="zh-CN"/>
        </w:rPr>
        <w:tab/>
        <w:t xml:space="preserve">In the present case of </w:t>
      </w:r>
      <w:r w:rsidRPr="003D749D">
        <w:rPr>
          <w:rFonts w:eastAsia="SimSun"/>
          <w:i/>
          <w:iCs/>
          <w:lang w:eastAsia="zh-CN"/>
        </w:rPr>
        <w:t xml:space="preserve">Leven </w:t>
      </w:r>
      <w:r w:rsidRPr="000A1497">
        <w:rPr>
          <w:rFonts w:eastAsia="SimSun"/>
          <w:lang w:eastAsia="zh-CN"/>
        </w:rPr>
        <w:t>v.</w:t>
      </w:r>
      <w:r w:rsidRPr="003D749D">
        <w:rPr>
          <w:rFonts w:eastAsia="SimSun"/>
          <w:i/>
          <w:iCs/>
          <w:lang w:eastAsia="zh-CN"/>
        </w:rPr>
        <w:t xml:space="preserve"> Kazakhstan</w:t>
      </w:r>
      <w:r w:rsidRPr="003D749D">
        <w:rPr>
          <w:rFonts w:eastAsia="SimSun"/>
          <w:lang w:eastAsia="zh-CN"/>
        </w:rPr>
        <w:t xml:space="preserve">, no act of discrimination on the basis of nationality or any other ground has been proven, and there is thus no reason for the Committee to pronounce on possible violations of </w:t>
      </w:r>
      <w:r w:rsidR="00EE06D9" w:rsidRPr="003D749D">
        <w:rPr>
          <w:rFonts w:eastAsia="SimSun"/>
          <w:lang w:eastAsia="zh-CN"/>
        </w:rPr>
        <w:t>article </w:t>
      </w:r>
      <w:r w:rsidRPr="003D749D">
        <w:rPr>
          <w:rFonts w:eastAsia="SimSun"/>
          <w:lang w:eastAsia="zh-CN"/>
        </w:rPr>
        <w:t>26</w:t>
      </w:r>
      <w:r w:rsidR="00657918">
        <w:rPr>
          <w:rFonts w:eastAsia="SimSun"/>
          <w:lang w:eastAsia="zh-CN"/>
        </w:rPr>
        <w:t>,</w:t>
      </w:r>
      <w:r w:rsidRPr="003D749D">
        <w:rPr>
          <w:rFonts w:eastAsia="SimSun"/>
          <w:lang w:eastAsia="zh-CN"/>
        </w:rPr>
        <w:t xml:space="preserve"> or </w:t>
      </w:r>
      <w:r w:rsidR="00EE06D9" w:rsidRPr="003D749D">
        <w:rPr>
          <w:rFonts w:eastAsia="SimSun"/>
          <w:lang w:eastAsia="zh-CN"/>
        </w:rPr>
        <w:t>article </w:t>
      </w:r>
      <w:r w:rsidRPr="003D749D">
        <w:rPr>
          <w:rFonts w:eastAsia="SimSun"/>
          <w:lang w:eastAsia="zh-CN"/>
        </w:rPr>
        <w:t xml:space="preserve">2, </w:t>
      </w:r>
      <w:r w:rsidR="00F6425C" w:rsidRPr="003D749D">
        <w:rPr>
          <w:rFonts w:eastAsia="SimSun"/>
          <w:lang w:eastAsia="zh-CN"/>
        </w:rPr>
        <w:t>paragraph </w:t>
      </w:r>
      <w:r w:rsidRPr="003D749D">
        <w:rPr>
          <w:rFonts w:eastAsia="SimSun"/>
          <w:lang w:eastAsia="zh-CN"/>
        </w:rPr>
        <w:t>1, of the Covenant. This is th</w:t>
      </w:r>
      <w:r w:rsidRPr="000A1497">
        <w:rPr>
          <w:rFonts w:eastAsia="SimSun"/>
          <w:color w:val="000000"/>
          <w:lang w:eastAsia="zh-CN"/>
        </w:rPr>
        <w:t xml:space="preserve">e reason — rather than the inapt line of reasoning advanced in </w:t>
      </w:r>
      <w:r w:rsidR="00F6425C" w:rsidRPr="000A1497">
        <w:rPr>
          <w:rFonts w:eastAsia="SimSun"/>
          <w:color w:val="000000"/>
          <w:lang w:eastAsia="zh-CN"/>
        </w:rPr>
        <w:t>paragraph</w:t>
      </w:r>
      <w:r w:rsidR="0086465F" w:rsidRPr="000A1497">
        <w:rPr>
          <w:rFonts w:eastAsia="SimSun"/>
          <w:color w:val="000000"/>
          <w:lang w:eastAsia="zh-CN"/>
        </w:rPr>
        <w:t xml:space="preserve"> </w:t>
      </w:r>
      <w:r w:rsidRPr="000A1497">
        <w:rPr>
          <w:rFonts w:eastAsia="SimSun"/>
          <w:color w:val="000000"/>
          <w:lang w:eastAsia="zh-CN"/>
        </w:rPr>
        <w:t xml:space="preserve">8.4 of the Committee’s Views — that leads me to share the opinion of the Committee on this matter. I also agree with the conclusion that the facts reveal a violation of </w:t>
      </w:r>
      <w:r w:rsidR="00EE06D9" w:rsidRPr="000A1497">
        <w:rPr>
          <w:rFonts w:eastAsia="SimSun"/>
          <w:color w:val="000000"/>
          <w:lang w:eastAsia="zh-CN"/>
        </w:rPr>
        <w:t>article </w:t>
      </w:r>
      <w:r w:rsidRPr="000A1497">
        <w:rPr>
          <w:rFonts w:eastAsia="SimSun"/>
          <w:color w:val="000000"/>
          <w:lang w:eastAsia="zh-CN"/>
        </w:rPr>
        <w:t xml:space="preserve">18 of the Covenant. </w:t>
      </w:r>
    </w:p>
    <w:p w:rsidR="000718A7" w:rsidRPr="007C2A4A" w:rsidRDefault="000718A7" w:rsidP="000718A7">
      <w:pPr>
        <w:spacing w:before="240"/>
        <w:jc w:val="center"/>
        <w:rPr>
          <w:u w:val="single"/>
        </w:rPr>
      </w:pPr>
      <w:r w:rsidRPr="007C2A4A">
        <w:rPr>
          <w:u w:val="single"/>
        </w:rPr>
        <w:tab/>
      </w:r>
      <w:r w:rsidRPr="007C2A4A">
        <w:rPr>
          <w:u w:val="single"/>
        </w:rPr>
        <w:tab/>
      </w:r>
      <w:r w:rsidRPr="007C2A4A">
        <w:rPr>
          <w:u w:val="single"/>
        </w:rPr>
        <w:tab/>
      </w:r>
    </w:p>
    <w:p w:rsidR="000718A7" w:rsidRPr="000A1497" w:rsidRDefault="000718A7" w:rsidP="007140FF">
      <w:pPr>
        <w:pStyle w:val="SingleTxtG"/>
        <w:spacing w:before="240" w:after="0"/>
        <w:jc w:val="center"/>
        <w:rPr>
          <w:color w:val="000000"/>
        </w:rPr>
      </w:pPr>
    </w:p>
    <w:sectPr w:rsidR="000718A7" w:rsidRPr="000A1497" w:rsidSect="000A1497">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70" w:rsidRDefault="00B45E70"/>
  </w:endnote>
  <w:endnote w:type="continuationSeparator" w:id="0">
    <w:p w:rsidR="00B45E70" w:rsidRDefault="00B45E70"/>
  </w:endnote>
  <w:endnote w:type="continuationNotice" w:id="1">
    <w:p w:rsidR="00B45E70" w:rsidRDefault="00B45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6A6" w:rsidRPr="00781C83" w:rsidRDefault="00D346A6"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F9041A">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6A6" w:rsidRPr="000A1497" w:rsidRDefault="00D346A6" w:rsidP="00781C83">
    <w:pPr>
      <w:pStyle w:val="Footer"/>
      <w:tabs>
        <w:tab w:val="right" w:pos="9638"/>
      </w:tabs>
      <w:rPr>
        <w:b/>
        <w:sz w:val="18"/>
      </w:rPr>
    </w:pPr>
    <w:r>
      <w:rPr>
        <w:b/>
        <w:sz w:val="18"/>
      </w:rPr>
      <w:tab/>
    </w:r>
    <w:r w:rsidRPr="000A1497">
      <w:rPr>
        <w:b/>
        <w:sz w:val="18"/>
      </w:rPr>
      <w:fldChar w:fldCharType="begin"/>
    </w:r>
    <w:r w:rsidRPr="000A1497">
      <w:rPr>
        <w:b/>
        <w:sz w:val="18"/>
      </w:rPr>
      <w:instrText xml:space="preserve"> PAGE  \* MERGEFORMAT </w:instrText>
    </w:r>
    <w:r w:rsidRPr="000A1497">
      <w:rPr>
        <w:b/>
        <w:sz w:val="18"/>
      </w:rPr>
      <w:fldChar w:fldCharType="separate"/>
    </w:r>
    <w:r w:rsidR="00F9041A">
      <w:rPr>
        <w:b/>
        <w:noProof/>
        <w:sz w:val="18"/>
      </w:rPr>
      <w:t>3</w:t>
    </w:r>
    <w:r w:rsidRPr="000A149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6A6" w:rsidRDefault="00B45E70" w:rsidP="00500579">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7B2915">
      <w:t>GE.15</w:t>
    </w:r>
    <w:r w:rsidR="00D346A6">
      <w:t>-</w:t>
    </w:r>
    <w:r w:rsidR="00A07736">
      <w:t>00017</w:t>
    </w:r>
    <w:r w:rsidR="00500579">
      <w:t xml:space="preserve">  (E)</w:t>
    </w:r>
    <w:r w:rsidR="00500579">
      <w:br/>
    </w:r>
    <w:r w:rsidR="00500579" w:rsidRPr="00500579">
      <w:rPr>
        <w:rFonts w:ascii="C39T30Lfz" w:hAnsi="C39T30Lfz"/>
        <w:sz w:val="56"/>
      </w:rPr>
      <w:t></w:t>
    </w:r>
    <w:r w:rsidR="00500579" w:rsidRPr="00500579">
      <w:rPr>
        <w:rFonts w:ascii="C39T30Lfz" w:hAnsi="C39T30Lfz"/>
        <w:sz w:val="56"/>
      </w:rPr>
      <w:t></w:t>
    </w:r>
    <w:r w:rsidR="00500579" w:rsidRPr="00500579">
      <w:rPr>
        <w:rFonts w:ascii="C39T30Lfz" w:hAnsi="C39T30Lfz"/>
        <w:sz w:val="56"/>
      </w:rPr>
      <w:t></w:t>
    </w:r>
    <w:r w:rsidR="00500579" w:rsidRPr="00500579">
      <w:rPr>
        <w:rFonts w:ascii="C39T30Lfz" w:hAnsi="C39T30Lfz"/>
        <w:sz w:val="56"/>
      </w:rPr>
      <w:t></w:t>
    </w:r>
    <w:r w:rsidR="00500579" w:rsidRPr="00500579">
      <w:rPr>
        <w:rFonts w:ascii="C39T30Lfz" w:hAnsi="C39T30Lfz"/>
        <w:sz w:val="56"/>
      </w:rPr>
      <w:t></w:t>
    </w:r>
    <w:r w:rsidR="00500579" w:rsidRPr="00500579">
      <w:rPr>
        <w:rFonts w:ascii="C39T30Lfz" w:hAnsi="C39T30Lfz"/>
        <w:sz w:val="56"/>
      </w:rPr>
      <w:t></w:t>
    </w:r>
    <w:r w:rsidR="00500579" w:rsidRPr="00500579">
      <w:rPr>
        <w:rFonts w:ascii="C39T30Lfz" w:hAnsi="C39T30Lfz"/>
        <w:sz w:val="56"/>
      </w:rPr>
      <w:t></w:t>
    </w:r>
    <w:r w:rsidR="00500579" w:rsidRPr="00500579">
      <w:rPr>
        <w:rFonts w:ascii="C39T30Lfz" w:hAnsi="C39T30Lfz"/>
        <w:sz w:val="56"/>
      </w:rPr>
      <w:t></w:t>
    </w:r>
    <w:r w:rsidR="00500579" w:rsidRPr="00500579">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70" w:rsidRPr="000B175B" w:rsidRDefault="00B45E70" w:rsidP="000B175B">
      <w:pPr>
        <w:tabs>
          <w:tab w:val="right" w:pos="2155"/>
        </w:tabs>
        <w:spacing w:after="80"/>
        <w:ind w:left="680"/>
        <w:rPr>
          <w:u w:val="single"/>
        </w:rPr>
      </w:pPr>
      <w:r>
        <w:rPr>
          <w:u w:val="single"/>
        </w:rPr>
        <w:tab/>
      </w:r>
    </w:p>
  </w:footnote>
  <w:footnote w:type="continuationSeparator" w:id="0">
    <w:p w:rsidR="00B45E70" w:rsidRPr="00FC68B7" w:rsidRDefault="00B45E70" w:rsidP="00FC68B7">
      <w:pPr>
        <w:tabs>
          <w:tab w:val="left" w:pos="2155"/>
        </w:tabs>
        <w:spacing w:after="80"/>
        <w:ind w:left="680"/>
        <w:rPr>
          <w:u w:val="single"/>
        </w:rPr>
      </w:pPr>
      <w:r>
        <w:rPr>
          <w:u w:val="single"/>
        </w:rPr>
        <w:tab/>
      </w:r>
    </w:p>
  </w:footnote>
  <w:footnote w:type="continuationNotice" w:id="1">
    <w:p w:rsidR="00B45E70" w:rsidRDefault="00B45E70"/>
  </w:footnote>
  <w:footnote w:id="2">
    <w:p w:rsidR="00D346A6" w:rsidRPr="001A26AE" w:rsidRDefault="00D346A6" w:rsidP="00B35869">
      <w:pPr>
        <w:pStyle w:val="FootnoteText"/>
        <w:rPr>
          <w:bCs/>
          <w:szCs w:val="18"/>
          <w:lang w:val="fr-CH"/>
        </w:rPr>
      </w:pPr>
      <w:r w:rsidRPr="001A26AE">
        <w:rPr>
          <w:rStyle w:val="FootnoteReference"/>
          <w:szCs w:val="18"/>
        </w:rPr>
        <w:tab/>
      </w:r>
      <w:r w:rsidRPr="001A26AE">
        <w:rPr>
          <w:rStyle w:val="FootnoteReference"/>
          <w:szCs w:val="18"/>
          <w:vertAlign w:val="baseline"/>
        </w:rPr>
        <w:t>*</w:t>
      </w:r>
      <w:r w:rsidRPr="001A26AE">
        <w:rPr>
          <w:rStyle w:val="FootnoteReference"/>
          <w:szCs w:val="18"/>
          <w:vertAlign w:val="baseline"/>
        </w:rPr>
        <w:tab/>
      </w:r>
      <w:r w:rsidRPr="001A26AE">
        <w:rPr>
          <w:szCs w:val="18"/>
        </w:rPr>
        <w:t xml:space="preserve">The following members of the Committee participated in the examination of the present communication: Yadh Ben Achour, </w:t>
      </w:r>
      <w:r w:rsidRPr="001A26AE">
        <w:rPr>
          <w:bCs/>
          <w:szCs w:val="18"/>
        </w:rPr>
        <w:t>Christine Chanet, Ahmed Amin Fathalla, Cornelis Flinterman,</w:t>
      </w:r>
      <w:r>
        <w:rPr>
          <w:bCs/>
          <w:szCs w:val="18"/>
        </w:rPr>
        <w:t xml:space="preserve"> </w:t>
      </w:r>
      <w:r w:rsidRPr="001A26AE">
        <w:rPr>
          <w:bCs/>
          <w:szCs w:val="18"/>
        </w:rPr>
        <w:t xml:space="preserve">Yuji Iwasawa, </w:t>
      </w:r>
      <w:r w:rsidRPr="000A1497">
        <w:rPr>
          <w:bCs/>
          <w:szCs w:val="18"/>
        </w:rPr>
        <w:t>Walter Kälin</w:t>
      </w:r>
      <w:r w:rsidRPr="001A26AE">
        <w:rPr>
          <w:bCs/>
          <w:szCs w:val="18"/>
        </w:rPr>
        <w:t xml:space="preserve">, Gerald </w:t>
      </w:r>
      <w:r>
        <w:rPr>
          <w:bCs/>
          <w:szCs w:val="18"/>
        </w:rPr>
        <w:t xml:space="preserve">L. </w:t>
      </w:r>
      <w:r w:rsidRPr="001A26AE">
        <w:rPr>
          <w:bCs/>
          <w:szCs w:val="18"/>
        </w:rPr>
        <w:t>Neuman, Víctor Manuel Rodríguez</w:t>
      </w:r>
      <w:r>
        <w:rPr>
          <w:bCs/>
          <w:szCs w:val="18"/>
        </w:rPr>
        <w:t xml:space="preserve"> </w:t>
      </w:r>
      <w:r w:rsidRPr="001A26AE">
        <w:rPr>
          <w:bCs/>
          <w:szCs w:val="18"/>
        </w:rPr>
        <w:t>Rescia,</w:t>
      </w:r>
      <w:r w:rsidR="009952D1">
        <w:rPr>
          <w:bCs/>
          <w:szCs w:val="18"/>
        </w:rPr>
        <w:br/>
      </w:r>
      <w:r w:rsidRPr="001A26AE">
        <w:rPr>
          <w:bCs/>
          <w:szCs w:val="18"/>
        </w:rPr>
        <w:t>Fabián Omar Salvioli, Dheerujlall Seetulsingh</w:t>
      </w:r>
      <w:r>
        <w:rPr>
          <w:bCs/>
          <w:szCs w:val="18"/>
        </w:rPr>
        <w:t xml:space="preserve">, </w:t>
      </w:r>
      <w:r w:rsidRPr="001A26AE">
        <w:rPr>
          <w:bCs/>
          <w:szCs w:val="18"/>
        </w:rPr>
        <w:t>Anja Seibert-Fohr, Yuval Shany</w:t>
      </w:r>
      <w:r w:rsidR="009952D1">
        <w:rPr>
          <w:bCs/>
          <w:szCs w:val="18"/>
        </w:rPr>
        <w:t>,</w:t>
      </w:r>
      <w:r w:rsidR="009952D1">
        <w:rPr>
          <w:bCs/>
          <w:szCs w:val="18"/>
        </w:rPr>
        <w:br/>
      </w:r>
      <w:r w:rsidRPr="001A26AE">
        <w:rPr>
          <w:bCs/>
          <w:szCs w:val="18"/>
        </w:rPr>
        <w:t>Konstantine Vardzelashvili,</w:t>
      </w:r>
      <w:r>
        <w:rPr>
          <w:bCs/>
          <w:szCs w:val="18"/>
        </w:rPr>
        <w:t xml:space="preserve"> </w:t>
      </w:r>
      <w:r w:rsidRPr="001A26AE">
        <w:rPr>
          <w:bCs/>
          <w:szCs w:val="18"/>
        </w:rPr>
        <w:t>Margo W</w:t>
      </w:r>
      <w:r>
        <w:rPr>
          <w:bCs/>
          <w:szCs w:val="18"/>
        </w:rPr>
        <w:t>aterval and</w:t>
      </w:r>
      <w:r w:rsidRPr="001A26AE">
        <w:rPr>
          <w:bCs/>
          <w:szCs w:val="18"/>
        </w:rPr>
        <w:t xml:space="preserve"> Andrei Paul Zl</w:t>
      </w:r>
      <w:r w:rsidRPr="00B276F2">
        <w:rPr>
          <w:bCs/>
          <w:szCs w:val="18"/>
        </w:rPr>
        <w:t>ă</w:t>
      </w:r>
      <w:r w:rsidRPr="001A26AE">
        <w:rPr>
          <w:bCs/>
          <w:szCs w:val="18"/>
        </w:rPr>
        <w:t>tescu</w:t>
      </w:r>
      <w:r w:rsidRPr="001A26AE">
        <w:rPr>
          <w:bCs/>
          <w:szCs w:val="18"/>
          <w:lang w:val="fr-CH"/>
        </w:rPr>
        <w:t>.</w:t>
      </w:r>
    </w:p>
    <w:p w:rsidR="00D346A6" w:rsidRPr="005C04B3" w:rsidRDefault="00D346A6" w:rsidP="00B35869">
      <w:pPr>
        <w:pStyle w:val="FootnoteText"/>
        <w:rPr>
          <w:szCs w:val="18"/>
        </w:rPr>
      </w:pPr>
      <w:r w:rsidRPr="001A26AE">
        <w:rPr>
          <w:bCs/>
          <w:szCs w:val="18"/>
          <w:lang w:val="fr-CH"/>
        </w:rPr>
        <w:tab/>
      </w:r>
      <w:r w:rsidRPr="001A26AE">
        <w:rPr>
          <w:bCs/>
          <w:szCs w:val="18"/>
          <w:lang w:val="fr-CH"/>
        </w:rPr>
        <w:tab/>
      </w:r>
      <w:r w:rsidRPr="005C04B3">
        <w:rPr>
          <w:szCs w:val="18"/>
        </w:rPr>
        <w:t xml:space="preserve">The text of individual opinions by Committee member </w:t>
      </w:r>
      <w:r w:rsidRPr="001A26AE">
        <w:rPr>
          <w:szCs w:val="18"/>
        </w:rPr>
        <w:t>Gerald L. Neuman (concurring)</w:t>
      </w:r>
      <w:r w:rsidRPr="005C04B3">
        <w:rPr>
          <w:szCs w:val="18"/>
        </w:rPr>
        <w:t xml:space="preserve"> and Committee member </w:t>
      </w:r>
      <w:r w:rsidRPr="001A26AE">
        <w:rPr>
          <w:bCs/>
          <w:szCs w:val="18"/>
        </w:rPr>
        <w:t>Fabián Omar Salvi</w:t>
      </w:r>
      <w:r w:rsidRPr="006D629C">
        <w:rPr>
          <w:bCs/>
          <w:szCs w:val="18"/>
        </w:rPr>
        <w:t>oli</w:t>
      </w:r>
      <w:r w:rsidRPr="006D629C">
        <w:rPr>
          <w:szCs w:val="18"/>
        </w:rPr>
        <w:t xml:space="preserve"> </w:t>
      </w:r>
      <w:r w:rsidRPr="005C04B3">
        <w:rPr>
          <w:szCs w:val="18"/>
        </w:rPr>
        <w:t>are appended to the present Views.</w:t>
      </w:r>
    </w:p>
  </w:footnote>
  <w:footnote w:id="3">
    <w:p w:rsidR="00D346A6" w:rsidRPr="001A26AE" w:rsidRDefault="00D346A6" w:rsidP="00B35869">
      <w:pPr>
        <w:pStyle w:val="FootnoteText"/>
        <w:rPr>
          <w:szCs w:val="18"/>
        </w:rPr>
      </w:pPr>
      <w:r w:rsidRPr="00D73C39">
        <w:rPr>
          <w:szCs w:val="18"/>
        </w:rPr>
        <w:tab/>
      </w:r>
      <w:r w:rsidRPr="00D73C39">
        <w:rPr>
          <w:rStyle w:val="FootnoteReference"/>
          <w:szCs w:val="18"/>
        </w:rPr>
        <w:footnoteRef/>
      </w:r>
      <w:r w:rsidRPr="00D73C39">
        <w:rPr>
          <w:szCs w:val="18"/>
        </w:rPr>
        <w:tab/>
      </w:r>
      <w:r w:rsidRPr="00D73C39">
        <w:rPr>
          <w:rFonts w:eastAsia="Verdana"/>
          <w:szCs w:val="18"/>
        </w:rPr>
        <w:t>The Optional Protocol entered into force for Kazakhstan on 30 September 2009.</w:t>
      </w:r>
    </w:p>
  </w:footnote>
  <w:footnote w:id="4">
    <w:p w:rsidR="004E0802" w:rsidRDefault="004E0802">
      <w:pPr>
        <w:pStyle w:val="FootnoteText"/>
      </w:pPr>
      <w:r>
        <w:tab/>
      </w:r>
      <w:r>
        <w:tab/>
      </w:r>
      <w:r>
        <w:rPr>
          <w:rStyle w:val="FootnoteReference"/>
        </w:rPr>
        <w:footnoteRef/>
      </w:r>
      <w:r>
        <w:t xml:space="preserve"> General comment No. 22 (1993) on the right to freedom of thought, conscience and religion, and general comment No. 27 (1999) on freedom of movement.</w:t>
      </w:r>
    </w:p>
  </w:footnote>
  <w:footnote w:id="5">
    <w:p w:rsidR="00D346A6" w:rsidRPr="001A26AE" w:rsidRDefault="00D346A6" w:rsidP="00262A8B">
      <w:pPr>
        <w:pStyle w:val="FootnoteText"/>
        <w:rPr>
          <w:szCs w:val="18"/>
        </w:rPr>
      </w:pPr>
      <w:r w:rsidRPr="005C04B3">
        <w:rPr>
          <w:szCs w:val="18"/>
        </w:rPr>
        <w:tab/>
      </w:r>
      <w:r w:rsidRPr="001A26AE">
        <w:rPr>
          <w:rStyle w:val="FootnoteReference"/>
          <w:szCs w:val="18"/>
        </w:rPr>
        <w:footnoteRef/>
      </w:r>
      <w:r w:rsidRPr="001A26AE">
        <w:rPr>
          <w:szCs w:val="18"/>
        </w:rPr>
        <w:tab/>
      </w:r>
      <w:r w:rsidR="009952D1">
        <w:rPr>
          <w:szCs w:val="18"/>
        </w:rPr>
        <w:t>Text a</w:t>
      </w:r>
      <w:r w:rsidRPr="001A26AE">
        <w:rPr>
          <w:szCs w:val="18"/>
        </w:rPr>
        <w:t>vailable at http://www.legislationline.org/documents/section/constitutions.</w:t>
      </w:r>
    </w:p>
  </w:footnote>
  <w:footnote w:id="6">
    <w:p w:rsidR="00D346A6" w:rsidRPr="001A26AE" w:rsidRDefault="00D346A6" w:rsidP="00262A8B">
      <w:pPr>
        <w:pStyle w:val="FootnoteText"/>
        <w:rPr>
          <w:szCs w:val="18"/>
        </w:rPr>
      </w:pPr>
      <w:r w:rsidRPr="005C04B3">
        <w:rPr>
          <w:szCs w:val="18"/>
        </w:rPr>
        <w:tab/>
      </w:r>
      <w:r w:rsidRPr="001A26AE">
        <w:rPr>
          <w:rStyle w:val="FootnoteReference"/>
          <w:szCs w:val="18"/>
        </w:rPr>
        <w:footnoteRef/>
      </w:r>
      <w:r w:rsidRPr="001A26AE">
        <w:rPr>
          <w:szCs w:val="18"/>
        </w:rPr>
        <w:tab/>
        <w:t>The author refers to communications Nos. 146/1983</w:t>
      </w:r>
      <w:r w:rsidR="00337180">
        <w:rPr>
          <w:szCs w:val="18"/>
        </w:rPr>
        <w:t xml:space="preserve"> and</w:t>
      </w:r>
      <w:r w:rsidRPr="001A26AE">
        <w:rPr>
          <w:szCs w:val="18"/>
        </w:rPr>
        <w:t xml:space="preserve"> 148/1983</w:t>
      </w:r>
      <w:r w:rsidR="00337180">
        <w:rPr>
          <w:szCs w:val="18"/>
        </w:rPr>
        <w:t>–</w:t>
      </w:r>
      <w:r w:rsidRPr="001A26AE">
        <w:rPr>
          <w:szCs w:val="18"/>
        </w:rPr>
        <w:t>154/1983,</w:t>
      </w:r>
      <w:r w:rsidR="000D1DC8">
        <w:rPr>
          <w:szCs w:val="18"/>
        </w:rPr>
        <w:br/>
      </w:r>
      <w:r w:rsidRPr="001A26AE">
        <w:rPr>
          <w:i/>
          <w:szCs w:val="18"/>
        </w:rPr>
        <w:t xml:space="preserve">Baboeram-Adhin et al. </w:t>
      </w:r>
      <w:r w:rsidRPr="000A1497">
        <w:rPr>
          <w:iCs/>
          <w:szCs w:val="18"/>
        </w:rPr>
        <w:t>v.</w:t>
      </w:r>
      <w:r w:rsidRPr="001A26AE">
        <w:rPr>
          <w:i/>
          <w:szCs w:val="18"/>
        </w:rPr>
        <w:t> </w:t>
      </w:r>
      <w:r w:rsidRPr="000A1497">
        <w:rPr>
          <w:i/>
          <w:szCs w:val="18"/>
        </w:rPr>
        <w:t>Suriname</w:t>
      </w:r>
      <w:r w:rsidRPr="000B64D4">
        <w:rPr>
          <w:iCs/>
          <w:szCs w:val="18"/>
        </w:rPr>
        <w:t>,</w:t>
      </w:r>
      <w:r w:rsidRPr="001A26AE">
        <w:rPr>
          <w:szCs w:val="18"/>
        </w:rPr>
        <w:t xml:space="preserve"> Views adopted on 4 April 1985, at para. 9.2</w:t>
      </w:r>
      <w:r w:rsidR="00337180">
        <w:rPr>
          <w:szCs w:val="18"/>
        </w:rPr>
        <w:t>,</w:t>
      </w:r>
      <w:r w:rsidR="000D1DC8">
        <w:rPr>
          <w:szCs w:val="18"/>
        </w:rPr>
        <w:br/>
      </w:r>
      <w:r w:rsidRPr="001A26AE">
        <w:rPr>
          <w:szCs w:val="18"/>
        </w:rPr>
        <w:t xml:space="preserve">and No. 458/1991, </w:t>
      </w:r>
      <w:r w:rsidRPr="000A1497">
        <w:rPr>
          <w:i/>
          <w:szCs w:val="18"/>
        </w:rPr>
        <w:t xml:space="preserve">Mukong </w:t>
      </w:r>
      <w:r w:rsidRPr="000B64D4">
        <w:rPr>
          <w:iCs/>
          <w:szCs w:val="18"/>
        </w:rPr>
        <w:t>v.</w:t>
      </w:r>
      <w:r w:rsidRPr="000A1497">
        <w:rPr>
          <w:i/>
          <w:szCs w:val="18"/>
        </w:rPr>
        <w:t xml:space="preserve"> Cameroon</w:t>
      </w:r>
      <w:r w:rsidRPr="001A26AE">
        <w:rPr>
          <w:szCs w:val="18"/>
        </w:rPr>
        <w:t>, Views adopted on 21 July 1994.</w:t>
      </w:r>
    </w:p>
  </w:footnote>
  <w:footnote w:id="7">
    <w:p w:rsidR="00D346A6" w:rsidRPr="001A26AE" w:rsidRDefault="00D346A6" w:rsidP="00262A8B">
      <w:pPr>
        <w:pStyle w:val="FootnoteText"/>
        <w:rPr>
          <w:szCs w:val="18"/>
        </w:rPr>
      </w:pPr>
      <w:r w:rsidRPr="001A26AE">
        <w:rPr>
          <w:szCs w:val="18"/>
        </w:rPr>
        <w:tab/>
      </w:r>
      <w:r w:rsidRPr="001A26AE">
        <w:rPr>
          <w:rStyle w:val="FootnoteReference"/>
          <w:szCs w:val="18"/>
        </w:rPr>
        <w:footnoteRef/>
      </w:r>
      <w:r w:rsidRPr="001A26AE">
        <w:rPr>
          <w:szCs w:val="18"/>
        </w:rPr>
        <w:tab/>
        <w:t xml:space="preserve">See communications No. 2202/2012, </w:t>
      </w:r>
      <w:r w:rsidR="001110C1" w:rsidRPr="000A1497">
        <w:rPr>
          <w:i/>
          <w:iCs/>
          <w:szCs w:val="18"/>
        </w:rPr>
        <w:t xml:space="preserve">Rodríguez </w:t>
      </w:r>
      <w:r w:rsidRPr="001A26AE">
        <w:rPr>
          <w:i/>
          <w:szCs w:val="18"/>
        </w:rPr>
        <w:t xml:space="preserve">Castañeda </w:t>
      </w:r>
      <w:r w:rsidRPr="000A1497">
        <w:rPr>
          <w:iCs/>
          <w:szCs w:val="18"/>
        </w:rPr>
        <w:t>v.</w:t>
      </w:r>
      <w:r w:rsidRPr="001A26AE">
        <w:rPr>
          <w:i/>
          <w:szCs w:val="18"/>
        </w:rPr>
        <w:t xml:space="preserve"> Mexico</w:t>
      </w:r>
      <w:r w:rsidRPr="001A26AE">
        <w:rPr>
          <w:szCs w:val="18"/>
        </w:rPr>
        <w:t xml:space="preserve">, </w:t>
      </w:r>
      <w:r w:rsidR="00391E4C">
        <w:rPr>
          <w:szCs w:val="18"/>
        </w:rPr>
        <w:t>Views adopted on 18 July 2013</w:t>
      </w:r>
      <w:r w:rsidRPr="001A26AE">
        <w:rPr>
          <w:szCs w:val="18"/>
        </w:rPr>
        <w:t xml:space="preserve">, </w:t>
      </w:r>
      <w:r w:rsidRPr="000A1497">
        <w:rPr>
          <w:szCs w:val="18"/>
        </w:rPr>
        <w:t>at</w:t>
      </w:r>
      <w:r w:rsidRPr="001A26AE">
        <w:rPr>
          <w:szCs w:val="18"/>
        </w:rPr>
        <w:t xml:space="preserve"> para. 6.8, No. 1834/2008, </w:t>
      </w:r>
      <w:r w:rsidRPr="001A26AE">
        <w:rPr>
          <w:i/>
          <w:szCs w:val="18"/>
        </w:rPr>
        <w:t xml:space="preserve">A.P. </w:t>
      </w:r>
      <w:r w:rsidRPr="000A1497">
        <w:rPr>
          <w:iCs/>
          <w:szCs w:val="18"/>
        </w:rPr>
        <w:t>v.</w:t>
      </w:r>
      <w:r w:rsidRPr="001A26AE">
        <w:rPr>
          <w:i/>
          <w:szCs w:val="18"/>
        </w:rPr>
        <w:t xml:space="preserve"> Ukraine</w:t>
      </w:r>
      <w:r w:rsidRPr="001A26AE">
        <w:rPr>
          <w:szCs w:val="18"/>
        </w:rPr>
        <w:t xml:space="preserve">, decision adopted on 23 July 2012, </w:t>
      </w:r>
      <w:r w:rsidRPr="000A1497">
        <w:rPr>
          <w:szCs w:val="18"/>
        </w:rPr>
        <w:t xml:space="preserve">at </w:t>
      </w:r>
      <w:r w:rsidRPr="001A26AE">
        <w:rPr>
          <w:szCs w:val="18"/>
        </w:rPr>
        <w:t xml:space="preserve">para. 8.5, and No. 1887/2009, </w:t>
      </w:r>
      <w:r w:rsidRPr="001A26AE">
        <w:rPr>
          <w:i/>
          <w:szCs w:val="18"/>
        </w:rPr>
        <w:t xml:space="preserve">Peirano Basso </w:t>
      </w:r>
      <w:r w:rsidRPr="000A1497">
        <w:rPr>
          <w:iCs/>
          <w:szCs w:val="18"/>
        </w:rPr>
        <w:t>v.</w:t>
      </w:r>
      <w:r w:rsidRPr="001A26AE">
        <w:rPr>
          <w:i/>
          <w:szCs w:val="18"/>
        </w:rPr>
        <w:t xml:space="preserve"> Uruguay</w:t>
      </w:r>
      <w:r w:rsidRPr="001A26AE">
        <w:rPr>
          <w:szCs w:val="18"/>
        </w:rPr>
        <w:t xml:space="preserve">, Views adopted on 19 October 2010, </w:t>
      </w:r>
      <w:r w:rsidRPr="000A1497">
        <w:rPr>
          <w:szCs w:val="18"/>
        </w:rPr>
        <w:t xml:space="preserve">at </w:t>
      </w:r>
      <w:r w:rsidRPr="001A26AE">
        <w:rPr>
          <w:szCs w:val="18"/>
        </w:rPr>
        <w:t>para. 9.4.</w:t>
      </w:r>
    </w:p>
  </w:footnote>
  <w:footnote w:id="8">
    <w:p w:rsidR="00D346A6" w:rsidRPr="001A26AE" w:rsidRDefault="00D346A6" w:rsidP="00262A8B">
      <w:pPr>
        <w:pStyle w:val="FootnoteText"/>
        <w:rPr>
          <w:szCs w:val="18"/>
        </w:rPr>
      </w:pPr>
      <w:r w:rsidRPr="000A1497">
        <w:rPr>
          <w:szCs w:val="18"/>
        </w:rPr>
        <w:tab/>
      </w:r>
      <w:r w:rsidRPr="001A26AE">
        <w:rPr>
          <w:rStyle w:val="FootnoteReference"/>
          <w:szCs w:val="18"/>
        </w:rPr>
        <w:footnoteRef/>
      </w:r>
      <w:r w:rsidRPr="001A26AE">
        <w:rPr>
          <w:szCs w:val="18"/>
        </w:rPr>
        <w:tab/>
        <w:t xml:space="preserve">See </w:t>
      </w:r>
      <w:r w:rsidR="00204858">
        <w:rPr>
          <w:szCs w:val="18"/>
        </w:rPr>
        <w:t>g</w:t>
      </w:r>
      <w:r w:rsidRPr="001A26AE">
        <w:rPr>
          <w:szCs w:val="18"/>
        </w:rPr>
        <w:t xml:space="preserve">eneral </w:t>
      </w:r>
      <w:r w:rsidR="00204858">
        <w:rPr>
          <w:szCs w:val="18"/>
        </w:rPr>
        <w:t>c</w:t>
      </w:r>
      <w:r w:rsidRPr="001A26AE">
        <w:rPr>
          <w:szCs w:val="18"/>
        </w:rPr>
        <w:t>omment</w:t>
      </w:r>
      <w:r w:rsidR="00204858">
        <w:rPr>
          <w:szCs w:val="18"/>
        </w:rPr>
        <w:t xml:space="preserve"> No.</w:t>
      </w:r>
      <w:r w:rsidRPr="001A26AE">
        <w:rPr>
          <w:szCs w:val="18"/>
        </w:rPr>
        <w:t xml:space="preserve"> 22, para</w:t>
      </w:r>
      <w:r w:rsidR="00D73C39">
        <w:rPr>
          <w:szCs w:val="18"/>
        </w:rPr>
        <w:t>.</w:t>
      </w:r>
      <w:r w:rsidRPr="001A26AE">
        <w:rPr>
          <w:szCs w:val="18"/>
        </w:rPr>
        <w:t> 4</w:t>
      </w:r>
      <w:r w:rsidR="00A30DFA">
        <w:rPr>
          <w:szCs w:val="18"/>
        </w:rPr>
        <w:t>,</w:t>
      </w:r>
      <w:r w:rsidRPr="001A26AE">
        <w:rPr>
          <w:szCs w:val="18"/>
        </w:rPr>
        <w:t xml:space="preserve"> and</w:t>
      </w:r>
      <w:r w:rsidR="00A30DFA">
        <w:rPr>
          <w:szCs w:val="18"/>
        </w:rPr>
        <w:t>,</w:t>
      </w:r>
      <w:r w:rsidRPr="001A26AE">
        <w:rPr>
          <w:szCs w:val="18"/>
        </w:rPr>
        <w:t xml:space="preserve"> for example</w:t>
      </w:r>
      <w:r w:rsidR="00A30DFA">
        <w:rPr>
          <w:szCs w:val="18"/>
        </w:rPr>
        <w:t>,</w:t>
      </w:r>
      <w:r w:rsidRPr="001A26AE">
        <w:rPr>
          <w:szCs w:val="18"/>
        </w:rPr>
        <w:t xml:space="preserve"> communication</w:t>
      </w:r>
      <w:r w:rsidR="00415CF1">
        <w:rPr>
          <w:szCs w:val="18"/>
        </w:rPr>
        <w:t xml:space="preserve"> No.</w:t>
      </w:r>
      <w:r w:rsidRPr="001A26AE">
        <w:rPr>
          <w:szCs w:val="18"/>
        </w:rPr>
        <w:t xml:space="preserve"> 721/1996,</w:t>
      </w:r>
      <w:r w:rsidR="00415CF1">
        <w:rPr>
          <w:szCs w:val="18"/>
        </w:rPr>
        <w:br/>
      </w:r>
      <w:r w:rsidRPr="001A26AE">
        <w:rPr>
          <w:i/>
          <w:szCs w:val="18"/>
        </w:rPr>
        <w:t xml:space="preserve">Boodoo </w:t>
      </w:r>
      <w:r w:rsidRPr="000A1497">
        <w:rPr>
          <w:iCs/>
          <w:szCs w:val="18"/>
        </w:rPr>
        <w:t>v.</w:t>
      </w:r>
      <w:r w:rsidRPr="001A26AE">
        <w:rPr>
          <w:i/>
          <w:szCs w:val="18"/>
        </w:rPr>
        <w:t> </w:t>
      </w:r>
      <w:r w:rsidRPr="000A1497">
        <w:rPr>
          <w:i/>
          <w:szCs w:val="18"/>
        </w:rPr>
        <w:t>Trinidad and Tobago</w:t>
      </w:r>
      <w:r w:rsidRPr="001A26AE">
        <w:rPr>
          <w:szCs w:val="18"/>
        </w:rPr>
        <w:t xml:space="preserve">, Views adopted on 2 April 2002, at para. 6.6. </w:t>
      </w:r>
    </w:p>
  </w:footnote>
  <w:footnote w:id="9">
    <w:p w:rsidR="00D346A6" w:rsidRPr="001A26AE" w:rsidRDefault="00D346A6" w:rsidP="000A1497">
      <w:pPr>
        <w:pStyle w:val="FootnoteText"/>
        <w:tabs>
          <w:tab w:val="left" w:pos="1134"/>
          <w:tab w:val="left" w:pos="1701"/>
          <w:tab w:val="left" w:pos="2268"/>
          <w:tab w:val="left" w:pos="2835"/>
          <w:tab w:val="left" w:pos="3402"/>
          <w:tab w:val="left" w:pos="3969"/>
          <w:tab w:val="left" w:pos="4536"/>
          <w:tab w:val="left" w:pos="5103"/>
          <w:tab w:val="left" w:pos="5920"/>
        </w:tabs>
        <w:rPr>
          <w:szCs w:val="18"/>
        </w:rPr>
      </w:pPr>
      <w:r w:rsidRPr="005C04B3">
        <w:rPr>
          <w:szCs w:val="18"/>
        </w:rPr>
        <w:tab/>
      </w:r>
      <w:r w:rsidRPr="001A26AE">
        <w:rPr>
          <w:rStyle w:val="FootnoteReference"/>
          <w:szCs w:val="18"/>
        </w:rPr>
        <w:footnoteRef/>
      </w:r>
      <w:r w:rsidRPr="001A26AE">
        <w:rPr>
          <w:szCs w:val="18"/>
        </w:rPr>
        <w:tab/>
        <w:t xml:space="preserve">See </w:t>
      </w:r>
      <w:r w:rsidR="00415CF1">
        <w:rPr>
          <w:szCs w:val="18"/>
        </w:rPr>
        <w:t>g</w:t>
      </w:r>
      <w:r w:rsidRPr="001A26AE">
        <w:rPr>
          <w:szCs w:val="18"/>
        </w:rPr>
        <w:t xml:space="preserve">eneral </w:t>
      </w:r>
      <w:r w:rsidR="00415CF1">
        <w:rPr>
          <w:szCs w:val="18"/>
        </w:rPr>
        <w:t>c</w:t>
      </w:r>
      <w:r w:rsidRPr="001A26AE">
        <w:rPr>
          <w:szCs w:val="18"/>
        </w:rPr>
        <w:t xml:space="preserve">omment </w:t>
      </w:r>
      <w:r w:rsidR="00415CF1">
        <w:rPr>
          <w:szCs w:val="18"/>
        </w:rPr>
        <w:t xml:space="preserve">No. </w:t>
      </w:r>
      <w:r w:rsidRPr="001A26AE">
        <w:rPr>
          <w:szCs w:val="18"/>
        </w:rPr>
        <w:t>22, para</w:t>
      </w:r>
      <w:r w:rsidR="00D73C39">
        <w:rPr>
          <w:szCs w:val="18"/>
        </w:rPr>
        <w:t>.</w:t>
      </w:r>
      <w:r w:rsidRPr="001A26AE">
        <w:rPr>
          <w:szCs w:val="18"/>
        </w:rPr>
        <w:t> 8.</w:t>
      </w:r>
      <w:r w:rsidR="002F7E65">
        <w:rPr>
          <w:szCs w:val="18"/>
        </w:rPr>
        <w:t xml:space="preserve"> </w:t>
      </w:r>
    </w:p>
  </w:footnote>
  <w:footnote w:id="10">
    <w:p w:rsidR="00D346A6" w:rsidRPr="001A26AE" w:rsidRDefault="00D346A6" w:rsidP="005D1DC8">
      <w:pPr>
        <w:pStyle w:val="FootnoteText"/>
        <w:rPr>
          <w:szCs w:val="18"/>
        </w:rPr>
      </w:pPr>
      <w:r w:rsidRPr="005C04B3">
        <w:rPr>
          <w:szCs w:val="18"/>
        </w:rPr>
        <w:tab/>
      </w:r>
      <w:r w:rsidRPr="001A26AE">
        <w:rPr>
          <w:rStyle w:val="FootnoteReference"/>
          <w:szCs w:val="18"/>
        </w:rPr>
        <w:footnoteRef/>
      </w:r>
      <w:r w:rsidRPr="005C04B3">
        <w:rPr>
          <w:szCs w:val="18"/>
        </w:rPr>
        <w:tab/>
      </w:r>
      <w:r w:rsidRPr="001A26AE">
        <w:rPr>
          <w:szCs w:val="18"/>
        </w:rPr>
        <w:t>See communication No.</w:t>
      </w:r>
      <w:r>
        <w:rPr>
          <w:szCs w:val="18"/>
        </w:rPr>
        <w:t> </w:t>
      </w:r>
      <w:r w:rsidRPr="001A26AE">
        <w:rPr>
          <w:szCs w:val="18"/>
        </w:rPr>
        <w:t xml:space="preserve">1874/2009, </w:t>
      </w:r>
      <w:r w:rsidRPr="001A26AE">
        <w:rPr>
          <w:i/>
          <w:szCs w:val="18"/>
        </w:rPr>
        <w:t xml:space="preserve">Mihoubi </w:t>
      </w:r>
      <w:r w:rsidRPr="000A1497">
        <w:rPr>
          <w:iCs/>
          <w:szCs w:val="18"/>
        </w:rPr>
        <w:t>v.</w:t>
      </w:r>
      <w:r w:rsidRPr="001A26AE">
        <w:rPr>
          <w:i/>
          <w:szCs w:val="18"/>
        </w:rPr>
        <w:t xml:space="preserve"> Algeria</w:t>
      </w:r>
      <w:r w:rsidRPr="001A26AE">
        <w:rPr>
          <w:szCs w:val="18"/>
        </w:rPr>
        <w:t>, Views adopted on 18 October 2013 (individual opinion of Committee member</w:t>
      </w:r>
      <w:r>
        <w:rPr>
          <w:szCs w:val="18"/>
        </w:rPr>
        <w:t> </w:t>
      </w:r>
      <w:r w:rsidRPr="001A26AE">
        <w:rPr>
          <w:szCs w:val="18"/>
        </w:rPr>
        <w:t>Gerald L. Neuman (concurring)).</w:t>
      </w:r>
    </w:p>
  </w:footnote>
  <w:footnote w:id="11">
    <w:p w:rsidR="00D346A6" w:rsidRPr="001A26AE" w:rsidRDefault="00D346A6" w:rsidP="00D73C39">
      <w:pPr>
        <w:pStyle w:val="FootnoteText"/>
        <w:rPr>
          <w:szCs w:val="18"/>
        </w:rPr>
      </w:pPr>
      <w:r w:rsidRPr="005C04B3">
        <w:rPr>
          <w:szCs w:val="18"/>
        </w:rPr>
        <w:tab/>
      </w:r>
      <w:r w:rsidRPr="001A26AE">
        <w:rPr>
          <w:rStyle w:val="FootnoteReference"/>
          <w:szCs w:val="18"/>
        </w:rPr>
        <w:footnoteRef/>
      </w:r>
      <w:r w:rsidRPr="005C04B3">
        <w:rPr>
          <w:szCs w:val="18"/>
        </w:rPr>
        <w:tab/>
      </w:r>
      <w:r w:rsidRPr="001A26AE">
        <w:rPr>
          <w:szCs w:val="18"/>
        </w:rPr>
        <w:t>Article</w:t>
      </w:r>
      <w:r w:rsidR="006D629C">
        <w:rPr>
          <w:szCs w:val="18"/>
        </w:rPr>
        <w:t xml:space="preserve"> </w:t>
      </w:r>
      <w:r w:rsidRPr="001A26AE">
        <w:rPr>
          <w:szCs w:val="18"/>
        </w:rPr>
        <w:t>2, paragraph 1, obliges States parties to respect and to ensure Covenant rights “without distinction of any kind, such as race, colour, sex, language, religion, political or other opinion, national or social origin, property, birth or other status”</w:t>
      </w:r>
      <w:r w:rsidR="00D73C39">
        <w:rPr>
          <w:szCs w:val="18"/>
        </w:rPr>
        <w:t>.</w:t>
      </w:r>
      <w:r w:rsidRPr="001A26AE">
        <w:rPr>
          <w:szCs w:val="18"/>
        </w:rPr>
        <w:t xml:space="preserve"> See, </w:t>
      </w:r>
      <w:r w:rsidR="00D73C39">
        <w:rPr>
          <w:szCs w:val="18"/>
        </w:rPr>
        <w:t>for example</w:t>
      </w:r>
      <w:r w:rsidRPr="001A26AE">
        <w:rPr>
          <w:szCs w:val="18"/>
        </w:rPr>
        <w:t>, communication No.</w:t>
      </w:r>
      <w:r>
        <w:rPr>
          <w:szCs w:val="18"/>
        </w:rPr>
        <w:t> </w:t>
      </w:r>
      <w:r w:rsidRPr="001A26AE">
        <w:rPr>
          <w:szCs w:val="18"/>
        </w:rPr>
        <w:t xml:space="preserve">1764/2008, </w:t>
      </w:r>
      <w:r w:rsidRPr="001A26AE">
        <w:rPr>
          <w:i/>
          <w:szCs w:val="18"/>
        </w:rPr>
        <w:t xml:space="preserve">Alekperov </w:t>
      </w:r>
      <w:r w:rsidRPr="000A1497">
        <w:rPr>
          <w:iCs/>
          <w:szCs w:val="18"/>
        </w:rPr>
        <w:t>v.</w:t>
      </w:r>
      <w:r w:rsidRPr="001A26AE">
        <w:rPr>
          <w:i/>
          <w:szCs w:val="18"/>
        </w:rPr>
        <w:t xml:space="preserve"> Russian Federation</w:t>
      </w:r>
      <w:r w:rsidRPr="001A26AE">
        <w:rPr>
          <w:szCs w:val="18"/>
        </w:rPr>
        <w:t>, Views adopted on 21 October 2013, para.</w:t>
      </w:r>
      <w:r>
        <w:rPr>
          <w:szCs w:val="18"/>
        </w:rPr>
        <w:t> </w:t>
      </w:r>
      <w:r w:rsidRPr="001A26AE">
        <w:rPr>
          <w:szCs w:val="18"/>
        </w:rPr>
        <w:t>8.3.</w:t>
      </w:r>
    </w:p>
  </w:footnote>
  <w:footnote w:id="12">
    <w:p w:rsidR="00D346A6" w:rsidRPr="001A26AE" w:rsidRDefault="00D346A6" w:rsidP="000718A7">
      <w:pPr>
        <w:pStyle w:val="FootnoteText"/>
        <w:rPr>
          <w:szCs w:val="18"/>
        </w:rPr>
      </w:pPr>
      <w:r w:rsidRPr="001A26AE">
        <w:rPr>
          <w:szCs w:val="18"/>
        </w:rPr>
        <w:tab/>
      </w:r>
      <w:r w:rsidRPr="001A26AE">
        <w:rPr>
          <w:rStyle w:val="FootnoteReference"/>
          <w:szCs w:val="18"/>
        </w:rPr>
        <w:footnoteRef/>
      </w:r>
      <w:r w:rsidRPr="001A26AE">
        <w:rPr>
          <w:szCs w:val="18"/>
        </w:rPr>
        <w:tab/>
        <w:t>I will not cite the jurisprudence regarding this matter, since there are at least 100 different cases in which the Committee arrived at this same decision, including cases resolved during the same session at which the Committee adopted its Views in the case at hand.</w:t>
      </w:r>
    </w:p>
  </w:footnote>
  <w:footnote w:id="13">
    <w:p w:rsidR="00D346A6" w:rsidRPr="001A26AE" w:rsidRDefault="00D346A6" w:rsidP="008E6468">
      <w:pPr>
        <w:pStyle w:val="FootnoteText"/>
        <w:rPr>
          <w:szCs w:val="18"/>
        </w:rPr>
      </w:pPr>
      <w:r w:rsidRPr="001A26AE">
        <w:rPr>
          <w:szCs w:val="18"/>
        </w:rPr>
        <w:tab/>
      </w:r>
      <w:r w:rsidRPr="001A26AE">
        <w:rPr>
          <w:rStyle w:val="FootnoteReference"/>
          <w:szCs w:val="18"/>
        </w:rPr>
        <w:footnoteRef/>
      </w:r>
      <w:r w:rsidRPr="001A26AE">
        <w:rPr>
          <w:szCs w:val="18"/>
        </w:rPr>
        <w:tab/>
        <w:t>See</w:t>
      </w:r>
      <w:r w:rsidR="00387D2F">
        <w:rPr>
          <w:szCs w:val="18"/>
        </w:rPr>
        <w:t xml:space="preserve"> </w:t>
      </w:r>
      <w:r w:rsidR="00387D2F" w:rsidRPr="001A26AE">
        <w:rPr>
          <w:szCs w:val="18"/>
        </w:rPr>
        <w:t>communication No.</w:t>
      </w:r>
      <w:r w:rsidR="00387D2F" w:rsidRPr="005C04B3">
        <w:rPr>
          <w:szCs w:val="18"/>
        </w:rPr>
        <w:t> </w:t>
      </w:r>
      <w:r w:rsidR="00387D2F" w:rsidRPr="001A26AE">
        <w:rPr>
          <w:szCs w:val="18"/>
        </w:rPr>
        <w:t>488/1992,</w:t>
      </w:r>
      <w:r w:rsidRPr="001A26AE">
        <w:rPr>
          <w:szCs w:val="18"/>
        </w:rPr>
        <w:t xml:space="preserve"> </w:t>
      </w:r>
      <w:r w:rsidRPr="001A26AE">
        <w:rPr>
          <w:i/>
          <w:szCs w:val="18"/>
        </w:rPr>
        <w:t xml:space="preserve">Toonen </w:t>
      </w:r>
      <w:r w:rsidRPr="000A1497">
        <w:rPr>
          <w:iCs/>
          <w:szCs w:val="18"/>
        </w:rPr>
        <w:t>v.</w:t>
      </w:r>
      <w:r w:rsidRPr="001A26AE">
        <w:rPr>
          <w:i/>
          <w:szCs w:val="18"/>
        </w:rPr>
        <w:t xml:space="preserve"> Australia</w:t>
      </w:r>
      <w:r w:rsidRPr="001A26AE">
        <w:rPr>
          <w:szCs w:val="18"/>
        </w:rPr>
        <w:t xml:space="preserve">, Views </w:t>
      </w:r>
      <w:r w:rsidR="00387D2F">
        <w:rPr>
          <w:szCs w:val="18"/>
        </w:rPr>
        <w:t>adopted on</w:t>
      </w:r>
      <w:r w:rsidR="00387D2F" w:rsidRPr="001A26AE">
        <w:rPr>
          <w:szCs w:val="18"/>
        </w:rPr>
        <w:t xml:space="preserve"> </w:t>
      </w:r>
      <w:r w:rsidRPr="001A26AE">
        <w:rPr>
          <w:szCs w:val="18"/>
        </w:rPr>
        <w:t>31</w:t>
      </w:r>
      <w:r w:rsidRPr="005C04B3">
        <w:rPr>
          <w:szCs w:val="18"/>
        </w:rPr>
        <w:t> </w:t>
      </w:r>
      <w:r w:rsidRPr="001A26AE">
        <w:rPr>
          <w:szCs w:val="18"/>
        </w:rPr>
        <w:t>March 1994,</w:t>
      </w:r>
      <w:r w:rsidR="00387D2F">
        <w:rPr>
          <w:szCs w:val="18"/>
        </w:rPr>
        <w:br/>
      </w:r>
      <w:r w:rsidRPr="001A26AE">
        <w:rPr>
          <w:szCs w:val="18"/>
        </w:rPr>
        <w:t>paras.</w:t>
      </w:r>
      <w:r w:rsidRPr="005C04B3">
        <w:rPr>
          <w:szCs w:val="18"/>
        </w:rPr>
        <w:t> </w:t>
      </w:r>
      <w:r w:rsidRPr="001A26AE">
        <w:rPr>
          <w:szCs w:val="18"/>
        </w:rPr>
        <w:t>9 and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6A6" w:rsidRPr="00781C83" w:rsidRDefault="00D346A6" w:rsidP="00781C83">
    <w:pPr>
      <w:pStyle w:val="Header"/>
    </w:pPr>
    <w:r>
      <w:t>CCPR/C/112/D/2131/2012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6A6" w:rsidRPr="00781C83" w:rsidRDefault="00D346A6" w:rsidP="00781C83">
    <w:pPr>
      <w:pStyle w:val="Header"/>
      <w:jc w:val="right"/>
    </w:pPr>
    <w:r>
      <w:t>CCPR/C/112/D/</w:t>
    </w:r>
    <w:r w:rsidRPr="003D12CB">
      <w:t>2131/2012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6A5"/>
    <w:rsid w:val="00001C66"/>
    <w:rsid w:val="000044E2"/>
    <w:rsid w:val="00006694"/>
    <w:rsid w:val="00010226"/>
    <w:rsid w:val="0001080D"/>
    <w:rsid w:val="00015E6B"/>
    <w:rsid w:val="000170C3"/>
    <w:rsid w:val="00023024"/>
    <w:rsid w:val="00025D41"/>
    <w:rsid w:val="0002635B"/>
    <w:rsid w:val="000272B3"/>
    <w:rsid w:val="00031B1C"/>
    <w:rsid w:val="0003387B"/>
    <w:rsid w:val="00036C8A"/>
    <w:rsid w:val="00036F3F"/>
    <w:rsid w:val="000377A5"/>
    <w:rsid w:val="0004092D"/>
    <w:rsid w:val="00040A83"/>
    <w:rsid w:val="00041994"/>
    <w:rsid w:val="00050F6B"/>
    <w:rsid w:val="00055FFE"/>
    <w:rsid w:val="000574B4"/>
    <w:rsid w:val="0005782B"/>
    <w:rsid w:val="00057E97"/>
    <w:rsid w:val="00060C3A"/>
    <w:rsid w:val="00066476"/>
    <w:rsid w:val="000718A7"/>
    <w:rsid w:val="000718E0"/>
    <w:rsid w:val="00072C8C"/>
    <w:rsid w:val="000733B5"/>
    <w:rsid w:val="00081815"/>
    <w:rsid w:val="00081BF7"/>
    <w:rsid w:val="0008245C"/>
    <w:rsid w:val="00085D08"/>
    <w:rsid w:val="00091F15"/>
    <w:rsid w:val="000931C0"/>
    <w:rsid w:val="000970C1"/>
    <w:rsid w:val="000A1246"/>
    <w:rsid w:val="000A1497"/>
    <w:rsid w:val="000A310C"/>
    <w:rsid w:val="000A5559"/>
    <w:rsid w:val="000B02C3"/>
    <w:rsid w:val="000B175B"/>
    <w:rsid w:val="000B1788"/>
    <w:rsid w:val="000B3A0F"/>
    <w:rsid w:val="000B4EF7"/>
    <w:rsid w:val="000B64D4"/>
    <w:rsid w:val="000C2AB9"/>
    <w:rsid w:val="000C2C03"/>
    <w:rsid w:val="000C2D2E"/>
    <w:rsid w:val="000C2E06"/>
    <w:rsid w:val="000C46B7"/>
    <w:rsid w:val="000C4DA0"/>
    <w:rsid w:val="000D0ABB"/>
    <w:rsid w:val="000D1DC8"/>
    <w:rsid w:val="000D3D17"/>
    <w:rsid w:val="000E0415"/>
    <w:rsid w:val="000E07B1"/>
    <w:rsid w:val="000E1E02"/>
    <w:rsid w:val="000E20F8"/>
    <w:rsid w:val="000F15B9"/>
    <w:rsid w:val="000F39F9"/>
    <w:rsid w:val="000F6A6B"/>
    <w:rsid w:val="000F7E69"/>
    <w:rsid w:val="001037D9"/>
    <w:rsid w:val="001103AA"/>
    <w:rsid w:val="001110C1"/>
    <w:rsid w:val="00112ABD"/>
    <w:rsid w:val="001133DB"/>
    <w:rsid w:val="00117506"/>
    <w:rsid w:val="0011787A"/>
    <w:rsid w:val="00123712"/>
    <w:rsid w:val="00127F9D"/>
    <w:rsid w:val="001306DD"/>
    <w:rsid w:val="00130D48"/>
    <w:rsid w:val="00131B64"/>
    <w:rsid w:val="0013235B"/>
    <w:rsid w:val="001340B3"/>
    <w:rsid w:val="00134F19"/>
    <w:rsid w:val="00137249"/>
    <w:rsid w:val="00142286"/>
    <w:rsid w:val="00154396"/>
    <w:rsid w:val="00154DA5"/>
    <w:rsid w:val="00157820"/>
    <w:rsid w:val="00161364"/>
    <w:rsid w:val="00162DB2"/>
    <w:rsid w:val="00164C92"/>
    <w:rsid w:val="00165F3A"/>
    <w:rsid w:val="00170DDB"/>
    <w:rsid w:val="001721A9"/>
    <w:rsid w:val="0017277A"/>
    <w:rsid w:val="001756D6"/>
    <w:rsid w:val="001758E2"/>
    <w:rsid w:val="00183968"/>
    <w:rsid w:val="00194050"/>
    <w:rsid w:val="001965C0"/>
    <w:rsid w:val="00196CDF"/>
    <w:rsid w:val="001A09DE"/>
    <w:rsid w:val="001A26AE"/>
    <w:rsid w:val="001A28B7"/>
    <w:rsid w:val="001A2C08"/>
    <w:rsid w:val="001A32CB"/>
    <w:rsid w:val="001A4429"/>
    <w:rsid w:val="001A660B"/>
    <w:rsid w:val="001A6686"/>
    <w:rsid w:val="001A723C"/>
    <w:rsid w:val="001A7E43"/>
    <w:rsid w:val="001B4041"/>
    <w:rsid w:val="001B4B04"/>
    <w:rsid w:val="001B7D22"/>
    <w:rsid w:val="001C201E"/>
    <w:rsid w:val="001C41B6"/>
    <w:rsid w:val="001C5BED"/>
    <w:rsid w:val="001C657F"/>
    <w:rsid w:val="001C6663"/>
    <w:rsid w:val="001C7895"/>
    <w:rsid w:val="001C7D37"/>
    <w:rsid w:val="001D0C8C"/>
    <w:rsid w:val="001D1307"/>
    <w:rsid w:val="001D26DF"/>
    <w:rsid w:val="001D3743"/>
    <w:rsid w:val="001D3A03"/>
    <w:rsid w:val="001E10EC"/>
    <w:rsid w:val="001E3077"/>
    <w:rsid w:val="001E48A9"/>
    <w:rsid w:val="001E718D"/>
    <w:rsid w:val="001F4F88"/>
    <w:rsid w:val="00202DA8"/>
    <w:rsid w:val="00204858"/>
    <w:rsid w:val="002069CC"/>
    <w:rsid w:val="00207E7F"/>
    <w:rsid w:val="00211E0B"/>
    <w:rsid w:val="00217D74"/>
    <w:rsid w:val="00217DD7"/>
    <w:rsid w:val="00220677"/>
    <w:rsid w:val="00221ABC"/>
    <w:rsid w:val="00222689"/>
    <w:rsid w:val="0022389B"/>
    <w:rsid w:val="0022501D"/>
    <w:rsid w:val="002256A1"/>
    <w:rsid w:val="00230352"/>
    <w:rsid w:val="002304EC"/>
    <w:rsid w:val="002314F8"/>
    <w:rsid w:val="0023210C"/>
    <w:rsid w:val="0023302B"/>
    <w:rsid w:val="002361D0"/>
    <w:rsid w:val="00240564"/>
    <w:rsid w:val="0025162E"/>
    <w:rsid w:val="0025487E"/>
    <w:rsid w:val="00255559"/>
    <w:rsid w:val="00256148"/>
    <w:rsid w:val="00262A8B"/>
    <w:rsid w:val="002633B3"/>
    <w:rsid w:val="002650C2"/>
    <w:rsid w:val="00266EB7"/>
    <w:rsid w:val="0026777D"/>
    <w:rsid w:val="00267F5F"/>
    <w:rsid w:val="00271484"/>
    <w:rsid w:val="00273B14"/>
    <w:rsid w:val="00276E56"/>
    <w:rsid w:val="00277032"/>
    <w:rsid w:val="00281144"/>
    <w:rsid w:val="00282899"/>
    <w:rsid w:val="00284161"/>
    <w:rsid w:val="002863A9"/>
    <w:rsid w:val="00286B4D"/>
    <w:rsid w:val="0029365C"/>
    <w:rsid w:val="00293B90"/>
    <w:rsid w:val="002A08BF"/>
    <w:rsid w:val="002A1243"/>
    <w:rsid w:val="002A3CBA"/>
    <w:rsid w:val="002A4B67"/>
    <w:rsid w:val="002A6520"/>
    <w:rsid w:val="002A728F"/>
    <w:rsid w:val="002B2B14"/>
    <w:rsid w:val="002B2CC5"/>
    <w:rsid w:val="002B3B76"/>
    <w:rsid w:val="002B3F1E"/>
    <w:rsid w:val="002C5BCD"/>
    <w:rsid w:val="002C6B2C"/>
    <w:rsid w:val="002D14DA"/>
    <w:rsid w:val="002D18B7"/>
    <w:rsid w:val="002D3275"/>
    <w:rsid w:val="002D3AF5"/>
    <w:rsid w:val="002D4CB1"/>
    <w:rsid w:val="002D6580"/>
    <w:rsid w:val="002E1084"/>
    <w:rsid w:val="002E450E"/>
    <w:rsid w:val="002E52B1"/>
    <w:rsid w:val="002E5C99"/>
    <w:rsid w:val="002E69AE"/>
    <w:rsid w:val="002E76FF"/>
    <w:rsid w:val="002F039C"/>
    <w:rsid w:val="002F0957"/>
    <w:rsid w:val="002F175C"/>
    <w:rsid w:val="002F1942"/>
    <w:rsid w:val="002F4050"/>
    <w:rsid w:val="002F4557"/>
    <w:rsid w:val="002F5159"/>
    <w:rsid w:val="002F582A"/>
    <w:rsid w:val="002F7E65"/>
    <w:rsid w:val="0030138D"/>
    <w:rsid w:val="003036DC"/>
    <w:rsid w:val="00304A19"/>
    <w:rsid w:val="00306124"/>
    <w:rsid w:val="00307164"/>
    <w:rsid w:val="003077E6"/>
    <w:rsid w:val="003134AC"/>
    <w:rsid w:val="0031603F"/>
    <w:rsid w:val="003163F8"/>
    <w:rsid w:val="00320E07"/>
    <w:rsid w:val="003229D8"/>
    <w:rsid w:val="00323632"/>
    <w:rsid w:val="00327502"/>
    <w:rsid w:val="00331F5B"/>
    <w:rsid w:val="00332125"/>
    <w:rsid w:val="003323B8"/>
    <w:rsid w:val="003337DC"/>
    <w:rsid w:val="00333D1E"/>
    <w:rsid w:val="00337180"/>
    <w:rsid w:val="00340A69"/>
    <w:rsid w:val="00350BDD"/>
    <w:rsid w:val="00352709"/>
    <w:rsid w:val="00352774"/>
    <w:rsid w:val="00354AA8"/>
    <w:rsid w:val="00363A98"/>
    <w:rsid w:val="00363EBF"/>
    <w:rsid w:val="0036645D"/>
    <w:rsid w:val="00366749"/>
    <w:rsid w:val="00367567"/>
    <w:rsid w:val="003705C9"/>
    <w:rsid w:val="00371095"/>
    <w:rsid w:val="00371178"/>
    <w:rsid w:val="0037301C"/>
    <w:rsid w:val="003730DD"/>
    <w:rsid w:val="00375119"/>
    <w:rsid w:val="00377828"/>
    <w:rsid w:val="003823CB"/>
    <w:rsid w:val="0038336C"/>
    <w:rsid w:val="00384824"/>
    <w:rsid w:val="00386624"/>
    <w:rsid w:val="00387D2F"/>
    <w:rsid w:val="003903FC"/>
    <w:rsid w:val="00391E4C"/>
    <w:rsid w:val="0039347E"/>
    <w:rsid w:val="003A1602"/>
    <w:rsid w:val="003A3DAE"/>
    <w:rsid w:val="003A5773"/>
    <w:rsid w:val="003A6810"/>
    <w:rsid w:val="003A70FC"/>
    <w:rsid w:val="003A7AF2"/>
    <w:rsid w:val="003C02AB"/>
    <w:rsid w:val="003C294C"/>
    <w:rsid w:val="003C2CC4"/>
    <w:rsid w:val="003C4634"/>
    <w:rsid w:val="003C730E"/>
    <w:rsid w:val="003D12CB"/>
    <w:rsid w:val="003D1C5A"/>
    <w:rsid w:val="003D2795"/>
    <w:rsid w:val="003D3E59"/>
    <w:rsid w:val="003D4B23"/>
    <w:rsid w:val="003D52B0"/>
    <w:rsid w:val="003D749D"/>
    <w:rsid w:val="003E23B1"/>
    <w:rsid w:val="003E2BA4"/>
    <w:rsid w:val="003E6A36"/>
    <w:rsid w:val="003E6F7E"/>
    <w:rsid w:val="00405473"/>
    <w:rsid w:val="00410C89"/>
    <w:rsid w:val="00412011"/>
    <w:rsid w:val="00414931"/>
    <w:rsid w:val="00414B35"/>
    <w:rsid w:val="00414F92"/>
    <w:rsid w:val="00415CF1"/>
    <w:rsid w:val="004227C0"/>
    <w:rsid w:val="00423512"/>
    <w:rsid w:val="0042506D"/>
    <w:rsid w:val="00426B9B"/>
    <w:rsid w:val="0043003F"/>
    <w:rsid w:val="004325CB"/>
    <w:rsid w:val="00436B33"/>
    <w:rsid w:val="00442A83"/>
    <w:rsid w:val="00442C9D"/>
    <w:rsid w:val="00445A57"/>
    <w:rsid w:val="00450D0E"/>
    <w:rsid w:val="00453082"/>
    <w:rsid w:val="0045448D"/>
    <w:rsid w:val="0045495B"/>
    <w:rsid w:val="004559B3"/>
    <w:rsid w:val="00455C43"/>
    <w:rsid w:val="0045703D"/>
    <w:rsid w:val="004607BF"/>
    <w:rsid w:val="00462A78"/>
    <w:rsid w:val="00462A9C"/>
    <w:rsid w:val="00464446"/>
    <w:rsid w:val="00466B4C"/>
    <w:rsid w:val="00466FA4"/>
    <w:rsid w:val="00467412"/>
    <w:rsid w:val="0046769C"/>
    <w:rsid w:val="0047142A"/>
    <w:rsid w:val="0047173A"/>
    <w:rsid w:val="00473963"/>
    <w:rsid w:val="00474E2F"/>
    <w:rsid w:val="00476073"/>
    <w:rsid w:val="00477339"/>
    <w:rsid w:val="00481833"/>
    <w:rsid w:val="00481CB1"/>
    <w:rsid w:val="00487488"/>
    <w:rsid w:val="00487FB8"/>
    <w:rsid w:val="0049219B"/>
    <w:rsid w:val="0049418F"/>
    <w:rsid w:val="00497CBC"/>
    <w:rsid w:val="004A28A7"/>
    <w:rsid w:val="004A4B66"/>
    <w:rsid w:val="004A4E95"/>
    <w:rsid w:val="004A5532"/>
    <w:rsid w:val="004A6EFD"/>
    <w:rsid w:val="004B0856"/>
    <w:rsid w:val="004B1FC2"/>
    <w:rsid w:val="004B2546"/>
    <w:rsid w:val="004C25D1"/>
    <w:rsid w:val="004C55DD"/>
    <w:rsid w:val="004D5BD1"/>
    <w:rsid w:val="004D70F1"/>
    <w:rsid w:val="004E0802"/>
    <w:rsid w:val="004E15CC"/>
    <w:rsid w:val="004E1EB3"/>
    <w:rsid w:val="004E2669"/>
    <w:rsid w:val="004F1D45"/>
    <w:rsid w:val="004F257F"/>
    <w:rsid w:val="004F2DE5"/>
    <w:rsid w:val="004F5078"/>
    <w:rsid w:val="004F6B52"/>
    <w:rsid w:val="00500579"/>
    <w:rsid w:val="0050328D"/>
    <w:rsid w:val="00510C86"/>
    <w:rsid w:val="005167F1"/>
    <w:rsid w:val="00520400"/>
    <w:rsid w:val="0052136D"/>
    <w:rsid w:val="005232E6"/>
    <w:rsid w:val="00525395"/>
    <w:rsid w:val="0052775E"/>
    <w:rsid w:val="005409DC"/>
    <w:rsid w:val="0054109A"/>
    <w:rsid w:val="0054150C"/>
    <w:rsid w:val="005420F2"/>
    <w:rsid w:val="00547C5E"/>
    <w:rsid w:val="0055040E"/>
    <w:rsid w:val="00550D3B"/>
    <w:rsid w:val="005535D0"/>
    <w:rsid w:val="00560BA5"/>
    <w:rsid w:val="005615CE"/>
    <w:rsid w:val="00561B68"/>
    <w:rsid w:val="005628B6"/>
    <w:rsid w:val="00564714"/>
    <w:rsid w:val="00564D24"/>
    <w:rsid w:val="0056624F"/>
    <w:rsid w:val="005722B3"/>
    <w:rsid w:val="00581801"/>
    <w:rsid w:val="005848B3"/>
    <w:rsid w:val="00590DC8"/>
    <w:rsid w:val="00590F87"/>
    <w:rsid w:val="0059291E"/>
    <w:rsid w:val="00592C4A"/>
    <w:rsid w:val="005966B6"/>
    <w:rsid w:val="005A0415"/>
    <w:rsid w:val="005A1AC5"/>
    <w:rsid w:val="005A26ED"/>
    <w:rsid w:val="005A2ACD"/>
    <w:rsid w:val="005B09AE"/>
    <w:rsid w:val="005B15AD"/>
    <w:rsid w:val="005B38A5"/>
    <w:rsid w:val="005B3DB3"/>
    <w:rsid w:val="005B4F61"/>
    <w:rsid w:val="005C03EB"/>
    <w:rsid w:val="005C04B3"/>
    <w:rsid w:val="005C0F0A"/>
    <w:rsid w:val="005C176E"/>
    <w:rsid w:val="005C2131"/>
    <w:rsid w:val="005C223E"/>
    <w:rsid w:val="005C413D"/>
    <w:rsid w:val="005C4A9E"/>
    <w:rsid w:val="005D0679"/>
    <w:rsid w:val="005D1DC8"/>
    <w:rsid w:val="005D2197"/>
    <w:rsid w:val="005D5721"/>
    <w:rsid w:val="005D5AF5"/>
    <w:rsid w:val="005D5DCB"/>
    <w:rsid w:val="005D7CB5"/>
    <w:rsid w:val="005E099A"/>
    <w:rsid w:val="005E23C7"/>
    <w:rsid w:val="005E2F71"/>
    <w:rsid w:val="005E5805"/>
    <w:rsid w:val="005E7783"/>
    <w:rsid w:val="005E783D"/>
    <w:rsid w:val="005F5699"/>
    <w:rsid w:val="005F7717"/>
    <w:rsid w:val="005F7B75"/>
    <w:rsid w:val="005F7F93"/>
    <w:rsid w:val="006001EE"/>
    <w:rsid w:val="00605042"/>
    <w:rsid w:val="00606B30"/>
    <w:rsid w:val="00607BC1"/>
    <w:rsid w:val="006108E0"/>
    <w:rsid w:val="00611FC4"/>
    <w:rsid w:val="006148AF"/>
    <w:rsid w:val="00615BA6"/>
    <w:rsid w:val="006176FB"/>
    <w:rsid w:val="00623FD3"/>
    <w:rsid w:val="0062462D"/>
    <w:rsid w:val="00624800"/>
    <w:rsid w:val="006274AD"/>
    <w:rsid w:val="00627FB0"/>
    <w:rsid w:val="00631C31"/>
    <w:rsid w:val="0063379B"/>
    <w:rsid w:val="0063684E"/>
    <w:rsid w:val="00640B26"/>
    <w:rsid w:val="00640C76"/>
    <w:rsid w:val="00645379"/>
    <w:rsid w:val="00652D0A"/>
    <w:rsid w:val="00653DBF"/>
    <w:rsid w:val="00654447"/>
    <w:rsid w:val="00657918"/>
    <w:rsid w:val="006607B7"/>
    <w:rsid w:val="006614FE"/>
    <w:rsid w:val="00662BB6"/>
    <w:rsid w:val="006637A4"/>
    <w:rsid w:val="00671948"/>
    <w:rsid w:val="00672110"/>
    <w:rsid w:val="006743E9"/>
    <w:rsid w:val="00676536"/>
    <w:rsid w:val="006772B2"/>
    <w:rsid w:val="00681702"/>
    <w:rsid w:val="00682284"/>
    <w:rsid w:val="0068354B"/>
    <w:rsid w:val="006838C8"/>
    <w:rsid w:val="00684680"/>
    <w:rsid w:val="00684C21"/>
    <w:rsid w:val="00685FA6"/>
    <w:rsid w:val="0068743C"/>
    <w:rsid w:val="00692BBE"/>
    <w:rsid w:val="00694AE6"/>
    <w:rsid w:val="00694C6C"/>
    <w:rsid w:val="006954C6"/>
    <w:rsid w:val="00696614"/>
    <w:rsid w:val="0069763E"/>
    <w:rsid w:val="00697F3E"/>
    <w:rsid w:val="006A401D"/>
    <w:rsid w:val="006B58E5"/>
    <w:rsid w:val="006C0435"/>
    <w:rsid w:val="006C3AD1"/>
    <w:rsid w:val="006D37AF"/>
    <w:rsid w:val="006D3BF9"/>
    <w:rsid w:val="006D51D0"/>
    <w:rsid w:val="006D629C"/>
    <w:rsid w:val="006D6B2D"/>
    <w:rsid w:val="006E067D"/>
    <w:rsid w:val="006E395E"/>
    <w:rsid w:val="006E564B"/>
    <w:rsid w:val="006E7191"/>
    <w:rsid w:val="006E7196"/>
    <w:rsid w:val="006F2FE4"/>
    <w:rsid w:val="006F54D3"/>
    <w:rsid w:val="006F6515"/>
    <w:rsid w:val="00703577"/>
    <w:rsid w:val="00705625"/>
    <w:rsid w:val="0071171F"/>
    <w:rsid w:val="00711F00"/>
    <w:rsid w:val="00713C74"/>
    <w:rsid w:val="007140FF"/>
    <w:rsid w:val="00715DDD"/>
    <w:rsid w:val="00716EC7"/>
    <w:rsid w:val="0072328C"/>
    <w:rsid w:val="00725095"/>
    <w:rsid w:val="0072632A"/>
    <w:rsid w:val="00726A48"/>
    <w:rsid w:val="007327D5"/>
    <w:rsid w:val="00734ABE"/>
    <w:rsid w:val="00735CA1"/>
    <w:rsid w:val="00735F4E"/>
    <w:rsid w:val="00736EAD"/>
    <w:rsid w:val="007373B5"/>
    <w:rsid w:val="00740F96"/>
    <w:rsid w:val="00744EAD"/>
    <w:rsid w:val="00746D61"/>
    <w:rsid w:val="007509EB"/>
    <w:rsid w:val="00750FC5"/>
    <w:rsid w:val="0075395D"/>
    <w:rsid w:val="00760B80"/>
    <w:rsid w:val="00762878"/>
    <w:rsid w:val="00762922"/>
    <w:rsid w:val="007629C8"/>
    <w:rsid w:val="00762E39"/>
    <w:rsid w:val="007635DF"/>
    <w:rsid w:val="00764972"/>
    <w:rsid w:val="0077266E"/>
    <w:rsid w:val="007740F1"/>
    <w:rsid w:val="00775EFE"/>
    <w:rsid w:val="00777322"/>
    <w:rsid w:val="00781C83"/>
    <w:rsid w:val="0078300D"/>
    <w:rsid w:val="00785DB2"/>
    <w:rsid w:val="0078676D"/>
    <w:rsid w:val="00787D62"/>
    <w:rsid w:val="00787E5D"/>
    <w:rsid w:val="0079034E"/>
    <w:rsid w:val="00792645"/>
    <w:rsid w:val="00792A6C"/>
    <w:rsid w:val="00794A06"/>
    <w:rsid w:val="0079681E"/>
    <w:rsid w:val="00797BBB"/>
    <w:rsid w:val="007A212F"/>
    <w:rsid w:val="007A2DCD"/>
    <w:rsid w:val="007A36C9"/>
    <w:rsid w:val="007A3756"/>
    <w:rsid w:val="007B2915"/>
    <w:rsid w:val="007B3302"/>
    <w:rsid w:val="007B6BA5"/>
    <w:rsid w:val="007C1241"/>
    <w:rsid w:val="007C2A4A"/>
    <w:rsid w:val="007C3390"/>
    <w:rsid w:val="007C3FFB"/>
    <w:rsid w:val="007C4F4B"/>
    <w:rsid w:val="007C784F"/>
    <w:rsid w:val="007D00CF"/>
    <w:rsid w:val="007D2C0C"/>
    <w:rsid w:val="007D564F"/>
    <w:rsid w:val="007D5B45"/>
    <w:rsid w:val="007E0B2D"/>
    <w:rsid w:val="007E4594"/>
    <w:rsid w:val="007E4B43"/>
    <w:rsid w:val="007E4BBE"/>
    <w:rsid w:val="007E533F"/>
    <w:rsid w:val="007E5EA4"/>
    <w:rsid w:val="007F0C86"/>
    <w:rsid w:val="007F12FC"/>
    <w:rsid w:val="007F2A10"/>
    <w:rsid w:val="007F2D0D"/>
    <w:rsid w:val="007F3A2C"/>
    <w:rsid w:val="007F4441"/>
    <w:rsid w:val="007F4853"/>
    <w:rsid w:val="007F52DD"/>
    <w:rsid w:val="007F6611"/>
    <w:rsid w:val="0080625F"/>
    <w:rsid w:val="008105B8"/>
    <w:rsid w:val="00811D06"/>
    <w:rsid w:val="008123D2"/>
    <w:rsid w:val="00812971"/>
    <w:rsid w:val="00813327"/>
    <w:rsid w:val="00813B4F"/>
    <w:rsid w:val="00816972"/>
    <w:rsid w:val="00816E23"/>
    <w:rsid w:val="00820472"/>
    <w:rsid w:val="008216A5"/>
    <w:rsid w:val="00821A8D"/>
    <w:rsid w:val="008242D7"/>
    <w:rsid w:val="00824C73"/>
    <w:rsid w:val="00824FE2"/>
    <w:rsid w:val="00825659"/>
    <w:rsid w:val="008257B1"/>
    <w:rsid w:val="00830FF4"/>
    <w:rsid w:val="0083185A"/>
    <w:rsid w:val="00836820"/>
    <w:rsid w:val="008406D2"/>
    <w:rsid w:val="0084126F"/>
    <w:rsid w:val="00843767"/>
    <w:rsid w:val="00846268"/>
    <w:rsid w:val="00846666"/>
    <w:rsid w:val="00851F2A"/>
    <w:rsid w:val="0086041F"/>
    <w:rsid w:val="00861B08"/>
    <w:rsid w:val="00863A63"/>
    <w:rsid w:val="0086465F"/>
    <w:rsid w:val="008655A1"/>
    <w:rsid w:val="008679D9"/>
    <w:rsid w:val="00871051"/>
    <w:rsid w:val="00872A40"/>
    <w:rsid w:val="00872F86"/>
    <w:rsid w:val="008730D5"/>
    <w:rsid w:val="008757E5"/>
    <w:rsid w:val="00875FE5"/>
    <w:rsid w:val="00880AF2"/>
    <w:rsid w:val="00883BBF"/>
    <w:rsid w:val="00884C4D"/>
    <w:rsid w:val="00884FCB"/>
    <w:rsid w:val="0088719B"/>
    <w:rsid w:val="0088735B"/>
    <w:rsid w:val="00890DD3"/>
    <w:rsid w:val="00891C2B"/>
    <w:rsid w:val="00891D89"/>
    <w:rsid w:val="00892145"/>
    <w:rsid w:val="00893EBF"/>
    <w:rsid w:val="008979B1"/>
    <w:rsid w:val="00897F0A"/>
    <w:rsid w:val="008A09B5"/>
    <w:rsid w:val="008A1DB2"/>
    <w:rsid w:val="008A2063"/>
    <w:rsid w:val="008A2FBE"/>
    <w:rsid w:val="008A6B25"/>
    <w:rsid w:val="008A6C4F"/>
    <w:rsid w:val="008B012F"/>
    <w:rsid w:val="008B09B4"/>
    <w:rsid w:val="008B2335"/>
    <w:rsid w:val="008B2AC6"/>
    <w:rsid w:val="008B3B9F"/>
    <w:rsid w:val="008B408F"/>
    <w:rsid w:val="008B4663"/>
    <w:rsid w:val="008C0491"/>
    <w:rsid w:val="008C0D17"/>
    <w:rsid w:val="008C22CC"/>
    <w:rsid w:val="008C24C3"/>
    <w:rsid w:val="008C3223"/>
    <w:rsid w:val="008C4B5A"/>
    <w:rsid w:val="008C4EDC"/>
    <w:rsid w:val="008C6E58"/>
    <w:rsid w:val="008C77CB"/>
    <w:rsid w:val="008D1459"/>
    <w:rsid w:val="008D146A"/>
    <w:rsid w:val="008E0678"/>
    <w:rsid w:val="008E4C4F"/>
    <w:rsid w:val="008E5FF6"/>
    <w:rsid w:val="008E6067"/>
    <w:rsid w:val="008E6468"/>
    <w:rsid w:val="008F0336"/>
    <w:rsid w:val="008F1A86"/>
    <w:rsid w:val="008F1FA8"/>
    <w:rsid w:val="00900036"/>
    <w:rsid w:val="00900FA3"/>
    <w:rsid w:val="00903876"/>
    <w:rsid w:val="0090637F"/>
    <w:rsid w:val="009066DF"/>
    <w:rsid w:val="0090696B"/>
    <w:rsid w:val="00910F40"/>
    <w:rsid w:val="009124AA"/>
    <w:rsid w:val="00912C08"/>
    <w:rsid w:val="00913616"/>
    <w:rsid w:val="0091377B"/>
    <w:rsid w:val="009223CA"/>
    <w:rsid w:val="00940F93"/>
    <w:rsid w:val="009453D6"/>
    <w:rsid w:val="00946696"/>
    <w:rsid w:val="0095123B"/>
    <w:rsid w:val="00951EAC"/>
    <w:rsid w:val="0095347F"/>
    <w:rsid w:val="009568BE"/>
    <w:rsid w:val="009569E7"/>
    <w:rsid w:val="0096073F"/>
    <w:rsid w:val="00960911"/>
    <w:rsid w:val="009633D7"/>
    <w:rsid w:val="00965401"/>
    <w:rsid w:val="00967F59"/>
    <w:rsid w:val="009701C4"/>
    <w:rsid w:val="00971F9C"/>
    <w:rsid w:val="00972C38"/>
    <w:rsid w:val="009735A8"/>
    <w:rsid w:val="00974EF5"/>
    <w:rsid w:val="009760F3"/>
    <w:rsid w:val="009800FA"/>
    <w:rsid w:val="00980EA8"/>
    <w:rsid w:val="009817F4"/>
    <w:rsid w:val="009909F5"/>
    <w:rsid w:val="00991955"/>
    <w:rsid w:val="0099515D"/>
    <w:rsid w:val="009952D1"/>
    <w:rsid w:val="0099569A"/>
    <w:rsid w:val="009A0E8D"/>
    <w:rsid w:val="009A19F8"/>
    <w:rsid w:val="009B0FC5"/>
    <w:rsid w:val="009B26E7"/>
    <w:rsid w:val="009C162C"/>
    <w:rsid w:val="009C6DFE"/>
    <w:rsid w:val="009C7E58"/>
    <w:rsid w:val="009E2F54"/>
    <w:rsid w:val="009E7D26"/>
    <w:rsid w:val="009F2AC1"/>
    <w:rsid w:val="009F59AF"/>
    <w:rsid w:val="009F7636"/>
    <w:rsid w:val="00A00A3F"/>
    <w:rsid w:val="00A01489"/>
    <w:rsid w:val="00A018AB"/>
    <w:rsid w:val="00A03ED0"/>
    <w:rsid w:val="00A07736"/>
    <w:rsid w:val="00A13DEC"/>
    <w:rsid w:val="00A16F7B"/>
    <w:rsid w:val="00A2306B"/>
    <w:rsid w:val="00A230A0"/>
    <w:rsid w:val="00A2310D"/>
    <w:rsid w:val="00A233A0"/>
    <w:rsid w:val="00A30DFA"/>
    <w:rsid w:val="00A31B81"/>
    <w:rsid w:val="00A3252A"/>
    <w:rsid w:val="00A338F1"/>
    <w:rsid w:val="00A343D0"/>
    <w:rsid w:val="00A35B89"/>
    <w:rsid w:val="00A377A8"/>
    <w:rsid w:val="00A41A5C"/>
    <w:rsid w:val="00A44487"/>
    <w:rsid w:val="00A44615"/>
    <w:rsid w:val="00A4728C"/>
    <w:rsid w:val="00A47874"/>
    <w:rsid w:val="00A704C7"/>
    <w:rsid w:val="00A70EA1"/>
    <w:rsid w:val="00A714C7"/>
    <w:rsid w:val="00A72C70"/>
    <w:rsid w:val="00A72F22"/>
    <w:rsid w:val="00A7360F"/>
    <w:rsid w:val="00A748A6"/>
    <w:rsid w:val="00A75355"/>
    <w:rsid w:val="00A76648"/>
    <w:rsid w:val="00A769F4"/>
    <w:rsid w:val="00A776B4"/>
    <w:rsid w:val="00A777CF"/>
    <w:rsid w:val="00A81D4E"/>
    <w:rsid w:val="00A85EA0"/>
    <w:rsid w:val="00A94361"/>
    <w:rsid w:val="00A96BCF"/>
    <w:rsid w:val="00A9748E"/>
    <w:rsid w:val="00AA293C"/>
    <w:rsid w:val="00AA2D0D"/>
    <w:rsid w:val="00AA6FA4"/>
    <w:rsid w:val="00AB0648"/>
    <w:rsid w:val="00AB19FA"/>
    <w:rsid w:val="00AB2855"/>
    <w:rsid w:val="00AB45A3"/>
    <w:rsid w:val="00AB4CA5"/>
    <w:rsid w:val="00AC505B"/>
    <w:rsid w:val="00AC6A0A"/>
    <w:rsid w:val="00AD4663"/>
    <w:rsid w:val="00AD46B8"/>
    <w:rsid w:val="00AD64FD"/>
    <w:rsid w:val="00AE1CFF"/>
    <w:rsid w:val="00AE4730"/>
    <w:rsid w:val="00AE50CE"/>
    <w:rsid w:val="00AE5F10"/>
    <w:rsid w:val="00AF0BB7"/>
    <w:rsid w:val="00AF1A44"/>
    <w:rsid w:val="00AF3148"/>
    <w:rsid w:val="00AF34D9"/>
    <w:rsid w:val="00AF5CCF"/>
    <w:rsid w:val="00AF5E16"/>
    <w:rsid w:val="00AF7286"/>
    <w:rsid w:val="00B03884"/>
    <w:rsid w:val="00B04543"/>
    <w:rsid w:val="00B055AB"/>
    <w:rsid w:val="00B07E69"/>
    <w:rsid w:val="00B1060E"/>
    <w:rsid w:val="00B10640"/>
    <w:rsid w:val="00B111FC"/>
    <w:rsid w:val="00B13E9B"/>
    <w:rsid w:val="00B14B55"/>
    <w:rsid w:val="00B163BD"/>
    <w:rsid w:val="00B174D5"/>
    <w:rsid w:val="00B2280C"/>
    <w:rsid w:val="00B23D94"/>
    <w:rsid w:val="00B25D3D"/>
    <w:rsid w:val="00B260AC"/>
    <w:rsid w:val="00B2683D"/>
    <w:rsid w:val="00B276F2"/>
    <w:rsid w:val="00B30179"/>
    <w:rsid w:val="00B32602"/>
    <w:rsid w:val="00B334A4"/>
    <w:rsid w:val="00B339A7"/>
    <w:rsid w:val="00B33ABD"/>
    <w:rsid w:val="00B34469"/>
    <w:rsid w:val="00B357D2"/>
    <w:rsid w:val="00B35869"/>
    <w:rsid w:val="00B35FEB"/>
    <w:rsid w:val="00B40C25"/>
    <w:rsid w:val="00B41A37"/>
    <w:rsid w:val="00B41ACB"/>
    <w:rsid w:val="00B45E70"/>
    <w:rsid w:val="00B46514"/>
    <w:rsid w:val="00B55522"/>
    <w:rsid w:val="00B56E4A"/>
    <w:rsid w:val="00B56E9C"/>
    <w:rsid w:val="00B57691"/>
    <w:rsid w:val="00B60748"/>
    <w:rsid w:val="00B63147"/>
    <w:rsid w:val="00B64B1F"/>
    <w:rsid w:val="00B6524C"/>
    <w:rsid w:val="00B6553F"/>
    <w:rsid w:val="00B66E5E"/>
    <w:rsid w:val="00B73C5A"/>
    <w:rsid w:val="00B77D05"/>
    <w:rsid w:val="00B81206"/>
    <w:rsid w:val="00B81BF1"/>
    <w:rsid w:val="00B81E12"/>
    <w:rsid w:val="00B828B1"/>
    <w:rsid w:val="00B85756"/>
    <w:rsid w:val="00B85AF8"/>
    <w:rsid w:val="00B86C63"/>
    <w:rsid w:val="00B8779F"/>
    <w:rsid w:val="00B9067B"/>
    <w:rsid w:val="00B915E0"/>
    <w:rsid w:val="00B94491"/>
    <w:rsid w:val="00B95A99"/>
    <w:rsid w:val="00B97AFE"/>
    <w:rsid w:val="00BA0869"/>
    <w:rsid w:val="00BA434C"/>
    <w:rsid w:val="00BA6215"/>
    <w:rsid w:val="00BB1694"/>
    <w:rsid w:val="00BB22D5"/>
    <w:rsid w:val="00BC01E3"/>
    <w:rsid w:val="00BC2C23"/>
    <w:rsid w:val="00BC48F3"/>
    <w:rsid w:val="00BC5363"/>
    <w:rsid w:val="00BC6E5E"/>
    <w:rsid w:val="00BC74E9"/>
    <w:rsid w:val="00BE755F"/>
    <w:rsid w:val="00BF4613"/>
    <w:rsid w:val="00BF61C5"/>
    <w:rsid w:val="00BF6774"/>
    <w:rsid w:val="00BF68A8"/>
    <w:rsid w:val="00BF72FD"/>
    <w:rsid w:val="00C02E7A"/>
    <w:rsid w:val="00C03002"/>
    <w:rsid w:val="00C0523B"/>
    <w:rsid w:val="00C0540A"/>
    <w:rsid w:val="00C078B8"/>
    <w:rsid w:val="00C107DD"/>
    <w:rsid w:val="00C11207"/>
    <w:rsid w:val="00C11870"/>
    <w:rsid w:val="00C11A03"/>
    <w:rsid w:val="00C144EC"/>
    <w:rsid w:val="00C20A72"/>
    <w:rsid w:val="00C2284D"/>
    <w:rsid w:val="00C34906"/>
    <w:rsid w:val="00C34926"/>
    <w:rsid w:val="00C410D1"/>
    <w:rsid w:val="00C42190"/>
    <w:rsid w:val="00C44D49"/>
    <w:rsid w:val="00C463DD"/>
    <w:rsid w:val="00C46474"/>
    <w:rsid w:val="00C4724C"/>
    <w:rsid w:val="00C50356"/>
    <w:rsid w:val="00C55779"/>
    <w:rsid w:val="00C56114"/>
    <w:rsid w:val="00C606D3"/>
    <w:rsid w:val="00C61C48"/>
    <w:rsid w:val="00C6257E"/>
    <w:rsid w:val="00C629A0"/>
    <w:rsid w:val="00C745C3"/>
    <w:rsid w:val="00C76890"/>
    <w:rsid w:val="00C76D8E"/>
    <w:rsid w:val="00C803EC"/>
    <w:rsid w:val="00C81501"/>
    <w:rsid w:val="00C8504E"/>
    <w:rsid w:val="00C92767"/>
    <w:rsid w:val="00CA4555"/>
    <w:rsid w:val="00CE4A8F"/>
    <w:rsid w:val="00CF1984"/>
    <w:rsid w:val="00CF2621"/>
    <w:rsid w:val="00D017A1"/>
    <w:rsid w:val="00D02C2A"/>
    <w:rsid w:val="00D06AB9"/>
    <w:rsid w:val="00D06B7E"/>
    <w:rsid w:val="00D1315B"/>
    <w:rsid w:val="00D141CF"/>
    <w:rsid w:val="00D2031B"/>
    <w:rsid w:val="00D23C1D"/>
    <w:rsid w:val="00D257E7"/>
    <w:rsid w:val="00D25FE2"/>
    <w:rsid w:val="00D2637A"/>
    <w:rsid w:val="00D27235"/>
    <w:rsid w:val="00D30034"/>
    <w:rsid w:val="00D30296"/>
    <w:rsid w:val="00D346A6"/>
    <w:rsid w:val="00D35FCA"/>
    <w:rsid w:val="00D42E29"/>
    <w:rsid w:val="00D43252"/>
    <w:rsid w:val="00D43E06"/>
    <w:rsid w:val="00D46C27"/>
    <w:rsid w:val="00D47EEA"/>
    <w:rsid w:val="00D501D0"/>
    <w:rsid w:val="00D509AE"/>
    <w:rsid w:val="00D51D6E"/>
    <w:rsid w:val="00D53BAD"/>
    <w:rsid w:val="00D543C9"/>
    <w:rsid w:val="00D6171B"/>
    <w:rsid w:val="00D729E4"/>
    <w:rsid w:val="00D73C39"/>
    <w:rsid w:val="00D73CB8"/>
    <w:rsid w:val="00D80EDF"/>
    <w:rsid w:val="00D8182A"/>
    <w:rsid w:val="00D864CC"/>
    <w:rsid w:val="00D90F93"/>
    <w:rsid w:val="00D913B0"/>
    <w:rsid w:val="00D9504B"/>
    <w:rsid w:val="00D95303"/>
    <w:rsid w:val="00D955D8"/>
    <w:rsid w:val="00D96E57"/>
    <w:rsid w:val="00D97597"/>
    <w:rsid w:val="00D975A7"/>
    <w:rsid w:val="00D978C6"/>
    <w:rsid w:val="00DA13A4"/>
    <w:rsid w:val="00DA25F3"/>
    <w:rsid w:val="00DA3111"/>
    <w:rsid w:val="00DA3C1C"/>
    <w:rsid w:val="00DA4BBB"/>
    <w:rsid w:val="00DA6FDC"/>
    <w:rsid w:val="00DB0171"/>
    <w:rsid w:val="00DB0C79"/>
    <w:rsid w:val="00DB2CE7"/>
    <w:rsid w:val="00DB5B2F"/>
    <w:rsid w:val="00DB7BCD"/>
    <w:rsid w:val="00DC0714"/>
    <w:rsid w:val="00DC70E8"/>
    <w:rsid w:val="00DD36D2"/>
    <w:rsid w:val="00DD593B"/>
    <w:rsid w:val="00DD5EAA"/>
    <w:rsid w:val="00DD71CF"/>
    <w:rsid w:val="00DE1DF6"/>
    <w:rsid w:val="00DE79A8"/>
    <w:rsid w:val="00DF528D"/>
    <w:rsid w:val="00E13CC2"/>
    <w:rsid w:val="00E142AF"/>
    <w:rsid w:val="00E15CC1"/>
    <w:rsid w:val="00E17C73"/>
    <w:rsid w:val="00E209FD"/>
    <w:rsid w:val="00E21400"/>
    <w:rsid w:val="00E25E54"/>
    <w:rsid w:val="00E27346"/>
    <w:rsid w:val="00E27F2A"/>
    <w:rsid w:val="00E31E79"/>
    <w:rsid w:val="00E330A7"/>
    <w:rsid w:val="00E40A07"/>
    <w:rsid w:val="00E41738"/>
    <w:rsid w:val="00E41BFE"/>
    <w:rsid w:val="00E433FF"/>
    <w:rsid w:val="00E4363C"/>
    <w:rsid w:val="00E45595"/>
    <w:rsid w:val="00E53D02"/>
    <w:rsid w:val="00E54066"/>
    <w:rsid w:val="00E566EB"/>
    <w:rsid w:val="00E6074E"/>
    <w:rsid w:val="00E61088"/>
    <w:rsid w:val="00E632CC"/>
    <w:rsid w:val="00E64123"/>
    <w:rsid w:val="00E65396"/>
    <w:rsid w:val="00E71BC8"/>
    <w:rsid w:val="00E72432"/>
    <w:rsid w:val="00E7260F"/>
    <w:rsid w:val="00E74206"/>
    <w:rsid w:val="00E77185"/>
    <w:rsid w:val="00E779FC"/>
    <w:rsid w:val="00E8044C"/>
    <w:rsid w:val="00E848D3"/>
    <w:rsid w:val="00E85728"/>
    <w:rsid w:val="00E86349"/>
    <w:rsid w:val="00E86CBC"/>
    <w:rsid w:val="00E9018F"/>
    <w:rsid w:val="00E921CF"/>
    <w:rsid w:val="00E92F65"/>
    <w:rsid w:val="00E96630"/>
    <w:rsid w:val="00EA31F7"/>
    <w:rsid w:val="00EA463C"/>
    <w:rsid w:val="00EA6F1B"/>
    <w:rsid w:val="00EB1114"/>
    <w:rsid w:val="00EB11F3"/>
    <w:rsid w:val="00EB2581"/>
    <w:rsid w:val="00EC14EF"/>
    <w:rsid w:val="00EC1950"/>
    <w:rsid w:val="00EC1AD7"/>
    <w:rsid w:val="00ED00FD"/>
    <w:rsid w:val="00ED7A2A"/>
    <w:rsid w:val="00ED7E6E"/>
    <w:rsid w:val="00EE06D9"/>
    <w:rsid w:val="00EE6929"/>
    <w:rsid w:val="00EF0235"/>
    <w:rsid w:val="00EF1D7F"/>
    <w:rsid w:val="00F03190"/>
    <w:rsid w:val="00F03A99"/>
    <w:rsid w:val="00F0403F"/>
    <w:rsid w:val="00F04CDE"/>
    <w:rsid w:val="00F0542E"/>
    <w:rsid w:val="00F075CC"/>
    <w:rsid w:val="00F1066A"/>
    <w:rsid w:val="00F20C3D"/>
    <w:rsid w:val="00F2653D"/>
    <w:rsid w:val="00F27E5F"/>
    <w:rsid w:val="00F308E5"/>
    <w:rsid w:val="00F30980"/>
    <w:rsid w:val="00F34D48"/>
    <w:rsid w:val="00F35149"/>
    <w:rsid w:val="00F373CD"/>
    <w:rsid w:val="00F379D8"/>
    <w:rsid w:val="00F41576"/>
    <w:rsid w:val="00F4204E"/>
    <w:rsid w:val="00F43E9E"/>
    <w:rsid w:val="00F44820"/>
    <w:rsid w:val="00F52BE2"/>
    <w:rsid w:val="00F546EA"/>
    <w:rsid w:val="00F6425C"/>
    <w:rsid w:val="00F707FB"/>
    <w:rsid w:val="00F70D30"/>
    <w:rsid w:val="00F748B6"/>
    <w:rsid w:val="00F76086"/>
    <w:rsid w:val="00F77CA7"/>
    <w:rsid w:val="00F82F23"/>
    <w:rsid w:val="00F8467B"/>
    <w:rsid w:val="00F86121"/>
    <w:rsid w:val="00F8772A"/>
    <w:rsid w:val="00F9041A"/>
    <w:rsid w:val="00F9057C"/>
    <w:rsid w:val="00F906D7"/>
    <w:rsid w:val="00F90FD3"/>
    <w:rsid w:val="00F92994"/>
    <w:rsid w:val="00F93781"/>
    <w:rsid w:val="00F9653B"/>
    <w:rsid w:val="00F9682C"/>
    <w:rsid w:val="00F96BA5"/>
    <w:rsid w:val="00F97578"/>
    <w:rsid w:val="00FA1718"/>
    <w:rsid w:val="00FB2745"/>
    <w:rsid w:val="00FB45D9"/>
    <w:rsid w:val="00FB5EB5"/>
    <w:rsid w:val="00FB613B"/>
    <w:rsid w:val="00FC0622"/>
    <w:rsid w:val="00FC68B7"/>
    <w:rsid w:val="00FD0381"/>
    <w:rsid w:val="00FD28AF"/>
    <w:rsid w:val="00FD4F04"/>
    <w:rsid w:val="00FD4FB8"/>
    <w:rsid w:val="00FD61DA"/>
    <w:rsid w:val="00FE106A"/>
    <w:rsid w:val="00FF0000"/>
    <w:rsid w:val="00FF37CE"/>
    <w:rsid w:val="00FF4BF4"/>
    <w:rsid w:val="00FF4E2C"/>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4683F63-9301-4141-ABBF-F6AE9C6A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E433FF"/>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E433FF"/>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styleId="Revision">
    <w:name w:val="Revision"/>
    <w:hidden/>
    <w:uiPriority w:val="99"/>
    <w:semiHidden/>
    <w:rsid w:val="00AD466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4</Pages>
  <Words>4676</Words>
  <Characters>26655</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31269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2015-01-05T09:06:00Z</cp:lastPrinted>
  <dcterms:created xsi:type="dcterms:W3CDTF">2017-01-24T22:34:00Z</dcterms:created>
  <dcterms:modified xsi:type="dcterms:W3CDTF">2017-01-24T22:34:00Z</dcterms:modified>
</cp:coreProperties>
</file>