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31077E" w:rsidP="00126C29">
            <w:pPr>
              <w:jc w:val="right"/>
            </w:pPr>
            <w:r w:rsidRPr="0031077E">
              <w:rPr>
                <w:sz w:val="40"/>
              </w:rPr>
              <w:t>CCPR</w:t>
            </w:r>
            <w:r>
              <w:t>/C/11</w:t>
            </w:r>
            <w:r w:rsidR="00DE4593">
              <w:t>2</w:t>
            </w:r>
            <w:r>
              <w:t>/D/</w:t>
            </w:r>
            <w:r w:rsidR="00C915CB">
              <w:t>2137</w:t>
            </w:r>
            <w:r>
              <w:t>/20</w:t>
            </w:r>
            <w:r w:rsidR="00DE4593">
              <w:t>1</w:t>
            </w:r>
            <w:r w:rsidR="00C915CB">
              <w:t>2</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585D94" w:rsidP="00B6553F">
            <w:pPr>
              <w:spacing w:before="120"/>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_unlogo" style="width:56.25pt;height:46.5pt;visibility:visible">
                  <v:imagedata r:id="rId7" o:title="_unlogo"/>
                </v:shape>
              </w:pict>
            </w:r>
          </w:p>
        </w:tc>
        <w:tc>
          <w:tcPr>
            <w:tcW w:w="5528" w:type="dxa"/>
            <w:gridSpan w:val="2"/>
            <w:tcBorders>
              <w:top w:val="single" w:sz="4" w:space="0" w:color="auto"/>
              <w:bottom w:val="single" w:sz="12" w:space="0" w:color="auto"/>
            </w:tcBorders>
          </w:tcPr>
          <w:p w:rsidR="00B56E9C"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p w:rsidR="0036180A" w:rsidRPr="00B53137" w:rsidRDefault="0036180A" w:rsidP="00267F5F">
            <w:pPr>
              <w:spacing w:before="120" w:line="380" w:lineRule="exact"/>
              <w:rPr>
                <w:sz w:val="34"/>
              </w:rPr>
            </w:pPr>
          </w:p>
        </w:tc>
        <w:tc>
          <w:tcPr>
            <w:tcW w:w="2835" w:type="dxa"/>
            <w:tcBorders>
              <w:top w:val="single" w:sz="4" w:space="0" w:color="auto"/>
              <w:bottom w:val="single" w:sz="12" w:space="0" w:color="auto"/>
            </w:tcBorders>
          </w:tcPr>
          <w:p w:rsidR="00B56E9C" w:rsidRDefault="0031077E" w:rsidP="0031077E">
            <w:pPr>
              <w:spacing w:before="240" w:line="240" w:lineRule="exact"/>
            </w:pPr>
            <w:r>
              <w:t xml:space="preserve">Distr.: </w:t>
            </w:r>
            <w:r w:rsidR="0036180A">
              <w:t>General</w:t>
            </w:r>
          </w:p>
          <w:p w:rsidR="0031077E" w:rsidRDefault="00CC3C10" w:rsidP="00C3193A">
            <w:pPr>
              <w:spacing w:line="240" w:lineRule="exact"/>
            </w:pPr>
            <w:r>
              <w:t>20</w:t>
            </w:r>
            <w:r w:rsidR="008B4522">
              <w:t xml:space="preserve"> </w:t>
            </w:r>
            <w:r w:rsidR="00B53137" w:rsidRPr="00C3193A">
              <w:t>November</w:t>
            </w:r>
            <w:r w:rsidR="0031077E" w:rsidRPr="00C3193A">
              <w:t xml:space="preserve"> 2014</w:t>
            </w:r>
          </w:p>
          <w:p w:rsidR="0031077E" w:rsidRDefault="0031077E" w:rsidP="0031077E">
            <w:pPr>
              <w:spacing w:line="240" w:lineRule="exact"/>
            </w:pPr>
          </w:p>
          <w:p w:rsidR="0031077E" w:rsidRDefault="0031077E" w:rsidP="0031077E">
            <w:pPr>
              <w:spacing w:line="240" w:lineRule="exact"/>
            </w:pPr>
            <w:r>
              <w:t>Original: English</w:t>
            </w:r>
          </w:p>
        </w:tc>
      </w:tr>
    </w:tbl>
    <w:p w:rsidR="00C915CB" w:rsidRPr="00AF590D" w:rsidRDefault="00C915CB" w:rsidP="00C915CB">
      <w:pPr>
        <w:spacing w:before="120"/>
        <w:rPr>
          <w:b/>
        </w:rPr>
      </w:pPr>
      <w:r w:rsidRPr="00C915CB">
        <w:rPr>
          <w:b/>
          <w:sz w:val="24"/>
          <w:szCs w:val="24"/>
          <w:lang w:val="en-US"/>
        </w:rPr>
        <w:t>H</w:t>
      </w:r>
      <w:r w:rsidRPr="00AF590D">
        <w:rPr>
          <w:b/>
          <w:sz w:val="24"/>
          <w:szCs w:val="24"/>
          <w:lang w:val="en-US"/>
        </w:rPr>
        <w:t>uman Rights Committee</w:t>
      </w:r>
      <w:r w:rsidR="00585D94">
        <w:rPr>
          <w:b/>
          <w:noProof/>
          <w:lang w:eastAsia="zh-CN"/>
        </w:rPr>
        <w:pict>
          <v:shape id="_x0000_s1026" type="#_x0000_t75" style="position:absolute;margin-left:432.25pt;margin-top:632.1pt;width:50.25pt;height:50.25pt;z-index:1;mso-position-horizontal-relative:margin;mso-position-vertical-relative:margin" o:allowoverlap="f">
            <v:imagedata r:id="rId8" o:title="2012&amp;Size=2 &amp;Lang=E"/>
            <w10:wrap anchorx="margin" anchory="margin"/>
          </v:shape>
        </w:pict>
      </w:r>
    </w:p>
    <w:p w:rsidR="00C915CB" w:rsidRPr="00AF590D" w:rsidRDefault="00C915CB" w:rsidP="00C915CB">
      <w:pPr>
        <w:pStyle w:val="HChG"/>
        <w:rPr>
          <w:lang w:val="bg-BG"/>
        </w:rPr>
      </w:pPr>
      <w:r w:rsidRPr="00AF590D">
        <w:tab/>
      </w:r>
      <w:r w:rsidRPr="00AF590D">
        <w:tab/>
        <w:t>Communication No.</w:t>
      </w:r>
      <w:r w:rsidR="002D7AAD">
        <w:t> </w:t>
      </w:r>
      <w:r>
        <w:t>2137</w:t>
      </w:r>
      <w:r w:rsidRPr="00AF590D">
        <w:t>/201</w:t>
      </w:r>
      <w:r>
        <w:t>2</w:t>
      </w:r>
    </w:p>
    <w:p w:rsidR="00827238" w:rsidRPr="002D7AAD" w:rsidRDefault="00C915CB" w:rsidP="002D7AAD">
      <w:pPr>
        <w:pStyle w:val="H1G"/>
        <w:rPr>
          <w:bCs/>
          <w:sz w:val="22"/>
          <w:szCs w:val="22"/>
        </w:rPr>
      </w:pPr>
      <w:r w:rsidRPr="00AF590D">
        <w:tab/>
      </w:r>
      <w:r w:rsidRPr="00AF590D">
        <w:tab/>
      </w:r>
      <w:r w:rsidR="00827238">
        <w:t>Views adopted by the Committee at its 112</w:t>
      </w:r>
      <w:r w:rsidR="006165DA">
        <w:t>th</w:t>
      </w:r>
      <w:r w:rsidR="00827238">
        <w:t xml:space="preserve"> session</w:t>
      </w:r>
      <w:r w:rsidR="002D7AAD">
        <w:br/>
      </w:r>
      <w:r w:rsidR="00827238" w:rsidRPr="002D7AAD">
        <w:rPr>
          <w:bCs/>
          <w:sz w:val="22"/>
          <w:szCs w:val="22"/>
        </w:rPr>
        <w:t>(7-31 October 2014)</w:t>
      </w:r>
    </w:p>
    <w:p w:rsidR="00C915CB" w:rsidRPr="00251F20" w:rsidRDefault="00C915CB" w:rsidP="00BD3701">
      <w:pPr>
        <w:pStyle w:val="SingleTxtG"/>
        <w:ind w:left="4536" w:hanging="3402"/>
        <w:jc w:val="left"/>
      </w:pPr>
      <w:r w:rsidRPr="00251F20">
        <w:rPr>
          <w:i/>
        </w:rPr>
        <w:t>Submitted by:</w:t>
      </w:r>
      <w:r w:rsidRPr="00251F20">
        <w:tab/>
      </w:r>
      <w:r w:rsidR="00A30530">
        <w:rPr>
          <w:b/>
        </w:rPr>
        <w:tab/>
      </w:r>
      <w:r w:rsidRPr="00251F20">
        <w:t xml:space="preserve">Bakhytzhan Toregozhina </w:t>
      </w:r>
      <w:r w:rsidRPr="00251F20">
        <w:rPr>
          <w:bCs/>
        </w:rPr>
        <w:t>(not represented by</w:t>
      </w:r>
      <w:r w:rsidR="00BD3701">
        <w:rPr>
          <w:bCs/>
        </w:rPr>
        <w:t> </w:t>
      </w:r>
      <w:r w:rsidRPr="00251F20">
        <w:rPr>
          <w:bCs/>
        </w:rPr>
        <w:t>counsel)</w:t>
      </w:r>
    </w:p>
    <w:p w:rsidR="00C915CB" w:rsidRPr="00074FB1" w:rsidRDefault="00C915CB" w:rsidP="00251F20">
      <w:pPr>
        <w:pStyle w:val="SingleTxtG"/>
        <w:ind w:left="4536" w:hanging="3402"/>
      </w:pPr>
      <w:r w:rsidRPr="00076AF7">
        <w:rPr>
          <w:i/>
        </w:rPr>
        <w:t>Alleged victim:</w:t>
      </w:r>
      <w:r w:rsidRPr="00074FB1">
        <w:tab/>
        <w:t>The author</w:t>
      </w:r>
    </w:p>
    <w:p w:rsidR="00C915CB" w:rsidRPr="00074FB1" w:rsidRDefault="00C915CB" w:rsidP="00C915CB">
      <w:pPr>
        <w:pStyle w:val="SingleTxtG"/>
        <w:ind w:left="4536" w:hanging="3402"/>
      </w:pPr>
      <w:r w:rsidRPr="00076AF7">
        <w:rPr>
          <w:i/>
        </w:rPr>
        <w:t>State party:</w:t>
      </w:r>
      <w:r w:rsidRPr="00074FB1">
        <w:tab/>
      </w:r>
      <w:r>
        <w:t>Kazakhstan</w:t>
      </w:r>
    </w:p>
    <w:p w:rsidR="00C915CB" w:rsidRPr="00074FB1" w:rsidRDefault="00C915CB" w:rsidP="00C915CB">
      <w:pPr>
        <w:pStyle w:val="SingleTxtG"/>
        <w:ind w:left="4536" w:hanging="3402"/>
      </w:pPr>
      <w:r w:rsidRPr="00076AF7">
        <w:rPr>
          <w:i/>
        </w:rPr>
        <w:t>Date of communication:</w:t>
      </w:r>
      <w:r w:rsidRPr="00074FB1">
        <w:tab/>
      </w:r>
      <w:r>
        <w:t>30 June</w:t>
      </w:r>
      <w:r w:rsidRPr="00074FB1">
        <w:t xml:space="preserve"> 201</w:t>
      </w:r>
      <w:r>
        <w:t>0</w:t>
      </w:r>
      <w:r w:rsidRPr="00074FB1">
        <w:t xml:space="preserve"> (initial submission)</w:t>
      </w:r>
    </w:p>
    <w:p w:rsidR="00C915CB" w:rsidRDefault="00C915CB" w:rsidP="00BD3701">
      <w:pPr>
        <w:pStyle w:val="SingleTxtG"/>
        <w:ind w:left="4536" w:hanging="3402"/>
        <w:jc w:val="left"/>
      </w:pPr>
      <w:r w:rsidRPr="00076AF7">
        <w:rPr>
          <w:i/>
        </w:rPr>
        <w:t>Document references:</w:t>
      </w:r>
      <w:r w:rsidRPr="00074FB1">
        <w:tab/>
        <w:t xml:space="preserve">Special Rapporteur’s rule 97 decision, transmitted to the State party on </w:t>
      </w:r>
      <w:r>
        <w:t>14 March 2012</w:t>
      </w:r>
      <w:r w:rsidRPr="00074FB1">
        <w:t xml:space="preserve"> (not issued in document form)</w:t>
      </w:r>
      <w:r>
        <w:t xml:space="preserve"> </w:t>
      </w:r>
    </w:p>
    <w:p w:rsidR="00C915CB" w:rsidRDefault="00C915CB" w:rsidP="002D7AAD">
      <w:pPr>
        <w:pStyle w:val="SingleTxtG"/>
        <w:ind w:left="4536" w:hanging="3402"/>
        <w:rPr>
          <w:i/>
        </w:rPr>
      </w:pPr>
      <w:r w:rsidRPr="00076AF7">
        <w:rPr>
          <w:i/>
        </w:rPr>
        <w:t>Date of adoption of decision:</w:t>
      </w:r>
      <w:r w:rsidRPr="00074FB1">
        <w:tab/>
      </w:r>
      <w:r w:rsidR="0036376F">
        <w:t>21</w:t>
      </w:r>
      <w:r>
        <w:t xml:space="preserve"> October 2014</w:t>
      </w:r>
    </w:p>
    <w:p w:rsidR="00C915CB" w:rsidRDefault="00C915CB" w:rsidP="00BD3701">
      <w:pPr>
        <w:pStyle w:val="SingleTxtG"/>
        <w:ind w:left="4536" w:hanging="3402"/>
        <w:jc w:val="left"/>
      </w:pPr>
      <w:r w:rsidRPr="00074FB1">
        <w:rPr>
          <w:i/>
        </w:rPr>
        <w:t>Subject matter:</w:t>
      </w:r>
      <w:r w:rsidR="002D7AAD">
        <w:rPr>
          <w:i/>
        </w:rPr>
        <w:t xml:space="preserve"> </w:t>
      </w:r>
      <w:r w:rsidRPr="00074FB1">
        <w:rPr>
          <w:i/>
        </w:rPr>
        <w:tab/>
      </w:r>
      <w:r>
        <w:t xml:space="preserve">Arrest and conviction for an administrative violation and sentencing to a fine for conducting an art-mob </w:t>
      </w:r>
    </w:p>
    <w:p w:rsidR="00C915CB" w:rsidRPr="00074FB1" w:rsidRDefault="00C915CB" w:rsidP="00C915CB">
      <w:pPr>
        <w:pStyle w:val="SingleTxtG"/>
        <w:ind w:left="4536" w:hanging="3402"/>
      </w:pPr>
      <w:r w:rsidRPr="00074FB1">
        <w:rPr>
          <w:i/>
        </w:rPr>
        <w:t xml:space="preserve">Procedural issues: </w:t>
      </w:r>
      <w:r w:rsidRPr="00074FB1">
        <w:rPr>
          <w:i/>
        </w:rPr>
        <w:tab/>
      </w:r>
      <w:r w:rsidRPr="00074FB1">
        <w:tab/>
      </w:r>
      <w:r>
        <w:t>Substantiation</w:t>
      </w:r>
    </w:p>
    <w:p w:rsidR="00C915CB" w:rsidRPr="00074FB1" w:rsidRDefault="00C915CB" w:rsidP="00BD3701">
      <w:pPr>
        <w:pStyle w:val="SingleTxtG"/>
        <w:ind w:left="4536" w:hanging="3402"/>
        <w:jc w:val="left"/>
      </w:pPr>
      <w:r w:rsidRPr="00074FB1">
        <w:rPr>
          <w:i/>
        </w:rPr>
        <w:t xml:space="preserve">Substantive issues: </w:t>
      </w:r>
      <w:r w:rsidRPr="00074FB1">
        <w:rPr>
          <w:i/>
        </w:rPr>
        <w:tab/>
      </w:r>
      <w:r>
        <w:t>Arbitrary detention; freedom of movement; freedom of expression; freedom of association</w:t>
      </w:r>
    </w:p>
    <w:p w:rsidR="00C915CB" w:rsidRPr="00074FB1" w:rsidRDefault="00C915CB" w:rsidP="00E43C78">
      <w:pPr>
        <w:pStyle w:val="SingleTxtG"/>
        <w:ind w:left="4536" w:hanging="3402"/>
      </w:pPr>
      <w:r w:rsidRPr="00074FB1">
        <w:rPr>
          <w:i/>
        </w:rPr>
        <w:t>Articles of the Covenant:</w:t>
      </w:r>
      <w:r w:rsidRPr="00074FB1">
        <w:t xml:space="preserve"> </w:t>
      </w:r>
      <w:r w:rsidRPr="00074FB1">
        <w:tab/>
      </w:r>
      <w:r w:rsidRPr="007768E5">
        <w:rPr>
          <w:rFonts w:eastAsia="Verdana"/>
        </w:rPr>
        <w:t>9</w:t>
      </w:r>
      <w:r w:rsidR="00E43C78">
        <w:rPr>
          <w:rFonts w:eastAsia="Verdana"/>
        </w:rPr>
        <w:t>;</w:t>
      </w:r>
      <w:r w:rsidRPr="007768E5">
        <w:rPr>
          <w:rFonts w:eastAsia="Verdana"/>
        </w:rPr>
        <w:t xml:space="preserve"> 12</w:t>
      </w:r>
      <w:r w:rsidR="00E43C78">
        <w:rPr>
          <w:rFonts w:eastAsia="Verdana"/>
        </w:rPr>
        <w:t>;</w:t>
      </w:r>
      <w:r w:rsidRPr="007768E5">
        <w:rPr>
          <w:rFonts w:eastAsia="Verdana"/>
        </w:rPr>
        <w:t xml:space="preserve"> 19 and 21</w:t>
      </w:r>
    </w:p>
    <w:p w:rsidR="00C915CB" w:rsidRPr="00AF590D" w:rsidRDefault="00C915CB" w:rsidP="00E43C78">
      <w:pPr>
        <w:pStyle w:val="SingleTxtG"/>
        <w:ind w:left="4536" w:hanging="3402"/>
        <w:rPr>
          <w:bCs/>
          <w:iCs/>
        </w:rPr>
      </w:pPr>
      <w:r w:rsidRPr="00074FB1">
        <w:rPr>
          <w:i/>
        </w:rPr>
        <w:t xml:space="preserve">Articles of the Optional Protocol: </w:t>
      </w:r>
      <w:r w:rsidRPr="00074FB1">
        <w:rPr>
          <w:i/>
        </w:rPr>
        <w:tab/>
      </w:r>
      <w:r>
        <w:t>2</w:t>
      </w:r>
      <w:r w:rsidR="00E43C78">
        <w:t xml:space="preserve"> and</w:t>
      </w:r>
      <w:r w:rsidR="000C2806">
        <w:t xml:space="preserve"> 5</w:t>
      </w:r>
    </w:p>
    <w:p w:rsidR="00C915CB" w:rsidRPr="00AF590D" w:rsidRDefault="00C915CB" w:rsidP="00C915CB">
      <w:pPr>
        <w:pStyle w:val="SingleTxtG"/>
        <w:jc w:val="center"/>
      </w:pPr>
    </w:p>
    <w:p w:rsidR="00C915CB" w:rsidRPr="00AF590D" w:rsidRDefault="00C915CB" w:rsidP="00C915CB">
      <w:pPr>
        <w:pStyle w:val="HChG"/>
        <w:pageBreakBefore/>
      </w:pPr>
      <w:r w:rsidRPr="00AF590D">
        <w:lastRenderedPageBreak/>
        <w:t>Annex</w:t>
      </w:r>
    </w:p>
    <w:p w:rsidR="00C915CB" w:rsidRPr="00AF590D" w:rsidRDefault="00C915CB" w:rsidP="00C915CB">
      <w:pPr>
        <w:pStyle w:val="HChG"/>
      </w:pPr>
      <w:r w:rsidRPr="00AF590D">
        <w:tab/>
      </w:r>
      <w:r>
        <w:tab/>
      </w:r>
      <w:r w:rsidRPr="00AF590D">
        <w:t xml:space="preserve">Views of the Human Rights Committee under </w:t>
      </w:r>
      <w:r w:rsidR="00CA2992">
        <w:t>article </w:t>
      </w:r>
      <w:r w:rsidRPr="00AF590D">
        <w:t xml:space="preserve">5, </w:t>
      </w:r>
      <w:r w:rsidR="00CA2992">
        <w:t>paragraph </w:t>
      </w:r>
      <w:r w:rsidRPr="00AF590D">
        <w:t>4 of the Optional Protocol to the International Covenant on Civil and Political Rights (</w:t>
      </w:r>
      <w:r>
        <w:t>112</w:t>
      </w:r>
      <w:r w:rsidRPr="00C3193A">
        <w:t>th</w:t>
      </w:r>
      <w:r w:rsidRPr="00E43C78">
        <w:t xml:space="preserve"> </w:t>
      </w:r>
      <w:r w:rsidRPr="00AF590D">
        <w:t>session)</w:t>
      </w:r>
    </w:p>
    <w:p w:rsidR="00C915CB" w:rsidRPr="00AF590D" w:rsidRDefault="00C915CB" w:rsidP="00C915CB">
      <w:pPr>
        <w:pStyle w:val="SingleTxtG"/>
      </w:pPr>
      <w:r w:rsidRPr="00AF590D">
        <w:t>concerning</w:t>
      </w:r>
    </w:p>
    <w:p w:rsidR="00C915CB" w:rsidRPr="00AF590D" w:rsidRDefault="00C915CB" w:rsidP="00251F20">
      <w:pPr>
        <w:pStyle w:val="H1G"/>
        <w:rPr>
          <w:i/>
        </w:rPr>
      </w:pPr>
      <w:r>
        <w:tab/>
      </w:r>
      <w:r>
        <w:tab/>
      </w:r>
      <w:r w:rsidR="002F6F81">
        <w:t>Communication No. </w:t>
      </w:r>
      <w:r>
        <w:t>2137</w:t>
      </w:r>
      <w:r w:rsidRPr="00AF590D">
        <w:t>/201</w:t>
      </w:r>
      <w:r w:rsidR="001A1EEE">
        <w:t>2</w:t>
      </w:r>
      <w:r w:rsidR="0036180A" w:rsidRPr="00C3193A">
        <w:rPr>
          <w:rStyle w:val="FootnoteReference"/>
          <w:b w:val="0"/>
          <w:bCs/>
          <w:sz w:val="20"/>
          <w:vertAlign w:val="baseline"/>
        </w:rPr>
        <w:footnoteReference w:customMarkFollows="1" w:id="2"/>
        <w:t>*</w:t>
      </w:r>
    </w:p>
    <w:p w:rsidR="00C915CB" w:rsidRPr="00074FB1" w:rsidRDefault="00C915CB" w:rsidP="00BD3701">
      <w:pPr>
        <w:pStyle w:val="SingleTxtG"/>
        <w:ind w:left="4536" w:hanging="3402"/>
        <w:jc w:val="left"/>
      </w:pPr>
      <w:r w:rsidRPr="00076AF7">
        <w:rPr>
          <w:i/>
        </w:rPr>
        <w:t>Submitted by:</w:t>
      </w:r>
      <w:r w:rsidRPr="00074FB1">
        <w:tab/>
      </w:r>
      <w:r>
        <w:t xml:space="preserve">Bakhytzhan Toregozhina </w:t>
      </w:r>
      <w:r w:rsidRPr="00074FB1">
        <w:rPr>
          <w:bCs/>
        </w:rPr>
        <w:t>(</w:t>
      </w:r>
      <w:r>
        <w:rPr>
          <w:bCs/>
        </w:rPr>
        <w:t>not represented by</w:t>
      </w:r>
      <w:r w:rsidR="00BD3701">
        <w:rPr>
          <w:bCs/>
        </w:rPr>
        <w:t> </w:t>
      </w:r>
      <w:r>
        <w:rPr>
          <w:bCs/>
        </w:rPr>
        <w:t>counsel</w:t>
      </w:r>
      <w:r w:rsidRPr="00074FB1">
        <w:rPr>
          <w:bCs/>
        </w:rPr>
        <w:t>)</w:t>
      </w:r>
    </w:p>
    <w:p w:rsidR="00C915CB" w:rsidRPr="00074FB1" w:rsidRDefault="00C915CB" w:rsidP="00251F20">
      <w:pPr>
        <w:pStyle w:val="SingleTxtG"/>
        <w:ind w:left="4536" w:hanging="3402"/>
      </w:pPr>
      <w:r w:rsidRPr="00076AF7">
        <w:rPr>
          <w:i/>
        </w:rPr>
        <w:t>Alleged victim:</w:t>
      </w:r>
      <w:r w:rsidRPr="00074FB1">
        <w:tab/>
        <w:t>The author</w:t>
      </w:r>
    </w:p>
    <w:p w:rsidR="00C915CB" w:rsidRPr="00074FB1" w:rsidRDefault="00C915CB" w:rsidP="00C915CB">
      <w:pPr>
        <w:pStyle w:val="SingleTxtG"/>
        <w:ind w:left="4536" w:hanging="3402"/>
      </w:pPr>
      <w:r w:rsidRPr="00076AF7">
        <w:rPr>
          <w:i/>
        </w:rPr>
        <w:t>State party:</w:t>
      </w:r>
      <w:r w:rsidRPr="00074FB1">
        <w:tab/>
      </w:r>
      <w:r>
        <w:t>Kazakhstan</w:t>
      </w:r>
    </w:p>
    <w:p w:rsidR="00C915CB" w:rsidRPr="00074FB1" w:rsidRDefault="00C915CB" w:rsidP="00C915CB">
      <w:pPr>
        <w:pStyle w:val="SingleTxtG"/>
        <w:ind w:left="4536" w:hanging="3402"/>
      </w:pPr>
      <w:r w:rsidRPr="00076AF7">
        <w:rPr>
          <w:i/>
        </w:rPr>
        <w:t>Date of communication:</w:t>
      </w:r>
      <w:r w:rsidRPr="00074FB1">
        <w:tab/>
      </w:r>
      <w:r>
        <w:t>30 June</w:t>
      </w:r>
      <w:r w:rsidRPr="00074FB1">
        <w:t xml:space="preserve"> 201</w:t>
      </w:r>
      <w:r>
        <w:t>0</w:t>
      </w:r>
      <w:r w:rsidRPr="00074FB1">
        <w:t xml:space="preserve"> (initial submission)</w:t>
      </w:r>
    </w:p>
    <w:p w:rsidR="00C915CB" w:rsidRPr="00AF590D" w:rsidRDefault="00C915CB" w:rsidP="00C915CB">
      <w:pPr>
        <w:pStyle w:val="SingleTxtG"/>
      </w:pPr>
      <w:r w:rsidRPr="00AF590D">
        <w:rPr>
          <w:i/>
        </w:rPr>
        <w:tab/>
        <w:t>The Human Rights Committee</w:t>
      </w:r>
      <w:r w:rsidRPr="00AF590D">
        <w:t xml:space="preserve">, established under </w:t>
      </w:r>
      <w:r w:rsidR="00CA2992">
        <w:t>article </w:t>
      </w:r>
      <w:r w:rsidRPr="00AF590D">
        <w:t>28 of the International Covenant on Civil and Political Rights,</w:t>
      </w:r>
    </w:p>
    <w:p w:rsidR="00C915CB" w:rsidRPr="00AF590D" w:rsidRDefault="00C915CB" w:rsidP="00C915CB">
      <w:pPr>
        <w:pStyle w:val="SingleTxtG"/>
      </w:pPr>
      <w:r w:rsidRPr="00AF590D">
        <w:tab/>
      </w:r>
      <w:r w:rsidRPr="00AF590D">
        <w:rPr>
          <w:i/>
        </w:rPr>
        <w:t>Meeting on</w:t>
      </w:r>
      <w:r w:rsidRPr="00AF590D">
        <w:t xml:space="preserve"> </w:t>
      </w:r>
      <w:r w:rsidR="0036376F">
        <w:t>21</w:t>
      </w:r>
      <w:r>
        <w:t xml:space="preserve"> October</w:t>
      </w:r>
      <w:r w:rsidRPr="00AF590D">
        <w:t xml:space="preserve"> 2014,</w:t>
      </w:r>
    </w:p>
    <w:p w:rsidR="00C915CB" w:rsidRPr="00AF590D" w:rsidRDefault="00C915CB" w:rsidP="00251F20">
      <w:pPr>
        <w:pStyle w:val="SingleTxtG"/>
      </w:pPr>
      <w:r w:rsidRPr="00AF590D">
        <w:tab/>
      </w:r>
      <w:r w:rsidRPr="00AF590D">
        <w:rPr>
          <w:i/>
        </w:rPr>
        <w:t>Having concluded</w:t>
      </w:r>
      <w:r w:rsidRPr="00AF590D">
        <w:t xml:space="preserve"> its con</w:t>
      </w:r>
      <w:r w:rsidR="007F7C06">
        <w:t>sideration of communication No. </w:t>
      </w:r>
      <w:r>
        <w:t>2137</w:t>
      </w:r>
      <w:r w:rsidRPr="00AF590D">
        <w:t>/201</w:t>
      </w:r>
      <w:r>
        <w:t>2</w:t>
      </w:r>
      <w:r w:rsidRPr="00AF590D">
        <w:t xml:space="preserve">, submitted to the Human Rights Committee by </w:t>
      </w:r>
      <w:r>
        <w:t>Bakhytzhan Toregozhina</w:t>
      </w:r>
      <w:r w:rsidR="00E43C78">
        <w:t>,</w:t>
      </w:r>
      <w:r>
        <w:t xml:space="preserve"> </w:t>
      </w:r>
      <w:r w:rsidRPr="00AF590D">
        <w:t>under the Optional Protocol to the International Covenant on Civil and Political Rights,</w:t>
      </w:r>
    </w:p>
    <w:p w:rsidR="00C915CB" w:rsidRPr="00AF590D" w:rsidRDefault="00C915CB" w:rsidP="00C915CB">
      <w:pPr>
        <w:pStyle w:val="SingleTxtG"/>
      </w:pPr>
      <w:r w:rsidRPr="00AF590D">
        <w:tab/>
      </w:r>
      <w:r w:rsidRPr="00AF590D">
        <w:rPr>
          <w:i/>
        </w:rPr>
        <w:t>Having taken into account</w:t>
      </w:r>
      <w:r w:rsidRPr="00AF590D">
        <w:t xml:space="preserve"> all written information made available to it by the author of the communication and the State party,</w:t>
      </w:r>
    </w:p>
    <w:p w:rsidR="00C915CB" w:rsidRPr="00AF590D" w:rsidRDefault="00C915CB" w:rsidP="00C915CB">
      <w:pPr>
        <w:pStyle w:val="SingleTxtG"/>
      </w:pPr>
      <w:r w:rsidRPr="00AF590D">
        <w:tab/>
      </w:r>
      <w:r w:rsidRPr="00AF590D">
        <w:rPr>
          <w:i/>
        </w:rPr>
        <w:t xml:space="preserve">Adopts </w:t>
      </w:r>
      <w:r w:rsidRPr="00C3193A">
        <w:rPr>
          <w:iCs/>
        </w:rPr>
        <w:t>the following:</w:t>
      </w:r>
    </w:p>
    <w:p w:rsidR="00C915CB" w:rsidRDefault="00C915CB" w:rsidP="00C915CB">
      <w:pPr>
        <w:pStyle w:val="H1G"/>
      </w:pPr>
      <w:r w:rsidRPr="00AF590D">
        <w:tab/>
      </w:r>
      <w:r>
        <w:tab/>
      </w:r>
      <w:r w:rsidRPr="00AF590D">
        <w:t xml:space="preserve">Views pursuant to </w:t>
      </w:r>
      <w:r w:rsidR="00CA2992">
        <w:t>article </w:t>
      </w:r>
      <w:r w:rsidRPr="00AF590D">
        <w:t xml:space="preserve">5, </w:t>
      </w:r>
      <w:r w:rsidR="00CA2992">
        <w:t>paragraph </w:t>
      </w:r>
      <w:r w:rsidRPr="00AF590D">
        <w:t>4</w:t>
      </w:r>
      <w:r w:rsidR="00E43C78">
        <w:t>,</w:t>
      </w:r>
      <w:r w:rsidRPr="00AF590D">
        <w:t xml:space="preserve"> of the Optional Protocol </w:t>
      </w:r>
    </w:p>
    <w:p w:rsidR="00C915CB" w:rsidRPr="007768E5" w:rsidRDefault="00C915CB" w:rsidP="00E43C78">
      <w:pPr>
        <w:pStyle w:val="SingleTxtG"/>
        <w:rPr>
          <w:rFonts w:eastAsia="Verdana"/>
        </w:rPr>
      </w:pPr>
      <w:r w:rsidRPr="007768E5">
        <w:rPr>
          <w:rFonts w:eastAsia="Verdana"/>
        </w:rPr>
        <w:t>1.</w:t>
      </w:r>
      <w:r w:rsidRPr="007768E5">
        <w:rPr>
          <w:rFonts w:eastAsia="Verdana"/>
        </w:rPr>
        <w:tab/>
        <w:t>The author of the communication is Bakhytzhan Amangalivna Toregozhina, born on 23 March 1962, a Kazakhstan national. The author claims to be a victim of violations by Kazakhstan of her rights under articles 9,</w:t>
      </w:r>
      <w:r>
        <w:rPr>
          <w:rFonts w:eastAsia="Verdana"/>
        </w:rPr>
        <w:t xml:space="preserve"> </w:t>
      </w:r>
      <w:r w:rsidR="00CA2992">
        <w:rPr>
          <w:rFonts w:eastAsia="Verdana"/>
        </w:rPr>
        <w:t>paragraph </w:t>
      </w:r>
      <w:r>
        <w:rPr>
          <w:rFonts w:eastAsia="Verdana"/>
        </w:rPr>
        <w:t>1</w:t>
      </w:r>
      <w:r w:rsidR="00E43C78">
        <w:rPr>
          <w:rFonts w:eastAsia="Verdana"/>
        </w:rPr>
        <w:t>;</w:t>
      </w:r>
      <w:r w:rsidRPr="007768E5">
        <w:rPr>
          <w:rFonts w:eastAsia="Verdana"/>
        </w:rPr>
        <w:t xml:space="preserve"> 12, </w:t>
      </w:r>
      <w:r w:rsidR="00CA2992">
        <w:rPr>
          <w:rFonts w:eastAsia="Verdana"/>
        </w:rPr>
        <w:t>paragraph </w:t>
      </w:r>
      <w:r>
        <w:rPr>
          <w:rFonts w:eastAsia="Verdana"/>
        </w:rPr>
        <w:t>1</w:t>
      </w:r>
      <w:r w:rsidR="00E43C78">
        <w:rPr>
          <w:rFonts w:eastAsia="Verdana"/>
        </w:rPr>
        <w:t>;</w:t>
      </w:r>
      <w:r>
        <w:rPr>
          <w:rFonts w:eastAsia="Verdana"/>
        </w:rPr>
        <w:t xml:space="preserve"> </w:t>
      </w:r>
      <w:r w:rsidRPr="007768E5">
        <w:rPr>
          <w:rFonts w:eastAsia="Verdana"/>
        </w:rPr>
        <w:t>19 and 21 of the International Covenant on Civil and Political Rights.</w:t>
      </w:r>
      <w:r>
        <w:rPr>
          <w:rStyle w:val="FootnoteReference"/>
          <w:rFonts w:eastAsia="Verdana"/>
        </w:rPr>
        <w:footnoteReference w:id="3"/>
      </w:r>
      <w:r w:rsidRPr="007768E5">
        <w:rPr>
          <w:rFonts w:eastAsia="Verdana"/>
        </w:rPr>
        <w:t xml:space="preserve"> The author is unrepresented.</w:t>
      </w:r>
    </w:p>
    <w:p w:rsidR="00C915CB" w:rsidRPr="007768E5" w:rsidRDefault="00C915CB" w:rsidP="00C915CB">
      <w:pPr>
        <w:pStyle w:val="H23G"/>
        <w:rPr>
          <w:rFonts w:eastAsia="Verdana"/>
        </w:rPr>
      </w:pPr>
      <w:r>
        <w:rPr>
          <w:rFonts w:eastAsia="Verdana"/>
        </w:rPr>
        <w:tab/>
      </w:r>
      <w:r>
        <w:rPr>
          <w:rFonts w:eastAsia="Verdana"/>
        </w:rPr>
        <w:tab/>
      </w:r>
      <w:r w:rsidRPr="007768E5">
        <w:rPr>
          <w:rFonts w:eastAsia="Verdana"/>
        </w:rPr>
        <w:t>The facts as presented by the author</w:t>
      </w:r>
    </w:p>
    <w:p w:rsidR="00C915CB" w:rsidRPr="007768E5" w:rsidRDefault="00C915CB" w:rsidP="00E43C78">
      <w:pPr>
        <w:pStyle w:val="SingleTxtG"/>
        <w:rPr>
          <w:rFonts w:eastAsia="Verdana"/>
        </w:rPr>
      </w:pPr>
      <w:r w:rsidRPr="007768E5">
        <w:rPr>
          <w:rFonts w:eastAsia="Verdana"/>
        </w:rPr>
        <w:t>2.1</w:t>
      </w:r>
      <w:r w:rsidRPr="007768E5">
        <w:rPr>
          <w:rFonts w:eastAsia="Verdana"/>
        </w:rPr>
        <w:tab/>
      </w:r>
      <w:r w:rsidRPr="00C915CB">
        <w:rPr>
          <w:rFonts w:eastAsia="Verdana"/>
        </w:rPr>
        <w:t>The author is Head of the non-governmental organi</w:t>
      </w:r>
      <w:r w:rsidR="001A1EEE">
        <w:rPr>
          <w:rFonts w:eastAsia="Verdana"/>
        </w:rPr>
        <w:t>z</w:t>
      </w:r>
      <w:r w:rsidRPr="00C915CB">
        <w:rPr>
          <w:rFonts w:eastAsia="Verdana"/>
        </w:rPr>
        <w:t>ation “Ar. Rukh. Khak”. On 11</w:t>
      </w:r>
      <w:r w:rsidR="00BD3701">
        <w:rPr>
          <w:rFonts w:eastAsia="Verdana"/>
        </w:rPr>
        <w:t> </w:t>
      </w:r>
      <w:r w:rsidRPr="00C915CB">
        <w:rPr>
          <w:rFonts w:eastAsia="Verdana"/>
        </w:rPr>
        <w:t xml:space="preserve">March 2010, </w:t>
      </w:r>
      <w:r w:rsidR="001A1EEE" w:rsidRPr="00C915CB">
        <w:rPr>
          <w:rFonts w:eastAsia="Verdana"/>
        </w:rPr>
        <w:t xml:space="preserve">to commemorate Civil Disobedience Day, </w:t>
      </w:r>
      <w:r w:rsidRPr="00C915CB">
        <w:rPr>
          <w:rFonts w:eastAsia="Verdana"/>
        </w:rPr>
        <w:t>the organi</w:t>
      </w:r>
      <w:r w:rsidR="001A1EEE">
        <w:rPr>
          <w:rFonts w:eastAsia="Verdana"/>
        </w:rPr>
        <w:t>z</w:t>
      </w:r>
      <w:r w:rsidRPr="00C915CB">
        <w:rPr>
          <w:rFonts w:eastAsia="Verdana"/>
        </w:rPr>
        <w:t xml:space="preserve">ation held an art-mob </w:t>
      </w:r>
      <w:r w:rsidR="001A1EEE">
        <w:rPr>
          <w:rFonts w:eastAsia="Verdana"/>
        </w:rPr>
        <w:t xml:space="preserve">event </w:t>
      </w:r>
      <w:r w:rsidRPr="00C915CB">
        <w:rPr>
          <w:rFonts w:eastAsia="Verdana"/>
        </w:rPr>
        <w:t xml:space="preserve">at the monument of Mahatma Ghandi, the purpose of which was to draw the attention of the </w:t>
      </w:r>
      <w:r w:rsidR="001A1EEE">
        <w:rPr>
          <w:rFonts w:eastAsia="Verdana"/>
        </w:rPr>
        <w:t xml:space="preserve">public to </w:t>
      </w:r>
      <w:r w:rsidRPr="00C915CB">
        <w:rPr>
          <w:rFonts w:eastAsia="Verdana"/>
        </w:rPr>
        <w:t>the issue of moral leadership</w:t>
      </w:r>
      <w:r w:rsidR="001A1EEE">
        <w:rPr>
          <w:rFonts w:eastAsia="Verdana"/>
        </w:rPr>
        <w:t>,</w:t>
      </w:r>
      <w:r w:rsidRPr="00C915CB">
        <w:rPr>
          <w:rFonts w:eastAsia="Verdana"/>
        </w:rPr>
        <w:t xml:space="preserve"> </w:t>
      </w:r>
      <w:r w:rsidR="001A1EEE">
        <w:rPr>
          <w:rFonts w:eastAsia="Verdana"/>
        </w:rPr>
        <w:t xml:space="preserve">in order to </w:t>
      </w:r>
      <w:r w:rsidRPr="00C915CB">
        <w:rPr>
          <w:rFonts w:eastAsia="Verdana"/>
        </w:rPr>
        <w:t xml:space="preserve">demonstrate such </w:t>
      </w:r>
      <w:r w:rsidR="001A1EEE" w:rsidRPr="00C915CB">
        <w:rPr>
          <w:rFonts w:eastAsia="Verdana"/>
        </w:rPr>
        <w:t xml:space="preserve">qualities </w:t>
      </w:r>
      <w:r w:rsidRPr="00C915CB">
        <w:rPr>
          <w:rFonts w:eastAsia="Verdana"/>
        </w:rPr>
        <w:t xml:space="preserve">as </w:t>
      </w:r>
      <w:r w:rsidRPr="00C915CB">
        <w:rPr>
          <w:rFonts w:eastAsia="Verdana"/>
        </w:rPr>
        <w:lastRenderedPageBreak/>
        <w:t>humanism, democracy, social justice and morality. During</w:t>
      </w:r>
      <w:r w:rsidRPr="007768E5">
        <w:rPr>
          <w:rFonts w:eastAsia="Verdana"/>
        </w:rPr>
        <w:t xml:space="preserve"> the event</w:t>
      </w:r>
      <w:r w:rsidR="001A1EEE">
        <w:rPr>
          <w:rFonts w:eastAsia="Verdana"/>
        </w:rPr>
        <w:t>,</w:t>
      </w:r>
      <w:r w:rsidRPr="007768E5">
        <w:rPr>
          <w:rFonts w:eastAsia="Verdana"/>
        </w:rPr>
        <w:t xml:space="preserve"> the authorities did not intervene, but</w:t>
      </w:r>
      <w:r w:rsidR="001A1EEE">
        <w:rPr>
          <w:rFonts w:eastAsia="Verdana"/>
        </w:rPr>
        <w:t>,</w:t>
      </w:r>
      <w:r w:rsidRPr="007768E5">
        <w:rPr>
          <w:rFonts w:eastAsia="Verdana"/>
        </w:rPr>
        <w:t xml:space="preserve"> on 16 March 2010 at </w:t>
      </w:r>
      <w:r w:rsidR="001A1EEE">
        <w:rPr>
          <w:rFonts w:eastAsia="Verdana"/>
        </w:rPr>
        <w:t xml:space="preserve">noon, </w:t>
      </w:r>
      <w:r w:rsidR="00004996">
        <w:rPr>
          <w:rFonts w:eastAsia="Verdana"/>
        </w:rPr>
        <w:t xml:space="preserve">20 </w:t>
      </w:r>
      <w:r w:rsidRPr="007768E5">
        <w:rPr>
          <w:rFonts w:eastAsia="Verdana"/>
        </w:rPr>
        <w:t xml:space="preserve">police officers entered the author’s office and arrested her. She was </w:t>
      </w:r>
      <w:r w:rsidR="007118F4">
        <w:rPr>
          <w:rFonts w:eastAsia="Verdana"/>
        </w:rPr>
        <w:t xml:space="preserve">informed </w:t>
      </w:r>
      <w:r w:rsidRPr="007768E5">
        <w:rPr>
          <w:rFonts w:eastAsia="Verdana"/>
        </w:rPr>
        <w:t xml:space="preserve">that she </w:t>
      </w:r>
      <w:r w:rsidR="007118F4">
        <w:rPr>
          <w:rFonts w:eastAsia="Verdana"/>
        </w:rPr>
        <w:t xml:space="preserve">would be </w:t>
      </w:r>
      <w:r w:rsidRPr="007768E5">
        <w:rPr>
          <w:rFonts w:eastAsia="Verdana"/>
        </w:rPr>
        <w:t>detained for 48</w:t>
      </w:r>
      <w:r w:rsidR="007F7C06">
        <w:rPr>
          <w:rFonts w:eastAsia="Verdana"/>
        </w:rPr>
        <w:t> </w:t>
      </w:r>
      <w:r w:rsidRPr="007768E5">
        <w:rPr>
          <w:rFonts w:eastAsia="Verdana"/>
        </w:rPr>
        <w:t xml:space="preserve">hours in accordance with </w:t>
      </w:r>
      <w:r w:rsidR="00CA2992">
        <w:rPr>
          <w:rFonts w:eastAsia="Verdana"/>
        </w:rPr>
        <w:t>article </w:t>
      </w:r>
      <w:r w:rsidRPr="006E399E">
        <w:rPr>
          <w:rFonts w:eastAsia="Verdana"/>
        </w:rPr>
        <w:t xml:space="preserve">620 of the Code of Administrative </w:t>
      </w:r>
      <w:r w:rsidR="00004996">
        <w:rPr>
          <w:rFonts w:eastAsia="Verdana"/>
        </w:rPr>
        <w:t>P</w:t>
      </w:r>
      <w:r w:rsidRPr="006E399E">
        <w:rPr>
          <w:rFonts w:eastAsia="Verdana"/>
        </w:rPr>
        <w:t>rocedure</w:t>
      </w:r>
      <w:r>
        <w:rPr>
          <w:rFonts w:eastAsia="Verdana"/>
        </w:rPr>
        <w:t>,</w:t>
      </w:r>
      <w:r w:rsidRPr="006E399E">
        <w:rPr>
          <w:rFonts w:eastAsia="Verdana"/>
        </w:rPr>
        <w:t xml:space="preserve"> which allows administrative detention with the aim of ceasing an administrative violation. The author maintains that her arrest was illegal, since she was not carrying out any violations in her office when she was arrested. She submits that</w:t>
      </w:r>
      <w:r>
        <w:rPr>
          <w:rFonts w:eastAsia="Verdana"/>
        </w:rPr>
        <w:t>,</w:t>
      </w:r>
      <w:r w:rsidRPr="006E399E">
        <w:rPr>
          <w:rFonts w:eastAsia="Verdana"/>
        </w:rPr>
        <w:t xml:space="preserve"> on 2 April 2010</w:t>
      </w:r>
      <w:r>
        <w:rPr>
          <w:rFonts w:eastAsia="Verdana"/>
        </w:rPr>
        <w:t>,</w:t>
      </w:r>
      <w:r w:rsidRPr="006E399E">
        <w:rPr>
          <w:rFonts w:eastAsia="Verdana"/>
        </w:rPr>
        <w:t xml:space="preserve"> she</w:t>
      </w:r>
      <w:r>
        <w:rPr>
          <w:rFonts w:eastAsia="Verdana"/>
        </w:rPr>
        <w:t xml:space="preserve"> sent a complaint regarding the legality of her arrest to the </w:t>
      </w:r>
      <w:r w:rsidR="00004996">
        <w:rPr>
          <w:rFonts w:eastAsia="Verdana"/>
        </w:rPr>
        <w:t xml:space="preserve">office of the </w:t>
      </w:r>
      <w:r>
        <w:rPr>
          <w:rFonts w:eastAsia="Verdana"/>
        </w:rPr>
        <w:t>General Prosecutor, which forwarded the complaint to the Department of Security Services of the Ministry of Internal Affairs.</w:t>
      </w:r>
    </w:p>
    <w:p w:rsidR="00C915CB" w:rsidRPr="007768E5" w:rsidRDefault="00C915CB" w:rsidP="00251F20">
      <w:pPr>
        <w:pStyle w:val="SingleTxtG"/>
        <w:rPr>
          <w:rFonts w:eastAsia="Verdana"/>
        </w:rPr>
      </w:pPr>
      <w:r w:rsidRPr="007768E5">
        <w:rPr>
          <w:rFonts w:eastAsia="Verdana"/>
        </w:rPr>
        <w:t>2.2</w:t>
      </w:r>
      <w:r w:rsidRPr="007768E5">
        <w:rPr>
          <w:rFonts w:eastAsia="Verdana"/>
        </w:rPr>
        <w:tab/>
        <w:t xml:space="preserve">On 16 March 2010, by a ruling of the Specialized Interregional Administrative Court of Almaty, the author was found guilty of </w:t>
      </w:r>
      <w:r w:rsidR="00004996">
        <w:rPr>
          <w:rFonts w:eastAsia="Verdana"/>
        </w:rPr>
        <w:t xml:space="preserve">the </w:t>
      </w:r>
      <w:r w:rsidRPr="007768E5">
        <w:rPr>
          <w:rFonts w:eastAsia="Verdana"/>
        </w:rPr>
        <w:t xml:space="preserve">unauthorized organization of a public event and </w:t>
      </w:r>
      <w:r w:rsidR="00004996">
        <w:rPr>
          <w:rFonts w:eastAsia="Verdana"/>
        </w:rPr>
        <w:t xml:space="preserve">ordered </w:t>
      </w:r>
      <w:r w:rsidR="007F7C06">
        <w:rPr>
          <w:rFonts w:eastAsia="Verdana"/>
        </w:rPr>
        <w:t>to pay a fine of 56,520 </w:t>
      </w:r>
      <w:r w:rsidR="00004996">
        <w:rPr>
          <w:rFonts w:eastAsia="Verdana"/>
        </w:rPr>
        <w:t>t</w:t>
      </w:r>
      <w:r w:rsidRPr="007768E5">
        <w:rPr>
          <w:rFonts w:eastAsia="Verdana"/>
        </w:rPr>
        <w:t>enge. The author submits that</w:t>
      </w:r>
      <w:r w:rsidR="00004996">
        <w:rPr>
          <w:rFonts w:eastAsia="Verdana"/>
        </w:rPr>
        <w:t>,</w:t>
      </w:r>
      <w:r w:rsidRPr="007768E5">
        <w:rPr>
          <w:rFonts w:eastAsia="Verdana"/>
        </w:rPr>
        <w:t xml:space="preserve"> according to the court decision</w:t>
      </w:r>
      <w:r w:rsidR="00004996">
        <w:rPr>
          <w:rFonts w:eastAsia="Verdana"/>
        </w:rPr>
        <w:t>,</w:t>
      </w:r>
      <w:r w:rsidRPr="007768E5">
        <w:rPr>
          <w:rFonts w:eastAsia="Verdana"/>
        </w:rPr>
        <w:t xml:space="preserve"> she conducted an unauthorized meeting of citizens and maintains that</w:t>
      </w:r>
      <w:r w:rsidR="00004996">
        <w:rPr>
          <w:rFonts w:eastAsia="Verdana"/>
        </w:rPr>
        <w:t>,</w:t>
      </w:r>
      <w:r w:rsidRPr="007768E5">
        <w:rPr>
          <w:rFonts w:eastAsia="Verdana"/>
        </w:rPr>
        <w:t xml:space="preserve"> since the art-mob </w:t>
      </w:r>
      <w:r w:rsidR="00004996">
        <w:rPr>
          <w:rFonts w:eastAsia="Verdana"/>
        </w:rPr>
        <w:t xml:space="preserve">event </w:t>
      </w:r>
      <w:r w:rsidRPr="007768E5">
        <w:rPr>
          <w:rFonts w:eastAsia="Verdana"/>
        </w:rPr>
        <w:t xml:space="preserve">was not mentioned in </w:t>
      </w:r>
      <w:r w:rsidR="00CA2992">
        <w:rPr>
          <w:rFonts w:eastAsia="Verdana"/>
        </w:rPr>
        <w:t>article </w:t>
      </w:r>
      <w:r w:rsidRPr="007768E5">
        <w:rPr>
          <w:rFonts w:eastAsia="Verdana"/>
        </w:rPr>
        <w:t xml:space="preserve">2 of the Law </w:t>
      </w:r>
      <w:r w:rsidR="009134E1">
        <w:rPr>
          <w:rFonts w:eastAsia="Verdana"/>
        </w:rPr>
        <w:t>o</w:t>
      </w:r>
      <w:r w:rsidRPr="007768E5">
        <w:rPr>
          <w:rFonts w:eastAsia="Verdana"/>
        </w:rPr>
        <w:t xml:space="preserve">n the </w:t>
      </w:r>
      <w:r>
        <w:rPr>
          <w:rFonts w:eastAsia="Verdana"/>
        </w:rPr>
        <w:t>O</w:t>
      </w:r>
      <w:r w:rsidRPr="007768E5">
        <w:rPr>
          <w:rFonts w:eastAsia="Verdana"/>
        </w:rPr>
        <w:t xml:space="preserve">rder of </w:t>
      </w:r>
      <w:r>
        <w:rPr>
          <w:rFonts w:eastAsia="Verdana"/>
        </w:rPr>
        <w:t>O</w:t>
      </w:r>
      <w:r w:rsidRPr="007768E5">
        <w:rPr>
          <w:rFonts w:eastAsia="Verdana"/>
        </w:rPr>
        <w:t xml:space="preserve">rganization and </w:t>
      </w:r>
      <w:r>
        <w:rPr>
          <w:rFonts w:eastAsia="Verdana"/>
        </w:rPr>
        <w:t>C</w:t>
      </w:r>
      <w:r w:rsidRPr="007768E5">
        <w:rPr>
          <w:rFonts w:eastAsia="Verdana"/>
        </w:rPr>
        <w:t xml:space="preserve">onduct of </w:t>
      </w:r>
      <w:r>
        <w:rPr>
          <w:rFonts w:eastAsia="Verdana"/>
        </w:rPr>
        <w:t>P</w:t>
      </w:r>
      <w:r w:rsidRPr="007768E5">
        <w:rPr>
          <w:rFonts w:eastAsia="Verdana"/>
        </w:rPr>
        <w:t xml:space="preserve">eaceful </w:t>
      </w:r>
      <w:r>
        <w:rPr>
          <w:rFonts w:eastAsia="Verdana"/>
        </w:rPr>
        <w:t>A</w:t>
      </w:r>
      <w:r w:rsidRPr="007768E5">
        <w:rPr>
          <w:rFonts w:eastAsia="Verdana"/>
        </w:rPr>
        <w:t xml:space="preserve">ssemblies, </w:t>
      </w:r>
      <w:r>
        <w:rPr>
          <w:rFonts w:eastAsia="Verdana"/>
        </w:rPr>
        <w:t>M</w:t>
      </w:r>
      <w:r w:rsidRPr="007768E5">
        <w:rPr>
          <w:rFonts w:eastAsia="Verdana"/>
        </w:rPr>
        <w:t xml:space="preserve">eetings, </w:t>
      </w:r>
      <w:r>
        <w:rPr>
          <w:rFonts w:eastAsia="Verdana"/>
        </w:rPr>
        <w:t>P</w:t>
      </w:r>
      <w:r w:rsidRPr="007768E5">
        <w:rPr>
          <w:rFonts w:eastAsia="Verdana"/>
        </w:rPr>
        <w:t xml:space="preserve">rocessions, </w:t>
      </w:r>
      <w:r>
        <w:rPr>
          <w:rFonts w:eastAsia="Verdana"/>
        </w:rPr>
        <w:t>P</w:t>
      </w:r>
      <w:r w:rsidRPr="007768E5">
        <w:rPr>
          <w:rFonts w:eastAsia="Verdana"/>
        </w:rPr>
        <w:t xml:space="preserve">ickets and </w:t>
      </w:r>
      <w:r>
        <w:rPr>
          <w:rFonts w:eastAsia="Verdana"/>
        </w:rPr>
        <w:t>D</w:t>
      </w:r>
      <w:r w:rsidRPr="007768E5">
        <w:rPr>
          <w:rFonts w:eastAsia="Verdana"/>
        </w:rPr>
        <w:t xml:space="preserve">emonstrations in the Republic of Kazakhstan, she did not need to seek permission from the authorities to hold it. </w:t>
      </w:r>
    </w:p>
    <w:p w:rsidR="00C915CB" w:rsidRPr="007768E5" w:rsidRDefault="00C915CB" w:rsidP="00251F20">
      <w:pPr>
        <w:pStyle w:val="SingleTxtG"/>
        <w:rPr>
          <w:rFonts w:eastAsia="Verdana"/>
        </w:rPr>
      </w:pPr>
      <w:r w:rsidRPr="007768E5">
        <w:rPr>
          <w:rFonts w:eastAsia="Verdana"/>
        </w:rPr>
        <w:t>2.3</w:t>
      </w:r>
      <w:r w:rsidRPr="007768E5">
        <w:rPr>
          <w:rFonts w:eastAsia="Verdana"/>
        </w:rPr>
        <w:tab/>
        <w:t xml:space="preserve">On 26 March 2010, the author appealed the first instance decision </w:t>
      </w:r>
      <w:r>
        <w:rPr>
          <w:rFonts w:eastAsia="Verdana"/>
        </w:rPr>
        <w:t>before</w:t>
      </w:r>
      <w:r w:rsidRPr="007768E5">
        <w:rPr>
          <w:rFonts w:eastAsia="Verdana"/>
        </w:rPr>
        <w:t xml:space="preserve"> the Appellate Court of Almaty, which rejected her appeal on 6 April 2010. On 17 May 2010, the author </w:t>
      </w:r>
      <w:r>
        <w:rPr>
          <w:rFonts w:eastAsia="Verdana"/>
        </w:rPr>
        <w:t xml:space="preserve">filed a </w:t>
      </w:r>
      <w:r w:rsidRPr="007768E5">
        <w:rPr>
          <w:rFonts w:eastAsia="Verdana"/>
        </w:rPr>
        <w:t>petition</w:t>
      </w:r>
      <w:r>
        <w:rPr>
          <w:rFonts w:eastAsia="Verdana"/>
        </w:rPr>
        <w:t xml:space="preserve"> to</w:t>
      </w:r>
      <w:r w:rsidRPr="007768E5">
        <w:rPr>
          <w:rFonts w:eastAsia="Verdana"/>
        </w:rPr>
        <w:t xml:space="preserve"> the </w:t>
      </w:r>
      <w:r w:rsidR="00004996">
        <w:rPr>
          <w:rFonts w:eastAsia="Verdana"/>
        </w:rPr>
        <w:t xml:space="preserve">Office of the </w:t>
      </w:r>
      <w:r w:rsidRPr="007768E5">
        <w:rPr>
          <w:rFonts w:eastAsia="Verdana"/>
        </w:rPr>
        <w:t xml:space="preserve">General Prosecutor, asking it to initiate a supervisory review of the decision, which </w:t>
      </w:r>
      <w:r>
        <w:rPr>
          <w:rFonts w:eastAsia="Verdana"/>
        </w:rPr>
        <w:t>was</w:t>
      </w:r>
      <w:r w:rsidRPr="007768E5">
        <w:rPr>
          <w:rFonts w:eastAsia="Verdana"/>
        </w:rPr>
        <w:t xml:space="preserve"> re</w:t>
      </w:r>
      <w:r>
        <w:rPr>
          <w:rFonts w:eastAsia="Verdana"/>
        </w:rPr>
        <w:t>jected</w:t>
      </w:r>
      <w:r w:rsidRPr="007768E5">
        <w:rPr>
          <w:rFonts w:eastAsia="Verdana"/>
        </w:rPr>
        <w:t xml:space="preserve"> on 21 June 2010.</w:t>
      </w:r>
    </w:p>
    <w:p w:rsidR="00C915CB" w:rsidRPr="007768E5" w:rsidRDefault="00C915CB" w:rsidP="00251F20">
      <w:pPr>
        <w:pStyle w:val="SingleTxtG"/>
        <w:rPr>
          <w:rFonts w:eastAsia="Verdana"/>
        </w:rPr>
      </w:pPr>
      <w:r w:rsidRPr="007768E5">
        <w:rPr>
          <w:rFonts w:eastAsia="Verdana"/>
        </w:rPr>
        <w:t>2.4</w:t>
      </w:r>
      <w:r w:rsidRPr="007768E5">
        <w:rPr>
          <w:rFonts w:eastAsia="Verdana"/>
        </w:rPr>
        <w:tab/>
        <w:t xml:space="preserve">The author also submits that, on 12 January 2010, her </w:t>
      </w:r>
      <w:r>
        <w:rPr>
          <w:rFonts w:eastAsia="Verdana"/>
        </w:rPr>
        <w:t>organi</w:t>
      </w:r>
      <w:r w:rsidR="00004996">
        <w:rPr>
          <w:rFonts w:eastAsia="Verdana"/>
        </w:rPr>
        <w:t>z</w:t>
      </w:r>
      <w:r>
        <w:rPr>
          <w:rFonts w:eastAsia="Verdana"/>
        </w:rPr>
        <w:t>ation</w:t>
      </w:r>
      <w:r w:rsidRPr="007768E5">
        <w:rPr>
          <w:rFonts w:eastAsia="Verdana"/>
        </w:rPr>
        <w:t xml:space="preserve"> had presented for approval to the Deputy Akim of Almaty a schedule of activities that </w:t>
      </w:r>
      <w:r w:rsidR="00004996">
        <w:rPr>
          <w:rFonts w:eastAsia="Verdana"/>
        </w:rPr>
        <w:t xml:space="preserve">it </w:t>
      </w:r>
      <w:r w:rsidRPr="007768E5">
        <w:rPr>
          <w:rFonts w:eastAsia="Verdana"/>
        </w:rPr>
        <w:t>intended to conduct. In a letter dated 21 January 2010, the Department of Youth Policy of Almaty responded that</w:t>
      </w:r>
      <w:r w:rsidR="00004996">
        <w:rPr>
          <w:rFonts w:eastAsia="Verdana"/>
        </w:rPr>
        <w:t>,</w:t>
      </w:r>
      <w:r w:rsidRPr="007768E5">
        <w:rPr>
          <w:rFonts w:eastAsia="Verdana"/>
        </w:rPr>
        <w:t xml:space="preserve"> according to </w:t>
      </w:r>
      <w:r w:rsidR="00CA2992">
        <w:rPr>
          <w:rFonts w:eastAsia="Verdana"/>
        </w:rPr>
        <w:t>article </w:t>
      </w:r>
      <w:r w:rsidRPr="007768E5">
        <w:rPr>
          <w:rFonts w:eastAsia="Verdana"/>
        </w:rPr>
        <w:t xml:space="preserve">4 of the Law </w:t>
      </w:r>
      <w:r w:rsidR="00004996">
        <w:rPr>
          <w:rFonts w:eastAsia="Verdana"/>
        </w:rPr>
        <w:t>o</w:t>
      </w:r>
      <w:r w:rsidRPr="007768E5">
        <w:rPr>
          <w:rFonts w:eastAsia="Verdana"/>
        </w:rPr>
        <w:t xml:space="preserve">n </w:t>
      </w:r>
      <w:r w:rsidR="00004996">
        <w:rPr>
          <w:rFonts w:eastAsia="Verdana"/>
        </w:rPr>
        <w:t>p</w:t>
      </w:r>
      <w:r w:rsidRPr="007768E5">
        <w:rPr>
          <w:rFonts w:eastAsia="Verdana"/>
        </w:rPr>
        <w:t xml:space="preserve">ublic </w:t>
      </w:r>
      <w:r w:rsidR="00004996">
        <w:rPr>
          <w:rFonts w:eastAsia="Verdana"/>
        </w:rPr>
        <w:t>a</w:t>
      </w:r>
      <w:r w:rsidRPr="007768E5">
        <w:rPr>
          <w:rFonts w:eastAsia="Verdana"/>
        </w:rPr>
        <w:t xml:space="preserve">ssociations, the unlawful interference of </w:t>
      </w:r>
      <w:r w:rsidR="00004996">
        <w:rPr>
          <w:rFonts w:eastAsia="Verdana"/>
        </w:rPr>
        <w:t>S</w:t>
      </w:r>
      <w:r w:rsidRPr="007768E5">
        <w:rPr>
          <w:rFonts w:eastAsia="Verdana"/>
        </w:rPr>
        <w:t xml:space="preserve">tate organs in the work of associations is not allowed. The author maintains that, accordingly, the Akimat of Almaty is not authorized to approve the scheduled events of </w:t>
      </w:r>
      <w:r>
        <w:rPr>
          <w:rFonts w:eastAsia="Verdana"/>
        </w:rPr>
        <w:t>non-governmental organi</w:t>
      </w:r>
      <w:r w:rsidR="00004996">
        <w:rPr>
          <w:rFonts w:eastAsia="Verdana"/>
        </w:rPr>
        <w:t>z</w:t>
      </w:r>
      <w:r>
        <w:rPr>
          <w:rFonts w:eastAsia="Verdana"/>
        </w:rPr>
        <w:t>ation</w:t>
      </w:r>
      <w:r w:rsidRPr="007768E5">
        <w:rPr>
          <w:rFonts w:eastAsia="Verdana"/>
        </w:rPr>
        <w:t>s. She maintains that</w:t>
      </w:r>
      <w:r w:rsidR="00004996">
        <w:rPr>
          <w:rFonts w:eastAsia="Verdana"/>
        </w:rPr>
        <w:t>,</w:t>
      </w:r>
      <w:r w:rsidRPr="007768E5">
        <w:rPr>
          <w:rFonts w:eastAsia="Verdana"/>
        </w:rPr>
        <w:t xml:space="preserve"> as Head of the </w:t>
      </w:r>
      <w:r>
        <w:rPr>
          <w:rFonts w:eastAsia="Verdana"/>
        </w:rPr>
        <w:t>non-governmental organi</w:t>
      </w:r>
      <w:r w:rsidR="00004996">
        <w:rPr>
          <w:rFonts w:eastAsia="Verdana"/>
        </w:rPr>
        <w:t>z</w:t>
      </w:r>
      <w:r>
        <w:rPr>
          <w:rFonts w:eastAsia="Verdana"/>
        </w:rPr>
        <w:t>ation, she wa</w:t>
      </w:r>
      <w:r w:rsidRPr="007768E5">
        <w:rPr>
          <w:rFonts w:eastAsia="Verdana"/>
        </w:rPr>
        <w:t>s entitled to organize activities in accordance with the charter of the organization without asking for official permission from the authorities.</w:t>
      </w:r>
      <w:r w:rsidRPr="00E8540D">
        <w:rPr>
          <w:rFonts w:eastAsia="Verdana"/>
        </w:rPr>
        <w:t xml:space="preserve"> </w:t>
      </w:r>
      <w:r w:rsidRPr="007768E5">
        <w:rPr>
          <w:rFonts w:eastAsia="Verdana"/>
        </w:rPr>
        <w:t xml:space="preserve">The author contends that </w:t>
      </w:r>
      <w:r>
        <w:rPr>
          <w:rFonts w:eastAsia="Verdana"/>
        </w:rPr>
        <w:t>s</w:t>
      </w:r>
      <w:r w:rsidRPr="007768E5">
        <w:rPr>
          <w:rFonts w:eastAsia="Verdana"/>
        </w:rPr>
        <w:t>he has exhausted all available and effective domestic remedies.</w:t>
      </w:r>
    </w:p>
    <w:p w:rsidR="00C915CB" w:rsidRPr="007768E5" w:rsidRDefault="00C915CB" w:rsidP="00C915CB">
      <w:pPr>
        <w:pStyle w:val="H23G"/>
        <w:rPr>
          <w:rFonts w:eastAsia="Verdana"/>
        </w:rPr>
      </w:pPr>
      <w:r>
        <w:rPr>
          <w:rFonts w:eastAsia="Verdana"/>
        </w:rPr>
        <w:tab/>
      </w:r>
      <w:r>
        <w:rPr>
          <w:rFonts w:eastAsia="Verdana"/>
        </w:rPr>
        <w:tab/>
      </w:r>
      <w:r w:rsidRPr="007768E5">
        <w:rPr>
          <w:rFonts w:eastAsia="Verdana"/>
        </w:rPr>
        <w:t>The complaint</w:t>
      </w:r>
    </w:p>
    <w:p w:rsidR="00C915CB" w:rsidRDefault="00C915CB" w:rsidP="00E43C78">
      <w:pPr>
        <w:pStyle w:val="SingleTxtG"/>
        <w:rPr>
          <w:rFonts w:eastAsia="Verdana"/>
        </w:rPr>
      </w:pPr>
      <w:r w:rsidRPr="007768E5">
        <w:rPr>
          <w:rFonts w:eastAsia="Verdana"/>
        </w:rPr>
        <w:t>3.1</w:t>
      </w:r>
      <w:r w:rsidRPr="007768E5">
        <w:rPr>
          <w:rFonts w:eastAsia="Verdana"/>
        </w:rPr>
        <w:tab/>
        <w:t xml:space="preserve">The author maintains that her arrest and conviction for organizing an art-mob </w:t>
      </w:r>
      <w:r w:rsidR="00E200D3">
        <w:rPr>
          <w:rFonts w:eastAsia="Verdana"/>
        </w:rPr>
        <w:t xml:space="preserve">event </w:t>
      </w:r>
      <w:r w:rsidRPr="007768E5">
        <w:rPr>
          <w:rFonts w:eastAsia="Verdana"/>
        </w:rPr>
        <w:t>violated her constitutional right</w:t>
      </w:r>
      <w:r w:rsidR="007F7C06">
        <w:rPr>
          <w:rFonts w:eastAsia="Verdana"/>
        </w:rPr>
        <w:t>s and her rights under articles </w:t>
      </w:r>
      <w:r w:rsidRPr="007768E5">
        <w:rPr>
          <w:rFonts w:eastAsia="Verdana"/>
        </w:rPr>
        <w:t>9,</w:t>
      </w:r>
      <w:r>
        <w:rPr>
          <w:rFonts w:eastAsia="Verdana"/>
        </w:rPr>
        <w:t xml:space="preserve"> </w:t>
      </w:r>
      <w:r w:rsidR="00CA2992">
        <w:rPr>
          <w:rFonts w:eastAsia="Verdana"/>
        </w:rPr>
        <w:t>paragraph </w:t>
      </w:r>
      <w:r>
        <w:rPr>
          <w:rFonts w:eastAsia="Verdana"/>
        </w:rPr>
        <w:t>1</w:t>
      </w:r>
      <w:r w:rsidR="00E43C78">
        <w:rPr>
          <w:rFonts w:eastAsia="Verdana"/>
        </w:rPr>
        <w:t>;</w:t>
      </w:r>
      <w:r w:rsidRPr="007768E5">
        <w:rPr>
          <w:rFonts w:eastAsia="Verdana"/>
        </w:rPr>
        <w:t xml:space="preserve"> 12, </w:t>
      </w:r>
      <w:r w:rsidR="00CA2992">
        <w:rPr>
          <w:rFonts w:eastAsia="Verdana"/>
        </w:rPr>
        <w:t>paragraph </w:t>
      </w:r>
      <w:r>
        <w:rPr>
          <w:rFonts w:eastAsia="Verdana"/>
        </w:rPr>
        <w:t>1</w:t>
      </w:r>
      <w:r w:rsidR="00E43C78">
        <w:rPr>
          <w:rFonts w:eastAsia="Verdana"/>
        </w:rPr>
        <w:t>;</w:t>
      </w:r>
      <w:r>
        <w:rPr>
          <w:rFonts w:eastAsia="Verdana"/>
        </w:rPr>
        <w:t xml:space="preserve"> </w:t>
      </w:r>
      <w:r w:rsidRPr="007768E5">
        <w:rPr>
          <w:rFonts w:eastAsia="Verdana"/>
        </w:rPr>
        <w:t>19</w:t>
      </w:r>
      <w:r w:rsidR="00A14710">
        <w:rPr>
          <w:rFonts w:eastAsia="Verdana"/>
        </w:rPr>
        <w:t>;</w:t>
      </w:r>
      <w:r w:rsidRPr="007768E5">
        <w:rPr>
          <w:rFonts w:eastAsia="Verdana"/>
        </w:rPr>
        <w:t xml:space="preserve"> and 21of the Covenant. </w:t>
      </w:r>
    </w:p>
    <w:p w:rsidR="00C915CB" w:rsidRPr="007768E5" w:rsidRDefault="00C915CB" w:rsidP="00251F20">
      <w:pPr>
        <w:pStyle w:val="SingleTxtG"/>
        <w:rPr>
          <w:rFonts w:eastAsia="Verdana"/>
        </w:rPr>
      </w:pPr>
      <w:r>
        <w:rPr>
          <w:rFonts w:eastAsia="Verdana"/>
        </w:rPr>
        <w:t>3.2</w:t>
      </w:r>
      <w:r>
        <w:rPr>
          <w:rFonts w:eastAsia="Verdana"/>
        </w:rPr>
        <w:tab/>
        <w:t xml:space="preserve">The author submits that her arrest was conducted in violation of </w:t>
      </w:r>
      <w:r w:rsidR="00CA2992">
        <w:rPr>
          <w:rFonts w:eastAsia="Verdana"/>
        </w:rPr>
        <w:t>article </w:t>
      </w:r>
      <w:r>
        <w:rPr>
          <w:rFonts w:eastAsia="Verdana"/>
        </w:rPr>
        <w:t>9 of the Covenant since s</w:t>
      </w:r>
      <w:r w:rsidRPr="007768E5">
        <w:rPr>
          <w:rFonts w:eastAsia="Verdana"/>
        </w:rPr>
        <w:t xml:space="preserve">he was told that </w:t>
      </w:r>
      <w:r w:rsidR="00E200D3">
        <w:rPr>
          <w:rFonts w:eastAsia="Verdana"/>
        </w:rPr>
        <w:t xml:space="preserve">had been </w:t>
      </w:r>
      <w:r w:rsidRPr="007768E5">
        <w:rPr>
          <w:rFonts w:eastAsia="Verdana"/>
        </w:rPr>
        <w:t xml:space="preserve">was detained in accordance with </w:t>
      </w:r>
      <w:r w:rsidR="00CA2992">
        <w:rPr>
          <w:rFonts w:eastAsia="Verdana"/>
        </w:rPr>
        <w:t>article </w:t>
      </w:r>
      <w:r w:rsidRPr="007768E5">
        <w:rPr>
          <w:rFonts w:eastAsia="Verdana"/>
        </w:rPr>
        <w:t xml:space="preserve">620 of the Code of Administrative </w:t>
      </w:r>
      <w:r w:rsidR="00E200D3">
        <w:rPr>
          <w:rFonts w:eastAsia="Verdana"/>
        </w:rPr>
        <w:t>P</w:t>
      </w:r>
      <w:r w:rsidRPr="007768E5">
        <w:rPr>
          <w:rFonts w:eastAsia="Verdana"/>
        </w:rPr>
        <w:t>rocedure, which allows administrative detention with the aim of ceasing an administrative violation</w:t>
      </w:r>
      <w:r w:rsidR="00E200D3">
        <w:rPr>
          <w:rFonts w:eastAsia="Verdana"/>
        </w:rPr>
        <w:t>,</w:t>
      </w:r>
      <w:r>
        <w:rPr>
          <w:rFonts w:eastAsia="Verdana"/>
        </w:rPr>
        <w:t xml:space="preserve"> and since</w:t>
      </w:r>
      <w:r w:rsidR="00E200D3">
        <w:rPr>
          <w:rFonts w:eastAsia="Verdana"/>
        </w:rPr>
        <w:t>,</w:t>
      </w:r>
      <w:r>
        <w:rPr>
          <w:rFonts w:eastAsia="Verdana"/>
        </w:rPr>
        <w:t xml:space="preserve"> at the time of her arrest</w:t>
      </w:r>
      <w:r w:rsidR="00E200D3">
        <w:rPr>
          <w:rFonts w:eastAsia="Verdana"/>
        </w:rPr>
        <w:t>,</w:t>
      </w:r>
      <w:r>
        <w:rPr>
          <w:rFonts w:eastAsia="Verdana"/>
        </w:rPr>
        <w:t xml:space="preserve"> </w:t>
      </w:r>
      <w:r w:rsidRPr="007768E5">
        <w:rPr>
          <w:rFonts w:eastAsia="Verdana"/>
        </w:rPr>
        <w:t>she was not carrying out any violations.</w:t>
      </w:r>
    </w:p>
    <w:p w:rsidR="00C915CB" w:rsidRDefault="00C915CB" w:rsidP="00E43C78">
      <w:pPr>
        <w:pStyle w:val="SingleTxtG"/>
        <w:rPr>
          <w:rFonts w:eastAsia="Verdana"/>
          <w:lang w:val="en-US"/>
        </w:rPr>
      </w:pPr>
      <w:r>
        <w:rPr>
          <w:rFonts w:eastAsia="Verdana"/>
        </w:rPr>
        <w:t>3.3</w:t>
      </w:r>
      <w:r>
        <w:rPr>
          <w:rFonts w:eastAsia="Verdana"/>
        </w:rPr>
        <w:tab/>
        <w:t>The author submits that</w:t>
      </w:r>
      <w:r w:rsidR="00E200D3">
        <w:rPr>
          <w:rFonts w:eastAsia="Verdana"/>
        </w:rPr>
        <w:t>,</w:t>
      </w:r>
      <w:r>
        <w:rPr>
          <w:rFonts w:eastAsia="Verdana"/>
        </w:rPr>
        <w:t xml:space="preserve"> </w:t>
      </w:r>
      <w:r w:rsidRPr="007768E5">
        <w:rPr>
          <w:rFonts w:eastAsia="Verdana"/>
        </w:rPr>
        <w:t>by organizing the art-mob</w:t>
      </w:r>
      <w:r w:rsidR="00E200D3">
        <w:rPr>
          <w:rFonts w:eastAsia="Verdana"/>
        </w:rPr>
        <w:t xml:space="preserve"> event</w:t>
      </w:r>
      <w:r w:rsidRPr="007768E5">
        <w:rPr>
          <w:rFonts w:eastAsia="Verdana"/>
        </w:rPr>
        <w:t xml:space="preserve">, she was expressing her opinion, which is her right under </w:t>
      </w:r>
      <w:r w:rsidR="00CA2992">
        <w:rPr>
          <w:rFonts w:eastAsia="Verdana"/>
        </w:rPr>
        <w:t>article </w:t>
      </w:r>
      <w:r w:rsidRPr="007768E5">
        <w:rPr>
          <w:rFonts w:eastAsia="Verdana"/>
        </w:rPr>
        <w:t xml:space="preserve">19 of the Covenant. </w:t>
      </w:r>
      <w:r>
        <w:rPr>
          <w:rFonts w:eastAsia="Verdana"/>
        </w:rPr>
        <w:t xml:space="preserve">The author maintains that </w:t>
      </w:r>
      <w:r w:rsidRPr="001C6BF4">
        <w:rPr>
          <w:rFonts w:eastAsia="Verdana"/>
          <w:lang w:val="en-US"/>
        </w:rPr>
        <w:t xml:space="preserve">the prosecution </w:t>
      </w:r>
      <w:r>
        <w:rPr>
          <w:rFonts w:eastAsia="Verdana"/>
          <w:lang w:val="en-US"/>
        </w:rPr>
        <w:t>against her</w:t>
      </w:r>
      <w:r w:rsidRPr="001C6BF4">
        <w:rPr>
          <w:rFonts w:eastAsia="Verdana"/>
          <w:lang w:val="en-US"/>
        </w:rPr>
        <w:t xml:space="preserve"> was </w:t>
      </w:r>
      <w:r w:rsidR="00E200D3">
        <w:rPr>
          <w:rFonts w:eastAsia="Verdana"/>
          <w:lang w:val="en-US"/>
        </w:rPr>
        <w:t>de jure</w:t>
      </w:r>
      <w:r w:rsidR="00E43C78">
        <w:rPr>
          <w:rFonts w:eastAsia="Verdana"/>
          <w:lang w:val="en-US"/>
        </w:rPr>
        <w:t>, having been</w:t>
      </w:r>
      <w:r w:rsidR="00E200D3">
        <w:rPr>
          <w:rFonts w:eastAsia="Verdana"/>
          <w:lang w:val="en-US"/>
        </w:rPr>
        <w:t xml:space="preserve"> made on the basis of a </w:t>
      </w:r>
      <w:r w:rsidRPr="001C6BF4">
        <w:rPr>
          <w:rFonts w:eastAsia="Verdana"/>
          <w:lang w:val="en-US"/>
        </w:rPr>
        <w:t xml:space="preserve">violation of the </w:t>
      </w:r>
      <w:r>
        <w:rPr>
          <w:rFonts w:eastAsia="Verdana"/>
          <w:lang w:val="en-US"/>
        </w:rPr>
        <w:t>rules</w:t>
      </w:r>
      <w:r w:rsidRPr="001C6BF4">
        <w:rPr>
          <w:rFonts w:eastAsia="Verdana"/>
          <w:lang w:val="en-US"/>
        </w:rPr>
        <w:t xml:space="preserve"> for organizing and holding assemblies</w:t>
      </w:r>
      <w:r>
        <w:rPr>
          <w:rFonts w:eastAsia="Verdana"/>
          <w:lang w:val="en-US"/>
        </w:rPr>
        <w:t xml:space="preserve">, but was </w:t>
      </w:r>
      <w:r w:rsidR="00E200D3">
        <w:rPr>
          <w:rFonts w:eastAsia="Verdana"/>
          <w:lang w:val="en-US"/>
        </w:rPr>
        <w:t xml:space="preserve">de facto on the basis of </w:t>
      </w:r>
      <w:r w:rsidRPr="001C6BF4">
        <w:rPr>
          <w:rFonts w:eastAsia="Verdana"/>
          <w:lang w:val="en-US"/>
        </w:rPr>
        <w:t>her public performance</w:t>
      </w:r>
      <w:r w:rsidR="00E200D3">
        <w:rPr>
          <w:rFonts w:eastAsia="Verdana"/>
          <w:lang w:val="en-US"/>
        </w:rPr>
        <w:t>,</w:t>
      </w:r>
      <w:r w:rsidRPr="001C6BF4">
        <w:rPr>
          <w:rFonts w:eastAsia="Verdana"/>
          <w:lang w:val="en-US"/>
        </w:rPr>
        <w:t xml:space="preserve"> </w:t>
      </w:r>
      <w:r w:rsidR="00E200D3">
        <w:rPr>
          <w:rFonts w:eastAsia="Verdana"/>
          <w:lang w:val="en-US"/>
        </w:rPr>
        <w:t xml:space="preserve">which </w:t>
      </w:r>
      <w:r w:rsidRPr="001C6BF4">
        <w:rPr>
          <w:rFonts w:eastAsia="Verdana"/>
          <w:lang w:val="en-US"/>
        </w:rPr>
        <w:t xml:space="preserve">related to </w:t>
      </w:r>
      <w:r>
        <w:rPr>
          <w:rFonts w:eastAsia="Verdana"/>
          <w:lang w:val="en-US"/>
        </w:rPr>
        <w:t xml:space="preserve">a </w:t>
      </w:r>
      <w:r w:rsidRPr="001C6BF4">
        <w:rPr>
          <w:rFonts w:eastAsia="Verdana"/>
          <w:lang w:val="en-US"/>
        </w:rPr>
        <w:t xml:space="preserve">political issue, </w:t>
      </w:r>
      <w:r w:rsidR="00E200D3">
        <w:rPr>
          <w:rFonts w:eastAsia="Verdana"/>
          <w:lang w:val="en-US"/>
        </w:rPr>
        <w:t xml:space="preserve">namely, the extent to which the </w:t>
      </w:r>
      <w:r w:rsidRPr="001C6BF4">
        <w:rPr>
          <w:rFonts w:eastAsia="Verdana"/>
          <w:lang w:val="en-US"/>
        </w:rPr>
        <w:t>Kazakh population trust</w:t>
      </w:r>
      <w:r>
        <w:rPr>
          <w:rFonts w:eastAsia="Verdana"/>
          <w:lang w:val="en-US"/>
        </w:rPr>
        <w:t>s</w:t>
      </w:r>
      <w:r w:rsidRPr="001C6BF4">
        <w:rPr>
          <w:rFonts w:eastAsia="Verdana"/>
          <w:lang w:val="en-US"/>
        </w:rPr>
        <w:t xml:space="preserve"> government politicians. </w:t>
      </w:r>
      <w:r>
        <w:rPr>
          <w:rFonts w:eastAsia="Verdana"/>
          <w:lang w:val="en-US"/>
        </w:rPr>
        <w:t xml:space="preserve">She maintains that </w:t>
      </w:r>
      <w:r w:rsidRPr="001C6BF4">
        <w:rPr>
          <w:rFonts w:eastAsia="Verdana"/>
          <w:lang w:val="en-US"/>
        </w:rPr>
        <w:t xml:space="preserve">freedom of expression is </w:t>
      </w:r>
      <w:r w:rsidR="00E200D3">
        <w:rPr>
          <w:rFonts w:eastAsia="Verdana"/>
          <w:lang w:val="en-US"/>
        </w:rPr>
        <w:t xml:space="preserve">protected </w:t>
      </w:r>
      <w:r w:rsidRPr="001C6BF4">
        <w:rPr>
          <w:rFonts w:eastAsia="Verdana"/>
          <w:lang w:val="en-US"/>
        </w:rPr>
        <w:t xml:space="preserve">under </w:t>
      </w:r>
      <w:r w:rsidR="00CA2992">
        <w:rPr>
          <w:rFonts w:eastAsia="Verdana"/>
          <w:lang w:val="en-US"/>
        </w:rPr>
        <w:t>article </w:t>
      </w:r>
      <w:r w:rsidRPr="001C6BF4">
        <w:rPr>
          <w:rFonts w:eastAsia="Verdana"/>
          <w:lang w:val="en-US"/>
        </w:rPr>
        <w:t>19</w:t>
      </w:r>
      <w:r>
        <w:rPr>
          <w:rFonts w:eastAsia="Verdana"/>
          <w:lang w:val="en-US"/>
        </w:rPr>
        <w:t xml:space="preserve">, </w:t>
      </w:r>
      <w:r w:rsidR="00CA2992">
        <w:rPr>
          <w:rFonts w:eastAsia="Verdana"/>
          <w:lang w:val="en-US"/>
        </w:rPr>
        <w:t>paragraph </w:t>
      </w:r>
      <w:r>
        <w:rPr>
          <w:rFonts w:eastAsia="Verdana"/>
          <w:lang w:val="en-US"/>
        </w:rPr>
        <w:t>2</w:t>
      </w:r>
      <w:r w:rsidR="00E200D3">
        <w:rPr>
          <w:rFonts w:eastAsia="Verdana"/>
          <w:lang w:val="en-US"/>
        </w:rPr>
        <w:t>,</w:t>
      </w:r>
      <w:r>
        <w:rPr>
          <w:rFonts w:eastAsia="Verdana"/>
          <w:lang w:val="en-US"/>
        </w:rPr>
        <w:t xml:space="preserve"> of the Covenant; that </w:t>
      </w:r>
      <w:r w:rsidR="00E200D3">
        <w:rPr>
          <w:rFonts w:eastAsia="Verdana"/>
          <w:lang w:val="en-US"/>
        </w:rPr>
        <w:t xml:space="preserve">such </w:t>
      </w:r>
      <w:r w:rsidRPr="001C6BF4">
        <w:rPr>
          <w:rFonts w:eastAsia="Verdana"/>
          <w:lang w:val="en-US"/>
        </w:rPr>
        <w:t xml:space="preserve">protection includes the right of individuals to criticize or openly and publicly evaluate their Governments without </w:t>
      </w:r>
      <w:r w:rsidRPr="001C6BF4">
        <w:rPr>
          <w:rFonts w:eastAsia="Verdana"/>
          <w:lang w:val="en-US"/>
        </w:rPr>
        <w:lastRenderedPageBreak/>
        <w:t xml:space="preserve">fear of interference or </w:t>
      </w:r>
      <w:r w:rsidRPr="00263B80">
        <w:rPr>
          <w:rFonts w:eastAsia="Verdana"/>
          <w:lang w:val="en-US"/>
        </w:rPr>
        <w:t>punishment</w:t>
      </w:r>
      <w:r w:rsidR="00D275CB">
        <w:rPr>
          <w:rFonts w:eastAsia="Verdana"/>
          <w:lang w:val="en-US"/>
        </w:rPr>
        <w:t>;</w:t>
      </w:r>
      <w:r w:rsidRPr="00263B80">
        <w:rPr>
          <w:rFonts w:eastAsia="Verdana"/>
          <w:vertAlign w:val="superscript"/>
          <w:lang w:val="en-US"/>
        </w:rPr>
        <w:footnoteReference w:id="4"/>
      </w:r>
      <w:r>
        <w:rPr>
          <w:rFonts w:eastAsia="Verdana"/>
          <w:b/>
          <w:lang w:val="en-US"/>
        </w:rPr>
        <w:t xml:space="preserve"> </w:t>
      </w:r>
      <w:r w:rsidRPr="00263B80">
        <w:rPr>
          <w:rFonts w:eastAsia="Verdana"/>
          <w:lang w:val="en-US"/>
        </w:rPr>
        <w:t>and</w:t>
      </w:r>
      <w:r>
        <w:rPr>
          <w:rFonts w:eastAsia="Verdana"/>
          <w:lang w:val="en-US"/>
        </w:rPr>
        <w:t xml:space="preserve"> that she wa</w:t>
      </w:r>
      <w:r w:rsidRPr="001C6BF4">
        <w:rPr>
          <w:rFonts w:eastAsia="Verdana"/>
          <w:lang w:val="en-US"/>
        </w:rPr>
        <w:t xml:space="preserve">s punished for exercising her right to expression in </w:t>
      </w:r>
      <w:r>
        <w:rPr>
          <w:rFonts w:eastAsia="Verdana"/>
          <w:lang w:val="en-US"/>
        </w:rPr>
        <w:t xml:space="preserve">the </w:t>
      </w:r>
      <w:r w:rsidRPr="001C6BF4">
        <w:rPr>
          <w:rFonts w:eastAsia="Verdana"/>
          <w:lang w:val="en-US"/>
        </w:rPr>
        <w:t>form of art. Under such circumstances</w:t>
      </w:r>
      <w:r>
        <w:rPr>
          <w:rFonts w:eastAsia="Verdana"/>
          <w:lang w:val="en-US"/>
        </w:rPr>
        <w:t>,</w:t>
      </w:r>
      <w:r w:rsidRPr="001C6BF4">
        <w:rPr>
          <w:rFonts w:eastAsia="Verdana"/>
          <w:lang w:val="en-US"/>
        </w:rPr>
        <w:t xml:space="preserve"> her unlawful detention on the basis of her performance</w:t>
      </w:r>
      <w:r>
        <w:rPr>
          <w:rFonts w:eastAsia="Verdana"/>
          <w:lang w:val="en-US"/>
        </w:rPr>
        <w:t>, her</w:t>
      </w:r>
      <w:r w:rsidRPr="001C6BF4">
        <w:rPr>
          <w:rFonts w:eastAsia="Verdana"/>
          <w:lang w:val="en-US"/>
        </w:rPr>
        <w:t xml:space="preserve"> trial, her conviction and sentence and the threat that any expression of opinion may be punished by similar sanctions in the future constituted restrictions on her freedom of expression. </w:t>
      </w:r>
    </w:p>
    <w:p w:rsidR="00C915CB" w:rsidRPr="001C6BF4" w:rsidRDefault="00C915CB" w:rsidP="00251F20">
      <w:pPr>
        <w:pStyle w:val="SingleTxtG"/>
        <w:rPr>
          <w:rFonts w:eastAsia="Verdana"/>
          <w:lang w:val="en-US"/>
        </w:rPr>
      </w:pPr>
      <w:r>
        <w:rPr>
          <w:rFonts w:eastAsia="Verdana"/>
          <w:lang w:val="en-US"/>
        </w:rPr>
        <w:t>3.4</w:t>
      </w:r>
      <w:r>
        <w:rPr>
          <w:rFonts w:eastAsia="Verdana"/>
          <w:lang w:val="en-US"/>
        </w:rPr>
        <w:tab/>
        <w:t>The author submits that the above</w:t>
      </w:r>
      <w:r w:rsidRPr="001C6BF4">
        <w:rPr>
          <w:rFonts w:eastAsia="Verdana"/>
          <w:lang w:val="en-US"/>
        </w:rPr>
        <w:t xml:space="preserve"> restrictions are not compatible with the meaning of </w:t>
      </w:r>
      <w:r w:rsidR="00CA2992">
        <w:rPr>
          <w:rFonts w:eastAsia="Verdana"/>
          <w:lang w:val="en-US"/>
        </w:rPr>
        <w:t>article </w:t>
      </w:r>
      <w:r w:rsidRPr="001C6BF4">
        <w:rPr>
          <w:rFonts w:eastAsia="Verdana"/>
          <w:lang w:val="en-US"/>
        </w:rPr>
        <w:t>19</w:t>
      </w:r>
      <w:r>
        <w:rPr>
          <w:rFonts w:eastAsia="Verdana"/>
          <w:lang w:val="en-US"/>
        </w:rPr>
        <w:t xml:space="preserve">, </w:t>
      </w:r>
      <w:r w:rsidR="00CA2992">
        <w:rPr>
          <w:rFonts w:eastAsia="Verdana"/>
          <w:lang w:val="en-US"/>
        </w:rPr>
        <w:t>paragraph </w:t>
      </w:r>
      <w:r>
        <w:rPr>
          <w:rFonts w:eastAsia="Verdana"/>
          <w:lang w:val="en-US"/>
        </w:rPr>
        <w:t>3</w:t>
      </w:r>
      <w:r w:rsidR="003C51FB">
        <w:rPr>
          <w:rFonts w:eastAsia="Verdana"/>
          <w:lang w:val="en-US"/>
        </w:rPr>
        <w:t>,</w:t>
      </w:r>
      <w:r w:rsidRPr="001C6BF4">
        <w:rPr>
          <w:rFonts w:eastAsia="Verdana"/>
          <w:lang w:val="en-US"/>
        </w:rPr>
        <w:t xml:space="preserve"> of the Covenant</w:t>
      </w:r>
      <w:r w:rsidR="003C51FB">
        <w:rPr>
          <w:rFonts w:eastAsia="Verdana"/>
          <w:lang w:val="en-US"/>
        </w:rPr>
        <w:t>, which</w:t>
      </w:r>
      <w:r>
        <w:rPr>
          <w:rFonts w:eastAsia="Verdana"/>
          <w:lang w:val="en-US"/>
        </w:rPr>
        <w:t xml:space="preserve"> provides that</w:t>
      </w:r>
      <w:r w:rsidR="003C51FB">
        <w:rPr>
          <w:rFonts w:eastAsia="Verdana"/>
          <w:lang w:val="en-US"/>
        </w:rPr>
        <w:t>,</w:t>
      </w:r>
      <w:r>
        <w:rPr>
          <w:rFonts w:eastAsia="Verdana"/>
          <w:lang w:val="en-US"/>
        </w:rPr>
        <w:t xml:space="preserve"> while t</w:t>
      </w:r>
      <w:r w:rsidRPr="001C6BF4">
        <w:rPr>
          <w:rFonts w:eastAsia="Verdana"/>
          <w:lang w:val="en-US"/>
        </w:rPr>
        <w:t>he exercise of the right to freedom of expression may be</w:t>
      </w:r>
      <w:r>
        <w:rPr>
          <w:rFonts w:eastAsia="Verdana"/>
          <w:lang w:val="en-US"/>
        </w:rPr>
        <w:t xml:space="preserve"> </w:t>
      </w:r>
      <w:r w:rsidRPr="001C6BF4">
        <w:rPr>
          <w:rFonts w:eastAsia="Verdana"/>
          <w:lang w:val="en-US"/>
        </w:rPr>
        <w:t>subject to certain restrictions, these shall only be such as are provided by law and are necessary</w:t>
      </w:r>
      <w:r w:rsidR="00C2172F">
        <w:rPr>
          <w:rFonts w:eastAsia="Verdana"/>
          <w:lang w:val="en-US"/>
        </w:rPr>
        <w:t>:</w:t>
      </w:r>
      <w:r>
        <w:rPr>
          <w:rFonts w:eastAsia="Verdana"/>
          <w:lang w:val="en-US"/>
        </w:rPr>
        <w:t xml:space="preserve"> </w:t>
      </w:r>
      <w:r w:rsidR="00C2172F">
        <w:rPr>
          <w:rFonts w:eastAsia="Verdana"/>
          <w:lang w:val="en-US"/>
        </w:rPr>
        <w:t>(a) </w:t>
      </w:r>
      <w:r>
        <w:rPr>
          <w:rFonts w:eastAsia="Verdana"/>
          <w:lang w:val="en-US"/>
        </w:rPr>
        <w:t>f</w:t>
      </w:r>
      <w:r w:rsidRPr="001C6BF4">
        <w:rPr>
          <w:rFonts w:eastAsia="Verdana"/>
          <w:lang w:val="en-US"/>
        </w:rPr>
        <w:t>or the respect of the rights or reputations of others</w:t>
      </w:r>
      <w:r w:rsidR="00C2172F">
        <w:rPr>
          <w:rFonts w:eastAsia="Verdana"/>
          <w:lang w:val="en-US"/>
        </w:rPr>
        <w:t>;</w:t>
      </w:r>
      <w:r>
        <w:rPr>
          <w:rFonts w:eastAsia="Verdana"/>
          <w:lang w:val="en-US"/>
        </w:rPr>
        <w:t xml:space="preserve"> </w:t>
      </w:r>
      <w:r w:rsidRPr="001C6BF4">
        <w:rPr>
          <w:rFonts w:eastAsia="Verdana"/>
          <w:lang w:val="en-US"/>
        </w:rPr>
        <w:t xml:space="preserve">or </w:t>
      </w:r>
      <w:r w:rsidR="00C2172F">
        <w:rPr>
          <w:rFonts w:eastAsia="Verdana"/>
          <w:lang w:val="en-US"/>
        </w:rPr>
        <w:t>(b) </w:t>
      </w:r>
      <w:r>
        <w:rPr>
          <w:rFonts w:eastAsia="Verdana"/>
          <w:lang w:val="en-US"/>
        </w:rPr>
        <w:t>f</w:t>
      </w:r>
      <w:r w:rsidRPr="001C6BF4">
        <w:rPr>
          <w:rFonts w:eastAsia="Verdana"/>
          <w:lang w:val="en-US"/>
        </w:rPr>
        <w:t>or the protection of natio</w:t>
      </w:r>
      <w:r>
        <w:rPr>
          <w:rFonts w:eastAsia="Verdana"/>
          <w:lang w:val="en-US"/>
        </w:rPr>
        <w:t>nal security or of public order</w:t>
      </w:r>
      <w:r w:rsidRPr="001C6BF4">
        <w:rPr>
          <w:rFonts w:eastAsia="Verdana"/>
          <w:lang w:val="en-US"/>
        </w:rPr>
        <w:t xml:space="preserve">, or of public health </w:t>
      </w:r>
      <w:r w:rsidR="00C2172F">
        <w:rPr>
          <w:rFonts w:eastAsia="Verdana"/>
          <w:lang w:val="en-US"/>
        </w:rPr>
        <w:t xml:space="preserve">or </w:t>
      </w:r>
      <w:r w:rsidRPr="001C6BF4">
        <w:rPr>
          <w:rFonts w:eastAsia="Verdana"/>
          <w:lang w:val="en-US"/>
        </w:rPr>
        <w:t xml:space="preserve">morals. </w:t>
      </w:r>
      <w:r>
        <w:rPr>
          <w:rFonts w:eastAsia="Verdana"/>
          <w:lang w:val="en-US"/>
        </w:rPr>
        <w:t>She maintains that</w:t>
      </w:r>
      <w:r w:rsidR="00C6146F">
        <w:rPr>
          <w:rFonts w:eastAsia="Verdana"/>
          <w:lang w:val="en-US"/>
        </w:rPr>
        <w:t>,</w:t>
      </w:r>
      <w:r>
        <w:rPr>
          <w:rFonts w:eastAsia="Verdana"/>
          <w:lang w:val="en-US"/>
        </w:rPr>
        <w:t xml:space="preserve"> in i</w:t>
      </w:r>
      <w:r w:rsidRPr="001C6BF4">
        <w:rPr>
          <w:rFonts w:eastAsia="Verdana"/>
          <w:lang w:val="en-US"/>
        </w:rPr>
        <w:t xml:space="preserve">nterpreting </w:t>
      </w:r>
      <w:r w:rsidR="00C6146F" w:rsidRPr="001C6BF4">
        <w:rPr>
          <w:rFonts w:eastAsia="Verdana"/>
          <w:lang w:val="en-US"/>
        </w:rPr>
        <w:t>th</w:t>
      </w:r>
      <w:r w:rsidR="00C6146F">
        <w:rPr>
          <w:rFonts w:eastAsia="Verdana"/>
          <w:lang w:val="en-US"/>
        </w:rPr>
        <w:t>ose</w:t>
      </w:r>
      <w:r w:rsidR="00C6146F" w:rsidRPr="001C6BF4">
        <w:rPr>
          <w:rFonts w:eastAsia="Verdana"/>
          <w:lang w:val="en-US"/>
        </w:rPr>
        <w:t xml:space="preserve"> </w:t>
      </w:r>
      <w:r w:rsidRPr="001C6BF4">
        <w:rPr>
          <w:rFonts w:eastAsia="Verdana"/>
          <w:lang w:val="en-US"/>
        </w:rPr>
        <w:t>exception</w:t>
      </w:r>
      <w:r>
        <w:rPr>
          <w:rFonts w:eastAsia="Verdana"/>
          <w:lang w:val="en-US"/>
        </w:rPr>
        <w:t>s</w:t>
      </w:r>
      <w:r w:rsidRPr="001C6BF4">
        <w:rPr>
          <w:rFonts w:eastAsia="Verdana"/>
          <w:lang w:val="en-US"/>
        </w:rPr>
        <w:t>, the Committee ha</w:t>
      </w:r>
      <w:r>
        <w:rPr>
          <w:rFonts w:eastAsia="Verdana"/>
          <w:lang w:val="en-US"/>
        </w:rPr>
        <w:t>d</w:t>
      </w:r>
      <w:r w:rsidRPr="001C6BF4">
        <w:rPr>
          <w:rFonts w:eastAsia="Verdana"/>
          <w:lang w:val="en-US"/>
        </w:rPr>
        <w:t xml:space="preserve"> noted that such </w:t>
      </w:r>
      <w:r w:rsidRPr="00263B80">
        <w:rPr>
          <w:rFonts w:eastAsia="Verdana"/>
          <w:lang w:val="en-US"/>
        </w:rPr>
        <w:t>restrictions must not “put in jeopardy the right itself”</w:t>
      </w:r>
      <w:r w:rsidRPr="00263B80">
        <w:rPr>
          <w:rFonts w:eastAsia="Verdana"/>
          <w:vertAlign w:val="superscript"/>
          <w:lang w:val="en-US"/>
        </w:rPr>
        <w:footnoteReference w:id="5"/>
      </w:r>
      <w:r w:rsidRPr="00263B80">
        <w:rPr>
          <w:rFonts w:eastAsia="Verdana"/>
          <w:lang w:val="en-US"/>
        </w:rPr>
        <w:t xml:space="preserve"> </w:t>
      </w:r>
      <w:r w:rsidR="006C7037">
        <w:rPr>
          <w:rFonts w:eastAsia="Verdana"/>
          <w:lang w:val="en-US"/>
        </w:rPr>
        <w:t xml:space="preserve">and that </w:t>
      </w:r>
      <w:r w:rsidRPr="00263B80">
        <w:rPr>
          <w:rFonts w:eastAsia="Verdana"/>
          <w:lang w:val="en-US"/>
        </w:rPr>
        <w:t xml:space="preserve">any limitation “must meet a </w:t>
      </w:r>
      <w:r w:rsidRPr="0020526E">
        <w:rPr>
          <w:rFonts w:eastAsia="Verdana"/>
          <w:lang w:val="en-US"/>
        </w:rPr>
        <w:t>strict test of justification”.</w:t>
      </w:r>
      <w:r w:rsidRPr="0020526E">
        <w:rPr>
          <w:rFonts w:eastAsia="Verdana"/>
          <w:vertAlign w:val="superscript"/>
          <w:lang w:val="en-US"/>
        </w:rPr>
        <w:footnoteReference w:id="6"/>
      </w:r>
      <w:r>
        <w:rPr>
          <w:rFonts w:eastAsia="Verdana"/>
          <w:lang w:val="en-US"/>
        </w:rPr>
        <w:t xml:space="preserve"> </w:t>
      </w:r>
      <w:r w:rsidRPr="0020526E">
        <w:rPr>
          <w:rFonts w:eastAsia="Verdana"/>
          <w:lang w:val="en-US"/>
        </w:rPr>
        <w:t>Under the Committee</w:t>
      </w:r>
      <w:r w:rsidR="00C80227">
        <w:rPr>
          <w:rFonts w:eastAsia="Verdana"/>
          <w:lang w:val="en-US"/>
        </w:rPr>
        <w:t>’</w:t>
      </w:r>
      <w:r w:rsidRPr="0020526E">
        <w:rPr>
          <w:rFonts w:eastAsia="Verdana"/>
          <w:lang w:val="en-US"/>
        </w:rPr>
        <w:t xml:space="preserve">s jurisprudence, a legitimate limitation on the right to freedom of expression must be: </w:t>
      </w:r>
      <w:r w:rsidR="006C7037">
        <w:rPr>
          <w:rFonts w:eastAsia="Verdana"/>
          <w:lang w:val="en-US"/>
        </w:rPr>
        <w:t>(a) </w:t>
      </w:r>
      <w:r w:rsidRPr="0020526E">
        <w:rPr>
          <w:rFonts w:eastAsia="Verdana"/>
          <w:lang w:val="en-US"/>
        </w:rPr>
        <w:t xml:space="preserve">provided by law; </w:t>
      </w:r>
      <w:r w:rsidR="006C7037">
        <w:rPr>
          <w:rFonts w:eastAsia="Verdana"/>
          <w:lang w:val="en-US"/>
        </w:rPr>
        <w:t>(b) </w:t>
      </w:r>
      <w:r w:rsidRPr="0020526E">
        <w:rPr>
          <w:rFonts w:eastAsia="Verdana"/>
          <w:lang w:val="en-US"/>
        </w:rPr>
        <w:t xml:space="preserve">for the protection of one of the enumerated purposes; </w:t>
      </w:r>
      <w:r w:rsidR="006C7037">
        <w:rPr>
          <w:rFonts w:eastAsia="Verdana"/>
          <w:lang w:val="en-US"/>
        </w:rPr>
        <w:t>and (c) </w:t>
      </w:r>
      <w:r w:rsidRPr="0020526E">
        <w:rPr>
          <w:rFonts w:eastAsia="Verdana"/>
          <w:lang w:val="en-US"/>
        </w:rPr>
        <w:t>necessary to achieve that purpose</w:t>
      </w:r>
      <w:r>
        <w:rPr>
          <w:rFonts w:eastAsia="Verdana"/>
          <w:lang w:val="en-US"/>
        </w:rPr>
        <w:t>.</w:t>
      </w:r>
      <w:r w:rsidRPr="0020526E">
        <w:rPr>
          <w:rFonts w:eastAsia="Verdana"/>
          <w:vertAlign w:val="superscript"/>
          <w:lang w:val="en-US"/>
        </w:rPr>
        <w:footnoteReference w:id="7"/>
      </w:r>
      <w:r>
        <w:rPr>
          <w:rFonts w:eastAsia="Verdana"/>
          <w:lang w:val="en-US"/>
        </w:rPr>
        <w:t xml:space="preserve"> The author submits that the C</w:t>
      </w:r>
      <w:r w:rsidRPr="001C6BF4">
        <w:rPr>
          <w:rFonts w:eastAsia="Verdana"/>
          <w:lang w:val="en-US"/>
        </w:rPr>
        <w:t xml:space="preserve">ommittee has consistently held </w:t>
      </w:r>
      <w:r w:rsidRPr="0020526E">
        <w:rPr>
          <w:rFonts w:eastAsia="Verdana"/>
          <w:lang w:val="en-US"/>
        </w:rPr>
        <w:t>that “the State party must demonstrate in specific fashion the precise nature of the threat to any of the enumerated purposes caused by the author</w:t>
      </w:r>
      <w:r>
        <w:rPr>
          <w:rFonts w:eastAsia="Verdana"/>
          <w:lang w:val="en-US"/>
        </w:rPr>
        <w:t>’</w:t>
      </w:r>
      <w:r w:rsidRPr="0020526E">
        <w:rPr>
          <w:rFonts w:eastAsia="Verdana"/>
          <w:lang w:val="en-US"/>
        </w:rPr>
        <w:t>s conduct”</w:t>
      </w:r>
      <w:r w:rsidR="00D275CB">
        <w:rPr>
          <w:rFonts w:eastAsia="Verdana"/>
          <w:lang w:val="en-US"/>
        </w:rPr>
        <w:t>,</w:t>
      </w:r>
      <w:r w:rsidRPr="0020526E">
        <w:rPr>
          <w:rFonts w:eastAsia="Verdana"/>
          <w:vertAlign w:val="superscript"/>
          <w:lang w:val="en-US"/>
        </w:rPr>
        <w:footnoteReference w:id="8"/>
      </w:r>
      <w:r>
        <w:rPr>
          <w:rFonts w:eastAsia="Verdana"/>
          <w:lang w:val="en-US"/>
        </w:rPr>
        <w:t xml:space="preserve"> </w:t>
      </w:r>
      <w:r w:rsidR="006C7037">
        <w:rPr>
          <w:rFonts w:eastAsia="Verdana"/>
          <w:lang w:val="en-US"/>
        </w:rPr>
        <w:t xml:space="preserve">and that, </w:t>
      </w:r>
      <w:r>
        <w:rPr>
          <w:rFonts w:eastAsia="Verdana"/>
          <w:lang w:val="en-US"/>
        </w:rPr>
        <w:t>in her case</w:t>
      </w:r>
      <w:r w:rsidR="006C7037">
        <w:rPr>
          <w:rFonts w:eastAsia="Verdana"/>
          <w:lang w:val="en-US"/>
        </w:rPr>
        <w:t>,</w:t>
      </w:r>
      <w:r w:rsidRPr="001C6BF4">
        <w:rPr>
          <w:rFonts w:eastAsia="Verdana"/>
          <w:lang w:val="en-US"/>
        </w:rPr>
        <w:t xml:space="preserve"> the limitation on </w:t>
      </w:r>
      <w:r>
        <w:rPr>
          <w:rFonts w:eastAsia="Verdana"/>
          <w:lang w:val="en-US"/>
        </w:rPr>
        <w:t>her</w:t>
      </w:r>
      <w:r w:rsidRPr="001C6BF4">
        <w:rPr>
          <w:rFonts w:eastAsia="Verdana"/>
          <w:lang w:val="en-US"/>
        </w:rPr>
        <w:t xml:space="preserve"> right to freedom of expression </w:t>
      </w:r>
      <w:r w:rsidR="006C7037">
        <w:rPr>
          <w:rFonts w:eastAsia="Verdana"/>
          <w:lang w:val="en-US"/>
        </w:rPr>
        <w:t xml:space="preserve">was </w:t>
      </w:r>
      <w:r>
        <w:rPr>
          <w:rFonts w:eastAsia="Verdana"/>
          <w:lang w:val="en-US"/>
        </w:rPr>
        <w:t>not</w:t>
      </w:r>
      <w:r w:rsidRPr="001C6BF4">
        <w:rPr>
          <w:rFonts w:eastAsia="Verdana"/>
          <w:lang w:val="en-US"/>
        </w:rPr>
        <w:t xml:space="preserve"> </w:t>
      </w:r>
      <w:r w:rsidR="006C7037">
        <w:rPr>
          <w:rFonts w:eastAsia="Verdana"/>
          <w:lang w:val="en-US"/>
        </w:rPr>
        <w:t xml:space="preserve">made on the basis of </w:t>
      </w:r>
      <w:r w:rsidRPr="001C6BF4">
        <w:rPr>
          <w:rFonts w:eastAsia="Verdana"/>
          <w:lang w:val="en-US"/>
        </w:rPr>
        <w:t xml:space="preserve">the </w:t>
      </w:r>
      <w:r w:rsidRPr="0020526E">
        <w:rPr>
          <w:rFonts w:eastAsia="Verdana"/>
          <w:lang w:val="en-US"/>
        </w:rPr>
        <w:t xml:space="preserve">needs of national security or the protection of the rights </w:t>
      </w:r>
      <w:r w:rsidR="006C7037">
        <w:rPr>
          <w:rFonts w:eastAsia="Verdana"/>
          <w:lang w:val="en-US"/>
        </w:rPr>
        <w:t xml:space="preserve">or </w:t>
      </w:r>
      <w:r w:rsidRPr="0020526E">
        <w:rPr>
          <w:rFonts w:eastAsia="Verdana"/>
          <w:lang w:val="en-US"/>
        </w:rPr>
        <w:t xml:space="preserve">reputations of others. </w:t>
      </w:r>
      <w:r>
        <w:rPr>
          <w:rFonts w:eastAsia="Verdana"/>
          <w:lang w:val="en-US"/>
        </w:rPr>
        <w:t xml:space="preserve">If the limitation had been </w:t>
      </w:r>
      <w:r w:rsidR="006C7037">
        <w:rPr>
          <w:rFonts w:eastAsia="Verdana"/>
          <w:lang w:val="en-US"/>
        </w:rPr>
        <w:t xml:space="preserve">made on the basis of </w:t>
      </w:r>
      <w:r>
        <w:rPr>
          <w:rFonts w:eastAsia="Verdana"/>
          <w:lang w:val="en-US"/>
        </w:rPr>
        <w:t xml:space="preserve">a threat to national security, the State party should have provided a detailed justification and </w:t>
      </w:r>
      <w:r w:rsidR="006C7037">
        <w:rPr>
          <w:rFonts w:eastAsia="Verdana"/>
          <w:lang w:val="en-US"/>
        </w:rPr>
        <w:t xml:space="preserve">indicated </w:t>
      </w:r>
      <w:r>
        <w:rPr>
          <w:rFonts w:eastAsia="Verdana"/>
          <w:lang w:val="en-US"/>
        </w:rPr>
        <w:t>the precise nature of the threat.</w:t>
      </w:r>
      <w:r w:rsidRPr="001C6BF4">
        <w:rPr>
          <w:rFonts w:eastAsia="Verdana"/>
          <w:lang w:val="en-US"/>
        </w:rPr>
        <w:t xml:space="preserve"> </w:t>
      </w:r>
      <w:r>
        <w:rPr>
          <w:rFonts w:eastAsia="Verdana"/>
          <w:lang w:val="en-US"/>
        </w:rPr>
        <w:t xml:space="preserve">The author further submits that her </w:t>
      </w:r>
      <w:r w:rsidRPr="001C6BF4">
        <w:rPr>
          <w:rFonts w:eastAsia="Verdana"/>
          <w:lang w:val="en-US"/>
        </w:rPr>
        <w:t xml:space="preserve">performance related to </w:t>
      </w:r>
      <w:r w:rsidR="00863084">
        <w:rPr>
          <w:rFonts w:eastAsia="Verdana"/>
          <w:lang w:val="en-US"/>
        </w:rPr>
        <w:t xml:space="preserve">the </w:t>
      </w:r>
      <w:r w:rsidRPr="001C6BF4">
        <w:rPr>
          <w:rFonts w:eastAsia="Verdana"/>
          <w:lang w:val="en-US"/>
        </w:rPr>
        <w:t xml:space="preserve">possible distrust of the Kazakh population </w:t>
      </w:r>
      <w:r w:rsidR="00863084">
        <w:rPr>
          <w:rFonts w:eastAsia="Verdana"/>
          <w:lang w:val="en-US"/>
        </w:rPr>
        <w:t xml:space="preserve">towards </w:t>
      </w:r>
      <w:r w:rsidRPr="001C6BF4">
        <w:rPr>
          <w:rFonts w:eastAsia="Verdana"/>
          <w:lang w:val="en-US"/>
        </w:rPr>
        <w:t>government officials</w:t>
      </w:r>
      <w:r>
        <w:rPr>
          <w:rFonts w:eastAsia="Verdana"/>
          <w:lang w:val="en-US"/>
        </w:rPr>
        <w:t>; that t</w:t>
      </w:r>
      <w:r w:rsidRPr="001C6BF4">
        <w:rPr>
          <w:rFonts w:eastAsia="Verdana"/>
          <w:lang w:val="en-US"/>
        </w:rPr>
        <w:t xml:space="preserve">he issue </w:t>
      </w:r>
      <w:r>
        <w:rPr>
          <w:rFonts w:eastAsia="Verdana"/>
          <w:lang w:val="en-US"/>
        </w:rPr>
        <w:t>wa</w:t>
      </w:r>
      <w:r w:rsidRPr="001C6BF4">
        <w:rPr>
          <w:rFonts w:eastAsia="Verdana"/>
          <w:lang w:val="en-US"/>
        </w:rPr>
        <w:t>s a subject of permanent public discussion in Kazakhstan</w:t>
      </w:r>
      <w:r>
        <w:rPr>
          <w:rFonts w:eastAsia="Verdana"/>
          <w:lang w:val="en-US"/>
        </w:rPr>
        <w:t xml:space="preserve">; and that </w:t>
      </w:r>
      <w:r w:rsidRPr="001C6BF4">
        <w:rPr>
          <w:rFonts w:eastAsia="Verdana"/>
          <w:lang w:val="en-US"/>
        </w:rPr>
        <w:t xml:space="preserve">the </w:t>
      </w:r>
      <w:r w:rsidR="00863084">
        <w:rPr>
          <w:rFonts w:eastAsia="Verdana"/>
          <w:lang w:val="en-US"/>
        </w:rPr>
        <w:t>G</w:t>
      </w:r>
      <w:r w:rsidRPr="001C6BF4">
        <w:rPr>
          <w:rFonts w:eastAsia="Verdana"/>
          <w:lang w:val="en-US"/>
        </w:rPr>
        <w:t xml:space="preserve">overnment </w:t>
      </w:r>
      <w:r w:rsidR="00863084">
        <w:rPr>
          <w:rFonts w:eastAsia="Verdana"/>
          <w:lang w:val="en-US"/>
        </w:rPr>
        <w:t>therefore</w:t>
      </w:r>
      <w:r w:rsidR="00863084" w:rsidRPr="001C6BF4">
        <w:rPr>
          <w:rFonts w:eastAsia="Verdana"/>
          <w:lang w:val="en-US"/>
        </w:rPr>
        <w:t xml:space="preserve"> </w:t>
      </w:r>
      <w:r w:rsidRPr="001C6BF4">
        <w:rPr>
          <w:rFonts w:eastAsia="Verdana"/>
          <w:lang w:val="en-US"/>
        </w:rPr>
        <w:t>cannot claim that its limitation on</w:t>
      </w:r>
      <w:r>
        <w:rPr>
          <w:rFonts w:eastAsia="Verdana"/>
          <w:lang w:val="en-US"/>
        </w:rPr>
        <w:t xml:space="preserve"> her</w:t>
      </w:r>
      <w:r w:rsidRPr="001C6BF4">
        <w:rPr>
          <w:rFonts w:eastAsia="Verdana"/>
          <w:lang w:val="en-US"/>
        </w:rPr>
        <w:t xml:space="preserve"> right to freedom of expression was for the purpose of protecting the rights </w:t>
      </w:r>
      <w:r w:rsidR="00557101">
        <w:rPr>
          <w:rFonts w:eastAsia="Verdana"/>
          <w:lang w:val="en-US"/>
        </w:rPr>
        <w:t xml:space="preserve">or </w:t>
      </w:r>
      <w:r w:rsidRPr="001C6BF4">
        <w:rPr>
          <w:rFonts w:eastAsia="Verdana"/>
          <w:lang w:val="en-US"/>
        </w:rPr>
        <w:t xml:space="preserve">reputations of others. </w:t>
      </w:r>
      <w:r>
        <w:rPr>
          <w:rFonts w:eastAsia="Verdana"/>
          <w:lang w:val="en-US"/>
        </w:rPr>
        <w:t>She maintains that</w:t>
      </w:r>
      <w:r w:rsidR="00557101">
        <w:rPr>
          <w:rFonts w:eastAsia="Verdana"/>
          <w:lang w:val="en-US"/>
        </w:rPr>
        <w:t>,</w:t>
      </w:r>
      <w:r>
        <w:rPr>
          <w:rFonts w:eastAsia="Verdana"/>
          <w:lang w:val="en-US"/>
        </w:rPr>
        <w:t xml:space="preserve"> </w:t>
      </w:r>
      <w:r w:rsidRPr="001C6BF4">
        <w:rPr>
          <w:rFonts w:eastAsia="Verdana"/>
          <w:lang w:val="en-US"/>
        </w:rPr>
        <w:t xml:space="preserve">even if the State party </w:t>
      </w:r>
      <w:r w:rsidR="00557101" w:rsidRPr="001C6BF4">
        <w:rPr>
          <w:rFonts w:eastAsia="Verdana"/>
          <w:lang w:val="en-US"/>
        </w:rPr>
        <w:t>establishe</w:t>
      </w:r>
      <w:r w:rsidR="00557101">
        <w:rPr>
          <w:rFonts w:eastAsia="Verdana"/>
          <w:lang w:val="en-US"/>
        </w:rPr>
        <w:t>d</w:t>
      </w:r>
      <w:r w:rsidR="00557101" w:rsidRPr="001C6BF4">
        <w:rPr>
          <w:rFonts w:eastAsia="Verdana"/>
          <w:lang w:val="en-US"/>
        </w:rPr>
        <w:t xml:space="preserve"> </w:t>
      </w:r>
      <w:r w:rsidRPr="001C6BF4">
        <w:rPr>
          <w:rFonts w:eastAsia="Verdana"/>
          <w:lang w:val="en-US"/>
        </w:rPr>
        <w:t xml:space="preserve">the existence of a legitimate purpose for the limitation, it </w:t>
      </w:r>
      <w:r w:rsidR="00557101">
        <w:rPr>
          <w:rFonts w:eastAsia="Verdana"/>
          <w:lang w:val="en-US"/>
        </w:rPr>
        <w:t xml:space="preserve">would </w:t>
      </w:r>
      <w:r w:rsidRPr="001C6BF4">
        <w:rPr>
          <w:rFonts w:eastAsia="Verdana"/>
          <w:lang w:val="en-US"/>
        </w:rPr>
        <w:t xml:space="preserve">also </w:t>
      </w:r>
      <w:r w:rsidR="00557101">
        <w:rPr>
          <w:rFonts w:eastAsia="Verdana"/>
          <w:lang w:val="en-US"/>
        </w:rPr>
        <w:t xml:space="preserve">need to </w:t>
      </w:r>
      <w:r w:rsidRPr="001C6BF4">
        <w:rPr>
          <w:rFonts w:eastAsia="Verdana"/>
          <w:lang w:val="en-US"/>
        </w:rPr>
        <w:t xml:space="preserve">demonstrate that the actions taken were </w:t>
      </w:r>
      <w:r w:rsidRPr="00BA6782">
        <w:rPr>
          <w:rFonts w:eastAsia="Verdana"/>
          <w:lang w:val="en-US"/>
        </w:rPr>
        <w:t>necessary</w:t>
      </w:r>
      <w:r w:rsidRPr="00BA6782">
        <w:rPr>
          <w:rFonts w:eastAsia="Verdana"/>
          <w:vertAlign w:val="superscript"/>
          <w:lang w:val="en-US"/>
        </w:rPr>
        <w:footnoteReference w:id="9"/>
      </w:r>
      <w:r w:rsidRPr="001C6BF4">
        <w:rPr>
          <w:rFonts w:eastAsia="Verdana"/>
          <w:lang w:val="en-US"/>
        </w:rPr>
        <w:t xml:space="preserve"> </w:t>
      </w:r>
      <w:r w:rsidR="00557101">
        <w:rPr>
          <w:rFonts w:eastAsia="Verdana"/>
          <w:lang w:val="en-US"/>
        </w:rPr>
        <w:t xml:space="preserve">in order to </w:t>
      </w:r>
      <w:r w:rsidRPr="001C6BF4">
        <w:rPr>
          <w:rFonts w:eastAsia="Verdana"/>
          <w:lang w:val="en-US"/>
        </w:rPr>
        <w:t xml:space="preserve">protect that purpose. </w:t>
      </w:r>
      <w:r w:rsidR="00557101">
        <w:rPr>
          <w:rFonts w:eastAsia="Verdana"/>
          <w:lang w:val="en-US"/>
        </w:rPr>
        <w:t xml:space="preserve">The author </w:t>
      </w:r>
      <w:r>
        <w:rPr>
          <w:rFonts w:eastAsia="Verdana"/>
          <w:lang w:val="en-US"/>
        </w:rPr>
        <w:t>submits that the</w:t>
      </w:r>
      <w:r w:rsidRPr="001C6BF4">
        <w:rPr>
          <w:rFonts w:eastAsia="Verdana"/>
          <w:lang w:val="en-US"/>
        </w:rPr>
        <w:t xml:space="preserve"> Committee has consistently observed that </w:t>
      </w:r>
      <w:r w:rsidRPr="00B00670">
        <w:rPr>
          <w:rFonts w:eastAsia="Verdana"/>
          <w:lang w:val="en-US"/>
        </w:rPr>
        <w:t>“the requirement of necessity implies an element of proportionality, in the sense that the scope of the restriction imposed on the freedom of expression must be proportional to the value which the restriction serves to protect</w:t>
      </w:r>
      <w:r w:rsidRPr="006A53B6">
        <w:rPr>
          <w:rFonts w:eastAsia="Verdana"/>
          <w:iCs/>
          <w:lang w:val="en-US"/>
        </w:rPr>
        <w:t>”.</w:t>
      </w:r>
      <w:r w:rsidRPr="001C6BF4">
        <w:rPr>
          <w:rFonts w:eastAsia="Verdana"/>
          <w:vertAlign w:val="superscript"/>
          <w:lang w:val="en-US"/>
        </w:rPr>
        <w:footnoteReference w:id="10"/>
      </w:r>
      <w:r w:rsidRPr="001C6BF4">
        <w:rPr>
          <w:rFonts w:eastAsia="Verdana"/>
          <w:lang w:val="en-US"/>
        </w:rPr>
        <w:t xml:space="preserve"> As the </w:t>
      </w:r>
      <w:r>
        <w:rPr>
          <w:rFonts w:eastAsia="Verdana"/>
          <w:lang w:val="en-US"/>
        </w:rPr>
        <w:t>State party had</w:t>
      </w:r>
      <w:r w:rsidRPr="001C6BF4">
        <w:rPr>
          <w:rFonts w:eastAsia="Verdana"/>
          <w:lang w:val="en-US"/>
        </w:rPr>
        <w:t xml:space="preserve"> not clearly explain</w:t>
      </w:r>
      <w:r>
        <w:rPr>
          <w:rFonts w:eastAsia="Verdana"/>
          <w:lang w:val="en-US"/>
        </w:rPr>
        <w:t>ed</w:t>
      </w:r>
      <w:r w:rsidRPr="001C6BF4">
        <w:rPr>
          <w:rFonts w:eastAsia="Verdana"/>
          <w:lang w:val="en-US"/>
        </w:rPr>
        <w:t xml:space="preserve"> through the court decisions what value it protected by </w:t>
      </w:r>
      <w:r>
        <w:rPr>
          <w:rFonts w:eastAsia="Verdana"/>
          <w:lang w:val="en-US"/>
        </w:rPr>
        <w:t>im</w:t>
      </w:r>
      <w:r w:rsidRPr="001C6BF4">
        <w:rPr>
          <w:rFonts w:eastAsia="Verdana"/>
          <w:lang w:val="en-US"/>
        </w:rPr>
        <w:t xml:space="preserve">posing restrictions </w:t>
      </w:r>
      <w:r>
        <w:rPr>
          <w:rFonts w:eastAsia="Verdana"/>
          <w:lang w:val="en-US"/>
        </w:rPr>
        <w:t>on</w:t>
      </w:r>
      <w:r w:rsidRPr="001C6BF4">
        <w:rPr>
          <w:rFonts w:eastAsia="Verdana"/>
          <w:lang w:val="en-US"/>
        </w:rPr>
        <w:t xml:space="preserve"> </w:t>
      </w:r>
      <w:r>
        <w:rPr>
          <w:rFonts w:eastAsia="Verdana"/>
          <w:lang w:val="en-US"/>
        </w:rPr>
        <w:t xml:space="preserve">the author’s </w:t>
      </w:r>
      <w:r w:rsidRPr="001C6BF4">
        <w:rPr>
          <w:rFonts w:eastAsia="Verdana"/>
          <w:lang w:val="en-US"/>
        </w:rPr>
        <w:t>free</w:t>
      </w:r>
      <w:r>
        <w:rPr>
          <w:rFonts w:eastAsia="Verdana"/>
          <w:lang w:val="en-US"/>
        </w:rPr>
        <w:t>dom of</w:t>
      </w:r>
      <w:r w:rsidRPr="001C6BF4">
        <w:rPr>
          <w:rFonts w:eastAsia="Verdana"/>
          <w:lang w:val="en-US"/>
        </w:rPr>
        <w:t xml:space="preserve"> expression</w:t>
      </w:r>
      <w:r>
        <w:rPr>
          <w:rFonts w:eastAsia="Verdana"/>
          <w:lang w:val="en-US"/>
        </w:rPr>
        <w:t xml:space="preserve">, </w:t>
      </w:r>
      <w:r w:rsidRPr="001C6BF4">
        <w:rPr>
          <w:rFonts w:eastAsia="Verdana"/>
          <w:lang w:val="en-US"/>
        </w:rPr>
        <w:t xml:space="preserve">the administrative sanctions imposed on </w:t>
      </w:r>
      <w:r>
        <w:rPr>
          <w:rFonts w:eastAsia="Verdana"/>
          <w:lang w:val="en-US"/>
        </w:rPr>
        <w:t>her</w:t>
      </w:r>
      <w:r w:rsidRPr="001C6BF4">
        <w:rPr>
          <w:rFonts w:eastAsia="Verdana"/>
          <w:lang w:val="en-US"/>
        </w:rPr>
        <w:t xml:space="preserve"> constitute a limitation on her right to freedom of expression, as protected by </w:t>
      </w:r>
      <w:r w:rsidR="00CA2992">
        <w:rPr>
          <w:rFonts w:eastAsia="Verdana"/>
          <w:lang w:val="en-US"/>
        </w:rPr>
        <w:t>article </w:t>
      </w:r>
      <w:r w:rsidRPr="001C6BF4">
        <w:rPr>
          <w:rFonts w:eastAsia="Verdana"/>
          <w:lang w:val="en-US"/>
        </w:rPr>
        <w:t>19</w:t>
      </w:r>
      <w:r>
        <w:rPr>
          <w:rFonts w:eastAsia="Verdana"/>
          <w:lang w:val="en-US"/>
        </w:rPr>
        <w:t xml:space="preserve">, </w:t>
      </w:r>
      <w:r w:rsidR="00CA2992">
        <w:rPr>
          <w:rFonts w:eastAsia="Verdana"/>
          <w:lang w:val="en-US"/>
        </w:rPr>
        <w:t>paragraph </w:t>
      </w:r>
      <w:r w:rsidRPr="001C6BF4">
        <w:rPr>
          <w:rFonts w:eastAsia="Verdana"/>
          <w:lang w:val="en-US"/>
        </w:rPr>
        <w:t>2</w:t>
      </w:r>
      <w:r w:rsidR="00557101">
        <w:rPr>
          <w:rFonts w:eastAsia="Verdana"/>
          <w:lang w:val="en-US"/>
        </w:rPr>
        <w:t xml:space="preserve">, </w:t>
      </w:r>
      <w:r w:rsidR="00557101" w:rsidRPr="007768E5">
        <w:rPr>
          <w:rFonts w:eastAsia="Verdana"/>
        </w:rPr>
        <w:t>of the Covenant</w:t>
      </w:r>
      <w:r>
        <w:rPr>
          <w:rFonts w:eastAsia="Verdana"/>
          <w:lang w:val="en-US"/>
        </w:rPr>
        <w:t>. She maintains that</w:t>
      </w:r>
      <w:r w:rsidR="00557101">
        <w:rPr>
          <w:rFonts w:eastAsia="Verdana"/>
          <w:lang w:val="en-US"/>
        </w:rPr>
        <w:t>,</w:t>
      </w:r>
      <w:r>
        <w:rPr>
          <w:rFonts w:eastAsia="Verdana"/>
          <w:lang w:val="en-US"/>
        </w:rPr>
        <w:t xml:space="preserve"> </w:t>
      </w:r>
      <w:r w:rsidR="00557101">
        <w:rPr>
          <w:rFonts w:eastAsia="Verdana"/>
          <w:lang w:val="en-US"/>
        </w:rPr>
        <w:t xml:space="preserve">since </w:t>
      </w:r>
      <w:r w:rsidRPr="001C6BF4">
        <w:rPr>
          <w:rFonts w:eastAsia="Verdana"/>
          <w:lang w:val="en-US"/>
        </w:rPr>
        <w:t>the narrow exception</w:t>
      </w:r>
      <w:r>
        <w:rPr>
          <w:rFonts w:eastAsia="Verdana"/>
          <w:lang w:val="en-US"/>
        </w:rPr>
        <w:t>s</w:t>
      </w:r>
      <w:r w:rsidRPr="001C6BF4">
        <w:rPr>
          <w:rFonts w:eastAsia="Verdana"/>
          <w:lang w:val="en-US"/>
        </w:rPr>
        <w:t xml:space="preserve"> </w:t>
      </w:r>
      <w:r w:rsidR="00557101">
        <w:rPr>
          <w:rFonts w:eastAsia="Verdana"/>
          <w:lang w:val="en-US"/>
        </w:rPr>
        <w:t xml:space="preserve">described </w:t>
      </w:r>
      <w:r w:rsidRPr="001C6BF4">
        <w:rPr>
          <w:rFonts w:eastAsia="Verdana"/>
          <w:lang w:val="en-US"/>
        </w:rPr>
        <w:t xml:space="preserve">in </w:t>
      </w:r>
      <w:r w:rsidR="00CA2992">
        <w:rPr>
          <w:rFonts w:eastAsia="Verdana"/>
          <w:lang w:val="en-US"/>
        </w:rPr>
        <w:t>article </w:t>
      </w:r>
      <w:r w:rsidRPr="001C6BF4">
        <w:rPr>
          <w:rFonts w:eastAsia="Verdana"/>
          <w:lang w:val="en-US"/>
        </w:rPr>
        <w:t>19</w:t>
      </w:r>
      <w:r>
        <w:rPr>
          <w:rFonts w:eastAsia="Verdana"/>
          <w:lang w:val="en-US"/>
        </w:rPr>
        <w:t xml:space="preserve">, </w:t>
      </w:r>
      <w:r w:rsidR="00CA2992">
        <w:rPr>
          <w:rFonts w:eastAsia="Verdana"/>
          <w:lang w:val="en-US"/>
        </w:rPr>
        <w:t>paragraph </w:t>
      </w:r>
      <w:r w:rsidRPr="001C6BF4">
        <w:rPr>
          <w:rFonts w:eastAsia="Verdana"/>
          <w:lang w:val="en-US"/>
        </w:rPr>
        <w:t>3</w:t>
      </w:r>
      <w:r w:rsidR="00557101">
        <w:rPr>
          <w:rFonts w:eastAsia="Verdana"/>
          <w:lang w:val="en-US"/>
        </w:rPr>
        <w:t>,</w:t>
      </w:r>
      <w:r w:rsidRPr="001C6BF4">
        <w:rPr>
          <w:rFonts w:eastAsia="Verdana"/>
          <w:lang w:val="en-US"/>
        </w:rPr>
        <w:t xml:space="preserve"> </w:t>
      </w:r>
      <w:r w:rsidR="00557101" w:rsidRPr="007768E5">
        <w:rPr>
          <w:rFonts w:eastAsia="Verdana"/>
        </w:rPr>
        <w:t>of the Covenant</w:t>
      </w:r>
      <w:r w:rsidR="00557101">
        <w:rPr>
          <w:rFonts w:eastAsia="Verdana"/>
        </w:rPr>
        <w:t xml:space="preserve"> </w:t>
      </w:r>
      <w:r w:rsidRPr="001C6BF4">
        <w:rPr>
          <w:rFonts w:eastAsia="Verdana"/>
          <w:lang w:val="en-US"/>
        </w:rPr>
        <w:t xml:space="preserve">do not apply </w:t>
      </w:r>
      <w:r w:rsidR="00557101">
        <w:rPr>
          <w:rFonts w:eastAsia="Verdana"/>
          <w:lang w:val="en-US"/>
        </w:rPr>
        <w:t xml:space="preserve">to </w:t>
      </w:r>
      <w:r>
        <w:rPr>
          <w:rFonts w:eastAsia="Verdana"/>
          <w:lang w:val="en-US"/>
        </w:rPr>
        <w:t xml:space="preserve">her </w:t>
      </w:r>
      <w:r w:rsidRPr="001C6BF4">
        <w:rPr>
          <w:rFonts w:eastAsia="Verdana"/>
          <w:lang w:val="en-US"/>
        </w:rPr>
        <w:t>case, th</w:t>
      </w:r>
      <w:r>
        <w:rPr>
          <w:rFonts w:eastAsia="Verdana"/>
          <w:lang w:val="en-US"/>
        </w:rPr>
        <w:t>e above limitation</w:t>
      </w:r>
      <w:r w:rsidRPr="001C6BF4">
        <w:rPr>
          <w:rFonts w:eastAsia="Verdana"/>
          <w:lang w:val="en-US"/>
        </w:rPr>
        <w:t>s</w:t>
      </w:r>
      <w:r>
        <w:rPr>
          <w:rFonts w:eastAsia="Verdana"/>
          <w:lang w:val="en-US"/>
        </w:rPr>
        <w:t xml:space="preserve"> </w:t>
      </w:r>
      <w:r w:rsidRPr="001C6BF4">
        <w:rPr>
          <w:rFonts w:eastAsia="Verdana"/>
          <w:lang w:val="en-US"/>
        </w:rPr>
        <w:t>violate the Covenant.</w:t>
      </w:r>
      <w:r w:rsidR="002D7AAD">
        <w:rPr>
          <w:rFonts w:eastAsia="Verdana"/>
          <w:lang w:val="en-US"/>
        </w:rPr>
        <w:t xml:space="preserve"> </w:t>
      </w:r>
    </w:p>
    <w:p w:rsidR="00C915CB" w:rsidRDefault="00C915CB" w:rsidP="00251F20">
      <w:pPr>
        <w:pStyle w:val="SingleTxtG"/>
        <w:rPr>
          <w:rFonts w:eastAsia="Verdana"/>
          <w:lang w:val="en-US"/>
        </w:rPr>
      </w:pPr>
      <w:r>
        <w:rPr>
          <w:rFonts w:eastAsia="Verdana"/>
          <w:lang w:val="en-US"/>
        </w:rPr>
        <w:t>3.5</w:t>
      </w:r>
      <w:r>
        <w:rPr>
          <w:rFonts w:eastAsia="Verdana"/>
          <w:lang w:val="en-US"/>
        </w:rPr>
        <w:tab/>
        <w:t xml:space="preserve"> The author submits that</w:t>
      </w:r>
      <w:r w:rsidR="001B5F00">
        <w:rPr>
          <w:rFonts w:eastAsia="Verdana"/>
          <w:lang w:val="en-US"/>
        </w:rPr>
        <w:t>,</w:t>
      </w:r>
      <w:r>
        <w:rPr>
          <w:rFonts w:eastAsia="Verdana"/>
          <w:lang w:val="en-US"/>
        </w:rPr>
        <w:t xml:space="preserve"> in her</w:t>
      </w:r>
      <w:r w:rsidRPr="001C6BF4">
        <w:rPr>
          <w:rFonts w:eastAsia="Verdana"/>
          <w:lang w:val="en-US"/>
        </w:rPr>
        <w:t xml:space="preserve"> case</w:t>
      </w:r>
      <w:r w:rsidR="001B5F00">
        <w:rPr>
          <w:rFonts w:eastAsia="Verdana"/>
          <w:lang w:val="en-US"/>
        </w:rPr>
        <w:t>,</w:t>
      </w:r>
      <w:r w:rsidRPr="001C6BF4">
        <w:rPr>
          <w:rFonts w:eastAsia="Verdana"/>
          <w:lang w:val="en-US"/>
        </w:rPr>
        <w:t xml:space="preserve"> </w:t>
      </w:r>
      <w:r>
        <w:rPr>
          <w:rFonts w:eastAsia="Verdana"/>
          <w:lang w:val="en-US"/>
        </w:rPr>
        <w:t xml:space="preserve">the </w:t>
      </w:r>
      <w:r w:rsidRPr="001C6BF4">
        <w:rPr>
          <w:rFonts w:eastAsia="Verdana"/>
          <w:lang w:val="en-US"/>
        </w:rPr>
        <w:t xml:space="preserve">conviction and administrative sanctions </w:t>
      </w:r>
      <w:r>
        <w:rPr>
          <w:rFonts w:eastAsia="Verdana"/>
          <w:lang w:val="en-US"/>
        </w:rPr>
        <w:t>imposed we</w:t>
      </w:r>
      <w:r w:rsidRPr="001C6BF4">
        <w:rPr>
          <w:rFonts w:eastAsia="Verdana"/>
          <w:lang w:val="en-US"/>
        </w:rPr>
        <w:t xml:space="preserve">re the consequences of her holding </w:t>
      </w:r>
      <w:r>
        <w:rPr>
          <w:rFonts w:eastAsia="Verdana"/>
          <w:lang w:val="en-US"/>
        </w:rPr>
        <w:t xml:space="preserve">a </w:t>
      </w:r>
      <w:r w:rsidRPr="001C6BF4">
        <w:rPr>
          <w:rFonts w:eastAsia="Verdana"/>
          <w:lang w:val="en-US"/>
        </w:rPr>
        <w:t xml:space="preserve">public assembly </w:t>
      </w:r>
      <w:r w:rsidR="001B5F00">
        <w:rPr>
          <w:rFonts w:eastAsia="Verdana"/>
          <w:lang w:val="en-US"/>
        </w:rPr>
        <w:t xml:space="preserve">that had </w:t>
      </w:r>
      <w:r w:rsidRPr="001C6BF4">
        <w:rPr>
          <w:rFonts w:eastAsia="Verdana"/>
          <w:lang w:val="en-US"/>
        </w:rPr>
        <w:t xml:space="preserve">not </w:t>
      </w:r>
      <w:r w:rsidR="001B5F00">
        <w:rPr>
          <w:rFonts w:eastAsia="Verdana"/>
          <w:lang w:val="en-US"/>
        </w:rPr>
        <w:t xml:space="preserve">been </w:t>
      </w:r>
      <w:r w:rsidRPr="001C6BF4">
        <w:rPr>
          <w:rFonts w:eastAsia="Verdana"/>
          <w:lang w:val="en-US"/>
        </w:rPr>
        <w:t xml:space="preserve">permitted by the local authorities. </w:t>
      </w:r>
      <w:r>
        <w:rPr>
          <w:rFonts w:eastAsia="Verdana"/>
          <w:lang w:val="en-US"/>
        </w:rPr>
        <w:t>She maintains that</w:t>
      </w:r>
      <w:r w:rsidR="001B5F00">
        <w:rPr>
          <w:rFonts w:eastAsia="Verdana"/>
          <w:lang w:val="en-US"/>
        </w:rPr>
        <w:t>,</w:t>
      </w:r>
      <w:r>
        <w:rPr>
          <w:rFonts w:eastAsia="Verdana"/>
          <w:lang w:val="en-US"/>
        </w:rPr>
        <w:t xml:space="preserve"> u</w:t>
      </w:r>
      <w:r w:rsidRPr="001C6BF4">
        <w:rPr>
          <w:rFonts w:eastAsia="Verdana"/>
          <w:lang w:val="en-US"/>
        </w:rPr>
        <w:t>nder such circumstances</w:t>
      </w:r>
      <w:r w:rsidR="001B5F00">
        <w:rPr>
          <w:rFonts w:eastAsia="Verdana"/>
          <w:lang w:val="en-US"/>
        </w:rPr>
        <w:t>,</w:t>
      </w:r>
      <w:r w:rsidRPr="001C6BF4">
        <w:rPr>
          <w:rFonts w:eastAsia="Verdana"/>
          <w:lang w:val="en-US"/>
        </w:rPr>
        <w:t xml:space="preserve"> her </w:t>
      </w:r>
      <w:r w:rsidRPr="001C6BF4">
        <w:rPr>
          <w:rFonts w:eastAsia="Verdana"/>
          <w:lang w:val="en-US"/>
        </w:rPr>
        <w:lastRenderedPageBreak/>
        <w:t xml:space="preserve">conviction and the threat that any </w:t>
      </w:r>
      <w:r>
        <w:rPr>
          <w:rFonts w:eastAsia="Verdana"/>
          <w:lang w:val="en-US"/>
        </w:rPr>
        <w:t xml:space="preserve">future </w:t>
      </w:r>
      <w:r w:rsidRPr="001C6BF4">
        <w:rPr>
          <w:rFonts w:eastAsia="Verdana"/>
          <w:lang w:val="en-US"/>
        </w:rPr>
        <w:t>assembly may be punished by similar sanctions</w:t>
      </w:r>
      <w:r w:rsidR="001B5F00">
        <w:rPr>
          <w:rFonts w:eastAsia="Verdana"/>
          <w:lang w:val="en-US"/>
        </w:rPr>
        <w:t>,</w:t>
      </w:r>
      <w:r w:rsidRPr="001C6BF4">
        <w:rPr>
          <w:rFonts w:eastAsia="Verdana"/>
          <w:lang w:val="en-US"/>
        </w:rPr>
        <w:t xml:space="preserve"> constitute restrictions on her freedom </w:t>
      </w:r>
      <w:r>
        <w:rPr>
          <w:rFonts w:eastAsia="Verdana"/>
          <w:lang w:val="en-US"/>
        </w:rPr>
        <w:t xml:space="preserve">of </w:t>
      </w:r>
      <w:r w:rsidRPr="001C6BF4">
        <w:rPr>
          <w:rFonts w:eastAsia="Verdana"/>
          <w:lang w:val="en-US"/>
        </w:rPr>
        <w:t xml:space="preserve">assembly. </w:t>
      </w:r>
      <w:r>
        <w:rPr>
          <w:rFonts w:eastAsia="Verdana"/>
          <w:lang w:val="en-US"/>
        </w:rPr>
        <w:t>She submits that the above restrictions a</w:t>
      </w:r>
      <w:r w:rsidRPr="001C6BF4">
        <w:rPr>
          <w:rFonts w:eastAsia="Verdana"/>
          <w:lang w:val="en-US"/>
        </w:rPr>
        <w:t xml:space="preserve">re not compatible with </w:t>
      </w:r>
      <w:r w:rsidR="00CA2992">
        <w:rPr>
          <w:rFonts w:eastAsia="Verdana"/>
          <w:lang w:val="en-US"/>
        </w:rPr>
        <w:t>article </w:t>
      </w:r>
      <w:r w:rsidRPr="001C6BF4">
        <w:rPr>
          <w:rFonts w:eastAsia="Verdana"/>
          <w:lang w:val="en-US"/>
        </w:rPr>
        <w:t xml:space="preserve">21 of the Covenant. </w:t>
      </w:r>
    </w:p>
    <w:p w:rsidR="00C915CB" w:rsidRPr="001C6BF4" w:rsidRDefault="00C915CB" w:rsidP="00251F20">
      <w:pPr>
        <w:pStyle w:val="SingleTxtG"/>
        <w:rPr>
          <w:rFonts w:eastAsia="Verdana"/>
          <w:lang w:val="en-US"/>
        </w:rPr>
      </w:pPr>
      <w:r>
        <w:rPr>
          <w:rFonts w:eastAsia="Verdana"/>
          <w:lang w:val="en-US"/>
        </w:rPr>
        <w:t>3.6</w:t>
      </w:r>
      <w:r>
        <w:rPr>
          <w:rFonts w:eastAsia="Verdana"/>
          <w:lang w:val="en-US"/>
        </w:rPr>
        <w:tab/>
        <w:t>The author notes that</w:t>
      </w:r>
      <w:r w:rsidR="001B5F00">
        <w:rPr>
          <w:rFonts w:eastAsia="Verdana"/>
          <w:lang w:val="en-US"/>
        </w:rPr>
        <w:t>,</w:t>
      </w:r>
      <w:r>
        <w:rPr>
          <w:rFonts w:eastAsia="Verdana"/>
          <w:lang w:val="en-US"/>
        </w:rPr>
        <w:t xml:space="preserve"> according to the Committee’s jurisprudence, </w:t>
      </w:r>
      <w:r w:rsidRPr="001C6BF4">
        <w:rPr>
          <w:rFonts w:eastAsia="Verdana"/>
          <w:lang w:val="en-US"/>
        </w:rPr>
        <w:t xml:space="preserve">any restrictions </w:t>
      </w:r>
      <w:r w:rsidR="001210D6">
        <w:rPr>
          <w:rFonts w:eastAsia="Verdana"/>
          <w:lang w:val="en-US"/>
        </w:rPr>
        <w:t xml:space="preserve">of </w:t>
      </w:r>
      <w:r w:rsidRPr="001C6BF4">
        <w:rPr>
          <w:rFonts w:eastAsia="Verdana"/>
          <w:lang w:val="en-US"/>
        </w:rPr>
        <w:t xml:space="preserve">the right to </w:t>
      </w:r>
      <w:r w:rsidR="004C2B0B">
        <w:rPr>
          <w:rFonts w:eastAsia="Verdana"/>
          <w:lang w:val="en-US"/>
        </w:rPr>
        <w:t xml:space="preserve">freedom of </w:t>
      </w:r>
      <w:r w:rsidR="004C2B0B" w:rsidRPr="001C6BF4">
        <w:rPr>
          <w:rFonts w:eastAsia="Verdana"/>
          <w:lang w:val="en-US"/>
        </w:rPr>
        <w:t>assembl</w:t>
      </w:r>
      <w:r w:rsidR="004C2B0B">
        <w:rPr>
          <w:rFonts w:eastAsia="Verdana"/>
          <w:lang w:val="en-US"/>
        </w:rPr>
        <w:t>y</w:t>
      </w:r>
      <w:r w:rsidR="004C2B0B" w:rsidRPr="001C6BF4">
        <w:rPr>
          <w:rFonts w:eastAsia="Verdana"/>
          <w:lang w:val="en-US"/>
        </w:rPr>
        <w:t xml:space="preserve"> </w:t>
      </w:r>
      <w:r w:rsidRPr="001C6BF4">
        <w:rPr>
          <w:rFonts w:eastAsia="Verdana"/>
          <w:lang w:val="en-US"/>
        </w:rPr>
        <w:t xml:space="preserve">must fall within the </w:t>
      </w:r>
      <w:r>
        <w:rPr>
          <w:rFonts w:eastAsia="Verdana"/>
          <w:lang w:val="en-US"/>
        </w:rPr>
        <w:t xml:space="preserve">permissible </w:t>
      </w:r>
      <w:r w:rsidRPr="001C6BF4">
        <w:rPr>
          <w:rFonts w:eastAsia="Verdana"/>
          <w:lang w:val="en-US"/>
        </w:rPr>
        <w:t xml:space="preserve">limitations of </w:t>
      </w:r>
      <w:r w:rsidR="00CA2992">
        <w:rPr>
          <w:rFonts w:eastAsia="Verdana"/>
          <w:lang w:val="en-US"/>
        </w:rPr>
        <w:t>article </w:t>
      </w:r>
      <w:r w:rsidRPr="001C6BF4">
        <w:rPr>
          <w:rFonts w:eastAsia="Verdana"/>
          <w:lang w:val="en-US"/>
        </w:rPr>
        <w:t>21</w:t>
      </w:r>
      <w:r w:rsidR="004C2B0B">
        <w:rPr>
          <w:rFonts w:eastAsia="Verdana"/>
          <w:lang w:val="en-US"/>
        </w:rPr>
        <w:t xml:space="preserve"> </w:t>
      </w:r>
      <w:r w:rsidR="004C2B0B" w:rsidRPr="001C6BF4">
        <w:rPr>
          <w:rFonts w:eastAsia="Verdana"/>
          <w:lang w:val="en-US"/>
        </w:rPr>
        <w:t>of the Covenant</w:t>
      </w:r>
      <w:r>
        <w:rPr>
          <w:rFonts w:eastAsia="Verdana"/>
          <w:lang w:val="en-US"/>
        </w:rPr>
        <w:t>.</w:t>
      </w:r>
      <w:r>
        <w:rPr>
          <w:rStyle w:val="FootnoteReference"/>
          <w:rFonts w:eastAsia="Verdana"/>
          <w:lang w:val="en-US"/>
        </w:rPr>
        <w:footnoteReference w:id="11"/>
      </w:r>
      <w:r>
        <w:rPr>
          <w:rFonts w:eastAsia="Verdana"/>
          <w:lang w:val="en-US"/>
        </w:rPr>
        <w:t xml:space="preserve"> </w:t>
      </w:r>
      <w:r w:rsidR="001210D6">
        <w:rPr>
          <w:rFonts w:eastAsia="Verdana"/>
          <w:lang w:val="en-US"/>
        </w:rPr>
        <w:t xml:space="preserve">The author </w:t>
      </w:r>
      <w:r>
        <w:rPr>
          <w:rFonts w:eastAsia="Verdana"/>
          <w:lang w:val="en-US"/>
        </w:rPr>
        <w:t>submits that requiring a prior authorization by the local authorities for the conduct of any public event constitutes such a restriction</w:t>
      </w:r>
      <w:r w:rsidRPr="001C6BF4">
        <w:rPr>
          <w:rFonts w:eastAsia="Verdana"/>
          <w:lang w:val="en-US"/>
        </w:rPr>
        <w:t>.</w:t>
      </w:r>
      <w:r>
        <w:rPr>
          <w:rFonts w:eastAsia="Verdana"/>
          <w:lang w:val="en-US"/>
        </w:rPr>
        <w:t xml:space="preserve"> </w:t>
      </w:r>
      <w:r w:rsidR="001210D6">
        <w:rPr>
          <w:rFonts w:eastAsia="Verdana"/>
          <w:lang w:val="en-US"/>
        </w:rPr>
        <w:t xml:space="preserve">The author also </w:t>
      </w:r>
      <w:r>
        <w:rPr>
          <w:rFonts w:eastAsia="Verdana"/>
          <w:lang w:val="en-US"/>
        </w:rPr>
        <w:t>submits that</w:t>
      </w:r>
      <w:r w:rsidR="00B46A7C">
        <w:rPr>
          <w:rFonts w:eastAsia="Verdana"/>
          <w:lang w:val="en-US"/>
        </w:rPr>
        <w:t>,</w:t>
      </w:r>
      <w:r>
        <w:rPr>
          <w:rFonts w:eastAsia="Verdana"/>
          <w:lang w:val="en-US"/>
        </w:rPr>
        <w:t xml:space="preserve"> </w:t>
      </w:r>
      <w:r w:rsidR="00B46A7C">
        <w:rPr>
          <w:rFonts w:eastAsia="Verdana"/>
          <w:lang w:val="en-US"/>
        </w:rPr>
        <w:t xml:space="preserve">under </w:t>
      </w:r>
      <w:r>
        <w:rPr>
          <w:rFonts w:eastAsia="Verdana"/>
          <w:lang w:val="en-US"/>
        </w:rPr>
        <w:t xml:space="preserve">the </w:t>
      </w:r>
      <w:r w:rsidRPr="007768E5">
        <w:rPr>
          <w:rFonts w:eastAsia="Verdana"/>
        </w:rPr>
        <w:t xml:space="preserve">Law </w:t>
      </w:r>
      <w:r w:rsidR="009134E1">
        <w:rPr>
          <w:rFonts w:eastAsia="Verdana"/>
        </w:rPr>
        <w:t>o</w:t>
      </w:r>
      <w:r w:rsidRPr="007768E5">
        <w:rPr>
          <w:rFonts w:eastAsia="Verdana"/>
        </w:rPr>
        <w:t xml:space="preserve">n the </w:t>
      </w:r>
      <w:r>
        <w:rPr>
          <w:rFonts w:eastAsia="Verdana"/>
        </w:rPr>
        <w:t>O</w:t>
      </w:r>
      <w:r w:rsidRPr="007768E5">
        <w:rPr>
          <w:rFonts w:eastAsia="Verdana"/>
        </w:rPr>
        <w:t xml:space="preserve">rder of </w:t>
      </w:r>
      <w:r>
        <w:rPr>
          <w:rFonts w:eastAsia="Verdana"/>
        </w:rPr>
        <w:t>O</w:t>
      </w:r>
      <w:r w:rsidRPr="007768E5">
        <w:rPr>
          <w:rFonts w:eastAsia="Verdana"/>
        </w:rPr>
        <w:t xml:space="preserve">rganization and </w:t>
      </w:r>
      <w:r>
        <w:rPr>
          <w:rFonts w:eastAsia="Verdana"/>
        </w:rPr>
        <w:t>C</w:t>
      </w:r>
      <w:r w:rsidRPr="007768E5">
        <w:rPr>
          <w:rFonts w:eastAsia="Verdana"/>
        </w:rPr>
        <w:t xml:space="preserve">onduct of </w:t>
      </w:r>
      <w:r>
        <w:rPr>
          <w:rFonts w:eastAsia="Verdana"/>
        </w:rPr>
        <w:t>P</w:t>
      </w:r>
      <w:r w:rsidRPr="007768E5">
        <w:rPr>
          <w:rFonts w:eastAsia="Verdana"/>
        </w:rPr>
        <w:t xml:space="preserve">eaceful </w:t>
      </w:r>
      <w:r>
        <w:rPr>
          <w:rFonts w:eastAsia="Verdana"/>
        </w:rPr>
        <w:t>A</w:t>
      </w:r>
      <w:r w:rsidRPr="007768E5">
        <w:rPr>
          <w:rFonts w:eastAsia="Verdana"/>
        </w:rPr>
        <w:t xml:space="preserve">ssemblies, </w:t>
      </w:r>
      <w:r>
        <w:rPr>
          <w:rFonts w:eastAsia="Verdana"/>
        </w:rPr>
        <w:t>M</w:t>
      </w:r>
      <w:r w:rsidRPr="007768E5">
        <w:rPr>
          <w:rFonts w:eastAsia="Verdana"/>
        </w:rPr>
        <w:t xml:space="preserve">eetings, </w:t>
      </w:r>
      <w:r>
        <w:rPr>
          <w:rFonts w:eastAsia="Verdana"/>
        </w:rPr>
        <w:t>P</w:t>
      </w:r>
      <w:r w:rsidRPr="007768E5">
        <w:rPr>
          <w:rFonts w:eastAsia="Verdana"/>
        </w:rPr>
        <w:t xml:space="preserve">rocessions, </w:t>
      </w:r>
      <w:r>
        <w:rPr>
          <w:rFonts w:eastAsia="Verdana"/>
        </w:rPr>
        <w:t>P</w:t>
      </w:r>
      <w:r w:rsidRPr="007768E5">
        <w:rPr>
          <w:rFonts w:eastAsia="Verdana"/>
        </w:rPr>
        <w:t xml:space="preserve">ickets and </w:t>
      </w:r>
      <w:r>
        <w:rPr>
          <w:rFonts w:eastAsia="Verdana"/>
        </w:rPr>
        <w:t>D</w:t>
      </w:r>
      <w:r w:rsidRPr="007768E5">
        <w:rPr>
          <w:rFonts w:eastAsia="Verdana"/>
        </w:rPr>
        <w:t>emonstrations in the Republic of Kazakhstan</w:t>
      </w:r>
      <w:r w:rsidR="009134E1">
        <w:rPr>
          <w:rFonts w:eastAsia="Verdana"/>
        </w:rPr>
        <w:t>,</w:t>
      </w:r>
      <w:r>
        <w:rPr>
          <w:rFonts w:eastAsia="Verdana"/>
        </w:rPr>
        <w:t xml:space="preserve"> </w:t>
      </w:r>
      <w:r w:rsidR="00850F45">
        <w:rPr>
          <w:rFonts w:eastAsia="Verdana"/>
          <w:lang w:val="en-US"/>
        </w:rPr>
        <w:t xml:space="preserve">in order to hold </w:t>
      </w:r>
      <w:r w:rsidR="00850F45" w:rsidRPr="001C6BF4">
        <w:rPr>
          <w:rFonts w:eastAsia="Verdana"/>
          <w:lang w:val="en-US"/>
        </w:rPr>
        <w:t>any open</w:t>
      </w:r>
      <w:r w:rsidR="00850F45">
        <w:rPr>
          <w:rFonts w:eastAsia="Verdana"/>
          <w:lang w:val="en-US"/>
        </w:rPr>
        <w:t>-</w:t>
      </w:r>
      <w:r w:rsidR="00850F45" w:rsidRPr="001C6BF4">
        <w:rPr>
          <w:rFonts w:eastAsia="Verdana"/>
          <w:lang w:val="en-US"/>
        </w:rPr>
        <w:t>air</w:t>
      </w:r>
      <w:r w:rsidR="00850F45">
        <w:rPr>
          <w:rFonts w:eastAsia="Verdana"/>
          <w:lang w:val="en-US"/>
        </w:rPr>
        <w:t xml:space="preserve"> </w:t>
      </w:r>
      <w:r w:rsidR="00850F45" w:rsidRPr="001C6BF4">
        <w:rPr>
          <w:rFonts w:eastAsia="Verdana"/>
          <w:lang w:val="en-US"/>
        </w:rPr>
        <w:t>public meeting</w:t>
      </w:r>
      <w:r w:rsidR="00850F45">
        <w:rPr>
          <w:rFonts w:eastAsia="Verdana"/>
          <w:lang w:val="en-US"/>
        </w:rPr>
        <w:t xml:space="preserve">, an </w:t>
      </w:r>
      <w:r w:rsidR="00850F45" w:rsidRPr="001C6BF4">
        <w:rPr>
          <w:rFonts w:eastAsia="Verdana"/>
          <w:lang w:val="en-US"/>
        </w:rPr>
        <w:t xml:space="preserve">application </w:t>
      </w:r>
      <w:r w:rsidR="00850F45">
        <w:rPr>
          <w:rFonts w:eastAsia="Verdana"/>
          <w:lang w:val="en-US"/>
        </w:rPr>
        <w:t xml:space="preserve">must be sent </w:t>
      </w:r>
      <w:r w:rsidR="00850F45" w:rsidRPr="001C6BF4">
        <w:rPr>
          <w:rFonts w:eastAsia="Verdana"/>
          <w:lang w:val="en-US"/>
        </w:rPr>
        <w:t xml:space="preserve">to </w:t>
      </w:r>
      <w:r w:rsidR="00850F45">
        <w:rPr>
          <w:rFonts w:eastAsia="Verdana"/>
          <w:lang w:val="en-US"/>
        </w:rPr>
        <w:t xml:space="preserve">the </w:t>
      </w:r>
      <w:r w:rsidR="00850F45" w:rsidRPr="001C6BF4">
        <w:rPr>
          <w:rFonts w:eastAsia="Verdana"/>
          <w:lang w:val="en-US"/>
        </w:rPr>
        <w:t xml:space="preserve">local authorities (Akimat) at least </w:t>
      </w:r>
      <w:r w:rsidR="009134E1">
        <w:rPr>
          <w:rFonts w:eastAsia="Verdana"/>
          <w:lang w:val="en-US"/>
        </w:rPr>
        <w:t>10</w:t>
      </w:r>
      <w:r w:rsidR="00850F45" w:rsidRPr="001C6BF4">
        <w:rPr>
          <w:rFonts w:eastAsia="Verdana"/>
          <w:lang w:val="en-US"/>
        </w:rPr>
        <w:t xml:space="preserve"> days </w:t>
      </w:r>
      <w:r w:rsidR="00850F45">
        <w:rPr>
          <w:rFonts w:eastAsia="Verdana"/>
          <w:lang w:val="en-US"/>
        </w:rPr>
        <w:t xml:space="preserve">prior, and an authorization granted </w:t>
      </w:r>
      <w:r w:rsidR="00850F45" w:rsidRPr="001C6BF4">
        <w:rPr>
          <w:rFonts w:eastAsia="Verdana"/>
          <w:lang w:val="en-US"/>
        </w:rPr>
        <w:t xml:space="preserve">at least </w:t>
      </w:r>
      <w:r w:rsidR="00850F45">
        <w:rPr>
          <w:rFonts w:eastAsia="Verdana"/>
          <w:lang w:val="en-US"/>
        </w:rPr>
        <w:t>five</w:t>
      </w:r>
      <w:r w:rsidR="00850F45" w:rsidRPr="001C6BF4">
        <w:rPr>
          <w:rFonts w:eastAsia="Verdana"/>
          <w:lang w:val="en-US"/>
        </w:rPr>
        <w:t xml:space="preserve"> days </w:t>
      </w:r>
      <w:r w:rsidR="00850F45">
        <w:rPr>
          <w:rFonts w:eastAsia="Verdana"/>
          <w:lang w:val="en-US"/>
        </w:rPr>
        <w:t xml:space="preserve">prior. </w:t>
      </w:r>
      <w:r>
        <w:rPr>
          <w:rFonts w:eastAsia="Verdana"/>
          <w:lang w:val="en-US"/>
        </w:rPr>
        <w:t xml:space="preserve">She further submits that the court decisions did not provide any justification as to </w:t>
      </w:r>
      <w:r w:rsidR="00850F45">
        <w:rPr>
          <w:rFonts w:eastAsia="Verdana"/>
          <w:lang w:val="en-US"/>
        </w:rPr>
        <w:t xml:space="preserve">which </w:t>
      </w:r>
      <w:r>
        <w:rPr>
          <w:rFonts w:eastAsia="Verdana"/>
          <w:lang w:val="en-US"/>
        </w:rPr>
        <w:t>value</w:t>
      </w:r>
      <w:r w:rsidR="00850F45">
        <w:rPr>
          <w:rFonts w:eastAsia="Verdana"/>
          <w:lang w:val="en-US"/>
        </w:rPr>
        <w:t>s</w:t>
      </w:r>
      <w:r>
        <w:rPr>
          <w:rFonts w:eastAsia="Verdana"/>
          <w:lang w:val="en-US"/>
        </w:rPr>
        <w:t xml:space="preserve"> </w:t>
      </w:r>
      <w:r w:rsidR="00850F45">
        <w:rPr>
          <w:rFonts w:eastAsia="Verdana"/>
          <w:lang w:val="en-US"/>
        </w:rPr>
        <w:t xml:space="preserve">were being </w:t>
      </w:r>
      <w:r>
        <w:rPr>
          <w:rFonts w:eastAsia="Verdana"/>
          <w:lang w:val="en-US"/>
        </w:rPr>
        <w:t xml:space="preserve">protected by </w:t>
      </w:r>
      <w:r w:rsidR="00850F45">
        <w:rPr>
          <w:rFonts w:eastAsia="Verdana"/>
          <w:lang w:val="en-US"/>
        </w:rPr>
        <w:t xml:space="preserve">the imposition of </w:t>
      </w:r>
      <w:r w:rsidRPr="001C6BF4">
        <w:rPr>
          <w:rFonts w:eastAsia="Verdana"/>
          <w:lang w:val="en-US"/>
        </w:rPr>
        <w:t xml:space="preserve">restrictions </w:t>
      </w:r>
      <w:r>
        <w:rPr>
          <w:rFonts w:eastAsia="Verdana"/>
          <w:lang w:val="en-US"/>
        </w:rPr>
        <w:t xml:space="preserve">on her freedom of </w:t>
      </w:r>
      <w:r w:rsidRPr="001C6BF4">
        <w:rPr>
          <w:rFonts w:eastAsia="Verdana"/>
          <w:lang w:val="en-US"/>
        </w:rPr>
        <w:t>assembly</w:t>
      </w:r>
      <w:r>
        <w:rPr>
          <w:rFonts w:eastAsia="Verdana"/>
          <w:lang w:val="en-US"/>
        </w:rPr>
        <w:t>, and</w:t>
      </w:r>
      <w:r w:rsidR="00850F45">
        <w:rPr>
          <w:rFonts w:eastAsia="Verdana"/>
          <w:lang w:val="en-US"/>
        </w:rPr>
        <w:t>,</w:t>
      </w:r>
      <w:r>
        <w:rPr>
          <w:rFonts w:eastAsia="Verdana"/>
          <w:lang w:val="en-US"/>
        </w:rPr>
        <w:t xml:space="preserve"> accordingly</w:t>
      </w:r>
      <w:r w:rsidRPr="001C6BF4">
        <w:rPr>
          <w:rFonts w:eastAsia="Verdana"/>
          <w:lang w:val="en-US"/>
        </w:rPr>
        <w:t xml:space="preserve">, </w:t>
      </w:r>
      <w:r w:rsidR="00850F45">
        <w:rPr>
          <w:rFonts w:eastAsia="Verdana"/>
          <w:lang w:val="en-US"/>
        </w:rPr>
        <w:t xml:space="preserve">that </w:t>
      </w:r>
      <w:r w:rsidRPr="001C6BF4">
        <w:rPr>
          <w:rFonts w:eastAsia="Verdana"/>
          <w:lang w:val="en-US"/>
        </w:rPr>
        <w:t xml:space="preserve">the administrative sanctions imposed on </w:t>
      </w:r>
      <w:r>
        <w:rPr>
          <w:rFonts w:eastAsia="Verdana"/>
          <w:lang w:val="en-US"/>
        </w:rPr>
        <w:t>her</w:t>
      </w:r>
      <w:r w:rsidRPr="001C6BF4">
        <w:rPr>
          <w:rFonts w:eastAsia="Verdana"/>
          <w:lang w:val="en-US"/>
        </w:rPr>
        <w:t xml:space="preserve"> constitute</w:t>
      </w:r>
      <w:r>
        <w:rPr>
          <w:rFonts w:eastAsia="Verdana"/>
          <w:lang w:val="en-US"/>
        </w:rPr>
        <w:t>d</w:t>
      </w:r>
      <w:r w:rsidRPr="001C6BF4">
        <w:rPr>
          <w:rFonts w:eastAsia="Verdana"/>
          <w:lang w:val="en-US"/>
        </w:rPr>
        <w:t xml:space="preserve"> a limitation o</w:t>
      </w:r>
      <w:r>
        <w:rPr>
          <w:rFonts w:eastAsia="Verdana"/>
          <w:lang w:val="en-US"/>
        </w:rPr>
        <w:t>f h</w:t>
      </w:r>
      <w:r w:rsidRPr="001C6BF4">
        <w:rPr>
          <w:rFonts w:eastAsia="Verdana"/>
          <w:lang w:val="en-US"/>
        </w:rPr>
        <w:t xml:space="preserve">er right to freedom of assembly, as protected by </w:t>
      </w:r>
      <w:r w:rsidR="00CA2992">
        <w:rPr>
          <w:rFonts w:eastAsia="Verdana"/>
          <w:lang w:val="en-US"/>
        </w:rPr>
        <w:t>article </w:t>
      </w:r>
      <w:r w:rsidRPr="001C6BF4">
        <w:rPr>
          <w:rFonts w:eastAsia="Verdana"/>
          <w:lang w:val="en-US"/>
        </w:rPr>
        <w:t xml:space="preserve">21 of the Covenant. </w:t>
      </w:r>
    </w:p>
    <w:p w:rsidR="00C915CB" w:rsidRPr="00AF590D" w:rsidRDefault="009F6716" w:rsidP="00251F20">
      <w:pPr>
        <w:pStyle w:val="H23G"/>
      </w:pPr>
      <w:r>
        <w:tab/>
      </w:r>
      <w:r>
        <w:tab/>
      </w:r>
      <w:r w:rsidR="00C915CB" w:rsidRPr="00AF590D">
        <w:t>State party’</w:t>
      </w:r>
      <w:r w:rsidR="00C915CB">
        <w:t xml:space="preserve">s observations on </w:t>
      </w:r>
      <w:r w:rsidR="00D111F2">
        <w:t xml:space="preserve">the </w:t>
      </w:r>
      <w:r w:rsidR="00C915CB">
        <w:t>merits</w:t>
      </w:r>
    </w:p>
    <w:p w:rsidR="00C915CB" w:rsidRDefault="00C915CB" w:rsidP="00D111F2">
      <w:pPr>
        <w:pStyle w:val="SingleTxtG"/>
      </w:pPr>
      <w:r w:rsidRPr="00AF590D">
        <w:t>4.1</w:t>
      </w:r>
      <w:r w:rsidRPr="00AF590D">
        <w:tab/>
        <w:t xml:space="preserve"> </w:t>
      </w:r>
      <w:r>
        <w:t xml:space="preserve">On 31 May 2012, the State party submits that the author had been convicted and sentenced </w:t>
      </w:r>
      <w:r w:rsidR="00D111F2">
        <w:t xml:space="preserve">on 16 March 2010 </w:t>
      </w:r>
      <w:r>
        <w:t>to a fine of 56</w:t>
      </w:r>
      <w:r w:rsidR="00D111F2">
        <w:t>,</w:t>
      </w:r>
      <w:r>
        <w:t xml:space="preserve">520 </w:t>
      </w:r>
      <w:r w:rsidR="00D111F2">
        <w:t>t</w:t>
      </w:r>
      <w:r>
        <w:t xml:space="preserve">enge for an administrative offence under </w:t>
      </w:r>
      <w:r w:rsidR="00CA2992">
        <w:t>article </w:t>
      </w:r>
      <w:r>
        <w:t xml:space="preserve">373, </w:t>
      </w:r>
      <w:r w:rsidR="00CA2992">
        <w:t>paragraph </w:t>
      </w:r>
      <w:r>
        <w:t>3</w:t>
      </w:r>
      <w:r w:rsidR="00D111F2">
        <w:t>,</w:t>
      </w:r>
      <w:r>
        <w:t xml:space="preserve"> of the Code of Administrative Violations of the Republic of Kazakhstan by the Speciali</w:t>
      </w:r>
      <w:r w:rsidR="00D111F2">
        <w:t>z</w:t>
      </w:r>
      <w:r>
        <w:t>ed Intradistrict Administrative Court of Almaty</w:t>
      </w:r>
      <w:r w:rsidR="00D111F2">
        <w:t>,</w:t>
      </w:r>
      <w:r>
        <w:t xml:space="preserve"> and that the above ruling </w:t>
      </w:r>
      <w:r w:rsidR="00D111F2">
        <w:t xml:space="preserve">had been </w:t>
      </w:r>
      <w:r>
        <w:t xml:space="preserve">confirmed on appeal </w:t>
      </w:r>
      <w:r w:rsidR="00D111F2">
        <w:t xml:space="preserve">on 6 April 2010 </w:t>
      </w:r>
      <w:r>
        <w:t>by the Almaty City Court. The State party briefly restates the content of the court judgements.</w:t>
      </w:r>
    </w:p>
    <w:p w:rsidR="00C915CB" w:rsidRDefault="00C915CB" w:rsidP="008B60B0">
      <w:pPr>
        <w:pStyle w:val="SingleTxtG"/>
        <w:rPr>
          <w:rFonts w:eastAsia="Verdana"/>
        </w:rPr>
      </w:pPr>
      <w:r>
        <w:t>4.2</w:t>
      </w:r>
      <w:r>
        <w:tab/>
        <w:t xml:space="preserve">The State party recalls the provisions of articles 19, </w:t>
      </w:r>
      <w:r w:rsidR="00CA2992">
        <w:t>paragraph </w:t>
      </w:r>
      <w:r>
        <w:t>3</w:t>
      </w:r>
      <w:r w:rsidR="009134E1">
        <w:t>,</w:t>
      </w:r>
      <w:r>
        <w:t xml:space="preserve"> and 21 of the Covenant. It submits that the author’s allegations</w:t>
      </w:r>
      <w:r w:rsidR="00750644">
        <w:t xml:space="preserve"> that her rights under articles </w:t>
      </w:r>
      <w:r>
        <w:t xml:space="preserve">9, </w:t>
      </w:r>
      <w:r w:rsidR="00CA2992">
        <w:t>paragraph </w:t>
      </w:r>
      <w:r>
        <w:t>1</w:t>
      </w:r>
      <w:r w:rsidR="008B60B0">
        <w:t>;</w:t>
      </w:r>
      <w:r>
        <w:t xml:space="preserve"> 19, </w:t>
      </w:r>
      <w:r w:rsidR="00CA2992">
        <w:t>paragraph </w:t>
      </w:r>
      <w:r>
        <w:t>2</w:t>
      </w:r>
      <w:r w:rsidR="008B60B0">
        <w:t>;</w:t>
      </w:r>
      <w:r>
        <w:t xml:space="preserve"> and 21, </w:t>
      </w:r>
      <w:r w:rsidR="00CA2992">
        <w:t>paragraph </w:t>
      </w:r>
      <w:r>
        <w:t>1</w:t>
      </w:r>
      <w:r w:rsidR="009134E1">
        <w:t>,</w:t>
      </w:r>
      <w:r>
        <w:t xml:space="preserve"> of the Covenant had been violated are unsubstantiated. It submits that the format and the manner of the expression of societal, group or personal interests in public places, as well as certain limitations of the above</w:t>
      </w:r>
      <w:r w:rsidR="009134E1">
        <w:t>,</w:t>
      </w:r>
      <w:r>
        <w:t xml:space="preserve"> are established by </w:t>
      </w:r>
      <w:r w:rsidRPr="007768E5">
        <w:rPr>
          <w:rFonts w:eastAsia="Verdana"/>
        </w:rPr>
        <w:t xml:space="preserve">Law </w:t>
      </w:r>
      <w:r>
        <w:rPr>
          <w:rFonts w:eastAsia="Verdana"/>
        </w:rPr>
        <w:t>No</w:t>
      </w:r>
      <w:r w:rsidR="00750644">
        <w:rPr>
          <w:rFonts w:eastAsia="Verdana"/>
        </w:rPr>
        <w:t>. </w:t>
      </w:r>
      <w:r>
        <w:rPr>
          <w:rFonts w:eastAsia="Verdana"/>
        </w:rPr>
        <w:t>2126</w:t>
      </w:r>
      <w:r w:rsidRPr="007768E5">
        <w:rPr>
          <w:rFonts w:eastAsia="Verdana"/>
        </w:rPr>
        <w:t xml:space="preserve"> </w:t>
      </w:r>
      <w:r w:rsidR="009134E1">
        <w:rPr>
          <w:rFonts w:eastAsia="Verdana"/>
        </w:rPr>
        <w:t>of 17 March 1997 o</w:t>
      </w:r>
      <w:r w:rsidRPr="007768E5">
        <w:rPr>
          <w:rFonts w:eastAsia="Verdana"/>
        </w:rPr>
        <w:t xml:space="preserve">n the </w:t>
      </w:r>
      <w:r>
        <w:rPr>
          <w:rFonts w:eastAsia="Verdana"/>
        </w:rPr>
        <w:t>O</w:t>
      </w:r>
      <w:r w:rsidRPr="007768E5">
        <w:rPr>
          <w:rFonts w:eastAsia="Verdana"/>
        </w:rPr>
        <w:t xml:space="preserve">rder of </w:t>
      </w:r>
      <w:r>
        <w:rPr>
          <w:rFonts w:eastAsia="Verdana"/>
        </w:rPr>
        <w:t>O</w:t>
      </w:r>
      <w:r w:rsidRPr="007768E5">
        <w:rPr>
          <w:rFonts w:eastAsia="Verdana"/>
        </w:rPr>
        <w:t xml:space="preserve">rganization and </w:t>
      </w:r>
      <w:r>
        <w:rPr>
          <w:rFonts w:eastAsia="Verdana"/>
        </w:rPr>
        <w:t>C</w:t>
      </w:r>
      <w:r w:rsidRPr="007768E5">
        <w:rPr>
          <w:rFonts w:eastAsia="Verdana"/>
        </w:rPr>
        <w:t xml:space="preserve">onduct of </w:t>
      </w:r>
      <w:r>
        <w:rPr>
          <w:rFonts w:eastAsia="Verdana"/>
        </w:rPr>
        <w:t>P</w:t>
      </w:r>
      <w:r w:rsidRPr="007768E5">
        <w:rPr>
          <w:rFonts w:eastAsia="Verdana"/>
        </w:rPr>
        <w:t xml:space="preserve">eaceful </w:t>
      </w:r>
      <w:r>
        <w:rPr>
          <w:rFonts w:eastAsia="Verdana"/>
        </w:rPr>
        <w:t>A</w:t>
      </w:r>
      <w:r w:rsidRPr="007768E5">
        <w:rPr>
          <w:rFonts w:eastAsia="Verdana"/>
        </w:rPr>
        <w:t xml:space="preserve">ssemblies, </w:t>
      </w:r>
      <w:r>
        <w:rPr>
          <w:rFonts w:eastAsia="Verdana"/>
        </w:rPr>
        <w:t>M</w:t>
      </w:r>
      <w:r w:rsidRPr="007768E5">
        <w:rPr>
          <w:rFonts w:eastAsia="Verdana"/>
        </w:rPr>
        <w:t xml:space="preserve">eetings, </w:t>
      </w:r>
      <w:r>
        <w:rPr>
          <w:rFonts w:eastAsia="Verdana"/>
        </w:rPr>
        <w:t>P</w:t>
      </w:r>
      <w:r w:rsidRPr="007768E5">
        <w:rPr>
          <w:rFonts w:eastAsia="Verdana"/>
        </w:rPr>
        <w:t xml:space="preserve">rocessions, </w:t>
      </w:r>
      <w:r>
        <w:rPr>
          <w:rFonts w:eastAsia="Verdana"/>
        </w:rPr>
        <w:t>P</w:t>
      </w:r>
      <w:r w:rsidRPr="007768E5">
        <w:rPr>
          <w:rFonts w:eastAsia="Verdana"/>
        </w:rPr>
        <w:t xml:space="preserve">ickets and </w:t>
      </w:r>
      <w:r>
        <w:rPr>
          <w:rFonts w:eastAsia="Verdana"/>
        </w:rPr>
        <w:t>D</w:t>
      </w:r>
      <w:r w:rsidRPr="007768E5">
        <w:rPr>
          <w:rFonts w:eastAsia="Verdana"/>
        </w:rPr>
        <w:t>emonstrations</w:t>
      </w:r>
      <w:r>
        <w:rPr>
          <w:rFonts w:eastAsia="Verdana"/>
        </w:rPr>
        <w:t xml:space="preserve"> in the Republic of Kazakhstan. In accordance with </w:t>
      </w:r>
      <w:r w:rsidR="00CA2992">
        <w:rPr>
          <w:rFonts w:eastAsia="Verdana"/>
        </w:rPr>
        <w:t>article </w:t>
      </w:r>
      <w:r>
        <w:rPr>
          <w:rFonts w:eastAsia="Verdana"/>
        </w:rPr>
        <w:t xml:space="preserve">2 of that Law, </w:t>
      </w:r>
      <w:r w:rsidR="009134E1">
        <w:rPr>
          <w:rFonts w:eastAsia="Verdana"/>
        </w:rPr>
        <w:t xml:space="preserve">in order </w:t>
      </w:r>
      <w:r>
        <w:rPr>
          <w:rFonts w:eastAsia="Verdana"/>
        </w:rPr>
        <w:t>to conduct an a</w:t>
      </w:r>
      <w:r w:rsidRPr="007768E5">
        <w:rPr>
          <w:rFonts w:eastAsia="Verdana"/>
        </w:rPr>
        <w:t>ssembl</w:t>
      </w:r>
      <w:r>
        <w:rPr>
          <w:rFonts w:eastAsia="Verdana"/>
        </w:rPr>
        <w:t>y</w:t>
      </w:r>
      <w:r w:rsidRPr="007768E5">
        <w:rPr>
          <w:rFonts w:eastAsia="Verdana"/>
        </w:rPr>
        <w:t xml:space="preserve">, </w:t>
      </w:r>
      <w:r>
        <w:rPr>
          <w:rFonts w:eastAsia="Verdana"/>
        </w:rPr>
        <w:t>m</w:t>
      </w:r>
      <w:r w:rsidRPr="007768E5">
        <w:rPr>
          <w:rFonts w:eastAsia="Verdana"/>
        </w:rPr>
        <w:t>eeting</w:t>
      </w:r>
      <w:r>
        <w:rPr>
          <w:rFonts w:eastAsia="Verdana"/>
        </w:rPr>
        <w:t>,</w:t>
      </w:r>
      <w:r w:rsidRPr="007768E5">
        <w:rPr>
          <w:rFonts w:eastAsia="Verdana"/>
        </w:rPr>
        <w:t xml:space="preserve"> </w:t>
      </w:r>
      <w:r>
        <w:rPr>
          <w:rFonts w:eastAsia="Verdana"/>
        </w:rPr>
        <w:t>p</w:t>
      </w:r>
      <w:r w:rsidRPr="007768E5">
        <w:rPr>
          <w:rFonts w:eastAsia="Verdana"/>
        </w:rPr>
        <w:t xml:space="preserve">rocession, </w:t>
      </w:r>
      <w:r>
        <w:rPr>
          <w:rFonts w:eastAsia="Verdana"/>
        </w:rPr>
        <w:t>p</w:t>
      </w:r>
      <w:r w:rsidRPr="007768E5">
        <w:rPr>
          <w:rFonts w:eastAsia="Verdana"/>
        </w:rPr>
        <w:t xml:space="preserve">icket </w:t>
      </w:r>
      <w:r>
        <w:rPr>
          <w:rFonts w:eastAsia="Verdana"/>
        </w:rPr>
        <w:t xml:space="preserve">or demonstration, a request must be submitted to the local executive authorities. In accordance with </w:t>
      </w:r>
      <w:r w:rsidR="00CA2992">
        <w:rPr>
          <w:rFonts w:eastAsia="Verdana"/>
        </w:rPr>
        <w:t>article </w:t>
      </w:r>
      <w:r>
        <w:rPr>
          <w:rFonts w:eastAsia="Verdana"/>
        </w:rPr>
        <w:t xml:space="preserve">3, the request should contain all elements required by the Law and should be submitted no later than </w:t>
      </w:r>
      <w:r w:rsidR="009134E1">
        <w:rPr>
          <w:rFonts w:eastAsia="Verdana"/>
        </w:rPr>
        <w:t xml:space="preserve">10 </w:t>
      </w:r>
      <w:r>
        <w:rPr>
          <w:rFonts w:eastAsia="Verdana"/>
        </w:rPr>
        <w:t xml:space="preserve">days before the planned date of the event. The author had not addressed a request to the executive authorities and had not received a positive reply. Therefore, the author’s claims </w:t>
      </w:r>
      <w:r w:rsidR="009134E1">
        <w:rPr>
          <w:rFonts w:eastAsia="Verdana"/>
        </w:rPr>
        <w:t xml:space="preserve">that </w:t>
      </w:r>
      <w:r w:rsidR="00750644">
        <w:rPr>
          <w:rFonts w:eastAsia="Verdana"/>
        </w:rPr>
        <w:t xml:space="preserve">her rights </w:t>
      </w:r>
      <w:r w:rsidR="009134E1">
        <w:rPr>
          <w:rFonts w:eastAsia="Verdana"/>
        </w:rPr>
        <w:t xml:space="preserve">had been violated </w:t>
      </w:r>
      <w:r w:rsidR="00750644">
        <w:rPr>
          <w:rFonts w:eastAsia="Verdana"/>
        </w:rPr>
        <w:t>under articles </w:t>
      </w:r>
      <w:r>
        <w:rPr>
          <w:rFonts w:eastAsia="Verdana"/>
        </w:rPr>
        <w:t xml:space="preserve">19 and 21 </w:t>
      </w:r>
      <w:r w:rsidR="009134E1">
        <w:rPr>
          <w:rFonts w:eastAsia="Verdana"/>
        </w:rPr>
        <w:t xml:space="preserve">of the Covenant </w:t>
      </w:r>
      <w:r>
        <w:rPr>
          <w:rFonts w:eastAsia="Verdana"/>
        </w:rPr>
        <w:t xml:space="preserve">are unsubstantiated, since she exercised </w:t>
      </w:r>
      <w:r w:rsidR="009134E1">
        <w:rPr>
          <w:rFonts w:eastAsia="Verdana"/>
        </w:rPr>
        <w:t xml:space="preserve">those </w:t>
      </w:r>
      <w:r>
        <w:rPr>
          <w:rFonts w:eastAsia="Verdana"/>
        </w:rPr>
        <w:t>rights in violation of the limitations imposed by the Law.</w:t>
      </w:r>
    </w:p>
    <w:p w:rsidR="00C915CB" w:rsidRDefault="00C915CB" w:rsidP="00251F20">
      <w:pPr>
        <w:pStyle w:val="SingleTxtG"/>
        <w:rPr>
          <w:rFonts w:eastAsia="Verdana"/>
        </w:rPr>
      </w:pPr>
      <w:r>
        <w:rPr>
          <w:rFonts w:eastAsia="Verdana"/>
        </w:rPr>
        <w:t>4.3</w:t>
      </w:r>
      <w:r>
        <w:rPr>
          <w:rFonts w:eastAsia="Verdana"/>
        </w:rPr>
        <w:tab/>
        <w:t>The State party further submits that</w:t>
      </w:r>
      <w:r w:rsidR="00CE1732">
        <w:rPr>
          <w:rFonts w:eastAsia="Verdana"/>
        </w:rPr>
        <w:t>,</w:t>
      </w:r>
      <w:r>
        <w:rPr>
          <w:rFonts w:eastAsia="Verdana"/>
        </w:rPr>
        <w:t xml:space="preserve"> in accordance with </w:t>
      </w:r>
      <w:r w:rsidR="00CA2992">
        <w:rPr>
          <w:rFonts w:eastAsia="Verdana"/>
        </w:rPr>
        <w:t>article </w:t>
      </w:r>
      <w:r>
        <w:rPr>
          <w:rFonts w:eastAsia="Verdana"/>
        </w:rPr>
        <w:t xml:space="preserve">618 of the Code of Administrative Proceedings, in order to ensure </w:t>
      </w:r>
      <w:r w:rsidR="00CE1732">
        <w:rPr>
          <w:rFonts w:eastAsia="Verdana"/>
        </w:rPr>
        <w:t xml:space="preserve">that the proceedings of a case are conducted in a </w:t>
      </w:r>
      <w:r>
        <w:rPr>
          <w:rFonts w:eastAsia="Verdana"/>
        </w:rPr>
        <w:t xml:space="preserve">timely and correct </w:t>
      </w:r>
      <w:r w:rsidR="00CE1732">
        <w:rPr>
          <w:rFonts w:eastAsia="Verdana"/>
        </w:rPr>
        <w:t xml:space="preserve">manner and that </w:t>
      </w:r>
      <w:r>
        <w:rPr>
          <w:rFonts w:eastAsia="Verdana"/>
        </w:rPr>
        <w:t>the adopted decision</w:t>
      </w:r>
      <w:r w:rsidR="00CE1732">
        <w:rPr>
          <w:rFonts w:eastAsia="Verdana"/>
        </w:rPr>
        <w:t xml:space="preserve"> is executed</w:t>
      </w:r>
      <w:r>
        <w:rPr>
          <w:rFonts w:eastAsia="Verdana"/>
        </w:rPr>
        <w:t xml:space="preserve">, certain measures can be taken towards physical persons, including administrative detention. The administrative detention against the author was implemented in accordance with the Law and for the purpose of ensuring the conduct of the proceedings </w:t>
      </w:r>
      <w:r w:rsidR="00CE1732">
        <w:rPr>
          <w:rFonts w:eastAsia="Verdana"/>
        </w:rPr>
        <w:t xml:space="preserve">of </w:t>
      </w:r>
      <w:r>
        <w:rPr>
          <w:rFonts w:eastAsia="Verdana"/>
        </w:rPr>
        <w:t>the case. The State party therefore considers the a</w:t>
      </w:r>
      <w:r>
        <w:t>uthor’s allegations</w:t>
      </w:r>
      <w:r w:rsidR="009A3401">
        <w:t xml:space="preserve"> that her rights under articles </w:t>
      </w:r>
      <w:r>
        <w:t xml:space="preserve">9, </w:t>
      </w:r>
      <w:r w:rsidR="00CA2992">
        <w:t>paragraph </w:t>
      </w:r>
      <w:r>
        <w:t xml:space="preserve">1, of the Covenant had been violated </w:t>
      </w:r>
      <w:r w:rsidR="00CE1732">
        <w:t xml:space="preserve">to be </w:t>
      </w:r>
      <w:r>
        <w:t>unsubstantiated.</w:t>
      </w:r>
    </w:p>
    <w:p w:rsidR="00C915CB" w:rsidRPr="00AF590D" w:rsidRDefault="009F6716" w:rsidP="009F6716">
      <w:pPr>
        <w:pStyle w:val="H23G"/>
      </w:pPr>
      <w:r>
        <w:lastRenderedPageBreak/>
        <w:tab/>
      </w:r>
      <w:r>
        <w:tab/>
      </w:r>
      <w:r w:rsidR="00C915CB">
        <w:t>A</w:t>
      </w:r>
      <w:r w:rsidR="00C915CB" w:rsidRPr="00AF590D">
        <w:t>uthor</w:t>
      </w:r>
      <w:r w:rsidR="00C915CB">
        <w:t xml:space="preserve">’s comments on the </w:t>
      </w:r>
      <w:r w:rsidR="00C915CB" w:rsidRPr="009F6716">
        <w:t>State</w:t>
      </w:r>
      <w:r w:rsidR="00C915CB">
        <w:t xml:space="preserve"> party’s submission</w:t>
      </w:r>
    </w:p>
    <w:p w:rsidR="00C915CB" w:rsidRDefault="00C915CB" w:rsidP="00251F20">
      <w:pPr>
        <w:pStyle w:val="SingleTxtG"/>
      </w:pPr>
      <w:r w:rsidRPr="00AF590D">
        <w:t>5.1</w:t>
      </w:r>
      <w:r w:rsidRPr="00AF590D">
        <w:tab/>
      </w:r>
      <w:r>
        <w:t>On 4 July 2012, the author notes that</w:t>
      </w:r>
      <w:r w:rsidR="00C2172F">
        <w:t>,</w:t>
      </w:r>
      <w:r>
        <w:t xml:space="preserve"> in contesting her submission under </w:t>
      </w:r>
      <w:r w:rsidR="00CA2992">
        <w:t>article </w:t>
      </w:r>
      <w:r>
        <w:t xml:space="preserve">19 of the Covenant, the State party quotes </w:t>
      </w:r>
      <w:r w:rsidR="00C2172F">
        <w:t xml:space="preserve">the provisions contained in </w:t>
      </w:r>
      <w:r w:rsidR="00CA2992">
        <w:t>paragraph </w:t>
      </w:r>
      <w:r>
        <w:t xml:space="preserve">3 of </w:t>
      </w:r>
      <w:r w:rsidR="00C2172F">
        <w:t xml:space="preserve">that </w:t>
      </w:r>
      <w:r>
        <w:t xml:space="preserve">article. She maintains that </w:t>
      </w:r>
      <w:r w:rsidR="00C2172F">
        <w:t xml:space="preserve">those </w:t>
      </w:r>
      <w:r>
        <w:t>provision</w:t>
      </w:r>
      <w:r w:rsidR="00C2172F">
        <w:t>s</w:t>
      </w:r>
      <w:r>
        <w:t xml:space="preserve"> </w:t>
      </w:r>
      <w:r w:rsidR="00C2172F">
        <w:t xml:space="preserve">are </w:t>
      </w:r>
      <w:r>
        <w:t xml:space="preserve">not applicable to her case, because the State party failed to explain </w:t>
      </w:r>
      <w:r w:rsidR="00DE3F54">
        <w:t xml:space="preserve">the </w:t>
      </w:r>
      <w:r>
        <w:t xml:space="preserve">manner </w:t>
      </w:r>
      <w:r w:rsidR="00DE3F54">
        <w:t xml:space="preserve">in which </w:t>
      </w:r>
      <w:r>
        <w:t>the author had violated the rights or reputation</w:t>
      </w:r>
      <w:r w:rsidR="00C2172F">
        <w:t>s</w:t>
      </w:r>
      <w:r>
        <w:t xml:space="preserve"> of others, </w:t>
      </w:r>
      <w:r w:rsidR="00C2172F">
        <w:t xml:space="preserve">or how </w:t>
      </w:r>
      <w:r>
        <w:t xml:space="preserve">she </w:t>
      </w:r>
      <w:r w:rsidR="00C2172F">
        <w:t xml:space="preserve">had </w:t>
      </w:r>
      <w:r>
        <w:t xml:space="preserve">endangered </w:t>
      </w:r>
      <w:r w:rsidRPr="00671825">
        <w:t xml:space="preserve">national security or </w:t>
      </w:r>
      <w:r>
        <w:t>public order</w:t>
      </w:r>
      <w:r w:rsidRPr="00671825">
        <w:t>, or public health or morals</w:t>
      </w:r>
      <w:r>
        <w:t>. She submits that she did not offend any public officials, since no offensive words that could have damaged their reputation</w:t>
      </w:r>
      <w:r w:rsidR="00C2172F">
        <w:t>s</w:t>
      </w:r>
      <w:r>
        <w:t xml:space="preserve"> were expressed towards any of them personally; that the art-mob </w:t>
      </w:r>
      <w:r w:rsidR="00C2172F">
        <w:t xml:space="preserve">event </w:t>
      </w:r>
      <w:r>
        <w:t xml:space="preserve">lasted for </w:t>
      </w:r>
      <w:r w:rsidR="009134E1">
        <w:t xml:space="preserve">10 </w:t>
      </w:r>
      <w:r>
        <w:t xml:space="preserve">minutes, </w:t>
      </w:r>
      <w:r w:rsidR="00C2172F">
        <w:t xml:space="preserve">was of </w:t>
      </w:r>
      <w:r>
        <w:t xml:space="preserve">a peaceful character and </w:t>
      </w:r>
      <w:r w:rsidR="00227702">
        <w:t xml:space="preserve">did </w:t>
      </w:r>
      <w:r>
        <w:t>not threaten the public order or the national security of Kazakhstan. She stresses that she was not convicted for endangering the rights or the reputation</w:t>
      </w:r>
      <w:r w:rsidR="00227702">
        <w:t>s</w:t>
      </w:r>
      <w:r>
        <w:t xml:space="preserve"> of others, </w:t>
      </w:r>
      <w:r w:rsidRPr="00671825">
        <w:t>national security</w:t>
      </w:r>
      <w:r>
        <w:t>,</w:t>
      </w:r>
      <w:r w:rsidRPr="00671825">
        <w:t xml:space="preserve"> </w:t>
      </w:r>
      <w:r>
        <w:t>public order</w:t>
      </w:r>
      <w:r w:rsidRPr="00671825">
        <w:t xml:space="preserve"> or public health or morals</w:t>
      </w:r>
      <w:r>
        <w:t>, but for holding a public event without the permission of the authorities.</w:t>
      </w:r>
    </w:p>
    <w:p w:rsidR="00C915CB" w:rsidRPr="006C0CBC" w:rsidRDefault="00C915CB" w:rsidP="00251F20">
      <w:pPr>
        <w:pStyle w:val="SingleTxtG"/>
      </w:pPr>
      <w:r>
        <w:t>5.2</w:t>
      </w:r>
      <w:r>
        <w:tab/>
        <w:t xml:space="preserve">In relation </w:t>
      </w:r>
      <w:r w:rsidR="00227702">
        <w:t xml:space="preserve">to </w:t>
      </w:r>
      <w:r>
        <w:t xml:space="preserve">her allegations under </w:t>
      </w:r>
      <w:r w:rsidR="00CA2992">
        <w:t>article </w:t>
      </w:r>
      <w:r>
        <w:t>21 of the Covenant, the author stresses that her actions consisted of an art-mob</w:t>
      </w:r>
      <w:r w:rsidR="00E76CF1">
        <w:t xml:space="preserve"> event</w:t>
      </w:r>
      <w:r>
        <w:t xml:space="preserve"> implemented with the assistance of three colleagues; </w:t>
      </w:r>
      <w:r w:rsidR="00DE3F54">
        <w:t xml:space="preserve">and </w:t>
      </w:r>
      <w:r>
        <w:t xml:space="preserve">that the art-mob </w:t>
      </w:r>
      <w:r w:rsidR="00E76CF1">
        <w:t xml:space="preserve">event </w:t>
      </w:r>
      <w:r>
        <w:t xml:space="preserve">addressed </w:t>
      </w:r>
      <w:r w:rsidR="00E76CF1">
        <w:t xml:space="preserve">those visitors of the Mahatma Gandhi park in the vicinity of </w:t>
      </w:r>
      <w:r w:rsidR="00A82856">
        <w:t xml:space="preserve">the </w:t>
      </w:r>
      <w:r w:rsidR="00D275CB">
        <w:t>monument</w:t>
      </w:r>
      <w:r w:rsidR="00A82856">
        <w:t xml:space="preserve"> dedicated to Mahatma Gandhi</w:t>
      </w:r>
      <w:r w:rsidR="00D275CB">
        <w:t>. The</w:t>
      </w:r>
      <w:r>
        <w:t xml:space="preserve"> event</w:t>
      </w:r>
      <w:r w:rsidR="009F22AE">
        <w:t xml:space="preserve"> was observed by about 15 persons, the majority of which were journalists and police</w:t>
      </w:r>
      <w:r w:rsidR="00A82856">
        <w:t xml:space="preserve"> officers</w:t>
      </w:r>
      <w:r>
        <w:t xml:space="preserve">. </w:t>
      </w:r>
      <w:r w:rsidR="009F22AE">
        <w:t>T</w:t>
      </w:r>
      <w:r>
        <w:t>he</w:t>
      </w:r>
      <w:r w:rsidR="009F22AE">
        <w:t xml:space="preserve"> author</w:t>
      </w:r>
      <w:r>
        <w:t xml:space="preserve"> maintains that the event did not constitute a p</w:t>
      </w:r>
      <w:r w:rsidRPr="007768E5">
        <w:rPr>
          <w:rFonts w:eastAsia="Verdana"/>
        </w:rPr>
        <w:t xml:space="preserve">rocession, </w:t>
      </w:r>
      <w:r>
        <w:rPr>
          <w:rFonts w:eastAsia="Verdana"/>
        </w:rPr>
        <w:t>a p</w:t>
      </w:r>
      <w:r w:rsidRPr="007768E5">
        <w:rPr>
          <w:rFonts w:eastAsia="Verdana"/>
        </w:rPr>
        <w:t>icket</w:t>
      </w:r>
      <w:r>
        <w:rPr>
          <w:rFonts w:eastAsia="Verdana"/>
        </w:rPr>
        <w:t xml:space="preserve"> or a demonstration and </w:t>
      </w:r>
      <w:r w:rsidR="00A82856">
        <w:rPr>
          <w:rFonts w:eastAsia="Verdana"/>
        </w:rPr>
        <w:t xml:space="preserve">that she </w:t>
      </w:r>
      <w:r>
        <w:rPr>
          <w:rFonts w:eastAsia="Verdana"/>
        </w:rPr>
        <w:t xml:space="preserve">therefore did not need the permission of the authorities to conduct it. She further submits that the authorities of Kazakhstan had been expanding the interpretation of the definition of a </w:t>
      </w:r>
      <w:r w:rsidR="0045228A">
        <w:rPr>
          <w:rFonts w:eastAsia="Verdana"/>
        </w:rPr>
        <w:t>“</w:t>
      </w:r>
      <w:r>
        <w:rPr>
          <w:rFonts w:eastAsia="Verdana"/>
        </w:rPr>
        <w:t>peaceful assembly</w:t>
      </w:r>
      <w:r w:rsidR="0045228A">
        <w:rPr>
          <w:rFonts w:eastAsia="Verdana"/>
        </w:rPr>
        <w:t>”</w:t>
      </w:r>
      <w:r>
        <w:rPr>
          <w:rFonts w:eastAsia="Verdana"/>
        </w:rPr>
        <w:t xml:space="preserve"> beyond the scope determined by the Law of 17 March 1997</w:t>
      </w:r>
      <w:r w:rsidR="0045228A">
        <w:rPr>
          <w:rFonts w:eastAsia="Verdana"/>
        </w:rPr>
        <w:t>,</w:t>
      </w:r>
      <w:r>
        <w:rPr>
          <w:rFonts w:eastAsia="Verdana"/>
        </w:rPr>
        <w:t xml:space="preserve"> to include art-mob</w:t>
      </w:r>
      <w:r w:rsidR="0045228A">
        <w:rPr>
          <w:rFonts w:eastAsia="Verdana"/>
        </w:rPr>
        <w:t xml:space="preserve"> events</w:t>
      </w:r>
      <w:r>
        <w:rPr>
          <w:rFonts w:eastAsia="Verdana"/>
        </w:rPr>
        <w:t xml:space="preserve">, flash-mob </w:t>
      </w:r>
      <w:r w:rsidR="0045228A">
        <w:rPr>
          <w:rFonts w:eastAsia="Verdana"/>
        </w:rPr>
        <w:t xml:space="preserve">events </w:t>
      </w:r>
      <w:r>
        <w:rPr>
          <w:rFonts w:eastAsia="Verdana"/>
        </w:rPr>
        <w:t>and even protest actions</w:t>
      </w:r>
      <w:r w:rsidR="0045228A">
        <w:rPr>
          <w:rFonts w:eastAsia="Verdana"/>
        </w:rPr>
        <w:t xml:space="preserve"> carried out by single persons</w:t>
      </w:r>
      <w:r>
        <w:rPr>
          <w:rFonts w:eastAsia="Verdana"/>
        </w:rPr>
        <w:t xml:space="preserve">. As a result of </w:t>
      </w:r>
      <w:r w:rsidR="00B01FC8">
        <w:rPr>
          <w:rFonts w:eastAsia="Verdana"/>
        </w:rPr>
        <w:t xml:space="preserve">that broader </w:t>
      </w:r>
      <w:r>
        <w:rPr>
          <w:rFonts w:eastAsia="Verdana"/>
        </w:rPr>
        <w:t>interpretation, every action conducted in public is declared an illegal public assembly and the organi</w:t>
      </w:r>
      <w:r w:rsidR="00B01FC8">
        <w:rPr>
          <w:rFonts w:eastAsia="Verdana"/>
        </w:rPr>
        <w:t>z</w:t>
      </w:r>
      <w:r>
        <w:rPr>
          <w:rFonts w:eastAsia="Verdana"/>
        </w:rPr>
        <w:t xml:space="preserve">ers are held administratively responsible for conducting public assemblies without the permission of the authorities, in violation of the Covenant. </w:t>
      </w:r>
    </w:p>
    <w:p w:rsidR="00C915CB" w:rsidRPr="00AF590D" w:rsidRDefault="009F6716" w:rsidP="009F6716">
      <w:pPr>
        <w:pStyle w:val="H23G"/>
      </w:pPr>
      <w:r>
        <w:tab/>
      </w:r>
      <w:r>
        <w:tab/>
      </w:r>
      <w:r w:rsidR="00C915CB" w:rsidRPr="00AF590D">
        <w:t>Issues and proceedings before the Committee</w:t>
      </w:r>
    </w:p>
    <w:p w:rsidR="00C915CB" w:rsidRPr="00AF590D" w:rsidRDefault="00C915CB" w:rsidP="00C915CB">
      <w:pPr>
        <w:pStyle w:val="H4G"/>
      </w:pPr>
      <w:r w:rsidRPr="00AF590D">
        <w:tab/>
      </w:r>
      <w:r w:rsidR="009F6716">
        <w:tab/>
      </w:r>
      <w:r w:rsidRPr="00AF590D">
        <w:t>Consideration of admissibility</w:t>
      </w:r>
    </w:p>
    <w:p w:rsidR="00C915CB" w:rsidRPr="00AF590D" w:rsidRDefault="00C915CB" w:rsidP="00251F20">
      <w:pPr>
        <w:pStyle w:val="SingleTxtG"/>
      </w:pPr>
      <w:r>
        <w:t>6</w:t>
      </w:r>
      <w:r w:rsidRPr="00AF590D">
        <w:t>.1</w:t>
      </w:r>
      <w:r w:rsidRPr="00AF590D">
        <w:tab/>
        <w:t>Before considering any claim contained in a communication, the Human Rights Committee must</w:t>
      </w:r>
      <w:r w:rsidR="000A2F1E">
        <w:t xml:space="preserve"> </w:t>
      </w:r>
      <w:r w:rsidR="000A2F1E" w:rsidRPr="00AF590D">
        <w:t>decide</w:t>
      </w:r>
      <w:r w:rsidRPr="00AF590D">
        <w:t>, in accordance with rule 93 of its rules of procedure, whether communication is admissible under the Optional Protocol to the Covenant.</w:t>
      </w:r>
    </w:p>
    <w:p w:rsidR="00C915CB" w:rsidRPr="00AF590D" w:rsidRDefault="00C915CB" w:rsidP="00251F20">
      <w:pPr>
        <w:pStyle w:val="SingleTxtG"/>
      </w:pPr>
      <w:r>
        <w:t>6</w:t>
      </w:r>
      <w:r w:rsidRPr="00AF590D">
        <w:t>.2</w:t>
      </w:r>
      <w:r w:rsidRPr="00AF590D">
        <w:tab/>
      </w:r>
      <w:r w:rsidR="000A2F1E">
        <w:t>A</w:t>
      </w:r>
      <w:r w:rsidRPr="00AF590D">
        <w:t xml:space="preserve">s required under </w:t>
      </w:r>
      <w:r w:rsidR="00CA2992">
        <w:t>article </w:t>
      </w:r>
      <w:r w:rsidRPr="00AF590D">
        <w:t xml:space="preserve">5, </w:t>
      </w:r>
      <w:r w:rsidR="00CA2992">
        <w:t>paragraph </w:t>
      </w:r>
      <w:r w:rsidRPr="00AF590D">
        <w:t>2</w:t>
      </w:r>
      <w:r w:rsidR="009A3401">
        <w:t> </w:t>
      </w:r>
      <w:r w:rsidRPr="00AF590D">
        <w:t xml:space="preserve">(a), of the Optional Protocol, </w:t>
      </w:r>
      <w:r w:rsidR="000A2F1E" w:rsidRPr="00AF590D">
        <w:t xml:space="preserve">the Committee has ascertained </w:t>
      </w:r>
      <w:r w:rsidRPr="00AF590D">
        <w:t xml:space="preserve">that the </w:t>
      </w:r>
      <w:r w:rsidRPr="009F6716">
        <w:t>same</w:t>
      </w:r>
      <w:r w:rsidRPr="00AF590D">
        <w:t xml:space="preserve"> matter is not being examined under another procedure of international investigation or settlement. </w:t>
      </w:r>
    </w:p>
    <w:p w:rsidR="009A3401" w:rsidRDefault="00C915CB" w:rsidP="009F6716">
      <w:pPr>
        <w:pStyle w:val="SingleTxtG"/>
      </w:pPr>
      <w:r>
        <w:t>6</w:t>
      </w:r>
      <w:r w:rsidRPr="00AF590D">
        <w:t>.3</w:t>
      </w:r>
      <w:r w:rsidRPr="00AF590D">
        <w:tab/>
      </w:r>
      <w:r w:rsidR="0036376F" w:rsidRPr="005711B2">
        <w:t>The Committee notes that the State party does not challenge admissibility, nor provide</w:t>
      </w:r>
      <w:r w:rsidR="0036376F">
        <w:t>s</w:t>
      </w:r>
      <w:r w:rsidR="0036376F" w:rsidRPr="005711B2">
        <w:t xml:space="preserve"> information on available and effective remedies.</w:t>
      </w:r>
      <w:r w:rsidR="0036376F">
        <w:t xml:space="preserve"> Accordingly</w:t>
      </w:r>
      <w:r w:rsidR="000A2F1E">
        <w:t>,</w:t>
      </w:r>
      <w:r w:rsidR="0036376F">
        <w:t xml:space="preserve"> the Committee finds that it is not preclude</w:t>
      </w:r>
      <w:r w:rsidR="00B53137">
        <w:t>d</w:t>
      </w:r>
      <w:r w:rsidR="0036376F">
        <w:t xml:space="preserve"> from examining the communication by the requirements of </w:t>
      </w:r>
      <w:r w:rsidR="00CA2992">
        <w:t>article </w:t>
      </w:r>
      <w:r w:rsidR="0036376F">
        <w:t xml:space="preserve">5, </w:t>
      </w:r>
      <w:r w:rsidR="00CA2992">
        <w:t>paragraph </w:t>
      </w:r>
      <w:r w:rsidR="0036376F">
        <w:t>2</w:t>
      </w:r>
      <w:r w:rsidR="009A3401">
        <w:t> </w:t>
      </w:r>
      <w:r w:rsidR="0036376F">
        <w:t>(b)</w:t>
      </w:r>
      <w:r w:rsidR="000A2F1E">
        <w:t>,</w:t>
      </w:r>
      <w:r w:rsidR="0036376F">
        <w:t xml:space="preserve"> of the Optional Protocol.</w:t>
      </w:r>
    </w:p>
    <w:p w:rsidR="007118F4" w:rsidRDefault="00C915CB" w:rsidP="00251F20">
      <w:pPr>
        <w:pStyle w:val="SingleTxtG"/>
        <w:rPr>
          <w:lang w:val="en-US"/>
        </w:rPr>
      </w:pPr>
      <w:r>
        <w:t>6.4</w:t>
      </w:r>
      <w:r>
        <w:tab/>
      </w:r>
      <w:r w:rsidRPr="00AF590D">
        <w:rPr>
          <w:lang w:val="en-US"/>
        </w:rPr>
        <w:t xml:space="preserve">The Committee </w:t>
      </w:r>
      <w:r>
        <w:rPr>
          <w:lang w:val="en-US"/>
        </w:rPr>
        <w:t xml:space="preserve">notes the author’s claim that her rights under </w:t>
      </w:r>
      <w:r w:rsidR="00CA2992">
        <w:rPr>
          <w:lang w:val="en-US"/>
        </w:rPr>
        <w:t>article </w:t>
      </w:r>
      <w:r>
        <w:rPr>
          <w:lang w:val="en-US"/>
        </w:rPr>
        <w:t xml:space="preserve">12, </w:t>
      </w:r>
      <w:r w:rsidR="00CA2992">
        <w:rPr>
          <w:lang w:val="en-US"/>
        </w:rPr>
        <w:t>paragraph </w:t>
      </w:r>
      <w:r>
        <w:rPr>
          <w:lang w:val="en-US"/>
        </w:rPr>
        <w:t>1</w:t>
      </w:r>
      <w:r w:rsidR="000A2F1E">
        <w:rPr>
          <w:lang w:val="en-US"/>
        </w:rPr>
        <w:t>,</w:t>
      </w:r>
      <w:r>
        <w:rPr>
          <w:lang w:val="en-US"/>
        </w:rPr>
        <w:t xml:space="preserve"> of the Covenant had been violated</w:t>
      </w:r>
      <w:r w:rsidRPr="00264CF3">
        <w:rPr>
          <w:lang w:val="en-US"/>
        </w:rPr>
        <w:t xml:space="preserve"> </w:t>
      </w:r>
      <w:r>
        <w:rPr>
          <w:lang w:val="en-US"/>
        </w:rPr>
        <w:t>by her arrest on charges of committing an administrative violation.</w:t>
      </w:r>
      <w:r w:rsidRPr="00264CF3">
        <w:rPr>
          <w:lang w:val="en-US"/>
        </w:rPr>
        <w:t xml:space="preserve"> </w:t>
      </w:r>
      <w:r w:rsidRPr="00B97299">
        <w:rPr>
          <w:lang w:val="en-US"/>
        </w:rPr>
        <w:t xml:space="preserve">In the absence of any other pertinent information in </w:t>
      </w:r>
      <w:r w:rsidR="000A2F1E" w:rsidRPr="00B97299">
        <w:rPr>
          <w:lang w:val="en-US"/>
        </w:rPr>
        <w:t>th</w:t>
      </w:r>
      <w:r w:rsidR="000A2F1E">
        <w:rPr>
          <w:lang w:val="en-US"/>
        </w:rPr>
        <w:t>at</w:t>
      </w:r>
      <w:r w:rsidR="000A2F1E" w:rsidRPr="00B97299">
        <w:rPr>
          <w:lang w:val="en-US"/>
        </w:rPr>
        <w:t xml:space="preserve"> </w:t>
      </w:r>
      <w:r w:rsidRPr="00B97299">
        <w:rPr>
          <w:lang w:val="en-US"/>
        </w:rPr>
        <w:t xml:space="preserve">respect, the Committee considers, however, that the author has failed to sufficiently substantiate </w:t>
      </w:r>
      <w:r w:rsidR="000A2F1E" w:rsidRPr="00B97299">
        <w:rPr>
          <w:lang w:val="en-US"/>
        </w:rPr>
        <w:t>th</w:t>
      </w:r>
      <w:r w:rsidR="000A2F1E">
        <w:rPr>
          <w:lang w:val="en-US"/>
        </w:rPr>
        <w:t>at</w:t>
      </w:r>
      <w:r w:rsidR="000A2F1E" w:rsidRPr="00B97299">
        <w:rPr>
          <w:lang w:val="en-US"/>
        </w:rPr>
        <w:t xml:space="preserve"> </w:t>
      </w:r>
      <w:r w:rsidRPr="00B97299">
        <w:rPr>
          <w:lang w:val="en-US"/>
        </w:rPr>
        <w:t xml:space="preserve">claim for purposes of admissibility. Accordingly, it concludes that this part of the communication is inadmissible under </w:t>
      </w:r>
      <w:r w:rsidR="00CA2992">
        <w:rPr>
          <w:lang w:val="en-US"/>
        </w:rPr>
        <w:t>article </w:t>
      </w:r>
      <w:r w:rsidRPr="00B97299">
        <w:rPr>
          <w:lang w:val="en-US"/>
        </w:rPr>
        <w:t>2 of the Optional Protocol.</w:t>
      </w:r>
    </w:p>
    <w:p w:rsidR="00C915CB" w:rsidRPr="009F6716" w:rsidRDefault="00C915CB" w:rsidP="00251F20">
      <w:pPr>
        <w:pStyle w:val="SingleTxtG"/>
        <w:rPr>
          <w:lang w:val="en-US"/>
        </w:rPr>
      </w:pPr>
      <w:r>
        <w:rPr>
          <w:lang w:val="en-US"/>
        </w:rPr>
        <w:t>6.5</w:t>
      </w:r>
      <w:r>
        <w:rPr>
          <w:lang w:val="en-US"/>
        </w:rPr>
        <w:tab/>
      </w:r>
      <w:r w:rsidR="002F67BB">
        <w:t xml:space="preserve">Regarding the </w:t>
      </w:r>
      <w:r w:rsidR="002F67BB">
        <w:rPr>
          <w:lang w:val="en-US"/>
        </w:rPr>
        <w:t xml:space="preserve">the author’s claim that her rights under </w:t>
      </w:r>
      <w:r w:rsidR="00CA2992">
        <w:rPr>
          <w:lang w:val="en-US"/>
        </w:rPr>
        <w:t>article </w:t>
      </w:r>
      <w:r w:rsidR="002F67BB">
        <w:rPr>
          <w:lang w:val="en-US"/>
        </w:rPr>
        <w:t xml:space="preserve">9, </w:t>
      </w:r>
      <w:r w:rsidR="00CA2992">
        <w:rPr>
          <w:lang w:val="en-US"/>
        </w:rPr>
        <w:t>paragraph </w:t>
      </w:r>
      <w:r w:rsidR="002F67BB">
        <w:rPr>
          <w:lang w:val="en-US"/>
        </w:rPr>
        <w:t>1</w:t>
      </w:r>
      <w:r w:rsidR="000A2F1E">
        <w:rPr>
          <w:lang w:val="en-US"/>
        </w:rPr>
        <w:t>,</w:t>
      </w:r>
      <w:r w:rsidR="002F67BB">
        <w:rPr>
          <w:lang w:val="en-US"/>
        </w:rPr>
        <w:t xml:space="preserve"> of the Covenant had been violated by her arrest</w:t>
      </w:r>
      <w:r w:rsidR="000A2F1E">
        <w:rPr>
          <w:lang w:val="en-US"/>
        </w:rPr>
        <w:t>,</w:t>
      </w:r>
      <w:r w:rsidR="002F67BB">
        <w:rPr>
          <w:lang w:val="en-US"/>
        </w:rPr>
        <w:t xml:space="preserve"> the Committee notes the State party’s submission that the arrest was lawful under </w:t>
      </w:r>
      <w:r w:rsidR="00CA2992">
        <w:rPr>
          <w:lang w:val="en-US"/>
        </w:rPr>
        <w:t>article </w:t>
      </w:r>
      <w:r w:rsidR="002F67BB">
        <w:rPr>
          <w:lang w:val="en-US"/>
        </w:rPr>
        <w:t xml:space="preserve">618 of the </w:t>
      </w:r>
      <w:r w:rsidR="0036376F">
        <w:rPr>
          <w:lang w:val="en-US"/>
        </w:rPr>
        <w:t>C</w:t>
      </w:r>
      <w:r w:rsidR="002F67BB">
        <w:rPr>
          <w:lang w:val="en-US"/>
        </w:rPr>
        <w:t>ode</w:t>
      </w:r>
      <w:r w:rsidR="0036376F">
        <w:rPr>
          <w:lang w:val="en-US"/>
        </w:rPr>
        <w:t xml:space="preserve"> of Administrative Violations</w:t>
      </w:r>
      <w:r w:rsidR="002F67BB">
        <w:rPr>
          <w:lang w:val="en-US"/>
        </w:rPr>
        <w:t xml:space="preserve">. The </w:t>
      </w:r>
      <w:r w:rsidR="002F67BB">
        <w:rPr>
          <w:lang w:val="en-US"/>
        </w:rPr>
        <w:lastRenderedPageBreak/>
        <w:t xml:space="preserve">Committee </w:t>
      </w:r>
      <w:r w:rsidR="0036376F">
        <w:rPr>
          <w:lang w:val="en-US"/>
        </w:rPr>
        <w:t>notes</w:t>
      </w:r>
      <w:r w:rsidR="000A2F1E">
        <w:rPr>
          <w:lang w:val="en-US"/>
        </w:rPr>
        <w:t>, however,</w:t>
      </w:r>
      <w:r w:rsidR="002F67BB">
        <w:rPr>
          <w:lang w:val="en-US"/>
        </w:rPr>
        <w:t xml:space="preserve"> that </w:t>
      </w:r>
      <w:r w:rsidR="0036376F">
        <w:rPr>
          <w:lang w:val="en-US"/>
        </w:rPr>
        <w:t>this raise</w:t>
      </w:r>
      <w:r w:rsidR="002F67BB">
        <w:rPr>
          <w:lang w:val="en-US"/>
        </w:rPr>
        <w:t xml:space="preserve">s the issue of </w:t>
      </w:r>
      <w:r w:rsidR="000A2F1E">
        <w:rPr>
          <w:lang w:val="en-US"/>
        </w:rPr>
        <w:t xml:space="preserve">the </w:t>
      </w:r>
      <w:r w:rsidR="002F67BB">
        <w:rPr>
          <w:lang w:val="en-US"/>
        </w:rPr>
        <w:t xml:space="preserve">arbitrariness of </w:t>
      </w:r>
      <w:r w:rsidR="0036376F">
        <w:rPr>
          <w:lang w:val="en-US"/>
        </w:rPr>
        <w:t>the author’s arrest</w:t>
      </w:r>
      <w:r w:rsidR="000A2F1E">
        <w:rPr>
          <w:lang w:val="en-US"/>
        </w:rPr>
        <w:t>.</w:t>
      </w:r>
      <w:r w:rsidR="0036376F">
        <w:rPr>
          <w:lang w:val="en-US"/>
        </w:rPr>
        <w:t xml:space="preserve"> </w:t>
      </w:r>
      <w:r w:rsidR="000A2F1E">
        <w:rPr>
          <w:lang w:val="en-US"/>
        </w:rPr>
        <w:t xml:space="preserve">It </w:t>
      </w:r>
      <w:r w:rsidR="0036376F">
        <w:rPr>
          <w:lang w:val="en-US"/>
        </w:rPr>
        <w:t xml:space="preserve">therefore </w:t>
      </w:r>
      <w:r w:rsidR="002F67BB" w:rsidRPr="007118F4">
        <w:t>considers that the author</w:t>
      </w:r>
      <w:r w:rsidR="002F67BB">
        <w:t xml:space="preserve">’s claim </w:t>
      </w:r>
      <w:r w:rsidR="0036376F">
        <w:t xml:space="preserve">under </w:t>
      </w:r>
      <w:r w:rsidR="00CA2992">
        <w:t>article </w:t>
      </w:r>
      <w:r w:rsidR="0036376F">
        <w:t xml:space="preserve">9, </w:t>
      </w:r>
      <w:r w:rsidR="00CA2992">
        <w:t>paragraph </w:t>
      </w:r>
      <w:r w:rsidR="0036376F">
        <w:t>1</w:t>
      </w:r>
      <w:r w:rsidR="000A2F1E">
        <w:t>,</w:t>
      </w:r>
      <w:r w:rsidR="0036376F">
        <w:t xml:space="preserve"> </w:t>
      </w:r>
      <w:r w:rsidR="002F67BB" w:rsidRPr="007118F4">
        <w:t>ha</w:t>
      </w:r>
      <w:r w:rsidR="002F67BB">
        <w:t>s</w:t>
      </w:r>
      <w:r w:rsidR="002F67BB" w:rsidRPr="007118F4">
        <w:t xml:space="preserve"> </w:t>
      </w:r>
      <w:r w:rsidR="002F67BB">
        <w:t xml:space="preserve">been </w:t>
      </w:r>
      <w:r w:rsidR="002F67BB" w:rsidRPr="007118F4">
        <w:t xml:space="preserve">sufficiently substantiated for purposes of admissibility, </w:t>
      </w:r>
      <w:r w:rsidR="002F67BB">
        <w:t xml:space="preserve">and </w:t>
      </w:r>
      <w:r w:rsidR="002F67BB" w:rsidRPr="007118F4">
        <w:t xml:space="preserve">declares </w:t>
      </w:r>
      <w:r w:rsidR="002F67BB">
        <w:t xml:space="preserve">it </w:t>
      </w:r>
      <w:r w:rsidR="002F67BB" w:rsidRPr="007118F4">
        <w:t xml:space="preserve">admissible. </w:t>
      </w:r>
      <w:r>
        <w:rPr>
          <w:lang w:val="en-US"/>
        </w:rPr>
        <w:t xml:space="preserve">The Committee </w:t>
      </w:r>
      <w:r w:rsidR="002F67BB">
        <w:rPr>
          <w:lang w:val="en-US"/>
        </w:rPr>
        <w:t xml:space="preserve">also </w:t>
      </w:r>
      <w:r w:rsidRPr="00AF590D">
        <w:rPr>
          <w:lang w:val="en-US"/>
        </w:rPr>
        <w:t>considers that the author has sufficiently substantiated h</w:t>
      </w:r>
      <w:r>
        <w:rPr>
          <w:lang w:val="en-US"/>
        </w:rPr>
        <w:t>er</w:t>
      </w:r>
      <w:r w:rsidRPr="00AF590D">
        <w:rPr>
          <w:lang w:val="en-US"/>
        </w:rPr>
        <w:t xml:space="preserve"> claim</w:t>
      </w:r>
      <w:r>
        <w:rPr>
          <w:lang w:val="en-US"/>
        </w:rPr>
        <w:t>s</w:t>
      </w:r>
      <w:r w:rsidRPr="00AF590D">
        <w:rPr>
          <w:lang w:val="en-US"/>
        </w:rPr>
        <w:t xml:space="preserve"> under article</w:t>
      </w:r>
      <w:r>
        <w:rPr>
          <w:lang w:val="en-US"/>
        </w:rPr>
        <w:t>s</w:t>
      </w:r>
      <w:r w:rsidR="009A3401">
        <w:rPr>
          <w:lang w:val="en-US"/>
        </w:rPr>
        <w:t> </w:t>
      </w:r>
      <w:r>
        <w:rPr>
          <w:lang w:val="en-US"/>
        </w:rPr>
        <w:t xml:space="preserve">19 and 21 </w:t>
      </w:r>
      <w:r w:rsidRPr="00AF590D">
        <w:rPr>
          <w:lang w:val="en-US"/>
        </w:rPr>
        <w:t xml:space="preserve">of the Covenant, for purposes of admissibility. Accordingly, it declares </w:t>
      </w:r>
      <w:r w:rsidR="000A2F1E" w:rsidRPr="00AF590D">
        <w:rPr>
          <w:lang w:val="en-US"/>
        </w:rPr>
        <w:t>th</w:t>
      </w:r>
      <w:r w:rsidR="000A2F1E">
        <w:rPr>
          <w:lang w:val="en-US"/>
        </w:rPr>
        <w:t>ose</w:t>
      </w:r>
      <w:r w:rsidR="000A2F1E" w:rsidRPr="00AF590D">
        <w:rPr>
          <w:lang w:val="en-US"/>
        </w:rPr>
        <w:t xml:space="preserve"> </w:t>
      </w:r>
      <w:r w:rsidRPr="00AF590D">
        <w:rPr>
          <w:lang w:val="en-US"/>
        </w:rPr>
        <w:t>claim</w:t>
      </w:r>
      <w:r>
        <w:rPr>
          <w:lang w:val="en-US"/>
        </w:rPr>
        <w:t>s admissible and proceeds to their</w:t>
      </w:r>
      <w:r w:rsidRPr="00AF590D">
        <w:rPr>
          <w:lang w:val="en-US"/>
        </w:rPr>
        <w:t xml:space="preserve"> examination on the merits.</w:t>
      </w:r>
    </w:p>
    <w:p w:rsidR="00C915CB" w:rsidRPr="00AF590D" w:rsidRDefault="009F6716" w:rsidP="009F6716">
      <w:pPr>
        <w:pStyle w:val="H4G"/>
      </w:pPr>
      <w:r>
        <w:tab/>
      </w:r>
      <w:r>
        <w:tab/>
      </w:r>
      <w:r w:rsidR="00C915CB" w:rsidRPr="00AF590D">
        <w:t>Consideration of the merits</w:t>
      </w:r>
    </w:p>
    <w:p w:rsidR="00C915CB" w:rsidRPr="007A2349" w:rsidRDefault="00C915CB" w:rsidP="009F6716">
      <w:pPr>
        <w:pStyle w:val="SingleTxtG"/>
      </w:pPr>
      <w:r>
        <w:t>7.1</w:t>
      </w:r>
      <w:r>
        <w:tab/>
      </w:r>
      <w:r w:rsidRPr="007A2349">
        <w:t xml:space="preserve">The Human Rights Committee has considered the communications in the light of all the information </w:t>
      </w:r>
      <w:r w:rsidRPr="009F6716">
        <w:t>made</w:t>
      </w:r>
      <w:r w:rsidRPr="007A2349">
        <w:t xml:space="preserve"> available to it by the parties, as provided for under </w:t>
      </w:r>
      <w:r w:rsidR="00CA2992">
        <w:t>article </w:t>
      </w:r>
      <w:r w:rsidRPr="007A2349">
        <w:t xml:space="preserve">5, </w:t>
      </w:r>
      <w:r w:rsidR="00CA2992">
        <w:t>paragraph </w:t>
      </w:r>
      <w:r w:rsidRPr="007A2349">
        <w:t>1, of the Optional Protocol.</w:t>
      </w:r>
    </w:p>
    <w:p w:rsidR="00FF53CF" w:rsidRDefault="00C915CB" w:rsidP="00251F20">
      <w:pPr>
        <w:pStyle w:val="SingleTxtG"/>
      </w:pPr>
      <w:r>
        <w:t>7</w:t>
      </w:r>
      <w:r w:rsidRPr="00F07EF3">
        <w:t>.2</w:t>
      </w:r>
      <w:r w:rsidRPr="00F07EF3">
        <w:tab/>
      </w:r>
      <w:r w:rsidR="00FF53CF">
        <w:t xml:space="preserve">Regarding the author’s claim under </w:t>
      </w:r>
      <w:r w:rsidR="00CA2992">
        <w:t>article </w:t>
      </w:r>
      <w:r w:rsidR="00FF53CF">
        <w:t>9 of the Covenant, the Committee observes that there is a disagreement between the parties as to the legal basis for her arrest</w:t>
      </w:r>
      <w:r w:rsidR="0036376F">
        <w:t>, but that it is undisputed that</w:t>
      </w:r>
      <w:r w:rsidR="00DE3F54">
        <w:t>,</w:t>
      </w:r>
      <w:r w:rsidR="0036376F">
        <w:t xml:space="preserve"> </w:t>
      </w:r>
      <w:r w:rsidR="0036376F" w:rsidRPr="00FF53CF">
        <w:t xml:space="preserve">on </w:t>
      </w:r>
      <w:r w:rsidR="0036376F">
        <w:t xml:space="preserve">16 March 2010, </w:t>
      </w:r>
      <w:r w:rsidR="0036376F" w:rsidRPr="00FF53CF">
        <w:t xml:space="preserve">the police </w:t>
      </w:r>
      <w:r w:rsidR="0036376F">
        <w:t xml:space="preserve">entered the author’s office and arrested her. </w:t>
      </w:r>
      <w:r w:rsidR="00FF53CF" w:rsidRPr="00FF53CF">
        <w:t>The Committee recalls that</w:t>
      </w:r>
      <w:r w:rsidR="00DE3F54">
        <w:t>,</w:t>
      </w:r>
      <w:r w:rsidR="00FF53CF" w:rsidRPr="00FF53CF">
        <w:t xml:space="preserve"> </w:t>
      </w:r>
      <w:r w:rsidR="00DE3F54">
        <w:t xml:space="preserve">in order </w:t>
      </w:r>
      <w:r w:rsidR="00FF53CF" w:rsidRPr="00FF53CF">
        <w:t xml:space="preserve">for an arrest to be in compliance with </w:t>
      </w:r>
      <w:r w:rsidR="00CA2992">
        <w:t>article </w:t>
      </w:r>
      <w:r w:rsidR="00FF53CF" w:rsidRPr="00FF53CF">
        <w:t xml:space="preserve">9, </w:t>
      </w:r>
      <w:r w:rsidR="00CA2992">
        <w:t>paragraph </w:t>
      </w:r>
      <w:r w:rsidR="00FF53CF" w:rsidRPr="00FF53CF">
        <w:t>1, it must not only be lawful, but also reasonable and necessary in all the circumstances.</w:t>
      </w:r>
      <w:r w:rsidR="00AE70D1">
        <w:rPr>
          <w:rStyle w:val="FootnoteReference"/>
        </w:rPr>
        <w:footnoteReference w:id="12"/>
      </w:r>
      <w:r w:rsidR="00AE70D1">
        <w:t xml:space="preserve"> </w:t>
      </w:r>
      <w:r w:rsidR="00D124E7">
        <w:t>The Committee observes that the State party has not provided any justification as to why the arr</w:t>
      </w:r>
      <w:r w:rsidR="0036376F">
        <w:t>est o</w:t>
      </w:r>
      <w:r w:rsidR="00D124E7">
        <w:t xml:space="preserve">f the author </w:t>
      </w:r>
      <w:r w:rsidR="0036376F">
        <w:t xml:space="preserve">under the </w:t>
      </w:r>
      <w:r w:rsidR="0036376F" w:rsidRPr="00AE70D1">
        <w:rPr>
          <w:rFonts w:eastAsia="Verdana"/>
        </w:rPr>
        <w:t>Code of Administrative Procedure</w:t>
      </w:r>
      <w:r w:rsidR="0036376F">
        <w:t xml:space="preserve"> </w:t>
      </w:r>
      <w:r w:rsidR="00D124E7">
        <w:t>was reasonable</w:t>
      </w:r>
      <w:r w:rsidR="00FF53CF" w:rsidRPr="00FF53CF">
        <w:t xml:space="preserve"> and necessary</w:t>
      </w:r>
      <w:r w:rsidR="00D124E7">
        <w:rPr>
          <w:rFonts w:eastAsia="Verdana"/>
        </w:rPr>
        <w:t xml:space="preserve">. </w:t>
      </w:r>
      <w:r w:rsidR="00D124E7">
        <w:t>T</w:t>
      </w:r>
      <w:r w:rsidR="00FF53CF" w:rsidRPr="00FF53CF">
        <w:t>he Committee considers that the State party has failed to show why it was necessary to detain the author</w:t>
      </w:r>
      <w:r w:rsidR="00D124E7">
        <w:t>.</w:t>
      </w:r>
      <w:r w:rsidR="00FF53CF" w:rsidRPr="00FF53CF">
        <w:t xml:space="preserve"> In the circumstances, the Committee finds that the author</w:t>
      </w:r>
      <w:r w:rsidR="00BD3701">
        <w:t>’</w:t>
      </w:r>
      <w:r w:rsidR="00FF53CF" w:rsidRPr="00FF53CF">
        <w:t xml:space="preserve">s detention was unreasonable and constituted a violation of </w:t>
      </w:r>
      <w:r w:rsidR="00CA2992">
        <w:t>article </w:t>
      </w:r>
      <w:r w:rsidR="00FF53CF" w:rsidRPr="00FF53CF">
        <w:t xml:space="preserve">9, </w:t>
      </w:r>
      <w:r w:rsidR="00CA2992">
        <w:t>paragraph </w:t>
      </w:r>
      <w:r w:rsidR="00FF53CF" w:rsidRPr="00FF53CF">
        <w:t>1, of the Covenant.</w:t>
      </w:r>
    </w:p>
    <w:p w:rsidR="00C915CB" w:rsidRPr="003D1B06" w:rsidRDefault="00FF53CF" w:rsidP="00251F20">
      <w:pPr>
        <w:pStyle w:val="SingleTxtG"/>
        <w:rPr>
          <w:color w:val="000000"/>
          <w:lang w:eastAsia="en-GB"/>
        </w:rPr>
      </w:pPr>
      <w:r>
        <w:t>7.3</w:t>
      </w:r>
      <w:r>
        <w:tab/>
      </w:r>
      <w:r w:rsidR="00BD3701">
        <w:rPr>
          <w:color w:val="000000"/>
          <w:lang w:eastAsia="en-GB"/>
        </w:rPr>
        <w:t>The Committee notes the author’</w:t>
      </w:r>
      <w:r w:rsidR="00C915CB" w:rsidRPr="003D1B06">
        <w:rPr>
          <w:color w:val="000000"/>
          <w:lang w:eastAsia="en-GB"/>
        </w:rPr>
        <w:t>s allegations that that the authorities violated h</w:t>
      </w:r>
      <w:r w:rsidR="00C915CB">
        <w:rPr>
          <w:color w:val="000000"/>
          <w:lang w:eastAsia="en-GB"/>
        </w:rPr>
        <w:t>er</w:t>
      </w:r>
      <w:r w:rsidR="00C915CB" w:rsidRPr="003D1B06">
        <w:rPr>
          <w:color w:val="000000"/>
          <w:lang w:eastAsia="en-GB"/>
        </w:rPr>
        <w:t xml:space="preserve"> rights under </w:t>
      </w:r>
      <w:r w:rsidR="00CA2992">
        <w:rPr>
          <w:color w:val="000000"/>
          <w:lang w:eastAsia="en-GB"/>
        </w:rPr>
        <w:t>article </w:t>
      </w:r>
      <w:r w:rsidR="00C915CB" w:rsidRPr="003D1B06">
        <w:rPr>
          <w:color w:val="000000"/>
          <w:lang w:eastAsia="en-GB"/>
        </w:rPr>
        <w:t xml:space="preserve">19 of the Covenant. From the material before the Committee, it transpires that the author had been arrested and subsequently convicted and fined for </w:t>
      </w:r>
      <w:r w:rsidR="00C915CB">
        <w:rPr>
          <w:color w:val="000000"/>
          <w:lang w:eastAsia="en-GB"/>
        </w:rPr>
        <w:t>organi</w:t>
      </w:r>
      <w:r w:rsidR="00B02B87">
        <w:rPr>
          <w:color w:val="000000"/>
          <w:lang w:eastAsia="en-GB"/>
        </w:rPr>
        <w:t>z</w:t>
      </w:r>
      <w:r w:rsidR="00C915CB">
        <w:rPr>
          <w:color w:val="000000"/>
          <w:lang w:eastAsia="en-GB"/>
        </w:rPr>
        <w:t xml:space="preserve">ing and participating in an art-mob </w:t>
      </w:r>
      <w:r w:rsidR="00B02B87">
        <w:rPr>
          <w:color w:val="000000"/>
          <w:lang w:eastAsia="en-GB"/>
        </w:rPr>
        <w:t xml:space="preserve">event </w:t>
      </w:r>
      <w:r w:rsidR="00C915CB">
        <w:rPr>
          <w:color w:val="000000"/>
          <w:lang w:eastAsia="en-GB"/>
        </w:rPr>
        <w:t>without requesting prior permission from the local executive authorities</w:t>
      </w:r>
      <w:r w:rsidR="00C915CB" w:rsidRPr="003D1B06">
        <w:rPr>
          <w:color w:val="000000"/>
          <w:lang w:eastAsia="en-GB"/>
        </w:rPr>
        <w:t>. In the opinion</w:t>
      </w:r>
      <w:r w:rsidR="00B02B87">
        <w:rPr>
          <w:color w:val="000000"/>
          <w:lang w:eastAsia="en-GB"/>
        </w:rPr>
        <w:t xml:space="preserve"> of the </w:t>
      </w:r>
      <w:r w:rsidR="00B02B87" w:rsidRPr="003D1B06">
        <w:rPr>
          <w:color w:val="000000"/>
          <w:lang w:eastAsia="en-GB"/>
        </w:rPr>
        <w:t>Committee</w:t>
      </w:r>
      <w:r w:rsidR="00C915CB" w:rsidRPr="003D1B06">
        <w:rPr>
          <w:color w:val="000000"/>
          <w:lang w:eastAsia="en-GB"/>
        </w:rPr>
        <w:t xml:space="preserve">, the above actions of the authorities interfere with the author’s right </w:t>
      </w:r>
      <w:r w:rsidR="00B02B87" w:rsidRPr="001C6BF4">
        <w:rPr>
          <w:rFonts w:eastAsia="Verdana"/>
          <w:lang w:val="en-US"/>
        </w:rPr>
        <w:t xml:space="preserve">to freedom of expression </w:t>
      </w:r>
      <w:r w:rsidR="00C915CB">
        <w:rPr>
          <w:color w:val="000000"/>
          <w:lang w:eastAsia="en-GB"/>
        </w:rPr>
        <w:t xml:space="preserve">and to </w:t>
      </w:r>
      <w:r w:rsidR="00C915CB" w:rsidRPr="003D1B06">
        <w:rPr>
          <w:color w:val="000000"/>
          <w:lang w:eastAsia="en-GB"/>
        </w:rPr>
        <w:t xml:space="preserve">impart information and ideas of all kind, which is protected under </w:t>
      </w:r>
      <w:r w:rsidR="00CA2992">
        <w:rPr>
          <w:color w:val="000000"/>
          <w:lang w:eastAsia="en-GB"/>
        </w:rPr>
        <w:t>article </w:t>
      </w:r>
      <w:r w:rsidR="00C915CB" w:rsidRPr="003D1B06">
        <w:rPr>
          <w:color w:val="000000"/>
          <w:lang w:eastAsia="en-GB"/>
        </w:rPr>
        <w:t xml:space="preserve">19, </w:t>
      </w:r>
      <w:r w:rsidR="00CA2992">
        <w:rPr>
          <w:color w:val="000000"/>
          <w:lang w:eastAsia="en-GB"/>
        </w:rPr>
        <w:t>paragraph </w:t>
      </w:r>
      <w:r w:rsidR="00C915CB" w:rsidRPr="003D1B06">
        <w:rPr>
          <w:color w:val="000000"/>
          <w:lang w:eastAsia="en-GB"/>
        </w:rPr>
        <w:t xml:space="preserve">2, of the Covenant. </w:t>
      </w:r>
    </w:p>
    <w:p w:rsidR="00C915CB" w:rsidRPr="003D1B06" w:rsidRDefault="00C915CB" w:rsidP="00251F20">
      <w:pPr>
        <w:pStyle w:val="SingleTxtG"/>
        <w:rPr>
          <w:color w:val="000000"/>
          <w:lang w:eastAsia="en-GB"/>
        </w:rPr>
      </w:pPr>
      <w:r>
        <w:rPr>
          <w:color w:val="000000"/>
          <w:lang w:eastAsia="en-GB"/>
        </w:rPr>
        <w:t>7</w:t>
      </w:r>
      <w:r w:rsidRPr="003D1B06">
        <w:rPr>
          <w:color w:val="000000"/>
          <w:lang w:eastAsia="en-GB"/>
        </w:rPr>
        <w:t>.</w:t>
      </w:r>
      <w:r w:rsidR="00FF53CF">
        <w:rPr>
          <w:color w:val="000000"/>
          <w:lang w:eastAsia="en-GB"/>
        </w:rPr>
        <w:t>4</w:t>
      </w:r>
      <w:r w:rsidRPr="003D1B06">
        <w:rPr>
          <w:color w:val="000000"/>
          <w:lang w:eastAsia="en-GB"/>
        </w:rPr>
        <w:tab/>
        <w:t>The Committee has next to consider whether the restrictions im</w:t>
      </w:r>
      <w:r w:rsidR="00BD3701">
        <w:rPr>
          <w:color w:val="000000"/>
          <w:lang w:eastAsia="en-GB"/>
        </w:rPr>
        <w:t>posed on the author’</w:t>
      </w:r>
      <w:r w:rsidRPr="003D1B06">
        <w:rPr>
          <w:color w:val="000000"/>
          <w:lang w:eastAsia="en-GB"/>
        </w:rPr>
        <w:t xml:space="preserve">s freedom to impart information </w:t>
      </w:r>
      <w:r>
        <w:rPr>
          <w:color w:val="000000"/>
          <w:lang w:eastAsia="en-GB"/>
        </w:rPr>
        <w:t xml:space="preserve">and ideas </w:t>
      </w:r>
      <w:r w:rsidRPr="003D1B06">
        <w:rPr>
          <w:color w:val="000000"/>
          <w:lang w:eastAsia="en-GB"/>
        </w:rPr>
        <w:t xml:space="preserve">are justified under any of the criteria set out in </w:t>
      </w:r>
      <w:r w:rsidR="00CA2992">
        <w:rPr>
          <w:color w:val="000000"/>
          <w:lang w:eastAsia="en-GB"/>
        </w:rPr>
        <w:t>article </w:t>
      </w:r>
      <w:r w:rsidRPr="003D1B06">
        <w:rPr>
          <w:color w:val="000000"/>
          <w:lang w:eastAsia="en-GB"/>
        </w:rPr>
        <w:t xml:space="preserve">19, </w:t>
      </w:r>
      <w:r w:rsidR="00CA2992">
        <w:rPr>
          <w:color w:val="000000"/>
          <w:lang w:eastAsia="en-GB"/>
        </w:rPr>
        <w:t>paragraph </w:t>
      </w:r>
      <w:r w:rsidRPr="003D1B06">
        <w:rPr>
          <w:color w:val="000000"/>
          <w:lang w:eastAsia="en-GB"/>
        </w:rPr>
        <w:t>3, of the Covenant. The Committee recalls in this respect its general comment 34, in which it stated, inter alia, that the freedom of expression is essential for any society and a foundation stone for every free and democratic society.</w:t>
      </w:r>
      <w:r w:rsidRPr="003D1B06">
        <w:rPr>
          <w:color w:val="000000"/>
          <w:vertAlign w:val="superscript"/>
          <w:lang w:eastAsia="en-GB"/>
        </w:rPr>
        <w:footnoteReference w:id="13"/>
      </w:r>
      <w:r w:rsidRPr="003D1B06">
        <w:rPr>
          <w:color w:val="000000"/>
          <w:lang w:eastAsia="en-GB"/>
        </w:rPr>
        <w:t xml:space="preserve"> It notes that </w:t>
      </w:r>
      <w:r w:rsidR="00CA2992">
        <w:rPr>
          <w:color w:val="000000"/>
          <w:lang w:eastAsia="en-GB"/>
        </w:rPr>
        <w:t>article </w:t>
      </w:r>
      <w:r w:rsidRPr="003D1B06">
        <w:rPr>
          <w:color w:val="000000"/>
          <w:lang w:eastAsia="en-GB"/>
        </w:rPr>
        <w:t xml:space="preserve">19, </w:t>
      </w:r>
      <w:r w:rsidR="00CA2992">
        <w:rPr>
          <w:color w:val="000000"/>
          <w:lang w:eastAsia="en-GB"/>
        </w:rPr>
        <w:t>paragraph </w:t>
      </w:r>
      <w:r w:rsidRPr="003D1B06">
        <w:rPr>
          <w:color w:val="000000"/>
          <w:lang w:eastAsia="en-GB"/>
        </w:rPr>
        <w:t>3, allows restrictions on the freedom of expression, including the freedom to impart information and ideas, only to the extent that they are provided by law and only if they are necessary (a) for respect of the rights and reputation of others; or (b) for the protection of national security or public order (</w:t>
      </w:r>
      <w:r w:rsidRPr="003D1B06">
        <w:rPr>
          <w:i/>
          <w:iCs/>
          <w:color w:val="000000"/>
          <w:lang w:eastAsia="en-GB"/>
        </w:rPr>
        <w:t>ordre public</w:t>
      </w:r>
      <w:r w:rsidRPr="003D1B06">
        <w:rPr>
          <w:color w:val="000000"/>
          <w:lang w:eastAsia="en-GB"/>
        </w:rPr>
        <w:t xml:space="preserve">), or of public health or morals. Finally, any restriction on </w:t>
      </w:r>
      <w:r w:rsidR="0092563B">
        <w:rPr>
          <w:color w:val="000000"/>
          <w:lang w:eastAsia="en-GB"/>
        </w:rPr>
        <w:t xml:space="preserve">the </w:t>
      </w:r>
      <w:r w:rsidRPr="003D1B06">
        <w:rPr>
          <w:color w:val="000000"/>
          <w:lang w:eastAsia="en-GB"/>
        </w:rPr>
        <w:t>freedom of expression must not be overbroad in nature</w:t>
      </w:r>
      <w:r w:rsidR="0092563B">
        <w:rPr>
          <w:color w:val="000000"/>
          <w:lang w:eastAsia="en-GB"/>
        </w:rPr>
        <w:t>,</w:t>
      </w:r>
      <w:r w:rsidRPr="003D1B06">
        <w:rPr>
          <w:color w:val="000000"/>
          <w:lang w:eastAsia="en-GB"/>
        </w:rPr>
        <w:t xml:space="preserve"> </w:t>
      </w:r>
      <w:r w:rsidR="0092563B">
        <w:rPr>
          <w:color w:val="000000"/>
          <w:lang w:eastAsia="en-GB"/>
        </w:rPr>
        <w:t>that is</w:t>
      </w:r>
      <w:r w:rsidRPr="003D1B06">
        <w:rPr>
          <w:color w:val="000000"/>
          <w:lang w:eastAsia="en-GB"/>
        </w:rPr>
        <w:t xml:space="preserve">, it must be the least intrusive among the measures </w:t>
      </w:r>
      <w:r w:rsidR="0092563B">
        <w:rPr>
          <w:color w:val="000000"/>
          <w:lang w:eastAsia="en-GB"/>
        </w:rPr>
        <w:t xml:space="preserve">that </w:t>
      </w:r>
      <w:r w:rsidRPr="003D1B06">
        <w:rPr>
          <w:color w:val="000000"/>
          <w:lang w:eastAsia="en-GB"/>
        </w:rPr>
        <w:t>might achieve the relevant protective function and proportionate to the interest whose protection is sought.</w:t>
      </w:r>
      <w:r w:rsidRPr="003D1B06">
        <w:rPr>
          <w:color w:val="000000"/>
          <w:vertAlign w:val="superscript"/>
          <w:lang w:eastAsia="en-GB"/>
        </w:rPr>
        <w:footnoteReference w:id="14"/>
      </w:r>
      <w:r w:rsidR="00D275CB">
        <w:rPr>
          <w:color w:val="000000"/>
          <w:lang w:eastAsia="en-GB"/>
        </w:rPr>
        <w:t xml:space="preserve"> </w:t>
      </w:r>
    </w:p>
    <w:p w:rsidR="00C915CB" w:rsidRPr="003D1B06" w:rsidRDefault="00C915CB" w:rsidP="008B60B0">
      <w:pPr>
        <w:pStyle w:val="SingleTxtG"/>
        <w:rPr>
          <w:color w:val="000000"/>
          <w:lang w:eastAsia="en-GB"/>
        </w:rPr>
      </w:pPr>
      <w:r>
        <w:rPr>
          <w:color w:val="000000"/>
          <w:lang w:eastAsia="en-GB"/>
        </w:rPr>
        <w:t>7</w:t>
      </w:r>
      <w:r w:rsidRPr="003D1B06">
        <w:rPr>
          <w:color w:val="000000"/>
          <w:lang w:eastAsia="en-GB"/>
        </w:rPr>
        <w:t>.</w:t>
      </w:r>
      <w:r w:rsidR="00FF53CF">
        <w:rPr>
          <w:color w:val="000000"/>
          <w:lang w:eastAsia="en-GB"/>
        </w:rPr>
        <w:t>5</w:t>
      </w:r>
      <w:r w:rsidRPr="003D1B06">
        <w:rPr>
          <w:color w:val="000000"/>
          <w:lang w:eastAsia="en-GB"/>
        </w:rPr>
        <w:tab/>
        <w:t>The Committee observes that</w:t>
      </w:r>
      <w:r w:rsidR="0092563B">
        <w:rPr>
          <w:color w:val="000000"/>
          <w:lang w:eastAsia="en-GB"/>
        </w:rPr>
        <w:t>,</w:t>
      </w:r>
      <w:r w:rsidRPr="003D1B06">
        <w:rPr>
          <w:color w:val="000000"/>
          <w:lang w:eastAsia="en-GB"/>
        </w:rPr>
        <w:t xml:space="preserve"> in the present case</w:t>
      </w:r>
      <w:r>
        <w:rPr>
          <w:color w:val="000000"/>
          <w:lang w:eastAsia="en-GB"/>
        </w:rPr>
        <w:t>,</w:t>
      </w:r>
      <w:r w:rsidRPr="003D1B06">
        <w:rPr>
          <w:color w:val="000000"/>
          <w:lang w:eastAsia="en-GB"/>
        </w:rPr>
        <w:t xml:space="preserve"> the</w:t>
      </w:r>
      <w:r>
        <w:rPr>
          <w:color w:val="000000"/>
          <w:lang w:eastAsia="en-GB"/>
        </w:rPr>
        <w:t xml:space="preserve"> </w:t>
      </w:r>
      <w:r w:rsidRPr="003D1B06">
        <w:rPr>
          <w:color w:val="000000"/>
          <w:lang w:eastAsia="en-GB"/>
        </w:rPr>
        <w:t>detention of the author and the imposition of a significant fine on h</w:t>
      </w:r>
      <w:r>
        <w:rPr>
          <w:color w:val="000000"/>
          <w:lang w:eastAsia="en-GB"/>
        </w:rPr>
        <w:t xml:space="preserve">er </w:t>
      </w:r>
      <w:r w:rsidRPr="003D1B06">
        <w:rPr>
          <w:color w:val="000000"/>
          <w:lang w:eastAsia="en-GB"/>
        </w:rPr>
        <w:t xml:space="preserve">raise serious doubts as to the necessity and proportionality of the restrictions </w:t>
      </w:r>
      <w:r>
        <w:rPr>
          <w:color w:val="000000"/>
          <w:lang w:eastAsia="en-GB"/>
        </w:rPr>
        <w:t xml:space="preserve">imposed </w:t>
      </w:r>
      <w:r w:rsidRPr="003D1B06">
        <w:rPr>
          <w:color w:val="000000"/>
          <w:lang w:eastAsia="en-GB"/>
        </w:rPr>
        <w:t xml:space="preserve">on the author’s rights. The Committee further </w:t>
      </w:r>
      <w:r w:rsidRPr="003D1B06">
        <w:rPr>
          <w:color w:val="000000"/>
          <w:lang w:eastAsia="en-GB"/>
        </w:rPr>
        <w:lastRenderedPageBreak/>
        <w:t xml:space="preserve">observes that the State party has failed to invoke any specific grounds to support the necessity of the restrictions imposed on the author as required under </w:t>
      </w:r>
      <w:r w:rsidR="00CA2992">
        <w:rPr>
          <w:color w:val="000000"/>
          <w:lang w:eastAsia="en-GB"/>
        </w:rPr>
        <w:t>article </w:t>
      </w:r>
      <w:r w:rsidRPr="003D1B06">
        <w:rPr>
          <w:color w:val="000000"/>
          <w:lang w:eastAsia="en-GB"/>
        </w:rPr>
        <w:t xml:space="preserve">19, </w:t>
      </w:r>
      <w:r w:rsidR="00CA2992">
        <w:rPr>
          <w:color w:val="000000"/>
          <w:lang w:eastAsia="en-GB"/>
        </w:rPr>
        <w:t>paragraph </w:t>
      </w:r>
      <w:r w:rsidRPr="003D1B06">
        <w:rPr>
          <w:color w:val="000000"/>
          <w:lang w:eastAsia="en-GB"/>
        </w:rPr>
        <w:t>3, of the Covenant.</w:t>
      </w:r>
      <w:r w:rsidRPr="003D1B06">
        <w:rPr>
          <w:color w:val="000000"/>
          <w:vertAlign w:val="superscript"/>
          <w:lang w:eastAsia="en-GB"/>
        </w:rPr>
        <w:footnoteReference w:id="15"/>
      </w:r>
      <w:r w:rsidRPr="003D1B06">
        <w:rPr>
          <w:color w:val="000000"/>
          <w:lang w:eastAsia="en-GB"/>
        </w:rPr>
        <w:t xml:space="preserve"> </w:t>
      </w:r>
      <w:r w:rsidR="008B60B0">
        <w:rPr>
          <w:color w:val="000000"/>
          <w:lang w:eastAsia="en-GB"/>
        </w:rPr>
        <w:t>Moreover, t</w:t>
      </w:r>
      <w:r w:rsidRPr="003D1B06">
        <w:rPr>
          <w:color w:val="000000"/>
          <w:lang w:eastAsia="en-GB"/>
        </w:rPr>
        <w:t xml:space="preserve">he State party </w:t>
      </w:r>
      <w:r w:rsidR="008B60B0">
        <w:rPr>
          <w:color w:val="000000"/>
          <w:lang w:eastAsia="en-GB"/>
        </w:rPr>
        <w:t xml:space="preserve">did not </w:t>
      </w:r>
      <w:r w:rsidRPr="003D1B06">
        <w:rPr>
          <w:color w:val="000000"/>
          <w:lang w:eastAsia="en-GB"/>
        </w:rPr>
        <w:t xml:space="preserve">demonstrate that the measures selected were least intrusive in nature or proportionate to the interest it sought to protect. The Committee considers that, in the circumstances of the case, the limitations on the author, although </w:t>
      </w:r>
      <w:r w:rsidR="007B54F6" w:rsidRPr="003D1B06">
        <w:rPr>
          <w:color w:val="000000"/>
          <w:lang w:eastAsia="en-GB"/>
        </w:rPr>
        <w:t xml:space="preserve">imposed </w:t>
      </w:r>
      <w:r w:rsidR="007B54F6">
        <w:rPr>
          <w:color w:val="000000"/>
          <w:lang w:eastAsia="en-GB"/>
        </w:rPr>
        <w:t xml:space="preserve">on the basis of </w:t>
      </w:r>
      <w:r w:rsidRPr="003D1B06">
        <w:rPr>
          <w:color w:val="000000"/>
          <w:lang w:eastAsia="en-GB"/>
        </w:rPr>
        <w:t xml:space="preserve">domestic law, were not </w:t>
      </w:r>
      <w:r w:rsidR="00BD1C0C">
        <w:rPr>
          <w:color w:val="000000"/>
          <w:lang w:eastAsia="en-GB"/>
        </w:rPr>
        <w:t xml:space="preserve">shown to be </w:t>
      </w:r>
      <w:r w:rsidRPr="003D1B06">
        <w:rPr>
          <w:color w:val="000000"/>
          <w:lang w:eastAsia="en-GB"/>
        </w:rPr>
        <w:t xml:space="preserve">justified </w:t>
      </w:r>
      <w:r w:rsidR="00BD1C0C">
        <w:rPr>
          <w:color w:val="000000"/>
          <w:lang w:eastAsia="en-GB"/>
        </w:rPr>
        <w:t xml:space="preserve">and proportional </w:t>
      </w:r>
      <w:r w:rsidRPr="003D1B06">
        <w:rPr>
          <w:color w:val="000000"/>
          <w:lang w:eastAsia="en-GB"/>
        </w:rPr>
        <w:t xml:space="preserve">pursuant to the conditions set out in </w:t>
      </w:r>
      <w:r w:rsidR="00CA2992">
        <w:rPr>
          <w:color w:val="000000"/>
          <w:lang w:eastAsia="en-GB"/>
        </w:rPr>
        <w:t>article </w:t>
      </w:r>
      <w:r w:rsidRPr="003D1B06">
        <w:rPr>
          <w:color w:val="000000"/>
          <w:lang w:eastAsia="en-GB"/>
        </w:rPr>
        <w:t xml:space="preserve">19, </w:t>
      </w:r>
      <w:r w:rsidR="00CA2992">
        <w:rPr>
          <w:color w:val="000000"/>
          <w:lang w:eastAsia="en-GB"/>
        </w:rPr>
        <w:t>paragraph </w:t>
      </w:r>
      <w:r w:rsidRPr="003D1B06">
        <w:rPr>
          <w:color w:val="000000"/>
          <w:lang w:eastAsia="en-GB"/>
        </w:rPr>
        <w:t>3, of the Covenant. It ther</w:t>
      </w:r>
      <w:r w:rsidR="00BD3701">
        <w:rPr>
          <w:color w:val="000000"/>
          <w:lang w:eastAsia="en-GB"/>
        </w:rPr>
        <w:t>efore concludes that the author’</w:t>
      </w:r>
      <w:r w:rsidRPr="003D1B06">
        <w:rPr>
          <w:color w:val="000000"/>
          <w:lang w:eastAsia="en-GB"/>
        </w:rPr>
        <w:t xml:space="preserve">s rights under </w:t>
      </w:r>
      <w:r w:rsidR="00CA2992">
        <w:rPr>
          <w:color w:val="000000"/>
          <w:lang w:eastAsia="en-GB"/>
        </w:rPr>
        <w:t>article </w:t>
      </w:r>
      <w:r w:rsidRPr="003D1B06">
        <w:rPr>
          <w:color w:val="000000"/>
          <w:lang w:eastAsia="en-GB"/>
        </w:rPr>
        <w:t xml:space="preserve">19, </w:t>
      </w:r>
      <w:r w:rsidR="00CA2992">
        <w:rPr>
          <w:color w:val="000000"/>
          <w:lang w:eastAsia="en-GB"/>
        </w:rPr>
        <w:t>paragraph </w:t>
      </w:r>
      <w:r w:rsidRPr="003D1B06">
        <w:rPr>
          <w:color w:val="000000"/>
          <w:lang w:eastAsia="en-GB"/>
        </w:rPr>
        <w:t>2, of the Covenant have been violated.</w:t>
      </w:r>
      <w:r w:rsidRPr="003D1B06">
        <w:rPr>
          <w:color w:val="000000"/>
          <w:vertAlign w:val="superscript"/>
          <w:lang w:eastAsia="en-GB"/>
        </w:rPr>
        <w:footnoteReference w:id="16"/>
      </w:r>
      <w:r w:rsidRPr="003D1B06">
        <w:rPr>
          <w:color w:val="000000"/>
          <w:lang w:eastAsia="en-GB"/>
        </w:rPr>
        <w:t xml:space="preserve"> </w:t>
      </w:r>
    </w:p>
    <w:p w:rsidR="00C915CB" w:rsidRPr="003D1B06" w:rsidRDefault="00C915CB" w:rsidP="00251F20">
      <w:pPr>
        <w:pStyle w:val="SingleTxtG"/>
        <w:rPr>
          <w:color w:val="000000"/>
          <w:lang w:eastAsia="en-GB"/>
        </w:rPr>
      </w:pPr>
      <w:r w:rsidRPr="00BA0BEF">
        <w:rPr>
          <w:color w:val="000000"/>
          <w:lang w:eastAsia="en-GB"/>
        </w:rPr>
        <w:t>7.</w:t>
      </w:r>
      <w:r w:rsidR="00FF53CF">
        <w:rPr>
          <w:color w:val="000000"/>
          <w:lang w:eastAsia="en-GB"/>
        </w:rPr>
        <w:t>6</w:t>
      </w:r>
      <w:r w:rsidRPr="00BA0BEF">
        <w:tab/>
      </w:r>
      <w:r w:rsidR="00BD3701">
        <w:t>Regarding the author’</w:t>
      </w:r>
      <w:r w:rsidRPr="00BA0BEF">
        <w:t xml:space="preserve">s claim under </w:t>
      </w:r>
      <w:r w:rsidR="00CA2992">
        <w:t>article </w:t>
      </w:r>
      <w:r w:rsidRPr="00BA0BEF">
        <w:t xml:space="preserve">21 of the Covenant, the Committee </w:t>
      </w:r>
      <w:r w:rsidR="00BD1C0C">
        <w:t xml:space="preserve">similarly </w:t>
      </w:r>
      <w:r w:rsidRPr="00BA0BEF">
        <w:t>considers that the State party has failed to demonstrate that the restrictions imposed on the author</w:t>
      </w:r>
      <w:r w:rsidR="00FF53CF">
        <w:t>’s rights</w:t>
      </w:r>
      <w:r w:rsidR="00AC0A04">
        <w:t>, namely</w:t>
      </w:r>
      <w:r w:rsidR="007B54F6">
        <w:t>,</w:t>
      </w:r>
      <w:r w:rsidR="00AC0A04">
        <w:t xml:space="preserve"> </w:t>
      </w:r>
      <w:r w:rsidR="00AC0A04" w:rsidRPr="003D1B06">
        <w:rPr>
          <w:color w:val="000000"/>
          <w:lang w:eastAsia="en-GB"/>
        </w:rPr>
        <w:t>the</w:t>
      </w:r>
      <w:r w:rsidR="00AC0A04">
        <w:rPr>
          <w:color w:val="000000"/>
          <w:lang w:eastAsia="en-GB"/>
        </w:rPr>
        <w:t xml:space="preserve"> </w:t>
      </w:r>
      <w:r w:rsidR="00AC0A04" w:rsidRPr="003D1B06">
        <w:rPr>
          <w:color w:val="000000"/>
          <w:lang w:eastAsia="en-GB"/>
        </w:rPr>
        <w:t xml:space="preserve">detention of the author and the imposition </w:t>
      </w:r>
      <w:r w:rsidR="007B54F6" w:rsidRPr="003D1B06">
        <w:rPr>
          <w:color w:val="000000"/>
          <w:lang w:eastAsia="en-GB"/>
        </w:rPr>
        <w:t>on h</w:t>
      </w:r>
      <w:r w:rsidR="007B54F6">
        <w:rPr>
          <w:color w:val="000000"/>
          <w:lang w:eastAsia="en-GB"/>
        </w:rPr>
        <w:t xml:space="preserve">er </w:t>
      </w:r>
      <w:r w:rsidR="00AC0A04" w:rsidRPr="003D1B06">
        <w:rPr>
          <w:color w:val="000000"/>
          <w:lang w:eastAsia="en-GB"/>
        </w:rPr>
        <w:t>of a significant fine</w:t>
      </w:r>
      <w:r w:rsidR="00AC0A04">
        <w:rPr>
          <w:color w:val="000000"/>
          <w:lang w:eastAsia="en-GB"/>
        </w:rPr>
        <w:t>,</w:t>
      </w:r>
      <w:r w:rsidRPr="00BA0BEF">
        <w:t xml:space="preserve"> were necessary in the interest of national security or public safety, public order, the protection of public health or morals</w:t>
      </w:r>
      <w:r>
        <w:t>,</w:t>
      </w:r>
      <w:r w:rsidRPr="00BA0BEF">
        <w:t xml:space="preserve"> or the protection of the rights and freedoms of others. Accordingly, the Committee concludes that the facts before it resulted al</w:t>
      </w:r>
      <w:r w:rsidR="00BD3701">
        <w:t>so in a violation of the author’</w:t>
      </w:r>
      <w:r w:rsidRPr="00BA0BEF">
        <w:t xml:space="preserve">s rights under </w:t>
      </w:r>
      <w:r w:rsidR="00CA2992">
        <w:t>article </w:t>
      </w:r>
      <w:r w:rsidRPr="00BA0BEF">
        <w:t>21 of the Covenant.</w:t>
      </w:r>
      <w:r>
        <w:rPr>
          <w:rStyle w:val="FootnoteReference"/>
        </w:rPr>
        <w:footnoteReference w:id="17"/>
      </w:r>
    </w:p>
    <w:p w:rsidR="00C915CB" w:rsidRDefault="00C915CB" w:rsidP="009A3401">
      <w:pPr>
        <w:pStyle w:val="SingleTxtG"/>
      </w:pPr>
      <w:r>
        <w:t>8.</w:t>
      </w:r>
      <w:r w:rsidRPr="00AF590D">
        <w:tab/>
        <w:t xml:space="preserve">The Human Rights Committee, acting under </w:t>
      </w:r>
      <w:r w:rsidR="00CA2992">
        <w:t>article </w:t>
      </w:r>
      <w:r w:rsidRPr="00AF590D">
        <w:t xml:space="preserve">5, </w:t>
      </w:r>
      <w:r w:rsidR="00CA2992">
        <w:t>paragraph </w:t>
      </w:r>
      <w:r w:rsidRPr="00AF590D">
        <w:t>4, of the Optional Protocol to the International Covenant on Civil and Political Rights, is of the view that the facts before it disclose violation</w:t>
      </w:r>
      <w:r>
        <w:t>s</w:t>
      </w:r>
      <w:r w:rsidR="00BD3701">
        <w:t xml:space="preserve"> by Kazakhstan of the author’</w:t>
      </w:r>
      <w:r w:rsidRPr="00AF590D">
        <w:t>s rights under article</w:t>
      </w:r>
      <w:r>
        <w:t>s</w:t>
      </w:r>
      <w:r w:rsidR="00CA2992">
        <w:t> </w:t>
      </w:r>
      <w:r w:rsidR="00D124E7">
        <w:t>9,</w:t>
      </w:r>
      <w:r w:rsidRPr="00AF590D">
        <w:t xml:space="preserve"> </w:t>
      </w:r>
      <w:r>
        <w:t>19</w:t>
      </w:r>
      <w:r w:rsidR="009A3401">
        <w:t> </w:t>
      </w:r>
      <w:r>
        <w:t>and 21</w:t>
      </w:r>
      <w:r w:rsidRPr="00AF590D">
        <w:t xml:space="preserve"> of the Covenant. </w:t>
      </w:r>
    </w:p>
    <w:p w:rsidR="00C915CB" w:rsidRPr="00AF590D" w:rsidRDefault="00C915CB" w:rsidP="00251F20">
      <w:pPr>
        <w:pStyle w:val="SingleTxtG"/>
      </w:pPr>
      <w:r>
        <w:t>9</w:t>
      </w:r>
      <w:r w:rsidRPr="00AF590D">
        <w:t>.</w:t>
      </w:r>
      <w:r w:rsidRPr="00AF590D">
        <w:tab/>
        <w:t xml:space="preserve">In accordance with </w:t>
      </w:r>
      <w:r w:rsidR="00CA2992">
        <w:t>article </w:t>
      </w:r>
      <w:r w:rsidRPr="00AF590D">
        <w:t xml:space="preserve">2, </w:t>
      </w:r>
      <w:r w:rsidR="00CA2992">
        <w:t>paragraph 3 </w:t>
      </w:r>
      <w:r w:rsidRPr="00AF590D">
        <w:t xml:space="preserve">(a), of the Covenant, the State party is under an obligation to provide the author with an effective remedy, including </w:t>
      </w:r>
      <w:r>
        <w:t>review of her conviction and to an</w:t>
      </w:r>
      <w:r w:rsidRPr="006C6C87">
        <w:t xml:space="preserve"> adequate compensation</w:t>
      </w:r>
      <w:r>
        <w:t>, including reimbursement of the legal costs incurred.</w:t>
      </w:r>
      <w:r w:rsidRPr="00AF590D">
        <w:t xml:space="preserve"> The State party is also under an obligation to prevent similar violations in the future. </w:t>
      </w:r>
      <w:r>
        <w:t>The State party should review its legislation, in particular</w:t>
      </w:r>
      <w:r w:rsidRPr="00254D8B">
        <w:rPr>
          <w:rFonts w:eastAsia="Verdana"/>
        </w:rPr>
        <w:t xml:space="preserve"> </w:t>
      </w:r>
      <w:r w:rsidRPr="00254D8B">
        <w:t xml:space="preserve">the Law </w:t>
      </w:r>
      <w:r w:rsidR="009134E1">
        <w:t>o</w:t>
      </w:r>
      <w:r w:rsidRPr="00254D8B">
        <w:t>n the Order of Organization and Conduct of Peaceful Assemblies, Meetings, Processions, Pickets and Demonstrations in the Republic of Kazakhstan</w:t>
      </w:r>
      <w:r>
        <w:t>, as it has been applied in the present case, with a view to ensuring</w:t>
      </w:r>
      <w:r w:rsidR="00CA2992">
        <w:t xml:space="preserve"> that the rights under articles </w:t>
      </w:r>
      <w:r>
        <w:t xml:space="preserve">19 and 21 of the Covenant may be fully enjoyed in the State party. </w:t>
      </w:r>
    </w:p>
    <w:p w:rsidR="0031077E" w:rsidRDefault="00C915CB" w:rsidP="009F6716">
      <w:pPr>
        <w:pStyle w:val="SingleTxtG"/>
      </w:pPr>
      <w:r w:rsidRPr="00AF590D">
        <w:t>1</w:t>
      </w:r>
      <w:r>
        <w:t>0</w:t>
      </w:r>
      <w:r w:rsidRPr="00AF590D">
        <w:t>.</w:t>
      </w:r>
      <w:r w:rsidRPr="00AF590D">
        <w:tab/>
        <w:t xml:space="preserve">Bearing in mind that, by becoming a party to the Optional Protocol, the State party has recognized the competence of the Committee to determine whether there has been a violation of the Covenant or not and that, pursuant to </w:t>
      </w:r>
      <w:r w:rsidR="00CA2992">
        <w:t>article </w:t>
      </w:r>
      <w:r w:rsidRPr="00AF590D">
        <w:t xml:space="preserve">2 of the Covenant, the State party has undertaken to ensure to all individuals within its territory or subject to its jurisdiction the rights </w:t>
      </w:r>
      <w:r w:rsidRPr="009F6716">
        <w:t>recognized</w:t>
      </w:r>
      <w:r w:rsidRPr="00AF590D">
        <w:t xml:space="preserve"> in the Covenant and to provide an effective and enforceable remedy in case a violation has been established, the Committee wishes to receive from the State party, within 180 days, information about the measures taken </w:t>
      </w:r>
      <w:r w:rsidR="00BD3701">
        <w:t>to give effect to the Committee’</w:t>
      </w:r>
      <w:r w:rsidRPr="00AF590D">
        <w:t>s Views. The State party is also req</w:t>
      </w:r>
      <w:r w:rsidR="00BD3701">
        <w:t>uested to publish the Committee’</w:t>
      </w:r>
      <w:r w:rsidRPr="00AF590D">
        <w:t>s Views, to have them translated in official languages of the State party and widely distributed.</w:t>
      </w:r>
    </w:p>
    <w:p w:rsidR="009F6716" w:rsidRPr="009F6716" w:rsidRDefault="009F6716" w:rsidP="009F6716">
      <w:pPr>
        <w:pStyle w:val="SingleTxtG"/>
        <w:spacing w:before="240" w:after="0"/>
        <w:jc w:val="center"/>
        <w:rPr>
          <w:u w:val="single"/>
        </w:rPr>
      </w:pPr>
      <w:r>
        <w:rPr>
          <w:u w:val="single"/>
        </w:rPr>
        <w:tab/>
      </w:r>
      <w:r>
        <w:rPr>
          <w:u w:val="single"/>
        </w:rPr>
        <w:tab/>
      </w:r>
      <w:r>
        <w:rPr>
          <w:u w:val="single"/>
        </w:rPr>
        <w:tab/>
      </w:r>
    </w:p>
    <w:sectPr w:rsidR="009F6716" w:rsidRPr="009F6716" w:rsidSect="002D7AAD">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D94" w:rsidRDefault="00585D94"/>
  </w:endnote>
  <w:endnote w:type="continuationSeparator" w:id="0">
    <w:p w:rsidR="00585D94" w:rsidRDefault="00585D94"/>
  </w:endnote>
  <w:endnote w:type="continuationNotice" w:id="1">
    <w:p w:rsidR="00585D94" w:rsidRDefault="00585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63B" w:rsidRPr="0031077E" w:rsidRDefault="0092563B" w:rsidP="0031077E">
    <w:pPr>
      <w:pStyle w:val="Footer"/>
      <w:tabs>
        <w:tab w:val="right" w:pos="9638"/>
      </w:tabs>
    </w:pPr>
    <w:r w:rsidRPr="0031077E">
      <w:rPr>
        <w:b/>
        <w:sz w:val="18"/>
      </w:rPr>
      <w:fldChar w:fldCharType="begin"/>
    </w:r>
    <w:r w:rsidRPr="0031077E">
      <w:rPr>
        <w:b/>
        <w:sz w:val="18"/>
      </w:rPr>
      <w:instrText xml:space="preserve"> PAGE  \* MERGEFORMAT </w:instrText>
    </w:r>
    <w:r w:rsidRPr="0031077E">
      <w:rPr>
        <w:b/>
        <w:sz w:val="18"/>
      </w:rPr>
      <w:fldChar w:fldCharType="separate"/>
    </w:r>
    <w:r w:rsidR="005A0BEF">
      <w:rPr>
        <w:b/>
        <w:noProof/>
        <w:sz w:val="18"/>
      </w:rPr>
      <w:t>2</w:t>
    </w:r>
    <w:r w:rsidRPr="0031077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63B" w:rsidRPr="0031077E" w:rsidRDefault="0092563B" w:rsidP="0031077E">
    <w:pPr>
      <w:pStyle w:val="Footer"/>
      <w:tabs>
        <w:tab w:val="right" w:pos="9638"/>
      </w:tabs>
      <w:rPr>
        <w:b/>
        <w:sz w:val="18"/>
      </w:rPr>
    </w:pPr>
    <w:r>
      <w:rPr>
        <w:sz w:val="20"/>
      </w:rPr>
      <w:tab/>
    </w:r>
    <w:r w:rsidRPr="0031077E">
      <w:rPr>
        <w:b/>
        <w:sz w:val="18"/>
      </w:rPr>
      <w:fldChar w:fldCharType="begin"/>
    </w:r>
    <w:r w:rsidRPr="0031077E">
      <w:rPr>
        <w:b/>
        <w:sz w:val="18"/>
      </w:rPr>
      <w:instrText xml:space="preserve"> PAGE  \* MERGEFORMAT </w:instrText>
    </w:r>
    <w:r w:rsidRPr="0031077E">
      <w:rPr>
        <w:b/>
        <w:sz w:val="18"/>
      </w:rPr>
      <w:fldChar w:fldCharType="separate"/>
    </w:r>
    <w:r w:rsidR="005A0BEF">
      <w:rPr>
        <w:b/>
        <w:noProof/>
        <w:sz w:val="18"/>
      </w:rPr>
      <w:t>3</w:t>
    </w:r>
    <w:r w:rsidRPr="0031077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63B" w:rsidRDefault="00585D94">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0" type="#_x0000_t75" alt="recycle_English" style="position:absolute;margin-left:337.3pt;margin-top:646.25pt;width:73.25pt;height:18.15pt;z-index:1;visibility:visible;mso-position-horizontal-relative:margin;mso-position-vertical-relative:margin">
          <v:imagedata r:id="rId1" o:title="recycle_English"/>
          <w10:wrap anchorx="margin" anchory="margin"/>
        </v:shape>
      </w:pict>
    </w:r>
    <w:r w:rsidR="0092563B">
      <w:t>GE.14-</w:t>
    </w:r>
    <w:r w:rsidR="00CB2216">
      <w:t>22460</w:t>
    </w:r>
    <w:r w:rsidR="005C2B4A">
      <w:br/>
    </w:r>
    <w:r w:rsidR="005C2B4A" w:rsidRPr="005C2B4A">
      <w:rPr>
        <w:rFonts w:ascii="C39T30Lfz" w:hAnsi="C39T30Lfz"/>
        <w:sz w:val="56"/>
      </w:rPr>
      <w:t></w:t>
    </w:r>
    <w:r w:rsidR="005C2B4A" w:rsidRPr="005C2B4A">
      <w:rPr>
        <w:rFonts w:ascii="C39T30Lfz" w:hAnsi="C39T30Lfz"/>
        <w:sz w:val="56"/>
      </w:rPr>
      <w:t></w:t>
    </w:r>
    <w:r w:rsidR="005C2B4A" w:rsidRPr="005C2B4A">
      <w:rPr>
        <w:rFonts w:ascii="C39T30Lfz" w:hAnsi="C39T30Lfz"/>
        <w:sz w:val="56"/>
      </w:rPr>
      <w:t></w:t>
    </w:r>
    <w:r w:rsidR="005C2B4A" w:rsidRPr="005C2B4A">
      <w:rPr>
        <w:rFonts w:ascii="C39T30Lfz" w:hAnsi="C39T30Lfz"/>
        <w:sz w:val="56"/>
      </w:rPr>
      <w:t></w:t>
    </w:r>
    <w:r w:rsidR="005C2B4A" w:rsidRPr="005C2B4A">
      <w:rPr>
        <w:rFonts w:ascii="C39T30Lfz" w:hAnsi="C39T30Lfz"/>
        <w:sz w:val="56"/>
      </w:rPr>
      <w:t></w:t>
    </w:r>
    <w:r w:rsidR="005C2B4A" w:rsidRPr="005C2B4A">
      <w:rPr>
        <w:rFonts w:ascii="C39T30Lfz" w:hAnsi="C39T30Lfz"/>
        <w:sz w:val="56"/>
      </w:rPr>
      <w:t></w:t>
    </w:r>
    <w:r w:rsidR="005C2B4A" w:rsidRPr="005C2B4A">
      <w:rPr>
        <w:rFonts w:ascii="C39T30Lfz" w:hAnsi="C39T30Lfz"/>
        <w:sz w:val="56"/>
      </w:rPr>
      <w:t></w:t>
    </w:r>
    <w:r w:rsidR="005C2B4A" w:rsidRPr="005C2B4A">
      <w:rPr>
        <w:rFonts w:ascii="C39T30Lfz" w:hAnsi="C39T30Lfz"/>
        <w:sz w:val="56"/>
      </w:rPr>
      <w:t></w:t>
    </w:r>
    <w:r w:rsidR="005C2B4A" w:rsidRPr="005C2B4A">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D94" w:rsidRPr="000B175B" w:rsidRDefault="00585D94" w:rsidP="000B175B">
      <w:pPr>
        <w:tabs>
          <w:tab w:val="right" w:pos="2155"/>
        </w:tabs>
        <w:spacing w:after="80"/>
        <w:ind w:left="680"/>
        <w:rPr>
          <w:u w:val="single"/>
        </w:rPr>
      </w:pPr>
      <w:r>
        <w:rPr>
          <w:u w:val="single"/>
        </w:rPr>
        <w:tab/>
      </w:r>
    </w:p>
  </w:footnote>
  <w:footnote w:type="continuationSeparator" w:id="0">
    <w:p w:rsidR="00585D94" w:rsidRPr="00FC68B7" w:rsidRDefault="00585D94" w:rsidP="00FC68B7">
      <w:pPr>
        <w:tabs>
          <w:tab w:val="left" w:pos="2155"/>
        </w:tabs>
        <w:spacing w:after="80"/>
        <w:ind w:left="680"/>
        <w:rPr>
          <w:u w:val="single"/>
        </w:rPr>
      </w:pPr>
      <w:r>
        <w:rPr>
          <w:u w:val="single"/>
        </w:rPr>
        <w:tab/>
      </w:r>
    </w:p>
  </w:footnote>
  <w:footnote w:type="continuationNotice" w:id="1">
    <w:p w:rsidR="00585D94" w:rsidRDefault="00585D94"/>
  </w:footnote>
  <w:footnote w:id="2">
    <w:p w:rsidR="0092563B" w:rsidRPr="00C3193A" w:rsidRDefault="0092563B" w:rsidP="00C3193A">
      <w:pPr>
        <w:pStyle w:val="FootnoteText"/>
        <w:rPr>
          <w:lang w:val="en-US"/>
        </w:rPr>
      </w:pPr>
      <w:r>
        <w:rPr>
          <w:rStyle w:val="FootnoteReference"/>
        </w:rPr>
        <w:tab/>
      </w:r>
      <w:r w:rsidRPr="00C3193A">
        <w:rPr>
          <w:rStyle w:val="FootnoteReference"/>
          <w:sz w:val="20"/>
          <w:vertAlign w:val="baseline"/>
        </w:rPr>
        <w:t>*</w:t>
      </w:r>
      <w:r>
        <w:rPr>
          <w:rStyle w:val="FootnoteReference"/>
          <w:sz w:val="20"/>
          <w:vertAlign w:val="baseline"/>
        </w:rPr>
        <w:tab/>
      </w:r>
      <w:r w:rsidRPr="00126C29">
        <w:t xml:space="preserve">The following members of the Committee participated in the examination of the present communication: Yadh Ben Achour, </w:t>
      </w:r>
      <w:r w:rsidRPr="00126C29">
        <w:rPr>
          <w:bCs/>
          <w:lang w:val="en-US"/>
        </w:rPr>
        <w:t xml:space="preserve">Christine Chanet, Ahmed Amin Fathalla, </w:t>
      </w:r>
      <w:r>
        <w:rPr>
          <w:bCs/>
          <w:lang w:val="en-US"/>
        </w:rPr>
        <w:t> </w:t>
      </w:r>
      <w:r w:rsidRPr="00126C29">
        <w:rPr>
          <w:bCs/>
          <w:lang w:val="en-US"/>
        </w:rPr>
        <w:t>Yuji</w:t>
      </w:r>
      <w:r>
        <w:rPr>
          <w:bCs/>
          <w:lang w:val="en-US"/>
        </w:rPr>
        <w:t> </w:t>
      </w:r>
      <w:r w:rsidRPr="00126C29">
        <w:rPr>
          <w:bCs/>
          <w:lang w:val="en-US"/>
        </w:rPr>
        <w:t xml:space="preserve">Iwasawa, </w:t>
      </w:r>
      <w:r w:rsidRPr="00C3193A">
        <w:rPr>
          <w:bCs/>
          <w:lang w:val="en-US"/>
        </w:rPr>
        <w:t> </w:t>
      </w:r>
      <w:r w:rsidRPr="00126C29">
        <w:rPr>
          <w:bCs/>
        </w:rPr>
        <w:t xml:space="preserve">Cornelis Flinterman, </w:t>
      </w:r>
      <w:r>
        <w:rPr>
          <w:bCs/>
        </w:rPr>
        <w:t> </w:t>
      </w:r>
      <w:r w:rsidRPr="00126C29">
        <w:rPr>
          <w:bCs/>
        </w:rPr>
        <w:t>Zonke Zanele Majodina, Gerald Neuman, Victor Manuel Rodríguez-Rescia,</w:t>
      </w:r>
      <w:r w:rsidRPr="00126C29">
        <w:rPr>
          <w:bCs/>
          <w:lang w:val="en-US"/>
        </w:rPr>
        <w:t xml:space="preserve"> </w:t>
      </w:r>
      <w:r w:rsidRPr="00126C29">
        <w:rPr>
          <w:bCs/>
        </w:rPr>
        <w:t xml:space="preserve">Margo Waterval, Konstantine Vardzelashvili, Yuval Shany, Fabián Omar Salvioli, Anja Seibert-Fohr, Andrei Paul Zlatescu, </w:t>
      </w:r>
      <w:r>
        <w:rPr>
          <w:bCs/>
        </w:rPr>
        <w:t xml:space="preserve">Lazhari Bouzid </w:t>
      </w:r>
      <w:r w:rsidRPr="00126C29">
        <w:rPr>
          <w:bCs/>
        </w:rPr>
        <w:t>and Dheerujlall Seetulsingh.</w:t>
      </w:r>
    </w:p>
  </w:footnote>
  <w:footnote w:id="3">
    <w:p w:rsidR="0092563B" w:rsidRPr="00263B80" w:rsidRDefault="0092563B" w:rsidP="00C915CB">
      <w:pPr>
        <w:pStyle w:val="FootnoteText"/>
      </w:pPr>
      <w:r>
        <w:tab/>
      </w:r>
      <w:r w:rsidRPr="00263B80">
        <w:rPr>
          <w:rStyle w:val="FootnoteReference"/>
        </w:rPr>
        <w:footnoteRef/>
      </w:r>
      <w:r>
        <w:tab/>
      </w:r>
      <w:r w:rsidRPr="00263B80">
        <w:rPr>
          <w:rFonts w:eastAsia="Verdana"/>
        </w:rPr>
        <w:t xml:space="preserve">The Optional Protocol entered into force for Kazakhstan on 30 </w:t>
      </w:r>
      <w:r w:rsidRPr="00C915CB">
        <w:rPr>
          <w:rFonts w:eastAsia="Verdana"/>
        </w:rPr>
        <w:t>September</w:t>
      </w:r>
      <w:r w:rsidRPr="00263B80">
        <w:rPr>
          <w:rFonts w:eastAsia="Verdana"/>
        </w:rPr>
        <w:t xml:space="preserve"> 2009.</w:t>
      </w:r>
    </w:p>
  </w:footnote>
  <w:footnote w:id="4">
    <w:p w:rsidR="0092563B" w:rsidRPr="00C915CB" w:rsidRDefault="0092563B" w:rsidP="00251F20">
      <w:pPr>
        <w:pStyle w:val="FootnoteText"/>
      </w:pPr>
      <w:r>
        <w:rPr>
          <w:szCs w:val="18"/>
        </w:rPr>
        <w:tab/>
      </w:r>
      <w:r w:rsidRPr="00263B80">
        <w:rPr>
          <w:rStyle w:val="FootnoteReference"/>
          <w:szCs w:val="18"/>
          <w:lang w:val="fr-FR"/>
        </w:rPr>
        <w:footnoteRef/>
      </w:r>
      <w:r>
        <w:rPr>
          <w:szCs w:val="18"/>
        </w:rPr>
        <w:tab/>
        <w:t xml:space="preserve">See communication No. 1128/2002, </w:t>
      </w:r>
      <w:r w:rsidRPr="00C3193A">
        <w:rPr>
          <w:i/>
        </w:rPr>
        <w:t xml:space="preserve">Marques de Morais </w:t>
      </w:r>
      <w:r w:rsidRPr="00C3193A">
        <w:rPr>
          <w:iCs/>
        </w:rPr>
        <w:t xml:space="preserve">v. </w:t>
      </w:r>
      <w:r w:rsidRPr="00C3193A">
        <w:rPr>
          <w:i/>
        </w:rPr>
        <w:t>Angola</w:t>
      </w:r>
      <w:r w:rsidRPr="00C915CB">
        <w:t>, Views adopted on 29 March 2005</w:t>
      </w:r>
      <w:r>
        <w:t>, para. 6.7</w:t>
      </w:r>
      <w:r w:rsidRPr="00C915CB">
        <w:t>.</w:t>
      </w:r>
    </w:p>
  </w:footnote>
  <w:footnote w:id="5">
    <w:p w:rsidR="0092563B" w:rsidRPr="00C915CB" w:rsidRDefault="0092563B" w:rsidP="00C3193A">
      <w:pPr>
        <w:pStyle w:val="FootnoteText"/>
      </w:pPr>
      <w:r>
        <w:rPr>
          <w:szCs w:val="18"/>
        </w:rPr>
        <w:tab/>
      </w:r>
      <w:r w:rsidRPr="00263B80">
        <w:rPr>
          <w:rStyle w:val="FootnoteReference"/>
          <w:szCs w:val="18"/>
        </w:rPr>
        <w:footnoteRef/>
      </w:r>
      <w:r>
        <w:rPr>
          <w:szCs w:val="18"/>
        </w:rPr>
        <w:tab/>
      </w:r>
      <w:r w:rsidRPr="00C3193A">
        <w:rPr>
          <w:szCs w:val="18"/>
        </w:rPr>
        <w:t xml:space="preserve">See the Committee’s </w:t>
      </w:r>
      <w:r w:rsidRPr="00C3193A">
        <w:t xml:space="preserve">general comment No. 10 </w:t>
      </w:r>
      <w:r w:rsidR="00A14710">
        <w:t>(1983)</w:t>
      </w:r>
      <w:r w:rsidR="00CC3C10">
        <w:t xml:space="preserve"> on f</w:t>
      </w:r>
      <w:r w:rsidR="00CC3C10" w:rsidRPr="00CC3C10">
        <w:t>reedom of opinion and expression</w:t>
      </w:r>
      <w:r w:rsidR="00A14710">
        <w:t xml:space="preserve">, </w:t>
      </w:r>
      <w:r w:rsidRPr="00C3193A">
        <w:t>para. 4.</w:t>
      </w:r>
    </w:p>
  </w:footnote>
  <w:footnote w:id="6">
    <w:p w:rsidR="0092563B" w:rsidRPr="002E1361" w:rsidRDefault="0092563B" w:rsidP="00251F20">
      <w:pPr>
        <w:pStyle w:val="FootnoteText"/>
      </w:pPr>
      <w:r>
        <w:tab/>
      </w:r>
      <w:r w:rsidRPr="00263B80">
        <w:rPr>
          <w:rStyle w:val="FootnoteReference"/>
          <w:szCs w:val="18"/>
        </w:rPr>
        <w:footnoteRef/>
      </w:r>
      <w:r>
        <w:tab/>
      </w:r>
      <w:r>
        <w:rPr>
          <w:szCs w:val="18"/>
        </w:rPr>
        <w:t xml:space="preserve">See communication No. 628/1995, </w:t>
      </w:r>
      <w:r w:rsidRPr="002E1361">
        <w:rPr>
          <w:i/>
        </w:rPr>
        <w:t xml:space="preserve">Park </w:t>
      </w:r>
      <w:r w:rsidRPr="00C3193A">
        <w:rPr>
          <w:iCs/>
        </w:rPr>
        <w:t xml:space="preserve">v. </w:t>
      </w:r>
      <w:r>
        <w:rPr>
          <w:i/>
        </w:rPr>
        <w:t xml:space="preserve">Republic of </w:t>
      </w:r>
      <w:r w:rsidRPr="002E1361">
        <w:rPr>
          <w:i/>
        </w:rPr>
        <w:t>Korea</w:t>
      </w:r>
      <w:r w:rsidRPr="002E1361">
        <w:t xml:space="preserve">, </w:t>
      </w:r>
      <w:r>
        <w:t>Views adopted on 20 October 1998, para. 1</w:t>
      </w:r>
      <w:r w:rsidRPr="002E1361">
        <w:t>0.3.</w:t>
      </w:r>
    </w:p>
  </w:footnote>
  <w:footnote w:id="7">
    <w:p w:rsidR="0092563B" w:rsidRPr="00263B80" w:rsidRDefault="0092563B" w:rsidP="00251F20">
      <w:pPr>
        <w:pStyle w:val="FootnoteText"/>
        <w:rPr>
          <w:lang w:val="en-US"/>
        </w:rPr>
      </w:pPr>
      <w:r>
        <w:tab/>
      </w:r>
      <w:r w:rsidRPr="00263B80">
        <w:rPr>
          <w:rStyle w:val="FootnoteReference"/>
          <w:szCs w:val="18"/>
        </w:rPr>
        <w:footnoteRef/>
      </w:r>
      <w:r>
        <w:tab/>
      </w:r>
      <w:r>
        <w:rPr>
          <w:szCs w:val="18"/>
        </w:rPr>
        <w:t xml:space="preserve">See communication No. 926/2000, </w:t>
      </w:r>
      <w:r w:rsidRPr="002E1361">
        <w:rPr>
          <w:i/>
          <w:lang w:val="en-US"/>
        </w:rPr>
        <w:t xml:space="preserve">Shin </w:t>
      </w:r>
      <w:r w:rsidRPr="00C3193A">
        <w:rPr>
          <w:iCs/>
          <w:lang w:val="en-US"/>
        </w:rPr>
        <w:t xml:space="preserve">v. </w:t>
      </w:r>
      <w:r w:rsidRPr="002E1361">
        <w:rPr>
          <w:i/>
          <w:lang w:val="en-US"/>
        </w:rPr>
        <w:t>Republic of Korea</w:t>
      </w:r>
      <w:r w:rsidRPr="00263B80">
        <w:rPr>
          <w:lang w:val="en-US"/>
        </w:rPr>
        <w:t xml:space="preserve">, </w:t>
      </w:r>
      <w:r>
        <w:t xml:space="preserve">Views adopted on 16 March 2004, </w:t>
      </w:r>
      <w:r>
        <w:rPr>
          <w:lang w:val="en-US"/>
        </w:rPr>
        <w:t>p</w:t>
      </w:r>
      <w:r w:rsidRPr="00263B80">
        <w:rPr>
          <w:lang w:val="en-US"/>
        </w:rPr>
        <w:t>ar</w:t>
      </w:r>
      <w:r>
        <w:rPr>
          <w:lang w:val="en-US"/>
        </w:rPr>
        <w:t>a. </w:t>
      </w:r>
      <w:r w:rsidRPr="00263B80">
        <w:rPr>
          <w:lang w:val="en-US"/>
        </w:rPr>
        <w:t>7.3.</w:t>
      </w:r>
    </w:p>
  </w:footnote>
  <w:footnote w:id="8">
    <w:p w:rsidR="0092563B" w:rsidRPr="00263B80" w:rsidRDefault="0092563B" w:rsidP="00C3193A">
      <w:pPr>
        <w:pStyle w:val="FootnoteText"/>
        <w:rPr>
          <w:lang w:val="en-US"/>
        </w:rPr>
      </w:pPr>
      <w:r>
        <w:tab/>
      </w:r>
      <w:r w:rsidRPr="00263B80">
        <w:rPr>
          <w:rStyle w:val="FootnoteReference"/>
          <w:szCs w:val="18"/>
        </w:rPr>
        <w:footnoteRef/>
      </w:r>
      <w:r>
        <w:tab/>
      </w:r>
      <w:r>
        <w:rPr>
          <w:lang w:val="en-US"/>
        </w:rPr>
        <w:t xml:space="preserve">Ibid. </w:t>
      </w:r>
    </w:p>
  </w:footnote>
  <w:footnote w:id="9">
    <w:p w:rsidR="0092563B" w:rsidRPr="00263B80" w:rsidRDefault="0092563B" w:rsidP="00251F20">
      <w:pPr>
        <w:pStyle w:val="FootnoteText"/>
        <w:rPr>
          <w:lang w:val="en-US"/>
        </w:rPr>
      </w:pPr>
      <w:r>
        <w:tab/>
      </w:r>
      <w:r w:rsidRPr="00263B80">
        <w:rPr>
          <w:rStyle w:val="FootnoteReference"/>
          <w:szCs w:val="18"/>
        </w:rPr>
        <w:footnoteRef/>
      </w:r>
      <w:r>
        <w:tab/>
        <w:t xml:space="preserve">Ibid. </w:t>
      </w:r>
    </w:p>
  </w:footnote>
  <w:footnote w:id="10">
    <w:p w:rsidR="0092563B" w:rsidRPr="00263B80" w:rsidRDefault="0092563B" w:rsidP="00C3193A">
      <w:pPr>
        <w:pStyle w:val="FootnoteText"/>
        <w:rPr>
          <w:lang w:val="en-US"/>
        </w:rPr>
      </w:pPr>
      <w:r>
        <w:rPr>
          <w:lang w:val="en-US"/>
        </w:rPr>
        <w:tab/>
      </w:r>
      <w:r w:rsidRPr="00263B80">
        <w:rPr>
          <w:rStyle w:val="FootnoteReference"/>
          <w:szCs w:val="18"/>
        </w:rPr>
        <w:footnoteRef/>
      </w:r>
      <w:r>
        <w:rPr>
          <w:lang w:val="en-US"/>
        </w:rPr>
        <w:tab/>
      </w:r>
      <w:r>
        <w:t xml:space="preserve">See </w:t>
      </w:r>
      <w:r w:rsidRPr="00263B80">
        <w:rPr>
          <w:i/>
          <w:iCs/>
        </w:rPr>
        <w:t xml:space="preserve">Marques de Morais </w:t>
      </w:r>
      <w:r w:rsidRPr="00A139EE">
        <w:t>v.</w:t>
      </w:r>
      <w:r w:rsidRPr="00263B80">
        <w:rPr>
          <w:i/>
          <w:iCs/>
        </w:rPr>
        <w:t xml:space="preserve"> Angola</w:t>
      </w:r>
      <w:r w:rsidRPr="00A139EE">
        <w:t xml:space="preserve"> (note </w:t>
      </w:r>
      <w:r w:rsidR="008E7908">
        <w:t>2</w:t>
      </w:r>
      <w:r w:rsidRPr="00A139EE">
        <w:t xml:space="preserve"> above)</w:t>
      </w:r>
      <w:r>
        <w:t>, para.</w:t>
      </w:r>
      <w:r>
        <w:rPr>
          <w:lang w:val="en-US"/>
        </w:rPr>
        <w:t> </w:t>
      </w:r>
      <w:r w:rsidRPr="00263B80">
        <w:rPr>
          <w:lang w:val="en-US"/>
        </w:rPr>
        <w:t>6.8.</w:t>
      </w:r>
    </w:p>
  </w:footnote>
  <w:footnote w:id="11">
    <w:p w:rsidR="0092563B" w:rsidRPr="00B00670" w:rsidRDefault="0092563B" w:rsidP="00251F20">
      <w:pPr>
        <w:pStyle w:val="FootnoteText"/>
      </w:pPr>
      <w:r>
        <w:tab/>
      </w:r>
      <w:r w:rsidRPr="00D275CB">
        <w:rPr>
          <w:rStyle w:val="FootnoteReference"/>
        </w:rPr>
        <w:footnoteRef/>
      </w:r>
      <w:r>
        <w:tab/>
      </w:r>
      <w:r>
        <w:rPr>
          <w:szCs w:val="18"/>
        </w:rPr>
        <w:t xml:space="preserve">See communication No. 412/1990, </w:t>
      </w:r>
      <w:r w:rsidRPr="00B00670">
        <w:rPr>
          <w:i/>
          <w:lang w:val="en-US"/>
        </w:rPr>
        <w:t xml:space="preserve">Kivenmaa </w:t>
      </w:r>
      <w:r w:rsidRPr="00C3193A">
        <w:rPr>
          <w:iCs/>
          <w:lang w:val="en-US"/>
        </w:rPr>
        <w:t>v.</w:t>
      </w:r>
      <w:r w:rsidRPr="00B00670">
        <w:rPr>
          <w:i/>
          <w:lang w:val="en-US"/>
        </w:rPr>
        <w:t xml:space="preserve"> Finland</w:t>
      </w:r>
      <w:r w:rsidRPr="00082C3F">
        <w:rPr>
          <w:iCs/>
          <w:lang w:val="en-US"/>
        </w:rPr>
        <w:t xml:space="preserve">, </w:t>
      </w:r>
      <w:r w:rsidRPr="00B00670">
        <w:t>Views adopted on 31 March 1994.</w:t>
      </w:r>
    </w:p>
  </w:footnote>
  <w:footnote w:id="12">
    <w:p w:rsidR="0092563B" w:rsidRPr="00AE70D1" w:rsidRDefault="0092563B" w:rsidP="00251F20">
      <w:pPr>
        <w:pStyle w:val="FootnoteText"/>
      </w:pPr>
      <w:r>
        <w:tab/>
      </w:r>
      <w:r>
        <w:rPr>
          <w:rStyle w:val="FootnoteReference"/>
        </w:rPr>
        <w:footnoteRef/>
      </w:r>
      <w:r>
        <w:tab/>
        <w:t xml:space="preserve">See communications No. 305/1988, </w:t>
      </w:r>
      <w:r w:rsidRPr="00C3193A">
        <w:rPr>
          <w:i/>
        </w:rPr>
        <w:t xml:space="preserve">Van Alphen </w:t>
      </w:r>
      <w:r w:rsidRPr="00C3193A">
        <w:rPr>
          <w:iCs/>
        </w:rPr>
        <w:t>v.</w:t>
      </w:r>
      <w:r w:rsidRPr="00C3193A">
        <w:rPr>
          <w:i/>
        </w:rPr>
        <w:t xml:space="preserve"> The Netherlands</w:t>
      </w:r>
      <w:r>
        <w:t xml:space="preserve">, Views adopted on 23 July 1990, para. 5.8; and No. 631/1995, </w:t>
      </w:r>
      <w:r w:rsidRPr="00C3193A">
        <w:rPr>
          <w:i/>
        </w:rPr>
        <w:t xml:space="preserve">Spakmo </w:t>
      </w:r>
      <w:r w:rsidRPr="00C3193A">
        <w:rPr>
          <w:iCs/>
        </w:rPr>
        <w:t>v.</w:t>
      </w:r>
      <w:r>
        <w:rPr>
          <w:i/>
        </w:rPr>
        <w:t> </w:t>
      </w:r>
      <w:r w:rsidRPr="00C3193A">
        <w:rPr>
          <w:i/>
        </w:rPr>
        <w:t>Norway</w:t>
      </w:r>
      <w:r>
        <w:t xml:space="preserve">, Views adopted on 5 November 1999, para. 6.3. </w:t>
      </w:r>
    </w:p>
  </w:footnote>
  <w:footnote w:id="13">
    <w:p w:rsidR="0092563B" w:rsidRPr="00C3193A" w:rsidRDefault="0092563B" w:rsidP="009A3401">
      <w:pPr>
        <w:pStyle w:val="FootnoteText"/>
      </w:pPr>
      <w:r>
        <w:tab/>
      </w:r>
      <w:r w:rsidRPr="00D275CB">
        <w:rPr>
          <w:rStyle w:val="FootnoteReference"/>
        </w:rPr>
        <w:footnoteRef/>
      </w:r>
      <w:r>
        <w:rPr>
          <w:rFonts w:eastAsia="Arial Unicode MS" w:hAnsi="Arial Unicode MS" w:cs="Arial Unicode MS"/>
        </w:rPr>
        <w:tab/>
      </w:r>
      <w:r w:rsidRPr="00C3193A">
        <w:rPr>
          <w:rFonts w:eastAsia="Arial Unicode MS"/>
        </w:rPr>
        <w:t>See the Committee’s general comment 34 (2011)</w:t>
      </w:r>
      <w:r w:rsidR="00CC3C10">
        <w:rPr>
          <w:rFonts w:eastAsia="Arial Unicode MS"/>
        </w:rPr>
        <w:t xml:space="preserve"> </w:t>
      </w:r>
      <w:r w:rsidR="00CC3C10">
        <w:rPr>
          <w:snapToGrid w:val="0"/>
          <w:szCs w:val="24"/>
        </w:rPr>
        <w:t>on freedoms of opinion and expression</w:t>
      </w:r>
      <w:r w:rsidRPr="00C3193A">
        <w:rPr>
          <w:rFonts w:eastAsia="Arial Unicode MS"/>
        </w:rPr>
        <w:t>,</w:t>
      </w:r>
      <w:r w:rsidRPr="00C3193A">
        <w:rPr>
          <w:rFonts w:eastAsia="Arial Unicode MS" w:hAnsi="Arial Unicode MS" w:cs="Arial Unicode MS"/>
        </w:rPr>
        <w:t xml:space="preserve"> para.</w:t>
      </w:r>
      <w:r w:rsidRPr="00C3193A">
        <w:rPr>
          <w:rFonts w:eastAsia="Arial Unicode MS" w:hAnsi="Arial Unicode MS" w:cs="Arial Unicode MS"/>
        </w:rPr>
        <w:t> </w:t>
      </w:r>
      <w:r w:rsidRPr="00C3193A">
        <w:rPr>
          <w:rFonts w:eastAsia="Arial Unicode MS" w:hAnsi="Arial Unicode MS" w:cs="Arial Unicode MS"/>
        </w:rPr>
        <w:t xml:space="preserve">2. </w:t>
      </w:r>
    </w:p>
  </w:footnote>
  <w:footnote w:id="14">
    <w:p w:rsidR="0092563B" w:rsidRDefault="0092563B" w:rsidP="00A14710">
      <w:pPr>
        <w:pStyle w:val="FootnoteText"/>
      </w:pPr>
      <w:r w:rsidRPr="00C3193A">
        <w:tab/>
      </w:r>
      <w:r w:rsidRPr="00C3193A">
        <w:rPr>
          <w:vertAlign w:val="superscript"/>
        </w:rPr>
        <w:footnoteRef/>
      </w:r>
      <w:r w:rsidRPr="00C3193A">
        <w:rPr>
          <w:rFonts w:eastAsia="Arial Unicode MS"/>
        </w:rPr>
        <w:tab/>
      </w:r>
      <w:r w:rsidR="00A14710">
        <w:rPr>
          <w:rFonts w:eastAsia="Arial Unicode MS"/>
        </w:rPr>
        <w:t>Ibid.</w:t>
      </w:r>
      <w:r w:rsidRPr="00A14710">
        <w:rPr>
          <w:rFonts w:eastAsia="Arial Unicode MS"/>
        </w:rPr>
        <w:t>, para. 34.</w:t>
      </w:r>
    </w:p>
  </w:footnote>
  <w:footnote w:id="15">
    <w:p w:rsidR="0092563B" w:rsidRDefault="0092563B" w:rsidP="00251F20">
      <w:pPr>
        <w:pStyle w:val="FootnoteText"/>
      </w:pPr>
      <w:r>
        <w:tab/>
      </w:r>
      <w:r>
        <w:rPr>
          <w:vertAlign w:val="superscript"/>
        </w:rPr>
        <w:footnoteRef/>
      </w:r>
      <w:r>
        <w:tab/>
        <w:t xml:space="preserve">See </w:t>
      </w:r>
      <w:r w:rsidRPr="009F6716">
        <w:t>communication</w:t>
      </w:r>
      <w:r>
        <w:t xml:space="preserve"> No. 1604/2007, </w:t>
      </w:r>
      <w:r>
        <w:rPr>
          <w:i/>
          <w:iCs/>
        </w:rPr>
        <w:t xml:space="preserve">Zalesskaya </w:t>
      </w:r>
      <w:r w:rsidRPr="00C3193A">
        <w:t>v.</w:t>
      </w:r>
      <w:r>
        <w:rPr>
          <w:i/>
          <w:iCs/>
        </w:rPr>
        <w:t xml:space="preserve"> Belarus</w:t>
      </w:r>
      <w:r>
        <w:t>, Views adopted on 28 March 2011, para. 10.5.</w:t>
      </w:r>
    </w:p>
  </w:footnote>
  <w:footnote w:id="16">
    <w:p w:rsidR="0092563B" w:rsidRDefault="0092563B" w:rsidP="007E33B5">
      <w:pPr>
        <w:pStyle w:val="FootnoteText"/>
      </w:pPr>
      <w:r>
        <w:tab/>
      </w:r>
      <w:r>
        <w:rPr>
          <w:vertAlign w:val="superscript"/>
        </w:rPr>
        <w:footnoteRef/>
      </w:r>
      <w:r>
        <w:rPr>
          <w:rFonts w:eastAsia="Arial Unicode MS"/>
        </w:rPr>
        <w:tab/>
        <w:t xml:space="preserve">See </w:t>
      </w:r>
      <w:r w:rsidRPr="009F6716">
        <w:rPr>
          <w:rFonts w:eastAsia="Arial Unicode MS"/>
        </w:rPr>
        <w:t>communications</w:t>
      </w:r>
      <w:r>
        <w:rPr>
          <w:rFonts w:eastAsia="Arial Unicode MS"/>
        </w:rPr>
        <w:t xml:space="preserve"> No. 927/2000, </w:t>
      </w:r>
      <w:r>
        <w:rPr>
          <w:rFonts w:eastAsia="Arial Unicode MS"/>
          <w:i/>
          <w:iCs/>
        </w:rPr>
        <w:t xml:space="preserve">Svetik </w:t>
      </w:r>
      <w:r w:rsidRPr="00CA2992">
        <w:rPr>
          <w:rFonts w:eastAsia="Arial Unicode MS"/>
          <w:i/>
          <w:iCs/>
        </w:rPr>
        <w:t>v.</w:t>
      </w:r>
      <w:r>
        <w:rPr>
          <w:rFonts w:eastAsia="Arial Unicode MS"/>
        </w:rPr>
        <w:t xml:space="preserve"> </w:t>
      </w:r>
      <w:r>
        <w:rPr>
          <w:rFonts w:eastAsia="Arial Unicode MS"/>
          <w:i/>
          <w:iCs/>
        </w:rPr>
        <w:t>Belarus</w:t>
      </w:r>
      <w:r>
        <w:rPr>
          <w:rFonts w:eastAsia="Arial Unicode MS"/>
        </w:rPr>
        <w:t xml:space="preserve">, Views adopted on 8 July 2004, para. 7.3; and No. 1009/2001, </w:t>
      </w:r>
      <w:r>
        <w:rPr>
          <w:rFonts w:eastAsia="Arial Unicode MS"/>
          <w:i/>
          <w:iCs/>
        </w:rPr>
        <w:t xml:space="preserve">Shchetko </w:t>
      </w:r>
      <w:r w:rsidRPr="00CA2992">
        <w:rPr>
          <w:rFonts w:eastAsia="Arial Unicode MS"/>
          <w:i/>
          <w:iCs/>
        </w:rPr>
        <w:t>v.</w:t>
      </w:r>
      <w:r>
        <w:rPr>
          <w:rFonts w:eastAsia="Arial Unicode MS"/>
        </w:rPr>
        <w:t xml:space="preserve"> </w:t>
      </w:r>
      <w:r>
        <w:rPr>
          <w:rFonts w:eastAsia="Arial Unicode MS"/>
          <w:i/>
          <w:iCs/>
        </w:rPr>
        <w:t>Belarus</w:t>
      </w:r>
      <w:r>
        <w:rPr>
          <w:rFonts w:eastAsia="Arial Unicode MS"/>
        </w:rPr>
        <w:t>, Views adopted on 11 July 2006, para. 7.5.</w:t>
      </w:r>
    </w:p>
  </w:footnote>
  <w:footnote w:id="17">
    <w:p w:rsidR="0092563B" w:rsidRPr="00BA0BEF" w:rsidRDefault="0092563B" w:rsidP="00C3193A">
      <w:pPr>
        <w:pStyle w:val="FootnoteText"/>
      </w:pPr>
      <w:r>
        <w:tab/>
      </w:r>
      <w:r w:rsidRPr="00D275CB">
        <w:rPr>
          <w:rStyle w:val="FootnoteReference"/>
        </w:rPr>
        <w:footnoteRef/>
      </w:r>
      <w:r>
        <w:tab/>
        <w:t xml:space="preserve">See </w:t>
      </w:r>
      <w:r>
        <w:rPr>
          <w:i/>
          <w:iCs/>
        </w:rPr>
        <w:t xml:space="preserve">Zalesskaya </w:t>
      </w:r>
      <w:r w:rsidRPr="00C3193A">
        <w:t>v.</w:t>
      </w:r>
      <w:r>
        <w:rPr>
          <w:i/>
          <w:iCs/>
        </w:rPr>
        <w:t xml:space="preserve"> Belarus</w:t>
      </w:r>
      <w:r w:rsidRPr="00C3193A">
        <w:t xml:space="preserve"> (note 1</w:t>
      </w:r>
      <w:r w:rsidR="008E7908">
        <w:t>3</w:t>
      </w:r>
      <w:r w:rsidRPr="00C3193A">
        <w:t xml:space="preserve"> above)</w:t>
      </w:r>
      <w:r>
        <w:t>, para. 10.6.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63B" w:rsidRPr="0031077E" w:rsidRDefault="0092563B" w:rsidP="0031077E">
    <w:pPr>
      <w:pStyle w:val="Header"/>
    </w:pPr>
    <w:r>
      <w:t>CCPR/C/112/D/2137/2012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63B" w:rsidRPr="0031077E" w:rsidRDefault="0092563B" w:rsidP="0031077E">
    <w:pPr>
      <w:pStyle w:val="Header"/>
      <w:jc w:val="right"/>
    </w:pPr>
    <w:r>
      <w:t>CCPR/C/112/D/2137/2012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77E"/>
    <w:rsid w:val="00002745"/>
    <w:rsid w:val="00004996"/>
    <w:rsid w:val="00013E35"/>
    <w:rsid w:val="00023AF0"/>
    <w:rsid w:val="000272B3"/>
    <w:rsid w:val="0003078E"/>
    <w:rsid w:val="00033178"/>
    <w:rsid w:val="00040642"/>
    <w:rsid w:val="000478C2"/>
    <w:rsid w:val="00050A3B"/>
    <w:rsid w:val="00050F6B"/>
    <w:rsid w:val="00053CE4"/>
    <w:rsid w:val="00057E97"/>
    <w:rsid w:val="00060C3A"/>
    <w:rsid w:val="000716ED"/>
    <w:rsid w:val="00072C8C"/>
    <w:rsid w:val="000733B5"/>
    <w:rsid w:val="00081815"/>
    <w:rsid w:val="00082C3F"/>
    <w:rsid w:val="00083DCC"/>
    <w:rsid w:val="000931C0"/>
    <w:rsid w:val="000A114A"/>
    <w:rsid w:val="000A1560"/>
    <w:rsid w:val="000A1C3E"/>
    <w:rsid w:val="000A2F1E"/>
    <w:rsid w:val="000B175B"/>
    <w:rsid w:val="000B3A0F"/>
    <w:rsid w:val="000B4EF7"/>
    <w:rsid w:val="000B50E1"/>
    <w:rsid w:val="000C2806"/>
    <w:rsid w:val="000C2C03"/>
    <w:rsid w:val="000C2D2E"/>
    <w:rsid w:val="000D1690"/>
    <w:rsid w:val="000E0415"/>
    <w:rsid w:val="000E561C"/>
    <w:rsid w:val="000F7959"/>
    <w:rsid w:val="001103AA"/>
    <w:rsid w:val="001210D6"/>
    <w:rsid w:val="001249E2"/>
    <w:rsid w:val="00126C29"/>
    <w:rsid w:val="00132606"/>
    <w:rsid w:val="00135815"/>
    <w:rsid w:val="00136E1B"/>
    <w:rsid w:val="00165F3A"/>
    <w:rsid w:val="00183968"/>
    <w:rsid w:val="001973F1"/>
    <w:rsid w:val="001A1EEE"/>
    <w:rsid w:val="001A6686"/>
    <w:rsid w:val="001A706A"/>
    <w:rsid w:val="001B4124"/>
    <w:rsid w:val="001B4B04"/>
    <w:rsid w:val="001B5F00"/>
    <w:rsid w:val="001C2596"/>
    <w:rsid w:val="001C6663"/>
    <w:rsid w:val="001C7895"/>
    <w:rsid w:val="001D0C8C"/>
    <w:rsid w:val="001D1359"/>
    <w:rsid w:val="001D26DF"/>
    <w:rsid w:val="001D3A03"/>
    <w:rsid w:val="001D515D"/>
    <w:rsid w:val="00200637"/>
    <w:rsid w:val="00202DA8"/>
    <w:rsid w:val="0020429F"/>
    <w:rsid w:val="00206688"/>
    <w:rsid w:val="00211E0B"/>
    <w:rsid w:val="00226D1C"/>
    <w:rsid w:val="00227702"/>
    <w:rsid w:val="00231684"/>
    <w:rsid w:val="0023210C"/>
    <w:rsid w:val="00234A76"/>
    <w:rsid w:val="0024122C"/>
    <w:rsid w:val="00251F20"/>
    <w:rsid w:val="00262676"/>
    <w:rsid w:val="00267F5F"/>
    <w:rsid w:val="0027567F"/>
    <w:rsid w:val="00276E8C"/>
    <w:rsid w:val="0028227F"/>
    <w:rsid w:val="00286B4D"/>
    <w:rsid w:val="002A058A"/>
    <w:rsid w:val="002B23A2"/>
    <w:rsid w:val="002D2FDD"/>
    <w:rsid w:val="002D7AAD"/>
    <w:rsid w:val="002E11FD"/>
    <w:rsid w:val="002E5F18"/>
    <w:rsid w:val="002F175C"/>
    <w:rsid w:val="002F67BB"/>
    <w:rsid w:val="002F6F81"/>
    <w:rsid w:val="0031077E"/>
    <w:rsid w:val="003116D2"/>
    <w:rsid w:val="00312A4B"/>
    <w:rsid w:val="003229D8"/>
    <w:rsid w:val="00346B8C"/>
    <w:rsid w:val="00352709"/>
    <w:rsid w:val="0036180A"/>
    <w:rsid w:val="0036376F"/>
    <w:rsid w:val="00364B95"/>
    <w:rsid w:val="00367567"/>
    <w:rsid w:val="00371178"/>
    <w:rsid w:val="003714DA"/>
    <w:rsid w:val="00381E92"/>
    <w:rsid w:val="0038336C"/>
    <w:rsid w:val="00397948"/>
    <w:rsid w:val="003979A5"/>
    <w:rsid w:val="00397ABB"/>
    <w:rsid w:val="003A0996"/>
    <w:rsid w:val="003A6810"/>
    <w:rsid w:val="003A7825"/>
    <w:rsid w:val="003B6711"/>
    <w:rsid w:val="003C2CC4"/>
    <w:rsid w:val="003C51FB"/>
    <w:rsid w:val="003D4B23"/>
    <w:rsid w:val="003E74F1"/>
    <w:rsid w:val="00410C89"/>
    <w:rsid w:val="00417505"/>
    <w:rsid w:val="00426B9B"/>
    <w:rsid w:val="004325CB"/>
    <w:rsid w:val="00433413"/>
    <w:rsid w:val="004356FA"/>
    <w:rsid w:val="00436B33"/>
    <w:rsid w:val="00442A83"/>
    <w:rsid w:val="0045228A"/>
    <w:rsid w:val="0045495B"/>
    <w:rsid w:val="00457E0D"/>
    <w:rsid w:val="00462EAD"/>
    <w:rsid w:val="00487488"/>
    <w:rsid w:val="00495761"/>
    <w:rsid w:val="00495C76"/>
    <w:rsid w:val="004C2B0B"/>
    <w:rsid w:val="004C700E"/>
    <w:rsid w:val="004E4F3E"/>
    <w:rsid w:val="004F2D51"/>
    <w:rsid w:val="00506903"/>
    <w:rsid w:val="0052136D"/>
    <w:rsid w:val="00523B12"/>
    <w:rsid w:val="005260BD"/>
    <w:rsid w:val="0052775E"/>
    <w:rsid w:val="00531D27"/>
    <w:rsid w:val="00537AA3"/>
    <w:rsid w:val="005420F2"/>
    <w:rsid w:val="005559F7"/>
    <w:rsid w:val="00557101"/>
    <w:rsid w:val="005628B6"/>
    <w:rsid w:val="005723F5"/>
    <w:rsid w:val="005818AB"/>
    <w:rsid w:val="00583701"/>
    <w:rsid w:val="005848B3"/>
    <w:rsid w:val="00585D94"/>
    <w:rsid w:val="00590F87"/>
    <w:rsid w:val="00592C4A"/>
    <w:rsid w:val="005A0BEF"/>
    <w:rsid w:val="005B3DB3"/>
    <w:rsid w:val="005C0F69"/>
    <w:rsid w:val="005C2B4A"/>
    <w:rsid w:val="005D3A58"/>
    <w:rsid w:val="005D594E"/>
    <w:rsid w:val="005E2A9C"/>
    <w:rsid w:val="005E3313"/>
    <w:rsid w:val="005F02E2"/>
    <w:rsid w:val="005F3980"/>
    <w:rsid w:val="005F7717"/>
    <w:rsid w:val="005F7B75"/>
    <w:rsid w:val="006001EE"/>
    <w:rsid w:val="00605042"/>
    <w:rsid w:val="00611FC4"/>
    <w:rsid w:val="006165DA"/>
    <w:rsid w:val="006176FB"/>
    <w:rsid w:val="00624757"/>
    <w:rsid w:val="00640B26"/>
    <w:rsid w:val="00652D0A"/>
    <w:rsid w:val="00662161"/>
    <w:rsid w:val="00662BB6"/>
    <w:rsid w:val="00665D04"/>
    <w:rsid w:val="0067620B"/>
    <w:rsid w:val="00684C21"/>
    <w:rsid w:val="00691109"/>
    <w:rsid w:val="00693F18"/>
    <w:rsid w:val="006A53B6"/>
    <w:rsid w:val="006A5D50"/>
    <w:rsid w:val="006A6D8E"/>
    <w:rsid w:val="006B6F6A"/>
    <w:rsid w:val="006C7037"/>
    <w:rsid w:val="006D37AF"/>
    <w:rsid w:val="006D4E27"/>
    <w:rsid w:val="006D51D0"/>
    <w:rsid w:val="006E564B"/>
    <w:rsid w:val="006E7191"/>
    <w:rsid w:val="006F4668"/>
    <w:rsid w:val="007029F7"/>
    <w:rsid w:val="00703577"/>
    <w:rsid w:val="00705ACF"/>
    <w:rsid w:val="00705ED5"/>
    <w:rsid w:val="007118F4"/>
    <w:rsid w:val="00714EA0"/>
    <w:rsid w:val="0072423A"/>
    <w:rsid w:val="0072632A"/>
    <w:rsid w:val="007327D5"/>
    <w:rsid w:val="00745FCA"/>
    <w:rsid w:val="00750644"/>
    <w:rsid w:val="00754F06"/>
    <w:rsid w:val="007629C8"/>
    <w:rsid w:val="00791215"/>
    <w:rsid w:val="0079649B"/>
    <w:rsid w:val="007B54F6"/>
    <w:rsid w:val="007B687D"/>
    <w:rsid w:val="007B6BA5"/>
    <w:rsid w:val="007C1A1E"/>
    <w:rsid w:val="007C3390"/>
    <w:rsid w:val="007C4F4B"/>
    <w:rsid w:val="007C784F"/>
    <w:rsid w:val="007E0B2D"/>
    <w:rsid w:val="007E33AF"/>
    <w:rsid w:val="007E33B5"/>
    <w:rsid w:val="007F6611"/>
    <w:rsid w:val="007F7C06"/>
    <w:rsid w:val="008105B8"/>
    <w:rsid w:val="0081724C"/>
    <w:rsid w:val="008173AC"/>
    <w:rsid w:val="008238B3"/>
    <w:rsid w:val="008242D7"/>
    <w:rsid w:val="008257B1"/>
    <w:rsid w:val="00827238"/>
    <w:rsid w:val="00833950"/>
    <w:rsid w:val="00843767"/>
    <w:rsid w:val="00843CAA"/>
    <w:rsid w:val="00844335"/>
    <w:rsid w:val="00847110"/>
    <w:rsid w:val="00850F45"/>
    <w:rsid w:val="00863084"/>
    <w:rsid w:val="008679D9"/>
    <w:rsid w:val="008979B1"/>
    <w:rsid w:val="008A1DB2"/>
    <w:rsid w:val="008A6B25"/>
    <w:rsid w:val="008A6C4F"/>
    <w:rsid w:val="008B1DEE"/>
    <w:rsid w:val="008B2335"/>
    <w:rsid w:val="008B2CAC"/>
    <w:rsid w:val="008B4522"/>
    <w:rsid w:val="008B60B0"/>
    <w:rsid w:val="008C1B37"/>
    <w:rsid w:val="008E0678"/>
    <w:rsid w:val="008E143C"/>
    <w:rsid w:val="008E7908"/>
    <w:rsid w:val="008F367F"/>
    <w:rsid w:val="00910B46"/>
    <w:rsid w:val="00910F40"/>
    <w:rsid w:val="00912C08"/>
    <w:rsid w:val="009134E1"/>
    <w:rsid w:val="00921D53"/>
    <w:rsid w:val="009223CA"/>
    <w:rsid w:val="0092563B"/>
    <w:rsid w:val="0093163B"/>
    <w:rsid w:val="00934277"/>
    <w:rsid w:val="0093586F"/>
    <w:rsid w:val="00940F93"/>
    <w:rsid w:val="009456FD"/>
    <w:rsid w:val="0095347F"/>
    <w:rsid w:val="00955D50"/>
    <w:rsid w:val="00965316"/>
    <w:rsid w:val="009760F3"/>
    <w:rsid w:val="009909F5"/>
    <w:rsid w:val="009A04A7"/>
    <w:rsid w:val="009A0E8D"/>
    <w:rsid w:val="009A3401"/>
    <w:rsid w:val="009B26E7"/>
    <w:rsid w:val="009C73F6"/>
    <w:rsid w:val="009D0985"/>
    <w:rsid w:val="009E621B"/>
    <w:rsid w:val="009F22AE"/>
    <w:rsid w:val="009F23E0"/>
    <w:rsid w:val="009F6716"/>
    <w:rsid w:val="00A00A3F"/>
    <w:rsid w:val="00A01489"/>
    <w:rsid w:val="00A14710"/>
    <w:rsid w:val="00A26F2F"/>
    <w:rsid w:val="00A30530"/>
    <w:rsid w:val="00A338F1"/>
    <w:rsid w:val="00A44615"/>
    <w:rsid w:val="00A51241"/>
    <w:rsid w:val="00A52826"/>
    <w:rsid w:val="00A52A36"/>
    <w:rsid w:val="00A56445"/>
    <w:rsid w:val="00A601BE"/>
    <w:rsid w:val="00A63A4E"/>
    <w:rsid w:val="00A721B5"/>
    <w:rsid w:val="00A72F22"/>
    <w:rsid w:val="00A7360F"/>
    <w:rsid w:val="00A748A6"/>
    <w:rsid w:val="00A769F4"/>
    <w:rsid w:val="00A7713E"/>
    <w:rsid w:val="00A776B4"/>
    <w:rsid w:val="00A82856"/>
    <w:rsid w:val="00A91579"/>
    <w:rsid w:val="00A94361"/>
    <w:rsid w:val="00AA26BC"/>
    <w:rsid w:val="00AA293C"/>
    <w:rsid w:val="00AB1104"/>
    <w:rsid w:val="00AC0330"/>
    <w:rsid w:val="00AC0A04"/>
    <w:rsid w:val="00AC0CC2"/>
    <w:rsid w:val="00AC6194"/>
    <w:rsid w:val="00AE70D1"/>
    <w:rsid w:val="00AF3609"/>
    <w:rsid w:val="00B01FC8"/>
    <w:rsid w:val="00B02B87"/>
    <w:rsid w:val="00B13E9B"/>
    <w:rsid w:val="00B30179"/>
    <w:rsid w:val="00B32F04"/>
    <w:rsid w:val="00B339A7"/>
    <w:rsid w:val="00B43173"/>
    <w:rsid w:val="00B46A7C"/>
    <w:rsid w:val="00B53137"/>
    <w:rsid w:val="00B53211"/>
    <w:rsid w:val="00B56E4A"/>
    <w:rsid w:val="00B56E9C"/>
    <w:rsid w:val="00B64B1F"/>
    <w:rsid w:val="00B6553F"/>
    <w:rsid w:val="00B66E5E"/>
    <w:rsid w:val="00B77D05"/>
    <w:rsid w:val="00B81206"/>
    <w:rsid w:val="00B81E12"/>
    <w:rsid w:val="00B8270A"/>
    <w:rsid w:val="00B82DD0"/>
    <w:rsid w:val="00B86401"/>
    <w:rsid w:val="00B864CB"/>
    <w:rsid w:val="00B9067B"/>
    <w:rsid w:val="00BA649A"/>
    <w:rsid w:val="00BA7B3D"/>
    <w:rsid w:val="00BB29C3"/>
    <w:rsid w:val="00BB62A7"/>
    <w:rsid w:val="00BC2C23"/>
    <w:rsid w:val="00BC3C1A"/>
    <w:rsid w:val="00BC74E9"/>
    <w:rsid w:val="00BD147B"/>
    <w:rsid w:val="00BD1C0C"/>
    <w:rsid w:val="00BD3701"/>
    <w:rsid w:val="00BE220D"/>
    <w:rsid w:val="00BE33B3"/>
    <w:rsid w:val="00BF68A8"/>
    <w:rsid w:val="00C11A03"/>
    <w:rsid w:val="00C13DB1"/>
    <w:rsid w:val="00C15992"/>
    <w:rsid w:val="00C1625A"/>
    <w:rsid w:val="00C2172F"/>
    <w:rsid w:val="00C3193A"/>
    <w:rsid w:val="00C3654A"/>
    <w:rsid w:val="00C406F4"/>
    <w:rsid w:val="00C463DD"/>
    <w:rsid w:val="00C4724C"/>
    <w:rsid w:val="00C47975"/>
    <w:rsid w:val="00C50704"/>
    <w:rsid w:val="00C5659A"/>
    <w:rsid w:val="00C572D1"/>
    <w:rsid w:val="00C6146F"/>
    <w:rsid w:val="00C629A0"/>
    <w:rsid w:val="00C745C3"/>
    <w:rsid w:val="00C80227"/>
    <w:rsid w:val="00C82587"/>
    <w:rsid w:val="00C85052"/>
    <w:rsid w:val="00C915CB"/>
    <w:rsid w:val="00C96294"/>
    <w:rsid w:val="00CA2992"/>
    <w:rsid w:val="00CB2216"/>
    <w:rsid w:val="00CC3C10"/>
    <w:rsid w:val="00CC58BA"/>
    <w:rsid w:val="00CE1732"/>
    <w:rsid w:val="00CE4A8F"/>
    <w:rsid w:val="00CE6D11"/>
    <w:rsid w:val="00D061C4"/>
    <w:rsid w:val="00D111F2"/>
    <w:rsid w:val="00D11D02"/>
    <w:rsid w:val="00D124E7"/>
    <w:rsid w:val="00D1456A"/>
    <w:rsid w:val="00D165BE"/>
    <w:rsid w:val="00D175C4"/>
    <w:rsid w:val="00D17856"/>
    <w:rsid w:val="00D2031B"/>
    <w:rsid w:val="00D25FE2"/>
    <w:rsid w:val="00D275CB"/>
    <w:rsid w:val="00D34FEC"/>
    <w:rsid w:val="00D43252"/>
    <w:rsid w:val="00D47EEA"/>
    <w:rsid w:val="00D60602"/>
    <w:rsid w:val="00D61EE9"/>
    <w:rsid w:val="00D64E52"/>
    <w:rsid w:val="00D67724"/>
    <w:rsid w:val="00D84480"/>
    <w:rsid w:val="00D900FC"/>
    <w:rsid w:val="00D91182"/>
    <w:rsid w:val="00D95303"/>
    <w:rsid w:val="00D978C6"/>
    <w:rsid w:val="00DA3111"/>
    <w:rsid w:val="00DA3C1C"/>
    <w:rsid w:val="00DA478A"/>
    <w:rsid w:val="00DB0C79"/>
    <w:rsid w:val="00DB25DA"/>
    <w:rsid w:val="00DB490E"/>
    <w:rsid w:val="00DC4497"/>
    <w:rsid w:val="00DD2FF2"/>
    <w:rsid w:val="00DE0DD6"/>
    <w:rsid w:val="00DE3F54"/>
    <w:rsid w:val="00DE4593"/>
    <w:rsid w:val="00DF64C8"/>
    <w:rsid w:val="00E200D3"/>
    <w:rsid w:val="00E27346"/>
    <w:rsid w:val="00E3617C"/>
    <w:rsid w:val="00E43C78"/>
    <w:rsid w:val="00E529D7"/>
    <w:rsid w:val="00E71BC8"/>
    <w:rsid w:val="00E7260F"/>
    <w:rsid w:val="00E74C02"/>
    <w:rsid w:val="00E76CF1"/>
    <w:rsid w:val="00E779FC"/>
    <w:rsid w:val="00E912E8"/>
    <w:rsid w:val="00E91E28"/>
    <w:rsid w:val="00E96630"/>
    <w:rsid w:val="00EA1472"/>
    <w:rsid w:val="00EA5D67"/>
    <w:rsid w:val="00EB2581"/>
    <w:rsid w:val="00EB47B9"/>
    <w:rsid w:val="00ED7A2A"/>
    <w:rsid w:val="00EF1D7F"/>
    <w:rsid w:val="00F04DF2"/>
    <w:rsid w:val="00F10ED9"/>
    <w:rsid w:val="00F20C3D"/>
    <w:rsid w:val="00F232A4"/>
    <w:rsid w:val="00F23CD2"/>
    <w:rsid w:val="00F325B1"/>
    <w:rsid w:val="00F404D6"/>
    <w:rsid w:val="00F43E9E"/>
    <w:rsid w:val="00F44393"/>
    <w:rsid w:val="00F55CFD"/>
    <w:rsid w:val="00F62326"/>
    <w:rsid w:val="00F74237"/>
    <w:rsid w:val="00F9057C"/>
    <w:rsid w:val="00F906D7"/>
    <w:rsid w:val="00F9329C"/>
    <w:rsid w:val="00F93781"/>
    <w:rsid w:val="00FA14D5"/>
    <w:rsid w:val="00FB613B"/>
    <w:rsid w:val="00FC68B7"/>
    <w:rsid w:val="00FE106A"/>
    <w:rsid w:val="00FF53CF"/>
    <w:rsid w:val="00FF6A78"/>
    <w:rsid w:val="00FF796C"/>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570BE7F-BD50-4C1C-A304-47A3B573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7F7C06"/>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7F7C06"/>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31077E"/>
    <w:rPr>
      <w:rFonts w:eastAsia="SimSun"/>
      <w:sz w:val="18"/>
      <w:lang w:val="en-GB"/>
    </w:rPr>
  </w:style>
  <w:style w:type="character" w:customStyle="1" w:styleId="SingleTxtGChar">
    <w:name w:val="_ Single Txt_G Char"/>
    <w:link w:val="SingleTxtG"/>
    <w:locked/>
    <w:rsid w:val="00083DCC"/>
    <w:rPr>
      <w:lang w:val="en-GB" w:eastAsia="en-US"/>
    </w:rPr>
  </w:style>
  <w:style w:type="paragraph" w:styleId="NormalWeb">
    <w:name w:val="Normal (Web)"/>
    <w:basedOn w:val="Normal"/>
    <w:uiPriority w:val="99"/>
    <w:unhideWhenUsed/>
    <w:rsid w:val="00843CAA"/>
    <w:pPr>
      <w:suppressAutoHyphens w:val="0"/>
      <w:spacing w:before="100" w:beforeAutospacing="1" w:after="100" w:afterAutospacing="1" w:line="240" w:lineRule="auto"/>
    </w:pPr>
    <w:rPr>
      <w:sz w:val="24"/>
      <w:szCs w:val="24"/>
      <w:lang w:val="es-ES" w:eastAsia="es-ES"/>
    </w:rPr>
  </w:style>
  <w:style w:type="character" w:styleId="Strong">
    <w:name w:val="Strong"/>
    <w:uiPriority w:val="22"/>
    <w:qFormat/>
    <w:rsid w:val="00843CAA"/>
    <w:rPr>
      <w:b/>
      <w:bCs/>
    </w:rPr>
  </w:style>
  <w:style w:type="paragraph" w:styleId="BalloonText">
    <w:name w:val="Balloon Text"/>
    <w:basedOn w:val="Normal"/>
    <w:link w:val="BalloonTextChar"/>
    <w:rsid w:val="00D11D02"/>
    <w:pPr>
      <w:spacing w:line="240" w:lineRule="auto"/>
    </w:pPr>
    <w:rPr>
      <w:rFonts w:ascii="Tahoma" w:hAnsi="Tahoma"/>
      <w:sz w:val="16"/>
      <w:szCs w:val="16"/>
    </w:rPr>
  </w:style>
  <w:style w:type="character" w:customStyle="1" w:styleId="BalloonTextChar">
    <w:name w:val="Balloon Text Char"/>
    <w:link w:val="BalloonText"/>
    <w:rsid w:val="00D11D02"/>
    <w:rPr>
      <w:rFonts w:ascii="Tahoma" w:hAnsi="Tahoma" w:cs="Tahoma"/>
      <w:sz w:val="16"/>
      <w:szCs w:val="16"/>
      <w:lang w:val="en-GB" w:eastAsia="en-US"/>
    </w:rPr>
  </w:style>
  <w:style w:type="character" w:customStyle="1" w:styleId="FootnoteCharacters">
    <w:name w:val="Footnote Characters"/>
    <w:rsid w:val="00C915CB"/>
    <w:rPr>
      <w:rFonts w:ascii="Times New Roman" w:hAnsi="Times New Roman" w:cs="Times New Roman"/>
      <w:sz w:val="18"/>
      <w:vertAlign w:val="superscript"/>
    </w:rPr>
  </w:style>
  <w:style w:type="character" w:styleId="CommentReference">
    <w:name w:val="annotation reference"/>
    <w:rsid w:val="00251F20"/>
    <w:rPr>
      <w:sz w:val="16"/>
      <w:szCs w:val="16"/>
    </w:rPr>
  </w:style>
  <w:style w:type="paragraph" w:styleId="CommentText">
    <w:name w:val="annotation text"/>
    <w:basedOn w:val="Normal"/>
    <w:link w:val="CommentTextChar"/>
    <w:rsid w:val="00251F20"/>
  </w:style>
  <w:style w:type="character" w:customStyle="1" w:styleId="CommentTextChar">
    <w:name w:val="Comment Text Char"/>
    <w:link w:val="CommentText"/>
    <w:rsid w:val="00251F20"/>
    <w:rPr>
      <w:lang w:val="en-GB" w:eastAsia="en-US"/>
    </w:rPr>
  </w:style>
  <w:style w:type="paragraph" w:styleId="CommentSubject">
    <w:name w:val="annotation subject"/>
    <w:basedOn w:val="CommentText"/>
    <w:next w:val="CommentText"/>
    <w:link w:val="CommentSubjectChar"/>
    <w:rsid w:val="00251F20"/>
    <w:rPr>
      <w:b/>
      <w:bCs/>
    </w:rPr>
  </w:style>
  <w:style w:type="character" w:customStyle="1" w:styleId="CommentSubjectChar">
    <w:name w:val="Comment Subject Char"/>
    <w:link w:val="CommentSubject"/>
    <w:rsid w:val="00251F20"/>
    <w:rPr>
      <w:b/>
      <w:bCs/>
      <w:lang w:val="en-GB" w:eastAsia="en-US"/>
    </w:rPr>
  </w:style>
  <w:style w:type="paragraph" w:styleId="Revision">
    <w:name w:val="Revision"/>
    <w:hidden/>
    <w:uiPriority w:val="99"/>
    <w:semiHidden/>
    <w:rsid w:val="00251F2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01379">
      <w:bodyDiv w:val="1"/>
      <w:marLeft w:val="0"/>
      <w:marRight w:val="0"/>
      <w:marTop w:val="0"/>
      <w:marBottom w:val="0"/>
      <w:divBdr>
        <w:top w:val="none" w:sz="0" w:space="0" w:color="auto"/>
        <w:left w:val="none" w:sz="0" w:space="0" w:color="auto"/>
        <w:bottom w:val="none" w:sz="0" w:space="0" w:color="auto"/>
        <w:right w:val="none" w:sz="0" w:space="0" w:color="auto"/>
      </w:divBdr>
      <w:divsChild>
        <w:div w:id="48458393">
          <w:marLeft w:val="0"/>
          <w:marRight w:val="0"/>
          <w:marTop w:val="0"/>
          <w:marBottom w:val="0"/>
          <w:divBdr>
            <w:top w:val="none" w:sz="0" w:space="0" w:color="auto"/>
            <w:left w:val="none" w:sz="0" w:space="0" w:color="auto"/>
            <w:bottom w:val="none" w:sz="0" w:space="0" w:color="auto"/>
            <w:right w:val="none" w:sz="0" w:space="0" w:color="auto"/>
          </w:divBdr>
          <w:divsChild>
            <w:div w:id="1082262174">
              <w:marLeft w:val="55"/>
              <w:marRight w:val="0"/>
              <w:marTop w:val="0"/>
              <w:marBottom w:val="0"/>
              <w:divBdr>
                <w:top w:val="none" w:sz="0" w:space="0" w:color="auto"/>
                <w:left w:val="none" w:sz="0" w:space="0" w:color="auto"/>
                <w:bottom w:val="none" w:sz="0" w:space="0" w:color="auto"/>
                <w:right w:val="none" w:sz="0" w:space="0" w:color="auto"/>
              </w:divBdr>
            </w:div>
          </w:divsChild>
        </w:div>
      </w:divsChild>
    </w:div>
    <w:div w:id="1212234134">
      <w:bodyDiv w:val="1"/>
      <w:marLeft w:val="0"/>
      <w:marRight w:val="0"/>
      <w:marTop w:val="0"/>
      <w:marBottom w:val="0"/>
      <w:divBdr>
        <w:top w:val="none" w:sz="0" w:space="0" w:color="auto"/>
        <w:left w:val="none" w:sz="0" w:space="0" w:color="auto"/>
        <w:bottom w:val="none" w:sz="0" w:space="0" w:color="auto"/>
        <w:right w:val="none" w:sz="0" w:space="0" w:color="auto"/>
      </w:divBdr>
      <w:divsChild>
        <w:div w:id="464466412">
          <w:marLeft w:val="0"/>
          <w:marRight w:val="0"/>
          <w:marTop w:val="0"/>
          <w:marBottom w:val="0"/>
          <w:divBdr>
            <w:top w:val="none" w:sz="0" w:space="0" w:color="auto"/>
            <w:left w:val="none" w:sz="0" w:space="0" w:color="auto"/>
            <w:bottom w:val="none" w:sz="0" w:space="0" w:color="auto"/>
            <w:right w:val="none" w:sz="0" w:space="0" w:color="auto"/>
          </w:divBdr>
          <w:divsChild>
            <w:div w:id="2090342275">
              <w:marLeft w:val="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8</Pages>
  <Words>3712</Words>
  <Characters>21160</Characters>
  <Application>Microsoft Office Word</Application>
  <DocSecurity>0</DocSecurity>
  <Lines>176</Lines>
  <Paragraphs>49</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24823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2014-11-20T14:34:00Z</cp:lastPrinted>
  <dcterms:created xsi:type="dcterms:W3CDTF">2017-01-24T22:36:00Z</dcterms:created>
  <dcterms:modified xsi:type="dcterms:W3CDTF">2017-01-24T22:36:00Z</dcterms:modified>
</cp:coreProperties>
</file>